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1D663"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ՀԱՍՏԱՏՎԱԾ ԵՆ</w:t>
      </w:r>
    </w:p>
    <w:p w14:paraId="1DAA60FE"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Եվրասիական տնտեսական հանձնաժողովի խորհրդի 20</w:t>
      </w:r>
      <w:r w:rsidR="005755F1">
        <w:rPr>
          <w:rFonts w:ascii="Sylfaen" w:hAnsi="Sylfaen"/>
          <w:sz w:val="24"/>
          <w:szCs w:val="24"/>
        </w:rPr>
        <w:t>16</w:t>
      </w:r>
      <w:r w:rsidRPr="00834D52">
        <w:rPr>
          <w:rFonts w:ascii="Sylfaen" w:hAnsi="Sylfaen"/>
          <w:sz w:val="24"/>
          <w:szCs w:val="24"/>
        </w:rPr>
        <w:t xml:space="preserve"> թվականի </w:t>
      </w:r>
      <w:r w:rsidR="005755F1">
        <w:rPr>
          <w:rFonts w:ascii="Sylfaen" w:hAnsi="Sylfaen"/>
          <w:sz w:val="24"/>
          <w:szCs w:val="24"/>
        </w:rPr>
        <w:t xml:space="preserve">նոյեմբերի 3-ի </w:t>
      </w:r>
      <w:r w:rsidRPr="00834D52">
        <w:rPr>
          <w:rFonts w:ascii="Sylfaen" w:hAnsi="Sylfaen"/>
          <w:sz w:val="24"/>
          <w:szCs w:val="24"/>
        </w:rPr>
        <w:t xml:space="preserve">թիվ </w:t>
      </w:r>
      <w:r w:rsidR="005755F1">
        <w:rPr>
          <w:rFonts w:ascii="Sylfaen" w:hAnsi="Sylfaen"/>
          <w:sz w:val="24"/>
          <w:szCs w:val="24"/>
        </w:rPr>
        <w:t>78</w:t>
      </w:r>
      <w:r w:rsidRPr="00834D52">
        <w:rPr>
          <w:rFonts w:ascii="Sylfaen" w:hAnsi="Sylfaen"/>
          <w:sz w:val="24"/>
          <w:szCs w:val="24"/>
        </w:rPr>
        <w:t xml:space="preserve"> որոշմամբ</w:t>
      </w:r>
    </w:p>
    <w:p w14:paraId="2C57BFA0" w14:textId="77777777" w:rsidR="006F76EB" w:rsidRPr="00834D52" w:rsidRDefault="006F76EB" w:rsidP="006F76EB">
      <w:pPr>
        <w:spacing w:after="160" w:line="360" w:lineRule="auto"/>
        <w:ind w:left="4536" w:right="-8"/>
        <w:rPr>
          <w:rFonts w:ascii="Sylfaen" w:hAnsi="Sylfaen"/>
          <w:sz w:val="24"/>
          <w:szCs w:val="24"/>
        </w:rPr>
      </w:pPr>
    </w:p>
    <w:p w14:paraId="3D5F1E50" w14:textId="77777777" w:rsidR="006F76EB" w:rsidRPr="005405FD" w:rsidRDefault="006F76EB" w:rsidP="006F76EB">
      <w:pPr>
        <w:spacing w:after="160" w:line="360" w:lineRule="auto"/>
        <w:ind w:left="567" w:right="565"/>
        <w:jc w:val="center"/>
        <w:rPr>
          <w:rFonts w:ascii="Sylfaen" w:hAnsi="Sylfaen"/>
          <w:b/>
          <w:sz w:val="24"/>
          <w:szCs w:val="24"/>
        </w:rPr>
      </w:pPr>
      <w:r w:rsidRPr="005405FD">
        <w:rPr>
          <w:rFonts w:ascii="Sylfaen" w:hAnsi="Sylfaen"/>
          <w:b/>
          <w:sz w:val="24"/>
          <w:szCs w:val="24"/>
        </w:rPr>
        <w:t>ԿԱՆՈՆՆԵՐ</w:t>
      </w:r>
    </w:p>
    <w:p w14:paraId="051ABDF4"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 xml:space="preserve">բժշկական կիրառման դեղամիջոցների գրանցման </w:t>
      </w:r>
      <w:r w:rsidR="00C54D75">
        <w:rPr>
          <w:rFonts w:ascii="Sylfaen" w:hAnsi="Sylfaen"/>
          <w:b/>
          <w:sz w:val="24"/>
          <w:szCs w:val="24"/>
        </w:rPr>
        <w:t>և</w:t>
      </w:r>
      <w:r w:rsidRPr="00834D52">
        <w:rPr>
          <w:rFonts w:ascii="Sylfaen" w:hAnsi="Sylfaen"/>
          <w:b/>
          <w:sz w:val="24"/>
          <w:szCs w:val="24"/>
        </w:rPr>
        <w:t xml:space="preserve"> փորձաքննության </w:t>
      </w:r>
    </w:p>
    <w:p w14:paraId="6DF5F9C7" w14:textId="77777777" w:rsidR="006F76EB" w:rsidRPr="00834D52" w:rsidRDefault="006F76EB" w:rsidP="006F76EB">
      <w:pPr>
        <w:spacing w:after="160" w:line="360" w:lineRule="auto"/>
        <w:ind w:right="-8"/>
        <w:jc w:val="center"/>
        <w:rPr>
          <w:rFonts w:ascii="Sylfaen" w:hAnsi="Sylfaen"/>
          <w:sz w:val="24"/>
          <w:szCs w:val="24"/>
        </w:rPr>
      </w:pPr>
    </w:p>
    <w:p w14:paraId="107C33B8"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I. Ընդհանուր դրույթներ</w:t>
      </w:r>
    </w:p>
    <w:p w14:paraId="07D8C707" w14:textId="77777777" w:rsidR="006F76EB" w:rsidRPr="00834D52" w:rsidRDefault="006F76EB" w:rsidP="00486013">
      <w:pPr>
        <w:tabs>
          <w:tab w:val="left" w:pos="1134"/>
        </w:tabs>
        <w:spacing w:after="160" w:line="384" w:lineRule="auto"/>
        <w:ind w:right="-8" w:firstLine="567"/>
        <w:rPr>
          <w:rFonts w:ascii="Sylfaen" w:eastAsia="Times New Roman" w:hAnsi="Sylfaen" w:cs="Times New Roman"/>
          <w:sz w:val="24"/>
          <w:szCs w:val="24"/>
        </w:rPr>
      </w:pPr>
      <w:r w:rsidRPr="00834D52">
        <w:rPr>
          <w:rFonts w:ascii="Sylfaen" w:hAnsi="Sylfaen"/>
          <w:sz w:val="24"/>
          <w:szCs w:val="24"/>
        </w:rPr>
        <w:t>1.</w:t>
      </w:r>
      <w:r w:rsidRPr="00834D52">
        <w:rPr>
          <w:rFonts w:ascii="Sylfaen" w:hAnsi="Sylfaen"/>
          <w:sz w:val="24"/>
          <w:szCs w:val="24"/>
        </w:rPr>
        <w:tab/>
        <w:t>Սույն Կանոնները սահմանում են Եվրասիական տնտեսական միության (այսուհետ՝ Միություն) շրջանակներում դեղամիջոցների ընդհանուր շուկայի ձ</w:t>
      </w:r>
      <w:r w:rsidR="00C54D75">
        <w:rPr>
          <w:rFonts w:ascii="Sylfaen" w:hAnsi="Sylfaen"/>
          <w:sz w:val="24"/>
          <w:szCs w:val="24"/>
        </w:rPr>
        <w:t>և</w:t>
      </w:r>
      <w:r w:rsidRPr="00834D52">
        <w:rPr>
          <w:rFonts w:ascii="Sylfaen" w:hAnsi="Sylfaen"/>
          <w:sz w:val="24"/>
          <w:szCs w:val="24"/>
        </w:rPr>
        <w:t xml:space="preserve">ավորման նպատակով բժշկական կիրառման դեղապատրաստուկների գրանցում իրականացնելու, գրանցումը հաստատելու (վերագրանցելու), գրանցման դոսյեում փոփոխություններ կատարելու </w:t>
      </w:r>
      <w:r w:rsidR="00C54D75">
        <w:rPr>
          <w:rFonts w:ascii="Sylfaen" w:hAnsi="Sylfaen"/>
          <w:sz w:val="24"/>
          <w:szCs w:val="24"/>
        </w:rPr>
        <w:t>և</w:t>
      </w:r>
      <w:r w:rsidRPr="00834D52">
        <w:rPr>
          <w:rFonts w:ascii="Sylfaen" w:hAnsi="Sylfaen"/>
          <w:sz w:val="24"/>
          <w:szCs w:val="24"/>
        </w:rPr>
        <w:t xml:space="preserve"> դեղապատրաստուկների փորձաքննություն անցկացնելու կարգը, ինչպես նա</w:t>
      </w:r>
      <w:r w:rsidR="00C54D75">
        <w:rPr>
          <w:rFonts w:ascii="Sylfaen" w:hAnsi="Sylfaen"/>
          <w:sz w:val="24"/>
          <w:szCs w:val="24"/>
        </w:rPr>
        <w:t>և</w:t>
      </w:r>
      <w:r w:rsidRPr="00834D52">
        <w:rPr>
          <w:rFonts w:ascii="Sylfaen" w:hAnsi="Sylfaen"/>
          <w:sz w:val="24"/>
          <w:szCs w:val="24"/>
        </w:rPr>
        <w:t xml:space="preserve"> բժշկական կիրառման դեղապատրաստուկների գրանցման հետ կապված այլ ընթացակարգեր (այսուհետ՝ գրանցման հետ կապված ընթացակարգեր) իրականացնելու կարգը, որոնք իրենց մեջ ներառում են՝</w:t>
      </w:r>
    </w:p>
    <w:p w14:paraId="22581F54"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Միության անդամ պետություններում (այսուհետ՝ անդամ պետություններ) մինչ</w:t>
      </w:r>
      <w:r w:rsidR="00C54D75">
        <w:rPr>
          <w:rFonts w:ascii="Sylfaen" w:hAnsi="Sylfaen"/>
          <w:sz w:val="24"/>
          <w:szCs w:val="24"/>
        </w:rPr>
        <w:t>և</w:t>
      </w:r>
      <w:r w:rsidRPr="00834D52">
        <w:rPr>
          <w:rFonts w:ascii="Sylfaen" w:hAnsi="Sylfaen"/>
          <w:sz w:val="24"/>
          <w:szCs w:val="24"/>
        </w:rPr>
        <w:t xml:space="preserve"> «Եվրասիական տնտեսական միության շրջանակներում դեղամիջոցների շրջանառության միասնական սկզբունքերի </w:t>
      </w:r>
      <w:r w:rsidR="00C54D75">
        <w:rPr>
          <w:rFonts w:ascii="Sylfaen" w:hAnsi="Sylfaen"/>
          <w:sz w:val="24"/>
          <w:szCs w:val="24"/>
        </w:rPr>
        <w:t>և</w:t>
      </w:r>
      <w:r w:rsidRPr="00834D52">
        <w:rPr>
          <w:rFonts w:ascii="Sylfaen" w:hAnsi="Sylfaen"/>
          <w:sz w:val="24"/>
          <w:szCs w:val="24"/>
        </w:rPr>
        <w:t xml:space="preserve"> կանոնների մասին» 2014 թվականի դեկտեմբերի 23-ի համաձայնագիրը (այսուհետ՝ Համաձայնագիր) ուժի մեջ մտնելը </w:t>
      </w:r>
      <w:r w:rsidR="00C54D75">
        <w:rPr>
          <w:rFonts w:ascii="Sylfaen" w:hAnsi="Sylfaen"/>
          <w:sz w:val="24"/>
          <w:szCs w:val="24"/>
        </w:rPr>
        <w:t>և</w:t>
      </w:r>
      <w:r w:rsidRPr="00834D52">
        <w:rPr>
          <w:rFonts w:ascii="Sylfaen" w:hAnsi="Sylfaen"/>
          <w:sz w:val="24"/>
          <w:szCs w:val="24"/>
        </w:rPr>
        <w:t xml:space="preserve"> մինչ</w:t>
      </w:r>
      <w:r w:rsidR="00C54D75">
        <w:rPr>
          <w:rFonts w:ascii="Sylfaen" w:hAnsi="Sylfaen"/>
          <w:sz w:val="24"/>
          <w:szCs w:val="24"/>
        </w:rPr>
        <w:t>և</w:t>
      </w:r>
      <w:r w:rsidRPr="00834D52">
        <w:rPr>
          <w:rFonts w:ascii="Sylfaen" w:hAnsi="Sylfaen"/>
          <w:sz w:val="24"/>
          <w:szCs w:val="24"/>
        </w:rPr>
        <w:t xml:space="preserve"> 2020 թվականի դեկտեմբերի 31-ը գրանցված դեղապատրաստուկի գրանցման դոսյեի համապատասխանեցում սույն Կանոններին (այսուհետ՝ համապատասխանեցում Միության պահանջներին).</w:t>
      </w:r>
    </w:p>
    <w:p w14:paraId="29B68D71"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 xml:space="preserve">դեղապատրաստուկների գրանցման կասեցում </w:t>
      </w:r>
      <w:r w:rsidR="00C54D75">
        <w:rPr>
          <w:rFonts w:ascii="Sylfaen" w:hAnsi="Sylfaen"/>
          <w:sz w:val="24"/>
          <w:szCs w:val="24"/>
        </w:rPr>
        <w:t>և</w:t>
      </w:r>
      <w:r w:rsidRPr="00834D52">
        <w:rPr>
          <w:rFonts w:ascii="Sylfaen" w:hAnsi="Sylfaen"/>
          <w:sz w:val="24"/>
          <w:szCs w:val="24"/>
        </w:rPr>
        <w:t xml:space="preserve"> դադարեցում կամ դեղապատրաստուկի կիրառման սահմանափակում.</w:t>
      </w:r>
    </w:p>
    <w:p w14:paraId="5B5CFD2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գրանցման հավաստագրի կրկնօրինակների տրամադրում:</w:t>
      </w:r>
    </w:p>
    <w:p w14:paraId="196941A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Սույն Կանոնների պահանջները տարածվում են դեղամիջոցները մշակողների </w:t>
      </w:r>
      <w:r w:rsidR="00C54D75">
        <w:rPr>
          <w:rFonts w:ascii="Sylfaen" w:hAnsi="Sylfaen"/>
          <w:sz w:val="24"/>
          <w:szCs w:val="24"/>
        </w:rPr>
        <w:t>և</w:t>
      </w:r>
      <w:r w:rsidRPr="00834D52">
        <w:rPr>
          <w:rFonts w:ascii="Sylfaen" w:hAnsi="Sylfaen"/>
          <w:sz w:val="24"/>
          <w:szCs w:val="24"/>
        </w:rPr>
        <w:t xml:space="preserve"> արտադրողների, դեղապատրաստուկների գրանցման հավաստագրերի իրավատերերի </w:t>
      </w:r>
      <w:r w:rsidR="00C54D75">
        <w:rPr>
          <w:rFonts w:ascii="Sylfaen" w:hAnsi="Sylfaen"/>
          <w:sz w:val="24"/>
          <w:szCs w:val="24"/>
        </w:rPr>
        <w:t>և</w:t>
      </w:r>
      <w:r w:rsidRPr="00834D52">
        <w:rPr>
          <w:rFonts w:ascii="Sylfaen" w:hAnsi="Sylfaen"/>
          <w:sz w:val="24"/>
          <w:szCs w:val="24"/>
        </w:rPr>
        <w:t xml:space="preserve"> նրանց վստահված անձանց, անդամ պետությունների՝ դեղամիջոցների շրջանառության ոլորտում լիազորված մարմինների (փորձագիտական կազմակերպությունների) վրա:</w:t>
      </w:r>
    </w:p>
    <w:p w14:paraId="76084DC6"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Սույն Կանոնների պահանջները չեն կիրառվում հետ</w:t>
      </w:r>
      <w:r w:rsidR="00C54D75">
        <w:rPr>
          <w:rFonts w:ascii="Sylfaen" w:hAnsi="Sylfaen"/>
          <w:sz w:val="24"/>
          <w:szCs w:val="24"/>
        </w:rPr>
        <w:t>և</w:t>
      </w:r>
      <w:r w:rsidRPr="00834D52">
        <w:rPr>
          <w:rFonts w:ascii="Sylfaen" w:hAnsi="Sylfaen"/>
          <w:sz w:val="24"/>
          <w:szCs w:val="24"/>
        </w:rPr>
        <w:t>յալի նկատմամբ՝</w:t>
      </w:r>
    </w:p>
    <w:p w14:paraId="379CA848" w14:textId="12C96CD5"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ա)</w:t>
      </w:r>
      <w:r w:rsidRPr="00834D52">
        <w:rPr>
          <w:rFonts w:ascii="Sylfaen" w:hAnsi="Sylfaen"/>
          <w:sz w:val="24"/>
          <w:szCs w:val="24"/>
        </w:rPr>
        <w:tab/>
        <w:t xml:space="preserve">դեղապատրաստուկներ, որոնք նախատեսված են ռազմական գործողությունների, արտակարգ իրավիճակների պայմաններում կիրառման համար, քիմիական, կենսաբանական, ճառագայթային գործոնների ազդեցության արդյունքում առաջացած հիվանդությունների </w:t>
      </w:r>
      <w:r w:rsidR="00C54D75">
        <w:rPr>
          <w:rFonts w:ascii="Sylfaen" w:hAnsi="Sylfaen"/>
          <w:sz w:val="24"/>
          <w:szCs w:val="24"/>
        </w:rPr>
        <w:t>և</w:t>
      </w:r>
      <w:r w:rsidRPr="00834D52">
        <w:rPr>
          <w:rFonts w:ascii="Sylfaen" w:hAnsi="Sylfaen"/>
          <w:sz w:val="24"/>
          <w:szCs w:val="24"/>
        </w:rPr>
        <w:t xml:space="preserve"> ախտահարումների կանխարգելման </w:t>
      </w:r>
      <w:r w:rsidR="00C54D75">
        <w:rPr>
          <w:rFonts w:ascii="Sylfaen" w:hAnsi="Sylfaen"/>
          <w:sz w:val="24"/>
          <w:szCs w:val="24"/>
        </w:rPr>
        <w:t>և</w:t>
      </w:r>
      <w:r w:rsidRPr="00834D52">
        <w:rPr>
          <w:rFonts w:ascii="Sylfaen" w:hAnsi="Sylfaen"/>
          <w:sz w:val="24"/>
          <w:szCs w:val="24"/>
        </w:rPr>
        <w:t xml:space="preserve"> բուժման համար, մշակվել են անդամ պետությունների՝ անվտանգության </w:t>
      </w:r>
      <w:r w:rsidR="00C54D75">
        <w:rPr>
          <w:rFonts w:ascii="Sylfaen" w:hAnsi="Sylfaen"/>
          <w:sz w:val="24"/>
          <w:szCs w:val="24"/>
        </w:rPr>
        <w:t>և</w:t>
      </w:r>
      <w:r w:rsidRPr="00834D52">
        <w:rPr>
          <w:rFonts w:ascii="Sylfaen" w:hAnsi="Sylfaen"/>
          <w:sz w:val="24"/>
          <w:szCs w:val="24"/>
        </w:rPr>
        <w:t xml:space="preserve"> պաշտպանության բնագավառում լիազորված պետական իշխանության մարմինների հանձնարարությամբ, </w:t>
      </w:r>
      <w:r w:rsidR="00C54D75">
        <w:rPr>
          <w:rFonts w:ascii="Sylfaen" w:hAnsi="Sylfaen"/>
          <w:sz w:val="24"/>
          <w:szCs w:val="24"/>
        </w:rPr>
        <w:t>և</w:t>
      </w:r>
      <w:r w:rsidRPr="00834D52">
        <w:rPr>
          <w:rFonts w:ascii="Sylfaen" w:hAnsi="Sylfaen"/>
          <w:sz w:val="24"/>
          <w:szCs w:val="24"/>
        </w:rPr>
        <w:t xml:space="preserve"> որոնց շրջանառությունը կարգավորվում է անդամ պետությունների օրենսդրությամբ.</w:t>
      </w:r>
    </w:p>
    <w:p w14:paraId="5460F095" w14:textId="52453696" w:rsidR="000F26D8" w:rsidRPr="000F26D8" w:rsidRDefault="000F26D8" w:rsidP="006F76EB">
      <w:pPr>
        <w:tabs>
          <w:tab w:val="left" w:pos="1134"/>
        </w:tabs>
        <w:spacing w:after="160" w:line="360" w:lineRule="auto"/>
        <w:ind w:right="-8" w:firstLine="567"/>
        <w:jc w:val="both"/>
        <w:rPr>
          <w:rFonts w:ascii="Sylfaen" w:eastAsia="Times New Roman" w:hAnsi="Sylfaen" w:cs="Times New Roman"/>
          <w:sz w:val="24"/>
          <w:szCs w:val="24"/>
        </w:rPr>
      </w:pPr>
      <w:r w:rsidRPr="000F26D8">
        <w:rPr>
          <w:rFonts w:ascii="Sylfaen" w:eastAsia="Times New Roman" w:hAnsi="Sylfaen" w:cs="Times New Roman"/>
          <w:sz w:val="24"/>
          <w:szCs w:val="24"/>
        </w:rPr>
        <w:t>ա1) քիմիական, կենսաբանական, ճառագայթային գործոնների ազդեցության արդյունքում ստացված՝ արտակարգ իրավիճակների, դրանց առաջացման սպառնալիքի կամ արտակարգ իրավիճակների առաջացման պայմաններում կիրառման համար, շրջապատի համար վտանգ ներկայացնող հիվանդությունների և ախտահարումների կանխարգելման և բուժման համար նախատեսված դեղապատրաստուկներ, որոնց շրջանառությունը կարգավորվում է անդամ պետությունների օրենսդրությամբ.</w:t>
      </w:r>
    </w:p>
    <w:p w14:paraId="0FF095AB" w14:textId="26F16B0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անասնաբուժական դեղապատրաստուկներ, որոնց շրջանառությունը կարգավորվում է Միության իրավունքի մաս կազմող այլ ակտերով:</w:t>
      </w:r>
    </w:p>
    <w:p w14:paraId="1C8E8635" w14:textId="1126C43A" w:rsidR="000F26D8" w:rsidRPr="006F28F9" w:rsidRDefault="000F26D8" w:rsidP="000F26D8">
      <w:pPr>
        <w:rPr>
          <w:b/>
          <w:bCs/>
          <w:i/>
          <w:iCs/>
        </w:rPr>
      </w:pPr>
      <w:r w:rsidRPr="00CD4709">
        <w:rPr>
          <w:b/>
          <w:bCs/>
          <w:i/>
          <w:iCs/>
        </w:rPr>
        <w:lastRenderedPageBreak/>
        <w:t>(</w:t>
      </w:r>
      <w:r w:rsidRPr="0091782A">
        <w:rPr>
          <w:b/>
          <w:bCs/>
          <w:i/>
          <w:iCs/>
        </w:rPr>
        <w:t>3</w:t>
      </w:r>
      <w:r>
        <w:rPr>
          <w:b/>
          <w:bCs/>
          <w:i/>
          <w:iCs/>
        </w:rPr>
        <w:t>-րդ կետը լրաց</w:t>
      </w:r>
      <w:r w:rsidRPr="00CD4709">
        <w:rPr>
          <w:b/>
          <w:bCs/>
          <w:i/>
          <w:iCs/>
        </w:rPr>
        <w:t xml:space="preserve">. </w:t>
      </w:r>
      <w:r>
        <w:rPr>
          <w:b/>
          <w:bCs/>
          <w:i/>
          <w:iCs/>
        </w:rPr>
        <w:t xml:space="preserve">17.03.22 </w:t>
      </w:r>
      <w:r w:rsidRPr="00CD4709">
        <w:rPr>
          <w:b/>
          <w:bCs/>
          <w:i/>
          <w:iCs/>
        </w:rPr>
        <w:t xml:space="preserve"> թիվ</w:t>
      </w:r>
      <w:r>
        <w:rPr>
          <w:b/>
          <w:bCs/>
          <w:i/>
          <w:iCs/>
        </w:rPr>
        <w:t xml:space="preserve"> 36</w:t>
      </w:r>
      <w:r w:rsidRPr="00CD4709">
        <w:rPr>
          <w:b/>
          <w:bCs/>
          <w:i/>
          <w:iCs/>
        </w:rPr>
        <w:t>)</w:t>
      </w:r>
    </w:p>
    <w:p w14:paraId="16A394C2" w14:textId="77777777" w:rsidR="000F26D8" w:rsidRPr="00834D52" w:rsidRDefault="000F26D8" w:rsidP="006F76EB">
      <w:pPr>
        <w:tabs>
          <w:tab w:val="left" w:pos="1134"/>
        </w:tabs>
        <w:spacing w:after="160" w:line="360" w:lineRule="auto"/>
        <w:ind w:right="-8" w:firstLine="567"/>
        <w:jc w:val="both"/>
        <w:rPr>
          <w:rFonts w:ascii="Sylfaen" w:eastAsia="Times New Roman" w:hAnsi="Sylfaen" w:cs="Times New Roman"/>
          <w:sz w:val="24"/>
          <w:szCs w:val="24"/>
        </w:rPr>
      </w:pPr>
    </w:p>
    <w:p w14:paraId="1BAA8DD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Սույն Կանոններին համապատասխան՝ գրանցման ենթակա են Միության շրջանակներում դեղամիջոցների ընդհանուր շուկայում կամ անդամ պետություններից մեկի տարածքում շրջանառության համար նախատեսված դեղապատրաստուկները:</w:t>
      </w:r>
    </w:p>
    <w:p w14:paraId="791097AB"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5.</w:t>
      </w:r>
      <w:r w:rsidRPr="00834D52">
        <w:rPr>
          <w:rFonts w:ascii="Sylfaen" w:hAnsi="Sylfaen"/>
          <w:sz w:val="24"/>
          <w:szCs w:val="24"/>
        </w:rPr>
        <w:tab/>
        <w:t>Միության շրջանակներում գրանցման ենթակա չեն՝</w:t>
      </w:r>
    </w:p>
    <w:p w14:paraId="0C977329"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դեղատներում պատրաստված դեղապատրաստուկները.</w:t>
      </w:r>
    </w:p>
    <w:p w14:paraId="29299F13"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դեղագործական սուբստանցիաները.</w:t>
      </w:r>
    </w:p>
    <w:p w14:paraId="3CC851B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00DC43E8">
        <w:rPr>
          <w:rFonts w:ascii="Sylfaen" w:hAnsi="Sylfaen"/>
          <w:sz w:val="24"/>
          <w:szCs w:val="24"/>
        </w:rPr>
        <w:t>)</w:t>
      </w:r>
      <w:r w:rsidR="00DC43E8" w:rsidRPr="00DC43E8">
        <w:rPr>
          <w:rFonts w:ascii="Sylfaen" w:hAnsi="Sylfaen"/>
          <w:sz w:val="24"/>
          <w:szCs w:val="24"/>
        </w:rPr>
        <w:tab/>
      </w:r>
      <w:r w:rsidRPr="00834D52">
        <w:rPr>
          <w:rFonts w:ascii="Sylfaen" w:hAnsi="Sylfaen"/>
          <w:sz w:val="24"/>
          <w:szCs w:val="24"/>
        </w:rPr>
        <w:t xml:space="preserve">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անցկացման համար նախատեսված դեղապատրաստուկները.</w:t>
      </w:r>
    </w:p>
    <w:p w14:paraId="6BF329E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ֆիզիկական անձանց կողմից անձնական օգտագործման համար ներմուծված դեղամիջոցները.</w:t>
      </w:r>
    </w:p>
    <w:p w14:paraId="6A9B4FA4" w14:textId="41632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DE6349" w:rsidRPr="00DE6349">
        <w:rPr>
          <w:rFonts w:ascii="Sylfaen" w:hAnsi="Sylfaen"/>
          <w:sz w:val="24"/>
          <w:szCs w:val="24"/>
        </w:rPr>
        <w:t>անդամ պետությունների</w:t>
      </w:r>
      <w:r w:rsidR="00DE6349">
        <w:rPr>
          <w:rFonts w:ascii="Sylfaen" w:hAnsi="Sylfaen"/>
          <w:sz w:val="24"/>
          <w:szCs w:val="24"/>
        </w:rPr>
        <w:t xml:space="preserve"> </w:t>
      </w:r>
      <w:r w:rsidRPr="00834D52">
        <w:rPr>
          <w:rFonts w:ascii="Sylfaen" w:hAnsi="Sylfaen"/>
          <w:sz w:val="24"/>
          <w:szCs w:val="24"/>
        </w:rPr>
        <w:t>լիազորված մարմինների կողմից սահմանված կարգով անմիջապես բժշկական կազմակերպություններում պատրաստված ռադիոդեղագործական դեղապատրաստուկները.</w:t>
      </w:r>
    </w:p>
    <w:p w14:paraId="634B46C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Միության մաքսային տարածքում իրացման համար չնախատեսված դեղապատրաստուկները.</w:t>
      </w:r>
    </w:p>
    <w:p w14:paraId="59E73854" w14:textId="77777777" w:rsidR="006F76EB" w:rsidRPr="00E3366C"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է)</w:t>
      </w:r>
      <w:r w:rsidRPr="00834D52">
        <w:rPr>
          <w:rFonts w:ascii="Sylfaen" w:hAnsi="Sylfaen"/>
          <w:sz w:val="24"/>
          <w:szCs w:val="24"/>
        </w:rPr>
        <w:tab/>
        <w:t xml:space="preserve">գրանցման համար նախատեսված դեղապատրաստուկների նմուշները </w:t>
      </w:r>
      <w:r w:rsidR="00C54D75">
        <w:rPr>
          <w:rFonts w:ascii="Sylfaen" w:hAnsi="Sylfaen"/>
          <w:sz w:val="24"/>
          <w:szCs w:val="24"/>
        </w:rPr>
        <w:t>և</w:t>
      </w:r>
      <w:r w:rsidRPr="00834D52">
        <w:rPr>
          <w:rFonts w:ascii="Sylfaen" w:hAnsi="Sylfaen"/>
          <w:sz w:val="24"/>
          <w:szCs w:val="24"/>
        </w:rPr>
        <w:t xml:space="preserve"> ստանդարտ նմուշները</w:t>
      </w:r>
      <w:r w:rsidR="00E90FAF" w:rsidRPr="00E90FAF">
        <w:rPr>
          <w:rFonts w:ascii="Sylfaen" w:hAnsi="Sylfaen"/>
          <w:sz w:val="24"/>
          <w:szCs w:val="24"/>
        </w:rPr>
        <w:t>.</w:t>
      </w:r>
    </w:p>
    <w:p w14:paraId="1668C7E8" w14:textId="1F244C23" w:rsidR="003B3D9A" w:rsidRDefault="003B3D9A" w:rsidP="006F76EB">
      <w:pPr>
        <w:tabs>
          <w:tab w:val="left" w:pos="1134"/>
        </w:tabs>
        <w:spacing w:after="160" w:line="384" w:lineRule="auto"/>
        <w:ind w:right="-6" w:firstLine="567"/>
        <w:jc w:val="both"/>
        <w:rPr>
          <w:rFonts w:ascii="Sylfaen" w:hAnsi="Sylfaen"/>
          <w:sz w:val="24"/>
          <w:szCs w:val="24"/>
        </w:rPr>
      </w:pPr>
      <w:r>
        <w:rPr>
          <w:rFonts w:ascii="Sylfaen" w:hAnsi="Sylfaen"/>
          <w:sz w:val="24"/>
          <w:szCs w:val="24"/>
        </w:rPr>
        <w:t>ը</w:t>
      </w:r>
      <w:r w:rsidR="00E90FAF" w:rsidRPr="00E90FAF">
        <w:rPr>
          <w:rFonts w:ascii="Sylfaen" w:hAnsi="Sylfaen"/>
          <w:sz w:val="24"/>
          <w:szCs w:val="24"/>
        </w:rPr>
        <w:t>)</w:t>
      </w:r>
      <w:r w:rsidR="002056E6" w:rsidRPr="00F06D43">
        <w:rPr>
          <w:rFonts w:ascii="Sylfaen" w:hAnsi="Sylfaen"/>
          <w:sz w:val="24"/>
          <w:szCs w:val="24"/>
        </w:rPr>
        <w:tab/>
      </w:r>
      <w:r w:rsidR="00E3366C">
        <w:rPr>
          <w:rFonts w:ascii="Sylfaen" w:hAnsi="Sylfaen"/>
          <w:sz w:val="24"/>
          <w:szCs w:val="24"/>
        </w:rPr>
        <w:t>որպես ցուցանմուշ կիրառման համար նախատեսված դեղապատրաստո</w:t>
      </w:r>
      <w:r w:rsidR="00C95283">
        <w:rPr>
          <w:rFonts w:ascii="Sylfaen" w:hAnsi="Sylfaen"/>
          <w:sz w:val="24"/>
          <w:szCs w:val="24"/>
        </w:rPr>
        <w:t>ւ</w:t>
      </w:r>
      <w:r w:rsidR="00E3366C">
        <w:rPr>
          <w:rFonts w:ascii="Sylfaen" w:hAnsi="Sylfaen"/>
          <w:sz w:val="24"/>
          <w:szCs w:val="24"/>
        </w:rPr>
        <w:t>կները:</w:t>
      </w:r>
    </w:p>
    <w:p w14:paraId="4E89A425" w14:textId="7D3793E7" w:rsidR="00DE6349" w:rsidRDefault="00DE6349" w:rsidP="00DE6349">
      <w:pPr>
        <w:rPr>
          <w:b/>
          <w:bCs/>
          <w:i/>
          <w:iCs/>
        </w:rPr>
      </w:pPr>
      <w:r w:rsidRPr="00CD4709">
        <w:rPr>
          <w:b/>
          <w:bCs/>
          <w:i/>
          <w:iCs/>
        </w:rPr>
        <w:t>(</w:t>
      </w:r>
      <w:r>
        <w:rPr>
          <w:b/>
          <w:bCs/>
          <w:i/>
          <w:iCs/>
        </w:rPr>
        <w:t>5-րդ կետը լրաց</w:t>
      </w:r>
      <w:r w:rsidRPr="00CD4709">
        <w:rPr>
          <w:b/>
          <w:bCs/>
          <w:i/>
          <w:iCs/>
        </w:rPr>
        <w:t xml:space="preserve">. </w:t>
      </w:r>
      <w:r>
        <w:rPr>
          <w:b/>
          <w:bCs/>
          <w:i/>
          <w:iCs/>
        </w:rPr>
        <w:t xml:space="preserve">17.03.22 </w:t>
      </w:r>
      <w:r w:rsidRPr="00CD4709">
        <w:rPr>
          <w:b/>
          <w:bCs/>
          <w:i/>
          <w:iCs/>
        </w:rPr>
        <w:t xml:space="preserve"> թիվ</w:t>
      </w:r>
      <w:r>
        <w:rPr>
          <w:b/>
          <w:bCs/>
          <w:i/>
          <w:iCs/>
        </w:rPr>
        <w:t xml:space="preserve"> 36</w:t>
      </w:r>
      <w:r w:rsidRPr="00CD4709">
        <w:rPr>
          <w:b/>
          <w:bCs/>
          <w:i/>
          <w:iCs/>
        </w:rPr>
        <w:t>)</w:t>
      </w:r>
    </w:p>
    <w:p w14:paraId="03601052" w14:textId="414E99E8" w:rsidR="008F2A1F" w:rsidRPr="00F81F77" w:rsidRDefault="008F2A1F" w:rsidP="008F2A1F">
      <w:pPr>
        <w:spacing w:after="0" w:line="480" w:lineRule="auto"/>
        <w:ind w:firstLine="375"/>
        <w:rPr>
          <w:rFonts w:ascii="Arial Unicode" w:eastAsia="Times New Roman" w:hAnsi="Arial Unicode" w:cs="Times New Roman"/>
          <w:sz w:val="21"/>
          <w:szCs w:val="21"/>
        </w:rPr>
      </w:pPr>
      <w:r w:rsidRPr="00F81F77">
        <w:rPr>
          <w:rFonts w:ascii="Arial Unicode" w:eastAsia="Times New Roman" w:hAnsi="Arial Unicode" w:cs="Times New Roman"/>
          <w:sz w:val="21"/>
          <w:szCs w:val="21"/>
        </w:rPr>
        <w:t>5</w:t>
      </w:r>
      <w:r w:rsidRPr="008F2A1F">
        <w:rPr>
          <w:rFonts w:eastAsia="Times New Roman" w:cs="Times New Roman"/>
          <w:sz w:val="21"/>
          <w:szCs w:val="21"/>
          <w:vertAlign w:val="superscript"/>
        </w:rPr>
        <w:t>1</w:t>
      </w:r>
      <w:r>
        <w:rPr>
          <w:rFonts w:eastAsia="Times New Roman" w:cs="Times New Roman"/>
          <w:sz w:val="21"/>
          <w:szCs w:val="21"/>
          <w:vertAlign w:val="superscript"/>
        </w:rPr>
        <w:t>.</w:t>
      </w:r>
      <w:r w:rsidRPr="00F81F77">
        <w:rPr>
          <w:rFonts w:ascii="Arial Unicode" w:eastAsia="Times New Roman" w:hAnsi="Arial Unicode" w:cs="Times New Roman"/>
          <w:sz w:val="21"/>
          <w:szCs w:val="21"/>
        </w:rPr>
        <w:t xml:space="preserve"> Անդամ պետությունների օրենսդրությամբ նախատեսված դեպքերում և կարգով թույլատրվում է պացիենտներին չգրանցված դեղապատրաստուկների տրամադրումը և </w:t>
      </w:r>
      <w:r w:rsidRPr="00F81F77">
        <w:rPr>
          <w:rFonts w:ascii="Arial Unicode" w:eastAsia="Times New Roman" w:hAnsi="Arial Unicode" w:cs="Times New Roman"/>
          <w:sz w:val="21"/>
          <w:szCs w:val="21"/>
        </w:rPr>
        <w:lastRenderedPageBreak/>
        <w:t>դրանց շրջանում այդ դեղապատրաստուկների կիրառումը: Այդպիսի դեղապատրաստուկներին են դասվում նաև՝</w:t>
      </w:r>
    </w:p>
    <w:p w14:paraId="175ED06A" w14:textId="77777777" w:rsidR="008F2A1F" w:rsidRPr="00F81F77" w:rsidRDefault="008F2A1F" w:rsidP="008F2A1F">
      <w:pPr>
        <w:spacing w:after="0" w:line="480" w:lineRule="auto"/>
        <w:ind w:firstLine="375"/>
        <w:rPr>
          <w:rFonts w:ascii="Arial Unicode" w:eastAsia="Times New Roman" w:hAnsi="Arial Unicode" w:cs="Times New Roman"/>
          <w:sz w:val="21"/>
          <w:szCs w:val="21"/>
        </w:rPr>
      </w:pPr>
      <w:r w:rsidRPr="00F81F77">
        <w:rPr>
          <w:rFonts w:ascii="Arial Unicode" w:eastAsia="Times New Roman" w:hAnsi="Arial Unicode" w:cs="Times New Roman"/>
          <w:sz w:val="21"/>
          <w:szCs w:val="21"/>
        </w:rPr>
        <w:t>անդամ պետության լիազորված մարմնի տված եզրակացության (թույլատրական փաստաթղթի) հիման վրա՝ կոնկրետ պացիենտին կյանքի ցուցումներով բուժօգնություն ցուցաբերելու համար կամ հազվադեպ և (կամ) առանձնակի ծանր պաթոլոգիայով պացիենտների սահմանափակ խմբին բուժօգնություն ցուցաբերելու համար անդամ պետություններ ներմուծվող դեղապատրաստուկներ.</w:t>
      </w:r>
    </w:p>
    <w:p w14:paraId="2B6E35F2" w14:textId="77777777" w:rsidR="008F2A1F" w:rsidRPr="00F81F77" w:rsidRDefault="008F2A1F" w:rsidP="008F2A1F">
      <w:pPr>
        <w:spacing w:after="0" w:line="480" w:lineRule="auto"/>
        <w:ind w:firstLine="375"/>
        <w:rPr>
          <w:rFonts w:ascii="Arial Unicode" w:eastAsia="Times New Roman" w:hAnsi="Arial Unicode" w:cs="Times New Roman"/>
          <w:sz w:val="21"/>
          <w:szCs w:val="21"/>
        </w:rPr>
      </w:pPr>
      <w:r w:rsidRPr="00F81F77">
        <w:rPr>
          <w:rFonts w:ascii="Arial Unicode" w:eastAsia="Times New Roman" w:hAnsi="Arial Unicode" w:cs="Times New Roman"/>
          <w:sz w:val="21"/>
          <w:szCs w:val="21"/>
        </w:rPr>
        <w:t>ոչ ստանդարտացված (ոչ ռուտինային) հիմքով պատրաստվող և առանձին պացիենտի համար հատուկ արտադրված դեղապատրաստուկի անհատական բժշկական նշանակության կատարման նպատակով ստացիոնարում՝ նույն անդամ պետության տարածքում կիրառվող բարձր տեխնոլոգիական դեղապատրաստուկներ:</w:t>
      </w:r>
    </w:p>
    <w:p w14:paraId="3E184AAC" w14:textId="56DD813C" w:rsidR="008F2A1F" w:rsidRDefault="008F2A1F" w:rsidP="008F2A1F">
      <w:pPr>
        <w:spacing w:line="480" w:lineRule="auto"/>
        <w:rPr>
          <w:rFonts w:eastAsia="Times New Roman" w:cs="Times New Roman"/>
          <w:sz w:val="21"/>
          <w:szCs w:val="21"/>
        </w:rPr>
      </w:pPr>
      <w:r w:rsidRPr="00F81F77">
        <w:rPr>
          <w:rFonts w:ascii="Arial Unicode" w:eastAsia="Times New Roman" w:hAnsi="Arial Unicode" w:cs="Times New Roman"/>
          <w:sz w:val="21"/>
          <w:szCs w:val="21"/>
        </w:rPr>
        <w:t>Նման բարձր տեխնոլոգիական դեղապատրաստուկների արտադրությունը թույլատրվում է անդամ պետության լիազորված մարմնի կողմից: Անդամ պետությունները, Միության մարմինների ակտերին համապատասխան, պարտավոր են ապահովել անդամ պետությունների օրենսդրությամբ սահմանված դեղապատրաստուկների սերիաների և խմբաքանակների հետագծելիությանը և դեղազգոնությանը ներկայացվող պահանջների համարժեքությունը</w:t>
      </w:r>
      <w:r>
        <w:rPr>
          <w:rFonts w:eastAsia="Times New Roman" w:cs="Times New Roman"/>
          <w:sz w:val="21"/>
          <w:szCs w:val="21"/>
        </w:rPr>
        <w:t>:</w:t>
      </w:r>
    </w:p>
    <w:p w14:paraId="0AB3CC2B" w14:textId="2B2F0144" w:rsidR="008F2A1F" w:rsidRPr="008F2A1F" w:rsidRDefault="008F2A1F" w:rsidP="008F2A1F">
      <w:pPr>
        <w:rPr>
          <w:b/>
          <w:bCs/>
          <w:i/>
          <w:iCs/>
        </w:rPr>
      </w:pPr>
      <w:r w:rsidRPr="00CD4709">
        <w:rPr>
          <w:b/>
          <w:bCs/>
          <w:i/>
          <w:iCs/>
        </w:rPr>
        <w:t>(</w:t>
      </w:r>
      <w:r w:rsidRPr="008F2A1F">
        <w:rPr>
          <w:b/>
          <w:bCs/>
          <w:i/>
          <w:iCs/>
        </w:rPr>
        <w:t>5</w:t>
      </w:r>
      <w:r w:rsidRPr="008F2A1F">
        <w:rPr>
          <w:b/>
          <w:bCs/>
          <w:i/>
          <w:iCs/>
          <w:vertAlign w:val="superscript"/>
        </w:rPr>
        <w:t>1</w:t>
      </w:r>
      <w:r>
        <w:rPr>
          <w:vertAlign w:val="superscript"/>
        </w:rPr>
        <w:t>-</w:t>
      </w:r>
      <w:r w:rsidRPr="008F2A1F">
        <w:rPr>
          <w:b/>
          <w:bCs/>
          <w:i/>
          <w:iCs/>
        </w:rPr>
        <w:t>ին</w:t>
      </w:r>
      <w:r>
        <w:rPr>
          <w:b/>
          <w:bCs/>
          <w:i/>
          <w:iCs/>
        </w:rPr>
        <w:t xml:space="preserve"> կետը լրաց</w:t>
      </w:r>
      <w:r w:rsidRPr="00CD4709">
        <w:rPr>
          <w:b/>
          <w:bCs/>
          <w:i/>
          <w:iCs/>
        </w:rPr>
        <w:t xml:space="preserve">. </w:t>
      </w:r>
      <w:r>
        <w:rPr>
          <w:b/>
          <w:bCs/>
          <w:i/>
          <w:iCs/>
        </w:rPr>
        <w:t xml:space="preserve">17.03.22 </w:t>
      </w:r>
      <w:r w:rsidRPr="00CD4709">
        <w:rPr>
          <w:b/>
          <w:bCs/>
          <w:i/>
          <w:iCs/>
        </w:rPr>
        <w:t xml:space="preserve"> թիվ</w:t>
      </w:r>
      <w:r>
        <w:rPr>
          <w:b/>
          <w:bCs/>
          <w:i/>
          <w:iCs/>
        </w:rPr>
        <w:t xml:space="preserve"> 36</w:t>
      </w:r>
      <w:r w:rsidRPr="00CD4709">
        <w:rPr>
          <w:b/>
          <w:bCs/>
          <w:i/>
          <w:iCs/>
        </w:rPr>
        <w:t>)</w:t>
      </w:r>
    </w:p>
    <w:p w14:paraId="4CC9DD82" w14:textId="77777777" w:rsidR="006F76EB" w:rsidRPr="00E73242" w:rsidRDefault="006F76EB" w:rsidP="008F2A1F">
      <w:pPr>
        <w:tabs>
          <w:tab w:val="left" w:pos="1134"/>
        </w:tabs>
        <w:spacing w:after="160" w:line="480" w:lineRule="auto"/>
        <w:ind w:right="-6" w:firstLine="567"/>
        <w:jc w:val="both"/>
        <w:rPr>
          <w:rFonts w:ascii="Sylfaen" w:eastAsia="Times New Roman" w:hAnsi="Sylfaen" w:cs="Times New Roman"/>
          <w:spacing w:val="-4"/>
          <w:sz w:val="24"/>
          <w:szCs w:val="24"/>
        </w:rPr>
      </w:pPr>
      <w:r w:rsidRPr="00E73242">
        <w:rPr>
          <w:rFonts w:ascii="Sylfaen" w:hAnsi="Sylfaen"/>
          <w:spacing w:val="-4"/>
          <w:sz w:val="24"/>
          <w:szCs w:val="24"/>
        </w:rPr>
        <w:t>6.</w:t>
      </w:r>
      <w:r w:rsidRPr="00E73242">
        <w:rPr>
          <w:rFonts w:ascii="Sylfaen" w:hAnsi="Sylfaen"/>
          <w:spacing w:val="-4"/>
          <w:sz w:val="24"/>
          <w:szCs w:val="24"/>
        </w:rPr>
        <w:tab/>
        <w:t xml:space="preserve">Դեղապատրաստուկը բոլոր կամ մի քանի անդամ պետությունների տարածքներում անդամ պետությունների օրենսդրությանը համապատասխան «որբ» ճանաչվելու դեպքում այդ դեղապատրաստուկի գրանցումն իրականացվում է սույն Կանոնների V </w:t>
      </w:r>
      <w:r w:rsidR="00C54D75">
        <w:rPr>
          <w:rFonts w:ascii="Sylfaen" w:hAnsi="Sylfaen"/>
          <w:spacing w:val="-4"/>
          <w:sz w:val="24"/>
          <w:szCs w:val="24"/>
        </w:rPr>
        <w:t>և</w:t>
      </w:r>
      <w:r w:rsidRPr="00E73242">
        <w:rPr>
          <w:rFonts w:ascii="Sylfaen" w:hAnsi="Sylfaen"/>
          <w:spacing w:val="-4"/>
          <w:sz w:val="24"/>
          <w:szCs w:val="24"/>
        </w:rPr>
        <w:t xml:space="preserve"> VII բաժիններին կամ VI </w:t>
      </w:r>
      <w:r w:rsidR="00C54D75">
        <w:rPr>
          <w:rFonts w:ascii="Sylfaen" w:hAnsi="Sylfaen"/>
          <w:spacing w:val="-4"/>
          <w:sz w:val="24"/>
          <w:szCs w:val="24"/>
        </w:rPr>
        <w:t>և</w:t>
      </w:r>
      <w:r w:rsidRPr="00E73242">
        <w:rPr>
          <w:rFonts w:ascii="Sylfaen" w:hAnsi="Sylfaen"/>
          <w:spacing w:val="-4"/>
          <w:sz w:val="24"/>
          <w:szCs w:val="24"/>
        </w:rPr>
        <w:t xml:space="preserve"> VII բաժիններին համապատասխան, ինչպես նա</w:t>
      </w:r>
      <w:r w:rsidR="00C54D75">
        <w:rPr>
          <w:rFonts w:ascii="Sylfaen" w:hAnsi="Sylfaen"/>
          <w:spacing w:val="-4"/>
          <w:sz w:val="24"/>
          <w:szCs w:val="24"/>
        </w:rPr>
        <w:t>և</w:t>
      </w:r>
      <w:r w:rsidRPr="00E73242">
        <w:rPr>
          <w:rFonts w:ascii="Sylfaen" w:hAnsi="Sylfaen"/>
          <w:spacing w:val="-4"/>
          <w:sz w:val="24"/>
          <w:szCs w:val="24"/>
        </w:rPr>
        <w:t xml:space="preserve"> սույն Կանոնների թիվ 1 հավելվածի III մասի 16-րդ բաժնի պահանջներին համապատասխան:</w:t>
      </w:r>
    </w:p>
    <w:p w14:paraId="77438FFA" w14:textId="372E41DA"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Դեղապատրաստուկը որ</w:t>
      </w:r>
      <w:r w:rsidR="00C54D75">
        <w:rPr>
          <w:rFonts w:ascii="Sylfaen" w:hAnsi="Sylfaen"/>
          <w:sz w:val="24"/>
          <w:szCs w:val="24"/>
        </w:rPr>
        <w:t>և</w:t>
      </w:r>
      <w:r w:rsidRPr="00834D52">
        <w:rPr>
          <w:rFonts w:ascii="Sylfaen" w:hAnsi="Sylfaen"/>
          <w:sz w:val="24"/>
          <w:szCs w:val="24"/>
        </w:rPr>
        <w:t xml:space="preserve">է անդամ պետության տարածքում այդ պետության օրենսդրությանը համապատասխան «որբ» չճանաչվելու դեպքում այդ </w:t>
      </w:r>
      <w:r w:rsidRPr="00834D52">
        <w:rPr>
          <w:rFonts w:ascii="Sylfaen" w:hAnsi="Sylfaen"/>
          <w:sz w:val="24"/>
          <w:szCs w:val="24"/>
        </w:rPr>
        <w:lastRenderedPageBreak/>
        <w:t xml:space="preserve">դեղապատրաստուկի գրանցումն իրականացվում է այդ պետությունում սույն Կանոնների V բաժնի I ենթաբաժնի </w:t>
      </w:r>
      <w:r w:rsidR="00C54D75">
        <w:rPr>
          <w:rFonts w:ascii="Sylfaen" w:hAnsi="Sylfaen"/>
          <w:sz w:val="24"/>
          <w:szCs w:val="24"/>
        </w:rPr>
        <w:t>և</w:t>
      </w:r>
      <w:r w:rsidRPr="00834D52">
        <w:rPr>
          <w:rFonts w:ascii="Sylfaen" w:hAnsi="Sylfaen"/>
          <w:sz w:val="24"/>
          <w:szCs w:val="24"/>
        </w:rPr>
        <w:t xml:space="preserve"> սույն Կանոնների թիվ 1 հավելվածի պահանջներին համապատասխան:</w:t>
      </w:r>
    </w:p>
    <w:p w14:paraId="04A11C1E" w14:textId="7F8A83DE" w:rsidR="008F2A1F" w:rsidRDefault="008F2A1F" w:rsidP="006F76EB">
      <w:pPr>
        <w:tabs>
          <w:tab w:val="left" w:pos="1134"/>
        </w:tabs>
        <w:spacing w:after="160" w:line="384" w:lineRule="auto"/>
        <w:ind w:right="-6" w:firstLine="567"/>
        <w:jc w:val="both"/>
        <w:rPr>
          <w:rFonts w:ascii="Sylfaen" w:eastAsia="Times New Roman" w:hAnsi="Sylfaen" w:cs="Times New Roman"/>
          <w:sz w:val="24"/>
          <w:szCs w:val="24"/>
        </w:rPr>
      </w:pPr>
      <w:r w:rsidRPr="008F2A1F">
        <w:rPr>
          <w:rFonts w:ascii="Sylfaen" w:eastAsia="Times New Roman" w:hAnsi="Sylfaen" w:cs="Times New Roman"/>
          <w:sz w:val="24"/>
          <w:szCs w:val="24"/>
        </w:rPr>
        <w:t>Այն դեպքում, երբ դեղապատրաստուկը նախատեսված է առանձին անդամ պետության օրենսդրությանը համապատասխան վարվող ցանկերում ներառված օրֆանային հիվանդության բուժման համար, միայն այդ պետության շուկայում դեղապատրաստուկի շրջանառության նպատակով սույն կանոններին համապատասխան ռեֆերենտ պետությունում այդպիսի դեղապատրաստուկի գրանցումը (գրանցման ազգային ընթացակարգը) իրականացվում է սույն կանոնների V և VII բաժիններին կամ VI և VII բաժիններին համապատասխան, ինչպես նաև սույն կանոնների թիվ 1 հավելվածի III մասի 16-րդ բաժնի դրույթներին համապատասխան</w:t>
      </w:r>
      <w:r>
        <w:rPr>
          <w:rFonts w:ascii="Sylfaen" w:eastAsia="Times New Roman" w:hAnsi="Sylfaen" w:cs="Times New Roman"/>
          <w:sz w:val="24"/>
          <w:szCs w:val="24"/>
        </w:rPr>
        <w:t>:</w:t>
      </w:r>
    </w:p>
    <w:p w14:paraId="7FF1E49D" w14:textId="255AEA16" w:rsidR="008F2A1F" w:rsidRPr="008F2A1F" w:rsidRDefault="008F2A1F" w:rsidP="008F2A1F">
      <w:pPr>
        <w:rPr>
          <w:b/>
          <w:bCs/>
          <w:i/>
          <w:iCs/>
        </w:rPr>
      </w:pPr>
      <w:r w:rsidRPr="00CD4709">
        <w:rPr>
          <w:b/>
          <w:bCs/>
          <w:i/>
          <w:iCs/>
        </w:rPr>
        <w:t>(</w:t>
      </w:r>
      <w:r>
        <w:rPr>
          <w:b/>
          <w:bCs/>
          <w:i/>
          <w:iCs/>
        </w:rPr>
        <w:t>6-րդ կետը լրաց</w:t>
      </w:r>
      <w:r w:rsidRPr="00CD4709">
        <w:rPr>
          <w:b/>
          <w:bCs/>
          <w:i/>
          <w:iCs/>
        </w:rPr>
        <w:t xml:space="preserve">. </w:t>
      </w:r>
      <w:r>
        <w:rPr>
          <w:b/>
          <w:bCs/>
          <w:i/>
          <w:iCs/>
        </w:rPr>
        <w:t xml:space="preserve">17.03.22 </w:t>
      </w:r>
      <w:r w:rsidRPr="00CD4709">
        <w:rPr>
          <w:b/>
          <w:bCs/>
          <w:i/>
          <w:iCs/>
        </w:rPr>
        <w:t xml:space="preserve"> թիվ</w:t>
      </w:r>
      <w:r>
        <w:rPr>
          <w:b/>
          <w:bCs/>
          <w:i/>
          <w:iCs/>
        </w:rPr>
        <w:t xml:space="preserve"> 36</w:t>
      </w:r>
      <w:r w:rsidRPr="00CD4709">
        <w:rPr>
          <w:b/>
          <w:bCs/>
          <w:i/>
          <w:iCs/>
        </w:rPr>
        <w:t>)</w:t>
      </w:r>
    </w:p>
    <w:p w14:paraId="75F75C28"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7.</w:t>
      </w:r>
      <w:r w:rsidRPr="00834D52">
        <w:rPr>
          <w:rFonts w:ascii="Sylfaen" w:hAnsi="Sylfaen"/>
          <w:sz w:val="24"/>
          <w:szCs w:val="24"/>
        </w:rPr>
        <w:tab/>
        <w:t>Արգելվում է ազդող նյութերի տարբեր որակական բաղադրություն ունեցող դեղապատրաստուկների գրանցումը մի</w:t>
      </w:r>
      <w:r w:rsidR="00C54D75">
        <w:rPr>
          <w:rFonts w:ascii="Sylfaen" w:hAnsi="Sylfaen"/>
          <w:sz w:val="24"/>
          <w:szCs w:val="24"/>
        </w:rPr>
        <w:t>և</w:t>
      </w:r>
      <w:r w:rsidRPr="00834D52">
        <w:rPr>
          <w:rFonts w:ascii="Sylfaen" w:hAnsi="Sylfaen"/>
          <w:sz w:val="24"/>
          <w:szCs w:val="24"/>
        </w:rPr>
        <w:t>նույն առ</w:t>
      </w:r>
      <w:r w:rsidR="00C54D75">
        <w:rPr>
          <w:rFonts w:ascii="Sylfaen" w:hAnsi="Sylfaen"/>
          <w:sz w:val="24"/>
          <w:szCs w:val="24"/>
        </w:rPr>
        <w:t>և</w:t>
      </w:r>
      <w:r w:rsidRPr="00834D52">
        <w:rPr>
          <w:rFonts w:ascii="Sylfaen" w:hAnsi="Sylfaen"/>
          <w:sz w:val="24"/>
          <w:szCs w:val="24"/>
        </w:rPr>
        <w:t>տրային անվան տակ:</w:t>
      </w:r>
    </w:p>
    <w:p w14:paraId="2D9771E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w:t>
      </w:r>
      <w:r w:rsidRPr="00834D52">
        <w:rPr>
          <w:rFonts w:ascii="Sylfaen" w:hAnsi="Sylfaen"/>
          <w:sz w:val="24"/>
          <w:szCs w:val="24"/>
        </w:rPr>
        <w:tab/>
        <w:t>Տարբեր առ</w:t>
      </w:r>
      <w:r w:rsidR="00C54D75">
        <w:rPr>
          <w:rFonts w:ascii="Sylfaen" w:hAnsi="Sylfaen"/>
          <w:sz w:val="24"/>
          <w:szCs w:val="24"/>
        </w:rPr>
        <w:t>և</w:t>
      </w:r>
      <w:r w:rsidRPr="00834D52">
        <w:rPr>
          <w:rFonts w:ascii="Sylfaen" w:hAnsi="Sylfaen"/>
          <w:sz w:val="24"/>
          <w:szCs w:val="24"/>
        </w:rPr>
        <w:t>տրային անվանումներով մի</w:t>
      </w:r>
      <w:r w:rsidR="00C54D75">
        <w:rPr>
          <w:rFonts w:ascii="Sylfaen" w:hAnsi="Sylfaen"/>
          <w:sz w:val="24"/>
          <w:szCs w:val="24"/>
        </w:rPr>
        <w:t>և</w:t>
      </w:r>
      <w:r w:rsidRPr="00834D52">
        <w:rPr>
          <w:rFonts w:ascii="Sylfaen" w:hAnsi="Sylfaen"/>
          <w:sz w:val="24"/>
          <w:szCs w:val="24"/>
        </w:rPr>
        <w:t>նույն դեղապատրաստուկի գրանցումը տարբեր անդամ պետություններում թույլատրվում է հետ</w:t>
      </w:r>
      <w:r w:rsidR="00C54D75">
        <w:rPr>
          <w:rFonts w:ascii="Sylfaen" w:hAnsi="Sylfaen"/>
          <w:sz w:val="24"/>
          <w:szCs w:val="24"/>
        </w:rPr>
        <w:t>և</w:t>
      </w:r>
      <w:r w:rsidRPr="00834D52">
        <w:rPr>
          <w:rFonts w:ascii="Sylfaen" w:hAnsi="Sylfaen"/>
          <w:sz w:val="24"/>
          <w:szCs w:val="24"/>
        </w:rPr>
        <w:t>յալ դեպքերում՝</w:t>
      </w:r>
    </w:p>
    <w:p w14:paraId="25FA73A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առաջարկվող առ</w:t>
      </w:r>
      <w:r w:rsidR="00C54D75">
        <w:rPr>
          <w:rFonts w:ascii="Sylfaen" w:hAnsi="Sylfaen"/>
          <w:sz w:val="24"/>
          <w:szCs w:val="24"/>
        </w:rPr>
        <w:t>և</w:t>
      </w:r>
      <w:r w:rsidRPr="00834D52">
        <w:rPr>
          <w:rFonts w:ascii="Sylfaen" w:hAnsi="Sylfaen"/>
          <w:sz w:val="24"/>
          <w:szCs w:val="24"/>
        </w:rPr>
        <w:t xml:space="preserve">տրային անվանման օգտագործումը կարող է հակասել իրավունքի </w:t>
      </w:r>
      <w:r w:rsidR="00C54D75">
        <w:rPr>
          <w:rFonts w:ascii="Sylfaen" w:hAnsi="Sylfaen"/>
          <w:sz w:val="24"/>
          <w:szCs w:val="24"/>
        </w:rPr>
        <w:t>և</w:t>
      </w:r>
      <w:r w:rsidRPr="00834D52">
        <w:rPr>
          <w:rFonts w:ascii="Sylfaen" w:hAnsi="Sylfaen"/>
          <w:sz w:val="24"/>
          <w:szCs w:val="24"/>
        </w:rPr>
        <w:t xml:space="preserve"> բարոյականության նորմերին կամ այլ կերպ անտեսել ազգային մշակութային </w:t>
      </w:r>
      <w:r w:rsidR="00C54D75">
        <w:rPr>
          <w:rFonts w:ascii="Sylfaen" w:hAnsi="Sylfaen"/>
          <w:sz w:val="24"/>
          <w:szCs w:val="24"/>
        </w:rPr>
        <w:t>և</w:t>
      </w:r>
      <w:r w:rsidRPr="00834D52">
        <w:rPr>
          <w:rFonts w:ascii="Sylfaen" w:hAnsi="Sylfaen"/>
          <w:sz w:val="24"/>
          <w:szCs w:val="24"/>
        </w:rPr>
        <w:t xml:space="preserve"> (կամ) լեզվական առանձնահատկությունները.</w:t>
      </w:r>
    </w:p>
    <w:p w14:paraId="1432BBDC" w14:textId="53071128"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ապրանքային նշանի տեսքով առ</w:t>
      </w:r>
      <w:r w:rsidR="00C54D75">
        <w:rPr>
          <w:rFonts w:ascii="Sylfaen" w:hAnsi="Sylfaen"/>
          <w:sz w:val="24"/>
          <w:szCs w:val="24"/>
        </w:rPr>
        <w:t>և</w:t>
      </w:r>
      <w:r w:rsidRPr="00834D52">
        <w:rPr>
          <w:rFonts w:ascii="Sylfaen" w:hAnsi="Sylfaen"/>
          <w:sz w:val="24"/>
          <w:szCs w:val="24"/>
        </w:rPr>
        <w:t xml:space="preserve">տրային անվանման նկատմամբ մտավոր սեփականության իրավունքները պատկանում են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ներկայացրած անձից (այսուհետ՝ </w:t>
      </w:r>
      <w:r w:rsidR="0056496B">
        <w:rPr>
          <w:rFonts w:ascii="Sylfaen" w:hAnsi="Sylfaen"/>
          <w:sz w:val="24"/>
          <w:szCs w:val="24"/>
        </w:rPr>
        <w:t>դիմումատու</w:t>
      </w:r>
      <w:r w:rsidRPr="00834D52">
        <w:rPr>
          <w:rFonts w:ascii="Sylfaen" w:hAnsi="Sylfaen"/>
          <w:sz w:val="24"/>
          <w:szCs w:val="24"/>
        </w:rPr>
        <w:t xml:space="preserve">) կամ գրանցման հավաստագրի իրավատիրոջից տարբեր անձի,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ն կամ գրանցման հավաստագրի իրավատերը չի կարող ներկայացնել համապատասխան լիցենզային պայմանագիր՝ ապրանքային նշանի օգտագործման իրավունք տրամադրելու </w:t>
      </w:r>
      <w:r w:rsidRPr="00834D52">
        <w:rPr>
          <w:rFonts w:ascii="Sylfaen" w:hAnsi="Sylfaen"/>
          <w:sz w:val="24"/>
          <w:szCs w:val="24"/>
        </w:rPr>
        <w:lastRenderedPageBreak/>
        <w:t>մասին.</w:t>
      </w:r>
    </w:p>
    <w:p w14:paraId="795DAEA0" w14:textId="6993FF7F"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գ)</w:t>
      </w:r>
      <w:r w:rsidR="002056E6" w:rsidRPr="00F06D43">
        <w:rPr>
          <w:rFonts w:ascii="Sylfaen" w:hAnsi="Sylfaen"/>
          <w:sz w:val="24"/>
          <w:szCs w:val="24"/>
        </w:rPr>
        <w:tab/>
      </w:r>
      <w:r w:rsidRPr="00834D52">
        <w:rPr>
          <w:rFonts w:ascii="Sylfaen" w:hAnsi="Sylfaen"/>
          <w:sz w:val="24"/>
          <w:szCs w:val="24"/>
        </w:rPr>
        <w:t>մինչ</w:t>
      </w:r>
      <w:r w:rsidR="00C54D75">
        <w:rPr>
          <w:rFonts w:ascii="Sylfaen" w:hAnsi="Sylfaen"/>
          <w:sz w:val="24"/>
          <w:szCs w:val="24"/>
        </w:rPr>
        <w:t>և</w:t>
      </w:r>
      <w:r w:rsidRPr="00834D52">
        <w:rPr>
          <w:rFonts w:ascii="Sylfaen" w:hAnsi="Sylfaen"/>
          <w:sz w:val="24"/>
          <w:szCs w:val="24"/>
        </w:rPr>
        <w:t xml:space="preserve"> 2020 թվականի դեկտեմբերի 31-ը դեղապատրաստուկը, անդամ պետությունների օրենսդրությանը համապատասխան, գրանցված է եղել տարբեր առ</w:t>
      </w:r>
      <w:r w:rsidR="00C54D75">
        <w:rPr>
          <w:rFonts w:ascii="Sylfaen" w:hAnsi="Sylfaen"/>
          <w:sz w:val="24"/>
          <w:szCs w:val="24"/>
        </w:rPr>
        <w:t>և</w:t>
      </w:r>
      <w:r w:rsidRPr="00834D52">
        <w:rPr>
          <w:rFonts w:ascii="Sylfaen" w:hAnsi="Sylfaen"/>
          <w:sz w:val="24"/>
          <w:szCs w:val="24"/>
        </w:rPr>
        <w:t xml:space="preserve">տրային անվանումների ներքո: </w:t>
      </w:r>
    </w:p>
    <w:p w14:paraId="6DBD8CD7" w14:textId="70175757" w:rsidR="00F57CF6" w:rsidRPr="006F28F9" w:rsidRDefault="00F57CF6" w:rsidP="00F57CF6">
      <w:pPr>
        <w:rPr>
          <w:b/>
          <w:bCs/>
          <w:i/>
          <w:iCs/>
        </w:rPr>
      </w:pPr>
      <w:r w:rsidRPr="00CD4709">
        <w:rPr>
          <w:b/>
          <w:bCs/>
          <w:i/>
          <w:iCs/>
        </w:rPr>
        <w:t>(</w:t>
      </w:r>
      <w:r>
        <w:rPr>
          <w:b/>
          <w:bCs/>
          <w:i/>
          <w:iCs/>
        </w:rPr>
        <w:t xml:space="preserve">8-րդ կետը </w:t>
      </w:r>
      <w:r w:rsidRPr="00CD4709">
        <w:rPr>
          <w:b/>
          <w:bCs/>
          <w:i/>
          <w:iCs/>
        </w:rPr>
        <w:t>փոփ. 30.01.20 թիվ 9)</w:t>
      </w:r>
    </w:p>
    <w:p w14:paraId="1A0129D0"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9.</w:t>
      </w:r>
      <w:r w:rsidRPr="00834D52">
        <w:rPr>
          <w:rFonts w:ascii="Sylfaen" w:hAnsi="Sylfaen"/>
          <w:sz w:val="24"/>
          <w:szCs w:val="24"/>
        </w:rPr>
        <w:tab/>
        <w:t>Դեղապատրաստուկի գրանցումը, գրանցման հաստատումը (վերագրանցումը), գրանցման դոսյեում փոփոխությունների կատարումը, ինչպես նա</w:t>
      </w:r>
      <w:r w:rsidR="00C54D75">
        <w:rPr>
          <w:rFonts w:ascii="Sylfaen" w:hAnsi="Sylfaen"/>
          <w:sz w:val="24"/>
          <w:szCs w:val="24"/>
        </w:rPr>
        <w:t>և</w:t>
      </w:r>
      <w:r w:rsidRPr="00834D52">
        <w:rPr>
          <w:rFonts w:ascii="Sylfaen" w:hAnsi="Sylfaen"/>
          <w:sz w:val="24"/>
          <w:szCs w:val="24"/>
        </w:rPr>
        <w:t xml:space="preserve"> գրանցման հետ կապված ընթացակարգերն իրականացվում են լիազորված մարմինների կողմից:</w:t>
      </w:r>
    </w:p>
    <w:p w14:paraId="39ADC371"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w:t>
      </w:r>
      <w:r w:rsidRPr="00834D52">
        <w:rPr>
          <w:rFonts w:ascii="Sylfaen" w:hAnsi="Sylfaen"/>
          <w:sz w:val="24"/>
          <w:szCs w:val="24"/>
        </w:rPr>
        <w:tab/>
        <w:t>Դեղապատրաստուկի փորձաքննությունն իրականացվում է անդամ պետության օրենսդրությանը համապատասխան սահմանված փորձագիտական կազմակերպության կողմից:</w:t>
      </w:r>
    </w:p>
    <w:p w14:paraId="5A2F8657"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Լիազորված մարմինները </w:t>
      </w:r>
      <w:r w:rsidR="00C54D75">
        <w:rPr>
          <w:rFonts w:ascii="Sylfaen" w:hAnsi="Sylfaen"/>
          <w:sz w:val="24"/>
          <w:szCs w:val="24"/>
        </w:rPr>
        <w:t>և</w:t>
      </w:r>
      <w:r w:rsidRPr="00834D52">
        <w:rPr>
          <w:rFonts w:ascii="Sylfaen" w:hAnsi="Sylfaen"/>
          <w:sz w:val="24"/>
          <w:szCs w:val="24"/>
        </w:rPr>
        <w:t xml:space="preserve"> փորձագիտական կազմակերպությունները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իրականացման ընթացքում ապահովում են դեղապատրաստուկի գրանցման դոսյեում պարունակվող տեղեկատվության գաղտնիությունը՝ ներառյալ ակտիվ դեղագործական սուբստանցիայի մաստեր-ֆայլի փակ մասում պարունակվող տեղեկատվությունը: </w:t>
      </w:r>
    </w:p>
    <w:p w14:paraId="6C418B9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հանձնաժողովը (այսուհետ՝ Հանձնաժողով) </w:t>
      </w:r>
      <w:r w:rsidR="00C54D75">
        <w:rPr>
          <w:rFonts w:ascii="Sylfaen" w:hAnsi="Sylfaen"/>
          <w:sz w:val="24"/>
          <w:szCs w:val="24"/>
        </w:rPr>
        <w:t>և</w:t>
      </w:r>
      <w:r w:rsidRPr="00834D52">
        <w:rPr>
          <w:rFonts w:ascii="Sylfaen" w:hAnsi="Sylfaen"/>
          <w:sz w:val="24"/>
          <w:szCs w:val="24"/>
        </w:rPr>
        <w:t xml:space="preserve"> Դեղամիջոցների հարցերով փորձագիտական կոմիտեն (այսուհետ՝ Փորձագիտական կոմիտե) ապահովում են իրենց գործունեության ընթացքում ստացված՝ դեղապատրաստուկի գրանցման դոսյեում պարունակվող տեղեկատվության գաղտնիությունը:</w:t>
      </w:r>
    </w:p>
    <w:p w14:paraId="29955E2D" w14:textId="4A7E9380"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անդամ պետության օրենսդրությանը համապատասխան, կրում է դեղապատրաստուկները գրանցելու, գրանցումը հաստատելու (վերագրանցելու), գրանցման դոսյեում փոփոխություններ կատարելու </w:t>
      </w:r>
      <w:r w:rsidR="00C54D75">
        <w:rPr>
          <w:rFonts w:ascii="Sylfaen" w:hAnsi="Sylfaen"/>
          <w:sz w:val="24"/>
          <w:szCs w:val="24"/>
        </w:rPr>
        <w:t>և</w:t>
      </w:r>
      <w:r w:rsidRPr="00834D52">
        <w:rPr>
          <w:rFonts w:ascii="Sylfaen" w:hAnsi="Sylfaen"/>
          <w:sz w:val="24"/>
          <w:szCs w:val="24"/>
        </w:rPr>
        <w:t xml:space="preserve"> փորձաքննության, գրանցման հետ կապված ընթացակարգերի իրականացման </w:t>
      </w:r>
      <w:r w:rsidRPr="00834D52">
        <w:rPr>
          <w:rFonts w:ascii="Sylfaen" w:hAnsi="Sylfaen"/>
          <w:sz w:val="24"/>
          <w:szCs w:val="24"/>
        </w:rPr>
        <w:lastRenderedPageBreak/>
        <w:t>ծախսերը, ինչպես նա</w:t>
      </w:r>
      <w:r w:rsidR="00C54D75">
        <w:rPr>
          <w:rFonts w:ascii="Sylfaen" w:hAnsi="Sylfaen"/>
          <w:sz w:val="24"/>
          <w:szCs w:val="24"/>
        </w:rPr>
        <w:t>և</w:t>
      </w:r>
      <w:r w:rsidRPr="00834D52">
        <w:rPr>
          <w:rFonts w:ascii="Sylfaen" w:hAnsi="Sylfaen"/>
          <w:sz w:val="24"/>
          <w:szCs w:val="24"/>
        </w:rPr>
        <w:t xml:space="preserve"> պատշաճ դեղագործական գործունեության պահանջներին համապատասխանությունը որոշելու նպատակով նշված ընթացակարգերի իրականացման առնչությամբ նախաձեռնվող տեսչական ստուգումների անցկացման ծախսերը:</w:t>
      </w:r>
    </w:p>
    <w:p w14:paraId="74ED68BE" w14:textId="1A2684CC" w:rsidR="00F57CF6" w:rsidRPr="006F28F9" w:rsidRDefault="00F57CF6" w:rsidP="00F57CF6">
      <w:pPr>
        <w:rPr>
          <w:b/>
          <w:bCs/>
          <w:i/>
          <w:iCs/>
        </w:rPr>
      </w:pPr>
      <w:r w:rsidRPr="00CD4709">
        <w:rPr>
          <w:b/>
          <w:bCs/>
          <w:i/>
          <w:iCs/>
        </w:rPr>
        <w:t>(</w:t>
      </w:r>
      <w:r>
        <w:rPr>
          <w:b/>
          <w:bCs/>
          <w:i/>
          <w:iCs/>
        </w:rPr>
        <w:t xml:space="preserve">12-րդ կետը </w:t>
      </w:r>
      <w:r w:rsidRPr="00CD4709">
        <w:rPr>
          <w:b/>
          <w:bCs/>
          <w:i/>
          <w:iCs/>
        </w:rPr>
        <w:t>փոփ. 30.01.20 թիվ 9)</w:t>
      </w:r>
    </w:p>
    <w:p w14:paraId="7862E370" w14:textId="04BC3D32" w:rsidR="0056600F" w:rsidRDefault="0056600F" w:rsidP="0056600F">
      <w:pPr>
        <w:rPr>
          <w:rFonts w:ascii="Sylfaen" w:hAnsi="Sylfaen"/>
          <w:sz w:val="24"/>
          <w:szCs w:val="24"/>
        </w:rPr>
      </w:pPr>
      <w:r w:rsidRPr="0056600F">
        <w:rPr>
          <w:rFonts w:ascii="Sylfaen" w:hAnsi="Sylfaen"/>
          <w:sz w:val="24"/>
          <w:szCs w:val="24"/>
        </w:rPr>
        <w:t xml:space="preserve">13. </w:t>
      </w:r>
      <w:r>
        <w:rPr>
          <w:rFonts w:ascii="Sylfaen" w:hAnsi="Sylfaen"/>
          <w:sz w:val="24"/>
          <w:szCs w:val="24"/>
        </w:rPr>
        <w:t xml:space="preserve">  </w:t>
      </w:r>
      <w:r w:rsidRPr="0056600F">
        <w:rPr>
          <w:rFonts w:ascii="Sylfaen" w:hAnsi="Sylfaen"/>
          <w:sz w:val="24"/>
          <w:szCs w:val="24"/>
        </w:rPr>
        <w:t>Սույն կանոնների 12-րդ կետում նշված ծախսերը հայտատուին չեն</w:t>
      </w:r>
      <w:r>
        <w:rPr>
          <w:rFonts w:ascii="Sylfaen" w:hAnsi="Sylfaen"/>
          <w:sz w:val="24"/>
          <w:szCs w:val="24"/>
        </w:rPr>
        <w:t xml:space="preserve"> </w:t>
      </w:r>
      <w:r w:rsidRPr="0056600F">
        <w:rPr>
          <w:rFonts w:ascii="Sylfaen" w:hAnsi="Sylfaen"/>
          <w:sz w:val="24"/>
          <w:szCs w:val="24"/>
        </w:rPr>
        <w:t>վերադարձվում` բացառությամբ մինչև փորձաքննություն անցկացնելը (փորձաքննություն անցկացնելու հանձնարարություն տալը կամ փորձաքննություն անցկացնելու պայմանագիր կնքելը) հայտատուի կողմից՝ դեղապատրաստուկի գրանցման դոսյեի գրանցման, գրանցման (վերագրանցման) հաստատման, փոփոխությունների կատարման հայտի հետկանչի մասին հայտ ներկայացնելու դեպքերի կամ անդամ պետությունների օրենսդրությամբ նախատեսված այլ դեպքերի</w:t>
      </w:r>
      <w:r>
        <w:rPr>
          <w:rFonts w:ascii="Sylfaen" w:hAnsi="Sylfaen"/>
          <w:sz w:val="24"/>
          <w:szCs w:val="24"/>
        </w:rPr>
        <w:t>:</w:t>
      </w:r>
    </w:p>
    <w:p w14:paraId="5AA57755" w14:textId="6BB60B79" w:rsidR="00F57CF6" w:rsidRPr="006F28F9" w:rsidRDefault="0056600F" w:rsidP="0056600F">
      <w:pPr>
        <w:rPr>
          <w:b/>
          <w:bCs/>
          <w:i/>
          <w:iCs/>
        </w:rPr>
      </w:pPr>
      <w:r w:rsidRPr="0056600F">
        <w:rPr>
          <w:rFonts w:ascii="Sylfaen" w:hAnsi="Sylfaen"/>
          <w:sz w:val="24"/>
          <w:szCs w:val="24"/>
        </w:rPr>
        <w:t xml:space="preserve"> </w:t>
      </w:r>
      <w:r w:rsidR="00F57CF6" w:rsidRPr="00CD4709">
        <w:rPr>
          <w:b/>
          <w:bCs/>
          <w:i/>
          <w:iCs/>
        </w:rPr>
        <w:t>(</w:t>
      </w:r>
      <w:r w:rsidR="00F57CF6">
        <w:rPr>
          <w:b/>
          <w:bCs/>
          <w:i/>
          <w:iCs/>
        </w:rPr>
        <w:t xml:space="preserve">13-րդ կետը </w:t>
      </w:r>
      <w:r w:rsidR="00F57CF6" w:rsidRPr="00CD4709">
        <w:rPr>
          <w:b/>
          <w:bCs/>
          <w:i/>
          <w:iCs/>
        </w:rPr>
        <w:t>փոփ. 30.01.20 թիվ 9</w:t>
      </w:r>
      <w:r>
        <w:rPr>
          <w:b/>
          <w:bCs/>
          <w:i/>
          <w:iCs/>
        </w:rPr>
        <w:t>, խմբ. 05.03.21 թիվ 14</w:t>
      </w:r>
      <w:r w:rsidR="00F57CF6" w:rsidRPr="00CD4709">
        <w:rPr>
          <w:b/>
          <w:bCs/>
          <w:i/>
          <w:iCs/>
        </w:rPr>
        <w:t>)</w:t>
      </w:r>
    </w:p>
    <w:p w14:paraId="64CBB302" w14:textId="6644305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14.</w:t>
      </w:r>
      <w:r w:rsidRPr="00834D52">
        <w:rPr>
          <w:rFonts w:ascii="Sylfaen" w:hAnsi="Sylfaen"/>
          <w:sz w:val="24"/>
          <w:szCs w:val="24"/>
        </w:rPr>
        <w:tab/>
      </w:r>
      <w:r w:rsidR="00E87C1C">
        <w:rPr>
          <w:rFonts w:ascii="Sylfaen" w:hAnsi="Sylfaen"/>
          <w:color w:val="000000"/>
          <w:sz w:val="24"/>
          <w:szCs w:val="24"/>
        </w:rPr>
        <w:t>Ռեֆերենտ</w:t>
      </w:r>
      <w:r w:rsidRPr="00834D52">
        <w:rPr>
          <w:rFonts w:ascii="Sylfaen" w:hAnsi="Sylfaen"/>
          <w:sz w:val="24"/>
          <w:szCs w:val="24"/>
        </w:rPr>
        <w:t xml:space="preserve"> պետության լիազորված մարմինը (փորձագիտական կազմակերպությունը) գրանցման </w:t>
      </w:r>
      <w:r w:rsidR="0056496B">
        <w:rPr>
          <w:rFonts w:ascii="Sylfaen" w:hAnsi="Sylfaen"/>
          <w:sz w:val="24"/>
          <w:szCs w:val="24"/>
        </w:rPr>
        <w:t>դիմում</w:t>
      </w:r>
      <w:r w:rsidRPr="00834D52">
        <w:rPr>
          <w:rFonts w:ascii="Sylfaen" w:hAnsi="Sylfaen"/>
          <w:sz w:val="24"/>
          <w:szCs w:val="24"/>
        </w:rPr>
        <w:t xml:space="preserve">ը ստանալիս, գրանցումը հաստատելիս (վերագրանցելիս), գրանցման դոսյեում փոփոխություններ կատարելիս </w:t>
      </w:r>
      <w:r w:rsidR="00C54D75">
        <w:rPr>
          <w:rFonts w:ascii="Sylfaen" w:hAnsi="Sylfaen"/>
          <w:sz w:val="24"/>
          <w:szCs w:val="24"/>
        </w:rPr>
        <w:t>և</w:t>
      </w:r>
      <w:r w:rsidRPr="00834D52">
        <w:rPr>
          <w:rFonts w:ascii="Sylfaen" w:hAnsi="Sylfaen"/>
          <w:sz w:val="24"/>
          <w:szCs w:val="24"/>
        </w:rPr>
        <w:t xml:space="preserve"> գրանցման հետ կապված ընթացակարգերն իրականացնելիս դրան տալիս է Միության ինտեգրված տեղեկատվական համակարգի (այսուհետ՝ ինտեգրված համակարգ) օգտագործմամբ ձ</w:t>
      </w:r>
      <w:r w:rsidR="00C54D75">
        <w:rPr>
          <w:rFonts w:ascii="Sylfaen" w:hAnsi="Sylfaen"/>
          <w:sz w:val="24"/>
          <w:szCs w:val="24"/>
        </w:rPr>
        <w:t>և</w:t>
      </w:r>
      <w:r w:rsidRPr="00834D52">
        <w:rPr>
          <w:rFonts w:ascii="Sylfaen" w:hAnsi="Sylfaen"/>
          <w:sz w:val="24"/>
          <w:szCs w:val="24"/>
        </w:rPr>
        <w:t xml:space="preserve">ավորվող եզակի համար </w:t>
      </w:r>
      <w:r w:rsidR="00C54D75">
        <w:rPr>
          <w:rFonts w:ascii="Sylfaen" w:hAnsi="Sylfaen"/>
          <w:sz w:val="24"/>
          <w:szCs w:val="24"/>
        </w:rPr>
        <w:t>և</w:t>
      </w:r>
      <w:r w:rsidRPr="00834D52">
        <w:rPr>
          <w:rFonts w:ascii="Sylfaen" w:hAnsi="Sylfaen"/>
          <w:sz w:val="24"/>
          <w:szCs w:val="24"/>
        </w:rPr>
        <w:t xml:space="preserve"> այն </w:t>
      </w:r>
      <w:r w:rsidR="00F57CF6">
        <w:rPr>
          <w:rFonts w:ascii="Sylfaen" w:hAnsi="Sylfaen"/>
          <w:sz w:val="24"/>
          <w:szCs w:val="24"/>
        </w:rPr>
        <w:t>հայտ</w:t>
      </w:r>
      <w:r w:rsidRPr="00834D52">
        <w:rPr>
          <w:rFonts w:ascii="Sylfaen" w:hAnsi="Sylfaen"/>
          <w:sz w:val="24"/>
          <w:szCs w:val="24"/>
        </w:rPr>
        <w:t xml:space="preserve">նում է </w:t>
      </w:r>
      <w:r w:rsidR="0056496B">
        <w:rPr>
          <w:rFonts w:ascii="Sylfaen" w:hAnsi="Sylfaen"/>
          <w:sz w:val="24"/>
          <w:szCs w:val="24"/>
        </w:rPr>
        <w:t>դիմումատու</w:t>
      </w:r>
      <w:r w:rsidRPr="00834D52">
        <w:rPr>
          <w:rFonts w:ascii="Sylfaen" w:hAnsi="Sylfaen"/>
          <w:sz w:val="24"/>
          <w:szCs w:val="24"/>
        </w:rPr>
        <w:t>ին:</w:t>
      </w:r>
    </w:p>
    <w:p w14:paraId="60FF38B2" w14:textId="73AEE8AF" w:rsidR="00F57CF6" w:rsidRPr="006F28F9" w:rsidRDefault="00F57CF6" w:rsidP="00F57CF6">
      <w:pPr>
        <w:rPr>
          <w:b/>
          <w:bCs/>
          <w:i/>
          <w:iCs/>
        </w:rPr>
      </w:pPr>
      <w:r w:rsidRPr="00CD4709">
        <w:rPr>
          <w:b/>
          <w:bCs/>
          <w:i/>
          <w:iCs/>
        </w:rPr>
        <w:t>(</w:t>
      </w:r>
      <w:r>
        <w:rPr>
          <w:b/>
          <w:bCs/>
          <w:i/>
          <w:iCs/>
        </w:rPr>
        <w:t xml:space="preserve">14-րդ կետը </w:t>
      </w:r>
      <w:r w:rsidRPr="00CD4709">
        <w:rPr>
          <w:b/>
          <w:bCs/>
          <w:i/>
          <w:iCs/>
        </w:rPr>
        <w:t>փոփ. 30.01.20 թիվ 9)</w:t>
      </w:r>
    </w:p>
    <w:p w14:paraId="759F4BFC" w14:textId="2D79F32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w:t>
      </w:r>
      <w:r w:rsidRPr="00834D52">
        <w:rPr>
          <w:rFonts w:ascii="Sylfaen" w:hAnsi="Sylfaen"/>
          <w:sz w:val="24"/>
          <w:szCs w:val="24"/>
        </w:rPr>
        <w:tab/>
        <w:t>Անդամ պետության լիազորված մարմինը (փորձագիտական կազմակերպությունը) գրանցելու, գրանցումը հաստատելու (վերագրանցելու), գրանցման դոսյեում փոփոխություններ կատարելու, ինչպես նա</w:t>
      </w:r>
      <w:r w:rsidR="00C54D75">
        <w:rPr>
          <w:rFonts w:ascii="Sylfaen" w:hAnsi="Sylfaen"/>
          <w:sz w:val="24"/>
          <w:szCs w:val="24"/>
        </w:rPr>
        <w:t>և</w:t>
      </w:r>
      <w:r w:rsidRPr="00834D52">
        <w:rPr>
          <w:rFonts w:ascii="Sylfaen" w:hAnsi="Sylfaen"/>
          <w:sz w:val="24"/>
          <w:szCs w:val="24"/>
        </w:rPr>
        <w:t xml:space="preserve"> գրանցման հետ կապված ընթացակարգեր իրականացնելու վերաբերյալ </w:t>
      </w:r>
      <w:r w:rsidR="0056496B">
        <w:rPr>
          <w:rFonts w:ascii="Sylfaen" w:hAnsi="Sylfaen"/>
          <w:sz w:val="24"/>
          <w:szCs w:val="24"/>
        </w:rPr>
        <w:t>դիմում</w:t>
      </w:r>
      <w:r w:rsidRPr="00834D52">
        <w:rPr>
          <w:rFonts w:ascii="Sylfaen" w:hAnsi="Sylfaen"/>
          <w:sz w:val="24"/>
          <w:szCs w:val="24"/>
        </w:rPr>
        <w:t>ի համարով ինտեգրված համակարգի օգտագործմամբ տեղեկատվություն է ներկայացնում այլ անդամ պետությունների լիազորված մարմիններին (փորձագիտական կազմակերպություններին), ինչպես նա</w:t>
      </w:r>
      <w:r w:rsidR="00C54D75">
        <w:rPr>
          <w:rFonts w:ascii="Sylfaen" w:hAnsi="Sylfaen"/>
          <w:sz w:val="24"/>
          <w:szCs w:val="24"/>
        </w:rPr>
        <w:t>և</w:t>
      </w:r>
      <w:r w:rsidRPr="00834D52">
        <w:rPr>
          <w:rFonts w:ascii="Sylfaen" w:hAnsi="Sylfaen"/>
          <w:sz w:val="24"/>
          <w:szCs w:val="24"/>
        </w:rPr>
        <w:t xml:space="preserve"> Հանձնաժողովին՝ </w:t>
      </w:r>
      <w:r w:rsidR="00657ADC">
        <w:rPr>
          <w:rFonts w:ascii="Sylfaen" w:hAnsi="Sylfaen"/>
          <w:sz w:val="24"/>
          <w:szCs w:val="24"/>
        </w:rPr>
        <w:t>Միության գրանցված դեղամիջոցների միասնական ռեեստրի</w:t>
      </w:r>
      <w:r w:rsidRPr="00834D52">
        <w:rPr>
          <w:rFonts w:ascii="Sylfaen" w:hAnsi="Sylfaen"/>
          <w:sz w:val="24"/>
          <w:szCs w:val="24"/>
        </w:rPr>
        <w:t xml:space="preserve"> (այսուհետ՝ միասնական ռեեստր) </w:t>
      </w:r>
      <w:r w:rsidRPr="00834D52">
        <w:rPr>
          <w:rFonts w:ascii="Sylfaen" w:hAnsi="Sylfaen"/>
          <w:sz w:val="24"/>
          <w:szCs w:val="24"/>
        </w:rPr>
        <w:lastRenderedPageBreak/>
        <w:t>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7B32F0D7" w14:textId="4310758B" w:rsidR="006F76EB" w:rsidRDefault="00771BAF" w:rsidP="006F76EB">
      <w:pPr>
        <w:tabs>
          <w:tab w:val="left" w:pos="1134"/>
        </w:tabs>
        <w:spacing w:after="160" w:line="360" w:lineRule="auto"/>
        <w:ind w:right="-8" w:firstLine="567"/>
        <w:jc w:val="both"/>
        <w:rPr>
          <w:rFonts w:ascii="Sylfaen" w:hAnsi="Sylfaen"/>
          <w:sz w:val="24"/>
          <w:szCs w:val="24"/>
        </w:rPr>
      </w:pPr>
      <w:r>
        <w:rPr>
          <w:rFonts w:ascii="Sylfaen" w:hAnsi="Sylfaen"/>
          <w:sz w:val="24"/>
          <w:szCs w:val="24"/>
        </w:rPr>
        <w:t>Ռ</w:t>
      </w:r>
      <w:r>
        <w:rPr>
          <w:rFonts w:ascii="Sylfaen" w:hAnsi="Sylfaen"/>
          <w:color w:val="000000"/>
          <w:sz w:val="24"/>
          <w:szCs w:val="24"/>
        </w:rPr>
        <w:t>եֆերենտ</w:t>
      </w:r>
      <w:r w:rsidRPr="00834D52">
        <w:rPr>
          <w:rFonts w:ascii="Sylfaen" w:hAnsi="Sylfaen"/>
          <w:sz w:val="24"/>
          <w:szCs w:val="24"/>
        </w:rPr>
        <w:t xml:space="preserve"> </w:t>
      </w:r>
      <w:r w:rsidR="006F76EB" w:rsidRPr="00834D52">
        <w:rPr>
          <w:rFonts w:ascii="Sylfaen" w:hAnsi="Sylfaen"/>
          <w:sz w:val="24"/>
          <w:szCs w:val="24"/>
        </w:rPr>
        <w:t xml:space="preserve">պետության լիազորված մարմինը (փորձագիտական կազմակերպությունը) ոչ ուշ, քան </w:t>
      </w:r>
      <w:r w:rsidR="0056496B">
        <w:rPr>
          <w:rFonts w:ascii="Sylfaen" w:hAnsi="Sylfaen"/>
          <w:sz w:val="24"/>
          <w:szCs w:val="24"/>
        </w:rPr>
        <w:t>դիմումատու</w:t>
      </w:r>
      <w:r w:rsidR="006F76EB" w:rsidRPr="00834D52">
        <w:rPr>
          <w:rFonts w:ascii="Sylfaen" w:hAnsi="Sylfaen"/>
          <w:sz w:val="24"/>
          <w:szCs w:val="24"/>
        </w:rPr>
        <w:t xml:space="preserve">ի կողմից գրանցման դոսյեն էլեկտրոնային տեսքով ներկայացնելու օրվանից 5 աշխատանքային օրվա ընթացքում, ճանաչման պետությունների լիազորված մարմինների հարցման հիման վրա, ապահովում է գրանցման դոսյեի տեղեկությունների հասանելիությունը՝ ինտեգրված համակարգի միջոցների օգտագործման միջոցով: </w:t>
      </w:r>
    </w:p>
    <w:p w14:paraId="697A20F2" w14:textId="311AE9D0" w:rsidR="00017124" w:rsidRPr="006F28F9" w:rsidRDefault="00017124" w:rsidP="00017124">
      <w:pPr>
        <w:rPr>
          <w:b/>
          <w:bCs/>
          <w:i/>
          <w:iCs/>
        </w:rPr>
      </w:pPr>
      <w:r w:rsidRPr="00CD4709">
        <w:rPr>
          <w:b/>
          <w:bCs/>
          <w:i/>
          <w:iCs/>
        </w:rPr>
        <w:t>(</w:t>
      </w:r>
      <w:r>
        <w:rPr>
          <w:b/>
          <w:bCs/>
          <w:i/>
          <w:iCs/>
        </w:rPr>
        <w:t xml:space="preserve">15-րդ կետը </w:t>
      </w:r>
      <w:r w:rsidRPr="00CD4709">
        <w:rPr>
          <w:b/>
          <w:bCs/>
          <w:i/>
          <w:iCs/>
        </w:rPr>
        <w:t>փոփ. 30.01.20 թիվ 9</w:t>
      </w:r>
      <w:r w:rsidR="007D4941">
        <w:rPr>
          <w:b/>
          <w:bCs/>
          <w:i/>
          <w:iCs/>
        </w:rPr>
        <w:t>, 05.03.21 թիվ 14</w:t>
      </w:r>
      <w:r w:rsidRPr="00CD4709">
        <w:rPr>
          <w:b/>
          <w:bCs/>
          <w:i/>
          <w:iCs/>
        </w:rPr>
        <w:t>)</w:t>
      </w:r>
    </w:p>
    <w:p w14:paraId="6C4E5054" w14:textId="77777777" w:rsidR="006F76EB" w:rsidRPr="00834D52" w:rsidRDefault="006F76EB" w:rsidP="00642D7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Pr="00834D52">
        <w:rPr>
          <w:rFonts w:ascii="Sylfaen" w:hAnsi="Sylfaen"/>
          <w:sz w:val="24"/>
          <w:szCs w:val="24"/>
        </w:rPr>
        <w:tab/>
        <w:t>Դեղապատրաստուկի գրանցման արդյունքների հիման վրա՝ դեղապատրաստուկը գրանցած յուրաքանչյուր անդամ պետության լիազորված մարմինը տրամադրում է դեղապատրաստուկի գրանցման հավաստագիր, որով հաստատվում է դրա գրանցման փաստը:</w:t>
      </w:r>
    </w:p>
    <w:p w14:paraId="136C99D5" w14:textId="77777777" w:rsidR="006F76EB" w:rsidRPr="00834D52" w:rsidRDefault="006F76EB" w:rsidP="00642D79">
      <w:pPr>
        <w:tabs>
          <w:tab w:val="left" w:pos="1134"/>
        </w:tabs>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17.</w:t>
      </w:r>
      <w:r w:rsidRPr="00834D52">
        <w:rPr>
          <w:rFonts w:ascii="Sylfaen" w:hAnsi="Sylfaen"/>
          <w:spacing w:val="-4"/>
          <w:sz w:val="24"/>
          <w:szCs w:val="24"/>
        </w:rPr>
        <w:tab/>
        <w:t>Դեղապատրաստուկի գրանցման հավաստագիր տրվում է դեղապատրաստուկը գրանցած լիազորված մարմնի կողմից միասնական ձ</w:t>
      </w:r>
      <w:r w:rsidR="00C54D75">
        <w:rPr>
          <w:rFonts w:ascii="Sylfaen" w:hAnsi="Sylfaen"/>
          <w:spacing w:val="-4"/>
          <w:sz w:val="24"/>
          <w:szCs w:val="24"/>
        </w:rPr>
        <w:t>և</w:t>
      </w:r>
      <w:r w:rsidRPr="00834D52">
        <w:rPr>
          <w:rFonts w:ascii="Sylfaen" w:hAnsi="Sylfaen"/>
          <w:spacing w:val="-4"/>
          <w:sz w:val="24"/>
          <w:szCs w:val="24"/>
        </w:rPr>
        <w:t xml:space="preserve">ով </w:t>
      </w:r>
      <w:r w:rsidR="00C54D75">
        <w:rPr>
          <w:rFonts w:ascii="Sylfaen" w:hAnsi="Sylfaen"/>
          <w:spacing w:val="-4"/>
          <w:sz w:val="24"/>
          <w:szCs w:val="24"/>
        </w:rPr>
        <w:t>և</w:t>
      </w:r>
      <w:r w:rsidRPr="00834D52">
        <w:rPr>
          <w:rFonts w:ascii="Sylfaen" w:hAnsi="Sylfaen"/>
          <w:spacing w:val="-4"/>
          <w:sz w:val="24"/>
          <w:szCs w:val="24"/>
        </w:rPr>
        <w:t xml:space="preserve"> բժշկական կիրառման դեղապատրաստուկի գրանցման հավաստագիրը լրացնելու կանոններին համապաստասխան՝ համաձայն սույն Կանոնների թիվ 17 հավելվածի:</w:t>
      </w:r>
    </w:p>
    <w:p w14:paraId="485648D6" w14:textId="2F216746" w:rsidR="006F76EB" w:rsidRDefault="006F76EB" w:rsidP="00642D7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Դեղապատրաստուկի գրանցման հավաստագրի կորստի կամ վնասվելու դեպքում գրանցման հավաստագրի իրավատիրոջ՝ դեղապատրաստուկի գրանցման հավաստագրի կրկնօրինակ տրամադրելու վերաբերյալ դիմումի հիման վրա այդ գրանցման հավաստագիրը տրամադրած լիազորված մարմինը տրամադրում է սույն Կանոնների թիվ 17 հավելվածի համաձայն լրացման կանոններին համապատասխան ձ</w:t>
      </w:r>
      <w:r w:rsidR="00C54D75">
        <w:rPr>
          <w:rFonts w:ascii="Sylfaen" w:hAnsi="Sylfaen"/>
          <w:sz w:val="24"/>
          <w:szCs w:val="24"/>
        </w:rPr>
        <w:t>և</w:t>
      </w:r>
      <w:r w:rsidRPr="00834D52">
        <w:rPr>
          <w:rFonts w:ascii="Sylfaen" w:hAnsi="Sylfaen"/>
          <w:sz w:val="24"/>
          <w:szCs w:val="24"/>
        </w:rPr>
        <w:t xml:space="preserve">ակերպված դրա կրկնօրինակը: </w:t>
      </w:r>
    </w:p>
    <w:p w14:paraId="2F83C3B2" w14:textId="68059E5F" w:rsidR="00017124" w:rsidRPr="006F28F9" w:rsidRDefault="00017124" w:rsidP="00017124">
      <w:pPr>
        <w:rPr>
          <w:b/>
          <w:bCs/>
          <w:i/>
          <w:iCs/>
        </w:rPr>
      </w:pPr>
      <w:r w:rsidRPr="00CD4709">
        <w:rPr>
          <w:b/>
          <w:bCs/>
          <w:i/>
          <w:iCs/>
        </w:rPr>
        <w:t>(</w:t>
      </w:r>
      <w:r>
        <w:rPr>
          <w:b/>
          <w:bCs/>
          <w:i/>
          <w:iCs/>
        </w:rPr>
        <w:t xml:space="preserve">17-րդ կետը </w:t>
      </w:r>
      <w:r w:rsidRPr="00CD4709">
        <w:rPr>
          <w:b/>
          <w:bCs/>
          <w:i/>
          <w:iCs/>
        </w:rPr>
        <w:t>փոփ. 30.01.20 թիվ 9)</w:t>
      </w:r>
    </w:p>
    <w:p w14:paraId="31350605" w14:textId="4989F90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18.</w:t>
      </w:r>
      <w:r w:rsidRPr="00834D52">
        <w:rPr>
          <w:rFonts w:ascii="Sylfaen" w:hAnsi="Sylfaen"/>
          <w:sz w:val="24"/>
          <w:szCs w:val="24"/>
        </w:rPr>
        <w:tab/>
        <w:t xml:space="preserve">Առաջին անգամ գրանցվող դեղապատրաստուկի գրանցման հավաստագրի գործողության ժամկետը </w:t>
      </w:r>
      <w:r w:rsidR="00434A26">
        <w:rPr>
          <w:rFonts w:ascii="Sylfaen" w:hAnsi="Sylfaen"/>
          <w:color w:val="000000"/>
          <w:sz w:val="24"/>
          <w:szCs w:val="24"/>
        </w:rPr>
        <w:t>ռեֆերենտ</w:t>
      </w:r>
      <w:r w:rsidRPr="00834D52">
        <w:rPr>
          <w:rFonts w:ascii="Sylfaen" w:hAnsi="Sylfaen"/>
          <w:sz w:val="24"/>
          <w:szCs w:val="24"/>
        </w:rPr>
        <w:t xml:space="preserve"> պետությունում կազմում է 5</w:t>
      </w:r>
      <w:r w:rsidR="00C27DC3" w:rsidRPr="00C27DC3">
        <w:rPr>
          <w:rFonts w:ascii="Sylfaen" w:hAnsi="Sylfaen"/>
          <w:sz w:val="24"/>
          <w:szCs w:val="24"/>
        </w:rPr>
        <w:t> </w:t>
      </w:r>
      <w:r w:rsidRPr="00834D52">
        <w:rPr>
          <w:rFonts w:ascii="Sylfaen" w:hAnsi="Sylfaen"/>
          <w:sz w:val="24"/>
          <w:szCs w:val="24"/>
        </w:rPr>
        <w:t xml:space="preserve">տարի: Նշված ժամկետը լրանալուց հետո տրվում է դեղապատրաստուկի անժամկետ գրանցման հավաստագիր՝ դրա գրանցումը հաստատելու </w:t>
      </w:r>
      <w:r w:rsidRPr="00834D52">
        <w:rPr>
          <w:rFonts w:ascii="Sylfaen" w:hAnsi="Sylfaen"/>
          <w:sz w:val="24"/>
          <w:szCs w:val="24"/>
        </w:rPr>
        <w:lastRenderedPageBreak/>
        <w:t xml:space="preserve">(վերագրանցելու) պայմանով: </w:t>
      </w:r>
      <w:r w:rsidR="00D90782">
        <w:rPr>
          <w:rFonts w:ascii="Sylfaen" w:hAnsi="Sylfaen"/>
          <w:sz w:val="24"/>
          <w:szCs w:val="24"/>
        </w:rPr>
        <w:t>Լ</w:t>
      </w:r>
      <w:r w:rsidRPr="00834D52">
        <w:rPr>
          <w:rFonts w:ascii="Sylfaen" w:hAnsi="Sylfaen"/>
          <w:sz w:val="24"/>
          <w:szCs w:val="24"/>
        </w:rPr>
        <w:t>իազորված մարմինը կարող է գրանցումը հաստատելու (վերագրանցելու) արդյունքների հիման վրա կրկին տրամադրել գրանցման հավաստագիր՝ 5 տարի գործողության ժամկետով:</w:t>
      </w:r>
    </w:p>
    <w:p w14:paraId="1806E8A3" w14:textId="0A1498CE" w:rsidR="00371618" w:rsidRPr="00371618" w:rsidRDefault="00371618" w:rsidP="00371618">
      <w:pPr>
        <w:tabs>
          <w:tab w:val="left" w:pos="1134"/>
        </w:tabs>
        <w:spacing w:after="160" w:line="360" w:lineRule="auto"/>
        <w:ind w:right="-8" w:firstLine="567"/>
        <w:jc w:val="both"/>
        <w:rPr>
          <w:rFonts w:ascii="Sylfaen" w:eastAsia="Times New Roman" w:hAnsi="Sylfaen" w:cs="Times New Roman"/>
          <w:sz w:val="24"/>
          <w:szCs w:val="24"/>
        </w:rPr>
      </w:pPr>
      <w:r w:rsidRPr="00371618">
        <w:rPr>
          <w:rFonts w:ascii="Sylfaen" w:eastAsia="Times New Roman" w:hAnsi="Sylfaen" w:cs="Times New Roman"/>
          <w:sz w:val="24"/>
          <w:szCs w:val="24"/>
        </w:rPr>
        <w:t>Պայմանական գրանցման ընթացակարգով գրանցված դեղապատրաստուկի գրանցման հավաստագրի գործողության ժամկետը որոշվում է հաշվի առնելով սույն կանոնների VII բաժնի VII.III ենթաբաժնի դրույթները:</w:t>
      </w:r>
    </w:p>
    <w:p w14:paraId="4D226504" w14:textId="5336CECE" w:rsidR="00D90782" w:rsidRPr="00834D52" w:rsidRDefault="00371618" w:rsidP="00371618">
      <w:pPr>
        <w:tabs>
          <w:tab w:val="left" w:pos="1134"/>
        </w:tabs>
        <w:spacing w:after="160" w:line="360" w:lineRule="auto"/>
        <w:ind w:right="-8" w:firstLine="567"/>
        <w:jc w:val="both"/>
        <w:rPr>
          <w:rFonts w:ascii="Sylfaen" w:eastAsia="Times New Roman" w:hAnsi="Sylfaen" w:cs="Times New Roman"/>
          <w:sz w:val="24"/>
          <w:szCs w:val="24"/>
        </w:rPr>
      </w:pPr>
      <w:r w:rsidRPr="00371618">
        <w:rPr>
          <w:rFonts w:ascii="Sylfaen" w:eastAsia="Times New Roman" w:hAnsi="Sylfaen" w:cs="Times New Roman"/>
          <w:sz w:val="24"/>
          <w:szCs w:val="24"/>
        </w:rPr>
        <w:t>Անդամ պետության օրենսդրությանը համապատասխան գրանցված և այդ անդամ պետության շուկայում 5 և ավելի տարի շրջանառվող դեղապատրաստուկի համար տրվում է անժամկետ գրանցման հավաստագիր այն դեպքում, երբ դեղապատրաստուկը ենթադրվում է միայն այդ պետության շուկայում շրջանառության համար: Այլ անդամ պետությունների շուկաներում այդպիսի դեղապատրաստուկի պլանավորվող շրջանառության դեպքում գրանցման հավաստագիրը ենթակա է փոխարինման 5 տարի գործողության ժամկետով գրանցման հավաստագրով</w:t>
      </w:r>
      <w:r>
        <w:rPr>
          <w:rFonts w:ascii="Sylfaen" w:eastAsia="Times New Roman" w:hAnsi="Sylfaen" w:cs="Times New Roman"/>
          <w:sz w:val="24"/>
          <w:szCs w:val="24"/>
        </w:rPr>
        <w:t>:</w:t>
      </w:r>
    </w:p>
    <w:p w14:paraId="5A34C435" w14:textId="78A8A8F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Մինչ</w:t>
      </w:r>
      <w:r w:rsidR="00C54D75">
        <w:rPr>
          <w:rFonts w:ascii="Sylfaen" w:hAnsi="Sylfaen"/>
          <w:sz w:val="24"/>
          <w:szCs w:val="24"/>
        </w:rPr>
        <w:t>և</w:t>
      </w:r>
      <w:r w:rsidRPr="00834D52">
        <w:rPr>
          <w:rFonts w:ascii="Sylfaen" w:hAnsi="Sylfaen"/>
          <w:sz w:val="24"/>
          <w:szCs w:val="24"/>
        </w:rPr>
        <w:t xml:space="preserve"> 2020 թվականի դեկտեմբերի 31-ը անդամ պետությունների օրենսդրությանը համապատասխան գրանցված </w:t>
      </w:r>
      <w:r w:rsidR="00C54D75">
        <w:rPr>
          <w:rFonts w:ascii="Sylfaen" w:hAnsi="Sylfaen"/>
          <w:sz w:val="24"/>
          <w:szCs w:val="24"/>
        </w:rPr>
        <w:t>և</w:t>
      </w:r>
      <w:r w:rsidRPr="00834D52">
        <w:rPr>
          <w:rFonts w:ascii="Sylfaen" w:hAnsi="Sylfaen"/>
          <w:sz w:val="24"/>
          <w:szCs w:val="24"/>
        </w:rPr>
        <w:t xml:space="preserve"> առնվազն 3 անդամ պետությունների շուկաներում 5 տարի </w:t>
      </w:r>
      <w:r w:rsidR="00C54D75">
        <w:rPr>
          <w:rFonts w:ascii="Sylfaen" w:hAnsi="Sylfaen"/>
          <w:sz w:val="24"/>
          <w:szCs w:val="24"/>
        </w:rPr>
        <w:t>և</w:t>
      </w:r>
      <w:r w:rsidRPr="00834D52">
        <w:rPr>
          <w:rFonts w:ascii="Sylfaen" w:hAnsi="Sylfaen"/>
          <w:sz w:val="24"/>
          <w:szCs w:val="24"/>
        </w:rPr>
        <w:t xml:space="preserve"> ավելի շրջանառվող դեղապատրաստուկի գրանցման հավաստագիրը տրվում է անսահմանափակ ժամկետով՝ Միության պահանջներին համապատասխանեցման ընթացակարգի շրջանակներում՝ սույն Կանոնների XIII բաժնի համաձայն:</w:t>
      </w:r>
    </w:p>
    <w:p w14:paraId="35580FA7" w14:textId="4D7B7275" w:rsidR="006F76EB" w:rsidRPr="00371618" w:rsidRDefault="00371618" w:rsidP="00371618">
      <w:pPr>
        <w:rPr>
          <w:b/>
          <w:bCs/>
          <w:i/>
          <w:iCs/>
        </w:rPr>
      </w:pPr>
      <w:bookmarkStart w:id="0" w:name="_Hlk118189787"/>
      <w:r w:rsidRPr="00371618">
        <w:rPr>
          <w:b/>
          <w:bCs/>
          <w:i/>
          <w:iCs/>
        </w:rPr>
        <w:t>( 18-րդ կետը փոփ., լրաց. 17.03.22 թիվ 36 )</w:t>
      </w:r>
      <w:bookmarkEnd w:id="0"/>
    </w:p>
    <w:p w14:paraId="0E5D50D0"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II. Սահմանումները</w:t>
      </w:r>
    </w:p>
    <w:p w14:paraId="2CF1F88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19.</w:t>
      </w:r>
      <w:r w:rsidRPr="00834D52">
        <w:rPr>
          <w:rFonts w:ascii="Sylfaen" w:hAnsi="Sylfaen"/>
          <w:sz w:val="24"/>
          <w:szCs w:val="24"/>
        </w:rPr>
        <w:tab/>
        <w:t>Սույն Կանոնների նպատակներով գործածվում են հասկացություններ, որոնք ունեն հետ</w:t>
      </w:r>
      <w:r w:rsidR="00C54D75">
        <w:rPr>
          <w:rFonts w:ascii="Sylfaen" w:hAnsi="Sylfaen"/>
          <w:sz w:val="24"/>
          <w:szCs w:val="24"/>
        </w:rPr>
        <w:t>և</w:t>
      </w:r>
      <w:r w:rsidRPr="00834D52">
        <w:rPr>
          <w:rFonts w:ascii="Sylfaen" w:hAnsi="Sylfaen"/>
          <w:sz w:val="24"/>
          <w:szCs w:val="24"/>
        </w:rPr>
        <w:t>յալ իմաստը՝</w:t>
      </w:r>
    </w:p>
    <w:p w14:paraId="59D933E1" w14:textId="5EDF4B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642D79">
        <w:rPr>
          <w:rFonts w:ascii="Sylfaen" w:hAnsi="Sylfaen"/>
          <w:sz w:val="24"/>
          <w:szCs w:val="24"/>
        </w:rPr>
        <w:t>ալերգեն՝</w:t>
      </w:r>
      <w:r w:rsidRPr="00834D52">
        <w:rPr>
          <w:rFonts w:ascii="Sylfaen" w:hAnsi="Sylfaen"/>
          <w:sz w:val="24"/>
          <w:szCs w:val="24"/>
        </w:rPr>
        <w:t xml:space="preserve"> ցանկացած դեղապատրաստուկ, որը նախատեսված է ալերգիա առաջացնող նյութի նկատմամբ իմունաբանական ռեակցիայի՝ ձեռքբերովի սպեցիֆիկ փոփոխություն </w:t>
      </w:r>
      <w:r w:rsidR="00017124">
        <w:rPr>
          <w:rFonts w:ascii="Sylfaen" w:hAnsi="Sylfaen"/>
          <w:sz w:val="24"/>
          <w:szCs w:val="24"/>
        </w:rPr>
        <w:t>հայտ</w:t>
      </w:r>
      <w:r w:rsidRPr="00834D52">
        <w:rPr>
          <w:rFonts w:ascii="Sylfaen" w:hAnsi="Sylfaen"/>
          <w:sz w:val="24"/>
          <w:szCs w:val="24"/>
        </w:rPr>
        <w:t>նաբերելու կամ առաջացնելու համար.</w:t>
      </w:r>
    </w:p>
    <w:p w14:paraId="7CA825D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642D79">
        <w:rPr>
          <w:rFonts w:ascii="Sylfaen" w:hAnsi="Sylfaen"/>
          <w:sz w:val="24"/>
          <w:szCs w:val="24"/>
        </w:rPr>
        <w:lastRenderedPageBreak/>
        <w:t>դեղապատրաստուկի անվտանգություն (</w:t>
      </w:r>
      <w:r w:rsidR="00E90FAF" w:rsidRPr="00642D79">
        <w:rPr>
          <w:rFonts w:ascii="Sylfaen" w:hAnsi="Sylfaen"/>
          <w:sz w:val="24"/>
          <w:szCs w:val="24"/>
        </w:rPr>
        <w:t>«</w:t>
      </w:r>
      <w:r w:rsidRPr="00642D79">
        <w:rPr>
          <w:rFonts w:ascii="Sylfaen" w:hAnsi="Sylfaen"/>
          <w:sz w:val="24"/>
          <w:szCs w:val="24"/>
        </w:rPr>
        <w:t>օգուտ-ռիսկ հարաբերակցություն</w:t>
      </w:r>
      <w:r w:rsidR="00E90FAF" w:rsidRPr="00642D79">
        <w:rPr>
          <w:rFonts w:ascii="Sylfaen" w:hAnsi="Sylfaen"/>
          <w:sz w:val="24"/>
          <w:szCs w:val="24"/>
        </w:rPr>
        <w:t>»</w:t>
      </w:r>
      <w:r w:rsidRPr="00642D79">
        <w:rPr>
          <w:rFonts w:ascii="Sylfaen" w:hAnsi="Sylfaen"/>
          <w:sz w:val="24"/>
          <w:szCs w:val="24"/>
        </w:rPr>
        <w:t xml:space="preserve">)՝ </w:t>
      </w:r>
      <w:r w:rsidRPr="00834D52">
        <w:rPr>
          <w:rFonts w:ascii="Sylfaen" w:hAnsi="Sylfaen"/>
          <w:sz w:val="24"/>
          <w:szCs w:val="24"/>
        </w:rPr>
        <w:t>դեղապատրաստուկի դրական թերապ</w:t>
      </w:r>
      <w:r w:rsidR="00C54D75">
        <w:rPr>
          <w:rFonts w:ascii="Sylfaen" w:hAnsi="Sylfaen"/>
          <w:sz w:val="24"/>
          <w:szCs w:val="24"/>
        </w:rPr>
        <w:t>և</w:t>
      </w:r>
      <w:r w:rsidRPr="00834D52">
        <w:rPr>
          <w:rFonts w:ascii="Sylfaen" w:hAnsi="Sylfaen"/>
          <w:sz w:val="24"/>
          <w:szCs w:val="24"/>
        </w:rPr>
        <w:t>տիկ էֆեկտների գնահատում դրա կիրառման հետ կապված ռիսկերի համեմատությամբ (ռիսկի հասկացությունն իր մեջ ներառում է դեղապատրաստուկի որակի, անվտանգության կամ արդյունավետության հետ կապված ցանկացած ռիսկ՝ պացիենտի կամ բնակչության առողջության համար).</w:t>
      </w:r>
    </w:p>
    <w:p w14:paraId="59C0808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կենսահամանման դեղապատրաստուկ (կենսանմանակ, կենսանման դեղապատրաստուկ, բիոսիմիլար)՝</w:t>
      </w:r>
      <w:r w:rsidRPr="00834D52">
        <w:rPr>
          <w:rFonts w:ascii="Sylfaen" w:hAnsi="Sylfaen"/>
          <w:sz w:val="24"/>
          <w:szCs w:val="24"/>
        </w:rPr>
        <w:t xml:space="preserve"> կենսաբանական դեղապատրաստուկ, որը պարունակում է գրանցված կենսաբանական օրիգինալ (</w:t>
      </w:r>
      <w:r w:rsidR="009F799D">
        <w:rPr>
          <w:rFonts w:ascii="Sylfaen" w:hAnsi="Sylfaen"/>
          <w:color w:val="000000"/>
          <w:sz w:val="24"/>
          <w:szCs w:val="24"/>
        </w:rPr>
        <w:t>ռեֆերենտ</w:t>
      </w:r>
      <w:r w:rsidRPr="00834D52">
        <w:rPr>
          <w:rFonts w:ascii="Sylfaen" w:hAnsi="Sylfaen"/>
          <w:sz w:val="24"/>
          <w:szCs w:val="24"/>
        </w:rPr>
        <w:t xml:space="preserve">) պատրաստուկի ազդող նյութի տարբերակ, </w:t>
      </w:r>
      <w:r w:rsidR="00C54D75">
        <w:rPr>
          <w:rFonts w:ascii="Sylfaen" w:hAnsi="Sylfaen"/>
          <w:sz w:val="24"/>
          <w:szCs w:val="24"/>
        </w:rPr>
        <w:t>և</w:t>
      </w:r>
      <w:r w:rsidRPr="00834D52">
        <w:rPr>
          <w:rFonts w:ascii="Sylfaen" w:hAnsi="Sylfaen"/>
          <w:sz w:val="24"/>
          <w:szCs w:val="24"/>
        </w:rPr>
        <w:t xml:space="preserve"> որի համար </w:t>
      </w:r>
      <w:r w:rsidR="00015E3D">
        <w:rPr>
          <w:rFonts w:ascii="Sylfaen" w:hAnsi="Sylfaen"/>
          <w:color w:val="000000"/>
          <w:sz w:val="24"/>
          <w:szCs w:val="24"/>
        </w:rPr>
        <w:t>ռեֆերենտ</w:t>
      </w:r>
      <w:r w:rsidRPr="00834D52">
        <w:rPr>
          <w:rFonts w:ascii="Sylfaen" w:hAnsi="Sylfaen"/>
          <w:sz w:val="24"/>
          <w:szCs w:val="24"/>
        </w:rPr>
        <w:t xml:space="preserve"> պատրաստուկով, համեմատական հետազոտությունների հիման վրա, ցույց է տրված նմանությունը (միանմանությունը)՝ ըստ որակի, կենսաբանական ակտիվության, արդյունավետության </w:t>
      </w:r>
      <w:r w:rsidR="00C54D75">
        <w:rPr>
          <w:rFonts w:ascii="Sylfaen" w:hAnsi="Sylfaen"/>
          <w:sz w:val="24"/>
          <w:szCs w:val="24"/>
        </w:rPr>
        <w:t>և</w:t>
      </w:r>
      <w:r w:rsidRPr="00834D52">
        <w:rPr>
          <w:rFonts w:ascii="Sylfaen" w:hAnsi="Sylfaen"/>
          <w:sz w:val="24"/>
          <w:szCs w:val="24"/>
        </w:rPr>
        <w:t xml:space="preserve"> անվտանգության ցուցանիշների.</w:t>
      </w:r>
    </w:p>
    <w:p w14:paraId="491053C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մատչելիություն (կենսամատչելիություն)՝</w:t>
      </w:r>
      <w:r w:rsidRPr="00834D52">
        <w:rPr>
          <w:rFonts w:ascii="Sylfaen" w:hAnsi="Sylfaen"/>
          <w:sz w:val="24"/>
          <w:szCs w:val="24"/>
        </w:rPr>
        <w:t xml:space="preserve"> արագություն </w:t>
      </w:r>
      <w:r w:rsidR="00C54D75">
        <w:rPr>
          <w:rFonts w:ascii="Sylfaen" w:hAnsi="Sylfaen"/>
          <w:sz w:val="24"/>
          <w:szCs w:val="24"/>
        </w:rPr>
        <w:t>և</w:t>
      </w:r>
      <w:r w:rsidRPr="00834D52">
        <w:rPr>
          <w:rFonts w:ascii="Sylfaen" w:hAnsi="Sylfaen"/>
          <w:sz w:val="24"/>
          <w:szCs w:val="24"/>
        </w:rPr>
        <w:t xml:space="preserve"> աստիճան, որոնցով դոզավորված դեղաձ</w:t>
      </w:r>
      <w:r w:rsidR="00C54D75">
        <w:rPr>
          <w:rFonts w:ascii="Sylfaen" w:hAnsi="Sylfaen"/>
          <w:sz w:val="24"/>
          <w:szCs w:val="24"/>
        </w:rPr>
        <w:t>և</w:t>
      </w:r>
      <w:r w:rsidRPr="00834D52">
        <w:rPr>
          <w:rFonts w:ascii="Sylfaen" w:hAnsi="Sylfaen"/>
          <w:sz w:val="24"/>
          <w:szCs w:val="24"/>
        </w:rPr>
        <w:t xml:space="preserve">ից ազդող նյութը կամ դրա մոլեկուլի ակտիվ մասը ներծծվում է </w:t>
      </w:r>
      <w:r w:rsidR="00C54D75">
        <w:rPr>
          <w:rFonts w:ascii="Sylfaen" w:hAnsi="Sylfaen"/>
          <w:sz w:val="24"/>
          <w:szCs w:val="24"/>
        </w:rPr>
        <w:t>և</w:t>
      </w:r>
      <w:r w:rsidRPr="00834D52">
        <w:rPr>
          <w:rFonts w:ascii="Sylfaen" w:hAnsi="Sylfaen"/>
          <w:sz w:val="24"/>
          <w:szCs w:val="24"/>
        </w:rPr>
        <w:t xml:space="preserve"> դառնում յուրացվելի իր ազդեցության վայրում.</w:t>
      </w:r>
    </w:p>
    <w:p w14:paraId="126BAA4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համարժեքություն (կենսահամարժեքություն)՝</w:t>
      </w:r>
      <w:r w:rsidRPr="00834D52">
        <w:rPr>
          <w:rFonts w:ascii="Sylfaen" w:hAnsi="Sylfaen"/>
          <w:sz w:val="24"/>
          <w:szCs w:val="24"/>
        </w:rPr>
        <w:t xml:space="preserve"> այն արագության </w:t>
      </w:r>
      <w:r w:rsidR="00C54D75">
        <w:rPr>
          <w:rFonts w:ascii="Sylfaen" w:hAnsi="Sylfaen"/>
          <w:sz w:val="24"/>
          <w:szCs w:val="24"/>
        </w:rPr>
        <w:t>և</w:t>
      </w:r>
      <w:r w:rsidRPr="00834D52">
        <w:rPr>
          <w:rFonts w:ascii="Sylfaen" w:hAnsi="Sylfaen"/>
          <w:sz w:val="24"/>
          <w:szCs w:val="24"/>
        </w:rPr>
        <w:t xml:space="preserve"> աստիճանի նշանակալի տարբերությունների բացակայությունը, որոնցով դեղագործական համարժեքների կամ դեղագործական այլընտրանքների ազդող նյութը կամ ազդող նյութի մոլեկուլի ակտիվ մասը դառնում է յուրացվելի իր ազդեցության վայրում պատշաճ բովանդակային պլանով հետազոտությունում մի</w:t>
      </w:r>
      <w:r w:rsidR="00C54D75">
        <w:rPr>
          <w:rFonts w:ascii="Sylfaen" w:hAnsi="Sylfaen"/>
          <w:sz w:val="24"/>
          <w:szCs w:val="24"/>
        </w:rPr>
        <w:t>և</w:t>
      </w:r>
      <w:r w:rsidRPr="00834D52">
        <w:rPr>
          <w:rFonts w:ascii="Sylfaen" w:hAnsi="Sylfaen"/>
          <w:sz w:val="24"/>
          <w:szCs w:val="24"/>
        </w:rPr>
        <w:t>նույն մոլային դեղաչափ միանման պայմաններում ներմուծելու դեպքում.</w:t>
      </w:r>
    </w:p>
    <w:p w14:paraId="476F3D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դեղապատրաստուկ</w:t>
      </w:r>
      <w:r w:rsidRPr="00834D52">
        <w:rPr>
          <w:rFonts w:ascii="Sylfaen" w:hAnsi="Sylfaen"/>
          <w:sz w:val="24"/>
          <w:szCs w:val="24"/>
        </w:rPr>
        <w:t xml:space="preserve">՝ դեղապատրաստուկ, որի ազդող նյութն արտադրված կամ անջատված է կենսաբանական աղբյուրից </w:t>
      </w:r>
      <w:r w:rsidR="00C54D75">
        <w:rPr>
          <w:rFonts w:ascii="Sylfaen" w:hAnsi="Sylfaen"/>
          <w:sz w:val="24"/>
          <w:szCs w:val="24"/>
        </w:rPr>
        <w:t>և</w:t>
      </w:r>
      <w:r w:rsidRPr="00834D52">
        <w:rPr>
          <w:rFonts w:ascii="Sylfaen" w:hAnsi="Sylfaen"/>
          <w:sz w:val="24"/>
          <w:szCs w:val="24"/>
        </w:rPr>
        <w:t xml:space="preserve"> որի հատկությունների բնութագրման, </w:t>
      </w:r>
      <w:r w:rsidR="00C54D75">
        <w:rPr>
          <w:rFonts w:ascii="Sylfaen" w:hAnsi="Sylfaen"/>
          <w:sz w:val="24"/>
          <w:szCs w:val="24"/>
        </w:rPr>
        <w:t>և</w:t>
      </w:r>
      <w:r w:rsidRPr="00834D52">
        <w:rPr>
          <w:rFonts w:ascii="Sylfaen" w:hAnsi="Sylfaen"/>
          <w:sz w:val="24"/>
          <w:szCs w:val="24"/>
        </w:rPr>
        <w:t xml:space="preserve"> որակի հսկողություն համար անհրաժեշտ է վերլուծության կենսաբանական ու ֆիզիկաքիմիական մեթոդները համադրել արտադրական պրոցեսի </w:t>
      </w:r>
      <w:r w:rsidR="00C54D75">
        <w:rPr>
          <w:rFonts w:ascii="Sylfaen" w:hAnsi="Sylfaen"/>
          <w:sz w:val="24"/>
          <w:szCs w:val="24"/>
        </w:rPr>
        <w:t>և</w:t>
      </w:r>
      <w:r w:rsidRPr="00834D52">
        <w:rPr>
          <w:rFonts w:ascii="Sylfaen" w:hAnsi="Sylfaen"/>
          <w:sz w:val="24"/>
          <w:szCs w:val="24"/>
        </w:rPr>
        <w:t xml:space="preserve"> դրա հսկողության մեթոդների գնահատման հետ.</w:t>
      </w:r>
    </w:p>
    <w:p w14:paraId="119FF8AB"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AD2459">
        <w:rPr>
          <w:rFonts w:ascii="Sylfaen" w:hAnsi="Sylfaen"/>
          <w:sz w:val="24"/>
          <w:szCs w:val="24"/>
        </w:rPr>
        <w:t>վերարտադրված դեղապատրաստուկ (գեներիկ)՝</w:t>
      </w:r>
      <w:r w:rsidRPr="00834D52">
        <w:rPr>
          <w:rFonts w:ascii="Sylfaen" w:hAnsi="Sylfaen"/>
          <w:sz w:val="24"/>
          <w:szCs w:val="24"/>
        </w:rPr>
        <w:t xml:space="preserve"> դեղապատրաստուկ, որն </w:t>
      </w:r>
      <w:r w:rsidRPr="00834D52">
        <w:rPr>
          <w:rFonts w:ascii="Sylfaen" w:hAnsi="Sylfaen"/>
          <w:sz w:val="24"/>
          <w:szCs w:val="24"/>
        </w:rPr>
        <w:lastRenderedPageBreak/>
        <w:t xml:space="preserve">ունի ազդող նյութերի նույնպիսի քանակական </w:t>
      </w:r>
      <w:r w:rsidR="00C54D75">
        <w:rPr>
          <w:rFonts w:ascii="Sylfaen" w:hAnsi="Sylfaen"/>
          <w:sz w:val="24"/>
          <w:szCs w:val="24"/>
        </w:rPr>
        <w:t>և</w:t>
      </w:r>
      <w:r w:rsidRPr="00834D52">
        <w:rPr>
          <w:rFonts w:ascii="Sylfaen" w:hAnsi="Sylfaen"/>
          <w:sz w:val="24"/>
          <w:szCs w:val="24"/>
        </w:rPr>
        <w:t xml:space="preserve"> որակական բաղադրություն, </w:t>
      </w:r>
      <w:r w:rsidR="00C54D75">
        <w:rPr>
          <w:rFonts w:ascii="Sylfaen" w:hAnsi="Sylfaen"/>
          <w:sz w:val="24"/>
          <w:szCs w:val="24"/>
        </w:rPr>
        <w:t>և</w:t>
      </w:r>
      <w:r w:rsidRPr="00834D52">
        <w:rPr>
          <w:rFonts w:ascii="Sylfaen" w:hAnsi="Sylfaen"/>
          <w:sz w:val="24"/>
          <w:szCs w:val="24"/>
        </w:rPr>
        <w:t xml:space="preserve"> նույն դեղաձ</w:t>
      </w:r>
      <w:r w:rsidR="00C54D75">
        <w:rPr>
          <w:rFonts w:ascii="Sylfaen" w:hAnsi="Sylfaen"/>
          <w:sz w:val="24"/>
          <w:szCs w:val="24"/>
        </w:rPr>
        <w:t>և</w:t>
      </w:r>
      <w:r w:rsidRPr="00834D52">
        <w:rPr>
          <w:rFonts w:ascii="Sylfaen" w:hAnsi="Sylfaen"/>
          <w:sz w:val="24"/>
          <w:szCs w:val="24"/>
        </w:rPr>
        <w:t xml:space="preserve">ը, ինչպիսին ունի օրիգինալ դեղապատրաստուկը, </w:t>
      </w:r>
      <w:r w:rsidR="00C54D75">
        <w:rPr>
          <w:rFonts w:ascii="Sylfaen" w:hAnsi="Sylfaen"/>
          <w:sz w:val="24"/>
          <w:szCs w:val="24"/>
        </w:rPr>
        <w:t>և</w:t>
      </w:r>
      <w:r w:rsidRPr="00834D52">
        <w:rPr>
          <w:rFonts w:ascii="Sylfaen" w:hAnsi="Sylfaen"/>
          <w:sz w:val="24"/>
          <w:szCs w:val="24"/>
        </w:rPr>
        <w:t xml:space="preserve"> որի կենսահամարժեքությունն օրիգինալ դեղապատրաստուկին հաստատված է կենսամատչելիության համապատասխան հետազոտություններով: Ազդող նյութի տարբեր աղեր, եթերներ, իզոմերներ, իզոմերների խառնուրդներ, կոմպլեքսներ կամ ածանցյալներ համարվում են մի</w:t>
      </w:r>
      <w:r w:rsidR="00C54D75">
        <w:rPr>
          <w:rFonts w:ascii="Sylfaen" w:hAnsi="Sylfaen"/>
          <w:sz w:val="24"/>
          <w:szCs w:val="24"/>
        </w:rPr>
        <w:t>և</w:t>
      </w:r>
      <w:r w:rsidRPr="00834D52">
        <w:rPr>
          <w:rFonts w:ascii="Sylfaen" w:hAnsi="Sylfaen"/>
          <w:sz w:val="24"/>
          <w:szCs w:val="24"/>
        </w:rPr>
        <w:t xml:space="preserve">նույն ազդող նյութը, եթե դրանց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էականորեն չեն տարբերվում: Արագ ձերբազատմամբ ներքին ընդունման տարբեր դեղաձ</w:t>
      </w:r>
      <w:r w:rsidR="00C54D75">
        <w:rPr>
          <w:rFonts w:ascii="Sylfaen" w:hAnsi="Sylfaen"/>
          <w:sz w:val="24"/>
          <w:szCs w:val="24"/>
        </w:rPr>
        <w:t>և</w:t>
      </w:r>
      <w:r w:rsidRPr="00834D52">
        <w:rPr>
          <w:rFonts w:ascii="Sylfaen" w:hAnsi="Sylfaen"/>
          <w:sz w:val="24"/>
          <w:szCs w:val="24"/>
        </w:rPr>
        <w:t>եր կենսամատչելիության հետազոտությունների շրջանակներում համարվում են մի</w:t>
      </w:r>
      <w:r w:rsidR="00C54D75">
        <w:rPr>
          <w:rFonts w:ascii="Sylfaen" w:hAnsi="Sylfaen"/>
          <w:sz w:val="24"/>
          <w:szCs w:val="24"/>
        </w:rPr>
        <w:t>և</w:t>
      </w:r>
      <w:r w:rsidRPr="00834D52">
        <w:rPr>
          <w:rFonts w:ascii="Sylfaen" w:hAnsi="Sylfaen"/>
          <w:sz w:val="24"/>
          <w:szCs w:val="24"/>
        </w:rPr>
        <w:t>նույն դեղաձ</w:t>
      </w:r>
      <w:r w:rsidR="00C54D75">
        <w:rPr>
          <w:rFonts w:ascii="Sylfaen" w:hAnsi="Sylfaen"/>
          <w:sz w:val="24"/>
          <w:szCs w:val="24"/>
        </w:rPr>
        <w:t>և</w:t>
      </w:r>
      <w:r w:rsidRPr="00834D52">
        <w:rPr>
          <w:rFonts w:ascii="Sylfaen" w:hAnsi="Sylfaen"/>
          <w:sz w:val="24"/>
          <w:szCs w:val="24"/>
        </w:rPr>
        <w:t>ը.</w:t>
      </w:r>
    </w:p>
    <w:p w14:paraId="41136168"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AD2459">
        <w:rPr>
          <w:rFonts w:ascii="Sylfaen" w:hAnsi="Sylfaen"/>
          <w:sz w:val="24"/>
          <w:szCs w:val="24"/>
        </w:rPr>
        <w:t>ռադիոնուկլիդային գեներատոր՝</w:t>
      </w:r>
      <w:r w:rsidRPr="00834D52">
        <w:rPr>
          <w:rFonts w:ascii="Sylfaen" w:hAnsi="Sylfaen"/>
          <w:sz w:val="24"/>
          <w:szCs w:val="24"/>
        </w:rPr>
        <w:t xml:space="preserve"> ցանկացած համակարգ, որը պարունակում է կայուն առաջնային ռադիոնուկլիդ, որից առաջանում են էլյուցիայի կամ այլ եղանակով կորզվող </w:t>
      </w:r>
      <w:r w:rsidR="00C54D75">
        <w:rPr>
          <w:rFonts w:ascii="Sylfaen" w:hAnsi="Sylfaen"/>
          <w:sz w:val="24"/>
          <w:szCs w:val="24"/>
        </w:rPr>
        <w:t>և</w:t>
      </w:r>
      <w:r w:rsidRPr="00834D52">
        <w:rPr>
          <w:rFonts w:ascii="Sylfaen" w:hAnsi="Sylfaen"/>
          <w:sz w:val="24"/>
          <w:szCs w:val="24"/>
        </w:rPr>
        <w:t xml:space="preserve"> ռադիոդեղագործական դեղապատրաստուկում օգտագործվող երկրորդային ռադիոնուկլիդներ.</w:t>
      </w:r>
    </w:p>
    <w:p w14:paraId="1F8CAFD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հիբրիդային դեղապատրաստուկ՝</w:t>
      </w:r>
      <w:r w:rsidRPr="00834D52">
        <w:rPr>
          <w:rFonts w:ascii="Sylfaen" w:hAnsi="Sylfaen"/>
          <w:sz w:val="24"/>
          <w:szCs w:val="24"/>
        </w:rPr>
        <w:t xml:space="preserve"> դեղապատրաստուկ, որը չի</w:t>
      </w:r>
      <w:r w:rsidR="008640BA" w:rsidRPr="00375522">
        <w:rPr>
          <w:rFonts w:ascii="Sylfaen" w:hAnsi="Sylfaen"/>
          <w:sz w:val="24"/>
          <w:szCs w:val="24"/>
        </w:rPr>
        <w:t> </w:t>
      </w:r>
      <w:r w:rsidRPr="00834D52">
        <w:rPr>
          <w:rFonts w:ascii="Sylfaen" w:hAnsi="Sylfaen"/>
          <w:sz w:val="24"/>
          <w:szCs w:val="24"/>
        </w:rPr>
        <w:t>համապատասխանում վերարտադրված դեղապատրաստուկի սահմանմանը կենսամատչելիության հետազոտությունների միջոցով դրա կենսահամարժեքությունը հաստատելու անհնարինության դեպքում, ինչպես նա</w:t>
      </w:r>
      <w:r w:rsidR="00C54D75">
        <w:rPr>
          <w:rFonts w:ascii="Sylfaen" w:hAnsi="Sylfaen"/>
          <w:sz w:val="24"/>
          <w:szCs w:val="24"/>
        </w:rPr>
        <w:t>և</w:t>
      </w:r>
      <w:r w:rsidRPr="00834D52">
        <w:rPr>
          <w:rFonts w:ascii="Sylfaen" w:hAnsi="Sylfaen"/>
          <w:sz w:val="24"/>
          <w:szCs w:val="24"/>
        </w:rPr>
        <w:t xml:space="preserve"> այն դեպքում, երբ տվյալ պատրաստուկում օրիգինալ պատրաստուկի համեմատ տեղի են ունեցել ազդող նյութի (նյութերի), կիրառման ցուցումների, դեղաչափի, դեղաձ</w:t>
      </w:r>
      <w:r w:rsidR="00C54D75">
        <w:rPr>
          <w:rFonts w:ascii="Sylfaen" w:hAnsi="Sylfaen"/>
          <w:sz w:val="24"/>
          <w:szCs w:val="24"/>
        </w:rPr>
        <w:t>և</w:t>
      </w:r>
      <w:r w:rsidRPr="00834D52">
        <w:rPr>
          <w:rFonts w:ascii="Sylfaen" w:hAnsi="Sylfaen"/>
          <w:sz w:val="24"/>
          <w:szCs w:val="24"/>
        </w:rPr>
        <w:t>ի կամ ներմուծման եղանակի փոփոխություններ.</w:t>
      </w:r>
    </w:p>
    <w:p w14:paraId="7342BBD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հոմեոպաթիկ դեղապատրաստուկ՝</w:t>
      </w:r>
      <w:r w:rsidRPr="00834D52">
        <w:rPr>
          <w:rFonts w:ascii="Sylfaen" w:hAnsi="Sylfaen"/>
          <w:sz w:val="24"/>
          <w:szCs w:val="24"/>
        </w:rPr>
        <w:t xml:space="preserve"> դեղապատրաստուկ, որն արտադրվել է հոմեոպաթիկ տեխնոլոգիայով հոմեոպաթիկ հումքի օգտագործմամբ՝ Միության դեղագրքի պահանջներին համապատասխան, կամ դրանց բացակայության դեպքում՝ հոպեոպաթիկ դեղագրքերի պահանջներին համապատասխան.</w:t>
      </w:r>
    </w:p>
    <w:p w14:paraId="622E4203"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AD2459">
        <w:rPr>
          <w:rFonts w:ascii="Sylfaen" w:hAnsi="Sylfaen"/>
          <w:sz w:val="24"/>
          <w:szCs w:val="24"/>
        </w:rPr>
        <w:t>ճանաչման պետություն՝</w:t>
      </w:r>
      <w:r w:rsidRPr="00834D52">
        <w:rPr>
          <w:rFonts w:ascii="Sylfaen" w:hAnsi="Sylfaen"/>
          <w:sz w:val="24"/>
          <w:szCs w:val="24"/>
        </w:rPr>
        <w:t xml:space="preserve"> անդամ պետություն, որում դեղապատրաստուկը գրանցվել է (գրանցվում է) փորձաքննության անցկացմամբ, որն իր մեջ ներառում է </w:t>
      </w:r>
      <w:r w:rsidR="00EA467C">
        <w:rPr>
          <w:rFonts w:ascii="Sylfaen" w:hAnsi="Sylfaen"/>
          <w:color w:val="000000"/>
          <w:sz w:val="24"/>
          <w:szCs w:val="24"/>
        </w:rPr>
        <w:t>ռեֆերենտ</w:t>
      </w:r>
      <w:r w:rsidRPr="00834D52">
        <w:rPr>
          <w:rFonts w:ascii="Sylfaen" w:hAnsi="Sylfaen"/>
          <w:sz w:val="24"/>
          <w:szCs w:val="24"/>
        </w:rPr>
        <w:t xml:space="preserve"> պետության կողմից նախապատրաստված՝ դեղապատրաստուկի </w:t>
      </w:r>
      <w:r w:rsidRPr="00834D52">
        <w:rPr>
          <w:rFonts w:ascii="Sylfaen" w:hAnsi="Sylfaen"/>
          <w:sz w:val="24"/>
          <w:szCs w:val="24"/>
        </w:rPr>
        <w:lastRenderedPageBreak/>
        <w:t xml:space="preserve">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գնահատման մասին փորձագիտական հաշվետվության գնահատում.</w:t>
      </w:r>
    </w:p>
    <w:p w14:paraId="23A74B6D" w14:textId="13E2C05B" w:rsidR="006F76EB" w:rsidRDefault="006F76EB" w:rsidP="006F76EB">
      <w:pPr>
        <w:tabs>
          <w:tab w:val="left" w:pos="1134"/>
        </w:tabs>
        <w:spacing w:after="160" w:line="360" w:lineRule="auto"/>
        <w:ind w:right="-6" w:firstLine="567"/>
        <w:jc w:val="both"/>
        <w:rPr>
          <w:rFonts w:ascii="Sylfaen" w:hAnsi="Sylfaen"/>
          <w:sz w:val="24"/>
          <w:szCs w:val="24"/>
        </w:rPr>
      </w:pPr>
      <w:r w:rsidRPr="00AD2459">
        <w:rPr>
          <w:rFonts w:ascii="Sylfaen" w:hAnsi="Sylfaen"/>
          <w:sz w:val="24"/>
          <w:szCs w:val="24"/>
        </w:rPr>
        <w:t>գրանցման հավաստագրի իրավատեր</w:t>
      </w:r>
      <w:r w:rsidRPr="00834D52">
        <w:rPr>
          <w:rFonts w:ascii="Sylfaen" w:hAnsi="Sylfaen"/>
          <w:sz w:val="24"/>
          <w:szCs w:val="24"/>
        </w:rPr>
        <w:t xml:space="preserve">՝ իրավաբանական անձ, որի անունով տրվել է դեղապատրաստուկի գրանցման հավաստագիրը </w:t>
      </w:r>
      <w:r w:rsidR="00C54D75">
        <w:rPr>
          <w:rFonts w:ascii="Sylfaen" w:hAnsi="Sylfaen"/>
          <w:sz w:val="24"/>
          <w:szCs w:val="24"/>
        </w:rPr>
        <w:t>և</w:t>
      </w:r>
      <w:r w:rsidRPr="00834D52">
        <w:rPr>
          <w:rFonts w:ascii="Sylfaen" w:hAnsi="Sylfaen"/>
          <w:sz w:val="24"/>
          <w:szCs w:val="24"/>
        </w:rPr>
        <w:t xml:space="preserve"> որը պատասխանատվություն է կրում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համար.</w:t>
      </w:r>
    </w:p>
    <w:p w14:paraId="7CFA3254" w14:textId="076D8878" w:rsidR="00371618" w:rsidRPr="00834D52" w:rsidRDefault="00371618" w:rsidP="006F76EB">
      <w:pPr>
        <w:tabs>
          <w:tab w:val="left" w:pos="1134"/>
        </w:tabs>
        <w:spacing w:after="160" w:line="360" w:lineRule="auto"/>
        <w:ind w:right="-6" w:firstLine="567"/>
        <w:jc w:val="both"/>
        <w:rPr>
          <w:rFonts w:ascii="Sylfaen" w:eastAsia="Times New Roman" w:hAnsi="Sylfaen" w:cs="Times New Roman"/>
          <w:sz w:val="24"/>
          <w:szCs w:val="24"/>
        </w:rPr>
      </w:pPr>
      <w:r w:rsidRPr="00371618">
        <w:rPr>
          <w:rFonts w:ascii="Sylfaen" w:eastAsia="Times New Roman" w:hAnsi="Sylfaen" w:cs="Times New Roman"/>
          <w:sz w:val="24"/>
          <w:szCs w:val="24"/>
        </w:rPr>
        <w:t>իրական կլինիկական գործունեության տվյալներ»՝ տարբեր աղբյուրներից ստացված՝ պացիենտի առողջական վիճակին և (կամ) բուժօգնության ցուցաբերման գործընթացին վերաբերող տվյալներ</w:t>
      </w:r>
      <w:r>
        <w:rPr>
          <w:rFonts w:ascii="Sylfaen" w:eastAsia="Times New Roman" w:hAnsi="Sylfaen" w:cs="Times New Roman"/>
          <w:sz w:val="24"/>
          <w:szCs w:val="24"/>
        </w:rPr>
        <w:t>.</w:t>
      </w:r>
    </w:p>
    <w:p w14:paraId="6405625F" w14:textId="101929A8" w:rsidR="006F76EB" w:rsidRDefault="006F76EB" w:rsidP="006F76EB">
      <w:pPr>
        <w:tabs>
          <w:tab w:val="left" w:pos="1134"/>
        </w:tabs>
        <w:spacing w:after="160" w:line="360" w:lineRule="auto"/>
        <w:ind w:right="-6" w:firstLine="567"/>
        <w:jc w:val="both"/>
        <w:rPr>
          <w:rFonts w:ascii="Sylfaen" w:hAnsi="Sylfaen"/>
          <w:sz w:val="24"/>
          <w:szCs w:val="24"/>
        </w:rPr>
      </w:pPr>
      <w:r w:rsidRPr="001268BB">
        <w:rPr>
          <w:rFonts w:ascii="Sylfaen" w:hAnsi="Sylfaen"/>
          <w:sz w:val="24"/>
          <w:szCs w:val="24"/>
        </w:rPr>
        <w:t>Միության գրանցված դեղամիջոցների միասնական ռեեստր՝</w:t>
      </w:r>
      <w:r w:rsidRPr="00834D52">
        <w:rPr>
          <w:rFonts w:ascii="Sylfaen" w:hAnsi="Sylfaen"/>
          <w:sz w:val="24"/>
          <w:szCs w:val="24"/>
        </w:rPr>
        <w:t xml:space="preserve"> ընդհանուր տեղեկատվական ռեսուրս, որը ձ</w:t>
      </w:r>
      <w:r w:rsidR="00C54D75">
        <w:rPr>
          <w:rFonts w:ascii="Sylfaen" w:hAnsi="Sylfaen"/>
          <w:sz w:val="24"/>
          <w:szCs w:val="24"/>
        </w:rPr>
        <w:t>և</w:t>
      </w:r>
      <w:r w:rsidRPr="00834D52">
        <w:rPr>
          <w:rFonts w:ascii="Sylfaen" w:hAnsi="Sylfaen"/>
          <w:sz w:val="24"/>
          <w:szCs w:val="24"/>
        </w:rPr>
        <w:t xml:space="preserve">ավորվում է ինտեգրված համակարգի շրջանակներում </w:t>
      </w:r>
      <w:r w:rsidR="00C54D75">
        <w:rPr>
          <w:rFonts w:ascii="Sylfaen" w:hAnsi="Sylfaen"/>
          <w:sz w:val="24"/>
          <w:szCs w:val="24"/>
        </w:rPr>
        <w:t>և</w:t>
      </w:r>
      <w:r w:rsidRPr="00834D52">
        <w:rPr>
          <w:rFonts w:ascii="Sylfaen" w:hAnsi="Sylfaen"/>
          <w:sz w:val="24"/>
          <w:szCs w:val="24"/>
        </w:rPr>
        <w:t xml:space="preserve"> պարունակում է տեղեկություններ՝ սույն Կանոններին համապատասխան գրանցված կամ գրանցման հետ կապված այլ ընթացակարգեր անցած դեղամիջոցների մասին.</w:t>
      </w:r>
    </w:p>
    <w:p w14:paraId="305FBF24" w14:textId="47659AC2" w:rsidR="00371618" w:rsidRPr="00834D52" w:rsidRDefault="00371618" w:rsidP="006F76EB">
      <w:pPr>
        <w:tabs>
          <w:tab w:val="left" w:pos="1134"/>
        </w:tabs>
        <w:spacing w:after="160" w:line="360" w:lineRule="auto"/>
        <w:ind w:right="-6" w:firstLine="567"/>
        <w:jc w:val="both"/>
        <w:rPr>
          <w:rFonts w:ascii="Sylfaen" w:eastAsia="Times New Roman" w:hAnsi="Sylfaen" w:cs="Times New Roman"/>
          <w:sz w:val="24"/>
          <w:szCs w:val="24"/>
        </w:rPr>
      </w:pPr>
      <w:r w:rsidRPr="00371618">
        <w:rPr>
          <w:rFonts w:ascii="Sylfaen" w:eastAsia="Times New Roman" w:hAnsi="Sylfaen" w:cs="Times New Roman"/>
          <w:sz w:val="24"/>
          <w:szCs w:val="24"/>
        </w:rPr>
        <w:t>իրական կլինիկական գործունեության տվյալների հիման վրա ստացված ապացույցներ»՝ իրական կլինիկական գործունեության տվյալների հավաքման և վերլուծության հիման վրա ստացված՝ դեղապատրաստուկի կիրառման և կիրառման հնարավոր օգուտի կամ ռիսկի մասով կլինիկական ապացույցներ</w:t>
      </w:r>
      <w:r>
        <w:rPr>
          <w:rFonts w:ascii="Sylfaen" w:eastAsia="Times New Roman" w:hAnsi="Sylfaen" w:cs="Times New Roman"/>
          <w:sz w:val="24"/>
          <w:szCs w:val="24"/>
        </w:rPr>
        <w:t>.</w:t>
      </w:r>
    </w:p>
    <w:p w14:paraId="3D9BC52E" w14:textId="401DFEC0" w:rsidR="006F76EB" w:rsidRPr="00834D52" w:rsidRDefault="0056496B" w:rsidP="006F76EB">
      <w:pPr>
        <w:tabs>
          <w:tab w:val="left" w:pos="1134"/>
        </w:tabs>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1268BB">
        <w:rPr>
          <w:rFonts w:ascii="Sylfaen" w:hAnsi="Sylfaen"/>
          <w:sz w:val="24"/>
          <w:szCs w:val="24"/>
        </w:rPr>
        <w:t>՝</w:t>
      </w:r>
      <w:r w:rsidR="006F76EB" w:rsidRPr="00834D52">
        <w:rPr>
          <w:rFonts w:ascii="Sylfaen" w:hAnsi="Sylfaen"/>
          <w:sz w:val="24"/>
          <w:szCs w:val="24"/>
        </w:rPr>
        <w:t xml:space="preserve"> իրավաբանական անձ, որն իրավասու է ներկայացնելու դեղապատրաստուկները գրանցելու, գրանցումը հաստատելու (վերագրանցելու), գրանցման դոսյեում փոփոխություններ կատարելու </w:t>
      </w:r>
      <w:r w:rsidR="00C54D75">
        <w:rPr>
          <w:rFonts w:ascii="Sylfaen" w:hAnsi="Sylfaen"/>
          <w:sz w:val="24"/>
          <w:szCs w:val="24"/>
        </w:rPr>
        <w:t>և</w:t>
      </w:r>
      <w:r w:rsidR="006F76EB" w:rsidRPr="00834D52">
        <w:rPr>
          <w:rFonts w:ascii="Sylfaen" w:hAnsi="Sylfaen"/>
          <w:sz w:val="24"/>
          <w:szCs w:val="24"/>
        </w:rPr>
        <w:t xml:space="preserve"> գրանցման հետ կապված այլ ընթացակարգեր իրականացնելու վերաբերյալ </w:t>
      </w:r>
      <w:r>
        <w:rPr>
          <w:rFonts w:ascii="Sylfaen" w:hAnsi="Sylfaen"/>
          <w:sz w:val="24"/>
          <w:szCs w:val="24"/>
        </w:rPr>
        <w:t>դիմում</w:t>
      </w:r>
      <w:r w:rsidR="006F76EB" w:rsidRPr="00834D52">
        <w:rPr>
          <w:rFonts w:ascii="Sylfaen" w:hAnsi="Sylfaen"/>
          <w:sz w:val="24"/>
          <w:szCs w:val="24"/>
        </w:rPr>
        <w:t xml:space="preserve"> </w:t>
      </w:r>
      <w:r w:rsidR="00C54D75">
        <w:rPr>
          <w:rFonts w:ascii="Sylfaen" w:hAnsi="Sylfaen"/>
          <w:sz w:val="24"/>
          <w:szCs w:val="24"/>
        </w:rPr>
        <w:t>և</w:t>
      </w:r>
      <w:r w:rsidR="006F76EB" w:rsidRPr="00834D52">
        <w:rPr>
          <w:rFonts w:ascii="Sylfaen" w:hAnsi="Sylfaen"/>
          <w:sz w:val="24"/>
          <w:szCs w:val="24"/>
        </w:rPr>
        <w:t xml:space="preserve"> պատասխանատվություն է կրում իր ներկայացրած փաստաթղթերում </w:t>
      </w:r>
      <w:r w:rsidR="00C54D75">
        <w:rPr>
          <w:rFonts w:ascii="Sylfaen" w:hAnsi="Sylfaen"/>
          <w:sz w:val="24"/>
          <w:szCs w:val="24"/>
        </w:rPr>
        <w:t>և</w:t>
      </w:r>
      <w:r w:rsidR="006F76EB" w:rsidRPr="00834D52">
        <w:rPr>
          <w:rFonts w:ascii="Sylfaen" w:hAnsi="Sylfaen"/>
          <w:sz w:val="24"/>
          <w:szCs w:val="24"/>
        </w:rPr>
        <w:t xml:space="preserve"> գրանցման դոսյեում պարունակվող տեղեկատվության հավաստիության համար.</w:t>
      </w:r>
    </w:p>
    <w:p w14:paraId="1BE85A6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իմունաբանական դեղապատրաստուկ (իմունակենսաբանական</w:t>
      </w:r>
      <w:r w:rsidRPr="00834D52">
        <w:rPr>
          <w:rFonts w:ascii="Sylfaen" w:hAnsi="Sylfaen"/>
          <w:b/>
          <w:sz w:val="24"/>
          <w:szCs w:val="24"/>
        </w:rPr>
        <w:t xml:space="preserve"> </w:t>
      </w:r>
      <w:r w:rsidRPr="001268BB">
        <w:rPr>
          <w:rFonts w:ascii="Sylfaen" w:hAnsi="Sylfaen"/>
          <w:sz w:val="24"/>
          <w:szCs w:val="24"/>
        </w:rPr>
        <w:t>դեղապատրաստուկ)՝</w:t>
      </w:r>
      <w:r w:rsidRPr="00834D52">
        <w:rPr>
          <w:rFonts w:ascii="Sylfaen" w:hAnsi="Sylfaen"/>
          <w:sz w:val="24"/>
          <w:szCs w:val="24"/>
        </w:rPr>
        <w:t xml:space="preserve"> դեղապատրաստուկ, որը նախատեսված է ակտիվ կամ պասիվ իմունիտետի ձ</w:t>
      </w:r>
      <w:r w:rsidR="00C54D75">
        <w:rPr>
          <w:rFonts w:ascii="Sylfaen" w:hAnsi="Sylfaen"/>
          <w:sz w:val="24"/>
          <w:szCs w:val="24"/>
        </w:rPr>
        <w:t>և</w:t>
      </w:r>
      <w:r w:rsidRPr="00834D52">
        <w:rPr>
          <w:rFonts w:ascii="Sylfaen" w:hAnsi="Sylfaen"/>
          <w:sz w:val="24"/>
          <w:szCs w:val="24"/>
        </w:rPr>
        <w:t xml:space="preserve">ավորման, կամ իմունիտետի առկայությունն ախտորոշելու, </w:t>
      </w:r>
      <w:r w:rsidRPr="00834D52">
        <w:rPr>
          <w:rFonts w:ascii="Sylfaen" w:hAnsi="Sylfaen"/>
          <w:sz w:val="24"/>
          <w:szCs w:val="24"/>
        </w:rPr>
        <w:lastRenderedPageBreak/>
        <w:t>կամ ալերգիա առաջացնող նյութի նկատմամբ իմունաբանական պատասխանի՝ ձեռքբերովի սպեցիֆիկ փոփոխությունն ախտորոշելու (կատարելու) համար.</w:t>
      </w:r>
    </w:p>
    <w:p w14:paraId="3BE17325"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բժշկական կիրառման հրահանգ (ներդիր-թերթիկ)՝</w:t>
      </w:r>
      <w:r w:rsidRPr="00834D52">
        <w:rPr>
          <w:rFonts w:ascii="Sylfaen" w:hAnsi="Sylfaen"/>
          <w:sz w:val="24"/>
          <w:szCs w:val="24"/>
        </w:rPr>
        <w:t xml:space="preserve"> անդամ պետության լիազորված մարմնի կողմից Միության մարմինների ակտերին համապատասխան հաստատվող փաստաթուղթ, որը պարունակում է տեղեկատվություն սպառողի համար </w:t>
      </w:r>
      <w:r w:rsidR="00C54D75">
        <w:rPr>
          <w:rFonts w:ascii="Sylfaen" w:hAnsi="Sylfaen"/>
          <w:sz w:val="24"/>
          <w:szCs w:val="24"/>
        </w:rPr>
        <w:t>և</w:t>
      </w:r>
      <w:r w:rsidRPr="00834D52">
        <w:rPr>
          <w:rFonts w:ascii="Sylfaen" w:hAnsi="Sylfaen"/>
          <w:sz w:val="24"/>
          <w:szCs w:val="24"/>
        </w:rPr>
        <w:t xml:space="preserve"> ուղեկցում է դեղապատրաստուկը փաթեթվածքի մեջ.</w:t>
      </w:r>
    </w:p>
    <w:p w14:paraId="530B15BA"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դեղամիջոցի որակ՝</w:t>
      </w:r>
      <w:r w:rsidRPr="00834D52">
        <w:rPr>
          <w:rFonts w:ascii="Sylfaen" w:hAnsi="Sylfaen"/>
          <w:sz w:val="24"/>
          <w:szCs w:val="24"/>
        </w:rPr>
        <w:t xml:space="preserve"> դեղագործական սուբստանցիայի </w:t>
      </w:r>
      <w:r w:rsidR="00C54D75">
        <w:rPr>
          <w:rFonts w:ascii="Sylfaen" w:hAnsi="Sylfaen"/>
          <w:sz w:val="24"/>
          <w:szCs w:val="24"/>
        </w:rPr>
        <w:t>և</w:t>
      </w:r>
      <w:r w:rsidRPr="00834D52">
        <w:rPr>
          <w:rFonts w:ascii="Sylfaen" w:hAnsi="Sylfaen"/>
          <w:sz w:val="24"/>
          <w:szCs w:val="24"/>
        </w:rPr>
        <w:t xml:space="preserve"> դեղապատրաստուկի հատկությունների </w:t>
      </w:r>
      <w:r w:rsidR="00C54D75">
        <w:rPr>
          <w:rFonts w:ascii="Sylfaen" w:hAnsi="Sylfaen"/>
          <w:sz w:val="24"/>
          <w:szCs w:val="24"/>
        </w:rPr>
        <w:t>և</w:t>
      </w:r>
      <w:r w:rsidRPr="00834D52">
        <w:rPr>
          <w:rFonts w:ascii="Sylfaen" w:hAnsi="Sylfaen"/>
          <w:sz w:val="24"/>
          <w:szCs w:val="24"/>
        </w:rPr>
        <w:t xml:space="preserve"> բնութագրերի ամբողջություն, որն ապահովում է դրանց համապատասխանությունը նպատակային նշանակությանը՝ Միության մարմինների ակտերի պահանջներին համապատասխան.</w:t>
      </w:r>
    </w:p>
    <w:p w14:paraId="6B4D5EC1"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դեղաձ</w:t>
      </w:r>
      <w:r w:rsidR="00C54D75">
        <w:rPr>
          <w:rFonts w:ascii="Sylfaen" w:hAnsi="Sylfaen"/>
          <w:sz w:val="24"/>
          <w:szCs w:val="24"/>
        </w:rPr>
        <w:t>և</w:t>
      </w:r>
      <w:r w:rsidRPr="001268BB">
        <w:rPr>
          <w:rFonts w:ascii="Sylfaen" w:hAnsi="Sylfaen"/>
          <w:sz w:val="24"/>
          <w:szCs w:val="24"/>
        </w:rPr>
        <w:t>՝</w:t>
      </w:r>
      <w:r w:rsidRPr="00834D52">
        <w:rPr>
          <w:rFonts w:ascii="Sylfaen" w:hAnsi="Sylfaen"/>
          <w:sz w:val="24"/>
          <w:szCs w:val="24"/>
        </w:rPr>
        <w:t xml:space="preserve"> դեղապատրաստուկի վիճակ, որը համապատասխանում է դրա ներմուծման </w:t>
      </w:r>
      <w:r w:rsidR="00C54D75">
        <w:rPr>
          <w:rFonts w:ascii="Sylfaen" w:hAnsi="Sylfaen"/>
          <w:sz w:val="24"/>
          <w:szCs w:val="24"/>
        </w:rPr>
        <w:t>և</w:t>
      </w:r>
      <w:r w:rsidRPr="00834D52">
        <w:rPr>
          <w:rFonts w:ascii="Sylfaen" w:hAnsi="Sylfaen"/>
          <w:sz w:val="24"/>
          <w:szCs w:val="24"/>
        </w:rPr>
        <w:t xml:space="preserve"> կիրառման եղանակներին </w:t>
      </w:r>
      <w:r w:rsidR="00C54D75">
        <w:rPr>
          <w:rFonts w:ascii="Sylfaen" w:hAnsi="Sylfaen"/>
          <w:sz w:val="24"/>
          <w:szCs w:val="24"/>
        </w:rPr>
        <w:t>և</w:t>
      </w:r>
      <w:r w:rsidRPr="00834D52">
        <w:rPr>
          <w:rFonts w:ascii="Sylfaen" w:hAnsi="Sylfaen"/>
          <w:sz w:val="24"/>
          <w:szCs w:val="24"/>
        </w:rPr>
        <w:t xml:space="preserve"> ապահովում է անհրաժեշտ էֆեկտին հասնելը.</w:t>
      </w:r>
    </w:p>
    <w:p w14:paraId="1238F852"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դեղաբուսական հումք՝</w:t>
      </w:r>
      <w:r w:rsidRPr="00834D52">
        <w:rPr>
          <w:rFonts w:ascii="Sylfaen" w:hAnsi="Sylfaen"/>
          <w:sz w:val="24"/>
          <w:szCs w:val="24"/>
        </w:rPr>
        <w:t xml:space="preserve"> դեղամիջոցների արտադրության համար օգտագործվող թարմ կամ չորացրած բույսեր, ջրիմուռներ, սնկեր կամ քարաքոսեր կամ դրանց մասեր՝ ամբողջական կամ մանրացրած.</w:t>
      </w:r>
    </w:p>
    <w:p w14:paraId="2E9B0BFA"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դեղապատրաստուկ՝ լավ ուսումնասիրված բժշկական կիրառմամբ՝</w:t>
      </w:r>
      <w:r w:rsidRPr="00834D52">
        <w:rPr>
          <w:rFonts w:ascii="Sylfaen" w:hAnsi="Sylfaen"/>
          <w:sz w:val="24"/>
          <w:szCs w:val="24"/>
        </w:rPr>
        <w:t xml:space="preserve"> դեղապատրաստուկ, որի ազդող նյութը բժշկական կիրառման ընթացքում լավ ուսումնասիրվել է, ընդ որում, ճանաչվել են դրա արդյունավետությունը </w:t>
      </w:r>
      <w:r w:rsidR="00C54D75">
        <w:rPr>
          <w:rFonts w:ascii="Sylfaen" w:hAnsi="Sylfaen"/>
          <w:sz w:val="24"/>
          <w:szCs w:val="24"/>
        </w:rPr>
        <w:t>և</w:t>
      </w:r>
      <w:r w:rsidRPr="00834D52">
        <w:rPr>
          <w:rFonts w:ascii="Sylfaen" w:hAnsi="Sylfaen"/>
          <w:sz w:val="24"/>
          <w:szCs w:val="24"/>
        </w:rPr>
        <w:t xml:space="preserve"> անվտանգության ընդունելի աստիճանը, որոնք հաստատվել են հետգրանցումային </w:t>
      </w:r>
      <w:r w:rsidR="00C54D75">
        <w:rPr>
          <w:rFonts w:ascii="Sylfaen" w:hAnsi="Sylfaen"/>
          <w:sz w:val="24"/>
          <w:szCs w:val="24"/>
        </w:rPr>
        <w:t>և</w:t>
      </w:r>
      <w:r w:rsidRPr="00834D52">
        <w:rPr>
          <w:rFonts w:ascii="Sylfaen" w:hAnsi="Sylfaen"/>
          <w:sz w:val="24"/>
          <w:szCs w:val="24"/>
        </w:rPr>
        <w:t xml:space="preserve"> (կամ) համաճարակաբանական հետազոտությունների մասին հրապարակված տվյալներին մանրամասն մատենագիտական հղումներով, </w:t>
      </w:r>
      <w:r w:rsidR="00C54D75">
        <w:rPr>
          <w:rFonts w:ascii="Sylfaen" w:hAnsi="Sylfaen"/>
          <w:sz w:val="24"/>
          <w:szCs w:val="24"/>
        </w:rPr>
        <w:t>և</w:t>
      </w:r>
      <w:r w:rsidRPr="00834D52">
        <w:rPr>
          <w:rFonts w:ascii="Sylfaen" w:hAnsi="Sylfaen"/>
          <w:sz w:val="24"/>
          <w:szCs w:val="24"/>
        </w:rPr>
        <w:t xml:space="preserve"> տվյալ դեղապատրաստուկի ազդող նյութի (ազդող նյութերի)՝ առնվազն 3 անդամ պետություններում առաջին պարբերական </w:t>
      </w:r>
      <w:r w:rsidR="00C54D75">
        <w:rPr>
          <w:rFonts w:ascii="Sylfaen" w:hAnsi="Sylfaen"/>
          <w:sz w:val="24"/>
          <w:szCs w:val="24"/>
        </w:rPr>
        <w:t>և</w:t>
      </w:r>
      <w:r w:rsidRPr="00834D52">
        <w:rPr>
          <w:rFonts w:ascii="Sylfaen" w:hAnsi="Sylfaen"/>
          <w:sz w:val="24"/>
          <w:szCs w:val="24"/>
        </w:rPr>
        <w:t xml:space="preserve"> փաստաթղթավորված կիրառման օրվանից անցել է առնվազն 10 տարի.</w:t>
      </w:r>
    </w:p>
    <w:p w14:paraId="0D27336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դեղաբուսական պատրաստուկ</w:t>
      </w:r>
      <w:r w:rsidRPr="00834D52">
        <w:rPr>
          <w:rFonts w:ascii="Sylfaen" w:hAnsi="Sylfaen"/>
          <w:sz w:val="24"/>
          <w:szCs w:val="24"/>
        </w:rPr>
        <w:t xml:space="preserve">՝ դեղապատրաստուկ, որը, որպես ակտիվ բաղադրամաս, պարունակում է բացառապես դեղաբուսական հումք </w:t>
      </w:r>
      <w:r w:rsidR="00C54D75">
        <w:rPr>
          <w:rFonts w:ascii="Sylfaen" w:hAnsi="Sylfaen"/>
          <w:sz w:val="24"/>
          <w:szCs w:val="24"/>
        </w:rPr>
        <w:t>և</w:t>
      </w:r>
      <w:r w:rsidRPr="00834D52">
        <w:rPr>
          <w:rFonts w:ascii="Sylfaen" w:hAnsi="Sylfaen"/>
          <w:sz w:val="24"/>
          <w:szCs w:val="24"/>
        </w:rPr>
        <w:t xml:space="preserve"> (կամ) դրա հիմքով պատրաստուկներ.</w:t>
      </w:r>
    </w:p>
    <w:p w14:paraId="33EC28D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lastRenderedPageBreak/>
        <w:t>միջազգային չարտոնագրված անվանում</w:t>
      </w:r>
      <w:r w:rsidRPr="00834D52">
        <w:rPr>
          <w:rFonts w:ascii="Sylfaen" w:hAnsi="Sylfaen"/>
          <w:sz w:val="24"/>
          <w:szCs w:val="24"/>
        </w:rPr>
        <w:t>՝ ազդող նյութի անվանում, որն առաջարկվել է Առողջապահության համաշխարհային կազմակերպության կողմից.</w:t>
      </w:r>
    </w:p>
    <w:p w14:paraId="05E6ECCA" w14:textId="7087CBC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որակի վերաբերյալ նորմատիվ փաստաթուղթ</w:t>
      </w:r>
      <w:r w:rsidRPr="00834D52">
        <w:rPr>
          <w:rFonts w:ascii="Sylfaen" w:hAnsi="Sylfaen"/>
          <w:sz w:val="24"/>
          <w:szCs w:val="24"/>
        </w:rPr>
        <w:t xml:space="preserve">՝ փաստաթուղթ, որը սահմանում է դեղապատրաստուկի որակի հսկողությանը ներկայայացվող պահանջները (պարունակում է մասնագիր </w:t>
      </w:r>
      <w:r w:rsidR="00C54D75">
        <w:rPr>
          <w:rFonts w:ascii="Sylfaen" w:hAnsi="Sylfaen"/>
          <w:sz w:val="24"/>
          <w:szCs w:val="24"/>
        </w:rPr>
        <w:t>և</w:t>
      </w:r>
      <w:r w:rsidRPr="00834D52">
        <w:rPr>
          <w:rFonts w:ascii="Sylfaen" w:hAnsi="Sylfaen"/>
          <w:sz w:val="24"/>
          <w:szCs w:val="24"/>
        </w:rPr>
        <w:t xml:space="preserve"> վերլուծական մեթոդիկաների </w:t>
      </w:r>
      <w:r w:rsidR="00C54D75">
        <w:rPr>
          <w:rFonts w:ascii="Sylfaen" w:hAnsi="Sylfaen"/>
          <w:sz w:val="24"/>
          <w:szCs w:val="24"/>
        </w:rPr>
        <w:t>և</w:t>
      </w:r>
      <w:r w:rsidRPr="00834D52">
        <w:rPr>
          <w:rFonts w:ascii="Sylfaen" w:hAnsi="Sylfaen"/>
          <w:sz w:val="24"/>
          <w:szCs w:val="24"/>
        </w:rPr>
        <w:t xml:space="preserve"> փորձարկումների նկարագրություն կամ դրանց հղումներ, ինչպես նա</w:t>
      </w:r>
      <w:r w:rsidR="00C54D75">
        <w:rPr>
          <w:rFonts w:ascii="Sylfaen" w:hAnsi="Sylfaen"/>
          <w:sz w:val="24"/>
          <w:szCs w:val="24"/>
        </w:rPr>
        <w:t>և</w:t>
      </w:r>
      <w:r w:rsidRPr="00834D52">
        <w:rPr>
          <w:rFonts w:ascii="Sylfaen" w:hAnsi="Sylfaen"/>
          <w:sz w:val="24"/>
          <w:szCs w:val="24"/>
        </w:rPr>
        <w:t xml:space="preserve"> համապատասխան ընդունելիության չափանիշներ՝ որակի նշված ցուցանիշների համար </w:t>
      </w:r>
      <w:r w:rsidR="00C54D75">
        <w:rPr>
          <w:rFonts w:ascii="Sylfaen" w:hAnsi="Sylfaen"/>
          <w:sz w:val="24"/>
          <w:szCs w:val="24"/>
        </w:rPr>
        <w:t>և</w:t>
      </w:r>
      <w:r w:rsidRPr="00834D52">
        <w:rPr>
          <w:rFonts w:ascii="Sylfaen" w:hAnsi="Sylfaen"/>
          <w:sz w:val="24"/>
          <w:szCs w:val="24"/>
        </w:rPr>
        <w:t xml:space="preserve"> այլն) դեղապատրաստուկի՝ անցկացված փորձաքննության հիման վրա, հաստատվում է լիազորված մարմնի կողմից </w:t>
      </w:r>
      <w:r w:rsidR="006F28F9" w:rsidRPr="006F28F9">
        <w:rPr>
          <w:rFonts w:ascii="Sylfaen" w:hAnsi="Sylfaen"/>
          <w:sz w:val="24"/>
          <w:szCs w:val="24"/>
        </w:rPr>
        <w:t xml:space="preserve"> </w:t>
      </w:r>
      <w:r w:rsidR="006F28F9">
        <w:rPr>
          <w:rFonts w:ascii="Sylfaen" w:hAnsi="Sylfaen"/>
          <w:sz w:val="24"/>
          <w:szCs w:val="24"/>
        </w:rPr>
        <w:t>գրանցման, գրանցման (վերագրանցման) հաստատման, գրանցման դոսյեում փոփոխություններ կատարելու և գրանցման դոսյեն Միության պահանջներին համապատասխանեցնելու դեպքում</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նախատեսված է հետգրանցումային շրջանում Միության տարածքում դեղապատրաստուկի որակի հսկողության համար.</w:t>
      </w:r>
    </w:p>
    <w:p w14:paraId="0716B57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ընդհանուր</w:t>
      </w:r>
      <w:r w:rsidRPr="00375522">
        <w:rPr>
          <w:rFonts w:ascii="Sylfaen" w:hAnsi="Sylfaen"/>
          <w:sz w:val="24"/>
          <w:szCs w:val="24"/>
        </w:rPr>
        <w:t xml:space="preserve"> բնութագիր՝</w:t>
      </w:r>
      <w:r w:rsidRPr="00834D52">
        <w:rPr>
          <w:rFonts w:ascii="Sylfaen" w:hAnsi="Sylfaen"/>
          <w:sz w:val="24"/>
          <w:szCs w:val="24"/>
        </w:rPr>
        <w:t xml:space="preserve"> անդամ պետության լիազորված մարմնի կողմից Միության մարմինների ակտերին համապատասխան հաստատվող փաստաթուղթ, որը պարունակում է դեղապատրաստուկի անվտանգ </w:t>
      </w:r>
      <w:r w:rsidR="00C54D75">
        <w:rPr>
          <w:rFonts w:ascii="Sylfaen" w:hAnsi="Sylfaen"/>
          <w:sz w:val="24"/>
          <w:szCs w:val="24"/>
        </w:rPr>
        <w:t>և</w:t>
      </w:r>
      <w:r w:rsidRPr="00834D52">
        <w:rPr>
          <w:rFonts w:ascii="Sylfaen" w:hAnsi="Sylfaen"/>
          <w:sz w:val="24"/>
          <w:szCs w:val="24"/>
        </w:rPr>
        <w:t xml:space="preserve"> արդյունավետ կիրառման մասին տեղեկատվություն՝ բուժաշխատողների համար.</w:t>
      </w:r>
    </w:p>
    <w:p w14:paraId="0D3C2C9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համընդհանուր (խմբային) անվանում՝</w:t>
      </w:r>
      <w:r w:rsidRPr="00834D52">
        <w:rPr>
          <w:rFonts w:ascii="Sylfaen" w:hAnsi="Sylfaen"/>
          <w:sz w:val="24"/>
          <w:szCs w:val="24"/>
        </w:rPr>
        <w:t xml:space="preserve"> միջազգային չարտոնագրված անվանում չունեցող դեղապատրաստուկի կամ դեղապատրաստուկների համակցության անվանում, որն օգտագործվում է դրանք խմբի մեջ մեկ անվան տակ միավորելու նպատակով՝ հիմք ընդունելով ազդող նյութերի նույն որակական բաղադրությունը. </w:t>
      </w:r>
    </w:p>
    <w:p w14:paraId="588648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օրիգինալ դեղապատրաստուկ</w:t>
      </w:r>
      <w:r w:rsidRPr="00834D52">
        <w:rPr>
          <w:rFonts w:ascii="Sylfaen" w:hAnsi="Sylfaen"/>
          <w:sz w:val="24"/>
          <w:szCs w:val="24"/>
        </w:rPr>
        <w:t xml:space="preserve">՝ նոր ազդող նյութով դեղապատրաստուկ, որն առաջինն է գրանցվել </w:t>
      </w:r>
      <w:r w:rsidR="00C54D75">
        <w:rPr>
          <w:rFonts w:ascii="Sylfaen" w:hAnsi="Sylfaen"/>
          <w:sz w:val="24"/>
          <w:szCs w:val="24"/>
        </w:rPr>
        <w:t>և</w:t>
      </w:r>
      <w:r w:rsidRPr="00834D52">
        <w:rPr>
          <w:rFonts w:ascii="Sylfaen" w:hAnsi="Sylfaen"/>
          <w:sz w:val="24"/>
          <w:szCs w:val="24"/>
        </w:rPr>
        <w:t xml:space="preserve"> դուրս բերվել համաշխարհային դեղագործական շուկա՝ դրա որակը,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հաստատող լիարժեք նախակլինիկական (ոչ 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արդյունքները պարունակող դոսյեի հիման վրա.</w:t>
      </w:r>
    </w:p>
    <w:p w14:paraId="32A1258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lastRenderedPageBreak/>
        <w:t>«որբ» (հազվադեպ կիրառվող) դեղապատրաստուկ</w:t>
      </w:r>
      <w:r w:rsidRPr="00834D52">
        <w:rPr>
          <w:rFonts w:ascii="Sylfaen" w:hAnsi="Sylfaen"/>
          <w:sz w:val="24"/>
          <w:szCs w:val="24"/>
        </w:rPr>
        <w:t>՝ դեղապատրաստուկ, որը նախատեսված է այն հազվադեպ («որբ») հիվանդությունների ախտորոշման, էթիոպաթոգենետիկ կամ պաթոգենետիկ բուժման (հիվանդության զարգացման մեխանիզմին ուղղված բուժման) համար, որոնց հաճախականությունը չի</w:t>
      </w:r>
      <w:r w:rsidR="00375522" w:rsidRPr="007D7DA2">
        <w:rPr>
          <w:rFonts w:ascii="Sylfaen" w:hAnsi="Sylfaen"/>
          <w:sz w:val="24"/>
          <w:szCs w:val="24"/>
        </w:rPr>
        <w:t> </w:t>
      </w:r>
      <w:r w:rsidRPr="00834D52">
        <w:rPr>
          <w:rFonts w:ascii="Sylfaen" w:hAnsi="Sylfaen"/>
          <w:sz w:val="24"/>
          <w:szCs w:val="24"/>
        </w:rPr>
        <w:t>գերազանցում անդամ պետությունում պաշտոնապես սահմանված մակարդակը.</w:t>
      </w:r>
    </w:p>
    <w:p w14:paraId="6B293542"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գրանցման հավաստագրի իրավատիրոջ ներկայացուցիչ՝</w:t>
      </w:r>
      <w:r w:rsidRPr="00834D52">
        <w:rPr>
          <w:rFonts w:ascii="Sylfaen" w:hAnsi="Sylfaen"/>
          <w:sz w:val="24"/>
          <w:szCs w:val="24"/>
        </w:rPr>
        <w:t xml:space="preserve"> անդամ պետության օրենսդրությանը համապատասխան գրանցված իրավաբանական անձ կամ իրավաբանական անձի առանձնացված ստորաբաժանում, որը տեղակայված է անդամ պետության տարածքում </w:t>
      </w:r>
      <w:r w:rsidR="00C54D75">
        <w:rPr>
          <w:rFonts w:ascii="Sylfaen" w:hAnsi="Sylfaen"/>
          <w:sz w:val="24"/>
          <w:szCs w:val="24"/>
        </w:rPr>
        <w:t>և</w:t>
      </w:r>
      <w:r w:rsidRPr="00834D52">
        <w:rPr>
          <w:rFonts w:ascii="Sylfaen" w:hAnsi="Sylfaen"/>
          <w:sz w:val="24"/>
          <w:szCs w:val="24"/>
        </w:rPr>
        <w:t xml:space="preserve"> լիազորված է գրանցման հավաստագրի իրավատիրոջ կողմից անդամ պետության տարածքում դեղամիջոցների շրջանառության հետ կապված գործողություններ կատարելու համար.</w:t>
      </w:r>
    </w:p>
    <w:p w14:paraId="26ED0BEE"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դեղամիջոցներ արտադրող՝</w:t>
      </w:r>
      <w:r w:rsidRPr="00834D52">
        <w:rPr>
          <w:rFonts w:ascii="Sylfaen" w:hAnsi="Sylfaen"/>
          <w:sz w:val="24"/>
          <w:szCs w:val="24"/>
        </w:rPr>
        <w:t xml:space="preserve"> կազմակերպություն, որն իրականացնում է դեղամիջոցների արտադրության գործունեություն </w:t>
      </w:r>
      <w:r w:rsidR="00C54D75">
        <w:rPr>
          <w:rFonts w:ascii="Sylfaen" w:hAnsi="Sylfaen"/>
          <w:sz w:val="24"/>
          <w:szCs w:val="24"/>
        </w:rPr>
        <w:t>և</w:t>
      </w:r>
      <w:r w:rsidRPr="00834D52">
        <w:rPr>
          <w:rFonts w:ascii="Sylfaen" w:hAnsi="Sylfaen"/>
          <w:sz w:val="24"/>
          <w:szCs w:val="24"/>
        </w:rPr>
        <w:t xml:space="preserve"> գործունեության այդ տեսակի համար ունի արտադրող երկրի լիազորված մարմնի կողմից տրված թույլտվություն (լիցենզիա).</w:t>
      </w:r>
    </w:p>
    <w:p w14:paraId="6EEF731D" w14:textId="77777777" w:rsidR="006F76EB" w:rsidRPr="00834D52" w:rsidRDefault="006F76EB" w:rsidP="007D7DA2">
      <w:pPr>
        <w:tabs>
          <w:tab w:val="left" w:pos="1134"/>
        </w:tabs>
        <w:spacing w:after="160" w:line="384" w:lineRule="auto"/>
        <w:ind w:right="-6" w:firstLine="567"/>
        <w:jc w:val="both"/>
        <w:rPr>
          <w:rFonts w:ascii="Sylfaen" w:eastAsia="Times New Roman" w:hAnsi="Sylfaen" w:cs="Times New Roman"/>
          <w:sz w:val="24"/>
          <w:szCs w:val="24"/>
        </w:rPr>
      </w:pPr>
      <w:r w:rsidRPr="001268BB">
        <w:rPr>
          <w:rFonts w:ascii="Sylfaen" w:hAnsi="Sylfaen"/>
          <w:sz w:val="24"/>
          <w:szCs w:val="24"/>
        </w:rPr>
        <w:t>ռադիոդեղագործական դեղապատրաստուկ՝</w:t>
      </w:r>
      <w:r w:rsidRPr="00834D52">
        <w:rPr>
          <w:rFonts w:ascii="Sylfaen" w:hAnsi="Sylfaen"/>
          <w:sz w:val="24"/>
          <w:szCs w:val="24"/>
        </w:rPr>
        <w:t xml:space="preserve"> դեղապատրաստուկ, որը կիրառման համար պատրաստի վիճակում որպես ազդող նյութ կամ ազդող նյութի կազմում պարունակում է մեկ կամ մի քանի ռադիոնուկլիդներ (ռադիոակտիվ իզոտոպներ).</w:t>
      </w:r>
    </w:p>
    <w:p w14:paraId="73200E93"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բուսական դեղագործական սուբստանցիա՝</w:t>
      </w:r>
      <w:r w:rsidRPr="00834D52">
        <w:rPr>
          <w:rFonts w:ascii="Sylfaen" w:hAnsi="Sylfaen"/>
          <w:sz w:val="24"/>
          <w:szCs w:val="24"/>
        </w:rPr>
        <w:t xml:space="preserve"> սուբստանցիա, որը ստանում են բուսական հումքի այնպիսի մեթոդների միջոցով մշակումից հետո, ինչպիսիք են լուծամզումը, թորումը, մզումը, չափազատումը, մաքրումը, կոնցենտրացումը </w:t>
      </w:r>
      <w:r w:rsidR="00C54D75">
        <w:rPr>
          <w:rFonts w:ascii="Sylfaen" w:hAnsi="Sylfaen"/>
          <w:sz w:val="24"/>
          <w:szCs w:val="24"/>
        </w:rPr>
        <w:t>և</w:t>
      </w:r>
      <w:r w:rsidRPr="00834D52">
        <w:rPr>
          <w:rFonts w:ascii="Sylfaen" w:hAnsi="Sylfaen"/>
          <w:sz w:val="24"/>
          <w:szCs w:val="24"/>
        </w:rPr>
        <w:t xml:space="preserve"> խմորումը: Այդպիսի սուբստանցիաների շարքին են դասվում խիստ մանրեցված կամ փոշենման բուսական հումքը, թուրմերը, լուծամզվածքները, եթերայուղերը, մզված հյութերը </w:t>
      </w:r>
      <w:r w:rsidR="00C54D75">
        <w:rPr>
          <w:rFonts w:ascii="Sylfaen" w:hAnsi="Sylfaen"/>
          <w:sz w:val="24"/>
          <w:szCs w:val="24"/>
        </w:rPr>
        <w:t>և</w:t>
      </w:r>
      <w:r w:rsidRPr="00834D52">
        <w:rPr>
          <w:rFonts w:ascii="Sylfaen" w:hAnsi="Sylfaen"/>
          <w:sz w:val="24"/>
          <w:szCs w:val="24"/>
        </w:rPr>
        <w:t xml:space="preserve"> մշակված մզվածքները.</w:t>
      </w:r>
    </w:p>
    <w:p w14:paraId="2FDC2519" w14:textId="266FD233"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գրանցման դոսյե՝</w:t>
      </w:r>
      <w:r w:rsidRPr="00834D52">
        <w:rPr>
          <w:rFonts w:ascii="Sylfaen" w:hAnsi="Sylfaen"/>
          <w:sz w:val="24"/>
          <w:szCs w:val="24"/>
        </w:rPr>
        <w:t xml:space="preserve"> սույն Կանոններին համապատասխան ձ</w:t>
      </w:r>
      <w:r w:rsidR="00C54D75">
        <w:rPr>
          <w:rFonts w:ascii="Sylfaen" w:hAnsi="Sylfaen"/>
          <w:sz w:val="24"/>
          <w:szCs w:val="24"/>
        </w:rPr>
        <w:t>և</w:t>
      </w:r>
      <w:r w:rsidRPr="00834D52">
        <w:rPr>
          <w:rFonts w:ascii="Sylfaen" w:hAnsi="Sylfaen"/>
          <w:sz w:val="24"/>
          <w:szCs w:val="24"/>
        </w:rPr>
        <w:t xml:space="preserve">ակերպվող փաստաթղթերի փաթեթ (այդ թվում՝ </w:t>
      </w:r>
      <w:r w:rsidR="0056496B">
        <w:rPr>
          <w:rFonts w:ascii="Sylfaen" w:hAnsi="Sylfaen"/>
          <w:sz w:val="24"/>
          <w:szCs w:val="24"/>
        </w:rPr>
        <w:t>դիմում</w:t>
      </w:r>
      <w:r w:rsidRPr="00834D52">
        <w:rPr>
          <w:rFonts w:ascii="Sylfaen" w:hAnsi="Sylfaen"/>
          <w:sz w:val="24"/>
          <w:szCs w:val="24"/>
        </w:rPr>
        <w:t xml:space="preserve">), որը ներկայացվում է դեղապատրաստուկը գրանցելու, գրանցումը հաստատելու (վերագրանցելու) հետ </w:t>
      </w:r>
      <w:r w:rsidRPr="00834D52">
        <w:rPr>
          <w:rFonts w:ascii="Sylfaen" w:hAnsi="Sylfaen"/>
          <w:sz w:val="24"/>
          <w:szCs w:val="24"/>
        </w:rPr>
        <w:lastRenderedPageBreak/>
        <w:t xml:space="preserve">կապված ընթացակարգերի իրականացման համար. </w:t>
      </w:r>
    </w:p>
    <w:p w14:paraId="2B880820"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գրանցման հավաստագիր</w:t>
      </w:r>
      <w:r w:rsidRPr="00834D52">
        <w:rPr>
          <w:rFonts w:ascii="Sylfaen" w:hAnsi="Sylfaen"/>
          <w:sz w:val="24"/>
          <w:szCs w:val="24"/>
        </w:rPr>
        <w:t>՝ լիազորված մարմնի կողմից տրվող միասնական ձ</w:t>
      </w:r>
      <w:r w:rsidR="00C54D75">
        <w:rPr>
          <w:rFonts w:ascii="Sylfaen" w:hAnsi="Sylfaen"/>
          <w:sz w:val="24"/>
          <w:szCs w:val="24"/>
        </w:rPr>
        <w:t>և</w:t>
      </w:r>
      <w:r w:rsidRPr="00834D52">
        <w:rPr>
          <w:rFonts w:ascii="Sylfaen" w:hAnsi="Sylfaen"/>
          <w:sz w:val="24"/>
          <w:szCs w:val="24"/>
        </w:rPr>
        <w:t xml:space="preserve">ի փաստաթուղթ, որը հաստատում է դեղապատրաստուկի գրանցման փաստը </w:t>
      </w:r>
      <w:r w:rsidR="00C54D75">
        <w:rPr>
          <w:rFonts w:ascii="Sylfaen" w:hAnsi="Sylfaen"/>
          <w:sz w:val="24"/>
          <w:szCs w:val="24"/>
        </w:rPr>
        <w:t>և</w:t>
      </w:r>
      <w:r w:rsidRPr="00834D52">
        <w:rPr>
          <w:rFonts w:ascii="Sylfaen" w:hAnsi="Sylfaen"/>
          <w:sz w:val="24"/>
          <w:szCs w:val="24"/>
        </w:rPr>
        <w:t xml:space="preserve"> հանդիսանում է անդամ պետության տարածքում դրա բժշկական կիրառման համար թույլտվություն. </w:t>
      </w:r>
    </w:p>
    <w:p w14:paraId="1CAC7783"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pacing w:val="-4"/>
          <w:sz w:val="24"/>
          <w:szCs w:val="24"/>
        </w:rPr>
      </w:pPr>
      <w:r w:rsidRPr="001268BB">
        <w:rPr>
          <w:rFonts w:ascii="Sylfaen" w:hAnsi="Sylfaen"/>
          <w:spacing w:val="-4"/>
          <w:sz w:val="24"/>
          <w:szCs w:val="24"/>
        </w:rPr>
        <w:t>գրանցման համար՝</w:t>
      </w:r>
      <w:r w:rsidRPr="00834D52">
        <w:rPr>
          <w:rFonts w:ascii="Sylfaen" w:hAnsi="Sylfaen"/>
          <w:spacing w:val="-4"/>
          <w:sz w:val="24"/>
          <w:szCs w:val="24"/>
        </w:rPr>
        <w:t xml:space="preserve"> ծածկագրային նշագիր, որը տրվում է դեղապատրաստուկին անդամ պետության տարածքում գրանցման փաստի հիման վրա. </w:t>
      </w:r>
    </w:p>
    <w:p w14:paraId="1F71A5CC"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գրանցում՝</w:t>
      </w:r>
      <w:r w:rsidRPr="00834D52">
        <w:rPr>
          <w:rFonts w:ascii="Sylfaen" w:hAnsi="Sylfaen"/>
          <w:sz w:val="24"/>
          <w:szCs w:val="24"/>
        </w:rPr>
        <w:t xml:space="preserve"> մեկ կամ մի քանի անդամ պետությունների տարածքներում դեղապատրաստուկի բժշկական կիրառման թույլտվություն ստանալու գործընթաց, որն իրականացվում է սույն Կանոններին համապատասխան.</w:t>
      </w:r>
    </w:p>
    <w:p w14:paraId="65F24857" w14:textId="77777777" w:rsidR="006F76EB" w:rsidRPr="00834D52" w:rsidRDefault="00A13B22"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ռեֆերենտ </w:t>
      </w:r>
      <w:r w:rsidR="006F76EB" w:rsidRPr="001268BB">
        <w:rPr>
          <w:rFonts w:ascii="Sylfaen" w:hAnsi="Sylfaen"/>
          <w:sz w:val="24"/>
          <w:szCs w:val="24"/>
        </w:rPr>
        <w:t>պետություն</w:t>
      </w:r>
      <w:r w:rsidR="006F76EB" w:rsidRPr="00834D52">
        <w:rPr>
          <w:rFonts w:ascii="Sylfaen" w:hAnsi="Sylfaen"/>
          <w:sz w:val="24"/>
          <w:szCs w:val="24"/>
        </w:rPr>
        <w:t xml:space="preserve">՝ անդամ պետություն, որը դեղապատրաստուկի՝ սույն Կանոններին համապատասխան անցկացված փորձաքննության հիման վրա իրականացնում է դեղապատրաստուկի անվտանգության, արդյունավետության </w:t>
      </w:r>
      <w:r w:rsidR="00C54D75">
        <w:rPr>
          <w:rFonts w:ascii="Sylfaen" w:hAnsi="Sylfaen"/>
          <w:sz w:val="24"/>
          <w:szCs w:val="24"/>
        </w:rPr>
        <w:t>և</w:t>
      </w:r>
      <w:r w:rsidR="006F76EB" w:rsidRPr="00834D52">
        <w:rPr>
          <w:rFonts w:ascii="Sylfaen" w:hAnsi="Sylfaen"/>
          <w:sz w:val="24"/>
          <w:szCs w:val="24"/>
        </w:rPr>
        <w:t xml:space="preserve"> որակի գնահատման մասին փորձագիտական հաշվետվության նախապատրաստումը.</w:t>
      </w:r>
    </w:p>
    <w:p w14:paraId="1ACE2B84" w14:textId="77777777" w:rsidR="006F76EB" w:rsidRPr="00834D52" w:rsidRDefault="001F0017"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ռեֆերենտ </w:t>
      </w:r>
      <w:r w:rsidR="006F76EB" w:rsidRPr="001268BB">
        <w:rPr>
          <w:rFonts w:ascii="Sylfaen" w:hAnsi="Sylfaen"/>
          <w:sz w:val="24"/>
          <w:szCs w:val="24"/>
        </w:rPr>
        <w:t>դեղապատրաստուկ՝</w:t>
      </w:r>
      <w:r w:rsidR="006F76EB" w:rsidRPr="00834D52">
        <w:rPr>
          <w:rFonts w:ascii="Sylfaen" w:hAnsi="Sylfaen"/>
          <w:sz w:val="24"/>
          <w:szCs w:val="24"/>
        </w:rPr>
        <w:t xml:space="preserve"> դեղապատրաստուկ, որն օգտագործվում է որպես </w:t>
      </w:r>
      <w:r w:rsidR="00D0720C">
        <w:rPr>
          <w:rFonts w:ascii="Sylfaen" w:hAnsi="Sylfaen"/>
          <w:sz w:val="24"/>
          <w:szCs w:val="24"/>
        </w:rPr>
        <w:t>ռեֆերենտ</w:t>
      </w:r>
      <w:r w:rsidR="006F76EB" w:rsidRPr="00834D52">
        <w:rPr>
          <w:rFonts w:ascii="Sylfaen" w:hAnsi="Sylfaen"/>
          <w:sz w:val="24"/>
          <w:szCs w:val="24"/>
        </w:rPr>
        <w:t xml:space="preserve"> պատրաստուկ </w:t>
      </w:r>
      <w:r w:rsidR="00C54D75">
        <w:rPr>
          <w:rFonts w:ascii="Sylfaen" w:hAnsi="Sylfaen"/>
          <w:sz w:val="24"/>
          <w:szCs w:val="24"/>
        </w:rPr>
        <w:t>և</w:t>
      </w:r>
      <w:r w:rsidR="006F76EB" w:rsidRPr="00834D52">
        <w:rPr>
          <w:rFonts w:ascii="Sylfaen" w:hAnsi="Sylfaen"/>
          <w:sz w:val="24"/>
          <w:szCs w:val="24"/>
        </w:rPr>
        <w:t xml:space="preserve"> հանդիսանում է չափանմուշ, որով սահմանվում են (նորմավորվում են) դեղապատրաստուկի հատկությունները.</w:t>
      </w:r>
    </w:p>
    <w:p w14:paraId="72682E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կիրառման հետ կապված ռիսկեր՝</w:t>
      </w:r>
      <w:r w:rsidRPr="00834D52">
        <w:rPr>
          <w:rFonts w:ascii="Sylfaen" w:hAnsi="Sylfaen"/>
          <w:sz w:val="24"/>
          <w:szCs w:val="24"/>
        </w:rPr>
        <w:t xml:space="preserve"> դեղապատրաստուկի որակի, անվտանգության կամ արդյունավետության հետ կապված ցանկացած ռիսկ՝ պացիենտների կամ բնակչության առողջության համար, կամ շրջակա միջավայրի վրա անցանկալի ազդեցության հանգեցնող ռիսկեր.</w:t>
      </w:r>
    </w:p>
    <w:p w14:paraId="21D5BC9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մասնագիր՝</w:t>
      </w:r>
      <w:r w:rsidRPr="00834D52">
        <w:rPr>
          <w:rFonts w:ascii="Sylfaen" w:hAnsi="Sylfaen"/>
          <w:sz w:val="24"/>
          <w:szCs w:val="24"/>
        </w:rPr>
        <w:t xml:space="preserve"> որակի ցուցանիշների ցանկ, վերլուծական մեթոդիկաներին </w:t>
      </w:r>
      <w:r w:rsidR="00C54D75">
        <w:rPr>
          <w:rFonts w:ascii="Sylfaen" w:hAnsi="Sylfaen"/>
          <w:sz w:val="24"/>
          <w:szCs w:val="24"/>
        </w:rPr>
        <w:t>և</w:t>
      </w:r>
      <w:r w:rsidRPr="00834D52">
        <w:rPr>
          <w:rFonts w:ascii="Sylfaen" w:hAnsi="Sylfaen"/>
          <w:sz w:val="24"/>
          <w:szCs w:val="24"/>
        </w:rPr>
        <w:t xml:space="preserve"> փորձարկումներին </w:t>
      </w:r>
      <w:r w:rsidR="00C54D75">
        <w:rPr>
          <w:rFonts w:ascii="Sylfaen" w:hAnsi="Sylfaen"/>
          <w:sz w:val="24"/>
          <w:szCs w:val="24"/>
        </w:rPr>
        <w:t>և</w:t>
      </w:r>
      <w:r w:rsidRPr="00834D52">
        <w:rPr>
          <w:rFonts w:ascii="Sylfaen" w:hAnsi="Sylfaen"/>
          <w:sz w:val="24"/>
          <w:szCs w:val="24"/>
        </w:rPr>
        <w:t xml:space="preserve"> թվային (քանակական) սահմաններ, ընդգրկույթներ </w:t>
      </w:r>
      <w:r w:rsidR="00C54D75">
        <w:rPr>
          <w:rFonts w:ascii="Sylfaen" w:hAnsi="Sylfaen"/>
          <w:sz w:val="24"/>
          <w:szCs w:val="24"/>
        </w:rPr>
        <w:t>և</w:t>
      </w:r>
      <w:r w:rsidRPr="00834D52">
        <w:rPr>
          <w:rFonts w:ascii="Sylfaen" w:hAnsi="Sylfaen"/>
          <w:sz w:val="24"/>
          <w:szCs w:val="24"/>
        </w:rPr>
        <w:t xml:space="preserve"> որակի նշված ցուցանիշների համար այլ չափորոշիչներ հանդիսացող նորմերին հղումների </w:t>
      </w:r>
      <w:r w:rsidRPr="00834D52">
        <w:rPr>
          <w:rFonts w:ascii="Sylfaen" w:hAnsi="Sylfaen"/>
          <w:sz w:val="24"/>
          <w:szCs w:val="24"/>
        </w:rPr>
        <w:lastRenderedPageBreak/>
        <w:t>ցանկ.</w:t>
      </w:r>
    </w:p>
    <w:p w14:paraId="1FB09BB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ստանդարտ նմուշ՝</w:t>
      </w:r>
      <w:r w:rsidRPr="00834D52">
        <w:rPr>
          <w:rFonts w:ascii="Sylfaen" w:hAnsi="Sylfaen"/>
          <w:sz w:val="24"/>
          <w:szCs w:val="24"/>
        </w:rPr>
        <w:t xml:space="preserve"> նույնականացված համասեռ նյութ կամ նյութերի խառնուրդ, որը նախատեսված է այնպիսի քիմիական, ֆիզիկական </w:t>
      </w:r>
      <w:r w:rsidR="00C54D75">
        <w:rPr>
          <w:rFonts w:ascii="Sylfaen" w:hAnsi="Sylfaen"/>
          <w:sz w:val="24"/>
          <w:szCs w:val="24"/>
        </w:rPr>
        <w:t>և</w:t>
      </w:r>
      <w:r w:rsidRPr="00834D52">
        <w:rPr>
          <w:rFonts w:ascii="Sylfaen" w:hAnsi="Sylfaen"/>
          <w:sz w:val="24"/>
          <w:szCs w:val="24"/>
        </w:rPr>
        <w:t xml:space="preserve"> կենսաբանական հետազոտություններում օգտագործման համար, որոնցում դրա հատկությունները համեմատվում են հետազոտվող դեղամիջոցի հատկությունների հետ, </w:t>
      </w:r>
      <w:r w:rsidR="00C54D75">
        <w:rPr>
          <w:rFonts w:ascii="Sylfaen" w:hAnsi="Sylfaen"/>
          <w:sz w:val="24"/>
          <w:szCs w:val="24"/>
        </w:rPr>
        <w:t>և</w:t>
      </w:r>
      <w:r w:rsidRPr="00834D52">
        <w:rPr>
          <w:rFonts w:ascii="Sylfaen" w:hAnsi="Sylfaen"/>
          <w:sz w:val="24"/>
          <w:szCs w:val="24"/>
        </w:rPr>
        <w:t xml:space="preserve"> ունի համապատասխան կիրառման համար բավարար մաքրության աստիճան.</w:t>
      </w:r>
    </w:p>
    <w:p w14:paraId="5551769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b/>
          <w:sz w:val="24"/>
          <w:szCs w:val="24"/>
        </w:rPr>
      </w:pPr>
      <w:r w:rsidRPr="001268BB">
        <w:rPr>
          <w:rFonts w:ascii="Sylfaen" w:hAnsi="Sylfaen"/>
          <w:sz w:val="24"/>
          <w:szCs w:val="24"/>
        </w:rPr>
        <w:t>դեղապատրաստուկի առ</w:t>
      </w:r>
      <w:r w:rsidR="00C54D75">
        <w:rPr>
          <w:rFonts w:ascii="Sylfaen" w:hAnsi="Sylfaen"/>
          <w:sz w:val="24"/>
          <w:szCs w:val="24"/>
        </w:rPr>
        <w:t>և</w:t>
      </w:r>
      <w:r w:rsidRPr="001268BB">
        <w:rPr>
          <w:rFonts w:ascii="Sylfaen" w:hAnsi="Sylfaen"/>
          <w:sz w:val="24"/>
          <w:szCs w:val="24"/>
        </w:rPr>
        <w:t>տրային անվանում՝</w:t>
      </w:r>
      <w:r w:rsidRPr="00834D52">
        <w:rPr>
          <w:rFonts w:ascii="Sylfaen" w:hAnsi="Sylfaen"/>
          <w:sz w:val="24"/>
          <w:szCs w:val="24"/>
        </w:rPr>
        <w:t xml:space="preserve"> անվանում, որի ներքո գրանցվել է դեղապատրաստուկը.</w:t>
      </w:r>
    </w:p>
    <w:p w14:paraId="313E8B6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դեղագործական բաղադրամաս (ակտիվ դեղագործական բաղադրամաս)՝</w:t>
      </w:r>
      <w:r w:rsidRPr="00834D52">
        <w:rPr>
          <w:rFonts w:ascii="Sylfaen" w:hAnsi="Sylfaen"/>
          <w:sz w:val="24"/>
          <w:szCs w:val="24"/>
        </w:rPr>
        <w:t xml:space="preserve"> դեղապատրաստուկների արտադրության </w:t>
      </w:r>
      <w:r w:rsidR="00C54D75">
        <w:rPr>
          <w:rFonts w:ascii="Sylfaen" w:hAnsi="Sylfaen"/>
          <w:sz w:val="24"/>
          <w:szCs w:val="24"/>
        </w:rPr>
        <w:t>և</w:t>
      </w:r>
      <w:r w:rsidRPr="00834D52">
        <w:rPr>
          <w:rFonts w:ascii="Sylfaen" w:hAnsi="Sylfaen"/>
          <w:sz w:val="24"/>
          <w:szCs w:val="24"/>
        </w:rPr>
        <w:t xml:space="preserve"> պատրաստման համար նախատեսված դեղամիջոց.</w:t>
      </w:r>
    </w:p>
    <w:p w14:paraId="477658B0" w14:textId="77777777" w:rsidR="006F76EB" w:rsidRPr="00DB039F"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անվտանգության, արդյունավետության </w:t>
      </w:r>
      <w:r w:rsidR="00C54D75">
        <w:rPr>
          <w:rFonts w:ascii="Sylfaen" w:hAnsi="Sylfaen"/>
          <w:sz w:val="24"/>
          <w:szCs w:val="24"/>
        </w:rPr>
        <w:t>և</w:t>
      </w:r>
      <w:r w:rsidRPr="001268BB">
        <w:rPr>
          <w:rFonts w:ascii="Sylfaen" w:hAnsi="Sylfaen"/>
          <w:sz w:val="24"/>
          <w:szCs w:val="24"/>
        </w:rPr>
        <w:t xml:space="preserve"> որակի գնահատման մասին փորձագիտական հաշվետվություն (գնահատման մասին փորձագիտական հաշվետվություն)՝</w:t>
      </w:r>
      <w:r w:rsidRPr="00834D52">
        <w:rPr>
          <w:rFonts w:ascii="Sylfaen" w:hAnsi="Sylfaen"/>
          <w:b/>
          <w:sz w:val="24"/>
          <w:szCs w:val="24"/>
        </w:rPr>
        <w:t xml:space="preserve"> </w:t>
      </w:r>
      <w:r w:rsidR="00902742">
        <w:rPr>
          <w:rFonts w:ascii="Sylfaen" w:hAnsi="Sylfaen"/>
          <w:sz w:val="24"/>
          <w:szCs w:val="24"/>
        </w:rPr>
        <w:t>ռեֆերենտ</w:t>
      </w:r>
      <w:r w:rsidR="00902742" w:rsidRPr="00834D52">
        <w:rPr>
          <w:rFonts w:ascii="Sylfaen" w:hAnsi="Sylfaen"/>
          <w:sz w:val="24"/>
          <w:szCs w:val="24"/>
        </w:rPr>
        <w:t xml:space="preserve"> </w:t>
      </w:r>
      <w:r w:rsidRPr="00834D52">
        <w:rPr>
          <w:rFonts w:ascii="Sylfaen" w:hAnsi="Sylfaen"/>
          <w:sz w:val="24"/>
          <w:szCs w:val="24"/>
        </w:rPr>
        <w:t xml:space="preserve">պետության փորձագիտական կազմակերպության կողմից նախապատարաստված փաստաթուղթ, որը պարունակում է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փորձաքննության արդյունքները </w:t>
      </w:r>
      <w:r w:rsidR="00C54D75">
        <w:rPr>
          <w:rFonts w:ascii="Sylfaen" w:hAnsi="Sylfaen"/>
          <w:sz w:val="24"/>
          <w:szCs w:val="24"/>
        </w:rPr>
        <w:t>և</w:t>
      </w:r>
      <w:r w:rsidRPr="00834D52">
        <w:rPr>
          <w:rFonts w:ascii="Sylfaen" w:hAnsi="Sylfaen"/>
          <w:sz w:val="24"/>
          <w:szCs w:val="24"/>
        </w:rPr>
        <w:t xml:space="preserve"> դեղապատրաստուկը գրանցելու, գրանցումը հաստատելու (վերագրանցելու), գրանցման դոսյեի մեջ փոփոխություններ կատարելու, Միության պահանջներին դեղապատրաստուկը համապատասխանեցնելու հնարավորության (կամ անհնարինության) մասին եզրակացություն</w:t>
      </w:r>
      <w:r>
        <w:rPr>
          <w:rFonts w:ascii="Sylfaen" w:hAnsi="Sylfaen"/>
          <w:sz w:val="24"/>
          <w:szCs w:val="24"/>
        </w:rPr>
        <w:t>.</w:t>
      </w:r>
    </w:p>
    <w:p w14:paraId="22353E37" w14:textId="2C1A1615" w:rsidR="006F76EB" w:rsidRDefault="006F76EB" w:rsidP="006F76EB">
      <w:pPr>
        <w:tabs>
          <w:tab w:val="left" w:pos="1134"/>
        </w:tabs>
        <w:spacing w:after="160" w:line="360" w:lineRule="auto"/>
        <w:ind w:right="-8" w:firstLine="567"/>
        <w:jc w:val="both"/>
        <w:rPr>
          <w:rFonts w:ascii="Sylfaen" w:hAnsi="Sylfaen"/>
          <w:sz w:val="24"/>
          <w:szCs w:val="24"/>
        </w:rPr>
      </w:pPr>
      <w:r w:rsidRPr="001268BB">
        <w:rPr>
          <w:rFonts w:ascii="Sylfaen" w:hAnsi="Sylfaen"/>
          <w:sz w:val="24"/>
          <w:szCs w:val="24"/>
        </w:rPr>
        <w:t>դեղապատրաստուկի արդյունավետություն</w:t>
      </w:r>
      <w:r w:rsidRPr="00834D52">
        <w:rPr>
          <w:rFonts w:ascii="Sylfaen" w:hAnsi="Sylfaen"/>
          <w:sz w:val="24"/>
          <w:szCs w:val="24"/>
        </w:rPr>
        <w:t>՝ բնութագրերի ամբողջություն, որոնք ապահովում են կանխարգելիչ, ախտորոշիչ կամ բուժական էֆեկտին հասնելը կամ ֆիզիոլոգիական գործառույթի վերականգնումը, շտկումը կամ մոդիֆիկացումը:</w:t>
      </w:r>
    </w:p>
    <w:p w14:paraId="6FA09B7E" w14:textId="067E5959" w:rsidR="006F76EB" w:rsidRPr="006F28F9" w:rsidRDefault="00DC4194" w:rsidP="00DC4194">
      <w:pPr>
        <w:rPr>
          <w:b/>
          <w:bCs/>
          <w:i/>
          <w:iCs/>
        </w:rPr>
      </w:pPr>
      <w:r w:rsidRPr="00CD4709">
        <w:rPr>
          <w:b/>
          <w:bCs/>
          <w:i/>
          <w:iCs/>
        </w:rPr>
        <w:t>(</w:t>
      </w:r>
      <w:r>
        <w:rPr>
          <w:b/>
          <w:bCs/>
          <w:i/>
          <w:iCs/>
        </w:rPr>
        <w:t xml:space="preserve">19-րդ կետը </w:t>
      </w:r>
      <w:r w:rsidRPr="00CD4709">
        <w:rPr>
          <w:b/>
          <w:bCs/>
          <w:i/>
          <w:iCs/>
        </w:rPr>
        <w:t>փոփ. 30.01.20 թիվ 9</w:t>
      </w:r>
      <w:r w:rsidR="006F28F9">
        <w:rPr>
          <w:b/>
          <w:bCs/>
          <w:i/>
          <w:iCs/>
        </w:rPr>
        <w:t>, 23.04.21 թիվ 34</w:t>
      </w:r>
      <w:r w:rsidR="00371618">
        <w:rPr>
          <w:b/>
          <w:bCs/>
          <w:i/>
          <w:iCs/>
        </w:rPr>
        <w:t>,  լրաց. 17.03.22 թիվ 36</w:t>
      </w:r>
      <w:r w:rsidRPr="00CD4709">
        <w:rPr>
          <w:b/>
          <w:bCs/>
          <w:i/>
          <w:iCs/>
        </w:rPr>
        <w:t>)</w:t>
      </w:r>
    </w:p>
    <w:p w14:paraId="7F7A36F7"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lastRenderedPageBreak/>
        <w:t xml:space="preserve">III. Դեղապատրաստուկների </w:t>
      </w:r>
      <w:r w:rsidR="009D2161" w:rsidRPr="00955C1D">
        <w:rPr>
          <w:rFonts w:ascii="Sylfaen" w:hAnsi="Sylfaen"/>
          <w:sz w:val="24"/>
          <w:szCs w:val="24"/>
        </w:rPr>
        <w:br/>
      </w:r>
      <w:r w:rsidRPr="00834D52">
        <w:rPr>
          <w:rFonts w:ascii="Sylfaen" w:hAnsi="Sylfaen"/>
          <w:sz w:val="24"/>
          <w:szCs w:val="24"/>
        </w:rPr>
        <w:t>գրանցման ընդհանուր սկզբունքները</w:t>
      </w:r>
    </w:p>
    <w:p w14:paraId="0E9BAE39" w14:textId="16E08259" w:rsidR="006F76EB" w:rsidRDefault="006F76EB" w:rsidP="00ED52E1">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20.</w:t>
      </w:r>
      <w:r w:rsidRPr="00834D52">
        <w:rPr>
          <w:rFonts w:ascii="Sylfaen" w:hAnsi="Sylfaen"/>
          <w:sz w:val="24"/>
          <w:szCs w:val="24"/>
        </w:rPr>
        <w:tab/>
        <w:t xml:space="preserve">Դեղապատրաստուկների գրանցումը կարող է իրականացվել </w:t>
      </w:r>
      <w:r w:rsidR="0056496B">
        <w:rPr>
          <w:rFonts w:ascii="Sylfaen" w:hAnsi="Sylfaen"/>
          <w:sz w:val="24"/>
          <w:szCs w:val="24"/>
        </w:rPr>
        <w:t>դիմումատու</w:t>
      </w:r>
      <w:r w:rsidRPr="00834D52">
        <w:rPr>
          <w:rFonts w:ascii="Sylfaen" w:hAnsi="Sylfaen"/>
          <w:sz w:val="24"/>
          <w:szCs w:val="24"/>
        </w:rPr>
        <w:t>ի պահանջով</w:t>
      </w:r>
      <w:r w:rsidR="00371618">
        <w:rPr>
          <w:rFonts w:ascii="Sylfaen" w:hAnsi="Sylfaen"/>
          <w:sz w:val="24"/>
          <w:szCs w:val="24"/>
        </w:rPr>
        <w:t xml:space="preserve"> </w:t>
      </w:r>
      <w:r w:rsidRPr="00834D52">
        <w:rPr>
          <w:rFonts w:ascii="Sylfaen" w:hAnsi="Sylfaen"/>
          <w:sz w:val="24"/>
          <w:szCs w:val="24"/>
        </w:rPr>
        <w:t>փոխադարձ ճանաչման ընթացակարգին գրանցման ապակենտրոնացված ընթացակարգին համապատասխան.</w:t>
      </w:r>
    </w:p>
    <w:p w14:paraId="3B3B44E8" w14:textId="77A5D9F2" w:rsidR="00DC4194" w:rsidRPr="006F28F9" w:rsidRDefault="00DC4194" w:rsidP="00DC4194">
      <w:pPr>
        <w:rPr>
          <w:b/>
          <w:bCs/>
          <w:i/>
          <w:iCs/>
        </w:rPr>
      </w:pPr>
      <w:r w:rsidRPr="00CD4709">
        <w:rPr>
          <w:b/>
          <w:bCs/>
          <w:i/>
          <w:iCs/>
        </w:rPr>
        <w:t>(</w:t>
      </w:r>
      <w:r>
        <w:rPr>
          <w:b/>
          <w:bCs/>
          <w:i/>
          <w:iCs/>
        </w:rPr>
        <w:t xml:space="preserve">20-րդ կետը </w:t>
      </w:r>
      <w:r w:rsidRPr="00CD4709">
        <w:rPr>
          <w:b/>
          <w:bCs/>
          <w:i/>
          <w:iCs/>
        </w:rPr>
        <w:t>փոփ. 30.01.20 թիվ 9</w:t>
      </w:r>
      <w:r w:rsidR="00371618">
        <w:rPr>
          <w:b/>
          <w:bCs/>
          <w:i/>
          <w:iCs/>
        </w:rPr>
        <w:t>, 17.03.22 թիվ 36</w:t>
      </w:r>
      <w:r w:rsidRPr="00CD4709">
        <w:rPr>
          <w:b/>
          <w:bCs/>
          <w:i/>
          <w:iCs/>
        </w:rPr>
        <w:t>)</w:t>
      </w:r>
    </w:p>
    <w:p w14:paraId="05778A5E" w14:textId="77777777" w:rsidR="006F76EB" w:rsidRPr="00834D52" w:rsidRDefault="006F76EB" w:rsidP="00ED52E1">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21.</w:t>
      </w:r>
      <w:r w:rsidRPr="00834D52">
        <w:rPr>
          <w:rFonts w:ascii="Sylfaen" w:hAnsi="Sylfaen"/>
          <w:sz w:val="24"/>
          <w:szCs w:val="24"/>
        </w:rPr>
        <w:tab/>
        <w:t>Փոխադարձ ճանաչման ընթացակարգն իրականացվում է՝</w:t>
      </w:r>
    </w:p>
    <w:p w14:paraId="5603DA77" w14:textId="77777777" w:rsidR="006F76EB" w:rsidRPr="00834D52" w:rsidRDefault="006F76EB" w:rsidP="00ED52E1">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ա)</w:t>
      </w:r>
      <w:r w:rsidRPr="00834D52">
        <w:rPr>
          <w:rFonts w:ascii="Sylfaen" w:hAnsi="Sylfaen"/>
          <w:sz w:val="24"/>
          <w:szCs w:val="24"/>
        </w:rPr>
        <w:tab/>
      </w:r>
      <w:r w:rsidR="006B20D8">
        <w:rPr>
          <w:rFonts w:ascii="Sylfaen" w:hAnsi="Sylfaen"/>
          <w:sz w:val="24"/>
          <w:szCs w:val="24"/>
        </w:rPr>
        <w:t>ռեֆերենտ</w:t>
      </w:r>
      <w:r w:rsidR="006B20D8" w:rsidRPr="00834D52">
        <w:rPr>
          <w:rFonts w:ascii="Sylfaen" w:hAnsi="Sylfaen"/>
          <w:sz w:val="24"/>
          <w:szCs w:val="24"/>
        </w:rPr>
        <w:t xml:space="preserve"> </w:t>
      </w:r>
      <w:r w:rsidRPr="00834D52">
        <w:rPr>
          <w:rFonts w:ascii="Sylfaen" w:hAnsi="Sylfaen"/>
          <w:sz w:val="24"/>
          <w:szCs w:val="24"/>
        </w:rPr>
        <w:t>պետության կողմից միայն այդ պետության շուկայում դեղապատրաստուկի շրջանառության նպատակով՝ սույն Կանոններին համապատասխան (գրանցման ազգային ընթացակարգ).</w:t>
      </w:r>
    </w:p>
    <w:p w14:paraId="6CE0E869" w14:textId="0B0B2165" w:rsidR="006F76EB" w:rsidRDefault="006F76EB" w:rsidP="00ED52E1">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 xml:space="preserve">ճանաչման պետություններում՝ </w:t>
      </w:r>
      <w:r w:rsidR="0056496B">
        <w:rPr>
          <w:rFonts w:ascii="Sylfaen" w:hAnsi="Sylfaen"/>
          <w:sz w:val="24"/>
          <w:szCs w:val="24"/>
        </w:rPr>
        <w:t>դիմումատու</w:t>
      </w:r>
      <w:r w:rsidRPr="00834D52">
        <w:rPr>
          <w:rFonts w:ascii="Sylfaen" w:hAnsi="Sylfaen"/>
          <w:sz w:val="24"/>
          <w:szCs w:val="24"/>
        </w:rPr>
        <w:t xml:space="preserve">ի ցանկությամբ՝ դեղապատրաստուկը փոխադարձ ճանաչման ընթացակարգով </w:t>
      </w:r>
      <w:r w:rsidR="006B20D8">
        <w:rPr>
          <w:rFonts w:ascii="Sylfaen" w:hAnsi="Sylfaen"/>
          <w:sz w:val="24"/>
          <w:szCs w:val="24"/>
        </w:rPr>
        <w:t>ռեֆերենտ</w:t>
      </w:r>
      <w:r w:rsidRPr="00834D52">
        <w:rPr>
          <w:rFonts w:ascii="Sylfaen" w:hAnsi="Sylfaen"/>
          <w:sz w:val="24"/>
          <w:szCs w:val="24"/>
        </w:rPr>
        <w:t xml:space="preserve"> պետությունում գրանցելուց հետո: </w:t>
      </w:r>
      <w:r w:rsidR="0011482B" w:rsidRPr="0011482B">
        <w:rPr>
          <w:rFonts w:ascii="Sylfaen" w:hAnsi="Sylfaen"/>
          <w:sz w:val="24"/>
          <w:szCs w:val="24"/>
        </w:rPr>
        <w:t>Ճանաչման մի քանի պետություններում թույլատրվում է փոխճանաչման ընթացակարգի միաժամանակյա նախաձեռնումը</w:t>
      </w:r>
      <w:r w:rsidR="0011482B">
        <w:rPr>
          <w:rFonts w:ascii="Sylfaen" w:hAnsi="Sylfaen"/>
          <w:sz w:val="24"/>
          <w:szCs w:val="24"/>
        </w:rPr>
        <w:t>:</w:t>
      </w:r>
    </w:p>
    <w:p w14:paraId="2812DC2A" w14:textId="4613F056" w:rsidR="00826A20" w:rsidRPr="006F28F9" w:rsidRDefault="00826A20" w:rsidP="00826A20">
      <w:pPr>
        <w:rPr>
          <w:b/>
          <w:bCs/>
          <w:i/>
          <w:iCs/>
        </w:rPr>
      </w:pPr>
      <w:r w:rsidRPr="00CD4709">
        <w:rPr>
          <w:b/>
          <w:bCs/>
          <w:i/>
          <w:iCs/>
        </w:rPr>
        <w:t>(</w:t>
      </w:r>
      <w:r>
        <w:rPr>
          <w:b/>
          <w:bCs/>
          <w:i/>
          <w:iCs/>
        </w:rPr>
        <w:t xml:space="preserve">21-րդ կետը </w:t>
      </w:r>
      <w:r w:rsidRPr="00CD4709">
        <w:rPr>
          <w:b/>
          <w:bCs/>
          <w:i/>
          <w:iCs/>
        </w:rPr>
        <w:t>փոփ. 30.01.20 թիվ 9</w:t>
      </w:r>
      <w:r w:rsidR="0011482B">
        <w:rPr>
          <w:b/>
          <w:bCs/>
          <w:i/>
          <w:iCs/>
        </w:rPr>
        <w:t>, լրաց. 17.03.22 թիվ 36</w:t>
      </w:r>
      <w:r w:rsidRPr="00CD4709">
        <w:rPr>
          <w:b/>
          <w:bCs/>
          <w:i/>
          <w:iCs/>
        </w:rPr>
        <w:t>)</w:t>
      </w:r>
    </w:p>
    <w:p w14:paraId="0B40F48A" w14:textId="014B3EFC" w:rsidR="006F76EB" w:rsidRDefault="006F76EB" w:rsidP="00ED52E1">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22.</w:t>
      </w:r>
      <w:r w:rsidRPr="00834D52">
        <w:rPr>
          <w:rFonts w:ascii="Sylfaen" w:hAnsi="Sylfaen"/>
          <w:sz w:val="24"/>
          <w:szCs w:val="24"/>
        </w:rPr>
        <w:tab/>
        <w:t xml:space="preserve">Գրանցման ապակենտրոնացված ընթացակարգն իրականացվում է միաժամանակ մի քանի անդամ պետությունների կողմից, որոնցում ներկայացվել է դեղապատրաստուկի գրանցման </w:t>
      </w:r>
      <w:r w:rsidR="0056496B">
        <w:rPr>
          <w:rFonts w:ascii="Sylfaen" w:hAnsi="Sylfaen"/>
          <w:sz w:val="24"/>
          <w:szCs w:val="24"/>
        </w:rPr>
        <w:t>դիմում</w:t>
      </w:r>
      <w:r w:rsidRPr="00834D52">
        <w:rPr>
          <w:rFonts w:ascii="Sylfaen" w:hAnsi="Sylfaen"/>
          <w:sz w:val="24"/>
          <w:szCs w:val="24"/>
        </w:rPr>
        <w:t xml:space="preserve">ը՝ ընտրելով </w:t>
      </w:r>
      <w:r w:rsidR="006B20D8">
        <w:rPr>
          <w:rFonts w:ascii="Sylfaen" w:hAnsi="Sylfaen"/>
          <w:sz w:val="24"/>
          <w:szCs w:val="24"/>
        </w:rPr>
        <w:t>ռեֆերենտ</w:t>
      </w:r>
      <w:r w:rsidRPr="00834D52">
        <w:rPr>
          <w:rFonts w:ascii="Sylfaen" w:hAnsi="Sylfaen"/>
          <w:sz w:val="24"/>
          <w:szCs w:val="24"/>
        </w:rPr>
        <w:t xml:space="preserve"> պետությունը:</w:t>
      </w:r>
    </w:p>
    <w:p w14:paraId="3EBBF348" w14:textId="48B10DA3" w:rsidR="00826A20" w:rsidRPr="006F28F9" w:rsidRDefault="00826A20" w:rsidP="00826A20">
      <w:pPr>
        <w:rPr>
          <w:b/>
          <w:bCs/>
          <w:i/>
          <w:iCs/>
        </w:rPr>
      </w:pPr>
      <w:r w:rsidRPr="00CD4709">
        <w:rPr>
          <w:b/>
          <w:bCs/>
          <w:i/>
          <w:iCs/>
        </w:rPr>
        <w:t>(</w:t>
      </w:r>
      <w:r>
        <w:rPr>
          <w:b/>
          <w:bCs/>
          <w:i/>
          <w:iCs/>
        </w:rPr>
        <w:t xml:space="preserve">22-րդ կետը </w:t>
      </w:r>
      <w:r w:rsidRPr="00CD4709">
        <w:rPr>
          <w:b/>
          <w:bCs/>
          <w:i/>
          <w:iCs/>
        </w:rPr>
        <w:t>փոփ. 30.01.20 թիվ 9)</w:t>
      </w:r>
    </w:p>
    <w:p w14:paraId="55F2174A" w14:textId="6DDCB3D8" w:rsidR="006F76EB" w:rsidRDefault="006F76EB" w:rsidP="006F76EB">
      <w:pPr>
        <w:tabs>
          <w:tab w:val="left" w:pos="1134"/>
        </w:tabs>
        <w:spacing w:after="160" w:line="384" w:lineRule="auto"/>
        <w:ind w:right="-8" w:firstLine="567"/>
        <w:jc w:val="both"/>
        <w:rPr>
          <w:rFonts w:ascii="Sylfaen" w:hAnsi="Sylfaen"/>
          <w:sz w:val="24"/>
          <w:szCs w:val="24"/>
        </w:rPr>
      </w:pPr>
      <w:r w:rsidRPr="00834D52">
        <w:rPr>
          <w:rFonts w:ascii="Sylfaen" w:hAnsi="Sylfaen"/>
          <w:sz w:val="24"/>
          <w:szCs w:val="24"/>
        </w:rPr>
        <w:t>23.</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ինքնուրույն է կատարում </w:t>
      </w:r>
      <w:r w:rsidR="006B20D8">
        <w:rPr>
          <w:rFonts w:ascii="Sylfaen" w:hAnsi="Sylfaen"/>
          <w:sz w:val="24"/>
          <w:szCs w:val="24"/>
        </w:rPr>
        <w:t>ռեֆերենտ</w:t>
      </w:r>
      <w:r w:rsidRPr="00834D52">
        <w:rPr>
          <w:rFonts w:ascii="Sylfaen" w:hAnsi="Sylfaen"/>
          <w:sz w:val="24"/>
          <w:szCs w:val="24"/>
        </w:rPr>
        <w:t xml:space="preserve"> պետության </w:t>
      </w:r>
      <w:r w:rsidR="00C54D75">
        <w:rPr>
          <w:rFonts w:ascii="Sylfaen" w:hAnsi="Sylfaen"/>
          <w:sz w:val="24"/>
          <w:szCs w:val="24"/>
        </w:rPr>
        <w:t>և</w:t>
      </w:r>
      <w:r w:rsidRPr="00834D52">
        <w:rPr>
          <w:rFonts w:ascii="Sylfaen" w:hAnsi="Sylfaen"/>
          <w:sz w:val="24"/>
          <w:szCs w:val="24"/>
        </w:rPr>
        <w:t xml:space="preserve"> անհրաժեշտության դեպքում ճանաչման պետության ընտրությունը դեղապատրաստուկի գրանցման </w:t>
      </w:r>
      <w:r w:rsidR="0056496B">
        <w:rPr>
          <w:rFonts w:ascii="Sylfaen" w:hAnsi="Sylfaen"/>
          <w:sz w:val="24"/>
          <w:szCs w:val="24"/>
        </w:rPr>
        <w:t>դիմում</w:t>
      </w:r>
      <w:r w:rsidRPr="00834D52">
        <w:rPr>
          <w:rFonts w:ascii="Sylfaen" w:hAnsi="Sylfaen"/>
          <w:sz w:val="24"/>
          <w:szCs w:val="24"/>
        </w:rPr>
        <w:t>ը ներկայացնելիս:</w:t>
      </w:r>
    </w:p>
    <w:p w14:paraId="43FFE5FA" w14:textId="6B3DD5ED" w:rsidR="006B62C6" w:rsidRPr="006B62C6" w:rsidRDefault="006B62C6" w:rsidP="006B62C6">
      <w:pPr>
        <w:tabs>
          <w:tab w:val="left" w:pos="1134"/>
        </w:tabs>
        <w:spacing w:after="160" w:line="384" w:lineRule="auto"/>
        <w:ind w:right="-8" w:firstLine="567"/>
        <w:jc w:val="both"/>
        <w:rPr>
          <w:rFonts w:ascii="Sylfaen" w:hAnsi="Sylfaen"/>
          <w:sz w:val="24"/>
          <w:szCs w:val="24"/>
        </w:rPr>
      </w:pPr>
      <w:r w:rsidRPr="006B62C6">
        <w:rPr>
          <w:rFonts w:ascii="Sylfaen" w:hAnsi="Sylfaen"/>
          <w:sz w:val="24"/>
          <w:szCs w:val="24"/>
        </w:rPr>
        <w:t>Հայտատուն իրավունք ունի հետ կանչելու իր դիմումը ցանկացած ժամանակ՝ մինչև դեղապատրաստուկի գրանցման ընթացակարգն ավարտելը՝ գրավոր ծանուցելով հետկանչի մասին այն անդամ պետության լիազորված մարմնին, որտեղ ուսումնասիրվում է հայտը։</w:t>
      </w:r>
    </w:p>
    <w:p w14:paraId="46EC5BC8" w14:textId="4B26913E" w:rsidR="006B62C6" w:rsidRDefault="006B62C6" w:rsidP="006B62C6">
      <w:pPr>
        <w:tabs>
          <w:tab w:val="left" w:pos="1134"/>
        </w:tabs>
        <w:spacing w:after="160" w:line="384" w:lineRule="auto"/>
        <w:ind w:right="-8" w:firstLine="567"/>
        <w:jc w:val="both"/>
        <w:rPr>
          <w:rFonts w:ascii="Sylfaen" w:hAnsi="Sylfaen"/>
          <w:sz w:val="24"/>
          <w:szCs w:val="24"/>
        </w:rPr>
      </w:pPr>
      <w:r w:rsidRPr="006B62C6">
        <w:rPr>
          <w:rFonts w:ascii="Sylfaen" w:hAnsi="Sylfaen"/>
          <w:sz w:val="24"/>
          <w:szCs w:val="24"/>
        </w:rPr>
        <w:lastRenderedPageBreak/>
        <w:t>Հայտի հետկանչի դեպքում հայտն ուսումնասիրող անդամ պետության լիազորված մարմինը դադարեցնում է դրա ուսումնասիրությունն ըստ էության և հայտատուին է վերադարձնում հայտի հետ միասին ներկայացված փաստաթղթերի և (կամ) տեղեկությունների բնօրինակները</w:t>
      </w:r>
    </w:p>
    <w:p w14:paraId="7D8C0192" w14:textId="322361F5" w:rsidR="00826A20" w:rsidRPr="006F28F9" w:rsidRDefault="00826A20" w:rsidP="00826A20">
      <w:pPr>
        <w:rPr>
          <w:b/>
          <w:bCs/>
          <w:i/>
          <w:iCs/>
        </w:rPr>
      </w:pPr>
      <w:r w:rsidRPr="00CD4709">
        <w:rPr>
          <w:b/>
          <w:bCs/>
          <w:i/>
          <w:iCs/>
        </w:rPr>
        <w:t>(</w:t>
      </w:r>
      <w:r>
        <w:rPr>
          <w:b/>
          <w:bCs/>
          <w:i/>
          <w:iCs/>
        </w:rPr>
        <w:t xml:space="preserve">23-րդ կետը </w:t>
      </w:r>
      <w:r w:rsidRPr="00CD4709">
        <w:rPr>
          <w:b/>
          <w:bCs/>
          <w:i/>
          <w:iCs/>
        </w:rPr>
        <w:t>փոփ. 30.01.20 թիվ 9</w:t>
      </w:r>
      <w:r w:rsidR="006B62C6">
        <w:rPr>
          <w:b/>
          <w:bCs/>
          <w:i/>
          <w:iCs/>
        </w:rPr>
        <w:t>, լրաց. 05.03.21 թիվ 14</w:t>
      </w:r>
      <w:r w:rsidRPr="00CD4709">
        <w:rPr>
          <w:b/>
          <w:bCs/>
          <w:i/>
          <w:iCs/>
        </w:rPr>
        <w:t>)</w:t>
      </w:r>
    </w:p>
    <w:p w14:paraId="437464D3" w14:textId="77777777" w:rsidR="006F76EB" w:rsidRPr="00834D52" w:rsidRDefault="006F76EB" w:rsidP="006F76E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 xml:space="preserve">Միայն մեկ պետություն կարող է հանդես գալ որպես </w:t>
      </w:r>
      <w:r w:rsidR="006B20D8">
        <w:rPr>
          <w:rFonts w:ascii="Sylfaen" w:hAnsi="Sylfaen"/>
          <w:sz w:val="24"/>
          <w:szCs w:val="24"/>
        </w:rPr>
        <w:t>ռեֆերենտ</w:t>
      </w:r>
      <w:r w:rsidRPr="00834D52">
        <w:rPr>
          <w:rFonts w:ascii="Sylfaen" w:hAnsi="Sylfaen"/>
          <w:sz w:val="24"/>
          <w:szCs w:val="24"/>
        </w:rPr>
        <w:t xml:space="preserve"> պետություն:</w:t>
      </w:r>
    </w:p>
    <w:p w14:paraId="634CBE8E" w14:textId="77777777" w:rsidR="006F76EB" w:rsidRPr="00834D52" w:rsidRDefault="006F76EB" w:rsidP="006F76E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r>
      <w:r w:rsidRPr="00360CBD">
        <w:rPr>
          <w:rFonts w:ascii="Sylfaen" w:hAnsi="Sylfaen"/>
          <w:spacing w:val="6"/>
          <w:sz w:val="24"/>
          <w:szCs w:val="24"/>
        </w:rPr>
        <w:t>Դեղապատրաստուկի գրանցմանը ներկայացվող ընդհանուր տեխնիկական փաստաթղթի ձ</w:t>
      </w:r>
      <w:r w:rsidR="00C54D75">
        <w:rPr>
          <w:rFonts w:ascii="Sylfaen" w:hAnsi="Sylfaen"/>
          <w:spacing w:val="6"/>
          <w:sz w:val="24"/>
          <w:szCs w:val="24"/>
        </w:rPr>
        <w:t>և</w:t>
      </w:r>
      <w:r w:rsidRPr="00360CBD">
        <w:rPr>
          <w:rFonts w:ascii="Sylfaen" w:hAnsi="Sylfaen"/>
          <w:spacing w:val="6"/>
          <w:sz w:val="24"/>
          <w:szCs w:val="24"/>
        </w:rPr>
        <w:t xml:space="preserve">աչափով՝ փաստաթղթերին </w:t>
      </w:r>
      <w:r w:rsidR="00C54D75">
        <w:rPr>
          <w:rFonts w:ascii="Sylfaen" w:hAnsi="Sylfaen"/>
          <w:spacing w:val="6"/>
          <w:sz w:val="24"/>
          <w:szCs w:val="24"/>
        </w:rPr>
        <w:t>և</w:t>
      </w:r>
      <w:r w:rsidRPr="00360CBD">
        <w:rPr>
          <w:rFonts w:ascii="Sylfaen" w:hAnsi="Sylfaen"/>
          <w:spacing w:val="6"/>
          <w:sz w:val="24"/>
          <w:szCs w:val="24"/>
        </w:rPr>
        <w:t xml:space="preserve"> գրանցման դոսյեի տվյալներին ներկայացվող պահանջները սահմանված են սույն Կանոնների թիվ</w:t>
      </w:r>
      <w:r w:rsidRPr="00834D52">
        <w:rPr>
          <w:rFonts w:ascii="Sylfaen" w:hAnsi="Sylfaen"/>
          <w:sz w:val="24"/>
          <w:szCs w:val="24"/>
        </w:rPr>
        <w:t xml:space="preserve"> 1-5 հավելվածներով:</w:t>
      </w:r>
    </w:p>
    <w:p w14:paraId="405EF995" w14:textId="44909DB4" w:rsidR="00826A20"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26.</w:t>
      </w:r>
      <w:r w:rsidRPr="00834D52">
        <w:rPr>
          <w:rFonts w:ascii="Sylfaen" w:hAnsi="Sylfaen"/>
          <w:sz w:val="24"/>
          <w:szCs w:val="24"/>
        </w:rPr>
        <w:tab/>
        <w:t>Մինչ</w:t>
      </w:r>
      <w:r w:rsidR="00C54D75">
        <w:rPr>
          <w:rFonts w:ascii="Sylfaen" w:hAnsi="Sylfaen"/>
          <w:sz w:val="24"/>
          <w:szCs w:val="24"/>
        </w:rPr>
        <w:t>և</w:t>
      </w:r>
      <w:r w:rsidRPr="00834D52">
        <w:rPr>
          <w:rFonts w:ascii="Sylfaen" w:hAnsi="Sylfaen"/>
          <w:sz w:val="24"/>
          <w:szCs w:val="24"/>
        </w:rPr>
        <w:t xml:space="preserve"> դեղապատրաստուկի գրանցման </w:t>
      </w:r>
      <w:r w:rsidR="0056496B">
        <w:rPr>
          <w:rFonts w:ascii="Sylfaen" w:hAnsi="Sylfaen"/>
          <w:sz w:val="24"/>
          <w:szCs w:val="24"/>
        </w:rPr>
        <w:t>դիմում</w:t>
      </w:r>
      <w:r w:rsidRPr="00834D52">
        <w:rPr>
          <w:rFonts w:ascii="Sylfaen" w:hAnsi="Sylfaen"/>
          <w:sz w:val="24"/>
          <w:szCs w:val="24"/>
        </w:rPr>
        <w:t xml:space="preserve">ը ներկայացնելը լիազորված մարմինները կամ փորձագիտական կազմակերպություններն իրավունք ունեն, </w:t>
      </w:r>
      <w:r w:rsidR="0056496B">
        <w:rPr>
          <w:rFonts w:ascii="Sylfaen" w:hAnsi="Sylfaen"/>
          <w:sz w:val="24"/>
          <w:szCs w:val="24"/>
        </w:rPr>
        <w:t>դիմումատու</w:t>
      </w:r>
      <w:r w:rsidRPr="00834D52">
        <w:rPr>
          <w:rFonts w:ascii="Sylfaen" w:hAnsi="Sylfaen"/>
          <w:sz w:val="24"/>
          <w:szCs w:val="24"/>
        </w:rPr>
        <w:t xml:space="preserve">ի հարցման հիման վրա, անդամ պետությունների օրենսդրությանը համապատասխան, անցկացնելու գիտական </w:t>
      </w:r>
      <w:r w:rsidR="00C54D75">
        <w:rPr>
          <w:rFonts w:ascii="Sylfaen" w:hAnsi="Sylfaen"/>
          <w:sz w:val="24"/>
          <w:szCs w:val="24"/>
        </w:rPr>
        <w:t>և</w:t>
      </w:r>
      <w:r w:rsidRPr="00834D52">
        <w:rPr>
          <w:rFonts w:ascii="Sylfaen" w:hAnsi="Sylfaen"/>
          <w:sz w:val="24"/>
          <w:szCs w:val="24"/>
        </w:rPr>
        <w:t xml:space="preserve"> նախագրանցումային խորհրդակցություններ՝ վերլուծական փորձարկումների,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(փորձարկումների) անցկացման հետ կապված հարցերի, գրանցման ընթացակարգի ասպեկտների վերաբերյալ, այդ թվում՝ որակավորմանը, դեղապատրաստուկի գրանցման </w:t>
      </w:r>
      <w:r w:rsidR="0056496B">
        <w:rPr>
          <w:rFonts w:ascii="Sylfaen" w:hAnsi="Sylfaen"/>
          <w:sz w:val="24"/>
          <w:szCs w:val="24"/>
        </w:rPr>
        <w:t>դիմում</w:t>
      </w:r>
      <w:r w:rsidRPr="00834D52">
        <w:rPr>
          <w:rFonts w:ascii="Sylfaen" w:hAnsi="Sylfaen"/>
          <w:sz w:val="24"/>
          <w:szCs w:val="24"/>
        </w:rPr>
        <w:t xml:space="preserve">ի տարատեսակներին առնչվող հարցերի վերաբերյալ՝ գրանցման դոսյեի լրակազմության առնչությամբ փաստաթղթերի </w:t>
      </w:r>
      <w:r w:rsidR="00C54D75">
        <w:rPr>
          <w:rFonts w:ascii="Sylfaen" w:hAnsi="Sylfaen"/>
          <w:sz w:val="24"/>
          <w:szCs w:val="24"/>
        </w:rPr>
        <w:t>և</w:t>
      </w:r>
      <w:r w:rsidRPr="00834D52">
        <w:rPr>
          <w:rFonts w:ascii="Sylfaen" w:hAnsi="Sylfaen"/>
          <w:sz w:val="24"/>
          <w:szCs w:val="24"/>
        </w:rPr>
        <w:t xml:space="preserve"> գրանցման դոսյեի տվյալների ծավալը որոշելու նպատակով,</w:t>
      </w:r>
      <w:r w:rsidR="00DA72D4">
        <w:rPr>
          <w:rFonts w:ascii="Sylfaen" w:hAnsi="Sylfaen"/>
          <w:sz w:val="24"/>
          <w:szCs w:val="24"/>
        </w:rPr>
        <w:t xml:space="preserve"> </w:t>
      </w:r>
      <w:r w:rsidR="0056496B">
        <w:rPr>
          <w:rFonts w:ascii="Sylfaen" w:hAnsi="Sylfaen"/>
          <w:sz w:val="24"/>
          <w:szCs w:val="24"/>
        </w:rPr>
        <w:t>դիմում</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գրանցման դոսյեի ներկայացման ձ</w:t>
      </w:r>
      <w:r w:rsidR="00C54D75">
        <w:rPr>
          <w:rFonts w:ascii="Sylfaen" w:hAnsi="Sylfaen"/>
          <w:sz w:val="24"/>
          <w:szCs w:val="24"/>
        </w:rPr>
        <w:t>և</w:t>
      </w:r>
      <w:r w:rsidRPr="00834D52">
        <w:rPr>
          <w:rFonts w:ascii="Sylfaen" w:hAnsi="Sylfaen"/>
          <w:sz w:val="24"/>
          <w:szCs w:val="24"/>
        </w:rPr>
        <w:t xml:space="preserve">աչափին, փորձագիտական կազմակերպությունում կամ ըստ դեղապատրաստուկի նշանակության որակի լաբորատոր փորձաքննություն անցկացնելու համար անհրաժեշտ դեղապատրաստուկի նմուշներ, ստանդարտ նմուշներ, նյութեր, սպեցիֆիկ ռեակտիվներ, սպառման նյութեր տրամադրելու անհրաժեշտությանն առնչվող </w:t>
      </w:r>
      <w:r w:rsidR="00C54D75">
        <w:rPr>
          <w:rFonts w:ascii="Sylfaen" w:hAnsi="Sylfaen"/>
          <w:sz w:val="24"/>
          <w:szCs w:val="24"/>
        </w:rPr>
        <w:t>և</w:t>
      </w:r>
      <w:r w:rsidRPr="00834D52">
        <w:rPr>
          <w:rFonts w:ascii="Sylfaen" w:hAnsi="Sylfaen"/>
          <w:sz w:val="24"/>
          <w:szCs w:val="24"/>
        </w:rPr>
        <w:t xml:space="preserve"> այլ հարցերի վերաբերյալ:</w:t>
      </w:r>
    </w:p>
    <w:p w14:paraId="12372781" w14:textId="72DC47D2" w:rsidR="006F76EB" w:rsidRPr="006F28F9" w:rsidRDefault="00826A20" w:rsidP="00826A20">
      <w:pPr>
        <w:rPr>
          <w:b/>
          <w:bCs/>
          <w:i/>
          <w:iCs/>
        </w:rPr>
      </w:pPr>
      <w:r w:rsidRPr="00CD4709">
        <w:rPr>
          <w:b/>
          <w:bCs/>
          <w:i/>
          <w:iCs/>
        </w:rPr>
        <w:lastRenderedPageBreak/>
        <w:t>(</w:t>
      </w:r>
      <w:r>
        <w:rPr>
          <w:b/>
          <w:bCs/>
          <w:i/>
          <w:iCs/>
        </w:rPr>
        <w:t xml:space="preserve">26-րդ կետը </w:t>
      </w:r>
      <w:r w:rsidRPr="00CD4709">
        <w:rPr>
          <w:b/>
          <w:bCs/>
          <w:i/>
          <w:iCs/>
        </w:rPr>
        <w:t>փոփ. 30.01.20 թիվ 9</w:t>
      </w:r>
      <w:r w:rsidR="00DA72D4">
        <w:rPr>
          <w:b/>
          <w:bCs/>
          <w:i/>
          <w:iCs/>
        </w:rPr>
        <w:t>, 05.03.21 թիվ 14</w:t>
      </w:r>
      <w:r w:rsidRPr="00CD4709">
        <w:rPr>
          <w:b/>
          <w:bCs/>
          <w:i/>
          <w:iCs/>
        </w:rPr>
        <w:t>)</w:t>
      </w:r>
    </w:p>
    <w:p w14:paraId="65AF9747" w14:textId="77777777" w:rsidR="00826A20"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27.</w:t>
      </w:r>
      <w:r w:rsidRPr="00834D52">
        <w:rPr>
          <w:rFonts w:ascii="Sylfaen" w:hAnsi="Sylfaen"/>
          <w:sz w:val="24"/>
          <w:szCs w:val="24"/>
        </w:rPr>
        <w:tab/>
        <w:t xml:space="preserve">Դեղապատրաստուկը գրանցելու, գրանցումը հաստատելու (վերագրանցելու), գրանցման դոսյեում փոփոխություններ կատարելու ընթացակարգերի կամ գրանցման հետ կապված ընթացակարգերի անցկացման ընթացքում դեղամիջոցների անցկացված նախակլինիկական (ոչ կլինիկական) հետազոտությունների (փորձարկումների) </w:t>
      </w:r>
      <w:r w:rsidR="00C54D75">
        <w:rPr>
          <w:rFonts w:ascii="Sylfaen" w:hAnsi="Sylfaen"/>
          <w:sz w:val="24"/>
          <w:szCs w:val="24"/>
        </w:rPr>
        <w:t>և</w:t>
      </w:r>
      <w:r w:rsidRPr="00834D52">
        <w:rPr>
          <w:rFonts w:ascii="Sylfaen" w:hAnsi="Sylfaen"/>
          <w:sz w:val="24"/>
          <w:szCs w:val="24"/>
        </w:rPr>
        <w:t xml:space="preserve"> դեղապատրաստուկների կլինիկական հետազոտությունների (փորձարկումների) կամ դեղամիջոցի արտադրության, այդ թվում՝ դեղագործական սուբստանցիայի արտադրության կամ դեղազգոնության համակարգի կազմակերպման առնչությամբ </w:t>
      </w:r>
      <w:r w:rsidR="0056496B">
        <w:rPr>
          <w:rFonts w:ascii="Sylfaen" w:hAnsi="Sylfaen"/>
          <w:sz w:val="24"/>
          <w:szCs w:val="24"/>
        </w:rPr>
        <w:t>դիմումատու</w:t>
      </w:r>
      <w:r w:rsidRPr="00834D52">
        <w:rPr>
          <w:rFonts w:ascii="Sylfaen" w:hAnsi="Sylfaen"/>
          <w:sz w:val="24"/>
          <w:szCs w:val="24"/>
        </w:rPr>
        <w:t xml:space="preserve">ի՝ գրանցման դոսյեում ներկայացրած տեղեկությունների հավաստիությունը կասկածի ենթարկող փաստեր </w:t>
      </w:r>
      <w:r w:rsidR="0056496B">
        <w:rPr>
          <w:rFonts w:ascii="Sylfaen" w:hAnsi="Sylfaen"/>
          <w:sz w:val="24"/>
          <w:szCs w:val="24"/>
        </w:rPr>
        <w:t>դիմում</w:t>
      </w:r>
      <w:r w:rsidRPr="00834D52">
        <w:rPr>
          <w:rFonts w:ascii="Sylfaen" w:hAnsi="Sylfaen"/>
          <w:sz w:val="24"/>
          <w:szCs w:val="24"/>
        </w:rPr>
        <w:t xml:space="preserve">նաբերելու դեպքում </w:t>
      </w:r>
      <w:r w:rsidR="006B20D8">
        <w:rPr>
          <w:rFonts w:ascii="Sylfaen" w:hAnsi="Sylfaen"/>
          <w:sz w:val="24"/>
          <w:szCs w:val="24"/>
        </w:rPr>
        <w:t>ռեֆերենտ</w:t>
      </w:r>
      <w:r w:rsidRPr="00834D52">
        <w:rPr>
          <w:rFonts w:ascii="Sylfaen" w:hAnsi="Sylfaen"/>
          <w:sz w:val="24"/>
          <w:szCs w:val="24"/>
        </w:rPr>
        <w:t xml:space="preserve"> պետության լիազորված մարմինը կամ փորձագիտական կազմակերպությունը նախաձեռնում է այդ պետության դեղագործական տեսչության կողմից տեսչական ստուգման անցկացում՝ համապատասխան պատշաճ դեղագործական գործունեության պահանջների պահպանման մասով: Այդպիսի տեսչական ստուգումներ կարող են նա</w:t>
      </w:r>
      <w:r w:rsidR="00C54D75">
        <w:rPr>
          <w:rFonts w:ascii="Sylfaen" w:hAnsi="Sylfaen"/>
          <w:sz w:val="24"/>
          <w:szCs w:val="24"/>
        </w:rPr>
        <w:t>և</w:t>
      </w:r>
      <w:r w:rsidRPr="00834D52">
        <w:rPr>
          <w:rFonts w:ascii="Sylfaen" w:hAnsi="Sylfaen"/>
          <w:sz w:val="24"/>
          <w:szCs w:val="24"/>
        </w:rPr>
        <w:t xml:space="preserve"> նախաձեռնվել սույն Կանոնների 31-րդ, 33-րդ, 35-րդ, 37-39-րդ կետերում նշված դեպքերում: Համապատասխան արտապլանային տեսչական ստուգումները դրանց անհրաժեշտության դեպքում ժամանակին նախաձեռնելու համար պատասխանատվություն է կրում </w:t>
      </w:r>
      <w:r w:rsidR="00753550">
        <w:rPr>
          <w:rFonts w:ascii="Sylfaen" w:hAnsi="Sylfaen"/>
          <w:sz w:val="24"/>
          <w:szCs w:val="24"/>
        </w:rPr>
        <w:t>ռեֆերենտ</w:t>
      </w:r>
      <w:r w:rsidR="00753550" w:rsidRPr="00834D52">
        <w:rPr>
          <w:rFonts w:ascii="Sylfaen" w:hAnsi="Sylfaen"/>
          <w:sz w:val="24"/>
          <w:szCs w:val="24"/>
        </w:rPr>
        <w:t xml:space="preserve"> </w:t>
      </w:r>
      <w:r w:rsidRPr="00834D52">
        <w:rPr>
          <w:rFonts w:ascii="Sylfaen" w:hAnsi="Sylfaen"/>
          <w:sz w:val="24"/>
          <w:szCs w:val="24"/>
        </w:rPr>
        <w:t>պետության լիազորված մարմինը:</w:t>
      </w:r>
    </w:p>
    <w:p w14:paraId="68F33223" w14:textId="4465A965" w:rsidR="006F76EB" w:rsidRPr="006F28F9" w:rsidRDefault="00826A20" w:rsidP="00826A20">
      <w:pPr>
        <w:rPr>
          <w:b/>
          <w:bCs/>
          <w:i/>
          <w:iCs/>
        </w:rPr>
      </w:pPr>
      <w:r w:rsidRPr="00826A20">
        <w:rPr>
          <w:b/>
          <w:bCs/>
          <w:i/>
          <w:iCs/>
        </w:rPr>
        <w:t>(27-րդ կետը փոփ. 30.01.20 թիվ 9)</w:t>
      </w:r>
    </w:p>
    <w:p w14:paraId="54D7645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28.</w:t>
      </w:r>
      <w:r w:rsidRPr="00834D52">
        <w:rPr>
          <w:rFonts w:ascii="Sylfaen" w:hAnsi="Sylfaen"/>
          <w:sz w:val="24"/>
          <w:szCs w:val="24"/>
        </w:rPr>
        <w:tab/>
        <w:t>Դեղամիջոցների արտադրությունը պետք է համապատասխանի Եվրասիական տնտեսական միության պատշաճ արտադրական գործունեության կանոններին:</w:t>
      </w:r>
    </w:p>
    <w:p w14:paraId="663178EE" w14:textId="66A6A06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29.</w:t>
      </w:r>
      <w:r w:rsidRPr="00834D52">
        <w:rPr>
          <w:rFonts w:ascii="Sylfaen" w:hAnsi="Sylfaen"/>
          <w:sz w:val="24"/>
          <w:szCs w:val="24"/>
        </w:rPr>
        <w:tab/>
        <w:t xml:space="preserve">Դեղապատրաստուկը գրանցելու, գրանցումը հաստատելու (վերագրանցելու), Միության պահանջներին համապատասխանեցնելու </w:t>
      </w:r>
      <w:r w:rsidR="0056496B">
        <w:rPr>
          <w:rFonts w:ascii="Sylfaen" w:hAnsi="Sylfaen"/>
          <w:sz w:val="24"/>
          <w:szCs w:val="24"/>
        </w:rPr>
        <w:t>դիմում</w:t>
      </w:r>
      <w:r w:rsidRPr="00834D52">
        <w:rPr>
          <w:rFonts w:ascii="Sylfaen" w:hAnsi="Sylfaen"/>
          <w:sz w:val="24"/>
          <w:szCs w:val="24"/>
        </w:rPr>
        <w:t xml:space="preserve"> ներկայացնելիս </w:t>
      </w:r>
      <w:r w:rsidR="0056496B">
        <w:rPr>
          <w:rFonts w:ascii="Sylfaen" w:hAnsi="Sylfaen"/>
          <w:sz w:val="24"/>
          <w:szCs w:val="24"/>
        </w:rPr>
        <w:t>դիմումատու</w:t>
      </w:r>
      <w:r w:rsidRPr="00834D52">
        <w:rPr>
          <w:rFonts w:ascii="Sylfaen" w:hAnsi="Sylfaen"/>
          <w:sz w:val="24"/>
          <w:szCs w:val="24"/>
        </w:rPr>
        <w:t xml:space="preserve">ն պետք է գրանցման դոսյեի կազմում ներկայացնի գործող փաստաթուղթ, որով հաստատվում է այն արտադրական հարթակի (արտադրական հարթակների)՝ Միության պատշաճ արտադրական գործունեության պահանջներին համապատասխան լինելը, որտեղ </w:t>
      </w:r>
      <w:r w:rsidRPr="00834D52">
        <w:rPr>
          <w:rFonts w:ascii="Sylfaen" w:hAnsi="Sylfaen"/>
          <w:sz w:val="24"/>
          <w:szCs w:val="24"/>
        </w:rPr>
        <w:lastRenderedPageBreak/>
        <w:t>իրականացվում են պատրաստի դեղաձ</w:t>
      </w:r>
      <w:r w:rsidR="00C54D75">
        <w:rPr>
          <w:rFonts w:ascii="Sylfaen" w:hAnsi="Sylfaen"/>
          <w:sz w:val="24"/>
          <w:szCs w:val="24"/>
        </w:rPr>
        <w:t>և</w:t>
      </w:r>
      <w:r w:rsidRPr="00834D52">
        <w:rPr>
          <w:rFonts w:ascii="Sylfaen" w:hAnsi="Sylfaen"/>
          <w:sz w:val="24"/>
          <w:szCs w:val="24"/>
        </w:rPr>
        <w:t xml:space="preserve">ի արտադրությունը </w:t>
      </w:r>
      <w:r w:rsidR="00C54D75">
        <w:rPr>
          <w:rFonts w:ascii="Sylfaen" w:hAnsi="Sylfaen"/>
          <w:sz w:val="24"/>
          <w:szCs w:val="24"/>
        </w:rPr>
        <w:t>և</w:t>
      </w:r>
      <w:r w:rsidRPr="00834D52">
        <w:rPr>
          <w:rFonts w:ascii="Sylfaen" w:hAnsi="Sylfaen"/>
          <w:sz w:val="24"/>
          <w:szCs w:val="24"/>
        </w:rPr>
        <w:t xml:space="preserve"> գրանցելու, գրանցումը հաստատելու (վերագրանցելու), Միության պահանջներին համապատասխանեցնելու համար </w:t>
      </w:r>
      <w:r w:rsidR="0056496B">
        <w:rPr>
          <w:rFonts w:ascii="Sylfaen" w:hAnsi="Sylfaen"/>
          <w:sz w:val="24"/>
          <w:szCs w:val="24"/>
        </w:rPr>
        <w:t>դիմում</w:t>
      </w:r>
      <w:r w:rsidRPr="00834D52">
        <w:rPr>
          <w:rFonts w:ascii="Sylfaen" w:hAnsi="Sylfaen"/>
          <w:sz w:val="24"/>
          <w:szCs w:val="24"/>
        </w:rPr>
        <w:t>արկվող դեղապատրաստուկի բացթողման համար անհրաժեշտ որակի հսկողությունը:</w:t>
      </w:r>
    </w:p>
    <w:p w14:paraId="12F9310F" w14:textId="76A464CF" w:rsidR="006F76EB" w:rsidRDefault="003A2F68" w:rsidP="00DB0024">
      <w:pPr>
        <w:tabs>
          <w:tab w:val="left" w:pos="1134"/>
        </w:tabs>
        <w:spacing w:after="160" w:line="384" w:lineRule="auto"/>
        <w:ind w:right="-6" w:firstLine="567"/>
        <w:jc w:val="both"/>
        <w:rPr>
          <w:rFonts w:ascii="Sylfaen" w:hAnsi="Sylfaen"/>
          <w:sz w:val="24"/>
          <w:szCs w:val="24"/>
        </w:rPr>
      </w:pPr>
      <w:r>
        <w:rPr>
          <w:rFonts w:ascii="Sylfaen" w:hAnsi="Sylfaen"/>
          <w:sz w:val="24"/>
          <w:szCs w:val="24"/>
        </w:rPr>
        <w:t>Դ</w:t>
      </w:r>
      <w:r w:rsidR="006F76EB" w:rsidRPr="00834D52">
        <w:rPr>
          <w:rFonts w:ascii="Sylfaen" w:hAnsi="Sylfaen"/>
          <w:sz w:val="24"/>
          <w:szCs w:val="24"/>
        </w:rPr>
        <w:t xml:space="preserve">եղապատրաստուկի արտադրական հարթակի (արտադրական հարթակների) առնչությամբ </w:t>
      </w:r>
      <w:r w:rsidR="0056496B">
        <w:rPr>
          <w:rFonts w:ascii="Sylfaen" w:hAnsi="Sylfaen"/>
          <w:sz w:val="24"/>
          <w:szCs w:val="24"/>
        </w:rPr>
        <w:t>դիմումատու</w:t>
      </w:r>
      <w:r w:rsidR="006F76EB" w:rsidRPr="00834D52">
        <w:rPr>
          <w:rFonts w:ascii="Sylfaen" w:hAnsi="Sylfaen"/>
          <w:sz w:val="24"/>
          <w:szCs w:val="24"/>
        </w:rPr>
        <w:t>ն իրավունք ունի Միության պատշաճ արտադրական գործունեության պահանջներին համապատասխան լինելը հաստատող փաստաթղթի փոխարեն ներկայացնելու</w:t>
      </w:r>
      <w:r>
        <w:rPr>
          <w:rFonts w:ascii="Sylfaen" w:hAnsi="Sylfaen"/>
          <w:sz w:val="24"/>
          <w:szCs w:val="24"/>
        </w:rPr>
        <w:t xml:space="preserve"> </w:t>
      </w:r>
      <w:r w:rsidRPr="003A2F68">
        <w:rPr>
          <w:rFonts w:ascii="Sylfaen" w:hAnsi="Sylfaen"/>
          <w:sz w:val="24"/>
          <w:szCs w:val="24"/>
        </w:rPr>
        <w:t>մինչև դրա գործողության ժամկետի ավարտը</w:t>
      </w:r>
      <w:r>
        <w:rPr>
          <w:rFonts w:ascii="Sylfaen" w:hAnsi="Sylfaen"/>
          <w:sz w:val="24"/>
          <w:szCs w:val="24"/>
        </w:rPr>
        <w:t xml:space="preserve"> </w:t>
      </w:r>
      <w:r w:rsidR="004B6C67">
        <w:rPr>
          <w:rFonts w:ascii="Sylfaen" w:hAnsi="Sylfaen"/>
          <w:sz w:val="24"/>
          <w:szCs w:val="24"/>
        </w:rPr>
        <w:t xml:space="preserve"> </w:t>
      </w:r>
      <w:r w:rsidR="006F76EB" w:rsidRPr="00834D52">
        <w:rPr>
          <w:rFonts w:ascii="Sylfaen" w:hAnsi="Sylfaen"/>
          <w:sz w:val="24"/>
          <w:szCs w:val="24"/>
        </w:rPr>
        <w:t>պատրաստի դեղաձ</w:t>
      </w:r>
      <w:r w:rsidR="00C54D75">
        <w:rPr>
          <w:rFonts w:ascii="Sylfaen" w:hAnsi="Sylfaen"/>
          <w:sz w:val="24"/>
          <w:szCs w:val="24"/>
        </w:rPr>
        <w:t>և</w:t>
      </w:r>
      <w:r w:rsidR="006F76EB" w:rsidRPr="00834D52">
        <w:rPr>
          <w:rFonts w:ascii="Sylfaen" w:hAnsi="Sylfaen"/>
          <w:sz w:val="24"/>
          <w:szCs w:val="24"/>
        </w:rPr>
        <w:t xml:space="preserve">ի արտադրություն </w:t>
      </w:r>
      <w:r w:rsidR="00C54D75">
        <w:rPr>
          <w:rFonts w:ascii="Sylfaen" w:hAnsi="Sylfaen"/>
          <w:sz w:val="24"/>
          <w:szCs w:val="24"/>
        </w:rPr>
        <w:t>և</w:t>
      </w:r>
      <w:r w:rsidR="006F76EB" w:rsidRPr="00834D52">
        <w:rPr>
          <w:rFonts w:ascii="Sylfaen" w:hAnsi="Sylfaen"/>
          <w:sz w:val="24"/>
          <w:szCs w:val="24"/>
        </w:rPr>
        <w:t xml:space="preserve"> դեղապատրաստուկի բացթողման համար անհրաժեշտ որակի հսկողություն իրականացնող արտադրական հարթակի (արտադրական հարթակների)՝ պատշաճ արտադրական պրակտիկայի պահանջներին համապատասխան լինելը հաստատող փաստաթուղթ, որը տրվել է դեղապատրաստուկն արտադրողին անդամ պետությունների լիազորված մարմնի կողմից:</w:t>
      </w:r>
    </w:p>
    <w:p w14:paraId="04DAEF87" w14:textId="3707731B" w:rsidR="00E15E7D" w:rsidRPr="008E4EB1" w:rsidRDefault="00E15E7D" w:rsidP="00DB0024">
      <w:pPr>
        <w:tabs>
          <w:tab w:val="left" w:pos="1134"/>
        </w:tabs>
        <w:spacing w:after="160" w:line="384" w:lineRule="auto"/>
        <w:ind w:right="-6" w:firstLine="567"/>
        <w:jc w:val="both"/>
        <w:rPr>
          <w:rFonts w:ascii="Sylfaen" w:eastAsia="Times New Roman" w:hAnsi="Sylfaen" w:cs="Times New Roman"/>
          <w:b/>
          <w:bCs/>
          <w:i/>
          <w:iCs/>
          <w:sz w:val="24"/>
          <w:szCs w:val="24"/>
        </w:rPr>
      </w:pPr>
      <w:r w:rsidRPr="008E4EB1">
        <w:rPr>
          <w:rFonts w:ascii="Sylfaen" w:hAnsi="Sylfaen"/>
          <w:b/>
          <w:bCs/>
          <w:i/>
          <w:iCs/>
          <w:sz w:val="24"/>
          <w:szCs w:val="24"/>
        </w:rPr>
        <w:t>(</w:t>
      </w:r>
      <w:r w:rsidRPr="00E15E7D">
        <w:rPr>
          <w:rFonts w:ascii="Sylfaen" w:hAnsi="Sylfaen"/>
          <w:b/>
          <w:bCs/>
          <w:i/>
          <w:iCs/>
          <w:sz w:val="24"/>
          <w:szCs w:val="24"/>
        </w:rPr>
        <w:t>29-րդ կետը փոփ. 14.06.18 թիվ 55</w:t>
      </w:r>
      <w:r w:rsidR="00826A20">
        <w:rPr>
          <w:rFonts w:ascii="Sylfaen" w:hAnsi="Sylfaen"/>
          <w:b/>
          <w:bCs/>
          <w:i/>
          <w:iCs/>
          <w:sz w:val="24"/>
          <w:szCs w:val="24"/>
        </w:rPr>
        <w:t>, 30.01.20 թիվ 9</w:t>
      </w:r>
      <w:r w:rsidR="004B6C67">
        <w:rPr>
          <w:rFonts w:ascii="Sylfaen" w:hAnsi="Sylfaen"/>
          <w:b/>
          <w:bCs/>
          <w:i/>
          <w:iCs/>
          <w:sz w:val="24"/>
          <w:szCs w:val="24"/>
        </w:rPr>
        <w:t>, փոփ., լրաց. 23.04.21 թիվ 34</w:t>
      </w:r>
      <w:r w:rsidRPr="008E4EB1">
        <w:rPr>
          <w:rFonts w:ascii="Sylfaen" w:hAnsi="Sylfaen"/>
          <w:b/>
          <w:bCs/>
          <w:i/>
          <w:iCs/>
          <w:sz w:val="24"/>
          <w:szCs w:val="24"/>
        </w:rPr>
        <w:t>)</w:t>
      </w:r>
    </w:p>
    <w:p w14:paraId="7CDBC3D1" w14:textId="49B89CED" w:rsidR="006F76EB" w:rsidRPr="00834D52" w:rsidRDefault="006F76EB" w:rsidP="00DB0024">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30.</w:t>
      </w:r>
      <w:r w:rsidRPr="00834D52">
        <w:rPr>
          <w:rFonts w:ascii="Sylfaen" w:hAnsi="Sylfaen"/>
          <w:sz w:val="24"/>
          <w:szCs w:val="24"/>
        </w:rPr>
        <w:tab/>
        <w:t xml:space="preserve">Դեղապատրաստուկի արտադրական հարթակի (արտադրական հարթակների)՝ Միության պատշաճ արտադրական գործունեության պահանջներին համապատասխան լինելը հաստատող գործող փաստաթուղթ ներկայացնելու անհնարինության դեպքում </w:t>
      </w:r>
      <w:r w:rsidR="0056496B">
        <w:rPr>
          <w:rFonts w:ascii="Sylfaen" w:hAnsi="Sylfaen"/>
          <w:sz w:val="24"/>
          <w:szCs w:val="24"/>
        </w:rPr>
        <w:t>դիմումատու</w:t>
      </w:r>
      <w:r w:rsidRPr="00834D52">
        <w:rPr>
          <w:rFonts w:ascii="Sylfaen" w:hAnsi="Sylfaen"/>
          <w:sz w:val="24"/>
          <w:szCs w:val="24"/>
        </w:rPr>
        <w:t xml:space="preserve">ն դեղապատրաստուկի գրանցման կամ Միության պահանջներին համապատասխանեցման վերաբերյալ </w:t>
      </w:r>
      <w:r w:rsidR="0056496B">
        <w:rPr>
          <w:rFonts w:ascii="Sylfaen" w:hAnsi="Sylfaen"/>
          <w:sz w:val="24"/>
          <w:szCs w:val="24"/>
        </w:rPr>
        <w:t>դիմում</w:t>
      </w:r>
      <w:r w:rsidRPr="00834D52">
        <w:rPr>
          <w:rFonts w:ascii="Sylfaen" w:hAnsi="Sylfaen"/>
          <w:sz w:val="24"/>
          <w:szCs w:val="24"/>
        </w:rPr>
        <w:t>ը մինչ</w:t>
      </w:r>
      <w:r w:rsidR="00C54D75">
        <w:rPr>
          <w:rFonts w:ascii="Sylfaen" w:hAnsi="Sylfaen"/>
          <w:sz w:val="24"/>
          <w:szCs w:val="24"/>
        </w:rPr>
        <w:t>և</w:t>
      </w:r>
      <w:r w:rsidRPr="00834D52">
        <w:rPr>
          <w:rFonts w:ascii="Sylfaen" w:hAnsi="Sylfaen"/>
          <w:sz w:val="24"/>
          <w:szCs w:val="24"/>
        </w:rPr>
        <w:t xml:space="preserve"> </w:t>
      </w:r>
      <w:r w:rsidR="00E15E7D" w:rsidRPr="00B96C43">
        <w:rPr>
          <w:rFonts w:ascii="Sylfaen" w:hAnsi="Sylfaen"/>
          <w:sz w:val="24"/>
          <w:szCs w:val="24"/>
        </w:rPr>
        <w:t>202</w:t>
      </w:r>
      <w:r w:rsidR="00FC632C">
        <w:rPr>
          <w:rFonts w:ascii="Sylfaen" w:hAnsi="Sylfaen"/>
          <w:sz w:val="24"/>
          <w:szCs w:val="24"/>
        </w:rPr>
        <w:t>1</w:t>
      </w:r>
      <w:r w:rsidR="00E15E7D" w:rsidRPr="00B96C43">
        <w:rPr>
          <w:rFonts w:ascii="Sylfaen" w:hAnsi="Sylfaen"/>
          <w:sz w:val="24"/>
          <w:szCs w:val="24"/>
        </w:rPr>
        <w:t> թվականի դեկտեմբերի 31-ը</w:t>
      </w:r>
      <w:r w:rsidR="00E15E7D" w:rsidRPr="00834D52">
        <w:rPr>
          <w:rFonts w:ascii="Sylfaen" w:hAnsi="Sylfaen"/>
          <w:sz w:val="24"/>
          <w:szCs w:val="24"/>
        </w:rPr>
        <w:t xml:space="preserve"> </w:t>
      </w:r>
      <w:r w:rsidRPr="00834D52">
        <w:rPr>
          <w:rFonts w:ascii="Sylfaen" w:hAnsi="Sylfaen"/>
          <w:sz w:val="24"/>
          <w:szCs w:val="24"/>
        </w:rPr>
        <w:t>ներկայացնելիս տվյալ փաստաթղթի փոխարեն ներկայացնում է հետ</w:t>
      </w:r>
      <w:r w:rsidR="00C54D75">
        <w:rPr>
          <w:rFonts w:ascii="Sylfaen" w:hAnsi="Sylfaen"/>
          <w:sz w:val="24"/>
          <w:szCs w:val="24"/>
        </w:rPr>
        <w:t>և</w:t>
      </w:r>
      <w:r w:rsidRPr="00834D52">
        <w:rPr>
          <w:rFonts w:ascii="Sylfaen" w:hAnsi="Sylfaen"/>
          <w:sz w:val="24"/>
          <w:szCs w:val="24"/>
        </w:rPr>
        <w:t xml:space="preserve">յալ փաստաթղթերը </w:t>
      </w:r>
      <w:r w:rsidR="00C54D75">
        <w:rPr>
          <w:rFonts w:ascii="Sylfaen" w:hAnsi="Sylfaen"/>
          <w:sz w:val="24"/>
          <w:szCs w:val="24"/>
        </w:rPr>
        <w:t>և</w:t>
      </w:r>
      <w:r w:rsidRPr="00834D52">
        <w:rPr>
          <w:rFonts w:ascii="Sylfaen" w:hAnsi="Sylfaen"/>
          <w:sz w:val="24"/>
          <w:szCs w:val="24"/>
        </w:rPr>
        <w:t xml:space="preserve"> տեղեկությունները՝</w:t>
      </w:r>
    </w:p>
    <w:p w14:paraId="15F4320C"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պատրաստի դեղաձ</w:t>
      </w:r>
      <w:r w:rsidR="00C54D75">
        <w:rPr>
          <w:rFonts w:ascii="Sylfaen" w:hAnsi="Sylfaen"/>
          <w:sz w:val="24"/>
          <w:szCs w:val="24"/>
        </w:rPr>
        <w:t>և</w:t>
      </w:r>
      <w:r w:rsidRPr="00834D52">
        <w:rPr>
          <w:rFonts w:ascii="Sylfaen" w:hAnsi="Sylfaen"/>
          <w:sz w:val="24"/>
          <w:szCs w:val="24"/>
        </w:rPr>
        <w:t xml:space="preserve">ի արտադրություն </w:t>
      </w:r>
      <w:r w:rsidR="00C54D75">
        <w:rPr>
          <w:rFonts w:ascii="Sylfaen" w:hAnsi="Sylfaen"/>
          <w:sz w:val="24"/>
          <w:szCs w:val="24"/>
        </w:rPr>
        <w:t>և</w:t>
      </w:r>
      <w:r w:rsidRPr="00834D52">
        <w:rPr>
          <w:rFonts w:ascii="Sylfaen" w:hAnsi="Sylfaen"/>
          <w:sz w:val="24"/>
          <w:szCs w:val="24"/>
        </w:rPr>
        <w:t xml:space="preserve"> դեղապատրաստուկի բացթողման համար անհրաժեշտ որակի հսկողություն իրականացնող արտադրական հարթակի (արտադրական հարթակների)՝ պատշաճ արտադրական գործունեության պահանջներին համապատասխան լինելը հաստատող գործող փաստաթղթեր, որոնք տրվել են դեղապատրաստուկն արտադրող երկրի </w:t>
      </w:r>
      <w:r w:rsidRPr="00834D52">
        <w:rPr>
          <w:rFonts w:ascii="Sylfaen" w:hAnsi="Sylfaen"/>
          <w:sz w:val="24"/>
          <w:szCs w:val="24"/>
        </w:rPr>
        <w:lastRenderedPageBreak/>
        <w:t>լիազորված մարմնի կողմից դեղապատրաստուկն արտադրողին.</w:t>
      </w:r>
    </w:p>
    <w:p w14:paraId="5430B96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արտադրական հարթակի (արտադրության փուլերում արտադրական հարթակների) վերջին այն տեսչական ստուգման արդյունքների մասին հաշվետվության պատճեն, որն անցկացվել է արտադրող երկրի լիազորված մարմնի </w:t>
      </w:r>
      <w:r w:rsidR="00C54D75">
        <w:rPr>
          <w:rFonts w:ascii="Sylfaen" w:hAnsi="Sylfaen"/>
          <w:sz w:val="24"/>
          <w:szCs w:val="24"/>
        </w:rPr>
        <w:t>և</w:t>
      </w:r>
      <w:r w:rsidRPr="00834D52">
        <w:rPr>
          <w:rFonts w:ascii="Sylfaen" w:hAnsi="Sylfaen"/>
          <w:sz w:val="24"/>
          <w:szCs w:val="24"/>
        </w:rPr>
        <w:t xml:space="preserve"> (կամ) այլ լիազորված մարմնի կողմից վերջին 3 տարիների ընթացքում.</w:t>
      </w:r>
    </w:p>
    <w:p w14:paraId="6C462D8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տվյալ արտադրական հարթակի (արտադրական հարթակների)՝ պատշաճ արտադրական գործունեության պահանջներին համապատասխան լինելու մասով վերջին 3 տարիների ընթացքում անցկացված բոլոր տեսչական ստուգումների արդյունքների մասին տեղեկություններ.</w:t>
      </w:r>
    </w:p>
    <w:p w14:paraId="5B4CED2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տվյալ արտադրական հարթակում (արտադրական հարթակներում) արտադրված դեղապատրաստուկների որակի առնչությամբ վերջին 3 տարիների ընթացքում ներկայացված վնասապահանջների մասին տեղեկություններ. </w:t>
      </w:r>
    </w:p>
    <w:p w14:paraId="3132E70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Միության պատշաճ արտադրական գործունեության պահանջներին համապատասխան լինելու մասով դեղագործական տեսչական ստուգում անցկացնելու համաձայնություն.</w:t>
      </w:r>
    </w:p>
    <w:p w14:paraId="08D5ED09" w14:textId="39CAAD8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արտադրական հարթակի (արտադրական հարթակների) հիմնական դոսյեի պատճեն (մաստեր-ֆայլ):</w:t>
      </w:r>
    </w:p>
    <w:p w14:paraId="2F6EF845" w14:textId="3DE3543A" w:rsidR="00E15E7D" w:rsidRPr="008E4EB1" w:rsidRDefault="00E15E7D" w:rsidP="00E15E7D">
      <w:pPr>
        <w:tabs>
          <w:tab w:val="left" w:pos="1134"/>
        </w:tabs>
        <w:spacing w:after="160" w:line="384" w:lineRule="auto"/>
        <w:ind w:right="-6" w:firstLine="567"/>
        <w:jc w:val="both"/>
        <w:rPr>
          <w:rFonts w:ascii="Sylfaen" w:eastAsia="Times New Roman" w:hAnsi="Sylfaen" w:cs="Times New Roman"/>
          <w:b/>
          <w:bCs/>
          <w:i/>
          <w:iCs/>
          <w:sz w:val="24"/>
          <w:szCs w:val="24"/>
        </w:rPr>
      </w:pPr>
      <w:r w:rsidRPr="008E4EB1">
        <w:rPr>
          <w:rFonts w:ascii="Sylfaen" w:hAnsi="Sylfaen"/>
          <w:b/>
          <w:bCs/>
          <w:i/>
          <w:iCs/>
          <w:sz w:val="24"/>
          <w:szCs w:val="24"/>
        </w:rPr>
        <w:t>(</w:t>
      </w:r>
      <w:r w:rsidRPr="00E15E7D">
        <w:rPr>
          <w:rFonts w:ascii="Sylfaen" w:hAnsi="Sylfaen"/>
          <w:b/>
          <w:bCs/>
          <w:i/>
          <w:iCs/>
          <w:sz w:val="24"/>
          <w:szCs w:val="24"/>
        </w:rPr>
        <w:t>30-րդ կետը փոփ. 14.06.18 թիվ 55</w:t>
      </w:r>
      <w:r w:rsidR="007A6DFB">
        <w:rPr>
          <w:rFonts w:ascii="Sylfaen" w:hAnsi="Sylfaen"/>
          <w:b/>
          <w:bCs/>
          <w:i/>
          <w:iCs/>
          <w:sz w:val="24"/>
          <w:szCs w:val="24"/>
        </w:rPr>
        <w:t>, 23.04.21 թիվ 34</w:t>
      </w:r>
      <w:r w:rsidRPr="008E4EB1">
        <w:rPr>
          <w:rFonts w:ascii="Sylfaen" w:hAnsi="Sylfaen"/>
          <w:b/>
          <w:bCs/>
          <w:i/>
          <w:iCs/>
          <w:sz w:val="24"/>
          <w:szCs w:val="24"/>
        </w:rPr>
        <w:t>)</w:t>
      </w:r>
    </w:p>
    <w:p w14:paraId="11F31E8E" w14:textId="54FE0E1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31.</w:t>
      </w:r>
      <w:r w:rsidRPr="00834D52">
        <w:rPr>
          <w:rFonts w:ascii="Sylfaen" w:hAnsi="Sylfaen"/>
          <w:sz w:val="24"/>
          <w:szCs w:val="24"/>
        </w:rPr>
        <w:tab/>
        <w:t xml:space="preserve">Հաշվի առնելով հավանական ռիսկերի գնահատումը՝ </w:t>
      </w:r>
      <w:r w:rsidR="00B24BA9">
        <w:rPr>
          <w:rFonts w:ascii="Sylfaen" w:hAnsi="Sylfaen"/>
          <w:sz w:val="24"/>
          <w:szCs w:val="24"/>
        </w:rPr>
        <w:t>ռեֆերենտ</w:t>
      </w:r>
      <w:r w:rsidRPr="00834D52">
        <w:rPr>
          <w:rFonts w:ascii="Sylfaen" w:hAnsi="Sylfaen"/>
          <w:sz w:val="24"/>
          <w:szCs w:val="24"/>
        </w:rPr>
        <w:t xml:space="preserve"> պետությունը </w:t>
      </w:r>
      <w:r w:rsidR="0056496B">
        <w:rPr>
          <w:rFonts w:ascii="Sylfaen" w:hAnsi="Sylfaen"/>
          <w:sz w:val="24"/>
          <w:szCs w:val="24"/>
        </w:rPr>
        <w:t>դիմումատու</w:t>
      </w:r>
      <w:r w:rsidRPr="00834D52">
        <w:rPr>
          <w:rFonts w:ascii="Sylfaen" w:hAnsi="Sylfaen"/>
          <w:sz w:val="24"/>
          <w:szCs w:val="24"/>
        </w:rPr>
        <w:t xml:space="preserve">ի ներկայացրած՝ սույն Կանոնների 30-րդ կետում նշված փաստաթղթերի հիման վրա որոշում է ընդունում դեղապատրաստուկի առնչությամբ գրանցման ընթացակարգերի իրականացման ժամկետում Միության պատշաճ արտադրական գործունեության պահանջներին համապատասխան լինելու մասով արտապլանային դեղագործական տեսչական ստուգում անցկացնելու անհրաժեշտության մասին կամ գրանցման ընթացակարգերի ավարտից հետո առաջին 3 տարում տեսչական ստուգումների անցկացման պլանում այն արտադրական հարթակի (արտադրական հարթակների) տեսչական </w:t>
      </w:r>
      <w:r w:rsidRPr="00834D52">
        <w:rPr>
          <w:rFonts w:ascii="Sylfaen" w:hAnsi="Sylfaen"/>
          <w:sz w:val="24"/>
          <w:szCs w:val="24"/>
        </w:rPr>
        <w:lastRenderedPageBreak/>
        <w:t xml:space="preserve">ստուգումը ներառելու մասին, որտեղ իրականացվում է գրանցման կամ Միության պահանջներին համապատասխանեցման համար </w:t>
      </w:r>
      <w:r w:rsidR="0056496B">
        <w:rPr>
          <w:rFonts w:ascii="Sylfaen" w:hAnsi="Sylfaen"/>
          <w:sz w:val="24"/>
          <w:szCs w:val="24"/>
        </w:rPr>
        <w:t>դիմում</w:t>
      </w:r>
      <w:r w:rsidRPr="00834D52">
        <w:rPr>
          <w:rFonts w:ascii="Sylfaen" w:hAnsi="Sylfaen"/>
          <w:sz w:val="24"/>
          <w:szCs w:val="24"/>
        </w:rPr>
        <w:t>արկվող դեղապատրաստուկի, այդ թվում՝ անհրաժեշտության դեպքում, դեղագործական սուբստանցիայի արտադրությունը:</w:t>
      </w:r>
    </w:p>
    <w:p w14:paraId="316F6378" w14:textId="649CBFD6" w:rsidR="006C28F7" w:rsidRPr="006F28F9" w:rsidRDefault="006C28F7" w:rsidP="006C28F7">
      <w:pPr>
        <w:rPr>
          <w:b/>
          <w:bCs/>
          <w:i/>
          <w:iCs/>
        </w:rPr>
      </w:pPr>
      <w:r w:rsidRPr="00CD4709">
        <w:rPr>
          <w:b/>
          <w:bCs/>
          <w:i/>
          <w:iCs/>
        </w:rPr>
        <w:t>(</w:t>
      </w:r>
      <w:r>
        <w:rPr>
          <w:b/>
          <w:bCs/>
          <w:i/>
          <w:iCs/>
        </w:rPr>
        <w:t xml:space="preserve">31-րդ կետը </w:t>
      </w:r>
      <w:r w:rsidRPr="00CD4709">
        <w:rPr>
          <w:b/>
          <w:bCs/>
          <w:i/>
          <w:iCs/>
        </w:rPr>
        <w:t>փոփ. 30.01.20 թիվ 9)</w:t>
      </w:r>
    </w:p>
    <w:p w14:paraId="36E7EE7A" w14:textId="4D8A2E51"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 xml:space="preserve">Դեղապատրաստուկի առնչությամբ գրանցման ընթացակարգերի անցկացման ժամկետում </w:t>
      </w:r>
      <w:r w:rsidR="009F49FE">
        <w:rPr>
          <w:rFonts w:ascii="Sylfaen" w:hAnsi="Sylfaen"/>
          <w:sz w:val="24"/>
          <w:szCs w:val="24"/>
        </w:rPr>
        <w:t xml:space="preserve">ռեֆերենտ </w:t>
      </w:r>
      <w:r w:rsidRPr="00834D52">
        <w:rPr>
          <w:rFonts w:ascii="Sylfaen" w:hAnsi="Sylfaen"/>
          <w:sz w:val="24"/>
          <w:szCs w:val="24"/>
        </w:rPr>
        <w:t xml:space="preserve">պետության կողմից դեղապատրաստուկի արտադրական հարթակի (արտադրական հարթակների) արտապլանային տեսչական ստուգում անցկացնելու անհնարինության՝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փաստաղթային հիմնավորման դեպքում </w:t>
      </w:r>
      <w:r w:rsidR="0056496B">
        <w:rPr>
          <w:rFonts w:ascii="Sylfaen" w:hAnsi="Sylfaen"/>
          <w:sz w:val="24"/>
          <w:szCs w:val="24"/>
        </w:rPr>
        <w:t>դիմումատու</w:t>
      </w:r>
      <w:r w:rsidRPr="00834D52">
        <w:rPr>
          <w:rFonts w:ascii="Sylfaen" w:hAnsi="Sylfaen"/>
          <w:sz w:val="24"/>
          <w:szCs w:val="24"/>
        </w:rPr>
        <w:t xml:space="preserve">ն իրավունք ունի </w:t>
      </w:r>
      <w:r w:rsidR="009F49FE">
        <w:rPr>
          <w:rFonts w:ascii="Sylfaen" w:hAnsi="Sylfaen"/>
          <w:sz w:val="24"/>
          <w:szCs w:val="24"/>
        </w:rPr>
        <w:t xml:space="preserve">ռեֆերենտ </w:t>
      </w:r>
      <w:r w:rsidRPr="00834D52">
        <w:rPr>
          <w:rFonts w:ascii="Sylfaen" w:hAnsi="Sylfaen"/>
          <w:sz w:val="24"/>
          <w:szCs w:val="24"/>
        </w:rPr>
        <w:t>պետության հետ համաձայնեցմամբ դիմում ներկայացնելու անդամ պետություններից մեկին տվյալ արտադրական հարթակի (արտադրական հարթակների)՝ Միության պատշաճ արտադրական գործունեության պահանջներին համապատասխան լինելու մասով տեսչական ստուգում անցկացնելու մասին:</w:t>
      </w:r>
    </w:p>
    <w:p w14:paraId="7AB47D55" w14:textId="6C785F9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Ճանաչման պետության լիազորված մարմինների կողմից դեղապատրաստուկի արտադրական հարթակի (արտադրական հարթակների) արտապլանային տեսչական ստուգման անցկացումը գրավոր մերժելու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պարտավոր է կազմակերպել </w:t>
      </w:r>
      <w:r w:rsidR="00C54D75">
        <w:rPr>
          <w:rFonts w:ascii="Sylfaen" w:hAnsi="Sylfaen"/>
          <w:sz w:val="24"/>
          <w:szCs w:val="24"/>
        </w:rPr>
        <w:t>և</w:t>
      </w:r>
      <w:r w:rsidRPr="00834D52">
        <w:rPr>
          <w:rFonts w:ascii="Sylfaen" w:hAnsi="Sylfaen"/>
          <w:sz w:val="24"/>
          <w:szCs w:val="24"/>
        </w:rPr>
        <w:t xml:space="preserve"> անցկացնել արտապլանային տեսչական ստուգում՝ դեղապատրաստուկի առնչությամբ գրանցման ընթացակարգերի անցկացման ժամկետում:</w:t>
      </w:r>
    </w:p>
    <w:p w14:paraId="60F7FE71" w14:textId="2167B6C9" w:rsidR="006C28F7" w:rsidRPr="006F28F9" w:rsidRDefault="006C28F7" w:rsidP="006C28F7">
      <w:pPr>
        <w:rPr>
          <w:b/>
          <w:bCs/>
          <w:i/>
          <w:iCs/>
        </w:rPr>
      </w:pPr>
      <w:r w:rsidRPr="00CD4709">
        <w:rPr>
          <w:b/>
          <w:bCs/>
          <w:i/>
          <w:iCs/>
        </w:rPr>
        <w:t>(</w:t>
      </w:r>
      <w:r>
        <w:rPr>
          <w:b/>
          <w:bCs/>
          <w:i/>
          <w:iCs/>
        </w:rPr>
        <w:t xml:space="preserve">32-րդ կետը </w:t>
      </w:r>
      <w:r w:rsidRPr="00CD4709">
        <w:rPr>
          <w:b/>
          <w:bCs/>
          <w:i/>
          <w:iCs/>
        </w:rPr>
        <w:t>փոփ. 30.01.20 թիվ 9)</w:t>
      </w:r>
    </w:p>
    <w:p w14:paraId="79391CD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 xml:space="preserve">Միության պատշաճ արտադրական գործունեության պահանջներին համապատասխան լինելու մասով արտապլանային դեղագործական տեսչական ստուգում անցկացնելու անհրաժեշտության մասին որոշումն ընդունվում է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կողմից հետ</w:t>
      </w:r>
      <w:r w:rsidR="00C54D75">
        <w:rPr>
          <w:rFonts w:ascii="Sylfaen" w:hAnsi="Sylfaen"/>
          <w:sz w:val="24"/>
          <w:szCs w:val="24"/>
        </w:rPr>
        <w:t>և</w:t>
      </w:r>
      <w:r w:rsidRPr="00834D52">
        <w:rPr>
          <w:rFonts w:ascii="Sylfaen" w:hAnsi="Sylfaen"/>
          <w:sz w:val="24"/>
          <w:szCs w:val="24"/>
        </w:rPr>
        <w:t>յալի իրականացման ընթացքում՝</w:t>
      </w:r>
    </w:p>
    <w:p w14:paraId="1F153536"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գրանցման ընթացակարգեր՝ պատրաստի դեղաձ</w:t>
      </w:r>
      <w:r w:rsidR="00C54D75">
        <w:rPr>
          <w:rFonts w:ascii="Sylfaen" w:hAnsi="Sylfaen"/>
          <w:sz w:val="24"/>
          <w:szCs w:val="24"/>
        </w:rPr>
        <w:t>և</w:t>
      </w:r>
      <w:r w:rsidRPr="00834D52">
        <w:rPr>
          <w:rFonts w:ascii="Sylfaen" w:hAnsi="Sylfaen"/>
          <w:sz w:val="24"/>
          <w:szCs w:val="24"/>
        </w:rPr>
        <w:t xml:space="preserve">ի արտադրություն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բացթողման համար անհրաժեշտ որակի հսկողություն իրականացնող այն հարթակներում արտադրված դեղապատրաստուկների համար, որոնք նախկինում չեն ենթարկվել տեսչական ստուգման առնվազն մեկ անդամ պետության լիազորված մարմնի (կազմակերպության) կողմից. </w:t>
      </w:r>
    </w:p>
    <w:p w14:paraId="0BA713E4"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Միության պահանջներին համապատասխանեցման ընթացակարգեր՝ անդամ պետություններում նախկինում գրանցված դեղապատրաստուկների համար այն արտադրական հարթակի (արտադրական հարթակների) նշման (ընդգրկման, փոփոխման) դեպքում, որը նախկինում չի ենթարկվել տեսչական ստուգման առնվազն մեկ անդամ պետության լիազորված մարմնի (կազմակերպության) կողմից:</w:t>
      </w:r>
    </w:p>
    <w:p w14:paraId="23B2B8F1"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Դեղամիջոցների անվտանգության նախակլինիկական հետազոտություններն անցկացվում են Միության՝ Հանձնաժողովի կողմից հաստատվող պատշաճ լաբորատոր գործունեության կանոնների պահանջներին համապատասխան:</w:t>
      </w:r>
    </w:p>
    <w:p w14:paraId="1A6DC859"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Դեղամիջոցների կլինիկական հետազոտություններն անցկացվում են Միության՝ Հանձնաժողովի կողմից հաստատվող պատշաճ կլինիկական գործունեության կանոնների պահանջներին համապատասխան:</w:t>
      </w:r>
    </w:p>
    <w:p w14:paraId="00ABCD29"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 xml:space="preserve">Միության անդամ չհանդիսացող պետություններում անցկացված՝ դեղամիջոցների անվտանգության նախակլինիկական հետազոտությունները դիտարկվում են դեղապատրաստուկների փորձաքննության ընթացքում՝ պայմանով, որ դրանք պլանավորվել, անցկացվել </w:t>
      </w:r>
      <w:r w:rsidR="00C54D75">
        <w:rPr>
          <w:rFonts w:ascii="Sylfaen" w:hAnsi="Sylfaen"/>
          <w:sz w:val="24"/>
          <w:szCs w:val="24"/>
        </w:rPr>
        <w:t>և</w:t>
      </w:r>
      <w:r w:rsidRPr="00834D52">
        <w:rPr>
          <w:rFonts w:ascii="Sylfaen" w:hAnsi="Sylfaen"/>
          <w:sz w:val="24"/>
          <w:szCs w:val="24"/>
        </w:rPr>
        <w:t xml:space="preserve"> նախակլինիկական հետազոտության մասին հաշվետվության մեջ նկարագրվել են պատշաճ լաբորատոր գործունեության՝ Միության պահանջներին համարժեք (կամ դրանցից ոչ ցածր) պահանջներին համապատասխան:</w:t>
      </w:r>
    </w:p>
    <w:p w14:paraId="59EA54AA"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Միության անդամ չհանդիսացող պետություններում անցկացված դեղապատրաստուկների կլինիկական հետազոտությունները դիտարկվում են դեղապատրաստուկների փորձաքննության ընթացքում՝ պայմանով, որ դրանք պլանավորվել, անցկացվել </w:t>
      </w:r>
      <w:r w:rsidR="00C54D75">
        <w:rPr>
          <w:rFonts w:ascii="Sylfaen" w:hAnsi="Sylfaen"/>
          <w:sz w:val="24"/>
          <w:szCs w:val="24"/>
        </w:rPr>
        <w:t>և</w:t>
      </w:r>
      <w:r w:rsidRPr="00834D52">
        <w:rPr>
          <w:rFonts w:ascii="Sylfaen" w:hAnsi="Sylfaen"/>
          <w:sz w:val="24"/>
          <w:szCs w:val="24"/>
        </w:rPr>
        <w:t xml:space="preserve"> կլինիկական հետազոտության մասին հաշվետվության մեջ նկարագրվել են պատշաճ կլինիկական գործունեության՝ </w:t>
      </w:r>
      <w:r w:rsidRPr="00834D52">
        <w:rPr>
          <w:rFonts w:ascii="Sylfaen" w:hAnsi="Sylfaen"/>
          <w:sz w:val="24"/>
          <w:szCs w:val="24"/>
        </w:rPr>
        <w:lastRenderedPageBreak/>
        <w:t>Միության պահանջներին համարժեք (կամ դրանցից ոչ ցածր), ինչպես նա</w:t>
      </w:r>
      <w:r w:rsidR="00C54D75">
        <w:rPr>
          <w:rFonts w:ascii="Sylfaen" w:hAnsi="Sylfaen"/>
          <w:sz w:val="24"/>
          <w:szCs w:val="24"/>
        </w:rPr>
        <w:t>և</w:t>
      </w:r>
      <w:r w:rsidRPr="00834D52">
        <w:rPr>
          <w:rFonts w:ascii="Sylfaen" w:hAnsi="Sylfaen"/>
          <w:sz w:val="24"/>
          <w:szCs w:val="24"/>
        </w:rPr>
        <w:t xml:space="preserve"> «Մարդու՝ որպես հետազոտության օբյեկտի մասնակցությամբ բժշկական հետազոտությունների էթիկայի սկզբունքները» Համաշխարհային բժշկական ասոցիացիայի Հելսինկյան հռչակագրի սկզբունքներին համապատասխան:</w:t>
      </w:r>
    </w:p>
    <w:p w14:paraId="0DBEF57F"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փորձաքննության ընթացքում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 իրավունք ունի նշանակելու Միության պատշաճ լաբորատոր գործունեության կանոնների պահպանման մասով արտապլանային տեսչական ստուգում հետ</w:t>
      </w:r>
      <w:r w:rsidR="00C54D75">
        <w:rPr>
          <w:rFonts w:ascii="Sylfaen" w:hAnsi="Sylfaen"/>
          <w:sz w:val="24"/>
          <w:szCs w:val="24"/>
        </w:rPr>
        <w:t>և</w:t>
      </w:r>
      <w:r w:rsidRPr="00834D52">
        <w:rPr>
          <w:rFonts w:ascii="Sylfaen" w:hAnsi="Sylfaen"/>
          <w:sz w:val="24"/>
          <w:szCs w:val="24"/>
        </w:rPr>
        <w:t>յալ դեպքերում՝</w:t>
      </w:r>
    </w:p>
    <w:p w14:paraId="71DCD21D" w14:textId="42D69639"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փորձաքննության անցկացման ընթացքում նախակլինիկական հետազոտությունների անցկացման ընթացքում ստացված արդյունքների հավաստիությունը կասկածի ենթարկող փաստեր </w:t>
      </w:r>
      <w:r w:rsidR="0056496B">
        <w:rPr>
          <w:rFonts w:ascii="Sylfaen" w:hAnsi="Sylfaen"/>
          <w:sz w:val="24"/>
          <w:szCs w:val="24"/>
        </w:rPr>
        <w:t>դիմում</w:t>
      </w:r>
      <w:r w:rsidRPr="00834D52">
        <w:rPr>
          <w:rFonts w:ascii="Sylfaen" w:hAnsi="Sylfaen"/>
          <w:sz w:val="24"/>
          <w:szCs w:val="24"/>
        </w:rPr>
        <w:t>նաբերելը.</w:t>
      </w:r>
    </w:p>
    <w:p w14:paraId="3F759F97" w14:textId="6D1907A3"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կասկածելի (բժշկա-կենսաբանական տեսանկյունից անհավատալի կամ հակասական) արդյունքներ </w:t>
      </w:r>
      <w:r w:rsidR="0056496B">
        <w:rPr>
          <w:rFonts w:ascii="Sylfaen" w:hAnsi="Sylfaen"/>
          <w:sz w:val="24"/>
          <w:szCs w:val="24"/>
        </w:rPr>
        <w:t>դիմում</w:t>
      </w:r>
      <w:r w:rsidRPr="00834D52">
        <w:rPr>
          <w:rFonts w:ascii="Sylfaen" w:hAnsi="Sylfaen"/>
          <w:sz w:val="24"/>
          <w:szCs w:val="24"/>
        </w:rPr>
        <w:t>նաբերելը.</w:t>
      </w:r>
    </w:p>
    <w:p w14:paraId="1E7843D7" w14:textId="22DBF930"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դեղագործական տեսչական ստուգումների անցկացման՝ Հանձնաժողովի կողմից հաստատվող կանոններով նախատեսված այլ հանգամանքների առկայությունը:</w:t>
      </w:r>
    </w:p>
    <w:p w14:paraId="6BF37ACE" w14:textId="430D7D2E" w:rsidR="006C28F7" w:rsidRPr="006F28F9" w:rsidRDefault="006C28F7" w:rsidP="006C28F7">
      <w:pPr>
        <w:rPr>
          <w:b/>
          <w:bCs/>
          <w:i/>
          <w:iCs/>
        </w:rPr>
      </w:pPr>
      <w:r w:rsidRPr="00CD4709">
        <w:rPr>
          <w:b/>
          <w:bCs/>
          <w:i/>
          <w:iCs/>
        </w:rPr>
        <w:t>(</w:t>
      </w:r>
      <w:r>
        <w:rPr>
          <w:b/>
          <w:bCs/>
          <w:i/>
          <w:iCs/>
        </w:rPr>
        <w:t xml:space="preserve">35-րդ կետը </w:t>
      </w:r>
      <w:r w:rsidRPr="00CD4709">
        <w:rPr>
          <w:b/>
          <w:bCs/>
          <w:i/>
          <w:iCs/>
        </w:rPr>
        <w:t>փոփ. 30.01.20 թիվ 9)</w:t>
      </w:r>
    </w:p>
    <w:p w14:paraId="06CF5CBC"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Դեղապատրաստուկը գրանցելիս անցկացված կլինիկական հետազոտությունների մասին հաշվետվությունները, որոնք ներառվել են դրա գրանցման դոսյեի 5-րդ մոդուլի կազմում, դիտարկվում են փորձաքննության ընթացքում հետ</w:t>
      </w:r>
      <w:r w:rsidR="00C54D75">
        <w:rPr>
          <w:rFonts w:ascii="Sylfaen" w:hAnsi="Sylfaen"/>
          <w:sz w:val="24"/>
          <w:szCs w:val="24"/>
        </w:rPr>
        <w:t>և</w:t>
      </w:r>
      <w:r w:rsidRPr="00834D52">
        <w:rPr>
          <w:rFonts w:ascii="Sylfaen" w:hAnsi="Sylfaen"/>
          <w:sz w:val="24"/>
          <w:szCs w:val="24"/>
        </w:rPr>
        <w:t>յալ պայմաններից մեկի պահպանման դեպքում.</w:t>
      </w:r>
    </w:p>
    <w:p w14:paraId="5C2552AA"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pacing w:val="6"/>
          <w:sz w:val="24"/>
          <w:szCs w:val="24"/>
        </w:rPr>
      </w:pPr>
      <w:r w:rsidRPr="00834D52">
        <w:rPr>
          <w:rFonts w:ascii="Sylfaen" w:hAnsi="Sylfaen"/>
          <w:spacing w:val="6"/>
          <w:sz w:val="24"/>
          <w:szCs w:val="24"/>
        </w:rPr>
        <w:t xml:space="preserve">կլինիկական հետազոտություններն անցկացվել են անդամ պետությունների օրենսդրությանը համապատասխան </w:t>
      </w:r>
      <w:r w:rsidR="00C54D75">
        <w:rPr>
          <w:rFonts w:ascii="Sylfaen" w:hAnsi="Sylfaen"/>
          <w:spacing w:val="6"/>
          <w:sz w:val="24"/>
          <w:szCs w:val="24"/>
        </w:rPr>
        <w:t>և</w:t>
      </w:r>
      <w:r w:rsidRPr="00834D52">
        <w:rPr>
          <w:rFonts w:ascii="Sylfaen" w:hAnsi="Sylfaen"/>
          <w:spacing w:val="6"/>
          <w:sz w:val="24"/>
          <w:szCs w:val="24"/>
        </w:rPr>
        <w:t xml:space="preserve"> դրանց տարածքում մինչ</w:t>
      </w:r>
      <w:r w:rsidR="00C54D75">
        <w:rPr>
          <w:rFonts w:ascii="Sylfaen" w:hAnsi="Sylfaen"/>
          <w:spacing w:val="6"/>
          <w:sz w:val="24"/>
          <w:szCs w:val="24"/>
        </w:rPr>
        <w:t>և</w:t>
      </w:r>
      <w:r w:rsidRPr="00834D52">
        <w:rPr>
          <w:rFonts w:ascii="Sylfaen" w:hAnsi="Sylfaen"/>
          <w:spacing w:val="6"/>
          <w:sz w:val="24"/>
          <w:szCs w:val="24"/>
        </w:rPr>
        <w:t xml:space="preserve"> 2016 </w:t>
      </w:r>
      <w:r w:rsidRPr="00834D52">
        <w:rPr>
          <w:rFonts w:ascii="Sylfaen" w:hAnsi="Sylfaen"/>
          <w:spacing w:val="-4"/>
          <w:sz w:val="24"/>
          <w:szCs w:val="24"/>
        </w:rPr>
        <w:t>թվականի հունվարի 1-ը (վերջին պացիենտի (կամավորի) վերջին այցի ամսաթվով) կամ շարունակվել են անցկացվել 2016 թվականի հունվարի 1-</w:t>
      </w:r>
      <w:r w:rsidRPr="00834D52">
        <w:rPr>
          <w:rFonts w:ascii="Sylfaen" w:hAnsi="Sylfaen"/>
          <w:spacing w:val="6"/>
          <w:sz w:val="24"/>
          <w:szCs w:val="24"/>
        </w:rPr>
        <w:t>ի դրությամբ (հետազոտությունում պացիենտների (կամավորների) ավարտված հավաքագրման դեպքում).</w:t>
      </w:r>
    </w:p>
    <w:p w14:paraId="1EE130B5"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կլինիկական հետազոտություններնը, որոնց հիման վրա </w:t>
      </w:r>
      <w:r w:rsidRPr="00834D52">
        <w:rPr>
          <w:rFonts w:ascii="Sylfaen" w:hAnsi="Sylfaen"/>
          <w:sz w:val="24"/>
          <w:szCs w:val="24"/>
        </w:rPr>
        <w:lastRenderedPageBreak/>
        <w:t>դեղապատրաստուկը գրանցվել է Բժշկական կիրառման դեղապատրաստուկների գրանցմանը ներկայացվող տեխնիկական պահանջների ներդաշնակեցման միջազգային համաժողովի (ICH) տարածաշրջանի երկրների տարածքներում, մասամբ կամ ամբողջությամբ անցկացվել են Բժշկական կիրառման դեղապատրաստուկների գրանցմանը ներկայացվող տեխնիկական պահանջների ներդաշնակեցման միջազգային համաժողովի (ICH) տարածաշրջանի երկրների տարածքներում մինչ</w:t>
      </w:r>
      <w:r w:rsidR="00C54D75">
        <w:rPr>
          <w:rFonts w:ascii="Sylfaen" w:hAnsi="Sylfaen"/>
          <w:sz w:val="24"/>
          <w:szCs w:val="24"/>
        </w:rPr>
        <w:t>և</w:t>
      </w:r>
      <w:r w:rsidRPr="00834D52">
        <w:rPr>
          <w:rFonts w:ascii="Sylfaen" w:hAnsi="Sylfaen"/>
          <w:sz w:val="24"/>
          <w:szCs w:val="24"/>
        </w:rPr>
        <w:t xml:space="preserve"> 2016 թվականի հունվարի 1-ը (վերջին պացիենտի վերջին այցի ամսաթվով). </w:t>
      </w:r>
    </w:p>
    <w:p w14:paraId="4016474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2016 թվականի հունվարի 1-ից հետո նախաձեռնված կլինիկական հետազոտություններն անցկացվել են Միության իրավունքի մաս կազմող միջազգային պայմանագրերին </w:t>
      </w:r>
      <w:r w:rsidR="00C54D75">
        <w:rPr>
          <w:rFonts w:ascii="Sylfaen" w:hAnsi="Sylfaen"/>
          <w:sz w:val="24"/>
          <w:szCs w:val="24"/>
        </w:rPr>
        <w:t>և</w:t>
      </w:r>
      <w:r w:rsidRPr="00834D52">
        <w:rPr>
          <w:rFonts w:ascii="Sylfaen" w:hAnsi="Sylfaen"/>
          <w:sz w:val="24"/>
          <w:szCs w:val="24"/>
        </w:rPr>
        <w:t xml:space="preserve"> ակտերին համապատասխան, ընդ որում, կլինիկական հետազոտություններից մեկը մասամբ կամ ամբողջությամբ (հետազոտության սուբյեկտներից ստացված տվյալների առնչությամբ) անցկացվել է Միության տարածքում:</w:t>
      </w:r>
    </w:p>
    <w:p w14:paraId="31B9391F" w14:textId="5EC3D480"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սույն կետի երկրորդից չորրորդ պարբերություններում նշված պահանջները չեն կատարվում, մինչ</w:t>
      </w:r>
      <w:r w:rsidR="00C54D75">
        <w:rPr>
          <w:rFonts w:ascii="Sylfaen" w:hAnsi="Sylfaen"/>
          <w:sz w:val="24"/>
          <w:szCs w:val="24"/>
        </w:rPr>
        <w:t>և</w:t>
      </w:r>
      <w:r w:rsidRPr="00834D52">
        <w:rPr>
          <w:rFonts w:ascii="Sylfaen" w:hAnsi="Sylfaen"/>
          <w:sz w:val="24"/>
          <w:szCs w:val="24"/>
        </w:rPr>
        <w:t xml:space="preserve">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ներկայացնելը </w:t>
      </w:r>
      <w:r w:rsidR="0056496B">
        <w:rPr>
          <w:rFonts w:ascii="Sylfaen" w:hAnsi="Sylfaen"/>
          <w:sz w:val="24"/>
          <w:szCs w:val="24"/>
        </w:rPr>
        <w:t>դիմումատու</w:t>
      </w:r>
      <w:r w:rsidRPr="00834D52">
        <w:rPr>
          <w:rFonts w:ascii="Sylfaen" w:hAnsi="Sylfaen"/>
          <w:sz w:val="24"/>
          <w:szCs w:val="24"/>
        </w:rPr>
        <w:t xml:space="preserve">ն մասամբ կամ ամբողջությամբ անցկացնում է կլինիկական հետազոտություններ Միության տարածքում (առնվազն մեկ հետազոտություն՝ </w:t>
      </w:r>
      <w:r w:rsidR="0056496B">
        <w:rPr>
          <w:rFonts w:ascii="Sylfaen" w:hAnsi="Sylfaen"/>
          <w:sz w:val="24"/>
          <w:szCs w:val="24"/>
        </w:rPr>
        <w:t>դիմումատու</w:t>
      </w:r>
      <w:r w:rsidRPr="00834D52">
        <w:rPr>
          <w:rFonts w:ascii="Sylfaen" w:hAnsi="Sylfaen"/>
          <w:sz w:val="24"/>
          <w:szCs w:val="24"/>
        </w:rPr>
        <w:t xml:space="preserve">ի հայեցողությամբ </w:t>
      </w:r>
      <w:r w:rsidR="00C54D75">
        <w:rPr>
          <w:rFonts w:ascii="Sylfaen" w:hAnsi="Sylfaen"/>
          <w:sz w:val="24"/>
          <w:szCs w:val="24"/>
        </w:rPr>
        <w:t>և</w:t>
      </w:r>
      <w:r w:rsidRPr="00834D52">
        <w:rPr>
          <w:rFonts w:ascii="Sylfaen" w:hAnsi="Sylfaen"/>
          <w:sz w:val="24"/>
          <w:szCs w:val="24"/>
        </w:rPr>
        <w:t xml:space="preserve"> լիազորված մարմնի հետ համաձայնեցմամբ), կամ գրանցման դոսյեի փորձաքննության անցկացման ժամանակ լիազորված մարմնի որոշմամբ նշանակվում է այն կլինիկական կենտրոններից մեկի արտապլանային տեսչական ստուգումը, որոնցում անցկացվել է կլինիկական հետազոտությունը:</w:t>
      </w:r>
    </w:p>
    <w:p w14:paraId="29D13B4C" w14:textId="77881860" w:rsidR="006F76EB" w:rsidRDefault="006F76EB" w:rsidP="006F76EB">
      <w:pPr>
        <w:tabs>
          <w:tab w:val="left" w:pos="1134"/>
        </w:tabs>
        <w:spacing w:after="160" w:line="336" w:lineRule="auto"/>
        <w:ind w:right="-6" w:firstLine="567"/>
        <w:jc w:val="both"/>
        <w:rPr>
          <w:rFonts w:ascii="Sylfaen" w:hAnsi="Sylfaen"/>
          <w:spacing w:val="-4"/>
          <w:sz w:val="24"/>
          <w:szCs w:val="24"/>
        </w:rPr>
      </w:pPr>
      <w:r w:rsidRPr="00834D52">
        <w:rPr>
          <w:rFonts w:ascii="Sylfaen" w:hAnsi="Sylfaen"/>
          <w:spacing w:val="-4"/>
          <w:sz w:val="24"/>
          <w:szCs w:val="24"/>
        </w:rPr>
        <w:t>Սույն կետի դրույթները չեն կիրառվում «որբ» դեղապատրաստուկների համար։</w:t>
      </w:r>
    </w:p>
    <w:p w14:paraId="3B1C081F" w14:textId="0629480D" w:rsidR="006C28F7" w:rsidRPr="006F28F9" w:rsidRDefault="006C28F7" w:rsidP="006C28F7">
      <w:pPr>
        <w:rPr>
          <w:b/>
          <w:bCs/>
          <w:i/>
          <w:iCs/>
        </w:rPr>
      </w:pPr>
      <w:r w:rsidRPr="00CD4709">
        <w:rPr>
          <w:b/>
          <w:bCs/>
          <w:i/>
          <w:iCs/>
        </w:rPr>
        <w:t>(</w:t>
      </w:r>
      <w:r>
        <w:rPr>
          <w:b/>
          <w:bCs/>
          <w:i/>
          <w:iCs/>
        </w:rPr>
        <w:t xml:space="preserve">36-րդ կետը </w:t>
      </w:r>
      <w:r w:rsidRPr="00CD4709">
        <w:rPr>
          <w:b/>
          <w:bCs/>
          <w:i/>
          <w:iCs/>
        </w:rPr>
        <w:t>փոփ. 30.01.20 թիվ 9)</w:t>
      </w:r>
    </w:p>
    <w:p w14:paraId="5ADC8EB3" w14:textId="05BF0E90"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37.</w:t>
      </w:r>
      <w:r w:rsidRPr="00834D52">
        <w:rPr>
          <w:rFonts w:ascii="Sylfaen" w:hAnsi="Sylfaen"/>
          <w:sz w:val="24"/>
          <w:szCs w:val="24"/>
        </w:rPr>
        <w:tab/>
        <w:t xml:space="preserve">Հաշվի առնելով հնարավոր ռիսկերի գնահատումը՝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w:t>
      </w:r>
      <w:r w:rsidR="0056496B">
        <w:rPr>
          <w:rFonts w:ascii="Sylfaen" w:hAnsi="Sylfaen"/>
          <w:sz w:val="24"/>
          <w:szCs w:val="24"/>
        </w:rPr>
        <w:t>դիմումատու</w:t>
      </w:r>
      <w:r w:rsidRPr="00834D52">
        <w:rPr>
          <w:rFonts w:ascii="Sylfaen" w:hAnsi="Sylfaen"/>
          <w:sz w:val="24"/>
          <w:szCs w:val="24"/>
        </w:rPr>
        <w:t xml:space="preserve">ի ներկայացրած փաստաթղթերի հիման վրա որոշում է ընդունում դեղապատրաստուկի՝ Միության պատշաճ կլինիկական գործունեության պահանջներին համապատասխան լինելու մասով </w:t>
      </w:r>
      <w:r w:rsidRPr="00834D52">
        <w:rPr>
          <w:rFonts w:ascii="Sylfaen" w:hAnsi="Sylfaen"/>
          <w:sz w:val="24"/>
          <w:szCs w:val="24"/>
        </w:rPr>
        <w:lastRenderedPageBreak/>
        <w:t>գրանցում իրականացնելու ժամկետում դեղապատրաստուկի կլինիկական հետազոտությունների, այդ թվում՝ կենսահամարժեքության հետազոտությունների արտապլանային տեսչական ստուգում անցկացնելու անհրաժեշտության մասին կամ դեղապատրաստուկի գրանցումից հետո առաջին 3 տարում տեսչական ստուգումների անցկացման պլանում կլինիկական հետազոտության տեսչական ստուգումը ներառելու մասին: Այս դեպքում պլանային տեսչական ստուգումն անցկացվում է առնվազն մեկ հետազոտական կենտրոնում՝ դեղագործական տեսչական ստուգումների անցկացման՝ Հանձնաժողովի կողմից հաստատվող կանոններին համապատասխան:</w:t>
      </w:r>
    </w:p>
    <w:p w14:paraId="0D9E70F9" w14:textId="15463493" w:rsidR="009A7168" w:rsidRPr="006F28F9" w:rsidRDefault="009A7168" w:rsidP="009A7168">
      <w:pPr>
        <w:rPr>
          <w:b/>
          <w:bCs/>
          <w:i/>
          <w:iCs/>
        </w:rPr>
      </w:pPr>
      <w:r w:rsidRPr="00CD4709">
        <w:rPr>
          <w:b/>
          <w:bCs/>
          <w:i/>
          <w:iCs/>
        </w:rPr>
        <w:t>(</w:t>
      </w:r>
      <w:r>
        <w:rPr>
          <w:b/>
          <w:bCs/>
          <w:i/>
          <w:iCs/>
        </w:rPr>
        <w:t xml:space="preserve">37-րդ կետը </w:t>
      </w:r>
      <w:r w:rsidRPr="00CD4709">
        <w:rPr>
          <w:b/>
          <w:bCs/>
          <w:i/>
          <w:iCs/>
        </w:rPr>
        <w:t>փոփ. 30.01.20 թիվ 9)</w:t>
      </w:r>
    </w:p>
    <w:p w14:paraId="5A5B5CC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38.</w:t>
      </w:r>
      <w:r w:rsidRPr="00834D52">
        <w:rPr>
          <w:rFonts w:ascii="Sylfaen" w:hAnsi="Sylfaen"/>
          <w:sz w:val="24"/>
          <w:szCs w:val="24"/>
        </w:rPr>
        <w:tab/>
        <w:t>Կլինիկական հետազոտության՝ Միության պատշաճ կլինիկական գործունեության պահանջներին համապատասխան լինելու մասով արտապլանային տեսչական ստուգում անցկացնելու անհրաժեշտության մասին որոշումն ընդունվում է լիազորված մարմնի կողմից՝ հետ</w:t>
      </w:r>
      <w:r w:rsidR="00C54D75">
        <w:rPr>
          <w:rFonts w:ascii="Sylfaen" w:hAnsi="Sylfaen"/>
          <w:sz w:val="24"/>
          <w:szCs w:val="24"/>
        </w:rPr>
        <w:t>և</w:t>
      </w:r>
      <w:r w:rsidRPr="00834D52">
        <w:rPr>
          <w:rFonts w:ascii="Sylfaen" w:hAnsi="Sylfaen"/>
          <w:sz w:val="24"/>
          <w:szCs w:val="24"/>
        </w:rPr>
        <w:t xml:space="preserve">յալ գործոնների համալիր գնահատման հիման վրա. </w:t>
      </w:r>
    </w:p>
    <w:p w14:paraId="7E03A392"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Էթիկայի անկախ կոմիտեի կողմից կլինիկական հետազոտությանը հավանություն տալու մասին տեղեկատվության բացակայություն.</w:t>
      </w:r>
    </w:p>
    <w:p w14:paraId="6CA71158" w14:textId="7FEE019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w:t>
      </w:r>
      <w:r w:rsidR="00F56A89" w:rsidRPr="0011482B">
        <w:rPr>
          <w:rFonts w:ascii="Sylfaen" w:hAnsi="Sylfaen"/>
          <w:sz w:val="21"/>
          <w:szCs w:val="21"/>
        </w:rPr>
        <w:t>սուբյեկտներին ներկայացվող</w:t>
      </w:r>
      <w:r w:rsidR="00F56A89">
        <w:rPr>
          <w:sz w:val="21"/>
          <w:szCs w:val="21"/>
        </w:rPr>
        <w:t xml:space="preserve"> </w:t>
      </w:r>
      <w:r w:rsidRPr="00834D52">
        <w:rPr>
          <w:rFonts w:ascii="Sylfaen" w:hAnsi="Sylfaen"/>
          <w:sz w:val="24"/>
          <w:szCs w:val="24"/>
        </w:rPr>
        <w:t xml:space="preserve">տեղեկացված համաձայնություն կամ տեղեկատվություն ստանալու գործընթացի խախտման փաստերի </w:t>
      </w:r>
      <w:r w:rsidR="00DE4B55">
        <w:rPr>
          <w:rFonts w:ascii="Sylfaen" w:hAnsi="Sylfaen"/>
          <w:sz w:val="24"/>
          <w:szCs w:val="24"/>
        </w:rPr>
        <w:t>հայտ</w:t>
      </w:r>
      <w:r w:rsidRPr="00834D52">
        <w:rPr>
          <w:rFonts w:ascii="Sylfaen" w:hAnsi="Sylfaen"/>
          <w:sz w:val="24"/>
          <w:szCs w:val="24"/>
        </w:rPr>
        <w:t>նաբերում.</w:t>
      </w:r>
    </w:p>
    <w:p w14:paraId="6051602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հետազոտության վարչարարական կառուցվածքի հետ կապված հարցերի առկայություն (տեղեկատվության բացակայություն կամ անհստակություն).</w:t>
      </w:r>
    </w:p>
    <w:p w14:paraId="2CE32D8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Հանձնաժողովի կողմից հաստատվող պատշաճ կլինիկական գործունեության կանոններին համապատասխան հետազոտության ընթացքում արձանագրության մեջ չարտացոլված էական ուղղումների առկայություն.</w:t>
      </w:r>
    </w:p>
    <w:p w14:paraId="22579BE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հետազոտության մասին արձանագրության </w:t>
      </w:r>
      <w:r w:rsidR="00C54D75">
        <w:rPr>
          <w:rFonts w:ascii="Sylfaen" w:hAnsi="Sylfaen"/>
          <w:sz w:val="24"/>
          <w:szCs w:val="24"/>
        </w:rPr>
        <w:t>և</w:t>
      </w:r>
      <w:r w:rsidRPr="00834D52">
        <w:rPr>
          <w:rFonts w:ascii="Sylfaen" w:hAnsi="Sylfaen"/>
          <w:sz w:val="24"/>
          <w:szCs w:val="24"/>
        </w:rPr>
        <w:t xml:space="preserve"> հաշվետվության մեջ արդյունավետության </w:t>
      </w:r>
      <w:r w:rsidR="00C54D75">
        <w:rPr>
          <w:rFonts w:ascii="Sylfaen" w:hAnsi="Sylfaen"/>
          <w:sz w:val="24"/>
          <w:szCs w:val="24"/>
        </w:rPr>
        <w:t>և</w:t>
      </w:r>
      <w:r w:rsidRPr="00834D52">
        <w:rPr>
          <w:rFonts w:ascii="Sylfaen" w:hAnsi="Sylfaen"/>
          <w:sz w:val="24"/>
          <w:szCs w:val="24"/>
        </w:rPr>
        <w:t xml:space="preserve"> (կամ) անվտանգության ցուցանիշների սահմանումը </w:t>
      </w:r>
      <w:r w:rsidRPr="00834D52">
        <w:rPr>
          <w:rFonts w:ascii="Sylfaen" w:hAnsi="Sylfaen"/>
          <w:sz w:val="24"/>
          <w:szCs w:val="24"/>
        </w:rPr>
        <w:lastRenderedPageBreak/>
        <w:t>նկարագրող տեղեկությունների (կլինիկական նմուշներ վերցնելու, նույնականացնելու, մշակելու, քանակապես սահմանելու պայմանների վերաբերյալ) բացակայություն կամ անբավարարություն.</w:t>
      </w:r>
    </w:p>
    <w:p w14:paraId="16055F77" w14:textId="77777777" w:rsidR="006F76EB" w:rsidRPr="00834D52" w:rsidRDefault="006F76EB" w:rsidP="00112DF4">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սուբյեկտների տվյալները, առանց պատճառների հիմնավորման, վիճակագրական վերլուծությունից հանելու մասին տեղեկությունների առկայություն.</w:t>
      </w:r>
    </w:p>
    <w:p w14:paraId="672C0A95" w14:textId="4ACE9BF1" w:rsidR="006F76EB" w:rsidRPr="00834D52" w:rsidRDefault="006F76EB" w:rsidP="00112DF4">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կլինիկական հետազոտության առնչությամբ գրանցման դոսյեում ներկայացված տեղեկությունների հավաստիությունը կասկածի ենթարկող փաստերի </w:t>
      </w:r>
      <w:r w:rsidR="00DE4B55">
        <w:rPr>
          <w:rFonts w:ascii="Sylfaen" w:hAnsi="Sylfaen"/>
          <w:sz w:val="24"/>
          <w:szCs w:val="24"/>
        </w:rPr>
        <w:t>հայտ</w:t>
      </w:r>
      <w:r w:rsidRPr="00834D52">
        <w:rPr>
          <w:rFonts w:ascii="Sylfaen" w:hAnsi="Sylfaen"/>
          <w:sz w:val="24"/>
          <w:szCs w:val="24"/>
        </w:rPr>
        <w:t xml:space="preserve">նաբերում (կլինիկական հետազոտության արձանագրության </w:t>
      </w:r>
      <w:r w:rsidR="00C54D75">
        <w:rPr>
          <w:rFonts w:ascii="Sylfaen" w:hAnsi="Sylfaen"/>
          <w:sz w:val="24"/>
          <w:szCs w:val="24"/>
        </w:rPr>
        <w:t>և</w:t>
      </w:r>
      <w:r w:rsidRPr="00834D52">
        <w:rPr>
          <w:rFonts w:ascii="Sylfaen" w:hAnsi="Sylfaen"/>
          <w:sz w:val="24"/>
          <w:szCs w:val="24"/>
        </w:rPr>
        <w:t xml:space="preserve"> հաշվետվության մեջ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վերջնակետերի չհիմնավորված կամ ոչ հստակ տարբերություններ, տվյալների գրառման անհետ</w:t>
      </w:r>
      <w:r w:rsidR="00C54D75">
        <w:rPr>
          <w:rFonts w:ascii="Sylfaen" w:hAnsi="Sylfaen"/>
          <w:sz w:val="24"/>
          <w:szCs w:val="24"/>
        </w:rPr>
        <w:t>և</w:t>
      </w:r>
      <w:r w:rsidRPr="00834D52">
        <w:rPr>
          <w:rFonts w:ascii="Sylfaen" w:hAnsi="Sylfaen"/>
          <w:sz w:val="24"/>
          <w:szCs w:val="24"/>
        </w:rPr>
        <w:t xml:space="preserve">ողականություն, անճշտություն կամ անլիարժեքություն, արձանագրության փոփոխությունները հաշվի չեն առնվում կլինիկական հետազոտության այլ փաստաթղթերում, մեծ քանակությամբ բաց թողնված արժեքներ, ինչը կարող է ազդել հետազոտության վիճակագրական հզորության վրա). </w:t>
      </w:r>
    </w:p>
    <w:p w14:paraId="1F9ED25E" w14:textId="252F0AA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տվյալների անհավատալի կամ անհամապատասխան լինելը (այլ հետազոտությունների </w:t>
      </w:r>
      <w:r w:rsidR="00DE4B55">
        <w:rPr>
          <w:rFonts w:ascii="Sylfaen" w:hAnsi="Sylfaen"/>
          <w:sz w:val="24"/>
          <w:szCs w:val="24"/>
        </w:rPr>
        <w:t>հայտ</w:t>
      </w:r>
      <w:r w:rsidRPr="00834D52">
        <w:rPr>
          <w:rFonts w:ascii="Sylfaen" w:hAnsi="Sylfaen"/>
          <w:sz w:val="24"/>
          <w:szCs w:val="24"/>
        </w:rPr>
        <w:t xml:space="preserve">նի արդյունքներին հակասող արդյունքներ, անցանկալի լուրջ ռեակցիաների դեպքերի մասին հաղորդագրությունների ցածր հաճախականություն </w:t>
      </w:r>
      <w:r w:rsidR="00C54D75">
        <w:rPr>
          <w:rFonts w:ascii="Sylfaen" w:hAnsi="Sylfaen"/>
          <w:sz w:val="24"/>
          <w:szCs w:val="24"/>
        </w:rPr>
        <w:t>և</w:t>
      </w:r>
      <w:r w:rsidRPr="00834D52">
        <w:rPr>
          <w:rFonts w:ascii="Sylfaen" w:hAnsi="Sylfaen"/>
          <w:sz w:val="24"/>
          <w:szCs w:val="24"/>
        </w:rPr>
        <w:t xml:space="preserve"> (կամ) անհավատալի տվյալներ հետազոտվող պատրաստուկի օգտին՝ այլ հետազոտողների արդյունքների կամ հետազոտությունների կամ հետազոտական կենտրոնների միջ</w:t>
      </w:r>
      <w:r w:rsidR="00C54D75">
        <w:rPr>
          <w:rFonts w:ascii="Sylfaen" w:hAnsi="Sylfaen"/>
          <w:sz w:val="24"/>
          <w:szCs w:val="24"/>
        </w:rPr>
        <w:t>և</w:t>
      </w:r>
      <w:r w:rsidRPr="00834D52">
        <w:rPr>
          <w:rFonts w:ascii="Sylfaen" w:hAnsi="Sylfaen"/>
          <w:sz w:val="24"/>
          <w:szCs w:val="24"/>
        </w:rPr>
        <w:t xml:space="preserve"> բժշկա-կենսաբանական տեսանկյունից կասկածելի (անհավատալի կամ հակասական) արդյունքների այլ հետազոտությունների համեմատ).</w:t>
      </w:r>
    </w:p>
    <w:p w14:paraId="2AF92AA1"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կրիտիկական կախվածություն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ինչպես նա</w:t>
      </w:r>
      <w:r w:rsidR="00C54D75">
        <w:rPr>
          <w:rFonts w:ascii="Sylfaen" w:hAnsi="Sylfaen"/>
          <w:sz w:val="24"/>
          <w:szCs w:val="24"/>
        </w:rPr>
        <w:t>և</w:t>
      </w:r>
      <w:r w:rsidRPr="00834D52">
        <w:rPr>
          <w:rFonts w:ascii="Sylfaen" w:hAnsi="Sylfaen"/>
          <w:sz w:val="24"/>
          <w:szCs w:val="24"/>
        </w:rPr>
        <w:t xml:space="preserve"> դրա օգուտ-ռիսկ հարաբերակցության հիմնավորում) միայն մեկ հետազոտության կամ սուբյեկտների փոքր ընտրանքի հետ անցկացված հետազոտությունների արդյունքներից.</w:t>
      </w:r>
    </w:p>
    <w:p w14:paraId="33E52B18"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բնակչության լայն պոպուլյացիայի կողմից կիրառման համար </w:t>
      </w:r>
      <w:r w:rsidRPr="00834D52">
        <w:rPr>
          <w:rFonts w:ascii="Sylfaen" w:hAnsi="Sylfaen"/>
          <w:sz w:val="24"/>
          <w:szCs w:val="24"/>
        </w:rPr>
        <w:lastRenderedPageBreak/>
        <w:t xml:space="preserve">դեղապատրաստուկի նախատեսված լինելը (օրինակ՝ պատվաստանյութեր </w:t>
      </w:r>
      <w:r w:rsidR="00C54D75">
        <w:rPr>
          <w:rFonts w:ascii="Sylfaen" w:hAnsi="Sylfaen"/>
          <w:sz w:val="24"/>
          <w:szCs w:val="24"/>
        </w:rPr>
        <w:t>և</w:t>
      </w:r>
      <w:r w:rsidRPr="00834D52">
        <w:rPr>
          <w:rFonts w:ascii="Sylfaen" w:hAnsi="Sylfaen"/>
          <w:sz w:val="24"/>
          <w:szCs w:val="24"/>
        </w:rPr>
        <w:t xml:space="preserve"> այլ դեղապատրաստուկներ, որոնք նախատեսված են բնակչության խոշոր խմբերի կողմից միաժամանակյա կիրառման համար).</w:t>
      </w:r>
    </w:p>
    <w:p w14:paraId="79B311EE"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էթիկական խնդիրների առաջացման բարձր հավանականություն (հետազոտությանը բնակչության խոցելի խմբերի մասնակցությունը. երեխաներ, ճանաչողական խանգարումներով անձինք, այլընտրանքային բուժում չունեցող հիվանդություններով պացիենտներ, ինստիտուցիոնալիզացված պացիենտներ </w:t>
      </w:r>
      <w:r w:rsidR="00C54D75">
        <w:rPr>
          <w:rFonts w:ascii="Sylfaen" w:hAnsi="Sylfaen"/>
          <w:sz w:val="24"/>
          <w:szCs w:val="24"/>
        </w:rPr>
        <w:t>և</w:t>
      </w:r>
      <w:r w:rsidRPr="00834D52">
        <w:rPr>
          <w:rFonts w:ascii="Sylfaen" w:hAnsi="Sylfaen"/>
          <w:sz w:val="24"/>
          <w:szCs w:val="24"/>
        </w:rPr>
        <w:t xml:space="preserve"> այլն՝ Հանձնաժողովի կողմից հաստատվող պատշաճ կլինիկական գործունեության կանոնների պահանջներին համապատասխան).</w:t>
      </w:r>
    </w:p>
    <w:p w14:paraId="65C3CBF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հետազոտություն անցկացնելն այն աշխարհագրական տարածաշրջանի կլինիկական կենտրոնում, որտեղ կլինիկական հետազոտությունների անցկացմանը ներկայացվող պահանջների մակարդակը ցածր է Միության շրջանակներում սահմանված պահանջներից.</w:t>
      </w:r>
    </w:p>
    <w:p w14:paraId="2374FAA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Միության անդամ չհանդիսացող պետությունների լիազորված մարմինների մոտ հետազոտական կենտրոնի կամ հովանավորի կողմից պատշաճ կլինիկական գործունեության պահանջների պահպանման խնդիրների վերաբերյալ տեղեկությունների առկայությունը.</w:t>
      </w:r>
    </w:p>
    <w:p w14:paraId="59C1BC4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Հանձնաժողովի կողմից հաստատվող դեղագործական տեսչական ստուգումների անցկացման կանոններով նախատեսված հանգամանքների առկայությունը:</w:t>
      </w:r>
    </w:p>
    <w:p w14:paraId="7860CC2D" w14:textId="126BFA85"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Կլինիկական հետազոտության մեջ օգտագործված դեղապատրաստուկի </w:t>
      </w:r>
      <w:r w:rsidR="00C54D75">
        <w:rPr>
          <w:rFonts w:ascii="Sylfaen" w:hAnsi="Sylfaen"/>
          <w:sz w:val="24"/>
          <w:szCs w:val="24"/>
        </w:rPr>
        <w:t>և</w:t>
      </w:r>
      <w:r w:rsidRPr="00834D52">
        <w:rPr>
          <w:rFonts w:ascii="Sylfaen" w:hAnsi="Sylfaen"/>
          <w:sz w:val="24"/>
          <w:szCs w:val="24"/>
        </w:rPr>
        <w:t xml:space="preserve"> համեմատության պատրաստուկների, այդ թվում՝ պլացեբոյի որակի վերաբերյալ կասկածների առկայության դեպքում որոշում է ընդունվում տվյալ դեղապատրաստուկի արտադրական հարթակի՝ Միության պատշաճ արտադրական գործունեության պահանջներին համապատասխան լինելու մասով </w:t>
      </w:r>
      <w:r w:rsidR="0011482B">
        <w:rPr>
          <w:rFonts w:ascii="Sylfaen" w:hAnsi="Sylfaen"/>
          <w:sz w:val="24"/>
          <w:szCs w:val="24"/>
        </w:rPr>
        <w:t>դեղագործական տեսչական ստուգում</w:t>
      </w:r>
      <w:r w:rsidRPr="00834D52">
        <w:rPr>
          <w:rFonts w:ascii="Sylfaen" w:hAnsi="Sylfaen"/>
          <w:sz w:val="24"/>
          <w:szCs w:val="24"/>
        </w:rPr>
        <w:t xml:space="preserve"> անցկացնելու մասին:</w:t>
      </w:r>
    </w:p>
    <w:p w14:paraId="41D07B2E" w14:textId="77D25D13" w:rsidR="00DE7674" w:rsidRPr="006F28F9" w:rsidRDefault="00DE7674" w:rsidP="00DE7674">
      <w:pPr>
        <w:rPr>
          <w:b/>
          <w:bCs/>
          <w:i/>
          <w:iCs/>
        </w:rPr>
      </w:pPr>
      <w:r w:rsidRPr="00CD4709">
        <w:rPr>
          <w:b/>
          <w:bCs/>
          <w:i/>
          <w:iCs/>
        </w:rPr>
        <w:t>(</w:t>
      </w:r>
      <w:r>
        <w:rPr>
          <w:b/>
          <w:bCs/>
          <w:i/>
          <w:iCs/>
        </w:rPr>
        <w:t xml:space="preserve">38-րդ </w:t>
      </w:r>
      <w:r w:rsidRPr="00CD4709">
        <w:rPr>
          <w:b/>
          <w:bCs/>
          <w:i/>
          <w:iCs/>
        </w:rPr>
        <w:t>փոփ. 30.01.20 թիվ 9</w:t>
      </w:r>
      <w:r w:rsidR="00B05E57">
        <w:rPr>
          <w:b/>
          <w:bCs/>
          <w:i/>
          <w:iCs/>
        </w:rPr>
        <w:t>, 17.03.22 թիվ 36</w:t>
      </w:r>
      <w:r w:rsidRPr="00CD4709">
        <w:rPr>
          <w:b/>
          <w:bCs/>
          <w:i/>
          <w:iCs/>
        </w:rPr>
        <w:t>)</w:t>
      </w:r>
    </w:p>
    <w:p w14:paraId="3485D92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39.</w:t>
      </w:r>
      <w:r w:rsidRPr="00834D52">
        <w:rPr>
          <w:rFonts w:ascii="Sylfaen" w:hAnsi="Sylfaen"/>
          <w:sz w:val="24"/>
          <w:szCs w:val="24"/>
        </w:rPr>
        <w:tab/>
        <w:t xml:space="preserve">Կենսահամարժեքության հետազոտությունների արդյունքների </w:t>
      </w:r>
      <w:r w:rsidRPr="00834D52">
        <w:rPr>
          <w:rFonts w:ascii="Sylfaen" w:hAnsi="Sylfaen"/>
          <w:sz w:val="24"/>
          <w:szCs w:val="24"/>
        </w:rPr>
        <w:lastRenderedPageBreak/>
        <w:t xml:space="preserve">առնչությամբ արտապլանային տեսչական ստուգում անցկացնելու անհրաժեշտության մասին որոշումը կայացվում է լիազորված մարմնի կողմից՝ հաշվի առնելով սույն Կանոնների 37-րդ </w:t>
      </w:r>
      <w:r w:rsidR="00C54D75">
        <w:rPr>
          <w:rFonts w:ascii="Sylfaen" w:hAnsi="Sylfaen"/>
          <w:sz w:val="24"/>
          <w:szCs w:val="24"/>
        </w:rPr>
        <w:t>և</w:t>
      </w:r>
      <w:r w:rsidRPr="00834D52">
        <w:rPr>
          <w:rFonts w:ascii="Sylfaen" w:hAnsi="Sylfaen"/>
          <w:sz w:val="24"/>
          <w:szCs w:val="24"/>
        </w:rPr>
        <w:t xml:space="preserve"> 38-րդ կետերի պահանջները՝ հետ</w:t>
      </w:r>
      <w:r w:rsidR="00C54D75">
        <w:rPr>
          <w:rFonts w:ascii="Sylfaen" w:hAnsi="Sylfaen"/>
          <w:sz w:val="24"/>
          <w:szCs w:val="24"/>
        </w:rPr>
        <w:t>և</w:t>
      </w:r>
      <w:r w:rsidRPr="00834D52">
        <w:rPr>
          <w:rFonts w:ascii="Sylfaen" w:hAnsi="Sylfaen"/>
          <w:sz w:val="24"/>
          <w:szCs w:val="24"/>
        </w:rPr>
        <w:t xml:space="preserve">յալ գործոնների համալիր գնահատման հիման վրա. </w:t>
      </w:r>
    </w:p>
    <w:p w14:paraId="0DE7875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ա)</w:t>
      </w:r>
      <w:r w:rsidRPr="00834D52">
        <w:rPr>
          <w:rFonts w:ascii="Sylfaen" w:hAnsi="Sylfaen"/>
          <w:spacing w:val="4"/>
          <w:sz w:val="24"/>
          <w:szCs w:val="24"/>
        </w:rPr>
        <w:tab/>
        <w:t>կենսահամարժեքության հետազոտության չհիմնավորված համասեռ (ոչ համասեռ) տվյալների ներկայացումը.</w:t>
      </w:r>
    </w:p>
    <w:p w14:paraId="064062A9"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բաց թողնված (դուրս մնացող) արժեքների քանակի անհամապատասխանությունը տվյալ ազդող նյութի կամ չափումների տեսակի համար ենթադրվող արժեքների քանակին.</w:t>
      </w:r>
    </w:p>
    <w:p w14:paraId="6F15B480"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ներկայացված կլինիկական, վիճակագրական կամ վերլուծական տվյալների անհավատալի լինելը (անհամաձայնեցված լինելը). </w:t>
      </w:r>
    </w:p>
    <w:p w14:paraId="2EBA7ACD"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 պարամետրերի կամ միջանհատական (ներանհատական) փոփոխականության մասով հետազոտությունների հակասական արդյունքների առկայությունը:</w:t>
      </w:r>
    </w:p>
    <w:p w14:paraId="4305DE51"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40.</w:t>
      </w:r>
      <w:r w:rsidRPr="00834D52">
        <w:rPr>
          <w:rFonts w:ascii="Sylfaen" w:hAnsi="Sylfaen"/>
          <w:sz w:val="24"/>
          <w:szCs w:val="24"/>
        </w:rPr>
        <w:tab/>
        <w:t>Գրանցման հավաստագրի իրավատիրոջ դեղազգոնության համակարգի արտապլանային տեսչական ստուգումը դեղապատրաստուկի գրանցման ընթացակարգի շրջանակներում անցկացվում է Հանձնաժողովի կողմից հաստատվող դեղազգոնության պատշաճ գործունեության կանոններով նախատեսված դեպքերում:</w:t>
      </w:r>
    </w:p>
    <w:p w14:paraId="532EAD14" w14:textId="77777777" w:rsidR="006F76EB" w:rsidRPr="00834D52" w:rsidRDefault="006F76EB" w:rsidP="006F76EB">
      <w:pPr>
        <w:spacing w:after="160" w:line="360" w:lineRule="auto"/>
        <w:ind w:right="-8"/>
        <w:rPr>
          <w:rFonts w:ascii="Sylfaen" w:hAnsi="Sylfaen"/>
          <w:sz w:val="24"/>
          <w:szCs w:val="24"/>
        </w:rPr>
      </w:pPr>
    </w:p>
    <w:p w14:paraId="40B2C86F"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IV. Դեղապատրաստուկների փորձաքննության </w:t>
      </w:r>
      <w:r w:rsidRPr="00834D52">
        <w:rPr>
          <w:rFonts w:ascii="Sylfaen" w:hAnsi="Sylfaen"/>
          <w:sz w:val="24"/>
          <w:szCs w:val="24"/>
        </w:rPr>
        <w:br/>
        <w:t>ընդհանուր սկզբունքները</w:t>
      </w:r>
    </w:p>
    <w:p w14:paraId="25C020F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 xml:space="preserve">Դեղապատրաստուկների փորձաքննությունն անցկացվում է դեղամիջոցների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w:t>
      </w:r>
      <w:r w:rsidR="00C54D75">
        <w:rPr>
          <w:rFonts w:ascii="Sylfaen" w:hAnsi="Sylfaen"/>
          <w:sz w:val="24"/>
          <w:szCs w:val="24"/>
        </w:rPr>
        <w:t>և</w:t>
      </w:r>
      <w:r w:rsidRPr="00834D52">
        <w:rPr>
          <w:rFonts w:ascii="Sylfaen" w:hAnsi="Sylfaen"/>
          <w:sz w:val="24"/>
          <w:szCs w:val="24"/>
        </w:rPr>
        <w:t xml:space="preserve"> դեղապատրաստուկների օգուտ-ռիսկ հարաբերակցության գիտական գնահատական ստանալու համար </w:t>
      </w:r>
      <w:r w:rsidR="00C54D75">
        <w:rPr>
          <w:rFonts w:ascii="Sylfaen" w:hAnsi="Sylfaen"/>
          <w:sz w:val="24"/>
          <w:szCs w:val="24"/>
        </w:rPr>
        <w:t>և</w:t>
      </w:r>
      <w:r w:rsidRPr="00834D52">
        <w:rPr>
          <w:rFonts w:ascii="Sylfaen" w:hAnsi="Sylfaen"/>
          <w:sz w:val="24"/>
          <w:szCs w:val="24"/>
        </w:rPr>
        <w:t xml:space="preserve"> կարող է իր մեջ ներառել.</w:t>
      </w:r>
    </w:p>
    <w:p w14:paraId="56BC967D" w14:textId="5D92C7D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ներկայացրած </w:t>
      </w:r>
      <w:r w:rsidRPr="00834D52">
        <w:rPr>
          <w:rFonts w:ascii="Sylfaen" w:hAnsi="Sylfaen"/>
          <w:sz w:val="24"/>
          <w:szCs w:val="24"/>
        </w:rPr>
        <w:lastRenderedPageBreak/>
        <w:t xml:space="preserve">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գնահատում (դոսյեի գնահատում).</w:t>
      </w:r>
    </w:p>
    <w:p w14:paraId="1BE62A8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որակի հսկողության վերլուծական մեթոդիկաների որակի </w:t>
      </w:r>
      <w:r w:rsidR="00C54D75">
        <w:rPr>
          <w:rFonts w:ascii="Sylfaen" w:hAnsi="Sylfaen"/>
          <w:sz w:val="24"/>
          <w:szCs w:val="24"/>
        </w:rPr>
        <w:t>և</w:t>
      </w:r>
      <w:r w:rsidRPr="00834D52">
        <w:rPr>
          <w:rFonts w:ascii="Sylfaen" w:hAnsi="Sylfaen"/>
          <w:sz w:val="24"/>
          <w:szCs w:val="24"/>
        </w:rPr>
        <w:t xml:space="preserve"> վավերացման նորմատիվ փաստաթղթի պահանջներին համապատասխան լինելու մասով լաբորատոր փորձարկումների անցկացում.</w:t>
      </w:r>
    </w:p>
    <w:p w14:paraId="67FB47B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2DFA8E1F" w14:textId="18B94C3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դ)</w:t>
      </w:r>
      <w:r w:rsidRPr="00834D52">
        <w:rPr>
          <w:rFonts w:ascii="Sylfaen" w:hAnsi="Sylfaen"/>
          <w:sz w:val="24"/>
          <w:szCs w:val="24"/>
        </w:rPr>
        <w:tab/>
        <w:t xml:space="preserve">ճանաչման պետության կողմից գնահատման վերաբերյալ փորձագիտական հաշվետվության գնահատում՝ հաշվի առնելով դեղապատրաստուկի գրանցման դոսյեում պարունակող փաստաթղթերը </w:t>
      </w:r>
      <w:r w:rsidR="00C54D75">
        <w:rPr>
          <w:rFonts w:ascii="Sylfaen" w:hAnsi="Sylfaen"/>
          <w:sz w:val="24"/>
          <w:szCs w:val="24"/>
        </w:rPr>
        <w:t>և</w:t>
      </w:r>
      <w:r w:rsidRPr="00834D52">
        <w:rPr>
          <w:rFonts w:ascii="Sylfaen" w:hAnsi="Sylfaen"/>
          <w:sz w:val="24"/>
          <w:szCs w:val="24"/>
        </w:rPr>
        <w:t xml:space="preserve"> տեղեկությունները:</w:t>
      </w:r>
    </w:p>
    <w:p w14:paraId="7C7C809B" w14:textId="6570412C" w:rsidR="00DE4B55" w:rsidRPr="006F28F9" w:rsidRDefault="00DE4B55" w:rsidP="00DE4B55">
      <w:pPr>
        <w:rPr>
          <w:b/>
          <w:bCs/>
          <w:i/>
          <w:iCs/>
        </w:rPr>
      </w:pPr>
      <w:r w:rsidRPr="00CD4709">
        <w:rPr>
          <w:b/>
          <w:bCs/>
          <w:i/>
          <w:iCs/>
        </w:rPr>
        <w:t>(</w:t>
      </w:r>
      <w:r>
        <w:rPr>
          <w:b/>
          <w:bCs/>
          <w:i/>
          <w:iCs/>
        </w:rPr>
        <w:t xml:space="preserve">41-րդ կետը </w:t>
      </w:r>
      <w:r w:rsidRPr="00CD4709">
        <w:rPr>
          <w:b/>
          <w:bCs/>
          <w:i/>
          <w:iCs/>
        </w:rPr>
        <w:t>փոփ. 30.01.20 թիվ 9)</w:t>
      </w:r>
    </w:p>
    <w:p w14:paraId="17ADAAC2" w14:textId="77777777" w:rsidR="00DE4B55" w:rsidRPr="00834D52" w:rsidRDefault="00DE4B55" w:rsidP="006F76EB">
      <w:pPr>
        <w:tabs>
          <w:tab w:val="left" w:pos="1134"/>
        </w:tabs>
        <w:spacing w:after="160" w:line="360" w:lineRule="auto"/>
        <w:ind w:right="-8" w:firstLine="567"/>
        <w:jc w:val="both"/>
        <w:rPr>
          <w:rFonts w:ascii="Sylfaen" w:eastAsia="Times New Roman" w:hAnsi="Sylfaen" w:cs="Times New Roman"/>
          <w:sz w:val="24"/>
          <w:szCs w:val="24"/>
        </w:rPr>
      </w:pPr>
    </w:p>
    <w:p w14:paraId="002B0AE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Դեղապատրաստուկները գրանցելիս դրանց փորձաքննության անցկացման հիմնական սկզբունքներն են՝</w:t>
      </w:r>
    </w:p>
    <w:p w14:paraId="0E4E69B5" w14:textId="77777777" w:rsidR="006F76EB" w:rsidRPr="00834D52" w:rsidRDefault="006F76EB" w:rsidP="00664595">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փորձագետների անկախությունը </w:t>
      </w:r>
      <w:r w:rsidR="00C54D75">
        <w:rPr>
          <w:rFonts w:ascii="Sylfaen" w:hAnsi="Sylfaen"/>
          <w:sz w:val="24"/>
          <w:szCs w:val="24"/>
        </w:rPr>
        <w:t>և</w:t>
      </w:r>
      <w:r w:rsidRPr="00834D52">
        <w:rPr>
          <w:rFonts w:ascii="Sylfaen" w:hAnsi="Sylfaen"/>
          <w:sz w:val="24"/>
          <w:szCs w:val="24"/>
        </w:rPr>
        <w:t xml:space="preserve"> իրավական պաշտպանվածությունը նրանց կողմից մասնագիտական գործունեություն իրականացնելիս.</w:t>
      </w:r>
    </w:p>
    <w:p w14:paraId="713A0F28" w14:textId="77777777" w:rsidR="006F76EB" w:rsidRPr="00834D52" w:rsidRDefault="006F76EB" w:rsidP="00664595">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անդամ պետությունների օրենսդրության, Միության իրավունքի մաս կազմող միջազգային պայմանագրերի </w:t>
      </w:r>
      <w:r w:rsidR="00C54D75">
        <w:rPr>
          <w:rFonts w:ascii="Sylfaen" w:hAnsi="Sylfaen"/>
          <w:sz w:val="24"/>
          <w:szCs w:val="24"/>
        </w:rPr>
        <w:t>և</w:t>
      </w:r>
      <w:r w:rsidRPr="00834D52">
        <w:rPr>
          <w:rFonts w:ascii="Sylfaen" w:hAnsi="Sylfaen"/>
          <w:sz w:val="24"/>
          <w:szCs w:val="24"/>
        </w:rPr>
        <w:t xml:space="preserve"> ակտերի պահանջների կատարման պարտադիր լինելը.</w:t>
      </w:r>
    </w:p>
    <w:p w14:paraId="5B6467E6"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փորձաքննության օբյեկտների հետազոտությունների նկատմամբ գիտական մոտեցումը, լիարժեքությունը, համակողմանիությունը </w:t>
      </w:r>
      <w:r w:rsidR="00C54D75">
        <w:rPr>
          <w:rFonts w:ascii="Sylfaen" w:hAnsi="Sylfaen"/>
          <w:sz w:val="24"/>
          <w:szCs w:val="24"/>
        </w:rPr>
        <w:t>և</w:t>
      </w:r>
      <w:r w:rsidRPr="00834D52">
        <w:rPr>
          <w:rFonts w:ascii="Sylfaen" w:hAnsi="Sylfaen"/>
          <w:sz w:val="24"/>
          <w:szCs w:val="24"/>
        </w:rPr>
        <w:t xml:space="preserve"> օբյեկտիվությունը, փորձաքննության արդյունքների հիմնավորվածության ապահովումը՝ փաստաթղթերով սահմանված ընդունելիության չափանիշներին համապատասխան.</w:t>
      </w:r>
    </w:p>
    <w:p w14:paraId="35F2C40A"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փորձագիտական կազմակերպությունների </w:t>
      </w:r>
      <w:r w:rsidR="00C54D75">
        <w:rPr>
          <w:rFonts w:ascii="Sylfaen" w:hAnsi="Sylfaen"/>
          <w:sz w:val="24"/>
          <w:szCs w:val="24"/>
        </w:rPr>
        <w:t>և</w:t>
      </w:r>
      <w:r w:rsidRPr="00834D52">
        <w:rPr>
          <w:rFonts w:ascii="Sylfaen" w:hAnsi="Sylfaen"/>
          <w:sz w:val="24"/>
          <w:szCs w:val="24"/>
        </w:rPr>
        <w:t xml:space="preserve"> փորձագետների բանիմացությունը </w:t>
      </w:r>
      <w:r w:rsidR="00C54D75">
        <w:rPr>
          <w:rFonts w:ascii="Sylfaen" w:hAnsi="Sylfaen"/>
          <w:sz w:val="24"/>
          <w:szCs w:val="24"/>
        </w:rPr>
        <w:t>և</w:t>
      </w:r>
      <w:r w:rsidRPr="00834D52">
        <w:rPr>
          <w:rFonts w:ascii="Sylfaen" w:hAnsi="Sylfaen"/>
          <w:sz w:val="24"/>
          <w:szCs w:val="24"/>
        </w:rPr>
        <w:t xml:space="preserve"> մասնագիտական բարձր մակարդակը.</w:t>
      </w:r>
    </w:p>
    <w:p w14:paraId="3D57732C"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ե)</w:t>
      </w:r>
      <w:r w:rsidRPr="00834D52">
        <w:rPr>
          <w:rFonts w:ascii="Sylfaen" w:hAnsi="Sylfaen"/>
          <w:sz w:val="24"/>
          <w:szCs w:val="24"/>
        </w:rPr>
        <w:tab/>
        <w:t xml:space="preserve">դեղապատրաստուկների փորձաքննության կազմակերպման </w:t>
      </w:r>
      <w:r w:rsidR="00C54D75">
        <w:rPr>
          <w:rFonts w:ascii="Sylfaen" w:hAnsi="Sylfaen"/>
          <w:sz w:val="24"/>
          <w:szCs w:val="24"/>
        </w:rPr>
        <w:t>և</w:t>
      </w:r>
      <w:r w:rsidRPr="00834D52">
        <w:rPr>
          <w:rFonts w:ascii="Sylfaen" w:hAnsi="Sylfaen"/>
          <w:sz w:val="24"/>
          <w:szCs w:val="24"/>
        </w:rPr>
        <w:t xml:space="preserve"> դրա մեթոդաբանական ապահովման համակարգվածությունը. </w:t>
      </w:r>
    </w:p>
    <w:p w14:paraId="5EEA3A05"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կողմնորոշումը դեպի գիտության </w:t>
      </w:r>
      <w:r w:rsidR="00C54D75">
        <w:rPr>
          <w:rFonts w:ascii="Sylfaen" w:hAnsi="Sylfaen"/>
          <w:sz w:val="24"/>
          <w:szCs w:val="24"/>
        </w:rPr>
        <w:t>և</w:t>
      </w:r>
      <w:r w:rsidRPr="00834D52">
        <w:rPr>
          <w:rFonts w:ascii="Sylfaen" w:hAnsi="Sylfaen"/>
          <w:sz w:val="24"/>
          <w:szCs w:val="24"/>
        </w:rPr>
        <w:t xml:space="preserve"> տեխնիկայի զարգացման համաշխարհային մակարդակը, տեխնիկական </w:t>
      </w:r>
      <w:r w:rsidR="00C54D75">
        <w:rPr>
          <w:rFonts w:ascii="Sylfaen" w:hAnsi="Sylfaen"/>
          <w:sz w:val="24"/>
          <w:szCs w:val="24"/>
        </w:rPr>
        <w:t>և</w:t>
      </w:r>
      <w:r w:rsidRPr="00834D52">
        <w:rPr>
          <w:rFonts w:ascii="Sylfaen" w:hAnsi="Sylfaen"/>
          <w:sz w:val="24"/>
          <w:szCs w:val="24"/>
        </w:rPr>
        <w:t xml:space="preserve"> հասարակական անվտանգության նորմերը </w:t>
      </w:r>
      <w:r w:rsidR="00C54D75">
        <w:rPr>
          <w:rFonts w:ascii="Sylfaen" w:hAnsi="Sylfaen"/>
          <w:sz w:val="24"/>
          <w:szCs w:val="24"/>
        </w:rPr>
        <w:t>և</w:t>
      </w:r>
      <w:r w:rsidRPr="00834D52">
        <w:rPr>
          <w:rFonts w:ascii="Sylfaen" w:hAnsi="Sylfaen"/>
          <w:sz w:val="24"/>
          <w:szCs w:val="24"/>
        </w:rPr>
        <w:t xml:space="preserve"> կանոնները.</w:t>
      </w:r>
    </w:p>
    <w:p w14:paraId="5AC0C641"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 xml:space="preserve">փորձաքննության արդյունքների հրապարակայնությունը՝ պետական, ծառայողական </w:t>
      </w:r>
      <w:r w:rsidR="00C54D75">
        <w:rPr>
          <w:rFonts w:ascii="Sylfaen" w:hAnsi="Sylfaen"/>
          <w:sz w:val="24"/>
          <w:szCs w:val="24"/>
        </w:rPr>
        <w:t>և</w:t>
      </w:r>
      <w:r w:rsidRPr="00834D52">
        <w:rPr>
          <w:rFonts w:ascii="Sylfaen" w:hAnsi="Sylfaen"/>
          <w:sz w:val="24"/>
          <w:szCs w:val="24"/>
        </w:rPr>
        <w:t xml:space="preserve"> առ</w:t>
      </w:r>
      <w:r w:rsidR="00C54D75">
        <w:rPr>
          <w:rFonts w:ascii="Sylfaen" w:hAnsi="Sylfaen"/>
          <w:sz w:val="24"/>
          <w:szCs w:val="24"/>
        </w:rPr>
        <w:t>և</w:t>
      </w:r>
      <w:r w:rsidRPr="00834D52">
        <w:rPr>
          <w:rFonts w:ascii="Sylfaen" w:hAnsi="Sylfaen"/>
          <w:sz w:val="24"/>
          <w:szCs w:val="24"/>
        </w:rPr>
        <w:t xml:space="preserve">տրային գաղտնիքն անդամ պետության օրենսդրությանը, Միության իրավունքի մաս կազմող միջազգային պայմանագրերին </w:t>
      </w:r>
      <w:r w:rsidR="00C54D75">
        <w:rPr>
          <w:rFonts w:ascii="Sylfaen" w:hAnsi="Sylfaen"/>
          <w:sz w:val="24"/>
          <w:szCs w:val="24"/>
        </w:rPr>
        <w:t>և</w:t>
      </w:r>
      <w:r w:rsidRPr="00834D52">
        <w:rPr>
          <w:rFonts w:ascii="Sylfaen" w:hAnsi="Sylfaen"/>
          <w:sz w:val="24"/>
          <w:szCs w:val="24"/>
        </w:rPr>
        <w:t xml:space="preserve"> ակտերին համապատասխան պահպանելու պայմանով:</w:t>
      </w:r>
    </w:p>
    <w:p w14:paraId="30828FCB" w14:textId="1E8111F9"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43.</w:t>
      </w:r>
      <w:r w:rsidRPr="00834D52">
        <w:rPr>
          <w:rFonts w:ascii="Sylfaen" w:hAnsi="Sylfaen"/>
          <w:sz w:val="24"/>
          <w:szCs w:val="24"/>
        </w:rPr>
        <w:tab/>
        <w:t xml:space="preserve">Դեղապատրաստուկի մշակման, նախակլինիկական (ոչ 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անցկացման, դրա արտադրության, դեղազգոնության իրականացման </w:t>
      </w:r>
      <w:r w:rsidR="00C54D75">
        <w:rPr>
          <w:rFonts w:ascii="Sylfaen" w:hAnsi="Sylfaen"/>
          <w:sz w:val="24"/>
          <w:szCs w:val="24"/>
        </w:rPr>
        <w:t>և</w:t>
      </w:r>
      <w:r w:rsidRPr="00834D52">
        <w:rPr>
          <w:rFonts w:ascii="Sylfaen" w:hAnsi="Sylfaen"/>
          <w:sz w:val="24"/>
          <w:szCs w:val="24"/>
        </w:rPr>
        <w:t xml:space="preserve"> գրանցելու, գրանցումը հաստատելու (վերագրանցելու), գրանցման դոսյեում փոփոխություններ կատարելու ընթացակարգերի </w:t>
      </w:r>
      <w:r w:rsidR="00C54D75">
        <w:rPr>
          <w:rFonts w:ascii="Sylfaen" w:hAnsi="Sylfaen"/>
          <w:sz w:val="24"/>
          <w:szCs w:val="24"/>
        </w:rPr>
        <w:t>և</w:t>
      </w:r>
      <w:r w:rsidRPr="00834D52">
        <w:rPr>
          <w:rFonts w:ascii="Sylfaen" w:hAnsi="Sylfaen"/>
          <w:sz w:val="24"/>
          <w:szCs w:val="24"/>
        </w:rPr>
        <w:t xml:space="preserve"> գրանցման հետ կապված այլ ընթացակարգերի իրականացման համար նախատեսված փաստաթղթերի նախապատրաստման ժամանակ դեղապատրաստուկներ մշակողները, արտադրողները </w:t>
      </w:r>
      <w:r w:rsidR="00C54D75">
        <w:rPr>
          <w:rFonts w:ascii="Sylfaen" w:hAnsi="Sylfaen"/>
          <w:sz w:val="24"/>
          <w:szCs w:val="24"/>
        </w:rPr>
        <w:t>և</w:t>
      </w:r>
      <w:r w:rsidRPr="00834D52">
        <w:rPr>
          <w:rFonts w:ascii="Sylfaen" w:hAnsi="Sylfaen"/>
          <w:sz w:val="24"/>
          <w:szCs w:val="24"/>
        </w:rPr>
        <w:t xml:space="preserve"> գրանցման հավաստագրերի իրավատերերը </w:t>
      </w:r>
      <w:r w:rsidR="00C54D75">
        <w:rPr>
          <w:rFonts w:ascii="Sylfaen" w:hAnsi="Sylfaen"/>
          <w:sz w:val="24"/>
          <w:szCs w:val="24"/>
        </w:rPr>
        <w:t>և</w:t>
      </w:r>
      <w:r w:rsidRPr="00834D52">
        <w:rPr>
          <w:rFonts w:ascii="Sylfaen" w:hAnsi="Sylfaen"/>
          <w:sz w:val="24"/>
          <w:szCs w:val="24"/>
        </w:rPr>
        <w:t xml:space="preserve"> նրանց լիազորված անձինք պետք է պահպանեն անդամ պետությունների օրենսդրությունը, Միության իրավունքի մաս կազմող միջազգային պայմանագրերը </w:t>
      </w:r>
      <w:r w:rsidR="00C54D75">
        <w:rPr>
          <w:rFonts w:ascii="Sylfaen" w:hAnsi="Sylfaen"/>
          <w:sz w:val="24"/>
          <w:szCs w:val="24"/>
        </w:rPr>
        <w:t>և</w:t>
      </w:r>
      <w:r w:rsidRPr="00834D52">
        <w:rPr>
          <w:rFonts w:ascii="Sylfaen" w:hAnsi="Sylfaen"/>
          <w:sz w:val="24"/>
          <w:szCs w:val="24"/>
        </w:rPr>
        <w:t xml:space="preserve"> ակտերը, ինչպես նա</w:t>
      </w:r>
      <w:r w:rsidR="00C54D75">
        <w:rPr>
          <w:rFonts w:ascii="Sylfaen" w:hAnsi="Sylfaen"/>
          <w:sz w:val="24"/>
          <w:szCs w:val="24"/>
        </w:rPr>
        <w:t>և</w:t>
      </w:r>
      <w:r w:rsidRPr="00834D52">
        <w:rPr>
          <w:rFonts w:ascii="Sylfaen" w:hAnsi="Sylfaen"/>
          <w:sz w:val="24"/>
          <w:szCs w:val="24"/>
        </w:rPr>
        <w:t xml:space="preserve"> առաջնորդվեն օպտիմալ մոտեցումներով, որոնց իրագործումը թույլ կտա ապահովել այս պահանջների կատարումը, </w:t>
      </w:r>
      <w:r w:rsidR="00C54D75">
        <w:rPr>
          <w:rFonts w:ascii="Sylfaen" w:hAnsi="Sylfaen"/>
          <w:sz w:val="24"/>
          <w:szCs w:val="24"/>
        </w:rPr>
        <w:t>և</w:t>
      </w:r>
      <w:r w:rsidRPr="00834D52">
        <w:rPr>
          <w:rFonts w:ascii="Sylfaen" w:hAnsi="Sylfaen"/>
          <w:sz w:val="24"/>
          <w:szCs w:val="24"/>
        </w:rPr>
        <w:t xml:space="preserve"> որոնք շարադրված են այդ թվում Հանձնաժողովի կողմից ընդունվող որոշումներում </w:t>
      </w:r>
      <w:r w:rsidR="00C54D75">
        <w:rPr>
          <w:rFonts w:ascii="Sylfaen" w:hAnsi="Sylfaen"/>
          <w:sz w:val="24"/>
          <w:szCs w:val="24"/>
        </w:rPr>
        <w:t>և</w:t>
      </w:r>
      <w:r w:rsidRPr="00834D52">
        <w:rPr>
          <w:rFonts w:ascii="Sylfaen" w:hAnsi="Sylfaen"/>
          <w:sz w:val="24"/>
          <w:szCs w:val="24"/>
        </w:rPr>
        <w:t xml:space="preserve"> հանձնարարականներում: Նշված</w:t>
      </w:r>
      <w:r w:rsidR="009B7300" w:rsidRPr="00D85A6C">
        <w:rPr>
          <w:rFonts w:ascii="Sylfaen" w:hAnsi="Sylfaen"/>
          <w:sz w:val="24"/>
          <w:szCs w:val="24"/>
        </w:rPr>
        <w:t> </w:t>
      </w:r>
      <w:r w:rsidRPr="00834D52">
        <w:rPr>
          <w:rFonts w:ascii="Sylfaen" w:hAnsi="Sylfaen"/>
          <w:sz w:val="24"/>
          <w:szCs w:val="24"/>
        </w:rPr>
        <w:t xml:space="preserve">հանձնարարականների պահանջները չպահպանելու դեպքում </w:t>
      </w:r>
      <w:r w:rsidR="0056496B">
        <w:rPr>
          <w:rFonts w:ascii="Sylfaen" w:hAnsi="Sylfaen"/>
          <w:sz w:val="24"/>
          <w:szCs w:val="24"/>
        </w:rPr>
        <w:t>դիմումատու</w:t>
      </w:r>
      <w:r w:rsidRPr="00834D52">
        <w:rPr>
          <w:rFonts w:ascii="Sylfaen" w:hAnsi="Sylfaen"/>
          <w:sz w:val="24"/>
          <w:szCs w:val="24"/>
        </w:rPr>
        <w:t>ն պետք</w:t>
      </w:r>
      <w:r w:rsidR="006120A9" w:rsidRPr="006120A9">
        <w:rPr>
          <w:rFonts w:ascii="Sylfaen" w:hAnsi="Sylfaen"/>
          <w:sz w:val="24"/>
          <w:szCs w:val="24"/>
        </w:rPr>
        <w:t> </w:t>
      </w:r>
      <w:r w:rsidRPr="00834D52">
        <w:rPr>
          <w:rFonts w:ascii="Sylfaen" w:hAnsi="Sylfaen"/>
          <w:sz w:val="24"/>
          <w:szCs w:val="24"/>
        </w:rPr>
        <w:t xml:space="preserve">է ներկայացնի ընտրված մոտեցման թույլատրելիության հիմնավորումը՝ դեղապատրաստուկի որակի,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ապահովման տեսանկյունից: Ներկայացված հիմնավորումը պետք է գնահատվի դեղապատրաստուկների փորձաքննություն անցկացնելիս:</w:t>
      </w:r>
    </w:p>
    <w:p w14:paraId="589B40E4" w14:textId="4AF31F8F" w:rsidR="00DE4B55" w:rsidRPr="006F28F9" w:rsidRDefault="00DE4B55" w:rsidP="00DE4B55">
      <w:pPr>
        <w:rPr>
          <w:b/>
          <w:bCs/>
          <w:i/>
          <w:iCs/>
        </w:rPr>
      </w:pPr>
      <w:r w:rsidRPr="00CD4709">
        <w:rPr>
          <w:b/>
          <w:bCs/>
          <w:i/>
          <w:iCs/>
        </w:rPr>
        <w:t>(</w:t>
      </w:r>
      <w:r>
        <w:rPr>
          <w:b/>
          <w:bCs/>
          <w:i/>
          <w:iCs/>
        </w:rPr>
        <w:t xml:space="preserve">43-րդ կետը </w:t>
      </w:r>
      <w:r w:rsidRPr="00CD4709">
        <w:rPr>
          <w:b/>
          <w:bCs/>
          <w:i/>
          <w:iCs/>
        </w:rPr>
        <w:t>փոփ. 30.01.20 թիվ 9)</w:t>
      </w:r>
    </w:p>
    <w:p w14:paraId="1BD332F8"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44.</w:t>
      </w:r>
      <w:r w:rsidRPr="00834D52">
        <w:rPr>
          <w:rFonts w:ascii="Sylfaen" w:hAnsi="Sylfaen"/>
          <w:sz w:val="24"/>
          <w:szCs w:val="24"/>
        </w:rPr>
        <w:tab/>
        <w:t xml:space="preserve">Դեղապատրաստուկի փորձաքննությունը չի ընդհատվում Միության </w:t>
      </w:r>
      <w:r w:rsidRPr="00834D52">
        <w:rPr>
          <w:rFonts w:ascii="Sylfaen" w:hAnsi="Sylfaen"/>
          <w:sz w:val="24"/>
          <w:szCs w:val="24"/>
        </w:rPr>
        <w:lastRenderedPageBreak/>
        <w:t xml:space="preserve">պատշաճ գործունեության (արտադրական, լաբորատոր, կլինիկական, դեղազգոնության) պահանջներին համապատասխան լինելու մասով արտապլանային դեղագործական տեսչական ստուգումների անցկացման ժամկետով, բայց գնահատման վերաբերյալ եզրափակիչ փորձագիտական հաշվետվությունը կարող է կազմվել </w:t>
      </w:r>
      <w:r w:rsidR="009F49FE">
        <w:rPr>
          <w:rFonts w:ascii="Sylfaen" w:hAnsi="Sylfaen"/>
          <w:sz w:val="24"/>
          <w:szCs w:val="24"/>
        </w:rPr>
        <w:t xml:space="preserve">ռեֆերենտ </w:t>
      </w:r>
      <w:r w:rsidRPr="00834D52">
        <w:rPr>
          <w:rFonts w:ascii="Sylfaen" w:hAnsi="Sylfaen"/>
          <w:sz w:val="24"/>
          <w:szCs w:val="24"/>
        </w:rPr>
        <w:t>պետության լիազոր մարմնի (փորձագիտական կազմակերպության) կողմից՝ միայն հաշվի առնելով արտապլանային դեղագործական տեսչական ստուգումների արդյունքները (դրանց</w:t>
      </w:r>
      <w:r w:rsidR="006120A9" w:rsidRPr="006120A9">
        <w:rPr>
          <w:rFonts w:ascii="Sylfaen" w:hAnsi="Sylfaen"/>
          <w:sz w:val="24"/>
          <w:szCs w:val="24"/>
        </w:rPr>
        <w:t> </w:t>
      </w:r>
      <w:r w:rsidRPr="00834D52">
        <w:rPr>
          <w:rFonts w:ascii="Sylfaen" w:hAnsi="Sylfaen"/>
          <w:sz w:val="24"/>
          <w:szCs w:val="24"/>
        </w:rPr>
        <w:t>անցկացման դեպքում): Նշված ստուգումները պետք է անցկացվեն լիազորված մարմնի կողմից տեսչական ստուգում նախաձեռնելու մասին որոշման ընդունման օրվանից 180 օրացուցային օրը չգերազանցող ժամկետում:</w:t>
      </w:r>
    </w:p>
    <w:p w14:paraId="10570DDE" w14:textId="0A2B7DC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45.</w:t>
      </w:r>
      <w:r w:rsidRPr="00834D52">
        <w:rPr>
          <w:rFonts w:ascii="Sylfaen" w:hAnsi="Sylfaen"/>
          <w:sz w:val="24"/>
          <w:szCs w:val="24"/>
        </w:rPr>
        <w:tab/>
        <w:t xml:space="preserve">Միության դեղազգոնության պատշաճ գործունեության պահանջներին համապատասխան անվտանգության լրացուցիչ մոնիթորինգ պահանջող դեղապատրաստուկների համար բժշկական կիրառման դեղապատրաստուկի ընդհանուր բնութագիրը (այսուհետ՝ ԴՊԸԲ) </w:t>
      </w:r>
      <w:r w:rsidR="00C54D75">
        <w:rPr>
          <w:rFonts w:ascii="Sylfaen" w:hAnsi="Sylfaen"/>
          <w:sz w:val="24"/>
          <w:szCs w:val="24"/>
        </w:rPr>
        <w:t>և</w:t>
      </w:r>
      <w:r w:rsidRPr="00834D52">
        <w:rPr>
          <w:rFonts w:ascii="Sylfaen" w:hAnsi="Sylfaen"/>
          <w:sz w:val="24"/>
          <w:szCs w:val="24"/>
        </w:rPr>
        <w:t xml:space="preserve"> դեղապատրաստուկի բժշկական կիրառման հրահանգը (ներդիր-թերթիկը) (այսուհետ՝ բժշկական կիրառման հրահանգ) պետք է իրենց մեջ ներառեն համապատասխան ձ</w:t>
      </w:r>
      <w:r w:rsidR="00C54D75">
        <w:rPr>
          <w:rFonts w:ascii="Sylfaen" w:hAnsi="Sylfaen"/>
          <w:sz w:val="24"/>
          <w:szCs w:val="24"/>
        </w:rPr>
        <w:t>և</w:t>
      </w:r>
      <w:r w:rsidRPr="00834D52">
        <w:rPr>
          <w:rFonts w:ascii="Sylfaen" w:hAnsi="Sylfaen"/>
          <w:sz w:val="24"/>
          <w:szCs w:val="24"/>
        </w:rPr>
        <w:t xml:space="preserve">ակերպումներ </w:t>
      </w:r>
      <w:r w:rsidR="00C54D75">
        <w:rPr>
          <w:rFonts w:ascii="Sylfaen" w:hAnsi="Sylfaen"/>
          <w:sz w:val="24"/>
          <w:szCs w:val="24"/>
        </w:rPr>
        <w:t>և</w:t>
      </w:r>
      <w:r w:rsidRPr="00834D52">
        <w:rPr>
          <w:rFonts w:ascii="Sylfaen" w:hAnsi="Sylfaen"/>
          <w:sz w:val="24"/>
          <w:szCs w:val="24"/>
        </w:rPr>
        <w:t xml:space="preserve"> նշումներ՝ դեղապատրաստուկների բժշկական կիրառման հրահանգին </w:t>
      </w:r>
      <w:r w:rsidR="00C54D75">
        <w:rPr>
          <w:rFonts w:ascii="Sylfaen" w:hAnsi="Sylfaen"/>
          <w:sz w:val="24"/>
          <w:szCs w:val="24"/>
        </w:rPr>
        <w:t>և</w:t>
      </w:r>
      <w:r w:rsidRPr="00834D52">
        <w:rPr>
          <w:rFonts w:ascii="Sylfaen" w:hAnsi="Sylfaen"/>
          <w:sz w:val="24"/>
          <w:szCs w:val="24"/>
        </w:rPr>
        <w:t xml:space="preserve"> բժշկական կիրառման դեղապատրաստուկների ընդհանուր բնութագրին ներկայացվող՝ Հանձնաժողովի կողմից հաստատվող պահանջների համաձայն:</w:t>
      </w:r>
    </w:p>
    <w:p w14:paraId="00C6207B" w14:textId="53F90D7E" w:rsidR="00B05E57" w:rsidRPr="00371618" w:rsidRDefault="00B05E57" w:rsidP="00B05E57">
      <w:pPr>
        <w:rPr>
          <w:b/>
          <w:bCs/>
          <w:i/>
          <w:iCs/>
        </w:rPr>
      </w:pPr>
      <w:r w:rsidRPr="00371618">
        <w:rPr>
          <w:b/>
          <w:bCs/>
          <w:i/>
          <w:iCs/>
        </w:rPr>
        <w:t xml:space="preserve">( </w:t>
      </w:r>
      <w:r>
        <w:rPr>
          <w:b/>
          <w:bCs/>
          <w:i/>
          <w:iCs/>
        </w:rPr>
        <w:t>45</w:t>
      </w:r>
      <w:r w:rsidRPr="00371618">
        <w:rPr>
          <w:b/>
          <w:bCs/>
          <w:i/>
          <w:iCs/>
        </w:rPr>
        <w:t>-րդ կետը փոփ. 17.03.22 թիվ 36 )</w:t>
      </w:r>
    </w:p>
    <w:p w14:paraId="41840524" w14:textId="77777777" w:rsidR="00B05E57" w:rsidRPr="00834D52" w:rsidRDefault="00B05E57" w:rsidP="006F76EB">
      <w:pPr>
        <w:tabs>
          <w:tab w:val="left" w:pos="1134"/>
        </w:tabs>
        <w:spacing w:after="160" w:line="360" w:lineRule="auto"/>
        <w:ind w:right="-8" w:firstLine="567"/>
        <w:jc w:val="both"/>
        <w:rPr>
          <w:rFonts w:ascii="Sylfaen" w:eastAsia="Times New Roman" w:hAnsi="Sylfaen" w:cs="Times New Roman"/>
          <w:sz w:val="24"/>
          <w:szCs w:val="24"/>
        </w:rPr>
      </w:pPr>
    </w:p>
    <w:p w14:paraId="76BBB2D8" w14:textId="77777777" w:rsidR="006F76EB" w:rsidRPr="00834D52" w:rsidRDefault="006F76EB" w:rsidP="006F76EB">
      <w:pPr>
        <w:spacing w:after="160" w:line="360" w:lineRule="auto"/>
        <w:ind w:right="-8"/>
        <w:rPr>
          <w:rFonts w:ascii="Sylfaen" w:hAnsi="Sylfaen"/>
          <w:sz w:val="24"/>
          <w:szCs w:val="24"/>
        </w:rPr>
      </w:pPr>
    </w:p>
    <w:p w14:paraId="19C90753" w14:textId="77777777" w:rsidR="006F76EB" w:rsidRPr="00834D52" w:rsidRDefault="006F76EB" w:rsidP="00C84A60">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 Փոխադարձ ճանաչման ընթացակարգով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կարգը</w:t>
      </w:r>
    </w:p>
    <w:p w14:paraId="502AC28F" w14:textId="77777777" w:rsidR="006F76EB" w:rsidRPr="00834D52" w:rsidRDefault="006F76EB" w:rsidP="00C84A60">
      <w:pPr>
        <w:spacing w:after="160" w:line="336" w:lineRule="auto"/>
        <w:ind w:left="567" w:right="565"/>
        <w:rPr>
          <w:rFonts w:ascii="Sylfaen" w:hAnsi="Sylfaen"/>
          <w:sz w:val="24"/>
          <w:szCs w:val="24"/>
        </w:rPr>
      </w:pPr>
    </w:p>
    <w:p w14:paraId="1376C5C3" w14:textId="77777777" w:rsidR="006F76EB" w:rsidRPr="00834D52" w:rsidRDefault="006F76EB" w:rsidP="00C84A60">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 Դեղապատրաստուկի գրանցումն ու փորձաքննությունը </w:t>
      </w:r>
      <w:r w:rsidR="009F49FE">
        <w:rPr>
          <w:rFonts w:ascii="Sylfaen" w:hAnsi="Sylfaen"/>
          <w:sz w:val="24"/>
          <w:szCs w:val="24"/>
        </w:rPr>
        <w:t xml:space="preserve">ռեֆերենտ </w:t>
      </w:r>
      <w:r w:rsidRPr="00834D52">
        <w:rPr>
          <w:rFonts w:ascii="Sylfaen" w:hAnsi="Sylfaen"/>
          <w:sz w:val="24"/>
          <w:szCs w:val="24"/>
        </w:rPr>
        <w:t>պետությունում</w:t>
      </w:r>
    </w:p>
    <w:p w14:paraId="4E8D8D33" w14:textId="4DDFE47E"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46.</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պետությունում դեղապատրաստուկի գրանցում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փորձաքննություն կատարելու ժամկետը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մինչ</w:t>
      </w:r>
      <w:r w:rsidR="00C54D75">
        <w:rPr>
          <w:rFonts w:ascii="Sylfaen" w:hAnsi="Sylfaen"/>
          <w:sz w:val="24"/>
          <w:szCs w:val="24"/>
        </w:rPr>
        <w:t>և</w:t>
      </w:r>
      <w:r w:rsidRPr="00834D52">
        <w:rPr>
          <w:rFonts w:ascii="Sylfaen" w:hAnsi="Sylfaen"/>
          <w:sz w:val="24"/>
          <w:szCs w:val="24"/>
        </w:rPr>
        <w:t xml:space="preserve"> գրանցման հավաստագիր տրամադրելու օրը չպետք է գերազանցի </w:t>
      </w:r>
      <w:r w:rsidR="00B05E57" w:rsidRPr="00B05E57">
        <w:rPr>
          <w:rFonts w:ascii="Sylfaen" w:hAnsi="Sylfaen"/>
          <w:sz w:val="24"/>
          <w:szCs w:val="24"/>
        </w:rPr>
        <w:t>140 աշխատանքային օրը</w:t>
      </w:r>
      <w:r w:rsidRPr="00834D52">
        <w:rPr>
          <w:rFonts w:ascii="Sylfaen" w:hAnsi="Sylfaen"/>
          <w:sz w:val="24"/>
          <w:szCs w:val="24"/>
        </w:rPr>
        <w:t>։</w:t>
      </w:r>
    </w:p>
    <w:p w14:paraId="06AFA4E2" w14:textId="29419457" w:rsidR="00DE4B55" w:rsidRPr="006F28F9" w:rsidRDefault="00DE4B55" w:rsidP="00DE4B55">
      <w:pPr>
        <w:rPr>
          <w:b/>
          <w:bCs/>
          <w:i/>
          <w:iCs/>
        </w:rPr>
      </w:pPr>
      <w:r w:rsidRPr="00CD4709">
        <w:rPr>
          <w:b/>
          <w:bCs/>
          <w:i/>
          <w:iCs/>
        </w:rPr>
        <w:t>(</w:t>
      </w:r>
      <w:r>
        <w:rPr>
          <w:b/>
          <w:bCs/>
          <w:i/>
          <w:iCs/>
        </w:rPr>
        <w:t xml:space="preserve">46-րդ կետը </w:t>
      </w:r>
      <w:r w:rsidRPr="00CD4709">
        <w:rPr>
          <w:b/>
          <w:bCs/>
          <w:i/>
          <w:iCs/>
        </w:rPr>
        <w:t>փոփ. 30.01.20 թիվ 9</w:t>
      </w:r>
      <w:r w:rsidR="00B05E57">
        <w:rPr>
          <w:b/>
          <w:bCs/>
          <w:i/>
          <w:iCs/>
        </w:rPr>
        <w:t>, 17.03.22 թիվ 36</w:t>
      </w:r>
      <w:r w:rsidRPr="00CD4709">
        <w:rPr>
          <w:b/>
          <w:bCs/>
          <w:i/>
          <w:iCs/>
        </w:rPr>
        <w:t>)</w:t>
      </w:r>
    </w:p>
    <w:p w14:paraId="276EC2AF" w14:textId="55AD6D23"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47.</w:t>
      </w:r>
      <w:r w:rsidRPr="00834D52">
        <w:rPr>
          <w:rFonts w:ascii="Sylfaen" w:hAnsi="Sylfaen"/>
          <w:sz w:val="24"/>
          <w:szCs w:val="24"/>
        </w:rPr>
        <w:tab/>
        <w:t xml:space="preserve">Դեղապատրաստուկի 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 xml:space="preserve">յալ փաստաթղթերը </w:t>
      </w:r>
      <w:r w:rsidR="00C54D75">
        <w:rPr>
          <w:rFonts w:ascii="Sylfaen" w:hAnsi="Sylfaen"/>
          <w:sz w:val="24"/>
          <w:szCs w:val="24"/>
        </w:rPr>
        <w:t>և</w:t>
      </w:r>
      <w:r w:rsidRPr="00834D52">
        <w:rPr>
          <w:rFonts w:ascii="Sylfaen" w:hAnsi="Sylfaen"/>
          <w:sz w:val="24"/>
          <w:szCs w:val="24"/>
        </w:rPr>
        <w:t xml:space="preserve"> նյութերը՝</w:t>
      </w:r>
    </w:p>
    <w:p w14:paraId="0E4A3DB2" w14:textId="77777777" w:rsidR="00B05E57" w:rsidRDefault="00B05E57" w:rsidP="006F76EB">
      <w:pPr>
        <w:tabs>
          <w:tab w:val="left" w:pos="1134"/>
        </w:tabs>
        <w:spacing w:after="160" w:line="336" w:lineRule="auto"/>
        <w:ind w:right="-6" w:firstLine="567"/>
        <w:jc w:val="both"/>
        <w:rPr>
          <w:rFonts w:ascii="Sylfaen" w:hAnsi="Sylfaen"/>
          <w:sz w:val="24"/>
          <w:szCs w:val="24"/>
        </w:rPr>
      </w:pPr>
      <w:r w:rsidRPr="00B05E57">
        <w:rPr>
          <w:rFonts w:ascii="Sylfaen" w:hAnsi="Sylfaen"/>
          <w:sz w:val="24"/>
          <w:szCs w:val="24"/>
        </w:rPr>
        <w:t xml:space="preserve">թղթային կրիչով կամ այն անդամ պետության օրենսդրությանը համապատասխան էլեկտրոնային թվային ստորագրությամբ (էլեկտրոնային ստորագրությամբ) ստորագրված էլեկտրոնային փաստաթղթի տեսքով՝ սույն կանոնների թիվ 2 հավելվածով սահմանված ձևով հայտ, որտեղ այդ հայտը ներկայացվում է (այսուհետ՝ էլեկտրոնային ստորագրություն). </w:t>
      </w:r>
    </w:p>
    <w:p w14:paraId="39CD612B" w14:textId="2BD82151"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r w:rsidR="00B05E57">
        <w:rPr>
          <w:rFonts w:ascii="Sylfaen" w:hAnsi="Sylfaen"/>
          <w:sz w:val="24"/>
          <w:szCs w:val="24"/>
        </w:rPr>
        <w:t xml:space="preserve"> </w:t>
      </w:r>
      <w:r w:rsidR="00B05E57" w:rsidRPr="00B05E57">
        <w:rPr>
          <w:rFonts w:ascii="Sylfaen" w:hAnsi="Sylfaen"/>
          <w:sz w:val="24"/>
          <w:szCs w:val="24"/>
        </w:rPr>
        <w:t>թղթային կրիչով կամ էլեկտրոնային ստորագրությամբ ստորագրված էլեկտրոնային փաստաթղթերի տեսքով</w:t>
      </w:r>
    </w:p>
    <w:p w14:paraId="4ED459A6" w14:textId="43802480" w:rsidR="00B05E57" w:rsidRDefault="00B05E57" w:rsidP="006F76EB">
      <w:pPr>
        <w:tabs>
          <w:tab w:val="left" w:pos="1134"/>
        </w:tabs>
        <w:spacing w:after="160" w:line="360" w:lineRule="auto"/>
        <w:ind w:right="-8" w:firstLine="567"/>
        <w:jc w:val="both"/>
        <w:rPr>
          <w:rFonts w:ascii="Sylfaen" w:hAnsi="Sylfaen"/>
          <w:sz w:val="24"/>
          <w:szCs w:val="24"/>
        </w:rPr>
      </w:pPr>
      <w:r w:rsidRPr="00B05E57">
        <w:rPr>
          <w:rFonts w:ascii="Sylfaen" w:hAnsi="Sylfaen"/>
          <w:sz w:val="24"/>
          <w:szCs w:val="24"/>
        </w:rPr>
        <w:t>էլեկտրոնային փաստաթղթերի լրակազմ փաթեթի տեսքով՝ էլեկտրոնային կրիչի վրա՝ սույն կանոնների թիվ 1-5 հավելվածներին համապատասխան գրանցման դոսյե</w:t>
      </w:r>
      <w:r>
        <w:rPr>
          <w:rFonts w:ascii="Sylfaen" w:hAnsi="Sylfaen"/>
          <w:sz w:val="24"/>
          <w:szCs w:val="24"/>
        </w:rPr>
        <w:t>.</w:t>
      </w:r>
    </w:p>
    <w:p w14:paraId="61BA35E6" w14:textId="70D2B850"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բաղադրամասերի </w:t>
      </w:r>
      <w:r w:rsidR="00C54D75">
        <w:rPr>
          <w:rFonts w:ascii="Sylfaen" w:hAnsi="Sylfaen"/>
          <w:sz w:val="24"/>
          <w:szCs w:val="24"/>
        </w:rPr>
        <w:t>և</w:t>
      </w:r>
      <w:r w:rsidRPr="00834D52">
        <w:rPr>
          <w:rFonts w:ascii="Sylfaen" w:hAnsi="Sylfaen"/>
          <w:sz w:val="24"/>
          <w:szCs w:val="24"/>
        </w:rPr>
        <w:t xml:space="preserve"> հարակից խառնուկների </w:t>
      </w:r>
      <w:r w:rsidR="00B05E57">
        <w:rPr>
          <w:sz w:val="21"/>
          <w:szCs w:val="21"/>
        </w:rPr>
        <w:t>դ</w:t>
      </w:r>
      <w:r w:rsidR="00B05E57">
        <w:rPr>
          <w:rFonts w:ascii="Arial Unicode" w:hAnsi="Arial Unicode"/>
          <w:sz w:val="21"/>
          <w:szCs w:val="21"/>
        </w:rPr>
        <w:t>եղապատրաստուկների նմուշներ,</w:t>
      </w:r>
      <w:r w:rsidR="00B05E57">
        <w:rPr>
          <w:sz w:val="21"/>
          <w:szCs w:val="21"/>
        </w:rPr>
        <w:t xml:space="preserve"> </w:t>
      </w:r>
      <w:r w:rsidRPr="00834D52">
        <w:rPr>
          <w:rFonts w:ascii="Sylfaen" w:hAnsi="Sylfaen"/>
          <w:sz w:val="24"/>
          <w:szCs w:val="24"/>
        </w:rPr>
        <w:t xml:space="preserve">ստանդարտ նմուշները, սպեցիֆիկ ռեագենտները </w:t>
      </w:r>
      <w:r w:rsidR="00C54D75">
        <w:rPr>
          <w:rFonts w:ascii="Sylfaen" w:hAnsi="Sylfaen"/>
          <w:sz w:val="24"/>
          <w:szCs w:val="24"/>
        </w:rPr>
        <w:t>և</w:t>
      </w:r>
      <w:r w:rsidRPr="00834D52">
        <w:rPr>
          <w:rFonts w:ascii="Sylfaen" w:hAnsi="Sylfaen"/>
          <w:sz w:val="24"/>
          <w:szCs w:val="24"/>
        </w:rPr>
        <w:t xml:space="preserve"> սույն կետի հինգերորդ պարբերությունում նշված դեղապատրաստուկների նմուշների փորձարկումներ անցկացնելու համար անհրաժեշտ այլ նյութեր ներկայացվում են փորձագիտական կազմակերպության հետ համաձայնեցնելով։</w:t>
      </w:r>
    </w:p>
    <w:p w14:paraId="3FB2A7C0" w14:textId="77777777" w:rsidR="006F76EB" w:rsidRPr="00834D52" w:rsidRDefault="006F76EB" w:rsidP="00010F6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Դեղապատրաստուկների նմուշները, սպեցիֆիկ ռեագենտներն ու այլ նյութեր ներկայացվում են դեղապատրաստուկների որակի նորմատիվ փաստաթղթի պահանջներին կամ գրանցման դոսյեի կազմի մեջ մտնող մյուս մասնագրերին համապատասխան՝ փորձագիտական կազմակերպության հետ համաձայնեցված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երեք անգամից ոչ ավել անալիզ անցկացնելու համար անհրաժեշտ քանակությամբ լիազորված մարմնի (փորձագիտական կազմակերպության) կողմից համաձայնեցված այնպիսի ժամկետում, որը չի մտնում դեղապատրաստուկի փորձաքննության </w:t>
      </w:r>
      <w:r w:rsidR="00C54D75">
        <w:rPr>
          <w:rFonts w:ascii="Sylfaen" w:hAnsi="Sylfaen"/>
          <w:sz w:val="24"/>
          <w:szCs w:val="24"/>
        </w:rPr>
        <w:t>և</w:t>
      </w:r>
      <w:r w:rsidRPr="00834D52">
        <w:rPr>
          <w:rFonts w:ascii="Sylfaen" w:hAnsi="Sylfaen"/>
          <w:sz w:val="24"/>
          <w:szCs w:val="24"/>
        </w:rPr>
        <w:t xml:space="preserve"> գրանցման ընդհանուր ժամկետի մեջ։</w:t>
      </w:r>
    </w:p>
    <w:p w14:paraId="58B9D263" w14:textId="5F5E130B" w:rsidR="0042112E" w:rsidRPr="0042112E"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 xml:space="preserve">Չի պահանջվում ներկայացնել նմուշներ, սպեցիֆիկ ռեագենտներ (ազդանյութեր) և այլ նյութեր՝ </w:t>
      </w:r>
    </w:p>
    <w:p w14:paraId="177A8D24" w14:textId="370D76B9" w:rsidR="0042112E" w:rsidRPr="0042112E"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դեղապատրաստուկների նմուշների, ստանդարտ նմուշների, սպեցիֆիկ ռեագենտների և այլ նյութերի դժվարամատչելիության (այդ թվում՝ օրֆանային, բարձր տեխնոլոգիական, ռադիոդեղագործական, թմրանյութային, հոգեմետ կամ դրանց բարձր արժեքի հետևանքով բարձր ծախսային նոզոլոգիաների բուժման համար նախատեսված կատեգորիային դրանք դասելու դեպքում).</w:t>
      </w:r>
    </w:p>
    <w:p w14:paraId="3E797088" w14:textId="1A905600" w:rsidR="0042112E" w:rsidRPr="0042112E"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 xml:space="preserve">անդամ պետության տարածք նշված նմուշների փոխադրման պայմանների պահպանման և (կամ) դրանց պահման անհնարինության. </w:t>
      </w:r>
    </w:p>
    <w:p w14:paraId="299D6571" w14:textId="2E3FF9B8" w:rsidR="0042112E" w:rsidRPr="0042112E"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 xml:space="preserve">փորձագիտական կազմակերպությունում հատուկ սարքավորումների և ծախսային նյութերի բացակայության. </w:t>
      </w:r>
    </w:p>
    <w:p w14:paraId="174CA5C0" w14:textId="675BD8C4" w:rsidR="0042112E" w:rsidRPr="0042112E"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անհաղթահարելի ուժի հանգամանքների կամ կողմերի կամքից անկախ, այդ թվում՝ դեղապատրաստուկի արտադրության և որակի հսկողության առանձնահատկությունների հետ կապված հանգամանքների առաջացման դեպքում լիազորված մարմնի (փորձագիտական կազմակերպության) որոշմամբ այլ պատճառների հետևանքով փորձագիտական կազմակերպությունում փորձարկումների անցկացման անհնարինության դեպքում:</w:t>
      </w:r>
    </w:p>
    <w:p w14:paraId="43DA3981" w14:textId="727F790F" w:rsidR="006F76EB"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Անդամ պետության օրենսդրության պահանջներին համապատասխան՝ սույն կետի երկրորդ-չորրորդ պարբերություններում նշված փաստաթղթերը կարող են ներկայացվել սույն կանոններով նախատեսված դեպքերում՝ առանց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r w:rsidR="006F76EB" w:rsidRPr="00834D52">
        <w:rPr>
          <w:rFonts w:ascii="Sylfaen" w:hAnsi="Sylfaen"/>
          <w:sz w:val="24"/>
          <w:szCs w:val="24"/>
        </w:rPr>
        <w:t>։</w:t>
      </w:r>
    </w:p>
    <w:p w14:paraId="4A58010A" w14:textId="7DA71346" w:rsidR="00DE4B55" w:rsidRPr="006F28F9" w:rsidRDefault="00DE4B55" w:rsidP="00DE4B55">
      <w:pPr>
        <w:rPr>
          <w:b/>
          <w:bCs/>
          <w:i/>
          <w:iCs/>
        </w:rPr>
      </w:pPr>
      <w:r w:rsidRPr="00CD4709">
        <w:rPr>
          <w:b/>
          <w:bCs/>
          <w:i/>
          <w:iCs/>
        </w:rPr>
        <w:lastRenderedPageBreak/>
        <w:t>(</w:t>
      </w:r>
      <w:r>
        <w:rPr>
          <w:b/>
          <w:bCs/>
          <w:i/>
          <w:iCs/>
        </w:rPr>
        <w:t xml:space="preserve">47-րդ կետը </w:t>
      </w:r>
      <w:r w:rsidRPr="00CD4709">
        <w:rPr>
          <w:b/>
          <w:bCs/>
          <w:i/>
          <w:iCs/>
        </w:rPr>
        <w:t>փոփ. 30.01.20 թիվ 9</w:t>
      </w:r>
      <w:r w:rsidR="0042112E">
        <w:rPr>
          <w:b/>
          <w:bCs/>
          <w:i/>
          <w:iCs/>
        </w:rPr>
        <w:t>, խմբ., լրաց., փոփ. 17.03.22 թիվ 36</w:t>
      </w:r>
      <w:r w:rsidRPr="00CD4709">
        <w:rPr>
          <w:b/>
          <w:bCs/>
          <w:i/>
          <w:iCs/>
        </w:rPr>
        <w:t>)</w:t>
      </w:r>
    </w:p>
    <w:p w14:paraId="25DCF204" w14:textId="5D9EBB28"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48.</w:t>
      </w:r>
      <w:r w:rsidRPr="00834D52">
        <w:rPr>
          <w:rFonts w:ascii="Sylfaen" w:hAnsi="Sylfaen"/>
          <w:sz w:val="24"/>
          <w:szCs w:val="24"/>
        </w:rPr>
        <w:tab/>
        <w:t xml:space="preserve">Սույն Կանոնների </w:t>
      </w:r>
      <w:r w:rsidR="0042112E" w:rsidRPr="0042112E">
        <w:rPr>
          <w:rFonts w:ascii="Sylfaen" w:hAnsi="Sylfaen"/>
          <w:sz w:val="24"/>
          <w:szCs w:val="24"/>
        </w:rPr>
        <w:t>47-րդ կետի ութերորդ-տասնմեկերորդ պարբերություններում</w:t>
      </w:r>
      <w:r w:rsidR="0042112E">
        <w:rPr>
          <w:rFonts w:ascii="Sylfaen" w:hAnsi="Sylfaen"/>
          <w:sz w:val="24"/>
          <w:szCs w:val="24"/>
        </w:rPr>
        <w:t xml:space="preserve"> </w:t>
      </w:r>
      <w:r w:rsidRPr="00834D52">
        <w:rPr>
          <w:rFonts w:ascii="Sylfaen" w:hAnsi="Sylfaen"/>
          <w:sz w:val="24"/>
          <w:szCs w:val="24"/>
        </w:rPr>
        <w:t>նշված դեպքերում լաբորատոր փորձարկումներն անցկացվում են դեղապտատրաստուկն արտադրողի` որակի հսկողության լաբորատորիայում՝ փորձագիտական կազմակերպության ներկայացուցիչների ներկայությամբ, կամ արտադրողի կողմից օգտագործվող պայմանագրային լաբորատորիայում՝ փորձագիտական կազմակերպության ներկայացուցիչների ներկայությամբ։</w:t>
      </w:r>
    </w:p>
    <w:p w14:paraId="2D7ED4DC" w14:textId="6D20AE84" w:rsidR="0042112E" w:rsidRDefault="0042112E" w:rsidP="006F76EB">
      <w:pPr>
        <w:tabs>
          <w:tab w:val="left" w:pos="1134"/>
        </w:tabs>
        <w:spacing w:after="160" w:line="336" w:lineRule="auto"/>
        <w:ind w:right="-6" w:firstLine="567"/>
        <w:jc w:val="both"/>
        <w:rPr>
          <w:rFonts w:ascii="Sylfaen" w:eastAsia="Times New Roman" w:hAnsi="Sylfaen" w:cs="Times New Roman"/>
          <w:sz w:val="24"/>
          <w:szCs w:val="24"/>
        </w:rPr>
      </w:pPr>
      <w:r w:rsidRPr="0042112E">
        <w:rPr>
          <w:rFonts w:ascii="Sylfaen" w:eastAsia="Times New Roman" w:hAnsi="Sylfaen" w:cs="Times New Roman"/>
          <w:sz w:val="24"/>
          <w:szCs w:val="24"/>
        </w:rPr>
        <w:t>Դեղապատրաստուկ արտադրողի՝ որակի հսկողության լաբորատորիաներում կամ արտադրողի կողմից օգտագործվող պայմանագրային լաբորատորիաներում լաբորատոր փորձարկումների անցկացման անհնարինության դեպքում (արտակարգ իրավիճակի առաջացման սպառնալիքի, առաջացման և վերացման պայմաններում և (կամ) շրջապատողների համար վտանգ ներկայացնող հիվանդությունների, անբարենպաստ բնական, քիմիական, կենսաբանական, ճառագայթային գործոնների ազդեցության արդյունքում ստացված հիվանդությունների և ախտահարումների տարածման սպառնալիքի առաջացման դեպքում, որոնց դեպքում փորձագիտական կազմակերպության ներկայացուցչի ներկայությունը հնարավոր չէ, կամ այլ հանգամանքներում (օրինակ՝ 47-րդ կետի ութերորդ-տասնմեկերորդ պարբերություններում նշված կատեգորիաների կոնկրետ դեղապատրաստուկի արտադրության և որակի հսկողության առանձնահատկությունների հետ կապված)), լիազորված մարմնի (փորձագիտական կազմակերպության) համաձայնեցմամբ որակի փորձաքննությունն անցկացվում է արտադրողի փաստաթղթերի (արտադրողի՝ անալիզի արձանագրությունների) հիման վրա, այդ թվում՝ հեռավար փոխգործակցության միջոցների օգտագործմամբ, ներառյալ՝ տեսա- կամ ձայնային կապը</w:t>
      </w:r>
      <w:r>
        <w:rPr>
          <w:rFonts w:ascii="Sylfaen" w:eastAsia="Times New Roman" w:hAnsi="Sylfaen" w:cs="Times New Roman"/>
          <w:sz w:val="24"/>
          <w:szCs w:val="24"/>
        </w:rPr>
        <w:t>:</w:t>
      </w:r>
    </w:p>
    <w:p w14:paraId="06C82D1E" w14:textId="1F9B17EE" w:rsidR="0042112E" w:rsidRPr="00371618" w:rsidRDefault="0042112E" w:rsidP="0042112E">
      <w:pPr>
        <w:rPr>
          <w:b/>
          <w:bCs/>
          <w:i/>
          <w:iCs/>
        </w:rPr>
      </w:pPr>
      <w:r w:rsidRPr="00371618">
        <w:rPr>
          <w:b/>
          <w:bCs/>
          <w:i/>
          <w:iCs/>
        </w:rPr>
        <w:t xml:space="preserve">( </w:t>
      </w:r>
      <w:r>
        <w:rPr>
          <w:b/>
          <w:bCs/>
          <w:i/>
          <w:iCs/>
        </w:rPr>
        <w:t>4</w:t>
      </w:r>
      <w:r w:rsidRPr="00371618">
        <w:rPr>
          <w:b/>
          <w:bCs/>
          <w:i/>
          <w:iCs/>
        </w:rPr>
        <w:t>8-րդ կետը փոփ., լրաց. 17.03.22 թիվ 36 )</w:t>
      </w:r>
    </w:p>
    <w:p w14:paraId="19D3E31C" w14:textId="77777777" w:rsidR="0042112E" w:rsidRPr="00834D52" w:rsidRDefault="0042112E" w:rsidP="006F76EB">
      <w:pPr>
        <w:tabs>
          <w:tab w:val="left" w:pos="1134"/>
        </w:tabs>
        <w:spacing w:after="160" w:line="336" w:lineRule="auto"/>
        <w:ind w:right="-6" w:firstLine="567"/>
        <w:jc w:val="both"/>
        <w:rPr>
          <w:rFonts w:ascii="Sylfaen" w:eastAsia="Times New Roman" w:hAnsi="Sylfaen" w:cs="Times New Roman"/>
          <w:sz w:val="24"/>
          <w:szCs w:val="24"/>
        </w:rPr>
      </w:pPr>
    </w:p>
    <w:p w14:paraId="283D495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49.</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փորձաքննությունը ներառում է՝</w:t>
      </w:r>
    </w:p>
    <w:p w14:paraId="52343A5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w:t>
      </w:r>
      <w:r w:rsidRPr="00834D52">
        <w:rPr>
          <w:rFonts w:ascii="Sylfaen" w:hAnsi="Sylfaen"/>
          <w:sz w:val="24"/>
          <w:szCs w:val="24"/>
        </w:rPr>
        <w:tab/>
        <w:t xml:space="preserve">գրանցման դոսյեում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ակերպման գնահատում,</w:t>
      </w:r>
    </w:p>
    <w:p w14:paraId="38AE24D8" w14:textId="42AEBD56"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կողմից ներկայացված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գնահատում՝ դրանց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մասով,</w:t>
      </w:r>
    </w:p>
    <w:p w14:paraId="0BC85022" w14:textId="7315A89E"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հավատարմագրված փորձարկման լաբորատորիաներում իրականացվող՝ որակի հսկողության </w:t>
      </w:r>
      <w:r w:rsidR="00DE4B55">
        <w:rPr>
          <w:rFonts w:ascii="Sylfaen" w:hAnsi="Sylfaen"/>
          <w:sz w:val="24"/>
          <w:szCs w:val="24"/>
        </w:rPr>
        <w:t>հայտ</w:t>
      </w:r>
      <w:r w:rsidRPr="00834D52">
        <w:rPr>
          <w:rFonts w:ascii="Sylfaen" w:hAnsi="Sylfaen"/>
          <w:sz w:val="24"/>
          <w:szCs w:val="24"/>
        </w:rPr>
        <w:t xml:space="preserve">ագրված մեթոդիկաների որակի </w:t>
      </w:r>
      <w:r w:rsidR="00C54D75">
        <w:rPr>
          <w:rFonts w:ascii="Sylfaen" w:hAnsi="Sylfaen"/>
          <w:sz w:val="24"/>
          <w:szCs w:val="24"/>
        </w:rPr>
        <w:t>և</w:t>
      </w:r>
      <w:r w:rsidRPr="00834D52">
        <w:rPr>
          <w:rFonts w:ascii="Sylfaen" w:hAnsi="Sylfaen"/>
          <w:sz w:val="24"/>
          <w:szCs w:val="24"/>
        </w:rPr>
        <w:t xml:space="preserve"> վերարտադրելիության վերաբերյալ նորմատիվ փաստաթղթերի պահանջներին համապատասխանության մասով լաբորատոր փորձարկումների անցկացում,</w:t>
      </w:r>
    </w:p>
    <w:p w14:paraId="1EB6DDC7" w14:textId="31BF6D8C"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անհրաժեշտության դեպքում դեղագործական տեսչական ստուգումների նախաձեռնում` սույն Կանոններով սահմանված դեպքերում,</w:t>
      </w:r>
    </w:p>
    <w:p w14:paraId="6866E253" w14:textId="20F2B9CD"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1ACE9F74" w14:textId="7CBEEE22" w:rsidR="00DE4B55" w:rsidRPr="006F28F9" w:rsidRDefault="00DE4B55" w:rsidP="001A5F1A">
      <w:pPr>
        <w:rPr>
          <w:b/>
          <w:bCs/>
          <w:i/>
          <w:iCs/>
        </w:rPr>
      </w:pPr>
      <w:r w:rsidRPr="00CD4709">
        <w:rPr>
          <w:b/>
          <w:bCs/>
          <w:i/>
          <w:iCs/>
        </w:rPr>
        <w:t>(</w:t>
      </w:r>
      <w:r w:rsidR="001A5F1A">
        <w:rPr>
          <w:b/>
          <w:bCs/>
          <w:i/>
          <w:iCs/>
        </w:rPr>
        <w:t>49</w:t>
      </w:r>
      <w:r>
        <w:rPr>
          <w:b/>
          <w:bCs/>
          <w:i/>
          <w:iCs/>
        </w:rPr>
        <w:t xml:space="preserve">-րդ կետը </w:t>
      </w:r>
      <w:r w:rsidRPr="00CD4709">
        <w:rPr>
          <w:b/>
          <w:bCs/>
          <w:i/>
          <w:iCs/>
        </w:rPr>
        <w:t>փոփ. 30.01.20 թիվ 9</w:t>
      </w:r>
      <w:r w:rsidR="007F7B1C">
        <w:rPr>
          <w:b/>
          <w:bCs/>
          <w:i/>
          <w:iCs/>
        </w:rPr>
        <w:t>, 17.03.22 թիվ 36</w:t>
      </w:r>
      <w:r w:rsidRPr="00CD4709">
        <w:rPr>
          <w:b/>
          <w:bCs/>
          <w:i/>
          <w:iCs/>
        </w:rPr>
        <w:t>)</w:t>
      </w:r>
    </w:p>
    <w:p w14:paraId="4E056B7C" w14:textId="42BAE24C" w:rsidR="006F76EB" w:rsidRDefault="006F76EB" w:rsidP="00911A5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50.</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w:t>
      </w:r>
      <w:r w:rsidR="007F7B1C">
        <w:rPr>
          <w:rFonts w:ascii="Sylfaen" w:hAnsi="Sylfaen"/>
          <w:sz w:val="24"/>
          <w:szCs w:val="24"/>
        </w:rPr>
        <w:t>0</w:t>
      </w:r>
      <w:r w:rsidRPr="00834D52">
        <w:rPr>
          <w:rFonts w:ascii="Sylfaen" w:hAnsi="Sylfaen"/>
          <w:sz w:val="24"/>
          <w:szCs w:val="24"/>
        </w:rPr>
        <w:t xml:space="preserve"> աշխատանքային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իրականացնում է գրանցման դոսյեում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նախքան գրանցման դոսյեի նյութերը փորձաքննության ուղարկելը։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դոսյեում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տրամադրվում է 90</w:t>
      </w:r>
      <w:r w:rsidR="00761CCE" w:rsidRPr="009443D2">
        <w:rPr>
          <w:rFonts w:ascii="Sylfaen" w:hAnsi="Sylfaen"/>
          <w:sz w:val="24"/>
          <w:szCs w:val="24"/>
        </w:rPr>
        <w:t> </w:t>
      </w:r>
      <w:r w:rsidR="007F7B1C">
        <w:rPr>
          <w:rFonts w:ascii="Arial Unicode" w:hAnsi="Arial Unicode"/>
          <w:sz w:val="21"/>
          <w:szCs w:val="21"/>
        </w:rPr>
        <w:t>աշխատանքային</w:t>
      </w:r>
      <w:r w:rsidR="007F7B1C">
        <w:rPr>
          <w:sz w:val="21"/>
          <w:szCs w:val="21"/>
        </w:rPr>
        <w:t xml:space="preserve"> </w:t>
      </w:r>
      <w:r w:rsidRPr="00834D52">
        <w:rPr>
          <w:rFonts w:ascii="Sylfaen" w:hAnsi="Sylfaen"/>
          <w:sz w:val="24"/>
          <w:szCs w:val="24"/>
        </w:rPr>
        <w:t xml:space="preserve">օրվանից ոչ ավելի, որը չի մտնում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1688640A" w14:textId="2174F785" w:rsidR="007F7B1C" w:rsidRDefault="007F7B1C" w:rsidP="00911A59">
      <w:pPr>
        <w:tabs>
          <w:tab w:val="left" w:pos="1134"/>
        </w:tabs>
        <w:spacing w:after="160" w:line="384" w:lineRule="auto"/>
        <w:ind w:right="-6" w:firstLine="567"/>
        <w:jc w:val="both"/>
        <w:rPr>
          <w:rFonts w:ascii="Sylfaen" w:hAnsi="Sylfaen"/>
          <w:sz w:val="24"/>
          <w:szCs w:val="24"/>
        </w:rPr>
      </w:pPr>
      <w:r w:rsidRPr="007F7B1C">
        <w:rPr>
          <w:rFonts w:ascii="Sylfaen" w:hAnsi="Sylfaen"/>
          <w:sz w:val="24"/>
          <w:szCs w:val="24"/>
        </w:rPr>
        <w:t>Հայտատուի պատասխանը գնահատվում է հայտատուի պատասխանն ստանալու օրվանից 5 աշխատանքային օրը չգերազանցող ժամկետում</w:t>
      </w:r>
      <w:r>
        <w:rPr>
          <w:rFonts w:ascii="Sylfaen" w:hAnsi="Sylfaen"/>
          <w:sz w:val="24"/>
          <w:szCs w:val="24"/>
        </w:rPr>
        <w:t>:</w:t>
      </w:r>
    </w:p>
    <w:p w14:paraId="6A66E84E" w14:textId="060FCC4B" w:rsidR="001A5F1A" w:rsidRPr="006F28F9" w:rsidRDefault="001A5F1A" w:rsidP="001A5F1A">
      <w:pPr>
        <w:rPr>
          <w:b/>
          <w:bCs/>
          <w:i/>
          <w:iCs/>
        </w:rPr>
      </w:pPr>
      <w:r w:rsidRPr="00CD4709">
        <w:rPr>
          <w:b/>
          <w:bCs/>
          <w:i/>
          <w:iCs/>
        </w:rPr>
        <w:lastRenderedPageBreak/>
        <w:t>(</w:t>
      </w:r>
      <w:r>
        <w:rPr>
          <w:b/>
          <w:bCs/>
          <w:i/>
          <w:iCs/>
        </w:rPr>
        <w:t xml:space="preserve">50-րդ կետը </w:t>
      </w:r>
      <w:r w:rsidRPr="00CD4709">
        <w:rPr>
          <w:b/>
          <w:bCs/>
          <w:i/>
          <w:iCs/>
        </w:rPr>
        <w:t>փոփ. 30.01.20 թիվ 9</w:t>
      </w:r>
      <w:r w:rsidR="007F7B1C">
        <w:rPr>
          <w:b/>
          <w:bCs/>
          <w:i/>
          <w:iCs/>
        </w:rPr>
        <w:t>, փոփ., լրաց. 17.03.22 թիվ 36</w:t>
      </w:r>
      <w:r w:rsidRPr="00CD4709">
        <w:rPr>
          <w:b/>
          <w:bCs/>
          <w:i/>
          <w:iCs/>
        </w:rPr>
        <w:t>)</w:t>
      </w:r>
    </w:p>
    <w:p w14:paraId="40F94C03" w14:textId="65D1541F" w:rsidR="006F76EB" w:rsidRDefault="006F76EB" w:rsidP="00911A5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51.</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նյութերը չներկայացնելու </w:t>
      </w:r>
      <w:r w:rsidR="00C54D75">
        <w:rPr>
          <w:rFonts w:ascii="Sylfaen" w:hAnsi="Sylfaen"/>
          <w:sz w:val="24"/>
          <w:szCs w:val="24"/>
        </w:rPr>
        <w:t>և</w:t>
      </w:r>
      <w:r w:rsidRPr="00834D52">
        <w:rPr>
          <w:rFonts w:ascii="Sylfaen" w:hAnsi="Sylfaen"/>
          <w:sz w:val="24"/>
          <w:szCs w:val="24"/>
        </w:rPr>
        <w:t xml:space="preserve"> (կամ)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մերժում է դեղապատրաստուկի գրանցման </w:t>
      </w:r>
      <w:r w:rsidR="0056496B">
        <w:rPr>
          <w:rFonts w:ascii="Sylfaen" w:hAnsi="Sylfaen"/>
          <w:sz w:val="24"/>
          <w:szCs w:val="24"/>
        </w:rPr>
        <w:t>դիմում</w:t>
      </w:r>
      <w:r w:rsidRPr="00834D52">
        <w:rPr>
          <w:rFonts w:ascii="Sylfaen" w:hAnsi="Sylfaen"/>
          <w:sz w:val="24"/>
          <w:szCs w:val="24"/>
        </w:rPr>
        <w:t>ը։</w:t>
      </w:r>
    </w:p>
    <w:p w14:paraId="2A9503B4" w14:textId="73726724" w:rsidR="001A5F1A" w:rsidRPr="006F28F9" w:rsidRDefault="001A5F1A" w:rsidP="001A5F1A">
      <w:pPr>
        <w:rPr>
          <w:b/>
          <w:bCs/>
          <w:i/>
          <w:iCs/>
        </w:rPr>
      </w:pPr>
      <w:r w:rsidRPr="00CD4709">
        <w:rPr>
          <w:b/>
          <w:bCs/>
          <w:i/>
          <w:iCs/>
        </w:rPr>
        <w:t>(</w:t>
      </w:r>
      <w:r>
        <w:rPr>
          <w:b/>
          <w:bCs/>
          <w:i/>
          <w:iCs/>
        </w:rPr>
        <w:t xml:space="preserve">51-րդ կետը </w:t>
      </w:r>
      <w:r w:rsidRPr="00CD4709">
        <w:rPr>
          <w:b/>
          <w:bCs/>
          <w:i/>
          <w:iCs/>
        </w:rPr>
        <w:t>փոփ. 30.01.20 թիվ 9)</w:t>
      </w:r>
    </w:p>
    <w:p w14:paraId="36E5F25F" w14:textId="271D15F1"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52.</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w:t>
      </w:r>
      <w:r w:rsidR="00C54D75">
        <w:rPr>
          <w:rFonts w:ascii="Sylfaen" w:hAnsi="Sylfaen"/>
          <w:sz w:val="24"/>
          <w:szCs w:val="24"/>
        </w:rPr>
        <w:t>և</w:t>
      </w:r>
      <w:r w:rsidRPr="00834D52">
        <w:rPr>
          <w:rFonts w:ascii="Sylfaen" w:hAnsi="Sylfaen"/>
          <w:sz w:val="24"/>
          <w:szCs w:val="24"/>
        </w:rPr>
        <w:t xml:space="preserve"> (կամ) փորձագիտական կազմակերպությունը դեղապատրաստուկի գրանցում </w:t>
      </w:r>
      <w:r w:rsidR="00C54D75">
        <w:rPr>
          <w:rFonts w:ascii="Sylfaen" w:hAnsi="Sylfaen"/>
          <w:sz w:val="24"/>
          <w:szCs w:val="24"/>
        </w:rPr>
        <w:t>և</w:t>
      </w:r>
      <w:r w:rsidRPr="00834D52">
        <w:rPr>
          <w:rFonts w:ascii="Sylfaen" w:hAnsi="Sylfaen"/>
          <w:sz w:val="24"/>
          <w:szCs w:val="24"/>
        </w:rPr>
        <w:t xml:space="preserve"> (կամ) փորձաքննություն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դոսյեում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փաթեթվածքի մանրակերտերում, որակի վերաբերյալ նորմատիվ փաստաթղթերում կամ գրանցման դոսյեի այլ փաստաթղթերում փոփոխություններ կատարելու առաջարկ) ներկայացնելու վերաբերյալ։ Առաջին հարցումից հետո հետագա հարցումները թույլատրվում են միայն այն դեպքում, երբ նախորդ հարցման պատասխանի մեջ </w:t>
      </w:r>
      <w:r w:rsidR="0056496B">
        <w:rPr>
          <w:rFonts w:ascii="Sylfaen" w:hAnsi="Sylfaen"/>
          <w:sz w:val="24"/>
          <w:szCs w:val="24"/>
        </w:rPr>
        <w:t>դիմումատու</w:t>
      </w:r>
      <w:r w:rsidRPr="00834D52">
        <w:rPr>
          <w:rFonts w:ascii="Sylfaen" w:hAnsi="Sylfaen"/>
          <w:sz w:val="24"/>
          <w:szCs w:val="24"/>
        </w:rPr>
        <w:t>ի ներկայացրած տեղեկությունների հետ կապված ծագել են լրացուցիչ հարցեր։</w:t>
      </w:r>
    </w:p>
    <w:p w14:paraId="21DF76F9" w14:textId="6F4D41EF" w:rsidR="007F7B1C" w:rsidRDefault="007F7B1C" w:rsidP="006F76EB">
      <w:pPr>
        <w:tabs>
          <w:tab w:val="left" w:pos="1134"/>
        </w:tabs>
        <w:spacing w:after="160" w:line="384" w:lineRule="auto"/>
        <w:ind w:right="-6" w:firstLine="567"/>
        <w:jc w:val="both"/>
        <w:rPr>
          <w:rFonts w:ascii="Sylfaen" w:hAnsi="Sylfaen"/>
          <w:sz w:val="24"/>
          <w:szCs w:val="24"/>
        </w:rPr>
      </w:pPr>
      <w:r w:rsidRPr="007F7B1C">
        <w:rPr>
          <w:rFonts w:ascii="Sylfaen" w:hAnsi="Sylfaen"/>
          <w:sz w:val="24"/>
          <w:szCs w:val="24"/>
        </w:rPr>
        <w:t>Սույն կանոնների «բ»-«ե» ենթակետերում նշված փուլերը ներառող փորձաքննությունն անցկացվում է գրանցման դոսյեում ներկայացված փաստաթղթերի ամբողջության, լրակազմության և ճշտության գնահատման կամ փորձագիտական կազմակերպության կողմից փորձաքննության անցկացման մասով համապատասխան առաջադրանքի ստացման օրվանից 105 աշխատանքային օրը չգերազանցող ժամկետում</w:t>
      </w:r>
      <w:r>
        <w:rPr>
          <w:rFonts w:ascii="Sylfaen" w:hAnsi="Sylfaen"/>
          <w:sz w:val="24"/>
          <w:szCs w:val="24"/>
        </w:rPr>
        <w:t>:</w:t>
      </w:r>
    </w:p>
    <w:p w14:paraId="2088218F" w14:textId="07DF6FB2" w:rsidR="001A5F1A" w:rsidRPr="006F28F9" w:rsidRDefault="001A5F1A" w:rsidP="001A5F1A">
      <w:pPr>
        <w:rPr>
          <w:b/>
          <w:bCs/>
          <w:i/>
          <w:iCs/>
        </w:rPr>
      </w:pPr>
      <w:r w:rsidRPr="00CD4709">
        <w:rPr>
          <w:b/>
          <w:bCs/>
          <w:i/>
          <w:iCs/>
        </w:rPr>
        <w:lastRenderedPageBreak/>
        <w:t>(</w:t>
      </w:r>
      <w:r>
        <w:rPr>
          <w:b/>
          <w:bCs/>
          <w:i/>
          <w:iCs/>
        </w:rPr>
        <w:t xml:space="preserve">52-րդ կետը </w:t>
      </w:r>
      <w:r w:rsidRPr="00CD4709">
        <w:rPr>
          <w:b/>
          <w:bCs/>
          <w:i/>
          <w:iCs/>
        </w:rPr>
        <w:t>փոփ. 30.01.20 թիվ 9</w:t>
      </w:r>
      <w:r w:rsidR="007F7B1C">
        <w:rPr>
          <w:b/>
          <w:bCs/>
          <w:i/>
          <w:iCs/>
        </w:rPr>
        <w:t>, լրաց. 17.03.22 թիվ 36</w:t>
      </w:r>
      <w:r w:rsidRPr="00CD4709">
        <w:rPr>
          <w:b/>
          <w:bCs/>
          <w:i/>
          <w:iCs/>
        </w:rPr>
        <w:t>)</w:t>
      </w:r>
    </w:p>
    <w:p w14:paraId="2E8FF3D7" w14:textId="07DB5328"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53.</w:t>
      </w:r>
      <w:r w:rsidRPr="00834D52">
        <w:rPr>
          <w:rFonts w:ascii="Sylfaen" w:hAnsi="Sylfaen"/>
          <w:sz w:val="24"/>
          <w:szCs w:val="24"/>
        </w:rPr>
        <w:tab/>
        <w:t>Սույն Կանոնների 52</w:t>
      </w:r>
      <w:r w:rsidRPr="008341C7">
        <w:rPr>
          <w:rFonts w:ascii="Sylfaen" w:hAnsi="Sylfaen"/>
          <w:sz w:val="24"/>
          <w:szCs w:val="24"/>
        </w:rPr>
        <w:t>-</w:t>
      </w:r>
      <w:r w:rsidRPr="00834D52">
        <w:rPr>
          <w:rFonts w:ascii="Sylfaen" w:hAnsi="Sylfaen"/>
          <w:sz w:val="24"/>
          <w:szCs w:val="24"/>
        </w:rPr>
        <w:t xml:space="preserve">րդ կետում նշված հարցմանը </w:t>
      </w:r>
      <w:r w:rsidR="0056496B">
        <w:rPr>
          <w:rFonts w:ascii="Sylfaen" w:hAnsi="Sylfaen"/>
          <w:sz w:val="24"/>
          <w:szCs w:val="24"/>
        </w:rPr>
        <w:t>դիմումատու</w:t>
      </w:r>
      <w:r w:rsidRPr="00834D52">
        <w:rPr>
          <w:rFonts w:ascii="Sylfaen" w:hAnsi="Sylfaen"/>
          <w:sz w:val="24"/>
          <w:szCs w:val="24"/>
        </w:rPr>
        <w:t xml:space="preserve">ն պետք է պատասխան ներկայացնի հարցումը ստանալու օրվանից 90 </w:t>
      </w:r>
      <w:r w:rsidR="007F7B1C">
        <w:rPr>
          <w:rFonts w:ascii="Arial Unicode" w:hAnsi="Arial Unicode"/>
          <w:sz w:val="21"/>
          <w:szCs w:val="21"/>
        </w:rPr>
        <w:t>աշխատանքային</w:t>
      </w:r>
      <w:r w:rsidRPr="00834D52">
        <w:rPr>
          <w:rFonts w:ascii="Sylfaen" w:hAnsi="Sylfaen"/>
          <w:sz w:val="24"/>
          <w:szCs w:val="24"/>
        </w:rPr>
        <w:t xml:space="preserve"> օրը չգերազանցող ժամկետում։</w:t>
      </w:r>
    </w:p>
    <w:p w14:paraId="2A341E62" w14:textId="643B4F66" w:rsidR="001A5F1A" w:rsidRPr="006F28F9" w:rsidRDefault="001A5F1A" w:rsidP="001A5F1A">
      <w:pPr>
        <w:rPr>
          <w:b/>
          <w:bCs/>
          <w:i/>
          <w:iCs/>
        </w:rPr>
      </w:pPr>
      <w:r w:rsidRPr="00CD4709">
        <w:rPr>
          <w:b/>
          <w:bCs/>
          <w:i/>
          <w:iCs/>
        </w:rPr>
        <w:t>(</w:t>
      </w:r>
      <w:r>
        <w:rPr>
          <w:b/>
          <w:bCs/>
          <w:i/>
          <w:iCs/>
        </w:rPr>
        <w:t xml:space="preserve">53-րդ կետը </w:t>
      </w:r>
      <w:r w:rsidRPr="00CD4709">
        <w:rPr>
          <w:b/>
          <w:bCs/>
          <w:i/>
          <w:iCs/>
        </w:rPr>
        <w:t>փոփ. 30.01.20 թիվ 9</w:t>
      </w:r>
      <w:r w:rsidR="007F7B1C">
        <w:rPr>
          <w:b/>
          <w:bCs/>
          <w:i/>
          <w:iCs/>
        </w:rPr>
        <w:t>, 17.03.22 թիվ 36</w:t>
      </w:r>
      <w:r w:rsidRPr="00CD4709">
        <w:rPr>
          <w:b/>
          <w:bCs/>
          <w:i/>
          <w:iCs/>
        </w:rPr>
        <w:t>)</w:t>
      </w:r>
    </w:p>
    <w:p w14:paraId="638A43F6" w14:textId="4C0FA73F"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54.</w:t>
      </w:r>
      <w:r w:rsidRPr="00834D52">
        <w:rPr>
          <w:rFonts w:ascii="Sylfaen" w:hAnsi="Sylfaen"/>
          <w:sz w:val="24"/>
          <w:szCs w:val="24"/>
        </w:rPr>
        <w:tab/>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ի համապատասխան հիմնավորման հիման վրա, սույն Կանոնների 53</w:t>
      </w:r>
      <w:r w:rsidRPr="008341C7">
        <w:rPr>
          <w:rFonts w:ascii="Sylfaen" w:hAnsi="Sylfaen"/>
          <w:sz w:val="24"/>
          <w:szCs w:val="24"/>
        </w:rPr>
        <w:t>-</w:t>
      </w:r>
      <w:r w:rsidRPr="00834D52">
        <w:rPr>
          <w:rFonts w:ascii="Sylfaen" w:hAnsi="Sylfaen"/>
          <w:sz w:val="24"/>
          <w:szCs w:val="24"/>
        </w:rPr>
        <w:t xml:space="preserve">րդ կետով սահմանված ժամկետը կարող է երկարացվել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կողմից։ Հարցումներին պատասխան ներկայացնելու ընդհանուր ժամկետը չպետք է գերազանցի 180 </w:t>
      </w:r>
      <w:r w:rsidR="007F7B1C">
        <w:rPr>
          <w:rFonts w:ascii="Arial Unicode" w:hAnsi="Arial Unicode"/>
          <w:sz w:val="21"/>
          <w:szCs w:val="21"/>
        </w:rPr>
        <w:t>աշխատանքային</w:t>
      </w:r>
      <w:r w:rsidR="007F7B1C">
        <w:rPr>
          <w:sz w:val="21"/>
          <w:szCs w:val="21"/>
        </w:rPr>
        <w:t xml:space="preserve"> </w:t>
      </w:r>
      <w:r w:rsidRPr="00834D52">
        <w:rPr>
          <w:rFonts w:ascii="Sylfaen" w:hAnsi="Sylfaen"/>
          <w:sz w:val="24"/>
          <w:szCs w:val="24"/>
        </w:rPr>
        <w:t>օրը:</w:t>
      </w:r>
    </w:p>
    <w:p w14:paraId="69E7D1EE" w14:textId="17BC62CB" w:rsidR="001A5F1A" w:rsidRPr="006F28F9" w:rsidRDefault="001A5F1A" w:rsidP="001A5F1A">
      <w:pPr>
        <w:rPr>
          <w:b/>
          <w:bCs/>
          <w:i/>
          <w:iCs/>
        </w:rPr>
      </w:pPr>
      <w:r w:rsidRPr="00CD4709">
        <w:rPr>
          <w:b/>
          <w:bCs/>
          <w:i/>
          <w:iCs/>
        </w:rPr>
        <w:t>(</w:t>
      </w:r>
      <w:r>
        <w:rPr>
          <w:b/>
          <w:bCs/>
          <w:i/>
          <w:iCs/>
        </w:rPr>
        <w:t xml:space="preserve">54-րդ կետը </w:t>
      </w:r>
      <w:r w:rsidRPr="00CD4709">
        <w:rPr>
          <w:b/>
          <w:bCs/>
          <w:i/>
          <w:iCs/>
        </w:rPr>
        <w:t>փոփ. 30.01.20 թիվ 9</w:t>
      </w:r>
      <w:r w:rsidR="007F7B1C">
        <w:rPr>
          <w:b/>
          <w:bCs/>
          <w:i/>
          <w:iCs/>
        </w:rPr>
        <w:t>, 17.03.22 թիվ 36</w:t>
      </w:r>
      <w:r w:rsidRPr="00CD4709">
        <w:rPr>
          <w:b/>
          <w:bCs/>
          <w:i/>
          <w:iCs/>
        </w:rPr>
        <w:t>)</w:t>
      </w:r>
    </w:p>
    <w:p w14:paraId="4A5E31CC" w14:textId="1CE66A2B"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55.</w:t>
      </w:r>
      <w:r w:rsidRPr="00834D52">
        <w:rPr>
          <w:rFonts w:ascii="Sylfaen" w:hAnsi="Sylfaen"/>
          <w:sz w:val="24"/>
          <w:szCs w:val="24"/>
        </w:rPr>
        <w:tab/>
        <w:t xml:space="preserve">Դեղապատրաստուկի փորձաքննության ընթացքում լիազորված մարմնի կամ փորձագիտական կազմակերպության հարցման հիման վրա </w:t>
      </w:r>
      <w:r w:rsidR="0056496B">
        <w:rPr>
          <w:rFonts w:ascii="Sylfaen" w:hAnsi="Sylfaen"/>
          <w:sz w:val="24"/>
          <w:szCs w:val="24"/>
        </w:rPr>
        <w:t>դիմումատու</w:t>
      </w:r>
      <w:r w:rsidRPr="00834D52">
        <w:rPr>
          <w:rFonts w:ascii="Sylfaen" w:hAnsi="Sylfaen"/>
          <w:sz w:val="24"/>
          <w:szCs w:val="24"/>
        </w:rPr>
        <w:t xml:space="preserve">ի կողմից փաստաթղթեր ներկայացնելու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ժամկետի մեջ։</w:t>
      </w:r>
    </w:p>
    <w:p w14:paraId="4E83AEB8" w14:textId="110AD1F9" w:rsidR="001A5F1A" w:rsidRPr="006F28F9" w:rsidRDefault="001A5F1A" w:rsidP="001A5F1A">
      <w:pPr>
        <w:rPr>
          <w:b/>
          <w:bCs/>
          <w:i/>
          <w:iCs/>
        </w:rPr>
      </w:pPr>
      <w:r w:rsidRPr="00CD4709">
        <w:rPr>
          <w:b/>
          <w:bCs/>
          <w:i/>
          <w:iCs/>
        </w:rPr>
        <w:t>(</w:t>
      </w:r>
      <w:r>
        <w:rPr>
          <w:b/>
          <w:bCs/>
          <w:i/>
          <w:iCs/>
        </w:rPr>
        <w:t xml:space="preserve">55-րդ կետը </w:t>
      </w:r>
      <w:r w:rsidRPr="00CD4709">
        <w:rPr>
          <w:b/>
          <w:bCs/>
          <w:i/>
          <w:iCs/>
        </w:rPr>
        <w:t>փոփ. 30.01.20 թիվ 9)</w:t>
      </w:r>
    </w:p>
    <w:p w14:paraId="1AA93B80" w14:textId="6725F72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56.</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կողմից սահմանված ժամկետում պահանջվող փաստաթղթերն ու տեղեկությունները չներկայացնելու դեպքում դեղապատրաստուկի փորձաքննությունն ու գրանցումը դադարեցվում է։ Կայացված որոշման մասին լիազորված մարմինը (փորձագիտական կազմակերպությունը) ծանուցում է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այդ որոշումը կայացնելու օրվանից 14 աշխատանքային օրվա ընթացքում։</w:t>
      </w:r>
    </w:p>
    <w:p w14:paraId="03A48075" w14:textId="0BD02D31" w:rsidR="001A5F1A" w:rsidRPr="001A5F1A" w:rsidRDefault="001A5F1A" w:rsidP="001A5F1A">
      <w:pPr>
        <w:rPr>
          <w:b/>
          <w:bCs/>
          <w:i/>
          <w:iCs/>
        </w:rPr>
      </w:pPr>
      <w:r w:rsidRPr="00CD4709">
        <w:rPr>
          <w:b/>
          <w:bCs/>
          <w:i/>
          <w:iCs/>
        </w:rPr>
        <w:t>(</w:t>
      </w:r>
      <w:r>
        <w:rPr>
          <w:b/>
          <w:bCs/>
          <w:i/>
          <w:iCs/>
        </w:rPr>
        <w:t xml:space="preserve">56-րդ կետը </w:t>
      </w:r>
      <w:r w:rsidRPr="00CD4709">
        <w:rPr>
          <w:b/>
          <w:bCs/>
          <w:i/>
          <w:iCs/>
        </w:rPr>
        <w:t>փոփ. 30.01.20 թիվ 9)</w:t>
      </w:r>
    </w:p>
    <w:p w14:paraId="368767C3" w14:textId="77777777" w:rsidR="001A5F1A" w:rsidRPr="00834D52" w:rsidRDefault="001A5F1A" w:rsidP="006F76EB">
      <w:pPr>
        <w:tabs>
          <w:tab w:val="left" w:pos="1134"/>
        </w:tabs>
        <w:spacing w:after="160" w:line="360" w:lineRule="auto"/>
        <w:ind w:right="-8" w:firstLine="567"/>
        <w:jc w:val="both"/>
        <w:rPr>
          <w:rFonts w:ascii="Sylfaen" w:eastAsia="Times New Roman" w:hAnsi="Sylfaen" w:cs="Times New Roman"/>
          <w:sz w:val="24"/>
          <w:szCs w:val="24"/>
        </w:rPr>
      </w:pPr>
    </w:p>
    <w:p w14:paraId="695C4F8D" w14:textId="451D4FB3"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57.</w:t>
      </w:r>
      <w:r w:rsidRPr="00834D52">
        <w:rPr>
          <w:rFonts w:ascii="Sylfaen" w:hAnsi="Sylfaen"/>
          <w:sz w:val="24"/>
          <w:szCs w:val="24"/>
        </w:rPr>
        <w:tab/>
      </w:r>
      <w:r w:rsidR="007F7B1C" w:rsidRPr="007F7B1C">
        <w:rPr>
          <w:rFonts w:ascii="Sylfaen" w:hAnsi="Sylfaen"/>
          <w:sz w:val="24"/>
          <w:szCs w:val="24"/>
        </w:rPr>
        <w:t xml:space="preserve">Ռեֆերենտ պետության լիազորված մարմնի (փորձագիտական կազմակերպության) հարցումը պետք է փոխանցվի հայտատուին էլեկտրոնային </w:t>
      </w:r>
      <w:r w:rsidR="007F7B1C" w:rsidRPr="007F7B1C">
        <w:rPr>
          <w:rFonts w:ascii="Sylfaen" w:hAnsi="Sylfaen"/>
          <w:sz w:val="24"/>
          <w:szCs w:val="24"/>
        </w:rPr>
        <w:lastRenderedPageBreak/>
        <w:t>ձևով՝ կապի հեռահաղորդակցական ուղիներով, և համարվում է ստացված այն ուղարկելու օրվանից 1 աշխատանքային օրը լրանալուն պես:</w:t>
      </w:r>
      <w:r w:rsidRPr="00834D52">
        <w:rPr>
          <w:rFonts w:ascii="Sylfaen" w:hAnsi="Sylfaen"/>
          <w:sz w:val="24"/>
          <w:szCs w:val="24"/>
        </w:rPr>
        <w:t>։</w:t>
      </w:r>
    </w:p>
    <w:p w14:paraId="13BC4E3A" w14:textId="48326613" w:rsidR="001A5F1A" w:rsidRPr="006F28F9" w:rsidRDefault="001A5F1A" w:rsidP="001A5F1A">
      <w:pPr>
        <w:rPr>
          <w:b/>
          <w:bCs/>
          <w:i/>
          <w:iCs/>
        </w:rPr>
      </w:pPr>
      <w:r w:rsidRPr="00CD4709">
        <w:rPr>
          <w:b/>
          <w:bCs/>
          <w:i/>
          <w:iCs/>
        </w:rPr>
        <w:t>(</w:t>
      </w:r>
      <w:r>
        <w:rPr>
          <w:b/>
          <w:bCs/>
          <w:i/>
          <w:iCs/>
        </w:rPr>
        <w:t xml:space="preserve">57-րդ կետը </w:t>
      </w:r>
      <w:r w:rsidRPr="00CD4709">
        <w:rPr>
          <w:b/>
          <w:bCs/>
          <w:i/>
          <w:iCs/>
        </w:rPr>
        <w:t>փոփ. 30.01.20 թիվ 9</w:t>
      </w:r>
      <w:r w:rsidR="007F7B1C">
        <w:rPr>
          <w:b/>
          <w:bCs/>
          <w:i/>
          <w:iCs/>
        </w:rPr>
        <w:t>, խմբ. 17.03.22 թիվ 36</w:t>
      </w:r>
      <w:r w:rsidRPr="00CD4709">
        <w:rPr>
          <w:b/>
          <w:bCs/>
          <w:i/>
          <w:iCs/>
        </w:rPr>
        <w:t>)</w:t>
      </w:r>
    </w:p>
    <w:p w14:paraId="04EDA5E4" w14:textId="29AC6D9D" w:rsidR="007F7B1C" w:rsidRPr="007F7B1C" w:rsidRDefault="006F76EB" w:rsidP="007F7B1C">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58.</w:t>
      </w:r>
      <w:r w:rsidRPr="00834D52">
        <w:rPr>
          <w:rFonts w:ascii="Sylfaen" w:hAnsi="Sylfaen"/>
          <w:sz w:val="24"/>
          <w:szCs w:val="24"/>
        </w:rPr>
        <w:tab/>
      </w:r>
      <w:r w:rsidR="007F7B1C" w:rsidRPr="007F7B1C">
        <w:rPr>
          <w:rFonts w:ascii="Sylfaen" w:hAnsi="Sylfaen"/>
          <w:sz w:val="24"/>
          <w:szCs w:val="24"/>
        </w:rPr>
        <w:t xml:space="preserve">Միության պատշաճ դեղագործական գործելակերպին համապատասխանության մասով արտապլանային դեղագործական տեսչական ստուգման նախաձեռնման մասին որոշումը կարող է ընդունվել ռեֆերենտ պետության լիազորված մարմնի (փորձագիտական կազմակերպության) կողմից ոչ ուշ, քան գրանցման հայտը ներկայացնելու օրվանից 70 աշխատանքային օր հետո: </w:t>
      </w:r>
    </w:p>
    <w:p w14:paraId="5CA8B2F0" w14:textId="56F5F7A0" w:rsidR="007F7B1C" w:rsidRPr="007F7B1C" w:rsidRDefault="007F7B1C" w:rsidP="007F7B1C">
      <w:pPr>
        <w:tabs>
          <w:tab w:val="left" w:pos="1134"/>
        </w:tabs>
        <w:spacing w:after="160" w:line="360" w:lineRule="auto"/>
        <w:ind w:right="-8" w:firstLine="567"/>
        <w:jc w:val="both"/>
        <w:rPr>
          <w:rFonts w:ascii="Sylfaen" w:hAnsi="Sylfaen"/>
          <w:sz w:val="24"/>
          <w:szCs w:val="24"/>
        </w:rPr>
      </w:pPr>
      <w:r w:rsidRPr="007F7B1C">
        <w:rPr>
          <w:rFonts w:ascii="Sylfaen" w:hAnsi="Sylfaen"/>
          <w:sz w:val="24"/>
          <w:szCs w:val="24"/>
        </w:rPr>
        <w:t xml:space="preserve">Արտապլանային դեղագործական տեսչական ստուգման նախաձեռնման մասին որոշման ընդունման դեպքում ռեֆերենտ պետության լիազորված մարմինը (փորձագիտական կազմակերպությունը) հայտատուին է ուղարկում տեսչական ստուգում կազմակերպելու անհրաժեշտության մասին հարցումը (նախաձեռնման պատճառների նշմամբ և Միության մարմինների ակտերին հղումներով): Նշված հայտին պատասխանը ներկայացվում է սույն կանոնների 53-րդ և 54-րդ կետերում նշված ժամկետում: </w:t>
      </w:r>
    </w:p>
    <w:p w14:paraId="563A3B5E" w14:textId="35299BED" w:rsidR="007F7B1C" w:rsidRPr="007F7B1C" w:rsidRDefault="007F7B1C" w:rsidP="007F7B1C">
      <w:pPr>
        <w:tabs>
          <w:tab w:val="left" w:pos="1134"/>
        </w:tabs>
        <w:spacing w:after="160" w:line="360" w:lineRule="auto"/>
        <w:ind w:right="-8" w:firstLine="567"/>
        <w:jc w:val="both"/>
        <w:rPr>
          <w:rFonts w:ascii="Sylfaen" w:hAnsi="Sylfaen"/>
          <w:sz w:val="24"/>
          <w:szCs w:val="24"/>
        </w:rPr>
      </w:pPr>
      <w:r w:rsidRPr="007F7B1C">
        <w:rPr>
          <w:rFonts w:ascii="Sylfaen" w:hAnsi="Sylfaen"/>
          <w:sz w:val="24"/>
          <w:szCs w:val="24"/>
        </w:rPr>
        <w:t>Արտապլանային դեղագործական տեսչական ստուգումը, տեսչական ստուգում անցկացնելու մասին հաշվետվություն ուղարկելով, պետք է անցկացվի դեղապատրաստուկի գրանցման ժամկետը չգերազանցող ժամկետում (համապատասխան լիազորված մարմնի կամ փորձագիտական կազմակերպության կողմից տեսչական ստուգման անցկացումը նախաձեռնելու մասին որոշում ընդունելու օրվանից 180 աշխատանքային օրվա ընթացքում):</w:t>
      </w:r>
    </w:p>
    <w:p w14:paraId="2AAE56B8" w14:textId="184FB508" w:rsidR="007F7B1C" w:rsidRPr="007F7B1C" w:rsidRDefault="007F7B1C" w:rsidP="007F7B1C">
      <w:pPr>
        <w:tabs>
          <w:tab w:val="left" w:pos="1134"/>
        </w:tabs>
        <w:spacing w:after="160" w:line="360" w:lineRule="auto"/>
        <w:ind w:right="-8" w:firstLine="567"/>
        <w:jc w:val="both"/>
        <w:rPr>
          <w:rFonts w:ascii="Sylfaen" w:hAnsi="Sylfaen"/>
          <w:sz w:val="24"/>
          <w:szCs w:val="24"/>
        </w:rPr>
      </w:pPr>
      <w:r w:rsidRPr="007F7B1C">
        <w:rPr>
          <w:rFonts w:ascii="Sylfaen" w:hAnsi="Sylfaen"/>
          <w:sz w:val="24"/>
          <w:szCs w:val="24"/>
        </w:rPr>
        <w:t xml:space="preserve">Արտապլանային դեղագործական տեսչական ստուգումը կազմակերպվում է հայտատուի կողմից դեղագործական տեսչական ստուգումների կանոններին համապատասխան: </w:t>
      </w:r>
    </w:p>
    <w:p w14:paraId="5464D73D" w14:textId="7D41A955" w:rsidR="006F76EB" w:rsidRDefault="007F7B1C" w:rsidP="007F7B1C">
      <w:pPr>
        <w:tabs>
          <w:tab w:val="left" w:pos="1134"/>
        </w:tabs>
        <w:spacing w:after="160" w:line="360" w:lineRule="auto"/>
        <w:ind w:right="-8" w:firstLine="567"/>
        <w:jc w:val="both"/>
        <w:rPr>
          <w:rFonts w:ascii="Sylfaen" w:hAnsi="Sylfaen"/>
          <w:sz w:val="24"/>
          <w:szCs w:val="24"/>
        </w:rPr>
      </w:pPr>
      <w:r w:rsidRPr="007F7B1C">
        <w:rPr>
          <w:rFonts w:ascii="Sylfaen" w:hAnsi="Sylfaen"/>
          <w:sz w:val="24"/>
          <w:szCs w:val="24"/>
        </w:rPr>
        <w:t>Սույն կանոնների 31-րդ կետին համապատասխան՝ տեսչական ստուգումների անցկացման պլանում դեղագործական տեսչական ստուգումը ներառելու դեպքում հաշվետվության պատրաստումն ավարտվում է առանց տեսչական ստուգման արդյունքները հաշվի առնելու</w:t>
      </w:r>
      <w:r w:rsidR="006F76EB" w:rsidRPr="00834D52">
        <w:rPr>
          <w:rFonts w:ascii="Sylfaen" w:hAnsi="Sylfaen"/>
          <w:sz w:val="24"/>
          <w:szCs w:val="24"/>
        </w:rPr>
        <w:t>։</w:t>
      </w:r>
    </w:p>
    <w:p w14:paraId="66CA494A" w14:textId="2F3EF5F2" w:rsidR="001A5F1A" w:rsidRPr="006F28F9" w:rsidRDefault="001A5F1A" w:rsidP="001A5F1A">
      <w:pPr>
        <w:rPr>
          <w:b/>
          <w:bCs/>
          <w:i/>
          <w:iCs/>
        </w:rPr>
      </w:pPr>
      <w:r w:rsidRPr="00CD4709">
        <w:rPr>
          <w:b/>
          <w:bCs/>
          <w:i/>
          <w:iCs/>
        </w:rPr>
        <w:lastRenderedPageBreak/>
        <w:t>(</w:t>
      </w:r>
      <w:r>
        <w:rPr>
          <w:b/>
          <w:bCs/>
          <w:i/>
          <w:iCs/>
        </w:rPr>
        <w:t xml:space="preserve">58-րդ կետը </w:t>
      </w:r>
      <w:r w:rsidRPr="00CD4709">
        <w:rPr>
          <w:b/>
          <w:bCs/>
          <w:i/>
          <w:iCs/>
        </w:rPr>
        <w:t>փոփ. 30.01.20 թիվ 9</w:t>
      </w:r>
      <w:r w:rsidR="00624D8E">
        <w:rPr>
          <w:b/>
          <w:bCs/>
          <w:i/>
          <w:iCs/>
        </w:rPr>
        <w:t>, խմբ. 17.03.22 թիվ 36</w:t>
      </w:r>
      <w:r w:rsidRPr="00CD4709">
        <w:rPr>
          <w:b/>
          <w:bCs/>
          <w:i/>
          <w:iCs/>
        </w:rPr>
        <w:t>)</w:t>
      </w:r>
    </w:p>
    <w:p w14:paraId="492D3801" w14:textId="77777777" w:rsidR="001A5F1A" w:rsidRPr="00834D52" w:rsidRDefault="001A5F1A" w:rsidP="00407DE9">
      <w:pPr>
        <w:tabs>
          <w:tab w:val="left" w:pos="1134"/>
        </w:tabs>
        <w:spacing w:after="160" w:line="384" w:lineRule="auto"/>
        <w:ind w:right="-6" w:firstLine="567"/>
        <w:jc w:val="both"/>
        <w:rPr>
          <w:rFonts w:ascii="Sylfaen" w:eastAsia="Times New Roman" w:hAnsi="Sylfaen" w:cs="Times New Roman"/>
          <w:sz w:val="24"/>
          <w:szCs w:val="24"/>
        </w:rPr>
      </w:pPr>
    </w:p>
    <w:p w14:paraId="3BA22CA2" w14:textId="564C8F83" w:rsidR="006F76EB" w:rsidRDefault="006F76EB" w:rsidP="00407DE9">
      <w:pPr>
        <w:tabs>
          <w:tab w:val="left" w:pos="1134"/>
        </w:tabs>
        <w:spacing w:after="160" w:line="384" w:lineRule="auto"/>
        <w:ind w:right="-6" w:firstLine="567"/>
        <w:jc w:val="both"/>
        <w:rPr>
          <w:rFonts w:ascii="Sylfaen" w:hAnsi="Sylfaen"/>
          <w:spacing w:val="6"/>
          <w:sz w:val="24"/>
          <w:szCs w:val="24"/>
        </w:rPr>
      </w:pPr>
      <w:r w:rsidRPr="00834D52">
        <w:rPr>
          <w:rFonts w:ascii="Sylfaen" w:hAnsi="Sylfaen"/>
          <w:spacing w:val="-4"/>
          <w:sz w:val="24"/>
          <w:szCs w:val="24"/>
        </w:rPr>
        <w:t>59.</w:t>
      </w:r>
      <w:r w:rsidRPr="00834D52">
        <w:rPr>
          <w:rFonts w:ascii="Sylfaen" w:hAnsi="Sylfaen"/>
          <w:spacing w:val="-4"/>
          <w:sz w:val="24"/>
          <w:szCs w:val="24"/>
        </w:rPr>
        <w:tab/>
      </w:r>
      <w:r w:rsidRPr="00474452">
        <w:rPr>
          <w:rFonts w:ascii="Sylfaen" w:hAnsi="Sylfaen"/>
          <w:spacing w:val="6"/>
          <w:sz w:val="24"/>
          <w:szCs w:val="24"/>
        </w:rPr>
        <w:t xml:space="preserve">Գնահատման վերաբերյալ փորձագիտական հաշվետվություն պատրաստելու համար </w:t>
      </w:r>
      <w:r w:rsidR="009F49FE" w:rsidRPr="00474452">
        <w:rPr>
          <w:rFonts w:ascii="Sylfaen" w:hAnsi="Sylfaen"/>
          <w:spacing w:val="6"/>
          <w:sz w:val="24"/>
          <w:szCs w:val="24"/>
        </w:rPr>
        <w:t xml:space="preserve">ռեֆերենտ </w:t>
      </w:r>
      <w:r w:rsidRPr="00474452">
        <w:rPr>
          <w:rFonts w:ascii="Sylfaen" w:hAnsi="Sylfaen"/>
          <w:spacing w:val="6"/>
          <w:sz w:val="24"/>
          <w:szCs w:val="24"/>
        </w:rPr>
        <w:t xml:space="preserve">պետության փորձագիտական կազմակերպությունը կազմում է որակի ասպեկտների, դեղապատրաստուկում պարունակվող նոր ազդող նյութի գնահատման, ազդող նյութի գրանցման դոսյեի գնահատման, նախակլինիկական, կլինիկական ասպեկտների վերաբերյալ փորձագիտական հաշվետվություններ, լաբորատոր փորձարկումների արձանագրություն (եթե փորձագիտական կազմակերպության կողմից անցկացվել են համապատասխան փորձարկումներ)՝ սույն Կանոնների թիվ 6-10, 12 </w:t>
      </w:r>
      <w:r w:rsidR="00C54D75">
        <w:rPr>
          <w:rFonts w:ascii="Sylfaen" w:hAnsi="Sylfaen"/>
          <w:spacing w:val="6"/>
          <w:sz w:val="24"/>
          <w:szCs w:val="24"/>
        </w:rPr>
        <w:t>և</w:t>
      </w:r>
      <w:r w:rsidRPr="00474452">
        <w:rPr>
          <w:rFonts w:ascii="Sylfaen" w:hAnsi="Sylfaen"/>
          <w:spacing w:val="6"/>
          <w:sz w:val="24"/>
          <w:szCs w:val="24"/>
        </w:rPr>
        <w:t xml:space="preserve"> 22 հավելվածների համաձայն սահմանված ձ</w:t>
      </w:r>
      <w:r w:rsidR="00C54D75">
        <w:rPr>
          <w:rFonts w:ascii="Sylfaen" w:hAnsi="Sylfaen"/>
          <w:spacing w:val="6"/>
          <w:sz w:val="24"/>
          <w:szCs w:val="24"/>
        </w:rPr>
        <w:t>և</w:t>
      </w:r>
      <w:r w:rsidRPr="00474452">
        <w:rPr>
          <w:rFonts w:ascii="Sylfaen" w:hAnsi="Sylfaen"/>
          <w:spacing w:val="6"/>
          <w:sz w:val="24"/>
          <w:szCs w:val="24"/>
        </w:rPr>
        <w:t>երով։</w:t>
      </w:r>
    </w:p>
    <w:p w14:paraId="522A85A8" w14:textId="15856FB6" w:rsidR="0089319F" w:rsidRDefault="0089319F" w:rsidP="00407DE9">
      <w:pPr>
        <w:tabs>
          <w:tab w:val="left" w:pos="1134"/>
        </w:tabs>
        <w:spacing w:after="160" w:line="384" w:lineRule="auto"/>
        <w:ind w:right="-6" w:firstLine="567"/>
        <w:jc w:val="both"/>
        <w:rPr>
          <w:rFonts w:ascii="Sylfaen" w:eastAsia="Times New Roman" w:hAnsi="Sylfaen" w:cs="Times New Roman"/>
          <w:spacing w:val="6"/>
          <w:sz w:val="24"/>
          <w:szCs w:val="24"/>
        </w:rPr>
      </w:pPr>
      <w:r w:rsidRPr="0089319F">
        <w:rPr>
          <w:rFonts w:ascii="Sylfaen" w:eastAsia="Times New Roman" w:hAnsi="Sylfaen" w:cs="Times New Roman"/>
          <w:spacing w:val="6"/>
          <w:sz w:val="24"/>
          <w:szCs w:val="24"/>
        </w:rPr>
        <w:t>Վերարտադրված կամ հիբրիդային դեղապատրաստուկի գրանցման դոսյեի փորձաքննության արդյունքներով ռեֆերենտ պետության փորձագիտական կազմակերպությունը կազմում է փորձագիտական հաշվետվություններ՝ սույն կանոնների թիվ 8, 10, 12, և 22 հավելվածների համաձայն սահմանված ձևերով</w:t>
      </w:r>
      <w:r>
        <w:rPr>
          <w:rFonts w:ascii="Sylfaen" w:eastAsia="Times New Roman" w:hAnsi="Sylfaen" w:cs="Times New Roman"/>
          <w:spacing w:val="6"/>
          <w:sz w:val="24"/>
          <w:szCs w:val="24"/>
        </w:rPr>
        <w:t>:</w:t>
      </w:r>
    </w:p>
    <w:p w14:paraId="3B1B5091" w14:textId="20761899" w:rsidR="0089319F" w:rsidRPr="0089319F" w:rsidRDefault="0089319F" w:rsidP="0089319F">
      <w:pPr>
        <w:rPr>
          <w:b/>
          <w:bCs/>
          <w:i/>
          <w:iCs/>
        </w:rPr>
      </w:pPr>
      <w:r w:rsidRPr="00CD4709">
        <w:rPr>
          <w:b/>
          <w:bCs/>
          <w:i/>
          <w:iCs/>
        </w:rPr>
        <w:t>(</w:t>
      </w:r>
      <w:r>
        <w:rPr>
          <w:b/>
          <w:bCs/>
          <w:i/>
          <w:iCs/>
        </w:rPr>
        <w:t>59-րդ կետը լրաց</w:t>
      </w:r>
      <w:r w:rsidRPr="00CD4709">
        <w:rPr>
          <w:b/>
          <w:bCs/>
          <w:i/>
          <w:iCs/>
        </w:rPr>
        <w:t xml:space="preserve">. </w:t>
      </w:r>
      <w:r>
        <w:rPr>
          <w:b/>
          <w:bCs/>
          <w:i/>
          <w:iCs/>
        </w:rPr>
        <w:t xml:space="preserve">05.03.21 </w:t>
      </w:r>
      <w:r w:rsidRPr="00CD4709">
        <w:rPr>
          <w:b/>
          <w:bCs/>
          <w:i/>
          <w:iCs/>
        </w:rPr>
        <w:t xml:space="preserve"> թիվ </w:t>
      </w:r>
      <w:r>
        <w:rPr>
          <w:b/>
          <w:bCs/>
          <w:i/>
          <w:iCs/>
        </w:rPr>
        <w:t>14</w:t>
      </w:r>
      <w:r w:rsidRPr="00CD4709">
        <w:rPr>
          <w:b/>
          <w:bCs/>
          <w:i/>
          <w:iCs/>
        </w:rPr>
        <w:t>)</w:t>
      </w:r>
    </w:p>
    <w:p w14:paraId="579704CA" w14:textId="7BA0FDDA"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60.</w:t>
      </w:r>
      <w:r w:rsidRPr="00834D52">
        <w:rPr>
          <w:rFonts w:ascii="Sylfaen" w:hAnsi="Sylfaen"/>
          <w:sz w:val="24"/>
          <w:szCs w:val="24"/>
        </w:rPr>
        <w:tab/>
        <w:t xml:space="preserve">Դեղապատրաստուկի փորձաքննության արդյունքներով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կազմակերպությունը կազմում է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գնահատման՝ ներառյալ փորձագիտական կազմակերպության կամ լիազորված մարմնի հարցմանն ի պատասխան </w:t>
      </w:r>
      <w:r w:rsidR="0056496B">
        <w:rPr>
          <w:rFonts w:ascii="Sylfaen" w:hAnsi="Sylfaen"/>
          <w:sz w:val="24"/>
          <w:szCs w:val="24"/>
        </w:rPr>
        <w:t>դիմումատու</w:t>
      </w:r>
      <w:r w:rsidRPr="00834D52">
        <w:rPr>
          <w:rFonts w:ascii="Sylfaen" w:hAnsi="Sylfaen"/>
          <w:sz w:val="24"/>
          <w:szCs w:val="24"/>
        </w:rPr>
        <w:t xml:space="preserve">ից ստացված պարզաբանումների,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գնահատման վերաբերյալ եզրափակիչ փորձագիտական հաշվետվություն՝ սույն Կանոնների թիվ 16 հավելվածի համաձայն սահմանված ձ</w:t>
      </w:r>
      <w:r w:rsidR="00C54D75">
        <w:rPr>
          <w:rFonts w:ascii="Sylfaen" w:hAnsi="Sylfaen"/>
          <w:sz w:val="24"/>
          <w:szCs w:val="24"/>
        </w:rPr>
        <w:t>և</w:t>
      </w:r>
      <w:r w:rsidRPr="00834D52">
        <w:rPr>
          <w:rFonts w:ascii="Sylfaen" w:hAnsi="Sylfaen"/>
          <w:sz w:val="24"/>
          <w:szCs w:val="24"/>
        </w:rPr>
        <w:t>ով։</w:t>
      </w:r>
    </w:p>
    <w:p w14:paraId="6A377D3E" w14:textId="6D946116" w:rsidR="00FE4A71" w:rsidRPr="006F28F9" w:rsidRDefault="00FE4A71" w:rsidP="00FE4A71">
      <w:pPr>
        <w:rPr>
          <w:b/>
          <w:bCs/>
          <w:i/>
          <w:iCs/>
        </w:rPr>
      </w:pPr>
      <w:r w:rsidRPr="00CD4709">
        <w:rPr>
          <w:b/>
          <w:bCs/>
          <w:i/>
          <w:iCs/>
        </w:rPr>
        <w:t>(</w:t>
      </w:r>
      <w:r>
        <w:rPr>
          <w:b/>
          <w:bCs/>
          <w:i/>
          <w:iCs/>
        </w:rPr>
        <w:t xml:space="preserve">60-րդ կետը </w:t>
      </w:r>
      <w:r w:rsidRPr="00CD4709">
        <w:rPr>
          <w:b/>
          <w:bCs/>
          <w:i/>
          <w:iCs/>
        </w:rPr>
        <w:t>փոփ. 30.01.20 թիվ 9)</w:t>
      </w:r>
    </w:p>
    <w:p w14:paraId="579F8D3A"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61.</w:t>
      </w:r>
      <w:r w:rsidRPr="00834D52">
        <w:rPr>
          <w:rFonts w:ascii="Sylfaen" w:hAnsi="Sylfaen"/>
          <w:sz w:val="24"/>
          <w:szCs w:val="24"/>
        </w:rPr>
        <w:tab/>
        <w:t xml:space="preserve">Որակի ասպեկտներով, նախակլինիկական, կլինիկական ասպեկտներով փորձագիտական հաշվետվությունները, գնահատման վերաբերյալ եզրափակիչ </w:t>
      </w:r>
      <w:r w:rsidRPr="00834D52">
        <w:rPr>
          <w:rFonts w:ascii="Sylfaen" w:hAnsi="Sylfaen"/>
          <w:sz w:val="24"/>
          <w:szCs w:val="24"/>
        </w:rPr>
        <w:lastRenderedPageBreak/>
        <w:t>փորձագիտական հաշվետվությունը կազմվում են սույն Կանոնների 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 հավելվածներին համապատասխան։</w:t>
      </w:r>
    </w:p>
    <w:p w14:paraId="1EF9CDBA" w14:textId="32699C39"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62.</w:t>
      </w:r>
      <w:r w:rsidRPr="00834D52">
        <w:rPr>
          <w:rFonts w:ascii="Sylfaen" w:hAnsi="Sylfaen"/>
          <w:sz w:val="24"/>
          <w:szCs w:val="24"/>
        </w:rPr>
        <w:tab/>
        <w:t>Դեղապատրաստուկի որակի, անվտանգության կամ արդյունավետության գնահատման համար կար</w:t>
      </w:r>
      <w:r w:rsidR="00C54D75">
        <w:rPr>
          <w:rFonts w:ascii="Sylfaen" w:hAnsi="Sylfaen"/>
          <w:sz w:val="24"/>
          <w:szCs w:val="24"/>
        </w:rPr>
        <w:t>և</w:t>
      </w:r>
      <w:r w:rsidRPr="00834D52">
        <w:rPr>
          <w:rFonts w:ascii="Sylfaen" w:hAnsi="Sylfaen"/>
          <w:sz w:val="24"/>
          <w:szCs w:val="24"/>
        </w:rPr>
        <w:t xml:space="preserve">որ </w:t>
      </w:r>
      <w:r w:rsidR="00C54D75">
        <w:rPr>
          <w:rFonts w:ascii="Sylfaen" w:hAnsi="Sylfaen"/>
          <w:sz w:val="24"/>
          <w:szCs w:val="24"/>
        </w:rPr>
        <w:t>և</w:t>
      </w:r>
      <w:r w:rsidRPr="00834D52">
        <w:rPr>
          <w:rFonts w:ascii="Sylfaen" w:hAnsi="Sylfaen"/>
          <w:sz w:val="24"/>
          <w:szCs w:val="24"/>
        </w:rPr>
        <w:t xml:space="preserve"> դեղապատրաստուկի օգուտ</w:t>
      </w:r>
      <w:r w:rsidRPr="008341C7">
        <w:rPr>
          <w:rFonts w:ascii="Sylfaen" w:hAnsi="Sylfaen"/>
          <w:sz w:val="24"/>
          <w:szCs w:val="24"/>
        </w:rPr>
        <w:t>-</w:t>
      </w:r>
      <w:r w:rsidRPr="00834D52">
        <w:rPr>
          <w:rFonts w:ascii="Sylfaen" w:hAnsi="Sylfaen"/>
          <w:sz w:val="24"/>
          <w:szCs w:val="24"/>
        </w:rPr>
        <w:t>ռիսկ հարաբերակցության վրա ազդելու ունակ նոր տեղեկատվություն ի</w:t>
      </w:r>
      <w:r w:rsidR="005F705E" w:rsidRPr="005F705E">
        <w:rPr>
          <w:rFonts w:ascii="Sylfaen" w:hAnsi="Sylfaen"/>
          <w:sz w:val="24"/>
          <w:szCs w:val="24"/>
        </w:rPr>
        <w:t> </w:t>
      </w:r>
      <w:r w:rsidR="00FE4A71">
        <w:rPr>
          <w:rFonts w:ascii="Sylfaen" w:hAnsi="Sylfaen"/>
          <w:sz w:val="24"/>
          <w:szCs w:val="24"/>
        </w:rPr>
        <w:t>հայտ</w:t>
      </w:r>
      <w:r w:rsidRPr="00834D52">
        <w:rPr>
          <w:rFonts w:ascii="Sylfaen" w:hAnsi="Sylfaen"/>
          <w:sz w:val="24"/>
          <w:szCs w:val="24"/>
        </w:rPr>
        <w:t xml:space="preserve"> գալու դեպքում գնահատման վերաբերյալ փորձագիտական հաշվետվությունը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կողմից պետք է թարմացվի գրանցման դոսյեում փոփոխություններ կատարելու ընթացակարգի շրջանակներում։</w:t>
      </w:r>
    </w:p>
    <w:p w14:paraId="7056225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63.</w:t>
      </w:r>
      <w:r w:rsidRPr="00834D52">
        <w:rPr>
          <w:rFonts w:ascii="Sylfaen" w:hAnsi="Sylfaen"/>
          <w:sz w:val="24"/>
          <w:szCs w:val="24"/>
        </w:rPr>
        <w:tab/>
        <w:t xml:space="preserve">Եթե դեղապատրաստուկի փորձաքննության անցկացման արդյունքներով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կայացնում է դեղապատաստուկի գրանցման վերաբերյալ դրական որոշում, ապա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մարմինը 10 աշխատանքային օրը չգերազանցող ժամկետում՝</w:t>
      </w:r>
    </w:p>
    <w:p w14:paraId="3371937E" w14:textId="3CCAEBEB"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ին տրամադրում է դեղապատրաստուկի գրանցման հավաստագիր՝ սույն Կանոնների թիվ 17 հավելվածի համաձայն սահմանված ձ</w:t>
      </w:r>
      <w:r w:rsidR="00C54D75">
        <w:rPr>
          <w:rFonts w:ascii="Sylfaen" w:hAnsi="Sylfaen"/>
          <w:sz w:val="24"/>
          <w:szCs w:val="24"/>
        </w:rPr>
        <w:t>և</w:t>
      </w:r>
      <w:r w:rsidRPr="00834D52">
        <w:rPr>
          <w:rFonts w:ascii="Sylfaen" w:hAnsi="Sylfaen"/>
          <w:sz w:val="24"/>
          <w:szCs w:val="24"/>
        </w:rPr>
        <w:t>ով, հաստատված ԴՊԸԲ</w:t>
      </w:r>
      <w:r w:rsidRPr="008341C7">
        <w:rPr>
          <w:rFonts w:ascii="Sylfaen" w:hAnsi="Sylfaen"/>
          <w:sz w:val="24"/>
          <w:szCs w:val="24"/>
        </w:rPr>
        <w:t>-</w:t>
      </w:r>
      <w:r w:rsidRPr="00834D52">
        <w:rPr>
          <w:rFonts w:ascii="Sylfaen" w:hAnsi="Sylfaen"/>
          <w:sz w:val="24"/>
          <w:szCs w:val="24"/>
        </w:rPr>
        <w:t>ներ, բժշկական կիրառման հրահանգ, որակի նորմատիվ փաստաթուղթ, փաթեթվածքների մանրակերտեր, գնահատման վերաբերյալ փորձագիտական հաշվետվություն (անհրաժեշտության դեպքում հաստատված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հրահանգը </w:t>
      </w:r>
      <w:r w:rsidR="00C54D75">
        <w:rPr>
          <w:rFonts w:ascii="Sylfaen" w:hAnsi="Sylfaen"/>
          <w:sz w:val="24"/>
          <w:szCs w:val="24"/>
        </w:rPr>
        <w:t>և</w:t>
      </w:r>
      <w:r w:rsidRPr="00834D52">
        <w:rPr>
          <w:rFonts w:ascii="Sylfaen" w:hAnsi="Sylfaen"/>
          <w:sz w:val="24"/>
          <w:szCs w:val="24"/>
        </w:rPr>
        <w:t xml:space="preserve"> դեղապատրաստուկի փաթեթվածքի մանրակերտերը </w:t>
      </w:r>
      <w:r w:rsidR="0056496B">
        <w:rPr>
          <w:rFonts w:ascii="Sylfaen" w:hAnsi="Sylfaen"/>
          <w:sz w:val="24"/>
          <w:szCs w:val="24"/>
        </w:rPr>
        <w:t>դիմումատու</w:t>
      </w:r>
      <w:r w:rsidRPr="00834D52">
        <w:rPr>
          <w:rFonts w:ascii="Sylfaen" w:hAnsi="Sylfaen"/>
          <w:sz w:val="24"/>
          <w:szCs w:val="24"/>
        </w:rPr>
        <w:t xml:space="preserve">ին են տրամադրվում </w:t>
      </w:r>
      <w:r w:rsidR="009F49FE">
        <w:rPr>
          <w:rFonts w:ascii="Sylfaen" w:hAnsi="Sylfaen"/>
          <w:sz w:val="24"/>
          <w:szCs w:val="24"/>
        </w:rPr>
        <w:t xml:space="preserve">ռեֆերենտ </w:t>
      </w:r>
      <w:r w:rsidRPr="00834D52">
        <w:rPr>
          <w:rFonts w:ascii="Sylfaen" w:hAnsi="Sylfaen"/>
          <w:sz w:val="24"/>
          <w:szCs w:val="24"/>
        </w:rPr>
        <w:t>պետության պետական լեզվով), դեղապատրաստուկի կիրառման ժամանակ ռիսկերի կառավարման համաձայնեցված պլանը (անհրաժեշտության դեպքում).</w:t>
      </w:r>
    </w:p>
    <w:p w14:paraId="273421B7" w14:textId="189B100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 xml:space="preserve">միասնական ռեեստրում տեղադրում է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որակի նորմատիվ փաստաթուղթը, ինչպես նա</w:t>
      </w:r>
      <w:r w:rsidR="00C54D75">
        <w:rPr>
          <w:rFonts w:ascii="Sylfaen" w:hAnsi="Sylfaen"/>
          <w:sz w:val="24"/>
          <w:szCs w:val="24"/>
        </w:rPr>
        <w:t>և</w:t>
      </w:r>
      <w:r w:rsidRPr="00834D52">
        <w:rPr>
          <w:rFonts w:ascii="Sylfaen" w:hAnsi="Sylfaen"/>
          <w:sz w:val="24"/>
          <w:szCs w:val="24"/>
        </w:rPr>
        <w:t xml:space="preserve"> սույն Կանոնների թիվ 16 հավելվածին </w:t>
      </w:r>
      <w:r w:rsidRPr="00834D52">
        <w:rPr>
          <w:rFonts w:ascii="Sylfaen" w:hAnsi="Sylfaen"/>
          <w:sz w:val="24"/>
          <w:szCs w:val="24"/>
        </w:rPr>
        <w:lastRenderedPageBreak/>
        <w:t>համապատասխան կազմված գնահատման վերաբերյալ եզրափակիչ փորձագիտական հաշվետվությունը՝ գաղտնի տվյալներն ու փորձագետների մասին տվյալները հանելուց հետո,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 դեղապատրաստուկի կիրառման ժամանակ ռիսկերի կառավարման համաձայնեցված պլանը (անհրաժեշտության դեպքում)։</w:t>
      </w:r>
    </w:p>
    <w:p w14:paraId="0FC27D71" w14:textId="1D6E10F8" w:rsidR="00FE4A71" w:rsidRDefault="00FE4A71" w:rsidP="00FE4A71">
      <w:pPr>
        <w:rPr>
          <w:b/>
          <w:bCs/>
          <w:i/>
          <w:iCs/>
        </w:rPr>
      </w:pPr>
      <w:r w:rsidRPr="00CD4709">
        <w:rPr>
          <w:b/>
          <w:bCs/>
          <w:i/>
          <w:iCs/>
        </w:rPr>
        <w:t>(</w:t>
      </w:r>
      <w:r>
        <w:rPr>
          <w:b/>
          <w:bCs/>
          <w:i/>
          <w:iCs/>
        </w:rPr>
        <w:t xml:space="preserve">63-րդ կետը </w:t>
      </w:r>
      <w:r w:rsidRPr="00CD4709">
        <w:rPr>
          <w:b/>
          <w:bCs/>
          <w:i/>
          <w:iCs/>
        </w:rPr>
        <w:t>փոփ. 30.01.20 թիվ 9)</w:t>
      </w:r>
    </w:p>
    <w:p w14:paraId="228DBB95" w14:textId="50B364EF" w:rsidR="00624D8E" w:rsidRDefault="00624D8E" w:rsidP="00624D8E">
      <w:pPr>
        <w:spacing w:line="360" w:lineRule="auto"/>
        <w:rPr>
          <w:rFonts w:ascii="Sylfaen" w:hAnsi="Sylfaen"/>
        </w:rPr>
      </w:pPr>
      <w:r>
        <w:rPr>
          <w:rFonts w:ascii="Sylfaen" w:hAnsi="Sylfaen"/>
        </w:rPr>
        <w:t xml:space="preserve">          </w:t>
      </w:r>
      <w:r>
        <w:rPr>
          <w:rFonts w:ascii="Arial Unicode" w:hAnsi="Arial Unicode"/>
          <w:sz w:val="21"/>
          <w:szCs w:val="21"/>
        </w:rPr>
        <w:t>63.</w:t>
      </w:r>
      <w:r w:rsidRPr="00624D8E">
        <w:rPr>
          <w:sz w:val="21"/>
          <w:szCs w:val="21"/>
          <w:vertAlign w:val="superscript"/>
        </w:rPr>
        <w:t>1</w:t>
      </w:r>
      <w:r>
        <w:rPr>
          <w:rFonts w:ascii="Sylfaen" w:hAnsi="Sylfaen"/>
        </w:rPr>
        <w:t xml:space="preserve"> </w:t>
      </w:r>
      <w:r w:rsidRPr="00624D8E">
        <w:rPr>
          <w:rFonts w:ascii="Sylfaen" w:hAnsi="Sylfaen"/>
        </w:rPr>
        <w:t>Դեղապատրաստուկի փորձաքննության անցկացման արդյունքներով որոշումն ընդունվում է ռեֆերենտ պետության լիազորված մարմնի կողմից գնահատման փորձագիտական հաշվետվությունը ստորագրելու օրվանից 10 աշխատանքային օրը չգերազանցող ժամկետում</w:t>
      </w:r>
      <w:r>
        <w:rPr>
          <w:rFonts w:ascii="Sylfaen" w:hAnsi="Sylfaen"/>
        </w:rPr>
        <w:t>:</w:t>
      </w:r>
    </w:p>
    <w:p w14:paraId="0D341598" w14:textId="4F3024C3" w:rsidR="00624D8E" w:rsidRPr="00624D8E" w:rsidRDefault="00624D8E" w:rsidP="00624D8E">
      <w:pPr>
        <w:rPr>
          <w:b/>
          <w:bCs/>
          <w:i/>
          <w:iCs/>
        </w:rPr>
      </w:pPr>
      <w:r w:rsidRPr="00CD4709">
        <w:rPr>
          <w:b/>
          <w:bCs/>
          <w:i/>
          <w:iCs/>
        </w:rPr>
        <w:t>(</w:t>
      </w:r>
      <w:r w:rsidRPr="00624D8E">
        <w:rPr>
          <w:rFonts w:ascii="Arial Unicode" w:hAnsi="Arial Unicode"/>
          <w:b/>
          <w:bCs/>
          <w:i/>
          <w:iCs/>
          <w:sz w:val="21"/>
          <w:szCs w:val="21"/>
        </w:rPr>
        <w:t>63.</w:t>
      </w:r>
      <w:r w:rsidRPr="00624D8E">
        <w:rPr>
          <w:b/>
          <w:bCs/>
          <w:i/>
          <w:iCs/>
          <w:sz w:val="21"/>
          <w:szCs w:val="21"/>
          <w:vertAlign w:val="superscript"/>
        </w:rPr>
        <w:t>1</w:t>
      </w:r>
      <w:r w:rsidRPr="00371618">
        <w:rPr>
          <w:b/>
          <w:bCs/>
          <w:i/>
          <w:iCs/>
        </w:rPr>
        <w:t xml:space="preserve"> կետը լրաց. 17.03.22 թիվ 36 )</w:t>
      </w:r>
    </w:p>
    <w:p w14:paraId="15FE344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64.</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լիազորված մարմինը փորձաքննության անցկացման արդյունքներով մերժում է դեղապատրաստուկի գրանցումը հետ</w:t>
      </w:r>
      <w:r w:rsidR="00C54D75">
        <w:rPr>
          <w:rFonts w:ascii="Sylfaen" w:hAnsi="Sylfaen"/>
          <w:sz w:val="24"/>
          <w:szCs w:val="24"/>
        </w:rPr>
        <w:t>և</w:t>
      </w:r>
      <w:r w:rsidRPr="00834D52">
        <w:rPr>
          <w:rFonts w:ascii="Sylfaen" w:hAnsi="Sylfaen"/>
          <w:sz w:val="24"/>
          <w:szCs w:val="24"/>
        </w:rPr>
        <w:t>յալ դեպքերում՝</w:t>
      </w:r>
    </w:p>
    <w:p w14:paraId="5427AC7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կիրառման հետ կապված հնարավոր ռիսկերի նկատմամբ ակնկալվող օգուտի հարաբերակցությունը բարենպաստ չէ,</w:t>
      </w:r>
    </w:p>
    <w:p w14:paraId="110FCE3D" w14:textId="7A61C1A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արդյունավետությունը չի հաստատվել </w:t>
      </w:r>
      <w:r w:rsidR="0056496B">
        <w:rPr>
          <w:rFonts w:ascii="Sylfaen" w:hAnsi="Sylfaen"/>
          <w:sz w:val="24"/>
          <w:szCs w:val="24"/>
        </w:rPr>
        <w:t>դիմումատու</w:t>
      </w:r>
      <w:r w:rsidRPr="00834D52">
        <w:rPr>
          <w:rFonts w:ascii="Sylfaen" w:hAnsi="Sylfaen"/>
          <w:sz w:val="24"/>
          <w:szCs w:val="24"/>
        </w:rPr>
        <w:t>ի ներկայացրած տեղեկություններով,</w:t>
      </w:r>
    </w:p>
    <w:p w14:paraId="2667A37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70F6297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որակի հսկողության առաջարկված մեթոդներն ու մեթոդիկաները վերարտադրելի չեն,</w:t>
      </w:r>
    </w:p>
    <w:p w14:paraId="2EA1F7BA" w14:textId="4446DD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16A95C49" w14:textId="5D1164F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նշանակված տեսչական ստուգման արդյունքներով դեղապատրաստուկի գրանցման ժամանակահատվածում չի հաստատվել դրա համապատասխանությունը Միության պատշաճ դեղագործական գործելակերպերին</w:t>
      </w:r>
      <w:r w:rsidR="00624D8E">
        <w:rPr>
          <w:rFonts w:ascii="Sylfaen" w:hAnsi="Sylfaen"/>
          <w:sz w:val="24"/>
          <w:szCs w:val="24"/>
        </w:rPr>
        <w:t>.</w:t>
      </w:r>
    </w:p>
    <w:p w14:paraId="7F5B1697" w14:textId="6CE5FA90" w:rsidR="00624D8E" w:rsidRDefault="00624D8E" w:rsidP="006F76EB">
      <w:pPr>
        <w:tabs>
          <w:tab w:val="left" w:pos="1134"/>
        </w:tabs>
        <w:spacing w:after="160" w:line="360" w:lineRule="auto"/>
        <w:ind w:right="-8" w:firstLine="567"/>
        <w:jc w:val="both"/>
        <w:rPr>
          <w:rFonts w:ascii="Sylfaen" w:hAnsi="Sylfaen"/>
          <w:sz w:val="24"/>
          <w:szCs w:val="24"/>
        </w:rPr>
      </w:pPr>
      <w:r w:rsidRPr="00624D8E">
        <w:rPr>
          <w:rFonts w:ascii="Sylfaen" w:hAnsi="Sylfaen"/>
          <w:sz w:val="24"/>
          <w:szCs w:val="24"/>
        </w:rPr>
        <w:lastRenderedPageBreak/>
        <w:t>է) հայտատուի կողմից սահմանված ժամկետում չեն ներկայացվել լիազորված մարմնի (կազմակերպության) կողմից հարցված փաստաթղթերը և տեղեկությունները</w:t>
      </w:r>
      <w:r>
        <w:rPr>
          <w:rFonts w:ascii="Sylfaen" w:hAnsi="Sylfaen"/>
          <w:sz w:val="24"/>
          <w:szCs w:val="24"/>
        </w:rPr>
        <w:t>:</w:t>
      </w:r>
    </w:p>
    <w:p w14:paraId="675C3BD6" w14:textId="0F06368F" w:rsidR="00FE4A71" w:rsidRPr="006F28F9" w:rsidRDefault="00FE4A71" w:rsidP="00FE4A71">
      <w:pPr>
        <w:rPr>
          <w:b/>
          <w:bCs/>
          <w:i/>
          <w:iCs/>
        </w:rPr>
      </w:pPr>
      <w:r w:rsidRPr="00CD4709">
        <w:rPr>
          <w:b/>
          <w:bCs/>
          <w:i/>
          <w:iCs/>
        </w:rPr>
        <w:t>(</w:t>
      </w:r>
      <w:r>
        <w:rPr>
          <w:b/>
          <w:bCs/>
          <w:i/>
          <w:iCs/>
        </w:rPr>
        <w:t xml:space="preserve">64-րդ կետը </w:t>
      </w:r>
      <w:r w:rsidRPr="00CD4709">
        <w:rPr>
          <w:b/>
          <w:bCs/>
          <w:i/>
          <w:iCs/>
        </w:rPr>
        <w:t>փոփ. 30.01.20 թիվ 9</w:t>
      </w:r>
      <w:r w:rsidR="00624D8E">
        <w:rPr>
          <w:b/>
          <w:bCs/>
          <w:i/>
          <w:iCs/>
        </w:rPr>
        <w:t>, լրաց. 17.03.22 թիվ 36</w:t>
      </w:r>
      <w:r w:rsidRPr="00CD4709">
        <w:rPr>
          <w:b/>
          <w:bCs/>
          <w:i/>
          <w:iCs/>
        </w:rPr>
        <w:t>)</w:t>
      </w:r>
    </w:p>
    <w:p w14:paraId="7A461B75" w14:textId="2463418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65.</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դեղապատրաստուկի գրանցումը մերժելու վերաբերյալ որոշում կայացնելու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այդ որոշումն ընդունելու օրվանից 10 աշխատանքային օրվա ընթացքում էլեկտրոնային </w:t>
      </w:r>
      <w:r w:rsidR="00C54D75">
        <w:rPr>
          <w:rFonts w:ascii="Sylfaen" w:hAnsi="Sylfaen"/>
          <w:sz w:val="24"/>
          <w:szCs w:val="24"/>
        </w:rPr>
        <w:t>և</w:t>
      </w:r>
      <w:r w:rsidRPr="00834D52">
        <w:rPr>
          <w:rFonts w:ascii="Sylfaen" w:hAnsi="Sylfaen"/>
          <w:sz w:val="24"/>
          <w:szCs w:val="24"/>
        </w:rPr>
        <w:t xml:space="preserve"> (կամ) գրավոր եղանակով այդ մասին ծանուցում է </w:t>
      </w:r>
      <w:r w:rsidR="0056496B">
        <w:rPr>
          <w:rFonts w:ascii="Sylfaen" w:hAnsi="Sylfaen"/>
          <w:sz w:val="24"/>
          <w:szCs w:val="24"/>
        </w:rPr>
        <w:t>դիմումատու</w:t>
      </w:r>
      <w:r w:rsidRPr="00834D52">
        <w:rPr>
          <w:rFonts w:ascii="Sylfaen" w:hAnsi="Sylfaen"/>
          <w:sz w:val="24"/>
          <w:szCs w:val="24"/>
        </w:rPr>
        <w:t>ին։</w:t>
      </w:r>
    </w:p>
    <w:p w14:paraId="40EC0B7C" w14:textId="6156332C" w:rsidR="00FE4A71" w:rsidRPr="006F28F9" w:rsidRDefault="00FE4A71" w:rsidP="00FE4A71">
      <w:pPr>
        <w:rPr>
          <w:b/>
          <w:bCs/>
          <w:i/>
          <w:iCs/>
        </w:rPr>
      </w:pPr>
      <w:r w:rsidRPr="00CD4709">
        <w:rPr>
          <w:b/>
          <w:bCs/>
          <w:i/>
          <w:iCs/>
        </w:rPr>
        <w:t>(</w:t>
      </w:r>
      <w:r>
        <w:rPr>
          <w:b/>
          <w:bCs/>
          <w:i/>
          <w:iCs/>
        </w:rPr>
        <w:t xml:space="preserve">65-րդ կետը </w:t>
      </w:r>
      <w:r w:rsidRPr="00CD4709">
        <w:rPr>
          <w:b/>
          <w:bCs/>
          <w:i/>
          <w:iCs/>
        </w:rPr>
        <w:t>փոփ. 30.01.20 թիվ 9)</w:t>
      </w:r>
    </w:p>
    <w:p w14:paraId="0ED5F386" w14:textId="77777777" w:rsidR="00FE4A71" w:rsidRPr="00834D52" w:rsidRDefault="00FE4A71" w:rsidP="006F76EB">
      <w:pPr>
        <w:tabs>
          <w:tab w:val="left" w:pos="1134"/>
        </w:tabs>
        <w:spacing w:after="160" w:line="360" w:lineRule="auto"/>
        <w:ind w:right="-8" w:firstLine="567"/>
        <w:jc w:val="both"/>
        <w:rPr>
          <w:rFonts w:ascii="Sylfaen" w:eastAsia="Times New Roman" w:hAnsi="Sylfaen" w:cs="Times New Roman"/>
          <w:sz w:val="24"/>
          <w:szCs w:val="24"/>
        </w:rPr>
      </w:pPr>
    </w:p>
    <w:p w14:paraId="6E984785" w14:textId="77777777" w:rsidR="006F76EB" w:rsidRPr="00834D52" w:rsidRDefault="006F76EB" w:rsidP="00AE34C3">
      <w:pPr>
        <w:spacing w:after="160" w:line="480" w:lineRule="auto"/>
        <w:jc w:val="center"/>
        <w:rPr>
          <w:rFonts w:ascii="Sylfaen" w:hAnsi="Sylfaen"/>
          <w:sz w:val="24"/>
          <w:szCs w:val="24"/>
        </w:rPr>
      </w:pPr>
    </w:p>
    <w:p w14:paraId="62FCA86F"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V.II. Փոխադարձ ճանաչման ընթացակարգով դեղապատրաստուկի գրանցումն ու փորձաքննությունը ճանաչման պետությունում</w:t>
      </w:r>
      <w:r w:rsidR="00AE34C3" w:rsidRPr="00AE34C3">
        <w:rPr>
          <w:rFonts w:ascii="Sylfaen" w:hAnsi="Sylfaen"/>
          <w:sz w:val="24"/>
          <w:szCs w:val="24"/>
        </w:rPr>
        <w:t> </w:t>
      </w:r>
      <w:r w:rsidRPr="00834D52">
        <w:rPr>
          <w:rFonts w:ascii="Sylfaen" w:hAnsi="Sylfaen"/>
          <w:sz w:val="24"/>
          <w:szCs w:val="24"/>
        </w:rPr>
        <w:t>(պետություններում)</w:t>
      </w:r>
    </w:p>
    <w:p w14:paraId="11D6928D" w14:textId="5BA00311" w:rsidR="006F76EB" w:rsidRPr="00834D52" w:rsidRDefault="006F76EB" w:rsidP="00AE34C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66.</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պետությունում դեղապատրաստուկը գրանցելուց հետո </w:t>
      </w:r>
      <w:r w:rsidR="0056496B">
        <w:rPr>
          <w:rFonts w:ascii="Sylfaen" w:hAnsi="Sylfaen"/>
          <w:sz w:val="24"/>
          <w:szCs w:val="24"/>
        </w:rPr>
        <w:t>դիմումատու</w:t>
      </w:r>
      <w:r w:rsidRPr="00834D52">
        <w:rPr>
          <w:rFonts w:ascii="Sylfaen" w:hAnsi="Sylfaen"/>
          <w:sz w:val="24"/>
          <w:szCs w:val="24"/>
        </w:rPr>
        <w:t>ն կարող է փոխադարձ ճանաչման ընթացակարգով գրանցում նախաձեռնել իր կողմից որպես ճանաչման պետություններ ընտրված այլ անդամ պետություններում՝ այդ անդամ պետությունների լիազորված մարմիններ (փորձագիտական կազմակերպություն) ներկայացնելով՝</w:t>
      </w:r>
    </w:p>
    <w:p w14:paraId="6FC0F819" w14:textId="70D84E51" w:rsidR="006F76EB" w:rsidRPr="00834D52" w:rsidRDefault="006F76EB" w:rsidP="00AE34C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փոխադարձ ճանաչման ընթացակարգով դեղապատրաստուկի գրանցման </w:t>
      </w:r>
      <w:r w:rsidR="0056496B">
        <w:rPr>
          <w:rFonts w:ascii="Sylfaen" w:hAnsi="Sylfaen"/>
          <w:sz w:val="24"/>
          <w:szCs w:val="24"/>
        </w:rPr>
        <w:t>դիմում</w:t>
      </w:r>
      <w:r w:rsidRPr="00834D52">
        <w:rPr>
          <w:rFonts w:ascii="Sylfaen" w:hAnsi="Sylfaen"/>
          <w:sz w:val="24"/>
          <w:szCs w:val="24"/>
        </w:rPr>
        <w:t>ը</w:t>
      </w:r>
      <w:r w:rsidR="00E90FAF" w:rsidRPr="00E90FAF">
        <w:rPr>
          <w:rFonts w:ascii="Sylfaen" w:hAnsi="Sylfaen"/>
          <w:sz w:val="24"/>
          <w:szCs w:val="24"/>
        </w:rPr>
        <w:t>`</w:t>
      </w:r>
      <w:r w:rsidRPr="00834D52">
        <w:rPr>
          <w:rFonts w:ascii="Sylfaen" w:hAnsi="Sylfaen"/>
          <w:sz w:val="24"/>
          <w:szCs w:val="24"/>
        </w:rPr>
        <w:t xml:space="preserve"> թղթային</w:t>
      </w:r>
      <w:r w:rsidR="00544E85">
        <w:rPr>
          <w:rFonts w:ascii="Sylfaen" w:hAnsi="Sylfaen"/>
          <w:sz w:val="24"/>
          <w:szCs w:val="24"/>
        </w:rPr>
        <w:t xml:space="preserve"> կրիչով</w:t>
      </w:r>
      <w:r w:rsidRPr="00834D52">
        <w:rPr>
          <w:rFonts w:ascii="Sylfaen" w:hAnsi="Sylfaen"/>
          <w:sz w:val="24"/>
          <w:szCs w:val="24"/>
        </w:rPr>
        <w:t xml:space="preserve"> </w:t>
      </w:r>
      <w:r w:rsidR="00624D8E" w:rsidRPr="00624D8E">
        <w:rPr>
          <w:rFonts w:ascii="Sylfaen" w:hAnsi="Sylfaen"/>
          <w:sz w:val="24"/>
          <w:szCs w:val="24"/>
        </w:rPr>
        <w:t>կամ էլեկտրոնային ստորագրությամբ ստորագրված էլեկտրոնային փաստաթղթի տեսքով</w:t>
      </w:r>
      <w:r w:rsidRPr="00834D52">
        <w:rPr>
          <w:rFonts w:ascii="Sylfaen" w:hAnsi="Sylfaen"/>
          <w:sz w:val="24"/>
          <w:szCs w:val="24"/>
        </w:rPr>
        <w:t>՝ սույն Կանոնների թիվ 2 հավելվածի համաձայն սահմանված ձ</w:t>
      </w:r>
      <w:r w:rsidR="00C54D75">
        <w:rPr>
          <w:rFonts w:ascii="Sylfaen" w:hAnsi="Sylfaen"/>
          <w:sz w:val="24"/>
          <w:szCs w:val="24"/>
        </w:rPr>
        <w:t>և</w:t>
      </w:r>
      <w:r w:rsidRPr="00834D52">
        <w:rPr>
          <w:rFonts w:ascii="Sylfaen" w:hAnsi="Sylfaen"/>
          <w:sz w:val="24"/>
          <w:szCs w:val="24"/>
        </w:rPr>
        <w:t>ով,</w:t>
      </w:r>
    </w:p>
    <w:p w14:paraId="58FABEDB" w14:textId="37D1AB6E" w:rsidR="006F76EB" w:rsidRPr="00834D52" w:rsidRDefault="006F76EB" w:rsidP="00AE34C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ճանաչման պետության օրենսդրությամբ </w:t>
      </w:r>
      <w:r w:rsidRPr="00834D52">
        <w:rPr>
          <w:rFonts w:ascii="Sylfaen" w:hAnsi="Sylfaen"/>
          <w:sz w:val="24"/>
          <w:szCs w:val="24"/>
        </w:rPr>
        <w:lastRenderedPageBreak/>
        <w:t xml:space="preserve">սահմանված դեպքում </w:t>
      </w:r>
      <w:r w:rsidR="00C54D75">
        <w:rPr>
          <w:rFonts w:ascii="Sylfaen" w:hAnsi="Sylfaen"/>
          <w:sz w:val="24"/>
          <w:szCs w:val="24"/>
        </w:rPr>
        <w:t>և</w:t>
      </w:r>
      <w:r w:rsidRPr="00834D52">
        <w:rPr>
          <w:rFonts w:ascii="Sylfaen" w:hAnsi="Sylfaen"/>
          <w:sz w:val="24"/>
          <w:szCs w:val="24"/>
        </w:rPr>
        <w:t xml:space="preserve"> կարգով,</w:t>
      </w:r>
      <w:r w:rsidR="00624D8E" w:rsidRPr="00624D8E">
        <w:t xml:space="preserve"> </w:t>
      </w:r>
      <w:r w:rsidR="00624D8E" w:rsidRPr="00624D8E">
        <w:rPr>
          <w:rFonts w:ascii="Sylfaen" w:hAnsi="Sylfaen"/>
          <w:sz w:val="24"/>
          <w:szCs w:val="24"/>
        </w:rPr>
        <w:t>թղթային կրիչով կամ էլեկտրոնային փաստաթղթերի տեսքով</w:t>
      </w:r>
      <w:r w:rsidR="00624D8E">
        <w:rPr>
          <w:rFonts w:ascii="Sylfaen" w:hAnsi="Sylfaen"/>
          <w:sz w:val="24"/>
          <w:szCs w:val="24"/>
        </w:rPr>
        <w:t>,</w:t>
      </w:r>
    </w:p>
    <w:p w14:paraId="006346BB" w14:textId="7B9D1D24" w:rsidR="00624D8E" w:rsidRPr="00624D8E" w:rsidRDefault="00624D8E" w:rsidP="006F76EB">
      <w:pPr>
        <w:tabs>
          <w:tab w:val="left" w:pos="1134"/>
        </w:tabs>
        <w:spacing w:after="160" w:line="336" w:lineRule="auto"/>
        <w:ind w:right="-6" w:firstLine="567"/>
        <w:jc w:val="both"/>
        <w:rPr>
          <w:sz w:val="21"/>
          <w:szCs w:val="21"/>
        </w:rPr>
      </w:pPr>
      <w:r w:rsidRPr="00624D8E">
        <w:rPr>
          <w:rFonts w:ascii="Sylfaen" w:hAnsi="Sylfaen"/>
          <w:sz w:val="24"/>
          <w:szCs w:val="24"/>
        </w:rPr>
        <w:t>էլեկտրոնային փաստաթղթերի տեսքով էլեկտրոնային կրիչի վրա գրանցման դոսյեի մոդուլ 1-ի (այդ թվում՝ բացառապես ճանաչման պետությանը վերաբերող արդիականացված փաստաթղթերի): Ուղեկցող նամակում հայտատուն պարտավոր է ներկայացնել գրանցման դոսյեում կատարված բոլոր փոփոխությունների մասին տեղեկություններն այն դեպքում, երբ դրանք նախաձեռնվել են մինչև ճանաչման պետություն գրանցման հայտը ներկայացնելու օրը (նշելով հայտերի համարները և կցելով ռեֆերենտ պետության լիազորված մարմնի որոշումները (եզրակացությունները</w:t>
      </w:r>
      <w:r>
        <w:rPr>
          <w:rFonts w:ascii="Arial Unicode" w:hAnsi="Arial Unicode"/>
          <w:sz w:val="21"/>
          <w:szCs w:val="21"/>
        </w:rPr>
        <w:t>)</w:t>
      </w:r>
      <w:r>
        <w:rPr>
          <w:sz w:val="21"/>
          <w:szCs w:val="21"/>
        </w:rPr>
        <w:t>:</w:t>
      </w:r>
    </w:p>
    <w:p w14:paraId="028781B5" w14:textId="5573EA89"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Անդամ պետության օրենսդրության մեջ համապատասխան պահանջների առկայության դեպքում ԴՊԸԲ</w:t>
      </w:r>
      <w:r w:rsidRPr="008341C7">
        <w:rPr>
          <w:rFonts w:ascii="Sylfaen" w:hAnsi="Sylfaen"/>
          <w:sz w:val="24"/>
          <w:szCs w:val="24"/>
        </w:rPr>
        <w:t>-</w:t>
      </w:r>
      <w:r w:rsidRPr="00834D52">
        <w:rPr>
          <w:rFonts w:ascii="Sylfaen" w:hAnsi="Sylfaen"/>
          <w:sz w:val="24"/>
          <w:szCs w:val="24"/>
        </w:rPr>
        <w:t xml:space="preserve">ները, դեղապաստրաստուկի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ներկայացվում են ճանաչման պետության պետական լեզվով։</w:t>
      </w:r>
    </w:p>
    <w:p w14:paraId="7C458A20" w14:textId="4377B696" w:rsidR="00624D8E" w:rsidRPr="00624D8E" w:rsidRDefault="00624D8E" w:rsidP="00624D8E">
      <w:pPr>
        <w:tabs>
          <w:tab w:val="left" w:pos="1134"/>
        </w:tabs>
        <w:spacing w:after="160" w:line="336" w:lineRule="auto"/>
        <w:ind w:right="-6" w:firstLine="567"/>
        <w:jc w:val="both"/>
        <w:rPr>
          <w:rFonts w:ascii="Sylfaen" w:hAnsi="Sylfaen"/>
          <w:sz w:val="24"/>
          <w:szCs w:val="24"/>
        </w:rPr>
      </w:pPr>
      <w:r w:rsidRPr="00624D8E">
        <w:rPr>
          <w:rFonts w:ascii="Sylfaen" w:hAnsi="Sylfaen"/>
          <w:sz w:val="24"/>
          <w:szCs w:val="24"/>
        </w:rPr>
        <w:t>Հայտը չի կարող ներկայացվել ճանաչման պետություններ մինչև ռեֆերենտ պետությունում փոփոխությունների կատարման ընթացակարգերը նախաձեռնելու ավարտի օրը (առկայության դեպքում): Ճանաչման պետություններում գրանցման ընթացակարգը նախաձեռնելուց հետո և մինչև դրա ավարտելը ճանաչման պետություններում, որոնցում այդ ընթացակարգը նախաձեռնվել է, հայտատուն իրավունք չունի նախաձեռնել ռեֆերենտ պետությունում փոփոխությունների կատարման ընթացակարգ՝ բացառությամբ անվտանգությանը վերաբերող անհապաղ փոփոխությունների:</w:t>
      </w:r>
    </w:p>
    <w:p w14:paraId="712473A8" w14:textId="62A46E6F" w:rsidR="00624D8E" w:rsidRPr="00624D8E" w:rsidRDefault="00624D8E" w:rsidP="00624D8E">
      <w:pPr>
        <w:tabs>
          <w:tab w:val="left" w:pos="1134"/>
        </w:tabs>
        <w:spacing w:after="160" w:line="336" w:lineRule="auto"/>
        <w:ind w:right="-6" w:firstLine="567"/>
        <w:jc w:val="both"/>
        <w:rPr>
          <w:rFonts w:ascii="Sylfaen" w:hAnsi="Sylfaen"/>
          <w:sz w:val="24"/>
          <w:szCs w:val="24"/>
        </w:rPr>
      </w:pPr>
      <w:r w:rsidRPr="00624D8E">
        <w:rPr>
          <w:rFonts w:ascii="Sylfaen" w:hAnsi="Sylfaen"/>
          <w:sz w:val="24"/>
          <w:szCs w:val="24"/>
        </w:rPr>
        <w:t xml:space="preserve">Ռեֆերենտ պետությունում անվտանգությանը վերաբերող անհապաղ փոփոխություններ ներկայացնելիս հայտատուն մի քանի օրվա ընթացքում պարտավոր է ծանուցել այդ փաստի մասին ճանաչման ընթացակարգն իրականացնող ճանաչման պետության լիազորված մարմնին (փորձագիտական կազմակերպությանը): </w:t>
      </w:r>
    </w:p>
    <w:p w14:paraId="5AF966C1" w14:textId="3906A961" w:rsidR="00624D8E" w:rsidRDefault="00624D8E" w:rsidP="00624D8E">
      <w:pPr>
        <w:tabs>
          <w:tab w:val="left" w:pos="1134"/>
        </w:tabs>
        <w:spacing w:after="160" w:line="336" w:lineRule="auto"/>
        <w:ind w:right="-6" w:firstLine="567"/>
        <w:jc w:val="both"/>
        <w:rPr>
          <w:rFonts w:ascii="Sylfaen" w:hAnsi="Sylfaen"/>
          <w:sz w:val="24"/>
          <w:szCs w:val="24"/>
        </w:rPr>
      </w:pPr>
      <w:r w:rsidRPr="00624D8E">
        <w:rPr>
          <w:rFonts w:ascii="Sylfaen" w:hAnsi="Sylfaen"/>
          <w:sz w:val="24"/>
          <w:szCs w:val="24"/>
        </w:rPr>
        <w:t xml:space="preserve">Անդամ պետության օրենսդրության պահանջներին համապատասխան՝ սույն կետի երկրորդ-չորրորդ պարբերություններում նշված փաստաթղթերը կարող են </w:t>
      </w:r>
      <w:r w:rsidRPr="00624D8E">
        <w:rPr>
          <w:rFonts w:ascii="Sylfaen" w:hAnsi="Sylfaen"/>
          <w:sz w:val="24"/>
          <w:szCs w:val="24"/>
        </w:rPr>
        <w:lastRenderedPageBreak/>
        <w:t>ներկայացվել առանց սույն կանոններով նախատեսված դեպքերում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r w:rsidR="00900CB9">
        <w:rPr>
          <w:rFonts w:ascii="Sylfaen" w:hAnsi="Sylfaen"/>
          <w:sz w:val="24"/>
          <w:szCs w:val="24"/>
        </w:rPr>
        <w:t>:</w:t>
      </w:r>
    </w:p>
    <w:p w14:paraId="78E1000A" w14:textId="4B4D30DB" w:rsidR="00BA6133" w:rsidRDefault="00BA6133" w:rsidP="00BA6133">
      <w:pPr>
        <w:rPr>
          <w:b/>
          <w:bCs/>
          <w:i/>
          <w:iCs/>
        </w:rPr>
      </w:pPr>
      <w:r w:rsidRPr="00CD4709">
        <w:rPr>
          <w:b/>
          <w:bCs/>
          <w:i/>
          <w:iCs/>
        </w:rPr>
        <w:t>(</w:t>
      </w:r>
      <w:r>
        <w:rPr>
          <w:b/>
          <w:bCs/>
          <w:i/>
          <w:iCs/>
        </w:rPr>
        <w:t xml:space="preserve">66-րդ կետը </w:t>
      </w:r>
      <w:r w:rsidRPr="00CD4709">
        <w:rPr>
          <w:b/>
          <w:bCs/>
          <w:i/>
          <w:iCs/>
        </w:rPr>
        <w:t>փոփ. 30.01.20 թիվ 9</w:t>
      </w:r>
      <w:r w:rsidR="00900CB9">
        <w:rPr>
          <w:b/>
          <w:bCs/>
          <w:i/>
          <w:iCs/>
        </w:rPr>
        <w:t>, փոփ., լրաց., խմբ. 17.03.22 թիվ 36</w:t>
      </w:r>
      <w:r w:rsidRPr="00CD4709">
        <w:rPr>
          <w:b/>
          <w:bCs/>
          <w:i/>
          <w:iCs/>
        </w:rPr>
        <w:t>)</w:t>
      </w:r>
    </w:p>
    <w:p w14:paraId="25FAEBFD" w14:textId="77777777" w:rsidR="005900E4" w:rsidRDefault="005900E4" w:rsidP="005900E4">
      <w:pPr>
        <w:rPr>
          <w:rFonts w:ascii="Sylfaen" w:hAnsi="Sylfaen"/>
        </w:rPr>
      </w:pPr>
      <w:r w:rsidRPr="005900E4">
        <w:rPr>
          <w:rFonts w:ascii="Sylfaen" w:hAnsi="Sylfaen"/>
        </w:rPr>
        <w:t>Թույլատրվում է, սույն կանոնների թիվ 19 և 20 հավելվածներին համապատասխան, ռեֆերենտ պետությունում գրանցված դեղապատրաստուկի գրանցման դոսյեում փոփոխություններ կատարել մինչև ճանաչման պետությունում (պետություններում) փոխադարձ ճանաչման ընթացակարգի նախաձեռնման օրը: Ընդ որում՝ ռեֆերենտ պետության կողմից ճանաչման պետություն պետք է ներկայացվի փոփոխությունների կատարման արդյունքների մասով արդիականացված փորձագիտական հաշվետվություն (եթե կիրառելի է):</w:t>
      </w:r>
    </w:p>
    <w:p w14:paraId="6B5824B0" w14:textId="69DB5DEB" w:rsidR="005900E4" w:rsidRDefault="005900E4" w:rsidP="005900E4">
      <w:pPr>
        <w:rPr>
          <w:rFonts w:ascii="Sylfaen" w:hAnsi="Sylfaen"/>
        </w:rPr>
      </w:pPr>
      <w:r w:rsidRPr="005900E4">
        <w:rPr>
          <w:rFonts w:ascii="Sylfaen" w:hAnsi="Sylfaen"/>
        </w:rPr>
        <w:t>Հայտատուի ընտրությամբ թույլատրվում է մի քանի ճանաչման պետություններում փոխադարձ ճանաչման ընթացակարգի միաժամանակյա նախաձեռնում</w:t>
      </w:r>
      <w:r>
        <w:rPr>
          <w:rFonts w:ascii="Sylfaen" w:hAnsi="Sylfaen"/>
        </w:rPr>
        <w:t>:</w:t>
      </w:r>
    </w:p>
    <w:p w14:paraId="1FAEF82F" w14:textId="03CF4F3A" w:rsidR="005900E4" w:rsidRPr="006E00C5" w:rsidRDefault="005900E4" w:rsidP="005900E4">
      <w:pPr>
        <w:rPr>
          <w:rFonts w:ascii="Sylfaen" w:hAnsi="Sylfaen"/>
          <w:b/>
          <w:bCs/>
          <w:i/>
          <w:iCs/>
        </w:rPr>
      </w:pPr>
      <w:r w:rsidRPr="00371618">
        <w:rPr>
          <w:b/>
          <w:bCs/>
          <w:i/>
          <w:iCs/>
        </w:rPr>
        <w:t>(</w:t>
      </w:r>
      <w:r>
        <w:rPr>
          <w:rFonts w:ascii="Arial Unicode" w:hAnsi="Arial Unicode"/>
          <w:sz w:val="21"/>
          <w:szCs w:val="21"/>
        </w:rPr>
        <w:t>66</w:t>
      </w:r>
      <w:r>
        <w:rPr>
          <w:sz w:val="21"/>
          <w:szCs w:val="21"/>
        </w:rPr>
        <w:t xml:space="preserve"> </w:t>
      </w:r>
      <w:r w:rsidRPr="005900E4">
        <w:rPr>
          <w:i/>
          <w:iCs/>
          <w:sz w:val="21"/>
          <w:szCs w:val="21"/>
          <w:vertAlign w:val="superscript"/>
        </w:rPr>
        <w:t>1</w:t>
      </w:r>
      <w:r>
        <w:rPr>
          <w:rFonts w:ascii="Arial Unicode" w:hAnsi="Arial Unicode"/>
          <w:sz w:val="21"/>
          <w:szCs w:val="21"/>
        </w:rPr>
        <w:t>.</w:t>
      </w:r>
      <w:r w:rsidRPr="00371618">
        <w:rPr>
          <w:b/>
          <w:bCs/>
          <w:i/>
          <w:iCs/>
        </w:rPr>
        <w:t>կետը լրաց. 17.03.22 թիվ 36 )</w:t>
      </w:r>
    </w:p>
    <w:p w14:paraId="2387BFD1" w14:textId="7925AF79" w:rsidR="006F76EB" w:rsidRDefault="006F76EB" w:rsidP="00D82AAA">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67.</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հարցման հիման վրա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տվյալ հարցումը ստանալու օրվանից 5 աշխատանքային օրը չգերազանցող ժամկետում ապահովում է գրանցման դոսյեի </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հաշվետվության հասանելիությունը՝ ճանաչման պետությունների լիազորված մարմինների (փորձագիտական կազմակերպությունների) համար, ինտեգրված համակարգի միջոցով,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հարցումներին ի պատասխան </w:t>
      </w:r>
      <w:r w:rsidR="0056496B">
        <w:rPr>
          <w:rFonts w:ascii="Sylfaen" w:hAnsi="Sylfaen"/>
          <w:sz w:val="24"/>
          <w:szCs w:val="24"/>
        </w:rPr>
        <w:t>դիմումատու</w:t>
      </w:r>
      <w:r w:rsidRPr="00834D52">
        <w:rPr>
          <w:rFonts w:ascii="Sylfaen" w:hAnsi="Sylfaen"/>
          <w:sz w:val="24"/>
          <w:szCs w:val="24"/>
        </w:rPr>
        <w:t xml:space="preserve">ի ներկայացրած լրացուցիչ փաստաթղթերի </w:t>
      </w:r>
      <w:r w:rsidR="00C54D75">
        <w:rPr>
          <w:rFonts w:ascii="Sylfaen" w:hAnsi="Sylfaen"/>
          <w:sz w:val="24"/>
          <w:szCs w:val="24"/>
        </w:rPr>
        <w:t>և</w:t>
      </w:r>
      <w:r w:rsidRPr="00834D52">
        <w:rPr>
          <w:rFonts w:ascii="Sylfaen" w:hAnsi="Sylfaen"/>
          <w:sz w:val="24"/>
          <w:szCs w:val="24"/>
        </w:rPr>
        <w:t xml:space="preserve"> տեղեկությունների օգտագործմամբ։</w:t>
      </w:r>
    </w:p>
    <w:p w14:paraId="35C9B529" w14:textId="7B5BFC22" w:rsidR="00BA6133" w:rsidRPr="006F28F9" w:rsidRDefault="00BA6133" w:rsidP="00BA6133">
      <w:pPr>
        <w:rPr>
          <w:b/>
          <w:bCs/>
          <w:i/>
          <w:iCs/>
        </w:rPr>
      </w:pPr>
      <w:r w:rsidRPr="00CD4709">
        <w:rPr>
          <w:b/>
          <w:bCs/>
          <w:i/>
          <w:iCs/>
        </w:rPr>
        <w:t>(</w:t>
      </w:r>
      <w:r>
        <w:rPr>
          <w:b/>
          <w:bCs/>
          <w:i/>
          <w:iCs/>
        </w:rPr>
        <w:t xml:space="preserve">67-րդ կետը </w:t>
      </w:r>
      <w:r w:rsidRPr="00CD4709">
        <w:rPr>
          <w:b/>
          <w:bCs/>
          <w:i/>
          <w:iCs/>
        </w:rPr>
        <w:t>փոփ. 30.01.20 թիվ 9)</w:t>
      </w:r>
    </w:p>
    <w:p w14:paraId="111DC008" w14:textId="5E379F73" w:rsidR="00AD6AA7" w:rsidRDefault="006F76EB" w:rsidP="00D82AAA">
      <w:pPr>
        <w:tabs>
          <w:tab w:val="left" w:pos="1134"/>
        </w:tabs>
        <w:spacing w:after="160" w:line="341" w:lineRule="auto"/>
        <w:ind w:right="-8" w:firstLine="567"/>
        <w:jc w:val="both"/>
        <w:rPr>
          <w:rFonts w:ascii="Sylfaen" w:hAnsi="Sylfaen"/>
          <w:sz w:val="24"/>
          <w:szCs w:val="24"/>
        </w:rPr>
      </w:pPr>
      <w:r w:rsidRPr="00834D52">
        <w:rPr>
          <w:rFonts w:ascii="Sylfaen" w:hAnsi="Sylfaen"/>
          <w:sz w:val="24"/>
          <w:szCs w:val="24"/>
        </w:rPr>
        <w:t>68.</w:t>
      </w:r>
      <w:r w:rsidRPr="00834D52">
        <w:rPr>
          <w:rFonts w:ascii="Sylfaen" w:hAnsi="Sylfaen"/>
          <w:sz w:val="24"/>
          <w:szCs w:val="24"/>
        </w:rPr>
        <w:tab/>
        <w:t xml:space="preserve">Ճանաչման պետությունում դեղապատրաստուկի գրանցումն այդ անդամ պետության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բացակայության </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հաշվետվությունը ճանաչելու հնարավորության մասին եզրակացության առկայության դեպքում իրականացվում է </w:t>
      </w:r>
      <w:r w:rsidR="00AD6AA7" w:rsidRPr="00AD6AA7">
        <w:rPr>
          <w:rFonts w:ascii="Sylfaen" w:hAnsi="Sylfaen"/>
          <w:sz w:val="24"/>
          <w:szCs w:val="24"/>
        </w:rPr>
        <w:t xml:space="preserve">այն էլեկտրոնային գրանցման դոսյեի բոլոր տարբերակներին (հաջորդականություններին), որի հիման </w:t>
      </w:r>
      <w:r w:rsidR="00AD6AA7" w:rsidRPr="00AD6AA7">
        <w:rPr>
          <w:rFonts w:ascii="Sylfaen" w:hAnsi="Sylfaen"/>
          <w:sz w:val="24"/>
          <w:szCs w:val="24"/>
        </w:rPr>
        <w:lastRenderedPageBreak/>
        <w:t>վրա ռեֆերենտ պետության կողմից պատրաստվել է գնահատման մասով փորձագիտական հաշվետվություն, և գնահատման մասով հաստատված փորձագիտական հաշվետվությանը փորձագիտական կազմակերպության կողմից հասանելիություն ստանալու օրվանից ոչ ուշ, քան 60 աշխատանքային օրվա ընթացքում</w:t>
      </w:r>
      <w:r w:rsidR="00AD6AA7">
        <w:rPr>
          <w:rFonts w:ascii="Sylfaen" w:hAnsi="Sylfaen"/>
          <w:sz w:val="24"/>
          <w:szCs w:val="24"/>
        </w:rPr>
        <w:t>:</w:t>
      </w:r>
    </w:p>
    <w:p w14:paraId="16ECE19C" w14:textId="49F7747F" w:rsidR="00AD6AA7" w:rsidRPr="00AD6AA7" w:rsidRDefault="00AD6AA7" w:rsidP="00AD6AA7">
      <w:pPr>
        <w:rPr>
          <w:b/>
          <w:bCs/>
          <w:i/>
          <w:iCs/>
        </w:rPr>
      </w:pPr>
      <w:r w:rsidRPr="00CD4709">
        <w:rPr>
          <w:b/>
          <w:bCs/>
          <w:i/>
          <w:iCs/>
        </w:rPr>
        <w:t>(</w:t>
      </w:r>
      <w:r>
        <w:rPr>
          <w:b/>
          <w:bCs/>
          <w:i/>
          <w:iCs/>
        </w:rPr>
        <w:t>68-րդ կետը խմբ</w:t>
      </w:r>
      <w:r w:rsidRPr="00CD4709">
        <w:rPr>
          <w:b/>
          <w:bCs/>
          <w:i/>
          <w:iCs/>
        </w:rPr>
        <w:t>. 30.01.20 թիվ 9)</w:t>
      </w:r>
    </w:p>
    <w:p w14:paraId="15310EDC" w14:textId="421DF290" w:rsidR="00AD6AA7" w:rsidRPr="00AD6AA7" w:rsidRDefault="00AD6AA7" w:rsidP="00AD6AA7">
      <w:pPr>
        <w:tabs>
          <w:tab w:val="left" w:pos="1134"/>
        </w:tabs>
        <w:spacing w:after="160" w:line="360" w:lineRule="auto"/>
        <w:ind w:right="-8" w:firstLine="567"/>
        <w:jc w:val="both"/>
        <w:rPr>
          <w:rFonts w:ascii="Sylfaen" w:hAnsi="Sylfaen"/>
          <w:sz w:val="24"/>
          <w:szCs w:val="24"/>
        </w:rPr>
      </w:pPr>
      <w:r w:rsidRPr="00AD6AA7">
        <w:rPr>
          <w:rFonts w:ascii="Sylfaen" w:hAnsi="Sylfaen"/>
          <w:sz w:val="24"/>
          <w:szCs w:val="24"/>
        </w:rPr>
        <w:t xml:space="preserve">69. Ճանաչման պետություններում փոխադարձ ճանաչման ընթացակարգի դեպքում դեղապատրաստուկի փորձաքննությունն իրականացվում է գնահատման մասով փորձագիտական հաշվետվությանը հասանելիություն ստանալու օրվանից 40 աշխատանքային օրը չգերազանցող ժամկետում՝ </w:t>
      </w:r>
    </w:p>
    <w:p w14:paraId="118459FC" w14:textId="11EF5289" w:rsidR="00AD6AA7" w:rsidRPr="00AD6AA7" w:rsidRDefault="00AD6AA7" w:rsidP="00AD6AA7">
      <w:pPr>
        <w:tabs>
          <w:tab w:val="left" w:pos="1134"/>
        </w:tabs>
        <w:spacing w:after="160" w:line="360" w:lineRule="auto"/>
        <w:ind w:right="-8" w:firstLine="567"/>
        <w:jc w:val="both"/>
        <w:rPr>
          <w:rFonts w:ascii="Sylfaen" w:hAnsi="Sylfaen"/>
          <w:sz w:val="24"/>
          <w:szCs w:val="24"/>
        </w:rPr>
      </w:pPr>
      <w:r w:rsidRPr="00AD6AA7">
        <w:rPr>
          <w:rFonts w:ascii="Sylfaen" w:hAnsi="Sylfaen"/>
          <w:sz w:val="24"/>
          <w:szCs w:val="24"/>
        </w:rPr>
        <w:t>ճանաչման պետություններում հայտի ներկայացման պահի դրությամբ ռեֆերենտ պետությունում արդիական գրանցման դոսյեում (հաշվի առնելով գրանցման դոսյեում կատարված փոփոխությունները, առկայության դեպքում) ներկայացված հայտի, փաստաթղթերի և տեղեկությունների քննարկման.</w:t>
      </w:r>
    </w:p>
    <w:p w14:paraId="5949C13A" w14:textId="253E0B8B" w:rsidR="00AD6AA7" w:rsidRPr="00AD6AA7" w:rsidRDefault="00AD6AA7" w:rsidP="00AD6AA7">
      <w:pPr>
        <w:tabs>
          <w:tab w:val="left" w:pos="1134"/>
        </w:tabs>
        <w:spacing w:after="160" w:line="360" w:lineRule="auto"/>
        <w:ind w:right="-8" w:firstLine="567"/>
        <w:jc w:val="both"/>
        <w:rPr>
          <w:rFonts w:ascii="Sylfaen" w:hAnsi="Sylfaen"/>
          <w:sz w:val="24"/>
          <w:szCs w:val="24"/>
        </w:rPr>
      </w:pPr>
      <w:r w:rsidRPr="00AD6AA7">
        <w:rPr>
          <w:rFonts w:ascii="Sylfaen" w:hAnsi="Sylfaen"/>
          <w:sz w:val="24"/>
          <w:szCs w:val="24"/>
        </w:rPr>
        <w:t xml:space="preserve">ճանաչման պետություններում հայտի ներկայացման պահի դրությամբ ռեֆերենտ պետությունում արդիականացված՝ ռեֆերենտ պետության փորձագիտական կազմակերպության կողմից պատրաստված գնահատման մասին փորձագիտական հաշվետվության քննարկման միջոցով: </w:t>
      </w:r>
    </w:p>
    <w:p w14:paraId="34E104EB" w14:textId="584D88B2" w:rsidR="00AD6AA7" w:rsidRPr="00AD6AA7" w:rsidRDefault="00AD6AA7" w:rsidP="00AD6AA7">
      <w:pPr>
        <w:tabs>
          <w:tab w:val="left" w:pos="1134"/>
        </w:tabs>
        <w:spacing w:after="160" w:line="360" w:lineRule="auto"/>
        <w:ind w:right="-8" w:firstLine="567"/>
        <w:jc w:val="both"/>
        <w:rPr>
          <w:rFonts w:ascii="Sylfaen" w:hAnsi="Sylfaen"/>
          <w:sz w:val="24"/>
          <w:szCs w:val="24"/>
        </w:rPr>
      </w:pPr>
      <w:r w:rsidRPr="00AD6AA7">
        <w:rPr>
          <w:rFonts w:ascii="Sylfaen" w:hAnsi="Sylfaen"/>
          <w:sz w:val="24"/>
          <w:szCs w:val="24"/>
        </w:rPr>
        <w:t xml:space="preserve">Ճանաչման պետության փորձագիտական կազմակերպությունը ծանուցում է ճանաչման պետության լիազորված մարմնին և հայտատուին լրիվ ծավալով նշված հասանելիությունն ստանալու մասին՝ այն ստանալու օրվանից 1 աշխատանքային օրվա ընթացքում: </w:t>
      </w:r>
    </w:p>
    <w:p w14:paraId="0802E50E" w14:textId="37866EBC" w:rsidR="006F76EB" w:rsidRDefault="00AD6AA7" w:rsidP="00AD6AA7">
      <w:pPr>
        <w:tabs>
          <w:tab w:val="left" w:pos="1134"/>
        </w:tabs>
        <w:spacing w:after="160" w:line="360" w:lineRule="auto"/>
        <w:ind w:right="-8" w:firstLine="567"/>
        <w:jc w:val="both"/>
        <w:rPr>
          <w:rFonts w:ascii="Sylfaen" w:hAnsi="Sylfaen"/>
          <w:sz w:val="24"/>
          <w:szCs w:val="24"/>
        </w:rPr>
      </w:pPr>
      <w:r w:rsidRPr="00AD6AA7">
        <w:rPr>
          <w:rFonts w:ascii="Sylfaen" w:hAnsi="Sylfaen"/>
          <w:sz w:val="24"/>
          <w:szCs w:val="24"/>
        </w:rPr>
        <w:t>Հայտատուն ծանուցվում է փորձաքննության մեկնարկի մասին էլեկտրոնային ձևով՝ կապի հեռահաղորդակցման ուղիներով: Ծանուցումը համարվում է ստացված այն ուղարկելու օրվանից 1 աշխատանքային օրը լրանալուն (կամ հայտատուի անձնական կաբինետում հրապարակելուն) պես</w:t>
      </w:r>
      <w:r w:rsidR="006F76EB" w:rsidRPr="00834D52">
        <w:rPr>
          <w:rFonts w:ascii="Sylfaen" w:hAnsi="Sylfaen"/>
          <w:sz w:val="24"/>
          <w:szCs w:val="24"/>
        </w:rPr>
        <w:t>։</w:t>
      </w:r>
    </w:p>
    <w:p w14:paraId="6578F0B6" w14:textId="2CE6974A" w:rsidR="00BA6133" w:rsidRPr="006F28F9" w:rsidRDefault="00BA6133" w:rsidP="00BA6133">
      <w:pPr>
        <w:rPr>
          <w:b/>
          <w:bCs/>
          <w:i/>
          <w:iCs/>
        </w:rPr>
      </w:pPr>
      <w:r w:rsidRPr="00CD4709">
        <w:rPr>
          <w:b/>
          <w:bCs/>
          <w:i/>
          <w:iCs/>
        </w:rPr>
        <w:t>(</w:t>
      </w:r>
      <w:r>
        <w:rPr>
          <w:b/>
          <w:bCs/>
          <w:i/>
          <w:iCs/>
        </w:rPr>
        <w:t xml:space="preserve">69-րդ կետը </w:t>
      </w:r>
      <w:r w:rsidRPr="00CD4709">
        <w:rPr>
          <w:b/>
          <w:bCs/>
          <w:i/>
          <w:iCs/>
        </w:rPr>
        <w:t>փոփ. 30.01.20 թիվ 9</w:t>
      </w:r>
      <w:r w:rsidR="00AD6AA7">
        <w:rPr>
          <w:b/>
          <w:bCs/>
          <w:i/>
          <w:iCs/>
        </w:rPr>
        <w:t>, խմբ. 17.03.22 թիվ 36</w:t>
      </w:r>
      <w:r w:rsidRPr="00CD4709">
        <w:rPr>
          <w:b/>
          <w:bCs/>
          <w:i/>
          <w:iCs/>
        </w:rPr>
        <w:t>)</w:t>
      </w:r>
    </w:p>
    <w:p w14:paraId="7219FA69" w14:textId="25FCE129"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lastRenderedPageBreak/>
        <w:t>70.</w:t>
      </w:r>
      <w:r w:rsidRPr="00834D52">
        <w:rPr>
          <w:rFonts w:ascii="Sylfaen" w:hAnsi="Sylfaen"/>
          <w:sz w:val="24"/>
          <w:szCs w:val="24"/>
        </w:rPr>
        <w:tab/>
        <w:t xml:space="preserve">Ճանաչման պետության լիազորված մարմինը (փորձագիտական կազմակերպությունը) </w:t>
      </w:r>
      <w:r w:rsidR="0056496B">
        <w:rPr>
          <w:rFonts w:ascii="Sylfaen" w:hAnsi="Sylfaen"/>
          <w:sz w:val="24"/>
          <w:szCs w:val="24"/>
        </w:rPr>
        <w:t>դիմում</w:t>
      </w:r>
      <w:r w:rsidRPr="00834D52">
        <w:rPr>
          <w:rFonts w:ascii="Sylfaen" w:hAnsi="Sylfaen"/>
          <w:sz w:val="24"/>
          <w:szCs w:val="24"/>
        </w:rPr>
        <w:t xml:space="preserve"> ներկայացնելու օրվանից 1</w:t>
      </w:r>
      <w:r w:rsidR="00AD6AA7">
        <w:rPr>
          <w:rFonts w:ascii="Sylfaen" w:hAnsi="Sylfaen"/>
          <w:sz w:val="24"/>
          <w:szCs w:val="24"/>
        </w:rPr>
        <w:t>0</w:t>
      </w:r>
      <w:r w:rsidRPr="00834D52">
        <w:rPr>
          <w:rFonts w:ascii="Sylfaen" w:hAnsi="Sylfaen"/>
          <w:sz w:val="24"/>
          <w:szCs w:val="24"/>
        </w:rPr>
        <w:t xml:space="preserve"> աշխատանքային օրվա ընթացքում մերժում է փոխադարձ ճանաչման ընթացակարգով դեղապատրաստուկի գրանցման </w:t>
      </w:r>
      <w:r w:rsidR="0056496B">
        <w:rPr>
          <w:rFonts w:ascii="Sylfaen" w:hAnsi="Sylfaen"/>
          <w:sz w:val="24"/>
          <w:szCs w:val="24"/>
        </w:rPr>
        <w:t>դիմում</w:t>
      </w:r>
      <w:r w:rsidRPr="00834D52">
        <w:rPr>
          <w:rFonts w:ascii="Sylfaen" w:hAnsi="Sylfaen"/>
          <w:sz w:val="24"/>
          <w:szCs w:val="24"/>
        </w:rPr>
        <w:t xml:space="preserve">ը՝ սույն Կանոնների պահանջներին դրա անհամապատասխանության </w:t>
      </w:r>
      <w:r w:rsidR="00C54D75">
        <w:rPr>
          <w:rFonts w:ascii="Sylfaen" w:hAnsi="Sylfaen"/>
          <w:sz w:val="24"/>
          <w:szCs w:val="24"/>
        </w:rPr>
        <w:t>և</w:t>
      </w:r>
      <w:r w:rsidRPr="00834D52">
        <w:rPr>
          <w:rFonts w:ascii="Sylfaen" w:hAnsi="Sylfaen"/>
          <w:sz w:val="24"/>
          <w:szCs w:val="24"/>
        </w:rPr>
        <w:t xml:space="preserve"> (կամ)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ճանաչման պետության օրենսդրությամբ նախատեսված դեպքերում </w:t>
      </w:r>
      <w:r w:rsidR="00C54D75">
        <w:rPr>
          <w:rFonts w:ascii="Sylfaen" w:hAnsi="Sylfaen"/>
          <w:sz w:val="24"/>
          <w:szCs w:val="24"/>
        </w:rPr>
        <w:t>և</w:t>
      </w:r>
      <w:r w:rsidRPr="00834D52">
        <w:rPr>
          <w:rFonts w:ascii="Sylfaen" w:hAnsi="Sylfaen"/>
          <w:sz w:val="24"/>
          <w:szCs w:val="24"/>
        </w:rPr>
        <w:t xml:space="preserve"> կարգով։</w:t>
      </w:r>
    </w:p>
    <w:p w14:paraId="2EC239D8" w14:textId="0BBDDC05" w:rsidR="00BA6133" w:rsidRPr="006F28F9" w:rsidRDefault="00BA6133" w:rsidP="00BA6133">
      <w:pPr>
        <w:rPr>
          <w:b/>
          <w:bCs/>
          <w:i/>
          <w:iCs/>
        </w:rPr>
      </w:pPr>
      <w:r w:rsidRPr="00CD4709">
        <w:rPr>
          <w:b/>
          <w:bCs/>
          <w:i/>
          <w:iCs/>
        </w:rPr>
        <w:t>(</w:t>
      </w:r>
      <w:r>
        <w:rPr>
          <w:b/>
          <w:bCs/>
          <w:i/>
          <w:iCs/>
        </w:rPr>
        <w:t xml:space="preserve">70-րդ կետը </w:t>
      </w:r>
      <w:r w:rsidRPr="00CD4709">
        <w:rPr>
          <w:b/>
          <w:bCs/>
          <w:i/>
          <w:iCs/>
        </w:rPr>
        <w:t>փոփ. 30.01.20 թիվ 9</w:t>
      </w:r>
      <w:r w:rsidR="00AD6AA7">
        <w:rPr>
          <w:b/>
          <w:bCs/>
          <w:i/>
          <w:iCs/>
        </w:rPr>
        <w:t>, 17.03.22 թիվ 36</w:t>
      </w:r>
      <w:r w:rsidRPr="00CD4709">
        <w:rPr>
          <w:b/>
          <w:bCs/>
          <w:i/>
          <w:iCs/>
        </w:rPr>
        <w:t>)</w:t>
      </w:r>
    </w:p>
    <w:p w14:paraId="69A8946A" w14:textId="542847BD" w:rsidR="006F76EB" w:rsidRDefault="006F76EB" w:rsidP="00FA5363">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71.</w:t>
      </w:r>
      <w:r w:rsidRPr="00834D52">
        <w:rPr>
          <w:rFonts w:ascii="Sylfaen" w:hAnsi="Sylfaen"/>
          <w:sz w:val="24"/>
          <w:szCs w:val="24"/>
        </w:rPr>
        <w:tab/>
        <w:t xml:space="preserve">Փոխադարձ ճանաչման ընթացակարգով դեղապատրաստուկը գրանցելիս ճանաչման պետության լիազորված մարմինը (փորձագիտական կազմակերպությունը) գնահատման վերաբերյալ փորձագիտական հաշվետվության նկատմամբ հասանելիություն ստանալուց հետո ոչ ուշ, քան </w:t>
      </w:r>
      <w:r w:rsidR="00AD6AA7" w:rsidRPr="00AD6AA7">
        <w:rPr>
          <w:rFonts w:ascii="Sylfaen" w:hAnsi="Sylfaen"/>
          <w:sz w:val="24"/>
          <w:szCs w:val="24"/>
        </w:rPr>
        <w:t>30 աշխատանքային օրվա ընթացքում</w:t>
      </w:r>
      <w:r w:rsidR="00AD6AA7">
        <w:rPr>
          <w:rFonts w:ascii="Sylfaen" w:hAnsi="Sylfaen"/>
          <w:sz w:val="24"/>
          <w:szCs w:val="24"/>
        </w:rPr>
        <w:t xml:space="preserve"> </w:t>
      </w:r>
      <w:r w:rsidRPr="00834D52">
        <w:rPr>
          <w:rFonts w:ascii="Sylfaen" w:hAnsi="Sylfaen"/>
          <w:sz w:val="24"/>
          <w:szCs w:val="24"/>
        </w:rPr>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ուղարկում հարցում՝ սույն Կանոնների թիվ 18 հավելվածի համաձայն սահմանված ձ</w:t>
      </w:r>
      <w:r w:rsidR="00C54D75">
        <w:rPr>
          <w:rFonts w:ascii="Sylfaen" w:hAnsi="Sylfaen"/>
          <w:sz w:val="24"/>
          <w:szCs w:val="24"/>
        </w:rPr>
        <w:t>և</w:t>
      </w:r>
      <w:r w:rsidRPr="00834D52">
        <w:rPr>
          <w:rFonts w:ascii="Sylfaen" w:hAnsi="Sylfaen"/>
          <w:sz w:val="24"/>
          <w:szCs w:val="24"/>
        </w:rPr>
        <w:t>ով ։</w:t>
      </w:r>
    </w:p>
    <w:p w14:paraId="5553B3E2" w14:textId="7AD11477" w:rsidR="00AD6AA7" w:rsidRPr="00AD6AA7" w:rsidRDefault="00AD6AA7" w:rsidP="00AD6AA7">
      <w:pPr>
        <w:tabs>
          <w:tab w:val="left" w:pos="1134"/>
        </w:tabs>
        <w:spacing w:after="160" w:line="384" w:lineRule="auto"/>
        <w:ind w:right="-6" w:firstLine="567"/>
        <w:jc w:val="both"/>
        <w:rPr>
          <w:rFonts w:ascii="Sylfaen" w:hAnsi="Sylfaen"/>
          <w:sz w:val="24"/>
          <w:szCs w:val="24"/>
        </w:rPr>
      </w:pPr>
      <w:r w:rsidRPr="00AD6AA7">
        <w:rPr>
          <w:rFonts w:ascii="Sylfaen" w:hAnsi="Sylfaen"/>
          <w:sz w:val="24"/>
          <w:szCs w:val="24"/>
        </w:rPr>
        <w:t xml:space="preserve">Հայտատուի հասցեին ճանաչման պետության լիազորված մարմնի (փորձագիտական կազմակերպության) հարցումը կարող է փոխանցվել հայտատուի լիազորված ներկայացուցչին անձամբ՝ ստորագրությամբ, ուղարկվել փոստով՝ պատվիրված նամակով, կամ փոխանցվել էլեկտրոնային ձևով՝ կապի հեռահաղորդակցական ուղիներով: Փոստով պատվիրված նամակով տվյալ հարցումն ուղարկելու դեպքում այն համարվում է ստացված՝ պատվիրված նամակն ուղարկելու օրվանից 6 օրացուցային օրը լրանալուն պես: Կապի հեռահաղորդակցական ուղիներով ուղարկելու դեպքում հարցումը համարվում է ստացված այն ուղարկելու օրվանից 1 օրացուցային օրը լրանալուն պես: </w:t>
      </w:r>
    </w:p>
    <w:p w14:paraId="2854FD92" w14:textId="0728CAA2" w:rsidR="00AD6AA7" w:rsidRDefault="00AD6AA7" w:rsidP="00AD6AA7">
      <w:pPr>
        <w:tabs>
          <w:tab w:val="left" w:pos="1134"/>
        </w:tabs>
        <w:spacing w:after="160" w:line="384" w:lineRule="auto"/>
        <w:ind w:right="-6" w:firstLine="567"/>
        <w:jc w:val="both"/>
        <w:rPr>
          <w:rFonts w:ascii="Sylfaen" w:hAnsi="Sylfaen"/>
          <w:sz w:val="24"/>
          <w:szCs w:val="24"/>
        </w:rPr>
      </w:pPr>
      <w:r w:rsidRPr="00AD6AA7">
        <w:rPr>
          <w:rFonts w:ascii="Sylfaen" w:hAnsi="Sylfaen"/>
          <w:sz w:val="24"/>
          <w:szCs w:val="24"/>
        </w:rPr>
        <w:t xml:space="preserve">Ճանաչման պետության լիազորված մարմնի (փորձագիտական կազմակերպության) հարցումը ռեֆերենտ պետության լիազորված մարմնի </w:t>
      </w:r>
      <w:r w:rsidRPr="00AD6AA7">
        <w:rPr>
          <w:rFonts w:ascii="Sylfaen" w:hAnsi="Sylfaen"/>
          <w:sz w:val="24"/>
          <w:szCs w:val="24"/>
        </w:rPr>
        <w:lastRenderedPageBreak/>
        <w:t>հասցեին ուղարկվում է ինտեգրված համակարգի օգտագործման միջոցով</w:t>
      </w:r>
    </w:p>
    <w:p w14:paraId="1ACF8FBC" w14:textId="2955B858" w:rsidR="00BA6133" w:rsidRPr="006F28F9" w:rsidRDefault="00BA6133" w:rsidP="00BA6133">
      <w:pPr>
        <w:rPr>
          <w:b/>
          <w:bCs/>
          <w:i/>
          <w:iCs/>
        </w:rPr>
      </w:pPr>
      <w:r w:rsidRPr="00CD4709">
        <w:rPr>
          <w:b/>
          <w:bCs/>
          <w:i/>
          <w:iCs/>
        </w:rPr>
        <w:t>(</w:t>
      </w:r>
      <w:r>
        <w:rPr>
          <w:b/>
          <w:bCs/>
          <w:i/>
          <w:iCs/>
        </w:rPr>
        <w:t xml:space="preserve">71-րդ կետը </w:t>
      </w:r>
      <w:r w:rsidRPr="00CD4709">
        <w:rPr>
          <w:b/>
          <w:bCs/>
          <w:i/>
          <w:iCs/>
        </w:rPr>
        <w:t>փոփ. 30.01.20 թիվ 9</w:t>
      </w:r>
      <w:r w:rsidR="00AD6AA7">
        <w:rPr>
          <w:b/>
          <w:bCs/>
          <w:i/>
          <w:iCs/>
        </w:rPr>
        <w:t xml:space="preserve">, փոփ., լրաց. 17.03.22 թիվ 36 </w:t>
      </w:r>
      <w:r w:rsidRPr="00CD4709">
        <w:rPr>
          <w:b/>
          <w:bCs/>
          <w:i/>
          <w:iCs/>
        </w:rPr>
        <w:t>)</w:t>
      </w:r>
    </w:p>
    <w:p w14:paraId="03529388" w14:textId="38478677" w:rsidR="006F76EB" w:rsidRDefault="006F76EB" w:rsidP="00FA5363">
      <w:pPr>
        <w:tabs>
          <w:tab w:val="left" w:pos="1134"/>
        </w:tabs>
        <w:spacing w:after="160" w:line="384" w:lineRule="auto"/>
        <w:ind w:right="-8" w:firstLine="567"/>
        <w:jc w:val="both"/>
        <w:rPr>
          <w:rFonts w:ascii="Sylfaen" w:hAnsi="Sylfaen"/>
          <w:sz w:val="24"/>
          <w:szCs w:val="24"/>
        </w:rPr>
      </w:pPr>
      <w:r w:rsidRPr="00834D52">
        <w:rPr>
          <w:rFonts w:ascii="Sylfaen" w:hAnsi="Sylfaen"/>
          <w:sz w:val="24"/>
          <w:szCs w:val="24"/>
        </w:rPr>
        <w:t>72.</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հարցման պատասխանն ուղարկում է ճանաչման պետության լիազորված մարմին (փորձագիտական կազմակերպություն) 90</w:t>
      </w:r>
      <w:r w:rsidR="00B90C69" w:rsidRPr="007D0283">
        <w:rPr>
          <w:rFonts w:ascii="Sylfaen" w:hAnsi="Sylfaen"/>
          <w:sz w:val="24"/>
          <w:szCs w:val="24"/>
        </w:rPr>
        <w:t> </w:t>
      </w:r>
      <w:r w:rsidR="002F7C3A">
        <w:rPr>
          <w:rFonts w:ascii="Arial Unicode" w:hAnsi="Arial Unicode"/>
          <w:sz w:val="21"/>
          <w:szCs w:val="21"/>
        </w:rPr>
        <w:t>աշխատանքային</w:t>
      </w:r>
      <w:r w:rsidRPr="00834D52">
        <w:rPr>
          <w:rFonts w:ascii="Sylfaen" w:hAnsi="Sylfaen"/>
          <w:sz w:val="24"/>
          <w:szCs w:val="24"/>
        </w:rPr>
        <w:t xml:space="preserve"> օրը չգերազանցող ժամկետում։ </w:t>
      </w:r>
      <w:r w:rsidR="0056496B">
        <w:rPr>
          <w:rFonts w:ascii="Sylfaen" w:hAnsi="Sylfaen"/>
          <w:sz w:val="24"/>
          <w:szCs w:val="24"/>
        </w:rPr>
        <w:t>Դիմումատու</w:t>
      </w:r>
      <w:r w:rsidRPr="00834D52">
        <w:rPr>
          <w:rFonts w:ascii="Sylfaen" w:hAnsi="Sylfaen"/>
          <w:sz w:val="24"/>
          <w:szCs w:val="24"/>
        </w:rPr>
        <w:t xml:space="preserve">ի՝ հարցմանը պատասխանելու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ընդհանուր ժամկետի մեջ։ </w:t>
      </w:r>
      <w:r w:rsidR="0056496B">
        <w:rPr>
          <w:rFonts w:ascii="Sylfaen" w:hAnsi="Sylfaen"/>
          <w:sz w:val="24"/>
          <w:szCs w:val="24"/>
        </w:rPr>
        <w:t>Դիմումատու</w:t>
      </w:r>
      <w:r w:rsidRPr="00834D52">
        <w:rPr>
          <w:rFonts w:ascii="Sylfaen" w:hAnsi="Sylfaen"/>
          <w:sz w:val="24"/>
          <w:szCs w:val="24"/>
        </w:rPr>
        <w:t xml:space="preserve">ի պատասխանը ստանալու պահից 5 աշխատանքային օրվա ընթացքում ճանաչման պետության լիազորված մարմինը (փորձագիտական կազմակերպությունը) ինտեգրված համակարգի միջոցով ապահովում է դրա նկատմամբ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հասանելիությունը։</w:t>
      </w:r>
    </w:p>
    <w:p w14:paraId="5EEBBFF5" w14:textId="40CBBB38" w:rsidR="00BA6133" w:rsidRPr="006F28F9" w:rsidRDefault="00BA6133" w:rsidP="00BA6133">
      <w:pPr>
        <w:rPr>
          <w:b/>
          <w:bCs/>
          <w:i/>
          <w:iCs/>
        </w:rPr>
      </w:pPr>
      <w:r w:rsidRPr="00CD4709">
        <w:rPr>
          <w:b/>
          <w:bCs/>
          <w:i/>
          <w:iCs/>
        </w:rPr>
        <w:t>(</w:t>
      </w:r>
      <w:r>
        <w:rPr>
          <w:b/>
          <w:bCs/>
          <w:i/>
          <w:iCs/>
        </w:rPr>
        <w:t xml:space="preserve">72-րդ կետը </w:t>
      </w:r>
      <w:r w:rsidRPr="00CD4709">
        <w:rPr>
          <w:b/>
          <w:bCs/>
          <w:i/>
          <w:iCs/>
        </w:rPr>
        <w:t>փոփ. 30.01.20 թիվ 9</w:t>
      </w:r>
      <w:r w:rsidR="002F7C3A">
        <w:rPr>
          <w:b/>
          <w:bCs/>
          <w:i/>
          <w:iCs/>
        </w:rPr>
        <w:t>, 17.03.22 թիվ 36</w:t>
      </w:r>
      <w:r w:rsidRPr="00CD4709">
        <w:rPr>
          <w:b/>
          <w:bCs/>
          <w:i/>
          <w:iCs/>
        </w:rPr>
        <w:t>)</w:t>
      </w:r>
    </w:p>
    <w:p w14:paraId="11F286E6" w14:textId="62DA20D1" w:rsidR="006F76EB" w:rsidRDefault="006F76EB" w:rsidP="00143A1A">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73.</w:t>
      </w:r>
      <w:r w:rsidRPr="00834D52">
        <w:rPr>
          <w:rFonts w:ascii="Sylfaen" w:hAnsi="Sylfaen"/>
          <w:sz w:val="24"/>
          <w:szCs w:val="24"/>
        </w:rPr>
        <w:tab/>
        <w:t xml:space="preserve">Ճանաչման պետության լիազորված մարմնի (փորձագիտական կազմակերպության) պահանջած փաստաթղթերն ու տեղեկությունները </w:t>
      </w:r>
      <w:r w:rsidR="0056496B">
        <w:rPr>
          <w:rFonts w:ascii="Sylfaen" w:hAnsi="Sylfaen"/>
          <w:sz w:val="24"/>
          <w:szCs w:val="24"/>
        </w:rPr>
        <w:t>դիմումատու</w:t>
      </w:r>
      <w:r w:rsidRPr="00834D52">
        <w:rPr>
          <w:rFonts w:ascii="Sylfaen" w:hAnsi="Sylfaen"/>
          <w:sz w:val="24"/>
          <w:szCs w:val="24"/>
        </w:rPr>
        <w:t>ի կողմից սահմանված ժամկետում չներկայացնելու դեպքում ճանաչման տվյալ պետությունում դեղապատրաստուկի փորձաքննությունն ու գրանցումը դադարեցվում է։</w:t>
      </w:r>
    </w:p>
    <w:p w14:paraId="2BCCEF96" w14:textId="179C5050" w:rsidR="002F7C3A" w:rsidRPr="002F7C3A" w:rsidRDefault="002F7C3A" w:rsidP="002F7C3A">
      <w:pPr>
        <w:tabs>
          <w:tab w:val="left" w:pos="1134"/>
        </w:tabs>
        <w:spacing w:after="160" w:line="360" w:lineRule="auto"/>
        <w:ind w:right="-8" w:firstLine="567"/>
        <w:jc w:val="both"/>
        <w:rPr>
          <w:rFonts w:ascii="Sylfaen" w:hAnsi="Sylfaen"/>
          <w:sz w:val="24"/>
          <w:szCs w:val="24"/>
        </w:rPr>
      </w:pPr>
      <w:r w:rsidRPr="002F7C3A">
        <w:rPr>
          <w:rFonts w:ascii="Sylfaen" w:hAnsi="Sylfaen"/>
          <w:sz w:val="24"/>
          <w:szCs w:val="24"/>
        </w:rPr>
        <w:t xml:space="preserve">Ճանաչման պետության լիազորված մարմնի (փորձագիտական կազմակերպության) կողմից հարցված փաստաթղթերը և տեղեկությունները 100 աշխատանքային օրվա ընթացքում ռեֆերենտ պետության լիազորված մարմնի կողմից չներկայացնելու դեպքում ձևակերպվում է ռեֆերենտ պետության պատրաստած՝ գնահատման փորձագիտական հաշվետվության ճանաչման անհնարինության մասին եզրակացություն: </w:t>
      </w:r>
    </w:p>
    <w:p w14:paraId="6529EB15" w14:textId="04DC6F09" w:rsidR="002F7C3A" w:rsidRDefault="002F7C3A" w:rsidP="002F7C3A">
      <w:pPr>
        <w:tabs>
          <w:tab w:val="left" w:pos="1134"/>
        </w:tabs>
        <w:spacing w:after="160" w:line="360" w:lineRule="auto"/>
        <w:ind w:right="-8" w:firstLine="567"/>
        <w:jc w:val="both"/>
        <w:rPr>
          <w:rFonts w:ascii="Sylfaen" w:hAnsi="Sylfaen"/>
          <w:sz w:val="24"/>
          <w:szCs w:val="24"/>
        </w:rPr>
      </w:pPr>
      <w:r w:rsidRPr="002F7C3A">
        <w:rPr>
          <w:rFonts w:ascii="Sylfaen" w:hAnsi="Sylfaen"/>
          <w:sz w:val="24"/>
          <w:szCs w:val="24"/>
        </w:rPr>
        <w:t>Նշված հաշվետվությունն ուղարկում է ճանաչման պետությունը՝ Փորձագիտական կոմիտեի կողմից քննարկման համար</w:t>
      </w:r>
      <w:r>
        <w:rPr>
          <w:rFonts w:ascii="Sylfaen" w:hAnsi="Sylfaen"/>
          <w:sz w:val="24"/>
          <w:szCs w:val="24"/>
        </w:rPr>
        <w:t>:</w:t>
      </w:r>
    </w:p>
    <w:p w14:paraId="73B055C8" w14:textId="7EA775E4" w:rsidR="00BA6133" w:rsidRPr="006F28F9" w:rsidRDefault="00BA6133" w:rsidP="00BA6133">
      <w:pPr>
        <w:rPr>
          <w:b/>
          <w:bCs/>
          <w:i/>
          <w:iCs/>
        </w:rPr>
      </w:pPr>
      <w:r w:rsidRPr="00CD4709">
        <w:rPr>
          <w:b/>
          <w:bCs/>
          <w:i/>
          <w:iCs/>
        </w:rPr>
        <w:t>(</w:t>
      </w:r>
      <w:r>
        <w:rPr>
          <w:b/>
          <w:bCs/>
          <w:i/>
          <w:iCs/>
        </w:rPr>
        <w:t xml:space="preserve">73-րդ կետը </w:t>
      </w:r>
      <w:r w:rsidRPr="00CD4709">
        <w:rPr>
          <w:b/>
          <w:bCs/>
          <w:i/>
          <w:iCs/>
        </w:rPr>
        <w:t>փոփ. 30.01.20 թիվ 9</w:t>
      </w:r>
      <w:r w:rsidR="002F7C3A">
        <w:rPr>
          <w:b/>
          <w:bCs/>
          <w:i/>
          <w:iCs/>
        </w:rPr>
        <w:t>, լրաց. 17.03.22 թիվ 36</w:t>
      </w:r>
      <w:r w:rsidRPr="00CD4709">
        <w:rPr>
          <w:b/>
          <w:bCs/>
          <w:i/>
          <w:iCs/>
        </w:rPr>
        <w:t>)</w:t>
      </w:r>
    </w:p>
    <w:p w14:paraId="202DEBC4" w14:textId="01E73B36" w:rsidR="006F76EB" w:rsidRDefault="006F76EB" w:rsidP="00143A1A">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74.</w:t>
      </w:r>
      <w:r w:rsidRPr="00834D52">
        <w:rPr>
          <w:rFonts w:ascii="Sylfaen" w:hAnsi="Sylfaen"/>
          <w:sz w:val="24"/>
          <w:szCs w:val="24"/>
        </w:rPr>
        <w:tab/>
        <w:t xml:space="preserve">Լիազորված մարմնի </w:t>
      </w:r>
      <w:r w:rsidR="00C54D75">
        <w:rPr>
          <w:rFonts w:ascii="Sylfaen" w:hAnsi="Sylfaen"/>
          <w:sz w:val="24"/>
          <w:szCs w:val="24"/>
        </w:rPr>
        <w:t>և</w:t>
      </w:r>
      <w:r w:rsidRPr="00834D52">
        <w:rPr>
          <w:rFonts w:ascii="Sylfaen" w:hAnsi="Sylfaen"/>
          <w:sz w:val="24"/>
          <w:szCs w:val="24"/>
        </w:rPr>
        <w:t xml:space="preserve"> (կամ) փորձագիտական կազմակերպության </w:t>
      </w:r>
      <w:r w:rsidRPr="00834D52">
        <w:rPr>
          <w:rFonts w:ascii="Sylfaen" w:hAnsi="Sylfaen"/>
          <w:sz w:val="24"/>
          <w:szCs w:val="24"/>
        </w:rPr>
        <w:lastRenderedPageBreak/>
        <w:t xml:space="preserve">կայացրած որոշման մասին </w:t>
      </w:r>
      <w:r w:rsidR="0056496B">
        <w:rPr>
          <w:rFonts w:ascii="Sylfaen" w:hAnsi="Sylfaen"/>
          <w:sz w:val="24"/>
          <w:szCs w:val="24"/>
        </w:rPr>
        <w:t>դիմումատու</w:t>
      </w:r>
      <w:r w:rsidRPr="00834D52">
        <w:rPr>
          <w:rFonts w:ascii="Sylfaen" w:hAnsi="Sylfaen"/>
          <w:sz w:val="24"/>
          <w:szCs w:val="24"/>
        </w:rPr>
        <w:t xml:space="preserve">ն ծանուցվում է որոշումը կայացնելու օրվանից 10 աշխատանքային օրվա ընթացքում (էլեկտրոնային </w:t>
      </w:r>
      <w:r w:rsidR="00C54D75">
        <w:rPr>
          <w:rFonts w:ascii="Sylfaen" w:hAnsi="Sylfaen"/>
          <w:sz w:val="24"/>
          <w:szCs w:val="24"/>
        </w:rPr>
        <w:t>և</w:t>
      </w:r>
      <w:r w:rsidRPr="00834D52">
        <w:rPr>
          <w:rFonts w:ascii="Sylfaen" w:hAnsi="Sylfaen"/>
          <w:sz w:val="24"/>
          <w:szCs w:val="24"/>
        </w:rPr>
        <w:t xml:space="preserve"> (կամ) թղթային եղանակով)։</w:t>
      </w:r>
    </w:p>
    <w:p w14:paraId="1ED72DE2" w14:textId="7E147C44" w:rsidR="00BA6133" w:rsidRPr="006F28F9" w:rsidRDefault="00BA6133" w:rsidP="00BA6133">
      <w:pPr>
        <w:rPr>
          <w:b/>
          <w:bCs/>
          <w:i/>
          <w:iCs/>
        </w:rPr>
      </w:pPr>
      <w:r w:rsidRPr="00CD4709">
        <w:rPr>
          <w:b/>
          <w:bCs/>
          <w:i/>
          <w:iCs/>
        </w:rPr>
        <w:t>(</w:t>
      </w:r>
      <w:r>
        <w:rPr>
          <w:b/>
          <w:bCs/>
          <w:i/>
          <w:iCs/>
        </w:rPr>
        <w:t xml:space="preserve">74-րդ կետը </w:t>
      </w:r>
      <w:r w:rsidRPr="00CD4709">
        <w:rPr>
          <w:b/>
          <w:bCs/>
          <w:i/>
          <w:iCs/>
        </w:rPr>
        <w:t>փոփ. 30.01.20 թիվ 9)</w:t>
      </w:r>
    </w:p>
    <w:p w14:paraId="1CBA9041" w14:textId="668E9F50" w:rsidR="006F76EB" w:rsidRDefault="006F76EB" w:rsidP="00143A1A">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75.</w:t>
      </w:r>
      <w:r w:rsidRPr="00834D52">
        <w:rPr>
          <w:rFonts w:ascii="Sylfaen" w:hAnsi="Sylfaen"/>
          <w:sz w:val="24"/>
          <w:szCs w:val="24"/>
        </w:rPr>
        <w:tab/>
      </w:r>
      <w:r w:rsidR="002F7C3A" w:rsidRPr="002F7C3A">
        <w:rPr>
          <w:rFonts w:ascii="Sylfaen" w:hAnsi="Sylfaen"/>
          <w:sz w:val="24"/>
          <w:szCs w:val="24"/>
        </w:rPr>
        <w:t>Ճանաչման պետության լիազորված մարմինը (փորձագիտական կազմակերպությունը), ըստ դեղապատրաստուկի փորձաքննության անցկացման արդյունքների, սույն կանոնների 69-րդ կետում նշված փորձաքննության ավարտի օրվանից 5 աշխատանքային օրվա ընթացքում ինտեգրված համակարգի օգտագործմամբ ռեֆերենտ պետության լիազորված մարմին (փորձագիտական կազմակերպություն) է ուղարկում ռեֆերենտ պետության պատրաստած՝ գնահատման մասով փորձագիտական հաշվետվության ճանաչման հնարավորության կամ անհնարինության մասին եզրակացությունը: Ռեֆերենտ պետության լիազորված մարմինը տեղեկացնում է հայտատուին ստացված եզրակացության մասին էլեկտրոնային ձևով՝ կապի հեռահաղորդակցական ուղիներով, և որոշում է ընդունում ռեֆերենտ պետության պատրաստած՝ գնահատման մասով փորձագիտական հաշվետվության ճանաչման հնարավորության կամ անհնարինության մասին</w:t>
      </w:r>
      <w:r w:rsidRPr="00834D52">
        <w:rPr>
          <w:rFonts w:ascii="Sylfaen" w:hAnsi="Sylfaen"/>
          <w:sz w:val="24"/>
          <w:szCs w:val="24"/>
        </w:rPr>
        <w:t>։</w:t>
      </w:r>
    </w:p>
    <w:p w14:paraId="04FBA66E" w14:textId="0E7FF7A6" w:rsidR="00BA6133" w:rsidRPr="006F28F9" w:rsidRDefault="00BA6133" w:rsidP="00BA6133">
      <w:pPr>
        <w:rPr>
          <w:b/>
          <w:bCs/>
          <w:i/>
          <w:iCs/>
        </w:rPr>
      </w:pPr>
      <w:r w:rsidRPr="00CD4709">
        <w:rPr>
          <w:b/>
          <w:bCs/>
          <w:i/>
          <w:iCs/>
        </w:rPr>
        <w:t>(</w:t>
      </w:r>
      <w:r>
        <w:rPr>
          <w:b/>
          <w:bCs/>
          <w:i/>
          <w:iCs/>
        </w:rPr>
        <w:t xml:space="preserve">75-րդ կետը </w:t>
      </w:r>
      <w:r w:rsidRPr="00CD4709">
        <w:rPr>
          <w:b/>
          <w:bCs/>
          <w:i/>
          <w:iCs/>
        </w:rPr>
        <w:t>փոփ. 30.01.20 թիվ 9</w:t>
      </w:r>
      <w:r w:rsidR="002F7C3A">
        <w:rPr>
          <w:b/>
          <w:bCs/>
          <w:i/>
          <w:iCs/>
        </w:rPr>
        <w:t>, խմբ. 17.03.22 թիվ 36</w:t>
      </w:r>
      <w:r w:rsidRPr="00CD4709">
        <w:rPr>
          <w:b/>
          <w:bCs/>
          <w:i/>
          <w:iCs/>
        </w:rPr>
        <w:t>)</w:t>
      </w:r>
    </w:p>
    <w:p w14:paraId="3C3CBD1E" w14:textId="41EB1DE7" w:rsidR="006F76EB" w:rsidRPr="00834D52" w:rsidRDefault="006F76EB" w:rsidP="00143A1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76.</w:t>
      </w:r>
      <w:r w:rsidRPr="00834D52">
        <w:rPr>
          <w:rFonts w:ascii="Sylfaen" w:hAnsi="Sylfaen"/>
          <w:sz w:val="24"/>
          <w:szCs w:val="24"/>
        </w:rPr>
        <w:tab/>
        <w:t xml:space="preserve">Եթե դեղապատրաստուկի փորձաքննության անցկացման արդյունքներով ճանաչման պետության լիազորված մարմինը կայացնում է դեղապատրաստուկի գրանցման վերաբերյալ դրական որոշում, ապա ճանաչման պետության լիազորված մարմինը ոչ ուշ, քան </w:t>
      </w:r>
      <w:r w:rsidR="002F7C3A">
        <w:rPr>
          <w:rFonts w:ascii="Sylfaen" w:hAnsi="Sylfaen"/>
          <w:sz w:val="24"/>
          <w:szCs w:val="24"/>
        </w:rPr>
        <w:t>5</w:t>
      </w:r>
      <w:r w:rsidRPr="00834D52">
        <w:rPr>
          <w:rFonts w:ascii="Sylfaen" w:hAnsi="Sylfaen"/>
          <w:sz w:val="24"/>
          <w:szCs w:val="24"/>
        </w:rPr>
        <w:t xml:space="preserve"> աշխատանքային օրվա ընթացքում՝</w:t>
      </w:r>
    </w:p>
    <w:p w14:paraId="013007E3" w14:textId="2C8D157D" w:rsidR="006F76EB" w:rsidRPr="00834D52" w:rsidRDefault="006F76EB" w:rsidP="00143A1A">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ա)</w:t>
      </w:r>
      <w:r w:rsidRPr="00834D52">
        <w:rPr>
          <w:rFonts w:ascii="Sylfaen" w:hAnsi="Sylfaen"/>
          <w:spacing w:val="-4"/>
          <w:sz w:val="24"/>
          <w:szCs w:val="24"/>
        </w:rPr>
        <w:tab/>
      </w:r>
      <w:r w:rsidR="0056496B">
        <w:rPr>
          <w:rFonts w:ascii="Sylfaen" w:hAnsi="Sylfaen"/>
          <w:spacing w:val="-4"/>
          <w:sz w:val="24"/>
          <w:szCs w:val="24"/>
        </w:rPr>
        <w:t>դիմումատու</w:t>
      </w:r>
      <w:r w:rsidRPr="00834D52">
        <w:rPr>
          <w:rFonts w:ascii="Sylfaen" w:hAnsi="Sylfaen"/>
          <w:spacing w:val="-4"/>
          <w:sz w:val="24"/>
          <w:szCs w:val="24"/>
        </w:rPr>
        <w:t>ին տրամադրում է դեղապատրաստուկի գրանցման հավաստագիր՝ սույն Կանոնների թիվ 17 հավելվածի համաձայն սահմանված ձ</w:t>
      </w:r>
      <w:r w:rsidR="00C54D75">
        <w:rPr>
          <w:rFonts w:ascii="Sylfaen" w:hAnsi="Sylfaen"/>
          <w:spacing w:val="-4"/>
          <w:sz w:val="24"/>
          <w:szCs w:val="24"/>
        </w:rPr>
        <w:t>և</w:t>
      </w:r>
      <w:r w:rsidRPr="00834D52">
        <w:rPr>
          <w:rFonts w:ascii="Sylfaen" w:hAnsi="Sylfaen"/>
          <w:spacing w:val="-4"/>
          <w:sz w:val="24"/>
          <w:szCs w:val="24"/>
        </w:rPr>
        <w:t>ով, ինչպես նա</w:t>
      </w:r>
      <w:r w:rsidR="00C54D75">
        <w:rPr>
          <w:rFonts w:ascii="Sylfaen" w:hAnsi="Sylfaen"/>
          <w:spacing w:val="-4"/>
          <w:sz w:val="24"/>
          <w:szCs w:val="24"/>
        </w:rPr>
        <w:t>և</w:t>
      </w:r>
      <w:r w:rsidRPr="00834D52">
        <w:rPr>
          <w:rFonts w:ascii="Sylfaen" w:hAnsi="Sylfaen"/>
          <w:spacing w:val="-4"/>
          <w:sz w:val="24"/>
          <w:szCs w:val="24"/>
        </w:rPr>
        <w:t xml:space="preserve"> ճանաչման պետության օրենսդրության մեջ համապատասխան պահանջների առկայության դեպքում հաստատված ԴՊԸԲ</w:t>
      </w:r>
      <w:r w:rsidRPr="008341C7">
        <w:rPr>
          <w:rFonts w:ascii="Sylfaen" w:hAnsi="Sylfaen"/>
          <w:spacing w:val="-4"/>
          <w:sz w:val="24"/>
          <w:szCs w:val="24"/>
        </w:rPr>
        <w:t>-</w:t>
      </w:r>
      <w:r w:rsidRPr="00834D52">
        <w:rPr>
          <w:rFonts w:ascii="Sylfaen" w:hAnsi="Sylfaen"/>
          <w:spacing w:val="-4"/>
          <w:sz w:val="24"/>
          <w:szCs w:val="24"/>
        </w:rPr>
        <w:t>ները, բժշկական կիրառման հրահանգները, փաթեթվածքների մանրակերտերը՝ ճանաչման պետության պետական լեզվով,</w:t>
      </w:r>
    </w:p>
    <w:p w14:paraId="2AAB36B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համաձայնեցնում է </w:t>
      </w:r>
      <w:r w:rsidR="009F49FE">
        <w:rPr>
          <w:rFonts w:ascii="Sylfaen" w:hAnsi="Sylfaen"/>
          <w:sz w:val="24"/>
          <w:szCs w:val="24"/>
        </w:rPr>
        <w:t xml:space="preserve">ռեֆերենտ </w:t>
      </w:r>
      <w:r w:rsidRPr="00834D52">
        <w:rPr>
          <w:rFonts w:ascii="Sylfaen" w:hAnsi="Sylfaen"/>
          <w:sz w:val="24"/>
          <w:szCs w:val="24"/>
        </w:rPr>
        <w:t xml:space="preserve">պետության կողմից տրված որակի </w:t>
      </w:r>
      <w:r w:rsidRPr="00834D52">
        <w:rPr>
          <w:rFonts w:ascii="Sylfaen" w:hAnsi="Sylfaen"/>
          <w:sz w:val="24"/>
          <w:szCs w:val="24"/>
        </w:rPr>
        <w:lastRenderedPageBreak/>
        <w:t>վերաբերյալ նորմատիվ փաստաթուղթը,</w:t>
      </w:r>
    </w:p>
    <w:p w14:paraId="055F5E4F" w14:textId="0F2FF3DD"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միասնական ռեեստրում տեղադրում է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դեղապատրաստուկի կիրառման ժամանակ ռիսկերի կառավարման համաձայնեցված պլանը (անհրաժեշտության դեպքում)՝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3DAB1C22" w14:textId="1AF66586" w:rsidR="00BA6133" w:rsidRPr="006F28F9" w:rsidRDefault="00BA6133" w:rsidP="00BA6133">
      <w:pPr>
        <w:rPr>
          <w:b/>
          <w:bCs/>
          <w:i/>
          <w:iCs/>
        </w:rPr>
      </w:pPr>
      <w:r w:rsidRPr="00CD4709">
        <w:rPr>
          <w:b/>
          <w:bCs/>
          <w:i/>
          <w:iCs/>
        </w:rPr>
        <w:t>(</w:t>
      </w:r>
      <w:r>
        <w:rPr>
          <w:b/>
          <w:bCs/>
          <w:i/>
          <w:iCs/>
        </w:rPr>
        <w:t xml:space="preserve">76-րդ կետը </w:t>
      </w:r>
      <w:r w:rsidRPr="00CD4709">
        <w:rPr>
          <w:b/>
          <w:bCs/>
          <w:i/>
          <w:iCs/>
        </w:rPr>
        <w:t>փոփ. 30.01.20 թիվ 9</w:t>
      </w:r>
      <w:r w:rsidR="002F7C3A">
        <w:rPr>
          <w:b/>
          <w:bCs/>
          <w:i/>
          <w:iCs/>
        </w:rPr>
        <w:t xml:space="preserve">, </w:t>
      </w:r>
      <w:r w:rsidR="000F4779">
        <w:rPr>
          <w:b/>
          <w:bCs/>
          <w:i/>
          <w:iCs/>
        </w:rPr>
        <w:t>17.03.22 թիվ 36</w:t>
      </w:r>
      <w:r w:rsidRPr="00CD4709">
        <w:rPr>
          <w:b/>
          <w:bCs/>
          <w:i/>
          <w:iCs/>
        </w:rPr>
        <w:t>)</w:t>
      </w:r>
    </w:p>
    <w:p w14:paraId="36B1A86C"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77.</w:t>
      </w:r>
      <w:r w:rsidRPr="00834D52">
        <w:rPr>
          <w:rFonts w:ascii="Sylfaen" w:hAnsi="Sylfaen"/>
          <w:sz w:val="24"/>
          <w:szCs w:val="24"/>
        </w:rPr>
        <w:tab/>
        <w:t xml:space="preserve">Ճանաչման պետության լիազորված մարմինը դեղապատրաստուկի գրանցման հավաստագիրը տրամադրում է գրանցման հավաստագրի՝ </w:t>
      </w:r>
      <w:r w:rsidR="009F49FE">
        <w:rPr>
          <w:rFonts w:ascii="Sylfaen" w:hAnsi="Sylfaen"/>
          <w:sz w:val="24"/>
          <w:szCs w:val="24"/>
        </w:rPr>
        <w:t xml:space="preserve">ռեֆերենտ </w:t>
      </w:r>
      <w:r w:rsidRPr="00834D52">
        <w:rPr>
          <w:rFonts w:ascii="Sylfaen" w:hAnsi="Sylfaen"/>
          <w:sz w:val="24"/>
          <w:szCs w:val="24"/>
        </w:rPr>
        <w:t>պետության կողմից սահմանված գործողության ժամկետով։</w:t>
      </w:r>
    </w:p>
    <w:p w14:paraId="5896FD67" w14:textId="156DA870"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78.</w:t>
      </w:r>
      <w:r w:rsidRPr="00834D52">
        <w:rPr>
          <w:rFonts w:ascii="Sylfaen" w:hAnsi="Sylfaen"/>
          <w:sz w:val="24"/>
          <w:szCs w:val="24"/>
        </w:rPr>
        <w:tab/>
        <w:t xml:space="preserve">Գրանցման առաջնային </w:t>
      </w:r>
      <w:r w:rsidR="0056496B">
        <w:rPr>
          <w:rFonts w:ascii="Sylfaen" w:hAnsi="Sylfaen"/>
          <w:sz w:val="24"/>
          <w:szCs w:val="24"/>
        </w:rPr>
        <w:t>դիմում</w:t>
      </w:r>
      <w:r w:rsidRPr="00834D52">
        <w:rPr>
          <w:rFonts w:ascii="Sylfaen" w:hAnsi="Sylfaen"/>
          <w:sz w:val="24"/>
          <w:szCs w:val="24"/>
        </w:rPr>
        <w:t>ի մեջ որպես ճանաչման պետություն չնշված այլ անդամ պետություններում, ինչպես նա</w:t>
      </w:r>
      <w:r w:rsidR="00C54D75">
        <w:rPr>
          <w:rFonts w:ascii="Sylfaen" w:hAnsi="Sylfaen"/>
          <w:sz w:val="24"/>
          <w:szCs w:val="24"/>
        </w:rPr>
        <w:t>և</w:t>
      </w:r>
      <w:r w:rsidRPr="00834D52">
        <w:rPr>
          <w:rFonts w:ascii="Sylfaen" w:hAnsi="Sylfaen"/>
          <w:sz w:val="24"/>
          <w:szCs w:val="24"/>
        </w:rPr>
        <w:t xml:space="preserve"> դեղապատրաստուկի գրանցումից հետո Միությանը միացած պետություններում սույն Կանոններին համապատասխան գրանցված դեղապատրաստուկի գրանցումն իրականացվում է փոխադարձ ճանաչման ընթացակարգով՝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գործող խմբագրության քննության հիման վրա։</w:t>
      </w:r>
    </w:p>
    <w:p w14:paraId="2AE38D88" w14:textId="3EEA747F" w:rsidR="00BA6133" w:rsidRPr="006F28F9" w:rsidRDefault="00BA6133" w:rsidP="00BA6133">
      <w:pPr>
        <w:rPr>
          <w:b/>
          <w:bCs/>
          <w:i/>
          <w:iCs/>
        </w:rPr>
      </w:pPr>
      <w:r w:rsidRPr="00CD4709">
        <w:rPr>
          <w:b/>
          <w:bCs/>
          <w:i/>
          <w:iCs/>
        </w:rPr>
        <w:t>(</w:t>
      </w:r>
      <w:r>
        <w:rPr>
          <w:b/>
          <w:bCs/>
          <w:i/>
          <w:iCs/>
        </w:rPr>
        <w:t xml:space="preserve">78-րդ կետը </w:t>
      </w:r>
      <w:r w:rsidRPr="00CD4709">
        <w:rPr>
          <w:b/>
          <w:bCs/>
          <w:i/>
          <w:iCs/>
        </w:rPr>
        <w:t>փոփ. 30.01.20 թիվ 9)</w:t>
      </w:r>
    </w:p>
    <w:p w14:paraId="33844990" w14:textId="73FCA688"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79.</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փորձագիտական հաշվետվությունը ճանաչելու անհնարինության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Pr="00834D52">
        <w:rPr>
          <w:rFonts w:ascii="Sylfaen" w:hAnsi="Sylfaen"/>
          <w:sz w:val="24"/>
          <w:szCs w:val="24"/>
        </w:rPr>
        <w:t xml:space="preserve">պետության, դեղապատրաստուկի գրանցման ընթացակարգին մասնակցող այլ ճանաչման պետությունների լիազորված մարմին (փորձագիտական կազմակերպություն), Փորձագիտական կոմիտե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ուղարկում գնահատման վերաբերյալ տվյալ փորձագիտական հաշվետվության ճանաչման անհնարինության մասին եզրակացությունը՝ նշելով հետ</w:t>
      </w:r>
      <w:r w:rsidR="00C54D75">
        <w:rPr>
          <w:rFonts w:ascii="Sylfaen" w:hAnsi="Sylfaen"/>
          <w:sz w:val="24"/>
          <w:szCs w:val="24"/>
        </w:rPr>
        <w:t>և</w:t>
      </w:r>
      <w:r w:rsidRPr="00834D52">
        <w:rPr>
          <w:rFonts w:ascii="Sylfaen" w:hAnsi="Sylfaen"/>
          <w:sz w:val="24"/>
          <w:szCs w:val="24"/>
        </w:rPr>
        <w:t>յալ պատճառները՝</w:t>
      </w:r>
    </w:p>
    <w:p w14:paraId="7506D76D"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w:t>
      </w:r>
      <w:r w:rsidRPr="00834D52">
        <w:rPr>
          <w:rFonts w:ascii="Sylfaen" w:hAnsi="Sylfaen"/>
          <w:sz w:val="24"/>
          <w:szCs w:val="24"/>
        </w:rPr>
        <w:tab/>
        <w:t>դեղապաստրաստուկի կիրառման հետ կապված հնարավոր ռիսկերի նկատմամբ ակնկալվող օգուտի հարաբերակցությունը բարենպաստ չէ,</w:t>
      </w:r>
    </w:p>
    <w:p w14:paraId="228360B1" w14:textId="5AAB3B75" w:rsidR="006F76EB" w:rsidRPr="00931D34" w:rsidRDefault="006F76EB" w:rsidP="006F76EB">
      <w:pPr>
        <w:tabs>
          <w:tab w:val="left" w:pos="1134"/>
        </w:tabs>
        <w:spacing w:after="160" w:line="336" w:lineRule="auto"/>
        <w:ind w:right="-6" w:firstLine="567"/>
        <w:jc w:val="both"/>
        <w:rPr>
          <w:rFonts w:ascii="Sylfaen" w:eastAsia="Times New Roman" w:hAnsi="Sylfaen" w:cs="Times New Roman"/>
          <w:spacing w:val="-6"/>
          <w:sz w:val="24"/>
          <w:szCs w:val="24"/>
        </w:rPr>
      </w:pPr>
      <w:r w:rsidRPr="00834D52">
        <w:rPr>
          <w:rFonts w:ascii="Sylfaen" w:hAnsi="Sylfaen"/>
          <w:sz w:val="24"/>
          <w:szCs w:val="24"/>
        </w:rPr>
        <w:t>բ</w:t>
      </w:r>
      <w:r w:rsidRPr="00931D34">
        <w:rPr>
          <w:rFonts w:ascii="Sylfaen" w:hAnsi="Sylfaen"/>
          <w:spacing w:val="-6"/>
          <w:sz w:val="24"/>
          <w:szCs w:val="24"/>
        </w:rPr>
        <w:t>)</w:t>
      </w:r>
      <w:r w:rsidRPr="00931D34">
        <w:rPr>
          <w:rFonts w:ascii="Sylfaen" w:hAnsi="Sylfaen"/>
          <w:spacing w:val="-6"/>
          <w:sz w:val="24"/>
          <w:szCs w:val="24"/>
        </w:rPr>
        <w:tab/>
      </w:r>
      <w:r w:rsidR="0056496B">
        <w:rPr>
          <w:rFonts w:ascii="Sylfaen" w:hAnsi="Sylfaen"/>
          <w:spacing w:val="-6"/>
          <w:sz w:val="24"/>
          <w:szCs w:val="24"/>
        </w:rPr>
        <w:t>դիմումատու</w:t>
      </w:r>
      <w:r w:rsidRPr="00931D34">
        <w:rPr>
          <w:rFonts w:ascii="Sylfaen" w:hAnsi="Sylfaen"/>
          <w:spacing w:val="-6"/>
          <w:sz w:val="24"/>
          <w:szCs w:val="24"/>
        </w:rPr>
        <w:t>ն չի ապացուցել դեղապատրաստուկի արդյունավետությունը,</w:t>
      </w:r>
    </w:p>
    <w:p w14:paraId="252135F4"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061F8858" w14:textId="19BDF6FA"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02BE3C03" w14:textId="4383F44B"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t xml:space="preserve">նշանակված տեսչական ստուգման արդյունքներով դեղապատրաստուկի գրանցման ժամանակահատվածում </w:t>
      </w:r>
      <w:r w:rsidR="00FE4A71">
        <w:rPr>
          <w:rFonts w:ascii="Sylfaen" w:hAnsi="Sylfaen"/>
          <w:sz w:val="24"/>
          <w:szCs w:val="24"/>
        </w:rPr>
        <w:t xml:space="preserve">հայտնաբերվել </w:t>
      </w:r>
      <w:r w:rsidRPr="00834D52">
        <w:rPr>
          <w:rFonts w:ascii="Sylfaen" w:hAnsi="Sylfaen"/>
          <w:sz w:val="24"/>
          <w:szCs w:val="24"/>
        </w:rPr>
        <w:t xml:space="preserve"> է Միության պատշաճ դեղագործական գործելակերպերին կրիտիկական անհամապատասխանություն։</w:t>
      </w:r>
    </w:p>
    <w:p w14:paraId="383FB804" w14:textId="0A98B778" w:rsidR="00BA6133" w:rsidRPr="006F28F9" w:rsidRDefault="00BA6133" w:rsidP="00BA6133">
      <w:pPr>
        <w:rPr>
          <w:b/>
          <w:bCs/>
          <w:i/>
          <w:iCs/>
        </w:rPr>
      </w:pPr>
      <w:r w:rsidRPr="00CD4709">
        <w:rPr>
          <w:b/>
          <w:bCs/>
          <w:i/>
          <w:iCs/>
        </w:rPr>
        <w:t>(</w:t>
      </w:r>
      <w:r>
        <w:rPr>
          <w:b/>
          <w:bCs/>
          <w:i/>
          <w:iCs/>
        </w:rPr>
        <w:t xml:space="preserve">79-րդ կետը </w:t>
      </w:r>
      <w:r w:rsidRPr="00CD4709">
        <w:rPr>
          <w:b/>
          <w:bCs/>
          <w:i/>
          <w:iCs/>
        </w:rPr>
        <w:t>փոփ. 30.01.20 թիվ 9)</w:t>
      </w:r>
    </w:p>
    <w:p w14:paraId="571100B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80.</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ճանաչելու անհնարինության մասին ճանաչման պետության լիազորված մարմնի եզրակացությունը ստանալու օրվանից 60 օրացուցային օրը չգերազանցող ժամկետում Փորձագիտական կոմիտեն իրականացնում է տարաձայնությունների քննության ընթացակարգ՝ Հանձնաժողովի կողմից սահմանված կարգին համապատասխան։</w:t>
      </w:r>
    </w:p>
    <w:p w14:paraId="4255BDE8" w14:textId="1A3D3A71" w:rsidR="006F76EB" w:rsidRDefault="006F76EB" w:rsidP="006F76EB">
      <w:pPr>
        <w:tabs>
          <w:tab w:val="left" w:pos="1134"/>
        </w:tabs>
        <w:spacing w:after="160" w:line="360" w:lineRule="auto"/>
        <w:ind w:right="-8" w:firstLine="567"/>
        <w:jc w:val="both"/>
        <w:rPr>
          <w:sz w:val="21"/>
          <w:szCs w:val="21"/>
        </w:rPr>
      </w:pPr>
      <w:r w:rsidRPr="00834D52">
        <w:rPr>
          <w:rFonts w:ascii="Sylfaen" w:hAnsi="Sylfaen"/>
          <w:sz w:val="24"/>
          <w:szCs w:val="24"/>
        </w:rPr>
        <w:t>81.</w:t>
      </w:r>
      <w:r w:rsidRPr="00834D52">
        <w:rPr>
          <w:rFonts w:ascii="Sylfaen" w:hAnsi="Sylfaen"/>
          <w:sz w:val="24"/>
          <w:szCs w:val="24"/>
        </w:rPr>
        <w:tab/>
        <w:t xml:space="preserve">Ճանաչման պետության լիազորված մարմինը մերժում է դեղապատրաստուկի գրանցումը, եթե դեղապատրաստուկի փորձաքննության արդյունքներով </w:t>
      </w:r>
      <w:r w:rsidR="00C54D75">
        <w:rPr>
          <w:rFonts w:ascii="Sylfaen" w:hAnsi="Sylfaen"/>
          <w:sz w:val="24"/>
          <w:szCs w:val="24"/>
        </w:rPr>
        <w:t>և</w:t>
      </w:r>
      <w:r w:rsidRPr="00834D52">
        <w:rPr>
          <w:rFonts w:ascii="Sylfaen" w:hAnsi="Sylfaen"/>
          <w:sz w:val="24"/>
          <w:szCs w:val="24"/>
        </w:rPr>
        <w:t xml:space="preserve"> Փորձագիտական կոմիտեում տարաձայնությունների կարգավորման ընթացակարգ անցկացնելուց հետո վերջինս որոշում է կայացրել, որ գնահատման վերաբերյալ փորձագիտական հաշվետվության մեջ ներկայացված տվյալները չեն կարող բավարար համարվել դեղապատրաստուկի որակի </w:t>
      </w:r>
      <w:r w:rsidR="00C54D75">
        <w:rPr>
          <w:rFonts w:ascii="Sylfaen" w:hAnsi="Sylfaen"/>
          <w:sz w:val="24"/>
          <w:szCs w:val="24"/>
        </w:rPr>
        <w:t>և</w:t>
      </w:r>
      <w:r w:rsidRPr="00834D52">
        <w:rPr>
          <w:rFonts w:ascii="Sylfaen" w:hAnsi="Sylfaen"/>
          <w:sz w:val="24"/>
          <w:szCs w:val="24"/>
        </w:rPr>
        <w:t xml:space="preserve"> (կամ) արդյունավետության </w:t>
      </w:r>
      <w:r w:rsidR="00C54D75">
        <w:rPr>
          <w:rFonts w:ascii="Sylfaen" w:hAnsi="Sylfaen"/>
          <w:sz w:val="24"/>
          <w:szCs w:val="24"/>
        </w:rPr>
        <w:t>և</w:t>
      </w:r>
      <w:r w:rsidRPr="00834D52">
        <w:rPr>
          <w:rFonts w:ascii="Sylfaen" w:hAnsi="Sylfaen"/>
          <w:sz w:val="24"/>
          <w:szCs w:val="24"/>
        </w:rPr>
        <w:t xml:space="preserve"> (կամ) օգուտ</w:t>
      </w:r>
      <w:r w:rsidRPr="008341C7">
        <w:rPr>
          <w:rFonts w:ascii="Sylfaen" w:hAnsi="Sylfaen"/>
          <w:sz w:val="24"/>
          <w:szCs w:val="24"/>
        </w:rPr>
        <w:t>-</w:t>
      </w:r>
      <w:r w:rsidRPr="00834D52">
        <w:rPr>
          <w:rFonts w:ascii="Sylfaen" w:hAnsi="Sylfaen"/>
          <w:sz w:val="24"/>
          <w:szCs w:val="24"/>
        </w:rPr>
        <w:t>ռիսկ բարենպաստ հարաբերակցության հաստատման համար</w:t>
      </w:r>
      <w:r w:rsidR="000F4779">
        <w:rPr>
          <w:rFonts w:ascii="Sylfaen" w:hAnsi="Sylfaen"/>
          <w:sz w:val="24"/>
          <w:szCs w:val="24"/>
        </w:rPr>
        <w:t xml:space="preserve">, </w:t>
      </w:r>
      <w:r w:rsidR="000F4779" w:rsidRPr="000F4779">
        <w:rPr>
          <w:rFonts w:ascii="Sylfaen" w:hAnsi="Sylfaen"/>
        </w:rPr>
        <w:t>ինչպես նաև ճանաչման պետության լիազորված մարմնի (փորձագիտական կազմակերպության) կողմից հարցված փաստաթղթերը և տեղեկությունները սահմանված ժամկետում հայտատուի կողմից չներկայացնելու դեպքում</w:t>
      </w:r>
      <w:r w:rsidR="000F4779">
        <w:rPr>
          <w:sz w:val="21"/>
          <w:szCs w:val="21"/>
        </w:rPr>
        <w:t>:</w:t>
      </w:r>
    </w:p>
    <w:p w14:paraId="65634929" w14:textId="65975A45" w:rsidR="000F4779" w:rsidRPr="000F4779" w:rsidRDefault="000F4779" w:rsidP="000F4779">
      <w:pPr>
        <w:tabs>
          <w:tab w:val="left" w:pos="1134"/>
        </w:tabs>
        <w:spacing w:after="160" w:line="360" w:lineRule="auto"/>
        <w:ind w:right="-8" w:firstLine="567"/>
        <w:jc w:val="both"/>
        <w:rPr>
          <w:sz w:val="21"/>
          <w:szCs w:val="21"/>
        </w:rPr>
      </w:pPr>
      <w:r w:rsidRPr="000F4779">
        <w:rPr>
          <w:sz w:val="21"/>
          <w:szCs w:val="21"/>
        </w:rPr>
        <w:t xml:space="preserve">Եթե Փորձագիտական կոմիտեում տարաձայնությունների կարգավորման ընթացակարգ </w:t>
      </w:r>
      <w:r w:rsidRPr="000F4779">
        <w:rPr>
          <w:sz w:val="21"/>
          <w:szCs w:val="21"/>
        </w:rPr>
        <w:lastRenderedPageBreak/>
        <w:t xml:space="preserve">անցկացնելուց հետո վերջինս ընդունում է միաձայն որոշում առ այն, որ գնահատման մասով փորձագիտական հաշվետվությունում ներկայացված տվյալները կարող են ճանաչվել բավարար դեղապատրաստուկի որակը և (կամ) արդյունավետությունը, և (կամ) «օգուտ-ռիսկ» դրական հարաբերակցությունը հաստատելու համար, ճանաչման պետության լիազորված մարմինը Փորձագիտական կոմիտեի որոշումն ստանալու օրվանից 15 աշխատանքային օրվանից ոչ ուշ՝ </w:t>
      </w:r>
    </w:p>
    <w:p w14:paraId="24AEC1A3" w14:textId="7A6EFC3A" w:rsidR="000F4779" w:rsidRPr="000F4779" w:rsidRDefault="000F4779" w:rsidP="000F4779">
      <w:pPr>
        <w:tabs>
          <w:tab w:val="left" w:pos="1134"/>
        </w:tabs>
        <w:spacing w:after="160" w:line="360" w:lineRule="auto"/>
        <w:ind w:right="-8" w:firstLine="567"/>
        <w:jc w:val="both"/>
        <w:rPr>
          <w:sz w:val="21"/>
          <w:szCs w:val="21"/>
        </w:rPr>
      </w:pPr>
      <w:r w:rsidRPr="000F4779">
        <w:rPr>
          <w:sz w:val="21"/>
          <w:szCs w:val="21"/>
        </w:rPr>
        <w:t>որոշում է ընդունում ռեֆերենտ պետության փորձագիտական կազմակերպության պատրաստած՝ գնահատման մասով փորձագիտական հաշվետվության ճանաչման մասին.</w:t>
      </w:r>
    </w:p>
    <w:p w14:paraId="4F1B92AC" w14:textId="0ECF443F" w:rsidR="000F4779" w:rsidRPr="000F4779" w:rsidRDefault="000F4779" w:rsidP="000F4779">
      <w:pPr>
        <w:tabs>
          <w:tab w:val="left" w:pos="1134"/>
        </w:tabs>
        <w:spacing w:after="160" w:line="360" w:lineRule="auto"/>
        <w:ind w:right="-8" w:firstLine="567"/>
        <w:jc w:val="both"/>
        <w:rPr>
          <w:sz w:val="21"/>
          <w:szCs w:val="21"/>
        </w:rPr>
      </w:pPr>
      <w:r w:rsidRPr="000F4779">
        <w:rPr>
          <w:sz w:val="21"/>
          <w:szCs w:val="21"/>
        </w:rPr>
        <w:t xml:space="preserve">Հայտատուին տալիս է դեղապատրաստուկի գրանցման հավաստագիր՝ ըստ սույն կանոնների թիվ 17 հավելվածով սահմանված ձևի, ինչպես նաև դեղապատրաստուկի հաստատված ընդհանուր բնութագիրը, բժշկական կիրառման հրահանգը, ճանաչման պետության պետական լեզվով փաթեթվածքների մանրակերտը՝ ճանաչման պետության օրենսդրությունում համապատասխան պահանջների առկայության դեպքում. </w:t>
      </w:r>
    </w:p>
    <w:p w14:paraId="1C5EE0A6" w14:textId="4079CC13" w:rsidR="000F4779" w:rsidRPr="000F4779" w:rsidRDefault="000F4779" w:rsidP="000F4779">
      <w:pPr>
        <w:tabs>
          <w:tab w:val="left" w:pos="1134"/>
        </w:tabs>
        <w:spacing w:after="160" w:line="360" w:lineRule="auto"/>
        <w:ind w:right="-8" w:firstLine="567"/>
        <w:jc w:val="both"/>
        <w:rPr>
          <w:sz w:val="21"/>
          <w:szCs w:val="21"/>
        </w:rPr>
      </w:pPr>
      <w:r w:rsidRPr="000F4779">
        <w:rPr>
          <w:sz w:val="21"/>
          <w:szCs w:val="21"/>
        </w:rPr>
        <w:t>համաձայնեցնում է ռեֆերենտ պետության տված՝ որակի մասով նորմատիվ փաստաթուղթը.</w:t>
      </w:r>
    </w:p>
    <w:p w14:paraId="39F7ADC9" w14:textId="1B96CEAB" w:rsidR="000F4779" w:rsidRDefault="000F4779" w:rsidP="000F4779">
      <w:pPr>
        <w:tabs>
          <w:tab w:val="left" w:pos="1134"/>
        </w:tabs>
        <w:spacing w:after="160" w:line="360" w:lineRule="auto"/>
        <w:ind w:right="-8" w:firstLine="567"/>
        <w:jc w:val="both"/>
        <w:rPr>
          <w:sz w:val="21"/>
          <w:szCs w:val="21"/>
        </w:rPr>
      </w:pPr>
      <w:r w:rsidRPr="000F4779">
        <w:rPr>
          <w:sz w:val="21"/>
          <w:szCs w:val="21"/>
        </w:rPr>
        <w:t>միասնական ռեեստրում տեղադրում է դեղապատրաստուկի և դրա բաղադրության մեջ մտնող ակտիվ դեղագործական բաղադրամասերի մասին տեղեկություններ՝ կցելով դեղապատրաստուկի հաստատված ընդհանուր բնութագիրը, բժշկական կիրառման հրահանգը, փաթեթվածքների մանրակերտները, ռիսկերի կառավարման համաձայնեցված պլանը (անհրաժեշտության դեպքում)՝ միասնական ռեեստրի ձևավորման և վարման կարգին համապատասխան</w:t>
      </w:r>
      <w:r>
        <w:rPr>
          <w:sz w:val="21"/>
          <w:szCs w:val="21"/>
        </w:rPr>
        <w:t>:</w:t>
      </w:r>
    </w:p>
    <w:p w14:paraId="08F06ACB" w14:textId="038340D4" w:rsidR="000F4779" w:rsidRPr="00CC3F54" w:rsidRDefault="000F4779" w:rsidP="000F4779">
      <w:pPr>
        <w:rPr>
          <w:rFonts w:ascii="Sylfaen" w:hAnsi="Sylfaen"/>
          <w:b/>
          <w:bCs/>
          <w:i/>
          <w:iCs/>
        </w:rPr>
      </w:pPr>
      <w:r w:rsidRPr="00371618">
        <w:rPr>
          <w:b/>
          <w:bCs/>
          <w:i/>
          <w:iCs/>
        </w:rPr>
        <w:t xml:space="preserve">( </w:t>
      </w:r>
      <w:r>
        <w:rPr>
          <w:b/>
          <w:bCs/>
          <w:i/>
          <w:iCs/>
        </w:rPr>
        <w:t>81</w:t>
      </w:r>
      <w:r w:rsidRPr="00371618">
        <w:rPr>
          <w:b/>
          <w:bCs/>
          <w:i/>
          <w:iCs/>
        </w:rPr>
        <w:t>-րդ կետը լրաց. 17.03.22 թիվ 36 )</w:t>
      </w:r>
    </w:p>
    <w:p w14:paraId="1D7E14CB" w14:textId="77777777" w:rsidR="000F4779" w:rsidRPr="000F4779" w:rsidRDefault="000F4779" w:rsidP="006F76EB">
      <w:pPr>
        <w:tabs>
          <w:tab w:val="left" w:pos="1134"/>
        </w:tabs>
        <w:spacing w:after="160" w:line="360" w:lineRule="auto"/>
        <w:ind w:right="-8" w:firstLine="567"/>
        <w:jc w:val="both"/>
        <w:rPr>
          <w:rFonts w:eastAsia="Times New Roman" w:cs="Times New Roman"/>
          <w:sz w:val="24"/>
          <w:szCs w:val="24"/>
        </w:rPr>
      </w:pPr>
    </w:p>
    <w:p w14:paraId="6E63520F" w14:textId="6F3A474B"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82.</w:t>
      </w:r>
      <w:r w:rsidRPr="00834D52">
        <w:rPr>
          <w:rFonts w:ascii="Sylfaen" w:hAnsi="Sylfaen"/>
          <w:sz w:val="24"/>
          <w:szCs w:val="24"/>
        </w:rPr>
        <w:tab/>
        <w:t>Գնահատման վերաբերյալ փորձագիտական հաշվետվության ճանաչման մասով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առկայության </w:t>
      </w:r>
      <w:r w:rsidR="00C54D75">
        <w:rPr>
          <w:rFonts w:ascii="Sylfaen" w:hAnsi="Sylfaen"/>
          <w:sz w:val="24"/>
          <w:szCs w:val="24"/>
        </w:rPr>
        <w:t>և</w:t>
      </w:r>
      <w:r w:rsidRPr="00834D52">
        <w:rPr>
          <w:rFonts w:ascii="Sylfaen" w:hAnsi="Sylfaen"/>
          <w:sz w:val="24"/>
          <w:szCs w:val="24"/>
        </w:rPr>
        <w:t xml:space="preserve"> Փորձագիտական կոմիտեի կողմից դրանց քննության դեպքում ճանաչման պետության այն լիազորված մարմինը, որը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ճանաչման մասին կայացրել է դրական որոշում, տրամադրում է գրանցման հավաստագիր, հաստատված ԴՊԸԲ</w:t>
      </w:r>
      <w:r w:rsidRPr="008341C7">
        <w:rPr>
          <w:rFonts w:ascii="Sylfaen" w:hAnsi="Sylfaen"/>
          <w:sz w:val="24"/>
          <w:szCs w:val="24"/>
        </w:rPr>
        <w:t>-</w:t>
      </w:r>
      <w:r w:rsidRPr="00834D52">
        <w:rPr>
          <w:rFonts w:ascii="Sylfaen" w:hAnsi="Sylfaen"/>
          <w:sz w:val="24"/>
          <w:szCs w:val="24"/>
        </w:rPr>
        <w:t xml:space="preserve">ներ, բժշկական կիրառման հրահանգ, փաթեթվածքների մանրակերտեր </w:t>
      </w:r>
      <w:r w:rsidR="00C54D75">
        <w:rPr>
          <w:rFonts w:ascii="Sylfaen" w:hAnsi="Sylfaen"/>
          <w:sz w:val="24"/>
          <w:szCs w:val="24"/>
        </w:rPr>
        <w:t>և</w:t>
      </w:r>
      <w:r w:rsidRPr="00834D52">
        <w:rPr>
          <w:rFonts w:ascii="Sylfaen" w:hAnsi="Sylfaen"/>
          <w:sz w:val="24"/>
          <w:szCs w:val="24"/>
        </w:rPr>
        <w:t xml:space="preserve"> համաձայնեցնում է դեղապատրաստուկի կիրառման ժամանակ ռիսկերի կառավարման պլանը (անհրաժեշտության դեպքում), ինչպես նա</w:t>
      </w:r>
      <w:r w:rsidR="00C54D75">
        <w:rPr>
          <w:rFonts w:ascii="Sylfaen" w:hAnsi="Sylfaen"/>
          <w:sz w:val="24"/>
          <w:szCs w:val="24"/>
        </w:rPr>
        <w:t>և</w:t>
      </w:r>
      <w:r w:rsidRPr="00834D52">
        <w:rPr>
          <w:rFonts w:ascii="Sylfaen" w:hAnsi="Sylfaen"/>
          <w:sz w:val="24"/>
          <w:szCs w:val="24"/>
        </w:rPr>
        <w:t xml:space="preserve"> որակի նորմատիվ փաստաթուղթ՝ </w:t>
      </w:r>
      <w:r w:rsidRPr="00834D52">
        <w:rPr>
          <w:rFonts w:ascii="Sylfaen" w:hAnsi="Sylfaen"/>
          <w:sz w:val="24"/>
          <w:szCs w:val="24"/>
        </w:rPr>
        <w:lastRenderedPageBreak/>
        <w:t xml:space="preserve">նախքան Փորձագիտական կոմիտեի որոշումը։ </w:t>
      </w:r>
      <w:r w:rsidR="0056496B">
        <w:rPr>
          <w:rFonts w:ascii="Sylfaen" w:hAnsi="Sylfaen"/>
          <w:sz w:val="24"/>
          <w:szCs w:val="24"/>
        </w:rPr>
        <w:t>Դիմումատու</w:t>
      </w:r>
      <w:r w:rsidRPr="00834D52">
        <w:rPr>
          <w:rFonts w:ascii="Sylfaen" w:hAnsi="Sylfaen"/>
          <w:sz w:val="24"/>
          <w:szCs w:val="24"/>
        </w:rPr>
        <w:t>ի խնդրանքով այդ ճանաչման պետության լիազորված մարմնի կողմից գրանցման հավաստագրի տրամադրումը կարող է կասեցվել մինչ</w:t>
      </w:r>
      <w:r w:rsidR="00C54D75">
        <w:rPr>
          <w:rFonts w:ascii="Sylfaen" w:hAnsi="Sylfaen"/>
          <w:sz w:val="24"/>
          <w:szCs w:val="24"/>
        </w:rPr>
        <w:t>և</w:t>
      </w:r>
      <w:r w:rsidRPr="00834D52">
        <w:rPr>
          <w:rFonts w:ascii="Sylfaen" w:hAnsi="Sylfaen"/>
          <w:sz w:val="24"/>
          <w:szCs w:val="24"/>
        </w:rPr>
        <w:t xml:space="preserve"> այլ ճանաչման պետությունների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վերացումը։</w:t>
      </w:r>
    </w:p>
    <w:p w14:paraId="734FEF0D" w14:textId="683B68F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Նման դեպքերում տրամադրված գրանցման հավաստագիրը գործում է տվյալ ճանաչման պետության տարածքում։</w:t>
      </w:r>
    </w:p>
    <w:p w14:paraId="4A36F957" w14:textId="1DA6E4A3" w:rsidR="00E34442" w:rsidRPr="006F28F9" w:rsidRDefault="00E34442" w:rsidP="00E34442">
      <w:pPr>
        <w:rPr>
          <w:b/>
          <w:bCs/>
          <w:i/>
          <w:iCs/>
        </w:rPr>
      </w:pPr>
      <w:r w:rsidRPr="00CD4709">
        <w:rPr>
          <w:b/>
          <w:bCs/>
          <w:i/>
          <w:iCs/>
        </w:rPr>
        <w:t>(</w:t>
      </w:r>
      <w:r>
        <w:rPr>
          <w:b/>
          <w:bCs/>
          <w:i/>
          <w:iCs/>
        </w:rPr>
        <w:t xml:space="preserve">82-րդ կետը </w:t>
      </w:r>
      <w:r w:rsidRPr="00CD4709">
        <w:rPr>
          <w:b/>
          <w:bCs/>
          <w:i/>
          <w:iCs/>
        </w:rPr>
        <w:t>փոփ. 30.01.20 թիվ 9)</w:t>
      </w:r>
    </w:p>
    <w:p w14:paraId="5C92AB40" w14:textId="77777777" w:rsidR="006F76EB" w:rsidRPr="00DB039F" w:rsidRDefault="006F76EB" w:rsidP="00931D34">
      <w:pPr>
        <w:tabs>
          <w:tab w:val="left" w:pos="1134"/>
        </w:tabs>
        <w:spacing w:after="160" w:line="360" w:lineRule="auto"/>
        <w:ind w:right="-8" w:firstLine="567"/>
        <w:jc w:val="center"/>
        <w:rPr>
          <w:rFonts w:ascii="Sylfaen" w:hAnsi="Sylfaen"/>
          <w:sz w:val="24"/>
          <w:szCs w:val="24"/>
        </w:rPr>
      </w:pPr>
    </w:p>
    <w:p w14:paraId="01C094E3" w14:textId="77777777" w:rsidR="006F76EB" w:rsidRPr="00834D52" w:rsidRDefault="006F76EB" w:rsidP="006F76EB">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 Ապակենտրոնացված ընթացակարգով գրանցման </w:t>
      </w:r>
      <w:r w:rsidR="00C54D75">
        <w:rPr>
          <w:rFonts w:ascii="Sylfaen" w:hAnsi="Sylfaen"/>
          <w:sz w:val="24"/>
          <w:szCs w:val="24"/>
        </w:rPr>
        <w:t>և</w:t>
      </w:r>
      <w:r w:rsidRPr="00834D52">
        <w:rPr>
          <w:rFonts w:ascii="Sylfaen" w:hAnsi="Sylfaen"/>
          <w:sz w:val="24"/>
          <w:szCs w:val="24"/>
        </w:rPr>
        <w:t xml:space="preserve"> փորձաքննության կարգը </w:t>
      </w:r>
      <w:r w:rsidR="009F49FE">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br/>
        <w:t>ճանաչման պետություններում</w:t>
      </w:r>
    </w:p>
    <w:p w14:paraId="541C8BC0" w14:textId="269DF6A4"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83.</w:t>
      </w:r>
      <w:r w:rsidRPr="00834D52">
        <w:rPr>
          <w:rFonts w:ascii="Sylfaen" w:hAnsi="Sylfaen"/>
          <w:sz w:val="24"/>
          <w:szCs w:val="24"/>
        </w:rPr>
        <w:tab/>
        <w:t xml:space="preserve">Ապակենտրոնացված ընթացակարգով դեղապատրաստուկը գրանցելու նպատակով </w:t>
      </w:r>
      <w:r w:rsidR="0056496B">
        <w:rPr>
          <w:rFonts w:ascii="Sylfaen" w:hAnsi="Sylfaen"/>
          <w:sz w:val="24"/>
          <w:szCs w:val="24"/>
        </w:rPr>
        <w:t>դիմումատու</w:t>
      </w:r>
      <w:r w:rsidRPr="00834D52">
        <w:rPr>
          <w:rFonts w:ascii="Sylfaen" w:hAnsi="Sylfaen"/>
          <w:sz w:val="24"/>
          <w:szCs w:val="24"/>
        </w:rPr>
        <w:t xml:space="preserve">ն ընտրում է </w:t>
      </w:r>
      <w:r w:rsidR="009F49FE">
        <w:rPr>
          <w:rFonts w:ascii="Sylfaen" w:hAnsi="Sylfaen"/>
          <w:sz w:val="24"/>
          <w:szCs w:val="24"/>
        </w:rPr>
        <w:t xml:space="preserve">ռեֆերենտ </w:t>
      </w:r>
      <w:r w:rsidRPr="00834D52">
        <w:rPr>
          <w:rFonts w:ascii="Sylfaen" w:hAnsi="Sylfaen"/>
          <w:sz w:val="24"/>
          <w:szCs w:val="24"/>
        </w:rPr>
        <w:t xml:space="preserve">պետություն </w:t>
      </w:r>
      <w:r w:rsidR="00C54D75">
        <w:rPr>
          <w:rFonts w:ascii="Sylfaen" w:hAnsi="Sylfaen"/>
          <w:sz w:val="24"/>
          <w:szCs w:val="24"/>
        </w:rPr>
        <w:t>և</w:t>
      </w:r>
      <w:r w:rsidRPr="00834D52">
        <w:rPr>
          <w:rFonts w:ascii="Sylfaen" w:hAnsi="Sylfaen"/>
          <w:sz w:val="24"/>
          <w:szCs w:val="24"/>
        </w:rPr>
        <w:t xml:space="preserve"> ճանաչման պետություններ։</w:t>
      </w:r>
    </w:p>
    <w:p w14:paraId="150BB89D" w14:textId="112800E8" w:rsidR="00E34442" w:rsidRPr="006F28F9" w:rsidRDefault="00E34442" w:rsidP="00E34442">
      <w:pPr>
        <w:rPr>
          <w:b/>
          <w:bCs/>
          <w:i/>
          <w:iCs/>
        </w:rPr>
      </w:pPr>
      <w:r w:rsidRPr="00CD4709">
        <w:rPr>
          <w:b/>
          <w:bCs/>
          <w:i/>
          <w:iCs/>
        </w:rPr>
        <w:t>(</w:t>
      </w:r>
      <w:r>
        <w:rPr>
          <w:b/>
          <w:bCs/>
          <w:i/>
          <w:iCs/>
        </w:rPr>
        <w:t xml:space="preserve">83-րդ կետը </w:t>
      </w:r>
      <w:r w:rsidRPr="00CD4709">
        <w:rPr>
          <w:b/>
          <w:bCs/>
          <w:i/>
          <w:iCs/>
        </w:rPr>
        <w:t>փոփ. 30.01.20 թիվ 9)</w:t>
      </w:r>
    </w:p>
    <w:p w14:paraId="662A22EF" w14:textId="5CEDA1C7"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84.</w:t>
      </w:r>
      <w:r w:rsidRPr="00834D52">
        <w:rPr>
          <w:rFonts w:ascii="Sylfaen" w:hAnsi="Sylfaen"/>
          <w:sz w:val="24"/>
          <w:szCs w:val="24"/>
        </w:rPr>
        <w:tab/>
      </w:r>
      <w:r w:rsidR="00CC3F54" w:rsidRPr="00CC3F54">
        <w:rPr>
          <w:rFonts w:ascii="Sylfaen" w:hAnsi="Sylfaen"/>
          <w:sz w:val="24"/>
          <w:szCs w:val="24"/>
        </w:rPr>
        <w:t>Դեղապատրաստուկի գրանցման և փորձաքննության ապակենտրոնացված ընթացակարգի տևողությունը չպետք է գերազանցի ռեֆերենտ պետությունում դեղապատրաստուկի գրանցման դիմումը ներկայացնելու օրվանից մինչև գրանցման հավաստագիրը տրամադրելու օրը 140 աշխատանքային օրը և չպետք է գերազանցի ապակենտրոնացված ընթացակարգում մասնակցող ճանաչման պետություններում 50 աշխատանքային օրը</w:t>
      </w:r>
      <w:r w:rsidRPr="00834D52">
        <w:rPr>
          <w:rFonts w:ascii="Sylfaen" w:hAnsi="Sylfaen"/>
          <w:sz w:val="24"/>
          <w:szCs w:val="24"/>
        </w:rPr>
        <w:t>։</w:t>
      </w:r>
    </w:p>
    <w:p w14:paraId="0818380A" w14:textId="1382EBB5" w:rsidR="00E34442" w:rsidRPr="006F28F9" w:rsidRDefault="00E34442" w:rsidP="00E34442">
      <w:pPr>
        <w:rPr>
          <w:b/>
          <w:bCs/>
          <w:i/>
          <w:iCs/>
        </w:rPr>
      </w:pPr>
      <w:r w:rsidRPr="00CD4709">
        <w:rPr>
          <w:b/>
          <w:bCs/>
          <w:i/>
          <w:iCs/>
        </w:rPr>
        <w:t>(</w:t>
      </w:r>
      <w:r>
        <w:rPr>
          <w:b/>
          <w:bCs/>
          <w:i/>
          <w:iCs/>
        </w:rPr>
        <w:t xml:space="preserve">84-րդ կետը </w:t>
      </w:r>
      <w:r w:rsidRPr="00CD4709">
        <w:rPr>
          <w:b/>
          <w:bCs/>
          <w:i/>
          <w:iCs/>
        </w:rPr>
        <w:t>փոփ. 30.01.20 թիվ 9</w:t>
      </w:r>
      <w:r w:rsidR="00CC3F54">
        <w:rPr>
          <w:b/>
          <w:bCs/>
          <w:i/>
          <w:iCs/>
        </w:rPr>
        <w:t>, խմբ. 17.03.22 թիվ 36</w:t>
      </w:r>
      <w:r w:rsidRPr="00CD4709">
        <w:rPr>
          <w:b/>
          <w:bCs/>
          <w:i/>
          <w:iCs/>
        </w:rPr>
        <w:t>)</w:t>
      </w:r>
    </w:p>
    <w:p w14:paraId="798B2807"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85.</w:t>
      </w:r>
      <w:r w:rsidRPr="00834D52">
        <w:rPr>
          <w:rFonts w:ascii="Sylfaen" w:hAnsi="Sylfaen"/>
          <w:sz w:val="24"/>
          <w:szCs w:val="24"/>
        </w:rPr>
        <w:tab/>
        <w:t>Ապակենտրոնացված ընթացակարգով գրանցման ընթացակարգը բաղկացած է միաժամանակ անցկացվող հետ</w:t>
      </w:r>
      <w:r w:rsidR="00C54D75">
        <w:rPr>
          <w:rFonts w:ascii="Sylfaen" w:hAnsi="Sylfaen"/>
          <w:sz w:val="24"/>
          <w:szCs w:val="24"/>
        </w:rPr>
        <w:t>և</w:t>
      </w:r>
      <w:r w:rsidRPr="00834D52">
        <w:rPr>
          <w:rFonts w:ascii="Sylfaen" w:hAnsi="Sylfaen"/>
          <w:sz w:val="24"/>
          <w:szCs w:val="24"/>
        </w:rPr>
        <w:t>յալ փուլերից՝</w:t>
      </w:r>
    </w:p>
    <w:p w14:paraId="1497182E" w14:textId="77777777" w:rsidR="00CC3F54" w:rsidRDefault="006F76EB" w:rsidP="00CC3F54">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ա)</w:t>
      </w:r>
      <w:r w:rsidRPr="00834D52">
        <w:rPr>
          <w:rFonts w:ascii="Sylfaen" w:hAnsi="Sylfaen"/>
          <w:sz w:val="24"/>
          <w:szCs w:val="24"/>
        </w:rPr>
        <w:tab/>
      </w:r>
      <w:r w:rsidR="00CC3F54" w:rsidRPr="00CC3F54">
        <w:rPr>
          <w:rFonts w:ascii="Sylfaen" w:hAnsi="Sylfaen"/>
          <w:sz w:val="24"/>
          <w:szCs w:val="24"/>
        </w:rPr>
        <w:t xml:space="preserve">ռեֆերենտ պետությունում դեղապատրաստուկի գրանցումը և փորձաքննությունը. </w:t>
      </w:r>
    </w:p>
    <w:p w14:paraId="0515F4E6" w14:textId="29CA3FC2" w:rsidR="006F76EB" w:rsidRDefault="006F76EB" w:rsidP="00CC3F54">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lastRenderedPageBreak/>
        <w:t>բ)</w:t>
      </w:r>
      <w:r w:rsidRPr="00834D52">
        <w:rPr>
          <w:rFonts w:ascii="Sylfaen" w:hAnsi="Sylfaen"/>
          <w:sz w:val="24"/>
          <w:szCs w:val="24"/>
        </w:rPr>
        <w:tab/>
      </w:r>
      <w:r w:rsidR="00CC3F54" w:rsidRPr="00CC3F54">
        <w:rPr>
          <w:rFonts w:ascii="Sylfaen" w:hAnsi="Sylfaen"/>
          <w:sz w:val="24"/>
          <w:szCs w:val="24"/>
        </w:rPr>
        <w:t>ճանաչման պետություններում՝ ռեֆերենտ պետության փորձագիտական կազմակերպության պատրաստած՝ գնահատման մասով փորձագիտական հաշվետվության քննարկումը</w:t>
      </w:r>
      <w:r w:rsidRPr="00834D52">
        <w:rPr>
          <w:rFonts w:ascii="Sylfaen" w:hAnsi="Sylfaen"/>
          <w:sz w:val="24"/>
          <w:szCs w:val="24"/>
        </w:rPr>
        <w:t>։</w:t>
      </w:r>
    </w:p>
    <w:p w14:paraId="4EFCB145" w14:textId="209945B7" w:rsidR="00CC3F54" w:rsidRPr="00CC3F54" w:rsidRDefault="00CC3F54" w:rsidP="00CC3F54">
      <w:pPr>
        <w:rPr>
          <w:b/>
          <w:bCs/>
          <w:i/>
          <w:iCs/>
        </w:rPr>
      </w:pPr>
      <w:r w:rsidRPr="00CD4709">
        <w:rPr>
          <w:b/>
          <w:bCs/>
          <w:i/>
          <w:iCs/>
        </w:rPr>
        <w:t>(</w:t>
      </w:r>
      <w:r>
        <w:rPr>
          <w:b/>
          <w:bCs/>
          <w:i/>
          <w:iCs/>
        </w:rPr>
        <w:t>85-րդ կետը խմբ. 17.03.22 թիվ 36</w:t>
      </w:r>
      <w:r w:rsidRPr="00CD4709">
        <w:rPr>
          <w:b/>
          <w:bCs/>
          <w:i/>
          <w:iCs/>
        </w:rPr>
        <w:t>)</w:t>
      </w:r>
    </w:p>
    <w:p w14:paraId="3660C25E" w14:textId="1920CB5A"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86.</w:t>
      </w:r>
      <w:r w:rsidRPr="00834D52">
        <w:rPr>
          <w:rFonts w:ascii="Sylfaen" w:hAnsi="Sylfaen"/>
          <w:sz w:val="24"/>
          <w:szCs w:val="24"/>
        </w:rPr>
        <w:tab/>
        <w:t xml:space="preserve">Դեղապատրաստուկի 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յալ փաստաթղթերը՝</w:t>
      </w:r>
    </w:p>
    <w:p w14:paraId="390D6D6F" w14:textId="6925F133" w:rsidR="006F76EB" w:rsidRPr="00834D52" w:rsidRDefault="00CC3F54" w:rsidP="00262B57">
      <w:pPr>
        <w:tabs>
          <w:tab w:val="left" w:pos="1134"/>
        </w:tabs>
        <w:spacing w:after="160" w:line="360" w:lineRule="auto"/>
        <w:ind w:right="-6" w:firstLine="567"/>
        <w:jc w:val="both"/>
        <w:rPr>
          <w:rFonts w:ascii="Sylfaen" w:eastAsia="Times New Roman" w:hAnsi="Sylfaen" w:cs="Times New Roman"/>
          <w:sz w:val="24"/>
          <w:szCs w:val="24"/>
        </w:rPr>
      </w:pPr>
      <w:r w:rsidRPr="00CC3F54">
        <w:rPr>
          <w:rFonts w:ascii="Sylfaen" w:hAnsi="Sylfaen"/>
          <w:sz w:val="24"/>
          <w:szCs w:val="24"/>
        </w:rPr>
        <w:t>ըստ սույն կանոնների թիվ 2 հավելվածին համապատասխան ձևի՝ թղթային կրիչով կամ էլեկտրոնային ստորագրությամբ ստորագրված՝ էլեկտրոնային փաստաթղթի տեսքով դեղապատրաստուկի գրանցման հայտը</w:t>
      </w:r>
      <w:r w:rsidR="006F76EB" w:rsidRPr="00834D52">
        <w:rPr>
          <w:rFonts w:ascii="Sylfaen" w:hAnsi="Sylfaen"/>
          <w:sz w:val="24"/>
          <w:szCs w:val="24"/>
        </w:rPr>
        <w:t>,</w:t>
      </w:r>
    </w:p>
    <w:p w14:paraId="532C1AA2" w14:textId="020A2566"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r w:rsidR="00CC3F54">
        <w:rPr>
          <w:rFonts w:ascii="Sylfaen" w:hAnsi="Sylfaen"/>
          <w:sz w:val="24"/>
          <w:szCs w:val="24"/>
        </w:rPr>
        <w:t xml:space="preserve"> </w:t>
      </w:r>
      <w:r w:rsidR="00CC3F54" w:rsidRPr="00CC3F54">
        <w:rPr>
          <w:rFonts w:ascii="Sylfaen" w:hAnsi="Sylfaen"/>
          <w:sz w:val="24"/>
          <w:szCs w:val="24"/>
        </w:rPr>
        <w:t>թղթային կրիչով կամ էլեկտրոնային փաստաթղթերի տեսքով</w:t>
      </w:r>
      <w:r w:rsidR="00CC3F54">
        <w:rPr>
          <w:rFonts w:ascii="Sylfaen" w:hAnsi="Sylfaen"/>
          <w:sz w:val="24"/>
          <w:szCs w:val="24"/>
        </w:rPr>
        <w:t>,</w:t>
      </w:r>
    </w:p>
    <w:p w14:paraId="3D7B5EDF" w14:textId="4F4DD7AB" w:rsidR="006F76EB" w:rsidRPr="00834D52" w:rsidRDefault="00E46212" w:rsidP="00262B57">
      <w:pPr>
        <w:tabs>
          <w:tab w:val="left" w:pos="1134"/>
        </w:tabs>
        <w:spacing w:after="160" w:line="360" w:lineRule="auto"/>
        <w:ind w:right="-8" w:firstLine="567"/>
        <w:jc w:val="both"/>
        <w:rPr>
          <w:rFonts w:ascii="Sylfaen" w:eastAsia="Times New Roman" w:hAnsi="Sylfaen" w:cs="Times New Roman"/>
          <w:sz w:val="24"/>
          <w:szCs w:val="24"/>
        </w:rPr>
      </w:pPr>
      <w:r w:rsidRPr="00E46212">
        <w:rPr>
          <w:rFonts w:ascii="Sylfaen" w:hAnsi="Sylfaen"/>
          <w:sz w:val="24"/>
          <w:szCs w:val="24"/>
        </w:rPr>
        <w:t>էլեկտրոնային փաստաթղթերի լրակազմ փաթեթի տեսքով էլեկտրոնային կրիչի վրա՝ սույն կանոնների թիվ 1-5 հավելվածներին համապատասխան՝ գրանցման դոսյե</w:t>
      </w:r>
      <w:r>
        <w:rPr>
          <w:rFonts w:ascii="Sylfaen" w:hAnsi="Sylfaen"/>
          <w:sz w:val="24"/>
          <w:szCs w:val="24"/>
        </w:rPr>
        <w:t>.</w:t>
      </w:r>
    </w:p>
    <w:p w14:paraId="40F35439" w14:textId="39D7731F" w:rsidR="006F76EB" w:rsidRPr="00834D52" w:rsidRDefault="006F76EB" w:rsidP="00262B5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կետի հինգերորդ պարբերությունում նշված նմուշների փորձարկումներ անցկացնելու համար անհրաժեշտ ակտիվ դեղագործական բաղադրամասերի </w:t>
      </w:r>
      <w:r w:rsidR="00C54D75">
        <w:rPr>
          <w:rFonts w:ascii="Sylfaen" w:hAnsi="Sylfaen"/>
          <w:sz w:val="24"/>
          <w:szCs w:val="24"/>
        </w:rPr>
        <w:t>և</w:t>
      </w:r>
      <w:r w:rsidRPr="00834D52">
        <w:rPr>
          <w:rFonts w:ascii="Sylfaen" w:hAnsi="Sylfaen"/>
          <w:sz w:val="24"/>
          <w:szCs w:val="24"/>
        </w:rPr>
        <w:t xml:space="preserve"> հարակից խառնուկների</w:t>
      </w:r>
      <w:r w:rsidR="00E46212">
        <w:rPr>
          <w:rFonts w:ascii="Sylfaen" w:hAnsi="Sylfaen"/>
          <w:sz w:val="24"/>
          <w:szCs w:val="24"/>
        </w:rPr>
        <w:t xml:space="preserve"> դ</w:t>
      </w:r>
      <w:r w:rsidR="00E46212">
        <w:rPr>
          <w:rFonts w:ascii="Arial Unicode" w:hAnsi="Arial Unicode"/>
          <w:sz w:val="21"/>
          <w:szCs w:val="21"/>
        </w:rPr>
        <w:t>եղապատրաստուկների նմուշներ</w:t>
      </w:r>
      <w:r w:rsidR="00E46212">
        <w:rPr>
          <w:sz w:val="21"/>
          <w:szCs w:val="21"/>
        </w:rPr>
        <w:t>,</w:t>
      </w:r>
      <w:r w:rsidRPr="00834D52">
        <w:rPr>
          <w:rFonts w:ascii="Sylfaen" w:hAnsi="Sylfaen"/>
          <w:sz w:val="24"/>
          <w:szCs w:val="24"/>
        </w:rPr>
        <w:t xml:space="preserve"> ստանդարտ նմուշները, սպեցիֆիկ ռեագենտները </w:t>
      </w:r>
      <w:r w:rsidR="00C54D75">
        <w:rPr>
          <w:rFonts w:ascii="Sylfaen" w:hAnsi="Sylfaen"/>
          <w:sz w:val="24"/>
          <w:szCs w:val="24"/>
        </w:rPr>
        <w:t>և</w:t>
      </w:r>
      <w:r w:rsidRPr="00834D52">
        <w:rPr>
          <w:rFonts w:ascii="Sylfaen" w:hAnsi="Sylfaen"/>
          <w:sz w:val="24"/>
          <w:szCs w:val="24"/>
        </w:rPr>
        <w:t xml:space="preserve"> այլ նյութեր ներկայացվում են փորձագիտական կազմակերպության հետ համաձայնեցնելով։</w:t>
      </w:r>
    </w:p>
    <w:p w14:paraId="6E6B790E" w14:textId="20283466" w:rsidR="00262B57" w:rsidRPr="00E46212" w:rsidRDefault="006F76EB" w:rsidP="00E46212">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Նմուշները, սպեցիֆիկ ռեագենտներն ու այլ նյութեր ներկայացվում են փորձագիտական կազմակերպության հետ համաձայնեցված՝ երեք անգամից ոչ</w:t>
      </w:r>
      <w:r w:rsidR="007D0283" w:rsidRPr="00615631">
        <w:rPr>
          <w:rFonts w:ascii="Sylfaen" w:hAnsi="Sylfaen"/>
          <w:sz w:val="24"/>
          <w:szCs w:val="24"/>
        </w:rPr>
        <w:t> </w:t>
      </w:r>
      <w:r w:rsidRPr="00834D52">
        <w:rPr>
          <w:rFonts w:ascii="Sylfaen" w:hAnsi="Sylfaen"/>
          <w:sz w:val="24"/>
          <w:szCs w:val="24"/>
        </w:rPr>
        <w:t xml:space="preserve">ավելի անալիզ անցկացնելու համար անհրաժեշտ քանակությամբ՝ դեղապատրաստուկների որակի վերաբերյալ նորմատիվ փաստաթղթի պահանջներին համապատասխան՝ լիազորված մարմնի (փորձագիտական </w:t>
      </w:r>
      <w:r w:rsidRPr="00834D52">
        <w:rPr>
          <w:rFonts w:ascii="Sylfaen" w:hAnsi="Sylfaen"/>
          <w:sz w:val="24"/>
          <w:szCs w:val="24"/>
        </w:rPr>
        <w:lastRenderedPageBreak/>
        <w:t xml:space="preserve">կազմակերպության) կողմից համաձայնեցված </w:t>
      </w:r>
      <w:r w:rsidR="00C54D75">
        <w:rPr>
          <w:rFonts w:ascii="Sylfaen" w:hAnsi="Sylfaen"/>
          <w:sz w:val="24"/>
          <w:szCs w:val="24"/>
        </w:rPr>
        <w:t>և</w:t>
      </w:r>
      <w:r w:rsidRPr="00834D52">
        <w:rPr>
          <w:rFonts w:ascii="Sylfaen" w:hAnsi="Sylfaen"/>
          <w:sz w:val="24"/>
          <w:szCs w:val="24"/>
        </w:rPr>
        <w:t xml:space="preserve"> դեղապատրաստուկի փորձաքննության </w:t>
      </w:r>
      <w:r w:rsidR="00C54D75">
        <w:rPr>
          <w:rFonts w:ascii="Sylfaen" w:hAnsi="Sylfaen"/>
          <w:sz w:val="24"/>
          <w:szCs w:val="24"/>
        </w:rPr>
        <w:t>և</w:t>
      </w:r>
      <w:r w:rsidRPr="00834D52">
        <w:rPr>
          <w:rFonts w:ascii="Sylfaen" w:hAnsi="Sylfaen"/>
          <w:sz w:val="24"/>
          <w:szCs w:val="24"/>
        </w:rPr>
        <w:t xml:space="preserve"> գրանցման ընդհանուր ժամկետի մեջ չմտնող ժամկետում։</w:t>
      </w:r>
    </w:p>
    <w:p w14:paraId="525697F2" w14:textId="416F01CC" w:rsidR="00E46212" w:rsidRPr="00E46212"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 xml:space="preserve">Չի պահանջվում ներկայացնել նմուշներ, սպեցիֆիկ ռեագենտներ և այլ նյութեր՝ </w:t>
      </w:r>
    </w:p>
    <w:p w14:paraId="04F47CB3" w14:textId="5AA4D9A8" w:rsidR="00E46212" w:rsidRPr="00E46212"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դեղապատրաստուկների նմուշների, ստանդարտ նմուշների, սպեցիֆիկ ռեագենտների և այլ նյութերի դժվարամատչելիության (այդ թվում՝ օրֆանային, բարձր տեխնոլոգիական, ռադիոդեղագործական, թմրանյութային, հոգեմետ կամ դրանց բարձր արժեքի հետևանքով բարձր ծախսային նոզոլոգիաների բուժման համար նախատեսված կատեգորիային դրանք դասելու դեպքում).</w:t>
      </w:r>
    </w:p>
    <w:p w14:paraId="3EBBA6B5" w14:textId="013EE71D" w:rsidR="00E46212" w:rsidRPr="00E46212"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անդամ պետության տարածք նշված նմուշների փոխադրման պայմանների պահպանման և (կամ) դրանց պահման անհնարինության.</w:t>
      </w:r>
    </w:p>
    <w:p w14:paraId="0B7FAF89" w14:textId="6534F848" w:rsidR="00E46212" w:rsidRPr="00E46212"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փորձագիտական կազմակերպությունում հատուկ սարքավորումների և ծախսային նյութերի բացակայության.</w:t>
      </w:r>
    </w:p>
    <w:p w14:paraId="3F642F52" w14:textId="3C25DD91" w:rsidR="00E46212" w:rsidRPr="00E46212"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անհաղթահարելի ուժի հանգամանքների կամ կողմերի կամքից անկախ, այդ թվում՝ դեղապատրաստուկի արտադրության և որակի հսկողության առանձնահատկությունների հետ կապված հանգամանքների առաջացման դեպքում լիազորված մարմնի (փորձագիտական կազմակերպության) որոշմամբ այլ պատճառների հետևանքով փորձագիտական կազմակերպությունում փորձարկումների անցկացման անհնարինության դեպքում:</w:t>
      </w:r>
    </w:p>
    <w:p w14:paraId="2C1004A0" w14:textId="01783296" w:rsidR="006F76EB"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Անդամ պետության օրենսդրության պահանջներին համապատասխան՝սույն կետի 2-4 պարբերություններում նշված փաստաթղթերը կարող են ներկայացվել առանց սույն կանոններով նախատեսված դեպքերում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ձևով</w:t>
      </w:r>
      <w:r w:rsidR="006F76EB" w:rsidRPr="00834D52">
        <w:rPr>
          <w:rFonts w:ascii="Sylfaen" w:hAnsi="Sylfaen"/>
          <w:sz w:val="24"/>
          <w:szCs w:val="24"/>
        </w:rPr>
        <w:t>։</w:t>
      </w:r>
    </w:p>
    <w:p w14:paraId="32C91088" w14:textId="7636380A" w:rsidR="00E34442" w:rsidRPr="00DE7674" w:rsidRDefault="00E34442" w:rsidP="00E34442">
      <w:pPr>
        <w:rPr>
          <w:b/>
          <w:bCs/>
          <w:i/>
          <w:iCs/>
        </w:rPr>
      </w:pPr>
      <w:r w:rsidRPr="00CD4709">
        <w:rPr>
          <w:b/>
          <w:bCs/>
          <w:i/>
          <w:iCs/>
        </w:rPr>
        <w:t>(</w:t>
      </w:r>
      <w:r>
        <w:rPr>
          <w:b/>
          <w:bCs/>
          <w:i/>
          <w:iCs/>
        </w:rPr>
        <w:t xml:space="preserve">86-րդ կետը </w:t>
      </w:r>
      <w:r w:rsidRPr="00CD4709">
        <w:rPr>
          <w:b/>
          <w:bCs/>
          <w:i/>
          <w:iCs/>
        </w:rPr>
        <w:t>փոփ.</w:t>
      </w:r>
      <w:r w:rsidR="00DE7674">
        <w:rPr>
          <w:b/>
          <w:bCs/>
          <w:i/>
          <w:iCs/>
        </w:rPr>
        <w:t>, լրաց.</w:t>
      </w:r>
      <w:r w:rsidRPr="00CD4709">
        <w:rPr>
          <w:b/>
          <w:bCs/>
          <w:i/>
          <w:iCs/>
        </w:rPr>
        <w:t xml:space="preserve"> 30.01.20 թիվ 9</w:t>
      </w:r>
      <w:r w:rsidR="00E46212">
        <w:rPr>
          <w:b/>
          <w:bCs/>
          <w:i/>
          <w:iCs/>
        </w:rPr>
        <w:t>, խմբ., լրաց., փոփ. 17.03.22 թիվ 36</w:t>
      </w:r>
      <w:r w:rsidRPr="00CD4709">
        <w:rPr>
          <w:b/>
          <w:bCs/>
          <w:i/>
          <w:iCs/>
        </w:rPr>
        <w:t>)</w:t>
      </w:r>
    </w:p>
    <w:p w14:paraId="7D8E2F62" w14:textId="1910DAD6" w:rsidR="006F76EB" w:rsidRDefault="006F76EB" w:rsidP="00262B57">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87.</w:t>
      </w:r>
      <w:r w:rsidRPr="00834D52">
        <w:rPr>
          <w:rFonts w:ascii="Sylfaen" w:hAnsi="Sylfaen"/>
          <w:sz w:val="24"/>
          <w:szCs w:val="24"/>
        </w:rPr>
        <w:tab/>
        <w:t>Սույն Կանոնների 86</w:t>
      </w:r>
      <w:r w:rsidRPr="008341C7">
        <w:rPr>
          <w:rFonts w:ascii="Sylfaen" w:hAnsi="Sylfaen"/>
          <w:sz w:val="24"/>
          <w:szCs w:val="24"/>
        </w:rPr>
        <w:t>-</w:t>
      </w:r>
      <w:r w:rsidRPr="00834D52">
        <w:rPr>
          <w:rFonts w:ascii="Sylfaen" w:hAnsi="Sylfaen"/>
          <w:sz w:val="24"/>
          <w:szCs w:val="24"/>
        </w:rPr>
        <w:t xml:space="preserve">րդ կետի ութերորդ պարբերությունում նշված </w:t>
      </w:r>
      <w:r w:rsidRPr="00834D52">
        <w:rPr>
          <w:rFonts w:ascii="Sylfaen" w:hAnsi="Sylfaen"/>
          <w:sz w:val="24"/>
          <w:szCs w:val="24"/>
        </w:rPr>
        <w:lastRenderedPageBreak/>
        <w:t>դեպքում լաբորատոր փորձարկումներն անցկացվում են դեղապատրաստուկ արտադրողի՝ որակի հսկողության լաբորատորիայում կամ արտադրողի կողմից օգտագործվող պայմանագրային լաբորատորիայում՝ փորձագիտական կազմակերպության ներկայացուցիչների ներկայությամբ։</w:t>
      </w:r>
    </w:p>
    <w:p w14:paraId="36A7F951" w14:textId="5536C5BC" w:rsidR="00E46212" w:rsidRDefault="00E46212" w:rsidP="00262B57">
      <w:pPr>
        <w:tabs>
          <w:tab w:val="left" w:pos="1134"/>
        </w:tabs>
        <w:spacing w:after="160" w:line="360" w:lineRule="auto"/>
        <w:ind w:right="-6" w:firstLine="567"/>
        <w:jc w:val="both"/>
        <w:rPr>
          <w:rFonts w:ascii="Sylfaen" w:eastAsia="Times New Roman" w:hAnsi="Sylfaen" w:cs="Times New Roman"/>
          <w:sz w:val="24"/>
          <w:szCs w:val="24"/>
        </w:rPr>
      </w:pPr>
      <w:r w:rsidRPr="00E46212">
        <w:rPr>
          <w:rFonts w:ascii="Sylfaen" w:eastAsia="Times New Roman" w:hAnsi="Sylfaen" w:cs="Times New Roman"/>
          <w:sz w:val="24"/>
          <w:szCs w:val="24"/>
        </w:rPr>
        <w:t>Արտադրողի որակի հսկողության լաբորատորիաներում կամ արտադրողի կողմից օգտագործվող պայմանագրային լաբորատորիաներում լաբորատոր փորձարկումների անցկացման անհնարինության դեպքում (արտակարգ իրավիճակի առաջացման սպառնալիքի, առաջացման և վերացման պայմաններում և (կամ) շրջապատողների համար վտանգ ներկայացնող հիվանդությունների, անբարենպաստ բնական, քիմիական, կենսաբանական, ճառագայթային գործոնների ազդեցության արդյունքում ստացված հիվանդությունների և ախտահարումների տարածման սպառնալիքի առաջացման դեպքում, որոնց դեպքում փորձագիտական կազմակերպության ներկայացուցչի ներկայությունը հնարավոր չէ, կամ այլ հանգամանքներում (օրինակ՝ 86-րդ կետի ութերորդ-տասներկուերորդ պարբերություններում նշված կատեգորիաների կոնկրետ դեղապատրաստուկի արտադրության և որակի հսկողության առանձնահատկությունների հետ կապված)) ռեֆերենտ պետության լիազորված մարմնի (փորձագիտական կազմակերպության) համաձայնեցմամբ որակի փորձաքննությունն անցկացվում է արտադրողի փաստաթղթերի (արտադրողի անալիզի արձանագրությունների) հիման վրա, այդ թվում՝ հեռավար փոխգործակցության միջոցների օգտագործմամբ, ներառյալ՝ տեսա- կամ ձայնային կապը</w:t>
      </w:r>
      <w:r>
        <w:rPr>
          <w:rFonts w:ascii="Sylfaen" w:eastAsia="Times New Roman" w:hAnsi="Sylfaen" w:cs="Times New Roman"/>
          <w:sz w:val="24"/>
          <w:szCs w:val="24"/>
        </w:rPr>
        <w:t>:</w:t>
      </w:r>
    </w:p>
    <w:p w14:paraId="314C9890" w14:textId="342884DB" w:rsidR="00E46212" w:rsidRPr="00E46212" w:rsidRDefault="00E46212" w:rsidP="00E46212">
      <w:pPr>
        <w:rPr>
          <w:b/>
          <w:bCs/>
          <w:i/>
          <w:iCs/>
        </w:rPr>
      </w:pPr>
      <w:r w:rsidRPr="00CD4709">
        <w:rPr>
          <w:b/>
          <w:bCs/>
          <w:i/>
          <w:iCs/>
        </w:rPr>
        <w:t>(</w:t>
      </w:r>
      <w:r>
        <w:rPr>
          <w:b/>
          <w:bCs/>
          <w:i/>
          <w:iCs/>
        </w:rPr>
        <w:t>87-րդ կետը լրաց. 17.03.22 թիվ 36</w:t>
      </w:r>
      <w:r w:rsidRPr="00CD4709">
        <w:rPr>
          <w:b/>
          <w:bCs/>
          <w:i/>
          <w:iCs/>
        </w:rPr>
        <w:t>)</w:t>
      </w:r>
    </w:p>
    <w:p w14:paraId="52BCCAD2" w14:textId="3F2C92F1"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88.</w:t>
      </w:r>
      <w:r w:rsidRPr="00834D52">
        <w:rPr>
          <w:rFonts w:ascii="Sylfaen" w:hAnsi="Sylfaen"/>
          <w:sz w:val="24"/>
          <w:szCs w:val="24"/>
        </w:rPr>
        <w:tab/>
        <w:t xml:space="preserve">Փաստաթղթերը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ներկայացնելու օրվանից ոչ ուշ, քան 14</w:t>
      </w:r>
      <w:r w:rsidR="00615631" w:rsidRPr="00615631">
        <w:rPr>
          <w:rFonts w:ascii="Sylfaen" w:hAnsi="Sylfaen"/>
          <w:sz w:val="24"/>
          <w:szCs w:val="24"/>
        </w:rPr>
        <w:t> </w:t>
      </w:r>
      <w:r w:rsidRPr="00834D52">
        <w:rPr>
          <w:rFonts w:ascii="Sylfaen" w:hAnsi="Sylfaen"/>
          <w:sz w:val="24"/>
          <w:szCs w:val="24"/>
        </w:rPr>
        <w:t xml:space="preserve">աշխատանքային օրվա ընթացքում </w:t>
      </w:r>
      <w:r w:rsidR="0056496B">
        <w:rPr>
          <w:rFonts w:ascii="Sylfaen" w:hAnsi="Sylfaen"/>
          <w:sz w:val="24"/>
          <w:szCs w:val="24"/>
        </w:rPr>
        <w:t>դիմումատու</w:t>
      </w:r>
      <w:r w:rsidRPr="00834D52">
        <w:rPr>
          <w:rFonts w:ascii="Sylfaen" w:hAnsi="Sylfaen"/>
          <w:sz w:val="24"/>
          <w:szCs w:val="24"/>
        </w:rPr>
        <w:t>ն ճանաչման պետությունների լիազորված մարմիններ (փորձագիտական կազմակերպություններ) է ներկայացնում՝</w:t>
      </w:r>
    </w:p>
    <w:p w14:paraId="464DB0C0" w14:textId="0B374E59" w:rsidR="00E46212" w:rsidRPr="00E46212" w:rsidRDefault="00E46212" w:rsidP="00E46212">
      <w:pPr>
        <w:tabs>
          <w:tab w:val="left" w:pos="1134"/>
          <w:tab w:val="left" w:pos="5130"/>
        </w:tabs>
        <w:spacing w:after="160" w:line="360" w:lineRule="auto"/>
        <w:ind w:right="-6" w:firstLine="567"/>
        <w:jc w:val="both"/>
        <w:rPr>
          <w:rFonts w:ascii="Sylfaen" w:hAnsi="Sylfaen"/>
          <w:sz w:val="24"/>
          <w:szCs w:val="24"/>
        </w:rPr>
      </w:pPr>
      <w:r w:rsidRPr="00E46212">
        <w:rPr>
          <w:rFonts w:ascii="Sylfaen" w:hAnsi="Sylfaen"/>
          <w:sz w:val="24"/>
          <w:szCs w:val="24"/>
        </w:rPr>
        <w:lastRenderedPageBreak/>
        <w:t>ըստ սույն կանոնների թիվ 2 հավելվածին համապատասխան ձևի՝ թղթային կրիչով կամ էլեկտրոնային ստորագրությամբ ստորագրված տեսքով հայտը.</w:t>
      </w:r>
    </w:p>
    <w:p w14:paraId="1D0198A9" w14:textId="2D828D0B" w:rsidR="00196848" w:rsidRDefault="00E46212" w:rsidP="00E46212">
      <w:pPr>
        <w:tabs>
          <w:tab w:val="left" w:pos="1134"/>
          <w:tab w:val="left" w:pos="5130"/>
        </w:tabs>
        <w:spacing w:after="160" w:line="360" w:lineRule="auto"/>
        <w:ind w:right="-6" w:firstLine="567"/>
        <w:jc w:val="both"/>
        <w:rPr>
          <w:rFonts w:ascii="Sylfaen" w:eastAsia="Times New Roman" w:hAnsi="Sylfaen" w:cs="Times New Roman"/>
          <w:sz w:val="24"/>
          <w:szCs w:val="24"/>
        </w:rPr>
      </w:pPr>
      <w:r w:rsidRPr="00E46212">
        <w:rPr>
          <w:rFonts w:ascii="Sylfaen" w:hAnsi="Sylfaen"/>
          <w:sz w:val="24"/>
          <w:szCs w:val="24"/>
        </w:rPr>
        <w:t>էլեկտրոնային փաստաթղթերի լրակազմ փաթեթի տեսքով՝ էլեկտրոնային կրիչով գրանցման դոսյեի մոդուլ 1</w:t>
      </w:r>
      <w:r w:rsidR="006F76EB" w:rsidRPr="00834D52">
        <w:rPr>
          <w:rFonts w:ascii="Sylfaen" w:hAnsi="Sylfaen"/>
          <w:sz w:val="24"/>
          <w:szCs w:val="24"/>
        </w:rPr>
        <w:t>,</w:t>
      </w:r>
    </w:p>
    <w:p w14:paraId="614A5319" w14:textId="5A0FE0E7" w:rsidR="006F76EB" w:rsidRPr="00E46212" w:rsidRDefault="006F76EB" w:rsidP="00262B57">
      <w:pPr>
        <w:tabs>
          <w:tab w:val="left" w:pos="1134"/>
        </w:tabs>
        <w:spacing w:after="160" w:line="360" w:lineRule="auto"/>
        <w:ind w:right="-6" w:firstLine="567"/>
        <w:jc w:val="both"/>
        <w:rPr>
          <w:rFonts w:eastAsia="Times New Roman" w:cs="Times New Roman"/>
          <w:sz w:val="24"/>
          <w:szCs w:val="24"/>
        </w:rPr>
      </w:pPr>
      <w:r w:rsidRPr="00834D52">
        <w:rPr>
          <w:rFonts w:ascii="Sylfaen" w:hAnsi="Sylfaen"/>
          <w:sz w:val="24"/>
          <w:szCs w:val="24"/>
        </w:rPr>
        <w:t xml:space="preserve">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ճանաչման 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r w:rsidR="00E46212">
        <w:rPr>
          <w:rFonts w:ascii="Sylfaen" w:hAnsi="Sylfaen"/>
          <w:sz w:val="24"/>
          <w:szCs w:val="24"/>
        </w:rPr>
        <w:t xml:space="preserve">, </w:t>
      </w:r>
      <w:r w:rsidR="00E46212">
        <w:rPr>
          <w:rFonts w:ascii="Arial Unicode" w:hAnsi="Arial Unicode"/>
          <w:sz w:val="21"/>
          <w:szCs w:val="21"/>
        </w:rPr>
        <w:t>էլեկտրոնային փաստաթղթերի տեսքով</w:t>
      </w:r>
      <w:r w:rsidR="00E46212">
        <w:rPr>
          <w:sz w:val="21"/>
          <w:szCs w:val="21"/>
        </w:rPr>
        <w:t>:</w:t>
      </w:r>
    </w:p>
    <w:p w14:paraId="7B62DFC3" w14:textId="2E33F043" w:rsidR="006F76EB" w:rsidRDefault="006F76EB" w:rsidP="008D271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Անդամ պետության օրենսդրության մեջ համապատասխան պահանջների առկայության դեպքում ԴՊԸԲ</w:t>
      </w:r>
      <w:r w:rsidRPr="008341C7">
        <w:rPr>
          <w:rFonts w:ascii="Sylfaen" w:hAnsi="Sylfaen"/>
          <w:sz w:val="24"/>
          <w:szCs w:val="24"/>
        </w:rPr>
        <w:t>-</w:t>
      </w:r>
      <w:r w:rsidRPr="00834D52">
        <w:rPr>
          <w:rFonts w:ascii="Sylfaen" w:hAnsi="Sylfaen"/>
          <w:sz w:val="24"/>
          <w:szCs w:val="24"/>
        </w:rPr>
        <w:t xml:space="preserve">ները,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ներկայացվում են ճանաչման պետության պետական լեզվով։</w:t>
      </w:r>
    </w:p>
    <w:p w14:paraId="1994F4DD" w14:textId="4E08ED05" w:rsidR="00E46212" w:rsidRDefault="00E46212" w:rsidP="008D2718">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Անդամ պետության օրենսդրության պահանջներին համապատասխան՝ սույն կետի երկրորդ-չորրորդ պարբերություններում նշված փաստաթղթերը կարող են ներկայացվել առանց սույն կանոններով նախատեսված դեպքերում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r>
        <w:rPr>
          <w:rFonts w:ascii="Sylfaen" w:hAnsi="Sylfaen"/>
          <w:sz w:val="24"/>
          <w:szCs w:val="24"/>
        </w:rPr>
        <w:t>:</w:t>
      </w:r>
    </w:p>
    <w:p w14:paraId="413EA334" w14:textId="6C9B9582" w:rsidR="00E34442" w:rsidRPr="006F28F9" w:rsidRDefault="00E34442" w:rsidP="00E34442">
      <w:pPr>
        <w:rPr>
          <w:b/>
          <w:bCs/>
          <w:i/>
          <w:iCs/>
        </w:rPr>
      </w:pPr>
      <w:r w:rsidRPr="00CD4709">
        <w:rPr>
          <w:b/>
          <w:bCs/>
          <w:i/>
          <w:iCs/>
        </w:rPr>
        <w:t>(</w:t>
      </w:r>
      <w:r>
        <w:rPr>
          <w:b/>
          <w:bCs/>
          <w:i/>
          <w:iCs/>
        </w:rPr>
        <w:t xml:space="preserve">88-րդ կետը </w:t>
      </w:r>
      <w:r w:rsidRPr="00CD4709">
        <w:rPr>
          <w:b/>
          <w:bCs/>
          <w:i/>
          <w:iCs/>
        </w:rPr>
        <w:t>փոփ. 30.01.20 թիվ 9</w:t>
      </w:r>
      <w:r w:rsidR="00E46212">
        <w:rPr>
          <w:b/>
          <w:bCs/>
          <w:i/>
          <w:iCs/>
        </w:rPr>
        <w:t>, խմբ., լրաց. 17.03.22 թիվ 36</w:t>
      </w:r>
      <w:r w:rsidRPr="00CD4709">
        <w:rPr>
          <w:b/>
          <w:bCs/>
          <w:i/>
          <w:iCs/>
        </w:rPr>
        <w:t>)</w:t>
      </w:r>
    </w:p>
    <w:p w14:paraId="1B2F3B72"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89.</w:t>
      </w:r>
      <w:r w:rsidRPr="00834D52">
        <w:rPr>
          <w:rFonts w:ascii="Sylfaen" w:hAnsi="Sylfaen"/>
          <w:sz w:val="24"/>
          <w:szCs w:val="24"/>
        </w:rPr>
        <w:tab/>
        <w:t xml:space="preserve">Գրանցման ապակենտրոնացված ընթացակարգի դեպքում </w:t>
      </w:r>
      <w:r w:rsidR="009F49FE">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փորձաքննությունը ներառում է՝</w:t>
      </w:r>
    </w:p>
    <w:p w14:paraId="7E0844C6"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դոսյեի ներկայացված փաստաթղթերի ամբողջության,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ակերպման գնահատում,</w:t>
      </w:r>
    </w:p>
    <w:p w14:paraId="1E436142" w14:textId="2DE58732"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կողմից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գնահատում՝ դրանց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մասով,</w:t>
      </w:r>
    </w:p>
    <w:p w14:paraId="19F6E83C" w14:textId="6D61C9DE"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հավատարմագրված փորձարկման լաբորատորիաներում իրականացվող՝ որակի հսկողության </w:t>
      </w:r>
      <w:r w:rsidR="001A5F1A">
        <w:rPr>
          <w:rFonts w:ascii="Sylfaen" w:hAnsi="Sylfaen"/>
          <w:sz w:val="24"/>
          <w:szCs w:val="24"/>
        </w:rPr>
        <w:t>հայտագրված</w:t>
      </w:r>
      <w:r w:rsidRPr="00834D52">
        <w:rPr>
          <w:rFonts w:ascii="Sylfaen" w:hAnsi="Sylfaen"/>
          <w:sz w:val="24"/>
          <w:szCs w:val="24"/>
        </w:rPr>
        <w:t xml:space="preserve"> մեթոդիկաների որակի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վերարտադրելիության նորմատիվ փաստաթղթերի պահանջներին համապատասխանության մասով լաբորատոր փորձարկումների անցկացում,</w:t>
      </w:r>
    </w:p>
    <w:p w14:paraId="303815AC" w14:textId="27C37E16"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անհրաժեշտության դեպքում սույն Կանոններով սահմանված դեպքերում դեղագործական, տեսչական ստուգման նախաձեռնում,</w:t>
      </w:r>
    </w:p>
    <w:p w14:paraId="72A43316" w14:textId="17577340" w:rsidR="006F76EB" w:rsidRDefault="006F76EB" w:rsidP="008D271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10ED2835" w14:textId="1111026E" w:rsidR="00E34442" w:rsidRPr="006F28F9" w:rsidRDefault="00E34442" w:rsidP="00E34442">
      <w:pPr>
        <w:rPr>
          <w:b/>
          <w:bCs/>
          <w:i/>
          <w:iCs/>
        </w:rPr>
      </w:pPr>
      <w:r w:rsidRPr="00CD4709">
        <w:rPr>
          <w:b/>
          <w:bCs/>
          <w:i/>
          <w:iCs/>
        </w:rPr>
        <w:t>(</w:t>
      </w:r>
      <w:r>
        <w:rPr>
          <w:b/>
          <w:bCs/>
          <w:i/>
          <w:iCs/>
        </w:rPr>
        <w:t xml:space="preserve">89-րդ կետը </w:t>
      </w:r>
      <w:r w:rsidRPr="00CD4709">
        <w:rPr>
          <w:b/>
          <w:bCs/>
          <w:i/>
          <w:iCs/>
        </w:rPr>
        <w:t>փոփ. 30.01.20 թիվ 9</w:t>
      </w:r>
      <w:r w:rsidR="00E46212">
        <w:rPr>
          <w:b/>
          <w:bCs/>
          <w:i/>
          <w:iCs/>
        </w:rPr>
        <w:t>, 17.03.22 թիվ 36</w:t>
      </w:r>
      <w:r w:rsidRPr="00CD4709">
        <w:rPr>
          <w:b/>
          <w:bCs/>
          <w:i/>
          <w:iCs/>
        </w:rPr>
        <w:t>)</w:t>
      </w:r>
    </w:p>
    <w:p w14:paraId="2048B766"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90.</w:t>
      </w:r>
      <w:r w:rsidRPr="00834D52">
        <w:rPr>
          <w:rFonts w:ascii="Sylfaen" w:hAnsi="Sylfaen"/>
          <w:sz w:val="24"/>
          <w:szCs w:val="24"/>
        </w:rPr>
        <w:tab/>
        <w:t>Գրանցման ապակենտրոնացված ընթացակարգի դեպքում ճանաչման պետություններում դեղապատրաստուկի փորձաքննությունն իրականացվում է՝</w:t>
      </w:r>
    </w:p>
    <w:p w14:paraId="20B086D1" w14:textId="7FCF2F58"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ի, գրանցման դոսյեի փաստաթղթերի </w:t>
      </w:r>
      <w:r w:rsidR="00C54D75">
        <w:rPr>
          <w:rFonts w:ascii="Sylfaen" w:hAnsi="Sylfaen"/>
          <w:sz w:val="24"/>
          <w:szCs w:val="24"/>
        </w:rPr>
        <w:t>և</w:t>
      </w:r>
      <w:r w:rsidRPr="00834D52">
        <w:rPr>
          <w:rFonts w:ascii="Sylfaen" w:hAnsi="Sylfaen"/>
          <w:sz w:val="24"/>
          <w:szCs w:val="24"/>
        </w:rPr>
        <w:t xml:space="preserve"> տվյալների քննության միջոցով,</w:t>
      </w:r>
    </w:p>
    <w:p w14:paraId="2F30D3B2" w14:textId="3F625BDB" w:rsidR="006F76EB" w:rsidRDefault="006F76EB" w:rsidP="008D271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պատրաստված՝ գնահատման վերաբերյալ փորձագիտական հաշվետվության քննության միջոցով։</w:t>
      </w:r>
    </w:p>
    <w:p w14:paraId="3B6AA917" w14:textId="326BFB6F" w:rsidR="00E34442" w:rsidRPr="006F28F9" w:rsidRDefault="00E34442" w:rsidP="00E34442">
      <w:pPr>
        <w:rPr>
          <w:b/>
          <w:bCs/>
          <w:i/>
          <w:iCs/>
        </w:rPr>
      </w:pPr>
      <w:r w:rsidRPr="00CD4709">
        <w:rPr>
          <w:b/>
          <w:bCs/>
          <w:i/>
          <w:iCs/>
        </w:rPr>
        <w:t>(</w:t>
      </w:r>
      <w:r>
        <w:rPr>
          <w:b/>
          <w:bCs/>
          <w:i/>
          <w:iCs/>
        </w:rPr>
        <w:t xml:space="preserve">90-րդ կետը </w:t>
      </w:r>
      <w:r w:rsidRPr="00CD4709">
        <w:rPr>
          <w:b/>
          <w:bCs/>
          <w:i/>
          <w:iCs/>
        </w:rPr>
        <w:t>փոփ. 30.01.20 թիվ 9)</w:t>
      </w:r>
    </w:p>
    <w:p w14:paraId="7F363059" w14:textId="6738854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91.</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w:t>
      </w:r>
      <w:r w:rsidR="00E46212">
        <w:rPr>
          <w:rFonts w:ascii="Sylfaen" w:hAnsi="Sylfaen"/>
          <w:sz w:val="24"/>
          <w:szCs w:val="24"/>
        </w:rPr>
        <w:t>0</w:t>
      </w:r>
      <w:r w:rsidRPr="00834D52">
        <w:rPr>
          <w:rFonts w:ascii="Sylfaen" w:hAnsi="Sylfaen"/>
          <w:sz w:val="24"/>
          <w:szCs w:val="24"/>
        </w:rPr>
        <w:t xml:space="preserve"> աշխատանքային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մարմինն (փորձագիտական կազմակերպությունը) իրականացնում է գրանցման դոսյեի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նախքան գրանցման դոսյեի նյութերը փորձաքննության ուղարկելը։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w:t>
      </w:r>
      <w:r w:rsidR="008B1012">
        <w:rPr>
          <w:rFonts w:ascii="Arial Unicode" w:hAnsi="Arial Unicode"/>
          <w:sz w:val="21"/>
          <w:szCs w:val="21"/>
        </w:rPr>
        <w:t>հարցման</w:t>
      </w:r>
      <w:r w:rsidRPr="00834D52">
        <w:rPr>
          <w:rFonts w:ascii="Sylfaen" w:hAnsi="Sylfaen"/>
          <w:sz w:val="24"/>
          <w:szCs w:val="24"/>
        </w:rPr>
        <w:t xml:space="preserve"> հիման վրա՝ գրանցման դոսյեում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տրամադրվում է 90</w:t>
      </w:r>
      <w:r w:rsidR="006955BF" w:rsidRPr="00EC2CD0">
        <w:rPr>
          <w:rFonts w:ascii="Sylfaen" w:hAnsi="Sylfaen"/>
          <w:sz w:val="24"/>
          <w:szCs w:val="24"/>
        </w:rPr>
        <w:t> </w:t>
      </w:r>
      <w:r w:rsidR="008B1012">
        <w:rPr>
          <w:rFonts w:ascii="Arial Unicode" w:hAnsi="Arial Unicode"/>
          <w:sz w:val="21"/>
          <w:szCs w:val="21"/>
        </w:rPr>
        <w:t>աշխատանքային</w:t>
      </w:r>
      <w:r w:rsidRPr="00834D52">
        <w:rPr>
          <w:rFonts w:ascii="Sylfaen" w:hAnsi="Sylfaen"/>
          <w:sz w:val="24"/>
          <w:szCs w:val="24"/>
        </w:rPr>
        <w:t xml:space="preserve"> օրվանից ոչ ավելի, որը չի մտնում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1BAE30BC" w14:textId="648F41C2" w:rsidR="008B1012" w:rsidRPr="008B1012" w:rsidRDefault="008B1012" w:rsidP="008B1012">
      <w:pPr>
        <w:tabs>
          <w:tab w:val="left" w:pos="1134"/>
        </w:tabs>
        <w:spacing w:after="160" w:line="336" w:lineRule="auto"/>
        <w:ind w:right="-6" w:firstLine="567"/>
        <w:jc w:val="both"/>
        <w:rPr>
          <w:rFonts w:ascii="Sylfaen" w:hAnsi="Sylfaen"/>
          <w:sz w:val="24"/>
          <w:szCs w:val="24"/>
        </w:rPr>
      </w:pPr>
      <w:r w:rsidRPr="008B1012">
        <w:rPr>
          <w:rFonts w:ascii="Sylfaen" w:hAnsi="Sylfaen"/>
          <w:sz w:val="24"/>
          <w:szCs w:val="24"/>
        </w:rPr>
        <w:t>Ռեֆերենտ պետության լիազորված մարմնի (փորձագիտական կազմակերպության) հարցումը պետք է փոխանցվի հայտատուին էլեկտրոնային ձևով՝ կապի հեռահաղորդակցական ուղիներով, և համարվում է ստացված այն ուղարկելու օրվանից 1 օրացուցային օրը լրանալուն պես:</w:t>
      </w:r>
    </w:p>
    <w:p w14:paraId="32CC4883" w14:textId="66DAA3FD" w:rsidR="008B1012" w:rsidRPr="008B1012" w:rsidRDefault="008B1012" w:rsidP="008B1012">
      <w:pPr>
        <w:tabs>
          <w:tab w:val="left" w:pos="1134"/>
        </w:tabs>
        <w:spacing w:after="160" w:line="336" w:lineRule="auto"/>
        <w:ind w:right="-6" w:firstLine="567"/>
        <w:jc w:val="both"/>
        <w:rPr>
          <w:rFonts w:ascii="Sylfaen" w:hAnsi="Sylfaen"/>
          <w:sz w:val="24"/>
          <w:szCs w:val="24"/>
        </w:rPr>
      </w:pPr>
      <w:r w:rsidRPr="008B1012">
        <w:rPr>
          <w:rFonts w:ascii="Sylfaen" w:hAnsi="Sylfaen"/>
          <w:sz w:val="24"/>
          <w:szCs w:val="24"/>
        </w:rPr>
        <w:lastRenderedPageBreak/>
        <w:t>Հայտատուի պատասխանը գնահատվում է հայտատուի պատասխանն ստանալու օրվանից 5 աշխատանքային օրը չգերազանցող ժամկետում:</w:t>
      </w:r>
    </w:p>
    <w:p w14:paraId="31EC9953" w14:textId="6CD20C0E" w:rsidR="008B1012" w:rsidRPr="008B1012" w:rsidRDefault="008B1012" w:rsidP="008B1012">
      <w:pPr>
        <w:tabs>
          <w:tab w:val="left" w:pos="1134"/>
        </w:tabs>
        <w:spacing w:after="160" w:line="336" w:lineRule="auto"/>
        <w:ind w:right="-6" w:firstLine="567"/>
        <w:jc w:val="both"/>
        <w:rPr>
          <w:rFonts w:ascii="Sylfaen" w:hAnsi="Sylfaen"/>
          <w:sz w:val="24"/>
          <w:szCs w:val="24"/>
        </w:rPr>
      </w:pPr>
      <w:r w:rsidRPr="008B1012">
        <w:rPr>
          <w:rFonts w:ascii="Sylfaen" w:hAnsi="Sylfaen"/>
          <w:sz w:val="24"/>
          <w:szCs w:val="24"/>
        </w:rPr>
        <w:t>Ռեֆերենտ պետության լիազորված մարմինը (փորձագիտական կազմակերպությունը) գրանցման դոսյեի ներկայացված նյութերի լրակազմության և ամբողջականության գնահատման օրվանից 14 աշխատանքային օրվանից ոչ ուշ ինտեգրված համակարգի օգտագործման միջոցով՝ դեղապատրաստուկի ապակենտրոնացված գրանցման ընթացակարգում մասնակցող ճանաչման պետությունների լիազորված մարմիններին (փորձագիտական կազմակերպություններին) տրամադրում է մուտք դեղապատրաստուկի գրանցման դոսյեին կամ ծանուցում է հայտի մերժման մասին՝ սույն կանոնների 92-րդ կետով սահմանված կարգով:</w:t>
      </w:r>
    </w:p>
    <w:p w14:paraId="5CE9BA9F" w14:textId="305FC2BD" w:rsidR="006F76EB" w:rsidRDefault="008B1012" w:rsidP="008B1012">
      <w:pPr>
        <w:tabs>
          <w:tab w:val="left" w:pos="1134"/>
        </w:tabs>
        <w:spacing w:after="160" w:line="336" w:lineRule="auto"/>
        <w:ind w:right="-6" w:firstLine="567"/>
        <w:jc w:val="both"/>
        <w:rPr>
          <w:rFonts w:ascii="Sylfaen" w:hAnsi="Sylfaen"/>
          <w:sz w:val="24"/>
          <w:szCs w:val="24"/>
        </w:rPr>
      </w:pPr>
      <w:r w:rsidRPr="008B1012">
        <w:rPr>
          <w:rFonts w:ascii="Sylfaen" w:hAnsi="Sylfaen"/>
          <w:sz w:val="24"/>
          <w:szCs w:val="24"/>
        </w:rPr>
        <w:t>Սույն կանոնների 89-րդ կետի «բ»-«ե» ենթակետերում նշված փուլերը ներառող փորձաքննությունն անցկացվում է գրանցման դոսյեում ներկայացված փաստաթղթերի ամբողջականության, լրակազմության և ձևակերպման ճշտության գնահատման կամ փորձագիտական կազմակերպության կողմից փորձաքննության անցկացման մասով համապատասխան առաջադրանքի ստացման օրվանից 105 աշխատանքային օրը չգերազանցող ժամկետում</w:t>
      </w:r>
      <w:r w:rsidR="006F76EB" w:rsidRPr="00834D52">
        <w:rPr>
          <w:rFonts w:ascii="Sylfaen" w:hAnsi="Sylfaen"/>
          <w:sz w:val="24"/>
          <w:szCs w:val="24"/>
        </w:rPr>
        <w:t>։</w:t>
      </w:r>
    </w:p>
    <w:p w14:paraId="346F140C" w14:textId="65CACE78" w:rsidR="00B55756" w:rsidRPr="006F28F9" w:rsidRDefault="00B55756" w:rsidP="00B55756">
      <w:pPr>
        <w:rPr>
          <w:b/>
          <w:bCs/>
          <w:i/>
          <w:iCs/>
        </w:rPr>
      </w:pPr>
      <w:r w:rsidRPr="00CD4709">
        <w:rPr>
          <w:b/>
          <w:bCs/>
          <w:i/>
          <w:iCs/>
        </w:rPr>
        <w:t>(</w:t>
      </w:r>
      <w:r>
        <w:rPr>
          <w:b/>
          <w:bCs/>
          <w:i/>
          <w:iCs/>
        </w:rPr>
        <w:t xml:space="preserve">91-րդ կետը </w:t>
      </w:r>
      <w:r w:rsidRPr="00CD4709">
        <w:rPr>
          <w:b/>
          <w:bCs/>
          <w:i/>
          <w:iCs/>
        </w:rPr>
        <w:t>փոփ. 30.01.20 թիվ 9</w:t>
      </w:r>
      <w:r w:rsidR="008B1012">
        <w:rPr>
          <w:b/>
          <w:bCs/>
          <w:i/>
          <w:iCs/>
        </w:rPr>
        <w:t>, 17.03.22 թիվ 36</w:t>
      </w:r>
      <w:r w:rsidRPr="00CD4709">
        <w:rPr>
          <w:b/>
          <w:bCs/>
          <w:i/>
          <w:iCs/>
        </w:rPr>
        <w:t>)</w:t>
      </w:r>
    </w:p>
    <w:p w14:paraId="0DA93C02" w14:textId="00771A37" w:rsidR="006F76EB" w:rsidRDefault="006F76EB" w:rsidP="00296C4C">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92.</w:t>
      </w:r>
      <w:r w:rsidRPr="00834D52">
        <w:rPr>
          <w:rFonts w:ascii="Sylfaen" w:hAnsi="Sylfaen"/>
          <w:sz w:val="24"/>
          <w:szCs w:val="24"/>
        </w:rPr>
        <w:tab/>
        <w:t xml:space="preserve">Սահմանված ժամկետում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փաստաթղթերն ու նյութերը չներկայացնելու </w:t>
      </w:r>
      <w:r w:rsidR="00C54D75">
        <w:rPr>
          <w:rFonts w:ascii="Sylfaen" w:hAnsi="Sylfaen"/>
          <w:sz w:val="24"/>
          <w:szCs w:val="24"/>
        </w:rPr>
        <w:t>և</w:t>
      </w:r>
      <w:r w:rsidRPr="00834D52">
        <w:rPr>
          <w:rFonts w:ascii="Sylfaen" w:hAnsi="Sylfaen"/>
          <w:sz w:val="24"/>
          <w:szCs w:val="24"/>
        </w:rPr>
        <w:t xml:space="preserve"> (կամ)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ճանաչման պետությունների լիազորված մարմինները (փորձագիտական կազմակերպությունները)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մերժում են դեղապատրաստուկի գրանցման </w:t>
      </w:r>
      <w:r w:rsidR="0056496B">
        <w:rPr>
          <w:rFonts w:ascii="Sylfaen" w:hAnsi="Sylfaen"/>
          <w:sz w:val="24"/>
          <w:szCs w:val="24"/>
        </w:rPr>
        <w:t>դիմում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որոշումը կայացնելու պահից ոչ ուշ, քան 5 աշխատանքային օրվա ընթացքում ինտեգրված համակարգի միջոցով տեղեկացնում այդ մասին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մարմիններին (փորձագիտական կազմակերպություններին)։</w:t>
      </w:r>
    </w:p>
    <w:p w14:paraId="743565ED" w14:textId="0F6B6486" w:rsidR="00B55756" w:rsidRPr="006F28F9" w:rsidRDefault="00B55756" w:rsidP="00B55756">
      <w:pPr>
        <w:rPr>
          <w:b/>
          <w:bCs/>
          <w:i/>
          <w:iCs/>
        </w:rPr>
      </w:pPr>
      <w:r w:rsidRPr="00CD4709">
        <w:rPr>
          <w:b/>
          <w:bCs/>
          <w:i/>
          <w:iCs/>
        </w:rPr>
        <w:t>(</w:t>
      </w:r>
      <w:r>
        <w:rPr>
          <w:b/>
          <w:bCs/>
          <w:i/>
          <w:iCs/>
        </w:rPr>
        <w:t xml:space="preserve">92-րդ կետը </w:t>
      </w:r>
      <w:r w:rsidRPr="00CD4709">
        <w:rPr>
          <w:b/>
          <w:bCs/>
          <w:i/>
          <w:iCs/>
        </w:rPr>
        <w:t>փոփ. 30.01.20 թիվ 9)</w:t>
      </w:r>
    </w:p>
    <w:p w14:paraId="306FCED3" w14:textId="7CDEBE05"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lastRenderedPageBreak/>
        <w:t>93.</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գրանցումն ու փորձաքննությունն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դոսյեի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վերաբերյալ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ում, դեղապատրաստուկի բժշկական կիրառման հրահանգում, փաթեթվածքի մանրակերտերում, որակի նորմատիվ փաստաթղթում կամ գրանցման դոսյեի այլ փաստաթղթերում փոփոխություններ կատարելու առաջարկություններ) ներկայացնելու մասին</w:t>
      </w:r>
      <w:r w:rsidR="008B1012" w:rsidRPr="00834D52">
        <w:rPr>
          <w:rFonts w:ascii="Sylfaen" w:hAnsi="Sylfaen"/>
          <w:sz w:val="24"/>
          <w:szCs w:val="24"/>
        </w:rPr>
        <w:t xml:space="preserve"> </w:t>
      </w:r>
      <w:r w:rsidRPr="00834D52">
        <w:rPr>
          <w:rFonts w:ascii="Sylfaen" w:hAnsi="Sylfaen"/>
          <w:sz w:val="24"/>
          <w:szCs w:val="24"/>
        </w:rPr>
        <w:t>։</w:t>
      </w:r>
    </w:p>
    <w:p w14:paraId="525E2CE3" w14:textId="3B40ADBC" w:rsidR="00B55756" w:rsidRPr="006F28F9" w:rsidRDefault="00B55756" w:rsidP="00B55756">
      <w:pPr>
        <w:rPr>
          <w:b/>
          <w:bCs/>
          <w:i/>
          <w:iCs/>
        </w:rPr>
      </w:pPr>
      <w:r w:rsidRPr="00CD4709">
        <w:rPr>
          <w:b/>
          <w:bCs/>
          <w:i/>
          <w:iCs/>
        </w:rPr>
        <w:t>(</w:t>
      </w:r>
      <w:r>
        <w:rPr>
          <w:b/>
          <w:bCs/>
          <w:i/>
          <w:iCs/>
        </w:rPr>
        <w:t xml:space="preserve">93-րդ կետը </w:t>
      </w:r>
      <w:r w:rsidRPr="00CD4709">
        <w:rPr>
          <w:b/>
          <w:bCs/>
          <w:i/>
          <w:iCs/>
        </w:rPr>
        <w:t>փոփ. 30.01.20 թիվ 9</w:t>
      </w:r>
      <w:r w:rsidR="008B1012">
        <w:rPr>
          <w:b/>
          <w:bCs/>
          <w:i/>
          <w:iCs/>
        </w:rPr>
        <w:t>, 17.03.22 թիվ 36</w:t>
      </w:r>
      <w:r w:rsidRPr="00CD4709">
        <w:rPr>
          <w:b/>
          <w:bCs/>
          <w:i/>
          <w:iCs/>
        </w:rPr>
        <w:t>)</w:t>
      </w:r>
    </w:p>
    <w:p w14:paraId="1245224D" w14:textId="6770AE0C" w:rsidR="008B1012" w:rsidRPr="008B1012" w:rsidRDefault="006F76EB" w:rsidP="008B1012">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94.</w:t>
      </w:r>
      <w:r w:rsidRPr="00834D52">
        <w:rPr>
          <w:rFonts w:ascii="Sylfaen" w:hAnsi="Sylfaen"/>
          <w:sz w:val="24"/>
          <w:szCs w:val="24"/>
        </w:rPr>
        <w:tab/>
      </w:r>
      <w:r w:rsidR="008B1012" w:rsidRPr="008B1012">
        <w:rPr>
          <w:rFonts w:ascii="Sylfaen" w:hAnsi="Sylfaen"/>
          <w:sz w:val="24"/>
          <w:szCs w:val="24"/>
        </w:rPr>
        <w:t xml:space="preserve">Ռեֆերենտ պետության լիազորված մարմինը (փորձագիտական կազմակերպությունը) փորձաքննության մեկնարկից 60 աշխատանքային օրվա ընթացքում ճանաչման պետությունների լիազորված մարմիններ (փորձագիտական կազմակերպություններ) է ուղարկում հաշվետվությունների պատճենները՝ դիտողությունների ձևակերպմամբ՝ ըստ սույն կանոնների թիվ 6-8 հավելվածներին համապատասխան ձևի, կամ գնահատման մասով նախնական հաշվետվությունը՝ ըստ սույն կանոնների թիվ 11 հավելվածի համաձայն ձևի, կամ կատարված հարցումների պատճենները՝ հայտատուին: </w:t>
      </w:r>
    </w:p>
    <w:p w14:paraId="4D1F5FA8" w14:textId="68D1E8EF" w:rsidR="008B1012" w:rsidRPr="008B1012" w:rsidRDefault="008B1012" w:rsidP="008B1012">
      <w:pPr>
        <w:tabs>
          <w:tab w:val="left" w:pos="1134"/>
        </w:tabs>
        <w:spacing w:after="160" w:line="360" w:lineRule="auto"/>
        <w:ind w:right="-8" w:firstLine="567"/>
        <w:jc w:val="both"/>
        <w:rPr>
          <w:rFonts w:ascii="Sylfaen" w:hAnsi="Sylfaen"/>
          <w:sz w:val="24"/>
          <w:szCs w:val="24"/>
        </w:rPr>
      </w:pPr>
      <w:r w:rsidRPr="008B1012">
        <w:rPr>
          <w:rFonts w:ascii="Sylfaen" w:hAnsi="Sylfaen"/>
          <w:sz w:val="24"/>
          <w:szCs w:val="24"/>
        </w:rPr>
        <w:t xml:space="preserve">Ռեֆերենտ պետությունում փորձաքննությունը կասեցվում է մինչև ընթացակարգում մասնակցող ճանաչման բոլոր պետություններից լրացուցիչ դիտողություններ կամ նախնական հաշվետվության կամ ռեֆերենտ պետության հարցման հետ համաձայնեցման մասին տեղեկատվություն ստանալու օրը: </w:t>
      </w:r>
    </w:p>
    <w:p w14:paraId="32D56219" w14:textId="57E20C36" w:rsidR="008B1012" w:rsidRPr="008B1012" w:rsidRDefault="008B1012" w:rsidP="008B1012">
      <w:pPr>
        <w:tabs>
          <w:tab w:val="left" w:pos="1134"/>
        </w:tabs>
        <w:spacing w:after="160" w:line="360" w:lineRule="auto"/>
        <w:ind w:right="-8" w:firstLine="567"/>
        <w:jc w:val="both"/>
        <w:rPr>
          <w:rFonts w:ascii="Sylfaen" w:hAnsi="Sylfaen"/>
          <w:sz w:val="24"/>
          <w:szCs w:val="24"/>
        </w:rPr>
      </w:pPr>
      <w:r w:rsidRPr="008B1012">
        <w:rPr>
          <w:rFonts w:ascii="Sylfaen" w:hAnsi="Sylfaen"/>
          <w:sz w:val="24"/>
          <w:szCs w:val="24"/>
        </w:rPr>
        <w:t xml:space="preserve">Վերարտադրված կամ հիբրիդային դեղապատրաստուկի գրանցման դոսյեի փորձաքննության անցկացման դեպքում ռեֆերենտ պետության լիազորված մարմինը (փորձագիտական կազմակերպությունը) փորձաքննության մեկնարկի օրվանից 60 աշխատանքային օրվա ընթացքում ճանաչման պետությունների լիազորված մարմիններ (փորձագիտական կազմակերպություններ) է ուղարկում հաշվետվությունների պատճենները՝ հայտատուին ուղղված դիտողությունների և </w:t>
      </w:r>
      <w:r w:rsidRPr="008B1012">
        <w:rPr>
          <w:rFonts w:ascii="Sylfaen" w:hAnsi="Sylfaen"/>
          <w:sz w:val="24"/>
          <w:szCs w:val="24"/>
        </w:rPr>
        <w:lastRenderedPageBreak/>
        <w:t>հարցումների ձևակերպմամբ՝ ըստ սույն կանոնների թիվ 8 և թիվ 22 հավելվածներին համապատասխան սահմանված ձևի, կամ գնահատման մասով նախնական հաշվետվությունը՝ ըստ սույն կանոնների թիվ 11 հավելվածի համաձայն սահմանված ձևի, կամ հարցումների պատճենները՝ հայտատուին։</w:t>
      </w:r>
    </w:p>
    <w:p w14:paraId="78B6AD60" w14:textId="15FB6955" w:rsidR="008B1012" w:rsidRPr="008B1012" w:rsidRDefault="008B1012" w:rsidP="008B1012">
      <w:pPr>
        <w:tabs>
          <w:tab w:val="left" w:pos="1134"/>
        </w:tabs>
        <w:spacing w:after="160" w:line="360" w:lineRule="auto"/>
        <w:ind w:right="-8" w:firstLine="567"/>
        <w:jc w:val="both"/>
        <w:rPr>
          <w:rFonts w:ascii="Sylfaen" w:hAnsi="Sylfaen"/>
          <w:sz w:val="24"/>
          <w:szCs w:val="24"/>
        </w:rPr>
      </w:pPr>
      <w:r w:rsidRPr="008B1012">
        <w:rPr>
          <w:rFonts w:ascii="Sylfaen" w:hAnsi="Sylfaen"/>
          <w:sz w:val="24"/>
          <w:szCs w:val="24"/>
        </w:rPr>
        <w:t>Հայտատուի հասցեին լրացուցիչ դիտողությունների առկայության դեպքում ճանաչման պետության լիազորված մարմինը (փորձագիտական կազմակերպությունը) ռեֆերենտ պետության գնահատման մասով նախնական հաշվետվության ստացման օրվանից 30 աշխատանքային օրվանից ոչ ուշ հարցումներ է ուղարկում ռեֆերենտ պետության լիազորված մարմնին (փորձագիտական կազմակերպությանը), որը ճանաչման պետությունից վերջին հարցումը կամ ռեֆերենտ պետության նախնական հաշտվետվության հետ համաձայնեցման մասին տեղեկատվությունն ստանալու օրվանից 20 աշխատանքային օրվա ընթացքում ձևավորում է միասնական հարցում և այն ուղարկում հայտատուին՝ սույն կանոնների 93-րդ կետին համապատասխան:</w:t>
      </w:r>
    </w:p>
    <w:p w14:paraId="522FCFB6" w14:textId="13263C01" w:rsidR="006F76EB" w:rsidRDefault="008B1012" w:rsidP="008B1012">
      <w:pPr>
        <w:tabs>
          <w:tab w:val="left" w:pos="1134"/>
        </w:tabs>
        <w:spacing w:after="160" w:line="360" w:lineRule="auto"/>
        <w:ind w:right="-8" w:firstLine="567"/>
        <w:jc w:val="both"/>
        <w:rPr>
          <w:rFonts w:ascii="Sylfaen" w:hAnsi="Sylfaen"/>
          <w:sz w:val="24"/>
          <w:szCs w:val="24"/>
        </w:rPr>
      </w:pPr>
      <w:r w:rsidRPr="008B1012">
        <w:rPr>
          <w:rFonts w:ascii="Sylfaen" w:hAnsi="Sylfaen"/>
          <w:sz w:val="24"/>
          <w:szCs w:val="24"/>
        </w:rPr>
        <w:t>Ռեֆերենտ պետության լիազորված մարմնի (փորձագիտական կազմակերպության) հարցումը պետք է փոխանցվի հայտատուին էլեկտրոնային ձևով՝ կապի հեռահաղորդակցական ուղիներով, և համարվում է ստացված այն ուղարկելու օրվանից 1 օրացուցային օրը լրանալուն պես</w:t>
      </w:r>
      <w:r w:rsidR="006F76EB" w:rsidRPr="00834D52">
        <w:rPr>
          <w:rFonts w:ascii="Sylfaen" w:hAnsi="Sylfaen"/>
          <w:sz w:val="24"/>
          <w:szCs w:val="24"/>
        </w:rPr>
        <w:t>։</w:t>
      </w:r>
    </w:p>
    <w:p w14:paraId="45D3F556" w14:textId="30A124FF" w:rsidR="00DD375B" w:rsidRDefault="00DD375B" w:rsidP="006F76EB">
      <w:pPr>
        <w:tabs>
          <w:tab w:val="left" w:pos="1134"/>
        </w:tabs>
        <w:spacing w:after="160" w:line="336" w:lineRule="auto"/>
        <w:ind w:right="-6" w:firstLine="567"/>
        <w:jc w:val="both"/>
        <w:rPr>
          <w:rFonts w:ascii="Sylfaen" w:hAnsi="Sylfaen"/>
          <w:sz w:val="24"/>
          <w:szCs w:val="24"/>
        </w:rPr>
      </w:pPr>
      <w:r w:rsidRPr="00DD375B">
        <w:rPr>
          <w:rFonts w:ascii="Sylfaen" w:hAnsi="Sylfaen"/>
          <w:sz w:val="24"/>
          <w:szCs w:val="24"/>
        </w:rPr>
        <w:t>Վերարտադրված կամ հիբրիդային դեղապատրաստուկի գրանցման դոսյեի փորձաքննության դեպքում ռեֆերենտ պետության լիազորված մարմինը (փորձագիտական կազմակերպությունը) փորձաքննությունն սկսելու օրվանից 90 օրացուցային օրվա ընթացքում ճանաչման պետությունների լիազորված մարմիններ (փորձագիտական կազմակերպություններ) է ուղարկում հաշվետվությունների պատճենները՝ հայտատուին ուղղված դիտողությունների և հարցումների ձևակերպմամբ, սույն կանոնների թիվ 8 և թիվ 22 հավելվածներին համապատասխան սահմանված ձևով, ու գնահատման վերաբերյալ նախնական հաշվետվությունը՝ սույն կանոնների թիվ 11 հավելվածի համաձայն սահմանված ձևով</w:t>
      </w:r>
      <w:r>
        <w:rPr>
          <w:rFonts w:ascii="Sylfaen" w:hAnsi="Sylfaen"/>
          <w:sz w:val="24"/>
          <w:szCs w:val="24"/>
        </w:rPr>
        <w:t>:</w:t>
      </w:r>
    </w:p>
    <w:p w14:paraId="210012D7" w14:textId="2943B06F" w:rsidR="007204C4" w:rsidRPr="006F28F9" w:rsidRDefault="007204C4" w:rsidP="007204C4">
      <w:pPr>
        <w:rPr>
          <w:b/>
          <w:bCs/>
          <w:i/>
          <w:iCs/>
        </w:rPr>
      </w:pPr>
      <w:r w:rsidRPr="00CD4709">
        <w:rPr>
          <w:b/>
          <w:bCs/>
          <w:i/>
          <w:iCs/>
        </w:rPr>
        <w:t>(</w:t>
      </w:r>
      <w:r>
        <w:rPr>
          <w:b/>
          <w:bCs/>
          <w:i/>
          <w:iCs/>
        </w:rPr>
        <w:t xml:space="preserve">94-րդ կետը </w:t>
      </w:r>
      <w:r w:rsidRPr="00CD4709">
        <w:rPr>
          <w:b/>
          <w:bCs/>
          <w:i/>
          <w:iCs/>
        </w:rPr>
        <w:t>փոփ. 30.01.20 թիվ 9</w:t>
      </w:r>
      <w:r w:rsidR="00DD375B">
        <w:rPr>
          <w:b/>
          <w:bCs/>
          <w:i/>
          <w:iCs/>
        </w:rPr>
        <w:t>, լրաց. 05.03.21 թիվ 14</w:t>
      </w:r>
      <w:r w:rsidR="008B1012">
        <w:rPr>
          <w:b/>
          <w:bCs/>
          <w:i/>
          <w:iCs/>
        </w:rPr>
        <w:t>, փոփ. 17.03.22 թիվ 36</w:t>
      </w:r>
      <w:r w:rsidRPr="00CD4709">
        <w:rPr>
          <w:b/>
          <w:bCs/>
          <w:i/>
          <w:iCs/>
        </w:rPr>
        <w:t>)</w:t>
      </w:r>
    </w:p>
    <w:p w14:paraId="0F406312" w14:textId="382E1BDA" w:rsidR="006F76EB" w:rsidRPr="00834D52" w:rsidRDefault="006F76EB" w:rsidP="004E129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95.</w:t>
      </w:r>
      <w:r w:rsidRPr="00834D52">
        <w:rPr>
          <w:rFonts w:ascii="Sylfaen" w:hAnsi="Sylfaen"/>
          <w:sz w:val="24"/>
          <w:szCs w:val="24"/>
        </w:rPr>
        <w:tab/>
        <w:t xml:space="preserve">Նշված հարցմանը </w:t>
      </w:r>
      <w:r w:rsidR="0056496B">
        <w:rPr>
          <w:rFonts w:ascii="Sylfaen" w:hAnsi="Sylfaen"/>
          <w:sz w:val="24"/>
          <w:szCs w:val="24"/>
        </w:rPr>
        <w:t>դիմումատու</w:t>
      </w:r>
      <w:r w:rsidRPr="00834D52">
        <w:rPr>
          <w:rFonts w:ascii="Sylfaen" w:hAnsi="Sylfaen"/>
          <w:sz w:val="24"/>
          <w:szCs w:val="24"/>
        </w:rPr>
        <w:t xml:space="preserve">ի կողմից պատասխան ներկայացնելու ժամկետը չպետք է գերազանցի 90 </w:t>
      </w:r>
      <w:r w:rsidR="008B1012">
        <w:rPr>
          <w:rFonts w:ascii="Arial Unicode" w:hAnsi="Arial Unicode"/>
          <w:sz w:val="21"/>
          <w:szCs w:val="21"/>
        </w:rPr>
        <w:t>աշխատանքային</w:t>
      </w:r>
      <w:r w:rsidRPr="00834D52">
        <w:rPr>
          <w:rFonts w:ascii="Sylfaen" w:hAnsi="Sylfaen"/>
          <w:sz w:val="24"/>
          <w:szCs w:val="24"/>
        </w:rPr>
        <w:t xml:space="preserve"> օրը: Հարցումներ ուղարկելու </w:t>
      </w:r>
      <w:r w:rsidR="00C54D75">
        <w:rPr>
          <w:rFonts w:ascii="Sylfaen" w:hAnsi="Sylfaen"/>
          <w:sz w:val="24"/>
          <w:szCs w:val="24"/>
        </w:rPr>
        <w:t>և</w:t>
      </w:r>
      <w:r w:rsidRPr="00834D52">
        <w:rPr>
          <w:rFonts w:ascii="Sylfaen" w:hAnsi="Sylfaen"/>
          <w:sz w:val="24"/>
          <w:szCs w:val="24"/>
        </w:rPr>
        <w:t xml:space="preserve"> պատասխաններ ներկայացնելու ընթացակարգերը սահմանվում են անդամ պետությունների օրենսդրության պահանջներով։</w:t>
      </w:r>
    </w:p>
    <w:p w14:paraId="342556DF" w14:textId="35155B04" w:rsidR="006F76EB" w:rsidRDefault="006F76EB" w:rsidP="004E129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 xml:space="preserve">ի համապատասխան </w:t>
      </w:r>
      <w:r w:rsidR="0056496B">
        <w:rPr>
          <w:rFonts w:ascii="Sylfaen" w:hAnsi="Sylfaen"/>
          <w:sz w:val="24"/>
          <w:szCs w:val="24"/>
        </w:rPr>
        <w:t>դիմում</w:t>
      </w:r>
      <w:r w:rsidRPr="00834D52">
        <w:rPr>
          <w:rFonts w:ascii="Sylfaen" w:hAnsi="Sylfaen"/>
          <w:sz w:val="24"/>
          <w:szCs w:val="24"/>
        </w:rPr>
        <w:t xml:space="preserve">ի հիման վրա, հարցմանը պատասխանելու ժամկետը կարող է երկարացվել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Հարցումներին պատասխանելու առավելագույն ընդհանուր ժամկետը չպետք է գերազանցի 180 </w:t>
      </w:r>
      <w:r w:rsidR="008B1012">
        <w:rPr>
          <w:rFonts w:ascii="Arial Unicode" w:hAnsi="Arial Unicode"/>
          <w:sz w:val="21"/>
          <w:szCs w:val="21"/>
        </w:rPr>
        <w:t>աշխատանքային</w:t>
      </w:r>
      <w:r w:rsidRPr="00834D52">
        <w:rPr>
          <w:rFonts w:ascii="Sylfaen" w:hAnsi="Sylfaen"/>
          <w:sz w:val="24"/>
          <w:szCs w:val="24"/>
        </w:rPr>
        <w:t xml:space="preserve"> օրը:</w:t>
      </w:r>
    </w:p>
    <w:p w14:paraId="3EB09B5E" w14:textId="5ECB7340" w:rsidR="007204C4" w:rsidRPr="008B1012" w:rsidRDefault="007204C4" w:rsidP="008B1012">
      <w:pPr>
        <w:rPr>
          <w:b/>
          <w:bCs/>
          <w:i/>
          <w:iCs/>
        </w:rPr>
      </w:pPr>
      <w:r w:rsidRPr="00CD4709">
        <w:rPr>
          <w:b/>
          <w:bCs/>
          <w:i/>
          <w:iCs/>
        </w:rPr>
        <w:t>(</w:t>
      </w:r>
      <w:r>
        <w:rPr>
          <w:b/>
          <w:bCs/>
          <w:i/>
          <w:iCs/>
        </w:rPr>
        <w:t xml:space="preserve">95-րդ կետը </w:t>
      </w:r>
      <w:r w:rsidRPr="00CD4709">
        <w:rPr>
          <w:b/>
          <w:bCs/>
          <w:i/>
          <w:iCs/>
        </w:rPr>
        <w:t>փոփ. 30.01.20 թիվ 9</w:t>
      </w:r>
      <w:r w:rsidR="008B1012">
        <w:rPr>
          <w:b/>
          <w:bCs/>
          <w:i/>
          <w:iCs/>
        </w:rPr>
        <w:t>, 17.03.22 թիվ 36</w:t>
      </w:r>
      <w:r w:rsidRPr="00CD4709">
        <w:rPr>
          <w:b/>
          <w:bCs/>
          <w:i/>
          <w:iCs/>
        </w:rPr>
        <w:t>)</w:t>
      </w:r>
    </w:p>
    <w:p w14:paraId="17827EBC" w14:textId="521E5D75" w:rsidR="006F76EB" w:rsidRPr="00834D52" w:rsidRDefault="006F76EB" w:rsidP="004E129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96.</w:t>
      </w:r>
      <w:r w:rsidRPr="00834D52">
        <w:rPr>
          <w:rFonts w:ascii="Sylfaen" w:hAnsi="Sylfaen"/>
          <w:sz w:val="24"/>
          <w:szCs w:val="24"/>
        </w:rPr>
        <w:tab/>
        <w:t xml:space="preserve">Գրանցման ընթացակարգն անցկացնելու ընթացքում լիազորված մարմնի (փորձագիտական կազմակերպության) հարցումներին </w:t>
      </w:r>
      <w:r w:rsidR="0056496B">
        <w:rPr>
          <w:rFonts w:ascii="Sylfaen" w:hAnsi="Sylfaen"/>
          <w:sz w:val="24"/>
          <w:szCs w:val="24"/>
        </w:rPr>
        <w:t>դիմումատու</w:t>
      </w:r>
      <w:r w:rsidRPr="00834D52">
        <w:rPr>
          <w:rFonts w:ascii="Sylfaen" w:hAnsi="Sylfaen"/>
          <w:sz w:val="24"/>
          <w:szCs w:val="24"/>
        </w:rPr>
        <w:t xml:space="preserve">ի կողմից պատասխաններ ներկայացնելու ընդհանուր ժամկետը չպետք է գերազանցի 180 </w:t>
      </w:r>
      <w:r w:rsidR="008B1012">
        <w:rPr>
          <w:rFonts w:ascii="Arial Unicode" w:hAnsi="Arial Unicode"/>
          <w:sz w:val="21"/>
          <w:szCs w:val="21"/>
        </w:rPr>
        <w:t>աշխատանքային</w:t>
      </w:r>
      <w:r w:rsidR="008B1012">
        <w:rPr>
          <w:sz w:val="21"/>
          <w:szCs w:val="21"/>
        </w:rPr>
        <w:t xml:space="preserve"> </w:t>
      </w:r>
      <w:r w:rsidRPr="00834D52">
        <w:rPr>
          <w:rFonts w:ascii="Sylfaen" w:hAnsi="Sylfaen"/>
          <w:sz w:val="24"/>
          <w:szCs w:val="24"/>
        </w:rPr>
        <w:t>օրը։</w:t>
      </w:r>
    </w:p>
    <w:p w14:paraId="04449DFC" w14:textId="2F95EDC8" w:rsidR="006F76EB" w:rsidRDefault="006F76EB" w:rsidP="004E129B">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 xml:space="preserve">Դեղապատրաստուկի փորձաքննության ընթացքում լիազորված մարմնի (փորձագիտական կազմակերպության) հարցման հիման վրա </w:t>
      </w:r>
      <w:r w:rsidR="0056496B">
        <w:rPr>
          <w:rFonts w:ascii="Sylfaen" w:hAnsi="Sylfaen"/>
          <w:sz w:val="24"/>
          <w:szCs w:val="24"/>
        </w:rPr>
        <w:t>դիմում</w:t>
      </w:r>
      <w:r w:rsidRPr="00834D52">
        <w:rPr>
          <w:rFonts w:ascii="Sylfaen" w:hAnsi="Sylfaen"/>
          <w:sz w:val="24"/>
          <w:szCs w:val="24"/>
        </w:rPr>
        <w:t xml:space="preserve">ատուի կողմից փաստաթղթեր ներկայացնելու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ժամկետների մեջ։</w:t>
      </w:r>
    </w:p>
    <w:p w14:paraId="25CFEDE5" w14:textId="69B1C6B3" w:rsidR="007204C4" w:rsidRPr="006F28F9" w:rsidRDefault="007204C4" w:rsidP="007204C4">
      <w:pPr>
        <w:rPr>
          <w:b/>
          <w:bCs/>
          <w:i/>
          <w:iCs/>
        </w:rPr>
      </w:pPr>
      <w:r w:rsidRPr="00CD4709">
        <w:rPr>
          <w:b/>
          <w:bCs/>
          <w:i/>
          <w:iCs/>
        </w:rPr>
        <w:t>(</w:t>
      </w:r>
      <w:r>
        <w:rPr>
          <w:b/>
          <w:bCs/>
          <w:i/>
          <w:iCs/>
        </w:rPr>
        <w:t xml:space="preserve">96-րդ կետը </w:t>
      </w:r>
      <w:r w:rsidRPr="00CD4709">
        <w:rPr>
          <w:b/>
          <w:bCs/>
          <w:i/>
          <w:iCs/>
        </w:rPr>
        <w:t>փոփ. 30.01.20 թիվ 9</w:t>
      </w:r>
      <w:r w:rsidR="008B1012">
        <w:rPr>
          <w:b/>
          <w:bCs/>
          <w:i/>
          <w:iCs/>
        </w:rPr>
        <w:t>, 17.03.22 թիվ 36</w:t>
      </w:r>
      <w:r w:rsidRPr="00CD4709">
        <w:rPr>
          <w:b/>
          <w:bCs/>
          <w:i/>
          <w:iCs/>
        </w:rPr>
        <w:t>)</w:t>
      </w:r>
    </w:p>
    <w:p w14:paraId="576D7C0D" w14:textId="1958322B" w:rsidR="006F76EB" w:rsidRDefault="006F76EB" w:rsidP="004E129B">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97.</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կողմից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հարցումների պատասխանները ներկայացնելուց հետո փորձաքննությունը վերսկսվում է։</w:t>
      </w:r>
    </w:p>
    <w:p w14:paraId="67896A25" w14:textId="272850FF" w:rsidR="007204C4" w:rsidRPr="006F28F9" w:rsidRDefault="007204C4" w:rsidP="007204C4">
      <w:pPr>
        <w:rPr>
          <w:b/>
          <w:bCs/>
          <w:i/>
          <w:iCs/>
        </w:rPr>
      </w:pPr>
      <w:r w:rsidRPr="00CD4709">
        <w:rPr>
          <w:b/>
          <w:bCs/>
          <w:i/>
          <w:iCs/>
        </w:rPr>
        <w:t>(</w:t>
      </w:r>
      <w:r>
        <w:rPr>
          <w:b/>
          <w:bCs/>
          <w:i/>
          <w:iCs/>
        </w:rPr>
        <w:t xml:space="preserve">97-րդ կետը </w:t>
      </w:r>
      <w:r w:rsidRPr="00CD4709">
        <w:rPr>
          <w:b/>
          <w:bCs/>
          <w:i/>
          <w:iCs/>
        </w:rPr>
        <w:t>փոփ. 30.01.20 թիվ 9)</w:t>
      </w:r>
    </w:p>
    <w:p w14:paraId="1E3CDEB5" w14:textId="50B81C0E" w:rsidR="006F76EB" w:rsidRDefault="006F76EB" w:rsidP="004E129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98.</w:t>
      </w:r>
      <w:r w:rsidRPr="00834D52">
        <w:rPr>
          <w:rFonts w:ascii="Sylfaen" w:hAnsi="Sylfaen"/>
          <w:sz w:val="24"/>
          <w:szCs w:val="24"/>
        </w:rPr>
        <w:tab/>
        <w:t xml:space="preserve">Լիազորված մարմնի (փորձագիտական կազմակերպության) կողմից պահանջվող փաստաթղթերն ու նյութերը սահմանված ժամկետում </w:t>
      </w:r>
      <w:r w:rsidR="0056496B">
        <w:rPr>
          <w:rFonts w:ascii="Sylfaen" w:hAnsi="Sylfaen"/>
          <w:sz w:val="24"/>
          <w:szCs w:val="24"/>
        </w:rPr>
        <w:t>դիմումատու</w:t>
      </w:r>
      <w:r w:rsidRPr="00834D52">
        <w:rPr>
          <w:rFonts w:ascii="Sylfaen" w:hAnsi="Sylfaen"/>
          <w:sz w:val="24"/>
          <w:szCs w:val="24"/>
        </w:rPr>
        <w:t xml:space="preserve">ի կողմից չներկայացվելու դեպքում դեղապատրաստուկի փորձաքննությունն ու գրանցումը դադարեցվում է։ Կայացված որոշման մասին լիազորված մարմինը </w:t>
      </w:r>
      <w:r w:rsidRPr="00834D52">
        <w:rPr>
          <w:rFonts w:ascii="Sylfaen" w:hAnsi="Sylfaen"/>
          <w:sz w:val="24"/>
          <w:szCs w:val="24"/>
        </w:rPr>
        <w:lastRenderedPageBreak/>
        <w:t>(փորձագիտական կազմակերպությունը) այդ որոշումը կայացնելու օրվանից 14</w:t>
      </w:r>
      <w:r w:rsidR="00EC2CD0" w:rsidRPr="004D1538">
        <w:rPr>
          <w:rFonts w:ascii="Sylfaen" w:hAnsi="Sylfaen"/>
          <w:sz w:val="24"/>
          <w:szCs w:val="24"/>
        </w:rPr>
        <w:t> </w:t>
      </w:r>
      <w:r w:rsidRPr="00834D52">
        <w:rPr>
          <w:rFonts w:ascii="Sylfaen" w:hAnsi="Sylfaen"/>
          <w:sz w:val="24"/>
          <w:szCs w:val="24"/>
        </w:rPr>
        <w:t xml:space="preserve">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լիազորված մարմիններին (փորձագիտական</w:t>
      </w:r>
      <w:r w:rsidR="004E129B" w:rsidRPr="00B31383">
        <w:rPr>
          <w:rFonts w:ascii="Sylfaen" w:hAnsi="Sylfaen"/>
          <w:sz w:val="24"/>
          <w:szCs w:val="24"/>
        </w:rPr>
        <w:t> </w:t>
      </w:r>
      <w:r w:rsidRPr="00834D52">
        <w:rPr>
          <w:rFonts w:ascii="Sylfaen" w:hAnsi="Sylfaen"/>
          <w:sz w:val="24"/>
          <w:szCs w:val="24"/>
        </w:rPr>
        <w:t>կազմակերպություններին)։</w:t>
      </w:r>
    </w:p>
    <w:p w14:paraId="4219219F" w14:textId="5571BA4A" w:rsidR="007204C4" w:rsidRPr="006F28F9" w:rsidRDefault="007204C4" w:rsidP="007204C4">
      <w:pPr>
        <w:rPr>
          <w:b/>
          <w:bCs/>
          <w:i/>
          <w:iCs/>
        </w:rPr>
      </w:pPr>
      <w:r w:rsidRPr="00CD4709">
        <w:rPr>
          <w:b/>
          <w:bCs/>
          <w:i/>
          <w:iCs/>
        </w:rPr>
        <w:t>(</w:t>
      </w:r>
      <w:r>
        <w:rPr>
          <w:b/>
          <w:bCs/>
          <w:i/>
          <w:iCs/>
        </w:rPr>
        <w:t xml:space="preserve">98-րդ կետը </w:t>
      </w:r>
      <w:r w:rsidRPr="00CD4709">
        <w:rPr>
          <w:b/>
          <w:bCs/>
          <w:i/>
          <w:iCs/>
        </w:rPr>
        <w:t>փոփ. 30.01.20 թիվ 9)</w:t>
      </w:r>
    </w:p>
    <w:p w14:paraId="0DD8887D" w14:textId="0BFE36BB" w:rsidR="008B1012" w:rsidRPr="008B1012" w:rsidRDefault="006F76EB" w:rsidP="008B1012">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99.</w:t>
      </w:r>
      <w:r w:rsidRPr="00834D52">
        <w:rPr>
          <w:rFonts w:ascii="Sylfaen" w:hAnsi="Sylfaen"/>
          <w:sz w:val="24"/>
          <w:szCs w:val="24"/>
        </w:rPr>
        <w:tab/>
      </w:r>
      <w:r w:rsidR="008B1012" w:rsidRPr="008B1012">
        <w:rPr>
          <w:rFonts w:ascii="Sylfaen" w:hAnsi="Sylfaen"/>
          <w:sz w:val="24"/>
          <w:szCs w:val="24"/>
        </w:rPr>
        <w:t>Միության պատշաճ դեղագործական գործունեությանը համապատասխանության մասով արտապլանային դեղագործական տեսչական ստուգման նախաձեռնման մասին որոշումը կարող է ընդունվել ռեֆերենտ պետության լիազորված մարմնի (փորձագիտական կազմակերպության) կողմից ոչ ուշ, քան գրանցման հայտը ներկայացնելու օրվանից 70 աշխատանքային օր հետո:</w:t>
      </w:r>
    </w:p>
    <w:p w14:paraId="566950D4" w14:textId="32865576" w:rsidR="008B1012" w:rsidRPr="008B1012" w:rsidRDefault="008B1012" w:rsidP="008B1012">
      <w:pPr>
        <w:tabs>
          <w:tab w:val="left" w:pos="1134"/>
        </w:tabs>
        <w:spacing w:after="160" w:line="360" w:lineRule="auto"/>
        <w:ind w:right="-6" w:firstLine="567"/>
        <w:jc w:val="both"/>
        <w:rPr>
          <w:rFonts w:ascii="Sylfaen" w:hAnsi="Sylfaen"/>
          <w:sz w:val="24"/>
          <w:szCs w:val="24"/>
        </w:rPr>
      </w:pPr>
      <w:r w:rsidRPr="008B1012">
        <w:rPr>
          <w:rFonts w:ascii="Sylfaen" w:hAnsi="Sylfaen"/>
          <w:sz w:val="24"/>
          <w:szCs w:val="24"/>
        </w:rPr>
        <w:t>Արտապլանային դեղագործական տեսչական ստուգումը նախաձեռնելու մասին որոշման ընդունման դեպքում ռեֆերենտ պետության լիազորված մարմինը (փորձագիտական կազմակերպությունը) հայտատուին է ուղարկում տեսչական ստուգում կազմակերպելու անհրաժեշտության մասին հարցում՝ նախաձեռնման պատճառները մանրամասն նշելով և Միության մարմինների ակտերին հղումներով:</w:t>
      </w:r>
    </w:p>
    <w:p w14:paraId="66654D63" w14:textId="66896C2D" w:rsidR="008B1012" w:rsidRPr="008B1012" w:rsidRDefault="008B1012" w:rsidP="008B1012">
      <w:pPr>
        <w:tabs>
          <w:tab w:val="left" w:pos="1134"/>
        </w:tabs>
        <w:spacing w:after="160" w:line="360" w:lineRule="auto"/>
        <w:ind w:right="-6" w:firstLine="567"/>
        <w:jc w:val="both"/>
        <w:rPr>
          <w:rFonts w:ascii="Sylfaen" w:hAnsi="Sylfaen"/>
          <w:sz w:val="24"/>
          <w:szCs w:val="24"/>
        </w:rPr>
      </w:pPr>
      <w:r w:rsidRPr="008B1012">
        <w:rPr>
          <w:rFonts w:ascii="Sylfaen" w:hAnsi="Sylfaen"/>
          <w:sz w:val="24"/>
          <w:szCs w:val="24"/>
        </w:rPr>
        <w:t>Արտապլանային դեղագործական տեսչական ստուգումը, անցկացված տեսչական ստուգման մասին հաշվետվության ուղարկմամբ, պետք է անցկացվի դեղապատրաստուկի գրանցման ժամկետը չգերազանցող ժամկետում (համապատասխան լիազորված մարմնի կողմից տեսչական ստուգման անցկացումը նախաձեռնելու մասին որոշում ընդունելու օրվանից 180 աշխատանքային օրվա ընթացքում):</w:t>
      </w:r>
    </w:p>
    <w:p w14:paraId="35E0F29E" w14:textId="4107F229" w:rsidR="008B1012" w:rsidRPr="008B1012" w:rsidRDefault="008B1012" w:rsidP="008B1012">
      <w:pPr>
        <w:tabs>
          <w:tab w:val="left" w:pos="1134"/>
        </w:tabs>
        <w:spacing w:after="160" w:line="360" w:lineRule="auto"/>
        <w:ind w:right="-6" w:firstLine="567"/>
        <w:jc w:val="both"/>
        <w:rPr>
          <w:rFonts w:ascii="Sylfaen" w:hAnsi="Sylfaen"/>
          <w:sz w:val="24"/>
          <w:szCs w:val="24"/>
        </w:rPr>
      </w:pPr>
      <w:r w:rsidRPr="008B1012">
        <w:rPr>
          <w:rFonts w:ascii="Sylfaen" w:hAnsi="Sylfaen"/>
          <w:sz w:val="24"/>
          <w:szCs w:val="24"/>
        </w:rPr>
        <w:t>Արտապլանային դեղագործական տեսչական ստուգումը կազմակերպվում է հայտատուի կողմից դեղագործական տեսչական ստուգումների կանոններին համապատասխան:</w:t>
      </w:r>
    </w:p>
    <w:p w14:paraId="357AD0F9" w14:textId="11C85E95" w:rsidR="006F76EB" w:rsidRDefault="008B1012" w:rsidP="008B1012">
      <w:pPr>
        <w:tabs>
          <w:tab w:val="left" w:pos="1134"/>
        </w:tabs>
        <w:spacing w:after="160" w:line="360" w:lineRule="auto"/>
        <w:ind w:right="-6" w:firstLine="567"/>
        <w:jc w:val="both"/>
        <w:rPr>
          <w:rFonts w:ascii="Sylfaen" w:hAnsi="Sylfaen"/>
          <w:sz w:val="24"/>
          <w:szCs w:val="24"/>
        </w:rPr>
      </w:pPr>
      <w:r w:rsidRPr="008B1012">
        <w:rPr>
          <w:rFonts w:ascii="Sylfaen" w:hAnsi="Sylfaen"/>
          <w:sz w:val="24"/>
          <w:szCs w:val="24"/>
        </w:rPr>
        <w:t xml:space="preserve">Սույն կանոնների 31-րդ կետին համապատասխան՝ տեսչական ստուգումների անցկացման պլանում դեղագործական տեսչական ստուգումը ներառելու դեպքում հաշվետվության պատրաստումն ավարտվում է առանց տեսչական ստուգման </w:t>
      </w:r>
      <w:r w:rsidRPr="008B1012">
        <w:rPr>
          <w:rFonts w:ascii="Sylfaen" w:hAnsi="Sylfaen"/>
          <w:sz w:val="24"/>
          <w:szCs w:val="24"/>
        </w:rPr>
        <w:lastRenderedPageBreak/>
        <w:t>արդյունքները հաշվի առնելու</w:t>
      </w:r>
      <w:r w:rsidR="006F76EB" w:rsidRPr="00834D52">
        <w:rPr>
          <w:rFonts w:ascii="Sylfaen" w:hAnsi="Sylfaen"/>
          <w:sz w:val="24"/>
          <w:szCs w:val="24"/>
        </w:rPr>
        <w:t>։</w:t>
      </w:r>
    </w:p>
    <w:p w14:paraId="5487B453" w14:textId="5615B07F" w:rsidR="007204C4" w:rsidRPr="006F28F9" w:rsidRDefault="007204C4" w:rsidP="007204C4">
      <w:pPr>
        <w:rPr>
          <w:b/>
          <w:bCs/>
          <w:i/>
          <w:iCs/>
        </w:rPr>
      </w:pPr>
      <w:r w:rsidRPr="00CD4709">
        <w:rPr>
          <w:b/>
          <w:bCs/>
          <w:i/>
          <w:iCs/>
        </w:rPr>
        <w:t>(</w:t>
      </w:r>
      <w:r>
        <w:rPr>
          <w:b/>
          <w:bCs/>
          <w:i/>
          <w:iCs/>
        </w:rPr>
        <w:t xml:space="preserve">99-րդ կետը </w:t>
      </w:r>
      <w:r w:rsidRPr="00CD4709">
        <w:rPr>
          <w:b/>
          <w:bCs/>
          <w:i/>
          <w:iCs/>
        </w:rPr>
        <w:t>փոփ. 30.01.20 թիվ 9</w:t>
      </w:r>
      <w:r w:rsidR="008B1012">
        <w:rPr>
          <w:b/>
          <w:bCs/>
          <w:i/>
          <w:iCs/>
        </w:rPr>
        <w:t>, խմբ. 17.03.22 թիվ 36</w:t>
      </w:r>
      <w:r w:rsidRPr="00CD4709">
        <w:rPr>
          <w:b/>
          <w:bCs/>
          <w:i/>
          <w:iCs/>
        </w:rPr>
        <w:t>)</w:t>
      </w:r>
    </w:p>
    <w:p w14:paraId="43AFA70A" w14:textId="2877828B" w:rsidR="006F76EB" w:rsidRDefault="006F76EB" w:rsidP="00B3138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100.</w:t>
      </w:r>
      <w:r w:rsidRPr="00834D52">
        <w:rPr>
          <w:rFonts w:ascii="Sylfaen" w:hAnsi="Sylfaen"/>
          <w:sz w:val="24"/>
          <w:szCs w:val="24"/>
        </w:rPr>
        <w:tab/>
        <w:t xml:space="preserve">Հարցումները </w:t>
      </w:r>
      <w:r w:rsidR="0056496B">
        <w:rPr>
          <w:rFonts w:ascii="Sylfaen" w:hAnsi="Sylfaen"/>
          <w:sz w:val="24"/>
          <w:szCs w:val="24"/>
        </w:rPr>
        <w:t>դիմումատու</w:t>
      </w:r>
      <w:r w:rsidRPr="00834D52">
        <w:rPr>
          <w:rFonts w:ascii="Sylfaen" w:hAnsi="Sylfaen"/>
          <w:sz w:val="24"/>
          <w:szCs w:val="24"/>
        </w:rPr>
        <w:t xml:space="preserve">ին ուղարկելիս լիազորված մարմինների (փորձագիտական կազմակերպությունների)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միջ</w:t>
      </w:r>
      <w:r w:rsidR="00C54D75">
        <w:rPr>
          <w:rFonts w:ascii="Sylfaen" w:hAnsi="Sylfaen"/>
          <w:sz w:val="24"/>
          <w:szCs w:val="24"/>
        </w:rPr>
        <w:t>և</w:t>
      </w:r>
      <w:r w:rsidRPr="00834D52">
        <w:rPr>
          <w:rFonts w:ascii="Sylfaen" w:hAnsi="Sylfaen"/>
          <w:sz w:val="24"/>
          <w:szCs w:val="24"/>
        </w:rPr>
        <w:t xml:space="preserve"> փոխգործակցությունն իրականացվում է էլեկտրոնային եղանակով՝ ինտեգրված համակարգի միջոցների օգտագործմամբ՝ սույն Կանոնների թիվ 18 հավելվածին համապատասխան ձ</w:t>
      </w:r>
      <w:r w:rsidR="00C54D75">
        <w:rPr>
          <w:rFonts w:ascii="Sylfaen" w:hAnsi="Sylfaen"/>
          <w:sz w:val="24"/>
          <w:szCs w:val="24"/>
        </w:rPr>
        <w:t>և</w:t>
      </w:r>
      <w:r w:rsidRPr="00834D52">
        <w:rPr>
          <w:rFonts w:ascii="Sylfaen" w:hAnsi="Sylfaen"/>
          <w:sz w:val="24"/>
          <w:szCs w:val="24"/>
        </w:rPr>
        <w:t>ով։</w:t>
      </w:r>
    </w:p>
    <w:p w14:paraId="0BD7E651" w14:textId="2989A6A8" w:rsidR="00946981" w:rsidRPr="006F28F9" w:rsidRDefault="00946981" w:rsidP="00946981">
      <w:pPr>
        <w:rPr>
          <w:b/>
          <w:bCs/>
          <w:i/>
          <w:iCs/>
        </w:rPr>
      </w:pPr>
      <w:r w:rsidRPr="00CD4709">
        <w:rPr>
          <w:b/>
          <w:bCs/>
          <w:i/>
          <w:iCs/>
        </w:rPr>
        <w:t>(</w:t>
      </w:r>
      <w:r>
        <w:rPr>
          <w:b/>
          <w:bCs/>
          <w:i/>
          <w:iCs/>
        </w:rPr>
        <w:t xml:space="preserve">100-րդ կետը </w:t>
      </w:r>
      <w:r w:rsidRPr="00CD4709">
        <w:rPr>
          <w:b/>
          <w:bCs/>
          <w:i/>
          <w:iCs/>
        </w:rPr>
        <w:t>փոփ. 30.01.20 թիվ 9)</w:t>
      </w:r>
    </w:p>
    <w:p w14:paraId="55EEB1DA" w14:textId="4129DCD3" w:rsidR="008B1012" w:rsidRDefault="006F76EB" w:rsidP="008B1012">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101.</w:t>
      </w:r>
      <w:r w:rsidRPr="00834D52">
        <w:rPr>
          <w:rFonts w:ascii="Sylfaen" w:hAnsi="Sylfaen"/>
          <w:sz w:val="24"/>
          <w:szCs w:val="24"/>
        </w:rPr>
        <w:tab/>
      </w:r>
      <w:r w:rsidR="008B1012" w:rsidRPr="008B1012">
        <w:rPr>
          <w:rFonts w:ascii="Sylfaen" w:hAnsi="Sylfaen"/>
          <w:sz w:val="24"/>
          <w:szCs w:val="24"/>
        </w:rPr>
        <w:t>Դեղապատրաստուկի փորձաքննության մասով որևէ ճանաչման պետությունից լրացուցիչ դիտողությունների բացակայության դեպքում (դիտողություններ, գնահատման մասով նախնական հաշվետվության քննարկման արդյունքներ ներկայացնելը) ճանաչման տվյալ պետությունը ռեֆերենտ պետությանն է ներկայացնում տեղեկատվություն այն մասին, որ համաձայն է սույն կանոնների 94-րդ կետին համապատասխան գնահատման մասով նախնական հաշվետվությունում առկա եզրակացության հետ (ներառյալ՝ դիտողությունները, եթե կիրառելի է):</w:t>
      </w:r>
    </w:p>
    <w:p w14:paraId="7E096251" w14:textId="7FC7E0CD" w:rsidR="008B1012" w:rsidRPr="00693F55" w:rsidRDefault="008B1012" w:rsidP="00693F55">
      <w:pPr>
        <w:rPr>
          <w:b/>
          <w:bCs/>
          <w:i/>
          <w:iCs/>
        </w:rPr>
      </w:pPr>
      <w:r w:rsidRPr="00CD4709">
        <w:rPr>
          <w:b/>
          <w:bCs/>
          <w:i/>
          <w:iCs/>
        </w:rPr>
        <w:t>(</w:t>
      </w:r>
      <w:r>
        <w:rPr>
          <w:b/>
          <w:bCs/>
          <w:i/>
          <w:iCs/>
        </w:rPr>
        <w:t>10</w:t>
      </w:r>
      <w:r w:rsidR="00693F55">
        <w:rPr>
          <w:b/>
          <w:bCs/>
          <w:i/>
          <w:iCs/>
        </w:rPr>
        <w:t>1</w:t>
      </w:r>
      <w:r>
        <w:rPr>
          <w:b/>
          <w:bCs/>
          <w:i/>
          <w:iCs/>
        </w:rPr>
        <w:t xml:space="preserve">-րդ կետը </w:t>
      </w:r>
      <w:r w:rsidR="00693F55">
        <w:rPr>
          <w:b/>
          <w:bCs/>
          <w:i/>
          <w:iCs/>
        </w:rPr>
        <w:t>խմբ17.03.22</w:t>
      </w:r>
      <w:r w:rsidRPr="00CD4709">
        <w:rPr>
          <w:b/>
          <w:bCs/>
          <w:i/>
          <w:iCs/>
        </w:rPr>
        <w:t xml:space="preserve"> թիվ </w:t>
      </w:r>
      <w:r w:rsidR="00693F55">
        <w:rPr>
          <w:b/>
          <w:bCs/>
          <w:i/>
          <w:iCs/>
        </w:rPr>
        <w:t>36</w:t>
      </w:r>
      <w:r w:rsidRPr="00CD4709">
        <w:rPr>
          <w:b/>
          <w:bCs/>
          <w:i/>
          <w:iCs/>
        </w:rPr>
        <w:t>)</w:t>
      </w:r>
    </w:p>
    <w:p w14:paraId="7D5BA0A4" w14:textId="65B46E0C" w:rsidR="006F76EB" w:rsidRDefault="006F76EB" w:rsidP="008B1012">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102.</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միջ</w:t>
      </w:r>
      <w:r w:rsidR="00C54D75">
        <w:rPr>
          <w:rFonts w:ascii="Sylfaen" w:hAnsi="Sylfaen"/>
          <w:sz w:val="24"/>
          <w:szCs w:val="24"/>
        </w:rPr>
        <w:t>և</w:t>
      </w:r>
      <w:r w:rsidRPr="00834D52">
        <w:rPr>
          <w:rFonts w:ascii="Sylfaen" w:hAnsi="Sylfaen"/>
          <w:sz w:val="24"/>
          <w:szCs w:val="24"/>
        </w:rPr>
        <w:t xml:space="preserve"> գրավոր խորհրդակցություններն անհրաժեշտության դեպքում իրականացվում են էլեկտրոնային եղանակով՝ ինտեգրված համակարգի միջոցների օգտագործմամբ։</w:t>
      </w:r>
    </w:p>
    <w:p w14:paraId="1B7AFFFA" w14:textId="0A51D0E6" w:rsidR="00DE7674" w:rsidRPr="006F28F9" w:rsidRDefault="00DE7674" w:rsidP="00DE7674">
      <w:pPr>
        <w:rPr>
          <w:b/>
          <w:bCs/>
          <w:i/>
          <w:iCs/>
        </w:rPr>
      </w:pPr>
      <w:r w:rsidRPr="00CD4709">
        <w:rPr>
          <w:b/>
          <w:bCs/>
          <w:i/>
          <w:iCs/>
        </w:rPr>
        <w:t>(</w:t>
      </w:r>
      <w:r w:rsidR="009F2902">
        <w:rPr>
          <w:b/>
          <w:bCs/>
          <w:i/>
          <w:iCs/>
        </w:rPr>
        <w:t xml:space="preserve">102-րդ կետը </w:t>
      </w:r>
      <w:r w:rsidRPr="00CD4709">
        <w:rPr>
          <w:b/>
          <w:bCs/>
          <w:i/>
          <w:iCs/>
        </w:rPr>
        <w:t>փոփ. 30.01.20 թիվ 9)</w:t>
      </w:r>
    </w:p>
    <w:p w14:paraId="18739677" w14:textId="2EC54B17" w:rsidR="00DE7674" w:rsidRPr="00DE7674" w:rsidRDefault="00DE7674" w:rsidP="00955C1D">
      <w:pPr>
        <w:tabs>
          <w:tab w:val="left" w:pos="1134"/>
        </w:tabs>
        <w:spacing w:after="160" w:line="360" w:lineRule="auto"/>
        <w:ind w:right="-6" w:firstLine="567"/>
        <w:jc w:val="both"/>
        <w:rPr>
          <w:rFonts w:eastAsia="Times New Roman" w:cs="Times New Roman"/>
          <w:sz w:val="24"/>
          <w:szCs w:val="24"/>
        </w:rPr>
      </w:pPr>
    </w:p>
    <w:p w14:paraId="3F2EBAF9" w14:textId="712AD2C6" w:rsidR="006F76EB" w:rsidRDefault="006F76EB" w:rsidP="00955C1D">
      <w:pPr>
        <w:tabs>
          <w:tab w:val="left" w:pos="1134"/>
        </w:tabs>
        <w:spacing w:after="160" w:line="360" w:lineRule="auto"/>
        <w:ind w:right="-6" w:firstLine="567"/>
        <w:jc w:val="both"/>
        <w:rPr>
          <w:rFonts w:ascii="Sylfaen" w:hAnsi="Sylfaen"/>
          <w:spacing w:val="4"/>
          <w:sz w:val="24"/>
          <w:szCs w:val="24"/>
        </w:rPr>
      </w:pPr>
      <w:r w:rsidRPr="00834D52">
        <w:rPr>
          <w:rFonts w:ascii="Sylfaen" w:hAnsi="Sylfaen"/>
          <w:sz w:val="24"/>
          <w:szCs w:val="24"/>
        </w:rPr>
        <w:t>103.</w:t>
      </w:r>
      <w:r w:rsidRPr="00834D52">
        <w:rPr>
          <w:rFonts w:ascii="Sylfaen" w:hAnsi="Sylfaen"/>
          <w:sz w:val="24"/>
          <w:szCs w:val="24"/>
        </w:rPr>
        <w:tab/>
        <w:t xml:space="preserve">Գնահատման վերաբերյալ եզրափակիչ փորձագիտական </w:t>
      </w:r>
      <w:r w:rsidRPr="00834D52">
        <w:rPr>
          <w:rFonts w:ascii="Sylfaen" w:hAnsi="Sylfaen"/>
          <w:spacing w:val="4"/>
          <w:sz w:val="24"/>
          <w:szCs w:val="24"/>
        </w:rPr>
        <w:t xml:space="preserve">հաշվետվություն պատրաստելու համար </w:t>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փորձագիտական կազմակերպությունը կազմում է որակի ասպեկտների, դեղապատրաստուկում պարունակվող նոր ազդող նյութի գնահատման, ազդող </w:t>
      </w:r>
      <w:r w:rsidRPr="00834D52">
        <w:rPr>
          <w:rFonts w:ascii="Sylfaen" w:hAnsi="Sylfaen"/>
          <w:spacing w:val="4"/>
          <w:sz w:val="24"/>
          <w:szCs w:val="24"/>
        </w:rPr>
        <w:lastRenderedPageBreak/>
        <w:t>նյութի գրանցման դոսյեի գնահատման, նախակլինիկական, կլինիկական ասպեկտների վերաբերյալ փորձագիտական հաշվետվություններ, լաբորատոր փորձարկումների արձանագրություն (եթե փորձագիտական կազմակերպության կողմից անցկացվել են համապատասխան փորձարկումներ)՝ սույն Կանոնների թիվ 6</w:t>
      </w:r>
      <w:r w:rsidRPr="008341C7">
        <w:rPr>
          <w:rFonts w:ascii="Sylfaen" w:hAnsi="Sylfaen"/>
          <w:spacing w:val="4"/>
          <w:sz w:val="24"/>
          <w:szCs w:val="24"/>
        </w:rPr>
        <w:t>-</w:t>
      </w:r>
      <w:r w:rsidRPr="00834D52">
        <w:rPr>
          <w:rFonts w:ascii="Sylfaen" w:hAnsi="Sylfaen"/>
          <w:spacing w:val="4"/>
          <w:sz w:val="24"/>
          <w:szCs w:val="24"/>
        </w:rPr>
        <w:t xml:space="preserve">10, 12 </w:t>
      </w:r>
      <w:r w:rsidR="00C54D75">
        <w:rPr>
          <w:rFonts w:ascii="Sylfaen" w:hAnsi="Sylfaen"/>
          <w:spacing w:val="4"/>
          <w:sz w:val="24"/>
          <w:szCs w:val="24"/>
        </w:rPr>
        <w:t>և</w:t>
      </w:r>
      <w:r w:rsidRPr="00834D52">
        <w:rPr>
          <w:rFonts w:ascii="Sylfaen" w:hAnsi="Sylfaen"/>
          <w:spacing w:val="4"/>
          <w:sz w:val="24"/>
          <w:szCs w:val="24"/>
        </w:rPr>
        <w:t xml:space="preserve"> 22 հավելվածներին համապատասխան ձ</w:t>
      </w:r>
      <w:r w:rsidR="00C54D75">
        <w:rPr>
          <w:rFonts w:ascii="Sylfaen" w:hAnsi="Sylfaen"/>
          <w:spacing w:val="4"/>
          <w:sz w:val="24"/>
          <w:szCs w:val="24"/>
        </w:rPr>
        <w:t>և</w:t>
      </w:r>
      <w:r w:rsidRPr="00834D52">
        <w:rPr>
          <w:rFonts w:ascii="Sylfaen" w:hAnsi="Sylfaen"/>
          <w:spacing w:val="4"/>
          <w:sz w:val="24"/>
          <w:szCs w:val="24"/>
        </w:rPr>
        <w:t>երով։</w:t>
      </w:r>
    </w:p>
    <w:p w14:paraId="12E4E43A" w14:textId="3185CBF0" w:rsidR="00C153B1" w:rsidRPr="00834D52" w:rsidRDefault="00C153B1" w:rsidP="00955C1D">
      <w:pPr>
        <w:tabs>
          <w:tab w:val="left" w:pos="1134"/>
        </w:tabs>
        <w:spacing w:after="160" w:line="360" w:lineRule="auto"/>
        <w:ind w:right="-6" w:firstLine="567"/>
        <w:jc w:val="both"/>
        <w:rPr>
          <w:rFonts w:ascii="Sylfaen" w:eastAsia="Times New Roman" w:hAnsi="Sylfaen" w:cs="Times New Roman"/>
          <w:spacing w:val="4"/>
          <w:sz w:val="24"/>
          <w:szCs w:val="24"/>
        </w:rPr>
      </w:pPr>
      <w:r w:rsidRPr="00C153B1">
        <w:rPr>
          <w:rFonts w:ascii="Sylfaen" w:eastAsia="Times New Roman" w:hAnsi="Sylfaen" w:cs="Times New Roman"/>
          <w:spacing w:val="4"/>
          <w:sz w:val="24"/>
          <w:szCs w:val="24"/>
        </w:rPr>
        <w:t>Վերարտադրված կամ հիբրիդային դեղապատրաստուկի գրանցման դոսյեի փորձաքննության արդյունքներով ռեֆերենտ պետության փորձագիտական կազմակերպությունը կազմում է փորձագիտական հաշվետվություններ՝ սույն կանոնների թիվ 8, 10, 12, և 22 հավելվածներին համապատասխան սահմանված ձևերով</w:t>
      </w:r>
      <w:r>
        <w:rPr>
          <w:rFonts w:ascii="Sylfaen" w:eastAsia="Times New Roman" w:hAnsi="Sylfaen" w:cs="Times New Roman"/>
          <w:spacing w:val="4"/>
          <w:sz w:val="24"/>
          <w:szCs w:val="24"/>
        </w:rPr>
        <w:t>:</w:t>
      </w:r>
    </w:p>
    <w:p w14:paraId="7EC7C4FC" w14:textId="7777777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ասպեկտների, նախակլինիկական, կլինիկական ասպեկտների վերաբերյալ փորձագիտական հաշվետվությունները, գնահատման վերաբերյալ եզրափակիչ փորձագիտական հաշվետվությունը կազմվում են սույն Կանոնների 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 հավելվածներում ներկայացված նշումներին համապատասխան։</w:t>
      </w:r>
    </w:p>
    <w:p w14:paraId="50DCF247" w14:textId="0ADDE3A4" w:rsidR="006F76EB" w:rsidRDefault="009F49FE" w:rsidP="00955C1D">
      <w:pPr>
        <w:tabs>
          <w:tab w:val="left" w:pos="1134"/>
        </w:tabs>
        <w:spacing w:after="160" w:line="360" w:lineRule="auto"/>
        <w:ind w:right="-6" w:firstLine="567"/>
        <w:jc w:val="both"/>
        <w:rPr>
          <w:rFonts w:ascii="Sylfaen" w:hAnsi="Sylfaen"/>
          <w:sz w:val="24"/>
          <w:szCs w:val="24"/>
        </w:rPr>
      </w:pPr>
      <w:r>
        <w:rPr>
          <w:rFonts w:ascii="Sylfaen" w:hAnsi="Sylfaen"/>
          <w:sz w:val="24"/>
          <w:szCs w:val="24"/>
        </w:rPr>
        <w:t xml:space="preserve">Ռեֆերենտ </w:t>
      </w:r>
      <w:r w:rsidR="006F76EB" w:rsidRPr="00834D52">
        <w:rPr>
          <w:rFonts w:ascii="Sylfaen" w:hAnsi="Sylfaen"/>
          <w:sz w:val="24"/>
          <w:szCs w:val="24"/>
        </w:rPr>
        <w:t xml:space="preserve">պետության՝ գնահատման վերաբերյալ եզրափակիչ փորձագիտական հաշվետվությունը կազմվում է սույն Կանոնների </w:t>
      </w:r>
      <w:r w:rsidR="00A81E1F" w:rsidRPr="00F06D43">
        <w:rPr>
          <w:rFonts w:ascii="Sylfaen" w:hAnsi="Sylfaen"/>
          <w:sz w:val="24"/>
          <w:szCs w:val="24"/>
        </w:rPr>
        <w:br/>
      </w:r>
      <w:r w:rsidR="006F76EB" w:rsidRPr="00834D52">
        <w:rPr>
          <w:rFonts w:ascii="Sylfaen" w:hAnsi="Sylfaen"/>
          <w:sz w:val="24"/>
          <w:szCs w:val="24"/>
        </w:rPr>
        <w:t>թիվ 16 հավելվածի համաձայն սահմանված ձ</w:t>
      </w:r>
      <w:r w:rsidR="00C54D75">
        <w:rPr>
          <w:rFonts w:ascii="Sylfaen" w:hAnsi="Sylfaen"/>
          <w:sz w:val="24"/>
          <w:szCs w:val="24"/>
        </w:rPr>
        <w:t>և</w:t>
      </w:r>
      <w:r w:rsidR="006F76EB" w:rsidRPr="00834D52">
        <w:rPr>
          <w:rFonts w:ascii="Sylfaen" w:hAnsi="Sylfaen"/>
          <w:sz w:val="24"/>
          <w:szCs w:val="24"/>
        </w:rPr>
        <w:t>ով։</w:t>
      </w:r>
    </w:p>
    <w:p w14:paraId="7D72B07D" w14:textId="597A08ED" w:rsidR="00C153B1" w:rsidRPr="00C153B1" w:rsidRDefault="00C153B1" w:rsidP="00C153B1">
      <w:pPr>
        <w:rPr>
          <w:b/>
          <w:bCs/>
          <w:i/>
          <w:iCs/>
        </w:rPr>
      </w:pPr>
      <w:r w:rsidRPr="00CD4709">
        <w:rPr>
          <w:b/>
          <w:bCs/>
          <w:i/>
          <w:iCs/>
        </w:rPr>
        <w:t>(</w:t>
      </w:r>
      <w:r>
        <w:rPr>
          <w:b/>
          <w:bCs/>
          <w:i/>
          <w:iCs/>
        </w:rPr>
        <w:t xml:space="preserve">103-րդ կետը լրաց. 05.03.21 </w:t>
      </w:r>
      <w:r w:rsidRPr="00CD4709">
        <w:rPr>
          <w:b/>
          <w:bCs/>
          <w:i/>
          <w:iCs/>
        </w:rPr>
        <w:t xml:space="preserve">թիվ </w:t>
      </w:r>
      <w:r>
        <w:rPr>
          <w:b/>
          <w:bCs/>
          <w:i/>
          <w:iCs/>
        </w:rPr>
        <w:t>14</w:t>
      </w:r>
      <w:r w:rsidRPr="00CD4709">
        <w:rPr>
          <w:b/>
          <w:bCs/>
          <w:i/>
          <w:iCs/>
        </w:rPr>
        <w:t>)</w:t>
      </w:r>
    </w:p>
    <w:p w14:paraId="47477C03" w14:textId="68F071C9"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104.</w:t>
      </w:r>
      <w:r w:rsidRPr="00834D52">
        <w:rPr>
          <w:rFonts w:ascii="Sylfaen" w:hAnsi="Sylfaen"/>
          <w:sz w:val="24"/>
          <w:szCs w:val="24"/>
        </w:rPr>
        <w:tab/>
      </w:r>
      <w:r w:rsidR="00693F55" w:rsidRPr="00693F55">
        <w:rPr>
          <w:rFonts w:ascii="Sylfaen" w:hAnsi="Sylfaen"/>
          <w:sz w:val="24"/>
          <w:szCs w:val="24"/>
        </w:rPr>
        <w:t>Ռեֆերենտ պետության լիազորված մարմնի (փորձագիտական կազմակերպության) կողմից գրանցման հայտը ներկայացնելու օրվանից 90 աշխատանքային օրվանից ոչ ուշ ճանաչման պետություն և հայտատուին կարող են ուղարկվել գնահատման մասով եզրափակիչ փորձագիտական հաշվետվության նախագիծը՝ ըստ սույն կանոնների թիվ 16 հավելվածին համապատասխան ձևի՝ հարցմանը հայտատուի պատասխանների հետ միասին, դեղապատրաստուկի ընդհանուր բնութագրի նախագիծը, բժշկական կիրառման հրահանգի նախագիծը (ներդիր թերթիկը), փաթեթվածքների մանրակերտների նախագիծը, որակի մասով նորմատիվ փաստաթղթի նախագիծը, ինչպես նաև անհրաժեշտության դեպքում՝ ռիսկերի կառավարման պլանի նախագիծը</w:t>
      </w:r>
      <w:r w:rsidRPr="00834D52">
        <w:rPr>
          <w:rFonts w:ascii="Sylfaen" w:hAnsi="Sylfaen"/>
          <w:sz w:val="24"/>
          <w:szCs w:val="24"/>
        </w:rPr>
        <w:t>։</w:t>
      </w:r>
    </w:p>
    <w:p w14:paraId="1C6D6059" w14:textId="40A7C289" w:rsidR="006F76EB" w:rsidRPr="00834D52" w:rsidRDefault="006F76EB" w:rsidP="00B3138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կազմակերպությունը պատրաստել է գնահատման վերաբերյալ եզրափակիչ փորձագիտական հաշվետվության բացասական նախագիծ </w:t>
      </w:r>
      <w:r w:rsidR="00C54D75">
        <w:rPr>
          <w:rFonts w:ascii="Sylfaen" w:hAnsi="Sylfaen"/>
          <w:sz w:val="24"/>
          <w:szCs w:val="24"/>
        </w:rPr>
        <w:t>և</w:t>
      </w:r>
      <w:r w:rsidRPr="00834D52">
        <w:rPr>
          <w:rFonts w:ascii="Sylfaen" w:hAnsi="Sylfaen"/>
          <w:sz w:val="24"/>
          <w:szCs w:val="24"/>
        </w:rPr>
        <w:t>, սույն Կանոնների 114</w:t>
      </w:r>
      <w:r w:rsidRPr="008341C7">
        <w:rPr>
          <w:rFonts w:ascii="Sylfaen" w:hAnsi="Sylfaen"/>
          <w:sz w:val="24"/>
          <w:szCs w:val="24"/>
        </w:rPr>
        <w:t>-</w:t>
      </w:r>
      <w:r w:rsidRPr="00834D52">
        <w:rPr>
          <w:rFonts w:ascii="Sylfaen" w:hAnsi="Sylfaen"/>
          <w:sz w:val="24"/>
          <w:szCs w:val="24"/>
        </w:rPr>
        <w:t xml:space="preserve">րդ կետին համապատասխան, գրանցումը մերժելու մասին որոշում է կայացրել, ապա դեղապատրաստուկի փորձաքննությունն ու գրանցումը դադարեցվում են։ Կայացված որոշման մասին լիազորված մարմինը (փորձագիտական կազմակերպությունը) այդ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w:t>
      </w:r>
      <w:r w:rsidR="0056496B">
        <w:rPr>
          <w:rFonts w:ascii="Sylfaen" w:hAnsi="Sylfaen"/>
          <w:sz w:val="24"/>
          <w:szCs w:val="24"/>
        </w:rPr>
        <w:t>դիմումատու</w:t>
      </w:r>
      <w:r w:rsidRPr="00834D52">
        <w:rPr>
          <w:rFonts w:ascii="Sylfaen" w:hAnsi="Sylfaen"/>
          <w:sz w:val="24"/>
          <w:szCs w:val="24"/>
        </w:rPr>
        <w:t>ին՝ կցելով գնահատման վերաբերյալ նշված եզրափակիչ փորձագիտական հաշվետվությունը։</w:t>
      </w:r>
    </w:p>
    <w:p w14:paraId="2B160755" w14:textId="20CB4FC8" w:rsidR="006F76EB" w:rsidRDefault="006F76EB" w:rsidP="00B3138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կողմից պատրաստվել է գնահատման վերաբերյալ եզրափակիչ փորձագիտական հաշվետվության դրական նախագիծ, ապա դրա քննությունն անցկացնում են ճանաչման պետության լիազորված մարմինները (փորձագիտական կազմակերպությունները)։</w:t>
      </w:r>
    </w:p>
    <w:p w14:paraId="32C0607B" w14:textId="73DBE9B6" w:rsidR="00946981" w:rsidRPr="006F28F9" w:rsidRDefault="00946981" w:rsidP="00946981">
      <w:pPr>
        <w:rPr>
          <w:b/>
          <w:bCs/>
          <w:i/>
          <w:iCs/>
        </w:rPr>
      </w:pPr>
      <w:r w:rsidRPr="00CD4709">
        <w:rPr>
          <w:b/>
          <w:bCs/>
          <w:i/>
          <w:iCs/>
        </w:rPr>
        <w:t>(</w:t>
      </w:r>
      <w:r>
        <w:rPr>
          <w:b/>
          <w:bCs/>
          <w:i/>
          <w:iCs/>
        </w:rPr>
        <w:t xml:space="preserve">104-րդ կետը </w:t>
      </w:r>
      <w:r w:rsidRPr="00CD4709">
        <w:rPr>
          <w:b/>
          <w:bCs/>
          <w:i/>
          <w:iCs/>
        </w:rPr>
        <w:t>փոփ. 30.01.20 թիվ 9</w:t>
      </w:r>
      <w:r w:rsidR="00693F55">
        <w:rPr>
          <w:b/>
          <w:bCs/>
          <w:i/>
          <w:iCs/>
        </w:rPr>
        <w:t>, խմբ. 17.03.22 թիվ 36</w:t>
      </w:r>
      <w:r w:rsidRPr="00CD4709">
        <w:rPr>
          <w:b/>
          <w:bCs/>
          <w:i/>
          <w:iCs/>
        </w:rPr>
        <w:t>)</w:t>
      </w:r>
    </w:p>
    <w:p w14:paraId="072408EC" w14:textId="08313227"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105.</w:t>
      </w:r>
      <w:r w:rsidRPr="00834D52">
        <w:rPr>
          <w:rFonts w:ascii="Sylfaen" w:hAnsi="Sylfaen"/>
          <w:sz w:val="24"/>
          <w:szCs w:val="24"/>
        </w:rPr>
        <w:tab/>
        <w:t>Ճանաչման պետությունների լիազորված մարմինների (փորձագիտական կազմակերպությունների) կողմից դիտողությունների բացակայության դեպքում կամ դրանք սույն Կանոնների 106</w:t>
      </w:r>
      <w:r w:rsidRPr="008341C7">
        <w:rPr>
          <w:rFonts w:ascii="Sylfaen" w:hAnsi="Sylfaen"/>
          <w:sz w:val="24"/>
          <w:szCs w:val="24"/>
        </w:rPr>
        <w:t>-</w:t>
      </w:r>
      <w:r w:rsidRPr="00834D52">
        <w:rPr>
          <w:rFonts w:ascii="Sylfaen" w:hAnsi="Sylfaen"/>
          <w:sz w:val="24"/>
          <w:szCs w:val="24"/>
        </w:rPr>
        <w:t xml:space="preserve">րդ կետին համապատասխան հանելուց հետո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(փորձագիտական կազմակերպությունները) 10 աշխատանքային օրվա ընթացքում ավարտում են դեղապատրաստուկի փորձաքննության ընթացակարգը (գրանցման դիմումի հանձնման օրվանից </w:t>
      </w:r>
      <w:r w:rsidR="00693F55">
        <w:rPr>
          <w:rFonts w:ascii="Arial Unicode" w:hAnsi="Arial Unicode"/>
          <w:sz w:val="21"/>
          <w:szCs w:val="21"/>
        </w:rPr>
        <w:t>117-րդ աշխատանքային օրը</w:t>
      </w:r>
      <w:r w:rsidRPr="00834D52">
        <w:rPr>
          <w:rFonts w:ascii="Sylfaen" w:hAnsi="Sylfaen"/>
          <w:sz w:val="24"/>
          <w:szCs w:val="24"/>
        </w:rPr>
        <w:t>)։</w:t>
      </w:r>
    </w:p>
    <w:p w14:paraId="3A4F005D" w14:textId="6CC4587E" w:rsidR="00946981" w:rsidRPr="00693F55" w:rsidRDefault="00946981" w:rsidP="00693F55">
      <w:pPr>
        <w:rPr>
          <w:b/>
          <w:bCs/>
          <w:i/>
          <w:iCs/>
        </w:rPr>
      </w:pPr>
      <w:r w:rsidRPr="00CD4709">
        <w:rPr>
          <w:b/>
          <w:bCs/>
          <w:i/>
          <w:iCs/>
        </w:rPr>
        <w:t>(</w:t>
      </w:r>
      <w:r>
        <w:rPr>
          <w:b/>
          <w:bCs/>
          <w:i/>
          <w:iCs/>
        </w:rPr>
        <w:t xml:space="preserve">105-րդ կետը </w:t>
      </w:r>
      <w:r w:rsidRPr="00CD4709">
        <w:rPr>
          <w:b/>
          <w:bCs/>
          <w:i/>
          <w:iCs/>
        </w:rPr>
        <w:t>փոփ. 30.01.20 թիվ 9</w:t>
      </w:r>
      <w:r w:rsidR="00693F55">
        <w:rPr>
          <w:b/>
          <w:bCs/>
          <w:i/>
          <w:iCs/>
        </w:rPr>
        <w:t>, 17.03.22 թիվ 36</w:t>
      </w:r>
      <w:r w:rsidRPr="00CD4709">
        <w:rPr>
          <w:b/>
          <w:bCs/>
          <w:i/>
          <w:iCs/>
        </w:rPr>
        <w:t>)</w:t>
      </w:r>
    </w:p>
    <w:p w14:paraId="0C76EC53" w14:textId="525C9281"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106.</w:t>
      </w:r>
      <w:r w:rsidRPr="00834D52">
        <w:rPr>
          <w:rFonts w:ascii="Sylfaen" w:hAnsi="Sylfaen"/>
          <w:sz w:val="24"/>
          <w:szCs w:val="24"/>
        </w:rPr>
        <w:tab/>
        <w:t>Ճանաչման պետությունների լիազորված մարմինների (փորձագիտական կազմակերպությունների) կողմից գնահատման վերաբերյալ եզրափակիչ փորձագիտական հաշվետվության նախագծի, ԴՊԸԲ</w:t>
      </w:r>
      <w:r w:rsidRPr="008341C7">
        <w:rPr>
          <w:rFonts w:ascii="Sylfaen" w:hAnsi="Sylfaen"/>
          <w:sz w:val="24"/>
          <w:szCs w:val="24"/>
        </w:rPr>
        <w:t>-</w:t>
      </w:r>
      <w:r w:rsidRPr="00834D52">
        <w:rPr>
          <w:rFonts w:ascii="Sylfaen" w:hAnsi="Sylfaen"/>
          <w:sz w:val="24"/>
          <w:szCs w:val="24"/>
        </w:rPr>
        <w:t xml:space="preserve">ի նախագծի, բժշկական կիրառման հրահանգի նախագծի, փաթեթվածքների մանրակերտերի նախագծի </w:t>
      </w:r>
      <w:r w:rsidRPr="00834D52">
        <w:rPr>
          <w:rFonts w:ascii="Sylfaen" w:hAnsi="Sylfaen"/>
          <w:sz w:val="24"/>
          <w:szCs w:val="24"/>
        </w:rPr>
        <w:lastRenderedPageBreak/>
        <w:t xml:space="preserve">կամ որակի վերաբերյալ նորմատիվ փաստաթղթի նախագծի, ռիսկերի կառավարման պլանի նախագծի (անհրաժեշտության դեպքում) հետ կապված դիտողությունների առկայության դեպքում ճանաչման պետությունների լիազորված մարմինները (փորձագիտական կազմակերպությունները) անհրաժեշտության դեպքում </w:t>
      </w:r>
      <w:r w:rsidR="009F49FE">
        <w:rPr>
          <w:rFonts w:ascii="Sylfaen" w:hAnsi="Sylfaen"/>
          <w:sz w:val="24"/>
          <w:szCs w:val="24"/>
        </w:rPr>
        <w:t xml:space="preserve">ռեֆերենտ </w:t>
      </w:r>
      <w:r w:rsidRPr="00834D52">
        <w:rPr>
          <w:rFonts w:ascii="Sylfaen" w:hAnsi="Sylfaen"/>
          <w:sz w:val="24"/>
          <w:szCs w:val="24"/>
        </w:rPr>
        <w:t>պետության կամ ճանաչման պետությունների լիազորված մարմնի (փորձագիտական կազմակերպության) հետ 10 աշխատանքային օրվա ընթացքում անցկացնում են էլեկտրոնային եղանակով խորհրդակցություններ՝ սույն Կանոնների թիվ 18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w:t>
      </w:r>
      <w:r w:rsidR="00693F55">
        <w:rPr>
          <w:rFonts w:ascii="Arial Unicode" w:hAnsi="Arial Unicode"/>
          <w:sz w:val="21"/>
          <w:szCs w:val="21"/>
        </w:rPr>
        <w:t>110-րդ աշխատանքային օրը</w:t>
      </w:r>
      <w:r w:rsidRPr="00834D52">
        <w:rPr>
          <w:rFonts w:ascii="Sylfaen" w:hAnsi="Sylfaen"/>
          <w:sz w:val="24"/>
          <w:szCs w:val="24"/>
        </w:rPr>
        <w:t>)։</w:t>
      </w:r>
    </w:p>
    <w:p w14:paraId="46CB571C" w14:textId="14D40E38" w:rsidR="00946981" w:rsidRPr="006F28F9" w:rsidRDefault="00946981" w:rsidP="00946981">
      <w:pPr>
        <w:rPr>
          <w:b/>
          <w:bCs/>
          <w:i/>
          <w:iCs/>
        </w:rPr>
      </w:pPr>
      <w:r w:rsidRPr="00CD4709">
        <w:rPr>
          <w:b/>
          <w:bCs/>
          <w:i/>
          <w:iCs/>
        </w:rPr>
        <w:t>(</w:t>
      </w:r>
      <w:r>
        <w:rPr>
          <w:b/>
          <w:bCs/>
          <w:i/>
          <w:iCs/>
        </w:rPr>
        <w:t xml:space="preserve">106-րդ կետը </w:t>
      </w:r>
      <w:r w:rsidRPr="00CD4709">
        <w:rPr>
          <w:b/>
          <w:bCs/>
          <w:i/>
          <w:iCs/>
        </w:rPr>
        <w:t>փոփ. 30.01.20 թիվ 9</w:t>
      </w:r>
      <w:r w:rsidR="00693F55">
        <w:rPr>
          <w:b/>
          <w:bCs/>
          <w:i/>
          <w:iCs/>
        </w:rPr>
        <w:t>, 17.03.22 թիվ 36</w:t>
      </w:r>
      <w:r w:rsidRPr="00CD4709">
        <w:rPr>
          <w:b/>
          <w:bCs/>
          <w:i/>
          <w:iCs/>
        </w:rPr>
        <w:t>)</w:t>
      </w:r>
    </w:p>
    <w:p w14:paraId="4954F488" w14:textId="77777777" w:rsidR="006F76EB" w:rsidRPr="00834D52" w:rsidRDefault="006F76EB" w:rsidP="00955C1D">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107.</w:t>
      </w:r>
      <w:r w:rsidRPr="00834D52">
        <w:rPr>
          <w:rFonts w:ascii="Sylfaen" w:hAnsi="Sylfaen"/>
          <w:sz w:val="24"/>
          <w:szCs w:val="24"/>
        </w:rPr>
        <w:tab/>
        <w:t xml:space="preserve">Փոխադարձ խորհրդակցությունների շրջանակներում չկարգավորված տարաձայնությունների առկայության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Pr="00834D52">
        <w:rPr>
          <w:rFonts w:ascii="Sylfaen" w:hAnsi="Sylfaen"/>
          <w:sz w:val="24"/>
          <w:szCs w:val="24"/>
        </w:rPr>
        <w:t>պետության՝ գնահատման վերաբերյալ եզրափակիչ փորձագիտական հաշվետվությունը ստանալու օրվանից 10 աշխատանքային օրը չգերազանցող ժամկետում ինտեգրված համակարգի միջոցների օգտագործմամբ, հաշվի առնելով սույն Կանոնների 106</w:t>
      </w:r>
      <w:r w:rsidRPr="008341C7">
        <w:rPr>
          <w:rFonts w:ascii="Sylfaen" w:hAnsi="Sylfaen"/>
          <w:sz w:val="24"/>
          <w:szCs w:val="24"/>
        </w:rPr>
        <w:t>-</w:t>
      </w:r>
      <w:r w:rsidRPr="00834D52">
        <w:rPr>
          <w:rFonts w:ascii="Sylfaen" w:hAnsi="Sylfaen"/>
          <w:sz w:val="24"/>
          <w:szCs w:val="24"/>
        </w:rPr>
        <w:t xml:space="preserve">րդ կետի պայմանները,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 (փորձագիտական կազմակերպություն), ինչպես նա</w:t>
      </w:r>
      <w:r w:rsidR="00C54D75">
        <w:rPr>
          <w:rFonts w:ascii="Sylfaen" w:hAnsi="Sylfaen"/>
          <w:sz w:val="24"/>
          <w:szCs w:val="24"/>
        </w:rPr>
        <w:t>և</w:t>
      </w:r>
      <w:r w:rsidRPr="00834D52">
        <w:rPr>
          <w:rFonts w:ascii="Sylfaen" w:hAnsi="Sylfaen"/>
          <w:sz w:val="24"/>
          <w:szCs w:val="24"/>
        </w:rPr>
        <w:t xml:space="preserve"> Փորձագիտական կոմիտե է ուղարկում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ճանաչման անհնարինության մասին եզրակացությունը, այդ թվում՝ թղթային կրիչով՝ բացասական որոշման պատճառների հիմնավորմամբ։</w:t>
      </w:r>
    </w:p>
    <w:p w14:paraId="5B35F114" w14:textId="77777777" w:rsidR="006F76EB" w:rsidRPr="00834D52" w:rsidRDefault="006F76EB" w:rsidP="00955C1D">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108.</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փորձագիտական հաշվետվությունը ճանաչման պետությունների կողմից ճանաչելու անհնարինության մասին եզրակացությունն ուղարկելու օրվանից 60 օրացուցային օրը չգերազանցող ժամկետում Փորձագիտական կոմիտեն իրականացնում է տարաձայնությունների </w:t>
      </w:r>
      <w:r w:rsidRPr="00834D52">
        <w:rPr>
          <w:rFonts w:ascii="Sylfaen" w:hAnsi="Sylfaen"/>
          <w:sz w:val="24"/>
          <w:szCs w:val="24"/>
        </w:rPr>
        <w:lastRenderedPageBreak/>
        <w:t>կարգավորման ընթացակարգ՝ Հանձնաժողովի կողմից սահմանված կարգին համապատասխան։</w:t>
      </w:r>
    </w:p>
    <w:p w14:paraId="3F6E66C8" w14:textId="7777777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Եթե </w:t>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w:t>
      </w:r>
      <w:r w:rsidR="00C54D75">
        <w:rPr>
          <w:rFonts w:ascii="Sylfaen" w:hAnsi="Sylfaen"/>
          <w:spacing w:val="4"/>
          <w:sz w:val="24"/>
          <w:szCs w:val="24"/>
        </w:rPr>
        <w:t>և</w:t>
      </w:r>
      <w:r w:rsidRPr="00834D52">
        <w:rPr>
          <w:rFonts w:ascii="Sylfaen" w:hAnsi="Sylfaen"/>
          <w:spacing w:val="4"/>
          <w:sz w:val="24"/>
          <w:szCs w:val="24"/>
        </w:rPr>
        <w:t xml:space="preserve"> ճանաչման պետությունների լիազորված մարմինների միջ</w:t>
      </w:r>
      <w:r w:rsidR="00C54D75">
        <w:rPr>
          <w:rFonts w:ascii="Sylfaen" w:hAnsi="Sylfaen"/>
          <w:spacing w:val="4"/>
          <w:sz w:val="24"/>
          <w:szCs w:val="24"/>
        </w:rPr>
        <w:t>և</w:t>
      </w:r>
      <w:r w:rsidRPr="00834D52">
        <w:rPr>
          <w:rFonts w:ascii="Sylfaen" w:hAnsi="Sylfaen"/>
          <w:spacing w:val="4"/>
          <w:sz w:val="24"/>
          <w:szCs w:val="24"/>
        </w:rPr>
        <w:t xml:space="preserve"> գնահատման վերաբերյալ փորձագիտական հաշվետվության ճանաչման մասով տարաձայնությունները կարգավորվել են, ապա նրանք անցնում են փորձաքննության ընթացակարգի ավարտին </w:t>
      </w:r>
      <w:r w:rsidR="00C54D75">
        <w:rPr>
          <w:rFonts w:ascii="Sylfaen" w:hAnsi="Sylfaen"/>
          <w:spacing w:val="4"/>
          <w:sz w:val="24"/>
          <w:szCs w:val="24"/>
        </w:rPr>
        <w:t>և</w:t>
      </w:r>
      <w:r w:rsidRPr="00834D52">
        <w:rPr>
          <w:rFonts w:ascii="Sylfaen" w:hAnsi="Sylfaen"/>
          <w:spacing w:val="4"/>
          <w:sz w:val="24"/>
          <w:szCs w:val="24"/>
        </w:rPr>
        <w:t xml:space="preserve"> ամփոփիչ փաստաթղթերի տրամադրման ընթացակարգին՝ սույն Կանոնների 105</w:t>
      </w:r>
      <w:r w:rsidRPr="008341C7">
        <w:rPr>
          <w:rFonts w:ascii="Sylfaen" w:hAnsi="Sylfaen"/>
          <w:spacing w:val="4"/>
          <w:sz w:val="24"/>
          <w:szCs w:val="24"/>
        </w:rPr>
        <w:t>-</w:t>
      </w:r>
      <w:r w:rsidRPr="00834D52">
        <w:rPr>
          <w:rFonts w:ascii="Sylfaen" w:hAnsi="Sylfaen"/>
          <w:spacing w:val="4"/>
          <w:sz w:val="24"/>
          <w:szCs w:val="24"/>
        </w:rPr>
        <w:t xml:space="preserve">րդ </w:t>
      </w:r>
      <w:r w:rsidR="00C54D75">
        <w:rPr>
          <w:rFonts w:ascii="Sylfaen" w:hAnsi="Sylfaen"/>
          <w:spacing w:val="4"/>
          <w:sz w:val="24"/>
          <w:szCs w:val="24"/>
        </w:rPr>
        <w:t>և</w:t>
      </w:r>
      <w:r w:rsidRPr="00834D52">
        <w:rPr>
          <w:rFonts w:ascii="Sylfaen" w:hAnsi="Sylfaen"/>
          <w:spacing w:val="4"/>
          <w:sz w:val="24"/>
          <w:szCs w:val="24"/>
        </w:rPr>
        <w:t xml:space="preserve"> 109</w:t>
      </w:r>
      <w:r w:rsidRPr="008341C7">
        <w:rPr>
          <w:rFonts w:ascii="Sylfaen" w:hAnsi="Sylfaen"/>
          <w:spacing w:val="4"/>
          <w:sz w:val="24"/>
          <w:szCs w:val="24"/>
        </w:rPr>
        <w:t>-</w:t>
      </w:r>
      <w:r w:rsidRPr="00834D52">
        <w:rPr>
          <w:rFonts w:ascii="Sylfaen" w:hAnsi="Sylfaen"/>
          <w:spacing w:val="4"/>
          <w:sz w:val="24"/>
          <w:szCs w:val="24"/>
        </w:rPr>
        <w:t>113</w:t>
      </w:r>
      <w:r w:rsidRPr="008341C7">
        <w:rPr>
          <w:rFonts w:ascii="Sylfaen" w:hAnsi="Sylfaen"/>
          <w:spacing w:val="4"/>
          <w:sz w:val="24"/>
          <w:szCs w:val="24"/>
        </w:rPr>
        <w:t>-</w:t>
      </w:r>
      <w:r w:rsidRPr="00834D52">
        <w:rPr>
          <w:rFonts w:ascii="Sylfaen" w:hAnsi="Sylfaen"/>
          <w:spacing w:val="4"/>
          <w:sz w:val="24"/>
          <w:szCs w:val="24"/>
        </w:rPr>
        <w:t>րդ կետերին համապատասխան։</w:t>
      </w:r>
    </w:p>
    <w:p w14:paraId="0969CA52" w14:textId="6530807B" w:rsidR="006F76EB" w:rsidRDefault="006F76EB" w:rsidP="00955C1D">
      <w:pPr>
        <w:spacing w:after="160" w:line="360" w:lineRule="auto"/>
        <w:ind w:right="-8" w:firstLine="567"/>
        <w:jc w:val="both"/>
        <w:rPr>
          <w:rFonts w:ascii="Sylfaen" w:hAnsi="Sylfae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միջ</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հաշվետվության ճանաչման մասով տարաձայնությունները կարգավորված չեն, ապա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որոնք կայացրել են գնահատման վերաբերյալ փորձագիտական հաշվետվության ճանաչման մասին դրական որոշում, անցնում են փորձաքննության ընթացակարգի ավարտին </w:t>
      </w:r>
      <w:r w:rsidR="00C54D75">
        <w:rPr>
          <w:rFonts w:ascii="Sylfaen" w:hAnsi="Sylfaen"/>
          <w:sz w:val="24"/>
          <w:szCs w:val="24"/>
        </w:rPr>
        <w:t>և</w:t>
      </w:r>
      <w:r w:rsidRPr="00834D52">
        <w:rPr>
          <w:rFonts w:ascii="Sylfaen" w:hAnsi="Sylfaen"/>
          <w:sz w:val="24"/>
          <w:szCs w:val="24"/>
        </w:rPr>
        <w:t xml:space="preserve"> ամփոփիչ փաստաթղթերի տրամադրման ընթացակարգին՝ սույն Կանոնների 105</w:t>
      </w:r>
      <w:r w:rsidRPr="008341C7">
        <w:rPr>
          <w:rFonts w:ascii="Sylfaen" w:hAnsi="Sylfaen"/>
          <w:sz w:val="24"/>
          <w:szCs w:val="24"/>
        </w:rPr>
        <w:t>-</w:t>
      </w:r>
      <w:r w:rsidRPr="00834D52">
        <w:rPr>
          <w:rFonts w:ascii="Sylfaen" w:hAnsi="Sylfaen"/>
          <w:sz w:val="24"/>
          <w:szCs w:val="24"/>
        </w:rPr>
        <w:t xml:space="preserve">րդ </w:t>
      </w:r>
      <w:r w:rsidR="00C54D75">
        <w:rPr>
          <w:rFonts w:ascii="Sylfaen" w:hAnsi="Sylfaen"/>
          <w:sz w:val="24"/>
          <w:szCs w:val="24"/>
        </w:rPr>
        <w:t>և</w:t>
      </w:r>
      <w:r w:rsidRPr="00834D52">
        <w:rPr>
          <w:rFonts w:ascii="Sylfaen" w:hAnsi="Sylfaen"/>
          <w:sz w:val="24"/>
          <w:szCs w:val="24"/>
        </w:rPr>
        <w:t xml:space="preserve"> 109</w:t>
      </w:r>
      <w:r w:rsidRPr="008341C7">
        <w:rPr>
          <w:rFonts w:ascii="Sylfaen" w:hAnsi="Sylfaen"/>
          <w:sz w:val="24"/>
          <w:szCs w:val="24"/>
        </w:rPr>
        <w:t>-</w:t>
      </w:r>
      <w:r w:rsidRPr="00834D52">
        <w:rPr>
          <w:rFonts w:ascii="Sylfaen" w:hAnsi="Sylfaen"/>
          <w:sz w:val="24"/>
          <w:szCs w:val="24"/>
        </w:rPr>
        <w:t>113</w:t>
      </w:r>
      <w:r w:rsidRPr="008341C7">
        <w:rPr>
          <w:rFonts w:ascii="Sylfaen" w:hAnsi="Sylfaen"/>
          <w:sz w:val="24"/>
          <w:szCs w:val="24"/>
        </w:rPr>
        <w:t>-</w:t>
      </w:r>
      <w:r w:rsidRPr="00834D52">
        <w:rPr>
          <w:rFonts w:ascii="Sylfaen" w:hAnsi="Sylfaen"/>
          <w:sz w:val="24"/>
          <w:szCs w:val="24"/>
        </w:rPr>
        <w:t xml:space="preserve">րդ կետերին համապատասխան։ </w:t>
      </w:r>
      <w:r w:rsidR="0056496B">
        <w:rPr>
          <w:rFonts w:ascii="Sylfaen" w:hAnsi="Sylfaen"/>
          <w:sz w:val="24"/>
          <w:szCs w:val="24"/>
        </w:rPr>
        <w:t>Դիմումատու</w:t>
      </w:r>
      <w:r w:rsidRPr="00834D52">
        <w:rPr>
          <w:rFonts w:ascii="Sylfaen" w:hAnsi="Sylfaen"/>
          <w:sz w:val="24"/>
          <w:szCs w:val="24"/>
        </w:rPr>
        <w:t>ի խնդրանքով այդ անդամ պետությունների լիազորված մարմինների կողմից գրանցման հավաստագրի տրամադրումը կարող է կասեցվել մինչ</w:t>
      </w:r>
      <w:r w:rsidR="00C54D75">
        <w:rPr>
          <w:rFonts w:ascii="Sylfaen" w:hAnsi="Sylfaen"/>
          <w:sz w:val="24"/>
          <w:szCs w:val="24"/>
        </w:rPr>
        <w:t>և</w:t>
      </w:r>
      <w:r w:rsidRPr="00834D52">
        <w:rPr>
          <w:rFonts w:ascii="Sylfaen" w:hAnsi="Sylfaen"/>
          <w:sz w:val="24"/>
          <w:szCs w:val="24"/>
        </w:rPr>
        <w:t xml:space="preserve"> այլ ճանաչման պետությունների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վերացումը։</w:t>
      </w:r>
    </w:p>
    <w:p w14:paraId="10BDE9B8" w14:textId="157F31EF" w:rsidR="00946981" w:rsidRPr="006F28F9" w:rsidRDefault="00946981" w:rsidP="00946981">
      <w:pPr>
        <w:rPr>
          <w:b/>
          <w:bCs/>
          <w:i/>
          <w:iCs/>
        </w:rPr>
      </w:pPr>
      <w:r w:rsidRPr="00CD4709">
        <w:rPr>
          <w:b/>
          <w:bCs/>
          <w:i/>
          <w:iCs/>
        </w:rPr>
        <w:t>(</w:t>
      </w:r>
      <w:r>
        <w:rPr>
          <w:b/>
          <w:bCs/>
          <w:i/>
          <w:iCs/>
        </w:rPr>
        <w:t xml:space="preserve">108-րդ կետը </w:t>
      </w:r>
      <w:r w:rsidRPr="00CD4709">
        <w:rPr>
          <w:b/>
          <w:bCs/>
          <w:i/>
          <w:iCs/>
        </w:rPr>
        <w:t>փոփ. 30.01.20 թիվ 9)</w:t>
      </w:r>
    </w:p>
    <w:p w14:paraId="3A836017" w14:textId="7D0B9D50" w:rsidR="006F76EB" w:rsidRDefault="006F76EB" w:rsidP="00955C1D">
      <w:pPr>
        <w:tabs>
          <w:tab w:val="left" w:pos="1134"/>
        </w:tabs>
        <w:spacing w:after="160" w:line="360" w:lineRule="auto"/>
        <w:ind w:right="-8" w:firstLine="567"/>
        <w:jc w:val="both"/>
        <w:rPr>
          <w:rFonts w:ascii="Sylfaen" w:hAnsi="Sylfaen"/>
          <w:spacing w:val="-4"/>
          <w:sz w:val="24"/>
          <w:szCs w:val="24"/>
        </w:rPr>
      </w:pPr>
      <w:r w:rsidRPr="00834D52">
        <w:rPr>
          <w:rFonts w:ascii="Sylfaen" w:hAnsi="Sylfaen"/>
          <w:spacing w:val="-4"/>
          <w:sz w:val="24"/>
          <w:szCs w:val="24"/>
        </w:rPr>
        <w:t>109.</w:t>
      </w:r>
      <w:r w:rsidRPr="00834D52">
        <w:rPr>
          <w:rFonts w:ascii="Sylfaen" w:hAnsi="Sylfaen"/>
          <w:spacing w:val="-4"/>
          <w:sz w:val="24"/>
          <w:szCs w:val="24"/>
        </w:rPr>
        <w:tab/>
      </w:r>
      <w:r w:rsidR="00693F55" w:rsidRPr="00693F55">
        <w:rPr>
          <w:rFonts w:ascii="Sylfaen" w:hAnsi="Sylfaen"/>
          <w:spacing w:val="-4"/>
          <w:sz w:val="24"/>
          <w:szCs w:val="24"/>
        </w:rPr>
        <w:t>Սույն կանոնների 105-րդ և 108-րդ կետերին համապատասխան՝ դեղապատրաստուկի գրանցման հնարավորության մասին փորձաքննության արդյունքների հիման վրա դրական որոշում ընդունած՝ ռեֆերենտ պետության և ճանաչման պետությունների լիազորված մարմինները (փորձագիտական կազմակերպությունները) ոչ ուշ, քան 20 աշխատանքային օրվա ընթացքում, անցնում են ամփոփիչ փաստաթղթերի տրամադրման գործընթացին</w:t>
      </w:r>
      <w:r w:rsidRPr="00834D52">
        <w:rPr>
          <w:rFonts w:ascii="Sylfaen" w:hAnsi="Sylfaen"/>
          <w:spacing w:val="-4"/>
          <w:sz w:val="24"/>
          <w:szCs w:val="24"/>
        </w:rPr>
        <w:t>։</w:t>
      </w:r>
    </w:p>
    <w:p w14:paraId="0835134F" w14:textId="78CE6138" w:rsidR="00946981" w:rsidRPr="006F28F9" w:rsidRDefault="00946981" w:rsidP="00946981">
      <w:pPr>
        <w:rPr>
          <w:b/>
          <w:bCs/>
          <w:i/>
          <w:iCs/>
        </w:rPr>
      </w:pPr>
      <w:r w:rsidRPr="00CD4709">
        <w:rPr>
          <w:b/>
          <w:bCs/>
          <w:i/>
          <w:iCs/>
        </w:rPr>
        <w:t>(</w:t>
      </w:r>
      <w:r>
        <w:rPr>
          <w:b/>
          <w:bCs/>
          <w:i/>
          <w:iCs/>
        </w:rPr>
        <w:t xml:space="preserve">109-րդ կետը </w:t>
      </w:r>
      <w:r w:rsidRPr="00CD4709">
        <w:rPr>
          <w:b/>
          <w:bCs/>
          <w:i/>
          <w:iCs/>
        </w:rPr>
        <w:t>փոփ. 30.01.20 թիվ 9</w:t>
      </w:r>
      <w:r w:rsidR="00693F55">
        <w:rPr>
          <w:b/>
          <w:bCs/>
          <w:i/>
          <w:iCs/>
        </w:rPr>
        <w:t>, խմբ. 17.03.22 թիվ 36</w:t>
      </w:r>
      <w:r w:rsidRPr="00CD4709">
        <w:rPr>
          <w:b/>
          <w:bCs/>
          <w:i/>
          <w:iCs/>
        </w:rPr>
        <w:t>)</w:t>
      </w:r>
    </w:p>
    <w:p w14:paraId="5D0A23F3" w14:textId="5AD5EBD8" w:rsidR="006F76EB" w:rsidRPr="00834D52" w:rsidRDefault="006F76EB" w:rsidP="00955C1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110.</w:t>
      </w:r>
      <w:r w:rsidRPr="00834D52">
        <w:rPr>
          <w:rFonts w:ascii="Sylfaen" w:hAnsi="Sylfaen"/>
          <w:sz w:val="24"/>
          <w:szCs w:val="24"/>
        </w:rPr>
        <w:tab/>
      </w:r>
      <w:r w:rsidR="00693F55" w:rsidRPr="00693F55">
        <w:rPr>
          <w:rFonts w:ascii="Sylfaen" w:hAnsi="Sylfaen"/>
          <w:sz w:val="24"/>
          <w:szCs w:val="24"/>
        </w:rPr>
        <w:t>Լիազորված մարմնի կողմից գրանցման մասին դրական որոշում ընդունելու օրվանից 20 աշխատանքային օրվանից ոչ ուշ՝</w:t>
      </w:r>
    </w:p>
    <w:p w14:paraId="69121A0F" w14:textId="7EACF9F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սույն Կանոնների </w:t>
      </w:r>
      <w:r w:rsidR="000839F9" w:rsidRPr="00F06D43">
        <w:rPr>
          <w:rFonts w:ascii="Sylfaen" w:hAnsi="Sylfaen"/>
          <w:sz w:val="24"/>
          <w:szCs w:val="24"/>
        </w:rPr>
        <w:br/>
      </w:r>
      <w:r w:rsidRPr="00834D52">
        <w:rPr>
          <w:rFonts w:ascii="Sylfaen" w:hAnsi="Sylfaen"/>
          <w:sz w:val="24"/>
          <w:szCs w:val="24"/>
        </w:rPr>
        <w:t>թիվ 17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w:t>
      </w:r>
      <w:r w:rsidR="0056496B">
        <w:rPr>
          <w:rFonts w:ascii="Sylfaen" w:hAnsi="Sylfaen"/>
          <w:sz w:val="24"/>
          <w:szCs w:val="24"/>
        </w:rPr>
        <w:t>դիմումատու</w:t>
      </w:r>
      <w:r w:rsidRPr="00834D52">
        <w:rPr>
          <w:rFonts w:ascii="Sylfaen" w:hAnsi="Sylfaen"/>
          <w:sz w:val="24"/>
          <w:szCs w:val="24"/>
        </w:rPr>
        <w:t>ին տրամադրում է դեղապատրաստուկի գրանցման հավաստագիրը, հաստատված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հրահանգը, որակի նորմատիվ փաստաթուղթը, փաթեթվածքների մանրակերտերը, գնահատման վերաբերյալ փորձագիտական հաշվետվությունը (անհրաժեշտության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w:t>
      </w:r>
      <w:r w:rsidR="009F49FE">
        <w:rPr>
          <w:rFonts w:ascii="Sylfaen" w:hAnsi="Sylfaen"/>
          <w:sz w:val="24"/>
          <w:szCs w:val="24"/>
        </w:rPr>
        <w:t xml:space="preserve">ռեֆերենտ </w:t>
      </w:r>
      <w:r w:rsidRPr="00834D52">
        <w:rPr>
          <w:rFonts w:ascii="Sylfaen" w:hAnsi="Sylfaen"/>
          <w:sz w:val="24"/>
          <w:szCs w:val="24"/>
        </w:rPr>
        <w:t>պետության պետական լեզվով տրամադրվում են հաստատված ԴՊԸԲ</w:t>
      </w:r>
      <w:r w:rsidRPr="008341C7">
        <w:rPr>
          <w:rFonts w:ascii="Sylfaen" w:hAnsi="Sylfaen"/>
          <w:sz w:val="24"/>
          <w:szCs w:val="24"/>
        </w:rPr>
        <w:t>-</w:t>
      </w:r>
      <w:r w:rsidRPr="00834D52">
        <w:rPr>
          <w:rFonts w:ascii="Sylfaen" w:hAnsi="Sylfaen"/>
          <w:sz w:val="24"/>
          <w:szCs w:val="24"/>
        </w:rPr>
        <w:t xml:space="preserve">ները,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համաձայնեցված պլանը,</w:t>
      </w:r>
    </w:p>
    <w:p w14:paraId="767EAA28" w14:textId="7DE83C9F"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ճանաչման պետությունների լիազորված մարմինները սույն Կանոնների թիվ 17 հավելվածին համապատասխան սահմանված ձ</w:t>
      </w:r>
      <w:r w:rsidR="00C54D75">
        <w:rPr>
          <w:rFonts w:ascii="Sylfaen" w:hAnsi="Sylfaen"/>
          <w:sz w:val="24"/>
          <w:szCs w:val="24"/>
        </w:rPr>
        <w:t>և</w:t>
      </w:r>
      <w:r w:rsidRPr="00834D52">
        <w:rPr>
          <w:rFonts w:ascii="Sylfaen" w:hAnsi="Sylfaen"/>
          <w:sz w:val="24"/>
          <w:szCs w:val="24"/>
        </w:rPr>
        <w:t>ով դեղապատրաստուկի գրանցման հավաստագրերը,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հրահանգը, փաթեթվածքների մանրակերտերը,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համաձայնեցված պլանը </w:t>
      </w:r>
      <w:r w:rsidR="0056496B">
        <w:rPr>
          <w:rFonts w:ascii="Sylfaen" w:hAnsi="Sylfaen"/>
          <w:sz w:val="24"/>
          <w:szCs w:val="24"/>
        </w:rPr>
        <w:t>դիմումատու</w:t>
      </w:r>
      <w:r w:rsidRPr="00834D52">
        <w:rPr>
          <w:rFonts w:ascii="Sylfaen" w:hAnsi="Sylfaen"/>
          <w:sz w:val="24"/>
          <w:szCs w:val="24"/>
        </w:rPr>
        <w:t>ին են տրամադրում ճանաչման պետությունների պետական լեզվով (անդամ պետությունների օրենսդրության մեջ համապատասխան պահանջների առկայության դեպքում)։</w:t>
      </w:r>
    </w:p>
    <w:p w14:paraId="516AA176" w14:textId="59675A2D" w:rsidR="00946981" w:rsidRPr="006F28F9" w:rsidRDefault="00946981" w:rsidP="00946981">
      <w:pPr>
        <w:rPr>
          <w:b/>
          <w:bCs/>
          <w:i/>
          <w:iCs/>
        </w:rPr>
      </w:pPr>
      <w:r w:rsidRPr="00CD4709">
        <w:rPr>
          <w:b/>
          <w:bCs/>
          <w:i/>
          <w:iCs/>
        </w:rPr>
        <w:t>(</w:t>
      </w:r>
      <w:r>
        <w:rPr>
          <w:b/>
          <w:bCs/>
          <w:i/>
          <w:iCs/>
        </w:rPr>
        <w:t xml:space="preserve">110-րդ կետը </w:t>
      </w:r>
      <w:r w:rsidRPr="00CD4709">
        <w:rPr>
          <w:b/>
          <w:bCs/>
          <w:i/>
          <w:iCs/>
        </w:rPr>
        <w:t>փոփ. 30.01.20 թիվ 9</w:t>
      </w:r>
      <w:r w:rsidR="00693F55">
        <w:rPr>
          <w:b/>
          <w:bCs/>
          <w:i/>
          <w:iCs/>
        </w:rPr>
        <w:t>, խմ. 17.03.22 թիվ 36</w:t>
      </w:r>
      <w:r w:rsidRPr="00CD4709">
        <w:rPr>
          <w:b/>
          <w:bCs/>
          <w:i/>
          <w:iCs/>
        </w:rPr>
        <w:t>)</w:t>
      </w:r>
    </w:p>
    <w:p w14:paraId="7452B245"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տեղեկությունները տեղադրում են միասնական ռեեստրում՝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որակի նորմատիվ փաստաթուղթը, ինչպես նա</w:t>
      </w:r>
      <w:r w:rsidR="00C54D75">
        <w:rPr>
          <w:rFonts w:ascii="Sylfaen" w:hAnsi="Sylfaen"/>
          <w:sz w:val="24"/>
          <w:szCs w:val="24"/>
        </w:rPr>
        <w:t>և</w:t>
      </w:r>
      <w:r w:rsidRPr="00834D52">
        <w:rPr>
          <w:rFonts w:ascii="Sylfaen" w:hAnsi="Sylfaen"/>
          <w:sz w:val="24"/>
          <w:szCs w:val="24"/>
        </w:rPr>
        <w:t xml:space="preserve"> սույն Կանոնների թիվ 16 հավելվածին համապատասխան կազմված՝ գնահատման վերաբերյալ եզրափակիչ </w:t>
      </w:r>
      <w:r w:rsidRPr="00834D52">
        <w:rPr>
          <w:rFonts w:ascii="Sylfaen" w:hAnsi="Sylfaen"/>
          <w:sz w:val="24"/>
          <w:szCs w:val="24"/>
        </w:rPr>
        <w:lastRenderedPageBreak/>
        <w:t>փորձագիտական հաշվետվությունը՝ գաղտնի տվյալներն ու փորձագետների մասին տվյալները հանելուց հետո, ինչպես նա</w:t>
      </w:r>
      <w:r w:rsidR="00C54D75">
        <w:rPr>
          <w:rFonts w:ascii="Sylfaen" w:hAnsi="Sylfaen"/>
          <w:sz w:val="24"/>
          <w:szCs w:val="24"/>
        </w:rPr>
        <w:t>և</w:t>
      </w:r>
      <w:r w:rsidRPr="00834D52">
        <w:rPr>
          <w:rFonts w:ascii="Sylfaen" w:hAnsi="Sylfaen"/>
          <w:sz w:val="24"/>
          <w:szCs w:val="24"/>
        </w:rPr>
        <w:t xml:space="preserve"> դեղապատրաստուկի կիրառման ժամանակ ռիսկերի կառավարման համաձայնեցված պլանի ռեզյումեն (անհրաժեշտության դեպքում)՝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238DF715"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t xml:space="preserve">Ճանաչման պետության լիազորված մարմինը դեղապատրաստուկի գրանցման հավաստագիրը տրամադրում է գրանցման հավաստագրի գործողության՝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կողմից սահմանված ժամկետով։</w:t>
      </w:r>
    </w:p>
    <w:p w14:paraId="184C9767" w14:textId="587DC26A"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113.</w:t>
      </w:r>
      <w:r w:rsidRPr="00834D52">
        <w:rPr>
          <w:rFonts w:ascii="Sylfaen" w:hAnsi="Sylfaen"/>
          <w:sz w:val="24"/>
          <w:szCs w:val="24"/>
        </w:rPr>
        <w:tab/>
        <w:t>Դեղապատրաստուկի որակի, անվտանգության կամ արդյունավետության գնահատման համար կար</w:t>
      </w:r>
      <w:r w:rsidR="00C54D75">
        <w:rPr>
          <w:rFonts w:ascii="Sylfaen" w:hAnsi="Sylfaen"/>
          <w:sz w:val="24"/>
          <w:szCs w:val="24"/>
        </w:rPr>
        <w:t>և</w:t>
      </w:r>
      <w:r w:rsidRPr="00834D52">
        <w:rPr>
          <w:rFonts w:ascii="Sylfaen" w:hAnsi="Sylfaen"/>
          <w:sz w:val="24"/>
          <w:szCs w:val="24"/>
        </w:rPr>
        <w:t>որ նոր տեղեկատվության ի</w:t>
      </w:r>
      <w:r w:rsidR="00C44BED" w:rsidRPr="00C44BED">
        <w:rPr>
          <w:rFonts w:ascii="Sylfaen" w:hAnsi="Sylfaen"/>
          <w:sz w:val="24"/>
          <w:szCs w:val="24"/>
        </w:rPr>
        <w:t> </w:t>
      </w:r>
      <w:r w:rsidR="00946981">
        <w:rPr>
          <w:rFonts w:ascii="Sylfaen" w:hAnsi="Sylfaen"/>
          <w:sz w:val="24"/>
          <w:szCs w:val="24"/>
        </w:rPr>
        <w:t>հայտ</w:t>
      </w:r>
      <w:r w:rsidRPr="00834D52">
        <w:rPr>
          <w:rFonts w:ascii="Sylfaen" w:hAnsi="Sylfaen"/>
          <w:sz w:val="24"/>
          <w:szCs w:val="24"/>
        </w:rPr>
        <w:t xml:space="preserve"> գալու դեպքում </w:t>
      </w:r>
      <w:r w:rsidR="009F49FE">
        <w:rPr>
          <w:rFonts w:ascii="Sylfaen" w:hAnsi="Sylfaen"/>
          <w:sz w:val="24"/>
          <w:szCs w:val="24"/>
        </w:rPr>
        <w:t xml:space="preserve">ռեֆերենտ </w:t>
      </w:r>
      <w:r w:rsidRPr="00834D52">
        <w:rPr>
          <w:rFonts w:ascii="Sylfaen" w:hAnsi="Sylfaen"/>
          <w:sz w:val="24"/>
          <w:szCs w:val="24"/>
        </w:rPr>
        <w:t>պետությունը գրանցման դոսյեում փոփոխություններ կատարելու ընթացակարգի անցկացման շրջանակներում պետք է թարմացնի գնահատման վերաբերյալ փորձագիտական հաշվետվությունը։</w:t>
      </w:r>
    </w:p>
    <w:p w14:paraId="6B9830CD" w14:textId="3BF7F8DC" w:rsidR="00D20005" w:rsidRPr="006F28F9" w:rsidRDefault="00D20005" w:rsidP="00D20005">
      <w:pPr>
        <w:rPr>
          <w:b/>
          <w:bCs/>
          <w:i/>
          <w:iCs/>
        </w:rPr>
      </w:pPr>
      <w:r w:rsidRPr="00CD4709">
        <w:rPr>
          <w:b/>
          <w:bCs/>
          <w:i/>
          <w:iCs/>
        </w:rPr>
        <w:t>(</w:t>
      </w:r>
      <w:r>
        <w:rPr>
          <w:b/>
          <w:bCs/>
          <w:i/>
          <w:iCs/>
        </w:rPr>
        <w:t xml:space="preserve">113-րդ կետը </w:t>
      </w:r>
      <w:r w:rsidRPr="00CD4709">
        <w:rPr>
          <w:b/>
          <w:bCs/>
          <w:i/>
          <w:iCs/>
        </w:rPr>
        <w:t>փոփ. 30.01.20 թիվ 9)</w:t>
      </w:r>
    </w:p>
    <w:p w14:paraId="4D591BCA"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114.</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լիազորված մարմինը մերժում է ապակենտրոնացված ընթացակարգով գրանցումը հետ</w:t>
      </w:r>
      <w:r w:rsidR="00C54D75">
        <w:rPr>
          <w:rFonts w:ascii="Sylfaen" w:hAnsi="Sylfaen"/>
          <w:sz w:val="24"/>
          <w:szCs w:val="24"/>
        </w:rPr>
        <w:t>և</w:t>
      </w:r>
      <w:r w:rsidRPr="00834D52">
        <w:rPr>
          <w:rFonts w:ascii="Sylfaen" w:hAnsi="Sylfaen"/>
          <w:sz w:val="24"/>
          <w:szCs w:val="24"/>
        </w:rPr>
        <w:t>յալ դեպքերում՝</w:t>
      </w:r>
    </w:p>
    <w:p w14:paraId="6E8BF842" w14:textId="77777777" w:rsidR="006F76EB" w:rsidRPr="00834D52" w:rsidRDefault="006F76EB" w:rsidP="009073F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կիրառման հետ կապված հնարավոր ռիսկերի նկատմամբ ակնկալվող օգուտի հարաբերակցությունը բարենպաստ չէ,</w:t>
      </w:r>
    </w:p>
    <w:p w14:paraId="0AC0010E" w14:textId="09DC2806"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արդյունավետությունը չի հաստատվել </w:t>
      </w:r>
      <w:r w:rsidR="0056496B">
        <w:rPr>
          <w:rFonts w:ascii="Sylfaen" w:hAnsi="Sylfaen"/>
          <w:sz w:val="24"/>
          <w:szCs w:val="24"/>
        </w:rPr>
        <w:t>դիմումատու</w:t>
      </w:r>
      <w:r w:rsidRPr="00834D52">
        <w:rPr>
          <w:rFonts w:ascii="Sylfaen" w:hAnsi="Sylfaen"/>
          <w:sz w:val="24"/>
          <w:szCs w:val="24"/>
        </w:rPr>
        <w:t>ի ներկայացրած տվյալներով,</w:t>
      </w:r>
    </w:p>
    <w:p w14:paraId="02F519FB" w14:textId="77777777"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0FF265E3" w14:textId="77777777"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որակի վերահսկողության առաջարկված մեթոդներն ու մեթոդիկաները վերարտադրելի չեն,</w:t>
      </w:r>
    </w:p>
    <w:p w14:paraId="613B75AE" w14:textId="11C2EC21" w:rsidR="006F76EB" w:rsidRPr="00834D52" w:rsidRDefault="006F76EB" w:rsidP="009073F4">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411E783E" w14:textId="073F2681" w:rsidR="006F76EB" w:rsidRDefault="006F76EB" w:rsidP="009073F4">
      <w:pPr>
        <w:tabs>
          <w:tab w:val="left" w:pos="1134"/>
        </w:tabs>
        <w:spacing w:after="160" w:line="341"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 xml:space="preserve">նշանակված տեսչական ստուգման արդյունքներով դեղապատրաստուկի գրանցման ժամանակահատվածում չի հաստատվել դրա </w:t>
      </w:r>
      <w:r w:rsidRPr="00834D52">
        <w:rPr>
          <w:rFonts w:ascii="Sylfaen" w:hAnsi="Sylfaen"/>
          <w:sz w:val="24"/>
          <w:szCs w:val="24"/>
        </w:rPr>
        <w:lastRenderedPageBreak/>
        <w:t>համապատասխանությունը Միության պատշաճ դեղագործական գործելակերպերին</w:t>
      </w:r>
      <w:r w:rsidR="00693F55">
        <w:rPr>
          <w:rFonts w:ascii="Sylfaen" w:hAnsi="Sylfaen"/>
          <w:sz w:val="24"/>
          <w:szCs w:val="24"/>
        </w:rPr>
        <w:t>,</w:t>
      </w:r>
    </w:p>
    <w:p w14:paraId="1CB4D4EB" w14:textId="1EF33E1D" w:rsidR="00693F55" w:rsidRDefault="00693F55" w:rsidP="009073F4">
      <w:pPr>
        <w:tabs>
          <w:tab w:val="left" w:pos="1134"/>
        </w:tabs>
        <w:spacing w:after="160" w:line="341" w:lineRule="auto"/>
        <w:ind w:right="-8" w:firstLine="567"/>
        <w:jc w:val="both"/>
        <w:rPr>
          <w:rFonts w:ascii="Sylfaen" w:hAnsi="Sylfaen"/>
          <w:sz w:val="24"/>
          <w:szCs w:val="24"/>
        </w:rPr>
      </w:pPr>
      <w:r w:rsidRPr="00693F55">
        <w:rPr>
          <w:rFonts w:ascii="Sylfaen" w:hAnsi="Sylfaen"/>
          <w:sz w:val="24"/>
          <w:szCs w:val="24"/>
        </w:rPr>
        <w:t>է) հայտատուի կողմից սահմանված ժամկետում չի ներկայացվել սույն կանոնների 94-րդ կետին համապատասխան ուղարկված հարցման պատասխանը</w:t>
      </w:r>
      <w:r>
        <w:rPr>
          <w:rFonts w:ascii="Sylfaen" w:hAnsi="Sylfaen"/>
          <w:sz w:val="24"/>
          <w:szCs w:val="24"/>
        </w:rPr>
        <w:t>:</w:t>
      </w:r>
    </w:p>
    <w:p w14:paraId="77FD8B3E" w14:textId="1DD26C9A" w:rsidR="00D20005" w:rsidRPr="006F28F9" w:rsidRDefault="00D20005" w:rsidP="00D20005">
      <w:pPr>
        <w:rPr>
          <w:b/>
          <w:bCs/>
          <w:i/>
          <w:iCs/>
        </w:rPr>
      </w:pPr>
      <w:r w:rsidRPr="00CD4709">
        <w:rPr>
          <w:b/>
          <w:bCs/>
          <w:i/>
          <w:iCs/>
        </w:rPr>
        <w:t>(</w:t>
      </w:r>
      <w:r>
        <w:rPr>
          <w:b/>
          <w:bCs/>
          <w:i/>
          <w:iCs/>
        </w:rPr>
        <w:t xml:space="preserve">114-րդ կետը </w:t>
      </w:r>
      <w:r w:rsidRPr="00CD4709">
        <w:rPr>
          <w:b/>
          <w:bCs/>
          <w:i/>
          <w:iCs/>
        </w:rPr>
        <w:t>փոփ. 30.01.20 թիվ 9</w:t>
      </w:r>
      <w:r w:rsidR="00693F55">
        <w:rPr>
          <w:b/>
          <w:bCs/>
          <w:i/>
          <w:iCs/>
        </w:rPr>
        <w:t>, լրաց. 17.03.22 թիվ 36</w:t>
      </w:r>
      <w:r w:rsidRPr="00CD4709">
        <w:rPr>
          <w:b/>
          <w:bCs/>
          <w:i/>
          <w:iCs/>
        </w:rPr>
        <w:t>)</w:t>
      </w:r>
    </w:p>
    <w:p w14:paraId="48F7A8CE" w14:textId="77777777" w:rsidR="006F76EB" w:rsidRPr="00834D52" w:rsidRDefault="006F76EB" w:rsidP="00955C1D">
      <w:pPr>
        <w:tabs>
          <w:tab w:val="left" w:pos="1134"/>
        </w:tabs>
        <w:spacing w:after="160" w:line="341" w:lineRule="auto"/>
        <w:ind w:right="-6" w:firstLine="567"/>
        <w:jc w:val="both"/>
        <w:rPr>
          <w:rFonts w:ascii="Sylfaen" w:hAnsi="Sylfaen"/>
          <w:spacing w:val="-4"/>
          <w:sz w:val="24"/>
          <w:szCs w:val="24"/>
        </w:rPr>
      </w:pPr>
      <w:r w:rsidRPr="00834D52">
        <w:rPr>
          <w:rFonts w:ascii="Sylfaen" w:hAnsi="Sylfaen"/>
          <w:spacing w:val="-4"/>
          <w:sz w:val="24"/>
          <w:szCs w:val="24"/>
        </w:rPr>
        <w:t>115.</w:t>
      </w:r>
      <w:r w:rsidRPr="00834D52">
        <w:rPr>
          <w:rFonts w:ascii="Sylfaen" w:hAnsi="Sylfaen"/>
          <w:spacing w:val="-4"/>
          <w:sz w:val="24"/>
          <w:szCs w:val="24"/>
        </w:rPr>
        <w:tab/>
        <w:t xml:space="preserve">Ճանաչման պետության լիազորված մարմինը չի ճանաչում </w:t>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փորձագիտական կազմակերպության պատրաստած՝ գնահատման վերաբերյալ փորձագիտական հաշվետվությունը </w:t>
      </w:r>
      <w:r w:rsidR="00C54D75">
        <w:rPr>
          <w:rFonts w:ascii="Sylfaen" w:hAnsi="Sylfaen"/>
          <w:spacing w:val="-4"/>
          <w:sz w:val="24"/>
          <w:szCs w:val="24"/>
        </w:rPr>
        <w:t>և</w:t>
      </w:r>
      <w:r w:rsidRPr="00834D52">
        <w:rPr>
          <w:rFonts w:ascii="Sylfaen" w:hAnsi="Sylfaen"/>
          <w:spacing w:val="-4"/>
          <w:sz w:val="24"/>
          <w:szCs w:val="24"/>
        </w:rPr>
        <w:t xml:space="preserve"> դրանով իսկ մերժում է ապակենտրոնացված ընթացակարգով դեղապատրաստուկի գրանցումը, եթե դեղապատրաստուկի գրանցման դոսյեի փորձաքննության արդյունքներով </w:t>
      </w:r>
      <w:r w:rsidR="00C54D75">
        <w:rPr>
          <w:rFonts w:ascii="Sylfaen" w:hAnsi="Sylfaen"/>
          <w:spacing w:val="-4"/>
          <w:sz w:val="24"/>
          <w:szCs w:val="24"/>
        </w:rPr>
        <w:t>և</w:t>
      </w:r>
      <w:r w:rsidRPr="00834D52">
        <w:rPr>
          <w:rFonts w:ascii="Sylfaen" w:hAnsi="Sylfaen"/>
          <w:spacing w:val="-4"/>
          <w:sz w:val="24"/>
          <w:szCs w:val="24"/>
        </w:rPr>
        <w:t xml:space="preserve"> Փորձագիտական կոմիտեում տարաձայնությունների կարգավորման ընթացակարգ անցկացնելուց հետո վերջինս որոշում է կայացրել, որ գնահատման վերաբերյալ փորձագիտական հաշվետվության մեջ ներկայացված տվյալները չեն կարող բավարար ճանաչվել դեղապատրաստուկի որակի </w:t>
      </w:r>
      <w:r w:rsidR="00C54D75">
        <w:rPr>
          <w:rFonts w:ascii="Sylfaen" w:hAnsi="Sylfaen"/>
          <w:spacing w:val="-4"/>
          <w:sz w:val="24"/>
          <w:szCs w:val="24"/>
        </w:rPr>
        <w:t>և</w:t>
      </w:r>
      <w:r w:rsidRPr="00834D52">
        <w:rPr>
          <w:rFonts w:ascii="Sylfaen" w:hAnsi="Sylfaen"/>
          <w:spacing w:val="-4"/>
          <w:sz w:val="24"/>
          <w:szCs w:val="24"/>
        </w:rPr>
        <w:t xml:space="preserve"> (կամ) արդյունավետության </w:t>
      </w:r>
      <w:r w:rsidR="00C54D75">
        <w:rPr>
          <w:rFonts w:ascii="Sylfaen" w:hAnsi="Sylfaen"/>
          <w:spacing w:val="-4"/>
          <w:sz w:val="24"/>
          <w:szCs w:val="24"/>
        </w:rPr>
        <w:t>և</w:t>
      </w:r>
      <w:r w:rsidRPr="00834D52">
        <w:rPr>
          <w:rFonts w:ascii="Sylfaen" w:hAnsi="Sylfaen"/>
          <w:spacing w:val="-4"/>
          <w:sz w:val="24"/>
          <w:szCs w:val="24"/>
        </w:rPr>
        <w:t xml:space="preserve"> (կամ) օգուտ</w:t>
      </w:r>
      <w:r w:rsidRPr="008341C7">
        <w:rPr>
          <w:rFonts w:ascii="Sylfaen" w:hAnsi="Sylfaen"/>
          <w:spacing w:val="-4"/>
          <w:sz w:val="24"/>
          <w:szCs w:val="24"/>
        </w:rPr>
        <w:t>-</w:t>
      </w:r>
      <w:r w:rsidRPr="00834D52">
        <w:rPr>
          <w:rFonts w:ascii="Sylfaen" w:hAnsi="Sylfaen"/>
          <w:spacing w:val="-4"/>
          <w:sz w:val="24"/>
          <w:szCs w:val="24"/>
        </w:rPr>
        <w:t>ռիսկ բարենպաստ հարաբերակցության հաստատման համար։</w:t>
      </w:r>
    </w:p>
    <w:p w14:paraId="6013CF36" w14:textId="77777777" w:rsidR="006F76EB" w:rsidRPr="008341C7" w:rsidRDefault="006F76EB" w:rsidP="009073F4">
      <w:pPr>
        <w:widowControl/>
        <w:spacing w:line="341" w:lineRule="auto"/>
        <w:ind w:left="567" w:right="565"/>
        <w:jc w:val="center"/>
        <w:rPr>
          <w:rFonts w:ascii="Sylfaen" w:hAnsi="Sylfaen"/>
          <w:sz w:val="24"/>
          <w:szCs w:val="24"/>
        </w:rPr>
      </w:pPr>
    </w:p>
    <w:p w14:paraId="587C6CF1" w14:textId="0CE9D003" w:rsidR="00693F55" w:rsidRPr="00550964" w:rsidRDefault="00693F55" w:rsidP="00693F55">
      <w:pPr>
        <w:jc w:val="center"/>
        <w:rPr>
          <w:rFonts w:ascii="Sylfaen" w:hAnsi="Sylfaen"/>
          <w:b/>
          <w:bCs/>
          <w:sz w:val="24"/>
          <w:szCs w:val="24"/>
        </w:rPr>
      </w:pPr>
      <w:r w:rsidRPr="00550964">
        <w:rPr>
          <w:rFonts w:ascii="Sylfaen" w:hAnsi="Sylfaen"/>
          <w:b/>
          <w:bCs/>
          <w:sz w:val="24"/>
          <w:szCs w:val="24"/>
        </w:rPr>
        <w:t>VII. Հետգրանցումային միջոցների սահմանում</w:t>
      </w:r>
    </w:p>
    <w:p w14:paraId="57BBDA1A" w14:textId="2642A402" w:rsidR="00693F55" w:rsidRPr="00550964" w:rsidRDefault="00693F55" w:rsidP="00693F55">
      <w:pPr>
        <w:rPr>
          <w:rFonts w:ascii="Sylfaen" w:hAnsi="Sylfaen"/>
          <w:b/>
          <w:bCs/>
          <w:sz w:val="24"/>
          <w:szCs w:val="24"/>
        </w:rPr>
      </w:pPr>
      <w:r w:rsidRPr="00550964">
        <w:rPr>
          <w:rFonts w:ascii="Sylfaen" w:hAnsi="Sylfaen"/>
          <w:b/>
          <w:bCs/>
          <w:sz w:val="24"/>
          <w:szCs w:val="24"/>
        </w:rPr>
        <w:t>VII.I. Լրացուցիչ պահանջների սահմանմամբ դեղապատրաստուկի գրանցում</w:t>
      </w:r>
    </w:p>
    <w:p w14:paraId="24E33019" w14:textId="659AB445" w:rsidR="00693F55" w:rsidRPr="00693F55" w:rsidRDefault="00693F55" w:rsidP="00693F55">
      <w:pPr>
        <w:rPr>
          <w:rFonts w:ascii="Sylfaen" w:hAnsi="Sylfaen"/>
          <w:sz w:val="24"/>
          <w:szCs w:val="24"/>
        </w:rPr>
      </w:pPr>
      <w:r w:rsidRPr="00693F55">
        <w:rPr>
          <w:rFonts w:ascii="Sylfaen" w:hAnsi="Sylfaen"/>
          <w:sz w:val="24"/>
          <w:szCs w:val="24"/>
        </w:rPr>
        <w:t>116. Դեղապատրաստուկի գրանցման և գրանցման հետ կապված ընթացակարգերի իրականացման ժամանակ դեղապատրաստուկի նկատմամբ ռեֆերենտ պետության լիազորված մարմինը (փորձագիտական կազմակերպությունը) կարող է սահմանել հետևյալ լրացուցիչ պահանջներից մեկը կամ մի քանիսը.</w:t>
      </w:r>
    </w:p>
    <w:p w14:paraId="6619C89B" w14:textId="7B02A935" w:rsidR="00693F55" w:rsidRPr="00693F55" w:rsidRDefault="00693F55" w:rsidP="00693F55">
      <w:pPr>
        <w:rPr>
          <w:rFonts w:ascii="Sylfaen" w:hAnsi="Sylfaen"/>
          <w:sz w:val="24"/>
          <w:szCs w:val="24"/>
        </w:rPr>
      </w:pPr>
      <w:r w:rsidRPr="00693F55">
        <w:rPr>
          <w:rFonts w:ascii="Sylfaen" w:hAnsi="Sylfaen"/>
          <w:sz w:val="24"/>
          <w:szCs w:val="24"/>
        </w:rPr>
        <w:t>դեղապատրաստուկի անվտանգ կիրառումն ապահովելու համար ռիսկերի կառավարման համակարգում որոշակի միջոցների ներառում.</w:t>
      </w:r>
    </w:p>
    <w:p w14:paraId="3EA11D3E" w14:textId="302256E8" w:rsidR="00693F55" w:rsidRPr="00693F55" w:rsidRDefault="00693F55" w:rsidP="00693F55">
      <w:pPr>
        <w:rPr>
          <w:rFonts w:ascii="Sylfaen" w:hAnsi="Sylfaen"/>
          <w:sz w:val="24"/>
          <w:szCs w:val="24"/>
        </w:rPr>
      </w:pPr>
      <w:r w:rsidRPr="00693F55">
        <w:rPr>
          <w:rFonts w:ascii="Sylfaen" w:hAnsi="Sylfaen"/>
          <w:sz w:val="24"/>
          <w:szCs w:val="24"/>
        </w:rPr>
        <w:t>դեղապատրաստուկի անվտանգության հետգրանցումային հետազոտությունների անցկացում.</w:t>
      </w:r>
    </w:p>
    <w:p w14:paraId="7C7DC4EE" w14:textId="306CD77A" w:rsidR="00693F55" w:rsidRPr="00693F55" w:rsidRDefault="00693F55" w:rsidP="00693F55">
      <w:pPr>
        <w:rPr>
          <w:rFonts w:ascii="Sylfaen" w:hAnsi="Sylfaen"/>
          <w:sz w:val="24"/>
          <w:szCs w:val="24"/>
        </w:rPr>
      </w:pPr>
      <w:r w:rsidRPr="00693F55">
        <w:rPr>
          <w:rFonts w:ascii="Sylfaen" w:hAnsi="Sylfaen"/>
          <w:sz w:val="24"/>
          <w:szCs w:val="24"/>
        </w:rPr>
        <w:t>դեղապատրաստուկի գրանցման և կասկածելի՝ անցանկալի ռեակցիաների մասով հաղորդումների նկատմամբ լրացուցիչ պահանջների սահմանում.</w:t>
      </w:r>
    </w:p>
    <w:p w14:paraId="07B9E5FF" w14:textId="5A932AF3" w:rsidR="00693F55" w:rsidRPr="00693F55" w:rsidRDefault="00693F55" w:rsidP="00693F55">
      <w:pPr>
        <w:rPr>
          <w:rFonts w:ascii="Sylfaen" w:hAnsi="Sylfaen"/>
          <w:sz w:val="24"/>
          <w:szCs w:val="24"/>
        </w:rPr>
      </w:pPr>
      <w:r w:rsidRPr="00693F55">
        <w:rPr>
          <w:rFonts w:ascii="Sylfaen" w:hAnsi="Sylfaen"/>
          <w:sz w:val="24"/>
          <w:szCs w:val="24"/>
        </w:rPr>
        <w:lastRenderedPageBreak/>
        <w:t>դեղապատրաստուկի արդյունավետության հետգրանցումային հետազոտությունների, իսկ անհրաժեշտության դեպքում՝ դեղապատրաստուկի արդյունավետության տարբեր ասպեկտների հետազոտությունների անցկացում, որոնք չեն կարող հետազոտվել մինչ դեղապատրաստուկի իրացման մեկնարկը.</w:t>
      </w:r>
    </w:p>
    <w:p w14:paraId="35B9748D" w14:textId="5AE39EFE" w:rsidR="00693F55" w:rsidRPr="00693F55" w:rsidRDefault="00693F55" w:rsidP="00693F55">
      <w:pPr>
        <w:rPr>
          <w:rFonts w:ascii="Sylfaen" w:hAnsi="Sylfaen"/>
          <w:sz w:val="24"/>
          <w:szCs w:val="24"/>
        </w:rPr>
      </w:pPr>
      <w:r w:rsidRPr="00693F55">
        <w:rPr>
          <w:rFonts w:ascii="Sylfaen" w:hAnsi="Sylfaen"/>
          <w:sz w:val="24"/>
          <w:szCs w:val="24"/>
        </w:rPr>
        <w:t>դեղապատրաստուկի անվտանգ և արդյունավետ կիրառման նպատակով այլ պայմաններ կամ սահմանափակումներ՝ Եվրասիական տնտեսական միության Դեղազգոնության պատշաճ գործունեության կանոնների պահանջներին համապատասխան։</w:t>
      </w:r>
    </w:p>
    <w:p w14:paraId="279BC979" w14:textId="695753A2" w:rsidR="00693F55" w:rsidRPr="00693F55" w:rsidRDefault="00693F55" w:rsidP="00693F55">
      <w:pPr>
        <w:rPr>
          <w:rFonts w:ascii="Sylfaen" w:hAnsi="Sylfaen"/>
          <w:sz w:val="24"/>
          <w:szCs w:val="24"/>
        </w:rPr>
      </w:pPr>
      <w:r w:rsidRPr="00693F55">
        <w:rPr>
          <w:rFonts w:ascii="Sylfaen" w:hAnsi="Sylfaen"/>
          <w:sz w:val="24"/>
          <w:szCs w:val="24"/>
        </w:rPr>
        <w:t>Սահմանված պայմաններն ու սահմանափակումները, ինչպես նաև դրանց կատարման ժամկետները նշվում են գրանցման հավաստագրում, միասնական ռեեստրում, ինչպես նաև ԴՊԸԲ-ում և բժշկական կիրառման հրահանգում։</w:t>
      </w:r>
    </w:p>
    <w:p w14:paraId="1D2BBFEC" w14:textId="56305421" w:rsidR="00693F55" w:rsidRPr="00693F55" w:rsidRDefault="00693F55" w:rsidP="00693F55">
      <w:pPr>
        <w:rPr>
          <w:rFonts w:ascii="Sylfaen" w:hAnsi="Sylfaen"/>
          <w:sz w:val="24"/>
          <w:szCs w:val="24"/>
        </w:rPr>
      </w:pPr>
      <w:r w:rsidRPr="00693F55">
        <w:rPr>
          <w:rFonts w:ascii="Sylfaen" w:hAnsi="Sylfaen"/>
          <w:sz w:val="24"/>
          <w:szCs w:val="24"/>
        </w:rPr>
        <w:t xml:space="preserve">117. Ռեֆերենտ պետության լիազորված մարմինը (փորձագիտական կազմակերպությունը) իրավունք ունի չեղարկելու դեղապատրաստուկի գրանցման հավաստագրի գործողությունը գրանցման հավաստագիր ունեցող անձի կողմից՝ ռեֆերենտ պետության լիազորված մարմնի (փորձագիտական կազմակերպության) կողմից սույն կանոնների 116-րդ կետին համապատասխան տվյալ դեղապատրաստուկը գրանցելիս կամ գրանցման հետ կապված ընթացակարգեր իրականացնելիս տվյալ դեղապատրաստուկի նկատմամբ ռեֆերենտ պետության լիազորված մարմնի (փորձագիտական կազմակերպության) սահմանած լրացուցիչ պահանջները չկատարելու դեպքում: </w:t>
      </w:r>
    </w:p>
    <w:p w14:paraId="5213F14C" w14:textId="17184D82" w:rsidR="00693F55" w:rsidRPr="00693F55" w:rsidRDefault="00693F55" w:rsidP="00693F55">
      <w:pPr>
        <w:rPr>
          <w:rFonts w:ascii="Sylfaen" w:hAnsi="Sylfaen"/>
          <w:sz w:val="24"/>
          <w:szCs w:val="24"/>
        </w:rPr>
      </w:pPr>
      <w:r w:rsidRPr="00693F55">
        <w:rPr>
          <w:rFonts w:ascii="Sylfaen" w:hAnsi="Sylfaen"/>
          <w:sz w:val="24"/>
          <w:szCs w:val="24"/>
        </w:rPr>
        <w:t>118. Լիազորված մարմնի (փորձագիտական կազմակերպության) կողմից դեղապատրաստուկի գրանցման և գրանցման հաստատման (վերագրանցման) պայմանով կարող է սահմանվել՝ գրանցման հավաստագիր ունեցող անձի կողմից՝</w:t>
      </w:r>
    </w:p>
    <w:p w14:paraId="0763FA5F" w14:textId="1A622DB3" w:rsidR="00693F55" w:rsidRPr="00693F55" w:rsidRDefault="00693F55" w:rsidP="00693F55">
      <w:pPr>
        <w:rPr>
          <w:rFonts w:ascii="Sylfaen" w:hAnsi="Sylfaen"/>
          <w:sz w:val="24"/>
          <w:szCs w:val="24"/>
        </w:rPr>
      </w:pPr>
      <w:r w:rsidRPr="00693F55">
        <w:rPr>
          <w:rFonts w:ascii="Sylfaen" w:hAnsi="Sylfaen"/>
          <w:sz w:val="24"/>
          <w:szCs w:val="24"/>
        </w:rPr>
        <w:t>ա) դեղապատրաստուկի անվտանգության հետգրանցումային հետազոտությունների անցկացման պարտավորությունը տվյալ դեղապատրաստուկի կիրառման հետ կապված ռիսկերի առնչությամբ մտավախությունների առկայության դեպքում: Այն դեպքում, երբ ռիսկերը վերաբերում են ավելի քան մեկ դեղապատրաստուկին, անդամ պետությունների լիազորված մարմինները նպաստում են այդ դեղապատրաստուկների գրանցման հավաստագիր ունեցող անձանց կողմից անվտանգության համատեղ հետգրանցումային հետազոտությունների անցկացմանը.</w:t>
      </w:r>
    </w:p>
    <w:p w14:paraId="194718E6" w14:textId="437FEBB7" w:rsidR="00693F55" w:rsidRPr="00693F55" w:rsidRDefault="00693F55" w:rsidP="00693F55">
      <w:pPr>
        <w:rPr>
          <w:rFonts w:ascii="Sylfaen" w:hAnsi="Sylfaen"/>
          <w:sz w:val="24"/>
          <w:szCs w:val="24"/>
        </w:rPr>
      </w:pPr>
      <w:r w:rsidRPr="00693F55">
        <w:rPr>
          <w:rFonts w:ascii="Sylfaen" w:hAnsi="Sylfaen"/>
          <w:sz w:val="24"/>
          <w:szCs w:val="24"/>
        </w:rPr>
        <w:t xml:space="preserve">բ) դեղապատրաստուկի արդյունավետության հետգրանցումային հետազոտությունների անցկացման պարտավորությունը, եթե հիվանդության ըմբռնումն ու կլինիկական մեթոդաբանությունը ցույց են տալիս, որ արդյունավետության նախորդ գնահատականները պահանջում են էական </w:t>
      </w:r>
      <w:r w:rsidRPr="00693F55">
        <w:rPr>
          <w:rFonts w:ascii="Sylfaen" w:hAnsi="Sylfaen"/>
          <w:sz w:val="24"/>
          <w:szCs w:val="24"/>
        </w:rPr>
        <w:lastRenderedPageBreak/>
        <w:t>վերանայում։</w:t>
      </w:r>
    </w:p>
    <w:p w14:paraId="3CF66F38" w14:textId="1D82B475" w:rsidR="00693F55" w:rsidRPr="00693F55" w:rsidRDefault="00693F55" w:rsidP="00693F55">
      <w:pPr>
        <w:rPr>
          <w:rFonts w:ascii="Sylfaen" w:hAnsi="Sylfaen"/>
          <w:sz w:val="24"/>
          <w:szCs w:val="24"/>
        </w:rPr>
      </w:pPr>
      <w:r w:rsidRPr="00693F55">
        <w:rPr>
          <w:rFonts w:ascii="Sylfaen" w:hAnsi="Sylfaen"/>
          <w:sz w:val="24"/>
          <w:szCs w:val="24"/>
        </w:rPr>
        <w:t xml:space="preserve">119. Գրանցման հավաստագիր ունեցող անձն իրավունք ունի ներկայացնելու գրավոր բացատրագիր թղթային կրիչի վրա կամ էլեկտրոնային ստորագրությամբ ստորագրված էլեկտրոնային փաստաթղթի տեսքով՝ ի պատասխան սույն կանոնների 118-րդ կետով նախատեսվող պարտավորության սահմանմանը՝ լիազորված մարմնից (փորձագիտական կազմակերպությունից) պարտավորության ներմուծման մասին համապատասխան ծանուցում ստանալու օրվանից 90 աշխատանքային օրվա ընթացքում: </w:t>
      </w:r>
    </w:p>
    <w:p w14:paraId="551596A7" w14:textId="77777777" w:rsidR="00693F55" w:rsidRPr="00693F55" w:rsidRDefault="00693F55" w:rsidP="00693F55">
      <w:pPr>
        <w:rPr>
          <w:rFonts w:ascii="Sylfaen" w:hAnsi="Sylfaen"/>
          <w:sz w:val="24"/>
          <w:szCs w:val="24"/>
        </w:rPr>
      </w:pPr>
      <w:r w:rsidRPr="00693F55">
        <w:rPr>
          <w:rFonts w:ascii="Sylfaen" w:hAnsi="Sylfaen"/>
          <w:sz w:val="24"/>
          <w:szCs w:val="24"/>
        </w:rPr>
        <w:t>120. Սույն կանոնների 119-րդ կետին համապատասխան՝ դեղապատրաստուկի գրանցման հավաստագիր ունեցող անձի բացատրագրի հիման վրա լիազորված մարմինը (փորձագիտական կազմակերպությունը) պետք է չեղարկի կամ հաստատի սույն կանոնների 118-րդ կետում նշված հետազոտությունների անցկացման մասով պարտավորությունը 20 աշխատանքային օրվա ընթացքում: Նշված պարտավորության հաստատման դեպքում պետք է փոփոխվեն դեղապատրաստուկի գրանցման պայմանները (դրանցում համապատասխան դրույթների ներառման միջոցով), ինչպես նաև ռիսկերի կառավարման համակարգերը:</w:t>
      </w:r>
    </w:p>
    <w:p w14:paraId="0F245ECD" w14:textId="79979383" w:rsidR="006F76EB" w:rsidRDefault="00012E47" w:rsidP="00012E47">
      <w:pPr>
        <w:rPr>
          <w:b/>
          <w:bCs/>
          <w:i/>
          <w:iCs/>
        </w:rPr>
      </w:pPr>
      <w:r w:rsidRPr="00CD4709">
        <w:rPr>
          <w:b/>
          <w:bCs/>
          <w:i/>
          <w:iCs/>
        </w:rPr>
        <w:t>(</w:t>
      </w:r>
      <w:r>
        <w:rPr>
          <w:b/>
          <w:bCs/>
          <w:i/>
          <w:iCs/>
        </w:rPr>
        <w:t xml:space="preserve">120-րդ կետը </w:t>
      </w:r>
      <w:r w:rsidRPr="00CD4709">
        <w:rPr>
          <w:b/>
          <w:bCs/>
          <w:i/>
          <w:iCs/>
        </w:rPr>
        <w:t>փոփ. 30.01.20 թիվ 9)</w:t>
      </w:r>
    </w:p>
    <w:p w14:paraId="4703098B" w14:textId="77777777" w:rsidR="00550964" w:rsidRPr="006F28F9" w:rsidRDefault="00550964" w:rsidP="00012E47">
      <w:pPr>
        <w:rPr>
          <w:b/>
          <w:bCs/>
          <w:i/>
          <w:iCs/>
        </w:rPr>
      </w:pPr>
    </w:p>
    <w:p w14:paraId="2A99843B" w14:textId="5D9A0AA7" w:rsidR="00286A6D" w:rsidRPr="00550964" w:rsidRDefault="00286A6D" w:rsidP="00550964">
      <w:pPr>
        <w:spacing w:after="160" w:line="360" w:lineRule="auto"/>
        <w:ind w:left="567" w:right="565"/>
        <w:jc w:val="center"/>
        <w:rPr>
          <w:rFonts w:ascii="Sylfaen" w:hAnsi="Sylfaen"/>
          <w:b/>
          <w:bCs/>
          <w:sz w:val="24"/>
          <w:szCs w:val="24"/>
        </w:rPr>
      </w:pPr>
      <w:r w:rsidRPr="00550964">
        <w:rPr>
          <w:rFonts w:ascii="Sylfaen" w:hAnsi="Sylfaen"/>
          <w:b/>
          <w:bCs/>
          <w:sz w:val="24"/>
          <w:szCs w:val="24"/>
        </w:rPr>
        <w:t>VII.II. Բացառիկ դեպքերում դեղապատրաստուկի գրանցումը</w:t>
      </w:r>
      <w:r w:rsidRPr="00286A6D">
        <w:rPr>
          <w:rFonts w:ascii="Sylfaen" w:hAnsi="Sylfaen"/>
          <w:sz w:val="24"/>
          <w:szCs w:val="24"/>
        </w:rPr>
        <w:t xml:space="preserve"> </w:t>
      </w:r>
    </w:p>
    <w:p w14:paraId="5E729E4E" w14:textId="77777777" w:rsidR="00286A6D" w:rsidRPr="00286A6D" w:rsidRDefault="00286A6D" w:rsidP="00286A6D">
      <w:pPr>
        <w:spacing w:after="160" w:line="360" w:lineRule="auto"/>
        <w:ind w:left="567" w:right="565"/>
        <w:jc w:val="center"/>
        <w:rPr>
          <w:rFonts w:ascii="Sylfaen" w:hAnsi="Sylfaen"/>
          <w:sz w:val="24"/>
          <w:szCs w:val="24"/>
        </w:rPr>
      </w:pPr>
    </w:p>
    <w:p w14:paraId="3F828701" w14:textId="54C2B2D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1201. Բացառիկ դեպքերում հայտատուի հետ խորհրդատվություն անցկացնելուց հետո գրանցումը կարող է իրականացվել կոնկրետ, մասնավորապես՝ դեղապատրաստուկի անվտանգությունը շոշափող պայմաններով, այն կիրառելու հետ կապված յուրաքանչյուր միջադեպի մասին և ընդունվող միջոցների մասին անդամ պետությունների լիազորված մարմինների ծանուցմամբ: </w:t>
      </w:r>
    </w:p>
    <w:p w14:paraId="4FBE2987" w14:textId="365422AA"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Գրանցումը կարող է իրականացվել այն դեպքում, երբ հայտատուն կկարողանա ապացուցել, որ նա անկարող է տրամադրել ստուգման ենթակա օբյեկտիվ պատճառներով դեղապատրաստուկի կիրառման նորմալ պայմաններում դրա արդյունավետության և անվտանգության </w:t>
      </w:r>
      <w:r w:rsidRPr="00286A6D">
        <w:rPr>
          <w:rFonts w:ascii="Sylfaen" w:hAnsi="Sylfaen"/>
          <w:sz w:val="24"/>
          <w:szCs w:val="24"/>
        </w:rPr>
        <w:lastRenderedPageBreak/>
        <w:t xml:space="preserve">մասին սպառիչ տվյալներ, որոնք պետք է համապատասխանեն սույն կանոնների թիվ 1 հավելվածի 11-րդ բաժնում սահմանված հիմքերից մեկին: </w:t>
      </w:r>
    </w:p>
    <w:p w14:paraId="7A223DB7" w14:textId="33406E46"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Սույն կետում նկարագրված ընթացակարգերի օբյեկտ համարվող դեղապատրաստուկի՝ Միության շուկայում գտնվելու շարունակվելը պետք է պայմանավորված լինի ռեֆերենտ անդամ պետության լիազորված մարմնի (փորձագիտական կազմակերպության) կողմից տարեկան անցկացվող՝ այդպիսի պայմանների վերագնահատմամբ՝ պատրաստելով դեղապատրաստուկի գնահատման մասով փորձագիտական հաշվետվությունը: </w:t>
      </w:r>
    </w:p>
    <w:p w14:paraId="48B99ADE" w14:textId="0FD82DCA"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Սույն կետի կիրառման ընթացակարգային առանձնահատկությունները բերված են սույն կանոնների թիվ 25 հավելվածում:</w:t>
      </w:r>
    </w:p>
    <w:p w14:paraId="4C77CFF5" w14:textId="74DF3D52" w:rsidR="00286A6D" w:rsidRPr="00550964" w:rsidRDefault="00286A6D" w:rsidP="00550964">
      <w:pPr>
        <w:spacing w:after="160" w:line="360" w:lineRule="auto"/>
        <w:ind w:left="567" w:right="565"/>
        <w:jc w:val="center"/>
        <w:rPr>
          <w:rFonts w:ascii="Sylfaen" w:hAnsi="Sylfaen"/>
          <w:b/>
          <w:bCs/>
          <w:sz w:val="24"/>
          <w:szCs w:val="24"/>
        </w:rPr>
      </w:pPr>
      <w:r w:rsidRPr="00550964">
        <w:rPr>
          <w:rFonts w:ascii="Sylfaen" w:hAnsi="Sylfaen"/>
          <w:b/>
          <w:bCs/>
          <w:sz w:val="24"/>
          <w:szCs w:val="24"/>
        </w:rPr>
        <w:t>VII.III. Դեղապատրաստուկի պայմանական գրանցումը</w:t>
      </w:r>
    </w:p>
    <w:p w14:paraId="2B71D2AE"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1202. Լուրջ (ծանր) հաշմանդամ դարձնող կամ կյանքին սպառնացող հիվանդությունների բուժման, կանխարգելման կամ ախտորոշման համար նախատեսված դեղապատրաստուկների համար չբավարարված բժշկական պահանջմունքների ապահովման անհրաժեշտության հիմնավորման դեպքում գրանցումը կարող է իրականացվել մինչ հայտի ներկայացման պահի դրությամբ սույն կանոնների թիվ 1 հավելվածի 5-րդ բաժնով նախատեսված սպառիչ կլինիկական տվյալներ ներկայացնելը՝ պայմանով, որ դիտարկվող դեղապատրաստուկի՝ շուկայում առավել վաղ մատչելիությունից օգուտը գերազանցում է սպառիչ տվյալների բացակայության հետ կապված ռիսկը: Նման դեղապատրաստուկների ծայրահեղ անհրաժեշտության դեպքում դրանց գրանցումը կարող է անցկացվել առանց սպառիչ նախակլինիկական և կենսադեղագործական տվյալների տրամադրման: </w:t>
      </w:r>
    </w:p>
    <w:p w14:paraId="48AC2D89" w14:textId="77777777" w:rsidR="00286A6D" w:rsidRPr="00286A6D" w:rsidRDefault="00286A6D" w:rsidP="00286A6D">
      <w:pPr>
        <w:spacing w:after="160" w:line="360" w:lineRule="auto"/>
        <w:ind w:left="567" w:right="565"/>
        <w:jc w:val="center"/>
        <w:rPr>
          <w:rFonts w:ascii="Sylfaen" w:hAnsi="Sylfaen"/>
          <w:sz w:val="24"/>
          <w:szCs w:val="24"/>
        </w:rPr>
      </w:pPr>
    </w:p>
    <w:p w14:paraId="2874D6F8" w14:textId="17490265"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lastRenderedPageBreak/>
        <w:t xml:space="preserve">1203. Սույն ենթաբաժնի նպատակներով «չբավարարված բժշկական պահանջմունքների» տակ հասկացվում է մի վիճակ, որի համար Միությունում չկա լիազորված մարմինների կողմից հավանության արժանացած՝ ախտորոշման, կանխարգելման կամ բուժման թույլատրված և ճանաչված արդյունավետ մեթոդ, կամ պայմանական գրանցմանը ներկայացվող դեղապատրաստուկի կիրառումը կունենա զգալի առավելություն լիազորված մարմինների կողմից արդեն իսկ հավանության արժանացած՝ ախտորոշման, կանխարգելման կամ բուժման մեթոդի նկատմամբ: </w:t>
      </w:r>
    </w:p>
    <w:p w14:paraId="2567AD1B"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1204. Պայմանական գրանցումը կարող է միայն իրականացվել, եթե դեղապատրաստուկի «օգուտ-ռիսկ» հարաբերակցությունը դրական է, ինչպես նաև եթե հայտատուն հավանաբար կկարողանա պայմանական գրանցման ընթացակարգն անցկացնելուց հետո ներկայացնել դեղապատրաստուկի անվտանգության արդյունավետության և որակի մասով պակասող սպառիչ տվյալներ: </w:t>
      </w:r>
    </w:p>
    <w:p w14:paraId="1568A374" w14:textId="77777777" w:rsidR="00286A6D" w:rsidRPr="00286A6D" w:rsidRDefault="00286A6D" w:rsidP="00286A6D">
      <w:pPr>
        <w:spacing w:after="160" w:line="360" w:lineRule="auto"/>
        <w:ind w:left="567" w:right="565"/>
        <w:rPr>
          <w:rFonts w:ascii="Sylfaen" w:hAnsi="Sylfaen"/>
          <w:sz w:val="24"/>
          <w:szCs w:val="24"/>
        </w:rPr>
      </w:pPr>
    </w:p>
    <w:p w14:paraId="6A5346EB"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1205. Պայմանական գրանցումը պետք է ուղեկցվի գրանցման հավաստագիր ունեցող անձի կողմից հատուկ պայմանների կատարմամբ: Այդ հատուկ պայմանները և դրանց կատարման վերջնաժամկետը՝ որպես գրանցման պայմաններ, սահմանվում են անդամ պետության լիազորված մարմնի կողմից և ենթակա են այդ լիազորված մարմնի կողմից տարեկան գնահատման:</w:t>
      </w:r>
    </w:p>
    <w:p w14:paraId="17D4A4E7" w14:textId="77777777" w:rsidR="00286A6D" w:rsidRPr="00286A6D" w:rsidRDefault="00286A6D" w:rsidP="00286A6D">
      <w:pPr>
        <w:spacing w:after="160" w:line="360" w:lineRule="auto"/>
        <w:ind w:left="567" w:right="565"/>
        <w:rPr>
          <w:rFonts w:ascii="Sylfaen" w:hAnsi="Sylfaen"/>
          <w:sz w:val="24"/>
          <w:szCs w:val="24"/>
        </w:rPr>
      </w:pPr>
    </w:p>
    <w:p w14:paraId="53C6EB3D"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1206. 1205-րդ կետում նշված հատուկ պայմանների շրջանակներում սույն բաժնին համապատասխան տրված գրանցման հավաստագիր ունեցող անձին անհրաժեշտ է պարտավորեցնել ավարտել անցկացվող հետազոտությունները կամ անցկացնել նոր հետազոտություններ «օգուտ-ռիսկ» դրական հարաբերակցությունը հաստատելու </w:t>
      </w:r>
      <w:r w:rsidRPr="00286A6D">
        <w:rPr>
          <w:rFonts w:ascii="Sylfaen" w:hAnsi="Sylfaen"/>
          <w:sz w:val="24"/>
          <w:szCs w:val="24"/>
        </w:rPr>
        <w:lastRenderedPageBreak/>
        <w:t>նպատակով:</w:t>
      </w:r>
    </w:p>
    <w:p w14:paraId="113B5B47" w14:textId="77777777" w:rsidR="00286A6D" w:rsidRPr="00286A6D" w:rsidRDefault="00286A6D" w:rsidP="00286A6D">
      <w:pPr>
        <w:spacing w:after="160" w:line="360" w:lineRule="auto"/>
        <w:ind w:left="567" w:right="565"/>
        <w:rPr>
          <w:rFonts w:ascii="Sylfaen" w:hAnsi="Sylfaen"/>
          <w:sz w:val="24"/>
          <w:szCs w:val="24"/>
        </w:rPr>
      </w:pPr>
    </w:p>
    <w:p w14:paraId="2D297DA6"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1207. ԴՊԸԲ-ն և բժշկական կիրառման հրահանգը (ներդիր-թերթիկը) պետք է պարունակեն հստակ ձևակերպում այն մասին, որ դեղապատրաստուկի գրանցումն իրականացվել է սույն կանոնների 1205-րդ կետին համապատասխան՝ հատուկ պայմանների կատարման պայմանով:</w:t>
      </w:r>
    </w:p>
    <w:p w14:paraId="2BC60E64" w14:textId="77777777" w:rsidR="00286A6D" w:rsidRPr="00286A6D" w:rsidRDefault="00286A6D" w:rsidP="00286A6D">
      <w:pPr>
        <w:spacing w:after="160" w:line="360" w:lineRule="auto"/>
        <w:ind w:left="567" w:right="565"/>
        <w:rPr>
          <w:rFonts w:ascii="Sylfaen" w:hAnsi="Sylfaen"/>
          <w:sz w:val="24"/>
          <w:szCs w:val="24"/>
        </w:rPr>
      </w:pPr>
    </w:p>
    <w:p w14:paraId="6822D7EF"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1208. Սույն բաժնին համապատասխան իրականացված գրանցումը վավեր է 1 տարվա ընթացքում և պահանջում է գրանցման հաստատում (վերագնահատում)՝ տարեկան կտրվածքով «օգուտ-ռիսկ» հարաբերակցության վերագնահատմամբ:</w:t>
      </w:r>
    </w:p>
    <w:p w14:paraId="1BC2E237" w14:textId="77777777" w:rsidR="00286A6D" w:rsidRPr="00286A6D" w:rsidRDefault="00286A6D" w:rsidP="00286A6D">
      <w:pPr>
        <w:spacing w:after="160" w:line="360" w:lineRule="auto"/>
        <w:ind w:left="567" w:right="565"/>
        <w:rPr>
          <w:rFonts w:ascii="Sylfaen" w:hAnsi="Sylfaen"/>
          <w:sz w:val="24"/>
          <w:szCs w:val="24"/>
        </w:rPr>
      </w:pPr>
    </w:p>
    <w:p w14:paraId="5851D9B1" w14:textId="2AA006B2" w:rsidR="00286A6D" w:rsidRPr="00286A6D" w:rsidRDefault="00286A6D" w:rsidP="0018755E">
      <w:pPr>
        <w:spacing w:after="160" w:line="360" w:lineRule="auto"/>
        <w:ind w:left="567" w:right="565"/>
        <w:rPr>
          <w:rFonts w:ascii="Sylfaen" w:hAnsi="Sylfaen"/>
          <w:sz w:val="24"/>
          <w:szCs w:val="24"/>
        </w:rPr>
      </w:pPr>
      <w:r w:rsidRPr="00286A6D">
        <w:rPr>
          <w:rFonts w:ascii="Sylfaen" w:hAnsi="Sylfaen"/>
          <w:sz w:val="24"/>
          <w:szCs w:val="24"/>
        </w:rPr>
        <w:t xml:space="preserve">1209. Եթե սույն կանոնների 1205-րդ կետում նշված հատուկ պայմանները կատարված են, ապա անդամ պետության լիազորված մարմինն իրավունք ունի գրանցման հավաստագիր ունեցող անձի հայտի համաձայն և փորձագիտական կազմակերպության դրական եզրակացությունն ստանալուց հետո տալու 5 տարվա ընթացքում վավեր և սույն կանոնների VIII բաժնին համապատասխան վերագրանցման ենթակա գրանցման հավաստագիր: </w:t>
      </w:r>
    </w:p>
    <w:p w14:paraId="79A670C4" w14:textId="1B3FE8BA" w:rsidR="00286A6D" w:rsidRPr="00286A6D" w:rsidRDefault="00286A6D" w:rsidP="0018755E">
      <w:pPr>
        <w:spacing w:after="160" w:line="360" w:lineRule="auto"/>
        <w:ind w:left="567" w:right="565"/>
        <w:rPr>
          <w:rFonts w:ascii="Sylfaen" w:hAnsi="Sylfaen"/>
          <w:sz w:val="24"/>
          <w:szCs w:val="24"/>
        </w:rPr>
      </w:pPr>
      <w:r w:rsidRPr="00286A6D">
        <w:rPr>
          <w:rFonts w:ascii="Sylfaen" w:hAnsi="Sylfaen"/>
          <w:sz w:val="24"/>
          <w:szCs w:val="24"/>
        </w:rPr>
        <w:t>12010. Սույն բաժնին համապատասխան գրանցման ընթացակարգերի, չափանիշների և պահանջների բնութագիրը բերված է սույն կանոնների թիվ 26 հավելվածում:</w:t>
      </w:r>
    </w:p>
    <w:p w14:paraId="3EAFE985" w14:textId="7DCFDEB7" w:rsidR="00286A6D" w:rsidRPr="00550964" w:rsidRDefault="00286A6D" w:rsidP="0018755E">
      <w:pPr>
        <w:spacing w:after="160" w:line="360" w:lineRule="auto"/>
        <w:ind w:left="567" w:right="565"/>
        <w:jc w:val="center"/>
        <w:rPr>
          <w:rFonts w:ascii="Sylfaen" w:hAnsi="Sylfaen"/>
          <w:b/>
          <w:bCs/>
          <w:sz w:val="24"/>
          <w:szCs w:val="24"/>
        </w:rPr>
      </w:pPr>
      <w:r w:rsidRPr="00550964">
        <w:rPr>
          <w:rFonts w:ascii="Sylfaen" w:hAnsi="Sylfaen"/>
          <w:b/>
          <w:bCs/>
          <w:sz w:val="24"/>
          <w:szCs w:val="24"/>
        </w:rPr>
        <w:t>VII.IV. Դեղապատրաստուկի արագացված փորձաքննություն</w:t>
      </w:r>
    </w:p>
    <w:p w14:paraId="3EAF4D28" w14:textId="02513E2A"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12011. Դեղապատրաստուկների արագացված փորձաքննությունը կիրառվում է՝</w:t>
      </w:r>
    </w:p>
    <w:p w14:paraId="52A58503" w14:textId="32084524"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lastRenderedPageBreak/>
        <w:t>օրֆանային դեղապատրաստուկների,</w:t>
      </w:r>
    </w:p>
    <w:p w14:paraId="3B53BB0C" w14:textId="3AF3B234"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բացառապես անչափահասների կողմից կիրառման համար նախատեսված դեղապատրաստուկների,</w:t>
      </w:r>
    </w:p>
    <w:p w14:paraId="163B8637"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բնակչության առողջության համար հատուկ կարևորություն ներկայացնող դեղապատրաստուկների մասով, մասնավորապես այն անդամ պետության լիազորված մարմնի դիմումի հիման վրա Դեղամիջոցների գծով փորձագիտական կոմիտեի կողմից որոշվող՝ անդամ պետություններում բուժօգնության ցուցաբերման արդյունավետ մեթոդների բացակայության դեպքում, որտեղ մինչև գրանցման հայտը ներկայացնելը տրվել է հայտատուի դիմումը դեղապատրաստուկի հատուկ կարևորության մասին: </w:t>
      </w:r>
    </w:p>
    <w:p w14:paraId="0498B111" w14:textId="77777777" w:rsidR="00286A6D" w:rsidRPr="00286A6D" w:rsidRDefault="00286A6D" w:rsidP="00286A6D">
      <w:pPr>
        <w:spacing w:after="160" w:line="360" w:lineRule="auto"/>
        <w:ind w:left="567" w:right="565"/>
        <w:rPr>
          <w:rFonts w:ascii="Sylfaen" w:hAnsi="Sylfaen"/>
          <w:sz w:val="24"/>
          <w:szCs w:val="24"/>
        </w:rPr>
      </w:pPr>
    </w:p>
    <w:p w14:paraId="1B51550C" w14:textId="05557845"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Ռեֆերենտ պետությունում դեղապատրաստուկի գրանցման և փորձաքննության անցկացման ժամկետը չպետք է գերազանցի դեղապատրաստուկի գրանցման հայտը ներկայացնելու օրվանից մինչև գրանցման հավաստագրի տրամադրման օրը 100 աշխատանքային օրը:</w:t>
      </w:r>
    </w:p>
    <w:p w14:paraId="1A38608A"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Դեղապատրաստուկի արագացված փորձաքննության անցկացման մասին դիմումի քննարկման ընթացակարգը բերված է սույն կանոնների թիվ 27 հավելվածում:</w:t>
      </w:r>
    </w:p>
    <w:p w14:paraId="7FDC43EE" w14:textId="77777777" w:rsidR="00286A6D" w:rsidRPr="00286A6D" w:rsidRDefault="00286A6D" w:rsidP="00286A6D">
      <w:pPr>
        <w:spacing w:after="160" w:line="360" w:lineRule="auto"/>
        <w:ind w:left="567" w:right="565"/>
        <w:rPr>
          <w:rFonts w:ascii="Sylfaen" w:hAnsi="Sylfaen"/>
          <w:sz w:val="24"/>
          <w:szCs w:val="24"/>
        </w:rPr>
      </w:pPr>
    </w:p>
    <w:p w14:paraId="4026EB56"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 </w:t>
      </w:r>
    </w:p>
    <w:p w14:paraId="71D44CC9" w14:textId="2B2A002D" w:rsidR="00286A6D" w:rsidRPr="00550964" w:rsidRDefault="00286A6D" w:rsidP="00550964">
      <w:pPr>
        <w:spacing w:after="160" w:line="360" w:lineRule="auto"/>
        <w:ind w:left="567" w:right="565"/>
        <w:jc w:val="center"/>
        <w:rPr>
          <w:rFonts w:ascii="Sylfaen" w:hAnsi="Sylfaen"/>
          <w:b/>
          <w:bCs/>
          <w:sz w:val="24"/>
          <w:szCs w:val="24"/>
        </w:rPr>
      </w:pPr>
      <w:r w:rsidRPr="00550964">
        <w:rPr>
          <w:rFonts w:ascii="Sylfaen" w:hAnsi="Sylfaen"/>
          <w:b/>
          <w:bCs/>
          <w:sz w:val="24"/>
          <w:szCs w:val="24"/>
        </w:rPr>
        <w:t>VII.V. Ընդհանուր դրույթներ</w:t>
      </w:r>
    </w:p>
    <w:p w14:paraId="1266E45B" w14:textId="6AAD8B7B" w:rsid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12012. Ռեֆերենտ պետության լիազորված մարմինը (փորձագիտական</w:t>
      </w:r>
      <w:r>
        <w:rPr>
          <w:rFonts w:ascii="Sylfaen" w:hAnsi="Sylfaen"/>
          <w:sz w:val="24"/>
          <w:szCs w:val="24"/>
        </w:rPr>
        <w:t xml:space="preserve"> </w:t>
      </w:r>
      <w:r w:rsidRPr="00286A6D">
        <w:rPr>
          <w:rFonts w:ascii="Sylfaen" w:hAnsi="Sylfaen"/>
          <w:sz w:val="24"/>
          <w:szCs w:val="24"/>
        </w:rPr>
        <w:t xml:space="preserve">կազմակերպությունը) գործում է սույն կանոնների X բաժնի դրույթներին համապատասխան՝ գրանցման հավաստագիր ունեցող անձի կողմից սույն բաժնի դրույթներին համապատասխան՝ ուսումնասիրվող </w:t>
      </w:r>
      <w:r w:rsidRPr="00286A6D">
        <w:rPr>
          <w:rFonts w:ascii="Sylfaen" w:hAnsi="Sylfaen"/>
          <w:sz w:val="24"/>
          <w:szCs w:val="24"/>
        </w:rPr>
        <w:lastRenderedPageBreak/>
        <w:t>դեղապատրաստուկների գրանցման և գրանցման հետ կապված ընթացակարգեր իրականացնելիս դրանց նկատմամբ ռեֆերենտ պետության լիազորված մարմնի (փորձագիտական կազմակերպության) կողմից սահմանված լրացուցիչ պահանջների կամ պարտավորությունները չկատարելու դեպքում</w:t>
      </w:r>
      <w:r>
        <w:rPr>
          <w:rFonts w:ascii="Sylfaen" w:hAnsi="Sylfaen"/>
          <w:sz w:val="24"/>
          <w:szCs w:val="24"/>
        </w:rPr>
        <w:t>:</w:t>
      </w:r>
    </w:p>
    <w:p w14:paraId="3E84CD4A" w14:textId="7A4FC9D2" w:rsidR="00550964" w:rsidRDefault="00550964" w:rsidP="00550964">
      <w:pPr>
        <w:spacing w:after="160" w:line="360" w:lineRule="auto"/>
        <w:ind w:left="567" w:right="565"/>
        <w:rPr>
          <w:rFonts w:ascii="Sylfaen" w:hAnsi="Sylfaen"/>
          <w:b/>
          <w:bCs/>
          <w:i/>
          <w:iCs/>
        </w:rPr>
      </w:pPr>
      <w:r w:rsidRPr="00550964">
        <w:rPr>
          <w:rFonts w:ascii="Sylfaen" w:hAnsi="Sylfaen"/>
          <w:b/>
          <w:bCs/>
          <w:i/>
          <w:iCs/>
        </w:rPr>
        <w:t>(</w:t>
      </w:r>
      <w:r w:rsidRPr="00550964">
        <w:rPr>
          <w:rFonts w:ascii="Sylfaen" w:hAnsi="Sylfaen"/>
          <w:b/>
          <w:bCs/>
          <w:i/>
          <w:iCs/>
          <w:sz w:val="24"/>
          <w:szCs w:val="24"/>
        </w:rPr>
        <w:t>VII</w:t>
      </w:r>
      <w:r w:rsidRPr="00550964">
        <w:rPr>
          <w:rFonts w:ascii="Sylfaen" w:hAnsi="Sylfaen"/>
          <w:b/>
          <w:bCs/>
          <w:sz w:val="24"/>
          <w:szCs w:val="24"/>
        </w:rPr>
        <w:t xml:space="preserve">. </w:t>
      </w:r>
      <w:r w:rsidRPr="00550964">
        <w:rPr>
          <w:rFonts w:ascii="Sylfaen" w:hAnsi="Sylfaen"/>
          <w:b/>
          <w:bCs/>
          <w:i/>
          <w:iCs/>
          <w:sz w:val="24"/>
          <w:szCs w:val="24"/>
        </w:rPr>
        <w:t>բաժինը</w:t>
      </w:r>
      <w:r w:rsidRPr="00550964">
        <w:rPr>
          <w:rFonts w:ascii="Sylfaen" w:hAnsi="Sylfaen"/>
          <w:b/>
          <w:bCs/>
          <w:i/>
          <w:iCs/>
        </w:rPr>
        <w:t xml:space="preserve">  խմբ. 17.03.22 թիվ 36 )</w:t>
      </w:r>
    </w:p>
    <w:p w14:paraId="61FE7818" w14:textId="7A5225D4" w:rsidR="00D25F26" w:rsidRDefault="00D25F26" w:rsidP="00550964">
      <w:pPr>
        <w:spacing w:after="160" w:line="360" w:lineRule="auto"/>
        <w:ind w:left="567" w:right="565"/>
        <w:rPr>
          <w:rFonts w:ascii="Sylfaen" w:hAnsi="Sylfaen"/>
          <w:b/>
          <w:bCs/>
          <w:i/>
          <w:iCs/>
        </w:rPr>
      </w:pPr>
    </w:p>
    <w:p w14:paraId="69D9FA80" w14:textId="77777777" w:rsidR="00D25F26" w:rsidRPr="00834D52" w:rsidRDefault="00D25F26" w:rsidP="00D25F26">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VIII. Դեղապատրաստուկի գրանցման հաստատումը </w:t>
      </w:r>
      <w:r w:rsidRPr="00F102EA">
        <w:rPr>
          <w:rFonts w:ascii="Sylfaen" w:hAnsi="Sylfaen"/>
          <w:sz w:val="24"/>
          <w:szCs w:val="24"/>
        </w:rPr>
        <w:br/>
      </w:r>
      <w:r w:rsidRPr="00834D52">
        <w:rPr>
          <w:rFonts w:ascii="Sylfaen" w:hAnsi="Sylfaen"/>
          <w:sz w:val="24"/>
          <w:szCs w:val="24"/>
        </w:rPr>
        <w:t>(վերագրանցումը)</w:t>
      </w:r>
    </w:p>
    <w:p w14:paraId="6A6BF1F0" w14:textId="77777777"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 xml:space="preserve">Բոլոր այն անդամ պետությունների համար, որտեղ դեղապատրաստուկը գրանցված է, դրա գրանցման հաստատման (վերագրանցման) ամսաթիվը որոշվում է </w:t>
      </w:r>
      <w:r>
        <w:rPr>
          <w:rFonts w:ascii="Sylfaen" w:hAnsi="Sylfaen"/>
          <w:sz w:val="24"/>
          <w:szCs w:val="24"/>
        </w:rPr>
        <w:t xml:space="preserve">ռեֆերենտ </w:t>
      </w:r>
      <w:r w:rsidRPr="00834D52">
        <w:rPr>
          <w:rFonts w:ascii="Sylfaen" w:hAnsi="Sylfaen"/>
          <w:sz w:val="24"/>
          <w:szCs w:val="24"/>
        </w:rPr>
        <w:t>պետությունում փոխադարձ ճանաչման ընթացակարգով կամ ապակենտրոնացված ընթացակարգով դեղապատրաստուկի գրանցման ամսաթվով։</w:t>
      </w:r>
    </w:p>
    <w:p w14:paraId="4A2D848A" w14:textId="77777777" w:rsidR="00D25F26" w:rsidRPr="00834D52" w:rsidRDefault="00D25F26" w:rsidP="00D25F26">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Այն դեղապատրաստուկների համար, որոնք որ</w:t>
      </w:r>
      <w:r>
        <w:rPr>
          <w:rFonts w:ascii="Sylfaen" w:hAnsi="Sylfaen"/>
          <w:sz w:val="24"/>
          <w:szCs w:val="24"/>
        </w:rPr>
        <w:t>և</w:t>
      </w:r>
      <w:r w:rsidRPr="00834D52">
        <w:rPr>
          <w:rFonts w:ascii="Sylfaen" w:hAnsi="Sylfaen"/>
          <w:sz w:val="24"/>
          <w:szCs w:val="24"/>
        </w:rPr>
        <w:t>է անդամ պետության տարածքում վերջինիս օրենսդրությամբ ճանաչված չեն որպես հազվադեպ կիրառվող («որբ»), գրանցման հաստատման (վերագրանցման) ամսաթիվը որոշվում է Միության տվյալ անդամ պետությունում փոխադարձ ճանաչման ընթացակարգով այդ դեղապատրաստուկի գրանցման ամսաթվով։</w:t>
      </w:r>
    </w:p>
    <w:p w14:paraId="4F4281BE" w14:textId="77777777" w:rsidR="00D25F26" w:rsidRPr="00834D52" w:rsidRDefault="00D25F26" w:rsidP="00D25F26">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122.</w:t>
      </w:r>
      <w:r w:rsidRPr="00834D52">
        <w:rPr>
          <w:rFonts w:ascii="Sylfaen" w:hAnsi="Sylfaen"/>
          <w:sz w:val="24"/>
          <w:szCs w:val="24"/>
        </w:rPr>
        <w:tab/>
        <w:t>Գրանցման հաստատումը</w:t>
      </w:r>
      <w:r w:rsidRPr="00E90FAF">
        <w:rPr>
          <w:rFonts w:ascii="Sylfaen" w:hAnsi="Sylfaen"/>
          <w:sz w:val="24"/>
          <w:szCs w:val="24"/>
        </w:rPr>
        <w:t xml:space="preserve"> </w:t>
      </w:r>
      <w:r w:rsidRPr="00834D52">
        <w:rPr>
          <w:rFonts w:ascii="Sylfaen" w:hAnsi="Sylfaen"/>
          <w:sz w:val="24"/>
          <w:szCs w:val="24"/>
        </w:rPr>
        <w:t xml:space="preserve">(վերագրանցումը) իրականացվում է </w:t>
      </w:r>
      <w:r>
        <w:rPr>
          <w:rFonts w:ascii="Sylfaen" w:hAnsi="Sylfaen"/>
          <w:sz w:val="24"/>
          <w:szCs w:val="24"/>
        </w:rPr>
        <w:t xml:space="preserve">ռեֆերենտ </w:t>
      </w:r>
      <w:r w:rsidRPr="00834D52">
        <w:rPr>
          <w:rFonts w:ascii="Sylfaen" w:hAnsi="Sylfaen"/>
          <w:sz w:val="24"/>
          <w:szCs w:val="24"/>
        </w:rPr>
        <w:t xml:space="preserve">անդամ պետության լիազորված մարմնի (փորձագիտական կազմակերպության) կողմից անցկացվող </w:t>
      </w:r>
      <w:r w:rsidRPr="00E90FAF">
        <w:rPr>
          <w:rFonts w:ascii="Sylfaen" w:hAnsi="Sylfaen"/>
          <w:sz w:val="24"/>
          <w:szCs w:val="24"/>
        </w:rPr>
        <w:t>«</w:t>
      </w:r>
      <w:r w:rsidRPr="00834D52">
        <w:rPr>
          <w:rFonts w:ascii="Sylfaen" w:hAnsi="Sylfaen"/>
          <w:sz w:val="24"/>
          <w:szCs w:val="24"/>
        </w:rPr>
        <w:t>օգուտ</w:t>
      </w:r>
      <w:r w:rsidRPr="008341C7">
        <w:rPr>
          <w:rFonts w:ascii="Sylfaen" w:hAnsi="Sylfaen"/>
          <w:sz w:val="24"/>
          <w:szCs w:val="24"/>
        </w:rPr>
        <w:t>-</w:t>
      </w:r>
      <w:r w:rsidRPr="00834D52">
        <w:rPr>
          <w:rFonts w:ascii="Sylfaen" w:hAnsi="Sylfaen"/>
          <w:sz w:val="24"/>
          <w:szCs w:val="24"/>
        </w:rPr>
        <w:t>ռիսկ</w:t>
      </w:r>
      <w:r w:rsidRPr="00E90FAF">
        <w:rPr>
          <w:rFonts w:ascii="Sylfaen" w:hAnsi="Sylfaen"/>
          <w:sz w:val="24"/>
          <w:szCs w:val="24"/>
        </w:rPr>
        <w:t>»</w:t>
      </w:r>
      <w:r w:rsidRPr="00834D52">
        <w:rPr>
          <w:rFonts w:ascii="Sylfaen" w:hAnsi="Sylfaen"/>
          <w:sz w:val="24"/>
          <w:szCs w:val="24"/>
        </w:rPr>
        <w:t xml:space="preserve"> հարաբերակցության վերագնահատման հիման վրա՝ դեղապատրաստուկի գնահատման վերաբերյալ փորձագիտական հաշվետվություն պատրաստելով:</w:t>
      </w:r>
    </w:p>
    <w:p w14:paraId="4578272C" w14:textId="77777777" w:rsidR="00D25F26" w:rsidRPr="00834D52" w:rsidRDefault="00D25F26" w:rsidP="00D25F26">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հաստատման (վերագրանցման) ժամանակ դեղապատրաստուկի փորձաքննությունն իրականացվում է՝</w:t>
      </w:r>
    </w:p>
    <w:p w14:paraId="2D8391F6" w14:textId="77777777" w:rsidR="00D25F26" w:rsidRPr="00834D52" w:rsidRDefault="00D25F26" w:rsidP="00D25F26">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դիմում</w:t>
      </w:r>
      <w:r w:rsidRPr="00834D52">
        <w:rPr>
          <w:rFonts w:ascii="Sylfaen" w:hAnsi="Sylfaen"/>
          <w:sz w:val="24"/>
          <w:szCs w:val="24"/>
        </w:rPr>
        <w:t xml:space="preserve">ի, գրանցման դոսյեի փաստաթղթերի </w:t>
      </w:r>
      <w:r>
        <w:rPr>
          <w:rFonts w:ascii="Sylfaen" w:hAnsi="Sylfaen"/>
          <w:sz w:val="24"/>
          <w:szCs w:val="24"/>
        </w:rPr>
        <w:t>և</w:t>
      </w:r>
      <w:r w:rsidRPr="00834D52">
        <w:rPr>
          <w:rFonts w:ascii="Sylfaen" w:hAnsi="Sylfaen"/>
          <w:sz w:val="24"/>
          <w:szCs w:val="24"/>
        </w:rPr>
        <w:t xml:space="preserve"> տվյալների քննության միջոցով,</w:t>
      </w:r>
    </w:p>
    <w:p w14:paraId="2B834F14" w14:textId="77777777" w:rsidR="00D25F26" w:rsidRPr="00834D52" w:rsidRDefault="00D25F26" w:rsidP="00D25F26">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lastRenderedPageBreak/>
        <w:t xml:space="preserve">ռեֆերենտ </w:t>
      </w:r>
      <w:r w:rsidRPr="00834D52">
        <w:rPr>
          <w:rFonts w:ascii="Sylfaen" w:hAnsi="Sylfaen"/>
          <w:sz w:val="24"/>
          <w:szCs w:val="24"/>
        </w:rPr>
        <w:t>պետության պատրաստած գնահատման վերաբերյալ փորձագիտական հաշվետվության քննության միջոցով։</w:t>
      </w:r>
    </w:p>
    <w:p w14:paraId="677D7B65" w14:textId="77777777" w:rsidR="00D25F26" w:rsidRDefault="00D25F26" w:rsidP="00D25F26">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Դեղապատրաստուկի գրանցման հաստատման (վերագրանցման) ընթացակարգն անցկացնելու ժամանակահատվածում թույլատրվում է դրա շրջանառությունը Միության տարածքում։</w:t>
      </w:r>
    </w:p>
    <w:p w14:paraId="53F3B652" w14:textId="77777777" w:rsidR="00D25F26" w:rsidRPr="006F28F9" w:rsidRDefault="00D25F26" w:rsidP="00D25F26">
      <w:pPr>
        <w:rPr>
          <w:b/>
          <w:bCs/>
          <w:i/>
          <w:iCs/>
        </w:rPr>
      </w:pPr>
      <w:r w:rsidRPr="00CD4709">
        <w:rPr>
          <w:b/>
          <w:bCs/>
          <w:i/>
          <w:iCs/>
        </w:rPr>
        <w:t>(</w:t>
      </w:r>
      <w:r>
        <w:rPr>
          <w:b/>
          <w:bCs/>
          <w:i/>
          <w:iCs/>
        </w:rPr>
        <w:t xml:space="preserve">122-րդ կետը </w:t>
      </w:r>
      <w:r w:rsidRPr="00CD4709">
        <w:rPr>
          <w:b/>
          <w:bCs/>
          <w:i/>
          <w:iCs/>
        </w:rPr>
        <w:t>փոփ. 30.01.20 թիվ 9)</w:t>
      </w:r>
    </w:p>
    <w:p w14:paraId="47A63F74" w14:textId="77777777" w:rsidR="00D25F26" w:rsidRDefault="00D25F26" w:rsidP="00D25F26">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123.</w:t>
      </w:r>
      <w:r w:rsidRPr="00834D52">
        <w:rPr>
          <w:rFonts w:ascii="Sylfaen" w:hAnsi="Sylfaen"/>
          <w:sz w:val="24"/>
          <w:szCs w:val="24"/>
        </w:rPr>
        <w:tab/>
      </w:r>
      <w:r>
        <w:rPr>
          <w:rFonts w:ascii="Sylfaen" w:hAnsi="Sylfaen"/>
          <w:sz w:val="24"/>
          <w:szCs w:val="24"/>
        </w:rPr>
        <w:t>Դիմումատու</w:t>
      </w:r>
      <w:r w:rsidRPr="00834D52">
        <w:rPr>
          <w:rFonts w:ascii="Sylfaen" w:hAnsi="Sylfaen"/>
          <w:sz w:val="24"/>
          <w:szCs w:val="24"/>
        </w:rPr>
        <w:t xml:space="preserve">ն գրանցման հաստատման (վերագրանցման) </w:t>
      </w:r>
      <w:r>
        <w:rPr>
          <w:rFonts w:ascii="Sylfaen" w:hAnsi="Sylfaen"/>
          <w:sz w:val="24"/>
          <w:szCs w:val="24"/>
        </w:rPr>
        <w:t>դիմումներ</w:t>
      </w:r>
      <w:r w:rsidRPr="00834D52">
        <w:rPr>
          <w:rFonts w:ascii="Sylfaen" w:hAnsi="Sylfaen"/>
          <w:sz w:val="24"/>
          <w:szCs w:val="24"/>
        </w:rPr>
        <w:t xml:space="preserve"> է ներկայացնում բոլոր այն անդամ պետություններ, որտեղ գրանցված է դեղապատրաստուկը։</w:t>
      </w:r>
    </w:p>
    <w:p w14:paraId="4FDD32E9" w14:textId="77777777" w:rsidR="00D25F26" w:rsidRPr="006F28F9" w:rsidRDefault="00D25F26" w:rsidP="00D25F26">
      <w:pPr>
        <w:rPr>
          <w:b/>
          <w:bCs/>
          <w:i/>
          <w:iCs/>
        </w:rPr>
      </w:pPr>
      <w:r w:rsidRPr="00CD4709">
        <w:rPr>
          <w:b/>
          <w:bCs/>
          <w:i/>
          <w:iCs/>
        </w:rPr>
        <w:t>(</w:t>
      </w:r>
      <w:r>
        <w:rPr>
          <w:b/>
          <w:bCs/>
          <w:i/>
          <w:iCs/>
        </w:rPr>
        <w:t xml:space="preserve">123-րդ կետը </w:t>
      </w:r>
      <w:r w:rsidRPr="00CD4709">
        <w:rPr>
          <w:b/>
          <w:bCs/>
          <w:i/>
          <w:iCs/>
        </w:rPr>
        <w:t>փոփ. 30.01.20 թիվ 9)</w:t>
      </w:r>
    </w:p>
    <w:p w14:paraId="73F6F274" w14:textId="77777777"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124.</w:t>
      </w:r>
      <w:r w:rsidRPr="00834D52">
        <w:rPr>
          <w:rFonts w:ascii="Sylfaen" w:hAnsi="Sylfaen"/>
          <w:sz w:val="24"/>
          <w:szCs w:val="24"/>
        </w:rPr>
        <w:tab/>
        <w:t>Եթե դեղապատրաստուկի գրանցման հավաստագրի իրավատերը մինչ</w:t>
      </w:r>
      <w:r>
        <w:rPr>
          <w:rFonts w:ascii="Sylfaen" w:hAnsi="Sylfaen"/>
          <w:sz w:val="24"/>
          <w:szCs w:val="24"/>
        </w:rPr>
        <w:t>և</w:t>
      </w:r>
      <w:r w:rsidRPr="00834D52">
        <w:rPr>
          <w:rFonts w:ascii="Sylfaen" w:hAnsi="Sylfaen"/>
          <w:sz w:val="24"/>
          <w:szCs w:val="24"/>
        </w:rPr>
        <w:t xml:space="preserve"> գրանցման հավաստագրի գործողության ժամկետի ավարտը գրանցման հաստատման (վերագրանցման) </w:t>
      </w:r>
      <w:r>
        <w:rPr>
          <w:rFonts w:ascii="Sylfaen" w:hAnsi="Sylfaen"/>
          <w:sz w:val="24"/>
          <w:szCs w:val="24"/>
        </w:rPr>
        <w:t>դիմում</w:t>
      </w:r>
      <w:r w:rsidRPr="00834D52">
        <w:rPr>
          <w:rFonts w:ascii="Sylfaen" w:hAnsi="Sylfaen"/>
          <w:sz w:val="24"/>
          <w:szCs w:val="24"/>
        </w:rPr>
        <w:t xml:space="preserve"> չի ներկայացնում, ապա դեղապատրաստուկի գրանցման հավաստագիրը ճանաչվում է անվավեր։</w:t>
      </w:r>
    </w:p>
    <w:p w14:paraId="63C035DD" w14:textId="77777777" w:rsidR="00D25F26" w:rsidRPr="006F28F9" w:rsidRDefault="00D25F26" w:rsidP="00D25F26">
      <w:pPr>
        <w:rPr>
          <w:b/>
          <w:bCs/>
          <w:i/>
          <w:iCs/>
        </w:rPr>
      </w:pPr>
      <w:r w:rsidRPr="00CD4709">
        <w:rPr>
          <w:b/>
          <w:bCs/>
          <w:i/>
          <w:iCs/>
        </w:rPr>
        <w:t>(</w:t>
      </w:r>
      <w:r>
        <w:rPr>
          <w:b/>
          <w:bCs/>
          <w:i/>
          <w:iCs/>
        </w:rPr>
        <w:t xml:space="preserve">124-րդ կետը </w:t>
      </w:r>
      <w:r w:rsidRPr="00CD4709">
        <w:rPr>
          <w:b/>
          <w:bCs/>
          <w:i/>
          <w:iCs/>
        </w:rPr>
        <w:t>փոփ. 30.01.20 թիվ 9)</w:t>
      </w:r>
    </w:p>
    <w:p w14:paraId="5FDF4483" w14:textId="0A3DBDE7"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125.</w:t>
      </w:r>
      <w:r w:rsidRPr="00834D52">
        <w:rPr>
          <w:rFonts w:ascii="Sylfaen" w:hAnsi="Sylfaen"/>
          <w:sz w:val="24"/>
          <w:szCs w:val="24"/>
        </w:rPr>
        <w:tab/>
      </w:r>
      <w:r w:rsidR="00683523" w:rsidRPr="00683523">
        <w:rPr>
          <w:rFonts w:ascii="Sylfaen" w:hAnsi="Sylfaen"/>
          <w:sz w:val="24"/>
          <w:szCs w:val="24"/>
        </w:rPr>
        <w:t>Գրանցման հաստատման (վերագրանցման) ընթացակարգը չպետք է գերազանցի ռեֆերենտ պետությունում գրանցման հաստատման (վերագրանցման) հայտի ներկայացման օրվանից 80 աշխատանքային օրը և ընթացակարգում մասնակցող ճանաչման պետությունից յուրաքանչյուրում՝ 50 աշխատանքային օրը</w:t>
      </w:r>
      <w:r w:rsidRPr="00834D52">
        <w:rPr>
          <w:rFonts w:ascii="Sylfaen" w:hAnsi="Sylfaen"/>
          <w:sz w:val="24"/>
          <w:szCs w:val="24"/>
        </w:rPr>
        <w:t>։</w:t>
      </w:r>
    </w:p>
    <w:p w14:paraId="13543EA4" w14:textId="69A6453B" w:rsidR="00D25F26" w:rsidRPr="006F28F9" w:rsidRDefault="00D25F26" w:rsidP="00D25F26">
      <w:pPr>
        <w:rPr>
          <w:b/>
          <w:bCs/>
          <w:i/>
          <w:iCs/>
        </w:rPr>
      </w:pPr>
      <w:r w:rsidRPr="00CD4709">
        <w:rPr>
          <w:b/>
          <w:bCs/>
          <w:i/>
          <w:iCs/>
        </w:rPr>
        <w:t>(</w:t>
      </w:r>
      <w:r>
        <w:rPr>
          <w:b/>
          <w:bCs/>
          <w:i/>
          <w:iCs/>
        </w:rPr>
        <w:t xml:space="preserve">125-րդ կետը </w:t>
      </w:r>
      <w:r w:rsidRPr="00CD4709">
        <w:rPr>
          <w:b/>
          <w:bCs/>
          <w:i/>
          <w:iCs/>
        </w:rPr>
        <w:t>փոփ. 30.01.20 թիվ 9</w:t>
      </w:r>
      <w:r w:rsidR="00683523">
        <w:rPr>
          <w:b/>
          <w:bCs/>
          <w:i/>
          <w:iCs/>
        </w:rPr>
        <w:t>, խմբ. 17.03.22 թիվ 36</w:t>
      </w:r>
      <w:r w:rsidRPr="00CD4709">
        <w:rPr>
          <w:b/>
          <w:bCs/>
          <w:i/>
          <w:iCs/>
        </w:rPr>
        <w:t>)</w:t>
      </w:r>
    </w:p>
    <w:p w14:paraId="21F3E662" w14:textId="7FDD12C7"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126.</w:t>
      </w:r>
      <w:r w:rsidRPr="00834D52">
        <w:rPr>
          <w:rFonts w:ascii="Sylfaen" w:hAnsi="Sylfaen"/>
          <w:sz w:val="24"/>
          <w:szCs w:val="24"/>
        </w:rPr>
        <w:tab/>
        <w:t xml:space="preserve">Դեղապատրաստուկի գրանցման հաստատման (վերագրանցման) </w:t>
      </w:r>
      <w:r>
        <w:rPr>
          <w:rFonts w:ascii="Sylfaen" w:hAnsi="Sylfaen"/>
          <w:sz w:val="24"/>
          <w:szCs w:val="24"/>
        </w:rPr>
        <w:t>դիմում</w:t>
      </w:r>
      <w:r w:rsidRPr="00834D52">
        <w:rPr>
          <w:rFonts w:ascii="Sylfaen" w:hAnsi="Sylfaen"/>
          <w:sz w:val="24"/>
          <w:szCs w:val="24"/>
        </w:rPr>
        <w:t>ը պետք է ներկայացվի մինչ</w:t>
      </w:r>
      <w:r>
        <w:rPr>
          <w:rFonts w:ascii="Sylfaen" w:hAnsi="Sylfaen"/>
          <w:sz w:val="24"/>
          <w:szCs w:val="24"/>
        </w:rPr>
        <w:t>և</w:t>
      </w:r>
      <w:r w:rsidRPr="00834D52">
        <w:rPr>
          <w:rFonts w:ascii="Sylfaen" w:hAnsi="Sylfaen"/>
          <w:sz w:val="24"/>
          <w:szCs w:val="24"/>
        </w:rPr>
        <w:t xml:space="preserve"> </w:t>
      </w:r>
      <w:r>
        <w:rPr>
          <w:rFonts w:ascii="Sylfaen" w:hAnsi="Sylfaen"/>
          <w:sz w:val="24"/>
          <w:szCs w:val="24"/>
        </w:rPr>
        <w:t xml:space="preserve">ռեֆերենտ </w:t>
      </w:r>
      <w:r w:rsidRPr="00834D52">
        <w:rPr>
          <w:rFonts w:ascii="Sylfaen" w:hAnsi="Sylfaen"/>
          <w:sz w:val="24"/>
          <w:szCs w:val="24"/>
        </w:rPr>
        <w:t xml:space="preserve">պետությունում դեղապատրաստուկի գրանցման հավաստագրի գործողության ժամկետը լրանալը՝ </w:t>
      </w:r>
      <w:r w:rsidR="00683523">
        <w:rPr>
          <w:rFonts w:ascii="Arial Unicode" w:hAnsi="Arial Unicode"/>
          <w:sz w:val="21"/>
          <w:szCs w:val="21"/>
        </w:rPr>
        <w:t xml:space="preserve">140 աշխատանքային </w:t>
      </w:r>
      <w:r w:rsidRPr="00834D52">
        <w:rPr>
          <w:rFonts w:ascii="Sylfaen" w:hAnsi="Sylfaen"/>
          <w:sz w:val="24"/>
          <w:szCs w:val="24"/>
        </w:rPr>
        <w:t>օրվանից ոչ շուտ, սակայն գրանցման հավաստագրի գործողության ժամկետը լրանալու օրվանից ոչ ուշ։</w:t>
      </w:r>
    </w:p>
    <w:p w14:paraId="24D9F80C" w14:textId="28BC1835" w:rsidR="00D25F26" w:rsidRPr="006F28F9" w:rsidRDefault="00D25F26" w:rsidP="00D25F26">
      <w:pPr>
        <w:rPr>
          <w:b/>
          <w:bCs/>
          <w:i/>
          <w:iCs/>
        </w:rPr>
      </w:pPr>
      <w:r w:rsidRPr="00CD4709">
        <w:rPr>
          <w:b/>
          <w:bCs/>
          <w:i/>
          <w:iCs/>
        </w:rPr>
        <w:t>(</w:t>
      </w:r>
      <w:r>
        <w:rPr>
          <w:b/>
          <w:bCs/>
          <w:i/>
          <w:iCs/>
        </w:rPr>
        <w:t xml:space="preserve">126-րդ կետը </w:t>
      </w:r>
      <w:r w:rsidRPr="00CD4709">
        <w:rPr>
          <w:b/>
          <w:bCs/>
          <w:i/>
          <w:iCs/>
        </w:rPr>
        <w:t>փոփ. 30.01.20 թիվ 9</w:t>
      </w:r>
      <w:r w:rsidR="00683523">
        <w:rPr>
          <w:b/>
          <w:bCs/>
          <w:i/>
          <w:iCs/>
        </w:rPr>
        <w:t>, 17.03.22 թիվ 36</w:t>
      </w:r>
      <w:r w:rsidRPr="00CD4709">
        <w:rPr>
          <w:b/>
          <w:bCs/>
          <w:i/>
          <w:iCs/>
        </w:rPr>
        <w:t>)</w:t>
      </w:r>
    </w:p>
    <w:p w14:paraId="590DB1E9" w14:textId="77777777"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127.</w:t>
      </w:r>
      <w:r w:rsidRPr="00834D52">
        <w:rPr>
          <w:rFonts w:ascii="Sylfaen" w:hAnsi="Sylfaen"/>
          <w:sz w:val="24"/>
          <w:szCs w:val="24"/>
        </w:rPr>
        <w:tab/>
        <w:t xml:space="preserve">Դեղապատրաստուկի գրանցման հաստատման (վերագրանցման) նպատակով </w:t>
      </w:r>
      <w:r>
        <w:rPr>
          <w:rFonts w:ascii="Sylfaen" w:hAnsi="Sylfaen"/>
          <w:sz w:val="24"/>
          <w:szCs w:val="24"/>
        </w:rPr>
        <w:t>դիմումատու</w:t>
      </w:r>
      <w:r w:rsidRPr="00834D52">
        <w:rPr>
          <w:rFonts w:ascii="Sylfaen" w:hAnsi="Sylfaen"/>
          <w:sz w:val="24"/>
          <w:szCs w:val="24"/>
        </w:rPr>
        <w:t xml:space="preserve">ն </w:t>
      </w:r>
      <w:r>
        <w:rPr>
          <w:rFonts w:ascii="Sylfaen" w:hAnsi="Sylfaen"/>
          <w:sz w:val="24"/>
          <w:szCs w:val="24"/>
        </w:rPr>
        <w:t xml:space="preserve">ռեֆերենտ </w:t>
      </w:r>
      <w:r w:rsidRPr="00834D52">
        <w:rPr>
          <w:rFonts w:ascii="Sylfaen" w:hAnsi="Sylfaen"/>
          <w:sz w:val="24"/>
          <w:szCs w:val="24"/>
        </w:rPr>
        <w:t xml:space="preserve">պետության լիազորված մարմին </w:t>
      </w:r>
      <w:r w:rsidRPr="00834D52">
        <w:rPr>
          <w:rFonts w:ascii="Sylfaen" w:hAnsi="Sylfaen"/>
          <w:sz w:val="24"/>
          <w:szCs w:val="24"/>
        </w:rPr>
        <w:lastRenderedPageBreak/>
        <w:t>(փորձագիտական կազմակերպություն) է ներկայացնում հետ</w:t>
      </w:r>
      <w:r>
        <w:rPr>
          <w:rFonts w:ascii="Sylfaen" w:hAnsi="Sylfaen"/>
          <w:sz w:val="24"/>
          <w:szCs w:val="24"/>
        </w:rPr>
        <w:t>և</w:t>
      </w:r>
      <w:r w:rsidRPr="00834D52">
        <w:rPr>
          <w:rFonts w:ascii="Sylfaen" w:hAnsi="Sylfaen"/>
          <w:sz w:val="24"/>
          <w:szCs w:val="24"/>
        </w:rPr>
        <w:t>յալ փաստաթղթերը՝</w:t>
      </w:r>
    </w:p>
    <w:p w14:paraId="7D6F1168" w14:textId="7115CEDD"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683523" w:rsidRPr="00683523">
        <w:rPr>
          <w:rFonts w:ascii="Sylfaen" w:hAnsi="Sylfaen"/>
          <w:sz w:val="24"/>
          <w:szCs w:val="24"/>
        </w:rPr>
        <w:t>ըստ սույն կանոնների թիվ 2 հավելվածով սահմանված ձևի՝ թղթային կրիչով կամ էլեկտրոնային ստորագրությամբ ստորագրված էլեկտրոնային փաստաթղթի տեսքով դեղապատրաստուկի գրանցման (վերագրանցման) հայտը</w:t>
      </w:r>
      <w:r w:rsidRPr="00834D52">
        <w:rPr>
          <w:rFonts w:ascii="Sylfaen" w:hAnsi="Sylfaen"/>
          <w:sz w:val="24"/>
          <w:szCs w:val="24"/>
        </w:rPr>
        <w:t>,</w:t>
      </w:r>
    </w:p>
    <w:p w14:paraId="28FBB3DA" w14:textId="1E8AA0F9"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գրանցման հաստատման (վերագրանցման) </w:t>
      </w:r>
      <w:r>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w:t>
      </w:r>
      <w:r>
        <w:rPr>
          <w:rFonts w:ascii="Sylfaen" w:hAnsi="Sylfaen"/>
          <w:sz w:val="24"/>
          <w:szCs w:val="24"/>
        </w:rPr>
        <w:t xml:space="preserve">ռեֆերենտ </w:t>
      </w:r>
      <w:r w:rsidRPr="00834D52">
        <w:rPr>
          <w:rFonts w:ascii="Sylfaen" w:hAnsi="Sylfaen"/>
          <w:sz w:val="24"/>
          <w:szCs w:val="24"/>
        </w:rPr>
        <w:t xml:space="preserve">պետության օրենսդրությանը համապատասխան սահմանված դեպքում </w:t>
      </w:r>
      <w:r>
        <w:rPr>
          <w:rFonts w:ascii="Sylfaen" w:hAnsi="Sylfaen"/>
          <w:sz w:val="24"/>
          <w:szCs w:val="24"/>
        </w:rPr>
        <w:t>և</w:t>
      </w:r>
      <w:r w:rsidRPr="00834D52">
        <w:rPr>
          <w:rFonts w:ascii="Sylfaen" w:hAnsi="Sylfaen"/>
          <w:sz w:val="24"/>
          <w:szCs w:val="24"/>
        </w:rPr>
        <w:t xml:space="preserve"> կարգով,</w:t>
      </w:r>
      <w:r w:rsidR="00683523">
        <w:rPr>
          <w:rFonts w:ascii="Sylfaen" w:hAnsi="Sylfaen"/>
          <w:sz w:val="24"/>
          <w:szCs w:val="24"/>
        </w:rPr>
        <w:t xml:space="preserve"> </w:t>
      </w:r>
      <w:r w:rsidR="00683523" w:rsidRPr="00683523">
        <w:rPr>
          <w:rFonts w:ascii="Sylfaen" w:hAnsi="Sylfaen"/>
          <w:sz w:val="24"/>
          <w:szCs w:val="24"/>
        </w:rPr>
        <w:t>թղթային կրիչով կամ էլեկտրոնային փաստաթղթի տեսքով</w:t>
      </w:r>
      <w:r w:rsidR="00683523">
        <w:rPr>
          <w:rFonts w:ascii="Sylfaen" w:hAnsi="Sylfaen"/>
          <w:sz w:val="24"/>
          <w:szCs w:val="24"/>
        </w:rPr>
        <w:t>,</w:t>
      </w:r>
    </w:p>
    <w:p w14:paraId="5B2F696B" w14:textId="474E2EA6" w:rsidR="00D25F26" w:rsidRDefault="00D25F26" w:rsidP="00D25F26">
      <w:pPr>
        <w:tabs>
          <w:tab w:val="left" w:pos="1134"/>
        </w:tabs>
        <w:spacing w:after="160" w:line="349"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գրանցման դոսյեի 1-ին </w:t>
      </w:r>
      <w:r>
        <w:rPr>
          <w:rFonts w:ascii="Sylfaen" w:hAnsi="Sylfaen"/>
          <w:sz w:val="24"/>
          <w:szCs w:val="24"/>
        </w:rPr>
        <w:t>և</w:t>
      </w:r>
      <w:r w:rsidRPr="00834D52">
        <w:rPr>
          <w:rFonts w:ascii="Sylfaen" w:hAnsi="Sylfaen"/>
          <w:sz w:val="24"/>
          <w:szCs w:val="24"/>
        </w:rPr>
        <w:t xml:space="preserve"> 2-րդ մոդուլները՝ սույն Կանոնների թիվ 1</w:t>
      </w:r>
      <w:r w:rsidRPr="008341C7">
        <w:rPr>
          <w:rFonts w:ascii="Sylfaen" w:hAnsi="Sylfaen"/>
          <w:sz w:val="24"/>
          <w:szCs w:val="24"/>
        </w:rPr>
        <w:t>-</w:t>
      </w:r>
      <w:r w:rsidRPr="00834D52">
        <w:rPr>
          <w:rFonts w:ascii="Sylfaen" w:hAnsi="Sylfaen"/>
          <w:sz w:val="24"/>
          <w:szCs w:val="24"/>
        </w:rPr>
        <w:t>5 հավելվածներին համապատասխան պատրաստված՝ էլեկտրոնային կրիչով։</w:t>
      </w:r>
    </w:p>
    <w:p w14:paraId="1D606701" w14:textId="2D944A1B" w:rsidR="00683523" w:rsidRDefault="00683523" w:rsidP="00D25F26">
      <w:pPr>
        <w:tabs>
          <w:tab w:val="left" w:pos="1134"/>
        </w:tabs>
        <w:spacing w:after="160" w:line="349" w:lineRule="auto"/>
        <w:ind w:right="-6" w:firstLine="567"/>
        <w:jc w:val="both"/>
        <w:rPr>
          <w:rFonts w:ascii="Sylfaen" w:hAnsi="Sylfaen"/>
          <w:sz w:val="24"/>
          <w:szCs w:val="24"/>
        </w:rPr>
      </w:pPr>
      <w:r w:rsidRPr="00683523">
        <w:rPr>
          <w:rFonts w:ascii="Sylfaen" w:hAnsi="Sylfaen"/>
          <w:sz w:val="24"/>
          <w:szCs w:val="24"/>
        </w:rPr>
        <w:t>դ) անդամ պետության օրենսդրության պահանջներին համապատասխան՝ սույն կետի «ա»-«գ» ենթակետերում նշված փաստաթղթերը կարող են ներկայացվել առանց սույն կանոններով նախատեսված դեպքերում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r>
        <w:rPr>
          <w:rFonts w:ascii="Sylfaen" w:hAnsi="Sylfaen"/>
          <w:sz w:val="24"/>
          <w:szCs w:val="24"/>
        </w:rPr>
        <w:t>:</w:t>
      </w:r>
    </w:p>
    <w:p w14:paraId="44EC02B1" w14:textId="093AEA51" w:rsidR="00D25F26" w:rsidRPr="006F28F9" w:rsidRDefault="00D25F26" w:rsidP="00D25F26">
      <w:pPr>
        <w:rPr>
          <w:b/>
          <w:bCs/>
          <w:i/>
          <w:iCs/>
        </w:rPr>
      </w:pPr>
      <w:r w:rsidRPr="00CD4709">
        <w:rPr>
          <w:b/>
          <w:bCs/>
          <w:i/>
          <w:iCs/>
        </w:rPr>
        <w:t>(</w:t>
      </w:r>
      <w:r>
        <w:rPr>
          <w:b/>
          <w:bCs/>
          <w:i/>
          <w:iCs/>
        </w:rPr>
        <w:t xml:space="preserve">127-րդ կետը </w:t>
      </w:r>
      <w:r w:rsidRPr="00CD4709">
        <w:rPr>
          <w:b/>
          <w:bCs/>
          <w:i/>
          <w:iCs/>
        </w:rPr>
        <w:t>փոփ. 30.01.20 թիվ 9</w:t>
      </w:r>
      <w:r w:rsidR="00683523">
        <w:rPr>
          <w:b/>
          <w:bCs/>
          <w:i/>
          <w:iCs/>
        </w:rPr>
        <w:t>, խմբ., լրաց. 17.03.22 թիվ 36</w:t>
      </w:r>
      <w:r w:rsidRPr="00CD4709">
        <w:rPr>
          <w:b/>
          <w:bCs/>
          <w:i/>
          <w:iCs/>
        </w:rPr>
        <w:t>)</w:t>
      </w:r>
    </w:p>
    <w:p w14:paraId="2D300B75" w14:textId="77777777"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128.</w:t>
      </w:r>
      <w:r w:rsidRPr="00834D52">
        <w:rPr>
          <w:rFonts w:ascii="Sylfaen" w:hAnsi="Sylfaen"/>
          <w:sz w:val="24"/>
          <w:szCs w:val="24"/>
        </w:rPr>
        <w:tab/>
      </w:r>
      <w:r>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w:t>
      </w:r>
      <w:r>
        <w:rPr>
          <w:rFonts w:ascii="Sylfaen" w:hAnsi="Sylfaen"/>
          <w:sz w:val="24"/>
          <w:szCs w:val="24"/>
        </w:rPr>
        <w:t>դիմումատու</w:t>
      </w:r>
      <w:r w:rsidRPr="00834D52">
        <w:rPr>
          <w:rFonts w:ascii="Sylfaen" w:hAnsi="Sylfaen"/>
          <w:sz w:val="24"/>
          <w:szCs w:val="24"/>
        </w:rPr>
        <w:t>ի կողմից սույն Կանոնների 127</w:t>
      </w:r>
      <w:r w:rsidRPr="008341C7">
        <w:rPr>
          <w:rFonts w:ascii="Sylfaen" w:hAnsi="Sylfaen"/>
          <w:sz w:val="24"/>
          <w:szCs w:val="24"/>
        </w:rPr>
        <w:t>-</w:t>
      </w:r>
      <w:r w:rsidRPr="00834D52">
        <w:rPr>
          <w:rFonts w:ascii="Sylfaen" w:hAnsi="Sylfaen"/>
          <w:sz w:val="24"/>
          <w:szCs w:val="24"/>
        </w:rPr>
        <w:t>րդ կետում նշված փաստաթղթերը ներկայացնելու օրվանից 5 աշխատանքային օրը չգերազանցող ժամկետում ինտեգրված համակարգի միջոցների օգտագործմամբ ապահովում է դեղապատրաստուկի գրանցման դոսյեի հասանելիությունը ճանաչման պետությունների լիազորված մարմինների (փորձագիտական կազմակերպությունների) համար։</w:t>
      </w:r>
    </w:p>
    <w:p w14:paraId="2734421A" w14:textId="77777777" w:rsidR="00D25F26" w:rsidRDefault="00D25F26" w:rsidP="00D25F26">
      <w:pPr>
        <w:tabs>
          <w:tab w:val="left" w:pos="1134"/>
        </w:tabs>
        <w:spacing w:after="160" w:line="349" w:lineRule="auto"/>
        <w:ind w:right="-6" w:firstLine="567"/>
        <w:jc w:val="both"/>
        <w:rPr>
          <w:rFonts w:ascii="Sylfaen" w:hAnsi="Sylfaen"/>
          <w:sz w:val="24"/>
          <w:szCs w:val="24"/>
        </w:rPr>
      </w:pPr>
      <w:r w:rsidRPr="00834D52">
        <w:rPr>
          <w:rFonts w:ascii="Sylfaen" w:hAnsi="Sylfaen"/>
          <w:sz w:val="24"/>
          <w:szCs w:val="24"/>
        </w:rPr>
        <w:t>Ճանաչման պետությունների լիազորված մարմինները (փորձագիտական կազմակերպությունները) դեղապատրաստուկի գրանցման դոսյեն ստանում են ինտեգրված համակարգի միջոցների օգտագործմամբ։</w:t>
      </w:r>
    </w:p>
    <w:p w14:paraId="1AD89492" w14:textId="77777777" w:rsidR="00D25F26" w:rsidRPr="006F28F9" w:rsidRDefault="00D25F26" w:rsidP="00D25F26">
      <w:pPr>
        <w:rPr>
          <w:b/>
          <w:bCs/>
          <w:i/>
          <w:iCs/>
        </w:rPr>
      </w:pPr>
      <w:r w:rsidRPr="00CD4709">
        <w:rPr>
          <w:b/>
          <w:bCs/>
          <w:i/>
          <w:iCs/>
        </w:rPr>
        <w:t>(</w:t>
      </w:r>
      <w:r>
        <w:rPr>
          <w:b/>
          <w:bCs/>
          <w:i/>
          <w:iCs/>
        </w:rPr>
        <w:t xml:space="preserve">128-րդ կետը </w:t>
      </w:r>
      <w:r w:rsidRPr="00CD4709">
        <w:rPr>
          <w:b/>
          <w:bCs/>
          <w:i/>
          <w:iCs/>
        </w:rPr>
        <w:t>փոփ. 30.01.20 թիվ 9)</w:t>
      </w:r>
    </w:p>
    <w:p w14:paraId="01C87691" w14:textId="77777777"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129.</w:t>
      </w:r>
      <w:r w:rsidRPr="00834D52">
        <w:rPr>
          <w:rFonts w:ascii="Sylfaen" w:hAnsi="Sylfaen"/>
          <w:sz w:val="24"/>
          <w:szCs w:val="24"/>
        </w:rPr>
        <w:tab/>
        <w:t xml:space="preserve">Գրանցման հաստատման (վերագրանցման) մասին </w:t>
      </w:r>
      <w:r>
        <w:rPr>
          <w:rFonts w:ascii="Sylfaen" w:hAnsi="Sylfaen"/>
          <w:sz w:val="24"/>
          <w:szCs w:val="24"/>
        </w:rPr>
        <w:t>դիմում</w:t>
      </w:r>
      <w:r w:rsidRPr="00834D52">
        <w:rPr>
          <w:rFonts w:ascii="Sylfaen" w:hAnsi="Sylfaen"/>
          <w:sz w:val="24"/>
          <w:szCs w:val="24"/>
        </w:rPr>
        <w:t xml:space="preserve">ը </w:t>
      </w:r>
      <w:r>
        <w:rPr>
          <w:rFonts w:ascii="Sylfaen" w:hAnsi="Sylfaen"/>
          <w:sz w:val="24"/>
          <w:szCs w:val="24"/>
        </w:rPr>
        <w:t xml:space="preserve">ռեֆերենտ </w:t>
      </w:r>
      <w:r w:rsidRPr="00834D52">
        <w:rPr>
          <w:rFonts w:ascii="Sylfaen" w:hAnsi="Sylfaen"/>
          <w:sz w:val="24"/>
          <w:szCs w:val="24"/>
        </w:rPr>
        <w:t xml:space="preserve">պետությանը ներկայացնելու օրվանից ոչ ուշ, քան 14 աշխատանքային օրվա ընթացքում </w:t>
      </w:r>
      <w:r>
        <w:rPr>
          <w:rFonts w:ascii="Sylfaen" w:hAnsi="Sylfaen"/>
          <w:sz w:val="24"/>
          <w:szCs w:val="24"/>
        </w:rPr>
        <w:t>դիմումատու</w:t>
      </w:r>
      <w:r w:rsidRPr="00834D52">
        <w:rPr>
          <w:rFonts w:ascii="Sylfaen" w:hAnsi="Sylfaen"/>
          <w:sz w:val="24"/>
          <w:szCs w:val="24"/>
        </w:rPr>
        <w:t>ն յուրաքանչյուր ճանաչման պետության լիազորված մարմին (փորձագիտական կազմակերպություն) է ուղարկում հետ</w:t>
      </w:r>
      <w:r>
        <w:rPr>
          <w:rFonts w:ascii="Sylfaen" w:hAnsi="Sylfaen"/>
          <w:sz w:val="24"/>
          <w:szCs w:val="24"/>
        </w:rPr>
        <w:t>և</w:t>
      </w:r>
      <w:r w:rsidRPr="00834D52">
        <w:rPr>
          <w:rFonts w:ascii="Sylfaen" w:hAnsi="Sylfaen"/>
          <w:sz w:val="24"/>
          <w:szCs w:val="24"/>
        </w:rPr>
        <w:t>յալ փաստաթղթերը՝</w:t>
      </w:r>
    </w:p>
    <w:p w14:paraId="02793DC5" w14:textId="7E1286FE"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0D7378" w:rsidRPr="000D7378">
        <w:rPr>
          <w:rFonts w:ascii="Sylfaen" w:hAnsi="Sylfaen"/>
          <w:sz w:val="24"/>
          <w:szCs w:val="24"/>
        </w:rPr>
        <w:t>ըստ սույն կանոնների թիվ 2 հավելվածին համապատասխան սահմանված ձևի՝ թղթային կրիչով կամ էլեկտրոնային ստորագրությամբ ստորագրված էլեկտրոնային փաստաթղթի տեսքով հայտը</w:t>
      </w:r>
      <w:r w:rsidRPr="00834D52">
        <w:rPr>
          <w:rFonts w:ascii="Sylfaen" w:hAnsi="Sylfaen"/>
          <w:sz w:val="24"/>
          <w:szCs w:val="24"/>
        </w:rPr>
        <w:t>,</w:t>
      </w:r>
    </w:p>
    <w:p w14:paraId="00435EAD" w14:textId="67C074EC"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գրանցման հաստատման (վերագրանցման) </w:t>
      </w:r>
      <w:r>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ճանաչման պետությունների օրենսդրությանը համապատասխան սահմանված դեպքում </w:t>
      </w:r>
      <w:r>
        <w:rPr>
          <w:rFonts w:ascii="Sylfaen" w:hAnsi="Sylfaen"/>
          <w:sz w:val="24"/>
          <w:szCs w:val="24"/>
        </w:rPr>
        <w:t>և</w:t>
      </w:r>
      <w:r w:rsidRPr="00834D52">
        <w:rPr>
          <w:rFonts w:ascii="Sylfaen" w:hAnsi="Sylfaen"/>
          <w:sz w:val="24"/>
          <w:szCs w:val="24"/>
        </w:rPr>
        <w:t xml:space="preserve"> կարգով,</w:t>
      </w:r>
      <w:r w:rsidR="000D7378">
        <w:rPr>
          <w:rFonts w:ascii="Sylfaen" w:hAnsi="Sylfaen"/>
          <w:sz w:val="24"/>
          <w:szCs w:val="24"/>
        </w:rPr>
        <w:t xml:space="preserve"> </w:t>
      </w:r>
      <w:r w:rsidR="000D7378" w:rsidRPr="000D7378">
        <w:rPr>
          <w:rFonts w:ascii="Sylfaen" w:hAnsi="Sylfaen"/>
          <w:sz w:val="24"/>
          <w:szCs w:val="24"/>
        </w:rPr>
        <w:t>թղթային կրիչով կամ էլեկտրոնային փաստաթղթի տեսքով</w:t>
      </w:r>
      <w:r w:rsidR="000D7378">
        <w:rPr>
          <w:rFonts w:ascii="Sylfaen" w:hAnsi="Sylfaen"/>
          <w:sz w:val="24"/>
          <w:szCs w:val="24"/>
        </w:rPr>
        <w:t>,</w:t>
      </w:r>
    </w:p>
    <w:p w14:paraId="3393CE7D" w14:textId="089B9EB0"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գրանցման դոսյեի 1-ին մոդուլը՝ էլեկտրոնային կրիչով,</w:t>
      </w:r>
      <w:r w:rsidR="000D7378">
        <w:rPr>
          <w:rFonts w:ascii="Sylfaen" w:hAnsi="Sylfaen"/>
          <w:sz w:val="24"/>
          <w:szCs w:val="24"/>
        </w:rPr>
        <w:t xml:space="preserve"> </w:t>
      </w:r>
      <w:r w:rsidR="000D7378" w:rsidRPr="000D7378">
        <w:rPr>
          <w:rFonts w:ascii="Sylfaen" w:hAnsi="Sylfaen"/>
          <w:sz w:val="24"/>
          <w:szCs w:val="24"/>
        </w:rPr>
        <w:t>էլեկտրոնային փաստաթղթերի տեսքով</w:t>
      </w:r>
      <w:r w:rsidR="000D7378">
        <w:rPr>
          <w:rFonts w:ascii="Sylfaen" w:hAnsi="Sylfaen"/>
          <w:sz w:val="24"/>
          <w:szCs w:val="24"/>
        </w:rPr>
        <w:t>,</w:t>
      </w:r>
    </w:p>
    <w:p w14:paraId="486553BD" w14:textId="552373F1" w:rsidR="00D25F26" w:rsidRDefault="00D25F26" w:rsidP="00D25F26">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դ)</w:t>
      </w:r>
      <w:r w:rsidRPr="00834D52">
        <w:rPr>
          <w:rFonts w:ascii="Sylfaen" w:hAnsi="Sylfaen"/>
          <w:sz w:val="24"/>
          <w:szCs w:val="24"/>
        </w:rPr>
        <w:tab/>
        <w:t>անդամ պետության օրենսդրության մեջ համապատասխան պահանջների առկայության դեպքում ներկայացվում են նա</w:t>
      </w:r>
      <w:r>
        <w:rPr>
          <w:rFonts w:ascii="Sylfaen" w:hAnsi="Sylfaen"/>
          <w:sz w:val="24"/>
          <w:szCs w:val="24"/>
        </w:rPr>
        <w:t>և</w:t>
      </w:r>
      <w:r w:rsidRPr="00834D52">
        <w:rPr>
          <w:rFonts w:ascii="Sylfaen" w:hAnsi="Sylfaen"/>
          <w:sz w:val="24"/>
          <w:szCs w:val="24"/>
        </w:rPr>
        <w:t xml:space="preserve"> ԴՊԸԲ</w:t>
      </w:r>
      <w:r w:rsidRPr="008341C7">
        <w:rPr>
          <w:rFonts w:ascii="Sylfaen" w:hAnsi="Sylfaen"/>
          <w:sz w:val="24"/>
          <w:szCs w:val="24"/>
        </w:rPr>
        <w:t>-</w:t>
      </w:r>
      <w:r w:rsidRPr="00834D52">
        <w:rPr>
          <w:rFonts w:ascii="Sylfaen" w:hAnsi="Sylfaen"/>
          <w:sz w:val="24"/>
          <w:szCs w:val="24"/>
        </w:rPr>
        <w:t xml:space="preserve">ն, դեղապատրաստուկի բժշկական կիրառման հրահանգը </w:t>
      </w:r>
      <w:r>
        <w:rPr>
          <w:rFonts w:ascii="Sylfaen" w:hAnsi="Sylfaen"/>
          <w:sz w:val="24"/>
          <w:szCs w:val="24"/>
        </w:rPr>
        <w:t>և</w:t>
      </w:r>
      <w:r w:rsidRPr="00834D52">
        <w:rPr>
          <w:rFonts w:ascii="Sylfaen" w:hAnsi="Sylfaen"/>
          <w:sz w:val="24"/>
          <w:szCs w:val="24"/>
        </w:rPr>
        <w:t xml:space="preserve"> փաթեթվածքների մանրակերտերը՝ ճանաչման պետության պետական լեզվով։</w:t>
      </w:r>
    </w:p>
    <w:p w14:paraId="4C23D29F" w14:textId="3763DAEE" w:rsidR="000D7378" w:rsidRDefault="000D7378" w:rsidP="00D25F26">
      <w:pPr>
        <w:tabs>
          <w:tab w:val="left" w:pos="1134"/>
        </w:tabs>
        <w:spacing w:after="160" w:line="372" w:lineRule="auto"/>
        <w:ind w:right="-6" w:firstLine="567"/>
        <w:jc w:val="both"/>
        <w:rPr>
          <w:rFonts w:ascii="Sylfaen" w:hAnsi="Sylfaen"/>
          <w:sz w:val="24"/>
          <w:szCs w:val="24"/>
        </w:rPr>
      </w:pPr>
      <w:r w:rsidRPr="000D7378">
        <w:rPr>
          <w:rFonts w:ascii="Sylfaen" w:hAnsi="Sylfaen"/>
          <w:sz w:val="24"/>
          <w:szCs w:val="24"/>
        </w:rPr>
        <w:t>ե) անդամ պետության օրենսդրության պահանջներին համապատասխան՝ սույն կետի «ա»-«դ» ենթակետերում նշված փաստաթղթերը կարող են ներկայացվել առանց սույն կանոններով նախատեսված դեպքերում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r>
        <w:rPr>
          <w:rFonts w:ascii="Sylfaen" w:hAnsi="Sylfaen"/>
          <w:sz w:val="24"/>
          <w:szCs w:val="24"/>
        </w:rPr>
        <w:t>:</w:t>
      </w:r>
    </w:p>
    <w:p w14:paraId="724A48E5" w14:textId="02612C75" w:rsidR="00D25F26" w:rsidRPr="006F28F9" w:rsidRDefault="00D25F26" w:rsidP="00D25F26">
      <w:pPr>
        <w:rPr>
          <w:b/>
          <w:bCs/>
          <w:i/>
          <w:iCs/>
        </w:rPr>
      </w:pPr>
      <w:r w:rsidRPr="00CD4709">
        <w:rPr>
          <w:b/>
          <w:bCs/>
          <w:i/>
          <w:iCs/>
        </w:rPr>
        <w:t>(</w:t>
      </w:r>
      <w:r>
        <w:rPr>
          <w:b/>
          <w:bCs/>
          <w:i/>
          <w:iCs/>
        </w:rPr>
        <w:t xml:space="preserve">129-րդ կետը </w:t>
      </w:r>
      <w:r w:rsidRPr="00CD4709">
        <w:rPr>
          <w:b/>
          <w:bCs/>
          <w:i/>
          <w:iCs/>
        </w:rPr>
        <w:t>փոփ. 30.01.20 թիվ 9</w:t>
      </w:r>
      <w:r w:rsidR="000D7378">
        <w:rPr>
          <w:b/>
          <w:bCs/>
          <w:i/>
          <w:iCs/>
        </w:rPr>
        <w:t>, խմբ., լրաց. 17.03.22 թիվ 36</w:t>
      </w:r>
      <w:r w:rsidRPr="00CD4709">
        <w:rPr>
          <w:b/>
          <w:bCs/>
          <w:i/>
          <w:iCs/>
        </w:rPr>
        <w:t>)</w:t>
      </w:r>
    </w:p>
    <w:p w14:paraId="26DB6970" w14:textId="2A6C6078" w:rsidR="00D25F26" w:rsidRDefault="00D25F26" w:rsidP="00D25F26">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130.</w:t>
      </w:r>
      <w:r w:rsidRPr="00834D52">
        <w:rPr>
          <w:rFonts w:ascii="Sylfaen" w:hAnsi="Sylfaen"/>
          <w:sz w:val="24"/>
          <w:szCs w:val="24"/>
        </w:rPr>
        <w:tab/>
        <w:t xml:space="preserve">Գրանցման հաստատման (վերագրանցման) </w:t>
      </w:r>
      <w:r>
        <w:rPr>
          <w:rFonts w:ascii="Sylfaen" w:hAnsi="Sylfaen"/>
          <w:sz w:val="24"/>
          <w:szCs w:val="24"/>
        </w:rPr>
        <w:t>դիմում</w:t>
      </w:r>
      <w:r w:rsidRPr="00834D52">
        <w:rPr>
          <w:rFonts w:ascii="Sylfaen" w:hAnsi="Sylfaen"/>
          <w:sz w:val="24"/>
          <w:szCs w:val="24"/>
        </w:rPr>
        <w:t xml:space="preserve"> ներկայացնելու օրվանից 1</w:t>
      </w:r>
      <w:r w:rsidR="00DD4367">
        <w:rPr>
          <w:rFonts w:ascii="Sylfaen" w:hAnsi="Sylfaen"/>
          <w:sz w:val="24"/>
          <w:szCs w:val="24"/>
        </w:rPr>
        <w:t>0</w:t>
      </w:r>
      <w:r w:rsidRPr="00834D52">
        <w:rPr>
          <w:rFonts w:ascii="Sylfaen" w:hAnsi="Sylfaen"/>
          <w:sz w:val="24"/>
          <w:szCs w:val="24"/>
        </w:rPr>
        <w:t xml:space="preserve"> աշխատանքային օրվա ընթացքում՝ նախքան գրանցման դոսյեի </w:t>
      </w:r>
      <w:r w:rsidRPr="00834D52">
        <w:rPr>
          <w:rFonts w:ascii="Sylfaen" w:hAnsi="Sylfaen"/>
          <w:sz w:val="24"/>
          <w:szCs w:val="24"/>
        </w:rPr>
        <w:lastRenderedPageBreak/>
        <w:t xml:space="preserve">նյութերը փորձաքննության ուղարկելը, </w:t>
      </w:r>
      <w:r>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իրականացնում է գրանցման դոսյեի ներկայացված փաստաթղթերի ամբողջականության, լրակազմության </w:t>
      </w:r>
      <w:r>
        <w:rPr>
          <w:rFonts w:ascii="Sylfaen" w:hAnsi="Sylfaen"/>
          <w:sz w:val="24"/>
          <w:szCs w:val="24"/>
        </w:rPr>
        <w:t>և</w:t>
      </w:r>
      <w:r w:rsidRPr="00834D52">
        <w:rPr>
          <w:rFonts w:ascii="Sylfaen" w:hAnsi="Sylfaen"/>
          <w:sz w:val="24"/>
          <w:szCs w:val="24"/>
        </w:rPr>
        <w:t xml:space="preserve"> ճիշտ ձ</w:t>
      </w:r>
      <w:r>
        <w:rPr>
          <w:rFonts w:ascii="Sylfaen" w:hAnsi="Sylfaen"/>
          <w:sz w:val="24"/>
          <w:szCs w:val="24"/>
        </w:rPr>
        <w:t>և</w:t>
      </w:r>
      <w:r w:rsidRPr="00834D52">
        <w:rPr>
          <w:rFonts w:ascii="Sylfaen" w:hAnsi="Sylfaen"/>
          <w:sz w:val="24"/>
          <w:szCs w:val="24"/>
        </w:rPr>
        <w:t xml:space="preserve">ակերպման գնահատում։ </w:t>
      </w:r>
      <w:r>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Pr>
          <w:rFonts w:ascii="Sylfaen" w:hAnsi="Sylfaen"/>
          <w:sz w:val="24"/>
          <w:szCs w:val="24"/>
        </w:rPr>
        <w:t>դիմումատու</w:t>
      </w:r>
      <w:r w:rsidRPr="00834D52">
        <w:rPr>
          <w:rFonts w:ascii="Sylfaen" w:hAnsi="Sylfaen"/>
          <w:sz w:val="24"/>
          <w:szCs w:val="24"/>
        </w:rPr>
        <w:t xml:space="preserve">ին տրամադրվում է 90 </w:t>
      </w:r>
      <w:r w:rsidR="00DD4367">
        <w:rPr>
          <w:rFonts w:ascii="Arial Unicode" w:hAnsi="Arial Unicode"/>
          <w:sz w:val="21"/>
          <w:szCs w:val="21"/>
        </w:rPr>
        <w:t xml:space="preserve">աշխատանքային </w:t>
      </w:r>
      <w:r w:rsidRPr="00834D52">
        <w:rPr>
          <w:rFonts w:ascii="Sylfaen" w:hAnsi="Sylfaen"/>
          <w:sz w:val="24"/>
          <w:szCs w:val="24"/>
        </w:rPr>
        <w:t xml:space="preserve">օրվանից ոչ ավելի, որը չի մտնում դեղապատրաստուկի գրանցման հաստատման (վերագրանցման) </w:t>
      </w:r>
      <w:r>
        <w:rPr>
          <w:rFonts w:ascii="Sylfaen" w:hAnsi="Sylfaen"/>
          <w:sz w:val="24"/>
          <w:szCs w:val="24"/>
        </w:rPr>
        <w:t>և</w:t>
      </w:r>
      <w:r w:rsidRPr="00834D52">
        <w:rPr>
          <w:rFonts w:ascii="Sylfaen" w:hAnsi="Sylfaen"/>
          <w:sz w:val="24"/>
          <w:szCs w:val="24"/>
        </w:rPr>
        <w:t xml:space="preserve"> փորձաքննության ժամկետի մեջ։</w:t>
      </w:r>
    </w:p>
    <w:p w14:paraId="7767ADF9" w14:textId="77D8F580" w:rsidR="00DD4367" w:rsidRPr="00DD4367" w:rsidRDefault="00DD4367" w:rsidP="00DD4367">
      <w:pPr>
        <w:tabs>
          <w:tab w:val="left" w:pos="1134"/>
        </w:tabs>
        <w:spacing w:after="160" w:line="372" w:lineRule="auto"/>
        <w:ind w:right="-6" w:firstLine="567"/>
        <w:jc w:val="both"/>
        <w:rPr>
          <w:rFonts w:ascii="Sylfaen" w:hAnsi="Sylfaen"/>
          <w:sz w:val="24"/>
          <w:szCs w:val="24"/>
        </w:rPr>
      </w:pPr>
      <w:r w:rsidRPr="00DD4367">
        <w:rPr>
          <w:rFonts w:ascii="Sylfaen" w:hAnsi="Sylfaen"/>
          <w:sz w:val="24"/>
          <w:szCs w:val="24"/>
        </w:rPr>
        <w:t>Հայտատուին լիազորված մարմնի (փորձագիտական կազմակերպության) հարցումը պետք է փոխանցվի դիմումատուին էլեկտրոնային ձևով՝ կապի հեռահաղորդակցական ուղիներով, և համարվում է ստացված այն ուղարկելու օրվանից 1 օրը լրանալուն պես:</w:t>
      </w:r>
    </w:p>
    <w:p w14:paraId="1ABDAE9E" w14:textId="594F2F54" w:rsidR="00DD4367" w:rsidRDefault="00DD4367" w:rsidP="00DD4367">
      <w:pPr>
        <w:tabs>
          <w:tab w:val="left" w:pos="1134"/>
        </w:tabs>
        <w:spacing w:after="160" w:line="372" w:lineRule="auto"/>
        <w:ind w:right="-6" w:firstLine="567"/>
        <w:jc w:val="both"/>
        <w:rPr>
          <w:rFonts w:ascii="Sylfaen" w:hAnsi="Sylfaen"/>
          <w:sz w:val="24"/>
          <w:szCs w:val="24"/>
        </w:rPr>
      </w:pPr>
      <w:r w:rsidRPr="00DD4367">
        <w:rPr>
          <w:rFonts w:ascii="Sylfaen" w:hAnsi="Sylfaen"/>
          <w:sz w:val="24"/>
          <w:szCs w:val="24"/>
        </w:rPr>
        <w:t>Հայտատուի պատասխանը գնահատվում է հայտատուի պատասխանն ստանալու օրվանից 5 աշխատանքային օրը չգերազանցող ժամկետում</w:t>
      </w:r>
      <w:r>
        <w:rPr>
          <w:rFonts w:ascii="Sylfaen" w:hAnsi="Sylfaen"/>
          <w:sz w:val="24"/>
          <w:szCs w:val="24"/>
        </w:rPr>
        <w:t>:</w:t>
      </w:r>
    </w:p>
    <w:p w14:paraId="4A68A50F" w14:textId="4FA3BB71" w:rsidR="00D25F26" w:rsidRPr="006F28F9" w:rsidRDefault="00D25F26" w:rsidP="00D25F26">
      <w:pPr>
        <w:rPr>
          <w:b/>
          <w:bCs/>
          <w:i/>
          <w:iCs/>
        </w:rPr>
      </w:pPr>
      <w:r w:rsidRPr="00CD4709">
        <w:rPr>
          <w:b/>
          <w:bCs/>
          <w:i/>
          <w:iCs/>
        </w:rPr>
        <w:t>(</w:t>
      </w:r>
      <w:r>
        <w:rPr>
          <w:b/>
          <w:bCs/>
          <w:i/>
          <w:iCs/>
        </w:rPr>
        <w:t xml:space="preserve">130-րդ կետը </w:t>
      </w:r>
      <w:r w:rsidRPr="00CD4709">
        <w:rPr>
          <w:b/>
          <w:bCs/>
          <w:i/>
          <w:iCs/>
        </w:rPr>
        <w:t>փոփ. 30.01.20 թիվ 9</w:t>
      </w:r>
      <w:r w:rsidR="00DD4367">
        <w:rPr>
          <w:b/>
          <w:bCs/>
          <w:i/>
          <w:iCs/>
        </w:rPr>
        <w:t>, փոփ., լրաց. 17.03.22 թիվ 36</w:t>
      </w:r>
      <w:r w:rsidRPr="00CD4709">
        <w:rPr>
          <w:b/>
          <w:bCs/>
          <w:i/>
          <w:iCs/>
        </w:rPr>
        <w:t>)</w:t>
      </w:r>
    </w:p>
    <w:p w14:paraId="2B911335" w14:textId="77777777" w:rsidR="00D25F26" w:rsidRDefault="00D25F26" w:rsidP="00D25F26">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131.</w:t>
      </w:r>
      <w:r w:rsidRPr="00834D52">
        <w:rPr>
          <w:rFonts w:ascii="Sylfaen" w:hAnsi="Sylfaen"/>
          <w:sz w:val="24"/>
          <w:szCs w:val="24"/>
        </w:rPr>
        <w:tab/>
        <w:t xml:space="preserve">Նախկինում արված դիտողությունների հիման վրա սահմանված ժամկետում գրանցման դոսյեի պակասող նյութերը չներկայացնելու </w:t>
      </w:r>
      <w:r>
        <w:rPr>
          <w:rFonts w:ascii="Sylfaen" w:hAnsi="Sylfaen"/>
          <w:sz w:val="24"/>
          <w:szCs w:val="24"/>
        </w:rPr>
        <w:t>և</w:t>
      </w:r>
      <w:r w:rsidRPr="00834D52">
        <w:rPr>
          <w:rFonts w:ascii="Sylfaen" w:hAnsi="Sylfaen"/>
          <w:sz w:val="24"/>
          <w:szCs w:val="24"/>
        </w:rPr>
        <w:t xml:space="preserve"> (կամ) </w:t>
      </w:r>
      <w:r>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Pr>
          <w:rFonts w:ascii="Sylfaen" w:hAnsi="Sylfaen"/>
          <w:sz w:val="24"/>
          <w:szCs w:val="24"/>
        </w:rPr>
        <w:t>և</w:t>
      </w:r>
      <w:r w:rsidRPr="00834D52">
        <w:rPr>
          <w:rFonts w:ascii="Sylfaen" w:hAnsi="Sylfaen"/>
          <w:sz w:val="24"/>
          <w:szCs w:val="24"/>
        </w:rPr>
        <w:t xml:space="preserve"> կարգով դեղապատրաստուկի գրանցման հաստատման (վերագրանցման) </w:t>
      </w:r>
      <w:r>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ինչպես նա</w:t>
      </w:r>
      <w:r>
        <w:rPr>
          <w:rFonts w:ascii="Sylfaen" w:hAnsi="Sylfaen"/>
          <w:sz w:val="24"/>
          <w:szCs w:val="24"/>
        </w:rPr>
        <w:t>և</w:t>
      </w:r>
      <w:r w:rsidRPr="00834D52">
        <w:rPr>
          <w:rFonts w:ascii="Sylfaen" w:hAnsi="Sylfaen"/>
          <w:sz w:val="24"/>
          <w:szCs w:val="24"/>
        </w:rPr>
        <w:t xml:space="preserve"> սույն Կանոնների 126</w:t>
      </w:r>
      <w:r w:rsidRPr="008341C7">
        <w:rPr>
          <w:rFonts w:ascii="Sylfaen" w:hAnsi="Sylfaen"/>
          <w:sz w:val="24"/>
          <w:szCs w:val="24"/>
        </w:rPr>
        <w:t>-</w:t>
      </w:r>
      <w:r w:rsidRPr="00834D52">
        <w:rPr>
          <w:rFonts w:ascii="Sylfaen" w:hAnsi="Sylfaen"/>
          <w:sz w:val="24"/>
          <w:szCs w:val="24"/>
        </w:rPr>
        <w:t xml:space="preserve">րդ կետում նշված գրանցման հաստատման (վերագրանցման) </w:t>
      </w:r>
      <w:r>
        <w:rPr>
          <w:rFonts w:ascii="Sylfaen" w:hAnsi="Sylfaen"/>
          <w:sz w:val="24"/>
          <w:szCs w:val="24"/>
        </w:rPr>
        <w:t>դիմում</w:t>
      </w:r>
      <w:r w:rsidRPr="00834D52">
        <w:rPr>
          <w:rFonts w:ascii="Sylfaen" w:hAnsi="Sylfaen"/>
          <w:sz w:val="24"/>
          <w:szCs w:val="24"/>
        </w:rPr>
        <w:t xml:space="preserve"> ներկայացնելու ժամկետի խախտման հետ կապված </w:t>
      </w:r>
      <w:r>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մերժում է դեղապատրաստուկի գրանցման հաստատման (վերագրանցման) </w:t>
      </w:r>
      <w:r>
        <w:rPr>
          <w:rFonts w:ascii="Sylfaen" w:hAnsi="Sylfaen"/>
          <w:sz w:val="24"/>
          <w:szCs w:val="24"/>
        </w:rPr>
        <w:t>դիմում</w:t>
      </w:r>
      <w:r w:rsidRPr="00834D52">
        <w:rPr>
          <w:rFonts w:ascii="Sylfaen" w:hAnsi="Sylfaen"/>
          <w:sz w:val="24"/>
          <w:szCs w:val="24"/>
        </w:rPr>
        <w:t xml:space="preserve">ը </w:t>
      </w:r>
      <w:r>
        <w:rPr>
          <w:rFonts w:ascii="Sylfaen" w:hAnsi="Sylfaen"/>
          <w:sz w:val="24"/>
          <w:szCs w:val="24"/>
        </w:rPr>
        <w:t>և</w:t>
      </w:r>
      <w:r w:rsidRPr="00834D52">
        <w:rPr>
          <w:rFonts w:ascii="Sylfaen" w:hAnsi="Sylfaen"/>
          <w:sz w:val="24"/>
          <w:szCs w:val="24"/>
        </w:rPr>
        <w:t xml:space="preserve"> գրավոր </w:t>
      </w:r>
      <w:r>
        <w:rPr>
          <w:rFonts w:ascii="Sylfaen" w:hAnsi="Sylfaen"/>
          <w:sz w:val="24"/>
          <w:szCs w:val="24"/>
        </w:rPr>
        <w:t>և</w:t>
      </w:r>
      <w:r w:rsidRPr="00834D52">
        <w:rPr>
          <w:rFonts w:ascii="Sylfaen" w:hAnsi="Sylfaen"/>
          <w:sz w:val="24"/>
          <w:szCs w:val="24"/>
        </w:rPr>
        <w:t xml:space="preserve"> (կամ) էլեկտրոնային եղանակով տեղեկացնում է այդ մասին ճանաչման պետությունների լիազորված մարմիններին (փորձագիտական կազմակերպություններին) </w:t>
      </w:r>
      <w:r>
        <w:rPr>
          <w:rFonts w:ascii="Sylfaen" w:hAnsi="Sylfaen"/>
          <w:sz w:val="24"/>
          <w:szCs w:val="24"/>
        </w:rPr>
        <w:t>և</w:t>
      </w:r>
      <w:r w:rsidRPr="00834D52">
        <w:rPr>
          <w:rFonts w:ascii="Sylfaen" w:hAnsi="Sylfaen"/>
          <w:sz w:val="24"/>
          <w:szCs w:val="24"/>
        </w:rPr>
        <w:t xml:space="preserve"> </w:t>
      </w:r>
      <w:r>
        <w:rPr>
          <w:rFonts w:ascii="Sylfaen" w:hAnsi="Sylfaen"/>
          <w:sz w:val="24"/>
          <w:szCs w:val="24"/>
        </w:rPr>
        <w:t>դիմումատու</w:t>
      </w:r>
      <w:r w:rsidRPr="00834D52">
        <w:rPr>
          <w:rFonts w:ascii="Sylfaen" w:hAnsi="Sylfaen"/>
          <w:sz w:val="24"/>
          <w:szCs w:val="24"/>
        </w:rPr>
        <w:t>ին։</w:t>
      </w:r>
    </w:p>
    <w:p w14:paraId="779A9B29" w14:textId="77777777" w:rsidR="00D25F26" w:rsidRPr="006F28F9" w:rsidRDefault="00D25F26" w:rsidP="00D25F26">
      <w:pPr>
        <w:rPr>
          <w:b/>
          <w:bCs/>
          <w:i/>
          <w:iCs/>
        </w:rPr>
      </w:pPr>
      <w:r w:rsidRPr="00CD4709">
        <w:rPr>
          <w:b/>
          <w:bCs/>
          <w:i/>
          <w:iCs/>
        </w:rPr>
        <w:lastRenderedPageBreak/>
        <w:t>(</w:t>
      </w:r>
      <w:r>
        <w:rPr>
          <w:b/>
          <w:bCs/>
          <w:i/>
          <w:iCs/>
        </w:rPr>
        <w:t xml:space="preserve">131-րդ կետը </w:t>
      </w:r>
      <w:r w:rsidRPr="00CD4709">
        <w:rPr>
          <w:b/>
          <w:bCs/>
          <w:i/>
          <w:iCs/>
        </w:rPr>
        <w:t>փոփ. 30.01.20 թիվ 9)</w:t>
      </w:r>
    </w:p>
    <w:p w14:paraId="14277418" w14:textId="77777777" w:rsidR="00136F5C" w:rsidRPr="00136F5C" w:rsidRDefault="00D25F26" w:rsidP="00136F5C">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132.</w:t>
      </w:r>
      <w:r w:rsidRPr="00834D52">
        <w:rPr>
          <w:rFonts w:ascii="Sylfaen" w:hAnsi="Sylfaen"/>
          <w:sz w:val="24"/>
          <w:szCs w:val="24"/>
        </w:rPr>
        <w:tab/>
      </w:r>
      <w:r w:rsidR="00136F5C" w:rsidRPr="00136F5C">
        <w:rPr>
          <w:rFonts w:ascii="Sylfaen" w:hAnsi="Sylfaen"/>
          <w:sz w:val="24"/>
          <w:szCs w:val="24"/>
        </w:rPr>
        <w:t>Առարկայական փորձաքննության և փորձաքննության անցկացման համապատասխան առաջադրանքի ստացման օրվանից 30 աշխատանքային օրվա ընթացքում ռեֆերենտ պետության լիազորված մարմինը (փորձագիտական կազմակերպությունը) կազմում է նախնական փորձագիտական հաշվետվություն՝ ըստ սույն կանոնների թիվ 11 հավելվածով սահմանված ձևի՝ դիտողությունների ձևակերպմամբ, կամ հայտատուին հարցման նախագիծը և ուղարկվում է ինտեգրված համակարգի միջոցների օգտագործմամբ ճանաչման պետությունների լիազորված մարմիններին (փորձագիտական կազմակերպություններին):</w:t>
      </w:r>
    </w:p>
    <w:p w14:paraId="489D6A46" w14:textId="77777777" w:rsidR="00136F5C" w:rsidRPr="00136F5C" w:rsidRDefault="00136F5C" w:rsidP="00136F5C">
      <w:pPr>
        <w:tabs>
          <w:tab w:val="left" w:pos="1134"/>
        </w:tabs>
        <w:spacing w:after="160" w:line="360" w:lineRule="auto"/>
        <w:ind w:right="-8" w:firstLine="567"/>
        <w:jc w:val="both"/>
        <w:rPr>
          <w:rFonts w:ascii="Sylfaen" w:hAnsi="Sylfaen"/>
          <w:sz w:val="24"/>
          <w:szCs w:val="24"/>
        </w:rPr>
      </w:pPr>
    </w:p>
    <w:p w14:paraId="013F7BF8" w14:textId="5A02EA0D" w:rsidR="00D25F26" w:rsidRDefault="00136F5C" w:rsidP="00136F5C">
      <w:pPr>
        <w:tabs>
          <w:tab w:val="left" w:pos="1134"/>
        </w:tabs>
        <w:spacing w:after="160" w:line="360" w:lineRule="auto"/>
        <w:ind w:right="-8" w:firstLine="567"/>
        <w:jc w:val="both"/>
        <w:rPr>
          <w:rFonts w:ascii="Sylfaen" w:hAnsi="Sylfaen"/>
          <w:sz w:val="24"/>
          <w:szCs w:val="24"/>
        </w:rPr>
      </w:pPr>
      <w:r w:rsidRPr="00136F5C">
        <w:rPr>
          <w:rFonts w:ascii="Sylfaen" w:hAnsi="Sylfaen"/>
          <w:sz w:val="24"/>
          <w:szCs w:val="24"/>
        </w:rPr>
        <w:t>Ռեֆերենտ պետությունում փորձաքննությունը կասեցվում է մինչև ընթացակարգում մասնակցող ճանաչման բոլոր պետություններից լրացուցիչ դիտողությունների կամ նախնական հաշվետվության կամ ռեֆերենտ պետության հարցման հետ համաձայնեցման մասին տեղեկատվության ստացման օրը</w:t>
      </w:r>
      <w:r w:rsidR="00D25F26" w:rsidRPr="00834D52">
        <w:rPr>
          <w:rFonts w:ascii="Sylfaen" w:hAnsi="Sylfaen"/>
          <w:sz w:val="24"/>
          <w:szCs w:val="24"/>
        </w:rPr>
        <w:t>։</w:t>
      </w:r>
    </w:p>
    <w:p w14:paraId="7B83872C" w14:textId="3D4538DD" w:rsidR="00D25F26" w:rsidRPr="006F28F9" w:rsidRDefault="00D25F26" w:rsidP="00D25F26">
      <w:pPr>
        <w:rPr>
          <w:b/>
          <w:bCs/>
          <w:i/>
          <w:iCs/>
        </w:rPr>
      </w:pPr>
      <w:r w:rsidRPr="00CD4709">
        <w:rPr>
          <w:b/>
          <w:bCs/>
          <w:i/>
          <w:iCs/>
        </w:rPr>
        <w:t>(</w:t>
      </w:r>
      <w:r>
        <w:rPr>
          <w:b/>
          <w:bCs/>
          <w:i/>
          <w:iCs/>
        </w:rPr>
        <w:t xml:space="preserve">132-րդ կետը </w:t>
      </w:r>
      <w:r w:rsidRPr="00CD4709">
        <w:rPr>
          <w:b/>
          <w:bCs/>
          <w:i/>
          <w:iCs/>
        </w:rPr>
        <w:t>փոփ. 30.01.20 թիվ 9</w:t>
      </w:r>
      <w:r w:rsidR="00136F5C">
        <w:rPr>
          <w:b/>
          <w:bCs/>
          <w:i/>
          <w:iCs/>
        </w:rPr>
        <w:t>, խմբ. 17.03.22 թիվ 36</w:t>
      </w:r>
      <w:r w:rsidRPr="00CD4709">
        <w:rPr>
          <w:b/>
          <w:bCs/>
          <w:i/>
          <w:iCs/>
        </w:rPr>
        <w:t>)</w:t>
      </w:r>
    </w:p>
    <w:p w14:paraId="7FE59805" w14:textId="4A6127E2" w:rsidR="00D25F26" w:rsidRDefault="00D25F26" w:rsidP="00D25F26">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133.</w:t>
      </w:r>
      <w:r w:rsidRPr="00834D52">
        <w:rPr>
          <w:rFonts w:ascii="Sylfaen" w:hAnsi="Sylfaen"/>
          <w:sz w:val="24"/>
          <w:szCs w:val="24"/>
        </w:rPr>
        <w:tab/>
        <w:t>Դեղապատրաստուկի օգուտ</w:t>
      </w:r>
      <w:r w:rsidRPr="008341C7">
        <w:rPr>
          <w:rFonts w:ascii="Sylfaen" w:hAnsi="Sylfaen"/>
          <w:sz w:val="24"/>
          <w:szCs w:val="24"/>
        </w:rPr>
        <w:t>-</w:t>
      </w:r>
      <w:r w:rsidRPr="00834D52">
        <w:rPr>
          <w:rFonts w:ascii="Sylfaen" w:hAnsi="Sylfaen"/>
          <w:sz w:val="24"/>
          <w:szCs w:val="24"/>
        </w:rPr>
        <w:t xml:space="preserve">ռիսկ հարաբերակցության վերաբերյալ </w:t>
      </w:r>
      <w:r>
        <w:rPr>
          <w:rFonts w:ascii="Sylfaen" w:hAnsi="Sylfaen"/>
          <w:sz w:val="24"/>
          <w:szCs w:val="24"/>
        </w:rPr>
        <w:t xml:space="preserve">ռեֆերենտ </w:t>
      </w:r>
      <w:r w:rsidRPr="00834D52">
        <w:rPr>
          <w:rFonts w:ascii="Sylfaen" w:hAnsi="Sylfaen"/>
          <w:sz w:val="24"/>
          <w:szCs w:val="24"/>
        </w:rPr>
        <w:t>պետության ներկայացրած՝ գնահատման վերաբերյալ նախնական փորձագիտական հաշվետվության եզրահանգումների հետ անհամաձայնության կամ ճանաչման պետությունների լիազորված մարմինների (փորձագիտական կազմակերպությունների) կողմից 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փաթեթվածքների մանրակերտերում կամ գրանցման դոսյեի այլ փաստաթղթերում փոփոխություններ կատարելու մասին պահանջի առկայության դեպքում ճանաչման պետության լիազորված մարմինը (փորձագիտական կազմակերպությունը) </w:t>
      </w:r>
      <w:r>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կողմից գնահատման վերաբերյալ նախնական փորձագիտական հաշվետվությունն </w:t>
      </w:r>
      <w:r w:rsidR="00BB3749" w:rsidRPr="00BB3749">
        <w:rPr>
          <w:rFonts w:ascii="Sylfaen" w:hAnsi="Sylfaen"/>
          <w:sz w:val="24"/>
          <w:szCs w:val="24"/>
        </w:rPr>
        <w:t>ստանալու օրվանից ոչ ուշ, քան 20 աշխատանքային օրվա ընթացքում</w:t>
      </w:r>
      <w:r w:rsidRPr="00834D52">
        <w:rPr>
          <w:rFonts w:ascii="Sylfaen" w:hAnsi="Sylfaen"/>
          <w:sz w:val="24"/>
          <w:szCs w:val="24"/>
        </w:rPr>
        <w:t xml:space="preserve"> ինտեգերված համակարգի միջոցների օգտագործմամբ համապատասխան հիմնավորված հարցում է ուղարկում </w:t>
      </w:r>
      <w:r>
        <w:rPr>
          <w:rFonts w:ascii="Sylfaen" w:hAnsi="Sylfaen"/>
          <w:sz w:val="24"/>
          <w:szCs w:val="24"/>
        </w:rPr>
        <w:lastRenderedPageBreak/>
        <w:t xml:space="preserve">ռեֆերենտ </w:t>
      </w:r>
      <w:r w:rsidRPr="00834D52">
        <w:rPr>
          <w:rFonts w:ascii="Sylfaen" w:hAnsi="Sylfaen"/>
          <w:sz w:val="24"/>
          <w:szCs w:val="24"/>
        </w:rPr>
        <w:t>պետության լիազորված մարմին (փորձագիտական կազմակերպություն)։</w:t>
      </w:r>
    </w:p>
    <w:p w14:paraId="0C43DAB4" w14:textId="087C7547" w:rsidR="00BB3749" w:rsidRPr="00BB3749" w:rsidRDefault="00BB3749" w:rsidP="00BB3749">
      <w:pPr>
        <w:rPr>
          <w:b/>
          <w:bCs/>
          <w:i/>
          <w:iCs/>
        </w:rPr>
      </w:pPr>
      <w:r w:rsidRPr="00CD4709">
        <w:rPr>
          <w:b/>
          <w:bCs/>
          <w:i/>
          <w:iCs/>
        </w:rPr>
        <w:t>(</w:t>
      </w:r>
      <w:r>
        <w:rPr>
          <w:b/>
          <w:bCs/>
          <w:i/>
          <w:iCs/>
        </w:rPr>
        <w:t xml:space="preserve">133-րդ կետը </w:t>
      </w:r>
      <w:r w:rsidRPr="00CD4709">
        <w:rPr>
          <w:b/>
          <w:bCs/>
          <w:i/>
          <w:iCs/>
        </w:rPr>
        <w:t>փոփ</w:t>
      </w:r>
      <w:r>
        <w:rPr>
          <w:b/>
          <w:bCs/>
          <w:i/>
          <w:iCs/>
        </w:rPr>
        <w:t>. 17.03.22</w:t>
      </w:r>
      <w:r w:rsidRPr="00CD4709">
        <w:rPr>
          <w:b/>
          <w:bCs/>
          <w:i/>
          <w:iCs/>
        </w:rPr>
        <w:t xml:space="preserve"> թիվ </w:t>
      </w:r>
      <w:r>
        <w:rPr>
          <w:b/>
          <w:bCs/>
          <w:i/>
          <w:iCs/>
        </w:rPr>
        <w:t>36</w:t>
      </w:r>
      <w:r w:rsidRPr="00CD4709">
        <w:rPr>
          <w:b/>
          <w:bCs/>
          <w:i/>
          <w:iCs/>
        </w:rPr>
        <w:t>)</w:t>
      </w:r>
    </w:p>
    <w:p w14:paraId="2605F8EB" w14:textId="77777777" w:rsidR="00D25F26" w:rsidRPr="00834D52" w:rsidRDefault="00D25F26" w:rsidP="00D25F2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134.</w:t>
      </w:r>
      <w:r w:rsidRPr="00834D52">
        <w:rPr>
          <w:rFonts w:ascii="Sylfaen" w:hAnsi="Sylfaen"/>
          <w:sz w:val="24"/>
          <w:szCs w:val="24"/>
        </w:rPr>
        <w:tab/>
        <w:t xml:space="preserve">Ճանաչման պետությունների կողմից </w:t>
      </w:r>
      <w:r>
        <w:rPr>
          <w:rFonts w:ascii="Sylfaen" w:hAnsi="Sylfaen"/>
          <w:sz w:val="24"/>
          <w:szCs w:val="24"/>
        </w:rPr>
        <w:t>ռեֆերենտ</w:t>
      </w:r>
      <w:r w:rsidRPr="00834D52">
        <w:rPr>
          <w:rFonts w:ascii="Sylfaen" w:hAnsi="Sylfaen"/>
          <w:sz w:val="24"/>
          <w:szCs w:val="24"/>
        </w:rPr>
        <w:t xml:space="preserve"> պետության փորձագիտական կազմակերպության պատրաստած՝ գնահատման վերաբերյալ նախնական փորձագիտական հաշվետվության քննության, </w:t>
      </w:r>
      <w:r>
        <w:rPr>
          <w:rFonts w:ascii="Sylfaen" w:hAnsi="Sylfaen"/>
          <w:sz w:val="24"/>
          <w:szCs w:val="24"/>
        </w:rPr>
        <w:t xml:space="preserve">ռեֆերենտ </w:t>
      </w:r>
      <w:r w:rsidRPr="00834D52">
        <w:rPr>
          <w:rFonts w:ascii="Sylfaen" w:hAnsi="Sylfaen"/>
          <w:sz w:val="24"/>
          <w:szCs w:val="24"/>
        </w:rPr>
        <w:t xml:space="preserve">պետության լիազորված մարմինների (փորձագիտական կազմակերպությունների) կողմից ճանաչման պետությունների լիազորված մարմինների (փորձագիտական կազմակերպությունների) հարցումների քննության </w:t>
      </w:r>
      <w:r>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կողմից </w:t>
      </w:r>
      <w:r>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եզրափակիչ փորձագիտական հաշվետվության քննության ընթացքում ընթացակարգին մասնակցող անդամ պետությունների լիազորված մարմինների (փորձագիտական կազմակերպությունների) միջ</w:t>
      </w:r>
      <w:r>
        <w:rPr>
          <w:rFonts w:ascii="Sylfaen" w:hAnsi="Sylfaen"/>
          <w:sz w:val="24"/>
          <w:szCs w:val="24"/>
        </w:rPr>
        <w:t>և</w:t>
      </w:r>
      <w:r w:rsidRPr="00834D52">
        <w:rPr>
          <w:rFonts w:ascii="Sylfaen" w:hAnsi="Sylfaen"/>
          <w:sz w:val="24"/>
          <w:szCs w:val="24"/>
        </w:rPr>
        <w:t xml:space="preserve"> ինտեգրված համակարգի միջոցների օգտագործմամբ իրականացվում են խորհրդակցություններ՝ սույն Կանոնների թիվ 18 հավելվածին համապատասխան սահմանված ձ</w:t>
      </w:r>
      <w:r>
        <w:rPr>
          <w:rFonts w:ascii="Sylfaen" w:hAnsi="Sylfaen"/>
          <w:sz w:val="24"/>
          <w:szCs w:val="24"/>
        </w:rPr>
        <w:t>և</w:t>
      </w:r>
      <w:r w:rsidRPr="00834D52">
        <w:rPr>
          <w:rFonts w:ascii="Sylfaen" w:hAnsi="Sylfaen"/>
          <w:sz w:val="24"/>
          <w:szCs w:val="24"/>
        </w:rPr>
        <w:t xml:space="preserve">ով, որոնց ընթացքում համաձայնեցվում է </w:t>
      </w:r>
      <w:r>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պատրաստած՝ գնահատման վերաբերյալ եզրափակիչ փորձագիտական հաշվետվությունը։</w:t>
      </w:r>
    </w:p>
    <w:p w14:paraId="4E2B2803" w14:textId="79FF9F53" w:rsidR="00D25F26" w:rsidRPr="00834D52" w:rsidRDefault="00D25F26" w:rsidP="00D25F2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135.</w:t>
      </w:r>
      <w:r w:rsidRPr="00834D52">
        <w:rPr>
          <w:rFonts w:ascii="Sylfaen" w:hAnsi="Sylfaen"/>
          <w:sz w:val="24"/>
          <w:szCs w:val="24"/>
        </w:rPr>
        <w:tab/>
      </w:r>
      <w:r w:rsidR="00BB3749" w:rsidRPr="00BB3749">
        <w:rPr>
          <w:rFonts w:ascii="Sylfaen" w:hAnsi="Sylfaen"/>
          <w:sz w:val="24"/>
          <w:szCs w:val="24"/>
        </w:rPr>
        <w:t xml:space="preserve">Ռեֆերենտ պետության լիազորված մարմինը (փորձագիտական կազմակերպությունը) դեղապատրաստուկի գրանցման հաստատման (վերագրանցման) և փորձաքննության ընթացակարգ անցկացնելիս ճանաչման պետությունների լիազորված մարմիններից (փորձագիտական կազմակերպություններից) լրացուցիչ դիտողություններ կամ ռեֆերենտ պետության պատրաստած նախնական փորձագիտական հաշվետվության հետ համաձայնեցման մասին տեղեկատվություն ստանալու օրվանից 10 աշխատանքային օրվանից ոչ ուշ իրավունք ունի հայտատուին ուղարկելու գրավոր և (կամ) էլեկտրոնային տեսքով՝ պակասող լրացուցիչ տեղեկատվության, ներկայացված փաստաթղթերին և գրանցման դոսյեի տվյալներին վերաբերող անհրաժեշտ պարզաբանումների կամ ճշգրտումների ներկայացման մասին ամփոփ </w:t>
      </w:r>
      <w:r w:rsidR="00BB3749" w:rsidRPr="00BB3749">
        <w:rPr>
          <w:rFonts w:ascii="Sylfaen" w:hAnsi="Sylfaen"/>
          <w:sz w:val="24"/>
          <w:szCs w:val="24"/>
        </w:rPr>
        <w:lastRenderedPageBreak/>
        <w:t>հարցում (այդ թվում՝ դեղապատրաստուկի ընդհանուր բնութագրում, բժշկական կիրառման հրահանգում, դեղապատրաստուկի փաթեթվածքների մանրակերտում, որակի նորմատիվ փաստաթղթում կամ գրանցման դոսյեի այլ փաստաթղթերում փոփոխություններ կատարելու մասին առաջարկություններ</w:t>
      </w:r>
      <w:r w:rsidRPr="00834D52">
        <w:rPr>
          <w:rFonts w:ascii="Sylfaen" w:hAnsi="Sylfaen"/>
          <w:sz w:val="24"/>
          <w:szCs w:val="24"/>
        </w:rPr>
        <w:t>։</w:t>
      </w:r>
    </w:p>
    <w:p w14:paraId="68AAD05B" w14:textId="6F50BABD" w:rsidR="00D25F26" w:rsidRPr="00834D52" w:rsidRDefault="00D25F26" w:rsidP="00D25F26">
      <w:pPr>
        <w:tabs>
          <w:tab w:val="left" w:pos="1134"/>
        </w:tabs>
        <w:spacing w:after="160" w:line="341" w:lineRule="auto"/>
        <w:ind w:right="-8" w:firstLine="567"/>
        <w:jc w:val="both"/>
        <w:rPr>
          <w:rFonts w:ascii="Sylfaen" w:eastAsia="Times New Roman" w:hAnsi="Sylfaen" w:cs="Times New Roman"/>
          <w:sz w:val="24"/>
          <w:szCs w:val="24"/>
        </w:rPr>
      </w:pPr>
      <w:r>
        <w:rPr>
          <w:rFonts w:ascii="Sylfaen" w:hAnsi="Sylfaen"/>
          <w:spacing w:val="-4"/>
          <w:sz w:val="24"/>
          <w:szCs w:val="24"/>
        </w:rPr>
        <w:t>Դիմումատու</w:t>
      </w:r>
      <w:r w:rsidRPr="00834D52">
        <w:rPr>
          <w:rFonts w:ascii="Sylfaen" w:hAnsi="Sylfaen"/>
          <w:spacing w:val="-4"/>
          <w:sz w:val="24"/>
          <w:szCs w:val="24"/>
        </w:rPr>
        <w:t xml:space="preserve">ի կողմից նշված հարցմանը պատասխան ներկայացնելու ժամկետը չպետք է գերազանցի 90 </w:t>
      </w:r>
      <w:r w:rsidR="00BB3749">
        <w:rPr>
          <w:rFonts w:ascii="Arial Unicode" w:hAnsi="Arial Unicode"/>
          <w:sz w:val="21"/>
          <w:szCs w:val="21"/>
        </w:rPr>
        <w:t>աշխատանքային</w:t>
      </w:r>
      <w:r w:rsidRPr="00834D52">
        <w:rPr>
          <w:rFonts w:ascii="Sylfaen" w:hAnsi="Sylfaen"/>
          <w:spacing w:val="-4"/>
          <w:sz w:val="24"/>
          <w:szCs w:val="24"/>
        </w:rPr>
        <w:t xml:space="preserve"> օրը: Դեղապատրաստուկի գրանցման հաստատման (վերագրանցման) </w:t>
      </w:r>
      <w:r>
        <w:rPr>
          <w:rFonts w:ascii="Sylfaen" w:hAnsi="Sylfaen"/>
          <w:spacing w:val="-4"/>
          <w:sz w:val="24"/>
          <w:szCs w:val="24"/>
        </w:rPr>
        <w:t>և</w:t>
      </w:r>
      <w:r w:rsidRPr="00834D52">
        <w:rPr>
          <w:rFonts w:ascii="Sylfaen" w:hAnsi="Sylfaen"/>
          <w:spacing w:val="-4"/>
          <w:sz w:val="24"/>
          <w:szCs w:val="24"/>
        </w:rPr>
        <w:t xml:space="preserve"> փորձաքննության ընթացքում </w:t>
      </w:r>
      <w:r>
        <w:rPr>
          <w:rFonts w:ascii="Sylfaen" w:hAnsi="Sylfaen"/>
          <w:spacing w:val="-4"/>
          <w:sz w:val="24"/>
          <w:szCs w:val="24"/>
        </w:rPr>
        <w:t xml:space="preserve">ռեֆերենտ </w:t>
      </w:r>
      <w:r w:rsidRPr="00834D52">
        <w:rPr>
          <w:rFonts w:ascii="Sylfaen" w:hAnsi="Sylfaen"/>
          <w:spacing w:val="-4"/>
          <w:sz w:val="24"/>
          <w:szCs w:val="24"/>
        </w:rPr>
        <w:t xml:space="preserve">պետության լիազորված մարմնի (փորձագիտական կազմակերպության) հարցման հիման վրա </w:t>
      </w:r>
      <w:r>
        <w:rPr>
          <w:rFonts w:ascii="Sylfaen" w:hAnsi="Sylfaen"/>
          <w:spacing w:val="-4"/>
          <w:sz w:val="24"/>
          <w:szCs w:val="24"/>
        </w:rPr>
        <w:t>դիմումատու</w:t>
      </w:r>
      <w:r w:rsidRPr="00834D52">
        <w:rPr>
          <w:rFonts w:ascii="Sylfaen" w:hAnsi="Sylfaen"/>
          <w:spacing w:val="-4"/>
          <w:sz w:val="24"/>
          <w:szCs w:val="24"/>
        </w:rPr>
        <w:t xml:space="preserve">ի կողմից փաստաթղթեր ներկայացնելու ժամկետը չի մտնում դեղապատրաստուկի գրանցման հաստատում (վերագրանցում) </w:t>
      </w:r>
      <w:r>
        <w:rPr>
          <w:rFonts w:ascii="Sylfaen" w:hAnsi="Sylfaen"/>
          <w:spacing w:val="-4"/>
          <w:sz w:val="24"/>
          <w:szCs w:val="24"/>
        </w:rPr>
        <w:t>և</w:t>
      </w:r>
      <w:r w:rsidRPr="00834D52">
        <w:rPr>
          <w:rFonts w:ascii="Sylfaen" w:hAnsi="Sylfaen"/>
          <w:spacing w:val="-4"/>
          <w:sz w:val="24"/>
          <w:szCs w:val="24"/>
        </w:rPr>
        <w:t xml:space="preserve"> փորձաքննություն անցկացնելու ժամկետների</w:t>
      </w:r>
      <w:r w:rsidRPr="00834D52">
        <w:rPr>
          <w:rFonts w:ascii="Sylfaen" w:hAnsi="Sylfaen"/>
          <w:sz w:val="24"/>
          <w:szCs w:val="24"/>
        </w:rPr>
        <w:t xml:space="preserve"> մեջ։</w:t>
      </w:r>
    </w:p>
    <w:p w14:paraId="7C082805" w14:textId="172051D7" w:rsidR="00D25F26" w:rsidRPr="00834D52" w:rsidRDefault="00BB3749" w:rsidP="00D25F26">
      <w:pPr>
        <w:tabs>
          <w:tab w:val="left" w:pos="1134"/>
        </w:tabs>
        <w:spacing w:after="160" w:line="341" w:lineRule="auto"/>
        <w:ind w:right="-8" w:firstLine="567"/>
        <w:jc w:val="both"/>
        <w:rPr>
          <w:rFonts w:ascii="Sylfaen" w:eastAsia="Times New Roman" w:hAnsi="Sylfaen" w:cs="Times New Roman"/>
          <w:sz w:val="24"/>
          <w:szCs w:val="24"/>
        </w:rPr>
      </w:pPr>
      <w:r w:rsidRPr="00BB3749">
        <w:rPr>
          <w:rFonts w:ascii="Sylfaen" w:hAnsi="Sylfaen"/>
          <w:sz w:val="24"/>
          <w:szCs w:val="24"/>
        </w:rPr>
        <w:t>Ռեֆերենտ պետության փորձագիտական կազմակերպությունը դեղապատրաստուկի փորձաքննության շրջանակներում անցկացնում է հայտատուի պատասխանի քննարկում և փորձագիտական եզրափակիչ հաշվետվության պատրաստում՝ ըստ սույն կանոնների թիվ 16 հավելվածով սահմանված ձևի՝ 20 աշխատանքային օրվանից ոչ ավելի ժամկետում</w:t>
      </w:r>
      <w:r w:rsidR="00D25F26" w:rsidRPr="00834D52">
        <w:rPr>
          <w:rFonts w:ascii="Sylfaen" w:hAnsi="Sylfaen"/>
          <w:sz w:val="24"/>
          <w:szCs w:val="24"/>
        </w:rPr>
        <w:t>։</w:t>
      </w:r>
    </w:p>
    <w:p w14:paraId="5FF43669" w14:textId="77777777"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Սահմանված ժամկետում պահանջված փաստաթղթերը </w:t>
      </w:r>
      <w:r>
        <w:rPr>
          <w:rFonts w:ascii="Sylfaen" w:hAnsi="Sylfaen"/>
          <w:sz w:val="24"/>
          <w:szCs w:val="24"/>
        </w:rPr>
        <w:t>և</w:t>
      </w:r>
      <w:r w:rsidRPr="00834D52">
        <w:rPr>
          <w:rFonts w:ascii="Sylfaen" w:hAnsi="Sylfaen"/>
          <w:sz w:val="24"/>
          <w:szCs w:val="24"/>
        </w:rPr>
        <w:t xml:space="preserve"> տվյալները </w:t>
      </w:r>
      <w:r>
        <w:rPr>
          <w:rFonts w:ascii="Sylfaen" w:hAnsi="Sylfaen"/>
          <w:sz w:val="24"/>
          <w:szCs w:val="24"/>
        </w:rPr>
        <w:t>դիմումատու</w:t>
      </w:r>
      <w:r w:rsidRPr="00834D52">
        <w:rPr>
          <w:rFonts w:ascii="Sylfaen" w:hAnsi="Sylfaen"/>
          <w:sz w:val="24"/>
          <w:szCs w:val="24"/>
        </w:rPr>
        <w:t>ի կողմից չներկայացնելու դեպքում դեղապատրաստուկի փորձաքննությունն ու գրանցման հաստատումը (վերագրանցումը) դադարեցվում</w:t>
      </w:r>
      <w:r w:rsidRPr="002442DD">
        <w:rPr>
          <w:rFonts w:ascii="Sylfaen" w:hAnsi="Sylfaen"/>
          <w:sz w:val="24"/>
          <w:szCs w:val="24"/>
        </w:rPr>
        <w:t> </w:t>
      </w:r>
      <w:r w:rsidRPr="00834D52">
        <w:rPr>
          <w:rFonts w:ascii="Sylfaen" w:hAnsi="Sylfaen"/>
          <w:sz w:val="24"/>
          <w:szCs w:val="24"/>
        </w:rPr>
        <w:t xml:space="preserve">է։ Կայացված որոշման մասին </w:t>
      </w:r>
      <w:r>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այդ որոշումը կայացնելու օրվանից 14 աշխատանքային օրվա ընթացքում գրավոր </w:t>
      </w:r>
      <w:r>
        <w:rPr>
          <w:rFonts w:ascii="Sylfaen" w:hAnsi="Sylfaen"/>
          <w:sz w:val="24"/>
          <w:szCs w:val="24"/>
        </w:rPr>
        <w:t>և</w:t>
      </w:r>
      <w:r w:rsidRPr="00834D52">
        <w:rPr>
          <w:rFonts w:ascii="Sylfaen" w:hAnsi="Sylfaen"/>
          <w:sz w:val="24"/>
          <w:szCs w:val="24"/>
        </w:rPr>
        <w:t xml:space="preserve"> (կամ) էլեկտրոնային եղանակով ծանուցում է ճանաչման պետության լիազորված մարմիններին (փորձագիտական կազմակերպություններին) </w:t>
      </w:r>
      <w:r>
        <w:rPr>
          <w:rFonts w:ascii="Sylfaen" w:hAnsi="Sylfaen"/>
          <w:sz w:val="24"/>
          <w:szCs w:val="24"/>
        </w:rPr>
        <w:t>և</w:t>
      </w:r>
      <w:r w:rsidRPr="00834D52">
        <w:rPr>
          <w:rFonts w:ascii="Sylfaen" w:hAnsi="Sylfaen"/>
          <w:sz w:val="24"/>
          <w:szCs w:val="24"/>
        </w:rPr>
        <w:t xml:space="preserve"> </w:t>
      </w:r>
      <w:r>
        <w:rPr>
          <w:rFonts w:ascii="Sylfaen" w:hAnsi="Sylfaen"/>
          <w:sz w:val="24"/>
          <w:szCs w:val="24"/>
        </w:rPr>
        <w:t>դիմումատու</w:t>
      </w:r>
      <w:r w:rsidRPr="00834D52">
        <w:rPr>
          <w:rFonts w:ascii="Sylfaen" w:hAnsi="Sylfaen"/>
          <w:sz w:val="24"/>
          <w:szCs w:val="24"/>
        </w:rPr>
        <w:t>ին։</w:t>
      </w:r>
    </w:p>
    <w:p w14:paraId="36D837E1" w14:textId="28B4077D" w:rsidR="00D25F26" w:rsidRPr="006F28F9" w:rsidRDefault="00D25F26" w:rsidP="00D25F26">
      <w:pPr>
        <w:rPr>
          <w:b/>
          <w:bCs/>
          <w:i/>
          <w:iCs/>
        </w:rPr>
      </w:pPr>
      <w:r w:rsidRPr="00CD4709">
        <w:rPr>
          <w:b/>
          <w:bCs/>
          <w:i/>
          <w:iCs/>
        </w:rPr>
        <w:t>(</w:t>
      </w:r>
      <w:r>
        <w:rPr>
          <w:b/>
          <w:bCs/>
          <w:i/>
          <w:iCs/>
        </w:rPr>
        <w:t xml:space="preserve">135-րդ կետը </w:t>
      </w:r>
      <w:r w:rsidRPr="00CD4709">
        <w:rPr>
          <w:b/>
          <w:bCs/>
          <w:i/>
          <w:iCs/>
        </w:rPr>
        <w:t>փոփ. 30.01.20 թիվ 9</w:t>
      </w:r>
      <w:r w:rsidR="00BB3749">
        <w:rPr>
          <w:b/>
          <w:bCs/>
          <w:i/>
          <w:iCs/>
        </w:rPr>
        <w:t>, խմբ., փոփ. 17.03.22 թիվ 36</w:t>
      </w:r>
      <w:r w:rsidRPr="00CD4709">
        <w:rPr>
          <w:b/>
          <w:bCs/>
          <w:i/>
          <w:iCs/>
        </w:rPr>
        <w:t>)</w:t>
      </w:r>
    </w:p>
    <w:p w14:paraId="1FE4957F" w14:textId="0A0475CA"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136.</w:t>
      </w:r>
      <w:r w:rsidRPr="00834D52">
        <w:rPr>
          <w:rFonts w:ascii="Sylfaen" w:hAnsi="Sylfaen"/>
          <w:sz w:val="24"/>
          <w:szCs w:val="24"/>
        </w:rPr>
        <w:tab/>
      </w:r>
      <w:r w:rsidR="00F13EB4" w:rsidRPr="00F13EB4">
        <w:rPr>
          <w:rFonts w:ascii="Sylfaen" w:hAnsi="Sylfaen"/>
          <w:sz w:val="24"/>
          <w:szCs w:val="24"/>
        </w:rPr>
        <w:t xml:space="preserve">Դեղապատրաստուկի փորձաքննության արդյունքների հիման վրա ռեֆերենտ պետության լիազորված մարմինը (փորձագիտական կազմակերպությունը) կազմում և հաստատում է ըստ սույն կանոնների թիվ 16 հավելվածով սահմանված ձևի գնահատման մասով փորձագիտական </w:t>
      </w:r>
      <w:r w:rsidR="00F13EB4" w:rsidRPr="00F13EB4">
        <w:rPr>
          <w:rFonts w:ascii="Sylfaen" w:hAnsi="Sylfaen"/>
          <w:sz w:val="24"/>
          <w:szCs w:val="24"/>
        </w:rPr>
        <w:lastRenderedPageBreak/>
        <w:t>հաշվետվություն, որն ուղարկվում է ինտեգրված համակարգի օգտագործմամբ դեղապատրաստուկի գրանցման հաստատման (վերագրանցման) ընթացակարգում մասնակցող ճանաչման բոլոր պետությունների լիազորված մարմիններին (փորձագիտական կազմակերպություններին): Գնահատման մասով փորձագիտական հաշվետվությունը կազմվում է սույն կանոնների թիվ 13-15 և 23 հավելվածներին համապատասխան</w:t>
      </w:r>
      <w:r w:rsidRPr="00834D52">
        <w:rPr>
          <w:rFonts w:ascii="Sylfaen" w:hAnsi="Sylfaen"/>
          <w:sz w:val="24"/>
          <w:szCs w:val="24"/>
        </w:rPr>
        <w:t>։</w:t>
      </w:r>
    </w:p>
    <w:p w14:paraId="1F47EC0D" w14:textId="25C13DD5" w:rsidR="00D25F26" w:rsidRPr="006F28F9" w:rsidRDefault="00D25F26" w:rsidP="00D25F26">
      <w:pPr>
        <w:rPr>
          <w:b/>
          <w:bCs/>
          <w:i/>
          <w:iCs/>
        </w:rPr>
      </w:pPr>
      <w:r w:rsidRPr="00CD4709">
        <w:rPr>
          <w:b/>
          <w:bCs/>
          <w:i/>
          <w:iCs/>
        </w:rPr>
        <w:t>(</w:t>
      </w:r>
      <w:r>
        <w:rPr>
          <w:b/>
          <w:bCs/>
          <w:i/>
          <w:iCs/>
        </w:rPr>
        <w:t xml:space="preserve">136-րդ կետը </w:t>
      </w:r>
      <w:r w:rsidRPr="00CD4709">
        <w:rPr>
          <w:b/>
          <w:bCs/>
          <w:i/>
          <w:iCs/>
        </w:rPr>
        <w:t>փոփ. 30.01.20 թիվ 9</w:t>
      </w:r>
      <w:r w:rsidR="00F13EB4">
        <w:rPr>
          <w:b/>
          <w:bCs/>
          <w:i/>
          <w:iCs/>
        </w:rPr>
        <w:t>, խմբ. 17.03.22 թիվ 36</w:t>
      </w:r>
      <w:r w:rsidRPr="00CD4709">
        <w:rPr>
          <w:b/>
          <w:bCs/>
          <w:i/>
          <w:iCs/>
        </w:rPr>
        <w:t>)</w:t>
      </w:r>
    </w:p>
    <w:p w14:paraId="25376A11" w14:textId="723F21AA"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137.</w:t>
      </w:r>
      <w:r w:rsidRPr="00834D52">
        <w:rPr>
          <w:rFonts w:ascii="Sylfaen" w:hAnsi="Sylfaen"/>
          <w:sz w:val="24"/>
          <w:szCs w:val="24"/>
        </w:rPr>
        <w:tab/>
        <w:t xml:space="preserve">Դեղապատրաստուկի փորձաքննության արդյունքներով ճանաչման պետության լիազորված մարմինը (փորձագիտական կազմակերպությունը) </w:t>
      </w:r>
      <w:r>
        <w:rPr>
          <w:rFonts w:ascii="Sylfaen" w:hAnsi="Sylfaen"/>
          <w:sz w:val="24"/>
          <w:szCs w:val="24"/>
        </w:rPr>
        <w:t>ռեֆերենտ</w:t>
      </w:r>
      <w:r w:rsidRPr="00834D52">
        <w:rPr>
          <w:rFonts w:ascii="Sylfaen" w:hAnsi="Sylfaen"/>
          <w:sz w:val="24"/>
          <w:szCs w:val="24"/>
        </w:rPr>
        <w:t xml:space="preserve"> պետության՝ գնահատման վերաբերյալ եզրափակիչ փորձագիտական հաշվետվությունը ստանալու օրվանից 20 </w:t>
      </w:r>
      <w:r w:rsidR="00480DB8">
        <w:rPr>
          <w:rFonts w:ascii="Arial Unicode" w:hAnsi="Arial Unicode"/>
          <w:sz w:val="21"/>
          <w:szCs w:val="21"/>
        </w:rPr>
        <w:t xml:space="preserve">աշխատանքային </w:t>
      </w:r>
      <w:r w:rsidRPr="00834D52">
        <w:rPr>
          <w:rFonts w:ascii="Sylfaen" w:hAnsi="Sylfaen"/>
          <w:sz w:val="24"/>
          <w:szCs w:val="24"/>
        </w:rPr>
        <w:t xml:space="preserve">օրը չգերազանցող ժամկետում կազմում, հաստատում </w:t>
      </w:r>
      <w:r>
        <w:rPr>
          <w:rFonts w:ascii="Sylfaen" w:hAnsi="Sylfaen"/>
          <w:sz w:val="24"/>
          <w:szCs w:val="24"/>
        </w:rPr>
        <w:t>և</w:t>
      </w:r>
      <w:r w:rsidRPr="00834D52">
        <w:rPr>
          <w:rFonts w:ascii="Sylfaen" w:hAnsi="Sylfaen"/>
          <w:sz w:val="24"/>
          <w:szCs w:val="24"/>
        </w:rPr>
        <w:t xml:space="preserve"> ինտեգրված համակարգի միջոցների օգտագործմամբ </w:t>
      </w:r>
      <w:r>
        <w:rPr>
          <w:rFonts w:ascii="Sylfaen" w:hAnsi="Sylfaen"/>
          <w:sz w:val="24"/>
          <w:szCs w:val="24"/>
        </w:rPr>
        <w:t xml:space="preserve">ռեֆերենտ </w:t>
      </w:r>
      <w:r w:rsidRPr="00834D52">
        <w:rPr>
          <w:rFonts w:ascii="Sylfaen" w:hAnsi="Sylfaen"/>
          <w:sz w:val="24"/>
          <w:szCs w:val="24"/>
        </w:rPr>
        <w:t xml:space="preserve">պետության լիազորված մարմին (փորձագիտական կազմակերպություն) է ուղարկում </w:t>
      </w:r>
      <w:r>
        <w:rPr>
          <w:rFonts w:ascii="Sylfaen" w:hAnsi="Sylfaen"/>
          <w:sz w:val="24"/>
          <w:szCs w:val="24"/>
        </w:rPr>
        <w:t xml:space="preserve">ռեֆերենտ </w:t>
      </w:r>
      <w:r w:rsidRPr="00834D52">
        <w:rPr>
          <w:rFonts w:ascii="Sylfaen" w:hAnsi="Sylfaen"/>
          <w:sz w:val="24"/>
          <w:szCs w:val="24"/>
        </w:rPr>
        <w:t>պետության՝ գնահատման վերաբերյալ փորձագիտական հաշվետվության ճանաչման հնարավոր կամ անհնար լինելու մասին եզրակացություն՝ սույն Կանոնների թիվ 18 հավելվածին համապատասխան սահմանված ձ</w:t>
      </w:r>
      <w:r>
        <w:rPr>
          <w:rFonts w:ascii="Sylfaen" w:hAnsi="Sylfaen"/>
          <w:sz w:val="24"/>
          <w:szCs w:val="24"/>
        </w:rPr>
        <w:t>և</w:t>
      </w:r>
      <w:r w:rsidRPr="00834D52">
        <w:rPr>
          <w:rFonts w:ascii="Sylfaen" w:hAnsi="Sylfaen"/>
          <w:sz w:val="24"/>
          <w:szCs w:val="24"/>
        </w:rPr>
        <w:t>ով:</w:t>
      </w:r>
    </w:p>
    <w:p w14:paraId="7AFB69EB" w14:textId="15C44B49" w:rsidR="00480DB8" w:rsidRPr="00480DB8" w:rsidRDefault="00480DB8" w:rsidP="00480DB8">
      <w:pPr>
        <w:rPr>
          <w:b/>
          <w:bCs/>
          <w:i/>
          <w:iCs/>
        </w:rPr>
      </w:pPr>
      <w:r w:rsidRPr="00CD4709">
        <w:rPr>
          <w:b/>
          <w:bCs/>
          <w:i/>
          <w:iCs/>
        </w:rPr>
        <w:t>(</w:t>
      </w:r>
      <w:r>
        <w:rPr>
          <w:b/>
          <w:bCs/>
          <w:i/>
          <w:iCs/>
        </w:rPr>
        <w:t xml:space="preserve">137-րդ կետը </w:t>
      </w:r>
      <w:r w:rsidRPr="00CD4709">
        <w:rPr>
          <w:b/>
          <w:bCs/>
          <w:i/>
          <w:iCs/>
        </w:rPr>
        <w:t>փոփ</w:t>
      </w:r>
      <w:r>
        <w:rPr>
          <w:b/>
          <w:bCs/>
          <w:i/>
          <w:iCs/>
        </w:rPr>
        <w:t>. 17.03.22</w:t>
      </w:r>
      <w:r w:rsidRPr="00CD4709">
        <w:rPr>
          <w:b/>
          <w:bCs/>
          <w:i/>
          <w:iCs/>
        </w:rPr>
        <w:t xml:space="preserve"> թիվ </w:t>
      </w:r>
      <w:r>
        <w:rPr>
          <w:b/>
          <w:bCs/>
          <w:i/>
          <w:iCs/>
        </w:rPr>
        <w:t>36</w:t>
      </w:r>
      <w:r w:rsidRPr="00CD4709">
        <w:rPr>
          <w:b/>
          <w:bCs/>
          <w:i/>
          <w:iCs/>
        </w:rPr>
        <w:t>)</w:t>
      </w:r>
    </w:p>
    <w:p w14:paraId="59ECE29E" w14:textId="77777777"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138.</w:t>
      </w:r>
      <w:r w:rsidRPr="00834D52">
        <w:rPr>
          <w:rFonts w:ascii="Sylfaen" w:hAnsi="Sylfaen"/>
          <w:sz w:val="24"/>
          <w:szCs w:val="24"/>
        </w:rPr>
        <w:tab/>
        <w:t>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փաթեթվածքների մանրակերտերում </w:t>
      </w:r>
      <w:r>
        <w:rPr>
          <w:rFonts w:ascii="Sylfaen" w:hAnsi="Sylfaen"/>
          <w:sz w:val="24"/>
          <w:szCs w:val="24"/>
        </w:rPr>
        <w:t>և</w:t>
      </w:r>
      <w:r w:rsidRPr="00834D52">
        <w:rPr>
          <w:rFonts w:ascii="Sylfaen" w:hAnsi="Sylfaen"/>
          <w:sz w:val="24"/>
          <w:szCs w:val="24"/>
        </w:rPr>
        <w:t xml:space="preserve"> գրանցման դոսյեի այլ փաստաթղթերում փոփոխություններ կատարելու մասին </w:t>
      </w:r>
      <w:r>
        <w:rPr>
          <w:rFonts w:ascii="Sylfaen" w:hAnsi="Sylfaen"/>
          <w:sz w:val="24"/>
          <w:szCs w:val="24"/>
        </w:rPr>
        <w:t xml:space="preserve">ռեֆերենտ </w:t>
      </w:r>
      <w:r w:rsidRPr="00834D52">
        <w:rPr>
          <w:rFonts w:ascii="Sylfaen" w:hAnsi="Sylfaen"/>
          <w:sz w:val="24"/>
          <w:szCs w:val="24"/>
        </w:rPr>
        <w:t xml:space="preserve">պետության </w:t>
      </w:r>
      <w:r>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առաջարկների հետ </w:t>
      </w:r>
      <w:r>
        <w:rPr>
          <w:rFonts w:ascii="Sylfaen" w:hAnsi="Sylfaen"/>
          <w:sz w:val="24"/>
          <w:szCs w:val="24"/>
        </w:rPr>
        <w:t>դիմումատու</w:t>
      </w:r>
      <w:r w:rsidRPr="00834D52">
        <w:rPr>
          <w:rFonts w:ascii="Sylfaen" w:hAnsi="Sylfaen"/>
          <w:sz w:val="24"/>
          <w:szCs w:val="24"/>
        </w:rPr>
        <w:t>ի համաձայն լինելու դեպքում դրանք չեն կարող ծառայել որպես հիմք՝ դեղապատրաստուկի գրանցման հաստատումը (վերագրանցումը) մերժելու համար։</w:t>
      </w:r>
    </w:p>
    <w:p w14:paraId="6FBEBC6F" w14:textId="77777777" w:rsidR="00D25F26" w:rsidRPr="006F28F9" w:rsidRDefault="00D25F26" w:rsidP="00D25F26">
      <w:pPr>
        <w:rPr>
          <w:b/>
          <w:bCs/>
          <w:i/>
          <w:iCs/>
        </w:rPr>
      </w:pPr>
      <w:r w:rsidRPr="00CD4709">
        <w:rPr>
          <w:b/>
          <w:bCs/>
          <w:i/>
          <w:iCs/>
        </w:rPr>
        <w:t>(</w:t>
      </w:r>
      <w:r>
        <w:rPr>
          <w:b/>
          <w:bCs/>
          <w:i/>
          <w:iCs/>
        </w:rPr>
        <w:t xml:space="preserve">138-րդ կետը </w:t>
      </w:r>
      <w:r w:rsidRPr="00CD4709">
        <w:rPr>
          <w:b/>
          <w:bCs/>
          <w:i/>
          <w:iCs/>
        </w:rPr>
        <w:t>փոփ. 30.01.20 թիվ 9)</w:t>
      </w:r>
    </w:p>
    <w:p w14:paraId="034FE3E4" w14:textId="77777777"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139.</w:t>
      </w:r>
      <w:r w:rsidRPr="00834D52">
        <w:rPr>
          <w:rFonts w:ascii="Sylfaen" w:hAnsi="Sylfaen"/>
          <w:sz w:val="24"/>
          <w:szCs w:val="24"/>
        </w:rPr>
        <w:tab/>
        <w:t xml:space="preserve">Եթե </w:t>
      </w:r>
      <w:r>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փորձաքննության արդյունքներով պարզվում է, որ օգուտ</w:t>
      </w:r>
      <w:r w:rsidRPr="008341C7">
        <w:rPr>
          <w:rFonts w:ascii="Sylfaen" w:hAnsi="Sylfaen"/>
          <w:sz w:val="24"/>
          <w:szCs w:val="24"/>
        </w:rPr>
        <w:t>-</w:t>
      </w:r>
      <w:r w:rsidRPr="00834D52">
        <w:rPr>
          <w:rFonts w:ascii="Sylfaen" w:hAnsi="Sylfaen"/>
          <w:sz w:val="24"/>
          <w:szCs w:val="24"/>
        </w:rPr>
        <w:t xml:space="preserve">ռիսկ հարաբերակցությունը գնահատվում է </w:t>
      </w:r>
      <w:r w:rsidRPr="00834D52">
        <w:rPr>
          <w:rFonts w:ascii="Sylfaen" w:hAnsi="Sylfaen"/>
          <w:sz w:val="24"/>
          <w:szCs w:val="24"/>
        </w:rPr>
        <w:lastRenderedPageBreak/>
        <w:t xml:space="preserve">դրական </w:t>
      </w:r>
      <w:r>
        <w:rPr>
          <w:rFonts w:ascii="Sylfaen" w:hAnsi="Sylfaen"/>
          <w:sz w:val="24"/>
          <w:szCs w:val="24"/>
        </w:rPr>
        <w:t>և</w:t>
      </w:r>
      <w:r w:rsidRPr="00834D52">
        <w:rPr>
          <w:rFonts w:ascii="Sylfaen" w:hAnsi="Sylfaen"/>
          <w:sz w:val="24"/>
          <w:szCs w:val="24"/>
        </w:rPr>
        <w:t xml:space="preserve"> կատարված փոփոխությունները հաշվի առնելով՝ գրանցման դոսյեն համապատասխանում է առաջադրված պահանջներին՝</w:t>
      </w:r>
    </w:p>
    <w:p w14:paraId="2AE65528" w14:textId="5DD24CD4" w:rsidR="00D25F26" w:rsidRPr="00834D52" w:rsidRDefault="00D25F26" w:rsidP="00D25F26">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pacing w:val="4"/>
          <w:sz w:val="24"/>
          <w:szCs w:val="24"/>
        </w:rPr>
        <w:t>ա)</w:t>
      </w:r>
      <w:r w:rsidRPr="00834D52">
        <w:rPr>
          <w:rFonts w:ascii="Sylfaen" w:hAnsi="Sylfaen"/>
          <w:spacing w:val="4"/>
          <w:sz w:val="24"/>
          <w:szCs w:val="24"/>
        </w:rPr>
        <w:tab/>
      </w:r>
      <w:r>
        <w:rPr>
          <w:rFonts w:ascii="Sylfaen" w:hAnsi="Sylfaen"/>
          <w:spacing w:val="4"/>
          <w:sz w:val="24"/>
          <w:szCs w:val="24"/>
        </w:rPr>
        <w:t xml:space="preserve">ռեֆերենտ </w:t>
      </w:r>
      <w:r w:rsidRPr="00834D52">
        <w:rPr>
          <w:rFonts w:ascii="Sylfaen" w:hAnsi="Sylfaen"/>
          <w:spacing w:val="4"/>
          <w:sz w:val="24"/>
          <w:szCs w:val="24"/>
        </w:rPr>
        <w:t>պետության լիազորված մարմինը (փորձագիտական կազմակերպությունը)</w:t>
      </w:r>
      <w:r w:rsidR="00480DB8" w:rsidRPr="00480DB8">
        <w:t xml:space="preserve"> </w:t>
      </w:r>
      <w:r w:rsidR="00480DB8" w:rsidRPr="00480DB8">
        <w:rPr>
          <w:rFonts w:ascii="Sylfaen" w:hAnsi="Sylfaen"/>
          <w:spacing w:val="4"/>
          <w:sz w:val="24"/>
          <w:szCs w:val="24"/>
        </w:rPr>
        <w:t>գնահատման մասով փորձագիտական հաշվետվության ստացման օրվանից 10 աշխատանքային օրվանից ոչ ավելի ժամկետում</w:t>
      </w:r>
      <w:r w:rsidRPr="00834D52">
        <w:rPr>
          <w:rFonts w:ascii="Sylfaen" w:hAnsi="Sylfaen"/>
          <w:spacing w:val="4"/>
          <w:sz w:val="24"/>
          <w:szCs w:val="24"/>
        </w:rPr>
        <w:t xml:space="preserve"> </w:t>
      </w:r>
      <w:r>
        <w:rPr>
          <w:rFonts w:ascii="Sylfaen" w:hAnsi="Sylfaen"/>
          <w:spacing w:val="4"/>
          <w:sz w:val="24"/>
          <w:szCs w:val="24"/>
        </w:rPr>
        <w:t>դիմումատու</w:t>
      </w:r>
      <w:r w:rsidRPr="00834D52">
        <w:rPr>
          <w:rFonts w:ascii="Sylfaen" w:hAnsi="Sylfaen"/>
          <w:spacing w:val="4"/>
          <w:sz w:val="24"/>
          <w:szCs w:val="24"/>
        </w:rPr>
        <w:t>ին տրամադրում է դեղապատրաստուկի գրանցման անժամկետ հավաստագիր՝ սույն Կանոնների թիվ 17 հավելվածին համապատասխան սահմանված ձ</w:t>
      </w:r>
      <w:r>
        <w:rPr>
          <w:rFonts w:ascii="Sylfaen" w:hAnsi="Sylfaen"/>
          <w:spacing w:val="4"/>
          <w:sz w:val="24"/>
          <w:szCs w:val="24"/>
        </w:rPr>
        <w:t>և</w:t>
      </w:r>
      <w:r w:rsidRPr="00834D52">
        <w:rPr>
          <w:rFonts w:ascii="Sylfaen" w:hAnsi="Sylfaen"/>
          <w:spacing w:val="4"/>
          <w:sz w:val="24"/>
          <w:szCs w:val="24"/>
        </w:rPr>
        <w:t>ով, դեղապատրաստուկի հաստատված ԴՊԸԲ</w:t>
      </w:r>
      <w:r w:rsidRPr="008341C7">
        <w:rPr>
          <w:rFonts w:ascii="Sylfaen" w:hAnsi="Sylfaen"/>
          <w:spacing w:val="4"/>
          <w:sz w:val="24"/>
          <w:szCs w:val="24"/>
        </w:rPr>
        <w:t>-</w:t>
      </w:r>
      <w:r w:rsidRPr="00834D52">
        <w:rPr>
          <w:rFonts w:ascii="Sylfaen" w:hAnsi="Sylfaen"/>
          <w:spacing w:val="4"/>
          <w:sz w:val="24"/>
          <w:szCs w:val="24"/>
        </w:rPr>
        <w:t>ները, բժշկական կիրառման հրահանգը, որակի նորմատիվ փաստաթուղթը, փաթեթվածքների մանրակերտերը, գնահատման վերաբերյալ փորձագիտական հաշվետվությունը (ինչպես նա</w:t>
      </w:r>
      <w:r>
        <w:rPr>
          <w:rFonts w:ascii="Sylfaen" w:hAnsi="Sylfaen"/>
          <w:spacing w:val="4"/>
          <w:sz w:val="24"/>
          <w:szCs w:val="24"/>
        </w:rPr>
        <w:t>և</w:t>
      </w:r>
      <w:r w:rsidRPr="00834D52">
        <w:rPr>
          <w:rFonts w:ascii="Sylfaen" w:hAnsi="Sylfaen"/>
          <w:spacing w:val="4"/>
          <w:sz w:val="24"/>
          <w:szCs w:val="24"/>
        </w:rPr>
        <w:t xml:space="preserve"> անդամ պետության օրենսդրության մեջ նման պահանջի առկայության դեպքում՝ դեղապատրաստուկի հաստատված ԴՊԸԲ</w:t>
      </w:r>
      <w:r w:rsidRPr="008341C7">
        <w:rPr>
          <w:rFonts w:ascii="Sylfaen" w:hAnsi="Sylfaen"/>
          <w:spacing w:val="4"/>
          <w:sz w:val="24"/>
          <w:szCs w:val="24"/>
        </w:rPr>
        <w:t>-</w:t>
      </w:r>
      <w:r w:rsidRPr="00834D52">
        <w:rPr>
          <w:rFonts w:ascii="Sylfaen" w:hAnsi="Sylfaen"/>
          <w:spacing w:val="4"/>
          <w:sz w:val="24"/>
          <w:szCs w:val="24"/>
        </w:rPr>
        <w:t xml:space="preserve">ները, բժշկական կիրառման հրահանգն ու փաթեթվածքի մանրակերտերը՝ </w:t>
      </w:r>
      <w:r>
        <w:rPr>
          <w:rFonts w:ascii="Sylfaen" w:hAnsi="Sylfaen"/>
          <w:spacing w:val="4"/>
          <w:sz w:val="24"/>
          <w:szCs w:val="24"/>
        </w:rPr>
        <w:t xml:space="preserve">ռեֆերենտ </w:t>
      </w:r>
      <w:r w:rsidRPr="00834D52">
        <w:rPr>
          <w:rFonts w:ascii="Sylfaen" w:hAnsi="Sylfaen"/>
          <w:spacing w:val="4"/>
          <w:sz w:val="24"/>
          <w:szCs w:val="24"/>
        </w:rPr>
        <w:t xml:space="preserve">պետության պետական լեզվով) </w:t>
      </w:r>
      <w:r>
        <w:rPr>
          <w:rFonts w:ascii="Sylfaen" w:hAnsi="Sylfaen"/>
          <w:spacing w:val="4"/>
          <w:sz w:val="24"/>
          <w:szCs w:val="24"/>
        </w:rPr>
        <w:t>և</w:t>
      </w:r>
      <w:r w:rsidRPr="00834D52">
        <w:rPr>
          <w:rFonts w:ascii="Sylfaen" w:hAnsi="Sylfaen"/>
          <w:spacing w:val="4"/>
          <w:sz w:val="24"/>
          <w:szCs w:val="24"/>
        </w:rPr>
        <w:t xml:space="preserve"> անհրաժեշտության դեպքում՝</w:t>
      </w:r>
      <w:r w:rsidRPr="00834D52">
        <w:rPr>
          <w:rFonts w:ascii="Sylfaen" w:hAnsi="Sylfaen"/>
          <w:sz w:val="24"/>
          <w:szCs w:val="24"/>
        </w:rPr>
        <w:t xml:space="preserve"> դեղապատրաստուկի կիրառման ժամանակ ռիսկերի կառավարման համաձայնեցված պլանը.</w:t>
      </w:r>
    </w:p>
    <w:p w14:paraId="615DA344" w14:textId="40C3F3C1" w:rsidR="00D25F26" w:rsidRPr="00834D52" w:rsidRDefault="00D25F26" w:rsidP="00D25F2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ճանաչման պետությունների լիազորված մարմինները</w:t>
      </w:r>
      <w:r w:rsidR="00480DB8">
        <w:rPr>
          <w:rFonts w:ascii="Sylfaen" w:hAnsi="Sylfaen"/>
          <w:sz w:val="24"/>
          <w:szCs w:val="24"/>
        </w:rPr>
        <w:t xml:space="preserve"> </w:t>
      </w:r>
      <w:r w:rsidR="00480DB8" w:rsidRPr="00480DB8">
        <w:rPr>
          <w:rFonts w:ascii="Sylfaen" w:hAnsi="Sylfaen"/>
          <w:sz w:val="24"/>
          <w:szCs w:val="24"/>
        </w:rPr>
        <w:t>գնահատման մասով փորձագիտական հաշվետվության ստացման օրվանից 10 աշխատանքային օրվանից ոչ ավելի ժամկետում</w:t>
      </w:r>
      <w:r w:rsidRPr="00834D52">
        <w:rPr>
          <w:rFonts w:ascii="Sylfaen" w:hAnsi="Sylfaen"/>
          <w:sz w:val="24"/>
          <w:szCs w:val="24"/>
        </w:rPr>
        <w:t xml:space="preserve"> </w:t>
      </w:r>
      <w:r>
        <w:rPr>
          <w:rFonts w:ascii="Sylfaen" w:hAnsi="Sylfaen"/>
          <w:sz w:val="24"/>
          <w:szCs w:val="24"/>
        </w:rPr>
        <w:t>դիմումատու</w:t>
      </w:r>
      <w:r w:rsidRPr="00834D52">
        <w:rPr>
          <w:rFonts w:ascii="Sylfaen" w:hAnsi="Sylfaen"/>
          <w:sz w:val="24"/>
          <w:szCs w:val="24"/>
        </w:rPr>
        <w:t>ին տրամադրում են դեղապատրաստուկի անժամկետ գրանցման հավաստագիր՝ սույն Կանոնների թիվ 17 հավելվածին համապատասխան սահմանված ձ</w:t>
      </w:r>
      <w:r>
        <w:rPr>
          <w:rFonts w:ascii="Sylfaen" w:hAnsi="Sylfaen"/>
          <w:sz w:val="24"/>
          <w:szCs w:val="24"/>
        </w:rPr>
        <w:t>և</w:t>
      </w:r>
      <w:r w:rsidRPr="00834D52">
        <w:rPr>
          <w:rFonts w:ascii="Sylfaen" w:hAnsi="Sylfaen"/>
          <w:sz w:val="24"/>
          <w:szCs w:val="24"/>
        </w:rPr>
        <w:t>ով, ինչպես նա</w:t>
      </w:r>
      <w:r>
        <w:rPr>
          <w:rFonts w:ascii="Sylfaen" w:hAnsi="Sylfaen"/>
          <w:sz w:val="24"/>
          <w:szCs w:val="24"/>
        </w:rPr>
        <w:t>և</w:t>
      </w:r>
      <w:r w:rsidRPr="00834D52">
        <w:rPr>
          <w:rFonts w:ascii="Sylfaen" w:hAnsi="Sylfaen"/>
          <w:sz w:val="24"/>
          <w:szCs w:val="24"/>
        </w:rPr>
        <w:t xml:space="preserve"> անհրաժեշտության դեպքում՝ դեղապատրաստուկի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հրահանգը, փաթեթվածքների մանրակերտերը ճանաչման պետությունների պետական լեզվով՝ այդ պետությունների օրենսդրության մեջ համապատասխան պահանջների առկայության դեպքում.</w:t>
      </w:r>
    </w:p>
    <w:p w14:paraId="604D6056" w14:textId="2740039B" w:rsidR="00D25F26" w:rsidRDefault="00D25F26" w:rsidP="00D25F26">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գրանցման հաստատման (վերագրանցման)</w:t>
      </w:r>
      <w:r w:rsidR="00480DB8">
        <w:rPr>
          <w:rFonts w:ascii="Sylfaen" w:hAnsi="Sylfaen"/>
          <w:sz w:val="24"/>
          <w:szCs w:val="24"/>
        </w:rPr>
        <w:t xml:space="preserve"> </w:t>
      </w:r>
      <w:r w:rsidR="00480DB8" w:rsidRPr="00480DB8">
        <w:rPr>
          <w:rFonts w:ascii="Sylfaen" w:hAnsi="Sylfaen"/>
          <w:sz w:val="24"/>
          <w:szCs w:val="24"/>
        </w:rPr>
        <w:t>գնահատման մասով փորձագիտական հաշվետվության ստացման օրվանից 10 աշխատանքային օրվանից ոչ ավելի ժամկետում</w:t>
      </w:r>
      <w:r w:rsidRPr="00834D52">
        <w:rPr>
          <w:rFonts w:ascii="Sylfaen" w:hAnsi="Sylfaen"/>
          <w:sz w:val="24"/>
          <w:szCs w:val="24"/>
        </w:rPr>
        <w:t xml:space="preserve"> ընթացակարգին մասնակցող անդամ պետությունների լիազորված մարմինները դեղապատրաստուկի </w:t>
      </w:r>
      <w:r>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w:t>
      </w:r>
      <w:r w:rsidRPr="00834D52">
        <w:rPr>
          <w:rFonts w:ascii="Sylfaen" w:hAnsi="Sylfaen"/>
          <w:sz w:val="24"/>
          <w:szCs w:val="24"/>
        </w:rPr>
        <w:lastRenderedPageBreak/>
        <w:t>անհրաժեշտ տեղեկատվությունը տեղադրում են միասնական ռեեստրում, դեղապատրաստուկի կիրառման ժամանակ ռիսկերի կառավարման համաձայնեցված պլանի ռեզյումեի մեջ (անհրաժեշտության դեպքում)։</w:t>
      </w:r>
    </w:p>
    <w:p w14:paraId="1375AE05" w14:textId="1F44A2DF" w:rsidR="00D25F26" w:rsidRPr="006F28F9" w:rsidRDefault="00D25F26" w:rsidP="00D25F26">
      <w:pPr>
        <w:rPr>
          <w:b/>
          <w:bCs/>
          <w:i/>
          <w:iCs/>
        </w:rPr>
      </w:pPr>
      <w:r w:rsidRPr="00CD4709">
        <w:rPr>
          <w:b/>
          <w:bCs/>
          <w:i/>
          <w:iCs/>
        </w:rPr>
        <w:t>(</w:t>
      </w:r>
      <w:r>
        <w:rPr>
          <w:b/>
          <w:bCs/>
          <w:i/>
          <w:iCs/>
        </w:rPr>
        <w:t xml:space="preserve">139-րդ կետը </w:t>
      </w:r>
      <w:r w:rsidRPr="00CD4709">
        <w:rPr>
          <w:b/>
          <w:bCs/>
          <w:i/>
          <w:iCs/>
        </w:rPr>
        <w:t>փոփ. 30.01.20 թիվ 9</w:t>
      </w:r>
      <w:r w:rsidR="00480DB8">
        <w:rPr>
          <w:b/>
          <w:bCs/>
          <w:i/>
          <w:iCs/>
        </w:rPr>
        <w:t>, լրաց. 17.03.22 թիվ 36</w:t>
      </w:r>
      <w:r w:rsidRPr="00CD4709">
        <w:rPr>
          <w:b/>
          <w:bCs/>
          <w:i/>
          <w:iCs/>
        </w:rPr>
        <w:t>)</w:t>
      </w:r>
    </w:p>
    <w:p w14:paraId="24A1A313" w14:textId="77777777" w:rsidR="00D25F26" w:rsidRDefault="00D25F26" w:rsidP="00D25F26">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140.</w:t>
      </w:r>
      <w:r w:rsidRPr="00834D52">
        <w:rPr>
          <w:rFonts w:ascii="Sylfaen" w:hAnsi="Sylfaen"/>
          <w:sz w:val="24"/>
          <w:szCs w:val="24"/>
        </w:rPr>
        <w:tab/>
      </w:r>
      <w:r>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փորձագիտական հաշվետվությունը ճանաչելու անհնարինության դեպքում ճանաչման պետության լիազորված մարմինը (փորձագիտական կազմակերպությունը) սույն Կանոնների </w:t>
      </w:r>
      <w:r w:rsidRPr="0032680A">
        <w:rPr>
          <w:rFonts w:ascii="Sylfaen" w:hAnsi="Sylfaen"/>
          <w:sz w:val="24"/>
          <w:szCs w:val="24"/>
        </w:rPr>
        <w:br/>
      </w:r>
      <w:r w:rsidRPr="00834D52">
        <w:rPr>
          <w:rFonts w:ascii="Sylfaen" w:hAnsi="Sylfaen"/>
          <w:sz w:val="24"/>
          <w:szCs w:val="24"/>
        </w:rPr>
        <w:t>137</w:t>
      </w:r>
      <w:r w:rsidRPr="008341C7">
        <w:rPr>
          <w:rFonts w:ascii="Sylfaen" w:hAnsi="Sylfaen"/>
          <w:sz w:val="24"/>
          <w:szCs w:val="24"/>
        </w:rPr>
        <w:t>-</w:t>
      </w:r>
      <w:r w:rsidRPr="00834D52">
        <w:rPr>
          <w:rFonts w:ascii="Sylfaen" w:hAnsi="Sylfaen"/>
          <w:sz w:val="24"/>
          <w:szCs w:val="24"/>
        </w:rPr>
        <w:t xml:space="preserve">րդ կետում նշված ժամկետում էլեկտրոնային </w:t>
      </w:r>
      <w:r>
        <w:rPr>
          <w:rFonts w:ascii="Sylfaen" w:hAnsi="Sylfaen"/>
          <w:sz w:val="24"/>
          <w:szCs w:val="24"/>
        </w:rPr>
        <w:t>և</w:t>
      </w:r>
      <w:r w:rsidRPr="00834D52">
        <w:rPr>
          <w:rFonts w:ascii="Sylfaen" w:hAnsi="Sylfaen"/>
          <w:sz w:val="24"/>
          <w:szCs w:val="24"/>
        </w:rPr>
        <w:t xml:space="preserve"> (կամ) թղթային եղանակով </w:t>
      </w:r>
      <w:r>
        <w:rPr>
          <w:rFonts w:ascii="Sylfaen" w:hAnsi="Sylfaen"/>
          <w:sz w:val="24"/>
          <w:szCs w:val="24"/>
        </w:rPr>
        <w:t>դիմումատու</w:t>
      </w:r>
      <w:r w:rsidRPr="00834D52">
        <w:rPr>
          <w:rFonts w:ascii="Sylfaen" w:hAnsi="Sylfaen"/>
          <w:sz w:val="24"/>
          <w:szCs w:val="24"/>
        </w:rPr>
        <w:t xml:space="preserve">ին կամ Փորձագիտական կոմիտե է ուղարկում </w:t>
      </w:r>
      <w:r>
        <w:rPr>
          <w:rFonts w:ascii="Sylfaen" w:hAnsi="Sylfaen"/>
          <w:sz w:val="24"/>
          <w:szCs w:val="24"/>
        </w:rPr>
        <w:t xml:space="preserve">ռեֆերենտ </w:t>
      </w:r>
      <w:r w:rsidRPr="00834D52">
        <w:rPr>
          <w:rFonts w:ascii="Sylfaen" w:hAnsi="Sylfaen"/>
          <w:sz w:val="24"/>
          <w:szCs w:val="24"/>
        </w:rPr>
        <w:t xml:space="preserve">պետության </w:t>
      </w:r>
      <w:r>
        <w:rPr>
          <w:rFonts w:ascii="Sylfaen" w:hAnsi="Sylfaen"/>
          <w:sz w:val="24"/>
          <w:szCs w:val="24"/>
        </w:rPr>
        <w:t>և</w:t>
      </w:r>
      <w:r w:rsidRPr="00834D52">
        <w:rPr>
          <w:rFonts w:ascii="Sylfaen" w:hAnsi="Sylfaen"/>
          <w:sz w:val="24"/>
          <w:szCs w:val="24"/>
        </w:rPr>
        <w:t xml:space="preserve"> դեղապատրաստուկի գրանցման հաստատման (վերագրանցման) ընթացակարգին մասնակցող ճանաչման պետությունների լիազորված մարմնի (փորձագիտական կազմակերպության) կողմից այդ փորձագիտական հաշվետվությունը ճանաչելու անհնարինության մասին եզրակացություն՝ կայացրած որոշման հիմնավորմամբ։</w:t>
      </w:r>
    </w:p>
    <w:p w14:paraId="67F9DEA6" w14:textId="77777777" w:rsidR="00D25F26" w:rsidRPr="006F28F9" w:rsidRDefault="00D25F26" w:rsidP="00D25F26">
      <w:pPr>
        <w:rPr>
          <w:b/>
          <w:bCs/>
          <w:i/>
          <w:iCs/>
        </w:rPr>
      </w:pPr>
      <w:r w:rsidRPr="00CD4709">
        <w:rPr>
          <w:b/>
          <w:bCs/>
          <w:i/>
          <w:iCs/>
        </w:rPr>
        <w:t>(</w:t>
      </w:r>
      <w:r>
        <w:rPr>
          <w:b/>
          <w:bCs/>
          <w:i/>
          <w:iCs/>
        </w:rPr>
        <w:t xml:space="preserve">140-րդ կետը </w:t>
      </w:r>
      <w:r w:rsidRPr="00CD4709">
        <w:rPr>
          <w:b/>
          <w:bCs/>
          <w:i/>
          <w:iCs/>
        </w:rPr>
        <w:t>փոփ. 30.01.20 թիվ 9)</w:t>
      </w:r>
    </w:p>
    <w:p w14:paraId="77DF82D5" w14:textId="77777777"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r>
      <w:r>
        <w:rPr>
          <w:rFonts w:ascii="Sylfaen" w:hAnsi="Sylfaen"/>
          <w:sz w:val="24"/>
          <w:szCs w:val="24"/>
        </w:rPr>
        <w:t xml:space="preserve">Ռեֆերենտ </w:t>
      </w:r>
      <w:r w:rsidRPr="00834D52">
        <w:rPr>
          <w:rFonts w:ascii="Sylfaen" w:hAnsi="Sylfaen"/>
          <w:sz w:val="24"/>
          <w:szCs w:val="24"/>
        </w:rPr>
        <w:t>պետության գնահատման վերաբերյալ փորձագիտական հաշվետվությունը ճանաչելու անհնարինության մասին ճանաչման պետության լիազորված մարմնի եզրակացությունը ստանալու օրվանից 60 օրացուցային օրը չգերազանցող ժամկետում Փորձագիտական կոմիտեն, Հանձնաժողովի կողմից սահմանված կարգին համապատասխան, իրականացնում է տարաձայնությունների քննության ընթացակարգ։</w:t>
      </w:r>
    </w:p>
    <w:p w14:paraId="54AB213C" w14:textId="77777777" w:rsidR="00D25F26" w:rsidRPr="00834D52" w:rsidRDefault="00D25F26" w:rsidP="00D25F2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Ճանաչման պետության լիազորված մարմինը մերժում է դեղապատրաստուկի գրանցման հաստատումը (վերագրանցումը), եթե դեղապատրաստուկի փորձաքննության արդյունքներով </w:t>
      </w:r>
      <w:r>
        <w:rPr>
          <w:rFonts w:ascii="Sylfaen" w:hAnsi="Sylfaen"/>
          <w:sz w:val="24"/>
          <w:szCs w:val="24"/>
        </w:rPr>
        <w:t>և</w:t>
      </w:r>
      <w:r w:rsidRPr="00834D52">
        <w:rPr>
          <w:rFonts w:ascii="Sylfaen" w:hAnsi="Sylfaen"/>
          <w:sz w:val="24"/>
          <w:szCs w:val="24"/>
        </w:rPr>
        <w:t xml:space="preserve"> Փորձագիտական կոմիտեում տարաձայնությունների կարգավորման ընթացակարգի անցկացումից հետո պարզվել է, որ </w:t>
      </w:r>
      <w:r>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սույն Կանոնների 146</w:t>
      </w:r>
      <w:r w:rsidRPr="008341C7">
        <w:rPr>
          <w:rFonts w:ascii="Sylfaen" w:hAnsi="Sylfaen"/>
          <w:sz w:val="24"/>
          <w:szCs w:val="24"/>
        </w:rPr>
        <w:t>-</w:t>
      </w:r>
      <w:r w:rsidRPr="00834D52">
        <w:rPr>
          <w:rFonts w:ascii="Sylfaen" w:hAnsi="Sylfaen"/>
          <w:sz w:val="24"/>
          <w:szCs w:val="24"/>
        </w:rPr>
        <w:t xml:space="preserve">րդ կետում նշված պատճառներով չի կարող ճանաչվել ճանաչման </w:t>
      </w:r>
      <w:r w:rsidRPr="00834D52">
        <w:rPr>
          <w:rFonts w:ascii="Sylfaen" w:hAnsi="Sylfaen"/>
          <w:sz w:val="24"/>
          <w:szCs w:val="24"/>
        </w:rPr>
        <w:lastRenderedPageBreak/>
        <w:t>պետության լիազորված մարմնի (փորձագիտական կազմակերպության) կողմից։</w:t>
      </w:r>
    </w:p>
    <w:p w14:paraId="4426DE60" w14:textId="77777777" w:rsidR="00D25F26" w:rsidRPr="00834D52" w:rsidRDefault="00D25F26" w:rsidP="00D25F2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142.</w:t>
      </w:r>
      <w:r w:rsidRPr="00834D52">
        <w:rPr>
          <w:rFonts w:ascii="Sylfaen" w:hAnsi="Sylfaen"/>
          <w:sz w:val="24"/>
          <w:szCs w:val="24"/>
        </w:rPr>
        <w:tab/>
        <w:t xml:space="preserve">Դեղապատրաստուկի գրանցումը հաստատելու (վերագրանցելու) դեպքում անդամ պետության լիազորված մարմինը (փորձագիտական կազմակերպությունը) իրականացնում է գրանցման հավաստագրի իրավատիրոջ կողմից դեղապատրաստուկի գրանցման հետ կապված՝ սույն Կանոնների VII բաժնում շարադրված պայմանների կատարման վերլուծություն, եթե տվյալ պարտավորությունները կիրառվել են գրանցման հավաստագրի այդ իրավատիրոջ նկատմամբ։ Դեղապատրաստուկի անվտանգության </w:t>
      </w:r>
      <w:r>
        <w:rPr>
          <w:rFonts w:ascii="Sylfaen" w:hAnsi="Sylfaen"/>
          <w:sz w:val="24"/>
          <w:szCs w:val="24"/>
        </w:rPr>
        <w:t>և</w:t>
      </w:r>
      <w:r w:rsidRPr="00834D52">
        <w:rPr>
          <w:rFonts w:ascii="Sylfaen" w:hAnsi="Sylfaen"/>
          <w:sz w:val="24"/>
          <w:szCs w:val="24"/>
        </w:rPr>
        <w:t xml:space="preserve"> արդյունավետության մասին նոր տվյալների ի </w:t>
      </w:r>
      <w:r>
        <w:rPr>
          <w:rFonts w:ascii="Sylfaen" w:hAnsi="Sylfaen"/>
          <w:sz w:val="24"/>
          <w:szCs w:val="24"/>
        </w:rPr>
        <w:t>հայտ</w:t>
      </w:r>
      <w:r w:rsidRPr="00834D52">
        <w:rPr>
          <w:rFonts w:ascii="Sylfaen" w:hAnsi="Sylfaen"/>
          <w:sz w:val="24"/>
          <w:szCs w:val="24"/>
        </w:rPr>
        <w:t xml:space="preserve"> գալու դեպքում լիազորված մարմինը կարող է գրանցման պայմաններում կատարել փոփոխություններ </w:t>
      </w:r>
      <w:r>
        <w:rPr>
          <w:rFonts w:ascii="Sylfaen" w:hAnsi="Sylfaen"/>
          <w:sz w:val="24"/>
          <w:szCs w:val="24"/>
        </w:rPr>
        <w:t>և</w:t>
      </w:r>
      <w:r w:rsidRPr="00834D52">
        <w:rPr>
          <w:rFonts w:ascii="Sylfaen" w:hAnsi="Sylfaen"/>
          <w:sz w:val="24"/>
          <w:szCs w:val="24"/>
        </w:rPr>
        <w:t xml:space="preserve"> (կամ) առաջադրել նոր պայմաններ։</w:t>
      </w:r>
    </w:p>
    <w:p w14:paraId="222DF214" w14:textId="77777777"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 գնահատման ընթացքում դեղապատրաստուկի գրանցումը հաստատելու (վերագրանցելու) գործընթացում անդամ պետությունների լիազորված մարմինները (փորձագիտական կազմակերպությունները) ստուգում են գրանցման հավաստագրի իրավատիրոջ կողմից դեղապատրաստուկի մասին տեղեկատվությունը ժամանակակից գիտական գիտելիքների լույսի ներքո արդիական պահելու պարտավորությունների կատարումը՝ հաշվի առնելով լիազորված մարմնի (փորձագիտական կազմակերպության) գնահատականների </w:t>
      </w:r>
      <w:r>
        <w:rPr>
          <w:rFonts w:ascii="Sylfaen" w:hAnsi="Sylfaen"/>
          <w:sz w:val="24"/>
          <w:szCs w:val="24"/>
        </w:rPr>
        <w:t>և</w:t>
      </w:r>
      <w:r w:rsidRPr="00834D52">
        <w:rPr>
          <w:rFonts w:ascii="Sylfaen" w:hAnsi="Sylfaen"/>
          <w:sz w:val="24"/>
          <w:szCs w:val="24"/>
        </w:rPr>
        <w:t xml:space="preserve"> առաջարկների արդյունքների հիման վրա արված եզրակացությունները։</w:t>
      </w:r>
    </w:p>
    <w:p w14:paraId="57AC9DA4" w14:textId="1D709356" w:rsidR="00D25F26" w:rsidRDefault="00D25F26" w:rsidP="00D25F26">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143.</w:t>
      </w:r>
      <w:r w:rsidRPr="00834D52">
        <w:rPr>
          <w:rFonts w:ascii="Sylfaen" w:hAnsi="Sylfaen"/>
          <w:sz w:val="24"/>
          <w:szCs w:val="24"/>
        </w:rPr>
        <w:tab/>
        <w:t xml:space="preserve">Եթե </w:t>
      </w:r>
      <w:r>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դեղապատրաստուկի փորձաքննության ընթացքում դրա գրանցման հաստատման (վերագրանցման) ժամանակ</w:t>
      </w:r>
      <w:r>
        <w:rPr>
          <w:rFonts w:ascii="Sylfaen" w:hAnsi="Sylfaen"/>
          <w:sz w:val="24"/>
          <w:szCs w:val="24"/>
        </w:rPr>
        <w:t xml:space="preserve">հայտնաբերել </w:t>
      </w:r>
      <w:r w:rsidRPr="00834D52">
        <w:rPr>
          <w:rFonts w:ascii="Sylfaen" w:hAnsi="Sylfaen"/>
          <w:sz w:val="24"/>
          <w:szCs w:val="24"/>
        </w:rPr>
        <w:t>է, որ սույն Կանոնների 142</w:t>
      </w:r>
      <w:r w:rsidRPr="008341C7">
        <w:rPr>
          <w:rFonts w:ascii="Sylfaen" w:hAnsi="Sylfaen"/>
          <w:sz w:val="24"/>
          <w:szCs w:val="24"/>
        </w:rPr>
        <w:t>-</w:t>
      </w:r>
      <w:r w:rsidRPr="00834D52">
        <w:rPr>
          <w:rFonts w:ascii="Sylfaen" w:hAnsi="Sylfaen"/>
          <w:sz w:val="24"/>
          <w:szCs w:val="24"/>
        </w:rPr>
        <w:t xml:space="preserve">րդ կետում նշված պարտավորություններն օբյեկտիվ պատճառներով չեն կատարվել, </w:t>
      </w:r>
      <w:r>
        <w:rPr>
          <w:rFonts w:ascii="Sylfaen" w:hAnsi="Sylfaen"/>
          <w:sz w:val="24"/>
          <w:szCs w:val="24"/>
        </w:rPr>
        <w:t>և</w:t>
      </w:r>
      <w:r w:rsidRPr="00834D52">
        <w:rPr>
          <w:rFonts w:ascii="Sylfaen" w:hAnsi="Sylfaen"/>
          <w:sz w:val="24"/>
          <w:szCs w:val="24"/>
        </w:rPr>
        <w:t xml:space="preserve"> դեղապատրաստուկի գրանցման դոսյեում պահանջվում է փոփոխություններ կատարել, ապա դեղապատրաստուկի գրանցումը հաստատելու (վերագրանցելու) մասին </w:t>
      </w:r>
      <w:r>
        <w:rPr>
          <w:rFonts w:ascii="Sylfaen" w:hAnsi="Sylfaen"/>
          <w:sz w:val="24"/>
          <w:szCs w:val="24"/>
        </w:rPr>
        <w:t xml:space="preserve">ռեֆերենտ </w:t>
      </w:r>
      <w:r w:rsidRPr="00834D52">
        <w:rPr>
          <w:rFonts w:ascii="Sylfaen" w:hAnsi="Sylfaen"/>
          <w:sz w:val="24"/>
          <w:szCs w:val="24"/>
        </w:rPr>
        <w:t>պետության դրական եզրակացությունը ստանալուց հետո հարկ է թարմացնել որակի նորմատիվ փաստաթուղթը,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հրահանգն ու ռիսկերի </w:t>
      </w:r>
      <w:r w:rsidRPr="00834D52">
        <w:rPr>
          <w:rFonts w:ascii="Sylfaen" w:hAnsi="Sylfaen"/>
          <w:sz w:val="24"/>
          <w:szCs w:val="24"/>
        </w:rPr>
        <w:lastRenderedPageBreak/>
        <w:t xml:space="preserve">կառավարման պլանը (եթե կիրառելի է)՝ </w:t>
      </w:r>
      <w:r>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կողմից գրանցման դոսյեում փոփոխություններ կատարելու անհրաժեշտության մասին հարցում ուղարկելու օրվանից </w:t>
      </w:r>
      <w:r w:rsidR="00480DB8" w:rsidRPr="00480DB8">
        <w:rPr>
          <w:rFonts w:ascii="Sylfaen" w:hAnsi="Sylfaen"/>
          <w:sz w:val="24"/>
          <w:szCs w:val="24"/>
        </w:rPr>
        <w:t>120 աշխատանքային օրը</w:t>
      </w:r>
      <w:r w:rsidR="00480DB8">
        <w:rPr>
          <w:rFonts w:ascii="Sylfaen" w:hAnsi="Sylfaen"/>
          <w:sz w:val="24"/>
          <w:szCs w:val="24"/>
        </w:rPr>
        <w:t xml:space="preserve"> </w:t>
      </w:r>
      <w:r w:rsidRPr="00834D52">
        <w:rPr>
          <w:rFonts w:ascii="Sylfaen" w:hAnsi="Sylfaen"/>
          <w:sz w:val="24"/>
          <w:szCs w:val="24"/>
        </w:rPr>
        <w:t>չգերազանցող ժամկետում գրանցման հավաստագրի իրավատիրոջ կողմից գրանցման դոսյեում փոփոխություններ կատարելու համապատասխան ընթացակարգ նախաձեռնելու միջոցով։</w:t>
      </w:r>
    </w:p>
    <w:p w14:paraId="02D0F93A" w14:textId="54A6FB5B" w:rsidR="00480DB8" w:rsidRPr="00480DB8" w:rsidRDefault="00480DB8" w:rsidP="00480DB8">
      <w:pPr>
        <w:rPr>
          <w:b/>
          <w:bCs/>
          <w:i/>
          <w:iCs/>
        </w:rPr>
      </w:pPr>
      <w:r w:rsidRPr="00371618">
        <w:rPr>
          <w:b/>
          <w:bCs/>
          <w:i/>
          <w:iCs/>
        </w:rPr>
        <w:t>( 1</w:t>
      </w:r>
      <w:r>
        <w:rPr>
          <w:b/>
          <w:bCs/>
          <w:i/>
          <w:iCs/>
        </w:rPr>
        <w:t>43</w:t>
      </w:r>
      <w:r w:rsidRPr="00371618">
        <w:rPr>
          <w:b/>
          <w:bCs/>
          <w:i/>
          <w:iCs/>
        </w:rPr>
        <w:t>-րդ կետը փոփ. 17.03.22 թիվ 36 )</w:t>
      </w:r>
    </w:p>
    <w:p w14:paraId="14287525" w14:textId="77777777" w:rsidR="00D25F26" w:rsidRDefault="00D25F26" w:rsidP="00D25F26">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144.</w:t>
      </w:r>
      <w:r w:rsidRPr="00834D52">
        <w:rPr>
          <w:rFonts w:ascii="Sylfaen" w:hAnsi="Sylfaen"/>
          <w:sz w:val="24"/>
          <w:szCs w:val="24"/>
        </w:rPr>
        <w:tab/>
        <w:t xml:space="preserve">Գրանցման դոսյեում փոփոխություններ կատարելու </w:t>
      </w:r>
      <w:r>
        <w:rPr>
          <w:rFonts w:ascii="Sylfaen" w:hAnsi="Sylfaen"/>
          <w:sz w:val="24"/>
          <w:szCs w:val="24"/>
        </w:rPr>
        <w:t>դիմում</w:t>
      </w:r>
      <w:r w:rsidRPr="00834D52">
        <w:rPr>
          <w:rFonts w:ascii="Sylfaen" w:hAnsi="Sylfaen"/>
          <w:sz w:val="24"/>
          <w:szCs w:val="24"/>
        </w:rPr>
        <w:t xml:space="preserve">ը լրացուցիչ ներկայացնելուց խուսափելու նպատակով, սույն Կանոնների թիվ 19 հավելվածին համապատասխան, </w:t>
      </w:r>
      <w:r>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դեղապատրաստուկի գրանցումը հաստատելիս (վերագրանցելիս) կարող է թույլ տալ փոփոխություններ կատարել I</w:t>
      </w:r>
      <w:r w:rsidRPr="007E68F0">
        <w:rPr>
          <w:rFonts w:ascii="Sylfaen" w:hAnsi="Sylfaen"/>
          <w:sz w:val="24"/>
          <w:szCs w:val="24"/>
        </w:rPr>
        <w:t> </w:t>
      </w:r>
      <w:r w:rsidRPr="00834D52">
        <w:rPr>
          <w:rFonts w:ascii="Sylfaen" w:hAnsi="Sylfaen"/>
          <w:sz w:val="24"/>
          <w:szCs w:val="24"/>
        </w:rPr>
        <w:t>տիպի դեղապատրաստուկի գրանցման դոսյեում։</w:t>
      </w:r>
    </w:p>
    <w:p w14:paraId="6F22DABD" w14:textId="77777777" w:rsidR="00D25F26" w:rsidRPr="006F28F9" w:rsidRDefault="00D25F26" w:rsidP="00D25F26">
      <w:pPr>
        <w:rPr>
          <w:b/>
          <w:bCs/>
          <w:i/>
          <w:iCs/>
        </w:rPr>
      </w:pPr>
      <w:r w:rsidRPr="00CD4709">
        <w:rPr>
          <w:b/>
          <w:bCs/>
          <w:i/>
          <w:iCs/>
        </w:rPr>
        <w:t>(</w:t>
      </w:r>
      <w:r>
        <w:rPr>
          <w:b/>
          <w:bCs/>
          <w:i/>
          <w:iCs/>
        </w:rPr>
        <w:t xml:space="preserve">144-րդ կետը </w:t>
      </w:r>
      <w:r w:rsidRPr="00CD4709">
        <w:rPr>
          <w:b/>
          <w:bCs/>
          <w:i/>
          <w:iCs/>
        </w:rPr>
        <w:t>փոփ. 30.01.20 թիվ 9)</w:t>
      </w:r>
    </w:p>
    <w:p w14:paraId="272E7DBF" w14:textId="77777777" w:rsidR="00D25F26" w:rsidRPr="00834D52" w:rsidRDefault="00D25F26" w:rsidP="00D25F2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145.</w:t>
      </w:r>
      <w:r w:rsidRPr="00834D52">
        <w:rPr>
          <w:rFonts w:ascii="Sylfaen" w:hAnsi="Sylfaen"/>
          <w:sz w:val="24"/>
          <w:szCs w:val="24"/>
        </w:rPr>
        <w:tab/>
        <w:t>Դեղազգոնության տվյալների հիման վրա, ինչպես նա</w:t>
      </w:r>
      <w:r>
        <w:rPr>
          <w:rFonts w:ascii="Sylfaen" w:hAnsi="Sylfaen"/>
          <w:sz w:val="24"/>
          <w:szCs w:val="24"/>
        </w:rPr>
        <w:t>և</w:t>
      </w:r>
      <w:r w:rsidRPr="00834D52">
        <w:rPr>
          <w:rFonts w:ascii="Sylfaen" w:hAnsi="Sylfaen"/>
          <w:sz w:val="24"/>
          <w:szCs w:val="24"/>
        </w:rPr>
        <w:t xml:space="preserve"> հաշվի առնելով սույն Կանոնների 143</w:t>
      </w:r>
      <w:r w:rsidRPr="008341C7">
        <w:rPr>
          <w:rFonts w:ascii="Sylfaen" w:hAnsi="Sylfaen"/>
          <w:sz w:val="24"/>
          <w:szCs w:val="24"/>
        </w:rPr>
        <w:t>-</w:t>
      </w:r>
      <w:r w:rsidRPr="00834D52">
        <w:rPr>
          <w:rFonts w:ascii="Sylfaen" w:hAnsi="Sylfaen"/>
          <w:sz w:val="24"/>
          <w:szCs w:val="24"/>
        </w:rPr>
        <w:t xml:space="preserve">րդ </w:t>
      </w:r>
      <w:r>
        <w:rPr>
          <w:rFonts w:ascii="Sylfaen" w:hAnsi="Sylfaen"/>
          <w:sz w:val="24"/>
          <w:szCs w:val="24"/>
        </w:rPr>
        <w:t>և</w:t>
      </w:r>
      <w:r w:rsidRPr="00834D52">
        <w:rPr>
          <w:rFonts w:ascii="Sylfaen" w:hAnsi="Sylfaen"/>
          <w:sz w:val="24"/>
          <w:szCs w:val="24"/>
        </w:rPr>
        <w:t xml:space="preserve"> 144</w:t>
      </w:r>
      <w:r w:rsidRPr="008341C7">
        <w:rPr>
          <w:rFonts w:ascii="Sylfaen" w:hAnsi="Sylfaen"/>
          <w:sz w:val="24"/>
          <w:szCs w:val="24"/>
        </w:rPr>
        <w:t>-</w:t>
      </w:r>
      <w:r w:rsidRPr="00834D52">
        <w:rPr>
          <w:rFonts w:ascii="Sylfaen" w:hAnsi="Sylfaen"/>
          <w:sz w:val="24"/>
          <w:szCs w:val="24"/>
        </w:rPr>
        <w:t xml:space="preserve">րդ կետերում նշված հանգամանքները՝ դեղապատրաստուկի փորձաքննության արդյունքներով </w:t>
      </w:r>
      <w:r>
        <w:rPr>
          <w:rFonts w:ascii="Sylfaen" w:hAnsi="Sylfaen"/>
          <w:sz w:val="24"/>
          <w:szCs w:val="24"/>
        </w:rPr>
        <w:t xml:space="preserve">ռեֆերենտ </w:t>
      </w:r>
      <w:r w:rsidRPr="00834D52">
        <w:rPr>
          <w:rFonts w:ascii="Sylfaen" w:hAnsi="Sylfaen"/>
          <w:sz w:val="24"/>
          <w:szCs w:val="24"/>
        </w:rPr>
        <w:t>պետության լիազորված մարմինը դեղապատրաստուկի գրանցումը հաստատելիս (վերագրանցելիս) կարող է կայացնել 5 տարի գործողության ժամկետով գրանցման հավաստագիր տրամադրելու որոշում՝ գրանցման հավաստագրի գործողության նշված ժամկետը լրանալուց հետո հետագա գրանցումը հաստատելու (վերագրանցելու) անհրաժեշտությամբ։</w:t>
      </w:r>
    </w:p>
    <w:p w14:paraId="3D9AD03E" w14:textId="77777777" w:rsidR="00D25F26" w:rsidRPr="00834D52" w:rsidRDefault="00D25F26" w:rsidP="00D25F2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146.</w:t>
      </w:r>
      <w:r w:rsidRPr="00834D52">
        <w:rPr>
          <w:rFonts w:ascii="Sylfaen" w:hAnsi="Sylfaen"/>
          <w:sz w:val="24"/>
          <w:szCs w:val="24"/>
        </w:rPr>
        <w:tab/>
      </w:r>
      <w:r>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դեղապատրաստուկի գրանցման հաստատումը (վերագրանցումը) </w:t>
      </w:r>
      <w:r>
        <w:rPr>
          <w:rFonts w:ascii="Sylfaen" w:hAnsi="Sylfaen"/>
          <w:sz w:val="24"/>
          <w:szCs w:val="24"/>
        </w:rPr>
        <w:t>և</w:t>
      </w:r>
      <w:r w:rsidRPr="00834D52">
        <w:rPr>
          <w:rFonts w:ascii="Sylfaen" w:hAnsi="Sylfaen"/>
          <w:sz w:val="24"/>
          <w:szCs w:val="24"/>
        </w:rPr>
        <w:t xml:space="preserve"> ճանաչման պետության լիազորված մարմնի կողմից գնահատման վերաբերյալ փորձագիտական հաշվետվության ճանաչումը մերժելու հիմքեր են՝</w:t>
      </w:r>
    </w:p>
    <w:p w14:paraId="7733BBC7" w14:textId="77777777" w:rsidR="00D25F26" w:rsidRPr="00834D52" w:rsidRDefault="00D25F26" w:rsidP="00D25F26">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գրանցումը հաստատելու (վերագրանցելու) պահին դեղապատրաստուկի օգտագործման հետ կապված առողջության համար հետ</w:t>
      </w:r>
      <w:r>
        <w:rPr>
          <w:rFonts w:ascii="Sylfaen" w:hAnsi="Sylfaen"/>
          <w:sz w:val="24"/>
          <w:szCs w:val="24"/>
        </w:rPr>
        <w:t>և</w:t>
      </w:r>
      <w:r w:rsidRPr="00834D52">
        <w:rPr>
          <w:rFonts w:ascii="Sylfaen" w:hAnsi="Sylfaen"/>
          <w:sz w:val="24"/>
          <w:szCs w:val="24"/>
        </w:rPr>
        <w:t xml:space="preserve">յալ լուրջ ռիսկերի </w:t>
      </w:r>
      <w:r w:rsidRPr="00834D52">
        <w:rPr>
          <w:rFonts w:ascii="Sylfaen" w:hAnsi="Sylfaen"/>
          <w:sz w:val="24"/>
          <w:szCs w:val="24"/>
        </w:rPr>
        <w:lastRenderedPageBreak/>
        <w:t xml:space="preserve">պահպանումը՝ </w:t>
      </w:r>
    </w:p>
    <w:p w14:paraId="16B7B8A8" w14:textId="77777777" w:rsidR="00D25F26" w:rsidRPr="00834D52" w:rsidRDefault="00D25F26" w:rsidP="00D25F26">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հաստատված ԴՊԲԸ</w:t>
      </w:r>
      <w:r w:rsidRPr="008341C7">
        <w:rPr>
          <w:rFonts w:ascii="Sylfaen" w:hAnsi="Sylfaen"/>
          <w:sz w:val="24"/>
          <w:szCs w:val="24"/>
        </w:rPr>
        <w:t>-</w:t>
      </w:r>
      <w:r w:rsidRPr="00834D52">
        <w:rPr>
          <w:rFonts w:ascii="Sylfaen" w:hAnsi="Sylfaen"/>
          <w:sz w:val="24"/>
          <w:szCs w:val="24"/>
        </w:rPr>
        <w:t>ում նկարագրված՝ դեղապատրաստուկի կիրառման պայմանների պահպանման դեպքում օգուտ</w:t>
      </w:r>
      <w:r w:rsidRPr="008341C7">
        <w:rPr>
          <w:rFonts w:ascii="Sylfaen" w:hAnsi="Sylfaen"/>
          <w:sz w:val="24"/>
          <w:szCs w:val="24"/>
        </w:rPr>
        <w:t>-</w:t>
      </w:r>
      <w:r w:rsidRPr="00834D52">
        <w:rPr>
          <w:rFonts w:ascii="Sylfaen" w:hAnsi="Sylfaen"/>
          <w:sz w:val="24"/>
          <w:szCs w:val="24"/>
        </w:rPr>
        <w:t>ռիսկ ապացուցված անբարենպաստ հարաբերակցություն կամ թերապ</w:t>
      </w:r>
      <w:r>
        <w:rPr>
          <w:rFonts w:ascii="Sylfaen" w:hAnsi="Sylfaen"/>
          <w:sz w:val="24"/>
          <w:szCs w:val="24"/>
        </w:rPr>
        <w:t>և</w:t>
      </w:r>
      <w:r w:rsidRPr="00834D52">
        <w:rPr>
          <w:rFonts w:ascii="Sylfaen" w:hAnsi="Sylfaen"/>
          <w:sz w:val="24"/>
          <w:szCs w:val="24"/>
        </w:rPr>
        <w:t xml:space="preserve">տիկ արդյունավետության բացակայության </w:t>
      </w:r>
      <w:r>
        <w:rPr>
          <w:rFonts w:ascii="Sylfaen" w:hAnsi="Sylfaen"/>
          <w:sz w:val="24"/>
          <w:szCs w:val="24"/>
        </w:rPr>
        <w:t>հայտնաբերում</w:t>
      </w:r>
      <w:r w:rsidRPr="00834D52">
        <w:rPr>
          <w:rFonts w:ascii="Sylfaen" w:hAnsi="Sylfaen"/>
          <w:sz w:val="24"/>
          <w:szCs w:val="24"/>
        </w:rPr>
        <w:t>,</w:t>
      </w:r>
    </w:p>
    <w:p w14:paraId="2133C625" w14:textId="77777777" w:rsidR="00D25F26" w:rsidRPr="00834D52" w:rsidRDefault="00D25F26" w:rsidP="00D25F26">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դեղազգոնության տվյալներով հաստատված փաստեր, որոնք ցույց են տալիս օգուտ</w:t>
      </w:r>
      <w:r w:rsidRPr="008341C7">
        <w:rPr>
          <w:rFonts w:ascii="Sylfaen" w:hAnsi="Sylfaen"/>
          <w:sz w:val="24"/>
          <w:szCs w:val="24"/>
        </w:rPr>
        <w:t>-</w:t>
      </w:r>
      <w:r w:rsidRPr="00834D52">
        <w:rPr>
          <w:rFonts w:ascii="Sylfaen" w:hAnsi="Sylfaen"/>
          <w:sz w:val="24"/>
          <w:szCs w:val="24"/>
        </w:rPr>
        <w:t>ռիսկ անբարենպաստ հարաբերակցությունը (այդ թվում՝ այս կամ այն անցանկալի ռեակցիաների զեկուցման հաճախության էական բարձրացում՝ համեմատած հաստատված ԴՊԸԲ</w:t>
      </w:r>
      <w:r w:rsidRPr="008341C7">
        <w:rPr>
          <w:rFonts w:ascii="Sylfaen" w:hAnsi="Sylfaen"/>
          <w:sz w:val="24"/>
          <w:szCs w:val="24"/>
        </w:rPr>
        <w:t>-</w:t>
      </w:r>
      <w:r w:rsidRPr="00834D52">
        <w:rPr>
          <w:rFonts w:ascii="Sylfaen" w:hAnsi="Sylfaen"/>
          <w:sz w:val="24"/>
          <w:szCs w:val="24"/>
        </w:rPr>
        <w:t>ում նշված տվյալների հետ),</w:t>
      </w:r>
    </w:p>
    <w:p w14:paraId="5A454D5C" w14:textId="77777777" w:rsidR="00D25F26" w:rsidRPr="00834D52" w:rsidRDefault="00D25F26" w:rsidP="00D25F26">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պատրաստուկի որակական </w:t>
      </w:r>
      <w:r>
        <w:rPr>
          <w:rFonts w:ascii="Sylfaen" w:hAnsi="Sylfaen"/>
          <w:sz w:val="24"/>
          <w:szCs w:val="24"/>
        </w:rPr>
        <w:t>և</w:t>
      </w:r>
      <w:r w:rsidRPr="00834D52">
        <w:rPr>
          <w:rFonts w:ascii="Sylfaen" w:hAnsi="Sylfaen"/>
          <w:sz w:val="24"/>
          <w:szCs w:val="24"/>
        </w:rPr>
        <w:t xml:space="preserve"> քանակական բաղադրության անհամապատասխանությունը </w:t>
      </w:r>
      <w:r>
        <w:rPr>
          <w:rFonts w:ascii="Sylfaen" w:hAnsi="Sylfaen"/>
          <w:sz w:val="24"/>
          <w:szCs w:val="24"/>
        </w:rPr>
        <w:t>հայտագրված</w:t>
      </w:r>
      <w:r w:rsidRPr="00834D52">
        <w:rPr>
          <w:rFonts w:ascii="Sylfaen" w:hAnsi="Sylfaen"/>
          <w:sz w:val="24"/>
          <w:szCs w:val="24"/>
        </w:rPr>
        <w:t xml:space="preserve"> բաղադրությանը կամ Միության շուկայում դեղապատրաստուկի շրջանառության ընթացքում դրա որակի բազմակի անհամապատասխանությունը գրանցման պահին </w:t>
      </w:r>
      <w:r>
        <w:rPr>
          <w:rFonts w:ascii="Sylfaen" w:hAnsi="Sylfaen"/>
          <w:sz w:val="24"/>
          <w:szCs w:val="24"/>
        </w:rPr>
        <w:t>հայտագրված</w:t>
      </w:r>
      <w:r w:rsidRPr="00834D52">
        <w:rPr>
          <w:rFonts w:ascii="Sylfaen" w:hAnsi="Sylfaen"/>
          <w:sz w:val="24"/>
          <w:szCs w:val="24"/>
        </w:rPr>
        <w:t xml:space="preserve"> որակին,</w:t>
      </w:r>
    </w:p>
    <w:p w14:paraId="2FB5AD0C" w14:textId="77777777" w:rsidR="00D25F26" w:rsidRPr="00834D52" w:rsidRDefault="00D25F26" w:rsidP="00D25F26">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գրանցման հաստատման (վերագրանցման) </w:t>
      </w:r>
      <w:r>
        <w:rPr>
          <w:rFonts w:ascii="Sylfaen" w:hAnsi="Sylfaen"/>
          <w:sz w:val="24"/>
          <w:szCs w:val="24"/>
        </w:rPr>
        <w:t>դիմում</w:t>
      </w:r>
      <w:r w:rsidRPr="00834D52">
        <w:rPr>
          <w:rFonts w:ascii="Sylfaen" w:hAnsi="Sylfaen"/>
          <w:sz w:val="24"/>
          <w:szCs w:val="24"/>
        </w:rPr>
        <w:t>ին ուղեկցող ոչ հավաստի կամ չարդիականացված տվյալները,</w:t>
      </w:r>
    </w:p>
    <w:p w14:paraId="67BC6B0A" w14:textId="77777777" w:rsidR="00D25F26" w:rsidRPr="00834D52" w:rsidRDefault="00D25F26" w:rsidP="00D25F26">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գրանցման հավաստագրի իրավատիրոջ կողմից դիտողությունները չվերացնելը կամ հատկացված ժամանակի ընթացքում դեղապատրաստուկի փորձաքննության անցկացման ժամանակ ծագած հարցերին պատասխաններ չներկայացնելը,</w:t>
      </w:r>
    </w:p>
    <w:p w14:paraId="42635BFD" w14:textId="77777777" w:rsidR="00D25F26" w:rsidRDefault="00D25F26" w:rsidP="00D25F26">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գրանցման հավաստագրի իրավատիրոջ կողմից դեղազգոնության մասով պարտավորությունները կամ պայմաններով գրանցման ընթացակարգի շրջանակներում ստանձնած պարտավորությունները չկատարելը։</w:t>
      </w:r>
    </w:p>
    <w:p w14:paraId="78CCCE53" w14:textId="77777777" w:rsidR="00D25F26" w:rsidRPr="006F28F9" w:rsidRDefault="00D25F26" w:rsidP="00D25F26">
      <w:pPr>
        <w:rPr>
          <w:b/>
          <w:bCs/>
          <w:i/>
          <w:iCs/>
        </w:rPr>
      </w:pPr>
      <w:r w:rsidRPr="00CD4709">
        <w:rPr>
          <w:b/>
          <w:bCs/>
          <w:i/>
          <w:iCs/>
        </w:rPr>
        <w:t>(</w:t>
      </w:r>
      <w:r>
        <w:rPr>
          <w:b/>
          <w:bCs/>
          <w:i/>
          <w:iCs/>
        </w:rPr>
        <w:t xml:space="preserve">146-րդ կետը </w:t>
      </w:r>
      <w:r w:rsidRPr="00CD4709">
        <w:rPr>
          <w:b/>
          <w:bCs/>
          <w:i/>
          <w:iCs/>
        </w:rPr>
        <w:t>փոփ. 30.01.20 թիվ 9)</w:t>
      </w:r>
    </w:p>
    <w:p w14:paraId="3C82328C" w14:textId="77777777" w:rsidR="00D25F26" w:rsidRPr="00550964" w:rsidRDefault="00D25F26" w:rsidP="00550964">
      <w:pPr>
        <w:spacing w:after="160" w:line="360" w:lineRule="auto"/>
        <w:ind w:left="567" w:right="565"/>
        <w:rPr>
          <w:rFonts w:ascii="Sylfaen" w:hAnsi="Sylfaen"/>
          <w:b/>
          <w:bCs/>
          <w:i/>
          <w:iCs/>
        </w:rPr>
      </w:pPr>
    </w:p>
    <w:p w14:paraId="625CD263" w14:textId="77777777" w:rsidR="00286A6D" w:rsidRDefault="00286A6D" w:rsidP="00286A6D">
      <w:pPr>
        <w:spacing w:after="160" w:line="360" w:lineRule="auto"/>
        <w:ind w:left="567" w:right="565"/>
        <w:rPr>
          <w:rFonts w:ascii="Sylfaen" w:hAnsi="Sylfaen"/>
          <w:sz w:val="24"/>
          <w:szCs w:val="24"/>
        </w:rPr>
      </w:pPr>
    </w:p>
    <w:p w14:paraId="63C6B65A" w14:textId="10532FC8" w:rsidR="006F76EB" w:rsidRPr="00834D52" w:rsidRDefault="006F76EB" w:rsidP="00286A6D">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IX. Գրանցված դեղապատրաստուկի գրանցման դոսյեում փոփոխություններ կատարելը</w:t>
      </w:r>
    </w:p>
    <w:p w14:paraId="594E9919" w14:textId="609A41CC" w:rsidR="006F76EB" w:rsidRPr="00834D52" w:rsidRDefault="006F76EB" w:rsidP="007F36C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147.</w:t>
      </w:r>
      <w:r w:rsidRPr="00834D52">
        <w:rPr>
          <w:rFonts w:ascii="Sylfaen" w:hAnsi="Sylfaen"/>
          <w:sz w:val="24"/>
          <w:szCs w:val="24"/>
        </w:rPr>
        <w:tab/>
        <w:t>Դեղապատրաստուկը գրանցելուց հետո</w:t>
      </w:r>
      <w:r w:rsidR="00480DB8">
        <w:rPr>
          <w:rFonts w:ascii="Sylfaen" w:hAnsi="Sylfaen"/>
          <w:sz w:val="24"/>
          <w:szCs w:val="24"/>
        </w:rPr>
        <w:t xml:space="preserve"> </w:t>
      </w:r>
      <w:r w:rsidR="00480DB8">
        <w:rPr>
          <w:rFonts w:ascii="Arial Unicode" w:hAnsi="Arial Unicode"/>
          <w:sz w:val="21"/>
          <w:szCs w:val="21"/>
        </w:rPr>
        <w:t>ռեֆերենտ պետությունում</w:t>
      </w:r>
      <w:r w:rsidRPr="00834D52">
        <w:rPr>
          <w:rFonts w:ascii="Sylfaen" w:hAnsi="Sylfaen"/>
          <w:sz w:val="24"/>
          <w:szCs w:val="24"/>
        </w:rPr>
        <w:t xml:space="preserve"> գրանցման հավաստագրի իրավատերը գրանցված դեղապատրաստուկի գրանցման դոսյեում պետք է փոփոխություններ կատարի (այսուհետ՝ փոփոխություններ կատարել), որոնք կարող են պահանջվել դեղամիջոցի արտադրության </w:t>
      </w:r>
      <w:r w:rsidR="00C54D75">
        <w:rPr>
          <w:rFonts w:ascii="Sylfaen" w:hAnsi="Sylfaen"/>
          <w:sz w:val="24"/>
          <w:szCs w:val="24"/>
        </w:rPr>
        <w:t>և</w:t>
      </w:r>
      <w:r w:rsidRPr="00834D52">
        <w:rPr>
          <w:rFonts w:ascii="Sylfaen" w:hAnsi="Sylfaen"/>
          <w:sz w:val="24"/>
          <w:szCs w:val="24"/>
        </w:rPr>
        <w:t xml:space="preserve"> որակի հսկողության համընդհանուր գիտական մեթոդների ժամանակակից մակարդակին համապատասխանության ապահովման նպատակով:</w:t>
      </w:r>
    </w:p>
    <w:p w14:paraId="37543E55" w14:textId="7ED007E0" w:rsidR="006F76EB" w:rsidRDefault="006F76EB" w:rsidP="00282C05">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 xml:space="preserve">Այդպիսի փոփոխությունները պետք է հաստատվեն այն անդամ պետության լիազորված մարմնի կողմից, որտեղ գրանցված է դեղապատրաստուկը (կամ այդ լիազորված մարմինը պետք է ծանուցվի դրանց մասին՝ հաստատված ընթացակարգին համապատասխան): Ընդ որում, դեղապատրաստուկի գրանցման դոսյեում փոփոխություններ կատարելը պետք է նախաձեռնի </w:t>
      </w:r>
      <w:r w:rsidR="0056496B">
        <w:rPr>
          <w:rFonts w:ascii="Sylfaen" w:hAnsi="Sylfaen"/>
          <w:sz w:val="24"/>
          <w:szCs w:val="24"/>
        </w:rPr>
        <w:t>դիմումատու</w:t>
      </w:r>
      <w:r w:rsidRPr="00834D52">
        <w:rPr>
          <w:rFonts w:ascii="Sylfaen" w:hAnsi="Sylfaen"/>
          <w:sz w:val="24"/>
          <w:szCs w:val="24"/>
        </w:rPr>
        <w:t>ն՝ նույն ռեֆերենտ պետության լիազորված մարմնի (փորձագիտական կազմակերպության) միջոցով, որն իրականացրել է դեղապատրաստուկի գրանցումը:</w:t>
      </w:r>
    </w:p>
    <w:p w14:paraId="0DCB1649" w14:textId="6B69D247" w:rsidR="00E0352E" w:rsidRDefault="00E0352E" w:rsidP="00282C05">
      <w:pPr>
        <w:tabs>
          <w:tab w:val="left" w:pos="1701"/>
        </w:tabs>
        <w:spacing w:after="160" w:line="360" w:lineRule="auto"/>
        <w:ind w:right="-6" w:firstLine="567"/>
        <w:jc w:val="both"/>
        <w:rPr>
          <w:rFonts w:ascii="Sylfaen" w:hAnsi="Sylfaen"/>
          <w:sz w:val="24"/>
          <w:szCs w:val="24"/>
        </w:rPr>
      </w:pPr>
      <w:r w:rsidRPr="00E0352E">
        <w:rPr>
          <w:rFonts w:ascii="Sylfaen" w:hAnsi="Sylfaen"/>
          <w:sz w:val="24"/>
          <w:szCs w:val="24"/>
        </w:rPr>
        <w:t>Թույլատրվում է ռեֆերենտ պետությունում փոխադարձ ճանաչման ընթացակարգով գրանցված դեղապատրաստուկի գրանցման դոսյեում փոփոխություններ կատարելը մինչև սույն կանոնների 661-րդ կետին համապատասխան՝ հայտագրված ճանաչման պետություններում ճանաչման ընթացակարգի մեկնարկը</w:t>
      </w:r>
      <w:r>
        <w:rPr>
          <w:rFonts w:ascii="Sylfaen" w:hAnsi="Sylfaen"/>
          <w:sz w:val="24"/>
          <w:szCs w:val="24"/>
        </w:rPr>
        <w:t>:</w:t>
      </w:r>
    </w:p>
    <w:p w14:paraId="603E0BE5" w14:textId="501E1FCB" w:rsidR="00745ADC" w:rsidRPr="006F28F9" w:rsidRDefault="00745ADC" w:rsidP="00745ADC">
      <w:pPr>
        <w:rPr>
          <w:b/>
          <w:bCs/>
          <w:i/>
          <w:iCs/>
        </w:rPr>
      </w:pPr>
      <w:r w:rsidRPr="00CD4709">
        <w:rPr>
          <w:b/>
          <w:bCs/>
          <w:i/>
          <w:iCs/>
        </w:rPr>
        <w:t>(</w:t>
      </w:r>
      <w:r>
        <w:rPr>
          <w:b/>
          <w:bCs/>
          <w:i/>
          <w:iCs/>
        </w:rPr>
        <w:t xml:space="preserve">147-րդ կետը </w:t>
      </w:r>
      <w:r w:rsidRPr="00CD4709">
        <w:rPr>
          <w:b/>
          <w:bCs/>
          <w:i/>
          <w:iCs/>
        </w:rPr>
        <w:t>փոփ. 30.01.20 թիվ 9</w:t>
      </w:r>
      <w:r w:rsidR="00E0352E">
        <w:rPr>
          <w:b/>
          <w:bCs/>
          <w:i/>
          <w:iCs/>
        </w:rPr>
        <w:t>, լրաց. 17.03.22 թիվ 36</w:t>
      </w:r>
      <w:r w:rsidRPr="00CD4709">
        <w:rPr>
          <w:b/>
          <w:bCs/>
          <w:i/>
          <w:iCs/>
        </w:rPr>
        <w:t>)</w:t>
      </w:r>
    </w:p>
    <w:p w14:paraId="35E80C16" w14:textId="77777777" w:rsidR="006F76EB" w:rsidRPr="00834D52" w:rsidRDefault="006F76EB" w:rsidP="007F36C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148.</w:t>
      </w:r>
      <w:r w:rsidRPr="00834D52">
        <w:rPr>
          <w:rFonts w:ascii="Sylfaen" w:hAnsi="Sylfaen"/>
          <w:sz w:val="24"/>
          <w:szCs w:val="24"/>
        </w:rPr>
        <w:tab/>
        <w:t xml:space="preserve">Գրանցման հավաստագրի իրավատերն անդամ պետության լիազորված մարմնին պարտավոր է տեղեկացնել բոլոր այն նոր տեղեկությունների մասին, ըստ որոնց կարող են դեղապատրաստուկի գրանցման դոսյեում պարունակվող փաստաթղթերի </w:t>
      </w:r>
      <w:r w:rsidR="00C54D75">
        <w:rPr>
          <w:rFonts w:ascii="Sylfaen" w:hAnsi="Sylfaen"/>
          <w:sz w:val="24"/>
          <w:szCs w:val="24"/>
        </w:rPr>
        <w:t>և</w:t>
      </w:r>
      <w:r w:rsidRPr="00834D52">
        <w:rPr>
          <w:rFonts w:ascii="Sylfaen" w:hAnsi="Sylfaen"/>
          <w:sz w:val="24"/>
          <w:szCs w:val="24"/>
        </w:rPr>
        <w:t xml:space="preserve"> տվյալների փոփոխություններ պահանջվել:</w:t>
      </w:r>
    </w:p>
    <w:p w14:paraId="22246D3A" w14:textId="176E5173" w:rsidR="006F76EB" w:rsidRDefault="006F76EB" w:rsidP="00F44AF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Գրանցման հավաստագրի իրավատերը պետք է անդամ պետության լիազորված մարմնին անհապաղ տեղեկացնի որ</w:t>
      </w:r>
      <w:r w:rsidR="00C54D75">
        <w:rPr>
          <w:rFonts w:ascii="Sylfaen" w:hAnsi="Sylfaen"/>
          <w:sz w:val="24"/>
          <w:szCs w:val="24"/>
        </w:rPr>
        <w:t>և</w:t>
      </w:r>
      <w:r w:rsidRPr="00834D52">
        <w:rPr>
          <w:rFonts w:ascii="Sylfaen" w:hAnsi="Sylfaen"/>
          <w:sz w:val="24"/>
          <w:szCs w:val="24"/>
        </w:rPr>
        <w:t xml:space="preserve">է պետության լիազորված մարմինների կողմից դեղամիջոցի բժշկական կիրառման վրա դրված ցանկացած արգելքի կամ սահմանափակման մասին, որի շուկայում գտնվում է դեղապատրաստուկը, </w:t>
      </w:r>
      <w:r w:rsidR="00C54D75">
        <w:rPr>
          <w:rFonts w:ascii="Sylfaen" w:hAnsi="Sylfaen"/>
          <w:sz w:val="24"/>
          <w:szCs w:val="24"/>
        </w:rPr>
        <w:t>և</w:t>
      </w:r>
      <w:r w:rsidRPr="00834D52">
        <w:rPr>
          <w:rFonts w:ascii="Sylfaen" w:hAnsi="Sylfaen"/>
          <w:sz w:val="24"/>
          <w:szCs w:val="24"/>
        </w:rPr>
        <w:t xml:space="preserve"> բոլոր այլ տեղեկությունների մասին, որոնք կարող են ազդել </w:t>
      </w:r>
      <w:r w:rsidRPr="00834D52">
        <w:rPr>
          <w:rFonts w:ascii="Sylfaen" w:hAnsi="Sylfaen"/>
          <w:sz w:val="24"/>
          <w:szCs w:val="24"/>
        </w:rPr>
        <w:lastRenderedPageBreak/>
        <w:t>դիտարկվող դեղապատրաստուկի օգուտ-ռիսկ հարաբերակցության գնահատման վրա: Տեղեկությունները պետք է պարունակեն կլինիկական հետազոտությունների կամ այլ հետազոտությունների</w:t>
      </w:r>
      <w:r w:rsidR="00E0352E">
        <w:rPr>
          <w:rFonts w:ascii="Sylfaen" w:hAnsi="Sylfaen"/>
          <w:sz w:val="24"/>
          <w:szCs w:val="24"/>
        </w:rPr>
        <w:t xml:space="preserve"> </w:t>
      </w:r>
      <w:r w:rsidR="00E0352E" w:rsidRPr="00E0352E">
        <w:rPr>
          <w:rFonts w:ascii="Sylfaen" w:hAnsi="Sylfaen"/>
          <w:sz w:val="24"/>
          <w:szCs w:val="24"/>
        </w:rPr>
        <w:t>(այդ թվում՝ իրական կլինիկական պրակտիկայի տվյալների հիման վրա ստացված ապացույցներ պարունակող)</w:t>
      </w:r>
      <w:r w:rsidR="00E0352E">
        <w:rPr>
          <w:rFonts w:ascii="Sylfaen" w:hAnsi="Sylfaen"/>
          <w:sz w:val="24"/>
          <w:szCs w:val="24"/>
        </w:rPr>
        <w:t xml:space="preserve">, </w:t>
      </w:r>
      <w:r w:rsidRPr="00834D52">
        <w:rPr>
          <w:rFonts w:ascii="Sylfaen" w:hAnsi="Sylfaen"/>
          <w:sz w:val="24"/>
          <w:szCs w:val="24"/>
        </w:rPr>
        <w:t xml:space="preserve">ինչպես դրական, այնպես էլ բացասական արդյունքները՝ ըստ բոլոր ցուցումների </w:t>
      </w:r>
      <w:r w:rsidR="00C54D75">
        <w:rPr>
          <w:rFonts w:ascii="Sylfaen" w:hAnsi="Sylfaen"/>
          <w:sz w:val="24"/>
          <w:szCs w:val="24"/>
        </w:rPr>
        <w:t>և</w:t>
      </w:r>
      <w:r w:rsidRPr="00834D52">
        <w:rPr>
          <w:rFonts w:ascii="Sylfaen" w:hAnsi="Sylfaen"/>
          <w:sz w:val="24"/>
          <w:szCs w:val="24"/>
        </w:rPr>
        <w:t xml:space="preserve"> պացիենտների բոլոր խմբերում՝ անկախ գրանցման դոսյեում դրանց ներառումից, ինչպես նա</w:t>
      </w:r>
      <w:r w:rsidR="00C54D75">
        <w:rPr>
          <w:rFonts w:ascii="Sylfaen" w:hAnsi="Sylfaen"/>
          <w:sz w:val="24"/>
          <w:szCs w:val="24"/>
        </w:rPr>
        <w:t>և</w:t>
      </w:r>
      <w:r w:rsidRPr="00834D52">
        <w:rPr>
          <w:rFonts w:ascii="Sylfaen" w:hAnsi="Sylfaen"/>
          <w:sz w:val="24"/>
          <w:szCs w:val="24"/>
        </w:rPr>
        <w:t xml:space="preserve"> դեղապատրաստուկի կիրառման տվյալները, եթե այդպիսի կիրառումը չի</w:t>
      </w:r>
      <w:r w:rsidR="00D32C7C" w:rsidRPr="00D32C7C">
        <w:rPr>
          <w:rFonts w:ascii="Sylfaen" w:hAnsi="Sylfaen"/>
          <w:sz w:val="24"/>
          <w:szCs w:val="24"/>
        </w:rPr>
        <w:t> </w:t>
      </w:r>
      <w:r w:rsidRPr="00834D52">
        <w:rPr>
          <w:rFonts w:ascii="Sylfaen" w:hAnsi="Sylfaen"/>
          <w:sz w:val="24"/>
          <w:szCs w:val="24"/>
        </w:rPr>
        <w:t>համապատասխանում գրանցման պայմաններին:</w:t>
      </w:r>
    </w:p>
    <w:p w14:paraId="2E1CECCD" w14:textId="3DAE711D" w:rsidR="00E0352E" w:rsidRPr="006F28F9" w:rsidRDefault="00E0352E" w:rsidP="00E0352E">
      <w:pPr>
        <w:rPr>
          <w:b/>
          <w:bCs/>
          <w:i/>
          <w:iCs/>
        </w:rPr>
      </w:pPr>
      <w:r w:rsidRPr="00CD4709">
        <w:rPr>
          <w:b/>
          <w:bCs/>
          <w:i/>
          <w:iCs/>
        </w:rPr>
        <w:t>(</w:t>
      </w:r>
      <w:r>
        <w:rPr>
          <w:b/>
          <w:bCs/>
          <w:i/>
          <w:iCs/>
        </w:rPr>
        <w:t>148-րդ կետը  լրաց. 17.03.22 թիվ 36</w:t>
      </w:r>
      <w:r w:rsidRPr="00CD4709">
        <w:rPr>
          <w:b/>
          <w:bCs/>
          <w:i/>
          <w:iCs/>
        </w:rPr>
        <w:t>)</w:t>
      </w:r>
    </w:p>
    <w:p w14:paraId="7E3764A4" w14:textId="77777777" w:rsidR="00E0352E" w:rsidRPr="00834D52" w:rsidRDefault="00E0352E" w:rsidP="00F44AFB">
      <w:pPr>
        <w:tabs>
          <w:tab w:val="left" w:pos="1134"/>
        </w:tabs>
        <w:spacing w:after="160" w:line="384" w:lineRule="auto"/>
        <w:ind w:right="-6" w:firstLine="567"/>
        <w:jc w:val="both"/>
        <w:rPr>
          <w:rFonts w:ascii="Sylfaen" w:eastAsia="Times New Roman" w:hAnsi="Sylfaen" w:cs="Times New Roman"/>
          <w:sz w:val="24"/>
          <w:szCs w:val="24"/>
        </w:rPr>
      </w:pPr>
    </w:p>
    <w:p w14:paraId="6A7F1D9D" w14:textId="77777777" w:rsidR="006F76EB" w:rsidRPr="00834D52" w:rsidRDefault="006F76EB" w:rsidP="007F36C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149.</w:t>
      </w:r>
      <w:r w:rsidRPr="00834D52">
        <w:rPr>
          <w:rFonts w:ascii="Sylfaen" w:hAnsi="Sylfaen"/>
          <w:sz w:val="24"/>
          <w:szCs w:val="24"/>
        </w:rPr>
        <w:tab/>
        <w:t xml:space="preserve">Գրանցման հավաստագրի իրավատերը պետք է ապահովի դեղապատրաստուկի մասին տեղեկատվության համապատասխանությունը գիտականորեն հիմնավորված ընթացիկ բժշկական չափանիշներին՝ ներառյալ այլ երկրների դեղամիջոցների շրջանառության ոլորտում լիազորված մարմինների փորձաքննություների </w:t>
      </w:r>
      <w:r w:rsidR="00C54D75">
        <w:rPr>
          <w:rFonts w:ascii="Sylfaen" w:hAnsi="Sylfaen"/>
          <w:sz w:val="24"/>
          <w:szCs w:val="24"/>
        </w:rPr>
        <w:t>և</w:t>
      </w:r>
      <w:r w:rsidRPr="00834D52">
        <w:rPr>
          <w:rFonts w:ascii="Sylfaen" w:hAnsi="Sylfaen"/>
          <w:sz w:val="24"/>
          <w:szCs w:val="24"/>
        </w:rPr>
        <w:t xml:space="preserve"> առաջարկությունների եզրակացությունները։ </w:t>
      </w:r>
    </w:p>
    <w:p w14:paraId="299FFE2E" w14:textId="3439BD88" w:rsidR="006F76EB" w:rsidRPr="00834D52" w:rsidRDefault="006F76EB" w:rsidP="007F36C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150.</w:t>
      </w:r>
      <w:r w:rsidRPr="00834D52">
        <w:rPr>
          <w:rFonts w:ascii="Sylfaen" w:hAnsi="Sylfaen"/>
          <w:sz w:val="24"/>
          <w:szCs w:val="24"/>
        </w:rPr>
        <w:tab/>
        <w:t xml:space="preserve">Գրանցված դեղապատրաստուկի օգուտ-ռիսկ հարաբերակցության շարունակական գնահատման նպատակով անդամ պետության լիազորված մարմինը (այդ թվում՝ փորձագիտական կազմակերպության հարցմամբ) իրավունք ունի գրանցված դեղապատրաստուկի գրանցման հավաստագրի իրավատիրոջը հարցում ուղարկելու այն տվյալները ներկայացնելու մասին, որոնցով հաստատվում է, որ գրանցված դեղապատրաստուկի օգուտ-ռիսկ հարաբերակցությունը մնում է բարենպաստ: Գրանցման հավաստագրի իրավատերը պարտավոր է այդ լիազորված մարմնին (փորձագիտական կազմակերպությանը) անհրաժեշտ նյութերը ներկայացնել առավել կարճ ժամկետում, բայց համապատասխան հարցումը ստանալու ամսաթվից </w:t>
      </w:r>
      <w:r w:rsidR="00B572F1">
        <w:rPr>
          <w:rFonts w:ascii="Arial Unicode" w:hAnsi="Arial Unicode"/>
          <w:sz w:val="21"/>
          <w:szCs w:val="21"/>
        </w:rPr>
        <w:t xml:space="preserve">20 </w:t>
      </w:r>
      <w:r w:rsidR="00B572F1" w:rsidRPr="00B572F1">
        <w:rPr>
          <w:rFonts w:ascii="Sylfaen" w:hAnsi="Sylfaen"/>
        </w:rPr>
        <w:t>աշխատանքային օրվանից</w:t>
      </w:r>
      <w:r w:rsidR="00B572F1">
        <w:rPr>
          <w:sz w:val="21"/>
          <w:szCs w:val="21"/>
        </w:rPr>
        <w:t xml:space="preserve">  </w:t>
      </w:r>
      <w:r w:rsidRPr="00834D52">
        <w:rPr>
          <w:rFonts w:ascii="Sylfaen" w:hAnsi="Sylfaen"/>
          <w:sz w:val="24"/>
          <w:szCs w:val="24"/>
        </w:rPr>
        <w:t>ոչ ուշ:</w:t>
      </w:r>
    </w:p>
    <w:p w14:paraId="79E704FF" w14:textId="6785B03C"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 xml:space="preserve">Անդամ պետության լիազորված մարմինը (այդ թվում՝ փորձագիտական կազմակերպության հարցմամբ) իրավունք ունի հարցում ուղարկելու գրանցված </w:t>
      </w:r>
      <w:r w:rsidRPr="00834D52">
        <w:rPr>
          <w:rFonts w:ascii="Sylfaen" w:hAnsi="Sylfaen"/>
          <w:sz w:val="24"/>
          <w:szCs w:val="24"/>
        </w:rPr>
        <w:lastRenderedPageBreak/>
        <w:t>դեղապատրաստուկի գրանցման հավաստագրի իրավատիրոջը՝ դեղազգոնության համակարգի մաստեր-ֆայլի պատճենները ներկայացնելու վերաբերյալ: Գրանցման հավաստագրի իրավատերը համապատասխան պատճենը պետք է ներկայացնի տվյալ հարցումն ստանալու ամսաթվից 10 աշխատանքային օրվա ընթացքում:</w:t>
      </w:r>
    </w:p>
    <w:p w14:paraId="5CFF4C96" w14:textId="71605DEF" w:rsidR="00B572F1" w:rsidRPr="006F28F9" w:rsidRDefault="00B572F1" w:rsidP="00B572F1">
      <w:pPr>
        <w:rPr>
          <w:b/>
          <w:bCs/>
          <w:i/>
          <w:iCs/>
        </w:rPr>
      </w:pPr>
      <w:r w:rsidRPr="00CD4709">
        <w:rPr>
          <w:b/>
          <w:bCs/>
          <w:i/>
          <w:iCs/>
        </w:rPr>
        <w:t>(</w:t>
      </w:r>
      <w:r>
        <w:rPr>
          <w:b/>
          <w:bCs/>
          <w:i/>
          <w:iCs/>
        </w:rPr>
        <w:t>150-րդ կետը  փոփ. 17.03.22 թիվ 36</w:t>
      </w:r>
      <w:r w:rsidRPr="00CD4709">
        <w:rPr>
          <w:b/>
          <w:bCs/>
          <w:i/>
          <w:iCs/>
        </w:rPr>
        <w:t>)</w:t>
      </w:r>
    </w:p>
    <w:p w14:paraId="0EC6E636" w14:textId="77777777" w:rsidR="00B572F1" w:rsidRPr="00834D52" w:rsidRDefault="00B572F1" w:rsidP="006F76EB">
      <w:pPr>
        <w:tabs>
          <w:tab w:val="left" w:pos="1134"/>
        </w:tabs>
        <w:spacing w:after="160" w:line="384" w:lineRule="auto"/>
        <w:ind w:right="-6" w:firstLine="567"/>
        <w:jc w:val="both"/>
        <w:rPr>
          <w:rFonts w:ascii="Sylfaen" w:eastAsia="Times New Roman" w:hAnsi="Sylfaen" w:cs="Times New Roman"/>
          <w:sz w:val="24"/>
          <w:szCs w:val="24"/>
        </w:rPr>
      </w:pPr>
    </w:p>
    <w:p w14:paraId="2EB7A61F"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Գրանցված դեղապատրաստուկի գրանցման դոսյեում կատարվող փոփոխությունները չպետք է փոխեն դեղապատրաստուկի օգուտ-ռիսկ դրական հարաբերակցությունը:</w:t>
      </w:r>
    </w:p>
    <w:p w14:paraId="566CB3EC" w14:textId="0E54C0A9" w:rsidR="006F76EB" w:rsidRDefault="006F76EB" w:rsidP="00A837EF">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152.</w:t>
      </w:r>
      <w:r w:rsidRPr="00834D52">
        <w:rPr>
          <w:rFonts w:ascii="Sylfaen" w:hAnsi="Sylfaen"/>
          <w:sz w:val="24"/>
          <w:szCs w:val="24"/>
        </w:rPr>
        <w:tab/>
        <w:t xml:space="preserve">Գրանցված դեղապատրաստուկի գրանցման դոսյեում փոփոխություններ կատարելն իրականացվում է գրանցված դեղապատրաստուկի գրանցման դոսյեում կատարվող փոփոխությունների դասակարգչին </w:t>
      </w:r>
      <w:r w:rsidR="00C54D75">
        <w:rPr>
          <w:rFonts w:ascii="Sylfaen" w:hAnsi="Sylfaen"/>
          <w:sz w:val="24"/>
          <w:szCs w:val="24"/>
        </w:rPr>
        <w:t>և</w:t>
      </w:r>
      <w:r w:rsidRPr="00834D52">
        <w:rPr>
          <w:rFonts w:ascii="Sylfaen" w:hAnsi="Sylfaen"/>
          <w:sz w:val="24"/>
          <w:szCs w:val="24"/>
        </w:rPr>
        <w:t xml:space="preserve"> համապատասխան սույն Կանոնների </w:t>
      </w:r>
      <w:r w:rsidR="00B825FD">
        <w:rPr>
          <w:rFonts w:ascii="Sylfaen" w:hAnsi="Sylfaen"/>
          <w:sz w:val="24"/>
          <w:szCs w:val="24"/>
        </w:rPr>
        <w:t xml:space="preserve">թիվ </w:t>
      </w:r>
      <w:r w:rsidRPr="00834D52">
        <w:rPr>
          <w:rFonts w:ascii="Sylfaen" w:hAnsi="Sylfaen"/>
          <w:sz w:val="24"/>
          <w:szCs w:val="24"/>
        </w:rPr>
        <w:t xml:space="preserve">19 </w:t>
      </w:r>
      <w:r w:rsidR="00C54D75">
        <w:rPr>
          <w:rFonts w:ascii="Sylfaen" w:hAnsi="Sylfaen"/>
          <w:sz w:val="24"/>
          <w:szCs w:val="24"/>
        </w:rPr>
        <w:t>և</w:t>
      </w:r>
      <w:r w:rsidRPr="00834D52">
        <w:rPr>
          <w:rFonts w:ascii="Sylfaen" w:hAnsi="Sylfaen"/>
          <w:sz w:val="24"/>
          <w:szCs w:val="24"/>
        </w:rPr>
        <w:t xml:space="preserve"> 20 հավելվածներին՝ դրանց փոփոխությունների կանոններին համապատասխան: Դեղապատրաստուկների գրանցման դոսյեում փոփոխություններ կատարելու փորձաքննությունն իրականացվում է սույն Կանոնների</w:t>
      </w:r>
      <w:r w:rsidR="00362F93">
        <w:rPr>
          <w:rFonts w:ascii="Sylfaen" w:hAnsi="Sylfaen"/>
          <w:sz w:val="24"/>
          <w:szCs w:val="24"/>
        </w:rPr>
        <w:t xml:space="preserve"> թիվ</w:t>
      </w:r>
      <w:r w:rsidRPr="00834D52">
        <w:rPr>
          <w:rFonts w:ascii="Sylfaen" w:hAnsi="Sylfaen"/>
          <w:sz w:val="24"/>
          <w:szCs w:val="24"/>
        </w:rPr>
        <w:t xml:space="preserve"> 20 հավելվածին համապատասխան: </w:t>
      </w:r>
    </w:p>
    <w:p w14:paraId="646FC4B2" w14:textId="5ED96B13" w:rsidR="00575259" w:rsidRPr="00575259" w:rsidRDefault="00575259" w:rsidP="00575259">
      <w:pPr>
        <w:rPr>
          <w:b/>
          <w:bCs/>
          <w:i/>
          <w:iCs/>
        </w:rPr>
      </w:pPr>
      <w:r w:rsidRPr="00CD4709">
        <w:rPr>
          <w:b/>
          <w:bCs/>
          <w:i/>
          <w:iCs/>
        </w:rPr>
        <w:t>(</w:t>
      </w:r>
      <w:r>
        <w:rPr>
          <w:b/>
          <w:bCs/>
          <w:i/>
          <w:iCs/>
        </w:rPr>
        <w:t>նախադասությունը հանվել է 17.03.22 թիվ 36</w:t>
      </w:r>
      <w:r w:rsidRPr="00CD4709">
        <w:rPr>
          <w:b/>
          <w:bCs/>
          <w:i/>
          <w:iCs/>
        </w:rPr>
        <w:t>)</w:t>
      </w:r>
    </w:p>
    <w:p w14:paraId="77F85FE5" w14:textId="65B47210" w:rsidR="005D48EF" w:rsidRPr="005D48EF" w:rsidRDefault="005D48EF" w:rsidP="005D48EF">
      <w:pPr>
        <w:tabs>
          <w:tab w:val="left" w:pos="1134"/>
        </w:tabs>
        <w:spacing w:after="160" w:line="360" w:lineRule="auto"/>
        <w:ind w:right="-8" w:firstLine="567"/>
        <w:jc w:val="both"/>
        <w:rPr>
          <w:rFonts w:ascii="Sylfaen" w:eastAsia="Times New Roman" w:hAnsi="Sylfaen" w:cs="Times New Roman"/>
          <w:sz w:val="24"/>
          <w:szCs w:val="24"/>
        </w:rPr>
      </w:pPr>
      <w:r w:rsidRPr="005D48EF">
        <w:rPr>
          <w:rFonts w:ascii="Sylfaen" w:eastAsia="Times New Roman" w:hAnsi="Sylfaen" w:cs="Times New Roman"/>
          <w:sz w:val="24"/>
          <w:szCs w:val="24"/>
        </w:rPr>
        <w:t>Հայտատուն իրավունք ունի հետ կանչելու իր դիմումը ցանկացած ժամանակ՝ մինչև գրանցված դեղապատրաստուկի գրանցման դոսյեում փոփոխություններ կատարելու ընթացակարգն ավարտելը՝ գրավոր ծանուցելով հետկանչի մասին այն անդամ պետության լիազորված մարմնին, որտեղ ուսումնասիրվում է հայտը։</w:t>
      </w:r>
    </w:p>
    <w:p w14:paraId="61DB5B97" w14:textId="55ED9530" w:rsidR="005D48EF" w:rsidRDefault="005D48EF" w:rsidP="005D48EF">
      <w:pPr>
        <w:tabs>
          <w:tab w:val="left" w:pos="1134"/>
        </w:tabs>
        <w:spacing w:after="160" w:line="360" w:lineRule="auto"/>
        <w:ind w:right="-8" w:firstLine="567"/>
        <w:jc w:val="both"/>
        <w:rPr>
          <w:rFonts w:ascii="Sylfaen" w:eastAsia="Times New Roman" w:hAnsi="Sylfaen" w:cs="Times New Roman"/>
          <w:sz w:val="24"/>
          <w:szCs w:val="24"/>
        </w:rPr>
      </w:pPr>
      <w:r w:rsidRPr="005D48EF">
        <w:rPr>
          <w:rFonts w:ascii="Sylfaen" w:eastAsia="Times New Roman" w:hAnsi="Sylfaen" w:cs="Times New Roman"/>
          <w:sz w:val="24"/>
          <w:szCs w:val="24"/>
        </w:rPr>
        <w:t>Հայտի հետկանչի դեպքում հայտն ուսումնասիրող անդամ պետության լիազորված մարմինը դադարեցնում է դրա ուսումնասիրությունն ըստ էության և հայտատուին է վերադարձնում հայտի հետ միասին ներկայացված փաստաթղթերի և (կամ) տեղեկությունների բնօրինակները</w:t>
      </w:r>
      <w:r>
        <w:rPr>
          <w:rFonts w:ascii="Sylfaen" w:eastAsia="Times New Roman" w:hAnsi="Sylfaen" w:cs="Times New Roman"/>
          <w:sz w:val="24"/>
          <w:szCs w:val="24"/>
        </w:rPr>
        <w:t>:</w:t>
      </w:r>
    </w:p>
    <w:p w14:paraId="6C75168C" w14:textId="6B8C3CE8" w:rsidR="00575259" w:rsidRPr="00575259" w:rsidRDefault="00575259" w:rsidP="00575259">
      <w:pPr>
        <w:tabs>
          <w:tab w:val="left" w:pos="1134"/>
        </w:tabs>
        <w:spacing w:after="160" w:line="360" w:lineRule="auto"/>
        <w:ind w:right="-8" w:firstLine="567"/>
        <w:jc w:val="both"/>
        <w:rPr>
          <w:rFonts w:ascii="Sylfaen" w:eastAsia="Times New Roman" w:hAnsi="Sylfaen" w:cs="Times New Roman"/>
          <w:sz w:val="24"/>
          <w:szCs w:val="24"/>
        </w:rPr>
      </w:pPr>
      <w:r w:rsidRPr="00575259">
        <w:rPr>
          <w:rFonts w:ascii="Sylfaen" w:eastAsia="Times New Roman" w:hAnsi="Sylfaen" w:cs="Times New Roman"/>
          <w:sz w:val="24"/>
          <w:szCs w:val="24"/>
        </w:rPr>
        <w:t xml:space="preserve">Դեղապատրաստուկի գրանցման դոսյեում փոփոխությունների գնահատման մասով փորձագիտական հաշվետվությունը կազմվում է ռեֆերենտ պետության </w:t>
      </w:r>
      <w:r w:rsidRPr="00575259">
        <w:rPr>
          <w:rFonts w:ascii="Sylfaen" w:eastAsia="Times New Roman" w:hAnsi="Sylfaen" w:cs="Times New Roman"/>
          <w:sz w:val="24"/>
          <w:szCs w:val="24"/>
        </w:rPr>
        <w:lastRenderedPageBreak/>
        <w:t xml:space="preserve">փորձագիտական կազմակերպության կողմից տվյալ փորձաքննության արդյունքների հիման վրա՝ սույն կանոնների թիվ 21 հավելվածին համապատասխան I տեսակի փոփոխություններ կատարելու դեպքում, բացառությամբ վարչարարական փոփոխությունների: </w:t>
      </w:r>
    </w:p>
    <w:p w14:paraId="029C862B" w14:textId="7E0983E4" w:rsidR="00575259" w:rsidRPr="00575259" w:rsidRDefault="00575259" w:rsidP="00575259">
      <w:pPr>
        <w:tabs>
          <w:tab w:val="left" w:pos="1134"/>
        </w:tabs>
        <w:spacing w:after="160" w:line="360" w:lineRule="auto"/>
        <w:ind w:right="-8" w:firstLine="567"/>
        <w:jc w:val="both"/>
        <w:rPr>
          <w:rFonts w:ascii="Sylfaen" w:eastAsia="Times New Roman" w:hAnsi="Sylfaen" w:cs="Times New Roman"/>
          <w:sz w:val="24"/>
          <w:szCs w:val="24"/>
        </w:rPr>
      </w:pPr>
      <w:r w:rsidRPr="00575259">
        <w:rPr>
          <w:rFonts w:ascii="Sylfaen" w:eastAsia="Times New Roman" w:hAnsi="Sylfaen" w:cs="Times New Roman"/>
          <w:sz w:val="24"/>
          <w:szCs w:val="24"/>
        </w:rPr>
        <w:t xml:space="preserve">Հայտատուի կողմից գրանցման դոսյեում վարչարարական փոփոխություն կատարելու հնարավորության մասին որոշում ընդունելու համար տվյալ փոփոխությունը կատարելու մասին հայտի հետ մեկտեղ պետք է թղթային կրիչով կամ էլեկտրոնային տեսքով ներկայացվի ռեֆերենտ պետության լիազորված մարմնի (փորձագիտական կազմակերպության) հաստատումն առ այն, որ գրանցման դոսյեի համապատասխան տարբերակը (հաջորդականությունը) վավեր է և կցվում է էլեկտրոնային գրանցման դոսյեին: </w:t>
      </w:r>
    </w:p>
    <w:p w14:paraId="60DCFAA8" w14:textId="4E15CC85" w:rsidR="00575259" w:rsidRPr="00575259" w:rsidRDefault="00575259" w:rsidP="00575259">
      <w:pPr>
        <w:tabs>
          <w:tab w:val="left" w:pos="1134"/>
        </w:tabs>
        <w:spacing w:after="160" w:line="360" w:lineRule="auto"/>
        <w:ind w:right="-8" w:firstLine="567"/>
        <w:jc w:val="both"/>
        <w:rPr>
          <w:rFonts w:ascii="Sylfaen" w:eastAsia="Times New Roman" w:hAnsi="Sylfaen" w:cs="Times New Roman"/>
          <w:sz w:val="24"/>
          <w:szCs w:val="24"/>
        </w:rPr>
      </w:pPr>
      <w:r w:rsidRPr="00575259">
        <w:rPr>
          <w:rFonts w:ascii="Sylfaen" w:eastAsia="Times New Roman" w:hAnsi="Sylfaen" w:cs="Times New Roman"/>
          <w:sz w:val="24"/>
          <w:szCs w:val="24"/>
        </w:rPr>
        <w:t xml:space="preserve">II տեսակի փոփոխությունների փորձաքննության արդյունքների հիման վրա ռեֆերենտ պետության փորձագիտական կազմակերպությունը՝ հայտագրված փոփոխությանը հավանություն տալու դեպքում պետք է սույն կանոնների թիվ 16 հավելվածին համապատասխան արդիականացվի գնահատման մասով փորձագիտական հաշվետվությունը: </w:t>
      </w:r>
    </w:p>
    <w:p w14:paraId="168131C0" w14:textId="1888E8E8" w:rsidR="00575259" w:rsidRDefault="00575259" w:rsidP="00575259">
      <w:pPr>
        <w:tabs>
          <w:tab w:val="left" w:pos="1134"/>
        </w:tabs>
        <w:spacing w:after="160" w:line="360" w:lineRule="auto"/>
        <w:ind w:right="-8" w:firstLine="567"/>
        <w:jc w:val="both"/>
        <w:rPr>
          <w:rFonts w:ascii="Sylfaen" w:eastAsia="Times New Roman" w:hAnsi="Sylfaen" w:cs="Times New Roman"/>
          <w:sz w:val="24"/>
          <w:szCs w:val="24"/>
        </w:rPr>
      </w:pPr>
      <w:r w:rsidRPr="00575259">
        <w:rPr>
          <w:rFonts w:ascii="Sylfaen" w:eastAsia="Times New Roman" w:hAnsi="Sylfaen" w:cs="Times New Roman"/>
          <w:sz w:val="24"/>
          <w:szCs w:val="24"/>
        </w:rPr>
        <w:t>II տեսակի փոփոխությունների փորձաքննության արդյունքների հիման վրա ռեֆերենտ պետության փորձագիտական կազմակերպության կողմից՝ հայտագրված փոփոխությանը հավանություն չտալու դեպքում լիազորված մարմին է ուղարկվում փորձագետների հիմնավորված դիրքորոշումով տեղեկատվություն</w:t>
      </w:r>
    </w:p>
    <w:p w14:paraId="56A17DA7" w14:textId="4F11CC69" w:rsidR="005D48EF" w:rsidRPr="005D48EF" w:rsidRDefault="005D48EF" w:rsidP="005D48EF">
      <w:pPr>
        <w:rPr>
          <w:b/>
          <w:bCs/>
          <w:i/>
          <w:iCs/>
        </w:rPr>
      </w:pPr>
      <w:r w:rsidRPr="00CD4709">
        <w:rPr>
          <w:b/>
          <w:bCs/>
          <w:i/>
          <w:iCs/>
        </w:rPr>
        <w:t>(</w:t>
      </w:r>
      <w:r>
        <w:rPr>
          <w:b/>
          <w:bCs/>
          <w:i/>
          <w:iCs/>
        </w:rPr>
        <w:t xml:space="preserve">152-րդ կետը լրաց. 05.03.21 </w:t>
      </w:r>
      <w:r w:rsidRPr="00CD4709">
        <w:rPr>
          <w:b/>
          <w:bCs/>
          <w:i/>
          <w:iCs/>
        </w:rPr>
        <w:t xml:space="preserve"> թիվ </w:t>
      </w:r>
      <w:r>
        <w:rPr>
          <w:b/>
          <w:bCs/>
          <w:i/>
          <w:iCs/>
        </w:rPr>
        <w:t>14</w:t>
      </w:r>
      <w:r w:rsidR="00575259">
        <w:rPr>
          <w:b/>
          <w:bCs/>
          <w:i/>
          <w:iCs/>
        </w:rPr>
        <w:t>, փոփ., լրաց. 17.03.22 թիվ 36</w:t>
      </w:r>
      <w:r w:rsidRPr="00CD4709">
        <w:rPr>
          <w:b/>
          <w:bCs/>
          <w:i/>
          <w:iCs/>
        </w:rPr>
        <w:t>)</w:t>
      </w:r>
    </w:p>
    <w:p w14:paraId="7A341FD9" w14:textId="77777777" w:rsidR="00BC53C9" w:rsidRDefault="006F76EB" w:rsidP="00BC53C9">
      <w:pPr>
        <w:rPr>
          <w:rFonts w:ascii="Sylfaen" w:hAnsi="Sylfaen"/>
          <w:sz w:val="24"/>
          <w:szCs w:val="24"/>
        </w:rPr>
      </w:pPr>
      <w:r w:rsidRPr="00834D52">
        <w:rPr>
          <w:rFonts w:ascii="Sylfaen" w:hAnsi="Sylfaen"/>
          <w:sz w:val="24"/>
          <w:szCs w:val="24"/>
        </w:rPr>
        <w:t>153.</w:t>
      </w:r>
      <w:r w:rsidRPr="00834D52">
        <w:rPr>
          <w:rFonts w:ascii="Sylfaen" w:hAnsi="Sylfaen"/>
          <w:sz w:val="24"/>
          <w:szCs w:val="24"/>
        </w:rPr>
        <w:tab/>
        <w:t xml:space="preserve">Դեղապատրաստուկի գրանցման դոսյեում փոփոխություններ կատարելու մասին լիազորված մարմնի (փորձագիտական կազմակերպության) դրական որոշման մասին </w:t>
      </w:r>
      <w:r w:rsidR="0056496B">
        <w:rPr>
          <w:rFonts w:ascii="Sylfaen" w:hAnsi="Sylfaen"/>
          <w:sz w:val="24"/>
          <w:szCs w:val="24"/>
        </w:rPr>
        <w:t>դիմումատու</w:t>
      </w:r>
      <w:r w:rsidRPr="00834D52">
        <w:rPr>
          <w:rFonts w:ascii="Sylfaen" w:hAnsi="Sylfaen"/>
          <w:sz w:val="24"/>
          <w:szCs w:val="24"/>
        </w:rPr>
        <w:t xml:space="preserve">ին տրվում է դեղապատրաստուկի գրանցման գործողության մնացորդային ժամկետով, նախկին համարով նոր գրանցման հավաստագիր այն դեպքում, եթե կատարվող փոփոխությունները վերաբերում են տեղեկատվությանը </w:t>
      </w:r>
      <w:r w:rsidR="00C54D75">
        <w:rPr>
          <w:rFonts w:ascii="Sylfaen" w:hAnsi="Sylfaen"/>
          <w:sz w:val="24"/>
          <w:szCs w:val="24"/>
        </w:rPr>
        <w:t>և</w:t>
      </w:r>
      <w:r w:rsidRPr="00834D52">
        <w:rPr>
          <w:rFonts w:ascii="Sylfaen" w:hAnsi="Sylfaen"/>
          <w:sz w:val="24"/>
          <w:szCs w:val="24"/>
        </w:rPr>
        <w:t xml:space="preserve"> գրանցման հավաստագրի տվյալներին: Կատարված յուրաքանչյուր փոփոխության մասին միասնական ռեեստրում կատարվում է գրառում՝ նշելով դրա վավերապայմանները </w:t>
      </w:r>
      <w:r w:rsidR="00C54D75">
        <w:rPr>
          <w:rFonts w:ascii="Sylfaen" w:hAnsi="Sylfaen"/>
          <w:sz w:val="24"/>
          <w:szCs w:val="24"/>
        </w:rPr>
        <w:t>և</w:t>
      </w:r>
      <w:r w:rsidRPr="00834D52">
        <w:rPr>
          <w:rFonts w:ascii="Sylfaen" w:hAnsi="Sylfaen"/>
          <w:sz w:val="24"/>
          <w:szCs w:val="24"/>
        </w:rPr>
        <w:t xml:space="preserve"> դոսյեի բաժինը, որում կատարվել է փոփոխությունը:</w:t>
      </w:r>
    </w:p>
    <w:p w14:paraId="233F5B93" w14:textId="3E66987A" w:rsidR="006F76EB" w:rsidRPr="00BC53C9" w:rsidRDefault="00BC53C9" w:rsidP="00BC53C9">
      <w:pPr>
        <w:rPr>
          <w:b/>
          <w:bCs/>
          <w:i/>
          <w:iCs/>
        </w:rPr>
      </w:pPr>
      <w:r w:rsidRPr="00BC53C9">
        <w:rPr>
          <w:b/>
          <w:bCs/>
          <w:i/>
          <w:iCs/>
        </w:rPr>
        <w:lastRenderedPageBreak/>
        <w:t xml:space="preserve"> </w:t>
      </w:r>
      <w:r w:rsidRPr="00CD4709">
        <w:rPr>
          <w:b/>
          <w:bCs/>
          <w:i/>
          <w:iCs/>
        </w:rPr>
        <w:t>(</w:t>
      </w:r>
      <w:r>
        <w:rPr>
          <w:b/>
          <w:bCs/>
          <w:i/>
          <w:iCs/>
        </w:rPr>
        <w:t xml:space="preserve">153-րդ կետը </w:t>
      </w:r>
      <w:r w:rsidRPr="00CD4709">
        <w:rPr>
          <w:b/>
          <w:bCs/>
          <w:i/>
          <w:iCs/>
        </w:rPr>
        <w:t>փոփ. 30.01.20 թիվ 9)</w:t>
      </w:r>
    </w:p>
    <w:p w14:paraId="50A8CD06"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154.</w:t>
      </w:r>
      <w:r w:rsidRPr="00834D52">
        <w:rPr>
          <w:rFonts w:ascii="Sylfaen" w:hAnsi="Sylfaen"/>
          <w:sz w:val="24"/>
          <w:szCs w:val="24"/>
        </w:rPr>
        <w:tab/>
        <w:t xml:space="preserve">Գրանցման հավաստագրի գործողության ավարտից 90 </w:t>
      </w:r>
      <w:r w:rsidR="00C54D75">
        <w:rPr>
          <w:rFonts w:ascii="Sylfaen" w:hAnsi="Sylfaen"/>
          <w:sz w:val="24"/>
          <w:szCs w:val="24"/>
        </w:rPr>
        <w:t>և</w:t>
      </w:r>
      <w:r w:rsidRPr="00834D52">
        <w:rPr>
          <w:rFonts w:ascii="Sylfaen" w:hAnsi="Sylfaen"/>
          <w:sz w:val="24"/>
          <w:szCs w:val="24"/>
        </w:rPr>
        <w:t xml:space="preserve"> դրանից պակաս օրացուցային օր առաջ դեղապատրաստուկի գրանցման դոսյեում փոփոխությունների առաջացման դեպքում թույլատրվում է դեղապատրաստուկի փորձաքննության անցկացման ընթացքում փոփոխություններ կատարել՝ դրա գրանցման (վերագրանցման) հաստատման դեպքում:</w:t>
      </w:r>
    </w:p>
    <w:p w14:paraId="76CE48FA" w14:textId="0C9F3B3E" w:rsidR="006F76EB" w:rsidRPr="00834D52" w:rsidRDefault="006F76EB" w:rsidP="00A837EF">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155.</w:t>
      </w:r>
      <w:r w:rsidRPr="00834D52">
        <w:rPr>
          <w:rFonts w:ascii="Sylfaen" w:hAnsi="Sylfaen"/>
          <w:sz w:val="24"/>
          <w:szCs w:val="24"/>
        </w:rPr>
        <w:tab/>
        <w:t xml:space="preserve">Փոխադարձ ճանաչման ընթացակարգով գրանցված դեղապատրաստուկի գրանցման դոսյեում փոփոխություններ կատարելիս </w:t>
      </w:r>
      <w:r w:rsidR="0056496B">
        <w:rPr>
          <w:rFonts w:ascii="Sylfaen" w:hAnsi="Sylfaen"/>
          <w:sz w:val="24"/>
          <w:szCs w:val="24"/>
        </w:rPr>
        <w:t>դիմումատու</w:t>
      </w:r>
      <w:r w:rsidRPr="00834D52">
        <w:rPr>
          <w:rFonts w:ascii="Sylfaen" w:hAnsi="Sylfaen"/>
          <w:sz w:val="24"/>
          <w:szCs w:val="24"/>
        </w:rPr>
        <w:t xml:space="preserve">ն ռեֆերենտ պետության լիազորված մարմին (փորձագիտական կազմակերպություն) պետք է ներկայացնի ճանաչման պետություններում դեղապատրաստուկի գրանցման դոսյեում փոփոխություններ կատարելու համապատասխան դիմումների </w:t>
      </w:r>
      <w:r w:rsidR="00C54D75">
        <w:rPr>
          <w:rFonts w:ascii="Sylfaen" w:hAnsi="Sylfaen"/>
          <w:sz w:val="24"/>
          <w:szCs w:val="24"/>
        </w:rPr>
        <w:t>և</w:t>
      </w:r>
      <w:r w:rsidRPr="00834D52">
        <w:rPr>
          <w:rFonts w:ascii="Sylfaen" w:hAnsi="Sylfaen"/>
          <w:sz w:val="24"/>
          <w:szCs w:val="24"/>
        </w:rPr>
        <w:t xml:space="preserve"> ճանաչման պետությունների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դոսյեի (</w:t>
      </w:r>
      <w:r w:rsidR="00C54D75">
        <w:rPr>
          <w:rFonts w:ascii="Sylfaen" w:hAnsi="Sylfaen"/>
          <w:sz w:val="24"/>
          <w:szCs w:val="24"/>
        </w:rPr>
        <w:t>և</w:t>
      </w:r>
      <w:r w:rsidR="007E68F0" w:rsidRPr="00CA0D65">
        <w:rPr>
          <w:rFonts w:ascii="Sylfaen" w:hAnsi="Sylfaen"/>
          <w:sz w:val="24"/>
          <w:szCs w:val="24"/>
        </w:rPr>
        <w:t> </w:t>
      </w:r>
      <w:r w:rsidRPr="00834D52">
        <w:rPr>
          <w:rFonts w:ascii="Sylfaen" w:hAnsi="Sylfaen"/>
          <w:sz w:val="24"/>
          <w:szCs w:val="24"/>
        </w:rPr>
        <w:t>անհրաժեշտության դեպքում՝ դրա փորձաքննության) մեջ փոփոխություններ կատարելու համար հավաքագրման (տուրքի) վճարումը հաստատող փաստաթղթերի ներկայացման ամսաթվերի ցանկը՝ նշելով սույն Կանոնների</w:t>
      </w:r>
      <w:r w:rsidR="00CA0D65" w:rsidRPr="00CA0D65">
        <w:rPr>
          <w:rFonts w:ascii="Sylfaen" w:hAnsi="Sylfaen"/>
          <w:sz w:val="24"/>
          <w:szCs w:val="24"/>
        </w:rPr>
        <w:t> </w:t>
      </w:r>
      <w:r w:rsidR="009C5D43">
        <w:rPr>
          <w:rFonts w:ascii="Sylfaen" w:hAnsi="Sylfaen"/>
          <w:sz w:val="24"/>
          <w:szCs w:val="24"/>
        </w:rPr>
        <w:t>թիվ</w:t>
      </w:r>
      <w:r w:rsidR="00CA0D65" w:rsidRPr="00CA0D65">
        <w:rPr>
          <w:rFonts w:ascii="Sylfaen" w:hAnsi="Sylfaen"/>
          <w:sz w:val="24"/>
          <w:szCs w:val="24"/>
        </w:rPr>
        <w:t> </w:t>
      </w:r>
      <w:r w:rsidRPr="00834D52">
        <w:rPr>
          <w:rFonts w:ascii="Sylfaen" w:hAnsi="Sylfaen"/>
          <w:sz w:val="24"/>
          <w:szCs w:val="24"/>
        </w:rPr>
        <w:t>19 հավելվածին համապատասխան փոփոխություններ կատարելու այն ընթացակարգերի համարները, որոնք կատարվել են ճանաչման պետություններում:</w:t>
      </w:r>
    </w:p>
    <w:p w14:paraId="62D28AF1" w14:textId="78DBAD2F" w:rsidR="006F76EB" w:rsidRDefault="006F76EB" w:rsidP="00A837EF">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 xml:space="preserve">Դեղապատրաստուկը գրանցած բոլոր կամ մի քանի (մեկ) անդամ պետություններում (պետությունում) գրանցման հավաստագրի իրավատիրոջ փոփոխման դեպքում </w:t>
      </w:r>
      <w:r w:rsidR="0056496B">
        <w:rPr>
          <w:rFonts w:ascii="Sylfaen" w:hAnsi="Sylfaen"/>
          <w:sz w:val="24"/>
          <w:szCs w:val="24"/>
        </w:rPr>
        <w:t>դիմումատու</w:t>
      </w:r>
      <w:r w:rsidRPr="00834D52">
        <w:rPr>
          <w:rFonts w:ascii="Sylfaen" w:hAnsi="Sylfaen"/>
          <w:sz w:val="24"/>
          <w:szCs w:val="24"/>
        </w:rPr>
        <w:t xml:space="preserve">ն այդ անդամ պետությունների լիազորված մարմին (փորձագիտական կազմակերպություն) է ներկայացնում սույն Կանոնների </w:t>
      </w:r>
      <w:r w:rsidR="009C5D43">
        <w:rPr>
          <w:rFonts w:ascii="Sylfaen" w:hAnsi="Sylfaen"/>
          <w:sz w:val="24"/>
          <w:szCs w:val="24"/>
        </w:rPr>
        <w:t xml:space="preserve">թիվ </w:t>
      </w:r>
      <w:r w:rsidRPr="00834D52">
        <w:rPr>
          <w:rFonts w:ascii="Sylfaen" w:hAnsi="Sylfaen"/>
          <w:sz w:val="24"/>
          <w:szCs w:val="24"/>
        </w:rPr>
        <w:t xml:space="preserve">2 հավելվածին համապատասխան փոփոխություններ կատարելու մասին դիմումը </w:t>
      </w:r>
      <w:r w:rsidR="00C54D75">
        <w:rPr>
          <w:rFonts w:ascii="Sylfaen" w:hAnsi="Sylfaen"/>
          <w:sz w:val="24"/>
          <w:szCs w:val="24"/>
        </w:rPr>
        <w:t>և</w:t>
      </w:r>
      <w:r w:rsidRPr="00834D52">
        <w:rPr>
          <w:rFonts w:ascii="Sylfaen" w:hAnsi="Sylfaen"/>
          <w:sz w:val="24"/>
          <w:szCs w:val="24"/>
        </w:rPr>
        <w:t xml:space="preserve"> գրանցման դոսյեի 1-ին մոդուլի համապատասխան փաստաթղթերը:</w:t>
      </w:r>
    </w:p>
    <w:p w14:paraId="1E8FEA7F" w14:textId="15877B9C" w:rsidR="00575259" w:rsidRDefault="00575259" w:rsidP="00A837EF">
      <w:pPr>
        <w:tabs>
          <w:tab w:val="left" w:pos="1134"/>
        </w:tabs>
        <w:spacing w:after="160" w:line="348" w:lineRule="auto"/>
        <w:ind w:right="-8" w:firstLine="567"/>
        <w:jc w:val="both"/>
        <w:rPr>
          <w:rFonts w:ascii="Sylfaen" w:hAnsi="Sylfaen"/>
          <w:sz w:val="24"/>
          <w:szCs w:val="24"/>
        </w:rPr>
      </w:pPr>
      <w:r w:rsidRPr="00575259">
        <w:rPr>
          <w:rFonts w:ascii="Sylfaen" w:hAnsi="Sylfaen"/>
          <w:sz w:val="24"/>
          <w:szCs w:val="24"/>
        </w:rPr>
        <w:t xml:space="preserve">Անդամ պետության օրենսդրության պահանջներին համապատասխան՝ սույն կետում նշված փաստաթղթերը կարող են ներկայացվել առանց սույն կանոններով նախատեսված դեպքերում հայտատուի կողմից ստորագրված և (կամ) վավերացված՝ էլեկտրոնային ստորագրությամբ թղթային կրիչով </w:t>
      </w:r>
      <w:r w:rsidRPr="00575259">
        <w:rPr>
          <w:rFonts w:ascii="Sylfaen" w:hAnsi="Sylfaen"/>
          <w:sz w:val="24"/>
          <w:szCs w:val="24"/>
        </w:rPr>
        <w:lastRenderedPageBreak/>
        <w:t>համապատասխան փաստաթղթերի և տեղեկությունների լրացուցիչ ներկայացման՝ էլեկտրոնային փաստաթղթաշրջանառության օգտագործմամբ</w:t>
      </w:r>
      <w:r>
        <w:rPr>
          <w:rFonts w:ascii="Sylfaen" w:hAnsi="Sylfaen"/>
          <w:sz w:val="24"/>
          <w:szCs w:val="24"/>
        </w:rPr>
        <w:t>:</w:t>
      </w:r>
    </w:p>
    <w:p w14:paraId="0C2DF238" w14:textId="6597419F" w:rsidR="00BC53C9" w:rsidRPr="00BC53C9" w:rsidRDefault="00BC53C9" w:rsidP="00BC53C9">
      <w:pPr>
        <w:rPr>
          <w:b/>
          <w:bCs/>
          <w:i/>
          <w:iCs/>
        </w:rPr>
      </w:pPr>
      <w:r w:rsidRPr="00CD4709">
        <w:rPr>
          <w:b/>
          <w:bCs/>
          <w:i/>
          <w:iCs/>
        </w:rPr>
        <w:t>(</w:t>
      </w:r>
      <w:r>
        <w:rPr>
          <w:b/>
          <w:bCs/>
          <w:i/>
          <w:iCs/>
        </w:rPr>
        <w:t xml:space="preserve">155-րդ կետը </w:t>
      </w:r>
      <w:r w:rsidRPr="00CD4709">
        <w:rPr>
          <w:b/>
          <w:bCs/>
          <w:i/>
          <w:iCs/>
        </w:rPr>
        <w:t>փոփ. 30.01.20 թիվ 9</w:t>
      </w:r>
      <w:r w:rsidR="00575259">
        <w:rPr>
          <w:b/>
          <w:bCs/>
          <w:i/>
          <w:iCs/>
        </w:rPr>
        <w:t>, լրաց. 17.03.22 թիվ 36</w:t>
      </w:r>
      <w:r w:rsidRPr="00CD4709">
        <w:rPr>
          <w:b/>
          <w:bCs/>
          <w:i/>
          <w:iCs/>
        </w:rPr>
        <w:t>)</w:t>
      </w:r>
    </w:p>
    <w:p w14:paraId="42291D96" w14:textId="05ACE24D" w:rsidR="006F76EB" w:rsidRPr="00834D52" w:rsidRDefault="006F76EB" w:rsidP="00A837EF">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156.</w:t>
      </w:r>
      <w:r w:rsidRPr="00834D52">
        <w:rPr>
          <w:rFonts w:ascii="Sylfaen" w:hAnsi="Sylfaen"/>
          <w:sz w:val="24"/>
          <w:szCs w:val="24"/>
        </w:rPr>
        <w:tab/>
        <w:t xml:space="preserve">Ռեֆերենտ պետության փորձագիտական կազմակերպությունը </w:t>
      </w:r>
      <w:r w:rsidR="00C54D75">
        <w:rPr>
          <w:rFonts w:ascii="Sylfaen" w:hAnsi="Sylfaen"/>
          <w:sz w:val="24"/>
          <w:szCs w:val="24"/>
        </w:rPr>
        <w:t>և</w:t>
      </w:r>
      <w:r w:rsidRPr="00834D52">
        <w:rPr>
          <w:rFonts w:ascii="Sylfaen" w:hAnsi="Sylfaen"/>
          <w:sz w:val="24"/>
          <w:szCs w:val="24"/>
        </w:rPr>
        <w:t xml:space="preserve"> լիազորված մարմինը դեղապատրաստուկի գրանցման դոսյեում փոփոխություններ կատարելու ժամանակ դեղապատրաստուկի փորձաքննություն անցկացնելիս իրավունք ունի պակասող այն լրացուցիչ տեղեկատվության, անհրաժեշտ պարզաբանումների կամ ճշտումների ներկայացման մասին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որոնք վերաբերում են գրանցման դոսյեի ներկայացված փաստաթղթերին </w:t>
      </w:r>
      <w:r w:rsidR="00C54D75">
        <w:rPr>
          <w:rFonts w:ascii="Sylfaen" w:hAnsi="Sylfaen"/>
          <w:sz w:val="24"/>
          <w:szCs w:val="24"/>
        </w:rPr>
        <w:t>և</w:t>
      </w:r>
      <w:r w:rsidRPr="00834D52">
        <w:rPr>
          <w:rFonts w:ascii="Sylfaen" w:hAnsi="Sylfaen"/>
          <w:sz w:val="24"/>
          <w:szCs w:val="24"/>
        </w:rPr>
        <w:t xml:space="preserve"> տվյալներին (այդ թվում՝ ԴԸԲ-ում, բժշկական կիրառման հրահանգում, դեղապատրաստուկի փաթեթվածքների մակետում, որակին առնչվող նորմատիվ փաստաթղթում կամ գրանցման դոսյեի այլ փաստաթղթերում փոփոխություններ կատարելու առաջարկությունները):</w:t>
      </w:r>
    </w:p>
    <w:p w14:paraId="3E60DBC2" w14:textId="00866248" w:rsidR="006F76EB" w:rsidRPr="00834D52" w:rsidRDefault="006F76EB" w:rsidP="00D32C7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Նշված հարցման պատասխանը </w:t>
      </w:r>
      <w:r w:rsidR="0056496B">
        <w:rPr>
          <w:rFonts w:ascii="Sylfaen" w:hAnsi="Sylfaen"/>
          <w:sz w:val="24"/>
          <w:szCs w:val="24"/>
        </w:rPr>
        <w:t>դիմումատու</w:t>
      </w:r>
      <w:r w:rsidRPr="00834D52">
        <w:rPr>
          <w:rFonts w:ascii="Sylfaen" w:hAnsi="Sylfaen"/>
          <w:sz w:val="24"/>
          <w:szCs w:val="24"/>
        </w:rPr>
        <w:t xml:space="preserve">ի կողմից ներկայացնելու ժամկետը չպետք է գերազանցի 90 </w:t>
      </w:r>
      <w:r w:rsidR="00575259">
        <w:rPr>
          <w:rFonts w:ascii="Arial Unicode" w:hAnsi="Arial Unicode"/>
          <w:sz w:val="21"/>
          <w:szCs w:val="21"/>
        </w:rPr>
        <w:t>աշխատանքային</w:t>
      </w:r>
      <w:r w:rsidR="00575259">
        <w:rPr>
          <w:sz w:val="21"/>
          <w:szCs w:val="21"/>
        </w:rPr>
        <w:t xml:space="preserve"> </w:t>
      </w:r>
      <w:r w:rsidRPr="00834D52">
        <w:rPr>
          <w:rFonts w:ascii="Sylfaen" w:hAnsi="Sylfaen"/>
          <w:sz w:val="24"/>
          <w:szCs w:val="24"/>
        </w:rPr>
        <w:t xml:space="preserve">օրը: Փոփոխությունների կատարման </w:t>
      </w:r>
      <w:r w:rsidR="00C54D75">
        <w:rPr>
          <w:rFonts w:ascii="Sylfaen" w:hAnsi="Sylfaen"/>
          <w:sz w:val="24"/>
          <w:szCs w:val="24"/>
        </w:rPr>
        <w:t>և</w:t>
      </w:r>
      <w:r w:rsidRPr="00834D52">
        <w:rPr>
          <w:rFonts w:ascii="Sylfaen" w:hAnsi="Sylfaen"/>
          <w:sz w:val="24"/>
          <w:szCs w:val="24"/>
        </w:rPr>
        <w:t xml:space="preserve"> դեղապատրաստուկի փորձաքննության ընթացքում, լիազորված մարմնի կամ փորձագիտական կազմակերպության հարցմամբ՝ փաստաթղթերը </w:t>
      </w:r>
      <w:r w:rsidR="0056496B">
        <w:rPr>
          <w:rFonts w:ascii="Sylfaen" w:hAnsi="Sylfaen"/>
          <w:sz w:val="24"/>
          <w:szCs w:val="24"/>
        </w:rPr>
        <w:t>դիմումատու</w:t>
      </w:r>
      <w:r w:rsidRPr="00834D52">
        <w:rPr>
          <w:rFonts w:ascii="Sylfaen" w:hAnsi="Sylfaen"/>
          <w:sz w:val="24"/>
          <w:szCs w:val="24"/>
        </w:rPr>
        <w:t xml:space="preserve">ի կողմից ներկայացնելու ժամանակը չի մտնում դեղապատրաստուկի փորձաքննություն անցկացնելու </w:t>
      </w:r>
      <w:r w:rsidR="00C54D75">
        <w:rPr>
          <w:rFonts w:ascii="Sylfaen" w:hAnsi="Sylfaen"/>
          <w:sz w:val="24"/>
          <w:szCs w:val="24"/>
        </w:rPr>
        <w:t>և</w:t>
      </w:r>
      <w:r w:rsidRPr="00834D52">
        <w:rPr>
          <w:rFonts w:ascii="Sylfaen" w:hAnsi="Sylfaen"/>
          <w:sz w:val="24"/>
          <w:szCs w:val="24"/>
        </w:rPr>
        <w:t xml:space="preserve"> փոփոխություններ կատարելու ընթացակարգերի ժամկետների մեջ:</w:t>
      </w:r>
    </w:p>
    <w:p w14:paraId="24DB7A45" w14:textId="78AE7B84" w:rsidR="006F76EB" w:rsidRDefault="006F76EB" w:rsidP="00D32C7C">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Պահանջված փաստաթղթերը </w:t>
      </w:r>
      <w:r w:rsidR="00C54D75">
        <w:rPr>
          <w:rFonts w:ascii="Sylfaen" w:hAnsi="Sylfaen"/>
          <w:sz w:val="24"/>
          <w:szCs w:val="24"/>
        </w:rPr>
        <w:t>և</w:t>
      </w:r>
      <w:r w:rsidRPr="00834D52">
        <w:rPr>
          <w:rFonts w:ascii="Sylfaen" w:hAnsi="Sylfaen"/>
          <w:sz w:val="24"/>
          <w:szCs w:val="24"/>
        </w:rPr>
        <w:t xml:space="preserve"> տվյալները </w:t>
      </w:r>
      <w:r w:rsidR="0056496B">
        <w:rPr>
          <w:rFonts w:ascii="Sylfaen" w:hAnsi="Sylfaen"/>
          <w:sz w:val="24"/>
          <w:szCs w:val="24"/>
        </w:rPr>
        <w:t>դիմումատու</w:t>
      </w:r>
      <w:r w:rsidRPr="00834D52">
        <w:rPr>
          <w:rFonts w:ascii="Sylfaen" w:hAnsi="Sylfaen"/>
          <w:sz w:val="24"/>
          <w:szCs w:val="24"/>
        </w:rPr>
        <w:t>ի կողմից չներկայացնելու դեպքում դեղապատրաստուկի</w:t>
      </w:r>
      <w:r w:rsidR="00575259">
        <w:rPr>
          <w:rFonts w:ascii="Sylfaen" w:hAnsi="Sylfaen"/>
          <w:sz w:val="24"/>
          <w:szCs w:val="24"/>
        </w:rPr>
        <w:t xml:space="preserve"> </w:t>
      </w:r>
      <w:r w:rsidR="00575259" w:rsidRPr="00575259">
        <w:rPr>
          <w:rFonts w:ascii="Sylfaen" w:hAnsi="Sylfaen"/>
          <w:sz w:val="24"/>
          <w:szCs w:val="24"/>
        </w:rPr>
        <w:t xml:space="preserve"> գրանցման դոսյեի</w:t>
      </w:r>
      <w:r w:rsidRPr="00834D52">
        <w:rPr>
          <w:rFonts w:ascii="Sylfaen" w:hAnsi="Sylfaen"/>
          <w:sz w:val="24"/>
          <w:szCs w:val="24"/>
        </w:rPr>
        <w:t xml:space="preserve"> փորձաքննությունը </w:t>
      </w:r>
      <w:r w:rsidR="00C54D75">
        <w:rPr>
          <w:rFonts w:ascii="Sylfaen" w:hAnsi="Sylfaen"/>
          <w:sz w:val="24"/>
          <w:szCs w:val="24"/>
        </w:rPr>
        <w:t>և</w:t>
      </w:r>
      <w:r w:rsidRPr="00834D52">
        <w:rPr>
          <w:rFonts w:ascii="Sylfaen" w:hAnsi="Sylfaen"/>
          <w:sz w:val="24"/>
          <w:szCs w:val="24"/>
        </w:rPr>
        <w:t xml:space="preserve"> փոփոխությունների կատարման ընթացակարգը դադարեցվում են: Կայացված որոշման մասին լիազորված մարմինը (փորձագիտական կազմակերպությունը) գրավոր </w:t>
      </w:r>
      <w:r w:rsidR="00C54D75">
        <w:rPr>
          <w:rFonts w:ascii="Sylfaen" w:hAnsi="Sylfaen"/>
          <w:sz w:val="24"/>
          <w:szCs w:val="24"/>
        </w:rPr>
        <w:t>և</w:t>
      </w:r>
      <w:r w:rsidRPr="00834D52">
        <w:rPr>
          <w:rFonts w:ascii="Sylfaen" w:hAnsi="Sylfaen"/>
          <w:sz w:val="24"/>
          <w:szCs w:val="24"/>
        </w:rPr>
        <w:t xml:space="preserve"> (կամ) էլեկտրոնային եղանակով այդպիսի որոշման ընդունման օրվանից 14 աշխատանքային օրվա ընթացքում տեղեկացնում է </w:t>
      </w:r>
      <w:r w:rsidR="0056496B">
        <w:rPr>
          <w:rFonts w:ascii="Sylfaen" w:hAnsi="Sylfaen"/>
          <w:sz w:val="24"/>
          <w:szCs w:val="24"/>
        </w:rPr>
        <w:t>դիմումատու</w:t>
      </w:r>
      <w:r w:rsidRPr="00834D52">
        <w:rPr>
          <w:rFonts w:ascii="Sylfaen" w:hAnsi="Sylfaen"/>
          <w:sz w:val="24"/>
          <w:szCs w:val="24"/>
        </w:rPr>
        <w:t>ին:</w:t>
      </w:r>
    </w:p>
    <w:p w14:paraId="33202BD1" w14:textId="5A42D1F8" w:rsidR="00BC53C9" w:rsidRPr="00BC53C9" w:rsidRDefault="00BC53C9" w:rsidP="00BC53C9">
      <w:pPr>
        <w:rPr>
          <w:b/>
          <w:bCs/>
          <w:i/>
          <w:iCs/>
        </w:rPr>
      </w:pPr>
      <w:r w:rsidRPr="00CD4709">
        <w:rPr>
          <w:b/>
          <w:bCs/>
          <w:i/>
          <w:iCs/>
        </w:rPr>
        <w:lastRenderedPageBreak/>
        <w:t>(</w:t>
      </w:r>
      <w:r>
        <w:rPr>
          <w:b/>
          <w:bCs/>
          <w:i/>
          <w:iCs/>
        </w:rPr>
        <w:t xml:space="preserve">156-րդ կետը </w:t>
      </w:r>
      <w:r w:rsidRPr="00CD4709">
        <w:rPr>
          <w:b/>
          <w:bCs/>
          <w:i/>
          <w:iCs/>
        </w:rPr>
        <w:t>փոփ. 30.01.20 թիվ 9</w:t>
      </w:r>
      <w:r w:rsidR="00575259">
        <w:rPr>
          <w:b/>
          <w:bCs/>
          <w:i/>
          <w:iCs/>
        </w:rPr>
        <w:t>, 17.03.22 թիվ 36</w:t>
      </w:r>
      <w:r w:rsidRPr="00CD4709">
        <w:rPr>
          <w:b/>
          <w:bCs/>
          <w:i/>
          <w:iCs/>
        </w:rPr>
        <w:t>)</w:t>
      </w:r>
    </w:p>
    <w:p w14:paraId="12EE65E9" w14:textId="18F1EE4E" w:rsidR="006F76EB" w:rsidRDefault="006F76EB" w:rsidP="00A837EF">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157.</w:t>
      </w:r>
      <w:r w:rsidRPr="00834D52">
        <w:rPr>
          <w:rFonts w:ascii="Sylfaen" w:hAnsi="Sylfaen"/>
          <w:sz w:val="24"/>
          <w:szCs w:val="24"/>
        </w:rPr>
        <w:tab/>
        <w:t xml:space="preserve">Դեղապատրաստուկի բժշկական կիրառման հրահանգում փոփոխությունների մասով գրանցման դոսյեում փոփոխություններ կատարելու դեպքում լիազորված մարմնի կողմից հաստատվում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տրվում բժշկական կիրառման նոր հրահանգ:</w:t>
      </w:r>
    </w:p>
    <w:p w14:paraId="144FDB50" w14:textId="53593642" w:rsidR="00BC53C9" w:rsidRPr="006F28F9" w:rsidRDefault="00BC53C9" w:rsidP="00BC53C9">
      <w:pPr>
        <w:rPr>
          <w:b/>
          <w:bCs/>
          <w:i/>
          <w:iCs/>
        </w:rPr>
      </w:pPr>
      <w:r w:rsidRPr="00CD4709">
        <w:rPr>
          <w:b/>
          <w:bCs/>
          <w:i/>
          <w:iCs/>
        </w:rPr>
        <w:t>(</w:t>
      </w:r>
      <w:r>
        <w:rPr>
          <w:b/>
          <w:bCs/>
          <w:i/>
          <w:iCs/>
        </w:rPr>
        <w:t xml:space="preserve">157-րդ կետը </w:t>
      </w:r>
      <w:r w:rsidRPr="00CD4709">
        <w:rPr>
          <w:b/>
          <w:bCs/>
          <w:i/>
          <w:iCs/>
        </w:rPr>
        <w:t>փոփ. 30.01.20 թիվ 9)</w:t>
      </w:r>
    </w:p>
    <w:p w14:paraId="0A82AF65" w14:textId="4B4965A2" w:rsidR="00131D48" w:rsidRPr="00131D48" w:rsidRDefault="006F76EB" w:rsidP="00131D48">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158.</w:t>
      </w:r>
      <w:r w:rsidR="0000325C" w:rsidRPr="00A958BD">
        <w:rPr>
          <w:rFonts w:ascii="Sylfaen" w:hAnsi="Sylfaen"/>
          <w:sz w:val="24"/>
          <w:szCs w:val="24"/>
        </w:rPr>
        <w:tab/>
      </w:r>
      <w:r w:rsidR="00131D48" w:rsidRPr="00131D48">
        <w:rPr>
          <w:rFonts w:ascii="Sylfaen" w:hAnsi="Sylfaen"/>
          <w:sz w:val="24"/>
          <w:szCs w:val="24"/>
        </w:rPr>
        <w:t xml:space="preserve">Դեղապատրաստուկի գրանցման հաստատման (վերագրանցման) կամ գրանցման դոսյեում փոփոխություններ կատարելու դեպքում թույլատրվում է դեղապատրաստուկի արտադրություն գրանցման հաստատման (վերագրանցման) կամ դեղապատրաստուկի գրանցման դոսյեի փաստաթղթերում առկա տեղեկատվությանը համապատասխան՝ գրանցման դոսյեում փոփոխություններ կատարելու օրվանից մինչև գրանցման հաստատման (վերագրանցման) կամ փոփոխությունների կատարման օրը 180 օրացուցային օրվա ընթացքում, բացառությամբ՝ </w:t>
      </w:r>
    </w:p>
    <w:p w14:paraId="6218CFEC" w14:textId="59CCE04D" w:rsidR="00131D48" w:rsidRPr="00131D48" w:rsidRDefault="00131D48" w:rsidP="00131D48">
      <w:pPr>
        <w:tabs>
          <w:tab w:val="left" w:pos="1134"/>
        </w:tabs>
        <w:spacing w:after="160" w:line="341" w:lineRule="auto"/>
        <w:ind w:right="-6" w:firstLine="567"/>
        <w:jc w:val="both"/>
        <w:rPr>
          <w:rFonts w:ascii="Sylfaen" w:hAnsi="Sylfaen"/>
          <w:sz w:val="24"/>
          <w:szCs w:val="24"/>
        </w:rPr>
      </w:pPr>
      <w:r w:rsidRPr="00131D48">
        <w:rPr>
          <w:rFonts w:ascii="Sylfaen" w:hAnsi="Sylfaen"/>
          <w:sz w:val="24"/>
          <w:szCs w:val="24"/>
        </w:rPr>
        <w:t>սույն կանոնների թիվ 16 հավելվածի 4.1.4 կետի համաձայն գրանցման հավաստագիր ունեցող անձի կամ լիազորված մարմնի կողմից սահմանվող՝ անվտանգության անհետաձգելի սահմանափակումների.</w:t>
      </w:r>
    </w:p>
    <w:p w14:paraId="6CFE6579" w14:textId="23C5CBC2" w:rsidR="00131D48" w:rsidRPr="00131D48" w:rsidRDefault="00131D48" w:rsidP="00131D48">
      <w:pPr>
        <w:tabs>
          <w:tab w:val="left" w:pos="1134"/>
        </w:tabs>
        <w:spacing w:after="160" w:line="341" w:lineRule="auto"/>
        <w:ind w:right="-6" w:firstLine="567"/>
        <w:jc w:val="both"/>
        <w:rPr>
          <w:rFonts w:ascii="Sylfaen" w:hAnsi="Sylfaen"/>
          <w:sz w:val="24"/>
          <w:szCs w:val="24"/>
        </w:rPr>
      </w:pPr>
      <w:r w:rsidRPr="00131D48">
        <w:rPr>
          <w:rFonts w:ascii="Sylfaen" w:hAnsi="Sylfaen"/>
          <w:sz w:val="24"/>
          <w:szCs w:val="24"/>
        </w:rPr>
        <w:t>անդամ պետության լիազորված մարմնի կողմից վաղ հաստատված (համաձայնեցված) փաստաթղթերի և գրանցման դոսյեի տեղեկատվությանը համապատասխան դեղապատրաստուկի հետագա արտադրության անհնարինության մասին որոշման ընդունման:</w:t>
      </w:r>
    </w:p>
    <w:p w14:paraId="48648958" w14:textId="3F03B399" w:rsidR="006F76EB" w:rsidRDefault="00131D48" w:rsidP="00131D48">
      <w:pPr>
        <w:tabs>
          <w:tab w:val="left" w:pos="1134"/>
        </w:tabs>
        <w:spacing w:after="160" w:line="341" w:lineRule="auto"/>
        <w:ind w:right="-6" w:firstLine="567"/>
        <w:jc w:val="both"/>
        <w:rPr>
          <w:rFonts w:ascii="Sylfaen" w:hAnsi="Sylfaen"/>
          <w:sz w:val="24"/>
          <w:szCs w:val="24"/>
        </w:rPr>
      </w:pPr>
      <w:r w:rsidRPr="00131D48">
        <w:rPr>
          <w:rFonts w:ascii="Sylfaen" w:hAnsi="Sylfaen"/>
          <w:sz w:val="24"/>
          <w:szCs w:val="24"/>
        </w:rPr>
        <w:t>Թույլատրվում է դեղապատրաստուկի ներմուծում, միաժամանակյա իրացում և բժշկական կիրառում մինչև փաստաթղթերին և մինչև գրանցման դոսյեում փոփոխություններ կատարելը և դրանից հետո դրա տվյալներին համապատասխանող պիտանիության ժամկետի (պահպանման ժամկետի) ավարտը, եթե դա չի հակասում Հանձնաժողովի կողմից հաստատվող՝ Միության դեղազգոնության պատշաճ գործունեության կանոնների պահանջներին</w:t>
      </w:r>
      <w:r>
        <w:rPr>
          <w:rFonts w:ascii="Sylfaen" w:hAnsi="Sylfaen"/>
          <w:sz w:val="24"/>
          <w:szCs w:val="24"/>
        </w:rPr>
        <w:t>:</w:t>
      </w:r>
    </w:p>
    <w:p w14:paraId="4E300822" w14:textId="23F4DC6A" w:rsidR="00131D48" w:rsidRPr="00371618" w:rsidRDefault="00131D48" w:rsidP="00131D48">
      <w:pPr>
        <w:rPr>
          <w:b/>
          <w:bCs/>
          <w:i/>
          <w:iCs/>
        </w:rPr>
      </w:pPr>
      <w:r w:rsidRPr="00371618">
        <w:rPr>
          <w:b/>
          <w:bCs/>
          <w:i/>
          <w:iCs/>
        </w:rPr>
        <w:t>( 1</w:t>
      </w:r>
      <w:r>
        <w:rPr>
          <w:b/>
          <w:bCs/>
          <w:i/>
          <w:iCs/>
        </w:rPr>
        <w:t>5</w:t>
      </w:r>
      <w:r w:rsidRPr="00371618">
        <w:rPr>
          <w:b/>
          <w:bCs/>
          <w:i/>
          <w:iCs/>
        </w:rPr>
        <w:t xml:space="preserve">8-րդ կետը </w:t>
      </w:r>
      <w:r>
        <w:rPr>
          <w:b/>
          <w:bCs/>
          <w:i/>
          <w:iCs/>
        </w:rPr>
        <w:t>խմբ</w:t>
      </w:r>
      <w:r w:rsidRPr="00371618">
        <w:rPr>
          <w:b/>
          <w:bCs/>
          <w:i/>
          <w:iCs/>
        </w:rPr>
        <w:t>. 17.03.22 թիվ 36 )</w:t>
      </w:r>
    </w:p>
    <w:p w14:paraId="0C0DC43C" w14:textId="77777777" w:rsidR="00131D48" w:rsidRPr="00834D52" w:rsidRDefault="00131D48" w:rsidP="00131D48">
      <w:pPr>
        <w:tabs>
          <w:tab w:val="left" w:pos="1134"/>
        </w:tabs>
        <w:spacing w:after="160" w:line="341" w:lineRule="auto"/>
        <w:ind w:right="-6" w:firstLine="567"/>
        <w:jc w:val="both"/>
        <w:rPr>
          <w:rFonts w:ascii="Sylfaen" w:hAnsi="Sylfaen"/>
          <w:sz w:val="24"/>
          <w:szCs w:val="24"/>
        </w:rPr>
      </w:pPr>
    </w:p>
    <w:p w14:paraId="53F5CBA9" w14:textId="77777777" w:rsidR="006F76EB" w:rsidRPr="00834D52" w:rsidRDefault="006F76EB" w:rsidP="00D32C7C">
      <w:pPr>
        <w:spacing w:after="160" w:line="360" w:lineRule="auto"/>
        <w:ind w:left="567" w:right="567"/>
        <w:jc w:val="center"/>
        <w:rPr>
          <w:rFonts w:ascii="Sylfaen" w:eastAsia="Times New Roman" w:hAnsi="Sylfaen" w:cs="Times New Roman"/>
          <w:sz w:val="24"/>
          <w:szCs w:val="24"/>
        </w:rPr>
      </w:pPr>
      <w:r w:rsidRPr="00834D52">
        <w:rPr>
          <w:rFonts w:ascii="Sylfaen" w:hAnsi="Sylfaen"/>
          <w:sz w:val="24"/>
          <w:szCs w:val="24"/>
        </w:rPr>
        <w:lastRenderedPageBreak/>
        <w:t>X. Գրանցման հավաստագրի կասեցում, հետկանչ (վերացում) կամ կիրառման սահմանափակում կամ գրանցման հավաստագրի պայմանների փոփոխությունների կատարում</w:t>
      </w:r>
    </w:p>
    <w:p w14:paraId="1792F24E" w14:textId="77777777"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159.</w:t>
      </w:r>
      <w:r w:rsidRPr="00834D52">
        <w:rPr>
          <w:rFonts w:ascii="Sylfaen" w:hAnsi="Sylfaen"/>
          <w:sz w:val="24"/>
          <w:szCs w:val="24"/>
        </w:rPr>
        <w:tab/>
        <w:t>Լիազորված մարմինը կասեցնում է գրանցման հավաստագրի գործողությունը կամ սահմանափակում է դեղապատրաստուկի կիրառումը հետ</w:t>
      </w:r>
      <w:r w:rsidR="00C54D75">
        <w:rPr>
          <w:rFonts w:ascii="Sylfaen" w:hAnsi="Sylfaen"/>
          <w:sz w:val="24"/>
          <w:szCs w:val="24"/>
        </w:rPr>
        <w:t>և</w:t>
      </w:r>
      <w:r w:rsidRPr="00834D52">
        <w:rPr>
          <w:rFonts w:ascii="Sylfaen" w:hAnsi="Sylfaen"/>
          <w:sz w:val="24"/>
          <w:szCs w:val="24"/>
        </w:rPr>
        <w:t>յալ դեպքերում՝</w:t>
      </w:r>
    </w:p>
    <w:p w14:paraId="7B6660FD" w14:textId="3E2465B8"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առկա են </w:t>
      </w:r>
      <w:r w:rsidR="00FD1F71">
        <w:rPr>
          <w:rFonts w:ascii="Sylfaen" w:hAnsi="Sylfaen"/>
          <w:sz w:val="24"/>
          <w:szCs w:val="24"/>
        </w:rPr>
        <w:t>հայտա</w:t>
      </w:r>
      <w:r w:rsidRPr="00834D52">
        <w:rPr>
          <w:rFonts w:ascii="Sylfaen" w:hAnsi="Sylfaen"/>
          <w:sz w:val="24"/>
          <w:szCs w:val="24"/>
        </w:rPr>
        <w:t xml:space="preserve">րարված կազմության հետ դեղապատրաստուկի բաց թողնված սերիաների որակական </w:t>
      </w:r>
      <w:r w:rsidR="00C54D75">
        <w:rPr>
          <w:rFonts w:ascii="Sylfaen" w:hAnsi="Sylfaen"/>
          <w:sz w:val="24"/>
          <w:szCs w:val="24"/>
        </w:rPr>
        <w:t>և</w:t>
      </w:r>
      <w:r w:rsidRPr="00834D52">
        <w:rPr>
          <w:rFonts w:ascii="Sylfaen" w:hAnsi="Sylfaen"/>
          <w:sz w:val="24"/>
          <w:szCs w:val="24"/>
        </w:rPr>
        <w:t xml:space="preserve"> քանակական կազմության՝ փաստաթղթերով հաստատված անհամապատասխանության փաստեր.</w:t>
      </w:r>
    </w:p>
    <w:p w14:paraId="21A3D521" w14:textId="77777777"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դեղապատրաստուկը վտանգավոր է (լուրջ կամ անուղղելի վնաս է հասցնում մարդու առողջությանը (առողջությանը լուրջ կամ անուղղելի վնաս հասցնելու մասին հիմնավորումը պետք է հաստատված լինի լիազորված մարմնի (փորձագիտական կազմակերպության) փորձագիտական եզրակացությամբ՝ փաստաթղթային ապացույցներին հղումներով)).</w:t>
      </w:r>
    </w:p>
    <w:p w14:paraId="25341959" w14:textId="1CE50E8F"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256312">
        <w:rPr>
          <w:rFonts w:ascii="Sylfaen" w:hAnsi="Sylfaen"/>
          <w:spacing w:val="-6"/>
          <w:sz w:val="24"/>
          <w:szCs w:val="24"/>
        </w:rPr>
        <w:t>ապացուցվել է օգուտ-ռիսկ անբարենպաստ հարաբերակցությունը կամ բացա</w:t>
      </w:r>
      <w:r w:rsidR="00FD1F71">
        <w:rPr>
          <w:rFonts w:ascii="Sylfaen" w:hAnsi="Sylfaen"/>
          <w:spacing w:val="-6"/>
          <w:sz w:val="24"/>
          <w:szCs w:val="24"/>
        </w:rPr>
        <w:t>հայտ</w:t>
      </w:r>
      <w:r w:rsidRPr="00256312">
        <w:rPr>
          <w:rFonts w:ascii="Sylfaen" w:hAnsi="Sylfaen"/>
          <w:spacing w:val="-6"/>
          <w:sz w:val="24"/>
          <w:szCs w:val="24"/>
        </w:rPr>
        <w:t xml:space="preserve">վել է դեղապատրաստուկի՝ փաստաթղթերով հաստատված </w:t>
      </w:r>
      <w:r w:rsidRPr="00834D52">
        <w:rPr>
          <w:rFonts w:ascii="Sylfaen" w:hAnsi="Sylfaen"/>
          <w:sz w:val="24"/>
          <w:szCs w:val="24"/>
        </w:rPr>
        <w:t>ոչ բավարար թերապ</w:t>
      </w:r>
      <w:r w:rsidR="00C54D75">
        <w:rPr>
          <w:rFonts w:ascii="Sylfaen" w:hAnsi="Sylfaen"/>
          <w:sz w:val="24"/>
          <w:szCs w:val="24"/>
        </w:rPr>
        <w:t>և</w:t>
      </w:r>
      <w:r w:rsidRPr="00834D52">
        <w:rPr>
          <w:rFonts w:ascii="Sylfaen" w:hAnsi="Sylfaen"/>
          <w:sz w:val="24"/>
          <w:szCs w:val="24"/>
        </w:rPr>
        <w:t>տիկ արդյունավետությունը դրա կիրառման այն պայմանների պահպանման դեպքում, որոնք նկարագրված են հաստատված ԴԸԲ-ում.</w:t>
      </w:r>
    </w:p>
    <w:p w14:paraId="5ABD3450" w14:textId="77777777"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չի հաստատվել </w:t>
      </w:r>
      <w:r w:rsidR="00E90FAF" w:rsidRPr="00E90FAF">
        <w:rPr>
          <w:rFonts w:ascii="Sylfaen" w:hAnsi="Sylfaen"/>
          <w:sz w:val="24"/>
          <w:szCs w:val="24"/>
        </w:rPr>
        <w:t>«</w:t>
      </w:r>
      <w:r w:rsidRPr="00834D52">
        <w:rPr>
          <w:rFonts w:ascii="Sylfaen" w:hAnsi="Sylfaen"/>
          <w:sz w:val="24"/>
          <w:szCs w:val="24"/>
        </w:rPr>
        <w:t>օգուտ-ռիսկ</w:t>
      </w:r>
      <w:r w:rsidR="00E90FAF" w:rsidRPr="00E90FAF">
        <w:rPr>
          <w:rFonts w:ascii="Sylfaen" w:hAnsi="Sylfaen"/>
          <w:sz w:val="24"/>
          <w:szCs w:val="24"/>
        </w:rPr>
        <w:t>»</w:t>
      </w:r>
      <w:r w:rsidRPr="00834D52">
        <w:rPr>
          <w:rFonts w:ascii="Sylfaen" w:hAnsi="Sylfaen"/>
          <w:sz w:val="24"/>
          <w:szCs w:val="24"/>
        </w:rPr>
        <w:t xml:space="preserve"> դրական հարաբերակցությունը՝ լիազորված մարմնի (փորձագիտական կազմակերպության) կողմից յուրաքանչյուր տարի անցկացվող օգուտ-ռիսկ հարաբերակցությունը վերագնահատելիս՝ սույն Կանոնների 117-րդ կետին համապատասխան.</w:t>
      </w:r>
    </w:p>
    <w:p w14:paraId="278CB7C2" w14:textId="77777777"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դոսյեում առկա են ոչ հավաստի փաստաթղթեր </w:t>
      </w:r>
      <w:r w:rsidR="00C54D75">
        <w:rPr>
          <w:rFonts w:ascii="Sylfaen" w:hAnsi="Sylfaen"/>
          <w:sz w:val="24"/>
          <w:szCs w:val="24"/>
        </w:rPr>
        <w:t>և</w:t>
      </w:r>
      <w:r w:rsidRPr="00834D52">
        <w:rPr>
          <w:rFonts w:ascii="Sylfaen" w:hAnsi="Sylfaen"/>
          <w:sz w:val="24"/>
          <w:szCs w:val="24"/>
        </w:rPr>
        <w:t xml:space="preserve"> տվյալներ,</w:t>
      </w:r>
    </w:p>
    <w:p w14:paraId="5C724705" w14:textId="1565CF7B"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արտադրողը լիազորված մարմնի (փորձագիտական կազմակերպության) հետ համաձայնեցված ժամկետներում չի վերացրել տեսչական ստուգումների ժամանակ բացա</w:t>
      </w:r>
      <w:r w:rsidR="00FD1F71">
        <w:rPr>
          <w:rFonts w:ascii="Sylfaen" w:hAnsi="Sylfaen"/>
          <w:sz w:val="24"/>
          <w:szCs w:val="24"/>
        </w:rPr>
        <w:t>հայտ</w:t>
      </w:r>
      <w:r w:rsidRPr="00834D52">
        <w:rPr>
          <w:rFonts w:ascii="Sylfaen" w:hAnsi="Sylfaen"/>
          <w:sz w:val="24"/>
          <w:szCs w:val="24"/>
        </w:rPr>
        <w:t xml:space="preserve">ված արտադրության </w:t>
      </w:r>
      <w:r w:rsidR="00C54D75">
        <w:rPr>
          <w:rFonts w:ascii="Sylfaen" w:hAnsi="Sylfaen"/>
          <w:sz w:val="24"/>
          <w:szCs w:val="24"/>
        </w:rPr>
        <w:t>և</w:t>
      </w:r>
      <w:r w:rsidRPr="00834D52">
        <w:rPr>
          <w:rFonts w:ascii="Sylfaen" w:hAnsi="Sylfaen"/>
          <w:sz w:val="24"/>
          <w:szCs w:val="24"/>
        </w:rPr>
        <w:t xml:space="preserve"> հսկողության մեթոդների անհամապատասխանությունները, որոնք </w:t>
      </w:r>
      <w:r w:rsidR="001A5F1A">
        <w:rPr>
          <w:rFonts w:ascii="Sylfaen" w:hAnsi="Sylfaen"/>
          <w:sz w:val="24"/>
          <w:szCs w:val="24"/>
        </w:rPr>
        <w:t>հայտագրված</w:t>
      </w:r>
      <w:r w:rsidRPr="00834D52">
        <w:rPr>
          <w:rFonts w:ascii="Sylfaen" w:hAnsi="Sylfaen"/>
          <w:sz w:val="24"/>
          <w:szCs w:val="24"/>
        </w:rPr>
        <w:t xml:space="preserve"> են գրանցման դոսյեում,</w:t>
      </w:r>
    </w:p>
    <w:p w14:paraId="271B77D7"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գրանցման հավաստագրի իրավատիրոջ կողմից չեն կատարվել դեղազգոնության վերաբերյալ պարտականությունները,</w:t>
      </w:r>
    </w:p>
    <w:p w14:paraId="63D13198"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կողմից չեն կատարվել լիազորված մարմնի (փորձագիտական կազմակերպության) կողմից հաստատված պարտականությունները՝ սույն Կանոնների 116-րդ </w:t>
      </w:r>
      <w:r w:rsidR="00C54D75">
        <w:rPr>
          <w:rFonts w:ascii="Sylfaen" w:hAnsi="Sylfaen"/>
          <w:sz w:val="24"/>
          <w:szCs w:val="24"/>
        </w:rPr>
        <w:t>և</w:t>
      </w:r>
      <w:r w:rsidRPr="00834D52">
        <w:rPr>
          <w:rFonts w:ascii="Sylfaen" w:hAnsi="Sylfaen"/>
          <w:sz w:val="24"/>
          <w:szCs w:val="24"/>
        </w:rPr>
        <w:t xml:space="preserve"> 118-րդ կետերին համապատասխան։</w:t>
      </w:r>
    </w:p>
    <w:p w14:paraId="6B6880CA"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գործողության կասեցման՝ սույն կետի </w:t>
      </w:r>
      <w:r w:rsidR="00256312" w:rsidRPr="00E61438">
        <w:rPr>
          <w:rFonts w:ascii="Sylfaen" w:hAnsi="Sylfaen"/>
          <w:sz w:val="24"/>
          <w:szCs w:val="24"/>
        </w:rPr>
        <w:br/>
      </w:r>
      <w:r w:rsidRPr="00834D52">
        <w:rPr>
          <w:rFonts w:ascii="Sylfaen" w:hAnsi="Sylfaen"/>
          <w:sz w:val="24"/>
          <w:szCs w:val="24"/>
        </w:rPr>
        <w:t>երկրորդ-չորրորդ պարբերություններում նշված դեպքերում լիազորված մարմինը (փորձագիտական կազմակերպությունը) գրանցման հավաստագրի իրավատիրոջն ուղարկում է գրանցման դոսյեի համապատասխան փաստաթղթերում փոփոխություններ կատարելու մասին պահանջը՝ նշելով այդպիսի պահանջի կատարման ժամկետը:</w:t>
      </w:r>
    </w:p>
    <w:p w14:paraId="2321A6CB" w14:textId="77777777" w:rsidR="006F76EB" w:rsidRPr="00834D52" w:rsidRDefault="006F76EB" w:rsidP="0000325C">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160.</w:t>
      </w:r>
      <w:r w:rsidRPr="00834D52">
        <w:rPr>
          <w:rFonts w:ascii="Sylfaen" w:hAnsi="Sylfaen"/>
          <w:sz w:val="24"/>
          <w:szCs w:val="24"/>
        </w:rPr>
        <w:tab/>
        <w:t xml:space="preserve">Դեղապատրաստուկի գրանցման հավաստագիրը հետ կանչելու (վերացնելու) </w:t>
      </w:r>
      <w:r w:rsidR="00C54D75">
        <w:rPr>
          <w:rFonts w:ascii="Sylfaen" w:hAnsi="Sylfaen"/>
          <w:sz w:val="24"/>
          <w:szCs w:val="24"/>
        </w:rPr>
        <w:t>և</w:t>
      </w:r>
      <w:r w:rsidRPr="00834D52">
        <w:rPr>
          <w:rFonts w:ascii="Sylfaen" w:hAnsi="Sylfaen"/>
          <w:sz w:val="24"/>
          <w:szCs w:val="24"/>
        </w:rPr>
        <w:t xml:space="preserve"> դեղապատրաստուկը միասնական ռեեստրից հանելու մասին որոշումն ընդունվում է լիազորված մարմնի (փորձագիտական կազմակերպության) կողմից հետ</w:t>
      </w:r>
      <w:r w:rsidR="00C54D75">
        <w:rPr>
          <w:rFonts w:ascii="Sylfaen" w:hAnsi="Sylfaen"/>
          <w:sz w:val="24"/>
          <w:szCs w:val="24"/>
        </w:rPr>
        <w:t>և</w:t>
      </w:r>
      <w:r w:rsidRPr="00834D52">
        <w:rPr>
          <w:rFonts w:ascii="Sylfaen" w:hAnsi="Sylfaen"/>
          <w:sz w:val="24"/>
          <w:szCs w:val="24"/>
        </w:rPr>
        <w:t>յալ դեպքերում՝</w:t>
      </w:r>
    </w:p>
    <w:p w14:paraId="5D087251" w14:textId="77777777" w:rsidR="006F76EB" w:rsidRPr="00834D52" w:rsidRDefault="006F76EB" w:rsidP="00CB78D1">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գրանցման հավաստագրի իրավատիրոջ կամ իրավաբանական անձի, դեղապատրաստուկի գրանցման հավաստագրի լիազորված իրավատիրոջ կողմից դեղապատրաստուկի գրանցումը վերացնելու մասին դիմումը ներկայացնելու դեպքում,</w:t>
      </w:r>
    </w:p>
    <w:p w14:paraId="28166C96" w14:textId="77777777" w:rsidR="006F76EB" w:rsidRPr="00834D52" w:rsidRDefault="006F76EB" w:rsidP="00CB78D1">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դեղապատրաստուկի գրանցման հավաստագրի իրավատիրոջ կողմից լիազորված մարմնի (փորձագիտական կազմակերպության)՝ սույն Կանոնների</w:t>
      </w:r>
      <w:r w:rsidR="00E61438" w:rsidRPr="00E61438">
        <w:rPr>
          <w:rFonts w:ascii="Sylfaen" w:hAnsi="Sylfaen"/>
          <w:sz w:val="24"/>
          <w:szCs w:val="24"/>
        </w:rPr>
        <w:t> </w:t>
      </w:r>
      <w:r w:rsidRPr="00834D52">
        <w:rPr>
          <w:rFonts w:ascii="Sylfaen" w:hAnsi="Sylfaen"/>
          <w:sz w:val="24"/>
          <w:szCs w:val="24"/>
        </w:rPr>
        <w:t>159-րդ կետի երկրորդից իններորդ պարբերություններում նշված պահանջները չկատարելու դեպքում,</w:t>
      </w:r>
    </w:p>
    <w:p w14:paraId="7F508430" w14:textId="20835C0B" w:rsidR="006F76EB" w:rsidRDefault="006F76EB" w:rsidP="00CB78D1">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տեսչական ստուգումների ժամանակ բացա</w:t>
      </w:r>
      <w:r w:rsidR="00FD1F71">
        <w:rPr>
          <w:rFonts w:ascii="Sylfaen" w:hAnsi="Sylfaen"/>
          <w:sz w:val="24"/>
          <w:szCs w:val="24"/>
        </w:rPr>
        <w:t>հայտ</w:t>
      </w:r>
      <w:r w:rsidRPr="00834D52">
        <w:rPr>
          <w:rFonts w:ascii="Sylfaen" w:hAnsi="Sylfaen"/>
          <w:sz w:val="24"/>
          <w:szCs w:val="24"/>
        </w:rPr>
        <w:t xml:space="preserve">ված, գրանցման դոսյեում </w:t>
      </w:r>
      <w:r w:rsidR="001A5F1A">
        <w:rPr>
          <w:rFonts w:ascii="Sylfaen" w:hAnsi="Sylfaen"/>
          <w:sz w:val="24"/>
          <w:szCs w:val="24"/>
        </w:rPr>
        <w:t>հայտագրված</w:t>
      </w:r>
      <w:r w:rsidRPr="00834D52">
        <w:rPr>
          <w:rFonts w:ascii="Sylfaen" w:hAnsi="Sylfaen"/>
          <w:sz w:val="24"/>
          <w:szCs w:val="24"/>
        </w:rPr>
        <w:t xml:space="preserve">՝ արտադրության </w:t>
      </w:r>
      <w:r w:rsidR="00C54D75">
        <w:rPr>
          <w:rFonts w:ascii="Sylfaen" w:hAnsi="Sylfaen"/>
          <w:sz w:val="24"/>
          <w:szCs w:val="24"/>
        </w:rPr>
        <w:t>և</w:t>
      </w:r>
      <w:r w:rsidRPr="00834D52">
        <w:rPr>
          <w:rFonts w:ascii="Sylfaen" w:hAnsi="Sylfaen"/>
          <w:sz w:val="24"/>
          <w:szCs w:val="24"/>
        </w:rPr>
        <w:t xml:space="preserve"> հսկողության մեթոդների անհամապատասխանությունները գրանցման հավաստագրի իրավատիրոջ կողմից սահմանված ժամկետում չվերացնելու մասին լիազորված մարմնի </w:t>
      </w:r>
      <w:r w:rsidRPr="00834D52">
        <w:rPr>
          <w:rFonts w:ascii="Sylfaen" w:hAnsi="Sylfaen"/>
          <w:sz w:val="24"/>
          <w:szCs w:val="24"/>
        </w:rPr>
        <w:lastRenderedPageBreak/>
        <w:t>(փորձագիտական կազմակերպության) կողմից եզրակացության ներկայացման դեպքում:</w:t>
      </w:r>
    </w:p>
    <w:p w14:paraId="6A6ED235" w14:textId="1BF594AA" w:rsidR="00BC53C9" w:rsidRPr="006F28F9" w:rsidRDefault="00BC53C9" w:rsidP="00BC53C9">
      <w:pPr>
        <w:rPr>
          <w:b/>
          <w:bCs/>
          <w:i/>
          <w:iCs/>
        </w:rPr>
      </w:pPr>
      <w:r w:rsidRPr="00CD4709">
        <w:rPr>
          <w:b/>
          <w:bCs/>
          <w:i/>
          <w:iCs/>
        </w:rPr>
        <w:t>(</w:t>
      </w:r>
      <w:r>
        <w:rPr>
          <w:b/>
          <w:bCs/>
          <w:i/>
          <w:iCs/>
        </w:rPr>
        <w:t xml:space="preserve">160-րդ կետը </w:t>
      </w:r>
      <w:r w:rsidRPr="00CD4709">
        <w:rPr>
          <w:b/>
          <w:bCs/>
          <w:i/>
          <w:iCs/>
        </w:rPr>
        <w:t>փոփ. 30.01.20 թիվ 9)</w:t>
      </w:r>
    </w:p>
    <w:p w14:paraId="4EEC3380" w14:textId="77777777" w:rsidR="006F76EB" w:rsidRPr="00834D52" w:rsidRDefault="006F76EB" w:rsidP="0000325C">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161.</w:t>
      </w:r>
      <w:r w:rsidRPr="00834D52">
        <w:rPr>
          <w:rFonts w:ascii="Sylfaen" w:hAnsi="Sylfaen"/>
          <w:sz w:val="24"/>
          <w:szCs w:val="24"/>
        </w:rPr>
        <w:tab/>
        <w:t xml:space="preserve">Անդամ պետությունների լիազորված մարմինները սույն Կանոնների 159-րդ </w:t>
      </w:r>
      <w:r w:rsidR="00C54D75">
        <w:rPr>
          <w:rFonts w:ascii="Sylfaen" w:hAnsi="Sylfaen"/>
          <w:sz w:val="24"/>
          <w:szCs w:val="24"/>
        </w:rPr>
        <w:t>և</w:t>
      </w:r>
      <w:r w:rsidRPr="00834D52">
        <w:rPr>
          <w:rFonts w:ascii="Sylfaen" w:hAnsi="Sylfaen"/>
          <w:sz w:val="24"/>
          <w:szCs w:val="24"/>
        </w:rPr>
        <w:t xml:space="preserve"> 160-րդ կետերում նշված դեպքերում համապատասխան միջոցներ (գործողություններ) են ձեռնարկում՝ դեղապատրաստուկի մատակարարումը դադարեցնելու </w:t>
      </w:r>
      <w:r w:rsidR="00C54D75">
        <w:rPr>
          <w:rFonts w:ascii="Sylfaen" w:hAnsi="Sylfaen"/>
          <w:sz w:val="24"/>
          <w:szCs w:val="24"/>
        </w:rPr>
        <w:t>և</w:t>
      </w:r>
      <w:r w:rsidRPr="00834D52">
        <w:rPr>
          <w:rFonts w:ascii="Sylfaen" w:hAnsi="Sylfaen"/>
          <w:sz w:val="24"/>
          <w:szCs w:val="24"/>
        </w:rPr>
        <w:t xml:space="preserve"> դեղապատրաստուկը շրջանառությունից հանելու համար:</w:t>
      </w:r>
    </w:p>
    <w:p w14:paraId="56809E53" w14:textId="6414D559" w:rsidR="006F76EB" w:rsidRDefault="006F76EB" w:rsidP="0000325C">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162.</w:t>
      </w:r>
      <w:r w:rsidRPr="00834D52">
        <w:rPr>
          <w:rFonts w:ascii="Sylfaen" w:hAnsi="Sylfaen"/>
          <w:sz w:val="24"/>
          <w:szCs w:val="24"/>
        </w:rPr>
        <w:tab/>
        <w:t xml:space="preserve">Բացառիկ դեպքերում՝ սահմանափակ ժամանակի ընթացքում, լիազորված մարմինը կարող է թույլատրել այն դեղապատրաստուկի շրջանառությունը, </w:t>
      </w:r>
      <w:r w:rsidR="00617529" w:rsidRPr="00617529">
        <w:rPr>
          <w:rFonts w:ascii="Sylfaen" w:hAnsi="Sylfaen"/>
          <w:sz w:val="24"/>
          <w:szCs w:val="24"/>
        </w:rPr>
        <w:t>որի իրացումն արգելված է</w:t>
      </w:r>
      <w:r w:rsidRPr="00834D52">
        <w:rPr>
          <w:rFonts w:ascii="Sylfaen" w:hAnsi="Sylfaen"/>
          <w:sz w:val="24"/>
          <w:szCs w:val="24"/>
        </w:rPr>
        <w:t>, կամ որը հետ էր կանչվել շուկայից՝ բացառապես դրա հսկվող կիրառության համար այն պացիենտների կողմից, ովքեր օգտագործել են տվյալ դեղապատրաստուկը կենսական ցուցումներով:</w:t>
      </w:r>
    </w:p>
    <w:p w14:paraId="632A89D4" w14:textId="523B958F" w:rsidR="00617529" w:rsidRPr="00371618" w:rsidRDefault="00617529" w:rsidP="00617529">
      <w:pPr>
        <w:rPr>
          <w:b/>
          <w:bCs/>
          <w:i/>
          <w:iCs/>
        </w:rPr>
      </w:pPr>
      <w:r w:rsidRPr="00371618">
        <w:rPr>
          <w:b/>
          <w:bCs/>
          <w:i/>
          <w:iCs/>
        </w:rPr>
        <w:t>( 1</w:t>
      </w:r>
      <w:r>
        <w:rPr>
          <w:b/>
          <w:bCs/>
          <w:i/>
          <w:iCs/>
        </w:rPr>
        <w:t>62</w:t>
      </w:r>
      <w:r w:rsidRPr="00371618">
        <w:rPr>
          <w:b/>
          <w:bCs/>
          <w:i/>
          <w:iCs/>
        </w:rPr>
        <w:t>-րդ կետը փոփ. 17.03.22 թիվ 36 )</w:t>
      </w:r>
    </w:p>
    <w:p w14:paraId="0E49A601" w14:textId="77777777" w:rsidR="00617529" w:rsidRPr="00955C1D" w:rsidRDefault="00617529" w:rsidP="0000325C">
      <w:pPr>
        <w:tabs>
          <w:tab w:val="left" w:pos="1134"/>
        </w:tabs>
        <w:spacing w:after="160" w:line="336" w:lineRule="auto"/>
        <w:ind w:right="-6" w:firstLine="567"/>
        <w:jc w:val="both"/>
        <w:rPr>
          <w:rFonts w:ascii="Sylfaen" w:hAnsi="Sylfaen"/>
          <w:sz w:val="24"/>
          <w:szCs w:val="24"/>
        </w:rPr>
      </w:pPr>
    </w:p>
    <w:p w14:paraId="1F46B46A" w14:textId="77777777" w:rsidR="00A258AD" w:rsidRPr="00955C1D" w:rsidRDefault="00A258AD" w:rsidP="00A258AD">
      <w:pPr>
        <w:tabs>
          <w:tab w:val="left" w:pos="1701"/>
        </w:tabs>
        <w:spacing w:after="160" w:line="360" w:lineRule="auto"/>
        <w:ind w:right="-6" w:firstLine="567"/>
        <w:jc w:val="both"/>
        <w:rPr>
          <w:rFonts w:ascii="Sylfaen" w:hAnsi="Sylfaen"/>
          <w:sz w:val="24"/>
          <w:szCs w:val="24"/>
        </w:rPr>
      </w:pPr>
    </w:p>
    <w:p w14:paraId="76840D50"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XI. Անդամ պետություններում դեղապատրաստուկների շրջանառության պայմանները</w:t>
      </w:r>
    </w:p>
    <w:p w14:paraId="42FFA8DA" w14:textId="77777777" w:rsidR="006F76EB" w:rsidRPr="00834D52" w:rsidRDefault="006F76EB" w:rsidP="00286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163.</w:t>
      </w:r>
      <w:r w:rsidRPr="00834D52">
        <w:rPr>
          <w:rFonts w:ascii="Sylfaen" w:hAnsi="Sylfaen"/>
          <w:sz w:val="24"/>
          <w:szCs w:val="24"/>
        </w:rPr>
        <w:tab/>
        <w:t xml:space="preserve">Սույն Կանոններին համապատասխան գրանցում անցած </w:t>
      </w:r>
      <w:r w:rsidR="00C54D75">
        <w:rPr>
          <w:rFonts w:ascii="Sylfaen" w:hAnsi="Sylfaen"/>
          <w:sz w:val="24"/>
          <w:szCs w:val="24"/>
        </w:rPr>
        <w:t>և</w:t>
      </w:r>
      <w:r w:rsidRPr="00834D52">
        <w:rPr>
          <w:rFonts w:ascii="Sylfaen" w:hAnsi="Sylfaen"/>
          <w:sz w:val="24"/>
          <w:szCs w:val="24"/>
        </w:rPr>
        <w:t xml:space="preserve"> միասնական ռեեստրում ընդգրկված դեղապատրաստուկներն իրացվում են Միության շրջանակներում այն անդամ պետությունների սահմաններում, որոնցում դրանք գրանցված են:</w:t>
      </w:r>
    </w:p>
    <w:p w14:paraId="64FD9786" w14:textId="23525008" w:rsidR="006F76EB" w:rsidRDefault="006F76EB" w:rsidP="00286B62">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164.</w:t>
      </w:r>
      <w:r w:rsidRPr="00834D52">
        <w:rPr>
          <w:rFonts w:ascii="Sylfaen" w:hAnsi="Sylfaen"/>
          <w:sz w:val="24"/>
          <w:szCs w:val="24"/>
        </w:rPr>
        <w:tab/>
        <w:t xml:space="preserve">Անդամ պետություններում գրանցված </w:t>
      </w:r>
      <w:r w:rsidR="00C54D75">
        <w:rPr>
          <w:rFonts w:ascii="Sylfaen" w:hAnsi="Sylfaen"/>
          <w:sz w:val="24"/>
          <w:szCs w:val="24"/>
        </w:rPr>
        <w:t>և</w:t>
      </w:r>
      <w:r w:rsidRPr="00834D52">
        <w:rPr>
          <w:rFonts w:ascii="Sylfaen" w:hAnsi="Sylfaen"/>
          <w:sz w:val="24"/>
          <w:szCs w:val="24"/>
        </w:rPr>
        <w:t xml:space="preserve"> Միության պահանջներին չհամապատասխանեցված դեղապատրաստուկներն այդ անդամ պետության տարածքում իրացվում են 2025 թվականի դեկտեմբերի 31-ից հետո՝ մինչ</w:t>
      </w:r>
      <w:r w:rsidR="00C54D75">
        <w:rPr>
          <w:rFonts w:ascii="Sylfaen" w:hAnsi="Sylfaen"/>
          <w:sz w:val="24"/>
          <w:szCs w:val="24"/>
        </w:rPr>
        <w:t>և</w:t>
      </w:r>
      <w:r w:rsidRPr="00834D52">
        <w:rPr>
          <w:rFonts w:ascii="Sylfaen" w:hAnsi="Sylfaen"/>
          <w:sz w:val="24"/>
          <w:szCs w:val="24"/>
        </w:rPr>
        <w:t xml:space="preserve"> դրանց պիտանիության ժամկետի</w:t>
      </w:r>
      <w:r w:rsidR="00617529">
        <w:rPr>
          <w:rFonts w:ascii="Sylfaen" w:hAnsi="Sylfaen"/>
          <w:sz w:val="24"/>
          <w:szCs w:val="24"/>
        </w:rPr>
        <w:t xml:space="preserve"> </w:t>
      </w:r>
      <w:r w:rsidR="00617529" w:rsidRPr="00617529">
        <w:rPr>
          <w:rFonts w:ascii="Sylfaen" w:hAnsi="Sylfaen"/>
          <w:sz w:val="24"/>
          <w:szCs w:val="24"/>
        </w:rPr>
        <w:t>(պահպանման ժամկետի</w:t>
      </w:r>
      <w:r w:rsidR="00617529" w:rsidRPr="00617529">
        <w:t>)</w:t>
      </w:r>
      <w:r w:rsidR="00617529">
        <w:rPr>
          <w:b/>
          <w:bCs/>
          <w:i/>
          <w:iCs/>
        </w:rPr>
        <w:t xml:space="preserve">  </w:t>
      </w:r>
      <w:r w:rsidRPr="00834D52">
        <w:rPr>
          <w:rFonts w:ascii="Sylfaen" w:hAnsi="Sylfaen"/>
          <w:sz w:val="24"/>
          <w:szCs w:val="24"/>
        </w:rPr>
        <w:t>ավարտը:</w:t>
      </w:r>
    </w:p>
    <w:p w14:paraId="27D5116F" w14:textId="131A9498" w:rsidR="00617529" w:rsidRPr="00617529" w:rsidRDefault="00617529" w:rsidP="00617529">
      <w:pPr>
        <w:rPr>
          <w:b/>
          <w:bCs/>
          <w:i/>
          <w:iCs/>
        </w:rPr>
      </w:pPr>
      <w:r w:rsidRPr="00371618">
        <w:rPr>
          <w:b/>
          <w:bCs/>
          <w:i/>
          <w:iCs/>
        </w:rPr>
        <w:t>( 1</w:t>
      </w:r>
      <w:r>
        <w:rPr>
          <w:b/>
          <w:bCs/>
          <w:i/>
          <w:iCs/>
        </w:rPr>
        <w:t>64</w:t>
      </w:r>
      <w:r w:rsidRPr="00371618">
        <w:rPr>
          <w:b/>
          <w:bCs/>
          <w:i/>
          <w:iCs/>
        </w:rPr>
        <w:t xml:space="preserve">-րդ կետը </w:t>
      </w:r>
      <w:r>
        <w:rPr>
          <w:b/>
          <w:bCs/>
          <w:i/>
          <w:iCs/>
        </w:rPr>
        <w:t>լրաց</w:t>
      </w:r>
      <w:r w:rsidRPr="00371618">
        <w:rPr>
          <w:b/>
          <w:bCs/>
          <w:i/>
          <w:iCs/>
        </w:rPr>
        <w:t>. 17.03.22 թիվ 36 )</w:t>
      </w:r>
    </w:p>
    <w:p w14:paraId="6FAAD1D5" w14:textId="52302C38" w:rsidR="006F76EB" w:rsidRDefault="006F76EB" w:rsidP="00286B62">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165.</w:t>
      </w:r>
      <w:r w:rsidRPr="00834D52">
        <w:rPr>
          <w:rFonts w:ascii="Sylfaen" w:hAnsi="Sylfaen"/>
          <w:sz w:val="24"/>
          <w:szCs w:val="24"/>
        </w:rPr>
        <w:tab/>
        <w:t>Անդամ պետություններում թույլատրվում է գրանցման հավաստագրերի գործողության ժամկետը լրացած դեղապատրաստուկների իրացումը՝ մինչ</w:t>
      </w:r>
      <w:r w:rsidR="00C54D75">
        <w:rPr>
          <w:rFonts w:ascii="Sylfaen" w:hAnsi="Sylfaen"/>
          <w:sz w:val="24"/>
          <w:szCs w:val="24"/>
        </w:rPr>
        <w:t>և</w:t>
      </w:r>
      <w:r w:rsidRPr="00834D52">
        <w:rPr>
          <w:rFonts w:ascii="Sylfaen" w:hAnsi="Sylfaen"/>
          <w:sz w:val="24"/>
          <w:szCs w:val="24"/>
        </w:rPr>
        <w:t xml:space="preserve"> այդ </w:t>
      </w:r>
      <w:r w:rsidRPr="00834D52">
        <w:rPr>
          <w:rFonts w:ascii="Sylfaen" w:hAnsi="Sylfaen"/>
          <w:sz w:val="24"/>
          <w:szCs w:val="24"/>
        </w:rPr>
        <w:lastRenderedPageBreak/>
        <w:t>դեղապատրաստուկների պիտանիության ժամկետի</w:t>
      </w:r>
      <w:r w:rsidR="00617529">
        <w:rPr>
          <w:rFonts w:ascii="Sylfaen" w:hAnsi="Sylfaen"/>
          <w:sz w:val="24"/>
          <w:szCs w:val="24"/>
        </w:rPr>
        <w:t xml:space="preserve"> </w:t>
      </w:r>
      <w:r w:rsidR="00617529" w:rsidRPr="00617529">
        <w:rPr>
          <w:rFonts w:ascii="Sylfaen" w:hAnsi="Sylfaen"/>
          <w:sz w:val="24"/>
          <w:szCs w:val="24"/>
        </w:rPr>
        <w:t xml:space="preserve">(պահպանման ժամկետի) </w:t>
      </w:r>
      <w:r w:rsidRPr="00834D52">
        <w:rPr>
          <w:rFonts w:ascii="Sylfaen" w:hAnsi="Sylfaen"/>
          <w:sz w:val="24"/>
          <w:szCs w:val="24"/>
        </w:rPr>
        <w:t xml:space="preserve"> ավարտը, եթե դրանք արտադրվել են նախքան գրանցման հավաստագրի գործողության ժամկետի ավարտը:</w:t>
      </w:r>
    </w:p>
    <w:p w14:paraId="0889C981" w14:textId="4A59CE39" w:rsidR="00617529" w:rsidRPr="006071D3" w:rsidRDefault="00617529" w:rsidP="00617529">
      <w:pPr>
        <w:rPr>
          <w:b/>
          <w:bCs/>
          <w:i/>
          <w:iCs/>
        </w:rPr>
      </w:pPr>
      <w:r w:rsidRPr="00CD4709">
        <w:rPr>
          <w:b/>
          <w:bCs/>
          <w:i/>
          <w:iCs/>
        </w:rPr>
        <w:t>(</w:t>
      </w:r>
      <w:r>
        <w:rPr>
          <w:b/>
          <w:bCs/>
          <w:i/>
          <w:iCs/>
        </w:rPr>
        <w:t>165-րդ կետը  լրաց. 17.03.22 թիվ 36</w:t>
      </w:r>
      <w:r w:rsidRPr="00CD4709">
        <w:rPr>
          <w:b/>
          <w:bCs/>
          <w:i/>
          <w:iCs/>
        </w:rPr>
        <w:t>)</w:t>
      </w:r>
    </w:p>
    <w:p w14:paraId="1D1D4FC4" w14:textId="77777777" w:rsidR="00617529" w:rsidRPr="00834D52" w:rsidRDefault="00617529" w:rsidP="00286B62">
      <w:pPr>
        <w:tabs>
          <w:tab w:val="left" w:pos="1134"/>
        </w:tabs>
        <w:spacing w:after="160" w:line="336" w:lineRule="auto"/>
        <w:ind w:right="-8" w:firstLine="567"/>
        <w:jc w:val="both"/>
        <w:rPr>
          <w:rFonts w:ascii="Sylfaen" w:hAnsi="Sylfaen"/>
          <w:sz w:val="24"/>
          <w:szCs w:val="24"/>
        </w:rPr>
      </w:pPr>
    </w:p>
    <w:p w14:paraId="0740D6A3" w14:textId="77777777" w:rsidR="006F76EB" w:rsidRPr="00834D52" w:rsidRDefault="006F76EB" w:rsidP="00F9615B">
      <w:pPr>
        <w:tabs>
          <w:tab w:val="left" w:pos="1134"/>
        </w:tabs>
        <w:spacing w:after="160" w:line="360" w:lineRule="auto"/>
        <w:ind w:right="-8" w:firstLine="567"/>
        <w:jc w:val="center"/>
        <w:rPr>
          <w:rFonts w:ascii="Sylfaen" w:eastAsia="Times New Roman" w:hAnsi="Sylfaen" w:cs="Times New Roman"/>
          <w:sz w:val="24"/>
          <w:szCs w:val="24"/>
        </w:rPr>
      </w:pPr>
    </w:p>
    <w:p w14:paraId="5D76E13D"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XII. Գրանցման հավաստագրերի իրավատերերի պարտականությունները</w:t>
      </w:r>
    </w:p>
    <w:p w14:paraId="34ABB994"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6</w:t>
      </w:r>
      <w:r w:rsidRPr="00834D52">
        <w:rPr>
          <w:rFonts w:ascii="Sylfaen" w:hAnsi="Sylfaen"/>
          <w:sz w:val="24"/>
          <w:szCs w:val="24"/>
        </w:rPr>
        <w:t>.</w:t>
      </w:r>
      <w:r w:rsidRPr="00834D52">
        <w:rPr>
          <w:rFonts w:ascii="Sylfaen" w:hAnsi="Sylfaen"/>
          <w:sz w:val="24"/>
          <w:szCs w:val="24"/>
        </w:rPr>
        <w:tab/>
        <w:t>Գրանցման հավաստագրի իրավատերը պետք է օպերատիվ կերպով ներկայացնի ամբողջական տեղեկատվություն՝ ըստ ցանկացած այն անդամ պետության լիազորված մարմնի հարցման, որտեղ գրանցված է դեղապատրաստուկը:</w:t>
      </w:r>
    </w:p>
    <w:p w14:paraId="3AFB2321"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7</w:t>
      </w:r>
      <w:r w:rsidRPr="00834D52">
        <w:rPr>
          <w:rFonts w:ascii="Sylfaen" w:hAnsi="Sylfaen"/>
          <w:sz w:val="24"/>
          <w:szCs w:val="24"/>
        </w:rPr>
        <w:t>.</w:t>
      </w:r>
      <w:r w:rsidRPr="00834D52">
        <w:rPr>
          <w:rFonts w:ascii="Sylfaen" w:hAnsi="Sylfaen"/>
          <w:sz w:val="24"/>
          <w:szCs w:val="24"/>
        </w:rPr>
        <w:tab/>
        <w:t>Գրանցման հավաստագրի իրավատերը Միության շուկայում դեղապատրաստուկի արտադրման պլանավորվող դադարեցման կամ իրացման մասին, նշելով պատճառները, պետք է տեղեկացնի անդամ պետության լիազորված մարմնին ոչ ուշ, քան արտադրության կամ իրացման այդպիսի դադարեցումից 60</w:t>
      </w:r>
      <w:r w:rsidR="008057F1" w:rsidRPr="008057F1">
        <w:rPr>
          <w:rFonts w:ascii="Sylfaen" w:hAnsi="Sylfaen"/>
          <w:sz w:val="24"/>
          <w:szCs w:val="24"/>
        </w:rPr>
        <w:t> </w:t>
      </w:r>
      <w:r w:rsidRPr="00834D52">
        <w:rPr>
          <w:rFonts w:ascii="Sylfaen" w:hAnsi="Sylfaen"/>
          <w:sz w:val="24"/>
          <w:szCs w:val="24"/>
        </w:rPr>
        <w:t>օրացուցային օր առաջ:</w:t>
      </w:r>
    </w:p>
    <w:p w14:paraId="4F7F83F3"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8</w:t>
      </w:r>
      <w:r w:rsidRPr="00834D52">
        <w:rPr>
          <w:rFonts w:ascii="Sylfaen" w:hAnsi="Sylfaen"/>
          <w:sz w:val="24"/>
          <w:szCs w:val="24"/>
        </w:rPr>
        <w:t>.</w:t>
      </w:r>
      <w:r w:rsidRPr="00834D52">
        <w:rPr>
          <w:rFonts w:ascii="Sylfaen" w:hAnsi="Sylfaen"/>
          <w:sz w:val="24"/>
          <w:szCs w:val="24"/>
        </w:rPr>
        <w:tab/>
        <w:t xml:space="preserve">Ռեֆերենտ պետությունում կամ ճանաչման պետությունում գրանցման հավաստագրի իրավատիրոջ փոփոխության դեպքում գրանցման հավաստագրի նոր իրավատերը պետք է ներկայացնի այդպիսի փոփոխության (տրանսֆերի) փաստաթղթային հիմնավորումը </w:t>
      </w:r>
      <w:r w:rsidR="00C54D75">
        <w:rPr>
          <w:rFonts w:ascii="Sylfaen" w:hAnsi="Sylfaen"/>
          <w:sz w:val="24"/>
          <w:szCs w:val="24"/>
        </w:rPr>
        <w:t>և</w:t>
      </w:r>
      <w:r w:rsidRPr="00834D52">
        <w:rPr>
          <w:rFonts w:ascii="Sylfaen" w:hAnsi="Sylfaen"/>
          <w:sz w:val="24"/>
          <w:szCs w:val="24"/>
        </w:rPr>
        <w:t xml:space="preserve"> այլ անդամ պետությունների գրանցման հավաստագրի իրավատերերի հետ փոխգործակցության իրականացման հնարավորության հաստատումը, որով ապահովվում է գրանցման հավաստագրի իրավատիրոջ բոլոր պարտականությունների՝ իր կողմից պատշաճ կատարումը:</w:t>
      </w:r>
    </w:p>
    <w:p w14:paraId="69F5EEBF"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w:t>
      </w:r>
      <w:r w:rsidR="00E90FAF" w:rsidRPr="00E90FAF">
        <w:rPr>
          <w:rFonts w:ascii="Sylfaen" w:hAnsi="Sylfaen"/>
          <w:sz w:val="24"/>
          <w:szCs w:val="24"/>
        </w:rPr>
        <w:t>69</w:t>
      </w:r>
      <w:r w:rsidRPr="00834D52">
        <w:rPr>
          <w:rFonts w:ascii="Sylfaen" w:hAnsi="Sylfaen"/>
          <w:sz w:val="24"/>
          <w:szCs w:val="24"/>
        </w:rPr>
        <w:t>.</w:t>
      </w:r>
      <w:r w:rsidRPr="00834D52">
        <w:rPr>
          <w:rFonts w:ascii="Sylfaen" w:hAnsi="Sylfaen"/>
          <w:sz w:val="24"/>
          <w:szCs w:val="24"/>
        </w:rPr>
        <w:tab/>
        <w:t xml:space="preserve">Անսահմանափակ ժամկետով տրված դեղապատրաստուկի գրանցման հավաստագրի գործողության ժամանակահատվածում, դեղազգոնության հիման վրա, իրականացվում է օգուտ-ռիսկ հարաբերակցության պարբերական </w:t>
      </w:r>
      <w:r w:rsidRPr="00834D52">
        <w:rPr>
          <w:rFonts w:ascii="Sylfaen" w:hAnsi="Sylfaen"/>
          <w:sz w:val="24"/>
          <w:szCs w:val="24"/>
        </w:rPr>
        <w:lastRenderedPageBreak/>
        <w:t>գնահատում:</w:t>
      </w:r>
    </w:p>
    <w:p w14:paraId="1AD4FDB1" w14:textId="77777777" w:rsidR="006F76EB" w:rsidRPr="00834D52" w:rsidRDefault="006F76EB" w:rsidP="00CB78D1">
      <w:pPr>
        <w:spacing w:after="160" w:line="336" w:lineRule="auto"/>
        <w:ind w:right="-6"/>
        <w:rPr>
          <w:rFonts w:ascii="Sylfaen" w:hAnsi="Sylfaen"/>
          <w:sz w:val="24"/>
          <w:szCs w:val="24"/>
        </w:rPr>
      </w:pPr>
    </w:p>
    <w:p w14:paraId="78151CC7" w14:textId="2830EE9D" w:rsidR="006F76EB" w:rsidRDefault="006F76EB" w:rsidP="00CB78D1">
      <w:pPr>
        <w:spacing w:after="160" w:line="336" w:lineRule="auto"/>
        <w:ind w:left="567" w:right="565"/>
        <w:jc w:val="center"/>
        <w:rPr>
          <w:rFonts w:ascii="Sylfaen" w:hAnsi="Sylfaen"/>
          <w:sz w:val="24"/>
          <w:szCs w:val="24"/>
        </w:rPr>
      </w:pPr>
      <w:r w:rsidRPr="00834D52">
        <w:rPr>
          <w:rFonts w:ascii="Sylfaen" w:hAnsi="Sylfaen"/>
          <w:sz w:val="24"/>
          <w:szCs w:val="24"/>
        </w:rPr>
        <w:t xml:space="preserve">XIII. </w:t>
      </w:r>
      <w:r w:rsidR="00E16730" w:rsidRPr="00E16730">
        <w:rPr>
          <w:rFonts w:ascii="Sylfaen" w:hAnsi="Sylfaen"/>
          <w:sz w:val="24"/>
          <w:szCs w:val="24"/>
        </w:rPr>
        <w:t>Անդամ պետության կանոններով գրանցված դեղապատրաստուկի գրանցման դոսյեն Միության պահանջներին համապատասխանեցնելու ընթացակարգը</w:t>
      </w:r>
    </w:p>
    <w:p w14:paraId="62C81F5F" w14:textId="28290062" w:rsidR="00E16730" w:rsidRDefault="00E16730" w:rsidP="00E16730">
      <w:pPr>
        <w:jc w:val="center"/>
        <w:rPr>
          <w:b/>
          <w:bCs/>
          <w:i/>
          <w:iCs/>
        </w:rPr>
      </w:pPr>
      <w:r w:rsidRPr="00CD4709">
        <w:rPr>
          <w:b/>
          <w:bCs/>
          <w:i/>
          <w:iCs/>
        </w:rPr>
        <w:t>(</w:t>
      </w:r>
      <w:r>
        <w:rPr>
          <w:b/>
          <w:bCs/>
          <w:i/>
          <w:iCs/>
        </w:rPr>
        <w:t>վերնագիրը խմբ. 17.03.22 թիվ 36</w:t>
      </w:r>
      <w:r w:rsidRPr="00CD4709">
        <w:rPr>
          <w:b/>
          <w:bCs/>
          <w:i/>
          <w:iCs/>
        </w:rPr>
        <w:t>)</w:t>
      </w:r>
    </w:p>
    <w:p w14:paraId="48007762" w14:textId="77777777" w:rsidR="00E16730" w:rsidRPr="00E16730" w:rsidRDefault="00E16730" w:rsidP="00E16730">
      <w:pPr>
        <w:jc w:val="center"/>
        <w:rPr>
          <w:b/>
          <w:bCs/>
          <w:i/>
          <w:iCs/>
        </w:rPr>
      </w:pPr>
    </w:p>
    <w:p w14:paraId="5CFE084F" w14:textId="12928D82" w:rsidR="006F76EB" w:rsidRDefault="006F76EB" w:rsidP="00286B62">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17</w:t>
      </w:r>
      <w:r w:rsidR="00E90FAF" w:rsidRPr="00E90FAF">
        <w:rPr>
          <w:rFonts w:ascii="Sylfaen" w:hAnsi="Sylfaen"/>
          <w:sz w:val="24"/>
          <w:szCs w:val="24"/>
        </w:rPr>
        <w:t>0</w:t>
      </w:r>
      <w:r w:rsidRPr="00834D52">
        <w:rPr>
          <w:rFonts w:ascii="Sylfaen" w:hAnsi="Sylfaen"/>
          <w:sz w:val="24"/>
          <w:szCs w:val="24"/>
        </w:rPr>
        <w:t>.</w:t>
      </w:r>
      <w:r w:rsidRPr="00834D52">
        <w:rPr>
          <w:rFonts w:ascii="Sylfaen" w:hAnsi="Sylfaen"/>
          <w:sz w:val="24"/>
          <w:szCs w:val="24"/>
        </w:rPr>
        <w:tab/>
        <w:t>Դեղապատրաստուկների գրանցման այն դոսյեները, որոնք գրանցվել են անդամ պետություններում պետք է մինչ</w:t>
      </w:r>
      <w:r w:rsidR="00C54D75">
        <w:rPr>
          <w:rFonts w:ascii="Sylfaen" w:hAnsi="Sylfaen"/>
          <w:sz w:val="24"/>
          <w:szCs w:val="24"/>
        </w:rPr>
        <w:t>և</w:t>
      </w:r>
      <w:r w:rsidRPr="00834D52">
        <w:rPr>
          <w:rFonts w:ascii="Sylfaen" w:hAnsi="Sylfaen"/>
          <w:sz w:val="24"/>
          <w:szCs w:val="24"/>
        </w:rPr>
        <w:t xml:space="preserve"> 2025 թվականի դեկտեմբերի 31-ը համապատասխանեցվեն Միության պահանջներին՝ սույն ընթացակարգին համապատասխան:</w:t>
      </w:r>
    </w:p>
    <w:p w14:paraId="1B4B6C80" w14:textId="09C549BB" w:rsidR="006844D4" w:rsidRPr="006844D4" w:rsidRDefault="006844D4" w:rsidP="006844D4">
      <w:pPr>
        <w:rPr>
          <w:b/>
          <w:bCs/>
          <w:i/>
          <w:iCs/>
        </w:rPr>
      </w:pPr>
      <w:r w:rsidRPr="00CD4709">
        <w:rPr>
          <w:b/>
          <w:bCs/>
          <w:i/>
          <w:iCs/>
        </w:rPr>
        <w:t>(</w:t>
      </w:r>
      <w:r>
        <w:rPr>
          <w:b/>
          <w:bCs/>
          <w:i/>
          <w:iCs/>
        </w:rPr>
        <w:t>170-րդ կետը փոփ. 17.03.22 թիվ 36</w:t>
      </w:r>
      <w:r w:rsidRPr="00CD4709">
        <w:rPr>
          <w:b/>
          <w:bCs/>
          <w:i/>
          <w:iCs/>
        </w:rPr>
        <w:t>)</w:t>
      </w:r>
    </w:p>
    <w:p w14:paraId="1891AF05" w14:textId="77777777" w:rsidR="006F76EB" w:rsidRPr="00834D52" w:rsidRDefault="006F76EB" w:rsidP="00286B6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w:t>
      </w:r>
      <w:r w:rsidR="00E90FAF" w:rsidRPr="00E90FAF">
        <w:rPr>
          <w:rFonts w:ascii="Sylfaen" w:hAnsi="Sylfaen"/>
          <w:sz w:val="24"/>
          <w:szCs w:val="24"/>
        </w:rPr>
        <w:t>1</w:t>
      </w:r>
      <w:r w:rsidRPr="00834D52">
        <w:rPr>
          <w:rFonts w:ascii="Sylfaen" w:hAnsi="Sylfaen"/>
          <w:sz w:val="24"/>
          <w:szCs w:val="24"/>
        </w:rPr>
        <w:t>.</w:t>
      </w:r>
      <w:r w:rsidRPr="00834D52">
        <w:rPr>
          <w:rFonts w:ascii="Sylfaen" w:hAnsi="Sylfaen"/>
          <w:sz w:val="24"/>
          <w:szCs w:val="24"/>
        </w:rPr>
        <w:tab/>
        <w:t>Գրանցման դոսյեի համապատասխանեցումը Միության պահանջներին ներառում է գրանցված դեղապատրաստուկի գրանցման դոսյեի փաստաթղթեր ներկայացնելն ընդհանուր տեխնիկական փաստաթղթի ձ</w:t>
      </w:r>
      <w:r w:rsidR="00C54D75">
        <w:rPr>
          <w:rFonts w:ascii="Sylfaen" w:hAnsi="Sylfaen"/>
          <w:sz w:val="24"/>
          <w:szCs w:val="24"/>
        </w:rPr>
        <w:t>և</w:t>
      </w:r>
      <w:r w:rsidRPr="00834D52">
        <w:rPr>
          <w:rFonts w:ascii="Sylfaen" w:hAnsi="Sylfaen"/>
          <w:sz w:val="24"/>
          <w:szCs w:val="24"/>
        </w:rPr>
        <w:t xml:space="preserve">աչափով՝ սույն Կանոնների </w:t>
      </w:r>
      <w:r w:rsidR="009C5D43">
        <w:rPr>
          <w:rFonts w:ascii="Sylfaen" w:hAnsi="Sylfaen"/>
          <w:sz w:val="24"/>
          <w:szCs w:val="24"/>
        </w:rPr>
        <w:t xml:space="preserve">թիվ </w:t>
      </w:r>
      <w:r w:rsidRPr="00834D52">
        <w:rPr>
          <w:rFonts w:ascii="Sylfaen" w:hAnsi="Sylfaen"/>
          <w:sz w:val="24"/>
          <w:szCs w:val="24"/>
        </w:rPr>
        <w:t>1 հավելվածին համապատասխան:</w:t>
      </w:r>
    </w:p>
    <w:p w14:paraId="27F41102" w14:textId="4EE6D91D" w:rsidR="006F76EB" w:rsidRDefault="006F76EB" w:rsidP="000414E7">
      <w:pPr>
        <w:tabs>
          <w:tab w:val="left" w:pos="1134"/>
        </w:tabs>
        <w:spacing w:after="160" w:line="360" w:lineRule="auto"/>
        <w:ind w:right="-8" w:firstLine="567"/>
        <w:jc w:val="both"/>
        <w:rPr>
          <w:rFonts w:ascii="Sylfaen" w:hAnsi="Sylfaen"/>
          <w:spacing w:val="-4"/>
          <w:sz w:val="24"/>
          <w:szCs w:val="24"/>
        </w:rPr>
      </w:pPr>
      <w:r w:rsidRPr="00834D52">
        <w:rPr>
          <w:rFonts w:ascii="Sylfaen" w:hAnsi="Sylfaen"/>
          <w:spacing w:val="-4"/>
          <w:sz w:val="24"/>
          <w:szCs w:val="24"/>
        </w:rPr>
        <w:t xml:space="preserve">Միության պահանջներին համապատասխանեցման ընթացակարգը նախաձեռնելիս </w:t>
      </w:r>
      <w:r w:rsidR="0056496B">
        <w:rPr>
          <w:rFonts w:ascii="Sylfaen" w:hAnsi="Sylfaen"/>
          <w:spacing w:val="-4"/>
          <w:sz w:val="24"/>
          <w:szCs w:val="24"/>
        </w:rPr>
        <w:t>դիմումատու</w:t>
      </w:r>
      <w:r w:rsidRPr="00834D52">
        <w:rPr>
          <w:rFonts w:ascii="Sylfaen" w:hAnsi="Sylfaen"/>
          <w:spacing w:val="-4"/>
          <w:sz w:val="24"/>
          <w:szCs w:val="24"/>
        </w:rPr>
        <w:t xml:space="preserve">ն ներկայացնում է </w:t>
      </w:r>
      <w:r w:rsidR="006844D4" w:rsidRPr="006844D4">
        <w:rPr>
          <w:rFonts w:ascii="Sylfaen" w:hAnsi="Sylfaen"/>
          <w:spacing w:val="-4"/>
          <w:sz w:val="24"/>
          <w:szCs w:val="24"/>
        </w:rPr>
        <w:t xml:space="preserve">ռեֆերենտ պետության լիազորված մարմին (փորձագիտական կազմակերպություն) </w:t>
      </w:r>
      <w:r w:rsidRPr="00834D52">
        <w:rPr>
          <w:rFonts w:ascii="Sylfaen" w:hAnsi="Sylfaen"/>
          <w:spacing w:val="-4"/>
          <w:sz w:val="24"/>
          <w:szCs w:val="24"/>
        </w:rPr>
        <w:t>գրավոր հաստատում, որ ներկայացված թարմացված գրանցման դոսյեում պարունակվող ընդհանուր տեխնիկական փաստաթղթի ձ</w:t>
      </w:r>
      <w:r w:rsidR="00C54D75">
        <w:rPr>
          <w:rFonts w:ascii="Sylfaen" w:hAnsi="Sylfaen"/>
          <w:spacing w:val="-4"/>
          <w:sz w:val="24"/>
          <w:szCs w:val="24"/>
        </w:rPr>
        <w:t>և</w:t>
      </w:r>
      <w:r w:rsidRPr="00834D52">
        <w:rPr>
          <w:rFonts w:ascii="Sylfaen" w:hAnsi="Sylfaen"/>
          <w:spacing w:val="-4"/>
          <w:sz w:val="24"/>
          <w:szCs w:val="24"/>
        </w:rPr>
        <w:t xml:space="preserve">աչափով փաստաթղթերը </w:t>
      </w:r>
      <w:r w:rsidR="00C54D75">
        <w:rPr>
          <w:rFonts w:ascii="Sylfaen" w:hAnsi="Sylfaen"/>
          <w:spacing w:val="-4"/>
          <w:sz w:val="24"/>
          <w:szCs w:val="24"/>
        </w:rPr>
        <w:t>և</w:t>
      </w:r>
      <w:r w:rsidRPr="00834D52">
        <w:rPr>
          <w:rFonts w:ascii="Sylfaen" w:hAnsi="Sylfaen"/>
          <w:spacing w:val="-4"/>
          <w:sz w:val="24"/>
          <w:szCs w:val="24"/>
        </w:rPr>
        <w:t xml:space="preserve"> տվյալներն </w:t>
      </w:r>
      <w:r w:rsidR="00DE7B58" w:rsidRPr="00DE7B58">
        <w:rPr>
          <w:rFonts w:ascii="Sylfaen" w:hAnsi="Sylfaen"/>
          <w:spacing w:val="-4"/>
          <w:sz w:val="24"/>
          <w:szCs w:val="24"/>
        </w:rPr>
        <w:t>իրենց բովանդակությամբ համապատասխանում են</w:t>
      </w:r>
      <w:r w:rsidR="00DE7B58">
        <w:rPr>
          <w:rFonts w:ascii="Sylfaen" w:hAnsi="Sylfaen"/>
          <w:spacing w:val="-4"/>
          <w:sz w:val="24"/>
          <w:szCs w:val="24"/>
        </w:rPr>
        <w:t xml:space="preserve"> </w:t>
      </w:r>
      <w:r w:rsidRPr="00834D52">
        <w:rPr>
          <w:rFonts w:ascii="Sylfaen" w:hAnsi="Sylfaen"/>
          <w:spacing w:val="-4"/>
          <w:sz w:val="24"/>
          <w:szCs w:val="24"/>
        </w:rPr>
        <w:t xml:space="preserve">գրանցված դեղապատրաստուկի գրանցման դոսյեի տվյալներին </w:t>
      </w:r>
      <w:r w:rsidR="00C54D75">
        <w:rPr>
          <w:rFonts w:ascii="Sylfaen" w:hAnsi="Sylfaen"/>
          <w:spacing w:val="-4"/>
          <w:sz w:val="24"/>
          <w:szCs w:val="24"/>
        </w:rPr>
        <w:t>և</w:t>
      </w:r>
      <w:r w:rsidRPr="00834D52">
        <w:rPr>
          <w:rFonts w:ascii="Sylfaen" w:hAnsi="Sylfaen"/>
          <w:spacing w:val="-4"/>
          <w:sz w:val="24"/>
          <w:szCs w:val="24"/>
        </w:rPr>
        <w:t xml:space="preserve"> չեն պարունակում գրանցման դոսյեի այնպիսի փոփոխություններ, որոնք ազդում են դեղապատրաստուկի որակի, արդյունավետության, անվտանգության կամ օգուտ-ռիսկ հարաբերակցության վրա:</w:t>
      </w:r>
    </w:p>
    <w:p w14:paraId="4497168D" w14:textId="09241B62" w:rsidR="00105A36" w:rsidRDefault="00105A36" w:rsidP="000414E7">
      <w:pPr>
        <w:tabs>
          <w:tab w:val="left" w:pos="1134"/>
        </w:tabs>
        <w:spacing w:after="160" w:line="360" w:lineRule="auto"/>
        <w:ind w:right="-8" w:firstLine="567"/>
        <w:jc w:val="both"/>
        <w:rPr>
          <w:rFonts w:ascii="Sylfaen" w:hAnsi="Sylfaen"/>
          <w:spacing w:val="-4"/>
          <w:sz w:val="24"/>
          <w:szCs w:val="24"/>
        </w:rPr>
      </w:pPr>
      <w:r w:rsidRPr="00105A36">
        <w:rPr>
          <w:rFonts w:ascii="Sylfaen" w:hAnsi="Sylfaen"/>
          <w:spacing w:val="-4"/>
          <w:sz w:val="24"/>
          <w:szCs w:val="24"/>
        </w:rPr>
        <w:t xml:space="preserve">Գրանցման դոսյեի՝ Միության պահանջներին համապատասխանեցումը՝ փաթեթվածքների մանրակերտերի նախագծերի, դեղապատրաստուկի ընդհանուր բնութագրի, բժշկական կիրառման հրահանգի (ներդիր թերթիկի) և որակի վերաբերյալ </w:t>
      </w:r>
      <w:r w:rsidRPr="00105A36">
        <w:rPr>
          <w:rFonts w:ascii="Sylfaen" w:hAnsi="Sylfaen"/>
          <w:spacing w:val="-4"/>
          <w:sz w:val="24"/>
          <w:szCs w:val="24"/>
        </w:rPr>
        <w:lastRenderedPageBreak/>
        <w:t>նորմատիվ փաստաթղթի համապատասխանեցումը Հանձնաժողովի ակտերին չի դիտարկվում որպես «օգուտ-ռիսկ» հարաբերակցության վերագնահատում պահանջող փոփոխություն և չի համարվում փոփոխություն, որն ազդում է Միության պահանջներին համապատասխանեցվող գրանցման դոսյեի տվյալների բովանդակության՝ գրանցված դեղապատրաստուկի գրանցման դոսյեի տվյալների բովանդակությանը համապատասխանության վրա</w:t>
      </w:r>
      <w:r>
        <w:rPr>
          <w:rFonts w:ascii="Sylfaen" w:hAnsi="Sylfaen"/>
          <w:spacing w:val="-4"/>
          <w:sz w:val="24"/>
          <w:szCs w:val="24"/>
        </w:rPr>
        <w:t>:</w:t>
      </w:r>
    </w:p>
    <w:p w14:paraId="493B3D04" w14:textId="4AD4EF29" w:rsidR="006844D4" w:rsidRDefault="006844D4" w:rsidP="000414E7">
      <w:pPr>
        <w:tabs>
          <w:tab w:val="left" w:pos="1134"/>
        </w:tabs>
        <w:spacing w:after="160" w:line="360" w:lineRule="auto"/>
        <w:ind w:right="-8" w:firstLine="567"/>
        <w:jc w:val="both"/>
        <w:rPr>
          <w:rFonts w:ascii="Sylfaen" w:hAnsi="Sylfaen"/>
          <w:spacing w:val="-4"/>
          <w:sz w:val="24"/>
          <w:szCs w:val="24"/>
        </w:rPr>
      </w:pPr>
      <w:r w:rsidRPr="006844D4">
        <w:rPr>
          <w:rFonts w:ascii="Sylfaen" w:hAnsi="Sylfaen"/>
          <w:spacing w:val="-4"/>
          <w:sz w:val="24"/>
          <w:szCs w:val="24"/>
        </w:rPr>
        <w:t>Անդամ պետության օրենսդրության պահանջներին համապատասխան՝ սույն կետի առաջին և երկրորդ պարբերություններում նշված փաստաթղթերը կարող են ներկայացվել առանց սույն կանոններով նախատեսված դեպքում դիմումատուի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r>
        <w:rPr>
          <w:rFonts w:ascii="Sylfaen" w:hAnsi="Sylfaen"/>
          <w:spacing w:val="-4"/>
          <w:sz w:val="24"/>
          <w:szCs w:val="24"/>
        </w:rPr>
        <w:t>:</w:t>
      </w:r>
    </w:p>
    <w:p w14:paraId="50BD1C36" w14:textId="59F29898" w:rsidR="00BC53C9" w:rsidRPr="006F28F9" w:rsidRDefault="00BC53C9" w:rsidP="00BC53C9">
      <w:pPr>
        <w:rPr>
          <w:b/>
          <w:bCs/>
          <w:i/>
          <w:iCs/>
        </w:rPr>
      </w:pPr>
      <w:r w:rsidRPr="00CD4709">
        <w:rPr>
          <w:b/>
          <w:bCs/>
          <w:i/>
          <w:iCs/>
        </w:rPr>
        <w:t>(</w:t>
      </w:r>
      <w:r>
        <w:rPr>
          <w:b/>
          <w:bCs/>
          <w:i/>
          <w:iCs/>
        </w:rPr>
        <w:t xml:space="preserve">171-րդ կետը </w:t>
      </w:r>
      <w:r w:rsidRPr="00CD4709">
        <w:rPr>
          <w:b/>
          <w:bCs/>
          <w:i/>
          <w:iCs/>
        </w:rPr>
        <w:t>փոփ. 30.01.20 թիվ 9</w:t>
      </w:r>
      <w:r w:rsidR="00DE7B58">
        <w:rPr>
          <w:b/>
          <w:bCs/>
          <w:i/>
          <w:iCs/>
        </w:rPr>
        <w:t>,</w:t>
      </w:r>
      <w:r w:rsidR="00105A36">
        <w:rPr>
          <w:b/>
          <w:bCs/>
          <w:i/>
          <w:iCs/>
        </w:rPr>
        <w:t xml:space="preserve"> փոփ., լրաց.</w:t>
      </w:r>
      <w:r w:rsidR="00DE7B58">
        <w:rPr>
          <w:b/>
          <w:bCs/>
          <w:i/>
          <w:iCs/>
        </w:rPr>
        <w:t xml:space="preserve"> 23.04.21 թիվ 34</w:t>
      </w:r>
      <w:r w:rsidR="006844D4">
        <w:rPr>
          <w:b/>
          <w:bCs/>
          <w:i/>
          <w:iCs/>
        </w:rPr>
        <w:t>, լրաց. 17.03.22 թիվ 36</w:t>
      </w:r>
      <w:r w:rsidRPr="00CD4709">
        <w:rPr>
          <w:b/>
          <w:bCs/>
          <w:i/>
          <w:iCs/>
        </w:rPr>
        <w:t>)</w:t>
      </w:r>
    </w:p>
    <w:p w14:paraId="593D4A6C" w14:textId="65E7DFF8" w:rsidR="006F76EB" w:rsidRDefault="00E90FAF" w:rsidP="004544B0">
      <w:pPr>
        <w:tabs>
          <w:tab w:val="left" w:pos="1134"/>
        </w:tabs>
        <w:spacing w:after="160" w:line="372" w:lineRule="auto"/>
        <w:ind w:right="-6" w:firstLine="567"/>
        <w:jc w:val="both"/>
        <w:rPr>
          <w:rFonts w:ascii="Sylfaen" w:hAnsi="Sylfaen"/>
          <w:spacing w:val="-4"/>
          <w:sz w:val="24"/>
          <w:szCs w:val="24"/>
        </w:rPr>
      </w:pPr>
      <w:r w:rsidRPr="00E90FAF">
        <w:rPr>
          <w:rFonts w:ascii="Sylfaen" w:hAnsi="Sylfaen"/>
          <w:spacing w:val="-4"/>
          <w:sz w:val="24"/>
          <w:szCs w:val="24"/>
        </w:rPr>
        <w:t>172.</w:t>
      </w:r>
      <w:r w:rsidR="004544B0" w:rsidRPr="00A958BD">
        <w:rPr>
          <w:rFonts w:ascii="Sylfaen" w:hAnsi="Sylfaen"/>
          <w:spacing w:val="-4"/>
          <w:sz w:val="24"/>
          <w:szCs w:val="24"/>
        </w:rPr>
        <w:tab/>
      </w:r>
      <w:r w:rsidR="006F76EB" w:rsidRPr="00834D52">
        <w:rPr>
          <w:rFonts w:ascii="Sylfaen" w:hAnsi="Sylfaen"/>
          <w:spacing w:val="-4"/>
          <w:sz w:val="24"/>
          <w:szCs w:val="24"/>
        </w:rPr>
        <w:t xml:space="preserve">Միության պահանջներին համապատասխանեցնելիս </w:t>
      </w:r>
      <w:r w:rsidR="0056496B">
        <w:rPr>
          <w:rFonts w:ascii="Sylfaen" w:hAnsi="Sylfaen"/>
          <w:spacing w:val="-4"/>
          <w:sz w:val="24"/>
          <w:szCs w:val="24"/>
        </w:rPr>
        <w:t>դիմումատու</w:t>
      </w:r>
      <w:r w:rsidR="006F76EB" w:rsidRPr="00834D52">
        <w:rPr>
          <w:rFonts w:ascii="Sylfaen" w:hAnsi="Sylfaen"/>
          <w:spacing w:val="-4"/>
          <w:sz w:val="24"/>
          <w:szCs w:val="24"/>
        </w:rPr>
        <w:t xml:space="preserve">ի կողմից միաժամանակ կարող են փոփոխություններ կատարվել գրանցված դեղապատրաստուկի գրանցման դոսյեում: Այդ դեպքում այդպիսի փոփոխություններ կատարելու ընթացակարգը </w:t>
      </w:r>
      <w:r w:rsidR="00C54D75">
        <w:rPr>
          <w:rFonts w:ascii="Sylfaen" w:hAnsi="Sylfaen"/>
          <w:spacing w:val="-4"/>
          <w:sz w:val="24"/>
          <w:szCs w:val="24"/>
        </w:rPr>
        <w:t>և</w:t>
      </w:r>
      <w:r w:rsidR="006F76EB" w:rsidRPr="00834D52">
        <w:rPr>
          <w:rFonts w:ascii="Sylfaen" w:hAnsi="Sylfaen"/>
          <w:spacing w:val="-4"/>
          <w:sz w:val="24"/>
          <w:szCs w:val="24"/>
        </w:rPr>
        <w:t xml:space="preserve"> Միության իրավունքի մաս կազմող ակտերին դոսյեի համապատասխանության գնահատումն իրականացվում են սույն Կանոնների </w:t>
      </w:r>
      <w:r w:rsidR="00053A74">
        <w:rPr>
          <w:rFonts w:ascii="Sylfaen" w:hAnsi="Sylfaen"/>
          <w:spacing w:val="-4"/>
          <w:sz w:val="24"/>
          <w:szCs w:val="24"/>
        </w:rPr>
        <w:t xml:space="preserve">թիվ </w:t>
      </w:r>
      <w:r w:rsidR="006F76EB" w:rsidRPr="00834D52">
        <w:rPr>
          <w:rFonts w:ascii="Sylfaen" w:hAnsi="Sylfaen"/>
          <w:spacing w:val="-4"/>
          <w:sz w:val="24"/>
          <w:szCs w:val="24"/>
        </w:rPr>
        <w:t xml:space="preserve">19 </w:t>
      </w:r>
      <w:r w:rsidR="00C54D75">
        <w:rPr>
          <w:rFonts w:ascii="Sylfaen" w:hAnsi="Sylfaen"/>
          <w:spacing w:val="-4"/>
          <w:sz w:val="24"/>
          <w:szCs w:val="24"/>
        </w:rPr>
        <w:t>և</w:t>
      </w:r>
      <w:r w:rsidR="006F76EB" w:rsidRPr="00834D52">
        <w:rPr>
          <w:rFonts w:ascii="Sylfaen" w:hAnsi="Sylfaen"/>
          <w:spacing w:val="-4"/>
          <w:sz w:val="24"/>
          <w:szCs w:val="24"/>
        </w:rPr>
        <w:t xml:space="preserve"> 20 հավելվածներին համապատասխան:</w:t>
      </w:r>
    </w:p>
    <w:p w14:paraId="0B881266" w14:textId="690BA31C" w:rsidR="006844D4" w:rsidRDefault="006844D4" w:rsidP="004544B0">
      <w:pPr>
        <w:tabs>
          <w:tab w:val="left" w:pos="1134"/>
        </w:tabs>
        <w:spacing w:after="160" w:line="372" w:lineRule="auto"/>
        <w:ind w:right="-6" w:firstLine="567"/>
        <w:jc w:val="both"/>
        <w:rPr>
          <w:rFonts w:ascii="Sylfaen" w:hAnsi="Sylfaen"/>
          <w:spacing w:val="-4"/>
          <w:sz w:val="24"/>
          <w:szCs w:val="24"/>
        </w:rPr>
      </w:pPr>
      <w:r w:rsidRPr="006844D4">
        <w:rPr>
          <w:rFonts w:ascii="Sylfaen" w:hAnsi="Sylfaen"/>
          <w:spacing w:val="-4"/>
          <w:sz w:val="24"/>
          <w:szCs w:val="24"/>
        </w:rPr>
        <w:t>Ռեֆերենտ պետությունում գրանցման դոսյեն Միության պահանջներին համապատասխանեցման ընթացակարգն ավարտելուց հետո թույլատրվում է հայտատուի կողմից, ըստ սույն կանոնների թիվ 19 և 20 հավելվածներին համապատասխան, ընթացակարգի փոփոխություններ կատարելը մինչև ճանաչման պետությունում (պետություններում) փոխադարձ ճանաչման ընթացակարգի նախաձեռնումը (մինչև համապատասխան հայտը ճանաչման պետությունների լիազորված մարմին (փորձագիտական կազմակերպություն) ներկայացնելը):</w:t>
      </w:r>
    </w:p>
    <w:p w14:paraId="11ED83B9" w14:textId="0DDFFA34" w:rsidR="00BC53C9" w:rsidRPr="006F28F9" w:rsidRDefault="00BC53C9" w:rsidP="00BC53C9">
      <w:pPr>
        <w:rPr>
          <w:b/>
          <w:bCs/>
          <w:i/>
          <w:iCs/>
        </w:rPr>
      </w:pPr>
      <w:r w:rsidRPr="00CD4709">
        <w:rPr>
          <w:b/>
          <w:bCs/>
          <w:i/>
          <w:iCs/>
        </w:rPr>
        <w:t>(</w:t>
      </w:r>
      <w:r>
        <w:rPr>
          <w:b/>
          <w:bCs/>
          <w:i/>
          <w:iCs/>
        </w:rPr>
        <w:t xml:space="preserve">172-րդ կետը </w:t>
      </w:r>
      <w:r w:rsidRPr="00CD4709">
        <w:rPr>
          <w:b/>
          <w:bCs/>
          <w:i/>
          <w:iCs/>
        </w:rPr>
        <w:t>փոփ. 30.01.20 թիվ 9</w:t>
      </w:r>
      <w:r w:rsidR="006844D4">
        <w:rPr>
          <w:b/>
          <w:bCs/>
          <w:i/>
          <w:iCs/>
        </w:rPr>
        <w:t>, լրաց. 17.03.22 թիվ 36</w:t>
      </w:r>
      <w:r w:rsidRPr="00CD4709">
        <w:rPr>
          <w:b/>
          <w:bCs/>
          <w:i/>
          <w:iCs/>
        </w:rPr>
        <w:t>)</w:t>
      </w:r>
    </w:p>
    <w:p w14:paraId="1F5D0321" w14:textId="638E30CB" w:rsidR="006F76EB" w:rsidRDefault="006F76EB" w:rsidP="004544B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lastRenderedPageBreak/>
        <w:t>173.</w:t>
      </w:r>
      <w:r w:rsidRPr="00834D52">
        <w:rPr>
          <w:rFonts w:ascii="Sylfaen" w:hAnsi="Sylfaen"/>
          <w:sz w:val="24"/>
          <w:szCs w:val="24"/>
        </w:rPr>
        <w:tab/>
        <w:t>Միության իրավունքի մաս կազմող ակտերին դեղապատրաստուկի գրանցման դոսյեի համապատասխանեցման ընթացակարգի տ</w:t>
      </w:r>
      <w:r w:rsidR="00C54D75">
        <w:rPr>
          <w:rFonts w:ascii="Sylfaen" w:hAnsi="Sylfaen"/>
          <w:sz w:val="24"/>
          <w:szCs w:val="24"/>
        </w:rPr>
        <w:t>և</w:t>
      </w:r>
      <w:r w:rsidRPr="00834D52">
        <w:rPr>
          <w:rFonts w:ascii="Sylfaen" w:hAnsi="Sylfaen"/>
          <w:sz w:val="24"/>
          <w:szCs w:val="24"/>
        </w:rPr>
        <w:t>ողությունը չի</w:t>
      </w:r>
      <w:r w:rsidR="006E7104" w:rsidRPr="006E7104">
        <w:rPr>
          <w:rFonts w:ascii="Sylfaen" w:hAnsi="Sylfaen"/>
          <w:sz w:val="24"/>
          <w:szCs w:val="24"/>
        </w:rPr>
        <w:t> </w:t>
      </w:r>
      <w:r w:rsidRPr="00834D52">
        <w:rPr>
          <w:rFonts w:ascii="Sylfaen" w:hAnsi="Sylfaen"/>
          <w:sz w:val="24"/>
          <w:szCs w:val="24"/>
        </w:rPr>
        <w:t xml:space="preserve">գերազանցում Միության իրավունքի մաս կազմող ակտերին գրանցման դոսյեի համապատասխանեցման համապատասխան դիմումը ներկայացնելու ամսաթվից սկսած </w:t>
      </w:r>
      <w:r w:rsidR="006844D4">
        <w:rPr>
          <w:rFonts w:ascii="Arial Unicode" w:hAnsi="Arial Unicode"/>
          <w:sz w:val="21"/>
          <w:szCs w:val="21"/>
        </w:rPr>
        <w:t xml:space="preserve">70 աշխատանքային </w:t>
      </w:r>
      <w:r w:rsidRPr="00834D52">
        <w:rPr>
          <w:rFonts w:ascii="Sylfaen" w:hAnsi="Sylfaen"/>
          <w:sz w:val="24"/>
          <w:szCs w:val="24"/>
        </w:rPr>
        <w:t>օրը:</w:t>
      </w:r>
    </w:p>
    <w:p w14:paraId="228496AF" w14:textId="2AC0A3DE" w:rsidR="00BC53C9" w:rsidRPr="006F28F9" w:rsidRDefault="00BC53C9" w:rsidP="00BC53C9">
      <w:pPr>
        <w:rPr>
          <w:b/>
          <w:bCs/>
          <w:i/>
          <w:iCs/>
        </w:rPr>
      </w:pPr>
      <w:r w:rsidRPr="00CD4709">
        <w:rPr>
          <w:b/>
          <w:bCs/>
          <w:i/>
          <w:iCs/>
        </w:rPr>
        <w:t>(</w:t>
      </w:r>
      <w:r>
        <w:rPr>
          <w:b/>
          <w:bCs/>
          <w:i/>
          <w:iCs/>
        </w:rPr>
        <w:t xml:space="preserve">173-րդ կետը </w:t>
      </w:r>
      <w:r w:rsidRPr="00CD4709">
        <w:rPr>
          <w:b/>
          <w:bCs/>
          <w:i/>
          <w:iCs/>
        </w:rPr>
        <w:t>փոփ. 30.01.20 թիվ 9</w:t>
      </w:r>
      <w:r w:rsidR="006844D4">
        <w:rPr>
          <w:b/>
          <w:bCs/>
          <w:i/>
          <w:iCs/>
        </w:rPr>
        <w:t>, 17.03.22 թիվ 36</w:t>
      </w:r>
      <w:r w:rsidRPr="00CD4709">
        <w:rPr>
          <w:b/>
          <w:bCs/>
          <w:i/>
          <w:iCs/>
        </w:rPr>
        <w:t>)</w:t>
      </w:r>
    </w:p>
    <w:p w14:paraId="0F96AD57" w14:textId="77777777" w:rsidR="00BC53C9" w:rsidRPr="00834D52" w:rsidRDefault="00BC53C9" w:rsidP="004544B0">
      <w:pPr>
        <w:tabs>
          <w:tab w:val="left" w:pos="1134"/>
        </w:tabs>
        <w:spacing w:after="160" w:line="372" w:lineRule="auto"/>
        <w:ind w:right="-6" w:firstLine="567"/>
        <w:jc w:val="both"/>
        <w:rPr>
          <w:rFonts w:ascii="Sylfaen" w:eastAsia="Times New Roman" w:hAnsi="Sylfaen" w:cs="Times New Roman"/>
          <w:sz w:val="24"/>
          <w:szCs w:val="24"/>
        </w:rPr>
      </w:pPr>
    </w:p>
    <w:p w14:paraId="4E4DC00F" w14:textId="36F77018" w:rsidR="006F76EB" w:rsidRDefault="006F76EB" w:rsidP="004544B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174.</w:t>
      </w:r>
      <w:r w:rsidRPr="00834D52">
        <w:rPr>
          <w:rFonts w:ascii="Sylfaen" w:hAnsi="Sylfaen"/>
          <w:sz w:val="24"/>
          <w:szCs w:val="24"/>
        </w:rPr>
        <w:tab/>
        <w:t xml:space="preserve">Եթե դեղապատրաստուկը գրանցված է մեկից ավելի անդամ պետություններում՝ </w:t>
      </w:r>
      <w:r w:rsidR="0056496B">
        <w:rPr>
          <w:rFonts w:ascii="Sylfaen" w:hAnsi="Sylfaen"/>
          <w:sz w:val="24"/>
          <w:szCs w:val="24"/>
        </w:rPr>
        <w:t>դիմումատու</w:t>
      </w:r>
      <w:r w:rsidRPr="00834D52">
        <w:rPr>
          <w:rFonts w:ascii="Sylfaen" w:hAnsi="Sylfaen"/>
          <w:sz w:val="24"/>
          <w:szCs w:val="24"/>
        </w:rPr>
        <w:t xml:space="preserve">ն դրանցից մեկն ընտրում է որպես ռեֆերենտ պետություն, որի լիազորված մարմին (փորձագիտական կազմակերպություն) է ուղարկում դիմումը, փաստաթղթերը </w:t>
      </w:r>
      <w:r w:rsidR="00C54D75">
        <w:rPr>
          <w:rFonts w:ascii="Sylfaen" w:hAnsi="Sylfaen"/>
          <w:sz w:val="24"/>
          <w:szCs w:val="24"/>
        </w:rPr>
        <w:t>և</w:t>
      </w:r>
      <w:r w:rsidRPr="00834D52">
        <w:rPr>
          <w:rFonts w:ascii="Sylfaen" w:hAnsi="Sylfaen"/>
          <w:sz w:val="24"/>
          <w:szCs w:val="24"/>
        </w:rPr>
        <w:t xml:space="preserve"> գրանցման դոսյեի տվյալները՝ սույն Կանոնների 175-րդ կետին համապատասխան: Միության իրավունքի մաս կազմող ակտերին դեղապատրաստուկի գրանցման դոսյեն համապատասխանեցնելու մասին դրական որոշում կայացնելու դեպքում ռեֆերենտ պետության լիազորված մարմնի (փորձագիտական կազմակերպության) կողմից ճանաչման պետություններում դեղապատրաստուկի գրանցման դոսյեն համապատասխանեցնելու ընթացակարգն իրականացվում է ըստ գրանցման փոխադարձ ճանաչման տեսակի՝ սույն Կանոնների 66-82-րդ կետերում նշված ընթացակարգերին համապատասխան:</w:t>
      </w:r>
    </w:p>
    <w:p w14:paraId="5C1608A9" w14:textId="3B20EB86" w:rsidR="006844D4" w:rsidRPr="006844D4" w:rsidRDefault="006844D4" w:rsidP="006844D4">
      <w:pPr>
        <w:tabs>
          <w:tab w:val="left" w:pos="1134"/>
        </w:tabs>
        <w:spacing w:after="160" w:line="372" w:lineRule="auto"/>
        <w:ind w:right="-6" w:firstLine="567"/>
        <w:jc w:val="both"/>
        <w:rPr>
          <w:rFonts w:ascii="Sylfaen" w:hAnsi="Sylfaen"/>
          <w:sz w:val="24"/>
          <w:szCs w:val="24"/>
        </w:rPr>
      </w:pPr>
      <w:r w:rsidRPr="006844D4">
        <w:rPr>
          <w:rFonts w:ascii="Sylfaen" w:hAnsi="Sylfaen"/>
          <w:sz w:val="24"/>
          <w:szCs w:val="24"/>
        </w:rPr>
        <w:t>Թույլատրվում է սույն կանոնների թիվ 19 և 20 հավելվածներին համապատասխան ռեֆերենտ պետությունում գրանցված դեղապատրաստուկի գրանցման դոսյեում փոփոխություններ կատարելը մինչև ճանաչման պետությունում (պետություններում) փոխադարձ ճանաչման ընթացակարգի նախաձեռնումը:</w:t>
      </w:r>
    </w:p>
    <w:p w14:paraId="4D942BC6" w14:textId="54572AD0" w:rsidR="006844D4" w:rsidRDefault="006844D4" w:rsidP="006844D4">
      <w:pPr>
        <w:tabs>
          <w:tab w:val="left" w:pos="1134"/>
        </w:tabs>
        <w:spacing w:after="160" w:line="372" w:lineRule="auto"/>
        <w:ind w:right="-6" w:firstLine="567"/>
        <w:jc w:val="both"/>
        <w:rPr>
          <w:rFonts w:ascii="Sylfaen" w:hAnsi="Sylfaen"/>
          <w:sz w:val="24"/>
          <w:szCs w:val="24"/>
        </w:rPr>
      </w:pPr>
      <w:r w:rsidRPr="006844D4">
        <w:rPr>
          <w:rFonts w:ascii="Sylfaen" w:hAnsi="Sylfaen"/>
          <w:sz w:val="24"/>
          <w:szCs w:val="24"/>
        </w:rPr>
        <w:t>Թույլատրվում է ճանաչման մի քանի պետություններում փոխադարձ ճանաչման ընթացակարգի միաժամանակյա նախաձեռնումը</w:t>
      </w:r>
    </w:p>
    <w:p w14:paraId="44479517" w14:textId="79C9E2EE" w:rsidR="00BC53C9" w:rsidRPr="006F28F9" w:rsidRDefault="00BC53C9" w:rsidP="00BC53C9">
      <w:pPr>
        <w:rPr>
          <w:b/>
          <w:bCs/>
          <w:i/>
          <w:iCs/>
        </w:rPr>
      </w:pPr>
      <w:r w:rsidRPr="00CD4709">
        <w:rPr>
          <w:b/>
          <w:bCs/>
          <w:i/>
          <w:iCs/>
        </w:rPr>
        <w:t>(</w:t>
      </w:r>
      <w:r>
        <w:rPr>
          <w:b/>
          <w:bCs/>
          <w:i/>
          <w:iCs/>
        </w:rPr>
        <w:t xml:space="preserve">174-րդ կետը </w:t>
      </w:r>
      <w:r w:rsidRPr="00CD4709">
        <w:rPr>
          <w:b/>
          <w:bCs/>
          <w:i/>
          <w:iCs/>
        </w:rPr>
        <w:t>փոփ. 30.01.20 թիվ 9</w:t>
      </w:r>
      <w:r w:rsidR="006844D4">
        <w:rPr>
          <w:b/>
          <w:bCs/>
          <w:i/>
          <w:iCs/>
        </w:rPr>
        <w:t>, փոփ., լրաց. 17.03.22 թիվ 36</w:t>
      </w:r>
      <w:r w:rsidRPr="00CD4709">
        <w:rPr>
          <w:b/>
          <w:bCs/>
          <w:i/>
          <w:iCs/>
        </w:rPr>
        <w:t>)</w:t>
      </w:r>
    </w:p>
    <w:p w14:paraId="7A26B924" w14:textId="77777777" w:rsidR="006844D4" w:rsidRPr="006844D4" w:rsidRDefault="006F76EB" w:rsidP="006844D4">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lastRenderedPageBreak/>
        <w:t>175.</w:t>
      </w:r>
      <w:r w:rsidRPr="00834D52">
        <w:rPr>
          <w:rFonts w:ascii="Sylfaen" w:hAnsi="Sylfaen"/>
          <w:sz w:val="24"/>
          <w:szCs w:val="24"/>
        </w:rPr>
        <w:tab/>
      </w:r>
      <w:r w:rsidR="006844D4" w:rsidRPr="006844D4">
        <w:rPr>
          <w:rFonts w:ascii="Sylfaen" w:hAnsi="Sylfaen"/>
          <w:sz w:val="24"/>
          <w:szCs w:val="24"/>
        </w:rPr>
        <w:t>Դեղապատրաստուկի գրանցման դոսյեն Միության իրավունքի պահանջներին համապատասխանեցնելու և այն անդամ պետությունների տարածքներում դեղապատրաստուկի շրջանառությունը շարունակելու համար, որտեղ այն գրանցված է, հայտատուն այն ռեֆերենտ պետության լիազորված մարմնին (փորձագիտական կազմակերպության) է ներկայացնում, որտեղ գրանցված է դեղապատրաստուկը՝</w:t>
      </w:r>
    </w:p>
    <w:p w14:paraId="3A998B25" w14:textId="77777777" w:rsidR="006844D4" w:rsidRPr="006844D4" w:rsidRDefault="006844D4" w:rsidP="006844D4">
      <w:pPr>
        <w:tabs>
          <w:tab w:val="left" w:pos="1134"/>
        </w:tabs>
        <w:spacing w:after="160" w:line="372" w:lineRule="auto"/>
        <w:ind w:right="-8" w:firstLine="567"/>
        <w:jc w:val="both"/>
        <w:rPr>
          <w:rFonts w:ascii="Sylfaen" w:hAnsi="Sylfaen"/>
          <w:sz w:val="24"/>
          <w:szCs w:val="24"/>
        </w:rPr>
      </w:pPr>
    </w:p>
    <w:p w14:paraId="3F81295D" w14:textId="5E5C085E" w:rsidR="006844D4" w:rsidRPr="006844D4" w:rsidRDefault="006844D4" w:rsidP="006844D4">
      <w:pPr>
        <w:tabs>
          <w:tab w:val="left" w:pos="1134"/>
        </w:tabs>
        <w:spacing w:after="160" w:line="372" w:lineRule="auto"/>
        <w:ind w:right="-8" w:firstLine="567"/>
        <w:jc w:val="both"/>
        <w:rPr>
          <w:rFonts w:ascii="Sylfaen" w:hAnsi="Sylfaen"/>
          <w:sz w:val="24"/>
          <w:szCs w:val="24"/>
        </w:rPr>
      </w:pPr>
      <w:r w:rsidRPr="006844D4">
        <w:rPr>
          <w:rFonts w:ascii="Sylfaen" w:hAnsi="Sylfaen"/>
          <w:sz w:val="24"/>
          <w:szCs w:val="24"/>
        </w:rPr>
        <w:t>ըստ սույն կանոնների թիվ 2 հավելվածին համապատասխան սահմանված ձևի՝ թղթային կրիչով կամ էլեկտրոնային ստորագրությամբ ստորագրված էլեկտրոնային փաստաթղթի տեսքով հայտը.</w:t>
      </w:r>
    </w:p>
    <w:p w14:paraId="3A309B25" w14:textId="0BB9DA17" w:rsidR="006844D4" w:rsidRPr="006844D4" w:rsidRDefault="006844D4" w:rsidP="006844D4">
      <w:pPr>
        <w:tabs>
          <w:tab w:val="left" w:pos="1134"/>
        </w:tabs>
        <w:spacing w:after="160" w:line="372" w:lineRule="auto"/>
        <w:ind w:right="-8" w:firstLine="567"/>
        <w:jc w:val="both"/>
        <w:rPr>
          <w:rFonts w:ascii="Sylfaen" w:hAnsi="Sylfaen"/>
          <w:sz w:val="24"/>
          <w:szCs w:val="24"/>
        </w:rPr>
      </w:pPr>
      <w:r w:rsidRPr="006844D4">
        <w:rPr>
          <w:rFonts w:ascii="Sylfaen" w:hAnsi="Sylfaen"/>
          <w:sz w:val="24"/>
          <w:szCs w:val="24"/>
        </w:rPr>
        <w:t>թղթային կրիչով կամ էլեկտրոնային փաստաթղթի տեսքով՝ ճանաչման պետությունների օրենսդրությանը համապատասխան սահմանված դեպքում և կարգով Միության պահանջներին համապատասխանեցնելու համար տուրքի վճարումը հաստատող փաստաթղթերը.</w:t>
      </w:r>
    </w:p>
    <w:p w14:paraId="639C3CFB" w14:textId="17727180" w:rsidR="006844D4" w:rsidRPr="006844D4" w:rsidRDefault="006844D4" w:rsidP="006844D4">
      <w:pPr>
        <w:tabs>
          <w:tab w:val="left" w:pos="1134"/>
        </w:tabs>
        <w:spacing w:after="160" w:line="372" w:lineRule="auto"/>
        <w:ind w:right="-8" w:firstLine="567"/>
        <w:jc w:val="both"/>
        <w:rPr>
          <w:rFonts w:ascii="Sylfaen" w:hAnsi="Sylfaen"/>
          <w:sz w:val="24"/>
          <w:szCs w:val="24"/>
        </w:rPr>
      </w:pPr>
      <w:r w:rsidRPr="006844D4">
        <w:rPr>
          <w:rFonts w:ascii="Sylfaen" w:hAnsi="Sylfaen"/>
          <w:sz w:val="24"/>
          <w:szCs w:val="24"/>
        </w:rPr>
        <w:t>սույն կանոնների թիվ 1-5 հավելվածներին համապատասխան՝ էլեկտրոնային կրիչով և (կամ) էլեկտրոնային փաստաթղթերի տեսքով դեղապատրաստուկի գրանցման դոսյեի 1-3 մոդուլները:</w:t>
      </w:r>
    </w:p>
    <w:p w14:paraId="4F9BE577" w14:textId="1C79047C" w:rsidR="006844D4" w:rsidRPr="006844D4" w:rsidRDefault="006844D4" w:rsidP="006844D4">
      <w:pPr>
        <w:tabs>
          <w:tab w:val="left" w:pos="1134"/>
        </w:tabs>
        <w:spacing w:after="160" w:line="372" w:lineRule="auto"/>
        <w:ind w:right="-8" w:firstLine="567"/>
        <w:jc w:val="both"/>
        <w:rPr>
          <w:rFonts w:ascii="Sylfaen" w:hAnsi="Sylfaen"/>
          <w:sz w:val="24"/>
          <w:szCs w:val="24"/>
        </w:rPr>
      </w:pPr>
      <w:r w:rsidRPr="006844D4">
        <w:rPr>
          <w:rFonts w:ascii="Sylfaen" w:hAnsi="Sylfaen"/>
          <w:sz w:val="24"/>
          <w:szCs w:val="24"/>
        </w:rPr>
        <w:t>Անդամ պետության օրենսդրության պահանջներին համապատասխան՝ սույն կետի երկրորդ-չորրորդ պարբերություններում նշված փաստաթղթերը կարող են ներկայացվել առանց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p>
    <w:p w14:paraId="2ABEF7C0" w14:textId="77777777" w:rsidR="006844D4" w:rsidRPr="006844D4" w:rsidRDefault="006844D4" w:rsidP="006844D4">
      <w:pPr>
        <w:tabs>
          <w:tab w:val="left" w:pos="1134"/>
        </w:tabs>
        <w:spacing w:after="160" w:line="372" w:lineRule="auto"/>
        <w:ind w:right="-8" w:firstLine="567"/>
        <w:jc w:val="both"/>
        <w:rPr>
          <w:rFonts w:ascii="Sylfaen" w:hAnsi="Sylfaen"/>
          <w:sz w:val="24"/>
          <w:szCs w:val="24"/>
        </w:rPr>
      </w:pPr>
      <w:r w:rsidRPr="006844D4">
        <w:rPr>
          <w:rFonts w:ascii="Sylfaen" w:hAnsi="Sylfaen"/>
          <w:sz w:val="24"/>
          <w:szCs w:val="24"/>
        </w:rPr>
        <w:t xml:space="preserve">Սույն կանոնների 36-րդ կետին համապատասխան՝ մինչև Համաձայնագիրն ուժի մեջ մտնելը կատարված նախակլինիկական և կլինիկական հետազոտությունների բոլոր առկա տվյալները ներկայացվում են </w:t>
      </w:r>
      <w:r w:rsidRPr="006844D4">
        <w:rPr>
          <w:rFonts w:ascii="Sylfaen" w:hAnsi="Sylfaen"/>
          <w:sz w:val="24"/>
          <w:szCs w:val="24"/>
        </w:rPr>
        <w:lastRenderedPageBreak/>
        <w:t>դեղապատրաստուկի գրանցման դոսյեի 4-5 մոդուլներում՝ համապատասխան հաշվետվությունների տեսքով՝ առանց դեղապատրաստուկի նախակլինիկական (ոչ կլինիկական) հետազոտությունների և կլինիկական հետազոտությունների (փորձարկումների) մասին հաշվետվությունների ձևակերպմանը ներկայացվող Միության պահանջներին դրանց պարտադիր համապատասխանեցման:</w:t>
      </w:r>
    </w:p>
    <w:p w14:paraId="106722D2" w14:textId="7B333B57" w:rsidR="00D23507" w:rsidRPr="00D23507" w:rsidRDefault="00D23507" w:rsidP="006844D4">
      <w:pPr>
        <w:tabs>
          <w:tab w:val="left" w:pos="1134"/>
        </w:tabs>
        <w:spacing w:after="160" w:line="372" w:lineRule="auto"/>
        <w:ind w:right="-8" w:firstLine="567"/>
        <w:jc w:val="both"/>
        <w:rPr>
          <w:rFonts w:ascii="Sylfaen" w:hAnsi="Sylfaen"/>
          <w:sz w:val="24"/>
          <w:szCs w:val="24"/>
        </w:rPr>
      </w:pPr>
      <w:r w:rsidRPr="00D23507">
        <w:rPr>
          <w:rFonts w:ascii="Sylfaen" w:hAnsi="Sylfaen"/>
          <w:sz w:val="24"/>
          <w:szCs w:val="24"/>
        </w:rPr>
        <w:t>Հայտատուն իրավունք ունի հետ կանչելու իր դիմումը ցանկացած ժամանակ՝ մինչև Միության պահանջներին դեղապատրաստուկի գրանցման դոսյեն համապատասխանեցնելու ընթացակարգն ավարտելը՝ գրավոր ծանուցելով հետկանչի մասին այն անդամ պետության լիազորված մարմնին, որտեղ ուսումնասիրվում է հայտը։</w:t>
      </w:r>
    </w:p>
    <w:p w14:paraId="1CF012AB" w14:textId="5FAF8D2E" w:rsidR="00D23507" w:rsidRDefault="00D23507" w:rsidP="00D23507">
      <w:pPr>
        <w:tabs>
          <w:tab w:val="left" w:pos="1134"/>
        </w:tabs>
        <w:spacing w:after="160" w:line="341" w:lineRule="auto"/>
        <w:ind w:right="-8" w:firstLine="567"/>
        <w:jc w:val="both"/>
        <w:rPr>
          <w:rFonts w:ascii="Sylfaen" w:hAnsi="Sylfaen"/>
          <w:sz w:val="24"/>
          <w:szCs w:val="24"/>
        </w:rPr>
      </w:pPr>
      <w:r w:rsidRPr="00D23507">
        <w:rPr>
          <w:rFonts w:ascii="Sylfaen" w:hAnsi="Sylfaen"/>
          <w:sz w:val="24"/>
          <w:szCs w:val="24"/>
        </w:rPr>
        <w:t>Հայտի հետկանչի դեպքում հայտն ուսումնասիրող անդամ պետության լիազորված մարմինը դադարեցնում է դրա ուսումնասիրությունն ըստ էության և հայտատուին է վերադարձնում հայտի հետ միասին ներկայացված փաստաթղթերի և (կամ) տեղեկությունների բնօրինակները</w:t>
      </w:r>
    </w:p>
    <w:p w14:paraId="15CA48AD" w14:textId="3BD94E91" w:rsidR="00BC53C9" w:rsidRPr="0066012D" w:rsidRDefault="00BC53C9" w:rsidP="00BC53C9">
      <w:pPr>
        <w:rPr>
          <w:b/>
          <w:bCs/>
          <w:i/>
          <w:iCs/>
        </w:rPr>
      </w:pPr>
      <w:r w:rsidRPr="0066012D">
        <w:rPr>
          <w:b/>
          <w:bCs/>
          <w:i/>
          <w:iCs/>
        </w:rPr>
        <w:t>(175-րդ կետը փոփ. 30.01.20 թիվ 9</w:t>
      </w:r>
      <w:r w:rsidR="0066012D" w:rsidRPr="0066012D">
        <w:rPr>
          <w:b/>
          <w:bCs/>
          <w:i/>
          <w:iCs/>
        </w:rPr>
        <w:t>, փոփ., լրաց. 23.04.21 թիվ 34</w:t>
      </w:r>
      <w:r w:rsidR="00D23507">
        <w:rPr>
          <w:b/>
          <w:bCs/>
          <w:i/>
          <w:iCs/>
        </w:rPr>
        <w:t>, լրաց. 05.03.21 թիվ 14</w:t>
      </w:r>
      <w:r w:rsidR="006844D4">
        <w:rPr>
          <w:b/>
          <w:bCs/>
          <w:i/>
          <w:iCs/>
        </w:rPr>
        <w:t>, խմբ. 17.03.22 թիվ 36</w:t>
      </w:r>
      <w:r w:rsidRPr="0066012D">
        <w:rPr>
          <w:b/>
          <w:bCs/>
          <w:i/>
          <w:iCs/>
        </w:rPr>
        <w:t>)</w:t>
      </w:r>
    </w:p>
    <w:p w14:paraId="0BF299CD" w14:textId="2C35DB8E" w:rsidR="0066012D" w:rsidRDefault="0066012D" w:rsidP="00BC53C9">
      <w:pPr>
        <w:rPr>
          <w:rFonts w:ascii="Sylfaen" w:hAnsi="Sylfaen"/>
          <w:sz w:val="24"/>
          <w:szCs w:val="24"/>
        </w:rPr>
      </w:pPr>
      <w:r w:rsidRPr="0066012D">
        <w:rPr>
          <w:rFonts w:ascii="Sylfaen" w:hAnsi="Sylfaen"/>
          <w:sz w:val="24"/>
          <w:szCs w:val="24"/>
        </w:rPr>
        <w:t>1751. Այն դեպքում, երբ դեղապատրաստուկը գրանցված է մեկ անդամ պետությունում և նախատեսված է միայն այդ պետության տարածքում շրջանառության համար, դիմումատուն իրավունք ունի ներկայացնելու այդ անդամ պետության պետական լեզվով (պետական լեզուներով) կամ այլ լեզվով (եթե դա նախատեսված է անդամ-պետության օրենսդրությամբ) առանց ռուսերեն թարգմանության (այն դեպքում, երբ ռուսերենն այդ անդամ պետությունում պետական լեզու չի համարվում) միայն դեղապատրաստուկի գրանցման դոսյեի 1-3-րդ մոդուլները՝ էլեկտրոնային եղանակով՝ սույն կանոնների 1-5 հավելվածներին համապատասխան, և դեղապատրաստուկի գրանցման դոսյեի 1-ին մոդուլը՝ թղթային կրիչով: Դեղապատրաստուկի գրանցման դոսյեի 4-րդ և 5-րդ մոդուլների փաստաթղթերի առկայության դեպքում դրանք դիմումատուի կողմից ներկայացվում են գրանցման դոսյեի կազմում:</w:t>
      </w:r>
    </w:p>
    <w:p w14:paraId="60EBEA9C" w14:textId="104AD757" w:rsidR="0066012D" w:rsidRPr="0066012D" w:rsidRDefault="0066012D" w:rsidP="0066012D">
      <w:pPr>
        <w:rPr>
          <w:b/>
          <w:bCs/>
          <w:i/>
          <w:iCs/>
        </w:rPr>
      </w:pPr>
      <w:r w:rsidRPr="0066012D">
        <w:rPr>
          <w:b/>
          <w:bCs/>
          <w:i/>
          <w:iCs/>
        </w:rPr>
        <w:t>(175</w:t>
      </w:r>
      <w:r>
        <w:rPr>
          <w:b/>
          <w:bCs/>
          <w:i/>
          <w:iCs/>
        </w:rPr>
        <w:t>1</w:t>
      </w:r>
      <w:r w:rsidRPr="0066012D">
        <w:rPr>
          <w:b/>
          <w:bCs/>
          <w:i/>
          <w:iCs/>
        </w:rPr>
        <w:t>-րդ կետը. լրաց. 23.04.21 թիվ 34)</w:t>
      </w:r>
    </w:p>
    <w:p w14:paraId="293492AE" w14:textId="77777777" w:rsidR="0066012D" w:rsidRPr="0066012D" w:rsidRDefault="0066012D" w:rsidP="00BC53C9">
      <w:pPr>
        <w:rPr>
          <w:rFonts w:ascii="Sylfaen" w:hAnsi="Sylfaen"/>
          <w:sz w:val="24"/>
          <w:szCs w:val="24"/>
        </w:rPr>
      </w:pPr>
    </w:p>
    <w:p w14:paraId="4C422748" w14:textId="7D14417F" w:rsidR="006F76EB" w:rsidRPr="00834D52" w:rsidRDefault="006F76EB" w:rsidP="00383CCF">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176.</w:t>
      </w:r>
      <w:r w:rsidRPr="00834D52">
        <w:rPr>
          <w:rFonts w:ascii="Sylfaen" w:hAnsi="Sylfaen"/>
          <w:sz w:val="24"/>
          <w:szCs w:val="24"/>
        </w:rPr>
        <w:tab/>
        <w:t xml:space="preserve">Ռեֆերենտ անդամ պետության լիազորված մարմինը (փորձագիտական </w:t>
      </w:r>
      <w:r w:rsidRPr="00834D52">
        <w:rPr>
          <w:rFonts w:ascii="Sylfaen" w:hAnsi="Sylfaen"/>
          <w:sz w:val="24"/>
          <w:szCs w:val="24"/>
        </w:rPr>
        <w:lastRenderedPageBreak/>
        <w:t xml:space="preserve">կազմակերպությունը) իրականացնում է դեղապատրաստուկի գրանցման դոսյեի ներկայացված փաստաթղթերի ամբողջականության, կոմպլեկտայնության </w:t>
      </w:r>
      <w:r w:rsidR="00C54D75">
        <w:rPr>
          <w:rFonts w:ascii="Sylfaen" w:hAnsi="Sylfaen"/>
          <w:sz w:val="24"/>
          <w:szCs w:val="24"/>
        </w:rPr>
        <w:t>և</w:t>
      </w:r>
      <w:r w:rsidRPr="00834D52">
        <w:rPr>
          <w:rFonts w:ascii="Sylfaen" w:hAnsi="Sylfaen"/>
          <w:sz w:val="24"/>
          <w:szCs w:val="24"/>
        </w:rPr>
        <w:t xml:space="preserve"> ճշտության գնահատում՝ նախքան դեղապատրաստուկի գրանցման դոսյեի նյութերը փորձաքննության ուղարկելը՝ 1</w:t>
      </w:r>
      <w:r w:rsidR="001C75F9">
        <w:rPr>
          <w:rFonts w:ascii="Sylfaen" w:hAnsi="Sylfaen"/>
          <w:sz w:val="24"/>
          <w:szCs w:val="24"/>
        </w:rPr>
        <w:t>0</w:t>
      </w:r>
      <w:r w:rsidRPr="00834D52">
        <w:rPr>
          <w:rFonts w:ascii="Sylfaen" w:hAnsi="Sylfaen"/>
          <w:sz w:val="24"/>
          <w:szCs w:val="24"/>
        </w:rPr>
        <w:t xml:space="preserve"> աշխատանքային օրերի ընթացքում: Ռեֆերենտ պետության լիազորված մարմնի (փորձագիտական կազմակերպության) նկատողությունների վերաբերյալ դեղապատրաստուկի գրանցման դոսյեի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 xml:space="preserve">ին տրվում է փորձաքննության ժամկետի մեջ չմտնող 90 </w:t>
      </w:r>
      <w:r w:rsidR="001C75F9">
        <w:rPr>
          <w:rFonts w:ascii="Arial Unicode" w:hAnsi="Arial Unicode"/>
          <w:sz w:val="21"/>
          <w:szCs w:val="21"/>
        </w:rPr>
        <w:t xml:space="preserve">աշխատանքային </w:t>
      </w:r>
      <w:r w:rsidRPr="00834D52">
        <w:rPr>
          <w:rFonts w:ascii="Sylfaen" w:hAnsi="Sylfaen"/>
          <w:sz w:val="24"/>
          <w:szCs w:val="24"/>
        </w:rPr>
        <w:t>օրվանից ոչ</w:t>
      </w:r>
      <w:r w:rsidR="008C52C3" w:rsidRPr="008C52C3">
        <w:rPr>
          <w:rFonts w:ascii="Sylfaen" w:hAnsi="Sylfaen"/>
          <w:sz w:val="24"/>
          <w:szCs w:val="24"/>
        </w:rPr>
        <w:t> </w:t>
      </w:r>
      <w:r w:rsidRPr="00834D52">
        <w:rPr>
          <w:rFonts w:ascii="Sylfaen" w:hAnsi="Sylfaen"/>
          <w:sz w:val="24"/>
          <w:szCs w:val="24"/>
        </w:rPr>
        <w:t>ավելի ժամկետ:</w:t>
      </w:r>
    </w:p>
    <w:p w14:paraId="20E9C87B" w14:textId="0D21B35B" w:rsidR="006F76EB" w:rsidRDefault="006F76EB" w:rsidP="00383CCF">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 xml:space="preserve">Անդամ պետության լիազորված մարմինը (փորձագիտական կազմակերպությունը) մերժում է գրանցման դոսյեն Միության պահանջներին համապատասխանեցնելու դիմումը՝ ռեֆերենտ պետության լիազորված մարմնի (փորձագիտական կազմակերպության) նկատողությունների վերաբերյալ դեղապատրաստուկի գրանցման դոսյեի պակասող նյութերը չներկայացնելու </w:t>
      </w:r>
      <w:r w:rsidR="00C54D75">
        <w:rPr>
          <w:rFonts w:ascii="Sylfaen" w:hAnsi="Sylfaen"/>
          <w:sz w:val="24"/>
          <w:szCs w:val="24"/>
        </w:rPr>
        <w:t>և</w:t>
      </w:r>
      <w:r w:rsidRPr="00834D52">
        <w:rPr>
          <w:rFonts w:ascii="Sylfaen" w:hAnsi="Sylfaen"/>
          <w:sz w:val="24"/>
          <w:szCs w:val="24"/>
        </w:rPr>
        <w:t xml:space="preserve"> (կամ) ռեֆերենտ պետության օրենսդրությամբ հաստատված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դոսյեն Միության պահանջներին համապատասխանեցնելու համար հավաքագրման (տուրքի) վճարումը չհաստատելու դեպքում:</w:t>
      </w:r>
    </w:p>
    <w:p w14:paraId="2298F4BD" w14:textId="46EC7A02" w:rsidR="001C75F9" w:rsidRPr="001C75F9" w:rsidRDefault="001C75F9" w:rsidP="001C75F9">
      <w:pPr>
        <w:tabs>
          <w:tab w:val="left" w:pos="1134"/>
        </w:tabs>
        <w:spacing w:after="160" w:line="372" w:lineRule="auto"/>
        <w:ind w:right="-8" w:firstLine="567"/>
        <w:jc w:val="both"/>
        <w:rPr>
          <w:rFonts w:ascii="Sylfaen" w:hAnsi="Sylfaen"/>
          <w:sz w:val="24"/>
          <w:szCs w:val="24"/>
        </w:rPr>
      </w:pPr>
      <w:r w:rsidRPr="001C75F9">
        <w:rPr>
          <w:rFonts w:ascii="Sylfaen" w:hAnsi="Sylfaen"/>
          <w:sz w:val="24"/>
          <w:szCs w:val="24"/>
        </w:rPr>
        <w:t>Հայտատուին լիազորված մարմնի (փորձագիտական կազմակերպության) հարցումը պետք է փոխանցվի էլեկտրոնային ձևով՝ կապի հեռահաղորդակցական ուղիներով, և համարվում է ստացված այն ուղարկելու օրվանից 1 օրացուցային օրը լրանալուն պես:</w:t>
      </w:r>
    </w:p>
    <w:p w14:paraId="3482D695" w14:textId="79116B73" w:rsidR="001C75F9" w:rsidRPr="001C75F9" w:rsidRDefault="001C75F9" w:rsidP="001C75F9">
      <w:pPr>
        <w:tabs>
          <w:tab w:val="left" w:pos="1134"/>
        </w:tabs>
        <w:spacing w:after="160" w:line="372" w:lineRule="auto"/>
        <w:ind w:right="-8" w:firstLine="567"/>
        <w:jc w:val="both"/>
        <w:rPr>
          <w:rFonts w:ascii="Sylfaen" w:hAnsi="Sylfaen"/>
          <w:sz w:val="24"/>
          <w:szCs w:val="24"/>
        </w:rPr>
      </w:pPr>
      <w:r w:rsidRPr="001C75F9">
        <w:rPr>
          <w:rFonts w:ascii="Sylfaen" w:hAnsi="Sylfaen"/>
          <w:sz w:val="24"/>
          <w:szCs w:val="24"/>
        </w:rPr>
        <w:t>Հայտատուի պատասխանը գնահատվում է հայտատուի պատասխանն ստանալու օրվանից 5 աշխատանքային օրը չգերազանցող ժամկետում:</w:t>
      </w:r>
    </w:p>
    <w:p w14:paraId="60EA543E" w14:textId="1A6EE7D9" w:rsidR="001C75F9" w:rsidRDefault="001C75F9" w:rsidP="001C75F9">
      <w:pPr>
        <w:tabs>
          <w:tab w:val="left" w:pos="1134"/>
        </w:tabs>
        <w:spacing w:after="160" w:line="372" w:lineRule="auto"/>
        <w:ind w:right="-8" w:firstLine="567"/>
        <w:jc w:val="both"/>
        <w:rPr>
          <w:rFonts w:ascii="Sylfaen" w:hAnsi="Sylfaen"/>
          <w:sz w:val="24"/>
          <w:szCs w:val="24"/>
        </w:rPr>
      </w:pPr>
      <w:r w:rsidRPr="001C75F9">
        <w:rPr>
          <w:rFonts w:ascii="Sylfaen" w:hAnsi="Sylfaen"/>
          <w:sz w:val="24"/>
          <w:szCs w:val="24"/>
        </w:rPr>
        <w:t xml:space="preserve">Սույն կետում նշված փորձաքննությունն անցկացվում է գրանցման դոսյեում ներկայացված փաստաթղթերի ամբողջականության, լրակազմության և ճշտության գնահատման անցկացման օրվանից կամ փորձագիտական կազմակերպության </w:t>
      </w:r>
      <w:r w:rsidRPr="001C75F9">
        <w:rPr>
          <w:rFonts w:ascii="Sylfaen" w:hAnsi="Sylfaen"/>
          <w:sz w:val="24"/>
          <w:szCs w:val="24"/>
        </w:rPr>
        <w:lastRenderedPageBreak/>
        <w:t>կողմից փորձաքննության անցկացման մասով համապատասխան առաջադրանքի ստացման օրվանից 45 աշխատանքային օրը չգերազանցող ժամկետում</w:t>
      </w:r>
    </w:p>
    <w:p w14:paraId="1792A3C3" w14:textId="50604F8D" w:rsidR="00BC53C9" w:rsidRPr="006F28F9" w:rsidRDefault="00BC53C9" w:rsidP="00BC53C9">
      <w:pPr>
        <w:rPr>
          <w:b/>
          <w:bCs/>
          <w:i/>
          <w:iCs/>
        </w:rPr>
      </w:pPr>
      <w:r w:rsidRPr="00CD4709">
        <w:rPr>
          <w:b/>
          <w:bCs/>
          <w:i/>
          <w:iCs/>
        </w:rPr>
        <w:t>(</w:t>
      </w:r>
      <w:r>
        <w:rPr>
          <w:b/>
          <w:bCs/>
          <w:i/>
          <w:iCs/>
        </w:rPr>
        <w:t xml:space="preserve">176-րդ կետը </w:t>
      </w:r>
      <w:r w:rsidRPr="00CD4709">
        <w:rPr>
          <w:b/>
          <w:bCs/>
          <w:i/>
          <w:iCs/>
        </w:rPr>
        <w:t>փոփ. 30.01.20 թիվ 9</w:t>
      </w:r>
      <w:r w:rsidR="001C75F9">
        <w:rPr>
          <w:b/>
          <w:bCs/>
          <w:i/>
          <w:iCs/>
        </w:rPr>
        <w:t>, փոփ., լրաց. 17.03.22 թիվ 36</w:t>
      </w:r>
      <w:r w:rsidRPr="00CD4709">
        <w:rPr>
          <w:b/>
          <w:bCs/>
          <w:i/>
          <w:iCs/>
        </w:rPr>
        <w:t>)</w:t>
      </w:r>
    </w:p>
    <w:p w14:paraId="43BCC98F" w14:textId="3C91A31C" w:rsidR="006F76EB" w:rsidRPr="00834D52" w:rsidRDefault="006F76EB" w:rsidP="00383CCF">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177.</w:t>
      </w:r>
      <w:r w:rsidRPr="00834D52">
        <w:rPr>
          <w:rFonts w:ascii="Sylfaen" w:hAnsi="Sylfaen"/>
          <w:sz w:val="24"/>
          <w:szCs w:val="24"/>
        </w:rPr>
        <w:tab/>
        <w:t xml:space="preserve">Ռեֆերենտ պետության լիազորված մարմինը (փորձագիտական կազմակերպությունը) դեղապատրաստուկի գրանցման դոսյեի համապատասխանեցման ընթացակարգի ժամանակ դեղապատրաստուկի փորձաքննություն անցկացնելիս իրավունք ունի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դեղապատրաստուկի գրանցման դոսյեի ներկայացված փաստաթղթերին </w:t>
      </w:r>
      <w:r w:rsidR="00C54D75">
        <w:rPr>
          <w:rFonts w:ascii="Sylfaen" w:hAnsi="Sylfaen"/>
          <w:sz w:val="24"/>
          <w:szCs w:val="24"/>
        </w:rPr>
        <w:t>և</w:t>
      </w:r>
      <w:r w:rsidRPr="00834D52">
        <w:rPr>
          <w:rFonts w:ascii="Sylfaen" w:hAnsi="Sylfaen"/>
          <w:sz w:val="24"/>
          <w:szCs w:val="24"/>
        </w:rPr>
        <w:t xml:space="preserve"> տվյալներին վերաբերող լրացուցիչ տեղեկատվության, անհրաժեշտ պարզաբանումների կամ ճշտումների ներկայացման մասին (այդ թվում՝ ԴԸԲ-ում, բժշկական կիրառման հրահանգում, դեղապատրաստուկի փաթեթվածքների մակետում, որակին առնչվող նորմատիվ փաստաթղթում կամ գրանցման դոսյեի այլ փաստաթղթերում փոփոխություններ կատարելու առաջարկություններ):</w:t>
      </w:r>
    </w:p>
    <w:p w14:paraId="3C8D599A" w14:textId="34D5E91B" w:rsidR="006F76EB" w:rsidRPr="00834D52" w:rsidRDefault="0056496B" w:rsidP="00383CCF">
      <w:pPr>
        <w:tabs>
          <w:tab w:val="left" w:pos="1134"/>
        </w:tabs>
        <w:spacing w:after="160" w:line="372"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կողմից նշված հարցման պատասխանը ներկայացնելու ընդհանուր ժամկետը չպետք է գերազանցի 90 </w:t>
      </w:r>
      <w:r w:rsidR="001C75F9">
        <w:rPr>
          <w:rFonts w:ascii="Arial Unicode" w:hAnsi="Arial Unicode"/>
          <w:sz w:val="21"/>
          <w:szCs w:val="21"/>
        </w:rPr>
        <w:t>աշխատանքային</w:t>
      </w:r>
      <w:r w:rsidR="001C75F9">
        <w:rPr>
          <w:sz w:val="21"/>
          <w:szCs w:val="21"/>
        </w:rPr>
        <w:t xml:space="preserve"> </w:t>
      </w:r>
      <w:r w:rsidR="006F76EB" w:rsidRPr="00834D52">
        <w:rPr>
          <w:rFonts w:ascii="Sylfaen" w:hAnsi="Sylfaen"/>
          <w:sz w:val="24"/>
          <w:szCs w:val="24"/>
        </w:rPr>
        <w:t xml:space="preserve">օրը: Դեղապատրաստուկի փորձաքննության ընթացքում լիազորված մարմնի կամ փորձագիտական կազմակերպության հարցմամբ </w:t>
      </w:r>
      <w:r>
        <w:rPr>
          <w:rFonts w:ascii="Sylfaen" w:hAnsi="Sylfaen"/>
          <w:sz w:val="24"/>
          <w:szCs w:val="24"/>
        </w:rPr>
        <w:t>դիմումատու</w:t>
      </w:r>
      <w:r w:rsidR="006F76EB" w:rsidRPr="00834D52">
        <w:rPr>
          <w:rFonts w:ascii="Sylfaen" w:hAnsi="Sylfaen"/>
          <w:sz w:val="24"/>
          <w:szCs w:val="24"/>
        </w:rPr>
        <w:t>ի կողմից փաստաթղթերը ներկայացնելու ժամանակը չի մտնում դեղապատրաստուկի գրանցման դոսյեն Միության պահանջներին համապատասխանեցնելիս դեղապատրաստուկի փորձաքննության անցկացման ժամկետի մեջ։</w:t>
      </w:r>
    </w:p>
    <w:p w14:paraId="15B33CF1" w14:textId="5FA80CB5" w:rsidR="006F76EB" w:rsidRDefault="006F76EB" w:rsidP="008C52C3">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 xml:space="preserve">Պահանջված փաստաթղթերը </w:t>
      </w:r>
      <w:r w:rsidR="00C54D75">
        <w:rPr>
          <w:rFonts w:ascii="Sylfaen" w:hAnsi="Sylfaen"/>
          <w:sz w:val="24"/>
          <w:szCs w:val="24"/>
        </w:rPr>
        <w:t>և</w:t>
      </w:r>
      <w:r w:rsidRPr="00834D52">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834D52">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834D52">
        <w:rPr>
          <w:rFonts w:ascii="Sylfaen" w:hAnsi="Sylfaen"/>
          <w:sz w:val="24"/>
          <w:szCs w:val="24"/>
        </w:rPr>
        <w:t xml:space="preserve"> դեղապատրաստուկի գրանցման դոսյեն Միության պահանջներին համապատասխանեցնելու ընթացակարգը դադարեցվում են: Կայացված որոշման մասին ռեֆերենտ պետության լիազորված մարմինը (փորձագիտական կազմակերպությունը) որոշումը կայացնելու օրվանից 14 աշխատանքային օրվա </w:t>
      </w:r>
      <w:r w:rsidRPr="00834D52">
        <w:rPr>
          <w:rFonts w:ascii="Sylfaen" w:hAnsi="Sylfaen"/>
          <w:sz w:val="24"/>
          <w:szCs w:val="24"/>
        </w:rPr>
        <w:lastRenderedPageBreak/>
        <w:t xml:space="preserve">ընթացքում, գրավոր </w:t>
      </w:r>
      <w:r w:rsidR="00C54D75">
        <w:rPr>
          <w:rFonts w:ascii="Sylfaen" w:hAnsi="Sylfaen"/>
          <w:sz w:val="24"/>
          <w:szCs w:val="24"/>
        </w:rPr>
        <w:t>և</w:t>
      </w:r>
      <w:r w:rsidRPr="00834D52">
        <w:rPr>
          <w:rFonts w:ascii="Sylfaen" w:hAnsi="Sylfaen"/>
          <w:sz w:val="24"/>
          <w:szCs w:val="24"/>
        </w:rPr>
        <w:t xml:space="preserve"> (կամ) էլեկտրոնային տարբերակով ծանուցում է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ճանաչման երկրի (առկայության դեպքում) լիազորված մարմնին (փորձագիտական կազմակերպությանը):</w:t>
      </w:r>
    </w:p>
    <w:p w14:paraId="078098FD" w14:textId="3CC0F0C2" w:rsidR="00BC53C9" w:rsidRPr="006F28F9" w:rsidRDefault="00BC53C9" w:rsidP="00BC53C9">
      <w:pPr>
        <w:rPr>
          <w:b/>
          <w:bCs/>
          <w:i/>
          <w:iCs/>
        </w:rPr>
      </w:pPr>
      <w:r w:rsidRPr="00CD4709">
        <w:rPr>
          <w:b/>
          <w:bCs/>
          <w:i/>
          <w:iCs/>
        </w:rPr>
        <w:t>(</w:t>
      </w:r>
      <w:r>
        <w:rPr>
          <w:b/>
          <w:bCs/>
          <w:i/>
          <w:iCs/>
        </w:rPr>
        <w:t xml:space="preserve">177-րդ կետը </w:t>
      </w:r>
      <w:r w:rsidRPr="00CD4709">
        <w:rPr>
          <w:b/>
          <w:bCs/>
          <w:i/>
          <w:iCs/>
        </w:rPr>
        <w:t>փոփ. 30.01.20 թիվ 9</w:t>
      </w:r>
      <w:r w:rsidR="001C75F9">
        <w:rPr>
          <w:b/>
          <w:bCs/>
          <w:i/>
          <w:iCs/>
        </w:rPr>
        <w:t>, 17.03.22 թիվ 36</w:t>
      </w:r>
      <w:r w:rsidRPr="00CD4709">
        <w:rPr>
          <w:b/>
          <w:bCs/>
          <w:i/>
          <w:iCs/>
        </w:rPr>
        <w:t>)</w:t>
      </w:r>
    </w:p>
    <w:p w14:paraId="4CFC561E" w14:textId="77777777" w:rsidR="00BC53C9" w:rsidRPr="00834D52" w:rsidRDefault="00BC53C9" w:rsidP="008C52C3">
      <w:pPr>
        <w:tabs>
          <w:tab w:val="left" w:pos="1134"/>
        </w:tabs>
        <w:spacing w:after="160" w:line="384" w:lineRule="auto"/>
        <w:ind w:right="-6" w:firstLine="567"/>
        <w:jc w:val="both"/>
        <w:rPr>
          <w:rFonts w:ascii="Sylfaen" w:eastAsia="Times New Roman" w:hAnsi="Sylfaen" w:cs="Times New Roman"/>
          <w:sz w:val="24"/>
          <w:szCs w:val="24"/>
        </w:rPr>
      </w:pPr>
    </w:p>
    <w:p w14:paraId="1835B4C8" w14:textId="61D2E491"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178.</w:t>
      </w:r>
      <w:r w:rsidRPr="00834D52">
        <w:rPr>
          <w:rFonts w:ascii="Sylfaen" w:hAnsi="Sylfaen"/>
          <w:sz w:val="24"/>
          <w:szCs w:val="24"/>
        </w:rPr>
        <w:tab/>
        <w:t xml:space="preserve">Ըստ դեղապատրաստուկի գրանցման դոսյեի փորձաքննության արդյունքների՝ ռեֆերենտ պետության լիազորված մարմնի (փորձագիտական կազմակերպության) կողմից կազմվում </w:t>
      </w:r>
      <w:r w:rsidR="00C54D75">
        <w:rPr>
          <w:rFonts w:ascii="Sylfaen" w:hAnsi="Sylfaen"/>
          <w:sz w:val="24"/>
          <w:szCs w:val="24"/>
        </w:rPr>
        <w:t>և</w:t>
      </w:r>
      <w:r w:rsidRPr="00834D52">
        <w:rPr>
          <w:rFonts w:ascii="Sylfaen" w:hAnsi="Sylfaen"/>
          <w:sz w:val="24"/>
          <w:szCs w:val="24"/>
        </w:rPr>
        <w:t xml:space="preserve"> հաստատվում է գնահատման վերաբերյալ փորձագիտական հաշվետվություն՝ սույն Կանոնների </w:t>
      </w:r>
      <w:r w:rsidR="006E7104" w:rsidRPr="00F06D43">
        <w:rPr>
          <w:rFonts w:ascii="Sylfaen" w:hAnsi="Sylfaen"/>
          <w:sz w:val="24"/>
          <w:szCs w:val="24"/>
        </w:rPr>
        <w:br/>
      </w:r>
      <w:r w:rsidR="003F283E">
        <w:rPr>
          <w:rFonts w:ascii="Sylfaen" w:hAnsi="Sylfaen"/>
          <w:sz w:val="24"/>
          <w:szCs w:val="24"/>
        </w:rPr>
        <w:t xml:space="preserve">թիվ </w:t>
      </w:r>
      <w:r w:rsidRPr="00834D52">
        <w:rPr>
          <w:rFonts w:ascii="Sylfaen" w:hAnsi="Sylfaen"/>
          <w:sz w:val="24"/>
          <w:szCs w:val="24"/>
        </w:rPr>
        <w:t>16 հավելվածին համապատասխան ձ</w:t>
      </w:r>
      <w:r w:rsidR="00C54D75">
        <w:rPr>
          <w:rFonts w:ascii="Sylfaen" w:hAnsi="Sylfaen"/>
          <w:sz w:val="24"/>
          <w:szCs w:val="24"/>
        </w:rPr>
        <w:t>և</w:t>
      </w:r>
      <w:r w:rsidRPr="00834D52">
        <w:rPr>
          <w:rFonts w:ascii="Sylfaen" w:hAnsi="Sylfaen"/>
          <w:sz w:val="24"/>
          <w:szCs w:val="24"/>
        </w:rPr>
        <w:t xml:space="preserve">ով՝ ներառյալ փորձագիտական կազմակերպության կամ լիազորված մարմնի հարցմանն ի պատասխան ներկայացված, </w:t>
      </w:r>
      <w:r w:rsidR="0056496B">
        <w:rPr>
          <w:rFonts w:ascii="Sylfaen" w:hAnsi="Sylfaen"/>
          <w:sz w:val="24"/>
          <w:szCs w:val="24"/>
        </w:rPr>
        <w:t>դիմումատու</w:t>
      </w:r>
      <w:r w:rsidRPr="00834D52">
        <w:rPr>
          <w:rFonts w:ascii="Sylfaen" w:hAnsi="Sylfaen"/>
          <w:sz w:val="24"/>
          <w:szCs w:val="24"/>
        </w:rPr>
        <w:t xml:space="preserve">ից ստացված պարզաբանումների, փաստաթղթերի </w:t>
      </w:r>
      <w:r w:rsidR="00C54D75">
        <w:rPr>
          <w:rFonts w:ascii="Sylfaen" w:hAnsi="Sylfaen"/>
          <w:sz w:val="24"/>
          <w:szCs w:val="24"/>
        </w:rPr>
        <w:t>և</w:t>
      </w:r>
      <w:r w:rsidRPr="00834D52">
        <w:rPr>
          <w:rFonts w:ascii="Sylfaen" w:hAnsi="Sylfaen"/>
          <w:sz w:val="24"/>
          <w:szCs w:val="24"/>
        </w:rPr>
        <w:t xml:space="preserve"> տվյալների գնահատականը:</w:t>
      </w:r>
    </w:p>
    <w:p w14:paraId="5F651E38" w14:textId="20D9DEBC" w:rsidR="006F76EB" w:rsidRDefault="006F76EB" w:rsidP="00C343E2">
      <w:pPr>
        <w:tabs>
          <w:tab w:val="left" w:pos="1701"/>
        </w:tabs>
        <w:spacing w:after="160" w:line="384" w:lineRule="auto"/>
        <w:ind w:right="-8" w:firstLine="567"/>
        <w:jc w:val="both"/>
        <w:rPr>
          <w:rFonts w:ascii="Sylfaen" w:hAnsi="Sylfaen"/>
          <w:sz w:val="24"/>
          <w:szCs w:val="24"/>
        </w:rPr>
      </w:pPr>
      <w:r w:rsidRPr="00834D52">
        <w:rPr>
          <w:rFonts w:ascii="Sylfaen" w:hAnsi="Sylfaen"/>
          <w:sz w:val="24"/>
          <w:szCs w:val="24"/>
        </w:rPr>
        <w:t>Դեղապատրաստուկի գրանցման դոսյեն Միության պահանջներին համապատասխանեցնելու ընթացակարգի շրջանակներում դեղապատրաստուկի գրանցման դոսյեի փորձաքննություն անցկացնելու ժամանակ օգուտ-ռիսկ հարաբերակցության վերագնահատում չի կատարվում՝ բացառությամբ սույն Կանոնների 181-րդ կետում նշված դեպքերի:</w:t>
      </w:r>
    </w:p>
    <w:p w14:paraId="50CAC653" w14:textId="1CF1487E" w:rsidR="00BC53C9" w:rsidRPr="006F28F9" w:rsidRDefault="00BC53C9" w:rsidP="00BC53C9">
      <w:pPr>
        <w:rPr>
          <w:b/>
          <w:bCs/>
          <w:i/>
          <w:iCs/>
        </w:rPr>
      </w:pPr>
      <w:r w:rsidRPr="00CD4709">
        <w:rPr>
          <w:b/>
          <w:bCs/>
          <w:i/>
          <w:iCs/>
        </w:rPr>
        <w:t>(</w:t>
      </w:r>
      <w:r>
        <w:rPr>
          <w:b/>
          <w:bCs/>
          <w:i/>
          <w:iCs/>
        </w:rPr>
        <w:t xml:space="preserve">178-րդ կետը </w:t>
      </w:r>
      <w:r w:rsidRPr="00CD4709">
        <w:rPr>
          <w:b/>
          <w:bCs/>
          <w:i/>
          <w:iCs/>
        </w:rPr>
        <w:t>փոփ. 30.01.20 թիվ 9)</w:t>
      </w:r>
    </w:p>
    <w:p w14:paraId="61428A91" w14:textId="77777777" w:rsidR="00BC53C9" w:rsidRPr="00834D52" w:rsidRDefault="00BC53C9" w:rsidP="00C343E2">
      <w:pPr>
        <w:tabs>
          <w:tab w:val="left" w:pos="1701"/>
        </w:tabs>
        <w:spacing w:after="160" w:line="384" w:lineRule="auto"/>
        <w:ind w:right="-8" w:firstLine="567"/>
        <w:jc w:val="both"/>
        <w:rPr>
          <w:rFonts w:ascii="Sylfaen" w:eastAsia="Times New Roman" w:hAnsi="Sylfaen" w:cs="Times New Roman"/>
          <w:sz w:val="24"/>
          <w:szCs w:val="24"/>
        </w:rPr>
      </w:pPr>
    </w:p>
    <w:p w14:paraId="454521B6" w14:textId="62FDF3BD"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179.</w:t>
      </w:r>
      <w:r w:rsidRPr="00834D52">
        <w:rPr>
          <w:rFonts w:ascii="Sylfaen" w:hAnsi="Sylfaen"/>
          <w:sz w:val="24"/>
          <w:szCs w:val="24"/>
        </w:rPr>
        <w:tab/>
        <w:t>Ռեֆերենտ պետության լիազորված մարմինը մերժում է դեղապատրաստուկի գրանցման դոսյեն Միության պահանջներին համապատասխանեցնելը, եթե դեղապատրաստուկի գրանցման դոսյեի փորձաքննության արդյունքներով սահմանվել է, որ դրա որակը չի հաստատվել, կամ, սույն Կանոնների 178-րդ կետի երկրորդ մասին համապատասխան, բացա</w:t>
      </w:r>
      <w:r w:rsidR="00FD1F71">
        <w:rPr>
          <w:rFonts w:ascii="Sylfaen" w:hAnsi="Sylfaen"/>
          <w:sz w:val="24"/>
          <w:szCs w:val="24"/>
        </w:rPr>
        <w:t>հայտ</w:t>
      </w:r>
      <w:r w:rsidRPr="00834D52">
        <w:rPr>
          <w:rFonts w:ascii="Sylfaen" w:hAnsi="Sylfaen"/>
          <w:sz w:val="24"/>
          <w:szCs w:val="24"/>
        </w:rPr>
        <w:t>վել է օգուտ-ռիսկ անբարենպաստ հարաբերակցությունը:</w:t>
      </w:r>
    </w:p>
    <w:p w14:paraId="082B1504" w14:textId="339717DE" w:rsidR="006F76EB" w:rsidRPr="00834D52" w:rsidRDefault="006F76EB" w:rsidP="00383C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180.</w:t>
      </w:r>
      <w:r w:rsidRPr="00834D52">
        <w:rPr>
          <w:rFonts w:ascii="Sylfaen" w:hAnsi="Sylfaen"/>
          <w:sz w:val="24"/>
          <w:szCs w:val="24"/>
        </w:rPr>
        <w:tab/>
        <w:t xml:space="preserve">Ըստ դեղապատրաստուկի գրանցման դոսյեի անցկացված փորձաքննության արդյունքների </w:t>
      </w:r>
      <w:r w:rsidR="00C54D75">
        <w:rPr>
          <w:rFonts w:ascii="Sylfaen" w:hAnsi="Sylfaen"/>
          <w:sz w:val="24"/>
          <w:szCs w:val="24"/>
        </w:rPr>
        <w:t>և</w:t>
      </w:r>
      <w:r w:rsidRPr="00834D52">
        <w:rPr>
          <w:rFonts w:ascii="Sylfaen" w:hAnsi="Sylfaen"/>
          <w:sz w:val="24"/>
          <w:szCs w:val="24"/>
        </w:rPr>
        <w:t xml:space="preserve"> դեղապատրաստուկի գրանցման դոսյեն սույն Կանոնների պահանջներին համապատասխանության մասին դրական որոշում ընդունելու պայմանի դեպքում՝ այն անդամ պետությունների լիազորված մարմինները, որտեղ գրանցված է տվյալ պատրաստուկը </w:t>
      </w:r>
      <w:r w:rsidR="00C54D75">
        <w:rPr>
          <w:rFonts w:ascii="Sylfaen" w:hAnsi="Sylfaen"/>
          <w:sz w:val="24"/>
          <w:szCs w:val="24"/>
        </w:rPr>
        <w:t>և</w:t>
      </w:r>
      <w:r w:rsidRPr="00834D52">
        <w:rPr>
          <w:rFonts w:ascii="Sylfaen" w:hAnsi="Sylfaen"/>
          <w:sz w:val="24"/>
          <w:szCs w:val="24"/>
        </w:rPr>
        <w:t xml:space="preserve"> որտեղ տրվել է դեղապատրաստուկի գրանցման դոսյեն Միության պահանջներին համապատասխանեցնելու մասին դիմումը,</w:t>
      </w:r>
      <w:r w:rsidR="001C75F9" w:rsidRPr="001C75F9">
        <w:t xml:space="preserve"> </w:t>
      </w:r>
      <w:r w:rsidR="001C75F9" w:rsidRPr="001C75F9">
        <w:rPr>
          <w:rFonts w:ascii="Sylfaen" w:hAnsi="Sylfaen"/>
          <w:sz w:val="24"/>
          <w:szCs w:val="24"/>
        </w:rPr>
        <w:t>գնահատման մասով փորձագիտական հաշվետվության ստացման օրվանից 10 աշխատանքային օրը չգերազանցող ժամկետում,</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ին տրամադրում են սույն կանոնների </w:t>
      </w:r>
      <w:r w:rsidR="003F283E">
        <w:rPr>
          <w:rFonts w:ascii="Sylfaen" w:hAnsi="Sylfaen"/>
          <w:sz w:val="24"/>
          <w:szCs w:val="24"/>
        </w:rPr>
        <w:t xml:space="preserve">թիվ </w:t>
      </w:r>
      <w:r w:rsidRPr="00834D52">
        <w:rPr>
          <w:rFonts w:ascii="Sylfaen" w:hAnsi="Sylfaen"/>
          <w:sz w:val="24"/>
          <w:szCs w:val="24"/>
        </w:rPr>
        <w:t>17 հավելվածին համապատասխան ձ</w:t>
      </w:r>
      <w:r w:rsidR="00C54D75">
        <w:rPr>
          <w:rFonts w:ascii="Sylfaen" w:hAnsi="Sylfaen"/>
          <w:sz w:val="24"/>
          <w:szCs w:val="24"/>
        </w:rPr>
        <w:t>և</w:t>
      </w:r>
      <w:r w:rsidRPr="00834D52">
        <w:rPr>
          <w:rFonts w:ascii="Sylfaen" w:hAnsi="Sylfaen"/>
          <w:sz w:val="24"/>
          <w:szCs w:val="24"/>
        </w:rPr>
        <w:t xml:space="preserve">ով դեղապատրաստուկի գրանցման հավաստագիր, հաստատված ԴԸԲ-ները, բժշկական կիրառման հրահանգները, որակին առնչվող նորմատիվ փաստաթղթերը, դեղապատրաստուկի փաթեթվածքների մակետները (անհրաժեշտության դեպքում </w:t>
      </w:r>
      <w:r w:rsidR="0056496B">
        <w:rPr>
          <w:rFonts w:ascii="Sylfaen" w:hAnsi="Sylfaen"/>
          <w:sz w:val="24"/>
          <w:szCs w:val="24"/>
        </w:rPr>
        <w:t>դիմումատու</w:t>
      </w:r>
      <w:r w:rsidRPr="00834D52">
        <w:rPr>
          <w:rFonts w:ascii="Sylfaen" w:hAnsi="Sylfaen"/>
          <w:sz w:val="24"/>
          <w:szCs w:val="24"/>
        </w:rPr>
        <w:t>ին տրվում է գնահատման վերաբերյալ փորձագիտական հաշվետվություն, ինչպես նա</w:t>
      </w:r>
      <w:r w:rsidR="00C54D75">
        <w:rPr>
          <w:rFonts w:ascii="Sylfaen" w:hAnsi="Sylfaen"/>
          <w:sz w:val="24"/>
          <w:szCs w:val="24"/>
        </w:rPr>
        <w:t>և</w:t>
      </w:r>
      <w:r w:rsidRPr="00834D52">
        <w:rPr>
          <w:rFonts w:ascii="Sylfaen" w:hAnsi="Sylfaen"/>
          <w:sz w:val="24"/>
          <w:szCs w:val="24"/>
        </w:rPr>
        <w:t xml:space="preserve"> այդ անդամ պետությունների պետական լեզվով հաստատված ԴԸԲ-ները, բժշկական կիրառման հրահանգը </w:t>
      </w:r>
      <w:r w:rsidR="00C54D75">
        <w:rPr>
          <w:rFonts w:ascii="Sylfaen" w:hAnsi="Sylfaen"/>
          <w:sz w:val="24"/>
          <w:szCs w:val="24"/>
        </w:rPr>
        <w:t>և</w:t>
      </w:r>
      <w:r w:rsidRPr="00834D52">
        <w:rPr>
          <w:rFonts w:ascii="Sylfaen" w:hAnsi="Sylfaen"/>
          <w:sz w:val="24"/>
          <w:szCs w:val="24"/>
        </w:rPr>
        <w:t xml:space="preserve"> դեղապատրաստուկի փաթեթվածքների մակետները՝ այդ անդամ պետությունների օրենսդրությունում համապատասխան պահանջների առկայության դեպքում), ռիսկերի կառավարման համաձայնեցված նախագիծը (անհրաժեշտության դեպքում), </w:t>
      </w:r>
      <w:r w:rsidR="00C54D75">
        <w:rPr>
          <w:rFonts w:ascii="Sylfaen" w:hAnsi="Sylfaen"/>
          <w:sz w:val="24"/>
          <w:szCs w:val="24"/>
        </w:rPr>
        <w:t>և</w:t>
      </w:r>
      <w:r w:rsidRPr="00834D52">
        <w:rPr>
          <w:rFonts w:ascii="Sylfaen" w:hAnsi="Sylfaen"/>
          <w:sz w:val="24"/>
          <w:szCs w:val="24"/>
        </w:rPr>
        <w:t xml:space="preserve"> միասնական ռեեստրի մեջ մուտքագրվում են դեղապատրաստուկի գրանցման մասին տեղեկությունները։</w:t>
      </w:r>
    </w:p>
    <w:p w14:paraId="77D20262" w14:textId="37035A0A" w:rsidR="006F76EB" w:rsidRDefault="006F76EB" w:rsidP="00383CCF">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Անդամ պետությունների լիազորված մարմինները, ըստ Միության պահանջներին համապատասխանեցնելու ընթացակարգի արդյունքների, </w:t>
      </w:r>
      <w:r w:rsidR="0056496B">
        <w:rPr>
          <w:rFonts w:ascii="Sylfaen" w:hAnsi="Sylfaen"/>
          <w:sz w:val="24"/>
          <w:szCs w:val="24"/>
        </w:rPr>
        <w:t>դիմումատու</w:t>
      </w:r>
      <w:r w:rsidRPr="00834D52">
        <w:rPr>
          <w:rFonts w:ascii="Sylfaen" w:hAnsi="Sylfaen"/>
          <w:sz w:val="24"/>
          <w:szCs w:val="24"/>
        </w:rPr>
        <w:t xml:space="preserve">ին տալիս են անժամկետ գրանցման հավաստագիր, եթե դեղապատրաստուկը գրանցված է եղել 3 անդամ պետություններում՝ 5 </w:t>
      </w:r>
      <w:r w:rsidR="00C54D75">
        <w:rPr>
          <w:rFonts w:ascii="Sylfaen" w:hAnsi="Sylfaen"/>
          <w:sz w:val="24"/>
          <w:szCs w:val="24"/>
        </w:rPr>
        <w:t>և</w:t>
      </w:r>
      <w:r w:rsidRPr="00834D52">
        <w:rPr>
          <w:rFonts w:ascii="Sylfaen" w:hAnsi="Sylfaen"/>
          <w:sz w:val="24"/>
          <w:szCs w:val="24"/>
        </w:rPr>
        <w:t xml:space="preserve"> ավելի տարիների ընթացքում: Եթե դեղապատրաստուկը գրանցված է եղել 3 անդամ պետություններում 5 տարուց պակաս, ռեֆերենտ պետության լիազորված մարմինը, ըստ Միության պահանջներին համապատասխանեցնելու ընթացակարգի արդյունքների, </w:t>
      </w:r>
      <w:r w:rsidR="0056496B">
        <w:rPr>
          <w:rFonts w:ascii="Sylfaen" w:hAnsi="Sylfaen"/>
          <w:sz w:val="24"/>
          <w:szCs w:val="24"/>
        </w:rPr>
        <w:t>դիմումատու</w:t>
      </w:r>
      <w:r w:rsidRPr="00834D52">
        <w:rPr>
          <w:rFonts w:ascii="Sylfaen" w:hAnsi="Sylfaen"/>
          <w:sz w:val="24"/>
          <w:szCs w:val="24"/>
        </w:rPr>
        <w:t xml:space="preserve">ին տալիս է գրանցման հավաստագիր՝ 5 տարի գործողության ժամկետով </w:t>
      </w:r>
      <w:r w:rsidR="00C54D75">
        <w:rPr>
          <w:rFonts w:ascii="Sylfaen" w:hAnsi="Sylfaen"/>
          <w:sz w:val="24"/>
          <w:szCs w:val="24"/>
        </w:rPr>
        <w:t>և</w:t>
      </w:r>
      <w:r w:rsidRPr="00834D52">
        <w:rPr>
          <w:rFonts w:ascii="Sylfaen" w:hAnsi="Sylfaen"/>
          <w:sz w:val="24"/>
          <w:szCs w:val="24"/>
        </w:rPr>
        <w:t xml:space="preserve"> գրանցման (վերագրանցման) հաստատման </w:t>
      </w:r>
      <w:r w:rsidRPr="00834D52">
        <w:rPr>
          <w:rFonts w:ascii="Sylfaen" w:hAnsi="Sylfaen"/>
          <w:sz w:val="24"/>
          <w:szCs w:val="24"/>
        </w:rPr>
        <w:lastRenderedPageBreak/>
        <w:t>անհրաժեշտությամբ՝ մինչ</w:t>
      </w:r>
      <w:r w:rsidR="00C54D75">
        <w:rPr>
          <w:rFonts w:ascii="Sylfaen" w:hAnsi="Sylfaen"/>
          <w:sz w:val="24"/>
          <w:szCs w:val="24"/>
        </w:rPr>
        <w:t>և</w:t>
      </w:r>
      <w:r w:rsidRPr="00834D52">
        <w:rPr>
          <w:rFonts w:ascii="Sylfaen" w:hAnsi="Sylfaen"/>
          <w:sz w:val="24"/>
          <w:szCs w:val="24"/>
        </w:rPr>
        <w:t xml:space="preserve"> դրա գործողության ժամկետի ավարտը: Այդ դեպքում այն անդամ պետության լիազորված մարմինները, որտեղ տրվել է Միության պահանջներին համապատասխանեցման դիմումը, </w:t>
      </w:r>
      <w:r w:rsidR="0056496B">
        <w:rPr>
          <w:rFonts w:ascii="Sylfaen" w:hAnsi="Sylfaen"/>
          <w:sz w:val="24"/>
          <w:szCs w:val="24"/>
        </w:rPr>
        <w:t>դիմումատու</w:t>
      </w:r>
      <w:r w:rsidRPr="00834D52">
        <w:rPr>
          <w:rFonts w:ascii="Sylfaen" w:hAnsi="Sylfaen"/>
          <w:sz w:val="24"/>
          <w:szCs w:val="24"/>
        </w:rPr>
        <w:t>ին տալիս են գրանցման հավաստագիր՝ ռեֆերենտ պետության կողմից նշված գործողության ժամկետով:</w:t>
      </w:r>
    </w:p>
    <w:p w14:paraId="16A1F226" w14:textId="69A8F5D5" w:rsidR="00012E47" w:rsidRDefault="00012E47" w:rsidP="00383CCF">
      <w:pPr>
        <w:tabs>
          <w:tab w:val="left" w:pos="1134"/>
        </w:tabs>
        <w:spacing w:after="160" w:line="360" w:lineRule="auto"/>
        <w:ind w:right="-8" w:firstLine="567"/>
        <w:jc w:val="both"/>
        <w:rPr>
          <w:rFonts w:ascii="Sylfaen" w:hAnsi="Sylfaen"/>
          <w:sz w:val="24"/>
          <w:szCs w:val="24"/>
        </w:rPr>
      </w:pPr>
      <w:r w:rsidRPr="00012E47">
        <w:rPr>
          <w:rFonts w:ascii="Sylfaen" w:hAnsi="Sylfaen"/>
          <w:sz w:val="24"/>
          <w:szCs w:val="24"/>
        </w:rPr>
        <w:t xml:space="preserve">Դեղապատրաստուկի գրանցման դոսյեն Միության պահանջներին համապատասխանեցնելուց հետո թույլատրվում է անդամ պետության օրենսդրությանը համապատասխան տրված գրանցման հավաստագրով </w:t>
      </w:r>
      <w:r w:rsidR="001C75F9" w:rsidRPr="001C75F9">
        <w:rPr>
          <w:rFonts w:ascii="Sylfaen" w:hAnsi="Sylfaen"/>
          <w:sz w:val="24"/>
          <w:szCs w:val="24"/>
        </w:rPr>
        <w:t>անդամ պետություններում և երրորդ երկրներում դեղապատրաստուկի</w:t>
      </w:r>
      <w:r w:rsidRPr="00012E47">
        <w:rPr>
          <w:rFonts w:ascii="Sylfaen" w:hAnsi="Sylfaen"/>
          <w:sz w:val="24"/>
          <w:szCs w:val="24"/>
        </w:rPr>
        <w:t>՝ գրանցման դոսյեն Միության պահանջներին համապատասխանեցնելու օրվանից հետո 180 օրացուցային օրվա ընթացքում (համապատասխանեցման օր է համարվում համապատասխան տեղեկությունները միասնական ռեեստրում ներառելու օրը)։</w:t>
      </w:r>
    </w:p>
    <w:p w14:paraId="35F89D3E" w14:textId="325AA141" w:rsidR="00012E47" w:rsidRDefault="001C75F9" w:rsidP="00383CCF">
      <w:pPr>
        <w:tabs>
          <w:tab w:val="left" w:pos="1134"/>
        </w:tabs>
        <w:spacing w:after="160" w:line="360" w:lineRule="auto"/>
        <w:ind w:right="-8" w:firstLine="567"/>
        <w:jc w:val="both"/>
        <w:rPr>
          <w:rFonts w:ascii="Sylfaen" w:hAnsi="Sylfaen"/>
          <w:sz w:val="24"/>
          <w:szCs w:val="24"/>
        </w:rPr>
      </w:pPr>
      <w:r>
        <w:rPr>
          <w:rFonts w:ascii="Arial Unicode" w:hAnsi="Arial Unicode"/>
          <w:sz w:val="21"/>
          <w:szCs w:val="21"/>
        </w:rPr>
        <w:t>Թույլատրվում է փաստաթղթերին և անդամ պետությունների օրենսդրությանը համապատասխան հաստատված գրանցման դոսյեի և Միության պահանջներին համապատասխանեցված գրանցման դոսյեի տեղեկություններին համապատասխանող՝ մինչ սույն կետի երրորդ պարբերությունում նշված դեղապատրաստուկների պիտանիության ժամկետի (պահպանման ժամկետի) ավարտը դրանց ներմուծումը, միաժամանակյա իրացումը և բժշկական կիրառումը</w:t>
      </w:r>
      <w:r w:rsidR="00012E47">
        <w:rPr>
          <w:rFonts w:ascii="Sylfaen" w:hAnsi="Sylfaen"/>
          <w:sz w:val="24"/>
          <w:szCs w:val="24"/>
        </w:rPr>
        <w:t>:</w:t>
      </w:r>
    </w:p>
    <w:p w14:paraId="7A16F209" w14:textId="2B4B6519" w:rsidR="00BC53C9" w:rsidRPr="00012E47" w:rsidRDefault="00BC53C9" w:rsidP="00BC53C9">
      <w:pPr>
        <w:rPr>
          <w:b/>
          <w:bCs/>
          <w:i/>
          <w:iCs/>
        </w:rPr>
      </w:pPr>
      <w:r w:rsidRPr="00CD4709">
        <w:rPr>
          <w:b/>
          <w:bCs/>
          <w:i/>
          <w:iCs/>
        </w:rPr>
        <w:t>(</w:t>
      </w:r>
      <w:r>
        <w:rPr>
          <w:b/>
          <w:bCs/>
          <w:i/>
          <w:iCs/>
        </w:rPr>
        <w:t xml:space="preserve">180-րդ կետը </w:t>
      </w:r>
      <w:r w:rsidRPr="00CD4709">
        <w:rPr>
          <w:b/>
          <w:bCs/>
          <w:i/>
          <w:iCs/>
        </w:rPr>
        <w:t>փոփ.</w:t>
      </w:r>
      <w:r w:rsidR="00012E47">
        <w:rPr>
          <w:b/>
          <w:bCs/>
          <w:i/>
          <w:iCs/>
        </w:rPr>
        <w:t>, լրաց.</w:t>
      </w:r>
      <w:r w:rsidRPr="00CD4709">
        <w:rPr>
          <w:b/>
          <w:bCs/>
          <w:i/>
          <w:iCs/>
        </w:rPr>
        <w:t xml:space="preserve"> 30.01.20 թիվ 9</w:t>
      </w:r>
      <w:r w:rsidR="001C75F9">
        <w:rPr>
          <w:b/>
          <w:bCs/>
          <w:i/>
          <w:iCs/>
        </w:rPr>
        <w:t>, լրաց., փոփ., խմբ. 17.03.22 թիվ 36</w:t>
      </w:r>
      <w:r w:rsidRPr="00CD4709">
        <w:rPr>
          <w:b/>
          <w:bCs/>
          <w:i/>
          <w:iCs/>
        </w:rPr>
        <w:t>)</w:t>
      </w:r>
    </w:p>
    <w:p w14:paraId="3B8BB7CC" w14:textId="77777777" w:rsidR="00BC53C9" w:rsidRPr="00834D52" w:rsidRDefault="00BC53C9" w:rsidP="00383CCF">
      <w:pPr>
        <w:tabs>
          <w:tab w:val="left" w:pos="1134"/>
        </w:tabs>
        <w:spacing w:after="160" w:line="360" w:lineRule="auto"/>
        <w:ind w:right="-8" w:firstLine="567"/>
        <w:jc w:val="both"/>
        <w:rPr>
          <w:rFonts w:ascii="Sylfaen" w:eastAsia="Times New Roman" w:hAnsi="Sylfaen" w:cs="Times New Roman"/>
          <w:sz w:val="24"/>
          <w:szCs w:val="24"/>
        </w:rPr>
      </w:pPr>
    </w:p>
    <w:p w14:paraId="4EB251D4" w14:textId="77777777" w:rsidR="006F76EB" w:rsidRPr="00834D52" w:rsidRDefault="006F76EB" w:rsidP="00383C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181.</w:t>
      </w:r>
      <w:r w:rsidRPr="00834D52">
        <w:rPr>
          <w:rFonts w:ascii="Sylfaen" w:hAnsi="Sylfaen"/>
          <w:sz w:val="24"/>
          <w:szCs w:val="24"/>
        </w:rPr>
        <w:tab/>
        <w:t xml:space="preserve">Դեղապատրաստուկները փոխադարձ ճանաչման ընթացակարգով կարող են ներկայացված լինել </w:t>
      </w:r>
      <w:r w:rsidR="0032680A">
        <w:rPr>
          <w:rFonts w:ascii="Sylfaen" w:hAnsi="Sylfaen"/>
          <w:sz w:val="24"/>
          <w:szCs w:val="24"/>
        </w:rPr>
        <w:t xml:space="preserve">ռեֆերենտ </w:t>
      </w:r>
      <w:r w:rsidRPr="00834D52">
        <w:rPr>
          <w:rFonts w:ascii="Sylfaen" w:hAnsi="Sylfaen"/>
          <w:sz w:val="24"/>
          <w:szCs w:val="24"/>
        </w:rPr>
        <w:t>այն անդամ պետություններում, որտեղ տվյալ դեղապատրաստուկը գրանցված է եղել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մինչ</w:t>
      </w:r>
      <w:r w:rsidR="00C54D75">
        <w:rPr>
          <w:rFonts w:ascii="Sylfaen" w:hAnsi="Sylfaen"/>
          <w:sz w:val="24"/>
          <w:szCs w:val="24"/>
        </w:rPr>
        <w:t>և</w:t>
      </w:r>
      <w:r w:rsidRPr="00834D52">
        <w:rPr>
          <w:rFonts w:ascii="Sylfaen" w:hAnsi="Sylfaen"/>
          <w:sz w:val="24"/>
          <w:szCs w:val="24"/>
        </w:rPr>
        <w:t xml:space="preserve"> դրա գրանցման դոսյեն Միության պահանջներին համապատասխանեցնելը:</w:t>
      </w:r>
    </w:p>
    <w:p w14:paraId="0E0B639B" w14:textId="1E07ACC2" w:rsidR="005E476A" w:rsidRPr="005E476A" w:rsidRDefault="006F76EB" w:rsidP="005E476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182.</w:t>
      </w:r>
      <w:r w:rsidRPr="00834D52">
        <w:rPr>
          <w:rFonts w:ascii="Sylfaen" w:hAnsi="Sylfaen"/>
          <w:sz w:val="24"/>
          <w:szCs w:val="24"/>
        </w:rPr>
        <w:tab/>
      </w:r>
      <w:r w:rsidR="005E476A" w:rsidRPr="005E476A">
        <w:rPr>
          <w:rFonts w:ascii="Sylfaen" w:hAnsi="Sylfaen"/>
          <w:sz w:val="24"/>
          <w:szCs w:val="24"/>
        </w:rPr>
        <w:t xml:space="preserve">Միության պահանջներին համապատասխանեցնելու շրջանակներում այն անդամ պետությունում փոխադարձ ճանաչման ընթացակարգով հետագա գրանցման համար, որտեղ տվյալ դեղապատրաստուկը չի գրանցվել կամ ներկայացվել է գրանցման՝ անդամ պետության օրենսդրությանը </w:t>
      </w:r>
      <w:r w:rsidR="005E476A" w:rsidRPr="005E476A">
        <w:rPr>
          <w:rFonts w:ascii="Sylfaen" w:hAnsi="Sylfaen"/>
          <w:sz w:val="24"/>
          <w:szCs w:val="24"/>
        </w:rPr>
        <w:lastRenderedPageBreak/>
        <w:t xml:space="preserve">համապատասխան, հայտատուն ռեֆերենտ պետության լիազորված մարմին (փորձագիտական կազմակերպություն) է ներկայացնում՝ </w:t>
      </w:r>
    </w:p>
    <w:p w14:paraId="65F8E7DB" w14:textId="77777777" w:rsidR="005E476A" w:rsidRPr="005E476A" w:rsidRDefault="005E476A" w:rsidP="005E476A">
      <w:pPr>
        <w:tabs>
          <w:tab w:val="left" w:pos="1134"/>
        </w:tabs>
        <w:spacing w:after="160" w:line="384" w:lineRule="auto"/>
        <w:ind w:right="-6" w:firstLine="567"/>
        <w:jc w:val="both"/>
        <w:rPr>
          <w:rFonts w:ascii="Sylfaen" w:hAnsi="Sylfaen"/>
          <w:sz w:val="24"/>
          <w:szCs w:val="24"/>
        </w:rPr>
      </w:pPr>
      <w:r w:rsidRPr="005E476A">
        <w:rPr>
          <w:rFonts w:ascii="Sylfaen" w:hAnsi="Sylfaen"/>
          <w:sz w:val="24"/>
          <w:szCs w:val="24"/>
        </w:rPr>
        <w:t>ըստ սույն կանոնների թիվ 2 հավելվածին համապատասխան սահմանված ձևի՝ թղթային կրիչով կամ էլեկտրոնային ստորագրությամբ ստորագրված ձևով էլեկտրոնային փաստաթղթի տեսքով հայտը.</w:t>
      </w:r>
    </w:p>
    <w:p w14:paraId="18E39F64" w14:textId="77777777" w:rsidR="005E476A" w:rsidRPr="005E476A" w:rsidRDefault="005E476A" w:rsidP="005E476A">
      <w:pPr>
        <w:tabs>
          <w:tab w:val="left" w:pos="1134"/>
        </w:tabs>
        <w:spacing w:after="160" w:line="384" w:lineRule="auto"/>
        <w:ind w:right="-6" w:firstLine="567"/>
        <w:jc w:val="both"/>
        <w:rPr>
          <w:rFonts w:ascii="Sylfaen" w:hAnsi="Sylfaen"/>
          <w:sz w:val="24"/>
          <w:szCs w:val="24"/>
        </w:rPr>
      </w:pPr>
    </w:p>
    <w:p w14:paraId="4BAA93D7" w14:textId="46A75F81" w:rsidR="005E476A" w:rsidRPr="005E476A" w:rsidRDefault="005E476A" w:rsidP="005E476A">
      <w:pPr>
        <w:tabs>
          <w:tab w:val="left" w:pos="1134"/>
        </w:tabs>
        <w:spacing w:after="160" w:line="384" w:lineRule="auto"/>
        <w:ind w:right="-6" w:firstLine="567"/>
        <w:jc w:val="both"/>
        <w:rPr>
          <w:rFonts w:ascii="Sylfaen" w:hAnsi="Sylfaen"/>
          <w:sz w:val="24"/>
          <w:szCs w:val="24"/>
        </w:rPr>
      </w:pPr>
      <w:r w:rsidRPr="005E476A">
        <w:rPr>
          <w:rFonts w:ascii="Sylfaen" w:hAnsi="Sylfaen"/>
          <w:sz w:val="24"/>
          <w:szCs w:val="24"/>
        </w:rPr>
        <w:t>թղթային կրիչով կամ էլեկտրոնային փաստաթղթի տեսքով՝ ճանաչման պետությունների օրենսդրությամբ սահմանված դեպքում և կարգով Միության պահանջներին համապատասխանելու համար տուրքի վճարումը հաստատող փաստաթղթերը.</w:t>
      </w:r>
    </w:p>
    <w:p w14:paraId="2ECCF61F" w14:textId="7D9134E6" w:rsidR="005E476A" w:rsidRPr="005E476A" w:rsidRDefault="005E476A" w:rsidP="005E476A">
      <w:pPr>
        <w:tabs>
          <w:tab w:val="left" w:pos="1134"/>
        </w:tabs>
        <w:spacing w:after="160" w:line="384" w:lineRule="auto"/>
        <w:ind w:right="-6" w:firstLine="567"/>
        <w:jc w:val="both"/>
        <w:rPr>
          <w:rFonts w:ascii="Sylfaen" w:hAnsi="Sylfaen"/>
          <w:sz w:val="24"/>
          <w:szCs w:val="24"/>
        </w:rPr>
      </w:pPr>
      <w:r w:rsidRPr="005E476A">
        <w:rPr>
          <w:rFonts w:ascii="Sylfaen" w:hAnsi="Sylfaen"/>
          <w:sz w:val="24"/>
          <w:szCs w:val="24"/>
        </w:rPr>
        <w:t>սույն Կանոնների 1-5-րդ հավելվածներին համապատասխան՝ գրանցման դոսյեի 1-5-րդ մոդուլներն այն անդամ պետություններում փոխադարձ ճանաչման ընթացակարգով գրանցման հետագա իրականացման դեպքում, որտեղ տվյալ դեղապատրաստուկը չի գրանցվել կամ ներկայացվել է գրանցման՝ անդամ պետության օրենսդրությանը համապատասխան:</w:t>
      </w:r>
    </w:p>
    <w:p w14:paraId="2443FAF2" w14:textId="1B649ABE" w:rsidR="005E476A" w:rsidRPr="005E476A" w:rsidRDefault="005E476A" w:rsidP="005E476A">
      <w:pPr>
        <w:tabs>
          <w:tab w:val="left" w:pos="1134"/>
        </w:tabs>
        <w:spacing w:after="160" w:line="384" w:lineRule="auto"/>
        <w:ind w:right="-6" w:firstLine="567"/>
        <w:jc w:val="both"/>
        <w:rPr>
          <w:rFonts w:ascii="Sylfaen" w:hAnsi="Sylfaen"/>
          <w:sz w:val="24"/>
          <w:szCs w:val="24"/>
        </w:rPr>
      </w:pPr>
      <w:r w:rsidRPr="005E476A">
        <w:rPr>
          <w:rFonts w:ascii="Sylfaen" w:hAnsi="Sylfaen"/>
          <w:sz w:val="24"/>
          <w:szCs w:val="24"/>
        </w:rPr>
        <w:t>Անդամ պետության օրենսդրության պահանջներին համապատասխան՝ սույն կետի երկրորդ-չորրորդ պարբերություններում նշված փաստաթղթերը տրամադրվում են առանց հայտատուի էլեկտրոնային ստորագրությամբ ստորագրված և (կամ) վավերացված՝ թղթային կրիչով համապատախսան փաստաթղթերի և տեղեկությունների լրացուցիչ ներկայացման՝ էլեկտրոնային փաստաթղթաշրջանառության օգտագործմամբ:</w:t>
      </w:r>
    </w:p>
    <w:p w14:paraId="7D0F45F7" w14:textId="5EFEE3EA" w:rsidR="006F76EB" w:rsidRDefault="005E476A" w:rsidP="005E476A">
      <w:pPr>
        <w:tabs>
          <w:tab w:val="left" w:pos="1134"/>
        </w:tabs>
        <w:spacing w:after="160" w:line="384" w:lineRule="auto"/>
        <w:ind w:right="-6" w:firstLine="567"/>
        <w:jc w:val="both"/>
        <w:rPr>
          <w:rFonts w:ascii="Sylfaen" w:hAnsi="Sylfaen"/>
          <w:sz w:val="24"/>
          <w:szCs w:val="24"/>
        </w:rPr>
      </w:pPr>
      <w:r w:rsidRPr="005E476A">
        <w:rPr>
          <w:rFonts w:ascii="Sylfaen" w:hAnsi="Sylfaen"/>
          <w:sz w:val="24"/>
          <w:szCs w:val="24"/>
        </w:rPr>
        <w:t xml:space="preserve">Անդամ պետությունների օրենսդրությանը համապատասխան կատարված նախակլինիկական և կլինիկական հետազոտությունների մասով բոլոր առկա տվյալները ներկայացվում են սույն կանոններին համապատասխան գրանցման դոսյեի 4-5-րդ մոդուլներում առկա հաշվետվությունների տեսքով՝ առանց պատշաճ լաբորատոր գործելակերպի և պատշաճ կլինիկական գործելակերպի կանոններով </w:t>
      </w:r>
      <w:r w:rsidRPr="005E476A">
        <w:rPr>
          <w:rFonts w:ascii="Sylfaen" w:hAnsi="Sylfaen"/>
          <w:sz w:val="24"/>
          <w:szCs w:val="24"/>
        </w:rPr>
        <w:lastRenderedPageBreak/>
        <w:t>նախատեսված նախակլինիկական (ոչ կլինիկական) հետազոտությունների և կլինիկական հետազոտությունների (փորձարկումների) մասին հաշվետվությունների տեքստերի ձևակերպմանը ներկայացվող պահանջներին, ինչպես նաև դեղապարտաստուկների կենսահամարժեքության հետազոտությունների անցկացման կանոններին դրանց պարտադիր համապատասխանեցման: Այն անդամ պետությունը, ուր ներկայացվել է Միության պահանջներին այն համապատասխանեցնելու համար գրանցման դոսյեն, տվյալ դեպքում հանդես է գալիս որպես ռեֆերենտ պետություն</w:t>
      </w:r>
      <w:r w:rsidR="006F76EB" w:rsidRPr="00834D52">
        <w:rPr>
          <w:rFonts w:ascii="Sylfaen" w:hAnsi="Sylfaen"/>
          <w:sz w:val="24"/>
          <w:szCs w:val="24"/>
        </w:rPr>
        <w:t>:</w:t>
      </w:r>
    </w:p>
    <w:p w14:paraId="1931500F" w14:textId="31E3A296" w:rsidR="00BC53C9" w:rsidRPr="006F28F9" w:rsidRDefault="00BC53C9" w:rsidP="00BC53C9">
      <w:pPr>
        <w:rPr>
          <w:b/>
          <w:bCs/>
          <w:i/>
          <w:iCs/>
        </w:rPr>
      </w:pPr>
      <w:r w:rsidRPr="00CD4709">
        <w:rPr>
          <w:b/>
          <w:bCs/>
          <w:i/>
          <w:iCs/>
        </w:rPr>
        <w:t>(</w:t>
      </w:r>
      <w:r>
        <w:rPr>
          <w:b/>
          <w:bCs/>
          <w:i/>
          <w:iCs/>
        </w:rPr>
        <w:t xml:space="preserve">182-րդ կետը </w:t>
      </w:r>
      <w:r w:rsidRPr="00CD4709">
        <w:rPr>
          <w:b/>
          <w:bCs/>
          <w:i/>
          <w:iCs/>
        </w:rPr>
        <w:t>փոփ. 30.01.20 թիվ 9</w:t>
      </w:r>
      <w:r w:rsidR="005E476A">
        <w:rPr>
          <w:b/>
          <w:bCs/>
          <w:i/>
          <w:iCs/>
        </w:rPr>
        <w:t>, խմբ. 17.03.22 թիվ 36</w:t>
      </w:r>
      <w:r w:rsidRPr="00CD4709">
        <w:rPr>
          <w:b/>
          <w:bCs/>
          <w:i/>
          <w:iCs/>
        </w:rPr>
        <w:t>)</w:t>
      </w:r>
    </w:p>
    <w:p w14:paraId="4DFC189B" w14:textId="1585DF02" w:rsidR="006F76EB" w:rsidRPr="00955C1D" w:rsidRDefault="006F76EB" w:rsidP="003D43B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183.</w:t>
      </w:r>
      <w:r w:rsidRPr="00834D52">
        <w:rPr>
          <w:rFonts w:ascii="Sylfaen" w:hAnsi="Sylfaen"/>
          <w:sz w:val="24"/>
          <w:szCs w:val="24"/>
        </w:rPr>
        <w:tab/>
        <w:t xml:space="preserve">Այն անդամ պետությունում փոխադարձ ճանաչման ընթացակարգն անցկացնելու համար գնահատման վերաբերյալ փորձագիտական հաշվետվությունը նախապատրաստելու անհրաժեշտության դեպքում, որտեղ տվյալ դեղապատրաստուկը գրանցված չի եղել </w:t>
      </w:r>
      <w:r w:rsidR="005E476A" w:rsidRPr="005E476A">
        <w:rPr>
          <w:rFonts w:ascii="Sylfaen" w:hAnsi="Sylfaen"/>
          <w:sz w:val="24"/>
          <w:szCs w:val="24"/>
        </w:rPr>
        <w:t>կամ ներկայացվել է գրանցման անդամ պետության օրենսդրությանը համապատասխան</w:t>
      </w:r>
      <w:r w:rsidRPr="00834D52">
        <w:rPr>
          <w:rFonts w:ascii="Sylfaen" w:hAnsi="Sylfaen"/>
          <w:sz w:val="24"/>
          <w:szCs w:val="24"/>
        </w:rPr>
        <w:t xml:space="preserve">, անցկացվում են դեղապատրաստուկի օգուտ-ռիսկ հարաբերակցության վերագնահատում </w:t>
      </w:r>
      <w:r w:rsidR="00C54D75">
        <w:rPr>
          <w:rFonts w:ascii="Sylfaen" w:hAnsi="Sylfaen"/>
          <w:sz w:val="24"/>
          <w:szCs w:val="24"/>
        </w:rPr>
        <w:t>և</w:t>
      </w:r>
      <w:r w:rsidRPr="00834D52">
        <w:rPr>
          <w:rFonts w:ascii="Sylfaen" w:hAnsi="Sylfaen"/>
          <w:sz w:val="24"/>
          <w:szCs w:val="24"/>
        </w:rPr>
        <w:t xml:space="preserve"> սույն Կանոնների V բաժնում սահմանված ընթացակարգերին համապատասխան դեղապատրաստուկի փորձաքննություն:</w:t>
      </w:r>
    </w:p>
    <w:p w14:paraId="19AD6DAE" w14:textId="7764D56F" w:rsidR="005E476A" w:rsidRPr="00371618" w:rsidRDefault="005E476A" w:rsidP="005E476A">
      <w:pPr>
        <w:rPr>
          <w:b/>
          <w:bCs/>
          <w:i/>
          <w:iCs/>
        </w:rPr>
      </w:pPr>
      <w:r w:rsidRPr="00371618">
        <w:rPr>
          <w:b/>
          <w:bCs/>
          <w:i/>
          <w:iCs/>
        </w:rPr>
        <w:t>( 18</w:t>
      </w:r>
      <w:r>
        <w:rPr>
          <w:b/>
          <w:bCs/>
          <w:i/>
          <w:iCs/>
        </w:rPr>
        <w:t>3</w:t>
      </w:r>
      <w:r w:rsidRPr="00371618">
        <w:rPr>
          <w:b/>
          <w:bCs/>
          <w:i/>
          <w:iCs/>
        </w:rPr>
        <w:t>-րդ կետը փոփ.17.03.22 թիվ 36 )</w:t>
      </w:r>
    </w:p>
    <w:p w14:paraId="5B48C028" w14:textId="77777777" w:rsidR="00C343E2" w:rsidRPr="00955C1D" w:rsidRDefault="00C343E2" w:rsidP="00C343E2">
      <w:pPr>
        <w:tabs>
          <w:tab w:val="left" w:pos="1701"/>
        </w:tabs>
        <w:spacing w:after="160" w:line="360" w:lineRule="auto"/>
        <w:ind w:right="-6" w:firstLine="567"/>
        <w:jc w:val="both"/>
        <w:rPr>
          <w:rFonts w:ascii="Sylfaen" w:eastAsia="Times New Roman" w:hAnsi="Sylfaen" w:cs="Times New Roman"/>
          <w:sz w:val="24"/>
          <w:szCs w:val="24"/>
        </w:rPr>
      </w:pPr>
    </w:p>
    <w:p w14:paraId="1100B42C" w14:textId="77777777" w:rsidR="006F76EB" w:rsidRPr="00834D52" w:rsidRDefault="006F76EB" w:rsidP="006F76EB">
      <w:pPr>
        <w:spacing w:after="160" w:line="336" w:lineRule="auto"/>
        <w:ind w:right="-6"/>
        <w:jc w:val="center"/>
        <w:rPr>
          <w:rFonts w:ascii="Sylfaen" w:eastAsia="Times New Roman" w:hAnsi="Sylfaen" w:cs="Times New Roman"/>
          <w:sz w:val="24"/>
          <w:szCs w:val="24"/>
        </w:rPr>
      </w:pPr>
      <w:r w:rsidRPr="00834D52">
        <w:rPr>
          <w:rFonts w:ascii="Sylfaen" w:hAnsi="Sylfaen"/>
          <w:sz w:val="24"/>
          <w:szCs w:val="24"/>
        </w:rPr>
        <w:t>XIV. Անցումային դրույթներ</w:t>
      </w:r>
    </w:p>
    <w:p w14:paraId="54784DEB" w14:textId="04A7C76E" w:rsidR="00377620" w:rsidRPr="00377620" w:rsidRDefault="00377620" w:rsidP="00377620">
      <w:pPr>
        <w:rPr>
          <w:rFonts w:ascii="Sylfaen" w:hAnsi="Sylfaen"/>
          <w:sz w:val="24"/>
          <w:szCs w:val="24"/>
        </w:rPr>
      </w:pPr>
      <w:r w:rsidRPr="00377620">
        <w:rPr>
          <w:rFonts w:ascii="Sylfaen" w:hAnsi="Sylfaen"/>
          <w:sz w:val="24"/>
          <w:szCs w:val="24"/>
        </w:rPr>
        <w:t>184. Գրանցման համար ներկայացված դեղապատրաստուկների գրանցման դոսյեի գրանցումը (գրանցման նպատակով փորձագիտական աշխատանքների անցկացում), գրանցման հաստատումը (վերագրանցումը) և դրանում փոփոխությունների կատարումը (գրանցման նպատակով փորձագիտական աշխատանքների անցկացում), անդամ պետություններում մինչև 2021 թվականի հուլիսի 1-ը (Ռուսաստանի Դաշնությունում՝ մինչև 2020 թվականի դեկտեմբերի 31-ը) դեղապատրաստուկների գրանցման դոսյեի գրանցման (վերագրանցման) հաստատումը և դրանում փոփոխությունների կատարումն իրականացվում են անդամ պետությունների օրենսդրությանը համապատասխան։</w:t>
      </w:r>
    </w:p>
    <w:p w14:paraId="346CEAA5" w14:textId="339A6888" w:rsidR="00377620" w:rsidRPr="00377620" w:rsidRDefault="00377620" w:rsidP="00377620">
      <w:pPr>
        <w:rPr>
          <w:rFonts w:ascii="Sylfaen" w:hAnsi="Sylfaen"/>
          <w:sz w:val="24"/>
          <w:szCs w:val="24"/>
        </w:rPr>
      </w:pPr>
      <w:r w:rsidRPr="00377620">
        <w:rPr>
          <w:rFonts w:ascii="Sylfaen" w:hAnsi="Sylfaen"/>
          <w:sz w:val="24"/>
          <w:szCs w:val="24"/>
        </w:rPr>
        <w:lastRenderedPageBreak/>
        <w:t>Հայտատուի պահանջով՝ մինչև 2021 թվականի հուլիսի 1-ը (Ռուսաստանի Դաշնությունում՝ մինչև 2020 թվականի դեկտեմբերի 31-ը) գրանցման ներկայացված դեղապատրաստուկի գրանցումը (գրանցման նպատակով փորձագիտական աշխատանքների անցկացումը) կարող է իրականացվել անդամ պետության օրենսդրությանը համապատասխան՝ առանց հաշվի առնելու սույն կանոնների պահանջները:</w:t>
      </w:r>
    </w:p>
    <w:p w14:paraId="517280BA" w14:textId="77777777" w:rsidR="00377620" w:rsidRPr="00377620" w:rsidRDefault="00377620" w:rsidP="00377620">
      <w:pPr>
        <w:rPr>
          <w:rFonts w:ascii="Sylfaen" w:hAnsi="Sylfaen"/>
          <w:sz w:val="24"/>
          <w:szCs w:val="24"/>
        </w:rPr>
      </w:pPr>
      <w:r w:rsidRPr="00377620">
        <w:rPr>
          <w:rFonts w:ascii="Sylfaen" w:hAnsi="Sylfaen"/>
          <w:sz w:val="24"/>
          <w:szCs w:val="24"/>
        </w:rPr>
        <w:t>Սույն կետի առաջին և երկրորդ պարբերություններին համապատասխան գրանցված դեղապատրաստուկի գրանցման դոսյեն պետք է համապատասխանեցվի Միության պահանջներին՝ մինչև 2025 թվականի դեկտեմբերի 31-ը։</w:t>
      </w:r>
    </w:p>
    <w:p w14:paraId="37BA41D9" w14:textId="40E8D56C" w:rsidR="00BC53C9" w:rsidRPr="006071D3" w:rsidRDefault="00BC53C9" w:rsidP="006071D3">
      <w:pPr>
        <w:rPr>
          <w:b/>
          <w:bCs/>
          <w:i/>
          <w:iCs/>
        </w:rPr>
      </w:pPr>
      <w:r w:rsidRPr="00CD4709">
        <w:rPr>
          <w:b/>
          <w:bCs/>
          <w:i/>
          <w:iCs/>
        </w:rPr>
        <w:t>(</w:t>
      </w:r>
      <w:r>
        <w:rPr>
          <w:b/>
          <w:bCs/>
          <w:i/>
          <w:iCs/>
        </w:rPr>
        <w:t xml:space="preserve">184-րդ կետը </w:t>
      </w:r>
      <w:r w:rsidRPr="00CD4709">
        <w:rPr>
          <w:b/>
          <w:bCs/>
          <w:i/>
          <w:iCs/>
        </w:rPr>
        <w:t>փոփ. 30.01.20 թիվ 9</w:t>
      </w:r>
      <w:r w:rsidR="00377620">
        <w:rPr>
          <w:b/>
          <w:bCs/>
          <w:i/>
          <w:iCs/>
        </w:rPr>
        <w:t>,</w:t>
      </w:r>
      <w:r w:rsidR="006071D3">
        <w:rPr>
          <w:b/>
          <w:bCs/>
          <w:i/>
          <w:iCs/>
        </w:rPr>
        <w:t xml:space="preserve"> </w:t>
      </w:r>
      <w:r w:rsidR="00377620">
        <w:rPr>
          <w:b/>
          <w:bCs/>
          <w:i/>
          <w:iCs/>
        </w:rPr>
        <w:t xml:space="preserve"> խմբ. 05.03.21 թիվ 14</w:t>
      </w:r>
      <w:r w:rsidRPr="00CD4709">
        <w:rPr>
          <w:b/>
          <w:bCs/>
          <w:i/>
          <w:iCs/>
        </w:rPr>
        <w:t>)</w:t>
      </w:r>
    </w:p>
    <w:p w14:paraId="4775710D" w14:textId="45B77405" w:rsidR="006071D3" w:rsidRDefault="006071D3" w:rsidP="003D43B8">
      <w:pPr>
        <w:tabs>
          <w:tab w:val="left" w:pos="1134"/>
        </w:tabs>
        <w:spacing w:after="160" w:line="360" w:lineRule="auto"/>
        <w:ind w:right="-8" w:firstLine="567"/>
        <w:jc w:val="both"/>
        <w:rPr>
          <w:rFonts w:ascii="Sylfaen" w:hAnsi="Sylfaen"/>
          <w:sz w:val="24"/>
          <w:szCs w:val="24"/>
        </w:rPr>
      </w:pPr>
      <w:r w:rsidRPr="006071D3">
        <w:rPr>
          <w:rFonts w:ascii="Sylfaen" w:hAnsi="Sylfaen"/>
          <w:sz w:val="24"/>
          <w:szCs w:val="24"/>
        </w:rPr>
        <w:t>185. Անդամ պետություններում՝ դրանց օրենսդրությանը համապատասխան գրանցված և Միության պահանջներին համապատասխանեցման ընթացակարգ չանցած դեղապատրաստուկի գրանցման դոսյեի գրանցման (վերագրանցման) հաստատումը և դրա մեջ փոփոխությունների կատարումն իրականացվում է անդամ պետությունների օրենսդրությանը համապատասխան՝ մինչև 2025 թվականի դեկտեմբերի 31-ը</w:t>
      </w:r>
      <w:r>
        <w:rPr>
          <w:rFonts w:ascii="Sylfaen" w:hAnsi="Sylfaen"/>
          <w:sz w:val="24"/>
          <w:szCs w:val="24"/>
        </w:rPr>
        <w:t>:</w:t>
      </w:r>
    </w:p>
    <w:p w14:paraId="2AE86552" w14:textId="68C44EC2" w:rsidR="006071D3" w:rsidRPr="006071D3" w:rsidRDefault="006071D3" w:rsidP="006071D3">
      <w:pPr>
        <w:rPr>
          <w:b/>
          <w:bCs/>
          <w:i/>
          <w:iCs/>
        </w:rPr>
      </w:pPr>
      <w:r w:rsidRPr="00CD4709">
        <w:rPr>
          <w:b/>
          <w:bCs/>
          <w:i/>
          <w:iCs/>
        </w:rPr>
        <w:t>(</w:t>
      </w:r>
      <w:r>
        <w:rPr>
          <w:b/>
          <w:bCs/>
          <w:i/>
          <w:iCs/>
        </w:rPr>
        <w:t>185-րդ կետը  խմբ. 05.03.21 թիվ 14</w:t>
      </w:r>
      <w:r w:rsidRPr="00CD4709">
        <w:rPr>
          <w:b/>
          <w:bCs/>
          <w:i/>
          <w:iCs/>
        </w:rPr>
        <w:t>)</w:t>
      </w:r>
    </w:p>
    <w:p w14:paraId="29EAAC80" w14:textId="77777777" w:rsidR="006071D3" w:rsidRDefault="006071D3" w:rsidP="003D43B8">
      <w:pPr>
        <w:tabs>
          <w:tab w:val="left" w:pos="1134"/>
        </w:tabs>
        <w:spacing w:after="160" w:line="360" w:lineRule="auto"/>
        <w:ind w:right="-8" w:firstLine="567"/>
        <w:jc w:val="both"/>
        <w:rPr>
          <w:rFonts w:ascii="Sylfaen" w:hAnsi="Sylfaen"/>
          <w:sz w:val="24"/>
          <w:szCs w:val="24"/>
        </w:rPr>
      </w:pPr>
    </w:p>
    <w:p w14:paraId="741FA8AE" w14:textId="3C561BF6" w:rsidR="006F76EB" w:rsidRPr="00834D52" w:rsidRDefault="006F76EB" w:rsidP="003D43B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186.</w:t>
      </w:r>
      <w:r w:rsidRPr="00834D52">
        <w:rPr>
          <w:rFonts w:ascii="Sylfaen" w:hAnsi="Sylfaen"/>
          <w:sz w:val="24"/>
          <w:szCs w:val="24"/>
        </w:rPr>
        <w:tab/>
        <w:t xml:space="preserve">Թույլատրվում է դեղապատրաստուկի միաժամանակ իրացումը՝ նախկին </w:t>
      </w:r>
      <w:r w:rsidR="00C54D75">
        <w:rPr>
          <w:rFonts w:ascii="Sylfaen" w:hAnsi="Sylfaen"/>
          <w:sz w:val="24"/>
          <w:szCs w:val="24"/>
        </w:rPr>
        <w:t>և</w:t>
      </w:r>
      <w:r w:rsidRPr="00834D52">
        <w:rPr>
          <w:rFonts w:ascii="Sylfaen" w:hAnsi="Sylfaen"/>
          <w:sz w:val="24"/>
          <w:szCs w:val="24"/>
        </w:rPr>
        <w:t xml:space="preserve"> կրկին հաստատված փաթեթվածքով, նախկին </w:t>
      </w:r>
      <w:r w:rsidR="00C54D75">
        <w:rPr>
          <w:rFonts w:ascii="Sylfaen" w:hAnsi="Sylfaen"/>
          <w:sz w:val="24"/>
          <w:szCs w:val="24"/>
        </w:rPr>
        <w:t>և</w:t>
      </w:r>
      <w:r w:rsidRPr="00834D52">
        <w:rPr>
          <w:rFonts w:ascii="Sylfaen" w:hAnsi="Sylfaen"/>
          <w:sz w:val="24"/>
          <w:szCs w:val="24"/>
        </w:rPr>
        <w:t xml:space="preserve"> կրկին հաստատված բժշկական կիրառման հրահանգով՝ մինչ</w:t>
      </w:r>
      <w:r w:rsidR="00C54D75">
        <w:rPr>
          <w:rFonts w:ascii="Sylfaen" w:hAnsi="Sylfaen"/>
          <w:sz w:val="24"/>
          <w:szCs w:val="24"/>
        </w:rPr>
        <w:t>և</w:t>
      </w:r>
      <w:r w:rsidRPr="00834D52">
        <w:rPr>
          <w:rFonts w:ascii="Sylfaen" w:hAnsi="Sylfaen"/>
          <w:sz w:val="24"/>
          <w:szCs w:val="24"/>
        </w:rPr>
        <w:t xml:space="preserve"> դեղապատրաստուկի պիտանիության ժամկետի </w:t>
      </w:r>
      <w:r w:rsidR="00617529" w:rsidRPr="00617529">
        <w:rPr>
          <w:rFonts w:ascii="Sylfaen" w:hAnsi="Sylfaen"/>
          <w:sz w:val="24"/>
          <w:szCs w:val="24"/>
        </w:rPr>
        <w:t>(պահպանման ժամկետի)</w:t>
      </w:r>
      <w:r w:rsidR="00617529">
        <w:rPr>
          <w:rFonts w:ascii="Sylfaen" w:hAnsi="Sylfaen"/>
          <w:sz w:val="24"/>
          <w:szCs w:val="24"/>
        </w:rPr>
        <w:t xml:space="preserve"> </w:t>
      </w:r>
      <w:r w:rsidRPr="00834D52">
        <w:rPr>
          <w:rFonts w:ascii="Sylfaen" w:hAnsi="Sylfaen"/>
          <w:sz w:val="24"/>
          <w:szCs w:val="24"/>
        </w:rPr>
        <w:t>ավարտը:</w:t>
      </w:r>
    </w:p>
    <w:p w14:paraId="7D970B3A" w14:textId="477224BD" w:rsidR="006F76EB" w:rsidRDefault="006F76EB" w:rsidP="003D43B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Թույլատրվում է նախքան դեղապատրաստուկի գրանցման դոսյեի համապատասխանեցումը Միության պահանջներին անդամ պետության տարածքում շրջանառության բաց թողնված դեղապատրաստուկների իրացումը՝ մինչ</w:t>
      </w:r>
      <w:r w:rsidR="00C54D75">
        <w:rPr>
          <w:rFonts w:ascii="Sylfaen" w:hAnsi="Sylfaen"/>
          <w:sz w:val="24"/>
          <w:szCs w:val="24"/>
        </w:rPr>
        <w:t>և</w:t>
      </w:r>
      <w:r w:rsidRPr="00834D52">
        <w:rPr>
          <w:rFonts w:ascii="Sylfaen" w:hAnsi="Sylfaen"/>
          <w:sz w:val="24"/>
          <w:szCs w:val="24"/>
        </w:rPr>
        <w:t xml:space="preserve"> դրանց պիտանիության ժամկետի ավարտը:</w:t>
      </w:r>
    </w:p>
    <w:p w14:paraId="5192605B" w14:textId="09693C33" w:rsidR="00617529" w:rsidRPr="006071D3" w:rsidRDefault="00617529" w:rsidP="00617529">
      <w:pPr>
        <w:rPr>
          <w:b/>
          <w:bCs/>
          <w:i/>
          <w:iCs/>
        </w:rPr>
      </w:pPr>
      <w:r w:rsidRPr="00CD4709">
        <w:rPr>
          <w:b/>
          <w:bCs/>
          <w:i/>
          <w:iCs/>
        </w:rPr>
        <w:t>(</w:t>
      </w:r>
      <w:r>
        <w:rPr>
          <w:b/>
          <w:bCs/>
          <w:i/>
          <w:iCs/>
        </w:rPr>
        <w:t>186-րդ կետը  լրաց. 17.03.22 թիվ 36</w:t>
      </w:r>
      <w:r w:rsidRPr="00CD4709">
        <w:rPr>
          <w:b/>
          <w:bCs/>
          <w:i/>
          <w:iCs/>
        </w:rPr>
        <w:t>)</w:t>
      </w:r>
    </w:p>
    <w:p w14:paraId="00F852F0" w14:textId="77777777" w:rsidR="00617529" w:rsidRPr="00955C1D" w:rsidRDefault="00617529" w:rsidP="003D43B8">
      <w:pPr>
        <w:tabs>
          <w:tab w:val="left" w:pos="1134"/>
        </w:tabs>
        <w:spacing w:after="160" w:line="360" w:lineRule="auto"/>
        <w:ind w:right="-8" w:firstLine="567"/>
        <w:jc w:val="both"/>
        <w:rPr>
          <w:rFonts w:ascii="Sylfaen" w:hAnsi="Sylfaen"/>
          <w:sz w:val="24"/>
          <w:szCs w:val="24"/>
        </w:rPr>
      </w:pPr>
    </w:p>
    <w:p w14:paraId="26969F31" w14:textId="77777777" w:rsidR="006F76EB" w:rsidRPr="00834D52" w:rsidRDefault="006F76EB" w:rsidP="002842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XV. Հատուկ դեպքեր</w:t>
      </w:r>
    </w:p>
    <w:p w14:paraId="7B65DCA9" w14:textId="2F3106E6" w:rsidR="006F76EB" w:rsidRDefault="006F76EB" w:rsidP="003D43B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187.</w:t>
      </w:r>
      <w:r w:rsidRPr="00834D52">
        <w:rPr>
          <w:rFonts w:ascii="Sylfaen" w:hAnsi="Sylfaen"/>
          <w:sz w:val="24"/>
          <w:szCs w:val="24"/>
        </w:rPr>
        <w:tab/>
        <w:t>Եթե դեղապատրաստուկի բացթողման ձ</w:t>
      </w:r>
      <w:r w:rsidR="00C54D75">
        <w:rPr>
          <w:rFonts w:ascii="Sylfaen" w:hAnsi="Sylfaen"/>
          <w:sz w:val="24"/>
          <w:szCs w:val="24"/>
        </w:rPr>
        <w:t>և</w:t>
      </w:r>
      <w:r w:rsidRPr="00834D52">
        <w:rPr>
          <w:rFonts w:ascii="Sylfaen" w:hAnsi="Sylfaen"/>
          <w:sz w:val="24"/>
          <w:szCs w:val="24"/>
        </w:rPr>
        <w:t xml:space="preserve">ը ներառում է բժշկական արտադրատեսակներ հանդիսացող բաղադրիչներ, ապա անհրաժեշտ է բժշկական արտադրատեսակի գրանցման մասին տեղեկություններն արտացոլել գրանցման դոսյեում: Բացի այդ, եթե արտադրատեսակն իր կառուցվածքով բարդ է </w:t>
      </w:r>
      <w:r w:rsidR="00C54D75">
        <w:rPr>
          <w:rFonts w:ascii="Sylfaen" w:hAnsi="Sylfaen"/>
          <w:sz w:val="24"/>
          <w:szCs w:val="24"/>
        </w:rPr>
        <w:t>և</w:t>
      </w:r>
      <w:r w:rsidRPr="00834D52">
        <w:rPr>
          <w:rFonts w:ascii="Sylfaen" w:hAnsi="Sylfaen"/>
          <w:sz w:val="24"/>
          <w:szCs w:val="24"/>
        </w:rPr>
        <w:t xml:space="preserve"> կարող է իրենից ներկայացնել մատակարարման համալիր համակարգ, պահանջվում է նա</w:t>
      </w:r>
      <w:r w:rsidR="00C54D75">
        <w:rPr>
          <w:rFonts w:ascii="Sylfaen" w:hAnsi="Sylfaen"/>
          <w:sz w:val="24"/>
          <w:szCs w:val="24"/>
        </w:rPr>
        <w:t>և</w:t>
      </w:r>
      <w:r w:rsidRPr="00834D52">
        <w:rPr>
          <w:rFonts w:ascii="Sylfaen" w:hAnsi="Sylfaen"/>
          <w:sz w:val="24"/>
          <w:szCs w:val="24"/>
        </w:rPr>
        <w:t xml:space="preserve"> դեղապատրաստուկի գրանցման դոսյեի մեջ դնել դեղապատրաստուկի կլինիկական բնութագրի վրա ընդհանուր առմամբ դրա ազդեցության տեսանկյունից բժշկական արտադրատեսակի անվտանգության, որակի, արդյունավետության վերաբերյալ փորձագիտական եզրակացություն։ </w:t>
      </w:r>
    </w:p>
    <w:p w14:paraId="06E27967" w14:textId="4BED0713" w:rsidR="007130F9" w:rsidRDefault="007130F9" w:rsidP="003D43B8">
      <w:pPr>
        <w:tabs>
          <w:tab w:val="left" w:pos="1134"/>
        </w:tabs>
        <w:spacing w:after="160" w:line="360" w:lineRule="auto"/>
        <w:ind w:right="-8" w:firstLine="567"/>
        <w:jc w:val="both"/>
        <w:rPr>
          <w:rFonts w:ascii="Sylfaen" w:hAnsi="Sylfaen"/>
          <w:sz w:val="24"/>
          <w:szCs w:val="24"/>
        </w:rPr>
      </w:pPr>
      <w:r w:rsidRPr="00B96C43">
        <w:rPr>
          <w:rFonts w:ascii="Sylfaen" w:hAnsi="Sylfaen"/>
          <w:sz w:val="24"/>
          <w:szCs w:val="24"/>
        </w:rPr>
        <w:t>188. Գրիպի կանխարգելման համար նախատեսված պատվաստանյութերի շտամների կազմի փոփոխման դեպքում պատվաստանյութերի գրանցման դոսյեում փոփոխությունների կատարումը, ինչպես նաեւ գրիպի կանխարգելման համար նախատեսված համավարակային եւ նախահամավարակային պատվաստանյութերի գրանցումն ու դրանց գրանցման դոսյեում փոփոխությունների կատարումն իրականացվում են սույն կանոնների թիվ 24 հավելվածին համապատասխան</w:t>
      </w:r>
      <w:r>
        <w:rPr>
          <w:rFonts w:ascii="Sylfaen" w:hAnsi="Sylfaen"/>
          <w:sz w:val="24"/>
          <w:szCs w:val="24"/>
        </w:rPr>
        <w:t>:</w:t>
      </w:r>
    </w:p>
    <w:p w14:paraId="5F353D4A" w14:textId="52BDD653" w:rsidR="007130F9" w:rsidRPr="007130F9" w:rsidRDefault="007130F9" w:rsidP="003D43B8">
      <w:pPr>
        <w:tabs>
          <w:tab w:val="left" w:pos="1134"/>
        </w:tabs>
        <w:spacing w:after="160" w:line="360" w:lineRule="auto"/>
        <w:ind w:right="-8" w:firstLine="567"/>
        <w:jc w:val="both"/>
        <w:rPr>
          <w:rFonts w:ascii="Sylfaen" w:hAnsi="Sylfaen"/>
          <w:b/>
          <w:bCs/>
          <w:i/>
          <w:iCs/>
          <w:sz w:val="24"/>
          <w:szCs w:val="24"/>
        </w:rPr>
      </w:pPr>
      <w:bookmarkStart w:id="1" w:name="_Hlk106795566"/>
      <w:r w:rsidRPr="008E4EB1">
        <w:rPr>
          <w:rFonts w:ascii="Sylfaen" w:hAnsi="Sylfaen"/>
          <w:b/>
          <w:bCs/>
          <w:i/>
          <w:iCs/>
          <w:sz w:val="24"/>
          <w:szCs w:val="24"/>
        </w:rPr>
        <w:t>(</w:t>
      </w:r>
      <w:r w:rsidRPr="007130F9">
        <w:rPr>
          <w:rFonts w:ascii="Sylfaen" w:hAnsi="Sylfaen"/>
          <w:b/>
          <w:bCs/>
          <w:i/>
          <w:iCs/>
          <w:sz w:val="24"/>
          <w:szCs w:val="24"/>
        </w:rPr>
        <w:t>188-րդ կետը լրաց. 14.06.18 թ</w:t>
      </w:r>
      <w:r w:rsidR="00C67BCC">
        <w:rPr>
          <w:rFonts w:ascii="Sylfaen" w:hAnsi="Sylfaen"/>
          <w:b/>
          <w:bCs/>
          <w:i/>
          <w:iCs/>
          <w:sz w:val="24"/>
          <w:szCs w:val="24"/>
        </w:rPr>
        <w:t>ի</w:t>
      </w:r>
      <w:r w:rsidRPr="007130F9">
        <w:rPr>
          <w:rFonts w:ascii="Sylfaen" w:hAnsi="Sylfaen"/>
          <w:b/>
          <w:bCs/>
          <w:i/>
          <w:iCs/>
          <w:sz w:val="24"/>
          <w:szCs w:val="24"/>
        </w:rPr>
        <w:t>վ 55</w:t>
      </w:r>
      <w:r w:rsidRPr="008E4EB1">
        <w:rPr>
          <w:rFonts w:ascii="Sylfaen" w:hAnsi="Sylfaen"/>
          <w:b/>
          <w:bCs/>
          <w:i/>
          <w:iCs/>
          <w:sz w:val="24"/>
          <w:szCs w:val="24"/>
        </w:rPr>
        <w:t>)</w:t>
      </w:r>
    </w:p>
    <w:bookmarkEnd w:id="1"/>
    <w:p w14:paraId="0DCF32A3" w14:textId="77777777" w:rsidR="00307589" w:rsidRPr="00A958BD" w:rsidRDefault="00307589" w:rsidP="00307589">
      <w:pPr>
        <w:tabs>
          <w:tab w:val="left" w:pos="1134"/>
        </w:tabs>
        <w:spacing w:after="160" w:line="360" w:lineRule="auto"/>
        <w:ind w:right="-8" w:firstLine="567"/>
        <w:jc w:val="center"/>
        <w:rPr>
          <w:rFonts w:ascii="Sylfaen" w:hAnsi="Sylfaen"/>
          <w:sz w:val="24"/>
          <w:szCs w:val="24"/>
        </w:rPr>
      </w:pPr>
      <w:r w:rsidRPr="00A958BD">
        <w:rPr>
          <w:rFonts w:ascii="Sylfaen" w:hAnsi="Sylfaen"/>
          <w:sz w:val="24"/>
          <w:szCs w:val="24"/>
        </w:rPr>
        <w:t>___________________</w:t>
      </w:r>
    </w:p>
    <w:p w14:paraId="60D658C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p>
    <w:p w14:paraId="1A18A1A9" w14:textId="77777777" w:rsidR="006F76EB" w:rsidRPr="00834D52" w:rsidRDefault="006F76EB" w:rsidP="006F76EB">
      <w:pPr>
        <w:spacing w:after="160" w:line="360" w:lineRule="auto"/>
        <w:rPr>
          <w:rFonts w:ascii="Sylfaen" w:eastAsia="Times New Roman" w:hAnsi="Sylfaen" w:cs="Times New Roman"/>
          <w:sz w:val="24"/>
          <w:szCs w:val="24"/>
        </w:rPr>
        <w:sectPr w:rsidR="006F76EB" w:rsidRPr="00834D52" w:rsidSect="00C31D56">
          <w:footerReference w:type="default" r:id="rId8"/>
          <w:pgSz w:w="11906" w:h="16838" w:code="9"/>
          <w:pgMar w:top="1418" w:right="1418" w:bottom="1418" w:left="1418" w:header="709" w:footer="709" w:gutter="0"/>
          <w:pgNumType w:start="1"/>
          <w:cols w:space="708"/>
          <w:titlePg/>
          <w:docGrid w:linePitch="360"/>
        </w:sectPr>
      </w:pPr>
    </w:p>
    <w:p w14:paraId="3DFEA24B" w14:textId="77777777" w:rsidR="006F76EB" w:rsidRPr="00834D52" w:rsidRDefault="006F76EB" w:rsidP="00C343E2">
      <w:pPr>
        <w:spacing w:after="160" w:line="360" w:lineRule="auto"/>
        <w:ind w:left="4253"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3F283E">
        <w:rPr>
          <w:rFonts w:ascii="Sylfaen" w:hAnsi="Sylfaen"/>
          <w:sz w:val="24"/>
          <w:szCs w:val="24"/>
        </w:rPr>
        <w:t xml:space="preserve">ԹԻՎ </w:t>
      </w:r>
      <w:r w:rsidRPr="00834D52">
        <w:rPr>
          <w:rFonts w:ascii="Sylfaen" w:hAnsi="Sylfaen"/>
          <w:sz w:val="24"/>
          <w:szCs w:val="24"/>
        </w:rPr>
        <w:t>1</w:t>
      </w:r>
    </w:p>
    <w:p w14:paraId="6CA4DF2D" w14:textId="77777777" w:rsidR="006F76EB" w:rsidRPr="00834D52" w:rsidRDefault="006F76EB" w:rsidP="00C343E2">
      <w:pPr>
        <w:spacing w:after="160" w:line="360" w:lineRule="auto"/>
        <w:ind w:left="4253"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0C12A994" w14:textId="77777777" w:rsidR="006F76EB" w:rsidRPr="00834D52" w:rsidRDefault="006F76EB" w:rsidP="00F102EA">
      <w:pPr>
        <w:spacing w:after="160" w:line="360" w:lineRule="auto"/>
        <w:ind w:left="567" w:right="565"/>
        <w:jc w:val="center"/>
        <w:rPr>
          <w:rFonts w:ascii="Sylfaen" w:hAnsi="Sylfaen"/>
          <w:sz w:val="24"/>
          <w:szCs w:val="24"/>
        </w:rPr>
      </w:pPr>
    </w:p>
    <w:p w14:paraId="4300395B"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ՊԱՀԱՆՋՆԵՐ</w:t>
      </w:r>
    </w:p>
    <w:p w14:paraId="7AA52070" w14:textId="77777777" w:rsidR="006F76EB" w:rsidRPr="00834D52" w:rsidRDefault="006F76EB" w:rsidP="00F102EA">
      <w:pPr>
        <w:spacing w:after="160" w:line="360" w:lineRule="auto"/>
        <w:ind w:left="567" w:right="565"/>
        <w:jc w:val="center"/>
        <w:rPr>
          <w:rFonts w:ascii="Sylfaen" w:eastAsia="Times New Roman" w:hAnsi="Sylfaen" w:cs="Times New Roman"/>
          <w:b/>
          <w:bCs/>
          <w:sz w:val="24"/>
          <w:szCs w:val="24"/>
        </w:rPr>
      </w:pPr>
      <w:r w:rsidRPr="00834D52">
        <w:rPr>
          <w:rFonts w:ascii="Sylfaen" w:hAnsi="Sylfaen"/>
          <w:b/>
          <w:sz w:val="24"/>
          <w:szCs w:val="24"/>
        </w:rPr>
        <w:t>գրանցման դոսյեի փաստաթղթերին ներկայացվող</w:t>
      </w:r>
    </w:p>
    <w:p w14:paraId="2BDA545C"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(ընդհանուր տեխնիկական փաստաթղթի ձ</w:t>
      </w:r>
      <w:r w:rsidR="00C54D75">
        <w:rPr>
          <w:rFonts w:ascii="Sylfaen" w:hAnsi="Sylfaen"/>
          <w:b/>
          <w:sz w:val="24"/>
          <w:szCs w:val="24"/>
        </w:rPr>
        <w:t>և</w:t>
      </w:r>
      <w:r w:rsidRPr="00834D52">
        <w:rPr>
          <w:rFonts w:ascii="Sylfaen" w:hAnsi="Sylfaen"/>
          <w:b/>
          <w:sz w:val="24"/>
          <w:szCs w:val="24"/>
        </w:rPr>
        <w:t>աչափով)</w:t>
      </w:r>
    </w:p>
    <w:p w14:paraId="71E32802" w14:textId="77777777" w:rsidR="006F76EB" w:rsidRPr="00834D52" w:rsidRDefault="006F76EB" w:rsidP="00F102EA">
      <w:pPr>
        <w:spacing w:after="160" w:line="360" w:lineRule="auto"/>
        <w:ind w:left="567" w:right="565"/>
        <w:jc w:val="center"/>
        <w:rPr>
          <w:rFonts w:ascii="Sylfaen" w:hAnsi="Sylfaen"/>
          <w:sz w:val="24"/>
          <w:szCs w:val="24"/>
        </w:rPr>
      </w:pPr>
    </w:p>
    <w:p w14:paraId="5DE7FA62" w14:textId="3DF52201" w:rsidR="006F76EB" w:rsidRDefault="006F76EB" w:rsidP="005E476A">
      <w:pPr>
        <w:spacing w:after="160" w:line="360" w:lineRule="auto"/>
        <w:ind w:left="567" w:right="565"/>
        <w:jc w:val="center"/>
        <w:rPr>
          <w:rFonts w:ascii="Sylfaen" w:hAnsi="Sylfaen"/>
          <w:sz w:val="24"/>
          <w:szCs w:val="24"/>
        </w:rPr>
      </w:pPr>
      <w:r w:rsidRPr="00834D52">
        <w:rPr>
          <w:rFonts w:ascii="Sylfaen" w:hAnsi="Sylfaen"/>
          <w:sz w:val="24"/>
          <w:szCs w:val="24"/>
        </w:rPr>
        <w:t>I. Դեղապատրաստուկի գրանցման դիմումն ուղեկցող գրանցման դոսյեի մոդուլներին ներկայացվող ընդհանուր պահանջները</w:t>
      </w:r>
    </w:p>
    <w:p w14:paraId="0026436E" w14:textId="5548A9AB" w:rsidR="005E476A" w:rsidRPr="00834D52" w:rsidRDefault="005E476A" w:rsidP="005E476A">
      <w:pPr>
        <w:spacing w:after="160" w:line="360" w:lineRule="auto"/>
        <w:ind w:left="567" w:right="565"/>
        <w:jc w:val="center"/>
        <w:rPr>
          <w:rFonts w:ascii="Sylfaen" w:hAnsi="Sylfaen"/>
          <w:sz w:val="24"/>
          <w:szCs w:val="24"/>
        </w:rPr>
      </w:pPr>
      <w:r w:rsidRPr="005E476A">
        <w:rPr>
          <w:rFonts w:ascii="Sylfaen" w:hAnsi="Sylfaen"/>
          <w:sz w:val="24"/>
          <w:szCs w:val="24"/>
        </w:rPr>
        <w:t>Գրանցման դոսյեն կարող է ներկայացվել էլեկտրոնային տեսքով՝ առանց համապատասխան փաստաթղթերը և տեղեկությունները թղթային կրիչով լրացուցիչ ներկայացնելու</w:t>
      </w:r>
    </w:p>
    <w:p w14:paraId="277D79F0"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 1-ին մոդուլում բերված գրանցման դոսյեի փաստաթղթերին ներկայացվող պահանջները՝ վարչական տեղեկատվություն</w:t>
      </w:r>
    </w:p>
    <w:p w14:paraId="13BBBB17"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1.0.</w:t>
      </w:r>
      <w:r w:rsidRPr="00834D52">
        <w:rPr>
          <w:rFonts w:ascii="Sylfaen" w:hAnsi="Sylfaen"/>
          <w:sz w:val="24"/>
          <w:szCs w:val="24"/>
        </w:rPr>
        <w:tab/>
        <w:t>Ուղեկցող նամակ (ինչպես ընդհանուր տեխնիկական փաստաթղթում (այսուհետ՝ ԸՏՓ)):</w:t>
      </w:r>
    </w:p>
    <w:p w14:paraId="24051F19"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Այս բաժնում անհրաժեշտ է ընդգրկել դիմումն ուղեկցող նամակը:</w:t>
      </w:r>
    </w:p>
    <w:p w14:paraId="7386CF55"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Անհրաժեշտության դեպքում, որպես ուղեկցող նամակի հավելված, թույլատրվում է ներկայացնել «Ի գիտություն փորձագետների» փաստաթուղթը՝ նավիգացիայի բարելավման նպատակով ներկայացնելով ավելի մանրամասն տեղեկություններ (օրինակ՝ գերհղումների, հատորների դասավորության </w:t>
      </w:r>
      <w:r w:rsidR="00C54D75">
        <w:rPr>
          <w:rFonts w:ascii="Sylfaen" w:hAnsi="Sylfaen"/>
          <w:sz w:val="24"/>
          <w:szCs w:val="24"/>
        </w:rPr>
        <w:t>և</w:t>
      </w:r>
      <w:r w:rsidRPr="00834D52">
        <w:rPr>
          <w:rFonts w:ascii="Sylfaen" w:hAnsi="Sylfaen"/>
          <w:sz w:val="24"/>
          <w:szCs w:val="24"/>
        </w:rPr>
        <w:t xml:space="preserve"> այլնի մասին):</w:t>
      </w:r>
    </w:p>
    <w:p w14:paraId="15CCD423" w14:textId="77777777" w:rsidR="006F76EB" w:rsidRPr="00834D52" w:rsidRDefault="006F76EB" w:rsidP="009F7A79">
      <w:pPr>
        <w:pStyle w:val="ListParagraph"/>
        <w:numPr>
          <w:ilvl w:val="1"/>
          <w:numId w:val="1"/>
        </w:numPr>
        <w:tabs>
          <w:tab w:val="left" w:pos="1134"/>
        </w:tabs>
        <w:spacing w:after="160" w:line="360" w:lineRule="auto"/>
        <w:ind w:left="0" w:right="-8" w:firstLine="567"/>
        <w:contextualSpacing w:val="0"/>
        <w:jc w:val="both"/>
        <w:rPr>
          <w:rFonts w:ascii="Sylfaen" w:eastAsia="Times New Roman" w:hAnsi="Sylfaen" w:cs="Times New Roman"/>
          <w:sz w:val="24"/>
          <w:szCs w:val="24"/>
        </w:rPr>
      </w:pPr>
      <w:r w:rsidRPr="00834D52">
        <w:rPr>
          <w:rFonts w:ascii="Sylfaen" w:hAnsi="Sylfaen" w:cs="Sylfaen"/>
          <w:sz w:val="24"/>
          <w:szCs w:val="24"/>
        </w:rPr>
        <w:t>Բովանդակություն։</w:t>
      </w:r>
    </w:p>
    <w:p w14:paraId="6DF2F7B0"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Անհրաժեշտ է ներկայացնել գրանցման դոսյեի 1-5-րդ մոդուլների ամբողջական բովանդակությունը:</w:t>
      </w:r>
    </w:p>
    <w:p w14:paraId="1D1504E3"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w:t>
      </w:r>
      <w:r w:rsidRPr="00834D52">
        <w:rPr>
          <w:rFonts w:ascii="Sylfaen" w:hAnsi="Sylfaen"/>
          <w:sz w:val="24"/>
          <w:szCs w:val="24"/>
        </w:rPr>
        <w:tab/>
        <w:t>Ընդհանուր փաստաթղթերը.</w:t>
      </w:r>
    </w:p>
    <w:p w14:paraId="4A694C4F" w14:textId="01603088" w:rsidR="006F76EB" w:rsidRDefault="006F76EB" w:rsidP="009F7A79">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1.2.1.</w:t>
      </w:r>
      <w:r w:rsidR="005E476A">
        <w:rPr>
          <w:rFonts w:ascii="Sylfaen" w:hAnsi="Sylfaen"/>
          <w:sz w:val="24"/>
          <w:szCs w:val="24"/>
        </w:rPr>
        <w:t xml:space="preserve"> </w:t>
      </w:r>
      <w:r w:rsidR="005E476A" w:rsidRPr="005E476A">
        <w:rPr>
          <w:rFonts w:ascii="Sylfaen" w:hAnsi="Sylfaen"/>
          <w:sz w:val="24"/>
          <w:szCs w:val="24"/>
        </w:rPr>
        <w:t>Դեղապատրաստուկի գրանցման հայտը (թղթային կրիչով կամ *.doc,*.docx և *.pdf ձևաչափերով ստեղծված և էլեկտրոնային ստորագրությամբ ստորագրված էլեկտրոնային փաստաթղթի տեսքով) լրացվում է ըստ սույն կանոնների թիվ 2 հավելվածի համաձայն ձևի</w:t>
      </w:r>
      <w:r w:rsidRPr="00834D52">
        <w:rPr>
          <w:rFonts w:ascii="Sylfaen" w:hAnsi="Sylfaen"/>
          <w:sz w:val="24"/>
          <w:szCs w:val="24"/>
        </w:rPr>
        <w:t>:</w:t>
      </w:r>
    </w:p>
    <w:p w14:paraId="479F1E16" w14:textId="2B76075E" w:rsidR="005E476A" w:rsidRPr="006F28F9" w:rsidRDefault="005E476A" w:rsidP="005E476A">
      <w:pPr>
        <w:rPr>
          <w:b/>
          <w:bCs/>
          <w:i/>
          <w:iCs/>
        </w:rPr>
      </w:pPr>
      <w:r w:rsidRPr="00CD4709">
        <w:rPr>
          <w:b/>
          <w:bCs/>
          <w:i/>
          <w:iCs/>
        </w:rPr>
        <w:t>(</w:t>
      </w:r>
      <w:r>
        <w:rPr>
          <w:b/>
          <w:bCs/>
          <w:i/>
          <w:iCs/>
        </w:rPr>
        <w:t>1.2.1. կետը խմբ. 17.03.22</w:t>
      </w:r>
      <w:r w:rsidRPr="00CD4709">
        <w:rPr>
          <w:b/>
          <w:bCs/>
          <w:i/>
          <w:iCs/>
        </w:rPr>
        <w:t xml:space="preserve"> թիվ </w:t>
      </w:r>
      <w:r>
        <w:rPr>
          <w:b/>
          <w:bCs/>
          <w:i/>
          <w:iCs/>
        </w:rPr>
        <w:t>36</w:t>
      </w:r>
      <w:r w:rsidRPr="00CD4709">
        <w:rPr>
          <w:b/>
          <w:bCs/>
          <w:i/>
          <w:iCs/>
        </w:rPr>
        <w:t>)</w:t>
      </w:r>
    </w:p>
    <w:p w14:paraId="6232882D" w14:textId="77777777" w:rsidR="005E476A" w:rsidRPr="00834D52" w:rsidRDefault="005E476A" w:rsidP="009F7A79">
      <w:pPr>
        <w:tabs>
          <w:tab w:val="left" w:pos="1701"/>
        </w:tabs>
        <w:spacing w:after="160" w:line="360" w:lineRule="auto"/>
        <w:ind w:right="-8" w:firstLine="567"/>
        <w:jc w:val="both"/>
        <w:rPr>
          <w:rFonts w:ascii="Sylfaen" w:eastAsia="Times New Roman" w:hAnsi="Sylfaen" w:cs="Times New Roman"/>
          <w:sz w:val="24"/>
          <w:szCs w:val="24"/>
        </w:rPr>
      </w:pPr>
    </w:p>
    <w:p w14:paraId="44A1565B" w14:textId="754E0C4A"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1.2.2.</w:t>
      </w:r>
      <w:r w:rsidRPr="00834D52">
        <w:rPr>
          <w:rFonts w:ascii="Sylfaen" w:hAnsi="Sylfaen"/>
          <w:sz w:val="24"/>
          <w:szCs w:val="24"/>
        </w:rPr>
        <w:tab/>
        <w:t xml:space="preserve">Փորձագիտական աշխատանքների վճարումը </w:t>
      </w:r>
      <w:r w:rsidR="00C54D75">
        <w:rPr>
          <w:rFonts w:ascii="Sylfaen" w:hAnsi="Sylfaen"/>
          <w:sz w:val="24"/>
          <w:szCs w:val="24"/>
        </w:rPr>
        <w:t>և</w:t>
      </w:r>
      <w:r w:rsidRPr="00834D52">
        <w:rPr>
          <w:rFonts w:ascii="Sylfaen" w:hAnsi="Sylfaen"/>
          <w:sz w:val="24"/>
          <w:szCs w:val="24"/>
        </w:rPr>
        <w:t xml:space="preserve"> (կամ) գրանցման համար հավաքագրման (տուրքի) վճարումը հաստատող փաստաթղթերը՝ Եվրասիական տնտեսական միության այն անդամ պետության (այսուհետ՝ անդամ պետություններ) օրենսդրությանը համապատասխան, որն իրականացնում է դեղապատրաստուկի գրանցումը (անդամ պետության օրենսդրությունում </w:t>
      </w:r>
      <w:r w:rsidR="0056496B">
        <w:rPr>
          <w:rFonts w:ascii="Sylfaen" w:hAnsi="Sylfaen"/>
          <w:sz w:val="24"/>
          <w:szCs w:val="24"/>
        </w:rPr>
        <w:t>դիմումատու</w:t>
      </w:r>
      <w:r w:rsidRPr="00834D52">
        <w:rPr>
          <w:rFonts w:ascii="Sylfaen" w:hAnsi="Sylfaen"/>
          <w:sz w:val="24"/>
          <w:szCs w:val="24"/>
        </w:rPr>
        <w:t>ից այն փաստաթղթերը պահանջելու արգելքի բացակայության դեպքում, որոնք գտնվում են լիազորված մարմնի տրամադրության տակ կամ ինքնուրույն կարող են ստացվել լիազորված մարմնի կողմից):</w:t>
      </w:r>
    </w:p>
    <w:p w14:paraId="7C7AAADC"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1.2.3.</w:t>
      </w:r>
      <w:r w:rsidRPr="00834D52">
        <w:rPr>
          <w:rFonts w:ascii="Sylfaen" w:hAnsi="Sylfaen"/>
          <w:sz w:val="24"/>
          <w:szCs w:val="24"/>
        </w:rPr>
        <w:tab/>
        <w:t>Արտադրող երկրի լիազորված մարմնի կողմից տրված (առկայության դեպքում), սահմանված կարգով հաստատված՝ դեղապատրաստուկի հավաստագրի պատճենը՝ համաձայն Առողջապահության համաշխարհային կազմակերպության կողմից առաջարկված ձ</w:t>
      </w:r>
      <w:r w:rsidR="00C54D75">
        <w:rPr>
          <w:rFonts w:ascii="Sylfaen" w:hAnsi="Sylfaen"/>
          <w:sz w:val="24"/>
          <w:szCs w:val="24"/>
        </w:rPr>
        <w:t>և</w:t>
      </w:r>
      <w:r w:rsidRPr="00834D52">
        <w:rPr>
          <w:rFonts w:ascii="Sylfaen" w:hAnsi="Sylfaen"/>
          <w:sz w:val="24"/>
          <w:szCs w:val="24"/>
        </w:rPr>
        <w:t>աչափի:</w:t>
      </w:r>
    </w:p>
    <w:p w14:paraId="08F9B6E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Այդպիսի հավաստագրի բացակայության դեպքում՝ արտադրող երկրում </w:t>
      </w:r>
      <w:r w:rsidR="00C54D75">
        <w:rPr>
          <w:rFonts w:ascii="Sylfaen" w:hAnsi="Sylfaen"/>
          <w:sz w:val="24"/>
          <w:szCs w:val="24"/>
        </w:rPr>
        <w:t>և</w:t>
      </w:r>
      <w:r w:rsidRPr="00834D52">
        <w:rPr>
          <w:rFonts w:ascii="Sylfaen" w:hAnsi="Sylfaen"/>
          <w:sz w:val="24"/>
          <w:szCs w:val="24"/>
        </w:rPr>
        <w:t xml:space="preserve"> (կամ) դեղապատրաստուկի գրանցման հավաստագրի իրավատեր երկրում գրանցումը հաստատող փաստաթուղթը (սահմանված կարգով հաստատված) (առկայության դեպքում):</w:t>
      </w:r>
    </w:p>
    <w:p w14:paraId="6EEA94DB"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Արտադրող երկրում կամ դեղապատրաստուկի գրանցման հավաստագրի իրավատեր երկրում գրանցման բացակայության դեպքում ներկայացվում է </w:t>
      </w:r>
      <w:r w:rsidRPr="00834D52">
        <w:rPr>
          <w:rFonts w:ascii="Sylfaen" w:hAnsi="Sylfaen"/>
          <w:sz w:val="24"/>
          <w:szCs w:val="24"/>
        </w:rPr>
        <w:lastRenderedPageBreak/>
        <w:t>բացատրագիր՝ գրանցման տվյալների բացակայության հիմնավորմամբ:</w:t>
      </w:r>
    </w:p>
    <w:p w14:paraId="385D86B3"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1.2.4.</w:t>
      </w:r>
      <w:r w:rsidRPr="00834D52">
        <w:rPr>
          <w:rFonts w:ascii="Sylfaen" w:hAnsi="Sylfaen"/>
          <w:sz w:val="24"/>
          <w:szCs w:val="24"/>
        </w:rPr>
        <w:tab/>
        <w:t xml:space="preserve">Լիազորված մարմնի փորձագիտական հաշվետվության ռուսերեն թարգմանությունը </w:t>
      </w:r>
      <w:r w:rsidR="00C54D75">
        <w:rPr>
          <w:rFonts w:ascii="Sylfaen" w:hAnsi="Sylfaen"/>
          <w:sz w:val="24"/>
          <w:szCs w:val="24"/>
        </w:rPr>
        <w:t>և</w:t>
      </w:r>
      <w:r w:rsidRPr="00834D52">
        <w:rPr>
          <w:rFonts w:ascii="Sylfaen" w:hAnsi="Sylfaen"/>
          <w:sz w:val="24"/>
          <w:szCs w:val="24"/>
        </w:rPr>
        <w:t xml:space="preserve"> սահմանված կարգով հաստատված պատճենը՝ արտադրող երկրում կամ դեղապատրաստուկի գրանցման հավաստագրի (առկայության դեպքում) իրավատեր երկրում դեղապատրաստուկի գրանցման դեպքում:</w:t>
      </w:r>
    </w:p>
    <w:p w14:paraId="770565A7"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1.2.5.</w:t>
      </w:r>
      <w:r w:rsidRPr="00834D52">
        <w:rPr>
          <w:rFonts w:ascii="Sylfaen" w:hAnsi="Sylfaen"/>
          <w:sz w:val="24"/>
          <w:szCs w:val="24"/>
        </w:rPr>
        <w:tab/>
        <w:t>Անդամ պետության լիազորված մարմնի (լիազորված</w:t>
      </w:r>
      <w:r w:rsidR="00065DCF" w:rsidRPr="00065DCF">
        <w:rPr>
          <w:rFonts w:ascii="Sylfaen" w:hAnsi="Sylfaen"/>
          <w:sz w:val="24"/>
          <w:szCs w:val="24"/>
        </w:rPr>
        <w:t> </w:t>
      </w:r>
      <w:r w:rsidRPr="00834D52">
        <w:rPr>
          <w:rFonts w:ascii="Sylfaen" w:hAnsi="Sylfaen"/>
          <w:sz w:val="24"/>
          <w:szCs w:val="24"/>
        </w:rPr>
        <w:t>կազմակերպության) եզրակացությունը (առաջարկությունը)՝ ըստ անդամ պետություններում տվյալ դեղապատրաստուկի վերաբերյալ նախնական գիտական խորհրդատվության արդյունքների (առկայության դեպքում):</w:t>
      </w:r>
    </w:p>
    <w:p w14:paraId="2519B5B3"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1.2.6.</w:t>
      </w:r>
      <w:r w:rsidRPr="00834D52">
        <w:rPr>
          <w:rFonts w:ascii="Sylfaen" w:hAnsi="Sylfaen"/>
          <w:sz w:val="24"/>
          <w:szCs w:val="24"/>
        </w:rPr>
        <w:tab/>
        <w:t>Եվրասիական տնտեսական հանձնաժողովին (այսուհետ՝ Հանձնաժողով) կից գործող դեղամիջոցների հարցերով փորձագիտական կոմիտեի առաջարկությունը՝ ըստ տվյալ դեղապատրաստուկի վերաբերյալ նախնական գիտական խորհրդատվության արդյունքների (առկայության դեպքում):</w:t>
      </w:r>
    </w:p>
    <w:p w14:paraId="665C5B95"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w:t>
      </w:r>
      <w:r w:rsidRPr="00834D52">
        <w:rPr>
          <w:rFonts w:ascii="Sylfaen" w:hAnsi="Sylfaen"/>
          <w:sz w:val="24"/>
          <w:szCs w:val="24"/>
        </w:rPr>
        <w:tab/>
        <w:t>Դեղապատրաստուկի ընդհանուր բնութագիրը (այսուհետ՝ ԴԸԲ), բժշկական կիրառման հրահանգը (ներդիր թերթիկը) (այսուհետ՝ ԲԿՀ), մակնշումը՝</w:t>
      </w:r>
    </w:p>
    <w:p w14:paraId="00324EE1" w14:textId="1E40C135" w:rsidR="006F76EB" w:rsidRDefault="006F76EB" w:rsidP="009F7A79">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1.3.1.</w:t>
      </w:r>
      <w:r w:rsidRPr="00834D52">
        <w:rPr>
          <w:rFonts w:ascii="Sylfaen" w:hAnsi="Sylfaen"/>
          <w:sz w:val="24"/>
          <w:szCs w:val="24"/>
        </w:rPr>
        <w:tab/>
        <w:t xml:space="preserve">Ռուսերենով կազմած ԴԸԲ-ի, ԲԿՀ-ի նախագծերը՝ </w:t>
      </w:r>
      <w:r w:rsidR="00E77BB3" w:rsidRPr="00E77BB3">
        <w:rPr>
          <w:rFonts w:ascii="Sylfaen" w:hAnsi="Sylfaen"/>
          <w:sz w:val="24"/>
          <w:szCs w:val="24"/>
        </w:rPr>
        <w:t>դեղապատրաստուկի բժշկական կիրառման հրահանգին և Հանձնաժողովի կողմից հաստատվող բժշկական կիրառման համար նախատեսված դեղապատրաստուկի ընդհանուր բնութագրին</w:t>
      </w:r>
      <w:r w:rsidR="00E77BB3">
        <w:rPr>
          <w:rFonts w:ascii="Sylfaen" w:hAnsi="Sylfaen"/>
          <w:sz w:val="24"/>
          <w:szCs w:val="24"/>
        </w:rPr>
        <w:t xml:space="preserve"> </w:t>
      </w:r>
      <w:r w:rsidRPr="00834D52">
        <w:rPr>
          <w:rFonts w:ascii="Sylfaen" w:hAnsi="Sylfaen"/>
          <w:sz w:val="24"/>
          <w:szCs w:val="24"/>
        </w:rPr>
        <w:t>ներկայացվող պահանջներին համապատասխան։</w:t>
      </w:r>
    </w:p>
    <w:p w14:paraId="3540D6B6" w14:textId="02D643A8" w:rsidR="00E77BB3" w:rsidRPr="00E77BB3" w:rsidRDefault="00E77BB3" w:rsidP="00E77BB3">
      <w:pPr>
        <w:rPr>
          <w:b/>
          <w:bCs/>
          <w:i/>
          <w:iCs/>
        </w:rPr>
      </w:pPr>
      <w:r w:rsidRPr="00CD4709">
        <w:rPr>
          <w:b/>
          <w:bCs/>
          <w:i/>
          <w:iCs/>
        </w:rPr>
        <w:t>(</w:t>
      </w:r>
      <w:r>
        <w:rPr>
          <w:b/>
          <w:bCs/>
          <w:i/>
          <w:iCs/>
        </w:rPr>
        <w:t>1.3.1. կետը փոփ. 17.03.22</w:t>
      </w:r>
      <w:r w:rsidRPr="00CD4709">
        <w:rPr>
          <w:b/>
          <w:bCs/>
          <w:i/>
          <w:iCs/>
        </w:rPr>
        <w:t xml:space="preserve"> թիվ </w:t>
      </w:r>
      <w:r>
        <w:rPr>
          <w:b/>
          <w:bCs/>
          <w:i/>
          <w:iCs/>
        </w:rPr>
        <w:t>36</w:t>
      </w:r>
      <w:r w:rsidRPr="00CD4709">
        <w:rPr>
          <w:b/>
          <w:bCs/>
          <w:i/>
          <w:iCs/>
        </w:rPr>
        <w:t>)</w:t>
      </w:r>
    </w:p>
    <w:p w14:paraId="2508C8DC" w14:textId="6AFD0AC5" w:rsidR="006F76EB" w:rsidRDefault="006F76EB" w:rsidP="009F7A79">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1.3.2.</w:t>
      </w:r>
      <w:r w:rsidRPr="00834D52">
        <w:rPr>
          <w:rFonts w:ascii="Sylfaen" w:hAnsi="Sylfaen"/>
          <w:sz w:val="24"/>
          <w:szCs w:val="24"/>
        </w:rPr>
        <w:tab/>
        <w:t xml:space="preserve">Երկրորդական (սպառողական), առաջնային (ներքին) </w:t>
      </w:r>
      <w:r w:rsidR="00C54D75">
        <w:rPr>
          <w:rFonts w:ascii="Sylfaen" w:hAnsi="Sylfaen"/>
          <w:sz w:val="24"/>
          <w:szCs w:val="24"/>
        </w:rPr>
        <w:t>և</w:t>
      </w:r>
      <w:r w:rsidRPr="00834D52">
        <w:rPr>
          <w:rFonts w:ascii="Sylfaen" w:hAnsi="Sylfaen"/>
          <w:sz w:val="24"/>
          <w:szCs w:val="24"/>
        </w:rPr>
        <w:t xml:space="preserve"> միջանկյալ փաթեթվածքների մակետները (հարթ օրիգինալ մակետի լիագույն պատճենները, որոնք երկչափ կատարմամբ ապահովում են դեղապատրաստուկի՝ «թղթային պատճեն» կամ «համակարգչային տարբերակ» կոչվող ինչպես երկրորդական (սպառողական), այնպես էլ առաջնային (ներքին) փաթեթվածքի </w:t>
      </w:r>
      <w:r w:rsidR="00C54D75">
        <w:rPr>
          <w:rFonts w:ascii="Sylfaen" w:hAnsi="Sylfaen"/>
          <w:sz w:val="24"/>
          <w:szCs w:val="24"/>
        </w:rPr>
        <w:t>և</w:t>
      </w:r>
      <w:r w:rsidRPr="00834D52">
        <w:rPr>
          <w:rFonts w:ascii="Sylfaen" w:hAnsi="Sylfaen"/>
          <w:sz w:val="24"/>
          <w:szCs w:val="24"/>
        </w:rPr>
        <w:t xml:space="preserve"> մակնշման վերարտադրությունը)՝ Հանձնաժողովի կողմից հաստատված բժշկական կիրառման համար նախատեսված դեղամիջոցների </w:t>
      </w:r>
      <w:r w:rsidR="00C54D75">
        <w:rPr>
          <w:rFonts w:ascii="Sylfaen" w:hAnsi="Sylfaen"/>
          <w:sz w:val="24"/>
          <w:szCs w:val="24"/>
        </w:rPr>
        <w:t>և</w:t>
      </w:r>
      <w:r w:rsidRPr="00834D52">
        <w:rPr>
          <w:rFonts w:ascii="Sylfaen" w:hAnsi="Sylfaen"/>
          <w:sz w:val="24"/>
          <w:szCs w:val="24"/>
        </w:rPr>
        <w:t xml:space="preserve"> անասնաբուժական դեղամիջոցների </w:t>
      </w:r>
      <w:r w:rsidRPr="00834D52">
        <w:rPr>
          <w:rFonts w:ascii="Sylfaen" w:hAnsi="Sylfaen"/>
          <w:sz w:val="24"/>
          <w:szCs w:val="24"/>
        </w:rPr>
        <w:lastRenderedPageBreak/>
        <w:t>մակնշմանը ներկայացվող պահանջներին համապատասխան: Միջանկյալ փաթեթվածքի, պիտակների, սթիքերների մակետները ներկայացվում են առկայության դեպքում:</w:t>
      </w:r>
    </w:p>
    <w:p w14:paraId="0DEEDC16" w14:textId="47175812" w:rsidR="0091782A" w:rsidRPr="00E77BB3" w:rsidRDefault="0091782A" w:rsidP="0091782A">
      <w:pPr>
        <w:rPr>
          <w:b/>
          <w:bCs/>
          <w:i/>
          <w:iCs/>
        </w:rPr>
      </w:pPr>
      <w:r w:rsidRPr="00CD4709">
        <w:rPr>
          <w:b/>
          <w:bCs/>
          <w:i/>
          <w:iCs/>
        </w:rPr>
        <w:t>(</w:t>
      </w:r>
      <w:r>
        <w:rPr>
          <w:b/>
          <w:bCs/>
          <w:i/>
          <w:iCs/>
        </w:rPr>
        <w:t>1.</w:t>
      </w:r>
      <w:r w:rsidRPr="00D37FAA">
        <w:rPr>
          <w:b/>
          <w:bCs/>
          <w:i/>
          <w:iCs/>
        </w:rPr>
        <w:t>3</w:t>
      </w:r>
      <w:r>
        <w:rPr>
          <w:b/>
          <w:bCs/>
          <w:i/>
          <w:iCs/>
        </w:rPr>
        <w:t>.2. կետը փոփ. ԵՏՀԽ 23.09.22 թիվ 141</w:t>
      </w:r>
      <w:r w:rsidRPr="00CD4709">
        <w:rPr>
          <w:b/>
          <w:bCs/>
          <w:i/>
          <w:iCs/>
        </w:rPr>
        <w:t>)</w:t>
      </w:r>
    </w:p>
    <w:p w14:paraId="69DAE778" w14:textId="77777777" w:rsidR="0091782A" w:rsidRPr="00834D52" w:rsidRDefault="0091782A" w:rsidP="009F7A79">
      <w:pPr>
        <w:tabs>
          <w:tab w:val="left" w:pos="1701"/>
        </w:tabs>
        <w:spacing w:after="160" w:line="360" w:lineRule="auto"/>
        <w:ind w:right="-8" w:firstLine="567"/>
        <w:jc w:val="both"/>
        <w:rPr>
          <w:rFonts w:ascii="Sylfaen" w:eastAsia="Times New Roman" w:hAnsi="Sylfaen" w:cs="Times New Roman"/>
          <w:sz w:val="24"/>
          <w:szCs w:val="24"/>
        </w:rPr>
      </w:pPr>
    </w:p>
    <w:p w14:paraId="5D0E5F76"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1.3.3.</w:t>
      </w:r>
      <w:r w:rsidRPr="00834D52">
        <w:rPr>
          <w:rFonts w:ascii="Sylfaen" w:hAnsi="Sylfaen"/>
          <w:sz w:val="24"/>
          <w:szCs w:val="24"/>
        </w:rPr>
        <w:tab/>
        <w:t>ԲԿՀ-ի տեքստի օգտատերերի թեստավորման արդյունքները (</w:t>
      </w:r>
      <w:r w:rsidR="00E2752F">
        <w:rPr>
          <w:rFonts w:ascii="Sylfaen" w:hAnsi="Sylfaen"/>
          <w:sz w:val="24"/>
          <w:szCs w:val="24"/>
        </w:rPr>
        <w:t>առկայության դեպքում</w:t>
      </w:r>
      <w:r w:rsidRPr="00834D52">
        <w:rPr>
          <w:rFonts w:ascii="Sylfaen" w:hAnsi="Sylfaen"/>
          <w:sz w:val="24"/>
          <w:szCs w:val="24"/>
        </w:rPr>
        <w:t>):</w:t>
      </w:r>
    </w:p>
    <w:p w14:paraId="0B711B4B"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Օգտատերերի թեստավորման արդյունքները ներկայացնելիս անհրաժեշտ է կրճատ ամփոփել՝ ինչպես է անցկացվել թեստավորումը </w:t>
      </w:r>
      <w:r w:rsidR="00C54D75">
        <w:rPr>
          <w:rFonts w:ascii="Sylfaen" w:hAnsi="Sylfaen"/>
          <w:sz w:val="24"/>
          <w:szCs w:val="24"/>
        </w:rPr>
        <w:t>և</w:t>
      </w:r>
      <w:r w:rsidRPr="00834D52">
        <w:rPr>
          <w:rFonts w:ascii="Sylfaen" w:hAnsi="Sylfaen"/>
          <w:sz w:val="24"/>
          <w:szCs w:val="24"/>
        </w:rPr>
        <w:t xml:space="preserve"> ինչ կերպ են ԲԿՀ-ի վերջնական խմբագրության մեջ կատարվել բոլոր անհրաժեշտ փոփոխությունները: Ռեզյումեն անհրաժեշտ է ներկայացնել մոդուլի տվյալ բաժնում հետ</w:t>
      </w:r>
      <w:r w:rsidR="00C54D75">
        <w:rPr>
          <w:rFonts w:ascii="Sylfaen" w:hAnsi="Sylfaen"/>
          <w:sz w:val="24"/>
          <w:szCs w:val="24"/>
        </w:rPr>
        <w:t>և</w:t>
      </w:r>
      <w:r w:rsidRPr="00834D52">
        <w:rPr>
          <w:rFonts w:ascii="Sylfaen" w:hAnsi="Sylfaen"/>
          <w:sz w:val="24"/>
          <w:szCs w:val="24"/>
        </w:rPr>
        <w:t>յալ ձ</w:t>
      </w:r>
      <w:r w:rsidR="00C54D75">
        <w:rPr>
          <w:rFonts w:ascii="Sylfaen" w:hAnsi="Sylfaen"/>
          <w:sz w:val="24"/>
          <w:szCs w:val="24"/>
        </w:rPr>
        <w:t>և</w:t>
      </w:r>
      <w:r w:rsidRPr="00834D52">
        <w:rPr>
          <w:rFonts w:ascii="Sylfaen" w:hAnsi="Sylfaen"/>
          <w:sz w:val="24"/>
          <w:szCs w:val="24"/>
        </w:rPr>
        <w:t>ով՝</w:t>
      </w:r>
    </w:p>
    <w:p w14:paraId="0D30D58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կրճատ նկարագրությունը.</w:t>
      </w:r>
    </w:p>
    <w:p w14:paraId="257C683F"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անցկացված թեստավորման կամ ԲԿՀ-ի առանձին տարրերի ուսումնասիրման կրճատ նկարագրությունը (օգտագործված մեթոդիկան, թեստավորման համար մասնակիցների ընտրության չափանիշների պարզաբանումները, թեստավորման լեզուն).</w:t>
      </w:r>
    </w:p>
    <w:p w14:paraId="30B80850"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օգտագործված հարցաթերթերը (հարցաթերթիկները, այդ թվում՝ դրանց լրացման հրահանգները </w:t>
      </w:r>
      <w:r w:rsidR="00C54D75">
        <w:rPr>
          <w:rFonts w:ascii="Sylfaen" w:hAnsi="Sylfaen"/>
          <w:sz w:val="24"/>
          <w:szCs w:val="24"/>
        </w:rPr>
        <w:t>և</w:t>
      </w:r>
      <w:r w:rsidRPr="00834D52">
        <w:rPr>
          <w:rFonts w:ascii="Sylfaen" w:hAnsi="Sylfaen"/>
          <w:sz w:val="24"/>
          <w:szCs w:val="24"/>
        </w:rPr>
        <w:t xml:space="preserve"> դիտարկման ձ</w:t>
      </w:r>
      <w:r w:rsidR="00C54D75">
        <w:rPr>
          <w:rFonts w:ascii="Sylfaen" w:hAnsi="Sylfaen"/>
          <w:sz w:val="24"/>
          <w:szCs w:val="24"/>
        </w:rPr>
        <w:t>և</w:t>
      </w:r>
      <w:r w:rsidRPr="00834D52">
        <w:rPr>
          <w:rFonts w:ascii="Sylfaen" w:hAnsi="Sylfaen"/>
          <w:sz w:val="24"/>
          <w:szCs w:val="24"/>
        </w:rPr>
        <w:t>երը).</w:t>
      </w:r>
    </w:p>
    <w:p w14:paraId="1F23AD39"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ԲԿՀ-ի սկզբնական </w:t>
      </w:r>
      <w:r w:rsidR="00C54D75">
        <w:rPr>
          <w:rFonts w:ascii="Sylfaen" w:hAnsi="Sylfaen"/>
          <w:sz w:val="24"/>
          <w:szCs w:val="24"/>
        </w:rPr>
        <w:t>և</w:t>
      </w:r>
      <w:r w:rsidRPr="00834D52">
        <w:rPr>
          <w:rFonts w:ascii="Sylfaen" w:hAnsi="Sylfaen"/>
          <w:sz w:val="24"/>
          <w:szCs w:val="24"/>
        </w:rPr>
        <w:t xml:space="preserve"> վերանայված խմբագրությունը.</w:t>
      </w:r>
    </w:p>
    <w:p w14:paraId="36B9141D" w14:textId="2671EE06"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թեստավորման արդյունքների կրճատ նկարագրությունը </w:t>
      </w:r>
      <w:r w:rsidR="00C54D75">
        <w:rPr>
          <w:rFonts w:ascii="Sylfaen" w:hAnsi="Sylfaen"/>
          <w:sz w:val="24"/>
          <w:szCs w:val="24"/>
        </w:rPr>
        <w:t>և</w:t>
      </w:r>
      <w:r w:rsidRPr="00834D52">
        <w:rPr>
          <w:rFonts w:ascii="Sylfaen" w:hAnsi="Sylfaen"/>
          <w:sz w:val="24"/>
          <w:szCs w:val="24"/>
        </w:rPr>
        <w:t xml:space="preserve"> քննարկումը (սուբյեկտների պատասխանները, բացա</w:t>
      </w:r>
      <w:r w:rsidR="0056496B">
        <w:rPr>
          <w:rFonts w:ascii="Sylfaen" w:hAnsi="Sylfaen"/>
          <w:sz w:val="24"/>
          <w:szCs w:val="24"/>
        </w:rPr>
        <w:t>դիմում</w:t>
      </w:r>
      <w:r w:rsidRPr="00834D52">
        <w:rPr>
          <w:rFonts w:ascii="Sylfaen" w:hAnsi="Sylfaen"/>
          <w:sz w:val="24"/>
          <w:szCs w:val="24"/>
        </w:rPr>
        <w:t xml:space="preserve">ված խնդիրները </w:t>
      </w:r>
      <w:r w:rsidR="00C54D75">
        <w:rPr>
          <w:rFonts w:ascii="Sylfaen" w:hAnsi="Sylfaen"/>
          <w:sz w:val="24"/>
          <w:szCs w:val="24"/>
        </w:rPr>
        <w:t>և</w:t>
      </w:r>
      <w:r w:rsidRPr="00834D52">
        <w:rPr>
          <w:rFonts w:ascii="Sylfaen" w:hAnsi="Sylfaen"/>
          <w:sz w:val="24"/>
          <w:szCs w:val="24"/>
        </w:rPr>
        <w:t xml:space="preserve"> ԲԿՀ-ի համապատասխան բաժիններում կատարված փոփոխությունները). </w:t>
      </w:r>
    </w:p>
    <w:p w14:paraId="75455D0C"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եզրակացությունը:</w:t>
      </w:r>
    </w:p>
    <w:p w14:paraId="010F7E43"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Մնացած բոլոր մանրամասնություններն անհրաժեշտ է ներկայացնել ըստ լիազորված մարմնի (փորձագիտական կազմակերպության) հարցման:</w:t>
      </w:r>
    </w:p>
    <w:p w14:paraId="4A6B8F34"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1.3.4.</w:t>
      </w:r>
      <w:r w:rsidRPr="00834D52">
        <w:rPr>
          <w:rFonts w:ascii="Sylfaen" w:hAnsi="Sylfaen"/>
          <w:spacing w:val="-4"/>
          <w:sz w:val="24"/>
          <w:szCs w:val="24"/>
        </w:rPr>
        <w:tab/>
        <w:t xml:space="preserve">Արտադրող երկրի լիազորված մարմնի </w:t>
      </w:r>
      <w:r w:rsidR="00C54D75">
        <w:rPr>
          <w:rFonts w:ascii="Sylfaen" w:hAnsi="Sylfaen"/>
          <w:spacing w:val="-4"/>
          <w:sz w:val="24"/>
          <w:szCs w:val="24"/>
        </w:rPr>
        <w:t>և</w:t>
      </w:r>
      <w:r w:rsidRPr="00834D52">
        <w:rPr>
          <w:rFonts w:ascii="Sylfaen" w:hAnsi="Sylfaen"/>
          <w:spacing w:val="-4"/>
          <w:sz w:val="24"/>
          <w:szCs w:val="24"/>
        </w:rPr>
        <w:t xml:space="preserve"> (կամ) դեղապատրաստուկի </w:t>
      </w:r>
      <w:r w:rsidRPr="00834D52">
        <w:rPr>
          <w:rFonts w:ascii="Sylfaen" w:hAnsi="Sylfaen"/>
          <w:spacing w:val="-4"/>
          <w:sz w:val="24"/>
          <w:szCs w:val="24"/>
        </w:rPr>
        <w:lastRenderedPageBreak/>
        <w:t xml:space="preserve">գրանցման հավաստագրի իրավատեր երկրի կողմից հաստատված ԴԸԲ-ի </w:t>
      </w:r>
      <w:r w:rsidR="00C54D75">
        <w:rPr>
          <w:rFonts w:ascii="Sylfaen" w:hAnsi="Sylfaen"/>
          <w:spacing w:val="-4"/>
          <w:sz w:val="24"/>
          <w:szCs w:val="24"/>
        </w:rPr>
        <w:t>և</w:t>
      </w:r>
      <w:r w:rsidRPr="00834D52">
        <w:rPr>
          <w:rFonts w:ascii="Sylfaen" w:hAnsi="Sylfaen"/>
          <w:spacing w:val="-4"/>
          <w:sz w:val="24"/>
          <w:szCs w:val="24"/>
        </w:rPr>
        <w:t xml:space="preserve"> ԲԿՀ-ի պատճենները՝ վերջին վերանայման ամսաթվով, հաստատված դեղապատրաստուկի գրանցման հավաստագրի իրավատիրոջ լիազորված մարմնի կողմից (առկայության դեպքում):</w:t>
      </w:r>
    </w:p>
    <w:p w14:paraId="1B61A6F2"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w:t>
      </w:r>
      <w:r w:rsidRPr="00834D52">
        <w:rPr>
          <w:rFonts w:ascii="Sylfaen" w:hAnsi="Sylfaen"/>
          <w:sz w:val="24"/>
          <w:szCs w:val="24"/>
        </w:rPr>
        <w:tab/>
        <w:t>Այլ երկրներում դեղապատրաստուկի կարգավորման կարգավիճակի մասին տեղեկատվությունը (առկայության դեպքում):</w:t>
      </w:r>
    </w:p>
    <w:p w14:paraId="0C4E43D2"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t xml:space="preserve">Այն երկրների ցանկը, որտեղ դեղապատրաստուկը ներկայացվել է գրանցման, գրանցվել է, գրանցման մերժում է ստացել կամ դրա շրջանառությունը շուկայում կասեցվել է` դեղապատրաստուկի անվանման, գրանցման հավաստագրի համարի </w:t>
      </w:r>
      <w:r w:rsidR="00C54D75">
        <w:rPr>
          <w:rFonts w:ascii="Sylfaen" w:hAnsi="Sylfaen"/>
          <w:sz w:val="24"/>
          <w:szCs w:val="24"/>
        </w:rPr>
        <w:t>և</w:t>
      </w:r>
      <w:r w:rsidRPr="00834D52">
        <w:rPr>
          <w:rFonts w:ascii="Sylfaen" w:hAnsi="Sylfaen"/>
          <w:sz w:val="24"/>
          <w:szCs w:val="24"/>
        </w:rPr>
        <w:t xml:space="preserve"> ամսաթվի, դրա գործողության ժամկետի կամ գրանցումը մերժելու, գրանցման հավաստագրի գործողության կասեցման մասին որոշում կայացնելու ամսաթվի նշումով: Տրամադրվող տեղեկատվությունը պետք է վավերացվի գրանցման հավաստագրի իրավատիրոջ կողմից:</w:t>
      </w:r>
    </w:p>
    <w:p w14:paraId="318C81B8" w14:textId="77777777" w:rsidR="006F76EB" w:rsidRPr="00834D52" w:rsidRDefault="006F76EB" w:rsidP="00D01EE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w:t>
      </w:r>
      <w:r w:rsidRPr="00834D52">
        <w:rPr>
          <w:rFonts w:ascii="Sylfaen" w:hAnsi="Sylfaen"/>
          <w:sz w:val="24"/>
          <w:szCs w:val="24"/>
        </w:rPr>
        <w:tab/>
        <w:t>Որակին առնչվող փաստաթղթերը՝</w:t>
      </w:r>
    </w:p>
    <w:p w14:paraId="76592CAF"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Եվրասիական տնտեսական միության դեղագրքի կամ սպունգանման էնցեֆալոպատիայի վերաբերյալ Եվրոպական դեղագրքի հոդվածին համապատասխանության սերտիֆիկատը կամ հումքի ծագման երկրի անասնաբուժական վերահսկողության լիազորված մարմինների կողմից տրված փաստաթուղթը՝ կենդանական ծագման դեղագործական նյութի կիրառման դեպքում (</w:t>
      </w:r>
      <w:r w:rsidR="00C44EAE">
        <w:rPr>
          <w:rFonts w:ascii="Sylfaen" w:hAnsi="Sylfaen"/>
          <w:sz w:val="24"/>
          <w:szCs w:val="24"/>
        </w:rPr>
        <w:t>եթե կիրառելի է</w:t>
      </w:r>
      <w:r w:rsidRPr="00834D52">
        <w:rPr>
          <w:rFonts w:ascii="Sylfaen" w:hAnsi="Sylfaen"/>
          <w:sz w:val="24"/>
          <w:szCs w:val="24"/>
        </w:rPr>
        <w:t>):</w:t>
      </w:r>
    </w:p>
    <w:p w14:paraId="5614224B" w14:textId="06C3BC54" w:rsidR="006F76EB" w:rsidRDefault="006F76EB" w:rsidP="00D01EE2">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1.5.2.</w:t>
      </w:r>
      <w:r w:rsidRPr="00834D52">
        <w:rPr>
          <w:rFonts w:ascii="Sylfaen" w:hAnsi="Sylfaen"/>
          <w:sz w:val="24"/>
          <w:szCs w:val="24"/>
        </w:rPr>
        <w:tab/>
        <w:t xml:space="preserve">Ակտիվ դեղագործական նյութի մաստեր-ֆայլի իրավատիրոջ նամակը՝ դեղապատրաստուկի արտադրողին </w:t>
      </w:r>
      <w:r w:rsidR="00C54D75">
        <w:rPr>
          <w:rFonts w:ascii="Sylfaen" w:hAnsi="Sylfaen"/>
          <w:sz w:val="24"/>
          <w:szCs w:val="24"/>
        </w:rPr>
        <w:t>և</w:t>
      </w:r>
      <w:r w:rsidRPr="00834D52">
        <w:rPr>
          <w:rFonts w:ascii="Sylfaen" w:hAnsi="Sylfaen"/>
          <w:sz w:val="24"/>
          <w:szCs w:val="24"/>
        </w:rPr>
        <w:t xml:space="preserve"> անդամ պետության լիազորված մարմնին ցանկացած փոփոխության մասին տեղեկացնելու պարտավորությամբ՝ նախքան որ</w:t>
      </w:r>
      <w:r w:rsidR="00C54D75">
        <w:rPr>
          <w:rFonts w:ascii="Sylfaen" w:hAnsi="Sylfaen"/>
          <w:sz w:val="24"/>
          <w:szCs w:val="24"/>
        </w:rPr>
        <w:t>և</w:t>
      </w:r>
      <w:r w:rsidRPr="00834D52">
        <w:rPr>
          <w:rFonts w:ascii="Sylfaen" w:hAnsi="Sylfaen"/>
          <w:sz w:val="24"/>
          <w:szCs w:val="24"/>
        </w:rPr>
        <w:t xml:space="preserve">է էական փոփոխություն կատարվելը դեղագործական նյութի մաստեր-ֆայլում </w:t>
      </w:r>
      <w:r w:rsidR="00E77BB3" w:rsidRPr="00E77BB3">
        <w:rPr>
          <w:rFonts w:ascii="Sylfaen" w:hAnsi="Sylfaen"/>
          <w:sz w:val="24"/>
          <w:szCs w:val="24"/>
        </w:rPr>
        <w:t>նոտարական կարգով կամ ակտիվ դեղագործական բաղադրամասի մաստեր-ֆայլն ունեցող անձի էլեկտրոնային թվային ստորագրությամբ վավերացված, թարգմանությամբ, որակի հարցերով լիազորված անձի ստորագրությամբ գրության պատճեն</w:t>
      </w:r>
      <w:r w:rsidRPr="00834D52">
        <w:rPr>
          <w:rFonts w:ascii="Sylfaen" w:hAnsi="Sylfaen"/>
          <w:sz w:val="24"/>
          <w:szCs w:val="24"/>
        </w:rPr>
        <w:t>:</w:t>
      </w:r>
    </w:p>
    <w:p w14:paraId="4900CAF7" w14:textId="357C9C4C" w:rsidR="00E77BB3" w:rsidRPr="00E77BB3" w:rsidRDefault="00E77BB3" w:rsidP="00E77BB3">
      <w:pPr>
        <w:rPr>
          <w:b/>
          <w:bCs/>
          <w:i/>
          <w:iCs/>
        </w:rPr>
      </w:pPr>
      <w:r w:rsidRPr="00CD4709">
        <w:rPr>
          <w:b/>
          <w:bCs/>
          <w:i/>
          <w:iCs/>
        </w:rPr>
        <w:lastRenderedPageBreak/>
        <w:t>(</w:t>
      </w:r>
      <w:r>
        <w:rPr>
          <w:b/>
          <w:bCs/>
          <w:i/>
          <w:iCs/>
        </w:rPr>
        <w:t>1.5.2. կետը փոփ. 17.03.22</w:t>
      </w:r>
      <w:r w:rsidRPr="00CD4709">
        <w:rPr>
          <w:b/>
          <w:bCs/>
          <w:i/>
          <w:iCs/>
        </w:rPr>
        <w:t xml:space="preserve"> թիվ </w:t>
      </w:r>
      <w:r>
        <w:rPr>
          <w:b/>
          <w:bCs/>
          <w:i/>
          <w:iCs/>
        </w:rPr>
        <w:t>36</w:t>
      </w:r>
      <w:r w:rsidRPr="00CD4709">
        <w:rPr>
          <w:b/>
          <w:bCs/>
          <w:i/>
          <w:iCs/>
        </w:rPr>
        <w:t>)</w:t>
      </w:r>
    </w:p>
    <w:p w14:paraId="1E1C9159" w14:textId="77777777" w:rsidR="00E77BB3" w:rsidRPr="00834D52" w:rsidRDefault="00E77BB3" w:rsidP="00D01EE2">
      <w:pPr>
        <w:tabs>
          <w:tab w:val="left" w:pos="1701"/>
        </w:tabs>
        <w:spacing w:after="160" w:line="360" w:lineRule="auto"/>
        <w:ind w:right="-8" w:firstLine="567"/>
        <w:jc w:val="both"/>
        <w:rPr>
          <w:rFonts w:ascii="Sylfaen" w:eastAsia="Times New Roman" w:hAnsi="Sylfaen" w:cs="Times New Roman"/>
          <w:sz w:val="24"/>
          <w:szCs w:val="24"/>
        </w:rPr>
      </w:pPr>
    </w:p>
    <w:p w14:paraId="5D7486AA"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1.5.3.</w:t>
      </w:r>
      <w:r w:rsidRPr="00834D52">
        <w:rPr>
          <w:rFonts w:ascii="Sylfaen" w:hAnsi="Sylfaen"/>
          <w:sz w:val="24"/>
          <w:szCs w:val="24"/>
        </w:rPr>
        <w:tab/>
        <w:t>Դեղագործական նյութի մաստեր-ֆայլի իրավատիրոջ համաձայնությունը հաստատող նամակը` դեղագործական նյութի մաստեր-ֆայլի փակ մասի փաստաթղթերը լիազորված մարմնի հարցմամբ ներկայացնելու մասին:</w:t>
      </w:r>
    </w:p>
    <w:p w14:paraId="5A5F056B"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1.5.4.</w:t>
      </w:r>
      <w:r w:rsidRPr="00834D52">
        <w:rPr>
          <w:rFonts w:ascii="Sylfaen" w:hAnsi="Sylfaen"/>
          <w:sz w:val="24"/>
          <w:szCs w:val="24"/>
        </w:rPr>
        <w:tab/>
        <w:t>Եվրոպական դեղագրքի պահանջներին դեղագործական նյութի համապատասխանության հավաստագրի պատճենը (առկայության դեպքում):</w:t>
      </w:r>
    </w:p>
    <w:p w14:paraId="0A5FB5A9"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1.5.5.</w:t>
      </w:r>
      <w:r w:rsidRPr="00834D52">
        <w:rPr>
          <w:rFonts w:ascii="Sylfaen" w:hAnsi="Sylfaen"/>
          <w:sz w:val="24"/>
          <w:szCs w:val="24"/>
        </w:rPr>
        <w:tab/>
        <w:t>Պլազմայի մաստեր-ֆայլի հավաստագրի պատճենը, որը տրվել է արտադրող երկրի լիազորված մարմնի կողմից (առկայության դեպքում):</w:t>
      </w:r>
    </w:p>
    <w:p w14:paraId="14C8DB6E" w14:textId="041125CD" w:rsidR="006F76EB" w:rsidRDefault="006F76EB" w:rsidP="00D01EE2">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1.5.6.</w:t>
      </w:r>
      <w:r w:rsidRPr="00834D52">
        <w:rPr>
          <w:rFonts w:ascii="Sylfaen" w:hAnsi="Sylfaen"/>
          <w:sz w:val="24"/>
          <w:szCs w:val="24"/>
        </w:rPr>
        <w:tab/>
        <w:t>Պատվաստանյութային հակագենի մաստեր-ֆայլի հավաստագրի պատճենը, որը տրվել է արտադրող երկրի լիազորված մարմնի կողմից (առկայության դեպքում):</w:t>
      </w:r>
    </w:p>
    <w:p w14:paraId="20E3E09F" w14:textId="244D11F3" w:rsidR="00887B3C" w:rsidRDefault="00887B3C" w:rsidP="00D01EE2">
      <w:pPr>
        <w:tabs>
          <w:tab w:val="left" w:pos="1701"/>
        </w:tabs>
        <w:spacing w:after="160" w:line="360" w:lineRule="auto"/>
        <w:ind w:right="-8" w:firstLine="567"/>
        <w:jc w:val="both"/>
        <w:rPr>
          <w:rFonts w:ascii="Sylfaen" w:eastAsia="Times New Roman" w:hAnsi="Sylfaen" w:cs="Times New Roman"/>
          <w:sz w:val="24"/>
          <w:szCs w:val="24"/>
        </w:rPr>
      </w:pPr>
      <w:r w:rsidRPr="00887B3C">
        <w:rPr>
          <w:rFonts w:ascii="Sylfaen" w:eastAsia="Times New Roman" w:hAnsi="Sylfaen" w:cs="Times New Roman"/>
          <w:sz w:val="24"/>
          <w:szCs w:val="24"/>
        </w:rPr>
        <w:t>1.5.7. Եվրասիական տնտեսական հանձնաժողովի կոլեգիայի 2018 թվականի սեպտեմբերի 7-ի թիվ 151 որոշմամբ հաստատված՝ Դեղապատրաստուկի որակի վերաբերյալ նորմատիվ փաստաթուղթ կազմելու մասին ուղեցույցին համապատասխան պատրաստված՝ Որակի վերաբերյալ նորմատիվ փաստաթղթի նախագիծ</w:t>
      </w:r>
      <w:r>
        <w:rPr>
          <w:rFonts w:ascii="Sylfaen" w:eastAsia="Times New Roman" w:hAnsi="Sylfaen" w:cs="Times New Roman"/>
          <w:sz w:val="24"/>
          <w:szCs w:val="24"/>
        </w:rPr>
        <w:t>:</w:t>
      </w:r>
    </w:p>
    <w:p w14:paraId="3BB664D4" w14:textId="72B3FADC" w:rsidR="00887B3C" w:rsidRPr="00887B3C" w:rsidRDefault="00887B3C" w:rsidP="00887B3C">
      <w:pPr>
        <w:rPr>
          <w:b/>
          <w:bCs/>
          <w:i/>
          <w:iCs/>
        </w:rPr>
      </w:pPr>
      <w:r w:rsidRPr="00CD4709">
        <w:rPr>
          <w:b/>
          <w:bCs/>
          <w:i/>
          <w:iCs/>
        </w:rPr>
        <w:t>(</w:t>
      </w:r>
      <w:r>
        <w:rPr>
          <w:b/>
          <w:bCs/>
          <w:i/>
          <w:iCs/>
        </w:rPr>
        <w:t>1.5.7. կետը լրաց</w:t>
      </w:r>
      <w:r w:rsidRPr="00CD4709">
        <w:rPr>
          <w:b/>
          <w:bCs/>
          <w:i/>
          <w:iCs/>
        </w:rPr>
        <w:t xml:space="preserve">. </w:t>
      </w:r>
      <w:r>
        <w:rPr>
          <w:b/>
          <w:bCs/>
          <w:i/>
          <w:iCs/>
        </w:rPr>
        <w:t>23.04.21 թիվ 34</w:t>
      </w:r>
      <w:r w:rsidRPr="00CD4709">
        <w:rPr>
          <w:b/>
          <w:bCs/>
          <w:i/>
          <w:iCs/>
        </w:rPr>
        <w:t>)</w:t>
      </w:r>
    </w:p>
    <w:p w14:paraId="7896C5ED" w14:textId="77777777" w:rsidR="006F76EB" w:rsidRPr="00834D52" w:rsidRDefault="006F76EB" w:rsidP="00D01EE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w:t>
      </w:r>
      <w:r w:rsidRPr="00834D52">
        <w:rPr>
          <w:rFonts w:ascii="Sylfaen" w:hAnsi="Sylfaen"/>
          <w:sz w:val="24"/>
          <w:szCs w:val="24"/>
        </w:rPr>
        <w:tab/>
        <w:t>Արտադրության փաստաթղթերը՝</w:t>
      </w:r>
    </w:p>
    <w:p w14:paraId="4B34136D"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1.6.1.</w:t>
      </w:r>
      <w:r w:rsidRPr="00834D52">
        <w:rPr>
          <w:rFonts w:ascii="Sylfaen" w:hAnsi="Sylfaen"/>
          <w:sz w:val="24"/>
          <w:szCs w:val="24"/>
        </w:rPr>
        <w:tab/>
        <w:t xml:space="preserve">Սահմանված կարգով վավերացված, անդամ պետության լիազորված մարմնի կողմից տրված գործող փաստաթղթի պատճենը, որը հաստատում է Հանձնաժողովի կողմից հաստատված Եվրասիական տնտեսական միության պատշաճ արտադրական գործելակերպի կանոնների (այսուհետ` Միության պատշաճ արտադրական գործելակերպի կանոններ) պահանջներին գրանցման համար ներկայացված դեղապատրաստուկի արտադրողի (արտադրական հարթակի) համապատասխանությունը։ </w:t>
      </w:r>
    </w:p>
    <w:p w14:paraId="27DA2008" w14:textId="6B026DA9" w:rsidR="006F76EB" w:rsidRDefault="006F76EB" w:rsidP="000A2800">
      <w:pPr>
        <w:tabs>
          <w:tab w:val="left" w:pos="1418"/>
        </w:tabs>
        <w:spacing w:after="160" w:line="360" w:lineRule="auto"/>
        <w:ind w:right="-6" w:firstLine="567"/>
        <w:jc w:val="both"/>
        <w:rPr>
          <w:rFonts w:ascii="Sylfaen" w:hAnsi="Sylfaen"/>
          <w:sz w:val="24"/>
          <w:szCs w:val="24"/>
        </w:rPr>
      </w:pPr>
      <w:r w:rsidRPr="00834D52">
        <w:rPr>
          <w:rFonts w:ascii="Sylfaen" w:hAnsi="Sylfaen"/>
          <w:sz w:val="24"/>
          <w:szCs w:val="24"/>
        </w:rPr>
        <w:t xml:space="preserve">Սահմանված կարգով վավերացված, այն երկրի (երկրների) լիազորված </w:t>
      </w:r>
      <w:r w:rsidRPr="00834D52">
        <w:rPr>
          <w:rFonts w:ascii="Sylfaen" w:hAnsi="Sylfaen"/>
          <w:sz w:val="24"/>
          <w:szCs w:val="24"/>
        </w:rPr>
        <w:lastRenderedPageBreak/>
        <w:t xml:space="preserve">մարմինների կողմից, որտեղ տեղակայված է արտադրական հարթակը (արտադրության տարբեր փուլերի համար արտադրական հարթակները) </w:t>
      </w:r>
      <w:r w:rsidR="00C54D75">
        <w:rPr>
          <w:rFonts w:ascii="Sylfaen" w:hAnsi="Sylfaen"/>
          <w:sz w:val="24"/>
          <w:szCs w:val="24"/>
        </w:rPr>
        <w:t>և</w:t>
      </w:r>
      <w:r w:rsidRPr="00834D52">
        <w:rPr>
          <w:rFonts w:ascii="Sylfaen" w:hAnsi="Sylfaen"/>
          <w:sz w:val="24"/>
          <w:szCs w:val="24"/>
        </w:rPr>
        <w:t xml:space="preserve"> (կամ) այլ լիազորված մարմինների կողմից տրված գործող փաստաթղթերի պատճենները, որոնք հաստատում են </w:t>
      </w:r>
      <w:r w:rsidR="009C779E">
        <w:rPr>
          <w:rFonts w:ascii="Sylfaen" w:hAnsi="Sylfaen"/>
          <w:sz w:val="24"/>
          <w:szCs w:val="24"/>
        </w:rPr>
        <w:t>պատշաճ արտադրական գործելակերպի պահանջներին արտադրողի արտադրական հարթակի համապատասխանությունը</w:t>
      </w:r>
      <w:r w:rsidRPr="00834D52">
        <w:rPr>
          <w:rFonts w:ascii="Sylfaen" w:hAnsi="Sylfaen"/>
          <w:sz w:val="24"/>
          <w:szCs w:val="24"/>
        </w:rPr>
        <w:t xml:space="preserve"> (այսուհետ՝ GMP), «Ինտերնետ» տեղեկատվական-հեռահաղորդակցական ցանցում լիազորված մարմինների կողմից տրված GMP-ի համապատասխանության սերտիֆիկատների ռեեստրի կայքի հասցեն (օրինակ՝ EudraGMP) (առկայության դեպքում): </w:t>
      </w:r>
    </w:p>
    <w:p w14:paraId="00509080" w14:textId="17076429" w:rsidR="009C779E" w:rsidRPr="006F28F9" w:rsidRDefault="009C779E" w:rsidP="009C779E">
      <w:pPr>
        <w:rPr>
          <w:b/>
          <w:bCs/>
          <w:i/>
          <w:iCs/>
        </w:rPr>
      </w:pPr>
      <w:r w:rsidRPr="00CD4709">
        <w:rPr>
          <w:b/>
          <w:bCs/>
          <w:i/>
          <w:iCs/>
        </w:rPr>
        <w:t>(</w:t>
      </w:r>
      <w:r>
        <w:rPr>
          <w:b/>
          <w:bCs/>
          <w:i/>
          <w:iCs/>
        </w:rPr>
        <w:t xml:space="preserve">1.6.1. կետը </w:t>
      </w:r>
      <w:r w:rsidRPr="00CD4709">
        <w:rPr>
          <w:b/>
          <w:bCs/>
          <w:i/>
          <w:iCs/>
        </w:rPr>
        <w:t>փոփ. 30.01.20 թիվ 9)</w:t>
      </w:r>
    </w:p>
    <w:p w14:paraId="5735E241" w14:textId="77777777" w:rsidR="009C779E" w:rsidRPr="00834D52" w:rsidRDefault="009C779E" w:rsidP="000A2800">
      <w:pPr>
        <w:tabs>
          <w:tab w:val="left" w:pos="1418"/>
        </w:tabs>
        <w:spacing w:after="160" w:line="360" w:lineRule="auto"/>
        <w:ind w:right="-6" w:firstLine="567"/>
        <w:jc w:val="both"/>
        <w:rPr>
          <w:rFonts w:ascii="Sylfaen" w:eastAsia="Times New Roman" w:hAnsi="Sylfaen" w:cs="Times New Roman"/>
          <w:sz w:val="24"/>
          <w:szCs w:val="24"/>
        </w:rPr>
      </w:pPr>
    </w:p>
    <w:p w14:paraId="760B87CD" w14:textId="77777777" w:rsidR="006F76EB" w:rsidRPr="00834D52" w:rsidRDefault="006F76EB" w:rsidP="00D75BE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1.6.2.</w:t>
      </w:r>
      <w:r w:rsidRPr="00834D52">
        <w:rPr>
          <w:rFonts w:ascii="Sylfaen" w:hAnsi="Sylfaen"/>
          <w:sz w:val="24"/>
          <w:szCs w:val="24"/>
        </w:rPr>
        <w:tab/>
        <w:t>Դեղամիջոցների արտադրություն իրականացնելու գործող թույլտվության (լիցենզիայի)՝ սահմանված կարգով վավերացված պատճենը (հավելվածների հետ միասին), որը տրվել է այն երկրի լիազորված մարմնի կողմից, որտեղ տեղակայված է արտադրական հարթակը (արտադրության տարբեր փուլերի համար արտադրական հարթակները):</w:t>
      </w:r>
    </w:p>
    <w:p w14:paraId="3365CCD1" w14:textId="225CA5D7" w:rsidR="006F76EB" w:rsidRDefault="006F76EB" w:rsidP="00D75BED">
      <w:pPr>
        <w:tabs>
          <w:tab w:val="left" w:pos="1701"/>
        </w:tabs>
        <w:spacing w:after="160" w:line="336" w:lineRule="auto"/>
        <w:ind w:right="-6" w:firstLine="567"/>
        <w:jc w:val="both"/>
        <w:rPr>
          <w:rFonts w:ascii="Sylfaen" w:hAnsi="Sylfaen"/>
          <w:sz w:val="24"/>
          <w:szCs w:val="24"/>
        </w:rPr>
      </w:pPr>
      <w:r w:rsidRPr="00834D52">
        <w:rPr>
          <w:rFonts w:ascii="Sylfaen" w:hAnsi="Sylfaen"/>
          <w:sz w:val="24"/>
          <w:szCs w:val="24"/>
        </w:rPr>
        <w:t>1.6.3.</w:t>
      </w:r>
      <w:r w:rsidRPr="00834D52">
        <w:rPr>
          <w:rFonts w:ascii="Sylfaen" w:hAnsi="Sylfaen"/>
          <w:sz w:val="24"/>
          <w:szCs w:val="24"/>
        </w:rPr>
        <w:tab/>
        <w:t>Սահմանված կարգով վավերացված այն տեսչական ստուգման հաշվետվության պատճենը (հաշվետվությունների պատճենները), որը վերջին 3</w:t>
      </w:r>
      <w:r w:rsidR="005F4C5B" w:rsidRPr="005F4C5B">
        <w:rPr>
          <w:rFonts w:ascii="Sylfaen" w:hAnsi="Sylfaen"/>
          <w:sz w:val="24"/>
          <w:szCs w:val="24"/>
        </w:rPr>
        <w:t> </w:t>
      </w:r>
      <w:r w:rsidRPr="00834D52">
        <w:rPr>
          <w:rFonts w:ascii="Sylfaen" w:hAnsi="Sylfaen"/>
          <w:sz w:val="24"/>
          <w:szCs w:val="24"/>
        </w:rPr>
        <w:t>տարիների ընթացքում արտադրող երկրի լիազորված մարմնի կամ այլ լիազորված մարմնի կողմից անցկացվել է GMP-ին արտադրական հարթակի (արտադրության տարբեր փուլեր</w:t>
      </w:r>
      <w:r w:rsidR="009C779E">
        <w:rPr>
          <w:rFonts w:ascii="Sylfaen" w:hAnsi="Sylfaen"/>
          <w:sz w:val="24"/>
          <w:szCs w:val="24"/>
        </w:rPr>
        <w:t>ում</w:t>
      </w:r>
      <w:r w:rsidRPr="00834D52">
        <w:rPr>
          <w:rFonts w:ascii="Sylfaen" w:hAnsi="Sylfaen"/>
          <w:sz w:val="24"/>
          <w:szCs w:val="24"/>
        </w:rPr>
        <w:t xml:space="preserve"> համար արտադրական հարթակների)համապատասխանության համար, նա</w:t>
      </w:r>
      <w:r w:rsidR="00C54D75">
        <w:rPr>
          <w:rFonts w:ascii="Sylfaen" w:hAnsi="Sylfaen"/>
          <w:sz w:val="24"/>
          <w:szCs w:val="24"/>
        </w:rPr>
        <w:t>և</w:t>
      </w:r>
      <w:r w:rsidRPr="00834D52">
        <w:rPr>
          <w:rFonts w:ascii="Sylfaen" w:hAnsi="Sylfaen"/>
          <w:sz w:val="24"/>
          <w:szCs w:val="24"/>
        </w:rPr>
        <w:t xml:space="preserve"> տեսչական ստուգումներից հետո շտկող </w:t>
      </w:r>
      <w:r w:rsidR="00C54D75">
        <w:rPr>
          <w:rFonts w:ascii="Sylfaen" w:hAnsi="Sylfaen"/>
          <w:sz w:val="24"/>
          <w:szCs w:val="24"/>
        </w:rPr>
        <w:t>և</w:t>
      </w:r>
      <w:r w:rsidRPr="00834D52">
        <w:rPr>
          <w:rFonts w:ascii="Sylfaen" w:hAnsi="Sylfaen"/>
          <w:sz w:val="24"/>
          <w:szCs w:val="24"/>
        </w:rPr>
        <w:t xml:space="preserve"> կանխարգելիչ գործողությունների (CAPA) անցկացման մասին պլանն ու հաշվետվությունը (առկայության դեպքում) </w:t>
      </w:r>
      <w:r w:rsidR="00AB3E9B" w:rsidRPr="00AB3E9B">
        <w:rPr>
          <w:rFonts w:ascii="Sylfaen" w:hAnsi="Sylfaen"/>
          <w:sz w:val="24"/>
          <w:szCs w:val="24"/>
        </w:rPr>
        <w:t>սույն կանոնների 30-րդ կետով նախատեսված դեպքերում</w:t>
      </w:r>
      <w:r w:rsidR="00AB3E9B">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լիազորված մարմնի կայքի հղումը՝ ըստ GMP տեսչական ստուգումների բազայի (օրինակ՝ EudraGMP)</w:t>
      </w:r>
      <w:r w:rsidR="00AB3E9B">
        <w:rPr>
          <w:rFonts w:ascii="Sylfaen" w:hAnsi="Sylfaen"/>
          <w:sz w:val="24"/>
          <w:szCs w:val="24"/>
        </w:rPr>
        <w:t>:</w:t>
      </w:r>
    </w:p>
    <w:p w14:paraId="780B4D0E" w14:textId="48271C32" w:rsidR="009C779E" w:rsidRPr="006F28F9" w:rsidRDefault="009C779E" w:rsidP="009C779E">
      <w:pPr>
        <w:rPr>
          <w:b/>
          <w:bCs/>
          <w:i/>
          <w:iCs/>
        </w:rPr>
      </w:pPr>
      <w:r w:rsidRPr="00CD4709">
        <w:rPr>
          <w:b/>
          <w:bCs/>
          <w:i/>
          <w:iCs/>
        </w:rPr>
        <w:t>(</w:t>
      </w:r>
      <w:r>
        <w:rPr>
          <w:b/>
          <w:bCs/>
          <w:i/>
          <w:iCs/>
        </w:rPr>
        <w:t xml:space="preserve">1.6.3.կետը </w:t>
      </w:r>
      <w:r w:rsidRPr="00CD4709">
        <w:rPr>
          <w:b/>
          <w:bCs/>
          <w:i/>
          <w:iCs/>
        </w:rPr>
        <w:t>փոփ. 30.01.20 թիվ 9</w:t>
      </w:r>
      <w:r w:rsidR="00AB3E9B">
        <w:rPr>
          <w:b/>
          <w:bCs/>
          <w:i/>
          <w:iCs/>
        </w:rPr>
        <w:t>, լրաց., փոփ. 17.03.22 թիվ 36</w:t>
      </w:r>
      <w:r w:rsidRPr="00CD4709">
        <w:rPr>
          <w:b/>
          <w:bCs/>
          <w:i/>
          <w:iCs/>
        </w:rPr>
        <w:t>)</w:t>
      </w:r>
    </w:p>
    <w:p w14:paraId="500C043C" w14:textId="77777777" w:rsidR="009C779E" w:rsidRPr="00834D52" w:rsidRDefault="009C779E" w:rsidP="00D75BED">
      <w:pPr>
        <w:tabs>
          <w:tab w:val="left" w:pos="1701"/>
        </w:tabs>
        <w:spacing w:after="160" w:line="336" w:lineRule="auto"/>
        <w:ind w:right="-6" w:firstLine="567"/>
        <w:jc w:val="both"/>
        <w:rPr>
          <w:rFonts w:ascii="Sylfaen" w:eastAsia="Times New Roman" w:hAnsi="Sylfaen" w:cs="Times New Roman"/>
          <w:sz w:val="24"/>
          <w:szCs w:val="24"/>
        </w:rPr>
      </w:pPr>
    </w:p>
    <w:p w14:paraId="636F45D1"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1.6.4.</w:t>
      </w:r>
      <w:r w:rsidRPr="00834D52">
        <w:rPr>
          <w:rFonts w:ascii="Sylfaen" w:hAnsi="Sylfaen"/>
          <w:sz w:val="24"/>
          <w:szCs w:val="24"/>
        </w:rPr>
        <w:tab/>
        <w:t xml:space="preserve">GMP-ի պահանջների պահպանման հարցերով </w:t>
      </w:r>
      <w:r w:rsidRPr="00834D52">
        <w:rPr>
          <w:rFonts w:ascii="Sylfaen" w:hAnsi="Sylfaen"/>
          <w:sz w:val="24"/>
          <w:szCs w:val="24"/>
        </w:rPr>
        <w:lastRenderedPageBreak/>
        <w:t xml:space="preserve">դեղապատրաստուկի գրանցման հավաստագրի իրավատիրոջ </w:t>
      </w:r>
      <w:r w:rsidR="00C54D75">
        <w:rPr>
          <w:rFonts w:ascii="Sylfaen" w:hAnsi="Sylfaen"/>
          <w:sz w:val="24"/>
          <w:szCs w:val="24"/>
        </w:rPr>
        <w:t>և</w:t>
      </w:r>
      <w:r w:rsidRPr="00834D52">
        <w:rPr>
          <w:rFonts w:ascii="Sylfaen" w:hAnsi="Sylfaen"/>
          <w:sz w:val="24"/>
          <w:szCs w:val="24"/>
        </w:rPr>
        <w:t xml:space="preserve"> դեղապատրաստուկի արտադրողի միջ</w:t>
      </w:r>
      <w:r w:rsidR="00C54D75">
        <w:rPr>
          <w:rFonts w:ascii="Sylfaen" w:hAnsi="Sylfaen"/>
          <w:sz w:val="24"/>
          <w:szCs w:val="24"/>
        </w:rPr>
        <w:t>և</w:t>
      </w:r>
      <w:r w:rsidRPr="00834D52">
        <w:rPr>
          <w:rFonts w:ascii="Sylfaen" w:hAnsi="Sylfaen"/>
          <w:sz w:val="24"/>
          <w:szCs w:val="24"/>
        </w:rPr>
        <w:t xml:space="preserve"> պայմանագրի՝ սահմանված կարգով հաստատված պատճենը, եթե դեղապատրաստուկի գրանցման հավաստագրի իրավատերը չի մասնակցում դեղապատրաստուկի արտադրությանը</w:t>
      </w:r>
      <w:r w:rsidR="00AE0F20">
        <w:rPr>
          <w:rFonts w:ascii="Sylfaen" w:hAnsi="Sylfaen"/>
          <w:sz w:val="24"/>
          <w:szCs w:val="24"/>
        </w:rPr>
        <w:t xml:space="preserve"> </w:t>
      </w:r>
      <w:r w:rsidR="00AE0F20" w:rsidRPr="00963EE1">
        <w:rPr>
          <w:rFonts w:ascii="Sylfaen" w:hAnsi="Sylfaen"/>
          <w:sz w:val="24"/>
          <w:szCs w:val="24"/>
        </w:rPr>
        <w:t>(</w:t>
      </w:r>
      <w:r w:rsidR="00AE0F20">
        <w:rPr>
          <w:rFonts w:ascii="Sylfaen" w:hAnsi="Sylfaen"/>
          <w:sz w:val="24"/>
          <w:szCs w:val="24"/>
        </w:rPr>
        <w:t>առկայության դեպքում</w:t>
      </w:r>
      <w:r w:rsidR="00AE0F20" w:rsidRPr="00963EE1">
        <w:rPr>
          <w:rFonts w:ascii="Sylfaen" w:hAnsi="Sylfaen"/>
          <w:sz w:val="24"/>
          <w:szCs w:val="24"/>
        </w:rPr>
        <w:t>)</w:t>
      </w:r>
      <w:r w:rsidRPr="00834D52">
        <w:rPr>
          <w:rFonts w:ascii="Sylfaen" w:hAnsi="Sylfaen"/>
          <w:sz w:val="24"/>
          <w:szCs w:val="24"/>
        </w:rPr>
        <w:t>:</w:t>
      </w:r>
    </w:p>
    <w:p w14:paraId="3ED63F3D"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w:t>
      </w:r>
      <w:r w:rsidR="00AA49B7">
        <w:rPr>
          <w:rFonts w:ascii="Sylfaen" w:hAnsi="Sylfaen"/>
          <w:sz w:val="24"/>
          <w:szCs w:val="24"/>
        </w:rPr>
        <w:t>6</w:t>
      </w:r>
      <w:r w:rsidRPr="00834D52">
        <w:rPr>
          <w:rFonts w:ascii="Sylfaen" w:hAnsi="Sylfaen"/>
          <w:sz w:val="24"/>
          <w:szCs w:val="24"/>
        </w:rPr>
        <w:t>.</w:t>
      </w:r>
      <w:r w:rsidR="00AA49B7">
        <w:rPr>
          <w:rFonts w:ascii="Sylfaen" w:hAnsi="Sylfaen"/>
          <w:sz w:val="24"/>
          <w:szCs w:val="24"/>
        </w:rPr>
        <w:t>5</w:t>
      </w:r>
      <w:r w:rsidRPr="00834D52">
        <w:rPr>
          <w:rFonts w:ascii="Sylfaen" w:hAnsi="Sylfaen"/>
          <w:sz w:val="24"/>
          <w:szCs w:val="24"/>
        </w:rPr>
        <w:t>.</w:t>
      </w:r>
      <w:r w:rsidRPr="00834D52">
        <w:rPr>
          <w:rFonts w:ascii="Sylfaen" w:hAnsi="Sylfaen"/>
          <w:sz w:val="24"/>
          <w:szCs w:val="24"/>
        </w:rPr>
        <w:tab/>
        <w:t xml:space="preserve">GMP պահանջների պահպանման հարցերով պայմանագրային արտադրական հարթակի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պայմանագրի՝ սահմանված կարգով հաստատված պատճենը, եթե դեղապատրաստուկի արտադրության ամբողջ գործընթացը կամ փուլերից մեկն իրականացվում է պայմանագրային արտադրական հարթակում</w:t>
      </w:r>
      <w:r w:rsidR="00F278B2">
        <w:rPr>
          <w:rFonts w:ascii="Sylfaen" w:hAnsi="Sylfaen"/>
          <w:sz w:val="24"/>
          <w:szCs w:val="24"/>
        </w:rPr>
        <w:t xml:space="preserve"> </w:t>
      </w:r>
      <w:r w:rsidR="00E90FAF" w:rsidRPr="00E90FAF">
        <w:rPr>
          <w:rFonts w:ascii="Sylfaen" w:hAnsi="Sylfaen"/>
          <w:sz w:val="24"/>
          <w:szCs w:val="24"/>
        </w:rPr>
        <w:t>(</w:t>
      </w:r>
      <w:r w:rsidR="00F278B2">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w:t>
      </w:r>
    </w:p>
    <w:p w14:paraId="3C44D89C" w14:textId="77777777" w:rsidR="006F76EB" w:rsidRPr="00834D52" w:rsidRDefault="006F76EB" w:rsidP="00D75BE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1.6.6.</w:t>
      </w:r>
      <w:r w:rsidRPr="00834D52">
        <w:rPr>
          <w:rFonts w:ascii="Sylfaen" w:hAnsi="Sylfaen"/>
          <w:sz w:val="24"/>
          <w:szCs w:val="24"/>
        </w:rPr>
        <w:tab/>
        <w:t>Ներկայացված արտադրական հարթակին առնչվող տեսչական ստուգումների արդյունքներով վերջին 3 տարիների ընթացքում լիազորված մարմնի կողմից ընդունված ցանկացած կարգավորիչ միջոցի մասին տեղեկություններ (առկայության դեպքում):</w:t>
      </w:r>
    </w:p>
    <w:p w14:paraId="38369D28" w14:textId="77777777" w:rsidR="006F76EB" w:rsidRPr="00834D52" w:rsidRDefault="006F76EB" w:rsidP="00564D3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1.6.7.</w:t>
      </w:r>
      <w:r w:rsidRPr="00834D52">
        <w:rPr>
          <w:rFonts w:ascii="Sylfaen" w:hAnsi="Sylfaen"/>
          <w:sz w:val="24"/>
          <w:szCs w:val="24"/>
        </w:rPr>
        <w:tab/>
        <w:t xml:space="preserve">Որակի հարցերով լիազորված անձի նամակը՝ գրանցման համար ներկայացված դեղապատրաստուկի արտադրության պայմանները Միության պատշաճ արտադրական գործելակերպի կանոններին համապատասխանելու մասին, այդ թվում՝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նյութի արտադրության գործընթացում օգտագործվող յուրաքանչյուր արտադրական հարթակի համար ելանյութերի առնչությամբ՝ ներառյալ այն հարթակները, որտեղ իրականացվում է որակի հսկողություն </w:t>
      </w:r>
      <w:r w:rsidR="00C54D75">
        <w:rPr>
          <w:rFonts w:ascii="Sylfaen" w:hAnsi="Sylfaen"/>
          <w:sz w:val="24"/>
          <w:szCs w:val="24"/>
        </w:rPr>
        <w:t>և</w:t>
      </w:r>
      <w:r w:rsidRPr="00834D52">
        <w:rPr>
          <w:rFonts w:ascii="Sylfaen" w:hAnsi="Sylfaen"/>
          <w:sz w:val="24"/>
          <w:szCs w:val="24"/>
        </w:rPr>
        <w:t xml:space="preserve"> արտադրության գործընթացում հսկողություն: Նամակը պետք է ստորագրվի որակի հարցերով լիազորված մարմնի կողմից </w:t>
      </w:r>
      <w:r w:rsidR="00C54D75">
        <w:rPr>
          <w:rFonts w:ascii="Sylfaen" w:hAnsi="Sylfaen"/>
          <w:sz w:val="24"/>
          <w:szCs w:val="24"/>
        </w:rPr>
        <w:t>և</w:t>
      </w:r>
      <w:r w:rsidRPr="00834D52">
        <w:rPr>
          <w:rFonts w:ascii="Sylfaen" w:hAnsi="Sylfaen"/>
          <w:sz w:val="24"/>
          <w:szCs w:val="24"/>
        </w:rPr>
        <w:t xml:space="preserve"> հաստատվի արտադրողի կնիքով (դրոշմակնիքով)՝ անհրաժեշտության դեպքում ռուսերեն թարգմանությամբ:</w:t>
      </w:r>
    </w:p>
    <w:p w14:paraId="2237E21F" w14:textId="62CF948D"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1.6.8.</w:t>
      </w:r>
      <w:r w:rsidRPr="00834D52">
        <w:rPr>
          <w:rFonts w:ascii="Sylfaen" w:hAnsi="Sylfaen"/>
          <w:sz w:val="24"/>
          <w:szCs w:val="24"/>
        </w:rPr>
        <w:tab/>
        <w:t xml:space="preserve">Դեղապատրաստուկի գրանցման համար </w:t>
      </w:r>
      <w:r w:rsidR="001A5F1A">
        <w:rPr>
          <w:rFonts w:ascii="Sylfaen" w:hAnsi="Sylfaen"/>
          <w:sz w:val="24"/>
          <w:szCs w:val="24"/>
        </w:rPr>
        <w:t>հայտագրված</w:t>
      </w:r>
      <w:r w:rsidRPr="00834D52">
        <w:rPr>
          <w:rFonts w:ascii="Sylfaen" w:hAnsi="Sylfaen"/>
          <w:sz w:val="24"/>
          <w:szCs w:val="24"/>
        </w:rPr>
        <w:t xml:space="preserve"> արտադրական հարթակում արտադրված դեղապատրաստուկների որակի առնչությամբ վերջին 3 տարիների ընթացքում ներկայացված բողոքագրերի մասին </w:t>
      </w:r>
      <w:r w:rsidRPr="00834D52">
        <w:rPr>
          <w:rFonts w:ascii="Sylfaen" w:hAnsi="Sylfaen"/>
          <w:sz w:val="24"/>
          <w:szCs w:val="24"/>
        </w:rPr>
        <w:lastRenderedPageBreak/>
        <w:t>տեղեկությունները կամ բողոքագրերի բացակայության հաստատումը:</w:t>
      </w:r>
    </w:p>
    <w:p w14:paraId="54EA89E4"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1.6.9.</w:t>
      </w:r>
      <w:r w:rsidRPr="00834D52">
        <w:rPr>
          <w:rFonts w:ascii="Sylfaen" w:hAnsi="Sylfaen"/>
          <w:sz w:val="24"/>
          <w:szCs w:val="24"/>
        </w:rPr>
        <w:tab/>
        <w:t xml:space="preserve">Միության իրավունքի մաս կազմող միջազգային պայմանագրերի </w:t>
      </w:r>
      <w:r w:rsidR="00C54D75">
        <w:rPr>
          <w:rFonts w:ascii="Sylfaen" w:hAnsi="Sylfaen"/>
          <w:sz w:val="24"/>
          <w:szCs w:val="24"/>
        </w:rPr>
        <w:t>և</w:t>
      </w:r>
      <w:r w:rsidRPr="00834D52">
        <w:rPr>
          <w:rFonts w:ascii="Sylfaen" w:hAnsi="Sylfaen"/>
          <w:sz w:val="24"/>
          <w:szCs w:val="24"/>
        </w:rPr>
        <w:t xml:space="preserve"> ակտերի պահանջներին համապատասխանության դեղագործական տեսչական ստուգում անցկացնելու համաձայնություն:</w:t>
      </w:r>
    </w:p>
    <w:p w14:paraId="44B8C65F" w14:textId="00696D6D" w:rsidR="006F76EB" w:rsidRDefault="006F76EB" w:rsidP="00564D39">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1.6.10.</w:t>
      </w:r>
      <w:r w:rsidRPr="00834D52">
        <w:rPr>
          <w:rFonts w:ascii="Sylfaen" w:hAnsi="Sylfaen"/>
          <w:sz w:val="24"/>
          <w:szCs w:val="24"/>
        </w:rPr>
        <w:tab/>
        <w:t xml:space="preserve">Արտադրական հարթակի (արտադրական հարթակների) հիմնական դոսյեի՝ </w:t>
      </w:r>
      <w:r w:rsidR="0056496B">
        <w:rPr>
          <w:rFonts w:ascii="Sylfaen" w:hAnsi="Sylfaen"/>
          <w:sz w:val="24"/>
          <w:szCs w:val="24"/>
        </w:rPr>
        <w:t>դիմումատու</w:t>
      </w:r>
      <w:r w:rsidRPr="00834D52">
        <w:rPr>
          <w:rFonts w:ascii="Sylfaen" w:hAnsi="Sylfaen"/>
          <w:sz w:val="24"/>
          <w:szCs w:val="24"/>
        </w:rPr>
        <w:t xml:space="preserve">ի կողմից վավերացված պատճեն (մաստեր-ֆայլը) </w:t>
      </w:r>
      <w:r w:rsidR="00AB3E9B" w:rsidRPr="00AB3E9B">
        <w:rPr>
          <w:rFonts w:ascii="Sylfaen" w:hAnsi="Sylfaen"/>
          <w:sz w:val="24"/>
          <w:szCs w:val="24"/>
        </w:rPr>
        <w:t>սույն կանոնների 30-րդ կետին համապատասխան</w:t>
      </w:r>
      <w:r w:rsidR="00AB3E9B">
        <w:rPr>
          <w:rFonts w:ascii="Sylfaen" w:hAnsi="Sylfaen"/>
          <w:sz w:val="24"/>
          <w:szCs w:val="24"/>
        </w:rPr>
        <w:t>:</w:t>
      </w:r>
    </w:p>
    <w:p w14:paraId="4DF2ED3B" w14:textId="3C253909" w:rsidR="00AB3E9B" w:rsidRPr="006F28F9" w:rsidRDefault="00AB3E9B" w:rsidP="00AB3E9B">
      <w:pPr>
        <w:rPr>
          <w:b/>
          <w:bCs/>
          <w:i/>
          <w:iCs/>
        </w:rPr>
      </w:pPr>
      <w:r w:rsidRPr="00CD4709">
        <w:rPr>
          <w:b/>
          <w:bCs/>
          <w:i/>
          <w:iCs/>
        </w:rPr>
        <w:t>(</w:t>
      </w:r>
      <w:r>
        <w:rPr>
          <w:b/>
          <w:bCs/>
          <w:i/>
          <w:iCs/>
        </w:rPr>
        <w:t xml:space="preserve">1.6.10. կետը </w:t>
      </w:r>
      <w:r w:rsidRPr="00CD4709">
        <w:rPr>
          <w:b/>
          <w:bCs/>
          <w:i/>
          <w:iCs/>
        </w:rPr>
        <w:t>փոփ</w:t>
      </w:r>
      <w:r>
        <w:rPr>
          <w:b/>
          <w:bCs/>
          <w:i/>
          <w:iCs/>
        </w:rPr>
        <w:t>. 17.03.22</w:t>
      </w:r>
      <w:r w:rsidRPr="00CD4709">
        <w:rPr>
          <w:b/>
          <w:bCs/>
          <w:i/>
          <w:iCs/>
        </w:rPr>
        <w:t xml:space="preserve"> թիվ </w:t>
      </w:r>
      <w:r>
        <w:rPr>
          <w:b/>
          <w:bCs/>
          <w:i/>
          <w:iCs/>
        </w:rPr>
        <w:t>36</w:t>
      </w:r>
      <w:r w:rsidRPr="00CD4709">
        <w:rPr>
          <w:b/>
          <w:bCs/>
          <w:i/>
          <w:iCs/>
        </w:rPr>
        <w:t>)</w:t>
      </w:r>
    </w:p>
    <w:p w14:paraId="67979F26" w14:textId="77777777" w:rsidR="00AB3E9B" w:rsidRPr="00834D52" w:rsidRDefault="00AB3E9B" w:rsidP="00564D39">
      <w:pPr>
        <w:tabs>
          <w:tab w:val="left" w:pos="1701"/>
        </w:tabs>
        <w:spacing w:after="160" w:line="372" w:lineRule="auto"/>
        <w:ind w:right="-6" w:firstLine="567"/>
        <w:jc w:val="both"/>
        <w:rPr>
          <w:rFonts w:ascii="Sylfaen" w:eastAsia="Times New Roman" w:hAnsi="Sylfaen" w:cs="Times New Roman"/>
          <w:sz w:val="24"/>
          <w:szCs w:val="24"/>
        </w:rPr>
      </w:pPr>
    </w:p>
    <w:p w14:paraId="7F9EFC7B"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1.6.11.</w:t>
      </w:r>
      <w:r w:rsidRPr="00834D52">
        <w:rPr>
          <w:rFonts w:ascii="Sylfaen" w:hAnsi="Sylfaen"/>
          <w:sz w:val="24"/>
          <w:szCs w:val="24"/>
        </w:rPr>
        <w:tab/>
        <w:t xml:space="preserve">Արտադրության փուլերի սխեման՝ նշելով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ներգրավված բոլոր արտադրական հարթակները՝ ներառյալ բացթողման համար անհրաժեշտ որակի հսկողությունը:</w:t>
      </w:r>
    </w:p>
    <w:p w14:paraId="1148EFF3" w14:textId="77777777" w:rsidR="006F76EB" w:rsidRPr="00834D52" w:rsidRDefault="006F76EB" w:rsidP="00B22ED9">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w:t>
      </w:r>
      <w:r w:rsidRPr="00834D52">
        <w:rPr>
          <w:rFonts w:ascii="Sylfaen" w:hAnsi="Sylfaen"/>
          <w:sz w:val="24"/>
          <w:szCs w:val="24"/>
        </w:rPr>
        <w:tab/>
        <w:t>Մասնագետների մասին տեղեկատվություն՝</w:t>
      </w:r>
    </w:p>
    <w:p w14:paraId="3629FB18"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1.7.1.</w:t>
      </w:r>
      <w:r w:rsidRPr="00834D52">
        <w:rPr>
          <w:rFonts w:ascii="Sylfaen" w:hAnsi="Sylfaen"/>
          <w:spacing w:val="-4"/>
          <w:sz w:val="24"/>
          <w:szCs w:val="24"/>
        </w:rPr>
        <w:tab/>
        <w:t>Տեղեկատվություն՝ որակի ռեզյումե պատրաստած մասնագետի մասին:</w:t>
      </w:r>
    </w:p>
    <w:p w14:paraId="03929BF1" w14:textId="7ED5BD60" w:rsidR="006F76EB" w:rsidRDefault="006F76EB" w:rsidP="00564D39">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1.7.2.</w:t>
      </w:r>
      <w:r w:rsidRPr="00834D52">
        <w:rPr>
          <w:rFonts w:ascii="Sylfaen" w:hAnsi="Sylfaen"/>
          <w:sz w:val="24"/>
          <w:szCs w:val="24"/>
        </w:rPr>
        <w:tab/>
        <w:t xml:space="preserve">Տեղեկատվություն՝ նախակլինիկական </w:t>
      </w:r>
      <w:r w:rsidR="009C779E" w:rsidRPr="009C779E">
        <w:rPr>
          <w:rFonts w:ascii="Sylfaen" w:hAnsi="Sylfaen"/>
          <w:sz w:val="24"/>
          <w:szCs w:val="24"/>
        </w:rPr>
        <w:t>հետազոտությունների</w:t>
      </w:r>
      <w:r w:rsidR="009C779E">
        <w:rPr>
          <w:rFonts w:ascii="Sylfaen" w:hAnsi="Sylfaen"/>
          <w:sz w:val="24"/>
          <w:szCs w:val="24"/>
        </w:rPr>
        <w:t xml:space="preserve"> </w:t>
      </w:r>
      <w:r w:rsidR="00897825" w:rsidRPr="00834D52">
        <w:rPr>
          <w:rFonts w:ascii="Sylfaen" w:hAnsi="Sylfaen"/>
          <w:sz w:val="24"/>
          <w:szCs w:val="24"/>
        </w:rPr>
        <w:t xml:space="preserve">ռեզյումե </w:t>
      </w:r>
      <w:r w:rsidRPr="00834D52">
        <w:rPr>
          <w:rFonts w:ascii="Sylfaen" w:hAnsi="Sylfaen"/>
          <w:sz w:val="24"/>
          <w:szCs w:val="24"/>
        </w:rPr>
        <w:t>պատրաստած մասնագետի մասին:</w:t>
      </w:r>
    </w:p>
    <w:p w14:paraId="76E57FDA" w14:textId="065FDFB8" w:rsidR="009C779E" w:rsidRPr="006F28F9" w:rsidRDefault="009C779E" w:rsidP="00897825">
      <w:pPr>
        <w:rPr>
          <w:b/>
          <w:bCs/>
          <w:i/>
          <w:iCs/>
        </w:rPr>
      </w:pPr>
      <w:r w:rsidRPr="00CD4709">
        <w:rPr>
          <w:b/>
          <w:bCs/>
          <w:i/>
          <w:iCs/>
        </w:rPr>
        <w:t>(</w:t>
      </w:r>
      <w:r w:rsidR="00897825">
        <w:rPr>
          <w:b/>
          <w:bCs/>
          <w:i/>
          <w:iCs/>
        </w:rPr>
        <w:t xml:space="preserve">1.7.2.կետը </w:t>
      </w:r>
      <w:r w:rsidRPr="00CD4709">
        <w:rPr>
          <w:b/>
          <w:bCs/>
          <w:i/>
          <w:iCs/>
        </w:rPr>
        <w:t>փոփ. 30.01.20 թիվ 9)</w:t>
      </w:r>
    </w:p>
    <w:p w14:paraId="2A752652" w14:textId="0F2CA960"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w:t>
      </w:r>
      <w:r w:rsidRPr="00834D52">
        <w:rPr>
          <w:rFonts w:ascii="Sylfaen" w:hAnsi="Sylfaen"/>
          <w:sz w:val="24"/>
          <w:szCs w:val="24"/>
        </w:rPr>
        <w:tab/>
        <w:t xml:space="preserve">Տեղեկատվություն՝ կլինիկական </w:t>
      </w:r>
      <w:r w:rsidR="00897825" w:rsidRPr="009C779E">
        <w:rPr>
          <w:rFonts w:ascii="Sylfaen" w:hAnsi="Sylfaen"/>
          <w:sz w:val="24"/>
          <w:szCs w:val="24"/>
        </w:rPr>
        <w:t>հետազոտությունների</w:t>
      </w:r>
      <w:r w:rsidRPr="00834D52">
        <w:rPr>
          <w:rFonts w:ascii="Sylfaen" w:hAnsi="Sylfaen"/>
          <w:sz w:val="24"/>
          <w:szCs w:val="24"/>
        </w:rPr>
        <w:t xml:space="preserve"> ռեզյումե պատրաստած մասնագետի մասին:</w:t>
      </w:r>
    </w:p>
    <w:p w14:paraId="6B4BF359" w14:textId="6C59A215" w:rsidR="006F76EB" w:rsidRDefault="006F76EB" w:rsidP="006F76EB">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Որակի,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մասնագետների մասին տեղեկատվությունը ներառում է նրանց կրթության, մասնագիտացման </w:t>
      </w:r>
      <w:r w:rsidR="00C54D75">
        <w:rPr>
          <w:rFonts w:ascii="Sylfaen" w:hAnsi="Sylfaen"/>
          <w:sz w:val="24"/>
          <w:szCs w:val="24"/>
        </w:rPr>
        <w:t>և</w:t>
      </w:r>
      <w:r w:rsidRPr="00834D52">
        <w:rPr>
          <w:rFonts w:ascii="Sylfaen" w:hAnsi="Sylfaen"/>
          <w:sz w:val="24"/>
          <w:szCs w:val="24"/>
        </w:rPr>
        <w:t xml:space="preserve"> մասնագիտական փորձի մասին տեղեկություններ </w:t>
      </w:r>
      <w:r w:rsidR="00C54D75">
        <w:rPr>
          <w:rFonts w:ascii="Sylfaen" w:hAnsi="Sylfaen"/>
          <w:sz w:val="24"/>
          <w:szCs w:val="24"/>
        </w:rPr>
        <w:t>և</w:t>
      </w:r>
      <w:r w:rsidRPr="00834D52">
        <w:rPr>
          <w:rFonts w:ascii="Sylfaen" w:hAnsi="Sylfaen"/>
          <w:sz w:val="24"/>
          <w:szCs w:val="24"/>
        </w:rPr>
        <w:t xml:space="preserve"> պետք է ստորագրվի որակի,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ռեզյումե </w:t>
      </w:r>
      <w:r w:rsidR="00C54D75">
        <w:rPr>
          <w:rFonts w:ascii="Sylfaen" w:hAnsi="Sylfaen"/>
          <w:sz w:val="24"/>
          <w:szCs w:val="24"/>
        </w:rPr>
        <w:t>և</w:t>
      </w:r>
      <w:r w:rsidRPr="00834D52">
        <w:rPr>
          <w:rFonts w:ascii="Sylfaen" w:hAnsi="Sylfaen"/>
          <w:sz w:val="24"/>
          <w:szCs w:val="24"/>
        </w:rPr>
        <w:t xml:space="preserve"> ուսումնասիրություն կազմած մասնագետների կողմից: Տվյալ մասնագետները պետք է ունենան </w:t>
      </w:r>
      <w:r w:rsidRPr="00834D52">
        <w:rPr>
          <w:rFonts w:ascii="Sylfaen" w:hAnsi="Sylfaen"/>
          <w:sz w:val="24"/>
          <w:szCs w:val="24"/>
        </w:rPr>
        <w:lastRenderedPageBreak/>
        <w:t xml:space="preserve">համապատասխան որակավորում: Հարկ է նշել ռեզյումեն կազմած մասնագետի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միջ</w:t>
      </w:r>
      <w:r w:rsidR="00C54D75">
        <w:rPr>
          <w:rFonts w:ascii="Sylfaen" w:hAnsi="Sylfaen"/>
          <w:sz w:val="24"/>
          <w:szCs w:val="24"/>
        </w:rPr>
        <w:t>և</w:t>
      </w:r>
      <w:r w:rsidRPr="00834D52">
        <w:rPr>
          <w:rFonts w:ascii="Sylfaen" w:hAnsi="Sylfaen"/>
          <w:sz w:val="24"/>
          <w:szCs w:val="24"/>
        </w:rPr>
        <w:t xml:space="preserve"> մասնագիտական հարաբերությունների առկայությունը:</w:t>
      </w:r>
    </w:p>
    <w:p w14:paraId="6E5DAFEB" w14:textId="28372C46" w:rsidR="00897825" w:rsidRPr="006F28F9" w:rsidRDefault="00897825" w:rsidP="00897825">
      <w:pPr>
        <w:rPr>
          <w:b/>
          <w:bCs/>
          <w:i/>
          <w:iCs/>
        </w:rPr>
      </w:pPr>
      <w:r w:rsidRPr="00CD4709">
        <w:rPr>
          <w:b/>
          <w:bCs/>
          <w:i/>
          <w:iCs/>
        </w:rPr>
        <w:t>(</w:t>
      </w:r>
      <w:r>
        <w:rPr>
          <w:b/>
          <w:bCs/>
          <w:i/>
          <w:iCs/>
        </w:rPr>
        <w:t xml:space="preserve">1.7.3.կետը </w:t>
      </w:r>
      <w:r w:rsidRPr="00CD4709">
        <w:rPr>
          <w:b/>
          <w:bCs/>
          <w:i/>
          <w:iCs/>
        </w:rPr>
        <w:t>փոփ. 30.01.20 թիվ 9)</w:t>
      </w:r>
    </w:p>
    <w:p w14:paraId="45ABE42F" w14:textId="77777777" w:rsidR="00897825" w:rsidRPr="00834D52" w:rsidRDefault="00897825" w:rsidP="006F76EB">
      <w:pPr>
        <w:tabs>
          <w:tab w:val="left" w:pos="1418"/>
        </w:tabs>
        <w:spacing w:after="160" w:line="360" w:lineRule="auto"/>
        <w:ind w:right="-8" w:firstLine="567"/>
        <w:jc w:val="both"/>
        <w:rPr>
          <w:rFonts w:ascii="Sylfaen" w:eastAsia="Times New Roman" w:hAnsi="Sylfaen" w:cs="Times New Roman"/>
          <w:sz w:val="24"/>
          <w:szCs w:val="24"/>
        </w:rPr>
      </w:pPr>
    </w:p>
    <w:p w14:paraId="5BC39C2F" w14:textId="75C01E6B" w:rsidR="006F76EB" w:rsidRPr="00834D52" w:rsidRDefault="006F76EB" w:rsidP="00564D3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w:t>
      </w:r>
      <w:r w:rsidRPr="00834D52">
        <w:rPr>
          <w:rFonts w:ascii="Sylfaen" w:hAnsi="Sylfaen"/>
          <w:sz w:val="24"/>
          <w:szCs w:val="24"/>
        </w:rPr>
        <w:tab/>
        <w:t xml:space="preserve">Տարբեր տեսակի </w:t>
      </w:r>
      <w:r w:rsidR="0056496B">
        <w:rPr>
          <w:rFonts w:ascii="Sylfaen" w:hAnsi="Sylfaen"/>
          <w:sz w:val="24"/>
          <w:szCs w:val="24"/>
        </w:rPr>
        <w:t>դիմում</w:t>
      </w:r>
      <w:r w:rsidR="009F5829">
        <w:rPr>
          <w:rFonts w:ascii="Sylfaen" w:hAnsi="Sylfaen"/>
          <w:sz w:val="24"/>
          <w:szCs w:val="24"/>
        </w:rPr>
        <w:t>ն</w:t>
      </w:r>
      <w:r w:rsidRPr="00834D52">
        <w:rPr>
          <w:rFonts w:ascii="Sylfaen" w:hAnsi="Sylfaen"/>
          <w:sz w:val="24"/>
          <w:szCs w:val="24"/>
        </w:rPr>
        <w:t xml:space="preserve">երի համար առանձնահատուկ պահանջները՝ </w:t>
      </w:r>
    </w:p>
    <w:p w14:paraId="7A4BA4D7" w14:textId="5216F6AC" w:rsidR="006F76EB" w:rsidRPr="00834D52" w:rsidRDefault="006F76EB" w:rsidP="00564D3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1.8.1.</w:t>
      </w:r>
      <w:r w:rsidRPr="00834D52">
        <w:rPr>
          <w:rFonts w:ascii="Sylfaen" w:hAnsi="Sylfaen"/>
          <w:sz w:val="24"/>
          <w:szCs w:val="24"/>
        </w:rPr>
        <w:tab/>
        <w:t>Դեղապատրաստուկի լրացուցիչ առ</w:t>
      </w:r>
      <w:r w:rsidR="00C54D75">
        <w:rPr>
          <w:rFonts w:ascii="Sylfaen" w:hAnsi="Sylfaen"/>
          <w:sz w:val="24"/>
          <w:szCs w:val="24"/>
        </w:rPr>
        <w:t>և</w:t>
      </w:r>
      <w:r w:rsidRPr="00834D52">
        <w:rPr>
          <w:rFonts w:ascii="Sylfaen" w:hAnsi="Sylfaen"/>
          <w:sz w:val="24"/>
          <w:szCs w:val="24"/>
        </w:rPr>
        <w:t xml:space="preserve">տրային անվանման մասին գրանցման հավաստագրի տիրոջ նամակը ներկայացվում է, եթե </w:t>
      </w:r>
      <w:r w:rsidR="0056496B">
        <w:rPr>
          <w:rFonts w:ascii="Sylfaen" w:hAnsi="Sylfaen"/>
          <w:sz w:val="24"/>
          <w:szCs w:val="24"/>
        </w:rPr>
        <w:t>դիմումատու</w:t>
      </w:r>
      <w:r w:rsidRPr="00834D52">
        <w:rPr>
          <w:rFonts w:ascii="Sylfaen" w:hAnsi="Sylfaen"/>
          <w:sz w:val="24"/>
          <w:szCs w:val="24"/>
        </w:rPr>
        <w:t xml:space="preserve">ն պլանավորում է արտադրող երկրում,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ճանաչման պետությունում գրանցել դեղապատրաստուկը տարբեր առ</w:t>
      </w:r>
      <w:r w:rsidR="00C54D75">
        <w:rPr>
          <w:rFonts w:ascii="Sylfaen" w:hAnsi="Sylfaen"/>
          <w:sz w:val="24"/>
          <w:szCs w:val="24"/>
        </w:rPr>
        <w:t>և</w:t>
      </w:r>
      <w:r w:rsidRPr="00834D52">
        <w:rPr>
          <w:rFonts w:ascii="Sylfaen" w:hAnsi="Sylfaen"/>
          <w:sz w:val="24"/>
          <w:szCs w:val="24"/>
        </w:rPr>
        <w:t>տրային անվանումների տակ</w:t>
      </w:r>
      <w:r w:rsidR="003C7E9C">
        <w:rPr>
          <w:rFonts w:ascii="Sylfaen" w:hAnsi="Sylfaen"/>
          <w:sz w:val="24"/>
          <w:szCs w:val="24"/>
        </w:rPr>
        <w:t xml:space="preserve"> </w:t>
      </w:r>
      <w:r w:rsidR="00E90FAF" w:rsidRPr="00E90FAF">
        <w:rPr>
          <w:rFonts w:ascii="Sylfaen" w:hAnsi="Sylfaen"/>
          <w:sz w:val="24"/>
          <w:szCs w:val="24"/>
        </w:rPr>
        <w:t>(</w:t>
      </w:r>
      <w:r w:rsidR="003C7E9C">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 xml:space="preserve">: Նամակում պետք է նշված լինեն երաշխիքներ առ այն, որ այդ նպատակով օգտագործվում է մեկ գրանցման դոսյե: Նամակը պետք է ստորագրվի </w:t>
      </w:r>
      <w:r w:rsidR="00C54D75">
        <w:rPr>
          <w:rFonts w:ascii="Sylfaen" w:hAnsi="Sylfaen"/>
          <w:sz w:val="24"/>
          <w:szCs w:val="24"/>
        </w:rPr>
        <w:t>և</w:t>
      </w:r>
      <w:r w:rsidRPr="00834D52">
        <w:rPr>
          <w:rFonts w:ascii="Sylfaen" w:hAnsi="Sylfaen"/>
          <w:sz w:val="24"/>
          <w:szCs w:val="24"/>
        </w:rPr>
        <w:t xml:space="preserve"> թվագրվի գրանցման հավաստագրի իրավատիրոջ կողմից:</w:t>
      </w:r>
    </w:p>
    <w:p w14:paraId="42FFD047" w14:textId="46BD5365" w:rsidR="006F76EB" w:rsidRPr="00834D52" w:rsidRDefault="00427065" w:rsidP="00564D39">
      <w:pPr>
        <w:tabs>
          <w:tab w:val="left" w:pos="1701"/>
        </w:tabs>
        <w:spacing w:after="160" w:line="360" w:lineRule="auto"/>
        <w:ind w:right="-8" w:firstLine="567"/>
        <w:jc w:val="both"/>
        <w:rPr>
          <w:rFonts w:ascii="Sylfaen" w:eastAsia="Times New Roman" w:hAnsi="Sylfaen" w:cs="Times New Roman"/>
          <w:spacing w:val="-4"/>
          <w:sz w:val="24"/>
          <w:szCs w:val="24"/>
        </w:rPr>
      </w:pPr>
      <w:r w:rsidRPr="00427065">
        <w:rPr>
          <w:rFonts w:ascii="Sylfaen" w:hAnsi="Sylfaen"/>
          <w:spacing w:val="-4"/>
          <w:sz w:val="24"/>
          <w:szCs w:val="24"/>
        </w:rPr>
        <w:t>1.8.2. Կլինիկական հետազոտությունների փաստաթղթերը և գրանցման հայտի հիմնավորման համար ամփոփագիրը (եթե կիրառելի է</w:t>
      </w:r>
      <w:r w:rsidRPr="00E90FAF">
        <w:rPr>
          <w:rFonts w:ascii="Sylfaen" w:hAnsi="Sylfaen"/>
          <w:sz w:val="24"/>
          <w:szCs w:val="24"/>
        </w:rPr>
        <w:t>)</w:t>
      </w:r>
      <w:r w:rsidR="006F76EB" w:rsidRPr="00834D52">
        <w:rPr>
          <w:rFonts w:ascii="Sylfaen" w:hAnsi="Sylfaen"/>
          <w:spacing w:val="-4"/>
          <w:sz w:val="24"/>
          <w:szCs w:val="24"/>
        </w:rPr>
        <w:t xml:space="preserve">: </w:t>
      </w:r>
    </w:p>
    <w:p w14:paraId="6AE61D84" w14:textId="77777777" w:rsidR="006F76EB" w:rsidRPr="00834D52" w:rsidRDefault="006F76EB" w:rsidP="00564D3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1.8.2.1.</w:t>
      </w:r>
      <w:r w:rsidRPr="00834D52">
        <w:rPr>
          <w:rFonts w:ascii="Sylfaen" w:hAnsi="Sylfaen"/>
          <w:sz w:val="24"/>
          <w:szCs w:val="24"/>
        </w:rPr>
        <w:tab/>
        <w:t xml:space="preserve">Լիազորված մարմնի՝ կլինիկական հետազոտություն անցկացնելու, այդ թվում՝ ուղղում կատարելու թույլտվությունը: </w:t>
      </w:r>
    </w:p>
    <w:p w14:paraId="1907361C" w14:textId="2D305A2A" w:rsidR="006F76EB" w:rsidRPr="00834D52" w:rsidRDefault="006F76EB" w:rsidP="00564D3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1.8.2.2.</w:t>
      </w:r>
      <w:r w:rsidRPr="00834D52">
        <w:rPr>
          <w:rFonts w:ascii="Sylfaen" w:hAnsi="Sylfaen"/>
          <w:sz w:val="24"/>
          <w:szCs w:val="24"/>
        </w:rPr>
        <w:tab/>
        <w:t xml:space="preserve">Գրանցման համար </w:t>
      </w:r>
      <w:r w:rsidR="0056496B">
        <w:rPr>
          <w:rFonts w:ascii="Sylfaen" w:hAnsi="Sylfaen"/>
          <w:sz w:val="24"/>
          <w:szCs w:val="24"/>
        </w:rPr>
        <w:t>դիմում</w:t>
      </w:r>
      <w:r w:rsidRPr="00834D52">
        <w:rPr>
          <w:rFonts w:ascii="Sylfaen" w:hAnsi="Sylfaen"/>
          <w:sz w:val="24"/>
          <w:szCs w:val="24"/>
        </w:rPr>
        <w:t>ագրվող դեղապատրաստուկի՝ պատշաճ կլինիկական գործունեությանը (GCP) համապատասխանության մասով անցկացված տեսչական ստուգումների ցանկը՝ նշելով տեսչական ստուգումներ անցկացրած լիազորված մարմինները, անցկացման ամսաթվերը, արդյունքները (առկայության դեպքում):</w:t>
      </w:r>
    </w:p>
    <w:p w14:paraId="44B38C0A" w14:textId="77777777" w:rsidR="006F76EB" w:rsidRPr="00834D52" w:rsidRDefault="006F76EB" w:rsidP="00B22ED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Տեսչական ստուգումների ցանկը ներառում է դեղապատրաստուկի կլինիկական հետազոտություններին մասնակցած հետազոտական կենտրոնների տեսչական ստուգումները, հովանավորի կամ դեղապատրաստուկի կլինիկական հետազոտության պայմանագրային հետազոտական կազմակերպության տեսչական ստուգումները կամ հետազոտության հետ առնչություն ունեցող այլ կազմակերպությունների տեսչական ստուգումները (օրինակ՝ դեղապատրաստուկի </w:t>
      </w:r>
      <w:r w:rsidRPr="00834D52">
        <w:rPr>
          <w:rFonts w:ascii="Sylfaen" w:hAnsi="Sylfaen"/>
          <w:sz w:val="24"/>
          <w:szCs w:val="24"/>
        </w:rPr>
        <w:lastRenderedPageBreak/>
        <w:t>կլինիկական հետազոտությունների մեջ ներգրավված վերլուծական լաբորատորիայի) , այլ GCP տեսչական ստուգումներ:</w:t>
      </w:r>
    </w:p>
    <w:p w14:paraId="37103A7E" w14:textId="23F13A10" w:rsidR="006F76EB" w:rsidRPr="00834D52" w:rsidRDefault="006F76EB" w:rsidP="00155C84">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կլինիկական հետազոտությունն ամբողջությամբ անցկացվել է երրորդ երկրների հետազոտական կենտրոններում, անհրաժեշտ է ցանկում ներառել այն հետազոտական կենտրոններում անցկացված GCP տեսչական ստուգումների արդյունքները, որոնցում տվյալ դեղապատրաստուկի հետազոտության շրջանակներում ներառվել են առավելագույն թվով պացիենտներ: Տեսչական ստուգումները կարող են անցկացվել այլ հետազոտության մասով, այդ թվում՝ այլ պատրաստուկի մասով, որի գրացման հավաստագրի տիրապետողը </w:t>
      </w:r>
      <w:r w:rsidR="0056496B">
        <w:rPr>
          <w:rFonts w:ascii="Sylfaen" w:hAnsi="Sylfaen"/>
          <w:sz w:val="24"/>
          <w:szCs w:val="24"/>
        </w:rPr>
        <w:t>դիմումատու</w:t>
      </w:r>
      <w:r w:rsidRPr="00834D52">
        <w:rPr>
          <w:rFonts w:ascii="Sylfaen" w:hAnsi="Sylfaen"/>
          <w:sz w:val="24"/>
          <w:szCs w:val="24"/>
        </w:rPr>
        <w:t xml:space="preserve">ն չէ: Այդ դեպքում լիազորված մարմինները (փորձագիտական կազմակերպությունները) համապատասխան կարգավորող մարմիններից ինքնուրույն պահանջում են այդպիսի ստուգումների մասին հաշվետվություններ, </w:t>
      </w:r>
      <w:r w:rsidR="00C54D75">
        <w:rPr>
          <w:rFonts w:ascii="Sylfaen" w:hAnsi="Sylfaen"/>
          <w:sz w:val="24"/>
          <w:szCs w:val="24"/>
        </w:rPr>
        <w:t>և</w:t>
      </w:r>
      <w:r w:rsidRPr="00834D52">
        <w:rPr>
          <w:rFonts w:ascii="Sylfaen" w:hAnsi="Sylfaen"/>
          <w:sz w:val="24"/>
          <w:szCs w:val="24"/>
        </w:rPr>
        <w:t xml:space="preserve"> դրանք չեն ներկայացվում դեղապատրաստուկի գրանցման դոսյեի 1-ին մոդուլի 1.8.3.3 բաժնում:</w:t>
      </w:r>
    </w:p>
    <w:p w14:paraId="04A0CBF8" w14:textId="5944EE37" w:rsidR="006F76EB" w:rsidRPr="00834D52" w:rsidRDefault="006F76EB" w:rsidP="00155C8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1.8.2.3.</w:t>
      </w:r>
      <w:r w:rsidRPr="00834D52">
        <w:rPr>
          <w:rFonts w:ascii="Sylfaen" w:hAnsi="Sylfaen"/>
          <w:sz w:val="24"/>
          <w:szCs w:val="24"/>
        </w:rPr>
        <w:tab/>
        <w:t>Սույն հավելվածի 1.8.</w:t>
      </w:r>
      <w:r w:rsidR="00427065">
        <w:rPr>
          <w:rFonts w:ascii="Sylfaen" w:hAnsi="Sylfaen"/>
          <w:sz w:val="24"/>
          <w:szCs w:val="24"/>
        </w:rPr>
        <w:t>2</w:t>
      </w:r>
      <w:r w:rsidRPr="00834D52">
        <w:rPr>
          <w:rFonts w:ascii="Sylfaen" w:hAnsi="Sylfaen"/>
          <w:sz w:val="24"/>
          <w:szCs w:val="24"/>
        </w:rPr>
        <w:t>.2 կետում թվարկված GCP տեսչական ստուգումների անցկացման մասին հաշվետվությունների պատճենները (առկայության դեպքում):</w:t>
      </w:r>
    </w:p>
    <w:p w14:paraId="27BD948E" w14:textId="228726C5" w:rsidR="006F76EB" w:rsidRDefault="006F76EB" w:rsidP="00155C84">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1.8.2.4.</w:t>
      </w:r>
      <w:r w:rsidRPr="00834D52">
        <w:rPr>
          <w:rFonts w:ascii="Sylfaen" w:hAnsi="Sylfaen"/>
          <w:sz w:val="24"/>
          <w:szCs w:val="24"/>
        </w:rPr>
        <w:tab/>
        <w:t xml:space="preserve">Կլինիկական հետազոտության հովանավորի </w:t>
      </w:r>
      <w:r w:rsidR="00C54D75">
        <w:rPr>
          <w:rFonts w:ascii="Sylfaen" w:hAnsi="Sylfaen"/>
          <w:sz w:val="24"/>
          <w:szCs w:val="24"/>
        </w:rPr>
        <w:t>և</w:t>
      </w:r>
      <w:r w:rsidRPr="00834D52">
        <w:rPr>
          <w:rFonts w:ascii="Sylfaen" w:hAnsi="Sylfaen"/>
          <w:sz w:val="24"/>
          <w:szCs w:val="24"/>
        </w:rPr>
        <w:t xml:space="preserve"> հետազոտական կենտրոնի (պայմանագրային հետազոտական կազմակերպության) միջ</w:t>
      </w:r>
      <w:r w:rsidR="00C54D75">
        <w:rPr>
          <w:rFonts w:ascii="Sylfaen" w:hAnsi="Sylfaen"/>
          <w:sz w:val="24"/>
          <w:szCs w:val="24"/>
        </w:rPr>
        <w:t>և</w:t>
      </w:r>
      <w:r w:rsidRPr="00834D52">
        <w:rPr>
          <w:rFonts w:ascii="Sylfaen" w:hAnsi="Sylfaen"/>
          <w:sz w:val="24"/>
          <w:szCs w:val="24"/>
        </w:rPr>
        <w:t xml:space="preserve"> պայմանագրերի պատճենները (անհրաժեշտության դեպքում՝ գաղտնի տեղեկատվությունը հանելուց հետո):</w:t>
      </w:r>
    </w:p>
    <w:p w14:paraId="6199E4B7" w14:textId="344D96FB"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1.8.2.5. Գրանցման հայտի համար ամփոփագիրը՝ մատենագիտական աղբյուրների և տվյալների տրամադրմամբ։</w:t>
      </w:r>
    </w:p>
    <w:p w14:paraId="51826837" w14:textId="1FA5FD58"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1.8.2.6. Գեներիկ, հիբրիդային կամ կենսահամանման (կենսանման) դեղապատրաստուկների գրանցման հայտի համար ամփոփագիր։</w:t>
      </w:r>
    </w:p>
    <w:p w14:paraId="71B60999" w14:textId="3DF4CA7F"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 xml:space="preserve">1.8.2.7. Գրանցման հայտի համար ամփոփագիր՝ գրանցվող դեղապատրաստուկի առնչությամբ անդամ պետությունում արտոնագրերի </w:t>
      </w:r>
      <w:r w:rsidRPr="00427065">
        <w:rPr>
          <w:rFonts w:ascii="Sylfaen" w:eastAsia="Times New Roman" w:hAnsi="Sylfaen" w:cs="Times New Roman"/>
          <w:sz w:val="24"/>
          <w:szCs w:val="24"/>
        </w:rPr>
        <w:lastRenderedPageBreak/>
        <w:t>առկայության դեպքում։</w:t>
      </w:r>
    </w:p>
    <w:p w14:paraId="2B57D00D" w14:textId="73094672"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1.8.2.8. Գրանցման հայտի համար ամփոփագիր՝ հատուկ դեպքերում։</w:t>
      </w:r>
    </w:p>
    <w:p w14:paraId="35E71CEC" w14:textId="4FE424A1" w:rsidR="00427065" w:rsidRPr="00834D52"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1.8.2.9. Գրանցման հայտի համար ամփոփագիր՝ հետգրանցումային միջոցների սահմանմամբ (գրանցման պայմաններով)։</w:t>
      </w:r>
    </w:p>
    <w:p w14:paraId="2EF8CC8D" w14:textId="77777777" w:rsidR="006F76EB" w:rsidRPr="00834D52" w:rsidRDefault="006F76EB" w:rsidP="00EC4C5B">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1.8.3.</w:t>
      </w:r>
      <w:r w:rsidRPr="00834D52">
        <w:rPr>
          <w:rFonts w:ascii="Sylfaen" w:hAnsi="Sylfaen"/>
          <w:spacing w:val="4"/>
          <w:sz w:val="24"/>
          <w:szCs w:val="24"/>
        </w:rPr>
        <w:tab/>
        <w:t>Կլինիկական հետազոտությունների ցանկով աղյուսակ (եթե կիրառելի է):</w:t>
      </w:r>
    </w:p>
    <w:p w14:paraId="19CC0335" w14:textId="44D9E41C" w:rsidR="006F76EB" w:rsidRPr="00834D52" w:rsidRDefault="006F76EB" w:rsidP="00EC4C5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1.8.4.</w:t>
      </w:r>
      <w:r w:rsidRPr="00834D52">
        <w:rPr>
          <w:rFonts w:ascii="Sylfaen" w:hAnsi="Sylfaen"/>
          <w:sz w:val="24"/>
          <w:szCs w:val="24"/>
        </w:rPr>
        <w:tab/>
        <w:t xml:space="preserve">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կլինիկական հետազոտությունների՝ Հանձնաժողովի կողմից հաստատվող՝ Եվրասիական տնտեսական միության պատշաճ արտադրական գործունեության պահանջներին համապատասխանելու մասին գրանցման հավաստագրի իրավատիրոջ նամակը:</w:t>
      </w:r>
    </w:p>
    <w:p w14:paraId="42A3D4C1" w14:textId="4448DEA2" w:rsidR="006F76EB" w:rsidRPr="00834D52" w:rsidRDefault="006F76EB" w:rsidP="00477BB0">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1.9.</w:t>
      </w:r>
      <w:r w:rsidRPr="00834D52">
        <w:rPr>
          <w:rFonts w:ascii="Sylfaen" w:hAnsi="Sylfaen"/>
          <w:sz w:val="24"/>
          <w:szCs w:val="24"/>
        </w:rPr>
        <w:tab/>
        <w:t xml:space="preserve">Շրջակա միջավայրի համար հնարավոր վտանգը գնահատելու մասին </w:t>
      </w:r>
      <w:r w:rsidR="0056496B">
        <w:rPr>
          <w:rFonts w:ascii="Sylfaen" w:hAnsi="Sylfaen"/>
          <w:sz w:val="24"/>
          <w:szCs w:val="24"/>
        </w:rPr>
        <w:t>դիմումատու</w:t>
      </w:r>
      <w:r w:rsidRPr="00834D52">
        <w:rPr>
          <w:rFonts w:ascii="Sylfaen" w:hAnsi="Sylfaen"/>
          <w:sz w:val="24"/>
          <w:szCs w:val="24"/>
        </w:rPr>
        <w:t>ի փաստաթղթերը (տեղադրվում են որպես մոդուլի հավելված թիվ 1) (առկայության դեպքում):</w:t>
      </w:r>
    </w:p>
    <w:p w14:paraId="2225DB6A" w14:textId="031361E9"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1.9.1.</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նամակն այն մասին, որ դեղապատրաստուկները պարունակում են գենետիկորեն մոդիֆիկացված օրգանիզմներ կամ ստացվել են դրանցից (եթե կիրառելի է):</w:t>
      </w:r>
    </w:p>
    <w:p w14:paraId="215F292F" w14:textId="25BFB944"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1.10.</w:t>
      </w:r>
      <w:r w:rsidRPr="00834D52">
        <w:rPr>
          <w:rFonts w:ascii="Sylfaen" w:hAnsi="Sylfaen"/>
          <w:sz w:val="24"/>
          <w:szCs w:val="24"/>
        </w:rPr>
        <w:tab/>
        <w:t xml:space="preserve">Անդամ պետությունում </w:t>
      </w:r>
      <w:r w:rsidR="0056496B">
        <w:rPr>
          <w:rFonts w:ascii="Sylfaen" w:hAnsi="Sylfaen"/>
          <w:sz w:val="24"/>
          <w:szCs w:val="24"/>
        </w:rPr>
        <w:t>դիմումատու</w:t>
      </w:r>
      <w:r w:rsidRPr="00834D52">
        <w:rPr>
          <w:rFonts w:ascii="Sylfaen" w:hAnsi="Sylfaen"/>
          <w:sz w:val="24"/>
          <w:szCs w:val="24"/>
        </w:rPr>
        <w:t>ի՝ դեղազգոնությանը վերաբերող տեղեկատվություն:</w:t>
      </w:r>
    </w:p>
    <w:p w14:paraId="5ABBA1FA" w14:textId="287D501F"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1.10.1.</w:t>
      </w:r>
      <w:r w:rsidRPr="00834D52">
        <w:rPr>
          <w:rFonts w:ascii="Sylfaen" w:hAnsi="Sylfaen"/>
          <w:sz w:val="24"/>
          <w:szCs w:val="24"/>
        </w:rPr>
        <w:tab/>
        <w:t xml:space="preserve">Գրանցման հավաստագրի իրավատիրոջ դեղազգոնության համակարգի մաստեր-ֆայլը, Հանձնաժողովի կողմից հաստատվող՝ Եվրասիական տնտեսական միության պատշաճ դեղազգոնության գործունեության կանոնների պահանջներին համապատասխան (այսուհետ՝ Միության պատշաճ դեղազգոնության գործունեության կանոններ), ներկայացվում է այն դեպքում, երբ գրանցման հավաստագրի իրավատերն առաջին անգամ </w:t>
      </w:r>
      <w:r w:rsidR="0056496B">
        <w:rPr>
          <w:rFonts w:ascii="Sylfaen" w:hAnsi="Sylfaen"/>
          <w:sz w:val="24"/>
          <w:szCs w:val="24"/>
        </w:rPr>
        <w:t>դիմում</w:t>
      </w:r>
      <w:r w:rsidRPr="00834D52">
        <w:rPr>
          <w:rFonts w:ascii="Sylfaen" w:hAnsi="Sylfaen"/>
          <w:sz w:val="24"/>
          <w:szCs w:val="24"/>
        </w:rPr>
        <w:t xml:space="preserve"> է ներկայացնում Միության շուկայում դեղապատրաստուկը գրանցելու համար:</w:t>
      </w:r>
    </w:p>
    <w:p w14:paraId="6B41CC9C" w14:textId="70EF5210" w:rsidR="006F76EB" w:rsidRPr="00834D52" w:rsidRDefault="006F76EB" w:rsidP="00477BB0">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Դեղապատրաստուկների գրանցման հետագա </w:t>
      </w:r>
      <w:r w:rsidR="009F5829">
        <w:rPr>
          <w:rFonts w:ascii="Sylfaen" w:hAnsi="Sylfaen"/>
          <w:sz w:val="24"/>
          <w:szCs w:val="24"/>
        </w:rPr>
        <w:t>դիմումներ</w:t>
      </w:r>
      <w:r w:rsidRPr="00834D52">
        <w:rPr>
          <w:rFonts w:ascii="Sylfaen" w:hAnsi="Sylfaen"/>
          <w:sz w:val="24"/>
          <w:szCs w:val="24"/>
        </w:rPr>
        <w:t>ի դեպքում գրանցման հավաստագրի տվյալ իրավատիրոջ անունից ներկայացվում է գրանցման հավաստագրի իրավատիրոջ դեղազգոնության համակարգի համառոտ բնութագիրը:</w:t>
      </w:r>
    </w:p>
    <w:p w14:paraId="56535FE0" w14:textId="77777777" w:rsidR="006F76EB" w:rsidRPr="00834D52" w:rsidRDefault="006F76EB" w:rsidP="00EC4C5B">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համակարգի կրճատ բնութագիրը պետք է իր մեջ պարունակի այդ թվում նա</w:t>
      </w:r>
      <w:r w:rsidR="00C54D75">
        <w:rPr>
          <w:rFonts w:ascii="Sylfaen" w:hAnsi="Sylfaen"/>
          <w:sz w:val="24"/>
          <w:szCs w:val="24"/>
        </w:rPr>
        <w:t>և</w:t>
      </w:r>
      <w:r w:rsidRPr="00834D52">
        <w:rPr>
          <w:rFonts w:ascii="Sylfaen" w:hAnsi="Sylfaen"/>
          <w:sz w:val="24"/>
          <w:szCs w:val="24"/>
        </w:rPr>
        <w:t xml:space="preserve"> հետ</w:t>
      </w:r>
      <w:r w:rsidR="00C54D75">
        <w:rPr>
          <w:rFonts w:ascii="Sylfaen" w:hAnsi="Sylfaen"/>
          <w:sz w:val="24"/>
          <w:szCs w:val="24"/>
        </w:rPr>
        <w:t>և</w:t>
      </w:r>
      <w:r w:rsidRPr="00834D52">
        <w:rPr>
          <w:rFonts w:ascii="Sylfaen" w:hAnsi="Sylfaen"/>
          <w:sz w:val="24"/>
          <w:szCs w:val="24"/>
        </w:rPr>
        <w:t>յալ տարրերը՝</w:t>
      </w:r>
    </w:p>
    <w:p w14:paraId="57920118" w14:textId="77777777" w:rsidR="006F76EB" w:rsidRPr="00834D52" w:rsidRDefault="006F76EB" w:rsidP="007E5F3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կողմից դեղազգոնության համար պատասխանատու լիազորված անձի առկայության փաստի գրավոր հավաստումը: Եթե գրանցման հավաստագրի իրավատերն անդամ պետության տարածքում չի</w:t>
      </w:r>
      <w:r w:rsidR="006E4778" w:rsidRPr="006E4778">
        <w:rPr>
          <w:rFonts w:ascii="Sylfaen" w:hAnsi="Sylfaen"/>
          <w:sz w:val="24"/>
          <w:szCs w:val="24"/>
        </w:rPr>
        <w:t> </w:t>
      </w:r>
      <w:r w:rsidRPr="00834D52">
        <w:rPr>
          <w:rFonts w:ascii="Sylfaen" w:hAnsi="Sylfaen"/>
          <w:sz w:val="24"/>
          <w:szCs w:val="24"/>
        </w:rPr>
        <w:t>գտնվում, անհրաժեշտ է նա</w:t>
      </w:r>
      <w:r w:rsidR="00C54D75">
        <w:rPr>
          <w:rFonts w:ascii="Sylfaen" w:hAnsi="Sylfaen"/>
          <w:sz w:val="24"/>
          <w:szCs w:val="24"/>
        </w:rPr>
        <w:t>և</w:t>
      </w:r>
      <w:r w:rsidRPr="00834D52">
        <w:rPr>
          <w:rFonts w:ascii="Sylfaen" w:hAnsi="Sylfaen"/>
          <w:sz w:val="24"/>
          <w:szCs w:val="24"/>
        </w:rPr>
        <w:t xml:space="preserve"> անդամ պետության տարածքում դեղազգոնության հարցերով կոնտակտային անձի առկայության հավաստում, </w:t>
      </w:r>
    </w:p>
    <w:p w14:paraId="1740E511" w14:textId="77777777" w:rsidR="006F76EB" w:rsidRPr="00834D52" w:rsidRDefault="006F76EB" w:rsidP="0094376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պետության նշում, որտեղ ապրում </w:t>
      </w:r>
      <w:r w:rsidR="00C54D75">
        <w:rPr>
          <w:rFonts w:ascii="Sylfaen" w:hAnsi="Sylfaen"/>
          <w:sz w:val="24"/>
          <w:szCs w:val="24"/>
        </w:rPr>
        <w:t>և</w:t>
      </w:r>
      <w:r w:rsidRPr="00834D52">
        <w:rPr>
          <w:rFonts w:ascii="Sylfaen" w:hAnsi="Sylfaen"/>
          <w:sz w:val="24"/>
          <w:szCs w:val="24"/>
        </w:rPr>
        <w:t xml:space="preserve"> իր գործառույթներն է կատարում լիազորված անձը, </w:t>
      </w:r>
    </w:p>
    <w:p w14:paraId="2FA06D81" w14:textId="77777777" w:rsidR="006F76EB" w:rsidRPr="00834D52" w:rsidRDefault="006F76EB" w:rsidP="0094376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լիազորված անձի </w:t>
      </w:r>
      <w:r w:rsidR="00C54D75">
        <w:rPr>
          <w:rFonts w:ascii="Sylfaen" w:hAnsi="Sylfaen"/>
          <w:sz w:val="24"/>
          <w:szCs w:val="24"/>
        </w:rPr>
        <w:t>և</w:t>
      </w:r>
      <w:r w:rsidRPr="00834D52">
        <w:rPr>
          <w:rFonts w:ascii="Sylfaen" w:hAnsi="Sylfaen"/>
          <w:sz w:val="24"/>
          <w:szCs w:val="24"/>
        </w:rPr>
        <w:t xml:space="preserve"> դեղազգոնության հարցերով կոնտակտային անձի կոնտակտային տվյալներ (եթե կիրառելի է),</w:t>
      </w:r>
    </w:p>
    <w:p w14:paraId="3895CDC6" w14:textId="60F549F8" w:rsidR="006F76EB" w:rsidRPr="00834D52" w:rsidRDefault="006F76EB" w:rsidP="0094376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կողմից ստորագրված </w:t>
      </w:r>
      <w:r w:rsidR="0056496B">
        <w:rPr>
          <w:rFonts w:ascii="Sylfaen" w:hAnsi="Sylfaen"/>
          <w:sz w:val="24"/>
          <w:szCs w:val="24"/>
        </w:rPr>
        <w:t>դիմում</w:t>
      </w:r>
      <w:r w:rsidRPr="00834D52">
        <w:rPr>
          <w:rFonts w:ascii="Sylfaen" w:hAnsi="Sylfaen"/>
          <w:sz w:val="24"/>
          <w:szCs w:val="24"/>
        </w:rPr>
        <w:t xml:space="preserve"> (</w:t>
      </w:r>
      <w:r w:rsidR="009F5829">
        <w:rPr>
          <w:rFonts w:ascii="Sylfaen" w:hAnsi="Sylfaen"/>
          <w:sz w:val="24"/>
          <w:szCs w:val="24"/>
        </w:rPr>
        <w:t>հայտա</w:t>
      </w:r>
      <w:r w:rsidRPr="00834D52">
        <w:rPr>
          <w:rFonts w:ascii="Sylfaen" w:hAnsi="Sylfaen"/>
          <w:sz w:val="24"/>
          <w:szCs w:val="24"/>
        </w:rPr>
        <w:t xml:space="preserve">րարագիր) այն մասին, որ նա պարտավորվում է կատարել Միության պատշաճ դեղազգոնության գործունեության կանոնների մեջ թվարկված առաջադրանքներն ու պարտականությունները, </w:t>
      </w:r>
    </w:p>
    <w:p w14:paraId="6603EB96" w14:textId="77777777" w:rsidR="006F76EB" w:rsidRPr="00834D52" w:rsidRDefault="006F76EB" w:rsidP="0094376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հղում՝ դեղազգոնության համակարգի մաստեր-ֆայլի տեղակայման տեղին (հասցեին): </w:t>
      </w:r>
    </w:p>
    <w:p w14:paraId="3F71BE59" w14:textId="77777777" w:rsidR="006F76EB" w:rsidRPr="00834D52" w:rsidRDefault="006F76EB" w:rsidP="004263D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1.10.2.</w:t>
      </w:r>
      <w:r w:rsidRPr="00834D52">
        <w:rPr>
          <w:rFonts w:ascii="Sylfaen" w:hAnsi="Sylfaen"/>
          <w:sz w:val="24"/>
          <w:szCs w:val="24"/>
        </w:rPr>
        <w:tab/>
        <w:t>Գրանցման հավաստագրի իրավատիրոջ կողմից անդամ պետության տարածքում դեղազգոնության համար պատասխանատու լիազորված անձի առկայության փաստի գրավոր հավաստում:</w:t>
      </w:r>
    </w:p>
    <w:p w14:paraId="09A0228B" w14:textId="45AD10C2" w:rsidR="006F76EB" w:rsidRDefault="006F76EB" w:rsidP="004263D4">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1.10.3.</w:t>
      </w:r>
      <w:r w:rsidRPr="00834D52">
        <w:rPr>
          <w:rFonts w:ascii="Sylfaen" w:hAnsi="Sylfaen"/>
          <w:sz w:val="24"/>
          <w:szCs w:val="24"/>
        </w:rPr>
        <w:tab/>
        <w:t xml:space="preserve">Գրանցման համար </w:t>
      </w:r>
      <w:r w:rsidR="0056496B">
        <w:rPr>
          <w:rFonts w:ascii="Sylfaen" w:hAnsi="Sylfaen"/>
          <w:sz w:val="24"/>
          <w:szCs w:val="24"/>
        </w:rPr>
        <w:t>դիմում</w:t>
      </w:r>
      <w:r w:rsidRPr="00834D52">
        <w:rPr>
          <w:rFonts w:ascii="Sylfaen" w:hAnsi="Sylfaen"/>
          <w:sz w:val="24"/>
          <w:szCs w:val="24"/>
        </w:rPr>
        <w:t xml:space="preserve">ագրվող դեղապատրաստուկի ռիսկերի կառավարման՝ Միության պատշաճ դեղազգոնության գործունեության կանոններին համապատասխան պատրաստված պլան: </w:t>
      </w:r>
    </w:p>
    <w:p w14:paraId="456E1989" w14:textId="659D5370" w:rsidR="00AB3E9B" w:rsidRPr="00AB3E9B" w:rsidRDefault="00AB3E9B" w:rsidP="00AB3E9B">
      <w:pPr>
        <w:tabs>
          <w:tab w:val="left" w:pos="1701"/>
        </w:tabs>
        <w:spacing w:after="160" w:line="360" w:lineRule="auto"/>
        <w:ind w:right="-8" w:firstLine="567"/>
        <w:jc w:val="both"/>
        <w:rPr>
          <w:rFonts w:ascii="Sylfaen" w:hAnsi="Sylfaen"/>
          <w:b/>
          <w:bCs/>
          <w:i/>
          <w:iCs/>
        </w:rPr>
      </w:pPr>
      <w:r w:rsidRPr="00AB3E9B">
        <w:rPr>
          <w:rFonts w:ascii="Sylfaen" w:hAnsi="Sylfaen"/>
          <w:b/>
          <w:bCs/>
          <w:i/>
          <w:iCs/>
        </w:rPr>
        <w:lastRenderedPageBreak/>
        <w:t>(1.10.3 կետը փոփ. 17.03.22 թիվ 36)</w:t>
      </w:r>
    </w:p>
    <w:p w14:paraId="1B68BF04" w14:textId="77777777" w:rsidR="00AB3E9B" w:rsidRPr="00834D52" w:rsidRDefault="00AB3E9B" w:rsidP="004263D4">
      <w:pPr>
        <w:tabs>
          <w:tab w:val="left" w:pos="1701"/>
        </w:tabs>
        <w:spacing w:after="160" w:line="360" w:lineRule="auto"/>
        <w:ind w:right="-8" w:firstLine="567"/>
        <w:jc w:val="both"/>
        <w:rPr>
          <w:rFonts w:ascii="Sylfaen" w:eastAsia="Times New Roman" w:hAnsi="Sylfaen" w:cs="Times New Roman"/>
          <w:sz w:val="24"/>
          <w:szCs w:val="24"/>
        </w:rPr>
      </w:pPr>
    </w:p>
    <w:p w14:paraId="5F59E98A" w14:textId="77777777" w:rsidR="006F76EB" w:rsidRPr="00834D52" w:rsidRDefault="006F76EB" w:rsidP="00307AF9">
      <w:pPr>
        <w:tabs>
          <w:tab w:val="left" w:pos="1701"/>
        </w:tabs>
        <w:spacing w:after="160" w:line="360" w:lineRule="auto"/>
        <w:ind w:right="-8" w:firstLine="567"/>
        <w:jc w:val="both"/>
        <w:rPr>
          <w:rFonts w:ascii="Sylfaen" w:eastAsia="Times New Roman" w:hAnsi="Sylfaen" w:cs="Times New Roman"/>
          <w:sz w:val="24"/>
          <w:szCs w:val="24"/>
        </w:rPr>
      </w:pPr>
      <w:r w:rsidRPr="00F32044">
        <w:rPr>
          <w:rFonts w:ascii="Sylfaen" w:hAnsi="Sylfaen"/>
          <w:spacing w:val="-4"/>
          <w:sz w:val="24"/>
          <w:szCs w:val="24"/>
        </w:rPr>
        <w:t>1.10.4.</w:t>
      </w:r>
      <w:r w:rsidRPr="00F32044">
        <w:rPr>
          <w:rFonts w:ascii="Sylfaen" w:hAnsi="Sylfaen"/>
          <w:spacing w:val="-4"/>
          <w:sz w:val="24"/>
          <w:szCs w:val="24"/>
        </w:rPr>
        <w:tab/>
        <w:t>Պատշաճ կերպով վավերացված փաստաթղթեր, որոնք հավաստում</w:t>
      </w:r>
      <w:r w:rsidR="004263D4" w:rsidRPr="008048D0">
        <w:rPr>
          <w:rFonts w:ascii="Sylfaen" w:hAnsi="Sylfaen"/>
          <w:spacing w:val="-4"/>
          <w:sz w:val="24"/>
          <w:szCs w:val="24"/>
        </w:rPr>
        <w:t> </w:t>
      </w:r>
      <w:r w:rsidRPr="00F32044">
        <w:rPr>
          <w:rFonts w:ascii="Sylfaen" w:hAnsi="Sylfaen"/>
          <w:spacing w:val="-4"/>
          <w:sz w:val="24"/>
          <w:szCs w:val="24"/>
        </w:rPr>
        <w:t>են մի քանի իրավաբանական անձանց կողմից գրանցման հավաստագրի իրավատիրոջ բոլոր պարտականությունների պատշաճ կատարումն ապահովող փոխգործակցության</w:t>
      </w:r>
      <w:r w:rsidRPr="00834D52">
        <w:rPr>
          <w:rFonts w:ascii="Sylfaen" w:hAnsi="Sylfaen"/>
          <w:sz w:val="24"/>
          <w:szCs w:val="24"/>
        </w:rPr>
        <w:t xml:space="preserve"> առկայություն</w:t>
      </w:r>
      <w:r w:rsidR="00DF7CF1">
        <w:rPr>
          <w:rFonts w:ascii="Sylfaen" w:hAnsi="Sylfaen"/>
          <w:sz w:val="24"/>
          <w:szCs w:val="24"/>
        </w:rPr>
        <w:t>ն</w:t>
      </w:r>
      <w:r w:rsidRPr="00834D52">
        <w:rPr>
          <w:rFonts w:ascii="Sylfaen" w:hAnsi="Sylfaen"/>
          <w:sz w:val="24"/>
          <w:szCs w:val="24"/>
        </w:rPr>
        <w:t xml:space="preserve"> այն դեպքում, երբ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կողմից տրամադրված՝ դեղապատրաստուկի գրանցման հավաստագրի իրավատերերը տարբեր իրավաբանական անձինք են</w:t>
      </w:r>
      <w:r w:rsidR="00E90FAF" w:rsidRPr="00E90FAF">
        <w:rPr>
          <w:rFonts w:ascii="Sylfaen" w:hAnsi="Sylfaen"/>
          <w:sz w:val="24"/>
          <w:szCs w:val="24"/>
        </w:rPr>
        <w:t xml:space="preserve"> (</w:t>
      </w:r>
      <w:r w:rsidR="00522719">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w:t>
      </w:r>
    </w:p>
    <w:p w14:paraId="17613212" w14:textId="7E5E160B" w:rsidR="006F76EB" w:rsidRDefault="006F76EB" w:rsidP="00307AF9">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1.11.</w:t>
      </w:r>
      <w:r w:rsidRPr="00834D52">
        <w:rPr>
          <w:rFonts w:ascii="Sylfaen" w:hAnsi="Sylfaen"/>
          <w:sz w:val="24"/>
          <w:szCs w:val="24"/>
        </w:rPr>
        <w:tab/>
        <w:t>Ապրանքային նշանի գրանցումը հավաստող փաստաթղթերի պատճեններ (առկայության դեպքում):</w:t>
      </w:r>
    </w:p>
    <w:p w14:paraId="7A8090DD" w14:textId="5667800F" w:rsidR="00427065" w:rsidRPr="00AB3E9B" w:rsidRDefault="00427065" w:rsidP="00307AF9">
      <w:pPr>
        <w:tabs>
          <w:tab w:val="left" w:pos="1701"/>
        </w:tabs>
        <w:spacing w:after="160" w:line="360" w:lineRule="auto"/>
        <w:ind w:right="-8" w:firstLine="567"/>
        <w:jc w:val="both"/>
        <w:rPr>
          <w:rFonts w:ascii="Sylfaen" w:hAnsi="Sylfaen"/>
          <w:b/>
          <w:bCs/>
          <w:i/>
          <w:iCs/>
        </w:rPr>
      </w:pPr>
      <w:r w:rsidRPr="00AB3E9B">
        <w:rPr>
          <w:rFonts w:ascii="Sylfaen" w:hAnsi="Sylfaen"/>
          <w:b/>
          <w:bCs/>
          <w:i/>
          <w:iCs/>
        </w:rPr>
        <w:t>(1-ին կետը խմբ., փոփ., լրաց. 05.03.21 թիվ 14)</w:t>
      </w:r>
    </w:p>
    <w:p w14:paraId="06CA9557" w14:textId="77777777" w:rsidR="00307AF9" w:rsidRPr="00955C1D" w:rsidRDefault="00307AF9" w:rsidP="00477BB0">
      <w:pPr>
        <w:tabs>
          <w:tab w:val="left" w:pos="1701"/>
        </w:tabs>
        <w:spacing w:after="160" w:line="360" w:lineRule="auto"/>
        <w:ind w:right="-8" w:firstLine="567"/>
        <w:jc w:val="center"/>
        <w:rPr>
          <w:rFonts w:ascii="Sylfaen" w:eastAsia="Times New Roman" w:hAnsi="Sylfaen" w:cs="Times New Roman"/>
          <w:sz w:val="24"/>
          <w:szCs w:val="24"/>
        </w:rPr>
      </w:pPr>
    </w:p>
    <w:p w14:paraId="24CFD1F2" w14:textId="77777777" w:rsidR="006F76EB" w:rsidRPr="00834D52" w:rsidRDefault="006F76EB" w:rsidP="00307AF9">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2. Գրանցման դոսյեի՝ 2-րդ մոդուլում բերված փաստաթղթերի նկատմամբ պահանջները՝ ընդհանուր տեխնիկական փաստաթղթի (ԸՏՓ) ռեզյումե</w:t>
      </w:r>
    </w:p>
    <w:p w14:paraId="53B5F240" w14:textId="62481299"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մոդուլում բերվում է քիմիական </w:t>
      </w:r>
      <w:r w:rsidR="00C54D75">
        <w:rPr>
          <w:rFonts w:ascii="Sylfaen" w:hAnsi="Sylfaen"/>
          <w:sz w:val="24"/>
          <w:szCs w:val="24"/>
        </w:rPr>
        <w:t>և</w:t>
      </w:r>
      <w:r w:rsidRPr="00834D52">
        <w:rPr>
          <w:rFonts w:ascii="Sylfaen" w:hAnsi="Sylfaen"/>
          <w:sz w:val="24"/>
          <w:szCs w:val="24"/>
        </w:rPr>
        <w:t xml:space="preserve"> կենսաբանական փաստաթղթերի, դեղապատրաստուկի գրանցման դոսյեի 3-5-րդ մոդուլներում </w:t>
      </w:r>
      <w:r w:rsidR="00C54D75">
        <w:rPr>
          <w:rFonts w:ascii="Sylfaen" w:hAnsi="Sylfaen"/>
          <w:sz w:val="24"/>
          <w:szCs w:val="24"/>
        </w:rPr>
        <w:t>և</w:t>
      </w:r>
      <w:r w:rsidRPr="00834D52">
        <w:rPr>
          <w:rFonts w:ascii="Sylfaen" w:hAnsi="Sylfaen"/>
          <w:sz w:val="24"/>
          <w:szCs w:val="24"/>
        </w:rPr>
        <w:t xml:space="preserve"> որակի, նախակլինիկական </w:t>
      </w:r>
      <w:r w:rsidR="00C54D75">
        <w:rPr>
          <w:rFonts w:ascii="Sylfaen" w:hAnsi="Sylfaen"/>
          <w:sz w:val="24"/>
          <w:szCs w:val="24"/>
        </w:rPr>
        <w:t>և</w:t>
      </w:r>
      <w:r w:rsidRPr="00834D52">
        <w:rPr>
          <w:rFonts w:ascii="Sylfaen" w:hAnsi="Sylfaen"/>
          <w:sz w:val="24"/>
          <w:szCs w:val="24"/>
        </w:rPr>
        <w:t xml:space="preserve"> կլինիկական </w:t>
      </w:r>
      <w:r w:rsidR="00897825" w:rsidRPr="00897825">
        <w:rPr>
          <w:rFonts w:ascii="Sylfaen" w:hAnsi="Sylfaen"/>
          <w:sz w:val="24"/>
          <w:szCs w:val="24"/>
        </w:rPr>
        <w:t>հետազոտությունների</w:t>
      </w:r>
      <w:r w:rsidRPr="00834D52">
        <w:rPr>
          <w:rFonts w:ascii="Sylfaen" w:hAnsi="Sylfaen"/>
          <w:sz w:val="24"/>
          <w:szCs w:val="24"/>
        </w:rPr>
        <w:t xml:space="preserve"> ռեզյումե պատրաստած մասնագետների եզրակացությունների մեջ ներկայացված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ռեզյումեն:</w:t>
      </w:r>
    </w:p>
    <w:p w14:paraId="061B6A14"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Ներկայացվում են ընդհանրացված փաստացի տվյալներ, այդ թվում՝ նյութեր՝ աղյուսակների տեսքով: Այս հաշվետվություններում նախատեսվում են խաչաձ</w:t>
      </w:r>
      <w:r w:rsidR="00C54D75">
        <w:rPr>
          <w:rFonts w:ascii="Sylfaen" w:hAnsi="Sylfaen"/>
          <w:sz w:val="24"/>
          <w:szCs w:val="24"/>
        </w:rPr>
        <w:t>և</w:t>
      </w:r>
      <w:r w:rsidRPr="00834D52">
        <w:rPr>
          <w:rFonts w:ascii="Sylfaen" w:hAnsi="Sylfaen"/>
          <w:sz w:val="24"/>
          <w:szCs w:val="24"/>
        </w:rPr>
        <w:t xml:space="preserve"> հղումներ 3-րդ՝ «Որակ» մոդուլում, 4-րդ՝ «Նախակլինիկական (ոչ կլինիկական) հետազոտությունների մասին հաշվետվություններ» մոդուլում </w:t>
      </w:r>
      <w:r w:rsidR="00C54D75">
        <w:rPr>
          <w:rFonts w:ascii="Sylfaen" w:hAnsi="Sylfaen"/>
          <w:sz w:val="24"/>
          <w:szCs w:val="24"/>
        </w:rPr>
        <w:t>և</w:t>
      </w:r>
      <w:r w:rsidRPr="00834D52">
        <w:rPr>
          <w:rFonts w:ascii="Sylfaen" w:hAnsi="Sylfaen"/>
          <w:sz w:val="24"/>
          <w:szCs w:val="24"/>
        </w:rPr>
        <w:t xml:space="preserve"> 5-րդ՝ «Կլինիկական հետազոտությունների (փորձարկումների) մասին հաշվետվություններ» մոդուլում ներկայացված հիմնական փաստաթղթերի մեջ պարունակվող աղյուսակներին կամ </w:t>
      </w:r>
      <w:r w:rsidRPr="00834D52">
        <w:rPr>
          <w:rFonts w:ascii="Sylfaen" w:hAnsi="Sylfaen"/>
          <w:sz w:val="24"/>
          <w:szCs w:val="24"/>
        </w:rPr>
        <w:lastRenderedPageBreak/>
        <w:t>տեղեկատվությանը:</w:t>
      </w:r>
    </w:p>
    <w:p w14:paraId="64C13929"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Ուսումնասիրություններն ու ռեզյումեն պետք է համապատասխանեն ստոր</w:t>
      </w:r>
      <w:r w:rsidR="00C54D75">
        <w:rPr>
          <w:rFonts w:ascii="Sylfaen" w:hAnsi="Sylfaen"/>
          <w:sz w:val="24"/>
          <w:szCs w:val="24"/>
        </w:rPr>
        <w:t>և</w:t>
      </w:r>
      <w:r w:rsidRPr="00834D52">
        <w:rPr>
          <w:rFonts w:ascii="Sylfaen" w:hAnsi="Sylfaen"/>
          <w:sz w:val="24"/>
          <w:szCs w:val="24"/>
        </w:rPr>
        <w:t xml:space="preserve"> շարադրված հիմնական սկզբունքներին </w:t>
      </w:r>
      <w:r w:rsidR="00C54D75">
        <w:rPr>
          <w:rFonts w:ascii="Sylfaen" w:hAnsi="Sylfaen"/>
          <w:sz w:val="24"/>
          <w:szCs w:val="24"/>
        </w:rPr>
        <w:t>և</w:t>
      </w:r>
      <w:r w:rsidRPr="00834D52">
        <w:rPr>
          <w:rFonts w:ascii="Sylfaen" w:hAnsi="Sylfaen"/>
          <w:sz w:val="24"/>
          <w:szCs w:val="24"/>
        </w:rPr>
        <w:t xml:space="preserve"> պահանջներին:</w:t>
      </w:r>
    </w:p>
    <w:p w14:paraId="63BAC710" w14:textId="77777777" w:rsidR="006F76EB" w:rsidRPr="00834D52" w:rsidRDefault="006F76EB" w:rsidP="00B973B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2.1.</w:t>
      </w:r>
      <w:r w:rsidRPr="00834D52">
        <w:rPr>
          <w:rFonts w:ascii="Sylfaen" w:hAnsi="Sylfaen"/>
          <w:sz w:val="24"/>
          <w:szCs w:val="24"/>
        </w:rPr>
        <w:tab/>
        <w:t>2-5-րդ մոդուլների բովանդակությունը:</w:t>
      </w:r>
    </w:p>
    <w:p w14:paraId="0F73A39B"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Մոդուլի տվյալ բաժնում ներկայացվում է 2-5-րդ մոդուլներում ներառված դեղապատրաստուկի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մասին փաստաթղթերի բովանդակությունը:</w:t>
      </w:r>
    </w:p>
    <w:p w14:paraId="62582F46" w14:textId="77777777" w:rsidR="006F76EB" w:rsidRPr="00834D52" w:rsidRDefault="006F76EB" w:rsidP="00B973B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2.2.</w:t>
      </w:r>
      <w:r w:rsidRPr="00834D52">
        <w:rPr>
          <w:rFonts w:ascii="Sylfaen" w:hAnsi="Sylfaen"/>
          <w:sz w:val="24"/>
          <w:szCs w:val="24"/>
        </w:rPr>
        <w:tab/>
        <w:t>ԸՏՓ-ի մեջ ներառելը:</w:t>
      </w:r>
    </w:p>
    <w:p w14:paraId="6C1A7295" w14:textId="77777777" w:rsidR="006F76EB" w:rsidRPr="00834D52" w:rsidRDefault="006F76EB" w:rsidP="00CA6C8F">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Պետք է ներկայացված լինի դեղապատրաստուկի դեղաբանական խմբի, ազդեցության մեխանիզմի </w:t>
      </w:r>
      <w:r w:rsidR="00C54D75">
        <w:rPr>
          <w:rFonts w:ascii="Sylfaen" w:hAnsi="Sylfaen"/>
          <w:sz w:val="24"/>
          <w:szCs w:val="24"/>
        </w:rPr>
        <w:t>և</w:t>
      </w:r>
      <w:r w:rsidRPr="00834D52">
        <w:rPr>
          <w:rFonts w:ascii="Sylfaen" w:hAnsi="Sylfaen"/>
          <w:sz w:val="24"/>
          <w:szCs w:val="24"/>
        </w:rPr>
        <w:t xml:space="preserve"> առաջարկված կլինիկական կիրառության մասին տեղեկատվությունը: </w:t>
      </w:r>
    </w:p>
    <w:p w14:paraId="4DAABC62" w14:textId="77777777" w:rsidR="006F76EB" w:rsidRPr="00834D52" w:rsidRDefault="006F76EB" w:rsidP="00D0637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2.3.</w:t>
      </w:r>
      <w:r w:rsidRPr="00834D52">
        <w:rPr>
          <w:rFonts w:ascii="Sylfaen" w:hAnsi="Sylfaen"/>
          <w:sz w:val="24"/>
          <w:szCs w:val="24"/>
        </w:rPr>
        <w:tab/>
        <w:t>Որակի ընդհանուր ռեզյումե:</w:t>
      </w:r>
    </w:p>
    <w:p w14:paraId="2A09D7FD" w14:textId="77777777" w:rsidR="006F76EB" w:rsidRPr="00834D52" w:rsidRDefault="006F76EB" w:rsidP="00D0637C">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ընդհանուր ռեզյումեի մեջ հարկ է ներկայացնել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տվյալների հետ կապված տեղեկատվության ուսումնասիրությունը:</w:t>
      </w:r>
    </w:p>
    <w:p w14:paraId="56AFDD53" w14:textId="65F41F74" w:rsidR="006F76EB" w:rsidRDefault="006F76EB" w:rsidP="00D0637C">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Անհրաժեշտ է հատկապես ուշադրություն դարձնել որակի ասպեկտների հետ կապված հիմնական կրիտիկական պարամետրերին </w:t>
      </w:r>
      <w:r w:rsidR="00C54D75">
        <w:rPr>
          <w:rFonts w:ascii="Sylfaen" w:hAnsi="Sylfaen"/>
          <w:sz w:val="24"/>
          <w:szCs w:val="24"/>
        </w:rPr>
        <w:t>և</w:t>
      </w:r>
      <w:r w:rsidRPr="00834D52">
        <w:rPr>
          <w:rFonts w:ascii="Sylfaen" w:hAnsi="Sylfaen"/>
          <w:sz w:val="24"/>
          <w:szCs w:val="24"/>
        </w:rPr>
        <w:t xml:space="preserve"> հարցերին, ինչպես նա</w:t>
      </w:r>
      <w:r w:rsidR="00C54D75">
        <w:rPr>
          <w:rFonts w:ascii="Sylfaen" w:hAnsi="Sylfaen"/>
          <w:sz w:val="24"/>
          <w:szCs w:val="24"/>
        </w:rPr>
        <w:t>և</w:t>
      </w:r>
      <w:r w:rsidRPr="00834D52">
        <w:rPr>
          <w:rFonts w:ascii="Sylfaen" w:hAnsi="Sylfaen"/>
          <w:sz w:val="24"/>
          <w:szCs w:val="24"/>
        </w:rPr>
        <w:t xml:space="preserve"> ներկայացնել հիմնավորում այն դեպքերում, երբ չեն պահպանվել համապատասխան պահանջներն </w:t>
      </w:r>
      <w:r w:rsidR="00897825" w:rsidRPr="00897825">
        <w:rPr>
          <w:rFonts w:ascii="Sylfaen" w:hAnsi="Sylfaen"/>
          <w:sz w:val="24"/>
          <w:szCs w:val="24"/>
        </w:rPr>
        <w:t>և ուղեցույցները</w:t>
      </w:r>
      <w:r w:rsidRPr="00834D52">
        <w:rPr>
          <w:rFonts w:ascii="Sylfaen" w:hAnsi="Sylfaen"/>
          <w:sz w:val="24"/>
          <w:szCs w:val="24"/>
        </w:rPr>
        <w:t xml:space="preserve">: Այս փաստաթուղթը պետք է ընդգրկի 3-րդ մոդուլում մանրամասն ներկայացված հարցերը </w:t>
      </w:r>
      <w:r w:rsidR="00C54D75">
        <w:rPr>
          <w:rFonts w:ascii="Sylfaen" w:hAnsi="Sylfaen"/>
          <w:sz w:val="24"/>
          <w:szCs w:val="24"/>
        </w:rPr>
        <w:t>և</w:t>
      </w:r>
      <w:r w:rsidRPr="00834D52">
        <w:rPr>
          <w:rFonts w:ascii="Sylfaen" w:hAnsi="Sylfaen"/>
          <w:sz w:val="24"/>
          <w:szCs w:val="24"/>
        </w:rPr>
        <w:t xml:space="preserve"> նկարագրի համապատասխան տվյալները:</w:t>
      </w:r>
    </w:p>
    <w:p w14:paraId="5C849D93" w14:textId="0A7E37E3" w:rsidR="00897825" w:rsidRPr="006F28F9" w:rsidRDefault="00897825" w:rsidP="00897825">
      <w:pPr>
        <w:rPr>
          <w:b/>
          <w:bCs/>
          <w:i/>
          <w:iCs/>
        </w:rPr>
      </w:pPr>
      <w:r w:rsidRPr="00CD4709">
        <w:rPr>
          <w:b/>
          <w:bCs/>
          <w:i/>
          <w:iCs/>
        </w:rPr>
        <w:t>(</w:t>
      </w:r>
      <w:r>
        <w:rPr>
          <w:b/>
          <w:bCs/>
          <w:i/>
          <w:iCs/>
        </w:rPr>
        <w:t>2.3</w:t>
      </w:r>
      <w:r w:rsidR="004B7783">
        <w:rPr>
          <w:b/>
          <w:bCs/>
          <w:i/>
          <w:iCs/>
        </w:rPr>
        <w:t xml:space="preserve"> </w:t>
      </w:r>
      <w:r>
        <w:rPr>
          <w:b/>
          <w:bCs/>
          <w:i/>
          <w:iCs/>
        </w:rPr>
        <w:t xml:space="preserve">կետը </w:t>
      </w:r>
      <w:r w:rsidRPr="00CD4709">
        <w:rPr>
          <w:b/>
          <w:bCs/>
          <w:i/>
          <w:iCs/>
        </w:rPr>
        <w:t>փոփ. 30.01.20 թիվ 9)</w:t>
      </w:r>
    </w:p>
    <w:p w14:paraId="61678C77" w14:textId="77777777" w:rsidR="00897825" w:rsidRPr="00834D52" w:rsidRDefault="00897825" w:rsidP="00D0637C">
      <w:pPr>
        <w:tabs>
          <w:tab w:val="left" w:pos="1418"/>
        </w:tabs>
        <w:spacing w:after="160" w:line="360" w:lineRule="auto"/>
        <w:ind w:right="-8" w:firstLine="567"/>
        <w:jc w:val="both"/>
        <w:rPr>
          <w:rFonts w:ascii="Sylfaen" w:eastAsia="Times New Roman" w:hAnsi="Sylfaen" w:cs="Times New Roman"/>
          <w:sz w:val="24"/>
          <w:szCs w:val="24"/>
        </w:rPr>
      </w:pPr>
    </w:p>
    <w:p w14:paraId="33CA9FE1" w14:textId="77777777" w:rsidR="006F76EB" w:rsidRPr="00834D52" w:rsidRDefault="006F76EB" w:rsidP="00D063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 xml:space="preserve">Կլինիկական տվյալների ուսումնասիրություն: </w:t>
      </w:r>
    </w:p>
    <w:p w14:paraId="7F6455B3" w14:textId="77777777" w:rsidR="006F76EB" w:rsidRPr="00834D52" w:rsidRDefault="006F76EB" w:rsidP="00CA6C8F">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կենդանիների վրա դեղապատրաստուկի </w:t>
      </w:r>
      <w:r w:rsidRPr="00834D52">
        <w:rPr>
          <w:rFonts w:ascii="Sylfaen" w:hAnsi="Sylfaen"/>
          <w:sz w:val="24"/>
          <w:szCs w:val="24"/>
        </w:rPr>
        <w:lastRenderedPageBreak/>
        <w:t xml:space="preserve">նախակլինիկական in vitro հետազոտությունների ընդհանրացված </w:t>
      </w:r>
      <w:r w:rsidR="00C54D75">
        <w:rPr>
          <w:rFonts w:ascii="Sylfaen" w:hAnsi="Sylfaen"/>
          <w:sz w:val="24"/>
          <w:szCs w:val="24"/>
        </w:rPr>
        <w:t>և</w:t>
      </w:r>
      <w:r w:rsidRPr="00834D52">
        <w:rPr>
          <w:rFonts w:ascii="Sylfaen" w:hAnsi="Sylfaen"/>
          <w:sz w:val="24"/>
          <w:szCs w:val="24"/>
        </w:rPr>
        <w:t xml:space="preserve"> կրիտիկական գնահատականը, ինչպես նա</w:t>
      </w:r>
      <w:r w:rsidR="00C54D75">
        <w:rPr>
          <w:rFonts w:ascii="Sylfaen" w:hAnsi="Sylfaen"/>
          <w:sz w:val="24"/>
          <w:szCs w:val="24"/>
        </w:rPr>
        <w:t>և</w:t>
      </w:r>
      <w:r w:rsidRPr="00834D52">
        <w:rPr>
          <w:rFonts w:ascii="Sylfaen" w:hAnsi="Sylfaen"/>
          <w:sz w:val="24"/>
          <w:szCs w:val="24"/>
        </w:rPr>
        <w:t xml:space="preserve"> համապատասխան պահանջներից շեղվելու անհրաժեշտության դեպքում հետազոտության ռազմավարության քննարկումն ու հիմնավորումը:</w:t>
      </w:r>
    </w:p>
    <w:p w14:paraId="4738A17F" w14:textId="77777777" w:rsidR="006F76EB" w:rsidRPr="00834D52" w:rsidRDefault="006F76EB" w:rsidP="00CA6C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ներառել դեղապատրաստուկի խառնուկների </w:t>
      </w:r>
      <w:r w:rsidR="00C54D75">
        <w:rPr>
          <w:rFonts w:ascii="Sylfaen" w:hAnsi="Sylfaen"/>
          <w:sz w:val="24"/>
          <w:szCs w:val="24"/>
        </w:rPr>
        <w:t>և</w:t>
      </w:r>
      <w:r w:rsidRPr="00834D52">
        <w:rPr>
          <w:rFonts w:ascii="Sylfaen" w:hAnsi="Sylfaen"/>
          <w:sz w:val="24"/>
          <w:szCs w:val="24"/>
        </w:rPr>
        <w:t xml:space="preserve"> քայքայման արգասիքների գնահատումը՝ դրանց հնարավոր դեղաբանական </w:t>
      </w:r>
      <w:r w:rsidR="00C54D75">
        <w:rPr>
          <w:rFonts w:ascii="Sylfaen" w:hAnsi="Sylfaen"/>
          <w:sz w:val="24"/>
          <w:szCs w:val="24"/>
        </w:rPr>
        <w:t>և</w:t>
      </w:r>
      <w:r w:rsidRPr="00834D52">
        <w:rPr>
          <w:rFonts w:ascii="Sylfaen" w:hAnsi="Sylfaen"/>
          <w:sz w:val="24"/>
          <w:szCs w:val="24"/>
        </w:rPr>
        <w:t xml:space="preserve"> թունաբանական էֆեկտների հետ մեկտեղ՝ բացառությամբ կենսաբանական ծագման դեղապատրաստուկների: Հարկ է հաշվի առնել նախակլինիկական հետազոտությունների </w:t>
      </w:r>
      <w:r w:rsidR="00C54D75">
        <w:rPr>
          <w:rFonts w:ascii="Sylfaen" w:hAnsi="Sylfaen"/>
          <w:sz w:val="24"/>
          <w:szCs w:val="24"/>
        </w:rPr>
        <w:t>և</w:t>
      </w:r>
      <w:r w:rsidRPr="00834D52">
        <w:rPr>
          <w:rFonts w:ascii="Sylfaen" w:hAnsi="Sylfaen"/>
          <w:sz w:val="24"/>
          <w:szCs w:val="24"/>
        </w:rPr>
        <w:t xml:space="preserve"> արտադրվելիք դեղապատրաստուկի մեջ օգտագործվող քիրալության, քիմիական 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միացությունների մաքրության ցանկացած տարբերություն:</w:t>
      </w:r>
    </w:p>
    <w:p w14:paraId="62986D83"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Բուսական, կենսաբանական ծագման դեղապատրաստուկների համար անհրաժեշտ է գնահատել նախակլինիկական հետազոտությունների, կլինիկական փորձարկումների մեջ օգտագործված նյութի </w:t>
      </w:r>
      <w:r w:rsidR="00C54D75">
        <w:rPr>
          <w:rFonts w:ascii="Sylfaen" w:hAnsi="Sylfaen"/>
          <w:sz w:val="24"/>
          <w:szCs w:val="24"/>
        </w:rPr>
        <w:t>և</w:t>
      </w:r>
      <w:r w:rsidRPr="00834D52">
        <w:rPr>
          <w:rFonts w:ascii="Sylfaen" w:hAnsi="Sylfaen"/>
          <w:sz w:val="24"/>
          <w:szCs w:val="24"/>
        </w:rPr>
        <w:t xml:space="preserve"> գրանցվելիք դեղապատրաստուկի համադրելիությունը:</w:t>
      </w:r>
    </w:p>
    <w:p w14:paraId="0CAE1568"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Ցանկացած նոր օժանդակ նյութ ենթակա է անվտանգության առանձին գնահատման:</w:t>
      </w:r>
    </w:p>
    <w:p w14:paraId="0D77EFF4"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սահմանել դեղապատրաստուկի՝ նախակլինիկական հետազոտությունների ժամանակ ապացուցված հատկությունները, ինչպես նա</w:t>
      </w:r>
      <w:r w:rsidR="00C54D75">
        <w:rPr>
          <w:rFonts w:ascii="Sylfaen" w:hAnsi="Sylfaen"/>
          <w:sz w:val="24"/>
          <w:szCs w:val="24"/>
        </w:rPr>
        <w:t>և</w:t>
      </w:r>
      <w:r w:rsidRPr="00834D52">
        <w:rPr>
          <w:rFonts w:ascii="Sylfaen" w:hAnsi="Sylfaen"/>
          <w:sz w:val="24"/>
          <w:szCs w:val="24"/>
        </w:rPr>
        <w:t xml:space="preserve"> ներկայացնել դեղապատրաստուկի անվտանգության արդյունքների նշանակությունը պլանավորվող կլինիկական կիրառության համար:</w:t>
      </w:r>
    </w:p>
    <w:p w14:paraId="4D3D2DD2" w14:textId="77777777" w:rsidR="006F76EB" w:rsidRPr="00834D52" w:rsidRDefault="006F76EB" w:rsidP="00D0637C">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t>Կլինիկական տվյալների ուսումնասիրություն:</w:t>
      </w:r>
    </w:p>
    <w:p w14:paraId="3F13A463" w14:textId="77777777" w:rsidR="006F76EB" w:rsidRPr="00834D52" w:rsidRDefault="006F76EB" w:rsidP="00D0637C">
      <w:pPr>
        <w:tabs>
          <w:tab w:val="left" w:pos="1418"/>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տվյալների ուսումնասիրությունը պետք է պարունակի ռեզյումեի </w:t>
      </w:r>
      <w:r w:rsidR="00C54D75">
        <w:rPr>
          <w:rFonts w:ascii="Sylfaen" w:hAnsi="Sylfaen"/>
          <w:sz w:val="24"/>
          <w:szCs w:val="24"/>
        </w:rPr>
        <w:t>և</w:t>
      </w:r>
      <w:r w:rsidRPr="00834D52">
        <w:rPr>
          <w:rFonts w:ascii="Sylfaen" w:hAnsi="Sylfaen"/>
          <w:sz w:val="24"/>
          <w:szCs w:val="24"/>
        </w:rPr>
        <w:t xml:space="preserve"> 5-րդ մոդուլի մեջ ներառված կլինիկական տվյալների կրիտիկական վերլուծությունը: Անհրաժեշտ է ներկայացնել դեղապատրաստուկի կլինիկական մշակման եղանակի մասին տեղեկություններ, ներառյալ՝ հետազոտության բովանդակային պլանը, հետազոտության առնչությամբ կայացված որոշումները, </w:t>
      </w:r>
      <w:r w:rsidRPr="00834D52">
        <w:rPr>
          <w:rFonts w:ascii="Sylfaen" w:hAnsi="Sylfaen"/>
          <w:sz w:val="24"/>
          <w:szCs w:val="24"/>
        </w:rPr>
        <w:lastRenderedPageBreak/>
        <w:t>ինչպես նա</w:t>
      </w:r>
      <w:r w:rsidR="00C54D75">
        <w:rPr>
          <w:rFonts w:ascii="Sylfaen" w:hAnsi="Sylfaen"/>
          <w:sz w:val="24"/>
          <w:szCs w:val="24"/>
        </w:rPr>
        <w:t>և</w:t>
      </w:r>
      <w:r w:rsidRPr="00834D52">
        <w:rPr>
          <w:rFonts w:ascii="Sylfaen" w:hAnsi="Sylfaen"/>
          <w:sz w:val="24"/>
          <w:szCs w:val="24"/>
        </w:rPr>
        <w:t xml:space="preserve"> հետազոտությունների անցկացման ընթացքը:</w:t>
      </w:r>
    </w:p>
    <w:p w14:paraId="6F962E4C" w14:textId="77777777" w:rsidR="006F76EB" w:rsidRPr="00834D52" w:rsidRDefault="006F76EB" w:rsidP="00D0637C">
      <w:pPr>
        <w:tabs>
          <w:tab w:val="left" w:pos="1418"/>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կլինիկական հետազոտությունների տվյալների համառոտ ուսումնասիրությունը, ներառյալ՝ կար</w:t>
      </w:r>
      <w:r w:rsidR="00C54D75">
        <w:rPr>
          <w:rFonts w:ascii="Sylfaen" w:hAnsi="Sylfaen"/>
          <w:sz w:val="24"/>
          <w:szCs w:val="24"/>
        </w:rPr>
        <w:t>և</w:t>
      </w:r>
      <w:r w:rsidRPr="00834D52">
        <w:rPr>
          <w:rFonts w:ascii="Sylfaen" w:hAnsi="Sylfaen"/>
          <w:sz w:val="24"/>
          <w:szCs w:val="24"/>
        </w:rPr>
        <w:t>որ սահմանափակող գործոնները, ինչպես նա</w:t>
      </w:r>
      <w:r w:rsidR="00C54D75">
        <w:rPr>
          <w:rFonts w:ascii="Sylfaen" w:hAnsi="Sylfaen"/>
          <w:sz w:val="24"/>
          <w:szCs w:val="24"/>
        </w:rPr>
        <w:t>և</w:t>
      </w:r>
      <w:r w:rsidRPr="00834D52">
        <w:rPr>
          <w:rFonts w:ascii="Sylfaen" w:hAnsi="Sylfaen"/>
          <w:sz w:val="24"/>
          <w:szCs w:val="24"/>
        </w:rPr>
        <w:t xml:space="preserve"> օգուտ-ռիսկ հարաբերակցության գնահատումը, որը հիմնվում է կլինիկական հետազոտությունների եզրահանգումների վրա, հիմնավորել առաջարկված դեղաչափը </w:t>
      </w:r>
      <w:r w:rsidR="00C54D75">
        <w:rPr>
          <w:rFonts w:ascii="Sylfaen" w:hAnsi="Sylfaen"/>
          <w:sz w:val="24"/>
          <w:szCs w:val="24"/>
        </w:rPr>
        <w:t>և</w:t>
      </w:r>
      <w:r w:rsidRPr="00834D52">
        <w:rPr>
          <w:rFonts w:ascii="Sylfaen" w:hAnsi="Sylfaen"/>
          <w:sz w:val="24"/>
          <w:szCs w:val="24"/>
        </w:rPr>
        <w:t xml:space="preserve"> կիրառման ցուցումները՝ ելնելով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ստացված կլինիկական տվյալներից, ինչպես նա</w:t>
      </w:r>
      <w:r w:rsidR="00C54D75">
        <w:rPr>
          <w:rFonts w:ascii="Sylfaen" w:hAnsi="Sylfaen"/>
          <w:sz w:val="24"/>
          <w:szCs w:val="24"/>
        </w:rPr>
        <w:t>և</w:t>
      </w:r>
      <w:r w:rsidRPr="00834D52">
        <w:rPr>
          <w:rFonts w:ascii="Sylfaen" w:hAnsi="Sylfaen"/>
          <w:sz w:val="24"/>
          <w:szCs w:val="24"/>
        </w:rPr>
        <w:t xml:space="preserve"> գնահատել, թե ինչպես կարելի է դեղապատրաստուկի ընդհանուր բնութագրի, բժշկական կիրառության հրահանգի </w:t>
      </w:r>
      <w:r w:rsidR="00C54D75">
        <w:rPr>
          <w:rFonts w:ascii="Sylfaen" w:hAnsi="Sylfaen"/>
          <w:sz w:val="24"/>
          <w:szCs w:val="24"/>
        </w:rPr>
        <w:t>և</w:t>
      </w:r>
      <w:r w:rsidRPr="00834D52">
        <w:rPr>
          <w:rFonts w:ascii="Sylfaen" w:hAnsi="Sylfaen"/>
          <w:sz w:val="24"/>
          <w:szCs w:val="24"/>
        </w:rPr>
        <w:t xml:space="preserve"> այլ մոտեցումների օգնությամբ օպտիմալացնել օգուտն ու սահմանափակել ռիսկերը:</w:t>
      </w:r>
    </w:p>
    <w:p w14:paraId="6F7B0C9F" w14:textId="77777777" w:rsidR="006F76EB" w:rsidRPr="00834D52" w:rsidRDefault="006F76EB" w:rsidP="00427651">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բացատրել արդյունավետությանն ու անվտանգությանը վերաբերող բոլոր հարցերը, որոնք առաջացել են մշակման գործընթացում, </w:t>
      </w:r>
      <w:r w:rsidR="00C54D75">
        <w:rPr>
          <w:rFonts w:ascii="Sylfaen" w:hAnsi="Sylfaen"/>
          <w:sz w:val="24"/>
          <w:szCs w:val="24"/>
        </w:rPr>
        <w:t>և</w:t>
      </w:r>
      <w:r w:rsidRPr="00834D52">
        <w:rPr>
          <w:rFonts w:ascii="Sylfaen" w:hAnsi="Sylfaen"/>
          <w:sz w:val="24"/>
          <w:szCs w:val="24"/>
        </w:rPr>
        <w:t xml:space="preserve"> որոնք բացատրություն չեն ստացել:</w:t>
      </w:r>
    </w:p>
    <w:p w14:paraId="5EA02912" w14:textId="60692950" w:rsidR="006F76EB" w:rsidRPr="00834D52" w:rsidRDefault="006F76EB" w:rsidP="00D063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w:t>
      </w:r>
      <w:r w:rsidRPr="00834D52">
        <w:rPr>
          <w:rFonts w:ascii="Sylfaen" w:hAnsi="Sylfaen"/>
          <w:sz w:val="24"/>
          <w:szCs w:val="24"/>
        </w:rPr>
        <w:tab/>
        <w:t>Նախակլինիկական հետազոտությունների</w:t>
      </w:r>
      <w:r w:rsidR="004B7783">
        <w:rPr>
          <w:rFonts w:ascii="Sylfaen" w:hAnsi="Sylfaen"/>
          <w:sz w:val="24"/>
          <w:szCs w:val="24"/>
        </w:rPr>
        <w:t>:</w:t>
      </w:r>
      <w:r w:rsidRPr="00834D52">
        <w:rPr>
          <w:rFonts w:ascii="Sylfaen" w:hAnsi="Sylfaen"/>
          <w:sz w:val="24"/>
          <w:szCs w:val="24"/>
        </w:rPr>
        <w:t xml:space="preserve"> </w:t>
      </w:r>
    </w:p>
    <w:p w14:paraId="0D068A12" w14:textId="20CF787E" w:rsidR="004B7783" w:rsidRPr="00332455" w:rsidRDefault="004B7783" w:rsidP="00332455">
      <w:pPr>
        <w:tabs>
          <w:tab w:val="left" w:pos="1418"/>
        </w:tabs>
        <w:spacing w:after="160" w:line="360" w:lineRule="auto"/>
        <w:ind w:right="-6" w:firstLine="567"/>
        <w:jc w:val="both"/>
        <w:rPr>
          <w:rFonts w:ascii="Sylfaen" w:hAnsi="Sylfaen"/>
          <w:sz w:val="24"/>
          <w:szCs w:val="24"/>
        </w:rPr>
      </w:pPr>
      <w:r>
        <w:rPr>
          <w:rFonts w:ascii="Sylfaen" w:hAnsi="Sylfaen"/>
          <w:sz w:val="24"/>
          <w:szCs w:val="24"/>
        </w:rPr>
        <w:t>Ն</w:t>
      </w:r>
      <w:r w:rsidRPr="004B7783">
        <w:rPr>
          <w:rFonts w:ascii="Sylfaen" w:hAnsi="Sylfaen"/>
          <w:sz w:val="24"/>
          <w:szCs w:val="24"/>
        </w:rPr>
        <w:t>ախակլինիկական հետազոտությունների</w:t>
      </w:r>
      <w:r w:rsidR="006F76EB" w:rsidRPr="00834D52">
        <w:rPr>
          <w:rFonts w:ascii="Sylfaen" w:hAnsi="Sylfaen"/>
          <w:sz w:val="24"/>
          <w:szCs w:val="24"/>
        </w:rPr>
        <w:t xml:space="preserve"> ռեզյումեն անհրաժեշտ է ներկայացնել կենդանիների վրա անցկացված դեղաբանական, </w:t>
      </w:r>
      <w:r w:rsidR="00355C33">
        <w:rPr>
          <w:rFonts w:ascii="Sylfaen" w:hAnsi="Sylfaen"/>
          <w:sz w:val="24"/>
          <w:szCs w:val="24"/>
        </w:rPr>
        <w:t>դեղա</w:t>
      </w:r>
      <w:r w:rsidR="006F76EB" w:rsidRPr="00834D52">
        <w:rPr>
          <w:rFonts w:ascii="Sylfaen" w:hAnsi="Sylfaen"/>
          <w:sz w:val="24"/>
          <w:szCs w:val="24"/>
        </w:rPr>
        <w:t xml:space="preserve">կինետիկ </w:t>
      </w:r>
      <w:r w:rsidR="00C54D75">
        <w:rPr>
          <w:rFonts w:ascii="Sylfaen" w:hAnsi="Sylfaen"/>
          <w:sz w:val="24"/>
          <w:szCs w:val="24"/>
        </w:rPr>
        <w:t>և</w:t>
      </w:r>
      <w:r w:rsidR="006F76EB" w:rsidRPr="00834D52">
        <w:rPr>
          <w:rFonts w:ascii="Sylfaen" w:hAnsi="Sylfaen"/>
          <w:sz w:val="24"/>
          <w:szCs w:val="24"/>
        </w:rPr>
        <w:t xml:space="preserve"> թունաբանական in vitro հետազոտությունների փաստացի արդյունքների հիման վրա, տեքստային ձ</w:t>
      </w:r>
      <w:r w:rsidR="00C54D75">
        <w:rPr>
          <w:rFonts w:ascii="Sylfaen" w:hAnsi="Sylfaen"/>
          <w:sz w:val="24"/>
          <w:szCs w:val="24"/>
        </w:rPr>
        <w:t>և</w:t>
      </w:r>
      <w:r w:rsidR="006F76EB" w:rsidRPr="00834D52">
        <w:rPr>
          <w:rFonts w:ascii="Sylfaen" w:hAnsi="Sylfaen"/>
          <w:sz w:val="24"/>
          <w:szCs w:val="24"/>
        </w:rPr>
        <w:t xml:space="preserve">աչափով </w:t>
      </w:r>
      <w:r w:rsidR="00C54D75">
        <w:rPr>
          <w:rFonts w:ascii="Sylfaen" w:hAnsi="Sylfaen"/>
          <w:sz w:val="24"/>
          <w:szCs w:val="24"/>
        </w:rPr>
        <w:t>և</w:t>
      </w:r>
      <w:r w:rsidR="006F76EB" w:rsidRPr="00834D52">
        <w:rPr>
          <w:rFonts w:ascii="Sylfaen" w:hAnsi="Sylfaen"/>
          <w:sz w:val="24"/>
          <w:szCs w:val="24"/>
        </w:rPr>
        <w:t xml:space="preserve"> աղյուսակների տեսքով՝ ստոր</w:t>
      </w:r>
      <w:r w:rsidR="00C54D75">
        <w:rPr>
          <w:rFonts w:ascii="Sylfaen" w:hAnsi="Sylfaen"/>
          <w:sz w:val="24"/>
          <w:szCs w:val="24"/>
        </w:rPr>
        <w:t>և</w:t>
      </w:r>
      <w:r w:rsidR="006F76EB" w:rsidRPr="00834D52">
        <w:rPr>
          <w:rFonts w:ascii="Sylfaen" w:hAnsi="Sylfaen"/>
          <w:sz w:val="24"/>
          <w:szCs w:val="24"/>
        </w:rPr>
        <w:t xml:space="preserve"> ներկայացված հաջորդականությամբ, ներածական մասով:</w:t>
      </w:r>
    </w:p>
    <w:p w14:paraId="600162BC" w14:textId="5CF35309"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2.6.1.</w:t>
      </w:r>
      <w:r w:rsidRPr="00834D52">
        <w:rPr>
          <w:rFonts w:ascii="Sylfaen" w:hAnsi="Sylfaen"/>
          <w:sz w:val="24"/>
          <w:szCs w:val="24"/>
        </w:rPr>
        <w:tab/>
        <w:t xml:space="preserve">Դեղաբանական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տեքստային ձ</w:t>
      </w:r>
      <w:r w:rsidR="00C54D75">
        <w:rPr>
          <w:rFonts w:ascii="Sylfaen" w:hAnsi="Sylfaen"/>
          <w:sz w:val="24"/>
          <w:szCs w:val="24"/>
        </w:rPr>
        <w:t>և</w:t>
      </w:r>
      <w:r w:rsidRPr="00834D52">
        <w:rPr>
          <w:rFonts w:ascii="Sylfaen" w:hAnsi="Sylfaen"/>
          <w:sz w:val="24"/>
          <w:szCs w:val="24"/>
        </w:rPr>
        <w:t>աչափով:</w:t>
      </w:r>
    </w:p>
    <w:p w14:paraId="3035BAA9" w14:textId="2395B106"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2.6.2.</w:t>
      </w:r>
      <w:r w:rsidRPr="00834D52">
        <w:rPr>
          <w:rFonts w:ascii="Sylfaen" w:hAnsi="Sylfaen"/>
          <w:sz w:val="24"/>
          <w:szCs w:val="24"/>
        </w:rPr>
        <w:tab/>
        <w:t xml:space="preserve">Դեղաբանական </w:t>
      </w:r>
      <w:r w:rsidR="00332455" w:rsidRPr="00332455">
        <w:rPr>
          <w:rFonts w:ascii="Sylfaen" w:hAnsi="Sylfaen"/>
          <w:sz w:val="24"/>
          <w:szCs w:val="24"/>
        </w:rPr>
        <w:t>հետազոտությունների</w:t>
      </w:r>
      <w:r w:rsidR="00332455">
        <w:rPr>
          <w:sz w:val="21"/>
          <w:szCs w:val="21"/>
        </w:rPr>
        <w:t xml:space="preserve"> </w:t>
      </w:r>
      <w:r w:rsidRPr="00834D52">
        <w:rPr>
          <w:rFonts w:ascii="Sylfaen" w:hAnsi="Sylfaen"/>
          <w:sz w:val="24"/>
          <w:szCs w:val="24"/>
        </w:rPr>
        <w:t>ռեզյումե՝ աղյուսակների տեսքով:</w:t>
      </w:r>
    </w:p>
    <w:p w14:paraId="1846C29C" w14:textId="449C37A1"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 xml:space="preserve">կինետիկ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տեքստային ձ</w:t>
      </w:r>
      <w:r w:rsidR="00C54D75">
        <w:rPr>
          <w:rFonts w:ascii="Sylfaen" w:hAnsi="Sylfaen"/>
          <w:sz w:val="24"/>
          <w:szCs w:val="24"/>
        </w:rPr>
        <w:t>և</w:t>
      </w:r>
      <w:r w:rsidRPr="00834D52">
        <w:rPr>
          <w:rFonts w:ascii="Sylfaen" w:hAnsi="Sylfaen"/>
          <w:sz w:val="24"/>
          <w:szCs w:val="24"/>
        </w:rPr>
        <w:t>աչափով:</w:t>
      </w:r>
    </w:p>
    <w:p w14:paraId="6DA48CA6" w14:textId="11F5F3D4"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2.6.4.</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w:t>
      </w:r>
      <w:r w:rsidRPr="00332455">
        <w:rPr>
          <w:rFonts w:ascii="Sylfaen" w:hAnsi="Sylfaen"/>
          <w:sz w:val="24"/>
          <w:szCs w:val="24"/>
        </w:rPr>
        <w:t xml:space="preserve"> </w:t>
      </w:r>
      <w:r w:rsidR="00332455" w:rsidRPr="00332455">
        <w:rPr>
          <w:rFonts w:ascii="Sylfaen" w:hAnsi="Sylfaen"/>
          <w:sz w:val="24"/>
          <w:szCs w:val="24"/>
        </w:rPr>
        <w:t>հետազոտությունների</w:t>
      </w:r>
      <w:r w:rsidR="00332455">
        <w:rPr>
          <w:sz w:val="21"/>
          <w:szCs w:val="21"/>
        </w:rPr>
        <w:t xml:space="preserve"> </w:t>
      </w:r>
      <w:r w:rsidRPr="00834D52">
        <w:rPr>
          <w:rFonts w:ascii="Sylfaen" w:hAnsi="Sylfaen"/>
          <w:sz w:val="24"/>
          <w:szCs w:val="24"/>
        </w:rPr>
        <w:t xml:space="preserve">ռեզյումե՝ աղյուսակների </w:t>
      </w:r>
      <w:r w:rsidRPr="00834D52">
        <w:rPr>
          <w:rFonts w:ascii="Sylfaen" w:hAnsi="Sylfaen"/>
          <w:sz w:val="24"/>
          <w:szCs w:val="24"/>
        </w:rPr>
        <w:lastRenderedPageBreak/>
        <w:t>տեսքով:</w:t>
      </w:r>
    </w:p>
    <w:p w14:paraId="5CB49C10" w14:textId="3756A49D"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2.6.5.</w:t>
      </w:r>
      <w:r w:rsidRPr="00834D52">
        <w:rPr>
          <w:rFonts w:ascii="Sylfaen" w:hAnsi="Sylfaen"/>
          <w:sz w:val="24"/>
          <w:szCs w:val="24"/>
        </w:rPr>
        <w:tab/>
        <w:t xml:space="preserve">Թունաբանական </w:t>
      </w:r>
      <w:r w:rsidR="00332455" w:rsidRPr="00332455">
        <w:rPr>
          <w:rFonts w:ascii="Sylfaen" w:hAnsi="Sylfaen"/>
          <w:sz w:val="24"/>
          <w:szCs w:val="24"/>
        </w:rPr>
        <w:t xml:space="preserve">հետազոտությունների </w:t>
      </w:r>
      <w:r w:rsidRPr="00834D52">
        <w:rPr>
          <w:rFonts w:ascii="Sylfaen" w:hAnsi="Sylfaen"/>
          <w:sz w:val="24"/>
          <w:szCs w:val="24"/>
        </w:rPr>
        <w:t>ռեզյումե՝ տեքստային ձ</w:t>
      </w:r>
      <w:r w:rsidR="00C54D75">
        <w:rPr>
          <w:rFonts w:ascii="Sylfaen" w:hAnsi="Sylfaen"/>
          <w:sz w:val="24"/>
          <w:szCs w:val="24"/>
        </w:rPr>
        <w:t>և</w:t>
      </w:r>
      <w:r w:rsidRPr="00834D52">
        <w:rPr>
          <w:rFonts w:ascii="Sylfaen" w:hAnsi="Sylfaen"/>
          <w:sz w:val="24"/>
          <w:szCs w:val="24"/>
        </w:rPr>
        <w:t>աչափով:</w:t>
      </w:r>
    </w:p>
    <w:p w14:paraId="17D3F10D" w14:textId="524E3424" w:rsidR="006F76EB" w:rsidRDefault="006F76EB" w:rsidP="00D0637C">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2.6.6.</w:t>
      </w:r>
      <w:r w:rsidRPr="00834D52">
        <w:rPr>
          <w:rFonts w:ascii="Sylfaen" w:hAnsi="Sylfaen"/>
          <w:sz w:val="24"/>
          <w:szCs w:val="24"/>
        </w:rPr>
        <w:tab/>
        <w:t xml:space="preserve">Թունաբանական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աղյուսակների տեսքով:</w:t>
      </w:r>
    </w:p>
    <w:p w14:paraId="50AC6210" w14:textId="77777777" w:rsidR="00332455" w:rsidRPr="006841ED" w:rsidRDefault="00332455" w:rsidP="00332455">
      <w:pPr>
        <w:rPr>
          <w:b/>
          <w:bCs/>
          <w:i/>
          <w:iCs/>
        </w:rPr>
      </w:pPr>
      <w:r w:rsidRPr="00CD4709">
        <w:rPr>
          <w:b/>
          <w:bCs/>
          <w:i/>
          <w:iCs/>
        </w:rPr>
        <w:t>(</w:t>
      </w:r>
      <w:r>
        <w:rPr>
          <w:b/>
          <w:bCs/>
          <w:i/>
          <w:iCs/>
        </w:rPr>
        <w:t xml:space="preserve">2.6. կետը </w:t>
      </w:r>
      <w:r w:rsidRPr="00CD4709">
        <w:rPr>
          <w:b/>
          <w:bCs/>
          <w:i/>
          <w:iCs/>
        </w:rPr>
        <w:t>փոփ. 30.01.20 թիվ 9)</w:t>
      </w:r>
    </w:p>
    <w:p w14:paraId="1D333607" w14:textId="77777777" w:rsidR="00332455" w:rsidRPr="00834D52" w:rsidRDefault="00332455" w:rsidP="00D0637C">
      <w:pPr>
        <w:tabs>
          <w:tab w:val="left" w:pos="1701"/>
        </w:tabs>
        <w:spacing w:after="160" w:line="360" w:lineRule="auto"/>
        <w:ind w:right="-6" w:firstLine="567"/>
        <w:jc w:val="both"/>
        <w:rPr>
          <w:rFonts w:ascii="Sylfaen" w:eastAsia="Times New Roman" w:hAnsi="Sylfaen" w:cs="Times New Roman"/>
          <w:sz w:val="24"/>
          <w:szCs w:val="24"/>
        </w:rPr>
      </w:pPr>
    </w:p>
    <w:p w14:paraId="38D32E07" w14:textId="5604065D"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w:t>
      </w:r>
      <w:r w:rsidRPr="00834D52">
        <w:rPr>
          <w:rFonts w:ascii="Sylfaen" w:hAnsi="Sylfaen"/>
          <w:sz w:val="24"/>
          <w:szCs w:val="24"/>
        </w:rPr>
        <w:tab/>
        <w:t xml:space="preserve">Կլինիկական </w:t>
      </w:r>
      <w:r w:rsidR="006841ED" w:rsidRPr="006841ED">
        <w:rPr>
          <w:rFonts w:ascii="Sylfaen" w:hAnsi="Sylfaen"/>
          <w:sz w:val="24"/>
          <w:szCs w:val="24"/>
        </w:rPr>
        <w:t>հետազոտությունների</w:t>
      </w:r>
      <w:r w:rsidRPr="00834D52">
        <w:rPr>
          <w:rFonts w:ascii="Sylfaen" w:hAnsi="Sylfaen"/>
          <w:sz w:val="24"/>
          <w:szCs w:val="24"/>
        </w:rPr>
        <w:t xml:space="preserve"> ռեզյումե:</w:t>
      </w:r>
    </w:p>
    <w:p w14:paraId="1899A620" w14:textId="77777777" w:rsidR="006F76EB" w:rsidRPr="00834D52" w:rsidRDefault="006F76EB" w:rsidP="00427651">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5-րդ մոդուլում ընդգրկված դեղապատրաստուկի ուսումնասիրման վերաբերյալ կլինիկական տեղեկատվության մանրամասն ռեզյումե՝ ներկայացնելով փաստացի տվյալներ: Ռեզյումեն պետք է ներառի բոլոր կենսադեղագործական հետազոտությունների, կլինիկական դեղաբանության հետազոտությունների, ինչպես նա</w:t>
      </w:r>
      <w:r w:rsidR="00C54D75">
        <w:rPr>
          <w:rFonts w:ascii="Sylfaen" w:hAnsi="Sylfaen"/>
          <w:sz w:val="24"/>
          <w:szCs w:val="24"/>
        </w:rPr>
        <w:t>և</w:t>
      </w:r>
      <w:r w:rsidRPr="00834D52">
        <w:rPr>
          <w:rFonts w:ascii="Sylfaen" w:hAnsi="Sylfaen"/>
          <w:sz w:val="24"/>
          <w:szCs w:val="24"/>
        </w:rPr>
        <w:t xml:space="preserve"> կլինիկական 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հետազոտությունների արդյունքները: Անհրաժեշտ է ներկայացնել անհատական հետազոտությունների համառոտ ուսումնասիրությունը: Ռեզյումեի տեսքով կլինիկական տեղեկատվությունը պետք</w:t>
      </w:r>
      <w:r w:rsidR="00427651" w:rsidRPr="00F7333A">
        <w:rPr>
          <w:rFonts w:ascii="Sylfaen" w:hAnsi="Sylfaen"/>
          <w:sz w:val="24"/>
          <w:szCs w:val="24"/>
        </w:rPr>
        <w:t> </w:t>
      </w:r>
      <w:r w:rsidRPr="00834D52">
        <w:rPr>
          <w:rFonts w:ascii="Sylfaen" w:hAnsi="Sylfaen"/>
          <w:sz w:val="24"/>
          <w:szCs w:val="24"/>
        </w:rPr>
        <w:t>է ներկայացվի մասերի որոշակի հաջորդականությամբ (օգտագործված գիտական աղբյուրների ցանկով):</w:t>
      </w:r>
    </w:p>
    <w:p w14:paraId="5986DC76"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2.7.1.</w:t>
      </w:r>
      <w:r w:rsidRPr="00834D52">
        <w:rPr>
          <w:rFonts w:ascii="Sylfaen" w:hAnsi="Sylfaen"/>
          <w:sz w:val="24"/>
          <w:szCs w:val="24"/>
        </w:rPr>
        <w:tab/>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դրանց հետ կապված վերլուծական մեթոդների ռեզյումե:</w:t>
      </w:r>
    </w:p>
    <w:p w14:paraId="25C4759B"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2.7.2.</w:t>
      </w:r>
      <w:r w:rsidRPr="00834D52">
        <w:rPr>
          <w:rFonts w:ascii="Sylfaen" w:hAnsi="Sylfaen"/>
          <w:sz w:val="24"/>
          <w:szCs w:val="24"/>
        </w:rPr>
        <w:tab/>
        <w:t>Կլինիկական դեղաբանության հետազոտությունների ռեզյումե:</w:t>
      </w:r>
    </w:p>
    <w:p w14:paraId="7CE093DF"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2.7.3.</w:t>
      </w:r>
      <w:r w:rsidRPr="00834D52">
        <w:rPr>
          <w:rFonts w:ascii="Sylfaen" w:hAnsi="Sylfaen"/>
          <w:sz w:val="24"/>
          <w:szCs w:val="24"/>
        </w:rPr>
        <w:tab/>
        <w:t>Կլինիկական արդյունավետության ռեզյումե:</w:t>
      </w:r>
    </w:p>
    <w:p w14:paraId="4E95C6AD"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2.7.4.</w:t>
      </w:r>
      <w:r w:rsidRPr="00834D52">
        <w:rPr>
          <w:rFonts w:ascii="Sylfaen" w:hAnsi="Sylfaen"/>
          <w:sz w:val="24"/>
          <w:szCs w:val="24"/>
        </w:rPr>
        <w:tab/>
        <w:t>Կլինիկական անվտանգության ռեզյումե:</w:t>
      </w:r>
    </w:p>
    <w:p w14:paraId="62F3ADA4"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2.7.5.</w:t>
      </w:r>
      <w:r w:rsidRPr="00834D52">
        <w:rPr>
          <w:rFonts w:ascii="Sylfaen" w:hAnsi="Sylfaen"/>
          <w:sz w:val="24"/>
          <w:szCs w:val="24"/>
        </w:rPr>
        <w:tab/>
        <w:t>Օգտագործված գրական աղբյուրների պատճեն:</w:t>
      </w:r>
    </w:p>
    <w:p w14:paraId="395961C4" w14:textId="105CEB17" w:rsidR="006F76EB" w:rsidRDefault="006F76EB" w:rsidP="00D0637C">
      <w:pPr>
        <w:tabs>
          <w:tab w:val="left" w:pos="1701"/>
        </w:tabs>
        <w:spacing w:after="160" w:line="360" w:lineRule="auto"/>
        <w:ind w:right="-8" w:firstLine="567"/>
        <w:jc w:val="both"/>
        <w:rPr>
          <w:rFonts w:ascii="Sylfaen" w:hAnsi="Sylfaen"/>
          <w:spacing w:val="-6"/>
          <w:sz w:val="24"/>
          <w:szCs w:val="24"/>
        </w:rPr>
      </w:pPr>
      <w:r w:rsidRPr="00834D52">
        <w:rPr>
          <w:rFonts w:ascii="Sylfaen" w:hAnsi="Sylfaen"/>
          <w:sz w:val="24"/>
          <w:szCs w:val="24"/>
        </w:rPr>
        <w:t>2.</w:t>
      </w:r>
      <w:r w:rsidRPr="00623D29">
        <w:rPr>
          <w:rFonts w:ascii="Sylfaen" w:hAnsi="Sylfaen"/>
          <w:spacing w:val="-6"/>
          <w:sz w:val="24"/>
          <w:szCs w:val="24"/>
        </w:rPr>
        <w:t>7.6.</w:t>
      </w:r>
      <w:r w:rsidRPr="00623D29">
        <w:rPr>
          <w:rFonts w:ascii="Sylfaen" w:hAnsi="Sylfaen"/>
          <w:spacing w:val="-6"/>
          <w:sz w:val="24"/>
          <w:szCs w:val="24"/>
        </w:rPr>
        <w:tab/>
        <w:t>Անհատական հետազոտությունների համառոտ ուսումնասիրություն:</w:t>
      </w:r>
    </w:p>
    <w:p w14:paraId="57B39DA2" w14:textId="50D27FE4" w:rsidR="006841ED" w:rsidRPr="006841ED" w:rsidRDefault="006841ED" w:rsidP="00D0637C">
      <w:pPr>
        <w:tabs>
          <w:tab w:val="left" w:pos="1701"/>
        </w:tabs>
        <w:spacing w:after="160" w:line="360" w:lineRule="auto"/>
        <w:ind w:right="-8" w:firstLine="567"/>
        <w:jc w:val="both"/>
        <w:rPr>
          <w:rFonts w:ascii="Sylfaen" w:hAnsi="Sylfaen"/>
          <w:b/>
          <w:bCs/>
          <w:i/>
          <w:iCs/>
          <w:spacing w:val="-6"/>
          <w:sz w:val="24"/>
          <w:szCs w:val="24"/>
        </w:rPr>
      </w:pPr>
      <w:r w:rsidRPr="006841ED">
        <w:rPr>
          <w:rFonts w:ascii="Sylfaen" w:hAnsi="Sylfaen"/>
          <w:b/>
          <w:bCs/>
          <w:i/>
          <w:iCs/>
          <w:spacing w:val="-6"/>
          <w:sz w:val="24"/>
          <w:szCs w:val="24"/>
        </w:rPr>
        <w:t>(2.</w:t>
      </w:r>
      <w:r>
        <w:rPr>
          <w:rFonts w:ascii="Sylfaen" w:hAnsi="Sylfaen"/>
          <w:b/>
          <w:bCs/>
          <w:i/>
          <w:iCs/>
          <w:spacing w:val="-6"/>
          <w:sz w:val="24"/>
          <w:szCs w:val="24"/>
        </w:rPr>
        <w:t>7</w:t>
      </w:r>
      <w:r w:rsidRPr="006841ED">
        <w:rPr>
          <w:rFonts w:ascii="Sylfaen" w:hAnsi="Sylfaen"/>
          <w:b/>
          <w:bCs/>
          <w:i/>
          <w:iCs/>
          <w:spacing w:val="-6"/>
          <w:sz w:val="24"/>
          <w:szCs w:val="24"/>
        </w:rPr>
        <w:t>. կետը փոփ. 30.01.20 թիվ 9)</w:t>
      </w:r>
    </w:p>
    <w:p w14:paraId="6007ADAB" w14:textId="01BEE568" w:rsidR="00897825" w:rsidRPr="006841ED" w:rsidRDefault="006841ED" w:rsidP="00897825">
      <w:pPr>
        <w:rPr>
          <w:rFonts w:ascii="Sylfaen" w:hAnsi="Sylfaen"/>
          <w:b/>
          <w:bCs/>
          <w:i/>
          <w:iCs/>
          <w:sz w:val="24"/>
          <w:szCs w:val="24"/>
        </w:rPr>
      </w:pPr>
      <w:r w:rsidRPr="006841ED">
        <w:rPr>
          <w:rFonts w:ascii="Sylfaen" w:hAnsi="Sylfaen"/>
          <w:b/>
          <w:bCs/>
          <w:i/>
          <w:iCs/>
          <w:sz w:val="24"/>
          <w:szCs w:val="24"/>
        </w:rPr>
        <w:lastRenderedPageBreak/>
        <w:t xml:space="preserve">           </w:t>
      </w:r>
      <w:r w:rsidR="00897825" w:rsidRPr="006841ED">
        <w:rPr>
          <w:rFonts w:ascii="Sylfaen" w:hAnsi="Sylfaen"/>
          <w:b/>
          <w:bCs/>
          <w:i/>
          <w:iCs/>
          <w:sz w:val="24"/>
          <w:szCs w:val="24"/>
        </w:rPr>
        <w:t>(1-ին բաժինը փոփ. 30.01.20 թիվ 9)</w:t>
      </w:r>
    </w:p>
    <w:p w14:paraId="17C79E11" w14:textId="77777777" w:rsidR="00897825" w:rsidRPr="00623D29" w:rsidRDefault="00897825" w:rsidP="00D0637C">
      <w:pPr>
        <w:tabs>
          <w:tab w:val="left" w:pos="1701"/>
        </w:tabs>
        <w:spacing w:after="160" w:line="360" w:lineRule="auto"/>
        <w:ind w:right="-8" w:firstLine="567"/>
        <w:jc w:val="both"/>
        <w:rPr>
          <w:rFonts w:ascii="Sylfaen" w:eastAsia="Times New Roman" w:hAnsi="Sylfaen" w:cs="Times New Roman"/>
          <w:spacing w:val="-6"/>
          <w:sz w:val="24"/>
          <w:szCs w:val="24"/>
        </w:rPr>
      </w:pPr>
    </w:p>
    <w:p w14:paraId="35087957" w14:textId="77777777" w:rsidR="006F76EB" w:rsidRPr="00834D52" w:rsidRDefault="006F76EB" w:rsidP="006F76EB">
      <w:pPr>
        <w:tabs>
          <w:tab w:val="left" w:pos="1276"/>
        </w:tabs>
        <w:spacing w:after="160" w:line="336" w:lineRule="auto"/>
        <w:ind w:right="-8" w:firstLine="567"/>
        <w:rPr>
          <w:rFonts w:ascii="Sylfaen" w:hAnsi="Sylfaen"/>
          <w:sz w:val="24"/>
          <w:szCs w:val="24"/>
        </w:rPr>
      </w:pPr>
    </w:p>
    <w:p w14:paraId="2123CFFB" w14:textId="77777777" w:rsidR="006F76EB" w:rsidRPr="00834D52" w:rsidRDefault="006F76EB" w:rsidP="00623D29">
      <w:pPr>
        <w:spacing w:after="160" w:line="384" w:lineRule="auto"/>
        <w:ind w:left="567" w:right="567"/>
        <w:jc w:val="center"/>
        <w:rPr>
          <w:rFonts w:ascii="Sylfaen" w:eastAsia="Times New Roman" w:hAnsi="Sylfaen" w:cs="Times New Roman"/>
          <w:sz w:val="24"/>
          <w:szCs w:val="24"/>
        </w:rPr>
      </w:pPr>
      <w:r w:rsidRPr="00834D52">
        <w:rPr>
          <w:rFonts w:ascii="Sylfaen" w:hAnsi="Sylfaen"/>
          <w:sz w:val="24"/>
          <w:szCs w:val="24"/>
        </w:rPr>
        <w:t>3. Գրանցման դոսյեի՝ 3-րդ մոդուլում բերված փաստաթղթերի նկատմամբ պահանջները՝ որակ</w:t>
      </w:r>
    </w:p>
    <w:p w14:paraId="75EE8DB2"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3-րդ մոդուլի բովանդակություն: </w:t>
      </w:r>
    </w:p>
    <w:p w14:paraId="5BBEEABC"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 xml:space="preserve">Ներկայացնելու համար անհրաժեշտ հիմնական տեղեկությունները ներառում են՝ </w:t>
      </w:r>
    </w:p>
    <w:p w14:paraId="46401EEA"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ակտիվ դեղագործական բաղադրամասերի </w:t>
      </w:r>
      <w:r w:rsidR="00C54D75">
        <w:rPr>
          <w:rFonts w:ascii="Sylfaen" w:hAnsi="Sylfaen"/>
          <w:sz w:val="24"/>
          <w:szCs w:val="24"/>
        </w:rPr>
        <w:t>և</w:t>
      </w:r>
      <w:r w:rsidRPr="00834D52">
        <w:rPr>
          <w:rFonts w:ascii="Sylfaen" w:hAnsi="Sylfaen"/>
          <w:sz w:val="24"/>
          <w:szCs w:val="24"/>
        </w:rPr>
        <w:t xml:space="preserve"> դեղապատրաստուկի մասին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տվյալներ, որոնք ներառում են տեղեկատվություն՝ մշակման, արտադրական գործընթացի, բնութագրերի </w:t>
      </w:r>
      <w:r w:rsidR="00C54D75">
        <w:rPr>
          <w:rFonts w:ascii="Sylfaen" w:hAnsi="Sylfaen"/>
          <w:sz w:val="24"/>
          <w:szCs w:val="24"/>
        </w:rPr>
        <w:t>և</w:t>
      </w:r>
      <w:r w:rsidRPr="00834D52">
        <w:rPr>
          <w:rFonts w:ascii="Sylfaen" w:hAnsi="Sylfaen"/>
          <w:sz w:val="24"/>
          <w:szCs w:val="24"/>
        </w:rPr>
        <w:t xml:space="preserve"> հատկությունների, որակի հսկողության, կայունության մասով մեթոդիկաների </w:t>
      </w:r>
      <w:r w:rsidR="00C54D75">
        <w:rPr>
          <w:rFonts w:ascii="Sylfaen" w:hAnsi="Sylfaen"/>
          <w:sz w:val="24"/>
          <w:szCs w:val="24"/>
        </w:rPr>
        <w:t>և</w:t>
      </w:r>
      <w:r w:rsidRPr="00834D52">
        <w:rPr>
          <w:rFonts w:ascii="Sylfaen" w:hAnsi="Sylfaen"/>
          <w:sz w:val="24"/>
          <w:szCs w:val="24"/>
        </w:rPr>
        <w:t xml:space="preserve"> պահանջների մասին, ինչպես նա</w:t>
      </w:r>
      <w:r w:rsidR="00C54D75">
        <w:rPr>
          <w:rFonts w:ascii="Sylfaen" w:hAnsi="Sylfaen"/>
          <w:sz w:val="24"/>
          <w:szCs w:val="24"/>
        </w:rPr>
        <w:t>և</w:t>
      </w:r>
      <w:r w:rsidRPr="00834D52">
        <w:rPr>
          <w:rFonts w:ascii="Sylfaen" w:hAnsi="Sylfaen"/>
          <w:sz w:val="24"/>
          <w:szCs w:val="24"/>
        </w:rPr>
        <w:t xml:space="preserve"> դեղապատրաստուկի բաղադրության </w:t>
      </w:r>
      <w:r w:rsidR="00C54D75">
        <w:rPr>
          <w:rFonts w:ascii="Sylfaen" w:hAnsi="Sylfaen"/>
          <w:sz w:val="24"/>
          <w:szCs w:val="24"/>
        </w:rPr>
        <w:t>և</w:t>
      </w:r>
      <w:r w:rsidRPr="00834D52">
        <w:rPr>
          <w:rFonts w:ascii="Sylfaen" w:hAnsi="Sylfaen"/>
          <w:sz w:val="24"/>
          <w:szCs w:val="24"/>
        </w:rPr>
        <w:t xml:space="preserve"> փաթեթվածքի նկարագրությունը, </w:t>
      </w:r>
    </w:p>
    <w:p w14:paraId="24EED113"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մասին հիմնական տեղեկատվություն, </w:t>
      </w:r>
    </w:p>
    <w:p w14:paraId="78D7861D"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բաղադրության մեջ մտնող օժանդակ նյութերի արտադրության ժամանակ օգտագործվող ելանյութերի </w:t>
      </w:r>
      <w:r w:rsidR="00C54D75">
        <w:rPr>
          <w:rFonts w:ascii="Sylfaen" w:hAnsi="Sylfaen"/>
          <w:sz w:val="24"/>
          <w:szCs w:val="24"/>
        </w:rPr>
        <w:t>և</w:t>
      </w:r>
      <w:r w:rsidRPr="00834D52">
        <w:rPr>
          <w:rFonts w:ascii="Sylfaen" w:hAnsi="Sylfaen"/>
          <w:sz w:val="24"/>
          <w:szCs w:val="24"/>
        </w:rPr>
        <w:t xml:space="preserve"> հումքի մասին մանրամասն տեղեկատվություն, </w:t>
      </w:r>
    </w:p>
    <w:p w14:paraId="7F40F9EC" w14:textId="77777777" w:rsidR="006F76EB" w:rsidRPr="00834D52" w:rsidRDefault="006F76EB" w:rsidP="00623D29">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արտադրության </w:t>
      </w:r>
      <w:r w:rsidR="00C54D75">
        <w:rPr>
          <w:rFonts w:ascii="Sylfaen" w:hAnsi="Sylfaen"/>
          <w:sz w:val="24"/>
          <w:szCs w:val="24"/>
        </w:rPr>
        <w:t>և</w:t>
      </w:r>
      <w:r w:rsidRPr="00834D52">
        <w:rPr>
          <w:rFonts w:ascii="Sylfaen" w:hAnsi="Sylfaen"/>
          <w:sz w:val="24"/>
          <w:szCs w:val="24"/>
        </w:rPr>
        <w:t xml:space="preserve"> որակի հսկողության ժամանակ օգտագործվող փորձարկման հստակ </w:t>
      </w:r>
      <w:r w:rsidR="00C54D75">
        <w:rPr>
          <w:rFonts w:ascii="Sylfaen" w:hAnsi="Sylfaen"/>
          <w:sz w:val="24"/>
          <w:szCs w:val="24"/>
        </w:rPr>
        <w:t>և</w:t>
      </w:r>
      <w:r w:rsidRPr="00834D52">
        <w:rPr>
          <w:rFonts w:ascii="Sylfaen" w:hAnsi="Sylfaen"/>
          <w:sz w:val="24"/>
          <w:szCs w:val="24"/>
        </w:rPr>
        <w:t xml:space="preserve"> մանրամասն շարադրված բոլոր մեթոդիկաներն ու մեթոդները, որպեսզի հնարավոր լինի վերարտադրել դրանք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պահանջով ստուգիչ փորձարկումներ անցկացնելիս: Փորձարկման բոլոր մեթոդիկաները պետք է համապատասխանեն ժամանակակից գիտական մակարդակին </w:t>
      </w:r>
      <w:r w:rsidR="00C54D75">
        <w:rPr>
          <w:rFonts w:ascii="Sylfaen" w:hAnsi="Sylfaen"/>
          <w:sz w:val="24"/>
          <w:szCs w:val="24"/>
        </w:rPr>
        <w:t>և</w:t>
      </w:r>
      <w:r w:rsidRPr="00834D52">
        <w:rPr>
          <w:rFonts w:ascii="Sylfaen" w:hAnsi="Sylfaen"/>
          <w:sz w:val="24"/>
          <w:szCs w:val="24"/>
        </w:rPr>
        <w:t xml:space="preserve"> լինեն վալիդացված: Հարկ է ներկայացնել մեթոդիկաների </w:t>
      </w:r>
      <w:r w:rsidRPr="00834D52">
        <w:rPr>
          <w:rFonts w:ascii="Sylfaen" w:hAnsi="Sylfaen"/>
          <w:sz w:val="24"/>
          <w:szCs w:val="24"/>
        </w:rPr>
        <w:lastRenderedPageBreak/>
        <w:t xml:space="preserve">վալիդացման արդյունքները: Եվրասիական տնտեսական միության անդամ պետությունների դեղագրքերի ներդաշնակեցման հայեցակարգին (այսուհետ՝ Հայեցակարգ)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ներառված փորձարկումների մեթոդների օգտագործման ժամանակ բերվում է համապատասխան հղում մենագրություններին </w:t>
      </w:r>
      <w:r w:rsidR="00C54D75">
        <w:rPr>
          <w:rFonts w:ascii="Sylfaen" w:hAnsi="Sylfaen"/>
          <w:sz w:val="24"/>
          <w:szCs w:val="24"/>
        </w:rPr>
        <w:t>և</w:t>
      </w:r>
      <w:r w:rsidRPr="00834D52">
        <w:rPr>
          <w:rFonts w:ascii="Sylfaen" w:hAnsi="Sylfaen"/>
          <w:sz w:val="24"/>
          <w:szCs w:val="24"/>
        </w:rPr>
        <w:t xml:space="preserve"> ընդհանուր բաժիններին, </w:t>
      </w:r>
    </w:p>
    <w:p w14:paraId="7AC0C872"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մենագրություններում նշված բոլոր դեղագործական բաղադրամասերի համար անհրաժեշտ է ներկայացնել թվարկված դեղագրքերին արված հղումներ: </w:t>
      </w:r>
    </w:p>
    <w:p w14:paraId="50D6A50A" w14:textId="77777777" w:rsidR="006F76EB" w:rsidRPr="00834D52" w:rsidRDefault="006F76EB" w:rsidP="00F7333A">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Մինչդեռ եթե,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նշված դեղագործական բաղադրամասը ստանում են այնպիսի եղանակով, որի ժամանակ կարող են առաջանալ վերոնշյալ դեղագրքերի մենագրություններով չվերահսկվող խառնուկներ, ապա անհրաժեշտ է նշել այդ խառնուկները </w:t>
      </w:r>
      <w:r w:rsidR="00C54D75">
        <w:rPr>
          <w:rFonts w:ascii="Sylfaen" w:hAnsi="Sylfaen"/>
          <w:sz w:val="24"/>
          <w:szCs w:val="24"/>
        </w:rPr>
        <w:t>և</w:t>
      </w:r>
      <w:r w:rsidRPr="00834D52">
        <w:rPr>
          <w:rFonts w:ascii="Sylfaen" w:hAnsi="Sylfaen"/>
          <w:sz w:val="24"/>
          <w:szCs w:val="24"/>
        </w:rPr>
        <w:t xml:space="preserve"> նրանց թույլատրելի պարունակությունը, ինչպես նա</w:t>
      </w:r>
      <w:r w:rsidR="00C54D75">
        <w:rPr>
          <w:rFonts w:ascii="Sylfaen" w:hAnsi="Sylfaen"/>
          <w:sz w:val="24"/>
          <w:szCs w:val="24"/>
        </w:rPr>
        <w:t>և</w:t>
      </w:r>
      <w:r w:rsidRPr="00834D52">
        <w:rPr>
          <w:rFonts w:ascii="Sylfaen" w:hAnsi="Sylfaen"/>
          <w:sz w:val="24"/>
          <w:szCs w:val="24"/>
        </w:rPr>
        <w:t xml:space="preserve"> ներկայացնել դրանք սահմանելու մեթոդիկան: Այն դեպքում, երբ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մենագրության մեջ ներառված մասնագիրը բավարար չէ բաղադրամասի որակի ապահովման համար, արտադրողից կամ գրանցման հավաստագրի իրավատիրոջից կարող է պահանջվել առավել մանրամասն մասնագիր:</w:t>
      </w:r>
    </w:p>
    <w:p w14:paraId="55865290" w14:textId="77777777" w:rsidR="006F76EB" w:rsidRPr="00834D52" w:rsidRDefault="006F76EB" w:rsidP="00F7333A">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վերլուծության մեթոդներն ու մեթոդիկաները ներառված են Եվրասիական տնտեսական միության դեղագրքի մեջ, ապա դրանք ամբողջությամբ շարադրելու անհրաժեշտություն չկա, </w:t>
      </w:r>
      <w:r w:rsidR="00C54D75">
        <w:rPr>
          <w:rFonts w:ascii="Sylfaen" w:hAnsi="Sylfaen"/>
          <w:sz w:val="24"/>
          <w:szCs w:val="24"/>
        </w:rPr>
        <w:t>և</w:t>
      </w:r>
      <w:r w:rsidRPr="00834D52">
        <w:rPr>
          <w:rFonts w:ascii="Sylfaen" w:hAnsi="Sylfaen"/>
          <w:sz w:val="24"/>
          <w:szCs w:val="24"/>
        </w:rPr>
        <w:t xml:space="preserve"> բավական է բերել համապատասխան հղում մենագրություններին </w:t>
      </w:r>
      <w:r w:rsidR="00C54D75">
        <w:rPr>
          <w:rFonts w:ascii="Sylfaen" w:hAnsi="Sylfaen"/>
          <w:sz w:val="24"/>
          <w:szCs w:val="24"/>
        </w:rPr>
        <w:t>և</w:t>
      </w:r>
      <w:r w:rsidRPr="00834D52">
        <w:rPr>
          <w:rFonts w:ascii="Sylfaen" w:hAnsi="Sylfaen"/>
          <w:sz w:val="24"/>
          <w:szCs w:val="24"/>
        </w:rPr>
        <w:t xml:space="preserve"> ընդհանուր բաժիններին, </w:t>
      </w:r>
    </w:p>
    <w:p w14:paraId="1D1A47AA" w14:textId="0EB2E761"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եթե ելանյութերն ու հումքը, ակտիվ դեղագործական բաղադրամասերը կամ օժանդակ նյութերը նկարագրված չեն Հայեցակարգին համապատասխան </w:t>
      </w:r>
      <w:r w:rsidRPr="00834D52">
        <w:rPr>
          <w:rFonts w:ascii="Sylfaen" w:hAnsi="Sylfaen"/>
          <w:sz w:val="24"/>
          <w:szCs w:val="24"/>
        </w:rPr>
        <w:lastRenderedPageBreak/>
        <w:t xml:space="preserve">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ապա կարող է կիրառվել այլ պետության դեղագրքի մենագրությանը արված հղումը: Նման դեպքերում </w:t>
      </w:r>
      <w:r w:rsidR="0056496B">
        <w:rPr>
          <w:rFonts w:ascii="Sylfaen" w:hAnsi="Sylfaen"/>
          <w:sz w:val="24"/>
          <w:szCs w:val="24"/>
        </w:rPr>
        <w:t>դիմումատու</w:t>
      </w:r>
      <w:r w:rsidRPr="00834D52">
        <w:rPr>
          <w:rFonts w:ascii="Sylfaen" w:hAnsi="Sylfaen"/>
          <w:sz w:val="24"/>
          <w:szCs w:val="24"/>
        </w:rPr>
        <w:t>ն պետք է ներկայացնի մենագրության պատճենը մենագրության մեջ նկարագրված վերլուծական մեթոդիկաների վալիդացման հետ մեկտեղ, ինչպես նա</w:t>
      </w:r>
      <w:r w:rsidR="00C54D75">
        <w:rPr>
          <w:rFonts w:ascii="Sylfaen" w:hAnsi="Sylfaen"/>
          <w:sz w:val="24"/>
          <w:szCs w:val="24"/>
        </w:rPr>
        <w:t>և</w:t>
      </w:r>
      <w:r w:rsidRPr="00834D52">
        <w:rPr>
          <w:rFonts w:ascii="Sylfaen" w:hAnsi="Sylfaen"/>
          <w:sz w:val="24"/>
          <w:szCs w:val="24"/>
        </w:rPr>
        <w:t xml:space="preserve"> թարգմանությունը (անհրաժեշտության դեպքում), </w:t>
      </w:r>
    </w:p>
    <w:p w14:paraId="143C0713" w14:textId="7436E039" w:rsidR="006F76EB" w:rsidRPr="00834D52" w:rsidRDefault="00AB3E9B" w:rsidP="00623D29">
      <w:pPr>
        <w:tabs>
          <w:tab w:val="left" w:pos="1134"/>
        </w:tabs>
        <w:spacing w:after="160" w:line="336" w:lineRule="auto"/>
        <w:ind w:right="-6" w:firstLine="567"/>
        <w:jc w:val="both"/>
        <w:rPr>
          <w:rFonts w:ascii="Sylfaen" w:eastAsia="Times New Roman" w:hAnsi="Sylfaen" w:cs="Times New Roman"/>
          <w:sz w:val="24"/>
          <w:szCs w:val="24"/>
        </w:rPr>
      </w:pPr>
      <w:r w:rsidRPr="00AB3E9B">
        <w:rPr>
          <w:rFonts w:ascii="Sylfaen" w:hAnsi="Sylfaen"/>
          <w:sz w:val="24"/>
          <w:szCs w:val="24"/>
        </w:rPr>
        <w:t>թ) եթե ակտիվ դեղագործական բաղադրամասը և (կամ) օժանդակ նյութը և ելանյութը նկարագրված են Եվրոպական դեղագրքի մենագրությունում, ապա հայտատուն կարող է ներկայացնել Եվրոպական դեղագրքի մենագրության համապատասխանության սերտիֆիկատը տվյալ մոդուլի համապատասխան կետում: Ճանաչված է, որ Եվրոպական դեղագրքի մենագրության համապատասխանության սերտիֆիկատները փոխարինում են տվյալ մոդուլում նշված՝ համապատասխան բաժինների էական տվյալներին: Եթե ակտիվ դեղագործական բաղադրամասն ունի գործող գրանցման հավաստագիր կամ ներառված է համապատասխան պետական ռեեստրում՝ անդամ պետության օրենսդրության պահանջներին համապատասխան, ապա հայտատուն իրավունք ունի փոխարինելու տվյալ մոդուլում նշված համապատասխան բաժիններում էական տվյալները գրանցման դոսյեն գրանցելիս և (կամ) Միության պահանջներին այն համապատասխանեցնելիս՝ բացառապես տվյալ անդամ պետության տարածքում շրջանառության համար: Ակտիվ դեղագործական բաղադրամաս արտադրողը պետք է գրավոր հաստատի հայտատուին, որ արտադրական գործընթացը չի փոփոխվել Եվրոպական դեղագրքի մենագրության համապատասխանության սերտիֆիկատի տրման կամ անդամ պետության համապատասխան ռեեստրում ներառման օրվանից</w:t>
      </w:r>
      <w:r w:rsidR="006F76EB" w:rsidRPr="00834D52">
        <w:rPr>
          <w:rFonts w:ascii="Sylfaen" w:hAnsi="Sylfaen"/>
          <w:sz w:val="24"/>
          <w:szCs w:val="24"/>
        </w:rPr>
        <w:t xml:space="preserve">, </w:t>
      </w:r>
    </w:p>
    <w:p w14:paraId="5DE80DDC" w14:textId="369BCBCE"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ը)</w:t>
      </w:r>
      <w:r w:rsidRPr="00834D52">
        <w:rPr>
          <w:rFonts w:ascii="Sylfaen" w:hAnsi="Sylfaen"/>
          <w:sz w:val="24"/>
          <w:szCs w:val="24"/>
        </w:rPr>
        <w:tab/>
        <w:t xml:space="preserve">լավ ուսումնասիրված (3-ից ոչ պակաս անդամ պետություններում դեղապատրաստուկի ազդող նյութերի՝ բացառությամբ կենսաբանական նյութերի, առաջին համակարգված </w:t>
      </w:r>
      <w:r w:rsidR="00C54D75">
        <w:rPr>
          <w:rFonts w:ascii="Sylfaen" w:hAnsi="Sylfaen"/>
          <w:sz w:val="24"/>
          <w:szCs w:val="24"/>
        </w:rPr>
        <w:t>և</w:t>
      </w:r>
      <w:r w:rsidRPr="00834D52">
        <w:rPr>
          <w:rFonts w:ascii="Sylfaen" w:hAnsi="Sylfaen"/>
          <w:sz w:val="24"/>
          <w:szCs w:val="24"/>
        </w:rPr>
        <w:t xml:space="preserve"> փաստաթղթավորված կիրառության օրվանից 10</w:t>
      </w:r>
      <w:r w:rsidR="00E633A0" w:rsidRPr="000E3C03">
        <w:rPr>
          <w:rFonts w:ascii="Sylfaen" w:hAnsi="Sylfaen"/>
          <w:sz w:val="24"/>
          <w:szCs w:val="24"/>
        </w:rPr>
        <w:t> </w:t>
      </w:r>
      <w:r w:rsidRPr="00834D52">
        <w:rPr>
          <w:rFonts w:ascii="Sylfaen" w:hAnsi="Sylfaen"/>
          <w:sz w:val="24"/>
          <w:szCs w:val="24"/>
        </w:rPr>
        <w:t xml:space="preserve">տարուց ոչ պակաս) ակտիվ դեղագործական բաղադրամասերի համար ակտիվ դեղագործական բաղադրամասի արտադրողը կամ դեղապատրաստուկի գրանցման </w:t>
      </w:r>
      <w:r w:rsidR="0056496B">
        <w:rPr>
          <w:rFonts w:ascii="Sylfaen" w:hAnsi="Sylfaen"/>
          <w:sz w:val="24"/>
          <w:szCs w:val="24"/>
        </w:rPr>
        <w:t>դիմումատու</w:t>
      </w:r>
      <w:r w:rsidRPr="00834D52">
        <w:rPr>
          <w:rFonts w:ascii="Sylfaen" w:hAnsi="Sylfaen"/>
          <w:sz w:val="24"/>
          <w:szCs w:val="24"/>
        </w:rPr>
        <w:t xml:space="preserve">ն իրավունք ունի կազմելու առանձին փաստաթուղթ, որը </w:t>
      </w:r>
      <w:r w:rsidRPr="00834D52">
        <w:rPr>
          <w:rFonts w:ascii="Sylfaen" w:hAnsi="Sylfaen"/>
          <w:sz w:val="24"/>
          <w:szCs w:val="24"/>
        </w:rPr>
        <w:lastRenderedPageBreak/>
        <w:t>ներառում է հետ</w:t>
      </w:r>
      <w:r w:rsidR="00C54D75">
        <w:rPr>
          <w:rFonts w:ascii="Sylfaen" w:hAnsi="Sylfaen"/>
          <w:sz w:val="24"/>
          <w:szCs w:val="24"/>
        </w:rPr>
        <w:t>և</w:t>
      </w:r>
      <w:r w:rsidRPr="00834D52">
        <w:rPr>
          <w:rFonts w:ascii="Sylfaen" w:hAnsi="Sylfaen"/>
          <w:sz w:val="24"/>
          <w:szCs w:val="24"/>
        </w:rPr>
        <w:t xml:space="preserve">յալ տեղեկությունները (ակտիվ դեղագործական բաղադրամասի դոսյեն կամ մաստեր-ֆայլը)՝ </w:t>
      </w:r>
    </w:p>
    <w:p w14:paraId="2A68A656" w14:textId="77777777" w:rsidR="006F76EB" w:rsidRPr="00834D52" w:rsidRDefault="006F76EB" w:rsidP="00B34586">
      <w:pPr>
        <w:tabs>
          <w:tab w:val="left" w:pos="1418"/>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գործընթացի մանրամասն նկարագրություն, </w:t>
      </w:r>
    </w:p>
    <w:p w14:paraId="0BC1FCEC" w14:textId="77777777" w:rsidR="006F76EB" w:rsidRPr="00834D52" w:rsidRDefault="006F76EB" w:rsidP="00B34586">
      <w:pPr>
        <w:tabs>
          <w:tab w:val="left" w:pos="1418"/>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հսկողություն արտադրության գործընթացում, </w:t>
      </w:r>
    </w:p>
    <w:p w14:paraId="2C10AEBF"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արտադրության գործընթացի վալիդացման մասին հաշվետվություն:</w:t>
      </w:r>
    </w:p>
    <w:p w14:paraId="170C9408" w14:textId="77777777" w:rsidR="006F76EB" w:rsidRPr="00834D52" w:rsidRDefault="006F76EB" w:rsidP="00B3458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Ակտիվ դեղագործական բաղադրամասի արտադրողն իրավունք ունի անդամ պետության լիազորված մարմին ուղարկելու ակտիվ դեղագործական բաղադրամասի մաստեր-ֆայլը:</w:t>
      </w:r>
    </w:p>
    <w:p w14:paraId="5897A4B0" w14:textId="7D537FF2" w:rsidR="006F76EB" w:rsidRPr="00834D52" w:rsidRDefault="006F76EB" w:rsidP="00B3458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բաղադրամասի մաստեր-ֆայլի օգտագործման ժամանակ դեղապատրաստուկի գրանցման դոսյեի կազմում այդ ակտիվ դեղագործական բաղադրամասի արտադրողը պետք է համապատասխան դեղապատրաստուկի </w:t>
      </w:r>
      <w:r w:rsidR="0056496B">
        <w:rPr>
          <w:rFonts w:ascii="Sylfaen" w:hAnsi="Sylfaen"/>
          <w:sz w:val="24"/>
          <w:szCs w:val="24"/>
        </w:rPr>
        <w:t>դիմումատու</w:t>
      </w:r>
      <w:r w:rsidRPr="00834D52">
        <w:rPr>
          <w:rFonts w:ascii="Sylfaen" w:hAnsi="Sylfaen"/>
          <w:sz w:val="24"/>
          <w:szCs w:val="24"/>
        </w:rPr>
        <w:t xml:space="preserve">ին (գրանցման հավաստագրի իրավատիրոջը) ներկայացնի բոլոր անհրաժեշտ տվյալները՝ սույն Կանոններով նախատեսված պատասխանատվությունը կրելու համար: Ակտիվ դեղագործական բաղադրամասի արտադրողը պետք է </w:t>
      </w:r>
      <w:r w:rsidR="0056496B">
        <w:rPr>
          <w:rFonts w:ascii="Sylfaen" w:hAnsi="Sylfaen"/>
          <w:sz w:val="24"/>
          <w:szCs w:val="24"/>
        </w:rPr>
        <w:t>դիմումատու</w:t>
      </w:r>
      <w:r w:rsidRPr="00834D52">
        <w:rPr>
          <w:rFonts w:ascii="Sylfaen" w:hAnsi="Sylfaen"/>
          <w:sz w:val="24"/>
          <w:szCs w:val="24"/>
        </w:rPr>
        <w:t>ին (գրանցման հավաստագրի իրավատիրոջը) ներկայացնի գրավոր հավաստում, որով երաշխավորվում է սերիաների որակի հաստատունությունը, ինչպես նա</w:t>
      </w:r>
      <w:r w:rsidR="00C54D75">
        <w:rPr>
          <w:rFonts w:ascii="Sylfaen" w:hAnsi="Sylfaen"/>
          <w:sz w:val="24"/>
          <w:szCs w:val="24"/>
        </w:rPr>
        <w:t>և</w:t>
      </w:r>
      <w:r w:rsidRPr="00834D52">
        <w:rPr>
          <w:rFonts w:ascii="Sylfaen" w:hAnsi="Sylfaen"/>
          <w:sz w:val="24"/>
          <w:szCs w:val="24"/>
        </w:rPr>
        <w:t xml:space="preserve"> այն, որ առանց </w:t>
      </w:r>
      <w:r w:rsidR="0056496B">
        <w:rPr>
          <w:rFonts w:ascii="Sylfaen" w:hAnsi="Sylfaen"/>
          <w:sz w:val="24"/>
          <w:szCs w:val="24"/>
        </w:rPr>
        <w:t>դիմումատու</w:t>
      </w:r>
      <w:r w:rsidRPr="00834D52">
        <w:rPr>
          <w:rFonts w:ascii="Sylfaen" w:hAnsi="Sylfaen"/>
          <w:sz w:val="24"/>
          <w:szCs w:val="24"/>
        </w:rPr>
        <w:t>ին (գրանցման հավաստագրի իրավատիրոջը) տեղեկացնելու՝ այդ ակտիվ դեղագործական բաղադրամասի արտադրական գործընթացի կամ մասնագրերի մեջ փոփոխություններ չեն կատարվելու: Այդպիսի փոփոխություն կատարելու համար անհրաժեշտ փաստաթղթերն ու տվյալները անհրաժեշտ է փոխանցել լիազորված մարմին, այդ փաստաթղթերն ու տվյալները ներկայացվում են նա</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ակտիվ դեղագործական բաղադրամասի մաստեր-ֆայլի բաց մասին վերաբերող բաժիններով:</w:t>
      </w:r>
    </w:p>
    <w:p w14:paraId="4C95CD1A" w14:textId="25F9F2F8" w:rsidR="006F76EB" w:rsidRPr="00834D52" w:rsidRDefault="006F76EB" w:rsidP="00B3458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ամբողջական տեղեկություններ չունի այն ակտիվ դեղագործական բաղադրամասի մաստեր-ֆայլի փակ մասի վերաբերյալ, որից այն պատրաստվում է, հաշվի առնելով դրանց գաղտնիությունը՝ տվյալ ակտիվ դեղագործական բաղադրամասի արտադրողի կողմից </w:t>
      </w:r>
      <w:r w:rsidR="0056496B">
        <w:rPr>
          <w:rFonts w:ascii="Sylfaen" w:hAnsi="Sylfaen"/>
          <w:sz w:val="24"/>
          <w:szCs w:val="24"/>
        </w:rPr>
        <w:t>դիմում</w:t>
      </w:r>
      <w:r w:rsidRPr="00834D52">
        <w:rPr>
          <w:rFonts w:ascii="Sylfaen" w:hAnsi="Sylfaen"/>
          <w:sz w:val="24"/>
          <w:szCs w:val="24"/>
        </w:rPr>
        <w:t xml:space="preserve">ին կցվում է գրավոր </w:t>
      </w:r>
      <w:r w:rsidRPr="00834D52">
        <w:rPr>
          <w:rFonts w:ascii="Sylfaen" w:hAnsi="Sylfaen"/>
          <w:sz w:val="24"/>
          <w:szCs w:val="24"/>
        </w:rPr>
        <w:lastRenderedPageBreak/>
        <w:t xml:space="preserve">թույլտվություն՝ պայմանով, որ դրա մասին տեղեկությունները ներառված են միասնական ռեեստրի մեջ: Նշված թույլտվությունը պետք է դեղապատրաստուկի փորձաքննություն անցկացնելիս լիազորված մարմնին իրավունք տա օգտագործելու նշված ակտիվ դեղագործական բաղադրամասի մաստեր-ֆայլի փակ մասի ավելի վաղ ներկայացված տեղեկատվությունը, </w:t>
      </w:r>
    </w:p>
    <w:p w14:paraId="29EA3E21" w14:textId="534EE52B" w:rsidR="006F76EB" w:rsidRPr="00834D52" w:rsidRDefault="006F76EB" w:rsidP="00623D29">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թ)</w:t>
      </w:r>
      <w:r w:rsidRPr="00834D52">
        <w:rPr>
          <w:rFonts w:ascii="Sylfaen" w:hAnsi="Sylfaen"/>
          <w:sz w:val="24"/>
          <w:szCs w:val="24"/>
        </w:rPr>
        <w:tab/>
        <w:t xml:space="preserve">անհրաժեշտ է նկարագրել կենդանիների սպունգանման էնցեֆալոպաթիայի (որոճող կենդանիներից ստացված հումքից) փոխանցումը կանխելու հատուկ միջոցները. արտադրական գործընթացի յուրաքանչյուր փուլում </w:t>
      </w:r>
      <w:r w:rsidR="0056496B">
        <w:rPr>
          <w:rFonts w:ascii="Sylfaen" w:hAnsi="Sylfaen"/>
          <w:sz w:val="24"/>
          <w:szCs w:val="24"/>
        </w:rPr>
        <w:t>դիմումատու</w:t>
      </w:r>
      <w:r w:rsidRPr="00834D52">
        <w:rPr>
          <w:rFonts w:ascii="Sylfaen" w:hAnsi="Sylfaen"/>
          <w:sz w:val="24"/>
          <w:szCs w:val="24"/>
        </w:rPr>
        <w:t xml:space="preserve">ն պետք է հավաստի օգտագործված նյութերի համապատասխանությունը կենդանիների սպունգանման էնցեֆալոպաթիայի հարուցիչների փոխանցման ռիսկի նվազեցման ձեռնարկի պահանջներին՝ համաձայն Եվրասիական տնտեսական միության դեղագրքի, կամ ներկայացնի Եվրոպական դեղագրքի կոնկրետ մենագրությանը համապատասխանության սերտիֆիկատ կամ գիտական տվյալներ՝ այդ համապատասխանությունը հիմնավորելու համար, </w:t>
      </w:r>
    </w:p>
    <w:p w14:paraId="1A5E501B" w14:textId="77777777" w:rsidR="006F76EB" w:rsidRPr="00834D52" w:rsidRDefault="006F76EB" w:rsidP="00623D29">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ժ)</w:t>
      </w:r>
      <w:r w:rsidRPr="00834D52">
        <w:rPr>
          <w:rFonts w:ascii="Sylfaen" w:hAnsi="Sylfaen"/>
          <w:sz w:val="24"/>
          <w:szCs w:val="24"/>
        </w:rPr>
        <w:tab/>
        <w:t>հարկ է ներկայացնել տեղեկատվություն՝ կողմնակի ագենտներով (վիրուսային կամ ոչ վիրուսային բնույթի) հնարավոր կոնտամինացիայի ռիսկի գնահատման մասին՝ հատուկ ձեռնարկներում, ինչպես նա</w:t>
      </w:r>
      <w:r w:rsidR="00C54D75">
        <w:rPr>
          <w:rFonts w:ascii="Sylfaen" w:hAnsi="Sylfaen"/>
          <w:sz w:val="24"/>
          <w:szCs w:val="24"/>
        </w:rPr>
        <w:t>և</w:t>
      </w:r>
      <w:r w:rsidRPr="00834D52">
        <w:rPr>
          <w:rFonts w:ascii="Sylfaen" w:hAnsi="Sylfaen"/>
          <w:sz w:val="24"/>
          <w:szCs w:val="24"/>
        </w:rPr>
        <w:t xml:space="preserve"> ընդհանուր հոդվածներում (մենագրություններում) </w:t>
      </w:r>
      <w:r w:rsidR="00C54D75">
        <w:rPr>
          <w:rFonts w:ascii="Sylfaen" w:hAnsi="Sylfaen"/>
          <w:sz w:val="24"/>
          <w:szCs w:val="24"/>
        </w:rPr>
        <w:t>և</w:t>
      </w:r>
      <w:r w:rsidRPr="00834D52">
        <w:rPr>
          <w:rFonts w:ascii="Sylfaen" w:hAnsi="Sylfaen"/>
          <w:sz w:val="24"/>
          <w:szCs w:val="24"/>
        </w:rPr>
        <w:t xml:space="preserve">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ընդհանուր բաժիններում շարադրված պահանջների համաձայն, </w:t>
      </w:r>
    </w:p>
    <w:p w14:paraId="2F33E6AA" w14:textId="77777777" w:rsidR="006F76EB" w:rsidRPr="00834D52" w:rsidRDefault="006F76EB" w:rsidP="00623D29">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ժա)</w:t>
      </w:r>
      <w:r w:rsidRPr="00834D52">
        <w:rPr>
          <w:rFonts w:ascii="Sylfaen" w:hAnsi="Sylfaen"/>
          <w:sz w:val="24"/>
          <w:szCs w:val="24"/>
        </w:rPr>
        <w:tab/>
        <w:t xml:space="preserve">անհրաժեշտ է մանրամասն նկարագրել դեղապատրաստուկի արտադրական գործընթացի </w:t>
      </w:r>
      <w:r w:rsidR="00C54D75">
        <w:rPr>
          <w:rFonts w:ascii="Sylfaen" w:hAnsi="Sylfaen"/>
          <w:sz w:val="24"/>
          <w:szCs w:val="24"/>
        </w:rPr>
        <w:t>և</w:t>
      </w:r>
      <w:r w:rsidRPr="00834D52">
        <w:rPr>
          <w:rFonts w:ascii="Sylfaen" w:hAnsi="Sylfaen"/>
          <w:sz w:val="24"/>
          <w:szCs w:val="24"/>
        </w:rPr>
        <w:t xml:space="preserve"> հսկողության ցանկացած փուլում կիրառվող հատուկ սարքերն ու սարքավորումները, </w:t>
      </w:r>
    </w:p>
    <w:p w14:paraId="7524CCD7" w14:textId="7844E73C" w:rsidR="006F76EB" w:rsidRDefault="006F76EB" w:rsidP="00623D29">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ժբ)</w:t>
      </w:r>
      <w:r w:rsidRPr="00834D52">
        <w:rPr>
          <w:rFonts w:ascii="Sylfaen" w:hAnsi="Sylfaen"/>
          <w:sz w:val="24"/>
          <w:szCs w:val="24"/>
        </w:rPr>
        <w:tab/>
        <w:t>անհրաժեշտության դեպքում հարկ է ներկայացնել Հանձնաժողովի կողմից հաստատված կանոններին համապատասխան բժշկական արտադրատեսակի գրանցումը հավաստող փաստաթղթեր:</w:t>
      </w:r>
    </w:p>
    <w:p w14:paraId="64D1A722" w14:textId="0D52574C" w:rsidR="00AB3E9B" w:rsidRPr="00371618" w:rsidRDefault="00AB3E9B" w:rsidP="00AB3E9B">
      <w:pPr>
        <w:rPr>
          <w:b/>
          <w:bCs/>
          <w:i/>
          <w:iCs/>
        </w:rPr>
      </w:pPr>
      <w:r w:rsidRPr="00371618">
        <w:rPr>
          <w:b/>
          <w:bCs/>
          <w:i/>
          <w:iCs/>
        </w:rPr>
        <w:t xml:space="preserve">( </w:t>
      </w:r>
      <w:r w:rsidR="00ED2665">
        <w:rPr>
          <w:b/>
          <w:bCs/>
          <w:i/>
          <w:iCs/>
        </w:rPr>
        <w:t>3.2</w:t>
      </w:r>
      <w:r w:rsidRPr="00371618">
        <w:rPr>
          <w:b/>
          <w:bCs/>
          <w:i/>
          <w:iCs/>
        </w:rPr>
        <w:t xml:space="preserve"> կետը</w:t>
      </w:r>
      <w:r w:rsidR="00ED2665">
        <w:rPr>
          <w:b/>
          <w:bCs/>
          <w:i/>
          <w:iCs/>
        </w:rPr>
        <w:t xml:space="preserve"> խմբ.</w:t>
      </w:r>
      <w:r w:rsidRPr="00371618">
        <w:rPr>
          <w:b/>
          <w:bCs/>
          <w:i/>
          <w:iCs/>
        </w:rPr>
        <w:t xml:space="preserve"> 17.03.22 թիվ 36 )</w:t>
      </w:r>
    </w:p>
    <w:p w14:paraId="0667E4CF" w14:textId="77777777" w:rsidR="00AB3E9B" w:rsidRPr="00834D52" w:rsidRDefault="00AB3E9B" w:rsidP="00623D29">
      <w:pPr>
        <w:tabs>
          <w:tab w:val="left" w:pos="1134"/>
        </w:tabs>
        <w:spacing w:after="160" w:line="348" w:lineRule="auto"/>
        <w:ind w:right="-8" w:firstLine="567"/>
        <w:jc w:val="both"/>
        <w:rPr>
          <w:rFonts w:ascii="Sylfaen" w:eastAsia="Times New Roman" w:hAnsi="Sylfaen" w:cs="Times New Roman"/>
          <w:sz w:val="24"/>
          <w:szCs w:val="24"/>
        </w:rPr>
      </w:pPr>
    </w:p>
    <w:p w14:paraId="1FD34014" w14:textId="77777777" w:rsidR="006F76EB" w:rsidRPr="00834D52" w:rsidRDefault="006F76EB" w:rsidP="00623D2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w:t>
      </w:r>
      <w:r w:rsidRPr="00834D52">
        <w:rPr>
          <w:rFonts w:ascii="Sylfaen" w:hAnsi="Sylfaen"/>
          <w:sz w:val="24"/>
          <w:szCs w:val="24"/>
        </w:rPr>
        <w:tab/>
        <w:t>Ակտիվ դեղագործական բաղադրամաս:</w:t>
      </w:r>
    </w:p>
    <w:p w14:paraId="064E0F5E" w14:textId="77777777" w:rsidR="006F76EB" w:rsidRPr="00834D52" w:rsidRDefault="006F76EB" w:rsidP="00623D2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3.2.S.1.</w:t>
      </w:r>
      <w:r w:rsidRPr="00834D52">
        <w:rPr>
          <w:rFonts w:ascii="Sylfaen" w:hAnsi="Sylfaen"/>
          <w:sz w:val="24"/>
          <w:szCs w:val="24"/>
        </w:rPr>
        <w:tab/>
        <w:t xml:space="preserve">Ընդհանուր տեղեկատվություն՝ ելանյութերի </w:t>
      </w:r>
      <w:r w:rsidR="00C54D75">
        <w:rPr>
          <w:rFonts w:ascii="Sylfaen" w:hAnsi="Sylfaen"/>
          <w:sz w:val="24"/>
          <w:szCs w:val="24"/>
        </w:rPr>
        <w:t>և</w:t>
      </w:r>
      <w:r w:rsidRPr="00834D52">
        <w:rPr>
          <w:rFonts w:ascii="Sylfaen" w:hAnsi="Sylfaen"/>
          <w:sz w:val="24"/>
          <w:szCs w:val="24"/>
        </w:rPr>
        <w:t xml:space="preserve"> հումքի մասին՝ </w:t>
      </w:r>
    </w:p>
    <w:p w14:paraId="7BB0434A" w14:textId="77777777" w:rsidR="006F76EB" w:rsidRPr="00834D52" w:rsidRDefault="006F76EB" w:rsidP="00623D2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ներկայացվում է ակտիվ դեղագործական բաղադրամասի անվանումը, ներառյալ՝ առաջարկվող միջազգային չարտոնագրված անվանումը (ՄՉԱ), առկայության դեպքում՝ դեղագրքային անվանումը՝ համաձայն Եվրասիական տնտեսական միության դեղագրքի, </w:t>
      </w:r>
      <w:r w:rsidR="00C54D75">
        <w:rPr>
          <w:rFonts w:ascii="Sylfaen" w:hAnsi="Sylfaen"/>
          <w:sz w:val="24"/>
          <w:szCs w:val="24"/>
        </w:rPr>
        <w:t>և</w:t>
      </w:r>
      <w:r w:rsidRPr="00834D52">
        <w:rPr>
          <w:rFonts w:ascii="Sylfaen" w:hAnsi="Sylfaen"/>
          <w:sz w:val="24"/>
          <w:szCs w:val="24"/>
        </w:rPr>
        <w:t xml:space="preserve"> քիմիական անվանումը՝ IUPAC-ի անվանացանկին համապատասխան:</w:t>
      </w:r>
    </w:p>
    <w:p w14:paraId="34126C4A"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Ներկայացվում են կառուցվածքային բանաձ</w:t>
      </w:r>
      <w:r w:rsidR="00C54D75">
        <w:rPr>
          <w:rFonts w:ascii="Sylfaen" w:hAnsi="Sylfaen"/>
          <w:sz w:val="24"/>
          <w:szCs w:val="24"/>
        </w:rPr>
        <w:t>և</w:t>
      </w:r>
      <w:r w:rsidRPr="00834D52">
        <w:rPr>
          <w:rFonts w:ascii="Sylfaen" w:hAnsi="Sylfaen"/>
          <w:sz w:val="24"/>
          <w:szCs w:val="24"/>
        </w:rPr>
        <w:t xml:space="preserve">ը, ներառյալ՝ հարաբերական </w:t>
      </w:r>
      <w:r w:rsidR="00C54D75">
        <w:rPr>
          <w:rFonts w:ascii="Sylfaen" w:hAnsi="Sylfaen"/>
          <w:sz w:val="24"/>
          <w:szCs w:val="24"/>
        </w:rPr>
        <w:t>և</w:t>
      </w:r>
      <w:r w:rsidRPr="00834D52">
        <w:rPr>
          <w:rFonts w:ascii="Sylfaen" w:hAnsi="Sylfaen"/>
          <w:sz w:val="24"/>
          <w:szCs w:val="24"/>
        </w:rPr>
        <w:t xml:space="preserve"> բացարձակ տարածական կառուցվածքը, մոլեկուլային (էմպիրիկ) բանաձ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 Կենսատեխնիկական դեղապատրաստուկների համար, եթե կիրառելի է, անհրաժեշտ է ներկայացնել ամինաթթուների սխեմատիկ հաջորդականությունը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w:t>
      </w:r>
    </w:p>
    <w:p w14:paraId="41D116D8"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դեղապատրաստուկների համար անհրաժեշտ է ներկայացնել ակտիվ դեղագործական բաղադրամասի ֆիզիկաքիմիական </w:t>
      </w:r>
      <w:r w:rsidR="00C54D75">
        <w:rPr>
          <w:rFonts w:ascii="Sylfaen" w:hAnsi="Sylfaen"/>
          <w:sz w:val="24"/>
          <w:szCs w:val="24"/>
        </w:rPr>
        <w:t>և</w:t>
      </w:r>
      <w:r w:rsidRPr="00834D52">
        <w:rPr>
          <w:rFonts w:ascii="Sylfaen" w:hAnsi="Sylfaen"/>
          <w:sz w:val="24"/>
          <w:szCs w:val="24"/>
        </w:rPr>
        <w:t xml:space="preserve"> այլ կար</w:t>
      </w:r>
      <w:r w:rsidR="00C54D75">
        <w:rPr>
          <w:rFonts w:ascii="Sylfaen" w:hAnsi="Sylfaen"/>
          <w:sz w:val="24"/>
          <w:szCs w:val="24"/>
        </w:rPr>
        <w:t>և</w:t>
      </w:r>
      <w:r w:rsidRPr="00834D52">
        <w:rPr>
          <w:rFonts w:ascii="Sylfaen" w:hAnsi="Sylfaen"/>
          <w:sz w:val="24"/>
          <w:szCs w:val="24"/>
        </w:rPr>
        <w:t xml:space="preserve">որ հատկությունների ցանկը, ներառյալ՝ նրանց կենսաբանական ակտիվությունը, </w:t>
      </w:r>
    </w:p>
    <w:p w14:paraId="0D662CA5" w14:textId="77777777" w:rsidR="006F76EB" w:rsidRPr="00834D52" w:rsidRDefault="006F76EB" w:rsidP="00623D2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այդ կետի համատեքստում ելանյութեր են համարվում բոլոր այն նյութերը, որոնցից արտադրվում կամ անջատվում են ակտիվ դեղագործական բաղադրամասերը: </w:t>
      </w:r>
    </w:p>
    <w:p w14:paraId="23CB770E" w14:textId="77777777" w:rsidR="006F76EB" w:rsidRPr="00834D52" w:rsidRDefault="006F76EB" w:rsidP="004C797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ծագման դեղապատրաստուկների համար ելանյութ է համարվում կենսաբանական ծագման ցանկացած նյութ (օրինակ՝ միկրոօրգանիզմներ, բուսական կամ կենդանական ծագման օրգաններ </w:t>
      </w:r>
      <w:r w:rsidR="00C54D75">
        <w:rPr>
          <w:rFonts w:ascii="Sylfaen" w:hAnsi="Sylfaen"/>
          <w:sz w:val="24"/>
          <w:szCs w:val="24"/>
        </w:rPr>
        <w:t>և</w:t>
      </w:r>
      <w:r w:rsidRPr="00834D52">
        <w:rPr>
          <w:rFonts w:ascii="Sylfaen" w:hAnsi="Sylfaen"/>
          <w:sz w:val="24"/>
          <w:szCs w:val="24"/>
        </w:rPr>
        <w:t xml:space="preserve"> հյուսվածքներ, մարդու </w:t>
      </w:r>
      <w:r w:rsidR="00C54D75">
        <w:rPr>
          <w:rFonts w:ascii="Sylfaen" w:hAnsi="Sylfaen"/>
          <w:sz w:val="24"/>
          <w:szCs w:val="24"/>
        </w:rPr>
        <w:t>և</w:t>
      </w:r>
      <w:r w:rsidRPr="00834D52">
        <w:rPr>
          <w:rFonts w:ascii="Sylfaen" w:hAnsi="Sylfaen"/>
          <w:sz w:val="24"/>
          <w:szCs w:val="24"/>
        </w:rPr>
        <w:t xml:space="preserve"> կենդանիների բջիջներ կամ հեղուկներ (ներառյալ՝ արյունն ու պլազման), բջջի կենսատեխնոլոգիական բաղադրիչներ (բջջի,</w:t>
      </w:r>
      <w:r w:rsidR="00302149" w:rsidRPr="00302149">
        <w:rPr>
          <w:rFonts w:ascii="Sylfaen" w:hAnsi="Sylfaen"/>
          <w:sz w:val="24"/>
          <w:szCs w:val="24"/>
        </w:rPr>
        <w:t> </w:t>
      </w:r>
      <w:r w:rsidRPr="00834D52">
        <w:rPr>
          <w:rFonts w:ascii="Sylfaen" w:hAnsi="Sylfaen"/>
          <w:sz w:val="24"/>
          <w:szCs w:val="24"/>
        </w:rPr>
        <w:t>ներառյալ՝ առաջնային բջջի ռեկոմբինանտ կամ ոչ ռեկոմբինանտ սուբստրատներ)):</w:t>
      </w:r>
    </w:p>
    <w:p w14:paraId="4FA32801" w14:textId="77777777" w:rsidR="006F76EB" w:rsidRPr="00834D52" w:rsidRDefault="006F76EB" w:rsidP="00302149">
      <w:pPr>
        <w:tabs>
          <w:tab w:val="left" w:pos="1418"/>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Կենսաբանական ծագման դեղապատրաստուկ են համարվում (այս կետի համատեքստում) բոլոր այն դեղապատրաստուկները, որոնց ակտիվ (ազդող) նյութը (այսուհետ՝ ակտիվ նյութ) կենսաբանական սուբստանցիան (նյութն) է:</w:t>
      </w:r>
    </w:p>
    <w:p w14:paraId="414298FD" w14:textId="77777777" w:rsidR="006F76EB" w:rsidRPr="00834D52" w:rsidRDefault="006F76EB" w:rsidP="008F21A4">
      <w:pPr>
        <w:tabs>
          <w:tab w:val="left" w:pos="1418"/>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սուբստանցիա՝ սուբստանցիա, որը ստացվում է կենսաբանական աղբյուրից, որի նկարագրության </w:t>
      </w:r>
      <w:r w:rsidR="00C54D75">
        <w:rPr>
          <w:rFonts w:ascii="Sylfaen" w:hAnsi="Sylfaen"/>
          <w:sz w:val="24"/>
          <w:szCs w:val="24"/>
        </w:rPr>
        <w:t>և</w:t>
      </w:r>
      <w:r w:rsidRPr="00834D52">
        <w:rPr>
          <w:rFonts w:ascii="Sylfaen" w:hAnsi="Sylfaen"/>
          <w:sz w:val="24"/>
          <w:szCs w:val="24"/>
        </w:rPr>
        <w:t xml:space="preserve"> որակի հավաստման համար անհրաժեշտ է ներկայացնել վերլուծության ֆիզիկական, քիմիական </w:t>
      </w:r>
      <w:r w:rsidR="00C54D75">
        <w:rPr>
          <w:rFonts w:ascii="Sylfaen" w:hAnsi="Sylfaen"/>
          <w:sz w:val="24"/>
          <w:szCs w:val="24"/>
        </w:rPr>
        <w:t>և</w:t>
      </w:r>
      <w:r w:rsidRPr="00834D52">
        <w:rPr>
          <w:rFonts w:ascii="Sylfaen" w:hAnsi="Sylfaen"/>
          <w:sz w:val="24"/>
          <w:szCs w:val="24"/>
        </w:rPr>
        <w:t xml:space="preserve"> կենսաբանական մեթոդների համակցություն՝ արտադրության գործընթացի </w:t>
      </w:r>
      <w:r w:rsidR="00C54D75">
        <w:rPr>
          <w:rFonts w:ascii="Sylfaen" w:hAnsi="Sylfaen"/>
          <w:sz w:val="24"/>
          <w:szCs w:val="24"/>
        </w:rPr>
        <w:t>և</w:t>
      </w:r>
      <w:r w:rsidRPr="00834D52">
        <w:rPr>
          <w:rFonts w:ascii="Sylfaen" w:hAnsi="Sylfaen"/>
          <w:sz w:val="24"/>
          <w:szCs w:val="24"/>
        </w:rPr>
        <w:t xml:space="preserve"> դրա հսկողության նկարագրության հետ:</w:t>
      </w:r>
    </w:p>
    <w:p w14:paraId="32F3E798" w14:textId="77777777" w:rsidR="006F76EB" w:rsidRPr="00834D52" w:rsidRDefault="006F76EB" w:rsidP="008F21A4">
      <w:pPr>
        <w:tabs>
          <w:tab w:val="left" w:pos="1418"/>
        </w:tabs>
        <w:spacing w:after="160" w:line="350" w:lineRule="auto"/>
        <w:ind w:right="-8" w:firstLine="567"/>
        <w:jc w:val="both"/>
        <w:rPr>
          <w:rFonts w:ascii="Sylfaen" w:hAnsi="Sylfaen"/>
          <w:spacing w:val="-4"/>
          <w:sz w:val="24"/>
          <w:szCs w:val="24"/>
        </w:rPr>
      </w:pPr>
      <w:r w:rsidRPr="00834D52">
        <w:rPr>
          <w:rFonts w:ascii="Sylfaen" w:hAnsi="Sylfaen"/>
          <w:spacing w:val="-4"/>
          <w:sz w:val="24"/>
          <w:szCs w:val="24"/>
        </w:rPr>
        <w:t xml:space="preserve">Ցանկացած այլ նյութ, որն օգտագործվում է ակտիվ նյութ կամ ակտիվ բաղադրիչ արտադրելու կամ ստանալու համար, որից սակայն այդ ակտիվ նյութը կամ ակտիվ բաղադրիչն անմիջականորեն չեն ստանում (մասնավորապես՝ ռեագենտներ, սննդարար միջավայրեր, պտղի, սաղմի շիճուկ, պրեպարատիվ քրոմատագրության մեջ կիրառվող հավելումներ </w:t>
      </w:r>
      <w:r w:rsidR="00C54D75">
        <w:rPr>
          <w:rFonts w:ascii="Sylfaen" w:hAnsi="Sylfaen"/>
          <w:spacing w:val="-4"/>
          <w:sz w:val="24"/>
          <w:szCs w:val="24"/>
        </w:rPr>
        <w:t>և</w:t>
      </w:r>
      <w:r w:rsidRPr="00834D52">
        <w:rPr>
          <w:rFonts w:ascii="Sylfaen" w:hAnsi="Sylfaen"/>
          <w:spacing w:val="-4"/>
          <w:sz w:val="24"/>
          <w:szCs w:val="24"/>
        </w:rPr>
        <w:t xml:space="preserve"> բուֆերներ), համարվում է հումք: </w:t>
      </w:r>
    </w:p>
    <w:p w14:paraId="52088936" w14:textId="77777777" w:rsidR="006F76EB" w:rsidRPr="00834D52" w:rsidRDefault="006F76EB" w:rsidP="00623D29">
      <w:pPr>
        <w:tabs>
          <w:tab w:val="left" w:pos="1701"/>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3.2.S.2.</w:t>
      </w:r>
      <w:r w:rsidRPr="00834D52">
        <w:rPr>
          <w:rFonts w:ascii="Sylfaen" w:hAnsi="Sylfaen"/>
          <w:sz w:val="24"/>
          <w:szCs w:val="24"/>
        </w:rPr>
        <w:tab/>
        <w:t xml:space="preserve">Ակտիվ դեղագործական բաղադրամասի արտադրության գործընթացը՝ </w:t>
      </w:r>
    </w:p>
    <w:p w14:paraId="2C84B209" w14:textId="52176319" w:rsidR="006F76EB" w:rsidRPr="00834D52" w:rsidRDefault="006F76EB" w:rsidP="00623D29">
      <w:pPr>
        <w:tabs>
          <w:tab w:val="left" w:pos="1134"/>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պարտավոր է ներկայացնել ակտիվ դեղագործական բաղադրամասի արտադրական գործընթացի նկարագրությունը: Արտադրության գործընթացի պատշաճ նկարագրության </w:t>
      </w:r>
      <w:r w:rsidR="00C54D75">
        <w:rPr>
          <w:rFonts w:ascii="Sylfaen" w:hAnsi="Sylfaen"/>
          <w:sz w:val="24"/>
          <w:szCs w:val="24"/>
        </w:rPr>
        <w:t>և</w:t>
      </w:r>
      <w:r w:rsidRPr="00834D52">
        <w:rPr>
          <w:rFonts w:ascii="Sylfaen" w:hAnsi="Sylfaen"/>
          <w:sz w:val="24"/>
          <w:szCs w:val="24"/>
        </w:rPr>
        <w:t xml:space="preserve"> դրա հսկողության համար պետք է անհրաժեշտ տեղեկատվությունը շարադրել Միության իրավունքի մաս կազմող համապատասխան ակտերով սահմանված պահանջներին համապատասխան, </w:t>
      </w:r>
    </w:p>
    <w:p w14:paraId="79AEDFCE" w14:textId="7F810839" w:rsidR="006F76EB" w:rsidRPr="00834D52" w:rsidRDefault="006F76EB" w:rsidP="00623D29">
      <w:pPr>
        <w:tabs>
          <w:tab w:val="left" w:pos="1134"/>
        </w:tabs>
        <w:spacing w:after="160" w:line="35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բ)</w:t>
      </w:r>
      <w:r w:rsidRPr="00834D52">
        <w:rPr>
          <w:rFonts w:ascii="Sylfaen" w:hAnsi="Sylfaen"/>
          <w:spacing w:val="-4"/>
          <w:sz w:val="24"/>
          <w:szCs w:val="24"/>
        </w:rPr>
        <w:tab/>
        <w:t xml:space="preserve">ակտիվ դեղագործական բաղադրամասի արտադրության համար անհրաժեշտ ամբողջ ելանյութն ու նյութերն անհրաժեշտ է թվարկել՝ նշելով արտադրության այն փուլը, որի ժամանակ օգտագործվում է հումքի </w:t>
      </w:r>
      <w:r w:rsidR="00C54D75">
        <w:rPr>
          <w:rFonts w:ascii="Sylfaen" w:hAnsi="Sylfaen"/>
          <w:spacing w:val="-4"/>
          <w:sz w:val="24"/>
          <w:szCs w:val="24"/>
        </w:rPr>
        <w:t>և</w:t>
      </w:r>
      <w:r w:rsidRPr="00834D52">
        <w:rPr>
          <w:rFonts w:ascii="Sylfaen" w:hAnsi="Sylfaen"/>
          <w:spacing w:val="-4"/>
          <w:sz w:val="24"/>
          <w:szCs w:val="24"/>
        </w:rPr>
        <w:t xml:space="preserve"> նյութերի ցանկացած տեսակ: Անհրաժեշտ է ներկայացնել տեղեկատվություն՝ դրանց որակի </w:t>
      </w:r>
      <w:r w:rsidR="00C54D75">
        <w:rPr>
          <w:rFonts w:ascii="Sylfaen" w:hAnsi="Sylfaen"/>
          <w:spacing w:val="-4"/>
          <w:sz w:val="24"/>
          <w:szCs w:val="24"/>
        </w:rPr>
        <w:t>և</w:t>
      </w:r>
      <w:r w:rsidRPr="00834D52">
        <w:rPr>
          <w:rFonts w:ascii="Sylfaen" w:hAnsi="Sylfaen"/>
          <w:spacing w:val="-4"/>
          <w:sz w:val="24"/>
          <w:szCs w:val="24"/>
        </w:rPr>
        <w:t xml:space="preserve"> հսկողության մասին, ինչպես նա</w:t>
      </w:r>
      <w:r w:rsidR="00C54D75">
        <w:rPr>
          <w:rFonts w:ascii="Sylfaen" w:hAnsi="Sylfaen"/>
          <w:spacing w:val="-4"/>
          <w:sz w:val="24"/>
          <w:szCs w:val="24"/>
        </w:rPr>
        <w:t>և</w:t>
      </w:r>
      <w:r w:rsidRPr="00834D52">
        <w:rPr>
          <w:rFonts w:ascii="Sylfaen" w:hAnsi="Sylfaen"/>
          <w:spacing w:val="-4"/>
          <w:sz w:val="24"/>
          <w:szCs w:val="24"/>
        </w:rPr>
        <w:t xml:space="preserve"> ենթադրվող կիրառության համար պահանջներին (ստանդարտներին) համապատասխանությունը հավաստող տեղեկություններ: Անհրաժեշտ է թվարկել ելանյութերը (հումքը), ինչպես նա</w:t>
      </w:r>
      <w:r w:rsidR="00C54D75">
        <w:rPr>
          <w:rFonts w:ascii="Sylfaen" w:hAnsi="Sylfaen"/>
          <w:spacing w:val="-4"/>
          <w:sz w:val="24"/>
          <w:szCs w:val="24"/>
        </w:rPr>
        <w:t>և</w:t>
      </w:r>
      <w:r w:rsidRPr="00834D52">
        <w:rPr>
          <w:rFonts w:ascii="Sylfaen" w:hAnsi="Sylfaen"/>
          <w:spacing w:val="-4"/>
          <w:sz w:val="24"/>
          <w:szCs w:val="24"/>
        </w:rPr>
        <w:t xml:space="preserve"> ներկայացնել որակի </w:t>
      </w:r>
      <w:r w:rsidR="00C54D75">
        <w:rPr>
          <w:rFonts w:ascii="Sylfaen" w:hAnsi="Sylfaen"/>
          <w:spacing w:val="-4"/>
          <w:sz w:val="24"/>
          <w:szCs w:val="24"/>
        </w:rPr>
        <w:t>և</w:t>
      </w:r>
      <w:r w:rsidRPr="00834D52">
        <w:rPr>
          <w:rFonts w:ascii="Sylfaen" w:hAnsi="Sylfaen"/>
          <w:spacing w:val="-4"/>
          <w:sz w:val="24"/>
          <w:szCs w:val="24"/>
        </w:rPr>
        <w:t xml:space="preserve"> որակի հսկողության փաստաթղթեր: Անհրաժեշտ է ներկայացնել արտադրական </w:t>
      </w:r>
      <w:r w:rsidRPr="00834D52">
        <w:rPr>
          <w:rFonts w:ascii="Sylfaen" w:hAnsi="Sylfaen"/>
          <w:spacing w:val="-4"/>
          <w:sz w:val="24"/>
          <w:szCs w:val="24"/>
        </w:rPr>
        <w:lastRenderedPageBreak/>
        <w:t xml:space="preserve">հարթակների անվանումն ու գտնվելու վայրը </w:t>
      </w:r>
      <w:r w:rsidR="00C54D75">
        <w:rPr>
          <w:rFonts w:ascii="Sylfaen" w:hAnsi="Sylfaen"/>
          <w:spacing w:val="-4"/>
          <w:sz w:val="24"/>
          <w:szCs w:val="24"/>
        </w:rPr>
        <w:t>և</w:t>
      </w:r>
      <w:r w:rsidRPr="00834D52">
        <w:rPr>
          <w:rFonts w:ascii="Sylfaen" w:hAnsi="Sylfaen"/>
          <w:spacing w:val="-4"/>
          <w:sz w:val="24"/>
          <w:szCs w:val="24"/>
        </w:rPr>
        <w:t xml:space="preserve"> նշել յուրաքանչյուր արտադրողի պարտականությունները, ներառյալ՝ պայմանագրային արտադրությունները, ինչպես նա</w:t>
      </w:r>
      <w:r w:rsidR="00C54D75">
        <w:rPr>
          <w:rFonts w:ascii="Sylfaen" w:hAnsi="Sylfaen"/>
          <w:spacing w:val="-4"/>
          <w:sz w:val="24"/>
          <w:szCs w:val="24"/>
        </w:rPr>
        <w:t>և</w:t>
      </w:r>
      <w:r w:rsidRPr="00834D52">
        <w:rPr>
          <w:rFonts w:ascii="Sylfaen" w:hAnsi="Sylfaen"/>
          <w:spacing w:val="-4"/>
          <w:sz w:val="24"/>
          <w:szCs w:val="24"/>
        </w:rPr>
        <w:t xml:space="preserve"> տեղեկատվություն՝ </w:t>
      </w:r>
      <w:r w:rsidR="006841ED" w:rsidRPr="006841ED">
        <w:rPr>
          <w:rFonts w:ascii="Sylfaen" w:hAnsi="Sylfaen"/>
          <w:sz w:val="24"/>
          <w:szCs w:val="24"/>
        </w:rPr>
        <w:t>օգտագործվող յուրաքանչյուր արտադրական հարթակի</w:t>
      </w:r>
      <w:r w:rsidR="006841ED">
        <w:rPr>
          <w:sz w:val="21"/>
          <w:szCs w:val="21"/>
        </w:rPr>
        <w:t xml:space="preserve"> </w:t>
      </w:r>
      <w:r w:rsidRPr="00834D52">
        <w:rPr>
          <w:rFonts w:ascii="Sylfaen" w:hAnsi="Sylfaen"/>
          <w:spacing w:val="-4"/>
          <w:sz w:val="24"/>
          <w:szCs w:val="24"/>
        </w:rPr>
        <w:t xml:space="preserve">կամ փորձարկման լաբորատորիայի մասին, </w:t>
      </w:r>
    </w:p>
    <w:p w14:paraId="44CCC830" w14:textId="77777777"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կենսաբանական դեղապատրաստուկների համար սահմանվել են հետ</w:t>
      </w:r>
      <w:r w:rsidR="00C54D75">
        <w:rPr>
          <w:rFonts w:ascii="Sylfaen" w:hAnsi="Sylfaen"/>
          <w:sz w:val="24"/>
          <w:szCs w:val="24"/>
        </w:rPr>
        <w:t>և</w:t>
      </w:r>
      <w:r w:rsidRPr="00834D52">
        <w:rPr>
          <w:rFonts w:ascii="Sylfaen" w:hAnsi="Sylfaen"/>
          <w:sz w:val="24"/>
          <w:szCs w:val="24"/>
        </w:rPr>
        <w:t>յալ լրացուցիչ պահանջները՝</w:t>
      </w:r>
    </w:p>
    <w:p w14:paraId="7F28B812"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ելանյութերի ծագման </w:t>
      </w:r>
      <w:r w:rsidR="00C54D75">
        <w:rPr>
          <w:rFonts w:ascii="Sylfaen" w:hAnsi="Sylfaen"/>
          <w:sz w:val="24"/>
          <w:szCs w:val="24"/>
        </w:rPr>
        <w:t>և</w:t>
      </w:r>
      <w:r w:rsidRPr="00834D52">
        <w:rPr>
          <w:rFonts w:ascii="Sylfaen" w:hAnsi="Sylfaen"/>
          <w:sz w:val="24"/>
          <w:szCs w:val="24"/>
        </w:rPr>
        <w:t xml:space="preserve"> ստացման պատմության նկարագրությունը </w:t>
      </w:r>
      <w:r w:rsidR="00C54D75">
        <w:rPr>
          <w:rFonts w:ascii="Sylfaen" w:hAnsi="Sylfaen"/>
          <w:sz w:val="24"/>
          <w:szCs w:val="24"/>
        </w:rPr>
        <w:t>և</w:t>
      </w:r>
      <w:r w:rsidRPr="00834D52">
        <w:rPr>
          <w:rFonts w:ascii="Sylfaen" w:hAnsi="Sylfaen"/>
          <w:sz w:val="24"/>
          <w:szCs w:val="24"/>
        </w:rPr>
        <w:t xml:space="preserve"> փաստաթղթային հավաստումը, </w:t>
      </w:r>
    </w:p>
    <w:p w14:paraId="582A7430" w14:textId="7D12B8B4"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սպունգանման էնցեֆալոպատիայի հարուցիչների փոխանցումը կանխելու ուղղությամբ, հատուկ միջոցառումների հետ կապված, </w:t>
      </w:r>
      <w:r w:rsidR="0056496B">
        <w:rPr>
          <w:rFonts w:ascii="Sylfaen" w:hAnsi="Sylfaen"/>
          <w:sz w:val="24"/>
          <w:szCs w:val="24"/>
        </w:rPr>
        <w:t>դիմումատու</w:t>
      </w:r>
      <w:r w:rsidRPr="00834D52">
        <w:rPr>
          <w:rFonts w:ascii="Sylfaen" w:hAnsi="Sylfaen"/>
          <w:sz w:val="24"/>
          <w:szCs w:val="24"/>
        </w:rPr>
        <w:t>ն պետք է հավաստի, որ ակտիվ նյութը բավարարում է, մասնավորապես, Եվրասիական տնտեսական միության դեղագրքի համապատասխան հոդվածի (մենագրության)՝ արտադրվող դեղապատրաստուկներով տվյալ հարուցիչների փոխանցման ռիսկը նվազեցնելու պահանջներին,</w:t>
      </w:r>
    </w:p>
    <w:p w14:paraId="6FB833C5"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բջիջների բանկերի օգտագործման ժամանակ ներկայացվում են ապացույցներ առ այն, որ բջիջների բնութագրերը մնացել են անփոփոխ արտադրության համար օգտագործվող պասսաժների այդ քանակի դեպքում, ինչպես նա</w:t>
      </w:r>
      <w:r w:rsidR="00C54D75">
        <w:rPr>
          <w:rFonts w:ascii="Sylfaen" w:hAnsi="Sylfaen"/>
          <w:sz w:val="24"/>
          <w:szCs w:val="24"/>
        </w:rPr>
        <w:t>և</w:t>
      </w:r>
      <w:r w:rsidRPr="00834D52">
        <w:rPr>
          <w:rFonts w:ascii="Sylfaen" w:hAnsi="Sylfaen"/>
          <w:sz w:val="24"/>
          <w:szCs w:val="24"/>
        </w:rPr>
        <w:t xml:space="preserve"> հաջորդ ժամանակահատվածի ընթացքում, </w:t>
      </w:r>
    </w:p>
    <w:p w14:paraId="08A700B5" w14:textId="77777777" w:rsidR="006F76EB" w:rsidRPr="00834D52" w:rsidRDefault="006F76EB" w:rsidP="00C02BB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ցանքսային նյութերը, բջիջների բանկերը, շիճուկների կամ պլազմայի պուլերը </w:t>
      </w:r>
      <w:r w:rsidR="00C54D75">
        <w:rPr>
          <w:rFonts w:ascii="Sylfaen" w:hAnsi="Sylfaen"/>
          <w:sz w:val="24"/>
          <w:szCs w:val="24"/>
        </w:rPr>
        <w:t>և</w:t>
      </w:r>
      <w:r w:rsidRPr="00834D52">
        <w:rPr>
          <w:rFonts w:ascii="Sylfaen" w:hAnsi="Sylfaen"/>
          <w:sz w:val="24"/>
          <w:szCs w:val="24"/>
        </w:rPr>
        <w:t xml:space="preserve"> կենսաբանական ծագման այլ նյութեր, ինչպես նա</w:t>
      </w:r>
      <w:r w:rsidR="00C54D75">
        <w:rPr>
          <w:rFonts w:ascii="Sylfaen" w:hAnsi="Sylfaen"/>
          <w:sz w:val="24"/>
          <w:szCs w:val="24"/>
        </w:rPr>
        <w:t>և</w:t>
      </w:r>
      <w:r w:rsidRPr="00834D52">
        <w:rPr>
          <w:rFonts w:ascii="Sylfaen" w:hAnsi="Sylfaen"/>
          <w:sz w:val="24"/>
          <w:szCs w:val="24"/>
        </w:rPr>
        <w:t xml:space="preserve"> հնարավորության դեպքում այն նյութերը, որոնցից դրանք ստացվել են, հետազոտվում են կողմնակի ագենտների առկայությունը ստուգելու համար, </w:t>
      </w:r>
    </w:p>
    <w:p w14:paraId="09D2E837"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հնարավոր ախտածին կողմնակի ագենտների առկայությունից հնարավոր չէ խուսափել, ապա թույլատրվում է նյութերն օգտագործել միայն այն դեպքում, երբ հետագա մշակման ժամանակ կապահովվի տվյալ կողմնակի ագենտների հեռացումը </w:t>
      </w:r>
      <w:r w:rsidR="00C54D75">
        <w:rPr>
          <w:rFonts w:ascii="Sylfaen" w:hAnsi="Sylfaen"/>
          <w:sz w:val="24"/>
          <w:szCs w:val="24"/>
        </w:rPr>
        <w:t>և</w:t>
      </w:r>
      <w:r w:rsidRPr="00834D52">
        <w:rPr>
          <w:rFonts w:ascii="Sylfaen" w:hAnsi="Sylfaen"/>
          <w:sz w:val="24"/>
          <w:szCs w:val="24"/>
        </w:rPr>
        <w:t xml:space="preserve"> (կամ) ակտիվազրկումը, </w:t>
      </w:r>
      <w:r w:rsidR="00C54D75">
        <w:rPr>
          <w:rFonts w:ascii="Sylfaen" w:hAnsi="Sylfaen"/>
          <w:sz w:val="24"/>
          <w:szCs w:val="24"/>
        </w:rPr>
        <w:t>և</w:t>
      </w:r>
      <w:r w:rsidRPr="00834D52">
        <w:rPr>
          <w:rFonts w:ascii="Sylfaen" w:hAnsi="Sylfaen"/>
          <w:sz w:val="24"/>
          <w:szCs w:val="24"/>
        </w:rPr>
        <w:t xml:space="preserve"> դա պետք է վալիդացվի, </w:t>
      </w:r>
    </w:p>
    <w:p w14:paraId="7B232BE4" w14:textId="7128098A" w:rsidR="006F76EB" w:rsidRPr="00834D52" w:rsidRDefault="006F76EB" w:rsidP="00516C70">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պատվաստանյութերի արտադրությունը պետք է հիմնվի (հնարավորության դեպքում) ցանքսային կուլտուրաների </w:t>
      </w:r>
      <w:r w:rsidR="00C54D75">
        <w:rPr>
          <w:rFonts w:ascii="Sylfaen" w:hAnsi="Sylfaen"/>
          <w:sz w:val="24"/>
          <w:szCs w:val="24"/>
        </w:rPr>
        <w:t>և</w:t>
      </w:r>
      <w:r w:rsidRPr="00834D52">
        <w:rPr>
          <w:rFonts w:ascii="Sylfaen" w:hAnsi="Sylfaen"/>
          <w:sz w:val="24"/>
          <w:szCs w:val="24"/>
        </w:rPr>
        <w:t xml:space="preserve"> բջիջների </w:t>
      </w:r>
      <w:r w:rsidR="00F350A1">
        <w:rPr>
          <w:rFonts w:ascii="Sylfaen" w:hAnsi="Sylfaen"/>
          <w:sz w:val="24"/>
          <w:szCs w:val="24"/>
        </w:rPr>
        <w:t>հայտ</w:t>
      </w:r>
      <w:r w:rsidRPr="00834D52">
        <w:rPr>
          <w:rFonts w:ascii="Sylfaen" w:hAnsi="Sylfaen"/>
          <w:sz w:val="24"/>
          <w:szCs w:val="24"/>
        </w:rPr>
        <w:t xml:space="preserve">նի բանկերի համակարգի վրա: Մանրէաբանական </w:t>
      </w:r>
      <w:r w:rsidR="00C54D75">
        <w:rPr>
          <w:rFonts w:ascii="Sylfaen" w:hAnsi="Sylfaen"/>
          <w:sz w:val="24"/>
          <w:szCs w:val="24"/>
        </w:rPr>
        <w:t>և</w:t>
      </w:r>
      <w:r w:rsidRPr="00834D52">
        <w:rPr>
          <w:rFonts w:ascii="Sylfaen" w:hAnsi="Sylfaen"/>
          <w:sz w:val="24"/>
          <w:szCs w:val="24"/>
        </w:rPr>
        <w:t xml:space="preserve"> վիրուսային պատվաստանյութերի արտադրության ժամանակ վարակի հարուցչի բնութագրերը պետք է ցույց տրվեն ցանքսային նյութի վրա: Բացի այդ, կենդանի պատվաստանյութերի մասով ատտենուացիայի (ախտածին միկրոօրգանիզմների վիրուլենտության (վարակայնության) թուլացում) բնութագրերի կայունությունը պետք է հավաստվի ցանքսային նյութի վրա, եթե այդ ապացույցը բավարար չլինի, ատտենուացիայի բնութագրերը պետք է հավաստվեն նա</w:t>
      </w:r>
      <w:r w:rsidR="00C54D75">
        <w:rPr>
          <w:rFonts w:ascii="Sylfaen" w:hAnsi="Sylfaen"/>
          <w:sz w:val="24"/>
          <w:szCs w:val="24"/>
        </w:rPr>
        <w:t>և</w:t>
      </w:r>
      <w:r w:rsidRPr="00834D52">
        <w:rPr>
          <w:rFonts w:ascii="Sylfaen" w:hAnsi="Sylfaen"/>
          <w:sz w:val="24"/>
          <w:szCs w:val="24"/>
        </w:rPr>
        <w:t xml:space="preserve"> արտադրության փուլում, </w:t>
      </w:r>
    </w:p>
    <w:p w14:paraId="0F57C696" w14:textId="77777777" w:rsidR="006F76EB" w:rsidRPr="00834D52" w:rsidRDefault="006F76EB" w:rsidP="0078306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III մասում շարադրված դրույթներին համապատասխան՝ մարդու արյունից կամ պլազմայից ստացված դեղապատրաստուկների համար անհրաժեշտ է նկարագրել </w:t>
      </w:r>
      <w:r w:rsidR="00C54D75">
        <w:rPr>
          <w:rFonts w:ascii="Sylfaen" w:hAnsi="Sylfaen"/>
          <w:sz w:val="24"/>
          <w:szCs w:val="24"/>
        </w:rPr>
        <w:t>և</w:t>
      </w:r>
      <w:r w:rsidRPr="00834D52">
        <w:rPr>
          <w:rFonts w:ascii="Sylfaen" w:hAnsi="Sylfaen"/>
          <w:sz w:val="24"/>
          <w:szCs w:val="24"/>
        </w:rPr>
        <w:t xml:space="preserve"> փաստաթղթերով հավաստել ելանյութերի ծագումը, ելանյութերի ընտրության, տրանսպորտային փոխադրման </w:t>
      </w:r>
      <w:r w:rsidR="00C54D75">
        <w:rPr>
          <w:rFonts w:ascii="Sylfaen" w:hAnsi="Sylfaen"/>
          <w:sz w:val="24"/>
          <w:szCs w:val="24"/>
        </w:rPr>
        <w:t>և</w:t>
      </w:r>
      <w:r w:rsidRPr="00834D52">
        <w:rPr>
          <w:rFonts w:ascii="Sylfaen" w:hAnsi="Sylfaen"/>
          <w:sz w:val="24"/>
          <w:szCs w:val="24"/>
        </w:rPr>
        <w:t xml:space="preserve"> պահպանման չափանիշներն ու մեթոդիկաները, </w:t>
      </w:r>
    </w:p>
    <w:p w14:paraId="356A2C9A" w14:textId="77777777" w:rsidR="006F76EB" w:rsidRPr="00834D52" w:rsidRDefault="006F76EB" w:rsidP="0078306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արտադրական տարածքներն ու սարքավորումները, </w:t>
      </w:r>
    </w:p>
    <w:p w14:paraId="453DEE0E"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համապատասխան դեպքերում անհրաժեշտ է ներկայացնել տեղեկատվություն՝ փորձարկումների </w:t>
      </w:r>
      <w:r w:rsidR="00C54D75">
        <w:rPr>
          <w:rFonts w:ascii="Sylfaen" w:hAnsi="Sylfaen"/>
          <w:sz w:val="24"/>
          <w:szCs w:val="24"/>
        </w:rPr>
        <w:t>և</w:t>
      </w:r>
      <w:r w:rsidRPr="00834D52">
        <w:rPr>
          <w:rFonts w:ascii="Sylfaen" w:hAnsi="Sylfaen"/>
          <w:sz w:val="24"/>
          <w:szCs w:val="24"/>
        </w:rPr>
        <w:t xml:space="preserve"> ընդունելիության չափանիշների մասին, յուրաքանչյուր կրիտիկական փուլում, տեղեկատվություն՝ միջանկյալ արգասիքների որակի </w:t>
      </w:r>
      <w:r w:rsidR="00C54D75">
        <w:rPr>
          <w:rFonts w:ascii="Sylfaen" w:hAnsi="Sylfaen"/>
          <w:sz w:val="24"/>
          <w:szCs w:val="24"/>
        </w:rPr>
        <w:t>և</w:t>
      </w:r>
      <w:r w:rsidRPr="00834D52">
        <w:rPr>
          <w:rFonts w:ascii="Sylfaen" w:hAnsi="Sylfaen"/>
          <w:sz w:val="24"/>
          <w:szCs w:val="24"/>
        </w:rPr>
        <w:t xml:space="preserve"> հսկողության, ինչպես նա</w:t>
      </w:r>
      <w:r w:rsidR="00C54D75">
        <w:rPr>
          <w:rFonts w:ascii="Sylfaen" w:hAnsi="Sylfaen"/>
          <w:sz w:val="24"/>
          <w:szCs w:val="24"/>
        </w:rPr>
        <w:t>և</w:t>
      </w:r>
      <w:r w:rsidRPr="00834D52">
        <w:rPr>
          <w:rFonts w:ascii="Sylfaen" w:hAnsi="Sylfaen"/>
          <w:sz w:val="24"/>
          <w:szCs w:val="24"/>
        </w:rPr>
        <w:t xml:space="preserve"> գործընթացի վալիդացման </w:t>
      </w:r>
      <w:r w:rsidR="00C54D75">
        <w:rPr>
          <w:rFonts w:ascii="Sylfaen" w:hAnsi="Sylfaen"/>
          <w:sz w:val="24"/>
          <w:szCs w:val="24"/>
        </w:rPr>
        <w:t>և</w:t>
      </w:r>
      <w:r w:rsidRPr="00834D52">
        <w:rPr>
          <w:rFonts w:ascii="Sylfaen" w:hAnsi="Sylfaen"/>
          <w:sz w:val="24"/>
          <w:szCs w:val="24"/>
        </w:rPr>
        <w:t xml:space="preserve"> (կամ) դրա գնահատման մասին, </w:t>
      </w:r>
    </w:p>
    <w:p w14:paraId="73E26E51"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եթե հնարավոր ախտածին կողմնակի ագենտների առկայությունից խուսափել հնարավոր չէ, ապա թույլատրվում է նյութերն օգտագործել միայն այն դեպքերում, երբ հետագա մշակումը ապահովում է դրանց հեռացումը </w:t>
      </w:r>
      <w:r w:rsidR="00C54D75">
        <w:rPr>
          <w:rFonts w:ascii="Sylfaen" w:hAnsi="Sylfaen"/>
          <w:sz w:val="24"/>
          <w:szCs w:val="24"/>
        </w:rPr>
        <w:t>և</w:t>
      </w:r>
      <w:r w:rsidRPr="00834D52">
        <w:rPr>
          <w:rFonts w:ascii="Sylfaen" w:hAnsi="Sylfaen"/>
          <w:sz w:val="24"/>
          <w:szCs w:val="24"/>
        </w:rPr>
        <w:t xml:space="preserve"> (կամ) ակտիվազրկումը, որը հավաստվում է վալիդացմամբ </w:t>
      </w:r>
      <w:r w:rsidR="00C54D75">
        <w:rPr>
          <w:rFonts w:ascii="Sylfaen" w:hAnsi="Sylfaen"/>
          <w:sz w:val="24"/>
          <w:szCs w:val="24"/>
        </w:rPr>
        <w:t>և</w:t>
      </w:r>
      <w:r w:rsidRPr="00834D52">
        <w:rPr>
          <w:rFonts w:ascii="Sylfaen" w:hAnsi="Sylfaen"/>
          <w:sz w:val="24"/>
          <w:szCs w:val="24"/>
        </w:rPr>
        <w:t xml:space="preserve"> բերվում է վիրուսային անվտանգության գնահատման համապատասխան բաժնում, </w:t>
      </w:r>
    </w:p>
    <w:p w14:paraId="50AF1475" w14:textId="3B3C36CF" w:rsidR="006F76EB" w:rsidRDefault="006F76EB" w:rsidP="00C02BB4">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 xml:space="preserve">ակտիվ դեղագործական բաղադրամասի համար անհրաժեշտ է նախատեսել մշակման ժամանակ արտադրական գործընթացի </w:t>
      </w:r>
      <w:r w:rsidR="00C54D75">
        <w:rPr>
          <w:rFonts w:ascii="Sylfaen" w:hAnsi="Sylfaen"/>
          <w:sz w:val="24"/>
          <w:szCs w:val="24"/>
        </w:rPr>
        <w:t>և</w:t>
      </w:r>
      <w:r w:rsidRPr="00834D52">
        <w:rPr>
          <w:rFonts w:ascii="Sylfaen" w:hAnsi="Sylfaen"/>
          <w:sz w:val="24"/>
          <w:szCs w:val="24"/>
        </w:rPr>
        <w:t xml:space="preserve"> (կամ) </w:t>
      </w:r>
      <w:r w:rsidRPr="00834D52">
        <w:rPr>
          <w:rFonts w:ascii="Sylfaen" w:hAnsi="Sylfaen"/>
          <w:sz w:val="24"/>
          <w:szCs w:val="24"/>
        </w:rPr>
        <w:lastRenderedPageBreak/>
        <w:t xml:space="preserve">արտադրական հարթակի էական փոփոխությունների նկարագրություն </w:t>
      </w:r>
      <w:r w:rsidR="00C54D75">
        <w:rPr>
          <w:rFonts w:ascii="Sylfaen" w:hAnsi="Sylfaen"/>
          <w:sz w:val="24"/>
          <w:szCs w:val="24"/>
        </w:rPr>
        <w:t>և</w:t>
      </w:r>
      <w:r w:rsidRPr="00834D52">
        <w:rPr>
          <w:rFonts w:ascii="Sylfaen" w:hAnsi="Sylfaen"/>
          <w:sz w:val="24"/>
          <w:szCs w:val="24"/>
        </w:rPr>
        <w:t xml:space="preserve"> վերլուծություն, ինչպես նա</w:t>
      </w:r>
      <w:r w:rsidR="00C54D75">
        <w:rPr>
          <w:rFonts w:ascii="Sylfaen" w:hAnsi="Sylfaen"/>
          <w:sz w:val="24"/>
          <w:szCs w:val="24"/>
        </w:rPr>
        <w:t>և</w:t>
      </w:r>
      <w:r w:rsidRPr="00834D52">
        <w:rPr>
          <w:rFonts w:ascii="Sylfaen" w:hAnsi="Sylfaen"/>
          <w:sz w:val="24"/>
          <w:szCs w:val="24"/>
        </w:rPr>
        <w:t xml:space="preserve"> (այն դեպքում, երբ դեղապատրաստուկ արտադրողն ակտիվ դեղագործական բաղադրամաս արտադրողը չէ) ներկայացնել ակտիվ դեղագործական բաղադրամասի արտադրողի՝ </w:t>
      </w:r>
      <w:r w:rsidR="0056496B">
        <w:rPr>
          <w:rFonts w:ascii="Sylfaen" w:hAnsi="Sylfaen"/>
          <w:sz w:val="24"/>
          <w:szCs w:val="24"/>
        </w:rPr>
        <w:t>դիմումատու</w:t>
      </w:r>
      <w:r w:rsidRPr="00834D52">
        <w:rPr>
          <w:rFonts w:ascii="Sylfaen" w:hAnsi="Sylfaen"/>
          <w:sz w:val="24"/>
          <w:szCs w:val="24"/>
        </w:rPr>
        <w:t>ին արտադրական գործընթացի կամ մասնագրերի փոփոխությունների մասին (ազատ ձ</w:t>
      </w:r>
      <w:r w:rsidR="00C54D75">
        <w:rPr>
          <w:rFonts w:ascii="Sylfaen" w:hAnsi="Sylfaen"/>
          <w:sz w:val="24"/>
          <w:szCs w:val="24"/>
        </w:rPr>
        <w:t>և</w:t>
      </w:r>
      <w:r w:rsidRPr="00834D52">
        <w:rPr>
          <w:rFonts w:ascii="Sylfaen" w:hAnsi="Sylfaen"/>
          <w:sz w:val="24"/>
          <w:szCs w:val="24"/>
        </w:rPr>
        <w:t>ով) տեղեկացնելու գրավոր պարտավորության պատճենը:</w:t>
      </w:r>
    </w:p>
    <w:p w14:paraId="100F6690" w14:textId="3FBE3750" w:rsidR="006841ED" w:rsidRPr="006841ED" w:rsidRDefault="006841ED" w:rsidP="006841ED">
      <w:pPr>
        <w:rPr>
          <w:b/>
          <w:bCs/>
          <w:i/>
          <w:iCs/>
          <w:lang w:val="en-US"/>
        </w:rPr>
      </w:pPr>
      <w:r w:rsidRPr="00CD4709">
        <w:rPr>
          <w:b/>
          <w:bCs/>
          <w:i/>
          <w:iCs/>
        </w:rPr>
        <w:t>(</w:t>
      </w:r>
      <w:r w:rsidRPr="006841ED">
        <w:rPr>
          <w:rFonts w:ascii="Sylfaen" w:hAnsi="Sylfaen"/>
          <w:b/>
          <w:bCs/>
          <w:sz w:val="24"/>
          <w:szCs w:val="24"/>
        </w:rPr>
        <w:t>3.2.S.2.</w:t>
      </w:r>
      <w:r w:rsidRPr="006841ED">
        <w:rPr>
          <w:rFonts w:ascii="Sylfaen" w:hAnsi="Sylfaen"/>
          <w:sz w:val="24"/>
          <w:szCs w:val="24"/>
        </w:rPr>
        <w:t xml:space="preserve"> </w:t>
      </w:r>
      <w:r w:rsidRPr="006841ED">
        <w:rPr>
          <w:rFonts w:ascii="Sylfaen" w:hAnsi="Sylfaen"/>
          <w:b/>
          <w:bCs/>
          <w:i/>
          <w:iCs/>
          <w:sz w:val="24"/>
          <w:szCs w:val="24"/>
        </w:rPr>
        <w:t>կետը</w:t>
      </w:r>
      <w:r>
        <w:rPr>
          <w:rFonts w:ascii="Sylfaen" w:hAnsi="Sylfaen"/>
          <w:b/>
          <w:bCs/>
          <w:i/>
          <w:iCs/>
          <w:sz w:val="24"/>
          <w:szCs w:val="24"/>
        </w:rPr>
        <w:t xml:space="preserve"> </w:t>
      </w:r>
      <w:r w:rsidRPr="006841ED">
        <w:rPr>
          <w:rFonts w:ascii="Sylfaen" w:hAnsi="Sylfaen"/>
          <w:b/>
          <w:bCs/>
          <w:i/>
          <w:iCs/>
          <w:sz w:val="24"/>
          <w:szCs w:val="24"/>
        </w:rPr>
        <w:t>փոփ</w:t>
      </w:r>
      <w:r w:rsidRPr="00CD4709">
        <w:rPr>
          <w:b/>
          <w:bCs/>
          <w:i/>
          <w:iCs/>
        </w:rPr>
        <w:t>. 30.01.20 թիվ 9)</w:t>
      </w:r>
    </w:p>
    <w:p w14:paraId="67B0B03B" w14:textId="77777777" w:rsidR="006F76EB" w:rsidRPr="00834D52" w:rsidRDefault="006F76EB" w:rsidP="00C02BB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3.2.S.3.</w:t>
      </w:r>
      <w:r w:rsidRPr="00834D52">
        <w:rPr>
          <w:rFonts w:ascii="Sylfaen" w:hAnsi="Sylfaen"/>
          <w:sz w:val="24"/>
          <w:szCs w:val="24"/>
        </w:rPr>
        <w:tab/>
        <w:t>Ակտիվ դեղագործական բաղադրամասի բնութագրերի նկարագրությունը՝</w:t>
      </w:r>
    </w:p>
    <w:p w14:paraId="0065BE93" w14:textId="77777777" w:rsidR="006F76EB" w:rsidRPr="00834D52" w:rsidRDefault="006F76EB" w:rsidP="00C02BB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տվյալներ՝ ակտիվ դեղագործական բաղադրամասի կառուցվածքի </w:t>
      </w:r>
      <w:r w:rsidR="00C54D75">
        <w:rPr>
          <w:rFonts w:ascii="Sylfaen" w:hAnsi="Sylfaen"/>
          <w:sz w:val="24"/>
          <w:szCs w:val="24"/>
        </w:rPr>
        <w:t>և</w:t>
      </w:r>
      <w:r w:rsidRPr="00834D52">
        <w:rPr>
          <w:rFonts w:ascii="Sylfaen" w:hAnsi="Sylfaen"/>
          <w:sz w:val="24"/>
          <w:szCs w:val="24"/>
        </w:rPr>
        <w:t xml:space="preserve"> այլ բնութագրերի մասին, </w:t>
      </w:r>
    </w:p>
    <w:p w14:paraId="5A4CB989" w14:textId="77777777" w:rsidR="006F76EB" w:rsidRPr="00834D52" w:rsidRDefault="006F76EB" w:rsidP="004C797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հաստատել ակտիվ դեղագործական բաղադրամասի կառուցվածքը՝ հիմնվելով ժամանակակից ֆիզիկաքիմիական </w:t>
      </w:r>
      <w:r w:rsidR="00C54D75">
        <w:rPr>
          <w:rFonts w:ascii="Sylfaen" w:hAnsi="Sylfaen"/>
          <w:sz w:val="24"/>
          <w:szCs w:val="24"/>
        </w:rPr>
        <w:t>և</w:t>
      </w:r>
      <w:r w:rsidRPr="00834D52">
        <w:rPr>
          <w:rFonts w:ascii="Sylfaen" w:hAnsi="Sylfaen"/>
          <w:sz w:val="24"/>
          <w:szCs w:val="24"/>
        </w:rPr>
        <w:t xml:space="preserve"> (կամ) իմուն քիմիական </w:t>
      </w:r>
      <w:r w:rsidR="00C54D75">
        <w:rPr>
          <w:rFonts w:ascii="Sylfaen" w:hAnsi="Sylfaen"/>
          <w:sz w:val="24"/>
          <w:szCs w:val="24"/>
        </w:rPr>
        <w:t>և</w:t>
      </w:r>
      <w:r w:rsidRPr="00834D52">
        <w:rPr>
          <w:rFonts w:ascii="Sylfaen" w:hAnsi="Sylfaen"/>
          <w:sz w:val="24"/>
          <w:szCs w:val="24"/>
        </w:rPr>
        <w:t xml:space="preserve"> (կամ) կենսաբանական մեթոդների վրա, ինչպես նա</w:t>
      </w:r>
      <w:r w:rsidR="00C54D75">
        <w:rPr>
          <w:rFonts w:ascii="Sylfaen" w:hAnsi="Sylfaen"/>
          <w:sz w:val="24"/>
          <w:szCs w:val="24"/>
        </w:rPr>
        <w:t>և</w:t>
      </w:r>
      <w:r w:rsidRPr="00834D52">
        <w:rPr>
          <w:rFonts w:ascii="Sylfaen" w:hAnsi="Sylfaen"/>
          <w:sz w:val="24"/>
          <w:szCs w:val="24"/>
        </w:rPr>
        <w:t xml:space="preserve"> ներկայացնել տեղեկատվություն՝ խառնուկների մասին:</w:t>
      </w:r>
    </w:p>
    <w:p w14:paraId="4C769616" w14:textId="77777777" w:rsidR="006F76EB" w:rsidRPr="00834D52" w:rsidRDefault="006F76EB" w:rsidP="00C02BB4">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3.2.S.4.</w:t>
      </w:r>
      <w:r w:rsidRPr="00834D52">
        <w:rPr>
          <w:rFonts w:ascii="Sylfaen" w:hAnsi="Sylfaen"/>
          <w:sz w:val="24"/>
          <w:szCs w:val="24"/>
        </w:rPr>
        <w:tab/>
        <w:t>Ակտիվ դեղագործական բաղադրամասի որակի հսկողություն՝</w:t>
      </w:r>
    </w:p>
    <w:p w14:paraId="7C689FA2" w14:textId="77777777" w:rsidR="006F76EB" w:rsidRPr="00834D52" w:rsidRDefault="006F76EB" w:rsidP="00C02BB4">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տեղեկատվություն՝ ակտիվ դեղագործական բաղադրամասի սերիական հսկողության համար օգտագործվող մասնագրերի մասին, այդ մասնագրերի, փորձարկումների մեթոդիկաների </w:t>
      </w:r>
      <w:r w:rsidR="00C54D75">
        <w:rPr>
          <w:rFonts w:ascii="Sylfaen" w:hAnsi="Sylfaen"/>
          <w:sz w:val="24"/>
          <w:szCs w:val="24"/>
        </w:rPr>
        <w:t>և</w:t>
      </w:r>
      <w:r w:rsidRPr="00834D52">
        <w:rPr>
          <w:rFonts w:ascii="Sylfaen" w:hAnsi="Sylfaen"/>
          <w:sz w:val="24"/>
          <w:szCs w:val="24"/>
        </w:rPr>
        <w:t xml:space="preserve"> դրանց վալիդացման ընտրության հիմնավորումը, </w:t>
      </w:r>
    </w:p>
    <w:p w14:paraId="54C0FB4B" w14:textId="77777777" w:rsidR="006F76EB" w:rsidRPr="00834D52" w:rsidRDefault="006F76EB" w:rsidP="004C797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մշակման փուլում արտադրված առանձին սերիաների որակի հսկողության արդյունքները:</w:t>
      </w:r>
    </w:p>
    <w:p w14:paraId="0A754663"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3.2.S.5.</w:t>
      </w:r>
      <w:r w:rsidRPr="00834D52">
        <w:rPr>
          <w:rFonts w:ascii="Sylfaen" w:hAnsi="Sylfaen"/>
          <w:sz w:val="24"/>
          <w:szCs w:val="24"/>
        </w:rPr>
        <w:tab/>
        <w:t>Ստանդարտ նմուշները կամ նյութերը՝</w:t>
      </w:r>
    </w:p>
    <w:p w14:paraId="501A0B25"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սահմանել </w:t>
      </w:r>
      <w:r w:rsidR="00C54D75">
        <w:rPr>
          <w:rFonts w:ascii="Sylfaen" w:hAnsi="Sylfaen"/>
          <w:sz w:val="24"/>
          <w:szCs w:val="24"/>
        </w:rPr>
        <w:t>և</w:t>
      </w:r>
      <w:r w:rsidRPr="00834D52">
        <w:rPr>
          <w:rFonts w:ascii="Sylfaen" w:hAnsi="Sylfaen"/>
          <w:sz w:val="24"/>
          <w:szCs w:val="24"/>
        </w:rPr>
        <w:t xml:space="preserve"> մանրամասն նկարագրել ստանդարտ նյութերն ու ստանդարտ նմուշները: Հնարավորության դեպքում անհրաժեշտ է կիրառել համապատասխան դեղագրքային քիմիական ստանդարտ նմուշներ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կենսաբանական ստանդարտ նյութեր:</w:t>
      </w:r>
    </w:p>
    <w:p w14:paraId="122A79B7"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3.2.S.6.</w:t>
      </w:r>
      <w:r w:rsidRPr="00834D52">
        <w:rPr>
          <w:rFonts w:ascii="Sylfaen" w:hAnsi="Sylfaen"/>
          <w:sz w:val="24"/>
          <w:szCs w:val="24"/>
        </w:rPr>
        <w:tab/>
        <w:t>Փաթեթավորման (խցան փակման) համակարգը</w:t>
      </w:r>
    </w:p>
    <w:p w14:paraId="028C0AD8"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առաջնային փաթեթվածքի </w:t>
      </w:r>
      <w:r w:rsidR="00C54D75">
        <w:rPr>
          <w:rFonts w:ascii="Sylfaen" w:hAnsi="Sylfaen"/>
          <w:sz w:val="24"/>
          <w:szCs w:val="24"/>
        </w:rPr>
        <w:t>և</w:t>
      </w:r>
      <w:r w:rsidRPr="00834D52">
        <w:rPr>
          <w:rFonts w:ascii="Sylfaen" w:hAnsi="Sylfaen"/>
          <w:sz w:val="24"/>
          <w:szCs w:val="24"/>
        </w:rPr>
        <w:t xml:space="preserve"> փաթեթավորման (խցան փակման) համակարգի նկարագրությունը </w:t>
      </w:r>
      <w:r w:rsidR="00C54D75">
        <w:rPr>
          <w:rFonts w:ascii="Sylfaen" w:hAnsi="Sylfaen"/>
          <w:sz w:val="24"/>
          <w:szCs w:val="24"/>
        </w:rPr>
        <w:t>և</w:t>
      </w:r>
      <w:r w:rsidRPr="00834D52">
        <w:rPr>
          <w:rFonts w:ascii="Sylfaen" w:hAnsi="Sylfaen"/>
          <w:sz w:val="24"/>
          <w:szCs w:val="24"/>
        </w:rPr>
        <w:t xml:space="preserve"> դրա բաղադրիչների մասնագրերի: </w:t>
      </w:r>
    </w:p>
    <w:p w14:paraId="5188BE22"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3.2.S.7.</w:t>
      </w:r>
      <w:r w:rsidRPr="00834D52">
        <w:rPr>
          <w:rFonts w:ascii="Sylfaen" w:hAnsi="Sylfaen"/>
          <w:sz w:val="24"/>
          <w:szCs w:val="24"/>
        </w:rPr>
        <w:tab/>
        <w:t>Կայունությունը</w:t>
      </w:r>
    </w:p>
    <w:p w14:paraId="05F30B01"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008270E4" w:rsidRPr="00A958BD">
        <w:rPr>
          <w:rFonts w:ascii="Sylfaen" w:hAnsi="Sylfaen"/>
          <w:sz w:val="24"/>
          <w:szCs w:val="24"/>
        </w:rPr>
        <w:tab/>
      </w:r>
      <w:r w:rsidRPr="00834D52">
        <w:rPr>
          <w:rFonts w:ascii="Sylfaen" w:hAnsi="Sylfaen"/>
          <w:sz w:val="24"/>
          <w:szCs w:val="24"/>
        </w:rPr>
        <w:t xml:space="preserve">անհրաժեշտ է ներկայացնել անցկացված հետազոտությունների մասին ռեզյումեն, օգտագործված պլանները (ծրագրերը) </w:t>
      </w:r>
      <w:r w:rsidR="00C54D75">
        <w:rPr>
          <w:rFonts w:ascii="Sylfaen" w:hAnsi="Sylfaen"/>
          <w:sz w:val="24"/>
          <w:szCs w:val="24"/>
        </w:rPr>
        <w:t>և</w:t>
      </w:r>
      <w:r w:rsidRPr="00834D52">
        <w:rPr>
          <w:rFonts w:ascii="Sylfaen" w:hAnsi="Sylfaen"/>
          <w:sz w:val="24"/>
          <w:szCs w:val="24"/>
        </w:rPr>
        <w:t xml:space="preserve"> հետազոտությունների ժամանակ ստացված արդյունքները, </w:t>
      </w:r>
    </w:p>
    <w:p w14:paraId="57F9D804"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անհրաժեշտ է ներկայացնել կայունության հետազոտության համապատասխան ձ</w:t>
      </w:r>
      <w:r w:rsidR="00C54D75">
        <w:rPr>
          <w:rFonts w:ascii="Sylfaen" w:hAnsi="Sylfaen"/>
          <w:sz w:val="24"/>
          <w:szCs w:val="24"/>
        </w:rPr>
        <w:t>և</w:t>
      </w:r>
      <w:r w:rsidRPr="00834D52">
        <w:rPr>
          <w:rFonts w:ascii="Sylfaen" w:hAnsi="Sylfaen"/>
          <w:sz w:val="24"/>
          <w:szCs w:val="24"/>
        </w:rPr>
        <w:t>աչափով ձ</w:t>
      </w:r>
      <w:r w:rsidR="00C54D75">
        <w:rPr>
          <w:rFonts w:ascii="Sylfaen" w:hAnsi="Sylfaen"/>
          <w:sz w:val="24"/>
          <w:szCs w:val="24"/>
        </w:rPr>
        <w:t>և</w:t>
      </w:r>
      <w:r w:rsidRPr="00834D52">
        <w:rPr>
          <w:rFonts w:ascii="Sylfaen" w:hAnsi="Sylfaen"/>
          <w:sz w:val="24"/>
          <w:szCs w:val="24"/>
        </w:rPr>
        <w:t xml:space="preserve">ակերպված մանրամասն արդյունքները, ներառյալ՝ օգտագործված վերլուծական մեթոդիկաների </w:t>
      </w:r>
      <w:r w:rsidR="00C54D75">
        <w:rPr>
          <w:rFonts w:ascii="Sylfaen" w:hAnsi="Sylfaen"/>
          <w:sz w:val="24"/>
          <w:szCs w:val="24"/>
        </w:rPr>
        <w:t>և</w:t>
      </w:r>
      <w:r w:rsidRPr="00834D52">
        <w:rPr>
          <w:rFonts w:ascii="Sylfaen" w:hAnsi="Sylfaen"/>
          <w:sz w:val="24"/>
          <w:szCs w:val="24"/>
        </w:rPr>
        <w:t xml:space="preserve"> դրանց վալիդացման մասին տեղեկությունները, </w:t>
      </w:r>
    </w:p>
    <w:p w14:paraId="26E0E334" w14:textId="221D1C79"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ներկայացնել հետգրանցումային շրջանում կայունության հետազոտության պլանը (ծրագիրը)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այն կատարելու պարտավորությունները: </w:t>
      </w:r>
    </w:p>
    <w:p w14:paraId="1C78FBE3"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w:t>
      </w:r>
      <w:r w:rsidRPr="00834D52">
        <w:rPr>
          <w:rFonts w:ascii="Sylfaen" w:hAnsi="Sylfaen"/>
          <w:sz w:val="24"/>
          <w:szCs w:val="24"/>
        </w:rPr>
        <w:tab/>
        <w:t>Դեղապատրաստուկը:</w:t>
      </w:r>
    </w:p>
    <w:p w14:paraId="6863FD91"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3.2.P.1.</w:t>
      </w:r>
      <w:r w:rsidRPr="00834D52">
        <w:rPr>
          <w:rFonts w:ascii="Sylfaen" w:hAnsi="Sylfaen"/>
          <w:sz w:val="24"/>
          <w:szCs w:val="24"/>
        </w:rPr>
        <w:tab/>
        <w:t xml:space="preserve">Դեղապատրաստուկի նկարագրությունն ու բաղադրությունը: </w:t>
      </w:r>
    </w:p>
    <w:p w14:paraId="5F03962A"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դեղապատրաստուկի նկարագրությունն ու դրա բաղադրությունը: Տեղեկատվությունը պետք է ներառի դեղաձ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բաղադրության նկարագրությունը՝ պատրաստի դեղաձ</w:t>
      </w:r>
      <w:r w:rsidR="00C54D75">
        <w:rPr>
          <w:rFonts w:ascii="Sylfaen" w:hAnsi="Sylfaen"/>
          <w:sz w:val="24"/>
          <w:szCs w:val="24"/>
        </w:rPr>
        <w:t>և</w:t>
      </w:r>
      <w:r w:rsidRPr="00834D52">
        <w:rPr>
          <w:rFonts w:ascii="Sylfaen" w:hAnsi="Sylfaen"/>
          <w:sz w:val="24"/>
          <w:szCs w:val="24"/>
        </w:rPr>
        <w:t xml:space="preserve">ի բոլոր բաղադրիչների, միավոր դեղաչափի հաշվարկով դրանց քանակության ցանկով, բաղադրամասերի գործառական նշանակությունը </w:t>
      </w:r>
    </w:p>
    <w:p w14:paraId="27A4B814" w14:textId="77777777" w:rsidR="006F76EB" w:rsidRPr="00834D52" w:rsidRDefault="006F76EB" w:rsidP="008270E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 </w:t>
      </w:r>
    </w:p>
    <w:p w14:paraId="7536A38A"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օժանդակ նյութեր՝ անկախ դրանց ծագումից կամ քանակից, ներառյալ՝ ներկանյութերը, կոնսերվանտները, մոդիֆիկատորները, ստաբիլիզատորները, </w:t>
      </w:r>
      <w:r w:rsidRPr="00834D52">
        <w:rPr>
          <w:rFonts w:ascii="Sylfaen" w:hAnsi="Sylfaen"/>
          <w:sz w:val="24"/>
          <w:szCs w:val="24"/>
        </w:rPr>
        <w:lastRenderedPageBreak/>
        <w:t xml:space="preserve">թանձրացուցիչները, էմուլգատորները, համային </w:t>
      </w:r>
      <w:r w:rsidR="00C54D75">
        <w:rPr>
          <w:rFonts w:ascii="Sylfaen" w:hAnsi="Sylfaen"/>
          <w:sz w:val="24"/>
          <w:szCs w:val="24"/>
        </w:rPr>
        <w:t>և</w:t>
      </w:r>
      <w:r w:rsidRPr="00834D52">
        <w:rPr>
          <w:rFonts w:ascii="Sylfaen" w:hAnsi="Sylfaen"/>
          <w:sz w:val="24"/>
          <w:szCs w:val="24"/>
        </w:rPr>
        <w:t xml:space="preserve"> բուրավետ նյութերը </w:t>
      </w:r>
      <w:r w:rsidR="00C54D75">
        <w:rPr>
          <w:rFonts w:ascii="Sylfaen" w:hAnsi="Sylfaen"/>
          <w:sz w:val="24"/>
          <w:szCs w:val="24"/>
        </w:rPr>
        <w:t>և</w:t>
      </w:r>
      <w:r w:rsidRPr="00834D52">
        <w:rPr>
          <w:rFonts w:ascii="Sylfaen" w:hAnsi="Sylfaen"/>
          <w:sz w:val="24"/>
          <w:szCs w:val="24"/>
        </w:rPr>
        <w:t xml:space="preserve"> այլն, </w:t>
      </w:r>
    </w:p>
    <w:p w14:paraId="4C2CE1E3"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 xml:space="preserve">ի, ներքին ընդունման ժամանակ կամ ներմուծման ցանկացած այլ եղանակով պացիենտի օրգանիզմ թափանցող դեղապատրաստուկների արտաքին թաղանթի բաղադրիչներ (պինդ դեղապատիճներ, փափուկ դեղապատիճներ, ուղիղաղիքային դեղապատիճներ, թաղանթով պատված հաբեր, թաղանթային ծածկույթով պատված հաբեր </w:t>
      </w:r>
      <w:r w:rsidR="00C54D75">
        <w:rPr>
          <w:rFonts w:ascii="Sylfaen" w:hAnsi="Sylfaen"/>
          <w:sz w:val="24"/>
          <w:szCs w:val="24"/>
        </w:rPr>
        <w:t>և</w:t>
      </w:r>
      <w:r w:rsidRPr="00834D52">
        <w:rPr>
          <w:rFonts w:ascii="Sylfaen" w:hAnsi="Sylfaen"/>
          <w:sz w:val="24"/>
          <w:szCs w:val="24"/>
        </w:rPr>
        <w:t xml:space="preserve"> այլն):</w:t>
      </w:r>
    </w:p>
    <w:p w14:paraId="70E2ABEF"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Նշված տեղեկություններն անհրաժեշտ է լրացնել կոնտեյների տեսակին </w:t>
      </w:r>
      <w:r w:rsidR="00C54D75">
        <w:rPr>
          <w:rFonts w:ascii="Sylfaen" w:hAnsi="Sylfaen"/>
          <w:sz w:val="24"/>
          <w:szCs w:val="24"/>
        </w:rPr>
        <w:t>և</w:t>
      </w:r>
      <w:r w:rsidRPr="00834D52">
        <w:rPr>
          <w:rFonts w:ascii="Sylfaen" w:hAnsi="Sylfaen"/>
          <w:sz w:val="24"/>
          <w:szCs w:val="24"/>
        </w:rPr>
        <w:t xml:space="preserve"> դրա խցանափակման եղանակին վերաբերող ցանկացած էական տվյալով (եթե</w:t>
      </w:r>
      <w:r w:rsidR="009C2B4F" w:rsidRPr="009C2B4F">
        <w:rPr>
          <w:rFonts w:ascii="Sylfaen" w:hAnsi="Sylfaen"/>
          <w:sz w:val="24"/>
          <w:szCs w:val="24"/>
        </w:rPr>
        <w:t> </w:t>
      </w:r>
      <w:r w:rsidRPr="00834D52">
        <w:rPr>
          <w:rFonts w:ascii="Sylfaen" w:hAnsi="Sylfaen"/>
          <w:sz w:val="24"/>
          <w:szCs w:val="24"/>
        </w:rPr>
        <w:t xml:space="preserve">կիրառելի է) այն սարքերի մասին մանրամասն տեղեկատվությամբ, որոնց օգնությամբ կօգտագործվի կամ կներմուծվի դեղապատրաստուկը, </w:t>
      </w:r>
      <w:r w:rsidR="00C54D75">
        <w:rPr>
          <w:rFonts w:ascii="Sylfaen" w:hAnsi="Sylfaen"/>
          <w:sz w:val="24"/>
          <w:szCs w:val="24"/>
        </w:rPr>
        <w:t>և</w:t>
      </w:r>
      <w:r w:rsidRPr="00834D52">
        <w:rPr>
          <w:rFonts w:ascii="Sylfaen" w:hAnsi="Sylfaen"/>
          <w:sz w:val="24"/>
          <w:szCs w:val="24"/>
        </w:rPr>
        <w:t xml:space="preserve"> որոնք կմատակարարվեն դեղապատրաստուկի հետ:</w:t>
      </w:r>
    </w:p>
    <w:p w14:paraId="42EAF44C" w14:textId="77777777" w:rsidR="006F76EB" w:rsidRPr="00834D52" w:rsidRDefault="006F76EB" w:rsidP="008270E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«Ընդունված տերմինաբանություն» արտահայությունը, որը, անկախ այլ դրույթների կիրառությունից, օգտագործվում է դեղապատրաստուկների բաղադրամասերի նկարագրության ժամանակ, նշանակում է հետ</w:t>
      </w:r>
      <w:r w:rsidR="00C54D75">
        <w:rPr>
          <w:rFonts w:ascii="Sylfaen" w:hAnsi="Sylfaen"/>
          <w:sz w:val="24"/>
          <w:szCs w:val="24"/>
        </w:rPr>
        <w:t>և</w:t>
      </w:r>
      <w:r w:rsidRPr="00834D52">
        <w:rPr>
          <w:rFonts w:ascii="Sylfaen" w:hAnsi="Sylfaen"/>
          <w:sz w:val="24"/>
          <w:szCs w:val="24"/>
        </w:rPr>
        <w:t xml:space="preserve">յալը՝ </w:t>
      </w:r>
    </w:p>
    <w:p w14:paraId="4AAAE6D8"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Առողջապահության համաշխարհային կազմակերպության կողմից ներկայացված ՄՉԱ ունեցող նյութերի համար՝ ՄՉԱ-ն կամ եթե նյութը հանդիպում է աղային, եթերային, հիդրատային կամ այլ ձ</w:t>
      </w:r>
      <w:r w:rsidR="00C54D75">
        <w:rPr>
          <w:rFonts w:ascii="Sylfaen" w:hAnsi="Sylfaen"/>
          <w:sz w:val="24"/>
          <w:szCs w:val="24"/>
        </w:rPr>
        <w:t>և</w:t>
      </w:r>
      <w:r w:rsidRPr="00834D52">
        <w:rPr>
          <w:rFonts w:ascii="Sylfaen" w:hAnsi="Sylfaen"/>
          <w:sz w:val="24"/>
          <w:szCs w:val="24"/>
        </w:rPr>
        <w:t xml:space="preserve">ով՝ համապատասխան մոդիֆիկացված ՄՉԱ-ն, </w:t>
      </w:r>
    </w:p>
    <w:p w14:paraId="1966C124"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այլ նյութերի համար (ՄՉԱ-ի բացակայության դեպքում)՝ համընդհանուր (խմբի) անվանումը՝ հաշվի առնելով աղային, եթերային, հիդրատային </w:t>
      </w:r>
      <w:r w:rsidR="00C54D75">
        <w:rPr>
          <w:rFonts w:ascii="Sylfaen" w:hAnsi="Sylfaen"/>
          <w:sz w:val="24"/>
          <w:szCs w:val="24"/>
        </w:rPr>
        <w:t>և</w:t>
      </w:r>
      <w:r w:rsidRPr="00834D52">
        <w:rPr>
          <w:rFonts w:ascii="Sylfaen" w:hAnsi="Sylfaen"/>
          <w:sz w:val="24"/>
          <w:szCs w:val="24"/>
        </w:rPr>
        <w:t xml:space="preserve"> այլ ձ</w:t>
      </w:r>
      <w:r w:rsidR="00C54D75">
        <w:rPr>
          <w:rFonts w:ascii="Sylfaen" w:hAnsi="Sylfaen"/>
          <w:sz w:val="24"/>
          <w:szCs w:val="24"/>
        </w:rPr>
        <w:t>և</w:t>
      </w:r>
      <w:r w:rsidRPr="00834D52">
        <w:rPr>
          <w:rFonts w:ascii="Sylfaen" w:hAnsi="Sylfaen"/>
          <w:sz w:val="24"/>
          <w:szCs w:val="24"/>
        </w:rPr>
        <w:t xml:space="preserve">եր, համընդհանուր (խմբի) անվանման բացակայության դեպքում՝ քիմիական անվանումը՝ ըստ IUPAC-ի անվանացանկի, իսկ վերջինիս բացակայության դեպքում բերվում են տվյալներ՝ ներմուծված հավելումների </w:t>
      </w:r>
      <w:r w:rsidR="00C54D75">
        <w:rPr>
          <w:rFonts w:ascii="Sylfaen" w:hAnsi="Sylfaen"/>
          <w:sz w:val="24"/>
          <w:szCs w:val="24"/>
        </w:rPr>
        <w:t>և</w:t>
      </w:r>
      <w:r w:rsidRPr="00834D52">
        <w:rPr>
          <w:rFonts w:ascii="Sylfaen" w:hAnsi="Sylfaen"/>
          <w:sz w:val="24"/>
          <w:szCs w:val="24"/>
        </w:rPr>
        <w:t xml:space="preserve"> այլնի ստանցման աղբյուրների </w:t>
      </w:r>
      <w:r w:rsidR="00C54D75">
        <w:rPr>
          <w:rFonts w:ascii="Sylfaen" w:hAnsi="Sylfaen"/>
          <w:sz w:val="24"/>
          <w:szCs w:val="24"/>
        </w:rPr>
        <w:t>և</w:t>
      </w:r>
      <w:r w:rsidRPr="00834D52">
        <w:rPr>
          <w:rFonts w:ascii="Sylfaen" w:hAnsi="Sylfaen"/>
          <w:sz w:val="24"/>
          <w:szCs w:val="24"/>
        </w:rPr>
        <w:t xml:space="preserve"> եղանակների առկայության մասին (անհրաժեշտության դեպքում համապատասխան մանրամասներով),</w:t>
      </w:r>
    </w:p>
    <w:p w14:paraId="160C3F4C"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ներկանյութերի համար անվանումից զատ բերվում է համապատասխան ծածկագիրը՝ համաձայն Կոդեքս Ալիմենտարիուսի Սննդային հավելումների </w:t>
      </w:r>
      <w:r w:rsidRPr="00834D52">
        <w:rPr>
          <w:rFonts w:ascii="Sylfaen" w:hAnsi="Sylfaen"/>
          <w:sz w:val="24"/>
          <w:szCs w:val="24"/>
        </w:rPr>
        <w:lastRenderedPageBreak/>
        <w:t>համարակալման միջազգային համակարգի (Е-ծածկագրեր):</w:t>
      </w:r>
    </w:p>
    <w:p w14:paraId="6EE50971" w14:textId="77777777" w:rsidR="006F76EB" w:rsidRPr="00834D52" w:rsidRDefault="006F76EB" w:rsidP="009C2B4F">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«քանակական բաղադրություն» բաժնում ակտիվ դեղագործական բաղադրամասի համար, կախված դեղաձ</w:t>
      </w:r>
      <w:r w:rsidR="00C54D75">
        <w:rPr>
          <w:rFonts w:ascii="Sylfaen" w:hAnsi="Sylfaen"/>
          <w:sz w:val="24"/>
          <w:szCs w:val="24"/>
        </w:rPr>
        <w:t>և</w:t>
      </w:r>
      <w:r w:rsidRPr="00834D52">
        <w:rPr>
          <w:rFonts w:ascii="Sylfaen" w:hAnsi="Sylfaen"/>
          <w:sz w:val="24"/>
          <w:szCs w:val="24"/>
        </w:rPr>
        <w:t>ից, անհրաժեշտ է նշել կենսաբանական ակտիվության միավորների զանգվածը կամ քանակը՝ դեղաձ</w:t>
      </w:r>
      <w:r w:rsidR="00C54D75">
        <w:rPr>
          <w:rFonts w:ascii="Sylfaen" w:hAnsi="Sylfaen"/>
          <w:sz w:val="24"/>
          <w:szCs w:val="24"/>
        </w:rPr>
        <w:t>և</w:t>
      </w:r>
      <w:r w:rsidRPr="00834D52">
        <w:rPr>
          <w:rFonts w:ascii="Sylfaen" w:hAnsi="Sylfaen"/>
          <w:sz w:val="24"/>
          <w:szCs w:val="24"/>
        </w:rPr>
        <w:t>ի դոզավորման միավորի կամ զանգվածի միավորի կամ յուրաքանչյուր ակտիվ դեղագործական բաղադրամասի ծավալի միավորի հաշվարկով:</w:t>
      </w:r>
    </w:p>
    <w:p w14:paraId="63A83526" w14:textId="771D69D2"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ակտիվ դեղագործական բաղադրամասերը ներկայացված են միացությունների կամ ածանցյալների տեսքով, ապա անհրաժեշտ է ներկայացնել դրանց քանակական </w:t>
      </w:r>
      <w:r w:rsidR="009F5829">
        <w:rPr>
          <w:rFonts w:ascii="Sylfaen" w:hAnsi="Sylfaen"/>
          <w:sz w:val="24"/>
          <w:szCs w:val="24"/>
        </w:rPr>
        <w:t>արտահայտություն</w:t>
      </w:r>
      <w:r w:rsidRPr="00834D52">
        <w:rPr>
          <w:rFonts w:ascii="Sylfaen" w:hAnsi="Sylfaen"/>
          <w:sz w:val="24"/>
          <w:szCs w:val="24"/>
        </w:rPr>
        <w:t xml:space="preserve">ը՝ նշելով դրանց ընդհանուր զանգվածը </w:t>
      </w:r>
      <w:r w:rsidR="00C54D75">
        <w:rPr>
          <w:rFonts w:ascii="Sylfaen" w:hAnsi="Sylfaen"/>
          <w:sz w:val="24"/>
          <w:szCs w:val="24"/>
        </w:rPr>
        <w:t>և</w:t>
      </w:r>
      <w:r w:rsidRPr="00834D52">
        <w:rPr>
          <w:rFonts w:ascii="Sylfaen" w:hAnsi="Sylfaen"/>
          <w:sz w:val="24"/>
          <w:szCs w:val="24"/>
        </w:rPr>
        <w:t xml:space="preserve"> մոլեկուլի ակտիվ մասի զանգվածը (անհրաժեշտության դեպքում):</w:t>
      </w:r>
    </w:p>
    <w:p w14:paraId="470BF1CF" w14:textId="02C1A9FF"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բաղադրության մեջ առաջին անգամ </w:t>
      </w:r>
      <w:r w:rsidR="001A5F1A">
        <w:rPr>
          <w:rFonts w:ascii="Sylfaen" w:hAnsi="Sylfaen"/>
          <w:sz w:val="24"/>
          <w:szCs w:val="24"/>
        </w:rPr>
        <w:t>հայտագրված</w:t>
      </w:r>
      <w:r w:rsidRPr="00834D52">
        <w:rPr>
          <w:rFonts w:ascii="Sylfaen" w:hAnsi="Sylfaen"/>
          <w:sz w:val="24"/>
          <w:szCs w:val="24"/>
        </w:rPr>
        <w:t xml:space="preserve"> ակտիվ դեղագործական բաղադրամաս պարունակող դեղապատրաստուկների համար աղ կամ հիդրատ հանդիսացող ակտիվ դեղագործական բաղադրամասի քանակը անհրաժեշտ է միշտ նշել ակտիվ մասի մոլեկուլի զանգվածի հաշվարկով: </w:t>
      </w:r>
    </w:p>
    <w:p w14:paraId="30486778" w14:textId="6D3EE251" w:rsidR="006F76EB" w:rsidRPr="00834D52" w:rsidRDefault="006F76EB" w:rsidP="004176F2">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Որ</w:t>
      </w:r>
      <w:r w:rsidR="00C54D75">
        <w:rPr>
          <w:rFonts w:ascii="Sylfaen" w:hAnsi="Sylfaen"/>
          <w:spacing w:val="-4"/>
          <w:sz w:val="24"/>
          <w:szCs w:val="24"/>
        </w:rPr>
        <w:t>և</w:t>
      </w:r>
      <w:r w:rsidRPr="00834D52">
        <w:rPr>
          <w:rFonts w:ascii="Sylfaen" w:hAnsi="Sylfaen"/>
          <w:spacing w:val="-4"/>
          <w:sz w:val="24"/>
          <w:szCs w:val="24"/>
        </w:rPr>
        <w:t xml:space="preserve">է անդամ պետությունում դեղապատրաստուկի բաղադրության մեջ առաջին անգամ գրանցվող ակտիվ դեղագործական բաղադրամաս պարունակող դեղապատրաստուկների առնչությամբ այդ ակտիվ դեղագործական բաղադրամասի քանակական պարունակությունը, եթե այն աղ է կամ հիդրատ, անհրաժեշտ է </w:t>
      </w:r>
      <w:r w:rsidR="005F6A31">
        <w:rPr>
          <w:rFonts w:ascii="Sylfaen" w:hAnsi="Sylfaen"/>
          <w:spacing w:val="-4"/>
          <w:sz w:val="24"/>
          <w:szCs w:val="24"/>
        </w:rPr>
        <w:t>արտահայտե</w:t>
      </w:r>
      <w:r w:rsidRPr="00834D52">
        <w:rPr>
          <w:rFonts w:ascii="Sylfaen" w:hAnsi="Sylfaen"/>
          <w:spacing w:val="-4"/>
          <w:sz w:val="24"/>
          <w:szCs w:val="24"/>
        </w:rPr>
        <w:t xml:space="preserve">լ համաձայն համակարգային մոտեցման՝ ըստ մոլեկուլի ակտիվ մասի զանգվածի: Նույնպիսի ակտիվ դեղագործական բաղադրամասի քանակական պարունակությունն անդամ պետություններում գրանցվելիք հետագա բոլոր դեղապատրաստուկների մեջ անհրաժեշտ է նշել նույն կերպ: </w:t>
      </w:r>
    </w:p>
    <w:p w14:paraId="64B63531" w14:textId="7F3F2068"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սուբստանցիայի կամ ակտիվ նյութի համար, որը չի կարելի որոշել քիմիական եղանակով, նշվում են կենսաբանական ակտիվության միավորները կամ, առկայության դեպքում, Առողջապահության համաշխարհային կազմակերպության կողմից սահմանված կենսաբանական ակտիվության միջազգային միավորները: Եթե Առողջապահության համաշխարհային կազմակերպության միավորները սահմանված չեն, ապա կենսաբանական </w:t>
      </w:r>
      <w:r w:rsidRPr="00834D52">
        <w:rPr>
          <w:rFonts w:ascii="Sylfaen" w:hAnsi="Sylfaen"/>
          <w:sz w:val="24"/>
          <w:szCs w:val="24"/>
        </w:rPr>
        <w:lastRenderedPageBreak/>
        <w:t xml:space="preserve">ակտիվության միավորները պետք է </w:t>
      </w:r>
      <w:r w:rsidR="005F6A31">
        <w:rPr>
          <w:rFonts w:ascii="Sylfaen" w:hAnsi="Sylfaen"/>
          <w:sz w:val="24"/>
          <w:szCs w:val="24"/>
        </w:rPr>
        <w:t>արտահայտե</w:t>
      </w:r>
      <w:r w:rsidRPr="00834D52">
        <w:rPr>
          <w:rFonts w:ascii="Sylfaen" w:hAnsi="Sylfaen"/>
          <w:sz w:val="24"/>
          <w:szCs w:val="24"/>
        </w:rPr>
        <w:t xml:space="preserve">լ այնպես, որ ներկայացվի ճշգրիտ տեղեկատվություն՝ սուբստանցիայի կամ ազդող նյութի ակտիվության մասին՝ օգտագործելով, որտեղ անհրաժեշտ է, Եվրասիական տնտեսական միության դեղագրքի միավորները: Հնարավորության դեպքում պետք է նշվի միավոր զանգվածի կենսաբանական ակտիվությունը: </w:t>
      </w:r>
    </w:p>
    <w:p w14:paraId="3D238765" w14:textId="77777777" w:rsidR="006F76EB" w:rsidRPr="00AC17B1" w:rsidRDefault="006F76EB" w:rsidP="00C02BB4">
      <w:pPr>
        <w:tabs>
          <w:tab w:val="left" w:pos="1701"/>
          <w:tab w:val="left" w:pos="6720"/>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3.2.P.2.</w:t>
      </w:r>
      <w:r w:rsidRPr="00834D52">
        <w:rPr>
          <w:rFonts w:ascii="Sylfaen" w:hAnsi="Sylfaen"/>
          <w:sz w:val="24"/>
          <w:szCs w:val="24"/>
        </w:rPr>
        <w:tab/>
        <w:t xml:space="preserve">Դեղագործական մշակում՝ </w:t>
      </w:r>
    </w:p>
    <w:p w14:paraId="170E0B6E" w14:textId="38528480"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Տվյալ բաժնում պարունակվում է տեղեկատվություն՝ մշակման հետազոտությունների մասին, որոնք անցկացվել են՝ ապացուցելու այն, որ դեղաձ</w:t>
      </w:r>
      <w:r w:rsidR="00C54D75">
        <w:rPr>
          <w:rFonts w:ascii="Sylfaen" w:hAnsi="Sylfaen"/>
          <w:sz w:val="24"/>
          <w:szCs w:val="24"/>
        </w:rPr>
        <w:t>և</w:t>
      </w:r>
      <w:r w:rsidRPr="00834D52">
        <w:rPr>
          <w:rFonts w:ascii="Sylfaen" w:hAnsi="Sylfaen"/>
          <w:sz w:val="24"/>
          <w:szCs w:val="24"/>
        </w:rPr>
        <w:t>ը, բաղադրությունը, արտադրական գործընթացը, փաթեթավորման (խցանափակման) համակարգը, միկրոկենսբանական բնութագրերը, անմիջական օգտագործման համար պիտանի վերջնական դեղաձ</w:t>
      </w:r>
      <w:r w:rsidR="00C54D75">
        <w:rPr>
          <w:rFonts w:ascii="Sylfaen" w:hAnsi="Sylfaen"/>
          <w:sz w:val="24"/>
          <w:szCs w:val="24"/>
        </w:rPr>
        <w:t>և</w:t>
      </w:r>
      <w:r w:rsidRPr="00834D52">
        <w:rPr>
          <w:rFonts w:ascii="Sylfaen" w:hAnsi="Sylfaen"/>
          <w:sz w:val="24"/>
          <w:szCs w:val="24"/>
        </w:rPr>
        <w:t xml:space="preserve">ը պատրաստելու ցուցումները համապատասխանում են </w:t>
      </w:r>
      <w:r w:rsidR="0056496B">
        <w:rPr>
          <w:rFonts w:ascii="Sylfaen" w:hAnsi="Sylfaen"/>
          <w:sz w:val="24"/>
          <w:szCs w:val="24"/>
        </w:rPr>
        <w:t>դիմումատու</w:t>
      </w:r>
      <w:r w:rsidRPr="00834D52">
        <w:rPr>
          <w:rFonts w:ascii="Sylfaen" w:hAnsi="Sylfaen"/>
          <w:sz w:val="24"/>
          <w:szCs w:val="24"/>
        </w:rPr>
        <w:t>ի կողմից դեղապատրաստուկի գրանցման դոսյեում նշված պլանավորվող կիրառությանը:</w:t>
      </w:r>
    </w:p>
    <w:p w14:paraId="10D9375B" w14:textId="77777777"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բաժնում նկարագրված հետազոտությունները տարբերվում են մասնագրերին համապատասխան անցկացվող ընդունված ստուգիչ փորձարկումներից: Անհրաժեշտ է սահմանել </w:t>
      </w:r>
      <w:r w:rsidR="00C54D75">
        <w:rPr>
          <w:rFonts w:ascii="Sylfaen" w:hAnsi="Sylfaen"/>
          <w:sz w:val="24"/>
          <w:szCs w:val="24"/>
        </w:rPr>
        <w:t>և</w:t>
      </w:r>
      <w:r w:rsidRPr="00834D52">
        <w:rPr>
          <w:rFonts w:ascii="Sylfaen" w:hAnsi="Sylfaen"/>
          <w:sz w:val="24"/>
          <w:szCs w:val="24"/>
        </w:rPr>
        <w:t xml:space="preserve"> նկարագրել բաղադրության կրիտիկական պարամետրերն ու գործընթացի բնութագրերը, որոնք կարող են ազդել դեղապատրաստուկի սերիաների վերարտադրելիության, ազդեցության </w:t>
      </w:r>
      <w:r w:rsidR="00C54D75">
        <w:rPr>
          <w:rFonts w:ascii="Sylfaen" w:hAnsi="Sylfaen"/>
          <w:sz w:val="24"/>
          <w:szCs w:val="24"/>
        </w:rPr>
        <w:t>և</w:t>
      </w:r>
      <w:r w:rsidRPr="00834D52">
        <w:rPr>
          <w:rFonts w:ascii="Sylfaen" w:hAnsi="Sylfaen"/>
          <w:sz w:val="24"/>
          <w:szCs w:val="24"/>
        </w:rPr>
        <w:t xml:space="preserve"> որակի վրա: Անհրաժեշտության դեպքում լրացուցիչ հավաստող տվյալներ ներկայացնելիս հարկ է հղում անել 4-րդ </w:t>
      </w:r>
      <w:r w:rsidR="00C54D75">
        <w:rPr>
          <w:rFonts w:ascii="Sylfaen" w:hAnsi="Sylfaen"/>
          <w:sz w:val="24"/>
          <w:szCs w:val="24"/>
        </w:rPr>
        <w:t>և</w:t>
      </w:r>
      <w:r w:rsidRPr="00834D52">
        <w:rPr>
          <w:rFonts w:ascii="Sylfaen" w:hAnsi="Sylfaen"/>
          <w:sz w:val="24"/>
          <w:szCs w:val="24"/>
        </w:rPr>
        <w:t xml:space="preserve"> 5-րդ մոդուլների համապատասխան կետերին՝</w:t>
      </w:r>
    </w:p>
    <w:p w14:paraId="782D60F7" w14:textId="77777777"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հիմնավորել ակտիվ դեղագործական բաղադրամասի համատեղելիությունը օժանդակ նյութերի հետ, ինչպես նա</w:t>
      </w:r>
      <w:r w:rsidR="00C54D75">
        <w:rPr>
          <w:rFonts w:ascii="Sylfaen" w:hAnsi="Sylfaen"/>
          <w:sz w:val="24"/>
          <w:szCs w:val="24"/>
        </w:rPr>
        <w:t>և</w:t>
      </w:r>
      <w:r w:rsidRPr="00834D52">
        <w:rPr>
          <w:rFonts w:ascii="Sylfaen" w:hAnsi="Sylfaen"/>
          <w:sz w:val="24"/>
          <w:szCs w:val="24"/>
        </w:rPr>
        <w:t xml:space="preserve"> ակտիվ դեղագործական բաղադրամասի հիմնական ֆիզիկաքիմիական հատկությունները, որոնք կարող են ազդել դեղապատրաստուկի բնութագրերի կամ համակցված դեղապատրաստուկների դեպքում՝ միմյանց հետ տարբեր ակտիվ դեղագործական բաղադրամասերի համադրելիության վրա, </w:t>
      </w:r>
    </w:p>
    <w:p w14:paraId="7FEDEBCC" w14:textId="77777777" w:rsidR="006F76EB" w:rsidRPr="00C02BB4" w:rsidRDefault="006F76EB" w:rsidP="004176F2">
      <w:pPr>
        <w:spacing w:after="160" w:line="372" w:lineRule="auto"/>
        <w:ind w:right="-6" w:firstLine="567"/>
        <w:jc w:val="both"/>
        <w:rPr>
          <w:rFonts w:ascii="Sylfaen" w:eastAsia="Times New Roman" w:hAnsi="Sylfaen" w:cs="Times New Roman"/>
          <w:spacing w:val="-6"/>
          <w:sz w:val="24"/>
          <w:szCs w:val="24"/>
        </w:rPr>
      </w:pPr>
      <w:r w:rsidRPr="00C02BB4">
        <w:rPr>
          <w:rFonts w:ascii="Sylfaen" w:hAnsi="Sylfaen"/>
          <w:spacing w:val="-6"/>
          <w:sz w:val="24"/>
          <w:szCs w:val="24"/>
        </w:rPr>
        <w:t xml:space="preserve">անհրաժեշտ է հիմնավորել օժանդակ նյութերի ընտրությունը, հատկապես դրանց համապատասխան գործառական բնութագրերի </w:t>
      </w:r>
      <w:r w:rsidR="00C54D75">
        <w:rPr>
          <w:rFonts w:ascii="Sylfaen" w:hAnsi="Sylfaen"/>
          <w:spacing w:val="-6"/>
          <w:sz w:val="24"/>
          <w:szCs w:val="24"/>
        </w:rPr>
        <w:t>և</w:t>
      </w:r>
      <w:r w:rsidRPr="00C02BB4">
        <w:rPr>
          <w:rFonts w:ascii="Sylfaen" w:hAnsi="Sylfaen"/>
          <w:spacing w:val="-6"/>
          <w:sz w:val="24"/>
          <w:szCs w:val="24"/>
        </w:rPr>
        <w:t xml:space="preserve"> բովանդակության առումով, </w:t>
      </w:r>
    </w:p>
    <w:p w14:paraId="657BEBEA" w14:textId="77777777" w:rsidR="006F76EB" w:rsidRPr="00834D52" w:rsidRDefault="006F76EB" w:rsidP="004176F2">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անհրաժեշտ է ներկայացնել դեղապատրաստուկի մշակման նկարագրությունը՝ հաշվի առնելով ներմուծման առաջարկվող ուղին </w:t>
      </w:r>
      <w:r w:rsidR="00C54D75">
        <w:rPr>
          <w:rFonts w:ascii="Sylfaen" w:hAnsi="Sylfaen"/>
          <w:sz w:val="24"/>
          <w:szCs w:val="24"/>
        </w:rPr>
        <w:t>և</w:t>
      </w:r>
      <w:r w:rsidRPr="00834D52">
        <w:rPr>
          <w:rFonts w:ascii="Sylfaen" w:hAnsi="Sylfaen"/>
          <w:sz w:val="24"/>
          <w:szCs w:val="24"/>
        </w:rPr>
        <w:t xml:space="preserve"> կիրառության եղանակը, </w:t>
      </w:r>
    </w:p>
    <w:p w14:paraId="5E16651F"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բաղադրության մեջ ցանկացած ավելցուկի առկայություն պետք է հիմնավորված լինի, </w:t>
      </w:r>
    </w:p>
    <w:p w14:paraId="1C322C6F"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w:t>
      </w:r>
      <w:r w:rsidR="00C54D75">
        <w:rPr>
          <w:rFonts w:ascii="Sylfaen" w:hAnsi="Sylfaen"/>
          <w:sz w:val="24"/>
          <w:szCs w:val="24"/>
        </w:rPr>
        <w:t>և</w:t>
      </w:r>
      <w:r w:rsidRPr="00834D52">
        <w:rPr>
          <w:rFonts w:ascii="Sylfaen" w:hAnsi="Sylfaen"/>
          <w:sz w:val="24"/>
          <w:szCs w:val="24"/>
        </w:rPr>
        <w:t xml:space="preserve"> հիմնավորել ցանկացած ֆիզիկաքիմիական </w:t>
      </w:r>
      <w:r w:rsidR="00C54D75">
        <w:rPr>
          <w:rFonts w:ascii="Sylfaen" w:hAnsi="Sylfaen"/>
          <w:sz w:val="24"/>
          <w:szCs w:val="24"/>
        </w:rPr>
        <w:t>և</w:t>
      </w:r>
      <w:r w:rsidRPr="00834D52">
        <w:rPr>
          <w:rFonts w:ascii="Sylfaen" w:hAnsi="Sylfaen"/>
          <w:sz w:val="24"/>
          <w:szCs w:val="24"/>
        </w:rPr>
        <w:t xml:space="preserve"> կենսաբանական հատկություն </w:t>
      </w:r>
      <w:r w:rsidR="00C54D75">
        <w:rPr>
          <w:rFonts w:ascii="Sylfaen" w:hAnsi="Sylfaen"/>
          <w:sz w:val="24"/>
          <w:szCs w:val="24"/>
        </w:rPr>
        <w:t>և</w:t>
      </w:r>
      <w:r w:rsidRPr="00834D52">
        <w:rPr>
          <w:rFonts w:ascii="Sylfaen" w:hAnsi="Sylfaen"/>
          <w:sz w:val="24"/>
          <w:szCs w:val="24"/>
        </w:rPr>
        <w:t xml:space="preserve"> դեղապատրաստուկի բնութագրերի վրա ազդող ցանկացած պարամետր, </w:t>
      </w:r>
    </w:p>
    <w:p w14:paraId="4BDF4D74"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տեղեկատվություն՝ արտադրական գործընթացի ընտրության </w:t>
      </w:r>
      <w:r w:rsidR="00C54D75">
        <w:rPr>
          <w:rFonts w:ascii="Sylfaen" w:hAnsi="Sylfaen"/>
          <w:sz w:val="24"/>
          <w:szCs w:val="24"/>
        </w:rPr>
        <w:t>և</w:t>
      </w:r>
      <w:r w:rsidRPr="00834D52">
        <w:rPr>
          <w:rFonts w:ascii="Sylfaen" w:hAnsi="Sylfaen"/>
          <w:sz w:val="24"/>
          <w:szCs w:val="24"/>
        </w:rPr>
        <w:t xml:space="preserve"> օպտիմալացման, ինչպես նա</w:t>
      </w:r>
      <w:r w:rsidR="00C54D75">
        <w:rPr>
          <w:rFonts w:ascii="Sylfaen" w:hAnsi="Sylfaen"/>
          <w:sz w:val="24"/>
          <w:szCs w:val="24"/>
        </w:rPr>
        <w:t>և</w:t>
      </w:r>
      <w:r w:rsidRPr="00834D52">
        <w:rPr>
          <w:rFonts w:ascii="Sylfaen" w:hAnsi="Sylfaen"/>
          <w:sz w:val="24"/>
          <w:szCs w:val="24"/>
        </w:rPr>
        <w:t xml:space="preserve"> կլինիկական փորձարկումների փուլերում ներգրավված սերիաների պատրաստման ժամանակ օգտագործված արտադրական գործընթացի </w:t>
      </w:r>
      <w:r w:rsidR="00C54D75">
        <w:rPr>
          <w:rFonts w:ascii="Sylfaen" w:hAnsi="Sylfaen"/>
          <w:sz w:val="24"/>
          <w:szCs w:val="24"/>
        </w:rPr>
        <w:t>և</w:t>
      </w:r>
      <w:r w:rsidRPr="00834D52">
        <w:rPr>
          <w:rFonts w:ascii="Sylfaen" w:hAnsi="Sylfaen"/>
          <w:sz w:val="24"/>
          <w:szCs w:val="24"/>
        </w:rPr>
        <w:t xml:space="preserve"> պատրաստի դեղապատրաստուկի արտադրության պլանավորվող արդյունաբերական գործընթացի միջ</w:t>
      </w:r>
      <w:r w:rsidR="00C54D75">
        <w:rPr>
          <w:rFonts w:ascii="Sylfaen" w:hAnsi="Sylfaen"/>
          <w:sz w:val="24"/>
          <w:szCs w:val="24"/>
        </w:rPr>
        <w:t>և</w:t>
      </w:r>
      <w:r w:rsidRPr="00834D52">
        <w:rPr>
          <w:rFonts w:ascii="Sylfaen" w:hAnsi="Sylfaen"/>
          <w:sz w:val="24"/>
          <w:szCs w:val="24"/>
        </w:rPr>
        <w:t xml:space="preserve"> տարբերությունների (անհամապատասխանությունների) մասին, </w:t>
      </w:r>
    </w:p>
    <w:p w14:paraId="50AB3EA5"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հիմնավորել առաջնային փաթեթվածքի </w:t>
      </w:r>
      <w:r w:rsidR="00C54D75">
        <w:rPr>
          <w:rFonts w:ascii="Sylfaen" w:hAnsi="Sylfaen"/>
          <w:sz w:val="24"/>
          <w:szCs w:val="24"/>
        </w:rPr>
        <w:t>և</w:t>
      </w:r>
      <w:r w:rsidRPr="00834D52">
        <w:rPr>
          <w:rFonts w:ascii="Sylfaen" w:hAnsi="Sylfaen"/>
          <w:sz w:val="24"/>
          <w:szCs w:val="24"/>
        </w:rPr>
        <w:t xml:space="preserve"> խցանափակման այն համակարգի պիտանիությունը, որն օգտագործվում է դեղապատրաստուկի պահպանման, տրանսպորտային փոխադրման </w:t>
      </w:r>
      <w:r w:rsidR="00C54D75">
        <w:rPr>
          <w:rFonts w:ascii="Sylfaen" w:hAnsi="Sylfaen"/>
          <w:sz w:val="24"/>
          <w:szCs w:val="24"/>
        </w:rPr>
        <w:t>և</w:t>
      </w:r>
      <w:r w:rsidRPr="00834D52">
        <w:rPr>
          <w:rFonts w:ascii="Sylfaen" w:hAnsi="Sylfaen"/>
          <w:sz w:val="24"/>
          <w:szCs w:val="24"/>
        </w:rPr>
        <w:t xml:space="preserve"> կիրառության համար: Ընդ</w:t>
      </w:r>
      <w:r w:rsidR="00833B50" w:rsidRPr="00833B50">
        <w:rPr>
          <w:rFonts w:ascii="Sylfaen" w:hAnsi="Sylfaen"/>
          <w:sz w:val="24"/>
          <w:szCs w:val="24"/>
        </w:rPr>
        <w:t> </w:t>
      </w:r>
      <w:r w:rsidRPr="00834D52">
        <w:rPr>
          <w:rFonts w:ascii="Sylfaen" w:hAnsi="Sylfaen"/>
          <w:sz w:val="24"/>
          <w:szCs w:val="24"/>
        </w:rPr>
        <w:t xml:space="preserve">որում, կարող է պահանջվել դեղապատրաստուկի </w:t>
      </w:r>
      <w:r w:rsidR="00C54D75">
        <w:rPr>
          <w:rFonts w:ascii="Sylfaen" w:hAnsi="Sylfaen"/>
          <w:sz w:val="24"/>
          <w:szCs w:val="24"/>
        </w:rPr>
        <w:t>և</w:t>
      </w:r>
      <w:r w:rsidRPr="00834D52">
        <w:rPr>
          <w:rFonts w:ascii="Sylfaen" w:hAnsi="Sylfaen"/>
          <w:sz w:val="24"/>
          <w:szCs w:val="24"/>
        </w:rPr>
        <w:t xml:space="preserve"> առաջնային փաթեթվածքի նյութի միջ</w:t>
      </w:r>
      <w:r w:rsidR="00C54D75">
        <w:rPr>
          <w:rFonts w:ascii="Sylfaen" w:hAnsi="Sylfaen"/>
          <w:sz w:val="24"/>
          <w:szCs w:val="24"/>
        </w:rPr>
        <w:t>և</w:t>
      </w:r>
      <w:r w:rsidRPr="00834D52">
        <w:rPr>
          <w:rFonts w:ascii="Sylfaen" w:hAnsi="Sylfaen"/>
          <w:sz w:val="24"/>
          <w:szCs w:val="24"/>
        </w:rPr>
        <w:t xml:space="preserve"> հնարավոր փոխազդեցության նկարագրություն, </w:t>
      </w:r>
    </w:p>
    <w:p w14:paraId="548F222C" w14:textId="77777777" w:rsidR="006F76EB" w:rsidRPr="00834D52" w:rsidRDefault="006F76EB" w:rsidP="004176F2">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ինչպես ոչ մանրէազերծ, այնպես էլ մանրէազերծ դեղապատրաստուկների համար անհրաժեշտ է ներկայացնել դեղաձ</w:t>
      </w:r>
      <w:r w:rsidR="00C54D75">
        <w:rPr>
          <w:rFonts w:ascii="Sylfaen" w:hAnsi="Sylfaen"/>
          <w:sz w:val="24"/>
          <w:szCs w:val="24"/>
        </w:rPr>
        <w:t>և</w:t>
      </w:r>
      <w:r w:rsidRPr="00834D52">
        <w:rPr>
          <w:rFonts w:ascii="Sylfaen" w:hAnsi="Sylfaen"/>
          <w:sz w:val="24"/>
          <w:szCs w:val="24"/>
        </w:rPr>
        <w:t xml:space="preserve">ի միկրոկենսաբանական բնութագրերը՝ Եվրասիական տնտեսական միության դեղագրքի պահանջներին համապատասխան, </w:t>
      </w:r>
    </w:p>
    <w:p w14:paraId="121ED0D9" w14:textId="77777777" w:rsidR="006F76EB" w:rsidRPr="00C02BB4" w:rsidRDefault="006F76EB" w:rsidP="004176F2">
      <w:pPr>
        <w:spacing w:after="160" w:line="384" w:lineRule="auto"/>
        <w:ind w:right="-6" w:firstLine="567"/>
        <w:jc w:val="both"/>
        <w:rPr>
          <w:rFonts w:ascii="Sylfaen" w:eastAsia="Times New Roman" w:hAnsi="Sylfaen" w:cs="Times New Roman"/>
          <w:spacing w:val="-6"/>
          <w:sz w:val="24"/>
          <w:szCs w:val="24"/>
        </w:rPr>
      </w:pPr>
      <w:r w:rsidRPr="00C02BB4">
        <w:rPr>
          <w:rFonts w:ascii="Sylfaen" w:hAnsi="Sylfaen"/>
          <w:spacing w:val="-6"/>
          <w:sz w:val="24"/>
          <w:szCs w:val="24"/>
        </w:rPr>
        <w:t>լուծիչների կամ դոզատորի (դոզավորող սարքի) կիրառության վերաբերյալ համապատասխան լրացուցիչ տեղեկություններ ներկայացնելու համար անհրաժեշտ է հիմնավորել դեղապատրաստուկի համատեղելիությունը կիրառությունից առաջ նոսրացման համար նախատեսված լուծիչների կամ դոզատորի հետ:</w:t>
      </w:r>
    </w:p>
    <w:p w14:paraId="433EC6A9" w14:textId="77777777" w:rsidR="006F76EB" w:rsidRPr="00834D52" w:rsidRDefault="006F76EB" w:rsidP="004E7237">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3.2.P.3.</w:t>
      </w:r>
      <w:r w:rsidRPr="00834D52">
        <w:rPr>
          <w:rFonts w:ascii="Sylfaen" w:hAnsi="Sylfaen"/>
          <w:sz w:val="24"/>
          <w:szCs w:val="24"/>
        </w:rPr>
        <w:tab/>
        <w:t xml:space="preserve">Դեղապատրաստուկի արտադրության գործընթացը՝ </w:t>
      </w:r>
    </w:p>
    <w:p w14:paraId="5A581337" w14:textId="508E0765" w:rsidR="006F76EB" w:rsidRPr="00834D52" w:rsidRDefault="006F76EB" w:rsidP="004E723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w:t>
      </w:r>
      <w:r w:rsidR="0056496B">
        <w:rPr>
          <w:rFonts w:ascii="Sylfaen" w:hAnsi="Sylfaen"/>
          <w:sz w:val="24"/>
          <w:szCs w:val="24"/>
        </w:rPr>
        <w:t>դիմում</w:t>
      </w:r>
      <w:r w:rsidRPr="00834D52">
        <w:rPr>
          <w:rFonts w:ascii="Sylfaen" w:hAnsi="Sylfaen"/>
          <w:sz w:val="24"/>
          <w:szCs w:val="24"/>
        </w:rPr>
        <w:t>ի մեջ նշված արտադրության եղանակի նկարագրությունը շարադրվում է այնպես, որ ներկայացնի կատարվող գործառնությունների բնույթի պատշաճ համառոտ ռեզյումե:</w:t>
      </w:r>
    </w:p>
    <w:p w14:paraId="7FE60C4E"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Այս նպատակով արտադրության եղանակի նկարագրությունը պետք է ներառի առնվազն՝ </w:t>
      </w:r>
    </w:p>
    <w:p w14:paraId="3772F8AF"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արտադրության տարբեր փուլերի նկարագրություն, ներառյալ՝ հսկողությունը արտադրության գործընթացում </w:t>
      </w:r>
      <w:r w:rsidR="00C54D75">
        <w:rPr>
          <w:rFonts w:ascii="Sylfaen" w:hAnsi="Sylfaen"/>
          <w:sz w:val="24"/>
          <w:szCs w:val="24"/>
        </w:rPr>
        <w:t>և</w:t>
      </w:r>
      <w:r w:rsidRPr="00834D52">
        <w:rPr>
          <w:rFonts w:ascii="Sylfaen" w:hAnsi="Sylfaen"/>
          <w:sz w:val="24"/>
          <w:szCs w:val="24"/>
        </w:rPr>
        <w:t xml:space="preserve"> կիրառելիության համատապատասխան չափանիշները՝ գնահատելու այն, թե արդյոք արտադրության ժամանակ օգտագործվող գործընթացները կարող են հանգեցնել դեղաձ</w:t>
      </w:r>
      <w:r w:rsidR="00C54D75">
        <w:rPr>
          <w:rFonts w:ascii="Sylfaen" w:hAnsi="Sylfaen"/>
          <w:sz w:val="24"/>
          <w:szCs w:val="24"/>
        </w:rPr>
        <w:t>և</w:t>
      </w:r>
      <w:r w:rsidRPr="00834D52">
        <w:rPr>
          <w:rFonts w:ascii="Sylfaen" w:hAnsi="Sylfaen"/>
          <w:sz w:val="24"/>
          <w:szCs w:val="24"/>
        </w:rPr>
        <w:t xml:space="preserve">ի բաղադրիչների ցանկացած անցանկալի փոփոխության, </w:t>
      </w:r>
    </w:p>
    <w:p w14:paraId="50BB1E3A"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համասեռությունն ապահովելու համար անհրաժեշտ ցանկացած միջոցի նկարագրություն (շարունակական արտադրական գործընթացի դեպքում), </w:t>
      </w:r>
    </w:p>
    <w:p w14:paraId="358369F1" w14:textId="77777777" w:rsidR="006F76EB" w:rsidRPr="00834D52" w:rsidRDefault="006F76EB" w:rsidP="004E723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վալիդացման փորձարարական հետազոտությունների արդյունքներն արտադրության ոչ ստանդարտ մեթոդների օգտագործման ժամանակ, կամ եթե այն կրիտիկական է դեղապատրաստուկի համար, </w:t>
      </w:r>
    </w:p>
    <w:p w14:paraId="0D841859" w14:textId="77777777"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մանրէազերծման առկա գործընթացների </w:t>
      </w:r>
      <w:r w:rsidR="00C54D75">
        <w:rPr>
          <w:rFonts w:ascii="Sylfaen" w:hAnsi="Sylfaen"/>
          <w:sz w:val="24"/>
          <w:szCs w:val="24"/>
        </w:rPr>
        <w:t>և</w:t>
      </w:r>
      <w:r w:rsidRPr="00834D52">
        <w:rPr>
          <w:rFonts w:ascii="Sylfaen" w:hAnsi="Sylfaen"/>
          <w:sz w:val="24"/>
          <w:szCs w:val="24"/>
        </w:rPr>
        <w:t xml:space="preserve"> (կամ) ասեպտիկ պայմաններ ապահովելու գործընթացների նկարագրություն (մանրէազերծ դեղապատրաստուկների համար), </w:t>
      </w:r>
    </w:p>
    <w:p w14:paraId="1FA6C0FC" w14:textId="77777777"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մանրամասն արտադրական դեղագրությունը (սերիայի բաղադրությունը):</w:t>
      </w:r>
    </w:p>
    <w:p w14:paraId="5B46554B" w14:textId="25FEC8FC"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արտադրական հարթակների անվանումն ու գտնվելու վայրը </w:t>
      </w:r>
      <w:r w:rsidR="00C54D75">
        <w:rPr>
          <w:rFonts w:ascii="Sylfaen" w:hAnsi="Sylfaen"/>
          <w:sz w:val="24"/>
          <w:szCs w:val="24"/>
        </w:rPr>
        <w:t>և</w:t>
      </w:r>
      <w:r w:rsidRPr="00834D52">
        <w:rPr>
          <w:rFonts w:ascii="Sylfaen" w:hAnsi="Sylfaen"/>
          <w:sz w:val="24"/>
          <w:szCs w:val="24"/>
        </w:rPr>
        <w:t xml:space="preserve"> նշել յուրաքանչյուր արտադրողի պարտականությունները՝ ներառյալ պայմանագրային արտադրությունները, ինչպես նա</w:t>
      </w:r>
      <w:r w:rsidR="00C54D75">
        <w:rPr>
          <w:rFonts w:ascii="Sylfaen" w:hAnsi="Sylfaen"/>
          <w:sz w:val="24"/>
          <w:szCs w:val="24"/>
        </w:rPr>
        <w:t>և</w:t>
      </w:r>
      <w:r w:rsidRPr="00834D52">
        <w:rPr>
          <w:rFonts w:ascii="Sylfaen" w:hAnsi="Sylfaen"/>
          <w:sz w:val="24"/>
          <w:szCs w:val="24"/>
        </w:rPr>
        <w:t xml:space="preserve"> տեղեկատվություն՝ օգտագործվող յուրաքանչյուր արտադրական </w:t>
      </w:r>
      <w:r w:rsidR="00E9295E">
        <w:rPr>
          <w:rFonts w:ascii="Sylfaen" w:hAnsi="Sylfaen"/>
          <w:sz w:val="24"/>
          <w:szCs w:val="24"/>
        </w:rPr>
        <w:t>հարթակի</w:t>
      </w:r>
      <w:r w:rsidRPr="00834D52">
        <w:rPr>
          <w:rFonts w:ascii="Sylfaen" w:hAnsi="Sylfaen"/>
          <w:sz w:val="24"/>
          <w:szCs w:val="24"/>
        </w:rPr>
        <w:t xml:space="preserve"> կամ փորձարկման լաբորատորիայի մասին,</w:t>
      </w:r>
    </w:p>
    <w:p w14:paraId="3442FE9B" w14:textId="77777777" w:rsidR="006F76EB" w:rsidRPr="00834D52" w:rsidRDefault="006F76EB" w:rsidP="00E06CAB">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դեղապատրաստուկի որակի հսկողության համար անհրաժեշտ է բերել այն վերլուծական մեթոդիկաների նկարագրությունը, որոնք կարող են կիրառվել տեխնոլոգիական գործընթացի միջանկյալ փուլերում՝ արտադրական գործընթացի համասեռությունը ապահովելու նպատակով:</w:t>
      </w:r>
    </w:p>
    <w:p w14:paraId="092E4A6B" w14:textId="565890B8" w:rsidR="006F76EB" w:rsidRPr="00834D52" w:rsidRDefault="006F76EB" w:rsidP="0097392D">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Այս մեթոդիկաները կար</w:t>
      </w:r>
      <w:r w:rsidR="00C54D75">
        <w:rPr>
          <w:rFonts w:ascii="Sylfaen" w:hAnsi="Sylfaen"/>
          <w:sz w:val="24"/>
          <w:szCs w:val="24"/>
        </w:rPr>
        <w:t>և</w:t>
      </w:r>
      <w:r w:rsidRPr="00834D52">
        <w:rPr>
          <w:rFonts w:ascii="Sylfaen" w:hAnsi="Sylfaen"/>
          <w:sz w:val="24"/>
          <w:szCs w:val="24"/>
        </w:rPr>
        <w:t xml:space="preserve">որ են դեղապատրաստուկի՝ արտադրական դեղագրությանը համապատասխանելու տեսակետից հատկապես այն դեպքերում, երբ </w:t>
      </w:r>
      <w:r w:rsidR="0056496B">
        <w:rPr>
          <w:rFonts w:ascii="Sylfaen" w:hAnsi="Sylfaen"/>
          <w:sz w:val="24"/>
          <w:szCs w:val="24"/>
        </w:rPr>
        <w:t>դիմումատու</w:t>
      </w:r>
      <w:r w:rsidRPr="00834D52">
        <w:rPr>
          <w:rFonts w:ascii="Sylfaen" w:hAnsi="Sylfaen"/>
          <w:sz w:val="24"/>
          <w:szCs w:val="24"/>
        </w:rPr>
        <w:t xml:space="preserve">ն առաջարկում է դեղապատրաստուկի հսկողության վերլուծական մեթոդիկա, որը չի ներառում բոլոր ակտիվ դեղագործական բաղադրամասերի (կամ բոլոր այն օժանդակ նյութերի, որոնք պետք է համապատասխանեն ակտիվ դեղագործական բաղադրամասերին ներկայացվող պահանջներին) քանակական որոշում: </w:t>
      </w:r>
    </w:p>
    <w:p w14:paraId="4FE990A2" w14:textId="77777777" w:rsidR="006F76EB" w:rsidRPr="00834D52" w:rsidRDefault="006F76EB" w:rsidP="0097392D">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Սա վերաբերում է նա</w:t>
      </w:r>
      <w:r w:rsidR="00C54D75">
        <w:rPr>
          <w:rFonts w:ascii="Sylfaen" w:hAnsi="Sylfaen"/>
          <w:sz w:val="24"/>
          <w:szCs w:val="24"/>
        </w:rPr>
        <w:t>և</w:t>
      </w:r>
      <w:r w:rsidRPr="00834D52">
        <w:rPr>
          <w:rFonts w:ascii="Sylfaen" w:hAnsi="Sylfaen"/>
          <w:sz w:val="24"/>
          <w:szCs w:val="24"/>
        </w:rPr>
        <w:t xml:space="preserve"> այն դեպքերին, երբ դեղապատրաստուկի որակի հսկողությունը կախված է ներարտադրական փորձարկումներից հատկապես այն դեպքերում, երբ դեղապատրաստուկի արտադրության եղանակը էապես ազդում է նրա որակի վրա, </w:t>
      </w:r>
    </w:p>
    <w:p w14:paraId="4E5E85AC" w14:textId="61334637" w:rsidR="006F76EB" w:rsidRDefault="006F76EB" w:rsidP="00E06CA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արտադրության կրիտիկական կետերի կամ արտադրական գործընթացում օգտագործվող քանակական որոշման մեթոդների համար անհրաժեշտ է ներկայացնել վալիդացման հետազոտությունների նկարագրությունը, փաստաթղթերը </w:t>
      </w:r>
      <w:r w:rsidR="00C54D75">
        <w:rPr>
          <w:rFonts w:ascii="Sylfaen" w:hAnsi="Sylfaen"/>
          <w:sz w:val="24"/>
          <w:szCs w:val="24"/>
        </w:rPr>
        <w:t>և</w:t>
      </w:r>
      <w:r w:rsidRPr="00834D52">
        <w:rPr>
          <w:rFonts w:ascii="Sylfaen" w:hAnsi="Sylfaen"/>
          <w:sz w:val="24"/>
          <w:szCs w:val="24"/>
        </w:rPr>
        <w:t xml:space="preserve"> արդյունքները:</w:t>
      </w:r>
    </w:p>
    <w:p w14:paraId="0719878C" w14:textId="626A5947" w:rsidR="00E9295E" w:rsidRPr="006F28F9" w:rsidRDefault="00E9295E" w:rsidP="00422847">
      <w:pPr>
        <w:rPr>
          <w:b/>
          <w:bCs/>
          <w:i/>
          <w:iCs/>
        </w:rPr>
      </w:pPr>
      <w:r w:rsidRPr="00422847">
        <w:rPr>
          <w:rFonts w:ascii="Sylfaen" w:hAnsi="Sylfaen"/>
          <w:b/>
          <w:bCs/>
          <w:i/>
          <w:iCs/>
          <w:sz w:val="24"/>
          <w:szCs w:val="24"/>
        </w:rPr>
        <w:t>(</w:t>
      </w:r>
      <w:r w:rsidRPr="00422847">
        <w:rPr>
          <w:rFonts w:ascii="Sylfaen" w:hAnsi="Sylfaen"/>
          <w:b/>
          <w:bCs/>
          <w:sz w:val="24"/>
          <w:szCs w:val="24"/>
        </w:rPr>
        <w:t>3.2.</w:t>
      </w:r>
      <w:r w:rsidRPr="00422847">
        <w:rPr>
          <w:rFonts w:ascii="Sylfaen" w:hAnsi="Sylfaen"/>
          <w:sz w:val="24"/>
          <w:szCs w:val="24"/>
        </w:rPr>
        <w:t xml:space="preserve"> </w:t>
      </w:r>
      <w:r w:rsidRPr="00422847">
        <w:rPr>
          <w:rFonts w:ascii="Sylfaen" w:hAnsi="Sylfaen"/>
          <w:b/>
          <w:bCs/>
          <w:i/>
          <w:iCs/>
          <w:sz w:val="24"/>
          <w:szCs w:val="24"/>
        </w:rPr>
        <w:t>P</w:t>
      </w:r>
      <w:r w:rsidRPr="00422847">
        <w:rPr>
          <w:rFonts w:ascii="Sylfaen" w:hAnsi="Sylfaen"/>
          <w:b/>
          <w:bCs/>
          <w:sz w:val="24"/>
          <w:szCs w:val="24"/>
        </w:rPr>
        <w:t>.</w:t>
      </w:r>
      <w:r w:rsidR="00422847" w:rsidRPr="00422847">
        <w:rPr>
          <w:rFonts w:ascii="Sylfaen" w:hAnsi="Sylfaen"/>
          <w:b/>
          <w:bCs/>
          <w:sz w:val="24"/>
          <w:szCs w:val="24"/>
        </w:rPr>
        <w:t>3</w:t>
      </w:r>
      <w:r w:rsidRPr="00422847">
        <w:rPr>
          <w:rFonts w:ascii="Sylfaen" w:hAnsi="Sylfaen"/>
          <w:b/>
          <w:bCs/>
          <w:sz w:val="24"/>
          <w:szCs w:val="24"/>
        </w:rPr>
        <w:t>.</w:t>
      </w:r>
      <w:r w:rsidRPr="006841ED">
        <w:rPr>
          <w:rFonts w:ascii="Sylfaen" w:hAnsi="Sylfaen"/>
          <w:sz w:val="24"/>
          <w:szCs w:val="24"/>
        </w:rPr>
        <w:t xml:space="preserve"> </w:t>
      </w:r>
      <w:r w:rsidRPr="006841ED">
        <w:rPr>
          <w:rFonts w:ascii="Sylfaen" w:hAnsi="Sylfaen"/>
          <w:b/>
          <w:bCs/>
          <w:i/>
          <w:iCs/>
          <w:sz w:val="24"/>
          <w:szCs w:val="24"/>
        </w:rPr>
        <w:t>կետը</w:t>
      </w:r>
      <w:r>
        <w:rPr>
          <w:rFonts w:ascii="Sylfaen" w:hAnsi="Sylfaen"/>
          <w:b/>
          <w:bCs/>
          <w:i/>
          <w:iCs/>
          <w:sz w:val="24"/>
          <w:szCs w:val="24"/>
        </w:rPr>
        <w:t xml:space="preserve"> </w:t>
      </w:r>
      <w:r w:rsidRPr="006841ED">
        <w:rPr>
          <w:rFonts w:ascii="Sylfaen" w:hAnsi="Sylfaen"/>
          <w:b/>
          <w:bCs/>
          <w:i/>
          <w:iCs/>
          <w:sz w:val="24"/>
          <w:szCs w:val="24"/>
        </w:rPr>
        <w:t>փոփ</w:t>
      </w:r>
      <w:r w:rsidRPr="00CD4709">
        <w:rPr>
          <w:b/>
          <w:bCs/>
          <w:i/>
          <w:iCs/>
        </w:rPr>
        <w:t>. 30.01.20 թիվ 9)</w:t>
      </w:r>
    </w:p>
    <w:p w14:paraId="1B3AE3C4" w14:textId="77777777" w:rsidR="006F76EB" w:rsidRPr="00834D52" w:rsidRDefault="006F76EB" w:rsidP="00E06CAB">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3.2.P.4.</w:t>
      </w:r>
      <w:r w:rsidRPr="00834D52">
        <w:rPr>
          <w:rFonts w:ascii="Sylfaen" w:hAnsi="Sylfaen"/>
          <w:sz w:val="24"/>
          <w:szCs w:val="24"/>
        </w:rPr>
        <w:tab/>
        <w:t>Օժանդակ նյութերի որակի հսկողություն՝</w:t>
      </w:r>
    </w:p>
    <w:p w14:paraId="3D40863C" w14:textId="77777777" w:rsidR="006F76EB" w:rsidRPr="00834D52" w:rsidRDefault="006F76EB" w:rsidP="00E06CA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հարկ է ներկայացնել օժանդակ նյութերի արտադրության համար օգտագործվող բոլոր ելանյութերի ցանկը՝ նշելով, թե գործընթացի որ փուլում է կիրառվում դրանցից յուրաքանչյուրը: Պետք է ներկայացվի տեղեկատվություն այդ ելանյութերի որակի </w:t>
      </w:r>
      <w:r w:rsidR="00C54D75">
        <w:rPr>
          <w:rFonts w:ascii="Sylfaen" w:hAnsi="Sylfaen"/>
          <w:sz w:val="24"/>
          <w:szCs w:val="24"/>
        </w:rPr>
        <w:t>և</w:t>
      </w:r>
      <w:r w:rsidRPr="00834D52">
        <w:rPr>
          <w:rFonts w:ascii="Sylfaen" w:hAnsi="Sylfaen"/>
          <w:sz w:val="24"/>
          <w:szCs w:val="24"/>
        </w:rPr>
        <w:t xml:space="preserve"> որակի հսկողության մասին, ինչպես նա</w:t>
      </w:r>
      <w:r w:rsidR="00C54D75">
        <w:rPr>
          <w:rFonts w:ascii="Sylfaen" w:hAnsi="Sylfaen"/>
          <w:sz w:val="24"/>
          <w:szCs w:val="24"/>
        </w:rPr>
        <w:t>և</w:t>
      </w:r>
      <w:r w:rsidRPr="00834D52">
        <w:rPr>
          <w:rFonts w:ascii="Sylfaen" w:hAnsi="Sylfaen"/>
          <w:sz w:val="24"/>
          <w:szCs w:val="24"/>
        </w:rPr>
        <w:t xml:space="preserve"> տեղեկատվություն, որը վկայում է, որ իրենց ենթադրվող կիրառության տեսակետից նյութերը համապատասխանում են ստանդարտներին:</w:t>
      </w:r>
    </w:p>
    <w:p w14:paraId="6F6A6FD4"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Բոլոր դեպքերում ներկանյութերը պետք է բավարարեն Եվրասիական տնտեսական միության դեղագրքի համապատասխան հոդվածի (մենագրության) պահանջներին </w:t>
      </w:r>
      <w:r w:rsidR="00C54D75">
        <w:rPr>
          <w:rFonts w:ascii="Sylfaen" w:hAnsi="Sylfaen"/>
          <w:sz w:val="24"/>
          <w:szCs w:val="24"/>
        </w:rPr>
        <w:t>և</w:t>
      </w:r>
      <w:r w:rsidRPr="00834D52">
        <w:rPr>
          <w:rFonts w:ascii="Sylfaen" w:hAnsi="Sylfaen"/>
          <w:sz w:val="24"/>
          <w:szCs w:val="24"/>
        </w:rPr>
        <w:t xml:space="preserve"> Հանձնաժողովի խորհրդի 2012 թվականի հուլիսի 20-ի </w:t>
      </w:r>
      <w:r w:rsidR="00833B50" w:rsidRPr="00F06D43">
        <w:rPr>
          <w:rFonts w:ascii="Sylfaen" w:hAnsi="Sylfaen"/>
          <w:sz w:val="24"/>
          <w:szCs w:val="24"/>
        </w:rPr>
        <w:br/>
      </w:r>
      <w:r w:rsidRPr="00834D52">
        <w:rPr>
          <w:rFonts w:ascii="Sylfaen" w:hAnsi="Sylfaen"/>
          <w:sz w:val="24"/>
          <w:szCs w:val="24"/>
        </w:rPr>
        <w:t xml:space="preserve">թիվ 58 որոշմամբ ընդունված «Սննդային հավելումների, բուրավետիչների </w:t>
      </w:r>
      <w:r w:rsidR="00C54D75">
        <w:rPr>
          <w:rFonts w:ascii="Sylfaen" w:hAnsi="Sylfaen"/>
          <w:sz w:val="24"/>
          <w:szCs w:val="24"/>
        </w:rPr>
        <w:t>և</w:t>
      </w:r>
      <w:r w:rsidRPr="00834D52">
        <w:rPr>
          <w:rFonts w:ascii="Sylfaen" w:hAnsi="Sylfaen"/>
          <w:sz w:val="24"/>
          <w:szCs w:val="24"/>
        </w:rPr>
        <w:t xml:space="preserve"> տեխնոլոգիական օժանդակ միջոցների անվտանգությանը ներկայացվող պահանջներ» (ՄՄ ՏԿ 029/2012) Մաքսային միության տեխնիկական կանոնակարգի պահանջներին, բացի այդ, ներկանյութերը պետք է համապատասխանեն Միության իրավունքի մաս կազմող ակտերի պահանջներով սահմանված մաքրության չափանիշներին, </w:t>
      </w:r>
    </w:p>
    <w:p w14:paraId="61511585" w14:textId="77777777" w:rsidR="006F76EB" w:rsidRPr="00834D52" w:rsidRDefault="006F76EB" w:rsidP="00E06CA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յուրաքանչյուր օժանդակ նյութի համար պետք է ներկայացվեն մասնագրեր </w:t>
      </w:r>
      <w:r w:rsidR="00C54D75">
        <w:rPr>
          <w:rFonts w:ascii="Sylfaen" w:hAnsi="Sylfaen"/>
          <w:sz w:val="24"/>
          <w:szCs w:val="24"/>
        </w:rPr>
        <w:t>և</w:t>
      </w:r>
      <w:r w:rsidRPr="00834D52">
        <w:rPr>
          <w:rFonts w:ascii="Sylfaen" w:hAnsi="Sylfaen"/>
          <w:sz w:val="24"/>
          <w:szCs w:val="24"/>
        </w:rPr>
        <w:t xml:space="preserve"> դրանց հիմնավորումները: Անհրաժեշտ է նկարագրել </w:t>
      </w:r>
      <w:r w:rsidR="00C54D75">
        <w:rPr>
          <w:rFonts w:ascii="Sylfaen" w:hAnsi="Sylfaen"/>
          <w:sz w:val="24"/>
          <w:szCs w:val="24"/>
        </w:rPr>
        <w:t>և</w:t>
      </w:r>
      <w:r w:rsidRPr="00834D52">
        <w:rPr>
          <w:rFonts w:ascii="Sylfaen" w:hAnsi="Sylfaen"/>
          <w:sz w:val="24"/>
          <w:szCs w:val="24"/>
        </w:rPr>
        <w:t xml:space="preserve"> պատշաճ կերպով վալիդացնել դրանց որակի հսկողության համար օգտագործվող վերլուծական մեթոդիկաները, </w:t>
      </w:r>
    </w:p>
    <w:p w14:paraId="7EB372BE" w14:textId="77777777" w:rsidR="006F76EB" w:rsidRPr="00834D52" w:rsidRDefault="006F76EB" w:rsidP="00E06CA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հատուկ ուշադրություն դարձնել մարդկային </w:t>
      </w:r>
      <w:r w:rsidR="00C54D75">
        <w:rPr>
          <w:rFonts w:ascii="Sylfaen" w:hAnsi="Sylfaen"/>
          <w:sz w:val="24"/>
          <w:szCs w:val="24"/>
        </w:rPr>
        <w:t>և</w:t>
      </w:r>
      <w:r w:rsidRPr="00834D52">
        <w:rPr>
          <w:rFonts w:ascii="Sylfaen" w:hAnsi="Sylfaen"/>
          <w:sz w:val="24"/>
          <w:szCs w:val="24"/>
        </w:rPr>
        <w:t xml:space="preserve"> կենդանական ծագման օժանդակ նյութերին:</w:t>
      </w:r>
    </w:p>
    <w:p w14:paraId="4545E4A6" w14:textId="15BD4280"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Կենդանիների սպունգանման էնցեֆալոպատիայի հարուցիչների փոխանցումը կանխելու հատուկ միջոցներ կիրառելու նպատակով </w:t>
      </w:r>
      <w:r w:rsidR="0056496B">
        <w:rPr>
          <w:rFonts w:ascii="Sylfaen" w:hAnsi="Sylfaen"/>
          <w:sz w:val="24"/>
          <w:szCs w:val="24"/>
        </w:rPr>
        <w:t>դիմումատու</w:t>
      </w:r>
      <w:r w:rsidRPr="00834D52">
        <w:rPr>
          <w:rFonts w:ascii="Sylfaen" w:hAnsi="Sylfaen"/>
          <w:sz w:val="24"/>
          <w:szCs w:val="24"/>
        </w:rPr>
        <w:t>ն պետք է օժանդակ նյութերի համար հավաստի նա</w:t>
      </w:r>
      <w:r w:rsidR="00C54D75">
        <w:rPr>
          <w:rFonts w:ascii="Sylfaen" w:hAnsi="Sylfaen"/>
          <w:sz w:val="24"/>
          <w:szCs w:val="24"/>
        </w:rPr>
        <w:t>և</w:t>
      </w:r>
      <w:r w:rsidRPr="00834D52">
        <w:rPr>
          <w:rFonts w:ascii="Sylfaen" w:hAnsi="Sylfaen"/>
          <w:sz w:val="24"/>
          <w:szCs w:val="24"/>
        </w:rPr>
        <w:t>, որ դեղապատրաստուկը բավարարում է, մասնավորապես, արտադրվող դեղապատրաստուկներով տվյալ հարուցիչների փոխանցման ռիսկի նվազեցման վերաբերյալ Եվրասիական տնտեսական միության դեղագրքի համապատասխան հոդվածի (մենագրության) պահանջներին:</w:t>
      </w:r>
    </w:p>
    <w:p w14:paraId="25619770"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Համապատասխանությունը վերը նշված պահանջներին կարելի է հավաստել՝ ներկայացնելով սպունգանման էնցեֆալոպատիայի հարուցիչների առնչությամբ Եվրոպական դեղագրքի մենագրությանը համապատասխանության սերտիֆիկատ կամ այլ փաստաթղթեր (տվյալներ), որոնք հիմնավորում են այդ համապատասխանությունը, </w:t>
      </w:r>
    </w:p>
    <w:p w14:paraId="2BFB6314" w14:textId="77777777" w:rsidR="006F76EB" w:rsidRPr="00834D52" w:rsidRDefault="006F76EB" w:rsidP="00E06CA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նոր օժանդակ նյութեր՝</w:t>
      </w:r>
    </w:p>
    <w:p w14:paraId="6614C35D"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օժանդակ նյութերի համար, որոնք առաջին անգամ են օգտագործվում դեղապատրաստուկի մեջ կամ կիրառվում են այդ օժանդակ նյութերի համար նոր ներմուծման ուղու դեպքում, անհրաժեշտ է ներկայացնել արտադրության, հատկությունների </w:t>
      </w:r>
      <w:r w:rsidR="00C54D75">
        <w:rPr>
          <w:rFonts w:ascii="Sylfaen" w:hAnsi="Sylfaen"/>
          <w:sz w:val="24"/>
          <w:szCs w:val="24"/>
        </w:rPr>
        <w:t>և</w:t>
      </w:r>
      <w:r w:rsidRPr="00834D52">
        <w:rPr>
          <w:rFonts w:ascii="Sylfaen" w:hAnsi="Sylfaen"/>
          <w:sz w:val="24"/>
          <w:szCs w:val="24"/>
        </w:rPr>
        <w:t xml:space="preserve"> հսկողության ամբողջական նկարագրություն՝ հղում անելով անվտանգության հաստատված նախակլինիկական կամ կլինիկական տվյալներին: Այդ տեղեկատվությունը պետք է ձ</w:t>
      </w:r>
      <w:r w:rsidR="00C54D75">
        <w:rPr>
          <w:rFonts w:ascii="Sylfaen" w:hAnsi="Sylfaen"/>
          <w:sz w:val="24"/>
          <w:szCs w:val="24"/>
        </w:rPr>
        <w:t>և</w:t>
      </w:r>
      <w:r w:rsidRPr="00834D52">
        <w:rPr>
          <w:rFonts w:ascii="Sylfaen" w:hAnsi="Sylfaen"/>
          <w:sz w:val="24"/>
          <w:szCs w:val="24"/>
        </w:rPr>
        <w:t>ակերպվի այնպես, ինչպես նշված է վեր</w:t>
      </w:r>
      <w:r w:rsidR="00C54D75">
        <w:rPr>
          <w:rFonts w:ascii="Sylfaen" w:hAnsi="Sylfaen"/>
          <w:sz w:val="24"/>
          <w:szCs w:val="24"/>
        </w:rPr>
        <w:t>և</w:t>
      </w:r>
      <w:r w:rsidRPr="00834D52">
        <w:rPr>
          <w:rFonts w:ascii="Sylfaen" w:hAnsi="Sylfaen"/>
          <w:sz w:val="24"/>
          <w:szCs w:val="24"/>
        </w:rPr>
        <w:t>ում՝ ակտիվ դեղագործական բաղադրամասի համար:</w:t>
      </w:r>
    </w:p>
    <w:p w14:paraId="4597C377" w14:textId="77777777" w:rsidR="006F76EB" w:rsidRPr="00834D52" w:rsidRDefault="006F76EB" w:rsidP="004A1A19">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տեղեկատվություն: Այդ տեղեկատվությունը պետք է ձ</w:t>
      </w:r>
      <w:r w:rsidR="00C54D75">
        <w:rPr>
          <w:rFonts w:ascii="Sylfaen" w:hAnsi="Sylfaen"/>
          <w:sz w:val="24"/>
          <w:szCs w:val="24"/>
        </w:rPr>
        <w:t>և</w:t>
      </w:r>
      <w:r w:rsidRPr="00834D52">
        <w:rPr>
          <w:rFonts w:ascii="Sylfaen" w:hAnsi="Sylfaen"/>
          <w:sz w:val="24"/>
          <w:szCs w:val="24"/>
        </w:rPr>
        <w:t xml:space="preserve">ակերպվի այնպես, ինչպես նշված է 3-րդ մոդուլում ակտիվ դեղագործական բաղադրամասի առնչությամբ: </w:t>
      </w:r>
    </w:p>
    <w:p w14:paraId="6A328FA8"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Նոր օժանդակ նյութի մասին տեղեկատվությունը կարող է ներկայացվել վերը նկարագրված ձ</w:t>
      </w:r>
      <w:r w:rsidR="00C54D75">
        <w:rPr>
          <w:rFonts w:ascii="Sylfaen" w:hAnsi="Sylfaen"/>
          <w:sz w:val="24"/>
          <w:szCs w:val="24"/>
        </w:rPr>
        <w:t>և</w:t>
      </w:r>
      <w:r w:rsidRPr="00834D52">
        <w:rPr>
          <w:rFonts w:ascii="Sylfaen" w:hAnsi="Sylfaen"/>
          <w:sz w:val="24"/>
          <w:szCs w:val="24"/>
        </w:rPr>
        <w:t xml:space="preserve">աչափի համաձայն կազմված առանձին փաստաթղթի տեսքով: </w:t>
      </w:r>
    </w:p>
    <w:p w14:paraId="30BE21A9" w14:textId="18706A29"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w:t>
      </w:r>
      <w:r w:rsidR="00C54D75">
        <w:rPr>
          <w:rFonts w:ascii="Sylfaen" w:hAnsi="Sylfaen"/>
          <w:sz w:val="24"/>
          <w:szCs w:val="24"/>
        </w:rPr>
        <w:t>և</w:t>
      </w:r>
      <w:r w:rsidRPr="00834D52">
        <w:rPr>
          <w:rFonts w:ascii="Sylfaen" w:hAnsi="Sylfaen"/>
          <w:sz w:val="24"/>
          <w:szCs w:val="24"/>
        </w:rPr>
        <w:t xml:space="preserve"> նոր օժանդակ նյութի արտադրողը մի</w:t>
      </w:r>
      <w:r w:rsidR="00C54D75">
        <w:rPr>
          <w:rFonts w:ascii="Sylfaen" w:hAnsi="Sylfaen"/>
          <w:sz w:val="24"/>
          <w:szCs w:val="24"/>
        </w:rPr>
        <w:t>և</w:t>
      </w:r>
      <w:r w:rsidRPr="00834D52">
        <w:rPr>
          <w:rFonts w:ascii="Sylfaen" w:hAnsi="Sylfaen"/>
          <w:sz w:val="24"/>
          <w:szCs w:val="24"/>
        </w:rPr>
        <w:t xml:space="preserve">նույն անձը չեն, ապա այդ առանձին փաստաթուղթն արտադրողի կողմից պետք է ներկայացվի </w:t>
      </w:r>
      <w:r w:rsidR="0056496B">
        <w:rPr>
          <w:rFonts w:ascii="Sylfaen" w:hAnsi="Sylfaen"/>
          <w:sz w:val="24"/>
          <w:szCs w:val="24"/>
        </w:rPr>
        <w:t>դիմումատու</w:t>
      </w:r>
      <w:r w:rsidRPr="00834D52">
        <w:rPr>
          <w:rFonts w:ascii="Sylfaen" w:hAnsi="Sylfaen"/>
          <w:sz w:val="24"/>
          <w:szCs w:val="24"/>
        </w:rPr>
        <w:t>ին:</w:t>
      </w:r>
    </w:p>
    <w:p w14:paraId="091E0D04"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Նոր օժանդակ նյութի թունավորության հետազոտության արդյունքների մասին լրացուցիչ տեղեկատվությունը պետք է ներկայացվի գրանցման դոսյեի 4-րդ մոդուլում: </w:t>
      </w:r>
    </w:p>
    <w:p w14:paraId="60E603E7"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Նոր օժանդակ նյութի համար կլինիկական հետազոտությունների արդյունքները հարկ է նկարագրել դեղապատրաստուկի գրանցման դոսյեի 5-րդ մոդուլում: </w:t>
      </w:r>
    </w:p>
    <w:p w14:paraId="7330B09F" w14:textId="77777777" w:rsidR="006F76EB" w:rsidRPr="00834D52" w:rsidRDefault="006F76EB" w:rsidP="0097392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3.2.P.5.</w:t>
      </w:r>
      <w:r w:rsidRPr="00834D52">
        <w:rPr>
          <w:rFonts w:ascii="Sylfaen" w:hAnsi="Sylfaen"/>
          <w:sz w:val="24"/>
          <w:szCs w:val="24"/>
        </w:rPr>
        <w:tab/>
        <w:t>Դեղապատրաստուկի որակի հսկողությունը:</w:t>
      </w:r>
    </w:p>
    <w:p w14:paraId="2DF4BFB2" w14:textId="77777777" w:rsidR="006F76EB" w:rsidRPr="00834D52" w:rsidRDefault="006F76EB" w:rsidP="00E06CA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որակի հսկողության նպատակով դեղապատրաստուկի սերիա ասելով հասկանում ենք դեղապատրաստուկի՝ ելանյութի </w:t>
      </w:r>
      <w:r w:rsidR="00C54D75">
        <w:rPr>
          <w:rFonts w:ascii="Sylfaen" w:hAnsi="Sylfaen"/>
          <w:sz w:val="24"/>
          <w:szCs w:val="24"/>
        </w:rPr>
        <w:t>և</w:t>
      </w:r>
      <w:r w:rsidRPr="00834D52">
        <w:rPr>
          <w:rFonts w:ascii="Sylfaen" w:hAnsi="Sylfaen"/>
          <w:sz w:val="24"/>
          <w:szCs w:val="24"/>
        </w:rPr>
        <w:t xml:space="preserve"> նյութերի նույն քանակից արտադրված </w:t>
      </w:r>
      <w:r w:rsidR="00C54D75">
        <w:rPr>
          <w:rFonts w:ascii="Sylfaen" w:hAnsi="Sylfaen"/>
          <w:sz w:val="24"/>
          <w:szCs w:val="24"/>
        </w:rPr>
        <w:t>և</w:t>
      </w:r>
      <w:r w:rsidRPr="00834D52">
        <w:rPr>
          <w:rFonts w:ascii="Sylfaen" w:hAnsi="Sylfaen"/>
          <w:sz w:val="24"/>
          <w:szCs w:val="24"/>
        </w:rPr>
        <w:t xml:space="preserve"> մի</w:t>
      </w:r>
      <w:r w:rsidR="00C54D75">
        <w:rPr>
          <w:rFonts w:ascii="Sylfaen" w:hAnsi="Sylfaen"/>
          <w:sz w:val="24"/>
          <w:szCs w:val="24"/>
        </w:rPr>
        <w:t>և</w:t>
      </w:r>
      <w:r w:rsidRPr="00834D52">
        <w:rPr>
          <w:rFonts w:ascii="Sylfaen" w:hAnsi="Sylfaen"/>
          <w:sz w:val="24"/>
          <w:szCs w:val="24"/>
        </w:rPr>
        <w:t xml:space="preserve">նույն արտադրական </w:t>
      </w:r>
      <w:r w:rsidR="00C54D75">
        <w:rPr>
          <w:rFonts w:ascii="Sylfaen" w:hAnsi="Sylfaen"/>
          <w:sz w:val="24"/>
          <w:szCs w:val="24"/>
        </w:rPr>
        <w:t>և</w:t>
      </w:r>
      <w:r w:rsidRPr="00834D52">
        <w:rPr>
          <w:rFonts w:ascii="Sylfaen" w:hAnsi="Sylfaen"/>
          <w:sz w:val="24"/>
          <w:szCs w:val="24"/>
        </w:rPr>
        <w:t xml:space="preserve"> (կամ) մանրէազերծման գործառնություններին ենթարկված միավորների ամբողջ քանակը ներառող </w:t>
      </w:r>
      <w:r w:rsidRPr="00834D52">
        <w:rPr>
          <w:rFonts w:ascii="Sylfaen" w:hAnsi="Sylfaen"/>
          <w:sz w:val="24"/>
          <w:szCs w:val="24"/>
        </w:rPr>
        <w:lastRenderedPageBreak/>
        <w:t xml:space="preserve">արտադրանքը կամ արտադրության շարունակական գործընթացի դեպքում որոշակի ժամանակահատվածում արտադրված </w:t>
      </w:r>
      <w:r w:rsidR="00C54D75">
        <w:rPr>
          <w:rFonts w:ascii="Sylfaen" w:hAnsi="Sylfaen"/>
          <w:sz w:val="24"/>
          <w:szCs w:val="24"/>
        </w:rPr>
        <w:t>և</w:t>
      </w:r>
      <w:r w:rsidRPr="00834D52">
        <w:rPr>
          <w:rFonts w:ascii="Sylfaen" w:hAnsi="Sylfaen"/>
          <w:sz w:val="24"/>
          <w:szCs w:val="24"/>
        </w:rPr>
        <w:t xml:space="preserve"> համասեռությամբ բնութագրվող դեղապատրաստուկի բոլոր միավորները ներառող արտադրանքը: </w:t>
      </w:r>
    </w:p>
    <w:p w14:paraId="216AD3ED"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մեջ ակտիվ դեղագործական բաղադրամասի պարունակության թույլատրելի առավելագույն շեղումը դրա արտադրության օրվա դրությամբ չպետք է գերազանցի ± 5 %-ը՝ բացառությամբ համապատասխան կերպով հիմնավորված դեպքերի:</w:t>
      </w:r>
    </w:p>
    <w:p w14:paraId="1A50F0C9"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տեղեկատվություն մասնագրերի մասին (դեղապատրաստուկի բացթողման դեպքում </w:t>
      </w:r>
      <w:r w:rsidR="00C54D75">
        <w:rPr>
          <w:rFonts w:ascii="Sylfaen" w:hAnsi="Sylfaen"/>
          <w:sz w:val="24"/>
          <w:szCs w:val="24"/>
        </w:rPr>
        <w:t>և</w:t>
      </w:r>
      <w:r w:rsidRPr="00834D52">
        <w:rPr>
          <w:rFonts w:ascii="Sylfaen" w:hAnsi="Sylfaen"/>
          <w:sz w:val="24"/>
          <w:szCs w:val="24"/>
        </w:rPr>
        <w:t xml:space="preserve"> դրա պիտանիության ժամկետի (պահպանման ժամկետի) ընթացքում՝ դեղապատրաստուկի կայունության անցկացված փորձարկումների հիման վրա)՝ որակի ցուցանիշների, փորձարկումների մեթոդիկաների </w:t>
      </w:r>
      <w:r w:rsidR="00C54D75">
        <w:rPr>
          <w:rFonts w:ascii="Sylfaen" w:hAnsi="Sylfaen"/>
          <w:sz w:val="24"/>
          <w:szCs w:val="24"/>
        </w:rPr>
        <w:t>և</w:t>
      </w:r>
      <w:r w:rsidRPr="00834D52">
        <w:rPr>
          <w:rFonts w:ascii="Sylfaen" w:hAnsi="Sylfaen"/>
          <w:sz w:val="24"/>
          <w:szCs w:val="24"/>
        </w:rPr>
        <w:t xml:space="preserve"> այդ մեթոդիկաների վալիդացման ընտրության հիմնավորմամբ: </w:t>
      </w:r>
    </w:p>
    <w:p w14:paraId="2E31FFA6" w14:textId="77777777" w:rsidR="006F76EB" w:rsidRPr="00834D52" w:rsidRDefault="006F76EB" w:rsidP="00E06CA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3.2.P.6.</w:t>
      </w:r>
      <w:r w:rsidRPr="00834D52">
        <w:rPr>
          <w:rFonts w:ascii="Sylfaen" w:hAnsi="Sylfaen"/>
          <w:sz w:val="24"/>
          <w:szCs w:val="24"/>
        </w:rPr>
        <w:tab/>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p w14:paraId="4F2958B9"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սահմանել </w:t>
      </w:r>
      <w:r w:rsidR="00C54D75">
        <w:rPr>
          <w:rFonts w:ascii="Sylfaen" w:hAnsi="Sylfaen"/>
          <w:sz w:val="24"/>
          <w:szCs w:val="24"/>
        </w:rPr>
        <w:t>և</w:t>
      </w:r>
      <w:r w:rsidRPr="00834D52">
        <w:rPr>
          <w:rFonts w:ascii="Sylfaen" w:hAnsi="Sylfaen"/>
          <w:sz w:val="24"/>
          <w:szCs w:val="24"/>
        </w:rPr>
        <w:t xml:space="preserve"> մանրամասն նկարագրել դեղապատրաստուկի որակի հսկողության ժամանակ օգտագործվող ստանդարտ նյութերը </w:t>
      </w:r>
      <w:r w:rsidR="00C54D75">
        <w:rPr>
          <w:rFonts w:ascii="Sylfaen" w:hAnsi="Sylfaen"/>
          <w:sz w:val="24"/>
          <w:szCs w:val="24"/>
        </w:rPr>
        <w:t>և</w:t>
      </w:r>
      <w:r w:rsidRPr="00834D52">
        <w:rPr>
          <w:rFonts w:ascii="Sylfaen" w:hAnsi="Sylfaen"/>
          <w:sz w:val="24"/>
          <w:szCs w:val="24"/>
        </w:rPr>
        <w:t xml:space="preserve"> ստանդարտ նմուշները, եթե դրանց մասին տեղեկատվությունը նշված չէ գրանցման դոսյեի այն բաժնում, որում գտնվում են ակտիվ դեղագործական բաղադրամասի մասին փաստաթղթերն ու տվյալները:</w:t>
      </w:r>
    </w:p>
    <w:p w14:paraId="003D8DBF" w14:textId="77777777" w:rsidR="006F76EB" w:rsidRPr="00834D52" w:rsidRDefault="006F76EB" w:rsidP="00E06CA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3.2.P.7.</w:t>
      </w:r>
      <w:r w:rsidRPr="00834D52">
        <w:rPr>
          <w:rFonts w:ascii="Sylfaen" w:hAnsi="Sylfaen"/>
          <w:sz w:val="24"/>
          <w:szCs w:val="24"/>
        </w:rPr>
        <w:tab/>
        <w:t>Փաթեթավորման (խցանափակման) համակարգը:</w:t>
      </w:r>
    </w:p>
    <w:p w14:paraId="54739860"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առաջնային (ներքին) փաթեթվածքի </w:t>
      </w:r>
      <w:r w:rsidR="00C54D75">
        <w:rPr>
          <w:rFonts w:ascii="Sylfaen" w:hAnsi="Sylfaen"/>
          <w:sz w:val="24"/>
          <w:szCs w:val="24"/>
        </w:rPr>
        <w:t>և</w:t>
      </w:r>
      <w:r w:rsidRPr="00834D52">
        <w:rPr>
          <w:rFonts w:ascii="Sylfaen" w:hAnsi="Sylfaen"/>
          <w:sz w:val="24"/>
          <w:szCs w:val="24"/>
        </w:rPr>
        <w:t xml:space="preserve"> խցանափակման համակարգի նկարագրությունը՝ ներառյալ նյութեր, որոնցից արտադրված է առաջնային փաթեթվածքի յուրաքանչյուր բաղադրիչ, ինչպես նա</w:t>
      </w:r>
      <w:r w:rsidR="00C54D75">
        <w:rPr>
          <w:rFonts w:ascii="Sylfaen" w:hAnsi="Sylfaen"/>
          <w:sz w:val="24"/>
          <w:szCs w:val="24"/>
        </w:rPr>
        <w:t>և</w:t>
      </w:r>
      <w:r w:rsidRPr="00834D52">
        <w:rPr>
          <w:rFonts w:ascii="Sylfaen" w:hAnsi="Sylfaen"/>
          <w:sz w:val="24"/>
          <w:szCs w:val="24"/>
        </w:rPr>
        <w:t xml:space="preserve"> այդ նյութերի մասնագրերը: Մասնագրերը պետք է ներառեն նյութերի նկարագրությունը </w:t>
      </w:r>
      <w:r w:rsidR="00C54D75">
        <w:rPr>
          <w:rFonts w:ascii="Sylfaen" w:hAnsi="Sylfaen"/>
          <w:sz w:val="24"/>
          <w:szCs w:val="24"/>
        </w:rPr>
        <w:t>և</w:t>
      </w:r>
      <w:r w:rsidRPr="00834D52">
        <w:rPr>
          <w:rFonts w:ascii="Sylfaen" w:hAnsi="Sylfaen"/>
          <w:sz w:val="24"/>
          <w:szCs w:val="24"/>
        </w:rPr>
        <w:t xml:space="preserve"> նույնականացումը: Անհրաժեշտության դեպքում պետք է ներկայացվի տեղեկատվություն՝ վերլուծության ոչ դեղագրքային մեթոդների (ներառյալ՝ մեթոդիկաների վալիդացման) մասին:</w:t>
      </w:r>
    </w:p>
    <w:p w14:paraId="71A9795C" w14:textId="77777777" w:rsidR="006F76EB" w:rsidRPr="00834D52" w:rsidRDefault="006F76EB" w:rsidP="0097392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Երկրորդական (սպառողական) </w:t>
      </w:r>
      <w:r w:rsidR="00C54D75">
        <w:rPr>
          <w:rFonts w:ascii="Sylfaen" w:hAnsi="Sylfaen"/>
          <w:sz w:val="24"/>
          <w:szCs w:val="24"/>
        </w:rPr>
        <w:t>և</w:t>
      </w:r>
      <w:r w:rsidRPr="00834D52">
        <w:rPr>
          <w:rFonts w:ascii="Sylfaen" w:hAnsi="Sylfaen"/>
          <w:sz w:val="24"/>
          <w:szCs w:val="24"/>
        </w:rPr>
        <w:t xml:space="preserve"> միջանկյալ փաթեթվածքի ոչ գործառական նյութերի համար ներկայացվում է միայն համառոտ նկարագրությունը: Երկրորդական (սպառողական) </w:t>
      </w:r>
      <w:r w:rsidR="00C54D75">
        <w:rPr>
          <w:rFonts w:ascii="Sylfaen" w:hAnsi="Sylfaen"/>
          <w:sz w:val="24"/>
          <w:szCs w:val="24"/>
        </w:rPr>
        <w:t>և</w:t>
      </w:r>
      <w:r w:rsidRPr="00834D52">
        <w:rPr>
          <w:rFonts w:ascii="Sylfaen" w:hAnsi="Sylfaen"/>
          <w:sz w:val="24"/>
          <w:szCs w:val="24"/>
        </w:rPr>
        <w:t xml:space="preserve"> միջանկյալ փաթեթվածքի գործառական բաղադրիչների համար ներկայացվում է լրացուցիչ տեղեկատվություն: </w:t>
      </w:r>
    </w:p>
    <w:p w14:paraId="0DA1A886" w14:textId="77777777" w:rsidR="006F76EB" w:rsidRPr="00834D52" w:rsidRDefault="006F76EB" w:rsidP="00E06CA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3.2.P.8.</w:t>
      </w:r>
      <w:r w:rsidRPr="00834D52">
        <w:rPr>
          <w:rFonts w:ascii="Sylfaen" w:hAnsi="Sylfaen"/>
          <w:sz w:val="24"/>
          <w:szCs w:val="24"/>
        </w:rPr>
        <w:tab/>
        <w:t xml:space="preserve">Դեղապատրաստուկի կայունությունը՝ </w:t>
      </w:r>
    </w:p>
    <w:p w14:paraId="0DCAD7F4"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0097392D" w:rsidRPr="00A958BD">
        <w:rPr>
          <w:rFonts w:ascii="Sylfaen" w:hAnsi="Sylfaen"/>
          <w:sz w:val="24"/>
          <w:szCs w:val="24"/>
        </w:rPr>
        <w:tab/>
      </w:r>
      <w:r w:rsidRPr="00834D52">
        <w:rPr>
          <w:rFonts w:ascii="Sylfaen" w:hAnsi="Sylfaen"/>
          <w:sz w:val="24"/>
          <w:szCs w:val="24"/>
        </w:rPr>
        <w:t xml:space="preserve">անհրաժեշտ է ներկայացնել անցկացված հետազոտությունների տեսակների մասին ռեզյումեն, օգտագործված պլանները (ծրագրերը) </w:t>
      </w:r>
      <w:r w:rsidR="00C54D75">
        <w:rPr>
          <w:rFonts w:ascii="Sylfaen" w:hAnsi="Sylfaen"/>
          <w:sz w:val="24"/>
          <w:szCs w:val="24"/>
        </w:rPr>
        <w:t>և</w:t>
      </w:r>
      <w:r w:rsidRPr="00834D52">
        <w:rPr>
          <w:rFonts w:ascii="Sylfaen" w:hAnsi="Sylfaen"/>
          <w:sz w:val="24"/>
          <w:szCs w:val="24"/>
        </w:rPr>
        <w:t xml:space="preserve"> հետազոտությունն անցկացնելու ժամանակ ստացված արդյունքները, </w:t>
      </w:r>
    </w:p>
    <w:p w14:paraId="39CB52C1"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0097392D" w:rsidRPr="00A958BD">
        <w:rPr>
          <w:rFonts w:ascii="Sylfaen" w:hAnsi="Sylfaen"/>
          <w:sz w:val="24"/>
          <w:szCs w:val="24"/>
        </w:rPr>
        <w:tab/>
      </w:r>
      <w:r w:rsidRPr="00834D52">
        <w:rPr>
          <w:rFonts w:ascii="Sylfaen" w:hAnsi="Sylfaen"/>
          <w:sz w:val="24"/>
          <w:szCs w:val="24"/>
        </w:rPr>
        <w:t>անհրաժեշտ է ներկայացնել համապատասխան ձ</w:t>
      </w:r>
      <w:r w:rsidR="00C54D75">
        <w:rPr>
          <w:rFonts w:ascii="Sylfaen" w:hAnsi="Sylfaen"/>
          <w:sz w:val="24"/>
          <w:szCs w:val="24"/>
        </w:rPr>
        <w:t>և</w:t>
      </w:r>
      <w:r w:rsidRPr="00834D52">
        <w:rPr>
          <w:rFonts w:ascii="Sylfaen" w:hAnsi="Sylfaen"/>
          <w:sz w:val="24"/>
          <w:szCs w:val="24"/>
        </w:rPr>
        <w:t xml:space="preserve">աչափով գրառված՝ կայունության հետազոտության անցկացման մանրամասն արդյունքները՝ ներառյալ տեղեկություններ՝ օգտագործված վերլուծական մեթոդիկաների </w:t>
      </w:r>
      <w:r w:rsidR="00C54D75">
        <w:rPr>
          <w:rFonts w:ascii="Sylfaen" w:hAnsi="Sylfaen"/>
          <w:sz w:val="24"/>
          <w:szCs w:val="24"/>
        </w:rPr>
        <w:t>և</w:t>
      </w:r>
      <w:r w:rsidRPr="00834D52">
        <w:rPr>
          <w:rFonts w:ascii="Sylfaen" w:hAnsi="Sylfaen"/>
          <w:sz w:val="24"/>
          <w:szCs w:val="24"/>
        </w:rPr>
        <w:t xml:space="preserve"> վերլուծական մեթոդիկաների վալիդացման մասին: </w:t>
      </w:r>
    </w:p>
    <w:p w14:paraId="483288E9"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Պատվաստանյութերի համար անհրաժեշտության դեպքում հարկ է ներկայացնել տեղեկատվություն՝ կումուլյատիվ կայունության մասին, </w:t>
      </w:r>
    </w:p>
    <w:p w14:paraId="55BB2178" w14:textId="012CC453"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ներկայացնել հետգրանցումային շրջանում կայունության ուսումնասիրության պլանը (ծրագիրը)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նշված պլանը կատարելու պարտավորությունները: </w:t>
      </w:r>
    </w:p>
    <w:p w14:paraId="06FFD5BC"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w:t>
      </w:r>
      <w:r w:rsidRPr="00834D52">
        <w:rPr>
          <w:rFonts w:ascii="Sylfaen" w:hAnsi="Sylfaen"/>
          <w:sz w:val="24"/>
          <w:szCs w:val="24"/>
        </w:rPr>
        <w:tab/>
        <w:t>Լրացումները:</w:t>
      </w:r>
    </w:p>
    <w:p w14:paraId="1FB7384F"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3.2.А.1.</w:t>
      </w:r>
      <w:r w:rsidRPr="00834D52">
        <w:rPr>
          <w:rFonts w:ascii="Sylfaen" w:hAnsi="Sylfaen"/>
          <w:sz w:val="24"/>
          <w:szCs w:val="24"/>
        </w:rPr>
        <w:tab/>
        <w:t xml:space="preserve">Արտադրական տարածքները </w:t>
      </w:r>
      <w:r w:rsidR="00C54D75">
        <w:rPr>
          <w:rFonts w:ascii="Sylfaen" w:hAnsi="Sylfaen"/>
          <w:sz w:val="24"/>
          <w:szCs w:val="24"/>
        </w:rPr>
        <w:t>և</w:t>
      </w:r>
      <w:r w:rsidRPr="00834D52">
        <w:rPr>
          <w:rFonts w:ascii="Sylfaen" w:hAnsi="Sylfaen"/>
          <w:sz w:val="24"/>
          <w:szCs w:val="24"/>
        </w:rPr>
        <w:t xml:space="preserve"> սարքավորումները:</w:t>
      </w:r>
    </w:p>
    <w:p w14:paraId="52F7EC37"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3.2.А.2.</w:t>
      </w:r>
      <w:r w:rsidRPr="00834D52">
        <w:rPr>
          <w:rFonts w:ascii="Sylfaen" w:hAnsi="Sylfaen"/>
          <w:sz w:val="24"/>
          <w:szCs w:val="24"/>
        </w:rPr>
        <w:tab/>
        <w:t>Կողմնակի ագենտների առկայության առնչությամբ դեղապատրաստուկների անվտանգության գնահատումը:</w:t>
      </w:r>
    </w:p>
    <w:p w14:paraId="0C2DD8B1"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3.2.А.3.</w:t>
      </w:r>
      <w:r w:rsidRPr="00834D52">
        <w:rPr>
          <w:rFonts w:ascii="Sylfaen" w:hAnsi="Sylfaen"/>
          <w:sz w:val="24"/>
          <w:szCs w:val="24"/>
        </w:rPr>
        <w:tab/>
        <w:t>Նոր օժանդակ նյութեր:</w:t>
      </w:r>
    </w:p>
    <w:p w14:paraId="04BD3EB0" w14:textId="31E8B87A" w:rsidR="00ED2665" w:rsidRPr="006F28F9" w:rsidRDefault="00ED2665" w:rsidP="00ED2665">
      <w:pPr>
        <w:rPr>
          <w:b/>
          <w:bCs/>
          <w:i/>
          <w:iCs/>
        </w:rPr>
      </w:pPr>
      <w:r>
        <w:rPr>
          <w:rFonts w:ascii="Sylfaen" w:hAnsi="Sylfaen"/>
          <w:sz w:val="24"/>
          <w:szCs w:val="24"/>
        </w:rPr>
        <w:t xml:space="preserve">         </w:t>
      </w:r>
      <w:r w:rsidR="006F76EB" w:rsidRPr="00834D52">
        <w:rPr>
          <w:rFonts w:ascii="Sylfaen" w:hAnsi="Sylfaen"/>
          <w:sz w:val="24"/>
          <w:szCs w:val="24"/>
        </w:rPr>
        <w:t>3.2.R.1.</w:t>
      </w:r>
      <w:r>
        <w:rPr>
          <w:b/>
          <w:bCs/>
          <w:i/>
          <w:iCs/>
        </w:rPr>
        <w:t xml:space="preserve">  </w:t>
      </w:r>
      <w:r w:rsidRPr="00CD4709">
        <w:rPr>
          <w:b/>
          <w:bCs/>
          <w:i/>
          <w:iCs/>
        </w:rPr>
        <w:t>(</w:t>
      </w:r>
      <w:r>
        <w:rPr>
          <w:b/>
          <w:bCs/>
          <w:i/>
          <w:iCs/>
        </w:rPr>
        <w:t>կետը հանվել է 17.03.22 թիվ 36</w:t>
      </w:r>
      <w:r w:rsidRPr="00CD4709">
        <w:rPr>
          <w:b/>
          <w:bCs/>
          <w:i/>
          <w:iCs/>
        </w:rPr>
        <w:t>)</w:t>
      </w:r>
    </w:p>
    <w:p w14:paraId="55DEC88E" w14:textId="6B1AAA1F"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ab/>
        <w:t xml:space="preserve"> </w:t>
      </w:r>
    </w:p>
    <w:p w14:paraId="2B4C5F01" w14:textId="5041C057" w:rsidR="00ED2665" w:rsidRPr="00ED2665" w:rsidRDefault="006F76EB" w:rsidP="00ED2665">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3.2.R.2.</w:t>
      </w:r>
      <w:r w:rsidRPr="00834D52">
        <w:rPr>
          <w:rFonts w:ascii="Sylfaen" w:hAnsi="Sylfaen"/>
          <w:sz w:val="24"/>
          <w:szCs w:val="24"/>
        </w:rPr>
        <w:tab/>
      </w:r>
      <w:r w:rsidR="00ED2665" w:rsidRPr="00ED2665">
        <w:rPr>
          <w:rFonts w:ascii="Sylfaen" w:hAnsi="Sylfaen"/>
          <w:sz w:val="24"/>
          <w:szCs w:val="24"/>
        </w:rPr>
        <w:t>Արտադրական գործընթացի վալիդացման պլան</w:t>
      </w:r>
    </w:p>
    <w:p w14:paraId="5EC0C9A6" w14:textId="58DF6BD9" w:rsidR="006F76EB" w:rsidRDefault="00ED2665" w:rsidP="00ED2665">
      <w:pPr>
        <w:tabs>
          <w:tab w:val="left" w:pos="1701"/>
        </w:tabs>
        <w:spacing w:after="160" w:line="360" w:lineRule="auto"/>
        <w:ind w:right="-8" w:firstLine="567"/>
        <w:jc w:val="both"/>
        <w:rPr>
          <w:rFonts w:ascii="Sylfaen" w:hAnsi="Sylfaen"/>
          <w:sz w:val="24"/>
          <w:szCs w:val="24"/>
        </w:rPr>
      </w:pPr>
      <w:r w:rsidRPr="00ED2665">
        <w:rPr>
          <w:rFonts w:ascii="Sylfaen" w:hAnsi="Sylfaen"/>
          <w:sz w:val="24"/>
          <w:szCs w:val="24"/>
        </w:rPr>
        <w:lastRenderedPageBreak/>
        <w:t>Անհրաժեշտ է ներկայացնել արտադրական գործընթացի վալիդացման պլան (ավանդական վալիդացման դեպքում) կամ արտադրական գործընթացի անընդհատ վերիֆիկացման պլան (արտադրական գործընթացի վալիդացմանն ընդլայնված մոտեցման դեպքում</w:t>
      </w:r>
      <w:r>
        <w:rPr>
          <w:rFonts w:ascii="Sylfaen" w:hAnsi="Sylfaen"/>
          <w:sz w:val="24"/>
          <w:szCs w:val="24"/>
        </w:rPr>
        <w:t>:</w:t>
      </w:r>
    </w:p>
    <w:p w14:paraId="0E39543A" w14:textId="5D1D8FA9" w:rsidR="00ED2665" w:rsidRPr="00834D52" w:rsidRDefault="00ED2665" w:rsidP="00ED2665">
      <w:pPr>
        <w:tabs>
          <w:tab w:val="left" w:pos="1701"/>
        </w:tabs>
        <w:spacing w:after="160" w:line="360" w:lineRule="auto"/>
        <w:ind w:right="-8" w:firstLine="567"/>
        <w:jc w:val="both"/>
        <w:rPr>
          <w:rFonts w:ascii="Sylfaen" w:eastAsia="Times New Roman" w:hAnsi="Sylfaen" w:cs="Times New Roman"/>
          <w:sz w:val="24"/>
          <w:szCs w:val="24"/>
        </w:rPr>
      </w:pPr>
      <w:r w:rsidRPr="00CD4709">
        <w:rPr>
          <w:b/>
          <w:bCs/>
          <w:i/>
          <w:iCs/>
        </w:rPr>
        <w:t>(</w:t>
      </w:r>
      <w:r w:rsidRPr="00834D52">
        <w:rPr>
          <w:rFonts w:ascii="Sylfaen" w:hAnsi="Sylfaen"/>
          <w:sz w:val="24"/>
          <w:szCs w:val="24"/>
        </w:rPr>
        <w:t>3.2.R.2.</w:t>
      </w:r>
      <w:r>
        <w:rPr>
          <w:b/>
          <w:bCs/>
          <w:i/>
          <w:iCs/>
        </w:rPr>
        <w:t>կետը խմբ. 17.03.22 թիվ 36</w:t>
      </w:r>
      <w:r w:rsidRPr="00CD4709">
        <w:rPr>
          <w:b/>
          <w:bCs/>
          <w:i/>
          <w:iCs/>
        </w:rPr>
        <w:t>)</w:t>
      </w:r>
    </w:p>
    <w:p w14:paraId="2504CBE2" w14:textId="75A90DCF" w:rsidR="006F76EB" w:rsidRPr="00ED2665" w:rsidRDefault="006F76EB" w:rsidP="00ED2665">
      <w:pPr>
        <w:rPr>
          <w:b/>
          <w:bCs/>
          <w:i/>
          <w:iCs/>
        </w:rPr>
      </w:pPr>
      <w:r w:rsidRPr="00834D52">
        <w:rPr>
          <w:rFonts w:ascii="Sylfaen" w:hAnsi="Sylfaen"/>
          <w:sz w:val="24"/>
          <w:szCs w:val="24"/>
        </w:rPr>
        <w:t>3.2.R.3.</w:t>
      </w:r>
      <w:r w:rsidR="00ED2665" w:rsidRPr="00ED2665">
        <w:rPr>
          <w:rFonts w:ascii="Sylfaen" w:hAnsi="Sylfaen"/>
          <w:sz w:val="24"/>
          <w:szCs w:val="24"/>
        </w:rPr>
        <w:t xml:space="preserve"> </w:t>
      </w:r>
      <w:r w:rsidR="00ED2665">
        <w:rPr>
          <w:b/>
          <w:bCs/>
          <w:i/>
          <w:iCs/>
        </w:rPr>
        <w:t xml:space="preserve">  </w:t>
      </w:r>
      <w:r w:rsidR="00ED2665" w:rsidRPr="00CD4709">
        <w:rPr>
          <w:b/>
          <w:bCs/>
          <w:i/>
          <w:iCs/>
        </w:rPr>
        <w:t>(</w:t>
      </w:r>
      <w:r w:rsidR="00ED2665">
        <w:rPr>
          <w:b/>
          <w:bCs/>
          <w:i/>
          <w:iCs/>
        </w:rPr>
        <w:t>կետը հանվել է 17.03.22 թիվ 36</w:t>
      </w:r>
      <w:r w:rsidR="00ED2665" w:rsidRPr="00CD4709">
        <w:rPr>
          <w:b/>
          <w:bCs/>
          <w:i/>
          <w:iCs/>
        </w:rPr>
        <w:t>)</w:t>
      </w:r>
      <w:r w:rsidRPr="00834D52">
        <w:rPr>
          <w:rFonts w:ascii="Sylfaen" w:hAnsi="Sylfaen"/>
          <w:sz w:val="24"/>
          <w:szCs w:val="24"/>
        </w:rPr>
        <w:tab/>
        <w:t xml:space="preserve"> </w:t>
      </w:r>
    </w:p>
    <w:p w14:paraId="440E6A21" w14:textId="7183A692" w:rsidR="006F76EB" w:rsidRPr="00ED2665" w:rsidRDefault="006F76EB" w:rsidP="00ED2665">
      <w:pPr>
        <w:rPr>
          <w:b/>
          <w:bCs/>
          <w:i/>
          <w:iCs/>
        </w:rPr>
      </w:pPr>
      <w:r w:rsidRPr="00834D52">
        <w:rPr>
          <w:rFonts w:ascii="Sylfaen" w:hAnsi="Sylfaen"/>
          <w:sz w:val="24"/>
          <w:szCs w:val="24"/>
        </w:rPr>
        <w:t>3.2.R.4.</w:t>
      </w:r>
      <w:r w:rsidR="00ED2665">
        <w:rPr>
          <w:b/>
          <w:bCs/>
          <w:i/>
          <w:iCs/>
        </w:rPr>
        <w:t xml:space="preserve">  </w:t>
      </w:r>
      <w:r w:rsidR="00ED2665" w:rsidRPr="00CD4709">
        <w:rPr>
          <w:b/>
          <w:bCs/>
          <w:i/>
          <w:iCs/>
        </w:rPr>
        <w:t>(</w:t>
      </w:r>
      <w:r w:rsidR="00ED2665">
        <w:rPr>
          <w:b/>
          <w:bCs/>
          <w:i/>
          <w:iCs/>
        </w:rPr>
        <w:t>կետը հանվել է 17.03.22 թիվ 36</w:t>
      </w:r>
      <w:r w:rsidR="00ED2665" w:rsidRPr="00CD4709">
        <w:rPr>
          <w:b/>
          <w:bCs/>
          <w:i/>
          <w:iCs/>
        </w:rPr>
        <w:t>)</w:t>
      </w:r>
      <w:r w:rsidRPr="00834D52">
        <w:rPr>
          <w:rFonts w:ascii="Sylfaen" w:hAnsi="Sylfaen"/>
          <w:sz w:val="24"/>
          <w:szCs w:val="24"/>
        </w:rPr>
        <w:t xml:space="preserve"> </w:t>
      </w:r>
    </w:p>
    <w:p w14:paraId="780A4356" w14:textId="629A304A" w:rsidR="006F76EB" w:rsidRPr="00ED2665" w:rsidRDefault="006F76EB" w:rsidP="00ED2665">
      <w:pPr>
        <w:rPr>
          <w:b/>
          <w:bCs/>
          <w:i/>
          <w:iCs/>
        </w:rPr>
      </w:pPr>
      <w:r w:rsidRPr="00834D52">
        <w:rPr>
          <w:rFonts w:ascii="Sylfaen" w:hAnsi="Sylfaen"/>
          <w:sz w:val="24"/>
          <w:szCs w:val="24"/>
        </w:rPr>
        <w:t>3.2.R.5.</w:t>
      </w:r>
      <w:r w:rsidR="00ED2665">
        <w:rPr>
          <w:rFonts w:ascii="Sylfaen" w:hAnsi="Sylfaen"/>
          <w:sz w:val="24"/>
          <w:szCs w:val="24"/>
        </w:rPr>
        <w:t xml:space="preserve"> </w:t>
      </w:r>
      <w:r w:rsidR="00ED2665">
        <w:rPr>
          <w:b/>
          <w:bCs/>
          <w:i/>
          <w:iCs/>
        </w:rPr>
        <w:t xml:space="preserve"> </w:t>
      </w:r>
      <w:r w:rsidR="00ED2665" w:rsidRPr="00CD4709">
        <w:rPr>
          <w:b/>
          <w:bCs/>
          <w:i/>
          <w:iCs/>
        </w:rPr>
        <w:t>(</w:t>
      </w:r>
      <w:r w:rsidR="00ED2665">
        <w:rPr>
          <w:b/>
          <w:bCs/>
          <w:i/>
          <w:iCs/>
        </w:rPr>
        <w:t>կետը հանվել է 17.03.22 թիվ 36</w:t>
      </w:r>
      <w:r w:rsidR="00ED2665" w:rsidRPr="00CD4709">
        <w:rPr>
          <w:b/>
          <w:bCs/>
          <w:i/>
          <w:iCs/>
        </w:rPr>
        <w:t>)</w:t>
      </w:r>
      <w:r w:rsidRPr="00834D52">
        <w:rPr>
          <w:rFonts w:ascii="Sylfaen" w:hAnsi="Sylfaen"/>
          <w:sz w:val="24"/>
          <w:szCs w:val="24"/>
        </w:rPr>
        <w:t xml:space="preserve"> </w:t>
      </w:r>
    </w:p>
    <w:p w14:paraId="1190B714" w14:textId="7589B2A4" w:rsidR="00422847" w:rsidRPr="006F28F9" w:rsidRDefault="00422847" w:rsidP="00422847">
      <w:pPr>
        <w:rPr>
          <w:b/>
          <w:bCs/>
          <w:i/>
          <w:iCs/>
        </w:rPr>
      </w:pPr>
      <w:r w:rsidRPr="00CD4709">
        <w:rPr>
          <w:b/>
          <w:bCs/>
          <w:i/>
          <w:iCs/>
        </w:rPr>
        <w:t>(</w:t>
      </w:r>
      <w:r>
        <w:rPr>
          <w:b/>
          <w:bCs/>
          <w:i/>
          <w:iCs/>
        </w:rPr>
        <w:t xml:space="preserve">3-րդ բաժինը </w:t>
      </w:r>
      <w:r w:rsidRPr="00CD4709">
        <w:rPr>
          <w:b/>
          <w:bCs/>
          <w:i/>
          <w:iCs/>
        </w:rPr>
        <w:t>փոփ. 30.01.20 թիվ 9)</w:t>
      </w:r>
    </w:p>
    <w:p w14:paraId="554AC1B5" w14:textId="77777777" w:rsidR="00422847" w:rsidRPr="00DB039F" w:rsidRDefault="00422847" w:rsidP="00604C9A">
      <w:pPr>
        <w:tabs>
          <w:tab w:val="left" w:pos="1701"/>
        </w:tabs>
        <w:spacing w:after="160" w:line="360" w:lineRule="auto"/>
        <w:ind w:right="-8" w:firstLine="567"/>
        <w:jc w:val="both"/>
        <w:rPr>
          <w:rFonts w:ascii="Sylfaen" w:hAnsi="Sylfaen"/>
          <w:sz w:val="24"/>
          <w:szCs w:val="24"/>
        </w:rPr>
      </w:pPr>
    </w:p>
    <w:p w14:paraId="3CC621CB" w14:textId="77777777" w:rsidR="006F76EB" w:rsidRPr="00DB039F"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p>
    <w:p w14:paraId="180B43C9" w14:textId="77777777" w:rsidR="006F76EB" w:rsidRPr="00834D52" w:rsidRDefault="006F76EB" w:rsidP="00F85569">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4. Գրանցման դոսյեի՝ 4-րդ մոդուլում բերված փաստաթղթերի նկատմամբ պահանջները՝ հաշվետվություններ նախակլինիկական (ոչ կլինիկական) հետազոտությունների մասին</w:t>
      </w:r>
    </w:p>
    <w:p w14:paraId="03344419"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4-րդ մոդուլի բովանդակությունը:</w:t>
      </w:r>
    </w:p>
    <w:p w14:paraId="072530E7"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 xml:space="preserve">Հաշվետվություններ՝ նախակլինիկական (ոչ կլինիկական) հետազոտությունների մասին: </w:t>
      </w:r>
    </w:p>
    <w:p w14:paraId="38D1BBC7" w14:textId="77777777" w:rsidR="006F76EB" w:rsidRPr="00834D52" w:rsidRDefault="006F76EB" w:rsidP="000E2C50">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Առանձին դեպքերում, սույն պահանջների II մասի պատրաստուկների առանձին խմբերի հետազոտության </w:t>
      </w:r>
      <w:r w:rsidR="00C54D75">
        <w:rPr>
          <w:rFonts w:ascii="Sylfaen" w:hAnsi="Sylfaen"/>
          <w:sz w:val="24"/>
          <w:szCs w:val="24"/>
        </w:rPr>
        <w:t>և</w:t>
      </w:r>
      <w:r w:rsidRPr="00834D52">
        <w:rPr>
          <w:rFonts w:ascii="Sylfaen" w:hAnsi="Sylfaen"/>
          <w:sz w:val="24"/>
          <w:szCs w:val="24"/>
        </w:rPr>
        <w:t xml:space="preserve"> Հանձնաժողովի կողմից հաստատվող՝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պահանջներին համապատասխան, տվյալ բաժնում կարող է բերվել գիտական գրականության տվյալների ուսումնասիրությունը՝ անցկացրած սեփական նախակլինիկական հետազոտությունների արդյունքների փոխարեն: </w:t>
      </w:r>
    </w:p>
    <w:p w14:paraId="611D920E" w14:textId="77777777" w:rsidR="006F76EB" w:rsidRPr="00834D52" w:rsidRDefault="006F76EB" w:rsidP="000E2C50">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Դեղաբանական </w:t>
      </w:r>
      <w:r w:rsidR="00C54D75">
        <w:rPr>
          <w:rFonts w:ascii="Sylfaen" w:hAnsi="Sylfaen"/>
          <w:sz w:val="24"/>
          <w:szCs w:val="24"/>
        </w:rPr>
        <w:t>և</w:t>
      </w:r>
      <w:r w:rsidRPr="00834D52">
        <w:rPr>
          <w:rFonts w:ascii="Sylfaen" w:hAnsi="Sylfaen"/>
          <w:sz w:val="24"/>
          <w:szCs w:val="24"/>
        </w:rPr>
        <w:t xml:space="preserve"> թունաբանական փորձարկումների մասին գրանցման դոսյեի փաստաթղթերը պետք է սահմանեն՝ </w:t>
      </w:r>
    </w:p>
    <w:p w14:paraId="46790CA9" w14:textId="77777777" w:rsidR="006F76EB" w:rsidRPr="00834D52" w:rsidRDefault="006F76EB" w:rsidP="000E2C50">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հնարավոր թունավորությունը </w:t>
      </w:r>
      <w:r w:rsidR="00C54D75">
        <w:rPr>
          <w:rFonts w:ascii="Sylfaen" w:hAnsi="Sylfaen"/>
          <w:spacing w:val="-4"/>
          <w:sz w:val="24"/>
          <w:szCs w:val="24"/>
        </w:rPr>
        <w:t>և</w:t>
      </w:r>
      <w:r w:rsidRPr="00834D52">
        <w:rPr>
          <w:rFonts w:ascii="Sylfaen" w:hAnsi="Sylfaen"/>
          <w:spacing w:val="-4"/>
          <w:sz w:val="24"/>
          <w:szCs w:val="24"/>
        </w:rPr>
        <w:t xml:space="preserve"> ցանկացած վնասակար </w:t>
      </w:r>
      <w:r w:rsidRPr="00834D52">
        <w:rPr>
          <w:rFonts w:ascii="Sylfaen" w:hAnsi="Sylfaen"/>
          <w:spacing w:val="-4"/>
          <w:sz w:val="24"/>
          <w:szCs w:val="24"/>
        </w:rPr>
        <w:lastRenderedPageBreak/>
        <w:t xml:space="preserve">կամ անցանկալի թունավոր ռեակցիա, որը կարող է դիտվել մարդու կողմից այն կիրառելու առաջարկվող պայմաններում, ընդ որում, պետք է բերվի դրանց գնահատումը՝ հաշվի առնելով համապատասխան ախտաբանական վիճակները, </w:t>
      </w:r>
    </w:p>
    <w:p w14:paraId="2CE7869D" w14:textId="705972F4" w:rsidR="006F76EB" w:rsidRPr="00834D52" w:rsidRDefault="006F76EB" w:rsidP="000E2C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դեղագործական հատկությունները՝ ըստ որակական </w:t>
      </w:r>
      <w:r w:rsidR="00C54D75">
        <w:rPr>
          <w:rFonts w:ascii="Sylfaen" w:hAnsi="Sylfaen"/>
          <w:sz w:val="24"/>
          <w:szCs w:val="24"/>
        </w:rPr>
        <w:t>և</w:t>
      </w:r>
      <w:r w:rsidRPr="00834D52">
        <w:rPr>
          <w:rFonts w:ascii="Sylfaen" w:hAnsi="Sylfaen"/>
          <w:sz w:val="24"/>
          <w:szCs w:val="24"/>
        </w:rPr>
        <w:t xml:space="preserve"> քանակական ցուցանիշների </w:t>
      </w:r>
      <w:r w:rsidR="00C54D75">
        <w:rPr>
          <w:rFonts w:ascii="Sylfaen" w:hAnsi="Sylfaen"/>
          <w:sz w:val="24"/>
          <w:szCs w:val="24"/>
        </w:rPr>
        <w:t>և</w:t>
      </w:r>
      <w:r w:rsidRPr="00834D52">
        <w:rPr>
          <w:rFonts w:ascii="Sylfaen" w:hAnsi="Sylfaen"/>
          <w:sz w:val="24"/>
          <w:szCs w:val="24"/>
        </w:rPr>
        <w:t xml:space="preserve"> ըստ </w:t>
      </w:r>
      <w:r w:rsidR="0056496B">
        <w:rPr>
          <w:rFonts w:ascii="Sylfaen" w:hAnsi="Sylfaen"/>
          <w:sz w:val="24"/>
          <w:szCs w:val="24"/>
        </w:rPr>
        <w:t>դիմում</w:t>
      </w:r>
      <w:r w:rsidRPr="00834D52">
        <w:rPr>
          <w:rFonts w:ascii="Sylfaen" w:hAnsi="Sylfaen"/>
          <w:sz w:val="24"/>
          <w:szCs w:val="24"/>
        </w:rPr>
        <w:t xml:space="preserve">ագրվող կլինիկական կիրառության: Բոլոր արդյունքները պետք է լինեն հավաստի </w:t>
      </w:r>
      <w:r w:rsidR="00C54D75">
        <w:rPr>
          <w:rFonts w:ascii="Sylfaen" w:hAnsi="Sylfaen"/>
          <w:sz w:val="24"/>
          <w:szCs w:val="24"/>
        </w:rPr>
        <w:t>և</w:t>
      </w:r>
      <w:r w:rsidRPr="00834D52">
        <w:rPr>
          <w:rFonts w:ascii="Sylfaen" w:hAnsi="Sylfaen"/>
          <w:sz w:val="24"/>
          <w:szCs w:val="24"/>
        </w:rPr>
        <w:t xml:space="preserve"> բոլորի համար կիրառելի: Փորձարարական հետազոտությունների պլանավորման </w:t>
      </w:r>
      <w:r w:rsidR="00C54D75">
        <w:rPr>
          <w:rFonts w:ascii="Sylfaen" w:hAnsi="Sylfaen"/>
          <w:sz w:val="24"/>
          <w:szCs w:val="24"/>
        </w:rPr>
        <w:t>և</w:t>
      </w:r>
      <w:r w:rsidRPr="00834D52">
        <w:rPr>
          <w:rFonts w:ascii="Sylfaen" w:hAnsi="Sylfaen"/>
          <w:sz w:val="24"/>
          <w:szCs w:val="24"/>
        </w:rPr>
        <w:t xml:space="preserve"> ստացված տվյալների գնահատման ժամանակ անհրաժեշտ է օգտագործել արդյունքների մաթեմատիկական </w:t>
      </w:r>
      <w:r w:rsidR="00C54D75">
        <w:rPr>
          <w:rFonts w:ascii="Sylfaen" w:hAnsi="Sylfaen"/>
          <w:sz w:val="24"/>
          <w:szCs w:val="24"/>
        </w:rPr>
        <w:t>և</w:t>
      </w:r>
      <w:r w:rsidRPr="00834D52">
        <w:rPr>
          <w:rFonts w:ascii="Sylfaen" w:hAnsi="Sylfaen"/>
          <w:sz w:val="24"/>
          <w:szCs w:val="24"/>
        </w:rPr>
        <w:t xml:space="preserve"> վիճակագրական մշակման մեթոդներ: </w:t>
      </w:r>
    </w:p>
    <w:p w14:paraId="4923F8FF" w14:textId="77777777" w:rsidR="006F76EB" w:rsidRPr="00834D52" w:rsidRDefault="006F76EB" w:rsidP="00E5048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Բացի այդ, անհրաժեշտ է գրանցման դոսյեի մեջ բուժաշխատողների համար ներկայացնել տեղեկատվություն՝ դեղապատրաստուկի թերապ</w:t>
      </w:r>
      <w:r w:rsidR="00C54D75">
        <w:rPr>
          <w:rFonts w:ascii="Sylfaen" w:hAnsi="Sylfaen"/>
          <w:sz w:val="24"/>
          <w:szCs w:val="24"/>
        </w:rPr>
        <w:t>և</w:t>
      </w:r>
      <w:r w:rsidRPr="00834D52">
        <w:rPr>
          <w:rFonts w:ascii="Sylfaen" w:hAnsi="Sylfaen"/>
          <w:sz w:val="24"/>
          <w:szCs w:val="24"/>
        </w:rPr>
        <w:t xml:space="preserve">տիկ </w:t>
      </w:r>
      <w:r w:rsidR="00C54D75">
        <w:rPr>
          <w:rFonts w:ascii="Sylfaen" w:hAnsi="Sylfaen"/>
          <w:sz w:val="24"/>
          <w:szCs w:val="24"/>
        </w:rPr>
        <w:t>և</w:t>
      </w:r>
      <w:r w:rsidRPr="00834D52">
        <w:rPr>
          <w:rFonts w:ascii="Sylfaen" w:hAnsi="Sylfaen"/>
          <w:sz w:val="24"/>
          <w:szCs w:val="24"/>
        </w:rPr>
        <w:t xml:space="preserve"> թունաբանական պոտենցիալի (ներունակության) մասին: </w:t>
      </w:r>
    </w:p>
    <w:p w14:paraId="04141ED0" w14:textId="65C530F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Այնպիսի կենսաբանական դեղապատրաստուկների համար, ինչպիսիք են իմունոլոգիական դեղապատրաստուկները </w:t>
      </w:r>
      <w:r w:rsidR="00C54D75">
        <w:rPr>
          <w:rFonts w:ascii="Sylfaen" w:hAnsi="Sylfaen"/>
          <w:sz w:val="24"/>
          <w:szCs w:val="24"/>
        </w:rPr>
        <w:t>և</w:t>
      </w:r>
      <w:r w:rsidRPr="00834D52">
        <w:rPr>
          <w:rFonts w:ascii="Sylfaen" w:hAnsi="Sylfaen"/>
          <w:sz w:val="24"/>
          <w:szCs w:val="24"/>
        </w:rPr>
        <w:t xml:space="preserve"> մարդու արյունից </w:t>
      </w:r>
      <w:r w:rsidR="00C54D75">
        <w:rPr>
          <w:rFonts w:ascii="Sylfaen" w:hAnsi="Sylfaen"/>
          <w:sz w:val="24"/>
          <w:szCs w:val="24"/>
        </w:rPr>
        <w:t>և</w:t>
      </w:r>
      <w:r w:rsidRPr="00834D52">
        <w:rPr>
          <w:rFonts w:ascii="Sylfaen" w:hAnsi="Sylfaen"/>
          <w:sz w:val="24"/>
          <w:szCs w:val="24"/>
        </w:rPr>
        <w:t xml:space="preserve"> պլազմայից ստացվող դեղապատրաստուկները, կարող է պահանջվել դեղապատրաստուկի գրանցման դոսյեի տվյալ մոդուլի պահանջների հարմարեցում կոնկրետ դեղապատրաստուկին, այդ պատճառով </w:t>
      </w:r>
      <w:r w:rsidR="0056496B">
        <w:rPr>
          <w:rFonts w:ascii="Sylfaen" w:hAnsi="Sylfaen"/>
          <w:sz w:val="24"/>
          <w:szCs w:val="24"/>
        </w:rPr>
        <w:t>դիմումատու</w:t>
      </w:r>
      <w:r w:rsidRPr="00834D52">
        <w:rPr>
          <w:rFonts w:ascii="Sylfaen" w:hAnsi="Sylfaen"/>
          <w:sz w:val="24"/>
          <w:szCs w:val="24"/>
        </w:rPr>
        <w:t xml:space="preserve">ն պետք է ներկայացնի հետազոտության օգտագործված ծրագրի հիմնավորում: </w:t>
      </w:r>
    </w:p>
    <w:p w14:paraId="12EED2AE"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դրա հետազոտության ծրագրի առումով անհրաժեշտ է նախատեսել, որ՝ </w:t>
      </w:r>
    </w:p>
    <w:p w14:paraId="6F150AC4"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բազմակի ներմուծում պահանջող բոլոր հետազոտությունները պլանավորվել են՝ հաշվի առնելով հակամարմինների առաջացումը խթանելու </w:t>
      </w:r>
      <w:r w:rsidR="00C54D75">
        <w:rPr>
          <w:rFonts w:ascii="Sylfaen" w:hAnsi="Sylfaen"/>
          <w:sz w:val="24"/>
          <w:szCs w:val="24"/>
        </w:rPr>
        <w:t>և</w:t>
      </w:r>
      <w:r w:rsidRPr="00834D52">
        <w:rPr>
          <w:rFonts w:ascii="Sylfaen" w:hAnsi="Sylfaen"/>
          <w:sz w:val="24"/>
          <w:szCs w:val="24"/>
        </w:rPr>
        <w:t xml:space="preserve"> օրգանիզմի վրա հակամարմինները ներգործելու հնարավորությունները, </w:t>
      </w:r>
    </w:p>
    <w:p w14:paraId="154AEBD4"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վերլուծվել են վերարտադրողական գործառույթի, սաղմնային (պտղային) </w:t>
      </w:r>
      <w:r w:rsidR="00C54D75">
        <w:rPr>
          <w:rFonts w:ascii="Sylfaen" w:hAnsi="Sylfaen"/>
          <w:sz w:val="24"/>
          <w:szCs w:val="24"/>
        </w:rPr>
        <w:t>և</w:t>
      </w:r>
      <w:r w:rsidRPr="00834D52">
        <w:rPr>
          <w:rFonts w:ascii="Sylfaen" w:hAnsi="Sylfaen"/>
          <w:sz w:val="24"/>
          <w:szCs w:val="24"/>
        </w:rPr>
        <w:t xml:space="preserve"> նախածննդաբերական թունավորության, ինչպես նա</w:t>
      </w:r>
      <w:r w:rsidR="00C54D75">
        <w:rPr>
          <w:rFonts w:ascii="Sylfaen" w:hAnsi="Sylfaen"/>
          <w:sz w:val="24"/>
          <w:szCs w:val="24"/>
        </w:rPr>
        <w:t>և</w:t>
      </w:r>
      <w:r w:rsidRPr="00834D52">
        <w:rPr>
          <w:rFonts w:ascii="Sylfaen" w:hAnsi="Sylfaen"/>
          <w:sz w:val="24"/>
          <w:szCs w:val="24"/>
        </w:rPr>
        <w:t xml:space="preserve"> դեղապատրաստուկի մուտագեն </w:t>
      </w:r>
      <w:r w:rsidR="00C54D75">
        <w:rPr>
          <w:rFonts w:ascii="Sylfaen" w:hAnsi="Sylfaen"/>
          <w:sz w:val="24"/>
          <w:szCs w:val="24"/>
        </w:rPr>
        <w:t>և</w:t>
      </w:r>
      <w:r w:rsidRPr="00834D52">
        <w:rPr>
          <w:rFonts w:ascii="Sylfaen" w:hAnsi="Sylfaen"/>
          <w:sz w:val="24"/>
          <w:szCs w:val="24"/>
        </w:rPr>
        <w:t xml:space="preserve"> քաղցկեղածին ազդեցության հետազոտություններ անցկացնելու </w:t>
      </w:r>
      <w:r w:rsidRPr="00834D52">
        <w:rPr>
          <w:rFonts w:ascii="Sylfaen" w:hAnsi="Sylfaen"/>
          <w:sz w:val="24"/>
          <w:szCs w:val="24"/>
        </w:rPr>
        <w:lastRenderedPageBreak/>
        <w:t xml:space="preserve">նպատակահարմարության հարցերը: Եթե թունավորության պատճառը ակտիվ նյութը չէ (4-րդ </w:t>
      </w:r>
      <w:r w:rsidR="00C54D75">
        <w:rPr>
          <w:rFonts w:ascii="Sylfaen" w:hAnsi="Sylfaen"/>
          <w:sz w:val="24"/>
          <w:szCs w:val="24"/>
        </w:rPr>
        <w:t>և</w:t>
      </w:r>
      <w:r w:rsidRPr="00834D52">
        <w:rPr>
          <w:rFonts w:ascii="Sylfaen" w:hAnsi="Sylfaen"/>
          <w:sz w:val="24"/>
          <w:szCs w:val="24"/>
        </w:rPr>
        <w:t xml:space="preserve"> 5-րդ մոդուլների նկարագրության ժամանակ «ակտիվ (ազդող) նյութ», «ակտիվ նյութ» </w:t>
      </w:r>
      <w:r w:rsidR="00C54D75">
        <w:rPr>
          <w:rFonts w:ascii="Sylfaen" w:hAnsi="Sylfaen"/>
          <w:sz w:val="24"/>
          <w:szCs w:val="24"/>
        </w:rPr>
        <w:t>և</w:t>
      </w:r>
      <w:r w:rsidRPr="00834D52">
        <w:rPr>
          <w:rFonts w:ascii="Sylfaen" w:hAnsi="Sylfaen"/>
          <w:sz w:val="24"/>
          <w:szCs w:val="24"/>
        </w:rPr>
        <w:t xml:space="preserve"> «ազդող նյութ» հասկացությունները համանման են), այլ ուրիշ նյութեր, ապա կարելի է հետազոտություններ անցկացնել այն պայմանով, որ վալիդացման արդյունքներով հաստատվել է, որ այդ բաղադրիչները հեռացվել են դեղապատրաստուկից:</w:t>
      </w:r>
    </w:p>
    <w:p w14:paraId="7645E9C5"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օժանդակ նյութը օգտագործվում է դեղագործական գործունեության մեջ առաջին անգամ, անհրաժեշտ է անցկացնել դրա թունաբանական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 xml:space="preserve">կինետիկ հետազոտություններ: </w:t>
      </w:r>
    </w:p>
    <w:p w14:paraId="73262EE3"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կա դեղապատրաստուկի զգալի քայքայման հավանականություն դրա պահպանման ժամանակ, անհրաժեշտ է քննարկել քայքայման արգասիքների թունաբանական հետազոտություն անցկացնելու մասին հարցը: </w:t>
      </w:r>
    </w:p>
    <w:p w14:paraId="1AE1B247"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4.2.1.</w:t>
      </w:r>
      <w:r w:rsidRPr="00834D52">
        <w:rPr>
          <w:rFonts w:ascii="Sylfaen" w:hAnsi="Sylfaen"/>
          <w:sz w:val="24"/>
          <w:szCs w:val="24"/>
        </w:rPr>
        <w:tab/>
        <w:t>Դեղաբանություն:</w:t>
      </w:r>
    </w:p>
    <w:p w14:paraId="5F81125A"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Դեղաբանական հետազոտությունների մասով դեղապաստրաստուկի գրանցման դոսյեում անհրաժեշտ է լուսաբանել 2 տարբեր ասպեկտներ՝ </w:t>
      </w:r>
    </w:p>
    <w:p w14:paraId="75A9E840"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 xml:space="preserve">տիկ կիրառության համար առաջարկվող դեղապատրաստուկի </w:t>
      </w:r>
      <w:r w:rsidR="00355C33">
        <w:rPr>
          <w:rFonts w:ascii="Sylfaen" w:hAnsi="Sylfaen"/>
          <w:sz w:val="24"/>
          <w:szCs w:val="24"/>
        </w:rPr>
        <w:t>դեղա</w:t>
      </w:r>
      <w:r w:rsidRPr="00834D52">
        <w:rPr>
          <w:rFonts w:ascii="Sylfaen" w:hAnsi="Sylfaen"/>
          <w:sz w:val="24"/>
          <w:szCs w:val="24"/>
        </w:rPr>
        <w:t xml:space="preserve">դինամիկ ակտիվությունը պետք է համապատասխան կերպով ուսումնասիրված </w:t>
      </w:r>
      <w:r w:rsidR="00C54D75">
        <w:rPr>
          <w:rFonts w:ascii="Sylfaen" w:hAnsi="Sylfaen"/>
          <w:sz w:val="24"/>
          <w:szCs w:val="24"/>
        </w:rPr>
        <w:t>և</w:t>
      </w:r>
      <w:r w:rsidRPr="00834D52">
        <w:rPr>
          <w:rFonts w:ascii="Sylfaen" w:hAnsi="Sylfaen"/>
          <w:sz w:val="24"/>
          <w:szCs w:val="24"/>
        </w:rPr>
        <w:t xml:space="preserve"> նկարագրված լինի: Հնարավորության դեպքում պետք է օգտագործվեն հետազոտության ընդունված </w:t>
      </w:r>
      <w:r w:rsidR="00C54D75">
        <w:rPr>
          <w:rFonts w:ascii="Sylfaen" w:hAnsi="Sylfaen"/>
          <w:sz w:val="24"/>
          <w:szCs w:val="24"/>
        </w:rPr>
        <w:t>և</w:t>
      </w:r>
      <w:r w:rsidRPr="00834D52">
        <w:rPr>
          <w:rFonts w:ascii="Sylfaen" w:hAnsi="Sylfaen"/>
          <w:sz w:val="24"/>
          <w:szCs w:val="24"/>
        </w:rPr>
        <w:t xml:space="preserve"> վալիդացված մեթոդիկաներ (ինչպես in vivo, այպես էլ in vitro): Նոր փորձարարական մեթոդիկաների նկարագրությունը պետք է լինի բավականաչափ մանրամասն, որպեսզի ապահովի դրանց վերարտադրելիությունը: Արդյունքներն անհրաժեշտ է ներկայացնել քանակական ցուցանիշների տեսքով (օրինակ՝ դեղաչափ-էֆեկտ </w:t>
      </w:r>
      <w:r w:rsidR="00C54D75">
        <w:rPr>
          <w:rFonts w:ascii="Sylfaen" w:hAnsi="Sylfaen"/>
          <w:sz w:val="24"/>
          <w:szCs w:val="24"/>
        </w:rPr>
        <w:t>և</w:t>
      </w:r>
      <w:r w:rsidRPr="00834D52">
        <w:rPr>
          <w:rFonts w:ascii="Sylfaen" w:hAnsi="Sylfaen"/>
          <w:sz w:val="24"/>
          <w:szCs w:val="24"/>
        </w:rPr>
        <w:t xml:space="preserve"> (կամ) ժամանակ-էֆեկտ կորերի </w:t>
      </w:r>
      <w:r w:rsidR="00C54D75">
        <w:rPr>
          <w:rFonts w:ascii="Sylfaen" w:hAnsi="Sylfaen"/>
          <w:sz w:val="24"/>
          <w:szCs w:val="24"/>
        </w:rPr>
        <w:t>և</w:t>
      </w:r>
      <w:r w:rsidRPr="00834D52">
        <w:rPr>
          <w:rFonts w:ascii="Sylfaen" w:hAnsi="Sylfaen"/>
          <w:sz w:val="24"/>
          <w:szCs w:val="24"/>
        </w:rPr>
        <w:t xml:space="preserve"> այլն): Արդյունքները պետք է համադրվեն համանման թերապ</w:t>
      </w:r>
      <w:r w:rsidR="00C54D75">
        <w:rPr>
          <w:rFonts w:ascii="Sylfaen" w:hAnsi="Sylfaen"/>
          <w:sz w:val="24"/>
          <w:szCs w:val="24"/>
        </w:rPr>
        <w:t>և</w:t>
      </w:r>
      <w:r w:rsidRPr="00834D52">
        <w:rPr>
          <w:rFonts w:ascii="Sylfaen" w:hAnsi="Sylfaen"/>
          <w:sz w:val="24"/>
          <w:szCs w:val="24"/>
        </w:rPr>
        <w:t>տիկ ազդեցություն ունեցող նյութը կամ նյութերը բնութագրող տվյալների հետ: Համեմատական հետազոտությունների բացակայությունը պետք է հիմնավորված լինի,</w:t>
      </w:r>
    </w:p>
    <w:p w14:paraId="123FCC20" w14:textId="34514222" w:rsidR="006F76EB" w:rsidRPr="00834D52" w:rsidRDefault="0056496B" w:rsidP="00E5048D">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lastRenderedPageBreak/>
        <w:t>դիմումատու</w:t>
      </w:r>
      <w:r w:rsidR="006F76EB" w:rsidRPr="00834D52">
        <w:rPr>
          <w:rFonts w:ascii="Sylfaen" w:hAnsi="Sylfaen"/>
          <w:sz w:val="24"/>
          <w:szCs w:val="24"/>
        </w:rPr>
        <w:t xml:space="preserve">ն պետք է ուսումնասիրի նյութի հնարավոր անցանկալի </w:t>
      </w:r>
      <w:r w:rsidR="00355C33">
        <w:rPr>
          <w:rFonts w:ascii="Sylfaen" w:hAnsi="Sylfaen"/>
          <w:sz w:val="24"/>
          <w:szCs w:val="24"/>
        </w:rPr>
        <w:t>դեղա</w:t>
      </w:r>
      <w:r w:rsidR="006F76EB" w:rsidRPr="00834D52">
        <w:rPr>
          <w:rFonts w:ascii="Sylfaen" w:hAnsi="Sylfaen"/>
          <w:sz w:val="24"/>
          <w:szCs w:val="24"/>
        </w:rPr>
        <w:t>դինամիկ էֆեկտները կենդանի օրգանիզմի ֆիզիոլոգիական գործառույթների փոփոխության առումով: Այդպիսի ուսումնասիրություն անհրաժեշտ է անցկացնել դեղաչափերի սպասվող թերապ</w:t>
      </w:r>
      <w:r w:rsidR="00C54D75">
        <w:rPr>
          <w:rFonts w:ascii="Sylfaen" w:hAnsi="Sylfaen"/>
          <w:sz w:val="24"/>
          <w:szCs w:val="24"/>
        </w:rPr>
        <w:t>և</w:t>
      </w:r>
      <w:r w:rsidR="006F76EB" w:rsidRPr="00834D52">
        <w:rPr>
          <w:rFonts w:ascii="Sylfaen" w:hAnsi="Sylfaen"/>
          <w:sz w:val="24"/>
          <w:szCs w:val="24"/>
        </w:rPr>
        <w:t xml:space="preserve">տիկ ընդգրկույթին համապատասխանող </w:t>
      </w:r>
      <w:r w:rsidR="00C54D75">
        <w:rPr>
          <w:rFonts w:ascii="Sylfaen" w:hAnsi="Sylfaen"/>
          <w:sz w:val="24"/>
          <w:szCs w:val="24"/>
        </w:rPr>
        <w:t>և</w:t>
      </w:r>
      <w:r w:rsidR="006F76EB" w:rsidRPr="00834D52">
        <w:rPr>
          <w:rFonts w:ascii="Sylfaen" w:hAnsi="Sylfaen"/>
          <w:sz w:val="24"/>
          <w:szCs w:val="24"/>
        </w:rPr>
        <w:t xml:space="preserve"> այդ ընդգրկույթը գերազանցող էքսպոզիցիաների ժամանակ: Եթե փորձարարական մեթոդները ստանդարտ չեն, դրանք պետք է բավականաչափ մանրամասն նկարագրվեն </w:t>
      </w:r>
      <w:r w:rsidR="00C54D75">
        <w:rPr>
          <w:rFonts w:ascii="Sylfaen" w:hAnsi="Sylfaen"/>
          <w:sz w:val="24"/>
          <w:szCs w:val="24"/>
        </w:rPr>
        <w:t>և</w:t>
      </w:r>
      <w:r w:rsidR="006F76EB" w:rsidRPr="00834D52">
        <w:rPr>
          <w:rFonts w:ascii="Sylfaen" w:hAnsi="Sylfaen"/>
          <w:sz w:val="24"/>
          <w:szCs w:val="24"/>
        </w:rPr>
        <w:t xml:space="preserve"> վալիդացվեն (դրանք վերարտադրելու </w:t>
      </w:r>
      <w:r w:rsidR="00C54D75">
        <w:rPr>
          <w:rFonts w:ascii="Sylfaen" w:hAnsi="Sylfaen"/>
          <w:sz w:val="24"/>
          <w:szCs w:val="24"/>
        </w:rPr>
        <w:t>և</w:t>
      </w:r>
      <w:r w:rsidR="006F76EB" w:rsidRPr="00834D52">
        <w:rPr>
          <w:rFonts w:ascii="Sylfaen" w:hAnsi="Sylfaen"/>
          <w:sz w:val="24"/>
          <w:szCs w:val="24"/>
        </w:rPr>
        <w:t xml:space="preserve"> դրանց հավաստիությունը հաստատելու հնարավորությունն ապահովելու համար): Ակտիվ նյութի բազմակի ներմուծմանն ի պատասխան առաջացած ռեակցիաների ցանկացած քանակական փոփոխություն պետք է հետազոտվի: </w:t>
      </w:r>
    </w:p>
    <w:p w14:paraId="34869841" w14:textId="6DBD86A2"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նյութերի ֆիքսված համակցությունների </w:t>
      </w:r>
      <w:r w:rsidR="00355C33">
        <w:rPr>
          <w:rFonts w:ascii="Sylfaen" w:hAnsi="Sylfaen"/>
          <w:sz w:val="24"/>
          <w:szCs w:val="24"/>
        </w:rPr>
        <w:t>դեղա</w:t>
      </w:r>
      <w:r w:rsidRPr="00834D52">
        <w:rPr>
          <w:rFonts w:ascii="Sylfaen" w:hAnsi="Sylfaen"/>
          <w:sz w:val="24"/>
          <w:szCs w:val="24"/>
        </w:rPr>
        <w:t xml:space="preserve">դինամիկ փոխազդեցությունն ուսումնասիրելու մասով գրանցման դոսյեի փաստաթղթերը պետք է հիմնվեն դեղաբանական նախադրյալների կամ այդ ֆիքսված համակցությունների կիրառության ցուցումների վրա: Առաջին դեպքում </w:t>
      </w:r>
      <w:r w:rsidR="00355C33">
        <w:rPr>
          <w:rFonts w:ascii="Sylfaen" w:hAnsi="Sylfaen"/>
          <w:sz w:val="24"/>
          <w:szCs w:val="24"/>
        </w:rPr>
        <w:t>դեղա</w:t>
      </w:r>
      <w:r w:rsidRPr="00834D52">
        <w:rPr>
          <w:rFonts w:ascii="Sylfaen" w:hAnsi="Sylfaen"/>
          <w:sz w:val="24"/>
          <w:szCs w:val="24"/>
        </w:rPr>
        <w:t>դինամիկ հետազոտությունը պետք է հաստատի այն փոխազդեցությունները, որոնք այդ համակցությունը դարձնում են թերապ</w:t>
      </w:r>
      <w:r w:rsidR="00C54D75">
        <w:rPr>
          <w:rFonts w:ascii="Sylfaen" w:hAnsi="Sylfaen"/>
          <w:sz w:val="24"/>
          <w:szCs w:val="24"/>
        </w:rPr>
        <w:t>և</w:t>
      </w:r>
      <w:r w:rsidRPr="00834D52">
        <w:rPr>
          <w:rFonts w:ascii="Sylfaen" w:hAnsi="Sylfaen"/>
          <w:sz w:val="24"/>
          <w:szCs w:val="24"/>
        </w:rPr>
        <w:t xml:space="preserve">տիկ կիրառության համար նշանակալի: Երկրորդ դեպքում, երբ նյութերի այդպիսի համակցության գիտական հիմնավորումը հիմնվում է փորձարարական թերապիայի վրա, հետազոտությունը սահմանում է կենդանիների վրա այն դեղաբանական ազդեցության հաստատման հնարավորությունը, որը սպասվում է ակտիվ նյութերի այդ համակցությունից մարդու մոտ </w:t>
      </w:r>
      <w:r w:rsidR="00C54D75">
        <w:rPr>
          <w:rFonts w:ascii="Sylfaen" w:hAnsi="Sylfaen"/>
          <w:sz w:val="24"/>
          <w:szCs w:val="24"/>
        </w:rPr>
        <w:t>և</w:t>
      </w:r>
      <w:r w:rsidRPr="00834D52">
        <w:rPr>
          <w:rFonts w:ascii="Sylfaen" w:hAnsi="Sylfaen"/>
          <w:sz w:val="24"/>
          <w:szCs w:val="24"/>
        </w:rPr>
        <w:t xml:space="preserve"> առնվազն </w:t>
      </w:r>
      <w:r w:rsidR="00003ABD">
        <w:rPr>
          <w:rFonts w:ascii="Sylfaen" w:hAnsi="Sylfaen"/>
          <w:sz w:val="24"/>
          <w:szCs w:val="24"/>
        </w:rPr>
        <w:t>հայտնաբերված</w:t>
      </w:r>
      <w:r w:rsidRPr="00834D52">
        <w:rPr>
          <w:rFonts w:ascii="Sylfaen" w:hAnsi="Sylfaen"/>
          <w:sz w:val="24"/>
          <w:szCs w:val="24"/>
        </w:rPr>
        <w:t xml:space="preserve"> ցանկացած ուղեկցող էֆեկտի նշանակալիությունը: </w:t>
      </w:r>
    </w:p>
    <w:p w14:paraId="2A8BCB08"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կինետիկան։</w:t>
      </w:r>
    </w:p>
    <w:p w14:paraId="4FF8CE71" w14:textId="77777777" w:rsidR="006F76EB" w:rsidRPr="00834D52" w:rsidRDefault="00355C33" w:rsidP="00C04974">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կինետիկ հետազոտությունների մասով գրանցման դոսյեի փաստաթղթերը ներառում են կենդանի օրգանիզմում ակտիվ նյութի </w:t>
      </w:r>
      <w:r w:rsidR="00C54D75">
        <w:rPr>
          <w:rFonts w:ascii="Sylfaen" w:hAnsi="Sylfaen"/>
          <w:sz w:val="24"/>
          <w:szCs w:val="24"/>
        </w:rPr>
        <w:t>և</w:t>
      </w:r>
      <w:r w:rsidR="006F76EB" w:rsidRPr="00834D52">
        <w:rPr>
          <w:rFonts w:ascii="Sylfaen" w:hAnsi="Sylfaen"/>
          <w:sz w:val="24"/>
          <w:szCs w:val="24"/>
        </w:rPr>
        <w:t xml:space="preserve"> դրա մետաբոլիտների հետ տեղի ունեցող բոլոր գործընթացների վերլուծության արդյունքները </w:t>
      </w:r>
      <w:r w:rsidR="00C54D75">
        <w:rPr>
          <w:rFonts w:ascii="Sylfaen" w:hAnsi="Sylfaen"/>
          <w:sz w:val="24"/>
          <w:szCs w:val="24"/>
        </w:rPr>
        <w:t>և</w:t>
      </w:r>
      <w:r w:rsidR="006F76EB" w:rsidRPr="00834D52">
        <w:rPr>
          <w:rFonts w:ascii="Sylfaen" w:hAnsi="Sylfaen"/>
          <w:sz w:val="24"/>
          <w:szCs w:val="24"/>
        </w:rPr>
        <w:t xml:space="preserve"> ընդգրկում են կլանման, բաշխման, կենսաձ</w:t>
      </w:r>
      <w:r w:rsidR="00C54D75">
        <w:rPr>
          <w:rFonts w:ascii="Sylfaen" w:hAnsi="Sylfaen"/>
          <w:sz w:val="24"/>
          <w:szCs w:val="24"/>
        </w:rPr>
        <w:t>և</w:t>
      </w:r>
      <w:r w:rsidR="006F76EB" w:rsidRPr="00834D52">
        <w:rPr>
          <w:rFonts w:ascii="Sylfaen" w:hAnsi="Sylfaen"/>
          <w:sz w:val="24"/>
          <w:szCs w:val="24"/>
        </w:rPr>
        <w:t xml:space="preserve">ափոխման </w:t>
      </w:r>
      <w:r w:rsidR="00C54D75">
        <w:rPr>
          <w:rFonts w:ascii="Sylfaen" w:hAnsi="Sylfaen"/>
          <w:sz w:val="24"/>
          <w:szCs w:val="24"/>
        </w:rPr>
        <w:t>և</w:t>
      </w:r>
      <w:r w:rsidR="006F76EB" w:rsidRPr="00834D52">
        <w:rPr>
          <w:rFonts w:ascii="Sylfaen" w:hAnsi="Sylfaen"/>
          <w:sz w:val="24"/>
          <w:szCs w:val="24"/>
        </w:rPr>
        <w:t xml:space="preserve"> ակտիվ նյութի </w:t>
      </w:r>
      <w:r w:rsidR="00C54D75">
        <w:rPr>
          <w:rFonts w:ascii="Sylfaen" w:hAnsi="Sylfaen"/>
          <w:sz w:val="24"/>
          <w:szCs w:val="24"/>
        </w:rPr>
        <w:t>և</w:t>
      </w:r>
      <w:r w:rsidR="006F76EB" w:rsidRPr="00834D52">
        <w:rPr>
          <w:rFonts w:ascii="Sylfaen" w:hAnsi="Sylfaen"/>
          <w:sz w:val="24"/>
          <w:szCs w:val="24"/>
        </w:rPr>
        <w:t xml:space="preserve"> դրա մետաբոլիտների դուրսբերման ուսումնասիրությունը: </w:t>
      </w:r>
    </w:p>
    <w:p w14:paraId="1714AB68"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Փուլերից յուրաքանչյուրի հետազոտությունը (կլանման, բաշխման, կենսաձ</w:t>
      </w:r>
      <w:r w:rsidR="00C54D75">
        <w:rPr>
          <w:rFonts w:ascii="Sylfaen" w:hAnsi="Sylfaen"/>
          <w:sz w:val="24"/>
          <w:szCs w:val="24"/>
        </w:rPr>
        <w:t>և</w:t>
      </w:r>
      <w:r w:rsidRPr="00834D52">
        <w:rPr>
          <w:rFonts w:ascii="Sylfaen" w:hAnsi="Sylfaen"/>
          <w:sz w:val="24"/>
          <w:szCs w:val="24"/>
        </w:rPr>
        <w:t xml:space="preserve">ափոխման </w:t>
      </w:r>
      <w:r w:rsidR="00C54D75">
        <w:rPr>
          <w:rFonts w:ascii="Sylfaen" w:hAnsi="Sylfaen"/>
          <w:sz w:val="24"/>
          <w:szCs w:val="24"/>
        </w:rPr>
        <w:t>և</w:t>
      </w:r>
      <w:r w:rsidRPr="00834D52">
        <w:rPr>
          <w:rFonts w:ascii="Sylfaen" w:hAnsi="Sylfaen"/>
          <w:sz w:val="24"/>
          <w:szCs w:val="24"/>
        </w:rPr>
        <w:t xml:space="preserve"> դուրսբերման) կարող է կատարվել ինչպես ֆիզիկական, քիմիական կամ կենսաբանական մեթոդների, այնպես էլ հենց ակտիվ նյութի փաստացի </w:t>
      </w:r>
      <w:r w:rsidR="00355C33">
        <w:rPr>
          <w:rFonts w:ascii="Sylfaen" w:hAnsi="Sylfaen"/>
          <w:sz w:val="24"/>
          <w:szCs w:val="24"/>
        </w:rPr>
        <w:t>դեղա</w:t>
      </w:r>
      <w:r w:rsidRPr="00834D52">
        <w:rPr>
          <w:rFonts w:ascii="Sylfaen" w:hAnsi="Sylfaen"/>
          <w:sz w:val="24"/>
          <w:szCs w:val="24"/>
        </w:rPr>
        <w:t xml:space="preserve">դինամիկ ակտիվության ուսումնասիրության միջոցով: </w:t>
      </w:r>
    </w:p>
    <w:p w14:paraId="0F006CE8" w14:textId="77777777"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նյութի բաշխման </w:t>
      </w:r>
      <w:r w:rsidR="00C54D75">
        <w:rPr>
          <w:rFonts w:ascii="Sylfaen" w:hAnsi="Sylfaen"/>
          <w:sz w:val="24"/>
          <w:szCs w:val="24"/>
        </w:rPr>
        <w:t>և</w:t>
      </w:r>
      <w:r w:rsidRPr="00834D52">
        <w:rPr>
          <w:rFonts w:ascii="Sylfaen" w:hAnsi="Sylfaen"/>
          <w:sz w:val="24"/>
          <w:szCs w:val="24"/>
        </w:rPr>
        <w:t xml:space="preserve"> օրգանիզմից դուրսբերման մասին տեղեկատվությունն անհրաժեշտ է բոլոր այն դեպքերում, երբ ակտիվ նյութի բաշխման </w:t>
      </w:r>
      <w:r w:rsidR="00C54D75">
        <w:rPr>
          <w:rFonts w:ascii="Sylfaen" w:hAnsi="Sylfaen"/>
          <w:sz w:val="24"/>
          <w:szCs w:val="24"/>
        </w:rPr>
        <w:t>և</w:t>
      </w:r>
      <w:r w:rsidRPr="00834D52">
        <w:rPr>
          <w:rFonts w:ascii="Sylfaen" w:hAnsi="Sylfaen"/>
          <w:sz w:val="24"/>
          <w:szCs w:val="24"/>
        </w:rPr>
        <w:t xml:space="preserve"> դուրսբերման մասին տվյալները պարտադիր են մարդու համար դեղապատրաստուկի դեղաչափը որոշելու համար, ինչպես նա</w:t>
      </w:r>
      <w:r w:rsidR="00C54D75">
        <w:rPr>
          <w:rFonts w:ascii="Sylfaen" w:hAnsi="Sylfaen"/>
          <w:sz w:val="24"/>
          <w:szCs w:val="24"/>
        </w:rPr>
        <w:t>և</w:t>
      </w:r>
      <w:r w:rsidRPr="00834D52">
        <w:rPr>
          <w:rFonts w:ascii="Sylfaen" w:hAnsi="Sylfaen"/>
          <w:sz w:val="24"/>
          <w:szCs w:val="24"/>
        </w:rPr>
        <w:t xml:space="preserve"> քիմիոթերապ</w:t>
      </w:r>
      <w:r w:rsidR="00C54D75">
        <w:rPr>
          <w:rFonts w:ascii="Sylfaen" w:hAnsi="Sylfaen"/>
          <w:sz w:val="24"/>
          <w:szCs w:val="24"/>
        </w:rPr>
        <w:t>և</w:t>
      </w:r>
      <w:r w:rsidRPr="00834D52">
        <w:rPr>
          <w:rFonts w:ascii="Sylfaen" w:hAnsi="Sylfaen"/>
          <w:sz w:val="24"/>
          <w:szCs w:val="24"/>
        </w:rPr>
        <w:t xml:space="preserve">տիկ նյութերի (հակաբիոտիկների </w:t>
      </w:r>
      <w:r w:rsidR="00C54D75">
        <w:rPr>
          <w:rFonts w:ascii="Sylfaen" w:hAnsi="Sylfaen"/>
          <w:sz w:val="24"/>
          <w:szCs w:val="24"/>
        </w:rPr>
        <w:t>և</w:t>
      </w:r>
      <w:r w:rsidRPr="00834D52">
        <w:rPr>
          <w:rFonts w:ascii="Sylfaen" w:hAnsi="Sylfaen"/>
          <w:sz w:val="24"/>
          <w:szCs w:val="24"/>
        </w:rPr>
        <w:t xml:space="preserve"> այլն) </w:t>
      </w:r>
      <w:r w:rsidR="00C54D75">
        <w:rPr>
          <w:rFonts w:ascii="Sylfaen" w:hAnsi="Sylfaen"/>
          <w:sz w:val="24"/>
          <w:szCs w:val="24"/>
        </w:rPr>
        <w:t>և</w:t>
      </w:r>
      <w:r w:rsidRPr="00834D52">
        <w:rPr>
          <w:rFonts w:ascii="Sylfaen" w:hAnsi="Sylfaen"/>
          <w:sz w:val="24"/>
          <w:szCs w:val="24"/>
        </w:rPr>
        <w:t xml:space="preserve"> այն նյութերի համար, որոնց օգտագործումը կախված է դրանց ոչ </w:t>
      </w:r>
      <w:r w:rsidR="00355C33">
        <w:rPr>
          <w:rFonts w:ascii="Sylfaen" w:hAnsi="Sylfaen"/>
          <w:sz w:val="24"/>
          <w:szCs w:val="24"/>
        </w:rPr>
        <w:t>դեղա</w:t>
      </w:r>
      <w:r w:rsidRPr="00834D52">
        <w:rPr>
          <w:rFonts w:ascii="Sylfaen" w:hAnsi="Sylfaen"/>
          <w:sz w:val="24"/>
          <w:szCs w:val="24"/>
        </w:rPr>
        <w:t xml:space="preserve">դինամիկ էֆեկտներից (օրինակ՝ ախտորոշիչ պատրաստուկներ </w:t>
      </w:r>
      <w:r w:rsidR="00C54D75">
        <w:rPr>
          <w:rFonts w:ascii="Sylfaen" w:hAnsi="Sylfaen"/>
          <w:sz w:val="24"/>
          <w:szCs w:val="24"/>
        </w:rPr>
        <w:t>և</w:t>
      </w:r>
      <w:r w:rsidRPr="00834D52">
        <w:rPr>
          <w:rFonts w:ascii="Sylfaen" w:hAnsi="Sylfaen"/>
          <w:sz w:val="24"/>
          <w:szCs w:val="24"/>
        </w:rPr>
        <w:t xml:space="preserve"> այլն):</w:t>
      </w:r>
    </w:p>
    <w:p w14:paraId="1E5EB5A2" w14:textId="77777777"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Նպատակահարմար է in vitro հետազոտություններն անցկացնել մարդուց ստացված թեստ-համակարգերի օգտագործմամբ, այլ ոչ թե կենդանական ծագման թեստ-համակարգերի օգտագործմամբ (օրինակ՝ ակտիվ նյութի՝ սպիտակուցների հետ կապվելու, մետաբոլիզմի, դեղերի փոխազդեցությունների հետազոտությունը): </w:t>
      </w:r>
    </w:p>
    <w:p w14:paraId="326AC7EB" w14:textId="6A3DDC2D"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անհրաժեշտ է ներկայացնել դեղաբանորեն ակտիվ նյութերի </w:t>
      </w:r>
      <w:r w:rsidR="00355C33">
        <w:rPr>
          <w:rFonts w:ascii="Sylfaen" w:hAnsi="Sylfaen"/>
          <w:sz w:val="24"/>
          <w:szCs w:val="24"/>
        </w:rPr>
        <w:t>դեղա</w:t>
      </w:r>
      <w:r w:rsidRPr="00834D52">
        <w:rPr>
          <w:rFonts w:ascii="Sylfaen" w:hAnsi="Sylfaen"/>
          <w:sz w:val="24"/>
          <w:szCs w:val="24"/>
        </w:rPr>
        <w:t xml:space="preserve">կինետիկ հետազոտությունների արդյունքները: Այն </w:t>
      </w:r>
      <w:r w:rsidR="005F6A31">
        <w:rPr>
          <w:rFonts w:ascii="Sylfaen" w:hAnsi="Sylfaen"/>
          <w:sz w:val="24"/>
          <w:szCs w:val="24"/>
        </w:rPr>
        <w:t>հայտնի</w:t>
      </w:r>
      <w:r w:rsidRPr="00834D52">
        <w:rPr>
          <w:rFonts w:ascii="Sylfaen" w:hAnsi="Sylfaen"/>
          <w:sz w:val="24"/>
          <w:szCs w:val="24"/>
        </w:rPr>
        <w:t xml:space="preserve"> ակտիվ նյութերի նոր ֆիքսված համակցությունների օգտագործման ժամանակ, որոնք արդեն հետազոտվել են դեղամիջոցների շրջանառության մասով Միության իրավունքի մաս կազմող ակտերի դրույթներին համապատասխան, </w:t>
      </w:r>
      <w:r w:rsidR="0056496B">
        <w:rPr>
          <w:rFonts w:ascii="Sylfaen" w:hAnsi="Sylfaen"/>
          <w:sz w:val="24"/>
          <w:szCs w:val="24"/>
        </w:rPr>
        <w:t>դիմումատու</w:t>
      </w:r>
      <w:r w:rsidRPr="00834D52">
        <w:rPr>
          <w:rFonts w:ascii="Sylfaen" w:hAnsi="Sylfaen"/>
          <w:sz w:val="24"/>
          <w:szCs w:val="24"/>
        </w:rPr>
        <w:t xml:space="preserve">ի կողմից անցկացված սեփական </w:t>
      </w:r>
      <w:r w:rsidR="00355C33">
        <w:rPr>
          <w:rFonts w:ascii="Sylfaen" w:hAnsi="Sylfaen"/>
          <w:sz w:val="24"/>
          <w:szCs w:val="24"/>
        </w:rPr>
        <w:t>դեղա</w:t>
      </w:r>
      <w:r w:rsidRPr="00834D52">
        <w:rPr>
          <w:rFonts w:ascii="Sylfaen" w:hAnsi="Sylfaen"/>
          <w:sz w:val="24"/>
          <w:szCs w:val="24"/>
        </w:rPr>
        <w:t xml:space="preserve">կինետիկ հետազոտությունների մասին տեղեկատվությունը կարող է բացակայել գրանցման դոսյեից, եթե այդ որոշումը հիմնավորված է թունավորության հետազոտությունների </w:t>
      </w:r>
      <w:r w:rsidR="00C54D75">
        <w:rPr>
          <w:rFonts w:ascii="Sylfaen" w:hAnsi="Sylfaen"/>
          <w:sz w:val="24"/>
          <w:szCs w:val="24"/>
        </w:rPr>
        <w:t>և</w:t>
      </w:r>
      <w:r w:rsidRPr="00834D52">
        <w:rPr>
          <w:rFonts w:ascii="Sylfaen" w:hAnsi="Sylfaen"/>
          <w:sz w:val="24"/>
          <w:szCs w:val="24"/>
        </w:rPr>
        <w:t xml:space="preserve"> փորձարարական թերապ</w:t>
      </w:r>
      <w:r w:rsidR="00C54D75">
        <w:rPr>
          <w:rFonts w:ascii="Sylfaen" w:hAnsi="Sylfaen"/>
          <w:sz w:val="24"/>
          <w:szCs w:val="24"/>
        </w:rPr>
        <w:t>և</w:t>
      </w:r>
      <w:r w:rsidRPr="00834D52">
        <w:rPr>
          <w:rFonts w:ascii="Sylfaen" w:hAnsi="Sylfaen"/>
          <w:sz w:val="24"/>
          <w:szCs w:val="24"/>
        </w:rPr>
        <w:t xml:space="preserve">տիկ հետազոտությունների արդյունքներով: </w:t>
      </w:r>
    </w:p>
    <w:p w14:paraId="45844176" w14:textId="77777777" w:rsidR="006F76EB" w:rsidRPr="00834D52" w:rsidRDefault="00355C33" w:rsidP="00C04974">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կինետիկ հետազոտությունների ծրագիրը պետք է ապահովի մարդու </w:t>
      </w:r>
      <w:r w:rsidR="00C54D75">
        <w:rPr>
          <w:rFonts w:ascii="Sylfaen" w:hAnsi="Sylfaen"/>
          <w:sz w:val="24"/>
          <w:szCs w:val="24"/>
        </w:rPr>
        <w:t>և</w:t>
      </w:r>
      <w:r w:rsidR="006F76EB" w:rsidRPr="00834D52">
        <w:rPr>
          <w:rFonts w:ascii="Sylfaen" w:hAnsi="Sylfaen"/>
          <w:sz w:val="24"/>
          <w:szCs w:val="24"/>
        </w:rPr>
        <w:t xml:space="preserve"> կենդանիների մոտ ստացված </w:t>
      </w:r>
      <w:r>
        <w:rPr>
          <w:rFonts w:ascii="Sylfaen" w:hAnsi="Sylfaen"/>
          <w:sz w:val="24"/>
          <w:szCs w:val="24"/>
        </w:rPr>
        <w:t>դեղա</w:t>
      </w:r>
      <w:r w:rsidR="006F76EB" w:rsidRPr="00834D52">
        <w:rPr>
          <w:rFonts w:ascii="Sylfaen" w:hAnsi="Sylfaen"/>
          <w:sz w:val="24"/>
          <w:szCs w:val="24"/>
        </w:rPr>
        <w:t xml:space="preserve">կինետիկ տվյալների համեմատությունը </w:t>
      </w:r>
      <w:r w:rsidR="00C54D75">
        <w:rPr>
          <w:rFonts w:ascii="Sylfaen" w:hAnsi="Sylfaen"/>
          <w:sz w:val="24"/>
          <w:szCs w:val="24"/>
        </w:rPr>
        <w:t>և</w:t>
      </w:r>
      <w:r w:rsidR="006F76EB" w:rsidRPr="00834D52">
        <w:rPr>
          <w:rFonts w:ascii="Sylfaen" w:hAnsi="Sylfaen"/>
          <w:sz w:val="24"/>
          <w:szCs w:val="24"/>
        </w:rPr>
        <w:t xml:space="preserve"> </w:t>
      </w:r>
      <w:r>
        <w:rPr>
          <w:rFonts w:ascii="Sylfaen" w:hAnsi="Sylfaen"/>
          <w:sz w:val="24"/>
          <w:szCs w:val="24"/>
        </w:rPr>
        <w:t>դեղա</w:t>
      </w:r>
      <w:r w:rsidR="006F76EB" w:rsidRPr="00834D52">
        <w:rPr>
          <w:rFonts w:ascii="Sylfaen" w:hAnsi="Sylfaen"/>
          <w:sz w:val="24"/>
          <w:szCs w:val="24"/>
        </w:rPr>
        <w:t xml:space="preserve">կինետիկայի ուսումնասիրության՝ կենդանիների մոտ ստացված արդյունքների արտարկումը մարդու վրա: </w:t>
      </w:r>
    </w:p>
    <w:p w14:paraId="7DD02374"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4.2.3.</w:t>
      </w:r>
      <w:r w:rsidRPr="00834D52">
        <w:rPr>
          <w:rFonts w:ascii="Sylfaen" w:hAnsi="Sylfaen"/>
          <w:sz w:val="24"/>
          <w:szCs w:val="24"/>
        </w:rPr>
        <w:tab/>
        <w:t>Թունաբանությունը:</w:t>
      </w:r>
    </w:p>
    <w:p w14:paraId="34ED264E"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4.2.3.1.</w:t>
      </w:r>
      <w:r w:rsidRPr="00834D52">
        <w:rPr>
          <w:rFonts w:ascii="Sylfaen" w:hAnsi="Sylfaen"/>
          <w:sz w:val="24"/>
          <w:szCs w:val="24"/>
        </w:rPr>
        <w:tab/>
        <w:t xml:space="preserve">Դեղապատրաստուկի ակտիվ նյութի թունավորությունը մեկանգամյա ներմուծման ժամանակ: </w:t>
      </w:r>
    </w:p>
    <w:p w14:paraId="08E36045"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Մեկանգամյա ներմուծման ժամանակ թունավորությունը հետազոտելու մասով դեղապատրաստուկի գրանցման դոսյեի փաստաթղթերը ներառում են թունավորության այն դրս</w:t>
      </w:r>
      <w:r w:rsidR="00C54D75">
        <w:rPr>
          <w:rFonts w:ascii="Sylfaen" w:hAnsi="Sylfaen"/>
          <w:sz w:val="24"/>
          <w:szCs w:val="24"/>
        </w:rPr>
        <w:t>և</w:t>
      </w:r>
      <w:r w:rsidRPr="00834D52">
        <w:rPr>
          <w:rFonts w:ascii="Sylfaen" w:hAnsi="Sylfaen"/>
          <w:sz w:val="24"/>
          <w:szCs w:val="24"/>
        </w:rPr>
        <w:t xml:space="preserve">որումների որակական </w:t>
      </w:r>
      <w:r w:rsidR="00C54D75">
        <w:rPr>
          <w:rFonts w:ascii="Sylfaen" w:hAnsi="Sylfaen"/>
          <w:sz w:val="24"/>
          <w:szCs w:val="24"/>
        </w:rPr>
        <w:t>և</w:t>
      </w:r>
      <w:r w:rsidRPr="00834D52">
        <w:rPr>
          <w:rFonts w:ascii="Sylfaen" w:hAnsi="Sylfaen"/>
          <w:sz w:val="24"/>
          <w:szCs w:val="24"/>
        </w:rPr>
        <w:t xml:space="preserve"> քանակական վերլուծությունը, որոնք կարող են առաջանալ այն ակտիվ նյութի կամ նյութերի մեկանգամյա ներմուծման հետ</w:t>
      </w:r>
      <w:r w:rsidR="00C54D75">
        <w:rPr>
          <w:rFonts w:ascii="Sylfaen" w:hAnsi="Sylfaen"/>
          <w:sz w:val="24"/>
          <w:szCs w:val="24"/>
        </w:rPr>
        <w:t>և</w:t>
      </w:r>
      <w:r w:rsidRPr="00834D52">
        <w:rPr>
          <w:rFonts w:ascii="Sylfaen" w:hAnsi="Sylfaen"/>
          <w:sz w:val="24"/>
          <w:szCs w:val="24"/>
        </w:rPr>
        <w:t xml:space="preserve">անքով, որոնք դեղապատրաստուկում պարունակվում են նույն այն հարաբերությամբ </w:t>
      </w:r>
      <w:r w:rsidR="00C54D75">
        <w:rPr>
          <w:rFonts w:ascii="Sylfaen" w:hAnsi="Sylfaen"/>
          <w:sz w:val="24"/>
          <w:szCs w:val="24"/>
        </w:rPr>
        <w:t>և</w:t>
      </w:r>
      <w:r w:rsidRPr="00834D52">
        <w:rPr>
          <w:rFonts w:ascii="Sylfaen" w:hAnsi="Sylfaen"/>
          <w:sz w:val="24"/>
          <w:szCs w:val="24"/>
        </w:rPr>
        <w:t xml:space="preserve"> նույն այն ֆիզիկաքիմիական վիճակով, ինչպես </w:t>
      </w:r>
      <w:r w:rsidR="00C54D75">
        <w:rPr>
          <w:rFonts w:ascii="Sylfaen" w:hAnsi="Sylfaen"/>
          <w:sz w:val="24"/>
          <w:szCs w:val="24"/>
        </w:rPr>
        <w:t>և</w:t>
      </w:r>
      <w:r w:rsidRPr="00834D52">
        <w:rPr>
          <w:rFonts w:ascii="Sylfaen" w:hAnsi="Sylfaen"/>
          <w:sz w:val="24"/>
          <w:szCs w:val="24"/>
        </w:rPr>
        <w:t xml:space="preserve"> պատրաստի դեղապատրաստուկում: </w:t>
      </w:r>
    </w:p>
    <w:p w14:paraId="15F0FA0E"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Մեկանգամյա ներմուծման ժամանակ թունավորության հետազոտությունները անհրաժեշտ է անցկացնել Հանձնաժողովի ձեռնարկներին համապատասխան կամ դրանց բացակայության դեպքում՝ անդամ պետությունների համապատասխան ձեռնարկներով: </w:t>
      </w:r>
    </w:p>
    <w:p w14:paraId="58B5AD65" w14:textId="77777777" w:rsidR="006F76EB" w:rsidRPr="00834D52" w:rsidRDefault="006F76EB" w:rsidP="00604C9A">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4.2.3.2.</w:t>
      </w:r>
      <w:r w:rsidRPr="00834D52">
        <w:rPr>
          <w:rFonts w:ascii="Sylfaen" w:hAnsi="Sylfaen"/>
          <w:sz w:val="24"/>
          <w:szCs w:val="24"/>
        </w:rPr>
        <w:tab/>
        <w:t>Թունավորությունը կրկնակի (բազմակի) ներմուծման դեպքում:</w:t>
      </w:r>
    </w:p>
    <w:p w14:paraId="4CC9F261"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Թունավորության հետազոտության մասով գրանցման դոսյեի փաստաթղթերը </w:t>
      </w:r>
    </w:p>
    <w:p w14:paraId="7A644249" w14:textId="52DA2573"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կրկնակի (բազմակի) ներմուծման դեպքում պետք է </w:t>
      </w:r>
      <w:r w:rsidR="005F6A31">
        <w:rPr>
          <w:rFonts w:ascii="Sylfaen" w:hAnsi="Sylfaen"/>
          <w:sz w:val="24"/>
          <w:szCs w:val="24"/>
        </w:rPr>
        <w:t>արտահայտեն</w:t>
      </w:r>
      <w:r w:rsidRPr="00834D52">
        <w:rPr>
          <w:rFonts w:ascii="Sylfaen" w:hAnsi="Sylfaen"/>
          <w:sz w:val="24"/>
          <w:szCs w:val="24"/>
        </w:rPr>
        <w:t xml:space="preserve"> ակտիվ նյութի կամ ակտիվ նյութերի համակցության բազմակի ներմուծման արդյունքում առաջացած ցանկացած ֆիզիոլոգիական </w:t>
      </w:r>
      <w:r w:rsidR="00C54D75">
        <w:rPr>
          <w:rFonts w:ascii="Sylfaen" w:hAnsi="Sylfaen"/>
          <w:sz w:val="24"/>
          <w:szCs w:val="24"/>
        </w:rPr>
        <w:t>և</w:t>
      </w:r>
      <w:r w:rsidRPr="00834D52">
        <w:rPr>
          <w:rFonts w:ascii="Sylfaen" w:hAnsi="Sylfaen"/>
          <w:sz w:val="24"/>
          <w:szCs w:val="24"/>
        </w:rPr>
        <w:t xml:space="preserve"> (կամ) պաթոանատոմիական փոփոխության </w:t>
      </w:r>
      <w:r w:rsidR="009B6AA0">
        <w:rPr>
          <w:rFonts w:ascii="Sylfaen" w:hAnsi="Sylfaen"/>
          <w:sz w:val="24"/>
          <w:szCs w:val="24"/>
        </w:rPr>
        <w:t>հայտնաբերում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այդ փոփոխությունների՝ դեղաչափից կախված լինելու ձ</w:t>
      </w:r>
      <w:r w:rsidR="00C54D75">
        <w:rPr>
          <w:rFonts w:ascii="Sylfaen" w:hAnsi="Sylfaen"/>
          <w:sz w:val="24"/>
          <w:szCs w:val="24"/>
        </w:rPr>
        <w:t>և</w:t>
      </w:r>
      <w:r w:rsidRPr="00834D52">
        <w:rPr>
          <w:rFonts w:ascii="Sylfaen" w:hAnsi="Sylfaen"/>
          <w:sz w:val="24"/>
          <w:szCs w:val="24"/>
        </w:rPr>
        <w:t>ի սահմանումը:</w:t>
      </w:r>
    </w:p>
    <w:p w14:paraId="734FDC8F"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դոսյեում նախընտրելի է բերել 2 հետազոտությունների անցկացման արդյունքում ստացված տեղեկատվություն՝ կարճաժամկետ</w:t>
      </w:r>
      <w:r w:rsidR="003D12D4" w:rsidRPr="00553BBB">
        <w:rPr>
          <w:rFonts w:ascii="Sylfaen" w:hAnsi="Sylfaen"/>
          <w:sz w:val="24"/>
          <w:szCs w:val="24"/>
        </w:rPr>
        <w:br/>
      </w:r>
      <w:r w:rsidRPr="00834D52">
        <w:rPr>
          <w:rFonts w:ascii="Sylfaen" w:hAnsi="Sylfaen"/>
          <w:sz w:val="24"/>
          <w:szCs w:val="24"/>
        </w:rPr>
        <w:t>(2-4 շաբաթ տ</w:t>
      </w:r>
      <w:r w:rsidR="00C54D75">
        <w:rPr>
          <w:rFonts w:ascii="Sylfaen" w:hAnsi="Sylfaen"/>
          <w:sz w:val="24"/>
          <w:szCs w:val="24"/>
        </w:rPr>
        <w:t>և</w:t>
      </w:r>
      <w:r w:rsidRPr="00834D52">
        <w:rPr>
          <w:rFonts w:ascii="Sylfaen" w:hAnsi="Sylfaen"/>
          <w:sz w:val="24"/>
          <w:szCs w:val="24"/>
        </w:rPr>
        <w:t xml:space="preserve">ողությամբ) </w:t>
      </w:r>
      <w:r w:rsidR="00C54D75">
        <w:rPr>
          <w:rFonts w:ascii="Sylfaen" w:hAnsi="Sylfaen"/>
          <w:sz w:val="24"/>
          <w:szCs w:val="24"/>
        </w:rPr>
        <w:t>և</w:t>
      </w:r>
      <w:r w:rsidRPr="00834D52">
        <w:rPr>
          <w:rFonts w:ascii="Sylfaen" w:hAnsi="Sylfaen"/>
          <w:sz w:val="24"/>
          <w:szCs w:val="24"/>
        </w:rPr>
        <w:t xml:space="preserve"> երկարաժամկետ: </w:t>
      </w:r>
    </w:p>
    <w:p w14:paraId="59CD4578"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Երկարաժամկետ հետազոտության տ</w:t>
      </w:r>
      <w:r w:rsidR="00C54D75">
        <w:rPr>
          <w:rFonts w:ascii="Sylfaen" w:hAnsi="Sylfaen"/>
          <w:sz w:val="24"/>
          <w:szCs w:val="24"/>
        </w:rPr>
        <w:t>և</w:t>
      </w:r>
      <w:r w:rsidRPr="00834D52">
        <w:rPr>
          <w:rFonts w:ascii="Sylfaen" w:hAnsi="Sylfaen"/>
          <w:sz w:val="24"/>
          <w:szCs w:val="24"/>
        </w:rPr>
        <w:t>ողությունը կախված է դեղապատրաստուկի կլինիկական կիրառության տ</w:t>
      </w:r>
      <w:r w:rsidR="00C54D75">
        <w:rPr>
          <w:rFonts w:ascii="Sylfaen" w:hAnsi="Sylfaen"/>
          <w:sz w:val="24"/>
          <w:szCs w:val="24"/>
        </w:rPr>
        <w:t>և</w:t>
      </w:r>
      <w:r w:rsidRPr="00834D52">
        <w:rPr>
          <w:rFonts w:ascii="Sylfaen" w:hAnsi="Sylfaen"/>
          <w:sz w:val="24"/>
          <w:szCs w:val="24"/>
        </w:rPr>
        <w:t xml:space="preserve">ողությունից: </w:t>
      </w:r>
    </w:p>
    <w:p w14:paraId="32EEFF9C"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Դրա նպատակներն են հնարավոր այն անցանկալի եր</w:t>
      </w:r>
      <w:r w:rsidR="00C54D75">
        <w:rPr>
          <w:rFonts w:ascii="Sylfaen" w:hAnsi="Sylfaen"/>
          <w:sz w:val="24"/>
          <w:szCs w:val="24"/>
        </w:rPr>
        <w:t>և</w:t>
      </w:r>
      <w:r w:rsidRPr="00834D52">
        <w:rPr>
          <w:rFonts w:ascii="Sylfaen" w:hAnsi="Sylfaen"/>
          <w:sz w:val="24"/>
          <w:szCs w:val="24"/>
        </w:rPr>
        <w:t xml:space="preserve">ույթների փորձնական </w:t>
      </w:r>
      <w:r w:rsidRPr="00834D52">
        <w:rPr>
          <w:rFonts w:ascii="Sylfaen" w:hAnsi="Sylfaen"/>
          <w:sz w:val="24"/>
          <w:szCs w:val="24"/>
        </w:rPr>
        <w:lastRenderedPageBreak/>
        <w:t xml:space="preserve">որոշումը </w:t>
      </w:r>
      <w:r w:rsidR="00C54D75">
        <w:rPr>
          <w:rFonts w:ascii="Sylfaen" w:hAnsi="Sylfaen"/>
          <w:sz w:val="24"/>
          <w:szCs w:val="24"/>
        </w:rPr>
        <w:t>և</w:t>
      </w:r>
      <w:r w:rsidRPr="00834D52">
        <w:rPr>
          <w:rFonts w:ascii="Sylfaen" w:hAnsi="Sylfaen"/>
          <w:sz w:val="24"/>
          <w:szCs w:val="24"/>
        </w:rPr>
        <w:t xml:space="preserve"> նկարագրությունը, որոնք պետք է հաշվի առնվեն կլինիկական փորձարկումներ անցկացնելիս:</w:t>
      </w:r>
    </w:p>
    <w:p w14:paraId="15D0D68C"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Թունավորության փորձարկումների տ</w:t>
      </w:r>
      <w:r w:rsidR="00C54D75">
        <w:rPr>
          <w:rFonts w:ascii="Sylfaen" w:hAnsi="Sylfaen"/>
          <w:sz w:val="24"/>
          <w:szCs w:val="24"/>
        </w:rPr>
        <w:t>և</w:t>
      </w:r>
      <w:r w:rsidRPr="00834D52">
        <w:rPr>
          <w:rFonts w:ascii="Sylfaen" w:hAnsi="Sylfaen"/>
          <w:sz w:val="24"/>
          <w:szCs w:val="24"/>
        </w:rPr>
        <w:t xml:space="preserve">ողությունը բազմակի ներմուծման դեպքում պետք է համապատասխանի Հանձնաժողովի ձեռնարկներին, իսկ դրանց բացակայության դեպքում՝ անդամ պետությունների համապատասխան ձեռնարկներին: </w:t>
      </w:r>
    </w:p>
    <w:p w14:paraId="07C3684B" w14:textId="77777777" w:rsidR="006F76EB" w:rsidRPr="00834D52" w:rsidRDefault="006F76EB" w:rsidP="00C04974">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4.2.3.3.</w:t>
      </w:r>
      <w:r w:rsidRPr="00834D52">
        <w:rPr>
          <w:rFonts w:ascii="Sylfaen" w:hAnsi="Sylfaen"/>
          <w:sz w:val="24"/>
          <w:szCs w:val="24"/>
        </w:rPr>
        <w:tab/>
        <w:t>Գենոտոքսիկությունը։</w:t>
      </w:r>
    </w:p>
    <w:p w14:paraId="6E84B7E5" w14:textId="3B9E72EE" w:rsidR="006F76EB" w:rsidRPr="00834D52" w:rsidRDefault="006F76EB" w:rsidP="00604C9A">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բերվում է դեղապատրաստուկի մուտագեն </w:t>
      </w:r>
      <w:r w:rsidR="00C54D75">
        <w:rPr>
          <w:rFonts w:ascii="Sylfaen" w:hAnsi="Sylfaen"/>
          <w:sz w:val="24"/>
          <w:szCs w:val="24"/>
        </w:rPr>
        <w:t>և</w:t>
      </w:r>
      <w:r w:rsidRPr="00834D52">
        <w:rPr>
          <w:rFonts w:ascii="Sylfaen" w:hAnsi="Sylfaen"/>
          <w:sz w:val="24"/>
          <w:szCs w:val="24"/>
        </w:rPr>
        <w:t xml:space="preserve"> կլաստոգեն պոտենցիալի մասին տեղեկատվություն, որի նպատակն այն խախտումների </w:t>
      </w:r>
      <w:r w:rsidR="00F350A1">
        <w:rPr>
          <w:rFonts w:ascii="Sylfaen" w:hAnsi="Sylfaen"/>
          <w:sz w:val="24"/>
          <w:szCs w:val="24"/>
        </w:rPr>
        <w:t>հայտ</w:t>
      </w:r>
      <w:r w:rsidRPr="00834D52">
        <w:rPr>
          <w:rFonts w:ascii="Sylfaen" w:hAnsi="Sylfaen"/>
          <w:sz w:val="24"/>
          <w:szCs w:val="24"/>
        </w:rPr>
        <w:t xml:space="preserve">նաբերումն է, որոնք կարող են առաջացնել ակտիվ նյութը առանձին օրգանիզմի գենետիկական նյութի կամ բջիջների մեջ: Մուտագեն նյութերը վտանգավոր են մարդու առողջության համար, քանի որ մուտագենի ազդեցությունը հանգեցնում է սեռական բջիջներում մուտացիաների </w:t>
      </w:r>
      <w:r w:rsidR="00C54D75">
        <w:rPr>
          <w:rFonts w:ascii="Sylfaen" w:hAnsi="Sylfaen"/>
          <w:sz w:val="24"/>
          <w:szCs w:val="24"/>
        </w:rPr>
        <w:t>և</w:t>
      </w:r>
      <w:r w:rsidRPr="00834D52">
        <w:rPr>
          <w:rFonts w:ascii="Sylfaen" w:hAnsi="Sylfaen"/>
          <w:sz w:val="24"/>
          <w:szCs w:val="24"/>
        </w:rPr>
        <w:t xml:space="preserve"> ժառանգական խախտումների առաջացման, ինչպես նա</w:t>
      </w:r>
      <w:r w:rsidR="00C54D75">
        <w:rPr>
          <w:rFonts w:ascii="Sylfaen" w:hAnsi="Sylfaen"/>
          <w:sz w:val="24"/>
          <w:szCs w:val="24"/>
        </w:rPr>
        <w:t>և</w:t>
      </w:r>
      <w:r w:rsidRPr="00834D52">
        <w:rPr>
          <w:rFonts w:ascii="Sylfaen" w:hAnsi="Sylfaen"/>
          <w:sz w:val="24"/>
          <w:szCs w:val="24"/>
        </w:rPr>
        <w:t xml:space="preserve"> սոմատիկ բջիջներում մուտացիաների, ինչը կարող է հանգեցնել չարորակ նորագոյացությունների զարգացմանը: Այս հետազոտությունները պարտադիր են բոլոր նոր ակտիվ նյութերի համար: </w:t>
      </w:r>
    </w:p>
    <w:p w14:paraId="748FC44C" w14:textId="77777777" w:rsidR="006F76EB" w:rsidRPr="00834D52" w:rsidRDefault="006F76EB" w:rsidP="00604C9A">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4.2.3.4.</w:t>
      </w:r>
      <w:r w:rsidRPr="00834D52">
        <w:rPr>
          <w:rFonts w:ascii="Sylfaen" w:hAnsi="Sylfaen"/>
          <w:sz w:val="24"/>
          <w:szCs w:val="24"/>
        </w:rPr>
        <w:tab/>
        <w:t>Քաղցկեղածնությունը։</w:t>
      </w:r>
    </w:p>
    <w:p w14:paraId="4A6A9E68"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դոսյեում բերվում է տեղեկատվություն՝ դրա քաղցկեղածին պոտենցիալի հետազոտությունների մասին, որոնք սովորաբար անցկացվում են հետ</w:t>
      </w:r>
      <w:r w:rsidR="00C54D75">
        <w:rPr>
          <w:rFonts w:ascii="Sylfaen" w:hAnsi="Sylfaen"/>
          <w:sz w:val="24"/>
          <w:szCs w:val="24"/>
        </w:rPr>
        <w:t>և</w:t>
      </w:r>
      <w:r w:rsidRPr="00834D52">
        <w:rPr>
          <w:rFonts w:ascii="Sylfaen" w:hAnsi="Sylfaen"/>
          <w:sz w:val="24"/>
          <w:szCs w:val="24"/>
        </w:rPr>
        <w:t xml:space="preserve">յալ դեպքերում՝ </w:t>
      </w:r>
    </w:p>
    <w:p w14:paraId="774BCCED"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նախատեսված է երկարատ</w:t>
      </w:r>
      <w:r w:rsidR="00C54D75">
        <w:rPr>
          <w:rFonts w:ascii="Sylfaen" w:hAnsi="Sylfaen"/>
          <w:sz w:val="24"/>
          <w:szCs w:val="24"/>
        </w:rPr>
        <w:t>և</w:t>
      </w:r>
      <w:r w:rsidRPr="00834D52">
        <w:rPr>
          <w:rFonts w:ascii="Sylfaen" w:hAnsi="Sylfaen"/>
          <w:sz w:val="24"/>
          <w:szCs w:val="24"/>
        </w:rPr>
        <w:t xml:space="preserve"> անընդհատ կամ պարբերական (ընդհատումներով) կիրառության համար հիվանդի ամբողջ կյանքի ընթացքում, </w:t>
      </w:r>
    </w:p>
    <w:p w14:paraId="32019570" w14:textId="797F67BA"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թունավորության հետազոտությունների անցկացման ժամանակ դեղապատրաստուկի բազմակի ներմուծման դեպքում թեստ-համակարգերում </w:t>
      </w:r>
      <w:r w:rsidR="00FE4A71">
        <w:rPr>
          <w:rFonts w:ascii="Sylfaen" w:hAnsi="Sylfaen"/>
          <w:sz w:val="24"/>
          <w:szCs w:val="24"/>
        </w:rPr>
        <w:t xml:space="preserve">հայտնաբերվել </w:t>
      </w:r>
      <w:r w:rsidRPr="00834D52">
        <w:rPr>
          <w:rFonts w:ascii="Sylfaen" w:hAnsi="Sylfaen"/>
          <w:sz w:val="24"/>
          <w:szCs w:val="24"/>
        </w:rPr>
        <w:t xml:space="preserve"> են ենթադրվող քաղցկեղածին պոտենցիալով փոփոխություններ, </w:t>
      </w:r>
    </w:p>
    <w:p w14:paraId="01CEAE8D" w14:textId="17914B24"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նյութը պատկանում է քիմիական դասին կամ կառուցվածքով մոտ է </w:t>
      </w:r>
      <w:r w:rsidR="005F6A31">
        <w:rPr>
          <w:rFonts w:ascii="Sylfaen" w:hAnsi="Sylfaen"/>
          <w:sz w:val="24"/>
          <w:szCs w:val="24"/>
        </w:rPr>
        <w:lastRenderedPageBreak/>
        <w:t>հայտնի</w:t>
      </w:r>
      <w:r w:rsidRPr="00834D52">
        <w:rPr>
          <w:rFonts w:ascii="Sylfaen" w:hAnsi="Sylfaen"/>
          <w:sz w:val="24"/>
          <w:szCs w:val="24"/>
        </w:rPr>
        <w:t xml:space="preserve"> քաղցկեղածիններին կամ կոկանցերոգեններին (եթե պատրաստուկը պատկանում է միացությունների նույն դեղագործական (քիմիական) դասին կամ ունի համանման կառուցվածք, կամ եթե եզրահանգումը արվել է բազմակի ներմուծման դեպքում՝ թունավորության հետազոտության տվյալների հիման վրա):</w:t>
      </w:r>
    </w:p>
    <w:p w14:paraId="710B07EC" w14:textId="256992D6"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Չկա անհրաժեշտություն անցկացնելու միանշանակ գենոտոքսիկ միացությունների քաղցկեղածին պոտենցիալի հետազոտություններ, քանի որ նշված միացությունները քաղցկեղածին են, մարդկանց համար վտանգ ներկայացնող: Եթե նման դեղապատրաստուկը նախատեսված է հիվանդների երկարատ</w:t>
      </w:r>
      <w:r w:rsidR="00C54D75">
        <w:rPr>
          <w:rFonts w:ascii="Sylfaen" w:hAnsi="Sylfaen"/>
          <w:sz w:val="24"/>
          <w:szCs w:val="24"/>
        </w:rPr>
        <w:t>և</w:t>
      </w:r>
      <w:r w:rsidRPr="00834D52">
        <w:rPr>
          <w:rFonts w:ascii="Sylfaen" w:hAnsi="Sylfaen"/>
          <w:sz w:val="24"/>
          <w:szCs w:val="24"/>
        </w:rPr>
        <w:t xml:space="preserve"> բուժման համար, հնարավոր է, որ պահանջվի երկարաժամկետ հետազոտության անցկացում վաղ օնկոգեն (ուռուցքածին) էֆեկտի </w:t>
      </w:r>
      <w:r w:rsidR="00F350A1">
        <w:rPr>
          <w:rFonts w:ascii="Sylfaen" w:hAnsi="Sylfaen"/>
          <w:sz w:val="24"/>
          <w:szCs w:val="24"/>
        </w:rPr>
        <w:t>հայտ</w:t>
      </w:r>
      <w:r w:rsidRPr="00834D52">
        <w:rPr>
          <w:rFonts w:ascii="Sylfaen" w:hAnsi="Sylfaen"/>
          <w:sz w:val="24"/>
          <w:szCs w:val="24"/>
        </w:rPr>
        <w:t xml:space="preserve">նաբերման համար: </w:t>
      </w:r>
    </w:p>
    <w:p w14:paraId="4F3BEB7C" w14:textId="77777777" w:rsidR="006F76EB" w:rsidRPr="00834D52" w:rsidRDefault="006F76EB" w:rsidP="0031596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4.2.3.5.</w:t>
      </w:r>
      <w:r w:rsidRPr="00834D52">
        <w:rPr>
          <w:rFonts w:ascii="Sylfaen" w:hAnsi="Sylfaen"/>
          <w:sz w:val="24"/>
          <w:szCs w:val="24"/>
        </w:rPr>
        <w:tab/>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թունավորությունը: </w:t>
      </w:r>
    </w:p>
    <w:p w14:paraId="48C5E377"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բերվում է տեղեկատվություն՝ կանանց </w:t>
      </w:r>
      <w:r w:rsidR="00C54D75">
        <w:rPr>
          <w:rFonts w:ascii="Sylfaen" w:hAnsi="Sylfaen"/>
          <w:sz w:val="24"/>
          <w:szCs w:val="24"/>
        </w:rPr>
        <w:t>և</w:t>
      </w:r>
      <w:r w:rsidRPr="00834D52">
        <w:rPr>
          <w:rFonts w:ascii="Sylfaen" w:hAnsi="Sylfaen"/>
          <w:sz w:val="24"/>
          <w:szCs w:val="24"/>
        </w:rPr>
        <w:t xml:space="preserve"> տղամարդկանց մոտ վերարտադրողական գործառույթի հնարավոր խախտումների հետազոտությունների, ինչպես նա</w:t>
      </w:r>
      <w:r w:rsidR="00C54D75">
        <w:rPr>
          <w:rFonts w:ascii="Sylfaen" w:hAnsi="Sylfaen"/>
          <w:sz w:val="24"/>
          <w:szCs w:val="24"/>
        </w:rPr>
        <w:t>և</w:t>
      </w:r>
      <w:r w:rsidRPr="00834D52">
        <w:rPr>
          <w:rFonts w:ascii="Sylfaen" w:hAnsi="Sylfaen"/>
          <w:sz w:val="24"/>
          <w:szCs w:val="24"/>
        </w:rPr>
        <w:t xml:space="preserve"> սերնդի վրա բացասական ազդեցություն թողնելու մասին: </w:t>
      </w:r>
    </w:p>
    <w:p w14:paraId="6AB429E3"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Նշված հետազոտությունները իրականացվում են համապատասխան փորձարկումների օգնությամբ, որոնք ներառում են կենդանիների սեռահասուն արուների </w:t>
      </w:r>
      <w:r w:rsidR="00C54D75">
        <w:rPr>
          <w:rFonts w:ascii="Sylfaen" w:hAnsi="Sylfaen"/>
          <w:sz w:val="24"/>
          <w:szCs w:val="24"/>
        </w:rPr>
        <w:t>և</w:t>
      </w:r>
      <w:r w:rsidRPr="00834D52">
        <w:rPr>
          <w:rFonts w:ascii="Sylfaen" w:hAnsi="Sylfaen"/>
          <w:sz w:val="24"/>
          <w:szCs w:val="24"/>
        </w:rPr>
        <w:t xml:space="preserve"> էգերի վերարտադրողական գործառույթի վրա դեղապատրաստուկի թողած ազդեցության հետազոտությունները, բեղմնավորումից մինչ</w:t>
      </w:r>
      <w:r w:rsidR="00C54D75">
        <w:rPr>
          <w:rFonts w:ascii="Sylfaen" w:hAnsi="Sylfaen"/>
          <w:sz w:val="24"/>
          <w:szCs w:val="24"/>
        </w:rPr>
        <w:t>և</w:t>
      </w:r>
      <w:r w:rsidRPr="00834D52">
        <w:rPr>
          <w:rFonts w:ascii="Sylfaen" w:hAnsi="Sylfaen"/>
          <w:sz w:val="24"/>
          <w:szCs w:val="24"/>
        </w:rPr>
        <w:t xml:space="preserve"> սեռական հասունություն զարգացման բոլոր փուլերում սերնդի վրա թողած թունավոր </w:t>
      </w:r>
      <w:r w:rsidR="00C54D75">
        <w:rPr>
          <w:rFonts w:ascii="Sylfaen" w:hAnsi="Sylfaen"/>
          <w:sz w:val="24"/>
          <w:szCs w:val="24"/>
        </w:rPr>
        <w:t>և</w:t>
      </w:r>
      <w:r w:rsidRPr="00834D52">
        <w:rPr>
          <w:rFonts w:ascii="Sylfaen" w:hAnsi="Sylfaen"/>
          <w:sz w:val="24"/>
          <w:szCs w:val="24"/>
        </w:rPr>
        <w:t xml:space="preserve"> տերատոգեն ազդեցության հետազոտությունները, ինչպես նա</w:t>
      </w:r>
      <w:r w:rsidR="00C54D75">
        <w:rPr>
          <w:rFonts w:ascii="Sylfaen" w:hAnsi="Sylfaen"/>
          <w:sz w:val="24"/>
          <w:szCs w:val="24"/>
        </w:rPr>
        <w:t>և</w:t>
      </w:r>
      <w:r w:rsidRPr="00834D52">
        <w:rPr>
          <w:rFonts w:ascii="Sylfaen" w:hAnsi="Sylfaen"/>
          <w:sz w:val="24"/>
          <w:szCs w:val="24"/>
        </w:rPr>
        <w:t xml:space="preserve"> թաքնված էֆեկտների հետազոտությունները, երբ հետազոտվող դեղապատրաստուկը ներմուծվել է կենդանիների հղի էգերին:</w:t>
      </w:r>
    </w:p>
    <w:p w14:paraId="1CB7EB9E"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Մանրամասն հետազոտությունների բացակայությունը դեղապատրաստուկի գրանցման դոսյեի մեջ պետք է համապատասխան կերպով հիմնավորված լինի: </w:t>
      </w:r>
    </w:p>
    <w:p w14:paraId="56D6D36E"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Կախված դեղապատրաստուկի կիրառության ցուցումներից կարող է </w:t>
      </w:r>
      <w:r w:rsidRPr="00834D52">
        <w:rPr>
          <w:rFonts w:ascii="Sylfaen" w:hAnsi="Sylfaen"/>
          <w:sz w:val="24"/>
          <w:szCs w:val="24"/>
        </w:rPr>
        <w:lastRenderedPageBreak/>
        <w:t xml:space="preserve">պահանջվել լրացուցիչ հետազոտությունների անցկացում (օրինակ՝ սերնդի զարգացման վրա ազդեցության հետազոտություններ), երբ հիմնավորված է դեղապատրաստուկի ներմուծումը ոչ սեռահասուն կենդանիներին: </w:t>
      </w:r>
    </w:p>
    <w:p w14:paraId="0A7A044C"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հետազոտությունների փաստաթղթերը պետք է պարունակեն տեղեկատվություն՝ սաղմնապտղային թունավորության հետազոտության մասին, որը, որպես կանոն, անցկացվում է 2 տեսակ կաթնասունների վրա, որոնցից մեկը չպետք է լինի կրծողների դասի ներկայացուցիչ: Նախածննդաբերական </w:t>
      </w:r>
      <w:r w:rsidR="00C54D75">
        <w:rPr>
          <w:rFonts w:ascii="Sylfaen" w:hAnsi="Sylfaen"/>
          <w:sz w:val="24"/>
          <w:szCs w:val="24"/>
        </w:rPr>
        <w:t>և</w:t>
      </w:r>
      <w:r w:rsidRPr="00834D52">
        <w:rPr>
          <w:rFonts w:ascii="Sylfaen" w:hAnsi="Sylfaen"/>
          <w:sz w:val="24"/>
          <w:szCs w:val="24"/>
        </w:rPr>
        <w:t xml:space="preserve"> հետծննդաբերական թունավորության հետազոտությունները պետք է անցկացվեն կենդանիների առնվազն մեկ տեսակի վրա: </w:t>
      </w:r>
    </w:p>
    <w:p w14:paraId="06038937" w14:textId="34D2B580"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F6A31">
        <w:rPr>
          <w:rFonts w:ascii="Sylfaen" w:hAnsi="Sylfaen"/>
          <w:sz w:val="24"/>
          <w:szCs w:val="24"/>
        </w:rPr>
        <w:t>հայտ</w:t>
      </w:r>
      <w:r w:rsidRPr="00834D52">
        <w:rPr>
          <w:rFonts w:ascii="Sylfaen" w:hAnsi="Sylfaen"/>
          <w:sz w:val="24"/>
          <w:szCs w:val="24"/>
        </w:rPr>
        <w:t xml:space="preserve">նի է, որ ակտիվ նյութի նյութափոխանակությունը կենդանիների որոշակի տեսակի մոտ համանման է մարդու մոտ ակտիվ նյութի նյութափոխանակությանը, հետազոտություններ անցկացնելիս նպատակահարմար է օգտագործել հենց այդ տեսակը: </w:t>
      </w:r>
    </w:p>
    <w:p w14:paraId="50B3BFE5"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Ցանկալի է նա</w:t>
      </w:r>
      <w:r w:rsidR="00C54D75">
        <w:rPr>
          <w:rFonts w:ascii="Sylfaen" w:hAnsi="Sylfaen"/>
          <w:sz w:val="24"/>
          <w:szCs w:val="24"/>
        </w:rPr>
        <w:t>և</w:t>
      </w:r>
      <w:r w:rsidRPr="00834D52">
        <w:rPr>
          <w:rFonts w:ascii="Sylfaen" w:hAnsi="Sylfaen"/>
          <w:sz w:val="24"/>
          <w:szCs w:val="24"/>
        </w:rPr>
        <w:t xml:space="preserve">, որ կենդանիների տեսակներից մեկը լինի հենց այն, որն օգտագործվել է բազմակի ներմուծման դեպքում թունավորության հետազոտություններ անցկացնելիս, </w:t>
      </w:r>
    </w:p>
    <w:p w14:paraId="1AD5A7E2" w14:textId="498058F1"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բովանդակային պլանը սահմանելիս պետք է հաշվի առնվի </w:t>
      </w:r>
      <w:r w:rsidR="0056496B">
        <w:rPr>
          <w:rFonts w:ascii="Sylfaen" w:hAnsi="Sylfaen"/>
          <w:sz w:val="24"/>
          <w:szCs w:val="24"/>
        </w:rPr>
        <w:t>դիմում</w:t>
      </w:r>
      <w:r w:rsidRPr="00834D52">
        <w:rPr>
          <w:rFonts w:ascii="Sylfaen" w:hAnsi="Sylfaen"/>
          <w:sz w:val="24"/>
          <w:szCs w:val="24"/>
        </w:rPr>
        <w:t xml:space="preserve"> ներկայացնելու պահին գիտական գիտելիքի մակարդակը: </w:t>
      </w:r>
    </w:p>
    <w:p w14:paraId="11964DF7" w14:textId="77777777" w:rsidR="006F76EB" w:rsidRPr="00834D52" w:rsidRDefault="006F76EB" w:rsidP="0031596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4.2.3.6.</w:t>
      </w:r>
      <w:r w:rsidRPr="00834D52">
        <w:rPr>
          <w:rFonts w:ascii="Sylfaen" w:hAnsi="Sylfaen"/>
          <w:sz w:val="24"/>
          <w:szCs w:val="24"/>
        </w:rPr>
        <w:tab/>
        <w:t>Տեղային տանելիությունը։</w:t>
      </w:r>
    </w:p>
    <w:p w14:paraId="4E39AD6F" w14:textId="51D4B50A"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հետազոտությունների փաստաթղթերը պետք է պարունակեն տեղեկատվություն՝ տեղային տանելիության վերաբերյալ: Նշված տեղեկատվությունը </w:t>
      </w:r>
      <w:r w:rsidR="005F6A31">
        <w:rPr>
          <w:rFonts w:ascii="Sylfaen" w:hAnsi="Sylfaen"/>
          <w:sz w:val="24"/>
          <w:szCs w:val="24"/>
        </w:rPr>
        <w:t>արտահայտում</w:t>
      </w:r>
      <w:r w:rsidRPr="00834D52">
        <w:rPr>
          <w:rFonts w:ascii="Sylfaen" w:hAnsi="Sylfaen"/>
          <w:sz w:val="24"/>
          <w:szCs w:val="24"/>
        </w:rPr>
        <w:t xml:space="preserve"> է դեղապատրաստուկի (ակտիվ </w:t>
      </w:r>
      <w:r w:rsidR="00C54D75">
        <w:rPr>
          <w:rFonts w:ascii="Sylfaen" w:hAnsi="Sylfaen"/>
          <w:sz w:val="24"/>
          <w:szCs w:val="24"/>
        </w:rPr>
        <w:t>և</w:t>
      </w:r>
      <w:r w:rsidRPr="00834D52">
        <w:rPr>
          <w:rFonts w:ascii="Sylfaen" w:hAnsi="Sylfaen"/>
          <w:sz w:val="24"/>
          <w:szCs w:val="24"/>
        </w:rPr>
        <w:t xml:space="preserve"> օժանդակ նյութերի) տեղային ազդեցության ուսումնասիրումը </w:t>
      </w:r>
      <w:r w:rsidR="00C54D75">
        <w:rPr>
          <w:rFonts w:ascii="Sylfaen" w:hAnsi="Sylfaen"/>
          <w:sz w:val="24"/>
          <w:szCs w:val="24"/>
        </w:rPr>
        <w:t>և</w:t>
      </w:r>
      <w:r w:rsidRPr="00834D52">
        <w:rPr>
          <w:rFonts w:ascii="Sylfaen" w:hAnsi="Sylfaen"/>
          <w:sz w:val="24"/>
          <w:szCs w:val="24"/>
        </w:rPr>
        <w:t xml:space="preserve"> սահմանումն օրգանիզմի հյուսվածքների վրա այն մասերում, որոնք կարող են շփման մեջ մտնել դեղապատրաստուկի հետ կլինիկական կիրառության ժամանակ դրա ներմուծման արդյունքում: </w:t>
      </w:r>
    </w:p>
    <w:p w14:paraId="15BF57B7"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Հետազոտության ռազմավարությունը պետք է ուղղված լինի այն բանին, որ ներմուծման ցանկացած մեխանիկական ազդեցություն կամ դեղապատրաստուկի ֆիզիկաքիմիական հատկություններով պայմանավորված ազդեցություն տարբերվի թունավոր կամ </w:t>
      </w:r>
      <w:r w:rsidR="00355C33">
        <w:rPr>
          <w:rFonts w:ascii="Sylfaen" w:hAnsi="Sylfaen"/>
          <w:sz w:val="24"/>
          <w:szCs w:val="24"/>
        </w:rPr>
        <w:t>դեղա</w:t>
      </w:r>
      <w:r w:rsidRPr="00834D52">
        <w:rPr>
          <w:rFonts w:ascii="Sylfaen" w:hAnsi="Sylfaen"/>
          <w:sz w:val="24"/>
          <w:szCs w:val="24"/>
        </w:rPr>
        <w:t xml:space="preserve">դինամիկ էֆեկտից: </w:t>
      </w:r>
    </w:p>
    <w:p w14:paraId="6894B988"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պետք է ապացուցված լինի, որ դեղապատրաստուկի տեղային տանելիության հետազոտությունն իրականացվել է մարդու կիրառության համար մշակված դեղապատրաստուկի օգտագործմամբ: Նշված հետազոտության շրջանակներում ստուգիչ խմբի կենդանիներին ներմուծվում է կրիչ (լուծիչ) հետազոտվող դեղապատրաստուկը </w:t>
      </w:r>
      <w:r w:rsidR="00C54D75">
        <w:rPr>
          <w:rFonts w:ascii="Sylfaen" w:hAnsi="Sylfaen"/>
          <w:sz w:val="24"/>
          <w:szCs w:val="24"/>
        </w:rPr>
        <w:t>և</w:t>
      </w:r>
      <w:r w:rsidRPr="00834D52">
        <w:rPr>
          <w:rFonts w:ascii="Sylfaen" w:hAnsi="Sylfaen"/>
          <w:sz w:val="24"/>
          <w:szCs w:val="24"/>
        </w:rPr>
        <w:t xml:space="preserve"> (կամ) օժանդակ նյութերը՝ ներմուծելու համար: Անհրաժեշտության դեպքում հարկ է ներկայացնել տեղեկատվություն՝ դրական հսկողության խումբը </w:t>
      </w:r>
      <w:r w:rsidR="00C54D75">
        <w:rPr>
          <w:rFonts w:ascii="Sylfaen" w:hAnsi="Sylfaen"/>
          <w:sz w:val="24"/>
          <w:szCs w:val="24"/>
        </w:rPr>
        <w:t>և</w:t>
      </w:r>
      <w:r w:rsidRPr="00834D52">
        <w:rPr>
          <w:rFonts w:ascii="Sylfaen" w:hAnsi="Sylfaen"/>
          <w:sz w:val="24"/>
          <w:szCs w:val="24"/>
        </w:rPr>
        <w:t xml:space="preserve"> համեմատության նյութերը լրացուցիչ ներառելու մասին: </w:t>
      </w:r>
    </w:p>
    <w:p w14:paraId="2C9E7D22"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տեղային տանելիության հետազոտության բովանդակային պլանը (կենդանիների տեսակների, տ</w:t>
      </w:r>
      <w:r w:rsidR="00C54D75">
        <w:rPr>
          <w:rFonts w:ascii="Sylfaen" w:hAnsi="Sylfaen"/>
          <w:sz w:val="24"/>
          <w:szCs w:val="24"/>
        </w:rPr>
        <w:t>և</w:t>
      </w:r>
      <w:r w:rsidRPr="00834D52">
        <w:rPr>
          <w:rFonts w:ascii="Sylfaen" w:hAnsi="Sylfaen"/>
          <w:sz w:val="24"/>
          <w:szCs w:val="24"/>
        </w:rPr>
        <w:t xml:space="preserve">ողության, հաճախության, ներմուծման եղանակի, դեղաչափի ընտրությունը) կախված է հետազոտության խնդիրներից </w:t>
      </w:r>
      <w:r w:rsidR="00C54D75">
        <w:rPr>
          <w:rFonts w:ascii="Sylfaen" w:hAnsi="Sylfaen"/>
          <w:sz w:val="24"/>
          <w:szCs w:val="24"/>
        </w:rPr>
        <w:t>և</w:t>
      </w:r>
      <w:r w:rsidRPr="00834D52">
        <w:rPr>
          <w:rFonts w:ascii="Sylfaen" w:hAnsi="Sylfaen"/>
          <w:sz w:val="24"/>
          <w:szCs w:val="24"/>
        </w:rPr>
        <w:t xml:space="preserve"> դեղապատրաստուկի կլինիկական կիրառության ենթադրվող առանձնահատկություններից: Անհրաժեշտության դեպքում ներկայացվում է տեղեկատվություն՝ տեղային վնասվածքների դարձելիության գծով անցկացված հետազոտությունների մասին: </w:t>
      </w:r>
    </w:p>
    <w:p w14:paraId="57335C50"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Կենդանինների վրա հետազոտությունների մասին տեղեկատվությունը կարելի է փոխարինել in vitro վալիդացված մեթոդիկաների օգտագործմամբ ստացված փորձարկումների տվյալներով, եթե հետազոտությունների արդյունքները ունեն համադրելի որակ </w:t>
      </w:r>
      <w:r w:rsidR="00C54D75">
        <w:rPr>
          <w:rFonts w:ascii="Sylfaen" w:hAnsi="Sylfaen"/>
          <w:sz w:val="24"/>
          <w:szCs w:val="24"/>
        </w:rPr>
        <w:t>և</w:t>
      </w:r>
      <w:r w:rsidRPr="00834D52">
        <w:rPr>
          <w:rFonts w:ascii="Sylfaen" w:hAnsi="Sylfaen"/>
          <w:sz w:val="24"/>
          <w:szCs w:val="24"/>
        </w:rPr>
        <w:t xml:space="preserve"> պիտանի են անվտանգության վերլուծության համար: </w:t>
      </w:r>
    </w:p>
    <w:p w14:paraId="68695688"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Պետք է գնահատվի տեղային կիրառման քիմիական նյութերի (օրինակ՝ մաշկային, ուղիղաղիքային, հեշտոցային) զգայունացնող պոտենցիալը՝ առնվազն մեկ թեստ-համակարգի օգտագործմամբ (հետազոտություն՝ ծովախոզուկների կամ տեղային լիմֆատիկ հանգույցների վրա):</w:t>
      </w:r>
    </w:p>
    <w:p w14:paraId="2C2987B5" w14:textId="77777777" w:rsidR="006F76EB" w:rsidRPr="00834D52" w:rsidRDefault="006F76EB" w:rsidP="0031596C">
      <w:pPr>
        <w:tabs>
          <w:tab w:val="left" w:pos="1134"/>
        </w:tabs>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5.</w:t>
      </w:r>
      <w:r w:rsidRPr="00834D52">
        <w:rPr>
          <w:rFonts w:ascii="Sylfaen" w:hAnsi="Sylfaen"/>
          <w:spacing w:val="-4"/>
          <w:sz w:val="24"/>
          <w:szCs w:val="24"/>
        </w:rPr>
        <w:tab/>
        <w:t xml:space="preserve">5-րդ մոդուլում բերված գրանցման դոսյեի փաստաթղթերին ներկայացվող </w:t>
      </w:r>
      <w:r w:rsidRPr="00834D52">
        <w:rPr>
          <w:rFonts w:ascii="Sylfaen" w:hAnsi="Sylfaen"/>
          <w:spacing w:val="-4"/>
          <w:sz w:val="24"/>
          <w:szCs w:val="24"/>
        </w:rPr>
        <w:lastRenderedPageBreak/>
        <w:t>պահանջները. հաշվետվություններ՝ կլինիկական փորձարկումների մասին</w:t>
      </w:r>
    </w:p>
    <w:p w14:paraId="5047FE99" w14:textId="77777777" w:rsidR="006F76EB" w:rsidRPr="00834D52" w:rsidRDefault="006F76EB" w:rsidP="0031596C">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5-րդ մոդուլի բովանդակությունը:</w:t>
      </w:r>
    </w:p>
    <w:p w14:paraId="74FF173C" w14:textId="77777777"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Աղյուսակների տեսքով բոլոր կլինիկական հետազոտությունների (փորձարկումների) ցանկը:</w:t>
      </w:r>
    </w:p>
    <w:p w14:paraId="792B48F6"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հատուկ ուշադրություն դարձնել գրանցման դոսյեում հետ</w:t>
      </w:r>
      <w:r w:rsidR="00C54D75">
        <w:rPr>
          <w:rFonts w:ascii="Sylfaen" w:hAnsi="Sylfaen"/>
          <w:sz w:val="24"/>
          <w:szCs w:val="24"/>
        </w:rPr>
        <w:t>և</w:t>
      </w:r>
      <w:r w:rsidRPr="00834D52">
        <w:rPr>
          <w:rFonts w:ascii="Sylfaen" w:hAnsi="Sylfaen"/>
          <w:sz w:val="24"/>
          <w:szCs w:val="24"/>
        </w:rPr>
        <w:t>յալ տեղեկությունների առկայությանը.</w:t>
      </w:r>
    </w:p>
    <w:p w14:paraId="0C9B026D" w14:textId="77777777"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կլինիկական տեղեկատվություն, որը պետք է թույլ տա ձ</w:t>
      </w:r>
      <w:r w:rsidR="00C54D75">
        <w:rPr>
          <w:rFonts w:ascii="Sylfaen" w:hAnsi="Sylfaen"/>
          <w:sz w:val="24"/>
          <w:szCs w:val="24"/>
        </w:rPr>
        <w:t>և</w:t>
      </w:r>
      <w:r w:rsidRPr="00834D52">
        <w:rPr>
          <w:rFonts w:ascii="Sylfaen" w:hAnsi="Sylfaen"/>
          <w:sz w:val="24"/>
          <w:szCs w:val="24"/>
        </w:rPr>
        <w:t xml:space="preserve">ավորել գիտական տեսանկյունից բավականին հիմնավորված </w:t>
      </w:r>
      <w:r w:rsidR="00C54D75">
        <w:rPr>
          <w:rFonts w:ascii="Sylfaen" w:hAnsi="Sylfaen"/>
          <w:sz w:val="24"/>
          <w:szCs w:val="24"/>
        </w:rPr>
        <w:t>և</w:t>
      </w:r>
      <w:r w:rsidRPr="00834D52">
        <w:rPr>
          <w:rFonts w:ascii="Sylfaen" w:hAnsi="Sylfaen"/>
          <w:sz w:val="24"/>
          <w:szCs w:val="24"/>
        </w:rPr>
        <w:t xml:space="preserve"> արժանահավատ եզրակացություններ՝ դեղապատրաստուկի՝ գրանցման պայմաններին բավարարելու կամ չբավարարելու մասին: Ներկայացման են ենթակա բոլոր կլինիկական փորձարկումների արդյունքները (ինչպես բարենպաստ, այնպես էլ անբարենպաստ (բացասական արդյունքները)).</w:t>
      </w:r>
    </w:p>
    <w:p w14:paraId="31B8C938" w14:textId="52A48AB9" w:rsidR="006F76EB" w:rsidRPr="00834D52" w:rsidRDefault="006F76EB" w:rsidP="0031596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կլինիկական փորձարկումներին պետք է միշտ նախորդեն համապատասխան դեղաբանական </w:t>
      </w:r>
      <w:r w:rsidR="00C54D75">
        <w:rPr>
          <w:rFonts w:ascii="Sylfaen" w:hAnsi="Sylfaen"/>
          <w:sz w:val="24"/>
          <w:szCs w:val="24"/>
        </w:rPr>
        <w:t>և</w:t>
      </w:r>
      <w:r w:rsidRPr="00834D52">
        <w:rPr>
          <w:rFonts w:ascii="Sylfaen" w:hAnsi="Sylfaen"/>
          <w:sz w:val="24"/>
          <w:szCs w:val="24"/>
        </w:rPr>
        <w:t xml:space="preserve"> թունաբանական այնպիսի հետազոտություններ (կենդանիների վրա անցկացված), որոնց վերաբերյալ տեղեկատվությունը ներկայացվում է գրանցման դոսյեի 4-րդ մոդուլում: Հետազոտողը պետք է ծանոթանա դեղաբանական </w:t>
      </w:r>
      <w:r w:rsidR="00C54D75">
        <w:rPr>
          <w:rFonts w:ascii="Sylfaen" w:hAnsi="Sylfaen"/>
          <w:sz w:val="24"/>
          <w:szCs w:val="24"/>
        </w:rPr>
        <w:t>և</w:t>
      </w:r>
      <w:r w:rsidRPr="00834D52">
        <w:rPr>
          <w:rFonts w:ascii="Sylfaen" w:hAnsi="Sylfaen"/>
          <w:sz w:val="24"/>
          <w:szCs w:val="24"/>
        </w:rPr>
        <w:t xml:space="preserve"> թունաբանական հետազոտությունների արդյունքների հիման վրա կատարված եզրակացություններին: Դրա համար </w:t>
      </w:r>
      <w:r w:rsidR="0056496B">
        <w:rPr>
          <w:rFonts w:ascii="Sylfaen" w:hAnsi="Sylfaen"/>
          <w:sz w:val="24"/>
          <w:szCs w:val="24"/>
        </w:rPr>
        <w:t>դիմումատու</w:t>
      </w:r>
      <w:r w:rsidRPr="00834D52">
        <w:rPr>
          <w:rFonts w:ascii="Sylfaen" w:hAnsi="Sylfaen"/>
          <w:sz w:val="24"/>
          <w:szCs w:val="24"/>
        </w:rPr>
        <w:t xml:space="preserve">ն պետք է նրան ներկայացնի առնվազն հետազոտողի բրոշյուրը, որը պարունակում է կլինիկական փորձարկումների ամսաթվի սկզբի դրությամբ իրեն </w:t>
      </w:r>
      <w:r w:rsidR="005F6A31">
        <w:rPr>
          <w:rFonts w:ascii="Sylfaen" w:hAnsi="Sylfaen"/>
          <w:sz w:val="24"/>
          <w:szCs w:val="24"/>
        </w:rPr>
        <w:t>հայտնի</w:t>
      </w:r>
      <w:r w:rsidRPr="00834D52">
        <w:rPr>
          <w:rFonts w:ascii="Sylfaen" w:hAnsi="Sylfaen"/>
          <w:sz w:val="24"/>
          <w:szCs w:val="24"/>
        </w:rPr>
        <w:t xml:space="preserve"> համապատասխան ամբողջ տեղեկատվությունը (ներառյալ քիմիական, դեղաբանական </w:t>
      </w:r>
      <w:r w:rsidR="00C54D75">
        <w:rPr>
          <w:rFonts w:ascii="Sylfaen" w:hAnsi="Sylfaen"/>
          <w:sz w:val="24"/>
          <w:szCs w:val="24"/>
        </w:rPr>
        <w:t>և</w:t>
      </w:r>
      <w:r w:rsidRPr="00834D52">
        <w:rPr>
          <w:rFonts w:ascii="Sylfaen" w:hAnsi="Sylfaen"/>
          <w:sz w:val="24"/>
          <w:szCs w:val="24"/>
        </w:rPr>
        <w:t xml:space="preserve"> կենսաբանական տվյալները, կենդանիների վրա անցկացված թունաբանական, </w:t>
      </w:r>
      <w:r w:rsidR="00355C33">
        <w:rPr>
          <w:rFonts w:ascii="Sylfaen" w:hAnsi="Sylfaen"/>
          <w:sz w:val="24"/>
          <w:szCs w:val="24"/>
        </w:rPr>
        <w:t>դեղա</w:t>
      </w:r>
      <w:r w:rsidRPr="00834D52">
        <w:rPr>
          <w:rFonts w:ascii="Sylfaen" w:hAnsi="Sylfaen"/>
          <w:sz w:val="24"/>
          <w:szCs w:val="24"/>
        </w:rPr>
        <w:t xml:space="preserve">կինետիկ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դինամիկ հետազոտությունների արդյունքները, ինչպես նա</w:t>
      </w:r>
      <w:r w:rsidR="00C54D75">
        <w:rPr>
          <w:rFonts w:ascii="Sylfaen" w:hAnsi="Sylfaen"/>
          <w:sz w:val="24"/>
          <w:szCs w:val="24"/>
        </w:rPr>
        <w:t>և</w:t>
      </w:r>
      <w:r w:rsidRPr="00834D52">
        <w:rPr>
          <w:rFonts w:ascii="Sylfaen" w:hAnsi="Sylfaen"/>
          <w:sz w:val="24"/>
          <w:szCs w:val="24"/>
        </w:rPr>
        <w:t xml:space="preserve"> պլանավորված հետազոտության բնույթը, ծավալը </w:t>
      </w:r>
      <w:r w:rsidR="00C54D75">
        <w:rPr>
          <w:rFonts w:ascii="Sylfaen" w:hAnsi="Sylfaen"/>
          <w:sz w:val="24"/>
          <w:szCs w:val="24"/>
        </w:rPr>
        <w:t>և</w:t>
      </w:r>
      <w:r w:rsidRPr="00834D52">
        <w:rPr>
          <w:rFonts w:ascii="Sylfaen" w:hAnsi="Sylfaen"/>
          <w:sz w:val="24"/>
          <w:szCs w:val="24"/>
        </w:rPr>
        <w:t xml:space="preserve"> տ</w:t>
      </w:r>
      <w:r w:rsidR="00C54D75">
        <w:rPr>
          <w:rFonts w:ascii="Sylfaen" w:hAnsi="Sylfaen"/>
          <w:sz w:val="24"/>
          <w:szCs w:val="24"/>
        </w:rPr>
        <w:t>և</w:t>
      </w:r>
      <w:r w:rsidRPr="00834D52">
        <w:rPr>
          <w:rFonts w:ascii="Sylfaen" w:hAnsi="Sylfaen"/>
          <w:sz w:val="24"/>
          <w:szCs w:val="24"/>
        </w:rPr>
        <w:t xml:space="preserve">ողությունը հիմնավորելու համար անհրաժեշտ բավարար տվյալներ ներկայացնող նախորդ կլինիկական փորձարկումների արդյունքները): Դեղաբանական </w:t>
      </w:r>
      <w:r w:rsidR="00C54D75">
        <w:rPr>
          <w:rFonts w:ascii="Sylfaen" w:hAnsi="Sylfaen"/>
          <w:sz w:val="24"/>
          <w:szCs w:val="24"/>
        </w:rPr>
        <w:t>և</w:t>
      </w:r>
      <w:r w:rsidRPr="00834D52">
        <w:rPr>
          <w:rFonts w:ascii="Sylfaen" w:hAnsi="Sylfaen"/>
          <w:sz w:val="24"/>
          <w:szCs w:val="24"/>
        </w:rPr>
        <w:t xml:space="preserve"> թունաբանական հետազոտությունների վերաբերյալ ամբողջական հաշվետվությունները պետք է </w:t>
      </w:r>
      <w:r w:rsidRPr="00834D52">
        <w:rPr>
          <w:rFonts w:ascii="Sylfaen" w:hAnsi="Sylfaen"/>
          <w:sz w:val="24"/>
          <w:szCs w:val="24"/>
        </w:rPr>
        <w:lastRenderedPageBreak/>
        <w:t>ներկայացվեն ըստ պահանջի: Մարդուց կամ կենդանուց ստացված նյութերի օգտագործման ժամանակ՝ մինչ</w:t>
      </w:r>
      <w:r w:rsidR="00C54D75">
        <w:rPr>
          <w:rFonts w:ascii="Sylfaen" w:hAnsi="Sylfaen"/>
          <w:sz w:val="24"/>
          <w:szCs w:val="24"/>
        </w:rPr>
        <w:t>և</w:t>
      </w:r>
      <w:r w:rsidRPr="00834D52">
        <w:rPr>
          <w:rFonts w:ascii="Sylfaen" w:hAnsi="Sylfaen"/>
          <w:sz w:val="24"/>
          <w:szCs w:val="24"/>
        </w:rPr>
        <w:t xml:space="preserve"> հետազոտությունը սկսելը, պետք է ձեռնարկել վարակիչ ագենտների հնարավոր փոխանցման տեսանկյունից անվտանգությունն ապահովող բոլոր միջոցները.</w:t>
      </w:r>
    </w:p>
    <w:p w14:paraId="190C36F9" w14:textId="77777777" w:rsidR="006F76EB" w:rsidRPr="00834D52" w:rsidRDefault="006F76EB" w:rsidP="0031596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գրանցման հավաստագրի իրավատերը պետք է ապահովի կլինիկական հետազոտության հիմնական փաստաթղթերի (այդ թվում՝ անհատական գրանցման քարտերի) պահպանումը ստացված արդյունքների տիրապետողների մոտ (բացառությամբ ստացիոնար (ամբուլատոր) հիվանդների (պացիենտների) բժշկական քարտերի)՝</w:t>
      </w:r>
    </w:p>
    <w:p w14:paraId="04A5A8D5" w14:textId="77777777" w:rsidR="006F76EB" w:rsidRPr="00834D52" w:rsidRDefault="006F76EB" w:rsidP="00616C1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ավարտի կամ դադարեցման օրվանից 15 տարվա ընթացքում.</w:t>
      </w:r>
    </w:p>
    <w:p w14:paraId="624A9399" w14:textId="3BFC6963"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անդամ պետություններում վերջին գրանցման օրվանից 2 տարվա ընթացքում՝ Միությունում հաստատման սպասող կամ քննարկման մեջ գտնվող գրանցման </w:t>
      </w:r>
      <w:r w:rsidR="0056496B">
        <w:rPr>
          <w:rFonts w:ascii="Sylfaen" w:hAnsi="Sylfaen"/>
          <w:sz w:val="24"/>
          <w:szCs w:val="24"/>
        </w:rPr>
        <w:t>դիմում</w:t>
      </w:r>
      <w:r w:rsidR="005F6A31">
        <w:rPr>
          <w:rFonts w:ascii="Sylfaen" w:hAnsi="Sylfaen"/>
          <w:sz w:val="24"/>
          <w:szCs w:val="24"/>
        </w:rPr>
        <w:t>ն</w:t>
      </w:r>
      <w:r w:rsidRPr="00834D52">
        <w:rPr>
          <w:rFonts w:ascii="Sylfaen" w:hAnsi="Sylfaen"/>
          <w:sz w:val="24"/>
          <w:szCs w:val="24"/>
        </w:rPr>
        <w:t>երի բացակայության պայմանով.</w:t>
      </w:r>
    </w:p>
    <w:p w14:paraId="620D3277" w14:textId="77777777"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հետազոտվող դեղապատրաստուկի կլինիկական մշակման պաշտոնական դադարեցման օրվանից 2 տարվա ընթացքում:</w:t>
      </w:r>
    </w:p>
    <w:p w14:paraId="2F55EFED" w14:textId="77777777"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Ստացիոնար (ամբուլատոր) հիվանդների (պացիենտների) բժշկական քարտերը պետք է պահպանվեն համապատասխան պայմաններում՝ անդամ պետությունների օրենսդրությամբ նախատեսված ժամկետի ընթացքում, կլինիկական կենտրոնի, ինստիտուտի կամ մասնավոր պրակտիկայի հիմնարկության կողմից թույլատրված առավելագույն ժամանակահատվածին համապատասխան:</w:t>
      </w:r>
    </w:p>
    <w:p w14:paraId="0EE211C5"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Փաստաթղթերը կարող են պահպանվել ավելի երկար ժամկետի ընթացքում, եթե դա պահանջվում է համապատասխան կանոնակարգող կանոններով կամ հետազոտության հովանավորի հետ համաձայնեցմամբ:</w:t>
      </w:r>
    </w:p>
    <w:p w14:paraId="11D06EA9" w14:textId="77777777" w:rsidR="006F76EB" w:rsidRPr="00834D52" w:rsidRDefault="006F76EB" w:rsidP="00616C15">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Հետազոտության հովանավորը պարտավոր է կլինիկական կենտրոնին, </w:t>
      </w:r>
      <w:r w:rsidRPr="00834D52">
        <w:rPr>
          <w:rFonts w:ascii="Sylfaen" w:hAnsi="Sylfaen"/>
          <w:spacing w:val="-4"/>
          <w:sz w:val="24"/>
          <w:szCs w:val="24"/>
        </w:rPr>
        <w:lastRenderedPageBreak/>
        <w:t>ինստիտուտին կամ մասնավոր պրակտիկայի հիմնարկությանը տեղեկացնել փաստաթղթերի հետագա պահպանման անհրաժեշտության բացակայության մասին:</w:t>
      </w:r>
    </w:p>
    <w:p w14:paraId="043216CD"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Հետազոտության հովանավորը կամ տվյալների մեկ այլ սեփականատեր (տիրապետող) պետք է պահպանի հետազոտությանն առնչվող բոլոր մյուս փաստաթղթերը դեղապատրաստուկի գրանցման հավաստագրի գործողության ամբողջ ժամկետի ընթացքում:</w:t>
      </w:r>
    </w:p>
    <w:p w14:paraId="10A15BF1"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Այդ փաստաթղթերը ներառում են՝</w:t>
      </w:r>
    </w:p>
    <w:p w14:paraId="1950D923"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հիմնավորում, նպատակներ, վիճակագրական պլան </w:t>
      </w:r>
      <w:r w:rsidR="00C54D75">
        <w:rPr>
          <w:rFonts w:ascii="Sylfaen" w:hAnsi="Sylfaen"/>
          <w:sz w:val="24"/>
          <w:szCs w:val="24"/>
        </w:rPr>
        <w:t>և</w:t>
      </w:r>
      <w:r w:rsidRPr="00834D52">
        <w:rPr>
          <w:rFonts w:ascii="Sylfaen" w:hAnsi="Sylfaen"/>
          <w:sz w:val="24"/>
          <w:szCs w:val="24"/>
        </w:rPr>
        <w:t xml:space="preserve"> դրա անցկացման պայմաններով մեթոդաբանություն, հետազոտության կազմակերպում (կառավարում), հետազոտվող դեղապատրաստուկի, օգտագործված ստանդարտի (</w:t>
      </w:r>
      <w:r w:rsidR="00D0720C">
        <w:rPr>
          <w:rFonts w:ascii="Sylfaen" w:hAnsi="Sylfaen"/>
          <w:sz w:val="24"/>
          <w:szCs w:val="24"/>
        </w:rPr>
        <w:t>ռեֆերենտ</w:t>
      </w:r>
      <w:r w:rsidRPr="00834D52">
        <w:rPr>
          <w:rFonts w:ascii="Sylfaen" w:hAnsi="Sylfaen"/>
          <w:sz w:val="24"/>
          <w:szCs w:val="24"/>
        </w:rPr>
        <w:t xml:space="preserve"> պատրաստուկի </w:t>
      </w:r>
      <w:r w:rsidR="00C54D75">
        <w:rPr>
          <w:rFonts w:ascii="Sylfaen" w:hAnsi="Sylfaen"/>
          <w:sz w:val="24"/>
          <w:szCs w:val="24"/>
        </w:rPr>
        <w:t>և</w:t>
      </w:r>
      <w:r w:rsidRPr="00834D52">
        <w:rPr>
          <w:rFonts w:ascii="Sylfaen" w:hAnsi="Sylfaen"/>
          <w:sz w:val="24"/>
          <w:szCs w:val="24"/>
        </w:rPr>
        <w:t xml:space="preserve"> (կամ) պլացեբոյի) վերաբերյալ մանրամասն տեղեկատվություն պարունակող արձանագրությունը.</w:t>
      </w:r>
    </w:p>
    <w:p w14:paraId="4DA6CA1D"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ստանդարտ գործառնական ընթացակարգերը.</w:t>
      </w:r>
    </w:p>
    <w:p w14:paraId="12A48F6F"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արձանագրության </w:t>
      </w:r>
      <w:r w:rsidR="00C54D75">
        <w:rPr>
          <w:rFonts w:ascii="Sylfaen" w:hAnsi="Sylfaen"/>
          <w:sz w:val="24"/>
          <w:szCs w:val="24"/>
        </w:rPr>
        <w:t>և</w:t>
      </w:r>
      <w:r w:rsidRPr="00834D52">
        <w:rPr>
          <w:rFonts w:ascii="Sylfaen" w:hAnsi="Sylfaen"/>
          <w:sz w:val="24"/>
          <w:szCs w:val="24"/>
        </w:rPr>
        <w:t xml:space="preserve"> ընթացակարգերի վերաբերյալ բոլոր գրավոր կարծիքները, հետազոտողի բրոշյուրը, յուրաքանչյուր հետազոտության սուբյեկտի անհատական գրանցման քարտը.</w:t>
      </w:r>
    </w:p>
    <w:p w14:paraId="4E1F4115"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ամփոփիչ հաշվետվությունը.</w:t>
      </w:r>
    </w:p>
    <w:p w14:paraId="20109F78"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աուդիտ անցնելու մասին հավաստագիրը (առկայության դեպքում):</w:t>
      </w:r>
    </w:p>
    <w:p w14:paraId="38C27418"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Եզրափակիչ հաշվետվությունը պետք է պահպանվի հետազոտության հովանավորի կամ նրա իրավահաջորդի կողմից՝ դեղապատրաստուկների գրանցման հավաստագրի գործողության ժամկետի ավարտի օրվանից 5 տարվա ընթացքում: Գրանցման հավաստագրի իրավատերը պետք է լրացուցիչ միջոցներ ձեռնարկի՝ Հանձնաժողովի կողմից հաստատվող՝ Եվրասիական տնտեսական միության պատշաճ կլինիկական գործունեության կանոններին համապատասխան փաստաթղթերի արխիվացման, </w:t>
      </w:r>
      <w:r w:rsidR="00C54D75">
        <w:rPr>
          <w:rFonts w:ascii="Sylfaen" w:hAnsi="Sylfaen"/>
          <w:sz w:val="24"/>
          <w:szCs w:val="24"/>
        </w:rPr>
        <w:t>և</w:t>
      </w:r>
      <w:r w:rsidRPr="00834D52">
        <w:rPr>
          <w:rFonts w:ascii="Sylfaen" w:hAnsi="Sylfaen"/>
          <w:sz w:val="24"/>
          <w:szCs w:val="24"/>
        </w:rPr>
        <w:t xml:space="preserve"> մանրամասն ձեռնարկներ (առաջարկություններ) ներդնելու համար:</w:t>
      </w:r>
    </w:p>
    <w:p w14:paraId="16EC8AB9"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Առկա տվյալների սեփականատիրոջ փոփոխման մասին տեղեկատվությունը պետք է ձ</w:t>
      </w:r>
      <w:r w:rsidR="00C54D75">
        <w:rPr>
          <w:rFonts w:ascii="Sylfaen" w:hAnsi="Sylfaen"/>
          <w:sz w:val="24"/>
          <w:szCs w:val="24"/>
        </w:rPr>
        <w:t>և</w:t>
      </w:r>
      <w:r w:rsidRPr="00834D52">
        <w:rPr>
          <w:rFonts w:ascii="Sylfaen" w:hAnsi="Sylfaen"/>
          <w:sz w:val="24"/>
          <w:szCs w:val="24"/>
        </w:rPr>
        <w:t>ակերպվի համապատասխան ձ</w:t>
      </w:r>
      <w:r w:rsidR="00C54D75">
        <w:rPr>
          <w:rFonts w:ascii="Sylfaen" w:hAnsi="Sylfaen"/>
          <w:sz w:val="24"/>
          <w:szCs w:val="24"/>
        </w:rPr>
        <w:t>և</w:t>
      </w:r>
      <w:r w:rsidRPr="00834D52">
        <w:rPr>
          <w:rFonts w:ascii="Sylfaen" w:hAnsi="Sylfaen"/>
          <w:sz w:val="24"/>
          <w:szCs w:val="24"/>
        </w:rPr>
        <w:t xml:space="preserve">ով, տվյալները </w:t>
      </w:r>
      <w:r w:rsidR="00C54D75">
        <w:rPr>
          <w:rFonts w:ascii="Sylfaen" w:hAnsi="Sylfaen"/>
          <w:sz w:val="24"/>
          <w:szCs w:val="24"/>
        </w:rPr>
        <w:t>և</w:t>
      </w:r>
      <w:r w:rsidRPr="00834D52">
        <w:rPr>
          <w:rFonts w:ascii="Sylfaen" w:hAnsi="Sylfaen"/>
          <w:sz w:val="24"/>
          <w:szCs w:val="24"/>
        </w:rPr>
        <w:t xml:space="preserve"> փաստաթղթերը համապատասխան լիազորված մարմինների պահանջով պետք է ժամանակին ներկայացվեն.</w:t>
      </w:r>
    </w:p>
    <w:p w14:paraId="0B92920F" w14:textId="77777777" w:rsidR="006F76EB" w:rsidRPr="00834D52" w:rsidRDefault="006F76EB" w:rsidP="00616C15">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դ)</w:t>
      </w:r>
      <w:r w:rsidRPr="00834D52">
        <w:rPr>
          <w:rFonts w:ascii="Sylfaen" w:hAnsi="Sylfaen"/>
          <w:spacing w:val="-4"/>
          <w:sz w:val="24"/>
          <w:szCs w:val="24"/>
        </w:rPr>
        <w:tab/>
        <w:t>յուրաքանչյուր կլինիկական հետազոտության նկարագրություն պետք է օբյեկտիվ եզրակացություն կազմելու համար անհրաժեշտ բավականաչափ տեղեկատվություն պարունակի՝</w:t>
      </w:r>
    </w:p>
    <w:p w14:paraId="10F9FB6E"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հիմնավորում, նպատակներ, վիճակագրական պլան </w:t>
      </w:r>
      <w:r w:rsidR="00C54D75">
        <w:rPr>
          <w:rFonts w:ascii="Sylfaen" w:hAnsi="Sylfaen"/>
          <w:sz w:val="24"/>
          <w:szCs w:val="24"/>
        </w:rPr>
        <w:t>և</w:t>
      </w:r>
      <w:r w:rsidRPr="00834D52">
        <w:rPr>
          <w:rFonts w:ascii="Sylfaen" w:hAnsi="Sylfaen"/>
          <w:sz w:val="24"/>
          <w:szCs w:val="24"/>
        </w:rPr>
        <w:t xml:space="preserve"> մեթոդաբանություն՝ դրա անցկացման </w:t>
      </w:r>
      <w:r w:rsidR="00C54D75">
        <w:rPr>
          <w:rFonts w:ascii="Sylfaen" w:hAnsi="Sylfaen"/>
          <w:sz w:val="24"/>
          <w:szCs w:val="24"/>
        </w:rPr>
        <w:t>և</w:t>
      </w:r>
      <w:r w:rsidRPr="00834D52">
        <w:rPr>
          <w:rFonts w:ascii="Sylfaen" w:hAnsi="Sylfaen"/>
          <w:sz w:val="24"/>
          <w:szCs w:val="24"/>
        </w:rPr>
        <w:t xml:space="preserve"> կազմակերպման պայմաններով, </w:t>
      </w:r>
      <w:r w:rsidR="00C54D75">
        <w:rPr>
          <w:rFonts w:ascii="Sylfaen" w:hAnsi="Sylfaen"/>
          <w:sz w:val="24"/>
          <w:szCs w:val="24"/>
        </w:rPr>
        <w:t>և</w:t>
      </w:r>
      <w:r w:rsidRPr="00834D52">
        <w:rPr>
          <w:rFonts w:ascii="Sylfaen" w:hAnsi="Sylfaen"/>
          <w:sz w:val="24"/>
          <w:szCs w:val="24"/>
        </w:rPr>
        <w:t xml:space="preserve"> հետազոտվող դեղապատրաստուկի վերաբերյալ մանրամասն տեղեկատվություն պարունակող արձանագրություն.</w:t>
      </w:r>
    </w:p>
    <w:p w14:paraId="612F645B"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աուդիտ անցնելու մասին հավաստագիր (առկայության դեպքում).</w:t>
      </w:r>
    </w:p>
    <w:p w14:paraId="7229D624"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հետազոտողների ցանկ (կլինիկական հետազոտությունների անցկացման ժամանակ յուրաքանչյուր հետազոտող պետք է հաղորդի իր ազգանունը, հասցեն, զբաղեցրած պաշտոնը, որակավորման տվյալները </w:t>
      </w:r>
      <w:r w:rsidR="00C54D75">
        <w:rPr>
          <w:rFonts w:ascii="Sylfaen" w:hAnsi="Sylfaen"/>
          <w:sz w:val="24"/>
          <w:szCs w:val="24"/>
        </w:rPr>
        <w:t>և</w:t>
      </w:r>
      <w:r w:rsidRPr="00834D52">
        <w:rPr>
          <w:rFonts w:ascii="Sylfaen" w:hAnsi="Sylfaen"/>
          <w:sz w:val="24"/>
          <w:szCs w:val="24"/>
        </w:rPr>
        <w:t xml:space="preserve"> պարտականությունները).</w:t>
      </w:r>
    </w:p>
    <w:p w14:paraId="4A09102C"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հետազոտության անցկացման վայրը.</w:t>
      </w:r>
    </w:p>
    <w:p w14:paraId="58BE53CE"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յուրաքանչյուր առանձին պացիենտի մասին տեղեկատվություն՝ ներառյալ անհատական գրանցման քարտերը.</w:t>
      </w:r>
    </w:p>
    <w:p w14:paraId="18A1EE4A"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հետազոտողի կողմից, իսկ բազմակենտրոն հետազոտության դեպքում՝ բոլոր հետազոտողների կամ համակարգողի (գլխավոր հետազոտողի) կողմից ստորագրված վերջնական հաշվետվություն.</w:t>
      </w:r>
    </w:p>
    <w:p w14:paraId="173F484E" w14:textId="4082DB22"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սույն </w:t>
      </w:r>
      <w:r w:rsidRPr="004A3E9D">
        <w:rPr>
          <w:rFonts w:ascii="Sylfaen" w:hAnsi="Sylfaen"/>
          <w:sz w:val="24"/>
          <w:szCs w:val="24"/>
        </w:rPr>
        <w:t>կետի «ա»-«դ»</w:t>
      </w:r>
      <w:r w:rsidRPr="00834D52">
        <w:rPr>
          <w:rFonts w:ascii="Sylfaen" w:hAnsi="Sylfaen"/>
          <w:sz w:val="24"/>
          <w:szCs w:val="24"/>
        </w:rPr>
        <w:t xml:space="preserve"> ենթակետերում թվարկված կլինիկական հետազոտության տվյալները պետք է ներկայացվեն դեղապատրաստուկների գրանցումն իրականացնող լիազորված մարմիններ: Լիազորված մարմինների հետ համաձայնեցմամբ </w:t>
      </w:r>
      <w:r w:rsidR="0056496B">
        <w:rPr>
          <w:rFonts w:ascii="Sylfaen" w:hAnsi="Sylfaen"/>
          <w:sz w:val="24"/>
          <w:szCs w:val="24"/>
        </w:rPr>
        <w:t>դիմումատու</w:t>
      </w:r>
      <w:r w:rsidRPr="00834D52">
        <w:rPr>
          <w:rFonts w:ascii="Sylfaen" w:hAnsi="Sylfaen"/>
          <w:sz w:val="24"/>
          <w:szCs w:val="24"/>
        </w:rPr>
        <w:t>ն իրավասու է չներկայացնելու թվարկված տեղեկությունների մի մասը: Բոլոր փաստաթղթերը պետք է ներկայացվեն անհապաղ՝ լիազորված մարմնի հարցման հիման վրա:</w:t>
      </w:r>
    </w:p>
    <w:p w14:paraId="71C58D62" w14:textId="1C6765C9"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Կլինիկական հետազոտության մասին հաշվետվության մեջ պետք է արտացոլվի հետազոտողի՝ փորձարարական ապացույցների վրա հիմնված կարծիքը սովորական պայմաններում օգտագործելու ժամանակ դեղապատրաստուկի անվտանգության, դեղապատրաստուկի տանելիության </w:t>
      </w:r>
      <w:r w:rsidR="00C54D75">
        <w:rPr>
          <w:rFonts w:ascii="Sylfaen" w:hAnsi="Sylfaen"/>
          <w:sz w:val="24"/>
          <w:szCs w:val="24"/>
        </w:rPr>
        <w:t>և</w:t>
      </w:r>
      <w:r w:rsidRPr="00834D52">
        <w:rPr>
          <w:rFonts w:ascii="Sylfaen" w:hAnsi="Sylfaen"/>
          <w:sz w:val="24"/>
          <w:szCs w:val="24"/>
        </w:rPr>
        <w:t xml:space="preserve"> արդյունավետության վերաբերյալ, տեղեկատվություն՝ կիրառման ցուցումների </w:t>
      </w:r>
      <w:r w:rsidR="00C54D75">
        <w:rPr>
          <w:rFonts w:ascii="Sylfaen" w:hAnsi="Sylfaen"/>
          <w:sz w:val="24"/>
          <w:szCs w:val="24"/>
        </w:rPr>
        <w:t>և</w:t>
      </w:r>
      <w:r w:rsidRPr="00834D52">
        <w:rPr>
          <w:rFonts w:ascii="Sylfaen" w:hAnsi="Sylfaen"/>
          <w:sz w:val="24"/>
          <w:szCs w:val="24"/>
        </w:rPr>
        <w:t xml:space="preserve"> հակացուցումների, դոզավորման ռեժիմի, թերապիայի շարունակականության, ինչպես նա</w:t>
      </w:r>
      <w:r w:rsidR="00C54D75">
        <w:rPr>
          <w:rFonts w:ascii="Sylfaen" w:hAnsi="Sylfaen"/>
          <w:sz w:val="24"/>
          <w:szCs w:val="24"/>
        </w:rPr>
        <w:t>և</w:t>
      </w:r>
      <w:r w:rsidRPr="00834D52">
        <w:rPr>
          <w:rFonts w:ascii="Sylfaen" w:hAnsi="Sylfaen"/>
          <w:sz w:val="24"/>
          <w:szCs w:val="24"/>
        </w:rPr>
        <w:t xml:space="preserve"> հատուկ նախազգուշական այն միջոցառումների վերաբերյալ, որոնք անհրաժեշտ է ձեռնարկել բուժման ժամանակ </w:t>
      </w:r>
      <w:r w:rsidR="00C54D75">
        <w:rPr>
          <w:rFonts w:ascii="Sylfaen" w:hAnsi="Sylfaen"/>
          <w:sz w:val="24"/>
          <w:szCs w:val="24"/>
        </w:rPr>
        <w:t>և</w:t>
      </w:r>
      <w:r w:rsidRPr="00834D52">
        <w:rPr>
          <w:rFonts w:ascii="Sylfaen" w:hAnsi="Sylfaen"/>
          <w:sz w:val="24"/>
          <w:szCs w:val="24"/>
        </w:rPr>
        <w:t xml:space="preserve"> գերդոզավորման կլինիկական ախտանիշների ի </w:t>
      </w:r>
      <w:r w:rsidR="00F350A1">
        <w:rPr>
          <w:rFonts w:ascii="Sylfaen" w:hAnsi="Sylfaen"/>
          <w:sz w:val="24"/>
          <w:szCs w:val="24"/>
        </w:rPr>
        <w:t>հայտ</w:t>
      </w:r>
      <w:r w:rsidRPr="00834D52">
        <w:rPr>
          <w:rFonts w:ascii="Sylfaen" w:hAnsi="Sylfaen"/>
          <w:sz w:val="24"/>
          <w:szCs w:val="24"/>
        </w:rPr>
        <w:t xml:space="preserve"> գալու դեպքում:</w:t>
      </w:r>
    </w:p>
    <w:p w14:paraId="42CDD985"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Բազմակենտրոն հետազոտության արդյունքների վերաբերյալ հաշվետվության մեջ համակարգող հետազոտողը բազմակենտրոն հետազոտության ժամանակ բոլոր կենտրոնների անունից պետք է նշի հետազոտվող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վերաբերյալ եզրակացությունը.</w:t>
      </w:r>
    </w:p>
    <w:p w14:paraId="6E1E92F6" w14:textId="77777777" w:rsidR="006F76EB" w:rsidRPr="00834D52" w:rsidRDefault="006F76EB" w:rsidP="00DC233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հետազոտության յուրաքանչյուր տեսակի մասով կլինիկական դիտարկումները պետք է ընդհանրացված բնույթ կրեն </w:t>
      </w:r>
      <w:r w:rsidR="00C54D75">
        <w:rPr>
          <w:rFonts w:ascii="Sylfaen" w:hAnsi="Sylfaen"/>
          <w:sz w:val="24"/>
          <w:szCs w:val="24"/>
        </w:rPr>
        <w:t>և</w:t>
      </w:r>
      <w:r w:rsidRPr="00834D52">
        <w:rPr>
          <w:rFonts w:ascii="Sylfaen" w:hAnsi="Sylfaen"/>
          <w:sz w:val="24"/>
          <w:szCs w:val="24"/>
        </w:rPr>
        <w:t xml:space="preserve"> ներառեն հետ</w:t>
      </w:r>
      <w:r w:rsidR="00C54D75">
        <w:rPr>
          <w:rFonts w:ascii="Sylfaen" w:hAnsi="Sylfaen"/>
          <w:sz w:val="24"/>
          <w:szCs w:val="24"/>
        </w:rPr>
        <w:t>և</w:t>
      </w:r>
      <w:r w:rsidRPr="00834D52">
        <w:rPr>
          <w:rFonts w:ascii="Sylfaen" w:hAnsi="Sylfaen"/>
          <w:sz w:val="24"/>
          <w:szCs w:val="24"/>
        </w:rPr>
        <w:t>յալ տվյալները.</w:t>
      </w:r>
    </w:p>
    <w:p w14:paraId="25F8EACB"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պատրաստուկներ ստացած սուբյեկտների թիվը </w:t>
      </w:r>
      <w:r w:rsidR="00C54D75">
        <w:rPr>
          <w:rFonts w:ascii="Sylfaen" w:hAnsi="Sylfaen"/>
          <w:sz w:val="24"/>
          <w:szCs w:val="24"/>
        </w:rPr>
        <w:t>և</w:t>
      </w:r>
      <w:r w:rsidRPr="00834D52">
        <w:rPr>
          <w:rFonts w:ascii="Sylfaen" w:hAnsi="Sylfaen"/>
          <w:sz w:val="24"/>
          <w:szCs w:val="24"/>
        </w:rPr>
        <w:t xml:space="preserve"> սեռը.</w:t>
      </w:r>
    </w:p>
    <w:p w14:paraId="5954384C"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հետազոտվող </w:t>
      </w:r>
      <w:r w:rsidR="00C54D75">
        <w:rPr>
          <w:rFonts w:ascii="Sylfaen" w:hAnsi="Sylfaen"/>
          <w:sz w:val="24"/>
          <w:szCs w:val="24"/>
        </w:rPr>
        <w:t>և</w:t>
      </w:r>
      <w:r w:rsidRPr="00834D52">
        <w:rPr>
          <w:rFonts w:ascii="Sylfaen" w:hAnsi="Sylfaen"/>
          <w:sz w:val="24"/>
          <w:szCs w:val="24"/>
        </w:rPr>
        <w:t xml:space="preserve"> ստուգիչ խմբերում պացիենտների ընտրությունը </w:t>
      </w:r>
      <w:r w:rsidR="00C54D75">
        <w:rPr>
          <w:rFonts w:ascii="Sylfaen" w:hAnsi="Sylfaen"/>
          <w:sz w:val="24"/>
          <w:szCs w:val="24"/>
        </w:rPr>
        <w:t>և</w:t>
      </w:r>
      <w:r w:rsidRPr="00834D52">
        <w:rPr>
          <w:rFonts w:ascii="Sylfaen" w:hAnsi="Sylfaen"/>
          <w:sz w:val="24"/>
          <w:szCs w:val="24"/>
        </w:rPr>
        <w:t xml:space="preserve"> ըստ տարիքի բաշխումը.</w:t>
      </w:r>
    </w:p>
    <w:p w14:paraId="0F00B18D"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հետազոտությունից վաղաժամկետ դուրս մնացած պացիենտների թիվը </w:t>
      </w:r>
      <w:r w:rsidR="00C54D75">
        <w:rPr>
          <w:rFonts w:ascii="Sylfaen" w:hAnsi="Sylfaen"/>
          <w:sz w:val="24"/>
          <w:szCs w:val="24"/>
        </w:rPr>
        <w:t>և</w:t>
      </w:r>
      <w:r w:rsidRPr="00834D52">
        <w:rPr>
          <w:rFonts w:ascii="Sylfaen" w:hAnsi="Sylfaen"/>
          <w:sz w:val="24"/>
          <w:szCs w:val="24"/>
        </w:rPr>
        <w:t xml:space="preserve"> դրա պատճառները.</w:t>
      </w:r>
    </w:p>
    <w:p w14:paraId="28A81DF4" w14:textId="51E9DC72"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մասին, թե ինչ է տեղի ունեցել ստուգիչ խմբի մասնակիցների հետ վերահսկվող հետազոտությունների՝ վերոնշյալ պայմաններում անցկացվելու դեպքում (չեն ստացել բուժում, ստացել են պլացեբո, ստացել են </w:t>
      </w:r>
      <w:r w:rsidR="005F6A31">
        <w:rPr>
          <w:rFonts w:ascii="Sylfaen" w:hAnsi="Sylfaen"/>
          <w:sz w:val="24"/>
          <w:szCs w:val="24"/>
        </w:rPr>
        <w:t>հայտնի</w:t>
      </w:r>
      <w:r w:rsidRPr="00834D52">
        <w:rPr>
          <w:rFonts w:ascii="Sylfaen" w:hAnsi="Sylfaen"/>
          <w:sz w:val="24"/>
          <w:szCs w:val="24"/>
        </w:rPr>
        <w:t xml:space="preserve"> ազդեցությամբ այլ դեղապատրաստուկ, ստացել են բուժման այլ տեսակ՝ առանց դեղապատրաստուկների կիրառման).</w:t>
      </w:r>
    </w:p>
    <w:p w14:paraId="5491E82A"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նկատվող անցանկալի ռեակցիաների հաճախականությունը.</w:t>
      </w:r>
    </w:p>
    <w:p w14:paraId="7C847AE1"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բարձր ռիսկի խմբի մեջ մտնող պացիենտների մասին տեղեկություններ (օրինակ՝ տարեց մարդիկ, երեխաներ, հղիներ կամ վերարտադրողական տարիքի կանայք կամ հիվանդներ, որոնց ֆիզիոլոգիական կամ պաթոլոգիական վիճակը հատուկ ուշադրություն է պահանջում).</w:t>
      </w:r>
    </w:p>
    <w:p w14:paraId="016B11F6"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արդյունավետության </w:t>
      </w:r>
      <w:r w:rsidR="00C54D75">
        <w:rPr>
          <w:rFonts w:ascii="Sylfaen" w:hAnsi="Sylfaen"/>
          <w:sz w:val="24"/>
          <w:szCs w:val="24"/>
        </w:rPr>
        <w:t>և</w:t>
      </w:r>
      <w:r w:rsidRPr="00834D52">
        <w:rPr>
          <w:rFonts w:ascii="Sylfaen" w:hAnsi="Sylfaen"/>
          <w:sz w:val="24"/>
          <w:szCs w:val="24"/>
        </w:rPr>
        <w:t xml:space="preserve"> ստացված արդյունքների պարամետրերը կամ գնահատման չափանիշները.</w:t>
      </w:r>
    </w:p>
    <w:p w14:paraId="039CC68A"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արդյունքների վիճակագրական գնահատումը, եթե դա պահանջվում է հետազոտության բովանդակային պլանով, </w:t>
      </w:r>
      <w:r w:rsidR="00C54D75">
        <w:rPr>
          <w:rFonts w:ascii="Sylfaen" w:hAnsi="Sylfaen"/>
          <w:sz w:val="24"/>
          <w:szCs w:val="24"/>
        </w:rPr>
        <w:t>և</w:t>
      </w:r>
      <w:r w:rsidRPr="00834D52">
        <w:rPr>
          <w:rFonts w:ascii="Sylfaen" w:hAnsi="Sylfaen"/>
          <w:sz w:val="24"/>
          <w:szCs w:val="24"/>
        </w:rPr>
        <w:t xml:space="preserve"> տարբեր ազդող գործոններ.</w:t>
      </w:r>
    </w:p>
    <w:p w14:paraId="30794A24" w14:textId="77777777" w:rsidR="006F76EB" w:rsidRPr="00834D52" w:rsidRDefault="006F76EB" w:rsidP="00DC233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գրանցման դոսյեում պետք է արտացոլվի հետազոտողի դիտարկումների մասին տեղեկատվությունը, որը վերաբերում է՝</w:t>
      </w:r>
    </w:p>
    <w:p w14:paraId="381E1A48"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դադարեցման ժամանակ պացիենտի մոտ առաջացող ընտելանալու, կախվածության կամ դժվարությունների ցանկացած հատկանիշի.</w:t>
      </w:r>
    </w:p>
    <w:p w14:paraId="75E3167B"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այլ դեղապատրաստուկի հետ միաժամանակ ներմուծելիս տեղի ունեցող ցանկացած փոխազդեցության.</w:t>
      </w:r>
    </w:p>
    <w:p w14:paraId="23E2586F"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որոշ պացիենտների հետազոտությունից բացառելու անհրաժեշտությունը սահմանող չափանիշներին.</w:t>
      </w:r>
    </w:p>
    <w:p w14:paraId="3D675598"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հետազոտության ժամանակ կամ հետագա հսկողության ընթացքում արձանագրված մահվան դեպքերին.</w:t>
      </w:r>
    </w:p>
    <w:p w14:paraId="404B75B2" w14:textId="77777777" w:rsidR="006F76EB" w:rsidRPr="00834D52" w:rsidRDefault="006F76EB" w:rsidP="00D5540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ը)</w:t>
      </w:r>
      <w:r w:rsidRPr="00834D52">
        <w:rPr>
          <w:rFonts w:ascii="Sylfaen" w:hAnsi="Sylfaen"/>
          <w:sz w:val="24"/>
          <w:szCs w:val="24"/>
        </w:rPr>
        <w:tab/>
        <w:t>ակտիվ նյութերի նոր համակցության մասին տեղեկատվությունը պետք</w:t>
      </w:r>
      <w:r w:rsidR="00DC233B" w:rsidRPr="00D55404">
        <w:rPr>
          <w:rFonts w:ascii="Sylfaen" w:hAnsi="Sylfaen"/>
          <w:sz w:val="24"/>
          <w:szCs w:val="24"/>
        </w:rPr>
        <w:t> </w:t>
      </w:r>
      <w:r w:rsidRPr="00834D52">
        <w:rPr>
          <w:rFonts w:ascii="Sylfaen" w:hAnsi="Sylfaen"/>
          <w:sz w:val="24"/>
          <w:szCs w:val="24"/>
        </w:rPr>
        <w:t xml:space="preserve">է նույնական լինի նոր դեղապատրաստուկի մասին տվյալներին, գրանցման դոսյեում անհրաժեշտ է ներառել համակցության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հիմնավորումը.</w:t>
      </w:r>
    </w:p>
    <w:p w14:paraId="29EF0076" w14:textId="77777777" w:rsidR="006F76EB" w:rsidRPr="00834D52" w:rsidRDefault="006F76EB" w:rsidP="00DC233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w:t>
      </w:r>
      <w:r w:rsidRPr="00834D52">
        <w:rPr>
          <w:rFonts w:ascii="Sylfaen" w:hAnsi="Sylfaen"/>
          <w:sz w:val="24"/>
          <w:szCs w:val="24"/>
        </w:rPr>
        <w:tab/>
        <w:t>դեղապատրաստուկի գրանցման դոսյեում սույն կետի «ա» — «ը» ենթակետերում թվարկված տվյալների ամբողջական կամ մասնակի բացակայության դեպքում անհրաժեշտ է ներկայացնել տվյալների բացակայության պատճառի բացատրություն:</w:t>
      </w:r>
    </w:p>
    <w:p w14:paraId="50F17DB1"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Եթե կլինիկական հետազոտությունների անցկացման ժամանակ ստացվել են անսպասելի արդյունքներ, անհրաժեշտ է անցկացնել լրացուցիչ նախակլինիկական թունաբանական </w:t>
      </w:r>
      <w:r w:rsidR="00C54D75">
        <w:rPr>
          <w:rFonts w:ascii="Sylfaen" w:hAnsi="Sylfaen"/>
          <w:sz w:val="24"/>
          <w:szCs w:val="24"/>
        </w:rPr>
        <w:t>և</w:t>
      </w:r>
      <w:r w:rsidRPr="00834D52">
        <w:rPr>
          <w:rFonts w:ascii="Sylfaen" w:hAnsi="Sylfaen"/>
          <w:sz w:val="24"/>
          <w:szCs w:val="24"/>
        </w:rPr>
        <w:t xml:space="preserve"> դեղաբանական հետազոտություններ </w:t>
      </w:r>
      <w:r w:rsidR="00C54D75">
        <w:rPr>
          <w:rFonts w:ascii="Sylfaen" w:hAnsi="Sylfaen"/>
          <w:sz w:val="24"/>
          <w:szCs w:val="24"/>
        </w:rPr>
        <w:t>և</w:t>
      </w:r>
      <w:r w:rsidRPr="00834D52">
        <w:rPr>
          <w:rFonts w:ascii="Sylfaen" w:hAnsi="Sylfaen"/>
          <w:sz w:val="24"/>
          <w:szCs w:val="24"/>
        </w:rPr>
        <w:t xml:space="preserve"> ամփոփել ստացված արդյունքները.</w:t>
      </w:r>
    </w:p>
    <w:p w14:paraId="5B6FCC6F" w14:textId="77777777" w:rsidR="006F76EB" w:rsidRPr="00834D52" w:rsidRDefault="006F76EB" w:rsidP="00DC233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ժ)</w:t>
      </w:r>
      <w:r w:rsidRPr="00834D52">
        <w:rPr>
          <w:rFonts w:ascii="Sylfaen" w:hAnsi="Sylfaen"/>
          <w:sz w:val="24"/>
          <w:szCs w:val="24"/>
        </w:rPr>
        <w:tab/>
        <w:t>եթե դեղապատրաստուկը նախատեսված է երկարատ</w:t>
      </w:r>
      <w:r w:rsidR="00C54D75">
        <w:rPr>
          <w:rFonts w:ascii="Sylfaen" w:hAnsi="Sylfaen"/>
          <w:sz w:val="24"/>
          <w:szCs w:val="24"/>
        </w:rPr>
        <w:t>և</w:t>
      </w:r>
      <w:r w:rsidRPr="00834D52">
        <w:rPr>
          <w:rFonts w:ascii="Sylfaen" w:hAnsi="Sylfaen"/>
          <w:sz w:val="24"/>
          <w:szCs w:val="24"/>
        </w:rPr>
        <w:t xml:space="preserve"> օգտագործման համար, դեղապատրաստուկի գրանցման դոսյեում անհրաժեշտ է ներկայացնել դեղաբանական ազդեցության փոփոխությունների նկարագրությունը դեղապատրաստուկի բազմանգամյա օգտագործման արդյունքում, ինչպես նա</w:t>
      </w:r>
      <w:r w:rsidR="00C54D75">
        <w:rPr>
          <w:rFonts w:ascii="Sylfaen" w:hAnsi="Sylfaen"/>
          <w:sz w:val="24"/>
          <w:szCs w:val="24"/>
        </w:rPr>
        <w:t>և</w:t>
      </w:r>
      <w:r w:rsidRPr="00834D52">
        <w:rPr>
          <w:rFonts w:ascii="Sylfaen" w:hAnsi="Sylfaen"/>
          <w:sz w:val="24"/>
          <w:szCs w:val="24"/>
        </w:rPr>
        <w:t xml:space="preserve"> անհրաժեշտ է հիմնավորել երկարատ</w:t>
      </w:r>
      <w:r w:rsidR="00C54D75">
        <w:rPr>
          <w:rFonts w:ascii="Sylfaen" w:hAnsi="Sylfaen"/>
          <w:sz w:val="24"/>
          <w:szCs w:val="24"/>
        </w:rPr>
        <w:t>և</w:t>
      </w:r>
      <w:r w:rsidRPr="00834D52">
        <w:rPr>
          <w:rFonts w:ascii="Sylfaen" w:hAnsi="Sylfaen"/>
          <w:sz w:val="24"/>
          <w:szCs w:val="24"/>
        </w:rPr>
        <w:t xml:space="preserve"> օգտագործման համար դոզավորման ընտրությունը:</w:t>
      </w:r>
    </w:p>
    <w:p w14:paraId="6B02B60F" w14:textId="77777777" w:rsidR="006F76EB" w:rsidRPr="00834D52" w:rsidRDefault="006F76EB" w:rsidP="00D55404">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Հաշվետվություններ՝ կլինիկական հետազոտությունների (փորձարկումների) մասին:</w:t>
      </w:r>
    </w:p>
    <w:p w14:paraId="620F4154" w14:textId="77777777" w:rsidR="006F76EB" w:rsidRPr="00834D52" w:rsidRDefault="006F76EB" w:rsidP="00DC233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5.3.1.</w:t>
      </w:r>
      <w:r w:rsidRPr="00834D52">
        <w:rPr>
          <w:rFonts w:ascii="Sylfaen" w:hAnsi="Sylfaen"/>
          <w:sz w:val="24"/>
          <w:szCs w:val="24"/>
        </w:rPr>
        <w:tab/>
        <w:t>Հաշվետվություններ՝ կենսադեղագործական հետազոտությունների մասին:</w:t>
      </w:r>
    </w:p>
    <w:p w14:paraId="7E4A124C"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դոսյեի կազմում անհրաժեշտ է ներառել հաշվետվություններ՝ կենսամատչելիության, համեմատական կենսամատչելիության, կենսահամարժեքության, in vitro</w:t>
      </w:r>
      <w:r w:rsidRPr="008341C7">
        <w:rPr>
          <w:rFonts w:ascii="Sylfaen" w:hAnsi="Sylfaen"/>
          <w:sz w:val="24"/>
          <w:szCs w:val="24"/>
        </w:rPr>
        <w:t>-</w:t>
      </w:r>
      <w:r w:rsidRPr="00834D52">
        <w:rPr>
          <w:rFonts w:ascii="Sylfaen" w:hAnsi="Sylfaen"/>
          <w:sz w:val="24"/>
          <w:szCs w:val="24"/>
        </w:rPr>
        <w:t xml:space="preserve">in vivo համահարաբերակցության հետազոտության մասին, </w:t>
      </w:r>
      <w:r w:rsidR="00C54D75">
        <w:rPr>
          <w:rFonts w:ascii="Sylfaen" w:hAnsi="Sylfaen"/>
          <w:sz w:val="24"/>
          <w:szCs w:val="24"/>
        </w:rPr>
        <w:t>և</w:t>
      </w:r>
      <w:r w:rsidRPr="00834D52">
        <w:rPr>
          <w:rFonts w:ascii="Sylfaen" w:hAnsi="Sylfaen"/>
          <w:sz w:val="24"/>
          <w:szCs w:val="24"/>
        </w:rPr>
        <w:t xml:space="preserve"> կենսավերլուծական </w:t>
      </w:r>
      <w:r w:rsidR="00C54D75">
        <w:rPr>
          <w:rFonts w:ascii="Sylfaen" w:hAnsi="Sylfaen"/>
          <w:sz w:val="24"/>
          <w:szCs w:val="24"/>
        </w:rPr>
        <w:t>և</w:t>
      </w:r>
      <w:r w:rsidRPr="00834D52">
        <w:rPr>
          <w:rFonts w:ascii="Sylfaen" w:hAnsi="Sylfaen"/>
          <w:sz w:val="24"/>
          <w:szCs w:val="24"/>
        </w:rPr>
        <w:t xml:space="preserve"> վերլուծական մեթոդիկաների նկարագրությունը: Դեղագործական պատրաստուկների կենսահամարժեքությունը ցուցադրելու անհրաժեշտության դեպքում պետք է նշվեն տեղեկություններ՝ դրանց համեմատական կենսամատչելիության անցկացված գնահատման մասին:</w:t>
      </w:r>
    </w:p>
    <w:p w14:paraId="7AACE531" w14:textId="636E2CAD" w:rsidR="006F76EB" w:rsidRPr="00834D52" w:rsidRDefault="006F76EB" w:rsidP="001637C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Բիովեյվեր</w:t>
      </w:r>
      <w:r w:rsidR="004553AB">
        <w:rPr>
          <w:rFonts w:ascii="Sylfaen" w:hAnsi="Sylfaen"/>
          <w:sz w:val="24"/>
          <w:szCs w:val="24"/>
        </w:rPr>
        <w:t xml:space="preserve">ի </w:t>
      </w:r>
      <w:r w:rsidRPr="00834D52">
        <w:rPr>
          <w:rFonts w:ascii="Sylfaen" w:hAnsi="Sylfaen"/>
          <w:sz w:val="24"/>
          <w:szCs w:val="24"/>
        </w:rPr>
        <w:t xml:space="preserve">դեպքում դեղապատրաստուկի գրանցման դոսյեում անհրաժեշտ է ներկայացնել հաշվետվություն՝ in vitro հետազոտությունների անցկացման մասին: Կենսահամարժեքության հետազոտությունների անցկացումը </w:t>
      </w:r>
      <w:r w:rsidR="00C54D75">
        <w:rPr>
          <w:rFonts w:ascii="Sylfaen" w:hAnsi="Sylfaen"/>
          <w:sz w:val="24"/>
          <w:szCs w:val="24"/>
        </w:rPr>
        <w:t>և</w:t>
      </w:r>
      <w:r w:rsidRPr="00834D52">
        <w:rPr>
          <w:rFonts w:ascii="Sylfaen" w:hAnsi="Sylfaen"/>
          <w:sz w:val="24"/>
          <w:szCs w:val="24"/>
        </w:rPr>
        <w:t xml:space="preserve"> գնահատումը կամ կենսահամարժեքության հետազոտություններ չանցկացնելու հիմնավորումը պետք է ներկայացվեն Հանձնաժողովի կողմից հաստատված՝ Եվրասիական տնտեսական </w:t>
      </w:r>
      <w:r w:rsidRPr="00834D52">
        <w:rPr>
          <w:rFonts w:ascii="Sylfaen" w:hAnsi="Sylfaen"/>
          <w:sz w:val="24"/>
          <w:szCs w:val="24"/>
        </w:rPr>
        <w:lastRenderedPageBreak/>
        <w:t>միության շրջանակներում դեղապատրաստուկների կենսահամարժեքության հետազոտությունների անցկացման կանոնների պահանջներին համապատասխան:</w:t>
      </w:r>
    </w:p>
    <w:p w14:paraId="55E1851B"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5.3.2.</w:t>
      </w:r>
      <w:r w:rsidRPr="00834D52">
        <w:rPr>
          <w:rFonts w:ascii="Sylfaen" w:hAnsi="Sylfaen"/>
          <w:sz w:val="24"/>
          <w:szCs w:val="24"/>
        </w:rPr>
        <w:tab/>
        <w:t xml:space="preserve">Հաշվետվություններ՝ մարդու կենսանյութերի օգտագործմամբ </w:t>
      </w:r>
      <w:r w:rsidR="00355C33">
        <w:rPr>
          <w:rFonts w:ascii="Sylfaen" w:hAnsi="Sylfaen"/>
          <w:sz w:val="24"/>
          <w:szCs w:val="24"/>
        </w:rPr>
        <w:t>դեղա</w:t>
      </w:r>
      <w:r w:rsidRPr="00834D52">
        <w:rPr>
          <w:rFonts w:ascii="Sylfaen" w:hAnsi="Sylfaen"/>
          <w:sz w:val="24"/>
          <w:szCs w:val="24"/>
        </w:rPr>
        <w:t>կինետիկ հետազոտությունների վերաբերյալ:</w:t>
      </w:r>
    </w:p>
    <w:p w14:paraId="47BC43D6" w14:textId="77777777" w:rsidR="006F76EB" w:rsidRPr="00834D52" w:rsidRDefault="006F76EB" w:rsidP="005E478F">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Մարդուց ստացված կենսանյութերի շարքին են պատկանում մարդուց ստացված սպիտակուցները, բջիջները, հյուսվածքները </w:t>
      </w:r>
      <w:r w:rsidR="00C54D75">
        <w:rPr>
          <w:rFonts w:ascii="Sylfaen" w:hAnsi="Sylfaen"/>
          <w:sz w:val="24"/>
          <w:szCs w:val="24"/>
        </w:rPr>
        <w:t>և</w:t>
      </w:r>
      <w:r w:rsidRPr="00834D52">
        <w:rPr>
          <w:rFonts w:ascii="Sylfaen" w:hAnsi="Sylfaen"/>
          <w:sz w:val="24"/>
          <w:szCs w:val="24"/>
        </w:rPr>
        <w:t xml:space="preserve"> դրանց հետ կապված նյութերը, որոնք օգտագործվում են in vitro կամ in vivo հետազոտությունների անցկացման ժամանակ ակտիվ նյութերի </w:t>
      </w:r>
      <w:r w:rsidR="00355C33">
        <w:rPr>
          <w:rFonts w:ascii="Sylfaen" w:hAnsi="Sylfaen"/>
          <w:sz w:val="24"/>
          <w:szCs w:val="24"/>
        </w:rPr>
        <w:t>դեղա</w:t>
      </w:r>
      <w:r w:rsidRPr="00834D52">
        <w:rPr>
          <w:rFonts w:ascii="Sylfaen" w:hAnsi="Sylfaen"/>
          <w:sz w:val="24"/>
          <w:szCs w:val="24"/>
        </w:rPr>
        <w:t xml:space="preserve">կինետիկ հատկությունների գնահատման համար: Դեղապատրաստուկի գրանցման դոսյեում անհրաժեշտ է պլազմայի սպիտակուցների հետ ակտիվ նյութի կապման, լյարդում նյութափոխանակության </w:t>
      </w:r>
      <w:r w:rsidR="00C54D75">
        <w:rPr>
          <w:rFonts w:ascii="Sylfaen" w:hAnsi="Sylfaen"/>
          <w:sz w:val="24"/>
          <w:szCs w:val="24"/>
        </w:rPr>
        <w:t>և</w:t>
      </w:r>
      <w:r w:rsidRPr="00834D52">
        <w:rPr>
          <w:rFonts w:ascii="Sylfaen" w:hAnsi="Sylfaen"/>
          <w:sz w:val="24"/>
          <w:szCs w:val="24"/>
        </w:rPr>
        <w:t xml:space="preserve"> ակտիվ նյութի փոխազդեցության հետազոտության, ինչպես նա</w:t>
      </w:r>
      <w:r w:rsidR="00C54D75">
        <w:rPr>
          <w:rFonts w:ascii="Sylfaen" w:hAnsi="Sylfaen"/>
          <w:sz w:val="24"/>
          <w:szCs w:val="24"/>
        </w:rPr>
        <w:t>և</w:t>
      </w:r>
      <w:r w:rsidRPr="00834D52">
        <w:rPr>
          <w:rFonts w:ascii="Sylfaen" w:hAnsi="Sylfaen"/>
          <w:sz w:val="24"/>
          <w:szCs w:val="24"/>
        </w:rPr>
        <w:t xml:space="preserve"> մարդուց ստացված այլ կենսանյութերի օգտագործմամբ հետազոտության մասին հաշվետվություններ ներկայացնել:</w:t>
      </w:r>
    </w:p>
    <w:p w14:paraId="1C833938"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5.3.3.</w:t>
      </w:r>
      <w:r w:rsidRPr="00834D52">
        <w:rPr>
          <w:rFonts w:ascii="Sylfaen" w:hAnsi="Sylfaen"/>
          <w:sz w:val="24"/>
          <w:szCs w:val="24"/>
        </w:rPr>
        <w:tab/>
        <w:t xml:space="preserve">Հաշվետվություններ՝ մարդու մոտ </w:t>
      </w:r>
      <w:r w:rsidR="00355C33">
        <w:rPr>
          <w:rFonts w:ascii="Sylfaen" w:hAnsi="Sylfaen"/>
          <w:sz w:val="24"/>
          <w:szCs w:val="24"/>
        </w:rPr>
        <w:t>դեղա</w:t>
      </w:r>
      <w:r w:rsidRPr="00834D52">
        <w:rPr>
          <w:rFonts w:ascii="Sylfaen" w:hAnsi="Sylfaen"/>
          <w:sz w:val="24"/>
          <w:szCs w:val="24"/>
        </w:rPr>
        <w:t>կինետիկ հետազոտությունների վերաբերյալ.</w:t>
      </w:r>
    </w:p>
    <w:p w14:paraId="7136CFF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դոսյեում անհրաժեշտ է նկարագրել հետ</w:t>
      </w:r>
      <w:r w:rsidR="00C54D75">
        <w:rPr>
          <w:rFonts w:ascii="Sylfaen" w:hAnsi="Sylfaen"/>
          <w:sz w:val="24"/>
          <w:szCs w:val="24"/>
        </w:rPr>
        <w:t>և</w:t>
      </w:r>
      <w:r w:rsidRPr="00834D52">
        <w:rPr>
          <w:rFonts w:ascii="Sylfaen" w:hAnsi="Sylfaen"/>
          <w:sz w:val="24"/>
          <w:szCs w:val="24"/>
        </w:rPr>
        <w:t xml:space="preserve">յալ </w:t>
      </w:r>
      <w:r w:rsidR="00355C33">
        <w:rPr>
          <w:rFonts w:ascii="Sylfaen" w:hAnsi="Sylfaen"/>
          <w:sz w:val="24"/>
          <w:szCs w:val="24"/>
        </w:rPr>
        <w:t>դեղա</w:t>
      </w:r>
      <w:r w:rsidRPr="00834D52">
        <w:rPr>
          <w:rFonts w:ascii="Sylfaen" w:hAnsi="Sylfaen"/>
          <w:sz w:val="24"/>
          <w:szCs w:val="24"/>
        </w:rPr>
        <w:t>կինետիկ բնութագրերը.</w:t>
      </w:r>
    </w:p>
    <w:p w14:paraId="5ED5208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կլանում (արագության </w:t>
      </w:r>
      <w:r w:rsidR="00C54D75">
        <w:rPr>
          <w:rFonts w:ascii="Sylfaen" w:hAnsi="Sylfaen"/>
          <w:sz w:val="24"/>
          <w:szCs w:val="24"/>
        </w:rPr>
        <w:t>և</w:t>
      </w:r>
      <w:r w:rsidRPr="00834D52">
        <w:rPr>
          <w:rFonts w:ascii="Sylfaen" w:hAnsi="Sylfaen"/>
          <w:sz w:val="24"/>
          <w:szCs w:val="24"/>
        </w:rPr>
        <w:t xml:space="preserve"> աստիճանի նշումով).</w:t>
      </w:r>
    </w:p>
    <w:p w14:paraId="314DC72A"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բաշխում.</w:t>
      </w:r>
    </w:p>
    <w:p w14:paraId="0FDE7439"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նյութափոխանակություն.</w:t>
      </w:r>
    </w:p>
    <w:p w14:paraId="641D59A4"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դուրսբերում:</w:t>
      </w:r>
    </w:p>
    <w:p w14:paraId="5504C57D" w14:textId="77777777" w:rsidR="006F76EB" w:rsidRPr="00834D52" w:rsidRDefault="006F76EB" w:rsidP="005E478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կլինիկապես կար</w:t>
      </w:r>
      <w:r w:rsidR="00C54D75">
        <w:rPr>
          <w:rFonts w:ascii="Sylfaen" w:hAnsi="Sylfaen"/>
          <w:sz w:val="24"/>
          <w:szCs w:val="24"/>
        </w:rPr>
        <w:t>և</w:t>
      </w:r>
      <w:r w:rsidRPr="00834D52">
        <w:rPr>
          <w:rFonts w:ascii="Sylfaen" w:hAnsi="Sylfaen"/>
          <w:sz w:val="24"/>
          <w:szCs w:val="24"/>
        </w:rPr>
        <w:t xml:space="preserve">որ բնութագրերի (ներառյալ կինետիկ տվյալների նշանակությունը ռիսկի խմբերից պացիենտների համար դեղապատրաստուկի դոզավորման ռեժիմը որոշելու ժամանակ) </w:t>
      </w:r>
      <w:r w:rsidR="00C54D75">
        <w:rPr>
          <w:rFonts w:ascii="Sylfaen" w:hAnsi="Sylfaen"/>
          <w:sz w:val="24"/>
          <w:szCs w:val="24"/>
        </w:rPr>
        <w:t>և</w:t>
      </w:r>
      <w:r w:rsidRPr="00834D52">
        <w:rPr>
          <w:rFonts w:ascii="Sylfaen" w:hAnsi="Sylfaen"/>
          <w:sz w:val="24"/>
          <w:szCs w:val="24"/>
        </w:rPr>
        <w:t xml:space="preserve"> նախակլինիկական հետազոտությունների անցկացման ժամանակ օգտագործված </w:t>
      </w:r>
      <w:r w:rsidRPr="00834D52">
        <w:rPr>
          <w:rFonts w:ascii="Sylfaen" w:hAnsi="Sylfaen"/>
          <w:sz w:val="24"/>
          <w:szCs w:val="24"/>
        </w:rPr>
        <w:lastRenderedPageBreak/>
        <w:t xml:space="preserve">մարդու </w:t>
      </w:r>
      <w:r w:rsidR="00C54D75">
        <w:rPr>
          <w:rFonts w:ascii="Sylfaen" w:hAnsi="Sylfaen"/>
          <w:sz w:val="24"/>
          <w:szCs w:val="24"/>
        </w:rPr>
        <w:t>և</w:t>
      </w:r>
      <w:r w:rsidRPr="00834D52">
        <w:rPr>
          <w:rFonts w:ascii="Sylfaen" w:hAnsi="Sylfaen"/>
          <w:sz w:val="24"/>
          <w:szCs w:val="24"/>
        </w:rPr>
        <w:t xml:space="preserve"> կենդանիների տեսակների միջ</w:t>
      </w:r>
      <w:r w:rsidR="00C54D75">
        <w:rPr>
          <w:rFonts w:ascii="Sylfaen" w:hAnsi="Sylfaen"/>
          <w:sz w:val="24"/>
          <w:szCs w:val="24"/>
        </w:rPr>
        <w:t>և</w:t>
      </w:r>
      <w:r w:rsidRPr="00834D52">
        <w:rPr>
          <w:rFonts w:ascii="Sylfaen" w:hAnsi="Sylfaen"/>
          <w:sz w:val="24"/>
          <w:szCs w:val="24"/>
        </w:rPr>
        <w:t xml:space="preserve"> տարբերությունների նկարագրությունը:</w:t>
      </w:r>
    </w:p>
    <w:p w14:paraId="33192F3E"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բացի կլինիկական հետազոտությունների ժամանակ փորձանմուշների պատահական ընտրության վրա հիմնված պոպուլյացիոն </w:t>
      </w:r>
      <w:r w:rsidR="00355C33">
        <w:rPr>
          <w:rFonts w:ascii="Sylfaen" w:hAnsi="Sylfaen"/>
          <w:sz w:val="24"/>
          <w:szCs w:val="24"/>
        </w:rPr>
        <w:t>դեղա</w:t>
      </w:r>
      <w:r w:rsidRPr="00834D52">
        <w:rPr>
          <w:rFonts w:ascii="Sylfaen" w:hAnsi="Sylfaen"/>
          <w:sz w:val="24"/>
          <w:szCs w:val="24"/>
        </w:rPr>
        <w:t xml:space="preserve">կինետիկայի վերլուծության դեպքում զգալի քանակությամբ փորձանմուշների օգտագործմամբ ստանդարտ </w:t>
      </w:r>
      <w:r w:rsidR="00355C33">
        <w:rPr>
          <w:rFonts w:ascii="Sylfaen" w:hAnsi="Sylfaen"/>
          <w:sz w:val="24"/>
          <w:szCs w:val="24"/>
        </w:rPr>
        <w:t>դեղա</w:t>
      </w:r>
      <w:r w:rsidRPr="00834D52">
        <w:rPr>
          <w:rFonts w:ascii="Sylfaen" w:hAnsi="Sylfaen"/>
          <w:sz w:val="24"/>
          <w:szCs w:val="24"/>
        </w:rPr>
        <w:t xml:space="preserve">կինետիկ հետազոտությունների մասին տեղեկությունների, կարող է տեղեկատվություն բերվել դեղաչափի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պարամետրերի (ռեակցիայի) արժեքների միջ</w:t>
      </w:r>
      <w:r w:rsidR="00C54D75">
        <w:rPr>
          <w:rFonts w:ascii="Sylfaen" w:hAnsi="Sylfaen"/>
          <w:sz w:val="24"/>
          <w:szCs w:val="24"/>
        </w:rPr>
        <w:t>և</w:t>
      </w:r>
      <w:r w:rsidRPr="00834D52">
        <w:rPr>
          <w:rFonts w:ascii="Sylfaen" w:hAnsi="Sylfaen"/>
          <w:sz w:val="24"/>
          <w:szCs w:val="24"/>
        </w:rPr>
        <w:t xml:space="preserve"> փոխադարձ կապի փոփոխականության վրա ներքին </w:t>
      </w:r>
      <w:r w:rsidR="00C54D75">
        <w:rPr>
          <w:rFonts w:ascii="Sylfaen" w:hAnsi="Sylfaen"/>
          <w:sz w:val="24"/>
          <w:szCs w:val="24"/>
        </w:rPr>
        <w:t>և</w:t>
      </w:r>
      <w:r w:rsidRPr="00834D52">
        <w:rPr>
          <w:rFonts w:ascii="Sylfaen" w:hAnsi="Sylfaen"/>
          <w:sz w:val="24"/>
          <w:szCs w:val="24"/>
        </w:rPr>
        <w:t xml:space="preserve"> արտաքին գործոնների ազդեցության մասին:</w:t>
      </w:r>
    </w:p>
    <w:p w14:paraId="6836276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հաշվետվություններ՝ </w:t>
      </w:r>
      <w:r w:rsidR="00355C33">
        <w:rPr>
          <w:rFonts w:ascii="Sylfaen" w:hAnsi="Sylfaen"/>
          <w:sz w:val="24"/>
          <w:szCs w:val="24"/>
        </w:rPr>
        <w:t>դեղա</w:t>
      </w:r>
      <w:r w:rsidRPr="00834D52">
        <w:rPr>
          <w:rFonts w:ascii="Sylfaen" w:hAnsi="Sylfaen"/>
          <w:sz w:val="24"/>
          <w:szCs w:val="24"/>
        </w:rPr>
        <w:t xml:space="preserve">կինետիկայի հետազոտությունների </w:t>
      </w:r>
      <w:r w:rsidR="00C54D75">
        <w:rPr>
          <w:rFonts w:ascii="Sylfaen" w:hAnsi="Sylfaen"/>
          <w:sz w:val="24"/>
          <w:szCs w:val="24"/>
        </w:rPr>
        <w:t>և</w:t>
      </w:r>
      <w:r w:rsidRPr="00834D52">
        <w:rPr>
          <w:rFonts w:ascii="Sylfaen" w:hAnsi="Sylfaen"/>
          <w:sz w:val="24"/>
          <w:szCs w:val="24"/>
        </w:rPr>
        <w:t xml:space="preserve"> առողջ կամավորների </w:t>
      </w:r>
      <w:r w:rsidR="00C54D75">
        <w:rPr>
          <w:rFonts w:ascii="Sylfaen" w:hAnsi="Sylfaen"/>
          <w:sz w:val="24"/>
          <w:szCs w:val="24"/>
        </w:rPr>
        <w:t>և</w:t>
      </w:r>
      <w:r w:rsidRPr="00834D52">
        <w:rPr>
          <w:rFonts w:ascii="Sylfaen" w:hAnsi="Sylfaen"/>
          <w:sz w:val="24"/>
          <w:szCs w:val="24"/>
        </w:rPr>
        <w:t xml:space="preserve"> պացիենտների կողմից դեղապատրաստուկի տանելիության առաջին հետազոտությունների մասին, հաշվետվություններ՝ ներքին </w:t>
      </w:r>
      <w:r w:rsidR="00C54D75">
        <w:rPr>
          <w:rFonts w:ascii="Sylfaen" w:hAnsi="Sylfaen"/>
          <w:sz w:val="24"/>
          <w:szCs w:val="24"/>
        </w:rPr>
        <w:t>և</w:t>
      </w:r>
      <w:r w:rsidRPr="00834D52">
        <w:rPr>
          <w:rFonts w:ascii="Sylfaen" w:hAnsi="Sylfaen"/>
          <w:sz w:val="24"/>
          <w:szCs w:val="24"/>
        </w:rPr>
        <w:t xml:space="preserve"> արտաքին գործոնների ազդեցության գնահատման նպատակով </w:t>
      </w:r>
      <w:r w:rsidR="00355C33">
        <w:rPr>
          <w:rFonts w:ascii="Sylfaen" w:hAnsi="Sylfaen"/>
          <w:sz w:val="24"/>
          <w:szCs w:val="24"/>
        </w:rPr>
        <w:t>դեղա</w:t>
      </w:r>
      <w:r w:rsidRPr="00834D52">
        <w:rPr>
          <w:rFonts w:ascii="Sylfaen" w:hAnsi="Sylfaen"/>
          <w:sz w:val="24"/>
          <w:szCs w:val="24"/>
        </w:rPr>
        <w:t>կինետիկայի ուսումնասիրության մասին, ինչպես նա</w:t>
      </w:r>
      <w:r w:rsidR="00C54D75">
        <w:rPr>
          <w:rFonts w:ascii="Sylfaen" w:hAnsi="Sylfaen"/>
          <w:sz w:val="24"/>
          <w:szCs w:val="24"/>
        </w:rPr>
        <w:t>և</w:t>
      </w:r>
      <w:r w:rsidRPr="00834D52">
        <w:rPr>
          <w:rFonts w:ascii="Sylfaen" w:hAnsi="Sylfaen"/>
          <w:sz w:val="24"/>
          <w:szCs w:val="24"/>
        </w:rPr>
        <w:t xml:space="preserve"> հաշվետվություններ՝ պոպուլյացիոն </w:t>
      </w:r>
      <w:r w:rsidR="00355C33">
        <w:rPr>
          <w:rFonts w:ascii="Sylfaen" w:hAnsi="Sylfaen"/>
          <w:sz w:val="24"/>
          <w:szCs w:val="24"/>
        </w:rPr>
        <w:t>դեղա</w:t>
      </w:r>
      <w:r w:rsidRPr="00834D52">
        <w:rPr>
          <w:rFonts w:ascii="Sylfaen" w:hAnsi="Sylfaen"/>
          <w:sz w:val="24"/>
          <w:szCs w:val="24"/>
        </w:rPr>
        <w:t>կինետիկայի մասին.</w:t>
      </w:r>
    </w:p>
    <w:p w14:paraId="00927802"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դեղապատրաստուկը կիրառվում է այլ դեղապատրաստուկների հետ միասին, դեղապատրաստուկի գրանցման դոսյեում պետք է ներկայացված լինի դրանց միաժամանակյա կիրառման հետազոտության նկարագրությունը, որն անցկացվել է դեղաբանական ազդեցության հնարավոր փոփոխությունը ցուցադրելու համար: Անհրաժեշտ է ներկայացնել տեղեկատվություն՝ այլ դեղապատրաստուկների կամ նյութերի հետ ակտիվ նյութի </w:t>
      </w:r>
      <w:r w:rsidR="00355C33">
        <w:rPr>
          <w:rFonts w:ascii="Sylfaen" w:hAnsi="Sylfaen"/>
          <w:sz w:val="24"/>
          <w:szCs w:val="24"/>
        </w:rPr>
        <w:t>դեղա</w:t>
      </w:r>
      <w:r w:rsidRPr="00834D52">
        <w:rPr>
          <w:rFonts w:ascii="Sylfaen" w:hAnsi="Sylfaen"/>
          <w:sz w:val="24"/>
          <w:szCs w:val="24"/>
        </w:rPr>
        <w:t>կինետիկ փոխազդեցության ուսումնասիրության վերաբերյալ:</w:t>
      </w:r>
    </w:p>
    <w:p w14:paraId="0E12932F"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5.3.4.</w:t>
      </w:r>
      <w:r w:rsidRPr="00834D52">
        <w:rPr>
          <w:rFonts w:ascii="Sylfaen" w:hAnsi="Sylfaen"/>
          <w:sz w:val="24"/>
          <w:szCs w:val="24"/>
        </w:rPr>
        <w:tab/>
        <w:t xml:space="preserve">Հաշվետվություններ՝ մարդու մոտ </w:t>
      </w:r>
      <w:r w:rsidR="00355C33">
        <w:rPr>
          <w:rFonts w:ascii="Sylfaen" w:hAnsi="Sylfaen"/>
          <w:sz w:val="24"/>
          <w:szCs w:val="24"/>
        </w:rPr>
        <w:t>դեղա</w:t>
      </w:r>
      <w:r w:rsidRPr="00834D52">
        <w:rPr>
          <w:rFonts w:ascii="Sylfaen" w:hAnsi="Sylfaen"/>
          <w:sz w:val="24"/>
          <w:szCs w:val="24"/>
        </w:rPr>
        <w:t>դինամիկ հետազոտությունների վերաբերյալ.</w:t>
      </w:r>
    </w:p>
    <w:p w14:paraId="79A53D3A" w14:textId="77777777" w:rsidR="006F76EB" w:rsidRPr="00834D52" w:rsidRDefault="006F76EB" w:rsidP="00D55404">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դոսյեում անհրաժեշտ է հաստատել </w:t>
      </w:r>
      <w:r w:rsidR="00355C33">
        <w:rPr>
          <w:rFonts w:ascii="Sylfaen" w:hAnsi="Sylfaen"/>
          <w:sz w:val="24"/>
          <w:szCs w:val="24"/>
        </w:rPr>
        <w:t>դեղա</w:t>
      </w:r>
      <w:r w:rsidRPr="00834D52">
        <w:rPr>
          <w:rFonts w:ascii="Sylfaen" w:hAnsi="Sylfaen"/>
          <w:sz w:val="24"/>
          <w:szCs w:val="24"/>
        </w:rPr>
        <w:t xml:space="preserve">դինամիկ ազդեցության </w:t>
      </w:r>
      <w:r w:rsidR="00C54D75">
        <w:rPr>
          <w:rFonts w:ascii="Sylfaen" w:hAnsi="Sylfaen"/>
          <w:sz w:val="24"/>
          <w:szCs w:val="24"/>
        </w:rPr>
        <w:t>և</w:t>
      </w:r>
      <w:r w:rsidRPr="00834D52">
        <w:rPr>
          <w:rFonts w:ascii="Sylfaen" w:hAnsi="Sylfaen"/>
          <w:sz w:val="24"/>
          <w:szCs w:val="24"/>
        </w:rPr>
        <w:t xml:space="preserve"> արդյունավետության համահարաբերակցությունը, ներառյալ՝</w:t>
      </w:r>
    </w:p>
    <w:p w14:paraId="532AC687" w14:textId="77777777" w:rsidR="006F76EB" w:rsidRPr="00834D52" w:rsidRDefault="006F76EB" w:rsidP="005E478F">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«դեղաչափ-ազդեցություն» կախվածությունը </w:t>
      </w:r>
      <w:r w:rsidR="00C54D75">
        <w:rPr>
          <w:rFonts w:ascii="Sylfaen" w:hAnsi="Sylfaen"/>
          <w:spacing w:val="4"/>
          <w:sz w:val="24"/>
          <w:szCs w:val="24"/>
        </w:rPr>
        <w:t>և</w:t>
      </w:r>
      <w:r w:rsidRPr="00834D52">
        <w:rPr>
          <w:rFonts w:ascii="Sylfaen" w:hAnsi="Sylfaen"/>
          <w:spacing w:val="4"/>
          <w:sz w:val="24"/>
          <w:szCs w:val="24"/>
        </w:rPr>
        <w:t xml:space="preserve"> դրա զարգացումը ժամանակի </w:t>
      </w:r>
      <w:r w:rsidRPr="00834D52">
        <w:rPr>
          <w:rFonts w:ascii="Sylfaen" w:hAnsi="Sylfaen"/>
          <w:spacing w:val="4"/>
          <w:sz w:val="24"/>
          <w:szCs w:val="24"/>
        </w:rPr>
        <w:lastRenderedPageBreak/>
        <w:t>մեջ.</w:t>
      </w:r>
    </w:p>
    <w:p w14:paraId="2B0F1338"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դոզավորման ռեժիմի </w:t>
      </w:r>
      <w:r w:rsidR="00C54D75">
        <w:rPr>
          <w:rFonts w:ascii="Sylfaen" w:hAnsi="Sylfaen"/>
          <w:sz w:val="24"/>
          <w:szCs w:val="24"/>
        </w:rPr>
        <w:t>և</w:t>
      </w:r>
      <w:r w:rsidRPr="00834D52">
        <w:rPr>
          <w:rFonts w:ascii="Sylfaen" w:hAnsi="Sylfaen"/>
          <w:sz w:val="24"/>
          <w:szCs w:val="24"/>
        </w:rPr>
        <w:t xml:space="preserve"> ներմուծման պայմանների հիմնավորումը.</w:t>
      </w:r>
    </w:p>
    <w:p w14:paraId="7C610D94"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ազդեցության մեխանիզմը, եթե հնարավոր է:</w:t>
      </w:r>
    </w:p>
    <w:p w14:paraId="3252D67C" w14:textId="77777777" w:rsidR="006F76EB" w:rsidRPr="00834D52" w:rsidRDefault="006F76EB" w:rsidP="005E478F">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արդյունավետության հետ կապ չունեցող </w:t>
      </w:r>
      <w:r w:rsidR="00355C33">
        <w:rPr>
          <w:rFonts w:ascii="Sylfaen" w:hAnsi="Sylfaen"/>
          <w:sz w:val="24"/>
          <w:szCs w:val="24"/>
        </w:rPr>
        <w:t>դեղա</w:t>
      </w:r>
      <w:r w:rsidRPr="00834D52">
        <w:rPr>
          <w:rFonts w:ascii="Sylfaen" w:hAnsi="Sylfaen"/>
          <w:sz w:val="24"/>
          <w:szCs w:val="24"/>
        </w:rPr>
        <w:t xml:space="preserve">դինամիկ ազդեցության նկարագրությունը: Մարդու մոտ </w:t>
      </w:r>
      <w:r w:rsidR="00355C33">
        <w:rPr>
          <w:rFonts w:ascii="Sylfaen" w:hAnsi="Sylfaen"/>
          <w:sz w:val="24"/>
          <w:szCs w:val="24"/>
        </w:rPr>
        <w:t>դեղա</w:t>
      </w:r>
      <w:r w:rsidRPr="00834D52">
        <w:rPr>
          <w:rFonts w:ascii="Sylfaen" w:hAnsi="Sylfaen"/>
          <w:sz w:val="24"/>
          <w:szCs w:val="24"/>
        </w:rPr>
        <w:t>դինամիկ էֆեկտների հաստատումը որ</w:t>
      </w:r>
      <w:r w:rsidR="00C54D75">
        <w:rPr>
          <w:rFonts w:ascii="Sylfaen" w:hAnsi="Sylfaen"/>
          <w:sz w:val="24"/>
          <w:szCs w:val="24"/>
        </w:rPr>
        <w:t>և</w:t>
      </w:r>
      <w:r w:rsidRPr="00834D52">
        <w:rPr>
          <w:rFonts w:ascii="Sylfaen" w:hAnsi="Sylfaen"/>
          <w:sz w:val="24"/>
          <w:szCs w:val="24"/>
        </w:rPr>
        <w:t>է որոշակի թերապ</w:t>
      </w:r>
      <w:r w:rsidR="00C54D75">
        <w:rPr>
          <w:rFonts w:ascii="Sylfaen" w:hAnsi="Sylfaen"/>
          <w:sz w:val="24"/>
          <w:szCs w:val="24"/>
        </w:rPr>
        <w:t>և</w:t>
      </w:r>
      <w:r w:rsidRPr="00834D52">
        <w:rPr>
          <w:rFonts w:ascii="Sylfaen" w:hAnsi="Sylfaen"/>
          <w:sz w:val="24"/>
          <w:szCs w:val="24"/>
        </w:rPr>
        <w:t>տիկ էֆեկտի առկայության բավարար հիմնավորում չէ.</w:t>
      </w:r>
    </w:p>
    <w:p w14:paraId="2EFB264B" w14:textId="77777777" w:rsidR="006F76EB" w:rsidRPr="00834D52" w:rsidRDefault="006F76EB" w:rsidP="008116D5">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եթե դեղապատրաստուկը կիրառվում է այլ դեղապատրաստուկների հետ միասին, անհրաժեշտ է ներկայացնել դրանց միաժամանակյա կիրառման հետազոտության նկարագրությունը, որն անցկացվել է դեղաբանական ազդեցության հնարավոր փոփոխությունը ցուցադրելու համար: Անհրաժեշտ է նշել տեղեկատվություն՝ այլ դեղապատրաստուկների կամ նյութերի հետ ակտիվ նյութի </w:t>
      </w:r>
      <w:r w:rsidR="00355C33">
        <w:rPr>
          <w:rFonts w:ascii="Sylfaen" w:hAnsi="Sylfaen"/>
          <w:sz w:val="24"/>
          <w:szCs w:val="24"/>
        </w:rPr>
        <w:t>դեղա</w:t>
      </w:r>
      <w:r w:rsidRPr="00834D52">
        <w:rPr>
          <w:rFonts w:ascii="Sylfaen" w:hAnsi="Sylfaen"/>
          <w:sz w:val="24"/>
          <w:szCs w:val="24"/>
        </w:rPr>
        <w:t>դինամիկ փոխազդեցության ուսումնասիրության վերաբերյալ:</w:t>
      </w:r>
    </w:p>
    <w:p w14:paraId="73F8DD84" w14:textId="77777777" w:rsidR="006F76EB" w:rsidRPr="00834D52" w:rsidRDefault="006F76EB" w:rsidP="008116D5">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5.3.5.</w:t>
      </w:r>
      <w:r w:rsidRPr="00834D52">
        <w:rPr>
          <w:rFonts w:ascii="Sylfaen" w:hAnsi="Sylfaen"/>
          <w:sz w:val="24"/>
          <w:szCs w:val="24"/>
        </w:rPr>
        <w:tab/>
        <w:t xml:space="preserve">Հաշվետվություններ՝ 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հետազոտության վերաբերյալ:</w:t>
      </w:r>
    </w:p>
    <w:p w14:paraId="2D56FBBA" w14:textId="29E2F1B6" w:rsidR="006F76EB" w:rsidRPr="00834D52" w:rsidRDefault="006F76EB" w:rsidP="008116D5">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5.3.5.1.</w:t>
      </w:r>
      <w:r w:rsidRPr="00834D52">
        <w:rPr>
          <w:rFonts w:ascii="Sylfaen" w:hAnsi="Sylfaen"/>
          <w:sz w:val="24"/>
          <w:szCs w:val="24"/>
        </w:rPr>
        <w:tab/>
        <w:t xml:space="preserve">Հաշվետվություններ՝ </w:t>
      </w:r>
      <w:r w:rsidR="00FB4A19">
        <w:rPr>
          <w:rFonts w:ascii="Sylfaen" w:hAnsi="Sylfaen"/>
          <w:sz w:val="24"/>
          <w:szCs w:val="24"/>
        </w:rPr>
        <w:t>հայտատարված</w:t>
      </w:r>
      <w:r w:rsidRPr="00834D52">
        <w:rPr>
          <w:rFonts w:ascii="Sylfaen" w:hAnsi="Sylfaen"/>
          <w:sz w:val="24"/>
          <w:szCs w:val="24"/>
        </w:rPr>
        <w:t xml:space="preserve"> կիրառման ցուցումների հաստատմանը վերաբերող վերահսկվող կլինիկական հետազոտությունների վերաբերյալ:</w:t>
      </w:r>
    </w:p>
    <w:p w14:paraId="7D03E243" w14:textId="77777777" w:rsidR="006F76EB" w:rsidRPr="0023323A" w:rsidRDefault="006F76EB" w:rsidP="005E478F">
      <w:pPr>
        <w:spacing w:after="160" w:line="348" w:lineRule="auto"/>
        <w:ind w:right="-8" w:firstLine="567"/>
        <w:jc w:val="both"/>
        <w:rPr>
          <w:rFonts w:ascii="Sylfaen" w:eastAsia="Times New Roman" w:hAnsi="Sylfaen" w:cs="Times New Roman"/>
          <w:spacing w:val="-6"/>
          <w:sz w:val="24"/>
          <w:szCs w:val="24"/>
        </w:rPr>
      </w:pPr>
      <w:r w:rsidRPr="0023323A">
        <w:rPr>
          <w:rFonts w:ascii="Sylfaen" w:hAnsi="Sylfaen"/>
          <w:spacing w:val="-6"/>
          <w:sz w:val="24"/>
          <w:szCs w:val="24"/>
        </w:rPr>
        <w:t xml:space="preserve">Պետք է ներկայացվի տեղեկատվություն՝ անցկացված կլինիկական հետազոտությունների վերաբերյալ, որոնք պետք է հնարավորինս պատահականորեն բաշխված </w:t>
      </w:r>
      <w:r w:rsidR="00C54D75">
        <w:rPr>
          <w:rFonts w:ascii="Sylfaen" w:hAnsi="Sylfaen"/>
          <w:spacing w:val="-6"/>
          <w:sz w:val="24"/>
          <w:szCs w:val="24"/>
        </w:rPr>
        <w:t>և</w:t>
      </w:r>
      <w:r w:rsidRPr="0023323A">
        <w:rPr>
          <w:rFonts w:ascii="Sylfaen" w:hAnsi="Sylfaen"/>
          <w:spacing w:val="-6"/>
          <w:sz w:val="24"/>
          <w:szCs w:val="24"/>
        </w:rPr>
        <w:t xml:space="preserve"> վերահսկելի լինեն, </w:t>
      </w:r>
      <w:r w:rsidR="00C54D75">
        <w:rPr>
          <w:rFonts w:ascii="Sylfaen" w:hAnsi="Sylfaen"/>
          <w:spacing w:val="-6"/>
          <w:sz w:val="24"/>
          <w:szCs w:val="24"/>
        </w:rPr>
        <w:t>և</w:t>
      </w:r>
      <w:r w:rsidRPr="0023323A">
        <w:rPr>
          <w:rFonts w:ascii="Sylfaen" w:hAnsi="Sylfaen"/>
          <w:spacing w:val="-6"/>
          <w:sz w:val="24"/>
          <w:szCs w:val="24"/>
        </w:rPr>
        <w:t xml:space="preserve"> որոնց շրջանակներում հետազոտվող դեղապատրաստուկը համեմատվում է պլացեբոյի </w:t>
      </w:r>
      <w:r w:rsidR="00C54D75">
        <w:rPr>
          <w:rFonts w:ascii="Sylfaen" w:hAnsi="Sylfaen"/>
          <w:spacing w:val="-6"/>
          <w:sz w:val="24"/>
          <w:szCs w:val="24"/>
        </w:rPr>
        <w:t>և</w:t>
      </w:r>
      <w:r w:rsidRPr="0023323A">
        <w:rPr>
          <w:rFonts w:ascii="Sylfaen" w:hAnsi="Sylfaen"/>
          <w:spacing w:val="-6"/>
          <w:sz w:val="24"/>
          <w:szCs w:val="24"/>
        </w:rPr>
        <w:t xml:space="preserve"> (կամ) ապացուցված թերապ</w:t>
      </w:r>
      <w:r w:rsidR="00C54D75">
        <w:rPr>
          <w:rFonts w:ascii="Sylfaen" w:hAnsi="Sylfaen"/>
          <w:spacing w:val="-6"/>
          <w:sz w:val="24"/>
          <w:szCs w:val="24"/>
        </w:rPr>
        <w:t>և</w:t>
      </w:r>
      <w:r w:rsidRPr="0023323A">
        <w:rPr>
          <w:rFonts w:ascii="Sylfaen" w:hAnsi="Sylfaen"/>
          <w:spacing w:val="-6"/>
          <w:sz w:val="24"/>
          <w:szCs w:val="24"/>
        </w:rPr>
        <w:t>տիկ արդյունավետությամբ դեղապատրաստուկի հետ, իսկ հետազոտության որ</w:t>
      </w:r>
      <w:r w:rsidR="00C54D75">
        <w:rPr>
          <w:rFonts w:ascii="Sylfaen" w:hAnsi="Sylfaen"/>
          <w:spacing w:val="-6"/>
          <w:sz w:val="24"/>
          <w:szCs w:val="24"/>
        </w:rPr>
        <w:t>և</w:t>
      </w:r>
      <w:r w:rsidRPr="0023323A">
        <w:rPr>
          <w:rFonts w:ascii="Sylfaen" w:hAnsi="Sylfaen"/>
          <w:spacing w:val="-6"/>
          <w:sz w:val="24"/>
          <w:szCs w:val="24"/>
        </w:rPr>
        <w:t xml:space="preserve">է այլ բովանդակային պլանի օգտագործումն անհրաժեշտ է հիմնավորել: Ստուգիչ խմբերի ընտրությունը յուրաքանչյուր կոնկրետ դեպքում կախված է էթիկական ասպեկտներից </w:t>
      </w:r>
      <w:r w:rsidR="00C54D75">
        <w:rPr>
          <w:rFonts w:ascii="Sylfaen" w:hAnsi="Sylfaen"/>
          <w:spacing w:val="-6"/>
          <w:sz w:val="24"/>
          <w:szCs w:val="24"/>
        </w:rPr>
        <w:t>և</w:t>
      </w:r>
      <w:r w:rsidRPr="0023323A">
        <w:rPr>
          <w:rFonts w:ascii="Sylfaen" w:hAnsi="Sylfaen"/>
          <w:spacing w:val="-6"/>
          <w:sz w:val="24"/>
          <w:szCs w:val="24"/>
        </w:rPr>
        <w:t xml:space="preserve"> կիրառման ոլորտից, այդ պատճառով առանձին դեպքերում նպատակահարմար է համեմատել նոր դեղապատրաստուկի արդյունավետությունն ապացուցված (հաստատված) թերապ</w:t>
      </w:r>
      <w:r w:rsidR="00C54D75">
        <w:rPr>
          <w:rFonts w:ascii="Sylfaen" w:hAnsi="Sylfaen"/>
          <w:spacing w:val="-6"/>
          <w:sz w:val="24"/>
          <w:szCs w:val="24"/>
        </w:rPr>
        <w:t>և</w:t>
      </w:r>
      <w:r w:rsidRPr="0023323A">
        <w:rPr>
          <w:rFonts w:ascii="Sylfaen" w:hAnsi="Sylfaen"/>
          <w:spacing w:val="-6"/>
          <w:sz w:val="24"/>
          <w:szCs w:val="24"/>
        </w:rPr>
        <w:t xml:space="preserve">տիկ արդյունավետությամբ դեղապատրաստուկի </w:t>
      </w:r>
      <w:r w:rsidRPr="0023323A">
        <w:rPr>
          <w:rFonts w:ascii="Sylfaen" w:hAnsi="Sylfaen"/>
          <w:spacing w:val="-6"/>
          <w:sz w:val="24"/>
          <w:szCs w:val="24"/>
        </w:rPr>
        <w:lastRenderedPageBreak/>
        <w:t>արդյունավետության հետ, այլ ոչ թէ պլացեբոյի:</w:t>
      </w:r>
    </w:p>
    <w:p w14:paraId="190C206C"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Գնահատականը ներկայացնելիս անհրաժեշտ է կիրառել միջոցներ, որոնք թույլ են տալիս խուսափել կողմնապահությունից, ներառյալ՝ պատահական բաշխման </w:t>
      </w:r>
      <w:r w:rsidR="00C54D75">
        <w:rPr>
          <w:rFonts w:ascii="Sylfaen" w:hAnsi="Sylfaen"/>
          <w:sz w:val="24"/>
          <w:szCs w:val="24"/>
        </w:rPr>
        <w:t>և</w:t>
      </w:r>
      <w:r w:rsidRPr="00834D52">
        <w:rPr>
          <w:rFonts w:ascii="Sylfaen" w:hAnsi="Sylfaen"/>
          <w:sz w:val="24"/>
          <w:szCs w:val="24"/>
        </w:rPr>
        <w:t xml:space="preserve"> կույր վերահսկման մեթոդները:</w:t>
      </w:r>
    </w:p>
    <w:p w14:paraId="0144A149"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ընդգրկված հետազոտության արձանագրությունում պետք է ներառվեն օգտագործված վիճակագրական մեթոդների նկարագրությունը, պացիենտների թիվը </w:t>
      </w:r>
      <w:r w:rsidR="00C54D75">
        <w:rPr>
          <w:rFonts w:ascii="Sylfaen" w:hAnsi="Sylfaen"/>
          <w:sz w:val="24"/>
          <w:szCs w:val="24"/>
        </w:rPr>
        <w:t>և</w:t>
      </w:r>
      <w:r w:rsidRPr="00834D52">
        <w:rPr>
          <w:rFonts w:ascii="Sylfaen" w:hAnsi="Sylfaen"/>
          <w:sz w:val="24"/>
          <w:szCs w:val="24"/>
        </w:rPr>
        <w:t xml:space="preserve"> կլինիկական հետազոտություններում նրանց ընդգրկելու պատճառները (այդ թվում՝ հետազոտությունների վիճակագրական հզորության հաշվարկները), նշանակելիության կիրառված մակարդակը </w:t>
      </w:r>
      <w:r w:rsidR="00C54D75">
        <w:rPr>
          <w:rFonts w:ascii="Sylfaen" w:hAnsi="Sylfaen"/>
          <w:sz w:val="24"/>
          <w:szCs w:val="24"/>
        </w:rPr>
        <w:t>և</w:t>
      </w:r>
      <w:r w:rsidRPr="00834D52">
        <w:rPr>
          <w:rFonts w:ascii="Sylfaen" w:hAnsi="Sylfaen"/>
          <w:sz w:val="24"/>
          <w:szCs w:val="24"/>
        </w:rPr>
        <w:t xml:space="preserve"> վիճակագրական միավորի նկարագրությունը (օգտագործվող վիճակագրական պարամետրերը): Կողմնապահ գնահատականից խուսափելու համար ձեռնարկված միջոցները (հատկապես պատահական բաշխման մեթոդները) պետք է համապատասխանաբար հիմնավորված </w:t>
      </w:r>
      <w:r w:rsidR="00C54D75">
        <w:rPr>
          <w:rFonts w:ascii="Sylfaen" w:hAnsi="Sylfaen"/>
          <w:sz w:val="24"/>
          <w:szCs w:val="24"/>
        </w:rPr>
        <w:t>և</w:t>
      </w:r>
      <w:r w:rsidRPr="00834D52">
        <w:rPr>
          <w:rFonts w:ascii="Sylfaen" w:hAnsi="Sylfaen"/>
          <w:sz w:val="24"/>
          <w:szCs w:val="24"/>
        </w:rPr>
        <w:t xml:space="preserve"> փաստաթղթավորված լինեն: Կլինիկական հետազոտություններին մասնակցելու համար մեծ թվով պացիենտներ ընդգրկելու մասին տեղեկատվությունը համարժեք փոխարինում չէ համապատասխան կերպ վերահսկվող հետազոտությանը:</w:t>
      </w:r>
    </w:p>
    <w:p w14:paraId="40EC1D06"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Անվտանգության մասին տվյալների վերլուծության անցկացման ժամանակ անհրաժեշտ է ուշադրություն դարձնել այն հանգամանքներին, որոնք հանգեցրել են դոզավորման ռեժիմի կարգավորմանը կամ այլ դեղապատրաստուկի զուգընթաց կիրառման անհրաժեշտությանը, լուրջ անցանկալի եր</w:t>
      </w:r>
      <w:r w:rsidR="00C54D75">
        <w:rPr>
          <w:rFonts w:ascii="Sylfaen" w:hAnsi="Sylfaen"/>
          <w:spacing w:val="-4"/>
          <w:sz w:val="24"/>
          <w:szCs w:val="24"/>
        </w:rPr>
        <w:t>և</w:t>
      </w:r>
      <w:r w:rsidRPr="00834D52">
        <w:rPr>
          <w:rFonts w:ascii="Sylfaen" w:hAnsi="Sylfaen"/>
          <w:spacing w:val="-4"/>
          <w:sz w:val="24"/>
          <w:szCs w:val="24"/>
        </w:rPr>
        <w:t>ույթների, եր</w:t>
      </w:r>
      <w:r w:rsidR="00C54D75">
        <w:rPr>
          <w:rFonts w:ascii="Sylfaen" w:hAnsi="Sylfaen"/>
          <w:spacing w:val="-4"/>
          <w:sz w:val="24"/>
          <w:szCs w:val="24"/>
        </w:rPr>
        <w:t>և</w:t>
      </w:r>
      <w:r w:rsidRPr="00834D52">
        <w:rPr>
          <w:rFonts w:ascii="Sylfaen" w:hAnsi="Sylfaen"/>
          <w:spacing w:val="-4"/>
          <w:sz w:val="24"/>
          <w:szCs w:val="24"/>
        </w:rPr>
        <w:t xml:space="preserve">ույթների, որոնք կլինիկական հետազոտության մեջ մասնակցությունը բացառելու պատճառ են դարձել </w:t>
      </w:r>
      <w:r w:rsidR="00C54D75">
        <w:rPr>
          <w:rFonts w:ascii="Sylfaen" w:hAnsi="Sylfaen"/>
          <w:spacing w:val="-4"/>
          <w:sz w:val="24"/>
          <w:szCs w:val="24"/>
        </w:rPr>
        <w:t>և</w:t>
      </w:r>
      <w:r w:rsidRPr="00834D52">
        <w:rPr>
          <w:rFonts w:ascii="Sylfaen" w:hAnsi="Sylfaen"/>
          <w:spacing w:val="-4"/>
          <w:sz w:val="24"/>
          <w:szCs w:val="24"/>
        </w:rPr>
        <w:t xml:space="preserve"> պացիենտի մահվան են հանգեցրել: Անհրաժեշտ է նույնականացնել հետազոտության՝ ռիսկի բարձր աստիճանով պացիենտներին կամ պացիենտների խմբերը </w:t>
      </w:r>
      <w:r w:rsidR="00C54D75">
        <w:rPr>
          <w:rFonts w:ascii="Sylfaen" w:hAnsi="Sylfaen"/>
          <w:spacing w:val="-4"/>
          <w:sz w:val="24"/>
          <w:szCs w:val="24"/>
        </w:rPr>
        <w:t>և</w:t>
      </w:r>
      <w:r w:rsidRPr="00834D52">
        <w:rPr>
          <w:rFonts w:ascii="Sylfaen" w:hAnsi="Sylfaen"/>
          <w:spacing w:val="-4"/>
          <w:sz w:val="24"/>
          <w:szCs w:val="24"/>
        </w:rPr>
        <w:t xml:space="preserve"> հատուկ ուշադրություն դարձնել պոտենցիալ խոցելի խմբերի վրա, որտեղ պացիենտների թիվը կարող է փոքր լինել (օրինակ՝ երեխաներ, հղիներ, առողջությամբ տկար տարեցներ, նյութափոխանակության կամ արտազատման զգալի խանգարումներով մարդիկ </w:t>
      </w:r>
      <w:r w:rsidR="00C54D75">
        <w:rPr>
          <w:rFonts w:ascii="Sylfaen" w:hAnsi="Sylfaen"/>
          <w:spacing w:val="-4"/>
          <w:sz w:val="24"/>
          <w:szCs w:val="24"/>
        </w:rPr>
        <w:t>և</w:t>
      </w:r>
      <w:r w:rsidRPr="00834D52">
        <w:rPr>
          <w:rFonts w:ascii="Sylfaen" w:hAnsi="Sylfaen"/>
          <w:spacing w:val="-4"/>
          <w:sz w:val="24"/>
          <w:szCs w:val="24"/>
        </w:rPr>
        <w:t xml:space="preserve"> այլն): Պետք է նկարագրել դեղապատրաստուկի </w:t>
      </w:r>
      <w:r w:rsidRPr="00834D52">
        <w:rPr>
          <w:rFonts w:ascii="Sylfaen" w:hAnsi="Sylfaen"/>
          <w:spacing w:val="-4"/>
          <w:sz w:val="24"/>
          <w:szCs w:val="24"/>
        </w:rPr>
        <w:lastRenderedPageBreak/>
        <w:t>հնարավոր կիրառման ոլորտների նկատմամբ անվտանգության վերջնական գնահատականը:</w:t>
      </w:r>
    </w:p>
    <w:p w14:paraId="3D224F2A" w14:textId="77777777" w:rsidR="006F76EB" w:rsidRPr="00834D52" w:rsidRDefault="006F76EB" w:rsidP="008116D5">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5.3.5.2.</w:t>
      </w:r>
      <w:r w:rsidRPr="00834D52">
        <w:rPr>
          <w:rFonts w:ascii="Sylfaen" w:hAnsi="Sylfaen"/>
          <w:sz w:val="24"/>
          <w:szCs w:val="24"/>
        </w:rPr>
        <w:tab/>
        <w:t xml:space="preserve">Հաշվետվություններ՝ չվերահսկվող կլինիկական հետազոտությունների վերաբերյալ, հաշվետվություններ՝ մի քանի հետազոտությունների միջոցով տվյալների վերլուծության վերաբերյալ, </w:t>
      </w:r>
      <w:r w:rsidR="00C54D75">
        <w:rPr>
          <w:rFonts w:ascii="Sylfaen" w:hAnsi="Sylfaen"/>
          <w:sz w:val="24"/>
          <w:szCs w:val="24"/>
        </w:rPr>
        <w:t>և</w:t>
      </w:r>
      <w:r w:rsidRPr="00834D52">
        <w:rPr>
          <w:rFonts w:ascii="Sylfaen" w:hAnsi="Sylfaen"/>
          <w:sz w:val="24"/>
          <w:szCs w:val="24"/>
        </w:rPr>
        <w:t xml:space="preserve"> հաշվետվություններ՝ այլ կլինիկական հետազոտությունների վերաբերյալ:</w:t>
      </w:r>
    </w:p>
    <w:p w14:paraId="6843D758"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Այդ հաշվետվություններն անհրաժեշտ է ընդգրկել դեղապատրաստուկի գրանցման դոսյեում:</w:t>
      </w:r>
    </w:p>
    <w:p w14:paraId="0DA94A0D" w14:textId="77777777" w:rsidR="006F76EB" w:rsidRPr="00834D52" w:rsidRDefault="006F76EB" w:rsidP="003D753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5.3.6.</w:t>
      </w:r>
      <w:r w:rsidRPr="00834D52">
        <w:rPr>
          <w:rFonts w:ascii="Sylfaen" w:hAnsi="Sylfaen"/>
          <w:sz w:val="24"/>
          <w:szCs w:val="24"/>
        </w:rPr>
        <w:tab/>
        <w:t>Հաշվետվություններ՝ հետգրանցումային կիրառման փորձի վերաբերյալ:</w:t>
      </w:r>
    </w:p>
    <w:p w14:paraId="328A8A99"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դեղապատրաստուկն արդեն գրանցված է այլ երկրներում, դեղապատրաստուկի գրանցման դոսյեում անհրաժեշտ է ընդգրկել տեղեկատվություն՝ քննարկվող դեղապատրաստուկի </w:t>
      </w:r>
      <w:r w:rsidR="00C54D75">
        <w:rPr>
          <w:rFonts w:ascii="Sylfaen" w:hAnsi="Sylfaen"/>
          <w:sz w:val="24"/>
          <w:szCs w:val="24"/>
        </w:rPr>
        <w:t>և</w:t>
      </w:r>
      <w:r w:rsidRPr="00834D52">
        <w:rPr>
          <w:rFonts w:ascii="Sylfaen" w:hAnsi="Sylfaen"/>
          <w:sz w:val="24"/>
          <w:szCs w:val="24"/>
        </w:rPr>
        <w:t xml:space="preserve"> նույն ակտիվ նյութով դեղապատրաստուկների նկատմամբ անցանկալի ռեակցիաների վերաբերյալ (հնարավորության դեպքում դրանց կլինիկական կիրառման ծավալի հետ համեմատելով):</w:t>
      </w:r>
    </w:p>
    <w:p w14:paraId="07F3DA11" w14:textId="77777777" w:rsidR="006F76EB" w:rsidRPr="00834D52" w:rsidRDefault="006F76EB" w:rsidP="003D7538">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5.3.7.</w:t>
      </w:r>
      <w:r w:rsidRPr="00834D52">
        <w:rPr>
          <w:rFonts w:ascii="Sylfaen" w:hAnsi="Sylfaen"/>
          <w:sz w:val="24"/>
          <w:szCs w:val="24"/>
        </w:rPr>
        <w:tab/>
        <w:t xml:space="preserve">Անհատական գրանցման քարտերը </w:t>
      </w:r>
      <w:r w:rsidR="00C54D75">
        <w:rPr>
          <w:rFonts w:ascii="Sylfaen" w:hAnsi="Sylfaen"/>
          <w:sz w:val="24"/>
          <w:szCs w:val="24"/>
        </w:rPr>
        <w:t>և</w:t>
      </w:r>
      <w:r w:rsidRPr="00834D52">
        <w:rPr>
          <w:rFonts w:ascii="Sylfaen" w:hAnsi="Sylfaen"/>
          <w:sz w:val="24"/>
          <w:szCs w:val="24"/>
        </w:rPr>
        <w:t xml:space="preserve"> պացիենտների ցուցակները:</w:t>
      </w:r>
    </w:p>
    <w:p w14:paraId="3101606B" w14:textId="77777777" w:rsidR="006F76EB" w:rsidRPr="00834D52" w:rsidRDefault="006F76EB" w:rsidP="00BC08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դոսյեին կցվում են այն անհատական գրանցման քարտերը </w:t>
      </w:r>
      <w:r w:rsidR="00C54D75">
        <w:rPr>
          <w:rFonts w:ascii="Sylfaen" w:hAnsi="Sylfaen"/>
          <w:sz w:val="24"/>
          <w:szCs w:val="24"/>
        </w:rPr>
        <w:t>և</w:t>
      </w:r>
      <w:r w:rsidRPr="00834D52">
        <w:rPr>
          <w:rFonts w:ascii="Sylfaen" w:hAnsi="Sylfaen"/>
          <w:sz w:val="24"/>
          <w:szCs w:val="24"/>
        </w:rPr>
        <w:t xml:space="preserve"> պացիենտների ցուցակները, որոնք ենթակա են ներկայացման նույն կարգով, ինչ հետազոտության մասով ինդեքսավորմամբ </w:t>
      </w:r>
      <w:r w:rsidR="00C54D75">
        <w:rPr>
          <w:rFonts w:ascii="Sylfaen" w:hAnsi="Sylfaen"/>
          <w:sz w:val="24"/>
          <w:szCs w:val="24"/>
        </w:rPr>
        <w:t>և</w:t>
      </w:r>
      <w:r w:rsidRPr="00834D52">
        <w:rPr>
          <w:rFonts w:ascii="Sylfaen" w:hAnsi="Sylfaen"/>
          <w:sz w:val="24"/>
          <w:szCs w:val="24"/>
        </w:rPr>
        <w:t xml:space="preserve"> հետազոտության պացիենտների անձնական տվյալների գաղտնիության պահպանմամբ կլինիկական հետազոտությունների վերաբերյալ հաշվետվությունները:</w:t>
      </w:r>
    </w:p>
    <w:p w14:paraId="1CDCC316" w14:textId="14B4DF63" w:rsidR="006F76EB" w:rsidRDefault="006F76EB" w:rsidP="00BC08C4">
      <w:pPr>
        <w:spacing w:after="160" w:line="360" w:lineRule="auto"/>
        <w:ind w:right="-8" w:firstLine="567"/>
        <w:jc w:val="both"/>
        <w:rPr>
          <w:rFonts w:ascii="Sylfaen" w:hAnsi="Sylfaen"/>
          <w:sz w:val="24"/>
          <w:szCs w:val="24"/>
        </w:rPr>
      </w:pPr>
      <w:r w:rsidRPr="00834D52">
        <w:rPr>
          <w:rFonts w:ascii="Sylfaen" w:hAnsi="Sylfaen"/>
          <w:sz w:val="24"/>
          <w:szCs w:val="24"/>
        </w:rPr>
        <w:t>Նա</w:t>
      </w:r>
      <w:r w:rsidR="00C54D75">
        <w:rPr>
          <w:rFonts w:ascii="Sylfaen" w:hAnsi="Sylfaen"/>
          <w:sz w:val="24"/>
          <w:szCs w:val="24"/>
        </w:rPr>
        <w:t>և</w:t>
      </w:r>
      <w:r w:rsidRPr="00834D52">
        <w:rPr>
          <w:rFonts w:ascii="Sylfaen" w:hAnsi="Sylfaen"/>
          <w:sz w:val="24"/>
          <w:szCs w:val="24"/>
        </w:rPr>
        <w:t xml:space="preserve"> գրանցման դոսյեին կցվում են լաբորատոր </w:t>
      </w:r>
      <w:r w:rsidR="00C54D75">
        <w:rPr>
          <w:rFonts w:ascii="Sylfaen" w:hAnsi="Sylfaen"/>
          <w:sz w:val="24"/>
          <w:szCs w:val="24"/>
        </w:rPr>
        <w:t>և</w:t>
      </w:r>
      <w:r w:rsidRPr="00834D52">
        <w:rPr>
          <w:rFonts w:ascii="Sylfaen" w:hAnsi="Sylfaen"/>
          <w:sz w:val="24"/>
          <w:szCs w:val="24"/>
        </w:rPr>
        <w:t xml:space="preserve"> գործիքային հետազոտության մեթոդների, կլինիկական հետազոտությունների արդյունքների վիճակագրական մշակման տվյալները:</w:t>
      </w:r>
    </w:p>
    <w:p w14:paraId="1C0A86B3" w14:textId="32FF412C" w:rsidR="004553AB" w:rsidRPr="006F28F9" w:rsidRDefault="004553AB" w:rsidP="004553AB">
      <w:pPr>
        <w:rPr>
          <w:b/>
          <w:bCs/>
          <w:i/>
          <w:iCs/>
        </w:rPr>
      </w:pPr>
      <w:r w:rsidRPr="00CD4709">
        <w:rPr>
          <w:b/>
          <w:bCs/>
          <w:i/>
          <w:iCs/>
        </w:rPr>
        <w:t>(</w:t>
      </w:r>
      <w:r>
        <w:rPr>
          <w:b/>
          <w:bCs/>
          <w:i/>
          <w:iCs/>
        </w:rPr>
        <w:t xml:space="preserve">5-րդ կետը </w:t>
      </w:r>
      <w:r w:rsidRPr="00CD4709">
        <w:rPr>
          <w:b/>
          <w:bCs/>
          <w:i/>
          <w:iCs/>
        </w:rPr>
        <w:t>փոփ. 30.01.20 թիվ 9)</w:t>
      </w:r>
    </w:p>
    <w:p w14:paraId="79EA9A13" w14:textId="77777777" w:rsidR="004553AB" w:rsidRPr="00834D52" w:rsidRDefault="004553AB" w:rsidP="00BC08C4">
      <w:pPr>
        <w:spacing w:after="160" w:line="360" w:lineRule="auto"/>
        <w:ind w:right="-8" w:firstLine="567"/>
        <w:jc w:val="both"/>
        <w:rPr>
          <w:rFonts w:ascii="Sylfaen" w:eastAsia="Times New Roman" w:hAnsi="Sylfaen" w:cs="Times New Roman"/>
          <w:sz w:val="24"/>
          <w:szCs w:val="24"/>
        </w:rPr>
      </w:pPr>
    </w:p>
    <w:p w14:paraId="5C34F124" w14:textId="77777777" w:rsidR="0039534B" w:rsidRDefault="0039534B">
      <w:pPr>
        <w:widowControl/>
        <w:rPr>
          <w:rFonts w:ascii="Sylfaen" w:hAnsi="Sylfaen"/>
          <w:sz w:val="24"/>
          <w:szCs w:val="24"/>
        </w:rPr>
      </w:pPr>
      <w:r>
        <w:rPr>
          <w:rFonts w:ascii="Sylfaen" w:hAnsi="Sylfaen"/>
          <w:sz w:val="24"/>
          <w:szCs w:val="24"/>
        </w:rPr>
        <w:br w:type="page"/>
      </w:r>
    </w:p>
    <w:p w14:paraId="7613DD39" w14:textId="77777777" w:rsidR="006F76EB" w:rsidRPr="00834D52" w:rsidRDefault="006F76EB" w:rsidP="00CB3DC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lastRenderedPageBreak/>
        <w:t>II. Դեղապատրաստուկի գրանցման դոսյեի մոդուլներին ներկայացվող հատուկ պահանջները</w:t>
      </w:r>
    </w:p>
    <w:p w14:paraId="731ACA2A" w14:textId="77777777" w:rsidR="006F76EB" w:rsidRPr="00834D52" w:rsidRDefault="006F76EB" w:rsidP="00BC08C4">
      <w:pPr>
        <w:spacing w:after="160" w:line="360" w:lineRule="auto"/>
        <w:ind w:left="567" w:right="565"/>
        <w:jc w:val="center"/>
        <w:rPr>
          <w:rFonts w:ascii="Sylfaen" w:hAnsi="Sylfaen"/>
          <w:sz w:val="24"/>
          <w:szCs w:val="24"/>
        </w:rPr>
      </w:pPr>
    </w:p>
    <w:p w14:paraId="65CAB434" w14:textId="77777777" w:rsidR="006F76EB" w:rsidRPr="00834D52" w:rsidRDefault="006F76EB" w:rsidP="00CB3DC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6. Վերարտադրված դեղապատրաստուկների գրանցման դոսյեի փաստաթղթերին ներկայացվող պահանջները</w:t>
      </w:r>
    </w:p>
    <w:p w14:paraId="2C700DFA" w14:textId="77777777" w:rsidR="006F76EB" w:rsidRPr="00834D52" w:rsidRDefault="006F76EB" w:rsidP="00CB3DC3">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Վերարտադրված դեղապատրաստուկների գրանցման դոսյեն ներկայացվում է սույն բաժնի պահանջներին համապատասխան՝ հաշվի առնելով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կանոնները:</w:t>
      </w:r>
    </w:p>
    <w:p w14:paraId="61D4F68D"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Կենսահամարժեքության հետազոտություններում </w:t>
      </w:r>
      <w:r w:rsidR="00D23E48">
        <w:rPr>
          <w:rFonts w:ascii="Sylfaen" w:hAnsi="Sylfaen"/>
          <w:sz w:val="24"/>
          <w:szCs w:val="24"/>
        </w:rPr>
        <w:t>ռեֆերենտ</w:t>
      </w:r>
      <w:r w:rsidR="00D23E48" w:rsidRPr="00834D52">
        <w:rPr>
          <w:rFonts w:ascii="Sylfaen" w:hAnsi="Sylfaen"/>
          <w:sz w:val="24"/>
          <w:szCs w:val="24"/>
        </w:rPr>
        <w:t xml:space="preserve"> </w:t>
      </w:r>
      <w:r w:rsidRPr="00834D52">
        <w:rPr>
          <w:rFonts w:ascii="Sylfaen" w:hAnsi="Sylfaen"/>
          <w:sz w:val="24"/>
          <w:szCs w:val="24"/>
        </w:rPr>
        <w:t>պատրաստուկի ընտրությունն իրականացվում է՝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p w14:paraId="42036B0B"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Վերարտադրվող դեղապատրաստուկի կենսահամարժեքությունն օրիգինալ դեղապատրաստուկին պետք է ցուցադրվի համապատասխան կենսամատչելիության հետազոտություններով՝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p w14:paraId="182E6D73"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բնութագիրը </w:t>
      </w:r>
      <w:r w:rsidR="00C54D75">
        <w:rPr>
          <w:rFonts w:ascii="Sylfaen" w:hAnsi="Sylfaen"/>
          <w:sz w:val="24"/>
          <w:szCs w:val="24"/>
        </w:rPr>
        <w:t>և</w:t>
      </w:r>
      <w:r w:rsidRPr="00834D52">
        <w:rPr>
          <w:rFonts w:ascii="Sylfaen" w:hAnsi="Sylfaen"/>
          <w:sz w:val="24"/>
          <w:szCs w:val="24"/>
        </w:rPr>
        <w:t xml:space="preserve"> վերարտադրվող դեղապատրաստուկի բժշկական կիրառման հրահանգը պետք է համապատասխանեն դեղապատրաստուկի ընդհանուր բնութագրին </w:t>
      </w:r>
      <w:r w:rsidR="00C54D75">
        <w:rPr>
          <w:rFonts w:ascii="Sylfaen" w:hAnsi="Sylfaen"/>
          <w:sz w:val="24"/>
          <w:szCs w:val="24"/>
        </w:rPr>
        <w:t>և</w:t>
      </w:r>
      <w:r w:rsidRPr="00834D52">
        <w:rPr>
          <w:rFonts w:ascii="Sylfaen" w:hAnsi="Sylfaen"/>
          <w:sz w:val="24"/>
          <w:szCs w:val="24"/>
        </w:rPr>
        <w:t xml:space="preserve"> օրիգինալ դեղապատրաստուկի բժշկական կիրառման հրահանգին: Կիրառման ցուցումների՝ ընդլայնման կամ դոզավորման ռեժիմի մասով կամ վերարտադրված դեղապատրաստուկի բժշկական կիրառման հրահանգներում ներմուծման </w:t>
      </w:r>
      <w:r w:rsidRPr="00834D52">
        <w:rPr>
          <w:rFonts w:ascii="Sylfaen" w:hAnsi="Sylfaen"/>
          <w:sz w:val="24"/>
          <w:szCs w:val="24"/>
        </w:rPr>
        <w:lastRenderedPageBreak/>
        <w:t>ուղիների՝ օրիգինալ դեղապատրաստուկից տարբերվելու դեպքում պետք է ներկայացնել համապատասխան կլինիկական հետազոտությունների արդյունքները:</w:t>
      </w:r>
    </w:p>
    <w:p w14:paraId="48299032"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6.1.</w:t>
      </w:r>
      <w:r w:rsidRPr="00834D52">
        <w:rPr>
          <w:rFonts w:ascii="Sylfaen" w:hAnsi="Sylfaen"/>
          <w:sz w:val="24"/>
          <w:szCs w:val="24"/>
        </w:rPr>
        <w:tab/>
        <w:t>Մոդուլ 1.</w:t>
      </w:r>
    </w:p>
    <w:p w14:paraId="7D8DA993" w14:textId="40683831"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գրանցման դոսյեի 1.8.2 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(մինչ</w:t>
      </w:r>
      <w:r w:rsidR="00C54D75">
        <w:rPr>
          <w:rFonts w:ascii="Sylfaen" w:hAnsi="Sylfaen"/>
          <w:sz w:val="24"/>
          <w:szCs w:val="24"/>
        </w:rPr>
        <w:t>և</w:t>
      </w:r>
      <w:r w:rsidRPr="00834D52">
        <w:rPr>
          <w:rFonts w:ascii="Sylfaen" w:hAnsi="Sylfaen"/>
          <w:sz w:val="24"/>
          <w:szCs w:val="24"/>
        </w:rPr>
        <w:t xml:space="preserve"> 5 էջ), որոնք ցույց են տալիս, որ դեղապատրաստուկը համապատասխան օրիգինալ դեղապատրաստուկի վերարտադրված դեղապատրաստուկն է: Նշված ռեզյումեն պետք է պարունակի պատրաստուկի, դրա որակական կազմի </w:t>
      </w:r>
      <w:r w:rsidR="00C54D75">
        <w:rPr>
          <w:rFonts w:ascii="Sylfaen" w:hAnsi="Sylfaen"/>
          <w:sz w:val="24"/>
          <w:szCs w:val="24"/>
        </w:rPr>
        <w:t>և</w:t>
      </w:r>
      <w:r w:rsidRPr="00834D52">
        <w:rPr>
          <w:rFonts w:ascii="Sylfaen" w:hAnsi="Sylfaen"/>
          <w:sz w:val="24"/>
          <w:szCs w:val="24"/>
        </w:rPr>
        <w:t xml:space="preserve"> դրանում ակտիվ նյութի քանակական բաղադրության, օրիգինալ պատրաստուկի ակտիվ նյութի համեմատ դրա դեղագործական 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դրա ակտիվ նյութի անվտանգության պրոֆիլի </w:t>
      </w:r>
      <w:r w:rsidR="00C54D75">
        <w:rPr>
          <w:rFonts w:ascii="Sylfaen" w:hAnsi="Sylfaen"/>
          <w:sz w:val="24"/>
          <w:szCs w:val="24"/>
        </w:rPr>
        <w:t>և</w:t>
      </w:r>
      <w:r w:rsidRPr="00834D52">
        <w:rPr>
          <w:rFonts w:ascii="Sylfaen" w:hAnsi="Sylfaen"/>
          <w:sz w:val="24"/>
          <w:szCs w:val="24"/>
        </w:rPr>
        <w:t xml:space="preserve"> (կամ) արդյունավետության վերաբերյալ տեղեկատվությունը,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տեղեկություններ՝ տվյալ պատրաստուկի կենսաբանական մատչելիության </w:t>
      </w:r>
      <w:r w:rsidR="00C54D75">
        <w:rPr>
          <w:rFonts w:ascii="Sylfaen" w:hAnsi="Sylfaen"/>
          <w:sz w:val="24"/>
          <w:szCs w:val="24"/>
        </w:rPr>
        <w:t>և</w:t>
      </w:r>
      <w:r w:rsidRPr="00834D52">
        <w:rPr>
          <w:rFonts w:ascii="Sylfaen" w:hAnsi="Sylfaen"/>
          <w:sz w:val="24"/>
          <w:szCs w:val="24"/>
        </w:rPr>
        <w:t xml:space="preserve"> կենսահամարժեքության վերաբերյալ:</w:t>
      </w:r>
    </w:p>
    <w:p w14:paraId="3EAF5D52"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Մասնավոր դեպքերում կարող է պահանջվել ռիսկերի կառավարման պլանը:</w:t>
      </w:r>
    </w:p>
    <w:p w14:paraId="689BE270"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Ռեզյումեի մեջ սույն կետում թվարկված տարրերից մի քանիսի բացակայության դեպքում հարկ է դեղապատրաստուկի գրանցման դոսյեի համապատասխան բաժնում ներկայացնել դրանց բացակայության հիմնավորումը:</w:t>
      </w:r>
    </w:p>
    <w:p w14:paraId="3F4ABFC0" w14:textId="77777777" w:rsidR="006F76EB" w:rsidRPr="00834D52" w:rsidRDefault="006F76EB" w:rsidP="00ED35B6">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6.2.</w:t>
      </w:r>
      <w:r w:rsidRPr="00834D52">
        <w:rPr>
          <w:rFonts w:ascii="Sylfaen" w:hAnsi="Sylfaen"/>
          <w:sz w:val="24"/>
          <w:szCs w:val="24"/>
        </w:rPr>
        <w:tab/>
        <w:t>Մոդուլ 2.</w:t>
      </w:r>
    </w:p>
    <w:p w14:paraId="31AAF328" w14:textId="77777777" w:rsidR="006F76EB" w:rsidRPr="00834D52" w:rsidRDefault="006F76EB" w:rsidP="00CB3DC3">
      <w:pPr>
        <w:spacing w:after="160" w:line="336"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Նախակլինիկական </w:t>
      </w:r>
      <w:r w:rsidR="00C54D75">
        <w:rPr>
          <w:rFonts w:ascii="Sylfaen" w:hAnsi="Sylfaen"/>
          <w:spacing w:val="-4"/>
          <w:sz w:val="24"/>
          <w:szCs w:val="24"/>
        </w:rPr>
        <w:t>և</w:t>
      </w:r>
      <w:r w:rsidRPr="00834D52">
        <w:rPr>
          <w:rFonts w:ascii="Sylfaen" w:hAnsi="Sylfaen"/>
          <w:spacing w:val="-4"/>
          <w:sz w:val="24"/>
          <w:szCs w:val="24"/>
        </w:rPr>
        <w:t xml:space="preserve"> կլինիկական տվյալների ամփոփագրում պետք է նշվեն՝</w:t>
      </w:r>
    </w:p>
    <w:p w14:paraId="063F072C"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դեղագործական շուկայում իրացման ենթակա դեղապատրաստուկի սերիաներում ակտիվ նյութի խառնուկների պրոֆիլի ռեզյումեն (</w:t>
      </w:r>
      <w:r w:rsidR="00C54D75">
        <w:rPr>
          <w:rFonts w:ascii="Sylfaen" w:hAnsi="Sylfaen"/>
          <w:sz w:val="24"/>
          <w:szCs w:val="24"/>
        </w:rPr>
        <w:t>և</w:t>
      </w:r>
      <w:r w:rsidRPr="00834D52">
        <w:rPr>
          <w:rFonts w:ascii="Sylfaen" w:hAnsi="Sylfaen"/>
          <w:sz w:val="24"/>
          <w:szCs w:val="24"/>
        </w:rPr>
        <w:t> համապատասխան դեպքերում՝ դեղապատրաստուկի պահպանման ժամանակ առաջացող հնարավոր քայքայման արգասիքները).</w:t>
      </w:r>
    </w:p>
    <w:p w14:paraId="3B02DAF5"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կենսահամարժեքության հետազոտությունների գնահատումը կամ այն պատճառի բացատրությունը, որի հիման վրա կենսահամարժեքության հետազոտություններ չեն անցկացվել.</w:t>
      </w:r>
    </w:p>
    <w:p w14:paraId="7796B6C7"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տվյալ դեղապատրաստուկի ակտիվ նյութի վերաբերյալ գրական հրապարակումների թարմացում (տվյալ պահանջը կարող է կատարվել գրախոսվող պարբերականներում հրապարակումներին արված հղումների միջոցով).</w:t>
      </w:r>
    </w:p>
    <w:p w14:paraId="6BEEDEF6"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նախկինում անծանոթ կամ պատրաստուկի բնութագրից </w:t>
      </w:r>
      <w:r w:rsidR="00C54D75">
        <w:rPr>
          <w:rFonts w:ascii="Sylfaen" w:hAnsi="Sylfaen"/>
          <w:sz w:val="24"/>
          <w:szCs w:val="24"/>
        </w:rPr>
        <w:t>և</w:t>
      </w:r>
      <w:r w:rsidRPr="00834D52">
        <w:rPr>
          <w:rFonts w:ascii="Sylfaen" w:hAnsi="Sylfaen"/>
          <w:sz w:val="24"/>
          <w:szCs w:val="24"/>
        </w:rPr>
        <w:t xml:space="preserve"> (կամ) դրա թերապ</w:t>
      </w:r>
      <w:r w:rsidR="00C54D75">
        <w:rPr>
          <w:rFonts w:ascii="Sylfaen" w:hAnsi="Sylfaen"/>
          <w:sz w:val="24"/>
          <w:szCs w:val="24"/>
        </w:rPr>
        <w:t>և</w:t>
      </w:r>
      <w:r w:rsidRPr="00834D52">
        <w:rPr>
          <w:rFonts w:ascii="Sylfaen" w:hAnsi="Sylfaen"/>
          <w:sz w:val="24"/>
          <w:szCs w:val="24"/>
        </w:rPr>
        <w:t xml:space="preserve">տիկ խմբից բխող կետերը, որոնք հարկ է վերլուծել նախակլինիկական </w:t>
      </w:r>
      <w:r w:rsidR="00C54D75">
        <w:rPr>
          <w:rFonts w:ascii="Sylfaen" w:hAnsi="Sylfaen"/>
          <w:sz w:val="24"/>
          <w:szCs w:val="24"/>
        </w:rPr>
        <w:t>և</w:t>
      </w:r>
      <w:r w:rsidRPr="00834D52">
        <w:rPr>
          <w:rFonts w:ascii="Sylfaen" w:hAnsi="Sylfaen"/>
          <w:sz w:val="24"/>
          <w:szCs w:val="24"/>
        </w:rPr>
        <w:t xml:space="preserve"> կլինիկական ամփոփագրերում (ռեզյումեներում) </w:t>
      </w:r>
      <w:r w:rsidR="00C54D75">
        <w:rPr>
          <w:rFonts w:ascii="Sylfaen" w:hAnsi="Sylfaen"/>
          <w:sz w:val="24"/>
          <w:szCs w:val="24"/>
        </w:rPr>
        <w:t>և</w:t>
      </w:r>
      <w:r w:rsidRPr="00834D52">
        <w:rPr>
          <w:rFonts w:ascii="Sylfaen" w:hAnsi="Sylfaen"/>
          <w:sz w:val="24"/>
          <w:szCs w:val="24"/>
        </w:rPr>
        <w:t xml:space="preserve"> հիմնավորել գիտական գրականությունից </w:t>
      </w:r>
      <w:r w:rsidR="00C54D75">
        <w:rPr>
          <w:rFonts w:ascii="Sylfaen" w:hAnsi="Sylfaen"/>
          <w:sz w:val="24"/>
          <w:szCs w:val="24"/>
        </w:rPr>
        <w:t>և</w:t>
      </w:r>
      <w:r w:rsidRPr="00834D52">
        <w:rPr>
          <w:rFonts w:ascii="Sylfaen" w:hAnsi="Sylfaen"/>
          <w:sz w:val="24"/>
          <w:szCs w:val="24"/>
        </w:rPr>
        <w:t xml:space="preserve"> (կամ) լրացուցիչ հետազոտությունների անցկացման արդյունքում ստացված ապացույցներով.</w:t>
      </w:r>
    </w:p>
    <w:p w14:paraId="45EC6825" w14:textId="44B4AD81"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լրացուցիչ տեղեկատվությունը, որով ապացուցվում է, որ </w:t>
      </w:r>
      <w:r w:rsidR="001A5F1A">
        <w:rPr>
          <w:rFonts w:ascii="Sylfaen" w:hAnsi="Sylfaen"/>
          <w:sz w:val="24"/>
          <w:szCs w:val="24"/>
        </w:rPr>
        <w:t>հայտագրված</w:t>
      </w:r>
      <w:r w:rsidRPr="00834D52">
        <w:rPr>
          <w:rFonts w:ascii="Sylfaen" w:hAnsi="Sylfaen"/>
          <w:sz w:val="24"/>
          <w:szCs w:val="24"/>
        </w:rPr>
        <w:t xml:space="preserve"> 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w:t>
      </w:r>
      <w:r w:rsidR="00665C60" w:rsidRPr="00665C60">
        <w:rPr>
          <w:rFonts w:ascii="Sylfaen" w:hAnsi="Sylfaen"/>
          <w:sz w:val="24"/>
          <w:szCs w:val="24"/>
        </w:rPr>
        <w:t> </w:t>
      </w:r>
      <w:r w:rsidRPr="00834D52">
        <w:rPr>
          <w:rFonts w:ascii="Sylfaen" w:hAnsi="Sylfaen"/>
          <w:sz w:val="24"/>
          <w:szCs w:val="24"/>
        </w:rPr>
        <w:t xml:space="preserve">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32680A">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1964391F"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6.3.</w:t>
      </w:r>
      <w:r w:rsidRPr="00834D52">
        <w:rPr>
          <w:rFonts w:ascii="Sylfaen" w:hAnsi="Sylfaen"/>
          <w:sz w:val="24"/>
          <w:szCs w:val="24"/>
        </w:rPr>
        <w:tab/>
        <w:t>Մոդուլ 3.</w:t>
      </w:r>
    </w:p>
    <w:p w14:paraId="34F02065"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Պետք է ներկայացնել դեղապատրաստուկի գրանցման դոսյեի 3-րդ մոդուլն ամբողջությամբ:</w:t>
      </w:r>
    </w:p>
    <w:p w14:paraId="7B179D20"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6.4.</w:t>
      </w:r>
      <w:r w:rsidRPr="00834D52">
        <w:rPr>
          <w:rFonts w:ascii="Sylfaen" w:hAnsi="Sylfaen"/>
          <w:sz w:val="24"/>
          <w:szCs w:val="24"/>
        </w:rPr>
        <w:tab/>
        <w:t xml:space="preserve">Մոդուլ 4 </w:t>
      </w:r>
      <w:r w:rsidR="00C54D75">
        <w:rPr>
          <w:rFonts w:ascii="Sylfaen" w:hAnsi="Sylfaen"/>
          <w:sz w:val="24"/>
          <w:szCs w:val="24"/>
        </w:rPr>
        <w:t>և</w:t>
      </w:r>
      <w:r w:rsidRPr="00834D52">
        <w:rPr>
          <w:rFonts w:ascii="Sylfaen" w:hAnsi="Sylfaen"/>
          <w:sz w:val="24"/>
          <w:szCs w:val="24"/>
        </w:rPr>
        <w:t xml:space="preserve"> մոդուլ 5.</w:t>
      </w:r>
    </w:p>
    <w:p w14:paraId="53F3DE0B" w14:textId="625B287F" w:rsidR="006F76EB" w:rsidRPr="00834D52" w:rsidRDefault="006F76EB" w:rsidP="00CB3DC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Կենսահամարժեքության հետազոտությունների արդյունքները, որոնք անցկացվել են այն դեպքերում, երբ դա անհրաժեշտ է, հարկ է ընդգրկել դեղապատրաստուկի գրանցման դոսյեի 5.3.1 բաժնում: Բիովեյվեր</w:t>
      </w:r>
      <w:r w:rsidR="004553AB">
        <w:rPr>
          <w:rFonts w:ascii="Sylfaen" w:hAnsi="Sylfaen"/>
          <w:sz w:val="24"/>
          <w:szCs w:val="24"/>
        </w:rPr>
        <w:t>ով</w:t>
      </w:r>
      <w:r w:rsidRPr="00834D52">
        <w:rPr>
          <w:rFonts w:ascii="Sylfaen" w:hAnsi="Sylfaen"/>
          <w:sz w:val="24"/>
          <w:szCs w:val="24"/>
        </w:rPr>
        <w:t xml:space="preserve"> համարժեքության ապացուցման արդյունքները պետք է ներկայացված լինեն 5.3.1.2</w:t>
      </w:r>
      <w:r w:rsidR="00665C60" w:rsidRPr="00665C60">
        <w:rPr>
          <w:rFonts w:ascii="Sylfaen" w:hAnsi="Sylfaen"/>
          <w:sz w:val="24"/>
          <w:szCs w:val="24"/>
        </w:rPr>
        <w:t> </w:t>
      </w:r>
      <w:r w:rsidRPr="00834D52">
        <w:rPr>
          <w:rFonts w:ascii="Sylfaen" w:hAnsi="Sylfaen"/>
          <w:sz w:val="24"/>
          <w:szCs w:val="24"/>
        </w:rPr>
        <w:t>ենթաբաժնում: Նա</w:t>
      </w:r>
      <w:r w:rsidR="00C54D75">
        <w:rPr>
          <w:rFonts w:ascii="Sylfaen" w:hAnsi="Sylfaen"/>
          <w:sz w:val="24"/>
          <w:szCs w:val="24"/>
        </w:rPr>
        <w:t>և</w:t>
      </w:r>
      <w:r w:rsidRPr="00834D52">
        <w:rPr>
          <w:rFonts w:ascii="Sylfaen" w:hAnsi="Sylfaen"/>
          <w:sz w:val="24"/>
          <w:szCs w:val="24"/>
        </w:rPr>
        <w:t xml:space="preserve"> անհրաժեշտ է ներկայացնել կենսավերլուծական մեթոդի վալիդացման մասին հաշվետվությունը: Նա</w:t>
      </w:r>
      <w:r w:rsidR="00C54D75">
        <w:rPr>
          <w:rFonts w:ascii="Sylfaen" w:hAnsi="Sylfaen"/>
          <w:sz w:val="24"/>
          <w:szCs w:val="24"/>
        </w:rPr>
        <w:t>և</w:t>
      </w:r>
      <w:r w:rsidRPr="00834D52">
        <w:rPr>
          <w:rFonts w:ascii="Sylfaen" w:hAnsi="Sylfaen"/>
          <w:sz w:val="24"/>
          <w:szCs w:val="24"/>
        </w:rPr>
        <w:t xml:space="preserve"> անհրաժեշտ է ներկայացնել կոնցենտրացիայի, </w:t>
      </w:r>
      <w:r w:rsidR="00355C33">
        <w:rPr>
          <w:rFonts w:ascii="Sylfaen" w:hAnsi="Sylfaen"/>
          <w:sz w:val="24"/>
          <w:szCs w:val="24"/>
        </w:rPr>
        <w:t>դեղա</w:t>
      </w:r>
      <w:r w:rsidRPr="00834D52">
        <w:rPr>
          <w:rFonts w:ascii="Sylfaen" w:hAnsi="Sylfaen"/>
          <w:sz w:val="24"/>
          <w:szCs w:val="24"/>
        </w:rPr>
        <w:t xml:space="preserve">կինետիկայի մասին </w:t>
      </w:r>
      <w:r w:rsidR="00C54D75">
        <w:rPr>
          <w:rFonts w:ascii="Sylfaen" w:hAnsi="Sylfaen"/>
          <w:sz w:val="24"/>
          <w:szCs w:val="24"/>
        </w:rPr>
        <w:t>և</w:t>
      </w:r>
      <w:r w:rsidRPr="00834D52">
        <w:rPr>
          <w:rFonts w:ascii="Sylfaen" w:hAnsi="Sylfaen"/>
          <w:sz w:val="24"/>
          <w:szCs w:val="24"/>
        </w:rPr>
        <w:t xml:space="preserve"> վիճակագրական վերլուծության մասով տվյալները:</w:t>
      </w:r>
    </w:p>
    <w:p w14:paraId="4D9A2AEE" w14:textId="77777777" w:rsidR="006F76EB" w:rsidRPr="00834D52" w:rsidRDefault="006F76EB" w:rsidP="008D457F">
      <w:pPr>
        <w:spacing w:after="160" w:line="336"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Կենսահամարժեքության հետազոտության անցկացման մասին </w:t>
      </w:r>
      <w:r w:rsidRPr="00834D52">
        <w:rPr>
          <w:rFonts w:ascii="Sylfaen" w:hAnsi="Sylfaen"/>
          <w:spacing w:val="-4"/>
          <w:sz w:val="24"/>
          <w:szCs w:val="24"/>
        </w:rPr>
        <w:lastRenderedPageBreak/>
        <w:t xml:space="preserve">հաշվետվությունում անհրաժեշտ է նշել տեղեկություններ՝ հետազոտողի (նշելով նրա աշխատանքային վայրը), հետազոտությունն անցկացնող կազմակերպության </w:t>
      </w:r>
      <w:r w:rsidR="00C54D75">
        <w:rPr>
          <w:rFonts w:ascii="Sylfaen" w:hAnsi="Sylfaen"/>
          <w:spacing w:val="-4"/>
          <w:sz w:val="24"/>
          <w:szCs w:val="24"/>
        </w:rPr>
        <w:t>և</w:t>
      </w:r>
      <w:r w:rsidRPr="00834D52">
        <w:rPr>
          <w:rFonts w:ascii="Sylfaen" w:hAnsi="Sylfaen"/>
          <w:spacing w:val="-4"/>
          <w:sz w:val="24"/>
          <w:szCs w:val="24"/>
        </w:rPr>
        <w:t xml:space="preserve"> հետազոտության անցկացման ժամկետի մասին: Հաշվետվությանն անհրաժեշտ է կցել աուդիտների հավաստագրերը (առկայության դեպքում):</w:t>
      </w:r>
    </w:p>
    <w:p w14:paraId="2E6DCB9F"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Կենսահամարժեքության հետազոտության անցկացման մասին հաշվետվությունում կամ առանձին պաշտոնական գրությունում պետք է նշվի </w:t>
      </w:r>
      <w:r w:rsidR="0032680A">
        <w:rPr>
          <w:rFonts w:ascii="Sylfaen" w:hAnsi="Sylfaen"/>
          <w:sz w:val="24"/>
          <w:szCs w:val="24"/>
        </w:rPr>
        <w:t xml:space="preserve">ռեֆերենտ </w:t>
      </w:r>
      <w:r w:rsidRPr="00834D52">
        <w:rPr>
          <w:rFonts w:ascii="Sylfaen" w:hAnsi="Sylfaen"/>
          <w:sz w:val="24"/>
          <w:szCs w:val="24"/>
        </w:rPr>
        <w:t>դեղապատրաստուկի ընտրության հաստատումը՝ Հանձնաժողովի կողմից հաստատվող՝ Եվրասիական տնտեսական միության շրջանակներում դեղապատրաստուկի կենսահամարժեքության հետազոտությունների անցկացման կանոններին համապատասխան: Նա</w:t>
      </w:r>
      <w:r w:rsidR="00C54D75">
        <w:rPr>
          <w:rFonts w:ascii="Sylfaen" w:hAnsi="Sylfaen"/>
          <w:sz w:val="24"/>
          <w:szCs w:val="24"/>
        </w:rPr>
        <w:t>և</w:t>
      </w:r>
      <w:r w:rsidRPr="00834D52">
        <w:rPr>
          <w:rFonts w:ascii="Sylfaen" w:hAnsi="Sylfaen"/>
          <w:sz w:val="24"/>
          <w:szCs w:val="24"/>
        </w:rPr>
        <w:t xml:space="preserve"> նշվում են </w:t>
      </w:r>
      <w:r w:rsidR="0032680A">
        <w:rPr>
          <w:rFonts w:ascii="Sylfaen" w:hAnsi="Sylfaen"/>
          <w:sz w:val="24"/>
          <w:szCs w:val="24"/>
        </w:rPr>
        <w:t xml:space="preserve">ռեֆերենտ </w:t>
      </w:r>
      <w:r w:rsidRPr="00834D52">
        <w:rPr>
          <w:rFonts w:ascii="Sylfaen" w:hAnsi="Sylfaen"/>
          <w:sz w:val="24"/>
          <w:szCs w:val="24"/>
        </w:rPr>
        <w:t>դեղապատրաստուկի վերաբերյալ հետ</w:t>
      </w:r>
      <w:r w:rsidR="00C54D75">
        <w:rPr>
          <w:rFonts w:ascii="Sylfaen" w:hAnsi="Sylfaen"/>
          <w:sz w:val="24"/>
          <w:szCs w:val="24"/>
        </w:rPr>
        <w:t>և</w:t>
      </w:r>
      <w:r w:rsidRPr="00834D52">
        <w:rPr>
          <w:rFonts w:ascii="Sylfaen" w:hAnsi="Sylfaen"/>
          <w:sz w:val="24"/>
          <w:szCs w:val="24"/>
        </w:rPr>
        <w:t>յալ տեղեկությունները.</w:t>
      </w:r>
    </w:p>
    <w:p w14:paraId="45296076"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անվանումը.</w:t>
      </w:r>
    </w:p>
    <w:p w14:paraId="5F667691"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դոզավորումը.</w:t>
      </w:r>
    </w:p>
    <w:p w14:paraId="78DF817F"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p w14:paraId="3177E9C3"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իրավատերը.</w:t>
      </w:r>
    </w:p>
    <w:p w14:paraId="604FA4CC"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ամսաթիվը.</w:t>
      </w:r>
    </w:p>
    <w:p w14:paraId="6A720078"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հավաստագրի համարը.</w:t>
      </w:r>
    </w:p>
    <w:p w14:paraId="3288FE0C"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անդամ պետությունը, որի տարածքում </w:t>
      </w:r>
      <w:r w:rsidR="00D23E48">
        <w:rPr>
          <w:rFonts w:ascii="Sylfaen" w:hAnsi="Sylfaen"/>
          <w:sz w:val="24"/>
          <w:szCs w:val="24"/>
        </w:rPr>
        <w:t xml:space="preserve">ռեֆերենտ </w:t>
      </w:r>
      <w:r w:rsidRPr="00834D52">
        <w:rPr>
          <w:rFonts w:ascii="Sylfaen" w:hAnsi="Sylfaen"/>
          <w:sz w:val="24"/>
          <w:szCs w:val="24"/>
        </w:rPr>
        <w:t>պատրաստուկը գրանցված է.</w:t>
      </w:r>
    </w:p>
    <w:p w14:paraId="4C86CEE7"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սերիայի համարը.</w:t>
      </w:r>
    </w:p>
    <w:p w14:paraId="6ABC44C3"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արտադրողի անվանումը.</w:t>
      </w:r>
    </w:p>
    <w:p w14:paraId="53A6ECAB"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պիտանիության ժամկետը.</w:t>
      </w:r>
    </w:p>
    <w:p w14:paraId="45D23151"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ձեռքբերման երկիրը:</w:t>
      </w:r>
    </w:p>
    <w:p w14:paraId="2BBAB80F"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Դեղամիջոցների հարցերով փորձագիտական կոմիտեի առաջարկությունը՝ </w:t>
      </w:r>
      <w:r w:rsidR="0032680A">
        <w:rPr>
          <w:rFonts w:ascii="Sylfaen" w:hAnsi="Sylfaen"/>
          <w:sz w:val="24"/>
          <w:szCs w:val="24"/>
        </w:rPr>
        <w:t xml:space="preserve">ռեֆերենտ </w:t>
      </w:r>
      <w:r w:rsidRPr="00834D52">
        <w:rPr>
          <w:rFonts w:ascii="Sylfaen" w:hAnsi="Sylfaen"/>
          <w:sz w:val="24"/>
          <w:szCs w:val="24"/>
        </w:rPr>
        <w:t>պատրաստուկի ընտրության վերաբերյալ (առկայության դեպքում):</w:t>
      </w:r>
    </w:p>
    <w:p w14:paraId="3533E3CD" w14:textId="77777777"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Անհրաժեշտ է նշել թեստավորվող պատրաստուկի անվանումը </w:t>
      </w:r>
      <w:r w:rsidR="00C54D75">
        <w:rPr>
          <w:rFonts w:ascii="Sylfaen" w:hAnsi="Sylfaen"/>
          <w:sz w:val="24"/>
          <w:szCs w:val="24"/>
        </w:rPr>
        <w:t>և</w:t>
      </w:r>
      <w:r w:rsidRPr="00834D52">
        <w:rPr>
          <w:rFonts w:ascii="Sylfaen" w:hAnsi="Sylfaen"/>
          <w:sz w:val="24"/>
          <w:szCs w:val="24"/>
        </w:rPr>
        <w:t xml:space="preserve"> բաղադրությունը, սերիայի ծավալը, արտադրության ամսաթիվը </w:t>
      </w:r>
      <w:r w:rsidR="00C54D75">
        <w:rPr>
          <w:rFonts w:ascii="Sylfaen" w:hAnsi="Sylfaen"/>
          <w:sz w:val="24"/>
          <w:szCs w:val="24"/>
        </w:rPr>
        <w:t>և</w:t>
      </w:r>
      <w:r w:rsidRPr="00834D52">
        <w:rPr>
          <w:rFonts w:ascii="Sylfaen" w:hAnsi="Sylfaen"/>
          <w:sz w:val="24"/>
          <w:szCs w:val="24"/>
        </w:rPr>
        <w:t xml:space="preserve"> հնարավորության դեպքում՝ պիտանիության ժամկետի ավարտի օրը:</w:t>
      </w:r>
    </w:p>
    <w:p w14:paraId="22B70CD6" w14:textId="77777777"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մասին հաշվետվության հավելվածում նա</w:t>
      </w:r>
      <w:r w:rsidR="00C54D75">
        <w:rPr>
          <w:rFonts w:ascii="Sylfaen" w:hAnsi="Sylfaen"/>
          <w:sz w:val="24"/>
          <w:szCs w:val="24"/>
        </w:rPr>
        <w:t>և</w:t>
      </w:r>
      <w:r w:rsidRPr="00834D52">
        <w:rPr>
          <w:rFonts w:ascii="Sylfaen" w:hAnsi="Sylfaen"/>
          <w:sz w:val="24"/>
          <w:szCs w:val="24"/>
        </w:rPr>
        <w:t xml:space="preserve"> ընդգրկվում են կենսահամարժեքության հետազոտությունում օգտագործված </w:t>
      </w:r>
      <w:r w:rsidR="00D23E48">
        <w:rPr>
          <w:rFonts w:ascii="Sylfaen" w:hAnsi="Sylfaen"/>
          <w:sz w:val="24"/>
          <w:szCs w:val="24"/>
        </w:rPr>
        <w:t>ռեֆերենտ</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թեստավորվող պատրաստուկի սերիայի վերլուծության հավաստագրերը:</w:t>
      </w:r>
    </w:p>
    <w:p w14:paraId="63742DA7" w14:textId="25F66DEB"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արտադրողի՝ որակի հարցերով լիազորված անձի կողմից ստորագրված </w:t>
      </w:r>
      <w:r w:rsidR="00C54D75">
        <w:rPr>
          <w:rFonts w:ascii="Sylfaen" w:hAnsi="Sylfaen"/>
          <w:sz w:val="24"/>
          <w:szCs w:val="24"/>
        </w:rPr>
        <w:t>և</w:t>
      </w:r>
      <w:r w:rsidRPr="00834D52">
        <w:rPr>
          <w:rFonts w:ascii="Sylfaen" w:hAnsi="Sylfaen"/>
          <w:sz w:val="24"/>
          <w:szCs w:val="24"/>
        </w:rPr>
        <w:t xml:space="preserve"> հետազոտվող պատրաստուկի քանակական կազմի </w:t>
      </w:r>
      <w:r w:rsidR="00C54D75">
        <w:rPr>
          <w:rFonts w:ascii="Sylfaen" w:hAnsi="Sylfaen"/>
          <w:sz w:val="24"/>
          <w:szCs w:val="24"/>
        </w:rPr>
        <w:t>և</w:t>
      </w:r>
      <w:r w:rsidRPr="00834D52">
        <w:rPr>
          <w:rFonts w:ascii="Sylfaen" w:hAnsi="Sylfaen"/>
          <w:sz w:val="24"/>
          <w:szCs w:val="24"/>
        </w:rPr>
        <w:t xml:space="preserve"> արտադրության՝ գրանցման նպատակով </w:t>
      </w:r>
      <w:r w:rsidR="001A5F1A">
        <w:rPr>
          <w:rFonts w:ascii="Sylfaen" w:hAnsi="Sylfaen"/>
          <w:sz w:val="24"/>
          <w:szCs w:val="24"/>
        </w:rPr>
        <w:t>հայտագրված</w:t>
      </w:r>
      <w:r w:rsidRPr="00834D52">
        <w:rPr>
          <w:rFonts w:ascii="Sylfaen" w:hAnsi="Sylfaen"/>
          <w:sz w:val="24"/>
          <w:szCs w:val="24"/>
        </w:rPr>
        <w:t xml:space="preserve"> դեղապարաստուկի քանակական կազմի </w:t>
      </w:r>
      <w:r w:rsidR="00C54D75">
        <w:rPr>
          <w:rFonts w:ascii="Sylfaen" w:hAnsi="Sylfaen"/>
          <w:sz w:val="24"/>
          <w:szCs w:val="24"/>
        </w:rPr>
        <w:t>և</w:t>
      </w:r>
      <w:r w:rsidRPr="00834D52">
        <w:rPr>
          <w:rFonts w:ascii="Sylfaen" w:hAnsi="Sylfaen"/>
          <w:sz w:val="24"/>
          <w:szCs w:val="24"/>
        </w:rPr>
        <w:t xml:space="preserve"> արտադրության հետ նույնական լինելը հաստատող պաշտոնական գրություն ներկայացնել:</w:t>
      </w:r>
    </w:p>
    <w:p w14:paraId="7B085D8B" w14:textId="298ABEE4"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լրացուցիչ տեղեկատվություն ներկայացնել (դեղապատրաստուկի գրանցման դոսյեի ընդհանուր տեխնիկական փաստաթղթի կառուցվածքին համապատասխան), որով կապացուցվի, որ </w:t>
      </w:r>
      <w:r w:rsidR="001A5F1A">
        <w:rPr>
          <w:rFonts w:ascii="Sylfaen" w:hAnsi="Sylfaen"/>
          <w:sz w:val="24"/>
          <w:szCs w:val="24"/>
        </w:rPr>
        <w:t>հայտագրված</w:t>
      </w:r>
      <w:r w:rsidRPr="00834D52">
        <w:rPr>
          <w:rFonts w:ascii="Sylfaen" w:hAnsi="Sylfaen"/>
          <w:sz w:val="24"/>
          <w:szCs w:val="24"/>
        </w:rPr>
        <w:t xml:space="preserve"> դեղապատրաստուկի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 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32680A">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0AF9A3B2" w14:textId="77777777" w:rsidR="006F76EB" w:rsidRPr="00834D52" w:rsidRDefault="006F76EB" w:rsidP="002B6F90">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նախակլինիկական, կլինիկական հետազոտությունների արդյունքները, որոնք անցկացվել են այն դեպքերում, երբ դա անհրաժեշտ է, պետք է ընդգրկել 4-րդ </w:t>
      </w:r>
      <w:r w:rsidR="00C54D75">
        <w:rPr>
          <w:rFonts w:ascii="Sylfaen" w:hAnsi="Sylfaen"/>
          <w:sz w:val="24"/>
          <w:szCs w:val="24"/>
        </w:rPr>
        <w:t>և</w:t>
      </w:r>
      <w:r w:rsidRPr="00834D52">
        <w:rPr>
          <w:rFonts w:ascii="Sylfaen" w:hAnsi="Sylfaen"/>
          <w:sz w:val="24"/>
          <w:szCs w:val="24"/>
        </w:rPr>
        <w:t xml:space="preserve"> 5-րդ մոդուլների համապատասխան բաժիններում:</w:t>
      </w:r>
    </w:p>
    <w:p w14:paraId="2609A36E" w14:textId="77777777" w:rsidR="006F76EB" w:rsidRPr="00834D52" w:rsidRDefault="006F76EB" w:rsidP="002B6F90">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Կենսամատչելիության հետազոտությունները չեն պահանջվում Հանձնաժողովի կողմից հաստատվող՝ Եվրասիական տնտեսական միության շրջանակներում դեղապատրաստուկների կենսամատչելիության հետազոտությունների անցկացման կանոններում նշված չափանիշներին վերարտադրված դեղապատրաստուկի համապատասխանելու մասին տվյալների առկայության դեպքում:</w:t>
      </w:r>
    </w:p>
    <w:p w14:paraId="5ACF7C8A" w14:textId="118EF33E" w:rsidR="006F76EB" w:rsidRDefault="006F76EB" w:rsidP="007D3426">
      <w:pPr>
        <w:spacing w:after="160" w:line="360" w:lineRule="auto"/>
        <w:ind w:right="-8" w:firstLine="567"/>
        <w:jc w:val="both"/>
        <w:rPr>
          <w:rFonts w:ascii="Sylfaen" w:hAnsi="Sylfaen"/>
          <w:sz w:val="24"/>
          <w:szCs w:val="24"/>
        </w:rPr>
      </w:pPr>
      <w:r w:rsidRPr="00834D52">
        <w:rPr>
          <w:rFonts w:ascii="Sylfaen" w:hAnsi="Sylfaen"/>
          <w:sz w:val="24"/>
          <w:szCs w:val="24"/>
        </w:rPr>
        <w:lastRenderedPageBreak/>
        <w:t xml:space="preserve">Այն դեպքում, երբ վերարտադրվող դեղապատրաստուկի ակտիվ նյութը ներկայացված է այլ աղով, եթերով կամ գրանցված պատրաստուկի ակտիվ նյութի ածանցյալով, ներկայացվում է լրացուցիչ տեղեկատվություն (մատենագիտական ուսումնասիրություններ) կամ համապատասխան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(համեմատական կենսամատչելիության հետազոտությունների) հաշվետվություններ, որոնցով ապացուցվում է վերարտադրված դեղապատրաստուկի </w:t>
      </w:r>
      <w:r w:rsidR="00355C33">
        <w:rPr>
          <w:rFonts w:ascii="Sylfaen" w:hAnsi="Sylfaen"/>
          <w:sz w:val="24"/>
          <w:szCs w:val="24"/>
        </w:rPr>
        <w:t>դեղա</w:t>
      </w:r>
      <w:r w:rsidRPr="00834D52">
        <w:rPr>
          <w:rFonts w:ascii="Sylfaen" w:hAnsi="Sylfaen"/>
          <w:sz w:val="24"/>
          <w:szCs w:val="24"/>
        </w:rPr>
        <w:t xml:space="preserve">կինետիկայում, </w:t>
      </w:r>
      <w:r w:rsidR="00355C33">
        <w:rPr>
          <w:rFonts w:ascii="Sylfaen" w:hAnsi="Sylfaen"/>
          <w:sz w:val="24"/>
          <w:szCs w:val="24"/>
        </w:rPr>
        <w:t>դեղա</w:t>
      </w:r>
      <w:r w:rsidRPr="00834D52">
        <w:rPr>
          <w:rFonts w:ascii="Sylfaen" w:hAnsi="Sylfaen"/>
          <w:sz w:val="24"/>
          <w:szCs w:val="24"/>
        </w:rPr>
        <w:t xml:space="preserve">դինամիկայում </w:t>
      </w:r>
      <w:r w:rsidR="00C54D75">
        <w:rPr>
          <w:rFonts w:ascii="Sylfaen" w:hAnsi="Sylfaen"/>
          <w:sz w:val="24"/>
          <w:szCs w:val="24"/>
        </w:rPr>
        <w:t>և</w:t>
      </w:r>
      <w:r w:rsidRPr="00834D52">
        <w:rPr>
          <w:rFonts w:ascii="Sylfaen" w:hAnsi="Sylfaen"/>
          <w:sz w:val="24"/>
          <w:szCs w:val="24"/>
        </w:rPr>
        <w:t xml:space="preserve"> (կամ) թունավորության մեջ փոփոխությունների բացակայությունը: Այդպիսի ապացույցներ չներկայացնելու դեպքում տվյալ նյութը դիտարկվում է որպես նոր ակտիվ նյութ:</w:t>
      </w:r>
    </w:p>
    <w:p w14:paraId="64E9A235" w14:textId="4A57DF37" w:rsidR="006F76EB" w:rsidRPr="006F28F9" w:rsidRDefault="004553AB" w:rsidP="007F2846">
      <w:pPr>
        <w:rPr>
          <w:b/>
          <w:bCs/>
          <w:i/>
          <w:iCs/>
        </w:rPr>
      </w:pPr>
      <w:r w:rsidRPr="00CD4709">
        <w:rPr>
          <w:b/>
          <w:bCs/>
          <w:i/>
          <w:iCs/>
        </w:rPr>
        <w:t>(</w:t>
      </w:r>
      <w:r>
        <w:rPr>
          <w:b/>
          <w:bCs/>
          <w:i/>
          <w:iCs/>
        </w:rPr>
        <w:t xml:space="preserve">6-րդ կետը </w:t>
      </w:r>
      <w:r w:rsidRPr="00CD4709">
        <w:rPr>
          <w:b/>
          <w:bCs/>
          <w:i/>
          <w:iCs/>
        </w:rPr>
        <w:t>փոփ. 30.01.20 թիվ 9)</w:t>
      </w:r>
    </w:p>
    <w:p w14:paraId="7200B08E" w14:textId="77777777" w:rsidR="006F76EB" w:rsidRPr="00834D52" w:rsidRDefault="006F76EB" w:rsidP="007D3426">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7. Հիբրիդային դեղապատրաստուկների գրանցման դոսյեի փաստաթղթերին ներկայացվող պահանջները</w:t>
      </w:r>
    </w:p>
    <w:p w14:paraId="1F82279B"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Հիբրիդային դեղապատրաստուկների գրանցման դոսյեն պետք է պարունակի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լրացուցիչ տվյալներ՝ սույն բաժնի պահանջներին համապատասխան:</w:t>
      </w:r>
    </w:p>
    <w:p w14:paraId="5F362E10" w14:textId="77777777" w:rsidR="006F76EB" w:rsidRPr="00834D52" w:rsidRDefault="006F76EB" w:rsidP="008A55C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7.1.</w:t>
      </w:r>
      <w:r w:rsidRPr="00834D52">
        <w:rPr>
          <w:rFonts w:ascii="Sylfaen" w:hAnsi="Sylfaen"/>
          <w:sz w:val="24"/>
          <w:szCs w:val="24"/>
        </w:rPr>
        <w:tab/>
        <w:t>Մոդուլ 1.</w:t>
      </w:r>
    </w:p>
    <w:p w14:paraId="3C9203F7" w14:textId="3A3DFDA6"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գրանցման դոսյեի 1.8.2 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(մինչ</w:t>
      </w:r>
      <w:r w:rsidR="00C54D75">
        <w:rPr>
          <w:rFonts w:ascii="Sylfaen" w:hAnsi="Sylfaen"/>
          <w:sz w:val="24"/>
          <w:szCs w:val="24"/>
        </w:rPr>
        <w:t>և</w:t>
      </w:r>
      <w:r w:rsidRPr="00834D52">
        <w:rPr>
          <w:rFonts w:ascii="Sylfaen" w:hAnsi="Sylfaen"/>
          <w:sz w:val="24"/>
          <w:szCs w:val="24"/>
        </w:rPr>
        <w:t xml:space="preserve"> 5 էջ), որոնք ցույց են տալիս, որ դեղապատրաստուկը համապատասխան օրիգինալ դեղապատրաստուկի հիբրիդային դեղապատրաստուկ է: Ռեզյումեն պետք է պարունակի օրիգինալ պատրաստուկի համեմատությամբ պատրաստուկի, ակտիվ դեղագործական բաղադրամասի, դեղաձ</w:t>
      </w:r>
      <w:r w:rsidR="00C54D75">
        <w:rPr>
          <w:rFonts w:ascii="Sylfaen" w:hAnsi="Sylfaen"/>
          <w:sz w:val="24"/>
          <w:szCs w:val="24"/>
        </w:rPr>
        <w:t>և</w:t>
      </w:r>
      <w:r w:rsidRPr="00834D52">
        <w:rPr>
          <w:rFonts w:ascii="Sylfaen" w:hAnsi="Sylfaen"/>
          <w:sz w:val="24"/>
          <w:szCs w:val="24"/>
        </w:rPr>
        <w:t>ի, դոզավորումների, կիրառման ցուցումների, կիրառման եղանակի մասին տեղեկատվություն, ինչպես նա</w:t>
      </w:r>
      <w:r w:rsidR="00C54D75">
        <w:rPr>
          <w:rFonts w:ascii="Sylfaen" w:hAnsi="Sylfaen"/>
          <w:sz w:val="24"/>
          <w:szCs w:val="24"/>
        </w:rPr>
        <w:t>և</w:t>
      </w:r>
      <w:r w:rsidRPr="00834D52">
        <w:rPr>
          <w:rFonts w:ascii="Sylfaen" w:hAnsi="Sylfaen"/>
          <w:sz w:val="24"/>
          <w:szCs w:val="24"/>
        </w:rPr>
        <w:t xml:space="preserve"> անհրաժեշտության դեպքում տեղեկություններ՝ տվյալ պատրաստուկի կենսամատչելիության </w:t>
      </w:r>
      <w:r w:rsidR="00C54D75">
        <w:rPr>
          <w:rFonts w:ascii="Sylfaen" w:hAnsi="Sylfaen"/>
          <w:sz w:val="24"/>
          <w:szCs w:val="24"/>
        </w:rPr>
        <w:t>և</w:t>
      </w:r>
      <w:r w:rsidRPr="00834D52">
        <w:rPr>
          <w:rFonts w:ascii="Sylfaen" w:hAnsi="Sylfaen"/>
          <w:sz w:val="24"/>
          <w:szCs w:val="24"/>
        </w:rPr>
        <w:t xml:space="preserve"> կենսահամարժեքության մասին:</w:t>
      </w:r>
    </w:p>
    <w:p w14:paraId="48AEE0A3"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Որոշակի դեպքերում կարող է պահանջվել ռիսկերի կառավարման պլանը:</w:t>
      </w:r>
    </w:p>
    <w:p w14:paraId="77ECB91C"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Որոշակի տարրերի բացակայության դեպքում պետք է հիմնավորել դրանց բացակայությունը դեղապատրաստուկի գրանցման դոսյեի՝ տվյալ տարրի դասավորվածությանը համապատասխանող բաժնում: </w:t>
      </w:r>
    </w:p>
    <w:p w14:paraId="4F865697" w14:textId="77777777" w:rsidR="006F76EB" w:rsidRPr="00834D52" w:rsidRDefault="006F76EB" w:rsidP="008A55C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7.2.</w:t>
      </w:r>
      <w:r w:rsidRPr="00834D52">
        <w:rPr>
          <w:rFonts w:ascii="Sylfaen" w:hAnsi="Sylfaen"/>
          <w:sz w:val="24"/>
          <w:szCs w:val="24"/>
        </w:rPr>
        <w:tab/>
        <w:t>Մոդուլ 2.</w:t>
      </w:r>
    </w:p>
    <w:p w14:paraId="6FB4BC97"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ամփոփագրում անհրաժեշտ է հատուկ ուշադրություն դարձնել հետ</w:t>
      </w:r>
      <w:r w:rsidR="00C54D75">
        <w:rPr>
          <w:rFonts w:ascii="Sylfaen" w:hAnsi="Sylfaen"/>
          <w:sz w:val="24"/>
          <w:szCs w:val="24"/>
        </w:rPr>
        <w:t>և</w:t>
      </w:r>
      <w:r w:rsidRPr="00834D52">
        <w:rPr>
          <w:rFonts w:ascii="Sylfaen" w:hAnsi="Sylfaen"/>
          <w:sz w:val="24"/>
          <w:szCs w:val="24"/>
        </w:rPr>
        <w:t>յալ տարրերին.</w:t>
      </w:r>
    </w:p>
    <w:p w14:paraId="03B3CF9D"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դեղագործական շուկայում իրացման ենթակա դեղապատրաստուկի սերիաներում ակտիվ նյութի խառնուկների պրոֆիլի ռեզյումե (</w:t>
      </w:r>
      <w:r w:rsidR="00C54D75">
        <w:rPr>
          <w:rFonts w:ascii="Sylfaen" w:hAnsi="Sylfaen"/>
          <w:sz w:val="24"/>
          <w:szCs w:val="24"/>
        </w:rPr>
        <w:t>և</w:t>
      </w:r>
      <w:r w:rsidR="001C41B5" w:rsidRPr="001C41B5">
        <w:rPr>
          <w:rFonts w:ascii="Sylfaen" w:hAnsi="Sylfaen"/>
          <w:sz w:val="24"/>
          <w:szCs w:val="24"/>
        </w:rPr>
        <w:t> </w:t>
      </w:r>
      <w:r w:rsidRPr="00834D52">
        <w:rPr>
          <w:rFonts w:ascii="Sylfaen" w:hAnsi="Sylfaen"/>
          <w:sz w:val="24"/>
          <w:szCs w:val="24"/>
        </w:rPr>
        <w:t>համապատասխան դեպքերում՝ դեղապատրաստուկի պահպանման ժամանակ առաջացող հնարավոր քայքայման արգասիքները): դեղապատրաստուկի սերիաներով, որը ենթակա է իրացմանը դեղագործական շուկայում.</w:t>
      </w:r>
    </w:p>
    <w:p w14:paraId="24307D19"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տվյալ դեղապատրաստուկի ակտիվ նյութի վերաբերյալ գրական հրապարակումների թարմացում (տվյալ պահանջը կարող է կատարվել գրախոսվող պարբերականներում հոդվածներին արված հղումների միջոցով).</w:t>
      </w:r>
    </w:p>
    <w:p w14:paraId="733BF15C"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նախկինում անծանոթ կամ պատրաստուկի բնութագրից </w:t>
      </w:r>
      <w:r w:rsidR="00C54D75">
        <w:rPr>
          <w:rFonts w:ascii="Sylfaen" w:hAnsi="Sylfaen"/>
          <w:sz w:val="24"/>
          <w:szCs w:val="24"/>
        </w:rPr>
        <w:t>և</w:t>
      </w:r>
      <w:r w:rsidRPr="00834D52">
        <w:rPr>
          <w:rFonts w:ascii="Sylfaen" w:hAnsi="Sylfaen"/>
          <w:sz w:val="24"/>
          <w:szCs w:val="24"/>
        </w:rPr>
        <w:t xml:space="preserve"> (կամ) դրա թերապ</w:t>
      </w:r>
      <w:r w:rsidR="00C54D75">
        <w:rPr>
          <w:rFonts w:ascii="Sylfaen" w:hAnsi="Sylfaen"/>
          <w:sz w:val="24"/>
          <w:szCs w:val="24"/>
        </w:rPr>
        <w:t>և</w:t>
      </w:r>
      <w:r w:rsidRPr="00834D52">
        <w:rPr>
          <w:rFonts w:ascii="Sylfaen" w:hAnsi="Sylfaen"/>
          <w:sz w:val="24"/>
          <w:szCs w:val="24"/>
        </w:rPr>
        <w:t xml:space="preserve">տիկ խմբից բխող կետեր, որոնք հարկ է վերլուծել նախակլինիկական </w:t>
      </w:r>
      <w:r w:rsidR="00C54D75">
        <w:rPr>
          <w:rFonts w:ascii="Sylfaen" w:hAnsi="Sylfaen"/>
          <w:sz w:val="24"/>
          <w:szCs w:val="24"/>
        </w:rPr>
        <w:t>և</w:t>
      </w:r>
      <w:r w:rsidRPr="00834D52">
        <w:rPr>
          <w:rFonts w:ascii="Sylfaen" w:hAnsi="Sylfaen"/>
          <w:sz w:val="24"/>
          <w:szCs w:val="24"/>
        </w:rPr>
        <w:t xml:space="preserve"> կլինիկական ամփոփագրերում (ռեզյումեներում) </w:t>
      </w:r>
      <w:r w:rsidR="00C54D75">
        <w:rPr>
          <w:rFonts w:ascii="Sylfaen" w:hAnsi="Sylfaen"/>
          <w:sz w:val="24"/>
          <w:szCs w:val="24"/>
        </w:rPr>
        <w:t>և</w:t>
      </w:r>
      <w:r w:rsidRPr="00834D52">
        <w:rPr>
          <w:rFonts w:ascii="Sylfaen" w:hAnsi="Sylfaen"/>
          <w:sz w:val="24"/>
          <w:szCs w:val="24"/>
        </w:rPr>
        <w:t xml:space="preserve"> հիմնավորել գիտական գրականությունից </w:t>
      </w:r>
      <w:r w:rsidR="00C54D75">
        <w:rPr>
          <w:rFonts w:ascii="Sylfaen" w:hAnsi="Sylfaen"/>
          <w:sz w:val="24"/>
          <w:szCs w:val="24"/>
        </w:rPr>
        <w:t>և</w:t>
      </w:r>
      <w:r w:rsidRPr="00834D52">
        <w:rPr>
          <w:rFonts w:ascii="Sylfaen" w:hAnsi="Sylfaen"/>
          <w:sz w:val="24"/>
          <w:szCs w:val="24"/>
        </w:rPr>
        <w:t xml:space="preserve"> (կամ) լրացուցիչ հետազոտությունների անցկացման արդյունքում ստացված ապացույցներով.</w:t>
      </w:r>
    </w:p>
    <w:p w14:paraId="5DA748FC" w14:textId="432D9D9F"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լրացուցիչ տեղեկատվություն, որով ապացուցվում է, որ </w:t>
      </w:r>
      <w:r w:rsidR="001A5F1A">
        <w:rPr>
          <w:rFonts w:ascii="Sylfaen" w:hAnsi="Sylfaen"/>
          <w:sz w:val="24"/>
          <w:szCs w:val="24"/>
        </w:rPr>
        <w:t>հայտագրված</w:t>
      </w:r>
      <w:r w:rsidRPr="00834D52">
        <w:rPr>
          <w:rFonts w:ascii="Sylfaen" w:hAnsi="Sylfaen"/>
          <w:sz w:val="24"/>
          <w:szCs w:val="24"/>
        </w:rPr>
        <w:t xml:space="preserve"> 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w:t>
      </w:r>
      <w:r w:rsidR="00553BBB" w:rsidRPr="00553BBB">
        <w:rPr>
          <w:rFonts w:ascii="Sylfaen" w:hAnsi="Sylfaen"/>
          <w:sz w:val="24"/>
          <w:szCs w:val="24"/>
        </w:rPr>
        <w:t> </w:t>
      </w:r>
      <w:r w:rsidRPr="00834D52">
        <w:rPr>
          <w:rFonts w:ascii="Sylfaen" w:hAnsi="Sylfaen"/>
          <w:sz w:val="24"/>
          <w:szCs w:val="24"/>
        </w:rPr>
        <w:t xml:space="preserve">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D23E48">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75A7E168"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7.3.</w:t>
      </w:r>
      <w:r w:rsidRPr="00834D52">
        <w:rPr>
          <w:rFonts w:ascii="Sylfaen" w:hAnsi="Sylfaen"/>
          <w:sz w:val="24"/>
          <w:szCs w:val="24"/>
        </w:rPr>
        <w:tab/>
        <w:t>Մոդուլ 3.</w:t>
      </w:r>
    </w:p>
    <w:p w14:paraId="447F4845"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Հարկ է ներկայացնել դեղապատրաստուկի գրանցման դոսյեի 3-րդ մոդուլն ամբողջությամբ:</w:t>
      </w:r>
    </w:p>
    <w:p w14:paraId="620451B6"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7.4.</w:t>
      </w:r>
      <w:r w:rsidRPr="00834D52">
        <w:rPr>
          <w:rFonts w:ascii="Sylfaen" w:hAnsi="Sylfaen"/>
          <w:sz w:val="24"/>
          <w:szCs w:val="24"/>
        </w:rPr>
        <w:tab/>
        <w:t xml:space="preserve">Մոդուլ 4 </w:t>
      </w:r>
      <w:r w:rsidR="00C54D75">
        <w:rPr>
          <w:rFonts w:ascii="Sylfaen" w:hAnsi="Sylfaen"/>
          <w:sz w:val="24"/>
          <w:szCs w:val="24"/>
        </w:rPr>
        <w:t>և</w:t>
      </w:r>
      <w:r w:rsidRPr="00834D52">
        <w:rPr>
          <w:rFonts w:ascii="Sylfaen" w:hAnsi="Sylfaen"/>
          <w:sz w:val="24"/>
          <w:szCs w:val="24"/>
        </w:rPr>
        <w:t xml:space="preserve"> մոդուլ 5:</w:t>
      </w:r>
    </w:p>
    <w:p w14:paraId="5ABF9A5E" w14:textId="77777777" w:rsidR="006F76EB" w:rsidRPr="003C049F" w:rsidRDefault="006F76EB" w:rsidP="006F76EB">
      <w:pPr>
        <w:spacing w:after="160" w:line="360" w:lineRule="auto"/>
        <w:ind w:right="-6" w:firstLine="567"/>
        <w:jc w:val="both"/>
        <w:rPr>
          <w:rFonts w:ascii="Sylfaen" w:hAnsi="Sylfaen"/>
          <w:sz w:val="24"/>
          <w:szCs w:val="24"/>
        </w:rPr>
      </w:pPr>
      <w:r w:rsidRPr="00834D52">
        <w:rPr>
          <w:rFonts w:ascii="Sylfaen" w:hAnsi="Sylfaen"/>
          <w:sz w:val="24"/>
          <w:szCs w:val="24"/>
        </w:rPr>
        <w:t xml:space="preserve">Հիբրիդային դեղապատրաստուկի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արդյունքները հարկ է ընդգրկել 4-րդ </w:t>
      </w:r>
      <w:r w:rsidR="00C54D75">
        <w:rPr>
          <w:rFonts w:ascii="Sylfaen" w:hAnsi="Sylfaen"/>
          <w:sz w:val="24"/>
          <w:szCs w:val="24"/>
        </w:rPr>
        <w:t>և</w:t>
      </w:r>
      <w:r w:rsidRPr="00834D52">
        <w:rPr>
          <w:rFonts w:ascii="Sylfaen" w:hAnsi="Sylfaen"/>
          <w:sz w:val="24"/>
          <w:szCs w:val="24"/>
        </w:rPr>
        <w:t xml:space="preserve"> 5-րդ մոդուլների համապատասխան բաժիններում:</w:t>
      </w:r>
    </w:p>
    <w:p w14:paraId="0391ED88" w14:textId="77777777" w:rsidR="00AC17B1" w:rsidRPr="003C049F" w:rsidRDefault="00AC17B1" w:rsidP="00105024">
      <w:pPr>
        <w:spacing w:after="160" w:line="360" w:lineRule="auto"/>
        <w:ind w:right="-6" w:firstLine="567"/>
        <w:jc w:val="center"/>
        <w:rPr>
          <w:rFonts w:ascii="Sylfaen" w:eastAsia="Times New Roman" w:hAnsi="Sylfaen" w:cs="Times New Roman"/>
          <w:sz w:val="24"/>
          <w:szCs w:val="24"/>
        </w:rPr>
      </w:pPr>
    </w:p>
    <w:p w14:paraId="105224AB" w14:textId="3EF0A12B" w:rsidR="006F76EB" w:rsidRPr="00834D52" w:rsidRDefault="006F76EB" w:rsidP="00AC17B1">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 xml:space="preserve">Վերարտադրված </w:t>
      </w:r>
      <w:r w:rsidR="00C54D75">
        <w:rPr>
          <w:rFonts w:ascii="Sylfaen" w:hAnsi="Sylfaen"/>
          <w:sz w:val="24"/>
          <w:szCs w:val="24"/>
        </w:rPr>
        <w:t>և</w:t>
      </w:r>
      <w:r w:rsidRPr="00834D52">
        <w:rPr>
          <w:rFonts w:ascii="Sylfaen" w:hAnsi="Sylfaen"/>
          <w:sz w:val="24"/>
          <w:szCs w:val="24"/>
        </w:rPr>
        <w:t xml:space="preserve"> հիբրիդային դեղապատրաստուկների համար կամ ընդլայնված պահանջներով գրանցման </w:t>
      </w:r>
      <w:r w:rsidR="009F5829">
        <w:rPr>
          <w:rFonts w:ascii="Sylfaen" w:hAnsi="Sylfaen"/>
          <w:sz w:val="24"/>
          <w:szCs w:val="24"/>
        </w:rPr>
        <w:t>դիմումներ</w:t>
      </w:r>
      <w:r w:rsidRPr="00834D52">
        <w:rPr>
          <w:rFonts w:ascii="Sylfaen" w:hAnsi="Sylfaen"/>
          <w:sz w:val="24"/>
          <w:szCs w:val="24"/>
        </w:rPr>
        <w:t>ի համար անհրաժեշտ լրացուցիչ հետազոտությունների անցկացման կարգը</w:t>
      </w:r>
    </w:p>
    <w:tbl>
      <w:tblPr>
        <w:tblStyle w:val="TableGrid"/>
        <w:tblW w:w="0" w:type="auto"/>
        <w:tblLook w:val="04A0" w:firstRow="1" w:lastRow="0" w:firstColumn="1" w:lastColumn="0" w:noHBand="0" w:noVBand="1"/>
      </w:tblPr>
      <w:tblGrid>
        <w:gridCol w:w="4538"/>
        <w:gridCol w:w="4536"/>
      </w:tblGrid>
      <w:tr w:rsidR="006F76EB" w:rsidRPr="00834D52" w14:paraId="2F3C2813" w14:textId="77777777" w:rsidTr="00F71229">
        <w:tc>
          <w:tcPr>
            <w:tcW w:w="4650" w:type="dxa"/>
            <w:tcBorders>
              <w:bottom w:val="single" w:sz="4" w:space="0" w:color="auto"/>
            </w:tcBorders>
            <w:vAlign w:val="center"/>
          </w:tcPr>
          <w:p w14:paraId="3A5578AE" w14:textId="7E0E540C" w:rsidR="006F76EB" w:rsidRPr="00834D52" w:rsidRDefault="006F76EB" w:rsidP="00105024">
            <w:pPr>
              <w:spacing w:after="120"/>
              <w:ind w:right="-6"/>
              <w:jc w:val="center"/>
              <w:rPr>
                <w:rFonts w:ascii="Sylfaen" w:eastAsia="Times New Roman" w:hAnsi="Sylfaen" w:cs="Times New Roman"/>
                <w:sz w:val="24"/>
                <w:szCs w:val="24"/>
              </w:rPr>
            </w:pPr>
            <w:r w:rsidRPr="00834D52">
              <w:rPr>
                <w:rFonts w:ascii="Sylfaen" w:hAnsi="Sylfaen"/>
                <w:color w:val="1C1C1C"/>
                <w:sz w:val="24"/>
                <w:szCs w:val="24"/>
              </w:rPr>
              <w:t xml:space="preserve">Դեղապատրաստուկների կամ գրանցման </w:t>
            </w:r>
            <w:r w:rsidR="009F5829">
              <w:rPr>
                <w:rFonts w:ascii="Sylfaen" w:hAnsi="Sylfaen"/>
                <w:color w:val="1C1C1C"/>
                <w:sz w:val="24"/>
                <w:szCs w:val="24"/>
              </w:rPr>
              <w:t>դիմումներ</w:t>
            </w:r>
            <w:r w:rsidRPr="00834D52">
              <w:rPr>
                <w:rFonts w:ascii="Sylfaen" w:hAnsi="Sylfaen"/>
                <w:color w:val="1C1C1C"/>
                <w:sz w:val="24"/>
                <w:szCs w:val="24"/>
              </w:rPr>
              <w:t>ի բնութագիրը</w:t>
            </w:r>
          </w:p>
        </w:tc>
        <w:tc>
          <w:tcPr>
            <w:tcW w:w="4650" w:type="dxa"/>
            <w:tcBorders>
              <w:bottom w:val="single" w:sz="4" w:space="0" w:color="auto"/>
            </w:tcBorders>
            <w:vAlign w:val="center"/>
          </w:tcPr>
          <w:p w14:paraId="7C038CC4" w14:textId="77777777" w:rsidR="006F76EB" w:rsidRPr="00834D52" w:rsidRDefault="006F76EB" w:rsidP="00105024">
            <w:pPr>
              <w:spacing w:after="120"/>
              <w:ind w:right="-6"/>
              <w:jc w:val="center"/>
              <w:rPr>
                <w:rFonts w:ascii="Sylfaen" w:hAnsi="Sylfaen"/>
                <w:sz w:val="24"/>
                <w:szCs w:val="24"/>
              </w:rPr>
            </w:pPr>
            <w:r w:rsidRPr="00834D52">
              <w:rPr>
                <w:rFonts w:ascii="Sylfaen" w:hAnsi="Sylfaen"/>
                <w:color w:val="1C1C1C"/>
                <w:sz w:val="24"/>
                <w:szCs w:val="24"/>
              </w:rPr>
              <w:t>Պահանջվող լրացուցիչ տվյալները</w:t>
            </w:r>
          </w:p>
        </w:tc>
      </w:tr>
      <w:tr w:rsidR="006F76EB" w:rsidRPr="00834D52" w14:paraId="42D93A35" w14:textId="77777777" w:rsidTr="00F71229">
        <w:tc>
          <w:tcPr>
            <w:tcW w:w="4650" w:type="dxa"/>
            <w:tcBorders>
              <w:top w:val="single" w:sz="4" w:space="0" w:color="auto"/>
              <w:left w:val="nil"/>
              <w:bottom w:val="nil"/>
              <w:right w:val="nil"/>
            </w:tcBorders>
          </w:tcPr>
          <w:p w14:paraId="31DA37E5"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color w:val="1C1C1C"/>
                <w:spacing w:val="-6"/>
                <w:sz w:val="24"/>
                <w:szCs w:val="24"/>
              </w:rPr>
              <w:t>Տարբեր աղեր, բարդ եթերներ, կոմպլեքսներ, դրանց ածանցյալները (մոլեկուլի մի</w:t>
            </w:r>
            <w:r w:rsidR="00C54D75">
              <w:rPr>
                <w:rFonts w:ascii="Sylfaen" w:hAnsi="Sylfaen"/>
                <w:color w:val="1C1C1C"/>
                <w:spacing w:val="-6"/>
                <w:sz w:val="24"/>
                <w:szCs w:val="24"/>
              </w:rPr>
              <w:t>և</w:t>
            </w:r>
            <w:r w:rsidRPr="00267658">
              <w:rPr>
                <w:rFonts w:ascii="Sylfaen" w:hAnsi="Sylfaen"/>
                <w:color w:val="1C1C1C"/>
                <w:spacing w:val="-6"/>
                <w:sz w:val="24"/>
                <w:szCs w:val="24"/>
              </w:rPr>
              <w:t>նույն ակտիվ մասով)</w:t>
            </w:r>
          </w:p>
        </w:tc>
        <w:tc>
          <w:tcPr>
            <w:tcW w:w="4650" w:type="dxa"/>
            <w:tcBorders>
              <w:top w:val="single" w:sz="4" w:space="0" w:color="auto"/>
              <w:left w:val="nil"/>
              <w:bottom w:val="nil"/>
              <w:right w:val="nil"/>
            </w:tcBorders>
          </w:tcPr>
          <w:p w14:paraId="1B9F219D" w14:textId="77777777" w:rsidR="006F76EB" w:rsidRPr="00267658" w:rsidRDefault="006F76EB" w:rsidP="00105024">
            <w:pPr>
              <w:spacing w:after="120"/>
              <w:ind w:left="26" w:right="83"/>
              <w:jc w:val="both"/>
              <w:rPr>
                <w:rFonts w:ascii="Sylfaen" w:eastAsia="Times New Roman" w:hAnsi="Sylfaen" w:cs="Times New Roman"/>
                <w:color w:val="1C1C1C"/>
                <w:spacing w:val="-6"/>
                <w:sz w:val="24"/>
                <w:szCs w:val="24"/>
              </w:rPr>
            </w:pPr>
            <w:r w:rsidRPr="00267658">
              <w:rPr>
                <w:rFonts w:ascii="Sylfaen" w:hAnsi="Sylfaen"/>
                <w:spacing w:val="-6"/>
                <w:sz w:val="24"/>
                <w:szCs w:val="24"/>
              </w:rPr>
              <w:t xml:space="preserve">ապացույցներ այն մասին, որ մոլեկուլի ակտիվ մասի </w:t>
            </w:r>
            <w:r w:rsidR="00355C33" w:rsidRPr="00267658">
              <w:rPr>
                <w:rFonts w:ascii="Sylfaen" w:hAnsi="Sylfaen"/>
                <w:spacing w:val="-6"/>
                <w:sz w:val="24"/>
                <w:szCs w:val="24"/>
              </w:rPr>
              <w:t>դեղա</w:t>
            </w:r>
            <w:r w:rsidRPr="00267658">
              <w:rPr>
                <w:rFonts w:ascii="Sylfaen" w:hAnsi="Sylfaen"/>
                <w:spacing w:val="-6"/>
                <w:sz w:val="24"/>
                <w:szCs w:val="24"/>
              </w:rPr>
              <w:t xml:space="preserve">կինետիկայում, </w:t>
            </w:r>
            <w:r w:rsidR="00355C33" w:rsidRPr="00267658">
              <w:rPr>
                <w:rFonts w:ascii="Sylfaen" w:hAnsi="Sylfaen"/>
                <w:spacing w:val="-6"/>
                <w:sz w:val="24"/>
                <w:szCs w:val="24"/>
              </w:rPr>
              <w:t>դեղա</w:t>
            </w:r>
            <w:r w:rsidRPr="00267658">
              <w:rPr>
                <w:rFonts w:ascii="Sylfaen" w:hAnsi="Sylfaen"/>
                <w:spacing w:val="-6"/>
                <w:sz w:val="24"/>
                <w:szCs w:val="24"/>
              </w:rPr>
              <w:t xml:space="preserve">դինամիկայում </w:t>
            </w:r>
            <w:r w:rsidR="00C54D75">
              <w:rPr>
                <w:rFonts w:ascii="Sylfaen" w:hAnsi="Sylfaen"/>
                <w:spacing w:val="-6"/>
                <w:sz w:val="24"/>
                <w:szCs w:val="24"/>
              </w:rPr>
              <w:t>և</w:t>
            </w:r>
            <w:r w:rsidRPr="00267658">
              <w:rPr>
                <w:rFonts w:ascii="Sylfaen" w:hAnsi="Sylfaen"/>
                <w:spacing w:val="-6"/>
                <w:sz w:val="24"/>
                <w:szCs w:val="24"/>
              </w:rPr>
              <w:t xml:space="preserve"> (կամ) թունավորության մեջ չկան այնպիսի փոփոխություններ, որոնք կարող են զգալի ազդեցություն ունենալ անվտանգության </w:t>
            </w:r>
            <w:r w:rsidR="00C54D75">
              <w:rPr>
                <w:rFonts w:ascii="Sylfaen" w:hAnsi="Sylfaen"/>
                <w:spacing w:val="-6"/>
                <w:sz w:val="24"/>
                <w:szCs w:val="24"/>
              </w:rPr>
              <w:t>և</w:t>
            </w:r>
            <w:r w:rsidRPr="00267658">
              <w:rPr>
                <w:rFonts w:ascii="Sylfaen" w:hAnsi="Sylfaen"/>
                <w:spacing w:val="-6"/>
                <w:sz w:val="24"/>
                <w:szCs w:val="24"/>
              </w:rPr>
              <w:t xml:space="preserve"> (կամ) արդյունավետության պրոֆիլի վրա (այլապես ակտիվ նյութը հարկ է դիտարկել որպես նոր ակտիվ նյութ)</w:t>
            </w:r>
          </w:p>
        </w:tc>
      </w:tr>
      <w:tr w:rsidR="006F76EB" w:rsidRPr="00834D52" w14:paraId="337DF076" w14:textId="77777777" w:rsidTr="008D0D54">
        <w:trPr>
          <w:trHeight w:val="3006"/>
        </w:trPr>
        <w:tc>
          <w:tcPr>
            <w:tcW w:w="4650" w:type="dxa"/>
            <w:tcBorders>
              <w:top w:val="nil"/>
              <w:left w:val="nil"/>
              <w:bottom w:val="nil"/>
              <w:right w:val="nil"/>
            </w:tcBorders>
          </w:tcPr>
          <w:p w14:paraId="229AE99C"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Կիրառման այլ եղանակ կամ այլ դեղաձ</w:t>
            </w:r>
            <w:r w:rsidR="00C54D75">
              <w:rPr>
                <w:rFonts w:ascii="Sylfaen" w:hAnsi="Sylfaen"/>
                <w:spacing w:val="-6"/>
                <w:sz w:val="24"/>
                <w:szCs w:val="24"/>
              </w:rPr>
              <w:t>և</w:t>
            </w:r>
            <w:r w:rsidRPr="00267658">
              <w:rPr>
                <w:rFonts w:ascii="Sylfaen" w:hAnsi="Sylfaen"/>
                <w:spacing w:val="-6"/>
                <w:sz w:val="24"/>
                <w:szCs w:val="24"/>
              </w:rPr>
              <w:t>՝</w:t>
            </w:r>
          </w:p>
        </w:tc>
        <w:tc>
          <w:tcPr>
            <w:tcW w:w="4650" w:type="dxa"/>
            <w:tcBorders>
              <w:top w:val="nil"/>
              <w:left w:val="nil"/>
              <w:bottom w:val="nil"/>
              <w:right w:val="nil"/>
            </w:tcBorders>
          </w:tcPr>
          <w:p w14:paraId="2C00BDCB"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r w:rsidRPr="00267658">
              <w:rPr>
                <w:rFonts w:ascii="Sylfaen" w:hAnsi="Sylfaen"/>
                <w:spacing w:val="-6"/>
                <w:sz w:val="24"/>
                <w:szCs w:val="24"/>
              </w:rPr>
              <w:t xml:space="preserve">կլինիկական տվյալները (անվտանգություն </w:t>
            </w:r>
            <w:r w:rsidR="00C54D75">
              <w:rPr>
                <w:rFonts w:ascii="Sylfaen" w:hAnsi="Sylfaen"/>
                <w:spacing w:val="-6"/>
                <w:sz w:val="24"/>
                <w:szCs w:val="24"/>
              </w:rPr>
              <w:t>և</w:t>
            </w:r>
            <w:r w:rsidRPr="00267658">
              <w:rPr>
                <w:rFonts w:ascii="Sylfaen" w:hAnsi="Sylfaen"/>
                <w:spacing w:val="-6"/>
                <w:sz w:val="24"/>
                <w:szCs w:val="24"/>
              </w:rPr>
              <w:t xml:space="preserve"> արդյունավետություն), </w:t>
            </w:r>
            <w:r w:rsidR="00355C33" w:rsidRPr="00267658">
              <w:rPr>
                <w:rFonts w:ascii="Sylfaen" w:hAnsi="Sylfaen"/>
                <w:spacing w:val="-6"/>
                <w:sz w:val="24"/>
                <w:szCs w:val="24"/>
              </w:rPr>
              <w:t>դեղա</w:t>
            </w:r>
            <w:r w:rsidRPr="00267658">
              <w:rPr>
                <w:rFonts w:ascii="Sylfaen" w:hAnsi="Sylfaen"/>
                <w:spacing w:val="-6"/>
                <w:sz w:val="24"/>
                <w:szCs w:val="24"/>
              </w:rPr>
              <w:t>կինետիկան, ինչպես նա</w:t>
            </w:r>
            <w:r w:rsidR="00C54D75">
              <w:rPr>
                <w:rFonts w:ascii="Sylfaen" w:hAnsi="Sylfaen"/>
                <w:spacing w:val="-6"/>
                <w:sz w:val="24"/>
                <w:szCs w:val="24"/>
              </w:rPr>
              <w:t>և</w:t>
            </w:r>
            <w:r w:rsidRPr="00267658">
              <w:rPr>
                <w:rFonts w:ascii="Sylfaen" w:hAnsi="Sylfaen"/>
                <w:spacing w:val="-6"/>
                <w:sz w:val="24"/>
                <w:szCs w:val="24"/>
              </w:rPr>
              <w:t xml:space="preserve"> համապատասխան նախակլինիկական տվյալները (օրինակ՝ տեղային տանելիությունը) (առկայության դեպքում)</w:t>
            </w:r>
          </w:p>
        </w:tc>
      </w:tr>
      <w:tr w:rsidR="006F76EB" w:rsidRPr="00834D52" w14:paraId="3A1DE99A" w14:textId="77777777" w:rsidTr="00F71229">
        <w:tc>
          <w:tcPr>
            <w:tcW w:w="4650" w:type="dxa"/>
            <w:tcBorders>
              <w:top w:val="nil"/>
              <w:left w:val="nil"/>
              <w:bottom w:val="nil"/>
              <w:right w:val="nil"/>
            </w:tcBorders>
          </w:tcPr>
          <w:p w14:paraId="017E9EEF"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 xml:space="preserve">ներմուծման նոր ուղին (պարէնտերալ ներմուծման համար անհրաժեշտ է տարբերակել ներզարկերակային, ներերակային, ներմկանային, միջմաշկային </w:t>
            </w:r>
            <w:r w:rsidR="00C54D75">
              <w:rPr>
                <w:rFonts w:ascii="Sylfaen" w:hAnsi="Sylfaen"/>
                <w:spacing w:val="-6"/>
                <w:sz w:val="24"/>
                <w:szCs w:val="24"/>
              </w:rPr>
              <w:t>և</w:t>
            </w:r>
            <w:r w:rsidRPr="00267658">
              <w:rPr>
                <w:rFonts w:ascii="Sylfaen" w:hAnsi="Sylfaen"/>
                <w:spacing w:val="-6"/>
                <w:sz w:val="24"/>
                <w:szCs w:val="24"/>
              </w:rPr>
              <w:t xml:space="preserve"> ներմուծման այլ մեթոդներ) այլ դեղաձ</w:t>
            </w:r>
            <w:r w:rsidR="00C54D75">
              <w:rPr>
                <w:rFonts w:ascii="Sylfaen" w:hAnsi="Sylfaen"/>
                <w:spacing w:val="-6"/>
                <w:sz w:val="24"/>
                <w:szCs w:val="24"/>
              </w:rPr>
              <w:t>և</w:t>
            </w:r>
            <w:r w:rsidRPr="00267658">
              <w:rPr>
                <w:rFonts w:ascii="Sylfaen" w:hAnsi="Sylfaen"/>
                <w:spacing w:val="-6"/>
                <w:sz w:val="24"/>
                <w:szCs w:val="24"/>
              </w:rPr>
              <w:t xml:space="preserve"> (ներմուծման մի</w:t>
            </w:r>
            <w:r w:rsidR="00C54D75">
              <w:rPr>
                <w:rFonts w:ascii="Sylfaen" w:hAnsi="Sylfaen"/>
                <w:spacing w:val="-6"/>
                <w:sz w:val="24"/>
                <w:szCs w:val="24"/>
              </w:rPr>
              <w:t>և</w:t>
            </w:r>
            <w:r w:rsidRPr="00267658">
              <w:rPr>
                <w:rFonts w:ascii="Sylfaen" w:hAnsi="Sylfaen"/>
                <w:spacing w:val="-6"/>
                <w:sz w:val="24"/>
                <w:szCs w:val="24"/>
              </w:rPr>
              <w:t>նույն եղանակի դեպքում)</w:t>
            </w:r>
          </w:p>
        </w:tc>
        <w:tc>
          <w:tcPr>
            <w:tcW w:w="4650" w:type="dxa"/>
            <w:tcBorders>
              <w:top w:val="nil"/>
              <w:left w:val="nil"/>
              <w:bottom w:val="nil"/>
              <w:right w:val="nil"/>
            </w:tcBorders>
          </w:tcPr>
          <w:p w14:paraId="71A3F5E9"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p>
        </w:tc>
      </w:tr>
      <w:tr w:rsidR="006F76EB" w:rsidRPr="00834D52" w14:paraId="4A9015CF" w14:textId="77777777" w:rsidTr="00F71229">
        <w:tc>
          <w:tcPr>
            <w:tcW w:w="4650" w:type="dxa"/>
            <w:tcBorders>
              <w:top w:val="nil"/>
              <w:left w:val="nil"/>
              <w:bottom w:val="nil"/>
              <w:right w:val="nil"/>
            </w:tcBorders>
          </w:tcPr>
          <w:p w14:paraId="28978500"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color w:val="1C1C1C"/>
                <w:spacing w:val="-6"/>
                <w:sz w:val="24"/>
                <w:szCs w:val="24"/>
              </w:rPr>
              <w:lastRenderedPageBreak/>
              <w:t>Այլ դոզավորում՝ ներմուծման մի</w:t>
            </w:r>
            <w:r w:rsidR="00C54D75">
              <w:rPr>
                <w:rFonts w:ascii="Sylfaen" w:hAnsi="Sylfaen"/>
                <w:color w:val="1C1C1C"/>
                <w:spacing w:val="-6"/>
                <w:sz w:val="24"/>
                <w:szCs w:val="24"/>
              </w:rPr>
              <w:t>և</w:t>
            </w:r>
            <w:r w:rsidRPr="00267658">
              <w:rPr>
                <w:rFonts w:ascii="Sylfaen" w:hAnsi="Sylfaen"/>
                <w:color w:val="1C1C1C"/>
                <w:spacing w:val="-6"/>
                <w:sz w:val="24"/>
                <w:szCs w:val="24"/>
              </w:rPr>
              <w:t>նույն եղանակի (դեղաձ</w:t>
            </w:r>
            <w:r w:rsidR="00C54D75">
              <w:rPr>
                <w:rFonts w:ascii="Sylfaen" w:hAnsi="Sylfaen"/>
                <w:color w:val="1C1C1C"/>
                <w:spacing w:val="-6"/>
                <w:sz w:val="24"/>
                <w:szCs w:val="24"/>
              </w:rPr>
              <w:t>և</w:t>
            </w:r>
            <w:r w:rsidRPr="00267658">
              <w:rPr>
                <w:rFonts w:ascii="Sylfaen" w:hAnsi="Sylfaen"/>
                <w:color w:val="1C1C1C"/>
                <w:spacing w:val="-6"/>
                <w:sz w:val="24"/>
                <w:szCs w:val="24"/>
              </w:rPr>
              <w:t xml:space="preserve">ի) </w:t>
            </w:r>
            <w:r w:rsidR="00C54D75">
              <w:rPr>
                <w:rFonts w:ascii="Sylfaen" w:hAnsi="Sylfaen"/>
                <w:color w:val="1C1C1C"/>
                <w:spacing w:val="-6"/>
                <w:sz w:val="24"/>
                <w:szCs w:val="24"/>
              </w:rPr>
              <w:t>և</w:t>
            </w:r>
            <w:r w:rsidRPr="00267658">
              <w:rPr>
                <w:rFonts w:ascii="Sylfaen" w:hAnsi="Sylfaen"/>
                <w:color w:val="1C1C1C"/>
                <w:spacing w:val="-6"/>
                <w:sz w:val="24"/>
                <w:szCs w:val="24"/>
              </w:rPr>
              <w:t xml:space="preserve"> կիրառման մի</w:t>
            </w:r>
            <w:r w:rsidR="00C54D75">
              <w:rPr>
                <w:rFonts w:ascii="Sylfaen" w:hAnsi="Sylfaen"/>
                <w:color w:val="1C1C1C"/>
                <w:spacing w:val="-6"/>
                <w:sz w:val="24"/>
                <w:szCs w:val="24"/>
              </w:rPr>
              <w:t>և</w:t>
            </w:r>
            <w:r w:rsidRPr="00267658">
              <w:rPr>
                <w:rFonts w:ascii="Sylfaen" w:hAnsi="Sylfaen"/>
                <w:color w:val="1C1C1C"/>
                <w:spacing w:val="-6"/>
                <w:sz w:val="24"/>
                <w:szCs w:val="24"/>
              </w:rPr>
              <w:t>նույն ցուցումների դեպքում</w:t>
            </w:r>
          </w:p>
        </w:tc>
        <w:tc>
          <w:tcPr>
            <w:tcW w:w="4650" w:type="dxa"/>
            <w:tcBorders>
              <w:top w:val="nil"/>
              <w:left w:val="nil"/>
              <w:bottom w:val="nil"/>
              <w:right w:val="nil"/>
            </w:tcBorders>
          </w:tcPr>
          <w:p w14:paraId="57D6127C"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r w:rsidRPr="00267658">
              <w:rPr>
                <w:rFonts w:ascii="Sylfaen" w:hAnsi="Sylfaen"/>
                <w:color w:val="1C1C1C"/>
                <w:spacing w:val="-6"/>
                <w:sz w:val="24"/>
                <w:szCs w:val="24"/>
              </w:rPr>
              <w:t>համեմատական կենսամատչելիության տվյալները՝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tc>
      </w:tr>
      <w:tr w:rsidR="006F76EB" w:rsidRPr="00834D52" w14:paraId="05985E4E" w14:textId="77777777" w:rsidTr="00F71229">
        <w:tc>
          <w:tcPr>
            <w:tcW w:w="4650" w:type="dxa"/>
            <w:tcBorders>
              <w:top w:val="nil"/>
              <w:left w:val="nil"/>
              <w:bottom w:val="nil"/>
              <w:right w:val="nil"/>
            </w:tcBorders>
          </w:tcPr>
          <w:p w14:paraId="14A17C38"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Գերկենսամատչելի պատրաստուկներ՝ դոզավորման միջակայքի պահպանման դեպքում, սակայն դոզայի նվազեցմամբ, պլազմայում (արյան մեջ) համապատասխան խտության հասնելու համար նախատեսված</w:t>
            </w:r>
          </w:p>
        </w:tc>
        <w:tc>
          <w:tcPr>
            <w:tcW w:w="4650" w:type="dxa"/>
            <w:tcBorders>
              <w:top w:val="nil"/>
              <w:left w:val="nil"/>
              <w:bottom w:val="nil"/>
              <w:right w:val="nil"/>
            </w:tcBorders>
          </w:tcPr>
          <w:p w14:paraId="122737E7" w14:textId="77777777" w:rsidR="006F76EB" w:rsidRPr="00267658" w:rsidRDefault="006F76EB" w:rsidP="00105024">
            <w:pPr>
              <w:spacing w:after="120"/>
              <w:ind w:left="26" w:right="83"/>
              <w:jc w:val="both"/>
              <w:rPr>
                <w:rFonts w:ascii="Sylfaen" w:eastAsia="Times New Roman" w:hAnsi="Sylfaen" w:cs="Times New Roman"/>
                <w:color w:val="1C1C1C"/>
                <w:spacing w:val="-6"/>
                <w:sz w:val="24"/>
                <w:szCs w:val="24"/>
              </w:rPr>
            </w:pPr>
            <w:r w:rsidRPr="00267658">
              <w:rPr>
                <w:rFonts w:ascii="Sylfaen" w:hAnsi="Sylfaen"/>
                <w:spacing w:val="-6"/>
                <w:sz w:val="24"/>
                <w:szCs w:val="24"/>
              </w:rPr>
              <w:t xml:space="preserve">առանձին դեպքերում բավական է համեմատական կենսամատչելիության հետազոտությունների անցկացումը՝ </w:t>
            </w:r>
            <w:r w:rsidRPr="00267658">
              <w:rPr>
                <w:rFonts w:ascii="Sylfaen" w:hAnsi="Sylfaen"/>
                <w:color w:val="1C1C1C"/>
                <w:spacing w:val="-6"/>
                <w:sz w:val="24"/>
                <w:szCs w:val="24"/>
              </w:rPr>
              <w:t>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tc>
      </w:tr>
    </w:tbl>
    <w:p w14:paraId="41669174" w14:textId="77777777" w:rsidR="00287D3E" w:rsidRPr="003C049F" w:rsidRDefault="00287D3E" w:rsidP="008D0D54">
      <w:pPr>
        <w:spacing w:after="160" w:line="336" w:lineRule="auto"/>
        <w:ind w:right="-8"/>
        <w:jc w:val="center"/>
        <w:rPr>
          <w:rFonts w:ascii="Sylfaen" w:hAnsi="Sylfaen"/>
          <w:sz w:val="24"/>
          <w:szCs w:val="24"/>
        </w:rPr>
      </w:pPr>
    </w:p>
    <w:p w14:paraId="16E6F50C" w14:textId="77777777" w:rsidR="006F76EB" w:rsidRPr="00834D52" w:rsidRDefault="006F76EB" w:rsidP="00287D3E">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8. Լավ ուսումնասիրված բժշկական կիրառությամբ դեղապատրաստուկների գրանցման դոսյեի փաստաթղթերին ներկայացվող պահանջները</w:t>
      </w:r>
    </w:p>
    <w:p w14:paraId="35538209" w14:textId="77777777" w:rsidR="006F76EB" w:rsidRPr="00834D52" w:rsidRDefault="006F76EB" w:rsidP="008D0D54">
      <w:pPr>
        <w:spacing w:after="160" w:line="341" w:lineRule="auto"/>
        <w:ind w:right="-6" w:firstLine="567"/>
        <w:jc w:val="both"/>
        <w:rPr>
          <w:rFonts w:ascii="Sylfaen" w:eastAsia="Times New Roman" w:hAnsi="Sylfaen" w:cs="Times New Roman"/>
          <w:sz w:val="24"/>
          <w:szCs w:val="24"/>
        </w:rPr>
      </w:pPr>
      <w:r w:rsidRPr="00834D52">
        <w:rPr>
          <w:rFonts w:ascii="Sylfaen" w:hAnsi="Sylfaen"/>
          <w:spacing w:val="-4"/>
          <w:sz w:val="24"/>
          <w:szCs w:val="24"/>
        </w:rPr>
        <w:t xml:space="preserve">Հաստատված արդյունավետությամբ </w:t>
      </w:r>
      <w:r w:rsidR="00C54D75">
        <w:rPr>
          <w:rFonts w:ascii="Sylfaen" w:hAnsi="Sylfaen"/>
          <w:spacing w:val="-4"/>
          <w:sz w:val="24"/>
          <w:szCs w:val="24"/>
        </w:rPr>
        <w:t>և</w:t>
      </w:r>
      <w:r w:rsidRPr="00834D52">
        <w:rPr>
          <w:rFonts w:ascii="Sylfaen" w:hAnsi="Sylfaen"/>
          <w:spacing w:val="-4"/>
          <w:sz w:val="24"/>
          <w:szCs w:val="24"/>
        </w:rPr>
        <w:t xml:space="preserve"> անվտանգության ընդունելի մակարդակով դեղապատրաստուկների նկատմամբ (որոնց շարքին դասվում են, օրինակ, բուսական ծագման հումքից դեղապատրաստուկները (կեչու կուպր, օձի թույն, մեղվաբուծական մթերքներ, բժշկական տզրուկներ, լեղի, հանքանյութեր </w:t>
      </w:r>
      <w:r w:rsidR="00C54D75">
        <w:rPr>
          <w:rFonts w:ascii="Sylfaen" w:hAnsi="Sylfaen"/>
          <w:spacing w:val="-4"/>
          <w:sz w:val="24"/>
          <w:szCs w:val="24"/>
        </w:rPr>
        <w:t>և</w:t>
      </w:r>
      <w:r w:rsidRPr="00834D52">
        <w:rPr>
          <w:rFonts w:ascii="Sylfaen" w:hAnsi="Sylfaen"/>
          <w:spacing w:val="-4"/>
          <w:sz w:val="24"/>
          <w:szCs w:val="24"/>
        </w:rPr>
        <w:t xml:space="preserve"> այլն),</w:t>
      </w:r>
      <w:r w:rsidRPr="00834D52">
        <w:rPr>
          <w:rFonts w:ascii="Sylfaen" w:hAnsi="Sylfaen"/>
          <w:sz w:val="24"/>
          <w:szCs w:val="24"/>
        </w:rPr>
        <w:t xml:space="preserve"> որոնց ակտիվ նյութերը բժշկական կիրառության մեջ լավ ուսումնասիրված են, վիտամինները </w:t>
      </w:r>
      <w:r w:rsidR="00C54D75">
        <w:rPr>
          <w:rFonts w:ascii="Sylfaen" w:hAnsi="Sylfaen"/>
          <w:sz w:val="24"/>
          <w:szCs w:val="24"/>
        </w:rPr>
        <w:t>և</w:t>
      </w:r>
      <w:r w:rsidRPr="00834D52">
        <w:rPr>
          <w:rFonts w:ascii="Sylfaen" w:hAnsi="Sylfaen"/>
          <w:sz w:val="24"/>
          <w:szCs w:val="24"/>
        </w:rPr>
        <w:t xml:space="preserve"> վիտամինահանքանյութային կոմպլեքսները, ինչպես նա</w:t>
      </w:r>
      <w:r w:rsidR="00C54D75">
        <w:rPr>
          <w:rFonts w:ascii="Sylfaen" w:hAnsi="Sylfaen"/>
          <w:sz w:val="24"/>
          <w:szCs w:val="24"/>
        </w:rPr>
        <w:t>և</w:t>
      </w:r>
      <w:r w:rsidRPr="00834D52">
        <w:rPr>
          <w:rFonts w:ascii="Sylfaen" w:hAnsi="Sylfaen"/>
          <w:sz w:val="24"/>
          <w:szCs w:val="24"/>
        </w:rPr>
        <w:t xml:space="preserve"> դեղապատրաստուկները, որոնց դեղաբանական ակտիվությունը որոշվում է բուսական ծագման կենսաբանորեն ակտիվ նյութերի ամբողջությամբ, հականեխիչների լուծույթները (ջրածնի պերօքսիդ, յոդ, ադամանդե կանաչ </w:t>
      </w:r>
      <w:r w:rsidR="00C54D75">
        <w:rPr>
          <w:rFonts w:ascii="Sylfaen" w:hAnsi="Sylfaen"/>
          <w:sz w:val="24"/>
          <w:szCs w:val="24"/>
        </w:rPr>
        <w:t>և</w:t>
      </w:r>
      <w:r w:rsidRPr="00834D52">
        <w:rPr>
          <w:rFonts w:ascii="Sylfaen" w:hAnsi="Sylfaen"/>
          <w:sz w:val="24"/>
          <w:szCs w:val="24"/>
        </w:rPr>
        <w:t xml:space="preserve"> այլն), ներարկումների համար ջուրը, մակակլանիչները (ակտիվացված ածուխ </w:t>
      </w:r>
      <w:r w:rsidR="00C54D75">
        <w:rPr>
          <w:rFonts w:ascii="Sylfaen" w:hAnsi="Sylfaen"/>
          <w:sz w:val="24"/>
          <w:szCs w:val="24"/>
        </w:rPr>
        <w:t>և</w:t>
      </w:r>
      <w:r w:rsidRPr="00834D52">
        <w:rPr>
          <w:rFonts w:ascii="Sylfaen" w:hAnsi="Sylfaen"/>
          <w:sz w:val="24"/>
          <w:szCs w:val="24"/>
        </w:rPr>
        <w:t xml:space="preserve"> այլն), փքահալած դեղապատրաստուկները, գրգռիչ </w:t>
      </w:r>
      <w:r w:rsidR="00C54D75">
        <w:rPr>
          <w:rFonts w:ascii="Sylfaen" w:hAnsi="Sylfaen"/>
          <w:sz w:val="24"/>
          <w:szCs w:val="24"/>
        </w:rPr>
        <w:t>և</w:t>
      </w:r>
      <w:r w:rsidRPr="00834D52">
        <w:rPr>
          <w:rFonts w:ascii="Sylfaen" w:hAnsi="Sylfaen"/>
          <w:sz w:val="24"/>
          <w:szCs w:val="24"/>
        </w:rPr>
        <w:t xml:space="preserve"> պատիճավորող միջոցների խմբից դեղապատրաստուկները) պետք է կիրառվեն հետ</w:t>
      </w:r>
      <w:r w:rsidR="00C54D75">
        <w:rPr>
          <w:rFonts w:ascii="Sylfaen" w:hAnsi="Sylfaen"/>
          <w:sz w:val="24"/>
          <w:szCs w:val="24"/>
        </w:rPr>
        <w:t>և</w:t>
      </w:r>
      <w:r w:rsidRPr="00834D52">
        <w:rPr>
          <w:rFonts w:ascii="Sylfaen" w:hAnsi="Sylfaen"/>
          <w:sz w:val="24"/>
          <w:szCs w:val="24"/>
        </w:rPr>
        <w:t>յալ հատուկ կանոնները:</w:t>
      </w:r>
    </w:p>
    <w:p w14:paraId="5FB06158" w14:textId="536D0D63" w:rsidR="006F76EB" w:rsidRPr="00834D52" w:rsidRDefault="0056496B" w:rsidP="00B7356B">
      <w:pPr>
        <w:spacing w:after="160" w:line="384" w:lineRule="auto"/>
        <w:ind w:right="-6" w:firstLine="567"/>
        <w:jc w:val="both"/>
        <w:rPr>
          <w:rFonts w:ascii="Sylfaen" w:eastAsia="Times New Roman" w:hAnsi="Sylfaen" w:cs="Times New Roman"/>
          <w:spacing w:val="-4"/>
          <w:sz w:val="24"/>
          <w:szCs w:val="24"/>
        </w:rPr>
      </w:pPr>
      <w:r>
        <w:rPr>
          <w:rFonts w:ascii="Sylfaen" w:hAnsi="Sylfaen"/>
          <w:spacing w:val="-4"/>
          <w:sz w:val="24"/>
          <w:szCs w:val="24"/>
        </w:rPr>
        <w:t>Դիմումատու</w:t>
      </w:r>
      <w:r w:rsidR="006F76EB" w:rsidRPr="00834D52">
        <w:rPr>
          <w:rFonts w:ascii="Sylfaen" w:hAnsi="Sylfaen"/>
          <w:spacing w:val="-4"/>
          <w:sz w:val="24"/>
          <w:szCs w:val="24"/>
        </w:rPr>
        <w:t>ն պետք է ներկայացնի դեղապատրաստուկի գրանցման դոսյեի 1-</w:t>
      </w:r>
      <w:r w:rsidR="006F76EB" w:rsidRPr="00834D52">
        <w:rPr>
          <w:rFonts w:ascii="Sylfaen" w:hAnsi="Sylfaen"/>
          <w:spacing w:val="-4"/>
          <w:sz w:val="24"/>
          <w:szCs w:val="24"/>
        </w:rPr>
        <w:lastRenderedPageBreak/>
        <w:t xml:space="preserve">ին, 2-րդ </w:t>
      </w:r>
      <w:r w:rsidR="00C54D75">
        <w:rPr>
          <w:rFonts w:ascii="Sylfaen" w:hAnsi="Sylfaen"/>
          <w:spacing w:val="-4"/>
          <w:sz w:val="24"/>
          <w:szCs w:val="24"/>
        </w:rPr>
        <w:t>և</w:t>
      </w:r>
      <w:r w:rsidR="006F76EB" w:rsidRPr="00834D52">
        <w:rPr>
          <w:rFonts w:ascii="Sylfaen" w:hAnsi="Sylfaen"/>
          <w:spacing w:val="-4"/>
          <w:sz w:val="24"/>
          <w:szCs w:val="24"/>
        </w:rPr>
        <w:t xml:space="preserve"> 3-րդ մոդուլները՝ սույն պահանջների I մասի պահանջներին համապատասխան:</w:t>
      </w:r>
    </w:p>
    <w:p w14:paraId="0C935127" w14:textId="77777777" w:rsidR="006F76EB" w:rsidRPr="00834D52" w:rsidRDefault="006F76EB" w:rsidP="00B7356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4-րդ </w:t>
      </w:r>
      <w:r w:rsidR="00C54D75">
        <w:rPr>
          <w:rFonts w:ascii="Sylfaen" w:hAnsi="Sylfaen"/>
          <w:sz w:val="24"/>
          <w:szCs w:val="24"/>
        </w:rPr>
        <w:t>և</w:t>
      </w:r>
      <w:r w:rsidRPr="00834D52">
        <w:rPr>
          <w:rFonts w:ascii="Sylfaen" w:hAnsi="Sylfaen"/>
          <w:sz w:val="24"/>
          <w:szCs w:val="24"/>
        </w:rPr>
        <w:t xml:space="preserve"> 5-րդ մոդուլներում մանրամասն գիտական մատենագիտության մեջ անհրաժեշտ է նշել դեղապատրաստուկի նախակլինիկական </w:t>
      </w:r>
      <w:r w:rsidR="00C54D75">
        <w:rPr>
          <w:rFonts w:ascii="Sylfaen" w:hAnsi="Sylfaen"/>
          <w:sz w:val="24"/>
          <w:szCs w:val="24"/>
        </w:rPr>
        <w:t>և</w:t>
      </w:r>
      <w:r w:rsidRPr="00834D52">
        <w:rPr>
          <w:rFonts w:ascii="Sylfaen" w:hAnsi="Sylfaen"/>
          <w:sz w:val="24"/>
          <w:szCs w:val="24"/>
        </w:rPr>
        <w:t xml:space="preserve"> կլինիկական բնութագրերը:</w:t>
      </w:r>
    </w:p>
    <w:p w14:paraId="0A9CF307" w14:textId="77777777" w:rsidR="006F76EB" w:rsidRPr="00834D52" w:rsidRDefault="006F76EB" w:rsidP="00B7356B">
      <w:pPr>
        <w:spacing w:after="160" w:line="384" w:lineRule="auto"/>
        <w:ind w:right="-8" w:firstLine="567"/>
        <w:jc w:val="both"/>
        <w:rPr>
          <w:rFonts w:ascii="Sylfaen" w:eastAsia="Times New Roman" w:hAnsi="Sylfaen" w:cs="Times New Roman"/>
          <w:sz w:val="24"/>
          <w:szCs w:val="24"/>
        </w:rPr>
      </w:pPr>
      <w:r w:rsidRPr="00834D52">
        <w:rPr>
          <w:rFonts w:ascii="Sylfaen" w:hAnsi="Sylfaen"/>
          <w:spacing w:val="-4"/>
          <w:sz w:val="24"/>
          <w:szCs w:val="24"/>
        </w:rPr>
        <w:t>Լավ ուսումնասիրված բժշկական կիրառությունը հաստատելու համար պետք է ներկայացված լինեն հետ</w:t>
      </w:r>
      <w:r w:rsidR="00C54D75">
        <w:rPr>
          <w:rFonts w:ascii="Sylfaen" w:hAnsi="Sylfaen"/>
          <w:spacing w:val="-4"/>
          <w:sz w:val="24"/>
          <w:szCs w:val="24"/>
        </w:rPr>
        <w:t>և</w:t>
      </w:r>
      <w:r w:rsidRPr="00834D52">
        <w:rPr>
          <w:rFonts w:ascii="Sylfaen" w:hAnsi="Sylfaen"/>
          <w:spacing w:val="-4"/>
          <w:sz w:val="24"/>
          <w:szCs w:val="24"/>
        </w:rPr>
        <w:t>յալ տվյալները</w:t>
      </w:r>
      <w:r w:rsidRPr="00834D52">
        <w:rPr>
          <w:rFonts w:ascii="Sylfaen" w:hAnsi="Sylfaen"/>
          <w:sz w:val="24"/>
          <w:szCs w:val="24"/>
        </w:rPr>
        <w:t>.</w:t>
      </w:r>
    </w:p>
    <w:p w14:paraId="42240D50" w14:textId="77777777" w:rsidR="006F76EB" w:rsidRPr="00834D52" w:rsidRDefault="006F76EB" w:rsidP="00B7356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գործոններ, որոնք անհրաժեշտ է հաշվի առնել լավ ուսումնասիրված բժշկական կիրառության դեղապատրաստուկների բաղադրիչները որոշելու ժամանակ՝</w:t>
      </w:r>
    </w:p>
    <w:p w14:paraId="7C1F919F" w14:textId="77777777" w:rsidR="006F76EB" w:rsidRPr="00834D52" w:rsidRDefault="006F76EB" w:rsidP="00B7356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ժամկետը, որի ընթացքում ակտիվ նյութն օգտագործվում է բժշկական պրակտիկայում.</w:t>
      </w:r>
    </w:p>
    <w:p w14:paraId="62227F9D" w14:textId="77777777" w:rsidR="006F76EB" w:rsidRPr="00834D52" w:rsidRDefault="006F76EB" w:rsidP="00B7356B">
      <w:pPr>
        <w:spacing w:after="160" w:line="384" w:lineRule="auto"/>
        <w:ind w:right="-6" w:firstLine="567"/>
        <w:rPr>
          <w:rFonts w:ascii="Sylfaen" w:eastAsia="Times New Roman" w:hAnsi="Sylfaen" w:cs="Times New Roman"/>
          <w:sz w:val="24"/>
          <w:szCs w:val="24"/>
        </w:rPr>
      </w:pPr>
      <w:r w:rsidRPr="00834D52">
        <w:rPr>
          <w:rFonts w:ascii="Sylfaen" w:hAnsi="Sylfaen"/>
          <w:sz w:val="24"/>
          <w:szCs w:val="24"/>
        </w:rPr>
        <w:t>ակտիվ նյութի օգտագործման քանակական ասպեկտները.</w:t>
      </w:r>
    </w:p>
    <w:p w14:paraId="608697CE" w14:textId="4D8E97A1" w:rsidR="006F76EB" w:rsidRPr="00834D52" w:rsidRDefault="006F76EB" w:rsidP="00B7356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գիտական հրապարակումների հաճախականությունը </w:t>
      </w:r>
      <w:r w:rsidR="00C54D75">
        <w:rPr>
          <w:rFonts w:ascii="Sylfaen" w:hAnsi="Sylfaen"/>
          <w:sz w:val="24"/>
          <w:szCs w:val="24"/>
        </w:rPr>
        <w:t>և</w:t>
      </w:r>
      <w:r w:rsidRPr="00834D52">
        <w:rPr>
          <w:rFonts w:ascii="Sylfaen" w:hAnsi="Sylfaen"/>
          <w:sz w:val="24"/>
          <w:szCs w:val="24"/>
        </w:rPr>
        <w:t xml:space="preserve"> ակտիվ նյութի օգտագործման արդիականությունը 5 տարվա ընթացքում՝ մինչ</w:t>
      </w:r>
      <w:r w:rsidR="00C54D75">
        <w:rPr>
          <w:rFonts w:ascii="Sylfaen" w:hAnsi="Sylfaen"/>
          <w:sz w:val="24"/>
          <w:szCs w:val="24"/>
        </w:rPr>
        <w:t>և</w:t>
      </w:r>
      <w:r w:rsidRPr="00834D52">
        <w:rPr>
          <w:rFonts w:ascii="Sylfaen" w:hAnsi="Sylfaen"/>
          <w:sz w:val="24"/>
          <w:szCs w:val="24"/>
        </w:rPr>
        <w:t xml:space="preserve"> տվյալ դեղապատրաստուկի գրանցման </w:t>
      </w:r>
      <w:r w:rsidR="0056496B">
        <w:rPr>
          <w:rFonts w:ascii="Sylfaen" w:hAnsi="Sylfaen"/>
          <w:sz w:val="24"/>
          <w:szCs w:val="24"/>
        </w:rPr>
        <w:t>դիմում</w:t>
      </w:r>
      <w:r w:rsidRPr="00834D52">
        <w:rPr>
          <w:rFonts w:ascii="Sylfaen" w:hAnsi="Sylfaen"/>
          <w:sz w:val="24"/>
          <w:szCs w:val="24"/>
        </w:rPr>
        <w:t>ի ներկայացման օրը (գիտական աղբյուրներում հրապարակումներին արված հղումներով).</w:t>
      </w:r>
    </w:p>
    <w:p w14:paraId="267A97A6" w14:textId="77777777" w:rsidR="006F76EB" w:rsidRPr="00834D52" w:rsidRDefault="006F76EB" w:rsidP="00B7356B">
      <w:pPr>
        <w:spacing w:after="160" w:line="384" w:lineRule="auto"/>
        <w:ind w:right="-6" w:firstLine="567"/>
        <w:rPr>
          <w:rFonts w:ascii="Sylfaen" w:eastAsia="Times New Roman" w:hAnsi="Sylfaen" w:cs="Times New Roman"/>
          <w:sz w:val="24"/>
          <w:szCs w:val="24"/>
        </w:rPr>
      </w:pPr>
      <w:r w:rsidRPr="00834D52">
        <w:rPr>
          <w:rFonts w:ascii="Sylfaen" w:hAnsi="Sylfaen"/>
          <w:sz w:val="24"/>
          <w:szCs w:val="24"/>
        </w:rPr>
        <w:t>գիտական գնահատականների համաձայնեցվածությունը:</w:t>
      </w:r>
    </w:p>
    <w:p w14:paraId="48187EAA" w14:textId="77777777" w:rsidR="006F76EB" w:rsidRPr="00834D52" w:rsidRDefault="006F76EB" w:rsidP="00B7356B">
      <w:pPr>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Լավ ուսումնասիրված բժշկական կիրառության տարբեր ակտիվ նյութերը որոշելու նպատակով կարող է գնահատում իրականացվել տարբեր ժամանակահատվածների համար: Լավ ուսումնասիրված բժշկական կիրառության ակտիվ նյութը որոշելու համար անհրաժեշտ ժամանակահատվածը պետք է կազմի ոչ պակաս, քան 10 տարի առնվազն 3 անդամ պետությունում դրա փաստաթղթավորված կիրառման պահից: Կենսաբանական դեղապատրաստուկները </w:t>
      </w:r>
      <w:r w:rsidR="00C54D75">
        <w:rPr>
          <w:rFonts w:ascii="Sylfaen" w:hAnsi="Sylfaen"/>
          <w:spacing w:val="-4"/>
          <w:sz w:val="24"/>
          <w:szCs w:val="24"/>
        </w:rPr>
        <w:t>և</w:t>
      </w:r>
      <w:r w:rsidRPr="00834D52">
        <w:rPr>
          <w:rFonts w:ascii="Sylfaen" w:hAnsi="Sylfaen"/>
          <w:spacing w:val="-4"/>
          <w:sz w:val="24"/>
          <w:szCs w:val="24"/>
        </w:rPr>
        <w:t xml:space="preserve"> դեղապատրաստուկները, որոնց համար պահանջվում է կենսահամարժեքության </w:t>
      </w:r>
      <w:r w:rsidRPr="00834D52">
        <w:rPr>
          <w:rFonts w:ascii="Sylfaen" w:hAnsi="Sylfaen"/>
          <w:spacing w:val="-4"/>
          <w:sz w:val="24"/>
          <w:szCs w:val="24"/>
        </w:rPr>
        <w:lastRenderedPageBreak/>
        <w:t xml:space="preserve">հետազոտությունների </w:t>
      </w:r>
      <w:r w:rsidR="00C54D75">
        <w:rPr>
          <w:rFonts w:ascii="Sylfaen" w:hAnsi="Sylfaen"/>
          <w:spacing w:val="-4"/>
          <w:sz w:val="24"/>
          <w:szCs w:val="24"/>
        </w:rPr>
        <w:t>և</w:t>
      </w:r>
      <w:r w:rsidRPr="00834D52">
        <w:rPr>
          <w:rFonts w:ascii="Sylfaen" w:hAnsi="Sylfaen"/>
          <w:spacing w:val="-4"/>
          <w:sz w:val="24"/>
          <w:szCs w:val="24"/>
        </w:rPr>
        <w:t xml:space="preserve"> (կամ) կլինիկական հետազոտությունների անցկացում, չեն դասվում լավ ուսումնասիրված կիրառությամբ դեղապատրաստուկների կատեգորիային.</w:t>
      </w:r>
    </w:p>
    <w:p w14:paraId="6EC024E9" w14:textId="48C25D9C"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ներկայացրած գրանցման դոսյեի նյութերը պետք է ներառեն փաստաթղթեր </w:t>
      </w:r>
      <w:r w:rsidR="00C54D75">
        <w:rPr>
          <w:rFonts w:ascii="Sylfaen" w:hAnsi="Sylfaen"/>
          <w:sz w:val="24"/>
          <w:szCs w:val="24"/>
        </w:rPr>
        <w:t>և</w:t>
      </w:r>
      <w:r w:rsidRPr="00834D52">
        <w:rPr>
          <w:rFonts w:ascii="Sylfaen" w:hAnsi="Sylfaen"/>
          <w:sz w:val="24"/>
          <w:szCs w:val="24"/>
        </w:rPr>
        <w:t xml:space="preserve"> տվյալներ՝ անվտանգության </w:t>
      </w:r>
      <w:r w:rsidR="00C54D75">
        <w:rPr>
          <w:rFonts w:ascii="Sylfaen" w:hAnsi="Sylfaen"/>
          <w:sz w:val="24"/>
          <w:szCs w:val="24"/>
        </w:rPr>
        <w:t>և</w:t>
      </w:r>
      <w:r w:rsidRPr="00834D52">
        <w:rPr>
          <w:rFonts w:ascii="Sylfaen" w:hAnsi="Sylfaen"/>
          <w:sz w:val="24"/>
          <w:szCs w:val="24"/>
        </w:rPr>
        <w:t xml:space="preserve"> արդյունավետության գնահատման բոլոր այն ասպեկտների վերաբերյալ, որոնք համապատասխան գրականության ակնարկին արված հղում են պարունակում կամ տրամադրում են այդպիսի հղում՝ հաշվի առնելով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հետազոտությունները </w:t>
      </w:r>
      <w:r w:rsidR="00C54D75">
        <w:rPr>
          <w:rFonts w:ascii="Sylfaen" w:hAnsi="Sylfaen"/>
          <w:sz w:val="24"/>
          <w:szCs w:val="24"/>
        </w:rPr>
        <w:t>և</w:t>
      </w:r>
      <w:r w:rsidRPr="00834D52">
        <w:rPr>
          <w:rFonts w:ascii="Sylfaen" w:hAnsi="Sylfaen"/>
          <w:sz w:val="24"/>
          <w:szCs w:val="24"/>
        </w:rPr>
        <w:t xml:space="preserve"> համաճարակաբանական հետազոտությունների </w:t>
      </w:r>
      <w:r w:rsidR="00C54D75">
        <w:rPr>
          <w:rFonts w:ascii="Sylfaen" w:hAnsi="Sylfaen"/>
          <w:sz w:val="24"/>
          <w:szCs w:val="24"/>
        </w:rPr>
        <w:t>և</w:t>
      </w:r>
      <w:r w:rsidRPr="00834D52">
        <w:rPr>
          <w:rFonts w:ascii="Sylfaen" w:hAnsi="Sylfaen"/>
          <w:sz w:val="24"/>
          <w:szCs w:val="24"/>
        </w:rPr>
        <w:t xml:space="preserve"> հատկապես համեմատական համաճարակաբանական հետազոտությունների արդյունքներին առնչվող հրատարակված գիտական գրականությունը, բոլոր փաստաթղթերը (դեղապատրաստուկի գնահատման ինչպես դրական , այնպես էլ բացասական արդյունքներով):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ապացույցների այլ աղբյուրներին արված մատենագիտական հղումը (հետգրանցումային հետազոտություններ, համաճարակաբանական հետազոտություններ </w:t>
      </w:r>
      <w:r w:rsidR="00C54D75">
        <w:rPr>
          <w:rFonts w:ascii="Sylfaen" w:hAnsi="Sylfaen"/>
          <w:sz w:val="24"/>
          <w:szCs w:val="24"/>
        </w:rPr>
        <w:t>և</w:t>
      </w:r>
      <w:r w:rsidRPr="00834D52">
        <w:rPr>
          <w:rFonts w:ascii="Sylfaen" w:hAnsi="Sylfaen"/>
          <w:sz w:val="24"/>
          <w:szCs w:val="24"/>
        </w:rPr>
        <w:t xml:space="preserve"> նմ.), բացառությամբ այն տվյալների, որոնք վերաբերում են վերահսկման </w:t>
      </w:r>
      <w:r w:rsidR="00C54D75">
        <w:rPr>
          <w:rFonts w:ascii="Sylfaen" w:hAnsi="Sylfaen"/>
          <w:sz w:val="24"/>
          <w:szCs w:val="24"/>
        </w:rPr>
        <w:t>և</w:t>
      </w:r>
      <w:r w:rsidRPr="00834D52">
        <w:rPr>
          <w:rFonts w:ascii="Sylfaen" w:hAnsi="Sylfaen"/>
          <w:sz w:val="24"/>
          <w:szCs w:val="24"/>
        </w:rPr>
        <w:t xml:space="preserve"> փորձարկումների մեթոդներին, կարող է լինել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ապացույց՝ պայմանով, որ գրանցման դոսյեում հստակ բացատրված </w:t>
      </w:r>
      <w:r w:rsidR="00C54D75">
        <w:rPr>
          <w:rFonts w:ascii="Sylfaen" w:hAnsi="Sylfaen"/>
          <w:sz w:val="24"/>
          <w:szCs w:val="24"/>
        </w:rPr>
        <w:t>և</w:t>
      </w:r>
      <w:r w:rsidRPr="00834D52">
        <w:rPr>
          <w:rFonts w:ascii="Sylfaen" w:hAnsi="Sylfaen"/>
          <w:sz w:val="24"/>
          <w:szCs w:val="24"/>
        </w:rPr>
        <w:t xml:space="preserve"> հիմնավորված է տեղեկատվության այդ աղբյուրների օգտագործումը.</w:t>
      </w:r>
    </w:p>
    <w:p w14:paraId="5C54E0B9"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դեղապատրաստուկի գրանցման դոսյեի փաստաթղթերում </w:t>
      </w:r>
      <w:r w:rsidR="00C54D75">
        <w:rPr>
          <w:rFonts w:ascii="Sylfaen" w:hAnsi="Sylfaen"/>
          <w:sz w:val="24"/>
          <w:szCs w:val="24"/>
        </w:rPr>
        <w:t>և</w:t>
      </w:r>
      <w:r w:rsidRPr="00834D52">
        <w:rPr>
          <w:rFonts w:ascii="Sylfaen" w:hAnsi="Sylfaen"/>
          <w:sz w:val="24"/>
          <w:szCs w:val="24"/>
        </w:rPr>
        <w:t xml:space="preserve"> տվյալներում անհրաժեշտ է հիմնավորել, թե ինչու կարող է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ընդունելի մակարդակը համարվել ապացուցված՝ անկախ որոշ հետազոտությունների բացակայությունից.</w:t>
      </w:r>
    </w:p>
    <w:p w14:paraId="3F3E1091" w14:textId="78BE398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դ)</w:t>
      </w:r>
      <w:r w:rsidRPr="00834D52">
        <w:rPr>
          <w:rFonts w:ascii="Sylfaen" w:hAnsi="Sylfaen"/>
          <w:spacing w:val="-4"/>
          <w:sz w:val="24"/>
          <w:szCs w:val="24"/>
        </w:rPr>
        <w:tab/>
        <w:t xml:space="preserve">դեղապատրաստուկի գրանցման դոսյեի 2-րդ մոդուլի նախակլինիկական </w:t>
      </w:r>
      <w:r w:rsidR="00C54D75">
        <w:rPr>
          <w:rFonts w:ascii="Sylfaen" w:hAnsi="Sylfaen"/>
          <w:spacing w:val="-4"/>
          <w:sz w:val="24"/>
          <w:szCs w:val="24"/>
        </w:rPr>
        <w:t>և</w:t>
      </w:r>
      <w:r w:rsidRPr="00834D52">
        <w:rPr>
          <w:rFonts w:ascii="Sylfaen" w:hAnsi="Sylfaen"/>
          <w:spacing w:val="-4"/>
          <w:sz w:val="24"/>
          <w:szCs w:val="24"/>
        </w:rPr>
        <w:t xml:space="preserve"> (կամ) կլինիկական ակնարկներում անհրաժեշտ է պարզաբանել գրանցելու համար առաջարկված դեղապատրաստուկի ներկայացված ցանկացած տվյալների արժեքը, եթե դրանք տարբերվում են արդեն իսկ գրանցված դեղապատրաստուկի տվյալներից: </w:t>
      </w:r>
      <w:r w:rsidRPr="00834D52">
        <w:rPr>
          <w:rFonts w:ascii="Sylfaen" w:hAnsi="Sylfaen"/>
          <w:spacing w:val="-4"/>
          <w:sz w:val="24"/>
          <w:szCs w:val="24"/>
        </w:rPr>
        <w:lastRenderedPageBreak/>
        <w:t xml:space="preserve">Անհրաժեշտ է ներկայացնել հիմնավորում այն մասին, թե արդյոք, անկախ առկա տարբերություններից, կարելի է </w:t>
      </w:r>
      <w:r w:rsidR="001A5F1A">
        <w:rPr>
          <w:rFonts w:ascii="Sylfaen" w:hAnsi="Sylfaen"/>
          <w:spacing w:val="-4"/>
          <w:sz w:val="24"/>
          <w:szCs w:val="24"/>
        </w:rPr>
        <w:t>հայտագրված</w:t>
      </w:r>
      <w:r w:rsidRPr="00834D52">
        <w:rPr>
          <w:rFonts w:ascii="Sylfaen" w:hAnsi="Sylfaen"/>
          <w:spacing w:val="-4"/>
          <w:sz w:val="24"/>
          <w:szCs w:val="24"/>
        </w:rPr>
        <w:t xml:space="preserve"> դեղապատրաստուկը նմանեցնել արդեն իսկ գրանցված դեղապատրաստուկին.</w:t>
      </w:r>
    </w:p>
    <w:p w14:paraId="4B0E7214"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դեղապատրաստուկի օգտագործման հետգրանցումային փորձը կարող է ներկայացված լինել մի</w:t>
      </w:r>
      <w:r w:rsidR="00C54D75">
        <w:rPr>
          <w:rFonts w:ascii="Sylfaen" w:hAnsi="Sylfaen"/>
          <w:sz w:val="24"/>
          <w:szCs w:val="24"/>
        </w:rPr>
        <w:t>և</w:t>
      </w:r>
      <w:r w:rsidRPr="00834D52">
        <w:rPr>
          <w:rFonts w:ascii="Sylfaen" w:hAnsi="Sylfaen"/>
          <w:sz w:val="24"/>
          <w:szCs w:val="24"/>
        </w:rPr>
        <w:t>նույն ակտիվ նյութերը պարունակող այլ դեղապատրաստուկների օգտագործման մասին տեղեկատվության տեսքով.</w:t>
      </w:r>
    </w:p>
    <w:p w14:paraId="043B3639" w14:textId="28D8DFDD"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դեղապատրաստուկը երրորդ երկրների շուկաներում կիրառելու փորձի առկայության դեպքում պետք է դեղապատրաստուկի անվտանգության մասով ներկայացնել պարբերական թարմացվող հաշվետվություն գրանցման </w:t>
      </w:r>
      <w:r w:rsidR="0056496B">
        <w:rPr>
          <w:rFonts w:ascii="Sylfaen" w:hAnsi="Sylfaen"/>
          <w:sz w:val="24"/>
          <w:szCs w:val="24"/>
        </w:rPr>
        <w:t>դիմում</w:t>
      </w:r>
      <w:r w:rsidRPr="00834D52">
        <w:rPr>
          <w:rFonts w:ascii="Sylfaen" w:hAnsi="Sylfaen"/>
          <w:sz w:val="24"/>
          <w:szCs w:val="24"/>
        </w:rPr>
        <w:t>ը ներկայացնելու օրվանից 5 տարի առաջ:</w:t>
      </w:r>
    </w:p>
    <w:p w14:paraId="6E9BCAB9" w14:textId="77777777" w:rsidR="00B7356B" w:rsidRPr="002978B0" w:rsidRDefault="00B7356B" w:rsidP="006F76EB">
      <w:pPr>
        <w:spacing w:after="160" w:line="360" w:lineRule="auto"/>
        <w:ind w:left="567" w:right="565"/>
        <w:jc w:val="center"/>
        <w:rPr>
          <w:rFonts w:ascii="Sylfaen" w:hAnsi="Sylfaen"/>
          <w:sz w:val="24"/>
          <w:szCs w:val="24"/>
        </w:rPr>
      </w:pPr>
    </w:p>
    <w:p w14:paraId="69BD06E0"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9. Համակցված դեղապատրաստուկների գրանցման դոսյեին ներկայացվող պահանջները</w:t>
      </w:r>
    </w:p>
    <w:p w14:paraId="13BDC054" w14:textId="018E68E5"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Նոր դեղապատրաստուկների համար, որոնք 2 կամ ավելի վաղ </w:t>
      </w:r>
      <w:r w:rsidR="005F6A31">
        <w:rPr>
          <w:rFonts w:ascii="Sylfaen" w:hAnsi="Sylfaen"/>
          <w:sz w:val="24"/>
          <w:szCs w:val="24"/>
        </w:rPr>
        <w:t>հայտնի</w:t>
      </w:r>
      <w:r w:rsidRPr="00834D52">
        <w:rPr>
          <w:rFonts w:ascii="Sylfaen" w:hAnsi="Sylfaen"/>
          <w:sz w:val="24"/>
          <w:szCs w:val="24"/>
        </w:rPr>
        <w:t xml:space="preserve"> ակտիվ նյութերի (այսինքն՝ համակցված դեղապատրաստուկների կազմի մեջ մտնող, սակայն նախկինում միաբաղադրիչ պատրաստուկների կազմում գրանցված ակտիվ նյութերի) համակցություններ են մեկ դեղաձ</w:t>
      </w:r>
      <w:r w:rsidR="00C54D75">
        <w:rPr>
          <w:rFonts w:ascii="Sylfaen" w:hAnsi="Sylfaen"/>
          <w:sz w:val="24"/>
          <w:szCs w:val="24"/>
        </w:rPr>
        <w:t>և</w:t>
      </w:r>
      <w:r w:rsidRPr="00834D52">
        <w:rPr>
          <w:rFonts w:ascii="Sylfaen" w:hAnsi="Sylfaen"/>
          <w:sz w:val="24"/>
          <w:szCs w:val="24"/>
        </w:rPr>
        <w:t xml:space="preserve">ում, ներկայացվում է ամբողջական գրանցման դոսյեն (1-5-րդ մոդուլներ)՝ սույն Պահանջների I-ին մասին համապատասխան: 3-րդ մոդուլը ներառում է արտադրության, որակի վերահսկման </w:t>
      </w:r>
      <w:r w:rsidR="00C54D75">
        <w:rPr>
          <w:rFonts w:ascii="Sylfaen" w:hAnsi="Sylfaen"/>
          <w:sz w:val="24"/>
          <w:szCs w:val="24"/>
        </w:rPr>
        <w:t>և</w:t>
      </w:r>
      <w:r w:rsidRPr="00834D52">
        <w:rPr>
          <w:rFonts w:ascii="Sylfaen" w:hAnsi="Sylfaen"/>
          <w:sz w:val="24"/>
          <w:szCs w:val="24"/>
        </w:rPr>
        <w:t xml:space="preserve"> համակցված դեղապատրաստուկների կազմի մեջ մտնող յուրաքանչյուր ակտիվ նյութի արտադրողի վերաբերյալ տեղեկությունները (ընդ որում, համակցված փաթեթվածքով ներկայացված միաբաղադրիչ դեղապատրաստուկները չեն կարող դիտարկվել որպես համակցված դեղապատրաստուկներ): 4-րդ </w:t>
      </w:r>
      <w:r w:rsidR="00C54D75">
        <w:rPr>
          <w:rFonts w:ascii="Sylfaen" w:hAnsi="Sylfaen"/>
          <w:sz w:val="24"/>
          <w:szCs w:val="24"/>
        </w:rPr>
        <w:t>և</w:t>
      </w:r>
      <w:r w:rsidRPr="00834D52">
        <w:rPr>
          <w:rFonts w:ascii="Sylfaen" w:hAnsi="Sylfaen"/>
          <w:sz w:val="24"/>
          <w:szCs w:val="24"/>
        </w:rPr>
        <w:t xml:space="preserve"> 5-րդ մոդուլներում ներկայացվում են գրանցման համար </w:t>
      </w:r>
      <w:r w:rsidR="0056496B">
        <w:rPr>
          <w:rFonts w:ascii="Sylfaen" w:hAnsi="Sylfaen"/>
          <w:sz w:val="24"/>
          <w:szCs w:val="24"/>
        </w:rPr>
        <w:t>դիմում</w:t>
      </w:r>
      <w:r w:rsidRPr="00834D52">
        <w:rPr>
          <w:rFonts w:ascii="Sylfaen" w:hAnsi="Sylfaen"/>
          <w:sz w:val="24"/>
          <w:szCs w:val="24"/>
        </w:rPr>
        <w:t xml:space="preserve">ագրվող ակտիվ նյութերի համակցությունների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արդյունքները:</w:t>
      </w:r>
    </w:p>
    <w:p w14:paraId="71882124" w14:textId="77777777" w:rsidR="006F76EB" w:rsidRPr="00834D52" w:rsidRDefault="006F76EB" w:rsidP="00DA5BB8">
      <w:pPr>
        <w:spacing w:after="160" w:line="341"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10. Կենսահամանման (կենսանման) դեղապատրաստուկների </w:t>
      </w:r>
      <w:r w:rsidRPr="00834D52">
        <w:rPr>
          <w:rFonts w:ascii="Sylfaen" w:hAnsi="Sylfaen"/>
          <w:sz w:val="24"/>
          <w:szCs w:val="24"/>
        </w:rPr>
        <w:lastRenderedPageBreak/>
        <w:t>գրանցման դոսյեին ներկայացվող պահանջները</w:t>
      </w:r>
    </w:p>
    <w:p w14:paraId="0E6C5EFD" w14:textId="77777777" w:rsidR="006F76EB" w:rsidRPr="00834D52" w:rsidRDefault="006F76EB" w:rsidP="00DA5BB8">
      <w:pPr>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Կենսահամանման (կենսանման) դեղապատրաստուկը գրանցելու համար ներկայացվում են </w:t>
      </w:r>
      <w:r w:rsidR="0032680A">
        <w:rPr>
          <w:rFonts w:ascii="Sylfaen" w:hAnsi="Sylfaen"/>
          <w:sz w:val="24"/>
          <w:szCs w:val="24"/>
        </w:rPr>
        <w:t xml:space="preserve">ռեֆերենտ </w:t>
      </w:r>
      <w:r w:rsidRPr="00834D52">
        <w:rPr>
          <w:rFonts w:ascii="Sylfaen" w:hAnsi="Sylfaen"/>
          <w:sz w:val="24"/>
          <w:szCs w:val="24"/>
        </w:rPr>
        <w:t xml:space="preserve">կենսաբանական դեղապատրաստուկի հետ դրա համեմատական հետազոտությունների տվյալները: Կենսահամանման (կենսանման) դեղապատրաստուկի որակը, անվտանգությունը, արդյունավետությունը </w:t>
      </w:r>
      <w:r w:rsidR="00C54D75">
        <w:rPr>
          <w:rFonts w:ascii="Sylfaen" w:hAnsi="Sylfaen"/>
          <w:sz w:val="24"/>
          <w:szCs w:val="24"/>
        </w:rPr>
        <w:t>և</w:t>
      </w:r>
      <w:r w:rsidRPr="00834D52">
        <w:rPr>
          <w:rFonts w:ascii="Sylfaen" w:hAnsi="Sylfaen"/>
          <w:sz w:val="24"/>
          <w:szCs w:val="24"/>
        </w:rPr>
        <w:t xml:space="preserve"> իմունոգենությունը դրա մշակման արտադրական, նախակլինիկական </w:t>
      </w:r>
      <w:r w:rsidR="00C54D75">
        <w:rPr>
          <w:rFonts w:ascii="Sylfaen" w:hAnsi="Sylfaen"/>
          <w:sz w:val="24"/>
          <w:szCs w:val="24"/>
        </w:rPr>
        <w:t>և</w:t>
      </w:r>
      <w:r w:rsidRPr="00834D52">
        <w:rPr>
          <w:rFonts w:ascii="Sylfaen" w:hAnsi="Sylfaen"/>
          <w:sz w:val="24"/>
          <w:szCs w:val="24"/>
        </w:rPr>
        <w:t xml:space="preserve"> կլինիկական փուլերում պետք է համեմատվեն մի</w:t>
      </w:r>
      <w:r w:rsidR="00C54D75">
        <w:rPr>
          <w:rFonts w:ascii="Sylfaen" w:hAnsi="Sylfaen"/>
          <w:sz w:val="24"/>
          <w:szCs w:val="24"/>
        </w:rPr>
        <w:t>և</w:t>
      </w:r>
      <w:r w:rsidRPr="00834D52">
        <w:rPr>
          <w:rFonts w:ascii="Sylfaen" w:hAnsi="Sylfaen"/>
          <w:sz w:val="24"/>
          <w:szCs w:val="24"/>
        </w:rPr>
        <w:t xml:space="preserve">նույն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հետ՝ Հանձնաժողովի կողմից հաստատվող՝ Եվրասիական տնտեսական միության շրջանակներում կենսաբանական դեղամիջոցների հետազոտության կանոններին համապատասխան: Կենսահամանման (կենսանման) դեղապատրաստուկների գրանցման դոսյեն ներկայացվում է սույն բաժնի պահանջներին համապատասխան:</w:t>
      </w:r>
    </w:p>
    <w:p w14:paraId="6E84BB97" w14:textId="77777777"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w:t>
      </w:r>
      <w:r w:rsidRPr="00834D52">
        <w:rPr>
          <w:rFonts w:ascii="Sylfaen" w:hAnsi="Sylfaen"/>
          <w:sz w:val="24"/>
          <w:szCs w:val="24"/>
        </w:rPr>
        <w:tab/>
        <w:t>Մոդուլ 1.</w:t>
      </w:r>
    </w:p>
    <w:p w14:paraId="751D8C15" w14:textId="29F08F2A"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10.1.1.</w:t>
      </w:r>
      <w:r w:rsidRPr="00834D52">
        <w:rPr>
          <w:rFonts w:ascii="Sylfaen" w:hAnsi="Sylfaen"/>
          <w:sz w:val="24"/>
          <w:szCs w:val="24"/>
        </w:rPr>
        <w:tab/>
        <w:t>Դեղապատրաստուկի գրանցման դոսյեի 1-ին մոդուլի 1.</w:t>
      </w:r>
      <w:r w:rsidR="00E90FAF" w:rsidRPr="00E90FAF">
        <w:rPr>
          <w:rFonts w:ascii="Sylfaen" w:hAnsi="Sylfaen"/>
          <w:sz w:val="24"/>
          <w:szCs w:val="24"/>
        </w:rPr>
        <w:t>8</w:t>
      </w:r>
      <w:r w:rsidRPr="00834D52">
        <w:rPr>
          <w:rFonts w:ascii="Sylfaen" w:hAnsi="Sylfaen"/>
          <w:sz w:val="24"/>
          <w:szCs w:val="24"/>
        </w:rPr>
        <w:t>.2</w:t>
      </w:r>
      <w:r w:rsidR="00DA5BB8" w:rsidRPr="00DA5BB8">
        <w:rPr>
          <w:rFonts w:ascii="Sylfaen" w:hAnsi="Sylfaen"/>
          <w:sz w:val="24"/>
          <w:szCs w:val="24"/>
        </w:rPr>
        <w:t> </w:t>
      </w:r>
      <w:r w:rsidRPr="00834D52">
        <w:rPr>
          <w:rFonts w:ascii="Sylfaen" w:hAnsi="Sylfaen"/>
          <w:sz w:val="24"/>
          <w:szCs w:val="24"/>
        </w:rPr>
        <w:t xml:space="preserve">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որոնք ցույց են տալիս, որ դեղապատրաստուկը, որի գրանցման համար </w:t>
      </w:r>
      <w:r w:rsidR="0056496B">
        <w:rPr>
          <w:rFonts w:ascii="Sylfaen" w:hAnsi="Sylfaen"/>
          <w:sz w:val="24"/>
          <w:szCs w:val="24"/>
        </w:rPr>
        <w:t>դիմում</w:t>
      </w:r>
      <w:r w:rsidRPr="00834D52">
        <w:rPr>
          <w:rFonts w:ascii="Sylfaen" w:hAnsi="Sylfaen"/>
          <w:sz w:val="24"/>
          <w:szCs w:val="24"/>
        </w:rPr>
        <w:t xml:space="preserve"> է ներկայացվում, օրիգինալ դեղապատրաստուկին կենսահամանման (կենսանման) դեղապատրաստուկ է: Ռեզյումեն պետք է պարունակի դեղապատրաստուկի, ակտիվ նյութի, դեղաձ</w:t>
      </w:r>
      <w:r w:rsidR="00C54D75">
        <w:rPr>
          <w:rFonts w:ascii="Sylfaen" w:hAnsi="Sylfaen"/>
          <w:sz w:val="24"/>
          <w:szCs w:val="24"/>
        </w:rPr>
        <w:t>և</w:t>
      </w:r>
      <w:r w:rsidRPr="00834D52">
        <w:rPr>
          <w:rFonts w:ascii="Sylfaen" w:hAnsi="Sylfaen"/>
          <w:sz w:val="24"/>
          <w:szCs w:val="24"/>
        </w:rPr>
        <w:t xml:space="preserve">ի, դոզավորման, կիրառման ցուցումների </w:t>
      </w:r>
      <w:r w:rsidR="00C54D75">
        <w:rPr>
          <w:rFonts w:ascii="Sylfaen" w:hAnsi="Sylfaen"/>
          <w:sz w:val="24"/>
          <w:szCs w:val="24"/>
        </w:rPr>
        <w:t>և</w:t>
      </w:r>
      <w:r w:rsidRPr="00834D52">
        <w:rPr>
          <w:rFonts w:ascii="Sylfaen" w:hAnsi="Sylfaen"/>
          <w:sz w:val="24"/>
          <w:szCs w:val="24"/>
        </w:rPr>
        <w:t xml:space="preserve"> կիրառման եղանակի վերաբերյալ տեղեկատվություն՝ օրիգինալ դեղապատրաստուկի վերաբերյալ համանման տեղեկատվության համեմատությամբ:</w:t>
      </w:r>
    </w:p>
    <w:p w14:paraId="09940821" w14:textId="7BA985CB"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10.1.2.</w:t>
      </w:r>
      <w:r w:rsidRPr="00834D52">
        <w:rPr>
          <w:rFonts w:ascii="Sylfaen" w:hAnsi="Sylfaen"/>
          <w:sz w:val="24"/>
          <w:szCs w:val="24"/>
        </w:rPr>
        <w:tab/>
        <w:t>Դեղապատրաստուկի գրանցման դոսյեի 1-ին մոդուլի 1.</w:t>
      </w:r>
      <w:r w:rsidR="00E90FAF" w:rsidRPr="00E90FAF">
        <w:rPr>
          <w:rFonts w:ascii="Sylfaen" w:hAnsi="Sylfaen"/>
          <w:sz w:val="24"/>
          <w:szCs w:val="24"/>
        </w:rPr>
        <w:t>10</w:t>
      </w:r>
      <w:r w:rsidRPr="00834D52">
        <w:rPr>
          <w:rFonts w:ascii="Sylfaen" w:hAnsi="Sylfaen"/>
          <w:sz w:val="24"/>
          <w:szCs w:val="24"/>
        </w:rPr>
        <w:t xml:space="preserve"> բաժնում գրանցման հավաստագրի իրավատիրոջ դեղազգոնության համակարգի մասին հակիրճ տեղեկատվության հետ միասին ներկայացվում է գրանցման համար </w:t>
      </w:r>
      <w:r w:rsidR="0056496B">
        <w:rPr>
          <w:rFonts w:ascii="Sylfaen" w:hAnsi="Sylfaen"/>
          <w:sz w:val="24"/>
          <w:szCs w:val="24"/>
        </w:rPr>
        <w:t>դիմում</w:t>
      </w:r>
      <w:r w:rsidRPr="00834D52">
        <w:rPr>
          <w:rFonts w:ascii="Sylfaen" w:hAnsi="Sylfaen"/>
          <w:sz w:val="24"/>
          <w:szCs w:val="24"/>
        </w:rPr>
        <w:t>ագրվող կենսահամանման (կենսանման) դեղապատրաստուկի ռիսկերի կառավարման պլանը:</w:t>
      </w:r>
    </w:p>
    <w:p w14:paraId="0F088F44" w14:textId="77777777" w:rsidR="006F76EB" w:rsidRPr="00834D52" w:rsidRDefault="006F76EB" w:rsidP="004B2E59">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10.1.3.</w:t>
      </w:r>
      <w:r w:rsidRPr="00834D52">
        <w:rPr>
          <w:rFonts w:ascii="Sylfaen" w:hAnsi="Sylfaen"/>
          <w:sz w:val="24"/>
          <w:szCs w:val="24"/>
        </w:rPr>
        <w:tab/>
        <w:t xml:space="preserve">Գրանցման դոսյեի որոշակի տարրերի բացակայության դեպքում պետք է ներկայացնել դրանց բացակայության հիմնավորումը տվյալ մոդուլի </w:t>
      </w:r>
      <w:r w:rsidRPr="00834D52">
        <w:rPr>
          <w:rFonts w:ascii="Sylfaen" w:hAnsi="Sylfaen"/>
          <w:sz w:val="24"/>
          <w:szCs w:val="24"/>
        </w:rPr>
        <w:lastRenderedPageBreak/>
        <w:t>համապատասխան բաժնում:</w:t>
      </w:r>
    </w:p>
    <w:p w14:paraId="566CDCCC" w14:textId="77777777" w:rsidR="006F76EB" w:rsidRPr="00834D52" w:rsidRDefault="006F76EB" w:rsidP="004B2E59">
      <w:pPr>
        <w:tabs>
          <w:tab w:val="left" w:pos="127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10.2.</w:t>
      </w:r>
      <w:r w:rsidRPr="00834D52">
        <w:rPr>
          <w:rFonts w:ascii="Sylfaen" w:hAnsi="Sylfaen"/>
          <w:sz w:val="24"/>
          <w:szCs w:val="24"/>
        </w:rPr>
        <w:tab/>
        <w:t>Մոդուլ 2.</w:t>
      </w:r>
    </w:p>
    <w:p w14:paraId="295F67AF" w14:textId="645D5C75" w:rsidR="006F76EB" w:rsidRPr="008B2F3A" w:rsidRDefault="006F76EB" w:rsidP="00746502">
      <w:pPr>
        <w:tabs>
          <w:tab w:val="left" w:pos="1418"/>
        </w:tabs>
        <w:spacing w:after="160" w:line="360" w:lineRule="auto"/>
        <w:ind w:right="-6" w:firstLine="567"/>
        <w:jc w:val="both"/>
        <w:rPr>
          <w:rFonts w:ascii="Sylfaen" w:eastAsia="Times New Roman" w:hAnsi="Sylfaen" w:cs="Times New Roman"/>
          <w:spacing w:val="-6"/>
          <w:sz w:val="24"/>
          <w:szCs w:val="24"/>
        </w:rPr>
      </w:pPr>
      <w:r w:rsidRPr="008B2F3A">
        <w:rPr>
          <w:rFonts w:ascii="Sylfaen" w:hAnsi="Sylfaen"/>
          <w:spacing w:val="-6"/>
          <w:sz w:val="24"/>
          <w:szCs w:val="24"/>
        </w:rPr>
        <w:t xml:space="preserve">Որակի մասով տվյալների ուսումնասիրության, նախակլինիկական </w:t>
      </w:r>
      <w:r w:rsidR="00C54D75">
        <w:rPr>
          <w:rFonts w:ascii="Sylfaen" w:hAnsi="Sylfaen"/>
          <w:spacing w:val="-6"/>
          <w:sz w:val="24"/>
          <w:szCs w:val="24"/>
        </w:rPr>
        <w:t>և</w:t>
      </w:r>
      <w:r w:rsidRPr="008B2F3A">
        <w:rPr>
          <w:rFonts w:ascii="Sylfaen" w:hAnsi="Sylfaen"/>
          <w:spacing w:val="-6"/>
          <w:sz w:val="24"/>
          <w:szCs w:val="24"/>
        </w:rPr>
        <w:t xml:space="preserve"> կլինիկական տվյալների ուսումնասիրությունների մեջ անհրաժեշտ է լրացուցիչ համեմատական տեղեկատվություն ներկայացնել </w:t>
      </w:r>
      <w:r w:rsidR="0056496B">
        <w:rPr>
          <w:rFonts w:ascii="Sylfaen" w:hAnsi="Sylfaen"/>
          <w:spacing w:val="-6"/>
          <w:sz w:val="24"/>
          <w:szCs w:val="24"/>
        </w:rPr>
        <w:t>դիմում</w:t>
      </w:r>
      <w:r w:rsidRPr="008B2F3A">
        <w:rPr>
          <w:rFonts w:ascii="Sylfaen" w:hAnsi="Sylfaen"/>
          <w:spacing w:val="-6"/>
          <w:sz w:val="24"/>
          <w:szCs w:val="24"/>
        </w:rPr>
        <w:t xml:space="preserve">ագրվող դեղապատրաստուկի </w:t>
      </w:r>
      <w:r w:rsidR="00C54D75">
        <w:rPr>
          <w:rFonts w:ascii="Sylfaen" w:hAnsi="Sylfaen"/>
          <w:spacing w:val="-6"/>
          <w:sz w:val="24"/>
          <w:szCs w:val="24"/>
        </w:rPr>
        <w:t>և</w:t>
      </w:r>
      <w:r w:rsidRPr="008B2F3A">
        <w:rPr>
          <w:rFonts w:ascii="Sylfaen" w:hAnsi="Sylfaen"/>
          <w:spacing w:val="-6"/>
          <w:sz w:val="24"/>
          <w:szCs w:val="24"/>
        </w:rPr>
        <w:t xml:space="preserve"> </w:t>
      </w:r>
      <w:r w:rsidR="0032680A">
        <w:rPr>
          <w:rFonts w:ascii="Sylfaen" w:hAnsi="Sylfaen"/>
          <w:spacing w:val="-6"/>
          <w:sz w:val="24"/>
          <w:szCs w:val="24"/>
        </w:rPr>
        <w:t xml:space="preserve">ռեֆերենտ </w:t>
      </w:r>
      <w:r w:rsidRPr="008B2F3A">
        <w:rPr>
          <w:rFonts w:ascii="Sylfaen" w:hAnsi="Sylfaen"/>
          <w:spacing w:val="-6"/>
          <w:sz w:val="24"/>
          <w:szCs w:val="24"/>
        </w:rPr>
        <w:t>դեղապատրաստուկի վերաբերյալ, ինչպես նա</w:t>
      </w:r>
      <w:r w:rsidR="00C54D75">
        <w:rPr>
          <w:rFonts w:ascii="Sylfaen" w:hAnsi="Sylfaen"/>
          <w:spacing w:val="-6"/>
          <w:sz w:val="24"/>
          <w:szCs w:val="24"/>
        </w:rPr>
        <w:t>և</w:t>
      </w:r>
      <w:r w:rsidRPr="008B2F3A">
        <w:rPr>
          <w:rFonts w:ascii="Sylfaen" w:hAnsi="Sylfaen"/>
          <w:spacing w:val="-6"/>
          <w:sz w:val="24"/>
          <w:szCs w:val="24"/>
        </w:rPr>
        <w:t xml:space="preserve"> բերել </w:t>
      </w:r>
      <w:r w:rsidR="00D23E48" w:rsidRPr="008B2F3A">
        <w:rPr>
          <w:rFonts w:ascii="Sylfaen" w:hAnsi="Sylfaen"/>
          <w:spacing w:val="-6"/>
          <w:sz w:val="24"/>
          <w:szCs w:val="24"/>
        </w:rPr>
        <w:t xml:space="preserve">ռեֆերենտ </w:t>
      </w:r>
      <w:r w:rsidRPr="008B2F3A">
        <w:rPr>
          <w:rFonts w:ascii="Sylfaen" w:hAnsi="Sylfaen"/>
          <w:spacing w:val="-6"/>
          <w:sz w:val="24"/>
          <w:szCs w:val="24"/>
        </w:rPr>
        <w:t xml:space="preserve">պատրաստուկի ընտրության չափանիշները </w:t>
      </w:r>
      <w:r w:rsidR="00C54D75">
        <w:rPr>
          <w:rFonts w:ascii="Sylfaen" w:hAnsi="Sylfaen"/>
          <w:spacing w:val="-6"/>
          <w:sz w:val="24"/>
          <w:szCs w:val="24"/>
        </w:rPr>
        <w:t>և</w:t>
      </w:r>
      <w:r w:rsidRPr="008B2F3A">
        <w:rPr>
          <w:rFonts w:ascii="Sylfaen" w:hAnsi="Sylfaen"/>
          <w:spacing w:val="-6"/>
          <w:sz w:val="24"/>
          <w:szCs w:val="24"/>
        </w:rPr>
        <w:t xml:space="preserve"> դրանց հիմնավորումը:</w:t>
      </w:r>
    </w:p>
    <w:p w14:paraId="4C197BCA" w14:textId="361C96B7" w:rsidR="006F76EB" w:rsidRPr="00834D52" w:rsidRDefault="007F2846" w:rsidP="00746502">
      <w:pPr>
        <w:tabs>
          <w:tab w:val="left" w:pos="1418"/>
        </w:tabs>
        <w:spacing w:after="160" w:line="360" w:lineRule="auto"/>
        <w:ind w:right="-6" w:firstLine="567"/>
        <w:jc w:val="both"/>
        <w:rPr>
          <w:rFonts w:ascii="Sylfaen" w:eastAsia="Times New Roman" w:hAnsi="Sylfaen" w:cs="Times New Roman"/>
          <w:sz w:val="24"/>
          <w:szCs w:val="24"/>
        </w:rPr>
      </w:pPr>
      <w:r>
        <w:rPr>
          <w:rFonts w:ascii="Sylfaen" w:hAnsi="Sylfaen"/>
          <w:spacing w:val="-4"/>
          <w:sz w:val="24"/>
          <w:szCs w:val="24"/>
        </w:rPr>
        <w:t>Հետազոտության մասին հաշվետվությունը</w:t>
      </w:r>
      <w:r w:rsidR="006F76EB" w:rsidRPr="00834D52">
        <w:rPr>
          <w:rFonts w:ascii="Sylfaen" w:hAnsi="Sylfaen"/>
          <w:spacing w:val="-4"/>
          <w:sz w:val="24"/>
          <w:szCs w:val="24"/>
        </w:rPr>
        <w:t xml:space="preserve"> կամ առանձին պաշտոնական գրությունը պետք է </w:t>
      </w:r>
      <w:r w:rsidR="0032680A">
        <w:rPr>
          <w:rFonts w:ascii="Sylfaen" w:hAnsi="Sylfaen"/>
          <w:spacing w:val="-4"/>
          <w:sz w:val="24"/>
          <w:szCs w:val="24"/>
        </w:rPr>
        <w:t xml:space="preserve">ռեֆերենտ </w:t>
      </w:r>
      <w:r w:rsidR="006F76EB" w:rsidRPr="00834D52">
        <w:rPr>
          <w:rFonts w:ascii="Sylfaen" w:hAnsi="Sylfaen"/>
          <w:spacing w:val="-4"/>
          <w:sz w:val="24"/>
          <w:szCs w:val="24"/>
        </w:rPr>
        <w:t>դեղապատրաստուկի ընտրության հաստատում պարունակի՝ Հանձնաժողովի կողմից հաստատվող՝ Եվրասիական տնտեսական միության շրջանակներում կենսաբանական դեղամիջոցների հետազոտությունների անցկացման կանոններին համապատասխան: Նա</w:t>
      </w:r>
      <w:r w:rsidR="00C54D75">
        <w:rPr>
          <w:rFonts w:ascii="Sylfaen" w:hAnsi="Sylfaen"/>
          <w:spacing w:val="-4"/>
          <w:sz w:val="24"/>
          <w:szCs w:val="24"/>
        </w:rPr>
        <w:t>և</w:t>
      </w:r>
      <w:r w:rsidR="006F76EB" w:rsidRPr="00834D52">
        <w:rPr>
          <w:rFonts w:ascii="Sylfaen" w:hAnsi="Sylfaen"/>
          <w:spacing w:val="-4"/>
          <w:sz w:val="24"/>
          <w:szCs w:val="24"/>
        </w:rPr>
        <w:t xml:space="preserve"> պետք է նշվեն </w:t>
      </w:r>
      <w:r w:rsidR="00D23E48">
        <w:rPr>
          <w:rFonts w:ascii="Sylfaen" w:hAnsi="Sylfaen"/>
          <w:spacing w:val="-4"/>
          <w:sz w:val="24"/>
          <w:szCs w:val="24"/>
        </w:rPr>
        <w:t xml:space="preserve">ռեֆերենտ </w:t>
      </w:r>
      <w:r w:rsidR="006F76EB" w:rsidRPr="00834D52">
        <w:rPr>
          <w:rFonts w:ascii="Sylfaen" w:hAnsi="Sylfaen"/>
          <w:spacing w:val="-4"/>
          <w:sz w:val="24"/>
          <w:szCs w:val="24"/>
        </w:rPr>
        <w:t>պատրաստուկի վերաբերյալ հետ</w:t>
      </w:r>
      <w:r w:rsidR="00C54D75">
        <w:rPr>
          <w:rFonts w:ascii="Sylfaen" w:hAnsi="Sylfaen"/>
          <w:spacing w:val="-4"/>
          <w:sz w:val="24"/>
          <w:szCs w:val="24"/>
        </w:rPr>
        <w:t>և</w:t>
      </w:r>
      <w:r w:rsidR="006F76EB" w:rsidRPr="00834D52">
        <w:rPr>
          <w:rFonts w:ascii="Sylfaen" w:hAnsi="Sylfaen"/>
          <w:spacing w:val="-4"/>
          <w:sz w:val="24"/>
          <w:szCs w:val="24"/>
        </w:rPr>
        <w:t>յալ տեղեկությունները</w:t>
      </w:r>
      <w:r w:rsidR="006F76EB" w:rsidRPr="00834D52">
        <w:rPr>
          <w:rFonts w:ascii="Sylfaen" w:hAnsi="Sylfaen"/>
          <w:sz w:val="24"/>
          <w:szCs w:val="24"/>
        </w:rPr>
        <w:t>.</w:t>
      </w:r>
    </w:p>
    <w:p w14:paraId="08AEDEB6" w14:textId="77777777" w:rsidR="006F76EB" w:rsidRPr="00834D52" w:rsidRDefault="006F76EB" w:rsidP="004B2E59">
      <w:pPr>
        <w:tabs>
          <w:tab w:val="left" w:pos="1418"/>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անվանումը.</w:t>
      </w:r>
    </w:p>
    <w:p w14:paraId="37A295EE"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735E8C92"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անվանումը.</w:t>
      </w:r>
    </w:p>
    <w:p w14:paraId="0D43B753"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գրանցման ամսաթիվը </w:t>
      </w:r>
      <w:r w:rsidR="00C54D75">
        <w:rPr>
          <w:rFonts w:ascii="Sylfaen" w:hAnsi="Sylfaen"/>
          <w:sz w:val="24"/>
          <w:szCs w:val="24"/>
        </w:rPr>
        <w:t>և</w:t>
      </w:r>
      <w:r w:rsidRPr="00834D52">
        <w:rPr>
          <w:rFonts w:ascii="Sylfaen" w:hAnsi="Sylfaen"/>
          <w:sz w:val="24"/>
          <w:szCs w:val="24"/>
        </w:rPr>
        <w:t xml:space="preserve"> համարը (համարները).</w:t>
      </w:r>
    </w:p>
    <w:p w14:paraId="79DCAF69"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անդամ պետությունները, որտեղ </w:t>
      </w:r>
      <w:r w:rsidR="0032680A">
        <w:rPr>
          <w:rFonts w:ascii="Sylfaen" w:hAnsi="Sylfaen"/>
          <w:sz w:val="24"/>
          <w:szCs w:val="24"/>
        </w:rPr>
        <w:t xml:space="preserve">ռեֆերենտ </w:t>
      </w:r>
      <w:r w:rsidRPr="00834D52">
        <w:rPr>
          <w:rFonts w:ascii="Sylfaen" w:hAnsi="Sylfaen"/>
          <w:sz w:val="24"/>
          <w:szCs w:val="24"/>
        </w:rPr>
        <w:t>պատրաստուկը գրանցված</w:t>
      </w:r>
      <w:r w:rsidR="00BC52BC" w:rsidRPr="00BC52BC">
        <w:rPr>
          <w:rFonts w:ascii="Sylfaen" w:hAnsi="Sylfaen"/>
          <w:sz w:val="24"/>
          <w:szCs w:val="24"/>
        </w:rPr>
        <w:t> </w:t>
      </w:r>
      <w:r w:rsidRPr="00834D52">
        <w:rPr>
          <w:rFonts w:ascii="Sylfaen" w:hAnsi="Sylfaen"/>
          <w:sz w:val="24"/>
          <w:szCs w:val="24"/>
        </w:rPr>
        <w:t>է.</w:t>
      </w:r>
    </w:p>
    <w:p w14:paraId="22423B3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w:t>
      </w:r>
      <w:r w:rsidR="00C54D75">
        <w:rPr>
          <w:rFonts w:ascii="Sylfaen" w:hAnsi="Sylfaen"/>
          <w:sz w:val="24"/>
          <w:szCs w:val="24"/>
        </w:rPr>
        <w:t>և</w:t>
      </w:r>
      <w:r w:rsidRPr="00834D52">
        <w:rPr>
          <w:rFonts w:ascii="Sylfaen" w:hAnsi="Sylfaen"/>
          <w:sz w:val="24"/>
          <w:szCs w:val="24"/>
        </w:rPr>
        <w:t xml:space="preserve"> դեղագործական մշակման համար օգտագործված </w:t>
      </w:r>
      <w:r w:rsidR="00D23E48">
        <w:rPr>
          <w:rFonts w:ascii="Sylfaen" w:hAnsi="Sylfaen"/>
          <w:sz w:val="24"/>
          <w:szCs w:val="24"/>
        </w:rPr>
        <w:t xml:space="preserve">ռեֆերենտ </w:t>
      </w:r>
      <w:r w:rsidRPr="00834D52">
        <w:rPr>
          <w:rFonts w:ascii="Sylfaen" w:hAnsi="Sylfaen"/>
          <w:sz w:val="24"/>
          <w:szCs w:val="24"/>
        </w:rPr>
        <w:t>պատրաստուկի սերիայի համարը.</w:t>
      </w:r>
    </w:p>
    <w:p w14:paraId="61E59DF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արտադրողի անվանումը.</w:t>
      </w:r>
    </w:p>
    <w:p w14:paraId="40E909E8"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պիտանիության ժամկետը.</w:t>
      </w:r>
    </w:p>
    <w:p w14:paraId="472DDD93"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ձեռքբերման երկիրը:</w:t>
      </w:r>
    </w:p>
    <w:p w14:paraId="459A378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Առկայության դեպքում անհրաժեշտ է ներկայացնել Դեղամիջոցների հարցերով փորձագիտական կոմիտեի առաջարկությունը </w:t>
      </w:r>
      <w:r w:rsidR="00D23E48">
        <w:rPr>
          <w:rFonts w:ascii="Sylfaen" w:hAnsi="Sylfaen"/>
          <w:sz w:val="24"/>
          <w:szCs w:val="24"/>
        </w:rPr>
        <w:t xml:space="preserve">ռեֆերենտ </w:t>
      </w:r>
      <w:r w:rsidRPr="00834D52">
        <w:rPr>
          <w:rFonts w:ascii="Sylfaen" w:hAnsi="Sylfaen"/>
          <w:sz w:val="24"/>
          <w:szCs w:val="24"/>
        </w:rPr>
        <w:lastRenderedPageBreak/>
        <w:t>պատրաստուկի ընտրության հարցի վերաբերյալ:</w:t>
      </w:r>
    </w:p>
    <w:p w14:paraId="4850274E"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հետազոտվող պատրաստուկի (պատրաստուկների) անվանումը </w:t>
      </w:r>
      <w:r w:rsidR="00C54D75">
        <w:rPr>
          <w:rFonts w:ascii="Sylfaen" w:hAnsi="Sylfaen"/>
          <w:sz w:val="24"/>
          <w:szCs w:val="24"/>
        </w:rPr>
        <w:t>և</w:t>
      </w:r>
      <w:r w:rsidRPr="00834D52">
        <w:rPr>
          <w:rFonts w:ascii="Sylfaen" w:hAnsi="Sylfaen"/>
          <w:sz w:val="24"/>
          <w:szCs w:val="24"/>
        </w:rPr>
        <w:t xml:space="preserve"> կազմը, սերիայի ծավալը, արտադրության ամսաթիվը </w:t>
      </w:r>
      <w:r w:rsidR="00C54D75">
        <w:rPr>
          <w:rFonts w:ascii="Sylfaen" w:hAnsi="Sylfaen"/>
          <w:sz w:val="24"/>
          <w:szCs w:val="24"/>
        </w:rPr>
        <w:t>և</w:t>
      </w:r>
      <w:r w:rsidRPr="00834D52">
        <w:rPr>
          <w:rFonts w:ascii="Sylfaen" w:hAnsi="Sylfaen"/>
          <w:sz w:val="24"/>
          <w:szCs w:val="24"/>
        </w:rPr>
        <w:t xml:space="preserve"> հնարավորության դեպքում՝ պիտանիության ժամկետի ավարտի ամսաթիվը:</w:t>
      </w:r>
    </w:p>
    <w:p w14:paraId="4600B433" w14:textId="01CEC646" w:rsidR="006F76EB" w:rsidRDefault="006F76EB" w:rsidP="00746502">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Անհրաժեշտ է ներկայացնել անցկացված համեմատական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ծավալի հիմնավորում՝ ելնելով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պահանջներից: Հետազոտության վերաբերյալ հաշվետվության հավելվածում անհրաժեշտ է ներկայացնել հետազոտության մեջ օգտագործված </w:t>
      </w:r>
      <w:r w:rsidR="0032680A">
        <w:rPr>
          <w:rFonts w:ascii="Sylfaen" w:hAnsi="Sylfaen"/>
          <w:sz w:val="24"/>
          <w:szCs w:val="24"/>
        </w:rPr>
        <w:t xml:space="preserve">ռեֆերենտ </w:t>
      </w:r>
      <w:r w:rsidR="00C54D75">
        <w:rPr>
          <w:rFonts w:ascii="Sylfaen" w:hAnsi="Sylfaen"/>
          <w:sz w:val="24"/>
          <w:szCs w:val="24"/>
        </w:rPr>
        <w:t>և</w:t>
      </w:r>
      <w:r w:rsidRPr="00834D52">
        <w:rPr>
          <w:rFonts w:ascii="Sylfaen" w:hAnsi="Sylfaen"/>
          <w:sz w:val="24"/>
          <w:szCs w:val="24"/>
        </w:rPr>
        <w:t xml:space="preserve"> հետազոտվող պատրաստուկների սերիաների վերլուծության հավաստագրերի պատճենները:</w:t>
      </w:r>
    </w:p>
    <w:p w14:paraId="65ED5D7A" w14:textId="32F915FE" w:rsidR="007F2846" w:rsidRPr="006F28F9" w:rsidRDefault="007F2846" w:rsidP="007F2846">
      <w:pPr>
        <w:rPr>
          <w:b/>
          <w:bCs/>
          <w:i/>
          <w:iCs/>
        </w:rPr>
      </w:pPr>
      <w:r w:rsidRPr="00CD4709">
        <w:rPr>
          <w:b/>
          <w:bCs/>
          <w:i/>
          <w:iCs/>
        </w:rPr>
        <w:t>(</w:t>
      </w:r>
      <w:r>
        <w:rPr>
          <w:b/>
          <w:bCs/>
          <w:i/>
          <w:iCs/>
        </w:rPr>
        <w:t xml:space="preserve">10.2 կետը </w:t>
      </w:r>
      <w:r w:rsidRPr="00CD4709">
        <w:rPr>
          <w:b/>
          <w:bCs/>
          <w:i/>
          <w:iCs/>
        </w:rPr>
        <w:t>փոփ. 30.01.20 թիվ 9)</w:t>
      </w:r>
    </w:p>
    <w:p w14:paraId="74990C18" w14:textId="77777777" w:rsidR="007F2846" w:rsidRPr="00834D52" w:rsidRDefault="007F2846" w:rsidP="00746502">
      <w:pPr>
        <w:tabs>
          <w:tab w:val="left" w:pos="1418"/>
        </w:tabs>
        <w:spacing w:after="160" w:line="360" w:lineRule="auto"/>
        <w:ind w:right="-8" w:firstLine="567"/>
        <w:jc w:val="both"/>
        <w:rPr>
          <w:rFonts w:ascii="Sylfaen" w:eastAsia="Times New Roman" w:hAnsi="Sylfaen" w:cs="Times New Roman"/>
          <w:sz w:val="24"/>
          <w:szCs w:val="24"/>
        </w:rPr>
      </w:pPr>
    </w:p>
    <w:p w14:paraId="240DF2B4" w14:textId="77777777" w:rsidR="006F76EB" w:rsidRPr="00834D52" w:rsidRDefault="006F76EB" w:rsidP="00746502">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10.3.</w:t>
      </w:r>
      <w:r w:rsidRPr="00834D52">
        <w:rPr>
          <w:rFonts w:ascii="Sylfaen" w:hAnsi="Sylfaen"/>
          <w:sz w:val="24"/>
          <w:szCs w:val="24"/>
        </w:rPr>
        <w:tab/>
        <w:t>Մոդուլ 3.</w:t>
      </w:r>
    </w:p>
    <w:p w14:paraId="4624A5A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դոսյեի 3-րդ մոդուլում անհրաժեշտ է լրացուցիչ ներկայացնել հետ</w:t>
      </w:r>
      <w:r w:rsidR="00C54D75">
        <w:rPr>
          <w:rFonts w:ascii="Sylfaen" w:hAnsi="Sylfaen"/>
          <w:sz w:val="24"/>
          <w:szCs w:val="24"/>
        </w:rPr>
        <w:t>և</w:t>
      </w:r>
      <w:r w:rsidRPr="00834D52">
        <w:rPr>
          <w:rFonts w:ascii="Sylfaen" w:hAnsi="Sylfaen"/>
          <w:sz w:val="24"/>
          <w:szCs w:val="24"/>
        </w:rPr>
        <w:t>յալ տվյալները՝ հաշվի առնելով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պահանջները.</w:t>
      </w:r>
    </w:p>
    <w:p w14:paraId="06F2DAD9" w14:textId="77777777" w:rsidR="006F76EB" w:rsidRPr="00834D52" w:rsidRDefault="006F76EB" w:rsidP="0074650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կենսահամանման (կենսանման)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 xml:space="preserve">կենսաբանական դեղապատրաստուկի ակտիվ նյութերի մոլեկուլային </w:t>
      </w:r>
      <w:r w:rsidR="00C54D75">
        <w:rPr>
          <w:rFonts w:ascii="Sylfaen" w:hAnsi="Sylfaen"/>
          <w:sz w:val="24"/>
          <w:szCs w:val="24"/>
        </w:rPr>
        <w:t>և</w:t>
      </w:r>
      <w:r w:rsidRPr="00834D52">
        <w:rPr>
          <w:rFonts w:ascii="Sylfaen" w:hAnsi="Sylfaen"/>
          <w:sz w:val="24"/>
          <w:szCs w:val="24"/>
        </w:rPr>
        <w:t xml:space="preserve"> կենսաբանական բնութագրերի միանմանության հաստատումը (առաջնային կառուցվածքի </w:t>
      </w:r>
      <w:r w:rsidR="00C54D75">
        <w:rPr>
          <w:rFonts w:ascii="Sylfaen" w:hAnsi="Sylfaen"/>
          <w:sz w:val="24"/>
          <w:szCs w:val="24"/>
        </w:rPr>
        <w:t>և</w:t>
      </w:r>
      <w:r w:rsidRPr="00834D52">
        <w:rPr>
          <w:rFonts w:ascii="Sylfaen" w:hAnsi="Sylfaen"/>
          <w:sz w:val="24"/>
          <w:szCs w:val="24"/>
        </w:rPr>
        <w:t xml:space="preserve"> ավելի բարձր կարգի կառուցվածքների, կենսաբանական ակտիվության հետտրանսլյացիոն մոդիֆիկացիաների (ներառյալ մասնավորապես գլիկոձ</w:t>
      </w:r>
      <w:r w:rsidR="00C54D75">
        <w:rPr>
          <w:rFonts w:ascii="Sylfaen" w:hAnsi="Sylfaen"/>
          <w:sz w:val="24"/>
          <w:szCs w:val="24"/>
        </w:rPr>
        <w:t>և</w:t>
      </w:r>
      <w:r w:rsidRPr="00834D52">
        <w:rPr>
          <w:rFonts w:ascii="Sylfaen" w:hAnsi="Sylfaen"/>
          <w:sz w:val="24"/>
          <w:szCs w:val="24"/>
        </w:rPr>
        <w:t>երը), զտության, խառնուրդների մասով տվյալներ).</w:t>
      </w:r>
    </w:p>
    <w:p w14:paraId="2DC263A4" w14:textId="77777777" w:rsidR="006F76EB" w:rsidRPr="00834D52" w:rsidRDefault="006F76EB" w:rsidP="0074650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բիոսիմիլար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 xml:space="preserve">կենսաբանական </w:t>
      </w:r>
      <w:r w:rsidRPr="00834D52">
        <w:rPr>
          <w:rFonts w:ascii="Sylfaen" w:hAnsi="Sylfaen"/>
          <w:sz w:val="24"/>
          <w:szCs w:val="24"/>
        </w:rPr>
        <w:lastRenderedPageBreak/>
        <w:t>դեղապատրաստուկի բնութագրերի միանմանության հաստատումը (դեղաձ</w:t>
      </w:r>
      <w:r w:rsidR="00C54D75">
        <w:rPr>
          <w:rFonts w:ascii="Sylfaen" w:hAnsi="Sylfaen"/>
          <w:sz w:val="24"/>
          <w:szCs w:val="24"/>
        </w:rPr>
        <w:t>և</w:t>
      </w:r>
      <w:r w:rsidRPr="00834D52">
        <w:rPr>
          <w:rFonts w:ascii="Sylfaen" w:hAnsi="Sylfaen"/>
          <w:sz w:val="24"/>
          <w:szCs w:val="24"/>
        </w:rPr>
        <w:t xml:space="preserve">ը, քանակական </w:t>
      </w:r>
      <w:r w:rsidR="00C54D75">
        <w:rPr>
          <w:rFonts w:ascii="Sylfaen" w:hAnsi="Sylfaen"/>
          <w:sz w:val="24"/>
          <w:szCs w:val="24"/>
        </w:rPr>
        <w:t>և</w:t>
      </w:r>
      <w:r w:rsidRPr="00834D52">
        <w:rPr>
          <w:rFonts w:ascii="Sylfaen" w:hAnsi="Sylfaen"/>
          <w:sz w:val="24"/>
          <w:szCs w:val="24"/>
        </w:rPr>
        <w:t xml:space="preserve"> որակական կազմը, դոզավորումը, կիրառման եղանակը, պահպանման պայմանները, պահպանման ժամկետը, կայունությունը, խառնուրդների պրոֆիլը).</w:t>
      </w:r>
    </w:p>
    <w:p w14:paraId="157555E2" w14:textId="683F9B3E" w:rsidR="006F76EB" w:rsidRPr="00834D52" w:rsidRDefault="006F76EB" w:rsidP="00A40351">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խառնուրդներում </w:t>
      </w:r>
      <w:r w:rsidR="00C54D75">
        <w:rPr>
          <w:rFonts w:ascii="Sylfaen" w:hAnsi="Sylfaen"/>
          <w:sz w:val="24"/>
          <w:szCs w:val="24"/>
        </w:rPr>
        <w:t>և</w:t>
      </w:r>
      <w:r w:rsidRPr="00834D52">
        <w:rPr>
          <w:rFonts w:ascii="Sylfaen" w:hAnsi="Sylfaen"/>
          <w:sz w:val="24"/>
          <w:szCs w:val="24"/>
        </w:rPr>
        <w:t xml:space="preserve"> օժանդակ նյութերում տարբերությունների առկայության դեպքում պետք է գնահատվի դրանց հնարավոր ազդեցությունը բիոսիմիլարի կլինիկական անվտանգության </w:t>
      </w:r>
      <w:r w:rsidR="00C54D75">
        <w:rPr>
          <w:rFonts w:ascii="Sylfaen" w:hAnsi="Sylfaen"/>
          <w:sz w:val="24"/>
          <w:szCs w:val="24"/>
        </w:rPr>
        <w:t>և</w:t>
      </w:r>
      <w:r w:rsidRPr="00834D52">
        <w:rPr>
          <w:rFonts w:ascii="Sylfaen" w:hAnsi="Sylfaen"/>
          <w:sz w:val="24"/>
          <w:szCs w:val="24"/>
        </w:rPr>
        <w:t xml:space="preserve"> արդյունավետության պրոֆիլի վրա </w:t>
      </w:r>
      <w:r w:rsidR="00C54D75">
        <w:rPr>
          <w:rFonts w:ascii="Sylfaen" w:hAnsi="Sylfaen"/>
          <w:sz w:val="24"/>
          <w:szCs w:val="24"/>
        </w:rPr>
        <w:t>և</w:t>
      </w:r>
      <w:r w:rsidRPr="00834D52">
        <w:rPr>
          <w:rFonts w:ascii="Sylfaen" w:hAnsi="Sylfaen"/>
          <w:sz w:val="24"/>
          <w:szCs w:val="24"/>
        </w:rPr>
        <w:t xml:space="preserve"> ներկայացվի այդ տարբերությունների ընդունելիության հիմնավորումը (սեփական հետազոտության արդյունքների կամ գիտական գրականության մեջ բերված տվյալների հիման վրա) այնպիսի տարբերությունների առկայության դեպքում, որոնց կլինիկական նշանակությունը </w:t>
      </w:r>
      <w:r w:rsidR="005F6A31">
        <w:rPr>
          <w:rFonts w:ascii="Sylfaen" w:hAnsi="Sylfaen"/>
          <w:sz w:val="24"/>
          <w:szCs w:val="24"/>
        </w:rPr>
        <w:t>հայտնի</w:t>
      </w:r>
      <w:r w:rsidRPr="00834D52">
        <w:rPr>
          <w:rFonts w:ascii="Sylfaen" w:hAnsi="Sylfaen"/>
          <w:sz w:val="24"/>
          <w:szCs w:val="24"/>
        </w:rPr>
        <w:t xml:space="preserve"> չէ՝ հատկապես անվտանգության առումով,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շրջանում պահանջվում է անցկացնել լրացուցիչ հետազոտություններ.</w:t>
      </w:r>
    </w:p>
    <w:p w14:paraId="516C87A2"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արտադրական պրոցեսի ամբողջական նկարագրությունը </w:t>
      </w:r>
      <w:r w:rsidR="00C54D75">
        <w:rPr>
          <w:rFonts w:ascii="Sylfaen" w:hAnsi="Sylfaen"/>
          <w:sz w:val="24"/>
          <w:szCs w:val="24"/>
        </w:rPr>
        <w:t>և</w:t>
      </w:r>
      <w:r w:rsidRPr="00834D52">
        <w:rPr>
          <w:rFonts w:ascii="Sylfaen" w:hAnsi="Sylfaen"/>
          <w:sz w:val="24"/>
          <w:szCs w:val="24"/>
        </w:rPr>
        <w:t xml:space="preserve"> տվյալները (սկսած էքսպրեսվող կառուցվածքների (համակարգերի), ելակետային </w:t>
      </w:r>
      <w:r w:rsidR="00F251C5" w:rsidRPr="00F06D43">
        <w:rPr>
          <w:rFonts w:ascii="Sylfaen" w:hAnsi="Sylfaen"/>
          <w:sz w:val="24"/>
          <w:szCs w:val="24"/>
        </w:rPr>
        <w:br/>
      </w:r>
      <w:r w:rsidRPr="00834D52">
        <w:rPr>
          <w:rFonts w:ascii="Sylfaen" w:hAnsi="Sylfaen"/>
          <w:sz w:val="24"/>
          <w:szCs w:val="24"/>
        </w:rPr>
        <w:t xml:space="preserve">շտամ-պրոդուցենտի </w:t>
      </w:r>
      <w:r w:rsidR="00C54D75">
        <w:rPr>
          <w:rFonts w:ascii="Sylfaen" w:hAnsi="Sylfaen"/>
          <w:sz w:val="24"/>
          <w:szCs w:val="24"/>
        </w:rPr>
        <w:t>և</w:t>
      </w:r>
      <w:r w:rsidRPr="00834D52">
        <w:rPr>
          <w:rFonts w:ascii="Sylfaen" w:hAnsi="Sylfaen"/>
          <w:sz w:val="24"/>
          <w:szCs w:val="24"/>
        </w:rPr>
        <w:t xml:space="preserve"> բջիջների բանկերի մշակումից, բջիջների կուլտուրաներից (կուլտիվացումից), հավաքելուց, մաքրելուց, արտադրանքն արտադրելուց </w:t>
      </w:r>
      <w:r w:rsidR="00C54D75">
        <w:rPr>
          <w:rFonts w:ascii="Sylfaen" w:hAnsi="Sylfaen"/>
          <w:sz w:val="24"/>
          <w:szCs w:val="24"/>
        </w:rPr>
        <w:t>և</w:t>
      </w:r>
      <w:r w:rsidRPr="00834D52">
        <w:rPr>
          <w:rFonts w:ascii="Sylfaen" w:hAnsi="Sylfaen"/>
          <w:sz w:val="24"/>
          <w:szCs w:val="24"/>
        </w:rPr>
        <w:t xml:space="preserve"> մաքրելուց հետո լրացուցիչ արտադրական պրոցեսներից, չբաժնեծրարված արտադրանքի </w:t>
      </w:r>
      <w:r w:rsidR="00C54D75">
        <w:rPr>
          <w:rFonts w:ascii="Sylfaen" w:hAnsi="Sylfaen"/>
          <w:sz w:val="24"/>
          <w:szCs w:val="24"/>
        </w:rPr>
        <w:t>և</w:t>
      </w:r>
      <w:r w:rsidRPr="00834D52">
        <w:rPr>
          <w:rFonts w:ascii="Sylfaen" w:hAnsi="Sylfaen"/>
          <w:sz w:val="24"/>
          <w:szCs w:val="24"/>
        </w:rPr>
        <w:t xml:space="preserve"> պատրաստի դեղաձ</w:t>
      </w:r>
      <w:r w:rsidR="00C54D75">
        <w:rPr>
          <w:rFonts w:ascii="Sylfaen" w:hAnsi="Sylfaen"/>
          <w:sz w:val="24"/>
          <w:szCs w:val="24"/>
        </w:rPr>
        <w:t>և</w:t>
      </w:r>
      <w:r w:rsidRPr="00834D52">
        <w:rPr>
          <w:rFonts w:ascii="Sylfaen" w:hAnsi="Sylfaen"/>
          <w:sz w:val="24"/>
          <w:szCs w:val="24"/>
        </w:rPr>
        <w:t xml:space="preserve">ի համար կոնտեյներները լցնելուց </w:t>
      </w:r>
      <w:r w:rsidR="00C54D75">
        <w:rPr>
          <w:rFonts w:ascii="Sylfaen" w:hAnsi="Sylfaen"/>
          <w:sz w:val="24"/>
          <w:szCs w:val="24"/>
        </w:rPr>
        <w:t>և</w:t>
      </w:r>
      <w:r w:rsidRPr="00834D52">
        <w:rPr>
          <w:rFonts w:ascii="Sylfaen" w:hAnsi="Sylfaen"/>
          <w:sz w:val="24"/>
          <w:szCs w:val="24"/>
        </w:rPr>
        <w:t xml:space="preserve"> վերջացրած պահպանումով).</w:t>
      </w:r>
    </w:p>
    <w:p w14:paraId="4B9C2519"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կենսահամանման (կենսանման) դեղապատրաստուկի դեղագործական մշակման ընթացքում անցկացվող հետազոտությունների վերաբերյալ տվյալները՝ դրա դեղաձ</w:t>
      </w:r>
      <w:r w:rsidR="00C54D75">
        <w:rPr>
          <w:rFonts w:ascii="Sylfaen" w:hAnsi="Sylfaen"/>
          <w:sz w:val="24"/>
          <w:szCs w:val="24"/>
        </w:rPr>
        <w:t>և</w:t>
      </w:r>
      <w:r w:rsidRPr="00834D52">
        <w:rPr>
          <w:rFonts w:ascii="Sylfaen" w:hAnsi="Sylfaen"/>
          <w:sz w:val="24"/>
          <w:szCs w:val="24"/>
        </w:rPr>
        <w:t xml:space="preserve">ը, կազմը </w:t>
      </w:r>
      <w:r w:rsidR="00C54D75">
        <w:rPr>
          <w:rFonts w:ascii="Sylfaen" w:hAnsi="Sylfaen"/>
          <w:sz w:val="24"/>
          <w:szCs w:val="24"/>
        </w:rPr>
        <w:t>և</w:t>
      </w:r>
      <w:r w:rsidRPr="00834D52">
        <w:rPr>
          <w:rFonts w:ascii="Sylfaen" w:hAnsi="Sylfaen"/>
          <w:sz w:val="24"/>
          <w:szCs w:val="24"/>
        </w:rPr>
        <w:t xml:space="preserve"> փաթեթավորման (խցանափակման) համակարգը (ներառյալ՝ դրանց ամբողջականությունը՝ մանրէային աղտոտումը կանխելու համար) որոշելու </w:t>
      </w:r>
      <w:r w:rsidR="00C54D75">
        <w:rPr>
          <w:rFonts w:ascii="Sylfaen" w:hAnsi="Sylfaen"/>
          <w:sz w:val="24"/>
          <w:szCs w:val="24"/>
        </w:rPr>
        <w:t>և</w:t>
      </w:r>
      <w:r w:rsidRPr="00834D52">
        <w:rPr>
          <w:rFonts w:ascii="Sylfaen" w:hAnsi="Sylfaen"/>
          <w:sz w:val="24"/>
          <w:szCs w:val="24"/>
        </w:rPr>
        <w:t xml:space="preserve"> հիմնավորելու համար.</w:t>
      </w:r>
    </w:p>
    <w:p w14:paraId="4048025B"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կենսահամանման (կենսանման) դեղապատրաստուկի մասնագիրը, որը պետք է պարունակի </w:t>
      </w:r>
      <w:r w:rsidR="00C54D75">
        <w:rPr>
          <w:rFonts w:ascii="Sylfaen" w:hAnsi="Sylfaen"/>
          <w:sz w:val="24"/>
          <w:szCs w:val="24"/>
        </w:rPr>
        <w:t>և</w:t>
      </w:r>
      <w:r w:rsidRPr="00834D52">
        <w:rPr>
          <w:rFonts w:ascii="Sylfaen" w:hAnsi="Sylfaen"/>
          <w:sz w:val="24"/>
          <w:szCs w:val="24"/>
        </w:rPr>
        <w:t xml:space="preserve"> կանոնակարգի դեղապատրաստուկի այն կար</w:t>
      </w:r>
      <w:r w:rsidR="00C54D75">
        <w:rPr>
          <w:rFonts w:ascii="Sylfaen" w:hAnsi="Sylfaen"/>
          <w:sz w:val="24"/>
          <w:szCs w:val="24"/>
        </w:rPr>
        <w:t>և</w:t>
      </w:r>
      <w:r w:rsidRPr="00834D52">
        <w:rPr>
          <w:rFonts w:ascii="Sylfaen" w:hAnsi="Sylfaen"/>
          <w:sz w:val="24"/>
          <w:szCs w:val="24"/>
        </w:rPr>
        <w:t xml:space="preserve">որ քանակական ցուցանիշները, որոնք սահմանվել են </w:t>
      </w:r>
      <w:r w:rsidR="00D23E48">
        <w:rPr>
          <w:rFonts w:ascii="Sylfaen" w:hAnsi="Sylfaen"/>
          <w:sz w:val="24"/>
          <w:szCs w:val="24"/>
        </w:rPr>
        <w:t xml:space="preserve">ռեֆերենտ </w:t>
      </w:r>
      <w:r w:rsidRPr="00834D52">
        <w:rPr>
          <w:rFonts w:ascii="Sylfaen" w:hAnsi="Sylfaen"/>
          <w:sz w:val="24"/>
          <w:szCs w:val="24"/>
        </w:rPr>
        <w:t xml:space="preserve">կենսաբանական </w:t>
      </w:r>
      <w:r w:rsidRPr="00834D52">
        <w:rPr>
          <w:rFonts w:ascii="Sylfaen" w:hAnsi="Sylfaen"/>
          <w:sz w:val="24"/>
          <w:szCs w:val="24"/>
        </w:rPr>
        <w:lastRenderedPageBreak/>
        <w:t xml:space="preserve">դեղապատրաստուկի համար (ինչպիսիք են նույնականացումը, մաքրությունը, ակտիվությունը, մոլեկուլային հետերոգենությունը չափերի, լիցքի </w:t>
      </w:r>
      <w:r w:rsidR="00C54D75">
        <w:rPr>
          <w:rFonts w:ascii="Sylfaen" w:hAnsi="Sylfaen"/>
          <w:sz w:val="24"/>
          <w:szCs w:val="24"/>
        </w:rPr>
        <w:t>և</w:t>
      </w:r>
      <w:r w:rsidRPr="00834D52">
        <w:rPr>
          <w:rFonts w:ascii="Sylfaen" w:hAnsi="Sylfaen"/>
          <w:sz w:val="24"/>
          <w:szCs w:val="24"/>
        </w:rPr>
        <w:t xml:space="preserve"> հիդրոֆոբության տեսանկյունից (որտեղ հնարավոր է դրանք որոշել), սիալիլացման (սիալաթթվի ավելացման) աստիճանը, առանձին պոլիպեպտիդ շղթաների քանակը, ֆունկցիոնալ հատվածի գլիկոզիլացումը, ագրեգացման աստիճանը, այնպիսի խառնուրդներ, ինչպիսիք են սպիտակուցը </w:t>
      </w:r>
      <w:r w:rsidR="00C54D75">
        <w:rPr>
          <w:rFonts w:ascii="Sylfaen" w:hAnsi="Sylfaen"/>
          <w:sz w:val="24"/>
          <w:szCs w:val="24"/>
        </w:rPr>
        <w:t>և</w:t>
      </w:r>
      <w:r w:rsidRPr="00834D52">
        <w:rPr>
          <w:rFonts w:ascii="Sylfaen" w:hAnsi="Sylfaen"/>
          <w:sz w:val="24"/>
          <w:szCs w:val="24"/>
        </w:rPr>
        <w:t xml:space="preserve"> ընդունող բջջի ԴՆԹն </w:t>
      </w:r>
      <w:r w:rsidR="00C54D75">
        <w:rPr>
          <w:rFonts w:ascii="Sylfaen" w:hAnsi="Sylfaen"/>
          <w:sz w:val="24"/>
          <w:szCs w:val="24"/>
        </w:rPr>
        <w:t>և</w:t>
      </w:r>
      <w:r w:rsidRPr="00834D52">
        <w:rPr>
          <w:rFonts w:ascii="Sylfaen" w:hAnsi="Sylfaen"/>
          <w:sz w:val="24"/>
          <w:szCs w:val="24"/>
        </w:rPr>
        <w:t xml:space="preserve"> այլն).</w:t>
      </w:r>
    </w:p>
    <w:p w14:paraId="258F2178"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կայունության հետազոտությունները:</w:t>
      </w:r>
    </w:p>
    <w:p w14:paraId="7F03CC36" w14:textId="77777777" w:rsidR="006F76EB" w:rsidRPr="00834D52" w:rsidRDefault="006F76EB" w:rsidP="00F10DF3">
      <w:pPr>
        <w:tabs>
          <w:tab w:val="left" w:pos="1276"/>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10.4.</w:t>
      </w:r>
      <w:r w:rsidRPr="00834D52">
        <w:rPr>
          <w:rFonts w:ascii="Sylfaen" w:hAnsi="Sylfaen"/>
          <w:sz w:val="24"/>
          <w:szCs w:val="24"/>
        </w:rPr>
        <w:tab/>
        <w:t>Մոդուլ 4.</w:t>
      </w:r>
    </w:p>
    <w:p w14:paraId="4FBE28BB" w14:textId="77777777" w:rsidR="006F76EB" w:rsidRPr="00834D52" w:rsidRDefault="006F76EB" w:rsidP="00F10DF3">
      <w:pPr>
        <w:tabs>
          <w:tab w:val="left" w:pos="1276"/>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4-րդ մոդուլում պետք է ներկայացնել կենսահամանման (կենսանման) դեղապատրաստուկի նախակլինիկական (ոչ կլինիկական) հետազոտությունները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համեմատությամբ՝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պահանջներին համապատասխան:</w:t>
      </w:r>
    </w:p>
    <w:p w14:paraId="4D2D642D" w14:textId="77777777" w:rsidR="006F76EB" w:rsidRPr="00834D52" w:rsidRDefault="006F76EB" w:rsidP="00F10DF3">
      <w:pPr>
        <w:tabs>
          <w:tab w:val="left" w:pos="1276"/>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10.5.</w:t>
      </w:r>
      <w:r w:rsidRPr="00834D52">
        <w:rPr>
          <w:rFonts w:ascii="Sylfaen" w:hAnsi="Sylfaen"/>
          <w:sz w:val="24"/>
          <w:szCs w:val="24"/>
        </w:rPr>
        <w:tab/>
        <w:t>Մոդուլ 5.</w:t>
      </w:r>
    </w:p>
    <w:p w14:paraId="6168EECF" w14:textId="77777777" w:rsidR="006F76EB" w:rsidRPr="00834D52" w:rsidRDefault="006F76EB" w:rsidP="00BC52BC">
      <w:pPr>
        <w:tabs>
          <w:tab w:val="left" w:pos="1418"/>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5-րդ մոդուլում ներկայացվում են փաստաթղթեր </w:t>
      </w:r>
      <w:r w:rsidR="00C54D75">
        <w:rPr>
          <w:rFonts w:ascii="Sylfaen" w:hAnsi="Sylfaen"/>
          <w:spacing w:val="-4"/>
          <w:sz w:val="24"/>
          <w:szCs w:val="24"/>
        </w:rPr>
        <w:t>և</w:t>
      </w:r>
      <w:r w:rsidRPr="00834D52">
        <w:rPr>
          <w:rFonts w:ascii="Sylfaen" w:hAnsi="Sylfaen"/>
          <w:spacing w:val="-4"/>
          <w:sz w:val="24"/>
          <w:szCs w:val="24"/>
        </w:rPr>
        <w:t xml:space="preserve"> տվյալներ՝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պահանջներին համապատասխան, որոնք պարունակում են՝</w:t>
      </w:r>
    </w:p>
    <w:p w14:paraId="119E5A96" w14:textId="77777777" w:rsidR="006F76EB" w:rsidRPr="00834D52" w:rsidRDefault="006F76EB" w:rsidP="00F875F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կենսահամանման (կենսանման) դեղապատրաստուկի կլինիկական հետազոտությունների արդյունքները </w:t>
      </w:r>
      <w:r w:rsidR="0032680A">
        <w:rPr>
          <w:rFonts w:ascii="Sylfaen" w:hAnsi="Sylfaen"/>
          <w:sz w:val="24"/>
          <w:szCs w:val="24"/>
        </w:rPr>
        <w:t xml:space="preserve">ռեֆերենտ </w:t>
      </w:r>
      <w:r w:rsidRPr="00834D52">
        <w:rPr>
          <w:rFonts w:ascii="Sylfaen" w:hAnsi="Sylfaen"/>
          <w:sz w:val="24"/>
          <w:szCs w:val="24"/>
        </w:rPr>
        <w:t>դեղապատրաստուկի համեմատությամբ, որոնք ներառում են՝</w:t>
      </w:r>
    </w:p>
    <w:p w14:paraId="0305E8BD" w14:textId="77777777" w:rsidR="006F76EB" w:rsidRPr="00834D52" w:rsidRDefault="00355C33" w:rsidP="00F875F2">
      <w:pPr>
        <w:tabs>
          <w:tab w:val="left" w:pos="1418"/>
        </w:tabs>
        <w:spacing w:after="160" w:line="348"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հետազոտությունների արդյունքները (</w:t>
      </w:r>
      <w:r>
        <w:rPr>
          <w:rFonts w:ascii="Sylfaen" w:hAnsi="Sylfaen"/>
          <w:sz w:val="24"/>
          <w:szCs w:val="24"/>
        </w:rPr>
        <w:t>դեղա</w:t>
      </w:r>
      <w:r w:rsidR="006F76EB" w:rsidRPr="00834D52">
        <w:rPr>
          <w:rFonts w:ascii="Sylfaen" w:hAnsi="Sylfaen"/>
          <w:sz w:val="24"/>
          <w:szCs w:val="24"/>
        </w:rPr>
        <w:t xml:space="preserve">կինետիկ հետազոտությունների մեկանգամյա ներմուծման դեպքում, </w:t>
      </w:r>
      <w:r>
        <w:rPr>
          <w:rFonts w:ascii="Sylfaen" w:hAnsi="Sylfaen"/>
          <w:sz w:val="24"/>
          <w:szCs w:val="24"/>
        </w:rPr>
        <w:t>դեղա</w:t>
      </w:r>
      <w:r w:rsidR="006F76EB" w:rsidRPr="00834D52">
        <w:rPr>
          <w:rFonts w:ascii="Sylfaen" w:hAnsi="Sylfaen"/>
          <w:sz w:val="24"/>
          <w:szCs w:val="24"/>
        </w:rPr>
        <w:t>կինետիկ հետազոտությունների բազմակի ներմուծման դեպքում (</w:t>
      </w:r>
      <w:r>
        <w:rPr>
          <w:rFonts w:ascii="Sylfaen" w:hAnsi="Sylfaen"/>
          <w:sz w:val="24"/>
          <w:szCs w:val="24"/>
        </w:rPr>
        <w:t>դեղա</w:t>
      </w:r>
      <w:r w:rsidR="006F76EB" w:rsidRPr="00834D52">
        <w:rPr>
          <w:rFonts w:ascii="Sylfaen" w:hAnsi="Sylfaen"/>
          <w:sz w:val="24"/>
          <w:szCs w:val="24"/>
        </w:rPr>
        <w:t xml:space="preserve">կինետիկայի՝ դեղաչափից </w:t>
      </w:r>
      <w:r w:rsidR="00C54D75">
        <w:rPr>
          <w:rFonts w:ascii="Sylfaen" w:hAnsi="Sylfaen"/>
          <w:sz w:val="24"/>
          <w:szCs w:val="24"/>
        </w:rPr>
        <w:t>և</w:t>
      </w:r>
      <w:r w:rsidR="006F76EB" w:rsidRPr="00834D52">
        <w:rPr>
          <w:rFonts w:ascii="Sylfaen" w:hAnsi="Sylfaen"/>
          <w:sz w:val="24"/>
          <w:szCs w:val="24"/>
        </w:rPr>
        <w:t xml:space="preserve"> ժամանակից կախվածության առկայության դեպքում) կենսահամանման (կենսանմամ) դեղապատրաստուկի </w:t>
      </w:r>
      <w:r w:rsidR="00C54D75">
        <w:rPr>
          <w:rFonts w:ascii="Sylfaen" w:hAnsi="Sylfaen"/>
          <w:sz w:val="24"/>
          <w:szCs w:val="24"/>
        </w:rPr>
        <w:t>և</w:t>
      </w:r>
      <w:r w:rsidR="006F76EB" w:rsidRPr="00834D52">
        <w:rPr>
          <w:rFonts w:ascii="Sylfaen" w:hAnsi="Sylfaen"/>
          <w:sz w:val="24"/>
          <w:szCs w:val="24"/>
        </w:rPr>
        <w:t xml:space="preserve">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պատրաստուկի </w:t>
      </w:r>
      <w:r>
        <w:rPr>
          <w:rFonts w:ascii="Sylfaen" w:hAnsi="Sylfaen"/>
          <w:sz w:val="24"/>
          <w:szCs w:val="24"/>
        </w:rPr>
        <w:lastRenderedPageBreak/>
        <w:t>դեղա</w:t>
      </w:r>
      <w:r w:rsidR="006F76EB" w:rsidRPr="00834D52">
        <w:rPr>
          <w:rFonts w:ascii="Sylfaen" w:hAnsi="Sylfaen"/>
          <w:sz w:val="24"/>
          <w:szCs w:val="24"/>
        </w:rPr>
        <w:t xml:space="preserve">կինետիկ համեմատությունը պետք է ներառի </w:t>
      </w:r>
      <w:r>
        <w:rPr>
          <w:rFonts w:ascii="Sylfaen" w:hAnsi="Sylfaen"/>
          <w:sz w:val="24"/>
          <w:szCs w:val="24"/>
        </w:rPr>
        <w:t>դեղա</w:t>
      </w:r>
      <w:r w:rsidR="006F76EB" w:rsidRPr="00834D52">
        <w:rPr>
          <w:rFonts w:ascii="Sylfaen" w:hAnsi="Sylfaen"/>
          <w:sz w:val="24"/>
          <w:szCs w:val="24"/>
        </w:rPr>
        <w:t xml:space="preserve">դինամիկ հետազոտությունների կլանման, կենսամատչելիության, դուրսբերման բնութագրերը, այսինքն՝ քլիրենսը </w:t>
      </w:r>
      <w:r w:rsidR="00C54D75">
        <w:rPr>
          <w:rFonts w:ascii="Sylfaen" w:hAnsi="Sylfaen"/>
          <w:sz w:val="24"/>
          <w:szCs w:val="24"/>
        </w:rPr>
        <w:t>և</w:t>
      </w:r>
      <w:r w:rsidR="006F76EB" w:rsidRPr="00834D52">
        <w:rPr>
          <w:rFonts w:ascii="Sylfaen" w:hAnsi="Sylfaen"/>
          <w:sz w:val="24"/>
          <w:szCs w:val="24"/>
        </w:rPr>
        <w:t xml:space="preserve"> (կամ) կիսադուրսբերման ժամանակահատվածը), </w:t>
      </w:r>
      <w:r>
        <w:rPr>
          <w:rFonts w:ascii="Sylfaen" w:hAnsi="Sylfaen"/>
          <w:sz w:val="24"/>
          <w:szCs w:val="24"/>
        </w:rPr>
        <w:t>դեղա</w:t>
      </w:r>
      <w:r w:rsidR="006F76EB" w:rsidRPr="00834D52">
        <w:rPr>
          <w:rFonts w:ascii="Sylfaen" w:hAnsi="Sylfaen"/>
          <w:sz w:val="24"/>
          <w:szCs w:val="24"/>
        </w:rPr>
        <w:t>դինամիկ հետազոտությունների արդյունքները (ընդ</w:t>
      </w:r>
      <w:r w:rsidR="00F251C5" w:rsidRPr="00F251C5">
        <w:rPr>
          <w:rFonts w:ascii="Sylfaen" w:hAnsi="Sylfaen"/>
          <w:sz w:val="24"/>
          <w:szCs w:val="24"/>
        </w:rPr>
        <w:t> </w:t>
      </w:r>
      <w:r w:rsidR="006F76EB" w:rsidRPr="00834D52">
        <w:rPr>
          <w:rFonts w:ascii="Sylfaen" w:hAnsi="Sylfaen"/>
          <w:sz w:val="24"/>
          <w:szCs w:val="24"/>
        </w:rPr>
        <w:t xml:space="preserve">որում, </w:t>
      </w:r>
      <w:r>
        <w:rPr>
          <w:rFonts w:ascii="Sylfaen" w:hAnsi="Sylfaen"/>
          <w:sz w:val="24"/>
          <w:szCs w:val="24"/>
        </w:rPr>
        <w:t>դեղա</w:t>
      </w:r>
      <w:r w:rsidR="006F76EB" w:rsidRPr="00834D52">
        <w:rPr>
          <w:rFonts w:ascii="Sylfaen" w:hAnsi="Sylfaen"/>
          <w:sz w:val="24"/>
          <w:szCs w:val="24"/>
        </w:rPr>
        <w:t xml:space="preserve">դինամիկ արդյունքները պետք է գնահատվեն համապատասխան պոպուլյացիայի վրա </w:t>
      </w:r>
      <w:r w:rsidR="00C54D75">
        <w:rPr>
          <w:rFonts w:ascii="Sylfaen" w:hAnsi="Sylfaen"/>
          <w:sz w:val="24"/>
          <w:szCs w:val="24"/>
        </w:rPr>
        <w:t>և</w:t>
      </w:r>
      <w:r w:rsidR="006F76EB" w:rsidRPr="00834D52">
        <w:rPr>
          <w:rFonts w:ascii="Sylfaen" w:hAnsi="Sylfaen"/>
          <w:sz w:val="24"/>
          <w:szCs w:val="24"/>
        </w:rPr>
        <w:t xml:space="preserve"> նախակլինիկական հետազոտությունների ժամանակ ստացված «դեղաչափ-ազդեցություն» կախվածության կորի ուռուցիկ հատվածից դեղաչափի կիրառմամբ, իսկ </w:t>
      </w:r>
      <w:r>
        <w:rPr>
          <w:rFonts w:ascii="Sylfaen" w:hAnsi="Sylfaen"/>
          <w:sz w:val="24"/>
          <w:szCs w:val="24"/>
        </w:rPr>
        <w:t>դեղա</w:t>
      </w:r>
      <w:r w:rsidR="006F76EB" w:rsidRPr="00834D52">
        <w:rPr>
          <w:rFonts w:ascii="Sylfaen" w:hAnsi="Sylfaen"/>
          <w:sz w:val="24"/>
          <w:szCs w:val="24"/>
        </w:rPr>
        <w:t>դինամիկ մարկերները պետք է ընտրվեն՝ կախված դրանց կլինիկական նշանակությունից)).</w:t>
      </w:r>
    </w:p>
    <w:p w14:paraId="14BE4FA3" w14:textId="77777777" w:rsidR="006F76EB" w:rsidRPr="00834D52" w:rsidRDefault="006F76EB" w:rsidP="00F875F2">
      <w:pPr>
        <w:tabs>
          <w:tab w:val="left" w:pos="1418"/>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համեմատական կլինիկական հետազոտությունների տվյալները, ներառյալ՝ անցանկալի եր</w:t>
      </w:r>
      <w:r w:rsidR="00C54D75">
        <w:rPr>
          <w:rFonts w:ascii="Sylfaen" w:hAnsi="Sylfaen"/>
          <w:sz w:val="24"/>
          <w:szCs w:val="24"/>
        </w:rPr>
        <w:t>և</w:t>
      </w:r>
      <w:r w:rsidRPr="00834D52">
        <w:rPr>
          <w:rFonts w:ascii="Sylfaen" w:hAnsi="Sylfaen"/>
          <w:sz w:val="24"/>
          <w:szCs w:val="24"/>
        </w:rPr>
        <w:t xml:space="preserve">ույթների (ռեակցիաների) տեսակի, հաճախականության </w:t>
      </w:r>
      <w:r w:rsidR="00C54D75">
        <w:rPr>
          <w:rFonts w:ascii="Sylfaen" w:hAnsi="Sylfaen"/>
          <w:sz w:val="24"/>
          <w:szCs w:val="24"/>
        </w:rPr>
        <w:t>և</w:t>
      </w:r>
      <w:r w:rsidRPr="00834D52">
        <w:rPr>
          <w:rFonts w:ascii="Sylfaen" w:hAnsi="Sylfaen"/>
          <w:sz w:val="24"/>
          <w:szCs w:val="24"/>
        </w:rPr>
        <w:t xml:space="preserve"> ծանրության գնահատումը, նպատակային խմբի վրա իմունոգենության հետազոտությունները (առաջացող հակամարմինների առաջացման հաճախականության </w:t>
      </w:r>
      <w:r w:rsidR="00C54D75">
        <w:rPr>
          <w:rFonts w:ascii="Sylfaen" w:hAnsi="Sylfaen"/>
          <w:sz w:val="24"/>
          <w:szCs w:val="24"/>
        </w:rPr>
        <w:t>և</w:t>
      </w:r>
      <w:r w:rsidRPr="00834D52">
        <w:rPr>
          <w:rFonts w:ascii="Sylfaen" w:hAnsi="Sylfaen"/>
          <w:sz w:val="24"/>
          <w:szCs w:val="24"/>
        </w:rPr>
        <w:t xml:space="preserve"> տեսակի համեմատությունը, կենսահամանման (կենսանման)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պատրաստուկի համար իմունային պատասխանի պոտենցիալ կլինիկական հետ</w:t>
      </w:r>
      <w:r w:rsidR="00C54D75">
        <w:rPr>
          <w:rFonts w:ascii="Sylfaen" w:hAnsi="Sylfaen"/>
          <w:sz w:val="24"/>
          <w:szCs w:val="24"/>
        </w:rPr>
        <w:t>և</w:t>
      </w:r>
      <w:r w:rsidRPr="00834D52">
        <w:rPr>
          <w:rFonts w:ascii="Sylfaen" w:hAnsi="Sylfaen"/>
          <w:sz w:val="24"/>
          <w:szCs w:val="24"/>
        </w:rPr>
        <w:t xml:space="preserve">անքները), իմունոգենությունը պետք է հետազոտվի իմունային պատասխանի </w:t>
      </w:r>
      <w:r w:rsidR="00C54D75">
        <w:rPr>
          <w:rFonts w:ascii="Sylfaen" w:hAnsi="Sylfaen"/>
          <w:sz w:val="24"/>
          <w:szCs w:val="24"/>
        </w:rPr>
        <w:t>և</w:t>
      </w:r>
      <w:r w:rsidRPr="00834D52">
        <w:rPr>
          <w:rFonts w:ascii="Sylfaen" w:hAnsi="Sylfaen"/>
          <w:sz w:val="24"/>
          <w:szCs w:val="24"/>
        </w:rPr>
        <w:t xml:space="preserve"> իմունային անցանկալի ռեակցիաների մենաբարձր ռիսկով պացիենտների պոպուլյացիաների համար.</w:t>
      </w:r>
    </w:p>
    <w:p w14:paraId="6401E3CD" w14:textId="77777777" w:rsidR="006F76EB" w:rsidRPr="00F06D43" w:rsidRDefault="006F76EB" w:rsidP="00F875F2">
      <w:pPr>
        <w:tabs>
          <w:tab w:val="left" w:pos="1418"/>
        </w:tabs>
        <w:spacing w:after="160" w:line="348" w:lineRule="auto"/>
        <w:ind w:right="-6" w:firstLine="567"/>
        <w:jc w:val="both"/>
        <w:rPr>
          <w:rFonts w:ascii="Sylfaen" w:hAnsi="Sylfaen"/>
          <w:sz w:val="24"/>
          <w:szCs w:val="24"/>
        </w:rPr>
      </w:pPr>
      <w:r w:rsidRPr="00834D52">
        <w:rPr>
          <w:rFonts w:ascii="Sylfaen" w:hAnsi="Sylfaen"/>
          <w:sz w:val="24"/>
          <w:szCs w:val="24"/>
        </w:rPr>
        <w:t xml:space="preserve">հակամարմինները որոշելու ռազմավարության հիմնավորումը՝ ներառյալ մեթոդների ընտրությունը, գնահատումը </w:t>
      </w:r>
      <w:r w:rsidR="00C54D75">
        <w:rPr>
          <w:rFonts w:ascii="Sylfaen" w:hAnsi="Sylfaen"/>
          <w:sz w:val="24"/>
          <w:szCs w:val="24"/>
        </w:rPr>
        <w:t>և</w:t>
      </w:r>
      <w:r w:rsidRPr="00834D52">
        <w:rPr>
          <w:rFonts w:ascii="Sylfaen" w:hAnsi="Sylfaen"/>
          <w:sz w:val="24"/>
          <w:szCs w:val="24"/>
        </w:rPr>
        <w:t xml:space="preserve"> բնութագիրը, փորձանմուշներ վերցնելու ժամանակը սահմանելը (այդ թվում՝ մինչ</w:t>
      </w:r>
      <w:r w:rsidR="00C54D75">
        <w:rPr>
          <w:rFonts w:ascii="Sylfaen" w:hAnsi="Sylfaen"/>
          <w:sz w:val="24"/>
          <w:szCs w:val="24"/>
        </w:rPr>
        <w:t>և</w:t>
      </w:r>
      <w:r w:rsidRPr="00834D52">
        <w:rPr>
          <w:rFonts w:ascii="Sylfaen" w:hAnsi="Sylfaen"/>
          <w:sz w:val="24"/>
          <w:szCs w:val="24"/>
        </w:rPr>
        <w:t xml:space="preserve"> պատրաստուկի կիրառումը), փորձանմուշների ծավալները, մշակումը </w:t>
      </w:r>
      <w:r w:rsidR="00C54D75">
        <w:rPr>
          <w:rFonts w:ascii="Sylfaen" w:hAnsi="Sylfaen"/>
          <w:sz w:val="24"/>
          <w:szCs w:val="24"/>
        </w:rPr>
        <w:t>և</w:t>
      </w:r>
      <w:r w:rsidRPr="00834D52">
        <w:rPr>
          <w:rFonts w:ascii="Sylfaen" w:hAnsi="Sylfaen"/>
          <w:sz w:val="24"/>
          <w:szCs w:val="24"/>
        </w:rPr>
        <w:t xml:space="preserve"> պահումը, ինչպես նա</w:t>
      </w:r>
      <w:r w:rsidR="00C54D75">
        <w:rPr>
          <w:rFonts w:ascii="Sylfaen" w:hAnsi="Sylfaen"/>
          <w:sz w:val="24"/>
          <w:szCs w:val="24"/>
        </w:rPr>
        <w:t>և</w:t>
      </w:r>
      <w:r w:rsidRPr="00834D52">
        <w:rPr>
          <w:rFonts w:ascii="Sylfaen" w:hAnsi="Sylfaen"/>
          <w:sz w:val="24"/>
          <w:szCs w:val="24"/>
        </w:rPr>
        <w:t xml:space="preserve"> տվյալների վերլուծության վիճակագրական մեթոդները, հակամարմինները որոշելու վերլուծական մեթոդիկաները պետք է վալիդացվեն հետազոտությունների ընտրված նպատակի համար, պետք է մեթոդի բավարար զգայունակության նախնական վերլուծություն, չեզոքացնող հակամարմինները որոշելու գործընթաց անցկացնել.</w:t>
      </w:r>
    </w:p>
    <w:p w14:paraId="378D1A2C" w14:textId="77777777" w:rsidR="00F251C5" w:rsidRPr="00F06D43" w:rsidRDefault="00F251C5" w:rsidP="00F875F2">
      <w:pPr>
        <w:tabs>
          <w:tab w:val="left" w:pos="1418"/>
        </w:tabs>
        <w:spacing w:after="160" w:line="348" w:lineRule="auto"/>
        <w:ind w:right="-6" w:firstLine="567"/>
        <w:jc w:val="both"/>
        <w:rPr>
          <w:rFonts w:ascii="Sylfaen" w:eastAsia="Times New Roman" w:hAnsi="Sylfaen" w:cs="Times New Roman"/>
          <w:sz w:val="24"/>
          <w:szCs w:val="24"/>
        </w:rPr>
      </w:pPr>
    </w:p>
    <w:p w14:paraId="3B31D6A3" w14:textId="77777777" w:rsidR="006F76EB" w:rsidRPr="00834D52" w:rsidRDefault="006F76EB" w:rsidP="00F251C5">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հսկողության ժամանակահատվածի նշում՝ իմունոգենության հետազոտության անցկացման ժամանակ (որը պետք է համապատասխանի </w:t>
      </w:r>
      <w:r w:rsidRPr="00834D52">
        <w:rPr>
          <w:rFonts w:ascii="Sylfaen" w:hAnsi="Sylfaen"/>
          <w:sz w:val="24"/>
          <w:szCs w:val="24"/>
        </w:rPr>
        <w:lastRenderedPageBreak/>
        <w:t>բուժման պլանավորված տ</w:t>
      </w:r>
      <w:r w:rsidR="00C54D75">
        <w:rPr>
          <w:rFonts w:ascii="Sylfaen" w:hAnsi="Sylfaen"/>
          <w:sz w:val="24"/>
          <w:szCs w:val="24"/>
        </w:rPr>
        <w:t>և</w:t>
      </w:r>
      <w:r w:rsidRPr="00834D52">
        <w:rPr>
          <w:rFonts w:ascii="Sylfaen" w:hAnsi="Sylfaen"/>
          <w:sz w:val="24"/>
          <w:szCs w:val="24"/>
        </w:rPr>
        <w:t xml:space="preserve">ողությանը </w:t>
      </w:r>
      <w:r w:rsidR="00C54D75">
        <w:rPr>
          <w:rFonts w:ascii="Sylfaen" w:hAnsi="Sylfaen"/>
          <w:sz w:val="24"/>
          <w:szCs w:val="24"/>
        </w:rPr>
        <w:t>և</w:t>
      </w:r>
      <w:r w:rsidRPr="00834D52">
        <w:rPr>
          <w:rFonts w:ascii="Sylfaen" w:hAnsi="Sylfaen"/>
          <w:sz w:val="24"/>
          <w:szCs w:val="24"/>
        </w:rPr>
        <w:t xml:space="preserve"> հակամարմինների գոյացման ենթադրվող ժամանակին </w:t>
      </w:r>
      <w:r w:rsidR="00C54D75">
        <w:rPr>
          <w:rFonts w:ascii="Sylfaen" w:hAnsi="Sylfaen"/>
          <w:sz w:val="24"/>
          <w:szCs w:val="24"/>
        </w:rPr>
        <w:t>և</w:t>
      </w:r>
      <w:r w:rsidRPr="00834D52">
        <w:rPr>
          <w:rFonts w:ascii="Sylfaen" w:hAnsi="Sylfaen"/>
          <w:sz w:val="24"/>
          <w:szCs w:val="24"/>
        </w:rPr>
        <w:t xml:space="preserve"> չպետք է 12 ամսից պակաս լինի, հետազոտության այլ տ</w:t>
      </w:r>
      <w:r w:rsidR="00C54D75">
        <w:rPr>
          <w:rFonts w:ascii="Sylfaen" w:hAnsi="Sylfaen"/>
          <w:sz w:val="24"/>
          <w:szCs w:val="24"/>
        </w:rPr>
        <w:t>և</w:t>
      </w:r>
      <w:r w:rsidRPr="00834D52">
        <w:rPr>
          <w:rFonts w:ascii="Sylfaen" w:hAnsi="Sylfaen"/>
          <w:sz w:val="24"/>
          <w:szCs w:val="24"/>
        </w:rPr>
        <w:t>ողության դեպքում պետք է ներկայացնել հիմնավորում)).</w:t>
      </w:r>
    </w:p>
    <w:p w14:paraId="0203FE17" w14:textId="77777777" w:rsidR="006F76EB" w:rsidRPr="00834D52" w:rsidRDefault="006F76EB" w:rsidP="00F251C5">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հակամարմինների տիտրերի գոյացման կլինիկապես նշանակալի դեպքերը </w:t>
      </w:r>
      <w:r w:rsidR="00C54D75">
        <w:rPr>
          <w:rFonts w:ascii="Sylfaen" w:hAnsi="Sylfaen"/>
          <w:sz w:val="24"/>
          <w:szCs w:val="24"/>
        </w:rPr>
        <w:t>և</w:t>
      </w:r>
      <w:r w:rsidRPr="00834D52">
        <w:rPr>
          <w:rFonts w:ascii="Sylfaen" w:hAnsi="Sylfaen"/>
          <w:sz w:val="24"/>
          <w:szCs w:val="24"/>
        </w:rPr>
        <w:t xml:space="preserve"> դրանց տիտրի պահպանումը որոշակի ժամանակահատվածի ընթացքում (ընդ որում, անհրաժեշտ է ուսումնասիրել իմունային պատասխանի բնույթի պոտենցիալ փոփոխությունները </w:t>
      </w:r>
      <w:r w:rsidR="00C54D75">
        <w:rPr>
          <w:rFonts w:ascii="Sylfaen" w:hAnsi="Sylfaen"/>
          <w:sz w:val="24"/>
          <w:szCs w:val="24"/>
        </w:rPr>
        <w:t>և</w:t>
      </w:r>
      <w:r w:rsidRPr="00834D52">
        <w:rPr>
          <w:rFonts w:ascii="Sylfaen" w:hAnsi="Sylfaen"/>
          <w:sz w:val="24"/>
          <w:szCs w:val="24"/>
        </w:rPr>
        <w:t xml:space="preserve"> կլինիկական հետ</w:t>
      </w:r>
      <w:r w:rsidR="00C54D75">
        <w:rPr>
          <w:rFonts w:ascii="Sylfaen" w:hAnsi="Sylfaen"/>
          <w:sz w:val="24"/>
          <w:szCs w:val="24"/>
        </w:rPr>
        <w:t>և</w:t>
      </w:r>
      <w:r w:rsidRPr="00834D52">
        <w:rPr>
          <w:rFonts w:ascii="Sylfaen" w:hAnsi="Sylfaen"/>
          <w:sz w:val="24"/>
          <w:szCs w:val="24"/>
        </w:rPr>
        <w:t xml:space="preserve">անքները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շրջանում).</w:t>
      </w:r>
    </w:p>
    <w:p w14:paraId="6E3767C8" w14:textId="3A23C1FE" w:rsidR="006F76EB" w:rsidRPr="00834D52" w:rsidRDefault="006F76EB" w:rsidP="00F10DF3">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հիմնական կլինիկական տվյալները պետք է ստացվեն վերջնական արտադրական պրոցեսի միջոցով արտադրված դեղապատրաստուկը, այսինքն՝ այն դեղապատրաստուկը, որի նկատմամբ ներկայացվում է գրանցման </w:t>
      </w:r>
      <w:r w:rsidR="0056496B">
        <w:rPr>
          <w:rFonts w:ascii="Sylfaen" w:hAnsi="Sylfaen"/>
          <w:sz w:val="24"/>
          <w:szCs w:val="24"/>
        </w:rPr>
        <w:t>դիմում</w:t>
      </w:r>
      <w:r w:rsidRPr="00834D52">
        <w:rPr>
          <w:rFonts w:ascii="Sylfaen" w:hAnsi="Sylfaen"/>
          <w:sz w:val="24"/>
          <w:szCs w:val="24"/>
        </w:rPr>
        <w:t xml:space="preserve">ը, կիրառելու ժամանակ, այդ պահանջներից ցանկացած շեղումների դեպքում </w:t>
      </w:r>
      <w:r w:rsidR="0056496B">
        <w:rPr>
          <w:rFonts w:ascii="Sylfaen" w:hAnsi="Sylfaen"/>
          <w:sz w:val="24"/>
          <w:szCs w:val="24"/>
        </w:rPr>
        <w:t>դիմումատու</w:t>
      </w:r>
      <w:r w:rsidRPr="00834D52">
        <w:rPr>
          <w:rFonts w:ascii="Sylfaen" w:hAnsi="Sylfaen"/>
          <w:sz w:val="24"/>
          <w:szCs w:val="24"/>
        </w:rPr>
        <w:t xml:space="preserve">ն պետք է ներկայացնի հիմնավորում </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վերջնական </w:t>
      </w:r>
      <w:r w:rsidR="00C54D75">
        <w:rPr>
          <w:rFonts w:ascii="Sylfaen" w:hAnsi="Sylfaen"/>
          <w:sz w:val="24"/>
          <w:szCs w:val="24"/>
        </w:rPr>
        <w:t>և</w:t>
      </w:r>
      <w:r w:rsidRPr="00834D52">
        <w:rPr>
          <w:rFonts w:ascii="Sylfaen" w:hAnsi="Sylfaen"/>
          <w:sz w:val="24"/>
          <w:szCs w:val="24"/>
        </w:rPr>
        <w:t xml:space="preserve"> ավելի վաղ կազմի հետ անցկացված համադրելիության լրացուցիչ հետազոտությունների տվյալները՝ Հանձնաժողովի կողմից հաստատվող՝ Եվրասիական տնտեսական միության շրջանակներում կենսաբանական դեղամիջոցների հետազոտությունների անցկացման կանոնների համաձայն.</w:t>
      </w:r>
    </w:p>
    <w:p w14:paraId="5E956309" w14:textId="0BB85BB0" w:rsidR="006F76EB" w:rsidRPr="00834D52" w:rsidRDefault="006F76EB" w:rsidP="00F10DF3">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անվտանգության մասնագիրը ներառող՝ ռիսկերի կառավարման պլանը (</w:t>
      </w:r>
      <w:r w:rsidR="0032680A">
        <w:rPr>
          <w:rFonts w:ascii="Sylfaen" w:hAnsi="Sylfaen"/>
          <w:sz w:val="24"/>
          <w:szCs w:val="24"/>
        </w:rPr>
        <w:t xml:space="preserve">ռեֆերենտ </w:t>
      </w:r>
      <w:r w:rsidRPr="00834D52">
        <w:rPr>
          <w:rFonts w:ascii="Sylfaen" w:hAnsi="Sylfaen"/>
          <w:sz w:val="24"/>
          <w:szCs w:val="24"/>
        </w:rPr>
        <w:t xml:space="preserve">պատրաստուկի, դեղամիջոցների դասի </w:t>
      </w:r>
      <w:r w:rsidR="00C54D75">
        <w:rPr>
          <w:rFonts w:ascii="Sylfaen" w:hAnsi="Sylfaen"/>
          <w:sz w:val="24"/>
          <w:szCs w:val="24"/>
        </w:rPr>
        <w:t>և</w:t>
      </w:r>
      <w:r w:rsidRPr="00834D52">
        <w:rPr>
          <w:rFonts w:ascii="Sylfaen" w:hAnsi="Sylfaen"/>
          <w:sz w:val="24"/>
          <w:szCs w:val="24"/>
        </w:rPr>
        <w:t xml:space="preserve"> (կամ) բիոսիմիլարի անվտանգության՝ կար</w:t>
      </w:r>
      <w:r w:rsidR="00C54D75">
        <w:rPr>
          <w:rFonts w:ascii="Sylfaen" w:hAnsi="Sylfaen"/>
          <w:sz w:val="24"/>
          <w:szCs w:val="24"/>
        </w:rPr>
        <w:t>և</w:t>
      </w:r>
      <w:r w:rsidRPr="00834D52">
        <w:rPr>
          <w:rFonts w:ascii="Sylfaen" w:hAnsi="Sylfaen"/>
          <w:sz w:val="24"/>
          <w:szCs w:val="24"/>
        </w:rPr>
        <w:t xml:space="preserve">որ </w:t>
      </w:r>
      <w:r w:rsidR="00003ABD">
        <w:rPr>
          <w:rFonts w:ascii="Sylfaen" w:hAnsi="Sylfaen"/>
          <w:sz w:val="24"/>
          <w:szCs w:val="24"/>
        </w:rPr>
        <w:t>հայտնաբերված</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հնարավոր բացասական ասպեկտների նկարագրությամբ) </w:t>
      </w:r>
      <w:r w:rsidR="00C54D75">
        <w:rPr>
          <w:rFonts w:ascii="Sylfaen" w:hAnsi="Sylfaen"/>
          <w:sz w:val="24"/>
          <w:szCs w:val="24"/>
        </w:rPr>
        <w:t>և</w:t>
      </w:r>
      <w:r w:rsidRPr="00834D52">
        <w:rPr>
          <w:rFonts w:ascii="Sylfaen" w:hAnsi="Sylfaen"/>
          <w:sz w:val="24"/>
          <w:szCs w:val="24"/>
        </w:rPr>
        <w:t xml:space="preserve"> հետգրանցումային շրջանում կենսահամանման (կենսանման) դեղապատրաստուկի համար դեղազգոնության պլանը (անվտանգության մասնագրի, ռիսկերի կառավարման պլանի վրա հիմնված պլանավորվող հետգրանցումային միջոցառումների </w:t>
      </w:r>
      <w:r w:rsidR="00C54D75">
        <w:rPr>
          <w:rFonts w:ascii="Sylfaen" w:hAnsi="Sylfaen"/>
          <w:sz w:val="24"/>
          <w:szCs w:val="24"/>
        </w:rPr>
        <w:t>և</w:t>
      </w:r>
      <w:r w:rsidRPr="00834D52">
        <w:rPr>
          <w:rFonts w:ascii="Sylfaen" w:hAnsi="Sylfaen"/>
          <w:sz w:val="24"/>
          <w:szCs w:val="24"/>
        </w:rPr>
        <w:t xml:space="preserve"> ռիսկերի նվազեցմանն ուղղված միջոցների նկարագրությամբ, այդ թվում՝ պացիենտների </w:t>
      </w:r>
      <w:r w:rsidR="00C54D75">
        <w:rPr>
          <w:rFonts w:ascii="Sylfaen" w:hAnsi="Sylfaen"/>
          <w:sz w:val="24"/>
          <w:szCs w:val="24"/>
        </w:rPr>
        <w:t>և</w:t>
      </w:r>
      <w:r w:rsidRPr="00834D52">
        <w:rPr>
          <w:rFonts w:ascii="Sylfaen" w:hAnsi="Sylfaen"/>
          <w:sz w:val="24"/>
          <w:szCs w:val="24"/>
        </w:rPr>
        <w:t xml:space="preserve"> (կամ) բժշկական </w:t>
      </w:r>
      <w:r w:rsidR="00C54D75">
        <w:rPr>
          <w:rFonts w:ascii="Sylfaen" w:hAnsi="Sylfaen"/>
          <w:sz w:val="24"/>
          <w:szCs w:val="24"/>
        </w:rPr>
        <w:t>և</w:t>
      </w:r>
      <w:r w:rsidRPr="00834D52">
        <w:rPr>
          <w:rFonts w:ascii="Sylfaen" w:hAnsi="Sylfaen"/>
          <w:sz w:val="24"/>
          <w:szCs w:val="24"/>
        </w:rPr>
        <w:t xml:space="preserve"> դեղագործական ոլորտների աշխատողների համար տեղեկատվական նյութերի ներկայացմամբ):</w:t>
      </w:r>
    </w:p>
    <w:p w14:paraId="24053919" w14:textId="77777777" w:rsidR="006F76EB" w:rsidRPr="002F1C69" w:rsidRDefault="006F76EB" w:rsidP="00BC52BC">
      <w:pPr>
        <w:widowControl/>
        <w:spacing w:after="160" w:line="336" w:lineRule="auto"/>
        <w:jc w:val="center"/>
        <w:rPr>
          <w:rFonts w:ascii="Sylfaen" w:hAnsi="Sylfaen"/>
          <w:sz w:val="24"/>
          <w:szCs w:val="24"/>
        </w:rPr>
      </w:pPr>
    </w:p>
    <w:p w14:paraId="078737F8" w14:textId="71DC1566"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11. Բացառիկ դեպքերում գրանցման հայտերի համար գրանցման դոսյե</w:t>
      </w:r>
    </w:p>
    <w:p w14:paraId="2923A717" w14:textId="232DD08F"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 xml:space="preserve">Դեղապատրաստուկի գրանցման հավաստագիրը տրվում է հատուկ պարտավորությունների կատարման պայմանով այն դեպքում, երբ հայտատուն կարող է հաստատել (հիմնավորել), որ անհնար է տրամադրել դեղապատրաստուկի կիրառման սովորական պայմաններում դրա արդյունավետության և անվտանգության մասին ամբողջական տվյալներ հետևյալ պատճառներից մեկով. </w:t>
      </w:r>
    </w:p>
    <w:p w14:paraId="13744C22" w14:textId="2FA6C402"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կիրառման ցուցումները, որոնցով ենթադրվում է կիրառել դեղապատրաստուկը, այնքան հազվադեպ են հանդիպում, որ հայտատուն հիմնավորված կերպով չի կարող ակնկալել ստանալ դեղապատրաստուկի արդյունավետության և անվտանգության վերաբերյալ ապացույցների բազմակողմանի հաստատում.</w:t>
      </w:r>
    </w:p>
    <w:p w14:paraId="6B8CFD8C" w14:textId="2BBA5433"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գիտական գիտելիքների ընթացիկ վիճակում դեղապատրաստուկի արդյունավետության կամ անվտանգության վերաբերյալ սպառիչ տեղեկատվություն չի կարող տրամադրվել.</w:t>
      </w:r>
    </w:p>
    <w:p w14:paraId="4A95A90C" w14:textId="263CE958"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դեղապատրաստուկի արդյունավետության կամ անվտանգության վերաբերյալ տեղեկատվություն ստանալը կհակասի բժշկական էթիկայի համընդհանուր սկզբունքներին:</w:t>
      </w:r>
    </w:p>
    <w:p w14:paraId="3E602B93" w14:textId="09D08D05"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Նշված պարտավորությունները ներառում են հետևյալը.</w:t>
      </w:r>
    </w:p>
    <w:p w14:paraId="2FF31885" w14:textId="20BEA733"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հայտատուն պետք է ռեֆերենտ անդամ պետության լիազորված մարմնի սահմանած ժամկետում ավարտի անվտանգության կամ արդյունավետության հետազոտությունների կոնկրետ ծրագիր, որի արդյունքները թույլ են տալիս անցկացնել «օգուտ-ռիսկ» հարաբերակցության կրկնակի գնահատում.</w:t>
      </w:r>
    </w:p>
    <w:p w14:paraId="1C006D80" w14:textId="77777777"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 xml:space="preserve">դիտարկվող դեղապատրաստուկի համար պետք է սահմանվի «դեղատոմսային պատրաստուկներ» բացթողման կատեգորիան և միայն բժշկական խիստ հսկողության ներքո կոնկրետ պայմաններում կիրառումը (օրինակ՝ </w:t>
      </w:r>
      <w:r w:rsidRPr="00AF71F9">
        <w:rPr>
          <w:rFonts w:ascii="Sylfaen" w:hAnsi="Sylfaen"/>
          <w:sz w:val="24"/>
          <w:szCs w:val="24"/>
        </w:rPr>
        <w:lastRenderedPageBreak/>
        <w:t xml:space="preserve">ստացիոնարում), իսկ ռադիոդեղագործական պատրաստուկների համար՝ համապատասխան թույլտվություն ունեցող անձի հսկողության ներքո կիրառումը. </w:t>
      </w:r>
    </w:p>
    <w:p w14:paraId="79875A78" w14:textId="08FE1233" w:rsidR="00B43712"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դեղապատրաստուկի ընդհանուր բնութագիրը, դեղապատրաստուկի բժշկական կիրառման հրահանգը (ներդիր-թերթիկը), գրանցման հավաստագիրը և ցանկացած բժշկական տեղեկատվություն պետք է պարունակի օգտվողի ուշադրությունը գրավող տեղեկատվություն այն մասին, որ դեղապատրաստուկի մասին առկա տվյալները բավարար չեն անվտանգության կամ արդյունավետության կոնկրետ ասպեկտները հաստատելու մասով</w:t>
      </w:r>
      <w:r>
        <w:rPr>
          <w:rFonts w:ascii="Sylfaen" w:hAnsi="Sylfaen"/>
          <w:sz w:val="24"/>
          <w:szCs w:val="24"/>
        </w:rPr>
        <w:t>:</w:t>
      </w:r>
    </w:p>
    <w:p w14:paraId="5FE2C111" w14:textId="481020F2" w:rsidR="00AF71F9" w:rsidRPr="00371618" w:rsidRDefault="00AF71F9" w:rsidP="00AF71F9">
      <w:pPr>
        <w:rPr>
          <w:b/>
          <w:bCs/>
          <w:i/>
          <w:iCs/>
        </w:rPr>
      </w:pPr>
      <w:r w:rsidRPr="00371618">
        <w:rPr>
          <w:b/>
          <w:bCs/>
          <w:i/>
          <w:iCs/>
        </w:rPr>
        <w:t xml:space="preserve">( </w:t>
      </w:r>
      <w:r>
        <w:rPr>
          <w:b/>
          <w:bCs/>
          <w:i/>
          <w:iCs/>
        </w:rPr>
        <w:t>11 ենթաբաժինը խմբ.</w:t>
      </w:r>
      <w:r w:rsidRPr="00371618">
        <w:rPr>
          <w:b/>
          <w:bCs/>
          <w:i/>
          <w:iCs/>
        </w:rPr>
        <w:t xml:space="preserve"> 17.03.22 թիվ 36 )</w:t>
      </w:r>
    </w:p>
    <w:p w14:paraId="160CE348" w14:textId="77777777" w:rsidR="00AF71F9" w:rsidRPr="007F5A60" w:rsidRDefault="00AF71F9" w:rsidP="00AF71F9">
      <w:pPr>
        <w:spacing w:after="160" w:line="365" w:lineRule="auto"/>
        <w:ind w:right="-8" w:firstLine="567"/>
        <w:jc w:val="both"/>
        <w:rPr>
          <w:rFonts w:ascii="Sylfaen" w:eastAsia="Times New Roman" w:hAnsi="Sylfaen" w:cs="Times New Roman"/>
          <w:spacing w:val="-4"/>
          <w:sz w:val="24"/>
          <w:szCs w:val="24"/>
        </w:rPr>
      </w:pPr>
    </w:p>
    <w:p w14:paraId="58A6AACC" w14:textId="77777777" w:rsidR="006F76EB" w:rsidRPr="00834D52" w:rsidRDefault="006F76EB" w:rsidP="006F76EB">
      <w:pPr>
        <w:spacing w:after="160" w:line="360" w:lineRule="auto"/>
        <w:ind w:left="567" w:right="565"/>
        <w:jc w:val="center"/>
        <w:rPr>
          <w:rFonts w:ascii="Sylfaen" w:hAnsi="Sylfaen"/>
          <w:sz w:val="24"/>
          <w:szCs w:val="24"/>
        </w:rPr>
      </w:pPr>
      <w:r w:rsidRPr="00834D52">
        <w:rPr>
          <w:rFonts w:ascii="Sylfaen" w:hAnsi="Sylfaen"/>
          <w:sz w:val="24"/>
          <w:szCs w:val="24"/>
        </w:rPr>
        <w:t>III. Դեղապատրաստուկների առանձին տեսակների գրանցման դոսյեի փաստաթղթերին ներկայացվող հատուկ պահանջները</w:t>
      </w:r>
    </w:p>
    <w:p w14:paraId="0CF34208"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p>
    <w:p w14:paraId="6B38F24A"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12. Կենսաբանական դեղապատրաստուկներ</w:t>
      </w:r>
    </w:p>
    <w:p w14:paraId="02B3E25E" w14:textId="77777777" w:rsidR="006F76EB" w:rsidRPr="00834D52" w:rsidRDefault="006F76EB" w:rsidP="00787EA1">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Պատվաստանյութերի, արյան պատրաստուկների գրանցման դոսյեի 3-րդ մոդուլը ձ</w:t>
      </w:r>
      <w:r w:rsidR="00C54D75">
        <w:rPr>
          <w:rFonts w:ascii="Sylfaen" w:hAnsi="Sylfaen"/>
          <w:sz w:val="24"/>
          <w:szCs w:val="24"/>
        </w:rPr>
        <w:t>և</w:t>
      </w:r>
      <w:r w:rsidRPr="00834D52">
        <w:rPr>
          <w:rFonts w:ascii="Sylfaen" w:hAnsi="Sylfaen"/>
          <w:sz w:val="24"/>
          <w:szCs w:val="24"/>
        </w:rPr>
        <w:t>ավորվում է՝ հաշվի առնելով այդ դեղապատրաստուկների՝ սույն բաժնում նշված առանձնահատկությունները:</w:t>
      </w:r>
    </w:p>
    <w:p w14:paraId="49FFEFC3" w14:textId="77777777" w:rsidR="006F76EB" w:rsidRPr="00834D52" w:rsidRDefault="006F76EB" w:rsidP="000D0FC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Պլազմայից ստացված դեղապատրաստուկներ</w:t>
      </w:r>
    </w:p>
    <w:p w14:paraId="7A9DEDD8" w14:textId="77777777" w:rsidR="006F76EB" w:rsidRPr="00834D52" w:rsidRDefault="006F76EB" w:rsidP="00890A75">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արյունից կամ արյան պլազմայից ստացված դեղապատրաստուկների համար, մարդու արյունից (պլազմայից) ստացված ելակետային նյութերին </w:t>
      </w:r>
      <w:r w:rsidR="00C54D75">
        <w:rPr>
          <w:rFonts w:ascii="Sylfaen" w:hAnsi="Sylfaen"/>
          <w:sz w:val="24"/>
          <w:szCs w:val="24"/>
        </w:rPr>
        <w:t>և</w:t>
      </w:r>
      <w:r w:rsidRPr="00834D52">
        <w:rPr>
          <w:rFonts w:ascii="Sylfaen" w:hAnsi="Sylfaen"/>
          <w:sz w:val="24"/>
          <w:szCs w:val="24"/>
        </w:rPr>
        <w:t xml:space="preserve"> հումքին ներկայացվող պահանջները կարող են փոխարինվել պլազմայի՝ սույն մասին համապատասխանող մաստեր-ֆայլով՝ որպես սույն պահանջների I մասում ներկայացված գրանցման դոսյեի 3-րդ մոդուլին ներկայացվող ընդհանուր պահանջներից բացառություն:</w:t>
      </w:r>
    </w:p>
    <w:p w14:paraId="17BA7ECB" w14:textId="77777777" w:rsidR="006F76EB" w:rsidRPr="00834D52" w:rsidRDefault="006F76EB" w:rsidP="000D0FC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12.1.1.</w:t>
      </w:r>
      <w:r w:rsidRPr="00834D52">
        <w:rPr>
          <w:rFonts w:ascii="Sylfaen" w:hAnsi="Sylfaen"/>
          <w:sz w:val="24"/>
          <w:szCs w:val="24"/>
        </w:rPr>
        <w:tab/>
        <w:t>Գրանցման դոսյեի ձ</w:t>
      </w:r>
      <w:r w:rsidR="00C54D75">
        <w:rPr>
          <w:rFonts w:ascii="Sylfaen" w:hAnsi="Sylfaen"/>
          <w:sz w:val="24"/>
          <w:szCs w:val="24"/>
        </w:rPr>
        <w:t>և</w:t>
      </w:r>
      <w:r w:rsidRPr="00834D52">
        <w:rPr>
          <w:rFonts w:ascii="Sylfaen" w:hAnsi="Sylfaen"/>
          <w:sz w:val="24"/>
          <w:szCs w:val="24"/>
        </w:rPr>
        <w:t>ավորման ընդհանուր սկզբունքները:</w:t>
      </w:r>
    </w:p>
    <w:p w14:paraId="689EE705" w14:textId="77777777" w:rsidR="006F76EB" w:rsidRPr="00834D52" w:rsidRDefault="006F76EB" w:rsidP="000D0FC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Սույն պահանջների շրջանակներում՝</w:t>
      </w:r>
    </w:p>
    <w:p w14:paraId="33118A47" w14:textId="77777777"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արյան պլազմայի մաստեր-ֆայլը դեղապատրաստուկի գրանցման դոսյեից առանձին </w:t>
      </w:r>
      <w:r w:rsidR="00C54D75">
        <w:rPr>
          <w:rFonts w:ascii="Sylfaen" w:hAnsi="Sylfaen"/>
          <w:sz w:val="24"/>
          <w:szCs w:val="24"/>
        </w:rPr>
        <w:t>և</w:t>
      </w:r>
      <w:r w:rsidRPr="00834D52">
        <w:rPr>
          <w:rFonts w:ascii="Sylfaen" w:hAnsi="Sylfaen"/>
          <w:sz w:val="24"/>
          <w:szCs w:val="24"/>
        </w:rPr>
        <w:t xml:space="preserve"> դեղապատրաստուկների կամ բժշկական արտադրատեսակների մաս կազմող ենթաֆրակցիայի կամ միջանկյալ ֆրակցիայի, օժանդակ նյութերի կամ ակտիվ նյութերի բաղադրիչների արտադրության ժամանակ որպես ելակետային նյութ </w:t>
      </w:r>
      <w:r w:rsidR="00C54D75">
        <w:rPr>
          <w:rFonts w:ascii="Sylfaen" w:hAnsi="Sylfaen"/>
          <w:sz w:val="24"/>
          <w:szCs w:val="24"/>
        </w:rPr>
        <w:t>և</w:t>
      </w:r>
      <w:r w:rsidRPr="00834D52">
        <w:rPr>
          <w:rFonts w:ascii="Sylfaen" w:hAnsi="Sylfaen"/>
          <w:sz w:val="24"/>
          <w:szCs w:val="24"/>
        </w:rPr>
        <w:t xml:space="preserve"> (կամ) հումք օգտագործված մարդու արյան ամբողջ պլազմայի բնութագրերի վերաբերյալ նշանակալի մանրամասն տեղեկություններ պարունակող ինքնուրույն փաստաթուղթ է.</w:t>
      </w:r>
    </w:p>
    <w:p w14:paraId="42F28901" w14:textId="77777777" w:rsidR="006F76EB" w:rsidRPr="00787EA1" w:rsidRDefault="006F76EB" w:rsidP="005266D9">
      <w:pPr>
        <w:tabs>
          <w:tab w:val="left" w:pos="1418"/>
        </w:tabs>
        <w:spacing w:after="160" w:line="384" w:lineRule="auto"/>
        <w:ind w:right="-6" w:firstLine="567"/>
        <w:jc w:val="both"/>
        <w:rPr>
          <w:rFonts w:ascii="Sylfaen" w:eastAsia="Times New Roman" w:hAnsi="Sylfaen" w:cs="Times New Roman"/>
          <w:spacing w:val="-6"/>
          <w:sz w:val="24"/>
          <w:szCs w:val="24"/>
        </w:rPr>
      </w:pPr>
      <w:r w:rsidRPr="00787EA1">
        <w:rPr>
          <w:rFonts w:ascii="Sylfaen" w:hAnsi="Sylfaen"/>
          <w:spacing w:val="-6"/>
          <w:sz w:val="24"/>
          <w:szCs w:val="24"/>
        </w:rPr>
        <w:t xml:space="preserve">մարդու պլազման ֆրակցիաների բաժանող (վերամշակող) յուրաքանչյուր կենտրոն կամ հիմնարկություն պետք է պատրաստի </w:t>
      </w:r>
      <w:r w:rsidR="00C54D75">
        <w:rPr>
          <w:rFonts w:ascii="Sylfaen" w:hAnsi="Sylfaen"/>
          <w:spacing w:val="-6"/>
          <w:sz w:val="24"/>
          <w:szCs w:val="24"/>
        </w:rPr>
        <w:t>և</w:t>
      </w:r>
      <w:r w:rsidRPr="00787EA1">
        <w:rPr>
          <w:rFonts w:ascii="Sylfaen" w:hAnsi="Sylfaen"/>
          <w:spacing w:val="-6"/>
          <w:sz w:val="24"/>
          <w:szCs w:val="24"/>
        </w:rPr>
        <w:t xml:space="preserve"> մշտապես թարմացնի արյան պլազմայի մաստեր-ֆայլում նշված ամբողջ մանրամասն նշանակալի տեղեկատվությունը.</w:t>
      </w:r>
    </w:p>
    <w:p w14:paraId="6D7EC294" w14:textId="28981A6B"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մաստեր-ֆայլը պետք է անդամ պետության լիազորված մարմին</w:t>
      </w:r>
      <w:r w:rsidR="007F38F2">
        <w:rPr>
          <w:rFonts w:ascii="Sylfaen" w:hAnsi="Sylfaen"/>
          <w:sz w:val="24"/>
          <w:szCs w:val="24"/>
        </w:rPr>
        <w:t xml:space="preserve"> </w:t>
      </w:r>
      <w:r w:rsidR="007F38F2" w:rsidRPr="007F38F2">
        <w:rPr>
          <w:rFonts w:ascii="Sylfaen" w:hAnsi="Sylfaen"/>
          <w:sz w:val="24"/>
          <w:szCs w:val="24"/>
        </w:rPr>
        <w:t>թղթային կրիչով կամ էլեկտրոնային փաստաթղթի տեսքով</w:t>
      </w:r>
      <w:r w:rsidRPr="00834D52">
        <w:rPr>
          <w:rFonts w:ascii="Sylfaen" w:hAnsi="Sylfaen"/>
          <w:sz w:val="24"/>
          <w:szCs w:val="24"/>
        </w:rPr>
        <w:t xml:space="preserve"> ներկայացվի գրանցման հավաստագրի </w:t>
      </w:r>
      <w:r w:rsidR="0056496B">
        <w:rPr>
          <w:rFonts w:ascii="Sylfaen" w:hAnsi="Sylfaen"/>
          <w:sz w:val="24"/>
          <w:szCs w:val="24"/>
        </w:rPr>
        <w:t>դիմումատու</w:t>
      </w:r>
      <w:r w:rsidRPr="00834D52">
        <w:rPr>
          <w:rFonts w:ascii="Sylfaen" w:hAnsi="Sylfaen"/>
          <w:sz w:val="24"/>
          <w:szCs w:val="24"/>
        </w:rPr>
        <w:t xml:space="preserve">ի կամ իրավատիրոջ կողմից: Եթե գրանցման հավաստագրի </w:t>
      </w:r>
      <w:r w:rsidR="0056496B">
        <w:rPr>
          <w:rFonts w:ascii="Sylfaen" w:hAnsi="Sylfaen"/>
          <w:sz w:val="24"/>
          <w:szCs w:val="24"/>
        </w:rPr>
        <w:t>դիմումատու</w:t>
      </w:r>
      <w:r w:rsidRPr="00834D52">
        <w:rPr>
          <w:rFonts w:ascii="Sylfaen" w:hAnsi="Sylfaen"/>
          <w:sz w:val="24"/>
          <w:szCs w:val="24"/>
        </w:rPr>
        <w:t xml:space="preserve">ն կամ իրավատերը մաստեր-ֆայլի տիրապետողը չէ, մաստեր-ֆայլը պետք է հասանելի լինի գրանցման հավաստագրի </w:t>
      </w:r>
      <w:r w:rsidR="0056496B">
        <w:rPr>
          <w:rFonts w:ascii="Sylfaen" w:hAnsi="Sylfaen"/>
          <w:sz w:val="24"/>
          <w:szCs w:val="24"/>
        </w:rPr>
        <w:t>դիմումատու</w:t>
      </w:r>
      <w:r w:rsidRPr="00834D52">
        <w:rPr>
          <w:rFonts w:ascii="Sylfaen" w:hAnsi="Sylfaen"/>
          <w:sz w:val="24"/>
          <w:szCs w:val="24"/>
        </w:rPr>
        <w:t xml:space="preserve">ին կամ իրավատիրոջը՝ այն անդամ պետությունների լիազորված մարմիններ ներկայացնելու համար: Գրանցման հավաստագրի </w:t>
      </w:r>
      <w:r w:rsidR="0056496B">
        <w:rPr>
          <w:rFonts w:ascii="Sylfaen" w:hAnsi="Sylfaen"/>
          <w:sz w:val="24"/>
          <w:szCs w:val="24"/>
        </w:rPr>
        <w:t>դիմումատու</w:t>
      </w:r>
      <w:r w:rsidRPr="00834D52">
        <w:rPr>
          <w:rFonts w:ascii="Sylfaen" w:hAnsi="Sylfaen"/>
          <w:sz w:val="24"/>
          <w:szCs w:val="24"/>
        </w:rPr>
        <w:t xml:space="preserve">ն կամ իրավատերը ցանկացած դեպքում պատասխանատվություն է կրում դեղապատրաստուկի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համար.</w:t>
      </w:r>
    </w:p>
    <w:p w14:paraId="32FB9217" w14:textId="6E3A3384" w:rsidR="006F76EB" w:rsidRDefault="006F76EB" w:rsidP="005266D9">
      <w:pPr>
        <w:tabs>
          <w:tab w:val="left" w:pos="1418"/>
        </w:tabs>
        <w:spacing w:after="160" w:line="384" w:lineRule="auto"/>
        <w:ind w:right="-6" w:firstLine="567"/>
        <w:jc w:val="both"/>
        <w:rPr>
          <w:rFonts w:ascii="Sylfaen" w:hAnsi="Sylfaen"/>
          <w:sz w:val="24"/>
          <w:szCs w:val="24"/>
        </w:rPr>
      </w:pPr>
      <w:r w:rsidRPr="00834D52">
        <w:rPr>
          <w:rFonts w:ascii="Sylfaen" w:hAnsi="Sylfaen"/>
          <w:sz w:val="24"/>
          <w:szCs w:val="24"/>
        </w:rPr>
        <w:t>եթե գրանցման դոսյեն վերաբերում է պլազմայից ստացված բաղադրիչին, ապա որպես ելակետային նյութ (հումք) օգտագործված պլազմայի համար պետք է հղում կատարել իրավատիրոջ մաստեր-ֆայլին:</w:t>
      </w:r>
    </w:p>
    <w:p w14:paraId="0DBA6AB6" w14:textId="5A42458E" w:rsidR="007F38F2" w:rsidRPr="00371618" w:rsidRDefault="007F38F2" w:rsidP="007F38F2">
      <w:pPr>
        <w:rPr>
          <w:b/>
          <w:bCs/>
          <w:i/>
          <w:iCs/>
        </w:rPr>
      </w:pPr>
      <w:r w:rsidRPr="00371618">
        <w:rPr>
          <w:b/>
          <w:bCs/>
          <w:i/>
          <w:iCs/>
        </w:rPr>
        <w:t>(</w:t>
      </w:r>
      <w:r>
        <w:rPr>
          <w:b/>
          <w:bCs/>
          <w:i/>
          <w:iCs/>
        </w:rPr>
        <w:t>12.1.1</w:t>
      </w:r>
      <w:r w:rsidRPr="00371618">
        <w:rPr>
          <w:b/>
          <w:bCs/>
          <w:i/>
          <w:iCs/>
        </w:rPr>
        <w:t xml:space="preserve"> կետը</w:t>
      </w:r>
      <w:r>
        <w:rPr>
          <w:b/>
          <w:bCs/>
          <w:i/>
          <w:iCs/>
        </w:rPr>
        <w:t xml:space="preserve"> </w:t>
      </w:r>
      <w:r w:rsidRPr="00371618">
        <w:rPr>
          <w:b/>
          <w:bCs/>
          <w:i/>
          <w:iCs/>
        </w:rPr>
        <w:t xml:space="preserve"> լրաց. 17.03.22 թիվ 36)</w:t>
      </w:r>
    </w:p>
    <w:p w14:paraId="49D73515" w14:textId="77777777" w:rsidR="007F38F2" w:rsidRPr="00834D52" w:rsidRDefault="007F38F2" w:rsidP="005266D9">
      <w:pPr>
        <w:tabs>
          <w:tab w:val="left" w:pos="1418"/>
        </w:tabs>
        <w:spacing w:after="160" w:line="384" w:lineRule="auto"/>
        <w:ind w:right="-6" w:firstLine="567"/>
        <w:jc w:val="both"/>
        <w:rPr>
          <w:rFonts w:ascii="Sylfaen" w:eastAsia="Times New Roman" w:hAnsi="Sylfaen" w:cs="Times New Roman"/>
          <w:sz w:val="24"/>
          <w:szCs w:val="24"/>
        </w:rPr>
      </w:pPr>
    </w:p>
    <w:p w14:paraId="78204C9A" w14:textId="77777777" w:rsidR="006F76EB" w:rsidRPr="00F06D43" w:rsidRDefault="006F76EB" w:rsidP="005266D9">
      <w:pPr>
        <w:tabs>
          <w:tab w:val="left" w:pos="1701"/>
        </w:tabs>
        <w:spacing w:after="160" w:line="384" w:lineRule="auto"/>
        <w:ind w:right="-6" w:firstLine="567"/>
        <w:jc w:val="both"/>
        <w:rPr>
          <w:rFonts w:ascii="Sylfaen" w:hAnsi="Sylfaen"/>
          <w:sz w:val="24"/>
          <w:szCs w:val="24"/>
        </w:rPr>
      </w:pPr>
      <w:r w:rsidRPr="00834D52">
        <w:rPr>
          <w:rFonts w:ascii="Sylfaen" w:hAnsi="Sylfaen"/>
          <w:sz w:val="24"/>
          <w:szCs w:val="24"/>
        </w:rPr>
        <w:t>12.1.2.</w:t>
      </w:r>
      <w:r w:rsidRPr="00834D52">
        <w:rPr>
          <w:rFonts w:ascii="Sylfaen" w:hAnsi="Sylfaen"/>
          <w:sz w:val="24"/>
          <w:szCs w:val="24"/>
        </w:rPr>
        <w:tab/>
        <w:t xml:space="preserve">Գրանցման դոսյեի նյութերի բովանդակությանը ներկայացվող </w:t>
      </w:r>
      <w:r w:rsidRPr="00834D52">
        <w:rPr>
          <w:rFonts w:ascii="Sylfaen" w:hAnsi="Sylfaen"/>
          <w:sz w:val="24"/>
          <w:szCs w:val="24"/>
        </w:rPr>
        <w:lastRenderedPageBreak/>
        <w:t>լրացուցիչ պահանջներ:</w:t>
      </w:r>
    </w:p>
    <w:p w14:paraId="0A279E65" w14:textId="77777777" w:rsidR="005266D9" w:rsidRPr="00F06D43" w:rsidRDefault="005266D9" w:rsidP="005266D9">
      <w:pPr>
        <w:tabs>
          <w:tab w:val="left" w:pos="1701"/>
        </w:tabs>
        <w:spacing w:after="160" w:line="384" w:lineRule="auto"/>
        <w:ind w:right="-6" w:firstLine="567"/>
        <w:jc w:val="both"/>
        <w:rPr>
          <w:rFonts w:ascii="Sylfaen" w:eastAsia="Times New Roman" w:hAnsi="Sylfaen" w:cs="Times New Roman"/>
          <w:sz w:val="24"/>
          <w:szCs w:val="24"/>
        </w:rPr>
      </w:pPr>
    </w:p>
    <w:p w14:paraId="2CF43247"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Իրավատիրոջ մաստեր-ֆայլը պետք է պարունակի որպես ելակետային նյութ (հումք) օգտագործված պլազմայի վերաբերյալ հետ</w:t>
      </w:r>
      <w:r w:rsidR="00C54D75">
        <w:rPr>
          <w:rFonts w:ascii="Sylfaen" w:hAnsi="Sylfaen"/>
          <w:sz w:val="24"/>
          <w:szCs w:val="24"/>
        </w:rPr>
        <w:t>և</w:t>
      </w:r>
      <w:r w:rsidRPr="00834D52">
        <w:rPr>
          <w:rFonts w:ascii="Sylfaen" w:hAnsi="Sylfaen"/>
          <w:sz w:val="24"/>
          <w:szCs w:val="24"/>
        </w:rPr>
        <w:t>յալ տեղեկատվությունը.</w:t>
      </w:r>
    </w:p>
    <w:p w14:paraId="2F39A05E"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ծագումը՝</w:t>
      </w:r>
    </w:p>
    <w:p w14:paraId="50C9F011"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կենտրոնների կամ հիմնարկությունների վերաբերյալ, որտեղ անցկացվում է արյան (պլազմայի) հավաքումը՝ ներառյալ տեսչական ստուգումների </w:t>
      </w:r>
      <w:r w:rsidR="00C54D75">
        <w:rPr>
          <w:rFonts w:ascii="Sylfaen" w:hAnsi="Sylfaen"/>
          <w:sz w:val="24"/>
          <w:szCs w:val="24"/>
        </w:rPr>
        <w:t>և</w:t>
      </w:r>
      <w:r w:rsidRPr="00834D52">
        <w:rPr>
          <w:rFonts w:ascii="Sylfaen" w:hAnsi="Sylfaen"/>
          <w:sz w:val="24"/>
          <w:szCs w:val="24"/>
        </w:rPr>
        <w:t xml:space="preserve"> տվյալ գործունեության տեսակը վարելու հատուկ թույլտվություն ներկայացնելու վերաբերյալ տվյալները, ինչպես նա</w:t>
      </w:r>
      <w:r w:rsidR="00C54D75">
        <w:rPr>
          <w:rFonts w:ascii="Sylfaen" w:hAnsi="Sylfaen"/>
          <w:sz w:val="24"/>
          <w:szCs w:val="24"/>
        </w:rPr>
        <w:t>և</w:t>
      </w:r>
      <w:r w:rsidRPr="00834D52">
        <w:rPr>
          <w:rFonts w:ascii="Sylfaen" w:hAnsi="Sylfaen"/>
          <w:sz w:val="24"/>
          <w:szCs w:val="24"/>
        </w:rPr>
        <w:t xml:space="preserve"> այն տարածաշրջանում, որտեղ արտադրվում է արյան (պլազմայի) պատրաստուկը, արյան միջոցով փոխանցվող վարակների վերաբերյալ համաճարակաբանական տվյալները.</w:t>
      </w:r>
    </w:p>
    <w:p w14:paraId="6E0BA5AC"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կենտրոնների կամ հիմնարկությունների վերաբերյալ, որտեղ դոնացիայի </w:t>
      </w:r>
      <w:r w:rsidR="00C54D75">
        <w:rPr>
          <w:rFonts w:ascii="Sylfaen" w:hAnsi="Sylfaen"/>
          <w:sz w:val="24"/>
          <w:szCs w:val="24"/>
        </w:rPr>
        <w:t>և</w:t>
      </w:r>
      <w:r w:rsidRPr="00834D52">
        <w:rPr>
          <w:rFonts w:ascii="Sylfaen" w:hAnsi="Sylfaen"/>
          <w:sz w:val="24"/>
          <w:szCs w:val="24"/>
        </w:rPr>
        <w:t xml:space="preserve"> պլազմայի պուլերի (միավորումների) վերահսկում է անցկացվում՝ ներառյալ այդ կենտրոնների կամ հիմնարկությունների տեսչական </w:t>
      </w:r>
      <w:r w:rsidR="00C54D75">
        <w:rPr>
          <w:rFonts w:ascii="Sylfaen" w:hAnsi="Sylfaen"/>
          <w:sz w:val="24"/>
          <w:szCs w:val="24"/>
        </w:rPr>
        <w:t>և</w:t>
      </w:r>
      <w:r w:rsidRPr="00834D52">
        <w:rPr>
          <w:rFonts w:ascii="Sylfaen" w:hAnsi="Sylfaen"/>
          <w:sz w:val="24"/>
          <w:szCs w:val="24"/>
        </w:rPr>
        <w:t xml:space="preserve"> կարգավորման կարգավիճակը.</w:t>
      </w:r>
    </w:p>
    <w:p w14:paraId="4FDFAE18"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արյան (պլազմայի) դոնորների ընտրության (բացառման) չափանիշները.</w:t>
      </w:r>
    </w:p>
    <w:p w14:paraId="5326BD3D"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գործող համակարգի նկարագրությունը, որը թույլ է տալիս հետ</w:t>
      </w:r>
      <w:r w:rsidR="00C54D75">
        <w:rPr>
          <w:rFonts w:ascii="Sylfaen" w:hAnsi="Sylfaen"/>
          <w:sz w:val="24"/>
          <w:szCs w:val="24"/>
        </w:rPr>
        <w:t>և</w:t>
      </w:r>
      <w:r w:rsidRPr="00834D52">
        <w:rPr>
          <w:rFonts w:ascii="Sylfaen" w:hAnsi="Sylfaen"/>
          <w:sz w:val="24"/>
          <w:szCs w:val="24"/>
        </w:rPr>
        <w:t>ելու արյան յուրաքանչյուր դոնացիայի ընթացքին՝ հիմնարկությունից, որտեղ հավաքում են արյունը (պլազման)՝ մինչ</w:t>
      </w:r>
      <w:r w:rsidR="00C54D75">
        <w:rPr>
          <w:rFonts w:ascii="Sylfaen" w:hAnsi="Sylfaen"/>
          <w:sz w:val="24"/>
          <w:szCs w:val="24"/>
        </w:rPr>
        <w:t>և</w:t>
      </w:r>
      <w:r w:rsidRPr="00834D52">
        <w:rPr>
          <w:rFonts w:ascii="Sylfaen" w:hAnsi="Sylfaen"/>
          <w:sz w:val="24"/>
          <w:szCs w:val="24"/>
        </w:rPr>
        <w:t xml:space="preserve"> պատրաստի դեղապատրաստուկը, </w:t>
      </w:r>
      <w:r w:rsidR="00C54D75">
        <w:rPr>
          <w:rFonts w:ascii="Sylfaen" w:hAnsi="Sylfaen"/>
          <w:sz w:val="24"/>
          <w:szCs w:val="24"/>
        </w:rPr>
        <w:t>և</w:t>
      </w:r>
      <w:r w:rsidRPr="00834D52">
        <w:rPr>
          <w:rFonts w:ascii="Sylfaen" w:hAnsi="Sylfaen"/>
          <w:sz w:val="24"/>
          <w:szCs w:val="24"/>
        </w:rPr>
        <w:t xml:space="preserve"> հակառակը.</w:t>
      </w:r>
    </w:p>
    <w:p w14:paraId="1036A3EE"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որակը </w:t>
      </w:r>
      <w:r w:rsidR="00C54D75">
        <w:rPr>
          <w:rFonts w:ascii="Sylfaen" w:hAnsi="Sylfaen"/>
          <w:sz w:val="24"/>
          <w:szCs w:val="24"/>
        </w:rPr>
        <w:t>և</w:t>
      </w:r>
      <w:r w:rsidRPr="00834D52">
        <w:rPr>
          <w:rFonts w:ascii="Sylfaen" w:hAnsi="Sylfaen"/>
          <w:sz w:val="24"/>
          <w:szCs w:val="24"/>
        </w:rPr>
        <w:t xml:space="preserve"> դրա անվտանգությունը՝</w:t>
      </w:r>
    </w:p>
    <w:p w14:paraId="1B3BA1FA"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որակի համապատասխանությունը Եվրասիական տնտեսական միության դեղագրքի համապատասխան հոդվածներին (մենագրություններին) կամ դրանց բացակայության դեպքում՝ անդամ պետությունների պետական դեղագրքերի հոդվածներին (մենագրություններին) կամ հիմնական դեղագրքերին՝ Եվրասիական տնտեսական միության անդամ պետությունների դեղագրքերի ներդաշնակեցման հայեցակարգին համապատասխան.</w:t>
      </w:r>
    </w:p>
    <w:p w14:paraId="59C1B65B"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հավաքված արյան (պլազմայի) մեջ </w:t>
      </w:r>
      <w:r w:rsidR="00C54D75">
        <w:rPr>
          <w:rFonts w:ascii="Sylfaen" w:hAnsi="Sylfaen"/>
          <w:sz w:val="24"/>
          <w:szCs w:val="24"/>
        </w:rPr>
        <w:t>և</w:t>
      </w:r>
      <w:r w:rsidRPr="00834D52">
        <w:rPr>
          <w:rFonts w:ascii="Sylfaen" w:hAnsi="Sylfaen"/>
          <w:sz w:val="24"/>
          <w:szCs w:val="24"/>
        </w:rPr>
        <w:t xml:space="preserve"> դրա պուլերում վարակների </w:t>
      </w:r>
      <w:r w:rsidRPr="00834D52">
        <w:rPr>
          <w:rFonts w:ascii="Sylfaen" w:hAnsi="Sylfaen"/>
          <w:sz w:val="24"/>
          <w:szCs w:val="24"/>
        </w:rPr>
        <w:lastRenderedPageBreak/>
        <w:t xml:space="preserve">հարուցիչների առկայության վերահսկում` ներառյալ վերահսկման մեթոդների մասին տեղեկատվությունը </w:t>
      </w:r>
      <w:r w:rsidR="00C54D75">
        <w:rPr>
          <w:rFonts w:ascii="Sylfaen" w:hAnsi="Sylfaen"/>
          <w:sz w:val="24"/>
          <w:szCs w:val="24"/>
        </w:rPr>
        <w:t>և</w:t>
      </w:r>
      <w:r w:rsidRPr="00834D52">
        <w:rPr>
          <w:rFonts w:ascii="Sylfaen" w:hAnsi="Sylfaen"/>
          <w:sz w:val="24"/>
          <w:szCs w:val="24"/>
        </w:rPr>
        <w:t xml:space="preserve"> պլազմայի պուլերի դեպքում՝ կիրառված մեթոդիկաների վալիդացման տվյալները.</w:t>
      </w:r>
    </w:p>
    <w:p w14:paraId="777DA649"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արյունը </w:t>
      </w:r>
      <w:r w:rsidR="00C54D75">
        <w:rPr>
          <w:rFonts w:ascii="Sylfaen" w:hAnsi="Sylfaen"/>
          <w:sz w:val="24"/>
          <w:szCs w:val="24"/>
        </w:rPr>
        <w:t>և</w:t>
      </w:r>
      <w:r w:rsidRPr="00834D52">
        <w:rPr>
          <w:rFonts w:ascii="Sylfaen" w:hAnsi="Sylfaen"/>
          <w:sz w:val="24"/>
          <w:szCs w:val="24"/>
        </w:rPr>
        <w:t xml:space="preserve"> պլազման հավաքելու համար կոնտեյներների տեխնիկական բնութագրերը՝ ներառյալ օգտագործված հակամակարդիչների վերաբերյալ տեղեկատվությունը.</w:t>
      </w:r>
    </w:p>
    <w:p w14:paraId="2A612792"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պլազմայի պահպանման </w:t>
      </w:r>
      <w:r w:rsidR="00C54D75">
        <w:rPr>
          <w:rFonts w:ascii="Sylfaen" w:hAnsi="Sylfaen"/>
          <w:sz w:val="24"/>
          <w:szCs w:val="24"/>
        </w:rPr>
        <w:t>և</w:t>
      </w:r>
      <w:r w:rsidRPr="00834D52">
        <w:rPr>
          <w:rFonts w:ascii="Sylfaen" w:hAnsi="Sylfaen"/>
          <w:sz w:val="24"/>
          <w:szCs w:val="24"/>
        </w:rPr>
        <w:t xml:space="preserve"> փոխադրման պայմանները.</w:t>
      </w:r>
    </w:p>
    <w:p w14:paraId="6C37D8FD"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արտադրման համար օգտագործվող ցանկացած նյութի պահպանման ընթացակարգը </w:t>
      </w:r>
      <w:r w:rsidR="00C54D75">
        <w:rPr>
          <w:rFonts w:ascii="Sylfaen" w:hAnsi="Sylfaen"/>
          <w:sz w:val="24"/>
          <w:szCs w:val="24"/>
        </w:rPr>
        <w:t>և</w:t>
      </w:r>
      <w:r w:rsidRPr="00834D52">
        <w:rPr>
          <w:rFonts w:ascii="Sylfaen" w:hAnsi="Sylfaen"/>
          <w:sz w:val="24"/>
          <w:szCs w:val="24"/>
        </w:rPr>
        <w:t xml:space="preserve"> (կամ) կարանտինի ժամանակահատվածը.</w:t>
      </w:r>
    </w:p>
    <w:p w14:paraId="358C50A8"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պլազմայի պուլի բնութագիրը.</w:t>
      </w:r>
    </w:p>
    <w:p w14:paraId="62FF027D"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պլազմայից ստացված դեղապատրաստուկն արտադրողի </w:t>
      </w:r>
      <w:r w:rsidR="00C54D75">
        <w:rPr>
          <w:rFonts w:ascii="Sylfaen" w:hAnsi="Sylfaen"/>
          <w:sz w:val="24"/>
          <w:szCs w:val="24"/>
        </w:rPr>
        <w:t>և</w:t>
      </w:r>
      <w:r w:rsidRPr="00834D52">
        <w:rPr>
          <w:rFonts w:ascii="Sylfaen" w:hAnsi="Sylfaen"/>
          <w:sz w:val="24"/>
          <w:szCs w:val="24"/>
        </w:rPr>
        <w:t xml:space="preserve"> (կամ) պլազման ֆրակցիաների բաժանող </w:t>
      </w:r>
      <w:r w:rsidR="00C54D75">
        <w:rPr>
          <w:rFonts w:ascii="Sylfaen" w:hAnsi="Sylfaen"/>
          <w:sz w:val="24"/>
          <w:szCs w:val="24"/>
        </w:rPr>
        <w:t>և</w:t>
      </w:r>
      <w:r w:rsidRPr="00834D52">
        <w:rPr>
          <w:rFonts w:ascii="Sylfaen" w:hAnsi="Sylfaen"/>
          <w:sz w:val="24"/>
          <w:szCs w:val="24"/>
        </w:rPr>
        <w:t xml:space="preserve"> (կամ) վերամշակող կենտրոնի կամ հիմնարկության </w:t>
      </w:r>
      <w:r w:rsidR="00C54D75">
        <w:rPr>
          <w:rFonts w:ascii="Sylfaen" w:hAnsi="Sylfaen"/>
          <w:sz w:val="24"/>
          <w:szCs w:val="24"/>
        </w:rPr>
        <w:t>և</w:t>
      </w:r>
      <w:r w:rsidRPr="00834D52">
        <w:rPr>
          <w:rFonts w:ascii="Sylfaen" w:hAnsi="Sylfaen"/>
          <w:sz w:val="24"/>
          <w:szCs w:val="24"/>
        </w:rPr>
        <w:t xml:space="preserve"> արյան (պլազմայի) հավաքման </w:t>
      </w:r>
      <w:r w:rsidR="00C54D75">
        <w:rPr>
          <w:rFonts w:ascii="Sylfaen" w:hAnsi="Sylfaen"/>
          <w:sz w:val="24"/>
          <w:szCs w:val="24"/>
        </w:rPr>
        <w:t>և</w:t>
      </w:r>
      <w:r w:rsidRPr="00834D52">
        <w:rPr>
          <w:rFonts w:ascii="Sylfaen" w:hAnsi="Sylfaen"/>
          <w:sz w:val="24"/>
          <w:szCs w:val="24"/>
        </w:rPr>
        <w:t xml:space="preserve"> վերահսկման կենտրոնի կամ հիմնարկության միջ</w:t>
      </w:r>
      <w:r w:rsidR="00C54D75">
        <w:rPr>
          <w:rFonts w:ascii="Sylfaen" w:hAnsi="Sylfaen"/>
          <w:sz w:val="24"/>
          <w:szCs w:val="24"/>
        </w:rPr>
        <w:t>և</w:t>
      </w:r>
      <w:r w:rsidRPr="00834D52">
        <w:rPr>
          <w:rFonts w:ascii="Sylfaen" w:hAnsi="Sylfaen"/>
          <w:sz w:val="24"/>
          <w:szCs w:val="24"/>
        </w:rPr>
        <w:t xml:space="preserve"> փոխգործակցության սահմանված համակարգի, ինչպես նա</w:t>
      </w:r>
      <w:r w:rsidR="00C54D75">
        <w:rPr>
          <w:rFonts w:ascii="Sylfaen" w:hAnsi="Sylfaen"/>
          <w:sz w:val="24"/>
          <w:szCs w:val="24"/>
        </w:rPr>
        <w:t>և</w:t>
      </w:r>
      <w:r w:rsidRPr="00834D52">
        <w:rPr>
          <w:rFonts w:ascii="Sylfaen" w:hAnsi="Sylfaen"/>
          <w:sz w:val="24"/>
          <w:szCs w:val="24"/>
        </w:rPr>
        <w:t xml:space="preserve"> դրանց կողմից համաձայնեցված պլազմայի մասնագրերի նկարագրությունը:</w:t>
      </w:r>
    </w:p>
    <w:p w14:paraId="6C0F5DDC"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մաստեր-ֆայլը նա</w:t>
      </w:r>
      <w:r w:rsidR="00C54D75">
        <w:rPr>
          <w:rFonts w:ascii="Sylfaen" w:hAnsi="Sylfaen"/>
          <w:sz w:val="24"/>
          <w:szCs w:val="24"/>
        </w:rPr>
        <w:t>և</w:t>
      </w:r>
      <w:r w:rsidRPr="00834D52">
        <w:rPr>
          <w:rFonts w:ascii="Sylfaen" w:hAnsi="Sylfaen"/>
          <w:sz w:val="24"/>
          <w:szCs w:val="24"/>
        </w:rPr>
        <w:t xml:space="preserve"> պետք է պարունակի այն դեղապատրաստուկների ցանկը, որոնց վրա այն տարածվում է՝ անկախ նրանից, թե այդ դեղապատրաստուկները գրանցված են, գտնվում են գրանցման ընթացքում, թե կլինիկական հետազոտությունների փուլում:</w:t>
      </w:r>
    </w:p>
    <w:p w14:paraId="2490A2B5" w14:textId="77777777" w:rsidR="006F76EB" w:rsidRPr="00834D52" w:rsidRDefault="006F76EB" w:rsidP="000D0FC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12.1.3.</w:t>
      </w:r>
      <w:r w:rsidRPr="00834D52">
        <w:rPr>
          <w:rFonts w:ascii="Sylfaen" w:hAnsi="Sylfaen"/>
          <w:sz w:val="24"/>
          <w:szCs w:val="24"/>
        </w:rPr>
        <w:tab/>
        <w:t xml:space="preserve">Գրանցման դոսյեի փորձաքննությունը </w:t>
      </w:r>
      <w:r w:rsidR="00C54D75">
        <w:rPr>
          <w:rFonts w:ascii="Sylfaen" w:hAnsi="Sylfaen"/>
          <w:sz w:val="24"/>
          <w:szCs w:val="24"/>
        </w:rPr>
        <w:t>և</w:t>
      </w:r>
      <w:r w:rsidRPr="00834D52">
        <w:rPr>
          <w:rFonts w:ascii="Sylfaen" w:hAnsi="Sylfaen"/>
          <w:sz w:val="24"/>
          <w:szCs w:val="24"/>
        </w:rPr>
        <w:t xml:space="preserve"> եզրակացության տրամադրումը:</w:t>
      </w:r>
    </w:p>
    <w:p w14:paraId="5BBEAEE0" w14:textId="76F7648A"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Չգրանցված դեղապատրաստուկների համար </w:t>
      </w:r>
      <w:r w:rsidR="0056496B">
        <w:rPr>
          <w:rFonts w:ascii="Sylfaen" w:hAnsi="Sylfaen"/>
          <w:sz w:val="24"/>
          <w:szCs w:val="24"/>
        </w:rPr>
        <w:t>դիմումատու</w:t>
      </w:r>
      <w:r w:rsidRPr="00834D52">
        <w:rPr>
          <w:rFonts w:ascii="Sylfaen" w:hAnsi="Sylfaen"/>
          <w:sz w:val="24"/>
          <w:szCs w:val="24"/>
        </w:rPr>
        <w:t xml:space="preserve">ն պետք է անդամ պետության լիազորված մարմին ներկայացնի դեղապատրաստուկի ամբողջական գրանցման դոսյեն, որը կուղեկցվի պլազմայի առանձին մաստեր-ֆայլի հավելվածով, եթե նախկինում այն չի կազմվել </w:t>
      </w:r>
      <w:r w:rsidR="00C54D75">
        <w:rPr>
          <w:rFonts w:ascii="Sylfaen" w:hAnsi="Sylfaen"/>
          <w:sz w:val="24"/>
          <w:szCs w:val="24"/>
        </w:rPr>
        <w:t>և</w:t>
      </w:r>
      <w:r w:rsidRPr="00834D52">
        <w:rPr>
          <w:rFonts w:ascii="Sylfaen" w:hAnsi="Sylfaen"/>
          <w:sz w:val="24"/>
          <w:szCs w:val="24"/>
        </w:rPr>
        <w:t xml:space="preserve"> չի ներկայացվել նրանց կողմից:</w:t>
      </w:r>
    </w:p>
    <w:p w14:paraId="3D47BF43"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Պլազմայի մաստեր-ֆայլը ենթակա է փորձաքննության՝ դեղապատրաստուկի գրանցման դոսյեի գրանցման </w:t>
      </w:r>
      <w:r w:rsidR="00C54D75">
        <w:rPr>
          <w:rFonts w:ascii="Sylfaen" w:hAnsi="Sylfaen"/>
          <w:sz w:val="24"/>
          <w:szCs w:val="24"/>
        </w:rPr>
        <w:t>և</w:t>
      </w:r>
      <w:r w:rsidRPr="00834D52">
        <w:rPr>
          <w:rFonts w:ascii="Sylfaen" w:hAnsi="Sylfaen"/>
          <w:sz w:val="24"/>
          <w:szCs w:val="24"/>
        </w:rPr>
        <w:t xml:space="preserve"> փորձաքննության շրջանակներում: Փորձաքննության դրական արդյունքների դեպքում տրվում է մաստեր-ֆայլի՝ Միության եզրակացություն (հավաստագիր, վկայական), որը պետք է ուղեկցվի փորձագիտական հաշվետվության հավելվածով: Տրված եզրակացությունը (հավաստագիրը, վկայականը) վավեր է Միության ամբողջ տարածքում:</w:t>
      </w:r>
    </w:p>
    <w:p w14:paraId="048138CC" w14:textId="77777777" w:rsidR="006F76EB" w:rsidRPr="00834D52" w:rsidRDefault="006F76EB" w:rsidP="000D0FC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մաստեր-ֆայլը ենթակա է ամենամյա թարմացման </w:t>
      </w:r>
      <w:r w:rsidR="00C54D75">
        <w:rPr>
          <w:rFonts w:ascii="Sylfaen" w:hAnsi="Sylfaen"/>
          <w:sz w:val="24"/>
          <w:szCs w:val="24"/>
        </w:rPr>
        <w:t>և</w:t>
      </w:r>
      <w:r w:rsidRPr="00834D52">
        <w:rPr>
          <w:rFonts w:ascii="Sylfaen" w:hAnsi="Sylfaen"/>
          <w:sz w:val="24"/>
          <w:szCs w:val="24"/>
        </w:rPr>
        <w:t xml:space="preserve"> կրկնակի փորձաքննության:</w:t>
      </w:r>
    </w:p>
    <w:p w14:paraId="6C6C9A36" w14:textId="77777777" w:rsidR="006F76EB" w:rsidRPr="00834D52" w:rsidRDefault="006F76EB" w:rsidP="000D0FC9">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Պլազմայի մաստեր-ֆայլում փոփոխություններ կատարելու դեպքում այն ենթակա է փորձաքննության՝ փոփոխությունների կատարման ընթացակարգին համապատասխան:</w:t>
      </w:r>
    </w:p>
    <w:p w14:paraId="1D64FAFC" w14:textId="77777777" w:rsidR="006F76EB" w:rsidRPr="00834D52" w:rsidRDefault="006F76EB" w:rsidP="000D0FC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Միության տրված եզրակացությունը (հավաստագիրը, վկայականը) անդամ պետության լիազորված մարմնի կողմից ընդունվում է մարդու պլազմայից (արյունից) ստացված դեղապատրաստուկների գրանցման (գրանցումը հաստատելու, գրանցման դոսյեում փոփոխություններ կատարելու) ընթացակարգերն իրականացնելիս:</w:t>
      </w:r>
    </w:p>
    <w:p w14:paraId="45FD68A4" w14:textId="77777777" w:rsidR="006F76EB" w:rsidRPr="00834D52" w:rsidRDefault="006F76EB" w:rsidP="001A09F9">
      <w:pPr>
        <w:tabs>
          <w:tab w:val="left" w:pos="1134"/>
        </w:tabs>
        <w:spacing w:after="160" w:line="360" w:lineRule="auto"/>
        <w:ind w:left="567" w:right="579"/>
        <w:jc w:val="both"/>
        <w:rPr>
          <w:rFonts w:ascii="Sylfaen" w:eastAsia="Times New Roman" w:hAnsi="Sylfaen" w:cs="Times New Roman"/>
          <w:sz w:val="24"/>
          <w:szCs w:val="24"/>
        </w:rPr>
      </w:pPr>
      <w:r w:rsidRPr="001A09F9">
        <w:rPr>
          <w:rFonts w:ascii="Sylfaen" w:hAnsi="Sylfaen"/>
          <w:sz w:val="24"/>
          <w:szCs w:val="24"/>
        </w:rPr>
        <w:t>12.2.</w:t>
      </w:r>
      <w:r w:rsidR="001A09F9" w:rsidRPr="00F06D43">
        <w:rPr>
          <w:rFonts w:ascii="Sylfaen" w:hAnsi="Sylfaen"/>
          <w:sz w:val="24"/>
          <w:szCs w:val="24"/>
        </w:rPr>
        <w:tab/>
      </w:r>
      <w:r w:rsidRPr="001A09F9">
        <w:rPr>
          <w:rFonts w:ascii="Sylfaen" w:hAnsi="Sylfaen"/>
          <w:sz w:val="24"/>
          <w:szCs w:val="24"/>
        </w:rPr>
        <w:t>Պատվաստանյութեր</w:t>
      </w:r>
    </w:p>
    <w:p w14:paraId="25A44647" w14:textId="77777777" w:rsidR="006F76EB" w:rsidRPr="00834D52" w:rsidRDefault="006F76EB" w:rsidP="003844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կիրառման համար պատվաստանյութերի նկատմամբ, որպես գրանցման դոսյեի «Ակտիվ դեղագործական բաղադրամաս» 3-րդ մոդուլին ներկայացվող ընդհանուր պահանջներից բացառություն, պատվաստանյութային հակածնի մաստեր-ֆայլի համակարգի օգտագործման հիման վրա կիրառվում են հետ</w:t>
      </w:r>
      <w:r w:rsidR="00C54D75">
        <w:rPr>
          <w:rFonts w:ascii="Sylfaen" w:hAnsi="Sylfaen"/>
          <w:sz w:val="24"/>
          <w:szCs w:val="24"/>
        </w:rPr>
        <w:t>և</w:t>
      </w:r>
      <w:r w:rsidRPr="00834D52">
        <w:rPr>
          <w:rFonts w:ascii="Sylfaen" w:hAnsi="Sylfaen"/>
          <w:sz w:val="24"/>
          <w:szCs w:val="24"/>
        </w:rPr>
        <w:t>յալ պահանջները:</w:t>
      </w:r>
    </w:p>
    <w:p w14:paraId="2A28DE72" w14:textId="77777777" w:rsidR="006F76EB" w:rsidRPr="00834D52" w:rsidRDefault="006F76EB" w:rsidP="003844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Մարդու գրիպի կանխարգելման համար պատվաստանյութ չհամարվող պատվաստանյութի գրանցման դոսյեն յուրաքանչյուր այն հակածնի համար, որն այդ պատվաստանյութի ակտիվ նյութն է, պետք է ներառի պատվաստանյութային հակածնի մաստեր-ֆայլը:</w:t>
      </w:r>
    </w:p>
    <w:p w14:paraId="7CEA8E48" w14:textId="77777777" w:rsidR="006F76EB" w:rsidRPr="00834D52" w:rsidRDefault="006F76EB" w:rsidP="008B1DE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12.2.1.</w:t>
      </w:r>
      <w:r w:rsidRPr="00834D52">
        <w:rPr>
          <w:rFonts w:ascii="Sylfaen" w:hAnsi="Sylfaen"/>
          <w:sz w:val="24"/>
          <w:szCs w:val="24"/>
        </w:rPr>
        <w:tab/>
        <w:t>Ընդհանուր սկզբունքները:</w:t>
      </w:r>
    </w:p>
    <w:p w14:paraId="4D615C50" w14:textId="1C1F32E4"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Պատվաստանյութային հակածնի մաստեր-ֆայլը պատվաստանյութի գրանցման դոսյեի առանձին մաս է, որը պարունակում է տվյալ դեղապատրաստուկի մաս կազմող յուրաքանչյուր ակտիվ նյութի վերաբերյալ կենսաբանական, դեղագործական </w:t>
      </w:r>
      <w:r w:rsidR="00C54D75">
        <w:rPr>
          <w:rFonts w:ascii="Sylfaen" w:hAnsi="Sylfaen"/>
          <w:sz w:val="24"/>
          <w:szCs w:val="24"/>
        </w:rPr>
        <w:t>և</w:t>
      </w:r>
      <w:r w:rsidRPr="00834D52">
        <w:rPr>
          <w:rFonts w:ascii="Sylfaen" w:hAnsi="Sylfaen"/>
          <w:sz w:val="24"/>
          <w:szCs w:val="24"/>
        </w:rPr>
        <w:t xml:space="preserve"> քիմիական բնույթի ամբողջ նշանակալի տեղեկատվությունը: Այդ առանձին մասը կարող է ընդհանուր լինել մի</w:t>
      </w:r>
      <w:r w:rsidR="00C54D75">
        <w:rPr>
          <w:rFonts w:ascii="Sylfaen" w:hAnsi="Sylfaen"/>
          <w:sz w:val="24"/>
          <w:szCs w:val="24"/>
        </w:rPr>
        <w:t>և</w:t>
      </w:r>
      <w:r w:rsidRPr="00834D52">
        <w:rPr>
          <w:rFonts w:ascii="Sylfaen" w:hAnsi="Sylfaen"/>
          <w:sz w:val="24"/>
          <w:szCs w:val="24"/>
        </w:rPr>
        <w:t xml:space="preserve">նույն </w:t>
      </w:r>
      <w:r w:rsidR="0056496B">
        <w:rPr>
          <w:rFonts w:ascii="Sylfaen" w:hAnsi="Sylfaen"/>
          <w:sz w:val="24"/>
          <w:szCs w:val="24"/>
        </w:rPr>
        <w:t>դիմումատու</w:t>
      </w:r>
      <w:r w:rsidRPr="00834D52">
        <w:rPr>
          <w:rFonts w:ascii="Sylfaen" w:hAnsi="Sylfaen"/>
          <w:sz w:val="24"/>
          <w:szCs w:val="24"/>
        </w:rPr>
        <w:t xml:space="preserve">ի կամ գրանցման հավաստագրի իրավատիրոջ կողմից ներկայացվող մեկ կամ ավելի միավալենտ </w:t>
      </w:r>
      <w:r w:rsidR="00C54D75">
        <w:rPr>
          <w:rFonts w:ascii="Sylfaen" w:hAnsi="Sylfaen"/>
          <w:sz w:val="24"/>
          <w:szCs w:val="24"/>
        </w:rPr>
        <w:t>և</w:t>
      </w:r>
      <w:r w:rsidRPr="00834D52">
        <w:rPr>
          <w:rFonts w:ascii="Sylfaen" w:hAnsi="Sylfaen"/>
          <w:sz w:val="24"/>
          <w:szCs w:val="24"/>
        </w:rPr>
        <w:t xml:space="preserve"> (կամ) համակցված պատվաստանյութերի համար:</w:t>
      </w:r>
    </w:p>
    <w:p w14:paraId="2B1F4227"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Պատվաստանյութը կարող է պարունակել մեկ կամ մի քանի տարբեր պատվաստանյութային հակածիններ: Պատվաստանյութում ակտիվ նյութերի քանակը համապատասխանում է պատվաստանյութային հակածինների քանակին:</w:t>
      </w:r>
    </w:p>
    <w:p w14:paraId="6939AAE2"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(բազմավալենտ) պատվաստանյութը պարունակում է առնվազն 2 տարբեր պատվաստանյութային հակածիններ, որոնք նախատեսված են մեկ կամ մի քանի վարակիչ հիվանդությունների կանխարգելման համար:</w:t>
      </w:r>
    </w:p>
    <w:p w14:paraId="645D7C56"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Միավալենտ պատվաստանյութը պատվաստանյութ է, որը պարունակում է 1</w:t>
      </w:r>
      <w:r w:rsidR="00145C95" w:rsidRPr="002F1C69">
        <w:rPr>
          <w:rFonts w:ascii="Sylfaen" w:hAnsi="Sylfaen"/>
          <w:sz w:val="24"/>
          <w:szCs w:val="24"/>
        </w:rPr>
        <w:t> </w:t>
      </w:r>
      <w:r w:rsidRPr="00834D52">
        <w:rPr>
          <w:rFonts w:ascii="Sylfaen" w:hAnsi="Sylfaen"/>
          <w:sz w:val="24"/>
          <w:szCs w:val="24"/>
        </w:rPr>
        <w:t>վարակիչ հիվանդության կանխարգելման համար նախատեսված 1</w:t>
      </w:r>
      <w:r w:rsidR="00841B06" w:rsidRPr="00841B06">
        <w:rPr>
          <w:rFonts w:ascii="Sylfaen" w:hAnsi="Sylfaen"/>
          <w:sz w:val="24"/>
          <w:szCs w:val="24"/>
        </w:rPr>
        <w:t> </w:t>
      </w:r>
      <w:r w:rsidRPr="00834D52">
        <w:rPr>
          <w:rFonts w:ascii="Sylfaen" w:hAnsi="Sylfaen"/>
          <w:sz w:val="24"/>
          <w:szCs w:val="24"/>
        </w:rPr>
        <w:t>պատվաստանյութային հակածին:</w:t>
      </w:r>
    </w:p>
    <w:p w14:paraId="7177E015" w14:textId="77777777" w:rsidR="006F76EB" w:rsidRPr="00834D52" w:rsidRDefault="006F76EB" w:rsidP="00F3592B">
      <w:pPr>
        <w:tabs>
          <w:tab w:val="left" w:pos="1701"/>
        </w:tabs>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12.2.2.</w:t>
      </w:r>
      <w:r w:rsidRPr="00834D52">
        <w:rPr>
          <w:rFonts w:ascii="Sylfaen" w:hAnsi="Sylfaen"/>
          <w:sz w:val="24"/>
          <w:szCs w:val="24"/>
        </w:rPr>
        <w:tab/>
        <w:t>Գրանցման դոսյեի նյութերի բովանդակությանը ներկայացվող լրացուցիչ պահանջներ:</w:t>
      </w:r>
    </w:p>
    <w:p w14:paraId="1EDC749A" w14:textId="10184C29"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Պատվաստանյութային հակածնի մաստեր-ֆայլը պետք է պարունակի 3-րդ՝ «Որակ» մոդուլի համապատասխան մասից (Ակտիվ դեղագործական բաղադրամաս) դուրս բերված հետ</w:t>
      </w:r>
      <w:r w:rsidR="00C54D75">
        <w:rPr>
          <w:rFonts w:ascii="Sylfaen" w:hAnsi="Sylfaen"/>
          <w:sz w:val="24"/>
          <w:szCs w:val="24"/>
        </w:rPr>
        <w:t>և</w:t>
      </w:r>
      <w:r w:rsidRPr="00834D52">
        <w:rPr>
          <w:rFonts w:ascii="Sylfaen" w:hAnsi="Sylfaen"/>
          <w:sz w:val="24"/>
          <w:szCs w:val="24"/>
        </w:rPr>
        <w:t>յալ տեղեկատվությունը, ինչպես նկարագրված</w:t>
      </w:r>
      <w:r w:rsidR="00841B06" w:rsidRPr="00841B06">
        <w:rPr>
          <w:rFonts w:ascii="Sylfaen" w:hAnsi="Sylfaen"/>
          <w:sz w:val="24"/>
          <w:szCs w:val="24"/>
        </w:rPr>
        <w:t> </w:t>
      </w:r>
      <w:r w:rsidRPr="00834D52">
        <w:rPr>
          <w:rFonts w:ascii="Sylfaen" w:hAnsi="Sylfaen"/>
          <w:sz w:val="24"/>
          <w:szCs w:val="24"/>
        </w:rPr>
        <w:t>է սույն հավելվածի I մասում:</w:t>
      </w:r>
    </w:p>
    <w:p w14:paraId="0A71EBE0"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Ակտիվ նյութը</w:t>
      </w:r>
    </w:p>
    <w:p w14:paraId="4F729F21" w14:textId="77777777" w:rsidR="006F76EB" w:rsidRPr="00834D52" w:rsidRDefault="006F76EB" w:rsidP="00F3592B">
      <w:pPr>
        <w:tabs>
          <w:tab w:val="left" w:pos="1134"/>
        </w:tabs>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1.</w:t>
      </w:r>
      <w:r w:rsidRPr="00834D52">
        <w:rPr>
          <w:rFonts w:ascii="Sylfaen" w:hAnsi="Sylfaen"/>
          <w:sz w:val="24"/>
          <w:szCs w:val="24"/>
        </w:rPr>
        <w:tab/>
        <w:t xml:space="preserve">Ընդհանուր տեղեկատվությունը՝ ներառյալ Եվրասիական տնտեսական միության դեղագրքի հոդվածին (մենագրությանը) կամ այդպիսի հոդվածների (մենագրությունների) բացակայության դեպքում՝ անդամ պետությունների դեղագրքերի հոդվածներին (մենագրություններին) կամ հիմնական դեղագրքերին համապատասխանության վերաբերյալ տեղեկությունները՝ Միության անդամ </w:t>
      </w:r>
      <w:r w:rsidRPr="00834D52">
        <w:rPr>
          <w:rFonts w:ascii="Sylfaen" w:hAnsi="Sylfaen"/>
          <w:sz w:val="24"/>
          <w:szCs w:val="24"/>
        </w:rPr>
        <w:lastRenderedPageBreak/>
        <w:t>պետությունների դեղագրքերի ներդաշնակեցման հայեցակարգին համապատասխան:</w:t>
      </w:r>
    </w:p>
    <w:p w14:paraId="7B4F9C03"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Տեղեկատվություն՝ ակտիվ նյութն արտադրողի վերաբերյալ՝ արտադրական պրոցեսի, ելանյութի </w:t>
      </w:r>
      <w:r w:rsidR="00C54D75">
        <w:rPr>
          <w:rFonts w:ascii="Sylfaen" w:hAnsi="Sylfaen"/>
          <w:sz w:val="24"/>
          <w:szCs w:val="24"/>
        </w:rPr>
        <w:t>և</w:t>
      </w:r>
      <w:r w:rsidRPr="00834D52">
        <w:rPr>
          <w:rFonts w:ascii="Sylfaen" w:hAnsi="Sylfaen"/>
          <w:sz w:val="24"/>
          <w:szCs w:val="24"/>
        </w:rPr>
        <w:t xml:space="preserve"> հումքի, փոխանցվող սպունգանման էնցեֆալոպաթիայի առնչությամբ հատուկ միջոցների </w:t>
      </w:r>
      <w:r w:rsidR="00C54D75">
        <w:rPr>
          <w:rFonts w:ascii="Sylfaen" w:hAnsi="Sylfaen"/>
          <w:sz w:val="24"/>
          <w:szCs w:val="24"/>
        </w:rPr>
        <w:t>և</w:t>
      </w:r>
      <w:r w:rsidRPr="00834D52">
        <w:rPr>
          <w:rFonts w:ascii="Sylfaen" w:hAnsi="Sylfaen"/>
          <w:sz w:val="24"/>
          <w:szCs w:val="24"/>
        </w:rPr>
        <w:t xml:space="preserve"> կողմնակի վարակիչ ագենտների անվտանգության գնահատման, շենքերի </w:t>
      </w:r>
      <w:r w:rsidR="00C54D75">
        <w:rPr>
          <w:rFonts w:ascii="Sylfaen" w:hAnsi="Sylfaen"/>
          <w:sz w:val="24"/>
          <w:szCs w:val="24"/>
        </w:rPr>
        <w:t>և</w:t>
      </w:r>
      <w:r w:rsidRPr="00834D52">
        <w:rPr>
          <w:rFonts w:ascii="Sylfaen" w:hAnsi="Sylfaen"/>
          <w:sz w:val="24"/>
          <w:szCs w:val="24"/>
        </w:rPr>
        <w:t xml:space="preserve"> սարքավորումների վերաբերյալ տեղեկատվություն:</w:t>
      </w:r>
    </w:p>
    <w:p w14:paraId="382115ED"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Ակտիվ նյութի բնութագիրը:</w:t>
      </w:r>
    </w:p>
    <w:p w14:paraId="6853023B"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Ակտիվ նյութերի որակի վերահսկողությունը:</w:t>
      </w:r>
    </w:p>
    <w:p w14:paraId="5389892B"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5.</w:t>
      </w:r>
      <w:r w:rsidRPr="00834D52">
        <w:rPr>
          <w:rFonts w:ascii="Sylfaen" w:hAnsi="Sylfaen"/>
          <w:sz w:val="24"/>
          <w:szCs w:val="24"/>
        </w:rPr>
        <w:tab/>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p w14:paraId="5E601A80"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6.</w:t>
      </w:r>
      <w:r w:rsidRPr="00834D52">
        <w:rPr>
          <w:rFonts w:ascii="Sylfaen" w:hAnsi="Sylfaen"/>
          <w:sz w:val="24"/>
          <w:szCs w:val="24"/>
        </w:rPr>
        <w:tab/>
        <w:t xml:space="preserve">Ակտիվ նյութի սկզբնական փաթեթավորումը </w:t>
      </w:r>
      <w:r w:rsidR="00C54D75">
        <w:rPr>
          <w:rFonts w:ascii="Sylfaen" w:hAnsi="Sylfaen"/>
          <w:sz w:val="24"/>
          <w:szCs w:val="24"/>
        </w:rPr>
        <w:t>և</w:t>
      </w:r>
      <w:r w:rsidRPr="00834D52">
        <w:rPr>
          <w:rFonts w:ascii="Sylfaen" w:hAnsi="Sylfaen"/>
          <w:sz w:val="24"/>
          <w:szCs w:val="24"/>
        </w:rPr>
        <w:t xml:space="preserve"> խցանափակման համակարգը:</w:t>
      </w:r>
    </w:p>
    <w:p w14:paraId="27E57F36"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7.</w:t>
      </w:r>
      <w:r w:rsidRPr="00834D52">
        <w:rPr>
          <w:rFonts w:ascii="Sylfaen" w:hAnsi="Sylfaen"/>
          <w:sz w:val="24"/>
          <w:szCs w:val="24"/>
        </w:rPr>
        <w:tab/>
        <w:t>Ակտիվ նյութի կայունությունը.</w:t>
      </w:r>
    </w:p>
    <w:p w14:paraId="2A4E04DF" w14:textId="77777777" w:rsidR="006F76EB" w:rsidRPr="002F1C69"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Փորձաքննությունը </w:t>
      </w:r>
      <w:r w:rsidR="00C54D75">
        <w:rPr>
          <w:rFonts w:ascii="Sylfaen" w:hAnsi="Sylfaen"/>
          <w:sz w:val="24"/>
          <w:szCs w:val="24"/>
        </w:rPr>
        <w:t>և</w:t>
      </w:r>
      <w:r w:rsidRPr="00834D52">
        <w:rPr>
          <w:rFonts w:ascii="Sylfaen" w:hAnsi="Sylfaen"/>
          <w:sz w:val="24"/>
          <w:szCs w:val="24"/>
        </w:rPr>
        <w:t xml:space="preserve"> եզրակացության տրամադրումը:</w:t>
      </w:r>
    </w:p>
    <w:p w14:paraId="0E1DB914" w14:textId="5B1982E5" w:rsidR="006F76EB" w:rsidRPr="00834D52" w:rsidRDefault="006F76EB" w:rsidP="00F3592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Նոր պատվաստանյութերի համար, որոնք նոր պատվաստանյութային հակածին են պարունակում, </w:t>
      </w:r>
      <w:r w:rsidR="0056496B">
        <w:rPr>
          <w:rFonts w:ascii="Sylfaen" w:hAnsi="Sylfaen"/>
          <w:sz w:val="24"/>
          <w:szCs w:val="24"/>
        </w:rPr>
        <w:t>դիմումատու</w:t>
      </w:r>
      <w:r w:rsidRPr="00834D52">
        <w:rPr>
          <w:rFonts w:ascii="Sylfaen" w:hAnsi="Sylfaen"/>
          <w:sz w:val="24"/>
          <w:szCs w:val="24"/>
        </w:rPr>
        <w:t>ն պետք է լիազորված մարմին ներկայացնի ամբողջական գրանցման դոսյեն` ներառյալ նոր պատվաստանյութի մաս հանդիսացող յուրաքանչյուր պատվաստանյութային հակածնի համար պատվաստանյութային հակածնի բոլոր մաստեր-ֆայլերը, եթե պատվաստանյութային հակածնի մաստեր-ֆայլն այդ պատվաստանյութային հակածնի համար բացակայում է: Փորձաքննության դրական արդյունքների դեպքում տրվում է մաստեր-ֆայլի` Միության եզրակացություն (հավաստագիր, վկայական), որը պետք է ուղեկցվի փորձագիտական հաշվետվությամբ: Տրված եզրակացությունը (հավաստագիրը, վկայականը) վավեր է Միության ամբողջ տարածքում:</w:t>
      </w:r>
    </w:p>
    <w:p w14:paraId="2551F47B"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Նշված պահանջները նա</w:t>
      </w:r>
      <w:r w:rsidR="00C54D75">
        <w:rPr>
          <w:rFonts w:ascii="Sylfaen" w:hAnsi="Sylfaen"/>
          <w:sz w:val="24"/>
          <w:szCs w:val="24"/>
        </w:rPr>
        <w:t>և</w:t>
      </w:r>
      <w:r w:rsidRPr="00834D52">
        <w:rPr>
          <w:rFonts w:ascii="Sylfaen" w:hAnsi="Sylfaen"/>
          <w:sz w:val="24"/>
          <w:szCs w:val="24"/>
        </w:rPr>
        <w:t xml:space="preserve"> կիրառվում են յուրաքանչյուր այնպիսի պատվաստանյութի նկատմամբ, որը բաղկացած է պատվաստանյութային հակածինների նոր համակցությունից՝ անկախ նրանից, թե արդյոք այդ հակածիններից մեկը կամ մի քանիսն այն պատվաստանյութերի մաս են, որոնք արդեն իսկ գրանցված են անդամ պետությունում:</w:t>
      </w:r>
    </w:p>
    <w:p w14:paraId="541CDFB5"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Պատվաստանյութային հակածնի մաստեր-ֆայլում փոփոխություններ կատարելու դեպքում մաստեր-ֆայլը ենթակա է փորձաքննության՝ փոփոխություններ կատարելու ընթացակարգին համապատասխան:</w:t>
      </w:r>
    </w:p>
    <w:p w14:paraId="72BF1877" w14:textId="0F2E6AA2" w:rsidR="006F76EB" w:rsidRDefault="006F76EB" w:rsidP="00841B06">
      <w:pPr>
        <w:spacing w:after="160" w:line="384" w:lineRule="auto"/>
        <w:ind w:right="-6" w:firstLine="567"/>
        <w:jc w:val="both"/>
        <w:rPr>
          <w:rFonts w:ascii="Sylfaen" w:hAnsi="Sylfaen"/>
          <w:sz w:val="24"/>
          <w:szCs w:val="24"/>
        </w:rPr>
      </w:pPr>
      <w:r w:rsidRPr="00834D52">
        <w:rPr>
          <w:rFonts w:ascii="Sylfaen" w:hAnsi="Sylfaen"/>
          <w:sz w:val="24"/>
          <w:szCs w:val="24"/>
        </w:rPr>
        <w:t>Միության տրված եզրակացությունը (հավաստագիրը, վկայականը) լիազորված մարմնի կողմից ընդունվում է պատվաստանյութերի գրանցման (գրանցումը հաստատելու, գրանցման դոսյեում փոփոխություններ կատարելու) ընթացակարգերն իրականացնելիս:</w:t>
      </w:r>
    </w:p>
    <w:p w14:paraId="02BD8300" w14:textId="0398D2E5" w:rsidR="00CD23DD" w:rsidRDefault="00CD23DD" w:rsidP="00841B06">
      <w:pPr>
        <w:spacing w:after="160" w:line="384" w:lineRule="auto"/>
        <w:ind w:right="-6" w:firstLine="567"/>
        <w:jc w:val="both"/>
        <w:rPr>
          <w:rFonts w:ascii="Sylfaen" w:hAnsi="Sylfaen"/>
          <w:sz w:val="24"/>
          <w:szCs w:val="24"/>
        </w:rPr>
      </w:pPr>
      <w:r w:rsidRPr="00CD23DD">
        <w:rPr>
          <w:rFonts w:ascii="Sylfaen" w:hAnsi="Sylfaen"/>
          <w:sz w:val="24"/>
          <w:szCs w:val="24"/>
        </w:rPr>
        <w:t>12.2.3. Փորձաքննություն և եզրակացությունների տրամադրում</w:t>
      </w:r>
      <w:r>
        <w:rPr>
          <w:rFonts w:ascii="Sylfaen" w:hAnsi="Sylfaen"/>
          <w:sz w:val="24"/>
          <w:szCs w:val="24"/>
        </w:rPr>
        <w:t>:</w:t>
      </w:r>
    </w:p>
    <w:p w14:paraId="783B82F7" w14:textId="5670052B" w:rsidR="00CD23DD" w:rsidRPr="006F28F9" w:rsidRDefault="00CD23DD" w:rsidP="00CD23DD">
      <w:pPr>
        <w:rPr>
          <w:b/>
          <w:bCs/>
          <w:i/>
          <w:iCs/>
        </w:rPr>
      </w:pPr>
      <w:r w:rsidRPr="00CD4709">
        <w:rPr>
          <w:b/>
          <w:bCs/>
          <w:i/>
          <w:iCs/>
        </w:rPr>
        <w:t>(</w:t>
      </w:r>
      <w:r>
        <w:rPr>
          <w:b/>
          <w:bCs/>
          <w:i/>
          <w:iCs/>
        </w:rPr>
        <w:t xml:space="preserve"> </w:t>
      </w:r>
      <w:r w:rsidRPr="00CD23DD">
        <w:rPr>
          <w:rFonts w:ascii="Sylfaen" w:hAnsi="Sylfaen"/>
          <w:b/>
          <w:bCs/>
          <w:i/>
          <w:iCs/>
          <w:sz w:val="24"/>
          <w:szCs w:val="24"/>
        </w:rPr>
        <w:t>12.2.3</w:t>
      </w:r>
      <w:r>
        <w:rPr>
          <w:rFonts w:ascii="Sylfaen" w:hAnsi="Sylfaen"/>
          <w:b/>
          <w:bCs/>
          <w:i/>
          <w:iCs/>
          <w:sz w:val="24"/>
          <w:szCs w:val="24"/>
        </w:rPr>
        <w:t xml:space="preserve"> կետը լրաց</w:t>
      </w:r>
      <w:r w:rsidRPr="00CD23DD">
        <w:rPr>
          <w:rFonts w:ascii="Sylfaen" w:hAnsi="Sylfaen"/>
          <w:b/>
          <w:bCs/>
          <w:i/>
          <w:iCs/>
          <w:sz w:val="24"/>
          <w:szCs w:val="24"/>
        </w:rPr>
        <w:t>.  30.01.20 թիվ 9</w:t>
      </w:r>
      <w:r w:rsidRPr="00CD4709">
        <w:rPr>
          <w:b/>
          <w:bCs/>
          <w:i/>
          <w:iCs/>
        </w:rPr>
        <w:t>)</w:t>
      </w:r>
    </w:p>
    <w:p w14:paraId="18DF3F29" w14:textId="77777777" w:rsidR="00CD23DD" w:rsidRPr="002F1C69" w:rsidRDefault="00CD23DD" w:rsidP="00841B06">
      <w:pPr>
        <w:spacing w:after="160" w:line="384" w:lineRule="auto"/>
        <w:ind w:right="-6" w:firstLine="567"/>
        <w:jc w:val="both"/>
        <w:rPr>
          <w:rFonts w:ascii="Sylfaen" w:hAnsi="Sylfaen"/>
          <w:sz w:val="24"/>
          <w:szCs w:val="24"/>
        </w:rPr>
      </w:pPr>
    </w:p>
    <w:p w14:paraId="281A74C8" w14:textId="77777777" w:rsidR="006F76EB" w:rsidRPr="00834D52" w:rsidRDefault="006F76EB" w:rsidP="00841B06">
      <w:pPr>
        <w:tabs>
          <w:tab w:val="left" w:pos="1134"/>
        </w:tabs>
        <w:spacing w:after="160" w:line="384" w:lineRule="auto"/>
        <w:ind w:right="565" w:firstLine="567"/>
        <w:jc w:val="both"/>
        <w:rPr>
          <w:rFonts w:ascii="Sylfaen" w:eastAsia="Times New Roman" w:hAnsi="Sylfaen" w:cs="Times New Roman"/>
          <w:spacing w:val="-4"/>
          <w:sz w:val="24"/>
          <w:szCs w:val="24"/>
        </w:rPr>
      </w:pPr>
      <w:r w:rsidRPr="00834D52">
        <w:rPr>
          <w:rFonts w:ascii="Sylfaen" w:hAnsi="Sylfaen"/>
          <w:spacing w:val="-4"/>
          <w:sz w:val="24"/>
          <w:szCs w:val="24"/>
        </w:rPr>
        <w:t>12.3.</w:t>
      </w:r>
      <w:r w:rsidR="007643CC" w:rsidRPr="002978B0">
        <w:rPr>
          <w:rFonts w:ascii="Sylfaen" w:hAnsi="Sylfaen"/>
          <w:spacing w:val="-4"/>
          <w:sz w:val="24"/>
          <w:szCs w:val="24"/>
        </w:rPr>
        <w:tab/>
      </w:r>
      <w:r w:rsidRPr="00834D52">
        <w:rPr>
          <w:rFonts w:ascii="Sylfaen" w:hAnsi="Sylfaen"/>
          <w:spacing w:val="-4"/>
          <w:sz w:val="24"/>
          <w:szCs w:val="24"/>
        </w:rPr>
        <w:t>Պարզեցված գրանցման դոսյե՝ լավ ուսումնասիրված բժշկական կիրառման պատվաստանյութերի համար, որոնց արտադրությունն անդամ պետությունների տարածքներում իրականացվել է մինչ</w:t>
      </w:r>
      <w:r w:rsidR="00C54D75">
        <w:rPr>
          <w:rFonts w:ascii="Sylfaen" w:hAnsi="Sylfaen"/>
          <w:spacing w:val="-4"/>
          <w:sz w:val="24"/>
          <w:szCs w:val="24"/>
        </w:rPr>
        <w:t>և</w:t>
      </w:r>
      <w:r w:rsidRPr="00834D52">
        <w:rPr>
          <w:rFonts w:ascii="Sylfaen" w:hAnsi="Sylfaen"/>
          <w:spacing w:val="-4"/>
          <w:sz w:val="24"/>
          <w:szCs w:val="24"/>
        </w:rPr>
        <w:t xml:space="preserve"> 2000 թվականը</w:t>
      </w:r>
    </w:p>
    <w:p w14:paraId="19FEF7B2"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Հաստատված արդյունավետությամբ </w:t>
      </w:r>
      <w:r w:rsidR="00C54D75">
        <w:rPr>
          <w:rFonts w:ascii="Sylfaen" w:hAnsi="Sylfaen"/>
          <w:sz w:val="24"/>
          <w:szCs w:val="24"/>
        </w:rPr>
        <w:t>և</w:t>
      </w:r>
      <w:r w:rsidRPr="00834D52">
        <w:rPr>
          <w:rFonts w:ascii="Sylfaen" w:hAnsi="Sylfaen"/>
          <w:sz w:val="24"/>
          <w:szCs w:val="24"/>
        </w:rPr>
        <w:t xml:space="preserve"> անվտանգության ընդունելի մակարդակով այն պատվաստանյութերի համար, որոնց պատվաստանյութային հակածինը լավ ուսումնասիրված է բժշկական կիրառման մեջ, </w:t>
      </w:r>
      <w:r w:rsidR="00C54D75">
        <w:rPr>
          <w:rFonts w:ascii="Sylfaen" w:hAnsi="Sylfaen"/>
          <w:sz w:val="24"/>
          <w:szCs w:val="24"/>
        </w:rPr>
        <w:t>և</w:t>
      </w:r>
      <w:r w:rsidRPr="00834D52">
        <w:rPr>
          <w:rFonts w:ascii="Sylfaen" w:hAnsi="Sylfaen"/>
          <w:sz w:val="24"/>
          <w:szCs w:val="24"/>
        </w:rPr>
        <w:t xml:space="preserve"> որոնց արտադրությունն անդամ պետությունների տարածքներում իրականացվել է մինչ</w:t>
      </w:r>
      <w:r w:rsidR="00C54D75">
        <w:rPr>
          <w:rFonts w:ascii="Sylfaen" w:hAnsi="Sylfaen"/>
          <w:sz w:val="24"/>
          <w:szCs w:val="24"/>
        </w:rPr>
        <w:t>և</w:t>
      </w:r>
      <w:r w:rsidRPr="00834D52">
        <w:rPr>
          <w:rFonts w:ascii="Sylfaen" w:hAnsi="Sylfaen"/>
          <w:sz w:val="24"/>
          <w:szCs w:val="24"/>
        </w:rPr>
        <w:t xml:space="preserve"> 2000 թվականը, կիրառվում են հետ</w:t>
      </w:r>
      <w:r w:rsidR="00C54D75">
        <w:rPr>
          <w:rFonts w:ascii="Sylfaen" w:hAnsi="Sylfaen"/>
          <w:sz w:val="24"/>
          <w:szCs w:val="24"/>
        </w:rPr>
        <w:t>և</w:t>
      </w:r>
      <w:r w:rsidRPr="00834D52">
        <w:rPr>
          <w:rFonts w:ascii="Sylfaen" w:hAnsi="Sylfaen"/>
          <w:sz w:val="24"/>
          <w:szCs w:val="24"/>
        </w:rPr>
        <w:t>յալ կանոնները:</w:t>
      </w:r>
    </w:p>
    <w:p w14:paraId="657135BD" w14:textId="560C7025" w:rsidR="006F76EB" w:rsidRPr="00834D52" w:rsidRDefault="0056496B" w:rsidP="00841B06">
      <w:pPr>
        <w:spacing w:after="160" w:line="384"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 պետք է գրանցման դոսյեի 3-րդ մոդուլը ձ</w:t>
      </w:r>
      <w:r w:rsidR="00C54D75">
        <w:rPr>
          <w:rFonts w:ascii="Sylfaen" w:hAnsi="Sylfaen"/>
          <w:sz w:val="24"/>
          <w:szCs w:val="24"/>
        </w:rPr>
        <w:t>և</w:t>
      </w:r>
      <w:r w:rsidR="006F76EB" w:rsidRPr="00834D52">
        <w:rPr>
          <w:rFonts w:ascii="Sylfaen" w:hAnsi="Sylfaen"/>
          <w:sz w:val="24"/>
          <w:szCs w:val="24"/>
        </w:rPr>
        <w:t xml:space="preserve">ակերպի սույն հավելվածի I մասի </w:t>
      </w:r>
      <w:r w:rsidR="00C54D75">
        <w:rPr>
          <w:rFonts w:ascii="Sylfaen" w:hAnsi="Sylfaen"/>
          <w:sz w:val="24"/>
          <w:szCs w:val="24"/>
        </w:rPr>
        <w:t>և</w:t>
      </w:r>
      <w:r w:rsidR="006F76EB" w:rsidRPr="00834D52">
        <w:rPr>
          <w:rFonts w:ascii="Sylfaen" w:hAnsi="Sylfaen"/>
          <w:sz w:val="24"/>
          <w:szCs w:val="24"/>
        </w:rPr>
        <w:t xml:space="preserve"> II մասի 12.2 բաժնի դրույթներին համապատասխան:</w:t>
      </w:r>
    </w:p>
    <w:p w14:paraId="432777D7"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Գրանցման դոսյեի 4-րդ </w:t>
      </w:r>
      <w:r w:rsidR="00C54D75">
        <w:rPr>
          <w:rFonts w:ascii="Sylfaen" w:hAnsi="Sylfaen"/>
          <w:sz w:val="24"/>
          <w:szCs w:val="24"/>
        </w:rPr>
        <w:t>և</w:t>
      </w:r>
      <w:r w:rsidRPr="00834D52">
        <w:rPr>
          <w:rFonts w:ascii="Sylfaen" w:hAnsi="Sylfaen"/>
          <w:sz w:val="24"/>
          <w:szCs w:val="24"/>
        </w:rPr>
        <w:t xml:space="preserve"> 5-րդ մոդուլներում նախակլինիկական </w:t>
      </w:r>
      <w:r w:rsidR="00C54D75">
        <w:rPr>
          <w:rFonts w:ascii="Sylfaen" w:hAnsi="Sylfaen"/>
          <w:sz w:val="24"/>
          <w:szCs w:val="24"/>
        </w:rPr>
        <w:t>և</w:t>
      </w:r>
      <w:r w:rsidRPr="00834D52">
        <w:rPr>
          <w:rFonts w:ascii="Sylfaen" w:hAnsi="Sylfaen"/>
          <w:sz w:val="24"/>
          <w:szCs w:val="24"/>
        </w:rPr>
        <w:t xml:space="preserve"> կլինիկական ուսումնասիրության վերաբերյալ հաշվետվությունների փոխարեն ներկայացվում է գիտական ամփոփիչ մատենագիտություն, որի մեջ անհրաժեշտ է նշել պատվաստանյութի նախակլինիկական </w:t>
      </w:r>
      <w:r w:rsidR="00C54D75">
        <w:rPr>
          <w:rFonts w:ascii="Sylfaen" w:hAnsi="Sylfaen"/>
          <w:sz w:val="24"/>
          <w:szCs w:val="24"/>
        </w:rPr>
        <w:t>և</w:t>
      </w:r>
      <w:r w:rsidRPr="00834D52">
        <w:rPr>
          <w:rFonts w:ascii="Sylfaen" w:hAnsi="Sylfaen"/>
          <w:sz w:val="24"/>
          <w:szCs w:val="24"/>
        </w:rPr>
        <w:t xml:space="preserve"> կլինիկական բնութագրերը:</w:t>
      </w:r>
    </w:p>
    <w:p w14:paraId="5C2D4753" w14:textId="77777777" w:rsidR="006F76EB" w:rsidRPr="00834D52" w:rsidRDefault="006F76EB" w:rsidP="00841B06">
      <w:pPr>
        <w:spacing w:after="160" w:line="384" w:lineRule="auto"/>
        <w:ind w:right="-8"/>
        <w:jc w:val="center"/>
        <w:rPr>
          <w:rFonts w:ascii="Sylfaen" w:hAnsi="Sylfaen"/>
          <w:sz w:val="24"/>
          <w:szCs w:val="24"/>
        </w:rPr>
      </w:pPr>
    </w:p>
    <w:p w14:paraId="50161B49" w14:textId="77777777" w:rsidR="006F76EB" w:rsidRPr="00834D52" w:rsidRDefault="006F76EB" w:rsidP="00DE1FF5">
      <w:pPr>
        <w:spacing w:after="160" w:line="384"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13. Ռադիոդեղագործական </w:t>
      </w:r>
      <w:r w:rsidR="000B6A2F" w:rsidRPr="007F5A60">
        <w:rPr>
          <w:rFonts w:ascii="Sylfaen" w:hAnsi="Sylfaen"/>
          <w:sz w:val="24"/>
          <w:szCs w:val="24"/>
        </w:rPr>
        <w:br/>
      </w:r>
      <w:r w:rsidRPr="00834D52">
        <w:rPr>
          <w:rFonts w:ascii="Sylfaen" w:hAnsi="Sylfaen"/>
          <w:sz w:val="24"/>
          <w:szCs w:val="24"/>
        </w:rPr>
        <w:t xml:space="preserve">պատրաստուկներ </w:t>
      </w:r>
      <w:r w:rsidR="00C54D75">
        <w:rPr>
          <w:rFonts w:ascii="Sylfaen" w:hAnsi="Sylfaen"/>
          <w:sz w:val="24"/>
          <w:szCs w:val="24"/>
        </w:rPr>
        <w:t>և</w:t>
      </w:r>
      <w:r w:rsidRPr="00834D52">
        <w:rPr>
          <w:rFonts w:ascii="Sylfaen" w:hAnsi="Sylfaen"/>
          <w:sz w:val="24"/>
          <w:szCs w:val="24"/>
        </w:rPr>
        <w:t xml:space="preserve"> պրեկուրսորներ</w:t>
      </w:r>
    </w:p>
    <w:p w14:paraId="7B219B14" w14:textId="77777777" w:rsidR="006F76EB" w:rsidRPr="00834D52" w:rsidRDefault="006F76EB" w:rsidP="00DE1FF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պատրաստուկների </w:t>
      </w:r>
      <w:r w:rsidR="00C54D75">
        <w:rPr>
          <w:rFonts w:ascii="Sylfaen" w:hAnsi="Sylfaen"/>
          <w:sz w:val="24"/>
          <w:szCs w:val="24"/>
        </w:rPr>
        <w:t>և</w:t>
      </w:r>
      <w:r w:rsidRPr="00834D52">
        <w:rPr>
          <w:rFonts w:ascii="Sylfaen" w:hAnsi="Sylfaen"/>
          <w:sz w:val="24"/>
          <w:szCs w:val="24"/>
        </w:rPr>
        <w:t xml:space="preserve"> դրանց պրեկուրսորների համար գրանցման դոսյեն ներկայացվում է սույն բաժնի պահանջներին համապատասխան:</w:t>
      </w:r>
    </w:p>
    <w:p w14:paraId="53474D1E" w14:textId="77777777" w:rsidR="006F76EB" w:rsidRPr="00834D52" w:rsidRDefault="006F76EB" w:rsidP="00DE1FF5">
      <w:pPr>
        <w:tabs>
          <w:tab w:val="left" w:pos="1134"/>
        </w:tabs>
        <w:spacing w:after="160" w:line="384" w:lineRule="auto"/>
        <w:ind w:right="565" w:firstLine="567"/>
        <w:jc w:val="both"/>
        <w:rPr>
          <w:rFonts w:ascii="Sylfaen" w:eastAsia="Times New Roman" w:hAnsi="Sylfaen" w:cs="Times New Roman"/>
          <w:sz w:val="24"/>
          <w:szCs w:val="24"/>
        </w:rPr>
      </w:pPr>
      <w:r w:rsidRPr="00834D52">
        <w:rPr>
          <w:rFonts w:ascii="Sylfaen" w:hAnsi="Sylfaen"/>
          <w:sz w:val="24"/>
          <w:szCs w:val="24"/>
        </w:rPr>
        <w:t>13.1.</w:t>
      </w:r>
      <w:r w:rsidR="00213DEA" w:rsidRPr="002978B0">
        <w:rPr>
          <w:rFonts w:ascii="Sylfaen" w:hAnsi="Sylfaen"/>
          <w:sz w:val="24"/>
          <w:szCs w:val="24"/>
        </w:rPr>
        <w:tab/>
      </w:r>
      <w:r w:rsidRPr="00834D52">
        <w:rPr>
          <w:rFonts w:ascii="Sylfaen" w:hAnsi="Sylfaen"/>
          <w:sz w:val="24"/>
          <w:szCs w:val="24"/>
        </w:rPr>
        <w:t>Ռադիոդեղագործական պատրաստուկներ</w:t>
      </w:r>
    </w:p>
    <w:p w14:paraId="716665AA" w14:textId="77777777" w:rsidR="006F76EB" w:rsidRPr="00834D52" w:rsidRDefault="006F76EB" w:rsidP="00DE1FF5">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13.1.1.</w:t>
      </w:r>
      <w:r w:rsidRPr="00834D52">
        <w:rPr>
          <w:rFonts w:ascii="Sylfaen" w:hAnsi="Sylfaen"/>
          <w:sz w:val="24"/>
          <w:szCs w:val="24"/>
        </w:rPr>
        <w:tab/>
        <w:t>Մոդուլ 3.</w:t>
      </w:r>
    </w:p>
    <w:p w14:paraId="00572EEF" w14:textId="77777777" w:rsidR="006F76EB" w:rsidRPr="00834D52" w:rsidRDefault="006F76EB" w:rsidP="00DE1FF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հավաքակազմում, որի մեջ արտադրողի կողմից մատակարարումից հետո ավելացվում է ռադիոակտիվ նիշ, «ակտիվ նյութ» նշանակում է ռադիոնուկլիդի փոխանցման կամ կապման համար նախատեսված՝ հավաքակազմի մաս: Ռադիոդեղագործական հավաքակազմի արտադրության մեթոդի նկարագրությունը պետք է ներառի հավաքակազմի արտադրության վերաբերյալ մանրամասն տվյալներ </w:t>
      </w:r>
      <w:r w:rsidR="00C54D75">
        <w:rPr>
          <w:rFonts w:ascii="Sylfaen" w:hAnsi="Sylfaen"/>
          <w:sz w:val="24"/>
          <w:szCs w:val="24"/>
        </w:rPr>
        <w:t>և</w:t>
      </w:r>
      <w:r w:rsidRPr="00834D52">
        <w:rPr>
          <w:rFonts w:ascii="Sylfaen" w:hAnsi="Sylfaen"/>
          <w:sz w:val="24"/>
          <w:szCs w:val="24"/>
        </w:rPr>
        <w:t xml:space="preserve"> ռադիոակտիվ դեղապատրաստուկի արտադրության համար առաջարկվող վերջնական մշակման տվյալներ: Ռադիոնուկլիդի պահանջվող մասնագրերը պետք է նկարագրվեն Եվրասիական տնտեսական միության դեղագրքի ընդհանուր կամ մասնավոր հոդվածներին (մենագրություններին) համապատասխան (հոդվածի (մենագրության) առկայության դեպքում) կամ այդպիսի հոդվածների (մենագրությունների) բացակայության դեպքում` անդամ պետությունների դեղագրքերի կամ Միության անդամ պետությունների դեղագրքերի ներդաշնակեցման հայեցակարգին համապատասխան հիմնական դեղագրքերի հոդվածներին (մենագրություններին) համապատասխան:</w:t>
      </w:r>
    </w:p>
    <w:p w14:paraId="2BB04A30" w14:textId="77777777" w:rsidR="006F76EB" w:rsidRPr="00834D52" w:rsidRDefault="006F76EB" w:rsidP="00DE1FF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Հարկավոր է նկարագրել բոլոր միացությունները, որոնք անհրաժեշտ են ռադիոակտիվ նիշավորման համար, ինչպես նա</w:t>
      </w:r>
      <w:r w:rsidR="00C54D75">
        <w:rPr>
          <w:rFonts w:ascii="Sylfaen" w:hAnsi="Sylfaen"/>
          <w:sz w:val="24"/>
          <w:szCs w:val="24"/>
        </w:rPr>
        <w:t>և</w:t>
      </w:r>
      <w:r w:rsidRPr="00834D52">
        <w:rPr>
          <w:rFonts w:ascii="Sylfaen" w:hAnsi="Sylfaen"/>
          <w:sz w:val="24"/>
          <w:szCs w:val="24"/>
        </w:rPr>
        <w:t xml:space="preserve"> ռադիոակտիվ նիշով միացությունների կառուցվածքները:</w:t>
      </w:r>
    </w:p>
    <w:p w14:paraId="251AD23B" w14:textId="77777777" w:rsidR="006F76EB" w:rsidRPr="00834D52" w:rsidRDefault="006F76EB" w:rsidP="00DE1FF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վերլուծել ռադիոնուկլիդների միջուկային ռեակցիաները:</w:t>
      </w:r>
    </w:p>
    <w:p w14:paraId="10FFEB8A"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Գեներատորի մայր </w:t>
      </w:r>
      <w:r w:rsidR="00C54D75">
        <w:rPr>
          <w:rFonts w:ascii="Sylfaen" w:hAnsi="Sylfaen"/>
          <w:sz w:val="24"/>
          <w:szCs w:val="24"/>
        </w:rPr>
        <w:t>և</w:t>
      </w:r>
      <w:r w:rsidRPr="00834D52">
        <w:rPr>
          <w:rFonts w:ascii="Sylfaen" w:hAnsi="Sylfaen"/>
          <w:sz w:val="24"/>
          <w:szCs w:val="24"/>
        </w:rPr>
        <w:t xml:space="preserve"> դուստր ռադիոնուկլիդները համարվում են ակտիվ նյութեր:</w:t>
      </w:r>
    </w:p>
    <w:p w14:paraId="44FBD943"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ռադիոնուկլիդի բնույթի, իզոտոպի իսկության, հնարավոր խառնուկների, կրիչի, կիրառման </w:t>
      </w:r>
      <w:r w:rsidR="00C54D75">
        <w:rPr>
          <w:rFonts w:ascii="Sylfaen" w:hAnsi="Sylfaen"/>
          <w:sz w:val="24"/>
          <w:szCs w:val="24"/>
        </w:rPr>
        <w:t>և</w:t>
      </w:r>
      <w:r w:rsidRPr="00834D52">
        <w:rPr>
          <w:rFonts w:ascii="Sylfaen" w:hAnsi="Sylfaen"/>
          <w:sz w:val="24"/>
          <w:szCs w:val="24"/>
        </w:rPr>
        <w:t xml:space="preserve"> սպեցիֆիկ ակտիվության վերաբերյալ տեղեկություններ:</w:t>
      </w:r>
    </w:p>
    <w:p w14:paraId="0CCAA7CD"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Ելակետային նյութերը ներառում են ճառագայթման համար նպատակային նյութեր:</w:t>
      </w:r>
    </w:p>
    <w:p w14:paraId="55940963"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դիտարկել քիմիական (ռադիոքիմիական) մաքրությունը </w:t>
      </w:r>
      <w:r w:rsidR="00C54D75">
        <w:rPr>
          <w:rFonts w:ascii="Sylfaen" w:hAnsi="Sylfaen"/>
          <w:sz w:val="24"/>
          <w:szCs w:val="24"/>
        </w:rPr>
        <w:t>և</w:t>
      </w:r>
      <w:r w:rsidRPr="00834D52">
        <w:rPr>
          <w:rFonts w:ascii="Sylfaen" w:hAnsi="Sylfaen"/>
          <w:sz w:val="24"/>
          <w:szCs w:val="24"/>
        </w:rPr>
        <w:t xml:space="preserve"> դրա կապը կենսաբաշխման հետ:</w:t>
      </w:r>
    </w:p>
    <w:p w14:paraId="2B38F15C"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ռադիոնուկլիդային մաքրությունը, ռադիոքիմիական մաքրությունը </w:t>
      </w:r>
      <w:r w:rsidR="00C54D75">
        <w:rPr>
          <w:rFonts w:ascii="Sylfaen" w:hAnsi="Sylfaen"/>
          <w:sz w:val="24"/>
          <w:szCs w:val="24"/>
        </w:rPr>
        <w:t>և</w:t>
      </w:r>
      <w:r w:rsidRPr="00834D52">
        <w:rPr>
          <w:rFonts w:ascii="Sylfaen" w:hAnsi="Sylfaen"/>
          <w:sz w:val="24"/>
          <w:szCs w:val="24"/>
        </w:rPr>
        <w:t xml:space="preserve"> սպեցիֆիկ ակտիվությունը:</w:t>
      </w:r>
    </w:p>
    <w:p w14:paraId="42901A75"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Գեներատորների համար պահանջվում են մայր </w:t>
      </w:r>
      <w:r w:rsidR="00C54D75">
        <w:rPr>
          <w:rFonts w:ascii="Sylfaen" w:hAnsi="Sylfaen"/>
          <w:sz w:val="24"/>
          <w:szCs w:val="24"/>
        </w:rPr>
        <w:t>և</w:t>
      </w:r>
      <w:r w:rsidRPr="00834D52">
        <w:rPr>
          <w:rFonts w:ascii="Sylfaen" w:hAnsi="Sylfaen"/>
          <w:sz w:val="24"/>
          <w:szCs w:val="24"/>
        </w:rPr>
        <w:t xml:space="preserve"> դուստր ռադիոնուկլիդների փորձարկումների մանրամասն տվյալներ: </w:t>
      </w:r>
      <w:r w:rsidRPr="00834D52">
        <w:rPr>
          <w:rFonts w:ascii="Sylfaen" w:hAnsi="Sylfaen"/>
          <w:sz w:val="24"/>
          <w:szCs w:val="24"/>
        </w:rPr>
        <w:br/>
        <w:t xml:space="preserve">Գեներատոր-էլյուատների համար անհրաժեշտ է ներկայացնել մայր ռադիոնուկլիդների </w:t>
      </w:r>
      <w:r w:rsidR="00C54D75">
        <w:rPr>
          <w:rFonts w:ascii="Sylfaen" w:hAnsi="Sylfaen"/>
          <w:sz w:val="24"/>
          <w:szCs w:val="24"/>
        </w:rPr>
        <w:t>և</w:t>
      </w:r>
      <w:r w:rsidRPr="00834D52">
        <w:rPr>
          <w:rFonts w:ascii="Sylfaen" w:hAnsi="Sylfaen"/>
          <w:sz w:val="24"/>
          <w:szCs w:val="24"/>
        </w:rPr>
        <w:t xml:space="preserve"> գեներատորի համակարգի այլ բաղադրիչների փորձարկումների արդյունքները:</w:t>
      </w:r>
    </w:p>
    <w:p w14:paraId="2D53D1A6" w14:textId="350BB9CB"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նյութերի պարունակությունը պետք է </w:t>
      </w:r>
      <w:r w:rsidR="0085119E">
        <w:rPr>
          <w:rFonts w:ascii="Sylfaen" w:hAnsi="Sylfaen"/>
          <w:sz w:val="24"/>
          <w:szCs w:val="24"/>
        </w:rPr>
        <w:t>արտահայտվ</w:t>
      </w:r>
      <w:r w:rsidRPr="00834D52">
        <w:rPr>
          <w:rFonts w:ascii="Sylfaen" w:hAnsi="Sylfaen"/>
          <w:sz w:val="24"/>
          <w:szCs w:val="24"/>
        </w:rPr>
        <w:t xml:space="preserve">ի մոլեկուլի ակտիվ մասի զանգվածի հիման վրա միայն ռադիոդեղագործական հավաքակազմերի մասով: Ռադիոնուկլիդների համար ռադիոակտիվությունն անհրաժեշտ է </w:t>
      </w:r>
      <w:r w:rsidR="005F6A31">
        <w:rPr>
          <w:rFonts w:ascii="Sylfaen" w:hAnsi="Sylfaen"/>
          <w:sz w:val="24"/>
          <w:szCs w:val="24"/>
        </w:rPr>
        <w:t>արտահայտե</w:t>
      </w:r>
      <w:r w:rsidRPr="00834D52">
        <w:rPr>
          <w:rFonts w:ascii="Sylfaen" w:hAnsi="Sylfaen"/>
          <w:sz w:val="24"/>
          <w:szCs w:val="24"/>
        </w:rPr>
        <w:t xml:space="preserve">լ բեքերելով` նշելով ամսաթիվը </w:t>
      </w:r>
      <w:r w:rsidR="00C54D75">
        <w:rPr>
          <w:rFonts w:ascii="Sylfaen" w:hAnsi="Sylfaen"/>
          <w:sz w:val="24"/>
          <w:szCs w:val="24"/>
        </w:rPr>
        <w:t>և</w:t>
      </w:r>
      <w:r w:rsidRPr="00834D52">
        <w:rPr>
          <w:rFonts w:ascii="Sylfaen" w:hAnsi="Sylfaen"/>
          <w:sz w:val="24"/>
          <w:szCs w:val="24"/>
        </w:rPr>
        <w:t xml:space="preserve"> անհրաժեշտության դեպքում՝ ժամանակը </w:t>
      </w:r>
      <w:r w:rsidR="00C54D75">
        <w:rPr>
          <w:rFonts w:ascii="Sylfaen" w:hAnsi="Sylfaen"/>
          <w:sz w:val="24"/>
          <w:szCs w:val="24"/>
        </w:rPr>
        <w:t>և</w:t>
      </w:r>
      <w:r w:rsidRPr="00834D52">
        <w:rPr>
          <w:rFonts w:ascii="Sylfaen" w:hAnsi="Sylfaen"/>
          <w:sz w:val="24"/>
          <w:szCs w:val="24"/>
        </w:rPr>
        <w:t xml:space="preserve"> ժամային գոտին: Անհրաժեշտ է նշել ռադիոակտիվության տիպը:</w:t>
      </w:r>
    </w:p>
    <w:p w14:paraId="039E8A4D"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Ռադիոդեղագործական հավաքակազմ հանդիսացող դեղապատրաստուկի մասնագրերը պետք է ներառեն ռադիոակտիվ նիշավորումից հետո պատրաստուկի հատկությունների փորձարկումների արդյունքները: Անհրաժեշտ է ներառել ռադիոակտիվ նիշով միացության ռադիոքիմիական </w:t>
      </w:r>
      <w:r w:rsidR="00C54D75">
        <w:rPr>
          <w:rFonts w:ascii="Sylfaen" w:hAnsi="Sylfaen"/>
          <w:sz w:val="24"/>
          <w:szCs w:val="24"/>
        </w:rPr>
        <w:t>և</w:t>
      </w:r>
      <w:r w:rsidRPr="00834D52">
        <w:rPr>
          <w:rFonts w:ascii="Sylfaen" w:hAnsi="Sylfaen"/>
          <w:sz w:val="24"/>
          <w:szCs w:val="24"/>
        </w:rPr>
        <w:t xml:space="preserve"> ռադիոնուկլիդային մաքրության համապատասխան հսկողությունը: Ռադիոակտիվ նիշավորման համար անհրաժեշտ ցանկացած նյութ ենթակա է իսկության սահմանման </w:t>
      </w:r>
      <w:r w:rsidR="00C54D75">
        <w:rPr>
          <w:rFonts w:ascii="Sylfaen" w:hAnsi="Sylfaen"/>
          <w:sz w:val="24"/>
          <w:szCs w:val="24"/>
        </w:rPr>
        <w:t>և</w:t>
      </w:r>
      <w:r w:rsidRPr="00834D52">
        <w:rPr>
          <w:rFonts w:ascii="Sylfaen" w:hAnsi="Sylfaen"/>
          <w:sz w:val="24"/>
          <w:szCs w:val="24"/>
        </w:rPr>
        <w:t xml:space="preserve"> քանակական որոշման:</w:t>
      </w:r>
    </w:p>
    <w:p w14:paraId="742C59E7"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Իզոտոպային գեներատորների, իզոտոպային հավաքակազմերի </w:t>
      </w:r>
      <w:r w:rsidR="00C54D75">
        <w:rPr>
          <w:rFonts w:ascii="Sylfaen" w:hAnsi="Sylfaen"/>
          <w:sz w:val="24"/>
          <w:szCs w:val="24"/>
        </w:rPr>
        <w:t>և</w:t>
      </w:r>
      <w:r w:rsidRPr="00834D52">
        <w:rPr>
          <w:rFonts w:ascii="Sylfaen" w:hAnsi="Sylfaen"/>
          <w:sz w:val="24"/>
          <w:szCs w:val="24"/>
        </w:rPr>
        <w:t xml:space="preserve"> ռադիոակտիվ նիշով դեղապատրաստուկների համար անհրաժեշտ է ներկայացնել կայունության մասին տեղեկատվություն: Բազմակի օգտագործման համար կոնտեյներներում ռադիոդեղագործական դեղապատրաստուկների օգտագործման դեպքում անհրաժեշտ է նշել կայունությունը:</w:t>
      </w:r>
    </w:p>
    <w:p w14:paraId="6481DA04"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13.1.2.</w:t>
      </w:r>
      <w:r w:rsidRPr="00834D52">
        <w:rPr>
          <w:rFonts w:ascii="Sylfaen" w:hAnsi="Sylfaen"/>
          <w:sz w:val="24"/>
          <w:szCs w:val="24"/>
        </w:rPr>
        <w:tab/>
        <w:t>Մոդուլ 4.</w:t>
      </w:r>
    </w:p>
    <w:p w14:paraId="6495C941"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Թունավորությունը կարող է կապված լինել ճառագայթման դոզայի հետ: Ախտորոշաբանության մեջ թունավորությունը ռադիոդեղագործական դեղապատրաստուկների կիրառման անցանկալի հետ</w:t>
      </w:r>
      <w:r w:rsidR="00C54D75">
        <w:rPr>
          <w:rFonts w:ascii="Sylfaen" w:hAnsi="Sylfaen"/>
          <w:sz w:val="24"/>
          <w:szCs w:val="24"/>
        </w:rPr>
        <w:t>և</w:t>
      </w:r>
      <w:r w:rsidRPr="00834D52">
        <w:rPr>
          <w:rFonts w:ascii="Sylfaen" w:hAnsi="Sylfaen"/>
          <w:sz w:val="24"/>
          <w:szCs w:val="24"/>
        </w:rPr>
        <w:t>անք է. թերապիայում այն ցանկալի հատկություն է, հետ</w:t>
      </w:r>
      <w:r w:rsidR="00C54D75">
        <w:rPr>
          <w:rFonts w:ascii="Sylfaen" w:hAnsi="Sylfaen"/>
          <w:sz w:val="24"/>
          <w:szCs w:val="24"/>
        </w:rPr>
        <w:t>և</w:t>
      </w:r>
      <w:r w:rsidRPr="00834D52">
        <w:rPr>
          <w:rFonts w:ascii="Sylfaen" w:hAnsi="Sylfaen"/>
          <w:sz w:val="24"/>
          <w:szCs w:val="24"/>
        </w:rPr>
        <w:t xml:space="preserve">աբար ռադիոդեղագործական պատրաստուկների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գնահատելիս անհրաժեշտ է նշել դեղապատրաստուկներին ներկայացվող պահանջները </w:t>
      </w:r>
      <w:r w:rsidR="00C54D75">
        <w:rPr>
          <w:rFonts w:ascii="Sylfaen" w:hAnsi="Sylfaen"/>
          <w:sz w:val="24"/>
          <w:szCs w:val="24"/>
        </w:rPr>
        <w:t>և</w:t>
      </w:r>
      <w:r w:rsidRPr="00834D52">
        <w:rPr>
          <w:rFonts w:ascii="Sylfaen" w:hAnsi="Sylfaen"/>
          <w:sz w:val="24"/>
          <w:szCs w:val="24"/>
        </w:rPr>
        <w:t xml:space="preserve"> ճառագայթային դոզաչափման ասպեկտները: Անհրաժեշտ է փաստաթղթավորել ճառագայթման ազդեցությունը մարդու օրգանի (հյուսվածքի) վրա: Ճառագայթման կլանված դոզայի ցուցանիշն անհրաժեշտ է հաշվարկել՝ ներմուծման որոշակի եղանակի դեպքում նշելով օգտագործված միջազգայնորեն ճանաչված չափման միավորների համակարգը:</w:t>
      </w:r>
    </w:p>
    <w:p w14:paraId="6156C1D7"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13.1.3.</w:t>
      </w:r>
      <w:r w:rsidRPr="00834D52">
        <w:rPr>
          <w:rFonts w:ascii="Sylfaen" w:hAnsi="Sylfaen"/>
          <w:sz w:val="24"/>
          <w:szCs w:val="24"/>
        </w:rPr>
        <w:tab/>
        <w:t>Մոդուլ 5.</w:t>
      </w:r>
    </w:p>
    <w:p w14:paraId="58573F47"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Անհրաժեշտության դեպքում ներկայացվում են կլինիկական փորձարկումների արդյունքները: Կլինիկական փորձարկումների արդյունքների </w:t>
      </w:r>
      <w:r w:rsidRPr="00834D52">
        <w:rPr>
          <w:rFonts w:ascii="Sylfaen" w:hAnsi="Sylfaen"/>
          <w:sz w:val="24"/>
          <w:szCs w:val="24"/>
        </w:rPr>
        <w:lastRenderedPageBreak/>
        <w:t>բացակայությունը հիմնավորվում է կլինիկական տեղեկագրերի մեջ (գրանցման դոսյեի 2-րդ մոդուլ):</w:t>
      </w:r>
    </w:p>
    <w:p w14:paraId="26236F65" w14:textId="77777777" w:rsidR="006F76EB" w:rsidRPr="00834D52" w:rsidRDefault="006F76EB" w:rsidP="00DE1FF5">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13.2.</w:t>
      </w:r>
      <w:r w:rsidRPr="00834D52">
        <w:rPr>
          <w:rFonts w:ascii="Sylfaen" w:hAnsi="Sylfaen"/>
          <w:sz w:val="24"/>
          <w:szCs w:val="24"/>
        </w:rPr>
        <w:tab/>
        <w:t>Ռադիոակտիվ նիշավորման համար օգտագործվող ռադիոդեղագործական պրեկուրսորներ.</w:t>
      </w:r>
    </w:p>
    <w:p w14:paraId="38753F0C"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Միայն ռադիոակտիվ նիշավորման համար նախատեսված ռադիոդեղագործական պրեկուրսորի դեպքում նախ </w:t>
      </w:r>
      <w:r w:rsidR="00C54D75">
        <w:rPr>
          <w:rFonts w:ascii="Sylfaen" w:hAnsi="Sylfaen"/>
          <w:sz w:val="24"/>
          <w:szCs w:val="24"/>
        </w:rPr>
        <w:t>և</w:t>
      </w:r>
      <w:r w:rsidRPr="00834D52">
        <w:rPr>
          <w:rFonts w:ascii="Sylfaen" w:hAnsi="Sylfaen"/>
          <w:sz w:val="24"/>
          <w:szCs w:val="24"/>
        </w:rPr>
        <w:t xml:space="preserve"> առաջ անհրաժեշտ է ներկայացնել տեղեկատվություն՝ ռադիոակտիվ նիշավորման անբավարար արդյունավետության հնարավոր հետ</w:t>
      </w:r>
      <w:r w:rsidR="00C54D75">
        <w:rPr>
          <w:rFonts w:ascii="Sylfaen" w:hAnsi="Sylfaen"/>
          <w:sz w:val="24"/>
          <w:szCs w:val="24"/>
        </w:rPr>
        <w:t>և</w:t>
      </w:r>
      <w:r w:rsidRPr="00834D52">
        <w:rPr>
          <w:rFonts w:ascii="Sylfaen" w:hAnsi="Sylfaen"/>
          <w:sz w:val="24"/>
          <w:szCs w:val="24"/>
        </w:rPr>
        <w:t>անքների կամ ռադիոակտիվ նիշով կոնյուգատի in vivo դիսոցման մասին, այսինքն՝ այնպիսի հարցերի, որոնք կապված են պացիենտների մոտ ազատ ռադիոնուկլիդի ազդեցության հետ:</w:t>
      </w:r>
      <w:r w:rsidRPr="00834D52">
        <w:rPr>
          <w:rFonts w:ascii="Sylfaen" w:hAnsi="Sylfaen"/>
          <w:sz w:val="24"/>
          <w:szCs w:val="24"/>
        </w:rPr>
        <w:br/>
        <w:t>Դրա հետ մեկտեղ անհրաժեշտ է նա</w:t>
      </w:r>
      <w:r w:rsidR="00C54D75">
        <w:rPr>
          <w:rFonts w:ascii="Sylfaen" w:hAnsi="Sylfaen"/>
          <w:sz w:val="24"/>
          <w:szCs w:val="24"/>
        </w:rPr>
        <w:t>և</w:t>
      </w:r>
      <w:r w:rsidRPr="00834D52">
        <w:rPr>
          <w:rFonts w:ascii="Sylfaen" w:hAnsi="Sylfaen"/>
          <w:sz w:val="24"/>
          <w:szCs w:val="24"/>
        </w:rPr>
        <w:t xml:space="preserve"> ներկայացնել ռիսկի գործոնների մասին համապատասխան տեղեկատվություն, այսինքն՝ հիվանդանոցի անձնակազմի </w:t>
      </w:r>
      <w:r w:rsidR="00C54D75">
        <w:rPr>
          <w:rFonts w:ascii="Sylfaen" w:hAnsi="Sylfaen"/>
          <w:sz w:val="24"/>
          <w:szCs w:val="24"/>
        </w:rPr>
        <w:t>և</w:t>
      </w:r>
      <w:r w:rsidRPr="00834D52">
        <w:rPr>
          <w:rFonts w:ascii="Sylfaen" w:hAnsi="Sylfaen"/>
          <w:sz w:val="24"/>
          <w:szCs w:val="24"/>
        </w:rPr>
        <w:t xml:space="preserve"> շրջակա միջավայրի վրա ռադիոակտիվ ազդեցության մասին տեղեկատվություն:</w:t>
      </w:r>
    </w:p>
    <w:p w14:paraId="05008289"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Մասնավորապես, անհրաժեշտ է ներկայացնել հետ</w:t>
      </w:r>
      <w:r w:rsidR="00C54D75">
        <w:rPr>
          <w:rFonts w:ascii="Sylfaen" w:hAnsi="Sylfaen"/>
          <w:sz w:val="24"/>
          <w:szCs w:val="24"/>
        </w:rPr>
        <w:t>և</w:t>
      </w:r>
      <w:r w:rsidRPr="00834D52">
        <w:rPr>
          <w:rFonts w:ascii="Sylfaen" w:hAnsi="Sylfaen"/>
          <w:sz w:val="24"/>
          <w:szCs w:val="24"/>
        </w:rPr>
        <w:t>յալ տեղեկատվությունը.</w:t>
      </w:r>
    </w:p>
    <w:p w14:paraId="7F9C66B5"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13.2.1.</w:t>
      </w:r>
      <w:r w:rsidRPr="00834D52">
        <w:rPr>
          <w:rFonts w:ascii="Sylfaen" w:hAnsi="Sylfaen"/>
          <w:sz w:val="24"/>
          <w:szCs w:val="24"/>
        </w:rPr>
        <w:tab/>
        <w:t>Մոդուլ 3.</w:t>
      </w:r>
    </w:p>
    <w:p w14:paraId="2E1D1CA6"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I մասի 3-րդ բաժնում նշված՝ գրանցման դոսյեի 3-րդ մոդուլի բովանդակությանը ներկայացվող պահանջները պետք է կիրառվեն ռադիոդեղագործական պրեկուրսորների գրանցման ժամանակ՝ անհրաժեշտության դեպքում «ա» </w:t>
      </w:r>
      <w:r w:rsidR="00C54D75">
        <w:rPr>
          <w:rFonts w:ascii="Sylfaen" w:hAnsi="Sylfaen"/>
          <w:sz w:val="24"/>
          <w:szCs w:val="24"/>
        </w:rPr>
        <w:t>և</w:t>
      </w:r>
      <w:r w:rsidRPr="00834D52">
        <w:rPr>
          <w:rFonts w:ascii="Sylfaen" w:hAnsi="Sylfaen"/>
          <w:sz w:val="24"/>
          <w:szCs w:val="24"/>
        </w:rPr>
        <w:t xml:space="preserve"> «թ» ենթակետերի մասով:</w:t>
      </w:r>
    </w:p>
    <w:p w14:paraId="2DE0DF8D" w14:textId="77777777" w:rsidR="006F76EB" w:rsidRPr="00834D52" w:rsidRDefault="006F76EB" w:rsidP="00263847">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13.2.2.</w:t>
      </w:r>
      <w:r w:rsidRPr="00834D52">
        <w:rPr>
          <w:rFonts w:ascii="Sylfaen" w:hAnsi="Sylfaen"/>
          <w:sz w:val="24"/>
          <w:szCs w:val="24"/>
        </w:rPr>
        <w:tab/>
        <w:t>Մոդուլ 4.</w:t>
      </w:r>
    </w:p>
    <w:p w14:paraId="26ECF67F" w14:textId="77777777" w:rsidR="006F76EB" w:rsidRPr="00834D52" w:rsidRDefault="006F76EB" w:rsidP="00263847">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Մեկանգամյա </w:t>
      </w:r>
      <w:r w:rsidR="00C54D75">
        <w:rPr>
          <w:rFonts w:ascii="Sylfaen" w:hAnsi="Sylfaen"/>
          <w:sz w:val="24"/>
          <w:szCs w:val="24"/>
        </w:rPr>
        <w:t>և</w:t>
      </w:r>
      <w:r w:rsidRPr="00834D52">
        <w:rPr>
          <w:rFonts w:ascii="Sylfaen" w:hAnsi="Sylfaen"/>
          <w:sz w:val="24"/>
          <w:szCs w:val="24"/>
        </w:rPr>
        <w:t xml:space="preserve"> բազմակի ներմուծման դեպքում անհրաժեշտ է ներկայացնել Հանձնաժողովի կողմից հաստատվող՝ պատշաճ լաբորատոր գործունեության կանոններին համապատասխան անցկացված նախակլինիկական հետազոտությունների՝ թունավորության վերաբերյալ արդյունքները: Ռադիոնուկլիդների մուտագենության հետազոտությունները նշված դեպքում չեն համարվում կիրառելի:</w:t>
      </w:r>
    </w:p>
    <w:p w14:paraId="6BB92A8B"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քիմիական թունավորության </w:t>
      </w:r>
      <w:r w:rsidR="00C54D75">
        <w:rPr>
          <w:rFonts w:ascii="Sylfaen" w:hAnsi="Sylfaen"/>
          <w:sz w:val="24"/>
          <w:szCs w:val="24"/>
        </w:rPr>
        <w:t>և</w:t>
      </w:r>
      <w:r w:rsidRPr="00834D52">
        <w:rPr>
          <w:rFonts w:ascii="Sylfaen" w:hAnsi="Sylfaen"/>
          <w:sz w:val="24"/>
          <w:szCs w:val="24"/>
        </w:rPr>
        <w:t xml:space="preserve"> «սառը» </w:t>
      </w:r>
      <w:r w:rsidRPr="00834D52">
        <w:rPr>
          <w:rFonts w:ascii="Sylfaen" w:hAnsi="Sylfaen"/>
          <w:sz w:val="24"/>
          <w:szCs w:val="24"/>
        </w:rPr>
        <w:lastRenderedPageBreak/>
        <w:t>(ռադիոակտիվ նյութեր չպարունակող) նուկլիդի մասին տեղեկատվություն:</w:t>
      </w:r>
    </w:p>
    <w:p w14:paraId="39A2107B" w14:textId="77777777" w:rsidR="006F76EB" w:rsidRPr="00834D52" w:rsidRDefault="006F76EB" w:rsidP="00263847">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13.2.3.</w:t>
      </w:r>
      <w:r w:rsidRPr="00834D52">
        <w:rPr>
          <w:rFonts w:ascii="Sylfaen" w:hAnsi="Sylfaen"/>
          <w:sz w:val="24"/>
          <w:szCs w:val="24"/>
        </w:rPr>
        <w:tab/>
        <w:t>Մոդուլ 5.</w:t>
      </w:r>
    </w:p>
    <w:p w14:paraId="195F0D70"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Ինքնին պրեկուրսորի օգտագործմամբ կլինիկական հետազոտությունների ընթացքում ստացված կլինիկական տեղեկատվությունը բացառապես ռադիոակտիվ նիշավորման համար նախատեսված ռադիոդեղագործական պրեկուրսորի դեպքում չի համարվում նշանակալի:</w:t>
      </w:r>
    </w:p>
    <w:p w14:paraId="6E93317D"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համապատասխան կրիչի մոլեկուլների հետ միանալիս ռադիոդեղագործական պրեկուրսորի կլինիկական արդյունավետությունը հաստատող տեղեկատվություն:</w:t>
      </w:r>
    </w:p>
    <w:p w14:paraId="1FDE8445" w14:textId="77777777" w:rsidR="006F76EB" w:rsidRPr="00834D52" w:rsidRDefault="006F76EB" w:rsidP="00F550B6">
      <w:pPr>
        <w:spacing w:after="160" w:line="350" w:lineRule="auto"/>
        <w:ind w:right="-6"/>
        <w:jc w:val="center"/>
        <w:rPr>
          <w:rFonts w:ascii="Sylfaen" w:hAnsi="Sylfaen"/>
          <w:sz w:val="24"/>
          <w:szCs w:val="24"/>
        </w:rPr>
      </w:pPr>
    </w:p>
    <w:p w14:paraId="36850849" w14:textId="77777777" w:rsidR="006F76EB" w:rsidRPr="00834D52" w:rsidRDefault="006F76EB" w:rsidP="003C049F">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14. Հոմեոպաթիկ դեղապատրաստուկներ</w:t>
      </w:r>
    </w:p>
    <w:p w14:paraId="289B9B5B"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t>Մոդուլ 3.</w:t>
      </w:r>
    </w:p>
    <w:p w14:paraId="74A3CCCB"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Եզրույթները.</w:t>
      </w:r>
    </w:p>
    <w:p w14:paraId="4AF486AD"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դոսյեում նկարագրված հոմեոպաթիկ դեղագործական բաղադրամասի լատիներեն գիտական անվանումը պետք է համապատասխանի Եվրասիական տնտեսական միության դեղագրքի մենագրության (առկայության դեպքում) կամ Միության անդամ պետությունների հոմեոպաթիկ դեղագրքի կամ Գերմանիայի հոմեոպաթիկ դեղագրքի, Ֆրանսիայի դեղագրքի </w:t>
      </w:r>
      <w:r w:rsidR="00C54D75">
        <w:rPr>
          <w:rFonts w:ascii="Sylfaen" w:hAnsi="Sylfaen"/>
          <w:sz w:val="24"/>
          <w:szCs w:val="24"/>
        </w:rPr>
        <w:t>և</w:t>
      </w:r>
      <w:r w:rsidRPr="00834D52">
        <w:rPr>
          <w:rFonts w:ascii="Sylfaen" w:hAnsi="Sylfaen"/>
          <w:sz w:val="24"/>
          <w:szCs w:val="24"/>
        </w:rPr>
        <w:t xml:space="preserve"> Եվրոպական դեղագրքի լատիներեն անվանմանը:</w:t>
      </w:r>
    </w:p>
    <w:p w14:paraId="21DF694D"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Ելակետային նյութերի հսկողությունը.</w:t>
      </w:r>
    </w:p>
    <w:p w14:paraId="12D76945" w14:textId="77777777" w:rsidR="006F76EB" w:rsidRPr="00834D52" w:rsidRDefault="006F76EB" w:rsidP="003C049F">
      <w:pPr>
        <w:spacing w:after="160" w:line="37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նյութերում պետք է ներկայացված լինեն փաստաթղթեր, որոնք հաստատում են պատրաստուկների բոլոր բաղադրիչների՝ ներառյալ հոմեոպաթիկ դեղագործական բաղադրամասը </w:t>
      </w:r>
      <w:r w:rsidR="00C54D75">
        <w:rPr>
          <w:rFonts w:ascii="Sylfaen" w:hAnsi="Sylfaen"/>
          <w:sz w:val="24"/>
          <w:szCs w:val="24"/>
        </w:rPr>
        <w:t>և</w:t>
      </w:r>
      <w:r w:rsidRPr="00834D52">
        <w:rPr>
          <w:rFonts w:ascii="Sylfaen" w:hAnsi="Sylfaen"/>
          <w:sz w:val="24"/>
          <w:szCs w:val="24"/>
        </w:rPr>
        <w:t xml:space="preserve"> օժանդակ նյութերը, որակի համապատասխանությունը «Բաղադրությունը» բաժնում ներկայացված՝ մենագրություններին կամ նորմատիվ փաստաթղթերին արված հղումների պահանջներին: Հոմեոպաթիկ դեղագործական բաղադրամասի համար դրանք </w:t>
      </w:r>
      <w:r w:rsidRPr="00834D52">
        <w:rPr>
          <w:rFonts w:ascii="Sylfaen" w:hAnsi="Sylfaen"/>
          <w:sz w:val="24"/>
          <w:szCs w:val="24"/>
        </w:rPr>
        <w:lastRenderedPageBreak/>
        <w:t>Եվրասիական տնտեսական միության դեղագրքի (առկայության դեպքում) կամ անդամ պետությունների մենագրություններն են կամ Գերմանիայի հոմեոպաթիկ դեղագրքի մենագրությունները կամ Ֆրանսիայի</w:t>
      </w:r>
      <w:r w:rsidR="00E90FAF" w:rsidRPr="00E90FAF">
        <w:rPr>
          <w:rFonts w:ascii="Sylfaen" w:hAnsi="Sylfaen"/>
          <w:sz w:val="24"/>
          <w:szCs w:val="24"/>
        </w:rPr>
        <w:t xml:space="preserve"> </w:t>
      </w:r>
      <w:r w:rsidR="00B55C20">
        <w:rPr>
          <w:rFonts w:ascii="Sylfaen" w:hAnsi="Sylfaen"/>
          <w:sz w:val="24"/>
          <w:szCs w:val="24"/>
        </w:rPr>
        <w:t>դեղագրքի</w:t>
      </w:r>
      <w:r w:rsidRPr="00834D52">
        <w:rPr>
          <w:rFonts w:ascii="Sylfaen" w:hAnsi="Sylfaen"/>
          <w:sz w:val="24"/>
          <w:szCs w:val="24"/>
        </w:rPr>
        <w:t xml:space="preserve"> կամ եվրոպական դեղագրքի մենագրությունները. օժանդակ բաղադրիչների համար՝ նորմատիվ փաստաթղթերը կամ նշված դեղագրքերի մենագրությունները:</w:t>
      </w:r>
    </w:p>
    <w:p w14:paraId="6CEE3BAE" w14:textId="77777777" w:rsidR="006F76EB" w:rsidRPr="00834D52" w:rsidRDefault="006F76EB" w:rsidP="003C049F">
      <w:pPr>
        <w:spacing w:after="160" w:line="37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հիմնական պահանջները պետք է կիրառվեն ոչ միայն բոլոր ելակետային նյութերի </w:t>
      </w:r>
      <w:r w:rsidR="00C54D75">
        <w:rPr>
          <w:rFonts w:ascii="Sylfaen" w:hAnsi="Sylfaen"/>
          <w:sz w:val="24"/>
          <w:szCs w:val="24"/>
        </w:rPr>
        <w:t>և</w:t>
      </w:r>
      <w:r w:rsidRPr="00834D52">
        <w:rPr>
          <w:rFonts w:ascii="Sylfaen" w:hAnsi="Sylfaen"/>
          <w:sz w:val="24"/>
          <w:szCs w:val="24"/>
        </w:rPr>
        <w:t xml:space="preserve"> հումքի, այլ նա</w:t>
      </w:r>
      <w:r w:rsidR="00C54D75">
        <w:rPr>
          <w:rFonts w:ascii="Sylfaen" w:hAnsi="Sylfaen"/>
          <w:sz w:val="24"/>
          <w:szCs w:val="24"/>
        </w:rPr>
        <w:t>և</w:t>
      </w:r>
      <w:r w:rsidRPr="00834D52">
        <w:rPr>
          <w:rFonts w:ascii="Sylfaen" w:hAnsi="Sylfaen"/>
          <w:sz w:val="24"/>
          <w:szCs w:val="24"/>
        </w:rPr>
        <w:t xml:space="preserve"> միջանկյալ արգասիքների (սուբստանցիայի նոսրացումների) նկատմամբ մինչ</w:t>
      </w:r>
      <w:r w:rsidR="00C54D75">
        <w:rPr>
          <w:rFonts w:ascii="Sylfaen" w:hAnsi="Sylfaen"/>
          <w:sz w:val="24"/>
          <w:szCs w:val="24"/>
        </w:rPr>
        <w:t>և</w:t>
      </w:r>
      <w:r w:rsidRPr="00834D52">
        <w:rPr>
          <w:rFonts w:ascii="Sylfaen" w:hAnsi="Sylfaen"/>
          <w:sz w:val="24"/>
          <w:szCs w:val="24"/>
        </w:rPr>
        <w:t xml:space="preserve"> վերջին նոսրացումը, որը ներմուծվում է դեղապատրաստուկ: Ուժեղ ազդեցություն ունեցող կամ թունավոր ազդեցություն ունեցող նյութ պարունակող հոմեոպաթիկ դեղագործական բաղադրամասերի օգտագործման դեպքում այդպիսի ազդող նյութի պարունակությունը պետք է որոշվի հարմար մեթոդով </w:t>
      </w:r>
      <w:r w:rsidR="00C54D75">
        <w:rPr>
          <w:rFonts w:ascii="Sylfaen" w:hAnsi="Sylfaen"/>
          <w:sz w:val="24"/>
          <w:szCs w:val="24"/>
        </w:rPr>
        <w:t>և</w:t>
      </w:r>
      <w:r w:rsidRPr="00834D52">
        <w:rPr>
          <w:rFonts w:ascii="Sylfaen" w:hAnsi="Sylfaen"/>
          <w:sz w:val="24"/>
          <w:szCs w:val="24"/>
        </w:rPr>
        <w:t xml:space="preserve"> համապատասխան ձ</w:t>
      </w:r>
      <w:r w:rsidR="00C54D75">
        <w:rPr>
          <w:rFonts w:ascii="Sylfaen" w:hAnsi="Sylfaen"/>
          <w:sz w:val="24"/>
          <w:szCs w:val="24"/>
        </w:rPr>
        <w:t>և</w:t>
      </w:r>
      <w:r w:rsidRPr="00834D52">
        <w:rPr>
          <w:rFonts w:ascii="Sylfaen" w:hAnsi="Sylfaen"/>
          <w:sz w:val="24"/>
          <w:szCs w:val="24"/>
        </w:rPr>
        <w:t xml:space="preserve">ով կարգավորվի (օրինակ՝ այդպիսի ազդող նյութի պարունակության երկկողմանի նորմավորմամբ կամ չորրորդ տասնորդական նոսրացման փորձարկմամբ): Որպես կանոն, տասնորդական սանդղակի D4-ից բարձր նոսրացումը </w:t>
      </w:r>
      <w:r w:rsidR="00C54D75">
        <w:rPr>
          <w:rFonts w:ascii="Sylfaen" w:hAnsi="Sylfaen"/>
          <w:sz w:val="24"/>
          <w:szCs w:val="24"/>
        </w:rPr>
        <w:t>և</w:t>
      </w:r>
      <w:r w:rsidRPr="00834D52">
        <w:rPr>
          <w:rFonts w:ascii="Sylfaen" w:hAnsi="Sylfaen"/>
          <w:sz w:val="24"/>
          <w:szCs w:val="24"/>
        </w:rPr>
        <w:t xml:space="preserve"> հարյուրերորդական սանդղակով նոսրացումները թույլ չեն տալիս անցկացնել այդպիսի գնահատում:</w:t>
      </w:r>
    </w:p>
    <w:p w14:paraId="0A746439"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հոմեոպաթիկ դեղապատրաստուկի արտադրության համար օգտագործվում է հոմեոպաթիկ դեղագործական բաղադրամասի նոսրացում, դրանք ստանում են Եվրասիական տնտեսական միության դեղագրքի համապատասխան մենագրության (առկայության դեպքում) կամ անդամ պետությունների դեղագրքի մենագրության կամ Գերմանիայի հոմեոպաթիկ դեղագրքի մենագրության, Ֆրանսիայի </w:t>
      </w:r>
      <w:r w:rsidR="009A01E5">
        <w:rPr>
          <w:rFonts w:ascii="Sylfaen" w:hAnsi="Sylfaen"/>
          <w:sz w:val="24"/>
          <w:szCs w:val="24"/>
        </w:rPr>
        <w:t xml:space="preserve">դեղագրքի </w:t>
      </w:r>
      <w:r w:rsidRPr="00834D52">
        <w:rPr>
          <w:rFonts w:ascii="Sylfaen" w:hAnsi="Sylfaen"/>
          <w:sz w:val="24"/>
          <w:szCs w:val="24"/>
        </w:rPr>
        <w:t xml:space="preserve">կամ եվրոպական դեղագրքի </w:t>
      </w:r>
      <w:r w:rsidR="009A01E5" w:rsidRPr="00834D52">
        <w:rPr>
          <w:rFonts w:ascii="Sylfaen" w:hAnsi="Sylfaen"/>
          <w:sz w:val="24"/>
          <w:szCs w:val="24"/>
        </w:rPr>
        <w:t xml:space="preserve">մենագրության </w:t>
      </w:r>
      <w:r w:rsidRPr="00834D52">
        <w:rPr>
          <w:rFonts w:ascii="Sylfaen" w:hAnsi="Sylfaen"/>
          <w:sz w:val="24"/>
          <w:szCs w:val="24"/>
        </w:rPr>
        <w:t xml:space="preserve">մեջ նկարագրված մեթոդներին </w:t>
      </w:r>
      <w:r w:rsidR="00C54D75">
        <w:rPr>
          <w:rFonts w:ascii="Sylfaen" w:hAnsi="Sylfaen"/>
          <w:sz w:val="24"/>
          <w:szCs w:val="24"/>
        </w:rPr>
        <w:t>և</w:t>
      </w:r>
      <w:r w:rsidRPr="00834D52">
        <w:rPr>
          <w:rFonts w:ascii="Sylfaen" w:hAnsi="Sylfaen"/>
          <w:sz w:val="24"/>
          <w:szCs w:val="24"/>
        </w:rPr>
        <w:t xml:space="preserve"> եղանակներին համապատասխան </w:t>
      </w:r>
      <w:r w:rsidR="00C54D75">
        <w:rPr>
          <w:rFonts w:ascii="Sylfaen" w:hAnsi="Sylfaen"/>
          <w:sz w:val="24"/>
          <w:szCs w:val="24"/>
        </w:rPr>
        <w:t>և</w:t>
      </w:r>
      <w:r w:rsidRPr="00834D52">
        <w:rPr>
          <w:rFonts w:ascii="Sylfaen" w:hAnsi="Sylfaen"/>
          <w:sz w:val="24"/>
          <w:szCs w:val="24"/>
        </w:rPr>
        <w:t xml:space="preserve"> նշում են նոսրացման սանդղակն ու աստիճանը:</w:t>
      </w:r>
    </w:p>
    <w:p w14:paraId="2E35824D"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հսկողական փորձարկումներ.</w:t>
      </w:r>
    </w:p>
    <w:p w14:paraId="55D4822A" w14:textId="7CF59D45"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Հոմեոպաթիկ դեղապատրաստուկների նկատմամբ պետք է կիրառվեն որակին ներկայացվող հիմնական պահանջները: Որակին ներկայացվող հիմնական </w:t>
      </w:r>
      <w:r w:rsidRPr="00834D52">
        <w:rPr>
          <w:rFonts w:ascii="Sylfaen" w:hAnsi="Sylfaen"/>
          <w:sz w:val="24"/>
          <w:szCs w:val="24"/>
        </w:rPr>
        <w:lastRenderedPageBreak/>
        <w:t xml:space="preserve">պահանջներից շեղումների առկայության դեպքում անհրաժեշտ է, որ </w:t>
      </w:r>
      <w:r w:rsidR="0056496B">
        <w:rPr>
          <w:rFonts w:ascii="Sylfaen" w:hAnsi="Sylfaen"/>
          <w:sz w:val="24"/>
          <w:szCs w:val="24"/>
        </w:rPr>
        <w:t>դիմումատու</w:t>
      </w:r>
      <w:r w:rsidRPr="00834D52">
        <w:rPr>
          <w:rFonts w:ascii="Sylfaen" w:hAnsi="Sylfaen"/>
          <w:sz w:val="24"/>
          <w:szCs w:val="24"/>
        </w:rPr>
        <w:t>ն հիմնավորի դրանք:</w:t>
      </w:r>
    </w:p>
    <w:p w14:paraId="549255F4"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Այն դեպքում, երբ հոմեոպաթիկ դեղապատրաստուկի արտադրության համար օգտագործվում է ուժեղ ազդեցություն ունեցող կամ թունավոր ազդեցություն ունեցող նյութ պարունակող հոմեոպաթիկ դեղագործական բաղադրամաս, պետք է հոմեոպաթիկ դեղապատրաստուկի մեջ նշված նյութերի իսկության ու քանակական որոշման սահմանման նպատակով անցկացվեն փորձարկումներ (անհրաժեշտության դեպքում):</w:t>
      </w:r>
    </w:p>
    <w:p w14:paraId="0CF86389"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Բոլոր թունաբանորեն նշանակալի բաղադրիչների քանակական որոշման </w:t>
      </w:r>
      <w:r w:rsidR="00C54D75">
        <w:rPr>
          <w:rFonts w:ascii="Sylfaen" w:hAnsi="Sylfaen"/>
          <w:sz w:val="24"/>
          <w:szCs w:val="24"/>
        </w:rPr>
        <w:t>և</w:t>
      </w:r>
      <w:r w:rsidRPr="00834D52">
        <w:rPr>
          <w:rFonts w:ascii="Sylfaen" w:hAnsi="Sylfaen"/>
          <w:sz w:val="24"/>
          <w:szCs w:val="24"/>
        </w:rPr>
        <w:t xml:space="preserve"> (կամ) նույնականացման անհնարինության (օրինակ՝ դեղապատրաստուկի մեջ նոսրացման աստիճանի պատճառով) մասին հիմնավորման առկայության դեպքում անհրաժեշտ է արտադրական պրոցեսի </w:t>
      </w:r>
      <w:r w:rsidR="00C54D75">
        <w:rPr>
          <w:rFonts w:ascii="Sylfaen" w:hAnsi="Sylfaen"/>
          <w:sz w:val="24"/>
          <w:szCs w:val="24"/>
        </w:rPr>
        <w:t>և</w:t>
      </w:r>
      <w:r w:rsidRPr="00834D52">
        <w:rPr>
          <w:rFonts w:ascii="Sylfaen" w:hAnsi="Sylfaen"/>
          <w:sz w:val="24"/>
          <w:szCs w:val="24"/>
        </w:rPr>
        <w:t xml:space="preserve"> նոսրացման պրոցեսի ամբողջական վալիդացմամբ հաստատել որակը:</w:t>
      </w:r>
    </w:p>
    <w:p w14:paraId="300F35D8"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հոմեոպաթիկ դեղապատրաստուկի արտադրության համար օգտագործվում է ուժեղ ազդեցություն ունեցող կամ թունավոր ազդեցություն ունեցող նյութ չպարունակող հոմեոպաթիկ դեղագործական բաղադրամաս, նյութերի իսկության </w:t>
      </w:r>
      <w:r w:rsidR="00C54D75">
        <w:rPr>
          <w:rFonts w:ascii="Sylfaen" w:hAnsi="Sylfaen"/>
          <w:sz w:val="24"/>
          <w:szCs w:val="24"/>
        </w:rPr>
        <w:t>և</w:t>
      </w:r>
      <w:r w:rsidRPr="00834D52">
        <w:rPr>
          <w:rFonts w:ascii="Sylfaen" w:hAnsi="Sylfaen"/>
          <w:sz w:val="24"/>
          <w:szCs w:val="24"/>
        </w:rPr>
        <w:t xml:space="preserve"> քանակական որոշման սահմանման նպատակով պետք է անցկացվեն փորձարկումներ` հոմեոպաթիկ դեղագործական բաղադրամասի կոնկրետ անվանման մենագրությունների համաձայն (անհրաժեշտության դեպքում):</w:t>
      </w:r>
    </w:p>
    <w:p w14:paraId="5291665A"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Կայունության փորձարկումներ.</w:t>
      </w:r>
    </w:p>
    <w:p w14:paraId="2F105E18"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հաստատել դեղապատրաստուկի կայունությունը: Ելակետային հոմեոպաթիկ նյութի կայունության փորձարկումների տվյալները, որպես կանոն, իրական են տվյալ նյութից պատրաստված նոսրացումների </w:t>
      </w:r>
      <w:r w:rsidR="00C54D75">
        <w:rPr>
          <w:rFonts w:ascii="Sylfaen" w:hAnsi="Sylfaen"/>
          <w:sz w:val="24"/>
          <w:szCs w:val="24"/>
        </w:rPr>
        <w:t>և</w:t>
      </w:r>
      <w:r w:rsidRPr="00834D52">
        <w:rPr>
          <w:rFonts w:ascii="Sylfaen" w:hAnsi="Sylfaen"/>
          <w:sz w:val="24"/>
          <w:szCs w:val="24"/>
        </w:rPr>
        <w:t xml:space="preserve"> տրիտուրացիաների համար: Եթե ակտիվ նյութի քանակական որոշումը կամ նույնականացումն անհնար է նոսրացման աստիճանի պատճառով, ապա կարող են դիտարկվել դեղաձ</w:t>
      </w:r>
      <w:r w:rsidR="00C54D75">
        <w:rPr>
          <w:rFonts w:ascii="Sylfaen" w:hAnsi="Sylfaen"/>
          <w:sz w:val="24"/>
          <w:szCs w:val="24"/>
        </w:rPr>
        <w:t>և</w:t>
      </w:r>
      <w:r w:rsidRPr="00834D52">
        <w:rPr>
          <w:rFonts w:ascii="Sylfaen" w:hAnsi="Sylfaen"/>
          <w:sz w:val="24"/>
          <w:szCs w:val="24"/>
        </w:rPr>
        <w:t>ի կայունության փորձարկումների տվյալները:</w:t>
      </w:r>
    </w:p>
    <w:p w14:paraId="21F67891"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14.2.</w:t>
      </w:r>
      <w:r w:rsidRPr="00834D52">
        <w:rPr>
          <w:rFonts w:ascii="Sylfaen" w:hAnsi="Sylfaen"/>
          <w:sz w:val="24"/>
          <w:szCs w:val="24"/>
        </w:rPr>
        <w:tab/>
        <w:t>Մոդուլ 4.</w:t>
      </w:r>
    </w:p>
    <w:p w14:paraId="077C0ED9"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Թունավորության նախակլինիկական հետազոտությունների տվյալները.</w:t>
      </w:r>
    </w:p>
    <w:p w14:paraId="3D5248D7"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Ցանկացած տեղեկատվության բացակայություն անհրաժեշտ է հիմնավորել, օրինակ՝ հիմնավորել, թե ինչպես կարող է հաստատվել անվտանգության թույլատրելի մակարդակը որոշ հետազոտությունների բացակայության դեպքում:</w:t>
      </w:r>
    </w:p>
    <w:p w14:paraId="18C127D1"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Դեղագրքերի </w:t>
      </w:r>
      <w:r w:rsidR="00C54D75">
        <w:rPr>
          <w:rFonts w:ascii="Sylfaen" w:hAnsi="Sylfaen"/>
          <w:sz w:val="24"/>
          <w:szCs w:val="24"/>
        </w:rPr>
        <w:t>և</w:t>
      </w:r>
      <w:r w:rsidRPr="00834D52">
        <w:rPr>
          <w:rFonts w:ascii="Sylfaen" w:hAnsi="Sylfaen"/>
          <w:sz w:val="24"/>
          <w:szCs w:val="24"/>
        </w:rPr>
        <w:t xml:space="preserve"> մենագրությունների մեջ չնշված նոր հոմեոպաթիկ դեղամիջոցների (մատրիցայի թուրմի, տրիտուրացիաների </w:t>
      </w:r>
      <w:r w:rsidR="00C54D75">
        <w:rPr>
          <w:rFonts w:ascii="Sylfaen" w:hAnsi="Sylfaen"/>
          <w:sz w:val="24"/>
          <w:szCs w:val="24"/>
        </w:rPr>
        <w:t>և</w:t>
      </w:r>
      <w:r w:rsidRPr="00834D52">
        <w:rPr>
          <w:rFonts w:ascii="Sylfaen" w:hAnsi="Sylfaen"/>
          <w:sz w:val="24"/>
          <w:szCs w:val="24"/>
        </w:rPr>
        <w:t xml:space="preserve"> այլ բաղադրիչների) համար պարտադիր ներկայացվում են թունաբանական հետազոտությունների տվյալները, տարբեր դոզավորումների ընտրության հիմնավորումը </w:t>
      </w:r>
      <w:r w:rsidR="00C54D75">
        <w:rPr>
          <w:rFonts w:ascii="Sylfaen" w:hAnsi="Sylfaen"/>
          <w:sz w:val="24"/>
          <w:szCs w:val="24"/>
        </w:rPr>
        <w:t>և</w:t>
      </w:r>
      <w:r w:rsidRPr="00834D52">
        <w:rPr>
          <w:rFonts w:ascii="Sylfaen" w:hAnsi="Sylfaen"/>
          <w:sz w:val="24"/>
          <w:szCs w:val="24"/>
        </w:rPr>
        <w:t xml:space="preserve"> կլինիկական հետազոտությունների հետագա տվյալները: </w:t>
      </w:r>
    </w:p>
    <w:p w14:paraId="452129E2"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14.3.</w:t>
      </w:r>
      <w:r w:rsidRPr="00834D52">
        <w:rPr>
          <w:rFonts w:ascii="Sylfaen" w:hAnsi="Sylfaen"/>
          <w:sz w:val="24"/>
          <w:szCs w:val="24"/>
        </w:rPr>
        <w:tab/>
        <w:t>Մոդուլ 5.</w:t>
      </w:r>
    </w:p>
    <w:p w14:paraId="24509C58"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Հետգրանցումային ժամանակահատվածում կիրառման կլինիկական հետազոտությունների տվյալները (առկայության դեպքում):</w:t>
      </w:r>
    </w:p>
    <w:p w14:paraId="438A9C42"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հիմնավորել ցանկացած տեղեկատվության բացակայությունը, օրինակ՝ հիմնավորել այն, թե որոշ տեղեկությունների բացակայության դեպքում ինչպես կարող է հաստատվել արդյունավետության </w:t>
      </w:r>
      <w:r w:rsidR="00C54D75">
        <w:rPr>
          <w:rFonts w:ascii="Sylfaen" w:hAnsi="Sylfaen"/>
          <w:sz w:val="24"/>
          <w:szCs w:val="24"/>
        </w:rPr>
        <w:t>և</w:t>
      </w:r>
      <w:r w:rsidRPr="00834D52">
        <w:rPr>
          <w:rFonts w:ascii="Sylfaen" w:hAnsi="Sylfaen"/>
          <w:sz w:val="24"/>
          <w:szCs w:val="24"/>
        </w:rPr>
        <w:t xml:space="preserve"> անվտանգության թույլատրելի պրոֆիլը:</w:t>
      </w:r>
    </w:p>
    <w:p w14:paraId="379963F9" w14:textId="77777777" w:rsidR="006F76EB" w:rsidRPr="00834D52" w:rsidRDefault="006F76EB" w:rsidP="00263847">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Դեղագրքերի </w:t>
      </w:r>
      <w:r w:rsidR="00C54D75">
        <w:rPr>
          <w:rFonts w:ascii="Sylfaen" w:hAnsi="Sylfaen"/>
          <w:sz w:val="24"/>
          <w:szCs w:val="24"/>
        </w:rPr>
        <w:t>և</w:t>
      </w:r>
      <w:r w:rsidRPr="00834D52">
        <w:rPr>
          <w:rFonts w:ascii="Sylfaen" w:hAnsi="Sylfaen"/>
          <w:sz w:val="24"/>
          <w:szCs w:val="24"/>
        </w:rPr>
        <w:t xml:space="preserve"> մենագրությունների մեջ չնշված հոմեոպաթիկ դեղապատրաստուկների (մատրիցայի թուրմերի, տրիտուրացիաների </w:t>
      </w:r>
      <w:r w:rsidR="00C54D75">
        <w:rPr>
          <w:rFonts w:ascii="Sylfaen" w:hAnsi="Sylfaen"/>
          <w:sz w:val="24"/>
          <w:szCs w:val="24"/>
        </w:rPr>
        <w:t>և</w:t>
      </w:r>
      <w:r w:rsidRPr="00834D52">
        <w:rPr>
          <w:rFonts w:ascii="Sylfaen" w:hAnsi="Sylfaen"/>
          <w:sz w:val="24"/>
          <w:szCs w:val="24"/>
        </w:rPr>
        <w:t xml:space="preserve"> այլ բաղադրիչների) համար պարտադիր ներկայացվում են կլինիկական հետազոտությունների տվյալները (սույն հավելվածի պահանջներին համապատասխան) </w:t>
      </w:r>
      <w:r w:rsidR="00C54D75">
        <w:rPr>
          <w:rFonts w:ascii="Sylfaen" w:hAnsi="Sylfaen"/>
          <w:sz w:val="24"/>
          <w:szCs w:val="24"/>
        </w:rPr>
        <w:t>և</w:t>
      </w:r>
      <w:r w:rsidRPr="00834D52">
        <w:rPr>
          <w:rFonts w:ascii="Sylfaen" w:hAnsi="Sylfaen"/>
          <w:sz w:val="24"/>
          <w:szCs w:val="24"/>
        </w:rPr>
        <w:t xml:space="preserve"> տարբեր դոզավորումների ընտրության հիմնավորումը:</w:t>
      </w:r>
    </w:p>
    <w:p w14:paraId="129D12B0" w14:textId="7EDB6CE2"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Կիրառման բազմամյա փորձ ունեցող </w:t>
      </w:r>
      <w:r w:rsidR="00C54D75">
        <w:rPr>
          <w:rFonts w:ascii="Sylfaen" w:hAnsi="Sylfaen"/>
          <w:sz w:val="24"/>
          <w:szCs w:val="24"/>
        </w:rPr>
        <w:t>և</w:t>
      </w:r>
      <w:r w:rsidRPr="00834D52">
        <w:rPr>
          <w:rFonts w:ascii="Sylfaen" w:hAnsi="Sylfaen"/>
          <w:sz w:val="24"/>
          <w:szCs w:val="24"/>
        </w:rPr>
        <w:t xml:space="preserve"> դեղագրքի մեջ ներառված հոմեոպաթիկ դեղապատրաստուկների համար կիրառման </w:t>
      </w:r>
      <w:r w:rsidR="0056496B">
        <w:rPr>
          <w:rFonts w:ascii="Sylfaen" w:hAnsi="Sylfaen"/>
          <w:sz w:val="24"/>
          <w:szCs w:val="24"/>
        </w:rPr>
        <w:t>դիմում</w:t>
      </w:r>
      <w:r w:rsidRPr="00834D52">
        <w:rPr>
          <w:rFonts w:ascii="Sylfaen" w:hAnsi="Sylfaen"/>
          <w:sz w:val="24"/>
          <w:szCs w:val="24"/>
        </w:rPr>
        <w:t xml:space="preserve">ագրվող ոլորտում ներկայացվում է հոմեոպաթիկ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գիտական գրականության </w:t>
      </w:r>
      <w:r w:rsidRPr="00834D52">
        <w:rPr>
          <w:rFonts w:ascii="Sylfaen" w:hAnsi="Sylfaen"/>
          <w:sz w:val="24"/>
          <w:szCs w:val="24"/>
        </w:rPr>
        <w:lastRenderedPageBreak/>
        <w:t>տվյալների տեղեկագիր:</w:t>
      </w:r>
    </w:p>
    <w:p w14:paraId="2EE2AB80" w14:textId="77777777"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w:t>
      </w:r>
      <w:r w:rsidR="00C54D75">
        <w:rPr>
          <w:rFonts w:ascii="Sylfaen" w:hAnsi="Sylfaen"/>
          <w:sz w:val="24"/>
          <w:szCs w:val="24"/>
        </w:rPr>
        <w:t>և</w:t>
      </w:r>
      <w:r w:rsidRPr="00834D52">
        <w:rPr>
          <w:rFonts w:ascii="Sylfaen" w:hAnsi="Sylfaen"/>
          <w:sz w:val="24"/>
          <w:szCs w:val="24"/>
        </w:rPr>
        <w:t xml:space="preserve"> դեղապատրաստուկի բժշկական կիրառման հրահանգում ներառվում է հետ</w:t>
      </w:r>
      <w:r w:rsidR="00C54D75">
        <w:rPr>
          <w:rFonts w:ascii="Sylfaen" w:hAnsi="Sylfaen"/>
          <w:sz w:val="24"/>
          <w:szCs w:val="24"/>
        </w:rPr>
        <w:t>և</w:t>
      </w:r>
      <w:r w:rsidRPr="00834D52">
        <w:rPr>
          <w:rFonts w:ascii="Sylfaen" w:hAnsi="Sylfaen"/>
          <w:sz w:val="24"/>
          <w:szCs w:val="24"/>
        </w:rPr>
        <w:t>յալ նշումը՝ «հոմեոպաթիկ դեղապատրաստուկ»:</w:t>
      </w:r>
    </w:p>
    <w:p w14:paraId="48DA24DE" w14:textId="77777777" w:rsidR="006F76EB" w:rsidRPr="00834D52" w:rsidRDefault="006F76EB" w:rsidP="00033514">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14.4.</w:t>
      </w:r>
      <w:r w:rsidRPr="00834D52">
        <w:rPr>
          <w:rFonts w:ascii="Sylfaen" w:hAnsi="Sylfaen"/>
          <w:sz w:val="24"/>
          <w:szCs w:val="24"/>
        </w:rPr>
        <w:tab/>
        <w:t>Հոմեոպաթիկ դեղապատրաստուկների համար պարզեցված գրանցման դոսյե.</w:t>
      </w:r>
    </w:p>
    <w:p w14:paraId="73C52A8B"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Հոմեոպաթիկ դեղապատրաստուկների գրանցման համար տրամադրվում է պարզեցված գրանցման դոսյե՝ հետ</w:t>
      </w:r>
      <w:r w:rsidR="00C54D75">
        <w:rPr>
          <w:rFonts w:ascii="Sylfaen" w:hAnsi="Sylfaen"/>
          <w:sz w:val="24"/>
          <w:szCs w:val="24"/>
        </w:rPr>
        <w:t>և</w:t>
      </w:r>
      <w:r w:rsidRPr="00834D52">
        <w:rPr>
          <w:rFonts w:ascii="Sylfaen" w:hAnsi="Sylfaen"/>
          <w:sz w:val="24"/>
          <w:szCs w:val="24"/>
        </w:rPr>
        <w:t>յալ պայմանների պահպանման դեպքում՝</w:t>
      </w:r>
    </w:p>
    <w:p w14:paraId="6DFE04CA"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նախատեսված է ներքին ընդունման կամ արտաքին, տեղային, ինհալացիայի միջոցով կիրառման համար.</w:t>
      </w:r>
    </w:p>
    <w:p w14:paraId="450AA19C"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փաթեթվածքի վրա, ԴԸԲ-ում կամ ԲԿՀ-ում ներկայացված չէ կիրառման կոնկրետ թերապ</w:t>
      </w:r>
      <w:r w:rsidR="00C54D75">
        <w:rPr>
          <w:rFonts w:ascii="Sylfaen" w:hAnsi="Sylfaen"/>
          <w:sz w:val="24"/>
          <w:szCs w:val="24"/>
        </w:rPr>
        <w:t>և</w:t>
      </w:r>
      <w:r w:rsidRPr="00834D52">
        <w:rPr>
          <w:rFonts w:ascii="Sylfaen" w:hAnsi="Sylfaen"/>
          <w:sz w:val="24"/>
          <w:szCs w:val="24"/>
        </w:rPr>
        <w:t>տիկ ցուցում.</w:t>
      </w:r>
    </w:p>
    <w:p w14:paraId="43E6AAA0"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նոսրացման աստիճանը բավարար է դեղապատրաստուկի անվտանգությունը երաշխավորելու համար, մասնավորապես, դեղապատրաստուկը պարունակում է հոմեոպաթիկ բաղադրամասի 1/10</w:t>
      </w:r>
      <w:r w:rsidRPr="00834D52">
        <w:rPr>
          <w:rFonts w:ascii="Sylfaen" w:hAnsi="Sylfaen" w:cs="Courier New"/>
          <w:sz w:val="24"/>
          <w:szCs w:val="24"/>
        </w:rPr>
        <w:t> </w:t>
      </w:r>
      <w:r w:rsidRPr="00834D52">
        <w:rPr>
          <w:rFonts w:ascii="Sylfaen" w:hAnsi="Sylfaen"/>
          <w:sz w:val="24"/>
          <w:szCs w:val="24"/>
        </w:rPr>
        <w:t>000-ից ոչ ավելի մասը (հոմեոպաթիկ մատրիցայի թուրմեր) կամ պարունակում է այլաբուժության (ալոպաթիայի) մեջ կիրառվող նվազագույն դեղաչափի 1/100-ից ոչ ավելին՝ այն ազդող նյութերի մասով, որոնց առկայությունը դեղապատրաստուկի մեջ պահանջում է դեղատոմսով բացթողում:</w:t>
      </w:r>
    </w:p>
    <w:p w14:paraId="032C8483"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Նշված հոմեոպաթիկ դեղապատրաստուկների համար թերապ</w:t>
      </w:r>
      <w:r w:rsidR="00C54D75">
        <w:rPr>
          <w:rFonts w:ascii="Sylfaen" w:hAnsi="Sylfaen"/>
          <w:sz w:val="24"/>
          <w:szCs w:val="24"/>
        </w:rPr>
        <w:t>և</w:t>
      </w:r>
      <w:r w:rsidRPr="00834D52">
        <w:rPr>
          <w:rFonts w:ascii="Sylfaen" w:hAnsi="Sylfaen"/>
          <w:sz w:val="24"/>
          <w:szCs w:val="24"/>
        </w:rPr>
        <w:t>տիկ արդյունավետության ապացույցներ չեն պահանջվում: Այդպիսի հոմեոպաթիկ դեղապատրաստուկների բացթողման կատեգորիան սահմանվում է գրանցման ժամանակ:</w:t>
      </w:r>
    </w:p>
    <w:p w14:paraId="5DE43489" w14:textId="1AFA8C66"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հատուկ, պարզեցված ընթացակարգ անցկացնելու </w:t>
      </w:r>
      <w:r w:rsidR="0056496B">
        <w:rPr>
          <w:rFonts w:ascii="Sylfaen" w:hAnsi="Sylfaen"/>
          <w:sz w:val="24"/>
          <w:szCs w:val="24"/>
        </w:rPr>
        <w:t>դիմում</w:t>
      </w:r>
      <w:r w:rsidRPr="00834D52">
        <w:rPr>
          <w:rFonts w:ascii="Sylfaen" w:hAnsi="Sylfaen"/>
          <w:sz w:val="24"/>
          <w:szCs w:val="24"/>
        </w:rPr>
        <w:t>ը կարող է ընդգրկել մի</w:t>
      </w:r>
      <w:r w:rsidR="00C54D75">
        <w:rPr>
          <w:rFonts w:ascii="Sylfaen" w:hAnsi="Sylfaen"/>
          <w:sz w:val="24"/>
          <w:szCs w:val="24"/>
        </w:rPr>
        <w:t>և</w:t>
      </w:r>
      <w:r w:rsidRPr="00834D52">
        <w:rPr>
          <w:rFonts w:ascii="Sylfaen" w:hAnsi="Sylfaen"/>
          <w:sz w:val="24"/>
          <w:szCs w:val="24"/>
        </w:rPr>
        <w:t xml:space="preserve">նույն հոմեոպաթիկ դեղագործական բաղադրամասից կամ ծագման </w:t>
      </w:r>
      <w:r w:rsidRPr="00834D52">
        <w:rPr>
          <w:rFonts w:ascii="Sylfaen" w:hAnsi="Sylfaen"/>
          <w:sz w:val="24"/>
          <w:szCs w:val="24"/>
        </w:rPr>
        <w:lastRenderedPageBreak/>
        <w:t>բնույթով (օրինակ՝ կենդանական, հանքային կամ բուսական ծագման) միավորված մի քանի հոմեոպաթիկ դեղագործական բաղադրամասից ստացված դեղապատրաստուկների սերիան:</w:t>
      </w:r>
    </w:p>
    <w:p w14:paraId="16C0464A" w14:textId="39E132E5" w:rsidR="006F76EB" w:rsidRPr="00834D52" w:rsidRDefault="006F76EB" w:rsidP="002F1C6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Սերիայից սերիա պատրաստուկի դեղագործական որակը </w:t>
      </w:r>
      <w:r w:rsidR="00C54D75">
        <w:rPr>
          <w:rFonts w:ascii="Sylfaen" w:hAnsi="Sylfaen"/>
          <w:sz w:val="24"/>
          <w:szCs w:val="24"/>
        </w:rPr>
        <w:t>և</w:t>
      </w:r>
      <w:r w:rsidRPr="00834D52">
        <w:rPr>
          <w:rFonts w:ascii="Sylfaen" w:hAnsi="Sylfaen"/>
          <w:sz w:val="24"/>
          <w:szCs w:val="24"/>
        </w:rPr>
        <w:t xml:space="preserve"> համասեռությունը հաստատելու համար </w:t>
      </w:r>
      <w:r w:rsidR="0056496B">
        <w:rPr>
          <w:rFonts w:ascii="Sylfaen" w:hAnsi="Sylfaen"/>
          <w:sz w:val="24"/>
          <w:szCs w:val="24"/>
        </w:rPr>
        <w:t>դիմում</w:t>
      </w:r>
      <w:r w:rsidRPr="00834D52">
        <w:rPr>
          <w:rFonts w:ascii="Sylfaen" w:hAnsi="Sylfaen"/>
          <w:sz w:val="24"/>
          <w:szCs w:val="24"/>
        </w:rPr>
        <w:t>ն ուղեկցվում է գրանցման դոսյեով հետ</w:t>
      </w:r>
      <w:r w:rsidR="00C54D75">
        <w:rPr>
          <w:rFonts w:ascii="Sylfaen" w:hAnsi="Sylfaen"/>
          <w:sz w:val="24"/>
          <w:szCs w:val="24"/>
        </w:rPr>
        <w:t>և</w:t>
      </w:r>
      <w:r w:rsidRPr="00834D52">
        <w:rPr>
          <w:rFonts w:ascii="Sylfaen" w:hAnsi="Sylfaen"/>
          <w:sz w:val="24"/>
          <w:szCs w:val="24"/>
        </w:rPr>
        <w:t>յալ փաստաթղթերի հետ միասին.</w:t>
      </w:r>
    </w:p>
    <w:p w14:paraId="6955392E" w14:textId="77777777" w:rsidR="006F76EB" w:rsidRPr="00834D52" w:rsidRDefault="006F76EB" w:rsidP="002F1C6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դեղագրքի մեջ նշված՝ հոմեոպաթիկ դեղագործական բաղադրամասի լատիներեն գիտական անվանումը՝ սանդղակի </w:t>
      </w:r>
      <w:r w:rsidR="00C54D75">
        <w:rPr>
          <w:rFonts w:ascii="Sylfaen" w:hAnsi="Sylfaen"/>
          <w:sz w:val="24"/>
          <w:szCs w:val="24"/>
        </w:rPr>
        <w:t>և</w:t>
      </w:r>
      <w:r w:rsidRPr="00834D52">
        <w:rPr>
          <w:rFonts w:ascii="Sylfaen" w:hAnsi="Sylfaen"/>
          <w:sz w:val="24"/>
          <w:szCs w:val="24"/>
        </w:rPr>
        <w:t xml:space="preserve"> նոսրացման աստիճանի նշմամբ, ներմուծման ուղիների, դեղաձ</w:t>
      </w:r>
      <w:r w:rsidR="00C54D75">
        <w:rPr>
          <w:rFonts w:ascii="Sylfaen" w:hAnsi="Sylfaen"/>
          <w:sz w:val="24"/>
          <w:szCs w:val="24"/>
        </w:rPr>
        <w:t>և</w:t>
      </w:r>
      <w:r w:rsidRPr="00834D52">
        <w:rPr>
          <w:rFonts w:ascii="Sylfaen" w:hAnsi="Sylfaen"/>
          <w:sz w:val="24"/>
          <w:szCs w:val="24"/>
        </w:rPr>
        <w:t xml:space="preserve">երի </w:t>
      </w:r>
      <w:r w:rsidR="00C54D75">
        <w:rPr>
          <w:rFonts w:ascii="Sylfaen" w:hAnsi="Sylfaen"/>
          <w:sz w:val="24"/>
          <w:szCs w:val="24"/>
        </w:rPr>
        <w:t>և</w:t>
      </w:r>
      <w:r w:rsidRPr="00834D52">
        <w:rPr>
          <w:rFonts w:ascii="Sylfaen" w:hAnsi="Sylfaen"/>
          <w:sz w:val="24"/>
          <w:szCs w:val="24"/>
        </w:rPr>
        <w:t xml:space="preserve"> նոսրացման աստիճանի վերաբերյալ տվյալները, որոնք ենթակա են գրանցման.</w:t>
      </w:r>
    </w:p>
    <w:p w14:paraId="057F91AD" w14:textId="271B8C80" w:rsidR="006F76EB" w:rsidRPr="00834D52" w:rsidRDefault="006F76EB" w:rsidP="002F1C6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սպառողական </w:t>
      </w:r>
      <w:r w:rsidR="00C54D75">
        <w:rPr>
          <w:rFonts w:ascii="Sylfaen" w:hAnsi="Sylfaen"/>
          <w:sz w:val="24"/>
          <w:szCs w:val="24"/>
        </w:rPr>
        <w:t>և</w:t>
      </w:r>
      <w:r w:rsidRPr="00834D52">
        <w:rPr>
          <w:rFonts w:ascii="Sylfaen" w:hAnsi="Sylfaen"/>
          <w:sz w:val="24"/>
          <w:szCs w:val="24"/>
        </w:rPr>
        <w:t xml:space="preserve"> առաջնային փաթեթվածքի, ինչպես նա</w:t>
      </w:r>
      <w:r w:rsidR="00C54D75">
        <w:rPr>
          <w:rFonts w:ascii="Sylfaen" w:hAnsi="Sylfaen"/>
          <w:sz w:val="24"/>
          <w:szCs w:val="24"/>
        </w:rPr>
        <w:t>և</w:t>
      </w:r>
      <w:r w:rsidRPr="00834D52">
        <w:rPr>
          <w:rFonts w:ascii="Sylfaen" w:hAnsi="Sylfaen"/>
          <w:sz w:val="24"/>
          <w:szCs w:val="24"/>
        </w:rPr>
        <w:t xml:space="preserve"> դեղապատրաստուկի ընդհանուր բնութագրի </w:t>
      </w:r>
      <w:r w:rsidR="00C54D75">
        <w:rPr>
          <w:rFonts w:ascii="Sylfaen" w:hAnsi="Sylfaen"/>
          <w:sz w:val="24"/>
          <w:szCs w:val="24"/>
        </w:rPr>
        <w:t>և</w:t>
      </w:r>
      <w:r w:rsidRPr="00834D52">
        <w:rPr>
          <w:rFonts w:ascii="Sylfaen" w:hAnsi="Sylfaen"/>
          <w:sz w:val="24"/>
          <w:szCs w:val="24"/>
        </w:rPr>
        <w:t xml:space="preserve"> պարզեցված գրանցման ընթացակարգի համար </w:t>
      </w:r>
      <w:r w:rsidR="001A5F1A">
        <w:rPr>
          <w:rFonts w:ascii="Sylfaen" w:hAnsi="Sylfaen"/>
          <w:sz w:val="24"/>
          <w:szCs w:val="24"/>
        </w:rPr>
        <w:t>հայտագրված</w:t>
      </w:r>
      <w:r w:rsidRPr="00834D52">
        <w:rPr>
          <w:rFonts w:ascii="Sylfaen" w:hAnsi="Sylfaen"/>
          <w:sz w:val="24"/>
          <w:szCs w:val="24"/>
        </w:rPr>
        <w:t xml:space="preserve"> հոմեոպաթիկ դեղապատրաստուկների բժշկական կիրառման հրահանգի (ներդիր թերթիկի) մեկ կամ ավելի մակետներ.</w:t>
      </w:r>
    </w:p>
    <w:p w14:paraId="0A0445E9"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դոսյե՝ հոմեոպաթիկ դեղագործական բաղադրամասի, հումքի կամ հումքի տեսակների ստացման </w:t>
      </w:r>
      <w:r w:rsidR="00C54D75">
        <w:rPr>
          <w:rFonts w:ascii="Sylfaen" w:hAnsi="Sylfaen"/>
          <w:sz w:val="24"/>
          <w:szCs w:val="24"/>
        </w:rPr>
        <w:t>և</w:t>
      </w:r>
      <w:r w:rsidRPr="00834D52">
        <w:rPr>
          <w:rFonts w:ascii="Sylfaen" w:hAnsi="Sylfaen"/>
          <w:sz w:val="24"/>
          <w:szCs w:val="24"/>
        </w:rPr>
        <w:t xml:space="preserve"> հսկողության եղանակի նկարագրությամբ, համապատասխան մատենագիտության հիման վրա հոմեոպաթիկ օգտագործման հիմնավորում.</w:t>
      </w:r>
    </w:p>
    <w:p w14:paraId="60FAA7A0"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յուրաքանչյուր դեղաձ</w:t>
      </w:r>
      <w:r w:rsidR="00C54D75">
        <w:rPr>
          <w:rFonts w:ascii="Sylfaen" w:hAnsi="Sylfaen"/>
          <w:sz w:val="24"/>
          <w:szCs w:val="24"/>
        </w:rPr>
        <w:t>և</w:t>
      </w:r>
      <w:r w:rsidRPr="00834D52">
        <w:rPr>
          <w:rFonts w:ascii="Sylfaen" w:hAnsi="Sylfaen"/>
          <w:sz w:val="24"/>
          <w:szCs w:val="24"/>
        </w:rPr>
        <w:t xml:space="preserve">ի արտադրության </w:t>
      </w:r>
      <w:r w:rsidR="00C54D75">
        <w:rPr>
          <w:rFonts w:ascii="Sylfaen" w:hAnsi="Sylfaen"/>
          <w:sz w:val="24"/>
          <w:szCs w:val="24"/>
        </w:rPr>
        <w:t>և</w:t>
      </w:r>
      <w:r w:rsidRPr="00834D52">
        <w:rPr>
          <w:rFonts w:ascii="Sylfaen" w:hAnsi="Sylfaen"/>
          <w:sz w:val="24"/>
          <w:szCs w:val="24"/>
        </w:rPr>
        <w:t xml:space="preserve"> հսկողության նկարագրություն, սանդղակի, նոսրացման (պոտենցման) եղանակի նկարագրություն.</w:t>
      </w:r>
    </w:p>
    <w:p w14:paraId="0AFD96DF"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դեղամիջոցների արտադրության լիցենզիա </w:t>
      </w:r>
      <w:r w:rsidR="00C54D75">
        <w:rPr>
          <w:rFonts w:ascii="Sylfaen" w:hAnsi="Sylfaen"/>
          <w:sz w:val="24"/>
          <w:szCs w:val="24"/>
        </w:rPr>
        <w:t>և</w:t>
      </w:r>
      <w:r w:rsidRPr="00834D52">
        <w:rPr>
          <w:rFonts w:ascii="Sylfaen" w:hAnsi="Sylfaen"/>
          <w:sz w:val="24"/>
          <w:szCs w:val="24"/>
        </w:rPr>
        <w:t xml:space="preserve"> Միության պատշաճ արտադրական գործունեության կանոններին համապատասխանությունը հաստատող փաստաթուղթ.</w:t>
      </w:r>
    </w:p>
    <w:p w14:paraId="3D919226"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այլ երկրներում ստացված՝ պարզեցված ընթացակարգով դեղապատրաստուկի գրանցման մասին վկայականների պատճեններ.</w:t>
      </w:r>
    </w:p>
    <w:p w14:paraId="14A08AEF" w14:textId="77777777" w:rsidR="006F76EB" w:rsidRPr="002F1C69" w:rsidRDefault="006F76EB" w:rsidP="002F1C69">
      <w:pPr>
        <w:spacing w:after="160" w:line="360" w:lineRule="auto"/>
        <w:ind w:right="-8" w:firstLine="567"/>
        <w:jc w:val="both"/>
        <w:rPr>
          <w:rFonts w:ascii="Sylfaen" w:hAnsi="Sylfaen"/>
          <w:sz w:val="24"/>
          <w:szCs w:val="24"/>
        </w:rPr>
      </w:pPr>
      <w:r w:rsidRPr="00834D52">
        <w:rPr>
          <w:rFonts w:ascii="Sylfaen" w:hAnsi="Sylfaen"/>
          <w:sz w:val="24"/>
          <w:szCs w:val="24"/>
        </w:rPr>
        <w:t>հոմեոպաթիկ դեղապատրաստուկի կայունության վերաբերյալ տվյալներ:</w:t>
      </w:r>
    </w:p>
    <w:p w14:paraId="6DFE9F1B" w14:textId="77777777" w:rsidR="00C968AE" w:rsidRPr="002F1C69" w:rsidRDefault="00C968AE" w:rsidP="005176C6">
      <w:pPr>
        <w:spacing w:after="160" w:line="360" w:lineRule="auto"/>
        <w:ind w:right="-8" w:firstLine="567"/>
        <w:jc w:val="center"/>
        <w:rPr>
          <w:rFonts w:ascii="Sylfaen" w:eastAsia="Times New Roman" w:hAnsi="Sylfaen" w:cs="Times New Roman"/>
          <w:sz w:val="24"/>
          <w:szCs w:val="24"/>
        </w:rPr>
      </w:pPr>
    </w:p>
    <w:p w14:paraId="5C2AB60F" w14:textId="77777777" w:rsidR="006F76EB" w:rsidRPr="00834D52" w:rsidRDefault="006F76EB" w:rsidP="002F1C69">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15. Դեղաբուսական պատրաստուկ</w:t>
      </w:r>
    </w:p>
    <w:p w14:paraId="6D9742F9"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Դեղաբուսական պատրաստուկների գրանցման համար գրանցման դոսյեն ներկայացվում է սույն բաժնի պահանջներին համապատասխան:</w:t>
      </w:r>
    </w:p>
    <w:p w14:paraId="5EF14F61" w14:textId="77777777" w:rsidR="006F76EB" w:rsidRPr="00834D52" w:rsidRDefault="006F76EB" w:rsidP="002154F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Մոդուլ 3.</w:t>
      </w:r>
    </w:p>
    <w:p w14:paraId="6A7F1F11" w14:textId="03132A92"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պատրաստուկները գրանցելիս պետք է կիրառվեն սույն հավելվածի I մասի 3-րդ բաժնում նշված՝ 3-րդ մոդուլին ներկայացվող պահանջները, ներառյալ՝ Եվրասիական տնտեսական միության դեղագրքի դեղագրքային հոդվածներին (մենագրություններին) կամ անդամ պետությունների դեղագրքերին համապատասխանության անհրաժեշտությունը: Անհրաժեշտ է հաշվի առնել </w:t>
      </w:r>
      <w:r w:rsidR="0056496B">
        <w:rPr>
          <w:rFonts w:ascii="Sylfaen" w:hAnsi="Sylfaen"/>
          <w:sz w:val="24"/>
          <w:szCs w:val="24"/>
        </w:rPr>
        <w:t>դիմում</w:t>
      </w:r>
      <w:r w:rsidRPr="00834D52">
        <w:rPr>
          <w:rFonts w:ascii="Sylfaen" w:hAnsi="Sylfaen"/>
          <w:sz w:val="24"/>
          <w:szCs w:val="24"/>
        </w:rPr>
        <w:t>ը ներկայացնելու օրվա մասին առկա գիտական տեղեկությունները:</w:t>
      </w:r>
    </w:p>
    <w:p w14:paraId="29D7BF6C" w14:textId="77777777" w:rsidR="006F76EB" w:rsidRPr="00834D52" w:rsidRDefault="006F76EB" w:rsidP="00E902EF">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15.1.1.</w:t>
      </w:r>
      <w:r w:rsidRPr="00834D52">
        <w:rPr>
          <w:rFonts w:ascii="Sylfaen" w:hAnsi="Sylfaen"/>
          <w:sz w:val="24"/>
          <w:szCs w:val="24"/>
        </w:rPr>
        <w:tab/>
        <w:t>Բուսական ծագման բաղադրամասեր.</w:t>
      </w:r>
    </w:p>
    <w:p w14:paraId="54D74975"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շրջանակներում «բուսական ծագման դեղագործական բաղադրամասը» ընդհանուր հասկացություն է՝ իր մեջ ներառելով «դեղաբուսական հումք» </w:t>
      </w:r>
      <w:r w:rsidR="00C54D75">
        <w:rPr>
          <w:rFonts w:ascii="Sylfaen" w:hAnsi="Sylfaen"/>
          <w:sz w:val="24"/>
          <w:szCs w:val="24"/>
        </w:rPr>
        <w:t>և</w:t>
      </w:r>
      <w:r w:rsidRPr="00834D52">
        <w:rPr>
          <w:rFonts w:ascii="Sylfaen" w:hAnsi="Sylfaen"/>
          <w:sz w:val="24"/>
          <w:szCs w:val="24"/>
        </w:rPr>
        <w:t xml:space="preserve"> «դեղաբուսական հումքից ստացված արտադրանք» հասկացությունները:</w:t>
      </w:r>
    </w:p>
    <w:p w14:paraId="6229E252"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հումքը մանրացնելուց հետո ստացված բուսական ծագման դեղագործական բաղադրամասի համար անհրաժեշտ է նշել ստացման աղբյուր հանդիսացող բույսի կենսաանվանական գիտական անվանումը` ցեղային </w:t>
      </w:r>
      <w:r w:rsidR="00C54D75">
        <w:rPr>
          <w:rFonts w:ascii="Sylfaen" w:hAnsi="Sylfaen"/>
          <w:sz w:val="24"/>
          <w:szCs w:val="24"/>
        </w:rPr>
        <w:t>և</w:t>
      </w:r>
      <w:r w:rsidRPr="00834D52">
        <w:rPr>
          <w:rFonts w:ascii="Sylfaen" w:hAnsi="Sylfaen"/>
          <w:sz w:val="24"/>
          <w:szCs w:val="24"/>
        </w:rPr>
        <w:t xml:space="preserve"> տեսակային, տարատեսակությունը </w:t>
      </w:r>
      <w:r w:rsidR="00C54D75">
        <w:rPr>
          <w:rFonts w:ascii="Sylfaen" w:hAnsi="Sylfaen"/>
          <w:sz w:val="24"/>
          <w:szCs w:val="24"/>
        </w:rPr>
        <w:t>և</w:t>
      </w:r>
      <w:r w:rsidRPr="00834D52">
        <w:rPr>
          <w:rFonts w:ascii="Sylfaen" w:hAnsi="Sylfaen"/>
          <w:sz w:val="24"/>
          <w:szCs w:val="24"/>
        </w:rPr>
        <w:t xml:space="preserve"> հեղինակների անունները լատիներենով, քեմոտիպը (անհրաժեշտության դեպքում), ծագման աղբյուրը (վայրի կամ մշակովի), ստացման աղբյուր հանդիսացող բույսի մորֆոլոգիական խումբը, բուսական ծագման բաղադրամասի անվանումը (սահմանումը):</w:t>
      </w:r>
    </w:p>
    <w:p w14:paraId="7BDC554D"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Տարբեր եղանակներով (լուծամզում, թորում, մզում, թորզատում, մաքրում, խտացում, խմորում </w:t>
      </w:r>
      <w:r w:rsidR="00C54D75">
        <w:rPr>
          <w:rFonts w:ascii="Sylfaen" w:hAnsi="Sylfaen"/>
          <w:sz w:val="24"/>
          <w:szCs w:val="24"/>
        </w:rPr>
        <w:t>և</w:t>
      </w:r>
      <w:r w:rsidRPr="00834D52">
        <w:rPr>
          <w:rFonts w:ascii="Sylfaen" w:hAnsi="Sylfaen"/>
          <w:sz w:val="24"/>
          <w:szCs w:val="24"/>
        </w:rPr>
        <w:t xml:space="preserve"> այլն) դեղաբուսական հումքի մշակումից հետո ստացված բուսական ծագման դեղագործական բաղադրամասի համար անհրաժեշտ է նշել ստացման աղբյուր հանդիսացող բույսի կենսանվանական գիտական անվանումը. ցեղային </w:t>
      </w:r>
      <w:r w:rsidR="00C54D75">
        <w:rPr>
          <w:rFonts w:ascii="Sylfaen" w:hAnsi="Sylfaen"/>
          <w:sz w:val="24"/>
          <w:szCs w:val="24"/>
        </w:rPr>
        <w:t>և</w:t>
      </w:r>
      <w:r w:rsidRPr="00834D52">
        <w:rPr>
          <w:rFonts w:ascii="Sylfaen" w:hAnsi="Sylfaen"/>
          <w:sz w:val="24"/>
          <w:szCs w:val="24"/>
        </w:rPr>
        <w:t xml:space="preserve"> տեսակային, տարատեսակությունը </w:t>
      </w:r>
      <w:r w:rsidR="00C54D75">
        <w:rPr>
          <w:rFonts w:ascii="Sylfaen" w:hAnsi="Sylfaen"/>
          <w:sz w:val="24"/>
          <w:szCs w:val="24"/>
        </w:rPr>
        <w:t>և</w:t>
      </w:r>
      <w:r w:rsidRPr="00834D52">
        <w:rPr>
          <w:rFonts w:ascii="Sylfaen" w:hAnsi="Sylfaen"/>
          <w:sz w:val="24"/>
          <w:szCs w:val="24"/>
        </w:rPr>
        <w:t xml:space="preserve"> հեղինակների անունները </w:t>
      </w:r>
      <w:r w:rsidRPr="00834D52">
        <w:rPr>
          <w:rFonts w:ascii="Sylfaen" w:hAnsi="Sylfaen"/>
          <w:sz w:val="24"/>
          <w:szCs w:val="24"/>
        </w:rPr>
        <w:lastRenderedPageBreak/>
        <w:t>լատիներենով, քեմոտիպը (անհրաժեշտության դեպքում), ծագման աղբյուրը (վայրի կամ մշակովի), ստացման աղբյուր հանդիսացող բույսի մորֆոլոգիական խումբը, բուսական ծագման բաղադրամասի անվանումը (սահմանումը):</w:t>
      </w:r>
    </w:p>
    <w:p w14:paraId="4EC1724B" w14:textId="32810A11"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«Կառուցվածք» բաժինը դեղաբուսական հումքը մանրացնելուց հետո ստացված բուսական ծագման դեղագործական բաղադրամասի համար ներառում է դրա կատեգորիայի նշումը (ամբողջական, մանրացված, փոշի), տարբեր եղանակներով (լուծամզում, թորում, մզում, թորզատում, մաքրում, խտացում, խմորում </w:t>
      </w:r>
      <w:r w:rsidR="00C54D75">
        <w:rPr>
          <w:rFonts w:ascii="Sylfaen" w:hAnsi="Sylfaen"/>
          <w:sz w:val="24"/>
          <w:szCs w:val="24"/>
        </w:rPr>
        <w:t>և</w:t>
      </w:r>
      <w:r w:rsidRPr="00834D52">
        <w:rPr>
          <w:rFonts w:ascii="Sylfaen" w:hAnsi="Sylfaen"/>
          <w:sz w:val="24"/>
          <w:szCs w:val="24"/>
        </w:rPr>
        <w:t xml:space="preserve"> այլն) դեղաբուսական հումքը մշակելուց հետո ստացված բուսական ծագման դեղագործական բաղադրամասի համար՝ ագրեգատային (ֆիզիկական) վիճակի նշումը (օրինակ՝ չոր, խիտ, հեղուկ լուծամզվածք), ինչպես նա</w:t>
      </w:r>
      <w:r w:rsidR="00C54D75">
        <w:rPr>
          <w:rFonts w:ascii="Sylfaen" w:hAnsi="Sylfaen"/>
          <w:sz w:val="24"/>
          <w:szCs w:val="24"/>
        </w:rPr>
        <w:t>և</w:t>
      </w:r>
      <w:r w:rsidRPr="00834D52">
        <w:rPr>
          <w:rFonts w:ascii="Sylfaen" w:hAnsi="Sylfaen"/>
          <w:sz w:val="24"/>
          <w:szCs w:val="24"/>
        </w:rPr>
        <w:t xml:space="preserve"> </w:t>
      </w:r>
      <w:r w:rsidR="005F6A31">
        <w:rPr>
          <w:rFonts w:ascii="Sylfaen" w:hAnsi="Sylfaen"/>
          <w:sz w:val="24"/>
          <w:szCs w:val="24"/>
        </w:rPr>
        <w:t>հայտնի</w:t>
      </w:r>
      <w:r w:rsidRPr="00834D52">
        <w:rPr>
          <w:rFonts w:ascii="Sylfaen" w:hAnsi="Sylfaen"/>
          <w:sz w:val="24"/>
          <w:szCs w:val="24"/>
        </w:rPr>
        <w:t xml:space="preserve"> թերապ</w:t>
      </w:r>
      <w:r w:rsidR="00C54D75">
        <w:rPr>
          <w:rFonts w:ascii="Sylfaen" w:hAnsi="Sylfaen"/>
          <w:sz w:val="24"/>
          <w:szCs w:val="24"/>
        </w:rPr>
        <w:t>և</w:t>
      </w:r>
      <w:r w:rsidRPr="00834D52">
        <w:rPr>
          <w:rFonts w:ascii="Sylfaen" w:hAnsi="Sylfaen"/>
          <w:sz w:val="24"/>
          <w:szCs w:val="24"/>
        </w:rPr>
        <w:t>տիկ ազդեցությամբ բաղադրիչների նկարագրությունը կամ մարկերները (մոլեկուլային բանաձ</w:t>
      </w:r>
      <w:r w:rsidR="00C54D75">
        <w:rPr>
          <w:rFonts w:ascii="Sylfaen" w:hAnsi="Sylfaen"/>
          <w:sz w:val="24"/>
          <w:szCs w:val="24"/>
        </w:rPr>
        <w:t>և</w:t>
      </w:r>
      <w:r w:rsidRPr="00834D52">
        <w:rPr>
          <w:rFonts w:ascii="Sylfaen" w:hAnsi="Sylfaen"/>
          <w:sz w:val="24"/>
          <w:szCs w:val="24"/>
        </w:rPr>
        <w:t>, հարաբերական մոլեկուլային զանգված, կառուցվածքային բանաձ</w:t>
      </w:r>
      <w:r w:rsidR="00C54D75">
        <w:rPr>
          <w:rFonts w:ascii="Sylfaen" w:hAnsi="Sylfaen"/>
          <w:sz w:val="24"/>
          <w:szCs w:val="24"/>
        </w:rPr>
        <w:t>և</w:t>
      </w:r>
      <w:r w:rsidRPr="00834D52">
        <w:rPr>
          <w:rFonts w:ascii="Sylfaen" w:hAnsi="Sylfaen"/>
          <w:sz w:val="24"/>
          <w:szCs w:val="24"/>
        </w:rPr>
        <w:t xml:space="preserve">, ներառյալ՝ հարաբերական </w:t>
      </w:r>
      <w:r w:rsidR="00C54D75">
        <w:rPr>
          <w:rFonts w:ascii="Sylfaen" w:hAnsi="Sylfaen"/>
          <w:sz w:val="24"/>
          <w:szCs w:val="24"/>
        </w:rPr>
        <w:t>և</w:t>
      </w:r>
      <w:r w:rsidRPr="00834D52">
        <w:rPr>
          <w:rFonts w:ascii="Sylfaen" w:hAnsi="Sylfaen"/>
          <w:sz w:val="24"/>
          <w:szCs w:val="24"/>
        </w:rPr>
        <w:t xml:space="preserve"> բացարձակ տարածական կառուցվածքը, մոլեկուլային բանաձ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 </w:t>
      </w:r>
      <w:r w:rsidR="00C54D75">
        <w:rPr>
          <w:rFonts w:ascii="Sylfaen" w:hAnsi="Sylfaen"/>
          <w:sz w:val="24"/>
          <w:szCs w:val="24"/>
        </w:rPr>
        <w:t>և</w:t>
      </w:r>
      <w:r w:rsidRPr="00834D52">
        <w:rPr>
          <w:rFonts w:ascii="Sylfaen" w:hAnsi="Sylfaen"/>
          <w:sz w:val="24"/>
          <w:szCs w:val="24"/>
        </w:rPr>
        <w:t xml:space="preserve"> այլ բաղադրիչներ:</w:t>
      </w:r>
    </w:p>
    <w:p w14:paraId="6E4A82E2" w14:textId="3A066928"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Դեղաբուսական հումքի արտադրողի մասին բաժինը պետք է պարունակի հետ</w:t>
      </w:r>
      <w:r w:rsidR="00C54D75">
        <w:rPr>
          <w:rFonts w:ascii="Sylfaen" w:hAnsi="Sylfaen"/>
          <w:sz w:val="24"/>
          <w:szCs w:val="24"/>
        </w:rPr>
        <w:t>և</w:t>
      </w:r>
      <w:r w:rsidRPr="00834D52">
        <w:rPr>
          <w:rFonts w:ascii="Sylfaen" w:hAnsi="Sylfaen"/>
          <w:sz w:val="24"/>
          <w:szCs w:val="24"/>
        </w:rPr>
        <w:t xml:space="preserve">յալ տեղեկությունները՝ յուրաքանչյուր մատակարարի անվանումը, հասցեն </w:t>
      </w:r>
      <w:r w:rsidR="00C54D75">
        <w:rPr>
          <w:rFonts w:ascii="Sylfaen" w:hAnsi="Sylfaen"/>
          <w:sz w:val="24"/>
          <w:szCs w:val="24"/>
        </w:rPr>
        <w:t>և</w:t>
      </w:r>
      <w:r w:rsidRPr="00834D52">
        <w:rPr>
          <w:rFonts w:ascii="Sylfaen" w:hAnsi="Sylfaen"/>
          <w:sz w:val="24"/>
          <w:szCs w:val="24"/>
        </w:rPr>
        <w:t xml:space="preserve"> պատասխանատվությունը, դեղաբուսական հումքի մթերման (արտադրության) </w:t>
      </w:r>
      <w:r w:rsidR="00C54D75">
        <w:rPr>
          <w:rFonts w:ascii="Sylfaen" w:hAnsi="Sylfaen"/>
          <w:sz w:val="24"/>
          <w:szCs w:val="24"/>
        </w:rPr>
        <w:t>և</w:t>
      </w:r>
      <w:r w:rsidRPr="00834D52">
        <w:rPr>
          <w:rFonts w:ascii="Sylfaen" w:hAnsi="Sylfaen"/>
          <w:sz w:val="24"/>
          <w:szCs w:val="24"/>
        </w:rPr>
        <w:t xml:space="preserve"> որակի հսկողության գործում ներգրավված յուրաքանչյուր արտադրական </w:t>
      </w:r>
      <w:r w:rsidR="00CD23DD">
        <w:rPr>
          <w:rFonts w:ascii="Sylfaen" w:hAnsi="Sylfaen"/>
          <w:sz w:val="24"/>
          <w:szCs w:val="24"/>
        </w:rPr>
        <w:t>հարթակը</w:t>
      </w:r>
      <w:r w:rsidRPr="00834D52">
        <w:rPr>
          <w:rFonts w:ascii="Sylfaen" w:hAnsi="Sylfaen"/>
          <w:sz w:val="24"/>
          <w:szCs w:val="24"/>
        </w:rPr>
        <w:t xml:space="preserve"> կամ լաբորատորիան:</w:t>
      </w:r>
    </w:p>
    <w:p w14:paraId="3B8BF790" w14:textId="7575BE31" w:rsidR="006F76EB" w:rsidRPr="00834D52" w:rsidRDefault="006F76EB" w:rsidP="00E902EF">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Դեղաբուսական հումքից ստացված արտադրանքի արտադրողի մասին բաժինը պետք է պարունակի հետ</w:t>
      </w:r>
      <w:r w:rsidR="00C54D75">
        <w:rPr>
          <w:rFonts w:ascii="Sylfaen" w:hAnsi="Sylfaen"/>
          <w:sz w:val="24"/>
          <w:szCs w:val="24"/>
        </w:rPr>
        <w:t>և</w:t>
      </w:r>
      <w:r w:rsidRPr="00834D52">
        <w:rPr>
          <w:rFonts w:ascii="Sylfaen" w:hAnsi="Sylfaen"/>
          <w:sz w:val="24"/>
          <w:szCs w:val="24"/>
        </w:rPr>
        <w:t xml:space="preserve">յալ տեղեկությունները՝ յուրաքանչյուր մատակարարի անվանումը, հասցեն </w:t>
      </w:r>
      <w:r w:rsidR="00C54D75">
        <w:rPr>
          <w:rFonts w:ascii="Sylfaen" w:hAnsi="Sylfaen"/>
          <w:sz w:val="24"/>
          <w:szCs w:val="24"/>
        </w:rPr>
        <w:t>և</w:t>
      </w:r>
      <w:r w:rsidRPr="00834D52">
        <w:rPr>
          <w:rFonts w:ascii="Sylfaen" w:hAnsi="Sylfaen"/>
          <w:sz w:val="24"/>
          <w:szCs w:val="24"/>
        </w:rPr>
        <w:t xml:space="preserve"> պատասխանատվությունը, դեղաբուսական հումքից ստացված արտադրանքի արտադրության </w:t>
      </w:r>
      <w:r w:rsidR="00C54D75">
        <w:rPr>
          <w:rFonts w:ascii="Sylfaen" w:hAnsi="Sylfaen"/>
          <w:sz w:val="24"/>
          <w:szCs w:val="24"/>
        </w:rPr>
        <w:t>և</w:t>
      </w:r>
      <w:r w:rsidRPr="00834D52">
        <w:rPr>
          <w:rFonts w:ascii="Sylfaen" w:hAnsi="Sylfaen"/>
          <w:sz w:val="24"/>
          <w:szCs w:val="24"/>
        </w:rPr>
        <w:t xml:space="preserve"> որակի հսկողության գործում ներգրավված յուրաքանչյուր արտադրական </w:t>
      </w:r>
      <w:r w:rsidR="00CD23DD">
        <w:rPr>
          <w:rFonts w:ascii="Sylfaen" w:hAnsi="Sylfaen"/>
          <w:sz w:val="24"/>
          <w:szCs w:val="24"/>
        </w:rPr>
        <w:t>հարթակը</w:t>
      </w:r>
      <w:r w:rsidRPr="00834D52">
        <w:rPr>
          <w:rFonts w:ascii="Sylfaen" w:hAnsi="Sylfaen"/>
          <w:sz w:val="24"/>
          <w:szCs w:val="24"/>
        </w:rPr>
        <w:t xml:space="preserve"> կամ լաբորատորիան :</w:t>
      </w:r>
    </w:p>
    <w:p w14:paraId="03A512AD" w14:textId="77777777" w:rsidR="006F76EB" w:rsidRPr="0030798D" w:rsidRDefault="006F76EB" w:rsidP="00E902EF">
      <w:pPr>
        <w:spacing w:after="160" w:line="348" w:lineRule="auto"/>
        <w:ind w:right="-8" w:firstLine="567"/>
        <w:jc w:val="both"/>
        <w:rPr>
          <w:rFonts w:ascii="Sylfaen" w:eastAsia="Times New Roman" w:hAnsi="Sylfaen" w:cs="Times New Roman"/>
          <w:spacing w:val="-6"/>
          <w:sz w:val="24"/>
          <w:szCs w:val="24"/>
        </w:rPr>
      </w:pPr>
      <w:r w:rsidRPr="00834D52">
        <w:rPr>
          <w:rFonts w:ascii="Sylfaen" w:hAnsi="Sylfaen"/>
          <w:sz w:val="24"/>
          <w:szCs w:val="24"/>
        </w:rPr>
        <w:t>«</w:t>
      </w:r>
      <w:r w:rsidRPr="0030798D">
        <w:rPr>
          <w:rFonts w:ascii="Sylfaen" w:hAnsi="Sylfaen"/>
          <w:spacing w:val="-6"/>
          <w:sz w:val="24"/>
          <w:szCs w:val="24"/>
        </w:rPr>
        <w:t xml:space="preserve">Արտադրական պրոցեսի </w:t>
      </w:r>
      <w:r w:rsidR="00C54D75">
        <w:rPr>
          <w:rFonts w:ascii="Sylfaen" w:hAnsi="Sylfaen"/>
          <w:spacing w:val="-6"/>
          <w:sz w:val="24"/>
          <w:szCs w:val="24"/>
        </w:rPr>
        <w:t>և</w:t>
      </w:r>
      <w:r w:rsidRPr="0030798D">
        <w:rPr>
          <w:rFonts w:ascii="Sylfaen" w:hAnsi="Sylfaen"/>
          <w:spacing w:val="-6"/>
          <w:sz w:val="24"/>
          <w:szCs w:val="24"/>
        </w:rPr>
        <w:t xml:space="preserve"> դրա հսկողության նկարագրություն» բաժինը դեղաբուսական հումքի համար պետք է պարունակի վայրի կամ մշակովի դեղաբուսական հումքի (դեղաբույսի աշխարհագրական աղբյուր, մշակման պրոցեսի </w:t>
      </w:r>
      <w:r w:rsidRPr="0030798D">
        <w:rPr>
          <w:rFonts w:ascii="Sylfaen" w:hAnsi="Sylfaen"/>
          <w:spacing w:val="-6"/>
          <w:sz w:val="24"/>
          <w:szCs w:val="24"/>
        </w:rPr>
        <w:lastRenderedPageBreak/>
        <w:t xml:space="preserve">նկարագրություն) մթերման պրոցեսի մասին տեղեկություններ ու դրա հետագա մշակման եղանակները (հավաքում, չորացում) </w:t>
      </w:r>
      <w:r w:rsidR="00C54D75">
        <w:rPr>
          <w:rFonts w:ascii="Sylfaen" w:hAnsi="Sylfaen"/>
          <w:spacing w:val="-6"/>
          <w:sz w:val="24"/>
          <w:szCs w:val="24"/>
        </w:rPr>
        <w:t>և</w:t>
      </w:r>
      <w:r w:rsidRPr="0030798D">
        <w:rPr>
          <w:rFonts w:ascii="Sylfaen" w:hAnsi="Sylfaen"/>
          <w:spacing w:val="-6"/>
          <w:sz w:val="24"/>
          <w:szCs w:val="24"/>
        </w:rPr>
        <w:t xml:space="preserve"> պահպանման պայմանները: Դեղաբուսական հումքից ստացված արտադրանքի համար անհրաժեշտ է ներկայացնել արտադրանքի ստացման արտադրական պրոցեսի վերաբերյալ տեղեկություններ, ներառյալ՝ մշակման, լուծիչների </w:t>
      </w:r>
      <w:r w:rsidR="00C54D75">
        <w:rPr>
          <w:rFonts w:ascii="Sylfaen" w:hAnsi="Sylfaen"/>
          <w:spacing w:val="-6"/>
          <w:sz w:val="24"/>
          <w:szCs w:val="24"/>
        </w:rPr>
        <w:t>և</w:t>
      </w:r>
      <w:r w:rsidRPr="0030798D">
        <w:rPr>
          <w:rFonts w:ascii="Sylfaen" w:hAnsi="Sylfaen"/>
          <w:spacing w:val="-6"/>
          <w:sz w:val="24"/>
          <w:szCs w:val="24"/>
        </w:rPr>
        <w:t xml:space="preserve"> ռեագենտների, մաքրման </w:t>
      </w:r>
      <w:r w:rsidR="00C54D75">
        <w:rPr>
          <w:rFonts w:ascii="Sylfaen" w:hAnsi="Sylfaen"/>
          <w:spacing w:val="-6"/>
          <w:sz w:val="24"/>
          <w:szCs w:val="24"/>
        </w:rPr>
        <w:t>և</w:t>
      </w:r>
      <w:r w:rsidRPr="0030798D">
        <w:rPr>
          <w:rFonts w:ascii="Sylfaen" w:hAnsi="Sylfaen"/>
          <w:spacing w:val="-6"/>
          <w:sz w:val="24"/>
          <w:szCs w:val="24"/>
        </w:rPr>
        <w:t xml:space="preserve"> ստանդարտացման փուլերի նկարագրությունը (անհրաժեշտության դեպքում):</w:t>
      </w:r>
    </w:p>
    <w:p w14:paraId="6ECA35A3"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պրոցեսի մշակման առնչությամբ անհրաժեշտ է ներկայացնել ռեզյումե, որի մեջ նկարագրվում է բուսական սուբստանցիայի մշակումը: Դեղաբուսական հումքից ստացված արտադրանքի արտադրական պրոցեսի մշակման առնչությամբ անհրաժեշտ է ներկայացնել ռեզյումե, որի մեջ նկարագրվում է արտադրանքի մշակումը` հաշվի առնելով դեղաբուսական պատրաստուկի ներմուծման ենթադրվող եղանակը </w:t>
      </w:r>
      <w:r w:rsidR="00C54D75">
        <w:rPr>
          <w:rFonts w:ascii="Sylfaen" w:hAnsi="Sylfaen"/>
          <w:sz w:val="24"/>
          <w:szCs w:val="24"/>
        </w:rPr>
        <w:t>և</w:t>
      </w:r>
      <w:r w:rsidRPr="00834D52">
        <w:rPr>
          <w:rFonts w:ascii="Sylfaen" w:hAnsi="Sylfaen"/>
          <w:sz w:val="24"/>
          <w:szCs w:val="24"/>
        </w:rPr>
        <w:t xml:space="preserve"> դրա բժշկական կիրառումը: Անհրաժեշտ է դիտարկել դեղաբուսական հումքի </w:t>
      </w:r>
      <w:r w:rsidR="00C54D75">
        <w:rPr>
          <w:rFonts w:ascii="Sylfaen" w:hAnsi="Sylfaen"/>
          <w:sz w:val="24"/>
          <w:szCs w:val="24"/>
        </w:rPr>
        <w:t>և</w:t>
      </w:r>
      <w:r w:rsidRPr="00834D52">
        <w:rPr>
          <w:rFonts w:ascii="Sylfaen" w:hAnsi="Sylfaen"/>
          <w:sz w:val="24"/>
          <w:szCs w:val="24"/>
        </w:rPr>
        <w:t xml:space="preserve"> դեղաբուսական հումքից ստացված արտադրանքի համեմատական բուսաքիմիական վերլուծության արդյունքները` օգտագործելով մատենագիտական տվյալները (անհրաժեշտության դեպքում):</w:t>
      </w:r>
    </w:p>
    <w:p w14:paraId="5E78904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հումքի կառուցվածքը </w:t>
      </w:r>
      <w:r w:rsidR="00C54D75">
        <w:rPr>
          <w:rFonts w:ascii="Sylfaen" w:hAnsi="Sylfaen"/>
          <w:sz w:val="24"/>
          <w:szCs w:val="24"/>
        </w:rPr>
        <w:t>և</w:t>
      </w:r>
      <w:r w:rsidRPr="00834D52">
        <w:rPr>
          <w:rFonts w:ascii="Sylfaen" w:hAnsi="Sylfaen"/>
          <w:sz w:val="24"/>
          <w:szCs w:val="24"/>
        </w:rPr>
        <w:t xml:space="preserve"> այլ բնութագրեր նկարագրելիս անհրաժեշտ է ներկայացնել բուսաբանական, մակրոսկոպիկ, միկրոսկոպիկ </w:t>
      </w:r>
      <w:r w:rsidR="00C54D75">
        <w:rPr>
          <w:rFonts w:ascii="Sylfaen" w:hAnsi="Sylfaen"/>
          <w:sz w:val="24"/>
          <w:szCs w:val="24"/>
        </w:rPr>
        <w:t>և</w:t>
      </w:r>
      <w:r w:rsidRPr="00834D52">
        <w:rPr>
          <w:rFonts w:ascii="Sylfaen" w:hAnsi="Sylfaen"/>
          <w:sz w:val="24"/>
          <w:szCs w:val="24"/>
        </w:rPr>
        <w:t xml:space="preserve"> բուսաքիմիական բնութագրերի ու կենսաբանական ակտիվության վերաբերյալ տեղեկություններ (անհրաժեշտության դեպքում):</w:t>
      </w:r>
    </w:p>
    <w:p w14:paraId="5244849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հումքից ստացված արտադրանքի բաղադրությունը </w:t>
      </w:r>
      <w:r w:rsidR="00C54D75">
        <w:rPr>
          <w:rFonts w:ascii="Sylfaen" w:hAnsi="Sylfaen"/>
          <w:sz w:val="24"/>
          <w:szCs w:val="24"/>
        </w:rPr>
        <w:t>և</w:t>
      </w:r>
      <w:r w:rsidRPr="00834D52">
        <w:rPr>
          <w:rFonts w:ascii="Sylfaen" w:hAnsi="Sylfaen"/>
          <w:sz w:val="24"/>
          <w:szCs w:val="24"/>
        </w:rPr>
        <w:t xml:space="preserve"> այլ բնութագրեր նկարագրելիս անհրաժեշտ է ներկայացնել բուսական ծագման արտադրանքի բուսա- </w:t>
      </w:r>
      <w:r w:rsidR="00C54D75">
        <w:rPr>
          <w:rFonts w:ascii="Sylfaen" w:hAnsi="Sylfaen"/>
          <w:sz w:val="24"/>
          <w:szCs w:val="24"/>
        </w:rPr>
        <w:t>և</w:t>
      </w:r>
      <w:r w:rsidRPr="00834D52">
        <w:rPr>
          <w:rFonts w:ascii="Sylfaen" w:hAnsi="Sylfaen"/>
          <w:sz w:val="24"/>
          <w:szCs w:val="24"/>
        </w:rPr>
        <w:t xml:space="preserve"> ֆիզիկաքիմիական բնութագրերի </w:t>
      </w:r>
      <w:r w:rsidR="00C54D75">
        <w:rPr>
          <w:rFonts w:ascii="Sylfaen" w:hAnsi="Sylfaen"/>
          <w:sz w:val="24"/>
          <w:szCs w:val="24"/>
        </w:rPr>
        <w:t>և</w:t>
      </w:r>
      <w:r w:rsidRPr="00834D52">
        <w:rPr>
          <w:rFonts w:ascii="Sylfaen" w:hAnsi="Sylfaen"/>
          <w:sz w:val="24"/>
          <w:szCs w:val="24"/>
        </w:rPr>
        <w:t xml:space="preserve"> կենսաբանական ակտիվության վերաբերյալ տեղեկություններ (անհրաժեշտության դեպքում):</w:t>
      </w:r>
    </w:p>
    <w:p w14:paraId="29A015B6"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ներկայացնել բուսական դեղահումքի </w:t>
      </w:r>
      <w:r w:rsidR="00C54D75">
        <w:rPr>
          <w:rFonts w:ascii="Sylfaen" w:hAnsi="Sylfaen"/>
          <w:sz w:val="24"/>
          <w:szCs w:val="24"/>
        </w:rPr>
        <w:t>և</w:t>
      </w:r>
      <w:r w:rsidRPr="00834D52">
        <w:rPr>
          <w:rFonts w:ascii="Sylfaen" w:hAnsi="Sylfaen"/>
          <w:sz w:val="24"/>
          <w:szCs w:val="24"/>
        </w:rPr>
        <w:t xml:space="preserve"> բուսական դեղահումքից ստացված արտադրանքի համար մասնագրերը (անհրաժեշտության դեպքում):</w:t>
      </w:r>
    </w:p>
    <w:p w14:paraId="7D6DB411"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բնական ծագման դեղագործական բաղադրամասի </w:t>
      </w:r>
      <w:r w:rsidRPr="00834D52">
        <w:rPr>
          <w:rFonts w:ascii="Sylfaen" w:hAnsi="Sylfaen"/>
          <w:sz w:val="24"/>
          <w:szCs w:val="24"/>
        </w:rPr>
        <w:lastRenderedPageBreak/>
        <w:t>փորձարկման համար օգտագործվող վերլուծական մեթոդիկաները, ներկայացնել դրանց վալիդացման մասին հաշվետվություն (եթե դրանք դեղագրքային չեն), ներառյալ՝ փորձարկան համար օգտագործվող վերլուծական մեթոդիկաների համար փորձառական տվյալները:</w:t>
      </w:r>
    </w:p>
    <w:p w14:paraId="74A1DEE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Սերիաների վերլուծության տվյալներն անհրաժեշտ է ներկայացնել որպես սերիաների </w:t>
      </w:r>
      <w:r w:rsidR="00C54D75">
        <w:rPr>
          <w:rFonts w:ascii="Sylfaen" w:hAnsi="Sylfaen"/>
          <w:sz w:val="24"/>
          <w:szCs w:val="24"/>
        </w:rPr>
        <w:t>և</w:t>
      </w:r>
      <w:r w:rsidRPr="00834D52">
        <w:rPr>
          <w:rFonts w:ascii="Sylfaen" w:hAnsi="Sylfaen"/>
          <w:sz w:val="24"/>
          <w:szCs w:val="24"/>
        </w:rPr>
        <w:t xml:space="preserve"> բուսական ծագման բաղադրամասերի սերիաների վերլուծությունների այնպիսի արդյունքների նկարագրություն, որոնք ներառում են դեղագրքային սուբստանցիաների համար տվյալներ:</w:t>
      </w:r>
    </w:p>
    <w:p w14:paraId="00F1C932" w14:textId="77777777"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Անհրաժեշտության դեպքում հարկավոր է ներկայացնել բուսական ծագման բաղադրամասերի մասնագրերի հիմնավորումը:</w:t>
      </w:r>
    </w:p>
    <w:p w14:paraId="56C04553" w14:textId="77777777"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ներկայացնել բուսական ծագման բաղադրամասերի փորձարկումների համար օգտագործվող նմուշների </w:t>
      </w:r>
      <w:r w:rsidR="00C54D75">
        <w:rPr>
          <w:rFonts w:ascii="Sylfaen" w:hAnsi="Sylfaen"/>
          <w:sz w:val="24"/>
          <w:szCs w:val="24"/>
        </w:rPr>
        <w:t>և</w:t>
      </w:r>
      <w:r w:rsidRPr="00834D52">
        <w:rPr>
          <w:rFonts w:ascii="Sylfaen" w:hAnsi="Sylfaen"/>
          <w:sz w:val="24"/>
          <w:szCs w:val="24"/>
        </w:rPr>
        <w:t xml:space="preserve"> նյութերի ստանդարտների մասին տեղեկատվություն:</w:t>
      </w:r>
    </w:p>
    <w:p w14:paraId="293069E8" w14:textId="410E5A1B" w:rsidR="006F76EB" w:rsidRDefault="006F76EB" w:rsidP="00453EB9">
      <w:pPr>
        <w:spacing w:after="160" w:line="360" w:lineRule="auto"/>
        <w:ind w:right="-6" w:firstLine="567"/>
        <w:jc w:val="both"/>
        <w:rPr>
          <w:rFonts w:ascii="Sylfaen" w:hAnsi="Sylfaen"/>
          <w:sz w:val="24"/>
          <w:szCs w:val="24"/>
        </w:rPr>
      </w:pPr>
      <w:r w:rsidRPr="00834D52">
        <w:rPr>
          <w:rFonts w:ascii="Sylfaen" w:hAnsi="Sylfaen"/>
          <w:sz w:val="24"/>
          <w:szCs w:val="24"/>
        </w:rPr>
        <w:t xml:space="preserve">Եթե բուսական ծագման բաղադրամասի վերաբերյալ մենագրությունը ներառված է Եվրոպական դեղագքրի մեջ, ապա </w:t>
      </w:r>
      <w:r w:rsidR="0056496B">
        <w:rPr>
          <w:rFonts w:ascii="Sylfaen" w:hAnsi="Sylfaen"/>
          <w:sz w:val="24"/>
          <w:szCs w:val="24"/>
        </w:rPr>
        <w:t>դիմումատու</w:t>
      </w:r>
      <w:r w:rsidRPr="00834D52">
        <w:rPr>
          <w:rFonts w:ascii="Sylfaen" w:hAnsi="Sylfaen"/>
          <w:sz w:val="24"/>
          <w:szCs w:val="24"/>
        </w:rPr>
        <w:t>ն կարող է ներկայացնել դեղամիջոցների որակի հարցերով Եվրոպական տնօրինության կողմից տրվող համապատասխանության սերտիֆիկատ (առկայության դեպքում):</w:t>
      </w:r>
    </w:p>
    <w:p w14:paraId="1E7EF8F8" w14:textId="41F268CE" w:rsidR="00CD23DD" w:rsidRPr="006F28F9" w:rsidRDefault="00CD23DD" w:rsidP="00CD23DD">
      <w:pPr>
        <w:rPr>
          <w:b/>
          <w:bCs/>
          <w:i/>
          <w:iCs/>
        </w:rPr>
      </w:pPr>
      <w:r w:rsidRPr="00CD4709">
        <w:rPr>
          <w:b/>
          <w:bCs/>
          <w:i/>
          <w:iCs/>
        </w:rPr>
        <w:t>(</w:t>
      </w:r>
      <w:r>
        <w:rPr>
          <w:b/>
          <w:bCs/>
          <w:i/>
          <w:iCs/>
        </w:rPr>
        <w:t xml:space="preserve">15.1.1 կետը </w:t>
      </w:r>
      <w:r w:rsidRPr="00CD4709">
        <w:rPr>
          <w:b/>
          <w:bCs/>
          <w:i/>
          <w:iCs/>
        </w:rPr>
        <w:t>փոփ. 30.01.20 թիվ 9)</w:t>
      </w:r>
    </w:p>
    <w:p w14:paraId="5EA3A4D5" w14:textId="77777777" w:rsidR="00CD23DD" w:rsidRPr="00834D52" w:rsidRDefault="00CD23DD" w:rsidP="00453EB9">
      <w:pPr>
        <w:spacing w:after="160" w:line="360" w:lineRule="auto"/>
        <w:ind w:right="-6" w:firstLine="567"/>
        <w:jc w:val="both"/>
        <w:rPr>
          <w:rFonts w:ascii="Sylfaen" w:eastAsia="Times New Roman" w:hAnsi="Sylfaen" w:cs="Times New Roman"/>
          <w:sz w:val="24"/>
          <w:szCs w:val="24"/>
        </w:rPr>
      </w:pPr>
    </w:p>
    <w:p w14:paraId="415BA5AC" w14:textId="77777777" w:rsidR="006F76EB" w:rsidRPr="00834D52" w:rsidRDefault="006F76EB" w:rsidP="00453EB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15.1.2.</w:t>
      </w:r>
      <w:r w:rsidRPr="00834D52">
        <w:rPr>
          <w:rFonts w:ascii="Sylfaen" w:hAnsi="Sylfaen"/>
          <w:sz w:val="24"/>
          <w:szCs w:val="24"/>
        </w:rPr>
        <w:tab/>
        <w:t>Դեղաբուսական պատրաստուկներ.</w:t>
      </w:r>
    </w:p>
    <w:p w14:paraId="73EFA0C1" w14:textId="33ECE62B"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Բաղադրության մշակման վերաբերյալ անհրաժեշտ է ներկայացնել ռեզյումե, որի մեջ նկարագրված է դեղաբուսական պատրաստուկի մշակումը` հաշվի առնելով ներմուծման ենթադրվող ուղին </w:t>
      </w:r>
      <w:r w:rsidR="00C54D75">
        <w:rPr>
          <w:rFonts w:ascii="Sylfaen" w:hAnsi="Sylfaen"/>
          <w:sz w:val="24"/>
          <w:szCs w:val="24"/>
        </w:rPr>
        <w:t>և</w:t>
      </w:r>
      <w:r w:rsidRPr="00834D52">
        <w:rPr>
          <w:rFonts w:ascii="Sylfaen" w:hAnsi="Sylfaen"/>
          <w:sz w:val="24"/>
          <w:szCs w:val="24"/>
        </w:rPr>
        <w:t xml:space="preserve"> օգտագործումը: Անհրաժեշտ է վերլուծել </w:t>
      </w:r>
      <w:r w:rsidR="001A5F1A">
        <w:rPr>
          <w:rFonts w:ascii="Sylfaen" w:hAnsi="Sylfaen"/>
          <w:sz w:val="24"/>
          <w:szCs w:val="24"/>
        </w:rPr>
        <w:t>հայտագրված</w:t>
      </w:r>
      <w:r w:rsidRPr="00834D52">
        <w:rPr>
          <w:rFonts w:ascii="Sylfaen" w:hAnsi="Sylfaen"/>
          <w:sz w:val="24"/>
          <w:szCs w:val="24"/>
        </w:rPr>
        <w:t xml:space="preserve"> դեղաբուսական պատրաստուկի բուսաքիմիական բաղադրության մասին տվյալներն ու մատենագիտության գիտական աղբյուրներում բերված տվյալները:</w:t>
      </w:r>
    </w:p>
    <w:p w14:paraId="4AF7142F"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«Արտադրական պրոցեսի </w:t>
      </w:r>
      <w:r w:rsidR="00C54D75">
        <w:rPr>
          <w:rFonts w:ascii="Sylfaen" w:hAnsi="Sylfaen"/>
          <w:sz w:val="24"/>
          <w:szCs w:val="24"/>
        </w:rPr>
        <w:t>և</w:t>
      </w:r>
      <w:r w:rsidRPr="00834D52">
        <w:rPr>
          <w:rFonts w:ascii="Sylfaen" w:hAnsi="Sylfaen"/>
          <w:sz w:val="24"/>
          <w:szCs w:val="24"/>
        </w:rPr>
        <w:t xml:space="preserve"> դրա հսկողության նկարագրություն» բաժինը դեղաբուսական պատրաստուկի համար պետք է պարունակի պատրաստուկի ստացման արտադրական պրոցեսի վերաբերյալ տեղեկություններ, ներառյալ՝ մշակման, լուծիչների </w:t>
      </w:r>
      <w:r w:rsidR="00C54D75">
        <w:rPr>
          <w:rFonts w:ascii="Sylfaen" w:hAnsi="Sylfaen"/>
          <w:sz w:val="24"/>
          <w:szCs w:val="24"/>
        </w:rPr>
        <w:t>և</w:t>
      </w:r>
      <w:r w:rsidRPr="00834D52">
        <w:rPr>
          <w:rFonts w:ascii="Sylfaen" w:hAnsi="Sylfaen"/>
          <w:sz w:val="24"/>
          <w:szCs w:val="24"/>
        </w:rPr>
        <w:t xml:space="preserve"> ռեագենտների, օժանդակ նյութերի, մաքրման </w:t>
      </w:r>
      <w:r w:rsidR="00C54D75">
        <w:rPr>
          <w:rFonts w:ascii="Sylfaen" w:hAnsi="Sylfaen"/>
          <w:sz w:val="24"/>
          <w:szCs w:val="24"/>
        </w:rPr>
        <w:t>և</w:t>
      </w:r>
      <w:r w:rsidRPr="00834D52">
        <w:rPr>
          <w:rFonts w:ascii="Sylfaen" w:hAnsi="Sylfaen"/>
          <w:sz w:val="24"/>
          <w:szCs w:val="24"/>
        </w:rPr>
        <w:t xml:space="preserve"> ստանդարտացման փուլերի նկարագրությունը (անհրաժեշտության դեպքում):</w:t>
      </w:r>
    </w:p>
    <w:p w14:paraId="03CE2386" w14:textId="77777777" w:rsidR="006F76EB" w:rsidRPr="00834D52" w:rsidRDefault="006F76EB" w:rsidP="00EE00B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15.1.3.</w:t>
      </w:r>
      <w:r w:rsidRPr="00834D52">
        <w:rPr>
          <w:rFonts w:ascii="Sylfaen" w:hAnsi="Sylfaen"/>
          <w:sz w:val="24"/>
          <w:szCs w:val="24"/>
        </w:rPr>
        <w:tab/>
        <w:t xml:space="preserve">Մոդուլներ 4 </w:t>
      </w:r>
      <w:r w:rsidR="00C54D75">
        <w:rPr>
          <w:rFonts w:ascii="Sylfaen" w:hAnsi="Sylfaen"/>
          <w:sz w:val="24"/>
          <w:szCs w:val="24"/>
        </w:rPr>
        <w:t>և</w:t>
      </w:r>
      <w:r w:rsidRPr="00834D52">
        <w:rPr>
          <w:rFonts w:ascii="Sylfaen" w:hAnsi="Sylfaen"/>
          <w:sz w:val="24"/>
          <w:szCs w:val="24"/>
        </w:rPr>
        <w:t xml:space="preserve"> 5.</w:t>
      </w:r>
    </w:p>
    <w:p w14:paraId="163573FE" w14:textId="77777777" w:rsidR="006F76EB" w:rsidRPr="00834D52" w:rsidRDefault="006F76EB" w:rsidP="00E902E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(թունաբանական </w:t>
      </w:r>
      <w:r w:rsidR="00C54D75">
        <w:rPr>
          <w:rFonts w:ascii="Sylfaen" w:hAnsi="Sylfaen"/>
          <w:sz w:val="24"/>
          <w:szCs w:val="24"/>
        </w:rPr>
        <w:t>և</w:t>
      </w:r>
      <w:r w:rsidRPr="00834D52">
        <w:rPr>
          <w:rFonts w:ascii="Sylfaen" w:hAnsi="Sylfaen"/>
          <w:sz w:val="24"/>
          <w:szCs w:val="24"/>
        </w:rPr>
        <w:t xml:space="preserve"> դեղաբանական) </w:t>
      </w:r>
      <w:r w:rsidR="00C54D75">
        <w:rPr>
          <w:rFonts w:ascii="Sylfaen" w:hAnsi="Sylfaen"/>
          <w:sz w:val="24"/>
          <w:szCs w:val="24"/>
        </w:rPr>
        <w:t>և</w:t>
      </w:r>
      <w:r w:rsidRPr="00834D52">
        <w:rPr>
          <w:rFonts w:ascii="Sylfaen" w:hAnsi="Sylfaen"/>
          <w:sz w:val="24"/>
          <w:szCs w:val="24"/>
        </w:rPr>
        <w:t xml:space="preserve"> կլինիկական հետազետությունների արդյունքները.</w:t>
      </w:r>
    </w:p>
    <w:p w14:paraId="1BAFA67A"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համակցված բուսական պատրաստուկների դեպքում (ներառյալ վիտամինների </w:t>
      </w:r>
      <w:r w:rsidR="00C54D75">
        <w:rPr>
          <w:rFonts w:ascii="Sylfaen" w:hAnsi="Sylfaen"/>
          <w:sz w:val="24"/>
          <w:szCs w:val="24"/>
        </w:rPr>
        <w:t>և</w:t>
      </w:r>
      <w:r w:rsidRPr="00834D52">
        <w:rPr>
          <w:rFonts w:ascii="Sylfaen" w:hAnsi="Sylfaen"/>
          <w:sz w:val="24"/>
          <w:szCs w:val="24"/>
        </w:rPr>
        <w:t xml:space="preserve"> (կամ) հանքային նյութերի հետ համակցությունները) համակցությունների առանձին բաղադրիչներ բավարար ուսումնասիրված չեն, ապա պետք է ներկայացվեն համակցության յուրաքանչյուր առանձին բաղադրիչի մասին տվյալներ:</w:t>
      </w:r>
    </w:p>
    <w:p w14:paraId="3C924992" w14:textId="77777777" w:rsidR="006F76EB" w:rsidRPr="00834D52" w:rsidRDefault="006F76EB" w:rsidP="00EE00B2">
      <w:pPr>
        <w:tabs>
          <w:tab w:val="left" w:pos="1701"/>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15.2.</w:t>
      </w:r>
      <w:r w:rsidRPr="00834D52">
        <w:rPr>
          <w:rFonts w:ascii="Sylfaen" w:hAnsi="Sylfaen"/>
          <w:sz w:val="24"/>
          <w:szCs w:val="24"/>
        </w:rPr>
        <w:tab/>
        <w:t>Դեղաբուսական պատրաստուկների պարզեցված գրանցման դոսյե.</w:t>
      </w:r>
    </w:p>
    <w:p w14:paraId="531D492B"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պատրաստուկների գրանցման համար պարզեցված գրանցման դեսյեն ներկայացվում է թուրմի, լուծամզվածքի </w:t>
      </w:r>
      <w:r w:rsidR="00C54D75">
        <w:rPr>
          <w:rFonts w:ascii="Sylfaen" w:hAnsi="Sylfaen"/>
          <w:sz w:val="24"/>
          <w:szCs w:val="24"/>
        </w:rPr>
        <w:t>և</w:t>
      </w:r>
      <w:r w:rsidRPr="00834D52">
        <w:rPr>
          <w:rFonts w:ascii="Sylfaen" w:hAnsi="Sylfaen"/>
          <w:sz w:val="24"/>
          <w:szCs w:val="24"/>
        </w:rPr>
        <w:t xml:space="preserve"> այլ դեղաձ</w:t>
      </w:r>
      <w:r w:rsidR="00C54D75">
        <w:rPr>
          <w:rFonts w:ascii="Sylfaen" w:hAnsi="Sylfaen"/>
          <w:sz w:val="24"/>
          <w:szCs w:val="24"/>
        </w:rPr>
        <w:t>և</w:t>
      </w:r>
      <w:r w:rsidRPr="00834D52">
        <w:rPr>
          <w:rFonts w:ascii="Sylfaen" w:hAnsi="Sylfaen"/>
          <w:sz w:val="24"/>
          <w:szCs w:val="24"/>
        </w:rPr>
        <w:t>երով դեղաբուսական դեղապատրաստուկների համար, ինչպես նա</w:t>
      </w:r>
      <w:r w:rsidR="00C54D75">
        <w:rPr>
          <w:rFonts w:ascii="Sylfaen" w:hAnsi="Sylfaen"/>
          <w:sz w:val="24"/>
          <w:szCs w:val="24"/>
        </w:rPr>
        <w:t>և</w:t>
      </w:r>
      <w:r w:rsidRPr="00834D52">
        <w:rPr>
          <w:rFonts w:ascii="Sylfaen" w:hAnsi="Sylfaen"/>
          <w:sz w:val="24"/>
          <w:szCs w:val="24"/>
        </w:rPr>
        <w:t xml:space="preserve"> բույսի մանրացված կամ փոշենման, կտրատած </w:t>
      </w:r>
      <w:r w:rsidR="00C54D75">
        <w:rPr>
          <w:rFonts w:ascii="Sylfaen" w:hAnsi="Sylfaen"/>
          <w:sz w:val="24"/>
          <w:szCs w:val="24"/>
        </w:rPr>
        <w:t>և</w:t>
      </w:r>
      <w:r w:rsidRPr="00834D52">
        <w:rPr>
          <w:rFonts w:ascii="Sylfaen" w:hAnsi="Sylfaen"/>
          <w:sz w:val="24"/>
          <w:szCs w:val="24"/>
        </w:rPr>
        <w:t xml:space="preserve"> մամլած մասերի համար ու այլ պատրաստուկների համար` հետ</w:t>
      </w:r>
      <w:r w:rsidR="00C54D75">
        <w:rPr>
          <w:rFonts w:ascii="Sylfaen" w:hAnsi="Sylfaen"/>
          <w:sz w:val="24"/>
          <w:szCs w:val="24"/>
        </w:rPr>
        <w:t>և</w:t>
      </w:r>
      <w:r w:rsidRPr="00834D52">
        <w:rPr>
          <w:rFonts w:ascii="Sylfaen" w:hAnsi="Sylfaen"/>
          <w:sz w:val="24"/>
          <w:szCs w:val="24"/>
        </w:rPr>
        <w:t>յալ պահանջներին հետ</w:t>
      </w:r>
      <w:r w:rsidR="00C54D75">
        <w:rPr>
          <w:rFonts w:ascii="Sylfaen" w:hAnsi="Sylfaen"/>
          <w:sz w:val="24"/>
          <w:szCs w:val="24"/>
        </w:rPr>
        <w:t>և</w:t>
      </w:r>
      <w:r w:rsidRPr="00834D52">
        <w:rPr>
          <w:rFonts w:ascii="Sylfaen" w:hAnsi="Sylfaen"/>
          <w:sz w:val="24"/>
          <w:szCs w:val="24"/>
        </w:rPr>
        <w:t xml:space="preserve">ելու դեպքում` </w:t>
      </w:r>
    </w:p>
    <w:p w14:paraId="258CDC60"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կիրառման ցուցումները համապատասխանում են դեղաբույսի ընդհանուր ճանաչում ունեցող հատկություններին ու բաղադրությանը </w:t>
      </w:r>
      <w:r w:rsidR="00C54D75">
        <w:rPr>
          <w:rFonts w:ascii="Sylfaen" w:hAnsi="Sylfaen"/>
          <w:sz w:val="24"/>
          <w:szCs w:val="24"/>
        </w:rPr>
        <w:t>և</w:t>
      </w:r>
      <w:r w:rsidRPr="00834D52">
        <w:rPr>
          <w:rFonts w:ascii="Sylfaen" w:hAnsi="Sylfaen"/>
          <w:sz w:val="24"/>
          <w:szCs w:val="24"/>
        </w:rPr>
        <w:t xml:space="preserve"> նախատեսված են կանխարգելման կամ բուժման նպատակով առանց բժշկի հսկողության կիրառելու համար.</w:t>
      </w:r>
    </w:p>
    <w:p w14:paraId="27EF1BFA"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ընդհանուր բնութագրով կիրառման եղանակների </w:t>
      </w:r>
      <w:r w:rsidR="00C54D75">
        <w:rPr>
          <w:rFonts w:ascii="Sylfaen" w:hAnsi="Sylfaen"/>
          <w:spacing w:val="4"/>
          <w:sz w:val="24"/>
          <w:szCs w:val="24"/>
        </w:rPr>
        <w:t>և</w:t>
      </w:r>
      <w:r w:rsidRPr="00834D52">
        <w:rPr>
          <w:rFonts w:ascii="Sylfaen" w:hAnsi="Sylfaen"/>
          <w:spacing w:val="4"/>
          <w:sz w:val="24"/>
          <w:szCs w:val="24"/>
        </w:rPr>
        <w:t xml:space="preserve"> դեղաչափերի դեպքում.</w:t>
      </w:r>
    </w:p>
    <w:p w14:paraId="1B111C2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նախատեսված է ներքին ընդունման կամ արտաքին, տեղային </w:t>
      </w:r>
      <w:r w:rsidR="00C54D75">
        <w:rPr>
          <w:rFonts w:ascii="Sylfaen" w:hAnsi="Sylfaen"/>
          <w:spacing w:val="4"/>
          <w:sz w:val="24"/>
          <w:szCs w:val="24"/>
        </w:rPr>
        <w:t>և</w:t>
      </w:r>
      <w:r w:rsidRPr="00834D52">
        <w:rPr>
          <w:rFonts w:ascii="Sylfaen" w:hAnsi="Sylfaen"/>
          <w:spacing w:val="4"/>
          <w:sz w:val="24"/>
          <w:szCs w:val="24"/>
        </w:rPr>
        <w:t xml:space="preserve"> (կամ) </w:t>
      </w:r>
      <w:r w:rsidRPr="00834D52">
        <w:rPr>
          <w:rFonts w:ascii="Sylfaen" w:hAnsi="Sylfaen"/>
          <w:spacing w:val="4"/>
          <w:sz w:val="24"/>
          <w:szCs w:val="24"/>
        </w:rPr>
        <w:lastRenderedPageBreak/>
        <w:t>ինհալացիայի միջոցով կիրառման համար.</w:t>
      </w:r>
    </w:p>
    <w:p w14:paraId="7A714E2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դեղաբուսական պատրաստուկի կիրառման անվտանգությունը հիմնված է երկարատ</w:t>
      </w:r>
      <w:r w:rsidR="00C54D75">
        <w:rPr>
          <w:rFonts w:ascii="Sylfaen" w:hAnsi="Sylfaen"/>
          <w:spacing w:val="4"/>
          <w:sz w:val="24"/>
          <w:szCs w:val="24"/>
        </w:rPr>
        <w:t>և</w:t>
      </w:r>
      <w:r w:rsidRPr="00834D52">
        <w:rPr>
          <w:rFonts w:ascii="Sylfaen" w:hAnsi="Sylfaen"/>
          <w:spacing w:val="4"/>
          <w:sz w:val="24"/>
          <w:szCs w:val="24"/>
        </w:rPr>
        <w:t xml:space="preserve"> փորձի վրա (3-ից ոչ պակաս անդամ պետություններում դեղաբուսական պատրաստուկի առաջին սիստեմատիկ </w:t>
      </w:r>
      <w:r w:rsidR="00C54D75">
        <w:rPr>
          <w:rFonts w:ascii="Sylfaen" w:hAnsi="Sylfaen"/>
          <w:spacing w:val="4"/>
          <w:sz w:val="24"/>
          <w:szCs w:val="24"/>
        </w:rPr>
        <w:t>և</w:t>
      </w:r>
      <w:r w:rsidRPr="00834D52">
        <w:rPr>
          <w:rFonts w:ascii="Sylfaen" w:hAnsi="Sylfaen"/>
          <w:spacing w:val="4"/>
          <w:sz w:val="24"/>
          <w:szCs w:val="24"/>
        </w:rPr>
        <w:t xml:space="preserve"> փաստաթղթերով հիմնավորված կիրառման օրվանից 10 տարուց ոչ պակաս).</w:t>
      </w:r>
    </w:p>
    <w:p w14:paraId="67CFBCB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դեղաբուսական պատրաստուկի մականշվածքը </w:t>
      </w:r>
      <w:r w:rsidR="00C54D75">
        <w:rPr>
          <w:rFonts w:ascii="Sylfaen" w:hAnsi="Sylfaen"/>
          <w:spacing w:val="4"/>
          <w:sz w:val="24"/>
          <w:szCs w:val="24"/>
        </w:rPr>
        <w:t>և</w:t>
      </w:r>
      <w:r w:rsidRPr="00834D52">
        <w:rPr>
          <w:rFonts w:ascii="Sylfaen" w:hAnsi="Sylfaen"/>
          <w:spacing w:val="4"/>
          <w:sz w:val="24"/>
          <w:szCs w:val="24"/>
        </w:rPr>
        <w:t xml:space="preserve"> բժշկական կիրառման հրահանգը (ներդիր թերթիկը) պետք է պարունակեն նշումներ հետ</w:t>
      </w:r>
      <w:r w:rsidR="00C54D75">
        <w:rPr>
          <w:rFonts w:ascii="Sylfaen" w:hAnsi="Sylfaen"/>
          <w:spacing w:val="4"/>
          <w:sz w:val="24"/>
          <w:szCs w:val="24"/>
        </w:rPr>
        <w:t>և</w:t>
      </w:r>
      <w:r w:rsidRPr="00834D52">
        <w:rPr>
          <w:rFonts w:ascii="Sylfaen" w:hAnsi="Sylfaen"/>
          <w:spacing w:val="4"/>
          <w:sz w:val="24"/>
          <w:szCs w:val="24"/>
        </w:rPr>
        <w:t xml:space="preserve">յալի մասին` </w:t>
      </w:r>
    </w:p>
    <w:p w14:paraId="27872886" w14:textId="77777777"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պատրաստուկը դեղաբուսական պատրաստուկ է կիրառման երկարատ</w:t>
      </w:r>
      <w:r w:rsidR="00C54D75">
        <w:rPr>
          <w:rFonts w:ascii="Sylfaen" w:hAnsi="Sylfaen"/>
          <w:spacing w:val="4"/>
          <w:sz w:val="24"/>
          <w:szCs w:val="24"/>
        </w:rPr>
        <w:t>և</w:t>
      </w:r>
      <w:r w:rsidRPr="00834D52">
        <w:rPr>
          <w:rFonts w:ascii="Sylfaen" w:hAnsi="Sylfaen"/>
          <w:spacing w:val="4"/>
          <w:sz w:val="24"/>
          <w:szCs w:val="24"/>
        </w:rPr>
        <w:t xml:space="preserve"> փորձի հիման վրա նշված նշանակմամբ կիրառելու համար.</w:t>
      </w:r>
    </w:p>
    <w:p w14:paraId="072A5C13" w14:textId="77777777"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սպառողը պետք է խորհրդակցի բժշկի կամ որակավորված բժշկական մասնագետի հետ, եթե դեղամիջոցը կիրառելիս պահպանվում են ախտանիշներ կամ նկատվում են բժշկական կիրառման հրահանգի (ներդիր թերթիկի) մեջ չնշված անցանկալի ռեակցիաներ: </w:t>
      </w:r>
    </w:p>
    <w:p w14:paraId="7F1AEBA3" w14:textId="1314356A"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Դեղաբուսական պատրաստուկի բաղադրության մեջ վիտամինների </w:t>
      </w:r>
      <w:r w:rsidR="00C54D75">
        <w:rPr>
          <w:rFonts w:ascii="Sylfaen" w:hAnsi="Sylfaen"/>
          <w:spacing w:val="4"/>
          <w:sz w:val="24"/>
          <w:szCs w:val="24"/>
        </w:rPr>
        <w:t>և</w:t>
      </w:r>
      <w:r w:rsidRPr="00834D52">
        <w:rPr>
          <w:rFonts w:ascii="Sylfaen" w:hAnsi="Sylfaen"/>
          <w:spacing w:val="4"/>
          <w:sz w:val="24"/>
          <w:szCs w:val="24"/>
        </w:rPr>
        <w:t xml:space="preserve"> հանքային նյութերի առկայության դեպքում գրանցման պարզեցված ընթացակարգն անցկացվում է պայմանով, որ ներկայացված են կիրառման </w:t>
      </w:r>
      <w:r w:rsidR="001A5F1A">
        <w:rPr>
          <w:rFonts w:ascii="Sylfaen" w:hAnsi="Sylfaen"/>
          <w:spacing w:val="4"/>
          <w:sz w:val="24"/>
          <w:szCs w:val="24"/>
        </w:rPr>
        <w:t>հայտագրված</w:t>
      </w:r>
      <w:r w:rsidRPr="00834D52">
        <w:rPr>
          <w:rFonts w:ascii="Sylfaen" w:hAnsi="Sylfaen"/>
          <w:spacing w:val="4"/>
          <w:sz w:val="24"/>
          <w:szCs w:val="24"/>
        </w:rPr>
        <w:t xml:space="preserve"> ցուցումների առնչությամբ հիմնավորված տվյալներ, որոնք ապացուցում են, որ վիտամինները կամ հանքային նյութերն ունեն բուսական ակտիվ բաղադրամասերի ազդեցությանն օժանդակող ազդեցություն:</w:t>
      </w:r>
    </w:p>
    <w:p w14:paraId="46CEC8E5" w14:textId="77777777" w:rsidR="006F76EB" w:rsidRPr="00834D52" w:rsidRDefault="006F76EB" w:rsidP="008406B4">
      <w:pPr>
        <w:tabs>
          <w:tab w:val="left" w:pos="1701"/>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15.2.1.</w:t>
      </w:r>
      <w:r w:rsidRPr="00834D52">
        <w:rPr>
          <w:rFonts w:ascii="Sylfaen" w:hAnsi="Sylfaen"/>
          <w:spacing w:val="4"/>
          <w:sz w:val="24"/>
          <w:szCs w:val="24"/>
        </w:rPr>
        <w:tab/>
        <w:t>Մոդուլ 2.</w:t>
      </w:r>
    </w:p>
    <w:p w14:paraId="05FDDCA0" w14:textId="77777777" w:rsidR="006F76EB" w:rsidRPr="00834D52" w:rsidRDefault="006F76EB" w:rsidP="008406B4">
      <w:pPr>
        <w:spacing w:after="160" w:line="360" w:lineRule="auto"/>
        <w:ind w:right="-6" w:firstLine="567"/>
        <w:jc w:val="both"/>
        <w:rPr>
          <w:rFonts w:ascii="Sylfaen" w:eastAsia="Times New Roman" w:hAnsi="Sylfaen" w:cs="Times New Roman"/>
          <w:vanish/>
          <w:spacing w:val="4"/>
          <w:sz w:val="24"/>
          <w:szCs w:val="24"/>
        </w:rPr>
      </w:pPr>
      <w:r w:rsidRPr="00834D52">
        <w:rPr>
          <w:rFonts w:ascii="Sylfaen" w:hAnsi="Sylfaen"/>
          <w:spacing w:val="4"/>
          <w:sz w:val="24"/>
          <w:szCs w:val="24"/>
        </w:rPr>
        <w:t xml:space="preserve">Մատենագիտական տվյալները կամ 2.4 </w:t>
      </w:r>
      <w:r w:rsidR="00C54D75">
        <w:rPr>
          <w:rFonts w:ascii="Sylfaen" w:hAnsi="Sylfaen"/>
          <w:spacing w:val="4"/>
          <w:sz w:val="24"/>
          <w:szCs w:val="24"/>
        </w:rPr>
        <w:t>և</w:t>
      </w:r>
      <w:r w:rsidRPr="00834D52">
        <w:rPr>
          <w:rFonts w:ascii="Sylfaen" w:hAnsi="Sylfaen"/>
          <w:spacing w:val="4"/>
          <w:sz w:val="24"/>
          <w:szCs w:val="24"/>
        </w:rPr>
        <w:t xml:space="preserve"> 2.5 բաժինները պատրաստող մասնագետի եզրակացությունն այն մասին, որ դիտարկվող դեղաբուսական պատրաստուկը կամ համապատասխան պատրաստուկն օգտագործվել է բոլոր անդամ պետություններում առաջին սիստեմատիկ </w:t>
      </w:r>
      <w:r w:rsidR="00C54D75">
        <w:rPr>
          <w:rFonts w:ascii="Sylfaen" w:hAnsi="Sylfaen"/>
          <w:spacing w:val="4"/>
          <w:sz w:val="24"/>
          <w:szCs w:val="24"/>
        </w:rPr>
        <w:t>և</w:t>
      </w:r>
      <w:r w:rsidRPr="00834D52">
        <w:rPr>
          <w:rFonts w:ascii="Sylfaen" w:hAnsi="Sylfaen"/>
          <w:spacing w:val="4"/>
          <w:sz w:val="24"/>
          <w:szCs w:val="24"/>
        </w:rPr>
        <w:t xml:space="preserve"> փաստաթղթերով հիմնավորված կիրառման օրվանից 10 տարուց ոչ պակաս:</w:t>
      </w:r>
    </w:p>
    <w:p w14:paraId="77059B05" w14:textId="77777777" w:rsidR="006F76EB" w:rsidRPr="00834D52" w:rsidRDefault="006F76EB" w:rsidP="00843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15.2.2.</w:t>
      </w:r>
      <w:r w:rsidRPr="00834D52">
        <w:rPr>
          <w:rFonts w:ascii="Sylfaen" w:hAnsi="Sylfaen"/>
          <w:sz w:val="24"/>
          <w:szCs w:val="24"/>
        </w:rPr>
        <w:tab/>
        <w:t>Պարզեցված գրանցման դոսյեի փաստաթղթերի ցանկը.</w:t>
      </w:r>
    </w:p>
    <w:p w14:paraId="2D191829" w14:textId="52412191" w:rsidR="006F76EB" w:rsidRPr="009D2161" w:rsidRDefault="006F76EB" w:rsidP="00843404">
      <w:pPr>
        <w:spacing w:after="160" w:line="360" w:lineRule="auto"/>
        <w:ind w:right="-8" w:firstLine="567"/>
        <w:jc w:val="both"/>
        <w:rPr>
          <w:rFonts w:ascii="Sylfaen" w:hAnsi="Sylfaen"/>
          <w:sz w:val="24"/>
          <w:szCs w:val="24"/>
        </w:rPr>
      </w:pPr>
      <w:r w:rsidRPr="00834D52">
        <w:rPr>
          <w:rFonts w:ascii="Sylfaen" w:hAnsi="Sylfaen"/>
          <w:sz w:val="24"/>
          <w:szCs w:val="24"/>
        </w:rPr>
        <w:lastRenderedPageBreak/>
        <w:t xml:space="preserve">Սերիայից սերիա պատրաստուկի դեղագործական որակը </w:t>
      </w:r>
      <w:r w:rsidR="00C54D75">
        <w:rPr>
          <w:rFonts w:ascii="Sylfaen" w:hAnsi="Sylfaen"/>
          <w:sz w:val="24"/>
          <w:szCs w:val="24"/>
        </w:rPr>
        <w:t>և</w:t>
      </w:r>
      <w:r w:rsidRPr="00834D52">
        <w:rPr>
          <w:rFonts w:ascii="Sylfaen" w:hAnsi="Sylfaen"/>
          <w:sz w:val="24"/>
          <w:szCs w:val="24"/>
        </w:rPr>
        <w:t xml:space="preserve"> համասեռությունը հաստատելու համար </w:t>
      </w:r>
      <w:r w:rsidR="0056496B">
        <w:rPr>
          <w:rFonts w:ascii="Sylfaen" w:hAnsi="Sylfaen"/>
          <w:sz w:val="24"/>
          <w:szCs w:val="24"/>
        </w:rPr>
        <w:t>դիմում</w:t>
      </w:r>
      <w:r w:rsidRPr="00834D52">
        <w:rPr>
          <w:rFonts w:ascii="Sylfaen" w:hAnsi="Sylfaen"/>
          <w:sz w:val="24"/>
          <w:szCs w:val="24"/>
        </w:rPr>
        <w:t>ն ուղեկցվում է 1</w:t>
      </w:r>
      <w:r>
        <w:rPr>
          <w:rFonts w:ascii="Sylfaen" w:hAnsi="Sylfaen"/>
          <w:sz w:val="24"/>
          <w:szCs w:val="24"/>
        </w:rPr>
        <w:t>-</w:t>
      </w:r>
      <w:r w:rsidRPr="00834D52">
        <w:rPr>
          <w:rFonts w:ascii="Sylfaen" w:hAnsi="Sylfaen"/>
          <w:sz w:val="24"/>
          <w:szCs w:val="24"/>
        </w:rPr>
        <w:t xml:space="preserve">3 մոդուլներից կազմված գրանցման դոսյեով` Հանձնաժողովի կողմից հաստատվող` Բժշկական կիրառման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թիվ 4 հավելվածին համապատասխան: Գրանցման դոսյեի 4-րդ </w:t>
      </w:r>
      <w:r w:rsidR="00C54D75">
        <w:rPr>
          <w:rFonts w:ascii="Sylfaen" w:hAnsi="Sylfaen"/>
          <w:sz w:val="24"/>
          <w:szCs w:val="24"/>
        </w:rPr>
        <w:t>և</w:t>
      </w:r>
      <w:r w:rsidRPr="00834D52">
        <w:rPr>
          <w:rFonts w:ascii="Sylfaen" w:hAnsi="Sylfaen"/>
          <w:sz w:val="24"/>
          <w:szCs w:val="24"/>
        </w:rPr>
        <w:t xml:space="preserve"> 5-րդ մոդուլները ձ</w:t>
      </w:r>
      <w:r w:rsidR="00C54D75">
        <w:rPr>
          <w:rFonts w:ascii="Sylfaen" w:hAnsi="Sylfaen"/>
          <w:sz w:val="24"/>
          <w:szCs w:val="24"/>
        </w:rPr>
        <w:t>և</w:t>
      </w:r>
      <w:r w:rsidRPr="00834D52">
        <w:rPr>
          <w:rFonts w:ascii="Sylfaen" w:hAnsi="Sylfaen"/>
          <w:sz w:val="24"/>
          <w:szCs w:val="24"/>
        </w:rPr>
        <w:t xml:space="preserve">ավորվում են մատենագիտական աբյուրների պատճեններով </w:t>
      </w:r>
      <w:r w:rsidR="00C54D75">
        <w:rPr>
          <w:rFonts w:ascii="Sylfaen" w:hAnsi="Sylfaen"/>
          <w:sz w:val="24"/>
          <w:szCs w:val="24"/>
        </w:rPr>
        <w:t>և</w:t>
      </w:r>
      <w:r w:rsidRPr="00834D52">
        <w:rPr>
          <w:rFonts w:ascii="Sylfaen" w:hAnsi="Sylfaen"/>
          <w:sz w:val="24"/>
          <w:szCs w:val="24"/>
        </w:rPr>
        <w:t xml:space="preserve"> այն տվյալներով, որոնց վրա են հիմնված գրանցման դոսյեի 2-րդ մոդուլի </w:t>
      </w:r>
      <w:r w:rsidRPr="00834D52">
        <w:rPr>
          <w:rFonts w:ascii="Sylfaen" w:hAnsi="Sylfaen"/>
          <w:sz w:val="24"/>
          <w:szCs w:val="24"/>
        </w:rPr>
        <w:br/>
        <w:t xml:space="preserve">2.4 </w:t>
      </w:r>
      <w:r w:rsidR="00C54D75">
        <w:rPr>
          <w:rFonts w:ascii="Sylfaen" w:hAnsi="Sylfaen"/>
          <w:sz w:val="24"/>
          <w:szCs w:val="24"/>
        </w:rPr>
        <w:t>և</w:t>
      </w:r>
      <w:r w:rsidRPr="00834D52">
        <w:rPr>
          <w:rFonts w:ascii="Sylfaen" w:hAnsi="Sylfaen"/>
          <w:sz w:val="24"/>
          <w:szCs w:val="24"/>
        </w:rPr>
        <w:t xml:space="preserve"> 2.5 բաժինների՝ մասնագետների կողմից պատրաստված տեղեկագրերը:</w:t>
      </w:r>
    </w:p>
    <w:p w14:paraId="36C0B4C9" w14:textId="77777777" w:rsidR="006F76EB" w:rsidRPr="00834D52" w:rsidRDefault="006F76EB" w:rsidP="00843404">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16. Հազվադեպ կիրառվող (որբ) պատրաստուկներ</w:t>
      </w:r>
      <w:r w:rsidRPr="00834D52">
        <w:rPr>
          <w:rFonts w:ascii="Sylfaen" w:hAnsi="Sylfaen"/>
          <w:sz w:val="24"/>
          <w:szCs w:val="24"/>
        </w:rPr>
        <w:br/>
        <w:t xml:space="preserve">(հազվադեպ հիվանդությունների բուժման համար </w:t>
      </w:r>
      <w:r w:rsidRPr="00834D52">
        <w:rPr>
          <w:rFonts w:ascii="Sylfaen" w:hAnsi="Sylfaen"/>
          <w:sz w:val="24"/>
          <w:szCs w:val="24"/>
        </w:rPr>
        <w:br/>
        <w:t>նախատեսված պատրաստուկներ)</w:t>
      </w:r>
    </w:p>
    <w:p w14:paraId="19E45F55" w14:textId="30AC97AC" w:rsidR="006F76EB" w:rsidRPr="00834D52" w:rsidRDefault="006F76EB" w:rsidP="0084340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Հազվադեպ կիրառվող (որբ) պատրաստուկների դեպքում կարող են կիրառվել II մասի հիմնական դրույթները (բացառիկ հանգամանքներ): </w:t>
      </w:r>
      <w:r w:rsidR="0056496B">
        <w:rPr>
          <w:rFonts w:ascii="Sylfaen" w:hAnsi="Sylfaen"/>
          <w:sz w:val="24"/>
          <w:szCs w:val="24"/>
        </w:rPr>
        <w:t>Դիմումատու</w:t>
      </w:r>
      <w:r w:rsidRPr="00834D52">
        <w:rPr>
          <w:rFonts w:ascii="Sylfaen" w:hAnsi="Sylfaen"/>
          <w:sz w:val="24"/>
          <w:szCs w:val="24"/>
        </w:rPr>
        <w:t xml:space="preserve">ն նախակլինիկական </w:t>
      </w:r>
      <w:r w:rsidR="00C54D75">
        <w:rPr>
          <w:rFonts w:ascii="Sylfaen" w:hAnsi="Sylfaen"/>
          <w:sz w:val="24"/>
          <w:szCs w:val="24"/>
        </w:rPr>
        <w:t>և</w:t>
      </w:r>
      <w:r w:rsidRPr="00834D52">
        <w:rPr>
          <w:rFonts w:ascii="Sylfaen" w:hAnsi="Sylfaen"/>
          <w:sz w:val="24"/>
          <w:szCs w:val="24"/>
        </w:rPr>
        <w:t xml:space="preserve"> կլինիկական ռեզյումեի մեջ պետք է հիմնավորի այն պատճառները, ըստ որոնց հնարավոր չէ ներկայացնել ամբողջ տեղեկատվությունը, </w:t>
      </w:r>
      <w:r w:rsidR="00C54D75">
        <w:rPr>
          <w:rFonts w:ascii="Sylfaen" w:hAnsi="Sylfaen"/>
          <w:sz w:val="24"/>
          <w:szCs w:val="24"/>
        </w:rPr>
        <w:t>և</w:t>
      </w:r>
      <w:r w:rsidRPr="00834D52">
        <w:rPr>
          <w:rFonts w:ascii="Sylfaen" w:hAnsi="Sylfaen"/>
          <w:sz w:val="24"/>
          <w:szCs w:val="24"/>
        </w:rPr>
        <w:t xml:space="preserve"> ներկայացնի դիտարկվող հազվադեպ կիրառվող (որբ) պատրաստուկների համար օգուտի </w:t>
      </w:r>
      <w:r w:rsidR="00C54D75">
        <w:rPr>
          <w:rFonts w:ascii="Sylfaen" w:hAnsi="Sylfaen"/>
          <w:sz w:val="24"/>
          <w:szCs w:val="24"/>
        </w:rPr>
        <w:t>և</w:t>
      </w:r>
      <w:r w:rsidRPr="00834D52">
        <w:rPr>
          <w:rFonts w:ascii="Sylfaen" w:hAnsi="Sylfaen"/>
          <w:sz w:val="24"/>
          <w:szCs w:val="24"/>
        </w:rPr>
        <w:t xml:space="preserve"> ռիսկի հարաբերակցության հիմնավորումը:</w:t>
      </w:r>
    </w:p>
    <w:p w14:paraId="692A1153" w14:textId="77777777" w:rsidR="006F76EB" w:rsidRPr="00834D52" w:rsidRDefault="006F76EB" w:rsidP="00843404">
      <w:pPr>
        <w:spacing w:after="0" w:line="240" w:lineRule="auto"/>
        <w:ind w:right="-8"/>
        <w:jc w:val="center"/>
        <w:rPr>
          <w:rFonts w:ascii="Sylfaen" w:hAnsi="Sylfaen"/>
          <w:sz w:val="24"/>
          <w:szCs w:val="24"/>
        </w:rPr>
      </w:pPr>
    </w:p>
    <w:p w14:paraId="0DE78801" w14:textId="77777777" w:rsidR="006F76EB" w:rsidRPr="00834D52" w:rsidRDefault="006F76EB" w:rsidP="00A63AE9">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 xml:space="preserve">IV. Բարձր տեխնոլոգիական </w:t>
      </w:r>
      <w:r w:rsidR="00A63AE9" w:rsidRPr="009D2161">
        <w:rPr>
          <w:rFonts w:ascii="Sylfaen" w:hAnsi="Sylfaen"/>
          <w:sz w:val="24"/>
          <w:szCs w:val="24"/>
        </w:rPr>
        <w:br/>
      </w:r>
      <w:r w:rsidRPr="00834D52">
        <w:rPr>
          <w:rFonts w:ascii="Sylfaen" w:hAnsi="Sylfaen"/>
          <w:sz w:val="24"/>
          <w:szCs w:val="24"/>
        </w:rPr>
        <w:t>դեղապատրաստուկներ</w:t>
      </w:r>
    </w:p>
    <w:p w14:paraId="06594298" w14:textId="77777777" w:rsidR="006F76EB" w:rsidRPr="00834D52" w:rsidRDefault="006F76EB" w:rsidP="00352FF1">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17.1.</w:t>
      </w:r>
      <w:r w:rsidRPr="00834D52">
        <w:rPr>
          <w:rFonts w:ascii="Sylfaen" w:hAnsi="Sylfaen"/>
          <w:sz w:val="24"/>
          <w:szCs w:val="24"/>
        </w:rPr>
        <w:tab/>
        <w:t>Ներածություն.</w:t>
      </w:r>
    </w:p>
    <w:p w14:paraId="295C657C" w14:textId="77777777" w:rsidR="006F76EB" w:rsidRPr="00834D52" w:rsidRDefault="006F76EB" w:rsidP="00A63AE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Բարձր տեխնոլոգիական դեղապատրաստուկների գրանցման դոսյեի համար անհրաժեշտ է պահպանել սույն հավելվածի I մասում նկարագրված ձ</w:t>
      </w:r>
      <w:r w:rsidR="00C54D75">
        <w:rPr>
          <w:rFonts w:ascii="Sylfaen" w:hAnsi="Sylfaen"/>
          <w:sz w:val="24"/>
          <w:szCs w:val="24"/>
        </w:rPr>
        <w:t>և</w:t>
      </w:r>
      <w:r w:rsidRPr="00834D52">
        <w:rPr>
          <w:rFonts w:ascii="Sylfaen" w:hAnsi="Sylfaen"/>
          <w:sz w:val="24"/>
          <w:szCs w:val="24"/>
        </w:rPr>
        <w:t>աչափին ներկայացվող պահանջները (գրանցման դոսյեի 1</w:t>
      </w:r>
      <w:r w:rsidRPr="008341C7">
        <w:rPr>
          <w:rFonts w:ascii="Sylfaen" w:hAnsi="Sylfaen"/>
          <w:sz w:val="24"/>
          <w:szCs w:val="24"/>
        </w:rPr>
        <w:t>-</w:t>
      </w:r>
      <w:r w:rsidRPr="00834D52">
        <w:rPr>
          <w:rFonts w:ascii="Sylfaen" w:hAnsi="Sylfaen"/>
          <w:sz w:val="24"/>
          <w:szCs w:val="24"/>
        </w:rPr>
        <w:t>5-րդ մոդուլներ):</w:t>
      </w:r>
    </w:p>
    <w:p w14:paraId="58AE1C96"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3-5-րդ մոդուլներին ներկայացվող տեխնիկական պահանջները կարող են կիրառվել բարձր տեխնոլոգիական կենսաբանական դեղապատրաստուկների նկատմամբ, ինչպես նկարագրված է սույն հավելվածի I մասում: Սույն մասի </w:t>
      </w:r>
      <w:r w:rsidRPr="00834D52">
        <w:rPr>
          <w:rFonts w:ascii="Sylfaen" w:hAnsi="Sylfaen"/>
          <w:sz w:val="24"/>
          <w:szCs w:val="24"/>
        </w:rPr>
        <w:br/>
        <w:t xml:space="preserve">17.3, 17.4 </w:t>
      </w:r>
      <w:r w:rsidR="00C54D75">
        <w:rPr>
          <w:rFonts w:ascii="Sylfaen" w:hAnsi="Sylfaen"/>
          <w:sz w:val="24"/>
          <w:szCs w:val="24"/>
        </w:rPr>
        <w:t>և</w:t>
      </w:r>
      <w:r w:rsidRPr="00834D52">
        <w:rPr>
          <w:rFonts w:ascii="Sylfaen" w:hAnsi="Sylfaen"/>
          <w:sz w:val="24"/>
          <w:szCs w:val="24"/>
        </w:rPr>
        <w:t xml:space="preserve"> 17.5 բաժիններում նկարագրված՝ բարձր տեխնոլոգիական </w:t>
      </w:r>
      <w:r w:rsidRPr="00834D52">
        <w:rPr>
          <w:rFonts w:ascii="Sylfaen" w:hAnsi="Sylfaen"/>
          <w:sz w:val="24"/>
          <w:szCs w:val="24"/>
        </w:rPr>
        <w:lastRenderedPageBreak/>
        <w:t>դեղապատրաստուկներին ներկայացվող հատուկ պահանջներով բացատրվում է, թե ինչպես են բարձր տեխնոլոգիական դեղապատրաստուկների նկատմամբ կիրառվում սույն հավելվածի I մասի պահանջները:</w:t>
      </w:r>
    </w:p>
    <w:p w14:paraId="2A8B9ED4" w14:textId="77777777" w:rsidR="006F76EB" w:rsidRPr="00834D52" w:rsidRDefault="006F76EB" w:rsidP="00A63AE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Հաշվի առնելով բարձր տեխնոլոգիական դեղապատրաստուկների սպեցիֆիկ բնույթը՝ կարող է կիրառվել ռիսկի վերլուծության վրա հիմնված մոտեցում՝ անհրաժեշտ տեղեկությունների ծավալը </w:t>
      </w:r>
      <w:r w:rsidR="00C54D75">
        <w:rPr>
          <w:rFonts w:ascii="Sylfaen" w:hAnsi="Sylfaen"/>
          <w:sz w:val="24"/>
          <w:szCs w:val="24"/>
        </w:rPr>
        <w:t>և</w:t>
      </w:r>
      <w:r w:rsidRPr="00834D52">
        <w:rPr>
          <w:rFonts w:ascii="Sylfaen" w:hAnsi="Sylfaen"/>
          <w:sz w:val="24"/>
          <w:szCs w:val="24"/>
        </w:rPr>
        <w:t xml:space="preserve"> որակին, նախակլինիկական ու կլինիկական ուսումնասիրությանը ներկայացվող պահանջները որոշելու համար, դրանք, Միության կիրառելի ձեռնարկներին կամ վերջինների բացակայության դեպքում՝ անդամ պետությունների ձեռնարկներին համապատասխան, գրանցման հավաստագրի մեջ ներառելու համար:</w:t>
      </w:r>
    </w:p>
    <w:p w14:paraId="4958F9EA" w14:textId="77777777" w:rsidR="006F76EB" w:rsidRPr="00834D52" w:rsidRDefault="006F76EB" w:rsidP="00A63AE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Ռիսկերի վերլուծությունը կարող է ներառել մշակման ողջ գործընթացը: Ռիսկի այն գործոնները, որոնք կարող են դիտարկվել, ներառում են բջիջների ծագումը (աուտոլոգիկ, ալլոգեն, քսենոգեն), բջիջների բազմացման (պրոլիֆերացիայի) </w:t>
      </w:r>
      <w:r w:rsidR="00C54D75">
        <w:rPr>
          <w:rFonts w:ascii="Sylfaen" w:hAnsi="Sylfaen"/>
          <w:sz w:val="24"/>
          <w:szCs w:val="24"/>
        </w:rPr>
        <w:t>և</w:t>
      </w:r>
      <w:r w:rsidRPr="00834D52">
        <w:rPr>
          <w:rFonts w:ascii="Sylfaen" w:hAnsi="Sylfaen"/>
          <w:sz w:val="24"/>
          <w:szCs w:val="24"/>
        </w:rPr>
        <w:t xml:space="preserve"> (կամ) տարբերակման (դիֆերենցման) ունակությունը, իմունային պատասխան առաջացնելու ունակությունը, բջիջների հետ մանիպուլյացիան, կենսաակտիվ մոլեկուլների կամ բժշկական արտադրատեսակների հետ բջիջների համակցությունը, գենոթերապ</w:t>
      </w:r>
      <w:r w:rsidR="00C54D75">
        <w:rPr>
          <w:rFonts w:ascii="Sylfaen" w:hAnsi="Sylfaen"/>
          <w:sz w:val="24"/>
          <w:szCs w:val="24"/>
        </w:rPr>
        <w:t>և</w:t>
      </w:r>
      <w:r w:rsidRPr="00834D52">
        <w:rPr>
          <w:rFonts w:ascii="Sylfaen" w:hAnsi="Sylfaen"/>
          <w:sz w:val="24"/>
          <w:szCs w:val="24"/>
        </w:rPr>
        <w:t>տիկ դեղապատրաստուկի բնույթը, վիրուսների ռեպլիկացիայի կամ in vivo-ում օգտագործվող միկրոօրգանիզմների բազմացման ունակությունը, նուկլեինաթթուների կամ գեներից գենոմ հաջորդականության ինտեգրման աստիճանը, գործելու (գոյության) տ</w:t>
      </w:r>
      <w:r w:rsidR="00C54D75">
        <w:rPr>
          <w:rFonts w:ascii="Sylfaen" w:hAnsi="Sylfaen"/>
          <w:sz w:val="24"/>
          <w:szCs w:val="24"/>
        </w:rPr>
        <w:t>և</w:t>
      </w:r>
      <w:r w:rsidRPr="00834D52">
        <w:rPr>
          <w:rFonts w:ascii="Sylfaen" w:hAnsi="Sylfaen"/>
          <w:sz w:val="24"/>
          <w:szCs w:val="24"/>
        </w:rPr>
        <w:t xml:space="preserve">ողությունը, ուռուցքածնության ռիսկը </w:t>
      </w:r>
      <w:r w:rsidR="00C54D75">
        <w:rPr>
          <w:rFonts w:ascii="Sylfaen" w:hAnsi="Sylfaen"/>
          <w:sz w:val="24"/>
          <w:szCs w:val="24"/>
        </w:rPr>
        <w:t>և</w:t>
      </w:r>
      <w:r w:rsidRPr="00834D52">
        <w:rPr>
          <w:rFonts w:ascii="Sylfaen" w:hAnsi="Sylfaen"/>
          <w:sz w:val="24"/>
          <w:szCs w:val="24"/>
        </w:rPr>
        <w:t xml:space="preserve"> ներմուծման ուղին կամ օգտագործման եղանակը:</w:t>
      </w:r>
    </w:p>
    <w:p w14:paraId="75786A1C"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Ոչ կլինիկական </w:t>
      </w:r>
      <w:r w:rsidR="00C54D75">
        <w:rPr>
          <w:rFonts w:ascii="Sylfaen" w:hAnsi="Sylfaen"/>
          <w:sz w:val="24"/>
          <w:szCs w:val="24"/>
        </w:rPr>
        <w:t>և</w:t>
      </w:r>
      <w:r w:rsidRPr="00834D52">
        <w:rPr>
          <w:rFonts w:ascii="Sylfaen" w:hAnsi="Sylfaen"/>
          <w:sz w:val="24"/>
          <w:szCs w:val="24"/>
        </w:rPr>
        <w:t xml:space="preserve"> կլինիկական տվյալները կամ այլ բարձր տեխնոլոգիական դեղապատրաստուկների հետ կապված փորձը կարող են նա</w:t>
      </w:r>
      <w:r w:rsidR="00C54D75">
        <w:rPr>
          <w:rFonts w:ascii="Sylfaen" w:hAnsi="Sylfaen"/>
          <w:sz w:val="24"/>
          <w:szCs w:val="24"/>
        </w:rPr>
        <w:t>և</w:t>
      </w:r>
      <w:r w:rsidRPr="00834D52">
        <w:rPr>
          <w:rFonts w:ascii="Sylfaen" w:hAnsi="Sylfaen"/>
          <w:sz w:val="24"/>
          <w:szCs w:val="24"/>
        </w:rPr>
        <w:t xml:space="preserve"> դիտարկվել ռիսկերի վերլուծության ժամանակ:</w:t>
      </w:r>
    </w:p>
    <w:p w14:paraId="278BA7CA" w14:textId="789373BD"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պահանջներից ցանկացած շեղում պետք է գիտականորեն հիմնավորված լինի գրանցման դոսյեի 2-րդ մոդուլում: Եթե անցկացվում է ռիսկերի վերլուծություն, ապա այն պետք է նկարագրվի գրանցման դոսյեի 2-րդ մոդուլում: Այդ դեպքում անհրաժեշտ է դիտարկել օգտագործվող մեթոդաբանությունը, </w:t>
      </w:r>
      <w:r w:rsidR="00003ABD">
        <w:rPr>
          <w:rFonts w:ascii="Sylfaen" w:hAnsi="Sylfaen"/>
          <w:sz w:val="24"/>
          <w:szCs w:val="24"/>
        </w:rPr>
        <w:t>հայտնաբերված</w:t>
      </w:r>
      <w:r w:rsidRPr="00834D52">
        <w:rPr>
          <w:rFonts w:ascii="Sylfaen" w:hAnsi="Sylfaen"/>
          <w:sz w:val="24"/>
          <w:szCs w:val="24"/>
        </w:rPr>
        <w:t xml:space="preserve"> ռիսկերի բնույթը </w:t>
      </w:r>
      <w:r w:rsidR="00C54D75">
        <w:rPr>
          <w:rFonts w:ascii="Sylfaen" w:hAnsi="Sylfaen"/>
          <w:sz w:val="24"/>
          <w:szCs w:val="24"/>
        </w:rPr>
        <w:t>և</w:t>
      </w:r>
      <w:r w:rsidRPr="00834D52">
        <w:rPr>
          <w:rFonts w:ascii="Sylfaen" w:hAnsi="Sylfaen"/>
          <w:sz w:val="24"/>
          <w:szCs w:val="24"/>
        </w:rPr>
        <w:t xml:space="preserve"> ռիսկերի վերլուծության վրա հիմնված </w:t>
      </w:r>
      <w:r w:rsidRPr="00834D52">
        <w:rPr>
          <w:rFonts w:ascii="Sylfaen" w:hAnsi="Sylfaen"/>
          <w:sz w:val="24"/>
          <w:szCs w:val="24"/>
        </w:rPr>
        <w:lastRenderedPageBreak/>
        <w:t xml:space="preserve">մոտեցման արդյունքների ազդեցությունը դեղապատրաստուկի մշակման </w:t>
      </w:r>
      <w:r w:rsidR="00C54D75">
        <w:rPr>
          <w:rFonts w:ascii="Sylfaen" w:hAnsi="Sylfaen"/>
          <w:sz w:val="24"/>
          <w:szCs w:val="24"/>
        </w:rPr>
        <w:t>և</w:t>
      </w:r>
      <w:r w:rsidRPr="00834D52">
        <w:rPr>
          <w:rFonts w:ascii="Sylfaen" w:hAnsi="Sylfaen"/>
          <w:sz w:val="24"/>
          <w:szCs w:val="24"/>
        </w:rPr>
        <w:t xml:space="preserve"> գնահատման ծրագրի վրա: Անհրաժեշտ է նա</w:t>
      </w:r>
      <w:r w:rsidR="00C54D75">
        <w:rPr>
          <w:rFonts w:ascii="Sylfaen" w:hAnsi="Sylfaen"/>
          <w:sz w:val="24"/>
          <w:szCs w:val="24"/>
        </w:rPr>
        <w:t>և</w:t>
      </w:r>
      <w:r w:rsidRPr="00834D52">
        <w:rPr>
          <w:rFonts w:ascii="Sylfaen" w:hAnsi="Sylfaen"/>
          <w:sz w:val="24"/>
          <w:szCs w:val="24"/>
        </w:rPr>
        <w:t xml:space="preserve"> նկարագրել ռիսկերի վերլուծության արդյունքներով պայմանավորված՝ սույն հավելվածի պահանջներից ցանկացած շեղում:</w:t>
      </w:r>
    </w:p>
    <w:p w14:paraId="33B0AE59" w14:textId="77777777" w:rsidR="006F76EB" w:rsidRPr="00834D52" w:rsidRDefault="006F76EB" w:rsidP="00352FF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w:t>
      </w:r>
      <w:r w:rsidRPr="00834D52">
        <w:rPr>
          <w:rFonts w:ascii="Sylfaen" w:hAnsi="Sylfaen"/>
          <w:sz w:val="24"/>
          <w:szCs w:val="24"/>
        </w:rPr>
        <w:tab/>
        <w:t>Սահմանումները.</w:t>
      </w:r>
    </w:p>
    <w:p w14:paraId="1C1D6E7E" w14:textId="77777777" w:rsidR="006F76EB" w:rsidRPr="00834D52" w:rsidRDefault="006F76EB" w:rsidP="00352FF1">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17.2.1.</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w:t>
      </w:r>
    </w:p>
    <w:p w14:paraId="3024894D"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դեղապատրաստուկը կենսաբանական դեղապատրաստուկ է՝</w:t>
      </w:r>
    </w:p>
    <w:p w14:paraId="04B42B4A"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որը պարունակում է ակտիվ նյութ, պարունակում է ռեկոմբինանտ նուկլեինաթթու կամ կազմված է դրանից, որն օգտագործվում կամ ներմուծվում է մարդու օրգանիզմ՝ գենետիկ հաջորդականության կարգավորման, վերականգնման, փոխարինման, ավելացման կամ հեռացման նպատակով,</w:t>
      </w:r>
    </w:p>
    <w:p w14:paraId="0EED60F8"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որի թերապ</w:t>
      </w:r>
      <w:r w:rsidR="00C54D75">
        <w:rPr>
          <w:rFonts w:ascii="Sylfaen" w:hAnsi="Sylfaen"/>
          <w:sz w:val="24"/>
          <w:szCs w:val="24"/>
        </w:rPr>
        <w:t>և</w:t>
      </w:r>
      <w:r w:rsidRPr="00834D52">
        <w:rPr>
          <w:rFonts w:ascii="Sylfaen" w:hAnsi="Sylfaen"/>
          <w:sz w:val="24"/>
          <w:szCs w:val="24"/>
        </w:rPr>
        <w:t>տիկ, կանխարգելիչ կամ ախտորոշիչ էֆեկտներն ուղղակիորեն պայմանավորված են ռեկոմբինանտ նուկլեինաթթվի հաջորդականությամբ, որն այն պարունակում է, կամ այդ հաջորդականության գեների էքսպրեսիայի արգասիքով:</w:t>
      </w:r>
    </w:p>
    <w:p w14:paraId="43ADCE94"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դեղապատրաստուկները չեն ներառում վարակիչ հիվանդությունների դեմ պատվաստանյութեր:</w:t>
      </w:r>
    </w:p>
    <w:p w14:paraId="7DDADE5A" w14:textId="77777777" w:rsidR="006F76EB" w:rsidRPr="00834D52" w:rsidRDefault="006F76EB" w:rsidP="00A63AE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17.2.2.</w:t>
      </w:r>
      <w:r w:rsidRPr="00834D52">
        <w:rPr>
          <w:rFonts w:ascii="Sylfaen" w:hAnsi="Sylfaen"/>
          <w:sz w:val="24"/>
          <w:szCs w:val="24"/>
        </w:rPr>
        <w:tab/>
        <w:t>Սոմատիկ բջիջների հիմքով դեղապատրաստուկներ.</w:t>
      </w:r>
    </w:p>
    <w:p w14:paraId="7BBABF97" w14:textId="027B4703" w:rsidR="00A33E6C" w:rsidRPr="00A33E6C" w:rsidRDefault="00A33E6C" w:rsidP="00A33E6C">
      <w:pPr>
        <w:spacing w:after="160" w:line="384" w:lineRule="auto"/>
        <w:ind w:right="-6" w:firstLine="567"/>
        <w:jc w:val="both"/>
        <w:rPr>
          <w:rFonts w:ascii="Sylfaen" w:hAnsi="Sylfaen"/>
          <w:sz w:val="24"/>
          <w:szCs w:val="24"/>
        </w:rPr>
      </w:pPr>
      <w:r w:rsidRPr="00A33E6C">
        <w:rPr>
          <w:rFonts w:ascii="Sylfaen" w:hAnsi="Sylfaen"/>
          <w:sz w:val="24"/>
          <w:szCs w:val="24"/>
        </w:rPr>
        <w:t>Ինչպես աուտոլոգիկ (հիվանդից իսկ առաջացող), այնպես էլ ալլոգեն (այլ մարդուց առաջացող) բջիջներ կամ հյուսվածքներ պարունակող բարձր տեխնոլոգիական դեղապատրաստուկը պետք է դիտարկվի որպես ալլոգեն կիրառման համար նախատեսված դեղապատրաստուկ:</w:t>
      </w:r>
    </w:p>
    <w:p w14:paraId="4489DC37" w14:textId="4E5FEBDF" w:rsidR="00A33E6C" w:rsidRPr="00A33E6C" w:rsidRDefault="00A33E6C" w:rsidP="00A33E6C">
      <w:pPr>
        <w:spacing w:after="160" w:line="384" w:lineRule="auto"/>
        <w:ind w:right="-6" w:firstLine="567"/>
        <w:jc w:val="both"/>
        <w:rPr>
          <w:rFonts w:ascii="Sylfaen" w:hAnsi="Sylfaen"/>
          <w:sz w:val="24"/>
          <w:szCs w:val="24"/>
        </w:rPr>
      </w:pPr>
      <w:r w:rsidRPr="00A33E6C">
        <w:rPr>
          <w:rFonts w:ascii="Sylfaen" w:hAnsi="Sylfaen"/>
          <w:sz w:val="24"/>
          <w:szCs w:val="24"/>
        </w:rPr>
        <w:t>Բարձր տեխնոլոգիական դեղապատրաստուկը, որը կարող ընկնել հյուսվածքային ինժեներիայի պատրաստուկի սահմանման կամ սոմատիկ բջիջների հիմքով դեղապատրաստուկի սահմանման տակ, պետք է դիտարկվի որպես հյուսվածքային ինժեներիայի պատրաստուկ:</w:t>
      </w:r>
    </w:p>
    <w:p w14:paraId="5450C9A7" w14:textId="50E8A32E" w:rsidR="006F76EB" w:rsidRDefault="00A33E6C" w:rsidP="00A33E6C">
      <w:pPr>
        <w:spacing w:after="160" w:line="384" w:lineRule="auto"/>
        <w:ind w:right="-6" w:firstLine="567"/>
        <w:jc w:val="both"/>
        <w:rPr>
          <w:rFonts w:ascii="Sylfaen" w:hAnsi="Sylfaen"/>
          <w:sz w:val="24"/>
          <w:szCs w:val="24"/>
        </w:rPr>
      </w:pPr>
      <w:r w:rsidRPr="00A33E6C">
        <w:rPr>
          <w:rFonts w:ascii="Sylfaen" w:hAnsi="Sylfaen"/>
          <w:sz w:val="24"/>
          <w:szCs w:val="24"/>
        </w:rPr>
        <w:lastRenderedPageBreak/>
        <w:t>Բարձր տեխնոլոգիական դեղապատրաստուկը, որը կարող է ընկնել սոմատիկ բջիջների հիմքով դեղապատրաստուկի սահմանման կամ հյուսվածքային ինժեներիայի և հոմեոպատիկ դեղապատրաստուկի սահմանման տակ, պետք է դիտարկվի որպես գենոթերապևտիկ պատրաստուկ</w:t>
      </w:r>
      <w:r w:rsidR="006F76EB" w:rsidRPr="00834D52">
        <w:rPr>
          <w:rFonts w:ascii="Sylfaen" w:hAnsi="Sylfaen"/>
          <w:sz w:val="24"/>
          <w:szCs w:val="24"/>
        </w:rPr>
        <w:t>:</w:t>
      </w:r>
    </w:p>
    <w:p w14:paraId="594B659A" w14:textId="7618C9BE" w:rsidR="00A33E6C" w:rsidRPr="00371618" w:rsidRDefault="00A33E6C" w:rsidP="00A33E6C">
      <w:pPr>
        <w:rPr>
          <w:b/>
          <w:bCs/>
          <w:i/>
          <w:iCs/>
        </w:rPr>
      </w:pPr>
      <w:r w:rsidRPr="00371618">
        <w:rPr>
          <w:b/>
          <w:bCs/>
          <w:i/>
          <w:iCs/>
        </w:rPr>
        <w:t>(</w:t>
      </w:r>
      <w:r>
        <w:rPr>
          <w:b/>
          <w:bCs/>
          <w:i/>
          <w:iCs/>
        </w:rPr>
        <w:t xml:space="preserve">17.2.2 </w:t>
      </w:r>
      <w:r w:rsidRPr="00371618">
        <w:rPr>
          <w:b/>
          <w:bCs/>
          <w:i/>
          <w:iCs/>
        </w:rPr>
        <w:t xml:space="preserve"> կետը փոփ. 17.03.22 թիվ 36)</w:t>
      </w:r>
    </w:p>
    <w:p w14:paraId="07C8EC0A" w14:textId="77777777" w:rsidR="00A33E6C" w:rsidRPr="00834D52" w:rsidRDefault="00A33E6C" w:rsidP="00A33E6C">
      <w:pPr>
        <w:spacing w:after="160" w:line="384" w:lineRule="auto"/>
        <w:ind w:right="-6" w:firstLine="567"/>
        <w:jc w:val="both"/>
        <w:rPr>
          <w:rFonts w:ascii="Sylfaen" w:eastAsia="Times New Roman" w:hAnsi="Sylfaen" w:cs="Times New Roman"/>
          <w:sz w:val="24"/>
          <w:szCs w:val="24"/>
        </w:rPr>
      </w:pPr>
    </w:p>
    <w:p w14:paraId="3A5500EE" w14:textId="77777777" w:rsidR="006F76EB" w:rsidRPr="00834D52" w:rsidRDefault="006F76EB" w:rsidP="00D8646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w:t>
      </w:r>
      <w:r w:rsidRPr="00834D52">
        <w:rPr>
          <w:rFonts w:ascii="Sylfaen" w:hAnsi="Sylfaen"/>
          <w:sz w:val="24"/>
          <w:szCs w:val="24"/>
        </w:rPr>
        <w:tab/>
        <w:t>Գրանցման դոսյեի 3-րդ մոդուլին ներկայացվող հատուկ պահանջները.</w:t>
      </w:r>
    </w:p>
    <w:p w14:paraId="6A118E90" w14:textId="77777777" w:rsidR="006F76EB" w:rsidRPr="00834D52" w:rsidRDefault="006F76EB" w:rsidP="00D8646A">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17.3.1.</w:t>
      </w:r>
      <w:r w:rsidRPr="00834D52">
        <w:rPr>
          <w:rFonts w:ascii="Sylfaen" w:hAnsi="Sylfaen"/>
          <w:sz w:val="24"/>
          <w:szCs w:val="24"/>
        </w:rPr>
        <w:tab/>
        <w:t>Բոլոր բարձր տեխնոլոգիական դեղապատրաստուկների համար հատուկ պահանջները.</w:t>
      </w:r>
    </w:p>
    <w:p w14:paraId="3E971DED" w14:textId="7B2D66E1" w:rsidR="006F76EB" w:rsidRPr="00834D52" w:rsidRDefault="006F76EB" w:rsidP="00D8646A">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հետագծելիության համակարգի նկարագրությունը, որը </w:t>
      </w:r>
      <w:r w:rsidR="0056496B">
        <w:rPr>
          <w:rFonts w:ascii="Sylfaen" w:hAnsi="Sylfaen"/>
          <w:sz w:val="24"/>
          <w:szCs w:val="24"/>
        </w:rPr>
        <w:t>դիմումատու</w:t>
      </w:r>
      <w:r w:rsidRPr="00834D52">
        <w:rPr>
          <w:rFonts w:ascii="Sylfaen" w:hAnsi="Sylfaen"/>
          <w:sz w:val="24"/>
          <w:szCs w:val="24"/>
        </w:rPr>
        <w:t xml:space="preserve">ն պարտավորվում է սահմանել </w:t>
      </w:r>
      <w:r w:rsidR="00C54D75">
        <w:rPr>
          <w:rFonts w:ascii="Sylfaen" w:hAnsi="Sylfaen"/>
          <w:sz w:val="24"/>
          <w:szCs w:val="24"/>
        </w:rPr>
        <w:t>և</w:t>
      </w:r>
      <w:r w:rsidRPr="00834D52">
        <w:rPr>
          <w:rFonts w:ascii="Sylfaen" w:hAnsi="Sylfaen"/>
          <w:sz w:val="24"/>
          <w:szCs w:val="24"/>
        </w:rPr>
        <w:t xml:space="preserve"> պահպանել առանձին դեղապատրաստուկի ու դրա ելակետային նյութերի </w:t>
      </w:r>
      <w:r w:rsidR="00C54D75">
        <w:rPr>
          <w:rFonts w:ascii="Sylfaen" w:hAnsi="Sylfaen"/>
          <w:sz w:val="24"/>
          <w:szCs w:val="24"/>
        </w:rPr>
        <w:t>և</w:t>
      </w:r>
      <w:r w:rsidRPr="00834D52">
        <w:rPr>
          <w:rFonts w:ascii="Sylfaen" w:hAnsi="Sylfaen"/>
          <w:sz w:val="24"/>
          <w:szCs w:val="24"/>
        </w:rPr>
        <w:t xml:space="preserve"> հումքի, ներառյալ՝ դրանում պարունակվող բջիջների կամ հյուսվածքների հետ շփման մեջ գտնվող բոլոր նյութերի ստացման (ծագման) աղբյուրի, դրանց արտադրության, փաթեթվածքի, պահպանման, տրանսպորտային փոխադրման </w:t>
      </w:r>
      <w:r w:rsidR="00C54D75">
        <w:rPr>
          <w:rFonts w:ascii="Sylfaen" w:hAnsi="Sylfaen"/>
          <w:sz w:val="24"/>
          <w:szCs w:val="24"/>
        </w:rPr>
        <w:t>և</w:t>
      </w:r>
      <w:r w:rsidRPr="00834D52">
        <w:rPr>
          <w:rFonts w:ascii="Sylfaen" w:hAnsi="Sylfaen"/>
          <w:sz w:val="24"/>
          <w:szCs w:val="24"/>
        </w:rPr>
        <w:t xml:space="preserve"> բժշկական կազմակերպություն մատակարարման հետագծելիությունն ապահովելու համար:</w:t>
      </w:r>
    </w:p>
    <w:p w14:paraId="4663F15A" w14:textId="77777777" w:rsidR="006F76EB" w:rsidRPr="00834D52" w:rsidRDefault="006F76EB" w:rsidP="000A4ACC">
      <w:pPr>
        <w:tabs>
          <w:tab w:val="left" w:pos="1985"/>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Հետագծելիության համակարգը պետք է լրացնի մարդու բջիջների </w:t>
      </w:r>
      <w:r w:rsidR="00C54D75">
        <w:rPr>
          <w:rFonts w:ascii="Sylfaen" w:hAnsi="Sylfaen"/>
          <w:sz w:val="24"/>
          <w:szCs w:val="24"/>
        </w:rPr>
        <w:t>և</w:t>
      </w:r>
      <w:r w:rsidRPr="00834D52">
        <w:rPr>
          <w:rFonts w:ascii="Sylfaen" w:hAnsi="Sylfaen"/>
          <w:sz w:val="24"/>
          <w:szCs w:val="24"/>
        </w:rPr>
        <w:t xml:space="preserve"> հյուսվածքների վերաբերյալ անդամ պետությունների հետագծելիության համակարգերին ներկայացվող պահանջները </w:t>
      </w:r>
      <w:r w:rsidR="00C54D75">
        <w:rPr>
          <w:rFonts w:ascii="Sylfaen" w:hAnsi="Sylfaen"/>
          <w:sz w:val="24"/>
          <w:szCs w:val="24"/>
        </w:rPr>
        <w:t>և</w:t>
      </w:r>
      <w:r w:rsidRPr="00834D52">
        <w:rPr>
          <w:rFonts w:ascii="Sylfaen" w:hAnsi="Sylfaen"/>
          <w:sz w:val="24"/>
          <w:szCs w:val="24"/>
        </w:rPr>
        <w:t xml:space="preserve"> համաձայնեցվի դրանց հետ:</w:t>
      </w:r>
    </w:p>
    <w:p w14:paraId="032EE4E3"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390F8E1D"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17.3.2.1.</w:t>
      </w:r>
      <w:r w:rsidRPr="00834D52">
        <w:rPr>
          <w:rFonts w:ascii="Sylfaen" w:hAnsi="Sylfaen"/>
          <w:sz w:val="24"/>
          <w:szCs w:val="24"/>
        </w:rPr>
        <w:tab/>
        <w:t xml:space="preserve">Ներածություն. դեղապատրաստուկ, ակտիվ նյութ </w:t>
      </w:r>
      <w:r w:rsidR="00C54D75">
        <w:rPr>
          <w:rFonts w:ascii="Sylfaen" w:hAnsi="Sylfaen"/>
          <w:sz w:val="24"/>
          <w:szCs w:val="24"/>
        </w:rPr>
        <w:t>և</w:t>
      </w:r>
      <w:r w:rsidRPr="00834D52">
        <w:rPr>
          <w:rFonts w:ascii="Sylfaen" w:hAnsi="Sylfaen"/>
          <w:sz w:val="24"/>
          <w:szCs w:val="24"/>
        </w:rPr>
        <w:t xml:space="preserve"> ելակետային նյութեր.</w:t>
      </w:r>
    </w:p>
    <w:p w14:paraId="24CBCA7A"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17.3.2.1.1.</w:t>
      </w:r>
      <w:r w:rsidRPr="00834D52">
        <w:rPr>
          <w:rFonts w:ascii="Sylfaen" w:hAnsi="Sylfaen"/>
          <w:sz w:val="24"/>
          <w:szCs w:val="24"/>
        </w:rPr>
        <w:tab/>
        <w:t>Ռեկոմբինանտային նուկլեինաթթուների հաջորդականություն կամ գենետիկորեն մոդիֆիկացված միկրոօրգանիզմներ կամ վիրուս պարունակող գենոթերապ</w:t>
      </w:r>
      <w:r w:rsidR="00C54D75">
        <w:rPr>
          <w:rFonts w:ascii="Sylfaen" w:hAnsi="Sylfaen"/>
          <w:sz w:val="24"/>
          <w:szCs w:val="24"/>
        </w:rPr>
        <w:t>և</w:t>
      </w:r>
      <w:r w:rsidRPr="00834D52">
        <w:rPr>
          <w:rFonts w:ascii="Sylfaen" w:hAnsi="Sylfaen"/>
          <w:sz w:val="24"/>
          <w:szCs w:val="24"/>
        </w:rPr>
        <w:t>տիկ դեղապատրաստուկներ.</w:t>
      </w:r>
    </w:p>
    <w:p w14:paraId="39236FEE" w14:textId="77777777" w:rsidR="006F76EB" w:rsidRPr="00834D52" w:rsidRDefault="006F76EB" w:rsidP="00AD33B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Դեղապատրաստուկը պետք է կազմված լինի նուկլեինաթթվի հաջորդականությունից, գենետիկորեն մոդիֆիկացված միկրոօրգանիզմից կամ վիրուսից </w:t>
      </w:r>
      <w:r w:rsidR="00C54D75">
        <w:rPr>
          <w:rFonts w:ascii="Sylfaen" w:hAnsi="Sylfaen"/>
          <w:sz w:val="24"/>
          <w:szCs w:val="24"/>
        </w:rPr>
        <w:t>և</w:t>
      </w:r>
      <w:r w:rsidRPr="00834D52">
        <w:rPr>
          <w:rFonts w:ascii="Sylfaen" w:hAnsi="Sylfaen"/>
          <w:sz w:val="24"/>
          <w:szCs w:val="24"/>
        </w:rPr>
        <w:t xml:space="preserve"> փաթեթավորված լինի բժշկական օգտագործման համար նախատեսված առաջնային փաթեթվածքում: Դեղապատրաստուկը կարող է համակցվել բժշկական արտադրատեսակի հետ:</w:t>
      </w:r>
    </w:p>
    <w:p w14:paraId="1F89CD7D" w14:textId="77777777" w:rsidR="006F76EB" w:rsidRPr="00834D52" w:rsidRDefault="006F76EB" w:rsidP="007E1C16">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Ակտիվ նյութը պետք է կազմված լինի նուկլեինաթթվի հաջորդականությունից կամ գենետիկորեն մոդիֆիկացված մկիրոօրգանիզմից կամ վիրուսից:</w:t>
      </w:r>
    </w:p>
    <w:p w14:paraId="049CE797" w14:textId="77777777" w:rsidR="006F76EB" w:rsidRPr="00834D52" w:rsidRDefault="006F76EB" w:rsidP="007E1C16">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17.3.2.1.2.</w:t>
      </w:r>
      <w:r w:rsidRPr="00834D52">
        <w:rPr>
          <w:rFonts w:ascii="Sylfaen" w:hAnsi="Sylfaen"/>
          <w:sz w:val="24"/>
          <w:szCs w:val="24"/>
        </w:rPr>
        <w:tab/>
        <w:t>Գենետիկորեն մոդիֆիկացված բջիջներ պարունակող գենոթերապ</w:t>
      </w:r>
      <w:r w:rsidR="00C54D75">
        <w:rPr>
          <w:rFonts w:ascii="Sylfaen" w:hAnsi="Sylfaen"/>
          <w:sz w:val="24"/>
          <w:szCs w:val="24"/>
        </w:rPr>
        <w:t>և</w:t>
      </w:r>
      <w:r w:rsidRPr="00834D52">
        <w:rPr>
          <w:rFonts w:ascii="Sylfaen" w:hAnsi="Sylfaen"/>
          <w:sz w:val="24"/>
          <w:szCs w:val="24"/>
        </w:rPr>
        <w:t>տիկ դեղապատրաստուկներ.</w:t>
      </w:r>
    </w:p>
    <w:p w14:paraId="126D41A8" w14:textId="77777777" w:rsidR="006F76EB" w:rsidRPr="00834D52" w:rsidRDefault="006F76EB" w:rsidP="007E1C16">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պետք է կազմված լինի գենետիկորեն մոդիֆիկացված բջիջներից </w:t>
      </w:r>
      <w:r w:rsidR="00C54D75">
        <w:rPr>
          <w:rFonts w:ascii="Sylfaen" w:hAnsi="Sylfaen"/>
          <w:sz w:val="24"/>
          <w:szCs w:val="24"/>
        </w:rPr>
        <w:t>և</w:t>
      </w:r>
      <w:r w:rsidRPr="00834D52">
        <w:rPr>
          <w:rFonts w:ascii="Sylfaen" w:hAnsi="Sylfaen"/>
          <w:sz w:val="24"/>
          <w:szCs w:val="24"/>
        </w:rPr>
        <w:t xml:space="preserve"> փաթեթավորված լինի բժշկական օգտագործման համար նախատեսված առաջնային փաթեթվածքում: Դեղապատրաստուկը կարող է համակցվել բժշկական արտադրատեսակի հետ:</w:t>
      </w:r>
    </w:p>
    <w:p w14:paraId="047C8D8C" w14:textId="77777777" w:rsidR="006F76EB" w:rsidRPr="00834D52" w:rsidRDefault="006F76EB" w:rsidP="007E1C16">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Ակտիվ նյութը պետք է կազմված լինի 17.3.2.1.1. բաժնում նշված արտադրանքի տեսակներից որ</w:t>
      </w:r>
      <w:r w:rsidR="00C54D75">
        <w:rPr>
          <w:rFonts w:ascii="Sylfaen" w:hAnsi="Sylfaen"/>
          <w:sz w:val="24"/>
          <w:szCs w:val="24"/>
        </w:rPr>
        <w:t>և</w:t>
      </w:r>
      <w:r w:rsidRPr="00834D52">
        <w:rPr>
          <w:rFonts w:ascii="Sylfaen" w:hAnsi="Sylfaen"/>
          <w:sz w:val="24"/>
          <w:szCs w:val="24"/>
        </w:rPr>
        <w:t>է մեկով գենետիկորեն մոդիֆիկացված բջիջներից:</w:t>
      </w:r>
    </w:p>
    <w:p w14:paraId="394EDA39" w14:textId="77777777" w:rsidR="006F76EB" w:rsidRPr="000A4ACC" w:rsidRDefault="006F76EB" w:rsidP="007E1C16">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17.3.2.1.3.</w:t>
      </w:r>
      <w:r w:rsidRPr="00834D52">
        <w:rPr>
          <w:rFonts w:ascii="Sylfaen" w:hAnsi="Sylfaen"/>
          <w:sz w:val="24"/>
          <w:szCs w:val="24"/>
        </w:rPr>
        <w:tab/>
        <w:t>Վիրուսներից կամ վիրուսային վեկտորներից կազմված արտադրանքի տեսակների համար ելակետային նյութեր են այն բաղադրիչները, որոնցից ստանում են վիրուսային վեկտոր՝ ռեցիպիենտ բջիջների (փաթեթավորող բջիջների) տրանսֆեկցիայի համար օգտագործվող վիրուսային կամ պլազմիդային վեկտորի գլխավոր բանկ կամ ռեցիպիենտ բջիջների գծի (բջջային փաթեթավորող գծի) գլխավոր բանկ:</w:t>
      </w:r>
    </w:p>
    <w:p w14:paraId="2116968C" w14:textId="77777777" w:rsidR="006F76EB" w:rsidRPr="000A4ACC" w:rsidRDefault="006F76EB" w:rsidP="007E1C16">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17.3.2.1.4.</w:t>
      </w:r>
      <w:r w:rsidRPr="00834D52">
        <w:rPr>
          <w:rFonts w:ascii="Sylfaen" w:hAnsi="Sylfaen"/>
          <w:sz w:val="24"/>
          <w:szCs w:val="24"/>
        </w:rPr>
        <w:tab/>
        <w:t xml:space="preserve">Վիրուսներից </w:t>
      </w:r>
      <w:r w:rsidR="00C54D75">
        <w:rPr>
          <w:rFonts w:ascii="Sylfaen" w:hAnsi="Sylfaen"/>
          <w:sz w:val="24"/>
          <w:szCs w:val="24"/>
        </w:rPr>
        <w:t>և</w:t>
      </w:r>
      <w:r w:rsidRPr="00834D52">
        <w:rPr>
          <w:rFonts w:ascii="Sylfaen" w:hAnsi="Sylfaen"/>
          <w:sz w:val="24"/>
          <w:szCs w:val="24"/>
        </w:rPr>
        <w:t xml:space="preserve"> վիրուսային վեկտորներից տարբերվող՝ պլազմիդներից կազմված արտադրանքի տեսակների, ոչ վիրուսային վեկտորների </w:t>
      </w:r>
      <w:r w:rsidR="00C54D75">
        <w:rPr>
          <w:rFonts w:ascii="Sylfaen" w:hAnsi="Sylfaen"/>
          <w:sz w:val="24"/>
          <w:szCs w:val="24"/>
        </w:rPr>
        <w:t>և</w:t>
      </w:r>
      <w:r w:rsidRPr="00834D52">
        <w:rPr>
          <w:rFonts w:ascii="Sylfaen" w:hAnsi="Sylfaen"/>
          <w:sz w:val="24"/>
          <w:szCs w:val="24"/>
        </w:rPr>
        <w:t xml:space="preserve"> գենետիկորեն մոդիֆիկացված օրգանիզմի համար ելակետային նյութեր են պրոդուցենտ բջիջներ ստանալու համար օգտագործվող բաղադրիչները՝ պլազմիդներ, բակտերիալ ընդունող բջիջներ </w:t>
      </w:r>
      <w:r w:rsidR="00C54D75">
        <w:rPr>
          <w:rFonts w:ascii="Sylfaen" w:hAnsi="Sylfaen"/>
          <w:sz w:val="24"/>
          <w:szCs w:val="24"/>
        </w:rPr>
        <w:t>և</w:t>
      </w:r>
      <w:r w:rsidRPr="00834D52">
        <w:rPr>
          <w:rFonts w:ascii="Sylfaen" w:hAnsi="Sylfaen"/>
          <w:sz w:val="24"/>
          <w:szCs w:val="24"/>
        </w:rPr>
        <w:t xml:space="preserve"> ռեկոմբինանտ մանրէային բջիջների գլխավոր բանկ: </w:t>
      </w:r>
    </w:p>
    <w:p w14:paraId="7A9A4A87" w14:textId="77777777" w:rsidR="006F76EB" w:rsidRPr="000A4ACC" w:rsidRDefault="006F76EB" w:rsidP="007E1C16">
      <w:pPr>
        <w:tabs>
          <w:tab w:val="left" w:pos="1701"/>
        </w:tabs>
        <w:spacing w:after="160" w:line="341" w:lineRule="auto"/>
        <w:ind w:right="-6" w:firstLine="567"/>
        <w:jc w:val="both"/>
        <w:rPr>
          <w:rFonts w:ascii="Sylfaen" w:hAnsi="Sylfaen"/>
          <w:sz w:val="24"/>
          <w:szCs w:val="24"/>
        </w:rPr>
      </w:pPr>
      <w:r w:rsidRPr="00834D52">
        <w:rPr>
          <w:rFonts w:ascii="Sylfaen" w:hAnsi="Sylfaen"/>
          <w:sz w:val="24"/>
          <w:szCs w:val="24"/>
        </w:rPr>
        <w:lastRenderedPageBreak/>
        <w:t>17.3.2.1.5.</w:t>
      </w:r>
      <w:r w:rsidRPr="00834D52">
        <w:rPr>
          <w:rFonts w:ascii="Sylfaen" w:hAnsi="Sylfaen"/>
          <w:sz w:val="24"/>
          <w:szCs w:val="24"/>
        </w:rPr>
        <w:tab/>
        <w:t xml:space="preserve">Գենետիկորեն մոդիֆիկացված բջիջների համար ելակետային նյութեր են գենետիկորեն մոդիֆիկացված բջիջների ստացման համար օգտագործվող բաղադրիչները, այսինքն՝ վեկտորի ստացման համար ելակետային նյութերը, մարդու </w:t>
      </w:r>
      <w:r w:rsidR="00C54D75">
        <w:rPr>
          <w:rFonts w:ascii="Sylfaen" w:hAnsi="Sylfaen"/>
          <w:sz w:val="24"/>
          <w:szCs w:val="24"/>
        </w:rPr>
        <w:t>և</w:t>
      </w:r>
      <w:r w:rsidRPr="00834D52">
        <w:rPr>
          <w:rFonts w:ascii="Sylfaen" w:hAnsi="Sylfaen"/>
          <w:sz w:val="24"/>
          <w:szCs w:val="24"/>
        </w:rPr>
        <w:t xml:space="preserve"> կենդանիների վեկտորը </w:t>
      </w:r>
      <w:r w:rsidR="00C54D75">
        <w:rPr>
          <w:rFonts w:ascii="Sylfaen" w:hAnsi="Sylfaen"/>
          <w:sz w:val="24"/>
          <w:szCs w:val="24"/>
        </w:rPr>
        <w:t>և</w:t>
      </w:r>
      <w:r w:rsidRPr="00834D52">
        <w:rPr>
          <w:rFonts w:ascii="Sylfaen" w:hAnsi="Sylfaen"/>
          <w:sz w:val="24"/>
          <w:szCs w:val="24"/>
        </w:rPr>
        <w:t xml:space="preserve"> բջիջները: Արտադրական պատշաճ գործունեության սկզբունքները պետք է կիրառվեն՝ սկսելով վեկտորի արտադրության համար օգտագործվող բանկերի համակարգերից մինչ</w:t>
      </w:r>
      <w:r w:rsidR="00C54D75">
        <w:rPr>
          <w:rFonts w:ascii="Sylfaen" w:hAnsi="Sylfaen"/>
          <w:sz w:val="24"/>
          <w:szCs w:val="24"/>
        </w:rPr>
        <w:t>և</w:t>
      </w:r>
      <w:r w:rsidRPr="00834D52">
        <w:rPr>
          <w:rFonts w:ascii="Sylfaen" w:hAnsi="Sylfaen"/>
          <w:sz w:val="24"/>
          <w:szCs w:val="24"/>
        </w:rPr>
        <w:t xml:space="preserve"> պատրաստի արտադրանքը:</w:t>
      </w:r>
    </w:p>
    <w:p w14:paraId="0C2A1CCD" w14:textId="77777777" w:rsidR="006F76EB" w:rsidRPr="00986A6E" w:rsidRDefault="006F76EB" w:rsidP="007E1C16">
      <w:pPr>
        <w:tabs>
          <w:tab w:val="left" w:pos="1701"/>
        </w:tabs>
        <w:spacing w:after="160" w:line="341" w:lineRule="auto"/>
        <w:ind w:right="-6" w:firstLine="567"/>
        <w:jc w:val="both"/>
        <w:rPr>
          <w:rFonts w:ascii="Sylfaen" w:hAnsi="Sylfaen"/>
          <w:sz w:val="24"/>
          <w:szCs w:val="24"/>
        </w:rPr>
      </w:pPr>
      <w:r w:rsidRPr="00986A6E">
        <w:rPr>
          <w:rFonts w:ascii="Sylfaen" w:hAnsi="Sylfaen"/>
          <w:sz w:val="24"/>
          <w:szCs w:val="24"/>
        </w:rPr>
        <w:t>17.3.2.2.</w:t>
      </w:r>
      <w:r w:rsidRPr="00986A6E">
        <w:rPr>
          <w:rFonts w:ascii="Sylfaen" w:hAnsi="Sylfaen"/>
          <w:sz w:val="24"/>
          <w:szCs w:val="24"/>
        </w:rPr>
        <w:tab/>
        <w:t>Հատուկ պահանջներ.</w:t>
      </w:r>
    </w:p>
    <w:p w14:paraId="469F8C69" w14:textId="77777777" w:rsidR="006F76EB" w:rsidRPr="00986A6E" w:rsidRDefault="006F76EB" w:rsidP="007E1C16">
      <w:pPr>
        <w:spacing w:after="160" w:line="341" w:lineRule="auto"/>
        <w:ind w:right="-6" w:firstLine="567"/>
        <w:jc w:val="both"/>
        <w:rPr>
          <w:rFonts w:ascii="Sylfaen" w:hAnsi="Sylfaen"/>
          <w:sz w:val="24"/>
          <w:szCs w:val="24"/>
        </w:rPr>
      </w:pPr>
      <w:r w:rsidRPr="00986A6E">
        <w:rPr>
          <w:rFonts w:ascii="Sylfaen" w:hAnsi="Sylfaen"/>
          <w:sz w:val="24"/>
          <w:szCs w:val="24"/>
        </w:rPr>
        <w:t xml:space="preserve">Ի լրումն սույն հավելվածի I մասի 3.2.1 </w:t>
      </w:r>
      <w:r w:rsidR="00C54D75">
        <w:rPr>
          <w:rFonts w:ascii="Sylfaen" w:hAnsi="Sylfaen"/>
          <w:sz w:val="24"/>
          <w:szCs w:val="24"/>
        </w:rPr>
        <w:t>և</w:t>
      </w:r>
      <w:r w:rsidRPr="00986A6E">
        <w:rPr>
          <w:rFonts w:ascii="Sylfaen" w:hAnsi="Sylfaen"/>
          <w:sz w:val="24"/>
          <w:szCs w:val="24"/>
        </w:rPr>
        <w:t xml:space="preserve"> 3.2.2 բաժիններում նշված պահանջների՝ պետք է կիրառվեն հետ</w:t>
      </w:r>
      <w:r w:rsidR="00C54D75">
        <w:rPr>
          <w:rFonts w:ascii="Sylfaen" w:hAnsi="Sylfaen"/>
          <w:sz w:val="24"/>
          <w:szCs w:val="24"/>
        </w:rPr>
        <w:t>և</w:t>
      </w:r>
      <w:r w:rsidRPr="00986A6E">
        <w:rPr>
          <w:rFonts w:ascii="Sylfaen" w:hAnsi="Sylfaen"/>
          <w:sz w:val="24"/>
          <w:szCs w:val="24"/>
        </w:rPr>
        <w:t>յալ պահանջները.</w:t>
      </w:r>
    </w:p>
    <w:p w14:paraId="71DA6ADD" w14:textId="77777777" w:rsidR="006F76EB" w:rsidRPr="00C64A77" w:rsidRDefault="006F76EB" w:rsidP="007E1C16">
      <w:pPr>
        <w:tabs>
          <w:tab w:val="left" w:pos="1134"/>
        </w:tabs>
        <w:spacing w:after="160" w:line="341" w:lineRule="auto"/>
        <w:ind w:right="-6" w:firstLine="567"/>
        <w:jc w:val="both"/>
        <w:rPr>
          <w:rFonts w:ascii="Sylfaen" w:eastAsia="Times New Roman" w:hAnsi="Sylfaen" w:cs="Times New Roman"/>
          <w:spacing w:val="-6"/>
          <w:sz w:val="24"/>
          <w:szCs w:val="24"/>
        </w:rPr>
      </w:pPr>
      <w:r w:rsidRPr="00986A6E">
        <w:rPr>
          <w:rFonts w:ascii="Sylfaen" w:hAnsi="Sylfaen"/>
          <w:sz w:val="24"/>
          <w:szCs w:val="24"/>
        </w:rPr>
        <w:t>ա)</w:t>
      </w:r>
      <w:r w:rsidRPr="00986A6E">
        <w:rPr>
          <w:rFonts w:ascii="Sylfaen" w:hAnsi="Sylfaen"/>
          <w:sz w:val="24"/>
          <w:szCs w:val="24"/>
        </w:rPr>
        <w:tab/>
      </w:r>
      <w:r w:rsidRPr="00C64A77">
        <w:rPr>
          <w:rFonts w:ascii="Sylfaen" w:hAnsi="Sylfaen"/>
          <w:spacing w:val="-6"/>
          <w:sz w:val="24"/>
          <w:szCs w:val="24"/>
        </w:rPr>
        <w:t xml:space="preserve">տեղեկատվությունն անհրաժեշտ է ներկայացնել ակտիվ նյութի արտադրության համար օգտագործվող բոլոր ելակետային նյութերի մասով, ներառյալ՝ մարդու </w:t>
      </w:r>
      <w:r w:rsidR="00C54D75">
        <w:rPr>
          <w:rFonts w:ascii="Sylfaen" w:hAnsi="Sylfaen"/>
          <w:spacing w:val="-6"/>
          <w:sz w:val="24"/>
          <w:szCs w:val="24"/>
        </w:rPr>
        <w:t>և</w:t>
      </w:r>
      <w:r w:rsidRPr="00C64A77">
        <w:rPr>
          <w:rFonts w:ascii="Sylfaen" w:hAnsi="Sylfaen"/>
          <w:spacing w:val="-6"/>
          <w:sz w:val="24"/>
          <w:szCs w:val="24"/>
        </w:rPr>
        <w:t xml:space="preserve"> կենդանիների բջիջների գենետիկ մոդիֆիկացման </w:t>
      </w:r>
      <w:r w:rsidR="00C54D75">
        <w:rPr>
          <w:rFonts w:ascii="Sylfaen" w:hAnsi="Sylfaen"/>
          <w:spacing w:val="-6"/>
          <w:sz w:val="24"/>
          <w:szCs w:val="24"/>
        </w:rPr>
        <w:t>և</w:t>
      </w:r>
      <w:r w:rsidRPr="00C64A77">
        <w:rPr>
          <w:rFonts w:ascii="Sylfaen" w:hAnsi="Sylfaen"/>
          <w:spacing w:val="-6"/>
          <w:sz w:val="24"/>
          <w:szCs w:val="24"/>
        </w:rPr>
        <w:t xml:space="preserve"> գենետիկորեն մոդիֆիկացված բջիջների հետագա կուլտիվացման </w:t>
      </w:r>
      <w:r w:rsidR="00C54D75">
        <w:rPr>
          <w:rFonts w:ascii="Sylfaen" w:hAnsi="Sylfaen"/>
          <w:spacing w:val="-6"/>
          <w:sz w:val="24"/>
          <w:szCs w:val="24"/>
        </w:rPr>
        <w:t>և</w:t>
      </w:r>
      <w:r w:rsidRPr="00C64A77">
        <w:rPr>
          <w:rFonts w:ascii="Sylfaen" w:hAnsi="Sylfaen"/>
          <w:spacing w:val="-6"/>
          <w:sz w:val="24"/>
          <w:szCs w:val="24"/>
        </w:rPr>
        <w:t xml:space="preserve"> կոնսերվացման համար (անհրաժեշտության դեպքում) անհրաժեշտ արրտադրանքի տեսակները՝ հաշվի առնելով մաքրման փուլերի հնարավոր բացակայությունը.</w:t>
      </w:r>
    </w:p>
    <w:p w14:paraId="63428E81" w14:textId="77777777" w:rsidR="006F76EB" w:rsidRPr="00834D52" w:rsidRDefault="006F76EB" w:rsidP="007E1C1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միկրոօրգանիզմներ (այդ թվում՝ վիրուսներ) պարունակող արտադրանքի տեսակների համար անհրաժեշտ է ներկայացնել միկրոօրգանիզմների գենետիկ մոդիֆիկացման, սեկվենավորման, ատենուացիայի, որոշակի տիպի հյուսվածքների </w:t>
      </w:r>
      <w:r w:rsidR="00C54D75">
        <w:rPr>
          <w:rFonts w:ascii="Sylfaen" w:hAnsi="Sylfaen"/>
          <w:sz w:val="24"/>
          <w:szCs w:val="24"/>
        </w:rPr>
        <w:t>և</w:t>
      </w:r>
      <w:r w:rsidRPr="00834D52">
        <w:rPr>
          <w:rFonts w:ascii="Sylfaen" w:hAnsi="Sylfaen"/>
          <w:sz w:val="24"/>
          <w:szCs w:val="24"/>
        </w:rPr>
        <w:t xml:space="preserve"> բջիջների տրոպիզմի, բջջային ցիկլից միկրոօրգանիզմների հատկությունների կախվածության, ծնողական շտամի ախտածնության </w:t>
      </w:r>
      <w:r w:rsidR="00C54D75">
        <w:rPr>
          <w:rFonts w:ascii="Sylfaen" w:hAnsi="Sylfaen"/>
          <w:sz w:val="24"/>
          <w:szCs w:val="24"/>
        </w:rPr>
        <w:t>և</w:t>
      </w:r>
      <w:r w:rsidRPr="00834D52">
        <w:rPr>
          <w:rFonts w:ascii="Sylfaen" w:hAnsi="Sylfaen"/>
          <w:sz w:val="24"/>
          <w:szCs w:val="24"/>
        </w:rPr>
        <w:t xml:space="preserve"> բնութագրերի վերաբերյալ տվյալներ.</w:t>
      </w:r>
    </w:p>
    <w:p w14:paraId="0B61CC33" w14:textId="77777777" w:rsidR="006F76EB" w:rsidRPr="00834D52" w:rsidRDefault="006F76EB" w:rsidP="007E1C1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գրանցման դոսյեի համապատասխան բաժիններում անհրաժեշտ է նկարագրել արտադրական ու հարակից խառնուկները </w:t>
      </w:r>
      <w:r w:rsidR="00C54D75">
        <w:rPr>
          <w:rFonts w:ascii="Sylfaen" w:hAnsi="Sylfaen"/>
          <w:sz w:val="24"/>
          <w:szCs w:val="24"/>
        </w:rPr>
        <w:t>և</w:t>
      </w:r>
      <w:r w:rsidRPr="00834D52">
        <w:rPr>
          <w:rFonts w:ascii="Sylfaen" w:hAnsi="Sylfaen"/>
          <w:sz w:val="24"/>
          <w:szCs w:val="24"/>
        </w:rPr>
        <w:t xml:space="preserve"> հատկապես ռեպլիկացիայի ունակ վիրուսների տեսքով կոնտամինացնող ագենտները, եթե վեկտորը պետք է ռեպլիկացիայի ունակ չլինի.</w:t>
      </w:r>
    </w:p>
    <w:p w14:paraId="41E37221" w14:textId="77777777" w:rsidR="006F76EB" w:rsidRPr="00834D52" w:rsidRDefault="006F76EB" w:rsidP="000F124E">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արտադրանքի պիտանիության ժամկետի ողջ ընթացքում պլազմիդների համար անհրաժեշտ է անցկացնել պլազմիդների տարբեր ձ</w:t>
      </w:r>
      <w:r w:rsidR="00C54D75">
        <w:rPr>
          <w:rFonts w:ascii="Sylfaen" w:hAnsi="Sylfaen"/>
          <w:sz w:val="24"/>
          <w:szCs w:val="24"/>
        </w:rPr>
        <w:t>և</w:t>
      </w:r>
      <w:r w:rsidRPr="00834D52">
        <w:rPr>
          <w:rFonts w:ascii="Sylfaen" w:hAnsi="Sylfaen"/>
          <w:sz w:val="24"/>
          <w:szCs w:val="24"/>
        </w:rPr>
        <w:t>երի քանակական որոշում.</w:t>
      </w:r>
    </w:p>
    <w:p w14:paraId="4D9E3F45" w14:textId="77777777" w:rsidR="006F76EB" w:rsidRPr="00834D52" w:rsidRDefault="006F76EB" w:rsidP="000F124E">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ե)</w:t>
      </w:r>
      <w:r w:rsidRPr="00834D52">
        <w:rPr>
          <w:rFonts w:ascii="Sylfaen" w:hAnsi="Sylfaen"/>
          <w:sz w:val="24"/>
          <w:szCs w:val="24"/>
        </w:rPr>
        <w:tab/>
        <w:t>գենետիկորեն մոդիֆիկացված բջիջների համար մինչ</w:t>
      </w:r>
      <w:r w:rsidR="00C54D75">
        <w:rPr>
          <w:rFonts w:ascii="Sylfaen" w:hAnsi="Sylfaen"/>
          <w:sz w:val="24"/>
          <w:szCs w:val="24"/>
        </w:rPr>
        <w:t>և</w:t>
      </w:r>
      <w:r w:rsidRPr="00834D52">
        <w:rPr>
          <w:rFonts w:ascii="Sylfaen" w:hAnsi="Sylfaen"/>
          <w:sz w:val="24"/>
          <w:szCs w:val="24"/>
        </w:rPr>
        <w:t xml:space="preserve"> գենետիկ մոդիֆիկացումը </w:t>
      </w:r>
      <w:r w:rsidR="00C54D75">
        <w:rPr>
          <w:rFonts w:ascii="Sylfaen" w:hAnsi="Sylfaen"/>
          <w:sz w:val="24"/>
          <w:szCs w:val="24"/>
        </w:rPr>
        <w:t>և</w:t>
      </w:r>
      <w:r w:rsidRPr="00834D52">
        <w:rPr>
          <w:rFonts w:ascii="Sylfaen" w:hAnsi="Sylfaen"/>
          <w:sz w:val="24"/>
          <w:szCs w:val="24"/>
        </w:rPr>
        <w:t xml:space="preserve"> դրանից հետո, ինչպես նա</w:t>
      </w:r>
      <w:r w:rsidR="00C54D75">
        <w:rPr>
          <w:rFonts w:ascii="Sylfaen" w:hAnsi="Sylfaen"/>
          <w:sz w:val="24"/>
          <w:szCs w:val="24"/>
        </w:rPr>
        <w:t>և</w:t>
      </w:r>
      <w:r w:rsidRPr="00834D52">
        <w:rPr>
          <w:rFonts w:ascii="Sylfaen" w:hAnsi="Sylfaen"/>
          <w:sz w:val="24"/>
          <w:szCs w:val="24"/>
        </w:rPr>
        <w:t xml:space="preserve"> հետագա սառեցման (պահպանման) որ</w:t>
      </w:r>
      <w:r w:rsidR="00C54D75">
        <w:rPr>
          <w:rFonts w:ascii="Sylfaen" w:hAnsi="Sylfaen"/>
          <w:sz w:val="24"/>
          <w:szCs w:val="24"/>
        </w:rPr>
        <w:t>և</w:t>
      </w:r>
      <w:r w:rsidRPr="00834D52">
        <w:rPr>
          <w:rFonts w:ascii="Sylfaen" w:hAnsi="Sylfaen"/>
          <w:sz w:val="24"/>
          <w:szCs w:val="24"/>
        </w:rPr>
        <w:t xml:space="preserve">է պրոցեդուրայից առաջ կամ դրանից հետո անհրաժեշտ է անցկացնել բջիջների բնութագրերի թեստավորում: </w:t>
      </w:r>
    </w:p>
    <w:p w14:paraId="4AEE0764" w14:textId="77777777" w:rsidR="006F76EB" w:rsidRPr="00834D52" w:rsidRDefault="006F76EB" w:rsidP="000F124E">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Ի լրումն գենոթերապ</w:t>
      </w:r>
      <w:r w:rsidR="00C54D75">
        <w:rPr>
          <w:rFonts w:ascii="Sylfaen" w:hAnsi="Sylfaen"/>
          <w:sz w:val="24"/>
          <w:szCs w:val="24"/>
        </w:rPr>
        <w:t>և</w:t>
      </w:r>
      <w:r w:rsidRPr="00834D52">
        <w:rPr>
          <w:rFonts w:ascii="Sylfaen" w:hAnsi="Sylfaen"/>
          <w:sz w:val="24"/>
          <w:szCs w:val="24"/>
        </w:rPr>
        <w:t xml:space="preserve">տիկ դեղապատրաստուկներին ներկայացվող սահմանված պահանջների՝ գենետիկորեն մոդիֆիկացված բջիջների համար հարկավոր է կիրառել սոմատիկ բջիջների հիմքով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համար որակին ներկայացվող պահանջներ՝ սույն պահանջների 17.3.3 բաժնին համապատասխան:</w:t>
      </w:r>
    </w:p>
    <w:p w14:paraId="289E728D" w14:textId="77777777" w:rsidR="006F76EB" w:rsidRPr="00834D52" w:rsidRDefault="006F76EB" w:rsidP="000F124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17.3.3.</w:t>
      </w:r>
      <w:r w:rsidRPr="00834D52">
        <w:rPr>
          <w:rFonts w:ascii="Sylfaen" w:hAnsi="Sylfaen"/>
          <w:sz w:val="24"/>
          <w:szCs w:val="24"/>
        </w:rPr>
        <w:tab/>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դեղապատրաստուկներին </w:t>
      </w:r>
      <w:r w:rsidR="00C54D75">
        <w:rPr>
          <w:rFonts w:ascii="Sylfaen" w:hAnsi="Sylfaen"/>
          <w:sz w:val="24"/>
          <w:szCs w:val="24"/>
        </w:rPr>
        <w:t>և</w:t>
      </w:r>
      <w:r w:rsidRPr="00834D52">
        <w:rPr>
          <w:rFonts w:ascii="Sylfaen" w:hAnsi="Sylfaen"/>
          <w:sz w:val="24"/>
          <w:szCs w:val="24"/>
        </w:rPr>
        <w:t xml:space="preserve"> հյուսվածքային ինժեներիայի դեղապատրաստուկներին ներկայացվող հատուկ պահանջները.</w:t>
      </w:r>
    </w:p>
    <w:p w14:paraId="619D624A" w14:textId="77777777" w:rsidR="006F76EB" w:rsidRPr="00834D52" w:rsidRDefault="006F76EB" w:rsidP="000F124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17.3.3.1.</w:t>
      </w:r>
      <w:r w:rsidRPr="00834D52">
        <w:rPr>
          <w:rFonts w:ascii="Sylfaen" w:hAnsi="Sylfaen"/>
          <w:sz w:val="24"/>
          <w:szCs w:val="24"/>
        </w:rPr>
        <w:tab/>
        <w:t xml:space="preserve">Ներածություն. դեղապատրաստուկ, դեղագործական բաղադրամաս </w:t>
      </w:r>
      <w:r w:rsidR="00C54D75">
        <w:rPr>
          <w:rFonts w:ascii="Sylfaen" w:hAnsi="Sylfaen"/>
          <w:sz w:val="24"/>
          <w:szCs w:val="24"/>
        </w:rPr>
        <w:t>և</w:t>
      </w:r>
      <w:r w:rsidRPr="00834D52">
        <w:rPr>
          <w:rFonts w:ascii="Sylfaen" w:hAnsi="Sylfaen"/>
          <w:sz w:val="24"/>
          <w:szCs w:val="24"/>
        </w:rPr>
        <w:t xml:space="preserve"> ելակետային նյութեր:</w:t>
      </w:r>
    </w:p>
    <w:p w14:paraId="6DD08D44"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պետք է կազմված լինի առաջարկվող բժշկական կիրառման համար նախատեսված առաջնային փաթեթվածքով դեղագործական բաղադրամասից ու դրա վերջնական համակցության մեջ ներառված դեղագործական բաղադրամասից, եթե այն համակցված բարձր տեխնոլոգիական դեղապատրաստուկ է:</w:t>
      </w:r>
    </w:p>
    <w:p w14:paraId="74C8687B"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Դեղագործական բաղադրամասը պետք է կազմված լինի ինժեներիայի ենթարկված բջիջներից (հյուսվածքներից):</w:t>
      </w:r>
    </w:p>
    <w:p w14:paraId="475D1D69"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լրացուցիչ նյութերը (օրինակ՝ կմախքներ, մատրիցաներ, արտադրատեսակներ, կենսանյութեր, կենսամոլեկուլներ </w:t>
      </w:r>
      <w:r w:rsidR="00C54D75">
        <w:rPr>
          <w:rFonts w:ascii="Sylfaen" w:hAnsi="Sylfaen"/>
          <w:sz w:val="24"/>
          <w:szCs w:val="24"/>
        </w:rPr>
        <w:t>և</w:t>
      </w:r>
      <w:r w:rsidRPr="00834D52">
        <w:rPr>
          <w:rFonts w:ascii="Sylfaen" w:hAnsi="Sylfaen"/>
          <w:sz w:val="24"/>
          <w:szCs w:val="24"/>
        </w:rPr>
        <w:t xml:space="preserve"> այլն), որոնք համակցվում են մշակման ենթարկված այն բջիջների հետ, որոնց հետ դրանք մեկ ամբողջություն են կազմում, ելակետային նյութեր են հանդիսանում նույնիսկ այն դեպքում, երբ չունեն կենսաբանական ծագում:</w:t>
      </w:r>
    </w:p>
    <w:p w14:paraId="5A3E202E" w14:textId="77777777" w:rsidR="006F76EB" w:rsidRPr="00333A89" w:rsidRDefault="006F76EB" w:rsidP="00D569EF">
      <w:pPr>
        <w:spacing w:after="160" w:line="384" w:lineRule="auto"/>
        <w:ind w:right="-6" w:firstLine="567"/>
        <w:jc w:val="both"/>
        <w:rPr>
          <w:rFonts w:ascii="Sylfaen" w:eastAsia="Times New Roman" w:hAnsi="Sylfaen" w:cs="Times New Roman"/>
          <w:spacing w:val="-4"/>
          <w:sz w:val="24"/>
          <w:szCs w:val="24"/>
        </w:rPr>
      </w:pPr>
      <w:r w:rsidRPr="00333A89">
        <w:rPr>
          <w:rFonts w:ascii="Sylfaen" w:hAnsi="Sylfaen"/>
          <w:spacing w:val="-4"/>
          <w:sz w:val="24"/>
          <w:szCs w:val="24"/>
        </w:rPr>
        <w:t xml:space="preserve">Դեղագործական բաղադրամասերի արտադրության մեջ օգտագործվող այն </w:t>
      </w:r>
      <w:r w:rsidRPr="00333A89">
        <w:rPr>
          <w:rFonts w:ascii="Sylfaen" w:hAnsi="Sylfaen"/>
          <w:spacing w:val="-4"/>
          <w:sz w:val="24"/>
          <w:szCs w:val="24"/>
        </w:rPr>
        <w:lastRenderedPageBreak/>
        <w:t>նյութերը (օրինակ՝ սնուցող միջավայրը, աճի գործոնները), որոնք նախատեսված չեն որպես դեղագործական բաղադրամասի բաղադրիչ ներառվելու համար, հանդիսանում են հումք:</w:t>
      </w:r>
    </w:p>
    <w:p w14:paraId="1C657927" w14:textId="77777777" w:rsidR="006F76EB" w:rsidRPr="00834D52" w:rsidRDefault="006F76EB" w:rsidP="00131173">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w:t>
      </w:r>
      <w:r w:rsidRPr="00834D52">
        <w:rPr>
          <w:rFonts w:ascii="Sylfaen" w:hAnsi="Sylfaen"/>
          <w:sz w:val="24"/>
          <w:szCs w:val="24"/>
        </w:rPr>
        <w:tab/>
        <w:t>Հատուկ պահանջներ.</w:t>
      </w:r>
    </w:p>
    <w:p w14:paraId="7BE58AFB" w14:textId="77777777" w:rsidR="006F76EB" w:rsidRPr="00834D52" w:rsidRDefault="006F76EB" w:rsidP="00AD33B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 լրումն սույն հավելվածի I մասի 3.2.1 </w:t>
      </w:r>
      <w:r w:rsidR="00C54D75">
        <w:rPr>
          <w:rFonts w:ascii="Sylfaen" w:hAnsi="Sylfaen"/>
          <w:sz w:val="24"/>
          <w:szCs w:val="24"/>
        </w:rPr>
        <w:t>և</w:t>
      </w:r>
      <w:r w:rsidRPr="00834D52">
        <w:rPr>
          <w:rFonts w:ascii="Sylfaen" w:hAnsi="Sylfaen"/>
          <w:sz w:val="24"/>
          <w:szCs w:val="24"/>
        </w:rPr>
        <w:t xml:space="preserve"> 3.2.2 բաժիններում նշված պահանջների՝ կիրառվում են հետ</w:t>
      </w:r>
      <w:r w:rsidR="00C54D75">
        <w:rPr>
          <w:rFonts w:ascii="Sylfaen" w:hAnsi="Sylfaen"/>
          <w:sz w:val="24"/>
          <w:szCs w:val="24"/>
        </w:rPr>
        <w:t>և</w:t>
      </w:r>
      <w:r w:rsidRPr="00834D52">
        <w:rPr>
          <w:rFonts w:ascii="Sylfaen" w:hAnsi="Sylfaen"/>
          <w:sz w:val="24"/>
          <w:szCs w:val="24"/>
        </w:rPr>
        <w:t>յալ պահանջները՝</w:t>
      </w:r>
    </w:p>
    <w:p w14:paraId="3011B9C4" w14:textId="77777777" w:rsidR="006F76EB" w:rsidRPr="00834D52" w:rsidRDefault="006F76EB" w:rsidP="00131173">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17.3.3.2.1.</w:t>
      </w:r>
      <w:r w:rsidRPr="00834D52">
        <w:rPr>
          <w:rFonts w:ascii="Sylfaen" w:hAnsi="Sylfaen"/>
          <w:sz w:val="24"/>
          <w:szCs w:val="24"/>
        </w:rPr>
        <w:tab/>
        <w:t>Ելակետային նյութեր.</w:t>
      </w:r>
    </w:p>
    <w:p w14:paraId="33107456" w14:textId="77777777" w:rsidR="006F76EB" w:rsidRPr="00834D52" w:rsidRDefault="006F76EB" w:rsidP="00AD33B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որպես ելակետային նյութեր օգտագործվող՝ մարդու հյուսվածքների </w:t>
      </w:r>
      <w:r w:rsidR="00C54D75">
        <w:rPr>
          <w:rFonts w:ascii="Sylfaen" w:hAnsi="Sylfaen"/>
          <w:sz w:val="24"/>
          <w:szCs w:val="24"/>
        </w:rPr>
        <w:t>և</w:t>
      </w:r>
      <w:r w:rsidRPr="00834D52">
        <w:rPr>
          <w:rFonts w:ascii="Sylfaen" w:hAnsi="Sylfaen"/>
          <w:sz w:val="24"/>
          <w:szCs w:val="24"/>
        </w:rPr>
        <w:t xml:space="preserve"> բջիջների ստացման, մթերման </w:t>
      </w:r>
      <w:r w:rsidR="00C54D75">
        <w:rPr>
          <w:rFonts w:ascii="Sylfaen" w:hAnsi="Sylfaen"/>
          <w:sz w:val="24"/>
          <w:szCs w:val="24"/>
        </w:rPr>
        <w:t>և</w:t>
      </w:r>
      <w:r w:rsidRPr="00834D52">
        <w:rPr>
          <w:rFonts w:ascii="Sylfaen" w:hAnsi="Sylfaen"/>
          <w:sz w:val="24"/>
          <w:szCs w:val="24"/>
        </w:rPr>
        <w:t xml:space="preserve"> փորձարկման մասին ռեզյումե: Անհրաժեշտ է ներկայացնել հիմնավորում, եթե որպես ելակետային նյութեր օգտագործվել են անառողջ բջիջներ կամ հյուսվածքներ </w:t>
      </w:r>
      <w:r w:rsidRPr="00834D52">
        <w:rPr>
          <w:rFonts w:ascii="Sylfaen" w:hAnsi="Sylfaen"/>
          <w:sz w:val="24"/>
          <w:szCs w:val="24"/>
        </w:rPr>
        <w:br/>
        <w:t>(օրինակ՝ քաղցկեղային):</w:t>
      </w:r>
    </w:p>
    <w:p w14:paraId="194BE2C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ալլոգեն բջիջների պոպուլյացիաները միավորվել են, ապա անհրաժեշտ է նկարագրել միավորման ռազմավարությունն ու ձեռնարկել հետագծելիության ապահովմանն ուղղված միջոցներ:</w:t>
      </w:r>
    </w:p>
    <w:p w14:paraId="0F48D15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Արտադրության պրոցեսի վալիդացման,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հատկությունների, մշակման մեջ օգտագործվող վերլուծական մեթոդիկաների նկարագրության, մասնագրերի կազմման </w:t>
      </w:r>
      <w:r w:rsidR="00C54D75">
        <w:rPr>
          <w:rFonts w:ascii="Sylfaen" w:hAnsi="Sylfaen"/>
          <w:sz w:val="24"/>
          <w:szCs w:val="24"/>
        </w:rPr>
        <w:t>և</w:t>
      </w:r>
      <w:r w:rsidRPr="00834D52">
        <w:rPr>
          <w:rFonts w:ascii="Sylfaen" w:hAnsi="Sylfaen"/>
          <w:sz w:val="24"/>
          <w:szCs w:val="24"/>
        </w:rPr>
        <w:t xml:space="preserve"> կայունության որոշման ժամանակ անհրաժեշտ է հաշվի առնել մարդու կամ կենդանիների հյուսվածքների </w:t>
      </w:r>
      <w:r w:rsidR="00C54D75">
        <w:rPr>
          <w:rFonts w:ascii="Sylfaen" w:hAnsi="Sylfaen"/>
          <w:sz w:val="24"/>
          <w:szCs w:val="24"/>
        </w:rPr>
        <w:t>և</w:t>
      </w:r>
      <w:r w:rsidRPr="00834D52">
        <w:rPr>
          <w:rFonts w:ascii="Sylfaen" w:hAnsi="Sylfaen"/>
          <w:sz w:val="24"/>
          <w:szCs w:val="24"/>
        </w:rPr>
        <w:t xml:space="preserve"> բջիջների օգտագործմամբ պայմանավորված պոտենցիալ փոփոխականությունը:</w:t>
      </w:r>
    </w:p>
    <w:p w14:paraId="77934AD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Քսենոգեն բջջային դեղապատրաստուկների առնչությամբ անհրաժեշտ է ներկայացնել կենդանիների աղբյուրի (օրինակ՝ աշխարհագրական ծագումը, անասնապահական տնտեսությունը, տարիքը), ընդունելիության հիմնական չափանիշների, կենդանի-դոնորների մոտ վարակների կանխմանն ու դիտարկմանն ուղղված միջոցների, վարակիչ ագենտների, ներառյալ՝ ուղղահայաց փոխանցվող </w:t>
      </w:r>
      <w:r w:rsidRPr="00834D52">
        <w:rPr>
          <w:rFonts w:ascii="Sylfaen" w:hAnsi="Sylfaen"/>
          <w:sz w:val="24"/>
          <w:szCs w:val="24"/>
        </w:rPr>
        <w:lastRenderedPageBreak/>
        <w:t xml:space="preserve">միկրոօրգանիզմների </w:t>
      </w:r>
      <w:r w:rsidR="00C54D75">
        <w:rPr>
          <w:rFonts w:ascii="Sylfaen" w:hAnsi="Sylfaen"/>
          <w:sz w:val="24"/>
          <w:szCs w:val="24"/>
        </w:rPr>
        <w:t>և</w:t>
      </w:r>
      <w:r w:rsidRPr="00834D52">
        <w:rPr>
          <w:rFonts w:ascii="Sylfaen" w:hAnsi="Sylfaen"/>
          <w:sz w:val="24"/>
          <w:szCs w:val="24"/>
        </w:rPr>
        <w:t xml:space="preserve"> վիրուսների նկատմամբ կենդանիների փորձարկումների </w:t>
      </w:r>
      <w:r w:rsidR="00C54D75">
        <w:rPr>
          <w:rFonts w:ascii="Sylfaen" w:hAnsi="Sylfaen"/>
          <w:sz w:val="24"/>
          <w:szCs w:val="24"/>
        </w:rPr>
        <w:t>և</w:t>
      </w:r>
      <w:r w:rsidRPr="00834D52">
        <w:rPr>
          <w:rFonts w:ascii="Sylfaen" w:hAnsi="Sylfaen"/>
          <w:sz w:val="24"/>
          <w:szCs w:val="24"/>
        </w:rPr>
        <w:t xml:space="preserve"> կենդանիներ պահելու պայմանների պիտանիության հաստատման վերաբերյալ տեղեկություններ:</w:t>
      </w:r>
    </w:p>
    <w:p w14:paraId="68AB3DA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Գենետիկորեն մոդիֆիկացված կենդանիներից ստացված բջջային դեղապատրաստուկների առնչությամբ անհրաժեշտ է նկարագրել բջիջների գենետիկ մոդիֆիկացմամբ պայմանավորված հիմնական հատկությունները: Անհրաժեշտ է ներկայացնել տրանսգեն կենդանիների ստեղծման </w:t>
      </w:r>
      <w:r w:rsidR="00C54D75">
        <w:rPr>
          <w:rFonts w:ascii="Sylfaen" w:hAnsi="Sylfaen"/>
          <w:sz w:val="24"/>
          <w:szCs w:val="24"/>
        </w:rPr>
        <w:t>և</w:t>
      </w:r>
      <w:r w:rsidRPr="00834D52">
        <w:rPr>
          <w:rFonts w:ascii="Sylfaen" w:hAnsi="Sylfaen"/>
          <w:sz w:val="24"/>
          <w:szCs w:val="24"/>
        </w:rPr>
        <w:t xml:space="preserve"> նկարագրության մեթոդի մանրամասն նկարագրություն:</w:t>
      </w:r>
    </w:p>
    <w:p w14:paraId="0C69DD6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Գենետիկորեն մոդիֆիկացված բջիջների առնչությամբ անհրաժեշտ է նա</w:t>
      </w:r>
      <w:r w:rsidR="00C54D75">
        <w:rPr>
          <w:rFonts w:ascii="Sylfaen" w:hAnsi="Sylfaen"/>
          <w:sz w:val="24"/>
          <w:szCs w:val="24"/>
        </w:rPr>
        <w:t>և</w:t>
      </w:r>
      <w:r w:rsidRPr="00834D52">
        <w:rPr>
          <w:rFonts w:ascii="Sylfaen" w:hAnsi="Sylfaen"/>
          <w:sz w:val="24"/>
          <w:szCs w:val="24"/>
        </w:rPr>
        <w:t xml:space="preserve"> հաշվի առնել սույն հավելվածի 17.3.2 բաժնում նշված պահանջները:</w:t>
      </w:r>
    </w:p>
    <w:p w14:paraId="545FA42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w:t>
      </w:r>
      <w:r w:rsidR="00C54D75">
        <w:rPr>
          <w:rFonts w:ascii="Sylfaen" w:hAnsi="Sylfaen"/>
          <w:sz w:val="24"/>
          <w:szCs w:val="24"/>
        </w:rPr>
        <w:t>և</w:t>
      </w:r>
      <w:r w:rsidRPr="00834D52">
        <w:rPr>
          <w:rFonts w:ascii="Sylfaen" w:hAnsi="Sylfaen"/>
          <w:sz w:val="24"/>
          <w:szCs w:val="24"/>
        </w:rPr>
        <w:t xml:space="preserve"> հիմնավորել բոլոր այն լրացուցիչ նյութերի փորձարկումների պայմանները (կմախքներ, մատրիցաներ, արտադրատեսակներ, կենսանյութեր, կենսամոլեկուլներ </w:t>
      </w:r>
      <w:r w:rsidR="00C54D75">
        <w:rPr>
          <w:rFonts w:ascii="Sylfaen" w:hAnsi="Sylfaen"/>
          <w:sz w:val="24"/>
          <w:szCs w:val="24"/>
        </w:rPr>
        <w:t>և</w:t>
      </w:r>
      <w:r w:rsidRPr="00834D52">
        <w:rPr>
          <w:rFonts w:ascii="Sylfaen" w:hAnsi="Sylfaen"/>
          <w:sz w:val="24"/>
          <w:szCs w:val="24"/>
        </w:rPr>
        <w:t xml:space="preserve"> այլն), որոնք համակցվել են ինժեներիայի ենթարկված բջիջների հետ:</w:t>
      </w:r>
    </w:p>
    <w:p w14:paraId="7429C0BD" w14:textId="77777777" w:rsidR="006F76EB" w:rsidRPr="00834D52" w:rsidRDefault="006F76EB" w:rsidP="00E70EE4">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Բժշկական արտադրատեսակ կամ ակտիվ իմպլանտավորվող բժշկական արտադրատեսակ սահմանման տակ ընկնող կմախքների, մատրիցաների </w:t>
      </w:r>
      <w:r w:rsidR="00C54D75">
        <w:rPr>
          <w:rFonts w:ascii="Sylfaen" w:hAnsi="Sylfaen"/>
          <w:sz w:val="24"/>
          <w:szCs w:val="24"/>
        </w:rPr>
        <w:t>և</w:t>
      </w:r>
      <w:r w:rsidRPr="00834D52">
        <w:rPr>
          <w:rFonts w:ascii="Sylfaen" w:hAnsi="Sylfaen"/>
          <w:sz w:val="24"/>
          <w:szCs w:val="24"/>
        </w:rPr>
        <w:t xml:space="preserve"> արտադրատեսակների առնչությամբ անհրաժեշտ է ներկայացնել սույն հավելվածի 17.3.4 բաժնում նշված տեղեկությունները, որոնք պահանջվում են առաջատար թերապիայի համար նախատեսված համակցված դեղապատրաստուկների փորձաքննության համար:</w:t>
      </w:r>
    </w:p>
    <w:p w14:paraId="00D3F891" w14:textId="77777777" w:rsidR="006F76EB" w:rsidRPr="00834D52" w:rsidRDefault="006F76EB" w:rsidP="00E70EE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17.3.3.2.2.</w:t>
      </w:r>
      <w:r w:rsidRPr="00834D52">
        <w:rPr>
          <w:rFonts w:ascii="Sylfaen" w:hAnsi="Sylfaen"/>
          <w:sz w:val="24"/>
          <w:szCs w:val="24"/>
        </w:rPr>
        <w:tab/>
        <w:t>Արտադրական պրոցեսը</w:t>
      </w:r>
    </w:p>
    <w:p w14:paraId="5EF38759" w14:textId="77777777" w:rsidR="006F76EB" w:rsidRPr="00834D52" w:rsidRDefault="006F76EB" w:rsidP="00E70EE4">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Հումքերի համասեռության </w:t>
      </w:r>
      <w:r w:rsidR="00C54D75">
        <w:rPr>
          <w:rFonts w:ascii="Sylfaen" w:hAnsi="Sylfaen"/>
          <w:sz w:val="24"/>
          <w:szCs w:val="24"/>
        </w:rPr>
        <w:t>և</w:t>
      </w:r>
      <w:r w:rsidRPr="00834D52">
        <w:rPr>
          <w:rFonts w:ascii="Sylfaen" w:hAnsi="Sylfaen"/>
          <w:sz w:val="24"/>
          <w:szCs w:val="24"/>
        </w:rPr>
        <w:t xml:space="preserve"> արտադրության պրոցեսի, արտադրության </w:t>
      </w:r>
      <w:r w:rsidR="00C54D75">
        <w:rPr>
          <w:rFonts w:ascii="Sylfaen" w:hAnsi="Sylfaen"/>
          <w:sz w:val="24"/>
          <w:szCs w:val="24"/>
        </w:rPr>
        <w:t>և</w:t>
      </w:r>
      <w:r w:rsidRPr="00834D52">
        <w:rPr>
          <w:rFonts w:ascii="Sylfaen" w:hAnsi="Sylfaen"/>
          <w:sz w:val="24"/>
          <w:szCs w:val="24"/>
        </w:rPr>
        <w:t xml:space="preserve"> տրանսպորտային փոխադրման ընթացքում (ընդհուպ մինչ</w:t>
      </w:r>
      <w:r w:rsidR="00C54D75">
        <w:rPr>
          <w:rFonts w:ascii="Sylfaen" w:hAnsi="Sylfaen"/>
          <w:sz w:val="24"/>
          <w:szCs w:val="24"/>
        </w:rPr>
        <w:t>և</w:t>
      </w:r>
      <w:r w:rsidRPr="00834D52">
        <w:rPr>
          <w:rFonts w:ascii="Sylfaen" w:hAnsi="Sylfaen"/>
          <w:sz w:val="24"/>
          <w:szCs w:val="24"/>
        </w:rPr>
        <w:t xml:space="preserve"> կիրառումը կամ ներմուծումը) բջիջների ֆունկցիոնալ ամբողջականության </w:t>
      </w:r>
      <w:r w:rsidR="00C54D75">
        <w:rPr>
          <w:rFonts w:ascii="Sylfaen" w:hAnsi="Sylfaen"/>
          <w:sz w:val="24"/>
          <w:szCs w:val="24"/>
        </w:rPr>
        <w:t>և</w:t>
      </w:r>
      <w:r w:rsidRPr="00834D52">
        <w:rPr>
          <w:rFonts w:ascii="Sylfaen" w:hAnsi="Sylfaen"/>
          <w:sz w:val="24"/>
          <w:szCs w:val="24"/>
        </w:rPr>
        <w:t xml:space="preserve"> տարբերակման (դիֆերենցման) պատշաճ վիճակի ապահովման նպատակով անհրաժեշտ է վալիդացնել արտադրության պրոցեսը:</w:t>
      </w:r>
    </w:p>
    <w:p w14:paraId="3F9C55C6"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բջիջներն ուղղակիորեն աճեցված են ներսում կամ մատրիցայի, կմախքի </w:t>
      </w:r>
      <w:r w:rsidRPr="00834D52">
        <w:rPr>
          <w:rFonts w:ascii="Sylfaen" w:hAnsi="Sylfaen"/>
          <w:sz w:val="24"/>
          <w:szCs w:val="24"/>
        </w:rPr>
        <w:lastRenderedPageBreak/>
        <w:t xml:space="preserve">կամ արտադրատեսակի վրա, ապա անհրաժեշտ է ներկայացնել բջիջների աճի տեսանկյունից բջջային կուլտուրայի ստացման պրոցեսի վալիդացման, այդպիսի համակցության գործառույթի </w:t>
      </w:r>
      <w:r w:rsidR="00C54D75">
        <w:rPr>
          <w:rFonts w:ascii="Sylfaen" w:hAnsi="Sylfaen"/>
          <w:sz w:val="24"/>
          <w:szCs w:val="24"/>
        </w:rPr>
        <w:t>և</w:t>
      </w:r>
      <w:r w:rsidRPr="00834D52">
        <w:rPr>
          <w:rFonts w:ascii="Sylfaen" w:hAnsi="Sylfaen"/>
          <w:sz w:val="24"/>
          <w:szCs w:val="24"/>
        </w:rPr>
        <w:t xml:space="preserve"> ամբողջականության վերաբերյալ տեղեկություններ:</w:t>
      </w:r>
    </w:p>
    <w:p w14:paraId="6B935635"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17.3.3.2.3.</w:t>
      </w:r>
      <w:r w:rsidRPr="00834D52">
        <w:rPr>
          <w:rFonts w:ascii="Sylfaen" w:hAnsi="Sylfaen"/>
          <w:sz w:val="24"/>
          <w:szCs w:val="24"/>
        </w:rPr>
        <w:tab/>
        <w:t xml:space="preserve">Հատկությունների նկարագրության </w:t>
      </w:r>
      <w:r w:rsidR="00C54D75">
        <w:rPr>
          <w:rFonts w:ascii="Sylfaen" w:hAnsi="Sylfaen"/>
          <w:sz w:val="24"/>
          <w:szCs w:val="24"/>
        </w:rPr>
        <w:t>և</w:t>
      </w:r>
      <w:r w:rsidRPr="00834D52">
        <w:rPr>
          <w:rFonts w:ascii="Sylfaen" w:hAnsi="Sylfaen"/>
          <w:sz w:val="24"/>
          <w:szCs w:val="24"/>
        </w:rPr>
        <w:t xml:space="preserve"> որակի հսկողության ռազմավարությունը.</w:t>
      </w:r>
    </w:p>
    <w:p w14:paraId="0E5F21D3"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բջիջների կամ բջիջների խառնուրդների պոպուլյացիաների հատկությունների՝ դրանց իսկության, մաքրության (օրինակ՝ օտար մանրէային ագենտների կամ բջջային կոնտամինանտների առկայություն), կենսունակության, ակտիվության, կարիոլոգիայի, քաղցկեղածնության </w:t>
      </w:r>
      <w:r w:rsidR="00C54D75">
        <w:rPr>
          <w:rFonts w:ascii="Sylfaen" w:hAnsi="Sylfaen"/>
          <w:sz w:val="24"/>
          <w:szCs w:val="24"/>
        </w:rPr>
        <w:t>և</w:t>
      </w:r>
      <w:r w:rsidRPr="00834D52">
        <w:rPr>
          <w:rFonts w:ascii="Sylfaen" w:hAnsi="Sylfaen"/>
          <w:sz w:val="24"/>
          <w:szCs w:val="24"/>
        </w:rPr>
        <w:t xml:space="preserve"> առաջարկվող բժշկական կիրառման համար պիտանիության տեսանկյունից նկարագրությանը վերաբերող տեղեկություններ: Անհրաժեշտ է հաստատել բջիջների գենետիկ կայունությունը:</w:t>
      </w:r>
    </w:p>
    <w:p w14:paraId="72A144C9"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արտադրական </w:t>
      </w:r>
      <w:r w:rsidR="00C54D75">
        <w:rPr>
          <w:rFonts w:ascii="Sylfaen" w:hAnsi="Sylfaen"/>
          <w:sz w:val="24"/>
          <w:szCs w:val="24"/>
        </w:rPr>
        <w:t>և</w:t>
      </w:r>
      <w:r w:rsidRPr="00834D52">
        <w:rPr>
          <w:rFonts w:ascii="Sylfaen" w:hAnsi="Sylfaen"/>
          <w:sz w:val="24"/>
          <w:szCs w:val="24"/>
        </w:rPr>
        <w:t xml:space="preserve"> հարակից խառնուկների վերաբերյալ որակական </w:t>
      </w:r>
      <w:r w:rsidR="00C54D75">
        <w:rPr>
          <w:rFonts w:ascii="Sylfaen" w:hAnsi="Sylfaen"/>
          <w:sz w:val="24"/>
          <w:szCs w:val="24"/>
        </w:rPr>
        <w:t>և</w:t>
      </w:r>
      <w:r w:rsidRPr="00834D52">
        <w:rPr>
          <w:rFonts w:ascii="Sylfaen" w:hAnsi="Sylfaen"/>
          <w:sz w:val="24"/>
          <w:szCs w:val="24"/>
        </w:rPr>
        <w:t xml:space="preserve"> հնարավորության դեպքում՝ քանակական տեղեկություններ, ինչպես նա</w:t>
      </w:r>
      <w:r w:rsidR="00C54D75">
        <w:rPr>
          <w:rFonts w:ascii="Sylfaen" w:hAnsi="Sylfaen"/>
          <w:sz w:val="24"/>
          <w:szCs w:val="24"/>
        </w:rPr>
        <w:t>և</w:t>
      </w:r>
      <w:r w:rsidRPr="00834D52">
        <w:rPr>
          <w:rFonts w:ascii="Sylfaen" w:hAnsi="Sylfaen"/>
          <w:sz w:val="24"/>
          <w:szCs w:val="24"/>
        </w:rPr>
        <w:t xml:space="preserve"> տեղեկություններ այն բոլոր նյութերի վերաբերյալ, որոնք կարող են արտադրության ընթացքում հանգեցնել դեգրադացիայի արգասիքների առաջացման: Անհրաժեշտ է հիմնավորել խառնուկների ուսումնասիրության մակարդակը:</w:t>
      </w:r>
    </w:p>
    <w:p w14:paraId="2FD8C882" w14:textId="77777777" w:rsidR="006F76EB" w:rsidRPr="00F06D43" w:rsidRDefault="006F76EB" w:rsidP="007B65EB">
      <w:pPr>
        <w:spacing w:after="160" w:line="384" w:lineRule="auto"/>
        <w:ind w:right="-6" w:firstLine="567"/>
        <w:jc w:val="both"/>
        <w:rPr>
          <w:rFonts w:ascii="Sylfaen" w:hAnsi="Sylfaen"/>
          <w:sz w:val="24"/>
          <w:szCs w:val="24"/>
        </w:rPr>
      </w:pPr>
      <w:r w:rsidRPr="00834D52">
        <w:rPr>
          <w:rFonts w:ascii="Sylfaen" w:hAnsi="Sylfaen"/>
          <w:sz w:val="24"/>
          <w:szCs w:val="24"/>
        </w:rPr>
        <w:t xml:space="preserve">Անհրաժեշտ է ներկայացնել հիմնավորում այն մասին, որ դեղագործական բաղադրամասի կամ դեղապատրաստուկի հետ հնարավոր չէ անցկացնել որակի հսկողության որոշակի փորձարկումներ, սակայն դա հնարավոր է առանցքային միջանկյալ արգասիքների հետ </w:t>
      </w:r>
      <w:r w:rsidR="00C54D75">
        <w:rPr>
          <w:rFonts w:ascii="Sylfaen" w:hAnsi="Sylfaen"/>
          <w:sz w:val="24"/>
          <w:szCs w:val="24"/>
        </w:rPr>
        <w:t>և</w:t>
      </w:r>
      <w:r w:rsidRPr="00834D52">
        <w:rPr>
          <w:rFonts w:ascii="Sylfaen" w:hAnsi="Sylfaen"/>
          <w:sz w:val="24"/>
          <w:szCs w:val="24"/>
        </w:rPr>
        <w:t xml:space="preserve"> (կամ) ներարտադրական հսկողության շրջանակներում:</w:t>
      </w:r>
    </w:p>
    <w:p w14:paraId="2A90F5E0" w14:textId="77777777" w:rsidR="007B65EB" w:rsidRPr="00F06D43" w:rsidRDefault="007B65EB" w:rsidP="007B65EB">
      <w:pPr>
        <w:spacing w:after="160" w:line="384" w:lineRule="auto"/>
        <w:ind w:right="-6" w:firstLine="567"/>
        <w:jc w:val="both"/>
        <w:rPr>
          <w:rFonts w:ascii="Sylfaen" w:eastAsia="Times New Roman" w:hAnsi="Sylfaen" w:cs="Times New Roman"/>
          <w:sz w:val="24"/>
          <w:szCs w:val="24"/>
        </w:rPr>
      </w:pPr>
    </w:p>
    <w:p w14:paraId="16355344" w14:textId="77777777" w:rsidR="006F76EB" w:rsidRPr="00834D52" w:rsidRDefault="006F76EB" w:rsidP="00CE1C3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Եթե որպես բաղադրիչներ բջջային դեղապատրաստուկները պարունակում</w:t>
      </w:r>
      <w:r w:rsidR="007B65EB" w:rsidRPr="007B65EB">
        <w:rPr>
          <w:rFonts w:ascii="Sylfaen" w:hAnsi="Sylfaen"/>
          <w:sz w:val="24"/>
          <w:szCs w:val="24"/>
        </w:rPr>
        <w:t> </w:t>
      </w:r>
      <w:r w:rsidRPr="00834D52">
        <w:rPr>
          <w:rFonts w:ascii="Sylfaen" w:hAnsi="Sylfaen"/>
          <w:sz w:val="24"/>
          <w:szCs w:val="24"/>
        </w:rPr>
        <w:t xml:space="preserve">են կենսաբանական ակտիվ մոլեկուլներ (օրինակ՝ աճի գործոններ, ցիտոկիններ), ապա </w:t>
      </w:r>
      <w:r w:rsidRPr="00834D52">
        <w:rPr>
          <w:rFonts w:ascii="Sylfaen" w:hAnsi="Sylfaen"/>
          <w:sz w:val="24"/>
          <w:szCs w:val="24"/>
        </w:rPr>
        <w:lastRenderedPageBreak/>
        <w:t>անհրաժեշտ է նկարագրել դրանց ազդեցությունն ու փոխազդեցությունը դեղագործական բաղադրամասի այլ բաղադրիչների վրա:</w:t>
      </w:r>
    </w:p>
    <w:p w14:paraId="16C816B8" w14:textId="77777777" w:rsidR="006F76EB" w:rsidRPr="00834D52" w:rsidRDefault="006F76EB" w:rsidP="00CE1C3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եռաչափ կառուցվածքը հանդիսանում է ենթադրվող ֆունկցիայի մաս, ապա այդպիսի բջջային դեղապատրաստուկների հատկությունների նկարագրության մաս պետք է դառնան տարբերակման (դիֆերենցման) վիճակը, բջիջների կառուցվածաքային </w:t>
      </w:r>
      <w:r w:rsidR="00C54D75">
        <w:rPr>
          <w:rFonts w:ascii="Sylfaen" w:hAnsi="Sylfaen"/>
          <w:sz w:val="24"/>
          <w:szCs w:val="24"/>
        </w:rPr>
        <w:t>և</w:t>
      </w:r>
      <w:r w:rsidRPr="00834D52">
        <w:rPr>
          <w:rFonts w:ascii="Sylfaen" w:hAnsi="Sylfaen"/>
          <w:sz w:val="24"/>
          <w:szCs w:val="24"/>
        </w:rPr>
        <w:t xml:space="preserve"> ֆունկցիոնալ կազմակերպումը </w:t>
      </w:r>
      <w:r w:rsidR="00C54D75">
        <w:rPr>
          <w:rFonts w:ascii="Sylfaen" w:hAnsi="Sylfaen"/>
          <w:sz w:val="24"/>
          <w:szCs w:val="24"/>
        </w:rPr>
        <w:t>և</w:t>
      </w:r>
      <w:r w:rsidRPr="00834D52">
        <w:rPr>
          <w:rFonts w:ascii="Sylfaen" w:hAnsi="Sylfaen"/>
          <w:sz w:val="24"/>
          <w:szCs w:val="24"/>
        </w:rPr>
        <w:t xml:space="preserve"> առաջացող արտաբջջային մատրիքսը (անհրաժեշտության դեպքում): Անհրաժեշտության դեպքում ֆիզիկաքիմիական հատկությունների նկարագրությունները պետք է լրացնեն նախակլինիկիական հետազոտություններին:</w:t>
      </w:r>
    </w:p>
    <w:p w14:paraId="151C6178" w14:textId="77777777" w:rsidR="006F76EB" w:rsidRPr="00834D52" w:rsidRDefault="006F76EB" w:rsidP="00131173">
      <w:pPr>
        <w:tabs>
          <w:tab w:val="left" w:pos="1701"/>
        </w:tabs>
        <w:spacing w:after="160" w:line="350" w:lineRule="auto"/>
        <w:ind w:right="-6" w:firstLine="567"/>
        <w:jc w:val="both"/>
        <w:rPr>
          <w:rFonts w:ascii="Sylfaen" w:eastAsia="Times New Roman" w:hAnsi="Sylfaen" w:cs="Times New Roman"/>
          <w:sz w:val="24"/>
          <w:szCs w:val="24"/>
        </w:rPr>
      </w:pPr>
      <w:r w:rsidRPr="00834D52">
        <w:rPr>
          <w:rFonts w:ascii="Sylfaen" w:hAnsi="Sylfaen"/>
          <w:sz w:val="24"/>
          <w:szCs w:val="24"/>
        </w:rPr>
        <w:t>17.3.3.2.4.</w:t>
      </w:r>
      <w:r w:rsidRPr="00834D52">
        <w:rPr>
          <w:rFonts w:ascii="Sylfaen" w:hAnsi="Sylfaen"/>
          <w:sz w:val="24"/>
          <w:szCs w:val="24"/>
        </w:rPr>
        <w:tab/>
        <w:t>Օժանդակ նյութեր.</w:t>
      </w:r>
    </w:p>
    <w:p w14:paraId="7CD3FD26"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(օրինակ՝ փոխանցման միջավայրի բաղադրիչներ) մեջ օգտագործվող օժանդակ նյութերի նկատմամբ կիրառվում են սույն հավելվածի I մասում նշված նոր օժանդակ նյութերին ներկայացվող պահանջները, եթե բջիջների կամ հյուսվածքների </w:t>
      </w:r>
      <w:r w:rsidR="00C54D75">
        <w:rPr>
          <w:rFonts w:ascii="Sylfaen" w:hAnsi="Sylfaen"/>
          <w:sz w:val="24"/>
          <w:szCs w:val="24"/>
        </w:rPr>
        <w:t>և</w:t>
      </w:r>
      <w:r w:rsidRPr="00834D52">
        <w:rPr>
          <w:rFonts w:ascii="Sylfaen" w:hAnsi="Sylfaen"/>
          <w:sz w:val="24"/>
          <w:szCs w:val="24"/>
        </w:rPr>
        <w:t xml:space="preserve"> օժանդակ նյութերի միջ</w:t>
      </w:r>
      <w:r w:rsidR="00C54D75">
        <w:rPr>
          <w:rFonts w:ascii="Sylfaen" w:hAnsi="Sylfaen"/>
          <w:sz w:val="24"/>
          <w:szCs w:val="24"/>
        </w:rPr>
        <w:t>և</w:t>
      </w:r>
      <w:r w:rsidRPr="00834D52">
        <w:rPr>
          <w:rFonts w:ascii="Sylfaen" w:hAnsi="Sylfaen"/>
          <w:sz w:val="24"/>
          <w:szCs w:val="24"/>
        </w:rPr>
        <w:t xml:space="preserve"> փոխազդեցության վերաբերյալ տվյալները բացակայում են: </w:t>
      </w:r>
    </w:p>
    <w:p w14:paraId="6BA3A2B9" w14:textId="77777777" w:rsidR="006F76EB" w:rsidRPr="00834D52" w:rsidRDefault="006F76EB" w:rsidP="00131173">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17.3.3.2.5.</w:t>
      </w:r>
      <w:r w:rsidRPr="00834D52">
        <w:rPr>
          <w:rFonts w:ascii="Sylfaen" w:hAnsi="Sylfaen"/>
          <w:sz w:val="24"/>
          <w:szCs w:val="24"/>
        </w:rPr>
        <w:tab/>
        <w:t>Մշակման վերաբերյալ հետազոտությունները.</w:t>
      </w:r>
    </w:p>
    <w:p w14:paraId="7FA68039"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Մշակման ծրագիրը նկարագրելիս անհրաժեշտ է ներկայացնել նյութերի </w:t>
      </w:r>
      <w:r w:rsidR="00C54D75">
        <w:rPr>
          <w:rFonts w:ascii="Sylfaen" w:hAnsi="Sylfaen"/>
          <w:sz w:val="24"/>
          <w:szCs w:val="24"/>
        </w:rPr>
        <w:t>և</w:t>
      </w:r>
      <w:r w:rsidRPr="00834D52">
        <w:rPr>
          <w:rFonts w:ascii="Sylfaen" w:hAnsi="Sylfaen"/>
          <w:sz w:val="24"/>
          <w:szCs w:val="24"/>
        </w:rPr>
        <w:t xml:space="preserve"> պրոցեսների ընտրության հիմնավորումը: Մասնավորապես, անհրաժեշտ է վերլուծել պատրաստի դեղապատրաստուկի մեջ բջիջների պոպուլյացիայի ամբողջականությունը:</w:t>
      </w:r>
    </w:p>
    <w:p w14:paraId="31921600" w14:textId="77777777" w:rsidR="006F76EB" w:rsidRPr="00834D52" w:rsidRDefault="006F76EB" w:rsidP="00131173">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17.3.3.2.6.</w:t>
      </w:r>
      <w:r w:rsidRPr="00834D52">
        <w:rPr>
          <w:rFonts w:ascii="Sylfaen" w:hAnsi="Sylfaen"/>
          <w:sz w:val="24"/>
          <w:szCs w:val="24"/>
        </w:rPr>
        <w:tab/>
        <w:t>Ստանդարտ նյութեր.</w:t>
      </w:r>
    </w:p>
    <w:p w14:paraId="4C62CB40" w14:textId="77777777" w:rsidR="006F76EB" w:rsidRPr="00D569EF" w:rsidRDefault="006F76EB" w:rsidP="00CE1C3D">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 xml:space="preserve">Անհրաժեշտ է փաստաթղթավորել </w:t>
      </w:r>
      <w:r w:rsidR="00C54D75">
        <w:rPr>
          <w:rFonts w:ascii="Sylfaen" w:hAnsi="Sylfaen"/>
          <w:sz w:val="24"/>
          <w:szCs w:val="24"/>
        </w:rPr>
        <w:t>և</w:t>
      </w:r>
      <w:r w:rsidRPr="00834D52">
        <w:rPr>
          <w:rFonts w:ascii="Sylfaen" w:hAnsi="Sylfaen"/>
          <w:sz w:val="24"/>
          <w:szCs w:val="24"/>
        </w:rPr>
        <w:t xml:space="preserve"> նկարագրել ստանդարտ նմուշների այն հատկությունները, որոնք դեղագործական բաղադրամասի </w:t>
      </w:r>
      <w:r w:rsidR="00C54D75">
        <w:rPr>
          <w:rFonts w:ascii="Sylfaen" w:hAnsi="Sylfaen"/>
          <w:sz w:val="24"/>
          <w:szCs w:val="24"/>
        </w:rPr>
        <w:t>և</w:t>
      </w:r>
      <w:r w:rsidRPr="00834D52">
        <w:rPr>
          <w:rFonts w:ascii="Sylfaen" w:hAnsi="Sylfaen"/>
          <w:sz w:val="24"/>
          <w:szCs w:val="24"/>
        </w:rPr>
        <w:t xml:space="preserve"> (կամ) պատրաստի դեղապատրաստուկի համար նշանակալի </w:t>
      </w:r>
      <w:r w:rsidR="00C54D75">
        <w:rPr>
          <w:rFonts w:ascii="Sylfaen" w:hAnsi="Sylfaen"/>
          <w:sz w:val="24"/>
          <w:szCs w:val="24"/>
        </w:rPr>
        <w:t>և</w:t>
      </w:r>
      <w:r w:rsidRPr="00834D52">
        <w:rPr>
          <w:rFonts w:ascii="Sylfaen" w:hAnsi="Sylfaen"/>
          <w:sz w:val="24"/>
          <w:szCs w:val="24"/>
        </w:rPr>
        <w:t xml:space="preserve"> սպեցիֆիկ են:</w:t>
      </w:r>
    </w:p>
    <w:p w14:paraId="051C3A82" w14:textId="77777777" w:rsidR="006F76EB" w:rsidRPr="00D569EF" w:rsidRDefault="006F76EB" w:rsidP="007B65EB">
      <w:pPr>
        <w:tabs>
          <w:tab w:val="left" w:pos="1701"/>
        </w:tabs>
        <w:spacing w:after="160" w:line="384" w:lineRule="auto"/>
        <w:ind w:right="-6" w:firstLine="567"/>
        <w:jc w:val="both"/>
        <w:rPr>
          <w:rFonts w:ascii="Sylfaen" w:hAnsi="Sylfaen"/>
          <w:sz w:val="24"/>
          <w:szCs w:val="24"/>
        </w:rPr>
      </w:pPr>
      <w:r w:rsidRPr="00834D52">
        <w:rPr>
          <w:rFonts w:ascii="Sylfaen" w:hAnsi="Sylfaen"/>
          <w:sz w:val="24"/>
          <w:szCs w:val="24"/>
        </w:rPr>
        <w:t>17.3.4.</w:t>
      </w:r>
      <w:r w:rsidRPr="00834D52">
        <w:rPr>
          <w:rFonts w:ascii="Sylfaen" w:hAnsi="Sylfaen"/>
          <w:sz w:val="24"/>
          <w:szCs w:val="24"/>
        </w:rPr>
        <w:tab/>
        <w:t>Բժշկական արտադրատեսակներ պարունակող բարձր տեխնոլոգիական դեղապատրաստուկներին ներկայացվող հատուկ պահանջները.</w:t>
      </w:r>
    </w:p>
    <w:p w14:paraId="26FD420E"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17.3.4.1.</w:t>
      </w:r>
      <w:r w:rsidRPr="00834D52">
        <w:rPr>
          <w:rFonts w:ascii="Sylfaen" w:hAnsi="Sylfaen"/>
          <w:sz w:val="24"/>
          <w:szCs w:val="24"/>
        </w:rPr>
        <w:tab/>
        <w:t>Բժշկական արտադրատեսակներ պարունակող բարձր տեխնոլոգիական դեղապատրաստուկներ.</w:t>
      </w:r>
    </w:p>
    <w:p w14:paraId="5CDBC8BC"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դեղապատրաստուկի ֆիզիկական հատկությունների նկարագրությունը </w:t>
      </w:r>
      <w:r w:rsidR="00C54D75">
        <w:rPr>
          <w:rFonts w:ascii="Sylfaen" w:hAnsi="Sylfaen"/>
          <w:sz w:val="24"/>
          <w:szCs w:val="24"/>
        </w:rPr>
        <w:t>և</w:t>
      </w:r>
      <w:r w:rsidRPr="00834D52">
        <w:rPr>
          <w:rFonts w:ascii="Sylfaen" w:hAnsi="Sylfaen"/>
          <w:sz w:val="24"/>
          <w:szCs w:val="24"/>
        </w:rPr>
        <w:t xml:space="preserve"> ազդեցությունը, ինչպես նա</w:t>
      </w:r>
      <w:r w:rsidR="00C54D75">
        <w:rPr>
          <w:rFonts w:ascii="Sylfaen" w:hAnsi="Sylfaen"/>
          <w:sz w:val="24"/>
          <w:szCs w:val="24"/>
        </w:rPr>
        <w:t>և</w:t>
      </w:r>
      <w:r w:rsidRPr="00834D52">
        <w:rPr>
          <w:rFonts w:ascii="Sylfaen" w:hAnsi="Sylfaen"/>
          <w:sz w:val="24"/>
          <w:szCs w:val="24"/>
        </w:rPr>
        <w:t xml:space="preserve"> դրա կառուցման մեթոդների նկարագրությունը:</w:t>
      </w:r>
    </w:p>
    <w:p w14:paraId="76B0B03B"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մի կողմից գեների, բջիջների (հյուսվածքների) </w:t>
      </w:r>
      <w:r w:rsidR="00C54D75">
        <w:rPr>
          <w:rFonts w:ascii="Sylfaen" w:hAnsi="Sylfaen"/>
          <w:sz w:val="24"/>
          <w:szCs w:val="24"/>
        </w:rPr>
        <w:t>և</w:t>
      </w:r>
      <w:r w:rsidRPr="00834D52">
        <w:rPr>
          <w:rFonts w:ascii="Sylfaen" w:hAnsi="Sylfaen"/>
          <w:sz w:val="24"/>
          <w:szCs w:val="24"/>
        </w:rPr>
        <w:t xml:space="preserve"> մյուս կողմից՝ կառուցվածքային բաղադրիչների միջ</w:t>
      </w:r>
      <w:r w:rsidR="00C54D75">
        <w:rPr>
          <w:rFonts w:ascii="Sylfaen" w:hAnsi="Sylfaen"/>
          <w:sz w:val="24"/>
          <w:szCs w:val="24"/>
        </w:rPr>
        <w:t>և</w:t>
      </w:r>
      <w:r w:rsidRPr="00834D52">
        <w:rPr>
          <w:rFonts w:ascii="Sylfaen" w:hAnsi="Sylfaen"/>
          <w:sz w:val="24"/>
          <w:szCs w:val="24"/>
        </w:rPr>
        <w:t xml:space="preserve"> փոխազդեցությունն ու դրանց համատեղելիությունը:</w:t>
      </w:r>
    </w:p>
    <w:p w14:paraId="7365C2C3"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17.3.4.2.</w:t>
      </w:r>
      <w:r w:rsidRPr="00834D52">
        <w:rPr>
          <w:rFonts w:ascii="Sylfaen" w:hAnsi="Sylfaen"/>
          <w:sz w:val="24"/>
          <w:szCs w:val="24"/>
        </w:rPr>
        <w:tab/>
        <w:t>Համակցված բարձր տեխնոլոգիական դեղապատրաստուկներ.</w:t>
      </w:r>
    </w:p>
    <w:p w14:paraId="21EDB272"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բարձր տեխնոլոգիական դեղապատրաստուկներ» ասելով հասկանում ենք բարձր տեխնոլոգիական դեղապատրաստուկ, որը բավարարում է հետ</w:t>
      </w:r>
      <w:r w:rsidR="00C54D75">
        <w:rPr>
          <w:rFonts w:ascii="Sylfaen" w:hAnsi="Sylfaen"/>
          <w:sz w:val="24"/>
          <w:szCs w:val="24"/>
        </w:rPr>
        <w:t>և</w:t>
      </w:r>
      <w:r w:rsidRPr="00834D52">
        <w:rPr>
          <w:rFonts w:ascii="Sylfaen" w:hAnsi="Sylfaen"/>
          <w:sz w:val="24"/>
          <w:szCs w:val="24"/>
        </w:rPr>
        <w:t>յալ պայմանները.</w:t>
      </w:r>
    </w:p>
    <w:p w14:paraId="36E37FC7"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այն պետք է որպես պատրաստուկի բաղադրիչ մաս պարունակի մեկ կամ մի քանի բժշկական արտադրատեսակներ՝ բժշկական արտադրատեսակների մասին Միության օրենսդրության սահմանման մեջ, կամ մեկ կամ մի քանի իմպլանտավորվող բժշկական արտադրատեսակներից՝ բժշկական արտադրատեսակների մասին Միության օրենսդրության սահմանման մեջ.</w:t>
      </w:r>
    </w:p>
    <w:p w14:paraId="50A9D041"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դրա բջջային կամ հյուսվածքային մասը պետք է պարունակի կենսունակ բջիջներ կամ հյուսվածքներ.</w:t>
      </w:r>
    </w:p>
    <w:p w14:paraId="1DA73B16"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դրա՝ ոչ կենսունակ բջիջներ կամ հյուսվածքներ պարունակող բջջային կամ հյուսվածքային մասը մարդու օրգանիզմում պետք է ունենա ազդեցություն թողնելու ունակություն, ինչը նշված արտադրատեսակների մասով կարելի է դիտարկել որպես առաջնային:</w:t>
      </w:r>
    </w:p>
    <w:p w14:paraId="33927CEE" w14:textId="77777777" w:rsidR="006F76EB" w:rsidRPr="00834D52" w:rsidRDefault="006F76EB" w:rsidP="00D569E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Համակցված բարձր տեխնոլոգիական դեղապատրաստուկների բջջային կամ հյուսվածքային մասերին ներկայացվում են սույն հավելվածի 17.3.3 բաժնում նշված՝ </w:t>
      </w:r>
      <w:r w:rsidRPr="00834D52">
        <w:rPr>
          <w:rFonts w:ascii="Sylfaen" w:hAnsi="Sylfaen"/>
          <w:sz w:val="24"/>
          <w:szCs w:val="24"/>
        </w:rPr>
        <w:lastRenderedPageBreak/>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դեղապատրաստուկներին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պատրաստուկներին ներկայացվող հատուկ պահանջները, եթե բջիջները ենթարկվել են գենետիկ մոդիֆիկացման, ապա ներկայացվում են սույն Հավելվածի 17.3.2. բաժնում նշված՝ 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15CF8A4F" w14:textId="77777777" w:rsidR="006F76EB" w:rsidRPr="00834D52" w:rsidRDefault="006F76EB" w:rsidP="00D569E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արտադրատեսակը կամ ակտիվ իմպլանտավորվող բժշկական արտադրատեսակը կարող է լինել դեղագործական բաղադրամասի բաղադրիչ մաս: Եթե բժշկական արտադրատեսակը կամ ակտիվ իմպլանտավորվող բժշկական արտադրատեսակը դեղապատրաստուկի արտադրության, կիրառման կամ ներմուծման ընթացքում միավորվում է բջիջների հետ, ապա այն ճանաչվում է որպես պատրաստի դեղապատրաստուկի բաղադրիչ մաս:</w:t>
      </w:r>
    </w:p>
    <w:p w14:paraId="55F9B5F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(դեղագործական բաղադրամասի կամ դեղապատրաստուկի բաղադրիչ մաս հանդիսացող) բժշկական արտադրատեսակին կամ ակտիվ իմպլանտավորվող բժշկական արտադրատեսակին առնչվող տեղեկություններ, որոնք անհրաժեշտ են համակցված բարձր տեխնոլոգիական դեղապատրաստուկների փորձաքննության համար: Այդպիսի տեղեկություններ են՝</w:t>
      </w:r>
    </w:p>
    <w:p w14:paraId="67C79B13" w14:textId="77777777" w:rsidR="006F76EB" w:rsidRPr="00834D52" w:rsidRDefault="006F76EB" w:rsidP="00FA49D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բժշկական արտադրատեսակի կամ իմպլանտավորվող բժշկական արտադրատեսակի ընտրության </w:t>
      </w:r>
      <w:r w:rsidR="00C54D75">
        <w:rPr>
          <w:rFonts w:ascii="Sylfaen" w:hAnsi="Sylfaen"/>
          <w:sz w:val="24"/>
          <w:szCs w:val="24"/>
        </w:rPr>
        <w:t>և</w:t>
      </w:r>
      <w:r w:rsidRPr="00834D52">
        <w:rPr>
          <w:rFonts w:ascii="Sylfaen" w:hAnsi="Sylfaen"/>
          <w:sz w:val="24"/>
          <w:szCs w:val="24"/>
        </w:rPr>
        <w:t xml:space="preserve"> ենթադրվող ֆուկցիայի վերաբերյալ տեղեկությունները </w:t>
      </w:r>
      <w:r w:rsidR="00C54D75">
        <w:rPr>
          <w:rFonts w:ascii="Sylfaen" w:hAnsi="Sylfaen"/>
          <w:sz w:val="24"/>
          <w:szCs w:val="24"/>
        </w:rPr>
        <w:t>և</w:t>
      </w:r>
      <w:r w:rsidRPr="00834D52">
        <w:rPr>
          <w:rFonts w:ascii="Sylfaen" w:hAnsi="Sylfaen"/>
          <w:sz w:val="24"/>
          <w:szCs w:val="24"/>
        </w:rPr>
        <w:t xml:space="preserve"> պատրաստուկների այլ բաղադրիչների հետ արտադրատեսակի համատեղելիության հաստատումը.</w:t>
      </w:r>
    </w:p>
    <w:p w14:paraId="6F9524E1"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արտադրատեսակների մասին Միության օրենսդրությամբ սահմանված առանցքային պահանջներին բժշկական արտադրատեսակի համապատասխանության կամ արտադրատեսակների շրջանառության ոլորտում Միության իրավունքի մաս կազմող ակտերով սահմանված առանցքային պահանջներին ակտիվ իմպլանտավորվող բժշկական արտադրատեսակի համապատասխանության հաստատումը.</w:t>
      </w:r>
    </w:p>
    <w:p w14:paraId="47B4CB0B"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տրանսմիսիվ սպունգանման էնցեֆալոպատիայի մասին պահանջներին բժշկական արտադրատեսակի կամ իմպլանտավորվող բժշկական արտադրատեսակի համապատասխանության հաստատումը (անհրաժեշտության դեպքում).</w:t>
      </w:r>
    </w:p>
    <w:p w14:paraId="7DDE2FD9"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արտադրատեսակների շրջանառության ոլորտում Միության իրավունքի մաս կազմող ակտերին համապատասխան լիազորված մարմնի (կազմակերպության) կողմից բժշկական արտադրատեսակի կամ ակտիվ իմպլանտավորվող բժշկական արտադրատեսակի ցանկացած գնահատման արդյունք (անհրաժեշտության դեպքում):</w:t>
      </w:r>
    </w:p>
    <w:p w14:paraId="4FDE8347" w14:textId="6536E72A" w:rsidR="006F76EB" w:rsidRPr="00834D52" w:rsidRDefault="006F76EB" w:rsidP="00FA49D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բաժնի «դ» կետում նշված գնահատում անցկացնող ծանուցում ստացած անձը պետք է </w:t>
      </w:r>
      <w:r w:rsidR="0056496B">
        <w:rPr>
          <w:rFonts w:ascii="Sylfaen" w:hAnsi="Sylfaen"/>
          <w:sz w:val="24"/>
          <w:szCs w:val="24"/>
        </w:rPr>
        <w:t>դիմում</w:t>
      </w:r>
      <w:r w:rsidRPr="00834D52">
        <w:rPr>
          <w:rFonts w:ascii="Sylfaen" w:hAnsi="Sylfaen"/>
          <w:sz w:val="24"/>
          <w:szCs w:val="24"/>
        </w:rPr>
        <w:t xml:space="preserve">ի փորձաքննություն իրականացնող լիազորված մարմնի հարցմամբ ներկայացնի այն բոլոր տեղեկությունները, որոնք վերաբերում են բժշկական արտադրատեսակների շրջանառության ոլորտում Միության իրավունքի մաս կազմող ակտերին համապատասխան գնահատման արդյունքներին: Դրանց կարող են դասվել այն տեղեկություններն ու փաստաթղթերը, որոնք պարունակվում են դիտարկվող </w:t>
      </w:r>
      <w:r w:rsidR="0056496B">
        <w:rPr>
          <w:rFonts w:ascii="Sylfaen" w:hAnsi="Sylfaen"/>
          <w:sz w:val="24"/>
          <w:szCs w:val="24"/>
        </w:rPr>
        <w:t>դիմում</w:t>
      </w:r>
      <w:r w:rsidRPr="00834D52">
        <w:rPr>
          <w:rFonts w:ascii="Sylfaen" w:hAnsi="Sylfaen"/>
          <w:sz w:val="24"/>
          <w:szCs w:val="24"/>
        </w:rPr>
        <w:t>ի համապատասխանության գնահատման մեջ՝ համակցված բարձր տեխնոլոգիական դեղապատրաստուկը որպես մեկ ամբողջություն ուսումնասիրելու նպատակով (անհրաժեշտության դեպքում):</w:t>
      </w:r>
    </w:p>
    <w:p w14:paraId="265F26EB" w14:textId="77777777" w:rsidR="006F76EB" w:rsidRPr="00834D52" w:rsidRDefault="006F76EB" w:rsidP="00FA49D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w:t>
      </w:r>
      <w:r w:rsidRPr="00834D52">
        <w:rPr>
          <w:rFonts w:ascii="Sylfaen" w:hAnsi="Sylfaen"/>
          <w:sz w:val="24"/>
          <w:szCs w:val="24"/>
        </w:rPr>
        <w:tab/>
        <w:t>Գրանցման դոսյեի 4-րդ մոդուլին ներկայացվող հատուկ պահանջները.</w:t>
      </w:r>
    </w:p>
    <w:p w14:paraId="2B64BCF8" w14:textId="77777777" w:rsidR="006F76EB" w:rsidRPr="00834D52" w:rsidRDefault="006F76EB" w:rsidP="0036222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17.4.1.</w:t>
      </w:r>
      <w:r w:rsidRPr="00834D52">
        <w:rPr>
          <w:rFonts w:ascii="Sylfaen" w:hAnsi="Sylfaen"/>
          <w:sz w:val="24"/>
          <w:szCs w:val="24"/>
        </w:rPr>
        <w:tab/>
        <w:t>Բարձր տեխնոլոգիական դեղապատրաստուկների համար հատուկ պահանջները.</w:t>
      </w:r>
    </w:p>
    <w:p w14:paraId="52B2476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Հաշվի առնելով բարձր տեխնոլոգիական դեղապատրաստուկների եզակի </w:t>
      </w:r>
      <w:r w:rsidR="00C54D75">
        <w:rPr>
          <w:rFonts w:ascii="Sylfaen" w:hAnsi="Sylfaen"/>
          <w:sz w:val="24"/>
          <w:szCs w:val="24"/>
        </w:rPr>
        <w:t>և</w:t>
      </w:r>
      <w:r w:rsidRPr="00834D52">
        <w:rPr>
          <w:rFonts w:ascii="Sylfaen" w:hAnsi="Sylfaen"/>
          <w:sz w:val="24"/>
          <w:szCs w:val="24"/>
        </w:rPr>
        <w:t xml:space="preserve"> բազմազան կառուցվածքային ու կենսաբանական հատկությունները՝ սույն հավելվածի I մասի 4-րդ բաժնում նշված՝ գրանցման դոսյեի 4-րդ մոդուլին ներկայացվող պահանջները ոչ միշտ են կիրառելի դեղապատրաստուկների դեղաբանական ու թունաբանական հետազոտությունների նկատմամբ:</w:t>
      </w:r>
      <w:r w:rsidRPr="00834D52">
        <w:rPr>
          <w:rFonts w:ascii="Sylfaen" w:hAnsi="Sylfaen"/>
          <w:sz w:val="24"/>
          <w:szCs w:val="24"/>
        </w:rPr>
        <w:br/>
        <w:t>Սույն հավելվածի 17.4.1</w:t>
      </w:r>
      <w:r>
        <w:rPr>
          <w:rFonts w:ascii="Sylfaen" w:hAnsi="Sylfaen"/>
          <w:sz w:val="24"/>
          <w:szCs w:val="24"/>
        </w:rPr>
        <w:t>-</w:t>
      </w:r>
      <w:r w:rsidRPr="00834D52">
        <w:rPr>
          <w:rFonts w:ascii="Sylfaen" w:hAnsi="Sylfaen"/>
          <w:sz w:val="24"/>
          <w:szCs w:val="24"/>
        </w:rPr>
        <w:t xml:space="preserve">17.4.3 բաժինների տեխնիկական պահանջներով պարզաբանվում է, թե ինչպես կատարել բարձր տեխնոլոգիական </w:t>
      </w:r>
      <w:r w:rsidRPr="00834D52">
        <w:rPr>
          <w:rFonts w:ascii="Sylfaen" w:hAnsi="Sylfaen"/>
          <w:sz w:val="24"/>
          <w:szCs w:val="24"/>
        </w:rPr>
        <w:lastRenderedPageBreak/>
        <w:t>դեղապատրաստուկների նկատմամբ սույն հավելվածի I մասի պահանջները: Համապատասխան դեպքերում հաշվի առնելով բարձր տեխնոլոգիական դեղապատրաստուկների առանձնահատկությունները՝ դրանց նկատմամբ սահմանվում են լրացուցիչ պահանջներ:</w:t>
      </w:r>
    </w:p>
    <w:p w14:paraId="1C69A43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տեղեկագրում անհրաժեշտ է ներկայացնել նախակլինիկական մշակման </w:t>
      </w:r>
      <w:r w:rsidR="00C54D75">
        <w:rPr>
          <w:rFonts w:ascii="Sylfaen" w:hAnsi="Sylfaen"/>
          <w:sz w:val="24"/>
          <w:szCs w:val="24"/>
        </w:rPr>
        <w:t>և</w:t>
      </w:r>
      <w:r w:rsidRPr="00834D52">
        <w:rPr>
          <w:rFonts w:ascii="Sylfaen" w:hAnsi="Sylfaen"/>
          <w:sz w:val="24"/>
          <w:szCs w:val="24"/>
        </w:rPr>
        <w:t xml:space="preserve"> կենդանիների ու մոդելների (in vitro </w:t>
      </w:r>
      <w:r w:rsidR="00C54D75">
        <w:rPr>
          <w:rFonts w:ascii="Sylfaen" w:hAnsi="Sylfaen"/>
          <w:sz w:val="24"/>
          <w:szCs w:val="24"/>
        </w:rPr>
        <w:t>և</w:t>
      </w:r>
      <w:r w:rsidRPr="00834D52">
        <w:rPr>
          <w:rFonts w:ascii="Sylfaen" w:hAnsi="Sylfaen"/>
          <w:sz w:val="24"/>
          <w:szCs w:val="24"/>
        </w:rPr>
        <w:t xml:space="preserve"> in vivo) համապատասխան տեսակների ընտրության չափանիշների գիտական հիմնավորումն ու վերլուծությունը: Ընտրված կենդանական մոդելները կարող են լինել իմունաբանական ռեակտիվության խախտմամբ, նոկաուտային, հումանիզացված կամ տրանսգեն կենդանիներ: Անհրաժեշտ է դիտարկել հոմոլոգային մոդելների (օրինակ՝ մկների մոտ մկան բջիջների վերլուծություն) կամ հիվանդությունը նմանակող մոդելների օգտագործման հնարավորությունը, մասնավորապես, իմունոգենության </w:t>
      </w:r>
      <w:r w:rsidR="00C54D75">
        <w:rPr>
          <w:rFonts w:ascii="Sylfaen" w:hAnsi="Sylfaen"/>
          <w:sz w:val="24"/>
          <w:szCs w:val="24"/>
        </w:rPr>
        <w:t>և</w:t>
      </w:r>
      <w:r w:rsidRPr="00834D52">
        <w:rPr>
          <w:rFonts w:ascii="Sylfaen" w:hAnsi="Sylfaen"/>
          <w:sz w:val="24"/>
          <w:szCs w:val="24"/>
        </w:rPr>
        <w:t xml:space="preserve"> իմունոտոքսիկության հետազոտությունների ժամանակ:</w:t>
      </w:r>
    </w:p>
    <w:p w14:paraId="1BCE9AF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Ի լրումն սույն հավելվածի I մասի պահանջների՝ անհրաժեշտ է ներկայացնել դեղապատրաստուկի մեջ պարունակվող կառուցվածքային բոլոր բաղադրիչների (օրինակ՝ մատրիցաների, կմախքների </w:t>
      </w:r>
      <w:r w:rsidR="00C54D75">
        <w:rPr>
          <w:rFonts w:ascii="Sylfaen" w:hAnsi="Sylfaen"/>
          <w:sz w:val="24"/>
          <w:szCs w:val="24"/>
        </w:rPr>
        <w:t>և</w:t>
      </w:r>
      <w:r w:rsidRPr="00834D52">
        <w:rPr>
          <w:rFonts w:ascii="Sylfaen" w:hAnsi="Sylfaen"/>
          <w:sz w:val="24"/>
          <w:szCs w:val="24"/>
        </w:rPr>
        <w:t xml:space="preserve"> արտադրատեսակների) </w:t>
      </w:r>
      <w:r w:rsidR="00C54D75">
        <w:rPr>
          <w:rFonts w:ascii="Sylfaen" w:hAnsi="Sylfaen"/>
          <w:sz w:val="24"/>
          <w:szCs w:val="24"/>
        </w:rPr>
        <w:t>և</w:t>
      </w:r>
      <w:r w:rsidRPr="00834D52">
        <w:rPr>
          <w:rFonts w:ascii="Sylfaen" w:hAnsi="Sylfaen"/>
          <w:sz w:val="24"/>
          <w:szCs w:val="24"/>
        </w:rPr>
        <w:t xml:space="preserve"> ցանկացած լրացուցիչ նյութի (օրինակ՝ բջջային արտադրանքի տեսակների, կենսամոլեկուլների, կենսանյութերի </w:t>
      </w:r>
      <w:r w:rsidR="00C54D75">
        <w:rPr>
          <w:rFonts w:ascii="Sylfaen" w:hAnsi="Sylfaen"/>
          <w:sz w:val="24"/>
          <w:szCs w:val="24"/>
        </w:rPr>
        <w:t>և</w:t>
      </w:r>
      <w:r w:rsidRPr="00834D52">
        <w:rPr>
          <w:rFonts w:ascii="Sylfaen" w:hAnsi="Sylfaen"/>
          <w:sz w:val="24"/>
          <w:szCs w:val="24"/>
        </w:rPr>
        <w:t xml:space="preserve"> քիմիական նյութերի) անվտանգության, պիտանիության </w:t>
      </w:r>
      <w:r w:rsidR="00C54D75">
        <w:rPr>
          <w:rFonts w:ascii="Sylfaen" w:hAnsi="Sylfaen"/>
          <w:sz w:val="24"/>
          <w:szCs w:val="24"/>
        </w:rPr>
        <w:t>և</w:t>
      </w:r>
      <w:r w:rsidRPr="00834D52">
        <w:rPr>
          <w:rFonts w:ascii="Sylfaen" w:hAnsi="Sylfaen"/>
          <w:sz w:val="24"/>
          <w:szCs w:val="24"/>
        </w:rPr>
        <w:t xml:space="preserve"> կենսահամատեղելիության վերաբերյալ տվյալներ: Անհրաժեշտ</w:t>
      </w:r>
      <w:r w:rsidR="00362224" w:rsidRPr="00362224">
        <w:rPr>
          <w:rFonts w:ascii="Sylfaen" w:hAnsi="Sylfaen"/>
          <w:sz w:val="24"/>
          <w:szCs w:val="24"/>
        </w:rPr>
        <w:t> </w:t>
      </w:r>
      <w:r w:rsidRPr="00834D52">
        <w:rPr>
          <w:rFonts w:ascii="Sylfaen" w:hAnsi="Sylfaen"/>
          <w:sz w:val="24"/>
          <w:szCs w:val="24"/>
        </w:rPr>
        <w:t xml:space="preserve">է հաշվի առնել դրանց ֆիզիկական, մեխանիկական, քիմիական </w:t>
      </w:r>
      <w:r w:rsidR="00C54D75">
        <w:rPr>
          <w:rFonts w:ascii="Sylfaen" w:hAnsi="Sylfaen"/>
          <w:sz w:val="24"/>
          <w:szCs w:val="24"/>
        </w:rPr>
        <w:t>և</w:t>
      </w:r>
      <w:r w:rsidRPr="00834D52">
        <w:rPr>
          <w:rFonts w:ascii="Sylfaen" w:hAnsi="Sylfaen"/>
          <w:sz w:val="24"/>
          <w:szCs w:val="24"/>
        </w:rPr>
        <w:t xml:space="preserve"> կենսաբանական հատկությունները:</w:t>
      </w:r>
    </w:p>
    <w:p w14:paraId="601CCC27" w14:textId="77777777" w:rsidR="006F76EB" w:rsidRPr="00834D52" w:rsidRDefault="006F76EB" w:rsidP="0036222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4BD0D1C1"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անվտանգության պատշաճ նկարագրության համար անհրաժեշտ նախակլինիկական հետազոտությունների ծավալի </w:t>
      </w:r>
      <w:r w:rsidR="00C54D75">
        <w:rPr>
          <w:rFonts w:ascii="Sylfaen" w:hAnsi="Sylfaen"/>
          <w:sz w:val="24"/>
          <w:szCs w:val="24"/>
        </w:rPr>
        <w:t>և</w:t>
      </w:r>
      <w:r w:rsidRPr="00834D52">
        <w:rPr>
          <w:rFonts w:ascii="Sylfaen" w:hAnsi="Sylfaen"/>
          <w:sz w:val="24"/>
          <w:szCs w:val="24"/>
        </w:rPr>
        <w:t xml:space="preserve"> տեսակների որոշման համար հարկավոր է հաշվի առնել գենոթերապ</w:t>
      </w:r>
      <w:r w:rsidR="00C54D75">
        <w:rPr>
          <w:rFonts w:ascii="Sylfaen" w:hAnsi="Sylfaen"/>
          <w:sz w:val="24"/>
          <w:szCs w:val="24"/>
        </w:rPr>
        <w:t>և</w:t>
      </w:r>
      <w:r w:rsidRPr="00834D52">
        <w:rPr>
          <w:rFonts w:ascii="Sylfaen" w:hAnsi="Sylfaen"/>
          <w:sz w:val="24"/>
          <w:szCs w:val="24"/>
        </w:rPr>
        <w:t>տիկ դեղապատրաստուկի բովանդակային պլանն ու տեսակը:</w:t>
      </w:r>
    </w:p>
    <w:p w14:paraId="250BADEF"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17.4.2.1.</w:t>
      </w:r>
      <w:r w:rsidRPr="00834D52">
        <w:rPr>
          <w:rFonts w:ascii="Sylfaen" w:hAnsi="Sylfaen"/>
          <w:sz w:val="24"/>
          <w:szCs w:val="24"/>
        </w:rPr>
        <w:tab/>
        <w:t>Դեղաբանություն.</w:t>
      </w:r>
    </w:p>
    <w:p w14:paraId="4C1C74FA" w14:textId="2301FB1C"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w:t>
      </w:r>
      <w:r w:rsidR="001A5F1A">
        <w:rPr>
          <w:rFonts w:ascii="Sylfaen" w:hAnsi="Sylfaen"/>
          <w:sz w:val="24"/>
          <w:szCs w:val="24"/>
        </w:rPr>
        <w:t>հայտագրված</w:t>
      </w:r>
      <w:r w:rsidRPr="00834D52">
        <w:rPr>
          <w:rFonts w:ascii="Sylfaen" w:hAnsi="Sylfaen"/>
          <w:sz w:val="24"/>
          <w:szCs w:val="24"/>
        </w:rPr>
        <w:t xml:space="preserve"> ցուցմանն առնչվող in vitro </w:t>
      </w:r>
      <w:r w:rsidR="00C54D75">
        <w:rPr>
          <w:rFonts w:ascii="Sylfaen" w:hAnsi="Sylfaen"/>
          <w:sz w:val="24"/>
          <w:szCs w:val="24"/>
        </w:rPr>
        <w:t>և</w:t>
      </w:r>
      <w:r w:rsidRPr="00834D52">
        <w:rPr>
          <w:rFonts w:ascii="Sylfaen" w:hAnsi="Sylfaen"/>
          <w:sz w:val="24"/>
          <w:szCs w:val="24"/>
        </w:rPr>
        <w:br/>
        <w:t xml:space="preserve">in vivo էֆեկտների այն հետազոտությունների (այսինքն՝ ազդեցության մեխանիզմի </w:t>
      </w:r>
      <w:r w:rsidR="00355C33">
        <w:rPr>
          <w:rFonts w:ascii="Sylfaen" w:hAnsi="Sylfaen"/>
          <w:sz w:val="24"/>
          <w:szCs w:val="24"/>
        </w:rPr>
        <w:t>դեղա</w:t>
      </w:r>
      <w:r w:rsidRPr="00834D52">
        <w:rPr>
          <w:rFonts w:ascii="Sylfaen" w:hAnsi="Sylfaen"/>
          <w:sz w:val="24"/>
          <w:szCs w:val="24"/>
        </w:rPr>
        <w:t xml:space="preserve">դինամիկ հետազոտությունների) արդյունքերը, որոնց մեջ օգտագործվել են կենդանիների այն մոդելներն ու համապատասխան տեսակները, որոնք ընտելացվել են հաստատելու համար այն, որ նուկլեինաթթվի հաջորդականությունը հասնում է թիրախին (օրգանին կամ բջիջներին) </w:t>
      </w:r>
      <w:r w:rsidR="00C54D75">
        <w:rPr>
          <w:rFonts w:ascii="Sylfaen" w:hAnsi="Sylfaen"/>
          <w:sz w:val="24"/>
          <w:szCs w:val="24"/>
        </w:rPr>
        <w:t>և</w:t>
      </w:r>
      <w:r w:rsidRPr="00834D52">
        <w:rPr>
          <w:rFonts w:ascii="Sylfaen" w:hAnsi="Sylfaen"/>
          <w:sz w:val="24"/>
          <w:szCs w:val="24"/>
        </w:rPr>
        <w:t xml:space="preserve"> ապահովում է անհրաժեշտ ֆունկցիան (էքսպրեսիայի </w:t>
      </w:r>
      <w:r w:rsidR="00C54D75">
        <w:rPr>
          <w:rFonts w:ascii="Sylfaen" w:hAnsi="Sylfaen"/>
          <w:sz w:val="24"/>
          <w:szCs w:val="24"/>
        </w:rPr>
        <w:t>և</w:t>
      </w:r>
      <w:r w:rsidRPr="00834D52">
        <w:rPr>
          <w:rFonts w:ascii="Sylfaen" w:hAnsi="Sylfaen"/>
          <w:sz w:val="24"/>
          <w:szCs w:val="24"/>
        </w:rPr>
        <w:t xml:space="preserve"> ֆունկցիոնալ ակտիվության աստիճանը): Անհրաժեշտ է նկարագրել նուկլեինաթթվի հաջորդականության ֆունկցիայի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կլինիկական հետազոտություններում դոզավորման առաջարկվող ռեժիմը:</w:t>
      </w:r>
    </w:p>
    <w:p w14:paraId="7AC07BC6"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Թիրախի սելեկտիվությունը. Եթե գենոթերապ</w:t>
      </w:r>
      <w:r w:rsidR="00C54D75">
        <w:rPr>
          <w:rFonts w:ascii="Sylfaen" w:hAnsi="Sylfaen"/>
          <w:sz w:val="24"/>
          <w:szCs w:val="24"/>
        </w:rPr>
        <w:t>և</w:t>
      </w:r>
      <w:r w:rsidRPr="00834D52">
        <w:rPr>
          <w:rFonts w:ascii="Sylfaen" w:hAnsi="Sylfaen"/>
          <w:sz w:val="24"/>
          <w:szCs w:val="24"/>
        </w:rPr>
        <w:t xml:space="preserve">տիկ դեղապատրաստուկը պետք է ունենա սելեկտիվություն </w:t>
      </w:r>
      <w:r w:rsidR="00C54D75">
        <w:rPr>
          <w:rFonts w:ascii="Sylfaen" w:hAnsi="Sylfaen"/>
          <w:sz w:val="24"/>
          <w:szCs w:val="24"/>
        </w:rPr>
        <w:t>և</w:t>
      </w:r>
      <w:r w:rsidRPr="00834D52">
        <w:rPr>
          <w:rFonts w:ascii="Sylfaen" w:hAnsi="Sylfaen"/>
          <w:sz w:val="24"/>
          <w:szCs w:val="24"/>
        </w:rPr>
        <w:t xml:space="preserve"> ֆունկցիոնալություն, սահմանափակ թիրախ, ապա անհրաժեշտ է ներկայացնել թիրախների բջիջների </w:t>
      </w:r>
      <w:r w:rsidR="00C54D75">
        <w:rPr>
          <w:rFonts w:ascii="Sylfaen" w:hAnsi="Sylfaen"/>
          <w:sz w:val="24"/>
          <w:szCs w:val="24"/>
        </w:rPr>
        <w:t>և</w:t>
      </w:r>
      <w:r w:rsidRPr="00834D52">
        <w:rPr>
          <w:rFonts w:ascii="Sylfaen" w:hAnsi="Sylfaen"/>
          <w:sz w:val="24"/>
          <w:szCs w:val="24"/>
        </w:rPr>
        <w:t xml:space="preserve"> հյուսվածքների ֆունկցիոնալության սպեցիֆիկությունն ու տ</w:t>
      </w:r>
      <w:r w:rsidR="00C54D75">
        <w:rPr>
          <w:rFonts w:ascii="Sylfaen" w:hAnsi="Sylfaen"/>
          <w:sz w:val="24"/>
          <w:szCs w:val="24"/>
        </w:rPr>
        <w:t>և</w:t>
      </w:r>
      <w:r w:rsidRPr="00834D52">
        <w:rPr>
          <w:rFonts w:ascii="Sylfaen" w:hAnsi="Sylfaen"/>
          <w:sz w:val="24"/>
          <w:szCs w:val="24"/>
        </w:rPr>
        <w:t>ողությունը հաստատող հետազոտությունների արդյունքները:</w:t>
      </w:r>
    </w:p>
    <w:p w14:paraId="45595CC8"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17.4.2.2.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w:t>
      </w:r>
    </w:p>
    <w:p w14:paraId="10493642"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Կենսաբաշխման հետազոտությունների ժամանակ անհրաժեշտ է ուսումնասիրել պերսիստենցիան, քլիրենսը </w:t>
      </w:r>
      <w:r w:rsidR="00C54D75">
        <w:rPr>
          <w:rFonts w:ascii="Sylfaen" w:hAnsi="Sylfaen"/>
          <w:sz w:val="24"/>
          <w:szCs w:val="24"/>
        </w:rPr>
        <w:t>և</w:t>
      </w:r>
      <w:r w:rsidRPr="00834D52">
        <w:rPr>
          <w:rFonts w:ascii="Sylfaen" w:hAnsi="Sylfaen"/>
          <w:sz w:val="24"/>
          <w:szCs w:val="24"/>
        </w:rPr>
        <w:t xml:space="preserve"> մոբիլիզացիան: Ի լրումն դրանց՝ անհրաժեշտ է հստակեցնել գեներատիվ փոխանցման ռիսկը:</w:t>
      </w:r>
    </w:p>
    <w:p w14:paraId="63B32E08"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գրանցման դոսյեում բացակայում է դիտարկվող դեղապատրաստուկի տեսակից ելնելով արված հիմնավորումը, ապա անհրաժեշտ է ներկայացնել տարածման </w:t>
      </w:r>
      <w:r w:rsidR="00C54D75">
        <w:rPr>
          <w:rFonts w:ascii="Sylfaen" w:hAnsi="Sylfaen"/>
          <w:sz w:val="24"/>
          <w:szCs w:val="24"/>
        </w:rPr>
        <w:t>և</w:t>
      </w:r>
      <w:r w:rsidRPr="00834D52">
        <w:rPr>
          <w:rFonts w:ascii="Sylfaen" w:hAnsi="Sylfaen"/>
          <w:sz w:val="24"/>
          <w:szCs w:val="24"/>
        </w:rPr>
        <w:t xml:space="preserve"> երրորդ անձանց փոխանցման ռիսկի հետազոտությունների արդյունքները, ինչպես նա</w:t>
      </w:r>
      <w:r w:rsidR="00C54D75">
        <w:rPr>
          <w:rFonts w:ascii="Sylfaen" w:hAnsi="Sylfaen"/>
          <w:sz w:val="24"/>
          <w:szCs w:val="24"/>
        </w:rPr>
        <w:t>և</w:t>
      </w:r>
      <w:r w:rsidRPr="00834D52">
        <w:rPr>
          <w:rFonts w:ascii="Sylfaen" w:hAnsi="Sylfaen"/>
          <w:sz w:val="24"/>
          <w:szCs w:val="24"/>
        </w:rPr>
        <w:t xml:space="preserve"> շրջակա միջավայրի համար ռիսկի գնահատման արդյունքները:</w:t>
      </w:r>
    </w:p>
    <w:p w14:paraId="6BF9E19D" w14:textId="77777777" w:rsidR="006F76EB" w:rsidRPr="00834D52" w:rsidRDefault="006F76EB" w:rsidP="007C3BBD">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17.4.2.3.</w:t>
      </w:r>
      <w:r w:rsidRPr="00834D52">
        <w:rPr>
          <w:rFonts w:ascii="Sylfaen" w:hAnsi="Sylfaen"/>
          <w:sz w:val="24"/>
          <w:szCs w:val="24"/>
        </w:rPr>
        <w:tab/>
        <w:t>Թունաբանություն.</w:t>
      </w:r>
    </w:p>
    <w:p w14:paraId="6C5135C6"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Անհրաժեշտ է ուսումնասիրել պատրաստի գենոթերապ</w:t>
      </w:r>
      <w:r w:rsidR="00C54D75">
        <w:rPr>
          <w:rFonts w:ascii="Sylfaen" w:hAnsi="Sylfaen"/>
          <w:sz w:val="24"/>
          <w:szCs w:val="24"/>
        </w:rPr>
        <w:t>և</w:t>
      </w:r>
      <w:r w:rsidRPr="00834D52">
        <w:rPr>
          <w:rFonts w:ascii="Sylfaen" w:hAnsi="Sylfaen"/>
          <w:sz w:val="24"/>
          <w:szCs w:val="24"/>
        </w:rPr>
        <w:t xml:space="preserve">տիկ դեղապատրաստուկի թունավորությունը: Բացի դրանից, դեղապատրաստուկի տեսակից կախված՝ անհրաժեշտ է անցկացնել դեղագործական բաղադրամասի </w:t>
      </w:r>
      <w:r w:rsidR="00C54D75">
        <w:rPr>
          <w:rFonts w:ascii="Sylfaen" w:hAnsi="Sylfaen"/>
          <w:sz w:val="24"/>
          <w:szCs w:val="24"/>
        </w:rPr>
        <w:t>և</w:t>
      </w:r>
      <w:r w:rsidRPr="00834D52">
        <w:rPr>
          <w:rFonts w:ascii="Sylfaen" w:hAnsi="Sylfaen"/>
          <w:sz w:val="24"/>
          <w:szCs w:val="24"/>
        </w:rPr>
        <w:t xml:space="preserve"> օժանդակ նյութերի առանձին փորձարկում՝ հաշվի առնելով դրանց ֆիզիոլոգիական ֆունկցիայի գնահատման համար չնախատեսված՝ նուկլեինաթթվի հաջորդականության էքսպրեսիայի արգասիքների in vivo էֆեկտը:</w:t>
      </w:r>
    </w:p>
    <w:p w14:paraId="0288E2F2"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Մեկանգամյա ներմուծման դեպքում թույլատրվում է թունավորության հետազոտությունները համատեղել դեղաբանական անվտանգության հետազոտությունների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հետազոտությունների հետ,</w:t>
      </w:r>
      <w:r w:rsidRPr="00834D52">
        <w:rPr>
          <w:rFonts w:ascii="Sylfaen" w:hAnsi="Sylfaen"/>
          <w:sz w:val="24"/>
          <w:szCs w:val="24"/>
        </w:rPr>
        <w:br/>
        <w:t>օրինակ՝ պերսիստենցիայի ուսումնասիրության նպատակով:</w:t>
      </w:r>
    </w:p>
    <w:p w14:paraId="587714AF"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ենթադրվում է մարդու օրգանիզմ դեղապատրաստուկի բազմակի ներմուծում, ապա բազմակի ներմուծման դեպքում անհրաժեշտ է ներկայացնել թունավորության հետազոտությունների արդյունքները: Ներմուծման եղանակն ու ռեժիմը պետք է համապատասխանեն կլինիկական կիրառման ժամանակ ներմուծման եղանակին </w:t>
      </w:r>
      <w:r w:rsidR="00C54D75">
        <w:rPr>
          <w:rFonts w:ascii="Sylfaen" w:hAnsi="Sylfaen"/>
          <w:sz w:val="24"/>
          <w:szCs w:val="24"/>
        </w:rPr>
        <w:t>և</w:t>
      </w:r>
      <w:r w:rsidRPr="00834D52">
        <w:rPr>
          <w:rFonts w:ascii="Sylfaen" w:hAnsi="Sylfaen"/>
          <w:sz w:val="24"/>
          <w:szCs w:val="24"/>
        </w:rPr>
        <w:t xml:space="preserve"> ռեժիմին: Եթե մեկանգամյա ներմուծումը մարդու մոտ կարող է հանգեցնել նուկլեինաթթվի հաջորդականության երկարատ</w:t>
      </w:r>
      <w:r w:rsidR="00C54D75">
        <w:rPr>
          <w:rFonts w:ascii="Sylfaen" w:hAnsi="Sylfaen"/>
          <w:sz w:val="24"/>
          <w:szCs w:val="24"/>
        </w:rPr>
        <w:t>և</w:t>
      </w:r>
      <w:r w:rsidRPr="00834D52">
        <w:rPr>
          <w:rFonts w:ascii="Sylfaen" w:hAnsi="Sylfaen"/>
          <w:sz w:val="24"/>
          <w:szCs w:val="24"/>
        </w:rPr>
        <w:t xml:space="preserve"> ֆունկցիոնալության, ապա բազմակի ներմուծման դեպքում անհրաժեշտ է անցկացնել </w:t>
      </w:r>
      <w:r w:rsidRPr="00333A89">
        <w:rPr>
          <w:rFonts w:ascii="Sylfaen" w:hAnsi="Sylfaen"/>
          <w:spacing w:val="-4"/>
          <w:sz w:val="24"/>
          <w:szCs w:val="24"/>
        </w:rPr>
        <w:t>թունավորության հետազոտություններ: Գենոթերապ</w:t>
      </w:r>
      <w:r w:rsidR="00C54D75">
        <w:rPr>
          <w:rFonts w:ascii="Sylfaen" w:hAnsi="Sylfaen"/>
          <w:spacing w:val="-4"/>
          <w:sz w:val="24"/>
          <w:szCs w:val="24"/>
        </w:rPr>
        <w:t>և</w:t>
      </w:r>
      <w:r w:rsidRPr="00333A89">
        <w:rPr>
          <w:rFonts w:ascii="Sylfaen" w:hAnsi="Sylfaen"/>
          <w:spacing w:val="-4"/>
          <w:sz w:val="24"/>
          <w:szCs w:val="24"/>
        </w:rPr>
        <w:t xml:space="preserve">տիկ դեղապատրաստուկների պերսիստենցիայից </w:t>
      </w:r>
      <w:r w:rsidR="00C54D75">
        <w:rPr>
          <w:rFonts w:ascii="Sylfaen" w:hAnsi="Sylfaen"/>
          <w:spacing w:val="-4"/>
          <w:sz w:val="24"/>
          <w:szCs w:val="24"/>
        </w:rPr>
        <w:t>և</w:t>
      </w:r>
      <w:r w:rsidRPr="00333A89">
        <w:rPr>
          <w:rFonts w:ascii="Sylfaen" w:hAnsi="Sylfaen"/>
          <w:spacing w:val="-4"/>
          <w:sz w:val="24"/>
          <w:szCs w:val="24"/>
        </w:rPr>
        <w:t xml:space="preserve"> սպասվող պոտենցիալ ռիսկերից կախված՝ հետազոտությունների տ</w:t>
      </w:r>
      <w:r w:rsidR="00C54D75">
        <w:rPr>
          <w:rFonts w:ascii="Sylfaen" w:hAnsi="Sylfaen"/>
          <w:spacing w:val="-4"/>
          <w:sz w:val="24"/>
          <w:szCs w:val="24"/>
        </w:rPr>
        <w:t>և</w:t>
      </w:r>
      <w:r w:rsidRPr="00333A89">
        <w:rPr>
          <w:rFonts w:ascii="Sylfaen" w:hAnsi="Sylfaen"/>
          <w:spacing w:val="-4"/>
          <w:sz w:val="24"/>
          <w:szCs w:val="24"/>
        </w:rPr>
        <w:t>ողությունը կարող է գերազանցել թունաբանության ստանդարտ հետազոտությունների տ</w:t>
      </w:r>
      <w:r w:rsidR="00C54D75">
        <w:rPr>
          <w:rFonts w:ascii="Sylfaen" w:hAnsi="Sylfaen"/>
          <w:spacing w:val="-4"/>
          <w:sz w:val="24"/>
          <w:szCs w:val="24"/>
        </w:rPr>
        <w:t>և</w:t>
      </w:r>
      <w:r w:rsidRPr="00333A89">
        <w:rPr>
          <w:rFonts w:ascii="Sylfaen" w:hAnsi="Sylfaen"/>
          <w:spacing w:val="-4"/>
          <w:sz w:val="24"/>
          <w:szCs w:val="24"/>
        </w:rPr>
        <w:t>ողությունը: Անհրաժեշտ է ներկայացնել հետազոտությունների տ</w:t>
      </w:r>
      <w:r w:rsidR="00C54D75">
        <w:rPr>
          <w:rFonts w:ascii="Sylfaen" w:hAnsi="Sylfaen"/>
          <w:spacing w:val="-4"/>
          <w:sz w:val="24"/>
          <w:szCs w:val="24"/>
        </w:rPr>
        <w:t>և</w:t>
      </w:r>
      <w:r w:rsidRPr="00333A89">
        <w:rPr>
          <w:rFonts w:ascii="Sylfaen" w:hAnsi="Sylfaen"/>
          <w:spacing w:val="-4"/>
          <w:sz w:val="24"/>
          <w:szCs w:val="24"/>
        </w:rPr>
        <w:t>ականության</w:t>
      </w:r>
      <w:r w:rsidRPr="00834D52">
        <w:rPr>
          <w:rFonts w:ascii="Sylfaen" w:hAnsi="Sylfaen"/>
          <w:sz w:val="24"/>
          <w:szCs w:val="24"/>
        </w:rPr>
        <w:t xml:space="preserve"> հիմնավորումը:</w:t>
      </w:r>
    </w:p>
    <w:p w14:paraId="6B61754F"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ուսումնասիրել գենոտոքսիկությունը: Սակայն անհրաժեշտ է գենոտոքսիկության ստանդարտ հետազոտություններն անցկացնել միայն որոշակի խառնուկի կամ մատակարարման համակարգի բաղադրիչի փորձարկման դեպքում:</w:t>
      </w:r>
    </w:p>
    <w:p w14:paraId="14DE5296" w14:textId="77777777" w:rsidR="006F76EB" w:rsidRPr="004A3E9D" w:rsidRDefault="006F76EB" w:rsidP="001E3FDE">
      <w:pPr>
        <w:spacing w:after="160" w:line="360" w:lineRule="auto"/>
        <w:ind w:right="-6" w:firstLine="567"/>
        <w:jc w:val="both"/>
        <w:rPr>
          <w:rFonts w:ascii="Sylfaen" w:eastAsia="Times New Roman" w:hAnsi="Sylfaen" w:cs="Times New Roman"/>
          <w:spacing w:val="-4"/>
          <w:sz w:val="24"/>
          <w:szCs w:val="24"/>
        </w:rPr>
      </w:pPr>
      <w:r w:rsidRPr="004A3E9D">
        <w:rPr>
          <w:rFonts w:ascii="Sylfaen" w:hAnsi="Sylfaen"/>
          <w:spacing w:val="-4"/>
          <w:sz w:val="24"/>
          <w:szCs w:val="24"/>
        </w:rPr>
        <w:t xml:space="preserve">Անհրաժեշտ է ուսումնասիրել քաղցկեղածնությունը: Առնետների մոտ </w:t>
      </w:r>
      <w:r w:rsidRPr="004A3E9D">
        <w:rPr>
          <w:rFonts w:ascii="Sylfaen" w:hAnsi="Sylfaen"/>
          <w:spacing w:val="-4"/>
          <w:sz w:val="24"/>
          <w:szCs w:val="24"/>
        </w:rPr>
        <w:lastRenderedPageBreak/>
        <w:t>քաղցկեղածնության ցմահ ստանդարտ հետազոտություններ չեն պահանջվում: Սակայն, դեղապատրաստուկի տեսակից կախված, ուռուցքածին պոտենցիալն անհրաժեշտ է ուսումնասիրել համապատասխան in vivo կամ in vitro մոդելների վրա:</w:t>
      </w:r>
    </w:p>
    <w:p w14:paraId="3012F3C6" w14:textId="77777777"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թունավորությունը. Եթե գրանցման դոսյեում բացակայում է դիտարկվող դեղապատրաստուկի տեսակից ելնելով արված պատշաճ հիմնավորումը, ապա անհրաժեշտ է ներկայացնել</w:t>
      </w:r>
      <w:r w:rsidRPr="00834D52">
        <w:rPr>
          <w:rFonts w:ascii="Sylfaen" w:hAnsi="Sylfaen"/>
          <w:sz w:val="24"/>
          <w:szCs w:val="24"/>
        </w:rPr>
        <w:br/>
        <w:t xml:space="preserve">ֆերտիլության </w:t>
      </w:r>
      <w:r w:rsidR="00C54D75">
        <w:rPr>
          <w:rFonts w:ascii="Sylfaen" w:hAnsi="Sylfaen"/>
          <w:sz w:val="24"/>
          <w:szCs w:val="24"/>
        </w:rPr>
        <w:t>և</w:t>
      </w:r>
      <w:r w:rsidRPr="00834D52">
        <w:rPr>
          <w:rFonts w:ascii="Sylfaen" w:hAnsi="Sylfaen"/>
          <w:sz w:val="24"/>
          <w:szCs w:val="24"/>
        </w:rPr>
        <w:t xml:space="preserve"> ընդհանուր վերարտադրողական ֆունկցիայի ուսումնասիրության հետազոտությունների արդյունքները: Անհրաժեշտ է ներկայացնել սաղմնապտղային </w:t>
      </w:r>
      <w:r w:rsidR="00C54D75">
        <w:rPr>
          <w:rFonts w:ascii="Sylfaen" w:hAnsi="Sylfaen"/>
          <w:sz w:val="24"/>
          <w:szCs w:val="24"/>
        </w:rPr>
        <w:t>և</w:t>
      </w:r>
      <w:r w:rsidRPr="00834D52">
        <w:rPr>
          <w:rFonts w:ascii="Sylfaen" w:hAnsi="Sylfaen"/>
          <w:sz w:val="24"/>
          <w:szCs w:val="24"/>
        </w:rPr>
        <w:t xml:space="preserve"> նախածննդաբերական թունավորության, գեներատիվ փոխանցման ուսումնասիրության արդյունքները: </w:t>
      </w:r>
    </w:p>
    <w:p w14:paraId="621EBE02" w14:textId="77777777" w:rsidR="006F76EB" w:rsidRPr="00834D52" w:rsidRDefault="006F76EB" w:rsidP="001E3FDE">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Լրացուցիչ թունաբանական հետազոտությունները.</w:t>
      </w:r>
    </w:p>
    <w:p w14:paraId="506C2CB7" w14:textId="7FB0901F"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Ինտեգրման հետազոտությունները. Բոլոր գենոթերապ</w:t>
      </w:r>
      <w:r w:rsidR="00C54D75">
        <w:rPr>
          <w:rFonts w:ascii="Sylfaen" w:hAnsi="Sylfaen"/>
          <w:sz w:val="24"/>
          <w:szCs w:val="24"/>
        </w:rPr>
        <w:t>և</w:t>
      </w:r>
      <w:r w:rsidRPr="00834D52">
        <w:rPr>
          <w:rFonts w:ascii="Sylfaen" w:hAnsi="Sylfaen"/>
          <w:sz w:val="24"/>
          <w:szCs w:val="24"/>
        </w:rPr>
        <w:t>տիկ դեղապատրաստուկների առնչությամբ անհրաժեշտ է ներկայացնել դրանց ինտեգրման հետազոտությունների արդյունքները, եթե այդպիսի արդյունքների բացակայությունը գիտականորեն ապացուցված չէ, օրինակ՝ բջջի միջուկի մեջ նուկլեինաթթվի հաջորդականության ներթափանցման բացակայության հետ</w:t>
      </w:r>
      <w:r w:rsidR="00C54D75">
        <w:rPr>
          <w:rFonts w:ascii="Sylfaen" w:hAnsi="Sylfaen"/>
          <w:sz w:val="24"/>
          <w:szCs w:val="24"/>
        </w:rPr>
        <w:t>և</w:t>
      </w:r>
      <w:r w:rsidRPr="00834D52">
        <w:rPr>
          <w:rFonts w:ascii="Sylfaen" w:hAnsi="Sylfaen"/>
          <w:sz w:val="24"/>
          <w:szCs w:val="24"/>
        </w:rPr>
        <w:t>անքով: Եթե կենսաբաշխման հետազոտությունների արդյունքներով բացա</w:t>
      </w:r>
      <w:r w:rsidR="0056496B">
        <w:rPr>
          <w:rFonts w:ascii="Sylfaen" w:hAnsi="Sylfaen"/>
          <w:sz w:val="24"/>
          <w:szCs w:val="24"/>
        </w:rPr>
        <w:t>դիմում</w:t>
      </w:r>
      <w:r w:rsidRPr="00834D52">
        <w:rPr>
          <w:rFonts w:ascii="Sylfaen" w:hAnsi="Sylfaen"/>
          <w:sz w:val="24"/>
          <w:szCs w:val="24"/>
        </w:rPr>
        <w:t>վում է գեներատիվ փոխանցման ռիսկ, ապա գենոթերապ</w:t>
      </w:r>
      <w:r w:rsidR="00C54D75">
        <w:rPr>
          <w:rFonts w:ascii="Sylfaen" w:hAnsi="Sylfaen"/>
          <w:sz w:val="24"/>
          <w:szCs w:val="24"/>
        </w:rPr>
        <w:t>և</w:t>
      </w:r>
      <w:r w:rsidRPr="00834D52">
        <w:rPr>
          <w:rFonts w:ascii="Sylfaen" w:hAnsi="Sylfaen"/>
          <w:sz w:val="24"/>
          <w:szCs w:val="24"/>
        </w:rPr>
        <w:t>տիկ դեղապատրաստուկների (ենթադրաբար ինտեգրմանը ոչ ունակ) առնչությամբ անհրաժեշտ է անցկացնել ինտեգրման հետազոտություններ:</w:t>
      </w:r>
    </w:p>
    <w:p w14:paraId="60FC4816" w14:textId="77777777"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Իմունոգենություն </w:t>
      </w:r>
      <w:r w:rsidR="00C54D75">
        <w:rPr>
          <w:rFonts w:ascii="Sylfaen" w:hAnsi="Sylfaen"/>
          <w:sz w:val="24"/>
          <w:szCs w:val="24"/>
        </w:rPr>
        <w:t>և</w:t>
      </w:r>
      <w:r w:rsidRPr="00834D52">
        <w:rPr>
          <w:rFonts w:ascii="Sylfaen" w:hAnsi="Sylfaen"/>
          <w:sz w:val="24"/>
          <w:szCs w:val="24"/>
        </w:rPr>
        <w:t xml:space="preserve"> իմունոտոքսիկություն. Անհրաժեշտ է ուսումնասիրել պոտենցիալ իմունոգեն </w:t>
      </w:r>
      <w:r w:rsidR="00C54D75">
        <w:rPr>
          <w:rFonts w:ascii="Sylfaen" w:hAnsi="Sylfaen"/>
          <w:sz w:val="24"/>
          <w:szCs w:val="24"/>
        </w:rPr>
        <w:t>և</w:t>
      </w:r>
      <w:r w:rsidRPr="00834D52">
        <w:rPr>
          <w:rFonts w:ascii="Sylfaen" w:hAnsi="Sylfaen"/>
          <w:sz w:val="24"/>
          <w:szCs w:val="24"/>
        </w:rPr>
        <w:t xml:space="preserve"> իմունոտոքսիկ էֆեկտները:</w:t>
      </w:r>
    </w:p>
    <w:p w14:paraId="49666B81"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w:t>
      </w:r>
      <w:r w:rsidRPr="00834D52">
        <w:rPr>
          <w:rFonts w:ascii="Sylfaen" w:hAnsi="Sylfaen"/>
          <w:sz w:val="24"/>
          <w:szCs w:val="24"/>
        </w:rPr>
        <w:tab/>
        <w:t>Սոմատիկ բջիջների հիմքով 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դեղապատրաստուկների նկատմամբ հատուկ պահանջները.</w:t>
      </w:r>
    </w:p>
    <w:p w14:paraId="793702D6"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17.4.3.1.</w:t>
      </w:r>
      <w:r w:rsidRPr="00834D52">
        <w:rPr>
          <w:rFonts w:ascii="Sylfaen" w:hAnsi="Sylfaen"/>
          <w:sz w:val="24"/>
          <w:szCs w:val="24"/>
        </w:rPr>
        <w:tab/>
        <w:t>Դեղաբանություն.</w:t>
      </w:r>
    </w:p>
    <w:p w14:paraId="4E74B6D0"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ազդեցության մեխանիզմի հաստատման նպատակով </w:t>
      </w:r>
      <w:r w:rsidRPr="00834D52">
        <w:rPr>
          <w:rFonts w:ascii="Sylfaen" w:hAnsi="Sylfaen"/>
          <w:sz w:val="24"/>
          <w:szCs w:val="24"/>
        </w:rPr>
        <w:lastRenderedPageBreak/>
        <w:t>անհրաժեշտ է անցկացնել առաջնային դեղաբանության պատշաճ հետազոտություններ: Անհրաժեշտ է ուսումնասիրել բջջային դեղապատրաստուկների փոխազդեցությունը շրջակա հյուսվածքների հետ:</w:t>
      </w:r>
    </w:p>
    <w:p w14:paraId="6E963921"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որոշել դեղապատրաստուկի՝ ցանկալի էֆեկտին (արդյունավետ դեղաչափի) հասնելու համար անհրաժեշտ քանակը </w:t>
      </w:r>
      <w:r w:rsidR="00C54D75">
        <w:rPr>
          <w:rFonts w:ascii="Sylfaen" w:hAnsi="Sylfaen"/>
          <w:sz w:val="24"/>
          <w:szCs w:val="24"/>
        </w:rPr>
        <w:t>և</w:t>
      </w:r>
      <w:r w:rsidRPr="00834D52">
        <w:rPr>
          <w:rFonts w:ascii="Sylfaen" w:hAnsi="Sylfaen"/>
          <w:sz w:val="24"/>
          <w:szCs w:val="24"/>
        </w:rPr>
        <w:t xml:space="preserve"> դրա տեսակից կախված՝ դոզավորման ռեժիմը:</w:t>
      </w:r>
    </w:p>
    <w:p w14:paraId="141A9297"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տիկ դեղապատրաստուկի, հյուսվածքային ինժեներիայի պատրաստուկի կամ լրացուցիչ նյութերի թերապ</w:t>
      </w:r>
      <w:r w:rsidR="00C54D75">
        <w:rPr>
          <w:rFonts w:ascii="Sylfaen" w:hAnsi="Sylfaen"/>
          <w:sz w:val="24"/>
          <w:szCs w:val="24"/>
        </w:rPr>
        <w:t>և</w:t>
      </w:r>
      <w:r w:rsidRPr="00834D52">
        <w:rPr>
          <w:rFonts w:ascii="Sylfaen" w:hAnsi="Sylfaen"/>
          <w:sz w:val="24"/>
          <w:szCs w:val="24"/>
        </w:rPr>
        <w:t>տիկ էֆեկտների հետ կապ չունեցող պոտենցիալ ֆիզիոլոգիական էֆեկտների գնահատման նպատակով անհրաժեշտ է ներկայացնել երկրորդային դեղաբանության հետազոտության արդյունքները, քանի որ, բացի անհրաժեշտ սպիտակուցներից, կարող են առաջանալ նա</w:t>
      </w:r>
      <w:r w:rsidR="00C54D75">
        <w:rPr>
          <w:rFonts w:ascii="Sylfaen" w:hAnsi="Sylfaen"/>
          <w:sz w:val="24"/>
          <w:szCs w:val="24"/>
        </w:rPr>
        <w:t>և</w:t>
      </w:r>
      <w:r w:rsidRPr="00834D52">
        <w:rPr>
          <w:rFonts w:ascii="Sylfaen" w:hAnsi="Sylfaen"/>
          <w:sz w:val="24"/>
          <w:szCs w:val="24"/>
        </w:rPr>
        <w:t xml:space="preserve"> կենսաբանորեն ակտիվ մոլեկուլներ, կամ անհրաժեշտ սպիտակուցները կարող են ունենալ անցանկալի թիրախներ:</w:t>
      </w:r>
    </w:p>
    <w:p w14:paraId="5A765809"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w:t>
      </w:r>
    </w:p>
    <w:p w14:paraId="091C3F6B" w14:textId="77777777" w:rsidR="006F76EB" w:rsidRPr="00834D52" w:rsidRDefault="006F76EB" w:rsidP="007B5A4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Կլանման, բաշխման, նյութափոխանակության </w:t>
      </w:r>
      <w:r w:rsidR="00C54D75">
        <w:rPr>
          <w:rFonts w:ascii="Sylfaen" w:hAnsi="Sylfaen"/>
          <w:sz w:val="24"/>
          <w:szCs w:val="24"/>
        </w:rPr>
        <w:t>և</w:t>
      </w:r>
      <w:r w:rsidRPr="00834D52">
        <w:rPr>
          <w:rFonts w:ascii="Sylfaen" w:hAnsi="Sylfaen"/>
          <w:sz w:val="24"/>
          <w:szCs w:val="24"/>
        </w:rPr>
        <w:t xml:space="preserve"> արտաթորման ուսումնասիրության համար ստանդարտ </w:t>
      </w:r>
      <w:r w:rsidR="00355C33">
        <w:rPr>
          <w:rFonts w:ascii="Sylfaen" w:hAnsi="Sylfaen"/>
          <w:sz w:val="24"/>
          <w:szCs w:val="24"/>
        </w:rPr>
        <w:t>դեղա</w:t>
      </w:r>
      <w:r w:rsidRPr="00834D52">
        <w:rPr>
          <w:rFonts w:ascii="Sylfaen" w:hAnsi="Sylfaen"/>
          <w:sz w:val="24"/>
          <w:szCs w:val="24"/>
        </w:rPr>
        <w:t>կինետիկ հետազոտություններ չեն պահանջվում: Սակայն եթե գրանցման դոսյեում բացակայում է դիտարկվող դեղապատրաստուկի տեսակի վրա հիմնված պատշաճ հիմնավորումը, ապա անհրաժեշտ է ուսումնասիրել այնպիսի պարամետրեր, ինչպիսիք են կենսունակությունը, երկարատ</w:t>
      </w:r>
      <w:r w:rsidR="00C54D75">
        <w:rPr>
          <w:rFonts w:ascii="Sylfaen" w:hAnsi="Sylfaen"/>
          <w:sz w:val="24"/>
          <w:szCs w:val="24"/>
        </w:rPr>
        <w:t>և</w:t>
      </w:r>
      <w:r w:rsidRPr="00834D52">
        <w:rPr>
          <w:rFonts w:ascii="Sylfaen" w:hAnsi="Sylfaen"/>
          <w:sz w:val="24"/>
          <w:szCs w:val="24"/>
        </w:rPr>
        <w:t xml:space="preserve">ությունը, աճը, տարբերակումը (դիֆերենցումը) </w:t>
      </w:r>
      <w:r w:rsidR="00C54D75">
        <w:rPr>
          <w:rFonts w:ascii="Sylfaen" w:hAnsi="Sylfaen"/>
          <w:sz w:val="24"/>
          <w:szCs w:val="24"/>
        </w:rPr>
        <w:t>և</w:t>
      </w:r>
      <w:r w:rsidRPr="00834D52">
        <w:rPr>
          <w:rFonts w:ascii="Sylfaen" w:hAnsi="Sylfaen"/>
          <w:sz w:val="24"/>
          <w:szCs w:val="24"/>
        </w:rPr>
        <w:t xml:space="preserve"> միգրացիան:</w:t>
      </w:r>
    </w:p>
    <w:p w14:paraId="1BB99FCD" w14:textId="77777777" w:rsidR="006F76EB" w:rsidRPr="00834D52" w:rsidRDefault="006F76EB" w:rsidP="007B5A4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մշտական հիմունքով արտադրվող ակտիվ կենսամոլեկուլների առնչությամբ անհրաժեշտ է ուսումնասիրել այդպիսի մոլեկուլների բաշխումը,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էքսպրեսիայի ծավալը: </w:t>
      </w:r>
    </w:p>
    <w:p w14:paraId="3B342A3B"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17.4.3.3.</w:t>
      </w:r>
      <w:r w:rsidRPr="00834D52">
        <w:rPr>
          <w:rFonts w:ascii="Sylfaen" w:hAnsi="Sylfaen"/>
          <w:sz w:val="24"/>
          <w:szCs w:val="24"/>
        </w:rPr>
        <w:tab/>
        <w:t>Թունաբանություն.</w:t>
      </w:r>
    </w:p>
    <w:p w14:paraId="5B44DA18"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ուսումնասիրել պատրաստի դեղապատրաստուկի </w:t>
      </w:r>
      <w:r w:rsidRPr="00834D52">
        <w:rPr>
          <w:rFonts w:ascii="Sylfaen" w:hAnsi="Sylfaen"/>
          <w:sz w:val="24"/>
          <w:szCs w:val="24"/>
        </w:rPr>
        <w:lastRenderedPageBreak/>
        <w:t xml:space="preserve">թունավորությունը: Անհրաժեշտ է դիտարկել դեղագործական բաղադրամասի, օժանդակ նյութերի, լրացուցիչ նյութերի </w:t>
      </w:r>
      <w:r w:rsidR="00C54D75">
        <w:rPr>
          <w:rFonts w:ascii="Sylfaen" w:hAnsi="Sylfaen"/>
          <w:sz w:val="24"/>
          <w:szCs w:val="24"/>
        </w:rPr>
        <w:t>և</w:t>
      </w:r>
      <w:r w:rsidRPr="00834D52">
        <w:rPr>
          <w:rFonts w:ascii="Sylfaen" w:hAnsi="Sylfaen"/>
          <w:sz w:val="24"/>
          <w:szCs w:val="24"/>
        </w:rPr>
        <w:t xml:space="preserve"> բոլոր արտադրական խառնուկների առանձին ուսումնասիրելու հնարավորությունը:</w:t>
      </w:r>
    </w:p>
    <w:p w14:paraId="7B6FC18D"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Դիտարկումների տ</w:t>
      </w:r>
      <w:r w:rsidR="00C54D75">
        <w:rPr>
          <w:rFonts w:ascii="Sylfaen" w:hAnsi="Sylfaen"/>
          <w:sz w:val="24"/>
          <w:szCs w:val="24"/>
        </w:rPr>
        <w:t>և</w:t>
      </w:r>
      <w:r w:rsidRPr="00834D52">
        <w:rPr>
          <w:rFonts w:ascii="Sylfaen" w:hAnsi="Sylfaen"/>
          <w:sz w:val="24"/>
          <w:szCs w:val="24"/>
        </w:rPr>
        <w:t>ողությունը կարող է գերազանցել ստանդարտ թունաբանական հետազոտությունների ժամանակ դիտարկումների տ</w:t>
      </w:r>
      <w:r w:rsidR="00C54D75">
        <w:rPr>
          <w:rFonts w:ascii="Sylfaen" w:hAnsi="Sylfaen"/>
          <w:sz w:val="24"/>
          <w:szCs w:val="24"/>
        </w:rPr>
        <w:t>և</w:t>
      </w:r>
      <w:r w:rsidRPr="00834D52">
        <w:rPr>
          <w:rFonts w:ascii="Sylfaen" w:hAnsi="Sylfaen"/>
          <w:sz w:val="24"/>
          <w:szCs w:val="24"/>
        </w:rPr>
        <w:t>ողությանը, հետ</w:t>
      </w:r>
      <w:r w:rsidR="00C54D75">
        <w:rPr>
          <w:rFonts w:ascii="Sylfaen" w:hAnsi="Sylfaen"/>
          <w:sz w:val="24"/>
          <w:szCs w:val="24"/>
        </w:rPr>
        <w:t>և</w:t>
      </w:r>
      <w:r w:rsidRPr="00834D52">
        <w:rPr>
          <w:rFonts w:ascii="Sylfaen" w:hAnsi="Sylfaen"/>
          <w:sz w:val="24"/>
          <w:szCs w:val="24"/>
        </w:rPr>
        <w:t>աբար անհրաժեշտ է հաշվի առնել դեղապատրաստուկի ենթադրվող կենսական ցիկլը, ինչպես նա</w:t>
      </w:r>
      <w:r w:rsidR="00C54D75">
        <w:rPr>
          <w:rFonts w:ascii="Sylfaen" w:hAnsi="Sylfaen"/>
          <w:sz w:val="24"/>
          <w:szCs w:val="24"/>
        </w:rPr>
        <w:t>և</w:t>
      </w:r>
      <w:r w:rsidRPr="00834D52">
        <w:rPr>
          <w:rFonts w:ascii="Sylfaen" w:hAnsi="Sylfaen"/>
          <w:sz w:val="24"/>
          <w:szCs w:val="24"/>
        </w:rPr>
        <w:t xml:space="preserve"> դրա </w:t>
      </w:r>
      <w:r w:rsidR="00355C33">
        <w:rPr>
          <w:rFonts w:ascii="Sylfaen" w:hAnsi="Sylfaen"/>
          <w:sz w:val="24"/>
          <w:szCs w:val="24"/>
        </w:rPr>
        <w:t>դեղա</w:t>
      </w:r>
      <w:r w:rsidRPr="00834D52">
        <w:rPr>
          <w:rFonts w:ascii="Sylfaen" w:hAnsi="Sylfaen"/>
          <w:sz w:val="24"/>
          <w:szCs w:val="24"/>
        </w:rPr>
        <w:t xml:space="preserve">դինամիկ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հատկությունները: Անհրաժեշտ է ներկայացնել հետազոտությունների տ</w:t>
      </w:r>
      <w:r w:rsidR="00C54D75">
        <w:rPr>
          <w:rFonts w:ascii="Sylfaen" w:hAnsi="Sylfaen"/>
          <w:sz w:val="24"/>
          <w:szCs w:val="24"/>
        </w:rPr>
        <w:t>և</w:t>
      </w:r>
      <w:r w:rsidRPr="00834D52">
        <w:rPr>
          <w:rFonts w:ascii="Sylfaen" w:hAnsi="Sylfaen"/>
          <w:sz w:val="24"/>
          <w:szCs w:val="24"/>
        </w:rPr>
        <w:t>ողության հիմնավորումը:</w:t>
      </w:r>
    </w:p>
    <w:p w14:paraId="09614193"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Քաղցկեղածնության </w:t>
      </w:r>
      <w:r w:rsidR="00C54D75">
        <w:rPr>
          <w:rFonts w:ascii="Sylfaen" w:hAnsi="Sylfaen"/>
          <w:sz w:val="24"/>
          <w:szCs w:val="24"/>
        </w:rPr>
        <w:t>և</w:t>
      </w:r>
      <w:r w:rsidRPr="00834D52">
        <w:rPr>
          <w:rFonts w:ascii="Sylfaen" w:hAnsi="Sylfaen"/>
          <w:sz w:val="24"/>
          <w:szCs w:val="24"/>
        </w:rPr>
        <w:t xml:space="preserve"> գենոտոքսիկության ստանդարտ հետազոտություններ չեն պահանջվում՝ բացառությամբ պատրաստի դեղապատրաստուկի ուռուցքածին պոտենցիալի:</w:t>
      </w:r>
    </w:p>
    <w:p w14:paraId="731D67E9"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ուսումնասիրել իմունոգեն </w:t>
      </w:r>
      <w:r w:rsidR="00C54D75">
        <w:rPr>
          <w:rFonts w:ascii="Sylfaen" w:hAnsi="Sylfaen"/>
          <w:sz w:val="24"/>
          <w:szCs w:val="24"/>
        </w:rPr>
        <w:t>և</w:t>
      </w:r>
      <w:r w:rsidRPr="00834D52">
        <w:rPr>
          <w:rFonts w:ascii="Sylfaen" w:hAnsi="Sylfaen"/>
          <w:sz w:val="24"/>
          <w:szCs w:val="24"/>
        </w:rPr>
        <w:t xml:space="preserve"> իմունոտոքսիկ պոտենցիալը:</w:t>
      </w:r>
    </w:p>
    <w:p w14:paraId="4A2848BC"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Կենդանիների բջիջներ պարունակող բջջային դեղապատրաստուկների առնչությամբ անհրաժեշտ է ուսումնասիրել դրանցով պայմանավորված անվտանգության հարցերը, օրինակ՝ մարդուն քսենոգենային ախտածինների փոխանցման ռիսկը:</w:t>
      </w:r>
    </w:p>
    <w:p w14:paraId="067B2E24"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17.5.</w:t>
      </w:r>
      <w:r w:rsidRPr="00834D52">
        <w:rPr>
          <w:rFonts w:ascii="Sylfaen" w:hAnsi="Sylfaen"/>
          <w:sz w:val="24"/>
          <w:szCs w:val="24"/>
        </w:rPr>
        <w:tab/>
        <w:t>Գրանցման դոսյեի 5-րդ մոդուլին ներկայացվող հատուկ պահանջները.</w:t>
      </w:r>
    </w:p>
    <w:p w14:paraId="3EA5C663"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17.5.1.</w:t>
      </w:r>
      <w:r w:rsidRPr="00834D52">
        <w:rPr>
          <w:rFonts w:ascii="Sylfaen" w:hAnsi="Sylfaen"/>
          <w:sz w:val="24"/>
          <w:szCs w:val="24"/>
        </w:rPr>
        <w:tab/>
        <w:t>Բարձր տեխնոլոգիական դեղապատրաստուկներին ներկայացվող հատուկ պահանջները.</w:t>
      </w:r>
    </w:p>
    <w:p w14:paraId="78B89D5A" w14:textId="77777777" w:rsidR="006F76EB" w:rsidRPr="00834D52" w:rsidRDefault="006F76EB" w:rsidP="007B5A4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17.5.1.1.</w:t>
      </w:r>
      <w:r w:rsidRPr="00834D52">
        <w:rPr>
          <w:rFonts w:ascii="Sylfaen" w:hAnsi="Sylfaen"/>
          <w:sz w:val="24"/>
          <w:szCs w:val="24"/>
        </w:rPr>
        <w:tab/>
        <w:t>Սույն բաժնի հատուկ պահանջները լրացնում են սույն հավելվածի I</w:t>
      </w:r>
      <w:r w:rsidR="00864219" w:rsidRPr="00864219">
        <w:rPr>
          <w:rFonts w:ascii="Sylfaen" w:hAnsi="Sylfaen"/>
          <w:sz w:val="24"/>
          <w:szCs w:val="24"/>
        </w:rPr>
        <w:t> </w:t>
      </w:r>
      <w:r w:rsidRPr="00834D52">
        <w:rPr>
          <w:rFonts w:ascii="Sylfaen" w:hAnsi="Sylfaen"/>
          <w:sz w:val="24"/>
          <w:szCs w:val="24"/>
        </w:rPr>
        <w:t>մասի 5-րդ բաժնի գրանցման դոսյեի 5-րդ մոդուլին ներկայացվող պահանջները:</w:t>
      </w:r>
    </w:p>
    <w:p w14:paraId="5D797A48" w14:textId="77777777" w:rsidR="006F76EB" w:rsidRPr="00834D52" w:rsidRDefault="006F76EB" w:rsidP="0086421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17.5.1.2.</w:t>
      </w:r>
      <w:r w:rsidRPr="00834D52">
        <w:rPr>
          <w:rFonts w:ascii="Sylfaen" w:hAnsi="Sylfaen"/>
          <w:sz w:val="24"/>
          <w:szCs w:val="24"/>
        </w:rPr>
        <w:tab/>
        <w:t xml:space="preserve">Եթե բարձր տեխնոլոգիական դեղապատրաստուկների կլինիկական կիրառման համար անհրաժեշտ է օժանդակ հատուկ թերապիա կամ </w:t>
      </w:r>
      <w:r w:rsidRPr="00834D52">
        <w:rPr>
          <w:rFonts w:ascii="Sylfaen" w:hAnsi="Sylfaen"/>
          <w:sz w:val="24"/>
          <w:szCs w:val="24"/>
        </w:rPr>
        <w:lastRenderedPageBreak/>
        <w:t>վիրաբուժական պրոցեդուրաներ, ապա թերապ</w:t>
      </w:r>
      <w:r w:rsidR="00C54D75">
        <w:rPr>
          <w:rFonts w:ascii="Sylfaen" w:hAnsi="Sylfaen"/>
          <w:sz w:val="24"/>
          <w:szCs w:val="24"/>
        </w:rPr>
        <w:t>և</w:t>
      </w:r>
      <w:r w:rsidRPr="00834D52">
        <w:rPr>
          <w:rFonts w:ascii="Sylfaen" w:hAnsi="Sylfaen"/>
          <w:sz w:val="24"/>
          <w:szCs w:val="24"/>
        </w:rPr>
        <w:t xml:space="preserve">տիկ միջոցառումների ողջ համալիրն անհրաժեշտ է ուսումնասիրել որպես ամբողջություն: Կլինիկական մշակման ընթացքում անհրաժեշտ է ներկայացնել այդպիսի պրոցեդուրաների ստանդարտացման </w:t>
      </w:r>
      <w:r w:rsidR="00C54D75">
        <w:rPr>
          <w:rFonts w:ascii="Sylfaen" w:hAnsi="Sylfaen"/>
          <w:sz w:val="24"/>
          <w:szCs w:val="24"/>
        </w:rPr>
        <w:t>և</w:t>
      </w:r>
      <w:r w:rsidRPr="00834D52">
        <w:rPr>
          <w:rFonts w:ascii="Sylfaen" w:hAnsi="Sylfaen"/>
          <w:sz w:val="24"/>
          <w:szCs w:val="24"/>
        </w:rPr>
        <w:t xml:space="preserve"> օպտիմալացման վերաբերյալ տեղեկություններ:</w:t>
      </w:r>
    </w:p>
    <w:p w14:paraId="18550E46" w14:textId="77777777" w:rsidR="006F76EB" w:rsidRPr="00834D52" w:rsidRDefault="006F76EB" w:rsidP="0086421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վիրաբուժական պրոցեդուրայի ընթացքում բարձր տեխնոլոգիական դեղապատրաստուկի կիրառման, իմպլանտացիայի կամ ներմուծման համար օգտագործվող բժշկական արտադրատեսակները կարող են ազդեցություն ունենալ այդ 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վրա, ապա անհրաժեշտ է ներկայացնել այդպիսի արտադրատեսակների վերաբերյալ տեղեկություններ:</w:t>
      </w:r>
    </w:p>
    <w:p w14:paraId="12115F69" w14:textId="77777777" w:rsidR="006F76EB" w:rsidRPr="00834D52" w:rsidRDefault="006F76EB" w:rsidP="0086421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նախատեսել կիրառման, իմպլանտացիայի, ներմուծման </w:t>
      </w:r>
      <w:r w:rsidR="00C54D75">
        <w:rPr>
          <w:rFonts w:ascii="Sylfaen" w:hAnsi="Sylfaen"/>
          <w:sz w:val="24"/>
          <w:szCs w:val="24"/>
        </w:rPr>
        <w:t>և</w:t>
      </w:r>
      <w:r w:rsidRPr="00834D52">
        <w:rPr>
          <w:rFonts w:ascii="Sylfaen" w:hAnsi="Sylfaen"/>
          <w:sz w:val="24"/>
          <w:szCs w:val="24"/>
        </w:rPr>
        <w:t xml:space="preserve"> հետագա դիտարկման համար անցկացվող գնահատմանն ուղղված առանձին վերլուծություն: Անհրաժեշտության դեպքում հարկավոր է ներկայացնել բուժաշխատողների՝ օգտագործման, կիրառման, իմպլանտացիայի </w:t>
      </w:r>
      <w:r w:rsidR="00C54D75">
        <w:rPr>
          <w:rFonts w:ascii="Sylfaen" w:hAnsi="Sylfaen"/>
          <w:sz w:val="24"/>
          <w:szCs w:val="24"/>
        </w:rPr>
        <w:t>և</w:t>
      </w:r>
      <w:r w:rsidRPr="00834D52">
        <w:rPr>
          <w:rFonts w:ascii="Sylfaen" w:hAnsi="Sylfaen"/>
          <w:sz w:val="24"/>
          <w:szCs w:val="24"/>
        </w:rPr>
        <w:t xml:space="preserve"> ներմուծման ընթացակարգերի ուսուցման պլան:</w:t>
      </w:r>
    </w:p>
    <w:p w14:paraId="3F85F9AA" w14:textId="77777777" w:rsidR="006F76EB" w:rsidRPr="00834D52" w:rsidRDefault="006F76EB" w:rsidP="0086421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17.5.1.3.</w:t>
      </w:r>
      <w:r w:rsidRPr="00834D52">
        <w:rPr>
          <w:rFonts w:ascii="Sylfaen" w:hAnsi="Sylfaen"/>
          <w:sz w:val="24"/>
          <w:szCs w:val="24"/>
        </w:rPr>
        <w:tab/>
        <w:t>Հաշվի առնելով, որ կլինիկական մշակման ընթացքում բարձր տեխնոլոգիական դեղապատրաստուկների արտադրության պրոցեսը կարող է ենթարկվել փոփոխությունների, կարող են պահանջվել համադրելիությունը հաստատող լրացուցիչ հետազոտություններ:</w:t>
      </w:r>
    </w:p>
    <w:p w14:paraId="11C7C348" w14:textId="77777777" w:rsidR="006F76EB" w:rsidRPr="00834D52" w:rsidRDefault="006F76EB" w:rsidP="0086421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17.5.1.4.</w:t>
      </w:r>
      <w:r w:rsidRPr="00834D52">
        <w:rPr>
          <w:rFonts w:ascii="Sylfaen" w:hAnsi="Sylfaen"/>
          <w:sz w:val="24"/>
          <w:szCs w:val="24"/>
        </w:rPr>
        <w:tab/>
        <w:t xml:space="preserve">Կլինիկական մշակման ընթացքում անհրաժեշտ է ուսումնասիրել պոտենցիալ վարակիչ ագենտներով կամ կենդանի աղբյուրներից ստացված նյութերի օգտագործմամբ պայմանավորված ռիսկերը </w:t>
      </w:r>
      <w:r w:rsidR="00C54D75">
        <w:rPr>
          <w:rFonts w:ascii="Sylfaen" w:hAnsi="Sylfaen"/>
          <w:sz w:val="24"/>
          <w:szCs w:val="24"/>
        </w:rPr>
        <w:t>և</w:t>
      </w:r>
      <w:r w:rsidRPr="00834D52">
        <w:rPr>
          <w:rFonts w:ascii="Sylfaen" w:hAnsi="Sylfaen"/>
          <w:sz w:val="24"/>
          <w:szCs w:val="24"/>
        </w:rPr>
        <w:t xml:space="preserve"> նկարագրել այդ ռիսկերի նվազեցմանն ուղղված միջոցները:</w:t>
      </w:r>
    </w:p>
    <w:p w14:paraId="379B5070"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17.5.1.5.</w:t>
      </w:r>
      <w:r w:rsidRPr="00834D52">
        <w:rPr>
          <w:rFonts w:ascii="Sylfaen" w:hAnsi="Sylfaen"/>
          <w:sz w:val="24"/>
          <w:szCs w:val="24"/>
        </w:rPr>
        <w:tab/>
        <w:t>Դեղաչափի ընտրության մասով հետազոտությունների օգնությամբ անհրաժեշտ է որոշել դեղաչափերն ու դոզավորման ռեժիմը:</w:t>
      </w:r>
    </w:p>
    <w:p w14:paraId="5C69A3C4" w14:textId="2D403228"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17.5.1.6.</w:t>
      </w:r>
      <w:r w:rsidRPr="00834D52">
        <w:rPr>
          <w:rFonts w:ascii="Sylfaen" w:hAnsi="Sylfaen"/>
          <w:sz w:val="24"/>
          <w:szCs w:val="24"/>
        </w:rPr>
        <w:tab/>
        <w:t xml:space="preserve">Ըստ </w:t>
      </w:r>
      <w:r w:rsidR="001A5F1A">
        <w:rPr>
          <w:rFonts w:ascii="Sylfaen" w:hAnsi="Sylfaen"/>
          <w:sz w:val="24"/>
          <w:szCs w:val="24"/>
        </w:rPr>
        <w:t>հայտագրված</w:t>
      </w:r>
      <w:r w:rsidRPr="00834D52">
        <w:rPr>
          <w:rFonts w:ascii="Sylfaen" w:hAnsi="Sylfaen"/>
          <w:sz w:val="24"/>
          <w:szCs w:val="24"/>
        </w:rPr>
        <w:t xml:space="preserve"> ցուցումների՝ արդյունավետությունն անհրաժեշտ է հաստատել այնպիսի կլինիկական հետազոտությունների համապատասխան արդյունքներով, որոնցում օգտագործվել են ենթադրվող </w:t>
      </w:r>
      <w:r w:rsidRPr="00834D52">
        <w:rPr>
          <w:rFonts w:ascii="Sylfaen" w:hAnsi="Sylfaen"/>
          <w:sz w:val="24"/>
          <w:szCs w:val="24"/>
        </w:rPr>
        <w:lastRenderedPageBreak/>
        <w:t>կիրառման համար կլինիկորեն նշանակալի վերջնակետերը: Որոշակի կլինիկական վիճակներում կարող է պահանջվել երկարաժամկետ արդյունավետության հաստատում: Անհրաժեշտ է ներկայացնել երկարաժամկետ արդյունավետության գնահատման ռազմավարությունը:</w:t>
      </w:r>
    </w:p>
    <w:p w14:paraId="5BBC7031"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17.5.1.7.</w:t>
      </w:r>
      <w:r w:rsidRPr="00834D52">
        <w:rPr>
          <w:rFonts w:ascii="Sylfaen" w:hAnsi="Sylfaen"/>
          <w:sz w:val="24"/>
          <w:szCs w:val="24"/>
        </w:rPr>
        <w:tab/>
        <w:t xml:space="preserve">Ռիսկերի կառավարման պլանում անհրաժեշտ է նախատեսել անվտանգության </w:t>
      </w:r>
      <w:r w:rsidR="00C54D75">
        <w:rPr>
          <w:rFonts w:ascii="Sylfaen" w:hAnsi="Sylfaen"/>
          <w:sz w:val="24"/>
          <w:szCs w:val="24"/>
        </w:rPr>
        <w:t>և</w:t>
      </w:r>
      <w:r w:rsidRPr="00834D52">
        <w:rPr>
          <w:rFonts w:ascii="Sylfaen" w:hAnsi="Sylfaen"/>
          <w:sz w:val="24"/>
          <w:szCs w:val="24"/>
        </w:rPr>
        <w:t xml:space="preserve"> արդյունավետության երկարաժամկետ դիտարկման ռազմավարությունը:</w:t>
      </w:r>
    </w:p>
    <w:p w14:paraId="6728E768"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17.5.1.8.</w:t>
      </w:r>
      <w:r w:rsidRPr="00834D52">
        <w:rPr>
          <w:rFonts w:ascii="Sylfaen" w:hAnsi="Sylfaen"/>
          <w:sz w:val="24"/>
          <w:szCs w:val="24"/>
        </w:rPr>
        <w:tab/>
        <w:t xml:space="preserve">Առաջատար թերապիայի համար համակցված դեղապատրաստուկների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հետազոտություններն անհրաժեշտ է պլանավորել </w:t>
      </w:r>
      <w:r w:rsidR="00C54D75">
        <w:rPr>
          <w:rFonts w:ascii="Sylfaen" w:hAnsi="Sylfaen"/>
          <w:sz w:val="24"/>
          <w:szCs w:val="24"/>
        </w:rPr>
        <w:t>և</w:t>
      </w:r>
      <w:r w:rsidRPr="00834D52">
        <w:rPr>
          <w:rFonts w:ascii="Sylfaen" w:hAnsi="Sylfaen"/>
          <w:sz w:val="24"/>
          <w:szCs w:val="24"/>
        </w:rPr>
        <w:t xml:space="preserve"> անցկացնել ամբողջ համակցված պատրաստուկի վրա: </w:t>
      </w:r>
    </w:p>
    <w:p w14:paraId="2742784B"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դեղամիջոցներին ներկայացվող հատուկ պահանջները.</w:t>
      </w:r>
    </w:p>
    <w:p w14:paraId="3C0DA439"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17.5.2.1.</w:t>
      </w:r>
      <w:r w:rsidRPr="00834D52">
        <w:rPr>
          <w:rFonts w:ascii="Sylfaen" w:hAnsi="Sylfaen"/>
          <w:sz w:val="24"/>
          <w:szCs w:val="24"/>
        </w:rPr>
        <w:tab/>
        <w:t xml:space="preserve">Մարդու մոտ </w:t>
      </w:r>
      <w:r w:rsidR="00355C33">
        <w:rPr>
          <w:rFonts w:ascii="Sylfaen" w:hAnsi="Sylfaen"/>
          <w:sz w:val="24"/>
          <w:szCs w:val="24"/>
        </w:rPr>
        <w:t>դեղա</w:t>
      </w:r>
      <w:r w:rsidRPr="00834D52">
        <w:rPr>
          <w:rFonts w:ascii="Sylfaen" w:hAnsi="Sylfaen"/>
          <w:sz w:val="24"/>
          <w:szCs w:val="24"/>
        </w:rPr>
        <w:t>կինետիկ հետազոտությունները.</w:t>
      </w:r>
    </w:p>
    <w:p w14:paraId="7261E36A" w14:textId="77777777" w:rsidR="006F76EB" w:rsidRPr="00834D52" w:rsidRDefault="006F76EB" w:rsidP="003A0A7B">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մոտ </w:t>
      </w:r>
      <w:r w:rsidR="00355C33">
        <w:rPr>
          <w:rFonts w:ascii="Sylfaen" w:hAnsi="Sylfaen"/>
          <w:sz w:val="24"/>
          <w:szCs w:val="24"/>
        </w:rPr>
        <w:t>դեղա</w:t>
      </w:r>
      <w:r w:rsidRPr="00834D52">
        <w:rPr>
          <w:rFonts w:ascii="Sylfaen" w:hAnsi="Sylfaen"/>
          <w:sz w:val="24"/>
          <w:szCs w:val="24"/>
        </w:rPr>
        <w:t>կինետիկ հետազոտությունների ժամանակ անհրաժեշտ է հաշվի առնել հետ</w:t>
      </w:r>
      <w:r w:rsidR="00C54D75">
        <w:rPr>
          <w:rFonts w:ascii="Sylfaen" w:hAnsi="Sylfaen"/>
          <w:sz w:val="24"/>
          <w:szCs w:val="24"/>
        </w:rPr>
        <w:t>և</w:t>
      </w:r>
      <w:r w:rsidRPr="00834D52">
        <w:rPr>
          <w:rFonts w:ascii="Sylfaen" w:hAnsi="Sylfaen"/>
          <w:sz w:val="24"/>
          <w:szCs w:val="24"/>
        </w:rPr>
        <w:t>յալը.</w:t>
      </w:r>
    </w:p>
    <w:p w14:paraId="305E4901" w14:textId="77777777" w:rsidR="006F76EB" w:rsidRPr="00834D52" w:rsidRDefault="006F76EB" w:rsidP="003A0A7B">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դեղապատրաստուկների արտաթորման ուսումնասիրությանն ուղղված վիրուսների դուրսբերման հետազոտությունները (shedding studies).</w:t>
      </w:r>
    </w:p>
    <w:p w14:paraId="2C2369A1" w14:textId="77777777" w:rsidR="006F76EB" w:rsidRPr="00834D52"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կենսաբաշխման հետազոտությունները.</w:t>
      </w:r>
    </w:p>
    <w:p w14:paraId="65981D27" w14:textId="77777777" w:rsidR="006F76EB" w:rsidRPr="007F5A60"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դեղապատրատուկի </w:t>
      </w:r>
      <w:r w:rsidR="00C54D75">
        <w:rPr>
          <w:rFonts w:ascii="Sylfaen" w:hAnsi="Sylfaen"/>
          <w:sz w:val="24"/>
          <w:szCs w:val="24"/>
        </w:rPr>
        <w:t>և</w:t>
      </w:r>
      <w:r w:rsidRPr="00834D52">
        <w:rPr>
          <w:rFonts w:ascii="Sylfaen" w:hAnsi="Sylfaen"/>
          <w:sz w:val="24"/>
          <w:szCs w:val="24"/>
        </w:rPr>
        <w:t xml:space="preserve"> գենի էքսպրեսիայի արգասիքների (օրինակ՝ էքսպրեսված սպիտակուցների կամ գենոմային սիգնատուրաների) </w:t>
      </w:r>
      <w:r w:rsidR="00355C33">
        <w:rPr>
          <w:rFonts w:ascii="Sylfaen" w:hAnsi="Sylfaen"/>
          <w:sz w:val="24"/>
          <w:szCs w:val="24"/>
        </w:rPr>
        <w:t>դեղա</w:t>
      </w:r>
      <w:r w:rsidRPr="00834D52">
        <w:rPr>
          <w:rFonts w:ascii="Sylfaen" w:hAnsi="Sylfaen"/>
          <w:sz w:val="24"/>
          <w:szCs w:val="24"/>
        </w:rPr>
        <w:t>կինետիկ հետազոտությունները:</w:t>
      </w:r>
    </w:p>
    <w:p w14:paraId="17A34EF1" w14:textId="77777777" w:rsidR="006F76EB" w:rsidRPr="00834D52" w:rsidRDefault="006F76EB" w:rsidP="003A0A7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17.5.2.2.</w:t>
      </w:r>
      <w:r w:rsidRPr="00834D52">
        <w:rPr>
          <w:rFonts w:ascii="Sylfaen" w:hAnsi="Sylfaen"/>
          <w:sz w:val="24"/>
          <w:szCs w:val="24"/>
        </w:rPr>
        <w:tab/>
        <w:t xml:space="preserve">Մարդու մոտ </w:t>
      </w:r>
      <w:r w:rsidR="00355C33">
        <w:rPr>
          <w:rFonts w:ascii="Sylfaen" w:hAnsi="Sylfaen"/>
          <w:sz w:val="24"/>
          <w:szCs w:val="24"/>
        </w:rPr>
        <w:t>դեղա</w:t>
      </w:r>
      <w:r w:rsidRPr="00834D52">
        <w:rPr>
          <w:rFonts w:ascii="Sylfaen" w:hAnsi="Sylfaen"/>
          <w:sz w:val="24"/>
          <w:szCs w:val="24"/>
        </w:rPr>
        <w:t>դինամիկ հետազոտությունները.</w:t>
      </w:r>
    </w:p>
    <w:p w14:paraId="6F182AFF" w14:textId="77777777" w:rsidR="006F76EB" w:rsidRPr="00834D52" w:rsidRDefault="00355C33" w:rsidP="003A0A7B">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դինամիկ հետազոտությունների ժամանակ անհրաժեշտ է ուսումնասիրել գենոթերապ</w:t>
      </w:r>
      <w:r w:rsidR="00C54D75">
        <w:rPr>
          <w:rFonts w:ascii="Sylfaen" w:hAnsi="Sylfaen"/>
          <w:sz w:val="24"/>
          <w:szCs w:val="24"/>
        </w:rPr>
        <w:t>և</w:t>
      </w:r>
      <w:r w:rsidR="006F76EB" w:rsidRPr="00834D52">
        <w:rPr>
          <w:rFonts w:ascii="Sylfaen" w:hAnsi="Sylfaen"/>
          <w:sz w:val="24"/>
          <w:szCs w:val="24"/>
        </w:rPr>
        <w:t>տիկ դեղապատրաստուկների ներմուծումից հետո նուկլեինաթթվի հաջորդականության էքսպրեսիան ու ֆունկցիաները:</w:t>
      </w:r>
    </w:p>
    <w:p w14:paraId="0D36625D" w14:textId="77777777" w:rsidR="006F76EB" w:rsidRPr="00834D52" w:rsidRDefault="006F76EB" w:rsidP="003A0A7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17.5.2.3.</w:t>
      </w:r>
      <w:r w:rsidRPr="00834D52">
        <w:rPr>
          <w:rFonts w:ascii="Sylfaen" w:hAnsi="Sylfaen"/>
          <w:sz w:val="24"/>
          <w:szCs w:val="24"/>
        </w:rPr>
        <w:tab/>
        <w:t>Անվտանգության հետազոտությունները.</w:t>
      </w:r>
    </w:p>
    <w:p w14:paraId="7A6848A6"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Անվտանգության հետազոտությունների ժամանակ անհրաժեշտ է հաշվի առնել հետ</w:t>
      </w:r>
      <w:r w:rsidR="00C54D75">
        <w:rPr>
          <w:rFonts w:ascii="Sylfaen" w:hAnsi="Sylfaen"/>
          <w:sz w:val="24"/>
          <w:szCs w:val="24"/>
        </w:rPr>
        <w:t>և</w:t>
      </w:r>
      <w:r w:rsidRPr="00834D52">
        <w:rPr>
          <w:rFonts w:ascii="Sylfaen" w:hAnsi="Sylfaen"/>
          <w:sz w:val="24"/>
          <w:szCs w:val="24"/>
        </w:rPr>
        <w:t>յալը.</w:t>
      </w:r>
    </w:p>
    <w:p w14:paraId="0DB7F15C"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ռեպլիկացիայի ունակ վեկտորների առաջացումը. </w:t>
      </w:r>
    </w:p>
    <w:p w14:paraId="64B2FD02"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նոր շտամների առաջացումը.</w:t>
      </w:r>
    </w:p>
    <w:p w14:paraId="41A12479"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գոյություն ունեցող գենոմային հաջորդականությունների վերատեսակավորումը.</w:t>
      </w:r>
    </w:p>
    <w:p w14:paraId="5E00FB44"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ներդրված (ինսերցիոն) մուտագենեզի հետ</w:t>
      </w:r>
      <w:r w:rsidR="00C54D75">
        <w:rPr>
          <w:rFonts w:ascii="Sylfaen" w:hAnsi="Sylfaen"/>
          <w:sz w:val="24"/>
          <w:szCs w:val="24"/>
        </w:rPr>
        <w:t>և</w:t>
      </w:r>
      <w:r w:rsidRPr="00834D52">
        <w:rPr>
          <w:rFonts w:ascii="Sylfaen" w:hAnsi="Sylfaen"/>
          <w:sz w:val="24"/>
          <w:szCs w:val="24"/>
        </w:rPr>
        <w:t>անքով ուռուցքային բջիջների բազմացումը (պրոլիֆերացիան):</w:t>
      </w:r>
    </w:p>
    <w:p w14:paraId="66B43A37" w14:textId="77777777" w:rsidR="006F76EB" w:rsidRPr="00834D52" w:rsidRDefault="006F76EB" w:rsidP="003A0A7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17.5.3.</w:t>
      </w:r>
      <w:r w:rsidRPr="00834D52">
        <w:rPr>
          <w:rFonts w:ascii="Sylfaen" w:hAnsi="Sylfaen"/>
          <w:sz w:val="24"/>
          <w:szCs w:val="24"/>
        </w:rPr>
        <w:tab/>
        <w:t>Սոմատիկ բջիջների հիմքով դեղապատրաստուկներին ներկայացվող հատուկ պահանջները.</w:t>
      </w:r>
    </w:p>
    <w:p w14:paraId="2B2A3A01" w14:textId="77777777" w:rsidR="006F76EB" w:rsidRPr="00834D52" w:rsidRDefault="006F76EB" w:rsidP="003A0A7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17.5.3.1.</w:t>
      </w:r>
      <w:r w:rsidRPr="00834D52">
        <w:rPr>
          <w:rFonts w:ascii="Sylfaen" w:hAnsi="Sylfaen"/>
          <w:sz w:val="24"/>
          <w:szCs w:val="24"/>
        </w:rPr>
        <w:tab/>
        <w:t>Սոմատիկ բջիջների հիմքով դեղապատրաստուկներ, որոնց ազդեցության մեխանիզմը հիմնված է որոշակի կենսաբանական ակտիվ մոլեկուլների մշակման վրա:</w:t>
      </w:r>
    </w:p>
    <w:p w14:paraId="0E001308" w14:textId="77777777" w:rsidR="006F76EB" w:rsidRPr="00834D52"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սոմատոթերապ</w:t>
      </w:r>
      <w:r w:rsidR="00C54D75">
        <w:rPr>
          <w:rFonts w:ascii="Sylfaen" w:hAnsi="Sylfaen"/>
          <w:sz w:val="24"/>
          <w:szCs w:val="24"/>
        </w:rPr>
        <w:t>և</w:t>
      </w:r>
      <w:r w:rsidRPr="00834D52">
        <w:rPr>
          <w:rFonts w:ascii="Sylfaen" w:hAnsi="Sylfaen"/>
          <w:sz w:val="24"/>
          <w:szCs w:val="24"/>
        </w:rPr>
        <w:t>տիկ դեղապատրաստուկների ազդեցության մեխանիզմ</w:t>
      </w:r>
      <w:r w:rsidR="001B2B66" w:rsidRPr="001B2B66">
        <w:rPr>
          <w:rFonts w:ascii="Sylfaen" w:hAnsi="Sylfaen"/>
          <w:sz w:val="24"/>
          <w:szCs w:val="24"/>
        </w:rPr>
        <w:t> </w:t>
      </w:r>
      <w:r w:rsidRPr="00834D52">
        <w:rPr>
          <w:rFonts w:ascii="Sylfaen" w:hAnsi="Sylfaen"/>
          <w:sz w:val="24"/>
          <w:szCs w:val="24"/>
        </w:rPr>
        <w:t xml:space="preserve">է հանդիսանում որոշակի ակտիվ կենսամոլեկուլների արտադրանքը, ապա անհրաժեշտ է հնարավորության դեպքում նկարագրել այդպիսի մոլեկուլների </w:t>
      </w:r>
      <w:r w:rsidR="00355C33">
        <w:rPr>
          <w:rFonts w:ascii="Sylfaen" w:hAnsi="Sylfaen"/>
          <w:sz w:val="24"/>
          <w:szCs w:val="24"/>
        </w:rPr>
        <w:t>դեղա</w:t>
      </w:r>
      <w:r w:rsidRPr="00834D52">
        <w:rPr>
          <w:rFonts w:ascii="Sylfaen" w:hAnsi="Sylfaen"/>
          <w:sz w:val="24"/>
          <w:szCs w:val="24"/>
        </w:rPr>
        <w:t>կինետիկ հատկությունները (մասնավորապես՝ բաշխումը,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էքսպրեսիայի ծավալը):</w:t>
      </w:r>
    </w:p>
    <w:p w14:paraId="33E6C524" w14:textId="77777777" w:rsidR="006F76EB" w:rsidRPr="00834D52" w:rsidRDefault="006F76EB" w:rsidP="000C5CD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17.5.3.2.</w:t>
      </w:r>
      <w:r w:rsidRPr="00834D52">
        <w:rPr>
          <w:rFonts w:ascii="Sylfaen" w:hAnsi="Sylfaen"/>
          <w:sz w:val="24"/>
          <w:szCs w:val="24"/>
        </w:rPr>
        <w:tab/>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բաղադրիչների կենսաբանական բաշխումը, պերսիստենցիան </w:t>
      </w:r>
      <w:r w:rsidR="00C54D75">
        <w:rPr>
          <w:rFonts w:ascii="Sylfaen" w:hAnsi="Sylfaen"/>
          <w:sz w:val="24"/>
          <w:szCs w:val="24"/>
        </w:rPr>
        <w:t>և</w:t>
      </w:r>
      <w:r w:rsidRPr="00834D52">
        <w:rPr>
          <w:rFonts w:ascii="Sylfaen" w:hAnsi="Sylfaen"/>
          <w:sz w:val="24"/>
          <w:szCs w:val="24"/>
        </w:rPr>
        <w:t xml:space="preserve"> երկարատ</w:t>
      </w:r>
      <w:r w:rsidR="00C54D75">
        <w:rPr>
          <w:rFonts w:ascii="Sylfaen" w:hAnsi="Sylfaen"/>
          <w:sz w:val="24"/>
          <w:szCs w:val="24"/>
        </w:rPr>
        <w:t>և</w:t>
      </w:r>
      <w:r w:rsidRPr="00834D52">
        <w:rPr>
          <w:rFonts w:ascii="Sylfaen" w:hAnsi="Sylfaen"/>
          <w:sz w:val="24"/>
          <w:szCs w:val="24"/>
        </w:rPr>
        <w:t xml:space="preserve"> աճակցումը.</w:t>
      </w:r>
    </w:p>
    <w:p w14:paraId="3725C880"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մշակման ընթացքում անհրաժեշտ է ուսումնասիրել սոմատո-թերապ</w:t>
      </w:r>
      <w:r w:rsidR="00C54D75">
        <w:rPr>
          <w:rFonts w:ascii="Sylfaen" w:hAnsi="Sylfaen"/>
          <w:sz w:val="24"/>
          <w:szCs w:val="24"/>
        </w:rPr>
        <w:t>և</w:t>
      </w:r>
      <w:r w:rsidRPr="00834D52">
        <w:rPr>
          <w:rFonts w:ascii="Sylfaen" w:hAnsi="Sylfaen"/>
          <w:sz w:val="24"/>
          <w:szCs w:val="24"/>
        </w:rPr>
        <w:t xml:space="preserve">տիկ դեղապատրաստուկի բաղադրիչների կենսաբաշխումը, պերսիստենցիան </w:t>
      </w:r>
      <w:r w:rsidR="00C54D75">
        <w:rPr>
          <w:rFonts w:ascii="Sylfaen" w:hAnsi="Sylfaen"/>
          <w:sz w:val="24"/>
          <w:szCs w:val="24"/>
        </w:rPr>
        <w:t>և</w:t>
      </w:r>
      <w:r w:rsidRPr="00834D52">
        <w:rPr>
          <w:rFonts w:ascii="Sylfaen" w:hAnsi="Sylfaen"/>
          <w:sz w:val="24"/>
          <w:szCs w:val="24"/>
        </w:rPr>
        <w:t xml:space="preserve"> երկարաժամկետ աճակցումը:</w:t>
      </w:r>
    </w:p>
    <w:p w14:paraId="3F89A8D9" w14:textId="77777777" w:rsidR="006F76EB" w:rsidRPr="00834D52" w:rsidRDefault="006F76EB" w:rsidP="000C5CD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17.5.3.3.</w:t>
      </w:r>
      <w:r w:rsidRPr="00834D52">
        <w:rPr>
          <w:rFonts w:ascii="Sylfaen" w:hAnsi="Sylfaen"/>
          <w:sz w:val="24"/>
          <w:szCs w:val="24"/>
        </w:rPr>
        <w:tab/>
        <w:t>Անվտանգության հետազոտությունները:</w:t>
      </w:r>
    </w:p>
    <w:p w14:paraId="1F1F5836"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Անվտանգության հետազոտություններում անհրաժեշտ է հաշվի առնել հետ</w:t>
      </w:r>
      <w:r w:rsidR="00C54D75">
        <w:rPr>
          <w:rFonts w:ascii="Sylfaen" w:hAnsi="Sylfaen"/>
          <w:sz w:val="24"/>
          <w:szCs w:val="24"/>
        </w:rPr>
        <w:t>և</w:t>
      </w:r>
      <w:r w:rsidRPr="00834D52">
        <w:rPr>
          <w:rFonts w:ascii="Sylfaen" w:hAnsi="Sylfaen"/>
          <w:sz w:val="24"/>
          <w:szCs w:val="24"/>
        </w:rPr>
        <w:t>յալը՝</w:t>
      </w:r>
    </w:p>
    <w:p w14:paraId="1087DF1F"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բաշխումը </w:t>
      </w:r>
      <w:r w:rsidR="00C54D75">
        <w:rPr>
          <w:rFonts w:ascii="Sylfaen" w:hAnsi="Sylfaen"/>
          <w:sz w:val="24"/>
          <w:szCs w:val="24"/>
        </w:rPr>
        <w:t>և</w:t>
      </w:r>
      <w:r w:rsidRPr="00834D52">
        <w:rPr>
          <w:rFonts w:ascii="Sylfaen" w:hAnsi="Sylfaen"/>
          <w:sz w:val="24"/>
          <w:szCs w:val="24"/>
        </w:rPr>
        <w:t xml:space="preserve"> աճակցումը ներմուծումից հետո,</w:t>
      </w:r>
    </w:p>
    <w:p w14:paraId="47875106"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էկտոպիկ աճակցումը,</w:t>
      </w:r>
    </w:p>
    <w:p w14:paraId="2D3C25D4"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օնկոգեն տրանսֆորմացիան </w:t>
      </w:r>
      <w:r w:rsidR="00C54D75">
        <w:rPr>
          <w:rFonts w:ascii="Sylfaen" w:hAnsi="Sylfaen"/>
          <w:sz w:val="24"/>
          <w:szCs w:val="24"/>
        </w:rPr>
        <w:t>և</w:t>
      </w:r>
      <w:r w:rsidRPr="00834D52">
        <w:rPr>
          <w:rFonts w:ascii="Sylfaen" w:hAnsi="Sylfaen"/>
          <w:sz w:val="24"/>
          <w:szCs w:val="24"/>
        </w:rPr>
        <w:t xml:space="preserve"> համապատասխանությունը բջիջների (հյուսվածքների) համապատասխան գծի հատկություններին:</w:t>
      </w:r>
    </w:p>
    <w:p w14:paraId="7783F6E7" w14:textId="77777777" w:rsidR="006F76EB" w:rsidRPr="00834D52" w:rsidRDefault="006F76EB" w:rsidP="000C5CD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17.5.4.</w:t>
      </w:r>
      <w:r w:rsidRPr="00834D52">
        <w:rPr>
          <w:rFonts w:ascii="Sylfaen" w:hAnsi="Sylfaen"/>
          <w:sz w:val="24"/>
          <w:szCs w:val="24"/>
        </w:rPr>
        <w:tab/>
        <w:t>Հյուսվածքային ինժեներիայի պատրաստուկներին ներկայացվող հատուկ պահանջները:</w:t>
      </w:r>
    </w:p>
    <w:p w14:paraId="1CA3E14C" w14:textId="77777777" w:rsidR="006F76EB" w:rsidRPr="00834D52" w:rsidRDefault="006F76EB" w:rsidP="000C5CD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17.5.4.1.</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 հետազոտությունները:</w:t>
      </w:r>
    </w:p>
    <w:p w14:paraId="5606F14E" w14:textId="77777777" w:rsidR="006F76EB" w:rsidRPr="00834D52" w:rsidRDefault="006F76EB" w:rsidP="00333A8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ստանդարտ </w:t>
      </w:r>
      <w:r w:rsidR="00355C33">
        <w:rPr>
          <w:rFonts w:ascii="Sylfaen" w:hAnsi="Sylfaen"/>
          <w:sz w:val="24"/>
          <w:szCs w:val="24"/>
        </w:rPr>
        <w:t>դեղա</w:t>
      </w:r>
      <w:r w:rsidRPr="00834D52">
        <w:rPr>
          <w:rFonts w:ascii="Sylfaen" w:hAnsi="Sylfaen"/>
          <w:sz w:val="24"/>
          <w:szCs w:val="24"/>
        </w:rPr>
        <w:t xml:space="preserve">կինետիկ հետազոտությունները նշանակալի չեն հյուսվածքային ինժեներիայի պատրաստուկների համար, կլինիկական մշակման ընթացքում անհրաժեշտ է ուսումնասիրել դրանց բաղադրիչների կենսաբաշխումը, պերսիստենցիան </w:t>
      </w:r>
      <w:r w:rsidR="00C54D75">
        <w:rPr>
          <w:rFonts w:ascii="Sylfaen" w:hAnsi="Sylfaen"/>
          <w:sz w:val="24"/>
          <w:szCs w:val="24"/>
        </w:rPr>
        <w:t>և</w:t>
      </w:r>
      <w:r w:rsidRPr="00834D52">
        <w:rPr>
          <w:rFonts w:ascii="Sylfaen" w:hAnsi="Sylfaen"/>
          <w:sz w:val="24"/>
          <w:szCs w:val="24"/>
        </w:rPr>
        <w:t xml:space="preserve"> դեգրադացիան:</w:t>
      </w:r>
    </w:p>
    <w:p w14:paraId="63642F3A" w14:textId="77777777" w:rsidR="006F76EB" w:rsidRPr="00834D52" w:rsidRDefault="006F76EB" w:rsidP="00333A8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17.5.4.2.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դինամիկ հետազոտությունները:</w:t>
      </w:r>
    </w:p>
    <w:p w14:paraId="1574A182" w14:textId="77777777" w:rsidR="006F76EB" w:rsidRPr="00834D52" w:rsidRDefault="00355C33" w:rsidP="00333A89">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դինամիկ հետազոտությունների բովանդակային պլանը պետք է հիմնված լինի հյուսվածքային ինժեներիայի պատրաստուկների առանձնահատկությունների վրա: Անհրաժեշտ է ներկայացնել այն պատրաստուկի «հայեցակարգի ապացույցի» </w:t>
      </w:r>
      <w:r w:rsidR="00C54D75">
        <w:rPr>
          <w:rFonts w:ascii="Sylfaen" w:hAnsi="Sylfaen"/>
          <w:sz w:val="24"/>
          <w:szCs w:val="24"/>
        </w:rPr>
        <w:t>և</w:t>
      </w:r>
      <w:r w:rsidR="006F76EB" w:rsidRPr="00834D52">
        <w:rPr>
          <w:rFonts w:ascii="Sylfaen" w:hAnsi="Sylfaen"/>
          <w:sz w:val="24"/>
          <w:szCs w:val="24"/>
        </w:rPr>
        <w:t xml:space="preserve"> կինետիկայի հաստատումը, որը պահանջվում է ենթադրվող ռեգեներացիային, ռեպարացիային (վերականգնման) կամ փոխարինմանը հասնելու համար: Անհրաժեշտ է հաշվի առնել դիտարկվող գործառույթի </w:t>
      </w:r>
      <w:r w:rsidR="00C54D75">
        <w:rPr>
          <w:rFonts w:ascii="Sylfaen" w:hAnsi="Sylfaen"/>
          <w:sz w:val="24"/>
          <w:szCs w:val="24"/>
        </w:rPr>
        <w:t>և</w:t>
      </w:r>
      <w:r w:rsidR="006F76EB" w:rsidRPr="00834D52">
        <w:rPr>
          <w:rFonts w:ascii="Sylfaen" w:hAnsi="Sylfaen"/>
          <w:sz w:val="24"/>
          <w:szCs w:val="24"/>
        </w:rPr>
        <w:t xml:space="preserve"> կառուցվածքի հետ կապված համապատասխան </w:t>
      </w:r>
      <w:r>
        <w:rPr>
          <w:rFonts w:ascii="Sylfaen" w:hAnsi="Sylfaen"/>
          <w:sz w:val="24"/>
          <w:szCs w:val="24"/>
        </w:rPr>
        <w:t>դեղա</w:t>
      </w:r>
      <w:r w:rsidR="006F76EB" w:rsidRPr="00834D52">
        <w:rPr>
          <w:rFonts w:ascii="Sylfaen" w:hAnsi="Sylfaen"/>
          <w:sz w:val="24"/>
          <w:szCs w:val="24"/>
        </w:rPr>
        <w:t>դինամիկ նշիչները (մարկերները):</w:t>
      </w:r>
    </w:p>
    <w:p w14:paraId="3664BF1C" w14:textId="77777777" w:rsidR="006F76EB" w:rsidRPr="00834D52" w:rsidRDefault="006F76EB" w:rsidP="005B6429">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17.5.4.3.</w:t>
      </w:r>
      <w:r w:rsidRPr="00834D52">
        <w:rPr>
          <w:rFonts w:ascii="Sylfaen" w:hAnsi="Sylfaen"/>
          <w:sz w:val="24"/>
          <w:szCs w:val="24"/>
        </w:rPr>
        <w:tab/>
        <w:t>Անվտանգության հետազոտությունները:</w:t>
      </w:r>
    </w:p>
    <w:p w14:paraId="52046891" w14:textId="5307D808" w:rsidR="006F76EB" w:rsidRDefault="006F76EB" w:rsidP="005B6429">
      <w:pPr>
        <w:spacing w:after="160" w:line="384" w:lineRule="auto"/>
        <w:ind w:right="-8" w:firstLine="567"/>
        <w:jc w:val="both"/>
        <w:rPr>
          <w:rFonts w:ascii="Sylfaen" w:hAnsi="Sylfaen"/>
          <w:sz w:val="24"/>
          <w:szCs w:val="24"/>
        </w:rPr>
      </w:pPr>
      <w:r w:rsidRPr="00834D52">
        <w:rPr>
          <w:rFonts w:ascii="Sylfaen" w:hAnsi="Sylfaen"/>
          <w:sz w:val="24"/>
          <w:szCs w:val="24"/>
        </w:rPr>
        <w:t>Հյուսվածքային ինժեներիայի պատրաստուկների անվտանգության հետազոտության ժամանակ հարկ է առաջնորդվել սույն հավելվածի 17.5.3.3 բաժնում նշված պահանջներով:</w:t>
      </w:r>
    </w:p>
    <w:p w14:paraId="0663AF33" w14:textId="55976E6D" w:rsidR="00DE0437" w:rsidRPr="006F28F9" w:rsidRDefault="00DE0437" w:rsidP="00DE0437">
      <w:pPr>
        <w:rPr>
          <w:b/>
          <w:bCs/>
          <w:i/>
          <w:iCs/>
        </w:rPr>
      </w:pPr>
      <w:r w:rsidRPr="00CD4709">
        <w:rPr>
          <w:b/>
          <w:bCs/>
          <w:i/>
          <w:iCs/>
        </w:rPr>
        <w:lastRenderedPageBreak/>
        <w:t>(</w:t>
      </w:r>
      <w:r>
        <w:rPr>
          <w:b/>
          <w:bCs/>
          <w:i/>
          <w:iCs/>
        </w:rPr>
        <w:t xml:space="preserve">հավելվածը </w:t>
      </w:r>
      <w:r w:rsidRPr="00CD4709">
        <w:rPr>
          <w:b/>
          <w:bCs/>
          <w:i/>
          <w:iCs/>
        </w:rPr>
        <w:t>փոփ.</w:t>
      </w:r>
      <w:r w:rsidR="004869F1">
        <w:rPr>
          <w:b/>
          <w:bCs/>
          <w:i/>
          <w:iCs/>
        </w:rPr>
        <w:t>, լրաց.</w:t>
      </w:r>
      <w:r w:rsidRPr="00CD4709">
        <w:rPr>
          <w:b/>
          <w:bCs/>
          <w:i/>
          <w:iCs/>
        </w:rPr>
        <w:t xml:space="preserve"> 30.01.20 թիվ 9</w:t>
      </w:r>
      <w:r w:rsidR="00E430CB">
        <w:rPr>
          <w:b/>
          <w:bCs/>
          <w:i/>
          <w:iCs/>
        </w:rPr>
        <w:t>, լրաց 23.04.21 թիվ 34</w:t>
      </w:r>
      <w:r w:rsidR="00427065">
        <w:rPr>
          <w:b/>
          <w:bCs/>
          <w:i/>
          <w:iCs/>
        </w:rPr>
        <w:t>, խմբ., փոփ., լրաց. 05.03.21 թիվ 14</w:t>
      </w:r>
      <w:r w:rsidR="00A33E6C">
        <w:rPr>
          <w:b/>
          <w:bCs/>
          <w:i/>
          <w:iCs/>
        </w:rPr>
        <w:t>, 17.03.22 թիվ 36</w:t>
      </w:r>
      <w:r w:rsidR="00D64329">
        <w:rPr>
          <w:b/>
          <w:bCs/>
          <w:i/>
          <w:iCs/>
        </w:rPr>
        <w:t>, փոփ. ԵՏՀԽ 23.09.22 թիվ 141</w:t>
      </w:r>
      <w:r w:rsidRPr="00CD4709">
        <w:rPr>
          <w:b/>
          <w:bCs/>
          <w:i/>
          <w:iCs/>
        </w:rPr>
        <w:t>)</w:t>
      </w:r>
    </w:p>
    <w:p w14:paraId="0E2C62E3" w14:textId="77777777" w:rsidR="000C5CDC" w:rsidRPr="002978B0" w:rsidRDefault="000C5CDC" w:rsidP="005B6429">
      <w:pPr>
        <w:spacing w:after="160" w:line="384" w:lineRule="auto"/>
        <w:ind w:right="-8" w:firstLine="567"/>
        <w:jc w:val="both"/>
        <w:rPr>
          <w:rFonts w:ascii="Sylfaen" w:eastAsia="Times New Roman" w:hAnsi="Sylfaen" w:cs="Times New Roman"/>
          <w:sz w:val="24"/>
          <w:szCs w:val="24"/>
        </w:rPr>
      </w:pPr>
    </w:p>
    <w:p w14:paraId="57DA5AA2" w14:textId="77777777" w:rsidR="006F76EB" w:rsidRPr="007F5A60" w:rsidRDefault="005B6429" w:rsidP="005B6429">
      <w:pPr>
        <w:spacing w:after="160" w:line="360" w:lineRule="auto"/>
        <w:jc w:val="center"/>
        <w:rPr>
          <w:rFonts w:ascii="Sylfaen" w:eastAsia="Times New Roman" w:hAnsi="Sylfaen" w:cs="Times New Roman"/>
          <w:sz w:val="24"/>
          <w:szCs w:val="24"/>
        </w:rPr>
      </w:pPr>
      <w:r w:rsidRPr="007F5A60">
        <w:rPr>
          <w:rFonts w:ascii="Sylfaen" w:eastAsia="Times New Roman" w:hAnsi="Sylfaen" w:cs="Times New Roman"/>
          <w:sz w:val="24"/>
          <w:szCs w:val="24"/>
        </w:rPr>
        <w:t>________________</w:t>
      </w:r>
    </w:p>
    <w:p w14:paraId="6ED3CD38" w14:textId="77777777" w:rsidR="005B6429" w:rsidRPr="007F5A60" w:rsidRDefault="005B6429" w:rsidP="006F76EB">
      <w:pPr>
        <w:spacing w:after="160" w:line="360" w:lineRule="auto"/>
        <w:rPr>
          <w:rFonts w:ascii="Sylfaen" w:eastAsia="Times New Roman" w:hAnsi="Sylfaen" w:cs="Times New Roman"/>
          <w:sz w:val="24"/>
          <w:szCs w:val="24"/>
        </w:rPr>
      </w:pPr>
    </w:p>
    <w:p w14:paraId="4E74CB6A" w14:textId="77777777" w:rsidR="005B6429" w:rsidRPr="007F5A60" w:rsidRDefault="005B6429" w:rsidP="006F76EB">
      <w:pPr>
        <w:spacing w:after="160" w:line="360" w:lineRule="auto"/>
        <w:rPr>
          <w:rFonts w:ascii="Sylfaen" w:eastAsia="Times New Roman" w:hAnsi="Sylfaen" w:cs="Times New Roman"/>
          <w:sz w:val="24"/>
          <w:szCs w:val="24"/>
        </w:rPr>
        <w:sectPr w:rsidR="005B6429" w:rsidRPr="007F5A60" w:rsidSect="00C31D56">
          <w:headerReference w:type="default" r:id="rId9"/>
          <w:footerReference w:type="default" r:id="rId10"/>
          <w:pgSz w:w="11920" w:h="16840"/>
          <w:pgMar w:top="1418" w:right="1418" w:bottom="1418" w:left="1418" w:header="738" w:footer="512" w:gutter="0"/>
          <w:pgNumType w:start="1"/>
          <w:cols w:space="720"/>
          <w:titlePg/>
          <w:docGrid w:linePitch="299"/>
        </w:sectPr>
      </w:pPr>
    </w:p>
    <w:p w14:paraId="71AC74E6" w14:textId="77777777" w:rsidR="006F76EB" w:rsidRPr="002D52C6" w:rsidRDefault="00BA6538" w:rsidP="006F76EB">
      <w:pPr>
        <w:spacing w:after="160" w:line="360" w:lineRule="auto"/>
        <w:ind w:left="4536" w:right="-8"/>
        <w:jc w:val="center"/>
        <w:rPr>
          <w:rFonts w:ascii="Sylfaen" w:eastAsia="Times New Roman" w:hAnsi="Sylfaen" w:cs="Times New Roman"/>
          <w:sz w:val="24"/>
          <w:szCs w:val="24"/>
        </w:rPr>
      </w:pPr>
      <w:r w:rsidRPr="002D52C6">
        <w:rPr>
          <w:rFonts w:ascii="Sylfaen" w:hAnsi="Sylfaen"/>
          <w:sz w:val="24"/>
          <w:szCs w:val="24"/>
        </w:rPr>
        <w:lastRenderedPageBreak/>
        <w:t>ՀԱՎԵԼՎԱԾ ԹԻՎ</w:t>
      </w:r>
      <w:r w:rsidR="00C648A4">
        <w:rPr>
          <w:rFonts w:ascii="Sylfaen" w:hAnsi="Sylfaen"/>
          <w:sz w:val="24"/>
          <w:szCs w:val="24"/>
        </w:rPr>
        <w:t xml:space="preserve"> 2</w:t>
      </w:r>
    </w:p>
    <w:p w14:paraId="000DA221" w14:textId="77777777" w:rsidR="006F76EB" w:rsidRPr="00834D52" w:rsidRDefault="00C648A4" w:rsidP="006F76EB">
      <w:pPr>
        <w:spacing w:after="160" w:line="360" w:lineRule="auto"/>
        <w:ind w:left="4536" w:right="-8"/>
        <w:jc w:val="center"/>
        <w:rPr>
          <w:rFonts w:ascii="Sylfaen" w:eastAsia="Times New Roman" w:hAnsi="Sylfaen" w:cs="Times New Roman"/>
          <w:sz w:val="24"/>
          <w:szCs w:val="24"/>
        </w:rPr>
      </w:pPr>
      <w:r>
        <w:rPr>
          <w:rFonts w:ascii="Sylfaen" w:hAnsi="Sylfaen"/>
          <w:sz w:val="24"/>
          <w:szCs w:val="24"/>
        </w:rPr>
        <w:t xml:space="preserve">բժշկական կիրառման դեղամիջոցների գրանցման </w:t>
      </w:r>
      <w:r w:rsidR="00C54D75">
        <w:rPr>
          <w:rFonts w:ascii="Sylfaen" w:hAnsi="Sylfaen"/>
          <w:sz w:val="24"/>
          <w:szCs w:val="24"/>
        </w:rPr>
        <w:t>և</w:t>
      </w:r>
      <w:r>
        <w:rPr>
          <w:rFonts w:ascii="Sylfaen" w:hAnsi="Sylfaen"/>
          <w:sz w:val="24"/>
          <w:szCs w:val="24"/>
        </w:rPr>
        <w:t xml:space="preserve"> փորձաքննության կանոնների</w:t>
      </w:r>
    </w:p>
    <w:p w14:paraId="26118828" w14:textId="77777777" w:rsidR="006F76EB" w:rsidRPr="00834D52" w:rsidRDefault="006F76EB" w:rsidP="00A721D8">
      <w:pPr>
        <w:spacing w:after="160" w:line="360" w:lineRule="auto"/>
        <w:ind w:right="-6"/>
        <w:jc w:val="center"/>
        <w:rPr>
          <w:rFonts w:ascii="Sylfaen" w:hAnsi="Sylfaen"/>
          <w:sz w:val="24"/>
          <w:szCs w:val="24"/>
        </w:rPr>
      </w:pPr>
    </w:p>
    <w:p w14:paraId="09A13AE8" w14:textId="77777777" w:rsidR="006F76EB" w:rsidRPr="00333A89" w:rsidRDefault="006F76EB" w:rsidP="006F76EB">
      <w:pPr>
        <w:spacing w:after="160" w:line="360" w:lineRule="auto"/>
        <w:ind w:left="567" w:right="579"/>
        <w:jc w:val="center"/>
        <w:rPr>
          <w:rFonts w:ascii="Sylfaen" w:eastAsia="Times New Roman" w:hAnsi="Sylfaen" w:cs="Times New Roman"/>
          <w:b/>
          <w:sz w:val="24"/>
          <w:szCs w:val="24"/>
        </w:rPr>
      </w:pPr>
      <w:r w:rsidRPr="00333A89">
        <w:rPr>
          <w:rFonts w:ascii="Sylfaen" w:hAnsi="Sylfaen"/>
          <w:b/>
          <w:sz w:val="24"/>
          <w:szCs w:val="24"/>
        </w:rPr>
        <w:t>ՁԵՎԵՐ</w:t>
      </w:r>
    </w:p>
    <w:p w14:paraId="095D8544" w14:textId="2588EAEE"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 xml:space="preserve">դեղապատրաստուկի գրանցման, վերագրանցման, Եվրասիական տնտեսական միության պահանջներին համապատասխանեցնելու </w:t>
      </w:r>
      <w:r w:rsidR="00C54D75">
        <w:rPr>
          <w:rFonts w:ascii="Sylfaen" w:hAnsi="Sylfaen"/>
          <w:b/>
          <w:sz w:val="24"/>
          <w:szCs w:val="24"/>
        </w:rPr>
        <w:t>և</w:t>
      </w:r>
      <w:r w:rsidRPr="00834D52">
        <w:rPr>
          <w:rFonts w:ascii="Sylfaen" w:hAnsi="Sylfaen"/>
          <w:b/>
          <w:sz w:val="24"/>
          <w:szCs w:val="24"/>
        </w:rPr>
        <w:t xml:space="preserve"> դեղապատրաստուկի գրանցման դոսյեում փոփոխություններ </w:t>
      </w:r>
      <w:r w:rsidRPr="00DB039F">
        <w:rPr>
          <w:rFonts w:ascii="Sylfaen" w:hAnsi="Sylfaen"/>
          <w:b/>
          <w:sz w:val="24"/>
          <w:szCs w:val="24"/>
        </w:rPr>
        <w:br/>
      </w:r>
      <w:r w:rsidRPr="00834D52">
        <w:rPr>
          <w:rFonts w:ascii="Sylfaen" w:hAnsi="Sylfaen"/>
          <w:b/>
          <w:sz w:val="24"/>
          <w:szCs w:val="24"/>
        </w:rPr>
        <w:t xml:space="preserve">կատարելու մասին </w:t>
      </w:r>
      <w:r w:rsidR="009F5829">
        <w:rPr>
          <w:rFonts w:ascii="Sylfaen" w:hAnsi="Sylfaen"/>
          <w:b/>
          <w:sz w:val="24"/>
          <w:szCs w:val="24"/>
        </w:rPr>
        <w:t>դիմումներ</w:t>
      </w:r>
      <w:r w:rsidRPr="00834D52">
        <w:rPr>
          <w:rFonts w:ascii="Sylfaen" w:hAnsi="Sylfaen"/>
          <w:b/>
          <w:sz w:val="24"/>
          <w:szCs w:val="24"/>
        </w:rPr>
        <w:t>ի</w:t>
      </w:r>
    </w:p>
    <w:p w14:paraId="63CE30E8" w14:textId="77777777" w:rsidR="006F76EB" w:rsidRPr="00834D52" w:rsidRDefault="006F76EB" w:rsidP="006F76EB">
      <w:pPr>
        <w:spacing w:after="160" w:line="360" w:lineRule="auto"/>
        <w:ind w:right="-6"/>
        <w:jc w:val="right"/>
        <w:rPr>
          <w:rFonts w:ascii="Sylfaen" w:eastAsia="Times New Roman" w:hAnsi="Sylfaen" w:cs="Times New Roman"/>
          <w:sz w:val="24"/>
          <w:szCs w:val="24"/>
        </w:rPr>
      </w:pPr>
      <w:r w:rsidRPr="00834D52">
        <w:rPr>
          <w:rFonts w:ascii="Sylfaen" w:hAnsi="Sylfaen"/>
          <w:sz w:val="24"/>
          <w:szCs w:val="24"/>
        </w:rPr>
        <w:t>(ձ</w:t>
      </w:r>
      <w:r w:rsidR="00C54D75">
        <w:rPr>
          <w:rFonts w:ascii="Sylfaen" w:hAnsi="Sylfaen"/>
          <w:sz w:val="24"/>
          <w:szCs w:val="24"/>
        </w:rPr>
        <w:t>և</w:t>
      </w:r>
      <w:r w:rsidRPr="00834D52">
        <w:rPr>
          <w:rFonts w:ascii="Sylfaen" w:hAnsi="Sylfaen"/>
          <w:sz w:val="24"/>
          <w:szCs w:val="24"/>
        </w:rPr>
        <w:t>ը)</w:t>
      </w:r>
    </w:p>
    <w:p w14:paraId="78371EC0" w14:textId="7C36B01E" w:rsidR="006F76EB" w:rsidRPr="00DA0C56" w:rsidRDefault="006F76EB" w:rsidP="006F76EB">
      <w:pPr>
        <w:spacing w:after="160" w:line="360" w:lineRule="auto"/>
        <w:ind w:left="567" w:right="565"/>
        <w:jc w:val="center"/>
        <w:rPr>
          <w:rFonts w:ascii="Sylfaen" w:hAnsi="Sylfaen"/>
          <w:sz w:val="24"/>
          <w:szCs w:val="24"/>
        </w:rPr>
      </w:pPr>
      <w:r w:rsidRPr="00834D52">
        <w:rPr>
          <w:rFonts w:ascii="Sylfaen" w:hAnsi="Sylfaen"/>
          <w:sz w:val="24"/>
          <w:szCs w:val="24"/>
        </w:rPr>
        <w:t xml:space="preserve">I. </w:t>
      </w:r>
      <w:r w:rsidR="0056496B">
        <w:rPr>
          <w:rFonts w:ascii="Sylfaen" w:hAnsi="Sylfaen"/>
          <w:sz w:val="24"/>
          <w:szCs w:val="24"/>
        </w:rPr>
        <w:t>ԴԻՄՈՒՄ</w:t>
      </w:r>
      <w:r w:rsidRPr="00834D52">
        <w:rPr>
          <w:rFonts w:ascii="Sylfaen" w:hAnsi="Sylfaen"/>
          <w:sz w:val="24"/>
          <w:szCs w:val="24"/>
        </w:rPr>
        <w:br/>
        <w:t>դեղապատրաստուկի գրանցման (դեղապատրաստուկի գրանցման դոսյեն Եվրասիական տնտեսական միության պահանջներին համապատասխանեցնելու) մասին</w:t>
      </w:r>
    </w:p>
    <w:p w14:paraId="75A3B038" w14:textId="77777777" w:rsidR="006F76EB" w:rsidRPr="00DA0C56" w:rsidRDefault="006F76EB" w:rsidP="006F76EB">
      <w:pPr>
        <w:spacing w:after="160" w:line="360" w:lineRule="auto"/>
        <w:ind w:left="567" w:right="565"/>
        <w:jc w:val="center"/>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045"/>
      </w:tblGrid>
      <w:tr w:rsidR="006F76EB" w:rsidRPr="00834D52" w14:paraId="66D2F2CB" w14:textId="77777777" w:rsidTr="00F71229">
        <w:trPr>
          <w:jc w:val="center"/>
        </w:trPr>
        <w:tc>
          <w:tcPr>
            <w:tcW w:w="5211" w:type="dxa"/>
          </w:tcPr>
          <w:p w14:paraId="23AC59F1" w14:textId="3D576A86" w:rsidR="006F76EB" w:rsidRPr="00834D52" w:rsidRDefault="0056496B" w:rsidP="00F71229">
            <w:pPr>
              <w:spacing w:after="160"/>
              <w:ind w:right="-8"/>
              <w:rPr>
                <w:rFonts w:ascii="Sylfaen" w:hAnsi="Sylfaen"/>
                <w:sz w:val="24"/>
                <w:szCs w:val="24"/>
              </w:rPr>
            </w:pPr>
            <w:r>
              <w:rPr>
                <w:rFonts w:ascii="Sylfaen" w:hAnsi="Sylfaen"/>
                <w:sz w:val="24"/>
                <w:szCs w:val="24"/>
              </w:rPr>
              <w:t>Դիմում</w:t>
            </w:r>
            <w:r w:rsidR="006F76EB" w:rsidRPr="00834D52">
              <w:rPr>
                <w:rFonts w:ascii="Sylfaen" w:hAnsi="Sylfaen"/>
                <w:sz w:val="24"/>
                <w:szCs w:val="24"/>
              </w:rPr>
              <w:t>ը ստանալու ամսաթիվը</w:t>
            </w:r>
          </w:p>
        </w:tc>
        <w:tc>
          <w:tcPr>
            <w:tcW w:w="4075" w:type="dxa"/>
          </w:tcPr>
          <w:p w14:paraId="2603474C" w14:textId="77777777" w:rsidR="006F76EB" w:rsidRPr="00834D52" w:rsidRDefault="006F76EB" w:rsidP="00F71229">
            <w:pPr>
              <w:spacing w:after="160"/>
              <w:ind w:left="46" w:right="-8"/>
              <w:jc w:val="center"/>
              <w:rPr>
                <w:rFonts w:ascii="Sylfaen" w:eastAsia="Times New Roman" w:hAnsi="Sylfaen" w:cs="Times New Roman"/>
                <w:sz w:val="24"/>
                <w:szCs w:val="24"/>
              </w:rPr>
            </w:pPr>
            <w:r w:rsidRPr="00834D52">
              <w:rPr>
                <w:rFonts w:ascii="Sylfaen" w:hAnsi="Sylfaen"/>
                <w:sz w:val="24"/>
                <w:szCs w:val="24"/>
              </w:rPr>
              <w:t>Թիվ________________________</w:t>
            </w:r>
          </w:p>
        </w:tc>
      </w:tr>
      <w:tr w:rsidR="006F76EB" w:rsidRPr="00834D52" w14:paraId="5888B33F" w14:textId="77777777" w:rsidTr="00F71229">
        <w:trPr>
          <w:jc w:val="center"/>
        </w:trPr>
        <w:tc>
          <w:tcPr>
            <w:tcW w:w="5211" w:type="dxa"/>
          </w:tcPr>
          <w:p w14:paraId="45B93AD3" w14:textId="77777777" w:rsidR="006F76EB" w:rsidRPr="00834D52" w:rsidRDefault="006F76EB" w:rsidP="00F71229">
            <w:pPr>
              <w:spacing w:after="160"/>
              <w:ind w:right="-8"/>
              <w:rPr>
                <w:rFonts w:ascii="Sylfaen" w:eastAsia="Times New Roman" w:hAnsi="Sylfaen" w:cs="Times New Roman"/>
                <w:sz w:val="24"/>
                <w:szCs w:val="24"/>
              </w:rPr>
            </w:pPr>
            <w:r w:rsidRPr="00834D52">
              <w:rPr>
                <w:rFonts w:ascii="Sylfaen" w:hAnsi="Sylfaen"/>
                <w:sz w:val="24"/>
                <w:szCs w:val="24"/>
              </w:rPr>
              <w:t>«___» _______________ 20 ___ թ.</w:t>
            </w:r>
          </w:p>
        </w:tc>
        <w:tc>
          <w:tcPr>
            <w:tcW w:w="4075" w:type="dxa"/>
          </w:tcPr>
          <w:p w14:paraId="6E128BC3" w14:textId="77777777" w:rsidR="006F76EB" w:rsidRPr="00834D52" w:rsidRDefault="006F76EB" w:rsidP="00F71229">
            <w:pPr>
              <w:spacing w:after="160"/>
              <w:ind w:left="453" w:right="-8"/>
              <w:rPr>
                <w:rFonts w:ascii="Sylfaen" w:eastAsia="Times New Roman" w:hAnsi="Sylfaen" w:cs="Times New Roman"/>
                <w:sz w:val="24"/>
                <w:szCs w:val="24"/>
              </w:rPr>
            </w:pPr>
          </w:p>
        </w:tc>
      </w:tr>
      <w:tr w:rsidR="006F76EB" w:rsidRPr="00834D52" w14:paraId="30E4C8BB"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7"/>
          <w:jc w:val="center"/>
        </w:trPr>
        <w:tc>
          <w:tcPr>
            <w:tcW w:w="5211" w:type="dxa"/>
            <w:tcBorders>
              <w:top w:val="nil"/>
              <w:left w:val="nil"/>
              <w:bottom w:val="nil"/>
              <w:right w:val="single" w:sz="4" w:space="0" w:color="auto"/>
            </w:tcBorders>
          </w:tcPr>
          <w:p w14:paraId="0F515806"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075" w:type="dxa"/>
            <w:tcBorders>
              <w:left w:val="single" w:sz="4" w:space="0" w:color="auto"/>
            </w:tcBorders>
          </w:tcPr>
          <w:p w14:paraId="3EAA9361"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4BA32A57"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53F57544"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բաղադրամասերը</w:t>
            </w:r>
          </w:p>
        </w:tc>
        <w:tc>
          <w:tcPr>
            <w:tcW w:w="4075" w:type="dxa"/>
            <w:tcBorders>
              <w:left w:val="single" w:sz="4" w:space="0" w:color="auto"/>
            </w:tcBorders>
          </w:tcPr>
          <w:p w14:paraId="0AA0888C"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1B49816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4D9C3062"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 xml:space="preserve">Դեղաչափերը կամ խտությունը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tc>
        <w:tc>
          <w:tcPr>
            <w:tcW w:w="4075" w:type="dxa"/>
            <w:tcBorders>
              <w:left w:val="single" w:sz="4" w:space="0" w:color="auto"/>
            </w:tcBorders>
          </w:tcPr>
          <w:p w14:paraId="7BF90533"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007EE9EE"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6DF6C481"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075" w:type="dxa"/>
            <w:tcBorders>
              <w:left w:val="single" w:sz="4" w:space="0" w:color="auto"/>
            </w:tcBorders>
          </w:tcPr>
          <w:p w14:paraId="2EDD7283"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03727E6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1FE0F6E0"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075" w:type="dxa"/>
            <w:tcBorders>
              <w:left w:val="single" w:sz="4" w:space="0" w:color="auto"/>
            </w:tcBorders>
          </w:tcPr>
          <w:p w14:paraId="146BB7AF"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3FE5F058"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5A6895CA" w14:textId="3EA5878A" w:rsidR="006F76EB" w:rsidRPr="00834D52" w:rsidRDefault="0056496B" w:rsidP="00F71229">
            <w:pPr>
              <w:spacing w:after="160"/>
              <w:ind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075" w:type="dxa"/>
            <w:tcBorders>
              <w:left w:val="single" w:sz="4" w:space="0" w:color="auto"/>
            </w:tcBorders>
          </w:tcPr>
          <w:p w14:paraId="79475071"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2356A7A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73422C05" w14:textId="0F1D3FD9" w:rsidR="006F76EB" w:rsidRPr="00834D52" w:rsidRDefault="0056496B" w:rsidP="00F71229">
            <w:pPr>
              <w:spacing w:after="160"/>
              <w:ind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075" w:type="dxa"/>
            <w:tcBorders>
              <w:left w:val="single" w:sz="4" w:space="0" w:color="auto"/>
            </w:tcBorders>
          </w:tcPr>
          <w:p w14:paraId="4C9FA3AB" w14:textId="77777777" w:rsidR="006F76EB" w:rsidRPr="00834D52" w:rsidRDefault="006F76EB" w:rsidP="00F71229">
            <w:pPr>
              <w:spacing w:after="160"/>
              <w:ind w:right="-8"/>
              <w:rPr>
                <w:rFonts w:ascii="Sylfaen" w:eastAsia="Times New Roman" w:hAnsi="Sylfaen" w:cs="Times New Roman"/>
                <w:sz w:val="24"/>
                <w:szCs w:val="24"/>
              </w:rPr>
            </w:pPr>
          </w:p>
        </w:tc>
      </w:tr>
    </w:tbl>
    <w:p w14:paraId="4E6B2F13" w14:textId="77777777" w:rsidR="006F76EB" w:rsidRPr="00834D52" w:rsidRDefault="006F76EB" w:rsidP="00803E4B">
      <w:pPr>
        <w:spacing w:after="160" w:line="240" w:lineRule="auto"/>
        <w:ind w:right="-6" w:firstLine="567"/>
        <w:jc w:val="center"/>
        <w:rPr>
          <w:rFonts w:ascii="Sylfaen" w:hAnsi="Sylfaen"/>
          <w:sz w:val="24"/>
          <w:szCs w:val="24"/>
          <w:lang w:val="en-US"/>
        </w:rPr>
      </w:pPr>
    </w:p>
    <w:p w14:paraId="00F9D196" w14:textId="77777777" w:rsidR="006F76EB" w:rsidRPr="00834D52" w:rsidRDefault="006F76EB" w:rsidP="0068557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 համար:</w:t>
      </w:r>
    </w:p>
    <w:p w14:paraId="0AEA0744" w14:textId="2274CE4F" w:rsidR="006F76EB" w:rsidRPr="00834D52" w:rsidRDefault="006F76EB" w:rsidP="0068557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90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սույն </w:t>
      </w:r>
      <w:r w:rsidR="0056496B">
        <w:rPr>
          <w:rFonts w:ascii="Sylfaen" w:hAnsi="Sylfaen"/>
          <w:sz w:val="24"/>
          <w:szCs w:val="24"/>
        </w:rPr>
        <w:t>դիմում</w:t>
      </w:r>
      <w:r w:rsidRPr="00834D52">
        <w:rPr>
          <w:rFonts w:ascii="Sylfaen" w:hAnsi="Sylfaen"/>
          <w:sz w:val="24"/>
          <w:szCs w:val="24"/>
        </w:rPr>
        <w:t>ի քննությունը կմերժվի:</w:t>
      </w:r>
    </w:p>
    <w:p w14:paraId="4F256FC7" w14:textId="16AC68D6"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Ես հաստատում եմ, որ գրանցման դոսյեի կազմում ընդգրկված բոլոր տվյալները ստացվել են սահմանված կարգով </w:t>
      </w:r>
      <w:r w:rsidR="00C54D75">
        <w:rPr>
          <w:rFonts w:ascii="Sylfaen" w:hAnsi="Sylfaen"/>
          <w:sz w:val="24"/>
          <w:szCs w:val="24"/>
        </w:rPr>
        <w:t>և</w:t>
      </w:r>
      <w:r w:rsidRPr="00834D52">
        <w:rPr>
          <w:rFonts w:ascii="Sylfaen" w:hAnsi="Sylfaen"/>
          <w:sz w:val="24"/>
          <w:szCs w:val="24"/>
        </w:rPr>
        <w:t xml:space="preserve"> չեն խախտում երրորդ անձանց՝ մտավոր սեփականության իրավունքները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 xml:space="preserve">4.3 </w:t>
      </w:r>
      <w:r w:rsidR="00C54D75">
        <w:rPr>
          <w:rFonts w:ascii="Sylfaen" w:hAnsi="Sylfaen"/>
          <w:sz w:val="24"/>
          <w:szCs w:val="24"/>
        </w:rPr>
        <w:t>և</w:t>
      </w:r>
      <w:r w:rsidRPr="00834D52">
        <w:rPr>
          <w:rFonts w:ascii="Sylfaen" w:hAnsi="Sylfaen"/>
          <w:sz w:val="24"/>
          <w:szCs w:val="24"/>
        </w:rPr>
        <w:t xml:space="preserve"> 4.4 ենթակետեր):</w:t>
      </w:r>
    </w:p>
    <w:p w14:paraId="6A3E13D9" w14:textId="77777777"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նախատեսված բոլոր վճարները (տուրքերը) վճարվել են (կվճարվեն) օրենսդրության պահանջներին համապատասխան:</w:t>
      </w:r>
    </w:p>
    <w:p w14:paraId="6A8C593A" w14:textId="504611CA"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անունից իրավաբանական նշանակություն ունեցող գործողություններ կատարելու լիազորագիրը կից ներկայացվում է (սույն </w:t>
      </w:r>
      <w:r w:rsidR="0056496B">
        <w:rPr>
          <w:rFonts w:ascii="Sylfaen" w:hAnsi="Sylfaen"/>
          <w:sz w:val="24"/>
          <w:szCs w:val="24"/>
        </w:rPr>
        <w:t>դիմում</w:t>
      </w:r>
      <w:r w:rsidRPr="00834D52">
        <w:rPr>
          <w:rFonts w:ascii="Sylfaen" w:hAnsi="Sylfaen"/>
          <w:sz w:val="24"/>
          <w:szCs w:val="24"/>
        </w:rPr>
        <w:t>ի հավելվածի 4.1 ենթակետ):</w:t>
      </w:r>
    </w:p>
    <w:p w14:paraId="2547E767" w14:textId="77777777" w:rsidR="006F76EB" w:rsidRPr="00834D52" w:rsidRDefault="006F76EB" w:rsidP="006F76EB">
      <w:pPr>
        <w:spacing w:after="160" w:line="360" w:lineRule="auto"/>
        <w:ind w:right="-8"/>
        <w:rPr>
          <w:rFonts w:ascii="Sylfaen" w:hAnsi="Sylfaen"/>
          <w:sz w:val="24"/>
          <w:szCs w:val="24"/>
        </w:rPr>
      </w:pPr>
    </w:p>
    <w:p w14:paraId="52853262" w14:textId="26134599" w:rsidR="006F76EB" w:rsidRPr="00834D52" w:rsidRDefault="0056496B" w:rsidP="006F76EB">
      <w:pPr>
        <w:spacing w:after="160" w:line="360" w:lineRule="auto"/>
        <w:ind w:right="-8"/>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5AEABCE1" w14:textId="77777777" w:rsidR="006F76EB" w:rsidRPr="00834D52" w:rsidRDefault="006F76EB" w:rsidP="006F76EB">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7A5CF76D" w14:textId="77777777" w:rsidR="006F76EB" w:rsidRPr="00834D52" w:rsidRDefault="006F76EB" w:rsidP="006F76EB">
      <w:pPr>
        <w:spacing w:after="160" w:line="360" w:lineRule="auto"/>
        <w:ind w:right="-8"/>
        <w:rPr>
          <w:rFonts w:ascii="Sylfaen" w:eastAsia="Times New Roman" w:hAnsi="Sylfaen" w:cs="Times New Roman"/>
          <w:sz w:val="20"/>
          <w:szCs w:val="20"/>
        </w:rPr>
      </w:pPr>
      <w:r w:rsidRPr="00834D52">
        <w:rPr>
          <w:rFonts w:ascii="Sylfaen" w:hAnsi="Sylfaen"/>
          <w:sz w:val="20"/>
          <w:szCs w:val="20"/>
        </w:rPr>
        <w:t>(ստորագրություն)</w:t>
      </w:r>
    </w:p>
    <w:p w14:paraId="5B8CFBD2" w14:textId="77777777" w:rsidR="006F76EB" w:rsidRPr="00834D52" w:rsidRDefault="006F76EB" w:rsidP="004243A9">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4AA57E6E" w14:textId="77777777" w:rsidR="006F76EB" w:rsidRPr="002978B0" w:rsidRDefault="006F76EB" w:rsidP="004243A9">
      <w:pPr>
        <w:spacing w:after="0" w:line="240" w:lineRule="auto"/>
        <w:ind w:right="-8"/>
        <w:rPr>
          <w:rFonts w:ascii="Sylfaen" w:hAnsi="Sylfaen"/>
          <w:sz w:val="20"/>
          <w:szCs w:val="20"/>
        </w:rPr>
      </w:pPr>
      <w:r w:rsidRPr="00834D52">
        <w:rPr>
          <w:rFonts w:ascii="Sylfaen" w:hAnsi="Sylfaen"/>
          <w:sz w:val="20"/>
          <w:szCs w:val="20"/>
        </w:rPr>
        <w:t>(ազգանուն, անուն, հայրանուն)</w:t>
      </w:r>
    </w:p>
    <w:p w14:paraId="49F02551" w14:textId="77777777" w:rsidR="004243A9" w:rsidRPr="002978B0" w:rsidRDefault="004243A9" w:rsidP="004243A9">
      <w:pPr>
        <w:spacing w:after="0" w:line="240" w:lineRule="auto"/>
        <w:ind w:right="-8"/>
        <w:rPr>
          <w:rFonts w:ascii="Sylfaen" w:eastAsia="Times New Roman" w:hAnsi="Sylfaen" w:cs="Times New Roman"/>
          <w:sz w:val="20"/>
          <w:szCs w:val="20"/>
        </w:rPr>
      </w:pPr>
    </w:p>
    <w:p w14:paraId="1CD468B9" w14:textId="77777777" w:rsidR="006F76EB" w:rsidRPr="00834D52" w:rsidRDefault="006F76EB" w:rsidP="006F76EB">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1BC241F3" w14:textId="77777777" w:rsidR="006F76EB" w:rsidRPr="00834D52" w:rsidRDefault="006F76EB" w:rsidP="006F76EB">
      <w:pPr>
        <w:spacing w:after="160" w:line="360" w:lineRule="auto"/>
        <w:ind w:right="-8"/>
        <w:rPr>
          <w:rFonts w:ascii="Sylfaen" w:eastAsia="Times New Roman" w:hAnsi="Sylfaen" w:cs="Times New Roman"/>
          <w:sz w:val="20"/>
          <w:szCs w:val="20"/>
        </w:rPr>
      </w:pPr>
      <w:r w:rsidRPr="00834D52">
        <w:rPr>
          <w:rFonts w:ascii="Sylfaen" w:hAnsi="Sylfaen"/>
          <w:sz w:val="20"/>
          <w:szCs w:val="20"/>
        </w:rPr>
        <w:t>(պաշտոն)</w:t>
      </w:r>
    </w:p>
    <w:p w14:paraId="0668B85C" w14:textId="77777777" w:rsidR="006F76EB" w:rsidRPr="00834D52" w:rsidRDefault="006F76EB" w:rsidP="006F76EB">
      <w:pPr>
        <w:spacing w:after="160" w:line="360" w:lineRule="auto"/>
        <w:ind w:right="-8"/>
        <w:rPr>
          <w:rFonts w:ascii="Sylfaen" w:hAnsi="Sylfaen"/>
          <w:sz w:val="24"/>
          <w:szCs w:val="24"/>
          <w:u w:val="single" w:color="000000"/>
        </w:rPr>
      </w:pPr>
      <w:r w:rsidRPr="00834D52">
        <w:rPr>
          <w:rFonts w:ascii="Sylfaen" w:hAnsi="Sylfaen"/>
          <w:sz w:val="24"/>
          <w:szCs w:val="24"/>
        </w:rPr>
        <w:t>Կ. Տ.</w:t>
      </w:r>
    </w:p>
    <w:p w14:paraId="7A7553EC" w14:textId="77777777" w:rsidR="00803E4B" w:rsidRPr="007F5A60" w:rsidRDefault="00803E4B" w:rsidP="006F76EB">
      <w:pPr>
        <w:spacing w:after="160" w:line="360" w:lineRule="auto"/>
        <w:ind w:right="-8"/>
        <w:jc w:val="center"/>
        <w:rPr>
          <w:rFonts w:ascii="Sylfaen" w:hAnsi="Sylfaen"/>
          <w:sz w:val="24"/>
          <w:szCs w:val="24"/>
          <w:u w:val="single" w:color="000000"/>
        </w:rPr>
      </w:pPr>
    </w:p>
    <w:p w14:paraId="02216EE9" w14:textId="4F408B85" w:rsidR="006F76EB" w:rsidRPr="00834D52" w:rsidRDefault="006F76EB" w:rsidP="006F76EB">
      <w:pPr>
        <w:spacing w:after="160" w:line="360" w:lineRule="auto"/>
        <w:ind w:right="-8"/>
        <w:jc w:val="center"/>
        <w:rPr>
          <w:rFonts w:ascii="Sylfaen" w:eastAsia="Times New Roman" w:hAnsi="Sylfaen" w:cs="Times New Roman"/>
          <w:sz w:val="24"/>
          <w:szCs w:val="24"/>
          <w:u w:val="single" w:color="000000"/>
        </w:rPr>
      </w:pPr>
      <w:r w:rsidRPr="00834D52">
        <w:rPr>
          <w:rFonts w:ascii="Sylfaen" w:hAnsi="Sylfaen"/>
          <w:sz w:val="24"/>
          <w:szCs w:val="24"/>
          <w:u w:val="single" w:color="000000"/>
        </w:rPr>
        <w:lastRenderedPageBreak/>
        <w:t xml:space="preserve">1. </w:t>
      </w:r>
      <w:r w:rsidR="0056496B">
        <w:rPr>
          <w:rFonts w:ascii="Sylfaen" w:hAnsi="Sylfaen"/>
          <w:sz w:val="24"/>
          <w:szCs w:val="24"/>
          <w:u w:val="single"/>
        </w:rPr>
        <w:t>Դիմում</w:t>
      </w:r>
      <w:r w:rsidRPr="00834D52">
        <w:rPr>
          <w:rFonts w:ascii="Sylfaen" w:hAnsi="Sylfaen"/>
          <w:sz w:val="24"/>
          <w:szCs w:val="24"/>
          <w:u w:val="single"/>
        </w:rPr>
        <w:t xml:space="preserve">ի </w:t>
      </w:r>
      <w:r w:rsidRPr="00834D52">
        <w:rPr>
          <w:rFonts w:ascii="Sylfaen" w:hAnsi="Sylfaen"/>
          <w:sz w:val="24"/>
          <w:szCs w:val="24"/>
          <w:u w:val="single" w:color="000000"/>
        </w:rPr>
        <w:t>ընդհանուր կետերը</w:t>
      </w:r>
    </w:p>
    <w:p w14:paraId="57A8A2F4"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p w14:paraId="7B806153" w14:textId="6850E2B4" w:rsidR="006F76EB" w:rsidRPr="00834D52" w:rsidRDefault="006F76EB" w:rsidP="0068557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յալին համապատասխան:</w:t>
      </w:r>
    </w:p>
    <w:p w14:paraId="0722B992" w14:textId="1F7CB3A0" w:rsidR="006F76EB" w:rsidRPr="00834D52" w:rsidRDefault="006F76EB" w:rsidP="0068557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ներկայացվել է փոխադարձ ճանաչման ընթացակարգով՝</w:t>
      </w:r>
    </w:p>
    <w:tbl>
      <w:tblPr>
        <w:tblW w:w="9788" w:type="dxa"/>
        <w:jc w:val="center"/>
        <w:tblLayout w:type="fixed"/>
        <w:tblCellMar>
          <w:left w:w="0" w:type="dxa"/>
          <w:right w:w="0" w:type="dxa"/>
        </w:tblCellMar>
        <w:tblLook w:val="01E0" w:firstRow="1" w:lastRow="1" w:firstColumn="1" w:lastColumn="1" w:noHBand="0" w:noVBand="0"/>
      </w:tblPr>
      <w:tblGrid>
        <w:gridCol w:w="5161"/>
        <w:gridCol w:w="4627"/>
      </w:tblGrid>
      <w:tr w:rsidR="006F76EB" w:rsidRPr="00834D52" w14:paraId="2D6E9B36"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5A35D8CD" w14:textId="77777777" w:rsidR="006F76EB" w:rsidRPr="00834D52" w:rsidRDefault="0032680A" w:rsidP="00F71229">
            <w:pPr>
              <w:spacing w:after="120" w:line="240" w:lineRule="auto"/>
              <w:ind w:left="180"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627" w:type="dxa"/>
            <w:tcBorders>
              <w:top w:val="single" w:sz="4" w:space="0" w:color="000000"/>
              <w:left w:val="single" w:sz="4" w:space="0" w:color="000000"/>
              <w:bottom w:val="single" w:sz="4" w:space="0" w:color="000000"/>
              <w:right w:val="single" w:sz="4" w:space="0" w:color="000000"/>
            </w:tcBorders>
          </w:tcPr>
          <w:p w14:paraId="5ECB043E"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E59C520"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745348C"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627" w:type="dxa"/>
            <w:tcBorders>
              <w:top w:val="single" w:sz="4" w:space="0" w:color="000000"/>
              <w:left w:val="single" w:sz="4" w:space="0" w:color="000000"/>
              <w:bottom w:val="single" w:sz="4" w:space="0" w:color="000000"/>
              <w:right w:val="single" w:sz="4" w:space="0" w:color="000000"/>
            </w:tcBorders>
          </w:tcPr>
          <w:p w14:paraId="04FD8EBE"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0D0FF33"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24EC15A6"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627" w:type="dxa"/>
            <w:tcBorders>
              <w:top w:val="single" w:sz="4" w:space="0" w:color="000000"/>
              <w:left w:val="single" w:sz="4" w:space="0" w:color="000000"/>
              <w:bottom w:val="single" w:sz="4" w:space="0" w:color="000000"/>
              <w:right w:val="single" w:sz="4" w:space="0" w:color="000000"/>
            </w:tcBorders>
          </w:tcPr>
          <w:p w14:paraId="10073D8D"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0F557C4"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6CDB0B1C"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627" w:type="dxa"/>
            <w:tcBorders>
              <w:top w:val="single" w:sz="4" w:space="0" w:color="000000"/>
              <w:left w:val="single" w:sz="4" w:space="0" w:color="000000"/>
              <w:bottom w:val="single" w:sz="4" w:space="0" w:color="000000"/>
              <w:right w:val="single" w:sz="4" w:space="0" w:color="000000"/>
            </w:tcBorders>
          </w:tcPr>
          <w:p w14:paraId="2A462B3C" w14:textId="77777777" w:rsidR="006F76EB" w:rsidRPr="00834D52" w:rsidRDefault="006F76EB" w:rsidP="00F71229">
            <w:pPr>
              <w:spacing w:after="120" w:line="240" w:lineRule="auto"/>
              <w:ind w:right="-6"/>
              <w:rPr>
                <w:rFonts w:ascii="Sylfaen" w:hAnsi="Sylfaen"/>
                <w:sz w:val="24"/>
                <w:szCs w:val="24"/>
              </w:rPr>
            </w:pPr>
          </w:p>
        </w:tc>
      </w:tr>
      <w:tr w:rsidR="006F76EB" w:rsidRPr="00834D52" w14:paraId="1D2FD13F"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3F34D22B"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627" w:type="dxa"/>
            <w:tcBorders>
              <w:top w:val="single" w:sz="4" w:space="0" w:color="000000"/>
              <w:left w:val="single" w:sz="4" w:space="0" w:color="000000"/>
              <w:bottom w:val="single" w:sz="4" w:space="0" w:color="000000"/>
              <w:right w:val="single" w:sz="4" w:space="0" w:color="000000"/>
            </w:tcBorders>
          </w:tcPr>
          <w:p w14:paraId="686F9EE6"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579CE88"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4E7B22BF" w14:textId="3EF523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գրանցման </w:t>
            </w:r>
            <w:r w:rsidR="0056496B">
              <w:rPr>
                <w:rFonts w:ascii="Sylfaen" w:hAnsi="Sylfaen"/>
                <w:sz w:val="24"/>
                <w:szCs w:val="24"/>
              </w:rPr>
              <w:t>դիմում</w:t>
            </w:r>
            <w:r w:rsidRPr="00834D52">
              <w:rPr>
                <w:rFonts w:ascii="Sylfaen" w:hAnsi="Sylfaen"/>
                <w:sz w:val="24"/>
                <w:szCs w:val="24"/>
              </w:rPr>
              <w:t>ի նույնականացման համարը</w:t>
            </w:r>
          </w:p>
        </w:tc>
        <w:tc>
          <w:tcPr>
            <w:tcW w:w="4627" w:type="dxa"/>
            <w:tcBorders>
              <w:top w:val="single" w:sz="4" w:space="0" w:color="000000"/>
              <w:left w:val="single" w:sz="4" w:space="0" w:color="000000"/>
              <w:bottom w:val="single" w:sz="4" w:space="0" w:color="000000"/>
              <w:right w:val="single" w:sz="4" w:space="0" w:color="000000"/>
            </w:tcBorders>
          </w:tcPr>
          <w:p w14:paraId="64F0D074"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EDF665"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2CF4E976"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պետությունները, որտեղ տվյալ դեղապատրաստուկն արդեն գրանցվել է (առկայության դեպքում)</w:t>
            </w:r>
          </w:p>
        </w:tc>
        <w:tc>
          <w:tcPr>
            <w:tcW w:w="4627" w:type="dxa"/>
            <w:tcBorders>
              <w:top w:val="single" w:sz="4" w:space="0" w:color="000000"/>
              <w:left w:val="single" w:sz="4" w:space="0" w:color="000000"/>
              <w:bottom w:val="single" w:sz="4" w:space="0" w:color="000000"/>
              <w:right w:val="single" w:sz="4" w:space="0" w:color="000000"/>
            </w:tcBorders>
          </w:tcPr>
          <w:p w14:paraId="4AAD143B"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09F48E3"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0126E2A"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 որտեղ դեղապատրաստուկն արդեն գրանցվել է</w:t>
            </w:r>
          </w:p>
        </w:tc>
        <w:tc>
          <w:tcPr>
            <w:tcW w:w="4627" w:type="dxa"/>
            <w:tcBorders>
              <w:top w:val="single" w:sz="4" w:space="0" w:color="000000"/>
              <w:left w:val="single" w:sz="4" w:space="0" w:color="000000"/>
              <w:bottom w:val="single" w:sz="4" w:space="0" w:color="000000"/>
              <w:right w:val="single" w:sz="4" w:space="0" w:color="000000"/>
            </w:tcBorders>
          </w:tcPr>
          <w:p w14:paraId="5E190345"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E9E4967"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79BBCCE8"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ամսաթիվը, եթե դեղապատրաստուկը գրանցված է</w:t>
            </w:r>
          </w:p>
        </w:tc>
        <w:tc>
          <w:tcPr>
            <w:tcW w:w="4627" w:type="dxa"/>
            <w:tcBorders>
              <w:top w:val="single" w:sz="4" w:space="0" w:color="000000"/>
              <w:left w:val="single" w:sz="4" w:space="0" w:color="000000"/>
              <w:bottom w:val="single" w:sz="4" w:space="0" w:color="000000"/>
              <w:right w:val="single" w:sz="4" w:space="0" w:color="000000"/>
            </w:tcBorders>
          </w:tcPr>
          <w:p w14:paraId="34B0D31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15FF201C"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1972FBE4"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հավաստագրի համարը</w:t>
            </w:r>
          </w:p>
        </w:tc>
        <w:tc>
          <w:tcPr>
            <w:tcW w:w="4627" w:type="dxa"/>
            <w:tcBorders>
              <w:top w:val="single" w:sz="4" w:space="0" w:color="000000"/>
              <w:left w:val="single" w:sz="4" w:space="0" w:color="000000"/>
              <w:bottom w:val="single" w:sz="4" w:space="0" w:color="000000"/>
              <w:right w:val="single" w:sz="4" w:space="0" w:color="000000"/>
            </w:tcBorders>
          </w:tcPr>
          <w:p w14:paraId="6B361CE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6CB5E0F"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777F9E85" w14:textId="0A282A96" w:rsidR="006F76EB" w:rsidRPr="00834D52" w:rsidRDefault="0056496B" w:rsidP="00F71229">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 ներկայացնելու համար Եվրասիական տնտեսական միության այլ անդամ պետություններ (առկայության դեպքում)</w:t>
            </w:r>
          </w:p>
        </w:tc>
        <w:tc>
          <w:tcPr>
            <w:tcW w:w="4627" w:type="dxa"/>
            <w:tcBorders>
              <w:top w:val="single" w:sz="4" w:space="0" w:color="000000"/>
              <w:left w:val="single" w:sz="4" w:space="0" w:color="000000"/>
              <w:bottom w:val="single" w:sz="4" w:space="0" w:color="000000"/>
              <w:right w:val="single" w:sz="4" w:space="0" w:color="000000"/>
            </w:tcBorders>
          </w:tcPr>
          <w:p w14:paraId="75F1580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AE266EB"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2E44AFB"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(կամ) ճանաչման պետություններում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 (եթե կիրառելի է))</w:t>
            </w:r>
          </w:p>
        </w:tc>
        <w:tc>
          <w:tcPr>
            <w:tcW w:w="4627" w:type="dxa"/>
            <w:tcBorders>
              <w:top w:val="single" w:sz="4" w:space="0" w:color="000000"/>
              <w:left w:val="single" w:sz="4" w:space="0" w:color="000000"/>
              <w:bottom w:val="single" w:sz="4" w:space="0" w:color="000000"/>
              <w:right w:val="single" w:sz="4" w:space="0" w:color="000000"/>
            </w:tcBorders>
          </w:tcPr>
          <w:p w14:paraId="0B1D3762" w14:textId="77777777" w:rsidR="006F76EB" w:rsidRPr="00834D52" w:rsidRDefault="006F76EB" w:rsidP="00F71229">
            <w:pPr>
              <w:spacing w:after="120" w:line="240" w:lineRule="auto"/>
              <w:ind w:right="-6"/>
              <w:rPr>
                <w:rFonts w:ascii="Sylfaen" w:hAnsi="Sylfaen"/>
                <w:sz w:val="24"/>
                <w:szCs w:val="24"/>
              </w:rPr>
            </w:pPr>
          </w:p>
        </w:tc>
      </w:tr>
    </w:tbl>
    <w:p w14:paraId="5A933EAB" w14:textId="77777777" w:rsidR="006F76EB" w:rsidRPr="00834D52" w:rsidRDefault="006F76EB" w:rsidP="006F76EB">
      <w:pPr>
        <w:tabs>
          <w:tab w:val="left" w:pos="1701"/>
        </w:tabs>
        <w:spacing w:after="160" w:line="360" w:lineRule="auto"/>
        <w:ind w:right="-8" w:firstLine="567"/>
        <w:rPr>
          <w:rFonts w:ascii="Sylfaen" w:hAnsi="Sylfaen"/>
          <w:sz w:val="24"/>
          <w:szCs w:val="24"/>
        </w:rPr>
      </w:pPr>
    </w:p>
    <w:p w14:paraId="5DD81A09" w14:textId="242FC5EB" w:rsidR="006F76EB" w:rsidRPr="00834D52" w:rsidRDefault="006F76EB" w:rsidP="006F76EB">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ներկայացվել է ապակենտրոնացված ընթացակարգով՝</w:t>
      </w:r>
    </w:p>
    <w:tbl>
      <w:tblPr>
        <w:tblW w:w="10259" w:type="dxa"/>
        <w:tblInd w:w="-336" w:type="dxa"/>
        <w:tblLayout w:type="fixed"/>
        <w:tblCellMar>
          <w:left w:w="0" w:type="dxa"/>
          <w:right w:w="0" w:type="dxa"/>
        </w:tblCellMar>
        <w:tblLook w:val="01E0" w:firstRow="1" w:lastRow="1" w:firstColumn="1" w:lastColumn="1" w:noHBand="0" w:noVBand="0"/>
      </w:tblPr>
      <w:tblGrid>
        <w:gridCol w:w="5041"/>
        <w:gridCol w:w="5218"/>
      </w:tblGrid>
      <w:tr w:rsidR="006F76EB" w:rsidRPr="00834D52" w14:paraId="66DC71F7" w14:textId="77777777" w:rsidTr="009A3F22">
        <w:trPr>
          <w:trHeight w:val="589"/>
        </w:trPr>
        <w:tc>
          <w:tcPr>
            <w:tcW w:w="5041" w:type="dxa"/>
            <w:tcBorders>
              <w:top w:val="single" w:sz="4" w:space="0" w:color="000000"/>
              <w:left w:val="single" w:sz="4" w:space="0" w:color="000000"/>
              <w:bottom w:val="single" w:sz="4" w:space="0" w:color="000000"/>
              <w:right w:val="single" w:sz="4" w:space="0" w:color="000000"/>
            </w:tcBorders>
            <w:vAlign w:val="center"/>
          </w:tcPr>
          <w:p w14:paraId="466BA509" w14:textId="42831726" w:rsidR="006F76EB" w:rsidRPr="00834D52" w:rsidRDefault="0056496B" w:rsidP="009A3F22">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218" w:type="dxa"/>
            <w:tcBorders>
              <w:top w:val="single" w:sz="4" w:space="0" w:color="000000"/>
              <w:left w:val="single" w:sz="4" w:space="0" w:color="000000"/>
              <w:bottom w:val="single" w:sz="4" w:space="0" w:color="000000"/>
              <w:right w:val="single" w:sz="4" w:space="0" w:color="000000"/>
            </w:tcBorders>
          </w:tcPr>
          <w:p w14:paraId="2AA714FA" w14:textId="77777777" w:rsidR="006F76EB" w:rsidRPr="00834D52" w:rsidRDefault="006F76EB" w:rsidP="008214E9">
            <w:pPr>
              <w:spacing w:after="120" w:line="240" w:lineRule="auto"/>
              <w:ind w:right="-6"/>
              <w:rPr>
                <w:rFonts w:ascii="Sylfaen" w:hAnsi="Sylfaen"/>
                <w:sz w:val="24"/>
                <w:szCs w:val="24"/>
              </w:rPr>
            </w:pPr>
          </w:p>
        </w:tc>
      </w:tr>
      <w:tr w:rsidR="006F76EB" w:rsidRPr="00834D52" w14:paraId="28E61D06" w14:textId="77777777" w:rsidTr="009A3F22">
        <w:trPr>
          <w:trHeight w:val="611"/>
        </w:trPr>
        <w:tc>
          <w:tcPr>
            <w:tcW w:w="5041" w:type="dxa"/>
            <w:tcBorders>
              <w:top w:val="single" w:sz="4" w:space="0" w:color="000000"/>
              <w:left w:val="single" w:sz="4" w:space="0" w:color="000000"/>
              <w:bottom w:val="single" w:sz="4" w:space="0" w:color="000000"/>
              <w:right w:val="single" w:sz="4" w:space="0" w:color="000000"/>
            </w:tcBorders>
            <w:vAlign w:val="center"/>
          </w:tcPr>
          <w:p w14:paraId="320D04F2" w14:textId="77777777" w:rsidR="006F76EB" w:rsidRPr="00834D52" w:rsidRDefault="0032680A" w:rsidP="009A3F22">
            <w:pPr>
              <w:spacing w:after="120" w:line="240" w:lineRule="auto"/>
              <w:ind w:left="180"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218" w:type="dxa"/>
            <w:tcBorders>
              <w:top w:val="single" w:sz="4" w:space="0" w:color="000000"/>
              <w:left w:val="single" w:sz="4" w:space="0" w:color="000000"/>
              <w:bottom w:val="single" w:sz="4" w:space="0" w:color="000000"/>
              <w:right w:val="single" w:sz="4" w:space="0" w:color="000000"/>
            </w:tcBorders>
          </w:tcPr>
          <w:p w14:paraId="38838730" w14:textId="77777777" w:rsidR="006F76EB" w:rsidRPr="00834D52" w:rsidRDefault="006F76EB" w:rsidP="008214E9">
            <w:pPr>
              <w:spacing w:after="120" w:line="240" w:lineRule="auto"/>
              <w:ind w:right="-6"/>
              <w:rPr>
                <w:rFonts w:ascii="Sylfaen" w:hAnsi="Sylfaen"/>
                <w:sz w:val="24"/>
                <w:szCs w:val="24"/>
              </w:rPr>
            </w:pPr>
          </w:p>
        </w:tc>
      </w:tr>
      <w:tr w:rsidR="006F76EB" w:rsidRPr="00834D52" w14:paraId="3D6C553C" w14:textId="77777777" w:rsidTr="009A3F22">
        <w:trPr>
          <w:trHeight w:val="1058"/>
        </w:trPr>
        <w:tc>
          <w:tcPr>
            <w:tcW w:w="5041" w:type="dxa"/>
            <w:tcBorders>
              <w:top w:val="single" w:sz="4" w:space="0" w:color="000000"/>
              <w:left w:val="single" w:sz="4" w:space="0" w:color="000000"/>
              <w:bottom w:val="single" w:sz="4" w:space="0" w:color="000000"/>
              <w:right w:val="single" w:sz="4" w:space="0" w:color="000000"/>
            </w:tcBorders>
            <w:vAlign w:val="center"/>
          </w:tcPr>
          <w:p w14:paraId="1EF427D4" w14:textId="77777777" w:rsidR="006F76EB" w:rsidRPr="00834D52" w:rsidRDefault="006F76EB" w:rsidP="009A3F2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218" w:type="dxa"/>
            <w:tcBorders>
              <w:top w:val="single" w:sz="4" w:space="0" w:color="000000"/>
              <w:left w:val="single" w:sz="4" w:space="0" w:color="000000"/>
              <w:bottom w:val="single" w:sz="4" w:space="0" w:color="000000"/>
              <w:right w:val="single" w:sz="4" w:space="0" w:color="000000"/>
            </w:tcBorders>
          </w:tcPr>
          <w:p w14:paraId="17A8AFC8" w14:textId="77777777" w:rsidR="006F76EB" w:rsidRPr="00834D52" w:rsidRDefault="006F76EB" w:rsidP="008214E9">
            <w:pPr>
              <w:spacing w:after="120" w:line="240" w:lineRule="auto"/>
              <w:ind w:right="-6"/>
              <w:rPr>
                <w:rFonts w:ascii="Sylfaen" w:hAnsi="Sylfaen"/>
                <w:sz w:val="24"/>
                <w:szCs w:val="24"/>
              </w:rPr>
            </w:pPr>
          </w:p>
        </w:tc>
      </w:tr>
      <w:tr w:rsidR="006F76EB" w:rsidRPr="00834D52" w14:paraId="08937316" w14:textId="77777777" w:rsidTr="009A3F22">
        <w:trPr>
          <w:trHeight w:val="1058"/>
        </w:trPr>
        <w:tc>
          <w:tcPr>
            <w:tcW w:w="5041" w:type="dxa"/>
            <w:tcBorders>
              <w:top w:val="single" w:sz="4" w:space="0" w:color="000000"/>
              <w:left w:val="single" w:sz="4" w:space="0" w:color="000000"/>
              <w:bottom w:val="single" w:sz="4" w:space="0" w:color="000000"/>
              <w:right w:val="single" w:sz="4" w:space="0" w:color="000000"/>
            </w:tcBorders>
            <w:vAlign w:val="center"/>
          </w:tcPr>
          <w:p w14:paraId="000EC6E0" w14:textId="5BCAF558" w:rsidR="006F76EB" w:rsidRPr="00834D52" w:rsidRDefault="0056496B" w:rsidP="009A3F22">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 ներկայացնելու համար ճանաչման պետությունները</w:t>
            </w:r>
          </w:p>
        </w:tc>
        <w:tc>
          <w:tcPr>
            <w:tcW w:w="5218" w:type="dxa"/>
            <w:tcBorders>
              <w:top w:val="single" w:sz="4" w:space="0" w:color="000000"/>
              <w:left w:val="single" w:sz="4" w:space="0" w:color="000000"/>
              <w:bottom w:val="single" w:sz="4" w:space="0" w:color="000000"/>
              <w:right w:val="single" w:sz="4" w:space="0" w:color="000000"/>
            </w:tcBorders>
          </w:tcPr>
          <w:p w14:paraId="51F03E50" w14:textId="77777777" w:rsidR="006F76EB" w:rsidRPr="00834D52" w:rsidRDefault="006F76EB" w:rsidP="008214E9">
            <w:pPr>
              <w:spacing w:after="120" w:line="240" w:lineRule="auto"/>
              <w:ind w:right="-6"/>
              <w:rPr>
                <w:rFonts w:ascii="Sylfaen" w:hAnsi="Sylfaen"/>
                <w:sz w:val="24"/>
                <w:szCs w:val="24"/>
              </w:rPr>
            </w:pPr>
          </w:p>
        </w:tc>
      </w:tr>
      <w:tr w:rsidR="006F76EB" w:rsidRPr="00834D52" w14:paraId="3E53883B" w14:textId="77777777" w:rsidTr="009A3F22">
        <w:trPr>
          <w:trHeight w:val="2847"/>
        </w:trPr>
        <w:tc>
          <w:tcPr>
            <w:tcW w:w="5041" w:type="dxa"/>
            <w:tcBorders>
              <w:top w:val="single" w:sz="4" w:space="0" w:color="000000"/>
              <w:left w:val="single" w:sz="4" w:space="0" w:color="000000"/>
              <w:bottom w:val="single" w:sz="4" w:space="0" w:color="000000"/>
              <w:right w:val="single" w:sz="4" w:space="0" w:color="000000"/>
            </w:tcBorders>
            <w:vAlign w:val="center"/>
          </w:tcPr>
          <w:p w14:paraId="1BB2C2F3" w14:textId="77777777" w:rsidR="006F76EB" w:rsidRPr="00834D52" w:rsidRDefault="006F76EB" w:rsidP="009A3F2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(կամ) ճանաչման պետություններում առ</w:t>
            </w:r>
            <w:r w:rsidR="00C54D75">
              <w:rPr>
                <w:rFonts w:ascii="Sylfaen" w:hAnsi="Sylfaen"/>
                <w:sz w:val="24"/>
                <w:szCs w:val="24"/>
              </w:rPr>
              <w:t>և</w:t>
            </w:r>
            <w:r w:rsidRPr="00834D52">
              <w:rPr>
                <w:rFonts w:ascii="Sylfaen" w:hAnsi="Sylfaen"/>
                <w:sz w:val="24"/>
                <w:szCs w:val="24"/>
              </w:rPr>
              <w:t>տրային անվանումից տարբերվելու դեպքում</w:t>
            </w:r>
            <w:r w:rsidRPr="00834D52">
              <w:rPr>
                <w:rFonts w:ascii="Sylfaen" w:hAnsi="Sylfaen"/>
                <w:sz w:val="24"/>
                <w:szCs w:val="24"/>
              </w:rPr>
              <w:br/>
              <w:t>(եթե կիրառելի է))</w:t>
            </w:r>
          </w:p>
        </w:tc>
        <w:tc>
          <w:tcPr>
            <w:tcW w:w="5218" w:type="dxa"/>
            <w:tcBorders>
              <w:top w:val="single" w:sz="4" w:space="0" w:color="000000"/>
              <w:left w:val="single" w:sz="4" w:space="0" w:color="000000"/>
              <w:bottom w:val="single" w:sz="4" w:space="0" w:color="000000"/>
              <w:right w:val="single" w:sz="4" w:space="0" w:color="000000"/>
            </w:tcBorders>
          </w:tcPr>
          <w:p w14:paraId="33EDA158" w14:textId="77777777" w:rsidR="006F76EB" w:rsidRPr="00834D52" w:rsidRDefault="006F76EB" w:rsidP="008214E9">
            <w:pPr>
              <w:spacing w:after="120" w:line="240" w:lineRule="auto"/>
              <w:ind w:right="-6"/>
              <w:rPr>
                <w:rFonts w:ascii="Sylfaen" w:hAnsi="Sylfaen"/>
                <w:sz w:val="24"/>
                <w:szCs w:val="24"/>
              </w:rPr>
            </w:pPr>
          </w:p>
        </w:tc>
      </w:tr>
    </w:tbl>
    <w:p w14:paraId="259E226A" w14:textId="77777777" w:rsidR="008214E9" w:rsidRPr="007F5A60" w:rsidRDefault="008214E9" w:rsidP="006F76EB">
      <w:pPr>
        <w:tabs>
          <w:tab w:val="left" w:pos="1701"/>
        </w:tabs>
        <w:spacing w:after="160" w:line="360" w:lineRule="auto"/>
        <w:ind w:right="-8" w:firstLine="567"/>
        <w:jc w:val="both"/>
        <w:rPr>
          <w:rFonts w:ascii="Sylfaen" w:hAnsi="Sylfaen"/>
          <w:sz w:val="24"/>
          <w:szCs w:val="24"/>
        </w:rPr>
      </w:pPr>
    </w:p>
    <w:p w14:paraId="3E9B1453" w14:textId="07BEFB85"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1.1.3.</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ը ներկայացվել է փոխադարձ ճանաչման ընթացակարգով գրանցման դոսյեն Եվրասիական տնտեսական միության պահանջներին համապատասխանեցնելու նպատակով՝ </w:t>
      </w:r>
    </w:p>
    <w:tbl>
      <w:tblPr>
        <w:tblW w:w="9755" w:type="dxa"/>
        <w:jc w:val="center"/>
        <w:tblLayout w:type="fixed"/>
        <w:tblCellMar>
          <w:left w:w="0" w:type="dxa"/>
          <w:right w:w="0" w:type="dxa"/>
        </w:tblCellMar>
        <w:tblLook w:val="01E0" w:firstRow="1" w:lastRow="1" w:firstColumn="1" w:lastColumn="1" w:noHBand="0" w:noVBand="0"/>
      </w:tblPr>
      <w:tblGrid>
        <w:gridCol w:w="5020"/>
        <w:gridCol w:w="4735"/>
      </w:tblGrid>
      <w:tr w:rsidR="006F76EB" w:rsidRPr="00834D52" w14:paraId="76F8BDDC" w14:textId="77777777" w:rsidTr="00D641AF">
        <w:trPr>
          <w:trHeight w:val="429"/>
          <w:jc w:val="center"/>
        </w:trPr>
        <w:tc>
          <w:tcPr>
            <w:tcW w:w="5020" w:type="dxa"/>
            <w:tcBorders>
              <w:top w:val="single" w:sz="4" w:space="0" w:color="000000"/>
              <w:left w:val="single" w:sz="4" w:space="0" w:color="000000"/>
              <w:bottom w:val="single" w:sz="4" w:space="0" w:color="000000"/>
              <w:right w:val="single" w:sz="4" w:space="0" w:color="000000"/>
            </w:tcBorders>
          </w:tcPr>
          <w:p w14:paraId="5E67897E" w14:textId="77777777" w:rsidR="006F76EB" w:rsidRPr="00834D52" w:rsidRDefault="0032680A" w:rsidP="007040C0">
            <w:pPr>
              <w:spacing w:after="120" w:line="240" w:lineRule="auto"/>
              <w:ind w:left="180" w:right="67"/>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735" w:type="dxa"/>
            <w:tcBorders>
              <w:top w:val="single" w:sz="4" w:space="0" w:color="000000"/>
              <w:left w:val="single" w:sz="4" w:space="0" w:color="000000"/>
              <w:bottom w:val="single" w:sz="4" w:space="0" w:color="000000"/>
              <w:right w:val="single" w:sz="4" w:space="0" w:color="000000"/>
            </w:tcBorders>
          </w:tcPr>
          <w:p w14:paraId="4512A2B4" w14:textId="77777777" w:rsidR="006F76EB" w:rsidRPr="00834D52" w:rsidRDefault="006F76EB" w:rsidP="007040C0">
            <w:pPr>
              <w:spacing w:after="120" w:line="240" w:lineRule="auto"/>
              <w:ind w:right="-8"/>
              <w:rPr>
                <w:rFonts w:ascii="Sylfaen" w:hAnsi="Sylfaen"/>
                <w:sz w:val="24"/>
                <w:szCs w:val="24"/>
              </w:rPr>
            </w:pPr>
          </w:p>
        </w:tc>
      </w:tr>
      <w:tr w:rsidR="006F76EB" w:rsidRPr="00834D52" w14:paraId="582D42C4"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3F98A565"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735" w:type="dxa"/>
            <w:tcBorders>
              <w:top w:val="single" w:sz="4" w:space="0" w:color="000000"/>
              <w:left w:val="single" w:sz="4" w:space="0" w:color="000000"/>
              <w:bottom w:val="single" w:sz="4" w:space="0" w:color="000000"/>
              <w:right w:val="single" w:sz="4" w:space="0" w:color="000000"/>
            </w:tcBorders>
          </w:tcPr>
          <w:p w14:paraId="5E0DF2E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1681854D" w14:textId="77777777" w:rsidTr="00D641AF">
        <w:trPr>
          <w:trHeight w:val="446"/>
          <w:jc w:val="center"/>
        </w:trPr>
        <w:tc>
          <w:tcPr>
            <w:tcW w:w="5020" w:type="dxa"/>
            <w:tcBorders>
              <w:top w:val="single" w:sz="4" w:space="0" w:color="000000"/>
              <w:left w:val="single" w:sz="4" w:space="0" w:color="000000"/>
              <w:bottom w:val="single" w:sz="4" w:space="0" w:color="000000"/>
              <w:right w:val="single" w:sz="4" w:space="0" w:color="000000"/>
            </w:tcBorders>
          </w:tcPr>
          <w:p w14:paraId="5B673CC8"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ամսաթիվը</w:t>
            </w:r>
          </w:p>
        </w:tc>
        <w:tc>
          <w:tcPr>
            <w:tcW w:w="4735" w:type="dxa"/>
            <w:tcBorders>
              <w:top w:val="single" w:sz="4" w:space="0" w:color="000000"/>
              <w:left w:val="single" w:sz="4" w:space="0" w:color="000000"/>
              <w:bottom w:val="single" w:sz="4" w:space="0" w:color="000000"/>
              <w:right w:val="single" w:sz="4" w:space="0" w:color="000000"/>
            </w:tcBorders>
          </w:tcPr>
          <w:p w14:paraId="2293ADD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05CA4408" w14:textId="77777777" w:rsidTr="00D641AF">
        <w:trPr>
          <w:trHeight w:val="446"/>
          <w:jc w:val="center"/>
        </w:trPr>
        <w:tc>
          <w:tcPr>
            <w:tcW w:w="5020" w:type="dxa"/>
            <w:tcBorders>
              <w:top w:val="single" w:sz="4" w:space="0" w:color="000000"/>
              <w:left w:val="single" w:sz="4" w:space="0" w:color="000000"/>
              <w:bottom w:val="single" w:sz="4" w:space="0" w:color="000000"/>
              <w:right w:val="single" w:sz="4" w:space="0" w:color="000000"/>
            </w:tcBorders>
          </w:tcPr>
          <w:p w14:paraId="01E38D2E"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735" w:type="dxa"/>
            <w:tcBorders>
              <w:top w:val="single" w:sz="4" w:space="0" w:color="000000"/>
              <w:left w:val="single" w:sz="4" w:space="0" w:color="000000"/>
              <w:bottom w:val="single" w:sz="4" w:space="0" w:color="000000"/>
              <w:right w:val="single" w:sz="4" w:space="0" w:color="000000"/>
            </w:tcBorders>
          </w:tcPr>
          <w:p w14:paraId="11ABC5A7" w14:textId="77777777" w:rsidR="006F76EB" w:rsidRPr="00834D52" w:rsidRDefault="006F76EB" w:rsidP="007040C0">
            <w:pPr>
              <w:spacing w:after="120" w:line="240" w:lineRule="auto"/>
              <w:ind w:right="-8"/>
              <w:rPr>
                <w:rFonts w:ascii="Sylfaen" w:hAnsi="Sylfaen"/>
                <w:sz w:val="24"/>
                <w:szCs w:val="24"/>
              </w:rPr>
            </w:pPr>
          </w:p>
        </w:tc>
      </w:tr>
      <w:tr w:rsidR="006F76EB" w:rsidRPr="00834D52" w14:paraId="2E73D47F" w14:textId="77777777" w:rsidTr="00D641AF">
        <w:trPr>
          <w:trHeight w:val="429"/>
          <w:jc w:val="center"/>
        </w:trPr>
        <w:tc>
          <w:tcPr>
            <w:tcW w:w="5020" w:type="dxa"/>
            <w:tcBorders>
              <w:top w:val="single" w:sz="4" w:space="0" w:color="000000"/>
              <w:left w:val="single" w:sz="4" w:space="0" w:color="000000"/>
              <w:bottom w:val="single" w:sz="4" w:space="0" w:color="000000"/>
              <w:right w:val="single" w:sz="4" w:space="0" w:color="000000"/>
            </w:tcBorders>
          </w:tcPr>
          <w:p w14:paraId="3BA09F67"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735" w:type="dxa"/>
            <w:tcBorders>
              <w:top w:val="single" w:sz="4" w:space="0" w:color="000000"/>
              <w:left w:val="single" w:sz="4" w:space="0" w:color="000000"/>
              <w:bottom w:val="single" w:sz="4" w:space="0" w:color="000000"/>
              <w:right w:val="single" w:sz="4" w:space="0" w:color="000000"/>
            </w:tcBorders>
          </w:tcPr>
          <w:p w14:paraId="1C100A9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45CA5C76" w14:textId="77777777" w:rsidTr="00D641AF">
        <w:trPr>
          <w:trHeight w:val="1406"/>
          <w:jc w:val="center"/>
        </w:trPr>
        <w:tc>
          <w:tcPr>
            <w:tcW w:w="5020" w:type="dxa"/>
            <w:tcBorders>
              <w:top w:val="single" w:sz="4" w:space="0" w:color="000000"/>
              <w:left w:val="single" w:sz="4" w:space="0" w:color="000000"/>
              <w:bottom w:val="single" w:sz="4" w:space="0" w:color="000000"/>
              <w:right w:val="single" w:sz="4" w:space="0" w:color="000000"/>
            </w:tcBorders>
          </w:tcPr>
          <w:p w14:paraId="2CABCD1A" w14:textId="24E647AC"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դոսյեն Եվրասիական տնտեսական միության պահանջներին համապատասխանեցնելու </w:t>
            </w:r>
            <w:r w:rsidR="0056496B">
              <w:rPr>
                <w:rFonts w:ascii="Sylfaen" w:hAnsi="Sylfaen"/>
                <w:sz w:val="24"/>
                <w:szCs w:val="24"/>
              </w:rPr>
              <w:t>դիմում</w:t>
            </w:r>
            <w:r w:rsidRPr="00834D52">
              <w:rPr>
                <w:rFonts w:ascii="Sylfaen" w:hAnsi="Sylfaen"/>
                <w:sz w:val="24"/>
                <w:szCs w:val="24"/>
              </w:rPr>
              <w:t>ի նույնականացման համարը</w:t>
            </w:r>
          </w:p>
        </w:tc>
        <w:tc>
          <w:tcPr>
            <w:tcW w:w="4735" w:type="dxa"/>
            <w:tcBorders>
              <w:top w:val="single" w:sz="4" w:space="0" w:color="000000"/>
              <w:left w:val="single" w:sz="4" w:space="0" w:color="000000"/>
              <w:bottom w:val="single" w:sz="4" w:space="0" w:color="000000"/>
              <w:right w:val="single" w:sz="4" w:space="0" w:color="000000"/>
            </w:tcBorders>
          </w:tcPr>
          <w:p w14:paraId="55E8246D" w14:textId="77777777" w:rsidR="006F76EB" w:rsidRPr="00834D52" w:rsidRDefault="006F76EB" w:rsidP="007040C0">
            <w:pPr>
              <w:spacing w:after="120" w:line="240" w:lineRule="auto"/>
              <w:ind w:right="-8"/>
              <w:rPr>
                <w:rFonts w:ascii="Sylfaen" w:hAnsi="Sylfaen"/>
                <w:sz w:val="24"/>
                <w:szCs w:val="24"/>
              </w:rPr>
            </w:pPr>
          </w:p>
        </w:tc>
      </w:tr>
      <w:tr w:rsidR="006F76EB" w:rsidRPr="00834D52" w14:paraId="5AB0B096" w14:textId="77777777" w:rsidTr="00D641AF">
        <w:trPr>
          <w:trHeight w:val="1406"/>
          <w:jc w:val="center"/>
        </w:trPr>
        <w:tc>
          <w:tcPr>
            <w:tcW w:w="5020" w:type="dxa"/>
            <w:tcBorders>
              <w:top w:val="single" w:sz="4" w:space="0" w:color="000000"/>
              <w:left w:val="single" w:sz="4" w:space="0" w:color="000000"/>
              <w:bottom w:val="single" w:sz="4" w:space="0" w:color="000000"/>
              <w:right w:val="single" w:sz="4" w:space="0" w:color="000000"/>
            </w:tcBorders>
          </w:tcPr>
          <w:p w14:paraId="7F4A0629"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lastRenderedPageBreak/>
              <w:t>Եվրասիական տնտեսական միության անդամ պետությունները, որտեղ դեղապատրաստուկն արդեն գրանցվել է (առկայության դեպքում)</w:t>
            </w:r>
          </w:p>
        </w:tc>
        <w:tc>
          <w:tcPr>
            <w:tcW w:w="4735" w:type="dxa"/>
            <w:tcBorders>
              <w:top w:val="single" w:sz="4" w:space="0" w:color="000000"/>
              <w:left w:val="single" w:sz="4" w:space="0" w:color="000000"/>
              <w:bottom w:val="single" w:sz="4" w:space="0" w:color="000000"/>
              <w:right w:val="single" w:sz="4" w:space="0" w:color="000000"/>
            </w:tcBorders>
          </w:tcPr>
          <w:p w14:paraId="55DB574B" w14:textId="77777777" w:rsidR="006F76EB" w:rsidRPr="00834D52" w:rsidRDefault="006F76EB" w:rsidP="007040C0">
            <w:pPr>
              <w:spacing w:after="120" w:line="240" w:lineRule="auto"/>
              <w:ind w:right="-8"/>
              <w:rPr>
                <w:rFonts w:ascii="Sylfaen" w:hAnsi="Sylfaen"/>
                <w:sz w:val="24"/>
                <w:szCs w:val="24"/>
              </w:rPr>
            </w:pPr>
          </w:p>
        </w:tc>
      </w:tr>
      <w:tr w:rsidR="006F76EB" w:rsidRPr="00834D52" w14:paraId="34EDA1FA" w14:textId="77777777" w:rsidTr="00D641AF">
        <w:trPr>
          <w:trHeight w:val="977"/>
          <w:jc w:val="center"/>
        </w:trPr>
        <w:tc>
          <w:tcPr>
            <w:tcW w:w="5020" w:type="dxa"/>
            <w:tcBorders>
              <w:top w:val="single" w:sz="4" w:space="0" w:color="000000"/>
              <w:left w:val="single" w:sz="4" w:space="0" w:color="000000"/>
              <w:bottom w:val="single" w:sz="4" w:space="0" w:color="000000"/>
              <w:right w:val="single" w:sz="4" w:space="0" w:color="000000"/>
            </w:tcBorders>
          </w:tcPr>
          <w:p w14:paraId="47734A40"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որտեղ դեղապատրաստուկն արդեն գրանցվել է (</w:t>
            </w:r>
            <w:r w:rsidR="0032680A">
              <w:rPr>
                <w:rFonts w:ascii="Sylfaen" w:hAnsi="Sylfaen"/>
                <w:sz w:val="24"/>
                <w:szCs w:val="24"/>
              </w:rPr>
              <w:t xml:space="preserve">ռեֆերենտ </w:t>
            </w:r>
            <w:r w:rsidRPr="00834D52">
              <w:rPr>
                <w:rFonts w:ascii="Sylfaen" w:hAnsi="Sylfaen"/>
                <w:sz w:val="24"/>
                <w:szCs w:val="24"/>
              </w:rPr>
              <w:t>պետությունում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w:t>
            </w:r>
          </w:p>
        </w:tc>
        <w:tc>
          <w:tcPr>
            <w:tcW w:w="4735" w:type="dxa"/>
            <w:tcBorders>
              <w:top w:val="single" w:sz="4" w:space="0" w:color="000000"/>
              <w:left w:val="single" w:sz="4" w:space="0" w:color="000000"/>
              <w:bottom w:val="single" w:sz="4" w:space="0" w:color="000000"/>
              <w:right w:val="single" w:sz="4" w:space="0" w:color="000000"/>
            </w:tcBorders>
          </w:tcPr>
          <w:p w14:paraId="2CF45856" w14:textId="77777777" w:rsidR="006F76EB" w:rsidRPr="00834D52" w:rsidRDefault="006F76EB" w:rsidP="007040C0">
            <w:pPr>
              <w:spacing w:after="120" w:line="240" w:lineRule="auto"/>
              <w:ind w:right="-8"/>
              <w:rPr>
                <w:rFonts w:ascii="Sylfaen" w:hAnsi="Sylfaen"/>
                <w:sz w:val="24"/>
                <w:szCs w:val="24"/>
              </w:rPr>
            </w:pPr>
          </w:p>
        </w:tc>
      </w:tr>
      <w:tr w:rsidR="006F76EB" w:rsidRPr="00834D52" w14:paraId="0795494F" w14:textId="77777777" w:rsidTr="00D641AF">
        <w:trPr>
          <w:trHeight w:val="1081"/>
          <w:jc w:val="center"/>
        </w:trPr>
        <w:tc>
          <w:tcPr>
            <w:tcW w:w="5020" w:type="dxa"/>
            <w:tcBorders>
              <w:top w:val="single" w:sz="4" w:space="0" w:color="000000"/>
              <w:left w:val="single" w:sz="4" w:space="0" w:color="000000"/>
              <w:bottom w:val="single" w:sz="4" w:space="0" w:color="000000"/>
              <w:right w:val="single" w:sz="4" w:space="0" w:color="000000"/>
            </w:tcBorders>
          </w:tcPr>
          <w:p w14:paraId="1B6BB948"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ամսաթիվը, եթե դեղապատրաստուկը գրանցված է</w:t>
            </w:r>
          </w:p>
        </w:tc>
        <w:tc>
          <w:tcPr>
            <w:tcW w:w="4735" w:type="dxa"/>
            <w:tcBorders>
              <w:top w:val="single" w:sz="4" w:space="0" w:color="000000"/>
              <w:left w:val="single" w:sz="4" w:space="0" w:color="000000"/>
              <w:bottom w:val="single" w:sz="4" w:space="0" w:color="000000"/>
              <w:right w:val="single" w:sz="4" w:space="0" w:color="000000"/>
            </w:tcBorders>
          </w:tcPr>
          <w:p w14:paraId="0EAFC13F" w14:textId="77777777" w:rsidR="006F76EB" w:rsidRPr="00834D52" w:rsidRDefault="006F76EB" w:rsidP="007040C0">
            <w:pPr>
              <w:spacing w:after="120" w:line="240" w:lineRule="auto"/>
              <w:ind w:right="-8"/>
              <w:rPr>
                <w:rFonts w:ascii="Sylfaen" w:hAnsi="Sylfaen"/>
                <w:sz w:val="24"/>
                <w:szCs w:val="24"/>
              </w:rPr>
            </w:pPr>
          </w:p>
        </w:tc>
      </w:tr>
      <w:tr w:rsidR="006F76EB" w:rsidRPr="00834D52" w14:paraId="30685FE9"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052A10C1"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համարը ճանաչման պետություններում</w:t>
            </w:r>
          </w:p>
        </w:tc>
        <w:tc>
          <w:tcPr>
            <w:tcW w:w="4735" w:type="dxa"/>
            <w:tcBorders>
              <w:top w:val="single" w:sz="4" w:space="0" w:color="000000"/>
              <w:left w:val="single" w:sz="4" w:space="0" w:color="000000"/>
              <w:bottom w:val="single" w:sz="4" w:space="0" w:color="000000"/>
              <w:right w:val="single" w:sz="4" w:space="0" w:color="000000"/>
            </w:tcBorders>
          </w:tcPr>
          <w:p w14:paraId="39D1604E" w14:textId="77777777" w:rsidR="006F76EB" w:rsidRPr="00834D52" w:rsidRDefault="006F76EB" w:rsidP="007040C0">
            <w:pPr>
              <w:spacing w:after="120" w:line="240" w:lineRule="auto"/>
              <w:ind w:right="-8"/>
              <w:rPr>
                <w:rFonts w:ascii="Sylfaen" w:hAnsi="Sylfaen"/>
                <w:sz w:val="24"/>
                <w:szCs w:val="24"/>
              </w:rPr>
            </w:pPr>
          </w:p>
        </w:tc>
      </w:tr>
      <w:tr w:rsidR="00F537E4" w:rsidRPr="00834D52" w14:paraId="39B3D151"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46FCAC39" w14:textId="5EB8FB20" w:rsidR="00F537E4" w:rsidRPr="00AB17F6" w:rsidRDefault="00F537E4" w:rsidP="007040C0">
            <w:pPr>
              <w:spacing w:after="120" w:line="240" w:lineRule="auto"/>
              <w:ind w:left="180" w:right="67"/>
              <w:rPr>
                <w:rFonts w:ascii="Sylfaen" w:hAnsi="Sylfaen"/>
                <w:sz w:val="24"/>
                <w:szCs w:val="24"/>
              </w:rPr>
            </w:pPr>
            <w:r w:rsidRPr="00AB17F6">
              <w:rPr>
                <w:rFonts w:ascii="Sylfaen" w:hAnsi="Sylfaen"/>
                <w:sz w:val="24"/>
                <w:szCs w:val="24"/>
              </w:rPr>
              <w:t>Եվրասիական տնտեսական միության այլ անդամ պետություններ՝ դիմում ներկայացնելու համար (առկայության դեպքում)</w:t>
            </w:r>
          </w:p>
        </w:tc>
        <w:tc>
          <w:tcPr>
            <w:tcW w:w="4735" w:type="dxa"/>
            <w:tcBorders>
              <w:top w:val="single" w:sz="4" w:space="0" w:color="000000"/>
              <w:left w:val="single" w:sz="4" w:space="0" w:color="000000"/>
              <w:bottom w:val="single" w:sz="4" w:space="0" w:color="000000"/>
              <w:right w:val="single" w:sz="4" w:space="0" w:color="000000"/>
            </w:tcBorders>
          </w:tcPr>
          <w:p w14:paraId="6667DDC6" w14:textId="77777777" w:rsidR="00F537E4" w:rsidRPr="00834D52" w:rsidRDefault="00F537E4" w:rsidP="007040C0">
            <w:pPr>
              <w:spacing w:after="120" w:line="240" w:lineRule="auto"/>
              <w:ind w:right="-8"/>
              <w:rPr>
                <w:rFonts w:ascii="Sylfaen" w:hAnsi="Sylfaen"/>
                <w:sz w:val="24"/>
                <w:szCs w:val="24"/>
              </w:rPr>
            </w:pPr>
          </w:p>
        </w:tc>
      </w:tr>
      <w:tr w:rsidR="00F537E4" w:rsidRPr="00834D52" w14:paraId="0125F035"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08BBD458" w14:textId="77777777" w:rsidR="00F537E4" w:rsidRPr="00834D52" w:rsidRDefault="00F537E4" w:rsidP="007040C0">
            <w:pPr>
              <w:spacing w:after="120" w:line="240" w:lineRule="auto"/>
              <w:ind w:left="180" w:right="67"/>
              <w:rPr>
                <w:rFonts w:ascii="Sylfaen" w:hAnsi="Sylfaen"/>
                <w:sz w:val="24"/>
                <w:szCs w:val="24"/>
              </w:rPr>
            </w:pPr>
          </w:p>
        </w:tc>
        <w:tc>
          <w:tcPr>
            <w:tcW w:w="4735" w:type="dxa"/>
            <w:tcBorders>
              <w:top w:val="single" w:sz="4" w:space="0" w:color="000000"/>
              <w:left w:val="single" w:sz="4" w:space="0" w:color="000000"/>
              <w:bottom w:val="single" w:sz="4" w:space="0" w:color="000000"/>
              <w:right w:val="single" w:sz="4" w:space="0" w:color="000000"/>
            </w:tcBorders>
          </w:tcPr>
          <w:p w14:paraId="28CDFB14" w14:textId="77777777" w:rsidR="00F537E4" w:rsidRPr="00834D52" w:rsidRDefault="00F537E4" w:rsidP="007040C0">
            <w:pPr>
              <w:spacing w:after="120" w:line="240" w:lineRule="auto"/>
              <w:ind w:right="-8"/>
              <w:rPr>
                <w:rFonts w:ascii="Sylfaen" w:hAnsi="Sylfaen"/>
                <w:sz w:val="24"/>
                <w:szCs w:val="24"/>
              </w:rPr>
            </w:pPr>
          </w:p>
        </w:tc>
      </w:tr>
    </w:tbl>
    <w:p w14:paraId="15EB5290" w14:textId="689A18E5" w:rsidR="008D05A2" w:rsidRPr="006F28F9" w:rsidRDefault="008D05A2" w:rsidP="008D05A2">
      <w:pPr>
        <w:rPr>
          <w:b/>
          <w:bCs/>
          <w:i/>
          <w:iCs/>
        </w:rPr>
      </w:pPr>
      <w:r w:rsidRPr="00CD4709">
        <w:rPr>
          <w:b/>
          <w:bCs/>
          <w:i/>
          <w:iCs/>
        </w:rPr>
        <w:t>(</w:t>
      </w:r>
      <w:r>
        <w:rPr>
          <w:b/>
          <w:bCs/>
          <w:i/>
          <w:iCs/>
        </w:rPr>
        <w:t xml:space="preserve">աղյուսակը լրաց. </w:t>
      </w:r>
      <w:r w:rsidRPr="00CD4709">
        <w:rPr>
          <w:b/>
          <w:bCs/>
          <w:i/>
          <w:iCs/>
        </w:rPr>
        <w:t xml:space="preserve"> 30.01.20 թիվ 9)</w:t>
      </w:r>
    </w:p>
    <w:p w14:paraId="2F3443BD" w14:textId="77777777" w:rsidR="006F76EB" w:rsidRPr="00834D52" w:rsidRDefault="006F76EB" w:rsidP="006F76EB">
      <w:pPr>
        <w:spacing w:after="160" w:line="360" w:lineRule="auto"/>
        <w:ind w:right="-8" w:firstLine="567"/>
        <w:jc w:val="both"/>
        <w:rPr>
          <w:rFonts w:ascii="Sylfaen" w:hAnsi="Sylfaen"/>
          <w:sz w:val="24"/>
          <w:szCs w:val="24"/>
        </w:rPr>
      </w:pPr>
    </w:p>
    <w:p w14:paraId="03177830" w14:textId="52052FF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ը, որոնց հղում է կատարվում այս բաժնում:</w:t>
      </w:r>
    </w:p>
    <w:p w14:paraId="366A8AB3" w14:textId="5A61AB4A"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համապատասխան տեսակի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այլ դեղապատրաստուկների, չեն լրացվում:</w:t>
      </w:r>
    </w:p>
    <w:p w14:paraId="3057D6E3" w14:textId="77777777" w:rsidR="006F76EB" w:rsidRPr="00834D52" w:rsidRDefault="006F76EB" w:rsidP="006F76EB">
      <w:pPr>
        <w:spacing w:after="160" w:line="360" w:lineRule="auto"/>
        <w:rPr>
          <w:rFonts w:ascii="Sylfaen" w:eastAsia="Times New Roman" w:hAnsi="Sylfaen" w:cs="Times New Roman"/>
          <w:sz w:val="24"/>
          <w:szCs w:val="24"/>
        </w:rPr>
      </w:pPr>
      <w:r w:rsidRPr="00834D52">
        <w:rPr>
          <w:rFonts w:ascii="Sylfaen" w:hAnsi="Sylfaen"/>
          <w:sz w:val="24"/>
          <w:szCs w:val="24"/>
        </w:rPr>
        <w:br w:type="page"/>
      </w:r>
    </w:p>
    <w:p w14:paraId="34DB957D" w14:textId="2D7D4768"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517440" behindDoc="0" locked="0" layoutInCell="1" allowOverlap="1" wp14:anchorId="2B7647EE" wp14:editId="29DD6520">
                <wp:simplePos x="0" y="0"/>
                <wp:positionH relativeFrom="column">
                  <wp:posOffset>1452245</wp:posOffset>
                </wp:positionH>
                <wp:positionV relativeFrom="paragraph">
                  <wp:posOffset>29845</wp:posOffset>
                </wp:positionV>
                <wp:extent cx="161925" cy="152400"/>
                <wp:effectExtent l="9525" t="6350" r="9525" b="12700"/>
                <wp:wrapNone/>
                <wp:docPr id="3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9D88" id="Rectangle 2" o:spid="_x0000_s1026" style="position:absolute;margin-left:114.35pt;margin-top:2.35pt;width:12.75pt;height:12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"/>
            </w:pict>
          </mc:Fallback>
        </mc:AlternateContent>
      </w:r>
      <w:r w:rsidR="006F76EB" w:rsidRPr="00834D52">
        <w:rPr>
          <w:rFonts w:ascii="Sylfaen" w:hAnsi="Sylfaen"/>
          <w:sz w:val="24"/>
          <w:szCs w:val="24"/>
        </w:rPr>
        <w:t>ՕՐԻԳԻՆԱԼ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3347"/>
        <w:gridCol w:w="497"/>
        <w:gridCol w:w="4657"/>
      </w:tblGrid>
      <w:tr w:rsidR="006F76EB" w:rsidRPr="00834D52" w14:paraId="621F28BA" w14:textId="77777777" w:rsidTr="00F71229">
        <w:trPr>
          <w:jc w:val="center"/>
        </w:trPr>
        <w:tc>
          <w:tcPr>
            <w:tcW w:w="604" w:type="dxa"/>
          </w:tcPr>
          <w:p w14:paraId="670299C6" w14:textId="1B94AD54" w:rsidR="006F76EB" w:rsidRPr="00834D52" w:rsidRDefault="0037154C" w:rsidP="00F71229">
            <w:pPr>
              <w:spacing w:after="160" w:line="360" w:lineRule="auto"/>
              <w:ind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18464" behindDoc="0" locked="0" layoutInCell="1" allowOverlap="1" wp14:anchorId="73B22DE1" wp14:editId="4EDD51B7">
                      <wp:simplePos x="0" y="0"/>
                      <wp:positionH relativeFrom="column">
                        <wp:posOffset>38100</wp:posOffset>
                      </wp:positionH>
                      <wp:positionV relativeFrom="paragraph">
                        <wp:posOffset>59055</wp:posOffset>
                      </wp:positionV>
                      <wp:extent cx="161925" cy="152400"/>
                      <wp:effectExtent l="5080" t="9525" r="13970" b="9525"/>
                      <wp:wrapNone/>
                      <wp:docPr id="3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8498F" id="Rectangle 3" o:spid="_x0000_s1026" style="position:absolute;margin-left:3pt;margin-top:4.65pt;width:12.75pt;height:12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"/>
                  </w:pict>
                </mc:Fallback>
              </mc:AlternateContent>
            </w:r>
          </w:p>
        </w:tc>
        <w:tc>
          <w:tcPr>
            <w:tcW w:w="3399" w:type="dxa"/>
          </w:tcPr>
          <w:p w14:paraId="69D23810"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կենսաբանական դեղապատրաստուկ</w:t>
            </w:r>
          </w:p>
        </w:tc>
        <w:tc>
          <w:tcPr>
            <w:tcW w:w="513" w:type="dxa"/>
          </w:tcPr>
          <w:p w14:paraId="40BDB6AC" w14:textId="4FEF05EA" w:rsidR="006F76EB" w:rsidRPr="00834D52" w:rsidRDefault="0037154C" w:rsidP="00F71229">
            <w:pPr>
              <w:spacing w:after="160" w:line="360" w:lineRule="auto"/>
              <w:ind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19488" behindDoc="0" locked="0" layoutInCell="1" allowOverlap="1" wp14:anchorId="15970854" wp14:editId="5B3D0B80">
                      <wp:simplePos x="0" y="0"/>
                      <wp:positionH relativeFrom="column">
                        <wp:posOffset>-6985</wp:posOffset>
                      </wp:positionH>
                      <wp:positionV relativeFrom="paragraph">
                        <wp:posOffset>59055</wp:posOffset>
                      </wp:positionV>
                      <wp:extent cx="161925" cy="152400"/>
                      <wp:effectExtent l="6350" t="9525" r="12700" b="9525"/>
                      <wp:wrapNone/>
                      <wp:docPr id="3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7C272" id="Rectangle 4" o:spid="_x0000_s1026" style="position:absolute;margin-left:-.55pt;margin-top:4.65pt;width:12.75pt;height:12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"/>
                  </w:pict>
                </mc:Fallback>
              </mc:AlternateContent>
            </w:r>
          </w:p>
        </w:tc>
        <w:tc>
          <w:tcPr>
            <w:tcW w:w="4784" w:type="dxa"/>
          </w:tcPr>
          <w:p w14:paraId="4915BDC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այլ դեղապատրաստուկ</w:t>
            </w:r>
          </w:p>
        </w:tc>
      </w:tr>
      <w:tr w:rsidR="006F76EB" w:rsidRPr="00834D52" w14:paraId="182231E1" w14:textId="77777777" w:rsidTr="00F71229">
        <w:trPr>
          <w:jc w:val="center"/>
        </w:trPr>
        <w:tc>
          <w:tcPr>
            <w:tcW w:w="604" w:type="dxa"/>
          </w:tcPr>
          <w:p w14:paraId="606A5DCE" w14:textId="49041390" w:rsidR="006F76EB" w:rsidRPr="00834D52" w:rsidRDefault="0037154C" w:rsidP="00F71229">
            <w:pPr>
              <w:spacing w:after="160" w:line="360" w:lineRule="auto"/>
              <w:ind w:right="-8"/>
              <w:rPr>
                <w:rFonts w:ascii="Sylfaen" w:hAnsi="Sylfaen"/>
                <w:noProof/>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0512" behindDoc="0" locked="0" layoutInCell="1" allowOverlap="1" wp14:anchorId="5E272E18" wp14:editId="29875CE9">
                      <wp:simplePos x="0" y="0"/>
                      <wp:positionH relativeFrom="column">
                        <wp:posOffset>28575</wp:posOffset>
                      </wp:positionH>
                      <wp:positionV relativeFrom="paragraph">
                        <wp:posOffset>50165</wp:posOffset>
                      </wp:positionV>
                      <wp:extent cx="161925" cy="152400"/>
                      <wp:effectExtent l="5080" t="8890" r="13970" b="10160"/>
                      <wp:wrapNone/>
                      <wp:docPr id="3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24AF8" id="Rectangle 5" o:spid="_x0000_s1026" style="position:absolute;margin-left:2.25pt;margin-top:3.95pt;width:12.75pt;height:12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"/>
                  </w:pict>
                </mc:Fallback>
              </mc:AlternateContent>
            </w:r>
          </w:p>
        </w:tc>
        <w:tc>
          <w:tcPr>
            <w:tcW w:w="8696" w:type="dxa"/>
            <w:gridSpan w:val="3"/>
          </w:tcPr>
          <w:p w14:paraId="6B9D99CD"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նոր ակտիվ դեղագործական բաղադրամաս (այսուհետ՝ ԱԴԲ)</w:t>
            </w:r>
          </w:p>
        </w:tc>
      </w:tr>
    </w:tbl>
    <w:p w14:paraId="72E0477F" w14:textId="77777777" w:rsidR="006F76EB" w:rsidRPr="00834D52" w:rsidRDefault="006F76EB" w:rsidP="005A5E5E">
      <w:pPr>
        <w:spacing w:after="160" w:line="480" w:lineRule="auto"/>
        <w:ind w:right="-8" w:firstLine="567"/>
        <w:jc w:val="both"/>
        <w:rPr>
          <w:rFonts w:ascii="Sylfaen" w:hAnsi="Sylfaen"/>
          <w:sz w:val="24"/>
          <w:szCs w:val="24"/>
        </w:rPr>
      </w:pPr>
    </w:p>
    <w:p w14:paraId="2123CD4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ԱԴԲ-ի վերաբերյալ տեղեկությունները բացակայում են:</w:t>
      </w:r>
    </w:p>
    <w:p w14:paraId="7586ACE6" w14:textId="1A0100F7" w:rsidR="006F76EB" w:rsidRPr="00834D52" w:rsidRDefault="0037154C" w:rsidP="006F76EB">
      <w:pPr>
        <w:spacing w:after="160" w:line="360" w:lineRule="auto"/>
        <w:ind w:left="567"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1536" behindDoc="0" locked="0" layoutInCell="1" allowOverlap="1" wp14:anchorId="202035AC" wp14:editId="3FCC41B1">
                <wp:simplePos x="0" y="0"/>
                <wp:positionH relativeFrom="column">
                  <wp:posOffset>28575</wp:posOffset>
                </wp:positionH>
                <wp:positionV relativeFrom="paragraph">
                  <wp:posOffset>36830</wp:posOffset>
                </wp:positionV>
                <wp:extent cx="161925" cy="152400"/>
                <wp:effectExtent l="5080" t="6985" r="13970" b="12065"/>
                <wp:wrapNone/>
                <wp:docPr id="3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DF71E" id="Rectangle 6" o:spid="_x0000_s1026" style="position:absolute;margin-left:2.25pt;margin-top:2.9pt;width:12.75pt;height:12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"/>
            </w:pict>
          </mc:Fallback>
        </mc:AlternateContent>
      </w:r>
      <w:r w:rsidR="005F6A31">
        <w:rPr>
          <w:rFonts w:ascii="Sylfaen" w:hAnsi="Sylfaen"/>
          <w:sz w:val="24"/>
          <w:szCs w:val="24"/>
        </w:rPr>
        <w:t>հայտնի</w:t>
      </w:r>
      <w:r w:rsidR="006F76EB" w:rsidRPr="00834D52">
        <w:rPr>
          <w:rFonts w:ascii="Sylfaen" w:hAnsi="Sylfaen"/>
          <w:sz w:val="24"/>
          <w:szCs w:val="24"/>
        </w:rPr>
        <w:t xml:space="preserve"> ԱԴԲ-ն</w:t>
      </w:r>
    </w:p>
    <w:p w14:paraId="4AA3F5C8"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ԱԴԲ-ի վերաբերյալ տեղեկություններ կան</w:t>
      </w:r>
    </w:p>
    <w:p w14:paraId="0F18C7CF" w14:textId="77777777" w:rsidR="006F76EB" w:rsidRPr="00834D52" w:rsidRDefault="006F76EB" w:rsidP="005A5E5E">
      <w:pPr>
        <w:spacing w:after="160" w:line="480" w:lineRule="auto"/>
        <w:ind w:right="-6" w:firstLine="567"/>
        <w:jc w:val="both"/>
        <w:rPr>
          <w:rFonts w:ascii="Sylfaen" w:eastAsia="Times New Roman" w:hAnsi="Sylfaen" w:cs="Times New Roman"/>
          <w:sz w:val="24"/>
          <w:szCs w:val="24"/>
        </w:rPr>
      </w:pPr>
    </w:p>
    <w:p w14:paraId="44B614FC" w14:textId="0157D4D2"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2560" behindDoc="0" locked="0" layoutInCell="1" allowOverlap="1" wp14:anchorId="0EB7D0FE" wp14:editId="1721A8DD">
                <wp:simplePos x="0" y="0"/>
                <wp:positionH relativeFrom="column">
                  <wp:posOffset>1228725</wp:posOffset>
                </wp:positionH>
                <wp:positionV relativeFrom="paragraph">
                  <wp:posOffset>36830</wp:posOffset>
                </wp:positionV>
                <wp:extent cx="161925" cy="152400"/>
                <wp:effectExtent l="5080" t="8255" r="13970" b="10795"/>
                <wp:wrapNone/>
                <wp:docPr id="29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74D3C" id="Rectangle 7" o:spid="_x0000_s1026" style="position:absolute;margin-left:96.75pt;margin-top:2.9pt;width:12.75pt;height:12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"/>
            </w:pict>
          </mc:Fallback>
        </mc:AlternateContent>
      </w:r>
      <w:r w:rsidR="006F76EB" w:rsidRPr="00834D52">
        <w:rPr>
          <w:rFonts w:ascii="Sylfaen" w:hAnsi="Sylfaen"/>
          <w:sz w:val="24"/>
          <w:szCs w:val="24"/>
        </w:rPr>
        <w:t>ՎԵՐԱՐՏԱԴՐՎԱԾ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3313"/>
        <w:gridCol w:w="498"/>
        <w:gridCol w:w="4688"/>
      </w:tblGrid>
      <w:tr w:rsidR="006F76EB" w:rsidRPr="00834D52" w14:paraId="656CC7B3" w14:textId="77777777" w:rsidTr="00F71229">
        <w:trPr>
          <w:jc w:val="center"/>
        </w:trPr>
        <w:tc>
          <w:tcPr>
            <w:tcW w:w="601" w:type="dxa"/>
          </w:tcPr>
          <w:p w14:paraId="184FD7A6" w14:textId="5E0C8037" w:rsidR="006F76EB" w:rsidRPr="00834D52" w:rsidRDefault="0037154C" w:rsidP="00F71229">
            <w:pPr>
              <w:spacing w:after="160" w:line="360" w:lineRule="auto"/>
              <w:ind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23584" behindDoc="0" locked="0" layoutInCell="1" allowOverlap="1" wp14:anchorId="3CD95B05" wp14:editId="2B3652A0">
                      <wp:simplePos x="0" y="0"/>
                      <wp:positionH relativeFrom="column">
                        <wp:posOffset>38100</wp:posOffset>
                      </wp:positionH>
                      <wp:positionV relativeFrom="paragraph">
                        <wp:posOffset>59055</wp:posOffset>
                      </wp:positionV>
                      <wp:extent cx="161925" cy="152400"/>
                      <wp:effectExtent l="9525" t="13970" r="9525" b="5080"/>
                      <wp:wrapNone/>
                      <wp:docPr id="29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9C46C" id="Rectangle 8" o:spid="_x0000_s1026" style="position:absolute;margin-left:3pt;margin-top:4.65pt;width:12.75pt;height:12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"/>
                  </w:pict>
                </mc:Fallback>
              </mc:AlternateContent>
            </w:r>
          </w:p>
        </w:tc>
        <w:tc>
          <w:tcPr>
            <w:tcW w:w="3377" w:type="dxa"/>
          </w:tcPr>
          <w:p w14:paraId="4A10B573"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միաբաղադրիչ</w:t>
            </w:r>
          </w:p>
        </w:tc>
        <w:tc>
          <w:tcPr>
            <w:tcW w:w="510" w:type="dxa"/>
          </w:tcPr>
          <w:p w14:paraId="7E0DD4D1" w14:textId="36DC5DBF" w:rsidR="006F76EB" w:rsidRPr="00834D52" w:rsidRDefault="0037154C" w:rsidP="00F71229">
            <w:pPr>
              <w:spacing w:after="160" w:line="360" w:lineRule="auto"/>
              <w:ind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4608" behindDoc="0" locked="0" layoutInCell="1" allowOverlap="1" wp14:anchorId="798591E0" wp14:editId="15213AE0">
                      <wp:simplePos x="0" y="0"/>
                      <wp:positionH relativeFrom="column">
                        <wp:posOffset>-6985</wp:posOffset>
                      </wp:positionH>
                      <wp:positionV relativeFrom="paragraph">
                        <wp:posOffset>59055</wp:posOffset>
                      </wp:positionV>
                      <wp:extent cx="161925" cy="152400"/>
                      <wp:effectExtent l="13970" t="13970" r="5080" b="5080"/>
                      <wp:wrapNone/>
                      <wp:docPr id="29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2C2A" id="Rectangle 9" o:spid="_x0000_s1026" style="position:absolute;margin-left:-.55pt;margin-top:4.65pt;width:12.75pt;height:12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"/>
                  </w:pict>
                </mc:Fallback>
              </mc:AlternateContent>
            </w:r>
          </w:p>
        </w:tc>
        <w:tc>
          <w:tcPr>
            <w:tcW w:w="4798" w:type="dxa"/>
          </w:tcPr>
          <w:p w14:paraId="73AA402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բազմաբաղադրիչ</w:t>
            </w:r>
          </w:p>
        </w:tc>
      </w:tr>
    </w:tbl>
    <w:p w14:paraId="193617A3" w14:textId="77777777" w:rsidR="006F76EB" w:rsidRPr="00834D52" w:rsidRDefault="006F76EB" w:rsidP="005A5E5E">
      <w:pPr>
        <w:spacing w:after="160" w:line="480" w:lineRule="auto"/>
        <w:ind w:right="-6"/>
        <w:rPr>
          <w:rFonts w:ascii="Sylfaen" w:hAnsi="Sylfaen"/>
          <w:sz w:val="24"/>
          <w:szCs w:val="24"/>
          <w:lang w:val="en-US"/>
        </w:rPr>
      </w:pPr>
    </w:p>
    <w:p w14:paraId="4B359A7C" w14:textId="77777777" w:rsidR="006F76EB" w:rsidRPr="00834D52" w:rsidRDefault="006F76EB" w:rsidP="006F76EB">
      <w:pPr>
        <w:spacing w:after="160" w:line="348"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w:t>
      </w:r>
    </w:p>
    <w:tbl>
      <w:tblPr>
        <w:tblW w:w="9788" w:type="dxa"/>
        <w:jc w:val="center"/>
        <w:tblLayout w:type="fixed"/>
        <w:tblCellMar>
          <w:left w:w="0" w:type="dxa"/>
          <w:right w:w="0" w:type="dxa"/>
        </w:tblCellMar>
        <w:tblLook w:val="01E0" w:firstRow="1" w:lastRow="1" w:firstColumn="1" w:lastColumn="1" w:noHBand="0" w:noVBand="0"/>
      </w:tblPr>
      <w:tblGrid>
        <w:gridCol w:w="5518"/>
        <w:gridCol w:w="4270"/>
      </w:tblGrid>
      <w:tr w:rsidR="006F76EB" w:rsidRPr="00834D52" w14:paraId="2142B165" w14:textId="77777777" w:rsidTr="00F71229">
        <w:trPr>
          <w:jc w:val="center"/>
        </w:trPr>
        <w:tc>
          <w:tcPr>
            <w:tcW w:w="5518" w:type="dxa"/>
            <w:tcBorders>
              <w:top w:val="single" w:sz="4" w:space="0" w:color="000000"/>
              <w:left w:val="single" w:sz="4" w:space="0" w:color="000000"/>
              <w:bottom w:val="single" w:sz="4" w:space="0" w:color="000000"/>
              <w:right w:val="single" w:sz="4" w:space="0" w:color="000000"/>
            </w:tcBorders>
          </w:tcPr>
          <w:p w14:paraId="627471D1" w14:textId="77777777" w:rsidR="006F76EB" w:rsidRPr="00834D52" w:rsidRDefault="006F76EB" w:rsidP="007040C0">
            <w:pPr>
              <w:spacing w:after="120" w:line="240" w:lineRule="auto"/>
              <w:ind w:left="180" w:right="61"/>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270" w:type="dxa"/>
            <w:tcBorders>
              <w:top w:val="single" w:sz="4" w:space="0" w:color="000000"/>
              <w:left w:val="single" w:sz="4" w:space="0" w:color="000000"/>
              <w:bottom w:val="single" w:sz="4" w:space="0" w:color="000000"/>
              <w:right w:val="single" w:sz="4" w:space="0" w:color="000000"/>
            </w:tcBorders>
          </w:tcPr>
          <w:p w14:paraId="283F58E9" w14:textId="77777777" w:rsidR="006F76EB" w:rsidRPr="00834D52" w:rsidRDefault="006F76EB" w:rsidP="007040C0">
            <w:pPr>
              <w:spacing w:after="120" w:line="240" w:lineRule="auto"/>
              <w:ind w:right="-8"/>
              <w:rPr>
                <w:rFonts w:ascii="Sylfaen" w:hAnsi="Sylfaen"/>
                <w:sz w:val="24"/>
                <w:szCs w:val="24"/>
              </w:rPr>
            </w:pPr>
          </w:p>
        </w:tc>
      </w:tr>
      <w:tr w:rsidR="006F76EB" w:rsidRPr="00834D52" w14:paraId="61D16C03" w14:textId="77777777" w:rsidTr="00F71229">
        <w:trPr>
          <w:jc w:val="center"/>
        </w:trPr>
        <w:tc>
          <w:tcPr>
            <w:tcW w:w="5518" w:type="dxa"/>
            <w:tcBorders>
              <w:top w:val="single" w:sz="4" w:space="0" w:color="000000"/>
              <w:left w:val="single" w:sz="4" w:space="0" w:color="000000"/>
              <w:bottom w:val="single" w:sz="4" w:space="0" w:color="000000"/>
              <w:right w:val="single" w:sz="4" w:space="0" w:color="000000"/>
            </w:tcBorders>
          </w:tcPr>
          <w:p w14:paraId="169C45DD" w14:textId="77777777" w:rsidR="006F76EB" w:rsidRPr="00834D52" w:rsidRDefault="006F76EB" w:rsidP="007040C0">
            <w:pPr>
              <w:spacing w:after="120" w:line="240" w:lineRule="auto"/>
              <w:ind w:left="180" w:right="61"/>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w:t>
            </w:r>
            <w:r w:rsidRPr="00834D52">
              <w:rPr>
                <w:rFonts w:ascii="Sylfaen" w:hAnsi="Sylfaen"/>
                <w:sz w:val="24"/>
                <w:szCs w:val="24"/>
              </w:rPr>
              <w:lastRenderedPageBreak/>
              <w:t>անդամ պետությունները, որտեղ գրանցվել է օրիգինալ դեղապատրաստուկը</w:t>
            </w:r>
          </w:p>
        </w:tc>
        <w:tc>
          <w:tcPr>
            <w:tcW w:w="4270" w:type="dxa"/>
            <w:tcBorders>
              <w:top w:val="single" w:sz="4" w:space="0" w:color="000000"/>
              <w:left w:val="single" w:sz="4" w:space="0" w:color="000000"/>
              <w:bottom w:val="single" w:sz="4" w:space="0" w:color="000000"/>
              <w:right w:val="single" w:sz="4" w:space="0" w:color="000000"/>
            </w:tcBorders>
          </w:tcPr>
          <w:p w14:paraId="0430DE6B" w14:textId="77777777" w:rsidR="006F76EB" w:rsidRPr="00834D52" w:rsidRDefault="006F76EB" w:rsidP="007040C0">
            <w:pPr>
              <w:spacing w:after="120" w:line="240" w:lineRule="auto"/>
              <w:ind w:right="-8"/>
              <w:rPr>
                <w:rFonts w:ascii="Sylfaen" w:hAnsi="Sylfaen"/>
                <w:sz w:val="24"/>
                <w:szCs w:val="24"/>
              </w:rPr>
            </w:pPr>
          </w:p>
        </w:tc>
      </w:tr>
    </w:tbl>
    <w:p w14:paraId="3A299152" w14:textId="77777777" w:rsidR="006F76EB" w:rsidRPr="00834D52" w:rsidRDefault="0032680A" w:rsidP="006F76EB">
      <w:pPr>
        <w:spacing w:after="160" w:line="348" w:lineRule="auto"/>
        <w:ind w:right="-8"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դեղապատրաստուկը, որն օգտագործվել է համարժեքության հետազոտություններում (եթե այդպիսիք անցկացվել են)՝</w:t>
      </w:r>
    </w:p>
    <w:tbl>
      <w:tblPr>
        <w:tblStyle w:val="TableGrid"/>
        <w:tblW w:w="9785" w:type="dxa"/>
        <w:jc w:val="center"/>
        <w:tblLook w:val="04A0" w:firstRow="1" w:lastRow="0" w:firstColumn="1" w:lastColumn="0" w:noHBand="0" w:noVBand="1"/>
      </w:tblPr>
      <w:tblGrid>
        <w:gridCol w:w="5544"/>
        <w:gridCol w:w="4241"/>
      </w:tblGrid>
      <w:tr w:rsidR="006F76EB" w:rsidRPr="00834D52" w14:paraId="6183EEF5" w14:textId="77777777" w:rsidTr="00F71229">
        <w:trPr>
          <w:jc w:val="center"/>
        </w:trPr>
        <w:tc>
          <w:tcPr>
            <w:tcW w:w="5544" w:type="dxa"/>
          </w:tcPr>
          <w:p w14:paraId="67B8D5A5"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241" w:type="dxa"/>
          </w:tcPr>
          <w:p w14:paraId="38E9197F" w14:textId="77777777" w:rsidR="006F76EB" w:rsidRPr="00834D52" w:rsidRDefault="006F76EB" w:rsidP="00986B92">
            <w:pPr>
              <w:spacing w:after="120"/>
              <w:ind w:right="-6"/>
              <w:rPr>
                <w:rFonts w:ascii="Sylfaen" w:eastAsia="Times New Roman" w:hAnsi="Sylfaen" w:cs="Times New Roman"/>
                <w:sz w:val="24"/>
                <w:szCs w:val="24"/>
              </w:rPr>
            </w:pPr>
          </w:p>
        </w:tc>
      </w:tr>
      <w:tr w:rsidR="006F76EB" w:rsidRPr="00834D52" w14:paraId="3DDCD8CA" w14:textId="77777777" w:rsidTr="00F71229">
        <w:trPr>
          <w:jc w:val="center"/>
        </w:trPr>
        <w:tc>
          <w:tcPr>
            <w:tcW w:w="5544" w:type="dxa"/>
          </w:tcPr>
          <w:p w14:paraId="1D731455"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գրանցվել է </w:t>
            </w:r>
            <w:r w:rsidR="0032680A">
              <w:rPr>
                <w:rFonts w:ascii="Sylfaen" w:hAnsi="Sylfaen"/>
                <w:sz w:val="24"/>
                <w:szCs w:val="24"/>
              </w:rPr>
              <w:t xml:space="preserve">ռեֆերենտ </w:t>
            </w:r>
            <w:r w:rsidRPr="00834D52">
              <w:rPr>
                <w:rFonts w:ascii="Sylfaen" w:hAnsi="Sylfaen"/>
                <w:sz w:val="24"/>
                <w:szCs w:val="24"/>
              </w:rPr>
              <w:t>դեղապատրաստուկը</w:t>
            </w:r>
          </w:p>
        </w:tc>
        <w:tc>
          <w:tcPr>
            <w:tcW w:w="4241" w:type="dxa"/>
          </w:tcPr>
          <w:p w14:paraId="62DFC6DC" w14:textId="77777777" w:rsidR="006F76EB" w:rsidRPr="00834D52" w:rsidRDefault="006F76EB" w:rsidP="00986B92">
            <w:pPr>
              <w:spacing w:after="120"/>
              <w:ind w:right="-6"/>
              <w:rPr>
                <w:rFonts w:ascii="Sylfaen" w:hAnsi="Sylfaen"/>
                <w:sz w:val="24"/>
                <w:szCs w:val="24"/>
              </w:rPr>
            </w:pPr>
          </w:p>
        </w:tc>
      </w:tr>
      <w:tr w:rsidR="006F76EB" w:rsidRPr="00834D52" w14:paraId="0096F623" w14:textId="77777777" w:rsidTr="00F71229">
        <w:trPr>
          <w:jc w:val="center"/>
        </w:trPr>
        <w:tc>
          <w:tcPr>
            <w:tcW w:w="5544" w:type="dxa"/>
          </w:tcPr>
          <w:p w14:paraId="5C758251"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 xml:space="preserve">բերել </w:t>
            </w:r>
            <w:r w:rsidR="0032680A">
              <w:rPr>
                <w:rFonts w:ascii="Sylfaen" w:hAnsi="Sylfaen"/>
                <w:sz w:val="24"/>
                <w:szCs w:val="24"/>
              </w:rPr>
              <w:t xml:space="preserve">ռեֆերենտ </w:t>
            </w:r>
            <w:r w:rsidRPr="00834D52">
              <w:rPr>
                <w:rFonts w:ascii="Sylfaen" w:hAnsi="Sylfaen"/>
                <w:sz w:val="24"/>
                <w:szCs w:val="24"/>
              </w:rPr>
              <w:t>պատրաստուկի օգտագործման հիմնավորումներ դրա՝ օրիգինալ պատրաստուկից տարբերվելու դեպքում</w:t>
            </w:r>
          </w:p>
        </w:tc>
        <w:tc>
          <w:tcPr>
            <w:tcW w:w="4241" w:type="dxa"/>
          </w:tcPr>
          <w:p w14:paraId="23153B76" w14:textId="77777777" w:rsidR="006F76EB" w:rsidRPr="00834D52" w:rsidRDefault="006F76EB" w:rsidP="00986B92">
            <w:pPr>
              <w:spacing w:after="120"/>
              <w:ind w:right="-6"/>
              <w:rPr>
                <w:rFonts w:ascii="Sylfaen" w:hAnsi="Sylfaen"/>
                <w:sz w:val="24"/>
                <w:szCs w:val="24"/>
              </w:rPr>
            </w:pPr>
          </w:p>
        </w:tc>
      </w:tr>
      <w:tr w:rsidR="006F76EB" w:rsidRPr="00834D52" w14:paraId="2B91F158" w14:textId="77777777" w:rsidTr="00F71229">
        <w:trPr>
          <w:jc w:val="center"/>
        </w:trPr>
        <w:tc>
          <w:tcPr>
            <w:tcW w:w="5544" w:type="dxa"/>
          </w:tcPr>
          <w:p w14:paraId="3A6D4F24" w14:textId="77777777" w:rsidR="006F76EB" w:rsidRPr="00834D52" w:rsidRDefault="0032680A" w:rsidP="00986B92">
            <w:pPr>
              <w:spacing w:after="120"/>
              <w:ind w:left="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դեղապատրաստուկի ընտրության վերաբերյալ Դեղամիջոցների հարցերով փորձագիտական կոմիտեի առաջարկությունների առկայությունը</w:t>
            </w:r>
          </w:p>
        </w:tc>
        <w:tc>
          <w:tcPr>
            <w:tcW w:w="4241" w:type="dxa"/>
          </w:tcPr>
          <w:p w14:paraId="0E81FB4A" w14:textId="77777777" w:rsidR="006F76EB" w:rsidRPr="00834D52" w:rsidRDefault="006F76EB" w:rsidP="00986B92">
            <w:pPr>
              <w:spacing w:after="120"/>
              <w:ind w:right="-6"/>
              <w:rPr>
                <w:rFonts w:ascii="Sylfaen" w:hAnsi="Sylfaen"/>
                <w:sz w:val="24"/>
                <w:szCs w:val="24"/>
              </w:rPr>
            </w:pPr>
          </w:p>
        </w:tc>
      </w:tr>
    </w:tbl>
    <w:p w14:paraId="18E47DEF" w14:textId="77777777" w:rsidR="006F76EB" w:rsidRPr="00834D52" w:rsidRDefault="006F76EB" w:rsidP="006F76EB">
      <w:pPr>
        <w:spacing w:after="160" w:line="348" w:lineRule="auto"/>
        <w:ind w:right="-6"/>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58"/>
      </w:tblGrid>
      <w:tr w:rsidR="006F76EB" w:rsidRPr="00834D52" w14:paraId="7C69682F" w14:textId="77777777" w:rsidTr="00644138">
        <w:trPr>
          <w:jc w:val="center"/>
        </w:trPr>
        <w:tc>
          <w:tcPr>
            <w:tcW w:w="2318" w:type="dxa"/>
          </w:tcPr>
          <w:p w14:paraId="10BFFFCF"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Ծանոթագրություն:</w:t>
            </w:r>
          </w:p>
        </w:tc>
        <w:tc>
          <w:tcPr>
            <w:tcW w:w="6982" w:type="dxa"/>
          </w:tcPr>
          <w:p w14:paraId="30C574B4" w14:textId="77777777" w:rsidR="006F76EB" w:rsidRPr="00834D52" w:rsidRDefault="00986B92" w:rsidP="00986B92">
            <w:pPr>
              <w:tabs>
                <w:tab w:val="left" w:pos="801"/>
              </w:tabs>
              <w:spacing w:after="160" w:line="336" w:lineRule="auto"/>
              <w:ind w:right="-6"/>
              <w:jc w:val="both"/>
              <w:rPr>
                <w:rFonts w:ascii="Sylfaen" w:eastAsia="Times New Roman" w:hAnsi="Sylfaen" w:cs="Times New Roman"/>
                <w:sz w:val="24"/>
                <w:szCs w:val="24"/>
              </w:rPr>
            </w:pPr>
            <w:r>
              <w:rPr>
                <w:rFonts w:ascii="Sylfaen" w:hAnsi="Sylfaen"/>
                <w:sz w:val="24"/>
                <w:szCs w:val="24"/>
              </w:rPr>
              <w:t>1.</w:t>
            </w:r>
            <w:r w:rsidRPr="007F5A60">
              <w:rPr>
                <w:rFonts w:ascii="Sylfaen" w:hAnsi="Sylfaen"/>
                <w:sz w:val="24"/>
                <w:szCs w:val="24"/>
              </w:rPr>
              <w:tab/>
            </w:r>
            <w:r w:rsidR="006F76EB" w:rsidRPr="00834D52">
              <w:rPr>
                <w:rFonts w:ascii="Sylfaen" w:hAnsi="Sylfaen"/>
                <w:sz w:val="24"/>
                <w:szCs w:val="24"/>
              </w:rPr>
              <w:t>Բաժինն անհրաժեշտ է լրացնել յուրաքանչյուր դեղապատրաստուկի համար, որն օգտագործվել է համարժեքության հետազոտություններում:</w:t>
            </w:r>
          </w:p>
          <w:p w14:paraId="221AE254" w14:textId="455C94E7" w:rsidR="006F76EB" w:rsidRPr="00834D52" w:rsidRDefault="00986B92" w:rsidP="00986B92">
            <w:pPr>
              <w:tabs>
                <w:tab w:val="left" w:pos="801"/>
              </w:tabs>
              <w:spacing w:after="160" w:line="336" w:lineRule="auto"/>
              <w:ind w:right="-6"/>
              <w:jc w:val="both"/>
              <w:rPr>
                <w:rFonts w:ascii="Sylfaen" w:eastAsia="Times New Roman" w:hAnsi="Sylfaen" w:cs="Times New Roman"/>
                <w:sz w:val="24"/>
                <w:szCs w:val="24"/>
              </w:rPr>
            </w:pPr>
            <w:r>
              <w:rPr>
                <w:rFonts w:ascii="Sylfaen" w:hAnsi="Sylfaen"/>
                <w:sz w:val="24"/>
                <w:szCs w:val="24"/>
              </w:rPr>
              <w:t>2.</w:t>
            </w:r>
            <w:r w:rsidRPr="00986B92">
              <w:rPr>
                <w:rFonts w:ascii="Sylfaen" w:hAnsi="Sylfaen"/>
                <w:sz w:val="24"/>
                <w:szCs w:val="24"/>
              </w:rPr>
              <w:tab/>
            </w:r>
            <w:r w:rsidR="0056496B">
              <w:rPr>
                <w:rFonts w:ascii="Sylfaen" w:hAnsi="Sylfaen"/>
                <w:sz w:val="24"/>
                <w:szCs w:val="24"/>
              </w:rPr>
              <w:t>Դիմում</w:t>
            </w:r>
            <w:r w:rsidR="006F76EB" w:rsidRPr="00834D52">
              <w:rPr>
                <w:rFonts w:ascii="Sylfaen" w:hAnsi="Sylfaen"/>
                <w:sz w:val="24"/>
                <w:szCs w:val="24"/>
              </w:rPr>
              <w:t>ը լրացնելիս «օրիգինալ պատրաստուկ» դաշտում նշվում է տեղեկատվություն այն օրիգինալ պատրաստուկի մասին, որի վերարտադրված կրկնօրինակը տվյալ դեղապատրաստուկն է: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 դաշտում նշվում է տեղեկատվություն այն պատրաստուկի մասին, որն օգտագործվել է համարժեքությունը հաստատելու համար: </w:t>
            </w:r>
            <w:r w:rsidR="0032680A">
              <w:rPr>
                <w:rFonts w:ascii="Sylfaen" w:hAnsi="Sylfaen"/>
                <w:sz w:val="24"/>
                <w:szCs w:val="24"/>
              </w:rPr>
              <w:t xml:space="preserve">Ռեֆերենտ </w:t>
            </w:r>
            <w:r w:rsidR="00C54D75">
              <w:rPr>
                <w:rFonts w:ascii="Sylfaen" w:hAnsi="Sylfaen"/>
                <w:sz w:val="24"/>
                <w:szCs w:val="24"/>
              </w:rPr>
              <w:t>և</w:t>
            </w:r>
            <w:r w:rsidR="006F76EB" w:rsidRPr="00834D52">
              <w:rPr>
                <w:rFonts w:ascii="Sylfaen" w:hAnsi="Sylfaen"/>
                <w:sz w:val="24"/>
                <w:szCs w:val="24"/>
              </w:rPr>
              <w:t xml:space="preserve"> օրիգինալ պատրաստուկների մասին տեղեկատվությունը համընկնելու դեպքում համապատասխան </w:t>
            </w:r>
            <w:r w:rsidR="006F76EB" w:rsidRPr="00834D52">
              <w:rPr>
                <w:rFonts w:ascii="Sylfaen" w:hAnsi="Sylfaen"/>
                <w:sz w:val="24"/>
                <w:szCs w:val="24"/>
              </w:rPr>
              <w:lastRenderedPageBreak/>
              <w:t>տեղեկատվությունը կրկնվում է:</w:t>
            </w:r>
          </w:p>
        </w:tc>
      </w:tr>
    </w:tbl>
    <w:p w14:paraId="72CED1B3" w14:textId="09836BDA" w:rsidR="006F76EB" w:rsidRPr="00834D52" w:rsidRDefault="0037154C" w:rsidP="00644138">
      <w:pPr>
        <w:spacing w:after="160" w:line="360" w:lineRule="auto"/>
        <w:ind w:left="567" w:right="579"/>
        <w:jc w:val="center"/>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525632" behindDoc="0" locked="0" layoutInCell="1" allowOverlap="1" wp14:anchorId="143A2E05" wp14:editId="3D192A95">
                <wp:simplePos x="0" y="0"/>
                <wp:positionH relativeFrom="column">
                  <wp:posOffset>604520</wp:posOffset>
                </wp:positionH>
                <wp:positionV relativeFrom="paragraph">
                  <wp:posOffset>31115</wp:posOffset>
                </wp:positionV>
                <wp:extent cx="161925" cy="152400"/>
                <wp:effectExtent l="9525" t="7620" r="9525" b="11430"/>
                <wp:wrapNone/>
                <wp:docPr id="29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AB0E0" id="Rectangle 10" o:spid="_x0000_s1026" style="position:absolute;margin-left:47.6pt;margin-top:2.45pt;width:12.75pt;height:12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"/>
            </w:pict>
          </mc:Fallback>
        </mc:AlternateContent>
      </w:r>
      <w:r w:rsidR="006F76EB" w:rsidRPr="00834D52">
        <w:rPr>
          <w:rFonts w:ascii="Sylfaen" w:hAnsi="Sylfaen" w:cs="Sylfaen"/>
          <w:sz w:val="24"/>
          <w:szCs w:val="24"/>
        </w:rPr>
        <w:t>ԿԵՆՍԱՆՄԱՆ</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r w:rsidR="006F76EB" w:rsidRPr="00834D52">
        <w:rPr>
          <w:rFonts w:ascii="Sylfaen" w:hAnsi="Sylfaen"/>
          <w:sz w:val="24"/>
          <w:szCs w:val="24"/>
        </w:rPr>
        <w:t xml:space="preserve"> (</w:t>
      </w:r>
      <w:r w:rsidR="006F76EB" w:rsidRPr="00834D52">
        <w:rPr>
          <w:rFonts w:ascii="Sylfaen" w:hAnsi="Sylfaen" w:cs="Sylfaen"/>
          <w:sz w:val="24"/>
          <w:szCs w:val="24"/>
        </w:rPr>
        <w:t>ԿԵՆՍԱՆՄԱՆԱԿ</w:t>
      </w:r>
      <w:r w:rsidR="006F76EB" w:rsidRPr="00834D52">
        <w:rPr>
          <w:rFonts w:ascii="Sylfaen" w:hAnsi="Sylfaen"/>
          <w:sz w:val="24"/>
          <w:szCs w:val="24"/>
        </w:rPr>
        <w:t>)</w:t>
      </w:r>
    </w:p>
    <w:p w14:paraId="034FBF5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10065" w:type="dxa"/>
        <w:jc w:val="center"/>
        <w:tblLayout w:type="fixed"/>
        <w:tblCellMar>
          <w:left w:w="0" w:type="dxa"/>
          <w:right w:w="0" w:type="dxa"/>
        </w:tblCellMar>
        <w:tblLook w:val="01E0" w:firstRow="1" w:lastRow="1" w:firstColumn="1" w:lastColumn="1" w:noHBand="0" w:noVBand="0"/>
      </w:tblPr>
      <w:tblGrid>
        <w:gridCol w:w="4977"/>
        <w:gridCol w:w="5088"/>
      </w:tblGrid>
      <w:tr w:rsidR="006F76EB" w:rsidRPr="00834D52" w14:paraId="303DD337"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256BEABC"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088" w:type="dxa"/>
            <w:tcBorders>
              <w:top w:val="single" w:sz="4" w:space="0" w:color="000000"/>
              <w:left w:val="single" w:sz="4" w:space="0" w:color="000000"/>
              <w:bottom w:val="single" w:sz="4" w:space="0" w:color="000000"/>
              <w:right w:val="single" w:sz="4" w:space="0" w:color="000000"/>
            </w:tcBorders>
          </w:tcPr>
          <w:p w14:paraId="3818F362" w14:textId="77777777" w:rsidR="006F76EB" w:rsidRPr="00834D52" w:rsidRDefault="006F76EB" w:rsidP="00644138">
            <w:pPr>
              <w:spacing w:after="120" w:line="240" w:lineRule="auto"/>
              <w:ind w:right="-6"/>
              <w:rPr>
                <w:rFonts w:ascii="Sylfaen" w:hAnsi="Sylfaen"/>
                <w:sz w:val="24"/>
                <w:szCs w:val="24"/>
              </w:rPr>
            </w:pPr>
          </w:p>
        </w:tc>
      </w:tr>
      <w:tr w:rsidR="006F76EB" w:rsidRPr="00834D52" w14:paraId="25652D50"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4EDCABF0"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r w:rsidRPr="00834D52">
              <w:rPr>
                <w:rFonts w:ascii="Sylfaen" w:hAnsi="Sylfaen"/>
                <w:sz w:val="24"/>
                <w:szCs w:val="24"/>
              </w:rPr>
              <w:br/>
              <w:t>(այն ընկերությունը, որի անունով տրվել է գրանցման հավաստագիրը), գրանցման</w:t>
            </w:r>
          </w:p>
        </w:tc>
        <w:tc>
          <w:tcPr>
            <w:tcW w:w="5088" w:type="dxa"/>
            <w:tcBorders>
              <w:top w:val="single" w:sz="4" w:space="0" w:color="000000"/>
              <w:left w:val="single" w:sz="4" w:space="0" w:color="000000"/>
              <w:bottom w:val="single" w:sz="4" w:space="0" w:color="000000"/>
              <w:right w:val="single" w:sz="4" w:space="0" w:color="000000"/>
            </w:tcBorders>
          </w:tcPr>
          <w:p w14:paraId="02BCF08E" w14:textId="77777777" w:rsidR="006F76EB" w:rsidRPr="00834D52" w:rsidRDefault="006F76EB" w:rsidP="00644138">
            <w:pPr>
              <w:spacing w:after="120" w:line="240" w:lineRule="auto"/>
              <w:ind w:right="-6"/>
              <w:rPr>
                <w:rFonts w:ascii="Sylfaen" w:hAnsi="Sylfaen"/>
                <w:sz w:val="24"/>
                <w:szCs w:val="24"/>
              </w:rPr>
            </w:pPr>
          </w:p>
        </w:tc>
      </w:tr>
      <w:tr w:rsidR="006F76EB" w:rsidRPr="00834D52" w14:paraId="3F5F714B"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3588129C"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088" w:type="dxa"/>
            <w:tcBorders>
              <w:top w:val="single" w:sz="4" w:space="0" w:color="000000"/>
              <w:left w:val="single" w:sz="4" w:space="0" w:color="000000"/>
              <w:bottom w:val="single" w:sz="4" w:space="0" w:color="000000"/>
              <w:right w:val="single" w:sz="4" w:space="0" w:color="000000"/>
            </w:tcBorders>
          </w:tcPr>
          <w:p w14:paraId="403EAC29" w14:textId="77777777" w:rsidR="006F76EB" w:rsidRPr="00834D52" w:rsidRDefault="006F76EB" w:rsidP="00644138">
            <w:pPr>
              <w:spacing w:after="120" w:line="240" w:lineRule="auto"/>
              <w:ind w:right="-6"/>
              <w:rPr>
                <w:rFonts w:ascii="Sylfaen" w:hAnsi="Sylfaen"/>
                <w:sz w:val="24"/>
                <w:szCs w:val="24"/>
              </w:rPr>
            </w:pPr>
          </w:p>
        </w:tc>
      </w:tr>
    </w:tbl>
    <w:p w14:paraId="4B8A2043" w14:textId="77777777" w:rsidR="006F76EB" w:rsidRPr="00834D52" w:rsidRDefault="0032680A" w:rsidP="006F76EB">
      <w:pPr>
        <w:spacing w:after="160" w:line="360" w:lineRule="auto"/>
        <w:ind w:right="-6" w:firstLine="567"/>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կենսաբանական դեղապատրաստուկ՝</w:t>
      </w:r>
    </w:p>
    <w:tbl>
      <w:tblPr>
        <w:tblStyle w:val="TableGrid"/>
        <w:tblW w:w="10161" w:type="dxa"/>
        <w:jc w:val="center"/>
        <w:tblLayout w:type="fixed"/>
        <w:tblLook w:val="04A0" w:firstRow="1" w:lastRow="0" w:firstColumn="1" w:lastColumn="0" w:noHBand="0" w:noVBand="1"/>
      </w:tblPr>
      <w:tblGrid>
        <w:gridCol w:w="4916"/>
        <w:gridCol w:w="5245"/>
      </w:tblGrid>
      <w:tr w:rsidR="006F76EB" w:rsidRPr="00834D52" w14:paraId="59FF25B0" w14:textId="77777777" w:rsidTr="00F71229">
        <w:trPr>
          <w:jc w:val="center"/>
        </w:trPr>
        <w:tc>
          <w:tcPr>
            <w:tcW w:w="4916" w:type="dxa"/>
          </w:tcPr>
          <w:p w14:paraId="0D049843" w14:textId="77777777" w:rsidR="006F76EB" w:rsidRPr="00834D52" w:rsidRDefault="006F76EB" w:rsidP="00BE625D">
            <w:pPr>
              <w:spacing w:after="120"/>
              <w:ind w:right="-8"/>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245" w:type="dxa"/>
          </w:tcPr>
          <w:p w14:paraId="045207BA"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0BEE2685" w14:textId="77777777" w:rsidTr="00F71229">
        <w:trPr>
          <w:jc w:val="center"/>
        </w:trPr>
        <w:tc>
          <w:tcPr>
            <w:tcW w:w="4916" w:type="dxa"/>
          </w:tcPr>
          <w:p w14:paraId="2C55B6D7" w14:textId="77777777" w:rsidR="006F76EB" w:rsidRPr="00834D52" w:rsidRDefault="006F76EB" w:rsidP="00BE625D">
            <w:pPr>
              <w:spacing w:after="120"/>
              <w:ind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Եվրասիական տնտեսական միության այն անդամ պետությունները, որտեղ գրանցված է </w:t>
            </w:r>
            <w:r w:rsidR="0032680A">
              <w:rPr>
                <w:rFonts w:ascii="Sylfaen" w:hAnsi="Sylfaen"/>
                <w:sz w:val="24"/>
                <w:szCs w:val="24"/>
              </w:rPr>
              <w:t xml:space="preserve">ռեֆերենտ </w:t>
            </w:r>
            <w:r w:rsidRPr="00834D52">
              <w:rPr>
                <w:rFonts w:ascii="Sylfaen" w:hAnsi="Sylfaen"/>
                <w:sz w:val="24"/>
                <w:szCs w:val="24"/>
              </w:rPr>
              <w:t>դեղապատրաստուկը</w:t>
            </w:r>
          </w:p>
        </w:tc>
        <w:tc>
          <w:tcPr>
            <w:tcW w:w="5245" w:type="dxa"/>
          </w:tcPr>
          <w:p w14:paraId="6F543124"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51341AF4" w14:textId="77777777" w:rsidTr="00F71229">
        <w:trPr>
          <w:jc w:val="center"/>
        </w:trPr>
        <w:tc>
          <w:tcPr>
            <w:tcW w:w="4916" w:type="dxa"/>
          </w:tcPr>
          <w:p w14:paraId="4A487A48" w14:textId="77777777" w:rsidR="006F76EB" w:rsidRPr="00834D52" w:rsidRDefault="0032680A" w:rsidP="00BE625D">
            <w:pPr>
              <w:spacing w:after="120"/>
              <w:ind w:right="-8"/>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դեղապատրաստուկի ընտրության վերաբերյալ Դեղամիջոցների հարցերով փորձագիտական կոմիտեի առաջարկությունների առկայությունը</w:t>
            </w:r>
          </w:p>
        </w:tc>
        <w:tc>
          <w:tcPr>
            <w:tcW w:w="5245" w:type="dxa"/>
          </w:tcPr>
          <w:p w14:paraId="5987FE50"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736B1ED6" w14:textId="77777777" w:rsidTr="00F71229">
        <w:trPr>
          <w:trHeight w:val="482"/>
          <w:jc w:val="center"/>
        </w:trPr>
        <w:tc>
          <w:tcPr>
            <w:tcW w:w="4916" w:type="dxa"/>
            <w:vMerge w:val="restart"/>
          </w:tcPr>
          <w:p w14:paraId="56FADEF4" w14:textId="77777777" w:rsidR="006F76EB" w:rsidRPr="00834D52" w:rsidRDefault="0032680A" w:rsidP="00BE625D">
            <w:pPr>
              <w:spacing w:after="120"/>
              <w:ind w:right="-8"/>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կենսաբանական դեղապատրաստուկի համեմատ տարբերությունները (եթե առկա են)՝</w:t>
            </w:r>
          </w:p>
        </w:tc>
        <w:tc>
          <w:tcPr>
            <w:tcW w:w="5245" w:type="dxa"/>
            <w:vAlign w:val="center"/>
          </w:tcPr>
          <w:p w14:paraId="71480816" w14:textId="5A286FDF" w:rsidR="006F76EB" w:rsidRPr="00834D52" w:rsidRDefault="0037154C" w:rsidP="00BE625D">
            <w:pPr>
              <w:spacing w:after="120"/>
              <w:ind w:left="45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26656" behindDoc="0" locked="0" layoutInCell="1" allowOverlap="1" wp14:anchorId="1704422C" wp14:editId="35FA30A1">
                      <wp:simplePos x="0" y="0"/>
                      <wp:positionH relativeFrom="column">
                        <wp:posOffset>36830</wp:posOffset>
                      </wp:positionH>
                      <wp:positionV relativeFrom="paragraph">
                        <wp:posOffset>32385</wp:posOffset>
                      </wp:positionV>
                      <wp:extent cx="161925" cy="152400"/>
                      <wp:effectExtent l="13335" t="10795" r="5715" b="8255"/>
                      <wp:wrapNone/>
                      <wp:docPr id="29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A163E" id="Rectangle 11" o:spid="_x0000_s1026" style="position:absolute;margin-left:2.9pt;margin-top:2.55pt;width:12.75pt;height:12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"/>
                  </w:pict>
                </mc:Fallback>
              </mc:AlternateContent>
            </w:r>
            <w:r w:rsidR="006F76EB" w:rsidRPr="00834D52">
              <w:rPr>
                <w:rFonts w:ascii="Sylfaen" w:hAnsi="Sylfaen" w:cs="Sylfaen"/>
                <w:sz w:val="24"/>
                <w:szCs w:val="24"/>
              </w:rPr>
              <w:t>ելանյութերի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65DCBA83" w14:textId="77777777" w:rsidTr="00F71229">
        <w:trPr>
          <w:trHeight w:val="482"/>
          <w:jc w:val="center"/>
        </w:trPr>
        <w:tc>
          <w:tcPr>
            <w:tcW w:w="4916" w:type="dxa"/>
            <w:vMerge/>
          </w:tcPr>
          <w:p w14:paraId="6F8AF8D7"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41794F1C" w14:textId="0E893878" w:rsidR="006F76EB" w:rsidRPr="00834D52" w:rsidRDefault="0037154C"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7680" behindDoc="0" locked="0" layoutInCell="1" allowOverlap="1" wp14:anchorId="196B48FC" wp14:editId="0E55D997">
                      <wp:simplePos x="0" y="0"/>
                      <wp:positionH relativeFrom="column">
                        <wp:posOffset>47625</wp:posOffset>
                      </wp:positionH>
                      <wp:positionV relativeFrom="paragraph">
                        <wp:posOffset>67945</wp:posOffset>
                      </wp:positionV>
                      <wp:extent cx="161925" cy="152400"/>
                      <wp:effectExtent l="5080" t="10795" r="13970" b="8255"/>
                      <wp:wrapNone/>
                      <wp:docPr id="29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8178A" id="Rectangle 12" o:spid="_x0000_s1026" style="position:absolute;margin-left:3.75pt;margin-top:5.35pt;width:12.75pt;height:12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"/>
                  </w:pict>
                </mc:Fallback>
              </mc:AlternateContent>
            </w:r>
            <w:r w:rsidR="006F76EB" w:rsidRPr="00834D52">
              <w:rPr>
                <w:rFonts w:ascii="Sylfaen" w:hAnsi="Sylfaen" w:cs="Sylfaen"/>
                <w:sz w:val="24"/>
                <w:szCs w:val="24"/>
              </w:rPr>
              <w:t>արտադրական</w:t>
            </w:r>
            <w:r w:rsidR="006F76EB" w:rsidRPr="00834D52">
              <w:rPr>
                <w:rFonts w:ascii="Sylfaen" w:hAnsi="Sylfaen"/>
                <w:sz w:val="24"/>
                <w:szCs w:val="24"/>
              </w:rPr>
              <w:t xml:space="preserve"> </w:t>
            </w:r>
            <w:r w:rsidR="006F76EB" w:rsidRPr="00834D52">
              <w:rPr>
                <w:rFonts w:ascii="Sylfaen" w:hAnsi="Sylfaen" w:cs="Sylfaen"/>
                <w:sz w:val="24"/>
                <w:szCs w:val="24"/>
              </w:rPr>
              <w:t>գործընթացի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164D827F" w14:textId="77777777" w:rsidTr="00F71229">
        <w:trPr>
          <w:trHeight w:val="482"/>
          <w:jc w:val="center"/>
        </w:trPr>
        <w:tc>
          <w:tcPr>
            <w:tcW w:w="4916" w:type="dxa"/>
            <w:vMerge/>
          </w:tcPr>
          <w:p w14:paraId="5FEC2F85"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02E7EBCB" w14:textId="7CC6DCDA" w:rsidR="006F76EB" w:rsidRPr="00834D52" w:rsidRDefault="0037154C"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8704" behindDoc="0" locked="0" layoutInCell="1" allowOverlap="1" wp14:anchorId="43DBAB76" wp14:editId="355E4697">
                      <wp:simplePos x="0" y="0"/>
                      <wp:positionH relativeFrom="column">
                        <wp:posOffset>48260</wp:posOffset>
                      </wp:positionH>
                      <wp:positionV relativeFrom="paragraph">
                        <wp:posOffset>62865</wp:posOffset>
                      </wp:positionV>
                      <wp:extent cx="161925" cy="152400"/>
                      <wp:effectExtent l="5715" t="9525" r="13335" b="9525"/>
                      <wp:wrapNone/>
                      <wp:docPr id="2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2CCE7" id="Rectangle 13" o:spid="_x0000_s1026" style="position:absolute;margin-left:3.8pt;margin-top:4.95pt;width:12.75pt;height:12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"/>
                  </w:pict>
                </mc:Fallback>
              </mc:AlternateContent>
            </w:r>
            <w:r w:rsidR="006F76EB" w:rsidRPr="00834D52">
              <w:rPr>
                <w:rFonts w:ascii="Sylfaen" w:hAnsi="Sylfaen" w:cs="Sylfaen"/>
                <w:sz w:val="24"/>
                <w:szCs w:val="24"/>
              </w:rPr>
              <w:t>կիրառման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ցուցումներ</w:t>
            </w:r>
          </w:p>
        </w:tc>
      </w:tr>
      <w:tr w:rsidR="006F76EB" w:rsidRPr="00834D52" w14:paraId="44B88E91" w14:textId="77777777" w:rsidTr="00F71229">
        <w:trPr>
          <w:trHeight w:val="482"/>
          <w:jc w:val="center"/>
        </w:trPr>
        <w:tc>
          <w:tcPr>
            <w:tcW w:w="4916" w:type="dxa"/>
            <w:vMerge/>
          </w:tcPr>
          <w:p w14:paraId="3693FB03"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66116766" w14:textId="7F10C1C2" w:rsidR="006F76EB" w:rsidRPr="00834D52" w:rsidRDefault="0037154C"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9728" behindDoc="0" locked="0" layoutInCell="1" allowOverlap="1" wp14:anchorId="5D4DA562" wp14:editId="4854FA3D">
                      <wp:simplePos x="0" y="0"/>
                      <wp:positionH relativeFrom="column">
                        <wp:posOffset>50165</wp:posOffset>
                      </wp:positionH>
                      <wp:positionV relativeFrom="paragraph">
                        <wp:posOffset>78740</wp:posOffset>
                      </wp:positionV>
                      <wp:extent cx="161925" cy="152400"/>
                      <wp:effectExtent l="7620" t="13970" r="11430" b="5080"/>
                      <wp:wrapNone/>
                      <wp:docPr id="29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2E265" id="Rectangle 14" o:spid="_x0000_s1026" style="position:absolute;margin-left:3.95pt;margin-top:6.2pt;width:12.75pt;height:12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"/>
                  </w:pict>
                </mc:Fallback>
              </mc:AlternateConten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2A10BB0D" w14:textId="77777777" w:rsidTr="00F71229">
        <w:trPr>
          <w:trHeight w:val="482"/>
          <w:jc w:val="center"/>
        </w:trPr>
        <w:tc>
          <w:tcPr>
            <w:tcW w:w="4916" w:type="dxa"/>
            <w:vMerge/>
          </w:tcPr>
          <w:p w14:paraId="77423AB2"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42D2BFB1" w14:textId="4C82F71F" w:rsidR="006F76EB" w:rsidRPr="00834D52" w:rsidRDefault="0037154C"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0752" behindDoc="0" locked="0" layoutInCell="1" allowOverlap="1" wp14:anchorId="06CE8070" wp14:editId="6466882C">
                      <wp:simplePos x="0" y="0"/>
                      <wp:positionH relativeFrom="column">
                        <wp:posOffset>49530</wp:posOffset>
                      </wp:positionH>
                      <wp:positionV relativeFrom="paragraph">
                        <wp:posOffset>92075</wp:posOffset>
                      </wp:positionV>
                      <wp:extent cx="161925" cy="152400"/>
                      <wp:effectExtent l="6985" t="10795" r="12065" b="8255"/>
                      <wp:wrapNone/>
                      <wp:docPr id="29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1D7CE" id="Rectangle 15" o:spid="_x0000_s1026" style="position:absolute;margin-left:3.9pt;margin-top:7.25pt;width:12.75pt;height:12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դեղաչափեր</w:t>
            </w:r>
            <w:r w:rsidR="006F76EB" w:rsidRPr="00834D52">
              <w:rPr>
                <w:rFonts w:ascii="Sylfaen" w:hAnsi="Sylfaen"/>
                <w:sz w:val="24"/>
                <w:szCs w:val="24"/>
              </w:rPr>
              <w:t xml:space="preserve"> (</w:t>
            </w:r>
            <w:r w:rsidR="006F76EB" w:rsidRPr="00834D52">
              <w:rPr>
                <w:rFonts w:ascii="Sylfaen" w:hAnsi="Sylfaen" w:cs="Sylfaen"/>
                <w:sz w:val="24"/>
                <w:szCs w:val="24"/>
              </w:rPr>
              <w:t>ԱԴԲ</w:t>
            </w:r>
            <w:r w:rsidR="006F76EB" w:rsidRPr="00834D52">
              <w:rPr>
                <w:rFonts w:ascii="Sylfaen" w:hAnsi="Sylfaen"/>
                <w:sz w:val="24"/>
                <w:szCs w:val="24"/>
              </w:rPr>
              <w:t>-</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քանակական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r w:rsidR="006F76EB" w:rsidRPr="00834D52">
              <w:rPr>
                <w:rFonts w:ascii="Sylfaen" w:hAnsi="Sylfaen"/>
                <w:sz w:val="24"/>
                <w:szCs w:val="24"/>
              </w:rPr>
              <w:t>)</w:t>
            </w:r>
          </w:p>
        </w:tc>
      </w:tr>
      <w:tr w:rsidR="006F76EB" w:rsidRPr="00834D52" w14:paraId="636F5567" w14:textId="77777777" w:rsidTr="00F71229">
        <w:trPr>
          <w:trHeight w:val="482"/>
          <w:jc w:val="center"/>
        </w:trPr>
        <w:tc>
          <w:tcPr>
            <w:tcW w:w="4916" w:type="dxa"/>
            <w:vMerge/>
          </w:tcPr>
          <w:p w14:paraId="5EE49BB7"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0336ABF4" w14:textId="00CD57F4" w:rsidR="006F76EB" w:rsidRPr="00834D52" w:rsidRDefault="0037154C"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1776" behindDoc="0" locked="0" layoutInCell="1" allowOverlap="1" wp14:anchorId="3B220861" wp14:editId="4E35CB84">
                      <wp:simplePos x="0" y="0"/>
                      <wp:positionH relativeFrom="column">
                        <wp:posOffset>47625</wp:posOffset>
                      </wp:positionH>
                      <wp:positionV relativeFrom="paragraph">
                        <wp:posOffset>50165</wp:posOffset>
                      </wp:positionV>
                      <wp:extent cx="161925" cy="152400"/>
                      <wp:effectExtent l="5080" t="10160" r="13970" b="8890"/>
                      <wp:wrapNone/>
                      <wp:docPr id="2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BE7E2" id="Rectangle 16" o:spid="_x0000_s1026" style="position:absolute;margin-left:3.75pt;margin-top:3.95pt;width:12.75pt;height:12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"/>
                  </w:pict>
                </mc:Fallback>
              </mc:AlternateConten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եղանակ</w:t>
            </w:r>
          </w:p>
        </w:tc>
      </w:tr>
      <w:tr w:rsidR="006F76EB" w:rsidRPr="00834D52" w14:paraId="0E68BE61" w14:textId="77777777" w:rsidTr="00F71229">
        <w:trPr>
          <w:trHeight w:val="482"/>
          <w:jc w:val="center"/>
        </w:trPr>
        <w:tc>
          <w:tcPr>
            <w:tcW w:w="4916" w:type="dxa"/>
            <w:vMerge/>
            <w:tcBorders>
              <w:bottom w:val="single" w:sz="4" w:space="0" w:color="auto"/>
            </w:tcBorders>
          </w:tcPr>
          <w:p w14:paraId="412C3F3D"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tcBorders>
              <w:bottom w:val="single" w:sz="4" w:space="0" w:color="auto"/>
            </w:tcBorders>
            <w:vAlign w:val="center"/>
          </w:tcPr>
          <w:p w14:paraId="5982EA70" w14:textId="1CF4D935" w:rsidR="006F76EB" w:rsidRPr="00834D52" w:rsidRDefault="0037154C" w:rsidP="00BE625D">
            <w:pPr>
              <w:spacing w:after="120"/>
              <w:ind w:left="459" w:right="-66"/>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32800" behindDoc="0" locked="0" layoutInCell="1" allowOverlap="1" wp14:anchorId="23A833DA" wp14:editId="1A146F0C">
                      <wp:simplePos x="0" y="0"/>
                      <wp:positionH relativeFrom="column">
                        <wp:posOffset>52070</wp:posOffset>
                      </wp:positionH>
                      <wp:positionV relativeFrom="paragraph">
                        <wp:posOffset>44450</wp:posOffset>
                      </wp:positionV>
                      <wp:extent cx="161925" cy="152400"/>
                      <wp:effectExtent l="9525" t="12065" r="9525" b="6985"/>
                      <wp:wrapNone/>
                      <wp:docPr id="28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34850" id="Rectangle 17" o:spid="_x0000_s1026" style="position:absolute;margin-left:4.1pt;margin-top:3.5pt;width:12.75pt;height:12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r w:rsidR="006F76EB" w:rsidRPr="00834D52">
              <w:rPr>
                <w:rFonts w:ascii="Sylfaen" w:hAnsi="Sylfaen"/>
                <w:sz w:val="24"/>
                <w:szCs w:val="24"/>
              </w:rPr>
              <w:t>______________</w:t>
            </w:r>
            <w:r w:rsidR="006F76EB" w:rsidRPr="00834D52">
              <w:rPr>
                <w:rFonts w:ascii="Sylfaen" w:hAnsi="Sylfaen"/>
                <w:sz w:val="24"/>
                <w:szCs w:val="24"/>
                <w:lang w:val="en-US"/>
              </w:rPr>
              <w:t>___</w:t>
            </w:r>
          </w:p>
        </w:tc>
      </w:tr>
    </w:tbl>
    <w:p w14:paraId="635C5418" w14:textId="77777777" w:rsidR="006F76EB" w:rsidRPr="00834D52" w:rsidRDefault="006F76EB" w:rsidP="006F76EB">
      <w:pPr>
        <w:rPr>
          <w:rFonts w:ascii="Sylfaen" w:hAnsi="Sylfaen"/>
        </w:rPr>
      </w:pPr>
    </w:p>
    <w:tbl>
      <w:tblPr>
        <w:tblStyle w:val="TableGrid"/>
        <w:tblW w:w="9781" w:type="dxa"/>
        <w:jc w:val="center"/>
        <w:tblLook w:val="04A0" w:firstRow="1" w:lastRow="0" w:firstColumn="1" w:lastColumn="0" w:noHBand="0" w:noVBand="1"/>
      </w:tblPr>
      <w:tblGrid>
        <w:gridCol w:w="2326"/>
        <w:gridCol w:w="7455"/>
      </w:tblGrid>
      <w:tr w:rsidR="006F76EB" w:rsidRPr="00834D52" w14:paraId="69173037" w14:textId="77777777" w:rsidTr="00F71229">
        <w:trPr>
          <w:trHeight w:val="482"/>
          <w:jc w:val="center"/>
        </w:trPr>
        <w:tc>
          <w:tcPr>
            <w:tcW w:w="2318" w:type="dxa"/>
            <w:tcBorders>
              <w:top w:val="nil"/>
              <w:left w:val="nil"/>
              <w:bottom w:val="nil"/>
              <w:right w:val="nil"/>
            </w:tcBorders>
          </w:tcPr>
          <w:p w14:paraId="68131A26"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Ծանոթագրություն:</w:t>
            </w:r>
          </w:p>
        </w:tc>
        <w:tc>
          <w:tcPr>
            <w:tcW w:w="7463" w:type="dxa"/>
            <w:tcBorders>
              <w:top w:val="nil"/>
              <w:left w:val="nil"/>
              <w:bottom w:val="nil"/>
              <w:right w:val="nil"/>
            </w:tcBorders>
            <w:vAlign w:val="center"/>
          </w:tcPr>
          <w:p w14:paraId="3FDF0031" w14:textId="44DAC990" w:rsidR="006F76EB" w:rsidRPr="00834D52" w:rsidRDefault="0056496B" w:rsidP="00F71229">
            <w:pPr>
              <w:spacing w:after="160" w:line="360" w:lineRule="auto"/>
              <w:ind w:right="-8"/>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լրացնելիս «օրիգինալ կենսաբանական դեղապատրաստուկ» դաշտում նշվում է տեղեկատվություն այն օրիգինալ պատրաստուկի մասին, որի կենսանմանակը գրանցման ներկայացվող դեղապատրաստուկն է: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 դաշտում նշվում է տեղեկատվություն այն պատրաստուկի (պատրաստուկների) մասին, որն օգտագործվել է (օգտագործվել են) կենսահամանմանությունը հաստատելու համար: </w:t>
            </w:r>
            <w:r w:rsidR="0032680A">
              <w:rPr>
                <w:rFonts w:ascii="Sylfaen" w:hAnsi="Sylfaen"/>
                <w:sz w:val="24"/>
                <w:szCs w:val="24"/>
              </w:rPr>
              <w:t xml:space="preserve">Ռեֆերենտ </w:t>
            </w:r>
            <w:r w:rsidR="00C54D75">
              <w:rPr>
                <w:rFonts w:ascii="Sylfaen" w:hAnsi="Sylfaen"/>
                <w:sz w:val="24"/>
                <w:szCs w:val="24"/>
              </w:rPr>
              <w:t>և</w:t>
            </w:r>
            <w:r w:rsidR="006F76EB" w:rsidRPr="00834D52">
              <w:rPr>
                <w:rFonts w:ascii="Sylfaen" w:hAnsi="Sylfaen"/>
                <w:sz w:val="24"/>
                <w:szCs w:val="24"/>
              </w:rPr>
              <w:t xml:space="preserve"> օրիգինալ պատրաստուկների մասին տեղեկատվությունը համընկնելու դեպքում համապատասխան տեղեկատվությունը կրկնվում է:</w:t>
            </w:r>
          </w:p>
        </w:tc>
      </w:tr>
    </w:tbl>
    <w:p w14:paraId="39A194B5" w14:textId="77777777" w:rsidR="006F76EB" w:rsidRPr="00834D52" w:rsidRDefault="006F76EB" w:rsidP="006F76EB">
      <w:pPr>
        <w:spacing w:after="160" w:line="360" w:lineRule="auto"/>
        <w:ind w:right="-8"/>
        <w:jc w:val="center"/>
        <w:rPr>
          <w:rFonts w:ascii="Sylfaen" w:hAnsi="Sylfaen"/>
          <w:sz w:val="24"/>
          <w:szCs w:val="24"/>
        </w:rPr>
      </w:pPr>
    </w:p>
    <w:p w14:paraId="06D2BEB8" w14:textId="7A3EE6CA"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3824" behindDoc="0" locked="0" layoutInCell="1" allowOverlap="1" wp14:anchorId="06D9F808" wp14:editId="10B49182">
                <wp:simplePos x="0" y="0"/>
                <wp:positionH relativeFrom="column">
                  <wp:posOffset>1271905</wp:posOffset>
                </wp:positionH>
                <wp:positionV relativeFrom="paragraph">
                  <wp:posOffset>18415</wp:posOffset>
                </wp:positionV>
                <wp:extent cx="161925" cy="152400"/>
                <wp:effectExtent l="10160" t="13970" r="8890" b="5080"/>
                <wp:wrapNone/>
                <wp:docPr id="28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8E60" id="Rectangle 18" o:spid="_x0000_s1026" style="position:absolute;margin-left:100.15pt;margin-top:1.45pt;width:12.75pt;height:12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"/>
            </w:pict>
          </mc:Fallback>
        </mc:AlternateContent>
      </w:r>
      <w:r w:rsidR="006F76EB" w:rsidRPr="00834D52">
        <w:rPr>
          <w:rFonts w:ascii="Sylfaen" w:hAnsi="Sylfaen"/>
          <w:sz w:val="24"/>
          <w:szCs w:val="24"/>
        </w:rPr>
        <w:t>ՀԻԲՐԻԴԱՅԻՆ ԴԵՂԱՊԱՏՐԱՍՏՈՒԿ</w:t>
      </w:r>
    </w:p>
    <w:p w14:paraId="5DEB5FF3"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w:t>
      </w:r>
    </w:p>
    <w:tbl>
      <w:tblPr>
        <w:tblW w:w="10136" w:type="dxa"/>
        <w:jc w:val="center"/>
        <w:tblLayout w:type="fixed"/>
        <w:tblCellMar>
          <w:left w:w="0" w:type="dxa"/>
          <w:right w:w="0" w:type="dxa"/>
        </w:tblCellMar>
        <w:tblLook w:val="01E0" w:firstRow="1" w:lastRow="1" w:firstColumn="1" w:lastColumn="1" w:noHBand="0" w:noVBand="0"/>
      </w:tblPr>
      <w:tblGrid>
        <w:gridCol w:w="2198"/>
        <w:gridCol w:w="2552"/>
        <w:gridCol w:w="5037"/>
        <w:gridCol w:w="349"/>
      </w:tblGrid>
      <w:tr w:rsidR="006F76EB" w:rsidRPr="00834D52" w14:paraId="1F15DE54" w14:textId="77777777" w:rsidTr="00F71229">
        <w:trPr>
          <w:jc w:val="center"/>
        </w:trPr>
        <w:tc>
          <w:tcPr>
            <w:tcW w:w="4750" w:type="dxa"/>
            <w:gridSpan w:val="2"/>
            <w:tcBorders>
              <w:top w:val="single" w:sz="4" w:space="0" w:color="000000"/>
              <w:left w:val="single" w:sz="4" w:space="0" w:color="000000"/>
              <w:bottom w:val="single" w:sz="4" w:space="0" w:color="000000"/>
              <w:right w:val="single" w:sz="4" w:space="0" w:color="000000"/>
            </w:tcBorders>
          </w:tcPr>
          <w:p w14:paraId="29CCD594" w14:textId="77777777" w:rsidR="006F76EB" w:rsidRPr="00834D52" w:rsidRDefault="006F76EB" w:rsidP="00BE625D">
            <w:pPr>
              <w:spacing w:after="120" w:line="240" w:lineRule="auto"/>
              <w:ind w:left="71" w:right="-8"/>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386" w:type="dxa"/>
            <w:gridSpan w:val="2"/>
            <w:tcBorders>
              <w:top w:val="single" w:sz="4" w:space="0" w:color="000000"/>
              <w:left w:val="single" w:sz="4" w:space="0" w:color="000000"/>
              <w:bottom w:val="single" w:sz="4" w:space="0" w:color="000000"/>
              <w:right w:val="single" w:sz="4" w:space="0" w:color="000000"/>
            </w:tcBorders>
          </w:tcPr>
          <w:p w14:paraId="322A629D" w14:textId="77777777" w:rsidR="006F76EB" w:rsidRPr="00834D52" w:rsidRDefault="006F76EB" w:rsidP="00BE625D">
            <w:pPr>
              <w:spacing w:after="120" w:line="240" w:lineRule="auto"/>
              <w:ind w:right="-8"/>
              <w:rPr>
                <w:rFonts w:ascii="Sylfaen" w:hAnsi="Sylfaen"/>
                <w:sz w:val="24"/>
                <w:szCs w:val="24"/>
              </w:rPr>
            </w:pPr>
          </w:p>
        </w:tc>
      </w:tr>
      <w:tr w:rsidR="006F76EB" w:rsidRPr="00834D52" w14:paraId="7BA6C4B8" w14:textId="77777777" w:rsidTr="00F71229">
        <w:trPr>
          <w:jc w:val="center"/>
        </w:trPr>
        <w:tc>
          <w:tcPr>
            <w:tcW w:w="4750" w:type="dxa"/>
            <w:gridSpan w:val="2"/>
            <w:tcBorders>
              <w:top w:val="single" w:sz="4" w:space="0" w:color="000000"/>
              <w:left w:val="single" w:sz="4" w:space="0" w:color="000000"/>
              <w:bottom w:val="single" w:sz="4" w:space="0" w:color="auto"/>
              <w:right w:val="single" w:sz="4" w:space="0" w:color="000000"/>
            </w:tcBorders>
          </w:tcPr>
          <w:p w14:paraId="24FF0652" w14:textId="77777777" w:rsidR="006F76EB" w:rsidRPr="00834D52" w:rsidRDefault="006F76EB" w:rsidP="00BE625D">
            <w:pPr>
              <w:spacing w:after="120" w:line="240" w:lineRule="auto"/>
              <w:ind w:left="71" w:right="-8"/>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386" w:type="dxa"/>
            <w:gridSpan w:val="2"/>
            <w:tcBorders>
              <w:top w:val="single" w:sz="4" w:space="0" w:color="000000"/>
              <w:left w:val="single" w:sz="4" w:space="0" w:color="000000"/>
              <w:bottom w:val="single" w:sz="4" w:space="0" w:color="auto"/>
              <w:right w:val="single" w:sz="4" w:space="0" w:color="000000"/>
            </w:tcBorders>
          </w:tcPr>
          <w:p w14:paraId="66A24E67" w14:textId="77777777" w:rsidR="006F76EB" w:rsidRPr="00834D52" w:rsidRDefault="006F76EB" w:rsidP="00BE625D">
            <w:pPr>
              <w:spacing w:after="120" w:line="240" w:lineRule="auto"/>
              <w:ind w:right="-8"/>
              <w:rPr>
                <w:rFonts w:ascii="Sylfaen" w:hAnsi="Sylfaen"/>
                <w:sz w:val="24"/>
                <w:szCs w:val="24"/>
              </w:rPr>
            </w:pPr>
          </w:p>
        </w:tc>
      </w:tr>
      <w:tr w:rsidR="006F76EB" w:rsidRPr="00834D52" w14:paraId="39524D04" w14:textId="77777777" w:rsidTr="00F71229">
        <w:trPr>
          <w:jc w:val="center"/>
        </w:trPr>
        <w:tc>
          <w:tcPr>
            <w:tcW w:w="4750" w:type="dxa"/>
            <w:gridSpan w:val="2"/>
            <w:vMerge w:val="restart"/>
            <w:tcBorders>
              <w:top w:val="single" w:sz="4" w:space="0" w:color="auto"/>
              <w:left w:val="single" w:sz="4" w:space="0" w:color="auto"/>
              <w:bottom w:val="single" w:sz="4" w:space="0" w:color="auto"/>
              <w:right w:val="single" w:sz="4" w:space="0" w:color="auto"/>
            </w:tcBorders>
          </w:tcPr>
          <w:p w14:paraId="47D5B7FC" w14:textId="77777777" w:rsidR="006F76EB" w:rsidRPr="00834D52" w:rsidRDefault="006F76EB" w:rsidP="00BE625D">
            <w:pPr>
              <w:spacing w:after="120" w:line="240" w:lineRule="auto"/>
              <w:ind w:left="71" w:right="113"/>
              <w:rPr>
                <w:rFonts w:ascii="Sylfaen" w:eastAsia="Times New Roman" w:hAnsi="Sylfaen" w:cs="Times New Roman"/>
                <w:sz w:val="24"/>
                <w:szCs w:val="24"/>
              </w:rPr>
            </w:pPr>
            <w:r w:rsidRPr="00834D52">
              <w:rPr>
                <w:rFonts w:ascii="Sylfaen" w:hAnsi="Sylfaen"/>
                <w:sz w:val="24"/>
                <w:szCs w:val="24"/>
              </w:rPr>
              <w:t>օրիգինալ դեղապատրաստուկի համեմատ տարբերությունները՝</w:t>
            </w:r>
          </w:p>
        </w:tc>
        <w:tc>
          <w:tcPr>
            <w:tcW w:w="5386" w:type="dxa"/>
            <w:gridSpan w:val="2"/>
            <w:tcBorders>
              <w:top w:val="single" w:sz="4" w:space="0" w:color="auto"/>
              <w:left w:val="single" w:sz="4" w:space="0" w:color="auto"/>
              <w:bottom w:val="single" w:sz="4" w:space="0" w:color="auto"/>
              <w:right w:val="single" w:sz="4" w:space="0" w:color="auto"/>
            </w:tcBorders>
          </w:tcPr>
          <w:p w14:paraId="6D00232C" w14:textId="18BF1247" w:rsidR="006F76EB" w:rsidRPr="00834D52" w:rsidRDefault="0037154C" w:rsidP="00BE625D">
            <w:pPr>
              <w:spacing w:after="120" w:line="240" w:lineRule="auto"/>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4848" behindDoc="0" locked="0" layoutInCell="1" allowOverlap="1" wp14:anchorId="730D0978" wp14:editId="13FAD4B6">
                      <wp:simplePos x="0" y="0"/>
                      <wp:positionH relativeFrom="column">
                        <wp:posOffset>53975</wp:posOffset>
                      </wp:positionH>
                      <wp:positionV relativeFrom="paragraph">
                        <wp:posOffset>60960</wp:posOffset>
                      </wp:positionV>
                      <wp:extent cx="161925" cy="152400"/>
                      <wp:effectExtent l="10795" t="10160" r="8255" b="8890"/>
                      <wp:wrapNone/>
                      <wp:docPr id="28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0016E" id="Rectangle 19" o:spid="_x0000_s1026" style="position:absolute;margin-left:4.25pt;margin-top:4.8pt;width:12.75pt;height:1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"/>
                  </w:pict>
                </mc:Fallback>
              </mc:AlternateContent>
            </w:r>
            <w:r w:rsidR="006F76EB" w:rsidRPr="00834D52">
              <w:rPr>
                <w:rFonts w:ascii="Sylfaen" w:hAnsi="Sylfaen" w:cs="Sylfaen"/>
                <w:sz w:val="24"/>
                <w:szCs w:val="24"/>
              </w:rPr>
              <w:t>ակտիվ</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p>
        </w:tc>
      </w:tr>
      <w:tr w:rsidR="006F76EB" w:rsidRPr="00834D52" w14:paraId="441E0570"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25615A03"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22C6EA7A" w14:textId="4AB5C4FC" w:rsidR="006F76EB" w:rsidRPr="00834D52" w:rsidRDefault="0037154C" w:rsidP="00BE625D">
            <w:pPr>
              <w:spacing w:after="120" w:line="240" w:lineRule="auto"/>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5872" behindDoc="0" locked="0" layoutInCell="1" allowOverlap="1" wp14:anchorId="56313422" wp14:editId="251C5356">
                      <wp:simplePos x="0" y="0"/>
                      <wp:positionH relativeFrom="column">
                        <wp:posOffset>44450</wp:posOffset>
                      </wp:positionH>
                      <wp:positionV relativeFrom="paragraph">
                        <wp:posOffset>55245</wp:posOffset>
                      </wp:positionV>
                      <wp:extent cx="161925" cy="152400"/>
                      <wp:effectExtent l="10795" t="12065" r="8255" b="6985"/>
                      <wp:wrapNone/>
                      <wp:docPr id="28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82165" id="Rectangle 20" o:spid="_x0000_s1026" style="position:absolute;margin-left:3.5pt;margin-top:4.35pt;width:12.75pt;height:12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դեղաձ</w:t>
            </w:r>
            <w:r w:rsidR="00C54D75">
              <w:rPr>
                <w:rFonts w:ascii="Sylfaen" w:hAnsi="Sylfaen" w:cs="Sylfaen"/>
                <w:sz w:val="24"/>
                <w:szCs w:val="24"/>
              </w:rPr>
              <w:t>և</w:t>
            </w:r>
          </w:p>
        </w:tc>
      </w:tr>
      <w:tr w:rsidR="006F76EB" w:rsidRPr="00834D52" w14:paraId="28968545"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4EC37F97"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3D029EE5" w14:textId="6934F8B9" w:rsidR="006F76EB" w:rsidRPr="00834D52" w:rsidRDefault="0037154C" w:rsidP="00BE625D">
            <w:pPr>
              <w:spacing w:after="120" w:line="240" w:lineRule="auto"/>
              <w:ind w:left="459" w:right="501"/>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6896" behindDoc="0" locked="0" layoutInCell="1" allowOverlap="1" wp14:anchorId="38A9D9CA" wp14:editId="5A96E0A5">
                      <wp:simplePos x="0" y="0"/>
                      <wp:positionH relativeFrom="column">
                        <wp:posOffset>44450</wp:posOffset>
                      </wp:positionH>
                      <wp:positionV relativeFrom="paragraph">
                        <wp:posOffset>34925</wp:posOffset>
                      </wp:positionV>
                      <wp:extent cx="161925" cy="152400"/>
                      <wp:effectExtent l="10795" t="8255" r="8255" b="10795"/>
                      <wp:wrapNone/>
                      <wp:docPr id="28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F012D" id="Rectangle 21" o:spid="_x0000_s1026" style="position:absolute;margin-left:3.5pt;margin-top:2.75pt;width:12.75pt;height:12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դեղաչափեր</w:t>
            </w:r>
            <w:r w:rsidR="006F76EB" w:rsidRPr="00834D52">
              <w:rPr>
                <w:rFonts w:ascii="Sylfaen" w:hAnsi="Sylfaen"/>
                <w:sz w:val="24"/>
                <w:szCs w:val="24"/>
              </w:rPr>
              <w:t xml:space="preserve"> (</w:t>
            </w:r>
            <w:r w:rsidR="006F76EB" w:rsidRPr="00834D52">
              <w:rPr>
                <w:rFonts w:ascii="Sylfaen" w:hAnsi="Sylfaen" w:cs="Sylfaen"/>
                <w:sz w:val="24"/>
                <w:szCs w:val="24"/>
              </w:rPr>
              <w:t>ԱԴԲ</w:t>
            </w:r>
            <w:r w:rsidR="006F76EB" w:rsidRPr="00834D52">
              <w:rPr>
                <w:rFonts w:ascii="Sylfaen" w:hAnsi="Sylfaen"/>
                <w:sz w:val="24"/>
                <w:szCs w:val="24"/>
              </w:rPr>
              <w:t>-</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քանակական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r w:rsidR="006F76EB" w:rsidRPr="00834D52">
              <w:rPr>
                <w:rFonts w:ascii="Sylfaen" w:hAnsi="Sylfaen"/>
                <w:sz w:val="24"/>
                <w:szCs w:val="24"/>
              </w:rPr>
              <w:t>)</w:t>
            </w:r>
          </w:p>
        </w:tc>
      </w:tr>
      <w:tr w:rsidR="006F76EB" w:rsidRPr="00834D52" w14:paraId="263720ED"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318365E2"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18E86353" w14:textId="40C0A19F" w:rsidR="006F76EB" w:rsidRPr="00834D52" w:rsidRDefault="0037154C"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7920" behindDoc="0" locked="0" layoutInCell="1" allowOverlap="1" wp14:anchorId="6714E143" wp14:editId="640C23A7">
                      <wp:simplePos x="0" y="0"/>
                      <wp:positionH relativeFrom="column">
                        <wp:posOffset>44450</wp:posOffset>
                      </wp:positionH>
                      <wp:positionV relativeFrom="paragraph">
                        <wp:posOffset>47625</wp:posOffset>
                      </wp:positionV>
                      <wp:extent cx="161925" cy="152400"/>
                      <wp:effectExtent l="10795" t="9525" r="8255" b="9525"/>
                      <wp:wrapNone/>
                      <wp:docPr id="28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2C03C" id="Rectangle 22" o:spid="_x0000_s1026" style="position:absolute;margin-left:3.5pt;margin-top:3.75pt;width:12.75pt;height:1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"/>
                  </w:pict>
                </mc:Fallback>
              </mc:AlternateConten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եղանակ</w:t>
            </w:r>
          </w:p>
        </w:tc>
      </w:tr>
      <w:tr w:rsidR="006F76EB" w:rsidRPr="00834D52" w14:paraId="35CBD9C7"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2BF6D94C"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37FB111A" w14:textId="340F0973" w:rsidR="006F76EB" w:rsidRPr="00834D52" w:rsidRDefault="0037154C"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8944" behindDoc="0" locked="0" layoutInCell="1" allowOverlap="1" wp14:anchorId="2712C11A" wp14:editId="5ED88910">
                      <wp:simplePos x="0" y="0"/>
                      <wp:positionH relativeFrom="column">
                        <wp:posOffset>44450</wp:posOffset>
                      </wp:positionH>
                      <wp:positionV relativeFrom="paragraph">
                        <wp:posOffset>46355</wp:posOffset>
                      </wp:positionV>
                      <wp:extent cx="161925" cy="152400"/>
                      <wp:effectExtent l="10795" t="5715" r="8255" b="13335"/>
                      <wp:wrapNone/>
                      <wp:docPr id="28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2DE9A" id="Rectangle 23" o:spid="_x0000_s1026" style="position:absolute;margin-left:3.5pt;margin-top:3.65pt;width:12.75pt;height:12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355C33">
              <w:rPr>
                <w:rFonts w:ascii="Sylfaen" w:hAnsi="Sylfaen"/>
                <w:sz w:val="24"/>
                <w:szCs w:val="24"/>
              </w:rPr>
              <w:t>դեղա</w:t>
            </w:r>
            <w:r w:rsidR="006F76EB" w:rsidRPr="00834D52">
              <w:rPr>
                <w:rFonts w:ascii="Sylfaen" w:hAnsi="Sylfaen" w:cs="Sylfaen"/>
                <w:sz w:val="24"/>
                <w:szCs w:val="24"/>
              </w:rPr>
              <w:t>կինետիկա</w:t>
            </w:r>
            <w:r w:rsidR="006F76EB" w:rsidRPr="00834D52">
              <w:rPr>
                <w:rFonts w:ascii="Sylfaen" w:hAnsi="Sylfaen"/>
                <w:sz w:val="24"/>
                <w:szCs w:val="24"/>
              </w:rPr>
              <w:t xml:space="preserve"> (</w:t>
            </w:r>
            <w:r w:rsidR="006F76EB" w:rsidRPr="00834D52">
              <w:rPr>
                <w:rFonts w:ascii="Sylfaen" w:hAnsi="Sylfaen" w:cs="Sylfaen"/>
                <w:sz w:val="24"/>
                <w:szCs w:val="24"/>
              </w:rPr>
              <w:t>ներառյալ՝</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կենսամատչելիություն</w:t>
            </w:r>
            <w:r w:rsidR="006F76EB" w:rsidRPr="00834D52">
              <w:rPr>
                <w:rFonts w:ascii="Sylfaen" w:hAnsi="Sylfaen"/>
                <w:sz w:val="24"/>
                <w:szCs w:val="24"/>
              </w:rPr>
              <w:t>)</w:t>
            </w:r>
          </w:p>
        </w:tc>
      </w:tr>
      <w:tr w:rsidR="006F76EB" w:rsidRPr="00834D52" w14:paraId="314B7EF2" w14:textId="77777777" w:rsidTr="00F71229">
        <w:trPr>
          <w:jc w:val="center"/>
        </w:trPr>
        <w:tc>
          <w:tcPr>
            <w:tcW w:w="4750" w:type="dxa"/>
            <w:gridSpan w:val="2"/>
            <w:vMerge/>
            <w:tcBorders>
              <w:top w:val="single" w:sz="4" w:space="0" w:color="auto"/>
              <w:left w:val="single" w:sz="4" w:space="0" w:color="000000"/>
              <w:right w:val="single" w:sz="4" w:space="0" w:color="000000"/>
            </w:tcBorders>
          </w:tcPr>
          <w:p w14:paraId="686E7E22"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000000"/>
              <w:bottom w:val="single" w:sz="4" w:space="0" w:color="000000"/>
              <w:right w:val="single" w:sz="4" w:space="0" w:color="000000"/>
            </w:tcBorders>
          </w:tcPr>
          <w:p w14:paraId="71E9CC32" w14:textId="62DBB5C9" w:rsidR="006F76EB" w:rsidRPr="00834D52" w:rsidRDefault="0037154C"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9968" behindDoc="0" locked="0" layoutInCell="1" allowOverlap="1" wp14:anchorId="1586BC4B" wp14:editId="493A765D">
                      <wp:simplePos x="0" y="0"/>
                      <wp:positionH relativeFrom="column">
                        <wp:posOffset>44450</wp:posOffset>
                      </wp:positionH>
                      <wp:positionV relativeFrom="paragraph">
                        <wp:posOffset>31115</wp:posOffset>
                      </wp:positionV>
                      <wp:extent cx="161925" cy="152400"/>
                      <wp:effectExtent l="10795" t="7620" r="8255" b="11430"/>
                      <wp:wrapNone/>
                      <wp:docPr id="28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08C97" id="Rectangle 24" o:spid="_x0000_s1026" style="position:absolute;margin-left:3.5pt;margin-top:2.45pt;width:12.75pt;height:12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"/>
                  </w:pict>
                </mc:Fallback>
              </mc:AlternateContent>
            </w:r>
            <w:r w:rsidR="006F76EB" w:rsidRPr="00834D52">
              <w:rPr>
                <w:rFonts w:ascii="Sylfaen" w:hAnsi="Sylfaen" w:cs="Sylfaen"/>
                <w:sz w:val="24"/>
                <w:szCs w:val="24"/>
              </w:rPr>
              <w:t>կիրառման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ցուցում</w:t>
            </w:r>
          </w:p>
        </w:tc>
      </w:tr>
      <w:tr w:rsidR="006F76EB" w:rsidRPr="00834D52" w14:paraId="37E66F1D" w14:textId="77777777" w:rsidTr="00F71229">
        <w:trPr>
          <w:trHeight w:val="486"/>
          <w:jc w:val="center"/>
        </w:trPr>
        <w:tc>
          <w:tcPr>
            <w:tcW w:w="4750" w:type="dxa"/>
            <w:gridSpan w:val="2"/>
            <w:vMerge/>
            <w:tcBorders>
              <w:left w:val="single" w:sz="4" w:space="0" w:color="000000"/>
              <w:bottom w:val="single" w:sz="4" w:space="0" w:color="auto"/>
              <w:right w:val="single" w:sz="4" w:space="0" w:color="000000"/>
            </w:tcBorders>
          </w:tcPr>
          <w:p w14:paraId="3851C93B"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000000"/>
              <w:left w:val="single" w:sz="4" w:space="0" w:color="000000"/>
              <w:bottom w:val="single" w:sz="4" w:space="0" w:color="auto"/>
              <w:right w:val="single" w:sz="4" w:space="0" w:color="000000"/>
            </w:tcBorders>
          </w:tcPr>
          <w:p w14:paraId="34A1A291" w14:textId="4B55CDD8" w:rsidR="006F76EB" w:rsidRPr="00834D52" w:rsidRDefault="0037154C" w:rsidP="00BE625D">
            <w:pPr>
              <w:spacing w:after="120" w:line="240" w:lineRule="auto"/>
              <w:ind w:left="459" w:right="-8"/>
              <w:rPr>
                <w:rFonts w:ascii="Sylfaen" w:hAnsi="Sylfae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40992" behindDoc="0" locked="0" layoutInCell="1" allowOverlap="1" wp14:anchorId="6CF24569" wp14:editId="3CDB7CF6">
                      <wp:simplePos x="0" y="0"/>
                      <wp:positionH relativeFrom="column">
                        <wp:posOffset>53975</wp:posOffset>
                      </wp:positionH>
                      <wp:positionV relativeFrom="paragraph">
                        <wp:posOffset>58420</wp:posOffset>
                      </wp:positionV>
                      <wp:extent cx="161925" cy="152400"/>
                      <wp:effectExtent l="10795" t="13335" r="8255" b="5715"/>
                      <wp:wrapNone/>
                      <wp:docPr id="28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9AAD1" id="Rectangle 25" o:spid="_x0000_s1026" style="position:absolute;margin-left:4.25pt;margin-top:4.6pt;width:12.75pt;height:12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r w:rsidR="006F76EB" w:rsidRPr="00834D52">
              <w:rPr>
                <w:rFonts w:ascii="Sylfaen" w:hAnsi="Sylfaen"/>
                <w:sz w:val="24"/>
                <w:szCs w:val="24"/>
              </w:rPr>
              <w:t>_____________</w:t>
            </w:r>
            <w:r w:rsidR="006F76EB" w:rsidRPr="00834D52">
              <w:rPr>
                <w:rFonts w:ascii="Sylfaen" w:hAnsi="Sylfaen"/>
                <w:sz w:val="24"/>
                <w:szCs w:val="24"/>
                <w:lang w:val="en-US"/>
              </w:rPr>
              <w:t>_</w:t>
            </w:r>
            <w:r w:rsidR="006F76EB" w:rsidRPr="00834D52">
              <w:rPr>
                <w:rFonts w:ascii="Sylfaen" w:hAnsi="Sylfaen"/>
                <w:sz w:val="24"/>
                <w:szCs w:val="24"/>
              </w:rPr>
              <w:t>___</w:t>
            </w:r>
            <w:r w:rsidR="006F76EB" w:rsidRPr="00834D52">
              <w:rPr>
                <w:rFonts w:ascii="Sylfaen" w:hAnsi="Sylfaen"/>
                <w:sz w:val="24"/>
                <w:szCs w:val="24"/>
                <w:lang w:val="en-US"/>
              </w:rPr>
              <w:t>__</w:t>
            </w:r>
          </w:p>
        </w:tc>
      </w:tr>
      <w:tr w:rsidR="006F76EB" w:rsidRPr="00834D52" w14:paraId="553305CD" w14:textId="77777777" w:rsidTr="00F71229">
        <w:tblPrEx>
          <w:jc w:val="left"/>
        </w:tblPrEx>
        <w:trPr>
          <w:gridAfter w:val="1"/>
          <w:wAfter w:w="349" w:type="dxa"/>
        </w:trPr>
        <w:tc>
          <w:tcPr>
            <w:tcW w:w="2198" w:type="dxa"/>
          </w:tcPr>
          <w:p w14:paraId="1E418E98"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Ծանոթագրություն:</w:t>
            </w:r>
          </w:p>
        </w:tc>
        <w:tc>
          <w:tcPr>
            <w:tcW w:w="7589" w:type="dxa"/>
            <w:gridSpan w:val="2"/>
          </w:tcPr>
          <w:p w14:paraId="540815A4" w14:textId="1E40E5EC" w:rsidR="006F76EB" w:rsidRPr="00834D52" w:rsidRDefault="0056496B" w:rsidP="00F71229">
            <w:pPr>
              <w:spacing w:after="160" w:line="360" w:lineRule="auto"/>
              <w:ind w:left="61" w:right="25"/>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լրացնելիս տվյալ դաշտում նշվում է տեղեկատվություն այն օրիգինալ պատրաստուկի մասին, որի հիբրիդային կրկնօրինակը տվյալ դեղապատրաստուկն է: Նշված դաշտը լրացվում է՝ անկախ օրիգինալ պատրաստուկի՝ դեղագործական շուկայում առկայությունից:</w:t>
            </w:r>
          </w:p>
        </w:tc>
      </w:tr>
    </w:tbl>
    <w:p w14:paraId="21725F6B" w14:textId="77777777" w:rsidR="006F76EB" w:rsidRPr="00834D52" w:rsidRDefault="006F76EB" w:rsidP="00F24A75">
      <w:pPr>
        <w:spacing w:after="0" w:line="240" w:lineRule="auto"/>
        <w:ind w:right="-6"/>
        <w:jc w:val="center"/>
        <w:rPr>
          <w:rFonts w:ascii="Sylfaen" w:hAnsi="Sylfaen"/>
          <w:sz w:val="24"/>
          <w:szCs w:val="24"/>
        </w:rPr>
      </w:pPr>
    </w:p>
    <w:p w14:paraId="3BC34C76" w14:textId="34F12A85"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42016" behindDoc="0" locked="0" layoutInCell="1" allowOverlap="1" wp14:anchorId="255DC7E1" wp14:editId="36CB6BBE">
                <wp:simplePos x="0" y="0"/>
                <wp:positionH relativeFrom="column">
                  <wp:posOffset>1295400</wp:posOffset>
                </wp:positionH>
                <wp:positionV relativeFrom="paragraph">
                  <wp:posOffset>38100</wp:posOffset>
                </wp:positionV>
                <wp:extent cx="161925" cy="152400"/>
                <wp:effectExtent l="5080" t="12065" r="13970" b="6985"/>
                <wp:wrapNone/>
                <wp:docPr id="28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02263" id="Rectangle 26" o:spid="_x0000_s1026" style="position:absolute;margin-left:102pt;margin-top:3pt;width:12.75pt;height:12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"/>
            </w:pict>
          </mc:Fallback>
        </mc:AlternateContent>
      </w:r>
      <w:r w:rsidR="006F76EB" w:rsidRPr="00834D52">
        <w:rPr>
          <w:rFonts w:ascii="Sylfaen" w:hAnsi="Sylfaen"/>
          <w:sz w:val="24"/>
          <w:szCs w:val="24"/>
        </w:rPr>
        <w:t>ՀԱՄԱԿՑՎԱԾ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4735"/>
        <w:gridCol w:w="560"/>
        <w:gridCol w:w="3373"/>
      </w:tblGrid>
      <w:tr w:rsidR="006F76EB" w:rsidRPr="00834D52" w14:paraId="3908B307" w14:textId="77777777" w:rsidTr="00F71229">
        <w:trPr>
          <w:jc w:val="center"/>
        </w:trPr>
        <w:tc>
          <w:tcPr>
            <w:tcW w:w="420" w:type="dxa"/>
          </w:tcPr>
          <w:p w14:paraId="4E59145F" w14:textId="3ECA1A67" w:rsidR="006F76EB" w:rsidRPr="00834D52" w:rsidRDefault="0037154C" w:rsidP="00F71229">
            <w:pPr>
              <w:spacing w:after="160" w:line="360" w:lineRule="auto"/>
              <w:ind w:right="-8"/>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543040" behindDoc="0" locked="0" layoutInCell="1" allowOverlap="1" wp14:anchorId="19C9CA99" wp14:editId="49D656BB">
                      <wp:simplePos x="0" y="0"/>
                      <wp:positionH relativeFrom="column">
                        <wp:posOffset>-38100</wp:posOffset>
                      </wp:positionH>
                      <wp:positionV relativeFrom="paragraph">
                        <wp:posOffset>51435</wp:posOffset>
                      </wp:positionV>
                      <wp:extent cx="161925" cy="152400"/>
                      <wp:effectExtent l="5080" t="9525" r="13970" b="9525"/>
                      <wp:wrapNone/>
                      <wp:docPr id="27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321E0" id="Rectangle 27" o:spid="_x0000_s1026" style="position:absolute;margin-left:-3pt;margin-top:4.05pt;width:12.75pt;height:12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"/>
                  </w:pict>
                </mc:Fallback>
              </mc:AlternateContent>
            </w:r>
          </w:p>
        </w:tc>
        <w:tc>
          <w:tcPr>
            <w:tcW w:w="4791" w:type="dxa"/>
          </w:tcPr>
          <w:p w14:paraId="4A6F619E" w14:textId="490C56DF" w:rsidR="006F76EB" w:rsidRPr="00834D52" w:rsidRDefault="005F6A31" w:rsidP="00F71229">
            <w:pPr>
              <w:spacing w:after="160" w:line="360" w:lineRule="auto"/>
              <w:ind w:right="-8"/>
              <w:rPr>
                <w:rFonts w:ascii="Sylfaen" w:hAnsi="Sylfaen"/>
                <w:sz w:val="24"/>
                <w:szCs w:val="24"/>
              </w:rPr>
            </w:pPr>
            <w:r>
              <w:rPr>
                <w:rFonts w:ascii="Sylfaen" w:hAnsi="Sylfaen"/>
                <w:sz w:val="24"/>
                <w:szCs w:val="24"/>
              </w:rPr>
              <w:t>հայտնի</w:t>
            </w:r>
            <w:r w:rsidR="006F76EB" w:rsidRPr="00834D52">
              <w:rPr>
                <w:rFonts w:ascii="Sylfaen" w:hAnsi="Sylfaen"/>
                <w:sz w:val="24"/>
                <w:szCs w:val="24"/>
              </w:rPr>
              <w:t xml:space="preserve"> համակցություն</w:t>
            </w:r>
          </w:p>
        </w:tc>
        <w:tc>
          <w:tcPr>
            <w:tcW w:w="567" w:type="dxa"/>
            <w:vAlign w:val="center"/>
          </w:tcPr>
          <w:p w14:paraId="2E00D3D3" w14:textId="0CCCF9BC" w:rsidR="006F76EB" w:rsidRPr="00834D52" w:rsidRDefault="0037154C" w:rsidP="00F71229">
            <w:pPr>
              <w:spacing w:after="160" w:line="360" w:lineRule="auto"/>
              <w:ind w:right="-8"/>
              <w:jc w:val="right"/>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544064" behindDoc="0" locked="0" layoutInCell="1" allowOverlap="1" wp14:anchorId="6D6E0A79" wp14:editId="313657A4">
                      <wp:simplePos x="0" y="0"/>
                      <wp:positionH relativeFrom="column">
                        <wp:posOffset>-8255</wp:posOffset>
                      </wp:positionH>
                      <wp:positionV relativeFrom="paragraph">
                        <wp:posOffset>52705</wp:posOffset>
                      </wp:positionV>
                      <wp:extent cx="161925" cy="152400"/>
                      <wp:effectExtent l="10160" t="10795" r="8890" b="8255"/>
                      <wp:wrapNone/>
                      <wp:docPr id="27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74C76" id="Rectangle 28" o:spid="_x0000_s1026" style="position:absolute;margin-left:-.65pt;margin-top:4.15pt;width:12.75pt;height:12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"/>
                  </w:pict>
                </mc:Fallback>
              </mc:AlternateContent>
            </w:r>
          </w:p>
        </w:tc>
        <w:tc>
          <w:tcPr>
            <w:tcW w:w="3402" w:type="dxa"/>
          </w:tcPr>
          <w:p w14:paraId="70CB0EEE"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նոր համակցություն</w:t>
            </w:r>
          </w:p>
        </w:tc>
      </w:tr>
    </w:tbl>
    <w:p w14:paraId="1DC8E30B" w14:textId="77777777" w:rsidR="006F76EB" w:rsidRPr="00834D52" w:rsidRDefault="006F76EB" w:rsidP="00F24A75">
      <w:pPr>
        <w:spacing w:after="0" w:line="240" w:lineRule="auto"/>
        <w:ind w:right="-6"/>
        <w:rPr>
          <w:rFonts w:ascii="Sylfaen" w:hAnsi="Sylfaen"/>
          <w:sz w:val="24"/>
          <w:szCs w:val="24"/>
          <w:lang w:val="en-US"/>
        </w:rPr>
      </w:pPr>
    </w:p>
    <w:p w14:paraId="3EBAEC1F" w14:textId="785041BA"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0" w:type="auto"/>
        <w:jc w:val="center"/>
        <w:tblLayout w:type="fixed"/>
        <w:tblCellMar>
          <w:left w:w="0" w:type="dxa"/>
          <w:right w:w="0" w:type="dxa"/>
        </w:tblCellMar>
        <w:tblLook w:val="01E0" w:firstRow="1" w:lastRow="1" w:firstColumn="1" w:lastColumn="1" w:noHBand="0" w:noVBand="0"/>
      </w:tblPr>
      <w:tblGrid>
        <w:gridCol w:w="4810"/>
        <w:gridCol w:w="4978"/>
      </w:tblGrid>
      <w:tr w:rsidR="006F76EB" w:rsidRPr="00834D52" w14:paraId="436C70C9" w14:textId="77777777" w:rsidTr="00F71229">
        <w:trPr>
          <w:jc w:val="center"/>
        </w:trPr>
        <w:tc>
          <w:tcPr>
            <w:tcW w:w="4810" w:type="dxa"/>
            <w:tcBorders>
              <w:top w:val="single" w:sz="4" w:space="0" w:color="000000"/>
              <w:left w:val="single" w:sz="4" w:space="0" w:color="000000"/>
              <w:bottom w:val="single" w:sz="4" w:space="0" w:color="000000"/>
              <w:right w:val="single" w:sz="4" w:space="0" w:color="000000"/>
            </w:tcBorders>
          </w:tcPr>
          <w:p w14:paraId="240133E9"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978" w:type="dxa"/>
            <w:tcBorders>
              <w:top w:val="single" w:sz="4" w:space="0" w:color="000000"/>
              <w:left w:val="single" w:sz="4" w:space="0" w:color="000000"/>
              <w:bottom w:val="single" w:sz="4" w:space="0" w:color="000000"/>
              <w:right w:val="single" w:sz="4" w:space="0" w:color="000000"/>
            </w:tcBorders>
          </w:tcPr>
          <w:p w14:paraId="5D313288" w14:textId="77777777" w:rsidR="006F76EB" w:rsidRPr="00834D52" w:rsidRDefault="006F76EB" w:rsidP="00F24A75">
            <w:pPr>
              <w:spacing w:after="120" w:line="240" w:lineRule="auto"/>
              <w:ind w:right="-6"/>
              <w:rPr>
                <w:rFonts w:ascii="Sylfaen" w:hAnsi="Sylfaen"/>
                <w:sz w:val="24"/>
                <w:szCs w:val="24"/>
              </w:rPr>
            </w:pPr>
          </w:p>
        </w:tc>
      </w:tr>
      <w:tr w:rsidR="006F76EB" w:rsidRPr="00834D52" w14:paraId="3939AD0F" w14:textId="77777777" w:rsidTr="00F71229">
        <w:trPr>
          <w:jc w:val="center"/>
        </w:trPr>
        <w:tc>
          <w:tcPr>
            <w:tcW w:w="4810" w:type="dxa"/>
            <w:tcBorders>
              <w:top w:val="single" w:sz="4" w:space="0" w:color="000000"/>
              <w:left w:val="single" w:sz="4" w:space="0" w:color="000000"/>
              <w:bottom w:val="single" w:sz="4" w:space="0" w:color="000000"/>
              <w:right w:val="single" w:sz="4" w:space="0" w:color="000000"/>
            </w:tcBorders>
          </w:tcPr>
          <w:p w14:paraId="322F9FA5"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978" w:type="dxa"/>
            <w:tcBorders>
              <w:top w:val="single" w:sz="4" w:space="0" w:color="000000"/>
              <w:left w:val="single" w:sz="4" w:space="0" w:color="000000"/>
              <w:bottom w:val="single" w:sz="4" w:space="0" w:color="000000"/>
              <w:right w:val="single" w:sz="4" w:space="0" w:color="000000"/>
            </w:tcBorders>
          </w:tcPr>
          <w:p w14:paraId="680C4180" w14:textId="77777777" w:rsidR="006F76EB" w:rsidRPr="00834D52" w:rsidRDefault="006F76EB" w:rsidP="00F24A75">
            <w:pPr>
              <w:spacing w:after="120" w:line="240" w:lineRule="auto"/>
              <w:ind w:right="-6"/>
              <w:rPr>
                <w:rFonts w:ascii="Sylfaen" w:hAnsi="Sylfaen"/>
                <w:sz w:val="24"/>
                <w:szCs w:val="24"/>
              </w:rPr>
            </w:pPr>
          </w:p>
        </w:tc>
      </w:tr>
    </w:tbl>
    <w:p w14:paraId="74B0DEF4" w14:textId="77777777" w:rsidR="006F76EB" w:rsidRPr="00834D52" w:rsidRDefault="006F76EB" w:rsidP="00F24A75">
      <w:pPr>
        <w:widowControl/>
        <w:jc w:val="center"/>
        <w:rPr>
          <w:rFonts w:ascii="Sylfaen" w:hAnsi="Sylfaen"/>
          <w:sz w:val="24"/>
          <w:szCs w:val="24"/>
        </w:rPr>
      </w:pPr>
    </w:p>
    <w:p w14:paraId="406633EC" w14:textId="226564E3" w:rsidR="006F76EB" w:rsidRPr="00834D52" w:rsidRDefault="0037154C" w:rsidP="006F76EB">
      <w:pPr>
        <w:spacing w:after="160" w:line="360" w:lineRule="auto"/>
        <w:ind w:left="1134" w:right="1132"/>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45088" behindDoc="0" locked="0" layoutInCell="1" allowOverlap="1" wp14:anchorId="3194BB52" wp14:editId="31F5164D">
                <wp:simplePos x="0" y="0"/>
                <wp:positionH relativeFrom="column">
                  <wp:posOffset>542925</wp:posOffset>
                </wp:positionH>
                <wp:positionV relativeFrom="paragraph">
                  <wp:posOffset>35560</wp:posOffset>
                </wp:positionV>
                <wp:extent cx="161925" cy="152400"/>
                <wp:effectExtent l="5080" t="10160" r="13970" b="8890"/>
                <wp:wrapNone/>
                <wp:docPr id="27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8A95" id="Rectangle 29" o:spid="_x0000_s1026" style="position:absolute;margin-left:42.75pt;margin-top:2.8pt;width:12.75pt;height:12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"/>
            </w:pict>
          </mc:Fallback>
        </mc:AlternateContent>
      </w:r>
      <w:r w:rsidR="006F76EB" w:rsidRPr="00834D52">
        <w:rPr>
          <w:rFonts w:ascii="Sylfaen" w:hAnsi="Sylfaen" w:cs="Sylfaen"/>
          <w:sz w:val="24"/>
          <w:szCs w:val="24"/>
        </w:rPr>
        <w:t>ԼԱՎ</w:t>
      </w:r>
      <w:r w:rsidR="006F76EB" w:rsidRPr="00834D52">
        <w:rPr>
          <w:rFonts w:ascii="Sylfaen" w:hAnsi="Sylfaen"/>
          <w:sz w:val="24"/>
          <w:szCs w:val="24"/>
        </w:rPr>
        <w:t xml:space="preserve"> </w:t>
      </w:r>
      <w:r w:rsidR="006F76EB" w:rsidRPr="00834D52">
        <w:rPr>
          <w:rFonts w:ascii="Sylfaen" w:hAnsi="Sylfaen" w:cs="Sylfaen"/>
          <w:sz w:val="24"/>
          <w:szCs w:val="24"/>
        </w:rPr>
        <w:t>ՈՒՍՈՒՄՆԱՍԻՐՎԱԾ</w:t>
      </w:r>
      <w:r w:rsidR="006F76EB" w:rsidRPr="00834D52">
        <w:rPr>
          <w:rFonts w:ascii="Sylfaen" w:hAnsi="Sylfaen"/>
          <w:sz w:val="24"/>
          <w:szCs w:val="24"/>
        </w:rPr>
        <w:t xml:space="preserve"> </w:t>
      </w:r>
      <w:r w:rsidR="006F76EB" w:rsidRPr="00834D52">
        <w:rPr>
          <w:rFonts w:ascii="Sylfaen" w:hAnsi="Sylfaen" w:cs="Sylfaen"/>
          <w:sz w:val="24"/>
          <w:szCs w:val="24"/>
        </w:rPr>
        <w:t>ԲԺՇԿԱԿԱՆ</w:t>
      </w:r>
      <w:r w:rsidR="006F76EB" w:rsidRPr="00834D52">
        <w:rPr>
          <w:rFonts w:ascii="Sylfaen" w:hAnsi="Sylfaen"/>
          <w:sz w:val="24"/>
          <w:szCs w:val="24"/>
        </w:rPr>
        <w:t xml:space="preserve"> </w:t>
      </w:r>
      <w:r w:rsidR="006F76EB" w:rsidRPr="00834D52">
        <w:rPr>
          <w:rFonts w:ascii="Sylfaen" w:hAnsi="Sylfaen" w:cs="Sylfaen"/>
          <w:sz w:val="24"/>
          <w:szCs w:val="24"/>
        </w:rPr>
        <w:t>ԿԻՐԱՌՈՒԹՅԱՄԲ</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p>
    <w:p w14:paraId="2BE2B330" w14:textId="792E6550" w:rsidR="006F76EB" w:rsidRPr="00834D52" w:rsidRDefault="0037154C" w:rsidP="006F76EB">
      <w:pPr>
        <w:spacing w:after="160" w:line="360" w:lineRule="auto"/>
        <w:ind w:left="1134" w:right="1132"/>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46112" behindDoc="0" locked="0" layoutInCell="1" allowOverlap="1" wp14:anchorId="31E2F9E7" wp14:editId="169BFC65">
                <wp:simplePos x="0" y="0"/>
                <wp:positionH relativeFrom="column">
                  <wp:posOffset>704850</wp:posOffset>
                </wp:positionH>
                <wp:positionV relativeFrom="paragraph">
                  <wp:posOffset>31750</wp:posOffset>
                </wp:positionV>
                <wp:extent cx="161925" cy="152400"/>
                <wp:effectExtent l="5080" t="5080" r="13970" b="13970"/>
                <wp:wrapNone/>
                <wp:docPr id="27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D991D" id="Rectangle 30" o:spid="_x0000_s1026" style="position:absolute;margin-left:55.5pt;margin-top:2.5pt;width:12.75pt;height:12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"/>
            </w:pict>
          </mc:Fallback>
        </mc:AlternateConten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ՊՐԵԿՈՒՐՍՈՐ</w:t>
      </w:r>
    </w:p>
    <w:p w14:paraId="3300F2BC" w14:textId="02509397" w:rsidR="006F76EB" w:rsidRPr="00834D52" w:rsidRDefault="0037154C"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47136" behindDoc="0" locked="0" layoutInCell="1" allowOverlap="1" wp14:anchorId="6B99E6D6" wp14:editId="658389F6">
                <wp:simplePos x="0" y="0"/>
                <wp:positionH relativeFrom="column">
                  <wp:posOffset>19050</wp:posOffset>
                </wp:positionH>
                <wp:positionV relativeFrom="paragraph">
                  <wp:posOffset>62230</wp:posOffset>
                </wp:positionV>
                <wp:extent cx="161925" cy="152400"/>
                <wp:effectExtent l="5080" t="5715" r="13970" b="13335"/>
                <wp:wrapNone/>
                <wp:docPr id="27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71BDD" id="Rectangle 31" o:spid="_x0000_s1026" style="position:absolute;margin-left:1.5pt;margin-top:4.9pt;width:12.75pt;height:12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"/>
            </w:pict>
          </mc:Fallback>
        </mc:AlternateConten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հավաքակազմը</w:t>
      </w:r>
    </w:p>
    <w:p w14:paraId="466CD5E9" w14:textId="4A0F4323" w:rsidR="006F76EB" w:rsidRPr="00834D52" w:rsidRDefault="0037154C" w:rsidP="006F76EB">
      <w:pPr>
        <w:spacing w:after="160" w:line="360" w:lineRule="auto"/>
        <w:ind w:left="567"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48160" behindDoc="0" locked="0" layoutInCell="1" allowOverlap="1" wp14:anchorId="0A398A5E" wp14:editId="4A69708A">
                <wp:simplePos x="0" y="0"/>
                <wp:positionH relativeFrom="column">
                  <wp:posOffset>19050</wp:posOffset>
                </wp:positionH>
                <wp:positionV relativeFrom="paragraph">
                  <wp:posOffset>29210</wp:posOffset>
                </wp:positionV>
                <wp:extent cx="161925" cy="152400"/>
                <wp:effectExtent l="5080" t="13335" r="13970" b="5715"/>
                <wp:wrapNone/>
                <wp:docPr id="27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7F373" id="Rectangle 32" o:spid="_x0000_s1026" style="position:absolute;margin-left:1.5pt;margin-top:2.3pt;width:12.75pt;height:12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"/>
            </w:pict>
          </mc:Fallback>
        </mc:AlternateContent>
      </w:r>
      <w:r w:rsidR="006F76EB" w:rsidRPr="00834D52">
        <w:rPr>
          <w:rFonts w:ascii="Sylfaen" w:hAnsi="Sylfaen" w:cs="Sylfaen"/>
          <w:sz w:val="24"/>
          <w:szCs w:val="24"/>
        </w:rPr>
        <w:t>ռադիոնուկլիդի</w:t>
      </w:r>
      <w:r w:rsidR="006F76EB" w:rsidRPr="00834D52">
        <w:rPr>
          <w:rFonts w:ascii="Sylfaen" w:hAnsi="Sylfaen"/>
          <w:sz w:val="24"/>
          <w:szCs w:val="24"/>
        </w:rPr>
        <w:t xml:space="preserve"> </w:t>
      </w:r>
      <w:r w:rsidR="006F76EB" w:rsidRPr="00834D52">
        <w:rPr>
          <w:rFonts w:ascii="Sylfaen" w:hAnsi="Sylfaen" w:cs="Sylfaen"/>
          <w:sz w:val="24"/>
          <w:szCs w:val="24"/>
        </w:rPr>
        <w:t>պրեկուրսորը</w:t>
      </w:r>
    </w:p>
    <w:tbl>
      <w:tblPr>
        <w:tblW w:w="9788" w:type="dxa"/>
        <w:jc w:val="center"/>
        <w:tblLayout w:type="fixed"/>
        <w:tblCellMar>
          <w:left w:w="0" w:type="dxa"/>
          <w:right w:w="0" w:type="dxa"/>
        </w:tblCellMar>
        <w:tblLook w:val="01E0" w:firstRow="1" w:lastRow="1" w:firstColumn="1" w:lastColumn="1" w:noHBand="0" w:noVBand="0"/>
      </w:tblPr>
      <w:tblGrid>
        <w:gridCol w:w="4804"/>
        <w:gridCol w:w="6"/>
        <w:gridCol w:w="4978"/>
      </w:tblGrid>
      <w:tr w:rsidR="006F76EB" w:rsidRPr="00834D52" w14:paraId="606C9D50" w14:textId="77777777" w:rsidTr="00F71229">
        <w:trPr>
          <w:jc w:val="center"/>
        </w:trPr>
        <w:tc>
          <w:tcPr>
            <w:tcW w:w="4810" w:type="dxa"/>
            <w:gridSpan w:val="2"/>
            <w:tcBorders>
              <w:top w:val="single" w:sz="4" w:space="0" w:color="000000"/>
              <w:left w:val="single" w:sz="4" w:space="0" w:color="000000"/>
              <w:bottom w:val="single" w:sz="4" w:space="0" w:color="000000"/>
              <w:right w:val="single" w:sz="4" w:space="0" w:color="000000"/>
            </w:tcBorders>
          </w:tcPr>
          <w:p w14:paraId="58572DA6"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 xml:space="preserve">ռադիոնուկլիդի աղբյուրը </w:t>
            </w:r>
            <w:r w:rsidRPr="00834D52">
              <w:rPr>
                <w:rFonts w:ascii="Sylfaen" w:hAnsi="Sylfaen"/>
                <w:sz w:val="24"/>
                <w:szCs w:val="24"/>
              </w:rPr>
              <w:br/>
              <w:t xml:space="preserve">(առաջնային </w:t>
            </w:r>
            <w:r w:rsidR="00C54D75">
              <w:rPr>
                <w:rFonts w:ascii="Sylfaen" w:hAnsi="Sylfaen"/>
                <w:sz w:val="24"/>
                <w:szCs w:val="24"/>
              </w:rPr>
              <w:t>և</w:t>
            </w:r>
            <w:r w:rsidRPr="00834D52">
              <w:rPr>
                <w:rFonts w:ascii="Sylfaen" w:hAnsi="Sylfaen"/>
                <w:sz w:val="24"/>
                <w:szCs w:val="24"/>
              </w:rPr>
              <w:t xml:space="preserve"> երկրորդային)</w:t>
            </w:r>
            <w:r w:rsidRPr="00834D52">
              <w:rPr>
                <w:rFonts w:ascii="Sylfaen" w:hAnsi="Sylfaen"/>
                <w:sz w:val="24"/>
                <w:szCs w:val="24"/>
              </w:rPr>
              <w:br/>
              <w:t>(առկայության դեպքում)</w:t>
            </w:r>
          </w:p>
        </w:tc>
        <w:tc>
          <w:tcPr>
            <w:tcW w:w="4978" w:type="dxa"/>
            <w:tcBorders>
              <w:top w:val="single" w:sz="4" w:space="0" w:color="000000"/>
              <w:left w:val="single" w:sz="4" w:space="0" w:color="000000"/>
              <w:bottom w:val="single" w:sz="4" w:space="0" w:color="000000"/>
              <w:right w:val="single" w:sz="4" w:space="0" w:color="000000"/>
            </w:tcBorders>
          </w:tcPr>
          <w:p w14:paraId="237F29A0" w14:textId="77777777" w:rsidR="006F76EB" w:rsidRPr="00834D52" w:rsidRDefault="006F76EB" w:rsidP="00F24A75">
            <w:pPr>
              <w:spacing w:after="120" w:line="240" w:lineRule="auto"/>
              <w:ind w:right="-8"/>
              <w:rPr>
                <w:rFonts w:ascii="Sylfaen" w:hAnsi="Sylfaen"/>
                <w:sz w:val="24"/>
                <w:szCs w:val="24"/>
              </w:rPr>
            </w:pPr>
          </w:p>
        </w:tc>
      </w:tr>
      <w:tr w:rsidR="006F76EB" w:rsidRPr="00834D52" w14:paraId="6F63359A" w14:textId="77777777" w:rsidTr="00DE7C06">
        <w:trPr>
          <w:jc w:val="center"/>
        </w:trPr>
        <w:tc>
          <w:tcPr>
            <w:tcW w:w="4804" w:type="dxa"/>
            <w:tcBorders>
              <w:top w:val="single" w:sz="4" w:space="0" w:color="000000"/>
              <w:left w:val="single" w:sz="4" w:space="0" w:color="000000"/>
              <w:bottom w:val="single" w:sz="4" w:space="0" w:color="000000"/>
              <w:right w:val="single" w:sz="4" w:space="0" w:color="000000"/>
            </w:tcBorders>
          </w:tcPr>
          <w:p w14:paraId="41DBFD20" w14:textId="77777777" w:rsidR="006F76EB" w:rsidRPr="00834D52" w:rsidRDefault="006F76EB" w:rsidP="00F71229">
            <w:pPr>
              <w:spacing w:after="160" w:line="360" w:lineRule="auto"/>
              <w:ind w:left="213" w:right="-8"/>
              <w:rPr>
                <w:rFonts w:ascii="Sylfaen" w:eastAsia="Times New Roman" w:hAnsi="Sylfaen" w:cs="Times New Roman"/>
                <w:sz w:val="24"/>
                <w:szCs w:val="24"/>
              </w:rPr>
            </w:pPr>
            <w:r w:rsidRPr="00834D52">
              <w:rPr>
                <w:rFonts w:ascii="Sylfaen" w:hAnsi="Sylfaen"/>
                <w:sz w:val="24"/>
                <w:szCs w:val="24"/>
              </w:rPr>
              <w:lastRenderedPageBreak/>
              <w:t>գեներատոր</w:t>
            </w:r>
          </w:p>
        </w:tc>
        <w:tc>
          <w:tcPr>
            <w:tcW w:w="4984" w:type="dxa"/>
            <w:gridSpan w:val="2"/>
            <w:tcBorders>
              <w:top w:val="single" w:sz="4" w:space="0" w:color="000000"/>
              <w:left w:val="single" w:sz="4" w:space="0" w:color="000000"/>
              <w:bottom w:val="single" w:sz="4" w:space="0" w:color="000000"/>
              <w:right w:val="single" w:sz="4" w:space="0" w:color="000000"/>
            </w:tcBorders>
          </w:tcPr>
          <w:p w14:paraId="2F8A8027" w14:textId="77777777" w:rsidR="006F76EB" w:rsidRPr="00834D52" w:rsidRDefault="006F76EB" w:rsidP="00F71229">
            <w:pPr>
              <w:spacing w:after="160" w:line="360" w:lineRule="auto"/>
              <w:ind w:right="-8"/>
              <w:rPr>
                <w:rFonts w:ascii="Sylfaen" w:hAnsi="Sylfaen"/>
                <w:sz w:val="24"/>
                <w:szCs w:val="24"/>
              </w:rPr>
            </w:pPr>
          </w:p>
        </w:tc>
      </w:tr>
    </w:tbl>
    <w:p w14:paraId="4C0C4231" w14:textId="77777777" w:rsidR="006F76EB" w:rsidRPr="00834D52" w:rsidRDefault="006F76EB" w:rsidP="006F76EB">
      <w:pPr>
        <w:spacing w:after="160" w:line="360" w:lineRule="auto"/>
        <w:ind w:right="-8"/>
        <w:rPr>
          <w:rFonts w:ascii="Sylfaen" w:hAnsi="Sylfaen"/>
          <w:sz w:val="24"/>
          <w:szCs w:val="24"/>
        </w:rPr>
      </w:pPr>
    </w:p>
    <w:p w14:paraId="0D542559" w14:textId="0C008A3C"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49184" behindDoc="0" locked="0" layoutInCell="1" allowOverlap="1" wp14:anchorId="5C7DFDE8" wp14:editId="1EBB217D">
                <wp:simplePos x="0" y="0"/>
                <wp:positionH relativeFrom="column">
                  <wp:posOffset>1280795</wp:posOffset>
                </wp:positionH>
                <wp:positionV relativeFrom="paragraph">
                  <wp:posOffset>36195</wp:posOffset>
                </wp:positionV>
                <wp:extent cx="161925" cy="152400"/>
                <wp:effectExtent l="9525" t="12700" r="9525" b="6350"/>
                <wp:wrapNone/>
                <wp:docPr id="27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A5752" id="Rectangle 33" o:spid="_x0000_s1026" style="position:absolute;margin-left:100.85pt;margin-top:2.85pt;width:12.75pt;height:12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"/>
            </w:pict>
          </mc:Fallback>
        </mc:AlternateContent>
      </w:r>
      <w:r w:rsidR="006F76EB" w:rsidRPr="00834D52">
        <w:rPr>
          <w:rFonts w:ascii="Sylfaen" w:hAnsi="Sylfaen"/>
          <w:sz w:val="24"/>
          <w:szCs w:val="24"/>
        </w:rPr>
        <w:t>ՀՈՄԵՈՊԱԹԻԿ ԴԵՂԱՊԱՏՐԱՍՏՈՒԿ</w:t>
      </w:r>
    </w:p>
    <w:p w14:paraId="70298F1C" w14:textId="77777777" w:rsidR="006F76EB" w:rsidRPr="00834D52" w:rsidRDefault="006F76EB" w:rsidP="00DE7C06">
      <w:pPr>
        <w:spacing w:after="160" w:line="360" w:lineRule="auto"/>
        <w:ind w:right="-8"/>
        <w:jc w:val="center"/>
        <w:rPr>
          <w:rFonts w:ascii="Sylfaen" w:hAnsi="Sylfaen"/>
          <w:sz w:val="24"/>
          <w:szCs w:val="24"/>
        </w:rPr>
      </w:pPr>
    </w:p>
    <w:p w14:paraId="056425D4" w14:textId="0BE5C409" w:rsidR="006F76EB" w:rsidRPr="00834D52" w:rsidRDefault="0037154C"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50208" behindDoc="0" locked="0" layoutInCell="1" allowOverlap="1" wp14:anchorId="68828B3D" wp14:editId="2AD36C12">
                <wp:simplePos x="0" y="0"/>
                <wp:positionH relativeFrom="column">
                  <wp:posOffset>9525</wp:posOffset>
                </wp:positionH>
                <wp:positionV relativeFrom="paragraph">
                  <wp:posOffset>65405</wp:posOffset>
                </wp:positionV>
                <wp:extent cx="161925" cy="152400"/>
                <wp:effectExtent l="5080" t="8890" r="13970" b="10160"/>
                <wp:wrapNone/>
                <wp:docPr id="27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95BA0" id="Rectangle 34" o:spid="_x0000_s1026" style="position:absolute;margin-left:.75pt;margin-top:5.15pt;width:12.75pt;height:12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"/>
            </w:pict>
          </mc:Fallback>
        </mc:AlternateContent>
      </w:r>
      <w:r w:rsidR="006F76EB" w:rsidRPr="00834D52">
        <w:rPr>
          <w:rFonts w:ascii="Sylfaen" w:hAnsi="Sylfaen" w:cs="Sylfaen"/>
          <w:sz w:val="24"/>
          <w:szCs w:val="24"/>
        </w:rPr>
        <w:t>դեղագրքերում</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մենագրությունների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չներառված</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հոմեոպաթիկ</w:t>
      </w:r>
      <w:r w:rsidR="006F76EB" w:rsidRPr="00834D52">
        <w:rPr>
          <w:rFonts w:ascii="Sylfaen" w:hAnsi="Sylfaen"/>
          <w:sz w:val="24"/>
          <w:szCs w:val="24"/>
        </w:rPr>
        <w:t xml:space="preserve"> </w:t>
      </w:r>
      <w:r w:rsidR="006F76EB" w:rsidRPr="00834D52">
        <w:rPr>
          <w:rFonts w:ascii="Sylfaen" w:hAnsi="Sylfaen" w:cs="Sylfaen"/>
          <w:sz w:val="24"/>
          <w:szCs w:val="24"/>
        </w:rPr>
        <w:t>պատրաստուկ</w:t>
      </w:r>
    </w:p>
    <w:p w14:paraId="6E0BE4D8" w14:textId="457D00D2" w:rsidR="006F76EB" w:rsidRPr="00834D52" w:rsidRDefault="0037154C"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51232" behindDoc="0" locked="0" layoutInCell="1" allowOverlap="1" wp14:anchorId="73249AD1" wp14:editId="167945F2">
                <wp:simplePos x="0" y="0"/>
                <wp:positionH relativeFrom="column">
                  <wp:posOffset>9525</wp:posOffset>
                </wp:positionH>
                <wp:positionV relativeFrom="paragraph">
                  <wp:posOffset>32385</wp:posOffset>
                </wp:positionV>
                <wp:extent cx="161925" cy="152400"/>
                <wp:effectExtent l="5080" t="12700" r="13970" b="6350"/>
                <wp:wrapNone/>
                <wp:docPr id="27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5C235" id="Rectangle 35" o:spid="_x0000_s1026" style="position:absolute;margin-left:.75pt;margin-top:2.55pt;width:12.75pt;height:12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"/>
            </w:pict>
          </mc:Fallback>
        </mc:AlternateContent>
      </w:r>
      <w:r w:rsidR="006F76EB" w:rsidRPr="00834D52">
        <w:rPr>
          <w:rFonts w:ascii="Sylfaen" w:hAnsi="Sylfaen" w:cs="Sylfaen"/>
          <w:sz w:val="24"/>
          <w:szCs w:val="24"/>
        </w:rPr>
        <w:t>դեղագրքերում</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մենագրությունների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ներառված</w:t>
      </w:r>
      <w:r w:rsidR="006F76EB" w:rsidRPr="00834D52">
        <w:rPr>
          <w:rFonts w:ascii="Sylfaen" w:hAnsi="Sylfaen"/>
          <w:sz w:val="24"/>
          <w:szCs w:val="24"/>
        </w:rPr>
        <w:t xml:space="preserve"> </w:t>
      </w:r>
      <w:r w:rsidR="006F76EB" w:rsidRPr="00834D52">
        <w:rPr>
          <w:rFonts w:ascii="Sylfaen" w:hAnsi="Sylfaen" w:cs="Sylfaen"/>
          <w:sz w:val="24"/>
          <w:szCs w:val="24"/>
        </w:rPr>
        <w:t>հոմեոպաթիկ</w:t>
      </w:r>
      <w:r w:rsidR="006F76EB" w:rsidRPr="00834D52">
        <w:rPr>
          <w:rFonts w:ascii="Sylfaen" w:hAnsi="Sylfaen"/>
          <w:sz w:val="24"/>
          <w:szCs w:val="24"/>
        </w:rPr>
        <w:t xml:space="preserve"> </w:t>
      </w:r>
      <w:r w:rsidR="006F76EB" w:rsidRPr="00834D52">
        <w:rPr>
          <w:rFonts w:ascii="Sylfaen" w:hAnsi="Sylfaen" w:cs="Sylfaen"/>
          <w:sz w:val="24"/>
          <w:szCs w:val="24"/>
        </w:rPr>
        <w:t>պատրաստուկ</w:t>
      </w:r>
    </w:p>
    <w:p w14:paraId="59572076" w14:textId="0D327C31"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52256" behindDoc="0" locked="0" layoutInCell="1" allowOverlap="1" wp14:anchorId="5E544733" wp14:editId="05AB06DA">
                <wp:simplePos x="0" y="0"/>
                <wp:positionH relativeFrom="column">
                  <wp:posOffset>1333500</wp:posOffset>
                </wp:positionH>
                <wp:positionV relativeFrom="paragraph">
                  <wp:posOffset>32385</wp:posOffset>
                </wp:positionV>
                <wp:extent cx="161925" cy="152400"/>
                <wp:effectExtent l="5080" t="11430" r="13970" b="7620"/>
                <wp:wrapNone/>
                <wp:docPr id="27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39215" id="Rectangle 36" o:spid="_x0000_s1026" style="position:absolute;margin-left:105pt;margin-top:2.55pt;width:12.75pt;height:1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"/>
            </w:pict>
          </mc:Fallback>
        </mc:AlternateContent>
      </w:r>
      <w:r w:rsidR="006F76EB" w:rsidRPr="00834D52">
        <w:rPr>
          <w:rFonts w:ascii="Sylfaen" w:hAnsi="Sylfaen" w:cs="Sylfaen"/>
          <w:sz w:val="24"/>
          <w:szCs w:val="24"/>
        </w:rPr>
        <w:t>ԲՈՒՍԱԿԱՆ</w:t>
      </w:r>
      <w:r w:rsidR="006F76EB" w:rsidRPr="00834D52">
        <w:rPr>
          <w:rFonts w:ascii="Sylfaen" w:hAnsi="Sylfaen"/>
          <w:sz w:val="24"/>
          <w:szCs w:val="24"/>
        </w:rPr>
        <w:t xml:space="preserve"> ԴԵՂԱՊԱՏՐԱՍՏՈՒԿ</w:t>
      </w:r>
    </w:p>
    <w:p w14:paraId="7E854194" w14:textId="4EBD8B39"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53280" behindDoc="0" locked="0" layoutInCell="1" allowOverlap="1" wp14:anchorId="623C525B" wp14:editId="41FAD4AB">
                <wp:simplePos x="0" y="0"/>
                <wp:positionH relativeFrom="column">
                  <wp:posOffset>652145</wp:posOffset>
                </wp:positionH>
                <wp:positionV relativeFrom="paragraph">
                  <wp:posOffset>42545</wp:posOffset>
                </wp:positionV>
                <wp:extent cx="161925" cy="152400"/>
                <wp:effectExtent l="9525" t="5715" r="9525" b="13335"/>
                <wp:wrapNone/>
                <wp:docPr id="26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2272D" id="Rectangle 37" o:spid="_x0000_s1026" style="position:absolute;margin-left:51.35pt;margin-top:3.35pt;width:12.75pt;height:12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"/>
            </w:pict>
          </mc:Fallback>
        </mc:AlternateConten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ԳՐԱՆՑՈՒՄ</w:t>
      </w:r>
      <w:r w:rsidR="006F76EB" w:rsidRPr="00834D52">
        <w:rPr>
          <w:rFonts w:ascii="Sylfaen" w:hAnsi="Sylfaen"/>
          <w:sz w:val="24"/>
          <w:szCs w:val="24"/>
        </w:rPr>
        <w:t xml:space="preserve"> </w:t>
      </w:r>
      <w:r w:rsidR="006F76EB" w:rsidRPr="00834D52">
        <w:rPr>
          <w:rFonts w:ascii="Sylfaen" w:hAnsi="Sylfaen" w:cs="Sylfaen"/>
          <w:sz w:val="24"/>
          <w:szCs w:val="24"/>
        </w:rPr>
        <w:t>ՊԱՀԱՆՋՈՂ</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p>
    <w:p w14:paraId="5931CE7D" w14:textId="77777777" w:rsidR="006F76EB" w:rsidRPr="00834D52" w:rsidRDefault="006F76EB" w:rsidP="00DE7C06">
      <w:pPr>
        <w:spacing w:after="160" w:line="360" w:lineRule="auto"/>
        <w:ind w:right="-8"/>
        <w:jc w:val="center"/>
        <w:rPr>
          <w:rFonts w:ascii="Sylfaen" w:hAnsi="Sylfaen"/>
          <w:sz w:val="24"/>
          <w:szCs w:val="24"/>
        </w:rPr>
      </w:pPr>
    </w:p>
    <w:p w14:paraId="66CB77D6"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Նշել անհրաժեշտը՝</w:t>
      </w:r>
    </w:p>
    <w:p w14:paraId="26C13232" w14:textId="1AF453FE" w:rsidR="006F76EB" w:rsidRPr="00834D52" w:rsidRDefault="0037154C"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54304" behindDoc="0" locked="0" layoutInCell="1" allowOverlap="1" wp14:anchorId="3F305D4D" wp14:editId="15DB590F">
                <wp:simplePos x="0" y="0"/>
                <wp:positionH relativeFrom="column">
                  <wp:posOffset>9525</wp:posOffset>
                </wp:positionH>
                <wp:positionV relativeFrom="paragraph">
                  <wp:posOffset>57150</wp:posOffset>
                </wp:positionV>
                <wp:extent cx="161925" cy="152400"/>
                <wp:effectExtent l="5080" t="8890" r="13970" b="10160"/>
                <wp:wrapNone/>
                <wp:docPr id="26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7A8CF" id="Rectangle 38" o:spid="_x0000_s1026" style="position:absolute;margin-left:.75pt;margin-top:4.5pt;width:12.75pt;height:12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"/>
            </w:pict>
          </mc:Fallback>
        </mc:AlternateContent>
      </w:r>
      <w:r w:rsidR="006F76EB" w:rsidRPr="00834D52">
        <w:rPr>
          <w:rFonts w:ascii="Sylfaen" w:hAnsi="Sylfaen" w:cs="Sylfaen"/>
          <w:sz w:val="24"/>
          <w:szCs w:val="24"/>
        </w:rPr>
        <w:t>այն</w:t>
      </w:r>
      <w:r w:rsidR="006F76EB" w:rsidRPr="00834D52">
        <w:rPr>
          <w:rFonts w:ascii="Sylfaen" w:hAnsi="Sylfaen"/>
          <w:sz w:val="24"/>
          <w:szCs w:val="24"/>
        </w:rPr>
        <w:t xml:space="preserve"> </w:t>
      </w:r>
      <w:r w:rsidR="006F76EB" w:rsidRPr="00834D52">
        <w:rPr>
          <w:rFonts w:ascii="Sylfaen" w:hAnsi="Sylfaen" w:cs="Sylfaen"/>
          <w:sz w:val="24"/>
          <w:szCs w:val="24"/>
        </w:rPr>
        <w:t>ակտիվ</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բաղադրամասերի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փոփոխությունները</w:t>
      </w:r>
      <w:r w:rsidR="006F76EB" w:rsidRPr="00834D52">
        <w:rPr>
          <w:rFonts w:ascii="Sylfaen" w:hAnsi="Sylfaen"/>
          <w:sz w:val="24"/>
          <w:szCs w:val="24"/>
        </w:rPr>
        <w:t xml:space="preserve">, </w:t>
      </w:r>
      <w:r w:rsidR="006F76EB" w:rsidRPr="00834D52">
        <w:rPr>
          <w:rFonts w:ascii="Sylfaen" w:hAnsi="Sylfaen" w:cs="Sylfaen"/>
          <w:sz w:val="24"/>
          <w:szCs w:val="24"/>
        </w:rPr>
        <w:t>որոնք</w:t>
      </w:r>
      <w:r w:rsidR="006F76EB" w:rsidRPr="00834D52">
        <w:rPr>
          <w:rFonts w:ascii="Sylfaen" w:hAnsi="Sylfaen"/>
          <w:sz w:val="24"/>
          <w:szCs w:val="24"/>
        </w:rPr>
        <w:t xml:space="preserve"> </w:t>
      </w:r>
      <w:r w:rsidR="006F76EB" w:rsidRPr="00834D52">
        <w:rPr>
          <w:rFonts w:ascii="Sylfaen" w:hAnsi="Sylfaen" w:cs="Sylfaen"/>
          <w:sz w:val="24"/>
          <w:szCs w:val="24"/>
        </w:rPr>
        <w:t>չեն</w:t>
      </w:r>
      <w:r w:rsidR="006F76EB" w:rsidRPr="00834D52">
        <w:rPr>
          <w:rFonts w:ascii="Sylfaen" w:hAnsi="Sylfaen"/>
          <w:sz w:val="24"/>
          <w:szCs w:val="24"/>
        </w:rPr>
        <w:t xml:space="preserve"> </w:t>
      </w:r>
      <w:r w:rsidR="006F76EB" w:rsidRPr="00834D52">
        <w:rPr>
          <w:rFonts w:ascii="Sylfaen" w:hAnsi="Sylfaen" w:cs="Sylfaen"/>
          <w:sz w:val="24"/>
          <w:szCs w:val="24"/>
        </w:rPr>
        <w:t>որակվում</w:t>
      </w:r>
      <w:r w:rsidR="006F76EB" w:rsidRPr="00834D52">
        <w:rPr>
          <w:rFonts w:ascii="Sylfaen" w:hAnsi="Sylfaen"/>
          <w:sz w:val="24"/>
          <w:szCs w:val="24"/>
        </w:rPr>
        <w:t xml:space="preserve"> </w:t>
      </w:r>
      <w:r w:rsidR="006F76EB" w:rsidRPr="00834D52">
        <w:rPr>
          <w:rFonts w:ascii="Sylfaen" w:hAnsi="Sylfaen" w:cs="Sylfaen"/>
          <w:sz w:val="24"/>
          <w:szCs w:val="24"/>
        </w:rPr>
        <w:t>որպես</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ԱԴԲ՝</w:t>
      </w:r>
    </w:p>
    <w:p w14:paraId="5CAF7FC1" w14:textId="58E00449"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55328" behindDoc="0" locked="0" layoutInCell="1" allowOverlap="1" wp14:anchorId="3D78308F" wp14:editId="326E9F3F">
                <wp:simplePos x="0" y="0"/>
                <wp:positionH relativeFrom="column">
                  <wp:posOffset>-6985</wp:posOffset>
                </wp:positionH>
                <wp:positionV relativeFrom="paragraph">
                  <wp:posOffset>38735</wp:posOffset>
                </wp:positionV>
                <wp:extent cx="161925" cy="152400"/>
                <wp:effectExtent l="7620" t="8255" r="11430" b="10795"/>
                <wp:wrapNone/>
                <wp:docPr id="26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CB423" id="Rectangle 39" o:spid="_x0000_s1026" style="position:absolute;margin-left:-.55pt;margin-top:3.05pt;width:12.75pt;height:12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"/>
            </w:pict>
          </mc:Fallback>
        </mc:AlternateContent>
      </w:r>
      <w:r w:rsidR="006F76EB" w:rsidRPr="00834D52">
        <w:rPr>
          <w:rFonts w:ascii="Sylfaen" w:hAnsi="Sylfaen"/>
          <w:sz w:val="24"/>
          <w:szCs w:val="24"/>
        </w:rPr>
        <w:t>քիմիական ԱԴԲ-ի փոխարինումն այլ աղով (եթերով, կոմպլեքսով, ածանցյալով) ազդող նյութի մոլեկուլի նույն ակտիվ ֆունկցիոնալ մասով, որը պատասխանատու է թերապ</w:t>
      </w:r>
      <w:r w:rsidR="00C54D75">
        <w:rPr>
          <w:rFonts w:ascii="Sylfaen" w:hAnsi="Sylfaen"/>
          <w:sz w:val="24"/>
          <w:szCs w:val="24"/>
        </w:rPr>
        <w:t>և</w:t>
      </w:r>
      <w:r w:rsidR="006F76EB" w:rsidRPr="00834D52">
        <w:rPr>
          <w:rFonts w:ascii="Sylfaen" w:hAnsi="Sylfaen"/>
          <w:sz w:val="24"/>
          <w:szCs w:val="24"/>
        </w:rPr>
        <w:t>տիկ ազդեցության համար արդյունավետության (անվտանգության) մասով էական տարբերությունների բացակայության դեպքում,</w:t>
      </w:r>
    </w:p>
    <w:p w14:paraId="53C4F5EA" w14:textId="49C798A7"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56352" behindDoc="0" locked="0" layoutInCell="1" allowOverlap="1" wp14:anchorId="46EBB2C5" wp14:editId="618BC313">
                <wp:simplePos x="0" y="0"/>
                <wp:positionH relativeFrom="column">
                  <wp:posOffset>2540</wp:posOffset>
                </wp:positionH>
                <wp:positionV relativeFrom="paragraph">
                  <wp:posOffset>49530</wp:posOffset>
                </wp:positionV>
                <wp:extent cx="161925" cy="152400"/>
                <wp:effectExtent l="7620" t="10160" r="11430" b="8890"/>
                <wp:wrapNone/>
                <wp:docPr id="26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E0AC9" id="Rectangle 40" o:spid="_x0000_s1026" style="position:absolute;margin-left:.2pt;margin-top:3.9pt;width:12.75pt;height:1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"/>
            </w:pict>
          </mc:Fallback>
        </mc:AlternateContent>
      </w:r>
      <w:r w:rsidR="006F76EB" w:rsidRPr="00834D52">
        <w:rPr>
          <w:rFonts w:ascii="Sylfaen" w:hAnsi="Sylfaen" w:cs="Sylfaen"/>
          <w:sz w:val="24"/>
          <w:szCs w:val="24"/>
        </w:rPr>
        <w:t>փոխարինում</w:t>
      </w:r>
      <w:r w:rsidR="006F76EB" w:rsidRPr="00834D52">
        <w:rPr>
          <w:rFonts w:ascii="Sylfaen" w:hAnsi="Sylfaen"/>
          <w:sz w:val="24"/>
          <w:szCs w:val="24"/>
        </w:rPr>
        <w:t xml:space="preserve">ն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իզոմերով</w:t>
      </w:r>
      <w:r w:rsidR="006F76EB" w:rsidRPr="00834D52">
        <w:rPr>
          <w:rFonts w:ascii="Sylfaen" w:hAnsi="Sylfaen"/>
          <w:sz w:val="24"/>
          <w:szCs w:val="24"/>
        </w:rPr>
        <w:t xml:space="preserve">, </w:t>
      </w:r>
      <w:r w:rsidR="006F76EB" w:rsidRPr="00834D52">
        <w:rPr>
          <w:rFonts w:ascii="Sylfaen" w:hAnsi="Sylfaen" w:cs="Sylfaen"/>
          <w:sz w:val="24"/>
          <w:szCs w:val="24"/>
        </w:rPr>
        <w:t>իզոմերների</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խառնուրդով</w:t>
      </w:r>
      <w:r w:rsidR="006F76EB" w:rsidRPr="00834D52">
        <w:rPr>
          <w:rFonts w:ascii="Sylfaen" w:hAnsi="Sylfaen"/>
          <w:sz w:val="24"/>
          <w:szCs w:val="24"/>
        </w:rPr>
        <w:t xml:space="preserve">, </w:t>
      </w:r>
      <w:r w:rsidR="006F76EB" w:rsidRPr="00834D52">
        <w:rPr>
          <w:rFonts w:ascii="Sylfaen" w:hAnsi="Sylfaen" w:cs="Sylfaen"/>
          <w:sz w:val="24"/>
          <w:szCs w:val="24"/>
        </w:rPr>
        <w:t>առանձին</w:t>
      </w:r>
      <w:r w:rsidR="006F76EB" w:rsidRPr="00834D52">
        <w:rPr>
          <w:rFonts w:ascii="Sylfaen" w:hAnsi="Sylfaen"/>
          <w:sz w:val="24"/>
          <w:szCs w:val="24"/>
        </w:rPr>
        <w:t xml:space="preserve"> </w:t>
      </w:r>
      <w:r w:rsidR="006F76EB" w:rsidRPr="00834D52">
        <w:rPr>
          <w:rFonts w:ascii="Sylfaen" w:hAnsi="Sylfaen" w:cs="Sylfaen"/>
          <w:sz w:val="24"/>
          <w:szCs w:val="24"/>
        </w:rPr>
        <w:t>իզոմերների</w:t>
      </w:r>
      <w:r w:rsidR="006F76EB" w:rsidRPr="00834D52">
        <w:rPr>
          <w:rFonts w:ascii="Sylfaen" w:hAnsi="Sylfaen"/>
          <w:sz w:val="24"/>
          <w:szCs w:val="24"/>
        </w:rPr>
        <w:t xml:space="preserve"> </w:t>
      </w:r>
      <w:r w:rsidR="006F76EB" w:rsidRPr="00834D52">
        <w:rPr>
          <w:rFonts w:ascii="Sylfaen" w:hAnsi="Sylfaen" w:cs="Sylfaen"/>
          <w:sz w:val="24"/>
          <w:szCs w:val="24"/>
        </w:rPr>
        <w:t>խառնուրդով</w:t>
      </w:r>
      <w:r w:rsidR="006F76EB" w:rsidRPr="00834D52">
        <w:rPr>
          <w:rFonts w:ascii="Sylfaen" w:hAnsi="Sylfaen"/>
          <w:sz w:val="24"/>
          <w:szCs w:val="24"/>
        </w:rPr>
        <w:t xml:space="preserve"> (</w:t>
      </w:r>
      <w:r w:rsidR="006F76EB" w:rsidRPr="00834D52">
        <w:rPr>
          <w:rFonts w:ascii="Sylfaen" w:hAnsi="Sylfaen" w:cs="Sylfaen"/>
          <w:sz w:val="24"/>
          <w:szCs w:val="24"/>
        </w:rPr>
        <w:t>օրինակ՝</w:t>
      </w:r>
      <w:r w:rsidR="006F76EB" w:rsidRPr="00834D52">
        <w:rPr>
          <w:rFonts w:ascii="Sylfaen" w:hAnsi="Sylfaen"/>
          <w:sz w:val="24"/>
          <w:szCs w:val="24"/>
        </w:rPr>
        <w:t xml:space="preserve"> </w:t>
      </w:r>
      <w:r w:rsidR="006F76EB" w:rsidRPr="00834D52">
        <w:rPr>
          <w:rFonts w:ascii="Sylfaen" w:hAnsi="Sylfaen" w:cs="Sylfaen"/>
          <w:sz w:val="24"/>
          <w:szCs w:val="24"/>
        </w:rPr>
        <w:t>ռացեմատի</w:t>
      </w:r>
      <w:r w:rsidR="006F76EB" w:rsidRPr="00834D52">
        <w:rPr>
          <w:rFonts w:ascii="Sylfaen" w:hAnsi="Sylfaen"/>
          <w:sz w:val="24"/>
          <w:szCs w:val="24"/>
        </w:rPr>
        <w:t xml:space="preserve"> </w:t>
      </w:r>
      <w:r w:rsidR="006F76EB" w:rsidRPr="00834D52">
        <w:rPr>
          <w:rFonts w:ascii="Sylfaen" w:hAnsi="Sylfaen" w:cs="Sylfaen"/>
          <w:sz w:val="24"/>
          <w:szCs w:val="24"/>
        </w:rPr>
        <w:t>փոխարինումը</w:t>
      </w:r>
      <w:r w:rsidR="006F76EB" w:rsidRPr="00834D52">
        <w:rPr>
          <w:rFonts w:ascii="Sylfaen" w:hAnsi="Sylfaen"/>
          <w:sz w:val="24"/>
          <w:szCs w:val="24"/>
        </w:rPr>
        <w:t xml:space="preserve"> </w:t>
      </w:r>
      <w:r w:rsidR="006F76EB" w:rsidRPr="00834D52">
        <w:rPr>
          <w:rFonts w:ascii="Sylfaen" w:hAnsi="Sylfaen" w:cs="Sylfaen"/>
          <w:sz w:val="24"/>
          <w:szCs w:val="24"/>
        </w:rPr>
        <w:t>միակ</w:t>
      </w:r>
      <w:r w:rsidR="006F76EB" w:rsidRPr="00834D52">
        <w:rPr>
          <w:rFonts w:ascii="Sylfaen" w:hAnsi="Sylfaen"/>
          <w:sz w:val="24"/>
          <w:szCs w:val="24"/>
        </w:rPr>
        <w:t xml:space="preserve"> </w:t>
      </w:r>
      <w:r w:rsidR="006F76EB" w:rsidRPr="00834D52">
        <w:rPr>
          <w:rFonts w:ascii="Sylfaen" w:hAnsi="Sylfaen" w:cs="Sylfaen"/>
          <w:sz w:val="24"/>
          <w:szCs w:val="24"/>
        </w:rPr>
        <w:t>էնանտիոմերով</w:t>
      </w:r>
      <w:r w:rsidR="006F76EB" w:rsidRPr="00834D52">
        <w:rPr>
          <w:rFonts w:ascii="Sylfaen" w:hAnsi="Sylfaen"/>
          <w:sz w:val="24"/>
          <w:szCs w:val="24"/>
        </w:rPr>
        <w:t xml:space="preserve">)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461AF3F0" w14:textId="05522346"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57376" behindDoc="0" locked="0" layoutInCell="1" allowOverlap="1" wp14:anchorId="5B35FAB8" wp14:editId="2368C4C9">
                <wp:simplePos x="0" y="0"/>
                <wp:positionH relativeFrom="column">
                  <wp:posOffset>1270</wp:posOffset>
                </wp:positionH>
                <wp:positionV relativeFrom="paragraph">
                  <wp:posOffset>45085</wp:posOffset>
                </wp:positionV>
                <wp:extent cx="161925" cy="152400"/>
                <wp:effectExtent l="6350" t="6985" r="12700" b="12065"/>
                <wp:wrapNone/>
                <wp:docPr id="26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8CCDD" id="Rectangle 41" o:spid="_x0000_s1026" style="position:absolute;margin-left:.1pt;margin-top:3.55pt;width:12.75pt;height:12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"/>
            </w:pict>
          </mc:Fallback>
        </mc:AlternateContent>
      </w:r>
      <w:r w:rsidR="006F76EB" w:rsidRPr="00834D52">
        <w:rPr>
          <w:rFonts w:ascii="Sylfaen" w:hAnsi="Sylfaen"/>
          <w:sz w:val="24"/>
          <w:szCs w:val="24"/>
        </w:rPr>
        <w:t xml:space="preserve">կենսաբանական ԱԴԲ-ի փոխարինումը մեկ այլ՝ փոքր-ինչ փոփոխված մոլեկուլային կառուցվածքով արդյունավետության </w:t>
      </w:r>
      <w:r w:rsidR="00C54D75">
        <w:rPr>
          <w:rFonts w:ascii="Sylfaen" w:hAnsi="Sylfaen"/>
          <w:sz w:val="24"/>
          <w:szCs w:val="24"/>
        </w:rPr>
        <w:t>և</w:t>
      </w:r>
      <w:r w:rsidR="006F76EB" w:rsidRPr="00834D52">
        <w:rPr>
          <w:rFonts w:ascii="Sylfaen" w:hAnsi="Sylfaen"/>
          <w:sz w:val="24"/>
          <w:szCs w:val="24"/>
        </w:rPr>
        <w:t xml:space="preserve"> (կամ) անվտանգության մասով էական տարբերությունների բացակայության դեպքում՝ բացառությամբ մարդու </w:t>
      </w:r>
      <w:r w:rsidR="006F76EB" w:rsidRPr="00834D52">
        <w:rPr>
          <w:rFonts w:ascii="Sylfaen" w:hAnsi="Sylfaen"/>
          <w:sz w:val="24"/>
          <w:szCs w:val="24"/>
        </w:rPr>
        <w:lastRenderedPageBreak/>
        <w:t>գրիպի կանխարգելման համար սեզոնային, նախահամավարակային կամ համավարակային պատվաստանյութի ԱԴԲ-ի փոփոխությունների,</w:t>
      </w:r>
    </w:p>
    <w:p w14:paraId="130D278A" w14:textId="31266EC0"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58400" behindDoc="0" locked="0" layoutInCell="1" allowOverlap="1" wp14:anchorId="40E045CD" wp14:editId="7F0D0284">
                <wp:simplePos x="0" y="0"/>
                <wp:positionH relativeFrom="column">
                  <wp:posOffset>10795</wp:posOffset>
                </wp:positionH>
                <wp:positionV relativeFrom="paragraph">
                  <wp:posOffset>55880</wp:posOffset>
                </wp:positionV>
                <wp:extent cx="161925" cy="152400"/>
                <wp:effectExtent l="6350" t="13335" r="12700" b="5715"/>
                <wp:wrapNone/>
                <wp:docPr id="26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E532D" id="Rectangle 42" o:spid="_x0000_s1026" style="position:absolute;margin-left:.85pt;margin-top:4.4pt;width:12.75pt;height:1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"/>
            </w:pict>
          </mc:Fallback>
        </mc:AlternateContent>
      </w:r>
      <w:r w:rsidR="006F76EB" w:rsidRPr="00834D52">
        <w:rPr>
          <w:rFonts w:ascii="Sylfaen" w:hAnsi="Sylfaen" w:cs="Sylfaen"/>
          <w:sz w:val="24"/>
          <w:szCs w:val="24"/>
        </w:rPr>
        <w:t>հակածին</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ելանյութ</w:t>
      </w:r>
      <w:r w:rsidR="006F76EB" w:rsidRPr="00834D52">
        <w:rPr>
          <w:rFonts w:ascii="Sylfaen" w:hAnsi="Sylfaen"/>
          <w:sz w:val="24"/>
          <w:szCs w:val="24"/>
        </w:rPr>
        <w:t xml:space="preserve"> </w:t>
      </w:r>
      <w:r w:rsidR="006F76EB" w:rsidRPr="00834D52">
        <w:rPr>
          <w:rFonts w:ascii="Sylfaen" w:hAnsi="Sylfaen" w:cs="Sylfaen"/>
          <w:sz w:val="24"/>
          <w:szCs w:val="24"/>
        </w:rPr>
        <w:t>ստանալու</w:t>
      </w:r>
      <w:r w:rsidR="006F76EB" w:rsidRPr="00834D52">
        <w:rPr>
          <w:rFonts w:ascii="Sylfaen" w:hAnsi="Sylfaen"/>
          <w:sz w:val="24"/>
          <w:szCs w:val="24"/>
        </w:rPr>
        <w:t xml:space="preserve"> </w:t>
      </w:r>
      <w:r w:rsidR="006F76EB" w:rsidRPr="00834D52">
        <w:rPr>
          <w:rFonts w:ascii="Sylfaen" w:hAnsi="Sylfaen" w:cs="Sylfaen"/>
          <w:sz w:val="24"/>
          <w:szCs w:val="24"/>
        </w:rPr>
        <w:t>համար</w:t>
      </w:r>
      <w:r w:rsidR="006F76EB" w:rsidRPr="00834D52">
        <w:rPr>
          <w:rFonts w:ascii="Sylfaen" w:hAnsi="Sylfaen"/>
          <w:sz w:val="24"/>
          <w:szCs w:val="24"/>
        </w:rPr>
        <w:t xml:space="preserve"> </w:t>
      </w:r>
      <w:r w:rsidR="006F76EB" w:rsidRPr="00834D52">
        <w:rPr>
          <w:rFonts w:ascii="Sylfaen" w:hAnsi="Sylfaen" w:cs="Sylfaen"/>
          <w:sz w:val="24"/>
          <w:szCs w:val="24"/>
        </w:rPr>
        <w:t>օգտագործվող</w:t>
      </w:r>
      <w:r w:rsidR="006F76EB" w:rsidRPr="00834D52">
        <w:rPr>
          <w:rFonts w:ascii="Sylfaen" w:hAnsi="Sylfaen"/>
          <w:sz w:val="24"/>
          <w:szCs w:val="24"/>
        </w:rPr>
        <w:t xml:space="preserve"> </w:t>
      </w:r>
      <w:r w:rsidR="006F76EB" w:rsidRPr="00834D52">
        <w:rPr>
          <w:rFonts w:ascii="Sylfaen" w:hAnsi="Sylfaen" w:cs="Sylfaen"/>
          <w:sz w:val="24"/>
          <w:szCs w:val="24"/>
        </w:rPr>
        <w:t>վեկտորի</w:t>
      </w:r>
      <w:r w:rsidR="006F76EB" w:rsidRPr="00834D52">
        <w:rPr>
          <w:rFonts w:ascii="Sylfaen" w:hAnsi="Sylfaen"/>
          <w:sz w:val="24"/>
          <w:szCs w:val="24"/>
        </w:rPr>
        <w:t xml:space="preserve"> </w:t>
      </w:r>
      <w:r w:rsidR="006F76EB" w:rsidRPr="00834D52">
        <w:rPr>
          <w:rFonts w:ascii="Sylfaen" w:hAnsi="Sylfaen" w:cs="Sylfaen"/>
          <w:sz w:val="24"/>
          <w:szCs w:val="24"/>
        </w:rPr>
        <w:t>մոդիֆիկացումները՝</w:t>
      </w:r>
      <w:r w:rsidR="006F76EB" w:rsidRPr="00834D52">
        <w:rPr>
          <w:rFonts w:ascii="Sylfaen" w:hAnsi="Sylfaen"/>
          <w:sz w:val="24"/>
          <w:szCs w:val="24"/>
        </w:rPr>
        <w:t xml:space="preserve"> </w:t>
      </w:r>
      <w:r w:rsidR="006F76EB" w:rsidRPr="00834D52">
        <w:rPr>
          <w:rFonts w:ascii="Sylfaen" w:hAnsi="Sylfaen" w:cs="Sylfaen"/>
          <w:sz w:val="24"/>
          <w:szCs w:val="24"/>
        </w:rPr>
        <w:t>ներառյալ</w:t>
      </w:r>
      <w:r w:rsidR="006F76EB" w:rsidRPr="00834D52">
        <w:rPr>
          <w:rFonts w:ascii="Sylfaen" w:hAnsi="Sylfaen"/>
          <w:sz w:val="24"/>
          <w:szCs w:val="24"/>
        </w:rPr>
        <w:t xml:space="preserve">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աղբյուրից</w:t>
      </w:r>
      <w:r w:rsidR="006F76EB" w:rsidRPr="00834D52">
        <w:rPr>
          <w:rFonts w:ascii="Sylfaen" w:hAnsi="Sylfaen"/>
          <w:sz w:val="24"/>
          <w:szCs w:val="24"/>
        </w:rPr>
        <w:t xml:space="preserve"> </w:t>
      </w:r>
      <w:r w:rsidR="006F76EB" w:rsidRPr="00834D52">
        <w:rPr>
          <w:rFonts w:ascii="Sylfaen" w:hAnsi="Sylfaen" w:cs="Sylfaen"/>
          <w:sz w:val="24"/>
          <w:szCs w:val="24"/>
        </w:rPr>
        <w:t>բջիջների</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գլխավոր</w:t>
      </w:r>
      <w:r w:rsidR="006F76EB" w:rsidRPr="00834D52">
        <w:rPr>
          <w:rFonts w:ascii="Sylfaen" w:hAnsi="Sylfaen"/>
          <w:sz w:val="24"/>
          <w:szCs w:val="24"/>
        </w:rPr>
        <w:t xml:space="preserve"> </w:t>
      </w:r>
      <w:r w:rsidR="006F76EB" w:rsidRPr="00834D52">
        <w:rPr>
          <w:rFonts w:ascii="Sylfaen" w:hAnsi="Sylfaen" w:cs="Sylfaen"/>
          <w:sz w:val="24"/>
          <w:szCs w:val="24"/>
        </w:rPr>
        <w:t>բանկը</w:t>
      </w:r>
      <w:r w:rsidR="006F76EB" w:rsidRPr="00834D52">
        <w:rPr>
          <w:rFonts w:ascii="Sylfaen" w:hAnsi="Sylfaen"/>
          <w:sz w:val="24"/>
          <w:szCs w:val="24"/>
        </w:rPr>
        <w:t>,</w:t>
      </w:r>
    </w:p>
    <w:p w14:paraId="7AB29B71" w14:textId="22906276"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59424" behindDoc="0" locked="0" layoutInCell="1" allowOverlap="1" wp14:anchorId="76E2A4F5" wp14:editId="19B07BF7">
                <wp:simplePos x="0" y="0"/>
                <wp:positionH relativeFrom="column">
                  <wp:posOffset>20320</wp:posOffset>
                </wp:positionH>
                <wp:positionV relativeFrom="paragraph">
                  <wp:posOffset>33020</wp:posOffset>
                </wp:positionV>
                <wp:extent cx="161925" cy="152400"/>
                <wp:effectExtent l="6350" t="10160" r="12700" b="8890"/>
                <wp:wrapNone/>
                <wp:docPr id="26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6BCDE" id="Rectangle 43" o:spid="_x0000_s1026" style="position:absolute;margin-left:1.6pt;margin-top:2.6pt;width:12.75pt;height:12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"/>
            </w:pict>
          </mc:Fallback>
        </mc:AlternateConten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լիգանդը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պատրաստուկի</w:t>
      </w:r>
      <w:r w:rsidR="006F76EB" w:rsidRPr="00834D52">
        <w:rPr>
          <w:rFonts w:ascii="Sylfaen" w:hAnsi="Sylfaen"/>
          <w:sz w:val="24"/>
          <w:szCs w:val="24"/>
        </w:rPr>
        <w:t xml:space="preserve"> </w:t>
      </w:r>
      <w:r w:rsidR="006F76EB" w:rsidRPr="00834D52">
        <w:rPr>
          <w:rFonts w:ascii="Sylfaen" w:hAnsi="Sylfaen" w:cs="Sylfaen"/>
          <w:sz w:val="24"/>
          <w:szCs w:val="24"/>
        </w:rPr>
        <w:t>կապող</w:t>
      </w:r>
      <w:r w:rsidR="006F76EB" w:rsidRPr="00834D52">
        <w:rPr>
          <w:rFonts w:ascii="Sylfaen" w:hAnsi="Sylfaen"/>
          <w:sz w:val="24"/>
          <w:szCs w:val="24"/>
        </w:rPr>
        <w:t xml:space="preserve"> </w:t>
      </w:r>
      <w:r w:rsidR="006F76EB" w:rsidRPr="00834D52">
        <w:rPr>
          <w:rFonts w:ascii="Sylfaen" w:hAnsi="Sylfaen" w:cs="Sylfaen"/>
          <w:sz w:val="24"/>
          <w:szCs w:val="24"/>
        </w:rPr>
        <w:t>մեխանիզմ</w:t>
      </w:r>
      <w:r w:rsidR="006F76EB" w:rsidRPr="00834D52">
        <w:rPr>
          <w:rFonts w:ascii="Sylfaen" w:hAnsi="Sylfaen"/>
          <w:sz w:val="24"/>
          <w:szCs w:val="24"/>
        </w:rPr>
        <w:t xml:space="preserve">ն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310234BD" w14:textId="67843CBB" w:rsidR="006F76EB" w:rsidRPr="00834D52" w:rsidRDefault="0037154C" w:rsidP="006F76EB">
      <w:pPr>
        <w:spacing w:after="160" w:line="360" w:lineRule="auto"/>
        <w:ind w:right="-8" w:firstLine="567"/>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0448" behindDoc="0" locked="0" layoutInCell="1" allowOverlap="1" wp14:anchorId="6FDF42E3" wp14:editId="1D3DD0E9">
                <wp:simplePos x="0" y="0"/>
                <wp:positionH relativeFrom="column">
                  <wp:posOffset>38100</wp:posOffset>
                </wp:positionH>
                <wp:positionV relativeFrom="paragraph">
                  <wp:posOffset>1275080</wp:posOffset>
                </wp:positionV>
                <wp:extent cx="161925" cy="152400"/>
                <wp:effectExtent l="5080" t="9525" r="13970" b="9525"/>
                <wp:wrapNone/>
                <wp:docPr id="26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E89CB" id="Rectangle 45" o:spid="_x0000_s1026" style="position:absolute;margin-left:3pt;margin-top:100.4pt;width:12.75pt;height:12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"/>
            </w:pict>
          </mc:Fallback>
        </mc:AlternateContent>
      </w:r>
      <w:r>
        <w:rPr>
          <w:rFonts w:ascii="Sylfaen" w:eastAsia="Times New Roman" w:hAnsi="Sylfaen" w:cs="Times New Roman"/>
          <w:noProof/>
          <w:sz w:val="24"/>
          <w:szCs w:val="24"/>
        </w:rPr>
        <mc:AlternateContent>
          <mc:Choice Requires="wps">
            <w:drawing>
              <wp:anchor distT="0" distB="0" distL="114300" distR="114300" simplePos="0" relativeHeight="251561472" behindDoc="0" locked="0" layoutInCell="1" allowOverlap="1" wp14:anchorId="6315F047" wp14:editId="71DAE988">
                <wp:simplePos x="0" y="0"/>
                <wp:positionH relativeFrom="column">
                  <wp:posOffset>20320</wp:posOffset>
                </wp:positionH>
                <wp:positionV relativeFrom="paragraph">
                  <wp:posOffset>52705</wp:posOffset>
                </wp:positionV>
                <wp:extent cx="161925" cy="152400"/>
                <wp:effectExtent l="6350" t="6350" r="12700" b="12700"/>
                <wp:wrapNone/>
                <wp:docPr id="26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666A4" id="Rectangle 44" o:spid="_x0000_s1026" style="position:absolute;margin-left:1.6pt;margin-top:4.15pt;width:12.75pt;height:12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"/>
            </w:pict>
          </mc:Fallback>
        </mc:AlternateContent>
      </w:r>
      <w:r w:rsidR="006F76EB" w:rsidRPr="00834D52">
        <w:rPr>
          <w:rFonts w:ascii="Sylfaen" w:hAnsi="Sylfaen" w:cs="Sylfaen"/>
          <w:sz w:val="24"/>
          <w:szCs w:val="24"/>
        </w:rPr>
        <w:t>էքստրագենտի</w:t>
      </w:r>
      <w:r w:rsidR="006F76EB" w:rsidRPr="00834D52">
        <w:rPr>
          <w:rFonts w:ascii="Sylfaen" w:hAnsi="Sylfaen"/>
          <w:sz w:val="24"/>
          <w:szCs w:val="24"/>
        </w:rPr>
        <w:t xml:space="preserve"> (</w:t>
      </w:r>
      <w:r w:rsidR="006F76EB" w:rsidRPr="00834D52">
        <w:rPr>
          <w:rFonts w:ascii="Sylfaen" w:hAnsi="Sylfaen" w:cs="Sylfaen"/>
          <w:sz w:val="24"/>
          <w:szCs w:val="24"/>
        </w:rPr>
        <w:t>լուծիչի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դեղաբուսական</w:t>
      </w:r>
      <w:r w:rsidR="006F76EB" w:rsidRPr="00834D52">
        <w:rPr>
          <w:rFonts w:ascii="Sylfaen" w:hAnsi="Sylfaen"/>
          <w:sz w:val="24"/>
          <w:szCs w:val="24"/>
        </w:rPr>
        <w:t xml:space="preserve"> </w:t>
      </w:r>
      <w:r w:rsidR="006F76EB" w:rsidRPr="00834D52">
        <w:rPr>
          <w:rFonts w:ascii="Sylfaen" w:hAnsi="Sylfaen" w:cs="Sylfaen"/>
          <w:sz w:val="24"/>
          <w:szCs w:val="24"/>
        </w:rPr>
        <w:t>հումքի</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բուսական</w:t>
      </w:r>
      <w:r w:rsidR="006F76EB" w:rsidRPr="00834D52">
        <w:rPr>
          <w:rFonts w:ascii="Sylfaen" w:hAnsi="Sylfaen"/>
          <w:sz w:val="24"/>
          <w:szCs w:val="24"/>
        </w:rPr>
        <w:t xml:space="preserve"> </w:t>
      </w:r>
      <w:r w:rsidR="006F76EB" w:rsidRPr="00834D52">
        <w:rPr>
          <w:rFonts w:ascii="Sylfaen" w:hAnsi="Sylfaen" w:cs="Sylfaen"/>
          <w:sz w:val="24"/>
          <w:szCs w:val="24"/>
        </w:rPr>
        <w:t>ծագման</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բաղադրամասի</w:t>
      </w:r>
      <w:r w:rsidR="006F76EB" w:rsidRPr="00834D52">
        <w:rPr>
          <w:rFonts w:ascii="Sylfaen" w:hAnsi="Sylfaen"/>
          <w:sz w:val="24"/>
          <w:szCs w:val="24"/>
        </w:rPr>
        <w:t xml:space="preserve"> </w:t>
      </w:r>
      <w:r w:rsidR="006F76EB" w:rsidRPr="00834D52">
        <w:rPr>
          <w:rFonts w:ascii="Sylfaen" w:hAnsi="Sylfaen" w:cs="Sylfaen"/>
          <w:sz w:val="24"/>
          <w:szCs w:val="24"/>
        </w:rPr>
        <w:t>հարաբերակցություններ</w:t>
      </w:r>
      <w:r w:rsidR="006F76EB" w:rsidRPr="00834D52">
        <w:rPr>
          <w:rFonts w:ascii="Sylfaen" w:hAnsi="Sylfaen"/>
          <w:sz w:val="24"/>
          <w:szCs w:val="24"/>
        </w:rPr>
        <w:t xml:space="preserve">ն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3CAE05B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cs="Sylfaen"/>
          <w:sz w:val="24"/>
          <w:szCs w:val="24"/>
        </w:rPr>
        <w:t>դեղաչափի</w:t>
      </w:r>
      <w:r w:rsidRPr="00834D52">
        <w:rPr>
          <w:rFonts w:ascii="Sylfaen" w:hAnsi="Sylfaen"/>
          <w:sz w:val="24"/>
          <w:szCs w:val="24"/>
        </w:rPr>
        <w:t xml:space="preserve">, </w:t>
      </w:r>
      <w:r w:rsidRPr="00834D52">
        <w:rPr>
          <w:rFonts w:ascii="Sylfaen" w:hAnsi="Sylfaen" w:cs="Sylfaen"/>
          <w:sz w:val="24"/>
          <w:szCs w:val="24"/>
        </w:rPr>
        <w:t>դեղաձ</w:t>
      </w:r>
      <w:r w:rsidR="00C54D75">
        <w:rPr>
          <w:rFonts w:ascii="Sylfaen" w:hAnsi="Sylfaen" w:cs="Sylfaen"/>
          <w:sz w:val="24"/>
          <w:szCs w:val="24"/>
        </w:rPr>
        <w:t>և</w:t>
      </w:r>
      <w:r w:rsidRPr="00834D52">
        <w:rPr>
          <w:rFonts w:ascii="Sylfaen" w:hAnsi="Sylfaen" w:cs="Sylfaen"/>
          <w:sz w:val="24"/>
          <w:szCs w:val="24"/>
        </w:rPr>
        <w:t>ի</w:t>
      </w:r>
      <w:r w:rsidRPr="00834D52">
        <w:rPr>
          <w:rFonts w:ascii="Sylfaen" w:hAnsi="Sylfaen"/>
          <w:sz w:val="24"/>
          <w:szCs w:val="24"/>
        </w:rPr>
        <w:t xml:space="preserve"> </w:t>
      </w:r>
      <w:r w:rsidR="00C54D75">
        <w:rPr>
          <w:rFonts w:ascii="Sylfaen" w:hAnsi="Sylfaen" w:cs="Sylfaen"/>
          <w:sz w:val="24"/>
          <w:szCs w:val="24"/>
        </w:rPr>
        <w:t>և</w:t>
      </w:r>
      <w:r w:rsidRPr="00834D52">
        <w:rPr>
          <w:rFonts w:ascii="Sylfaen" w:hAnsi="Sylfaen"/>
          <w:sz w:val="24"/>
          <w:szCs w:val="24"/>
        </w:rPr>
        <w:t xml:space="preserve"> </w:t>
      </w:r>
      <w:r w:rsidRPr="00834D52">
        <w:rPr>
          <w:rFonts w:ascii="Sylfaen" w:hAnsi="Sylfaen" w:cs="Sylfaen"/>
          <w:sz w:val="24"/>
          <w:szCs w:val="24"/>
        </w:rPr>
        <w:t>կիրառման</w:t>
      </w:r>
      <w:r w:rsidRPr="00834D52">
        <w:rPr>
          <w:rFonts w:ascii="Sylfaen" w:hAnsi="Sylfaen"/>
          <w:sz w:val="24"/>
          <w:szCs w:val="24"/>
        </w:rPr>
        <w:t xml:space="preserve"> </w:t>
      </w:r>
      <w:r w:rsidRPr="00834D52">
        <w:rPr>
          <w:rFonts w:ascii="Sylfaen" w:hAnsi="Sylfaen" w:cs="Sylfaen"/>
          <w:sz w:val="24"/>
          <w:szCs w:val="24"/>
        </w:rPr>
        <w:t>եղանակի</w:t>
      </w:r>
      <w:r w:rsidRPr="00834D52">
        <w:rPr>
          <w:rFonts w:ascii="Sylfaen" w:hAnsi="Sylfaen"/>
          <w:sz w:val="24"/>
          <w:szCs w:val="24"/>
        </w:rPr>
        <w:t xml:space="preserve"> </w:t>
      </w:r>
      <w:r w:rsidRPr="00834D52">
        <w:rPr>
          <w:rFonts w:ascii="Sylfaen" w:hAnsi="Sylfaen" w:cs="Sylfaen"/>
          <w:sz w:val="24"/>
          <w:szCs w:val="24"/>
        </w:rPr>
        <w:t>փոփոխությունները՝</w:t>
      </w:r>
    </w:p>
    <w:p w14:paraId="7B1DE2CB" w14:textId="0239E0ED"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2496" behindDoc="0" locked="0" layoutInCell="1" allowOverlap="1" wp14:anchorId="5BAFD0B2" wp14:editId="4B727D33">
                <wp:simplePos x="0" y="0"/>
                <wp:positionH relativeFrom="column">
                  <wp:posOffset>28575</wp:posOffset>
                </wp:positionH>
                <wp:positionV relativeFrom="paragraph">
                  <wp:posOffset>53340</wp:posOffset>
                </wp:positionV>
                <wp:extent cx="161925" cy="152400"/>
                <wp:effectExtent l="5080" t="10160" r="13970" b="8890"/>
                <wp:wrapNone/>
                <wp:docPr id="26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709FA" id="Rectangle 46" o:spid="_x0000_s1026" style="position:absolute;margin-left:2.25pt;margin-top:4.2pt;width:12.75pt;height:1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"/>
            </w:pict>
          </mc:Fallback>
        </mc:AlternateContent>
      </w:r>
      <w:r w:rsidR="006F76EB" w:rsidRPr="00834D52">
        <w:rPr>
          <w:rFonts w:ascii="Sylfaen" w:hAnsi="Sylfaen" w:cs="Sylfaen"/>
          <w:sz w:val="24"/>
          <w:szCs w:val="24"/>
        </w:rPr>
        <w:t>կենսամատչելիության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w:t>
      </w:r>
    </w:p>
    <w:p w14:paraId="4492711E" w14:textId="1DE86FC7"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3520" behindDoc="0" locked="0" layoutInCell="1" allowOverlap="1" wp14:anchorId="02E63501" wp14:editId="5DBFB0A4">
                <wp:simplePos x="0" y="0"/>
                <wp:positionH relativeFrom="column">
                  <wp:posOffset>28575</wp:posOffset>
                </wp:positionH>
                <wp:positionV relativeFrom="paragraph">
                  <wp:posOffset>58420</wp:posOffset>
                </wp:positionV>
                <wp:extent cx="161925" cy="152400"/>
                <wp:effectExtent l="5080" t="8255" r="13970" b="10795"/>
                <wp:wrapNone/>
                <wp:docPr id="25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DCB58" id="Rectangle 47" o:spid="_x0000_s1026" style="position:absolute;margin-left:2.25pt;margin-top:4.6pt;width:12.75pt;height:12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"/>
            </w:pict>
          </mc:Fallback>
        </mc:AlternateContent>
      </w:r>
      <w:r w:rsidR="00355C33">
        <w:rPr>
          <w:rFonts w:ascii="Sylfaen" w:hAnsi="Sylfaen" w:cs="Sylfaen"/>
          <w:sz w:val="24"/>
          <w:szCs w:val="24"/>
        </w:rPr>
        <w:t>դեղա</w:t>
      </w:r>
      <w:r w:rsidR="006F76EB" w:rsidRPr="00834D52">
        <w:rPr>
          <w:rFonts w:ascii="Sylfaen" w:hAnsi="Sylfaen" w:cs="Sylfaen"/>
          <w:sz w:val="24"/>
          <w:szCs w:val="24"/>
        </w:rPr>
        <w:t>կինետիկայի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w:t>
      </w:r>
    </w:p>
    <w:p w14:paraId="410A70FA" w14:textId="00CA1CC5"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4544" behindDoc="0" locked="0" layoutInCell="1" allowOverlap="1" wp14:anchorId="548C0FE6" wp14:editId="2C02C19B">
                <wp:simplePos x="0" y="0"/>
                <wp:positionH relativeFrom="column">
                  <wp:posOffset>38100</wp:posOffset>
                </wp:positionH>
                <wp:positionV relativeFrom="paragraph">
                  <wp:posOffset>34925</wp:posOffset>
                </wp:positionV>
                <wp:extent cx="161925" cy="152400"/>
                <wp:effectExtent l="5080" t="6350" r="13970" b="12700"/>
                <wp:wrapNone/>
                <wp:docPr id="25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D7914" id="Rectangle 48" o:spid="_x0000_s1026" style="position:absolute;margin-left:3pt;margin-top:2.75pt;width:12.75pt;height:12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"/>
            </w:pict>
          </mc:Fallback>
        </mc:AlternateConten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դեղաչափի</w:t>
      </w:r>
      <w:r w:rsidR="006F76EB" w:rsidRPr="00834D52">
        <w:rPr>
          <w:rFonts w:ascii="Sylfaen" w:hAnsi="Sylfaen"/>
          <w:sz w:val="24"/>
          <w:szCs w:val="24"/>
        </w:rPr>
        <w:t xml:space="preserve"> (</w:t>
      </w:r>
      <w:r w:rsidR="006F76EB" w:rsidRPr="00834D52">
        <w:rPr>
          <w:rFonts w:ascii="Sylfaen" w:hAnsi="Sylfaen" w:cs="Sylfaen"/>
          <w:sz w:val="24"/>
          <w:szCs w:val="24"/>
        </w:rPr>
        <w:t>ակտիվության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r w:rsidR="006F76EB" w:rsidRPr="00834D52">
        <w:rPr>
          <w:rFonts w:ascii="Sylfaen" w:hAnsi="Sylfaen"/>
          <w:sz w:val="24"/>
          <w:szCs w:val="24"/>
        </w:rPr>
        <w:t>,</w:t>
      </w:r>
    </w:p>
    <w:p w14:paraId="489D01EF" w14:textId="4FCB561C"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5568" behindDoc="0" locked="0" layoutInCell="1" allowOverlap="1" wp14:anchorId="1C4ACEAA" wp14:editId="3CCE421E">
                <wp:simplePos x="0" y="0"/>
                <wp:positionH relativeFrom="column">
                  <wp:posOffset>38100</wp:posOffset>
                </wp:positionH>
                <wp:positionV relativeFrom="paragraph">
                  <wp:posOffset>40005</wp:posOffset>
                </wp:positionV>
                <wp:extent cx="161925" cy="152400"/>
                <wp:effectExtent l="5080" t="13970" r="13970" b="5080"/>
                <wp:wrapNone/>
                <wp:docPr id="25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D5A00" id="Rectangle 49" o:spid="_x0000_s1026" style="position:absolute;margin-left:3pt;margin-top:3.15pt;width:12.75pt;height:12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"/>
            </w:pict>
          </mc:Fallback>
        </mc:AlternateConten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r w:rsidR="006F76EB" w:rsidRPr="00834D52">
        <w:rPr>
          <w:rFonts w:ascii="Sylfaen" w:hAnsi="Sylfaen"/>
          <w:sz w:val="24"/>
          <w:szCs w:val="24"/>
        </w:rPr>
        <w:t>,</w:t>
      </w:r>
    </w:p>
    <w:p w14:paraId="4A6002DE" w14:textId="4A11EFF4"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6592" behindDoc="0" locked="0" layoutInCell="1" allowOverlap="1" wp14:anchorId="7CE70DA5" wp14:editId="0D6DD85C">
                <wp:simplePos x="0" y="0"/>
                <wp:positionH relativeFrom="column">
                  <wp:posOffset>38100</wp:posOffset>
                </wp:positionH>
                <wp:positionV relativeFrom="paragraph">
                  <wp:posOffset>16510</wp:posOffset>
                </wp:positionV>
                <wp:extent cx="161925" cy="152400"/>
                <wp:effectExtent l="5080" t="12065" r="13970" b="6985"/>
                <wp:wrapNone/>
                <wp:docPr id="25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7DF37" id="Rectangle 50" o:spid="_x0000_s1026" style="position:absolute;margin-left:3pt;margin-top:1.3pt;width:12.75pt;height:1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"/>
            </w:pict>
          </mc:Fallback>
        </mc:AlternateConten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ուղու</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ուղու</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p>
    <w:p w14:paraId="605ADEB4" w14:textId="77777777" w:rsidR="006F76EB" w:rsidRPr="00834D52" w:rsidRDefault="006F76EB" w:rsidP="006F76EB">
      <w:pPr>
        <w:spacing w:after="0" w:line="240" w:lineRule="auto"/>
        <w:ind w:right="-6"/>
        <w:jc w:val="both"/>
        <w:rPr>
          <w:rFonts w:ascii="Sylfaen" w:hAnsi="Sylfaen"/>
          <w:sz w:val="24"/>
          <w:szCs w:val="24"/>
        </w:rPr>
      </w:pPr>
      <w:r w:rsidRPr="00834D52">
        <w:rPr>
          <w:rFonts w:ascii="Sylfaen" w:hAnsi="Sylfaen"/>
          <w:sz w:val="24"/>
          <w:szCs w:val="24"/>
        </w:rPr>
        <w:t>Դեղապատրաստուկ, որը գրանցված է</w:t>
      </w:r>
      <w:r w:rsidR="002E0B92" w:rsidRPr="002E0B92">
        <w:rPr>
          <w:rFonts w:ascii="Sylfaen" w:hAnsi="Sylfaen"/>
          <w:sz w:val="24"/>
          <w:szCs w:val="24"/>
        </w:rPr>
        <w:t xml:space="preserve"> </w:t>
      </w:r>
      <w:r w:rsidRPr="00834D52">
        <w:rPr>
          <w:rFonts w:ascii="Sylfaen" w:hAnsi="Sylfaen"/>
          <w:sz w:val="24"/>
          <w:szCs w:val="24"/>
        </w:rPr>
        <w:t xml:space="preserve">___________________ </w:t>
      </w:r>
      <w:r w:rsidR="003426FC">
        <w:rPr>
          <w:rFonts w:ascii="Sylfaen" w:hAnsi="Sylfaen"/>
          <w:sz w:val="24"/>
          <w:szCs w:val="24"/>
        </w:rPr>
        <w:t xml:space="preserve">ռեֆերենտ </w:t>
      </w:r>
      <w:r w:rsidRPr="00834D52">
        <w:rPr>
          <w:rFonts w:ascii="Sylfaen" w:hAnsi="Sylfaen"/>
          <w:sz w:val="24"/>
          <w:szCs w:val="24"/>
        </w:rPr>
        <w:br/>
        <w:t xml:space="preserve">                                        </w:t>
      </w:r>
      <w:r w:rsidR="0056482B">
        <w:rPr>
          <w:rFonts w:ascii="Sylfaen" w:hAnsi="Sylfaen"/>
          <w:sz w:val="24"/>
          <w:szCs w:val="24"/>
        </w:rPr>
        <w:t xml:space="preserve">                       </w:t>
      </w:r>
      <w:r w:rsidRPr="00834D52">
        <w:rPr>
          <w:rFonts w:ascii="Sylfaen" w:hAnsi="Sylfaen"/>
          <w:sz w:val="24"/>
          <w:szCs w:val="24"/>
        </w:rPr>
        <w:t xml:space="preserve">            </w:t>
      </w:r>
      <w:r w:rsidRPr="00834D52">
        <w:rPr>
          <w:rFonts w:ascii="Sylfaen" w:hAnsi="Sylfaen"/>
          <w:sz w:val="20"/>
          <w:szCs w:val="24"/>
        </w:rPr>
        <w:t>(պետության անվանումը)</w:t>
      </w:r>
      <w:r w:rsidRPr="00834D52">
        <w:rPr>
          <w:rFonts w:ascii="Sylfaen" w:hAnsi="Sylfaen"/>
          <w:sz w:val="24"/>
          <w:szCs w:val="24"/>
        </w:rPr>
        <w:t xml:space="preserve"> </w:t>
      </w:r>
    </w:p>
    <w:p w14:paraId="191E9A5A" w14:textId="77777777" w:rsidR="006F76EB" w:rsidRPr="00834D52" w:rsidRDefault="006F76EB" w:rsidP="006F76EB">
      <w:pPr>
        <w:spacing w:after="160" w:line="360" w:lineRule="auto"/>
        <w:ind w:right="-6"/>
        <w:jc w:val="both"/>
        <w:rPr>
          <w:rFonts w:ascii="Sylfaen" w:hAnsi="Sylfaen"/>
          <w:sz w:val="24"/>
          <w:szCs w:val="24"/>
        </w:rPr>
      </w:pP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որում համապատասխան փոփոխություններ են կատարվում՝</w:t>
      </w:r>
    </w:p>
    <w:p w14:paraId="461424F1" w14:textId="77777777" w:rsidR="006F76EB" w:rsidRPr="00834D52" w:rsidRDefault="006F76EB" w:rsidP="006F76EB">
      <w:pPr>
        <w:spacing w:after="160" w:line="360" w:lineRule="auto"/>
        <w:ind w:right="-6"/>
        <w:jc w:val="both"/>
        <w:rPr>
          <w:rFonts w:ascii="Sylfaen" w:hAnsi="Sylfaen"/>
          <w:sz w:val="24"/>
          <w:szCs w:val="24"/>
        </w:rPr>
      </w:pPr>
    </w:p>
    <w:tbl>
      <w:tblPr>
        <w:tblStyle w:val="TableGrid"/>
        <w:tblW w:w="0" w:type="auto"/>
        <w:jc w:val="center"/>
        <w:tblLook w:val="04A0" w:firstRow="1" w:lastRow="0" w:firstColumn="1" w:lastColumn="0" w:noHBand="0" w:noVBand="1"/>
      </w:tblPr>
      <w:tblGrid>
        <w:gridCol w:w="4689"/>
        <w:gridCol w:w="4385"/>
      </w:tblGrid>
      <w:tr w:rsidR="006F76EB" w:rsidRPr="00834D52" w14:paraId="238FDDF7" w14:textId="77777777" w:rsidTr="00F71229">
        <w:trPr>
          <w:jc w:val="center"/>
        </w:trPr>
        <w:tc>
          <w:tcPr>
            <w:tcW w:w="4761" w:type="dxa"/>
          </w:tcPr>
          <w:p w14:paraId="0DDA1EE0"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անվանումը, դեղաչափը, դեղաձ</w:t>
            </w:r>
            <w:r w:rsidR="00C54D75">
              <w:rPr>
                <w:rFonts w:ascii="Sylfaen" w:hAnsi="Sylfaen"/>
                <w:sz w:val="24"/>
                <w:szCs w:val="24"/>
              </w:rPr>
              <w:t>և</w:t>
            </w:r>
            <w:r w:rsidRPr="00834D52">
              <w:rPr>
                <w:rFonts w:ascii="Sylfaen" w:hAnsi="Sylfaen"/>
                <w:sz w:val="24"/>
                <w:szCs w:val="24"/>
              </w:rPr>
              <w:t>ը</w:t>
            </w:r>
          </w:p>
        </w:tc>
        <w:tc>
          <w:tcPr>
            <w:tcW w:w="4525" w:type="dxa"/>
          </w:tcPr>
          <w:p w14:paraId="03DF2B61" w14:textId="77777777" w:rsidR="006F76EB" w:rsidRPr="00834D52" w:rsidRDefault="006F76EB" w:rsidP="00DE7C06">
            <w:pPr>
              <w:spacing w:after="120"/>
              <w:ind w:right="-6"/>
              <w:rPr>
                <w:rFonts w:ascii="Sylfaen" w:hAnsi="Sylfaen"/>
                <w:sz w:val="24"/>
                <w:szCs w:val="24"/>
              </w:rPr>
            </w:pPr>
          </w:p>
        </w:tc>
      </w:tr>
      <w:tr w:rsidR="006F76EB" w:rsidRPr="00834D52" w14:paraId="7A69E441" w14:textId="77777777" w:rsidTr="00F71229">
        <w:trPr>
          <w:jc w:val="center"/>
        </w:trPr>
        <w:tc>
          <w:tcPr>
            <w:tcW w:w="4761" w:type="dxa"/>
          </w:tcPr>
          <w:p w14:paraId="61430945"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w:t>
            </w:r>
          </w:p>
        </w:tc>
        <w:tc>
          <w:tcPr>
            <w:tcW w:w="4525" w:type="dxa"/>
          </w:tcPr>
          <w:p w14:paraId="63C79347" w14:textId="77777777" w:rsidR="006F76EB" w:rsidRPr="00834D52" w:rsidRDefault="006F76EB" w:rsidP="00DE7C06">
            <w:pPr>
              <w:spacing w:after="120"/>
              <w:ind w:right="-6"/>
              <w:rPr>
                <w:rFonts w:ascii="Sylfaen" w:hAnsi="Sylfaen"/>
                <w:sz w:val="24"/>
                <w:szCs w:val="24"/>
              </w:rPr>
            </w:pPr>
          </w:p>
        </w:tc>
      </w:tr>
      <w:tr w:rsidR="006F76EB" w:rsidRPr="00834D52" w14:paraId="6DE8919E" w14:textId="77777777" w:rsidTr="00F71229">
        <w:trPr>
          <w:jc w:val="center"/>
        </w:trPr>
        <w:tc>
          <w:tcPr>
            <w:tcW w:w="4761" w:type="dxa"/>
          </w:tcPr>
          <w:p w14:paraId="4B668D2B"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lastRenderedPageBreak/>
              <w:t>գրանցման հավաստագրի համարը</w:t>
            </w:r>
          </w:p>
        </w:tc>
        <w:tc>
          <w:tcPr>
            <w:tcW w:w="4525" w:type="dxa"/>
          </w:tcPr>
          <w:p w14:paraId="384298B1" w14:textId="77777777" w:rsidR="006F76EB" w:rsidRPr="00834D52" w:rsidRDefault="006F76EB" w:rsidP="00DE7C06">
            <w:pPr>
              <w:spacing w:after="120"/>
              <w:ind w:right="-6"/>
              <w:rPr>
                <w:rFonts w:ascii="Sylfaen" w:hAnsi="Sylfaen"/>
                <w:sz w:val="24"/>
                <w:szCs w:val="24"/>
              </w:rPr>
            </w:pPr>
          </w:p>
        </w:tc>
      </w:tr>
    </w:tbl>
    <w:p w14:paraId="0E275A01" w14:textId="77777777" w:rsidR="006F76EB" w:rsidRPr="00834D52" w:rsidRDefault="006F76EB" w:rsidP="006F76EB">
      <w:pPr>
        <w:spacing w:after="160" w:line="360" w:lineRule="auto"/>
        <w:ind w:right="-8"/>
        <w:rPr>
          <w:rFonts w:ascii="Sylfaen" w:hAnsi="Sylfaen"/>
          <w:sz w:val="24"/>
          <w:szCs w:val="24"/>
        </w:rPr>
      </w:pPr>
    </w:p>
    <w:p w14:paraId="16B498BB" w14:textId="2B25C687"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67616" behindDoc="0" locked="0" layoutInCell="1" allowOverlap="1" wp14:anchorId="4703747E" wp14:editId="2E87CF3B">
                <wp:simplePos x="0" y="0"/>
                <wp:positionH relativeFrom="column">
                  <wp:posOffset>733425</wp:posOffset>
                </wp:positionH>
                <wp:positionV relativeFrom="paragraph">
                  <wp:posOffset>19050</wp:posOffset>
                </wp:positionV>
                <wp:extent cx="161925" cy="152400"/>
                <wp:effectExtent l="5080" t="5080" r="13970" b="13970"/>
                <wp:wrapNone/>
                <wp:docPr id="25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D8F34" id="Rectangle 51" o:spid="_x0000_s1026" style="position:absolute;margin-left:57.75pt;margin-top:1.5pt;width:12.75pt;height:1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"/>
            </w:pict>
          </mc:Fallback>
        </mc:AlternateContent>
      </w:r>
      <w:r w:rsidR="006F76EB" w:rsidRPr="00834D52">
        <w:rPr>
          <w:rFonts w:ascii="Sylfaen" w:hAnsi="Sylfaen" w:cs="Sylfaen"/>
          <w:sz w:val="24"/>
          <w:szCs w:val="24"/>
        </w:rPr>
        <w:t>ՀԱԶՎԱԴԵՊ</w:t>
      </w:r>
      <w:r w:rsidR="006F76EB" w:rsidRPr="00834D52">
        <w:rPr>
          <w:rFonts w:ascii="Sylfaen" w:hAnsi="Sylfaen"/>
          <w:sz w:val="24"/>
          <w:szCs w:val="24"/>
        </w:rPr>
        <w:t xml:space="preserve"> </w:t>
      </w:r>
      <w:r w:rsidR="006F76EB" w:rsidRPr="00834D52">
        <w:rPr>
          <w:rFonts w:ascii="Sylfaen" w:hAnsi="Sylfaen" w:cs="Sylfaen"/>
          <w:sz w:val="24"/>
          <w:szCs w:val="24"/>
        </w:rPr>
        <w:t>ԿԻՐԱՌՎՈՂ</w:t>
      </w:r>
      <w:r w:rsidR="006F76EB" w:rsidRPr="00834D52">
        <w:rPr>
          <w:rFonts w:ascii="Sylfaen" w:hAnsi="Sylfaen"/>
          <w:sz w:val="24"/>
          <w:szCs w:val="24"/>
        </w:rPr>
        <w:t xml:space="preserve"> («</w:t>
      </w:r>
      <w:r w:rsidR="006F76EB" w:rsidRPr="00834D52">
        <w:rPr>
          <w:rFonts w:ascii="Sylfaen" w:hAnsi="Sylfaen" w:cs="Sylfaen"/>
          <w:sz w:val="24"/>
          <w:szCs w:val="24"/>
        </w:rPr>
        <w:t>ՈՐԲ</w:t>
      </w:r>
      <w:r w:rsidR="006F76EB" w:rsidRPr="00834D52">
        <w:rPr>
          <w:rFonts w:ascii="Sylfaen" w:hAnsi="Sylfaen"/>
          <w:sz w:val="24"/>
          <w:szCs w:val="24"/>
        </w:rPr>
        <w:t>»)ԴԵՂԱՊԱՏՐԱՍՏՈՒԿ</w:t>
      </w:r>
    </w:p>
    <w:p w14:paraId="2953F289" w14:textId="77777777" w:rsidR="006F76EB" w:rsidRPr="00834D52" w:rsidRDefault="006F76EB" w:rsidP="00100CD9">
      <w:pPr>
        <w:spacing w:after="160" w:line="384" w:lineRule="auto"/>
        <w:ind w:right="-6" w:firstLine="567"/>
        <w:jc w:val="both"/>
        <w:rPr>
          <w:rFonts w:ascii="Sylfaen" w:hAnsi="Sylfaen"/>
          <w:sz w:val="24"/>
          <w:szCs w:val="24"/>
        </w:rPr>
      </w:pPr>
      <w:r w:rsidRPr="00834D52">
        <w:rPr>
          <w:rFonts w:ascii="Sylfaen" w:hAnsi="Sylfaen"/>
          <w:sz w:val="24"/>
          <w:szCs w:val="24"/>
        </w:rPr>
        <w:t>Արդյո՞ք դեղապատրաստուկին տրվել է հազվադեպ կիրառվող («որբ») դեղապատրաստուկի կարգավիճակ Եվրասիական տնտեսական միության անդամ պետություններում կամ դրա սահմաններից դուրս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4176"/>
        <w:gridCol w:w="2867"/>
      </w:tblGrid>
      <w:tr w:rsidR="006F76EB" w:rsidRPr="00834D52" w14:paraId="410A42F5" w14:textId="77777777" w:rsidTr="00F71229">
        <w:trPr>
          <w:jc w:val="center"/>
        </w:trPr>
        <w:tc>
          <w:tcPr>
            <w:tcW w:w="2093" w:type="dxa"/>
          </w:tcPr>
          <w:p w14:paraId="148C38E1" w14:textId="32B3426A" w:rsidR="006F76EB" w:rsidRPr="00834D52" w:rsidRDefault="0037154C"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68640" behindDoc="0" locked="0" layoutInCell="1" allowOverlap="1" wp14:anchorId="6A98E1DC" wp14:editId="087CB187">
                      <wp:simplePos x="0" y="0"/>
                      <wp:positionH relativeFrom="column">
                        <wp:posOffset>295275</wp:posOffset>
                      </wp:positionH>
                      <wp:positionV relativeFrom="paragraph">
                        <wp:posOffset>54610</wp:posOffset>
                      </wp:positionV>
                      <wp:extent cx="161925" cy="152400"/>
                      <wp:effectExtent l="9525" t="12700" r="9525" b="6350"/>
                      <wp:wrapNone/>
                      <wp:docPr id="2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6C150" id="Rectangle 54" o:spid="_x0000_s1026" style="position:absolute;margin-left:23.25pt;margin-top:4.3pt;width:12.75pt;height:1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"/>
                  </w:pict>
                </mc:Fallback>
              </mc:AlternateContent>
            </w:r>
            <w:r w:rsidR="006F76EB" w:rsidRPr="00834D52">
              <w:rPr>
                <w:rFonts w:ascii="Sylfaen" w:hAnsi="Sylfaen"/>
                <w:sz w:val="24"/>
                <w:szCs w:val="24"/>
              </w:rPr>
              <w:t>ոչ</w:t>
            </w:r>
          </w:p>
        </w:tc>
        <w:tc>
          <w:tcPr>
            <w:tcW w:w="4252" w:type="dxa"/>
          </w:tcPr>
          <w:p w14:paraId="626ED1AC" w14:textId="4083F57F" w:rsidR="006F76EB" w:rsidRPr="00834D52" w:rsidRDefault="0037154C" w:rsidP="00F71229">
            <w:pPr>
              <w:spacing w:after="160" w:line="360" w:lineRule="auto"/>
              <w:ind w:right="-8"/>
              <w:jc w:val="center"/>
              <w:rPr>
                <w:rFonts w:ascii="Sylfaen" w:eastAsia="Times New Roman" w:hAnsi="Sylfaen" w:cs="Times New Roman"/>
                <w:sz w:val="24"/>
                <w:szCs w:val="24"/>
                <w:lang w:val="en-US"/>
              </w:rPr>
            </w:pPr>
            <w:r>
              <w:rPr>
                <w:rFonts w:ascii="Sylfaen" w:hAnsi="Sylfaen"/>
                <w:noProof/>
                <w:sz w:val="24"/>
                <w:szCs w:val="24"/>
              </w:rPr>
              <mc:AlternateContent>
                <mc:Choice Requires="wps">
                  <w:drawing>
                    <wp:anchor distT="0" distB="0" distL="114300" distR="114300" simplePos="0" relativeHeight="251569664" behindDoc="0" locked="0" layoutInCell="1" allowOverlap="1" wp14:anchorId="061D97D5" wp14:editId="2E48F8F7">
                      <wp:simplePos x="0" y="0"/>
                      <wp:positionH relativeFrom="column">
                        <wp:posOffset>27940</wp:posOffset>
                      </wp:positionH>
                      <wp:positionV relativeFrom="paragraph">
                        <wp:posOffset>54610</wp:posOffset>
                      </wp:positionV>
                      <wp:extent cx="161925" cy="152400"/>
                      <wp:effectExtent l="13970" t="12700" r="5080" b="6350"/>
                      <wp:wrapNone/>
                      <wp:docPr id="2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D51CE" id="Rectangle 53" o:spid="_x0000_s1026" style="position:absolute;margin-left:2.2pt;margin-top:4.3pt;width:12.75pt;height:1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"/>
                  </w:pict>
                </mc:Fallback>
              </mc:AlternateContent>
            </w:r>
            <w:r w:rsidR="006F76EB" w:rsidRPr="00834D52">
              <w:rPr>
                <w:rFonts w:ascii="Sylfaen" w:hAnsi="Sylfaen"/>
                <w:sz w:val="24"/>
                <w:szCs w:val="24"/>
              </w:rPr>
              <w:t>քննարկման գործընթացում է</w:t>
            </w:r>
          </w:p>
        </w:tc>
        <w:tc>
          <w:tcPr>
            <w:tcW w:w="2941" w:type="dxa"/>
          </w:tcPr>
          <w:p w14:paraId="506EADB1" w14:textId="54DD4C31" w:rsidR="006F76EB" w:rsidRPr="00834D52" w:rsidRDefault="0037154C"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70688" behindDoc="0" locked="0" layoutInCell="1" allowOverlap="1" wp14:anchorId="385670DD" wp14:editId="516CC563">
                      <wp:simplePos x="0" y="0"/>
                      <wp:positionH relativeFrom="column">
                        <wp:posOffset>491490</wp:posOffset>
                      </wp:positionH>
                      <wp:positionV relativeFrom="paragraph">
                        <wp:posOffset>54610</wp:posOffset>
                      </wp:positionV>
                      <wp:extent cx="161925" cy="152400"/>
                      <wp:effectExtent l="5715" t="12700" r="13335" b="6350"/>
                      <wp:wrapNone/>
                      <wp:docPr id="2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E2929" id="Rectangle 52" o:spid="_x0000_s1026" style="position:absolute;margin-left:38.7pt;margin-top:4.3pt;width:12.75pt;height:12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"/>
                  </w:pict>
                </mc:Fallback>
              </mc:AlternateContent>
            </w:r>
            <w:r w:rsidR="006F76EB" w:rsidRPr="00834D52">
              <w:rPr>
                <w:rFonts w:ascii="Sylfaen" w:hAnsi="Sylfaen"/>
                <w:sz w:val="24"/>
                <w:szCs w:val="24"/>
              </w:rPr>
              <w:t>այո</w:t>
            </w:r>
          </w:p>
        </w:tc>
      </w:tr>
    </w:tbl>
    <w:p w14:paraId="41B77ACF" w14:textId="77777777" w:rsidR="006F76EB" w:rsidRPr="00834D52" w:rsidRDefault="006F76EB" w:rsidP="00DC2F35">
      <w:pPr>
        <w:spacing w:after="160" w:line="480" w:lineRule="auto"/>
        <w:ind w:right="-6" w:firstLine="567"/>
        <w:jc w:val="center"/>
        <w:rPr>
          <w:rFonts w:ascii="Sylfaen" w:eastAsia="Times New Roman" w:hAnsi="Sylfaen" w:cs="Times New Roman"/>
          <w:sz w:val="24"/>
          <w:szCs w:val="24"/>
          <w:lang w:val="en-US"/>
        </w:rPr>
      </w:pPr>
    </w:p>
    <w:tbl>
      <w:tblPr>
        <w:tblW w:w="10185" w:type="dxa"/>
        <w:jc w:val="center"/>
        <w:tblLayout w:type="fixed"/>
        <w:tblCellMar>
          <w:left w:w="0" w:type="dxa"/>
          <w:right w:w="0" w:type="dxa"/>
        </w:tblCellMar>
        <w:tblLook w:val="01E0" w:firstRow="1" w:lastRow="1" w:firstColumn="1" w:lastColumn="1" w:noHBand="0" w:noVBand="0"/>
      </w:tblPr>
      <w:tblGrid>
        <w:gridCol w:w="5118"/>
        <w:gridCol w:w="5067"/>
      </w:tblGrid>
      <w:tr w:rsidR="006F76EB" w:rsidRPr="00834D52" w14:paraId="5178A66D" w14:textId="77777777" w:rsidTr="00100CD9">
        <w:trPr>
          <w:trHeight w:val="495"/>
          <w:jc w:val="center"/>
        </w:trPr>
        <w:tc>
          <w:tcPr>
            <w:tcW w:w="5118" w:type="dxa"/>
            <w:tcBorders>
              <w:top w:val="single" w:sz="4" w:space="0" w:color="000000"/>
              <w:left w:val="single" w:sz="4" w:space="0" w:color="000000"/>
              <w:bottom w:val="single" w:sz="4" w:space="0" w:color="000000"/>
              <w:right w:val="single" w:sz="4" w:space="0" w:color="000000"/>
            </w:tcBorders>
          </w:tcPr>
          <w:p w14:paraId="36EF2DD1"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067" w:type="dxa"/>
            <w:tcBorders>
              <w:top w:val="single" w:sz="4" w:space="0" w:color="000000"/>
              <w:left w:val="single" w:sz="4" w:space="0" w:color="000000"/>
              <w:bottom w:val="single" w:sz="4" w:space="0" w:color="000000"/>
              <w:right w:val="single" w:sz="4" w:space="0" w:color="000000"/>
            </w:tcBorders>
          </w:tcPr>
          <w:p w14:paraId="10BD83DE" w14:textId="77777777" w:rsidR="006F76EB" w:rsidRPr="00834D52" w:rsidRDefault="006F76EB" w:rsidP="00DE7C06">
            <w:pPr>
              <w:spacing w:after="120" w:line="240" w:lineRule="auto"/>
              <w:ind w:right="-6"/>
              <w:rPr>
                <w:rFonts w:ascii="Sylfaen" w:hAnsi="Sylfaen"/>
                <w:sz w:val="24"/>
                <w:szCs w:val="24"/>
              </w:rPr>
            </w:pPr>
          </w:p>
        </w:tc>
      </w:tr>
      <w:tr w:rsidR="006F76EB" w:rsidRPr="00834D52" w14:paraId="166E764A" w14:textId="77777777" w:rsidTr="00100CD9">
        <w:trPr>
          <w:trHeight w:val="1199"/>
          <w:jc w:val="center"/>
        </w:trPr>
        <w:tc>
          <w:tcPr>
            <w:tcW w:w="5118" w:type="dxa"/>
            <w:tcBorders>
              <w:top w:val="single" w:sz="4" w:space="0" w:color="000000"/>
              <w:left w:val="single" w:sz="4" w:space="0" w:color="000000"/>
              <w:bottom w:val="single" w:sz="4" w:space="0" w:color="000000"/>
              <w:right w:val="single" w:sz="4" w:space="0" w:color="000000"/>
            </w:tcBorders>
          </w:tcPr>
          <w:p w14:paraId="1C958814"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5067" w:type="dxa"/>
            <w:tcBorders>
              <w:top w:val="single" w:sz="4" w:space="0" w:color="000000"/>
              <w:left w:val="single" w:sz="4" w:space="0" w:color="000000"/>
              <w:bottom w:val="single" w:sz="4" w:space="0" w:color="000000"/>
              <w:right w:val="single" w:sz="4" w:space="0" w:color="000000"/>
            </w:tcBorders>
          </w:tcPr>
          <w:p w14:paraId="2F9230FF" w14:textId="77777777" w:rsidR="006F76EB" w:rsidRPr="00834D52" w:rsidRDefault="006F76EB" w:rsidP="00DE7C06">
            <w:pPr>
              <w:spacing w:after="120" w:line="240" w:lineRule="auto"/>
              <w:ind w:right="-6"/>
              <w:rPr>
                <w:rFonts w:ascii="Sylfaen" w:hAnsi="Sylfaen"/>
                <w:sz w:val="24"/>
                <w:szCs w:val="24"/>
              </w:rPr>
            </w:pPr>
          </w:p>
        </w:tc>
      </w:tr>
      <w:tr w:rsidR="006F76EB" w:rsidRPr="00834D52" w14:paraId="76B87267" w14:textId="77777777" w:rsidTr="00100CD9">
        <w:trPr>
          <w:trHeight w:val="2303"/>
          <w:jc w:val="center"/>
        </w:trPr>
        <w:tc>
          <w:tcPr>
            <w:tcW w:w="5118" w:type="dxa"/>
            <w:tcBorders>
              <w:top w:val="single" w:sz="4" w:space="0" w:color="000000"/>
              <w:left w:val="single" w:sz="4" w:space="0" w:color="000000"/>
              <w:bottom w:val="single" w:sz="4" w:space="0" w:color="000000"/>
              <w:right w:val="single" w:sz="4" w:space="0" w:color="000000"/>
            </w:tcBorders>
          </w:tcPr>
          <w:p w14:paraId="26BCAB95"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հազվադեպ կիրառվող («որբ») դեղապատրաստուկի կարգավիճակ են տվել</w:t>
            </w:r>
          </w:p>
        </w:tc>
        <w:tc>
          <w:tcPr>
            <w:tcW w:w="5067" w:type="dxa"/>
            <w:tcBorders>
              <w:top w:val="single" w:sz="4" w:space="0" w:color="000000"/>
              <w:left w:val="single" w:sz="4" w:space="0" w:color="000000"/>
              <w:bottom w:val="single" w:sz="4" w:space="0" w:color="000000"/>
              <w:right w:val="single" w:sz="4" w:space="0" w:color="000000"/>
            </w:tcBorders>
          </w:tcPr>
          <w:p w14:paraId="2F0F3D89" w14:textId="77777777" w:rsidR="006F76EB" w:rsidRPr="00834D52" w:rsidRDefault="006F76EB" w:rsidP="00DE7C06">
            <w:pPr>
              <w:spacing w:after="120" w:line="240" w:lineRule="auto"/>
              <w:ind w:right="-6"/>
              <w:rPr>
                <w:rFonts w:ascii="Sylfaen" w:hAnsi="Sylfaen"/>
                <w:sz w:val="24"/>
                <w:szCs w:val="24"/>
              </w:rPr>
            </w:pPr>
          </w:p>
        </w:tc>
      </w:tr>
    </w:tbl>
    <w:p w14:paraId="1D09DE1E" w14:textId="77777777" w:rsidR="006F76EB" w:rsidRPr="00834D52" w:rsidRDefault="006F76EB" w:rsidP="00100CD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կարգավիճակ տալը մերժվել է՝</w:t>
      </w:r>
    </w:p>
    <w:tbl>
      <w:tblPr>
        <w:tblW w:w="10100" w:type="dxa"/>
        <w:jc w:val="center"/>
        <w:tblLayout w:type="fixed"/>
        <w:tblCellMar>
          <w:left w:w="0" w:type="dxa"/>
          <w:right w:w="0" w:type="dxa"/>
        </w:tblCellMar>
        <w:tblLook w:val="01E0" w:firstRow="1" w:lastRow="1" w:firstColumn="1" w:lastColumn="1" w:noHBand="0" w:noVBand="0"/>
      </w:tblPr>
      <w:tblGrid>
        <w:gridCol w:w="4403"/>
        <w:gridCol w:w="5697"/>
      </w:tblGrid>
      <w:tr w:rsidR="006F76EB" w:rsidRPr="00834D52" w14:paraId="1F98E9C4"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1E9AF2C0"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697" w:type="dxa"/>
            <w:tcBorders>
              <w:top w:val="single" w:sz="4" w:space="0" w:color="000000"/>
              <w:left w:val="single" w:sz="4" w:space="0" w:color="000000"/>
              <w:bottom w:val="single" w:sz="4" w:space="0" w:color="000000"/>
              <w:right w:val="single" w:sz="4" w:space="0" w:color="000000"/>
            </w:tcBorders>
          </w:tcPr>
          <w:p w14:paraId="395F7F0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6778C4F2"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484CBCD9"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որոշման համարը</w:t>
            </w:r>
          </w:p>
        </w:tc>
        <w:tc>
          <w:tcPr>
            <w:tcW w:w="5697" w:type="dxa"/>
            <w:tcBorders>
              <w:top w:val="single" w:sz="4" w:space="0" w:color="000000"/>
              <w:left w:val="single" w:sz="4" w:space="0" w:color="000000"/>
              <w:bottom w:val="single" w:sz="4" w:space="0" w:color="000000"/>
              <w:right w:val="single" w:sz="4" w:space="0" w:color="000000"/>
            </w:tcBorders>
          </w:tcPr>
          <w:p w14:paraId="42F5B6F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6AF75236" w14:textId="77777777" w:rsidTr="00100CD9">
        <w:trPr>
          <w:trHeight w:val="516"/>
          <w:jc w:val="center"/>
        </w:trPr>
        <w:tc>
          <w:tcPr>
            <w:tcW w:w="10100" w:type="dxa"/>
            <w:gridSpan w:val="2"/>
            <w:tcBorders>
              <w:top w:val="single" w:sz="4" w:space="0" w:color="000000"/>
              <w:left w:val="single" w:sz="4" w:space="0" w:color="000000"/>
              <w:bottom w:val="single" w:sz="4" w:space="0" w:color="000000"/>
              <w:right w:val="single" w:sz="4" w:space="0" w:color="000000"/>
            </w:tcBorders>
          </w:tcPr>
          <w:p w14:paraId="1F285FFE" w14:textId="03796E04"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կարգավիճակ տալու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65266C3E"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2D19D1A3"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697" w:type="dxa"/>
            <w:tcBorders>
              <w:top w:val="single" w:sz="4" w:space="0" w:color="000000"/>
              <w:left w:val="single" w:sz="4" w:space="0" w:color="000000"/>
              <w:bottom w:val="single" w:sz="4" w:space="0" w:color="000000"/>
              <w:right w:val="single" w:sz="4" w:space="0" w:color="000000"/>
            </w:tcBorders>
          </w:tcPr>
          <w:p w14:paraId="528C22F8" w14:textId="77777777" w:rsidR="006F76EB" w:rsidRPr="00834D52" w:rsidRDefault="006F76EB" w:rsidP="00DE7C06">
            <w:pPr>
              <w:spacing w:after="120" w:line="240" w:lineRule="auto"/>
              <w:ind w:right="-6"/>
              <w:rPr>
                <w:rFonts w:ascii="Sylfaen" w:hAnsi="Sylfaen"/>
                <w:sz w:val="24"/>
                <w:szCs w:val="24"/>
              </w:rPr>
            </w:pPr>
          </w:p>
        </w:tc>
      </w:tr>
    </w:tbl>
    <w:p w14:paraId="0E1372CC" w14:textId="37E2E096" w:rsidR="006F76EB" w:rsidRDefault="006F76EB" w:rsidP="00100CD9">
      <w:pPr>
        <w:spacing w:after="160" w:line="384" w:lineRule="auto"/>
        <w:ind w:right="-6" w:firstLine="567"/>
        <w:jc w:val="both"/>
        <w:rPr>
          <w:rFonts w:ascii="Sylfaen" w:hAnsi="Sylfaen"/>
          <w:sz w:val="24"/>
          <w:szCs w:val="24"/>
        </w:rPr>
      </w:pPr>
      <w:r w:rsidRPr="00834D52">
        <w:rPr>
          <w:rFonts w:ascii="Sylfaen" w:hAnsi="Sylfaen"/>
          <w:sz w:val="24"/>
          <w:szCs w:val="24"/>
        </w:rPr>
        <w:t xml:space="preserve">Դեղապատրաստուկին հազվադեպ կիրառվող («որբ») պատրաստուկի կարգավիճակ տալը հաստատող 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 4.2 ենթակետ):</w:t>
      </w:r>
    </w:p>
    <w:p w14:paraId="15CEA74C" w14:textId="77777777" w:rsidR="000A5E1D" w:rsidRPr="0091782A" w:rsidRDefault="000A5E1D" w:rsidP="00100CD9">
      <w:pPr>
        <w:spacing w:after="160" w:line="384" w:lineRule="auto"/>
        <w:ind w:right="-6" w:firstLine="567"/>
        <w:jc w:val="both"/>
        <w:rPr>
          <w:rFonts w:ascii="Sylfaen" w:eastAsia="Times New Roman" w:hAnsi="Sylfaen" w:cs="Times New Roman"/>
          <w:sz w:val="24"/>
          <w:szCs w:val="24"/>
        </w:rPr>
      </w:pPr>
    </w:p>
    <w:p w14:paraId="3073F676" w14:textId="77777777" w:rsidR="000A5E1D" w:rsidRPr="0091782A" w:rsidRDefault="00100CD9" w:rsidP="000A5E1D">
      <w:pPr>
        <w:pStyle w:val="NormalWeb"/>
        <w:spacing w:before="0" w:beforeAutospacing="0" w:after="0" w:afterAutospacing="0"/>
        <w:jc w:val="center"/>
        <w:rPr>
          <w:rFonts w:ascii="Arial Unicode" w:hAnsi="Arial Unicode"/>
          <w:sz w:val="21"/>
          <w:szCs w:val="21"/>
          <w:lang w:val="hy-AM"/>
        </w:rPr>
      </w:pPr>
      <w:r w:rsidRPr="0091782A">
        <w:rPr>
          <w:rFonts w:ascii="Sylfaen" w:hAnsi="Sylfaen"/>
          <w:lang w:val="hy-AM"/>
        </w:rPr>
        <w:br w:type="page"/>
      </w:r>
      <w:r w:rsidR="000A5E1D" w:rsidRPr="0091782A">
        <w:rPr>
          <w:rFonts w:ascii="Arial Unicode" w:hAnsi="Arial Unicode"/>
          <w:sz w:val="21"/>
          <w:szCs w:val="21"/>
          <w:lang w:val="hy-AM"/>
        </w:rPr>
        <w:lastRenderedPageBreak/>
        <w:t>ԲԺՇԿԱԿԱՆ ԿԻՐԱՌՄԱՆ ՀԱՄԱՐ ԴԵՂԱՄԻՋՈՑՆԵՐԻ ԳՐԱՆՑՄԱՆ ԵՎ ՓՈՐՁԱՔՆՆՈՒԹՅԱՆ ԿԱՆՈՆՆԵՐԻ VII ԲԱԺՆԻՆ ՀԱՄԱՊԱՏԱՍԽԱՆ՝ ԳՐԱՆՑՄԱՆԸ ՆԵՐԿԱՅԱՑՎՈՂ ԴԵՂԱՊԱՏՐԱՍՏՈՒԿ</w:t>
      </w:r>
    </w:p>
    <w:p w14:paraId="6BC2DB17" w14:textId="77777777" w:rsidR="000A5E1D" w:rsidRPr="0091782A" w:rsidRDefault="000A5E1D" w:rsidP="000A5E1D">
      <w:pPr>
        <w:widowControl/>
        <w:spacing w:after="0" w:line="240" w:lineRule="auto"/>
        <w:ind w:firstLine="375"/>
        <w:rPr>
          <w:rFonts w:ascii="Arial Unicode" w:eastAsia="Times New Roman" w:hAnsi="Arial Unicode" w:cs="Times New Roman"/>
          <w:sz w:val="21"/>
          <w:szCs w:val="21"/>
          <w:lang w:eastAsia="en-US" w:bidi="ar-SA"/>
        </w:rPr>
      </w:pPr>
      <w:r w:rsidRPr="0091782A">
        <w:rPr>
          <w:rFonts w:ascii="Calibri" w:eastAsia="Times New Roman" w:hAnsi="Calibri" w:cs="Calibri"/>
          <w:sz w:val="21"/>
          <w:szCs w:val="21"/>
          <w:lang w:eastAsia="en-US" w:bidi="ar-SA"/>
        </w:rPr>
        <w:t> </w:t>
      </w:r>
    </w:p>
    <w:p w14:paraId="2D5BF379" w14:textId="77777777" w:rsidR="000A5E1D" w:rsidRPr="0091782A" w:rsidRDefault="000A5E1D" w:rsidP="000A5E1D">
      <w:pPr>
        <w:widowControl/>
        <w:spacing w:after="0" w:line="240" w:lineRule="auto"/>
        <w:ind w:firstLine="375"/>
        <w:rPr>
          <w:rFonts w:ascii="Arial Unicode" w:eastAsia="Times New Roman" w:hAnsi="Arial Unicode" w:cs="Times New Roman"/>
          <w:sz w:val="21"/>
          <w:szCs w:val="21"/>
          <w:lang w:eastAsia="en-US" w:bidi="ar-SA"/>
        </w:rPr>
      </w:pPr>
      <w:r w:rsidRPr="0091782A">
        <w:rPr>
          <w:rFonts w:ascii="Arial Unicode" w:eastAsia="Times New Roman" w:hAnsi="Arial Unicode" w:cs="Times New Roman"/>
          <w:sz w:val="21"/>
          <w:szCs w:val="21"/>
          <w:lang w:eastAsia="en-US" w:bidi="ar-SA"/>
        </w:rPr>
        <w:t>Եթե դեղապատրաստուկը տրվում է գրանցման Եվրասիական տնտեսական հանձնաժողովի խորհրդի 2016 թվականի նոյեմբերի 3-ի թիվ 78 որոշմամբ հաստատված՝ Բժշկական կիրառման համար դեղամիջոցների գրանցման և փորձաքննության կանոնների (այսուհետ՝ Կանոններ) VII բաժնին համապատասխան, ապա անհրաժեշտ է նշել այն ընթացակարգի տեսակը, որին համապատասխան այն տրվում է գրանցման:</w:t>
      </w:r>
    </w:p>
    <w:p w14:paraId="3B983503" w14:textId="77777777" w:rsidR="000A5E1D" w:rsidRPr="0091782A" w:rsidRDefault="000A5E1D" w:rsidP="000A5E1D">
      <w:pPr>
        <w:widowControl/>
        <w:spacing w:after="0" w:line="240" w:lineRule="auto"/>
        <w:ind w:firstLine="375"/>
        <w:rPr>
          <w:rFonts w:ascii="Arial Unicode" w:eastAsia="Times New Roman" w:hAnsi="Arial Unicode" w:cs="Times New Roman"/>
          <w:sz w:val="21"/>
          <w:szCs w:val="21"/>
          <w:lang w:eastAsia="en-US" w:bidi="ar-SA"/>
        </w:rPr>
      </w:pPr>
      <w:r w:rsidRPr="0091782A">
        <w:rPr>
          <w:rFonts w:ascii="Calibri" w:eastAsia="Times New Roman" w:hAnsi="Calibri" w:cs="Calibri"/>
          <w:sz w:val="21"/>
          <w:szCs w:val="21"/>
          <w:lang w:eastAsia="en-US" w:bidi="ar-SA"/>
        </w:rPr>
        <w:t> </w:t>
      </w:r>
    </w:p>
    <w:tbl>
      <w:tblPr>
        <w:tblW w:w="9750" w:type="dxa"/>
        <w:jc w:val="center"/>
        <w:tblCellSpacing w:w="0" w:type="dxa"/>
        <w:tblCellMar>
          <w:left w:w="0" w:type="dxa"/>
          <w:right w:w="0" w:type="dxa"/>
        </w:tblCellMar>
        <w:tblLook w:val="04A0" w:firstRow="1" w:lastRow="0" w:firstColumn="1" w:lastColumn="0" w:noHBand="0" w:noVBand="1"/>
      </w:tblPr>
      <w:tblGrid>
        <w:gridCol w:w="127"/>
        <w:gridCol w:w="2293"/>
        <w:gridCol w:w="127"/>
        <w:gridCol w:w="2246"/>
        <w:gridCol w:w="127"/>
        <w:gridCol w:w="2294"/>
        <w:gridCol w:w="333"/>
        <w:gridCol w:w="2203"/>
      </w:tblGrid>
      <w:tr w:rsidR="000A5E1D" w:rsidRPr="000A5E1D" w14:paraId="32E1222D" w14:textId="77777777" w:rsidTr="000A5E1D">
        <w:trPr>
          <w:tblCellSpacing w:w="0" w:type="dxa"/>
          <w:jc w:val="center"/>
        </w:trPr>
        <w:tc>
          <w:tcPr>
            <w:tcW w:w="0" w:type="auto"/>
          </w:tcPr>
          <w:p w14:paraId="7AFDF8E1"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0" w:type="auto"/>
          </w:tcPr>
          <w:p w14:paraId="7C41C991"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0" w:type="auto"/>
          </w:tcPr>
          <w:p w14:paraId="02DECD5F"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0" w:type="auto"/>
          </w:tcPr>
          <w:p w14:paraId="38795535"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0" w:type="auto"/>
          </w:tcPr>
          <w:p w14:paraId="21C6A5BB"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0" w:type="auto"/>
          </w:tcPr>
          <w:p w14:paraId="5CD0A863"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333" w:type="dxa"/>
          </w:tcPr>
          <w:p w14:paraId="4BD8B34F" w14:textId="77777777" w:rsidR="000A5E1D" w:rsidRPr="0091782A" w:rsidRDefault="000A5E1D" w:rsidP="000A5E1D">
            <w:pPr>
              <w:widowControl/>
              <w:spacing w:before="100" w:beforeAutospacing="1" w:after="100" w:afterAutospacing="1" w:line="240" w:lineRule="auto"/>
              <w:jc w:val="both"/>
              <w:rPr>
                <w:rFonts w:ascii="Arial Unicode" w:eastAsia="Times New Roman" w:hAnsi="Arial Unicode" w:cs="Times New Roman"/>
                <w:sz w:val="21"/>
                <w:szCs w:val="21"/>
                <w:lang w:eastAsia="en-US" w:bidi="ar-SA"/>
              </w:rPr>
            </w:pPr>
          </w:p>
        </w:tc>
        <w:tc>
          <w:tcPr>
            <w:tcW w:w="2203" w:type="dxa"/>
          </w:tcPr>
          <w:p w14:paraId="5363B344"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r>
      <w:tr w:rsidR="000A5E1D" w:rsidRPr="000A5E1D" w14:paraId="4CE92646" w14:textId="77777777" w:rsidTr="000A5E1D">
        <w:trPr>
          <w:tblCellSpacing w:w="0" w:type="dxa"/>
          <w:jc w:val="center"/>
        </w:trPr>
        <w:tc>
          <w:tcPr>
            <w:tcW w:w="0" w:type="auto"/>
            <w:hideMark/>
          </w:tcPr>
          <w:p w14:paraId="59367593"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w:t>
            </w:r>
          </w:p>
        </w:tc>
        <w:tc>
          <w:tcPr>
            <w:tcW w:w="0" w:type="auto"/>
            <w:hideMark/>
          </w:tcPr>
          <w:p w14:paraId="19497F2B"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 xml:space="preserve">բացառիկ դեպքերում դեղապատրաստուկի գրանցում </w:t>
            </w:r>
          </w:p>
        </w:tc>
        <w:tc>
          <w:tcPr>
            <w:tcW w:w="0" w:type="auto"/>
            <w:hideMark/>
          </w:tcPr>
          <w:p w14:paraId="33A04447"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w:t>
            </w:r>
          </w:p>
        </w:tc>
        <w:tc>
          <w:tcPr>
            <w:tcW w:w="0" w:type="auto"/>
            <w:hideMark/>
          </w:tcPr>
          <w:p w14:paraId="26681F5A"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դեղապատրաստուկի պայմանական գրանցում</w:t>
            </w:r>
          </w:p>
        </w:tc>
        <w:tc>
          <w:tcPr>
            <w:tcW w:w="0" w:type="auto"/>
            <w:hideMark/>
          </w:tcPr>
          <w:p w14:paraId="03878515"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w:t>
            </w:r>
          </w:p>
        </w:tc>
        <w:tc>
          <w:tcPr>
            <w:tcW w:w="0" w:type="auto"/>
            <w:hideMark/>
          </w:tcPr>
          <w:p w14:paraId="010931C0"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դեղապատրաստուկի արագացված փորձաքննություն</w:t>
            </w:r>
          </w:p>
        </w:tc>
        <w:tc>
          <w:tcPr>
            <w:tcW w:w="333" w:type="dxa"/>
            <w:hideMark/>
          </w:tcPr>
          <w:p w14:paraId="58C6524A" w14:textId="77777777" w:rsidR="000A5E1D" w:rsidRPr="000A5E1D" w:rsidRDefault="000A5E1D" w:rsidP="000A5E1D">
            <w:pPr>
              <w:widowControl/>
              <w:spacing w:before="100" w:beforeAutospacing="1" w:after="100" w:afterAutospacing="1" w:line="240" w:lineRule="auto"/>
              <w:jc w:val="both"/>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w:t>
            </w:r>
          </w:p>
        </w:tc>
        <w:tc>
          <w:tcPr>
            <w:tcW w:w="2203" w:type="dxa"/>
            <w:hideMark/>
          </w:tcPr>
          <w:p w14:paraId="754E087C" w14:textId="505EBA16" w:rsid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լրացուցիչ պահանջների սահմանմամբ դեղապատրաստուկի գրանցում</w:t>
            </w:r>
          </w:p>
          <w:p w14:paraId="5D15C9E3"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p w14:paraId="4B4FBBEC" w14:textId="5B9EC73B"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w:t>
            </w:r>
          </w:p>
        </w:tc>
      </w:tr>
    </w:tbl>
    <w:p w14:paraId="01E8F676" w14:textId="2E3E6F96" w:rsidR="000A5E1D" w:rsidRPr="00371618" w:rsidRDefault="000A5E1D" w:rsidP="000A5E1D">
      <w:pPr>
        <w:rPr>
          <w:b/>
          <w:bCs/>
          <w:i/>
          <w:iCs/>
        </w:rPr>
      </w:pPr>
      <w:r w:rsidRPr="00371618">
        <w:rPr>
          <w:b/>
          <w:bCs/>
          <w:i/>
          <w:iCs/>
        </w:rPr>
        <w:t>(</w:t>
      </w:r>
      <w:r>
        <w:rPr>
          <w:b/>
          <w:bCs/>
          <w:i/>
          <w:iCs/>
        </w:rPr>
        <w:t>բաժինը լրաց. 17.03.22</w:t>
      </w:r>
      <w:r w:rsidRPr="00371618">
        <w:rPr>
          <w:b/>
          <w:bCs/>
          <w:i/>
          <w:iCs/>
        </w:rPr>
        <w:t xml:space="preserve"> թիվ 36)</w:t>
      </w:r>
    </w:p>
    <w:p w14:paraId="1B27C1A5" w14:textId="276E2798" w:rsidR="00100CD9" w:rsidRPr="000A5E1D" w:rsidRDefault="00100CD9">
      <w:pPr>
        <w:widowControl/>
        <w:rPr>
          <w:rFonts w:ascii="Sylfaen" w:hAnsi="Sylfaen"/>
          <w:sz w:val="24"/>
          <w:szCs w:val="24"/>
        </w:rPr>
      </w:pPr>
    </w:p>
    <w:p w14:paraId="5F3C9FFF" w14:textId="24F4A92E"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 xml:space="preserve">2. </w:t>
      </w:r>
      <w:r w:rsidR="0056496B">
        <w:rPr>
          <w:rFonts w:ascii="Sylfaen" w:hAnsi="Sylfaen"/>
          <w:sz w:val="24"/>
          <w:szCs w:val="24"/>
        </w:rPr>
        <w:t>Դիմում</w:t>
      </w:r>
      <w:r w:rsidRPr="00834D52">
        <w:rPr>
          <w:rFonts w:ascii="Sylfaen" w:hAnsi="Sylfaen"/>
          <w:sz w:val="24"/>
          <w:szCs w:val="24"/>
        </w:rPr>
        <w:t>ի հատուկ կետերը</w:t>
      </w:r>
    </w:p>
    <w:tbl>
      <w:tblPr>
        <w:tblW w:w="9356" w:type="dxa"/>
        <w:jc w:val="center"/>
        <w:tblLayout w:type="fixed"/>
        <w:tblCellMar>
          <w:left w:w="0" w:type="dxa"/>
          <w:right w:w="0" w:type="dxa"/>
        </w:tblCellMar>
        <w:tblLook w:val="01E0" w:firstRow="1" w:lastRow="1" w:firstColumn="1" w:lastColumn="1" w:noHBand="0" w:noVBand="0"/>
      </w:tblPr>
      <w:tblGrid>
        <w:gridCol w:w="4291"/>
        <w:gridCol w:w="5065"/>
      </w:tblGrid>
      <w:tr w:rsidR="006F76EB" w:rsidRPr="00834D52" w14:paraId="4E8AC216"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33D2D74C"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 xml:space="preserve">2.1. 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5065" w:type="dxa"/>
            <w:tcBorders>
              <w:top w:val="single" w:sz="4" w:space="0" w:color="000000"/>
              <w:left w:val="single" w:sz="4" w:space="0" w:color="000000"/>
              <w:bottom w:val="single" w:sz="4" w:space="0" w:color="000000"/>
              <w:right w:val="single" w:sz="4" w:space="0" w:color="000000"/>
            </w:tcBorders>
          </w:tcPr>
          <w:p w14:paraId="3A9A5A6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4E22A92E"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3C44A753"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2.1.1. Դեղապատրաստուկի անվանումը</w:t>
            </w:r>
          </w:p>
        </w:tc>
        <w:tc>
          <w:tcPr>
            <w:tcW w:w="5065" w:type="dxa"/>
            <w:tcBorders>
              <w:top w:val="single" w:sz="4" w:space="0" w:color="000000"/>
              <w:left w:val="single" w:sz="4" w:space="0" w:color="000000"/>
              <w:bottom w:val="single" w:sz="4" w:space="0" w:color="000000"/>
              <w:right w:val="single" w:sz="4" w:space="0" w:color="000000"/>
            </w:tcBorders>
          </w:tcPr>
          <w:p w14:paraId="30D3F31F" w14:textId="77777777" w:rsidR="006F76EB" w:rsidRPr="00834D52" w:rsidRDefault="006F76EB" w:rsidP="00DE7C06">
            <w:pPr>
              <w:spacing w:after="120" w:line="240" w:lineRule="auto"/>
              <w:ind w:right="-6"/>
              <w:rPr>
                <w:rFonts w:ascii="Sylfaen" w:hAnsi="Sylfaen"/>
                <w:sz w:val="24"/>
                <w:szCs w:val="24"/>
              </w:rPr>
            </w:pPr>
          </w:p>
        </w:tc>
      </w:tr>
      <w:tr w:rsidR="006F76EB" w:rsidRPr="00834D52" w14:paraId="0DFC7BD8"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22C1170A"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2.1.2. ԱԴԲ-ի անվանումը կամ բաղադրությունը</w:t>
            </w:r>
          </w:p>
        </w:tc>
        <w:tc>
          <w:tcPr>
            <w:tcW w:w="5065" w:type="dxa"/>
            <w:tcBorders>
              <w:top w:val="single" w:sz="4" w:space="0" w:color="000000"/>
              <w:left w:val="single" w:sz="4" w:space="0" w:color="000000"/>
              <w:bottom w:val="single" w:sz="4" w:space="0" w:color="000000"/>
              <w:right w:val="single" w:sz="4" w:space="0" w:color="000000"/>
            </w:tcBorders>
          </w:tcPr>
          <w:p w14:paraId="649D9F7D" w14:textId="77777777" w:rsidR="006F76EB" w:rsidRPr="00834D52" w:rsidRDefault="006F76EB" w:rsidP="00DE7C06">
            <w:pPr>
              <w:spacing w:after="120" w:line="240" w:lineRule="auto"/>
              <w:ind w:right="-6"/>
              <w:rPr>
                <w:rFonts w:ascii="Sylfaen" w:hAnsi="Sylfaen"/>
                <w:sz w:val="24"/>
                <w:szCs w:val="24"/>
              </w:rPr>
            </w:pPr>
          </w:p>
        </w:tc>
      </w:tr>
    </w:tbl>
    <w:p w14:paraId="2A27C37E" w14:textId="77777777" w:rsidR="006F76EB" w:rsidRPr="007F5A60"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Այս կարգով պետք է ներկայացվի միայն մեկ անվանում՝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անվանումն ըստ Եվրասիական տնտեսական միության դեղագրքի, անդամ պետությունների դեղագրքերի (կամ Եվրասիական տնտեսական միության անդամ պետությունների Դեղագրքերի ներդաշնակեցման հայեցակարգին համապատասխան հիմնական դեղագրքերի), համընդհանուր կամ խմբային անվանումը, գիտական (քիմիական) անվանումը:</w:t>
      </w:r>
    </w:p>
    <w:p w14:paraId="52839130" w14:textId="77777777" w:rsidR="007349DC" w:rsidRPr="007F5A60" w:rsidRDefault="007349DC" w:rsidP="007349DC">
      <w:pPr>
        <w:spacing w:after="160" w:line="360" w:lineRule="auto"/>
        <w:ind w:right="-8" w:firstLine="567"/>
        <w:rPr>
          <w:rFonts w:ascii="Sylfaen" w:hAnsi="Sylfaen"/>
          <w:sz w:val="24"/>
          <w:szCs w:val="24"/>
        </w:rPr>
      </w:pPr>
      <w:r w:rsidRPr="007F5A60">
        <w:rPr>
          <w:rFonts w:ascii="Sylfaen" w:hAnsi="Sylfaen"/>
          <w:sz w:val="24"/>
          <w:szCs w:val="24"/>
        </w:rPr>
        <w:t>______________________</w:t>
      </w:r>
    </w:p>
    <w:p w14:paraId="1C65C52B" w14:textId="77777777" w:rsidR="007349DC" w:rsidRPr="007F5A60" w:rsidRDefault="007349DC" w:rsidP="007349DC">
      <w:pPr>
        <w:spacing w:after="120" w:line="240" w:lineRule="auto"/>
        <w:ind w:right="-6" w:firstLine="567"/>
        <w:rPr>
          <w:rFonts w:ascii="Sylfaen" w:eastAsia="Times New Roman" w:hAnsi="Sylfaen" w:cs="Times New Roman"/>
          <w:sz w:val="24"/>
          <w:szCs w:val="24"/>
        </w:rPr>
      </w:pPr>
    </w:p>
    <w:p w14:paraId="0749B739" w14:textId="77777777"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footnoteReference w:customMarkFollows="1" w:id="1"/>
        <w:t>2.1.3.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w:t>
      </w:r>
    </w:p>
    <w:p w14:paraId="3206CCD1"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(օգտագործե՛ք ԱԲՔ գործող ծածկագիրը)</w:t>
      </w:r>
    </w:p>
    <w:tbl>
      <w:tblPr>
        <w:tblW w:w="9787" w:type="dxa"/>
        <w:jc w:val="center"/>
        <w:tblLayout w:type="fixed"/>
        <w:tblCellMar>
          <w:left w:w="0" w:type="dxa"/>
          <w:right w:w="0" w:type="dxa"/>
        </w:tblCellMar>
        <w:tblLook w:val="01E0" w:firstRow="1" w:lastRow="1" w:firstColumn="1" w:lastColumn="1" w:noHBand="0" w:noVBand="0"/>
      </w:tblPr>
      <w:tblGrid>
        <w:gridCol w:w="4128"/>
        <w:gridCol w:w="5659"/>
      </w:tblGrid>
      <w:tr w:rsidR="006F76EB" w:rsidRPr="00834D52" w14:paraId="46D2A6A5" w14:textId="77777777" w:rsidTr="00F71229">
        <w:trPr>
          <w:jc w:val="center"/>
        </w:trPr>
        <w:tc>
          <w:tcPr>
            <w:tcW w:w="4128" w:type="dxa"/>
            <w:tcBorders>
              <w:top w:val="single" w:sz="4" w:space="0" w:color="000000"/>
              <w:left w:val="single" w:sz="4" w:space="0" w:color="000000"/>
              <w:bottom w:val="single" w:sz="4" w:space="0" w:color="000000"/>
              <w:right w:val="single" w:sz="4" w:space="0" w:color="000000"/>
            </w:tcBorders>
          </w:tcPr>
          <w:p w14:paraId="49EC2FDD" w14:textId="77777777" w:rsidR="006F76EB" w:rsidRPr="00834D52" w:rsidRDefault="006F76EB" w:rsidP="003B663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ԱԲՔ ծածկագիրը</w:t>
            </w:r>
          </w:p>
        </w:tc>
        <w:tc>
          <w:tcPr>
            <w:tcW w:w="5659" w:type="dxa"/>
            <w:tcBorders>
              <w:top w:val="single" w:sz="4" w:space="0" w:color="000000"/>
              <w:left w:val="single" w:sz="4" w:space="0" w:color="000000"/>
              <w:bottom w:val="single" w:sz="4" w:space="0" w:color="000000"/>
              <w:right w:val="single" w:sz="4" w:space="0" w:color="000000"/>
            </w:tcBorders>
          </w:tcPr>
          <w:p w14:paraId="04F50522" w14:textId="77777777" w:rsidR="006F76EB" w:rsidRPr="00834D52" w:rsidRDefault="006F76EB" w:rsidP="003B6635">
            <w:pPr>
              <w:spacing w:after="120" w:line="240" w:lineRule="auto"/>
              <w:ind w:right="-6"/>
              <w:rPr>
                <w:rFonts w:ascii="Sylfaen" w:hAnsi="Sylfaen"/>
                <w:sz w:val="24"/>
                <w:szCs w:val="24"/>
              </w:rPr>
            </w:pPr>
          </w:p>
        </w:tc>
      </w:tr>
      <w:tr w:rsidR="006F76EB" w:rsidRPr="00834D52" w14:paraId="2598F64E" w14:textId="77777777" w:rsidTr="00F71229">
        <w:trPr>
          <w:jc w:val="center"/>
        </w:trPr>
        <w:tc>
          <w:tcPr>
            <w:tcW w:w="4128" w:type="dxa"/>
            <w:tcBorders>
              <w:top w:val="single" w:sz="4" w:space="0" w:color="000000"/>
              <w:left w:val="single" w:sz="4" w:space="0" w:color="000000"/>
              <w:bottom w:val="single" w:sz="4" w:space="0" w:color="000000"/>
              <w:right w:val="single" w:sz="4" w:space="0" w:color="000000"/>
            </w:tcBorders>
          </w:tcPr>
          <w:p w14:paraId="1A4FD1C0" w14:textId="77777777" w:rsidR="006F76EB" w:rsidRPr="00834D52" w:rsidRDefault="006F76EB" w:rsidP="003B663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խումբը</w:t>
            </w:r>
          </w:p>
        </w:tc>
        <w:tc>
          <w:tcPr>
            <w:tcW w:w="5659" w:type="dxa"/>
            <w:tcBorders>
              <w:top w:val="single" w:sz="4" w:space="0" w:color="000000"/>
              <w:left w:val="single" w:sz="4" w:space="0" w:color="000000"/>
              <w:bottom w:val="single" w:sz="4" w:space="0" w:color="000000"/>
              <w:right w:val="single" w:sz="4" w:space="0" w:color="000000"/>
            </w:tcBorders>
          </w:tcPr>
          <w:p w14:paraId="032E6302" w14:textId="77777777" w:rsidR="006F76EB" w:rsidRPr="00834D52" w:rsidRDefault="006F76EB" w:rsidP="003B6635">
            <w:pPr>
              <w:spacing w:after="120" w:line="240" w:lineRule="auto"/>
              <w:ind w:right="-6"/>
              <w:rPr>
                <w:rFonts w:ascii="Sylfaen" w:hAnsi="Sylfaen"/>
                <w:sz w:val="24"/>
                <w:szCs w:val="24"/>
              </w:rPr>
            </w:pPr>
          </w:p>
        </w:tc>
      </w:tr>
    </w:tbl>
    <w:p w14:paraId="782DD91D" w14:textId="1A7F73FC" w:rsidR="006F76EB" w:rsidRPr="00834D52" w:rsidRDefault="006F76EB" w:rsidP="007349DC">
      <w:pPr>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տրված չէ, ապա նշե՛ք, թե արդյոք ներկայացվել է ԱԲՔ ծածկագիր տալու </w:t>
      </w:r>
      <w:r w:rsidR="0056496B">
        <w:rPr>
          <w:rFonts w:ascii="Sylfaen" w:hAnsi="Sylfaen"/>
          <w:sz w:val="24"/>
          <w:szCs w:val="24"/>
        </w:rPr>
        <w:t>դիմում</w:t>
      </w:r>
    </w:p>
    <w:p w14:paraId="11EF2905" w14:textId="77777777" w:rsidR="006F76EB" w:rsidRPr="00834D52" w:rsidRDefault="006F76EB" w:rsidP="007349DC">
      <w:pPr>
        <w:tabs>
          <w:tab w:val="left" w:pos="1134"/>
        </w:tabs>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2.2.</w:t>
      </w:r>
      <w:r w:rsidRPr="00834D52">
        <w:rPr>
          <w:rFonts w:ascii="Sylfaen" w:hAnsi="Sylfaen"/>
          <w:sz w:val="24"/>
          <w:szCs w:val="24"/>
        </w:rPr>
        <w:tab/>
        <w:t>Դեղաչափը,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ուղին, առաջնային փաթեթվածքի տարողությունը, դոզավորման միավորների թիվը փաթեթվածքի մեջ</w:t>
      </w:r>
    </w:p>
    <w:p w14:paraId="1F05657B" w14:textId="77777777" w:rsidR="006F76EB" w:rsidRPr="00834D52" w:rsidRDefault="006F76EB" w:rsidP="007349DC">
      <w:pPr>
        <w:tabs>
          <w:tab w:val="left" w:pos="1701"/>
        </w:tabs>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2.2.1.</w:t>
      </w:r>
      <w:r w:rsidRPr="00834D52">
        <w:rPr>
          <w:rFonts w:ascii="Sylfaen" w:hAnsi="Sylfaen"/>
          <w:sz w:val="24"/>
          <w:szCs w:val="24"/>
        </w:rPr>
        <w:tab/>
        <w:t xml:space="preserve">Դեղաչափը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2D12F028" w14:textId="77777777" w:rsidR="006F76EB" w:rsidRPr="007F5A60" w:rsidRDefault="006F76EB" w:rsidP="007349DC">
      <w:pPr>
        <w:spacing w:after="160" w:line="312" w:lineRule="auto"/>
        <w:ind w:right="-6" w:firstLine="567"/>
        <w:jc w:val="both"/>
        <w:rPr>
          <w:rFonts w:ascii="Sylfaen" w:hAnsi="Sylfae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9712" w:type="dxa"/>
        <w:jc w:val="center"/>
        <w:tblLayout w:type="fixed"/>
        <w:tblCellMar>
          <w:left w:w="0" w:type="dxa"/>
          <w:right w:w="0" w:type="dxa"/>
        </w:tblCellMar>
        <w:tblLook w:val="01E0" w:firstRow="1" w:lastRow="1" w:firstColumn="1" w:lastColumn="1" w:noHBand="0" w:noVBand="0"/>
      </w:tblPr>
      <w:tblGrid>
        <w:gridCol w:w="5566"/>
        <w:gridCol w:w="4146"/>
      </w:tblGrid>
      <w:tr w:rsidR="006F76EB" w:rsidRPr="00834D52" w14:paraId="5FABA1DF"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4A940B84" w14:textId="77777777" w:rsidR="006F76EB" w:rsidRPr="00834D52" w:rsidRDefault="006F76EB" w:rsidP="004E3708">
            <w:pPr>
              <w:spacing w:after="120" w:line="240" w:lineRule="auto"/>
              <w:ind w:left="172" w:right="-6" w:firstLine="492"/>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146" w:type="dxa"/>
            <w:tcBorders>
              <w:top w:val="single" w:sz="4" w:space="0" w:color="000000"/>
              <w:left w:val="single" w:sz="4" w:space="0" w:color="000000"/>
              <w:bottom w:val="single" w:sz="4" w:space="0" w:color="000000"/>
              <w:right w:val="single" w:sz="4" w:space="0" w:color="000000"/>
            </w:tcBorders>
          </w:tcPr>
          <w:p w14:paraId="2C8AB0C1" w14:textId="77777777" w:rsidR="006F76EB" w:rsidRPr="00834D52" w:rsidRDefault="006F76EB" w:rsidP="004E3708">
            <w:pPr>
              <w:spacing w:after="120" w:line="240" w:lineRule="auto"/>
              <w:ind w:right="-6"/>
              <w:rPr>
                <w:rFonts w:ascii="Sylfaen" w:hAnsi="Sylfaen"/>
                <w:sz w:val="24"/>
                <w:szCs w:val="24"/>
              </w:rPr>
            </w:pPr>
          </w:p>
        </w:tc>
      </w:tr>
      <w:tr w:rsidR="006F76EB" w:rsidRPr="00834D52" w14:paraId="4EE67306"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566DC5F9" w14:textId="77777777" w:rsidR="006F76EB" w:rsidRPr="00834D52" w:rsidRDefault="006F76EB" w:rsidP="004E3708">
            <w:pPr>
              <w:spacing w:after="120" w:line="240" w:lineRule="auto"/>
              <w:ind w:left="172" w:right="-6" w:firstLine="492"/>
              <w:rPr>
                <w:rFonts w:ascii="Sylfaen" w:eastAsia="Times New Roman" w:hAnsi="Sylfaen" w:cs="Times New Roman"/>
                <w:sz w:val="24"/>
                <w:szCs w:val="24"/>
              </w:rPr>
            </w:pPr>
            <w:r w:rsidRPr="00834D52">
              <w:rPr>
                <w:rFonts w:ascii="Sylfaen" w:hAnsi="Sylfaen"/>
                <w:sz w:val="24"/>
                <w:szCs w:val="24"/>
              </w:rPr>
              <w:t>դեղաչափերը կամ խտությունները</w:t>
            </w:r>
          </w:p>
        </w:tc>
        <w:tc>
          <w:tcPr>
            <w:tcW w:w="4146" w:type="dxa"/>
            <w:tcBorders>
              <w:top w:val="single" w:sz="4" w:space="0" w:color="000000"/>
              <w:left w:val="single" w:sz="4" w:space="0" w:color="000000"/>
              <w:bottom w:val="single" w:sz="4" w:space="0" w:color="000000"/>
              <w:right w:val="single" w:sz="4" w:space="0" w:color="000000"/>
            </w:tcBorders>
          </w:tcPr>
          <w:p w14:paraId="4C50B2C1" w14:textId="77777777" w:rsidR="006F76EB" w:rsidRPr="00834D52" w:rsidRDefault="006F76EB" w:rsidP="004E3708">
            <w:pPr>
              <w:spacing w:after="120" w:line="240" w:lineRule="auto"/>
              <w:ind w:right="-6"/>
              <w:rPr>
                <w:rFonts w:ascii="Sylfaen" w:hAnsi="Sylfaen"/>
                <w:sz w:val="24"/>
                <w:szCs w:val="24"/>
              </w:rPr>
            </w:pPr>
          </w:p>
        </w:tc>
      </w:tr>
      <w:tr w:rsidR="006F76EB" w:rsidRPr="00834D52" w14:paraId="2578E3D5"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79D79002" w14:textId="77777777" w:rsidR="006F76EB" w:rsidRPr="00834D52" w:rsidRDefault="006F76EB" w:rsidP="004E3708">
            <w:pPr>
              <w:spacing w:after="120" w:line="240" w:lineRule="auto"/>
              <w:ind w:left="172" w:right="-6" w:firstLine="536"/>
              <w:rPr>
                <w:rFonts w:ascii="Sylfaen" w:eastAsia="Times New Roman" w:hAnsi="Sylfaen" w:cs="Times New Roman"/>
                <w:sz w:val="24"/>
                <w:szCs w:val="24"/>
              </w:rPr>
            </w:pPr>
            <w:r w:rsidRPr="00834D52">
              <w:rPr>
                <w:rFonts w:ascii="Sylfaen" w:hAnsi="Sylfaen"/>
                <w:sz w:val="24"/>
                <w:szCs w:val="24"/>
              </w:rPr>
              <w:t>2.2.2.</w:t>
            </w:r>
            <w:r w:rsidRPr="00834D52">
              <w:rPr>
                <w:rFonts w:ascii="Sylfaen" w:hAnsi="Sylfaen"/>
                <w:sz w:val="24"/>
                <w:szCs w:val="24"/>
              </w:rPr>
              <w:tab/>
            </w:r>
            <w:r w:rsidR="004E3708" w:rsidRPr="007F5A60">
              <w:rPr>
                <w:rFonts w:ascii="Sylfaen" w:hAnsi="Sylfaen"/>
                <w:sz w:val="24"/>
                <w:szCs w:val="24"/>
              </w:rPr>
              <w:tab/>
            </w:r>
            <w:r w:rsidRPr="00834D52">
              <w:rPr>
                <w:rFonts w:ascii="Sylfaen" w:hAnsi="Sylfaen"/>
                <w:sz w:val="24"/>
                <w:szCs w:val="24"/>
              </w:rPr>
              <w:t>Ներմուծման ուղին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4146" w:type="dxa"/>
            <w:tcBorders>
              <w:top w:val="single" w:sz="4" w:space="0" w:color="000000"/>
              <w:left w:val="single" w:sz="4" w:space="0" w:color="000000"/>
              <w:bottom w:val="single" w:sz="4" w:space="0" w:color="000000"/>
              <w:right w:val="single" w:sz="4" w:space="0" w:color="000000"/>
            </w:tcBorders>
          </w:tcPr>
          <w:p w14:paraId="5DBC8CF8" w14:textId="77777777" w:rsidR="006F76EB" w:rsidRPr="00834D52" w:rsidRDefault="006F76EB" w:rsidP="004E3708">
            <w:pPr>
              <w:spacing w:after="120" w:line="240" w:lineRule="auto"/>
              <w:ind w:right="-6"/>
              <w:rPr>
                <w:rFonts w:ascii="Sylfaen" w:hAnsi="Sylfaen"/>
                <w:sz w:val="24"/>
                <w:szCs w:val="24"/>
              </w:rPr>
            </w:pPr>
          </w:p>
        </w:tc>
      </w:tr>
      <w:tr w:rsidR="006F76EB" w:rsidRPr="00834D52" w14:paraId="71F99DCF"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29C91EC6" w14:textId="3DA198D0" w:rsidR="006F76EB" w:rsidRPr="00834D52" w:rsidRDefault="006F76EB" w:rsidP="004E3708">
            <w:pPr>
              <w:spacing w:after="120" w:line="240" w:lineRule="auto"/>
              <w:ind w:left="172" w:right="149" w:firstLine="536"/>
              <w:rPr>
                <w:rFonts w:ascii="Sylfaen" w:eastAsia="Times New Roman" w:hAnsi="Sylfaen" w:cs="Times New Roman"/>
                <w:sz w:val="24"/>
                <w:szCs w:val="24"/>
              </w:rPr>
            </w:pPr>
            <w:r w:rsidRPr="00834D52">
              <w:rPr>
                <w:rFonts w:ascii="Sylfaen" w:hAnsi="Sylfaen"/>
                <w:sz w:val="24"/>
                <w:szCs w:val="24"/>
              </w:rPr>
              <w:t>2.2.3.</w:t>
            </w:r>
            <w:r w:rsidR="004E3708" w:rsidRPr="007F5A60">
              <w:rPr>
                <w:rFonts w:ascii="Sylfaen" w:hAnsi="Sylfaen"/>
                <w:sz w:val="24"/>
                <w:szCs w:val="24"/>
              </w:rPr>
              <w:tab/>
            </w:r>
            <w:r w:rsidRPr="00834D52">
              <w:rPr>
                <w:rFonts w:ascii="Sylfaen" w:hAnsi="Sylfaen"/>
                <w:sz w:val="24"/>
                <w:szCs w:val="24"/>
              </w:rPr>
              <w:tab/>
              <w:t xml:space="preserve">Փաթեթվածքը՝ առաջնային </w:t>
            </w:r>
            <w:r w:rsidR="00C54D75">
              <w:rPr>
                <w:rFonts w:ascii="Sylfaen" w:hAnsi="Sylfaen"/>
                <w:sz w:val="24"/>
                <w:szCs w:val="24"/>
              </w:rPr>
              <w:t>և</w:t>
            </w:r>
            <w:r w:rsidRPr="00834D52">
              <w:rPr>
                <w:rFonts w:ascii="Sylfaen" w:hAnsi="Sylfaen"/>
                <w:sz w:val="24"/>
                <w:szCs w:val="24"/>
              </w:rPr>
              <w:t xml:space="preserve"> երկրորդային փաթեթվածքը, միջանկյալ փաթեթվածքը (առկայության դեպքում), խցանափակման համակարգը </w:t>
            </w:r>
            <w:r w:rsidR="00C54D75">
              <w:rPr>
                <w:rFonts w:ascii="Sylfaen" w:hAnsi="Sylfaen"/>
                <w:sz w:val="24"/>
                <w:szCs w:val="24"/>
              </w:rPr>
              <w:t>և</w:t>
            </w:r>
            <w:r w:rsidRPr="00834D52">
              <w:rPr>
                <w:rFonts w:ascii="Sylfaen" w:hAnsi="Sylfaen"/>
                <w:sz w:val="24"/>
                <w:szCs w:val="24"/>
              </w:rPr>
              <w:t xml:space="preserve"> ներմուծման սարքվածքները՝ ներառյալ այն նյութի նկարագրությունը, որից դրանք պատրաստված են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r w:rsidR="00887B3C">
              <w:t xml:space="preserve"> </w:t>
            </w:r>
            <w:r w:rsidR="00887B3C" w:rsidRPr="00887B3C">
              <w:rPr>
                <w:rFonts w:ascii="Sylfaen" w:hAnsi="Sylfaen"/>
                <w:sz w:val="24"/>
                <w:szCs w:val="24"/>
              </w:rPr>
              <w:t>չբաժնեծրարված արտադրանքի փաթեթվածք (առկայության դեպքում)</w:t>
            </w:r>
          </w:p>
        </w:tc>
        <w:tc>
          <w:tcPr>
            <w:tcW w:w="4146" w:type="dxa"/>
            <w:tcBorders>
              <w:top w:val="single" w:sz="4" w:space="0" w:color="000000"/>
              <w:left w:val="single" w:sz="4" w:space="0" w:color="000000"/>
              <w:bottom w:val="single" w:sz="4" w:space="0" w:color="000000"/>
              <w:right w:val="single" w:sz="4" w:space="0" w:color="000000"/>
            </w:tcBorders>
          </w:tcPr>
          <w:p w14:paraId="23AE54D8" w14:textId="77777777" w:rsidR="006F76EB" w:rsidRPr="00834D52" w:rsidRDefault="006F76EB" w:rsidP="004E3708">
            <w:pPr>
              <w:spacing w:after="120" w:line="240" w:lineRule="auto"/>
              <w:ind w:right="-6"/>
              <w:rPr>
                <w:rFonts w:ascii="Sylfaen" w:hAnsi="Sylfaen"/>
                <w:sz w:val="24"/>
                <w:szCs w:val="24"/>
              </w:rPr>
            </w:pPr>
          </w:p>
        </w:tc>
      </w:tr>
    </w:tbl>
    <w:p w14:paraId="10280903"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6AEE6079"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2.2.3.1.</w:t>
      </w:r>
      <w:r w:rsidRPr="00834D52">
        <w:rPr>
          <w:rFonts w:ascii="Sylfaen" w:hAnsi="Sylfaen"/>
          <w:sz w:val="24"/>
          <w:szCs w:val="24"/>
        </w:rPr>
        <w:tab/>
        <w:t>Դոզավորման միավորների թիվը փաթեթվածքի մեջ:</w:t>
      </w:r>
    </w:p>
    <w:p w14:paraId="55F7FE7D"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2.2.3.2.</w:t>
      </w:r>
      <w:r w:rsidRPr="00834D52">
        <w:rPr>
          <w:rFonts w:ascii="Sylfaen" w:hAnsi="Sylfaen"/>
          <w:sz w:val="24"/>
          <w:szCs w:val="24"/>
        </w:rPr>
        <w:tab/>
        <w:t>Պահպանման առաջարկվող ժամկետը:</w:t>
      </w:r>
    </w:p>
    <w:p w14:paraId="25EAD70E"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2.2.3.3.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3D48FF2A"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2.2.3.4.</w:t>
      </w:r>
      <w:r w:rsidRPr="00834D52">
        <w:rPr>
          <w:rFonts w:ascii="Sylfaen" w:hAnsi="Sylfaen"/>
          <w:sz w:val="24"/>
          <w:szCs w:val="24"/>
        </w:rPr>
        <w:tab/>
        <w:t>Պահպանման առաջարկվող ժամկետը (վերականգնումից (լուծումից) կամ նոսրացումից հետո):</w:t>
      </w:r>
    </w:p>
    <w:p w14:paraId="3471C83F"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2.2.3.5.</w:t>
      </w:r>
      <w:r w:rsidRPr="00834D52">
        <w:rPr>
          <w:rFonts w:ascii="Sylfaen" w:hAnsi="Sylfaen"/>
          <w:sz w:val="24"/>
          <w:szCs w:val="24"/>
        </w:rPr>
        <w:tab/>
        <w:t>Պահպանման առաջարկվող պայմանները:</w:t>
      </w:r>
    </w:p>
    <w:p w14:paraId="0C1BF880"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2.2.3.6.</w:t>
      </w:r>
      <w:r w:rsidRPr="00834D52">
        <w:rPr>
          <w:rFonts w:ascii="Sylfaen" w:hAnsi="Sylfaen"/>
          <w:sz w:val="24"/>
          <w:szCs w:val="24"/>
        </w:rPr>
        <w:tab/>
        <w:t>Պահպանման առաջարկվող պայմանները փաթեթվածքը (առաջնային կամ միջանկյալ) առաջին անգամ բացելուց հետո:</w:t>
      </w:r>
    </w:p>
    <w:p w14:paraId="2818F149" w14:textId="77777777" w:rsidR="006F76EB" w:rsidRPr="00834D52" w:rsidRDefault="006F76EB" w:rsidP="004E3708">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2.2.4.</w:t>
      </w:r>
      <w:r w:rsidRPr="00834D52">
        <w:rPr>
          <w:rFonts w:ascii="Sylfaen" w:hAnsi="Sylfaen"/>
          <w:sz w:val="24"/>
          <w:szCs w:val="24"/>
        </w:rPr>
        <w:tab/>
        <w:t>Տեղեկատվություն՝ ներմուծման սարքվածքների վերաբերյալ</w:t>
      </w:r>
    </w:p>
    <w:p w14:paraId="5FED4C7E" w14:textId="77777777" w:rsidR="006F76EB" w:rsidRPr="00834D52" w:rsidRDefault="006F76EB" w:rsidP="004E3708">
      <w:pPr>
        <w:tabs>
          <w:tab w:val="left" w:pos="1701"/>
        </w:tabs>
        <w:spacing w:after="160" w:line="360" w:lineRule="auto"/>
        <w:ind w:right="-6" w:firstLine="567"/>
        <w:rPr>
          <w:rFonts w:ascii="Sylfaen" w:hAnsi="Sylfaen"/>
          <w:sz w:val="24"/>
          <w:szCs w:val="24"/>
        </w:rPr>
      </w:pPr>
      <w:r w:rsidRPr="00834D52">
        <w:rPr>
          <w:rFonts w:ascii="Sylfaen" w:hAnsi="Sylfaen"/>
          <w:sz w:val="24"/>
          <w:szCs w:val="24"/>
        </w:rPr>
        <w:t>2.3.</w:t>
      </w:r>
      <w:r w:rsidRPr="00834D52">
        <w:rPr>
          <w:rFonts w:ascii="Sylfaen" w:hAnsi="Sylfaen"/>
          <w:sz w:val="24"/>
          <w:szCs w:val="24"/>
        </w:rPr>
        <w:tab/>
        <w:t>Բացթողման կատեգորիան</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5"/>
        <w:gridCol w:w="4394"/>
      </w:tblGrid>
      <w:tr w:rsidR="006F76EB" w:rsidRPr="00834D52" w14:paraId="67A4A84D" w14:textId="77777777" w:rsidTr="00F71229">
        <w:tc>
          <w:tcPr>
            <w:tcW w:w="5070" w:type="dxa"/>
          </w:tcPr>
          <w:p w14:paraId="2D9C68D9" w14:textId="77777777" w:rsidR="006F76EB" w:rsidRPr="00834D52" w:rsidRDefault="006F76EB" w:rsidP="00F71229">
            <w:pPr>
              <w:spacing w:after="160"/>
              <w:ind w:right="-6"/>
              <w:rPr>
                <w:rFonts w:ascii="Sylfaen" w:eastAsia="Times New Roman" w:hAnsi="Sylfaen" w:cs="Times New Roman"/>
                <w:sz w:val="24"/>
                <w:szCs w:val="24"/>
              </w:rPr>
            </w:pPr>
          </w:p>
        </w:tc>
        <w:tc>
          <w:tcPr>
            <w:tcW w:w="425" w:type="dxa"/>
          </w:tcPr>
          <w:p w14:paraId="646F15F6" w14:textId="00055A87" w:rsidR="006F76EB" w:rsidRPr="00834D52" w:rsidRDefault="0037154C" w:rsidP="00F71229">
            <w:pPr>
              <w:spacing w:after="160"/>
              <w:ind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71712" behindDoc="0" locked="0" layoutInCell="1" allowOverlap="1" wp14:anchorId="6734A7BF" wp14:editId="7E1829B7">
                      <wp:simplePos x="0" y="0"/>
                      <wp:positionH relativeFrom="column">
                        <wp:posOffset>-5080</wp:posOffset>
                      </wp:positionH>
                      <wp:positionV relativeFrom="paragraph">
                        <wp:posOffset>70485</wp:posOffset>
                      </wp:positionV>
                      <wp:extent cx="161925" cy="152400"/>
                      <wp:effectExtent l="9525" t="13335" r="9525" b="5715"/>
                      <wp:wrapNone/>
                      <wp:docPr id="25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37732" id="Rectangle 55" o:spid="_x0000_s1026" style="position:absolute;margin-left:-.4pt;margin-top:5.55pt;width:12.75pt;height:12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"/>
                  </w:pict>
                </mc:Fallback>
              </mc:AlternateContent>
            </w:r>
          </w:p>
        </w:tc>
        <w:tc>
          <w:tcPr>
            <w:tcW w:w="4394" w:type="dxa"/>
          </w:tcPr>
          <w:p w14:paraId="14AA6300"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դեղատոմսով</w:t>
            </w:r>
          </w:p>
        </w:tc>
      </w:tr>
      <w:tr w:rsidR="006F76EB" w:rsidRPr="00834D52" w14:paraId="3A622C99" w14:textId="77777777" w:rsidTr="00F71229">
        <w:tc>
          <w:tcPr>
            <w:tcW w:w="5070" w:type="dxa"/>
          </w:tcPr>
          <w:p w14:paraId="32D97FBE" w14:textId="77777777" w:rsidR="006F76EB" w:rsidRPr="00834D52" w:rsidRDefault="006F76EB" w:rsidP="00F71229">
            <w:pPr>
              <w:tabs>
                <w:tab w:val="left" w:pos="1701"/>
              </w:tabs>
              <w:spacing w:after="160"/>
              <w:ind w:right="-35" w:firstLine="567"/>
              <w:rPr>
                <w:rFonts w:ascii="Sylfaen" w:eastAsia="Times New Roman" w:hAnsi="Sylfaen" w:cs="Times New Roman"/>
                <w:sz w:val="24"/>
                <w:szCs w:val="24"/>
              </w:rPr>
            </w:pPr>
            <w:r w:rsidRPr="00834D52">
              <w:rPr>
                <w:rFonts w:ascii="Sylfaen" w:hAnsi="Sylfaen"/>
                <w:sz w:val="24"/>
                <w:szCs w:val="24"/>
              </w:rPr>
              <w:t>2.3.1.</w:t>
            </w:r>
            <w:r w:rsidRPr="00834D52">
              <w:rPr>
                <w:rFonts w:ascii="Sylfaen" w:hAnsi="Sylfaen"/>
                <w:sz w:val="24"/>
                <w:szCs w:val="24"/>
                <w:lang w:val="en-US"/>
              </w:rPr>
              <w:tab/>
            </w:r>
            <w:r w:rsidRPr="00834D52">
              <w:rPr>
                <w:rFonts w:ascii="Sylfaen" w:hAnsi="Sylfaen"/>
                <w:sz w:val="24"/>
                <w:szCs w:val="24"/>
              </w:rPr>
              <w:t>Բացթողման առաջարկվող կատեգորիան՝</w:t>
            </w:r>
          </w:p>
        </w:tc>
        <w:tc>
          <w:tcPr>
            <w:tcW w:w="425" w:type="dxa"/>
          </w:tcPr>
          <w:p w14:paraId="5D0679D5" w14:textId="548E6A0B" w:rsidR="006F76EB" w:rsidRPr="00834D52" w:rsidRDefault="0037154C" w:rsidP="00F71229">
            <w:pPr>
              <w:spacing w:after="160"/>
              <w:ind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72736" behindDoc="0" locked="0" layoutInCell="1" allowOverlap="1" wp14:anchorId="6A1445F1" wp14:editId="642402DB">
                      <wp:simplePos x="0" y="0"/>
                      <wp:positionH relativeFrom="column">
                        <wp:posOffset>-5080</wp:posOffset>
                      </wp:positionH>
                      <wp:positionV relativeFrom="paragraph">
                        <wp:posOffset>69215</wp:posOffset>
                      </wp:positionV>
                      <wp:extent cx="161925" cy="152400"/>
                      <wp:effectExtent l="9525" t="9525" r="9525" b="9525"/>
                      <wp:wrapNone/>
                      <wp:docPr id="25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48B3B" id="Rectangle 56" o:spid="_x0000_s1026" style="position:absolute;margin-left:-.4pt;margin-top:5.45pt;width:12.75pt;height:1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"/>
                  </w:pict>
                </mc:Fallback>
              </mc:AlternateContent>
            </w:r>
          </w:p>
        </w:tc>
        <w:tc>
          <w:tcPr>
            <w:tcW w:w="4394" w:type="dxa"/>
          </w:tcPr>
          <w:p w14:paraId="5C7CCA1A"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առանց դեղատոմսի</w:t>
            </w:r>
          </w:p>
        </w:tc>
      </w:tr>
      <w:tr w:rsidR="006F76EB" w:rsidRPr="00834D52" w14:paraId="5454E316" w14:textId="77777777" w:rsidTr="00F71229">
        <w:tc>
          <w:tcPr>
            <w:tcW w:w="5070" w:type="dxa"/>
          </w:tcPr>
          <w:p w14:paraId="6355CBA9" w14:textId="77777777" w:rsidR="006F76EB" w:rsidRPr="00834D52" w:rsidRDefault="006F76EB" w:rsidP="00F71229">
            <w:pPr>
              <w:spacing w:after="160"/>
              <w:ind w:right="-6"/>
              <w:rPr>
                <w:rFonts w:ascii="Sylfaen" w:eastAsia="Times New Roman" w:hAnsi="Sylfaen" w:cs="Times New Roman"/>
                <w:sz w:val="24"/>
                <w:szCs w:val="24"/>
              </w:rPr>
            </w:pPr>
          </w:p>
        </w:tc>
        <w:tc>
          <w:tcPr>
            <w:tcW w:w="425" w:type="dxa"/>
          </w:tcPr>
          <w:p w14:paraId="6D7309AE" w14:textId="27373D53" w:rsidR="006F76EB" w:rsidRPr="00834D52" w:rsidRDefault="0037154C" w:rsidP="00F71229">
            <w:pPr>
              <w:spacing w:after="160"/>
              <w:ind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73760" behindDoc="0" locked="0" layoutInCell="1" allowOverlap="1" wp14:anchorId="26CC1C8C" wp14:editId="211113F4">
                      <wp:simplePos x="0" y="0"/>
                      <wp:positionH relativeFrom="column">
                        <wp:posOffset>-5080</wp:posOffset>
                      </wp:positionH>
                      <wp:positionV relativeFrom="paragraph">
                        <wp:posOffset>67945</wp:posOffset>
                      </wp:positionV>
                      <wp:extent cx="161925" cy="152400"/>
                      <wp:effectExtent l="9525" t="6350" r="9525" b="12700"/>
                      <wp:wrapNone/>
                      <wp:docPr id="24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67F4A" id="Rectangle 57" o:spid="_x0000_s1026" style="position:absolute;margin-left:-.4pt;margin-top:5.35pt;width:12.75pt;height:12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"/>
                  </w:pict>
                </mc:Fallback>
              </mc:AlternateContent>
            </w:r>
          </w:p>
        </w:tc>
        <w:tc>
          <w:tcPr>
            <w:tcW w:w="4394" w:type="dxa"/>
          </w:tcPr>
          <w:p w14:paraId="714738A4"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ստացիոնար պայմաններում</w:t>
            </w:r>
          </w:p>
        </w:tc>
      </w:tr>
    </w:tbl>
    <w:p w14:paraId="5798B867" w14:textId="77777777" w:rsidR="006F76EB" w:rsidRPr="00834D52" w:rsidRDefault="006F76EB" w:rsidP="006F76EB">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Գրանցման հավաստագրի իրավատերը</w:t>
      </w:r>
    </w:p>
    <w:p w14:paraId="18E73976" w14:textId="77777777" w:rsidR="006F76EB" w:rsidRPr="00834D52" w:rsidRDefault="006F76EB" w:rsidP="006F76EB">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2.4.1.</w:t>
      </w:r>
      <w:r w:rsidRPr="00834D52">
        <w:rPr>
          <w:rFonts w:ascii="Sylfaen" w:hAnsi="Sylfaen"/>
          <w:sz w:val="24"/>
          <w:szCs w:val="24"/>
        </w:rPr>
        <w:tab/>
        <w:t>Գրանցման հավաստագրի իրավատերը՝</w:t>
      </w:r>
    </w:p>
    <w:tbl>
      <w:tblPr>
        <w:tblW w:w="9535" w:type="dxa"/>
        <w:jc w:val="center"/>
        <w:tblLayout w:type="fixed"/>
        <w:tblCellMar>
          <w:left w:w="0" w:type="dxa"/>
          <w:right w:w="0" w:type="dxa"/>
        </w:tblCellMar>
        <w:tblLook w:val="01E0" w:firstRow="1" w:lastRow="1" w:firstColumn="1" w:lastColumn="1" w:noHBand="0" w:noVBand="0"/>
      </w:tblPr>
      <w:tblGrid>
        <w:gridCol w:w="4769"/>
        <w:gridCol w:w="4766"/>
      </w:tblGrid>
      <w:tr w:rsidR="006F76EB" w:rsidRPr="00834D52" w14:paraId="0F5BA363"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799428DF"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766" w:type="dxa"/>
            <w:tcBorders>
              <w:top w:val="single" w:sz="4" w:space="0" w:color="000000"/>
              <w:left w:val="single" w:sz="4" w:space="0" w:color="000000"/>
              <w:bottom w:val="single" w:sz="4" w:space="0" w:color="000000"/>
              <w:right w:val="single" w:sz="4" w:space="0" w:color="000000"/>
            </w:tcBorders>
          </w:tcPr>
          <w:p w14:paraId="43F0FE61" w14:textId="77777777" w:rsidR="006F76EB" w:rsidRPr="00834D52" w:rsidRDefault="006F76EB" w:rsidP="00E8196D">
            <w:pPr>
              <w:spacing w:after="120" w:line="240" w:lineRule="auto"/>
              <w:ind w:right="-6"/>
              <w:rPr>
                <w:rFonts w:ascii="Sylfaen" w:hAnsi="Sylfaen"/>
                <w:sz w:val="24"/>
                <w:szCs w:val="24"/>
              </w:rPr>
            </w:pPr>
          </w:p>
        </w:tc>
      </w:tr>
      <w:tr w:rsidR="006F76EB" w:rsidRPr="00834D52" w14:paraId="0FE35995"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4997BFC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հասցեն</w:t>
            </w:r>
          </w:p>
        </w:tc>
        <w:tc>
          <w:tcPr>
            <w:tcW w:w="4766" w:type="dxa"/>
            <w:tcBorders>
              <w:top w:val="single" w:sz="4" w:space="0" w:color="000000"/>
              <w:left w:val="single" w:sz="4" w:space="0" w:color="000000"/>
              <w:bottom w:val="single" w:sz="4" w:space="0" w:color="000000"/>
              <w:right w:val="single" w:sz="4" w:space="0" w:color="000000"/>
            </w:tcBorders>
          </w:tcPr>
          <w:p w14:paraId="5DA4A1E3" w14:textId="77777777" w:rsidR="006F76EB" w:rsidRPr="00834D52" w:rsidRDefault="006F76EB" w:rsidP="00E8196D">
            <w:pPr>
              <w:spacing w:after="120" w:line="240" w:lineRule="auto"/>
              <w:ind w:right="-6"/>
              <w:rPr>
                <w:rFonts w:ascii="Sylfaen" w:hAnsi="Sylfaen"/>
                <w:sz w:val="24"/>
                <w:szCs w:val="24"/>
              </w:rPr>
            </w:pPr>
          </w:p>
        </w:tc>
      </w:tr>
      <w:tr w:rsidR="006F76EB" w:rsidRPr="00834D52" w14:paraId="6261BF75"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1FF073FC"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766" w:type="dxa"/>
            <w:tcBorders>
              <w:top w:val="single" w:sz="4" w:space="0" w:color="000000"/>
              <w:left w:val="single" w:sz="4" w:space="0" w:color="000000"/>
              <w:bottom w:val="single" w:sz="4" w:space="0" w:color="000000"/>
              <w:right w:val="single" w:sz="4" w:space="0" w:color="000000"/>
            </w:tcBorders>
          </w:tcPr>
          <w:p w14:paraId="669E4FA1"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BDF0F4F"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5AFAE1E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766" w:type="dxa"/>
            <w:tcBorders>
              <w:top w:val="single" w:sz="4" w:space="0" w:color="000000"/>
              <w:left w:val="single" w:sz="4" w:space="0" w:color="000000"/>
              <w:bottom w:val="single" w:sz="4" w:space="0" w:color="000000"/>
              <w:right w:val="single" w:sz="4" w:space="0" w:color="000000"/>
            </w:tcBorders>
          </w:tcPr>
          <w:p w14:paraId="65B8C15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A75BAB2"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75B3393"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766" w:type="dxa"/>
            <w:tcBorders>
              <w:top w:val="single" w:sz="4" w:space="0" w:color="000000"/>
              <w:left w:val="single" w:sz="4" w:space="0" w:color="000000"/>
              <w:bottom w:val="single" w:sz="4" w:space="0" w:color="000000"/>
              <w:right w:val="single" w:sz="4" w:space="0" w:color="000000"/>
            </w:tcBorders>
          </w:tcPr>
          <w:p w14:paraId="40D65B34" w14:textId="77777777" w:rsidR="006F76EB" w:rsidRPr="00834D52" w:rsidRDefault="006F76EB" w:rsidP="00E8196D">
            <w:pPr>
              <w:spacing w:after="120" w:line="240" w:lineRule="auto"/>
              <w:ind w:right="-6"/>
              <w:rPr>
                <w:rFonts w:ascii="Sylfaen" w:hAnsi="Sylfaen"/>
                <w:sz w:val="24"/>
                <w:szCs w:val="24"/>
              </w:rPr>
            </w:pPr>
          </w:p>
        </w:tc>
      </w:tr>
    </w:tbl>
    <w:p w14:paraId="11883295" w14:textId="09E7329A"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535" w:type="dxa"/>
        <w:jc w:val="center"/>
        <w:tblLayout w:type="fixed"/>
        <w:tblCellMar>
          <w:left w:w="0" w:type="dxa"/>
          <w:right w:w="0" w:type="dxa"/>
        </w:tblCellMar>
        <w:tblLook w:val="01E0" w:firstRow="1" w:lastRow="1" w:firstColumn="1" w:lastColumn="1" w:noHBand="0" w:noVBand="0"/>
      </w:tblPr>
      <w:tblGrid>
        <w:gridCol w:w="4769"/>
        <w:gridCol w:w="4766"/>
      </w:tblGrid>
      <w:tr w:rsidR="006F76EB" w:rsidRPr="00834D52" w14:paraId="2950EE93"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109319B"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4766" w:type="dxa"/>
            <w:tcBorders>
              <w:top w:val="single" w:sz="4" w:space="0" w:color="000000"/>
              <w:left w:val="single" w:sz="4" w:space="0" w:color="000000"/>
              <w:bottom w:val="single" w:sz="4" w:space="0" w:color="000000"/>
              <w:right w:val="single" w:sz="4" w:space="0" w:color="000000"/>
            </w:tcBorders>
          </w:tcPr>
          <w:p w14:paraId="48C0D8FB"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5A6B581"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20DD4BA1"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w:t>
            </w:r>
            <w:r w:rsidRPr="00834D52">
              <w:rPr>
                <w:rFonts w:ascii="Sylfaen" w:hAnsi="Sylfaen"/>
                <w:sz w:val="24"/>
                <w:szCs w:val="24"/>
              </w:rPr>
              <w:lastRenderedPageBreak/>
              <w:t>(առկայության դեպքում)</w:t>
            </w:r>
          </w:p>
        </w:tc>
        <w:tc>
          <w:tcPr>
            <w:tcW w:w="4766" w:type="dxa"/>
            <w:tcBorders>
              <w:top w:val="single" w:sz="4" w:space="0" w:color="000000"/>
              <w:left w:val="single" w:sz="4" w:space="0" w:color="000000"/>
              <w:bottom w:val="single" w:sz="4" w:space="0" w:color="000000"/>
              <w:right w:val="single" w:sz="4" w:space="0" w:color="000000"/>
            </w:tcBorders>
          </w:tcPr>
          <w:p w14:paraId="64AB2B3D" w14:textId="77777777" w:rsidR="006F76EB" w:rsidRPr="00834D52" w:rsidRDefault="006F76EB" w:rsidP="00E8196D">
            <w:pPr>
              <w:spacing w:after="120" w:line="240" w:lineRule="auto"/>
              <w:ind w:right="-6"/>
              <w:rPr>
                <w:rFonts w:ascii="Sylfaen" w:hAnsi="Sylfaen"/>
                <w:sz w:val="24"/>
                <w:szCs w:val="24"/>
              </w:rPr>
            </w:pPr>
          </w:p>
        </w:tc>
      </w:tr>
      <w:tr w:rsidR="006F76EB" w:rsidRPr="00834D52" w14:paraId="0A90BEE9"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78DD062"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766" w:type="dxa"/>
            <w:tcBorders>
              <w:top w:val="single" w:sz="4" w:space="0" w:color="000000"/>
              <w:left w:val="single" w:sz="4" w:space="0" w:color="000000"/>
              <w:bottom w:val="single" w:sz="4" w:space="0" w:color="000000"/>
              <w:right w:val="single" w:sz="4" w:space="0" w:color="000000"/>
            </w:tcBorders>
          </w:tcPr>
          <w:p w14:paraId="5680141F" w14:textId="77777777" w:rsidR="006F76EB" w:rsidRPr="00834D52" w:rsidRDefault="006F76EB" w:rsidP="00E8196D">
            <w:pPr>
              <w:spacing w:after="120" w:line="240" w:lineRule="auto"/>
              <w:ind w:right="-6"/>
              <w:rPr>
                <w:rFonts w:ascii="Sylfaen" w:hAnsi="Sylfaen"/>
                <w:sz w:val="24"/>
                <w:szCs w:val="24"/>
              </w:rPr>
            </w:pPr>
          </w:p>
        </w:tc>
      </w:tr>
    </w:tbl>
    <w:p w14:paraId="6DF8955B" w14:textId="2F21A58A"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 xml:space="preserve">Տվյալ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4.1 ենթակետ):</w:t>
      </w:r>
    </w:p>
    <w:p w14:paraId="7486C468" w14:textId="627507D6"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 xml:space="preserve">ի ներկայացուցիչը (դիմումատուի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2.4.2 ենթակետում ներկայացված անձանցից՝</w:t>
      </w:r>
    </w:p>
    <w:tbl>
      <w:tblPr>
        <w:tblW w:w="9395" w:type="dxa"/>
        <w:jc w:val="center"/>
        <w:tblLayout w:type="fixed"/>
        <w:tblCellMar>
          <w:left w:w="0" w:type="dxa"/>
          <w:right w:w="0" w:type="dxa"/>
        </w:tblCellMar>
        <w:tblLook w:val="01E0" w:firstRow="1" w:lastRow="1" w:firstColumn="1" w:lastColumn="1" w:noHBand="0" w:noVBand="0"/>
      </w:tblPr>
      <w:tblGrid>
        <w:gridCol w:w="5125"/>
        <w:gridCol w:w="4270"/>
      </w:tblGrid>
      <w:tr w:rsidR="006F76EB" w:rsidRPr="00834D52" w14:paraId="423E5327"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7129CFD3" w14:textId="0E9D81B8" w:rsidR="006F76EB" w:rsidRPr="00834D52" w:rsidRDefault="0056496B" w:rsidP="00E8196D">
            <w:pPr>
              <w:spacing w:after="120" w:line="240" w:lineRule="auto"/>
              <w:ind w:left="180"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ներկայացուցչի ազգանունը, անունը, հայրանունը կամ իրավաբանական անձի անվանումը</w:t>
            </w:r>
          </w:p>
        </w:tc>
        <w:tc>
          <w:tcPr>
            <w:tcW w:w="4270" w:type="dxa"/>
            <w:tcBorders>
              <w:top w:val="single" w:sz="4" w:space="0" w:color="000000"/>
              <w:left w:val="single" w:sz="4" w:space="0" w:color="000000"/>
              <w:bottom w:val="single" w:sz="4" w:space="0" w:color="000000"/>
              <w:right w:val="single" w:sz="4" w:space="0" w:color="000000"/>
            </w:tcBorders>
          </w:tcPr>
          <w:p w14:paraId="6C16D034"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E04F778"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6C08C72C"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4270" w:type="dxa"/>
            <w:tcBorders>
              <w:top w:val="single" w:sz="4" w:space="0" w:color="000000"/>
              <w:left w:val="single" w:sz="4" w:space="0" w:color="000000"/>
              <w:bottom w:val="single" w:sz="4" w:space="0" w:color="000000"/>
              <w:right w:val="single" w:sz="4" w:space="0" w:color="000000"/>
            </w:tcBorders>
          </w:tcPr>
          <w:p w14:paraId="27CDD22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3342020"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3F967862"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4270" w:type="dxa"/>
            <w:tcBorders>
              <w:top w:val="single" w:sz="4" w:space="0" w:color="000000"/>
              <w:left w:val="single" w:sz="4" w:space="0" w:color="000000"/>
              <w:bottom w:val="single" w:sz="4" w:space="0" w:color="000000"/>
              <w:right w:val="single" w:sz="4" w:space="0" w:color="000000"/>
            </w:tcBorders>
          </w:tcPr>
          <w:p w14:paraId="0A950D83" w14:textId="77777777" w:rsidR="006F76EB" w:rsidRPr="00834D52" w:rsidRDefault="006F76EB" w:rsidP="00E8196D">
            <w:pPr>
              <w:spacing w:after="120" w:line="240" w:lineRule="auto"/>
              <w:ind w:right="-6"/>
              <w:rPr>
                <w:rFonts w:ascii="Sylfaen" w:hAnsi="Sylfaen"/>
                <w:sz w:val="24"/>
                <w:szCs w:val="24"/>
              </w:rPr>
            </w:pPr>
          </w:p>
        </w:tc>
      </w:tr>
      <w:tr w:rsidR="006F76EB" w:rsidRPr="00834D52" w14:paraId="60094ACC"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51C134AE"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270" w:type="dxa"/>
            <w:tcBorders>
              <w:top w:val="single" w:sz="4" w:space="0" w:color="000000"/>
              <w:left w:val="single" w:sz="4" w:space="0" w:color="000000"/>
              <w:bottom w:val="single" w:sz="4" w:space="0" w:color="000000"/>
              <w:right w:val="single" w:sz="4" w:space="0" w:color="000000"/>
            </w:tcBorders>
          </w:tcPr>
          <w:p w14:paraId="7C0ED4D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EFA8704"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5F87619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270" w:type="dxa"/>
            <w:tcBorders>
              <w:top w:val="single" w:sz="4" w:space="0" w:color="000000"/>
              <w:left w:val="single" w:sz="4" w:space="0" w:color="000000"/>
              <w:bottom w:val="single" w:sz="4" w:space="0" w:color="000000"/>
              <w:right w:val="single" w:sz="4" w:space="0" w:color="000000"/>
            </w:tcBorders>
          </w:tcPr>
          <w:p w14:paraId="67B75310" w14:textId="77777777" w:rsidR="006F76EB" w:rsidRPr="00834D52" w:rsidRDefault="006F76EB" w:rsidP="00E8196D">
            <w:pPr>
              <w:spacing w:after="120" w:line="240" w:lineRule="auto"/>
              <w:ind w:right="-6"/>
              <w:rPr>
                <w:rFonts w:ascii="Sylfaen" w:hAnsi="Sylfaen"/>
                <w:sz w:val="24"/>
                <w:szCs w:val="24"/>
              </w:rPr>
            </w:pPr>
          </w:p>
        </w:tc>
      </w:tr>
    </w:tbl>
    <w:p w14:paraId="6C1AAE78" w14:textId="148BEAF9" w:rsidR="006F76EB" w:rsidRPr="00834D52" w:rsidRDefault="006F76EB" w:rsidP="006F76EB">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կետը լրացնելիս կցե՛ք լիազորագիրը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4.1 ենթակետ):</w:t>
      </w:r>
    </w:p>
    <w:p w14:paraId="56A421E9" w14:textId="77777777"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2.4.4.</w:t>
      </w:r>
      <w:r w:rsidRPr="00834D52">
        <w:rPr>
          <w:rFonts w:ascii="Sylfaen" w:hAnsi="Sylfaen"/>
          <w:sz w:val="24"/>
          <w:szCs w:val="24"/>
        </w:rPr>
        <w:tab/>
        <w:t>Գրանցման հավաստագրի իրավատիրոջ՝ Եվրասիական տնտեսական միության անդամ պետություններում դեղազգոնության համար պատասխանատու լիազորված անձը՝</w:t>
      </w:r>
    </w:p>
    <w:tbl>
      <w:tblPr>
        <w:tblW w:w="9110" w:type="dxa"/>
        <w:jc w:val="center"/>
        <w:tblLayout w:type="fixed"/>
        <w:tblCellMar>
          <w:left w:w="0" w:type="dxa"/>
          <w:right w:w="0" w:type="dxa"/>
        </w:tblCellMar>
        <w:tblLook w:val="01E0" w:firstRow="1" w:lastRow="1" w:firstColumn="1" w:lastColumn="1" w:noHBand="0" w:noVBand="0"/>
      </w:tblPr>
      <w:tblGrid>
        <w:gridCol w:w="4858"/>
        <w:gridCol w:w="4252"/>
      </w:tblGrid>
      <w:tr w:rsidR="006F76EB" w:rsidRPr="00834D52" w14:paraId="1C8193A4"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71B5CC4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252" w:type="dxa"/>
            <w:tcBorders>
              <w:top w:val="single" w:sz="4" w:space="0" w:color="000000"/>
              <w:left w:val="single" w:sz="4" w:space="0" w:color="000000"/>
              <w:bottom w:val="single" w:sz="4" w:space="0" w:color="000000"/>
              <w:right w:val="single" w:sz="4" w:space="0" w:color="000000"/>
            </w:tcBorders>
          </w:tcPr>
          <w:p w14:paraId="666A7118"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B1D67BC"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3209BFF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252" w:type="dxa"/>
            <w:tcBorders>
              <w:top w:val="single" w:sz="4" w:space="0" w:color="000000"/>
              <w:left w:val="single" w:sz="4" w:space="0" w:color="000000"/>
              <w:bottom w:val="single" w:sz="4" w:space="0" w:color="000000"/>
              <w:right w:val="single" w:sz="4" w:space="0" w:color="000000"/>
            </w:tcBorders>
          </w:tcPr>
          <w:p w14:paraId="3B1621D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3F20D69B"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12217256"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4252" w:type="dxa"/>
            <w:tcBorders>
              <w:top w:val="single" w:sz="4" w:space="0" w:color="000000"/>
              <w:left w:val="single" w:sz="4" w:space="0" w:color="000000"/>
              <w:bottom w:val="single" w:sz="4" w:space="0" w:color="000000"/>
              <w:right w:val="single" w:sz="4" w:space="0" w:color="000000"/>
            </w:tcBorders>
          </w:tcPr>
          <w:p w14:paraId="282C1B5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049594EA"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69D5CC8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252" w:type="dxa"/>
            <w:tcBorders>
              <w:top w:val="single" w:sz="4" w:space="0" w:color="000000"/>
              <w:left w:val="single" w:sz="4" w:space="0" w:color="000000"/>
              <w:bottom w:val="single" w:sz="4" w:space="0" w:color="000000"/>
              <w:right w:val="single" w:sz="4" w:space="0" w:color="000000"/>
            </w:tcBorders>
          </w:tcPr>
          <w:p w14:paraId="4A14372D"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481D034"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797E8722"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4252" w:type="dxa"/>
            <w:tcBorders>
              <w:top w:val="single" w:sz="4" w:space="0" w:color="000000"/>
              <w:left w:val="single" w:sz="4" w:space="0" w:color="000000"/>
              <w:bottom w:val="single" w:sz="4" w:space="0" w:color="000000"/>
              <w:right w:val="single" w:sz="4" w:space="0" w:color="000000"/>
            </w:tcBorders>
          </w:tcPr>
          <w:p w14:paraId="0613110D"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CD2AB7C"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231D2260"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252" w:type="dxa"/>
            <w:tcBorders>
              <w:top w:val="single" w:sz="4" w:space="0" w:color="000000"/>
              <w:left w:val="single" w:sz="4" w:space="0" w:color="000000"/>
              <w:bottom w:val="single" w:sz="4" w:space="0" w:color="000000"/>
              <w:right w:val="single" w:sz="4" w:space="0" w:color="000000"/>
            </w:tcBorders>
          </w:tcPr>
          <w:p w14:paraId="2FBC7B4B" w14:textId="77777777" w:rsidR="006F76EB" w:rsidRPr="00834D52" w:rsidRDefault="006F76EB" w:rsidP="000728A0">
            <w:pPr>
              <w:spacing w:after="120" w:line="240" w:lineRule="auto"/>
              <w:ind w:right="-6"/>
              <w:rPr>
                <w:rFonts w:ascii="Sylfaen" w:hAnsi="Sylfaen"/>
                <w:sz w:val="24"/>
                <w:szCs w:val="24"/>
              </w:rPr>
            </w:pPr>
          </w:p>
        </w:tc>
      </w:tr>
    </w:tbl>
    <w:p w14:paraId="69099993"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0" w:type="auto"/>
        <w:jc w:val="center"/>
        <w:tblLook w:val="04A0" w:firstRow="1" w:lastRow="0" w:firstColumn="1" w:lastColumn="0" w:noHBand="0" w:noVBand="1"/>
      </w:tblPr>
      <w:tblGrid>
        <w:gridCol w:w="9036"/>
      </w:tblGrid>
      <w:tr w:rsidR="006F76EB" w:rsidRPr="00834D52" w14:paraId="5A5DF1EB" w14:textId="77777777" w:rsidTr="00F71229">
        <w:trPr>
          <w:jc w:val="center"/>
        </w:trPr>
        <w:tc>
          <w:tcPr>
            <w:tcW w:w="9036" w:type="dxa"/>
          </w:tcPr>
          <w:p w14:paraId="30557B0A" w14:textId="77777777" w:rsidR="006F76EB" w:rsidRPr="00834D52" w:rsidRDefault="006F76EB" w:rsidP="000728A0">
            <w:pPr>
              <w:spacing w:after="120"/>
              <w:ind w:right="-6"/>
              <w:rPr>
                <w:rFonts w:ascii="Sylfaen" w:eastAsia="Times New Roman" w:hAnsi="Sylfaen" w:cs="Times New Roman"/>
                <w:sz w:val="24"/>
                <w:szCs w:val="24"/>
              </w:rPr>
            </w:pPr>
            <w:r w:rsidRPr="00834D52">
              <w:rPr>
                <w:rFonts w:ascii="Sylfaen" w:hAnsi="Sylfaen"/>
                <w:sz w:val="24"/>
                <w:szCs w:val="24"/>
              </w:rPr>
              <w:t>դեղազգոնության մաստեր-ֆայլի վավերապայմանները՝</w:t>
            </w:r>
            <w:r w:rsidRPr="00834D52">
              <w:rPr>
                <w:rFonts w:ascii="Sylfaen" w:hAnsi="Sylfaen"/>
                <w:sz w:val="24"/>
                <w:szCs w:val="24"/>
              </w:rPr>
              <w:br/>
              <w:t>համարը՝</w:t>
            </w:r>
            <w:r w:rsidRPr="00834D52">
              <w:rPr>
                <w:rFonts w:ascii="Sylfaen" w:hAnsi="Sylfaen"/>
                <w:sz w:val="24"/>
                <w:szCs w:val="24"/>
              </w:rPr>
              <w:br/>
              <w:t>գտնվելու վայրի հասցեն՝</w:t>
            </w:r>
          </w:p>
        </w:tc>
      </w:tr>
    </w:tbl>
    <w:p w14:paraId="6116A28E" w14:textId="6E811B70"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դեղազգոնության իրականացման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ի 2.4.4 կետում նշված անձից՝</w:t>
      </w:r>
    </w:p>
    <w:tbl>
      <w:tblPr>
        <w:tblW w:w="9079" w:type="dxa"/>
        <w:jc w:val="center"/>
        <w:tblLayout w:type="fixed"/>
        <w:tblCellMar>
          <w:left w:w="0" w:type="dxa"/>
          <w:right w:w="0" w:type="dxa"/>
        </w:tblCellMar>
        <w:tblLook w:val="01E0" w:firstRow="1" w:lastRow="1" w:firstColumn="1" w:lastColumn="1" w:noHBand="0" w:noVBand="0"/>
      </w:tblPr>
      <w:tblGrid>
        <w:gridCol w:w="5108"/>
        <w:gridCol w:w="3971"/>
      </w:tblGrid>
      <w:tr w:rsidR="006F76EB" w:rsidRPr="00834D52" w14:paraId="1504AE6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3C6707CA"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3971" w:type="dxa"/>
            <w:tcBorders>
              <w:top w:val="single" w:sz="4" w:space="0" w:color="000000"/>
              <w:left w:val="single" w:sz="4" w:space="0" w:color="000000"/>
              <w:bottom w:val="single" w:sz="4" w:space="0" w:color="000000"/>
              <w:right w:val="single" w:sz="4" w:space="0" w:color="000000"/>
            </w:tcBorders>
          </w:tcPr>
          <w:p w14:paraId="57A2A0EE"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455E47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6FA3FE2F"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իրավաբանական անձի (գրանցման հավաստագրի իրավատիրոջ) անվանումը</w:t>
            </w:r>
          </w:p>
        </w:tc>
        <w:tc>
          <w:tcPr>
            <w:tcW w:w="3971" w:type="dxa"/>
            <w:tcBorders>
              <w:top w:val="single" w:sz="4" w:space="0" w:color="000000"/>
              <w:left w:val="single" w:sz="4" w:space="0" w:color="000000"/>
              <w:bottom w:val="single" w:sz="4" w:space="0" w:color="000000"/>
              <w:right w:val="single" w:sz="4" w:space="0" w:color="000000"/>
            </w:tcBorders>
          </w:tcPr>
          <w:p w14:paraId="015B3D93"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07134C4"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0E2AFF61"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իրավաբանական անձի հասցեն</w:t>
            </w:r>
          </w:p>
        </w:tc>
        <w:tc>
          <w:tcPr>
            <w:tcW w:w="3971" w:type="dxa"/>
            <w:tcBorders>
              <w:top w:val="single" w:sz="4" w:space="0" w:color="000000"/>
              <w:left w:val="single" w:sz="4" w:space="0" w:color="000000"/>
              <w:bottom w:val="single" w:sz="4" w:space="0" w:color="000000"/>
              <w:right w:val="single" w:sz="4" w:space="0" w:color="000000"/>
            </w:tcBorders>
          </w:tcPr>
          <w:p w14:paraId="2293F02A" w14:textId="77777777" w:rsidR="006F76EB" w:rsidRPr="00834D52" w:rsidRDefault="006F76EB" w:rsidP="000728A0">
            <w:pPr>
              <w:spacing w:after="120" w:line="240" w:lineRule="auto"/>
              <w:ind w:right="-6"/>
              <w:rPr>
                <w:rFonts w:ascii="Sylfaen" w:hAnsi="Sylfaen"/>
                <w:sz w:val="24"/>
                <w:szCs w:val="24"/>
              </w:rPr>
            </w:pPr>
          </w:p>
        </w:tc>
      </w:tr>
      <w:tr w:rsidR="006F76EB" w:rsidRPr="00834D52" w14:paraId="03593D99"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3202198F"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պետությունը</w:t>
            </w:r>
          </w:p>
        </w:tc>
        <w:tc>
          <w:tcPr>
            <w:tcW w:w="3971" w:type="dxa"/>
            <w:tcBorders>
              <w:top w:val="single" w:sz="4" w:space="0" w:color="000000"/>
              <w:left w:val="single" w:sz="4" w:space="0" w:color="000000"/>
              <w:bottom w:val="single" w:sz="4" w:space="0" w:color="000000"/>
              <w:right w:val="single" w:sz="4" w:space="0" w:color="000000"/>
            </w:tcBorders>
          </w:tcPr>
          <w:p w14:paraId="159B56AF"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88BC50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119CD364"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3971" w:type="dxa"/>
            <w:tcBorders>
              <w:top w:val="single" w:sz="4" w:space="0" w:color="000000"/>
              <w:left w:val="single" w:sz="4" w:space="0" w:color="000000"/>
              <w:bottom w:val="single" w:sz="4" w:space="0" w:color="000000"/>
              <w:right w:val="single" w:sz="4" w:space="0" w:color="000000"/>
            </w:tcBorders>
          </w:tcPr>
          <w:p w14:paraId="48665305" w14:textId="77777777" w:rsidR="006F76EB" w:rsidRPr="00834D52" w:rsidRDefault="006F76EB" w:rsidP="000728A0">
            <w:pPr>
              <w:spacing w:after="120" w:line="240" w:lineRule="auto"/>
              <w:ind w:right="-6"/>
              <w:rPr>
                <w:rFonts w:ascii="Sylfaen" w:hAnsi="Sylfaen"/>
                <w:sz w:val="24"/>
                <w:szCs w:val="24"/>
              </w:rPr>
            </w:pPr>
          </w:p>
        </w:tc>
      </w:tr>
      <w:tr w:rsidR="006F76EB" w:rsidRPr="00834D52" w14:paraId="73B05DCC"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4512E71A"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էլեկտրոնային փոստի հասցեն</w:t>
            </w:r>
          </w:p>
        </w:tc>
        <w:tc>
          <w:tcPr>
            <w:tcW w:w="3971" w:type="dxa"/>
            <w:tcBorders>
              <w:top w:val="single" w:sz="4" w:space="0" w:color="000000"/>
              <w:left w:val="single" w:sz="4" w:space="0" w:color="000000"/>
              <w:bottom w:val="single" w:sz="4" w:space="0" w:color="000000"/>
              <w:right w:val="single" w:sz="4" w:space="0" w:color="000000"/>
            </w:tcBorders>
          </w:tcPr>
          <w:p w14:paraId="01389B74" w14:textId="77777777" w:rsidR="006F76EB" w:rsidRPr="00834D52" w:rsidRDefault="006F76EB" w:rsidP="000728A0">
            <w:pPr>
              <w:spacing w:after="120" w:line="240" w:lineRule="auto"/>
              <w:ind w:right="-6"/>
              <w:rPr>
                <w:rFonts w:ascii="Sylfaen" w:hAnsi="Sylfaen"/>
                <w:sz w:val="24"/>
                <w:szCs w:val="24"/>
              </w:rPr>
            </w:pPr>
          </w:p>
        </w:tc>
      </w:tr>
    </w:tbl>
    <w:p w14:paraId="500B3ED7" w14:textId="77777777" w:rsidR="006F76EB" w:rsidRPr="00834D52" w:rsidRDefault="006F76EB" w:rsidP="006F76EB">
      <w:pPr>
        <w:spacing w:after="160" w:line="360" w:lineRule="auto"/>
        <w:ind w:right="-6" w:firstLine="567"/>
        <w:jc w:val="both"/>
        <w:rPr>
          <w:rFonts w:ascii="Sylfaen" w:hAnsi="Sylfaen"/>
          <w:sz w:val="24"/>
          <w:szCs w:val="24"/>
        </w:rPr>
      </w:pPr>
      <w:r w:rsidRPr="00834D52">
        <w:rPr>
          <w:rFonts w:ascii="Sylfaen" w:hAnsi="Sylfaen"/>
          <w:sz w:val="24"/>
          <w:szCs w:val="24"/>
        </w:rPr>
        <w:t xml:space="preserve">Նշե՛ք Եվրասիական տնտեսական միության անդամ պետությունում դեղազգոնության հարցերով կոնտակտային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5A769A7E" w14:textId="77777777" w:rsidR="006F76EB" w:rsidRPr="00834D52" w:rsidRDefault="006F76EB" w:rsidP="000728A0">
      <w:pPr>
        <w:tabs>
          <w:tab w:val="left" w:pos="1134"/>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t>Դեղապատրաստուկ արտադրողը</w:t>
      </w:r>
    </w:p>
    <w:p w14:paraId="1311AC31" w14:textId="77777777" w:rsidR="006F76EB" w:rsidRPr="00834D52" w:rsidRDefault="006F76EB" w:rsidP="006F76E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2.5.1.</w:t>
      </w:r>
      <w:r w:rsidRPr="00834D52">
        <w:rPr>
          <w:rFonts w:ascii="Sylfaen" w:hAnsi="Sylfaen"/>
          <w:sz w:val="24"/>
          <w:szCs w:val="24"/>
        </w:rPr>
        <w:tab/>
        <w:t xml:space="preserve">Արտադրողը, որը պատասխանատու է դեղապատրաստուկի սերիաների որակի բացթողման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 xml:space="preserve"> անհրաժեշտության դեպքում՝ մականշվածքում)</w:t>
      </w:r>
    </w:p>
    <w:tbl>
      <w:tblPr>
        <w:tblW w:w="9110" w:type="dxa"/>
        <w:jc w:val="center"/>
        <w:tblLayout w:type="fixed"/>
        <w:tblCellMar>
          <w:left w:w="0" w:type="dxa"/>
          <w:right w:w="0" w:type="dxa"/>
        </w:tblCellMar>
        <w:tblLook w:val="01E0" w:firstRow="1" w:lastRow="1" w:firstColumn="1" w:lastColumn="1" w:noHBand="0" w:noVBand="0"/>
      </w:tblPr>
      <w:tblGrid>
        <w:gridCol w:w="5123"/>
        <w:gridCol w:w="3987"/>
      </w:tblGrid>
      <w:tr w:rsidR="006F76EB" w:rsidRPr="00834D52" w14:paraId="3AE553D1"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2807942A"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987" w:type="dxa"/>
            <w:tcBorders>
              <w:top w:val="single" w:sz="4" w:space="0" w:color="000000"/>
              <w:left w:val="single" w:sz="4" w:space="0" w:color="000000"/>
              <w:bottom w:val="single" w:sz="4" w:space="0" w:color="000000"/>
              <w:right w:val="single" w:sz="4" w:space="0" w:color="000000"/>
            </w:tcBorders>
          </w:tcPr>
          <w:p w14:paraId="45CBEA3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1A349A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0ACD3AD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գործունեության իրականացման վայրի հասցեն</w:t>
            </w:r>
          </w:p>
        </w:tc>
        <w:tc>
          <w:tcPr>
            <w:tcW w:w="3987" w:type="dxa"/>
            <w:tcBorders>
              <w:top w:val="single" w:sz="4" w:space="0" w:color="000000"/>
              <w:left w:val="single" w:sz="4" w:space="0" w:color="000000"/>
              <w:bottom w:val="single" w:sz="4" w:space="0" w:color="000000"/>
              <w:right w:val="single" w:sz="4" w:space="0" w:color="000000"/>
            </w:tcBorders>
          </w:tcPr>
          <w:p w14:paraId="7E58042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090F91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404D08E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3987" w:type="dxa"/>
            <w:tcBorders>
              <w:top w:val="single" w:sz="4" w:space="0" w:color="000000"/>
              <w:left w:val="single" w:sz="4" w:space="0" w:color="000000"/>
              <w:bottom w:val="single" w:sz="4" w:space="0" w:color="000000"/>
              <w:right w:val="single" w:sz="4" w:space="0" w:color="000000"/>
            </w:tcBorders>
          </w:tcPr>
          <w:p w14:paraId="665B1DBE"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E2F5DFF"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64B08C8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87" w:type="dxa"/>
            <w:tcBorders>
              <w:top w:val="single" w:sz="4" w:space="0" w:color="000000"/>
              <w:left w:val="single" w:sz="4" w:space="0" w:color="000000"/>
              <w:bottom w:val="single" w:sz="4" w:space="0" w:color="000000"/>
              <w:right w:val="single" w:sz="4" w:space="0" w:color="000000"/>
            </w:tcBorders>
          </w:tcPr>
          <w:p w14:paraId="640BA7C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409CD12"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6A35D308"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7" w:type="dxa"/>
            <w:tcBorders>
              <w:top w:val="single" w:sz="4" w:space="0" w:color="000000"/>
              <w:left w:val="single" w:sz="4" w:space="0" w:color="000000"/>
              <w:bottom w:val="single" w:sz="4" w:space="0" w:color="000000"/>
              <w:right w:val="single" w:sz="4" w:space="0" w:color="000000"/>
            </w:tcBorders>
          </w:tcPr>
          <w:p w14:paraId="2DEDBA1E" w14:textId="77777777" w:rsidR="006F76EB" w:rsidRPr="00834D52" w:rsidRDefault="006F76EB" w:rsidP="000728A0">
            <w:pPr>
              <w:spacing w:after="120" w:line="240" w:lineRule="auto"/>
              <w:ind w:right="-6"/>
              <w:rPr>
                <w:rFonts w:ascii="Sylfaen" w:hAnsi="Sylfaen"/>
                <w:sz w:val="24"/>
                <w:szCs w:val="24"/>
              </w:rPr>
            </w:pPr>
          </w:p>
        </w:tc>
      </w:tr>
    </w:tbl>
    <w:p w14:paraId="570CD98B" w14:textId="77777777" w:rsidR="006F76EB" w:rsidRPr="00834D52" w:rsidRDefault="006F76EB" w:rsidP="006F76EB">
      <w:pPr>
        <w:tabs>
          <w:tab w:val="left" w:pos="1701"/>
        </w:tabs>
        <w:spacing w:after="160" w:line="348" w:lineRule="auto"/>
        <w:ind w:right="-6" w:firstLine="567"/>
        <w:jc w:val="both"/>
        <w:rPr>
          <w:rFonts w:ascii="Sylfaen" w:hAnsi="Sylfaen"/>
          <w:sz w:val="24"/>
          <w:szCs w:val="24"/>
        </w:rPr>
      </w:pPr>
      <w:r w:rsidRPr="00834D52">
        <w:rPr>
          <w:rFonts w:ascii="Sylfaen" w:hAnsi="Sylfaen"/>
          <w:sz w:val="24"/>
          <w:szCs w:val="24"/>
        </w:rPr>
        <w:t>2.5.2.</w:t>
      </w:r>
      <w:r w:rsidRPr="00834D52">
        <w:rPr>
          <w:rFonts w:ascii="Sylfaen" w:hAnsi="Sylfaen"/>
          <w:sz w:val="24"/>
          <w:szCs w:val="24"/>
        </w:rPr>
        <w:tab/>
        <w:t xml:space="preserve">Արտադրող երկրի՝ արյան պատրաստուկների </w:t>
      </w:r>
      <w:r w:rsidR="00C54D75">
        <w:rPr>
          <w:rFonts w:ascii="Sylfaen" w:hAnsi="Sylfaen"/>
          <w:sz w:val="24"/>
          <w:szCs w:val="24"/>
        </w:rPr>
        <w:t>և</w:t>
      </w:r>
      <w:r w:rsidRPr="00834D52">
        <w:rPr>
          <w:rFonts w:ascii="Sylfaen" w:hAnsi="Sylfaen"/>
          <w:sz w:val="24"/>
          <w:szCs w:val="24"/>
        </w:rPr>
        <w:t xml:space="preserve"> պատվաստանյութերի որակի հսկողության լաբորատորիան, որը պատասխանատու է սերիայի որակի հսկողության (բացթողման) համար</w:t>
      </w:r>
    </w:p>
    <w:tbl>
      <w:tblPr>
        <w:tblW w:w="9121" w:type="dxa"/>
        <w:jc w:val="center"/>
        <w:tblLayout w:type="fixed"/>
        <w:tblCellMar>
          <w:left w:w="0" w:type="dxa"/>
          <w:right w:w="0" w:type="dxa"/>
        </w:tblCellMar>
        <w:tblLook w:val="01E0" w:firstRow="1" w:lastRow="1" w:firstColumn="1" w:lastColumn="1" w:noHBand="0" w:noVBand="0"/>
      </w:tblPr>
      <w:tblGrid>
        <w:gridCol w:w="5129"/>
        <w:gridCol w:w="3992"/>
      </w:tblGrid>
      <w:tr w:rsidR="006F76EB" w:rsidRPr="00834D52" w14:paraId="2731D7E1"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23029791"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3992" w:type="dxa"/>
            <w:tcBorders>
              <w:top w:val="single" w:sz="4" w:space="0" w:color="000000"/>
              <w:left w:val="single" w:sz="4" w:space="0" w:color="000000"/>
              <w:bottom w:val="single" w:sz="4" w:space="0" w:color="000000"/>
              <w:right w:val="single" w:sz="4" w:space="0" w:color="000000"/>
            </w:tcBorders>
          </w:tcPr>
          <w:p w14:paraId="357D68FF"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571445D"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3E33930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992" w:type="dxa"/>
            <w:tcBorders>
              <w:top w:val="single" w:sz="4" w:space="0" w:color="000000"/>
              <w:left w:val="single" w:sz="4" w:space="0" w:color="000000"/>
              <w:bottom w:val="single" w:sz="4" w:space="0" w:color="000000"/>
              <w:right w:val="single" w:sz="4" w:space="0" w:color="000000"/>
            </w:tcBorders>
          </w:tcPr>
          <w:p w14:paraId="5B9C478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6504AEC"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35586559"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3992" w:type="dxa"/>
            <w:tcBorders>
              <w:top w:val="single" w:sz="4" w:space="0" w:color="000000"/>
              <w:left w:val="single" w:sz="4" w:space="0" w:color="000000"/>
              <w:bottom w:val="single" w:sz="4" w:space="0" w:color="000000"/>
              <w:right w:val="single" w:sz="4" w:space="0" w:color="000000"/>
            </w:tcBorders>
          </w:tcPr>
          <w:p w14:paraId="1B34DEB3"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DDD1472"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61572E0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92" w:type="dxa"/>
            <w:tcBorders>
              <w:top w:val="single" w:sz="4" w:space="0" w:color="000000"/>
              <w:left w:val="single" w:sz="4" w:space="0" w:color="000000"/>
              <w:bottom w:val="single" w:sz="4" w:space="0" w:color="000000"/>
              <w:right w:val="single" w:sz="4" w:space="0" w:color="000000"/>
            </w:tcBorders>
          </w:tcPr>
          <w:p w14:paraId="688DAAC4"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BBDEF8D"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45661AD4"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92" w:type="dxa"/>
            <w:tcBorders>
              <w:top w:val="single" w:sz="4" w:space="0" w:color="000000"/>
              <w:left w:val="single" w:sz="4" w:space="0" w:color="000000"/>
              <w:bottom w:val="single" w:sz="4" w:space="0" w:color="000000"/>
              <w:right w:val="single" w:sz="4" w:space="0" w:color="000000"/>
            </w:tcBorders>
          </w:tcPr>
          <w:p w14:paraId="79200071" w14:textId="77777777" w:rsidR="006F76EB" w:rsidRPr="00834D52" w:rsidRDefault="006F76EB" w:rsidP="000728A0">
            <w:pPr>
              <w:spacing w:after="120" w:line="240" w:lineRule="auto"/>
              <w:ind w:right="-6"/>
              <w:rPr>
                <w:rFonts w:ascii="Sylfaen" w:hAnsi="Sylfaen"/>
                <w:sz w:val="24"/>
                <w:szCs w:val="24"/>
              </w:rPr>
            </w:pPr>
          </w:p>
        </w:tc>
      </w:tr>
    </w:tbl>
    <w:p w14:paraId="209BE1D8" w14:textId="77777777" w:rsidR="000728A0" w:rsidRDefault="000728A0" w:rsidP="006F76EB">
      <w:pPr>
        <w:tabs>
          <w:tab w:val="left" w:pos="1701"/>
        </w:tabs>
        <w:spacing w:after="160" w:line="348" w:lineRule="auto"/>
        <w:ind w:right="-6" w:firstLine="567"/>
        <w:jc w:val="both"/>
        <w:rPr>
          <w:rFonts w:ascii="Sylfaen" w:hAnsi="Sylfaen"/>
          <w:sz w:val="24"/>
          <w:szCs w:val="24"/>
          <w:lang w:val="en-US"/>
        </w:rPr>
      </w:pPr>
    </w:p>
    <w:p w14:paraId="1733EB58" w14:textId="77777777" w:rsidR="006F76EB" w:rsidRPr="00834D52" w:rsidRDefault="006F76EB" w:rsidP="006F76EB">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2.5.3.</w:t>
      </w:r>
      <w:r w:rsidRPr="00834D52">
        <w:rPr>
          <w:rFonts w:ascii="Sylfaen" w:hAnsi="Sylfaen"/>
          <w:sz w:val="24"/>
          <w:szCs w:val="24"/>
        </w:rPr>
        <w:tab/>
        <w:t>Եվրասիական տնտեսական միության շրջանակներում բողոքագրերի հետ աշխատանքի համար պատասխանատու կազմակերպությունը (յուրաքանչյուր պետության համար (առկայության դեպքում))</w:t>
      </w:r>
    </w:p>
    <w:tbl>
      <w:tblPr>
        <w:tblW w:w="9110" w:type="dxa"/>
        <w:jc w:val="center"/>
        <w:tblLayout w:type="fixed"/>
        <w:tblCellMar>
          <w:left w:w="0" w:type="dxa"/>
          <w:right w:w="0" w:type="dxa"/>
        </w:tblCellMar>
        <w:tblLook w:val="01E0" w:firstRow="1" w:lastRow="1" w:firstColumn="1" w:lastColumn="1" w:noHBand="0" w:noVBand="0"/>
      </w:tblPr>
      <w:tblGrid>
        <w:gridCol w:w="5123"/>
        <w:gridCol w:w="3987"/>
      </w:tblGrid>
      <w:tr w:rsidR="006F76EB" w:rsidRPr="00834D52" w14:paraId="0F4E132E"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3DD85A92"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987" w:type="dxa"/>
            <w:tcBorders>
              <w:top w:val="single" w:sz="4" w:space="0" w:color="000000"/>
              <w:left w:val="single" w:sz="4" w:space="0" w:color="000000"/>
              <w:bottom w:val="single" w:sz="4" w:space="0" w:color="000000"/>
              <w:right w:val="single" w:sz="4" w:space="0" w:color="000000"/>
            </w:tcBorders>
          </w:tcPr>
          <w:p w14:paraId="3017777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B79586C"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4142791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3987" w:type="dxa"/>
            <w:tcBorders>
              <w:top w:val="single" w:sz="4" w:space="0" w:color="000000"/>
              <w:left w:val="single" w:sz="4" w:space="0" w:color="000000"/>
              <w:bottom w:val="single" w:sz="4" w:space="0" w:color="000000"/>
              <w:right w:val="single" w:sz="4" w:space="0" w:color="000000"/>
            </w:tcBorders>
          </w:tcPr>
          <w:p w14:paraId="2E2D5096"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797C90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1941D71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3987" w:type="dxa"/>
            <w:tcBorders>
              <w:top w:val="single" w:sz="4" w:space="0" w:color="000000"/>
              <w:left w:val="single" w:sz="4" w:space="0" w:color="000000"/>
              <w:bottom w:val="single" w:sz="4" w:space="0" w:color="000000"/>
              <w:right w:val="single" w:sz="4" w:space="0" w:color="000000"/>
            </w:tcBorders>
          </w:tcPr>
          <w:p w14:paraId="0DE6500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6788C10"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7507A76B"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3987" w:type="dxa"/>
            <w:tcBorders>
              <w:top w:val="single" w:sz="4" w:space="0" w:color="000000"/>
              <w:left w:val="single" w:sz="4" w:space="0" w:color="000000"/>
              <w:bottom w:val="single" w:sz="4" w:space="0" w:color="000000"/>
              <w:right w:val="single" w:sz="4" w:space="0" w:color="000000"/>
            </w:tcBorders>
          </w:tcPr>
          <w:p w14:paraId="41AEB59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6261ACA"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39A21C7A"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7" w:type="dxa"/>
            <w:tcBorders>
              <w:top w:val="single" w:sz="4" w:space="0" w:color="000000"/>
              <w:left w:val="single" w:sz="4" w:space="0" w:color="000000"/>
              <w:bottom w:val="single" w:sz="4" w:space="0" w:color="000000"/>
              <w:right w:val="single" w:sz="4" w:space="0" w:color="000000"/>
            </w:tcBorders>
          </w:tcPr>
          <w:p w14:paraId="1B2B45EB" w14:textId="77777777" w:rsidR="006F76EB" w:rsidRPr="00834D52" w:rsidRDefault="006F76EB" w:rsidP="000728A0">
            <w:pPr>
              <w:spacing w:after="120" w:line="240" w:lineRule="auto"/>
              <w:ind w:right="-6"/>
              <w:rPr>
                <w:rFonts w:ascii="Sylfaen" w:hAnsi="Sylfaen"/>
                <w:sz w:val="24"/>
                <w:szCs w:val="24"/>
              </w:rPr>
            </w:pPr>
          </w:p>
        </w:tc>
      </w:tr>
    </w:tbl>
    <w:p w14:paraId="5EDEB017" w14:textId="77777777" w:rsidR="006F76EB" w:rsidRPr="00834D52" w:rsidRDefault="006F76EB" w:rsidP="006F76EB">
      <w:pPr>
        <w:tabs>
          <w:tab w:val="left" w:pos="1701"/>
        </w:tabs>
        <w:spacing w:after="160" w:line="348" w:lineRule="auto"/>
        <w:ind w:right="-8" w:firstLine="567"/>
        <w:rPr>
          <w:rFonts w:ascii="Sylfaen" w:eastAsia="Times New Roman" w:hAnsi="Sylfaen" w:cs="Times New Roman"/>
          <w:sz w:val="24"/>
          <w:szCs w:val="24"/>
        </w:rPr>
      </w:pPr>
      <w:r w:rsidRPr="00834D52">
        <w:rPr>
          <w:rFonts w:ascii="Sylfaen" w:hAnsi="Sylfaen"/>
          <w:sz w:val="24"/>
          <w:szCs w:val="24"/>
        </w:rPr>
        <w:t>2.5.4.</w:t>
      </w:r>
      <w:r w:rsidRPr="00834D52">
        <w:rPr>
          <w:rFonts w:ascii="Sylfaen" w:hAnsi="Sylfaen"/>
          <w:sz w:val="24"/>
          <w:szCs w:val="24"/>
        </w:rPr>
        <w:tab/>
        <w:t xml:space="preserve">Դեղապատրաստուկ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0165419" w14:textId="77777777" w:rsidR="006F76EB" w:rsidRPr="00834D52" w:rsidRDefault="006F76EB" w:rsidP="006F76EB">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(ներառյալ լուծիչների) արտադրության գործընթացին մասնակցող բոլոր արտադրական հարթակները՝ նշելով արտադրական գործընթացի փուլերը՝</w:t>
      </w:r>
    </w:p>
    <w:tbl>
      <w:tblPr>
        <w:tblStyle w:val="TableGrid"/>
        <w:tblW w:w="0" w:type="auto"/>
        <w:jc w:val="center"/>
        <w:tblLook w:val="04A0" w:firstRow="1" w:lastRow="0" w:firstColumn="1" w:lastColumn="0" w:noHBand="0" w:noVBand="1"/>
      </w:tblPr>
      <w:tblGrid>
        <w:gridCol w:w="5080"/>
        <w:gridCol w:w="3986"/>
      </w:tblGrid>
      <w:tr w:rsidR="006F76EB" w:rsidRPr="00834D52" w14:paraId="66F16942" w14:textId="77777777" w:rsidTr="00F71229">
        <w:trPr>
          <w:jc w:val="center"/>
        </w:trPr>
        <w:tc>
          <w:tcPr>
            <w:tcW w:w="5080" w:type="dxa"/>
          </w:tcPr>
          <w:p w14:paraId="13A51295"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 xml:space="preserve">արտադրական գործընթացի փուլի </w:t>
            </w:r>
            <w:r w:rsidRPr="00834D52">
              <w:rPr>
                <w:rFonts w:ascii="Sylfaen" w:hAnsi="Sylfaen"/>
                <w:sz w:val="24"/>
                <w:szCs w:val="24"/>
              </w:rPr>
              <w:lastRenderedPageBreak/>
              <w:t>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3986" w:type="dxa"/>
          </w:tcPr>
          <w:p w14:paraId="3EC6AD4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5BBCFA66" w14:textId="77777777" w:rsidTr="00F71229">
        <w:trPr>
          <w:jc w:val="center"/>
        </w:trPr>
        <w:tc>
          <w:tcPr>
            <w:tcW w:w="5080" w:type="dxa"/>
          </w:tcPr>
          <w:p w14:paraId="565FF03A"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footnoteReference w:customMarkFollows="1" w:id="2"/>
              <w:t>գործունեության իրականացման վայրի հասցեն*</w:t>
            </w:r>
          </w:p>
        </w:tc>
        <w:tc>
          <w:tcPr>
            <w:tcW w:w="3986" w:type="dxa"/>
          </w:tcPr>
          <w:p w14:paraId="398FC673"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194134E6" w14:textId="77777777" w:rsidTr="00F71229">
        <w:trPr>
          <w:jc w:val="center"/>
        </w:trPr>
        <w:tc>
          <w:tcPr>
            <w:tcW w:w="5080" w:type="dxa"/>
          </w:tcPr>
          <w:p w14:paraId="7BDF05F9"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պետությունը*</w:t>
            </w:r>
          </w:p>
        </w:tc>
        <w:tc>
          <w:tcPr>
            <w:tcW w:w="3986" w:type="dxa"/>
          </w:tcPr>
          <w:p w14:paraId="35F5296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60EF1028" w14:textId="77777777" w:rsidTr="00F71229">
        <w:trPr>
          <w:jc w:val="center"/>
        </w:trPr>
        <w:tc>
          <w:tcPr>
            <w:tcW w:w="5080" w:type="dxa"/>
          </w:tcPr>
          <w:p w14:paraId="75971A0B"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86" w:type="dxa"/>
          </w:tcPr>
          <w:p w14:paraId="40CF049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7EB37ADB" w14:textId="77777777" w:rsidTr="00F71229">
        <w:trPr>
          <w:jc w:val="center"/>
        </w:trPr>
        <w:tc>
          <w:tcPr>
            <w:tcW w:w="5080" w:type="dxa"/>
          </w:tcPr>
          <w:p w14:paraId="4E4BB46F"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6" w:type="dxa"/>
          </w:tcPr>
          <w:p w14:paraId="4955E15D" w14:textId="77777777" w:rsidR="006F76EB" w:rsidRPr="00834D52" w:rsidRDefault="006F76EB" w:rsidP="006D210C">
            <w:pPr>
              <w:spacing w:after="120"/>
              <w:ind w:right="-6"/>
              <w:rPr>
                <w:rFonts w:ascii="Sylfaen" w:eastAsia="Times New Roman" w:hAnsi="Sylfaen" w:cs="Times New Roman"/>
                <w:sz w:val="24"/>
                <w:szCs w:val="24"/>
              </w:rPr>
            </w:pPr>
          </w:p>
        </w:tc>
      </w:tr>
    </w:tbl>
    <w:p w14:paraId="467D2E1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Եվրասիական տնտեսական միության պատշաճ արտադրական գործունեության կանոնների պահպանման մասով հարթակի տեսչական ստուգում Եվրասիական տնտեսական միության անդամ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DB1EC48" w14:textId="77777777" w:rsidTr="00F71229">
        <w:trPr>
          <w:jc w:val="center"/>
        </w:trPr>
        <w:tc>
          <w:tcPr>
            <w:tcW w:w="1560" w:type="dxa"/>
          </w:tcPr>
          <w:p w14:paraId="4B5E6FBD" w14:textId="5523C71F"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74784" behindDoc="0" locked="0" layoutInCell="1" allowOverlap="1" wp14:anchorId="7F6FF335" wp14:editId="07C96B3D">
                      <wp:simplePos x="0" y="0"/>
                      <wp:positionH relativeFrom="column">
                        <wp:posOffset>104775</wp:posOffset>
                      </wp:positionH>
                      <wp:positionV relativeFrom="paragraph">
                        <wp:posOffset>51435</wp:posOffset>
                      </wp:positionV>
                      <wp:extent cx="161925" cy="152400"/>
                      <wp:effectExtent l="5080" t="5715" r="13970" b="13335"/>
                      <wp:wrapNone/>
                      <wp:docPr id="24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7E0F4" id="Rectangle 58" o:spid="_x0000_s1026" style="position:absolute;margin-left:8.25pt;margin-top:4.05pt;width:12.75pt;height:12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00F18CC4" w14:textId="4624317B"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75808" behindDoc="0" locked="0" layoutInCell="1" allowOverlap="1" wp14:anchorId="04D23BFB" wp14:editId="649BC011">
                      <wp:simplePos x="0" y="0"/>
                      <wp:positionH relativeFrom="column">
                        <wp:posOffset>6350</wp:posOffset>
                      </wp:positionH>
                      <wp:positionV relativeFrom="paragraph">
                        <wp:posOffset>51435</wp:posOffset>
                      </wp:positionV>
                      <wp:extent cx="161925" cy="152400"/>
                      <wp:effectExtent l="11430" t="5715" r="7620" b="13335"/>
                      <wp:wrapNone/>
                      <wp:docPr id="24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C2FEC" id="Rectangle 105" o:spid="_x0000_s1026" style="position:absolute;margin-left:.5pt;margin-top:4.05pt;width:12.75pt;height:12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3DC25F06" w14:textId="77777777" w:rsidR="006F76EB" w:rsidRPr="00834D52" w:rsidRDefault="006F76EB" w:rsidP="006F76EB">
      <w:pPr>
        <w:spacing w:after="160" w:line="360" w:lineRule="auto"/>
        <w:ind w:right="-8"/>
        <w:jc w:val="both"/>
        <w:rPr>
          <w:rFonts w:ascii="Sylfaen" w:eastAsia="Times New Roman" w:hAnsi="Sylfaen" w:cs="Times New Roman"/>
          <w:sz w:val="24"/>
          <w:szCs w:val="24"/>
        </w:rPr>
      </w:pPr>
    </w:p>
    <w:p w14:paraId="64C43874"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36" w:type="dxa"/>
        <w:jc w:val="center"/>
        <w:tblLayout w:type="fixed"/>
        <w:tblCellMar>
          <w:left w:w="0" w:type="dxa"/>
          <w:right w:w="0" w:type="dxa"/>
        </w:tblCellMar>
        <w:tblLook w:val="01E0" w:firstRow="1" w:lastRow="1" w:firstColumn="1" w:lastColumn="1" w:noHBand="0" w:noVBand="0"/>
      </w:tblPr>
      <w:tblGrid>
        <w:gridCol w:w="5141"/>
        <w:gridCol w:w="2835"/>
        <w:gridCol w:w="851"/>
        <w:gridCol w:w="809"/>
      </w:tblGrid>
      <w:tr w:rsidR="006F76EB" w:rsidRPr="00834D52" w14:paraId="4A75461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56B69AB9"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495" w:type="dxa"/>
            <w:gridSpan w:val="3"/>
            <w:tcBorders>
              <w:top w:val="single" w:sz="4" w:space="0" w:color="000000"/>
              <w:left w:val="single" w:sz="4" w:space="0" w:color="000000"/>
              <w:bottom w:val="single" w:sz="4" w:space="0" w:color="000000"/>
              <w:right w:val="single" w:sz="4" w:space="0" w:color="000000"/>
            </w:tcBorders>
          </w:tcPr>
          <w:p w14:paraId="365A8A38" w14:textId="77777777" w:rsidR="006F76EB" w:rsidRPr="00834D52" w:rsidRDefault="006F76EB" w:rsidP="004F2439">
            <w:pPr>
              <w:spacing w:after="120" w:line="240" w:lineRule="auto"/>
              <w:ind w:right="-6"/>
              <w:rPr>
                <w:rFonts w:ascii="Sylfaen" w:hAnsi="Sylfaen"/>
                <w:sz w:val="24"/>
                <w:szCs w:val="24"/>
              </w:rPr>
            </w:pPr>
          </w:p>
        </w:tc>
      </w:tr>
      <w:tr w:rsidR="006F76EB" w:rsidRPr="00834D52" w14:paraId="7C9CCDF4"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100F69C1"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 անցկացրած լիազորված մարմնի անվանումը</w:t>
            </w:r>
          </w:p>
        </w:tc>
        <w:tc>
          <w:tcPr>
            <w:tcW w:w="4495" w:type="dxa"/>
            <w:gridSpan w:val="3"/>
            <w:tcBorders>
              <w:top w:val="single" w:sz="4" w:space="0" w:color="000000"/>
              <w:left w:val="single" w:sz="4" w:space="0" w:color="000000"/>
              <w:bottom w:val="single" w:sz="4" w:space="0" w:color="000000"/>
              <w:right w:val="single" w:sz="4" w:space="0" w:color="000000"/>
            </w:tcBorders>
          </w:tcPr>
          <w:p w14:paraId="3A58D2D3" w14:textId="77777777" w:rsidR="006F76EB" w:rsidRPr="00834D52" w:rsidRDefault="006F76EB" w:rsidP="004F2439">
            <w:pPr>
              <w:spacing w:after="120" w:line="240" w:lineRule="auto"/>
              <w:ind w:right="-6"/>
              <w:rPr>
                <w:rFonts w:ascii="Sylfaen" w:hAnsi="Sylfaen"/>
                <w:sz w:val="24"/>
                <w:szCs w:val="24"/>
              </w:rPr>
            </w:pPr>
          </w:p>
        </w:tc>
      </w:tr>
      <w:tr w:rsidR="006F76EB" w:rsidRPr="00834D52" w14:paraId="6BA846F4"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2695F9A9"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495" w:type="dxa"/>
            <w:gridSpan w:val="3"/>
            <w:tcBorders>
              <w:top w:val="single" w:sz="4" w:space="0" w:color="000000"/>
              <w:left w:val="single" w:sz="4" w:space="0" w:color="000000"/>
              <w:bottom w:val="single" w:sz="4" w:space="0" w:color="000000"/>
              <w:right w:val="single" w:sz="4" w:space="0" w:color="000000"/>
            </w:tcBorders>
          </w:tcPr>
          <w:p w14:paraId="62979126" w14:textId="77777777" w:rsidR="006F76EB" w:rsidRPr="00834D52" w:rsidRDefault="006F76EB" w:rsidP="004F2439">
            <w:pPr>
              <w:spacing w:after="120" w:line="240" w:lineRule="auto"/>
              <w:ind w:right="-6"/>
              <w:rPr>
                <w:rFonts w:ascii="Sylfaen" w:hAnsi="Sylfaen"/>
                <w:sz w:val="24"/>
                <w:szCs w:val="24"/>
              </w:rPr>
            </w:pPr>
          </w:p>
        </w:tc>
      </w:tr>
      <w:tr w:rsidR="006F76EB" w:rsidRPr="00834D52" w14:paraId="3EA8F56C"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31B6EAEA"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ստուգվող դեղապատրաստուկների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br/>
              <w:t>ԱԴԲ-ի կատեգորիան</w:t>
            </w:r>
          </w:p>
        </w:tc>
        <w:tc>
          <w:tcPr>
            <w:tcW w:w="4495" w:type="dxa"/>
            <w:gridSpan w:val="3"/>
            <w:tcBorders>
              <w:top w:val="single" w:sz="4" w:space="0" w:color="000000"/>
              <w:left w:val="single" w:sz="4" w:space="0" w:color="000000"/>
              <w:bottom w:val="single" w:sz="4" w:space="0" w:color="auto"/>
              <w:right w:val="single" w:sz="4" w:space="0" w:color="000000"/>
            </w:tcBorders>
          </w:tcPr>
          <w:p w14:paraId="515ED89E" w14:textId="77777777" w:rsidR="006F76EB" w:rsidRPr="00834D52" w:rsidRDefault="006F76EB" w:rsidP="004F2439">
            <w:pPr>
              <w:spacing w:after="120" w:line="240" w:lineRule="auto"/>
              <w:ind w:right="-6"/>
              <w:rPr>
                <w:rFonts w:ascii="Sylfaen" w:hAnsi="Sylfaen"/>
                <w:sz w:val="24"/>
                <w:szCs w:val="24"/>
              </w:rPr>
            </w:pPr>
          </w:p>
        </w:tc>
      </w:tr>
      <w:tr w:rsidR="006F76EB" w:rsidRPr="00834D52" w14:paraId="43F28363" w14:textId="77777777" w:rsidTr="00F71229">
        <w:trPr>
          <w:jc w:val="center"/>
        </w:trPr>
        <w:tc>
          <w:tcPr>
            <w:tcW w:w="5141" w:type="dxa"/>
            <w:tcBorders>
              <w:top w:val="single" w:sz="4" w:space="0" w:color="000000"/>
              <w:left w:val="single" w:sz="4" w:space="0" w:color="000000"/>
              <w:bottom w:val="single" w:sz="4" w:space="0" w:color="000000"/>
              <w:right w:val="single" w:sz="4" w:space="0" w:color="auto"/>
            </w:tcBorders>
          </w:tcPr>
          <w:p w14:paraId="72DC09C5"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35" w:type="dxa"/>
            <w:tcBorders>
              <w:top w:val="single" w:sz="4" w:space="0" w:color="auto"/>
              <w:left w:val="single" w:sz="4" w:space="0" w:color="auto"/>
              <w:bottom w:val="single" w:sz="4" w:space="0" w:color="auto"/>
            </w:tcBorders>
          </w:tcPr>
          <w:p w14:paraId="7E6FCD17" w14:textId="7D26B0A7" w:rsidR="006F76EB" w:rsidRPr="00834D52" w:rsidRDefault="0037154C" w:rsidP="006D210C">
            <w:pPr>
              <w:spacing w:after="120" w:line="240" w:lineRule="auto"/>
              <w:ind w:left="42"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76832" behindDoc="0" locked="0" layoutInCell="1" allowOverlap="1" wp14:anchorId="1053CC40" wp14:editId="37D4E374">
                      <wp:simplePos x="0" y="0"/>
                      <wp:positionH relativeFrom="column">
                        <wp:posOffset>1776730</wp:posOffset>
                      </wp:positionH>
                      <wp:positionV relativeFrom="paragraph">
                        <wp:posOffset>27940</wp:posOffset>
                      </wp:positionV>
                      <wp:extent cx="161925" cy="152400"/>
                      <wp:effectExtent l="6985" t="6350" r="12065" b="12700"/>
                      <wp:wrapNone/>
                      <wp:docPr id="24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9A91D" id="Rectangle 60" o:spid="_x0000_s1026" style="position:absolute;margin-left:139.9pt;margin-top:2.2pt;width:12.75pt;height:1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"/>
                  </w:pict>
                </mc:Fallback>
              </mc:AlternateConten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221BD562" w14:textId="733E895C" w:rsidR="006F76EB" w:rsidRPr="00834D52" w:rsidRDefault="0037154C" w:rsidP="006D210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77856" behindDoc="0" locked="0" layoutInCell="1" allowOverlap="1" wp14:anchorId="79CF7256" wp14:editId="1AE58C28">
                      <wp:simplePos x="0" y="0"/>
                      <wp:positionH relativeFrom="column">
                        <wp:posOffset>481330</wp:posOffset>
                      </wp:positionH>
                      <wp:positionV relativeFrom="paragraph">
                        <wp:posOffset>27940</wp:posOffset>
                      </wp:positionV>
                      <wp:extent cx="161925" cy="152400"/>
                      <wp:effectExtent l="13335" t="6350" r="5715" b="12700"/>
                      <wp:wrapNone/>
                      <wp:docPr id="24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8E4E" id="Rectangle 59" o:spid="_x0000_s1026" style="position:absolute;margin-left:37.9pt;margin-top:2.2pt;width:12.75pt;height:1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"/>
                  </w:pict>
                </mc:Fallback>
              </mc:AlternateContent>
            </w:r>
            <w:r w:rsidR="006F76EB" w:rsidRPr="00834D52">
              <w:rPr>
                <w:rFonts w:ascii="Sylfaen" w:hAnsi="Sylfaen"/>
                <w:sz w:val="24"/>
                <w:szCs w:val="24"/>
              </w:rPr>
              <w:t>ոչ</w:t>
            </w:r>
          </w:p>
        </w:tc>
        <w:tc>
          <w:tcPr>
            <w:tcW w:w="809" w:type="dxa"/>
            <w:tcBorders>
              <w:top w:val="single" w:sz="4" w:space="0" w:color="auto"/>
              <w:bottom w:val="single" w:sz="4" w:space="0" w:color="auto"/>
              <w:right w:val="single" w:sz="4" w:space="0" w:color="auto"/>
            </w:tcBorders>
          </w:tcPr>
          <w:p w14:paraId="20D5C4FB" w14:textId="77777777" w:rsidR="006F76EB" w:rsidRPr="00834D52" w:rsidRDefault="006F76EB" w:rsidP="006D210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49A73B4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կատարվել է պատշաճ արտադրական գործունեության պահանջների պահպանման մասով հարթակի տեսչական ստուգում այլ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DA44E65" w14:textId="77777777" w:rsidTr="00F71229">
        <w:trPr>
          <w:jc w:val="center"/>
        </w:trPr>
        <w:tc>
          <w:tcPr>
            <w:tcW w:w="1560" w:type="dxa"/>
          </w:tcPr>
          <w:p w14:paraId="2F99726D" w14:textId="0791A84A"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78880" behindDoc="0" locked="0" layoutInCell="1" allowOverlap="1" wp14:anchorId="26624B33" wp14:editId="43A40CF3">
                      <wp:simplePos x="0" y="0"/>
                      <wp:positionH relativeFrom="column">
                        <wp:posOffset>104775</wp:posOffset>
                      </wp:positionH>
                      <wp:positionV relativeFrom="paragraph">
                        <wp:posOffset>51435</wp:posOffset>
                      </wp:positionV>
                      <wp:extent cx="161925" cy="152400"/>
                      <wp:effectExtent l="5080" t="13335" r="13970" b="5715"/>
                      <wp:wrapNone/>
                      <wp:docPr id="24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64724" id="Rectangle 106" o:spid="_x0000_s1026" style="position:absolute;margin-left:8.25pt;margin-top:4.05pt;width:12.75pt;height:1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2CC78775" w14:textId="70A0A0EF"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79904" behindDoc="0" locked="0" layoutInCell="1" allowOverlap="1" wp14:anchorId="23EBA40B" wp14:editId="6B3879AC">
                      <wp:simplePos x="0" y="0"/>
                      <wp:positionH relativeFrom="column">
                        <wp:posOffset>6350</wp:posOffset>
                      </wp:positionH>
                      <wp:positionV relativeFrom="paragraph">
                        <wp:posOffset>51435</wp:posOffset>
                      </wp:positionV>
                      <wp:extent cx="161925" cy="152400"/>
                      <wp:effectExtent l="11430" t="13335" r="7620" b="5715"/>
                      <wp:wrapNone/>
                      <wp:docPr id="24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DFDFB" id="Rectangle 107" o:spid="_x0000_s1026" style="position:absolute;margin-left:.5pt;margin-top:4.05pt;width:12.75pt;height:12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2360700E"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 նշե՛ք՝</w:t>
      </w:r>
    </w:p>
    <w:tbl>
      <w:tblPr>
        <w:tblW w:w="9636" w:type="dxa"/>
        <w:jc w:val="center"/>
        <w:tblLayout w:type="fixed"/>
        <w:tblCellMar>
          <w:left w:w="0" w:type="dxa"/>
          <w:right w:w="0" w:type="dxa"/>
        </w:tblCellMar>
        <w:tblLook w:val="01E0" w:firstRow="1" w:lastRow="1" w:firstColumn="1" w:lastColumn="1" w:noHBand="0" w:noVBand="0"/>
      </w:tblPr>
      <w:tblGrid>
        <w:gridCol w:w="5141"/>
        <w:gridCol w:w="2835"/>
        <w:gridCol w:w="851"/>
        <w:gridCol w:w="809"/>
      </w:tblGrid>
      <w:tr w:rsidR="006F76EB" w:rsidRPr="00834D52" w14:paraId="2F5AF20A"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5B78A33"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վերջին տեսչական ստուգման ամսաթիվը</w:t>
            </w:r>
          </w:p>
        </w:tc>
        <w:tc>
          <w:tcPr>
            <w:tcW w:w="4495" w:type="dxa"/>
            <w:gridSpan w:val="3"/>
            <w:tcBorders>
              <w:top w:val="single" w:sz="4" w:space="0" w:color="000000"/>
              <w:left w:val="single" w:sz="4" w:space="0" w:color="000000"/>
              <w:bottom w:val="single" w:sz="4" w:space="0" w:color="000000"/>
              <w:right w:val="single" w:sz="4" w:space="0" w:color="000000"/>
            </w:tcBorders>
          </w:tcPr>
          <w:p w14:paraId="2D3D9A73" w14:textId="77777777" w:rsidR="006F76EB" w:rsidRPr="00834D52" w:rsidRDefault="006F76EB" w:rsidP="006A0AAC">
            <w:pPr>
              <w:spacing w:after="120" w:line="240" w:lineRule="auto"/>
              <w:ind w:right="-6"/>
              <w:rPr>
                <w:rFonts w:ascii="Sylfaen" w:hAnsi="Sylfaen"/>
                <w:sz w:val="24"/>
                <w:szCs w:val="24"/>
              </w:rPr>
            </w:pPr>
          </w:p>
        </w:tc>
      </w:tr>
      <w:tr w:rsidR="006F76EB" w:rsidRPr="00834D52" w14:paraId="5A47974A"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F042F51"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Ստուգում անցկացրած լիազորված մարմնի անվանումը</w:t>
            </w:r>
          </w:p>
        </w:tc>
        <w:tc>
          <w:tcPr>
            <w:tcW w:w="4495" w:type="dxa"/>
            <w:gridSpan w:val="3"/>
            <w:tcBorders>
              <w:top w:val="single" w:sz="4" w:space="0" w:color="000000"/>
              <w:left w:val="single" w:sz="4" w:space="0" w:color="000000"/>
              <w:bottom w:val="single" w:sz="4" w:space="0" w:color="000000"/>
              <w:right w:val="single" w:sz="4" w:space="0" w:color="000000"/>
            </w:tcBorders>
          </w:tcPr>
          <w:p w14:paraId="6E980D6A"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7A4FA32"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0783CE6C"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տեսչական ստուգման տեսակը</w:t>
            </w:r>
          </w:p>
        </w:tc>
        <w:tc>
          <w:tcPr>
            <w:tcW w:w="4495" w:type="dxa"/>
            <w:gridSpan w:val="3"/>
            <w:tcBorders>
              <w:top w:val="single" w:sz="4" w:space="0" w:color="000000"/>
              <w:left w:val="single" w:sz="4" w:space="0" w:color="000000"/>
              <w:bottom w:val="single" w:sz="4" w:space="0" w:color="000000"/>
              <w:right w:val="single" w:sz="4" w:space="0" w:color="000000"/>
            </w:tcBorders>
          </w:tcPr>
          <w:p w14:paraId="6692C539" w14:textId="77777777" w:rsidR="006F76EB" w:rsidRPr="00834D52" w:rsidRDefault="006F76EB" w:rsidP="006A0AAC">
            <w:pPr>
              <w:spacing w:after="120" w:line="240" w:lineRule="auto"/>
              <w:ind w:right="-6"/>
              <w:rPr>
                <w:rFonts w:ascii="Sylfaen" w:hAnsi="Sylfaen"/>
                <w:sz w:val="24"/>
                <w:szCs w:val="24"/>
              </w:rPr>
            </w:pPr>
          </w:p>
        </w:tc>
      </w:tr>
      <w:tr w:rsidR="006F76EB" w:rsidRPr="00834D52" w14:paraId="3B1AD3F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7F1F0582"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 xml:space="preserve">ստուգվող դեղապատրաստուկների </w:t>
            </w:r>
            <w:r w:rsidR="00C54D75">
              <w:rPr>
                <w:rFonts w:ascii="Sylfaen" w:hAnsi="Sylfaen"/>
                <w:sz w:val="24"/>
                <w:szCs w:val="24"/>
              </w:rPr>
              <w:t>և</w:t>
            </w:r>
            <w:r w:rsidRPr="00834D52">
              <w:rPr>
                <w:rFonts w:ascii="Sylfaen" w:hAnsi="Sylfaen"/>
                <w:sz w:val="24"/>
                <w:szCs w:val="24"/>
              </w:rPr>
              <w:t xml:space="preserve"> ԱԴԲ-ի կատեգորիան</w:t>
            </w:r>
          </w:p>
        </w:tc>
        <w:tc>
          <w:tcPr>
            <w:tcW w:w="4495" w:type="dxa"/>
            <w:gridSpan w:val="3"/>
            <w:tcBorders>
              <w:top w:val="single" w:sz="4" w:space="0" w:color="000000"/>
              <w:left w:val="single" w:sz="4" w:space="0" w:color="000000"/>
              <w:bottom w:val="single" w:sz="4" w:space="0" w:color="000000"/>
              <w:right w:val="single" w:sz="4" w:space="0" w:color="000000"/>
            </w:tcBorders>
          </w:tcPr>
          <w:p w14:paraId="64235904"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C893BD9" w14:textId="77777777" w:rsidTr="00F71229">
        <w:trPr>
          <w:jc w:val="center"/>
        </w:trPr>
        <w:tc>
          <w:tcPr>
            <w:tcW w:w="5141" w:type="dxa"/>
            <w:tcBorders>
              <w:top w:val="single" w:sz="4" w:space="0" w:color="000000"/>
              <w:left w:val="single" w:sz="4" w:space="0" w:color="000000"/>
              <w:bottom w:val="single" w:sz="4" w:space="0" w:color="000000"/>
              <w:right w:val="single" w:sz="4" w:space="0" w:color="auto"/>
            </w:tcBorders>
          </w:tcPr>
          <w:p w14:paraId="0F4322BF"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35" w:type="dxa"/>
            <w:tcBorders>
              <w:top w:val="single" w:sz="4" w:space="0" w:color="auto"/>
              <w:left w:val="single" w:sz="4" w:space="0" w:color="auto"/>
              <w:bottom w:val="single" w:sz="4" w:space="0" w:color="auto"/>
            </w:tcBorders>
          </w:tcPr>
          <w:p w14:paraId="1D98B5B5" w14:textId="78B245A4" w:rsidR="006F76EB" w:rsidRPr="00834D52" w:rsidRDefault="0037154C" w:rsidP="006A0AAC">
            <w:pPr>
              <w:spacing w:after="120" w:line="240" w:lineRule="auto"/>
              <w:ind w:left="56"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80928" behindDoc="0" locked="0" layoutInCell="1" allowOverlap="1" wp14:anchorId="2200FC89" wp14:editId="6C684F2C">
                      <wp:simplePos x="0" y="0"/>
                      <wp:positionH relativeFrom="column">
                        <wp:posOffset>1776730</wp:posOffset>
                      </wp:positionH>
                      <wp:positionV relativeFrom="paragraph">
                        <wp:posOffset>27940</wp:posOffset>
                      </wp:positionV>
                      <wp:extent cx="161925" cy="152400"/>
                      <wp:effectExtent l="6985" t="11430" r="12065" b="7620"/>
                      <wp:wrapNone/>
                      <wp:docPr id="24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277C4" id="Rectangle 109" o:spid="_x0000_s1026" style="position:absolute;margin-left:139.9pt;margin-top:2.2pt;width:12.75pt;height:1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"/>
                  </w:pict>
                </mc:Fallback>
              </mc:AlternateConten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067F9CB3" w14:textId="7EA067CA" w:rsidR="006F76EB" w:rsidRPr="00834D52" w:rsidRDefault="0037154C" w:rsidP="006A0AA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81952" behindDoc="0" locked="0" layoutInCell="1" allowOverlap="1" wp14:anchorId="1AE4D2A3" wp14:editId="23729A91">
                      <wp:simplePos x="0" y="0"/>
                      <wp:positionH relativeFrom="column">
                        <wp:posOffset>481330</wp:posOffset>
                      </wp:positionH>
                      <wp:positionV relativeFrom="paragraph">
                        <wp:posOffset>27940</wp:posOffset>
                      </wp:positionV>
                      <wp:extent cx="161925" cy="152400"/>
                      <wp:effectExtent l="13335" t="11430" r="5715" b="7620"/>
                      <wp:wrapNone/>
                      <wp:docPr id="24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4DD1F" id="Rectangle 108" o:spid="_x0000_s1026" style="position:absolute;margin-left:37.9pt;margin-top:2.2pt;width:12.75pt;height:1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"/>
                  </w:pict>
                </mc:Fallback>
              </mc:AlternateContent>
            </w:r>
            <w:r w:rsidR="006F76EB" w:rsidRPr="00834D52">
              <w:rPr>
                <w:rFonts w:ascii="Sylfaen" w:hAnsi="Sylfaen"/>
                <w:sz w:val="24"/>
                <w:szCs w:val="24"/>
              </w:rPr>
              <w:t>ոչ</w:t>
            </w:r>
          </w:p>
        </w:tc>
        <w:tc>
          <w:tcPr>
            <w:tcW w:w="809" w:type="dxa"/>
            <w:tcBorders>
              <w:top w:val="single" w:sz="4" w:space="0" w:color="auto"/>
              <w:bottom w:val="single" w:sz="4" w:space="0" w:color="auto"/>
              <w:right w:val="single" w:sz="4" w:space="0" w:color="auto"/>
            </w:tcBorders>
          </w:tcPr>
          <w:p w14:paraId="68AB3E7D" w14:textId="77777777" w:rsidR="006F76EB" w:rsidRPr="00834D52" w:rsidRDefault="006F76EB" w:rsidP="006A0AA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07C99FAB"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2.5.5.</w:t>
      </w:r>
      <w:r w:rsidRPr="00834D52">
        <w:rPr>
          <w:rFonts w:ascii="Sylfaen" w:hAnsi="Sylfaen"/>
          <w:sz w:val="24"/>
          <w:szCs w:val="24"/>
        </w:rPr>
        <w:tab/>
        <w:t xml:space="preserve">ԱԴԲ-ի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5CFF209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արտադրության գործընթացին մասնակցող բոլոր արտադրական հարթակները՝ նշելով արտադրության փուլը: Կենսաբանական դեղապատրաստուկների դեպքում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tbl>
      <w:tblPr>
        <w:tblW w:w="9636" w:type="dxa"/>
        <w:jc w:val="center"/>
        <w:tblLayout w:type="fixed"/>
        <w:tblCellMar>
          <w:left w:w="0" w:type="dxa"/>
          <w:right w:w="0" w:type="dxa"/>
        </w:tblCellMar>
        <w:tblLook w:val="01E0" w:firstRow="1" w:lastRow="1" w:firstColumn="1" w:lastColumn="1" w:noHBand="0" w:noVBand="0"/>
      </w:tblPr>
      <w:tblGrid>
        <w:gridCol w:w="5141"/>
        <w:gridCol w:w="4495"/>
      </w:tblGrid>
      <w:tr w:rsidR="006F76EB" w:rsidRPr="00834D52" w14:paraId="7390DF8E"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2910C0E"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արտադրական գործընթացի փուլի անվանումը, ակտիվ դեղագործական բաղադրամասը</w:t>
            </w:r>
          </w:p>
        </w:tc>
        <w:tc>
          <w:tcPr>
            <w:tcW w:w="4495" w:type="dxa"/>
            <w:tcBorders>
              <w:top w:val="single" w:sz="4" w:space="0" w:color="000000"/>
              <w:left w:val="single" w:sz="4" w:space="0" w:color="000000"/>
              <w:bottom w:val="single" w:sz="4" w:space="0" w:color="000000"/>
              <w:right w:val="single" w:sz="4" w:space="0" w:color="000000"/>
            </w:tcBorders>
          </w:tcPr>
          <w:p w14:paraId="51884376" w14:textId="77777777" w:rsidR="006F76EB" w:rsidRPr="00834D52" w:rsidRDefault="006F76EB" w:rsidP="006A0AAC">
            <w:pPr>
              <w:spacing w:after="120" w:line="240" w:lineRule="auto"/>
              <w:ind w:right="-6"/>
              <w:rPr>
                <w:rFonts w:ascii="Sylfaen" w:hAnsi="Sylfaen"/>
                <w:sz w:val="24"/>
                <w:szCs w:val="24"/>
              </w:rPr>
            </w:pPr>
          </w:p>
        </w:tc>
      </w:tr>
      <w:tr w:rsidR="006F76EB" w:rsidRPr="00834D52" w14:paraId="1E5D61B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17DD34B0"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հանդիսացող ֆիզիկական անձի ազգանունը, անունը, հայրանունը</w:t>
            </w:r>
          </w:p>
        </w:tc>
        <w:tc>
          <w:tcPr>
            <w:tcW w:w="4495" w:type="dxa"/>
            <w:tcBorders>
              <w:top w:val="single" w:sz="4" w:space="0" w:color="000000"/>
              <w:left w:val="single" w:sz="4" w:space="0" w:color="000000"/>
              <w:bottom w:val="single" w:sz="4" w:space="0" w:color="000000"/>
              <w:right w:val="single" w:sz="4" w:space="0" w:color="000000"/>
            </w:tcBorders>
          </w:tcPr>
          <w:p w14:paraId="1C3AFF35"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99B709D"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7F7B15BA"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գործունեություն իրականացնելու վայրի հասցեն</w:t>
            </w:r>
          </w:p>
        </w:tc>
        <w:tc>
          <w:tcPr>
            <w:tcW w:w="4495" w:type="dxa"/>
            <w:tcBorders>
              <w:top w:val="single" w:sz="4" w:space="0" w:color="000000"/>
              <w:left w:val="single" w:sz="4" w:space="0" w:color="000000"/>
              <w:bottom w:val="single" w:sz="4" w:space="0" w:color="000000"/>
              <w:right w:val="single" w:sz="4" w:space="0" w:color="000000"/>
            </w:tcBorders>
          </w:tcPr>
          <w:p w14:paraId="2FFD75C2"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A7E6F1C"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B3C0868"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495" w:type="dxa"/>
            <w:tcBorders>
              <w:top w:val="single" w:sz="4" w:space="0" w:color="000000"/>
              <w:left w:val="single" w:sz="4" w:space="0" w:color="000000"/>
              <w:bottom w:val="single" w:sz="4" w:space="0" w:color="000000"/>
              <w:right w:val="single" w:sz="4" w:space="0" w:color="000000"/>
            </w:tcBorders>
          </w:tcPr>
          <w:p w14:paraId="591B61A9"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3788BF5"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2F792910"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495" w:type="dxa"/>
            <w:tcBorders>
              <w:top w:val="single" w:sz="4" w:space="0" w:color="000000"/>
              <w:left w:val="single" w:sz="4" w:space="0" w:color="000000"/>
              <w:bottom w:val="single" w:sz="4" w:space="0" w:color="000000"/>
              <w:right w:val="single" w:sz="4" w:space="0" w:color="000000"/>
            </w:tcBorders>
          </w:tcPr>
          <w:p w14:paraId="562924E0"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9ECF225"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29DDCAB"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495" w:type="dxa"/>
            <w:tcBorders>
              <w:top w:val="single" w:sz="4" w:space="0" w:color="000000"/>
              <w:left w:val="single" w:sz="4" w:space="0" w:color="000000"/>
              <w:bottom w:val="single" w:sz="4" w:space="0" w:color="000000"/>
              <w:right w:val="single" w:sz="4" w:space="0" w:color="000000"/>
            </w:tcBorders>
          </w:tcPr>
          <w:p w14:paraId="3D275B78" w14:textId="77777777" w:rsidR="006F76EB" w:rsidRPr="00834D52" w:rsidRDefault="006F76EB" w:rsidP="006A0AAC">
            <w:pPr>
              <w:spacing w:after="120" w:line="240" w:lineRule="auto"/>
              <w:ind w:right="-6"/>
              <w:rPr>
                <w:rFonts w:ascii="Sylfaen" w:hAnsi="Sylfaen"/>
                <w:sz w:val="24"/>
                <w:szCs w:val="24"/>
              </w:rPr>
            </w:pPr>
          </w:p>
        </w:tc>
      </w:tr>
    </w:tbl>
    <w:p w14:paraId="02125055" w14:textId="6B5BFDC1"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համար կցե՛ք արտադրողի լիազորված անձի </w:t>
      </w:r>
      <w:r w:rsidR="0056496B">
        <w:rPr>
          <w:rFonts w:ascii="Sylfaen" w:hAnsi="Sylfaen"/>
          <w:sz w:val="24"/>
          <w:szCs w:val="24"/>
        </w:rPr>
        <w:t>դիմում</w:t>
      </w:r>
      <w:r w:rsidRPr="00834D52">
        <w:rPr>
          <w:rFonts w:ascii="Sylfaen" w:hAnsi="Sylfaen"/>
          <w:sz w:val="24"/>
          <w:szCs w:val="24"/>
        </w:rPr>
        <w:t xml:space="preserve">ը՝ համաձայն սույն </w:t>
      </w:r>
      <w:r w:rsidR="0056496B">
        <w:rPr>
          <w:rFonts w:ascii="Sylfaen" w:hAnsi="Sylfaen"/>
          <w:sz w:val="24"/>
          <w:szCs w:val="24"/>
        </w:rPr>
        <w:t>դիմում</w:t>
      </w:r>
      <w:r w:rsidRPr="00834D52">
        <w:rPr>
          <w:rFonts w:ascii="Sylfaen" w:hAnsi="Sylfaen"/>
          <w:sz w:val="24"/>
          <w:szCs w:val="24"/>
        </w:rPr>
        <w:t xml:space="preserve">ի հավելվածի 4.5 կետի (կցե՛ք այն սխեման, որը ներառում է արտադրության գործընթացում ներգրավված տարբեր արտադրական հարթակների համար գործողությունները </w:t>
      </w:r>
      <w:r w:rsidR="00C54D75">
        <w:rPr>
          <w:rFonts w:ascii="Sylfaen" w:hAnsi="Sylfaen"/>
          <w:sz w:val="24"/>
          <w:szCs w:val="24"/>
        </w:rPr>
        <w:t>և</w:t>
      </w:r>
      <w:r w:rsidRPr="00834D52">
        <w:rPr>
          <w:rFonts w:ascii="Sylfaen" w:hAnsi="Sylfaen"/>
          <w:sz w:val="24"/>
          <w:szCs w:val="24"/>
        </w:rPr>
        <w:t xml:space="preserve"> դրանց հաջորդականությունը՝ ներառյալ բացթողման հսկողությունը):</w:t>
      </w:r>
    </w:p>
    <w:p w14:paraId="13A08D0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Արդյո՞ք անցկացվել է Եվրասիական տնտեսական միության պատշաճ արտադրական գործունեության կանոնների պահանջների պահպանման մասով ԱԴԲ-ի հարթակի տեսչական ստուգում Եվրասիական տնտեսական միության անդամ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C6B3FF1" w14:textId="77777777" w:rsidTr="00F71229">
        <w:trPr>
          <w:jc w:val="center"/>
        </w:trPr>
        <w:tc>
          <w:tcPr>
            <w:tcW w:w="1560" w:type="dxa"/>
          </w:tcPr>
          <w:p w14:paraId="114EBEE1" w14:textId="1375CE51"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82976" behindDoc="0" locked="0" layoutInCell="1" allowOverlap="1" wp14:anchorId="577179E6" wp14:editId="77E47BFF">
                      <wp:simplePos x="0" y="0"/>
                      <wp:positionH relativeFrom="column">
                        <wp:posOffset>104775</wp:posOffset>
                      </wp:positionH>
                      <wp:positionV relativeFrom="paragraph">
                        <wp:posOffset>51435</wp:posOffset>
                      </wp:positionV>
                      <wp:extent cx="161925" cy="152400"/>
                      <wp:effectExtent l="5080" t="7620" r="13970" b="11430"/>
                      <wp:wrapNone/>
                      <wp:docPr id="24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8E0F6" id="Rectangle 110" o:spid="_x0000_s1026" style="position:absolute;margin-left:8.25pt;margin-top:4.05pt;width:12.75pt;height:1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14FD81DA" w14:textId="0913B2C9"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84000" behindDoc="0" locked="0" layoutInCell="1" allowOverlap="1" wp14:anchorId="375E5FB8" wp14:editId="5E980564">
                      <wp:simplePos x="0" y="0"/>
                      <wp:positionH relativeFrom="column">
                        <wp:posOffset>6350</wp:posOffset>
                      </wp:positionH>
                      <wp:positionV relativeFrom="paragraph">
                        <wp:posOffset>51435</wp:posOffset>
                      </wp:positionV>
                      <wp:extent cx="161925" cy="152400"/>
                      <wp:effectExtent l="11430" t="7620" r="7620" b="11430"/>
                      <wp:wrapNone/>
                      <wp:docPr id="23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B8470" id="Rectangle 111" o:spid="_x0000_s1026" style="position:absolute;margin-left:.5pt;margin-top:4.05pt;width:12.75pt;height:1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1980DFC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ԱԴԲ-ի համար տրվել է Եվրոպական դեղագրքի մենագրությանը համապատասխանության սերտիֆիկատ</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E322E28" w14:textId="77777777" w:rsidTr="00F71229">
        <w:trPr>
          <w:jc w:val="center"/>
        </w:trPr>
        <w:tc>
          <w:tcPr>
            <w:tcW w:w="1560" w:type="dxa"/>
          </w:tcPr>
          <w:p w14:paraId="0015F6B1" w14:textId="4BA6EB06"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85024" behindDoc="0" locked="0" layoutInCell="1" allowOverlap="1" wp14:anchorId="3A8AF6A7" wp14:editId="4784C5D9">
                      <wp:simplePos x="0" y="0"/>
                      <wp:positionH relativeFrom="column">
                        <wp:posOffset>104775</wp:posOffset>
                      </wp:positionH>
                      <wp:positionV relativeFrom="paragraph">
                        <wp:posOffset>51435</wp:posOffset>
                      </wp:positionV>
                      <wp:extent cx="161925" cy="152400"/>
                      <wp:effectExtent l="5080" t="8890" r="13970" b="10160"/>
                      <wp:wrapNone/>
                      <wp:docPr id="23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FC412" id="Rectangle 112" o:spid="_x0000_s1026" style="position:absolute;margin-left:8.25pt;margin-top:4.05pt;width:12.75pt;height:1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65A5A184" w14:textId="16A99E9F"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86048" behindDoc="0" locked="0" layoutInCell="1" allowOverlap="1" wp14:anchorId="00253239" wp14:editId="217EC072">
                      <wp:simplePos x="0" y="0"/>
                      <wp:positionH relativeFrom="column">
                        <wp:posOffset>6350</wp:posOffset>
                      </wp:positionH>
                      <wp:positionV relativeFrom="paragraph">
                        <wp:posOffset>51435</wp:posOffset>
                      </wp:positionV>
                      <wp:extent cx="161925" cy="152400"/>
                      <wp:effectExtent l="11430" t="8890" r="7620" b="10160"/>
                      <wp:wrapNone/>
                      <wp:docPr id="23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5D739" id="Rectangle 113" o:spid="_x0000_s1026" style="position:absolute;margin-left:.5pt;margin-top:4.05pt;width:12.75pt;height:1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0621768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36" w:type="dxa"/>
        <w:jc w:val="center"/>
        <w:tblLayout w:type="fixed"/>
        <w:tblCellMar>
          <w:left w:w="0" w:type="dxa"/>
          <w:right w:w="0" w:type="dxa"/>
        </w:tblCellMar>
        <w:tblLook w:val="01E0" w:firstRow="1" w:lastRow="1" w:firstColumn="1" w:lastColumn="1" w:noHBand="0" w:noVBand="0"/>
      </w:tblPr>
      <w:tblGrid>
        <w:gridCol w:w="5103"/>
        <w:gridCol w:w="4533"/>
      </w:tblGrid>
      <w:tr w:rsidR="006F76EB" w:rsidRPr="00834D52" w14:paraId="5F909AF9" w14:textId="77777777" w:rsidTr="00F71229">
        <w:trPr>
          <w:jc w:val="center"/>
        </w:trPr>
        <w:tc>
          <w:tcPr>
            <w:tcW w:w="5103" w:type="dxa"/>
            <w:tcBorders>
              <w:top w:val="single" w:sz="4" w:space="0" w:color="auto"/>
              <w:left w:val="single" w:sz="4" w:space="0" w:color="auto"/>
              <w:bottom w:val="single" w:sz="4" w:space="0" w:color="auto"/>
              <w:right w:val="single" w:sz="4" w:space="0" w:color="auto"/>
            </w:tcBorders>
          </w:tcPr>
          <w:p w14:paraId="4CCD8D4F"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ակտիվ դեղագործական բաղադրամասի անվանումը</w:t>
            </w:r>
          </w:p>
        </w:tc>
        <w:tc>
          <w:tcPr>
            <w:tcW w:w="4533" w:type="dxa"/>
            <w:tcBorders>
              <w:top w:val="single" w:sz="4" w:space="0" w:color="auto"/>
              <w:left w:val="single" w:sz="4" w:space="0" w:color="auto"/>
              <w:bottom w:val="single" w:sz="4" w:space="0" w:color="auto"/>
              <w:right w:val="single" w:sz="4" w:space="0" w:color="auto"/>
            </w:tcBorders>
          </w:tcPr>
          <w:p w14:paraId="04B2EF3D" w14:textId="77777777" w:rsidR="006F76EB" w:rsidRPr="00834D52" w:rsidRDefault="006F76EB" w:rsidP="0004077C">
            <w:pPr>
              <w:spacing w:after="0" w:line="240" w:lineRule="auto"/>
              <w:ind w:right="-6"/>
              <w:rPr>
                <w:rFonts w:ascii="Sylfaen" w:hAnsi="Sylfaen"/>
                <w:sz w:val="24"/>
                <w:szCs w:val="24"/>
              </w:rPr>
            </w:pPr>
          </w:p>
        </w:tc>
      </w:tr>
      <w:tr w:rsidR="006F76EB" w:rsidRPr="00834D52" w14:paraId="505B6E68" w14:textId="77777777" w:rsidTr="00F71229">
        <w:trPr>
          <w:jc w:val="center"/>
        </w:trPr>
        <w:tc>
          <w:tcPr>
            <w:tcW w:w="5103" w:type="dxa"/>
            <w:tcBorders>
              <w:top w:val="single" w:sz="4" w:space="0" w:color="auto"/>
              <w:left w:val="single" w:sz="4" w:space="0" w:color="000000"/>
              <w:bottom w:val="single" w:sz="4" w:space="0" w:color="000000"/>
              <w:right w:val="single" w:sz="4" w:space="0" w:color="000000"/>
            </w:tcBorders>
          </w:tcPr>
          <w:p w14:paraId="49963BEA"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ձեռնարկատեր հանդիսացող ֆիզիկական անձի (արտադրողի) ազգանունը, անունը, հայրանունը</w:t>
            </w:r>
          </w:p>
        </w:tc>
        <w:tc>
          <w:tcPr>
            <w:tcW w:w="4533" w:type="dxa"/>
            <w:tcBorders>
              <w:top w:val="single" w:sz="4" w:space="0" w:color="auto"/>
              <w:left w:val="single" w:sz="4" w:space="0" w:color="000000"/>
              <w:bottom w:val="single" w:sz="4" w:space="0" w:color="000000"/>
              <w:right w:val="single" w:sz="4" w:space="0" w:color="000000"/>
            </w:tcBorders>
          </w:tcPr>
          <w:p w14:paraId="23856AB5" w14:textId="77777777" w:rsidR="006F76EB" w:rsidRPr="00834D52" w:rsidRDefault="006F76EB" w:rsidP="0004077C">
            <w:pPr>
              <w:spacing w:after="0" w:line="240" w:lineRule="auto"/>
              <w:ind w:right="-6"/>
              <w:rPr>
                <w:rFonts w:ascii="Sylfaen" w:hAnsi="Sylfaen"/>
                <w:sz w:val="24"/>
                <w:szCs w:val="24"/>
              </w:rPr>
            </w:pPr>
          </w:p>
        </w:tc>
      </w:tr>
      <w:tr w:rsidR="006F76EB" w:rsidRPr="00834D52" w14:paraId="1A5641E2"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5EA75EA7"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համապատասխանության սերտիֆիկատի համարը</w:t>
            </w:r>
          </w:p>
        </w:tc>
        <w:tc>
          <w:tcPr>
            <w:tcW w:w="4533" w:type="dxa"/>
            <w:tcBorders>
              <w:top w:val="single" w:sz="4" w:space="0" w:color="000000"/>
              <w:left w:val="single" w:sz="4" w:space="0" w:color="000000"/>
              <w:bottom w:val="single" w:sz="4" w:space="0" w:color="000000"/>
              <w:right w:val="single" w:sz="4" w:space="0" w:color="000000"/>
            </w:tcBorders>
          </w:tcPr>
          <w:p w14:paraId="55E70276" w14:textId="77777777" w:rsidR="006F76EB" w:rsidRPr="00834D52" w:rsidRDefault="006F76EB" w:rsidP="0004077C">
            <w:pPr>
              <w:spacing w:after="0" w:line="240" w:lineRule="auto"/>
              <w:ind w:right="-6"/>
              <w:rPr>
                <w:rFonts w:ascii="Sylfaen" w:hAnsi="Sylfaen"/>
                <w:sz w:val="24"/>
                <w:szCs w:val="24"/>
              </w:rPr>
            </w:pPr>
          </w:p>
        </w:tc>
      </w:tr>
      <w:tr w:rsidR="006F76EB" w:rsidRPr="00834D52" w14:paraId="10E17F0F"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7A2A4CD8"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4533" w:type="dxa"/>
            <w:tcBorders>
              <w:top w:val="single" w:sz="4" w:space="0" w:color="000000"/>
              <w:left w:val="single" w:sz="4" w:space="0" w:color="000000"/>
              <w:bottom w:val="single" w:sz="4" w:space="0" w:color="000000"/>
              <w:right w:val="single" w:sz="4" w:space="0" w:color="000000"/>
            </w:tcBorders>
          </w:tcPr>
          <w:p w14:paraId="43D30131" w14:textId="77777777" w:rsidR="006F76EB" w:rsidRPr="00834D52" w:rsidRDefault="006F76EB" w:rsidP="0004077C">
            <w:pPr>
              <w:spacing w:after="0" w:line="240" w:lineRule="auto"/>
              <w:ind w:right="-6"/>
              <w:rPr>
                <w:rFonts w:ascii="Sylfaen" w:hAnsi="Sylfaen"/>
                <w:sz w:val="24"/>
                <w:szCs w:val="24"/>
              </w:rPr>
            </w:pPr>
          </w:p>
        </w:tc>
      </w:tr>
    </w:tbl>
    <w:p w14:paraId="35D41627" w14:textId="77777777" w:rsidR="0004077C" w:rsidRDefault="0004077C" w:rsidP="006F76EB">
      <w:pPr>
        <w:spacing w:after="160" w:line="360" w:lineRule="auto"/>
        <w:ind w:right="-8" w:firstLine="567"/>
        <w:jc w:val="both"/>
        <w:rPr>
          <w:rFonts w:ascii="Sylfaen" w:hAnsi="Sylfaen"/>
          <w:sz w:val="24"/>
          <w:szCs w:val="24"/>
          <w:lang w:val="en-US"/>
        </w:rPr>
      </w:pPr>
    </w:p>
    <w:p w14:paraId="2462966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պատշաճ արտադրական գործունեության կանոնների պահպանման մասով հարթակի տեսչական ստուգում այլ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74F165E" w14:textId="77777777" w:rsidTr="00F71229">
        <w:trPr>
          <w:jc w:val="center"/>
        </w:trPr>
        <w:tc>
          <w:tcPr>
            <w:tcW w:w="1560" w:type="dxa"/>
          </w:tcPr>
          <w:p w14:paraId="752FFAA0" w14:textId="0CC77732"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87072" behindDoc="0" locked="0" layoutInCell="1" allowOverlap="1" wp14:anchorId="2E04681C" wp14:editId="09188588">
                      <wp:simplePos x="0" y="0"/>
                      <wp:positionH relativeFrom="column">
                        <wp:posOffset>104775</wp:posOffset>
                      </wp:positionH>
                      <wp:positionV relativeFrom="paragraph">
                        <wp:posOffset>51435</wp:posOffset>
                      </wp:positionV>
                      <wp:extent cx="161925" cy="152400"/>
                      <wp:effectExtent l="5080" t="11430" r="13970" b="7620"/>
                      <wp:wrapNone/>
                      <wp:docPr id="23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16A04" id="Rectangle 114" o:spid="_x0000_s1026" style="position:absolute;margin-left:8.25pt;margin-top:4.05pt;width:12.75pt;height:1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4CAEC1D6" w14:textId="705A02C6"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88096" behindDoc="0" locked="0" layoutInCell="1" allowOverlap="1" wp14:anchorId="7A1AC4E0" wp14:editId="5D1B034A">
                      <wp:simplePos x="0" y="0"/>
                      <wp:positionH relativeFrom="column">
                        <wp:posOffset>6350</wp:posOffset>
                      </wp:positionH>
                      <wp:positionV relativeFrom="paragraph">
                        <wp:posOffset>51435</wp:posOffset>
                      </wp:positionV>
                      <wp:extent cx="161925" cy="152400"/>
                      <wp:effectExtent l="11430" t="11430" r="7620" b="7620"/>
                      <wp:wrapNone/>
                      <wp:docPr id="23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5B483" id="Rectangle 115" o:spid="_x0000_s1026" style="position:absolute;margin-left:.5pt;margin-top:4.05pt;width:12.75pt;height:1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6019F601"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786" w:type="dxa"/>
        <w:jc w:val="center"/>
        <w:tblLayout w:type="fixed"/>
        <w:tblCellMar>
          <w:left w:w="0" w:type="dxa"/>
          <w:right w:w="0" w:type="dxa"/>
        </w:tblCellMar>
        <w:tblLook w:val="01E0" w:firstRow="1" w:lastRow="1" w:firstColumn="1" w:lastColumn="1" w:noHBand="0" w:noVBand="0"/>
      </w:tblPr>
      <w:tblGrid>
        <w:gridCol w:w="5164"/>
        <w:gridCol w:w="2936"/>
        <w:gridCol w:w="864"/>
        <w:gridCol w:w="822"/>
      </w:tblGrid>
      <w:tr w:rsidR="006F76EB" w:rsidRPr="00834D52" w14:paraId="5D090F3C"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000000"/>
            </w:tcBorders>
          </w:tcPr>
          <w:p w14:paraId="5EFF66BE"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622" w:type="dxa"/>
            <w:gridSpan w:val="3"/>
            <w:tcBorders>
              <w:top w:val="single" w:sz="4" w:space="0" w:color="000000"/>
              <w:left w:val="single" w:sz="4" w:space="0" w:color="000000"/>
              <w:bottom w:val="single" w:sz="4" w:space="0" w:color="000000"/>
              <w:right w:val="single" w:sz="4" w:space="0" w:color="000000"/>
            </w:tcBorders>
          </w:tcPr>
          <w:p w14:paraId="071573D3" w14:textId="77777777" w:rsidR="006F76EB" w:rsidRPr="00834D52" w:rsidRDefault="006F76EB" w:rsidP="0004077C">
            <w:pPr>
              <w:spacing w:after="120" w:line="240" w:lineRule="auto"/>
              <w:ind w:right="-6"/>
              <w:rPr>
                <w:rFonts w:ascii="Sylfaen" w:hAnsi="Sylfaen"/>
                <w:sz w:val="24"/>
                <w:szCs w:val="24"/>
              </w:rPr>
            </w:pPr>
          </w:p>
        </w:tc>
      </w:tr>
      <w:tr w:rsidR="006F76EB" w:rsidRPr="00834D52" w14:paraId="51D6267B" w14:textId="77777777" w:rsidTr="00815B19">
        <w:trPr>
          <w:trHeight w:val="823"/>
          <w:jc w:val="center"/>
        </w:trPr>
        <w:tc>
          <w:tcPr>
            <w:tcW w:w="5164" w:type="dxa"/>
            <w:tcBorders>
              <w:top w:val="single" w:sz="4" w:space="0" w:color="000000"/>
              <w:left w:val="single" w:sz="4" w:space="0" w:color="000000"/>
              <w:bottom w:val="single" w:sz="4" w:space="0" w:color="000000"/>
              <w:right w:val="single" w:sz="4" w:space="0" w:color="000000"/>
            </w:tcBorders>
          </w:tcPr>
          <w:p w14:paraId="3F9A69BB"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 անցկացրած լիազորված մարմնի անվանումը</w:t>
            </w:r>
          </w:p>
        </w:tc>
        <w:tc>
          <w:tcPr>
            <w:tcW w:w="4622" w:type="dxa"/>
            <w:gridSpan w:val="3"/>
            <w:tcBorders>
              <w:top w:val="single" w:sz="4" w:space="0" w:color="000000"/>
              <w:left w:val="single" w:sz="4" w:space="0" w:color="000000"/>
              <w:bottom w:val="single" w:sz="4" w:space="0" w:color="000000"/>
              <w:right w:val="single" w:sz="4" w:space="0" w:color="000000"/>
            </w:tcBorders>
          </w:tcPr>
          <w:p w14:paraId="21D70B38" w14:textId="77777777" w:rsidR="006F76EB" w:rsidRPr="00834D52" w:rsidRDefault="006F76EB" w:rsidP="0004077C">
            <w:pPr>
              <w:spacing w:after="120" w:line="240" w:lineRule="auto"/>
              <w:ind w:right="-6"/>
              <w:rPr>
                <w:rFonts w:ascii="Sylfaen" w:hAnsi="Sylfaen"/>
                <w:sz w:val="24"/>
                <w:szCs w:val="24"/>
              </w:rPr>
            </w:pPr>
          </w:p>
        </w:tc>
      </w:tr>
      <w:tr w:rsidR="006F76EB" w:rsidRPr="00834D52" w14:paraId="09933815"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000000"/>
            </w:tcBorders>
          </w:tcPr>
          <w:p w14:paraId="1F8F0CEF"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622" w:type="dxa"/>
            <w:gridSpan w:val="3"/>
            <w:tcBorders>
              <w:top w:val="single" w:sz="4" w:space="0" w:color="000000"/>
              <w:left w:val="single" w:sz="4" w:space="0" w:color="000000"/>
              <w:bottom w:val="single" w:sz="4" w:space="0" w:color="000000"/>
              <w:right w:val="single" w:sz="4" w:space="0" w:color="000000"/>
            </w:tcBorders>
          </w:tcPr>
          <w:p w14:paraId="4DEFF4E8" w14:textId="77777777" w:rsidR="006F76EB" w:rsidRPr="00834D52" w:rsidRDefault="006F76EB" w:rsidP="0004077C">
            <w:pPr>
              <w:spacing w:after="120" w:line="240" w:lineRule="auto"/>
              <w:ind w:right="-6"/>
              <w:rPr>
                <w:rFonts w:ascii="Sylfaen" w:hAnsi="Sylfaen"/>
                <w:sz w:val="24"/>
                <w:szCs w:val="24"/>
              </w:rPr>
            </w:pPr>
          </w:p>
        </w:tc>
      </w:tr>
      <w:tr w:rsidR="006F76EB" w:rsidRPr="00834D52" w14:paraId="4B50C31C" w14:textId="77777777" w:rsidTr="00815B19">
        <w:trPr>
          <w:trHeight w:val="823"/>
          <w:jc w:val="center"/>
        </w:trPr>
        <w:tc>
          <w:tcPr>
            <w:tcW w:w="5164" w:type="dxa"/>
            <w:tcBorders>
              <w:top w:val="single" w:sz="4" w:space="0" w:color="000000"/>
              <w:left w:val="single" w:sz="4" w:space="0" w:color="000000"/>
              <w:bottom w:val="single" w:sz="4" w:space="0" w:color="000000"/>
              <w:right w:val="single" w:sz="4" w:space="0" w:color="000000"/>
            </w:tcBorders>
          </w:tcPr>
          <w:p w14:paraId="6FDB4243"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համապատասխանության վերաբերյալ փաստաթղթի համարը</w:t>
            </w:r>
          </w:p>
        </w:tc>
        <w:tc>
          <w:tcPr>
            <w:tcW w:w="4622" w:type="dxa"/>
            <w:gridSpan w:val="3"/>
            <w:tcBorders>
              <w:top w:val="single" w:sz="4" w:space="0" w:color="000000"/>
              <w:left w:val="single" w:sz="4" w:space="0" w:color="000000"/>
              <w:bottom w:val="single" w:sz="4" w:space="0" w:color="000000"/>
              <w:right w:val="single" w:sz="4" w:space="0" w:color="000000"/>
            </w:tcBorders>
          </w:tcPr>
          <w:p w14:paraId="4989ECDD" w14:textId="77777777" w:rsidR="006F76EB" w:rsidRPr="00834D52" w:rsidRDefault="006F76EB" w:rsidP="0004077C">
            <w:pPr>
              <w:spacing w:after="120" w:line="240" w:lineRule="auto"/>
              <w:ind w:right="-6"/>
              <w:rPr>
                <w:rFonts w:ascii="Sylfaen" w:hAnsi="Sylfaen"/>
                <w:sz w:val="24"/>
                <w:szCs w:val="24"/>
              </w:rPr>
            </w:pPr>
          </w:p>
        </w:tc>
      </w:tr>
      <w:tr w:rsidR="006F76EB" w:rsidRPr="00834D52" w14:paraId="6744E5CE"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auto"/>
            </w:tcBorders>
          </w:tcPr>
          <w:p w14:paraId="7459E76E"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936" w:type="dxa"/>
            <w:tcBorders>
              <w:top w:val="single" w:sz="4" w:space="0" w:color="auto"/>
              <w:left w:val="single" w:sz="4" w:space="0" w:color="auto"/>
              <w:bottom w:val="single" w:sz="4" w:space="0" w:color="auto"/>
            </w:tcBorders>
          </w:tcPr>
          <w:p w14:paraId="38105422" w14:textId="0D4A0FD0" w:rsidR="006F76EB" w:rsidRPr="00834D52" w:rsidRDefault="0037154C" w:rsidP="0004077C">
            <w:pPr>
              <w:spacing w:after="120" w:line="240" w:lineRule="auto"/>
              <w:ind w:left="56"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89120" behindDoc="0" locked="0" layoutInCell="1" allowOverlap="1" wp14:anchorId="6FFFB145" wp14:editId="63DC1622">
                      <wp:simplePos x="0" y="0"/>
                      <wp:positionH relativeFrom="column">
                        <wp:posOffset>1776730</wp:posOffset>
                      </wp:positionH>
                      <wp:positionV relativeFrom="paragraph">
                        <wp:posOffset>27940</wp:posOffset>
                      </wp:positionV>
                      <wp:extent cx="161925" cy="152400"/>
                      <wp:effectExtent l="12065" t="11430" r="6985" b="762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BA9D9" id="Rectangle 117" o:spid="_x0000_s1026" style="position:absolute;margin-left:139.9pt;margin-top:2.2pt;width:12.75pt;height:1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"/>
                  </w:pict>
                </mc:Fallback>
              </mc:AlternateContent>
            </w:r>
            <w:r w:rsidR="006F76EB" w:rsidRPr="00834D52">
              <w:rPr>
                <w:rFonts w:ascii="Sylfaen" w:hAnsi="Sylfaen"/>
                <w:sz w:val="24"/>
                <w:szCs w:val="24"/>
              </w:rPr>
              <w:t>համապատասխանում է՝</w:t>
            </w:r>
          </w:p>
        </w:tc>
        <w:tc>
          <w:tcPr>
            <w:tcW w:w="864" w:type="dxa"/>
            <w:tcBorders>
              <w:top w:val="single" w:sz="4" w:space="0" w:color="auto"/>
              <w:bottom w:val="single" w:sz="4" w:space="0" w:color="auto"/>
            </w:tcBorders>
          </w:tcPr>
          <w:p w14:paraId="657868DA" w14:textId="68864A7F" w:rsidR="006F76EB" w:rsidRPr="00834D52" w:rsidRDefault="0037154C" w:rsidP="0004077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0144" behindDoc="0" locked="0" layoutInCell="1" allowOverlap="1" wp14:anchorId="3F40937C" wp14:editId="377D99E9">
                      <wp:simplePos x="0" y="0"/>
                      <wp:positionH relativeFrom="column">
                        <wp:posOffset>481330</wp:posOffset>
                      </wp:positionH>
                      <wp:positionV relativeFrom="paragraph">
                        <wp:posOffset>27940</wp:posOffset>
                      </wp:positionV>
                      <wp:extent cx="161925" cy="152400"/>
                      <wp:effectExtent l="6350" t="11430" r="12700" b="7620"/>
                      <wp:wrapNone/>
                      <wp:docPr id="23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DBF2C" id="Rectangle 116" o:spid="_x0000_s1026" style="position:absolute;margin-left:37.9pt;margin-top:2.2pt;width:12.75pt;height:1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"/>
                  </w:pict>
                </mc:Fallback>
              </mc:AlternateContent>
            </w:r>
            <w:r w:rsidR="006F76EB" w:rsidRPr="00834D52">
              <w:rPr>
                <w:rFonts w:ascii="Sylfaen" w:hAnsi="Sylfaen"/>
                <w:sz w:val="24"/>
                <w:szCs w:val="24"/>
              </w:rPr>
              <w:t>ոչ</w:t>
            </w:r>
          </w:p>
        </w:tc>
        <w:tc>
          <w:tcPr>
            <w:tcW w:w="822" w:type="dxa"/>
            <w:tcBorders>
              <w:top w:val="single" w:sz="4" w:space="0" w:color="auto"/>
              <w:bottom w:val="single" w:sz="4" w:space="0" w:color="auto"/>
              <w:right w:val="single" w:sz="4" w:space="0" w:color="auto"/>
            </w:tcBorders>
          </w:tcPr>
          <w:p w14:paraId="575B5E7E" w14:textId="77777777" w:rsidR="006F76EB" w:rsidRPr="00834D52" w:rsidRDefault="006F76EB" w:rsidP="0004077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59310E7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 արտադրողի մաստեր-ֆայլը՝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3A5C789" w14:textId="77777777" w:rsidTr="00F71229">
        <w:trPr>
          <w:jc w:val="center"/>
        </w:trPr>
        <w:tc>
          <w:tcPr>
            <w:tcW w:w="1560" w:type="dxa"/>
          </w:tcPr>
          <w:p w14:paraId="4A04C405" w14:textId="62CCDF23"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1168" behindDoc="0" locked="0" layoutInCell="1" allowOverlap="1" wp14:anchorId="2B66D9C9" wp14:editId="7E356E14">
                      <wp:simplePos x="0" y="0"/>
                      <wp:positionH relativeFrom="column">
                        <wp:posOffset>104775</wp:posOffset>
                      </wp:positionH>
                      <wp:positionV relativeFrom="paragraph">
                        <wp:posOffset>51435</wp:posOffset>
                      </wp:positionV>
                      <wp:extent cx="161925" cy="152400"/>
                      <wp:effectExtent l="5080" t="11430" r="13970" b="7620"/>
                      <wp:wrapNone/>
                      <wp:docPr id="2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6E251" id="Rectangle 118" o:spid="_x0000_s1026" style="position:absolute;margin-left:8.25pt;margin-top:4.05pt;width:12.75pt;height:1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33E0D706" w14:textId="5DAAAD6A"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92192" behindDoc="0" locked="0" layoutInCell="1" allowOverlap="1" wp14:anchorId="23BDB06A" wp14:editId="73960780">
                      <wp:simplePos x="0" y="0"/>
                      <wp:positionH relativeFrom="column">
                        <wp:posOffset>6350</wp:posOffset>
                      </wp:positionH>
                      <wp:positionV relativeFrom="paragraph">
                        <wp:posOffset>51435</wp:posOffset>
                      </wp:positionV>
                      <wp:extent cx="161925" cy="152400"/>
                      <wp:effectExtent l="11430" t="11430" r="7620" b="7620"/>
                      <wp:wrapNone/>
                      <wp:docPr id="23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A2AFA" id="Rectangle 119" o:spid="_x0000_s1026" style="position:absolute;margin-left:.5pt;margin-top:4.05pt;width:12.75pt;height:1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19E4C21E"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719" w:type="dxa"/>
        <w:jc w:val="center"/>
        <w:tblLayout w:type="fixed"/>
        <w:tblCellMar>
          <w:left w:w="0" w:type="dxa"/>
          <w:right w:w="0" w:type="dxa"/>
        </w:tblCellMar>
        <w:tblLook w:val="01E0" w:firstRow="1" w:lastRow="1" w:firstColumn="1" w:lastColumn="1" w:noHBand="0" w:noVBand="0"/>
      </w:tblPr>
      <w:tblGrid>
        <w:gridCol w:w="6130"/>
        <w:gridCol w:w="3589"/>
      </w:tblGrid>
      <w:tr w:rsidR="006F76EB" w:rsidRPr="00834D52" w14:paraId="45A064D7" w14:textId="77777777" w:rsidTr="003B78AE">
        <w:trPr>
          <w:trHeight w:val="529"/>
          <w:jc w:val="center"/>
        </w:trPr>
        <w:tc>
          <w:tcPr>
            <w:tcW w:w="6130" w:type="dxa"/>
            <w:tcBorders>
              <w:top w:val="single" w:sz="4" w:space="0" w:color="000000"/>
              <w:left w:val="single" w:sz="4" w:space="0" w:color="000000"/>
              <w:bottom w:val="single" w:sz="4" w:space="0" w:color="000000"/>
              <w:right w:val="single" w:sz="4" w:space="0" w:color="000000"/>
            </w:tcBorders>
          </w:tcPr>
          <w:p w14:paraId="77F7A939"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ակտիվ դեղագործական բաղադրամասի անվանումը</w:t>
            </w:r>
          </w:p>
        </w:tc>
        <w:tc>
          <w:tcPr>
            <w:tcW w:w="3589" w:type="dxa"/>
            <w:tcBorders>
              <w:top w:val="single" w:sz="4" w:space="0" w:color="000000"/>
              <w:left w:val="single" w:sz="4" w:space="0" w:color="000000"/>
              <w:bottom w:val="single" w:sz="4" w:space="0" w:color="000000"/>
              <w:right w:val="single" w:sz="4" w:space="0" w:color="000000"/>
            </w:tcBorders>
          </w:tcPr>
          <w:p w14:paraId="7323F5FA" w14:textId="77777777" w:rsidR="006F76EB" w:rsidRPr="00834D52" w:rsidRDefault="006F76EB" w:rsidP="003B78AE">
            <w:pPr>
              <w:spacing w:after="120" w:line="240" w:lineRule="auto"/>
              <w:ind w:right="-6"/>
              <w:rPr>
                <w:rFonts w:ascii="Sylfaen" w:hAnsi="Sylfaen"/>
                <w:sz w:val="24"/>
                <w:szCs w:val="24"/>
              </w:rPr>
            </w:pPr>
          </w:p>
        </w:tc>
      </w:tr>
      <w:tr w:rsidR="006F76EB" w:rsidRPr="00834D52" w14:paraId="66FC79B3" w14:textId="77777777" w:rsidTr="003B78AE">
        <w:trPr>
          <w:trHeight w:val="983"/>
          <w:jc w:val="center"/>
        </w:trPr>
        <w:tc>
          <w:tcPr>
            <w:tcW w:w="6130" w:type="dxa"/>
            <w:tcBorders>
              <w:top w:val="single" w:sz="4" w:space="0" w:color="000000"/>
              <w:left w:val="single" w:sz="4" w:space="0" w:color="000000"/>
              <w:bottom w:val="single" w:sz="4" w:space="0" w:color="000000"/>
              <w:right w:val="single" w:sz="4" w:space="0" w:color="000000"/>
            </w:tcBorders>
          </w:tcPr>
          <w:p w14:paraId="35497109"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ԱԴԲ արտադրողի մաստեր-ֆայլի իրավատիրոջ անվանումը</w:t>
            </w:r>
          </w:p>
        </w:tc>
        <w:tc>
          <w:tcPr>
            <w:tcW w:w="3589" w:type="dxa"/>
            <w:tcBorders>
              <w:top w:val="single" w:sz="4" w:space="0" w:color="000000"/>
              <w:left w:val="single" w:sz="4" w:space="0" w:color="000000"/>
              <w:bottom w:val="single" w:sz="4" w:space="0" w:color="000000"/>
              <w:right w:val="single" w:sz="4" w:space="0" w:color="000000"/>
            </w:tcBorders>
          </w:tcPr>
          <w:p w14:paraId="5D823372" w14:textId="77777777" w:rsidR="006F76EB" w:rsidRPr="00834D52" w:rsidRDefault="006F76EB" w:rsidP="003B78AE">
            <w:pPr>
              <w:spacing w:after="120" w:line="240" w:lineRule="auto"/>
              <w:ind w:right="-6"/>
              <w:rPr>
                <w:rFonts w:ascii="Sylfaen" w:hAnsi="Sylfaen"/>
                <w:sz w:val="24"/>
                <w:szCs w:val="24"/>
              </w:rPr>
            </w:pPr>
          </w:p>
        </w:tc>
      </w:tr>
      <w:tr w:rsidR="006F76EB" w:rsidRPr="00834D52" w14:paraId="30C7BC46" w14:textId="77777777" w:rsidTr="003B78AE">
        <w:trPr>
          <w:trHeight w:val="1401"/>
          <w:jc w:val="center"/>
        </w:trPr>
        <w:tc>
          <w:tcPr>
            <w:tcW w:w="6130" w:type="dxa"/>
            <w:tcBorders>
              <w:top w:val="single" w:sz="4" w:space="0" w:color="000000"/>
              <w:left w:val="single" w:sz="4" w:space="0" w:color="000000"/>
              <w:bottom w:val="single" w:sz="4" w:space="0" w:color="000000"/>
              <w:right w:val="single" w:sz="4" w:space="0" w:color="000000"/>
            </w:tcBorders>
          </w:tcPr>
          <w:p w14:paraId="7ED5A755"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ԱԴԲ արտադրողի անվանումը, եթե այն տարբերվում է ԱԴԲ արտադրողի մաստեր-ֆայլի իրավատիրոջից</w:t>
            </w:r>
          </w:p>
        </w:tc>
        <w:tc>
          <w:tcPr>
            <w:tcW w:w="3589" w:type="dxa"/>
            <w:tcBorders>
              <w:top w:val="single" w:sz="4" w:space="0" w:color="000000"/>
              <w:left w:val="single" w:sz="4" w:space="0" w:color="000000"/>
              <w:bottom w:val="single" w:sz="4" w:space="0" w:color="000000"/>
              <w:right w:val="single" w:sz="4" w:space="0" w:color="000000"/>
            </w:tcBorders>
          </w:tcPr>
          <w:p w14:paraId="658169E1" w14:textId="77777777" w:rsidR="006F76EB" w:rsidRPr="00834D52" w:rsidRDefault="006F76EB" w:rsidP="003B78AE">
            <w:pPr>
              <w:spacing w:after="120" w:line="240" w:lineRule="auto"/>
              <w:ind w:right="-6"/>
              <w:rPr>
                <w:rFonts w:ascii="Sylfaen" w:hAnsi="Sylfaen"/>
                <w:sz w:val="24"/>
                <w:szCs w:val="24"/>
              </w:rPr>
            </w:pPr>
          </w:p>
        </w:tc>
      </w:tr>
      <w:tr w:rsidR="006F76EB" w:rsidRPr="00834D52" w14:paraId="375B3BFA" w14:textId="77777777" w:rsidTr="003B78AE">
        <w:trPr>
          <w:trHeight w:val="566"/>
          <w:jc w:val="center"/>
        </w:trPr>
        <w:tc>
          <w:tcPr>
            <w:tcW w:w="6130" w:type="dxa"/>
            <w:tcBorders>
              <w:top w:val="single" w:sz="4" w:space="0" w:color="000000"/>
              <w:left w:val="single" w:sz="4" w:space="0" w:color="000000"/>
              <w:bottom w:val="single" w:sz="4" w:space="0" w:color="000000"/>
              <w:right w:val="single" w:sz="4" w:space="0" w:color="000000"/>
            </w:tcBorders>
          </w:tcPr>
          <w:p w14:paraId="798E939B"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վերջին վերանայման ամսաթիվը</w:t>
            </w:r>
          </w:p>
        </w:tc>
        <w:tc>
          <w:tcPr>
            <w:tcW w:w="3589" w:type="dxa"/>
            <w:tcBorders>
              <w:top w:val="single" w:sz="4" w:space="0" w:color="000000"/>
              <w:left w:val="single" w:sz="4" w:space="0" w:color="000000"/>
              <w:bottom w:val="single" w:sz="4" w:space="0" w:color="000000"/>
              <w:right w:val="single" w:sz="4" w:space="0" w:color="000000"/>
            </w:tcBorders>
          </w:tcPr>
          <w:p w14:paraId="6DC19AC4" w14:textId="77777777" w:rsidR="006F76EB" w:rsidRPr="00834D52" w:rsidRDefault="006F76EB" w:rsidP="003B78AE">
            <w:pPr>
              <w:spacing w:after="120" w:line="240" w:lineRule="auto"/>
              <w:ind w:right="-6"/>
              <w:rPr>
                <w:rFonts w:ascii="Sylfaen" w:hAnsi="Sylfaen"/>
                <w:sz w:val="24"/>
                <w:szCs w:val="24"/>
              </w:rPr>
            </w:pPr>
          </w:p>
        </w:tc>
      </w:tr>
    </w:tbl>
    <w:p w14:paraId="4218B984" w14:textId="2636C606"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տրամադրվել է պատվաստանյութային հակածնի մաստեր-ֆայլի (այսուհետ՝ ՊՀՄՖ) սերտիֆիկատ, որն օգտագործվում է այս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C3E5146" w14:textId="77777777" w:rsidTr="00F71229">
        <w:trPr>
          <w:jc w:val="center"/>
        </w:trPr>
        <w:tc>
          <w:tcPr>
            <w:tcW w:w="1560" w:type="dxa"/>
          </w:tcPr>
          <w:p w14:paraId="4991D2AC" w14:textId="1A023043"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3216" behindDoc="0" locked="0" layoutInCell="1" allowOverlap="1" wp14:anchorId="3F25956B" wp14:editId="4B33B70C">
                      <wp:simplePos x="0" y="0"/>
                      <wp:positionH relativeFrom="column">
                        <wp:posOffset>104775</wp:posOffset>
                      </wp:positionH>
                      <wp:positionV relativeFrom="paragraph">
                        <wp:posOffset>51435</wp:posOffset>
                      </wp:positionV>
                      <wp:extent cx="161925" cy="152400"/>
                      <wp:effectExtent l="5080" t="13970" r="13970" b="5080"/>
                      <wp:wrapNone/>
                      <wp:docPr id="23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B94D5" id="Rectangle 120" o:spid="_x0000_s1026" style="position:absolute;margin-left:8.25pt;margin-top:4.05pt;width:12.75pt;height:1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A4BE287" w14:textId="6D6BB14F"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94240" behindDoc="0" locked="0" layoutInCell="1" allowOverlap="1" wp14:anchorId="1FE20B94" wp14:editId="6EAFE832">
                      <wp:simplePos x="0" y="0"/>
                      <wp:positionH relativeFrom="column">
                        <wp:posOffset>6350</wp:posOffset>
                      </wp:positionH>
                      <wp:positionV relativeFrom="paragraph">
                        <wp:posOffset>51435</wp:posOffset>
                      </wp:positionV>
                      <wp:extent cx="161925" cy="152400"/>
                      <wp:effectExtent l="11430" t="13970" r="7620" b="5080"/>
                      <wp:wrapNone/>
                      <wp:docPr id="22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3E3F" id="Rectangle 121" o:spid="_x0000_s1026" style="position:absolute;margin-left:.5pt;margin-top:4.05pt;width:12.75pt;height:1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0DC0CA91"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53" w:type="dxa"/>
        <w:jc w:val="center"/>
        <w:tblLayout w:type="fixed"/>
        <w:tblCellMar>
          <w:left w:w="0" w:type="dxa"/>
          <w:right w:w="0" w:type="dxa"/>
        </w:tblCellMar>
        <w:tblLook w:val="01E0" w:firstRow="1" w:lastRow="1" w:firstColumn="1" w:lastColumn="1" w:noHBand="0" w:noVBand="0"/>
      </w:tblPr>
      <w:tblGrid>
        <w:gridCol w:w="5112"/>
        <w:gridCol w:w="4541"/>
      </w:tblGrid>
      <w:tr w:rsidR="006F76EB" w:rsidRPr="00834D52" w14:paraId="4A3049FB" w14:textId="77777777" w:rsidTr="00815B19">
        <w:trPr>
          <w:trHeight w:val="821"/>
          <w:jc w:val="center"/>
        </w:trPr>
        <w:tc>
          <w:tcPr>
            <w:tcW w:w="5112" w:type="dxa"/>
            <w:tcBorders>
              <w:top w:val="single" w:sz="4" w:space="0" w:color="000000"/>
              <w:left w:val="single" w:sz="4" w:space="0" w:color="000000"/>
              <w:bottom w:val="single" w:sz="4" w:space="0" w:color="000000"/>
              <w:right w:val="single" w:sz="4" w:space="0" w:color="000000"/>
            </w:tcBorders>
          </w:tcPr>
          <w:p w14:paraId="3827D1E0"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պատվաստանյութային հակածնի անվանումը</w:t>
            </w:r>
          </w:p>
        </w:tc>
        <w:tc>
          <w:tcPr>
            <w:tcW w:w="4541" w:type="dxa"/>
            <w:tcBorders>
              <w:top w:val="single" w:sz="4" w:space="0" w:color="000000"/>
              <w:left w:val="single" w:sz="4" w:space="0" w:color="000000"/>
              <w:bottom w:val="single" w:sz="4" w:space="0" w:color="000000"/>
              <w:right w:val="single" w:sz="4" w:space="0" w:color="000000"/>
            </w:tcBorders>
          </w:tcPr>
          <w:p w14:paraId="6AAB56DD" w14:textId="77777777" w:rsidR="006F76EB" w:rsidRPr="00834D52" w:rsidRDefault="006F76EB" w:rsidP="00815B19">
            <w:pPr>
              <w:spacing w:after="120" w:line="240" w:lineRule="auto"/>
              <w:ind w:right="-6"/>
              <w:rPr>
                <w:rFonts w:ascii="Sylfaen" w:hAnsi="Sylfaen"/>
                <w:sz w:val="24"/>
                <w:szCs w:val="24"/>
              </w:rPr>
            </w:pPr>
          </w:p>
        </w:tc>
      </w:tr>
      <w:tr w:rsidR="006F76EB" w:rsidRPr="00834D52" w14:paraId="79C64FF4" w14:textId="77777777" w:rsidTr="00815B19">
        <w:trPr>
          <w:trHeight w:val="1176"/>
          <w:jc w:val="center"/>
        </w:trPr>
        <w:tc>
          <w:tcPr>
            <w:tcW w:w="5112" w:type="dxa"/>
            <w:tcBorders>
              <w:top w:val="single" w:sz="4" w:space="0" w:color="000000"/>
              <w:left w:val="single" w:sz="4" w:space="0" w:color="000000"/>
              <w:bottom w:val="single" w:sz="4" w:space="0" w:color="000000"/>
              <w:right w:val="single" w:sz="4" w:space="0" w:color="000000"/>
            </w:tcBorders>
          </w:tcPr>
          <w:p w14:paraId="3992F90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պատվաստանյութային հակածնի արտադրողի (ՊՀՄՖ-ի սերտիֆիկատին տիրապետողի) անվանումը</w:t>
            </w:r>
          </w:p>
        </w:tc>
        <w:tc>
          <w:tcPr>
            <w:tcW w:w="4541" w:type="dxa"/>
            <w:tcBorders>
              <w:top w:val="single" w:sz="4" w:space="0" w:color="000000"/>
              <w:left w:val="single" w:sz="4" w:space="0" w:color="000000"/>
              <w:bottom w:val="single" w:sz="4" w:space="0" w:color="000000"/>
              <w:right w:val="single" w:sz="4" w:space="0" w:color="000000"/>
            </w:tcBorders>
          </w:tcPr>
          <w:p w14:paraId="5668490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D9D3A4E" w14:textId="77777777" w:rsidTr="00815B19">
        <w:trPr>
          <w:trHeight w:val="485"/>
          <w:jc w:val="center"/>
        </w:trPr>
        <w:tc>
          <w:tcPr>
            <w:tcW w:w="5112" w:type="dxa"/>
            <w:tcBorders>
              <w:top w:val="single" w:sz="4" w:space="0" w:color="000000"/>
              <w:left w:val="single" w:sz="4" w:space="0" w:color="000000"/>
              <w:bottom w:val="single" w:sz="4" w:space="0" w:color="000000"/>
              <w:right w:val="single" w:sz="4" w:space="0" w:color="000000"/>
            </w:tcBorders>
          </w:tcPr>
          <w:p w14:paraId="47F64F9B" w14:textId="24402D0D" w:rsidR="006F76EB" w:rsidRPr="00834D52" w:rsidRDefault="0056496B" w:rsidP="00815B19">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(սերտիֆիկատի) համարը</w:t>
            </w:r>
          </w:p>
        </w:tc>
        <w:tc>
          <w:tcPr>
            <w:tcW w:w="4541" w:type="dxa"/>
            <w:tcBorders>
              <w:top w:val="single" w:sz="4" w:space="0" w:color="000000"/>
              <w:left w:val="single" w:sz="4" w:space="0" w:color="000000"/>
              <w:bottom w:val="single" w:sz="4" w:space="0" w:color="000000"/>
              <w:right w:val="single" w:sz="4" w:space="0" w:color="000000"/>
            </w:tcBorders>
          </w:tcPr>
          <w:p w14:paraId="4F58D2D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31B26C49" w14:textId="77777777" w:rsidTr="00815B19">
        <w:trPr>
          <w:trHeight w:val="821"/>
          <w:jc w:val="center"/>
        </w:trPr>
        <w:tc>
          <w:tcPr>
            <w:tcW w:w="5112" w:type="dxa"/>
            <w:tcBorders>
              <w:top w:val="single" w:sz="4" w:space="0" w:color="000000"/>
              <w:left w:val="single" w:sz="4" w:space="0" w:color="000000"/>
              <w:bottom w:val="single" w:sz="4" w:space="0" w:color="000000"/>
              <w:right w:val="single" w:sz="4" w:space="0" w:color="000000"/>
            </w:tcBorders>
          </w:tcPr>
          <w:p w14:paraId="33D27EA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4541" w:type="dxa"/>
            <w:tcBorders>
              <w:top w:val="single" w:sz="4" w:space="0" w:color="000000"/>
              <w:left w:val="single" w:sz="4" w:space="0" w:color="000000"/>
              <w:bottom w:val="single" w:sz="4" w:space="0" w:color="000000"/>
              <w:right w:val="single" w:sz="4" w:space="0" w:color="000000"/>
            </w:tcBorders>
          </w:tcPr>
          <w:p w14:paraId="2D51AEFA"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83A9D87" w14:textId="77777777" w:rsidTr="00815B19">
        <w:trPr>
          <w:trHeight w:val="839"/>
          <w:jc w:val="center"/>
        </w:trPr>
        <w:tc>
          <w:tcPr>
            <w:tcW w:w="5112" w:type="dxa"/>
            <w:tcBorders>
              <w:top w:val="single" w:sz="4" w:space="0" w:color="000000"/>
              <w:left w:val="single" w:sz="4" w:space="0" w:color="000000"/>
              <w:bottom w:val="single" w:sz="4" w:space="0" w:color="000000"/>
              <w:right w:val="single" w:sz="4" w:space="0" w:color="000000"/>
            </w:tcBorders>
          </w:tcPr>
          <w:p w14:paraId="24F1009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հաստատման կամ վերջին վերանայման ամսաթիվը (եթե առկա է)</w:t>
            </w:r>
          </w:p>
        </w:tc>
        <w:tc>
          <w:tcPr>
            <w:tcW w:w="4541" w:type="dxa"/>
            <w:tcBorders>
              <w:top w:val="single" w:sz="4" w:space="0" w:color="000000"/>
              <w:left w:val="single" w:sz="4" w:space="0" w:color="000000"/>
              <w:bottom w:val="single" w:sz="4" w:space="0" w:color="000000"/>
              <w:right w:val="single" w:sz="4" w:space="0" w:color="000000"/>
            </w:tcBorders>
          </w:tcPr>
          <w:p w14:paraId="4CB0730D" w14:textId="77777777" w:rsidR="006F76EB" w:rsidRPr="00834D52" w:rsidRDefault="006F76EB" w:rsidP="00815B19">
            <w:pPr>
              <w:spacing w:after="120" w:line="240" w:lineRule="auto"/>
              <w:ind w:right="-6"/>
              <w:rPr>
                <w:rFonts w:ascii="Sylfaen" w:hAnsi="Sylfaen"/>
                <w:sz w:val="24"/>
                <w:szCs w:val="24"/>
              </w:rPr>
            </w:pPr>
          </w:p>
        </w:tc>
      </w:tr>
    </w:tbl>
    <w:p w14:paraId="6BBA1BC8"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2.5.6.</w:t>
      </w:r>
      <w:r w:rsidRPr="00834D52">
        <w:rPr>
          <w:rFonts w:ascii="Sylfaen" w:hAnsi="Sylfaen"/>
          <w:sz w:val="24"/>
          <w:szCs w:val="24"/>
        </w:rPr>
        <w:tab/>
        <w:t xml:space="preserve">Կենսամատչելիությունը </w:t>
      </w:r>
      <w:r w:rsidR="00C54D75">
        <w:rPr>
          <w:rFonts w:ascii="Sylfaen" w:hAnsi="Sylfaen"/>
          <w:sz w:val="24"/>
          <w:szCs w:val="24"/>
        </w:rPr>
        <w:t>և</w:t>
      </w:r>
      <w:r w:rsidRPr="00834D52">
        <w:rPr>
          <w:rFonts w:ascii="Sylfaen" w:hAnsi="Sylfaen"/>
          <w:sz w:val="24"/>
          <w:szCs w:val="24"/>
        </w:rPr>
        <w:t xml:space="preserve"> (կամ) կենսահամարժեքությունը որոշելու համար կլինիկական հետազոտության մեջ ներգրավվող պայմանագրային հետազոտական կազմակերպությունները, կամ որոնք ներգրավվել են արյան պատրաստուկների արտադրության գործընթացների վալիդացման համար</w:t>
      </w:r>
    </w:p>
    <w:p w14:paraId="5DC8BC65" w14:textId="77777777" w:rsidR="006F76EB" w:rsidRPr="00834D52" w:rsidRDefault="006F76EB" w:rsidP="00E13489">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9703" w:type="dxa"/>
        <w:jc w:val="center"/>
        <w:tblLayout w:type="fixed"/>
        <w:tblCellMar>
          <w:left w:w="0" w:type="dxa"/>
          <w:right w:w="0" w:type="dxa"/>
        </w:tblCellMar>
        <w:tblLook w:val="01E0" w:firstRow="1" w:lastRow="1" w:firstColumn="1" w:lastColumn="1" w:noHBand="0" w:noVBand="0"/>
      </w:tblPr>
      <w:tblGrid>
        <w:gridCol w:w="5177"/>
        <w:gridCol w:w="4526"/>
      </w:tblGrid>
      <w:tr w:rsidR="006F76EB" w:rsidRPr="00834D52" w14:paraId="7581E7CD"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78F0488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4526" w:type="dxa"/>
            <w:tcBorders>
              <w:top w:val="single" w:sz="4" w:space="0" w:color="000000"/>
              <w:left w:val="single" w:sz="4" w:space="0" w:color="000000"/>
              <w:bottom w:val="single" w:sz="4" w:space="0" w:color="000000"/>
              <w:right w:val="single" w:sz="4" w:space="0" w:color="000000"/>
            </w:tcBorders>
          </w:tcPr>
          <w:p w14:paraId="351B5B14"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4215B0F"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13A6A600"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4526" w:type="dxa"/>
            <w:tcBorders>
              <w:top w:val="single" w:sz="4" w:space="0" w:color="000000"/>
              <w:left w:val="single" w:sz="4" w:space="0" w:color="000000"/>
              <w:bottom w:val="single" w:sz="4" w:space="0" w:color="000000"/>
              <w:right w:val="single" w:sz="4" w:space="0" w:color="000000"/>
            </w:tcBorders>
          </w:tcPr>
          <w:p w14:paraId="7B3B11A8" w14:textId="77777777" w:rsidR="006F76EB" w:rsidRPr="00834D52" w:rsidRDefault="006F76EB" w:rsidP="00815B19">
            <w:pPr>
              <w:spacing w:after="120" w:line="240" w:lineRule="auto"/>
              <w:ind w:right="-6"/>
              <w:rPr>
                <w:rFonts w:ascii="Sylfaen" w:hAnsi="Sylfaen"/>
                <w:sz w:val="24"/>
                <w:szCs w:val="24"/>
              </w:rPr>
            </w:pPr>
          </w:p>
        </w:tc>
      </w:tr>
      <w:tr w:rsidR="006F76EB" w:rsidRPr="00834D52" w14:paraId="499B24C9" w14:textId="77777777" w:rsidTr="005A3BE2">
        <w:trPr>
          <w:trHeight w:val="439"/>
          <w:jc w:val="center"/>
        </w:trPr>
        <w:tc>
          <w:tcPr>
            <w:tcW w:w="5177" w:type="dxa"/>
            <w:tcBorders>
              <w:top w:val="single" w:sz="4" w:space="0" w:color="000000"/>
              <w:left w:val="single" w:sz="4" w:space="0" w:color="000000"/>
              <w:bottom w:val="single" w:sz="4" w:space="0" w:color="000000"/>
              <w:right w:val="single" w:sz="4" w:space="0" w:color="000000"/>
            </w:tcBorders>
          </w:tcPr>
          <w:p w14:paraId="2EAF2033"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EudraCT-ի համարը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0F72FE8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58425F9E" w14:textId="77777777" w:rsidTr="005A3BE2">
        <w:trPr>
          <w:trHeight w:val="772"/>
          <w:jc w:val="center"/>
        </w:trPr>
        <w:tc>
          <w:tcPr>
            <w:tcW w:w="5177" w:type="dxa"/>
            <w:tcBorders>
              <w:top w:val="single" w:sz="4" w:space="0" w:color="000000"/>
              <w:left w:val="single" w:sz="4" w:space="0" w:color="000000"/>
              <w:bottom w:val="single" w:sz="4" w:space="0" w:color="000000"/>
              <w:right w:val="single" w:sz="4" w:space="0" w:color="000000"/>
            </w:tcBorders>
          </w:tcPr>
          <w:p w14:paraId="5FDEFF25"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ClinicalTrials.gov-ի համարը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08EF1D44" w14:textId="77777777" w:rsidR="006F76EB" w:rsidRPr="00834D52" w:rsidRDefault="006F76EB" w:rsidP="00815B19">
            <w:pPr>
              <w:spacing w:after="120" w:line="240" w:lineRule="auto"/>
              <w:ind w:right="-6"/>
              <w:rPr>
                <w:rFonts w:ascii="Sylfaen" w:hAnsi="Sylfaen"/>
                <w:sz w:val="24"/>
                <w:szCs w:val="24"/>
              </w:rPr>
            </w:pPr>
          </w:p>
        </w:tc>
      </w:tr>
      <w:tr w:rsidR="006F76EB" w:rsidRPr="00834D52" w14:paraId="44BA98CC" w14:textId="77777777" w:rsidTr="005A3BE2">
        <w:trPr>
          <w:trHeight w:val="789"/>
          <w:jc w:val="center"/>
        </w:trPr>
        <w:tc>
          <w:tcPr>
            <w:tcW w:w="5177" w:type="dxa"/>
            <w:tcBorders>
              <w:top w:val="single" w:sz="4" w:space="0" w:color="000000"/>
              <w:left w:val="single" w:sz="4" w:space="0" w:color="000000"/>
              <w:bottom w:val="single" w:sz="4" w:space="0" w:color="000000"/>
              <w:right w:val="single" w:sz="4" w:space="0" w:color="000000"/>
            </w:tcBorders>
          </w:tcPr>
          <w:p w14:paraId="055B06CB"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4526" w:type="dxa"/>
            <w:tcBorders>
              <w:top w:val="single" w:sz="4" w:space="0" w:color="000000"/>
              <w:left w:val="single" w:sz="4" w:space="0" w:color="000000"/>
              <w:bottom w:val="single" w:sz="4" w:space="0" w:color="000000"/>
              <w:right w:val="single" w:sz="4" w:space="0" w:color="000000"/>
            </w:tcBorders>
          </w:tcPr>
          <w:p w14:paraId="10205DC9"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E3F35C9" w14:textId="77777777" w:rsidTr="005A3BE2">
        <w:trPr>
          <w:trHeight w:val="772"/>
          <w:jc w:val="center"/>
        </w:trPr>
        <w:tc>
          <w:tcPr>
            <w:tcW w:w="5177" w:type="dxa"/>
            <w:tcBorders>
              <w:top w:val="single" w:sz="4" w:space="0" w:color="000000"/>
              <w:left w:val="single" w:sz="4" w:space="0" w:color="000000"/>
              <w:bottom w:val="single" w:sz="4" w:space="0" w:color="000000"/>
              <w:right w:val="single" w:sz="4" w:space="0" w:color="000000"/>
            </w:tcBorders>
          </w:tcPr>
          <w:p w14:paraId="4584AD7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հասցեն</w:t>
            </w:r>
          </w:p>
        </w:tc>
        <w:tc>
          <w:tcPr>
            <w:tcW w:w="4526" w:type="dxa"/>
            <w:tcBorders>
              <w:top w:val="single" w:sz="4" w:space="0" w:color="000000"/>
              <w:left w:val="single" w:sz="4" w:space="0" w:color="000000"/>
              <w:bottom w:val="single" w:sz="4" w:space="0" w:color="000000"/>
              <w:right w:val="single" w:sz="4" w:space="0" w:color="000000"/>
            </w:tcBorders>
          </w:tcPr>
          <w:p w14:paraId="0DFF8287"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E73623D" w14:textId="77777777" w:rsidTr="005A3BE2">
        <w:trPr>
          <w:trHeight w:val="789"/>
          <w:jc w:val="center"/>
        </w:trPr>
        <w:tc>
          <w:tcPr>
            <w:tcW w:w="5177" w:type="dxa"/>
            <w:tcBorders>
              <w:top w:val="single" w:sz="4" w:space="0" w:color="000000"/>
              <w:left w:val="single" w:sz="4" w:space="0" w:color="000000"/>
              <w:bottom w:val="single" w:sz="4" w:space="0" w:color="000000"/>
              <w:right w:val="single" w:sz="4" w:space="0" w:color="000000"/>
            </w:tcBorders>
          </w:tcPr>
          <w:p w14:paraId="79FF1118"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493FC4F2"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9F488FB"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1B8C8E56"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6" w:type="dxa"/>
            <w:tcBorders>
              <w:top w:val="single" w:sz="4" w:space="0" w:color="000000"/>
              <w:left w:val="single" w:sz="4" w:space="0" w:color="000000"/>
              <w:bottom w:val="single" w:sz="4" w:space="0" w:color="000000"/>
              <w:right w:val="single" w:sz="4" w:space="0" w:color="000000"/>
            </w:tcBorders>
          </w:tcPr>
          <w:p w14:paraId="7A3D3A5A" w14:textId="77777777" w:rsidR="006F76EB" w:rsidRPr="00834D52" w:rsidRDefault="006F76EB" w:rsidP="00815B19">
            <w:pPr>
              <w:spacing w:after="120" w:line="240" w:lineRule="auto"/>
              <w:ind w:right="-6"/>
              <w:rPr>
                <w:rFonts w:ascii="Sylfaen" w:hAnsi="Sylfaen"/>
                <w:sz w:val="24"/>
                <w:szCs w:val="24"/>
              </w:rPr>
            </w:pPr>
          </w:p>
        </w:tc>
      </w:tr>
    </w:tbl>
    <w:p w14:paraId="5537C971" w14:textId="77777777" w:rsidR="006F76EB" w:rsidRPr="00834D52" w:rsidRDefault="006F76EB" w:rsidP="00E1348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5837E019"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(ԱԴՆ-ն </w:t>
      </w:r>
      <w:r w:rsidR="00C54D75">
        <w:rPr>
          <w:rFonts w:ascii="Sylfaen" w:hAnsi="Sylfaen"/>
          <w:sz w:val="24"/>
          <w:szCs w:val="24"/>
        </w:rPr>
        <w:t>և</w:t>
      </w:r>
      <w:r w:rsidRPr="00834D52">
        <w:rPr>
          <w:rFonts w:ascii="Sylfaen" w:hAnsi="Sylfaen"/>
          <w:sz w:val="24"/>
          <w:szCs w:val="24"/>
        </w:rPr>
        <w:t xml:space="preserve"> օժանդակ նյութերը)</w:t>
      </w:r>
    </w:p>
    <w:p w14:paraId="729CF612"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նշել, թե որ միավորով է բաղադրությունը (դոզավորված ձ</w:t>
      </w:r>
      <w:r w:rsidR="00C54D75">
        <w:rPr>
          <w:rFonts w:ascii="Sylfaen" w:hAnsi="Sylfaen"/>
          <w:sz w:val="24"/>
          <w:szCs w:val="24"/>
        </w:rPr>
        <w:t>և</w:t>
      </w:r>
      <w:r w:rsidRPr="00834D52">
        <w:rPr>
          <w:rFonts w:ascii="Sylfaen" w:hAnsi="Sylfaen"/>
          <w:sz w:val="24"/>
          <w:szCs w:val="24"/>
        </w:rPr>
        <w:t>ի, ծավալի, զանգվածի թե այլ միավորով):</w:t>
      </w:r>
    </w:p>
    <w:p w14:paraId="0A990C53"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Թվարկե՛ք ԱԴԲ-ն օժանդակ նյութերից առանձին՝</w:t>
      </w:r>
    </w:p>
    <w:tbl>
      <w:tblPr>
        <w:tblW w:w="10603" w:type="dxa"/>
        <w:jc w:val="center"/>
        <w:tblLayout w:type="fixed"/>
        <w:tblCellMar>
          <w:left w:w="0" w:type="dxa"/>
          <w:right w:w="0" w:type="dxa"/>
        </w:tblCellMar>
        <w:tblLook w:val="01E0" w:firstRow="1" w:lastRow="1" w:firstColumn="1" w:lastColumn="1" w:noHBand="0" w:noVBand="0"/>
      </w:tblPr>
      <w:tblGrid>
        <w:gridCol w:w="908"/>
        <w:gridCol w:w="2553"/>
        <w:gridCol w:w="3399"/>
        <w:gridCol w:w="1418"/>
        <w:gridCol w:w="2325"/>
      </w:tblGrid>
      <w:tr w:rsidR="006F76EB" w:rsidRPr="00834D52" w14:paraId="3D942B94" w14:textId="77777777" w:rsidTr="00F71229">
        <w:trPr>
          <w:jc w:val="center"/>
        </w:trPr>
        <w:tc>
          <w:tcPr>
            <w:tcW w:w="908" w:type="dxa"/>
            <w:tcBorders>
              <w:top w:val="single" w:sz="4" w:space="0" w:color="000000"/>
              <w:left w:val="single" w:sz="4" w:space="0" w:color="000000"/>
              <w:bottom w:val="single" w:sz="4" w:space="0" w:color="000000"/>
              <w:right w:val="single" w:sz="4" w:space="0" w:color="000000"/>
            </w:tcBorders>
          </w:tcPr>
          <w:p w14:paraId="2C7A8254"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553" w:type="dxa"/>
            <w:tcBorders>
              <w:top w:val="single" w:sz="4" w:space="0" w:color="000000"/>
              <w:left w:val="single" w:sz="4" w:space="0" w:color="000000"/>
              <w:bottom w:val="single" w:sz="4" w:space="0" w:color="000000"/>
              <w:right w:val="single" w:sz="4" w:space="0" w:color="000000"/>
            </w:tcBorders>
            <w:vAlign w:val="center"/>
          </w:tcPr>
          <w:p w14:paraId="72E69080"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ԱԴԲ-ի անվանումը</w:t>
            </w:r>
          </w:p>
        </w:tc>
        <w:tc>
          <w:tcPr>
            <w:tcW w:w="3399" w:type="dxa"/>
            <w:tcBorders>
              <w:top w:val="single" w:sz="4" w:space="0" w:color="000000"/>
              <w:left w:val="single" w:sz="4" w:space="0" w:color="000000"/>
              <w:bottom w:val="single" w:sz="4" w:space="0" w:color="000000"/>
              <w:right w:val="single" w:sz="4" w:space="0" w:color="000000"/>
            </w:tcBorders>
            <w:vAlign w:val="center"/>
          </w:tcPr>
          <w:p w14:paraId="1242835A" w14:textId="77777777" w:rsidR="006F76EB" w:rsidRPr="00834D52" w:rsidRDefault="006F76EB" w:rsidP="00F71229">
            <w:pPr>
              <w:spacing w:after="120" w:line="240" w:lineRule="auto"/>
              <w:ind w:right="-3"/>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418" w:type="dxa"/>
            <w:tcBorders>
              <w:top w:val="single" w:sz="4" w:space="0" w:color="000000"/>
              <w:left w:val="single" w:sz="4" w:space="0" w:color="000000"/>
              <w:bottom w:val="single" w:sz="4" w:space="0" w:color="000000"/>
              <w:right w:val="single" w:sz="4" w:space="0" w:color="000000"/>
            </w:tcBorders>
            <w:vAlign w:val="center"/>
          </w:tcPr>
          <w:p w14:paraId="1CB5C91F"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2325" w:type="dxa"/>
            <w:tcBorders>
              <w:top w:val="single" w:sz="4" w:space="0" w:color="000000"/>
              <w:left w:val="single" w:sz="4" w:space="0" w:color="000000"/>
              <w:bottom w:val="single" w:sz="4" w:space="0" w:color="000000"/>
              <w:right w:val="single" w:sz="4" w:space="0" w:color="000000"/>
            </w:tcBorders>
            <w:vAlign w:val="center"/>
          </w:tcPr>
          <w:p w14:paraId="04F1714C"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Հոդվածը (մենագրությունը)</w:t>
            </w:r>
          </w:p>
        </w:tc>
      </w:tr>
      <w:tr w:rsidR="006F76EB" w:rsidRPr="00834D52" w14:paraId="59B837EF" w14:textId="77777777" w:rsidTr="00F71229">
        <w:trPr>
          <w:jc w:val="center"/>
        </w:trPr>
        <w:tc>
          <w:tcPr>
            <w:tcW w:w="908" w:type="dxa"/>
            <w:tcBorders>
              <w:top w:val="single" w:sz="4" w:space="0" w:color="000000"/>
              <w:left w:val="single" w:sz="4" w:space="0" w:color="000000"/>
              <w:bottom w:val="single" w:sz="4" w:space="0" w:color="000000"/>
              <w:right w:val="single" w:sz="4" w:space="0" w:color="000000"/>
            </w:tcBorders>
          </w:tcPr>
          <w:p w14:paraId="7858A4BA"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lastRenderedPageBreak/>
              <w:t>թիվ</w:t>
            </w:r>
          </w:p>
        </w:tc>
        <w:tc>
          <w:tcPr>
            <w:tcW w:w="2553" w:type="dxa"/>
            <w:tcBorders>
              <w:top w:val="single" w:sz="4" w:space="0" w:color="000000"/>
              <w:left w:val="single" w:sz="4" w:space="0" w:color="000000"/>
              <w:bottom w:val="single" w:sz="4" w:space="0" w:color="000000"/>
              <w:right w:val="single" w:sz="4" w:space="0" w:color="000000"/>
            </w:tcBorders>
            <w:vAlign w:val="center"/>
          </w:tcPr>
          <w:p w14:paraId="7BB47D36"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399" w:type="dxa"/>
            <w:tcBorders>
              <w:top w:val="single" w:sz="4" w:space="0" w:color="000000"/>
              <w:left w:val="single" w:sz="4" w:space="0" w:color="000000"/>
              <w:bottom w:val="single" w:sz="4" w:space="0" w:color="000000"/>
              <w:right w:val="single" w:sz="4" w:space="0" w:color="000000"/>
            </w:tcBorders>
            <w:vAlign w:val="center"/>
          </w:tcPr>
          <w:p w14:paraId="56347461"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418" w:type="dxa"/>
            <w:tcBorders>
              <w:top w:val="single" w:sz="4" w:space="0" w:color="000000"/>
              <w:left w:val="single" w:sz="4" w:space="0" w:color="000000"/>
              <w:bottom w:val="single" w:sz="4" w:space="0" w:color="000000"/>
              <w:right w:val="single" w:sz="4" w:space="0" w:color="000000"/>
            </w:tcBorders>
            <w:vAlign w:val="center"/>
          </w:tcPr>
          <w:p w14:paraId="35619F81"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2325" w:type="dxa"/>
            <w:tcBorders>
              <w:top w:val="single" w:sz="4" w:space="0" w:color="000000"/>
              <w:left w:val="single" w:sz="4" w:space="0" w:color="000000"/>
              <w:bottom w:val="single" w:sz="4" w:space="0" w:color="000000"/>
              <w:right w:val="single" w:sz="4" w:space="0" w:color="000000"/>
            </w:tcBorders>
            <w:vAlign w:val="center"/>
          </w:tcPr>
          <w:p w14:paraId="7D30F1C6"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Հոդվածը (մենագրությունը)</w:t>
            </w:r>
          </w:p>
        </w:tc>
      </w:tr>
    </w:tbl>
    <w:p w14:paraId="0B46A12C" w14:textId="77777777" w:rsidR="006F76EB" w:rsidRPr="00834D52" w:rsidRDefault="006F76EB" w:rsidP="00E13489">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Ծանոթագրություն: Յուրաքանչյուր ԱԴԲ-ի համար անհրաժեշտ է նշել միայն մեկ անվանում հետ</w:t>
      </w:r>
      <w:r w:rsidR="00C54D75">
        <w:rPr>
          <w:rFonts w:ascii="Sylfaen" w:hAnsi="Sylfaen"/>
          <w:sz w:val="24"/>
          <w:szCs w:val="24"/>
        </w:rPr>
        <w:t>և</w:t>
      </w:r>
      <w:r w:rsidRPr="00834D52">
        <w:rPr>
          <w:rFonts w:ascii="Sylfaen" w:hAnsi="Sylfaen"/>
          <w:sz w:val="24"/>
          <w:szCs w:val="24"/>
        </w:rPr>
        <w:t>յալ հաջորդականությամբ՝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անվանումն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հայեցակարգին համապատասխան հիմնական դեղագրքերի), համընդհանուր կամ խմբային անվանումը, գիտական (քիմիական) անվանումը:</w:t>
      </w:r>
    </w:p>
    <w:p w14:paraId="2FA1C431" w14:textId="77777777" w:rsidR="006F76EB" w:rsidRPr="00834D52" w:rsidRDefault="006F76EB" w:rsidP="00E13489">
      <w:pPr>
        <w:spacing w:after="160" w:line="336" w:lineRule="auto"/>
        <w:ind w:right="-6" w:firstLine="567"/>
        <w:jc w:val="both"/>
        <w:rPr>
          <w:rFonts w:ascii="Sylfaen" w:hAnsi="Sylfaen"/>
          <w:sz w:val="24"/>
          <w:szCs w:val="24"/>
        </w:rPr>
      </w:pPr>
      <w:r w:rsidRPr="00834D52">
        <w:rPr>
          <w:rFonts w:ascii="Sylfaen" w:hAnsi="Sylfaen"/>
          <w:sz w:val="24"/>
          <w:szCs w:val="24"/>
        </w:rPr>
        <w:footnoteReference w:customMarkFollows="1" w:id="3"/>
        <w:t>Չի թույլատրվում ավելցուկի մասին տեղեկությունները նշել բաղադրությանը վերաբերող սյունակներում, դրանք անհրաժեշտ է շարադրել ստոր</w:t>
      </w:r>
      <w:r w:rsidR="00C54D75">
        <w:rPr>
          <w:rFonts w:ascii="Sylfaen" w:hAnsi="Sylfaen"/>
          <w:sz w:val="24"/>
          <w:szCs w:val="24"/>
        </w:rPr>
        <w:t>և</w:t>
      </w:r>
      <w:r w:rsidRPr="00834D52">
        <w:rPr>
          <w:rFonts w:ascii="Sylfaen" w:hAnsi="Sylfaen"/>
          <w:sz w:val="24"/>
          <w:szCs w:val="24"/>
        </w:rPr>
        <w:t>՝</w:t>
      </w:r>
    </w:p>
    <w:tbl>
      <w:tblPr>
        <w:tblW w:w="9636" w:type="dxa"/>
        <w:tblInd w:w="109" w:type="dxa"/>
        <w:tblLayout w:type="fixed"/>
        <w:tblCellMar>
          <w:left w:w="0" w:type="dxa"/>
          <w:right w:w="0" w:type="dxa"/>
        </w:tblCellMar>
        <w:tblLook w:val="01E0" w:firstRow="1" w:lastRow="1" w:firstColumn="1" w:lastColumn="1" w:noHBand="0" w:noVBand="0"/>
      </w:tblPr>
      <w:tblGrid>
        <w:gridCol w:w="5141"/>
        <w:gridCol w:w="4495"/>
      </w:tblGrid>
      <w:tr w:rsidR="006F76EB" w:rsidRPr="00834D52" w14:paraId="2E367A59"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6BF04FE9" w14:textId="77777777" w:rsidR="006F76EB" w:rsidRPr="00834D52" w:rsidRDefault="006F76EB" w:rsidP="005A3BE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բաղադրամասերը</w:t>
            </w:r>
          </w:p>
        </w:tc>
        <w:tc>
          <w:tcPr>
            <w:tcW w:w="4495" w:type="dxa"/>
            <w:tcBorders>
              <w:top w:val="single" w:sz="4" w:space="0" w:color="000000"/>
              <w:left w:val="single" w:sz="4" w:space="0" w:color="000000"/>
              <w:bottom w:val="single" w:sz="4" w:space="0" w:color="000000"/>
              <w:right w:val="single" w:sz="4" w:space="0" w:color="000000"/>
            </w:tcBorders>
          </w:tcPr>
          <w:p w14:paraId="7D367BC0" w14:textId="77777777" w:rsidR="006F76EB" w:rsidRPr="00834D52" w:rsidRDefault="006F76EB" w:rsidP="005A3BE2">
            <w:pPr>
              <w:spacing w:after="120" w:line="240" w:lineRule="auto"/>
              <w:ind w:right="-6"/>
              <w:rPr>
                <w:rFonts w:ascii="Sylfaen" w:hAnsi="Sylfaen"/>
                <w:sz w:val="24"/>
                <w:szCs w:val="24"/>
              </w:rPr>
            </w:pPr>
          </w:p>
        </w:tc>
      </w:tr>
      <w:tr w:rsidR="006F76EB" w:rsidRPr="00834D52" w14:paraId="79751D01"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7B007D13" w14:textId="77777777" w:rsidR="006F76EB" w:rsidRPr="00834D52" w:rsidRDefault="006F76EB" w:rsidP="005A3BE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օժանդակ նյութերը</w:t>
            </w:r>
          </w:p>
        </w:tc>
        <w:tc>
          <w:tcPr>
            <w:tcW w:w="4495" w:type="dxa"/>
            <w:tcBorders>
              <w:top w:val="single" w:sz="4" w:space="0" w:color="000000"/>
              <w:left w:val="single" w:sz="4" w:space="0" w:color="000000"/>
              <w:bottom w:val="single" w:sz="4" w:space="0" w:color="000000"/>
              <w:right w:val="single" w:sz="4" w:space="0" w:color="000000"/>
            </w:tcBorders>
          </w:tcPr>
          <w:p w14:paraId="5CCB2C73" w14:textId="77777777" w:rsidR="006F76EB" w:rsidRPr="00834D52" w:rsidRDefault="006F76EB" w:rsidP="005A3BE2">
            <w:pPr>
              <w:spacing w:after="120" w:line="240" w:lineRule="auto"/>
              <w:ind w:right="-6"/>
              <w:rPr>
                <w:rFonts w:ascii="Sylfaen" w:hAnsi="Sylfaen"/>
                <w:sz w:val="24"/>
                <w:szCs w:val="24"/>
              </w:rPr>
            </w:pPr>
          </w:p>
        </w:tc>
      </w:tr>
    </w:tbl>
    <w:p w14:paraId="1CE6986A"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2.6.2.</w:t>
      </w:r>
      <w:r w:rsidRPr="00834D52">
        <w:rPr>
          <w:rFonts w:ascii="Sylfaen" w:hAnsi="Sylfaen"/>
          <w:sz w:val="24"/>
          <w:szCs w:val="24"/>
        </w:rPr>
        <w:tab/>
        <w:t xml:space="preserve">Կենդանական </w:t>
      </w:r>
      <w:r w:rsidR="00C54D75">
        <w:rPr>
          <w:rFonts w:ascii="Sylfaen" w:hAnsi="Sylfaen"/>
          <w:sz w:val="24"/>
          <w:szCs w:val="24"/>
        </w:rPr>
        <w:t>և</w:t>
      </w:r>
      <w:r w:rsidRPr="00834D52">
        <w:rPr>
          <w:rFonts w:ascii="Sylfaen" w:hAnsi="Sylfaen"/>
          <w:sz w:val="24"/>
          <w:szCs w:val="24"/>
        </w:rPr>
        <w:t xml:space="preserve"> (կամ) մարդկային ծագման նյութերի ցանկը, որոնք դեղապատրաստուկի բաղադրության մաս են կազմում կամ օգտագործվում են դրա արտադրության գործընթացում</w:t>
      </w:r>
    </w:p>
    <w:p w14:paraId="5571E775" w14:textId="17694247"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5264" behindDoc="0" locked="0" layoutInCell="1" allowOverlap="1" wp14:anchorId="3DE30136" wp14:editId="354E4992">
                <wp:simplePos x="0" y="0"/>
                <wp:positionH relativeFrom="column">
                  <wp:posOffset>2395220</wp:posOffset>
                </wp:positionH>
                <wp:positionV relativeFrom="paragraph">
                  <wp:posOffset>26670</wp:posOffset>
                </wp:positionV>
                <wp:extent cx="161925" cy="152400"/>
                <wp:effectExtent l="9525" t="7620" r="9525" b="11430"/>
                <wp:wrapNone/>
                <wp:docPr id="22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82203" id="Rectangle 61" o:spid="_x0000_s1026" style="position:absolute;margin-left:188.6pt;margin-top:2.1pt;width:12.75pt;height:1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"/>
            </w:pict>
          </mc:Fallback>
        </mc:AlternateContent>
      </w:r>
      <w:r w:rsidR="006F76EB" w:rsidRPr="00834D52">
        <w:rPr>
          <w:rFonts w:ascii="Sylfaen" w:hAnsi="Sylfaen" w:cs="Sylfaen"/>
          <w:sz w:val="24"/>
          <w:szCs w:val="24"/>
        </w:rPr>
        <w:t>չկան</w:t>
      </w:r>
    </w:p>
    <w:tbl>
      <w:tblPr>
        <w:tblW w:w="11059" w:type="dxa"/>
        <w:jc w:val="center"/>
        <w:tblLayout w:type="fixed"/>
        <w:tblCellMar>
          <w:left w:w="0" w:type="dxa"/>
          <w:right w:w="0" w:type="dxa"/>
        </w:tblCellMar>
        <w:tblLook w:val="01E0" w:firstRow="1" w:lastRow="1" w:firstColumn="1" w:lastColumn="1" w:noHBand="0" w:noVBand="0"/>
      </w:tblPr>
      <w:tblGrid>
        <w:gridCol w:w="1372"/>
        <w:gridCol w:w="832"/>
        <w:gridCol w:w="733"/>
        <w:gridCol w:w="733"/>
        <w:gridCol w:w="1777"/>
        <w:gridCol w:w="1508"/>
        <w:gridCol w:w="1382"/>
        <w:gridCol w:w="2722"/>
      </w:tblGrid>
      <w:tr w:rsidR="003B78AE" w:rsidRPr="00834D52" w14:paraId="44197D5E" w14:textId="77777777" w:rsidTr="003B78AE">
        <w:trPr>
          <w:trHeight w:val="1913"/>
          <w:jc w:val="center"/>
        </w:trPr>
        <w:tc>
          <w:tcPr>
            <w:tcW w:w="1372" w:type="dxa"/>
            <w:tcBorders>
              <w:top w:val="single" w:sz="4" w:space="0" w:color="000000"/>
              <w:left w:val="single" w:sz="4" w:space="0" w:color="000000"/>
              <w:bottom w:val="single" w:sz="4" w:space="0" w:color="000000"/>
              <w:right w:val="single" w:sz="4" w:space="0" w:color="000000"/>
            </w:tcBorders>
          </w:tcPr>
          <w:p w14:paraId="0DC962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Անվանումը</w:t>
            </w:r>
          </w:p>
        </w:tc>
        <w:tc>
          <w:tcPr>
            <w:tcW w:w="2298" w:type="dxa"/>
            <w:gridSpan w:val="3"/>
            <w:tcBorders>
              <w:top w:val="single" w:sz="4" w:space="0" w:color="000000"/>
              <w:left w:val="single" w:sz="4" w:space="0" w:color="000000"/>
              <w:bottom w:val="single" w:sz="4" w:space="0" w:color="000000"/>
              <w:right w:val="single" w:sz="4" w:space="0" w:color="000000"/>
            </w:tcBorders>
          </w:tcPr>
          <w:p w14:paraId="01CAF69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Գործառույթը</w:t>
            </w:r>
          </w:p>
        </w:tc>
        <w:tc>
          <w:tcPr>
            <w:tcW w:w="1777" w:type="dxa"/>
            <w:tcBorders>
              <w:top w:val="single" w:sz="4" w:space="0" w:color="000000"/>
              <w:left w:val="single" w:sz="4" w:space="0" w:color="000000"/>
              <w:bottom w:val="single" w:sz="4" w:space="0" w:color="000000"/>
              <w:right w:val="single" w:sz="4" w:space="0" w:color="000000"/>
            </w:tcBorders>
          </w:tcPr>
          <w:p w14:paraId="6261A67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ՏՍԷ-ի նկատմամբ զգայուն կենդանիներից</w:t>
            </w:r>
            <w:r w:rsidRPr="00834D52">
              <w:rPr>
                <w:rStyle w:val="FootnoteReference"/>
                <w:rFonts w:ascii="Sylfaen" w:hAnsi="Sylfaen"/>
                <w:sz w:val="24"/>
                <w:szCs w:val="24"/>
              </w:rPr>
              <w:footnoteReference w:id="4"/>
            </w:r>
          </w:p>
        </w:tc>
        <w:tc>
          <w:tcPr>
            <w:tcW w:w="1508" w:type="dxa"/>
            <w:tcBorders>
              <w:top w:val="single" w:sz="4" w:space="0" w:color="000000"/>
              <w:left w:val="single" w:sz="4" w:space="0" w:color="000000"/>
              <w:bottom w:val="single" w:sz="4" w:space="0" w:color="000000"/>
              <w:right w:val="single" w:sz="4" w:space="0" w:color="000000"/>
            </w:tcBorders>
          </w:tcPr>
          <w:p w14:paraId="573BE6E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Այլ կենդանիներ</w:t>
            </w:r>
          </w:p>
        </w:tc>
        <w:tc>
          <w:tcPr>
            <w:tcW w:w="1382" w:type="dxa"/>
            <w:tcBorders>
              <w:top w:val="single" w:sz="4" w:space="0" w:color="000000"/>
              <w:left w:val="single" w:sz="4" w:space="0" w:color="000000"/>
              <w:bottom w:val="single" w:sz="4" w:space="0" w:color="000000"/>
              <w:right w:val="single" w:sz="4" w:space="0" w:color="000000"/>
            </w:tcBorders>
          </w:tcPr>
          <w:p w14:paraId="3015AA7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Մարդկային ծագման</w:t>
            </w:r>
          </w:p>
        </w:tc>
        <w:tc>
          <w:tcPr>
            <w:tcW w:w="2722" w:type="dxa"/>
            <w:tcBorders>
              <w:top w:val="single" w:sz="4" w:space="0" w:color="000000"/>
              <w:left w:val="single" w:sz="4" w:space="0" w:color="000000"/>
              <w:bottom w:val="single" w:sz="4" w:space="0" w:color="000000"/>
              <w:right w:val="single" w:sz="4" w:space="0" w:color="000000"/>
            </w:tcBorders>
          </w:tcPr>
          <w:p w14:paraId="4A3A92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ՏՍԷ</w:t>
            </w:r>
            <w:r w:rsidRPr="00834D52">
              <w:rPr>
                <w:rFonts w:ascii="Sylfaen" w:hAnsi="Sylfaen"/>
                <w:sz w:val="24"/>
                <w:szCs w:val="24"/>
                <w:vertAlign w:val="superscript"/>
              </w:rPr>
              <w:t>3</w:t>
            </w:r>
            <w:r w:rsidRPr="00834D52">
              <w:rPr>
                <w:rFonts w:ascii="Sylfaen" w:hAnsi="Sylfaen"/>
                <w:sz w:val="24"/>
                <w:szCs w:val="24"/>
              </w:rPr>
              <w:t>-ի վերաբերյալ Եվրոպական դեղագրքի համապատաս-խանության սերտիֆիկատի համարը</w:t>
            </w:r>
            <w:r w:rsidRPr="00834D52">
              <w:rPr>
                <w:rFonts w:ascii="Sylfaen" w:hAnsi="Sylfaen"/>
                <w:sz w:val="24"/>
                <w:szCs w:val="24"/>
              </w:rPr>
              <w:br/>
              <w:t>(առկայության դեպքում)</w:t>
            </w:r>
          </w:p>
        </w:tc>
      </w:tr>
      <w:tr w:rsidR="00D75041" w:rsidRPr="00834D52" w14:paraId="2B7189F5" w14:textId="77777777" w:rsidTr="003B78AE">
        <w:trPr>
          <w:trHeight w:val="375"/>
          <w:jc w:val="center"/>
        </w:trPr>
        <w:tc>
          <w:tcPr>
            <w:tcW w:w="1372" w:type="dxa"/>
            <w:tcBorders>
              <w:top w:val="single" w:sz="4" w:space="0" w:color="000000"/>
              <w:left w:val="single" w:sz="4" w:space="0" w:color="000000"/>
              <w:bottom w:val="single" w:sz="4" w:space="0" w:color="000000"/>
              <w:right w:val="single" w:sz="4" w:space="0" w:color="000000"/>
            </w:tcBorders>
          </w:tcPr>
          <w:p w14:paraId="20EB516C" w14:textId="77777777" w:rsidR="006F76EB" w:rsidRPr="00834D52" w:rsidRDefault="006F76EB" w:rsidP="00F71229">
            <w:pPr>
              <w:spacing w:after="120" w:line="240" w:lineRule="auto"/>
              <w:ind w:right="-8"/>
              <w:rPr>
                <w:rFonts w:ascii="Sylfaen" w:hAnsi="Sylfaen"/>
                <w:sz w:val="24"/>
                <w:szCs w:val="24"/>
              </w:rPr>
            </w:pPr>
          </w:p>
        </w:tc>
        <w:tc>
          <w:tcPr>
            <w:tcW w:w="832" w:type="dxa"/>
            <w:tcBorders>
              <w:top w:val="single" w:sz="4" w:space="0" w:color="000000"/>
              <w:left w:val="single" w:sz="4" w:space="0" w:color="000000"/>
              <w:bottom w:val="single" w:sz="4" w:space="0" w:color="000000"/>
              <w:right w:val="single" w:sz="4" w:space="0" w:color="000000"/>
            </w:tcBorders>
          </w:tcPr>
          <w:p w14:paraId="7E9F60A4"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ԱԴԲ-ն</w:t>
            </w:r>
          </w:p>
        </w:tc>
        <w:tc>
          <w:tcPr>
            <w:tcW w:w="733" w:type="dxa"/>
            <w:tcBorders>
              <w:top w:val="single" w:sz="4" w:space="0" w:color="000000"/>
              <w:left w:val="single" w:sz="4" w:space="0" w:color="000000"/>
              <w:bottom w:val="single" w:sz="4" w:space="0" w:color="000000"/>
              <w:right w:val="single" w:sz="4" w:space="0" w:color="000000"/>
            </w:tcBorders>
          </w:tcPr>
          <w:p w14:paraId="434B6D90"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id="5"/>
            </w:r>
          </w:p>
        </w:tc>
        <w:tc>
          <w:tcPr>
            <w:tcW w:w="733" w:type="dxa"/>
            <w:tcBorders>
              <w:top w:val="single" w:sz="4" w:space="0" w:color="000000"/>
              <w:left w:val="single" w:sz="4" w:space="0" w:color="000000"/>
              <w:bottom w:val="single" w:sz="4" w:space="0" w:color="000000"/>
              <w:right w:val="single" w:sz="4" w:space="0" w:color="000000"/>
            </w:tcBorders>
          </w:tcPr>
          <w:p w14:paraId="3FB6FC10"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id="6"/>
            </w:r>
          </w:p>
        </w:tc>
        <w:tc>
          <w:tcPr>
            <w:tcW w:w="1777" w:type="dxa"/>
            <w:tcBorders>
              <w:top w:val="single" w:sz="4" w:space="0" w:color="000000"/>
              <w:left w:val="single" w:sz="4" w:space="0" w:color="000000"/>
              <w:bottom w:val="single" w:sz="4" w:space="0" w:color="000000"/>
              <w:right w:val="single" w:sz="4" w:space="0" w:color="000000"/>
            </w:tcBorders>
          </w:tcPr>
          <w:p w14:paraId="69F0C7FA"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5534BDAD"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35D795A"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140553EE" w14:textId="77777777" w:rsidR="006F76EB" w:rsidRPr="00834D52" w:rsidRDefault="006F76EB" w:rsidP="00F71229">
            <w:pPr>
              <w:spacing w:after="120" w:line="240" w:lineRule="auto"/>
              <w:ind w:right="-8"/>
              <w:rPr>
                <w:rFonts w:ascii="Sylfaen" w:hAnsi="Sylfaen"/>
                <w:sz w:val="24"/>
                <w:szCs w:val="24"/>
              </w:rPr>
            </w:pPr>
          </w:p>
        </w:tc>
      </w:tr>
      <w:tr w:rsidR="00D75041" w:rsidRPr="00834D52" w14:paraId="50B784A0" w14:textId="77777777" w:rsidTr="003B78AE">
        <w:trPr>
          <w:trHeight w:val="386"/>
          <w:jc w:val="center"/>
        </w:trPr>
        <w:tc>
          <w:tcPr>
            <w:tcW w:w="1372" w:type="dxa"/>
            <w:tcBorders>
              <w:top w:val="single" w:sz="4" w:space="0" w:color="000000"/>
              <w:left w:val="single" w:sz="4" w:space="0" w:color="000000"/>
              <w:bottom w:val="single" w:sz="4" w:space="0" w:color="000000"/>
              <w:right w:val="single" w:sz="4" w:space="0" w:color="000000"/>
            </w:tcBorders>
          </w:tcPr>
          <w:p w14:paraId="3DC65432"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lastRenderedPageBreak/>
              <w:t>1</w:t>
            </w:r>
          </w:p>
        </w:tc>
        <w:tc>
          <w:tcPr>
            <w:tcW w:w="832" w:type="dxa"/>
            <w:tcBorders>
              <w:top w:val="single" w:sz="4" w:space="0" w:color="000000"/>
              <w:left w:val="single" w:sz="4" w:space="0" w:color="000000"/>
              <w:bottom w:val="single" w:sz="4" w:space="0" w:color="000000"/>
              <w:right w:val="single" w:sz="4" w:space="0" w:color="000000"/>
            </w:tcBorders>
          </w:tcPr>
          <w:p w14:paraId="7C98D3FB"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E0951E0"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1696C470"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30FAA9CC"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1B50B7ED"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02ACB726"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36FADB30" w14:textId="77777777" w:rsidR="006F76EB" w:rsidRPr="00834D52" w:rsidRDefault="006F76EB" w:rsidP="00F71229">
            <w:pPr>
              <w:spacing w:after="120" w:line="240" w:lineRule="auto"/>
              <w:ind w:right="-8"/>
              <w:rPr>
                <w:rFonts w:ascii="Sylfaen" w:hAnsi="Sylfaen"/>
                <w:sz w:val="24"/>
                <w:szCs w:val="24"/>
              </w:rPr>
            </w:pPr>
          </w:p>
        </w:tc>
      </w:tr>
      <w:tr w:rsidR="00D75041" w:rsidRPr="00834D52" w14:paraId="7CF18FE2"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2B67C3D8"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2</w:t>
            </w:r>
          </w:p>
        </w:tc>
        <w:tc>
          <w:tcPr>
            <w:tcW w:w="832" w:type="dxa"/>
            <w:tcBorders>
              <w:top w:val="single" w:sz="4" w:space="0" w:color="000000"/>
              <w:left w:val="single" w:sz="4" w:space="0" w:color="000000"/>
              <w:bottom w:val="single" w:sz="4" w:space="0" w:color="000000"/>
              <w:right w:val="single" w:sz="4" w:space="0" w:color="000000"/>
            </w:tcBorders>
          </w:tcPr>
          <w:p w14:paraId="46D10784"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5C1A28D2"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729CE045"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0754AB0F"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563318D1"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014BF6E0"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5A4AA6E5" w14:textId="77777777" w:rsidR="006F76EB" w:rsidRPr="00834D52" w:rsidRDefault="006F76EB" w:rsidP="00F71229">
            <w:pPr>
              <w:spacing w:after="120" w:line="240" w:lineRule="auto"/>
              <w:ind w:right="-8"/>
              <w:rPr>
                <w:rFonts w:ascii="Sylfaen" w:hAnsi="Sylfaen"/>
                <w:sz w:val="24"/>
                <w:szCs w:val="24"/>
              </w:rPr>
            </w:pPr>
          </w:p>
        </w:tc>
      </w:tr>
      <w:tr w:rsidR="00D75041" w:rsidRPr="00834D52" w14:paraId="199F21A7"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5A29BD99"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3</w:t>
            </w:r>
          </w:p>
        </w:tc>
        <w:tc>
          <w:tcPr>
            <w:tcW w:w="832" w:type="dxa"/>
            <w:tcBorders>
              <w:top w:val="single" w:sz="4" w:space="0" w:color="000000"/>
              <w:left w:val="single" w:sz="4" w:space="0" w:color="000000"/>
              <w:bottom w:val="single" w:sz="4" w:space="0" w:color="000000"/>
              <w:right w:val="single" w:sz="4" w:space="0" w:color="000000"/>
            </w:tcBorders>
          </w:tcPr>
          <w:p w14:paraId="0E5B7106"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650BAFDF"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C66DCCD"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61314F54"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3BBD45D2"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72C703D"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2EDAC408" w14:textId="77777777" w:rsidR="006F76EB" w:rsidRPr="00834D52" w:rsidRDefault="006F76EB" w:rsidP="00F71229">
            <w:pPr>
              <w:spacing w:after="120" w:line="240" w:lineRule="auto"/>
              <w:ind w:right="-8"/>
              <w:rPr>
                <w:rFonts w:ascii="Sylfaen" w:hAnsi="Sylfaen"/>
                <w:sz w:val="24"/>
                <w:szCs w:val="24"/>
              </w:rPr>
            </w:pPr>
          </w:p>
        </w:tc>
      </w:tr>
      <w:tr w:rsidR="00D75041" w:rsidRPr="00834D52" w14:paraId="7C76E0A4"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08DAC6BC"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w:t>
            </w:r>
          </w:p>
        </w:tc>
        <w:tc>
          <w:tcPr>
            <w:tcW w:w="832" w:type="dxa"/>
            <w:tcBorders>
              <w:top w:val="single" w:sz="4" w:space="0" w:color="000000"/>
              <w:left w:val="single" w:sz="4" w:space="0" w:color="000000"/>
              <w:bottom w:val="single" w:sz="4" w:space="0" w:color="000000"/>
              <w:right w:val="single" w:sz="4" w:space="0" w:color="000000"/>
            </w:tcBorders>
          </w:tcPr>
          <w:p w14:paraId="4C06BD37"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3995B32F"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3F07E180"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2C62B3A8"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61930ACC"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1121AFC"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0EA21E73" w14:textId="77777777" w:rsidR="006F76EB" w:rsidRPr="00834D52" w:rsidRDefault="006F76EB" w:rsidP="00F71229">
            <w:pPr>
              <w:spacing w:after="120" w:line="240" w:lineRule="auto"/>
              <w:ind w:right="-8"/>
              <w:rPr>
                <w:rFonts w:ascii="Sylfaen" w:hAnsi="Sylfaen"/>
                <w:sz w:val="24"/>
                <w:szCs w:val="24"/>
              </w:rPr>
            </w:pPr>
          </w:p>
        </w:tc>
      </w:tr>
    </w:tbl>
    <w:p w14:paraId="7794DCA0" w14:textId="1A50D94D" w:rsidR="006F76EB" w:rsidRPr="00834D52" w:rsidRDefault="006F76EB" w:rsidP="0052337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Pr="00834D52">
        <w:rPr>
          <w:rFonts w:ascii="Sylfaen" w:hAnsi="Sylfaen"/>
          <w:sz w:val="24"/>
          <w:szCs w:val="24"/>
          <w:vertAlign w:val="superscript"/>
        </w:rPr>
        <w:t>3</w:t>
      </w:r>
      <w:r w:rsidRPr="00834D52">
        <w:rPr>
          <w:rFonts w:ascii="Sylfaen" w:hAnsi="Sylfaen"/>
          <w:sz w:val="24"/>
          <w:szCs w:val="24"/>
        </w:rPr>
        <w:t>-ի վերաբերյալ Եվրոպական դեղագրքերի համապատասխանության սերտիֆիկատի կամ հումքի ծագման երկրի անասնաբուժական վերահսկողության լիազորված մարմինների կողմից տրված փաստաթղթի առկայությունը ՏՍԷ</w:t>
      </w:r>
      <w:r w:rsidRPr="00834D52">
        <w:rPr>
          <w:rFonts w:ascii="Sylfaen" w:hAnsi="Sylfaen"/>
          <w:sz w:val="24"/>
          <w:szCs w:val="24"/>
          <w:vertAlign w:val="superscript"/>
        </w:rPr>
        <w:t>3</w:t>
      </w:r>
      <w:r w:rsidRPr="00834D52">
        <w:rPr>
          <w:rFonts w:ascii="Sylfaen" w:hAnsi="Sylfaen"/>
          <w:sz w:val="24"/>
          <w:szCs w:val="24"/>
        </w:rPr>
        <w:t xml:space="preserve">-ի դեպքերի </w:t>
      </w:r>
      <w:r w:rsidR="00F350A1">
        <w:rPr>
          <w:rFonts w:ascii="Sylfaen" w:hAnsi="Sylfaen"/>
          <w:sz w:val="24"/>
          <w:szCs w:val="24"/>
        </w:rPr>
        <w:t>հայտ</w:t>
      </w:r>
      <w:r w:rsidRPr="00834D52">
        <w:rPr>
          <w:rFonts w:ascii="Sylfaen" w:hAnsi="Sylfaen"/>
          <w:sz w:val="24"/>
          <w:szCs w:val="24"/>
        </w:rPr>
        <w:t>նաբերման երկրում</w:t>
      </w:r>
      <w:r w:rsidRPr="00834D52">
        <w:rPr>
          <w:rFonts w:ascii="Sylfaen" w:hAnsi="Sylfaen"/>
          <w:sz w:val="24"/>
          <w:szCs w:val="24"/>
        </w:rPr>
        <w:br/>
        <w:t xml:space="preserve">(ըստ կլինիկական </w:t>
      </w:r>
      <w:r w:rsidR="00C54D75">
        <w:rPr>
          <w:rFonts w:ascii="Sylfaen" w:hAnsi="Sylfaen"/>
          <w:sz w:val="24"/>
          <w:szCs w:val="24"/>
        </w:rPr>
        <w:t>և</w:t>
      </w:r>
      <w:r w:rsidRPr="00834D52">
        <w:rPr>
          <w:rFonts w:ascii="Sylfaen" w:hAnsi="Sylfaen"/>
          <w:sz w:val="24"/>
          <w:szCs w:val="24"/>
        </w:rPr>
        <w:t xml:space="preserve"> լաբորատոր վերահսկողության արդյունքների) գրանցման վերաբերյալ </w:t>
      </w:r>
    </w:p>
    <w:p w14:paraId="24E0D971" w14:textId="3B8C7EA8" w:rsidR="006F76EB" w:rsidRPr="00834D52" w:rsidRDefault="006F76EB" w:rsidP="0052337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2.6.3.</w:t>
      </w:r>
      <w:r w:rsidRPr="00834D52">
        <w:rPr>
          <w:rFonts w:ascii="Sylfaen" w:hAnsi="Sylfaen"/>
          <w:sz w:val="24"/>
          <w:szCs w:val="24"/>
        </w:rPr>
        <w:tab/>
        <w:t xml:space="preserve">Արդյո՞ք տրամադրվել է պլազմայի մաստեր-ֆայլի սերտիֆիկատ (այսուհետ՝ ՊՄՖ), որն օգտագործվում է գրանցման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0BFE242" w14:textId="77777777" w:rsidTr="00F71229">
        <w:trPr>
          <w:jc w:val="center"/>
        </w:trPr>
        <w:tc>
          <w:tcPr>
            <w:tcW w:w="1560" w:type="dxa"/>
          </w:tcPr>
          <w:p w14:paraId="61028C81" w14:textId="64C47B98"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6288" behindDoc="0" locked="0" layoutInCell="1" allowOverlap="1" wp14:anchorId="48B2434B" wp14:editId="7F4A69A9">
                      <wp:simplePos x="0" y="0"/>
                      <wp:positionH relativeFrom="column">
                        <wp:posOffset>104775</wp:posOffset>
                      </wp:positionH>
                      <wp:positionV relativeFrom="paragraph">
                        <wp:posOffset>51435</wp:posOffset>
                      </wp:positionV>
                      <wp:extent cx="161925" cy="152400"/>
                      <wp:effectExtent l="5080" t="9525" r="13970" b="9525"/>
                      <wp:wrapNone/>
                      <wp:docPr id="22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B357D" id="Rectangle 122" o:spid="_x0000_s1026" style="position:absolute;margin-left:8.25pt;margin-top:4.05pt;width:12.75pt;height:1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39D52381" w14:textId="307A4575"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97312" behindDoc="0" locked="0" layoutInCell="1" allowOverlap="1" wp14:anchorId="79CC6371" wp14:editId="7A1C7325">
                      <wp:simplePos x="0" y="0"/>
                      <wp:positionH relativeFrom="column">
                        <wp:posOffset>6350</wp:posOffset>
                      </wp:positionH>
                      <wp:positionV relativeFrom="paragraph">
                        <wp:posOffset>51435</wp:posOffset>
                      </wp:positionV>
                      <wp:extent cx="161925" cy="152400"/>
                      <wp:effectExtent l="11430" t="9525" r="7620" b="9525"/>
                      <wp:wrapNone/>
                      <wp:docPr id="22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9297C" id="Rectangle 123" o:spid="_x0000_s1026" style="position:absolute;margin-left:.5pt;margin-top:4.05pt;width:12.75pt;height:1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1C57C204" w14:textId="77777777" w:rsidR="00523379" w:rsidRDefault="00523379" w:rsidP="006F76EB">
      <w:pPr>
        <w:spacing w:after="160" w:line="360" w:lineRule="auto"/>
        <w:ind w:right="-8" w:firstLine="567"/>
        <w:rPr>
          <w:rFonts w:ascii="Sylfaen" w:hAnsi="Sylfaen"/>
          <w:sz w:val="24"/>
          <w:szCs w:val="24"/>
        </w:rPr>
      </w:pPr>
    </w:p>
    <w:p w14:paraId="6DBAC43B" w14:textId="77777777" w:rsidR="00523379" w:rsidRDefault="00523379">
      <w:pPr>
        <w:widowControl/>
        <w:rPr>
          <w:rFonts w:ascii="Sylfaen" w:hAnsi="Sylfaen"/>
          <w:sz w:val="24"/>
          <w:szCs w:val="24"/>
        </w:rPr>
      </w:pPr>
      <w:r>
        <w:rPr>
          <w:rFonts w:ascii="Sylfaen" w:hAnsi="Sylfaen"/>
          <w:sz w:val="24"/>
          <w:szCs w:val="24"/>
        </w:rPr>
        <w:br w:type="page"/>
      </w:r>
    </w:p>
    <w:p w14:paraId="3106EECA"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w:t>
      </w:r>
    </w:p>
    <w:tbl>
      <w:tblPr>
        <w:tblStyle w:val="TableGrid"/>
        <w:tblW w:w="0" w:type="auto"/>
        <w:jc w:val="center"/>
        <w:tblLook w:val="04A0" w:firstRow="1" w:lastRow="0" w:firstColumn="1" w:lastColumn="0" w:noHBand="0" w:noVBand="1"/>
      </w:tblPr>
      <w:tblGrid>
        <w:gridCol w:w="4705"/>
        <w:gridCol w:w="1385"/>
        <w:gridCol w:w="1641"/>
        <w:gridCol w:w="1343"/>
      </w:tblGrid>
      <w:tr w:rsidR="006F76EB" w:rsidRPr="00834D52" w14:paraId="6E8903A6" w14:textId="77777777" w:rsidTr="00051BB3">
        <w:trPr>
          <w:jc w:val="center"/>
        </w:trPr>
        <w:tc>
          <w:tcPr>
            <w:tcW w:w="4786" w:type="dxa"/>
          </w:tcPr>
          <w:p w14:paraId="72038FD3"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ՊՄՖ-ի հղմամբ նյութը (սուբստանցիան)</w:t>
            </w:r>
          </w:p>
        </w:tc>
        <w:tc>
          <w:tcPr>
            <w:tcW w:w="4514" w:type="dxa"/>
            <w:gridSpan w:val="3"/>
          </w:tcPr>
          <w:p w14:paraId="0DB186B2" w14:textId="77777777" w:rsidR="006F76EB" w:rsidRPr="00834D52" w:rsidRDefault="006F76EB" w:rsidP="00F71229">
            <w:pPr>
              <w:spacing w:after="120"/>
              <w:ind w:right="-6"/>
              <w:jc w:val="both"/>
              <w:rPr>
                <w:rFonts w:ascii="Sylfaen" w:eastAsia="Times New Roman" w:hAnsi="Sylfaen" w:cs="Times New Roman"/>
                <w:sz w:val="24"/>
                <w:szCs w:val="24"/>
              </w:rPr>
            </w:pPr>
          </w:p>
        </w:tc>
      </w:tr>
      <w:tr w:rsidR="006F76EB" w:rsidRPr="00834D52" w14:paraId="07C485D7" w14:textId="77777777" w:rsidTr="00051BB3">
        <w:trPr>
          <w:jc w:val="center"/>
        </w:trPr>
        <w:tc>
          <w:tcPr>
            <w:tcW w:w="4786" w:type="dxa"/>
            <w:vMerge w:val="restart"/>
          </w:tcPr>
          <w:p w14:paraId="195DDEDC"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գործառույթը</w:t>
            </w:r>
          </w:p>
        </w:tc>
        <w:tc>
          <w:tcPr>
            <w:tcW w:w="1418" w:type="dxa"/>
          </w:tcPr>
          <w:p w14:paraId="413B5299"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ԱԴԲ-ն</w:t>
            </w:r>
          </w:p>
        </w:tc>
        <w:tc>
          <w:tcPr>
            <w:tcW w:w="1701" w:type="dxa"/>
          </w:tcPr>
          <w:p w14:paraId="1BDC85A9" w14:textId="77777777" w:rsidR="006F76EB" w:rsidRPr="00834D52" w:rsidRDefault="006F76EB" w:rsidP="00F71229">
            <w:pPr>
              <w:spacing w:after="120"/>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7"/>
              <w:t>1</w:t>
            </w:r>
          </w:p>
        </w:tc>
        <w:tc>
          <w:tcPr>
            <w:tcW w:w="1395" w:type="dxa"/>
          </w:tcPr>
          <w:p w14:paraId="76006235" w14:textId="77777777" w:rsidR="006F76EB" w:rsidRPr="00834D52" w:rsidRDefault="006F76EB" w:rsidP="00F71229">
            <w:pPr>
              <w:spacing w:after="120"/>
              <w:ind w:right="-6"/>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customMarkFollows="1" w:id="8"/>
              <w:t>2</w:t>
            </w:r>
          </w:p>
        </w:tc>
      </w:tr>
      <w:tr w:rsidR="006F76EB" w:rsidRPr="00834D52" w14:paraId="2D4B6257" w14:textId="77777777" w:rsidTr="00051BB3">
        <w:trPr>
          <w:jc w:val="center"/>
        </w:trPr>
        <w:tc>
          <w:tcPr>
            <w:tcW w:w="4786" w:type="dxa"/>
            <w:vMerge/>
          </w:tcPr>
          <w:p w14:paraId="194F42E1" w14:textId="77777777" w:rsidR="006F76EB" w:rsidRPr="00834D52" w:rsidRDefault="006F76EB" w:rsidP="00F71229">
            <w:pPr>
              <w:spacing w:after="120"/>
              <w:ind w:right="-6"/>
              <w:rPr>
                <w:rFonts w:ascii="Sylfaen" w:eastAsia="Times New Roman" w:hAnsi="Sylfaen" w:cs="Times New Roman"/>
                <w:sz w:val="24"/>
                <w:szCs w:val="24"/>
              </w:rPr>
            </w:pPr>
          </w:p>
        </w:tc>
        <w:tc>
          <w:tcPr>
            <w:tcW w:w="1418" w:type="dxa"/>
          </w:tcPr>
          <w:p w14:paraId="10C566F1" w14:textId="77777777" w:rsidR="006F76EB" w:rsidRPr="00834D52" w:rsidRDefault="006F76EB" w:rsidP="00F71229">
            <w:pPr>
              <w:spacing w:after="120"/>
              <w:ind w:right="-6"/>
              <w:jc w:val="both"/>
              <w:rPr>
                <w:rFonts w:ascii="Sylfaen" w:eastAsia="Times New Roman" w:hAnsi="Sylfaen" w:cs="Times New Roman"/>
                <w:sz w:val="24"/>
                <w:szCs w:val="24"/>
              </w:rPr>
            </w:pPr>
          </w:p>
        </w:tc>
        <w:tc>
          <w:tcPr>
            <w:tcW w:w="1701" w:type="dxa"/>
          </w:tcPr>
          <w:p w14:paraId="000ADDAF" w14:textId="77777777" w:rsidR="006F76EB" w:rsidRPr="00834D52" w:rsidRDefault="006F76EB" w:rsidP="00F71229">
            <w:pPr>
              <w:spacing w:after="120"/>
              <w:ind w:right="-6"/>
              <w:jc w:val="both"/>
              <w:rPr>
                <w:rFonts w:ascii="Sylfaen" w:eastAsia="Times New Roman" w:hAnsi="Sylfaen" w:cs="Times New Roman"/>
                <w:sz w:val="24"/>
                <w:szCs w:val="24"/>
              </w:rPr>
            </w:pPr>
          </w:p>
        </w:tc>
        <w:tc>
          <w:tcPr>
            <w:tcW w:w="1395" w:type="dxa"/>
          </w:tcPr>
          <w:p w14:paraId="3BE7238B" w14:textId="77777777" w:rsidR="006F76EB" w:rsidRPr="00834D52" w:rsidRDefault="006F76EB" w:rsidP="00F71229">
            <w:pPr>
              <w:spacing w:after="120"/>
              <w:ind w:right="-6"/>
              <w:jc w:val="both"/>
              <w:rPr>
                <w:rFonts w:ascii="Sylfaen" w:eastAsia="Times New Roman" w:hAnsi="Sylfaen" w:cs="Times New Roman"/>
                <w:sz w:val="24"/>
                <w:szCs w:val="24"/>
              </w:rPr>
            </w:pPr>
          </w:p>
        </w:tc>
      </w:tr>
      <w:tr w:rsidR="006F76EB" w:rsidRPr="00834D52" w14:paraId="0FD62646" w14:textId="77777777" w:rsidTr="00051BB3">
        <w:trPr>
          <w:jc w:val="center"/>
        </w:trPr>
        <w:tc>
          <w:tcPr>
            <w:tcW w:w="4786" w:type="dxa"/>
          </w:tcPr>
          <w:p w14:paraId="400878B9" w14:textId="731A1D10"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ՊՄՖ-ի տիրապետողի/</w:t>
            </w:r>
            <w:r w:rsidR="0056496B">
              <w:rPr>
                <w:rFonts w:ascii="Sylfaen" w:hAnsi="Sylfaen"/>
                <w:sz w:val="24"/>
                <w:szCs w:val="24"/>
              </w:rPr>
              <w:t>դիմումատու</w:t>
            </w:r>
            <w:r w:rsidRPr="00834D52">
              <w:rPr>
                <w:rFonts w:ascii="Sylfaen" w:hAnsi="Sylfaen"/>
                <w:sz w:val="24"/>
                <w:szCs w:val="24"/>
              </w:rPr>
              <w:t>ի անվանումը</w:t>
            </w:r>
          </w:p>
        </w:tc>
        <w:tc>
          <w:tcPr>
            <w:tcW w:w="4514" w:type="dxa"/>
            <w:gridSpan w:val="3"/>
          </w:tcPr>
          <w:p w14:paraId="200C383C" w14:textId="77777777" w:rsidR="006F76EB" w:rsidRPr="00834D52" w:rsidRDefault="006F76EB" w:rsidP="00F71229">
            <w:pPr>
              <w:spacing w:after="120"/>
              <w:ind w:right="-6"/>
              <w:rPr>
                <w:rFonts w:ascii="Sylfaen" w:hAnsi="Sylfaen"/>
                <w:sz w:val="24"/>
                <w:szCs w:val="24"/>
              </w:rPr>
            </w:pPr>
          </w:p>
        </w:tc>
      </w:tr>
      <w:tr w:rsidR="006F76EB" w:rsidRPr="00834D52" w14:paraId="45A95870" w14:textId="77777777" w:rsidTr="00051BB3">
        <w:trPr>
          <w:jc w:val="center"/>
        </w:trPr>
        <w:tc>
          <w:tcPr>
            <w:tcW w:w="4786" w:type="dxa"/>
          </w:tcPr>
          <w:p w14:paraId="2587020E" w14:textId="19B2F320"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սերտիֆիկատի/</w:t>
            </w:r>
            <w:r w:rsidR="0056496B">
              <w:rPr>
                <w:rFonts w:ascii="Sylfaen" w:hAnsi="Sylfaen"/>
                <w:sz w:val="24"/>
                <w:szCs w:val="24"/>
              </w:rPr>
              <w:t>դիմում</w:t>
            </w:r>
            <w:r w:rsidRPr="00834D52">
              <w:rPr>
                <w:rFonts w:ascii="Sylfaen" w:hAnsi="Sylfaen"/>
                <w:sz w:val="24"/>
                <w:szCs w:val="24"/>
              </w:rPr>
              <w:t>ի համարը</w:t>
            </w:r>
          </w:p>
        </w:tc>
        <w:tc>
          <w:tcPr>
            <w:tcW w:w="4514" w:type="dxa"/>
            <w:gridSpan w:val="3"/>
          </w:tcPr>
          <w:p w14:paraId="47669685" w14:textId="77777777" w:rsidR="006F76EB" w:rsidRPr="00834D52" w:rsidRDefault="006F76EB" w:rsidP="00F71229">
            <w:pPr>
              <w:spacing w:after="120"/>
              <w:ind w:right="-6"/>
              <w:rPr>
                <w:rFonts w:ascii="Sylfaen" w:hAnsi="Sylfaen"/>
                <w:sz w:val="24"/>
                <w:szCs w:val="24"/>
              </w:rPr>
            </w:pPr>
          </w:p>
        </w:tc>
      </w:tr>
      <w:tr w:rsidR="006F76EB" w:rsidRPr="00834D52" w14:paraId="48FF4BDB" w14:textId="77777777" w:rsidTr="00051BB3">
        <w:trPr>
          <w:jc w:val="center"/>
        </w:trPr>
        <w:tc>
          <w:tcPr>
            <w:tcW w:w="4786" w:type="dxa"/>
          </w:tcPr>
          <w:p w14:paraId="0CB29EA7" w14:textId="234CECAD" w:rsidR="006F76EB" w:rsidRPr="00834D52" w:rsidRDefault="0056496B" w:rsidP="00F71229">
            <w:pPr>
              <w:spacing w:after="120"/>
              <w:ind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ներկայացնելու ամսաթիվը (եթե քննարկման փուլում է)</w:t>
            </w:r>
          </w:p>
        </w:tc>
        <w:tc>
          <w:tcPr>
            <w:tcW w:w="4514" w:type="dxa"/>
            <w:gridSpan w:val="3"/>
          </w:tcPr>
          <w:p w14:paraId="3B7D179A" w14:textId="77777777" w:rsidR="006F76EB" w:rsidRPr="00834D52" w:rsidRDefault="006F76EB" w:rsidP="00F71229">
            <w:pPr>
              <w:spacing w:after="120"/>
              <w:ind w:right="-6"/>
              <w:rPr>
                <w:rFonts w:ascii="Sylfaen" w:hAnsi="Sylfaen"/>
                <w:sz w:val="24"/>
                <w:szCs w:val="24"/>
              </w:rPr>
            </w:pPr>
          </w:p>
        </w:tc>
      </w:tr>
      <w:tr w:rsidR="006F76EB" w:rsidRPr="00834D52" w14:paraId="24EA87D7" w14:textId="77777777" w:rsidTr="00051BB3">
        <w:trPr>
          <w:jc w:val="center"/>
        </w:trPr>
        <w:tc>
          <w:tcPr>
            <w:tcW w:w="4786" w:type="dxa"/>
          </w:tcPr>
          <w:p w14:paraId="050DF365"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w:t>
            </w:r>
            <w:r w:rsidRPr="00401029">
              <w:rPr>
                <w:rFonts w:ascii="Sylfaen" w:hAnsi="Sylfaen"/>
                <w:sz w:val="24"/>
                <w:szCs w:val="24"/>
              </w:rPr>
              <w:t xml:space="preserve"> </w:t>
            </w:r>
            <w:r w:rsidRPr="00834D52">
              <w:rPr>
                <w:rFonts w:ascii="Sylfaen" w:hAnsi="Sylfaen"/>
                <w:sz w:val="24"/>
                <w:szCs w:val="24"/>
              </w:rPr>
              <w:t>(եթե</w:t>
            </w:r>
            <w:r w:rsidRPr="00401029">
              <w:rPr>
                <w:rFonts w:ascii="Sylfaen" w:hAnsi="Sylfaen"/>
                <w:sz w:val="24"/>
                <w:szCs w:val="24"/>
              </w:rPr>
              <w:t> </w:t>
            </w:r>
            <w:r w:rsidRPr="00834D52">
              <w:rPr>
                <w:rFonts w:ascii="Sylfaen" w:hAnsi="Sylfaen"/>
                <w:sz w:val="24"/>
                <w:szCs w:val="24"/>
              </w:rPr>
              <w:t>առկա է սերտիֆիկատ)</w:t>
            </w:r>
          </w:p>
        </w:tc>
        <w:tc>
          <w:tcPr>
            <w:tcW w:w="4514" w:type="dxa"/>
            <w:gridSpan w:val="3"/>
          </w:tcPr>
          <w:p w14:paraId="033F0D36" w14:textId="77777777" w:rsidR="006F76EB" w:rsidRPr="00834D52" w:rsidRDefault="006F76EB" w:rsidP="00F71229">
            <w:pPr>
              <w:spacing w:after="120"/>
              <w:ind w:right="-6"/>
              <w:rPr>
                <w:rFonts w:ascii="Sylfaen" w:hAnsi="Sylfaen"/>
                <w:sz w:val="24"/>
                <w:szCs w:val="24"/>
              </w:rPr>
            </w:pPr>
          </w:p>
        </w:tc>
      </w:tr>
    </w:tbl>
    <w:p w14:paraId="546A17ED"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7CADB2C" w14:textId="77777777" w:rsidTr="00F71229">
        <w:trPr>
          <w:jc w:val="center"/>
        </w:trPr>
        <w:tc>
          <w:tcPr>
            <w:tcW w:w="1560" w:type="dxa"/>
          </w:tcPr>
          <w:p w14:paraId="0524C142" w14:textId="47346A48"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8336" behindDoc="0" locked="0" layoutInCell="1" allowOverlap="1" wp14:anchorId="310FE608" wp14:editId="0436D921">
                      <wp:simplePos x="0" y="0"/>
                      <wp:positionH relativeFrom="column">
                        <wp:posOffset>104775</wp:posOffset>
                      </wp:positionH>
                      <wp:positionV relativeFrom="paragraph">
                        <wp:posOffset>51435</wp:posOffset>
                      </wp:positionV>
                      <wp:extent cx="161925" cy="152400"/>
                      <wp:effectExtent l="5080" t="10795" r="13970" b="8255"/>
                      <wp:wrapNone/>
                      <wp:docPr id="22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C5484" id="Rectangle 124" o:spid="_x0000_s1026" style="position:absolute;margin-left:8.25pt;margin-top:4.05pt;width:12.75pt;height:1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6E16B280" w14:textId="5BDF4521" w:rsidR="006F76EB" w:rsidRPr="00834D52" w:rsidRDefault="0037154C"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9360" behindDoc="0" locked="0" layoutInCell="1" allowOverlap="1" wp14:anchorId="49F87DAC" wp14:editId="03B54330">
                      <wp:simplePos x="0" y="0"/>
                      <wp:positionH relativeFrom="column">
                        <wp:posOffset>6350</wp:posOffset>
                      </wp:positionH>
                      <wp:positionV relativeFrom="paragraph">
                        <wp:posOffset>51435</wp:posOffset>
                      </wp:positionV>
                      <wp:extent cx="161925" cy="152400"/>
                      <wp:effectExtent l="11430" t="10795" r="7620" b="8255"/>
                      <wp:wrapNone/>
                      <wp:docPr id="22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29C1D" id="Rectangle 125" o:spid="_x0000_s1026" style="position:absolute;margin-left:.5pt;margin-top:4.05pt;width:12.75pt;height:1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3C471EC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23A1D2B8" w14:textId="77777777" w:rsidTr="00F71229">
        <w:trPr>
          <w:jc w:val="center"/>
        </w:trPr>
        <w:tc>
          <w:tcPr>
            <w:tcW w:w="1560" w:type="dxa"/>
          </w:tcPr>
          <w:p w14:paraId="0F753CAC" w14:textId="16FA0694"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0384" behindDoc="0" locked="0" layoutInCell="1" allowOverlap="1" wp14:anchorId="5CFA153C" wp14:editId="22CFBFB3">
                      <wp:simplePos x="0" y="0"/>
                      <wp:positionH relativeFrom="column">
                        <wp:posOffset>104775</wp:posOffset>
                      </wp:positionH>
                      <wp:positionV relativeFrom="paragraph">
                        <wp:posOffset>51435</wp:posOffset>
                      </wp:positionV>
                      <wp:extent cx="161925" cy="152400"/>
                      <wp:effectExtent l="5080" t="12065" r="13970" b="6985"/>
                      <wp:wrapNone/>
                      <wp:docPr id="22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7A2F1" id="Rectangle 126" o:spid="_x0000_s1026" style="position:absolute;margin-left:8.25pt;margin-top:4.05pt;width:12.75pt;height:1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1FA54DAE" w14:textId="3600862C" w:rsidR="006F76EB" w:rsidRPr="00834D52" w:rsidRDefault="0037154C"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1408" behindDoc="0" locked="0" layoutInCell="1" allowOverlap="1" wp14:anchorId="010D9244" wp14:editId="44BA3142">
                      <wp:simplePos x="0" y="0"/>
                      <wp:positionH relativeFrom="column">
                        <wp:posOffset>6350</wp:posOffset>
                      </wp:positionH>
                      <wp:positionV relativeFrom="paragraph">
                        <wp:posOffset>51435</wp:posOffset>
                      </wp:positionV>
                      <wp:extent cx="161925" cy="152400"/>
                      <wp:effectExtent l="11430" t="12065" r="7620" b="6985"/>
                      <wp:wrapNone/>
                      <wp:docPr id="22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50B91" id="Rectangle 127" o:spid="_x0000_s1026" style="position:absolute;margin-left:.5pt;margin-top:4.05pt;width:12.75pt;height:1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121DB3C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Կատարե՛ք անհրաժեշտ հղումը:</w:t>
      </w:r>
    </w:p>
    <w:p w14:paraId="18860E4B" w14:textId="77777777" w:rsidR="006F76EB" w:rsidRPr="00834D52" w:rsidRDefault="006F76EB" w:rsidP="00AB4B3F">
      <w:pPr>
        <w:spacing w:after="0" w:line="240" w:lineRule="auto"/>
        <w:ind w:right="-6"/>
        <w:jc w:val="center"/>
        <w:rPr>
          <w:rFonts w:ascii="Sylfaen" w:eastAsia="Times New Roman" w:hAnsi="Sylfaen" w:cs="Times New Roman"/>
          <w:sz w:val="24"/>
          <w:szCs w:val="24"/>
        </w:rPr>
      </w:pPr>
    </w:p>
    <w:p w14:paraId="69DF0D8A"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 Այլ տեղեկություններ</w:t>
      </w:r>
    </w:p>
    <w:p w14:paraId="2D174D1D"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Պահպանվո՞ւմ են արդյոք դեղապատրաստուկի նկատմամբ մտավոր սեփականության իրավունքները Եվրասիական տնտեսական միության անդամ պետության տարածքում գործող արտոնագրերով՝</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31E9C963" w14:textId="77777777" w:rsidTr="00F71229">
        <w:trPr>
          <w:jc w:val="center"/>
        </w:trPr>
        <w:tc>
          <w:tcPr>
            <w:tcW w:w="1560" w:type="dxa"/>
          </w:tcPr>
          <w:p w14:paraId="71F60D2D" w14:textId="0C9AE861"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2432" behindDoc="0" locked="0" layoutInCell="1" allowOverlap="1" wp14:anchorId="00B0EAA9" wp14:editId="75850EEF">
                      <wp:simplePos x="0" y="0"/>
                      <wp:positionH relativeFrom="column">
                        <wp:posOffset>104775</wp:posOffset>
                      </wp:positionH>
                      <wp:positionV relativeFrom="paragraph">
                        <wp:posOffset>51435</wp:posOffset>
                      </wp:positionV>
                      <wp:extent cx="161925" cy="152400"/>
                      <wp:effectExtent l="5080" t="6350" r="13970" b="12700"/>
                      <wp:wrapNone/>
                      <wp:docPr id="22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3F5AA" id="Rectangle 128" o:spid="_x0000_s1026" style="position:absolute;margin-left:8.25pt;margin-top:4.05pt;width:12.75pt;height:1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076467AB" w14:textId="42C5E95E"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03456" behindDoc="0" locked="0" layoutInCell="1" allowOverlap="1" wp14:anchorId="1E271277" wp14:editId="78F0A3B9">
                      <wp:simplePos x="0" y="0"/>
                      <wp:positionH relativeFrom="column">
                        <wp:posOffset>6350</wp:posOffset>
                      </wp:positionH>
                      <wp:positionV relativeFrom="paragraph">
                        <wp:posOffset>51435</wp:posOffset>
                      </wp:positionV>
                      <wp:extent cx="161925" cy="152400"/>
                      <wp:effectExtent l="11430" t="6350" r="7620" b="12700"/>
                      <wp:wrapNone/>
                      <wp:docPr id="2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E69F1" id="Rectangle 129" o:spid="_x0000_s1026" style="position:absolute;margin-left:.5pt;margin-top:4.05pt;width:12.75pt;height:1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70DFB2A1" w14:textId="77777777" w:rsidR="006F76EB" w:rsidRPr="00834D52" w:rsidRDefault="006F76EB" w:rsidP="006F76EB">
      <w:pPr>
        <w:spacing w:after="160" w:line="360" w:lineRule="auto"/>
        <w:ind w:right="-8"/>
        <w:rPr>
          <w:rFonts w:ascii="Sylfaen" w:hAnsi="Sylfaen"/>
          <w:sz w:val="24"/>
          <w:szCs w:val="24"/>
        </w:rPr>
      </w:pPr>
    </w:p>
    <w:p w14:paraId="50D4B84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տեղեկատվությունը՝</w:t>
      </w:r>
    </w:p>
    <w:tbl>
      <w:tblPr>
        <w:tblW w:w="0" w:type="auto"/>
        <w:jc w:val="center"/>
        <w:tblLayout w:type="fixed"/>
        <w:tblCellMar>
          <w:left w:w="0" w:type="dxa"/>
          <w:right w:w="0" w:type="dxa"/>
        </w:tblCellMar>
        <w:tblLook w:val="01E0" w:firstRow="1" w:lastRow="1" w:firstColumn="1" w:lastColumn="1" w:noHBand="0" w:noVBand="0"/>
      </w:tblPr>
      <w:tblGrid>
        <w:gridCol w:w="1838"/>
        <w:gridCol w:w="2268"/>
        <w:gridCol w:w="1560"/>
        <w:gridCol w:w="1702"/>
        <w:gridCol w:w="1843"/>
      </w:tblGrid>
      <w:tr w:rsidR="006F76EB" w:rsidRPr="00834D52" w14:paraId="51B54071" w14:textId="77777777" w:rsidTr="00F71229">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BAD99DD"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68" w:type="dxa"/>
            <w:tcBorders>
              <w:top w:val="single" w:sz="4" w:space="0" w:color="000000"/>
              <w:left w:val="single" w:sz="4" w:space="0" w:color="000000"/>
              <w:bottom w:val="single" w:sz="4" w:space="0" w:color="000000"/>
              <w:right w:val="single" w:sz="4" w:space="0" w:color="000000"/>
            </w:tcBorders>
            <w:vAlign w:val="center"/>
          </w:tcPr>
          <w:p w14:paraId="1DF47D9E"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Վավեր է անդամ պետության տարածքում</w:t>
            </w:r>
          </w:p>
        </w:tc>
        <w:tc>
          <w:tcPr>
            <w:tcW w:w="1560" w:type="dxa"/>
            <w:tcBorders>
              <w:top w:val="single" w:sz="4" w:space="0" w:color="000000"/>
              <w:left w:val="single" w:sz="4" w:space="0" w:color="000000"/>
              <w:bottom w:val="single" w:sz="4" w:space="0" w:color="000000"/>
              <w:right w:val="single" w:sz="4" w:space="0" w:color="000000"/>
            </w:tcBorders>
            <w:vAlign w:val="center"/>
          </w:tcPr>
          <w:p w14:paraId="4783D11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Տրամադրման ամսաթիվը</w:t>
            </w:r>
          </w:p>
        </w:tc>
        <w:tc>
          <w:tcPr>
            <w:tcW w:w="1702" w:type="dxa"/>
            <w:tcBorders>
              <w:top w:val="single" w:sz="4" w:space="0" w:color="000000"/>
              <w:left w:val="single" w:sz="4" w:space="0" w:color="000000"/>
              <w:bottom w:val="single" w:sz="4" w:space="0" w:color="000000"/>
              <w:right w:val="single" w:sz="4" w:space="0" w:color="000000"/>
            </w:tcBorders>
            <w:vAlign w:val="center"/>
          </w:tcPr>
          <w:p w14:paraId="26F85BA2"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3" w:type="dxa"/>
            <w:tcBorders>
              <w:top w:val="single" w:sz="4" w:space="0" w:color="000000"/>
              <w:left w:val="single" w:sz="4" w:space="0" w:color="000000"/>
              <w:bottom w:val="single" w:sz="4" w:space="0" w:color="000000"/>
              <w:right w:val="single" w:sz="4" w:space="0" w:color="000000"/>
            </w:tcBorders>
            <w:vAlign w:val="center"/>
          </w:tcPr>
          <w:p w14:paraId="20E0234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Արտոնագրին տիրապետողը</w:t>
            </w:r>
          </w:p>
        </w:tc>
      </w:tr>
      <w:tr w:rsidR="006F76EB" w:rsidRPr="00834D52" w14:paraId="406194B1" w14:textId="77777777" w:rsidTr="00F71229">
        <w:trPr>
          <w:jc w:val="center"/>
        </w:trPr>
        <w:tc>
          <w:tcPr>
            <w:tcW w:w="1838" w:type="dxa"/>
            <w:tcBorders>
              <w:top w:val="single" w:sz="4" w:space="0" w:color="000000"/>
              <w:left w:val="single" w:sz="4" w:space="0" w:color="000000"/>
              <w:bottom w:val="single" w:sz="4" w:space="0" w:color="000000"/>
              <w:right w:val="single" w:sz="4" w:space="0" w:color="000000"/>
            </w:tcBorders>
          </w:tcPr>
          <w:p w14:paraId="317601FF" w14:textId="77777777" w:rsidR="006F76EB" w:rsidRPr="00834D52" w:rsidRDefault="006F76EB" w:rsidP="00051BB3">
            <w:pPr>
              <w:spacing w:after="120" w:line="240" w:lineRule="auto"/>
              <w:ind w:right="-6"/>
              <w:rPr>
                <w:rFonts w:ascii="Sylfaen" w:hAnsi="Sylfae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7377067" w14:textId="77777777" w:rsidR="006F76EB" w:rsidRPr="00834D52" w:rsidRDefault="006F76EB" w:rsidP="00051BB3">
            <w:pPr>
              <w:spacing w:after="120" w:line="240" w:lineRule="auto"/>
              <w:ind w:right="-6"/>
              <w:rPr>
                <w:rFonts w:ascii="Sylfaen" w:hAnsi="Sylfae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44DFCDF3" w14:textId="77777777" w:rsidR="006F76EB" w:rsidRPr="00834D52" w:rsidRDefault="006F76EB" w:rsidP="00051BB3">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58ECB566" w14:textId="77777777" w:rsidR="006F76EB" w:rsidRPr="00834D52" w:rsidRDefault="006F76EB" w:rsidP="00051BB3">
            <w:pPr>
              <w:spacing w:after="120" w:line="240" w:lineRule="auto"/>
              <w:ind w:right="-6"/>
              <w:rPr>
                <w:rFonts w:ascii="Sylfaen" w:hAnsi="Sylfae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BF7E6E5" w14:textId="77777777" w:rsidR="006F76EB" w:rsidRPr="00834D52" w:rsidRDefault="006F76EB" w:rsidP="00051BB3">
            <w:pPr>
              <w:spacing w:after="120" w:line="240" w:lineRule="auto"/>
              <w:ind w:right="-6"/>
              <w:rPr>
                <w:rFonts w:ascii="Sylfaen" w:hAnsi="Sylfaen"/>
                <w:sz w:val="24"/>
                <w:szCs w:val="24"/>
              </w:rPr>
            </w:pPr>
          </w:p>
        </w:tc>
      </w:tr>
    </w:tbl>
    <w:p w14:paraId="7A92184C" w14:textId="5BBBDB7B" w:rsidR="006F76EB" w:rsidRPr="00834D52" w:rsidRDefault="006F76EB" w:rsidP="00051BB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պետության օրենսդրությանը համապատասխան տրամադրված արտոնագիր ունեցող դեղապատրաստուկների գրանցման համար (դեղապատրաստուկի գրանցման դոսյեն Եվրասիական տնտեսական միության իրավունքի մաս կազմող ակտերի պահանջներին համապատասխանեցնելու համար) </w:t>
      </w:r>
      <w:r w:rsidR="0056496B">
        <w:rPr>
          <w:rFonts w:ascii="Sylfaen" w:hAnsi="Sylfaen"/>
          <w:sz w:val="24"/>
          <w:szCs w:val="24"/>
        </w:rPr>
        <w:t>դիմումատու</w:t>
      </w:r>
      <w:r w:rsidRPr="00834D52">
        <w:rPr>
          <w:rFonts w:ascii="Sylfaen" w:hAnsi="Sylfaen"/>
          <w:sz w:val="24"/>
          <w:szCs w:val="24"/>
        </w:rPr>
        <w:t xml:space="preserve">ն ներկայացնում է այդպիսի արտոնագրի կամ այն լիցենզիոն համաձայնագրի՝ իր կողմից վավերացված պատճենը, որը գրանցված դեղապատրաստուկի արտադրության </w:t>
      </w:r>
      <w:r w:rsidR="00C54D75">
        <w:rPr>
          <w:rFonts w:ascii="Sylfaen" w:hAnsi="Sylfaen"/>
          <w:sz w:val="24"/>
          <w:szCs w:val="24"/>
        </w:rPr>
        <w:t>և</w:t>
      </w:r>
      <w:r w:rsidRPr="00834D52">
        <w:rPr>
          <w:rFonts w:ascii="Sylfaen" w:hAnsi="Sylfaen"/>
          <w:sz w:val="24"/>
          <w:szCs w:val="24"/>
        </w:rPr>
        <w:t xml:space="preserve"> վաճառքի իրավունք է տալիս: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մտավոր իրավունքները, որոնք պաշտպանվում են արտոնագրով կամ փոխանցվում լիցենզիայով, չեն խախտվում դեղապատրաստուկի գրանցման պատճառով:</w:t>
      </w:r>
    </w:p>
    <w:p w14:paraId="51BB1F2F" w14:textId="77777777" w:rsidR="006F76EB" w:rsidRPr="00834D52" w:rsidRDefault="006F76EB" w:rsidP="002D046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D695FC9" w14:textId="77777777" w:rsidTr="00F71229">
        <w:trPr>
          <w:jc w:val="center"/>
        </w:trPr>
        <w:tc>
          <w:tcPr>
            <w:tcW w:w="1560" w:type="dxa"/>
          </w:tcPr>
          <w:p w14:paraId="12A8266B" w14:textId="04969446"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4480" behindDoc="0" locked="0" layoutInCell="1" allowOverlap="1" wp14:anchorId="5BFC1FA1" wp14:editId="1DF61529">
                      <wp:simplePos x="0" y="0"/>
                      <wp:positionH relativeFrom="column">
                        <wp:posOffset>104775</wp:posOffset>
                      </wp:positionH>
                      <wp:positionV relativeFrom="paragraph">
                        <wp:posOffset>51435</wp:posOffset>
                      </wp:positionV>
                      <wp:extent cx="161925" cy="152400"/>
                      <wp:effectExtent l="5080" t="6350" r="13970" b="12700"/>
                      <wp:wrapNone/>
                      <wp:docPr id="2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68056" id="Rectangle 130" o:spid="_x0000_s1026" style="position:absolute;margin-left:8.25pt;margin-top:4.05pt;width:12.75pt;height:1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57D69044" w14:textId="720A96B9"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05504" behindDoc="0" locked="0" layoutInCell="1" allowOverlap="1" wp14:anchorId="72563E1C" wp14:editId="51743463">
                      <wp:simplePos x="0" y="0"/>
                      <wp:positionH relativeFrom="column">
                        <wp:posOffset>6350</wp:posOffset>
                      </wp:positionH>
                      <wp:positionV relativeFrom="paragraph">
                        <wp:posOffset>51435</wp:posOffset>
                      </wp:positionV>
                      <wp:extent cx="161925" cy="152400"/>
                      <wp:effectExtent l="11430" t="6350" r="7620" b="12700"/>
                      <wp:wrapNone/>
                      <wp:docPr id="21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34ED0" id="Rectangle 131" o:spid="_x0000_s1026" style="position:absolute;margin-left:.5pt;margin-top:4.05pt;width:12.75pt;height:1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2E8C8F1E" w14:textId="77777777" w:rsidR="006F76EB" w:rsidRPr="00834D52" w:rsidRDefault="006F76EB" w:rsidP="006F76EB">
      <w:pPr>
        <w:spacing w:after="160" w:line="360" w:lineRule="auto"/>
        <w:ind w:right="-8" w:firstLine="567"/>
        <w:jc w:val="both"/>
        <w:rPr>
          <w:rFonts w:ascii="Sylfaen" w:hAnsi="Sylfaen"/>
          <w:sz w:val="24"/>
          <w:szCs w:val="24"/>
          <w:lang w:val="en-US"/>
        </w:rPr>
      </w:pPr>
    </w:p>
    <w:p w14:paraId="615B375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տեղեկատվությունը՝</w:t>
      </w:r>
    </w:p>
    <w:tbl>
      <w:tblPr>
        <w:tblW w:w="9564" w:type="dxa"/>
        <w:jc w:val="center"/>
        <w:tblLayout w:type="fixed"/>
        <w:tblCellMar>
          <w:left w:w="0" w:type="dxa"/>
          <w:right w:w="0" w:type="dxa"/>
        </w:tblCellMar>
        <w:tblLook w:val="01E0" w:firstRow="1" w:lastRow="1" w:firstColumn="1" w:lastColumn="1" w:noHBand="0" w:noVBand="0"/>
      </w:tblPr>
      <w:tblGrid>
        <w:gridCol w:w="2158"/>
        <w:gridCol w:w="2410"/>
        <w:gridCol w:w="1594"/>
        <w:gridCol w:w="1526"/>
        <w:gridCol w:w="1876"/>
      </w:tblGrid>
      <w:tr w:rsidR="006F76EB" w:rsidRPr="00834D52" w14:paraId="0A6BD3B2" w14:textId="77777777" w:rsidTr="00F71229">
        <w:trPr>
          <w:jc w:val="center"/>
        </w:trPr>
        <w:tc>
          <w:tcPr>
            <w:tcW w:w="2158" w:type="dxa"/>
            <w:tcBorders>
              <w:top w:val="single" w:sz="4" w:space="0" w:color="000000"/>
              <w:left w:val="single" w:sz="4" w:space="0" w:color="000000"/>
              <w:bottom w:val="single" w:sz="4" w:space="0" w:color="000000"/>
              <w:right w:val="single" w:sz="4" w:space="0" w:color="000000"/>
            </w:tcBorders>
            <w:vAlign w:val="center"/>
          </w:tcPr>
          <w:p w14:paraId="03678683"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Վկայականի համարը</w:t>
            </w:r>
          </w:p>
        </w:tc>
        <w:tc>
          <w:tcPr>
            <w:tcW w:w="2410" w:type="dxa"/>
            <w:tcBorders>
              <w:top w:val="single" w:sz="4" w:space="0" w:color="000000"/>
              <w:left w:val="single" w:sz="4" w:space="0" w:color="000000"/>
              <w:bottom w:val="single" w:sz="4" w:space="0" w:color="000000"/>
              <w:right w:val="single" w:sz="4" w:space="0" w:color="000000"/>
            </w:tcBorders>
            <w:vAlign w:val="center"/>
          </w:tcPr>
          <w:p w14:paraId="35A00B02"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Վավեր է անդամ պետության տարածքում</w:t>
            </w:r>
          </w:p>
        </w:tc>
        <w:tc>
          <w:tcPr>
            <w:tcW w:w="1594" w:type="dxa"/>
            <w:tcBorders>
              <w:top w:val="single" w:sz="4" w:space="0" w:color="000000"/>
              <w:left w:val="single" w:sz="4" w:space="0" w:color="000000"/>
              <w:bottom w:val="single" w:sz="4" w:space="0" w:color="000000"/>
              <w:right w:val="single" w:sz="4" w:space="0" w:color="000000"/>
            </w:tcBorders>
            <w:vAlign w:val="center"/>
          </w:tcPr>
          <w:p w14:paraId="57D32723"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Տրամադրման ամսաթիվը</w:t>
            </w:r>
          </w:p>
        </w:tc>
        <w:tc>
          <w:tcPr>
            <w:tcW w:w="1526" w:type="dxa"/>
            <w:tcBorders>
              <w:top w:val="single" w:sz="4" w:space="0" w:color="000000"/>
              <w:left w:val="single" w:sz="4" w:space="0" w:color="000000"/>
              <w:bottom w:val="single" w:sz="4" w:space="0" w:color="000000"/>
              <w:right w:val="single" w:sz="4" w:space="0" w:color="000000"/>
            </w:tcBorders>
            <w:vAlign w:val="center"/>
          </w:tcPr>
          <w:p w14:paraId="5A915AA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76" w:type="dxa"/>
            <w:tcBorders>
              <w:top w:val="single" w:sz="4" w:space="0" w:color="000000"/>
              <w:left w:val="single" w:sz="4" w:space="0" w:color="000000"/>
              <w:bottom w:val="single" w:sz="4" w:space="0" w:color="000000"/>
              <w:right w:val="single" w:sz="4" w:space="0" w:color="000000"/>
            </w:tcBorders>
            <w:vAlign w:val="center"/>
          </w:tcPr>
          <w:p w14:paraId="154EC86E"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728B6A54" w14:textId="77777777" w:rsidTr="00F71229">
        <w:trPr>
          <w:jc w:val="center"/>
        </w:trPr>
        <w:tc>
          <w:tcPr>
            <w:tcW w:w="2158" w:type="dxa"/>
            <w:tcBorders>
              <w:top w:val="single" w:sz="4" w:space="0" w:color="000000"/>
              <w:left w:val="single" w:sz="4" w:space="0" w:color="000000"/>
              <w:bottom w:val="single" w:sz="4" w:space="0" w:color="000000"/>
              <w:right w:val="single" w:sz="4" w:space="0" w:color="000000"/>
            </w:tcBorders>
          </w:tcPr>
          <w:p w14:paraId="65A4FBD3" w14:textId="77777777" w:rsidR="006F76EB" w:rsidRPr="00834D52" w:rsidRDefault="006F76EB" w:rsidP="00051BB3">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055DB548" w14:textId="77777777" w:rsidR="006F76EB" w:rsidRPr="00834D52" w:rsidRDefault="006F76EB" w:rsidP="00051BB3">
            <w:pPr>
              <w:spacing w:after="120" w:line="240" w:lineRule="auto"/>
              <w:ind w:right="-6"/>
              <w:rPr>
                <w:rFonts w:ascii="Sylfaen" w:hAnsi="Sylfae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14:paraId="770046A5" w14:textId="77777777" w:rsidR="006F76EB" w:rsidRPr="00834D52" w:rsidRDefault="006F76EB" w:rsidP="00051BB3">
            <w:pPr>
              <w:spacing w:after="120" w:line="240" w:lineRule="auto"/>
              <w:ind w:right="-6"/>
              <w:rPr>
                <w:rFonts w:ascii="Sylfaen" w:hAnsi="Sylfaen"/>
                <w:sz w:val="24"/>
                <w:szCs w:val="24"/>
              </w:rPr>
            </w:pPr>
          </w:p>
        </w:tc>
        <w:tc>
          <w:tcPr>
            <w:tcW w:w="1526" w:type="dxa"/>
            <w:tcBorders>
              <w:top w:val="single" w:sz="4" w:space="0" w:color="000000"/>
              <w:left w:val="single" w:sz="4" w:space="0" w:color="000000"/>
              <w:bottom w:val="single" w:sz="4" w:space="0" w:color="000000"/>
              <w:right w:val="single" w:sz="4" w:space="0" w:color="000000"/>
            </w:tcBorders>
          </w:tcPr>
          <w:p w14:paraId="60A330AF" w14:textId="77777777" w:rsidR="006F76EB" w:rsidRPr="00834D52" w:rsidRDefault="006F76EB" w:rsidP="00051BB3">
            <w:pPr>
              <w:spacing w:after="120" w:line="240" w:lineRule="auto"/>
              <w:ind w:right="-6"/>
              <w:rPr>
                <w:rFonts w:ascii="Sylfaen" w:hAnsi="Sylfaen"/>
                <w:sz w:val="24"/>
                <w:szCs w:val="24"/>
              </w:rPr>
            </w:pPr>
          </w:p>
        </w:tc>
        <w:tc>
          <w:tcPr>
            <w:tcW w:w="1876" w:type="dxa"/>
            <w:tcBorders>
              <w:top w:val="single" w:sz="4" w:space="0" w:color="000000"/>
              <w:left w:val="single" w:sz="4" w:space="0" w:color="000000"/>
              <w:bottom w:val="single" w:sz="4" w:space="0" w:color="000000"/>
              <w:right w:val="single" w:sz="4" w:space="0" w:color="000000"/>
            </w:tcBorders>
          </w:tcPr>
          <w:p w14:paraId="6F8F9671" w14:textId="77777777" w:rsidR="006F76EB" w:rsidRPr="00834D52" w:rsidRDefault="006F76EB" w:rsidP="00051BB3">
            <w:pPr>
              <w:spacing w:after="120" w:line="240" w:lineRule="auto"/>
              <w:ind w:right="-6"/>
              <w:rPr>
                <w:rFonts w:ascii="Sylfaen" w:hAnsi="Sylfaen"/>
                <w:sz w:val="24"/>
                <w:szCs w:val="24"/>
              </w:rPr>
            </w:pPr>
          </w:p>
        </w:tc>
      </w:tr>
    </w:tbl>
    <w:p w14:paraId="697B0D54" w14:textId="77777777" w:rsidR="006F76EB" w:rsidRPr="00834D52" w:rsidRDefault="006F76EB" w:rsidP="006F76EB">
      <w:pPr>
        <w:spacing w:after="160" w:line="360" w:lineRule="auto"/>
        <w:ind w:right="-8"/>
        <w:jc w:val="both"/>
        <w:rPr>
          <w:rFonts w:ascii="Sylfaen" w:eastAsia="Times New Roman" w:hAnsi="Sylfaen" w:cs="Times New Roman"/>
          <w:sz w:val="24"/>
          <w:szCs w:val="24"/>
        </w:rPr>
      </w:pPr>
    </w:p>
    <w:p w14:paraId="30BB3040" w14:textId="392AA105"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Կցել </w:t>
      </w:r>
      <w:r w:rsidR="0056496B">
        <w:rPr>
          <w:rFonts w:ascii="Sylfaen" w:hAnsi="Sylfaen"/>
          <w:sz w:val="24"/>
          <w:szCs w:val="24"/>
        </w:rPr>
        <w:t>դիմումատու</w:t>
      </w:r>
      <w:r w:rsidRPr="00834D52">
        <w:rPr>
          <w:rFonts w:ascii="Sylfaen" w:hAnsi="Sylfaen"/>
          <w:sz w:val="24"/>
          <w:szCs w:val="24"/>
        </w:rPr>
        <w:t xml:space="preserve">ի կողմից վավերացված՝ ապրանքային նշանի գրանցման </w:t>
      </w:r>
      <w:r w:rsidRPr="00834D52">
        <w:rPr>
          <w:rFonts w:ascii="Sylfaen" w:hAnsi="Sylfaen"/>
          <w:sz w:val="24"/>
          <w:szCs w:val="24"/>
        </w:rPr>
        <w:lastRenderedPageBreak/>
        <w:t>հավաստագրի պատճենը, որը գործում է Եվրասիական տնտեսական միության անդամ պետության տարածքում:</w:t>
      </w:r>
    </w:p>
    <w:p w14:paraId="1836CDD6" w14:textId="55CE3ABE"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իրավատերը չէ, ապա կցել </w:t>
      </w:r>
      <w:r w:rsidR="0056496B">
        <w:rPr>
          <w:rFonts w:ascii="Sylfaen" w:hAnsi="Sylfaen"/>
          <w:sz w:val="24"/>
          <w:szCs w:val="24"/>
        </w:rPr>
        <w:t>դիմումատու</w:t>
      </w:r>
      <w:r w:rsidRPr="00834D52">
        <w:rPr>
          <w:rFonts w:ascii="Sylfaen" w:hAnsi="Sylfaen"/>
          <w:sz w:val="24"/>
          <w:szCs w:val="24"/>
        </w:rPr>
        <w:t>ի կողմից վավերացված լիցենզիոն համաձայնագրի պատճենը կամ ապրանքային նշանի օգտագործման իրավունք տվող պետական գրանցման հաստատումը:</w:t>
      </w:r>
    </w:p>
    <w:p w14:paraId="09834245"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Արդյո՞ք դեղապատրաստուկը գրանցված է արտադրողի երկրում՝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289A1DA5" w14:textId="77777777" w:rsidTr="00F71229">
        <w:trPr>
          <w:jc w:val="center"/>
        </w:trPr>
        <w:tc>
          <w:tcPr>
            <w:tcW w:w="1560" w:type="dxa"/>
          </w:tcPr>
          <w:p w14:paraId="0B91F509" w14:textId="50491A35"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6528" behindDoc="0" locked="0" layoutInCell="1" allowOverlap="1" wp14:anchorId="7199BFCA" wp14:editId="478B9111">
                      <wp:simplePos x="0" y="0"/>
                      <wp:positionH relativeFrom="column">
                        <wp:posOffset>104775</wp:posOffset>
                      </wp:positionH>
                      <wp:positionV relativeFrom="paragraph">
                        <wp:posOffset>51435</wp:posOffset>
                      </wp:positionV>
                      <wp:extent cx="161925" cy="152400"/>
                      <wp:effectExtent l="5080" t="6350" r="13970" b="12700"/>
                      <wp:wrapNone/>
                      <wp:docPr id="21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07342" id="Rectangle 132" o:spid="_x0000_s1026" style="position:absolute;margin-left:8.25pt;margin-top:4.05pt;width:12.75pt;height:1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97214EF" w14:textId="3BBBC40D"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07552" behindDoc="0" locked="0" layoutInCell="1" allowOverlap="1" wp14:anchorId="325F9FE5" wp14:editId="78A70D72">
                      <wp:simplePos x="0" y="0"/>
                      <wp:positionH relativeFrom="column">
                        <wp:posOffset>6350</wp:posOffset>
                      </wp:positionH>
                      <wp:positionV relativeFrom="paragraph">
                        <wp:posOffset>51435</wp:posOffset>
                      </wp:positionV>
                      <wp:extent cx="161925" cy="152400"/>
                      <wp:effectExtent l="11430" t="6350" r="7620" b="12700"/>
                      <wp:wrapNone/>
                      <wp:docPr id="21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6ADED" id="Rectangle 133" o:spid="_x0000_s1026" style="position:absolute;margin-left:.5pt;margin-top:4.05pt;width:12.75pt;height:1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3B70107E" w14:textId="77777777" w:rsidR="006F76EB" w:rsidRPr="00834D52" w:rsidRDefault="006F76EB" w:rsidP="006F76EB">
      <w:pPr>
        <w:spacing w:after="160" w:line="360" w:lineRule="auto"/>
        <w:ind w:right="-8"/>
        <w:jc w:val="both"/>
        <w:rPr>
          <w:rFonts w:ascii="Sylfaen" w:hAnsi="Sylfaen"/>
          <w:sz w:val="24"/>
          <w:szCs w:val="24"/>
          <w:lang w:val="en-US"/>
        </w:rPr>
      </w:pPr>
    </w:p>
    <w:p w14:paraId="55358B8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0664D77" w14:textId="77777777" w:rsidTr="00F71229">
        <w:trPr>
          <w:jc w:val="center"/>
        </w:trPr>
        <w:tc>
          <w:tcPr>
            <w:tcW w:w="1560" w:type="dxa"/>
          </w:tcPr>
          <w:p w14:paraId="0236F7D7" w14:textId="38878BBA"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8576" behindDoc="0" locked="0" layoutInCell="1" allowOverlap="1" wp14:anchorId="1985E33E" wp14:editId="6931DA10">
                      <wp:simplePos x="0" y="0"/>
                      <wp:positionH relativeFrom="column">
                        <wp:posOffset>104775</wp:posOffset>
                      </wp:positionH>
                      <wp:positionV relativeFrom="paragraph">
                        <wp:posOffset>51435</wp:posOffset>
                      </wp:positionV>
                      <wp:extent cx="161925" cy="152400"/>
                      <wp:effectExtent l="5080" t="5080" r="13970" b="13970"/>
                      <wp:wrapNone/>
                      <wp:docPr id="21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35A5C" id="Rectangle 134" o:spid="_x0000_s1026" style="position:absolute;margin-left:8.25pt;margin-top:4.05pt;width:12.75pt;height:1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11CEAA41" w14:textId="59C1805C"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09600" behindDoc="0" locked="0" layoutInCell="1" allowOverlap="1" wp14:anchorId="406B8D34" wp14:editId="2B78F0FA">
                      <wp:simplePos x="0" y="0"/>
                      <wp:positionH relativeFrom="column">
                        <wp:posOffset>6350</wp:posOffset>
                      </wp:positionH>
                      <wp:positionV relativeFrom="paragraph">
                        <wp:posOffset>51435</wp:posOffset>
                      </wp:positionV>
                      <wp:extent cx="161925" cy="152400"/>
                      <wp:effectExtent l="11430" t="5080" r="7620" b="13970"/>
                      <wp:wrapNone/>
                      <wp:docPr id="21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FC239" id="Rectangle 135" o:spid="_x0000_s1026" style="position:absolute;margin-left:.5pt;margin-top:4.05pt;width:12.75pt;height:1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2FB6B482" w14:textId="77777777" w:rsidR="006F76EB" w:rsidRPr="00834D52" w:rsidRDefault="006F76EB" w:rsidP="006F76EB">
      <w:pPr>
        <w:tabs>
          <w:tab w:val="left" w:pos="1701"/>
        </w:tabs>
        <w:spacing w:after="160" w:line="360" w:lineRule="auto"/>
        <w:ind w:right="-8" w:firstLine="567"/>
        <w:jc w:val="both"/>
        <w:rPr>
          <w:rFonts w:ascii="Sylfaen" w:hAnsi="Sylfaen"/>
          <w:sz w:val="24"/>
          <w:szCs w:val="24"/>
          <w:lang w:val="en-US"/>
        </w:rPr>
      </w:pPr>
    </w:p>
    <w:p w14:paraId="0F37B6BF"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Արդյո՞ք անցկացվել է տվյալ դեղապատրաստուկի վերաբերյալ նախնական գիտական խորհրդակցություն Եվրասիական տնտեսական միության անդամ պետություններում՝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99E6AA6" w14:textId="77777777" w:rsidTr="00F71229">
        <w:trPr>
          <w:jc w:val="center"/>
        </w:trPr>
        <w:tc>
          <w:tcPr>
            <w:tcW w:w="1560" w:type="dxa"/>
          </w:tcPr>
          <w:p w14:paraId="676A76DB" w14:textId="1E0C32CB"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10624" behindDoc="0" locked="0" layoutInCell="1" allowOverlap="1" wp14:anchorId="7914C8E5" wp14:editId="758C2FA1">
                      <wp:simplePos x="0" y="0"/>
                      <wp:positionH relativeFrom="column">
                        <wp:posOffset>104775</wp:posOffset>
                      </wp:positionH>
                      <wp:positionV relativeFrom="paragraph">
                        <wp:posOffset>51435</wp:posOffset>
                      </wp:positionV>
                      <wp:extent cx="161925" cy="152400"/>
                      <wp:effectExtent l="5080" t="5080" r="13970" b="13970"/>
                      <wp:wrapNone/>
                      <wp:docPr id="21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947A0" id="Rectangle 136" o:spid="_x0000_s1026" style="position:absolute;margin-left:8.25pt;margin-top:4.05pt;width:12.75pt;height:1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A5E959C" w14:textId="62824BAD"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11648" behindDoc="0" locked="0" layoutInCell="1" allowOverlap="1" wp14:anchorId="2D6C048F" wp14:editId="0563D8D6">
                      <wp:simplePos x="0" y="0"/>
                      <wp:positionH relativeFrom="column">
                        <wp:posOffset>6350</wp:posOffset>
                      </wp:positionH>
                      <wp:positionV relativeFrom="paragraph">
                        <wp:posOffset>51435</wp:posOffset>
                      </wp:positionV>
                      <wp:extent cx="161925" cy="152400"/>
                      <wp:effectExtent l="11430" t="5080" r="7620" b="13970"/>
                      <wp:wrapNone/>
                      <wp:docPr id="21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04308" id="Rectangle 137" o:spid="_x0000_s1026" style="position:absolute;margin-left:.5pt;margin-top:4.05pt;width:12.75pt;height:1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6D6E2836" w14:textId="77777777" w:rsidR="006F76EB" w:rsidRPr="00834D52" w:rsidRDefault="006F76EB" w:rsidP="006F76EB">
      <w:pPr>
        <w:spacing w:after="160" w:line="360" w:lineRule="auto"/>
        <w:ind w:right="-8"/>
        <w:rPr>
          <w:rFonts w:ascii="Sylfaen" w:hAnsi="Sylfaen"/>
          <w:sz w:val="24"/>
          <w:szCs w:val="24"/>
        </w:rPr>
      </w:pPr>
    </w:p>
    <w:p w14:paraId="36098B8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804" w:type="dxa"/>
        <w:jc w:val="center"/>
        <w:tblLayout w:type="fixed"/>
        <w:tblCellMar>
          <w:left w:w="0" w:type="dxa"/>
          <w:right w:w="0" w:type="dxa"/>
        </w:tblCellMar>
        <w:tblLook w:val="01E0" w:firstRow="1" w:lastRow="1" w:firstColumn="1" w:lastColumn="1" w:noHBand="0" w:noVBand="0"/>
      </w:tblPr>
      <w:tblGrid>
        <w:gridCol w:w="5192"/>
        <w:gridCol w:w="4612"/>
      </w:tblGrid>
      <w:tr w:rsidR="006F76EB" w:rsidRPr="00834D52" w14:paraId="7D8683C0" w14:textId="77777777" w:rsidTr="002D046B">
        <w:trPr>
          <w:trHeight w:val="549"/>
          <w:jc w:val="center"/>
        </w:trPr>
        <w:tc>
          <w:tcPr>
            <w:tcW w:w="5192" w:type="dxa"/>
            <w:tcBorders>
              <w:top w:val="single" w:sz="4" w:space="0" w:color="000000"/>
              <w:left w:val="single" w:sz="4" w:space="0" w:color="000000"/>
              <w:bottom w:val="single" w:sz="4" w:space="0" w:color="000000"/>
              <w:right w:val="single" w:sz="4" w:space="0" w:color="000000"/>
            </w:tcBorders>
          </w:tcPr>
          <w:p w14:paraId="273A1003" w14:textId="77777777" w:rsidR="006F76EB" w:rsidRPr="00834D52" w:rsidRDefault="006F76EB" w:rsidP="00280FAE">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անդամ պետությունը</w:t>
            </w:r>
          </w:p>
        </w:tc>
        <w:tc>
          <w:tcPr>
            <w:tcW w:w="4612" w:type="dxa"/>
            <w:tcBorders>
              <w:top w:val="single" w:sz="4" w:space="0" w:color="000000"/>
              <w:left w:val="single" w:sz="4" w:space="0" w:color="000000"/>
              <w:bottom w:val="single" w:sz="4" w:space="0" w:color="000000"/>
              <w:right w:val="single" w:sz="4" w:space="0" w:color="000000"/>
            </w:tcBorders>
          </w:tcPr>
          <w:p w14:paraId="7984FA62" w14:textId="77777777" w:rsidR="006F76EB" w:rsidRPr="00834D52" w:rsidRDefault="006F76EB" w:rsidP="00280FAE">
            <w:pPr>
              <w:spacing w:after="120" w:line="240" w:lineRule="auto"/>
              <w:ind w:right="-8"/>
              <w:rPr>
                <w:rFonts w:ascii="Sylfaen" w:hAnsi="Sylfaen"/>
                <w:sz w:val="24"/>
                <w:szCs w:val="24"/>
              </w:rPr>
            </w:pPr>
          </w:p>
        </w:tc>
      </w:tr>
      <w:tr w:rsidR="006F76EB" w:rsidRPr="00834D52" w14:paraId="480A23A8" w14:textId="77777777" w:rsidTr="002D046B">
        <w:trPr>
          <w:trHeight w:val="549"/>
          <w:jc w:val="center"/>
        </w:trPr>
        <w:tc>
          <w:tcPr>
            <w:tcW w:w="5192" w:type="dxa"/>
            <w:tcBorders>
              <w:top w:val="single" w:sz="4" w:space="0" w:color="000000"/>
              <w:left w:val="single" w:sz="4" w:space="0" w:color="000000"/>
              <w:bottom w:val="single" w:sz="4" w:space="0" w:color="000000"/>
              <w:right w:val="single" w:sz="4" w:space="0" w:color="000000"/>
            </w:tcBorders>
          </w:tcPr>
          <w:p w14:paraId="2C794A39" w14:textId="77777777" w:rsidR="006F76EB" w:rsidRPr="00834D52" w:rsidRDefault="006F76EB" w:rsidP="00280FAE">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անցկացման ամսաթիվը</w:t>
            </w:r>
          </w:p>
        </w:tc>
        <w:tc>
          <w:tcPr>
            <w:tcW w:w="4612" w:type="dxa"/>
            <w:tcBorders>
              <w:top w:val="single" w:sz="4" w:space="0" w:color="000000"/>
              <w:left w:val="single" w:sz="4" w:space="0" w:color="000000"/>
              <w:bottom w:val="single" w:sz="4" w:space="0" w:color="000000"/>
              <w:right w:val="single" w:sz="4" w:space="0" w:color="000000"/>
            </w:tcBorders>
          </w:tcPr>
          <w:p w14:paraId="44212EB8" w14:textId="77777777" w:rsidR="006F76EB" w:rsidRPr="00834D52" w:rsidRDefault="006F76EB" w:rsidP="00280FAE">
            <w:pPr>
              <w:spacing w:after="120" w:line="240" w:lineRule="auto"/>
              <w:ind w:right="-8"/>
              <w:rPr>
                <w:rFonts w:ascii="Sylfaen" w:hAnsi="Sylfaen"/>
                <w:sz w:val="24"/>
                <w:szCs w:val="24"/>
              </w:rPr>
            </w:pPr>
          </w:p>
        </w:tc>
      </w:tr>
      <w:tr w:rsidR="006F76EB" w:rsidRPr="00834D52" w14:paraId="1E95B3A8" w14:textId="77777777" w:rsidTr="002D046B">
        <w:trPr>
          <w:trHeight w:val="1353"/>
          <w:jc w:val="center"/>
        </w:trPr>
        <w:tc>
          <w:tcPr>
            <w:tcW w:w="5192" w:type="dxa"/>
            <w:tcBorders>
              <w:top w:val="single" w:sz="4" w:space="0" w:color="000000"/>
              <w:left w:val="single" w:sz="4" w:space="0" w:color="000000"/>
              <w:bottom w:val="single" w:sz="4" w:space="0" w:color="000000"/>
              <w:right w:val="single" w:sz="4" w:space="0" w:color="000000"/>
            </w:tcBorders>
          </w:tcPr>
          <w:p w14:paraId="4806C391" w14:textId="77777777" w:rsidR="006F76EB" w:rsidRPr="00834D52" w:rsidRDefault="006F76EB" w:rsidP="00280FAE">
            <w:pPr>
              <w:spacing w:after="120" w:line="240" w:lineRule="auto"/>
              <w:ind w:left="180" w:right="830"/>
              <w:rPr>
                <w:rFonts w:ascii="Sylfaen" w:eastAsia="Times New Roman" w:hAnsi="Sylfaen" w:cs="Times New Roman"/>
                <w:sz w:val="24"/>
                <w:szCs w:val="24"/>
              </w:rPr>
            </w:pPr>
            <w:r w:rsidRPr="00834D52">
              <w:rPr>
                <w:rFonts w:ascii="Sylfaen" w:hAnsi="Sylfaen"/>
                <w:sz w:val="24"/>
                <w:szCs w:val="24"/>
              </w:rPr>
              <w:t xml:space="preserve">նշում՝ դոսյեի կազմում եզրակացության առկայության մասին </w:t>
            </w:r>
          </w:p>
        </w:tc>
        <w:tc>
          <w:tcPr>
            <w:tcW w:w="4612" w:type="dxa"/>
            <w:tcBorders>
              <w:top w:val="single" w:sz="4" w:space="0" w:color="000000"/>
              <w:left w:val="single" w:sz="4" w:space="0" w:color="000000"/>
              <w:bottom w:val="single" w:sz="4" w:space="0" w:color="000000"/>
              <w:right w:val="single" w:sz="4" w:space="0" w:color="000000"/>
            </w:tcBorders>
          </w:tcPr>
          <w:p w14:paraId="46895BDB" w14:textId="77777777" w:rsidR="006F76EB" w:rsidRPr="00834D52" w:rsidRDefault="006F76EB" w:rsidP="00280FAE">
            <w:pPr>
              <w:spacing w:after="120" w:line="240" w:lineRule="auto"/>
              <w:ind w:right="-8"/>
              <w:rPr>
                <w:rFonts w:ascii="Sylfaen" w:hAnsi="Sylfaen"/>
                <w:sz w:val="24"/>
                <w:szCs w:val="24"/>
              </w:rPr>
            </w:pPr>
          </w:p>
        </w:tc>
      </w:tr>
    </w:tbl>
    <w:p w14:paraId="7019F85D"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Արդյո՞ք Դեղամիջոցների հարցերով փորձագիտական կոմիտեում անցկացվել է տվյալ դեղապատրաստուկի վերաբերյալ նախնական գիտական խորհրդակցություն՝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1C7AEA3" w14:textId="77777777" w:rsidTr="00F71229">
        <w:trPr>
          <w:jc w:val="center"/>
        </w:trPr>
        <w:tc>
          <w:tcPr>
            <w:tcW w:w="1560" w:type="dxa"/>
          </w:tcPr>
          <w:p w14:paraId="2F59FACD" w14:textId="727FC394"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lastRenderedPageBreak/>
              <mc:AlternateContent>
                <mc:Choice Requires="wps">
                  <w:drawing>
                    <wp:anchor distT="0" distB="0" distL="114300" distR="114300" simplePos="0" relativeHeight="251612672" behindDoc="0" locked="0" layoutInCell="1" allowOverlap="1" wp14:anchorId="23F7B619" wp14:editId="511A2163">
                      <wp:simplePos x="0" y="0"/>
                      <wp:positionH relativeFrom="column">
                        <wp:posOffset>104775</wp:posOffset>
                      </wp:positionH>
                      <wp:positionV relativeFrom="paragraph">
                        <wp:posOffset>51435</wp:posOffset>
                      </wp:positionV>
                      <wp:extent cx="161925" cy="152400"/>
                      <wp:effectExtent l="5080" t="12065" r="13970" b="6985"/>
                      <wp:wrapNone/>
                      <wp:docPr id="21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F545D" id="Rectangle 138" o:spid="_x0000_s1026" style="position:absolute;margin-left:8.25pt;margin-top:4.05pt;width:12.75pt;height:1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29F75D6C" w14:textId="570EAEBB"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13696" behindDoc="0" locked="0" layoutInCell="1" allowOverlap="1" wp14:anchorId="71118FE1" wp14:editId="6BD4A018">
                      <wp:simplePos x="0" y="0"/>
                      <wp:positionH relativeFrom="column">
                        <wp:posOffset>6350</wp:posOffset>
                      </wp:positionH>
                      <wp:positionV relativeFrom="paragraph">
                        <wp:posOffset>51435</wp:posOffset>
                      </wp:positionV>
                      <wp:extent cx="161925" cy="152400"/>
                      <wp:effectExtent l="11430" t="12065" r="7620" b="6985"/>
                      <wp:wrapNone/>
                      <wp:docPr id="2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4AC87" id="Rectangle 139" o:spid="_x0000_s1026" style="position:absolute;margin-left:.5pt;margin-top:4.05pt;width:12.75pt;height:1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348351BF" w14:textId="77777777" w:rsidR="006F76EB" w:rsidRPr="00834D52" w:rsidRDefault="006F76EB" w:rsidP="006F76EB">
      <w:pPr>
        <w:spacing w:after="160" w:line="360" w:lineRule="auto"/>
        <w:ind w:right="-8"/>
        <w:rPr>
          <w:rFonts w:ascii="Sylfaen" w:hAnsi="Sylfaen"/>
          <w:sz w:val="24"/>
          <w:szCs w:val="24"/>
          <w:lang w:val="en-US"/>
        </w:rPr>
      </w:pPr>
    </w:p>
    <w:p w14:paraId="2CE3DE82"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552" w:type="dxa"/>
        <w:tblInd w:w="109" w:type="dxa"/>
        <w:tblLayout w:type="fixed"/>
        <w:tblCellMar>
          <w:left w:w="0" w:type="dxa"/>
          <w:right w:w="0" w:type="dxa"/>
        </w:tblCellMar>
        <w:tblLook w:val="01E0" w:firstRow="1" w:lastRow="1" w:firstColumn="1" w:lastColumn="1" w:noHBand="0" w:noVBand="0"/>
      </w:tblPr>
      <w:tblGrid>
        <w:gridCol w:w="4675"/>
        <w:gridCol w:w="4877"/>
      </w:tblGrid>
      <w:tr w:rsidR="006F76EB" w:rsidRPr="00834D52" w14:paraId="6897C5D9" w14:textId="77777777" w:rsidTr="00DA7D09">
        <w:trPr>
          <w:trHeight w:val="720"/>
        </w:trPr>
        <w:tc>
          <w:tcPr>
            <w:tcW w:w="4675" w:type="dxa"/>
            <w:tcBorders>
              <w:top w:val="single" w:sz="4" w:space="0" w:color="000000"/>
              <w:left w:val="single" w:sz="4" w:space="0" w:color="000000"/>
              <w:bottom w:val="single" w:sz="4" w:space="0" w:color="000000"/>
              <w:right w:val="single" w:sz="4" w:space="0" w:color="000000"/>
            </w:tcBorders>
          </w:tcPr>
          <w:p w14:paraId="3CDBFE10" w14:textId="77777777" w:rsidR="006F76EB" w:rsidRPr="00834D52" w:rsidRDefault="006F76EB" w:rsidP="00280FAE">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4877" w:type="dxa"/>
            <w:tcBorders>
              <w:top w:val="single" w:sz="4" w:space="0" w:color="000000"/>
              <w:left w:val="single" w:sz="4" w:space="0" w:color="000000"/>
              <w:bottom w:val="single" w:sz="4" w:space="0" w:color="000000"/>
              <w:right w:val="single" w:sz="4" w:space="0" w:color="000000"/>
            </w:tcBorders>
          </w:tcPr>
          <w:p w14:paraId="5EAE87AC" w14:textId="77777777" w:rsidR="006F76EB" w:rsidRPr="00834D52" w:rsidRDefault="006F76EB" w:rsidP="00280FAE">
            <w:pPr>
              <w:spacing w:after="120" w:line="240" w:lineRule="auto"/>
              <w:ind w:right="-6"/>
              <w:rPr>
                <w:rFonts w:ascii="Sylfaen" w:hAnsi="Sylfaen"/>
                <w:sz w:val="24"/>
                <w:szCs w:val="24"/>
              </w:rPr>
            </w:pPr>
          </w:p>
        </w:tc>
      </w:tr>
      <w:tr w:rsidR="006F76EB" w:rsidRPr="00834D52" w14:paraId="07EC5401" w14:textId="77777777" w:rsidTr="00DA7D09">
        <w:trPr>
          <w:trHeight w:val="1293"/>
        </w:trPr>
        <w:tc>
          <w:tcPr>
            <w:tcW w:w="4675" w:type="dxa"/>
            <w:tcBorders>
              <w:top w:val="single" w:sz="4" w:space="0" w:color="000000"/>
              <w:left w:val="single" w:sz="4" w:space="0" w:color="000000"/>
              <w:bottom w:val="single" w:sz="4" w:space="0" w:color="000000"/>
              <w:right w:val="single" w:sz="4" w:space="0" w:color="000000"/>
            </w:tcBorders>
          </w:tcPr>
          <w:p w14:paraId="218DF30C" w14:textId="77777777" w:rsidR="006F76EB" w:rsidRPr="00834D52" w:rsidRDefault="006F76EB" w:rsidP="00280FAE">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նշում՝ դոսյեի կազմում եզրակացության առկայության մասին </w:t>
            </w:r>
          </w:p>
        </w:tc>
        <w:tc>
          <w:tcPr>
            <w:tcW w:w="4877" w:type="dxa"/>
            <w:tcBorders>
              <w:top w:val="single" w:sz="4" w:space="0" w:color="000000"/>
              <w:left w:val="single" w:sz="4" w:space="0" w:color="000000"/>
              <w:bottom w:val="single" w:sz="4" w:space="0" w:color="000000"/>
              <w:right w:val="single" w:sz="4" w:space="0" w:color="000000"/>
            </w:tcBorders>
          </w:tcPr>
          <w:p w14:paraId="5DB1C556" w14:textId="77777777" w:rsidR="006F76EB" w:rsidRPr="00834D52" w:rsidRDefault="006F76EB" w:rsidP="00280FAE">
            <w:pPr>
              <w:spacing w:after="120" w:line="240" w:lineRule="auto"/>
              <w:ind w:right="-6"/>
              <w:rPr>
                <w:rFonts w:ascii="Sylfaen" w:hAnsi="Sylfaen"/>
                <w:sz w:val="24"/>
                <w:szCs w:val="24"/>
              </w:rPr>
            </w:pPr>
          </w:p>
        </w:tc>
      </w:tr>
    </w:tbl>
    <w:p w14:paraId="105F6316"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հավաստագրի մերժման, հետկանչի </w:t>
      </w:r>
      <w:r w:rsidR="00C54D75">
        <w:rPr>
          <w:rFonts w:ascii="Sylfaen" w:hAnsi="Sylfaen"/>
          <w:sz w:val="24"/>
          <w:szCs w:val="24"/>
        </w:rPr>
        <w:t>և</w:t>
      </w:r>
      <w:r w:rsidRPr="00834D52">
        <w:rPr>
          <w:rFonts w:ascii="Sylfaen" w:hAnsi="Sylfaen"/>
          <w:sz w:val="24"/>
          <w:szCs w:val="24"/>
        </w:rPr>
        <w:t xml:space="preserve"> գործողության դադարեցման մասին տեղեկատվություն: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C6CF6FD" w14:textId="77777777" w:rsidTr="00F71229">
        <w:trPr>
          <w:jc w:val="center"/>
        </w:trPr>
        <w:tc>
          <w:tcPr>
            <w:tcW w:w="1560" w:type="dxa"/>
          </w:tcPr>
          <w:p w14:paraId="366909BA" w14:textId="2C1BABCB"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14720" behindDoc="0" locked="0" layoutInCell="1" allowOverlap="1" wp14:anchorId="49C9B0C9" wp14:editId="14C6DD12">
                      <wp:simplePos x="0" y="0"/>
                      <wp:positionH relativeFrom="column">
                        <wp:posOffset>104775</wp:posOffset>
                      </wp:positionH>
                      <wp:positionV relativeFrom="paragraph">
                        <wp:posOffset>51435</wp:posOffset>
                      </wp:positionV>
                      <wp:extent cx="161925" cy="152400"/>
                      <wp:effectExtent l="5080" t="8255" r="13970" b="10795"/>
                      <wp:wrapNone/>
                      <wp:docPr id="209"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D64BC" id="Rectangle 140" o:spid="_x0000_s1026" style="position:absolute;margin-left:8.25pt;margin-top:4.05pt;width:12.75pt;height:1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6A6EA07" w14:textId="7B0707A4"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15744" behindDoc="0" locked="0" layoutInCell="1" allowOverlap="1" wp14:anchorId="598FE735" wp14:editId="0D39BCA7">
                      <wp:simplePos x="0" y="0"/>
                      <wp:positionH relativeFrom="column">
                        <wp:posOffset>6350</wp:posOffset>
                      </wp:positionH>
                      <wp:positionV relativeFrom="paragraph">
                        <wp:posOffset>51435</wp:posOffset>
                      </wp:positionV>
                      <wp:extent cx="161925" cy="152400"/>
                      <wp:effectExtent l="11430" t="8255" r="7620" b="10795"/>
                      <wp:wrapNone/>
                      <wp:docPr id="20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D1FBF" id="Rectangle 141" o:spid="_x0000_s1026" style="position:absolute;margin-left:.5pt;margin-top:4.05pt;width:12.75pt;height:1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7B4C5034" w14:textId="77777777" w:rsidR="006F76EB" w:rsidRPr="00834D52" w:rsidRDefault="006F76EB" w:rsidP="006F76EB">
      <w:pPr>
        <w:spacing w:after="160" w:line="360" w:lineRule="auto"/>
        <w:ind w:right="-8"/>
        <w:rPr>
          <w:rFonts w:ascii="Sylfaen" w:hAnsi="Sylfaen"/>
          <w:sz w:val="24"/>
          <w:szCs w:val="24"/>
          <w:lang w:val="en-US"/>
        </w:rPr>
      </w:pPr>
    </w:p>
    <w:p w14:paraId="39ADC451" w14:textId="77777777" w:rsidR="006F76EB" w:rsidRPr="00834D52" w:rsidRDefault="006F76EB" w:rsidP="006F76EB">
      <w:pPr>
        <w:spacing w:after="160" w:line="343" w:lineRule="auto"/>
        <w:ind w:right="-6" w:firstLine="567"/>
        <w:rPr>
          <w:rFonts w:ascii="Sylfaen" w:eastAsia="Times New Roman" w:hAnsi="Sylfaen" w:cs="Times New Roman"/>
          <w:sz w:val="24"/>
          <w:szCs w:val="24"/>
        </w:rPr>
      </w:pPr>
      <w:r w:rsidRPr="00834D52">
        <w:rPr>
          <w:rFonts w:ascii="Sylfaen" w:hAnsi="Sylfaen"/>
          <w:sz w:val="24"/>
          <w:szCs w:val="24"/>
        </w:rPr>
        <w:t>Եթե այո՝</w:t>
      </w:r>
    </w:p>
    <w:tbl>
      <w:tblPr>
        <w:tblW w:w="9980" w:type="dxa"/>
        <w:jc w:val="center"/>
        <w:tblLayout w:type="fixed"/>
        <w:tblCellMar>
          <w:left w:w="0" w:type="dxa"/>
          <w:right w:w="0" w:type="dxa"/>
        </w:tblCellMar>
        <w:tblLook w:val="01E0" w:firstRow="1" w:lastRow="1" w:firstColumn="1" w:lastColumn="1" w:noHBand="0" w:noVBand="0"/>
      </w:tblPr>
      <w:tblGrid>
        <w:gridCol w:w="3496"/>
        <w:gridCol w:w="1351"/>
        <w:gridCol w:w="1575"/>
        <w:gridCol w:w="1882"/>
        <w:gridCol w:w="1676"/>
      </w:tblGrid>
      <w:tr w:rsidR="006F76EB" w:rsidRPr="00834D52" w14:paraId="11518283" w14:textId="77777777" w:rsidTr="00DA7D09">
        <w:trPr>
          <w:trHeight w:val="838"/>
          <w:jc w:val="center"/>
        </w:trPr>
        <w:tc>
          <w:tcPr>
            <w:tcW w:w="3496" w:type="dxa"/>
            <w:tcBorders>
              <w:top w:val="single" w:sz="4" w:space="0" w:color="000000"/>
              <w:left w:val="single" w:sz="4" w:space="0" w:color="000000"/>
              <w:bottom w:val="single" w:sz="4" w:space="0" w:color="000000"/>
              <w:right w:val="single" w:sz="4" w:space="0" w:color="000000"/>
            </w:tcBorders>
          </w:tcPr>
          <w:p w14:paraId="5A5120C8"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351" w:type="dxa"/>
            <w:tcBorders>
              <w:top w:val="single" w:sz="4" w:space="0" w:color="000000"/>
              <w:left w:val="single" w:sz="4" w:space="0" w:color="000000"/>
              <w:bottom w:val="single" w:sz="4" w:space="0" w:color="000000"/>
              <w:right w:val="single" w:sz="4" w:space="0" w:color="000000"/>
            </w:tcBorders>
          </w:tcPr>
          <w:p w14:paraId="75636BD3"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Պատճառը</w:t>
            </w:r>
          </w:p>
        </w:tc>
        <w:tc>
          <w:tcPr>
            <w:tcW w:w="1575" w:type="dxa"/>
            <w:tcBorders>
              <w:top w:val="single" w:sz="4" w:space="0" w:color="000000"/>
              <w:left w:val="single" w:sz="4" w:space="0" w:color="000000"/>
              <w:bottom w:val="single" w:sz="4" w:space="0" w:color="000000"/>
              <w:right w:val="single" w:sz="4" w:space="0" w:color="000000"/>
            </w:tcBorders>
          </w:tcPr>
          <w:p w14:paraId="022C6F53"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Երկիրը</w:t>
            </w:r>
          </w:p>
        </w:tc>
        <w:tc>
          <w:tcPr>
            <w:tcW w:w="1882" w:type="dxa"/>
            <w:tcBorders>
              <w:top w:val="single" w:sz="4" w:space="0" w:color="000000"/>
              <w:left w:val="single" w:sz="4" w:space="0" w:color="000000"/>
              <w:bottom w:val="single" w:sz="4" w:space="0" w:color="000000"/>
              <w:right w:val="single" w:sz="4" w:space="0" w:color="000000"/>
            </w:tcBorders>
          </w:tcPr>
          <w:p w14:paraId="7DB76564"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Ժամկետը</w:t>
            </w:r>
          </w:p>
        </w:tc>
        <w:tc>
          <w:tcPr>
            <w:tcW w:w="1676" w:type="dxa"/>
            <w:tcBorders>
              <w:top w:val="single" w:sz="4" w:space="0" w:color="000000"/>
              <w:left w:val="single" w:sz="4" w:space="0" w:color="000000"/>
              <w:bottom w:val="single" w:sz="4" w:space="0" w:color="000000"/>
              <w:right w:val="single" w:sz="4" w:space="0" w:color="000000"/>
            </w:tcBorders>
          </w:tcPr>
          <w:p w14:paraId="7FB9ADE7"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07FCD511" w14:textId="77777777" w:rsidTr="00DA7D09">
        <w:trPr>
          <w:trHeight w:val="807"/>
          <w:jc w:val="center"/>
        </w:trPr>
        <w:tc>
          <w:tcPr>
            <w:tcW w:w="3496" w:type="dxa"/>
            <w:tcBorders>
              <w:top w:val="single" w:sz="4" w:space="0" w:color="000000"/>
              <w:left w:val="single" w:sz="4" w:space="0" w:color="000000"/>
              <w:bottom w:val="single" w:sz="4" w:space="0" w:color="000000"/>
              <w:right w:val="single" w:sz="4" w:space="0" w:color="000000"/>
            </w:tcBorders>
          </w:tcPr>
          <w:p w14:paraId="7F089E59" w14:textId="77777777" w:rsidR="006F76EB" w:rsidRPr="00834D52" w:rsidRDefault="006F76EB" w:rsidP="00280FAE">
            <w:pPr>
              <w:spacing w:after="120" w:line="240" w:lineRule="auto"/>
              <w:ind w:right="-6"/>
              <w:rPr>
                <w:rFonts w:ascii="Sylfaen" w:hAnsi="Sylfaen"/>
                <w:sz w:val="24"/>
                <w:szCs w:val="24"/>
              </w:rPr>
            </w:pPr>
          </w:p>
        </w:tc>
        <w:tc>
          <w:tcPr>
            <w:tcW w:w="1351" w:type="dxa"/>
            <w:tcBorders>
              <w:top w:val="single" w:sz="4" w:space="0" w:color="000000"/>
              <w:left w:val="single" w:sz="4" w:space="0" w:color="000000"/>
              <w:bottom w:val="single" w:sz="4" w:space="0" w:color="000000"/>
              <w:right w:val="single" w:sz="4" w:space="0" w:color="000000"/>
            </w:tcBorders>
          </w:tcPr>
          <w:p w14:paraId="08AFB678" w14:textId="77777777" w:rsidR="006F76EB" w:rsidRPr="00834D52" w:rsidRDefault="006F76EB" w:rsidP="00280FAE">
            <w:pPr>
              <w:spacing w:after="120" w:line="240" w:lineRule="auto"/>
              <w:ind w:right="-6"/>
              <w:rPr>
                <w:rFonts w:ascii="Sylfaen" w:hAnsi="Sylfaen"/>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57F7D011" w14:textId="77777777" w:rsidR="006F76EB" w:rsidRPr="00834D52" w:rsidRDefault="006F76EB" w:rsidP="00280FAE">
            <w:pPr>
              <w:spacing w:after="120" w:line="240" w:lineRule="auto"/>
              <w:ind w:right="-6"/>
              <w:rPr>
                <w:rFonts w:ascii="Sylfaen" w:hAnsi="Sylfaen"/>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58F5F809" w14:textId="77777777" w:rsidR="006F76EB" w:rsidRPr="00834D52" w:rsidRDefault="006F76EB" w:rsidP="00280FAE">
            <w:pPr>
              <w:spacing w:after="120" w:line="240" w:lineRule="auto"/>
              <w:ind w:right="-6"/>
              <w:rPr>
                <w:rFonts w:ascii="Sylfaen" w:hAnsi="Sylfaen"/>
                <w:sz w:val="24"/>
                <w:szCs w:val="24"/>
              </w:rPr>
            </w:pPr>
          </w:p>
        </w:tc>
        <w:tc>
          <w:tcPr>
            <w:tcW w:w="1676" w:type="dxa"/>
            <w:tcBorders>
              <w:top w:val="single" w:sz="4" w:space="0" w:color="000000"/>
              <w:left w:val="single" w:sz="4" w:space="0" w:color="000000"/>
              <w:bottom w:val="single" w:sz="4" w:space="0" w:color="000000"/>
              <w:right w:val="single" w:sz="4" w:space="0" w:color="000000"/>
            </w:tcBorders>
          </w:tcPr>
          <w:p w14:paraId="6F3965A1" w14:textId="77777777" w:rsidR="006F76EB" w:rsidRPr="00834D52" w:rsidRDefault="006F76EB" w:rsidP="00280FAE">
            <w:pPr>
              <w:spacing w:after="120" w:line="240" w:lineRule="auto"/>
              <w:ind w:right="-6"/>
              <w:rPr>
                <w:rFonts w:ascii="Sylfaen" w:hAnsi="Sylfaen"/>
                <w:sz w:val="24"/>
                <w:szCs w:val="24"/>
              </w:rPr>
            </w:pPr>
          </w:p>
        </w:tc>
      </w:tr>
      <w:tr w:rsidR="006F76EB" w:rsidRPr="00834D52" w14:paraId="7D7E197A" w14:textId="77777777" w:rsidTr="00DA7D09">
        <w:trPr>
          <w:trHeight w:val="838"/>
          <w:jc w:val="center"/>
        </w:trPr>
        <w:tc>
          <w:tcPr>
            <w:tcW w:w="3496" w:type="dxa"/>
            <w:tcBorders>
              <w:top w:val="single" w:sz="4" w:space="0" w:color="000000"/>
              <w:left w:val="single" w:sz="4" w:space="0" w:color="000000"/>
              <w:bottom w:val="single" w:sz="4" w:space="0" w:color="000000"/>
              <w:right w:val="single" w:sz="4" w:space="0" w:color="000000"/>
            </w:tcBorders>
          </w:tcPr>
          <w:p w14:paraId="09869F28" w14:textId="77777777" w:rsidR="006F76EB" w:rsidRPr="00834D52" w:rsidRDefault="006F76EB" w:rsidP="00280FAE">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1351" w:type="dxa"/>
            <w:tcBorders>
              <w:top w:val="single" w:sz="4" w:space="0" w:color="000000"/>
              <w:left w:val="single" w:sz="4" w:space="0" w:color="000000"/>
              <w:bottom w:val="single" w:sz="4" w:space="0" w:color="000000"/>
              <w:right w:val="single" w:sz="4" w:space="0" w:color="000000"/>
            </w:tcBorders>
          </w:tcPr>
          <w:p w14:paraId="0C947AEE" w14:textId="77777777" w:rsidR="006F76EB" w:rsidRPr="00834D52" w:rsidRDefault="006F76EB" w:rsidP="00280FAE">
            <w:pPr>
              <w:spacing w:after="120" w:line="240" w:lineRule="auto"/>
              <w:ind w:right="-6"/>
              <w:rPr>
                <w:rFonts w:ascii="Sylfaen" w:hAnsi="Sylfaen"/>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373CB52F" w14:textId="77777777" w:rsidR="006F76EB" w:rsidRPr="00834D52" w:rsidRDefault="006F76EB" w:rsidP="00280FAE">
            <w:pPr>
              <w:spacing w:after="120" w:line="240" w:lineRule="auto"/>
              <w:ind w:right="-6"/>
              <w:rPr>
                <w:rFonts w:ascii="Sylfaen" w:hAnsi="Sylfaen"/>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2EFF92CF" w14:textId="77777777" w:rsidR="006F76EB" w:rsidRPr="00834D52" w:rsidRDefault="006F76EB" w:rsidP="00280FAE">
            <w:pPr>
              <w:spacing w:after="120" w:line="240" w:lineRule="auto"/>
              <w:ind w:right="-6"/>
              <w:rPr>
                <w:rFonts w:ascii="Sylfaen" w:hAnsi="Sylfaen"/>
                <w:sz w:val="24"/>
                <w:szCs w:val="24"/>
              </w:rPr>
            </w:pPr>
          </w:p>
        </w:tc>
        <w:tc>
          <w:tcPr>
            <w:tcW w:w="1676" w:type="dxa"/>
            <w:tcBorders>
              <w:top w:val="single" w:sz="4" w:space="0" w:color="000000"/>
              <w:left w:val="single" w:sz="4" w:space="0" w:color="000000"/>
              <w:bottom w:val="single" w:sz="4" w:space="0" w:color="000000"/>
              <w:right w:val="single" w:sz="4" w:space="0" w:color="000000"/>
            </w:tcBorders>
          </w:tcPr>
          <w:p w14:paraId="1DAFD4A9" w14:textId="77777777" w:rsidR="006F76EB" w:rsidRPr="00834D52" w:rsidRDefault="006F76EB" w:rsidP="00280FAE">
            <w:pPr>
              <w:spacing w:after="120" w:line="240" w:lineRule="auto"/>
              <w:ind w:right="-6"/>
              <w:rPr>
                <w:rFonts w:ascii="Sylfaen" w:hAnsi="Sylfaen"/>
                <w:sz w:val="24"/>
                <w:szCs w:val="24"/>
              </w:rPr>
            </w:pPr>
          </w:p>
        </w:tc>
      </w:tr>
    </w:tbl>
    <w:p w14:paraId="69A46576" w14:textId="77777777" w:rsidR="00280FAE" w:rsidRDefault="00280FAE" w:rsidP="006F76EB">
      <w:pPr>
        <w:spacing w:after="160" w:line="343" w:lineRule="auto"/>
        <w:ind w:right="-6"/>
        <w:jc w:val="center"/>
        <w:rPr>
          <w:rFonts w:ascii="Sylfaen" w:hAnsi="Sylfaen"/>
          <w:sz w:val="24"/>
          <w:szCs w:val="24"/>
          <w:lang w:val="en-US"/>
        </w:rPr>
      </w:pPr>
    </w:p>
    <w:p w14:paraId="62D561B7" w14:textId="3186B538" w:rsidR="006F76EB" w:rsidRPr="00834D52" w:rsidRDefault="006F76EB" w:rsidP="00DA7D09">
      <w:pPr>
        <w:spacing w:after="160" w:line="384" w:lineRule="auto"/>
        <w:ind w:right="-6"/>
        <w:jc w:val="center"/>
        <w:rPr>
          <w:rFonts w:ascii="Sylfaen" w:hAnsi="Sylfaen"/>
          <w:sz w:val="24"/>
          <w:szCs w:val="24"/>
          <w:lang w:val="en-US"/>
        </w:rPr>
      </w:pPr>
      <w:r w:rsidRPr="00834D52">
        <w:rPr>
          <w:rFonts w:ascii="Sylfaen" w:hAnsi="Sylfaen"/>
          <w:sz w:val="24"/>
          <w:szCs w:val="24"/>
        </w:rPr>
        <w:t xml:space="preserve">4. </w:t>
      </w:r>
      <w:r w:rsidR="0056496B">
        <w:rPr>
          <w:rFonts w:ascii="Sylfaen" w:hAnsi="Sylfaen"/>
          <w:sz w:val="24"/>
          <w:szCs w:val="24"/>
        </w:rPr>
        <w:t>Դիմում</w:t>
      </w:r>
      <w:r w:rsidRPr="00834D52">
        <w:rPr>
          <w:rFonts w:ascii="Sylfaen" w:hAnsi="Sylfaen"/>
          <w:sz w:val="24"/>
          <w:szCs w:val="24"/>
        </w:rPr>
        <w:t>ի հավելվածները</w:t>
      </w:r>
      <w:r w:rsidR="00052B35">
        <w:rPr>
          <w:rFonts w:ascii="Sylfaen" w:hAnsi="Sylfaen"/>
          <w:sz w:val="24"/>
          <w:szCs w:val="24"/>
        </w:rPr>
        <w:t xml:space="preserve"> </w:t>
      </w:r>
      <w:r w:rsidR="00052B35" w:rsidRPr="00052B35">
        <w:rPr>
          <w:rFonts w:ascii="Sylfaen" w:hAnsi="Sylfaen"/>
          <w:sz w:val="24"/>
          <w:szCs w:val="24"/>
        </w:rPr>
        <w:t>թղթային կրիչով կամ էլեկտրոնային ստորագրությամբ ստորագրված (վավերացված) էլեկտրոնային փաստաթղթերի տեսքով</w:t>
      </w:r>
    </w:p>
    <w:p w14:paraId="2F12A15E" w14:textId="04675DF0"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lang w:val="en-US"/>
        </w:rPr>
        <w:tab/>
      </w: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իրավաբանական նշանակություն ունեցող գործողություններ իրականացնելու լիազորագիրը (եթե կիրառելի է):</w:t>
      </w:r>
    </w:p>
    <w:p w14:paraId="7054EC7D" w14:textId="201DC469" w:rsidR="00052B35" w:rsidRDefault="006F76EB" w:rsidP="00052B35">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4.2.</w:t>
      </w:r>
      <w:r w:rsidRPr="00834D52">
        <w:rPr>
          <w:rFonts w:ascii="Sylfaen" w:hAnsi="Sylfaen"/>
          <w:sz w:val="24"/>
          <w:szCs w:val="24"/>
        </w:rPr>
        <w:tab/>
        <w:t xml:space="preserve">Դեղապատրաստուկի հազվադեպ կիրառվող («որբ») կարգավիճակը </w:t>
      </w:r>
      <w:r w:rsidRPr="00834D52">
        <w:rPr>
          <w:rFonts w:ascii="Sylfaen" w:hAnsi="Sylfaen"/>
          <w:sz w:val="24"/>
          <w:szCs w:val="24"/>
        </w:rPr>
        <w:lastRenderedPageBreak/>
        <w:t>հաստատող փաստաթղթի պատճենը</w:t>
      </w:r>
      <w:r w:rsidR="00052B35">
        <w:rPr>
          <w:rFonts w:ascii="Sylfaen" w:hAnsi="Sylfaen"/>
          <w:sz w:val="24"/>
          <w:szCs w:val="24"/>
        </w:rPr>
        <w:t xml:space="preserve"> </w:t>
      </w:r>
      <w:r w:rsidR="00052B35" w:rsidRPr="00052B35">
        <w:rPr>
          <w:rFonts w:ascii="Sylfaen" w:hAnsi="Sylfaen"/>
          <w:sz w:val="24"/>
          <w:szCs w:val="24"/>
        </w:rPr>
        <w:t>կամ համապատասխան օրֆանային հիվանդության մասին տեղեկատվություն պարունակող կանոնների 6-րդ կետում նշված ցանկի պատճեն</w:t>
      </w:r>
      <w:r w:rsidR="00052B35">
        <w:rPr>
          <w:rFonts w:ascii="Sylfaen" w:hAnsi="Sylfaen"/>
          <w:sz w:val="24"/>
          <w:szCs w:val="24"/>
        </w:rPr>
        <w:t>:</w:t>
      </w:r>
    </w:p>
    <w:p w14:paraId="1D3ED752" w14:textId="14192278" w:rsidR="00052B35" w:rsidRPr="00371618" w:rsidRDefault="00052B35" w:rsidP="00052B35">
      <w:pPr>
        <w:rPr>
          <w:b/>
          <w:bCs/>
          <w:i/>
          <w:iCs/>
        </w:rPr>
      </w:pPr>
      <w:r w:rsidRPr="00371618">
        <w:rPr>
          <w:b/>
          <w:bCs/>
          <w:i/>
          <w:iCs/>
        </w:rPr>
        <w:t xml:space="preserve">( </w:t>
      </w:r>
      <w:r>
        <w:rPr>
          <w:b/>
          <w:bCs/>
          <w:i/>
          <w:iCs/>
        </w:rPr>
        <w:t xml:space="preserve">4-րդ ենթաբաժինը </w:t>
      </w:r>
      <w:r w:rsidRPr="00371618">
        <w:rPr>
          <w:b/>
          <w:bCs/>
          <w:i/>
          <w:iCs/>
        </w:rPr>
        <w:t xml:space="preserve"> լրաց. 17.03.22 թիվ 36 )</w:t>
      </w:r>
    </w:p>
    <w:p w14:paraId="3104B920" w14:textId="77777777" w:rsidR="00052B35" w:rsidRDefault="00052B35" w:rsidP="00052B35">
      <w:pPr>
        <w:tabs>
          <w:tab w:val="left" w:pos="1134"/>
        </w:tabs>
        <w:spacing w:after="160" w:line="360" w:lineRule="auto"/>
        <w:ind w:right="-6" w:firstLine="567"/>
        <w:jc w:val="both"/>
        <w:rPr>
          <w:rFonts w:ascii="Sylfaen" w:hAnsi="Sylfaen"/>
          <w:sz w:val="24"/>
          <w:szCs w:val="24"/>
        </w:rPr>
      </w:pPr>
    </w:p>
    <w:p w14:paraId="328BB211" w14:textId="77777777" w:rsidR="00052B35" w:rsidRPr="00834D52" w:rsidRDefault="00052B35" w:rsidP="00105DDA">
      <w:pPr>
        <w:tabs>
          <w:tab w:val="left" w:pos="1134"/>
        </w:tabs>
        <w:spacing w:after="160" w:line="360" w:lineRule="auto"/>
        <w:ind w:right="-6" w:firstLine="567"/>
        <w:jc w:val="both"/>
        <w:rPr>
          <w:rFonts w:ascii="Sylfaen" w:eastAsia="Times New Roman" w:hAnsi="Sylfaen" w:cs="Times New Roman"/>
          <w:sz w:val="24"/>
          <w:szCs w:val="24"/>
        </w:rPr>
      </w:pPr>
    </w:p>
    <w:p w14:paraId="46CB106A" w14:textId="77777777"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Գրանցվող դեղապատրաստուկի մասով Եվրասիական տնտեսական միության անդամ պետությունների տարածքում գործող արտոնագրերի պատճենները:</w:t>
      </w:r>
    </w:p>
    <w:p w14:paraId="77417DA8" w14:textId="5F36F787"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գրանցումը չի խախտում երրորդ անձանց` մտավոր սեփականության իրավունքները:</w:t>
      </w:r>
    </w:p>
    <w:p w14:paraId="267E9D5B" w14:textId="77777777"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Ապրանքային նշանի Միության անդամ պետության տարածքում գործող՝ ապրանքային նշանի գրանցման վկայականի պատճենը:</w:t>
      </w:r>
    </w:p>
    <w:p w14:paraId="62676155" w14:textId="7D34C68A"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4.6.</w:t>
      </w:r>
      <w:r w:rsidRPr="00834D52">
        <w:rPr>
          <w:rFonts w:ascii="Sylfaen" w:hAnsi="Sylfaen"/>
          <w:sz w:val="24"/>
          <w:szCs w:val="24"/>
        </w:rPr>
        <w:tab/>
        <w:t xml:space="preserve">Որակի վերահսկողության հարցերով լիազորված անձի </w:t>
      </w:r>
      <w:r w:rsidR="0056496B">
        <w:rPr>
          <w:rFonts w:ascii="Sylfaen" w:hAnsi="Sylfaen"/>
          <w:sz w:val="24"/>
          <w:szCs w:val="24"/>
        </w:rPr>
        <w:t>դիմում</w:t>
      </w:r>
      <w:r w:rsidRPr="00834D52">
        <w:rPr>
          <w:rFonts w:ascii="Sylfaen" w:hAnsi="Sylfaen"/>
          <w:sz w:val="24"/>
          <w:szCs w:val="24"/>
        </w:rPr>
        <w:t xml:space="preserve">ն արտադրության՝ Հանձնաժողովի կողմից հաստատվող՝ Եվրասիական տնտեսական միության պատշաճ արտադրական գործունեության կանոններին </w:t>
      </w:r>
      <w:r w:rsidR="00C54D75">
        <w:rPr>
          <w:rFonts w:ascii="Sylfaen" w:hAnsi="Sylfaen"/>
          <w:sz w:val="24"/>
          <w:szCs w:val="24"/>
        </w:rPr>
        <w:t>և</w:t>
      </w:r>
      <w:r w:rsidRPr="00834D52">
        <w:rPr>
          <w:rFonts w:ascii="Sylfaen" w:hAnsi="Sylfaen"/>
          <w:sz w:val="24"/>
          <w:szCs w:val="24"/>
        </w:rPr>
        <w:t xml:space="preserve"> դեղապատրաստուկի </w:t>
      </w:r>
      <w:r w:rsidR="00C54D75">
        <w:rPr>
          <w:rFonts w:ascii="Sylfaen" w:hAnsi="Sylfaen"/>
          <w:sz w:val="24"/>
          <w:szCs w:val="24"/>
        </w:rPr>
        <w:t>և</w:t>
      </w:r>
      <w:r w:rsidRPr="00834D52">
        <w:rPr>
          <w:rFonts w:ascii="Sylfaen" w:hAnsi="Sylfaen"/>
          <w:sz w:val="24"/>
          <w:szCs w:val="24"/>
        </w:rPr>
        <w:t xml:space="preserve"> ԱԴԲ-ի արտադրության գործընթացում օգտագործվող յուրաքանչյուր արտադրական հարթակի համար ելանյութերի մասով պատշաճ գործունեության ձեռնարկներին համապատասխանելու վերաբերյալ՝ ներառյալ այն հարթակները, որտեղ իրականացվում է որակի վերահսկողությունը (վերահսկողությունը արտադրության ընթացքում):</w:t>
      </w:r>
    </w:p>
    <w:p w14:paraId="330DD957" w14:textId="77777777" w:rsidR="006F76EB" w:rsidRPr="00834D52" w:rsidRDefault="006F76EB" w:rsidP="006F76EB">
      <w:pPr>
        <w:spacing w:after="160" w:line="360" w:lineRule="auto"/>
        <w:ind w:right="-8"/>
        <w:jc w:val="center"/>
        <w:rPr>
          <w:rFonts w:ascii="Sylfaen" w:hAnsi="Sylfaen"/>
          <w:sz w:val="24"/>
          <w:szCs w:val="24"/>
        </w:rPr>
      </w:pPr>
    </w:p>
    <w:p w14:paraId="3557A1D1" w14:textId="77777777" w:rsidR="006F76EB" w:rsidRPr="00834D52" w:rsidRDefault="006F76EB" w:rsidP="006F76EB">
      <w:pPr>
        <w:widowControl/>
        <w:rPr>
          <w:rFonts w:ascii="Sylfaen" w:hAnsi="Sylfaen"/>
          <w:sz w:val="24"/>
          <w:szCs w:val="24"/>
        </w:rPr>
      </w:pPr>
      <w:r w:rsidRPr="00834D52">
        <w:rPr>
          <w:rFonts w:ascii="Sylfaen" w:hAnsi="Sylfaen"/>
          <w:sz w:val="24"/>
          <w:szCs w:val="24"/>
        </w:rPr>
        <w:br w:type="page"/>
      </w:r>
    </w:p>
    <w:p w14:paraId="7DE7A624" w14:textId="76D56965"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II. </w:t>
      </w:r>
      <w:r w:rsidR="0056496B">
        <w:rPr>
          <w:rFonts w:ascii="Sylfaen" w:hAnsi="Sylfaen"/>
          <w:sz w:val="24"/>
          <w:szCs w:val="24"/>
        </w:rPr>
        <w:t>ԴԻՄՈՒՄ</w:t>
      </w:r>
    </w:p>
    <w:p w14:paraId="3ADD9D67"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դեղապատրաստուկի վերագրանցման</w:t>
      </w:r>
    </w:p>
    <w:p w14:paraId="62EC48AA" w14:textId="77777777" w:rsidR="006F76EB" w:rsidRPr="00834D52" w:rsidRDefault="006F76EB" w:rsidP="006F76EB">
      <w:pPr>
        <w:spacing w:after="160" w:line="360" w:lineRule="auto"/>
        <w:ind w:right="-8"/>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885"/>
      </w:tblGrid>
      <w:tr w:rsidR="006F76EB" w:rsidRPr="00834D52" w14:paraId="234C4CF0" w14:textId="77777777" w:rsidTr="00F71229">
        <w:trPr>
          <w:jc w:val="center"/>
        </w:trPr>
        <w:tc>
          <w:tcPr>
            <w:tcW w:w="5038" w:type="dxa"/>
          </w:tcPr>
          <w:p w14:paraId="1DAC9034" w14:textId="52C7821D" w:rsidR="006F76EB" w:rsidRPr="00834D52" w:rsidRDefault="0056496B" w:rsidP="00F71229">
            <w:pPr>
              <w:spacing w:after="160" w:line="360" w:lineRule="auto"/>
              <w:ind w:right="-8"/>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ն ստանալու ամսաթիվը</w:t>
            </w:r>
          </w:p>
        </w:tc>
        <w:tc>
          <w:tcPr>
            <w:tcW w:w="5038" w:type="dxa"/>
          </w:tcPr>
          <w:p w14:paraId="0024EAB2"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թիվ_________________________________</w:t>
            </w:r>
          </w:p>
        </w:tc>
      </w:tr>
      <w:tr w:rsidR="006F76EB" w:rsidRPr="00834D52" w14:paraId="23CE8418" w14:textId="77777777" w:rsidTr="00F71229">
        <w:trPr>
          <w:jc w:val="center"/>
        </w:trPr>
        <w:tc>
          <w:tcPr>
            <w:tcW w:w="5038" w:type="dxa"/>
          </w:tcPr>
          <w:p w14:paraId="4130555A"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«____» ____________________ 20___թ.</w:t>
            </w:r>
          </w:p>
        </w:tc>
        <w:tc>
          <w:tcPr>
            <w:tcW w:w="5038" w:type="dxa"/>
          </w:tcPr>
          <w:p w14:paraId="76472E77" w14:textId="77777777" w:rsidR="006F76EB" w:rsidRPr="00834D52" w:rsidRDefault="006F76EB" w:rsidP="00F71229">
            <w:pPr>
              <w:spacing w:after="160" w:line="360" w:lineRule="auto"/>
              <w:ind w:right="-8"/>
              <w:rPr>
                <w:rFonts w:ascii="Sylfaen" w:eastAsia="Times New Roman" w:hAnsi="Sylfaen" w:cs="Times New Roman"/>
                <w:sz w:val="24"/>
                <w:szCs w:val="24"/>
              </w:rPr>
            </w:pPr>
          </w:p>
        </w:tc>
      </w:tr>
    </w:tbl>
    <w:p w14:paraId="44AE3FBF" w14:textId="77777777" w:rsidR="006F76EB" w:rsidRPr="00834D52" w:rsidRDefault="006F76EB" w:rsidP="006F76EB">
      <w:pPr>
        <w:spacing w:after="160" w:line="360" w:lineRule="auto"/>
        <w:ind w:right="-8"/>
        <w:rPr>
          <w:rFonts w:ascii="Sylfaen" w:hAnsi="Sylfaen"/>
          <w:sz w:val="24"/>
          <w:szCs w:val="24"/>
        </w:rPr>
      </w:pPr>
    </w:p>
    <w:tbl>
      <w:tblPr>
        <w:tblW w:w="9910" w:type="dxa"/>
        <w:jc w:val="center"/>
        <w:tblLayout w:type="fixed"/>
        <w:tblCellMar>
          <w:left w:w="0" w:type="dxa"/>
          <w:right w:w="0" w:type="dxa"/>
        </w:tblCellMar>
        <w:tblLook w:val="01E0" w:firstRow="1" w:lastRow="1" w:firstColumn="1" w:lastColumn="1" w:noHBand="0" w:noVBand="0"/>
      </w:tblPr>
      <w:tblGrid>
        <w:gridCol w:w="5240"/>
        <w:gridCol w:w="4670"/>
      </w:tblGrid>
      <w:tr w:rsidR="006F76EB" w:rsidRPr="00834D52" w14:paraId="7D27AB6E"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6BD0509C"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670" w:type="dxa"/>
            <w:tcBorders>
              <w:top w:val="single" w:sz="4" w:space="0" w:color="000000"/>
              <w:left w:val="single" w:sz="4" w:space="0" w:color="000000"/>
              <w:bottom w:val="single" w:sz="4" w:space="0" w:color="000000"/>
              <w:right w:val="single" w:sz="4" w:space="0" w:color="000000"/>
            </w:tcBorders>
          </w:tcPr>
          <w:p w14:paraId="31B162C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7CF7C38"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5E8A92C"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Ակտիվ դեղաբանական բաղադրամասերը</w:t>
            </w:r>
          </w:p>
        </w:tc>
        <w:tc>
          <w:tcPr>
            <w:tcW w:w="4670" w:type="dxa"/>
            <w:tcBorders>
              <w:top w:val="single" w:sz="4" w:space="0" w:color="000000"/>
              <w:left w:val="single" w:sz="4" w:space="0" w:color="000000"/>
              <w:bottom w:val="single" w:sz="4" w:space="0" w:color="000000"/>
              <w:right w:val="single" w:sz="4" w:space="0" w:color="000000"/>
            </w:tcBorders>
          </w:tcPr>
          <w:p w14:paraId="79AEF3E4" w14:textId="77777777" w:rsidR="006F76EB" w:rsidRPr="00834D52" w:rsidRDefault="006F76EB" w:rsidP="00F71229">
            <w:pPr>
              <w:spacing w:after="120" w:line="240" w:lineRule="auto"/>
              <w:ind w:right="-6"/>
              <w:rPr>
                <w:rFonts w:ascii="Sylfaen" w:hAnsi="Sylfaen"/>
                <w:sz w:val="24"/>
                <w:szCs w:val="24"/>
              </w:rPr>
            </w:pPr>
          </w:p>
        </w:tc>
      </w:tr>
      <w:tr w:rsidR="006F76EB" w:rsidRPr="00834D52" w14:paraId="59B9BB5F"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DDD5D10"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Դոզավորումները կամ կոնցենտրացիաները </w:t>
            </w:r>
          </w:p>
        </w:tc>
        <w:tc>
          <w:tcPr>
            <w:tcW w:w="4670" w:type="dxa"/>
            <w:tcBorders>
              <w:top w:val="single" w:sz="4" w:space="0" w:color="000000"/>
              <w:left w:val="single" w:sz="4" w:space="0" w:color="000000"/>
              <w:bottom w:val="single" w:sz="4" w:space="0" w:color="000000"/>
              <w:right w:val="single" w:sz="4" w:space="0" w:color="000000"/>
            </w:tcBorders>
          </w:tcPr>
          <w:p w14:paraId="30481E28"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BE8A359"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4556195B"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670" w:type="dxa"/>
            <w:tcBorders>
              <w:top w:val="single" w:sz="4" w:space="0" w:color="000000"/>
              <w:left w:val="single" w:sz="4" w:space="0" w:color="000000"/>
              <w:bottom w:val="single" w:sz="4" w:space="0" w:color="000000"/>
              <w:right w:val="single" w:sz="4" w:space="0" w:color="000000"/>
            </w:tcBorders>
          </w:tcPr>
          <w:p w14:paraId="13179CD7" w14:textId="77777777" w:rsidR="006F76EB" w:rsidRPr="00834D52" w:rsidRDefault="006F76EB" w:rsidP="00F71229">
            <w:pPr>
              <w:spacing w:after="120" w:line="240" w:lineRule="auto"/>
              <w:ind w:right="-6"/>
              <w:rPr>
                <w:rFonts w:ascii="Sylfaen" w:hAnsi="Sylfaen"/>
                <w:sz w:val="24"/>
                <w:szCs w:val="24"/>
              </w:rPr>
            </w:pPr>
          </w:p>
        </w:tc>
      </w:tr>
      <w:tr w:rsidR="006F76EB" w:rsidRPr="00834D52" w14:paraId="39C0C97F"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6CF4C7E"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670" w:type="dxa"/>
            <w:tcBorders>
              <w:top w:val="single" w:sz="4" w:space="0" w:color="000000"/>
              <w:left w:val="single" w:sz="4" w:space="0" w:color="000000"/>
              <w:bottom w:val="single" w:sz="4" w:space="0" w:color="000000"/>
              <w:right w:val="single" w:sz="4" w:space="0" w:color="000000"/>
            </w:tcBorders>
          </w:tcPr>
          <w:p w14:paraId="09B682B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F6E5E73"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33FED704"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670" w:type="dxa"/>
            <w:tcBorders>
              <w:top w:val="single" w:sz="4" w:space="0" w:color="000000"/>
              <w:left w:val="single" w:sz="4" w:space="0" w:color="000000"/>
              <w:bottom w:val="single" w:sz="4" w:space="0" w:color="000000"/>
              <w:right w:val="single" w:sz="4" w:space="0" w:color="000000"/>
            </w:tcBorders>
          </w:tcPr>
          <w:p w14:paraId="528B920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CDB760"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582A534B" w14:textId="0262781A" w:rsidR="006F76EB" w:rsidRPr="00834D52" w:rsidRDefault="0056496B" w:rsidP="00F71229">
            <w:pPr>
              <w:spacing w:after="12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670" w:type="dxa"/>
            <w:tcBorders>
              <w:top w:val="single" w:sz="4" w:space="0" w:color="000000"/>
              <w:left w:val="single" w:sz="4" w:space="0" w:color="000000"/>
              <w:bottom w:val="single" w:sz="4" w:space="0" w:color="000000"/>
              <w:right w:val="single" w:sz="4" w:space="0" w:color="000000"/>
            </w:tcBorders>
          </w:tcPr>
          <w:p w14:paraId="6ACA453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0250E79"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2B00D5D6" w14:textId="7E093DED" w:rsidR="006F76EB" w:rsidRPr="00834D52" w:rsidRDefault="0056496B" w:rsidP="00F71229">
            <w:pPr>
              <w:spacing w:after="12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670" w:type="dxa"/>
            <w:tcBorders>
              <w:top w:val="single" w:sz="4" w:space="0" w:color="000000"/>
              <w:left w:val="single" w:sz="4" w:space="0" w:color="000000"/>
              <w:bottom w:val="single" w:sz="4" w:space="0" w:color="000000"/>
              <w:right w:val="single" w:sz="4" w:space="0" w:color="000000"/>
            </w:tcBorders>
          </w:tcPr>
          <w:p w14:paraId="5A18453D"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136EB6" w14:textId="77777777" w:rsidTr="00F71229">
        <w:trPr>
          <w:jc w:val="center"/>
        </w:trPr>
        <w:tc>
          <w:tcPr>
            <w:tcW w:w="9910" w:type="dxa"/>
            <w:gridSpan w:val="2"/>
            <w:tcBorders>
              <w:top w:val="single" w:sz="4" w:space="0" w:color="000000"/>
              <w:left w:val="single" w:sz="4" w:space="0" w:color="000000"/>
              <w:bottom w:val="single" w:sz="4" w:space="0" w:color="000000"/>
              <w:right w:val="single" w:sz="4" w:space="0" w:color="000000"/>
            </w:tcBorders>
          </w:tcPr>
          <w:p w14:paraId="58A92593" w14:textId="77777777" w:rsidR="006F76EB" w:rsidRPr="00834D52" w:rsidRDefault="006F76EB" w:rsidP="00F71229">
            <w:pPr>
              <w:spacing w:after="120" w:line="240" w:lineRule="auto"/>
              <w:ind w:left="186" w:right="-6"/>
              <w:jc w:val="center"/>
              <w:rPr>
                <w:rFonts w:ascii="Sylfaen" w:eastAsia="Times New Roman" w:hAnsi="Sylfaen" w:cs="Times New Roman"/>
                <w:sz w:val="24"/>
                <w:szCs w:val="24"/>
              </w:rPr>
            </w:pPr>
            <w:r w:rsidRPr="00834D52">
              <w:rPr>
                <w:rFonts w:ascii="Sylfaen" w:hAnsi="Sylfaen"/>
                <w:sz w:val="24"/>
                <w:szCs w:val="24"/>
              </w:rPr>
              <w:t>Գրանցման հավաստագրի տվյալները</w:t>
            </w:r>
          </w:p>
        </w:tc>
      </w:tr>
      <w:tr w:rsidR="006F76EB" w:rsidRPr="00834D52" w14:paraId="2135139B"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408B350D"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670" w:type="dxa"/>
            <w:tcBorders>
              <w:top w:val="single" w:sz="4" w:space="0" w:color="000000"/>
              <w:left w:val="single" w:sz="4" w:space="0" w:color="000000"/>
              <w:bottom w:val="single" w:sz="4" w:space="0" w:color="000000"/>
              <w:right w:val="single" w:sz="4" w:space="0" w:color="000000"/>
            </w:tcBorders>
          </w:tcPr>
          <w:p w14:paraId="377F1428"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ECD59BB"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0C3DE951"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670" w:type="dxa"/>
            <w:tcBorders>
              <w:top w:val="single" w:sz="4" w:space="0" w:color="000000"/>
              <w:left w:val="single" w:sz="4" w:space="0" w:color="000000"/>
              <w:bottom w:val="single" w:sz="4" w:space="0" w:color="000000"/>
              <w:right w:val="single" w:sz="4" w:space="0" w:color="000000"/>
            </w:tcBorders>
          </w:tcPr>
          <w:p w14:paraId="3E2C9142"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1EF2B74"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36F84316"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որակի նորմատիվային փաստաթղթի համարը</w:t>
            </w:r>
          </w:p>
        </w:tc>
        <w:tc>
          <w:tcPr>
            <w:tcW w:w="4670" w:type="dxa"/>
            <w:tcBorders>
              <w:top w:val="single" w:sz="4" w:space="0" w:color="000000"/>
              <w:left w:val="single" w:sz="4" w:space="0" w:color="000000"/>
              <w:bottom w:val="single" w:sz="4" w:space="0" w:color="000000"/>
              <w:right w:val="single" w:sz="4" w:space="0" w:color="000000"/>
            </w:tcBorders>
          </w:tcPr>
          <w:p w14:paraId="6D3268E6" w14:textId="77777777" w:rsidR="006F76EB" w:rsidRPr="00834D52" w:rsidRDefault="006F76EB" w:rsidP="00F71229">
            <w:pPr>
              <w:spacing w:after="120" w:line="240" w:lineRule="auto"/>
              <w:ind w:right="-6"/>
              <w:rPr>
                <w:rFonts w:ascii="Sylfaen" w:hAnsi="Sylfaen"/>
                <w:sz w:val="24"/>
                <w:szCs w:val="24"/>
              </w:rPr>
            </w:pPr>
          </w:p>
        </w:tc>
      </w:tr>
    </w:tbl>
    <w:p w14:paraId="0F62CA33"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 համար:</w:t>
      </w:r>
    </w:p>
    <w:p w14:paraId="5BF3BDD3" w14:textId="44FDF534"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30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426FC">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տվյալ </w:t>
      </w:r>
      <w:r w:rsidR="0056496B">
        <w:rPr>
          <w:rFonts w:ascii="Sylfaen" w:hAnsi="Sylfaen"/>
          <w:sz w:val="24"/>
          <w:szCs w:val="24"/>
        </w:rPr>
        <w:t>դիմում</w:t>
      </w:r>
      <w:r w:rsidRPr="00834D52">
        <w:rPr>
          <w:rFonts w:ascii="Sylfaen" w:hAnsi="Sylfaen"/>
          <w:sz w:val="24"/>
          <w:szCs w:val="24"/>
        </w:rPr>
        <w:t>ի ուսումնասիրությունը կմերժվի:</w:t>
      </w:r>
    </w:p>
    <w:p w14:paraId="30C62371" w14:textId="7572122C"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Ես հաստատում եմ, որ գրանցման դոսյեի կազմում ներառված բոլոր տվյալները ձեռք են բերվել սահմանված կարգով, </w:t>
      </w:r>
      <w:r w:rsidR="00C54D75">
        <w:rPr>
          <w:rFonts w:ascii="Sylfaen" w:hAnsi="Sylfaen"/>
          <w:sz w:val="24"/>
          <w:szCs w:val="24"/>
        </w:rPr>
        <w:t>և</w:t>
      </w:r>
      <w:r w:rsidRPr="00834D52">
        <w:rPr>
          <w:rFonts w:ascii="Sylfaen" w:hAnsi="Sylfaen"/>
          <w:sz w:val="24"/>
          <w:szCs w:val="24"/>
        </w:rPr>
        <w:t xml:space="preserve"> դրանցով չեն խախտվում երրորդ անձանց մտավոր սեփականության իրավունքները (սույն </w:t>
      </w:r>
      <w:r w:rsidR="0056496B">
        <w:rPr>
          <w:rFonts w:ascii="Sylfaen" w:hAnsi="Sylfaen"/>
          <w:sz w:val="24"/>
          <w:szCs w:val="24"/>
        </w:rPr>
        <w:t>դիմում</w:t>
      </w:r>
      <w:r w:rsidRPr="00834D52">
        <w:rPr>
          <w:rFonts w:ascii="Sylfaen" w:hAnsi="Sylfaen"/>
          <w:sz w:val="24"/>
          <w:szCs w:val="24"/>
        </w:rPr>
        <w:t xml:space="preserve">ի հավելվածի </w:t>
      </w:r>
      <w:r w:rsidR="00E90FAF" w:rsidRPr="00E90FAF">
        <w:rPr>
          <w:rFonts w:ascii="Sylfaen" w:hAnsi="Sylfaen"/>
          <w:sz w:val="24"/>
          <w:szCs w:val="24"/>
        </w:rPr>
        <w:t>5</w:t>
      </w:r>
      <w:r w:rsidRPr="00834D52">
        <w:rPr>
          <w:rFonts w:ascii="Sylfaen" w:hAnsi="Sylfaen"/>
          <w:sz w:val="24"/>
          <w:szCs w:val="24"/>
        </w:rPr>
        <w:t xml:space="preserve">.3 </w:t>
      </w:r>
      <w:r w:rsidR="00C54D75">
        <w:rPr>
          <w:rFonts w:ascii="Sylfaen" w:hAnsi="Sylfaen"/>
          <w:sz w:val="24"/>
          <w:szCs w:val="24"/>
        </w:rPr>
        <w:t>և</w:t>
      </w:r>
      <w:r w:rsidRPr="00834D52">
        <w:rPr>
          <w:rFonts w:ascii="Sylfaen" w:hAnsi="Sylfaen"/>
          <w:sz w:val="24"/>
          <w:szCs w:val="24"/>
        </w:rPr>
        <w:t xml:space="preserve"> </w:t>
      </w:r>
      <w:r w:rsidR="00E90FAF" w:rsidRPr="00E90FAF">
        <w:rPr>
          <w:rFonts w:ascii="Sylfaen" w:hAnsi="Sylfaen"/>
          <w:sz w:val="24"/>
          <w:szCs w:val="24"/>
        </w:rPr>
        <w:t>5</w:t>
      </w:r>
      <w:r w:rsidRPr="00834D52">
        <w:rPr>
          <w:rFonts w:ascii="Sylfaen" w:hAnsi="Sylfaen"/>
          <w:sz w:val="24"/>
          <w:szCs w:val="24"/>
        </w:rPr>
        <w:t xml:space="preserve">.4 ենթակետեր): </w:t>
      </w:r>
    </w:p>
    <w:p w14:paraId="3C4A6D1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բոլոր նախատեսված գանձումները (տուրքերը) վճարված են (կվճարվեն) օրենսդրության պահանջներին համապատասխան: </w:t>
      </w:r>
    </w:p>
    <w:p w14:paraId="0E479FF7" w14:textId="35406153"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Կից ներկայացված է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6CD07855" w14:textId="77777777" w:rsidR="006F76EB" w:rsidRPr="00834D52" w:rsidRDefault="006F76EB" w:rsidP="004F6D87">
      <w:pPr>
        <w:spacing w:after="120" w:line="240" w:lineRule="auto"/>
        <w:ind w:right="-6" w:firstLine="567"/>
        <w:jc w:val="both"/>
        <w:rPr>
          <w:rFonts w:ascii="Sylfaen" w:hAnsi="Sylfaen"/>
          <w:sz w:val="24"/>
          <w:szCs w:val="24"/>
        </w:rPr>
      </w:pPr>
    </w:p>
    <w:p w14:paraId="14A53829" w14:textId="794118A7" w:rsidR="006F76EB" w:rsidRPr="00834D52" w:rsidRDefault="0056496B" w:rsidP="006F76EB">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21684A4C" w14:textId="77777777" w:rsidR="006F76EB" w:rsidRPr="00834D52" w:rsidRDefault="006F76EB" w:rsidP="006F76EB">
      <w:pPr>
        <w:spacing w:after="0" w:line="240" w:lineRule="auto"/>
        <w:ind w:right="-6"/>
        <w:jc w:val="both"/>
        <w:rPr>
          <w:rFonts w:ascii="Sylfaen" w:eastAsia="Times New Roman" w:hAnsi="Sylfaen" w:cs="Times New Roman"/>
          <w:sz w:val="24"/>
          <w:szCs w:val="24"/>
        </w:rPr>
      </w:pPr>
      <w:r w:rsidRPr="00834D52">
        <w:rPr>
          <w:rFonts w:ascii="Sylfaen" w:hAnsi="Sylfaen"/>
          <w:sz w:val="24"/>
          <w:szCs w:val="24"/>
        </w:rPr>
        <w:t>_____________________________</w:t>
      </w:r>
    </w:p>
    <w:p w14:paraId="38F71170" w14:textId="77777777" w:rsidR="006F76EB" w:rsidRPr="00834D52" w:rsidRDefault="006F76EB" w:rsidP="006F76EB">
      <w:pPr>
        <w:spacing w:after="160" w:line="360" w:lineRule="auto"/>
        <w:ind w:right="5526"/>
        <w:jc w:val="center"/>
        <w:rPr>
          <w:rFonts w:ascii="Sylfaen" w:eastAsia="Times New Roman" w:hAnsi="Sylfaen" w:cs="Times New Roman"/>
          <w:sz w:val="20"/>
          <w:szCs w:val="24"/>
        </w:rPr>
      </w:pPr>
      <w:r w:rsidRPr="00834D52">
        <w:rPr>
          <w:rFonts w:ascii="Sylfaen" w:hAnsi="Sylfaen"/>
          <w:sz w:val="20"/>
          <w:szCs w:val="24"/>
        </w:rPr>
        <w:t>(ստորագրություն)</w:t>
      </w:r>
    </w:p>
    <w:p w14:paraId="7964C8A1" w14:textId="77777777" w:rsidR="006F76EB" w:rsidRPr="00834D52" w:rsidRDefault="006F76EB" w:rsidP="006F76EB">
      <w:pPr>
        <w:spacing w:after="0" w:line="240" w:lineRule="auto"/>
        <w:ind w:right="5526"/>
        <w:jc w:val="both"/>
        <w:rPr>
          <w:rFonts w:ascii="Sylfaen" w:eastAsia="Times New Roman" w:hAnsi="Sylfaen" w:cs="Times New Roman"/>
          <w:sz w:val="24"/>
          <w:szCs w:val="24"/>
        </w:rPr>
      </w:pPr>
      <w:r w:rsidRPr="00834D52">
        <w:rPr>
          <w:rFonts w:ascii="Sylfaen" w:hAnsi="Sylfaen"/>
          <w:sz w:val="24"/>
          <w:szCs w:val="24"/>
        </w:rPr>
        <w:t>_____________________________</w:t>
      </w:r>
    </w:p>
    <w:p w14:paraId="2A71CB9D" w14:textId="77777777" w:rsidR="006F76EB" w:rsidRPr="00834D52" w:rsidRDefault="006F76EB" w:rsidP="006F76EB">
      <w:pPr>
        <w:spacing w:after="160" w:line="360" w:lineRule="auto"/>
        <w:ind w:right="5526"/>
        <w:jc w:val="center"/>
        <w:rPr>
          <w:rFonts w:ascii="Sylfaen" w:eastAsia="Times New Roman" w:hAnsi="Sylfaen" w:cs="Times New Roman"/>
          <w:sz w:val="20"/>
          <w:szCs w:val="20"/>
        </w:rPr>
      </w:pPr>
      <w:r w:rsidRPr="00834D52">
        <w:rPr>
          <w:rFonts w:ascii="Sylfaen" w:hAnsi="Sylfaen"/>
          <w:sz w:val="20"/>
          <w:szCs w:val="20"/>
        </w:rPr>
        <w:t>(ազգանուն, անուն, հայրանուն)</w:t>
      </w:r>
    </w:p>
    <w:p w14:paraId="6A9D1B14" w14:textId="77777777" w:rsidR="006F76EB" w:rsidRPr="00834D52" w:rsidRDefault="006F76EB" w:rsidP="006F76EB">
      <w:pPr>
        <w:spacing w:after="0" w:line="240" w:lineRule="auto"/>
        <w:ind w:right="-6"/>
        <w:jc w:val="both"/>
        <w:rPr>
          <w:rFonts w:ascii="Sylfaen" w:eastAsia="Times New Roman" w:hAnsi="Sylfaen" w:cs="Times New Roman"/>
          <w:sz w:val="24"/>
          <w:szCs w:val="24"/>
        </w:rPr>
      </w:pPr>
      <w:r w:rsidRPr="00834D52">
        <w:rPr>
          <w:rFonts w:ascii="Sylfaen" w:hAnsi="Sylfaen"/>
          <w:sz w:val="24"/>
          <w:szCs w:val="24"/>
        </w:rPr>
        <w:t>_____________________________</w:t>
      </w:r>
    </w:p>
    <w:p w14:paraId="2824AE53" w14:textId="77777777" w:rsidR="006F76EB" w:rsidRPr="00834D52" w:rsidRDefault="006F76EB" w:rsidP="006F76EB">
      <w:pPr>
        <w:spacing w:after="160" w:line="360" w:lineRule="auto"/>
        <w:ind w:right="5526"/>
        <w:jc w:val="center"/>
        <w:rPr>
          <w:rFonts w:ascii="Sylfaen" w:eastAsia="Times New Roman" w:hAnsi="Sylfaen" w:cs="Times New Roman"/>
          <w:sz w:val="20"/>
          <w:szCs w:val="20"/>
        </w:rPr>
      </w:pPr>
      <w:r w:rsidRPr="00834D52">
        <w:rPr>
          <w:rFonts w:ascii="Sylfaen" w:hAnsi="Sylfaen"/>
          <w:sz w:val="20"/>
          <w:szCs w:val="20"/>
        </w:rPr>
        <w:t>(պաշտոն)</w:t>
      </w:r>
    </w:p>
    <w:p w14:paraId="22407AC0" w14:textId="77777777" w:rsidR="006F76EB" w:rsidRPr="00834D52" w:rsidRDefault="006F76EB" w:rsidP="008B170E">
      <w:pPr>
        <w:spacing w:after="160" w:line="240" w:lineRule="auto"/>
        <w:ind w:right="-6"/>
        <w:rPr>
          <w:rFonts w:ascii="Sylfaen" w:hAnsi="Sylfaen"/>
          <w:sz w:val="24"/>
          <w:szCs w:val="24"/>
        </w:rPr>
      </w:pPr>
    </w:p>
    <w:p w14:paraId="1EB1CE00" w14:textId="77777777" w:rsidR="006F76EB" w:rsidRPr="00834D52" w:rsidRDefault="006F76EB" w:rsidP="006F76EB">
      <w:pPr>
        <w:spacing w:after="160" w:line="360" w:lineRule="auto"/>
        <w:ind w:right="-8"/>
        <w:rPr>
          <w:rFonts w:ascii="Sylfaen" w:eastAsia="Times New Roman" w:hAnsi="Sylfaen" w:cs="Times New Roman"/>
          <w:sz w:val="24"/>
          <w:szCs w:val="24"/>
        </w:rPr>
      </w:pPr>
      <w:r w:rsidRPr="00834D52">
        <w:rPr>
          <w:rFonts w:ascii="Sylfaen" w:hAnsi="Sylfaen"/>
          <w:sz w:val="24"/>
          <w:szCs w:val="24"/>
        </w:rPr>
        <w:t>Կ. Տ.</w:t>
      </w:r>
    </w:p>
    <w:p w14:paraId="26389CF6" w14:textId="681FC9F0" w:rsidR="006F76EB" w:rsidRPr="000D7620" w:rsidRDefault="006F76EB" w:rsidP="006F76EB">
      <w:pPr>
        <w:spacing w:after="160" w:line="360" w:lineRule="auto"/>
        <w:ind w:right="-8"/>
        <w:jc w:val="center"/>
        <w:rPr>
          <w:rFonts w:ascii="Sylfaen" w:eastAsia="Times New Roman" w:hAnsi="Sylfaen" w:cs="Times New Roman"/>
          <w:sz w:val="24"/>
          <w:szCs w:val="24"/>
        </w:rPr>
      </w:pPr>
      <w:r w:rsidRPr="000D7620">
        <w:rPr>
          <w:rFonts w:ascii="Sylfaen" w:hAnsi="Sylfaen"/>
          <w:sz w:val="24"/>
          <w:szCs w:val="24"/>
        </w:rPr>
        <w:t xml:space="preserve">1. </w:t>
      </w:r>
      <w:r w:rsidR="0056496B">
        <w:rPr>
          <w:rFonts w:ascii="Sylfaen" w:hAnsi="Sylfaen"/>
          <w:sz w:val="24"/>
          <w:szCs w:val="24"/>
        </w:rPr>
        <w:t>Դիմում</w:t>
      </w:r>
      <w:r w:rsidRPr="000D7620">
        <w:rPr>
          <w:rFonts w:ascii="Sylfaen" w:hAnsi="Sylfaen"/>
          <w:sz w:val="24"/>
          <w:szCs w:val="24"/>
        </w:rPr>
        <w:t>ի ընդհանուր կետերը</w:t>
      </w:r>
    </w:p>
    <w:p w14:paraId="64EA3D5E" w14:textId="77777777" w:rsidR="006F76EB" w:rsidRPr="00834D52" w:rsidRDefault="006F76EB" w:rsidP="006F76EB">
      <w:pPr>
        <w:spacing w:after="160" w:line="360" w:lineRule="auto"/>
        <w:ind w:right="-8"/>
        <w:jc w:val="both"/>
        <w:rPr>
          <w:rFonts w:ascii="Sylfaen" w:hAnsi="Sylfaen"/>
          <w:sz w:val="24"/>
          <w:szCs w:val="24"/>
        </w:rPr>
      </w:pPr>
    </w:p>
    <w:p w14:paraId="09411B3D" w14:textId="6D7F6CCE" w:rsidR="006F76EB" w:rsidRPr="00834D52" w:rsidRDefault="006F76EB" w:rsidP="000D762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 համաձայն:</w:t>
      </w:r>
    </w:p>
    <w:p w14:paraId="21BEAFB4" w14:textId="1BFFEA78"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ը ներկայացված է փոխադարձ ճանաչման ընթացակարգով՝ </w:t>
      </w:r>
    </w:p>
    <w:tbl>
      <w:tblPr>
        <w:tblW w:w="9714" w:type="dxa"/>
        <w:jc w:val="center"/>
        <w:tblLayout w:type="fixed"/>
        <w:tblCellMar>
          <w:left w:w="0" w:type="dxa"/>
          <w:right w:w="0" w:type="dxa"/>
        </w:tblCellMar>
        <w:tblLook w:val="01E0" w:firstRow="1" w:lastRow="1" w:firstColumn="1" w:lastColumn="1" w:noHBand="0" w:noVBand="0"/>
      </w:tblPr>
      <w:tblGrid>
        <w:gridCol w:w="5145"/>
        <w:gridCol w:w="4569"/>
      </w:tblGrid>
      <w:tr w:rsidR="006F76EB" w:rsidRPr="00834D52" w14:paraId="7C80BD51"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2B675D3D" w14:textId="77777777" w:rsidR="006F76EB" w:rsidRPr="00834D52" w:rsidRDefault="0032680A" w:rsidP="008B170E">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569" w:type="dxa"/>
            <w:tcBorders>
              <w:top w:val="single" w:sz="4" w:space="0" w:color="000000"/>
              <w:left w:val="single" w:sz="4" w:space="0" w:color="000000"/>
              <w:bottom w:val="single" w:sz="4" w:space="0" w:color="000000"/>
              <w:right w:val="single" w:sz="4" w:space="0" w:color="000000"/>
            </w:tcBorders>
          </w:tcPr>
          <w:p w14:paraId="3770C6A0" w14:textId="77777777" w:rsidR="006F76EB" w:rsidRPr="00834D52" w:rsidRDefault="006F76EB" w:rsidP="008B170E">
            <w:pPr>
              <w:spacing w:after="120" w:line="240" w:lineRule="auto"/>
              <w:ind w:right="-6"/>
              <w:rPr>
                <w:rFonts w:ascii="Sylfaen" w:hAnsi="Sylfaen"/>
                <w:sz w:val="24"/>
                <w:szCs w:val="24"/>
              </w:rPr>
            </w:pPr>
          </w:p>
        </w:tc>
      </w:tr>
      <w:tr w:rsidR="006F76EB" w:rsidRPr="00834D52" w14:paraId="025390EF" w14:textId="77777777" w:rsidTr="00EB2655">
        <w:trPr>
          <w:trHeight w:val="964"/>
          <w:jc w:val="center"/>
        </w:trPr>
        <w:tc>
          <w:tcPr>
            <w:tcW w:w="5145" w:type="dxa"/>
            <w:tcBorders>
              <w:top w:val="single" w:sz="4" w:space="0" w:color="000000"/>
              <w:left w:val="single" w:sz="4" w:space="0" w:color="000000"/>
              <w:bottom w:val="single" w:sz="4" w:space="0" w:color="000000"/>
              <w:right w:val="single" w:sz="4" w:space="0" w:color="000000"/>
            </w:tcBorders>
          </w:tcPr>
          <w:p w14:paraId="71EBBA6B"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p>
        </w:tc>
        <w:tc>
          <w:tcPr>
            <w:tcW w:w="4569" w:type="dxa"/>
            <w:tcBorders>
              <w:top w:val="single" w:sz="4" w:space="0" w:color="000000"/>
              <w:left w:val="single" w:sz="4" w:space="0" w:color="000000"/>
              <w:bottom w:val="single" w:sz="4" w:space="0" w:color="000000"/>
              <w:right w:val="single" w:sz="4" w:space="0" w:color="000000"/>
            </w:tcBorders>
          </w:tcPr>
          <w:p w14:paraId="7B5B8D95" w14:textId="77777777" w:rsidR="006F76EB" w:rsidRPr="00834D52" w:rsidRDefault="006F76EB" w:rsidP="008B170E">
            <w:pPr>
              <w:spacing w:after="120" w:line="240" w:lineRule="auto"/>
              <w:ind w:right="-6"/>
              <w:rPr>
                <w:rFonts w:ascii="Sylfaen" w:hAnsi="Sylfaen"/>
                <w:sz w:val="24"/>
                <w:szCs w:val="24"/>
              </w:rPr>
            </w:pPr>
          </w:p>
        </w:tc>
      </w:tr>
      <w:tr w:rsidR="006F76EB" w:rsidRPr="00834D52" w14:paraId="2DDDF0E3" w14:textId="77777777" w:rsidTr="00EB2655">
        <w:trPr>
          <w:trHeight w:val="579"/>
          <w:jc w:val="center"/>
        </w:trPr>
        <w:tc>
          <w:tcPr>
            <w:tcW w:w="5145" w:type="dxa"/>
            <w:tcBorders>
              <w:top w:val="single" w:sz="4" w:space="0" w:color="000000"/>
              <w:left w:val="single" w:sz="4" w:space="0" w:color="000000"/>
              <w:bottom w:val="single" w:sz="4" w:space="0" w:color="000000"/>
              <w:right w:val="single" w:sz="4" w:space="0" w:color="000000"/>
            </w:tcBorders>
          </w:tcPr>
          <w:p w14:paraId="5AEBC16B"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lastRenderedPageBreak/>
              <w:t>գրանցման ամսաթիվը</w:t>
            </w:r>
          </w:p>
        </w:tc>
        <w:tc>
          <w:tcPr>
            <w:tcW w:w="4569" w:type="dxa"/>
            <w:tcBorders>
              <w:top w:val="single" w:sz="4" w:space="0" w:color="000000"/>
              <w:left w:val="single" w:sz="4" w:space="0" w:color="000000"/>
              <w:bottom w:val="single" w:sz="4" w:space="0" w:color="000000"/>
              <w:right w:val="single" w:sz="4" w:space="0" w:color="000000"/>
            </w:tcBorders>
          </w:tcPr>
          <w:p w14:paraId="2168003D" w14:textId="77777777" w:rsidR="006F76EB" w:rsidRPr="00834D52" w:rsidRDefault="006F76EB" w:rsidP="008B170E">
            <w:pPr>
              <w:spacing w:after="120" w:line="240" w:lineRule="auto"/>
              <w:ind w:right="-6"/>
              <w:rPr>
                <w:rFonts w:ascii="Sylfaen" w:hAnsi="Sylfaen"/>
                <w:sz w:val="24"/>
                <w:szCs w:val="24"/>
              </w:rPr>
            </w:pPr>
          </w:p>
        </w:tc>
      </w:tr>
      <w:tr w:rsidR="006F76EB" w:rsidRPr="00834D52" w14:paraId="42C85E1E" w14:textId="77777777" w:rsidTr="00EB2655">
        <w:trPr>
          <w:trHeight w:val="537"/>
          <w:jc w:val="center"/>
        </w:trPr>
        <w:tc>
          <w:tcPr>
            <w:tcW w:w="5145" w:type="dxa"/>
            <w:tcBorders>
              <w:top w:val="single" w:sz="4" w:space="0" w:color="000000"/>
              <w:left w:val="single" w:sz="4" w:space="0" w:color="000000"/>
              <w:bottom w:val="single" w:sz="4" w:space="0" w:color="000000"/>
              <w:right w:val="single" w:sz="4" w:space="0" w:color="000000"/>
            </w:tcBorders>
          </w:tcPr>
          <w:p w14:paraId="366F0E4E"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569" w:type="dxa"/>
            <w:tcBorders>
              <w:top w:val="single" w:sz="4" w:space="0" w:color="000000"/>
              <w:left w:val="single" w:sz="4" w:space="0" w:color="000000"/>
              <w:bottom w:val="single" w:sz="4" w:space="0" w:color="000000"/>
              <w:right w:val="single" w:sz="4" w:space="0" w:color="000000"/>
            </w:tcBorders>
          </w:tcPr>
          <w:p w14:paraId="5D849802" w14:textId="77777777" w:rsidR="006F76EB" w:rsidRPr="00834D52" w:rsidRDefault="006F76EB" w:rsidP="008B170E">
            <w:pPr>
              <w:spacing w:after="120" w:line="240" w:lineRule="auto"/>
              <w:ind w:right="-6"/>
              <w:rPr>
                <w:rFonts w:ascii="Sylfaen" w:hAnsi="Sylfaen"/>
                <w:sz w:val="24"/>
                <w:szCs w:val="24"/>
              </w:rPr>
            </w:pPr>
          </w:p>
        </w:tc>
      </w:tr>
      <w:tr w:rsidR="006F76EB" w:rsidRPr="00834D52" w14:paraId="57B17B37"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1BCF7320"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569" w:type="dxa"/>
            <w:tcBorders>
              <w:top w:val="single" w:sz="4" w:space="0" w:color="000000"/>
              <w:left w:val="single" w:sz="4" w:space="0" w:color="000000"/>
              <w:bottom w:val="single" w:sz="4" w:space="0" w:color="000000"/>
              <w:right w:val="single" w:sz="4" w:space="0" w:color="000000"/>
            </w:tcBorders>
          </w:tcPr>
          <w:p w14:paraId="00805E62" w14:textId="77777777" w:rsidR="006F76EB" w:rsidRPr="00834D52" w:rsidRDefault="006F76EB" w:rsidP="008B170E">
            <w:pPr>
              <w:spacing w:after="120" w:line="240" w:lineRule="auto"/>
              <w:ind w:right="-6"/>
              <w:rPr>
                <w:rFonts w:ascii="Sylfaen" w:hAnsi="Sylfaen"/>
                <w:sz w:val="24"/>
                <w:szCs w:val="24"/>
              </w:rPr>
            </w:pPr>
          </w:p>
        </w:tc>
      </w:tr>
      <w:tr w:rsidR="006F76EB" w:rsidRPr="00834D52" w14:paraId="4ACA5FB1"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4ED0CDDD" w14:textId="08078CE0" w:rsidR="006F76EB" w:rsidRPr="00834D52" w:rsidRDefault="0056496B" w:rsidP="008B170E">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4569" w:type="dxa"/>
            <w:tcBorders>
              <w:top w:val="single" w:sz="4" w:space="0" w:color="000000"/>
              <w:left w:val="single" w:sz="4" w:space="0" w:color="000000"/>
              <w:bottom w:val="single" w:sz="4" w:space="0" w:color="000000"/>
              <w:right w:val="single" w:sz="4" w:space="0" w:color="000000"/>
            </w:tcBorders>
          </w:tcPr>
          <w:p w14:paraId="3B767745" w14:textId="77777777" w:rsidR="006F76EB" w:rsidRPr="00834D52" w:rsidRDefault="006F76EB" w:rsidP="008B170E">
            <w:pPr>
              <w:spacing w:after="120" w:line="240" w:lineRule="auto"/>
              <w:ind w:right="-6"/>
              <w:rPr>
                <w:rFonts w:ascii="Sylfaen" w:hAnsi="Sylfaen"/>
                <w:sz w:val="24"/>
                <w:szCs w:val="24"/>
              </w:rPr>
            </w:pPr>
          </w:p>
        </w:tc>
      </w:tr>
      <w:tr w:rsidR="006F76EB" w:rsidRPr="00834D52" w14:paraId="270F8615" w14:textId="77777777" w:rsidTr="00EB2655">
        <w:trPr>
          <w:trHeight w:val="1351"/>
          <w:jc w:val="center"/>
        </w:trPr>
        <w:tc>
          <w:tcPr>
            <w:tcW w:w="5145" w:type="dxa"/>
            <w:tcBorders>
              <w:top w:val="single" w:sz="4" w:space="0" w:color="000000"/>
              <w:left w:val="single" w:sz="4" w:space="0" w:color="000000"/>
              <w:bottom w:val="single" w:sz="4" w:space="0" w:color="000000"/>
              <w:right w:val="single" w:sz="4" w:space="0" w:color="000000"/>
            </w:tcBorders>
          </w:tcPr>
          <w:p w14:paraId="50C5EA08" w14:textId="2C3AC9EE" w:rsidR="006F76EB" w:rsidRPr="00834D52" w:rsidRDefault="0056496B" w:rsidP="008B170E">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Եվրասիական տնտեսական միության այլ անդամ պետություններ (առկայության դեպքում)</w:t>
            </w:r>
          </w:p>
        </w:tc>
        <w:tc>
          <w:tcPr>
            <w:tcW w:w="4569" w:type="dxa"/>
            <w:tcBorders>
              <w:top w:val="single" w:sz="4" w:space="0" w:color="000000"/>
              <w:left w:val="single" w:sz="4" w:space="0" w:color="000000"/>
              <w:bottom w:val="single" w:sz="4" w:space="0" w:color="000000"/>
              <w:right w:val="single" w:sz="4" w:space="0" w:color="000000"/>
            </w:tcBorders>
          </w:tcPr>
          <w:p w14:paraId="53B021DA" w14:textId="77777777" w:rsidR="006F76EB" w:rsidRPr="00834D52" w:rsidRDefault="006F76EB" w:rsidP="008B170E">
            <w:pPr>
              <w:spacing w:after="120" w:line="240" w:lineRule="auto"/>
              <w:ind w:right="-6"/>
              <w:rPr>
                <w:rFonts w:ascii="Sylfaen" w:hAnsi="Sylfaen"/>
                <w:sz w:val="24"/>
                <w:szCs w:val="24"/>
              </w:rPr>
            </w:pPr>
          </w:p>
        </w:tc>
      </w:tr>
      <w:tr w:rsidR="006F76EB" w:rsidRPr="00834D52" w14:paraId="0295B8BB" w14:textId="77777777" w:rsidTr="00EB2655">
        <w:trPr>
          <w:trHeight w:val="1759"/>
          <w:jc w:val="center"/>
        </w:trPr>
        <w:tc>
          <w:tcPr>
            <w:tcW w:w="5145" w:type="dxa"/>
            <w:tcBorders>
              <w:top w:val="single" w:sz="4" w:space="0" w:color="000000"/>
              <w:left w:val="single" w:sz="4" w:space="0" w:color="000000"/>
              <w:bottom w:val="single" w:sz="4" w:space="0" w:color="000000"/>
              <w:right w:val="single" w:sz="4" w:space="0" w:color="000000"/>
            </w:tcBorders>
          </w:tcPr>
          <w:p w14:paraId="19979DF6"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գրանցվածից առ</w:t>
            </w:r>
            <w:r w:rsidR="00C54D75">
              <w:rPr>
                <w:rFonts w:ascii="Sylfaen" w:hAnsi="Sylfaen"/>
                <w:sz w:val="24"/>
                <w:szCs w:val="24"/>
              </w:rPr>
              <w:t>և</w:t>
            </w:r>
            <w:r w:rsidRPr="00834D52">
              <w:rPr>
                <w:rFonts w:ascii="Sylfaen" w:hAnsi="Sylfaen"/>
                <w:sz w:val="24"/>
                <w:szCs w:val="24"/>
              </w:rPr>
              <w:t>տրային անվանման տարբերության դեպքում)</w:t>
            </w:r>
          </w:p>
        </w:tc>
        <w:tc>
          <w:tcPr>
            <w:tcW w:w="4569" w:type="dxa"/>
            <w:tcBorders>
              <w:top w:val="single" w:sz="4" w:space="0" w:color="000000"/>
              <w:left w:val="single" w:sz="4" w:space="0" w:color="000000"/>
              <w:bottom w:val="single" w:sz="4" w:space="0" w:color="000000"/>
              <w:right w:val="single" w:sz="4" w:space="0" w:color="000000"/>
            </w:tcBorders>
          </w:tcPr>
          <w:p w14:paraId="6893A109" w14:textId="77777777" w:rsidR="006F76EB" w:rsidRPr="00834D52" w:rsidRDefault="006F76EB" w:rsidP="008B170E">
            <w:pPr>
              <w:spacing w:after="120" w:line="240" w:lineRule="auto"/>
              <w:ind w:right="-6"/>
              <w:rPr>
                <w:rFonts w:ascii="Sylfaen" w:hAnsi="Sylfaen"/>
                <w:sz w:val="24"/>
                <w:szCs w:val="24"/>
              </w:rPr>
            </w:pPr>
          </w:p>
        </w:tc>
      </w:tr>
    </w:tbl>
    <w:p w14:paraId="44DC84F9" w14:textId="45EE8B61" w:rsidR="006F76EB" w:rsidRPr="00834D52" w:rsidRDefault="006F76EB" w:rsidP="006F76EB">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ապակենտրոնացված ընթացակարգով՝</w:t>
      </w:r>
    </w:p>
    <w:tbl>
      <w:tblPr>
        <w:tblW w:w="9612" w:type="dxa"/>
        <w:jc w:val="center"/>
        <w:tblLayout w:type="fixed"/>
        <w:tblCellMar>
          <w:left w:w="0" w:type="dxa"/>
          <w:right w:w="0" w:type="dxa"/>
        </w:tblCellMar>
        <w:tblLook w:val="01E0" w:firstRow="1" w:lastRow="1" w:firstColumn="1" w:lastColumn="1" w:noHBand="0" w:noVBand="0"/>
      </w:tblPr>
      <w:tblGrid>
        <w:gridCol w:w="5091"/>
        <w:gridCol w:w="4521"/>
      </w:tblGrid>
      <w:tr w:rsidR="006F76EB" w:rsidRPr="00834D52" w14:paraId="2597914A" w14:textId="77777777" w:rsidTr="00EB2655">
        <w:trPr>
          <w:trHeight w:val="575"/>
          <w:jc w:val="center"/>
        </w:trPr>
        <w:tc>
          <w:tcPr>
            <w:tcW w:w="5091" w:type="dxa"/>
            <w:tcBorders>
              <w:top w:val="single" w:sz="4" w:space="0" w:color="000000"/>
              <w:left w:val="single" w:sz="4" w:space="0" w:color="000000"/>
              <w:bottom w:val="single" w:sz="4" w:space="0" w:color="000000"/>
              <w:right w:val="single" w:sz="4" w:space="0" w:color="000000"/>
            </w:tcBorders>
          </w:tcPr>
          <w:p w14:paraId="5AE61049" w14:textId="3E121146" w:rsidR="006F76EB" w:rsidRPr="00834D52" w:rsidRDefault="0056496B" w:rsidP="004F6D87">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4521" w:type="dxa"/>
            <w:tcBorders>
              <w:top w:val="single" w:sz="4" w:space="0" w:color="000000"/>
              <w:left w:val="single" w:sz="4" w:space="0" w:color="000000"/>
              <w:bottom w:val="single" w:sz="4" w:space="0" w:color="000000"/>
              <w:right w:val="single" w:sz="4" w:space="0" w:color="000000"/>
            </w:tcBorders>
          </w:tcPr>
          <w:p w14:paraId="470BAA78" w14:textId="77777777" w:rsidR="006F76EB" w:rsidRPr="00834D52" w:rsidRDefault="006F76EB" w:rsidP="004F6D87">
            <w:pPr>
              <w:spacing w:after="120" w:line="240" w:lineRule="auto"/>
              <w:ind w:right="-6"/>
              <w:rPr>
                <w:rFonts w:ascii="Sylfaen" w:hAnsi="Sylfaen"/>
                <w:sz w:val="24"/>
                <w:szCs w:val="24"/>
              </w:rPr>
            </w:pPr>
          </w:p>
        </w:tc>
      </w:tr>
      <w:tr w:rsidR="006F76EB" w:rsidRPr="00834D52" w14:paraId="767D3823" w14:textId="77777777" w:rsidTr="00EB2655">
        <w:trPr>
          <w:trHeight w:val="575"/>
          <w:jc w:val="center"/>
        </w:trPr>
        <w:tc>
          <w:tcPr>
            <w:tcW w:w="5091" w:type="dxa"/>
            <w:tcBorders>
              <w:top w:val="single" w:sz="4" w:space="0" w:color="000000"/>
              <w:left w:val="single" w:sz="4" w:space="0" w:color="000000"/>
              <w:bottom w:val="single" w:sz="4" w:space="0" w:color="000000"/>
              <w:right w:val="single" w:sz="4" w:space="0" w:color="000000"/>
            </w:tcBorders>
          </w:tcPr>
          <w:p w14:paraId="42AD999A" w14:textId="77777777" w:rsidR="006F76EB" w:rsidRPr="00834D52" w:rsidRDefault="0032680A" w:rsidP="004F6D87">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521" w:type="dxa"/>
            <w:tcBorders>
              <w:top w:val="single" w:sz="4" w:space="0" w:color="000000"/>
              <w:left w:val="single" w:sz="4" w:space="0" w:color="000000"/>
              <w:bottom w:val="single" w:sz="4" w:space="0" w:color="000000"/>
              <w:right w:val="single" w:sz="4" w:space="0" w:color="000000"/>
            </w:tcBorders>
          </w:tcPr>
          <w:p w14:paraId="18EA7AFF" w14:textId="77777777" w:rsidR="006F76EB" w:rsidRPr="00834D52" w:rsidRDefault="006F76EB" w:rsidP="004F6D87">
            <w:pPr>
              <w:spacing w:after="120" w:line="240" w:lineRule="auto"/>
              <w:ind w:right="-6"/>
              <w:rPr>
                <w:rFonts w:ascii="Sylfaen" w:hAnsi="Sylfaen"/>
                <w:sz w:val="24"/>
                <w:szCs w:val="24"/>
              </w:rPr>
            </w:pPr>
          </w:p>
        </w:tc>
      </w:tr>
      <w:tr w:rsidR="006F76EB" w:rsidRPr="00834D52" w14:paraId="36B3554B" w14:textId="77777777" w:rsidTr="00EB2655">
        <w:trPr>
          <w:trHeight w:val="974"/>
          <w:jc w:val="center"/>
        </w:trPr>
        <w:tc>
          <w:tcPr>
            <w:tcW w:w="5091" w:type="dxa"/>
            <w:tcBorders>
              <w:top w:val="single" w:sz="4" w:space="0" w:color="000000"/>
              <w:left w:val="single" w:sz="4" w:space="0" w:color="000000"/>
              <w:bottom w:val="single" w:sz="4" w:space="0" w:color="000000"/>
              <w:right w:val="single" w:sz="4" w:space="0" w:color="000000"/>
            </w:tcBorders>
          </w:tcPr>
          <w:p w14:paraId="3CDF9D10" w14:textId="77777777" w:rsidR="006F76EB" w:rsidRPr="00834D52" w:rsidRDefault="006F76EB" w:rsidP="004F6D87">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521" w:type="dxa"/>
            <w:tcBorders>
              <w:top w:val="single" w:sz="4" w:space="0" w:color="000000"/>
              <w:left w:val="single" w:sz="4" w:space="0" w:color="000000"/>
              <w:bottom w:val="single" w:sz="4" w:space="0" w:color="000000"/>
              <w:right w:val="single" w:sz="4" w:space="0" w:color="000000"/>
            </w:tcBorders>
          </w:tcPr>
          <w:p w14:paraId="69993C83" w14:textId="77777777" w:rsidR="006F76EB" w:rsidRPr="00834D52" w:rsidRDefault="006F76EB" w:rsidP="004F6D87">
            <w:pPr>
              <w:spacing w:after="120" w:line="240" w:lineRule="auto"/>
              <w:ind w:right="-6"/>
              <w:rPr>
                <w:rFonts w:ascii="Sylfaen" w:hAnsi="Sylfaen"/>
                <w:sz w:val="24"/>
                <w:szCs w:val="24"/>
              </w:rPr>
            </w:pPr>
          </w:p>
        </w:tc>
      </w:tr>
      <w:tr w:rsidR="006F76EB" w:rsidRPr="00834D52" w14:paraId="614B8642" w14:textId="77777777" w:rsidTr="00EB2655">
        <w:trPr>
          <w:trHeight w:val="974"/>
          <w:jc w:val="center"/>
        </w:trPr>
        <w:tc>
          <w:tcPr>
            <w:tcW w:w="5091" w:type="dxa"/>
            <w:tcBorders>
              <w:top w:val="single" w:sz="4" w:space="0" w:color="000000"/>
              <w:left w:val="single" w:sz="4" w:space="0" w:color="000000"/>
              <w:bottom w:val="single" w:sz="4" w:space="0" w:color="000000"/>
              <w:right w:val="single" w:sz="4" w:space="0" w:color="000000"/>
            </w:tcBorders>
          </w:tcPr>
          <w:p w14:paraId="18DBE0B6" w14:textId="2CADCBED" w:rsidR="006F76EB" w:rsidRPr="00834D52" w:rsidRDefault="0056496B" w:rsidP="004F6D87">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ճանաչման պետությունները</w:t>
            </w:r>
          </w:p>
        </w:tc>
        <w:tc>
          <w:tcPr>
            <w:tcW w:w="4521" w:type="dxa"/>
            <w:tcBorders>
              <w:top w:val="single" w:sz="4" w:space="0" w:color="000000"/>
              <w:left w:val="single" w:sz="4" w:space="0" w:color="000000"/>
              <w:bottom w:val="single" w:sz="4" w:space="0" w:color="000000"/>
              <w:right w:val="single" w:sz="4" w:space="0" w:color="000000"/>
            </w:tcBorders>
          </w:tcPr>
          <w:p w14:paraId="46485E03" w14:textId="77777777" w:rsidR="006F76EB" w:rsidRPr="00834D52" w:rsidRDefault="006F76EB" w:rsidP="004F6D87">
            <w:pPr>
              <w:spacing w:after="120" w:line="240" w:lineRule="auto"/>
              <w:ind w:right="-6"/>
              <w:rPr>
                <w:rFonts w:ascii="Sylfaen" w:hAnsi="Sylfaen"/>
                <w:sz w:val="24"/>
                <w:szCs w:val="24"/>
              </w:rPr>
            </w:pPr>
          </w:p>
        </w:tc>
      </w:tr>
      <w:tr w:rsidR="006F76EB" w:rsidRPr="00834D52" w14:paraId="63833E8F" w14:textId="77777777" w:rsidTr="00EB2655">
        <w:trPr>
          <w:trHeight w:val="1837"/>
          <w:jc w:val="center"/>
        </w:trPr>
        <w:tc>
          <w:tcPr>
            <w:tcW w:w="5091" w:type="dxa"/>
            <w:tcBorders>
              <w:top w:val="single" w:sz="4" w:space="0" w:color="000000"/>
              <w:left w:val="single" w:sz="4" w:space="0" w:color="000000"/>
              <w:bottom w:val="single" w:sz="4" w:space="0" w:color="000000"/>
              <w:right w:val="single" w:sz="4" w:space="0" w:color="000000"/>
            </w:tcBorders>
          </w:tcPr>
          <w:p w14:paraId="296A84C5" w14:textId="77777777" w:rsidR="006F76EB" w:rsidRPr="00834D52" w:rsidRDefault="006F76EB" w:rsidP="004F6D87">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պետության հետ առ</w:t>
            </w:r>
            <w:r w:rsidR="00C54D75">
              <w:rPr>
                <w:rFonts w:ascii="Sylfaen" w:hAnsi="Sylfaen"/>
                <w:sz w:val="24"/>
                <w:szCs w:val="24"/>
              </w:rPr>
              <w:t>և</w:t>
            </w:r>
            <w:r w:rsidRPr="00834D52">
              <w:rPr>
                <w:rFonts w:ascii="Sylfaen" w:hAnsi="Sylfaen"/>
                <w:sz w:val="24"/>
                <w:szCs w:val="24"/>
              </w:rPr>
              <w:t>տրային անվանումների տարբերությունների դեպքում)</w:t>
            </w:r>
          </w:p>
        </w:tc>
        <w:tc>
          <w:tcPr>
            <w:tcW w:w="4521" w:type="dxa"/>
            <w:tcBorders>
              <w:top w:val="single" w:sz="4" w:space="0" w:color="000000"/>
              <w:left w:val="single" w:sz="4" w:space="0" w:color="000000"/>
              <w:bottom w:val="single" w:sz="4" w:space="0" w:color="000000"/>
              <w:right w:val="single" w:sz="4" w:space="0" w:color="000000"/>
            </w:tcBorders>
          </w:tcPr>
          <w:p w14:paraId="76743787" w14:textId="77777777" w:rsidR="006F76EB" w:rsidRPr="00834D52" w:rsidRDefault="006F76EB" w:rsidP="004F6D87">
            <w:pPr>
              <w:spacing w:after="120" w:line="240" w:lineRule="auto"/>
              <w:ind w:right="-6"/>
              <w:rPr>
                <w:rFonts w:ascii="Sylfaen" w:hAnsi="Sylfaen"/>
                <w:sz w:val="24"/>
                <w:szCs w:val="24"/>
              </w:rPr>
            </w:pPr>
          </w:p>
        </w:tc>
      </w:tr>
    </w:tbl>
    <w:p w14:paraId="3D03F25B" w14:textId="4644A92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 xml:space="preserve">ը, որոնց հղում է կատարվում այս բաժնում: </w:t>
      </w:r>
    </w:p>
    <w:p w14:paraId="5B7550F1" w14:textId="77777777" w:rsidR="00EB2655" w:rsidRDefault="00EB2655">
      <w:pPr>
        <w:widowControl/>
        <w:rPr>
          <w:rFonts w:ascii="Sylfaen" w:hAnsi="Sylfaen"/>
          <w:sz w:val="24"/>
          <w:szCs w:val="24"/>
        </w:rPr>
      </w:pPr>
      <w:r>
        <w:rPr>
          <w:rFonts w:ascii="Sylfaen" w:hAnsi="Sylfaen"/>
          <w:sz w:val="24"/>
          <w:szCs w:val="24"/>
        </w:rPr>
        <w:br w:type="page"/>
      </w:r>
    </w:p>
    <w:p w14:paraId="3EAF1D1F" w14:textId="234C1F8D" w:rsidR="006F76EB" w:rsidRDefault="006F76EB" w:rsidP="006F76EB">
      <w:pPr>
        <w:spacing w:after="160" w:line="360" w:lineRule="auto"/>
        <w:ind w:left="567" w:right="423"/>
        <w:jc w:val="center"/>
        <w:rPr>
          <w:rFonts w:ascii="Sylfaen" w:hAnsi="Sylfaen"/>
          <w:sz w:val="24"/>
          <w:szCs w:val="24"/>
        </w:rPr>
      </w:pPr>
      <w:r w:rsidRPr="00834D52">
        <w:rPr>
          <w:rFonts w:ascii="Sylfaen" w:hAnsi="Sylfaen"/>
          <w:sz w:val="24"/>
          <w:szCs w:val="24"/>
        </w:rPr>
        <w:lastRenderedPageBreak/>
        <w:t xml:space="preserve">2. Հաստատված փոփոխությունները կամ քննարկման փուլում </w:t>
      </w:r>
      <w:r w:rsidRPr="00834D52">
        <w:rPr>
          <w:rFonts w:ascii="Sylfaen" w:hAnsi="Sylfaen"/>
          <w:sz w:val="24"/>
          <w:szCs w:val="24"/>
        </w:rPr>
        <w:br/>
        <w:t xml:space="preserve">գտնվող փոփոխություները, որոնք եղել են գրանցման </w:t>
      </w:r>
      <w:r w:rsidRPr="00834D52">
        <w:rPr>
          <w:rFonts w:ascii="Sylfaen" w:hAnsi="Sylfaen"/>
          <w:sz w:val="24"/>
          <w:szCs w:val="24"/>
        </w:rPr>
        <w:br/>
        <w:t>հավաստագրի տրման պահից</w:t>
      </w:r>
    </w:p>
    <w:p w14:paraId="34F071D6" w14:textId="77777777" w:rsidR="00052B35" w:rsidRPr="00052B35" w:rsidRDefault="00052B35" w:rsidP="00052B35">
      <w:pPr>
        <w:widowControl/>
        <w:spacing w:after="0" w:line="240" w:lineRule="auto"/>
        <w:jc w:val="center"/>
        <w:rPr>
          <w:rFonts w:ascii="Arial Unicode" w:eastAsia="Times New Roman" w:hAnsi="Arial Unicode" w:cs="Times New Roman"/>
          <w:sz w:val="21"/>
          <w:szCs w:val="21"/>
          <w:lang w:eastAsia="en-US" w:bidi="ar-SA"/>
        </w:rPr>
      </w:pPr>
      <w:r w:rsidRPr="00052B35">
        <w:rPr>
          <w:rFonts w:ascii="Arial Unicode" w:eastAsia="Times New Roman" w:hAnsi="Arial Unicode" w:cs="Times New Roman"/>
          <w:sz w:val="21"/>
          <w:szCs w:val="21"/>
          <w:lang w:eastAsia="en-US" w:bidi="ar-SA"/>
        </w:rPr>
        <w:t>ԿԱՆՈՆՆԵՐԻ VII ԲԱԺՆԻՆ ՀԱՄԱՊԱՏԱՍԽԱՆ՝ ԳՐԱՆՑՄԱՆԸ ՆԵՐԿԱՅԱՑՎՈՂ ԴԵՂԱՊԱՏՐԱՍՏՈՒԿ</w:t>
      </w:r>
    </w:p>
    <w:p w14:paraId="074BF4D7"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eastAsia="en-US" w:bidi="ar-SA"/>
        </w:rPr>
      </w:pPr>
      <w:r w:rsidRPr="00052B35">
        <w:rPr>
          <w:rFonts w:ascii="Calibri" w:eastAsia="Times New Roman" w:hAnsi="Calibri" w:cs="Calibri"/>
          <w:sz w:val="21"/>
          <w:szCs w:val="21"/>
          <w:lang w:eastAsia="en-US" w:bidi="ar-SA"/>
        </w:rPr>
        <w:t> </w:t>
      </w:r>
    </w:p>
    <w:p w14:paraId="07FC8445"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eastAsia="en-US" w:bidi="ar-SA"/>
        </w:rPr>
      </w:pPr>
      <w:r w:rsidRPr="00052B35">
        <w:rPr>
          <w:rFonts w:ascii="Arial Unicode" w:eastAsia="Times New Roman" w:hAnsi="Arial Unicode" w:cs="Times New Roman"/>
          <w:sz w:val="21"/>
          <w:szCs w:val="21"/>
          <w:lang w:eastAsia="en-US" w:bidi="ar-SA"/>
        </w:rPr>
        <w:t>Եթե դեղապատրաստուկը ներկայացվում է վերագրանցման Կանոնների VII բաժնին համապատասխան, ապա անհրաժեշտ է նշել այն ընթացակարգի տեսակը, որին համապատասխան այն գրանցվել է՝</w:t>
      </w:r>
    </w:p>
    <w:p w14:paraId="7D6B0C53"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eastAsia="en-US" w:bidi="ar-SA"/>
        </w:rPr>
      </w:pPr>
      <w:r w:rsidRPr="00052B35">
        <w:rPr>
          <w:rFonts w:ascii="Calibri" w:eastAsia="Times New Roman" w:hAnsi="Calibri" w:cs="Calibri"/>
          <w:sz w:val="21"/>
          <w:szCs w:val="21"/>
          <w:lang w:eastAsia="en-US" w:bidi="ar-SA"/>
        </w:rPr>
        <w:t> </w:t>
      </w:r>
    </w:p>
    <w:tbl>
      <w:tblPr>
        <w:tblW w:w="9750" w:type="dxa"/>
        <w:jc w:val="center"/>
        <w:tblCellSpacing w:w="0" w:type="dxa"/>
        <w:tblCellMar>
          <w:left w:w="0" w:type="dxa"/>
          <w:right w:w="0" w:type="dxa"/>
        </w:tblCellMar>
        <w:tblLook w:val="04A0" w:firstRow="1" w:lastRow="0" w:firstColumn="1" w:lastColumn="0" w:noHBand="0" w:noVBand="1"/>
      </w:tblPr>
      <w:tblGrid>
        <w:gridCol w:w="216"/>
        <w:gridCol w:w="5251"/>
        <w:gridCol w:w="217"/>
        <w:gridCol w:w="4066"/>
      </w:tblGrid>
      <w:tr w:rsidR="00052B35" w:rsidRPr="00052B35" w14:paraId="69EA66E0" w14:textId="77777777" w:rsidTr="00052B35">
        <w:trPr>
          <w:tblCellSpacing w:w="0" w:type="dxa"/>
          <w:jc w:val="center"/>
        </w:trPr>
        <w:tc>
          <w:tcPr>
            <w:tcW w:w="0" w:type="auto"/>
            <w:hideMark/>
          </w:tcPr>
          <w:p w14:paraId="0EC4D460"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w:t>
            </w:r>
          </w:p>
        </w:tc>
        <w:tc>
          <w:tcPr>
            <w:tcW w:w="0" w:type="auto"/>
            <w:vAlign w:val="center"/>
            <w:hideMark/>
          </w:tcPr>
          <w:p w14:paraId="3014230B" w14:textId="77777777" w:rsidR="00052B35" w:rsidRPr="00052B35" w:rsidRDefault="00052B35" w:rsidP="00052B35">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 xml:space="preserve">բացառիկ դեպքերում </w:t>
            </w:r>
            <w:r w:rsidRPr="00052B35">
              <w:rPr>
                <w:rFonts w:ascii="Arial Unicode" w:eastAsia="Times New Roman" w:hAnsi="Arial Unicode" w:cs="Times New Roman"/>
                <w:sz w:val="21"/>
                <w:szCs w:val="21"/>
                <w:lang w:val="en-US" w:eastAsia="en-US" w:bidi="ar-SA"/>
              </w:rPr>
              <w:br/>
              <w:t>դեղապատրաստուկի գրանցում</w:t>
            </w:r>
          </w:p>
        </w:tc>
        <w:tc>
          <w:tcPr>
            <w:tcW w:w="0" w:type="auto"/>
            <w:hideMark/>
          </w:tcPr>
          <w:p w14:paraId="0F91315E"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w:t>
            </w:r>
          </w:p>
        </w:tc>
        <w:tc>
          <w:tcPr>
            <w:tcW w:w="0" w:type="auto"/>
            <w:vAlign w:val="center"/>
            <w:hideMark/>
          </w:tcPr>
          <w:p w14:paraId="501FAADB" w14:textId="77777777" w:rsidR="00052B35" w:rsidRPr="00052B35" w:rsidRDefault="00052B35" w:rsidP="00052B35">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 xml:space="preserve">դեղապատրաստուկի </w:t>
            </w:r>
            <w:r w:rsidRPr="00052B35">
              <w:rPr>
                <w:rFonts w:ascii="Arial Unicode" w:eastAsia="Times New Roman" w:hAnsi="Arial Unicode" w:cs="Times New Roman"/>
                <w:sz w:val="21"/>
                <w:szCs w:val="21"/>
                <w:lang w:val="en-US" w:eastAsia="en-US" w:bidi="ar-SA"/>
              </w:rPr>
              <w:br/>
              <w:t>պայմանական գրանցում</w:t>
            </w:r>
          </w:p>
        </w:tc>
      </w:tr>
    </w:tbl>
    <w:p w14:paraId="34D4C379"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r w:rsidRPr="00052B35">
        <w:rPr>
          <w:rFonts w:ascii="Calibri" w:eastAsia="Times New Roman" w:hAnsi="Calibri" w:cs="Calibri"/>
          <w:sz w:val="21"/>
          <w:szCs w:val="21"/>
          <w:lang w:val="en-US" w:eastAsia="en-US" w:bidi="ar-SA"/>
        </w:rPr>
        <w:t> </w:t>
      </w:r>
    </w:p>
    <w:p w14:paraId="615BCCF3"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 xml:space="preserve">Արդյո՞ք կարգավորող մարմնի կողմից դեղապատրաստուկը գրանցելիս որպես գրանցման պայմաններ սահմանվել են հատուկ պարտավորություններ կամ հետգրանցումային միջոցներ: </w:t>
      </w:r>
    </w:p>
    <w:p w14:paraId="19D277DF"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r w:rsidRPr="00052B35">
        <w:rPr>
          <w:rFonts w:ascii="Calibri" w:eastAsia="Times New Roman" w:hAnsi="Calibri" w:cs="Calibri"/>
          <w:sz w:val="21"/>
          <w:szCs w:val="21"/>
          <w:lang w:val="en-US" w:eastAsia="en-US" w:bidi="ar-SA"/>
        </w:rPr>
        <w:t> </w:t>
      </w:r>
    </w:p>
    <w:tbl>
      <w:tblPr>
        <w:tblW w:w="9750" w:type="dxa"/>
        <w:jc w:val="center"/>
        <w:tblCellSpacing w:w="0" w:type="dxa"/>
        <w:tblCellMar>
          <w:left w:w="0" w:type="dxa"/>
          <w:right w:w="0" w:type="dxa"/>
        </w:tblCellMar>
        <w:tblLook w:val="04A0" w:firstRow="1" w:lastRow="0" w:firstColumn="1" w:lastColumn="0" w:noHBand="0" w:noVBand="1"/>
      </w:tblPr>
      <w:tblGrid>
        <w:gridCol w:w="5344"/>
        <w:gridCol w:w="490"/>
        <w:gridCol w:w="3916"/>
      </w:tblGrid>
      <w:tr w:rsidR="00052B35" w:rsidRPr="00052B35" w14:paraId="71AB8929" w14:textId="77777777" w:rsidTr="00052B35">
        <w:trPr>
          <w:tblCellSpacing w:w="0" w:type="dxa"/>
          <w:jc w:val="center"/>
        </w:trPr>
        <w:tc>
          <w:tcPr>
            <w:tcW w:w="0" w:type="auto"/>
            <w:vAlign w:val="bottom"/>
            <w:hideMark/>
          </w:tcPr>
          <w:p w14:paraId="3A4D6793"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 այո</w:t>
            </w:r>
          </w:p>
        </w:tc>
        <w:tc>
          <w:tcPr>
            <w:tcW w:w="0" w:type="auto"/>
            <w:hideMark/>
          </w:tcPr>
          <w:p w14:paraId="468B49C5" w14:textId="77777777" w:rsidR="00052B35" w:rsidRPr="00052B35" w:rsidRDefault="00052B35" w:rsidP="00052B35">
            <w:pPr>
              <w:widowControl/>
              <w:spacing w:after="0" w:line="240" w:lineRule="auto"/>
              <w:rPr>
                <w:rFonts w:ascii="Arial Unicode" w:eastAsia="Times New Roman" w:hAnsi="Arial Unicode" w:cs="Times New Roman"/>
                <w:sz w:val="21"/>
                <w:szCs w:val="21"/>
                <w:lang w:val="en-US" w:eastAsia="en-US" w:bidi="ar-SA"/>
              </w:rPr>
            </w:pPr>
            <w:r w:rsidRPr="00052B35">
              <w:rPr>
                <w:rFonts w:ascii="Calibri" w:eastAsia="Times New Roman" w:hAnsi="Calibri" w:cs="Calibri"/>
                <w:sz w:val="21"/>
                <w:szCs w:val="21"/>
                <w:lang w:val="en-US" w:eastAsia="en-US" w:bidi="ar-SA"/>
              </w:rPr>
              <w:t> </w:t>
            </w:r>
          </w:p>
        </w:tc>
        <w:tc>
          <w:tcPr>
            <w:tcW w:w="0" w:type="auto"/>
            <w:vAlign w:val="bottom"/>
            <w:hideMark/>
          </w:tcPr>
          <w:p w14:paraId="6899DC76"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 ոչ</w:t>
            </w:r>
          </w:p>
        </w:tc>
      </w:tr>
    </w:tbl>
    <w:p w14:paraId="5CB9D21E"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r w:rsidRPr="00052B35">
        <w:rPr>
          <w:rFonts w:ascii="Calibri" w:eastAsia="Times New Roman" w:hAnsi="Calibri" w:cs="Calibri"/>
          <w:sz w:val="21"/>
          <w:szCs w:val="21"/>
          <w:lang w:val="en-US" w:eastAsia="en-US" w:bidi="ar-SA"/>
        </w:rPr>
        <w:t> </w:t>
      </w:r>
    </w:p>
    <w:p w14:paraId="5FBEBC36" w14:textId="6BF5EEBE" w:rsid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Հատուկ պարտավորություններ կամ հետգրանցումային միջոցներ՝ որպես գրանցման պայմաններ.</w:t>
      </w:r>
    </w:p>
    <w:p w14:paraId="54D4EAE1" w14:textId="77777777" w:rsid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7"/>
        <w:gridCol w:w="2445"/>
        <w:gridCol w:w="2531"/>
        <w:gridCol w:w="2427"/>
      </w:tblGrid>
      <w:tr w:rsidR="00052B35" w:rsidRPr="00052B35" w14:paraId="041DA65C" w14:textId="77777777" w:rsidTr="00052B3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8F340ED"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Դեղապատրաստուկի գրանցման ընթացքում սահմանված՝ դեղապատրաստուկի կիրառման սահմանափակումները</w:t>
            </w:r>
          </w:p>
        </w:tc>
        <w:tc>
          <w:tcPr>
            <w:tcW w:w="0" w:type="auto"/>
            <w:tcBorders>
              <w:top w:val="outset" w:sz="6" w:space="0" w:color="auto"/>
              <w:left w:val="outset" w:sz="6" w:space="0" w:color="auto"/>
              <w:bottom w:val="outset" w:sz="6" w:space="0" w:color="auto"/>
              <w:right w:val="outset" w:sz="6" w:space="0" w:color="auto"/>
            </w:tcBorders>
            <w:hideMark/>
          </w:tcPr>
          <w:p w14:paraId="670E9FCF"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Գրանցման շրջանակներում կատարման ենթակա՝ գրանցման հավաստագիր ունեցող անձի պարտավորությունները</w:t>
            </w:r>
          </w:p>
        </w:tc>
        <w:tc>
          <w:tcPr>
            <w:tcW w:w="0" w:type="auto"/>
            <w:tcBorders>
              <w:top w:val="outset" w:sz="6" w:space="0" w:color="auto"/>
              <w:left w:val="outset" w:sz="6" w:space="0" w:color="auto"/>
              <w:bottom w:val="outset" w:sz="6" w:space="0" w:color="auto"/>
              <w:right w:val="outset" w:sz="6" w:space="0" w:color="auto"/>
            </w:tcBorders>
            <w:vAlign w:val="center"/>
            <w:hideMark/>
          </w:tcPr>
          <w:p w14:paraId="3715AEA1"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Դեղապատրաստուկի գրանցման ընթացքում սահմանված՝ գրանցման հավաստագիր ունեցող անձի համար պարտավորությունների կատարման և սահմանված սահմանափակումների ժամկետները</w:t>
            </w:r>
          </w:p>
        </w:tc>
        <w:tc>
          <w:tcPr>
            <w:tcW w:w="0" w:type="auto"/>
            <w:tcBorders>
              <w:top w:val="outset" w:sz="6" w:space="0" w:color="auto"/>
              <w:left w:val="outset" w:sz="6" w:space="0" w:color="auto"/>
              <w:bottom w:val="outset" w:sz="6" w:space="0" w:color="auto"/>
              <w:right w:val="outset" w:sz="6" w:space="0" w:color="auto"/>
            </w:tcBorders>
            <w:hideMark/>
          </w:tcPr>
          <w:p w14:paraId="55D91594"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Գրանցման հավաստագիր ունեցող անձի կողմից պարտավորությունների կատարման կարգավիճակը</w:t>
            </w:r>
          </w:p>
        </w:tc>
      </w:tr>
    </w:tbl>
    <w:p w14:paraId="5E00E3CA"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p>
    <w:p w14:paraId="3A63226A" w14:textId="77777777" w:rsidR="00052B35" w:rsidRPr="00052B35" w:rsidRDefault="00052B35" w:rsidP="006F76EB">
      <w:pPr>
        <w:spacing w:after="160" w:line="360" w:lineRule="auto"/>
        <w:ind w:left="567" w:right="423"/>
        <w:jc w:val="center"/>
        <w:rPr>
          <w:rFonts w:ascii="Sylfaen" w:eastAsia="Times New Roman" w:hAnsi="Sylfaen" w:cs="Times New Roman"/>
          <w:sz w:val="24"/>
          <w:szCs w:val="24"/>
          <w:lang w:val="en-US"/>
        </w:rPr>
      </w:pPr>
    </w:p>
    <w:tbl>
      <w:tblPr>
        <w:tblW w:w="8931" w:type="dxa"/>
        <w:jc w:val="center"/>
        <w:tblLayout w:type="fixed"/>
        <w:tblCellMar>
          <w:left w:w="0" w:type="dxa"/>
          <w:right w:w="0" w:type="dxa"/>
        </w:tblCellMar>
        <w:tblLook w:val="01E0" w:firstRow="1" w:lastRow="1" w:firstColumn="1" w:lastColumn="1" w:noHBand="0" w:noVBand="0"/>
      </w:tblPr>
      <w:tblGrid>
        <w:gridCol w:w="916"/>
        <w:gridCol w:w="2407"/>
        <w:gridCol w:w="2410"/>
        <w:gridCol w:w="3198"/>
      </w:tblGrid>
      <w:tr w:rsidR="006F76EB" w:rsidRPr="00834D52" w14:paraId="5CA30773"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5EFCF37E" w14:textId="77777777" w:rsidR="006F76EB" w:rsidRPr="00834D52" w:rsidRDefault="006F76EB" w:rsidP="004F6D87">
            <w:pPr>
              <w:spacing w:after="120" w:line="240" w:lineRule="auto"/>
              <w:ind w:left="28" w:right="48"/>
              <w:rPr>
                <w:rFonts w:ascii="Sylfaen" w:eastAsia="Times New Roman" w:hAnsi="Sylfaen" w:cs="Times New Roman"/>
                <w:sz w:val="24"/>
                <w:szCs w:val="24"/>
              </w:rPr>
            </w:pPr>
            <w:r w:rsidRPr="00834D52">
              <w:rPr>
                <w:rFonts w:ascii="Sylfaen" w:hAnsi="Sylfaen"/>
                <w:sz w:val="24"/>
                <w:szCs w:val="24"/>
              </w:rPr>
              <w:t>Թիվ</w:t>
            </w:r>
          </w:p>
        </w:tc>
        <w:tc>
          <w:tcPr>
            <w:tcW w:w="2407" w:type="dxa"/>
            <w:tcBorders>
              <w:top w:val="single" w:sz="4" w:space="0" w:color="000000"/>
              <w:left w:val="single" w:sz="4" w:space="0" w:color="000000"/>
              <w:bottom w:val="single" w:sz="4" w:space="0" w:color="000000"/>
              <w:right w:val="single" w:sz="4" w:space="0" w:color="000000"/>
            </w:tcBorders>
          </w:tcPr>
          <w:p w14:paraId="291622AF"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Ներկայացման ամսաթիվը</w:t>
            </w:r>
          </w:p>
        </w:tc>
        <w:tc>
          <w:tcPr>
            <w:tcW w:w="2410" w:type="dxa"/>
            <w:tcBorders>
              <w:top w:val="single" w:sz="4" w:space="0" w:color="000000"/>
              <w:left w:val="single" w:sz="4" w:space="0" w:color="000000"/>
              <w:bottom w:val="single" w:sz="4" w:space="0" w:color="000000"/>
              <w:right w:val="single" w:sz="4" w:space="0" w:color="000000"/>
            </w:tcBorders>
          </w:tcPr>
          <w:p w14:paraId="513D5B5B"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Փոփոխության հաստատման ամսաթիվը</w:t>
            </w:r>
          </w:p>
        </w:tc>
        <w:tc>
          <w:tcPr>
            <w:tcW w:w="3198" w:type="dxa"/>
            <w:tcBorders>
              <w:top w:val="single" w:sz="4" w:space="0" w:color="000000"/>
              <w:left w:val="single" w:sz="4" w:space="0" w:color="000000"/>
              <w:bottom w:val="single" w:sz="4" w:space="0" w:color="000000"/>
              <w:right w:val="single" w:sz="4" w:space="0" w:color="000000"/>
            </w:tcBorders>
          </w:tcPr>
          <w:p w14:paraId="39E68C59"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Փոփոխության տիպը (ընթացակարգի տեսակը), փոփոխության համառոտ նկարագրությունը</w:t>
            </w:r>
          </w:p>
        </w:tc>
      </w:tr>
      <w:tr w:rsidR="006F76EB" w:rsidRPr="00834D52" w14:paraId="5A88E66A"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7561ADCD" w14:textId="77777777" w:rsidR="006F76EB" w:rsidRPr="00834D52" w:rsidRDefault="006F76EB" w:rsidP="004F6D87">
            <w:pPr>
              <w:spacing w:after="120" w:line="240" w:lineRule="auto"/>
              <w:ind w:right="-8"/>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3F55884F" w14:textId="77777777" w:rsidR="006F76EB" w:rsidRPr="00834D52" w:rsidRDefault="006F76EB" w:rsidP="004F6D87">
            <w:pPr>
              <w:spacing w:after="120" w:line="240" w:lineRule="auto"/>
              <w:ind w:right="-8"/>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4F5B1BD6" w14:textId="77777777" w:rsidR="006F76EB" w:rsidRPr="00834D52" w:rsidRDefault="006F76EB" w:rsidP="004F6D87">
            <w:pPr>
              <w:spacing w:after="120" w:line="240" w:lineRule="auto"/>
              <w:ind w:right="-8"/>
              <w:rPr>
                <w:rFonts w:ascii="Sylfaen" w:hAnsi="Sylfaen"/>
                <w:sz w:val="24"/>
                <w:szCs w:val="24"/>
              </w:rPr>
            </w:pPr>
          </w:p>
        </w:tc>
        <w:tc>
          <w:tcPr>
            <w:tcW w:w="3198" w:type="dxa"/>
            <w:tcBorders>
              <w:top w:val="single" w:sz="4" w:space="0" w:color="000000"/>
              <w:left w:val="single" w:sz="4" w:space="0" w:color="000000"/>
              <w:bottom w:val="single" w:sz="4" w:space="0" w:color="000000"/>
              <w:right w:val="single" w:sz="4" w:space="0" w:color="000000"/>
            </w:tcBorders>
          </w:tcPr>
          <w:p w14:paraId="7547B21D" w14:textId="77777777" w:rsidR="006F76EB" w:rsidRPr="00834D52" w:rsidRDefault="006F76EB" w:rsidP="004F6D87">
            <w:pPr>
              <w:spacing w:after="120" w:line="240" w:lineRule="auto"/>
              <w:ind w:right="-8"/>
              <w:rPr>
                <w:rFonts w:ascii="Sylfaen" w:hAnsi="Sylfaen"/>
                <w:sz w:val="24"/>
                <w:szCs w:val="24"/>
              </w:rPr>
            </w:pPr>
          </w:p>
        </w:tc>
      </w:tr>
      <w:tr w:rsidR="006F76EB" w:rsidRPr="00834D52" w14:paraId="45513695"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50FC4F4B" w14:textId="77777777" w:rsidR="006F76EB" w:rsidRPr="00834D52" w:rsidRDefault="006F76EB" w:rsidP="004F6D87">
            <w:pPr>
              <w:spacing w:after="120" w:line="240" w:lineRule="auto"/>
              <w:ind w:right="-8"/>
              <w:rPr>
                <w:rFonts w:ascii="Sylfaen" w:eastAsia="Times New Roman" w:hAnsi="Sylfaen" w:cs="Times New Roman"/>
                <w:sz w:val="24"/>
                <w:szCs w:val="24"/>
              </w:rPr>
            </w:pPr>
            <w:r w:rsidRPr="00834D52">
              <w:rPr>
                <w:rFonts w:ascii="Sylfaen" w:hAnsi="Sylfaen"/>
                <w:sz w:val="24"/>
                <w:szCs w:val="24"/>
              </w:rPr>
              <w:t>...</w:t>
            </w:r>
          </w:p>
        </w:tc>
        <w:tc>
          <w:tcPr>
            <w:tcW w:w="2407" w:type="dxa"/>
            <w:tcBorders>
              <w:top w:val="single" w:sz="4" w:space="0" w:color="000000"/>
              <w:left w:val="single" w:sz="4" w:space="0" w:color="000000"/>
              <w:bottom w:val="single" w:sz="4" w:space="0" w:color="000000"/>
              <w:right w:val="single" w:sz="4" w:space="0" w:color="000000"/>
            </w:tcBorders>
          </w:tcPr>
          <w:p w14:paraId="7A7AC177" w14:textId="77777777" w:rsidR="006F76EB" w:rsidRPr="00834D52" w:rsidRDefault="006F76EB" w:rsidP="004F6D87">
            <w:pPr>
              <w:spacing w:after="120" w:line="240" w:lineRule="auto"/>
              <w:ind w:right="-8"/>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25CEE89" w14:textId="77777777" w:rsidR="006F76EB" w:rsidRPr="00834D52" w:rsidRDefault="006F76EB" w:rsidP="004F6D87">
            <w:pPr>
              <w:spacing w:after="120" w:line="240" w:lineRule="auto"/>
              <w:ind w:right="-8"/>
              <w:rPr>
                <w:rFonts w:ascii="Sylfaen" w:hAnsi="Sylfaen"/>
                <w:sz w:val="24"/>
                <w:szCs w:val="24"/>
              </w:rPr>
            </w:pPr>
          </w:p>
        </w:tc>
        <w:tc>
          <w:tcPr>
            <w:tcW w:w="3198" w:type="dxa"/>
            <w:tcBorders>
              <w:top w:val="single" w:sz="4" w:space="0" w:color="000000"/>
              <w:left w:val="single" w:sz="4" w:space="0" w:color="000000"/>
              <w:bottom w:val="single" w:sz="4" w:space="0" w:color="000000"/>
              <w:right w:val="single" w:sz="4" w:space="0" w:color="000000"/>
            </w:tcBorders>
          </w:tcPr>
          <w:p w14:paraId="5237E4CC" w14:textId="77777777" w:rsidR="006F76EB" w:rsidRPr="00834D52" w:rsidRDefault="006F76EB" w:rsidP="004F6D87">
            <w:pPr>
              <w:spacing w:after="120" w:line="240" w:lineRule="auto"/>
              <w:ind w:right="-8"/>
              <w:rPr>
                <w:rFonts w:ascii="Sylfaen" w:hAnsi="Sylfaen"/>
                <w:sz w:val="24"/>
                <w:szCs w:val="24"/>
              </w:rPr>
            </w:pPr>
          </w:p>
        </w:tc>
      </w:tr>
    </w:tbl>
    <w:p w14:paraId="57A7CF1D" w14:textId="32B9E66C"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ստոր</w:t>
      </w:r>
      <w:r w:rsidR="00C54D75">
        <w:rPr>
          <w:rFonts w:ascii="Sylfaen" w:hAnsi="Sylfaen"/>
          <w:sz w:val="24"/>
          <w:szCs w:val="24"/>
        </w:rPr>
        <w:t>և</w:t>
      </w:r>
      <w:r w:rsidRPr="00834D52">
        <w:rPr>
          <w:rFonts w:ascii="Sylfaen" w:hAnsi="Sylfaen"/>
          <w:sz w:val="24"/>
          <w:szCs w:val="24"/>
        </w:rPr>
        <w:t xml:space="preserve"> բերված համապատասխան տիպի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դեղապատրաստուկների այլ տիպերին, չեն լրացվում:</w:t>
      </w:r>
    </w:p>
    <w:p w14:paraId="5BC17555" w14:textId="0F74C286"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16768" behindDoc="0" locked="0" layoutInCell="1" allowOverlap="1" wp14:anchorId="00A5D471" wp14:editId="673C4D77">
                <wp:simplePos x="0" y="0"/>
                <wp:positionH relativeFrom="column">
                  <wp:posOffset>1461770</wp:posOffset>
                </wp:positionH>
                <wp:positionV relativeFrom="paragraph">
                  <wp:posOffset>19685</wp:posOffset>
                </wp:positionV>
                <wp:extent cx="161925" cy="152400"/>
                <wp:effectExtent l="9525" t="6985" r="9525" b="12065"/>
                <wp:wrapNone/>
                <wp:docPr id="20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D1347" id="Rectangle 62" o:spid="_x0000_s1026" style="position:absolute;margin-left:115.1pt;margin-top:1.55pt;width:12.75pt;height:1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"/>
            </w:pict>
          </mc:Fallback>
        </mc:AlternateContent>
      </w:r>
      <w:r w:rsidR="006F76EB" w:rsidRPr="00834D52">
        <w:rPr>
          <w:rFonts w:ascii="Sylfaen" w:hAnsi="Sylfaen"/>
          <w:sz w:val="24"/>
          <w:szCs w:val="24"/>
        </w:rPr>
        <w:t>ՕՐԻԳԻՆԱԼ ԴԵՂԱՊԱՏՐԱՍՏՈՒԿ</w:t>
      </w:r>
    </w:p>
    <w:tbl>
      <w:tblPr>
        <w:tblStyle w:val="TableGrid"/>
        <w:tblW w:w="0" w:type="auto"/>
        <w:tblLook w:val="04A0" w:firstRow="1" w:lastRow="0" w:firstColumn="1" w:lastColumn="0" w:noHBand="0" w:noVBand="1"/>
      </w:tblPr>
      <w:tblGrid>
        <w:gridCol w:w="4503"/>
        <w:gridCol w:w="4536"/>
      </w:tblGrid>
      <w:tr w:rsidR="006F76EB" w:rsidRPr="00834D52" w14:paraId="04C5F1AB" w14:textId="77777777" w:rsidTr="00F71229">
        <w:tc>
          <w:tcPr>
            <w:tcW w:w="4503" w:type="dxa"/>
          </w:tcPr>
          <w:p w14:paraId="27BF2A01" w14:textId="406043D4" w:rsidR="006F76EB" w:rsidRPr="00834D52" w:rsidRDefault="0037154C" w:rsidP="00EB2655">
            <w:pPr>
              <w:spacing w:after="120"/>
              <w:ind w:right="1420" w:firstLine="426"/>
              <w:rPr>
                <w:rFonts w:ascii="Sylfaen" w:eastAsia="Times New Roman" w:hAnsi="Sylfaen" w:cs="Times New Roman"/>
                <w:sz w:val="24"/>
                <w:szCs w:val="24"/>
              </w:rPr>
            </w:pPr>
            <w:r>
              <w:rPr>
                <w:rFonts w:ascii="Sylfaen" w:eastAsia="Times New Roman" w:hAnsi="Sylfaen" w:cs="Times New Roman"/>
                <w:noProof/>
                <w:sz w:val="24"/>
                <w:szCs w:val="24"/>
              </w:rPr>
              <w:lastRenderedPageBreak/>
              <mc:AlternateContent>
                <mc:Choice Requires="wps">
                  <w:drawing>
                    <wp:anchor distT="0" distB="0" distL="114300" distR="114300" simplePos="0" relativeHeight="251617792" behindDoc="0" locked="0" layoutInCell="1" allowOverlap="1" wp14:anchorId="74D3B403" wp14:editId="40A62182">
                      <wp:simplePos x="0" y="0"/>
                      <wp:positionH relativeFrom="column">
                        <wp:posOffset>-15875</wp:posOffset>
                      </wp:positionH>
                      <wp:positionV relativeFrom="paragraph">
                        <wp:posOffset>61595</wp:posOffset>
                      </wp:positionV>
                      <wp:extent cx="161925" cy="152400"/>
                      <wp:effectExtent l="8255" t="6350" r="10795" b="12700"/>
                      <wp:wrapNone/>
                      <wp:docPr id="20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8BE42" id="Rectangle 63" o:spid="_x0000_s1026" style="position:absolute;margin-left:-1.25pt;margin-top:4.85pt;width:12.75pt;height:1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"/>
                  </w:pict>
                </mc:Fallback>
              </mc:AlternateContent>
            </w:r>
            <w:r w:rsidR="006F76EB" w:rsidRPr="00834D52">
              <w:rPr>
                <w:rFonts w:ascii="Sylfaen" w:hAnsi="Sylfaen"/>
                <w:sz w:val="24"/>
                <w:szCs w:val="24"/>
              </w:rPr>
              <w:t>կենսաբանական դեղապատրաստուկ</w:t>
            </w:r>
          </w:p>
        </w:tc>
        <w:tc>
          <w:tcPr>
            <w:tcW w:w="4536" w:type="dxa"/>
          </w:tcPr>
          <w:p w14:paraId="6BBB1FF5" w14:textId="093ADEA6" w:rsidR="006F76EB" w:rsidRPr="00834D52" w:rsidRDefault="0037154C" w:rsidP="00EB2655">
            <w:pPr>
              <w:spacing w:after="120"/>
              <w:ind w:left="34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18816" behindDoc="0" locked="0" layoutInCell="1" allowOverlap="1" wp14:anchorId="78ADC36F" wp14:editId="0C433452">
                      <wp:simplePos x="0" y="0"/>
                      <wp:positionH relativeFrom="column">
                        <wp:posOffset>-24130</wp:posOffset>
                      </wp:positionH>
                      <wp:positionV relativeFrom="paragraph">
                        <wp:posOffset>61595</wp:posOffset>
                      </wp:positionV>
                      <wp:extent cx="161925" cy="152400"/>
                      <wp:effectExtent l="11430" t="6350" r="7620" b="12700"/>
                      <wp:wrapNone/>
                      <wp:docPr id="20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93CBE" id="Rectangle 64" o:spid="_x0000_s1026" style="position:absolute;margin-left:-1.9pt;margin-top:4.85pt;width:12.75pt;height:1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"/>
                  </w:pict>
                </mc:Fallback>
              </mc:AlternateContent>
            </w:r>
            <w:r w:rsidR="006F76EB" w:rsidRPr="00834D52">
              <w:rPr>
                <w:rFonts w:ascii="Sylfaen" w:hAnsi="Sylfaen"/>
                <w:sz w:val="24"/>
                <w:szCs w:val="24"/>
              </w:rPr>
              <w:t>այլ դեղապատրաստուկ</w:t>
            </w:r>
          </w:p>
        </w:tc>
      </w:tr>
      <w:tr w:rsidR="006F76EB" w:rsidRPr="00834D52" w14:paraId="457E3969" w14:textId="77777777" w:rsidTr="00F71229">
        <w:tc>
          <w:tcPr>
            <w:tcW w:w="9039" w:type="dxa"/>
            <w:gridSpan w:val="2"/>
          </w:tcPr>
          <w:p w14:paraId="38D4E3BF" w14:textId="2186EA08" w:rsidR="006F76EB" w:rsidRPr="00834D52" w:rsidRDefault="0037154C" w:rsidP="00EB2655">
            <w:pPr>
              <w:spacing w:after="120"/>
              <w:ind w:right="-10" w:firstLine="42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19840" behindDoc="0" locked="0" layoutInCell="1" allowOverlap="1" wp14:anchorId="3D2F77BB" wp14:editId="5CCC37D6">
                      <wp:simplePos x="0" y="0"/>
                      <wp:positionH relativeFrom="column">
                        <wp:posOffset>-25400</wp:posOffset>
                      </wp:positionH>
                      <wp:positionV relativeFrom="paragraph">
                        <wp:posOffset>46355</wp:posOffset>
                      </wp:positionV>
                      <wp:extent cx="161925" cy="152400"/>
                      <wp:effectExtent l="8255" t="8255" r="10795" b="10795"/>
                      <wp:wrapNone/>
                      <wp:docPr id="20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9359E" id="Rectangle 65" o:spid="_x0000_s1026" style="position:absolute;margin-left:-2pt;margin-top:3.65pt;width:12.75pt;height:1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"/>
                  </w:pict>
                </mc:Fallback>
              </mc:AlternateContent>
            </w:r>
            <w:r w:rsidR="006F76EB" w:rsidRPr="00834D52">
              <w:rPr>
                <w:rFonts w:ascii="Sylfaen" w:hAnsi="Sylfaen"/>
                <w:sz w:val="24"/>
                <w:szCs w:val="24"/>
              </w:rPr>
              <w:t>նոր ակտիվ դեղաբանական բաղադրամաս (այսուհետ՝ ԱԴԲ)</w:t>
            </w:r>
          </w:p>
          <w:p w14:paraId="5A31D9D2" w14:textId="77777777" w:rsidR="006F76EB" w:rsidRPr="00834D52" w:rsidRDefault="006F76EB" w:rsidP="00EB2655">
            <w:pPr>
              <w:spacing w:after="120"/>
              <w:ind w:right="-10"/>
              <w:jc w:val="both"/>
              <w:rPr>
                <w:rFonts w:ascii="Sylfaen" w:eastAsia="Times New Roman" w:hAnsi="Sylfaen" w:cs="Times New Roman"/>
                <w:sz w:val="24"/>
                <w:szCs w:val="24"/>
              </w:rPr>
            </w:pPr>
            <w:r w:rsidRPr="00834D52">
              <w:rPr>
                <w:rFonts w:ascii="Sylfaen" w:hAnsi="Sylfaen"/>
                <w:sz w:val="24"/>
                <w:szCs w:val="24"/>
              </w:rPr>
              <w:t xml:space="preserve">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բացակայում են ԱԴԲ-ի մասին տեղեկությունները: </w:t>
            </w:r>
          </w:p>
        </w:tc>
      </w:tr>
      <w:tr w:rsidR="006F76EB" w:rsidRPr="00834D52" w14:paraId="312538B9" w14:textId="77777777" w:rsidTr="00F71229">
        <w:tc>
          <w:tcPr>
            <w:tcW w:w="9039" w:type="dxa"/>
            <w:gridSpan w:val="2"/>
          </w:tcPr>
          <w:p w14:paraId="166D4F1C" w14:textId="194E96E9" w:rsidR="006F76EB" w:rsidRPr="00834D52" w:rsidRDefault="0037154C" w:rsidP="00EB2655">
            <w:pPr>
              <w:spacing w:after="120"/>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0864" behindDoc="0" locked="0" layoutInCell="1" allowOverlap="1" wp14:anchorId="611104E4" wp14:editId="3E608EAF">
                      <wp:simplePos x="0" y="0"/>
                      <wp:positionH relativeFrom="column">
                        <wp:posOffset>-25400</wp:posOffset>
                      </wp:positionH>
                      <wp:positionV relativeFrom="paragraph">
                        <wp:posOffset>41275</wp:posOffset>
                      </wp:positionV>
                      <wp:extent cx="161925" cy="152400"/>
                      <wp:effectExtent l="8255" t="12700" r="10795" b="6350"/>
                      <wp:wrapNone/>
                      <wp:docPr id="20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EA224" id="Rectangle 66" o:spid="_x0000_s1026" style="position:absolute;margin-left:-2pt;margin-top:3.25pt;width:12.75pt;height:1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"/>
                  </w:pict>
                </mc:Fallback>
              </mc:AlternateContent>
            </w:r>
            <w:r w:rsidR="005F6A31">
              <w:rPr>
                <w:rFonts w:ascii="Sylfaen" w:hAnsi="Sylfaen"/>
                <w:sz w:val="24"/>
                <w:szCs w:val="24"/>
              </w:rPr>
              <w:t>հայտնի</w:t>
            </w:r>
            <w:r w:rsidR="006F76EB" w:rsidRPr="00834D52">
              <w:rPr>
                <w:rFonts w:ascii="Sylfaen" w:hAnsi="Sylfaen"/>
                <w:sz w:val="24"/>
                <w:szCs w:val="24"/>
              </w:rPr>
              <w:t xml:space="preserve"> ԱԴԲ</w:t>
            </w:r>
          </w:p>
          <w:p w14:paraId="7A80901A" w14:textId="77777777" w:rsidR="006F76EB" w:rsidRPr="00834D52" w:rsidRDefault="006F76EB" w:rsidP="00EB2655">
            <w:pPr>
              <w:spacing w:after="120"/>
              <w:ind w:right="-8"/>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առկա են ԱԴԲ-ի մասին տեղեկություններ:</w:t>
            </w:r>
          </w:p>
        </w:tc>
      </w:tr>
    </w:tbl>
    <w:p w14:paraId="7BFDCDAC" w14:textId="77777777" w:rsidR="006F76EB" w:rsidRPr="00834D52" w:rsidRDefault="006F76EB" w:rsidP="00A64FAB">
      <w:pPr>
        <w:spacing w:after="160" w:line="480" w:lineRule="auto"/>
        <w:ind w:right="-6"/>
        <w:jc w:val="center"/>
        <w:rPr>
          <w:rFonts w:ascii="Sylfaen" w:hAnsi="Sylfaen"/>
          <w:sz w:val="24"/>
          <w:szCs w:val="24"/>
        </w:rPr>
      </w:pPr>
    </w:p>
    <w:p w14:paraId="52C82FBA" w14:textId="7241A377"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1888" behindDoc="0" locked="0" layoutInCell="1" allowOverlap="1" wp14:anchorId="64F5955D" wp14:editId="1F754E18">
                <wp:simplePos x="0" y="0"/>
                <wp:positionH relativeFrom="column">
                  <wp:posOffset>1136650</wp:posOffset>
                </wp:positionH>
                <wp:positionV relativeFrom="paragraph">
                  <wp:posOffset>31750</wp:posOffset>
                </wp:positionV>
                <wp:extent cx="161925" cy="152400"/>
                <wp:effectExtent l="8255" t="11430" r="10795" b="7620"/>
                <wp:wrapNone/>
                <wp:docPr id="20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1C9C3" id="Rectangle 67" o:spid="_x0000_s1026" style="position:absolute;margin-left:89.5pt;margin-top:2.5pt;width:12.75pt;height:1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"/>
            </w:pict>
          </mc:Fallback>
        </mc:AlternateContent>
      </w:r>
      <w:r w:rsidR="006F76EB" w:rsidRPr="00834D52">
        <w:rPr>
          <w:rFonts w:ascii="Sylfaen" w:hAnsi="Sylfaen"/>
          <w:sz w:val="24"/>
          <w:szCs w:val="24"/>
        </w:rPr>
        <w:t>ՎԵՐԱՐՏԱԴՐՎԱԾ ԴԵՂԱՊԱՏՐԱՍՏՈՒԿ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48"/>
      </w:tblGrid>
      <w:tr w:rsidR="006F76EB" w:rsidRPr="00834D52" w14:paraId="41F612A1" w14:textId="77777777" w:rsidTr="00F71229">
        <w:tc>
          <w:tcPr>
            <w:tcW w:w="4643" w:type="dxa"/>
          </w:tcPr>
          <w:p w14:paraId="64DBD04E" w14:textId="45B1D52C" w:rsidR="006F76EB" w:rsidRPr="00834D52" w:rsidRDefault="0037154C" w:rsidP="00F71229">
            <w:pPr>
              <w:spacing w:after="160" w:line="360" w:lineRule="auto"/>
              <w:ind w:right="-8"/>
              <w:jc w:val="center"/>
              <w:rPr>
                <w:rFonts w:ascii="Sylfaen" w:hAnsi="Sylfaen"/>
                <w:sz w:val="24"/>
                <w:szCs w:val="24"/>
                <w:lang w:val="ru-RU"/>
              </w:rPr>
            </w:pPr>
            <w:r>
              <w:rPr>
                <w:rFonts w:ascii="Sylfaen" w:eastAsia="Wingdings 2" w:hAnsi="Sylfaen" w:cs="Wingdings 2"/>
                <w:noProof/>
                <w:sz w:val="24"/>
                <w:szCs w:val="24"/>
              </w:rPr>
              <mc:AlternateContent>
                <mc:Choice Requires="wps">
                  <w:drawing>
                    <wp:anchor distT="0" distB="0" distL="114300" distR="114300" simplePos="0" relativeHeight="251622912" behindDoc="0" locked="0" layoutInCell="1" allowOverlap="1" wp14:anchorId="3C6FF843" wp14:editId="0B6BE80C">
                      <wp:simplePos x="0" y="0"/>
                      <wp:positionH relativeFrom="column">
                        <wp:posOffset>661670</wp:posOffset>
                      </wp:positionH>
                      <wp:positionV relativeFrom="paragraph">
                        <wp:posOffset>29845</wp:posOffset>
                      </wp:positionV>
                      <wp:extent cx="161925" cy="152400"/>
                      <wp:effectExtent l="9525" t="12065" r="9525" b="6985"/>
                      <wp:wrapNone/>
                      <wp:docPr id="20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86F95" id="Rectangle 69" o:spid="_x0000_s1026" style="position:absolute;margin-left:52.1pt;margin-top:2.35pt;width:12.75pt;height:1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"/>
                  </w:pict>
                </mc:Fallback>
              </mc:AlternateContent>
            </w:r>
            <w:r w:rsidR="006F76EB" w:rsidRPr="00834D52">
              <w:rPr>
                <w:rFonts w:ascii="Sylfaen" w:hAnsi="Sylfaen"/>
                <w:sz w:val="24"/>
                <w:szCs w:val="24"/>
              </w:rPr>
              <w:t>միաբաղադրիչ</w:t>
            </w:r>
          </w:p>
        </w:tc>
        <w:tc>
          <w:tcPr>
            <w:tcW w:w="4643" w:type="dxa"/>
          </w:tcPr>
          <w:p w14:paraId="5FD32317" w14:textId="5CE57E71" w:rsidR="006F76EB" w:rsidRPr="00834D52" w:rsidRDefault="0037154C" w:rsidP="00F71229">
            <w:pPr>
              <w:spacing w:after="160" w:line="360" w:lineRule="auto"/>
              <w:ind w:right="-8"/>
              <w:jc w:val="center"/>
              <w:rPr>
                <w:rFonts w:ascii="Sylfaen" w:hAnsi="Sylfaen"/>
                <w:sz w:val="24"/>
                <w:szCs w:val="24"/>
                <w:lang w:val="ru-RU"/>
              </w:rPr>
            </w:pPr>
            <w:r>
              <w:rPr>
                <w:rFonts w:ascii="Sylfaen" w:eastAsia="Times New Roman" w:hAnsi="Sylfaen" w:cs="Times New Roman"/>
                <w:noProof/>
                <w:sz w:val="24"/>
                <w:szCs w:val="24"/>
              </w:rPr>
              <mc:AlternateContent>
                <mc:Choice Requires="wps">
                  <w:drawing>
                    <wp:anchor distT="0" distB="0" distL="114300" distR="114300" simplePos="0" relativeHeight="251623936" behindDoc="0" locked="0" layoutInCell="1" allowOverlap="1" wp14:anchorId="2E93F643" wp14:editId="3DFE3935">
                      <wp:simplePos x="0" y="0"/>
                      <wp:positionH relativeFrom="column">
                        <wp:posOffset>531495</wp:posOffset>
                      </wp:positionH>
                      <wp:positionV relativeFrom="paragraph">
                        <wp:posOffset>29845</wp:posOffset>
                      </wp:positionV>
                      <wp:extent cx="161925" cy="152400"/>
                      <wp:effectExtent l="8255" t="12065" r="10795" b="6985"/>
                      <wp:wrapNone/>
                      <wp:docPr id="20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1D472" id="Rectangle 68" o:spid="_x0000_s1026" style="position:absolute;margin-left:41.85pt;margin-top:2.35pt;width:12.75pt;height:1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"/>
                  </w:pict>
                </mc:Fallback>
              </mc:AlternateContent>
            </w:r>
            <w:r w:rsidR="006F76EB" w:rsidRPr="00834D52">
              <w:rPr>
                <w:rFonts w:ascii="Sylfaen" w:hAnsi="Sylfaen"/>
                <w:sz w:val="24"/>
                <w:szCs w:val="24"/>
              </w:rPr>
              <w:t>բազմաբաղադրիչ</w:t>
            </w:r>
          </w:p>
        </w:tc>
      </w:tr>
    </w:tbl>
    <w:p w14:paraId="18358C33" w14:textId="77777777" w:rsidR="006F76EB" w:rsidRPr="00834D52" w:rsidRDefault="006F76EB" w:rsidP="006F76EB">
      <w:pPr>
        <w:spacing w:after="160" w:line="360" w:lineRule="auto"/>
        <w:ind w:right="-8"/>
        <w:rPr>
          <w:rFonts w:ascii="Sylfaen" w:hAnsi="Sylfae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5498"/>
        <w:gridCol w:w="4114"/>
      </w:tblGrid>
      <w:tr w:rsidR="006F76EB" w:rsidRPr="00834D52" w14:paraId="7418E558" w14:textId="77777777" w:rsidTr="00F71229">
        <w:trPr>
          <w:jc w:val="center"/>
        </w:trPr>
        <w:tc>
          <w:tcPr>
            <w:tcW w:w="9612" w:type="dxa"/>
            <w:gridSpan w:val="2"/>
            <w:tcBorders>
              <w:top w:val="single" w:sz="4" w:space="0" w:color="000000"/>
              <w:left w:val="single" w:sz="4" w:space="0" w:color="000000"/>
              <w:bottom w:val="single" w:sz="4" w:space="0" w:color="000000"/>
              <w:right w:val="single" w:sz="4" w:space="0" w:color="000000"/>
            </w:tcBorders>
          </w:tcPr>
          <w:p w14:paraId="59502E9B"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0B2177E5"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A235687"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 xml:space="preserve">ը </w:t>
            </w:r>
          </w:p>
        </w:tc>
        <w:tc>
          <w:tcPr>
            <w:tcW w:w="4114" w:type="dxa"/>
            <w:tcBorders>
              <w:top w:val="single" w:sz="4" w:space="0" w:color="000000"/>
              <w:left w:val="single" w:sz="4" w:space="0" w:color="000000"/>
              <w:bottom w:val="single" w:sz="4" w:space="0" w:color="000000"/>
              <w:right w:val="single" w:sz="4" w:space="0" w:color="000000"/>
            </w:tcBorders>
          </w:tcPr>
          <w:p w14:paraId="38BB7919"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495459A"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1E014E6E"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332A9B51"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C9CD200" w14:textId="77777777" w:rsidTr="00F71229">
        <w:trPr>
          <w:jc w:val="center"/>
        </w:trPr>
        <w:tc>
          <w:tcPr>
            <w:tcW w:w="9612" w:type="dxa"/>
            <w:gridSpan w:val="2"/>
            <w:tcBorders>
              <w:top w:val="single" w:sz="4" w:space="0" w:color="000000"/>
              <w:left w:val="single" w:sz="4" w:space="0" w:color="000000"/>
              <w:bottom w:val="single" w:sz="4" w:space="0" w:color="000000"/>
              <w:right w:val="single" w:sz="4" w:space="0" w:color="000000"/>
            </w:tcBorders>
          </w:tcPr>
          <w:p w14:paraId="6D9BC9E2"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դեղապատրաստուկը, որն օգտագործվել է համարժեքության հետազոտություններում (եթե այդպիսիք անցկացվել են)՝</w:t>
            </w:r>
          </w:p>
        </w:tc>
      </w:tr>
      <w:tr w:rsidR="006F76EB" w:rsidRPr="00834D52" w14:paraId="2E403D70"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730F6E1"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2C7C0E60" w14:textId="77777777" w:rsidR="006F76EB" w:rsidRPr="00834D52" w:rsidRDefault="006F76EB" w:rsidP="00A64FAB">
            <w:pPr>
              <w:spacing w:after="120" w:line="240" w:lineRule="auto"/>
              <w:ind w:right="-6"/>
              <w:rPr>
                <w:rFonts w:ascii="Sylfaen" w:hAnsi="Sylfaen"/>
                <w:sz w:val="24"/>
                <w:szCs w:val="24"/>
              </w:rPr>
            </w:pPr>
          </w:p>
        </w:tc>
      </w:tr>
      <w:tr w:rsidR="006F76EB" w:rsidRPr="00834D52" w14:paraId="1639D7AB"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181ACE1"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w:t>
            </w:r>
            <w:r w:rsidRPr="00834D52">
              <w:rPr>
                <w:rFonts w:ascii="Sylfaen" w:hAnsi="Sylfaen"/>
                <w:sz w:val="24"/>
                <w:szCs w:val="24"/>
              </w:rPr>
              <w:lastRenderedPageBreak/>
              <w:t xml:space="preserve">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16D2209D" w14:textId="77777777" w:rsidR="006F76EB" w:rsidRPr="00834D52" w:rsidRDefault="006F76EB" w:rsidP="00A64FAB">
            <w:pPr>
              <w:spacing w:after="120" w:line="240" w:lineRule="auto"/>
              <w:ind w:right="-6"/>
              <w:rPr>
                <w:rFonts w:ascii="Sylfaen" w:hAnsi="Sylfaen"/>
                <w:sz w:val="24"/>
                <w:szCs w:val="24"/>
              </w:rPr>
            </w:pPr>
          </w:p>
        </w:tc>
      </w:tr>
      <w:tr w:rsidR="006F76EB" w:rsidRPr="00834D52" w14:paraId="38A9F074"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44136A2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բերել </w:t>
            </w:r>
            <w:r w:rsidR="00D0720C">
              <w:rPr>
                <w:rFonts w:ascii="Sylfaen" w:hAnsi="Sylfaen"/>
                <w:sz w:val="24"/>
                <w:szCs w:val="24"/>
              </w:rPr>
              <w:t>ռեֆերենտ</w:t>
            </w:r>
            <w:r w:rsidRPr="00834D52">
              <w:rPr>
                <w:rFonts w:ascii="Sylfaen" w:hAnsi="Sylfaen"/>
                <w:sz w:val="24"/>
                <w:szCs w:val="24"/>
              </w:rPr>
              <w:t xml:space="preserve"> պատրաստուկի օգտագործման հիմնավորումներ օրիգինալ պատրաստուկից դրա տարբերության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37DD1CE3" w14:textId="77777777" w:rsidR="006F76EB" w:rsidRPr="00834D52" w:rsidRDefault="006F76EB" w:rsidP="00A64FAB">
            <w:pPr>
              <w:spacing w:after="120" w:line="240" w:lineRule="auto"/>
              <w:ind w:right="-6"/>
              <w:rPr>
                <w:rFonts w:ascii="Sylfaen" w:hAnsi="Sylfaen"/>
                <w:sz w:val="24"/>
                <w:szCs w:val="24"/>
              </w:rPr>
            </w:pPr>
          </w:p>
        </w:tc>
      </w:tr>
      <w:tr w:rsidR="006F76EB" w:rsidRPr="00834D52" w14:paraId="7DFE492A"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6A7A709F"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վերաբերյալ Դեղամիջոցների հարցերով փորձագիտական կոմիտեի առաջարկությունների առկայությունը</w:t>
            </w:r>
          </w:p>
        </w:tc>
        <w:tc>
          <w:tcPr>
            <w:tcW w:w="4114" w:type="dxa"/>
            <w:tcBorders>
              <w:top w:val="single" w:sz="4" w:space="0" w:color="000000"/>
              <w:left w:val="single" w:sz="4" w:space="0" w:color="000000"/>
              <w:bottom w:val="single" w:sz="4" w:space="0" w:color="000000"/>
              <w:right w:val="single" w:sz="4" w:space="0" w:color="000000"/>
            </w:tcBorders>
          </w:tcPr>
          <w:p w14:paraId="763F85D6" w14:textId="77777777" w:rsidR="006F76EB" w:rsidRPr="00834D52" w:rsidRDefault="006F76EB" w:rsidP="00A64FAB">
            <w:pPr>
              <w:spacing w:after="120" w:line="240" w:lineRule="auto"/>
              <w:ind w:right="-6"/>
              <w:rPr>
                <w:rFonts w:ascii="Sylfaen" w:hAnsi="Sylfaen"/>
                <w:sz w:val="24"/>
                <w:szCs w:val="24"/>
              </w:rPr>
            </w:pPr>
          </w:p>
        </w:tc>
      </w:tr>
    </w:tbl>
    <w:p w14:paraId="1F49DC2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Ծանոթագրություն. Բաժինն անհրաժեշտ է լրացնել յուրաքանչյուր դեղապատրաստուկի համար, որն օգտագործվել է համարժեքության հետազոտություններում:</w:t>
      </w:r>
    </w:p>
    <w:p w14:paraId="6F8F7C70" w14:textId="77777777" w:rsidR="006F76EB" w:rsidRPr="00834D52" w:rsidRDefault="006F76EB" w:rsidP="006F76EB">
      <w:pPr>
        <w:spacing w:after="160" w:line="360" w:lineRule="auto"/>
        <w:rPr>
          <w:rFonts w:ascii="Sylfaen" w:hAnsi="Sylfaen"/>
          <w:sz w:val="24"/>
          <w:szCs w:val="24"/>
        </w:rPr>
      </w:pPr>
      <w:r w:rsidRPr="00834D52">
        <w:rPr>
          <w:rFonts w:ascii="Sylfaen" w:hAnsi="Sylfaen"/>
          <w:sz w:val="24"/>
          <w:szCs w:val="24"/>
        </w:rPr>
        <w:br w:type="page"/>
      </w:r>
    </w:p>
    <w:p w14:paraId="6EA5BE55" w14:textId="4811933B" w:rsidR="006F76EB" w:rsidRPr="00834D52" w:rsidRDefault="0037154C" w:rsidP="006F76EB">
      <w:pPr>
        <w:spacing w:after="160" w:line="360" w:lineRule="auto"/>
        <w:ind w:right="-6"/>
        <w:jc w:val="center"/>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624960" behindDoc="0" locked="0" layoutInCell="1" allowOverlap="1" wp14:anchorId="7D5B2C99" wp14:editId="07CFC051">
                <wp:simplePos x="0" y="0"/>
                <wp:positionH relativeFrom="column">
                  <wp:posOffset>622300</wp:posOffset>
                </wp:positionH>
                <wp:positionV relativeFrom="paragraph">
                  <wp:posOffset>9525</wp:posOffset>
                </wp:positionV>
                <wp:extent cx="161925" cy="152400"/>
                <wp:effectExtent l="8255" t="5080" r="10795" b="13970"/>
                <wp:wrapNone/>
                <wp:docPr id="19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4DC2" id="Rectangle 70" o:spid="_x0000_s1026" style="position:absolute;margin-left:49pt;margin-top:.75pt;width:12.75pt;height:1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"/>
            </w:pict>
          </mc:Fallback>
        </mc:AlternateContent>
      </w:r>
      <w:r w:rsidR="006F76EB" w:rsidRPr="00834D52">
        <w:rPr>
          <w:rFonts w:ascii="Sylfaen" w:hAnsi="Sylfaen"/>
          <w:sz w:val="24"/>
          <w:szCs w:val="24"/>
        </w:rPr>
        <w:t>ԿԵՆՍԱՆՄԱՆ ԴԵՂԱՊԱՏՐԱՍՏՈՒԿ (ԿԵՆՍԱՆՄԱՆԱԿ)</w:t>
      </w:r>
    </w:p>
    <w:p w14:paraId="6783C793"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9903" w:type="dxa"/>
        <w:jc w:val="center"/>
        <w:tblLayout w:type="fixed"/>
        <w:tblCellMar>
          <w:left w:w="0" w:type="dxa"/>
          <w:right w:w="0" w:type="dxa"/>
        </w:tblCellMar>
        <w:tblLook w:val="01E0" w:firstRow="1" w:lastRow="1" w:firstColumn="1" w:lastColumn="1" w:noHBand="0" w:noVBand="0"/>
      </w:tblPr>
      <w:tblGrid>
        <w:gridCol w:w="5147"/>
        <w:gridCol w:w="4756"/>
      </w:tblGrid>
      <w:tr w:rsidR="006F76EB" w:rsidRPr="00834D52" w14:paraId="46A0A911"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458C469E"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756" w:type="dxa"/>
            <w:tcBorders>
              <w:top w:val="single" w:sz="4" w:space="0" w:color="000000"/>
              <w:left w:val="single" w:sz="4" w:space="0" w:color="000000"/>
              <w:bottom w:val="single" w:sz="4" w:space="0" w:color="000000"/>
              <w:right w:val="single" w:sz="4" w:space="0" w:color="000000"/>
            </w:tcBorders>
          </w:tcPr>
          <w:p w14:paraId="317DEAAC"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D5E7179"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1C82D030"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756" w:type="dxa"/>
            <w:tcBorders>
              <w:top w:val="single" w:sz="4" w:space="0" w:color="000000"/>
              <w:left w:val="single" w:sz="4" w:space="0" w:color="000000"/>
              <w:bottom w:val="single" w:sz="4" w:space="0" w:color="000000"/>
              <w:right w:val="single" w:sz="4" w:space="0" w:color="000000"/>
            </w:tcBorders>
          </w:tcPr>
          <w:p w14:paraId="61798133" w14:textId="77777777" w:rsidR="006F76EB" w:rsidRPr="00834D52" w:rsidRDefault="006F76EB" w:rsidP="00A64FAB">
            <w:pPr>
              <w:spacing w:after="120" w:line="240" w:lineRule="auto"/>
              <w:ind w:right="-6"/>
              <w:rPr>
                <w:rFonts w:ascii="Sylfaen" w:hAnsi="Sylfaen"/>
                <w:sz w:val="24"/>
                <w:szCs w:val="24"/>
              </w:rPr>
            </w:pPr>
          </w:p>
        </w:tc>
      </w:tr>
    </w:tbl>
    <w:p w14:paraId="7B33F0AA" w14:textId="77777777" w:rsidR="006F76EB" w:rsidRPr="00834D52" w:rsidRDefault="00D0720C" w:rsidP="006F76EB">
      <w:pPr>
        <w:spacing w:after="160" w:line="360" w:lineRule="auto"/>
        <w:ind w:right="-8" w:firstLine="567"/>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w:t>
      </w:r>
    </w:p>
    <w:tbl>
      <w:tblPr>
        <w:tblW w:w="9762" w:type="dxa"/>
        <w:jc w:val="center"/>
        <w:tblLayout w:type="fixed"/>
        <w:tblCellMar>
          <w:left w:w="0" w:type="dxa"/>
          <w:right w:w="0" w:type="dxa"/>
        </w:tblCellMar>
        <w:tblLook w:val="01E0" w:firstRow="1" w:lastRow="1" w:firstColumn="1" w:lastColumn="1" w:noHBand="0" w:noVBand="0"/>
      </w:tblPr>
      <w:tblGrid>
        <w:gridCol w:w="5147"/>
        <w:gridCol w:w="4615"/>
      </w:tblGrid>
      <w:tr w:rsidR="006F76EB" w:rsidRPr="00834D52" w14:paraId="0F37E64C"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12A4B56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615" w:type="dxa"/>
            <w:tcBorders>
              <w:top w:val="single" w:sz="4" w:space="0" w:color="000000"/>
              <w:left w:val="single" w:sz="4" w:space="0" w:color="000000"/>
              <w:bottom w:val="single" w:sz="4" w:space="0" w:color="000000"/>
              <w:right w:val="single" w:sz="4" w:space="0" w:color="000000"/>
            </w:tcBorders>
          </w:tcPr>
          <w:p w14:paraId="53D0E040" w14:textId="77777777" w:rsidR="006F76EB" w:rsidRPr="00834D52" w:rsidRDefault="006F76EB" w:rsidP="00A64FAB">
            <w:pPr>
              <w:spacing w:after="120" w:line="240" w:lineRule="auto"/>
              <w:ind w:right="-6"/>
              <w:rPr>
                <w:rFonts w:ascii="Sylfaen" w:hAnsi="Sylfaen"/>
                <w:sz w:val="24"/>
                <w:szCs w:val="24"/>
              </w:rPr>
            </w:pPr>
          </w:p>
        </w:tc>
      </w:tr>
      <w:tr w:rsidR="006F76EB" w:rsidRPr="00834D52" w14:paraId="4CEFF26F"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6E8AAC6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 </w:t>
            </w:r>
          </w:p>
        </w:tc>
        <w:tc>
          <w:tcPr>
            <w:tcW w:w="4615" w:type="dxa"/>
            <w:tcBorders>
              <w:top w:val="single" w:sz="4" w:space="0" w:color="000000"/>
              <w:left w:val="single" w:sz="4" w:space="0" w:color="000000"/>
              <w:bottom w:val="single" w:sz="4" w:space="0" w:color="000000"/>
              <w:right w:val="single" w:sz="4" w:space="0" w:color="000000"/>
            </w:tcBorders>
          </w:tcPr>
          <w:p w14:paraId="5905C1FD"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70C8F35"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2C3458E7"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հարցի վերաբերյալ Դեղամիջոցների հարցերով փորձագիտական կոմիտեի առաջարկությունների առկայությունը</w:t>
            </w:r>
          </w:p>
        </w:tc>
        <w:tc>
          <w:tcPr>
            <w:tcW w:w="4615" w:type="dxa"/>
            <w:tcBorders>
              <w:top w:val="single" w:sz="4" w:space="0" w:color="000000"/>
              <w:left w:val="single" w:sz="4" w:space="0" w:color="000000"/>
              <w:bottom w:val="single" w:sz="4" w:space="0" w:color="000000"/>
              <w:right w:val="single" w:sz="4" w:space="0" w:color="000000"/>
            </w:tcBorders>
          </w:tcPr>
          <w:p w14:paraId="6F4361D1" w14:textId="77777777" w:rsidR="006F76EB" w:rsidRPr="00834D52" w:rsidRDefault="006F76EB" w:rsidP="00A64FAB">
            <w:pPr>
              <w:spacing w:after="120" w:line="240" w:lineRule="auto"/>
              <w:ind w:right="-6"/>
              <w:rPr>
                <w:rFonts w:ascii="Sylfaen" w:hAnsi="Sylfaen"/>
                <w:sz w:val="24"/>
                <w:szCs w:val="24"/>
              </w:rPr>
            </w:pPr>
          </w:p>
        </w:tc>
      </w:tr>
      <w:tr w:rsidR="006F76EB" w:rsidRPr="00834D52" w14:paraId="50BD1F72" w14:textId="77777777" w:rsidTr="00A64FAB">
        <w:trPr>
          <w:trHeight w:val="693"/>
          <w:jc w:val="center"/>
        </w:trPr>
        <w:tc>
          <w:tcPr>
            <w:tcW w:w="5147" w:type="dxa"/>
            <w:vMerge w:val="restart"/>
            <w:tcBorders>
              <w:top w:val="single" w:sz="4" w:space="0" w:color="000000"/>
              <w:left w:val="single" w:sz="4" w:space="0" w:color="000000"/>
              <w:right w:val="single" w:sz="4" w:space="0" w:color="000000"/>
            </w:tcBorders>
          </w:tcPr>
          <w:p w14:paraId="07DE9689"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դեղապատրաստուկի համեմատությամբ տարբերությունները (առկայության դեպքում)՝</w:t>
            </w:r>
          </w:p>
        </w:tc>
        <w:tc>
          <w:tcPr>
            <w:tcW w:w="4615" w:type="dxa"/>
            <w:tcBorders>
              <w:top w:val="single" w:sz="4" w:space="0" w:color="000000"/>
              <w:left w:val="single" w:sz="4" w:space="0" w:color="000000"/>
              <w:bottom w:val="single" w:sz="4" w:space="0" w:color="000000"/>
              <w:right w:val="single" w:sz="4" w:space="0" w:color="000000"/>
            </w:tcBorders>
          </w:tcPr>
          <w:p w14:paraId="0141B4AE" w14:textId="5D5D9F45"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5984" behindDoc="0" locked="0" layoutInCell="1" allowOverlap="1" wp14:anchorId="2DCAD5A1" wp14:editId="07337D61">
                      <wp:simplePos x="0" y="0"/>
                      <wp:positionH relativeFrom="column">
                        <wp:posOffset>34290</wp:posOffset>
                      </wp:positionH>
                      <wp:positionV relativeFrom="paragraph">
                        <wp:posOffset>62865</wp:posOffset>
                      </wp:positionV>
                      <wp:extent cx="161925" cy="152400"/>
                      <wp:effectExtent l="9525" t="10795" r="9525" b="8255"/>
                      <wp:wrapNone/>
                      <wp:docPr id="19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A0DF6" id="Rectangle 71" o:spid="_x0000_s1026" style="position:absolute;margin-left:2.7pt;margin-top:4.95pt;width:12.75pt;height:1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"/>
                  </w:pict>
                </mc:Fallback>
              </mc:AlternateContent>
            </w:r>
            <w:r w:rsidR="006F76EB" w:rsidRPr="00834D52">
              <w:rPr>
                <w:rFonts w:ascii="Sylfaen" w:hAnsi="Sylfaen"/>
                <w:sz w:val="24"/>
                <w:szCs w:val="24"/>
              </w:rPr>
              <w:t>ելանյութերի տարբերությունները</w:t>
            </w:r>
          </w:p>
        </w:tc>
      </w:tr>
      <w:tr w:rsidR="006F76EB" w:rsidRPr="00834D52" w14:paraId="35495ED7" w14:textId="77777777" w:rsidTr="00A64FAB">
        <w:trPr>
          <w:jc w:val="center"/>
        </w:trPr>
        <w:tc>
          <w:tcPr>
            <w:tcW w:w="5147" w:type="dxa"/>
            <w:vMerge/>
            <w:tcBorders>
              <w:left w:val="single" w:sz="4" w:space="0" w:color="000000"/>
              <w:right w:val="single" w:sz="4" w:space="0" w:color="000000"/>
            </w:tcBorders>
          </w:tcPr>
          <w:p w14:paraId="026C4703"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0EED00EE" w14:textId="64D242D9"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7008" behindDoc="0" locked="0" layoutInCell="1" allowOverlap="1" wp14:anchorId="597258A1" wp14:editId="6243F9C7">
                      <wp:simplePos x="0" y="0"/>
                      <wp:positionH relativeFrom="column">
                        <wp:posOffset>34290</wp:posOffset>
                      </wp:positionH>
                      <wp:positionV relativeFrom="paragraph">
                        <wp:posOffset>80645</wp:posOffset>
                      </wp:positionV>
                      <wp:extent cx="161925" cy="152400"/>
                      <wp:effectExtent l="9525" t="8255" r="9525" b="10795"/>
                      <wp:wrapNone/>
                      <wp:docPr id="19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090DE" id="Rectangle 72" o:spid="_x0000_s1026" style="position:absolute;margin-left:2.7pt;margin-top:6.35pt;width:12.75pt;height:1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"/>
                  </w:pict>
                </mc:Fallback>
              </mc:AlternateContent>
            </w:r>
            <w:r w:rsidR="006F76EB" w:rsidRPr="00834D52">
              <w:rPr>
                <w:rFonts w:ascii="Sylfaen" w:hAnsi="Sylfaen"/>
                <w:sz w:val="24"/>
                <w:szCs w:val="24"/>
              </w:rPr>
              <w:t>արտադրական գործընթացի տարբերությունները</w:t>
            </w:r>
          </w:p>
        </w:tc>
      </w:tr>
      <w:tr w:rsidR="006F76EB" w:rsidRPr="00834D52" w14:paraId="44D45028" w14:textId="77777777" w:rsidTr="00A64FAB">
        <w:trPr>
          <w:jc w:val="center"/>
        </w:trPr>
        <w:tc>
          <w:tcPr>
            <w:tcW w:w="5147" w:type="dxa"/>
            <w:vMerge/>
            <w:tcBorders>
              <w:left w:val="single" w:sz="4" w:space="0" w:color="000000"/>
              <w:right w:val="single" w:sz="4" w:space="0" w:color="000000"/>
            </w:tcBorders>
          </w:tcPr>
          <w:p w14:paraId="5AC8274F"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4B98ED4C" w14:textId="2BFEB006"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8032" behindDoc="0" locked="0" layoutInCell="1" allowOverlap="1" wp14:anchorId="12BEFBD9" wp14:editId="116D5FBE">
                      <wp:simplePos x="0" y="0"/>
                      <wp:positionH relativeFrom="column">
                        <wp:posOffset>24765</wp:posOffset>
                      </wp:positionH>
                      <wp:positionV relativeFrom="paragraph">
                        <wp:posOffset>88900</wp:posOffset>
                      </wp:positionV>
                      <wp:extent cx="161925" cy="152400"/>
                      <wp:effectExtent l="9525" t="5715" r="9525" b="13335"/>
                      <wp:wrapNone/>
                      <wp:docPr id="19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6758C" id="Rectangle 73" o:spid="_x0000_s1026" style="position:absolute;margin-left:1.95pt;margin-top:7pt;width:12.75pt;height:1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"/>
                  </w:pict>
                </mc:Fallback>
              </mc:AlternateContent>
            </w:r>
            <w:r w:rsidR="006F76EB" w:rsidRPr="00834D52">
              <w:rPr>
                <w:rFonts w:ascii="Sylfaen" w:hAnsi="Sylfaen"/>
                <w:sz w:val="24"/>
                <w:szCs w:val="24"/>
              </w:rPr>
              <w:t>կիրառման այլ ցուցումներ</w:t>
            </w:r>
          </w:p>
        </w:tc>
      </w:tr>
      <w:tr w:rsidR="006F76EB" w:rsidRPr="00834D52" w14:paraId="219B72D1" w14:textId="77777777" w:rsidTr="00A64FAB">
        <w:trPr>
          <w:jc w:val="center"/>
        </w:trPr>
        <w:tc>
          <w:tcPr>
            <w:tcW w:w="5147" w:type="dxa"/>
            <w:vMerge/>
            <w:tcBorders>
              <w:left w:val="single" w:sz="4" w:space="0" w:color="000000"/>
              <w:right w:val="single" w:sz="4" w:space="0" w:color="000000"/>
            </w:tcBorders>
          </w:tcPr>
          <w:p w14:paraId="2013D651"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3411955A" w14:textId="31AFAB5C"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9056" behindDoc="0" locked="0" layoutInCell="1" allowOverlap="1" wp14:anchorId="43D061C3" wp14:editId="5D0C0885">
                      <wp:simplePos x="0" y="0"/>
                      <wp:positionH relativeFrom="column">
                        <wp:posOffset>34290</wp:posOffset>
                      </wp:positionH>
                      <wp:positionV relativeFrom="paragraph">
                        <wp:posOffset>59055</wp:posOffset>
                      </wp:positionV>
                      <wp:extent cx="161925" cy="152400"/>
                      <wp:effectExtent l="9525" t="11430" r="9525" b="7620"/>
                      <wp:wrapNone/>
                      <wp:docPr id="19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D4D86" id="Rectangle 74" o:spid="_x0000_s1026" style="position:absolute;margin-left:2.7pt;margin-top:4.65pt;width:12.75pt;height:1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"/>
                  </w:pict>
                </mc:Fallback>
              </mc:AlternateContent>
            </w:r>
            <w:r w:rsidR="006F76EB" w:rsidRPr="00834D52">
              <w:rPr>
                <w:rFonts w:ascii="Sylfaen" w:hAnsi="Sylfaen"/>
                <w:sz w:val="24"/>
                <w:szCs w:val="24"/>
              </w:rPr>
              <w:t>դեղաձ</w:t>
            </w:r>
            <w:r w:rsidR="00C54D75">
              <w:rPr>
                <w:rFonts w:ascii="Sylfaen" w:hAnsi="Sylfaen"/>
                <w:sz w:val="24"/>
                <w:szCs w:val="24"/>
              </w:rPr>
              <w:t>և</w:t>
            </w:r>
            <w:r w:rsidR="006F76EB" w:rsidRPr="00834D52">
              <w:rPr>
                <w:rFonts w:ascii="Sylfaen" w:hAnsi="Sylfaen"/>
                <w:sz w:val="24"/>
                <w:szCs w:val="24"/>
              </w:rPr>
              <w:t>ի տարբերությունները</w:t>
            </w:r>
          </w:p>
        </w:tc>
      </w:tr>
      <w:tr w:rsidR="006F76EB" w:rsidRPr="00834D52" w14:paraId="15BCDC81" w14:textId="77777777" w:rsidTr="00A64FAB">
        <w:trPr>
          <w:jc w:val="center"/>
        </w:trPr>
        <w:tc>
          <w:tcPr>
            <w:tcW w:w="5147" w:type="dxa"/>
            <w:vMerge/>
            <w:tcBorders>
              <w:left w:val="single" w:sz="4" w:space="0" w:color="000000"/>
              <w:right w:val="single" w:sz="4" w:space="0" w:color="000000"/>
            </w:tcBorders>
          </w:tcPr>
          <w:p w14:paraId="63907C96"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39087D54" w14:textId="1CA8CA3A"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0080" behindDoc="0" locked="0" layoutInCell="1" allowOverlap="1" wp14:anchorId="2C435CF1" wp14:editId="45850F4D">
                      <wp:simplePos x="0" y="0"/>
                      <wp:positionH relativeFrom="column">
                        <wp:posOffset>34290</wp:posOffset>
                      </wp:positionH>
                      <wp:positionV relativeFrom="paragraph">
                        <wp:posOffset>86360</wp:posOffset>
                      </wp:positionV>
                      <wp:extent cx="161925" cy="152400"/>
                      <wp:effectExtent l="9525" t="7620" r="9525" b="11430"/>
                      <wp:wrapNone/>
                      <wp:docPr id="1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33F11" id="Rectangle 75" o:spid="_x0000_s1026" style="position:absolute;margin-left:2.7pt;margin-top:6.8pt;width:12.75pt;height:1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"/>
                  </w:pict>
                </mc:Fallback>
              </mc:AlternateContent>
            </w:r>
            <w:r w:rsidR="006F76EB" w:rsidRPr="00834D52">
              <w:rPr>
                <w:rFonts w:ascii="Sylfaen" w:hAnsi="Sylfaen"/>
                <w:sz w:val="24"/>
                <w:szCs w:val="24"/>
              </w:rPr>
              <w:t>այլ դոզավորումներ (ԱԴԲ-ի քանակական փոփոխություններ)</w:t>
            </w:r>
          </w:p>
        </w:tc>
      </w:tr>
      <w:tr w:rsidR="006F76EB" w:rsidRPr="00834D52" w14:paraId="4132BAE5" w14:textId="77777777" w:rsidTr="00A64FAB">
        <w:trPr>
          <w:jc w:val="center"/>
        </w:trPr>
        <w:tc>
          <w:tcPr>
            <w:tcW w:w="5147" w:type="dxa"/>
            <w:vMerge/>
            <w:tcBorders>
              <w:left w:val="single" w:sz="4" w:space="0" w:color="000000"/>
              <w:right w:val="single" w:sz="4" w:space="0" w:color="000000"/>
            </w:tcBorders>
          </w:tcPr>
          <w:p w14:paraId="0964044D"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5D05C3BB" w14:textId="2F1BB204"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1104" behindDoc="0" locked="0" layoutInCell="1" allowOverlap="1" wp14:anchorId="2F5160FE" wp14:editId="220EDC07">
                      <wp:simplePos x="0" y="0"/>
                      <wp:positionH relativeFrom="column">
                        <wp:posOffset>34290</wp:posOffset>
                      </wp:positionH>
                      <wp:positionV relativeFrom="paragraph">
                        <wp:posOffset>60960</wp:posOffset>
                      </wp:positionV>
                      <wp:extent cx="161925" cy="152400"/>
                      <wp:effectExtent l="9525" t="8890" r="9525" b="10160"/>
                      <wp:wrapNone/>
                      <wp:docPr id="19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FC304" id="Rectangle 76" o:spid="_x0000_s1026" style="position:absolute;margin-left:2.7pt;margin-top:4.8pt;width:12.75pt;height:1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"/>
                  </w:pict>
                </mc:Fallback>
              </mc:AlternateContent>
            </w:r>
            <w:r w:rsidR="006F76EB" w:rsidRPr="00834D52">
              <w:rPr>
                <w:rFonts w:ascii="Sylfaen" w:hAnsi="Sylfaen"/>
                <w:sz w:val="24"/>
                <w:szCs w:val="24"/>
              </w:rPr>
              <w:t>ներմուծման այլ եղանակ</w:t>
            </w:r>
          </w:p>
        </w:tc>
      </w:tr>
      <w:tr w:rsidR="006F76EB" w:rsidRPr="00834D52" w14:paraId="7A9375A3" w14:textId="77777777" w:rsidTr="00A64FAB">
        <w:trPr>
          <w:jc w:val="center"/>
        </w:trPr>
        <w:tc>
          <w:tcPr>
            <w:tcW w:w="5147" w:type="dxa"/>
            <w:vMerge/>
            <w:tcBorders>
              <w:left w:val="single" w:sz="4" w:space="0" w:color="000000"/>
              <w:bottom w:val="single" w:sz="4" w:space="0" w:color="000000"/>
              <w:right w:val="single" w:sz="4" w:space="0" w:color="000000"/>
            </w:tcBorders>
          </w:tcPr>
          <w:p w14:paraId="5238B47D"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6470FC52" w14:textId="3AEB05C0" w:rsidR="006F76EB" w:rsidRPr="00834D52" w:rsidRDefault="0037154C" w:rsidP="00A64FAB">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2128" behindDoc="0" locked="0" layoutInCell="1" allowOverlap="1" wp14:anchorId="6002C923" wp14:editId="1C9929F3">
                      <wp:simplePos x="0" y="0"/>
                      <wp:positionH relativeFrom="column">
                        <wp:posOffset>34290</wp:posOffset>
                      </wp:positionH>
                      <wp:positionV relativeFrom="paragraph">
                        <wp:posOffset>78740</wp:posOffset>
                      </wp:positionV>
                      <wp:extent cx="161925" cy="152400"/>
                      <wp:effectExtent l="9525" t="5080" r="9525" b="13970"/>
                      <wp:wrapNone/>
                      <wp:docPr id="19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0F32D" id="Rectangle 77" o:spid="_x0000_s1026" style="position:absolute;margin-left:2.7pt;margin-top:6.2pt;width:12.75pt;height:1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"/>
                  </w:pict>
                </mc:Fallback>
              </mc:AlternateContent>
            </w:r>
            <w:r w:rsidR="006F76EB" w:rsidRPr="00834D52">
              <w:rPr>
                <w:rFonts w:ascii="Sylfaen" w:hAnsi="Sylfaen"/>
                <w:sz w:val="24"/>
                <w:szCs w:val="24"/>
              </w:rPr>
              <w:t>այլ տարբերություններ՝</w:t>
            </w:r>
          </w:p>
          <w:p w14:paraId="5D8CB89E" w14:textId="77777777" w:rsidR="006F76EB" w:rsidRPr="00834D52" w:rsidRDefault="006F76EB" w:rsidP="00A64FAB">
            <w:pPr>
              <w:spacing w:after="120" w:line="240" w:lineRule="auto"/>
              <w:ind w:left="75" w:right="-6"/>
              <w:rPr>
                <w:rFonts w:ascii="Sylfaen" w:hAnsi="Sylfaen"/>
                <w:sz w:val="24"/>
                <w:szCs w:val="24"/>
                <w:lang w:val="en-US"/>
              </w:rPr>
            </w:pPr>
            <w:r w:rsidRPr="00834D52">
              <w:rPr>
                <w:rFonts w:ascii="Sylfaen" w:hAnsi="Sylfaen"/>
                <w:sz w:val="24"/>
                <w:szCs w:val="24"/>
              </w:rPr>
              <w:t>____</w:t>
            </w:r>
            <w:r w:rsidR="00A00382">
              <w:rPr>
                <w:rFonts w:ascii="Sylfaen" w:hAnsi="Sylfaen"/>
                <w:sz w:val="24"/>
                <w:szCs w:val="24"/>
              </w:rPr>
              <w:t>________________________</w:t>
            </w:r>
            <w:r w:rsidRPr="00834D52">
              <w:rPr>
                <w:rFonts w:ascii="Sylfaen" w:hAnsi="Sylfaen"/>
                <w:sz w:val="24"/>
                <w:szCs w:val="24"/>
              </w:rPr>
              <w:t>_________</w:t>
            </w:r>
          </w:p>
        </w:tc>
      </w:tr>
    </w:tbl>
    <w:p w14:paraId="0614F22B" w14:textId="673AD7EB"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lastRenderedPageBreak/>
        <mc:AlternateContent>
          <mc:Choice Requires="wps">
            <w:drawing>
              <wp:anchor distT="0" distB="0" distL="114300" distR="114300" simplePos="0" relativeHeight="251633152" behindDoc="0" locked="0" layoutInCell="1" allowOverlap="1" wp14:anchorId="65EB2DE3" wp14:editId="78621E8C">
                <wp:simplePos x="0" y="0"/>
                <wp:positionH relativeFrom="column">
                  <wp:posOffset>1355725</wp:posOffset>
                </wp:positionH>
                <wp:positionV relativeFrom="paragraph">
                  <wp:posOffset>19050</wp:posOffset>
                </wp:positionV>
                <wp:extent cx="161925" cy="152400"/>
                <wp:effectExtent l="8255" t="5080" r="10795" b="13970"/>
                <wp:wrapNone/>
                <wp:docPr id="19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B86AC" id="Rectangle 78" o:spid="_x0000_s1026" style="position:absolute;margin-left:106.75pt;margin-top:1.5pt;width:12.75pt;height:1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"/>
            </w:pict>
          </mc:Fallback>
        </mc:AlternateContent>
      </w:r>
      <w:r w:rsidR="006F76EB" w:rsidRPr="00834D52">
        <w:rPr>
          <w:rFonts w:ascii="Sylfaen" w:hAnsi="Sylfaen"/>
          <w:sz w:val="24"/>
          <w:szCs w:val="24"/>
        </w:rPr>
        <w:t>ՀԻԲՐԻԴԱՅԻՆ ԴԵՂԱՊԱՏՐԱՍՏՈՒԿ</w:t>
      </w:r>
    </w:p>
    <w:tbl>
      <w:tblPr>
        <w:tblW w:w="9870" w:type="dxa"/>
        <w:jc w:val="center"/>
        <w:tblLayout w:type="fixed"/>
        <w:tblCellMar>
          <w:left w:w="0" w:type="dxa"/>
          <w:right w:w="0" w:type="dxa"/>
        </w:tblCellMar>
        <w:tblLook w:val="01E0" w:firstRow="1" w:lastRow="1" w:firstColumn="1" w:lastColumn="1" w:noHBand="0" w:noVBand="0"/>
      </w:tblPr>
      <w:tblGrid>
        <w:gridCol w:w="5196"/>
        <w:gridCol w:w="4674"/>
      </w:tblGrid>
      <w:tr w:rsidR="006F76EB" w:rsidRPr="00834D52" w14:paraId="12E14C4B" w14:textId="77777777" w:rsidTr="006760AA">
        <w:trPr>
          <w:trHeight w:val="490"/>
          <w:jc w:val="center"/>
        </w:trPr>
        <w:tc>
          <w:tcPr>
            <w:tcW w:w="9869" w:type="dxa"/>
            <w:gridSpan w:val="2"/>
            <w:tcBorders>
              <w:top w:val="single" w:sz="4" w:space="0" w:color="000000"/>
              <w:left w:val="single" w:sz="4" w:space="0" w:color="000000"/>
              <w:bottom w:val="single" w:sz="4" w:space="0" w:color="000000"/>
              <w:right w:val="single" w:sz="4" w:space="0" w:color="000000"/>
            </w:tcBorders>
          </w:tcPr>
          <w:p w14:paraId="6C9B0A26"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Օրիգինալ դեղապատրաստուկ՝</w:t>
            </w:r>
          </w:p>
        </w:tc>
      </w:tr>
      <w:tr w:rsidR="006F76EB" w:rsidRPr="00834D52" w14:paraId="40272AC1" w14:textId="77777777" w:rsidTr="006760AA">
        <w:trPr>
          <w:trHeight w:val="841"/>
          <w:jc w:val="center"/>
        </w:trPr>
        <w:tc>
          <w:tcPr>
            <w:tcW w:w="5196" w:type="dxa"/>
            <w:tcBorders>
              <w:top w:val="single" w:sz="4" w:space="0" w:color="000000"/>
              <w:left w:val="single" w:sz="4" w:space="0" w:color="000000"/>
              <w:bottom w:val="single" w:sz="4" w:space="0" w:color="000000"/>
              <w:right w:val="single" w:sz="4" w:space="0" w:color="000000"/>
            </w:tcBorders>
          </w:tcPr>
          <w:p w14:paraId="68388FB8"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674" w:type="dxa"/>
            <w:tcBorders>
              <w:top w:val="single" w:sz="4" w:space="0" w:color="000000"/>
              <w:left w:val="single" w:sz="4" w:space="0" w:color="000000"/>
              <w:bottom w:val="single" w:sz="4" w:space="0" w:color="000000"/>
              <w:right w:val="single" w:sz="4" w:space="0" w:color="000000"/>
            </w:tcBorders>
          </w:tcPr>
          <w:p w14:paraId="5CEE61B4" w14:textId="77777777" w:rsidR="006F76EB" w:rsidRPr="00834D52" w:rsidRDefault="006F76EB" w:rsidP="00A00382">
            <w:pPr>
              <w:spacing w:after="120" w:line="240" w:lineRule="auto"/>
              <w:ind w:right="-6"/>
              <w:rPr>
                <w:rFonts w:ascii="Sylfaen" w:hAnsi="Sylfaen"/>
                <w:sz w:val="24"/>
                <w:szCs w:val="24"/>
              </w:rPr>
            </w:pPr>
          </w:p>
        </w:tc>
      </w:tr>
      <w:tr w:rsidR="006F76EB" w:rsidRPr="00834D52" w14:paraId="4FC68C88" w14:textId="77777777" w:rsidTr="006760AA">
        <w:trPr>
          <w:trHeight w:val="1834"/>
          <w:jc w:val="center"/>
        </w:trPr>
        <w:tc>
          <w:tcPr>
            <w:tcW w:w="5196" w:type="dxa"/>
            <w:tcBorders>
              <w:top w:val="single" w:sz="4" w:space="0" w:color="000000"/>
              <w:left w:val="single" w:sz="4" w:space="0" w:color="000000"/>
              <w:bottom w:val="single" w:sz="4" w:space="0" w:color="auto"/>
              <w:right w:val="single" w:sz="4" w:space="0" w:color="000000"/>
            </w:tcBorders>
          </w:tcPr>
          <w:p w14:paraId="39A00B53"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գրանցման հավաստագրի իրավատերը, գրանցման ամսաթիվը, գրանցման հավաստագրի համարը, Միության այն անդամ պետությունները, որտեղ գրանցված է օրիգինալ դեղապատրաստուկը</w:t>
            </w:r>
          </w:p>
        </w:tc>
        <w:tc>
          <w:tcPr>
            <w:tcW w:w="4674" w:type="dxa"/>
            <w:tcBorders>
              <w:top w:val="single" w:sz="4" w:space="0" w:color="000000"/>
              <w:left w:val="single" w:sz="4" w:space="0" w:color="000000"/>
              <w:bottom w:val="single" w:sz="4" w:space="0" w:color="auto"/>
              <w:right w:val="single" w:sz="4" w:space="0" w:color="000000"/>
            </w:tcBorders>
          </w:tcPr>
          <w:p w14:paraId="4BDF477E" w14:textId="77777777" w:rsidR="006F76EB" w:rsidRPr="00834D52" w:rsidRDefault="006F76EB" w:rsidP="00A00382">
            <w:pPr>
              <w:spacing w:after="120" w:line="240" w:lineRule="auto"/>
              <w:ind w:right="-6"/>
              <w:rPr>
                <w:rFonts w:ascii="Sylfaen" w:hAnsi="Sylfaen"/>
                <w:sz w:val="24"/>
                <w:szCs w:val="24"/>
              </w:rPr>
            </w:pPr>
          </w:p>
        </w:tc>
      </w:tr>
      <w:tr w:rsidR="006F76EB" w:rsidRPr="00834D52" w14:paraId="522C44AF" w14:textId="77777777" w:rsidTr="006760AA">
        <w:trPr>
          <w:trHeight w:val="846"/>
          <w:jc w:val="center"/>
        </w:trPr>
        <w:tc>
          <w:tcPr>
            <w:tcW w:w="5196" w:type="dxa"/>
            <w:vMerge w:val="restart"/>
            <w:tcBorders>
              <w:top w:val="single" w:sz="4" w:space="0" w:color="auto"/>
              <w:left w:val="single" w:sz="4" w:space="0" w:color="auto"/>
              <w:bottom w:val="single" w:sz="4" w:space="0" w:color="auto"/>
              <w:right w:val="single" w:sz="4" w:space="0" w:color="auto"/>
            </w:tcBorders>
          </w:tcPr>
          <w:p w14:paraId="0F0A1C7E"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Օրիգինալ դեղապատրաստուկի համեմատությամբ տարբերությունները՝</w:t>
            </w:r>
          </w:p>
        </w:tc>
        <w:tc>
          <w:tcPr>
            <w:tcW w:w="4674" w:type="dxa"/>
            <w:tcBorders>
              <w:top w:val="single" w:sz="4" w:space="0" w:color="auto"/>
              <w:left w:val="single" w:sz="4" w:space="0" w:color="auto"/>
              <w:bottom w:val="single" w:sz="4" w:space="0" w:color="auto"/>
              <w:right w:val="single" w:sz="4" w:space="0" w:color="auto"/>
            </w:tcBorders>
          </w:tcPr>
          <w:p w14:paraId="11F3D482" w14:textId="187B2E09"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4176" behindDoc="0" locked="0" layoutInCell="1" allowOverlap="1" wp14:anchorId="0A4C4611" wp14:editId="45BA55D2">
                      <wp:simplePos x="0" y="0"/>
                      <wp:positionH relativeFrom="column">
                        <wp:posOffset>81915</wp:posOffset>
                      </wp:positionH>
                      <wp:positionV relativeFrom="paragraph">
                        <wp:posOffset>92075</wp:posOffset>
                      </wp:positionV>
                      <wp:extent cx="161925" cy="152400"/>
                      <wp:effectExtent l="6350" t="10795" r="12700" b="8255"/>
                      <wp:wrapNone/>
                      <wp:docPr id="19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A34F" id="Rectangle 79" o:spid="_x0000_s1026" style="position:absolute;margin-left:6.45pt;margin-top:7.25pt;width:12.75pt;height:1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"/>
                  </w:pict>
                </mc:Fallback>
              </mc:AlternateContent>
            </w:r>
            <w:r w:rsidR="006F76EB" w:rsidRPr="00834D52">
              <w:rPr>
                <w:rFonts w:ascii="Sylfaen" w:hAnsi="Sylfaen"/>
                <w:sz w:val="24"/>
                <w:szCs w:val="24"/>
              </w:rPr>
              <w:t>ակտիվ դեղաբանական բաղադրամասի փոփոխություններ</w:t>
            </w:r>
          </w:p>
        </w:tc>
      </w:tr>
      <w:tr w:rsidR="006F76EB" w:rsidRPr="00834D52" w14:paraId="4A8E09C8" w14:textId="77777777" w:rsidTr="00A00382">
        <w:trPr>
          <w:trHeight w:val="155"/>
          <w:jc w:val="center"/>
        </w:trPr>
        <w:tc>
          <w:tcPr>
            <w:tcW w:w="5196" w:type="dxa"/>
            <w:vMerge/>
            <w:tcBorders>
              <w:top w:val="single" w:sz="4" w:space="0" w:color="auto"/>
              <w:left w:val="single" w:sz="4" w:space="0" w:color="000000"/>
              <w:right w:val="single" w:sz="4" w:space="0" w:color="000000"/>
            </w:tcBorders>
          </w:tcPr>
          <w:p w14:paraId="0753D607"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auto"/>
              <w:left w:val="single" w:sz="4" w:space="0" w:color="000000"/>
              <w:bottom w:val="single" w:sz="4" w:space="0" w:color="000000"/>
              <w:right w:val="single" w:sz="4" w:space="0" w:color="000000"/>
            </w:tcBorders>
          </w:tcPr>
          <w:p w14:paraId="364685F6" w14:textId="4F5FEC54"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5200" behindDoc="0" locked="0" layoutInCell="1" allowOverlap="1" wp14:anchorId="2B28C388" wp14:editId="35D88B2C">
                      <wp:simplePos x="0" y="0"/>
                      <wp:positionH relativeFrom="column">
                        <wp:posOffset>81915</wp:posOffset>
                      </wp:positionH>
                      <wp:positionV relativeFrom="paragraph">
                        <wp:posOffset>67310</wp:posOffset>
                      </wp:positionV>
                      <wp:extent cx="161925" cy="152400"/>
                      <wp:effectExtent l="6350" t="5715" r="12700" b="13335"/>
                      <wp:wrapNone/>
                      <wp:docPr id="18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8E55" id="Rectangle 80" o:spid="_x0000_s1026" style="position:absolute;margin-left:6.45pt;margin-top:5.3pt;width:12.75pt;height:1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"/>
                  </w:pict>
                </mc:Fallback>
              </mc:AlternateContent>
            </w:r>
            <w:r w:rsidR="006F76EB" w:rsidRPr="00834D52">
              <w:rPr>
                <w:rFonts w:ascii="Sylfaen" w:hAnsi="Sylfaen"/>
                <w:sz w:val="24"/>
                <w:szCs w:val="24"/>
              </w:rPr>
              <w:t>այլ դեղաձ</w:t>
            </w:r>
            <w:r w:rsidR="00C54D75">
              <w:rPr>
                <w:rFonts w:ascii="Sylfaen" w:hAnsi="Sylfaen"/>
                <w:sz w:val="24"/>
                <w:szCs w:val="24"/>
              </w:rPr>
              <w:t>և</w:t>
            </w:r>
          </w:p>
        </w:tc>
      </w:tr>
      <w:tr w:rsidR="006F76EB" w:rsidRPr="00834D52" w14:paraId="464E60E5" w14:textId="77777777" w:rsidTr="00A00382">
        <w:trPr>
          <w:trHeight w:val="155"/>
          <w:jc w:val="center"/>
        </w:trPr>
        <w:tc>
          <w:tcPr>
            <w:tcW w:w="5196" w:type="dxa"/>
            <w:vMerge/>
            <w:tcBorders>
              <w:left w:val="single" w:sz="4" w:space="0" w:color="000000"/>
              <w:right w:val="single" w:sz="4" w:space="0" w:color="000000"/>
            </w:tcBorders>
          </w:tcPr>
          <w:p w14:paraId="461A0836"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6FB9CF30" w14:textId="321BA9D3"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6224" behindDoc="0" locked="0" layoutInCell="1" allowOverlap="1" wp14:anchorId="55E20B93" wp14:editId="041198B2">
                      <wp:simplePos x="0" y="0"/>
                      <wp:positionH relativeFrom="column">
                        <wp:posOffset>81915</wp:posOffset>
                      </wp:positionH>
                      <wp:positionV relativeFrom="paragraph">
                        <wp:posOffset>75565</wp:posOffset>
                      </wp:positionV>
                      <wp:extent cx="161925" cy="152400"/>
                      <wp:effectExtent l="6350" t="11430" r="12700" b="7620"/>
                      <wp:wrapNone/>
                      <wp:docPr id="18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9B9E1" id="Rectangle 81" o:spid="_x0000_s1026" style="position:absolute;margin-left:6.45pt;margin-top:5.95pt;width:12.75pt;height: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"/>
                  </w:pict>
                </mc:Fallback>
              </mc:AlternateContent>
            </w:r>
            <w:r w:rsidR="006F76EB" w:rsidRPr="00834D52">
              <w:rPr>
                <w:rFonts w:ascii="Sylfaen" w:hAnsi="Sylfaen"/>
                <w:sz w:val="24"/>
                <w:szCs w:val="24"/>
              </w:rPr>
              <w:t>այլ դոզավորումներ (ԱԴԲ-ի քանակական փոփոխություններ)</w:t>
            </w:r>
          </w:p>
        </w:tc>
      </w:tr>
      <w:tr w:rsidR="006F76EB" w:rsidRPr="00834D52" w14:paraId="60E0128E" w14:textId="77777777" w:rsidTr="00A00382">
        <w:trPr>
          <w:trHeight w:val="155"/>
          <w:jc w:val="center"/>
        </w:trPr>
        <w:tc>
          <w:tcPr>
            <w:tcW w:w="5196" w:type="dxa"/>
            <w:vMerge/>
            <w:tcBorders>
              <w:left w:val="single" w:sz="4" w:space="0" w:color="000000"/>
              <w:right w:val="single" w:sz="4" w:space="0" w:color="000000"/>
            </w:tcBorders>
          </w:tcPr>
          <w:p w14:paraId="47E7FFCB"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2A4CD6FB" w14:textId="46F3C1E1"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7248" behindDoc="0" locked="0" layoutInCell="1" allowOverlap="1" wp14:anchorId="5BE2F811" wp14:editId="568EFFAF">
                      <wp:simplePos x="0" y="0"/>
                      <wp:positionH relativeFrom="column">
                        <wp:posOffset>72390</wp:posOffset>
                      </wp:positionH>
                      <wp:positionV relativeFrom="paragraph">
                        <wp:posOffset>50800</wp:posOffset>
                      </wp:positionV>
                      <wp:extent cx="161925" cy="152400"/>
                      <wp:effectExtent l="6350" t="13335" r="12700" b="5715"/>
                      <wp:wrapNone/>
                      <wp:docPr id="18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FDA7A" id="Rectangle 82" o:spid="_x0000_s1026" style="position:absolute;margin-left:5.7pt;margin-top:4pt;width:12.75pt;height:1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"/>
                  </w:pict>
                </mc:Fallback>
              </mc:AlternateContent>
            </w:r>
            <w:r w:rsidR="006F76EB" w:rsidRPr="00834D52">
              <w:rPr>
                <w:rFonts w:ascii="Sylfaen" w:hAnsi="Sylfaen"/>
                <w:sz w:val="24"/>
                <w:szCs w:val="24"/>
              </w:rPr>
              <w:t>ներմուծման այլ եղանակ</w:t>
            </w:r>
          </w:p>
        </w:tc>
      </w:tr>
      <w:tr w:rsidR="006F76EB" w:rsidRPr="00834D52" w14:paraId="72CCD771" w14:textId="77777777" w:rsidTr="00A00382">
        <w:trPr>
          <w:trHeight w:val="155"/>
          <w:jc w:val="center"/>
        </w:trPr>
        <w:tc>
          <w:tcPr>
            <w:tcW w:w="5196" w:type="dxa"/>
            <w:vMerge/>
            <w:tcBorders>
              <w:left w:val="single" w:sz="4" w:space="0" w:color="000000"/>
              <w:right w:val="single" w:sz="4" w:space="0" w:color="000000"/>
            </w:tcBorders>
          </w:tcPr>
          <w:p w14:paraId="0F34B458"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73F756E0" w14:textId="43DACCD5"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8272" behindDoc="0" locked="0" layoutInCell="1" allowOverlap="1" wp14:anchorId="2D539312" wp14:editId="36465940">
                      <wp:simplePos x="0" y="0"/>
                      <wp:positionH relativeFrom="column">
                        <wp:posOffset>72390</wp:posOffset>
                      </wp:positionH>
                      <wp:positionV relativeFrom="paragraph">
                        <wp:posOffset>106680</wp:posOffset>
                      </wp:positionV>
                      <wp:extent cx="161925" cy="152400"/>
                      <wp:effectExtent l="6350" t="9525" r="12700" b="9525"/>
                      <wp:wrapNone/>
                      <wp:docPr id="18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78544" id="Rectangle 83" o:spid="_x0000_s1026" style="position:absolute;margin-left:5.7pt;margin-top:8.4pt;width:12.75pt;height:1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"/>
                  </w:pict>
                </mc:Fallback>
              </mc:AlternateContent>
            </w:r>
            <w:r w:rsidR="006F76EB" w:rsidRPr="00834D52">
              <w:rPr>
                <w:rFonts w:ascii="Sylfaen" w:hAnsi="Sylfaen"/>
                <w:sz w:val="24"/>
                <w:szCs w:val="24"/>
              </w:rPr>
              <w:t xml:space="preserve">այլ </w:t>
            </w:r>
            <w:r w:rsidR="00355C33">
              <w:rPr>
                <w:rFonts w:ascii="Sylfaen" w:hAnsi="Sylfaen"/>
                <w:sz w:val="24"/>
                <w:szCs w:val="24"/>
              </w:rPr>
              <w:t>դեղա</w:t>
            </w:r>
            <w:r w:rsidR="006F76EB" w:rsidRPr="00834D52">
              <w:rPr>
                <w:rFonts w:ascii="Sylfaen" w:hAnsi="Sylfaen"/>
                <w:sz w:val="24"/>
                <w:szCs w:val="24"/>
              </w:rPr>
              <w:t>կինետիկա (ներառյալ այլ կենսամատչելիություն)</w:t>
            </w:r>
          </w:p>
        </w:tc>
      </w:tr>
      <w:tr w:rsidR="006F76EB" w:rsidRPr="00834D52" w14:paraId="77A4AEA6" w14:textId="77777777" w:rsidTr="00A00382">
        <w:trPr>
          <w:trHeight w:val="155"/>
          <w:jc w:val="center"/>
        </w:trPr>
        <w:tc>
          <w:tcPr>
            <w:tcW w:w="5196" w:type="dxa"/>
            <w:vMerge/>
            <w:tcBorders>
              <w:left w:val="single" w:sz="4" w:space="0" w:color="000000"/>
              <w:right w:val="single" w:sz="4" w:space="0" w:color="000000"/>
            </w:tcBorders>
          </w:tcPr>
          <w:p w14:paraId="377204DC"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2C313AAC" w14:textId="6AF95CA2"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9296" behindDoc="0" locked="0" layoutInCell="1" allowOverlap="1" wp14:anchorId="7A3DECC8" wp14:editId="5E7FE176">
                      <wp:simplePos x="0" y="0"/>
                      <wp:positionH relativeFrom="column">
                        <wp:posOffset>81915</wp:posOffset>
                      </wp:positionH>
                      <wp:positionV relativeFrom="paragraph">
                        <wp:posOffset>81280</wp:posOffset>
                      </wp:positionV>
                      <wp:extent cx="161925" cy="152400"/>
                      <wp:effectExtent l="6350" t="10795" r="12700" b="8255"/>
                      <wp:wrapNone/>
                      <wp:docPr id="18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9261F" id="Rectangle 84" o:spid="_x0000_s1026" style="position:absolute;margin-left:6.45pt;margin-top:6.4pt;width:12.75pt;height:1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"/>
                  </w:pict>
                </mc:Fallback>
              </mc:AlternateContent>
            </w:r>
            <w:r w:rsidR="006F76EB" w:rsidRPr="00834D52">
              <w:rPr>
                <w:rFonts w:ascii="Sylfaen" w:hAnsi="Sylfaen"/>
                <w:sz w:val="24"/>
                <w:szCs w:val="24"/>
              </w:rPr>
              <w:t>կիրառման այլ ցուցում</w:t>
            </w:r>
          </w:p>
        </w:tc>
      </w:tr>
      <w:tr w:rsidR="006F76EB" w:rsidRPr="00834D52" w14:paraId="02ED81A3" w14:textId="77777777" w:rsidTr="00A00382">
        <w:trPr>
          <w:trHeight w:val="155"/>
          <w:jc w:val="center"/>
        </w:trPr>
        <w:tc>
          <w:tcPr>
            <w:tcW w:w="5196" w:type="dxa"/>
            <w:vMerge/>
            <w:tcBorders>
              <w:left w:val="single" w:sz="4" w:space="0" w:color="000000"/>
              <w:bottom w:val="single" w:sz="4" w:space="0" w:color="000000"/>
              <w:right w:val="single" w:sz="4" w:space="0" w:color="000000"/>
            </w:tcBorders>
          </w:tcPr>
          <w:p w14:paraId="03CD122A"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6D3E9279" w14:textId="5B19D624" w:rsidR="006F76EB" w:rsidRPr="00834D52" w:rsidRDefault="0037154C" w:rsidP="00A00382">
            <w:pPr>
              <w:spacing w:after="120" w:line="240" w:lineRule="auto"/>
              <w:ind w:left="642" w:right="-6"/>
              <w:rPr>
                <w:rFonts w:ascii="Sylfaen" w:hAnsi="Sylfae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40320" behindDoc="0" locked="0" layoutInCell="1" allowOverlap="1" wp14:anchorId="34B1AD4B" wp14:editId="795C0ADE">
                      <wp:simplePos x="0" y="0"/>
                      <wp:positionH relativeFrom="column">
                        <wp:posOffset>81915</wp:posOffset>
                      </wp:positionH>
                      <wp:positionV relativeFrom="paragraph">
                        <wp:posOffset>60960</wp:posOffset>
                      </wp:positionV>
                      <wp:extent cx="161925" cy="152400"/>
                      <wp:effectExtent l="6350" t="6985" r="12700" b="12065"/>
                      <wp:wrapNone/>
                      <wp:docPr id="18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7B207" id="Rectangle 85" o:spid="_x0000_s1026" style="position:absolute;margin-left:6.45pt;margin-top:4.8pt;width:12.75pt;height: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"/>
                  </w:pict>
                </mc:Fallback>
              </mc:AlternateContent>
            </w:r>
            <w:r w:rsidR="006F76EB" w:rsidRPr="00834D52">
              <w:rPr>
                <w:rFonts w:ascii="Sylfaen" w:hAnsi="Sylfaen"/>
                <w:sz w:val="24"/>
                <w:szCs w:val="24"/>
              </w:rPr>
              <w:t>այլ տարբերություններ՝</w:t>
            </w:r>
          </w:p>
          <w:p w14:paraId="14861529" w14:textId="77777777" w:rsidR="006F76EB" w:rsidRPr="00834D52" w:rsidRDefault="006F76EB" w:rsidP="006760AA">
            <w:pPr>
              <w:spacing w:after="0" w:line="240" w:lineRule="auto"/>
              <w:ind w:left="641" w:right="-6"/>
              <w:rPr>
                <w:rFonts w:ascii="Sylfaen" w:hAnsi="Sylfaen"/>
                <w:sz w:val="24"/>
                <w:szCs w:val="24"/>
                <w:lang w:val="en-US"/>
              </w:rPr>
            </w:pPr>
            <w:r w:rsidRPr="00834D52">
              <w:rPr>
                <w:rFonts w:ascii="Sylfaen" w:hAnsi="Sylfaen"/>
                <w:sz w:val="24"/>
                <w:szCs w:val="24"/>
              </w:rPr>
              <w:t>_______________________________</w:t>
            </w:r>
          </w:p>
          <w:p w14:paraId="76E67A44" w14:textId="77777777" w:rsidR="006F76EB" w:rsidRPr="00834D52" w:rsidRDefault="006F76EB" w:rsidP="006760AA">
            <w:pPr>
              <w:spacing w:after="0" w:line="240" w:lineRule="auto"/>
              <w:ind w:left="641" w:right="-6"/>
              <w:rPr>
                <w:rFonts w:ascii="Sylfaen" w:eastAsia="Times New Roman" w:hAnsi="Sylfaen" w:cs="Times New Roman"/>
                <w:sz w:val="24"/>
                <w:szCs w:val="24"/>
              </w:rPr>
            </w:pPr>
            <w:r w:rsidRPr="00834D52">
              <w:rPr>
                <w:rFonts w:ascii="Sylfaen" w:hAnsi="Sylfaen"/>
                <w:sz w:val="24"/>
                <w:szCs w:val="24"/>
              </w:rPr>
              <w:t>_______________________________</w:t>
            </w:r>
          </w:p>
        </w:tc>
      </w:tr>
    </w:tbl>
    <w:p w14:paraId="6C92F24D" w14:textId="77777777" w:rsidR="006F76EB" w:rsidRPr="00834D52" w:rsidRDefault="006F76EB" w:rsidP="006760AA">
      <w:pPr>
        <w:spacing w:after="120" w:line="240" w:lineRule="auto"/>
        <w:ind w:right="-6"/>
        <w:rPr>
          <w:rFonts w:ascii="Sylfaen" w:hAnsi="Sylfaen"/>
          <w:sz w:val="24"/>
          <w:szCs w:val="24"/>
        </w:rPr>
      </w:pPr>
    </w:p>
    <w:p w14:paraId="5C6654A2" w14:textId="7C21CF86" w:rsidR="006F76EB" w:rsidRPr="00834D52" w:rsidRDefault="0037154C" w:rsidP="006F76EB">
      <w:pPr>
        <w:spacing w:after="160" w:line="360" w:lineRule="auto"/>
        <w:ind w:right="-8"/>
        <w:jc w:val="center"/>
        <w:rPr>
          <w:rFonts w:ascii="Sylfaen" w:hAnsi="Sylfaen"/>
          <w:sz w:val="24"/>
          <w:szCs w:val="24"/>
          <w:lang w:val="en-US"/>
        </w:rPr>
      </w:pPr>
      <w:r>
        <w:rPr>
          <w:rFonts w:ascii="Sylfaen" w:hAnsi="Sylfaen"/>
          <w:noProof/>
          <w:sz w:val="24"/>
          <w:szCs w:val="24"/>
        </w:rPr>
        <mc:AlternateContent>
          <mc:Choice Requires="wps">
            <w:drawing>
              <wp:anchor distT="0" distB="0" distL="114300" distR="114300" simplePos="0" relativeHeight="251641344" behindDoc="0" locked="0" layoutInCell="1" allowOverlap="1" wp14:anchorId="1F51DACF" wp14:editId="12EBD39C">
                <wp:simplePos x="0" y="0"/>
                <wp:positionH relativeFrom="column">
                  <wp:posOffset>1309370</wp:posOffset>
                </wp:positionH>
                <wp:positionV relativeFrom="paragraph">
                  <wp:posOffset>19050</wp:posOffset>
                </wp:positionV>
                <wp:extent cx="161925" cy="152400"/>
                <wp:effectExtent l="9525" t="12700" r="9525" b="6350"/>
                <wp:wrapNone/>
                <wp:docPr id="18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2EC7F" id="Rectangle 86" o:spid="_x0000_s1026" style="position:absolute;margin-left:103.1pt;margin-top:1.5pt;width:12.75pt;height:1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"/>
            </w:pict>
          </mc:Fallback>
        </mc:AlternateContent>
      </w:r>
      <w:r w:rsidR="006F76EB" w:rsidRPr="00834D52">
        <w:rPr>
          <w:rFonts w:ascii="Sylfaen" w:hAnsi="Sylfaen"/>
          <w:sz w:val="24"/>
          <w:szCs w:val="24"/>
        </w:rPr>
        <w:t>ՀԱՄԱԿՑՎԱԾ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3829"/>
      </w:tblGrid>
      <w:tr w:rsidR="006F76EB" w:rsidRPr="00834D52" w14:paraId="4C3F2970" w14:textId="77777777" w:rsidTr="00F71229">
        <w:trPr>
          <w:jc w:val="center"/>
        </w:trPr>
        <w:tc>
          <w:tcPr>
            <w:tcW w:w="4643" w:type="dxa"/>
          </w:tcPr>
          <w:p w14:paraId="5CC9A18B" w14:textId="1BACCCB8" w:rsidR="006F76EB" w:rsidRPr="00834D52" w:rsidRDefault="0037154C" w:rsidP="00F71229">
            <w:pPr>
              <w:spacing w:after="160" w:line="360" w:lineRule="auto"/>
              <w:ind w:right="-8"/>
              <w:jc w:val="center"/>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42368" behindDoc="0" locked="0" layoutInCell="1" allowOverlap="1" wp14:anchorId="2243F265" wp14:editId="525B8291">
                      <wp:simplePos x="0" y="0"/>
                      <wp:positionH relativeFrom="column">
                        <wp:posOffset>327025</wp:posOffset>
                      </wp:positionH>
                      <wp:positionV relativeFrom="paragraph">
                        <wp:posOffset>40640</wp:posOffset>
                      </wp:positionV>
                      <wp:extent cx="161925" cy="152400"/>
                      <wp:effectExtent l="13970" t="8255" r="5080" b="10795"/>
                      <wp:wrapNone/>
                      <wp:docPr id="18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05464" id="Rectangle 88" o:spid="_x0000_s1026" style="position:absolute;margin-left:25.75pt;margin-top:3.2pt;width:12.75pt;height: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"/>
                  </w:pict>
                </mc:Fallback>
              </mc:AlternateContent>
            </w:r>
            <w:r w:rsidR="005F6A31">
              <w:rPr>
                <w:rFonts w:ascii="Sylfaen" w:hAnsi="Sylfaen"/>
                <w:sz w:val="24"/>
                <w:szCs w:val="24"/>
              </w:rPr>
              <w:t>հայտնի</w:t>
            </w:r>
            <w:r w:rsidR="006F76EB" w:rsidRPr="00834D52">
              <w:rPr>
                <w:rFonts w:ascii="Sylfaen" w:hAnsi="Sylfaen"/>
                <w:sz w:val="24"/>
                <w:szCs w:val="24"/>
              </w:rPr>
              <w:t xml:space="preserve"> համակցություն</w:t>
            </w:r>
          </w:p>
        </w:tc>
        <w:tc>
          <w:tcPr>
            <w:tcW w:w="3829" w:type="dxa"/>
          </w:tcPr>
          <w:p w14:paraId="3E473168" w14:textId="1135B687" w:rsidR="006F76EB" w:rsidRPr="00834D52" w:rsidRDefault="0037154C" w:rsidP="00F71229">
            <w:pPr>
              <w:spacing w:after="160" w:line="360" w:lineRule="auto"/>
              <w:ind w:right="-8" w:firstLine="993"/>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43392" behindDoc="0" locked="0" layoutInCell="1" allowOverlap="1" wp14:anchorId="23B6D333" wp14:editId="19BA0A9C">
                      <wp:simplePos x="0" y="0"/>
                      <wp:positionH relativeFrom="column">
                        <wp:posOffset>494665</wp:posOffset>
                      </wp:positionH>
                      <wp:positionV relativeFrom="paragraph">
                        <wp:posOffset>40640</wp:posOffset>
                      </wp:positionV>
                      <wp:extent cx="161925" cy="152400"/>
                      <wp:effectExtent l="5715" t="8255" r="13335" b="10795"/>
                      <wp:wrapNone/>
                      <wp:docPr id="18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0C266" id="Rectangle 87" o:spid="_x0000_s1026" style="position:absolute;margin-left:38.95pt;margin-top:3.2pt;width:12.75pt;height: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"/>
                  </w:pict>
                </mc:Fallback>
              </mc:AlternateContent>
            </w:r>
            <w:r w:rsidR="006F76EB" w:rsidRPr="00834D52">
              <w:rPr>
                <w:rFonts w:ascii="Sylfaen" w:hAnsi="Sylfaen"/>
                <w:sz w:val="24"/>
                <w:szCs w:val="24"/>
              </w:rPr>
              <w:t>նոր համակցություն</w:t>
            </w:r>
          </w:p>
        </w:tc>
      </w:tr>
    </w:tbl>
    <w:p w14:paraId="2E25928B" w14:textId="6895CEED"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9646" w:type="dxa"/>
        <w:tblInd w:w="109" w:type="dxa"/>
        <w:tblLayout w:type="fixed"/>
        <w:tblCellMar>
          <w:left w:w="0" w:type="dxa"/>
          <w:right w:w="0" w:type="dxa"/>
        </w:tblCellMar>
        <w:tblLook w:val="01E0" w:firstRow="1" w:lastRow="1" w:firstColumn="1" w:lastColumn="1" w:noHBand="0" w:noVBand="0"/>
      </w:tblPr>
      <w:tblGrid>
        <w:gridCol w:w="5141"/>
        <w:gridCol w:w="4505"/>
      </w:tblGrid>
      <w:tr w:rsidR="006F76EB" w:rsidRPr="00834D52" w14:paraId="7BE1670A"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7273A4B3" w14:textId="77777777" w:rsidR="006F76EB" w:rsidRPr="00834D52" w:rsidRDefault="006F76EB" w:rsidP="00A0038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505" w:type="dxa"/>
            <w:tcBorders>
              <w:top w:val="single" w:sz="4" w:space="0" w:color="000000"/>
              <w:left w:val="single" w:sz="4" w:space="0" w:color="000000"/>
              <w:bottom w:val="single" w:sz="4" w:space="0" w:color="000000"/>
              <w:right w:val="single" w:sz="4" w:space="0" w:color="000000"/>
            </w:tcBorders>
          </w:tcPr>
          <w:p w14:paraId="59826ECC" w14:textId="77777777" w:rsidR="006F76EB" w:rsidRPr="00834D52" w:rsidRDefault="006F76EB" w:rsidP="00A00382">
            <w:pPr>
              <w:spacing w:after="120" w:line="240" w:lineRule="auto"/>
              <w:ind w:right="-6"/>
              <w:rPr>
                <w:rFonts w:ascii="Sylfaen" w:hAnsi="Sylfaen"/>
                <w:sz w:val="24"/>
                <w:szCs w:val="24"/>
              </w:rPr>
            </w:pPr>
          </w:p>
        </w:tc>
      </w:tr>
      <w:tr w:rsidR="006F76EB" w:rsidRPr="00834D52" w14:paraId="55AE0AE0"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113AF029" w14:textId="77777777" w:rsidR="006F76EB" w:rsidRPr="00834D52" w:rsidRDefault="006F76EB" w:rsidP="00A0038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505" w:type="dxa"/>
            <w:tcBorders>
              <w:top w:val="single" w:sz="4" w:space="0" w:color="000000"/>
              <w:left w:val="single" w:sz="4" w:space="0" w:color="000000"/>
              <w:bottom w:val="single" w:sz="4" w:space="0" w:color="000000"/>
              <w:right w:val="single" w:sz="4" w:space="0" w:color="000000"/>
            </w:tcBorders>
          </w:tcPr>
          <w:p w14:paraId="1D1BFC62" w14:textId="77777777" w:rsidR="006F76EB" w:rsidRPr="00834D52" w:rsidRDefault="006F76EB" w:rsidP="00A00382">
            <w:pPr>
              <w:spacing w:after="120" w:line="240" w:lineRule="auto"/>
              <w:ind w:right="-6"/>
              <w:rPr>
                <w:rFonts w:ascii="Sylfaen" w:hAnsi="Sylfaen"/>
                <w:sz w:val="24"/>
                <w:szCs w:val="24"/>
              </w:rPr>
            </w:pPr>
          </w:p>
        </w:tc>
      </w:tr>
    </w:tbl>
    <w:p w14:paraId="10E413F6" w14:textId="10059A8A"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644416" behindDoc="0" locked="0" layoutInCell="1" allowOverlap="1" wp14:anchorId="37D12272" wp14:editId="2C428C1A">
                <wp:simplePos x="0" y="0"/>
                <wp:positionH relativeFrom="column">
                  <wp:posOffset>499745</wp:posOffset>
                </wp:positionH>
                <wp:positionV relativeFrom="paragraph">
                  <wp:posOffset>27940</wp:posOffset>
                </wp:positionV>
                <wp:extent cx="161925" cy="152400"/>
                <wp:effectExtent l="9525" t="13970" r="9525" b="5080"/>
                <wp:wrapNone/>
                <wp:docPr id="18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77A0E" id="Rectangle 89" o:spid="_x0000_s1026" style="position:absolute;margin-left:39.35pt;margin-top:2.2pt;width:12.75pt;height: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"/>
            </w:pict>
          </mc:Fallback>
        </mc:AlternateContent>
      </w:r>
      <w:r w:rsidR="006F76EB" w:rsidRPr="00834D52">
        <w:rPr>
          <w:rFonts w:ascii="Sylfaen" w:hAnsi="Sylfaen"/>
          <w:sz w:val="24"/>
          <w:szCs w:val="24"/>
        </w:rPr>
        <w:t>ԼԱՎ ՈՒՍՈՒՄՆԱՍԻՐՎԱԾ ԲԺՇԿԱԿԱՆ ԿԻՐԱՌՈՒԹՅԱՄԲ ԴԵՂԱՊԱՏՐԱՍՏՈՒԿ</w:t>
      </w:r>
    </w:p>
    <w:p w14:paraId="18DE7D04" w14:textId="444DDF0B"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45440" behindDoc="0" locked="0" layoutInCell="1" allowOverlap="1" wp14:anchorId="6D233DDD" wp14:editId="3F94A36A">
                <wp:simplePos x="0" y="0"/>
                <wp:positionH relativeFrom="column">
                  <wp:posOffset>139700</wp:posOffset>
                </wp:positionH>
                <wp:positionV relativeFrom="paragraph">
                  <wp:posOffset>24130</wp:posOffset>
                </wp:positionV>
                <wp:extent cx="161925" cy="152400"/>
                <wp:effectExtent l="11430" t="8890" r="7620" b="10160"/>
                <wp:wrapNone/>
                <wp:docPr id="1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6F3F7" id="Rectangle 90" o:spid="_x0000_s1026" style="position:absolute;margin-left:11pt;margin-top:1.9pt;width:12.75pt;height:1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"/>
            </w:pict>
          </mc:Fallback>
        </mc:AlternateContent>
      </w:r>
      <w:r w:rsidR="006F76EB" w:rsidRPr="00834D52">
        <w:rPr>
          <w:rFonts w:ascii="Sylfaen" w:hAnsi="Sylfaen"/>
          <w:sz w:val="24"/>
          <w:szCs w:val="24"/>
        </w:rPr>
        <w:t>ՌԱԴԻՈԴԵՂԱԳՈՐԾԱԿԱՆ ԴԵՂԱՊԱՏՐԱՍՏՈՒԿ ԿԱՄ ՊՐԵԿՈՒՐՍՈՐ</w:t>
      </w:r>
    </w:p>
    <w:p w14:paraId="2A6EC238" w14:textId="77777777" w:rsidR="006F76EB" w:rsidRPr="00834D52" w:rsidRDefault="006F76EB" w:rsidP="006F76EB">
      <w:pPr>
        <w:spacing w:after="160" w:line="360" w:lineRule="auto"/>
        <w:ind w:right="-8"/>
        <w:rPr>
          <w:rFonts w:ascii="Sylfaen" w:hAnsi="Sylfaen"/>
          <w:sz w:val="24"/>
          <w:szCs w:val="24"/>
        </w:rPr>
      </w:pPr>
    </w:p>
    <w:p w14:paraId="761DA7EC" w14:textId="1A296E82" w:rsidR="006F76EB" w:rsidRPr="00834D52" w:rsidRDefault="0037154C"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46464" behindDoc="0" locked="0" layoutInCell="1" allowOverlap="1" wp14:anchorId="7C0927F0" wp14:editId="6CE7F831">
                <wp:simplePos x="0" y="0"/>
                <wp:positionH relativeFrom="column">
                  <wp:posOffset>15875</wp:posOffset>
                </wp:positionH>
                <wp:positionV relativeFrom="paragraph">
                  <wp:posOffset>33655</wp:posOffset>
                </wp:positionV>
                <wp:extent cx="161925" cy="152400"/>
                <wp:effectExtent l="11430" t="13970" r="7620" b="5080"/>
                <wp:wrapNone/>
                <wp:docPr id="17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F1363" id="Rectangle 91" o:spid="_x0000_s1026" style="position:absolute;margin-left:1.25pt;margin-top:2.65pt;width:12.75pt;height:1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"/>
            </w:pict>
          </mc:Fallback>
        </mc:AlternateContent>
      </w:r>
      <w:r w:rsidR="006F76EB" w:rsidRPr="00834D52">
        <w:rPr>
          <w:rFonts w:ascii="Sylfaen" w:hAnsi="Sylfaen"/>
          <w:sz w:val="24"/>
          <w:szCs w:val="24"/>
        </w:rPr>
        <w:t>ռադիոդեղագործական հավաքակազմ</w:t>
      </w:r>
    </w:p>
    <w:p w14:paraId="6ABFF0CF" w14:textId="4B3531F9" w:rsidR="006F76EB" w:rsidRDefault="0037154C" w:rsidP="00D87E6B">
      <w:pPr>
        <w:spacing w:after="160" w:line="360" w:lineRule="auto"/>
        <w:ind w:right="-8" w:firstLine="567"/>
        <w:rPr>
          <w:rFonts w:ascii="Sylfaen" w:hAnsi="Sylfaen"/>
          <w:sz w:val="24"/>
          <w:szCs w:val="24"/>
          <w:lang w:val="en-US"/>
        </w:rPr>
      </w:pPr>
      <w:r>
        <w:rPr>
          <w:rFonts w:ascii="Sylfaen" w:hAnsi="Sylfaen"/>
          <w:noProof/>
          <w:sz w:val="24"/>
          <w:szCs w:val="24"/>
        </w:rPr>
        <mc:AlternateContent>
          <mc:Choice Requires="wps">
            <w:drawing>
              <wp:anchor distT="0" distB="0" distL="114300" distR="114300" simplePos="0" relativeHeight="251647488" behindDoc="0" locked="0" layoutInCell="1" allowOverlap="1" wp14:anchorId="064E2EAF" wp14:editId="5DFCEDA1">
                <wp:simplePos x="0" y="0"/>
                <wp:positionH relativeFrom="column">
                  <wp:posOffset>15875</wp:posOffset>
                </wp:positionH>
                <wp:positionV relativeFrom="paragraph">
                  <wp:posOffset>48260</wp:posOffset>
                </wp:positionV>
                <wp:extent cx="161925" cy="152400"/>
                <wp:effectExtent l="11430" t="12065" r="7620" b="6985"/>
                <wp:wrapNone/>
                <wp:docPr id="17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645FA" id="Rectangle 92" o:spid="_x0000_s1026" style="position:absolute;margin-left:1.25pt;margin-top:3.8pt;width:12.75pt;height: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"/>
            </w:pict>
          </mc:Fallback>
        </mc:AlternateContent>
      </w:r>
      <w:r w:rsidR="006F76EB" w:rsidRPr="00834D52">
        <w:rPr>
          <w:rFonts w:ascii="Sylfaen" w:hAnsi="Sylfaen"/>
          <w:sz w:val="24"/>
          <w:szCs w:val="24"/>
        </w:rPr>
        <w:t>ռադիոնուկլիդի պրեկուրսոր</w:t>
      </w:r>
    </w:p>
    <w:p w14:paraId="60861A93" w14:textId="77777777" w:rsidR="00D87E6B" w:rsidRPr="00D87E6B" w:rsidRDefault="00D87E6B" w:rsidP="00D87E6B">
      <w:pPr>
        <w:spacing w:after="160" w:line="360" w:lineRule="auto"/>
        <w:ind w:right="-8" w:firstLine="567"/>
        <w:rPr>
          <w:rFonts w:ascii="Sylfaen" w:eastAsia="Times New Roman" w:hAnsi="Sylfaen" w:cs="Times New Roman"/>
          <w:sz w:val="24"/>
          <w:szCs w:val="24"/>
          <w:lang w:val="en-US"/>
        </w:rPr>
      </w:pPr>
    </w:p>
    <w:tbl>
      <w:tblPr>
        <w:tblW w:w="9646" w:type="dxa"/>
        <w:tblInd w:w="109" w:type="dxa"/>
        <w:tblLayout w:type="fixed"/>
        <w:tblCellMar>
          <w:left w:w="0" w:type="dxa"/>
          <w:right w:w="0" w:type="dxa"/>
        </w:tblCellMar>
        <w:tblLook w:val="01E0" w:firstRow="1" w:lastRow="1" w:firstColumn="1" w:lastColumn="1" w:noHBand="0" w:noVBand="0"/>
      </w:tblPr>
      <w:tblGrid>
        <w:gridCol w:w="4817"/>
        <w:gridCol w:w="4829"/>
      </w:tblGrid>
      <w:tr w:rsidR="006F76EB" w:rsidRPr="00834D52" w14:paraId="4DB19605" w14:textId="77777777" w:rsidTr="00D87E6B">
        <w:trPr>
          <w:trHeight w:val="1077"/>
        </w:trPr>
        <w:tc>
          <w:tcPr>
            <w:tcW w:w="4817" w:type="dxa"/>
            <w:tcBorders>
              <w:top w:val="single" w:sz="4" w:space="0" w:color="000000"/>
              <w:left w:val="single" w:sz="4" w:space="0" w:color="000000"/>
              <w:bottom w:val="single" w:sz="4" w:space="0" w:color="000000"/>
              <w:right w:val="single" w:sz="4" w:space="0" w:color="000000"/>
            </w:tcBorders>
          </w:tcPr>
          <w:p w14:paraId="13B67064" w14:textId="77777777" w:rsidR="006F76EB" w:rsidRPr="00834D52" w:rsidRDefault="006F76EB" w:rsidP="00EC36F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ռադիոնուկլիդի աղբյուրը (առաջնային </w:t>
            </w:r>
            <w:r w:rsidR="00C54D75">
              <w:rPr>
                <w:rFonts w:ascii="Sylfaen" w:hAnsi="Sylfaen"/>
                <w:sz w:val="24"/>
                <w:szCs w:val="24"/>
              </w:rPr>
              <w:t>և</w:t>
            </w:r>
            <w:r w:rsidRPr="00834D52">
              <w:rPr>
                <w:rFonts w:ascii="Sylfaen" w:hAnsi="Sylfaen"/>
                <w:sz w:val="24"/>
                <w:szCs w:val="24"/>
              </w:rPr>
              <w:t xml:space="preserve"> երկրորդային) (առկայության դեպքում)</w:t>
            </w:r>
          </w:p>
        </w:tc>
        <w:tc>
          <w:tcPr>
            <w:tcW w:w="4829" w:type="dxa"/>
            <w:tcBorders>
              <w:top w:val="single" w:sz="4" w:space="0" w:color="000000"/>
              <w:left w:val="single" w:sz="4" w:space="0" w:color="000000"/>
              <w:bottom w:val="single" w:sz="4" w:space="0" w:color="000000"/>
              <w:right w:val="single" w:sz="4" w:space="0" w:color="000000"/>
            </w:tcBorders>
          </w:tcPr>
          <w:p w14:paraId="590270E3" w14:textId="77777777" w:rsidR="006F76EB" w:rsidRPr="00834D52" w:rsidRDefault="006F76EB" w:rsidP="00EC36F7">
            <w:pPr>
              <w:spacing w:after="120" w:line="240" w:lineRule="auto"/>
              <w:ind w:right="-6"/>
              <w:rPr>
                <w:rFonts w:ascii="Sylfaen" w:hAnsi="Sylfaen"/>
                <w:sz w:val="24"/>
                <w:szCs w:val="24"/>
              </w:rPr>
            </w:pPr>
          </w:p>
        </w:tc>
      </w:tr>
      <w:tr w:rsidR="006F76EB" w:rsidRPr="00834D52" w14:paraId="57D03802" w14:textId="77777777" w:rsidTr="00D87E6B">
        <w:trPr>
          <w:trHeight w:val="622"/>
        </w:trPr>
        <w:tc>
          <w:tcPr>
            <w:tcW w:w="4817" w:type="dxa"/>
            <w:tcBorders>
              <w:top w:val="single" w:sz="4" w:space="0" w:color="000000"/>
              <w:left w:val="single" w:sz="4" w:space="0" w:color="000000"/>
              <w:bottom w:val="single" w:sz="4" w:space="0" w:color="000000"/>
              <w:right w:val="single" w:sz="4" w:space="0" w:color="000000"/>
            </w:tcBorders>
          </w:tcPr>
          <w:p w14:paraId="30D52AB0" w14:textId="77777777" w:rsidR="006F76EB" w:rsidRPr="00834D52" w:rsidRDefault="006F76EB" w:rsidP="00EC36F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գեներատոր</w:t>
            </w:r>
          </w:p>
        </w:tc>
        <w:tc>
          <w:tcPr>
            <w:tcW w:w="4829" w:type="dxa"/>
            <w:tcBorders>
              <w:top w:val="single" w:sz="4" w:space="0" w:color="000000"/>
              <w:left w:val="single" w:sz="4" w:space="0" w:color="000000"/>
              <w:bottom w:val="single" w:sz="4" w:space="0" w:color="000000"/>
              <w:right w:val="single" w:sz="4" w:space="0" w:color="000000"/>
            </w:tcBorders>
          </w:tcPr>
          <w:p w14:paraId="7CD378DA" w14:textId="77777777" w:rsidR="006F76EB" w:rsidRPr="00834D52" w:rsidRDefault="006F76EB" w:rsidP="00EC36F7">
            <w:pPr>
              <w:spacing w:after="120" w:line="240" w:lineRule="auto"/>
              <w:ind w:right="-6"/>
              <w:rPr>
                <w:rFonts w:ascii="Sylfaen" w:hAnsi="Sylfaen"/>
                <w:sz w:val="24"/>
                <w:szCs w:val="24"/>
              </w:rPr>
            </w:pPr>
          </w:p>
        </w:tc>
      </w:tr>
    </w:tbl>
    <w:p w14:paraId="6A018575" w14:textId="77777777" w:rsidR="006F76EB" w:rsidRPr="00834D52" w:rsidRDefault="006F76EB" w:rsidP="006F76EB">
      <w:pPr>
        <w:spacing w:after="160" w:line="360" w:lineRule="auto"/>
        <w:ind w:right="-8"/>
        <w:rPr>
          <w:rFonts w:ascii="Sylfaen" w:hAnsi="Sylfaen"/>
          <w:sz w:val="24"/>
          <w:szCs w:val="24"/>
        </w:rPr>
      </w:pPr>
    </w:p>
    <w:p w14:paraId="5769C673" w14:textId="6E32B0E1"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48512" behindDoc="0" locked="0" layoutInCell="1" allowOverlap="1" wp14:anchorId="006192DF" wp14:editId="1E599841">
                <wp:simplePos x="0" y="0"/>
                <wp:positionH relativeFrom="column">
                  <wp:posOffset>1318895</wp:posOffset>
                </wp:positionH>
                <wp:positionV relativeFrom="paragraph">
                  <wp:posOffset>21590</wp:posOffset>
                </wp:positionV>
                <wp:extent cx="161925" cy="152400"/>
                <wp:effectExtent l="9525" t="5715" r="9525" b="13335"/>
                <wp:wrapNone/>
                <wp:docPr id="17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8C383" id="Rectangle 93" o:spid="_x0000_s1026" style="position:absolute;margin-left:103.85pt;margin-top:1.7pt;width:12.75pt;height: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"/>
            </w:pict>
          </mc:Fallback>
        </mc:AlternateContent>
      </w:r>
      <w:r w:rsidR="006F76EB" w:rsidRPr="00834D52">
        <w:rPr>
          <w:rFonts w:ascii="Sylfaen" w:hAnsi="Sylfaen"/>
          <w:sz w:val="24"/>
          <w:szCs w:val="24"/>
        </w:rPr>
        <w:t>ՀՈՄԵՈՊԱԹԻԿ ԴԵՂԱՊԱՏՐԱՍՏՈՒԿ</w:t>
      </w:r>
    </w:p>
    <w:p w14:paraId="0FEF07AA" w14:textId="45818EA8"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49536" behindDoc="0" locked="0" layoutInCell="1" allowOverlap="1" wp14:anchorId="3A4C1754" wp14:editId="1FA985DF">
                <wp:simplePos x="0" y="0"/>
                <wp:positionH relativeFrom="column">
                  <wp:posOffset>-3175</wp:posOffset>
                </wp:positionH>
                <wp:positionV relativeFrom="paragraph">
                  <wp:posOffset>31750</wp:posOffset>
                </wp:positionV>
                <wp:extent cx="161925" cy="152400"/>
                <wp:effectExtent l="11430" t="8890" r="7620" b="10160"/>
                <wp:wrapNone/>
                <wp:docPr id="1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31F1" id="Rectangle 94" o:spid="_x0000_s1026" style="position:absolute;margin-left:-.25pt;margin-top:2.5pt;width:12.75pt;height: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"/>
            </w:pict>
          </mc:Fallback>
        </mc:AlternateConten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չներառված նոր հոմեոպաթիկ պատրաստուկ</w:t>
      </w:r>
    </w:p>
    <w:p w14:paraId="6005CF16" w14:textId="06F48BB9" w:rsidR="006F76EB" w:rsidRPr="00834D52" w:rsidRDefault="0037154C"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50560" behindDoc="0" locked="0" layoutInCell="1" allowOverlap="1" wp14:anchorId="1427D2B4" wp14:editId="5978B640">
                <wp:simplePos x="0" y="0"/>
                <wp:positionH relativeFrom="column">
                  <wp:posOffset>-22225</wp:posOffset>
                </wp:positionH>
                <wp:positionV relativeFrom="paragraph">
                  <wp:posOffset>22860</wp:posOffset>
                </wp:positionV>
                <wp:extent cx="161925" cy="152400"/>
                <wp:effectExtent l="11430" t="8255" r="7620" b="10795"/>
                <wp:wrapNone/>
                <wp:docPr id="17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54917" id="Rectangle 95" o:spid="_x0000_s1026" style="position:absolute;margin-left:-1.75pt;margin-top:1.8pt;width:12.75pt;height: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"/>
            </w:pict>
          </mc:Fallback>
        </mc:AlternateConten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ներառված հոմեոպաթիկ պատրաստուկ</w:t>
      </w:r>
    </w:p>
    <w:p w14:paraId="59E66006" w14:textId="0EA95731" w:rsidR="006F76EB" w:rsidRPr="00834D52" w:rsidRDefault="0037154C" w:rsidP="006F76EB">
      <w:pPr>
        <w:spacing w:after="160" w:line="360" w:lineRule="auto"/>
        <w:ind w:right="-8"/>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651584" behindDoc="0" locked="0" layoutInCell="1" allowOverlap="1" wp14:anchorId="56CAF571" wp14:editId="3709D125">
                <wp:simplePos x="0" y="0"/>
                <wp:positionH relativeFrom="column">
                  <wp:posOffset>1376045</wp:posOffset>
                </wp:positionH>
                <wp:positionV relativeFrom="paragraph">
                  <wp:posOffset>386715</wp:posOffset>
                </wp:positionV>
                <wp:extent cx="161925" cy="152400"/>
                <wp:effectExtent l="9525" t="12700" r="9525" b="6350"/>
                <wp:wrapNone/>
                <wp:docPr id="17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00991" id="Rectangle 96" o:spid="_x0000_s1026" style="position:absolute;margin-left:108.35pt;margin-top:30.45pt;width:12.75pt;height: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"/>
            </w:pict>
          </mc:Fallback>
        </mc:AlternateContent>
      </w:r>
    </w:p>
    <w:p w14:paraId="75FEA8A2"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ԲՈՒՍԱԿԱՆ ԴԵՂԱՊԱՏՐԱՍՏՈՒԿ</w:t>
      </w:r>
    </w:p>
    <w:p w14:paraId="4598429E" w14:textId="5D0B2AB3"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52608" behindDoc="0" locked="0" layoutInCell="1" allowOverlap="1" wp14:anchorId="4336D6C7" wp14:editId="2E3FB4E3">
                <wp:simplePos x="0" y="0"/>
                <wp:positionH relativeFrom="column">
                  <wp:posOffset>661670</wp:posOffset>
                </wp:positionH>
                <wp:positionV relativeFrom="paragraph">
                  <wp:posOffset>19685</wp:posOffset>
                </wp:positionV>
                <wp:extent cx="161925" cy="152400"/>
                <wp:effectExtent l="9525" t="12700" r="9525" b="6350"/>
                <wp:wrapNone/>
                <wp:docPr id="17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791A0" id="Rectangle 97" o:spid="_x0000_s1026" style="position:absolute;margin-left:52.1pt;margin-top:1.55pt;width:12.75pt;height: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"/>
            </w:pict>
          </mc:Fallback>
        </mc:AlternateContent>
      </w:r>
      <w:r w:rsidR="006F76EB" w:rsidRPr="00834D52">
        <w:rPr>
          <w:rFonts w:ascii="Sylfaen" w:hAnsi="Sylfaen"/>
          <w:sz w:val="24"/>
          <w:szCs w:val="24"/>
        </w:rPr>
        <w:t>ՀԱԶՎԱԴԵՊ ԿԻՐԱՌՎՈՂ («ՈՐԲ») ԴԵՂԱՊԱՏՐԱՍՏՈՒԿ</w:t>
      </w:r>
    </w:p>
    <w:p w14:paraId="7D40734C"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Արդյոք Եվրասիական տնտեսական միության անդամ պետություններում կամ դրա սահմաններից դուրս դեղապատրաստուկին տրվել է հազվադեպ կիրառվող («որբ») դեղապատրաստուկի կարգավիճակ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953"/>
        <w:gridCol w:w="1166"/>
      </w:tblGrid>
      <w:tr w:rsidR="006F76EB" w:rsidRPr="00834D52" w14:paraId="0340E1DF" w14:textId="77777777" w:rsidTr="00F71229">
        <w:trPr>
          <w:jc w:val="center"/>
        </w:trPr>
        <w:tc>
          <w:tcPr>
            <w:tcW w:w="959" w:type="dxa"/>
          </w:tcPr>
          <w:p w14:paraId="2C942AE3" w14:textId="6EB1E792"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53632" behindDoc="0" locked="0" layoutInCell="1" allowOverlap="1" wp14:anchorId="29DA6B42" wp14:editId="0506BDF4">
                      <wp:simplePos x="0" y="0"/>
                      <wp:positionH relativeFrom="column">
                        <wp:posOffset>-38100</wp:posOffset>
                      </wp:positionH>
                      <wp:positionV relativeFrom="paragraph">
                        <wp:posOffset>15240</wp:posOffset>
                      </wp:positionV>
                      <wp:extent cx="161925" cy="152400"/>
                      <wp:effectExtent l="12065" t="5715" r="6985" b="13335"/>
                      <wp:wrapNone/>
                      <wp:docPr id="17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B5C30" id="Rectangle 100" o:spid="_x0000_s1026" style="position:absolute;margin-left:-3pt;margin-top:1.2pt;width:12.75pt;height: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"/>
                  </w:pict>
                </mc:Fallback>
              </mc:AlternateContent>
            </w:r>
            <w:r w:rsidR="006F76EB" w:rsidRPr="00834D52">
              <w:rPr>
                <w:rFonts w:ascii="Sylfaen" w:hAnsi="Sylfaen"/>
                <w:sz w:val="24"/>
                <w:szCs w:val="24"/>
              </w:rPr>
              <w:t xml:space="preserve">ոչ </w:t>
            </w:r>
          </w:p>
        </w:tc>
        <w:tc>
          <w:tcPr>
            <w:tcW w:w="5953" w:type="dxa"/>
          </w:tcPr>
          <w:p w14:paraId="4B3E1F1B" w14:textId="240BA86E"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54656" behindDoc="0" locked="0" layoutInCell="1" allowOverlap="1" wp14:anchorId="3B518A16" wp14:editId="05979A6B">
                      <wp:simplePos x="0" y="0"/>
                      <wp:positionH relativeFrom="column">
                        <wp:posOffset>-13970</wp:posOffset>
                      </wp:positionH>
                      <wp:positionV relativeFrom="paragraph">
                        <wp:posOffset>15240</wp:posOffset>
                      </wp:positionV>
                      <wp:extent cx="161925" cy="152400"/>
                      <wp:effectExtent l="6985" t="5715" r="12065" b="13335"/>
                      <wp:wrapNone/>
                      <wp:docPr id="17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34C3C" id="Rectangle 99" o:spid="_x0000_s1026" style="position:absolute;margin-left:-1.1pt;margin-top:1.2pt;width:12.75pt;height: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"/>
                  </w:pict>
                </mc:Fallback>
              </mc:AlternateContent>
            </w:r>
            <w:r w:rsidR="006F76EB" w:rsidRPr="00834D52">
              <w:rPr>
                <w:rFonts w:ascii="Sylfaen" w:hAnsi="Sylfaen"/>
                <w:sz w:val="24"/>
                <w:szCs w:val="24"/>
              </w:rPr>
              <w:t>գտնվում է ուսումնասիրության գործընթացում</w:t>
            </w:r>
          </w:p>
        </w:tc>
        <w:tc>
          <w:tcPr>
            <w:tcW w:w="1166" w:type="dxa"/>
          </w:tcPr>
          <w:p w14:paraId="293C2414" w14:textId="6B5DA294" w:rsidR="006F76EB" w:rsidRPr="00834D52" w:rsidRDefault="0037154C"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55680" behindDoc="0" locked="0" layoutInCell="1" allowOverlap="1" wp14:anchorId="422B2FEE" wp14:editId="4C76245B">
                      <wp:simplePos x="0" y="0"/>
                      <wp:positionH relativeFrom="column">
                        <wp:posOffset>-35560</wp:posOffset>
                      </wp:positionH>
                      <wp:positionV relativeFrom="paragraph">
                        <wp:posOffset>15240</wp:posOffset>
                      </wp:positionV>
                      <wp:extent cx="161925" cy="152400"/>
                      <wp:effectExtent l="12700" t="5715" r="6350" b="13335"/>
                      <wp:wrapNone/>
                      <wp:docPr id="16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5BB6C" id="Rectangle 98" o:spid="_x0000_s1026" style="position:absolute;margin-left:-2.8pt;margin-top:1.2pt;width:12.75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"/>
                  </w:pict>
                </mc:Fallback>
              </mc:AlternateContent>
            </w:r>
            <w:r w:rsidR="006F76EB" w:rsidRPr="00834D52">
              <w:rPr>
                <w:rFonts w:ascii="Sylfaen" w:hAnsi="Sylfaen"/>
                <w:sz w:val="24"/>
                <w:szCs w:val="24"/>
              </w:rPr>
              <w:t>այո</w:t>
            </w:r>
          </w:p>
        </w:tc>
      </w:tr>
    </w:tbl>
    <w:p w14:paraId="6B25C9E1" w14:textId="77777777" w:rsidR="006F76EB" w:rsidRPr="00834D52" w:rsidRDefault="006F76EB" w:rsidP="006F76EB">
      <w:pPr>
        <w:spacing w:after="160" w:line="360" w:lineRule="auto"/>
        <w:ind w:right="-8"/>
        <w:rPr>
          <w:rFonts w:ascii="Sylfaen" w:hAnsi="Sylfaen"/>
          <w:sz w:val="24"/>
          <w:szCs w:val="24"/>
        </w:rPr>
      </w:pPr>
    </w:p>
    <w:tbl>
      <w:tblPr>
        <w:tblW w:w="9610" w:type="dxa"/>
        <w:jc w:val="center"/>
        <w:tblLayout w:type="fixed"/>
        <w:tblCellMar>
          <w:left w:w="0" w:type="dxa"/>
          <w:right w:w="0" w:type="dxa"/>
        </w:tblCellMar>
        <w:tblLook w:val="01E0" w:firstRow="1" w:lastRow="1" w:firstColumn="1" w:lastColumn="1" w:noHBand="0" w:noVBand="0"/>
      </w:tblPr>
      <w:tblGrid>
        <w:gridCol w:w="4142"/>
        <w:gridCol w:w="2240"/>
        <w:gridCol w:w="3228"/>
      </w:tblGrid>
      <w:tr w:rsidR="006F76EB" w:rsidRPr="00834D52" w14:paraId="41D005B0"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23BE9A7A"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ամսաթիվը</w:t>
            </w:r>
          </w:p>
        </w:tc>
        <w:tc>
          <w:tcPr>
            <w:tcW w:w="5468" w:type="dxa"/>
            <w:gridSpan w:val="2"/>
            <w:tcBorders>
              <w:top w:val="single" w:sz="4" w:space="0" w:color="000000"/>
              <w:left w:val="single" w:sz="4" w:space="0" w:color="000000"/>
              <w:bottom w:val="single" w:sz="4" w:space="0" w:color="000000"/>
              <w:right w:val="single" w:sz="4" w:space="0" w:color="000000"/>
            </w:tcBorders>
          </w:tcPr>
          <w:p w14:paraId="62390DB7" w14:textId="77777777" w:rsidR="006F76EB" w:rsidRPr="00834D52" w:rsidRDefault="006F76EB" w:rsidP="00285E87">
            <w:pPr>
              <w:spacing w:after="120" w:line="240" w:lineRule="auto"/>
              <w:ind w:right="-6"/>
              <w:rPr>
                <w:rFonts w:ascii="Sylfaen" w:hAnsi="Sylfaen"/>
                <w:sz w:val="24"/>
                <w:szCs w:val="24"/>
              </w:rPr>
            </w:pPr>
          </w:p>
        </w:tc>
      </w:tr>
      <w:tr w:rsidR="006F76EB" w:rsidRPr="00834D52" w14:paraId="7FA1E96F" w14:textId="77777777" w:rsidTr="00F71229">
        <w:trPr>
          <w:jc w:val="center"/>
        </w:trPr>
        <w:tc>
          <w:tcPr>
            <w:tcW w:w="6382" w:type="dxa"/>
            <w:gridSpan w:val="2"/>
            <w:tcBorders>
              <w:top w:val="single" w:sz="4" w:space="0" w:color="000000"/>
              <w:left w:val="single" w:sz="4" w:space="0" w:color="000000"/>
              <w:bottom w:val="single" w:sz="4" w:space="0" w:color="000000"/>
              <w:right w:val="single" w:sz="4" w:space="0" w:color="000000"/>
            </w:tcBorders>
          </w:tcPr>
          <w:p w14:paraId="64771377"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3228" w:type="dxa"/>
            <w:tcBorders>
              <w:top w:val="single" w:sz="4" w:space="0" w:color="000000"/>
              <w:left w:val="single" w:sz="4" w:space="0" w:color="000000"/>
              <w:bottom w:val="single" w:sz="4" w:space="0" w:color="000000"/>
              <w:right w:val="single" w:sz="4" w:space="0" w:color="000000"/>
            </w:tcBorders>
          </w:tcPr>
          <w:p w14:paraId="4732B6F7" w14:textId="77777777" w:rsidR="006F76EB" w:rsidRPr="00834D52" w:rsidRDefault="006F76EB" w:rsidP="00285E87">
            <w:pPr>
              <w:spacing w:after="120" w:line="240" w:lineRule="auto"/>
              <w:ind w:right="-6"/>
              <w:rPr>
                <w:rFonts w:ascii="Sylfaen" w:hAnsi="Sylfaen"/>
                <w:sz w:val="24"/>
                <w:szCs w:val="24"/>
              </w:rPr>
            </w:pPr>
          </w:p>
        </w:tc>
      </w:tr>
      <w:tr w:rsidR="006F76EB" w:rsidRPr="00834D52" w14:paraId="74136461" w14:textId="77777777" w:rsidTr="00F71229">
        <w:trPr>
          <w:jc w:val="center"/>
        </w:trPr>
        <w:tc>
          <w:tcPr>
            <w:tcW w:w="6382" w:type="dxa"/>
            <w:gridSpan w:val="2"/>
            <w:tcBorders>
              <w:top w:val="single" w:sz="4" w:space="0" w:color="000000"/>
              <w:left w:val="single" w:sz="4" w:space="0" w:color="000000"/>
              <w:bottom w:val="single" w:sz="4" w:space="0" w:color="000000"/>
              <w:right w:val="single" w:sz="4" w:space="0" w:color="000000"/>
            </w:tcBorders>
          </w:tcPr>
          <w:p w14:paraId="01854103"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շնորհել են հազվադեպ կիրառվող («որբ») դեղապատրաստուկի կարգավիճակ </w:t>
            </w:r>
          </w:p>
        </w:tc>
        <w:tc>
          <w:tcPr>
            <w:tcW w:w="3228" w:type="dxa"/>
            <w:tcBorders>
              <w:top w:val="single" w:sz="4" w:space="0" w:color="000000"/>
              <w:left w:val="single" w:sz="4" w:space="0" w:color="000000"/>
              <w:bottom w:val="single" w:sz="4" w:space="0" w:color="000000"/>
              <w:right w:val="single" w:sz="4" w:space="0" w:color="000000"/>
            </w:tcBorders>
          </w:tcPr>
          <w:p w14:paraId="701BC2F7" w14:textId="77777777" w:rsidR="006F76EB" w:rsidRPr="00834D52" w:rsidRDefault="006F76EB" w:rsidP="00285E87">
            <w:pPr>
              <w:spacing w:after="120" w:line="240" w:lineRule="auto"/>
              <w:ind w:right="-6"/>
              <w:rPr>
                <w:rFonts w:ascii="Sylfaen" w:hAnsi="Sylfaen"/>
                <w:sz w:val="24"/>
                <w:szCs w:val="24"/>
              </w:rPr>
            </w:pPr>
          </w:p>
        </w:tc>
      </w:tr>
    </w:tbl>
    <w:p w14:paraId="26FEE323"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կարգավիճակի շնորհումը մերժվել է՝</w:t>
      </w:r>
    </w:p>
    <w:tbl>
      <w:tblPr>
        <w:tblW w:w="9610" w:type="dxa"/>
        <w:jc w:val="center"/>
        <w:tblLayout w:type="fixed"/>
        <w:tblCellMar>
          <w:left w:w="0" w:type="dxa"/>
          <w:right w:w="0" w:type="dxa"/>
        </w:tblCellMar>
        <w:tblLook w:val="01E0" w:firstRow="1" w:lastRow="1" w:firstColumn="1" w:lastColumn="1" w:noHBand="0" w:noVBand="0"/>
      </w:tblPr>
      <w:tblGrid>
        <w:gridCol w:w="4142"/>
        <w:gridCol w:w="5468"/>
      </w:tblGrid>
      <w:tr w:rsidR="006F76EB" w:rsidRPr="00834D52" w14:paraId="6F39101B" w14:textId="77777777" w:rsidTr="00052B35">
        <w:trPr>
          <w:jc w:val="center"/>
        </w:trPr>
        <w:tc>
          <w:tcPr>
            <w:tcW w:w="4142" w:type="dxa"/>
            <w:tcBorders>
              <w:top w:val="single" w:sz="4" w:space="0" w:color="000000"/>
              <w:left w:val="single" w:sz="4" w:space="0" w:color="000000"/>
              <w:bottom w:val="single" w:sz="4" w:space="0" w:color="000000"/>
              <w:right w:val="single" w:sz="4" w:space="0" w:color="000000"/>
            </w:tcBorders>
          </w:tcPr>
          <w:p w14:paraId="1B5C7FF9"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ամսաթիվը</w:t>
            </w:r>
          </w:p>
        </w:tc>
        <w:tc>
          <w:tcPr>
            <w:tcW w:w="5468" w:type="dxa"/>
            <w:tcBorders>
              <w:top w:val="single" w:sz="4" w:space="0" w:color="000000"/>
              <w:left w:val="single" w:sz="4" w:space="0" w:color="000000"/>
              <w:bottom w:val="single" w:sz="4" w:space="0" w:color="000000"/>
              <w:right w:val="single" w:sz="4" w:space="0" w:color="000000"/>
            </w:tcBorders>
          </w:tcPr>
          <w:p w14:paraId="46A62728"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78E6C6FF" w14:textId="77777777" w:rsidTr="00052B35">
        <w:trPr>
          <w:jc w:val="center"/>
        </w:trPr>
        <w:tc>
          <w:tcPr>
            <w:tcW w:w="4142" w:type="dxa"/>
            <w:tcBorders>
              <w:top w:val="single" w:sz="4" w:space="0" w:color="000000"/>
              <w:left w:val="single" w:sz="4" w:space="0" w:color="000000"/>
              <w:bottom w:val="single" w:sz="4" w:space="0" w:color="000000"/>
              <w:right w:val="single" w:sz="4" w:space="0" w:color="000000"/>
            </w:tcBorders>
          </w:tcPr>
          <w:p w14:paraId="7B2BCF32"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որոշման համարը</w:t>
            </w:r>
          </w:p>
        </w:tc>
        <w:tc>
          <w:tcPr>
            <w:tcW w:w="5468" w:type="dxa"/>
            <w:tcBorders>
              <w:top w:val="single" w:sz="4" w:space="0" w:color="000000"/>
              <w:left w:val="single" w:sz="4" w:space="0" w:color="000000"/>
              <w:bottom w:val="single" w:sz="4" w:space="0" w:color="000000"/>
              <w:right w:val="single" w:sz="4" w:space="0" w:color="000000"/>
            </w:tcBorders>
          </w:tcPr>
          <w:p w14:paraId="5AB8A6E0"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1F5EB017" w14:textId="77777777" w:rsidTr="00052B35">
        <w:trPr>
          <w:jc w:val="center"/>
        </w:trPr>
        <w:tc>
          <w:tcPr>
            <w:tcW w:w="9610" w:type="dxa"/>
            <w:gridSpan w:val="2"/>
            <w:tcBorders>
              <w:top w:val="single" w:sz="4" w:space="0" w:color="000000"/>
              <w:left w:val="single" w:sz="4" w:space="0" w:color="000000"/>
              <w:bottom w:val="single" w:sz="4" w:space="0" w:color="000000"/>
              <w:right w:val="single" w:sz="4" w:space="0" w:color="000000"/>
            </w:tcBorders>
          </w:tcPr>
          <w:p w14:paraId="486D2CDB" w14:textId="730EF2A2"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 xml:space="preserve">կարգավիճակի շնորհման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2574881D" w14:textId="77777777" w:rsidTr="00052B35">
        <w:trPr>
          <w:jc w:val="center"/>
        </w:trPr>
        <w:tc>
          <w:tcPr>
            <w:tcW w:w="4142" w:type="dxa"/>
            <w:tcBorders>
              <w:top w:val="single" w:sz="4" w:space="0" w:color="000000"/>
              <w:left w:val="single" w:sz="4" w:space="0" w:color="000000"/>
              <w:bottom w:val="single" w:sz="4" w:space="0" w:color="000000"/>
              <w:right w:val="single" w:sz="4" w:space="0" w:color="000000"/>
            </w:tcBorders>
          </w:tcPr>
          <w:p w14:paraId="0E9636BA"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ամսաթիվը</w:t>
            </w:r>
          </w:p>
        </w:tc>
        <w:tc>
          <w:tcPr>
            <w:tcW w:w="5468" w:type="dxa"/>
            <w:tcBorders>
              <w:top w:val="single" w:sz="4" w:space="0" w:color="000000"/>
              <w:left w:val="single" w:sz="4" w:space="0" w:color="000000"/>
              <w:bottom w:val="single" w:sz="4" w:space="0" w:color="000000"/>
              <w:right w:val="single" w:sz="4" w:space="0" w:color="000000"/>
            </w:tcBorders>
          </w:tcPr>
          <w:p w14:paraId="33BE4547"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29795321" w14:textId="77777777" w:rsidTr="00052B35">
        <w:trPr>
          <w:jc w:val="center"/>
        </w:trPr>
        <w:tc>
          <w:tcPr>
            <w:tcW w:w="9610" w:type="dxa"/>
            <w:gridSpan w:val="2"/>
            <w:tcBorders>
              <w:top w:val="single" w:sz="4" w:space="0" w:color="000000"/>
              <w:left w:val="single" w:sz="4" w:space="0" w:color="000000"/>
              <w:bottom w:val="single" w:sz="4" w:space="0" w:color="000000"/>
              <w:right w:val="single" w:sz="4" w:space="0" w:color="000000"/>
            </w:tcBorders>
          </w:tcPr>
          <w:p w14:paraId="029699C7" w14:textId="77777777" w:rsidR="006F76EB" w:rsidRPr="00834D52" w:rsidRDefault="006F76EB" w:rsidP="00D87E6B">
            <w:pPr>
              <w:spacing w:after="120" w:line="240" w:lineRule="auto"/>
              <w:ind w:left="181" w:right="45"/>
              <w:jc w:val="both"/>
              <w:rPr>
                <w:rFonts w:ascii="Sylfaen" w:eastAsia="Times New Roman" w:hAnsi="Sylfaen" w:cs="Times New Roman"/>
                <w:sz w:val="24"/>
                <w:szCs w:val="24"/>
              </w:rPr>
            </w:pPr>
            <w:r w:rsidRPr="00834D52">
              <w:rPr>
                <w:rFonts w:ascii="Sylfaen" w:hAnsi="Sylfaen"/>
                <w:sz w:val="24"/>
                <w:szCs w:val="24"/>
              </w:rPr>
              <w:t>դեղապատրաստուկին հազվադեպ կիրառվող («որբ») դեղապատրաստուկի կարգավիճակի շնորհումը հաստատող</w:t>
            </w:r>
          </w:p>
          <w:p w14:paraId="66962794" w14:textId="69BB4399" w:rsidR="006F76EB" w:rsidRPr="00834D52" w:rsidRDefault="006F76EB" w:rsidP="00D87E6B">
            <w:pPr>
              <w:spacing w:after="120" w:line="240" w:lineRule="auto"/>
              <w:ind w:left="181" w:right="45"/>
              <w:jc w:val="both"/>
              <w:rPr>
                <w:rFonts w:ascii="Sylfaen" w:eastAsia="Times New Roman" w:hAnsi="Sylfaen" w:cs="Times New Roman"/>
                <w:sz w:val="24"/>
                <w:szCs w:val="24"/>
              </w:rPr>
            </w:pPr>
            <w:r w:rsidRPr="00834D52">
              <w:rPr>
                <w:rFonts w:ascii="Sylfaen" w:hAnsi="Sylfaen"/>
                <w:sz w:val="24"/>
                <w:szCs w:val="24"/>
              </w:rPr>
              <w:t xml:space="preserve">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 xml:space="preserve">5.2 ենթակետ): </w:t>
            </w:r>
          </w:p>
        </w:tc>
      </w:tr>
    </w:tbl>
    <w:p w14:paraId="47F715A0" w14:textId="4A41AC98" w:rsidR="00052B35" w:rsidRPr="00371618" w:rsidRDefault="00052B35" w:rsidP="00052B35">
      <w:pPr>
        <w:rPr>
          <w:b/>
          <w:bCs/>
          <w:i/>
          <w:iCs/>
        </w:rPr>
      </w:pPr>
      <w:r w:rsidRPr="00371618">
        <w:rPr>
          <w:b/>
          <w:bCs/>
          <w:i/>
          <w:iCs/>
        </w:rPr>
        <w:t xml:space="preserve">( </w:t>
      </w:r>
      <w:r>
        <w:rPr>
          <w:b/>
          <w:bCs/>
          <w:i/>
          <w:iCs/>
        </w:rPr>
        <w:t xml:space="preserve">2-րդ ենթակետը </w:t>
      </w:r>
      <w:r w:rsidRPr="00371618">
        <w:rPr>
          <w:b/>
          <w:bCs/>
          <w:i/>
          <w:iCs/>
        </w:rPr>
        <w:t xml:space="preserve"> լրաց. 17.03.22 թիվ 36 )</w:t>
      </w:r>
    </w:p>
    <w:p w14:paraId="2E76D4D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p w14:paraId="1FD0B46C" w14:textId="0A77EC24" w:rsidR="006F76EB" w:rsidRPr="00B51587" w:rsidRDefault="006F76EB" w:rsidP="00B51587">
      <w:pPr>
        <w:widowControl/>
        <w:jc w:val="center"/>
        <w:rPr>
          <w:rFonts w:ascii="Sylfaen" w:hAnsi="Sylfaen"/>
          <w:sz w:val="24"/>
          <w:szCs w:val="24"/>
        </w:rPr>
      </w:pPr>
      <w:r w:rsidRPr="00834D52">
        <w:rPr>
          <w:rFonts w:ascii="Sylfaen" w:hAnsi="Sylfaen"/>
          <w:sz w:val="24"/>
          <w:szCs w:val="24"/>
        </w:rPr>
        <w:t xml:space="preserve">3. </w:t>
      </w:r>
      <w:r w:rsidR="0056496B">
        <w:rPr>
          <w:rFonts w:ascii="Sylfaen" w:hAnsi="Sylfaen"/>
          <w:sz w:val="24"/>
          <w:szCs w:val="24"/>
        </w:rPr>
        <w:t>Դիմում</w:t>
      </w:r>
      <w:r w:rsidRPr="00834D52">
        <w:rPr>
          <w:rFonts w:ascii="Sylfaen" w:hAnsi="Sylfaen"/>
          <w:sz w:val="24"/>
          <w:szCs w:val="24"/>
        </w:rPr>
        <w:t>ի հատուկ կետերը</w:t>
      </w:r>
    </w:p>
    <w:tbl>
      <w:tblPr>
        <w:tblW w:w="9609" w:type="dxa"/>
        <w:jc w:val="center"/>
        <w:tblLayout w:type="fixed"/>
        <w:tblCellMar>
          <w:left w:w="0" w:type="dxa"/>
          <w:right w:w="0" w:type="dxa"/>
        </w:tblCellMar>
        <w:tblLook w:val="01E0" w:firstRow="1" w:lastRow="1" w:firstColumn="1" w:lastColumn="1" w:noHBand="0" w:noVBand="0"/>
      </w:tblPr>
      <w:tblGrid>
        <w:gridCol w:w="5373"/>
        <w:gridCol w:w="4236"/>
      </w:tblGrid>
      <w:tr w:rsidR="006F76EB" w:rsidRPr="00834D52" w14:paraId="3453562E"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24A64510"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4236" w:type="dxa"/>
            <w:tcBorders>
              <w:top w:val="single" w:sz="4" w:space="0" w:color="000000"/>
              <w:left w:val="single" w:sz="4" w:space="0" w:color="000000"/>
              <w:bottom w:val="single" w:sz="4" w:space="0" w:color="000000"/>
              <w:right w:val="single" w:sz="4" w:space="0" w:color="000000"/>
            </w:tcBorders>
          </w:tcPr>
          <w:p w14:paraId="19B448A3" w14:textId="77777777" w:rsidR="006F76EB" w:rsidRPr="00834D52" w:rsidRDefault="006F76EB" w:rsidP="00923BA3">
            <w:pPr>
              <w:spacing w:after="120" w:line="240" w:lineRule="auto"/>
              <w:ind w:right="-6"/>
              <w:rPr>
                <w:rFonts w:ascii="Sylfaen" w:hAnsi="Sylfaen"/>
                <w:sz w:val="24"/>
                <w:szCs w:val="24"/>
              </w:rPr>
            </w:pPr>
          </w:p>
        </w:tc>
      </w:tr>
      <w:tr w:rsidR="006F76EB" w:rsidRPr="00834D52" w14:paraId="742353A1"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7C1DE8B1"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 xml:space="preserve">3.1.1. </w:t>
            </w:r>
            <w:r w:rsidRPr="00834D52">
              <w:rPr>
                <w:rFonts w:ascii="Sylfaen" w:hAnsi="Sylfaen"/>
                <w:sz w:val="24"/>
                <w:szCs w:val="24"/>
                <w:lang w:val="en-US"/>
              </w:rPr>
              <w:tab/>
            </w:r>
            <w:r w:rsidRPr="00834D52">
              <w:rPr>
                <w:rFonts w:ascii="Sylfaen" w:hAnsi="Sylfaen"/>
                <w:sz w:val="24"/>
                <w:szCs w:val="24"/>
              </w:rPr>
              <w:t>Դեղապատրաստուկի անվանումը</w:t>
            </w:r>
          </w:p>
        </w:tc>
        <w:tc>
          <w:tcPr>
            <w:tcW w:w="4236" w:type="dxa"/>
            <w:tcBorders>
              <w:top w:val="single" w:sz="4" w:space="0" w:color="000000"/>
              <w:left w:val="single" w:sz="4" w:space="0" w:color="000000"/>
              <w:bottom w:val="single" w:sz="4" w:space="0" w:color="000000"/>
              <w:right w:val="single" w:sz="4" w:space="0" w:color="000000"/>
            </w:tcBorders>
          </w:tcPr>
          <w:p w14:paraId="2274C12B" w14:textId="77777777" w:rsidR="006F76EB" w:rsidRPr="00834D52" w:rsidRDefault="006F76EB" w:rsidP="00923BA3">
            <w:pPr>
              <w:spacing w:after="120" w:line="240" w:lineRule="auto"/>
              <w:ind w:right="-6"/>
              <w:rPr>
                <w:rFonts w:ascii="Sylfaen" w:hAnsi="Sylfaen"/>
                <w:sz w:val="24"/>
                <w:szCs w:val="24"/>
              </w:rPr>
            </w:pPr>
          </w:p>
        </w:tc>
      </w:tr>
      <w:tr w:rsidR="006F76EB" w:rsidRPr="00834D52" w14:paraId="50DD5D89"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0A4C2C7F"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3.1.2.</w:t>
            </w:r>
            <w:r w:rsidRPr="00834D52">
              <w:rPr>
                <w:rFonts w:ascii="Sylfaen" w:hAnsi="Sylfaen"/>
                <w:sz w:val="24"/>
                <w:szCs w:val="24"/>
              </w:rPr>
              <w:tab/>
              <w:t>ԱԴԲ-ի անվանումը կամ բաղադրությունը</w:t>
            </w:r>
          </w:p>
        </w:tc>
        <w:tc>
          <w:tcPr>
            <w:tcW w:w="4236" w:type="dxa"/>
            <w:tcBorders>
              <w:top w:val="single" w:sz="4" w:space="0" w:color="000000"/>
              <w:left w:val="single" w:sz="4" w:space="0" w:color="000000"/>
              <w:bottom w:val="single" w:sz="4" w:space="0" w:color="000000"/>
              <w:right w:val="single" w:sz="4" w:space="0" w:color="000000"/>
            </w:tcBorders>
          </w:tcPr>
          <w:p w14:paraId="2753B1EB" w14:textId="77777777" w:rsidR="006F76EB" w:rsidRPr="00834D52" w:rsidRDefault="006F76EB" w:rsidP="00923BA3">
            <w:pPr>
              <w:spacing w:after="120" w:line="240" w:lineRule="auto"/>
              <w:ind w:right="-6"/>
              <w:rPr>
                <w:rFonts w:ascii="Sylfaen" w:hAnsi="Sylfaen"/>
                <w:sz w:val="24"/>
                <w:szCs w:val="24"/>
              </w:rPr>
            </w:pPr>
          </w:p>
        </w:tc>
      </w:tr>
    </w:tbl>
    <w:p w14:paraId="575A3074" w14:textId="77777777" w:rsidR="006F76EB" w:rsidRPr="00F26B87" w:rsidRDefault="006F76EB" w:rsidP="00923BA3">
      <w:pPr>
        <w:spacing w:after="160" w:line="336" w:lineRule="auto"/>
        <w:ind w:right="-6" w:firstLine="567"/>
        <w:jc w:val="both"/>
        <w:rPr>
          <w:rFonts w:ascii="Sylfaen" w:hAnsi="Sylfaen"/>
          <w:sz w:val="24"/>
          <w:szCs w:val="24"/>
        </w:rPr>
      </w:pPr>
      <w:r w:rsidRPr="00834D52">
        <w:rPr>
          <w:rFonts w:ascii="Sylfaen" w:hAnsi="Sylfaen"/>
          <w:sz w:val="24"/>
          <w:szCs w:val="24"/>
        </w:rPr>
        <w:t>Ծանոթագրություն. Միայն մեկ անվանում պետք է բերվի հետ</w:t>
      </w:r>
      <w:r w:rsidR="00C54D75">
        <w:rPr>
          <w:rFonts w:ascii="Sylfaen" w:hAnsi="Sylfaen"/>
          <w:sz w:val="24"/>
          <w:szCs w:val="24"/>
        </w:rPr>
        <w:t>և</w:t>
      </w:r>
      <w:r w:rsidRPr="00834D52">
        <w:rPr>
          <w:rFonts w:ascii="Sylfaen" w:hAnsi="Sylfaen"/>
          <w:sz w:val="24"/>
          <w:szCs w:val="24"/>
        </w:rPr>
        <w:t>յալ կարգով՝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անվանումը՝ ըստ Եվրասիական տնտեսական միության դեղագրքի, Եվրասիական տնտեսական միության անդամ պետությունների դեղագրքերի (կամ Եվրասիական տնտեսական հանձնաժողովի կողմից հաստատված Եվրասիական տնտեսական միության անդամ պետությունների դեղագրքերի ներդաշնակեցման հայեցակարգին համապատասխան հիմնական դեղագրքերի), համընդհանուր կամ խմբի </w:t>
      </w:r>
      <w:r w:rsidRPr="00834D52">
        <w:rPr>
          <w:rFonts w:ascii="Sylfaen" w:hAnsi="Sylfaen"/>
          <w:sz w:val="24"/>
          <w:szCs w:val="24"/>
        </w:rPr>
        <w:lastRenderedPageBreak/>
        <w:t>անվանումը, գիտական (քիմիական) անվանումը:</w:t>
      </w:r>
    </w:p>
    <w:p w14:paraId="3A01AA42" w14:textId="77777777" w:rsidR="006F76EB" w:rsidRPr="00834D52" w:rsidRDefault="006F76EB" w:rsidP="00923BA3">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footnoteReference w:customMarkFollows="1" w:id="9"/>
        <w:t>3.1.3.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w:t>
      </w:r>
    </w:p>
    <w:p w14:paraId="6CED70D4"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(օգտագործեք ԱԲՔ գործող ծածկագիրը)</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145619F3"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C0E6076" w14:textId="77777777" w:rsidR="006F76EB" w:rsidRPr="002C43D7" w:rsidRDefault="006F76EB" w:rsidP="00923BA3">
            <w:pPr>
              <w:spacing w:after="160" w:line="360" w:lineRule="auto"/>
              <w:ind w:left="25" w:right="-8"/>
              <w:rPr>
                <w:rFonts w:ascii="Sylfaen" w:eastAsia="Times New Roman" w:hAnsi="Sylfaen" w:cs="Times New Roman"/>
                <w:sz w:val="24"/>
                <w:szCs w:val="24"/>
              </w:rPr>
            </w:pPr>
            <w:r w:rsidRPr="002C43D7">
              <w:rPr>
                <w:rFonts w:ascii="Sylfaen" w:hAnsi="Sylfaen"/>
                <w:sz w:val="24"/>
                <w:szCs w:val="24"/>
              </w:rPr>
              <w:t>ԱԲՔ ծածկագիրը</w:t>
            </w:r>
          </w:p>
        </w:tc>
        <w:tc>
          <w:tcPr>
            <w:tcW w:w="4519" w:type="dxa"/>
            <w:tcBorders>
              <w:top w:val="single" w:sz="4" w:space="0" w:color="000000"/>
              <w:left w:val="single" w:sz="4" w:space="0" w:color="000000"/>
              <w:bottom w:val="single" w:sz="4" w:space="0" w:color="000000"/>
              <w:right w:val="single" w:sz="4" w:space="0" w:color="000000"/>
            </w:tcBorders>
          </w:tcPr>
          <w:p w14:paraId="7E977AFC" w14:textId="77777777" w:rsidR="006F76EB" w:rsidRPr="00834D52" w:rsidRDefault="006F76EB" w:rsidP="00F71229">
            <w:pPr>
              <w:spacing w:after="160" w:line="360" w:lineRule="auto"/>
              <w:ind w:right="-8"/>
              <w:rPr>
                <w:rFonts w:ascii="Sylfaen" w:hAnsi="Sylfaen"/>
                <w:sz w:val="24"/>
                <w:szCs w:val="24"/>
              </w:rPr>
            </w:pPr>
          </w:p>
        </w:tc>
      </w:tr>
      <w:tr w:rsidR="006F76EB" w:rsidRPr="00834D52" w14:paraId="11119D9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62E3141" w14:textId="77777777" w:rsidR="006F76EB" w:rsidRPr="002C43D7" w:rsidRDefault="006F76EB" w:rsidP="00923BA3">
            <w:pPr>
              <w:spacing w:after="160" w:line="360" w:lineRule="auto"/>
              <w:ind w:right="-8"/>
              <w:rPr>
                <w:rFonts w:ascii="Sylfaen" w:eastAsia="Times New Roman" w:hAnsi="Sylfaen" w:cs="Times New Roman"/>
                <w:sz w:val="24"/>
                <w:szCs w:val="24"/>
              </w:rPr>
            </w:pPr>
            <w:r w:rsidRPr="002C43D7">
              <w:rPr>
                <w:rFonts w:ascii="Sylfaen" w:hAnsi="Sylfaen"/>
                <w:sz w:val="24"/>
                <w:szCs w:val="24"/>
              </w:rPr>
              <w:t>Խումբը</w:t>
            </w:r>
          </w:p>
        </w:tc>
        <w:tc>
          <w:tcPr>
            <w:tcW w:w="4519" w:type="dxa"/>
            <w:tcBorders>
              <w:top w:val="single" w:sz="4" w:space="0" w:color="000000"/>
              <w:left w:val="single" w:sz="4" w:space="0" w:color="000000"/>
              <w:bottom w:val="single" w:sz="4" w:space="0" w:color="000000"/>
              <w:right w:val="single" w:sz="4" w:space="0" w:color="000000"/>
            </w:tcBorders>
          </w:tcPr>
          <w:p w14:paraId="75246A5E" w14:textId="77777777" w:rsidR="006F76EB" w:rsidRPr="00834D52" w:rsidRDefault="006F76EB" w:rsidP="00F71229">
            <w:pPr>
              <w:spacing w:after="160" w:line="360" w:lineRule="auto"/>
              <w:ind w:right="-8"/>
              <w:rPr>
                <w:rFonts w:ascii="Sylfaen" w:hAnsi="Sylfaen"/>
                <w:sz w:val="24"/>
                <w:szCs w:val="24"/>
              </w:rPr>
            </w:pPr>
          </w:p>
        </w:tc>
      </w:tr>
    </w:tbl>
    <w:p w14:paraId="6BD7BD63" w14:textId="743C0DAE"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շնորհված չէ, ապա նշե՛ք, թե արդյոք ներկայացվել է ԱԲՔ ծածկագրի շնորհման </w:t>
      </w:r>
      <w:r w:rsidR="0056496B">
        <w:rPr>
          <w:rFonts w:ascii="Sylfaen" w:hAnsi="Sylfaen"/>
          <w:sz w:val="24"/>
          <w:szCs w:val="24"/>
        </w:rPr>
        <w:t>դիմում</w:t>
      </w:r>
      <w:r w:rsidRPr="00834D52">
        <w:rPr>
          <w:rFonts w:ascii="Sylfaen" w:hAnsi="Sylfaen"/>
          <w:sz w:val="24"/>
          <w:szCs w:val="24"/>
        </w:rPr>
        <w:t xml:space="preserve"> </w:t>
      </w:r>
    </w:p>
    <w:p w14:paraId="4E8971C1" w14:textId="77777777" w:rsidR="006F76EB" w:rsidRPr="00834D52" w:rsidRDefault="006F76EB" w:rsidP="00923BA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Դոզավորումը,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եղանակը, առաջնային փաթեթվածքի տարողունակությունը, դոզավորման միավորների քանակը փաթեթվածքում</w:t>
      </w:r>
    </w:p>
    <w:p w14:paraId="09DDDD72" w14:textId="77777777" w:rsidR="006F76EB" w:rsidRPr="00834D52" w:rsidRDefault="006F76EB" w:rsidP="00923BA3">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3.2.1.</w:t>
      </w:r>
      <w:r w:rsidRPr="00834D52">
        <w:rPr>
          <w:rFonts w:ascii="Sylfaen" w:hAnsi="Sylfaen"/>
          <w:sz w:val="24"/>
          <w:szCs w:val="24"/>
        </w:rPr>
        <w:tab/>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1F851A3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9289" w:type="dxa"/>
        <w:jc w:val="center"/>
        <w:tblLayout w:type="fixed"/>
        <w:tblCellMar>
          <w:left w:w="0" w:type="dxa"/>
          <w:right w:w="0" w:type="dxa"/>
        </w:tblCellMar>
        <w:tblLook w:val="01E0" w:firstRow="1" w:lastRow="1" w:firstColumn="1" w:lastColumn="1" w:noHBand="0" w:noVBand="0"/>
      </w:tblPr>
      <w:tblGrid>
        <w:gridCol w:w="5222"/>
        <w:gridCol w:w="4067"/>
      </w:tblGrid>
      <w:tr w:rsidR="006F76EB" w:rsidRPr="00834D52" w14:paraId="46C37B8F" w14:textId="77777777" w:rsidTr="00D249A2">
        <w:trPr>
          <w:trHeight w:val="487"/>
          <w:jc w:val="center"/>
        </w:trPr>
        <w:tc>
          <w:tcPr>
            <w:tcW w:w="5222" w:type="dxa"/>
            <w:tcBorders>
              <w:top w:val="single" w:sz="4" w:space="0" w:color="000000"/>
              <w:left w:val="single" w:sz="4" w:space="0" w:color="000000"/>
              <w:bottom w:val="single" w:sz="4" w:space="0" w:color="000000"/>
              <w:right w:val="single" w:sz="4" w:space="0" w:color="000000"/>
            </w:tcBorders>
          </w:tcPr>
          <w:p w14:paraId="504B3B25" w14:textId="77777777" w:rsidR="006F76EB" w:rsidRPr="00834D52" w:rsidRDefault="006F76EB" w:rsidP="00B70AD0">
            <w:pPr>
              <w:spacing w:after="120" w:line="240" w:lineRule="auto"/>
              <w:ind w:left="48" w:right="-6" w:firstLine="7"/>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067" w:type="dxa"/>
            <w:tcBorders>
              <w:top w:val="single" w:sz="4" w:space="0" w:color="000000"/>
              <w:left w:val="single" w:sz="4" w:space="0" w:color="000000"/>
              <w:bottom w:val="single" w:sz="4" w:space="0" w:color="000000"/>
              <w:right w:val="single" w:sz="4" w:space="0" w:color="000000"/>
            </w:tcBorders>
          </w:tcPr>
          <w:p w14:paraId="7128D6C0" w14:textId="77777777" w:rsidR="006F76EB" w:rsidRPr="00834D52" w:rsidRDefault="006F76EB" w:rsidP="00B70AD0">
            <w:pPr>
              <w:spacing w:after="120" w:line="240" w:lineRule="auto"/>
              <w:ind w:right="-6"/>
              <w:rPr>
                <w:rFonts w:ascii="Sylfaen" w:hAnsi="Sylfaen"/>
                <w:sz w:val="24"/>
                <w:szCs w:val="24"/>
              </w:rPr>
            </w:pPr>
          </w:p>
        </w:tc>
      </w:tr>
      <w:tr w:rsidR="006F76EB" w:rsidRPr="00834D52" w14:paraId="2614C28C" w14:textId="77777777" w:rsidTr="00D249A2">
        <w:trPr>
          <w:trHeight w:val="506"/>
          <w:jc w:val="center"/>
        </w:trPr>
        <w:tc>
          <w:tcPr>
            <w:tcW w:w="5222" w:type="dxa"/>
            <w:tcBorders>
              <w:top w:val="single" w:sz="4" w:space="0" w:color="000000"/>
              <w:left w:val="single" w:sz="4" w:space="0" w:color="000000"/>
              <w:bottom w:val="single" w:sz="4" w:space="0" w:color="000000"/>
              <w:right w:val="single" w:sz="4" w:space="0" w:color="000000"/>
            </w:tcBorders>
          </w:tcPr>
          <w:p w14:paraId="546807DF" w14:textId="77777777" w:rsidR="006F76EB" w:rsidRPr="00834D52" w:rsidRDefault="006F76EB" w:rsidP="00B70AD0">
            <w:pPr>
              <w:spacing w:after="120" w:line="240" w:lineRule="auto"/>
              <w:ind w:left="48" w:right="-6" w:firstLine="7"/>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4067" w:type="dxa"/>
            <w:tcBorders>
              <w:top w:val="single" w:sz="4" w:space="0" w:color="000000"/>
              <w:left w:val="single" w:sz="4" w:space="0" w:color="000000"/>
              <w:bottom w:val="single" w:sz="4" w:space="0" w:color="000000"/>
              <w:right w:val="single" w:sz="4" w:space="0" w:color="000000"/>
            </w:tcBorders>
          </w:tcPr>
          <w:p w14:paraId="3602D792" w14:textId="77777777" w:rsidR="006F76EB" w:rsidRPr="00834D52" w:rsidRDefault="006F76EB" w:rsidP="00B70AD0">
            <w:pPr>
              <w:spacing w:after="120" w:line="240" w:lineRule="auto"/>
              <w:ind w:right="-6"/>
              <w:rPr>
                <w:rFonts w:ascii="Sylfaen" w:hAnsi="Sylfaen"/>
                <w:sz w:val="24"/>
                <w:szCs w:val="24"/>
              </w:rPr>
            </w:pPr>
          </w:p>
        </w:tc>
      </w:tr>
      <w:tr w:rsidR="006F76EB" w:rsidRPr="00834D52" w14:paraId="5D375CAE" w14:textId="77777777" w:rsidTr="00D249A2">
        <w:trPr>
          <w:trHeight w:val="1247"/>
          <w:jc w:val="center"/>
        </w:trPr>
        <w:tc>
          <w:tcPr>
            <w:tcW w:w="5222" w:type="dxa"/>
            <w:tcBorders>
              <w:top w:val="single" w:sz="4" w:space="0" w:color="000000"/>
              <w:left w:val="single" w:sz="4" w:space="0" w:color="000000"/>
              <w:bottom w:val="single" w:sz="4" w:space="0" w:color="000000"/>
              <w:right w:val="single" w:sz="4" w:space="0" w:color="000000"/>
            </w:tcBorders>
          </w:tcPr>
          <w:p w14:paraId="05784BC8" w14:textId="77777777" w:rsidR="006F76EB" w:rsidRPr="00834D52" w:rsidRDefault="006F76EB" w:rsidP="00B70AD0">
            <w:pPr>
              <w:tabs>
                <w:tab w:val="left" w:pos="1105"/>
              </w:tabs>
              <w:spacing w:after="120" w:line="240" w:lineRule="auto"/>
              <w:ind w:left="48" w:right="-6" w:hanging="21"/>
              <w:rPr>
                <w:rFonts w:ascii="Sylfaen" w:eastAsia="Times New Roman" w:hAnsi="Sylfaen" w:cs="Times New Roman"/>
                <w:sz w:val="24"/>
                <w:szCs w:val="24"/>
              </w:rPr>
            </w:pPr>
            <w:r w:rsidRPr="00834D52">
              <w:rPr>
                <w:rFonts w:ascii="Sylfaen" w:hAnsi="Sylfaen"/>
                <w:sz w:val="24"/>
                <w:szCs w:val="24"/>
              </w:rPr>
              <w:t>3.2.2.</w:t>
            </w:r>
            <w:r w:rsidRPr="00834D52">
              <w:rPr>
                <w:rFonts w:ascii="Sylfaen" w:hAnsi="Sylfaen"/>
                <w:sz w:val="24"/>
                <w:szCs w:val="24"/>
              </w:rPr>
              <w:tab/>
              <w:t>Ներմուծման եղանակը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4067" w:type="dxa"/>
            <w:tcBorders>
              <w:top w:val="single" w:sz="4" w:space="0" w:color="000000"/>
              <w:left w:val="single" w:sz="4" w:space="0" w:color="000000"/>
              <w:bottom w:val="single" w:sz="4" w:space="0" w:color="000000"/>
              <w:right w:val="single" w:sz="4" w:space="0" w:color="000000"/>
            </w:tcBorders>
          </w:tcPr>
          <w:p w14:paraId="72FFDFBD" w14:textId="77777777" w:rsidR="006F76EB" w:rsidRPr="00834D52" w:rsidRDefault="006F76EB" w:rsidP="00B70AD0">
            <w:pPr>
              <w:spacing w:after="120" w:line="240" w:lineRule="auto"/>
              <w:ind w:right="-6"/>
              <w:rPr>
                <w:rFonts w:ascii="Sylfaen" w:hAnsi="Sylfaen"/>
                <w:sz w:val="24"/>
                <w:szCs w:val="24"/>
              </w:rPr>
            </w:pPr>
          </w:p>
        </w:tc>
      </w:tr>
      <w:tr w:rsidR="006F76EB" w:rsidRPr="00834D52" w14:paraId="0D2AE727" w14:textId="77777777" w:rsidTr="00D249A2">
        <w:trPr>
          <w:trHeight w:val="2727"/>
          <w:jc w:val="center"/>
        </w:trPr>
        <w:tc>
          <w:tcPr>
            <w:tcW w:w="5222" w:type="dxa"/>
            <w:tcBorders>
              <w:top w:val="single" w:sz="4" w:space="0" w:color="000000"/>
              <w:left w:val="single" w:sz="4" w:space="0" w:color="000000"/>
              <w:bottom w:val="single" w:sz="4" w:space="0" w:color="000000"/>
              <w:right w:val="single" w:sz="4" w:space="0" w:color="000000"/>
            </w:tcBorders>
          </w:tcPr>
          <w:p w14:paraId="2FEB6557" w14:textId="2BE028D7" w:rsidR="006F76EB" w:rsidRPr="00834D52" w:rsidRDefault="006F76EB" w:rsidP="00B70AD0">
            <w:pPr>
              <w:tabs>
                <w:tab w:val="left" w:pos="1105"/>
              </w:tabs>
              <w:spacing w:after="120" w:line="240" w:lineRule="auto"/>
              <w:ind w:left="48" w:right="-6" w:hanging="21"/>
              <w:rPr>
                <w:rFonts w:ascii="Sylfaen" w:eastAsia="Times New Roman" w:hAnsi="Sylfaen" w:cs="Times New Roman"/>
                <w:spacing w:val="-4"/>
                <w:sz w:val="24"/>
                <w:szCs w:val="24"/>
              </w:rPr>
            </w:pPr>
            <w:r w:rsidRPr="00834D52">
              <w:rPr>
                <w:rFonts w:ascii="Sylfaen" w:hAnsi="Sylfaen"/>
                <w:spacing w:val="-4"/>
                <w:sz w:val="24"/>
                <w:szCs w:val="24"/>
              </w:rPr>
              <w:t>3.2.3.</w:t>
            </w:r>
            <w:r w:rsidRPr="00834D52">
              <w:rPr>
                <w:rFonts w:ascii="Sylfaen" w:hAnsi="Sylfaen"/>
                <w:spacing w:val="-4"/>
                <w:sz w:val="24"/>
                <w:szCs w:val="24"/>
              </w:rPr>
              <w:tab/>
              <w:t xml:space="preserve">Փաթեթվածքը՝ առաջնային </w:t>
            </w:r>
            <w:r w:rsidR="00C54D75">
              <w:rPr>
                <w:rFonts w:ascii="Sylfaen" w:hAnsi="Sylfaen"/>
                <w:spacing w:val="-4"/>
                <w:sz w:val="24"/>
                <w:szCs w:val="24"/>
              </w:rPr>
              <w:t>և</w:t>
            </w:r>
            <w:r w:rsidRPr="00834D52">
              <w:rPr>
                <w:rFonts w:ascii="Sylfaen" w:hAnsi="Sylfaen"/>
                <w:spacing w:val="-4"/>
                <w:sz w:val="24"/>
                <w:szCs w:val="24"/>
              </w:rPr>
              <w:t xml:space="preserve"> երկրորդային փաթեթվածք (առկայության դեպքում), խցանափակման համակարգը </w:t>
            </w:r>
            <w:r w:rsidR="00C54D75">
              <w:rPr>
                <w:rFonts w:ascii="Sylfaen" w:hAnsi="Sylfaen"/>
                <w:spacing w:val="-4"/>
                <w:sz w:val="24"/>
                <w:szCs w:val="24"/>
              </w:rPr>
              <w:t>և</w:t>
            </w:r>
            <w:r w:rsidRPr="00834D52">
              <w:rPr>
                <w:rFonts w:ascii="Sylfaen" w:hAnsi="Sylfaen"/>
                <w:spacing w:val="-4"/>
                <w:sz w:val="24"/>
                <w:szCs w:val="24"/>
              </w:rPr>
              <w:t xml:space="preserve"> ներմուծման սարքերը՝ ներառյալ այն նյութի նկարագրությունը, որից դրանք պատրաստված են (օգտագործե՛ք դեղաձ</w:t>
            </w:r>
            <w:r w:rsidR="00C54D75">
              <w:rPr>
                <w:rFonts w:ascii="Sylfaen" w:hAnsi="Sylfaen"/>
                <w:spacing w:val="-4"/>
                <w:sz w:val="24"/>
                <w:szCs w:val="24"/>
              </w:rPr>
              <w:t>և</w:t>
            </w:r>
            <w:r w:rsidRPr="00834D52">
              <w:rPr>
                <w:rFonts w:ascii="Sylfaen" w:hAnsi="Sylfaen"/>
                <w:spacing w:val="-4"/>
                <w:sz w:val="24"/>
                <w:szCs w:val="24"/>
              </w:rPr>
              <w:t>երի անվանացանկի ստանդարտ եզրույթների ցանկը)</w:t>
            </w:r>
            <w:r w:rsidR="00D5241F">
              <w:t xml:space="preserve"> </w:t>
            </w:r>
            <w:r w:rsidR="00D5241F" w:rsidRPr="00D5241F">
              <w:rPr>
                <w:rFonts w:ascii="Sylfaen" w:hAnsi="Sylfaen"/>
                <w:spacing w:val="-4"/>
                <w:sz w:val="24"/>
                <w:szCs w:val="24"/>
              </w:rPr>
              <w:t>չբաժնեծրարված արտադրանքի փաթեթվածք (առկայության դեպքում)</w:t>
            </w:r>
          </w:p>
        </w:tc>
        <w:tc>
          <w:tcPr>
            <w:tcW w:w="4067" w:type="dxa"/>
            <w:tcBorders>
              <w:top w:val="single" w:sz="4" w:space="0" w:color="000000"/>
              <w:left w:val="single" w:sz="4" w:space="0" w:color="000000"/>
              <w:bottom w:val="single" w:sz="4" w:space="0" w:color="000000"/>
              <w:right w:val="single" w:sz="4" w:space="0" w:color="000000"/>
            </w:tcBorders>
          </w:tcPr>
          <w:p w14:paraId="749B842F" w14:textId="77777777" w:rsidR="006F76EB" w:rsidRPr="00834D52" w:rsidRDefault="006F76EB" w:rsidP="00B70AD0">
            <w:pPr>
              <w:spacing w:after="120" w:line="240" w:lineRule="auto"/>
              <w:ind w:right="-6"/>
              <w:rPr>
                <w:rFonts w:ascii="Sylfaen" w:hAnsi="Sylfaen"/>
                <w:sz w:val="24"/>
                <w:szCs w:val="24"/>
              </w:rPr>
            </w:pPr>
          </w:p>
        </w:tc>
      </w:tr>
    </w:tbl>
    <w:p w14:paraId="41F2822F"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Փաթեթվածքի յուրաքանչյուր տեսակի համար նշե՛ք՝</w:t>
      </w:r>
    </w:p>
    <w:p w14:paraId="0F7915B3"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3.2.3.1.</w:t>
      </w:r>
      <w:r w:rsidRPr="00834D52">
        <w:rPr>
          <w:rFonts w:ascii="Sylfaen" w:hAnsi="Sylfaen"/>
          <w:sz w:val="24"/>
          <w:szCs w:val="24"/>
        </w:rPr>
        <w:tab/>
        <w:t>Դոզավորման միավորների քանակը փաթեթվածքում</w:t>
      </w:r>
    </w:p>
    <w:p w14:paraId="33423896"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3.2.3.2.</w:t>
      </w:r>
      <w:r w:rsidRPr="00834D52">
        <w:rPr>
          <w:rFonts w:ascii="Sylfaen" w:hAnsi="Sylfaen"/>
          <w:sz w:val="24"/>
          <w:szCs w:val="24"/>
        </w:rPr>
        <w:tab/>
        <w:t>Պահպանման առաջարկվող ժամկետը</w:t>
      </w:r>
    </w:p>
    <w:p w14:paraId="0E81B40D"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20E51D3B"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3.2.3.4.</w:t>
      </w:r>
      <w:r w:rsidRPr="00834D52">
        <w:rPr>
          <w:rFonts w:ascii="Sylfaen" w:hAnsi="Sylfaen"/>
          <w:sz w:val="24"/>
          <w:szCs w:val="24"/>
        </w:rPr>
        <w:tab/>
        <w:t>Պահպանման առաջարկվող ժամկետը (վերականգնումից (լուծումից) կամ նոսրացումից հետո)</w:t>
      </w:r>
    </w:p>
    <w:p w14:paraId="109F375B"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3.2.3.5.</w:t>
      </w:r>
      <w:r w:rsidRPr="00834D52">
        <w:rPr>
          <w:rFonts w:ascii="Sylfaen" w:hAnsi="Sylfaen"/>
          <w:sz w:val="24"/>
          <w:szCs w:val="24"/>
        </w:rPr>
        <w:tab/>
        <w:t>Պահպանման առաջարկվող պայմանները</w:t>
      </w:r>
    </w:p>
    <w:p w14:paraId="471B4625"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3.2.3.6.</w:t>
      </w:r>
      <w:r w:rsidRPr="00834D52">
        <w:rPr>
          <w:rFonts w:ascii="Sylfaen" w:hAnsi="Sylfaen"/>
          <w:sz w:val="24"/>
          <w:szCs w:val="24"/>
        </w:rPr>
        <w:tab/>
        <w:t>Պահպանման առաջարկվող պայմանները փաթեթվածքն (առաջնային կամ միջանկյալ) առաջին անգամ բացելուց հետո</w:t>
      </w:r>
    </w:p>
    <w:p w14:paraId="7C5EDA18"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3.2.4.</w:t>
      </w:r>
      <w:r w:rsidRPr="00834D52">
        <w:rPr>
          <w:rFonts w:ascii="Sylfaen" w:hAnsi="Sylfaen"/>
          <w:sz w:val="24"/>
          <w:szCs w:val="24"/>
        </w:rPr>
        <w:tab/>
        <w:t>Ներմուծման սարքերի վերաբերյալ տեղեկատվություն</w:t>
      </w:r>
    </w:p>
    <w:p w14:paraId="5DE1D70F" w14:textId="77777777" w:rsidR="006F76EB" w:rsidRPr="00834D52" w:rsidRDefault="006F76EB" w:rsidP="007D3755">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Բացթողման կատեգորիան</w:t>
      </w:r>
    </w:p>
    <w:tbl>
      <w:tblPr>
        <w:tblStyle w:val="TableGrid"/>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4323"/>
      </w:tblGrid>
      <w:tr w:rsidR="006F76EB" w:rsidRPr="00834D52" w14:paraId="6733BCF2" w14:textId="77777777" w:rsidTr="00D249A2">
        <w:trPr>
          <w:trHeight w:val="812"/>
        </w:trPr>
        <w:tc>
          <w:tcPr>
            <w:tcW w:w="5199" w:type="dxa"/>
          </w:tcPr>
          <w:p w14:paraId="3C043C88" w14:textId="77777777" w:rsidR="006F76EB" w:rsidRPr="00834D52" w:rsidRDefault="006F76EB" w:rsidP="00F71229">
            <w:pPr>
              <w:tabs>
                <w:tab w:val="left" w:pos="1418"/>
              </w:tabs>
              <w:spacing w:after="160" w:line="360" w:lineRule="auto"/>
              <w:ind w:right="-8"/>
              <w:rPr>
                <w:rFonts w:ascii="Sylfaen" w:eastAsia="Times New Roman" w:hAnsi="Sylfaen" w:cs="Times New Roman"/>
                <w:sz w:val="24"/>
                <w:szCs w:val="24"/>
              </w:rPr>
            </w:pPr>
          </w:p>
        </w:tc>
        <w:tc>
          <w:tcPr>
            <w:tcW w:w="4323" w:type="dxa"/>
          </w:tcPr>
          <w:p w14:paraId="0992FE55" w14:textId="7BB1CB5D" w:rsidR="006F76EB" w:rsidRPr="00834D52" w:rsidRDefault="0037154C" w:rsidP="00F71229">
            <w:pPr>
              <w:tabs>
                <w:tab w:val="left" w:pos="1418"/>
              </w:tabs>
              <w:spacing w:after="160" w:line="360" w:lineRule="auto"/>
              <w:ind w:left="513"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56704" behindDoc="0" locked="0" layoutInCell="1" allowOverlap="1" wp14:anchorId="0DDA914F" wp14:editId="02A12915">
                      <wp:simplePos x="0" y="0"/>
                      <wp:positionH relativeFrom="column">
                        <wp:posOffset>-5715</wp:posOffset>
                      </wp:positionH>
                      <wp:positionV relativeFrom="paragraph">
                        <wp:posOffset>81915</wp:posOffset>
                      </wp:positionV>
                      <wp:extent cx="161925" cy="152400"/>
                      <wp:effectExtent l="5080" t="10795" r="13970" b="8255"/>
                      <wp:wrapNone/>
                      <wp:docPr id="16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43EBA" id="Rectangle 101" o:spid="_x0000_s1026" style="position:absolute;margin-left:-.45pt;margin-top:6.45pt;width:12.7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"/>
                  </w:pict>
                </mc:Fallback>
              </mc:AlternateContent>
            </w:r>
            <w:r w:rsidR="006F76EB" w:rsidRPr="00834D52">
              <w:rPr>
                <w:rFonts w:ascii="Sylfaen" w:hAnsi="Sylfaen"/>
                <w:sz w:val="24"/>
                <w:szCs w:val="24"/>
              </w:rPr>
              <w:t>դեղատոմսով</w:t>
            </w:r>
          </w:p>
        </w:tc>
      </w:tr>
      <w:tr w:rsidR="006F76EB" w:rsidRPr="00834D52" w14:paraId="73E37538" w14:textId="77777777" w:rsidTr="00D249A2">
        <w:trPr>
          <w:trHeight w:val="1432"/>
        </w:trPr>
        <w:tc>
          <w:tcPr>
            <w:tcW w:w="5199" w:type="dxa"/>
          </w:tcPr>
          <w:p w14:paraId="46E4875A" w14:textId="77777777" w:rsidR="006F76EB" w:rsidRPr="00834D52" w:rsidRDefault="006F76EB" w:rsidP="008119C0">
            <w:pPr>
              <w:tabs>
                <w:tab w:val="left" w:pos="1134"/>
              </w:tabs>
              <w:spacing w:after="160" w:line="360" w:lineRule="auto"/>
              <w:ind w:right="-8"/>
              <w:rPr>
                <w:rFonts w:ascii="Sylfaen" w:eastAsia="Times New Roman" w:hAnsi="Sylfaen" w:cs="Times New Roman"/>
                <w:sz w:val="24"/>
                <w:szCs w:val="24"/>
              </w:rPr>
            </w:pPr>
            <w:r w:rsidRPr="00834D52">
              <w:rPr>
                <w:rFonts w:ascii="Sylfaen" w:hAnsi="Sylfaen"/>
                <w:sz w:val="24"/>
                <w:szCs w:val="24"/>
              </w:rPr>
              <w:t>3.3.1.</w:t>
            </w:r>
            <w:r w:rsidRPr="00834D52">
              <w:rPr>
                <w:rFonts w:ascii="Sylfaen" w:hAnsi="Sylfaen"/>
                <w:sz w:val="24"/>
                <w:szCs w:val="24"/>
                <w:lang w:val="en-US"/>
              </w:rPr>
              <w:tab/>
            </w:r>
            <w:r w:rsidRPr="00834D52">
              <w:rPr>
                <w:rFonts w:ascii="Sylfaen" w:hAnsi="Sylfaen"/>
                <w:sz w:val="24"/>
                <w:szCs w:val="24"/>
              </w:rPr>
              <w:t>Բացթողման առաջարկվող կատեգորիան՝</w:t>
            </w:r>
          </w:p>
        </w:tc>
        <w:tc>
          <w:tcPr>
            <w:tcW w:w="4323" w:type="dxa"/>
          </w:tcPr>
          <w:p w14:paraId="48294FB4" w14:textId="6E13DD80" w:rsidR="006F76EB" w:rsidRPr="00834D52" w:rsidRDefault="0037154C" w:rsidP="00F71229">
            <w:pPr>
              <w:tabs>
                <w:tab w:val="left" w:pos="1418"/>
              </w:tabs>
              <w:spacing w:after="160" w:line="360" w:lineRule="auto"/>
              <w:ind w:left="513"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57728" behindDoc="0" locked="0" layoutInCell="1" allowOverlap="1" wp14:anchorId="150540FE" wp14:editId="302A9E9E">
                      <wp:simplePos x="0" y="0"/>
                      <wp:positionH relativeFrom="column">
                        <wp:posOffset>-5715</wp:posOffset>
                      </wp:positionH>
                      <wp:positionV relativeFrom="paragraph">
                        <wp:posOffset>67945</wp:posOffset>
                      </wp:positionV>
                      <wp:extent cx="161925" cy="152400"/>
                      <wp:effectExtent l="5080" t="7620" r="13970" b="11430"/>
                      <wp:wrapNone/>
                      <wp:docPr id="16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97F8B" id="Rectangle 102" o:spid="_x0000_s1026" style="position:absolute;margin-left:-.45pt;margin-top:5.35pt;width:12.7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"/>
                  </w:pict>
                </mc:Fallback>
              </mc:AlternateContent>
            </w:r>
            <w:r w:rsidR="006F76EB" w:rsidRPr="00834D52">
              <w:rPr>
                <w:rFonts w:ascii="Sylfaen" w:hAnsi="Sylfaen"/>
                <w:sz w:val="24"/>
                <w:szCs w:val="24"/>
              </w:rPr>
              <w:t>առանց դեղատոմսի</w:t>
            </w:r>
          </w:p>
        </w:tc>
      </w:tr>
      <w:tr w:rsidR="006F76EB" w:rsidRPr="00834D52" w14:paraId="5475B4AB" w14:textId="77777777" w:rsidTr="00D249A2">
        <w:trPr>
          <w:trHeight w:val="812"/>
        </w:trPr>
        <w:tc>
          <w:tcPr>
            <w:tcW w:w="5199" w:type="dxa"/>
          </w:tcPr>
          <w:p w14:paraId="7814D476" w14:textId="77777777" w:rsidR="006F76EB" w:rsidRPr="00834D52" w:rsidRDefault="006F76EB" w:rsidP="00F71229">
            <w:pPr>
              <w:tabs>
                <w:tab w:val="left" w:pos="1418"/>
              </w:tabs>
              <w:spacing w:after="160" w:line="360" w:lineRule="auto"/>
              <w:ind w:right="-8"/>
              <w:rPr>
                <w:rFonts w:ascii="Sylfaen" w:eastAsia="Times New Roman" w:hAnsi="Sylfaen" w:cs="Times New Roman"/>
                <w:sz w:val="24"/>
                <w:szCs w:val="24"/>
              </w:rPr>
            </w:pPr>
          </w:p>
        </w:tc>
        <w:tc>
          <w:tcPr>
            <w:tcW w:w="4323" w:type="dxa"/>
          </w:tcPr>
          <w:p w14:paraId="52279B17" w14:textId="1982FD85" w:rsidR="006F76EB" w:rsidRPr="00834D52" w:rsidRDefault="0037154C" w:rsidP="00F71229">
            <w:pPr>
              <w:tabs>
                <w:tab w:val="left" w:pos="1418"/>
              </w:tabs>
              <w:spacing w:after="160" w:line="360" w:lineRule="auto"/>
              <w:ind w:left="513"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58752" behindDoc="0" locked="0" layoutInCell="1" allowOverlap="1" wp14:anchorId="059B1A15" wp14:editId="03EC40EA">
                      <wp:simplePos x="0" y="0"/>
                      <wp:positionH relativeFrom="column">
                        <wp:posOffset>-5715</wp:posOffset>
                      </wp:positionH>
                      <wp:positionV relativeFrom="paragraph">
                        <wp:posOffset>63500</wp:posOffset>
                      </wp:positionV>
                      <wp:extent cx="161925" cy="152400"/>
                      <wp:effectExtent l="5080" t="7620" r="13970" b="11430"/>
                      <wp:wrapNone/>
                      <wp:docPr id="16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CC3A7" id="Rectangle 103" o:spid="_x0000_s1026" style="position:absolute;margin-left:-.45pt;margin-top:5pt;width:12.75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"/>
                  </w:pict>
                </mc:Fallback>
              </mc:AlternateContent>
            </w:r>
            <w:r w:rsidR="006F76EB" w:rsidRPr="00834D52">
              <w:rPr>
                <w:rFonts w:ascii="Sylfaen" w:hAnsi="Sylfaen"/>
                <w:sz w:val="24"/>
                <w:szCs w:val="24"/>
              </w:rPr>
              <w:t>ստացիոնար պայմաններում</w:t>
            </w:r>
          </w:p>
        </w:tc>
      </w:tr>
    </w:tbl>
    <w:p w14:paraId="42A0F2DE" w14:textId="77777777" w:rsidR="006F76EB" w:rsidRPr="00834D52" w:rsidRDefault="006F76EB" w:rsidP="008119C0">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Գրանցման հավաստագրի իրավատերը</w:t>
      </w:r>
    </w:p>
    <w:p w14:paraId="3391F3F5" w14:textId="77777777" w:rsidR="006F76EB" w:rsidRPr="00834D52" w:rsidRDefault="006F76EB" w:rsidP="008119C0">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3.4.1.</w:t>
      </w:r>
      <w:r w:rsidRPr="00834D52">
        <w:rPr>
          <w:rFonts w:ascii="Sylfaen" w:hAnsi="Sylfaen"/>
          <w:sz w:val="24"/>
          <w:szCs w:val="24"/>
        </w:rPr>
        <w:tab/>
        <w:t>Գրանցման հավաստագրի իրավատերը՝</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4202367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148D885"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519" w:type="dxa"/>
            <w:tcBorders>
              <w:top w:val="single" w:sz="4" w:space="0" w:color="000000"/>
              <w:left w:val="single" w:sz="4" w:space="0" w:color="000000"/>
              <w:bottom w:val="single" w:sz="4" w:space="0" w:color="000000"/>
              <w:right w:val="single" w:sz="4" w:space="0" w:color="000000"/>
            </w:tcBorders>
          </w:tcPr>
          <w:p w14:paraId="62A729FA"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CCC0B6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9F1101B"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հասցեն</w:t>
            </w:r>
          </w:p>
        </w:tc>
        <w:tc>
          <w:tcPr>
            <w:tcW w:w="4519" w:type="dxa"/>
            <w:tcBorders>
              <w:top w:val="single" w:sz="4" w:space="0" w:color="000000"/>
              <w:left w:val="single" w:sz="4" w:space="0" w:color="000000"/>
              <w:bottom w:val="single" w:sz="4" w:space="0" w:color="000000"/>
              <w:right w:val="single" w:sz="4" w:space="0" w:color="000000"/>
            </w:tcBorders>
          </w:tcPr>
          <w:p w14:paraId="6003CC93"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572D423"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ADE4CC2"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19" w:type="dxa"/>
            <w:tcBorders>
              <w:top w:val="single" w:sz="4" w:space="0" w:color="000000"/>
              <w:left w:val="single" w:sz="4" w:space="0" w:color="000000"/>
              <w:bottom w:val="single" w:sz="4" w:space="0" w:color="000000"/>
              <w:right w:val="single" w:sz="4" w:space="0" w:color="000000"/>
            </w:tcBorders>
          </w:tcPr>
          <w:p w14:paraId="0D3355E4"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109007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141010F"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19" w:type="dxa"/>
            <w:tcBorders>
              <w:top w:val="single" w:sz="4" w:space="0" w:color="000000"/>
              <w:left w:val="single" w:sz="4" w:space="0" w:color="000000"/>
              <w:bottom w:val="single" w:sz="4" w:space="0" w:color="000000"/>
              <w:right w:val="single" w:sz="4" w:space="0" w:color="000000"/>
            </w:tcBorders>
          </w:tcPr>
          <w:p w14:paraId="55D254B8" w14:textId="77777777" w:rsidR="006F76EB" w:rsidRPr="00834D52" w:rsidRDefault="006F76EB" w:rsidP="00D249A2">
            <w:pPr>
              <w:spacing w:after="120" w:line="240" w:lineRule="auto"/>
              <w:ind w:right="-6"/>
              <w:rPr>
                <w:rFonts w:ascii="Sylfaen" w:hAnsi="Sylfaen"/>
                <w:sz w:val="24"/>
                <w:szCs w:val="24"/>
              </w:rPr>
            </w:pPr>
          </w:p>
        </w:tc>
      </w:tr>
      <w:tr w:rsidR="006F76EB" w:rsidRPr="00834D52" w14:paraId="2385CD45"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164BFF5"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էլեկտրոնային փոստի հասցեն</w:t>
            </w:r>
          </w:p>
        </w:tc>
        <w:tc>
          <w:tcPr>
            <w:tcW w:w="4519" w:type="dxa"/>
            <w:tcBorders>
              <w:top w:val="single" w:sz="4" w:space="0" w:color="000000"/>
              <w:left w:val="single" w:sz="4" w:space="0" w:color="000000"/>
              <w:bottom w:val="single" w:sz="4" w:space="0" w:color="000000"/>
              <w:right w:val="single" w:sz="4" w:space="0" w:color="000000"/>
            </w:tcBorders>
          </w:tcPr>
          <w:p w14:paraId="21250036" w14:textId="77777777" w:rsidR="006F76EB" w:rsidRPr="00834D52" w:rsidRDefault="006F76EB" w:rsidP="00D249A2">
            <w:pPr>
              <w:spacing w:after="120" w:line="240" w:lineRule="auto"/>
              <w:ind w:right="-6"/>
              <w:rPr>
                <w:rFonts w:ascii="Sylfaen" w:hAnsi="Sylfaen"/>
                <w:sz w:val="24"/>
                <w:szCs w:val="24"/>
              </w:rPr>
            </w:pPr>
          </w:p>
        </w:tc>
      </w:tr>
    </w:tbl>
    <w:p w14:paraId="5F2085A3" w14:textId="43CB0FF8"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647E2B11"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7DB3B98B"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4519" w:type="dxa"/>
            <w:tcBorders>
              <w:top w:val="single" w:sz="4" w:space="0" w:color="000000"/>
              <w:left w:val="single" w:sz="4" w:space="0" w:color="000000"/>
              <w:bottom w:val="single" w:sz="4" w:space="0" w:color="000000"/>
              <w:right w:val="single" w:sz="4" w:space="0" w:color="000000"/>
            </w:tcBorders>
          </w:tcPr>
          <w:p w14:paraId="72E208F2" w14:textId="77777777" w:rsidR="006F76EB" w:rsidRPr="00834D52" w:rsidRDefault="006F76EB" w:rsidP="00D249A2">
            <w:pPr>
              <w:spacing w:after="120" w:line="240" w:lineRule="auto"/>
              <w:ind w:right="-6"/>
              <w:rPr>
                <w:rFonts w:ascii="Sylfaen" w:hAnsi="Sylfaen"/>
                <w:sz w:val="24"/>
                <w:szCs w:val="24"/>
              </w:rPr>
            </w:pPr>
          </w:p>
        </w:tc>
      </w:tr>
      <w:tr w:rsidR="006F76EB" w:rsidRPr="00834D52" w14:paraId="63EF8F3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7470E74"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19" w:type="dxa"/>
            <w:tcBorders>
              <w:top w:val="single" w:sz="4" w:space="0" w:color="000000"/>
              <w:left w:val="single" w:sz="4" w:space="0" w:color="000000"/>
              <w:bottom w:val="single" w:sz="4" w:space="0" w:color="000000"/>
              <w:right w:val="single" w:sz="4" w:space="0" w:color="000000"/>
            </w:tcBorders>
          </w:tcPr>
          <w:p w14:paraId="5C026BD4" w14:textId="77777777" w:rsidR="006F76EB" w:rsidRPr="00834D52" w:rsidRDefault="006F76EB" w:rsidP="00D249A2">
            <w:pPr>
              <w:spacing w:after="120" w:line="240" w:lineRule="auto"/>
              <w:ind w:right="-6"/>
              <w:rPr>
                <w:rFonts w:ascii="Sylfaen" w:hAnsi="Sylfaen"/>
                <w:sz w:val="24"/>
                <w:szCs w:val="24"/>
              </w:rPr>
            </w:pPr>
          </w:p>
        </w:tc>
      </w:tr>
      <w:tr w:rsidR="006F76EB" w:rsidRPr="00834D52" w14:paraId="60D777FE"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7856EE39"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19" w:type="dxa"/>
            <w:tcBorders>
              <w:top w:val="single" w:sz="4" w:space="0" w:color="000000"/>
              <w:left w:val="single" w:sz="4" w:space="0" w:color="000000"/>
              <w:bottom w:val="single" w:sz="4" w:space="0" w:color="000000"/>
              <w:right w:val="single" w:sz="4" w:space="0" w:color="000000"/>
            </w:tcBorders>
          </w:tcPr>
          <w:p w14:paraId="39FE0375" w14:textId="77777777" w:rsidR="006F76EB" w:rsidRPr="00834D52" w:rsidRDefault="006F76EB" w:rsidP="00D249A2">
            <w:pPr>
              <w:spacing w:after="120" w:line="240" w:lineRule="auto"/>
              <w:ind w:right="-6"/>
              <w:rPr>
                <w:rFonts w:ascii="Sylfaen" w:hAnsi="Sylfaen"/>
                <w:sz w:val="24"/>
                <w:szCs w:val="24"/>
              </w:rPr>
            </w:pPr>
          </w:p>
        </w:tc>
      </w:tr>
    </w:tbl>
    <w:p w14:paraId="452338F8" w14:textId="77777777" w:rsidR="006F76EB" w:rsidRPr="00834D52" w:rsidRDefault="006F76EB" w:rsidP="006F76EB">
      <w:pPr>
        <w:spacing w:after="160" w:line="360" w:lineRule="auto"/>
        <w:ind w:right="-8" w:firstLine="567"/>
        <w:jc w:val="both"/>
        <w:rPr>
          <w:rFonts w:ascii="Sylfaen" w:hAnsi="Sylfaen"/>
          <w:sz w:val="24"/>
          <w:szCs w:val="24"/>
          <w:lang w:val="en-US"/>
        </w:rPr>
      </w:pPr>
    </w:p>
    <w:p w14:paraId="734D58EF" w14:textId="0EC088C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7959B6AA" w14:textId="78F0A720"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ի ներկայացուցիչը (</w:t>
      </w:r>
      <w:r w:rsidR="0056496B">
        <w:rPr>
          <w:rFonts w:ascii="Sylfaen" w:hAnsi="Sylfaen"/>
          <w:sz w:val="24"/>
          <w:szCs w:val="24"/>
        </w:rPr>
        <w:t>դիմումատու</w:t>
      </w:r>
      <w:r w:rsidRPr="00834D52">
        <w:rPr>
          <w:rFonts w:ascii="Sylfaen" w:hAnsi="Sylfaen"/>
          <w:sz w:val="24"/>
          <w:szCs w:val="24"/>
        </w:rPr>
        <w:t xml:space="preserve">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3.4.2 ենթակետում ներկայացվածներից՝</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134792B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1C1A30E" w14:textId="1EA868D9" w:rsidR="006F76EB" w:rsidRPr="00834D52" w:rsidRDefault="0056496B" w:rsidP="007D3755">
            <w:pPr>
              <w:spacing w:after="120" w:line="240" w:lineRule="auto"/>
              <w:ind w:left="180"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ներկայացուցչի ազգանունը, անունը, հայրանունը կամ իրավաբանական անձի անվանումը </w:t>
            </w:r>
          </w:p>
        </w:tc>
        <w:tc>
          <w:tcPr>
            <w:tcW w:w="4520" w:type="dxa"/>
            <w:tcBorders>
              <w:top w:val="single" w:sz="4" w:space="0" w:color="000000"/>
              <w:left w:val="single" w:sz="4" w:space="0" w:color="000000"/>
              <w:bottom w:val="single" w:sz="4" w:space="0" w:color="000000"/>
              <w:right w:val="single" w:sz="4" w:space="0" w:color="000000"/>
            </w:tcBorders>
          </w:tcPr>
          <w:p w14:paraId="7C98F6F8" w14:textId="77777777" w:rsidR="006F76EB" w:rsidRPr="00834D52" w:rsidRDefault="006F76EB" w:rsidP="007D3755">
            <w:pPr>
              <w:spacing w:after="120" w:line="240" w:lineRule="auto"/>
              <w:ind w:right="-6"/>
              <w:rPr>
                <w:rFonts w:ascii="Sylfaen" w:hAnsi="Sylfaen"/>
                <w:sz w:val="24"/>
                <w:szCs w:val="24"/>
              </w:rPr>
            </w:pPr>
          </w:p>
        </w:tc>
      </w:tr>
      <w:tr w:rsidR="006F76EB" w:rsidRPr="00834D52" w14:paraId="76D9379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3BD44262"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4520" w:type="dxa"/>
            <w:tcBorders>
              <w:top w:val="single" w:sz="4" w:space="0" w:color="000000"/>
              <w:left w:val="single" w:sz="4" w:space="0" w:color="000000"/>
              <w:bottom w:val="single" w:sz="4" w:space="0" w:color="000000"/>
              <w:right w:val="single" w:sz="4" w:space="0" w:color="000000"/>
            </w:tcBorders>
          </w:tcPr>
          <w:p w14:paraId="59038384" w14:textId="77777777" w:rsidR="006F76EB" w:rsidRPr="00834D52" w:rsidRDefault="006F76EB" w:rsidP="007D3755">
            <w:pPr>
              <w:spacing w:after="120" w:line="240" w:lineRule="auto"/>
              <w:ind w:right="-6"/>
              <w:rPr>
                <w:rFonts w:ascii="Sylfaen" w:hAnsi="Sylfaen"/>
                <w:sz w:val="24"/>
                <w:szCs w:val="24"/>
              </w:rPr>
            </w:pPr>
          </w:p>
        </w:tc>
      </w:tr>
      <w:tr w:rsidR="006F76EB" w:rsidRPr="00834D52" w14:paraId="7B5BAC0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636977E"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775E6528" w14:textId="77777777" w:rsidR="006F76EB" w:rsidRPr="00834D52" w:rsidRDefault="006F76EB" w:rsidP="007D3755">
            <w:pPr>
              <w:spacing w:after="120" w:line="240" w:lineRule="auto"/>
              <w:ind w:right="-6"/>
              <w:rPr>
                <w:rFonts w:ascii="Sylfaen" w:hAnsi="Sylfaen"/>
                <w:sz w:val="24"/>
                <w:szCs w:val="24"/>
              </w:rPr>
            </w:pPr>
          </w:p>
        </w:tc>
      </w:tr>
      <w:tr w:rsidR="006F76EB" w:rsidRPr="00834D52" w14:paraId="432AE3F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6E4B776"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20" w:type="dxa"/>
            <w:tcBorders>
              <w:top w:val="single" w:sz="4" w:space="0" w:color="000000"/>
              <w:left w:val="single" w:sz="4" w:space="0" w:color="000000"/>
              <w:bottom w:val="single" w:sz="4" w:space="0" w:color="000000"/>
              <w:right w:val="single" w:sz="4" w:space="0" w:color="000000"/>
            </w:tcBorders>
          </w:tcPr>
          <w:p w14:paraId="0F5ECEA9" w14:textId="77777777" w:rsidR="006F76EB" w:rsidRPr="00834D52" w:rsidRDefault="006F76EB" w:rsidP="007D3755">
            <w:pPr>
              <w:spacing w:after="120" w:line="240" w:lineRule="auto"/>
              <w:ind w:right="-6"/>
              <w:rPr>
                <w:rFonts w:ascii="Sylfaen" w:hAnsi="Sylfaen"/>
                <w:sz w:val="24"/>
                <w:szCs w:val="24"/>
              </w:rPr>
            </w:pPr>
          </w:p>
        </w:tc>
      </w:tr>
      <w:tr w:rsidR="006F76EB" w:rsidRPr="00834D52" w14:paraId="5BB0873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F793C65"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490EE694" w14:textId="77777777" w:rsidR="006F76EB" w:rsidRPr="00834D52" w:rsidRDefault="006F76EB" w:rsidP="007D3755">
            <w:pPr>
              <w:spacing w:after="120" w:line="240" w:lineRule="auto"/>
              <w:ind w:right="-6"/>
              <w:rPr>
                <w:rFonts w:ascii="Sylfaen" w:hAnsi="Sylfaen"/>
                <w:sz w:val="24"/>
                <w:szCs w:val="24"/>
              </w:rPr>
            </w:pPr>
          </w:p>
        </w:tc>
      </w:tr>
    </w:tbl>
    <w:p w14:paraId="1E4045D0" w14:textId="4E06548F"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22C30791" w14:textId="77777777" w:rsidR="006F76EB" w:rsidRPr="00834D52" w:rsidRDefault="006F76EB" w:rsidP="0060033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3.4.4.</w:t>
      </w:r>
      <w:r w:rsidRPr="00834D52">
        <w:rPr>
          <w:rFonts w:ascii="Sylfaen" w:hAnsi="Sylfaen"/>
          <w:sz w:val="24"/>
          <w:szCs w:val="24"/>
        </w:rPr>
        <w:tab/>
        <w:t>Գրանցման հավաստագրի իրավատիրոջ՝ դեղազգոնության համար պատասխանատու լիազորված անձը՝</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2B5C1B7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F0618B3" w14:textId="77777777" w:rsidR="006F76EB" w:rsidRPr="00834D52" w:rsidRDefault="006F76EB" w:rsidP="007D3755">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Pr="00834D52">
              <w:rPr>
                <w:rFonts w:ascii="Sylfaen" w:hAnsi="Sylfaen"/>
                <w:sz w:val="24"/>
                <w:szCs w:val="24"/>
              </w:rPr>
              <w:lastRenderedPageBreak/>
              <w:t>դեղազգոնության համար պատասխանատու լիազորված անձի ազգանունը, անունը</w:t>
            </w:r>
          </w:p>
        </w:tc>
        <w:tc>
          <w:tcPr>
            <w:tcW w:w="4520" w:type="dxa"/>
            <w:tcBorders>
              <w:top w:val="single" w:sz="4" w:space="0" w:color="000000"/>
              <w:left w:val="single" w:sz="4" w:space="0" w:color="000000"/>
              <w:bottom w:val="single" w:sz="4" w:space="0" w:color="000000"/>
              <w:right w:val="single" w:sz="4" w:space="0" w:color="000000"/>
            </w:tcBorders>
          </w:tcPr>
          <w:p w14:paraId="17EE4865" w14:textId="77777777" w:rsidR="006F76EB" w:rsidRPr="00834D52" w:rsidRDefault="006F76EB" w:rsidP="007D3755">
            <w:pPr>
              <w:spacing w:after="120" w:line="240" w:lineRule="auto"/>
              <w:ind w:right="-8"/>
              <w:rPr>
                <w:rFonts w:ascii="Sylfaen" w:hAnsi="Sylfaen"/>
                <w:sz w:val="24"/>
                <w:szCs w:val="24"/>
              </w:rPr>
            </w:pPr>
          </w:p>
        </w:tc>
      </w:tr>
      <w:tr w:rsidR="006F76EB" w:rsidRPr="00834D52" w14:paraId="188A49B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79676BB" w14:textId="77777777" w:rsidR="006F76EB" w:rsidRPr="00834D52" w:rsidRDefault="006F76EB" w:rsidP="007D3755">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520" w:type="dxa"/>
            <w:tcBorders>
              <w:top w:val="single" w:sz="4" w:space="0" w:color="000000"/>
              <w:left w:val="single" w:sz="4" w:space="0" w:color="000000"/>
              <w:bottom w:val="single" w:sz="4" w:space="0" w:color="000000"/>
              <w:right w:val="single" w:sz="4" w:space="0" w:color="000000"/>
            </w:tcBorders>
          </w:tcPr>
          <w:p w14:paraId="325596E3" w14:textId="77777777" w:rsidR="006F76EB" w:rsidRPr="00834D52" w:rsidRDefault="006F76EB" w:rsidP="007D3755">
            <w:pPr>
              <w:spacing w:after="120" w:line="240" w:lineRule="auto"/>
              <w:ind w:right="-8"/>
              <w:rPr>
                <w:rFonts w:ascii="Sylfaen" w:hAnsi="Sylfaen"/>
                <w:sz w:val="24"/>
                <w:szCs w:val="24"/>
              </w:rPr>
            </w:pPr>
          </w:p>
        </w:tc>
      </w:tr>
      <w:tr w:rsidR="006F76EB" w:rsidRPr="00834D52" w14:paraId="735A46D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C3B0E16"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4520" w:type="dxa"/>
            <w:tcBorders>
              <w:top w:val="single" w:sz="4" w:space="0" w:color="000000"/>
              <w:left w:val="single" w:sz="4" w:space="0" w:color="000000"/>
              <w:bottom w:val="single" w:sz="4" w:space="0" w:color="000000"/>
              <w:right w:val="single" w:sz="4" w:space="0" w:color="000000"/>
            </w:tcBorders>
          </w:tcPr>
          <w:p w14:paraId="5098073B" w14:textId="77777777" w:rsidR="006F76EB" w:rsidRPr="00834D52" w:rsidRDefault="006F76EB" w:rsidP="007D3755">
            <w:pPr>
              <w:spacing w:after="120" w:line="240" w:lineRule="auto"/>
              <w:ind w:right="-6"/>
              <w:rPr>
                <w:rFonts w:ascii="Sylfaen" w:hAnsi="Sylfaen"/>
                <w:sz w:val="24"/>
                <w:szCs w:val="24"/>
              </w:rPr>
            </w:pPr>
          </w:p>
        </w:tc>
      </w:tr>
      <w:tr w:rsidR="006F76EB" w:rsidRPr="00834D52" w14:paraId="5CC4256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95C68DD"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192FE07F" w14:textId="77777777" w:rsidR="006F76EB" w:rsidRPr="00834D52" w:rsidRDefault="006F76EB" w:rsidP="007D3755">
            <w:pPr>
              <w:spacing w:after="120" w:line="240" w:lineRule="auto"/>
              <w:ind w:right="-6"/>
              <w:rPr>
                <w:rFonts w:ascii="Sylfaen" w:hAnsi="Sylfaen"/>
                <w:sz w:val="24"/>
                <w:szCs w:val="24"/>
              </w:rPr>
            </w:pPr>
          </w:p>
        </w:tc>
      </w:tr>
      <w:tr w:rsidR="006F76EB" w:rsidRPr="00834D52" w14:paraId="2A08783B"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BDCB6C3"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520" w:type="dxa"/>
            <w:tcBorders>
              <w:top w:val="single" w:sz="4" w:space="0" w:color="000000"/>
              <w:left w:val="single" w:sz="4" w:space="0" w:color="000000"/>
              <w:bottom w:val="single" w:sz="4" w:space="0" w:color="000000"/>
              <w:right w:val="single" w:sz="4" w:space="0" w:color="000000"/>
            </w:tcBorders>
          </w:tcPr>
          <w:p w14:paraId="0D5C53D3" w14:textId="77777777" w:rsidR="006F76EB" w:rsidRPr="00834D52" w:rsidRDefault="006F76EB" w:rsidP="007D3755">
            <w:pPr>
              <w:spacing w:after="120" w:line="240" w:lineRule="auto"/>
              <w:ind w:right="-6"/>
              <w:rPr>
                <w:rFonts w:ascii="Sylfaen" w:hAnsi="Sylfaen"/>
                <w:sz w:val="24"/>
                <w:szCs w:val="24"/>
              </w:rPr>
            </w:pPr>
          </w:p>
        </w:tc>
      </w:tr>
      <w:tr w:rsidR="006F76EB" w:rsidRPr="00834D52" w14:paraId="01989ED1"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1F93A37"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713B0E18" w14:textId="77777777" w:rsidR="006F76EB" w:rsidRPr="00834D52" w:rsidRDefault="006F76EB" w:rsidP="007D3755">
            <w:pPr>
              <w:spacing w:after="120" w:line="240" w:lineRule="auto"/>
              <w:ind w:right="-6"/>
              <w:rPr>
                <w:rFonts w:ascii="Sylfaen" w:hAnsi="Sylfaen"/>
                <w:sz w:val="24"/>
                <w:szCs w:val="24"/>
              </w:rPr>
            </w:pPr>
          </w:p>
        </w:tc>
      </w:tr>
    </w:tbl>
    <w:p w14:paraId="57116136"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9497" w:type="dxa"/>
        <w:jc w:val="center"/>
        <w:tblLook w:val="04A0" w:firstRow="1" w:lastRow="0" w:firstColumn="1" w:lastColumn="0" w:noHBand="0" w:noVBand="1"/>
      </w:tblPr>
      <w:tblGrid>
        <w:gridCol w:w="9497"/>
      </w:tblGrid>
      <w:tr w:rsidR="006F76EB" w:rsidRPr="00834D52" w14:paraId="1E3DB615" w14:textId="77777777" w:rsidTr="00F71229">
        <w:trPr>
          <w:jc w:val="center"/>
        </w:trPr>
        <w:tc>
          <w:tcPr>
            <w:tcW w:w="9497" w:type="dxa"/>
          </w:tcPr>
          <w:p w14:paraId="50CB31AE" w14:textId="77777777" w:rsidR="006F76EB" w:rsidRPr="00834D52" w:rsidRDefault="006F76EB" w:rsidP="007D3755">
            <w:pPr>
              <w:spacing w:after="120"/>
              <w:ind w:right="-6"/>
              <w:rPr>
                <w:rFonts w:ascii="Sylfaen" w:eastAsia="Times New Roman" w:hAnsi="Sylfaen" w:cs="Times New Roman"/>
                <w:sz w:val="24"/>
                <w:szCs w:val="24"/>
              </w:rPr>
            </w:pPr>
            <w:r w:rsidRPr="00834D52">
              <w:rPr>
                <w:rFonts w:ascii="Sylfaen" w:hAnsi="Sylfaen"/>
                <w:sz w:val="24"/>
                <w:szCs w:val="24"/>
              </w:rPr>
              <w:t>դեղազգոնության մաստեր-ֆայլը՝</w:t>
            </w:r>
            <w:r w:rsidRPr="00834D52">
              <w:rPr>
                <w:rFonts w:ascii="Sylfaen" w:hAnsi="Sylfaen"/>
                <w:sz w:val="24"/>
                <w:szCs w:val="24"/>
              </w:rPr>
              <w:br/>
              <w:t>համարը՝</w:t>
            </w:r>
            <w:r w:rsidRPr="00834D52">
              <w:rPr>
                <w:rFonts w:ascii="Sylfaen" w:hAnsi="Sylfaen"/>
                <w:sz w:val="24"/>
                <w:szCs w:val="24"/>
              </w:rPr>
              <w:br/>
              <w:t>գտնվելու վայրի հասցեն՝</w:t>
            </w:r>
          </w:p>
        </w:tc>
      </w:tr>
    </w:tbl>
    <w:p w14:paraId="407EFD40" w14:textId="27757DF2" w:rsidR="006F76EB" w:rsidRPr="00834D52" w:rsidRDefault="006F76EB" w:rsidP="0060033A">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դեղազգոնություն իրականացնելու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 xml:space="preserve">ի 3.4.4 ենթակետում նշվածից՝ </w:t>
      </w:r>
    </w:p>
    <w:tbl>
      <w:tblPr>
        <w:tblW w:w="9821" w:type="dxa"/>
        <w:jc w:val="center"/>
        <w:tblLayout w:type="fixed"/>
        <w:tblCellMar>
          <w:left w:w="0" w:type="dxa"/>
          <w:right w:w="0" w:type="dxa"/>
        </w:tblCellMar>
        <w:tblLook w:val="01E0" w:firstRow="1" w:lastRow="1" w:firstColumn="1" w:lastColumn="1" w:noHBand="0" w:noVBand="0"/>
      </w:tblPr>
      <w:tblGrid>
        <w:gridCol w:w="5166"/>
        <w:gridCol w:w="4655"/>
      </w:tblGrid>
      <w:tr w:rsidR="006F76EB" w:rsidRPr="00834D52" w14:paraId="4767D7C1" w14:textId="77777777" w:rsidTr="005B32CC">
        <w:trPr>
          <w:trHeight w:val="1637"/>
          <w:jc w:val="center"/>
        </w:trPr>
        <w:tc>
          <w:tcPr>
            <w:tcW w:w="5166" w:type="dxa"/>
            <w:tcBorders>
              <w:top w:val="single" w:sz="4" w:space="0" w:color="000000"/>
              <w:left w:val="single" w:sz="4" w:space="0" w:color="000000"/>
              <w:bottom w:val="single" w:sz="4" w:space="0" w:color="000000"/>
              <w:right w:val="single" w:sz="4" w:space="0" w:color="000000"/>
            </w:tcBorders>
          </w:tcPr>
          <w:p w14:paraId="62C64DE0"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655" w:type="dxa"/>
            <w:tcBorders>
              <w:top w:val="single" w:sz="4" w:space="0" w:color="000000"/>
              <w:left w:val="single" w:sz="4" w:space="0" w:color="000000"/>
              <w:bottom w:val="single" w:sz="4" w:space="0" w:color="000000"/>
              <w:right w:val="single" w:sz="4" w:space="0" w:color="000000"/>
            </w:tcBorders>
          </w:tcPr>
          <w:p w14:paraId="6CA66B1B" w14:textId="77777777" w:rsidR="006F76EB" w:rsidRPr="00834D52" w:rsidRDefault="006F76EB" w:rsidP="0060033A">
            <w:pPr>
              <w:spacing w:after="120" w:line="240" w:lineRule="auto"/>
              <w:ind w:right="-6"/>
              <w:rPr>
                <w:rFonts w:ascii="Sylfaen" w:hAnsi="Sylfaen"/>
                <w:sz w:val="24"/>
                <w:szCs w:val="24"/>
              </w:rPr>
            </w:pPr>
          </w:p>
        </w:tc>
      </w:tr>
      <w:tr w:rsidR="006F76EB" w:rsidRPr="00834D52" w14:paraId="4F387A7A" w14:textId="77777777" w:rsidTr="005B32CC">
        <w:trPr>
          <w:trHeight w:val="879"/>
          <w:jc w:val="center"/>
        </w:trPr>
        <w:tc>
          <w:tcPr>
            <w:tcW w:w="5166" w:type="dxa"/>
            <w:tcBorders>
              <w:top w:val="single" w:sz="4" w:space="0" w:color="000000"/>
              <w:left w:val="single" w:sz="4" w:space="0" w:color="000000"/>
              <w:bottom w:val="single" w:sz="4" w:space="0" w:color="000000"/>
              <w:right w:val="single" w:sz="4" w:space="0" w:color="000000"/>
            </w:tcBorders>
          </w:tcPr>
          <w:p w14:paraId="75CCE525"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655" w:type="dxa"/>
            <w:tcBorders>
              <w:top w:val="single" w:sz="4" w:space="0" w:color="000000"/>
              <w:left w:val="single" w:sz="4" w:space="0" w:color="000000"/>
              <w:bottom w:val="single" w:sz="4" w:space="0" w:color="000000"/>
              <w:right w:val="single" w:sz="4" w:space="0" w:color="000000"/>
            </w:tcBorders>
          </w:tcPr>
          <w:p w14:paraId="507FBB12" w14:textId="77777777" w:rsidR="006F76EB" w:rsidRPr="00834D52" w:rsidRDefault="006F76EB" w:rsidP="0060033A">
            <w:pPr>
              <w:spacing w:after="120" w:line="240" w:lineRule="auto"/>
              <w:ind w:right="-6"/>
              <w:rPr>
                <w:rFonts w:ascii="Sylfaen" w:hAnsi="Sylfaen"/>
                <w:sz w:val="24"/>
                <w:szCs w:val="24"/>
              </w:rPr>
            </w:pPr>
          </w:p>
        </w:tc>
      </w:tr>
      <w:tr w:rsidR="006F76EB" w:rsidRPr="00834D52" w14:paraId="180AAA10"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44BF8B76"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հասցեն</w:t>
            </w:r>
          </w:p>
        </w:tc>
        <w:tc>
          <w:tcPr>
            <w:tcW w:w="4655" w:type="dxa"/>
            <w:tcBorders>
              <w:top w:val="single" w:sz="4" w:space="0" w:color="000000"/>
              <w:left w:val="single" w:sz="4" w:space="0" w:color="000000"/>
              <w:bottom w:val="single" w:sz="4" w:space="0" w:color="000000"/>
              <w:right w:val="single" w:sz="4" w:space="0" w:color="000000"/>
            </w:tcBorders>
          </w:tcPr>
          <w:p w14:paraId="0356125A" w14:textId="77777777" w:rsidR="006F76EB" w:rsidRPr="00834D52" w:rsidRDefault="006F76EB" w:rsidP="0060033A">
            <w:pPr>
              <w:spacing w:after="120" w:line="240" w:lineRule="auto"/>
              <w:ind w:right="-6"/>
              <w:rPr>
                <w:rFonts w:ascii="Sylfaen" w:hAnsi="Sylfaen"/>
                <w:sz w:val="24"/>
                <w:szCs w:val="24"/>
              </w:rPr>
            </w:pPr>
          </w:p>
        </w:tc>
      </w:tr>
      <w:tr w:rsidR="006F76EB" w:rsidRPr="00834D52" w14:paraId="6D01E303" w14:textId="77777777" w:rsidTr="005B32CC">
        <w:trPr>
          <w:trHeight w:val="500"/>
          <w:jc w:val="center"/>
        </w:trPr>
        <w:tc>
          <w:tcPr>
            <w:tcW w:w="5166" w:type="dxa"/>
            <w:tcBorders>
              <w:top w:val="single" w:sz="4" w:space="0" w:color="000000"/>
              <w:left w:val="single" w:sz="4" w:space="0" w:color="000000"/>
              <w:bottom w:val="single" w:sz="4" w:space="0" w:color="000000"/>
              <w:right w:val="single" w:sz="4" w:space="0" w:color="000000"/>
            </w:tcBorders>
          </w:tcPr>
          <w:p w14:paraId="6C2AF775"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4655" w:type="dxa"/>
            <w:tcBorders>
              <w:top w:val="single" w:sz="4" w:space="0" w:color="000000"/>
              <w:left w:val="single" w:sz="4" w:space="0" w:color="000000"/>
              <w:bottom w:val="single" w:sz="4" w:space="0" w:color="000000"/>
              <w:right w:val="single" w:sz="4" w:space="0" w:color="000000"/>
            </w:tcBorders>
          </w:tcPr>
          <w:p w14:paraId="476446EE" w14:textId="77777777" w:rsidR="006F76EB" w:rsidRPr="00834D52" w:rsidRDefault="006F76EB" w:rsidP="0060033A">
            <w:pPr>
              <w:spacing w:after="120" w:line="240" w:lineRule="auto"/>
              <w:ind w:right="-6"/>
              <w:rPr>
                <w:rFonts w:ascii="Sylfaen" w:hAnsi="Sylfaen"/>
                <w:sz w:val="24"/>
                <w:szCs w:val="24"/>
              </w:rPr>
            </w:pPr>
          </w:p>
        </w:tc>
      </w:tr>
      <w:tr w:rsidR="006F76EB" w:rsidRPr="00834D52" w14:paraId="2D2FF58F"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7C6EE006"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շուրջօրյա հեռախոսը/ֆաքսը</w:t>
            </w:r>
          </w:p>
        </w:tc>
        <w:tc>
          <w:tcPr>
            <w:tcW w:w="4655" w:type="dxa"/>
            <w:tcBorders>
              <w:top w:val="single" w:sz="4" w:space="0" w:color="000000"/>
              <w:left w:val="single" w:sz="4" w:space="0" w:color="000000"/>
              <w:bottom w:val="single" w:sz="4" w:space="0" w:color="000000"/>
              <w:right w:val="single" w:sz="4" w:space="0" w:color="000000"/>
            </w:tcBorders>
          </w:tcPr>
          <w:p w14:paraId="449542C9" w14:textId="77777777" w:rsidR="006F76EB" w:rsidRPr="00834D52" w:rsidRDefault="006F76EB" w:rsidP="0060033A">
            <w:pPr>
              <w:spacing w:after="120" w:line="240" w:lineRule="auto"/>
              <w:ind w:right="-6"/>
              <w:rPr>
                <w:rFonts w:ascii="Sylfaen" w:hAnsi="Sylfaen"/>
                <w:sz w:val="24"/>
                <w:szCs w:val="24"/>
              </w:rPr>
            </w:pPr>
          </w:p>
        </w:tc>
      </w:tr>
      <w:tr w:rsidR="006F76EB" w:rsidRPr="00834D52" w14:paraId="1FE82133"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23EC2EF1"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փոստը</w:t>
            </w:r>
          </w:p>
        </w:tc>
        <w:tc>
          <w:tcPr>
            <w:tcW w:w="4655" w:type="dxa"/>
            <w:tcBorders>
              <w:top w:val="single" w:sz="4" w:space="0" w:color="000000"/>
              <w:left w:val="single" w:sz="4" w:space="0" w:color="000000"/>
              <w:bottom w:val="single" w:sz="4" w:space="0" w:color="000000"/>
              <w:right w:val="single" w:sz="4" w:space="0" w:color="000000"/>
            </w:tcBorders>
          </w:tcPr>
          <w:p w14:paraId="36D18BAC" w14:textId="77777777" w:rsidR="006F76EB" w:rsidRPr="00834D52" w:rsidRDefault="006F76EB" w:rsidP="0060033A">
            <w:pPr>
              <w:spacing w:after="120" w:line="240" w:lineRule="auto"/>
              <w:ind w:right="-6"/>
              <w:rPr>
                <w:rFonts w:ascii="Sylfaen" w:hAnsi="Sylfaen"/>
                <w:sz w:val="24"/>
                <w:szCs w:val="24"/>
              </w:rPr>
            </w:pPr>
          </w:p>
        </w:tc>
      </w:tr>
    </w:tbl>
    <w:p w14:paraId="274E619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Նշե՛ք Եվրասիական տնտեսական միության անդամ պետությունում </w:t>
      </w:r>
      <w:r w:rsidRPr="00834D52">
        <w:rPr>
          <w:rFonts w:ascii="Sylfaen" w:hAnsi="Sylfaen"/>
          <w:sz w:val="24"/>
          <w:szCs w:val="24"/>
        </w:rPr>
        <w:lastRenderedPageBreak/>
        <w:t xml:space="preserve">դեղազգոնություն իրականացնելու համար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0502C350" w14:textId="77777777" w:rsidR="006F76EB" w:rsidRPr="00834D52" w:rsidRDefault="006F76EB" w:rsidP="005B32C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Դեղապատրաստուկն արտադրողը</w:t>
      </w:r>
    </w:p>
    <w:p w14:paraId="560B854A" w14:textId="77777777" w:rsidR="006F76EB" w:rsidRPr="00834D52" w:rsidRDefault="006F76EB" w:rsidP="005B32C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3.5.1.</w:t>
      </w:r>
      <w:r w:rsidRPr="00834D52">
        <w:rPr>
          <w:rFonts w:ascii="Sylfaen" w:hAnsi="Sylfaen"/>
          <w:sz w:val="24"/>
          <w:szCs w:val="24"/>
        </w:rPr>
        <w:tab/>
        <w:t xml:space="preserve">Արտադրողը, որը պատասխանատու է դեղապատրաստուկի սերիաների բացթողման համար անհրաժեշտ որակի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,անհրաժեշտության դեպքում՝ մականշվածքում)</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52174B3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3054EB0"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520" w:type="dxa"/>
            <w:tcBorders>
              <w:top w:val="single" w:sz="4" w:space="0" w:color="000000"/>
              <w:left w:val="single" w:sz="4" w:space="0" w:color="000000"/>
              <w:bottom w:val="single" w:sz="4" w:space="0" w:color="000000"/>
              <w:right w:val="single" w:sz="4" w:space="0" w:color="000000"/>
            </w:tcBorders>
          </w:tcPr>
          <w:p w14:paraId="4DA87181" w14:textId="77777777" w:rsidR="006F76EB" w:rsidRPr="00834D52" w:rsidRDefault="006F76EB" w:rsidP="005B32CC">
            <w:pPr>
              <w:spacing w:after="120" w:line="240" w:lineRule="auto"/>
              <w:ind w:right="-6"/>
              <w:rPr>
                <w:rFonts w:ascii="Sylfaen" w:hAnsi="Sylfaen"/>
                <w:sz w:val="24"/>
                <w:szCs w:val="24"/>
              </w:rPr>
            </w:pPr>
          </w:p>
        </w:tc>
      </w:tr>
      <w:tr w:rsidR="006F76EB" w:rsidRPr="00834D52" w14:paraId="6756E01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2AD3F4A"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520" w:type="dxa"/>
            <w:tcBorders>
              <w:top w:val="single" w:sz="4" w:space="0" w:color="000000"/>
              <w:left w:val="single" w:sz="4" w:space="0" w:color="000000"/>
              <w:bottom w:val="single" w:sz="4" w:space="0" w:color="000000"/>
              <w:right w:val="single" w:sz="4" w:space="0" w:color="000000"/>
            </w:tcBorders>
          </w:tcPr>
          <w:p w14:paraId="2B61F092" w14:textId="77777777" w:rsidR="006F76EB" w:rsidRPr="00834D52" w:rsidRDefault="006F76EB" w:rsidP="005B32CC">
            <w:pPr>
              <w:spacing w:after="120" w:line="240" w:lineRule="auto"/>
              <w:ind w:right="-6"/>
              <w:rPr>
                <w:rFonts w:ascii="Sylfaen" w:hAnsi="Sylfaen"/>
                <w:sz w:val="24"/>
                <w:szCs w:val="24"/>
              </w:rPr>
            </w:pPr>
          </w:p>
        </w:tc>
      </w:tr>
      <w:tr w:rsidR="006F76EB" w:rsidRPr="00834D52" w14:paraId="0AE57CC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ADF9E09"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3FBE8447" w14:textId="77777777" w:rsidR="006F76EB" w:rsidRPr="00834D52" w:rsidRDefault="006F76EB" w:rsidP="005B32CC">
            <w:pPr>
              <w:spacing w:after="120" w:line="240" w:lineRule="auto"/>
              <w:ind w:right="-6"/>
              <w:rPr>
                <w:rFonts w:ascii="Sylfaen" w:hAnsi="Sylfaen"/>
                <w:sz w:val="24"/>
                <w:szCs w:val="24"/>
              </w:rPr>
            </w:pPr>
          </w:p>
        </w:tc>
      </w:tr>
      <w:tr w:rsidR="006F76EB" w:rsidRPr="00834D52" w14:paraId="795FB1F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0F17242"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20" w:type="dxa"/>
            <w:tcBorders>
              <w:top w:val="single" w:sz="4" w:space="0" w:color="000000"/>
              <w:left w:val="single" w:sz="4" w:space="0" w:color="000000"/>
              <w:bottom w:val="single" w:sz="4" w:space="0" w:color="000000"/>
              <w:right w:val="single" w:sz="4" w:space="0" w:color="000000"/>
            </w:tcBorders>
          </w:tcPr>
          <w:p w14:paraId="69B900C7" w14:textId="77777777" w:rsidR="006F76EB" w:rsidRPr="00834D52" w:rsidRDefault="006F76EB" w:rsidP="005B32CC">
            <w:pPr>
              <w:spacing w:after="120" w:line="240" w:lineRule="auto"/>
              <w:ind w:right="-6"/>
              <w:rPr>
                <w:rFonts w:ascii="Sylfaen" w:hAnsi="Sylfaen"/>
                <w:sz w:val="24"/>
                <w:szCs w:val="24"/>
              </w:rPr>
            </w:pPr>
          </w:p>
        </w:tc>
      </w:tr>
      <w:tr w:rsidR="006F76EB" w:rsidRPr="00834D52" w14:paraId="6CCC9814"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73B9BEF"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74DA110A" w14:textId="77777777" w:rsidR="006F76EB" w:rsidRPr="00834D52" w:rsidRDefault="006F76EB" w:rsidP="005B32CC">
            <w:pPr>
              <w:spacing w:after="120" w:line="240" w:lineRule="auto"/>
              <w:ind w:right="-6"/>
              <w:rPr>
                <w:rFonts w:ascii="Sylfaen" w:hAnsi="Sylfaen"/>
                <w:sz w:val="24"/>
                <w:szCs w:val="24"/>
              </w:rPr>
            </w:pPr>
          </w:p>
        </w:tc>
      </w:tr>
    </w:tbl>
    <w:p w14:paraId="7FF32362" w14:textId="77777777"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3.5.2.</w:t>
      </w:r>
      <w:r w:rsidRPr="00834D52">
        <w:rPr>
          <w:rFonts w:ascii="Sylfaen" w:hAnsi="Sylfaen"/>
          <w:sz w:val="24"/>
          <w:szCs w:val="24"/>
        </w:rPr>
        <w:tab/>
        <w:t xml:space="preserve">Արտադրող երկրի՝ արյան </w:t>
      </w:r>
      <w:r w:rsidR="00C54D75">
        <w:rPr>
          <w:rFonts w:ascii="Sylfaen" w:hAnsi="Sylfaen"/>
          <w:sz w:val="24"/>
          <w:szCs w:val="24"/>
        </w:rPr>
        <w:t>և</w:t>
      </w:r>
      <w:r w:rsidRPr="00834D52">
        <w:rPr>
          <w:rFonts w:ascii="Sylfaen" w:hAnsi="Sylfaen"/>
          <w:sz w:val="24"/>
          <w:szCs w:val="24"/>
        </w:rPr>
        <w:t xml:space="preserve"> պատվաստանյութերի պատրաստուկների որակի հսկողության լաբորատորիան, որը պատասխանատու</w:t>
      </w:r>
      <w:r w:rsidR="00CF27EA" w:rsidRPr="00591731">
        <w:rPr>
          <w:rFonts w:ascii="Sylfaen" w:hAnsi="Sylfaen"/>
          <w:sz w:val="24"/>
          <w:szCs w:val="24"/>
        </w:rPr>
        <w:t> </w:t>
      </w:r>
      <w:r w:rsidRPr="00834D52">
        <w:rPr>
          <w:rFonts w:ascii="Sylfaen" w:hAnsi="Sylfaen"/>
          <w:sz w:val="24"/>
          <w:szCs w:val="24"/>
        </w:rPr>
        <w:t>է սերիայի որակի հսկողության (բացթողման) համար</w:t>
      </w:r>
    </w:p>
    <w:tbl>
      <w:tblPr>
        <w:tblW w:w="0" w:type="auto"/>
        <w:jc w:val="center"/>
        <w:tblLayout w:type="fixed"/>
        <w:tblCellMar>
          <w:left w:w="0" w:type="dxa"/>
          <w:right w:w="0" w:type="dxa"/>
        </w:tblCellMar>
        <w:tblLook w:val="01E0" w:firstRow="1" w:lastRow="1" w:firstColumn="1" w:lastColumn="1" w:noHBand="0" w:noVBand="0"/>
      </w:tblPr>
      <w:tblGrid>
        <w:gridCol w:w="5532"/>
        <w:gridCol w:w="4078"/>
      </w:tblGrid>
      <w:tr w:rsidR="006F76EB" w:rsidRPr="00834D52" w14:paraId="2B90645E"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2DA16B00"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4078" w:type="dxa"/>
            <w:tcBorders>
              <w:top w:val="single" w:sz="4" w:space="0" w:color="000000"/>
              <w:left w:val="single" w:sz="4" w:space="0" w:color="000000"/>
              <w:bottom w:val="single" w:sz="4" w:space="0" w:color="000000"/>
              <w:right w:val="single" w:sz="4" w:space="0" w:color="000000"/>
            </w:tcBorders>
          </w:tcPr>
          <w:p w14:paraId="2492B758" w14:textId="77777777" w:rsidR="006F76EB" w:rsidRPr="00834D52" w:rsidRDefault="006F76EB" w:rsidP="00CF27EA">
            <w:pPr>
              <w:spacing w:after="120" w:line="240" w:lineRule="auto"/>
              <w:ind w:right="-6"/>
              <w:rPr>
                <w:rFonts w:ascii="Sylfaen" w:hAnsi="Sylfaen"/>
                <w:sz w:val="24"/>
                <w:szCs w:val="24"/>
              </w:rPr>
            </w:pPr>
          </w:p>
        </w:tc>
      </w:tr>
      <w:tr w:rsidR="006F76EB" w:rsidRPr="00834D52" w14:paraId="2E4AE3D9"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D6722DE"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078" w:type="dxa"/>
            <w:tcBorders>
              <w:top w:val="single" w:sz="4" w:space="0" w:color="000000"/>
              <w:left w:val="single" w:sz="4" w:space="0" w:color="000000"/>
              <w:bottom w:val="single" w:sz="4" w:space="0" w:color="000000"/>
              <w:right w:val="single" w:sz="4" w:space="0" w:color="000000"/>
            </w:tcBorders>
          </w:tcPr>
          <w:p w14:paraId="58B18BBE" w14:textId="77777777" w:rsidR="006F76EB" w:rsidRPr="00834D52" w:rsidRDefault="006F76EB" w:rsidP="00CF27EA">
            <w:pPr>
              <w:spacing w:after="120" w:line="240" w:lineRule="auto"/>
              <w:ind w:right="-6"/>
              <w:rPr>
                <w:rFonts w:ascii="Sylfaen" w:hAnsi="Sylfaen"/>
                <w:sz w:val="24"/>
                <w:szCs w:val="24"/>
              </w:rPr>
            </w:pPr>
          </w:p>
        </w:tc>
      </w:tr>
      <w:tr w:rsidR="006F76EB" w:rsidRPr="00834D52" w14:paraId="1E4A2D95"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0A13BDEC"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պետությունը</w:t>
            </w:r>
          </w:p>
        </w:tc>
        <w:tc>
          <w:tcPr>
            <w:tcW w:w="4078" w:type="dxa"/>
            <w:tcBorders>
              <w:top w:val="single" w:sz="4" w:space="0" w:color="000000"/>
              <w:left w:val="single" w:sz="4" w:space="0" w:color="000000"/>
              <w:bottom w:val="single" w:sz="4" w:space="0" w:color="000000"/>
              <w:right w:val="single" w:sz="4" w:space="0" w:color="000000"/>
            </w:tcBorders>
          </w:tcPr>
          <w:p w14:paraId="3269C227" w14:textId="77777777" w:rsidR="006F76EB" w:rsidRPr="00834D52" w:rsidRDefault="006F76EB" w:rsidP="00CF27EA">
            <w:pPr>
              <w:spacing w:after="120" w:line="240" w:lineRule="auto"/>
              <w:ind w:right="-6"/>
              <w:rPr>
                <w:rFonts w:ascii="Sylfaen" w:hAnsi="Sylfaen"/>
                <w:sz w:val="24"/>
                <w:szCs w:val="24"/>
              </w:rPr>
            </w:pPr>
          </w:p>
        </w:tc>
      </w:tr>
      <w:tr w:rsidR="006F76EB" w:rsidRPr="00834D52" w14:paraId="02EA3BE7"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1EC377AF"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078" w:type="dxa"/>
            <w:tcBorders>
              <w:top w:val="single" w:sz="4" w:space="0" w:color="000000"/>
              <w:left w:val="single" w:sz="4" w:space="0" w:color="000000"/>
              <w:bottom w:val="single" w:sz="4" w:space="0" w:color="000000"/>
              <w:right w:val="single" w:sz="4" w:space="0" w:color="000000"/>
            </w:tcBorders>
          </w:tcPr>
          <w:p w14:paraId="4BD34426" w14:textId="77777777" w:rsidR="006F76EB" w:rsidRPr="00834D52" w:rsidRDefault="006F76EB" w:rsidP="00CF27EA">
            <w:pPr>
              <w:spacing w:after="120" w:line="240" w:lineRule="auto"/>
              <w:ind w:right="-6"/>
              <w:rPr>
                <w:rFonts w:ascii="Sylfaen" w:hAnsi="Sylfaen"/>
                <w:sz w:val="24"/>
                <w:szCs w:val="24"/>
              </w:rPr>
            </w:pPr>
          </w:p>
        </w:tc>
      </w:tr>
      <w:tr w:rsidR="006F76EB" w:rsidRPr="00834D52" w14:paraId="7290CEAF"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6F08B514"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78" w:type="dxa"/>
            <w:tcBorders>
              <w:top w:val="single" w:sz="4" w:space="0" w:color="000000"/>
              <w:left w:val="single" w:sz="4" w:space="0" w:color="000000"/>
              <w:bottom w:val="single" w:sz="4" w:space="0" w:color="000000"/>
              <w:right w:val="single" w:sz="4" w:space="0" w:color="000000"/>
            </w:tcBorders>
          </w:tcPr>
          <w:p w14:paraId="3C17A7E5" w14:textId="77777777" w:rsidR="006F76EB" w:rsidRPr="00834D52" w:rsidRDefault="006F76EB" w:rsidP="00CF27EA">
            <w:pPr>
              <w:spacing w:after="120" w:line="240" w:lineRule="auto"/>
              <w:ind w:right="-6"/>
              <w:rPr>
                <w:rFonts w:ascii="Sylfaen" w:hAnsi="Sylfaen"/>
                <w:sz w:val="24"/>
                <w:szCs w:val="24"/>
              </w:rPr>
            </w:pPr>
          </w:p>
        </w:tc>
      </w:tr>
    </w:tbl>
    <w:p w14:paraId="38560F41" w14:textId="77777777" w:rsidR="006F76EB" w:rsidRPr="00834D52" w:rsidRDefault="006F76EB" w:rsidP="00591731">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3.5.3.</w:t>
      </w:r>
      <w:r w:rsidRPr="00834D52">
        <w:rPr>
          <w:rFonts w:ascii="Sylfaen" w:hAnsi="Sylfaen"/>
          <w:sz w:val="24"/>
          <w:szCs w:val="24"/>
        </w:rPr>
        <w:tab/>
        <w:t>Եվրասիական տնտեսական միության շրջանակներում բողոքագրերի հետ աշխատանքի համար պատասխանատու կազմակերպությունը (յուրաքանչյուր անդամ պետության համար՝ առկայության դեպքում)</w:t>
      </w:r>
    </w:p>
    <w:tbl>
      <w:tblPr>
        <w:tblW w:w="0" w:type="auto"/>
        <w:jc w:val="center"/>
        <w:tblLayout w:type="fixed"/>
        <w:tblCellMar>
          <w:left w:w="0" w:type="dxa"/>
          <w:right w:w="0" w:type="dxa"/>
        </w:tblCellMar>
        <w:tblLook w:val="01E0" w:firstRow="1" w:lastRow="1" w:firstColumn="1" w:lastColumn="1" w:noHBand="0" w:noVBand="0"/>
      </w:tblPr>
      <w:tblGrid>
        <w:gridCol w:w="5532"/>
        <w:gridCol w:w="4078"/>
      </w:tblGrid>
      <w:tr w:rsidR="006F76EB" w:rsidRPr="00834D52" w14:paraId="6A1DD111"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893F7DE"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078" w:type="dxa"/>
            <w:tcBorders>
              <w:top w:val="single" w:sz="4" w:space="0" w:color="000000"/>
              <w:left w:val="single" w:sz="4" w:space="0" w:color="000000"/>
              <w:bottom w:val="single" w:sz="4" w:space="0" w:color="000000"/>
              <w:right w:val="single" w:sz="4" w:space="0" w:color="000000"/>
            </w:tcBorders>
          </w:tcPr>
          <w:p w14:paraId="3F98F5E3" w14:textId="77777777" w:rsidR="006F76EB" w:rsidRPr="00834D52" w:rsidRDefault="006F76EB" w:rsidP="00591731">
            <w:pPr>
              <w:spacing w:after="120" w:line="240" w:lineRule="auto"/>
              <w:ind w:right="-6"/>
              <w:rPr>
                <w:rFonts w:ascii="Sylfaen" w:hAnsi="Sylfaen"/>
                <w:sz w:val="24"/>
                <w:szCs w:val="24"/>
              </w:rPr>
            </w:pPr>
          </w:p>
        </w:tc>
      </w:tr>
      <w:tr w:rsidR="006F76EB" w:rsidRPr="00834D52" w14:paraId="01DE019A"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14EA5D95"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4078" w:type="dxa"/>
            <w:tcBorders>
              <w:top w:val="single" w:sz="4" w:space="0" w:color="000000"/>
              <w:left w:val="single" w:sz="4" w:space="0" w:color="000000"/>
              <w:bottom w:val="single" w:sz="4" w:space="0" w:color="000000"/>
              <w:right w:val="single" w:sz="4" w:space="0" w:color="000000"/>
            </w:tcBorders>
          </w:tcPr>
          <w:p w14:paraId="7E14DFE3" w14:textId="77777777" w:rsidR="006F76EB" w:rsidRPr="00834D52" w:rsidRDefault="006F76EB" w:rsidP="00591731">
            <w:pPr>
              <w:spacing w:after="120" w:line="240" w:lineRule="auto"/>
              <w:ind w:right="-6"/>
              <w:rPr>
                <w:rFonts w:ascii="Sylfaen" w:hAnsi="Sylfaen"/>
                <w:sz w:val="24"/>
                <w:szCs w:val="24"/>
              </w:rPr>
            </w:pPr>
          </w:p>
        </w:tc>
      </w:tr>
      <w:tr w:rsidR="006F76EB" w:rsidRPr="00834D52" w14:paraId="7CD9844C"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3CF0276B"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078" w:type="dxa"/>
            <w:tcBorders>
              <w:top w:val="single" w:sz="4" w:space="0" w:color="000000"/>
              <w:left w:val="single" w:sz="4" w:space="0" w:color="000000"/>
              <w:bottom w:val="single" w:sz="4" w:space="0" w:color="000000"/>
              <w:right w:val="single" w:sz="4" w:space="0" w:color="000000"/>
            </w:tcBorders>
          </w:tcPr>
          <w:p w14:paraId="64250FBC" w14:textId="77777777" w:rsidR="006F76EB" w:rsidRPr="00834D52" w:rsidRDefault="006F76EB" w:rsidP="00591731">
            <w:pPr>
              <w:spacing w:after="120" w:line="240" w:lineRule="auto"/>
              <w:ind w:right="-6"/>
              <w:rPr>
                <w:rFonts w:ascii="Sylfaen" w:hAnsi="Sylfaen"/>
                <w:sz w:val="24"/>
                <w:szCs w:val="24"/>
              </w:rPr>
            </w:pPr>
          </w:p>
        </w:tc>
      </w:tr>
      <w:tr w:rsidR="006F76EB" w:rsidRPr="00834D52" w14:paraId="14567F5F"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3FB5521E"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078" w:type="dxa"/>
            <w:tcBorders>
              <w:top w:val="single" w:sz="4" w:space="0" w:color="000000"/>
              <w:left w:val="single" w:sz="4" w:space="0" w:color="000000"/>
              <w:bottom w:val="single" w:sz="4" w:space="0" w:color="000000"/>
              <w:right w:val="single" w:sz="4" w:space="0" w:color="000000"/>
            </w:tcBorders>
          </w:tcPr>
          <w:p w14:paraId="2A1C2224" w14:textId="77777777" w:rsidR="006F76EB" w:rsidRPr="00834D52" w:rsidRDefault="006F76EB" w:rsidP="00591731">
            <w:pPr>
              <w:spacing w:after="120" w:line="240" w:lineRule="auto"/>
              <w:ind w:right="-6"/>
              <w:rPr>
                <w:rFonts w:ascii="Sylfaen" w:hAnsi="Sylfaen"/>
                <w:sz w:val="24"/>
                <w:szCs w:val="24"/>
              </w:rPr>
            </w:pPr>
          </w:p>
        </w:tc>
      </w:tr>
      <w:tr w:rsidR="006F76EB" w:rsidRPr="00834D52" w14:paraId="0C5FFB0D"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5610D24"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78" w:type="dxa"/>
            <w:tcBorders>
              <w:top w:val="single" w:sz="4" w:space="0" w:color="000000"/>
              <w:left w:val="single" w:sz="4" w:space="0" w:color="000000"/>
              <w:bottom w:val="single" w:sz="4" w:space="0" w:color="000000"/>
              <w:right w:val="single" w:sz="4" w:space="0" w:color="000000"/>
            </w:tcBorders>
          </w:tcPr>
          <w:p w14:paraId="07420FAC" w14:textId="77777777" w:rsidR="006F76EB" w:rsidRPr="00834D52" w:rsidRDefault="006F76EB" w:rsidP="00591731">
            <w:pPr>
              <w:spacing w:after="120" w:line="240" w:lineRule="auto"/>
              <w:ind w:right="-6"/>
              <w:rPr>
                <w:rFonts w:ascii="Sylfaen" w:hAnsi="Sylfaen"/>
                <w:sz w:val="24"/>
                <w:szCs w:val="24"/>
              </w:rPr>
            </w:pPr>
          </w:p>
        </w:tc>
      </w:tr>
    </w:tbl>
    <w:p w14:paraId="592ED2B9" w14:textId="77777777" w:rsidR="006F76EB" w:rsidRPr="00834D52" w:rsidRDefault="006F76EB" w:rsidP="00591731">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3.5.4.</w:t>
      </w:r>
      <w:r w:rsidRPr="00834D52">
        <w:rPr>
          <w:rFonts w:ascii="Sylfaen" w:hAnsi="Sylfaen"/>
          <w:sz w:val="24"/>
          <w:szCs w:val="24"/>
        </w:rPr>
        <w:tab/>
        <w:t xml:space="preserve">Դեղապատրաստուկն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7456FB7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արտադրական գործընթացին մասնակցող բոլոր արտադրական հարթակները (ներառյալ լուծիչները)՝ նշելով արտադրական գործընթացի ընթացաշրջանը</w:t>
      </w:r>
    </w:p>
    <w:tbl>
      <w:tblPr>
        <w:tblW w:w="9610" w:type="dxa"/>
        <w:jc w:val="center"/>
        <w:tblLayout w:type="fixed"/>
        <w:tblCellMar>
          <w:left w:w="0" w:type="dxa"/>
          <w:right w:w="0" w:type="dxa"/>
        </w:tblCellMar>
        <w:tblLook w:val="01E0" w:firstRow="1" w:lastRow="1" w:firstColumn="1" w:lastColumn="1" w:noHBand="0" w:noVBand="0"/>
      </w:tblPr>
      <w:tblGrid>
        <w:gridCol w:w="5933"/>
        <w:gridCol w:w="3677"/>
      </w:tblGrid>
      <w:tr w:rsidR="006F76EB" w:rsidRPr="00834D52" w14:paraId="747C1F28"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47F9F286" w14:textId="77777777" w:rsidR="006F76EB" w:rsidRPr="00834D52" w:rsidRDefault="006F76EB" w:rsidP="00487CCB">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3677" w:type="dxa"/>
            <w:tcBorders>
              <w:top w:val="single" w:sz="4" w:space="0" w:color="000000"/>
              <w:left w:val="single" w:sz="4" w:space="0" w:color="000000"/>
              <w:bottom w:val="single" w:sz="4" w:space="0" w:color="000000"/>
              <w:right w:val="single" w:sz="4" w:space="0" w:color="000000"/>
            </w:tcBorders>
          </w:tcPr>
          <w:p w14:paraId="5AD9E6E7" w14:textId="77777777" w:rsidR="006F76EB" w:rsidRPr="00834D52" w:rsidRDefault="006F76EB" w:rsidP="00487CCB">
            <w:pPr>
              <w:spacing w:after="120" w:line="240" w:lineRule="auto"/>
              <w:ind w:right="-6"/>
              <w:rPr>
                <w:rFonts w:ascii="Sylfaen" w:hAnsi="Sylfaen"/>
                <w:sz w:val="24"/>
                <w:szCs w:val="24"/>
              </w:rPr>
            </w:pPr>
          </w:p>
        </w:tc>
      </w:tr>
      <w:tr w:rsidR="006F76EB" w:rsidRPr="00834D52" w14:paraId="360FFD00"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58C4294E" w14:textId="77777777" w:rsidR="006F76EB" w:rsidRPr="00834D52" w:rsidRDefault="006F76EB" w:rsidP="00487CCB">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footnoteReference w:customMarkFollows="1" w:id="10"/>
              <w:t>գործունեության իրականացման վայրի հասցեն*</w:t>
            </w:r>
          </w:p>
        </w:tc>
        <w:tc>
          <w:tcPr>
            <w:tcW w:w="3677" w:type="dxa"/>
            <w:tcBorders>
              <w:top w:val="single" w:sz="4" w:space="0" w:color="000000"/>
              <w:left w:val="single" w:sz="4" w:space="0" w:color="000000"/>
              <w:bottom w:val="single" w:sz="4" w:space="0" w:color="000000"/>
              <w:right w:val="single" w:sz="4" w:space="0" w:color="000000"/>
            </w:tcBorders>
          </w:tcPr>
          <w:p w14:paraId="78718533" w14:textId="77777777" w:rsidR="006F76EB" w:rsidRPr="00834D52" w:rsidRDefault="006F76EB" w:rsidP="00487CCB">
            <w:pPr>
              <w:spacing w:after="120" w:line="240" w:lineRule="auto"/>
              <w:ind w:right="-6"/>
              <w:rPr>
                <w:rFonts w:ascii="Sylfaen" w:hAnsi="Sylfaen"/>
                <w:sz w:val="24"/>
                <w:szCs w:val="24"/>
              </w:rPr>
            </w:pPr>
          </w:p>
        </w:tc>
      </w:tr>
      <w:tr w:rsidR="006F76EB" w:rsidRPr="00834D52" w14:paraId="698283EB"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1E69AC10"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պետությունը*</w:t>
            </w:r>
          </w:p>
        </w:tc>
        <w:tc>
          <w:tcPr>
            <w:tcW w:w="3677" w:type="dxa"/>
            <w:tcBorders>
              <w:top w:val="single" w:sz="4" w:space="0" w:color="000000"/>
              <w:left w:val="single" w:sz="4" w:space="0" w:color="000000"/>
              <w:bottom w:val="single" w:sz="4" w:space="0" w:color="000000"/>
              <w:right w:val="single" w:sz="4" w:space="0" w:color="000000"/>
            </w:tcBorders>
          </w:tcPr>
          <w:p w14:paraId="56FAAB17" w14:textId="77777777" w:rsidR="006F76EB" w:rsidRPr="00834D52" w:rsidRDefault="006F76EB" w:rsidP="00487CCB">
            <w:pPr>
              <w:spacing w:after="120" w:line="240" w:lineRule="auto"/>
              <w:ind w:right="-6"/>
              <w:rPr>
                <w:rFonts w:ascii="Sylfaen" w:hAnsi="Sylfaen"/>
                <w:sz w:val="24"/>
                <w:szCs w:val="24"/>
              </w:rPr>
            </w:pPr>
          </w:p>
        </w:tc>
      </w:tr>
      <w:tr w:rsidR="006F76EB" w:rsidRPr="00834D52" w14:paraId="3C0DC67D"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4F0BC428"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77" w:type="dxa"/>
            <w:tcBorders>
              <w:top w:val="single" w:sz="4" w:space="0" w:color="000000"/>
              <w:left w:val="single" w:sz="4" w:space="0" w:color="000000"/>
              <w:bottom w:val="single" w:sz="4" w:space="0" w:color="000000"/>
              <w:right w:val="single" w:sz="4" w:space="0" w:color="000000"/>
            </w:tcBorders>
          </w:tcPr>
          <w:p w14:paraId="1171210E" w14:textId="77777777" w:rsidR="006F76EB" w:rsidRPr="00834D52" w:rsidRDefault="006F76EB" w:rsidP="00487CCB">
            <w:pPr>
              <w:spacing w:after="120" w:line="240" w:lineRule="auto"/>
              <w:ind w:right="-6"/>
              <w:rPr>
                <w:rFonts w:ascii="Sylfaen" w:hAnsi="Sylfaen"/>
                <w:sz w:val="24"/>
                <w:szCs w:val="24"/>
              </w:rPr>
            </w:pPr>
          </w:p>
        </w:tc>
      </w:tr>
      <w:tr w:rsidR="006F76EB" w:rsidRPr="00834D52" w14:paraId="2261D31A"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77849049"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էլեկտրոնային փոստի հասցեն*</w:t>
            </w:r>
          </w:p>
        </w:tc>
        <w:tc>
          <w:tcPr>
            <w:tcW w:w="3677" w:type="dxa"/>
            <w:tcBorders>
              <w:top w:val="single" w:sz="4" w:space="0" w:color="000000"/>
              <w:left w:val="single" w:sz="4" w:space="0" w:color="000000"/>
              <w:bottom w:val="single" w:sz="4" w:space="0" w:color="000000"/>
              <w:right w:val="single" w:sz="4" w:space="0" w:color="000000"/>
            </w:tcBorders>
          </w:tcPr>
          <w:p w14:paraId="33A0296C" w14:textId="77777777" w:rsidR="006F76EB" w:rsidRPr="00834D52" w:rsidRDefault="006F76EB" w:rsidP="00487CCB">
            <w:pPr>
              <w:spacing w:after="120" w:line="240" w:lineRule="auto"/>
              <w:ind w:right="-6"/>
              <w:rPr>
                <w:rFonts w:ascii="Sylfaen" w:hAnsi="Sylfaen"/>
                <w:sz w:val="24"/>
                <w:szCs w:val="24"/>
              </w:rPr>
            </w:pPr>
          </w:p>
        </w:tc>
      </w:tr>
    </w:tbl>
    <w:p w14:paraId="1DEC4F2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(կազմակերպության) կողմից անցկացվել է Եվրասիական տնտեսական հանձնաժողովի կողմից հաստատված Եվրասիական տնտեսական միության պատշաճ արտադրական գործունեության կանոնների պահպանման մասով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AC2745F" w14:textId="77777777" w:rsidTr="00F71229">
        <w:trPr>
          <w:jc w:val="center"/>
        </w:trPr>
        <w:tc>
          <w:tcPr>
            <w:tcW w:w="1560" w:type="dxa"/>
          </w:tcPr>
          <w:p w14:paraId="0DA49828" w14:textId="2E890AED"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59776" behindDoc="0" locked="0" layoutInCell="1" allowOverlap="1" wp14:anchorId="2A4447E2" wp14:editId="621DDBE0">
                      <wp:simplePos x="0" y="0"/>
                      <wp:positionH relativeFrom="column">
                        <wp:posOffset>104775</wp:posOffset>
                      </wp:positionH>
                      <wp:positionV relativeFrom="paragraph">
                        <wp:posOffset>51435</wp:posOffset>
                      </wp:positionV>
                      <wp:extent cx="161925" cy="152400"/>
                      <wp:effectExtent l="5080" t="5715" r="13970" b="13335"/>
                      <wp:wrapNone/>
                      <wp:docPr id="16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BF120" id="Rectangle 142" o:spid="_x0000_s1026" style="position:absolute;margin-left:8.25pt;margin-top:4.05pt;width:12.75pt;height: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E6DF0F9" w14:textId="7B6AF660"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60800" behindDoc="0" locked="0" layoutInCell="1" allowOverlap="1" wp14:anchorId="1886820B" wp14:editId="779071CE">
                      <wp:simplePos x="0" y="0"/>
                      <wp:positionH relativeFrom="column">
                        <wp:posOffset>6350</wp:posOffset>
                      </wp:positionH>
                      <wp:positionV relativeFrom="paragraph">
                        <wp:posOffset>51435</wp:posOffset>
                      </wp:positionV>
                      <wp:extent cx="161925" cy="152400"/>
                      <wp:effectExtent l="11430" t="5715" r="7620" b="13335"/>
                      <wp:wrapNone/>
                      <wp:docPr id="16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DAEB0" id="Rectangle 143" o:spid="_x0000_s1026" style="position:absolute;margin-left:.5pt;margin-top:4.05pt;width:12.75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70F73A59"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w:t>
      </w:r>
      <w:r w:rsidRPr="00834D52">
        <w:rPr>
          <w:rFonts w:ascii="Sylfaen" w:hAnsi="Sylfaen"/>
          <w:sz w:val="24"/>
          <w:szCs w:val="24"/>
          <w:lang w:val="en-US"/>
        </w:rPr>
        <w:t>՛</w:t>
      </w:r>
      <w:r w:rsidRPr="00834D52">
        <w:rPr>
          <w:rFonts w:ascii="Sylfaen" w:hAnsi="Sylfaen"/>
          <w:sz w:val="24"/>
          <w:szCs w:val="24"/>
        </w:rPr>
        <w:t>ք՝</w:t>
      </w:r>
    </w:p>
    <w:tbl>
      <w:tblPr>
        <w:tblW w:w="9592" w:type="dxa"/>
        <w:jc w:val="center"/>
        <w:tblLayout w:type="fixed"/>
        <w:tblCellMar>
          <w:left w:w="0" w:type="dxa"/>
          <w:right w:w="0" w:type="dxa"/>
        </w:tblCellMar>
        <w:tblLook w:val="01E0" w:firstRow="1" w:lastRow="1" w:firstColumn="1" w:lastColumn="1" w:noHBand="0" w:noVBand="0"/>
      </w:tblPr>
      <w:tblGrid>
        <w:gridCol w:w="5103"/>
        <w:gridCol w:w="2873"/>
        <w:gridCol w:w="851"/>
        <w:gridCol w:w="765"/>
      </w:tblGrid>
      <w:tr w:rsidR="006F76EB" w:rsidRPr="00834D52" w14:paraId="00CB6F1A"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5786605E"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489" w:type="dxa"/>
            <w:gridSpan w:val="3"/>
            <w:tcBorders>
              <w:top w:val="single" w:sz="4" w:space="0" w:color="000000"/>
              <w:left w:val="single" w:sz="4" w:space="0" w:color="000000"/>
              <w:bottom w:val="single" w:sz="4" w:space="0" w:color="000000"/>
              <w:right w:val="single" w:sz="4" w:space="0" w:color="000000"/>
            </w:tcBorders>
          </w:tcPr>
          <w:p w14:paraId="592BCFB0" w14:textId="77777777" w:rsidR="006F76EB" w:rsidRPr="00834D52" w:rsidRDefault="006F76EB" w:rsidP="00487CCB">
            <w:pPr>
              <w:spacing w:after="120" w:line="240" w:lineRule="auto"/>
              <w:ind w:right="-6"/>
              <w:rPr>
                <w:rFonts w:ascii="Sylfaen" w:hAnsi="Sylfaen"/>
                <w:sz w:val="24"/>
                <w:szCs w:val="24"/>
              </w:rPr>
            </w:pPr>
          </w:p>
        </w:tc>
      </w:tr>
      <w:tr w:rsidR="006F76EB" w:rsidRPr="00834D52" w14:paraId="29649547"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1771FBF5"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4489" w:type="dxa"/>
            <w:gridSpan w:val="3"/>
            <w:tcBorders>
              <w:top w:val="single" w:sz="4" w:space="0" w:color="000000"/>
              <w:left w:val="single" w:sz="4" w:space="0" w:color="000000"/>
              <w:bottom w:val="single" w:sz="4" w:space="0" w:color="000000"/>
              <w:right w:val="single" w:sz="4" w:space="0" w:color="000000"/>
            </w:tcBorders>
          </w:tcPr>
          <w:p w14:paraId="0ADBB2BC" w14:textId="77777777" w:rsidR="006F76EB" w:rsidRPr="00834D52" w:rsidRDefault="006F76EB" w:rsidP="00487CCB">
            <w:pPr>
              <w:spacing w:after="120" w:line="240" w:lineRule="auto"/>
              <w:ind w:right="-6"/>
              <w:rPr>
                <w:rFonts w:ascii="Sylfaen" w:hAnsi="Sylfaen"/>
                <w:sz w:val="24"/>
                <w:szCs w:val="24"/>
              </w:rPr>
            </w:pPr>
          </w:p>
        </w:tc>
      </w:tr>
      <w:tr w:rsidR="006F76EB" w:rsidRPr="00834D52" w14:paraId="413AB398"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12BF7EC1"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489" w:type="dxa"/>
            <w:gridSpan w:val="3"/>
            <w:tcBorders>
              <w:top w:val="single" w:sz="4" w:space="0" w:color="000000"/>
              <w:left w:val="single" w:sz="4" w:space="0" w:color="000000"/>
              <w:bottom w:val="single" w:sz="4" w:space="0" w:color="000000"/>
              <w:right w:val="single" w:sz="4" w:space="0" w:color="000000"/>
            </w:tcBorders>
          </w:tcPr>
          <w:p w14:paraId="576E658D" w14:textId="77777777" w:rsidR="006F76EB" w:rsidRPr="00834D52" w:rsidRDefault="006F76EB" w:rsidP="00487CCB">
            <w:pPr>
              <w:spacing w:after="120" w:line="240" w:lineRule="auto"/>
              <w:ind w:right="-6"/>
              <w:rPr>
                <w:rFonts w:ascii="Sylfaen" w:hAnsi="Sylfaen"/>
                <w:sz w:val="24"/>
                <w:szCs w:val="24"/>
              </w:rPr>
            </w:pPr>
          </w:p>
        </w:tc>
      </w:tr>
      <w:tr w:rsidR="006F76EB" w:rsidRPr="00834D52" w14:paraId="58415F58"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4089674"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4489" w:type="dxa"/>
            <w:gridSpan w:val="3"/>
            <w:tcBorders>
              <w:top w:val="single" w:sz="4" w:space="0" w:color="000000"/>
              <w:left w:val="single" w:sz="4" w:space="0" w:color="000000"/>
              <w:bottom w:val="single" w:sz="4" w:space="0" w:color="000000"/>
              <w:right w:val="single" w:sz="4" w:space="0" w:color="000000"/>
            </w:tcBorders>
          </w:tcPr>
          <w:p w14:paraId="58809783" w14:textId="77777777" w:rsidR="006F76EB" w:rsidRPr="00834D52" w:rsidRDefault="006F76EB" w:rsidP="00487CCB">
            <w:pPr>
              <w:spacing w:after="120" w:line="240" w:lineRule="auto"/>
              <w:ind w:right="-6"/>
              <w:rPr>
                <w:rFonts w:ascii="Sylfaen" w:hAnsi="Sylfaen"/>
                <w:sz w:val="24"/>
                <w:szCs w:val="24"/>
              </w:rPr>
            </w:pPr>
          </w:p>
        </w:tc>
      </w:tr>
      <w:tr w:rsidR="006F76EB" w:rsidRPr="00834D52" w14:paraId="619EDAB5" w14:textId="77777777" w:rsidTr="00F71229">
        <w:trPr>
          <w:jc w:val="center"/>
        </w:trPr>
        <w:tc>
          <w:tcPr>
            <w:tcW w:w="5103" w:type="dxa"/>
            <w:tcBorders>
              <w:top w:val="single" w:sz="4" w:space="0" w:color="000000"/>
              <w:left w:val="single" w:sz="4" w:space="0" w:color="000000"/>
              <w:bottom w:val="single" w:sz="4" w:space="0" w:color="000000"/>
              <w:right w:val="single" w:sz="4" w:space="0" w:color="auto"/>
            </w:tcBorders>
          </w:tcPr>
          <w:p w14:paraId="5EF39C3E"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73" w:type="dxa"/>
            <w:tcBorders>
              <w:top w:val="single" w:sz="4" w:space="0" w:color="auto"/>
              <w:left w:val="single" w:sz="4" w:space="0" w:color="auto"/>
              <w:bottom w:val="single" w:sz="4" w:space="0" w:color="auto"/>
            </w:tcBorders>
          </w:tcPr>
          <w:p w14:paraId="42BDD83B" w14:textId="25162C15" w:rsidR="006F76EB" w:rsidRPr="00834D52" w:rsidRDefault="0037154C" w:rsidP="00487CCB">
            <w:pPr>
              <w:spacing w:after="120" w:line="240" w:lineRule="auto"/>
              <w:ind w:left="56"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61824" behindDoc="0" locked="0" layoutInCell="1" allowOverlap="1" wp14:anchorId="7B37AAC5" wp14:editId="3118F25A">
                      <wp:simplePos x="0" y="0"/>
                      <wp:positionH relativeFrom="column">
                        <wp:posOffset>1776730</wp:posOffset>
                      </wp:positionH>
                      <wp:positionV relativeFrom="paragraph">
                        <wp:posOffset>27940</wp:posOffset>
                      </wp:positionV>
                      <wp:extent cx="161925" cy="152400"/>
                      <wp:effectExtent l="6350" t="13970" r="12700" b="5080"/>
                      <wp:wrapNone/>
                      <wp:docPr id="1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04889" id="Rectangle 145" o:spid="_x0000_s1026" style="position:absolute;margin-left:139.9pt;margin-top:2.2pt;width:12.75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"/>
                  </w:pict>
                </mc:Fallback>
              </mc:AlternateConten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081D23E2" w14:textId="33339803" w:rsidR="006F76EB" w:rsidRPr="00834D52" w:rsidRDefault="0037154C" w:rsidP="00487CCB">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62848" behindDoc="0" locked="0" layoutInCell="1" allowOverlap="1" wp14:anchorId="219F5269" wp14:editId="4C88B279">
                      <wp:simplePos x="0" y="0"/>
                      <wp:positionH relativeFrom="column">
                        <wp:posOffset>481330</wp:posOffset>
                      </wp:positionH>
                      <wp:positionV relativeFrom="paragraph">
                        <wp:posOffset>27940</wp:posOffset>
                      </wp:positionV>
                      <wp:extent cx="161925" cy="152400"/>
                      <wp:effectExtent l="8255" t="13970" r="10795" b="5080"/>
                      <wp:wrapNone/>
                      <wp:docPr id="16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995A1" id="Rectangle 144" o:spid="_x0000_s1026" style="position:absolute;margin-left:37.9pt;margin-top:2.2pt;width:12.75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"/>
                  </w:pict>
                </mc:Fallback>
              </mc:AlternateContent>
            </w:r>
            <w:r w:rsidR="006F76EB" w:rsidRPr="00834D52">
              <w:rPr>
                <w:rFonts w:ascii="Sylfaen" w:hAnsi="Sylfaen"/>
                <w:sz w:val="24"/>
                <w:szCs w:val="24"/>
              </w:rPr>
              <w:t>ոչ</w:t>
            </w:r>
          </w:p>
        </w:tc>
        <w:tc>
          <w:tcPr>
            <w:tcW w:w="765" w:type="dxa"/>
            <w:tcBorders>
              <w:top w:val="single" w:sz="4" w:space="0" w:color="auto"/>
              <w:bottom w:val="single" w:sz="4" w:space="0" w:color="auto"/>
              <w:right w:val="single" w:sz="4" w:space="0" w:color="auto"/>
            </w:tcBorders>
          </w:tcPr>
          <w:p w14:paraId="60F63D69" w14:textId="77777777" w:rsidR="006F76EB" w:rsidRPr="00834D52" w:rsidRDefault="006F76EB" w:rsidP="00487CCB">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26392B5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Արդյոք այլ պետության լիազորված մարմնի (կազմակերպության) կողմից անցկացվել է պատշաճ արտադրական գործունեության պահանջների կատարման մասով տարածքի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3BCE51C" w14:textId="77777777" w:rsidTr="00F71229">
        <w:trPr>
          <w:jc w:val="center"/>
        </w:trPr>
        <w:tc>
          <w:tcPr>
            <w:tcW w:w="1560" w:type="dxa"/>
          </w:tcPr>
          <w:p w14:paraId="7A419846" w14:textId="676B408E"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63872" behindDoc="0" locked="0" layoutInCell="1" allowOverlap="1" wp14:anchorId="78294FF2" wp14:editId="72A963EC">
                      <wp:simplePos x="0" y="0"/>
                      <wp:positionH relativeFrom="column">
                        <wp:posOffset>104775</wp:posOffset>
                      </wp:positionH>
                      <wp:positionV relativeFrom="paragraph">
                        <wp:posOffset>51435</wp:posOffset>
                      </wp:positionV>
                      <wp:extent cx="161925" cy="152400"/>
                      <wp:effectExtent l="5080" t="8890" r="13970" b="10160"/>
                      <wp:wrapNone/>
                      <wp:docPr id="16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D1446" id="Rectangle 146" o:spid="_x0000_s1026" style="position:absolute;margin-left:8.25pt;margin-top:4.05pt;width:12.75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417BC18C" w14:textId="480259CE"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64896" behindDoc="0" locked="0" layoutInCell="1" allowOverlap="1" wp14:anchorId="63ECF3E5" wp14:editId="3D177578">
                      <wp:simplePos x="0" y="0"/>
                      <wp:positionH relativeFrom="column">
                        <wp:posOffset>6350</wp:posOffset>
                      </wp:positionH>
                      <wp:positionV relativeFrom="paragraph">
                        <wp:posOffset>51435</wp:posOffset>
                      </wp:positionV>
                      <wp:extent cx="161925" cy="152400"/>
                      <wp:effectExtent l="11430" t="8890" r="7620" b="10160"/>
                      <wp:wrapNone/>
                      <wp:docPr id="16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891F9" id="Rectangle 147" o:spid="_x0000_s1026" style="position:absolute;margin-left:.5pt;margin-top:4.05pt;width:12.75pt;height: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40AE476D"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10050" w:type="dxa"/>
        <w:jc w:val="center"/>
        <w:tblLayout w:type="fixed"/>
        <w:tblCellMar>
          <w:left w:w="0" w:type="dxa"/>
          <w:right w:w="0" w:type="dxa"/>
        </w:tblCellMar>
        <w:tblLook w:val="01E0" w:firstRow="1" w:lastRow="1" w:firstColumn="1" w:lastColumn="1" w:noHBand="0" w:noVBand="0"/>
      </w:tblPr>
      <w:tblGrid>
        <w:gridCol w:w="5103"/>
        <w:gridCol w:w="2873"/>
        <w:gridCol w:w="1005"/>
        <w:gridCol w:w="1069"/>
      </w:tblGrid>
      <w:tr w:rsidR="006F76EB" w:rsidRPr="00834D52" w14:paraId="712750D7"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78F6FBC8"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947" w:type="dxa"/>
            <w:gridSpan w:val="3"/>
            <w:tcBorders>
              <w:top w:val="single" w:sz="4" w:space="0" w:color="000000"/>
              <w:left w:val="single" w:sz="4" w:space="0" w:color="000000"/>
              <w:bottom w:val="single" w:sz="4" w:space="0" w:color="000000"/>
              <w:right w:val="single" w:sz="4" w:space="0" w:color="000000"/>
            </w:tcBorders>
          </w:tcPr>
          <w:p w14:paraId="36262A08" w14:textId="77777777" w:rsidR="006F76EB" w:rsidRPr="00834D52" w:rsidRDefault="006F76EB" w:rsidP="00EC7E9F">
            <w:pPr>
              <w:spacing w:after="120" w:line="240" w:lineRule="auto"/>
              <w:ind w:right="-6"/>
              <w:rPr>
                <w:rFonts w:ascii="Sylfaen" w:hAnsi="Sylfaen"/>
                <w:sz w:val="24"/>
                <w:szCs w:val="24"/>
              </w:rPr>
            </w:pPr>
          </w:p>
        </w:tc>
      </w:tr>
      <w:tr w:rsidR="006F76EB" w:rsidRPr="00834D52" w14:paraId="794282BF"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C554371"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4947" w:type="dxa"/>
            <w:gridSpan w:val="3"/>
            <w:tcBorders>
              <w:top w:val="single" w:sz="4" w:space="0" w:color="000000"/>
              <w:left w:val="single" w:sz="4" w:space="0" w:color="000000"/>
              <w:bottom w:val="single" w:sz="4" w:space="0" w:color="000000"/>
              <w:right w:val="single" w:sz="4" w:space="0" w:color="000000"/>
            </w:tcBorders>
          </w:tcPr>
          <w:p w14:paraId="3E08F8ED" w14:textId="77777777" w:rsidR="006F76EB" w:rsidRPr="00834D52" w:rsidRDefault="006F76EB" w:rsidP="00EC7E9F">
            <w:pPr>
              <w:spacing w:after="120" w:line="240" w:lineRule="auto"/>
              <w:ind w:right="-6"/>
              <w:rPr>
                <w:rFonts w:ascii="Sylfaen" w:hAnsi="Sylfaen"/>
                <w:sz w:val="24"/>
                <w:szCs w:val="24"/>
              </w:rPr>
            </w:pPr>
          </w:p>
        </w:tc>
      </w:tr>
      <w:tr w:rsidR="006F76EB" w:rsidRPr="00834D52" w14:paraId="49697BD5"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79ED3C0"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947" w:type="dxa"/>
            <w:gridSpan w:val="3"/>
            <w:tcBorders>
              <w:top w:val="single" w:sz="4" w:space="0" w:color="000000"/>
              <w:left w:val="single" w:sz="4" w:space="0" w:color="000000"/>
              <w:bottom w:val="single" w:sz="4" w:space="0" w:color="000000"/>
              <w:right w:val="single" w:sz="4" w:space="0" w:color="000000"/>
            </w:tcBorders>
          </w:tcPr>
          <w:p w14:paraId="732E11B0" w14:textId="77777777" w:rsidR="006F76EB" w:rsidRPr="00834D52" w:rsidRDefault="006F76EB" w:rsidP="00EC7E9F">
            <w:pPr>
              <w:spacing w:after="120" w:line="240" w:lineRule="auto"/>
              <w:ind w:right="-6"/>
              <w:rPr>
                <w:rFonts w:ascii="Sylfaen" w:hAnsi="Sylfaen"/>
                <w:sz w:val="24"/>
                <w:szCs w:val="24"/>
              </w:rPr>
            </w:pPr>
          </w:p>
        </w:tc>
      </w:tr>
      <w:tr w:rsidR="006F76EB" w:rsidRPr="00834D52" w14:paraId="4650BE9D"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6EC06D9F"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4947" w:type="dxa"/>
            <w:gridSpan w:val="3"/>
            <w:tcBorders>
              <w:top w:val="single" w:sz="4" w:space="0" w:color="000000"/>
              <w:left w:val="single" w:sz="4" w:space="0" w:color="000000"/>
              <w:bottom w:val="single" w:sz="4" w:space="0" w:color="000000"/>
              <w:right w:val="single" w:sz="4" w:space="0" w:color="000000"/>
            </w:tcBorders>
          </w:tcPr>
          <w:p w14:paraId="673A6565" w14:textId="77777777" w:rsidR="006F76EB" w:rsidRPr="00834D52" w:rsidRDefault="006F76EB" w:rsidP="00EC7E9F">
            <w:pPr>
              <w:spacing w:after="120" w:line="240" w:lineRule="auto"/>
              <w:ind w:right="-6"/>
              <w:rPr>
                <w:rFonts w:ascii="Sylfaen" w:hAnsi="Sylfaen"/>
                <w:sz w:val="24"/>
                <w:szCs w:val="24"/>
              </w:rPr>
            </w:pPr>
          </w:p>
        </w:tc>
      </w:tr>
      <w:tr w:rsidR="006F76EB" w:rsidRPr="00834D52" w14:paraId="2B001295" w14:textId="77777777" w:rsidTr="00F71229">
        <w:trPr>
          <w:jc w:val="center"/>
        </w:trPr>
        <w:tc>
          <w:tcPr>
            <w:tcW w:w="5103" w:type="dxa"/>
            <w:tcBorders>
              <w:top w:val="single" w:sz="4" w:space="0" w:color="000000"/>
              <w:left w:val="single" w:sz="4" w:space="0" w:color="000000"/>
              <w:bottom w:val="single" w:sz="4" w:space="0" w:color="000000"/>
              <w:right w:val="single" w:sz="4" w:space="0" w:color="auto"/>
            </w:tcBorders>
          </w:tcPr>
          <w:p w14:paraId="22AD6E98"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73" w:type="dxa"/>
            <w:tcBorders>
              <w:top w:val="single" w:sz="4" w:space="0" w:color="auto"/>
              <w:left w:val="single" w:sz="4" w:space="0" w:color="auto"/>
              <w:bottom w:val="single" w:sz="4" w:space="0" w:color="auto"/>
            </w:tcBorders>
          </w:tcPr>
          <w:p w14:paraId="727883B9" w14:textId="77777777" w:rsidR="006F76EB" w:rsidRPr="00834D52" w:rsidRDefault="006F76EB" w:rsidP="00EC7E9F">
            <w:pPr>
              <w:spacing w:after="120" w:line="240" w:lineRule="auto"/>
              <w:ind w:left="56" w:right="-6"/>
              <w:rPr>
                <w:rFonts w:ascii="Sylfaen" w:eastAsia="Times New Roman" w:hAnsi="Sylfaen" w:cs="Times New Roman"/>
                <w:sz w:val="24"/>
                <w:szCs w:val="24"/>
              </w:rPr>
            </w:pPr>
            <w:r w:rsidRPr="00834D52">
              <w:rPr>
                <w:rFonts w:ascii="Sylfaen" w:hAnsi="Sylfaen"/>
                <w:sz w:val="24"/>
                <w:szCs w:val="24"/>
              </w:rPr>
              <w:t>համապատասխանում է՝</w:t>
            </w:r>
          </w:p>
        </w:tc>
        <w:tc>
          <w:tcPr>
            <w:tcW w:w="1005" w:type="dxa"/>
            <w:tcBorders>
              <w:top w:val="single" w:sz="4" w:space="0" w:color="auto"/>
              <w:bottom w:val="single" w:sz="4" w:space="0" w:color="auto"/>
            </w:tcBorders>
          </w:tcPr>
          <w:p w14:paraId="14624D7D" w14:textId="75623E2D" w:rsidR="006F76EB" w:rsidRPr="00834D52" w:rsidRDefault="0037154C" w:rsidP="00EC7E9F">
            <w:pPr>
              <w:spacing w:after="120" w:line="240" w:lineRule="auto"/>
              <w:ind w:right="-6"/>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65920" behindDoc="0" locked="0" layoutInCell="1" allowOverlap="1" wp14:anchorId="14557122" wp14:editId="63CAC7DC">
                      <wp:simplePos x="0" y="0"/>
                      <wp:positionH relativeFrom="column">
                        <wp:posOffset>24130</wp:posOffset>
                      </wp:positionH>
                      <wp:positionV relativeFrom="paragraph">
                        <wp:posOffset>27940</wp:posOffset>
                      </wp:positionV>
                      <wp:extent cx="161925" cy="152400"/>
                      <wp:effectExtent l="5715" t="6985" r="13335" b="12065"/>
                      <wp:wrapNone/>
                      <wp:docPr id="15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B23DC" id="Rectangle 149" o:spid="_x0000_s1026" style="position:absolute;margin-left:1.9pt;margin-top:2.2pt;width:12.75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"/>
                  </w:pict>
                </mc:Fallback>
              </mc:AlternateContent>
            </w:r>
            <w:r w:rsidR="006F76EB" w:rsidRPr="00834D52">
              <w:rPr>
                <w:rFonts w:ascii="Sylfaen" w:hAnsi="Sylfaen"/>
                <w:sz w:val="24"/>
                <w:szCs w:val="24"/>
              </w:rPr>
              <w:t>ոչ</w:t>
            </w:r>
          </w:p>
        </w:tc>
        <w:tc>
          <w:tcPr>
            <w:tcW w:w="1069" w:type="dxa"/>
            <w:tcBorders>
              <w:top w:val="single" w:sz="4" w:space="0" w:color="auto"/>
              <w:bottom w:val="single" w:sz="4" w:space="0" w:color="auto"/>
              <w:right w:val="single" w:sz="4" w:space="0" w:color="auto"/>
            </w:tcBorders>
          </w:tcPr>
          <w:p w14:paraId="1A4382DD" w14:textId="7EBD3EBF" w:rsidR="006F76EB" w:rsidRPr="00834D52" w:rsidRDefault="0037154C" w:rsidP="00EC7E9F">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66944" behindDoc="0" locked="0" layoutInCell="1" allowOverlap="1" wp14:anchorId="2CE1F022" wp14:editId="0549E405">
                      <wp:simplePos x="0" y="0"/>
                      <wp:positionH relativeFrom="column">
                        <wp:posOffset>44450</wp:posOffset>
                      </wp:positionH>
                      <wp:positionV relativeFrom="paragraph">
                        <wp:posOffset>27940</wp:posOffset>
                      </wp:positionV>
                      <wp:extent cx="161925" cy="152400"/>
                      <wp:effectExtent l="6985" t="6985" r="12065" b="12065"/>
                      <wp:wrapNone/>
                      <wp:docPr id="15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B9066" id="Rectangle 148" o:spid="_x0000_s1026" style="position:absolute;margin-left:3.5pt;margin-top:2.2pt;width:12.75pt;height: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"/>
                  </w:pict>
                </mc:Fallback>
              </mc:AlternateContent>
            </w:r>
            <w:r w:rsidR="006F76EB" w:rsidRPr="00834D52">
              <w:rPr>
                <w:rFonts w:ascii="Sylfaen" w:hAnsi="Sylfaen"/>
                <w:sz w:val="24"/>
                <w:szCs w:val="24"/>
              </w:rPr>
              <w:t>այո</w:t>
            </w:r>
          </w:p>
        </w:tc>
      </w:tr>
    </w:tbl>
    <w:p w14:paraId="3CD59DBE" w14:textId="77777777" w:rsidR="006F76EB" w:rsidRPr="00834D52" w:rsidRDefault="006F76EB" w:rsidP="00EC7E9F">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3.5.5.</w:t>
      </w:r>
      <w:r w:rsidRPr="00834D52">
        <w:rPr>
          <w:rFonts w:ascii="Sylfaen" w:hAnsi="Sylfaen"/>
          <w:sz w:val="24"/>
          <w:szCs w:val="24"/>
        </w:rPr>
        <w:tab/>
        <w:t xml:space="preserve">ԱԴԲ-ն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6A116407"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արտադրական գործընթացին մասնակցող բոլոր արտադրական հարթակները՝ նշելով արտադրության էտապը: Կենսաբանական դեղապատրաստուկների համար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tbl>
      <w:tblPr>
        <w:tblW w:w="9610" w:type="dxa"/>
        <w:jc w:val="center"/>
        <w:tblLayout w:type="fixed"/>
        <w:tblCellMar>
          <w:left w:w="0" w:type="dxa"/>
          <w:right w:w="0" w:type="dxa"/>
        </w:tblCellMar>
        <w:tblLook w:val="01E0" w:firstRow="1" w:lastRow="1" w:firstColumn="1" w:lastColumn="1" w:noHBand="0" w:noVBand="0"/>
      </w:tblPr>
      <w:tblGrid>
        <w:gridCol w:w="5508"/>
        <w:gridCol w:w="4102"/>
      </w:tblGrid>
      <w:tr w:rsidR="006F76EB" w:rsidRPr="00834D52" w14:paraId="72EDD504"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383750DC" w14:textId="77777777" w:rsidR="006F76EB" w:rsidRPr="00834D52" w:rsidRDefault="006F76EB" w:rsidP="00EC7E9F">
            <w:pPr>
              <w:spacing w:after="120" w:line="240" w:lineRule="auto"/>
              <w:ind w:left="180" w:right="142"/>
              <w:rPr>
                <w:rFonts w:ascii="Sylfaen" w:eastAsia="Times New Roman" w:hAnsi="Sylfaen" w:cs="Times New Roman"/>
                <w:sz w:val="24"/>
                <w:szCs w:val="24"/>
              </w:rPr>
            </w:pPr>
            <w:r w:rsidRPr="00834D52">
              <w:rPr>
                <w:rFonts w:ascii="Sylfaen" w:hAnsi="Sylfaen"/>
                <w:sz w:val="24"/>
                <w:szCs w:val="24"/>
              </w:rPr>
              <w:t xml:space="preserve">արտադրական գործընթացի ընթացաշրջանի անվանումը, ակտիվ դեղաբանական բաղադրամասը </w:t>
            </w:r>
          </w:p>
        </w:tc>
        <w:tc>
          <w:tcPr>
            <w:tcW w:w="4102" w:type="dxa"/>
            <w:tcBorders>
              <w:top w:val="single" w:sz="4" w:space="0" w:color="000000"/>
              <w:left w:val="single" w:sz="4" w:space="0" w:color="000000"/>
              <w:bottom w:val="single" w:sz="4" w:space="0" w:color="000000"/>
              <w:right w:val="single" w:sz="4" w:space="0" w:color="000000"/>
            </w:tcBorders>
          </w:tcPr>
          <w:p w14:paraId="3D25EC7A" w14:textId="77777777" w:rsidR="006F76EB" w:rsidRPr="00834D52" w:rsidRDefault="006F76EB" w:rsidP="00EC7E9F">
            <w:pPr>
              <w:spacing w:after="120" w:line="240" w:lineRule="auto"/>
              <w:ind w:right="-8"/>
              <w:rPr>
                <w:rFonts w:ascii="Sylfaen" w:hAnsi="Sylfaen"/>
                <w:sz w:val="24"/>
                <w:szCs w:val="24"/>
              </w:rPr>
            </w:pPr>
          </w:p>
        </w:tc>
      </w:tr>
      <w:tr w:rsidR="006F76EB" w:rsidRPr="00834D52" w14:paraId="5FCF61A9"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2911EC59" w14:textId="77777777" w:rsidR="006F76EB" w:rsidRPr="00834D52" w:rsidRDefault="006F76EB" w:rsidP="00EC7E9F">
            <w:pPr>
              <w:spacing w:after="120" w:line="240" w:lineRule="auto"/>
              <w:ind w:left="180" w:right="142"/>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ֆիզիկական անձի ազգանունը, անունը, հայրանունը</w:t>
            </w:r>
          </w:p>
        </w:tc>
        <w:tc>
          <w:tcPr>
            <w:tcW w:w="4102" w:type="dxa"/>
            <w:tcBorders>
              <w:top w:val="single" w:sz="4" w:space="0" w:color="000000"/>
              <w:left w:val="single" w:sz="4" w:space="0" w:color="000000"/>
              <w:bottom w:val="single" w:sz="4" w:space="0" w:color="000000"/>
              <w:right w:val="single" w:sz="4" w:space="0" w:color="000000"/>
            </w:tcBorders>
          </w:tcPr>
          <w:p w14:paraId="2FA4C968" w14:textId="77777777" w:rsidR="006F76EB" w:rsidRPr="00834D52" w:rsidRDefault="006F76EB" w:rsidP="00EC7E9F">
            <w:pPr>
              <w:spacing w:after="120" w:line="240" w:lineRule="auto"/>
              <w:ind w:right="-8"/>
              <w:rPr>
                <w:rFonts w:ascii="Sylfaen" w:hAnsi="Sylfaen"/>
                <w:sz w:val="24"/>
                <w:szCs w:val="24"/>
              </w:rPr>
            </w:pPr>
          </w:p>
        </w:tc>
      </w:tr>
      <w:tr w:rsidR="006F76EB" w:rsidRPr="00834D52" w14:paraId="18F87769"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31E28A2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102" w:type="dxa"/>
            <w:tcBorders>
              <w:top w:val="single" w:sz="4" w:space="0" w:color="000000"/>
              <w:left w:val="single" w:sz="4" w:space="0" w:color="000000"/>
              <w:bottom w:val="single" w:sz="4" w:space="0" w:color="000000"/>
              <w:right w:val="single" w:sz="4" w:space="0" w:color="000000"/>
            </w:tcBorders>
          </w:tcPr>
          <w:p w14:paraId="5ADADA60" w14:textId="77777777" w:rsidR="006F76EB" w:rsidRPr="00834D52" w:rsidRDefault="006F76EB" w:rsidP="00EC7E9F">
            <w:pPr>
              <w:spacing w:after="120" w:line="240" w:lineRule="auto"/>
              <w:ind w:right="-8"/>
              <w:rPr>
                <w:rFonts w:ascii="Sylfaen" w:hAnsi="Sylfaen"/>
                <w:sz w:val="24"/>
                <w:szCs w:val="24"/>
              </w:rPr>
            </w:pPr>
          </w:p>
        </w:tc>
      </w:tr>
      <w:tr w:rsidR="006F76EB" w:rsidRPr="00834D52" w14:paraId="3CEFB4B2"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0F09A52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պետությունը</w:t>
            </w:r>
          </w:p>
        </w:tc>
        <w:tc>
          <w:tcPr>
            <w:tcW w:w="4102" w:type="dxa"/>
            <w:tcBorders>
              <w:top w:val="single" w:sz="4" w:space="0" w:color="000000"/>
              <w:left w:val="single" w:sz="4" w:space="0" w:color="000000"/>
              <w:bottom w:val="single" w:sz="4" w:space="0" w:color="000000"/>
              <w:right w:val="single" w:sz="4" w:space="0" w:color="000000"/>
            </w:tcBorders>
          </w:tcPr>
          <w:p w14:paraId="001190E1" w14:textId="77777777" w:rsidR="006F76EB" w:rsidRPr="00834D52" w:rsidRDefault="006F76EB" w:rsidP="00EC7E9F">
            <w:pPr>
              <w:spacing w:after="120" w:line="240" w:lineRule="auto"/>
              <w:ind w:right="-8"/>
              <w:rPr>
                <w:rFonts w:ascii="Sylfaen" w:hAnsi="Sylfaen"/>
                <w:sz w:val="24"/>
                <w:szCs w:val="24"/>
              </w:rPr>
            </w:pPr>
          </w:p>
        </w:tc>
      </w:tr>
      <w:tr w:rsidR="006F76EB" w:rsidRPr="00834D52" w14:paraId="168FC280"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52F3E9E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02" w:type="dxa"/>
            <w:tcBorders>
              <w:top w:val="single" w:sz="4" w:space="0" w:color="000000"/>
              <w:left w:val="single" w:sz="4" w:space="0" w:color="000000"/>
              <w:bottom w:val="single" w:sz="4" w:space="0" w:color="000000"/>
              <w:right w:val="single" w:sz="4" w:space="0" w:color="000000"/>
            </w:tcBorders>
          </w:tcPr>
          <w:p w14:paraId="72613734" w14:textId="77777777" w:rsidR="006F76EB" w:rsidRPr="00834D52" w:rsidRDefault="006F76EB" w:rsidP="00EC7E9F">
            <w:pPr>
              <w:spacing w:after="120" w:line="240" w:lineRule="auto"/>
              <w:ind w:right="-8"/>
              <w:rPr>
                <w:rFonts w:ascii="Sylfaen" w:hAnsi="Sylfaen"/>
                <w:sz w:val="24"/>
                <w:szCs w:val="24"/>
              </w:rPr>
            </w:pPr>
          </w:p>
        </w:tc>
      </w:tr>
      <w:tr w:rsidR="006F76EB" w:rsidRPr="00834D52" w14:paraId="4F7E3A3A"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24255EAD"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02" w:type="dxa"/>
            <w:tcBorders>
              <w:top w:val="single" w:sz="4" w:space="0" w:color="000000"/>
              <w:left w:val="single" w:sz="4" w:space="0" w:color="000000"/>
              <w:bottom w:val="single" w:sz="4" w:space="0" w:color="000000"/>
              <w:right w:val="single" w:sz="4" w:space="0" w:color="000000"/>
            </w:tcBorders>
          </w:tcPr>
          <w:p w14:paraId="48ADD2D6" w14:textId="77777777" w:rsidR="006F76EB" w:rsidRPr="00834D52" w:rsidRDefault="006F76EB" w:rsidP="00EC7E9F">
            <w:pPr>
              <w:spacing w:after="120" w:line="240" w:lineRule="auto"/>
              <w:ind w:right="-8"/>
              <w:rPr>
                <w:rFonts w:ascii="Sylfaen" w:hAnsi="Sylfaen"/>
                <w:sz w:val="24"/>
                <w:szCs w:val="24"/>
              </w:rPr>
            </w:pPr>
          </w:p>
        </w:tc>
      </w:tr>
    </w:tbl>
    <w:p w14:paraId="388C9EC9" w14:textId="649D05B8"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համար կցե՛ք լիազորված անձի </w:t>
      </w:r>
      <w:r w:rsidR="0056496B">
        <w:rPr>
          <w:rFonts w:ascii="Sylfaen" w:hAnsi="Sylfaen"/>
          <w:sz w:val="24"/>
          <w:szCs w:val="24"/>
        </w:rPr>
        <w:t>դիմում</w:t>
      </w:r>
      <w:r w:rsidRPr="00834D52">
        <w:rPr>
          <w:rFonts w:ascii="Sylfaen" w:hAnsi="Sylfaen"/>
          <w:sz w:val="24"/>
          <w:szCs w:val="24"/>
        </w:rPr>
        <w:t xml:space="preserve">ը՝ սույն </w:t>
      </w:r>
      <w:r w:rsidR="0056496B">
        <w:rPr>
          <w:rFonts w:ascii="Sylfaen" w:hAnsi="Sylfaen"/>
          <w:sz w:val="24"/>
          <w:szCs w:val="24"/>
        </w:rPr>
        <w:t>դիմում</w:t>
      </w:r>
      <w:r w:rsidRPr="00834D52">
        <w:rPr>
          <w:rFonts w:ascii="Sylfaen" w:hAnsi="Sylfaen"/>
          <w:sz w:val="24"/>
          <w:szCs w:val="24"/>
        </w:rPr>
        <w:t xml:space="preserve">ի հավելվածի 5.5 ենթակետի համաձայն (կցե՛ք այն սխեման, որը ներառում է </w:t>
      </w:r>
      <w:r w:rsidRPr="00834D52">
        <w:rPr>
          <w:rFonts w:ascii="Sylfaen" w:hAnsi="Sylfaen"/>
          <w:sz w:val="24"/>
          <w:szCs w:val="24"/>
        </w:rPr>
        <w:lastRenderedPageBreak/>
        <w:t xml:space="preserve">արտադրական գործընթացում ներգրավված տարբեր արտադրական հարթակների համար հաջորդականությունը </w:t>
      </w:r>
      <w:r w:rsidR="00C54D75">
        <w:rPr>
          <w:rFonts w:ascii="Sylfaen" w:hAnsi="Sylfaen"/>
          <w:sz w:val="24"/>
          <w:szCs w:val="24"/>
        </w:rPr>
        <w:t>և</w:t>
      </w:r>
      <w:r w:rsidRPr="00834D52">
        <w:rPr>
          <w:rFonts w:ascii="Sylfaen" w:hAnsi="Sylfaen"/>
          <w:sz w:val="24"/>
          <w:szCs w:val="24"/>
        </w:rPr>
        <w:t xml:space="preserve"> գործողությունները՝ ներառյալ բացթողման համար անհրաժեշտ հսկողությունը):</w:t>
      </w:r>
    </w:p>
    <w:p w14:paraId="05B44516" w14:textId="77777777" w:rsidR="006F76EB" w:rsidRPr="00834D52" w:rsidRDefault="006F76EB" w:rsidP="006F76EB">
      <w:pPr>
        <w:spacing w:after="160" w:line="353"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 անցկացվել է Եվրասիական տնտեսական միության պատշաճ արտադրական գործունեության պահանջների կատարման մասով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D973038" w14:textId="77777777" w:rsidTr="00F71229">
        <w:trPr>
          <w:jc w:val="center"/>
        </w:trPr>
        <w:tc>
          <w:tcPr>
            <w:tcW w:w="1560" w:type="dxa"/>
          </w:tcPr>
          <w:p w14:paraId="6FCB1C14" w14:textId="2FD72B43" w:rsidR="006F76EB" w:rsidRPr="00834D52" w:rsidRDefault="0037154C" w:rsidP="00F71229">
            <w:pPr>
              <w:spacing w:after="160" w:line="353"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67968" behindDoc="0" locked="0" layoutInCell="1" allowOverlap="1" wp14:anchorId="72C60677" wp14:editId="5F934551">
                      <wp:simplePos x="0" y="0"/>
                      <wp:positionH relativeFrom="column">
                        <wp:posOffset>104775</wp:posOffset>
                      </wp:positionH>
                      <wp:positionV relativeFrom="paragraph">
                        <wp:posOffset>51435</wp:posOffset>
                      </wp:positionV>
                      <wp:extent cx="161925" cy="152400"/>
                      <wp:effectExtent l="5080" t="5080" r="13970" b="13970"/>
                      <wp:wrapNone/>
                      <wp:docPr id="15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A08B9" id="Rectangle 150" o:spid="_x0000_s1026" style="position:absolute;margin-left:8.25pt;margin-top:4.05pt;width:12.75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5E012938" w14:textId="61BF3899" w:rsidR="006F76EB" w:rsidRPr="00834D52" w:rsidRDefault="0037154C" w:rsidP="00F71229">
            <w:pPr>
              <w:spacing w:after="160" w:line="353"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68992" behindDoc="0" locked="0" layoutInCell="1" allowOverlap="1" wp14:anchorId="31F2F353" wp14:editId="11BEDA09">
                      <wp:simplePos x="0" y="0"/>
                      <wp:positionH relativeFrom="column">
                        <wp:posOffset>6350</wp:posOffset>
                      </wp:positionH>
                      <wp:positionV relativeFrom="paragraph">
                        <wp:posOffset>51435</wp:posOffset>
                      </wp:positionV>
                      <wp:extent cx="161925" cy="152400"/>
                      <wp:effectExtent l="11430" t="5080" r="7620" b="13970"/>
                      <wp:wrapNone/>
                      <wp:docPr id="15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348CE" id="Rectangle 151" o:spid="_x0000_s1026" style="position:absolute;margin-left:.5pt;margin-top:4.05pt;width:12.75pt;height: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5C21BD3E" w14:textId="77777777" w:rsidR="006F76EB" w:rsidRPr="00834D52" w:rsidRDefault="006F76EB" w:rsidP="006F76EB">
      <w:pPr>
        <w:spacing w:after="160" w:line="353"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ԱԴԲ-ի համար տրվել է Եվրոպական դեղագրքի մենագրությանը համապատասխանության սերտիֆիկատ՝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E925346" w14:textId="77777777" w:rsidTr="00F71229">
        <w:trPr>
          <w:jc w:val="center"/>
        </w:trPr>
        <w:tc>
          <w:tcPr>
            <w:tcW w:w="1560" w:type="dxa"/>
          </w:tcPr>
          <w:p w14:paraId="1565D8C1" w14:textId="71CA2DA3" w:rsidR="006F76EB" w:rsidRPr="00834D52" w:rsidRDefault="0037154C" w:rsidP="00F71229">
            <w:pPr>
              <w:spacing w:after="160" w:line="353"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0016" behindDoc="0" locked="0" layoutInCell="1" allowOverlap="1" wp14:anchorId="506D86CD" wp14:editId="16DE8612">
                      <wp:simplePos x="0" y="0"/>
                      <wp:positionH relativeFrom="column">
                        <wp:posOffset>104775</wp:posOffset>
                      </wp:positionH>
                      <wp:positionV relativeFrom="paragraph">
                        <wp:posOffset>51435</wp:posOffset>
                      </wp:positionV>
                      <wp:extent cx="161925" cy="152400"/>
                      <wp:effectExtent l="5080" t="8255" r="13970" b="10795"/>
                      <wp:wrapNone/>
                      <wp:docPr id="15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E628A" id="Rectangle 152" o:spid="_x0000_s1026" style="position:absolute;margin-left:8.25pt;margin-top:4.05pt;width:12.75pt;height: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F3926CC" w14:textId="622F9E84" w:rsidR="006F76EB" w:rsidRPr="00834D52" w:rsidRDefault="0037154C" w:rsidP="00F71229">
            <w:pPr>
              <w:spacing w:after="160" w:line="353"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71040" behindDoc="0" locked="0" layoutInCell="1" allowOverlap="1" wp14:anchorId="14D94389" wp14:editId="1CEA4396">
                      <wp:simplePos x="0" y="0"/>
                      <wp:positionH relativeFrom="column">
                        <wp:posOffset>6350</wp:posOffset>
                      </wp:positionH>
                      <wp:positionV relativeFrom="paragraph">
                        <wp:posOffset>51435</wp:posOffset>
                      </wp:positionV>
                      <wp:extent cx="161925" cy="152400"/>
                      <wp:effectExtent l="11430" t="8255" r="7620" b="10795"/>
                      <wp:wrapNone/>
                      <wp:docPr id="15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CFCDA" id="Rectangle 153" o:spid="_x0000_s1026" style="position:absolute;margin-left:.5pt;margin-top:4.05pt;width:12.75pt;height: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5E91854F" w14:textId="77777777" w:rsidR="006F76EB" w:rsidRPr="00834D52" w:rsidRDefault="006F76EB" w:rsidP="006F76EB">
      <w:pPr>
        <w:spacing w:after="160" w:line="353"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714" w:type="dxa"/>
        <w:tblInd w:w="5" w:type="dxa"/>
        <w:tblLayout w:type="fixed"/>
        <w:tblCellMar>
          <w:left w:w="0" w:type="dxa"/>
          <w:right w:w="0" w:type="dxa"/>
        </w:tblCellMar>
        <w:tblLook w:val="01E0" w:firstRow="1" w:lastRow="1" w:firstColumn="1" w:lastColumn="1" w:noHBand="0" w:noVBand="0"/>
      </w:tblPr>
      <w:tblGrid>
        <w:gridCol w:w="5954"/>
        <w:gridCol w:w="3760"/>
      </w:tblGrid>
      <w:tr w:rsidR="006F76EB" w:rsidRPr="00834D52" w14:paraId="5E8F0E02"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0FB42296"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760" w:type="dxa"/>
            <w:tcBorders>
              <w:top w:val="single" w:sz="4" w:space="0" w:color="000000"/>
              <w:left w:val="single" w:sz="4" w:space="0" w:color="000000"/>
              <w:bottom w:val="single" w:sz="4" w:space="0" w:color="000000"/>
              <w:right w:val="single" w:sz="4" w:space="0" w:color="000000"/>
            </w:tcBorders>
          </w:tcPr>
          <w:p w14:paraId="0C9F83C7"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617FB80"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31193CB7"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իրավաբանական անձի անվանումը կամ անհատ ձեռնարկատեր ֆիզիկական անձի (արտադրողի) ազգանունը, անունը, հայրանունը</w:t>
            </w:r>
          </w:p>
        </w:tc>
        <w:tc>
          <w:tcPr>
            <w:tcW w:w="3760" w:type="dxa"/>
            <w:tcBorders>
              <w:top w:val="single" w:sz="4" w:space="0" w:color="000000"/>
              <w:left w:val="single" w:sz="4" w:space="0" w:color="000000"/>
              <w:bottom w:val="single" w:sz="4" w:space="0" w:color="000000"/>
              <w:right w:val="single" w:sz="4" w:space="0" w:color="000000"/>
            </w:tcBorders>
          </w:tcPr>
          <w:p w14:paraId="303B1817"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68E090E"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411852D7"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760" w:type="dxa"/>
            <w:tcBorders>
              <w:top w:val="single" w:sz="4" w:space="0" w:color="000000"/>
              <w:left w:val="single" w:sz="4" w:space="0" w:color="000000"/>
              <w:bottom w:val="single" w:sz="4" w:space="0" w:color="000000"/>
              <w:right w:val="single" w:sz="4" w:space="0" w:color="000000"/>
            </w:tcBorders>
          </w:tcPr>
          <w:p w14:paraId="5D2EC6D0"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826FF5C"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71FE42B6"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760" w:type="dxa"/>
            <w:tcBorders>
              <w:top w:val="single" w:sz="4" w:space="0" w:color="000000"/>
              <w:left w:val="single" w:sz="4" w:space="0" w:color="000000"/>
              <w:bottom w:val="single" w:sz="4" w:space="0" w:color="000000"/>
              <w:right w:val="single" w:sz="4" w:space="0" w:color="000000"/>
            </w:tcBorders>
          </w:tcPr>
          <w:p w14:paraId="42523E26" w14:textId="77777777" w:rsidR="006F76EB" w:rsidRPr="00834D52" w:rsidRDefault="006F76EB" w:rsidP="002139FC">
            <w:pPr>
              <w:spacing w:after="120" w:line="240" w:lineRule="auto"/>
              <w:ind w:right="-8"/>
              <w:rPr>
                <w:rFonts w:ascii="Sylfaen" w:hAnsi="Sylfaen"/>
                <w:sz w:val="24"/>
                <w:szCs w:val="24"/>
              </w:rPr>
            </w:pPr>
          </w:p>
        </w:tc>
      </w:tr>
    </w:tbl>
    <w:p w14:paraId="3B1F582B" w14:textId="77777777" w:rsidR="006F76EB" w:rsidRPr="00834D52" w:rsidRDefault="006F76EB" w:rsidP="006F76EB">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(կազմակերպության) կողմից անցկացվել է պատշաճ արտադրական գործունեության պահանջների կատարման մասով հարթակի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0E25D360" w14:textId="77777777" w:rsidTr="00F71229">
        <w:trPr>
          <w:jc w:val="center"/>
        </w:trPr>
        <w:tc>
          <w:tcPr>
            <w:tcW w:w="1560" w:type="dxa"/>
          </w:tcPr>
          <w:p w14:paraId="3C864B1A" w14:textId="130216D6" w:rsidR="006F76EB" w:rsidRPr="00834D52" w:rsidRDefault="0037154C" w:rsidP="00F71229">
            <w:pPr>
              <w:spacing w:after="160" w:line="348"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2064" behindDoc="0" locked="0" layoutInCell="1" allowOverlap="1" wp14:anchorId="6E00A92C" wp14:editId="72E6957F">
                      <wp:simplePos x="0" y="0"/>
                      <wp:positionH relativeFrom="column">
                        <wp:posOffset>104775</wp:posOffset>
                      </wp:positionH>
                      <wp:positionV relativeFrom="paragraph">
                        <wp:posOffset>51435</wp:posOffset>
                      </wp:positionV>
                      <wp:extent cx="161925" cy="152400"/>
                      <wp:effectExtent l="5080" t="12700" r="13970" b="6350"/>
                      <wp:wrapNone/>
                      <wp:docPr id="15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7382" id="Rectangle 154" o:spid="_x0000_s1026" style="position:absolute;margin-left:8.25pt;margin-top:4.05pt;width:12.75pt;height: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06FC0A5A" w14:textId="70AE0367" w:rsidR="006F76EB" w:rsidRPr="00834D52" w:rsidRDefault="0037154C" w:rsidP="00F71229">
            <w:pPr>
              <w:spacing w:after="160" w:line="348" w:lineRule="auto"/>
              <w:ind w:left="-108" w:right="-6"/>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73088" behindDoc="0" locked="0" layoutInCell="1" allowOverlap="1" wp14:anchorId="2A66E4FD" wp14:editId="4B21F482">
                      <wp:simplePos x="0" y="0"/>
                      <wp:positionH relativeFrom="column">
                        <wp:posOffset>6350</wp:posOffset>
                      </wp:positionH>
                      <wp:positionV relativeFrom="paragraph">
                        <wp:posOffset>51435</wp:posOffset>
                      </wp:positionV>
                      <wp:extent cx="161925" cy="152400"/>
                      <wp:effectExtent l="11430" t="12700" r="7620" b="6350"/>
                      <wp:wrapNone/>
                      <wp:docPr id="15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B09A1" id="Rectangle 155" o:spid="_x0000_s1026" style="position:absolute;margin-left:.5pt;margin-top:4.05pt;width:12.75pt;height:1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5C2AB196" w14:textId="77777777" w:rsidR="006F76EB" w:rsidRDefault="006F76EB" w:rsidP="006F76EB">
      <w:pPr>
        <w:spacing w:after="160" w:line="348" w:lineRule="auto"/>
        <w:ind w:right="-6"/>
        <w:rPr>
          <w:rFonts w:ascii="Sylfaen" w:hAnsi="Sylfaen"/>
          <w:sz w:val="24"/>
          <w:szCs w:val="24"/>
          <w:lang w:val="en-US"/>
        </w:rPr>
      </w:pPr>
      <w:r w:rsidRPr="00834D52">
        <w:rPr>
          <w:rFonts w:ascii="Sylfaen" w:hAnsi="Sylfaen"/>
          <w:sz w:val="24"/>
          <w:szCs w:val="24"/>
        </w:rPr>
        <w:t>Եթե այո՝ նշե՛ք՝</w:t>
      </w:r>
    </w:p>
    <w:tbl>
      <w:tblPr>
        <w:tblW w:w="9724" w:type="dxa"/>
        <w:jc w:val="center"/>
        <w:tblLayout w:type="fixed"/>
        <w:tblCellMar>
          <w:left w:w="0" w:type="dxa"/>
          <w:right w:w="0" w:type="dxa"/>
        </w:tblCellMar>
        <w:tblLook w:val="01E0" w:firstRow="1" w:lastRow="1" w:firstColumn="1" w:lastColumn="1" w:noHBand="0" w:noVBand="0"/>
      </w:tblPr>
      <w:tblGrid>
        <w:gridCol w:w="6180"/>
        <w:gridCol w:w="1559"/>
        <w:gridCol w:w="945"/>
        <w:gridCol w:w="1040"/>
      </w:tblGrid>
      <w:tr w:rsidR="006F76EB" w:rsidRPr="00834D52" w14:paraId="4A520E86"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6CEBABAB"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3544" w:type="dxa"/>
            <w:gridSpan w:val="3"/>
            <w:tcBorders>
              <w:top w:val="single" w:sz="4" w:space="0" w:color="000000"/>
              <w:left w:val="single" w:sz="4" w:space="0" w:color="000000"/>
              <w:bottom w:val="single" w:sz="4" w:space="0" w:color="000000"/>
              <w:right w:val="single" w:sz="4" w:space="0" w:color="000000"/>
            </w:tcBorders>
          </w:tcPr>
          <w:p w14:paraId="2825B9B5" w14:textId="77777777" w:rsidR="006F76EB" w:rsidRPr="00834D52" w:rsidRDefault="006F76EB" w:rsidP="002139FC">
            <w:pPr>
              <w:spacing w:after="120" w:line="240" w:lineRule="auto"/>
              <w:ind w:right="-6"/>
              <w:rPr>
                <w:rFonts w:ascii="Sylfaen" w:hAnsi="Sylfaen"/>
                <w:sz w:val="24"/>
                <w:szCs w:val="24"/>
              </w:rPr>
            </w:pPr>
          </w:p>
        </w:tc>
      </w:tr>
      <w:tr w:rsidR="006F76EB" w:rsidRPr="00834D52" w14:paraId="01E0CDCA"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4904063E"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3544" w:type="dxa"/>
            <w:gridSpan w:val="3"/>
            <w:tcBorders>
              <w:top w:val="single" w:sz="4" w:space="0" w:color="000000"/>
              <w:left w:val="single" w:sz="4" w:space="0" w:color="000000"/>
              <w:bottom w:val="single" w:sz="4" w:space="0" w:color="000000"/>
              <w:right w:val="single" w:sz="4" w:space="0" w:color="000000"/>
            </w:tcBorders>
          </w:tcPr>
          <w:p w14:paraId="3A705104" w14:textId="77777777" w:rsidR="006F76EB" w:rsidRPr="00834D52" w:rsidRDefault="006F76EB" w:rsidP="002139FC">
            <w:pPr>
              <w:spacing w:after="120" w:line="240" w:lineRule="auto"/>
              <w:ind w:right="-6"/>
              <w:rPr>
                <w:rFonts w:ascii="Sylfaen" w:hAnsi="Sylfaen"/>
                <w:sz w:val="24"/>
                <w:szCs w:val="24"/>
              </w:rPr>
            </w:pPr>
          </w:p>
        </w:tc>
      </w:tr>
      <w:tr w:rsidR="006F76EB" w:rsidRPr="00834D52" w14:paraId="41FBE9FC"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28436EDD"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3544" w:type="dxa"/>
            <w:gridSpan w:val="3"/>
            <w:tcBorders>
              <w:top w:val="single" w:sz="4" w:space="0" w:color="000000"/>
              <w:left w:val="single" w:sz="4" w:space="0" w:color="000000"/>
              <w:bottom w:val="single" w:sz="4" w:space="0" w:color="000000"/>
              <w:right w:val="single" w:sz="4" w:space="0" w:color="000000"/>
            </w:tcBorders>
          </w:tcPr>
          <w:p w14:paraId="3E00DBC5" w14:textId="77777777" w:rsidR="006F76EB" w:rsidRPr="00834D52" w:rsidRDefault="006F76EB" w:rsidP="002139FC">
            <w:pPr>
              <w:spacing w:after="120" w:line="240" w:lineRule="auto"/>
              <w:ind w:right="-6"/>
              <w:rPr>
                <w:rFonts w:ascii="Sylfaen" w:hAnsi="Sylfaen"/>
                <w:sz w:val="24"/>
                <w:szCs w:val="24"/>
              </w:rPr>
            </w:pPr>
          </w:p>
        </w:tc>
      </w:tr>
      <w:tr w:rsidR="006F76EB" w:rsidRPr="00834D52" w14:paraId="0F7BA7D2"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784C4515"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համապատասխանության վերաբերյալ փաստաթղթի համարը</w:t>
            </w:r>
          </w:p>
        </w:tc>
        <w:tc>
          <w:tcPr>
            <w:tcW w:w="3544" w:type="dxa"/>
            <w:gridSpan w:val="3"/>
            <w:tcBorders>
              <w:top w:val="single" w:sz="4" w:space="0" w:color="000000"/>
              <w:left w:val="single" w:sz="4" w:space="0" w:color="000000"/>
              <w:bottom w:val="single" w:sz="4" w:space="0" w:color="000000"/>
              <w:right w:val="single" w:sz="4" w:space="0" w:color="000000"/>
            </w:tcBorders>
          </w:tcPr>
          <w:p w14:paraId="21031CFC" w14:textId="77777777" w:rsidR="006F76EB" w:rsidRPr="00834D52" w:rsidRDefault="006F76EB" w:rsidP="002139FC">
            <w:pPr>
              <w:spacing w:after="120" w:line="240" w:lineRule="auto"/>
              <w:ind w:right="-6"/>
              <w:rPr>
                <w:rFonts w:ascii="Sylfaen" w:hAnsi="Sylfaen"/>
                <w:sz w:val="24"/>
                <w:szCs w:val="24"/>
              </w:rPr>
            </w:pPr>
          </w:p>
        </w:tc>
      </w:tr>
      <w:tr w:rsidR="006F76EB" w:rsidRPr="00834D52" w14:paraId="6C2F0392" w14:textId="77777777" w:rsidTr="00754307">
        <w:trPr>
          <w:jc w:val="center"/>
        </w:trPr>
        <w:tc>
          <w:tcPr>
            <w:tcW w:w="6180" w:type="dxa"/>
            <w:tcBorders>
              <w:top w:val="single" w:sz="4" w:space="0" w:color="000000"/>
              <w:left w:val="single" w:sz="4" w:space="0" w:color="000000"/>
              <w:bottom w:val="single" w:sz="4" w:space="0" w:color="000000"/>
              <w:right w:val="single" w:sz="4" w:space="0" w:color="auto"/>
            </w:tcBorders>
          </w:tcPr>
          <w:p w14:paraId="15E1E694"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1559" w:type="dxa"/>
            <w:tcBorders>
              <w:top w:val="single" w:sz="4" w:space="0" w:color="auto"/>
              <w:left w:val="single" w:sz="4" w:space="0" w:color="auto"/>
              <w:bottom w:val="single" w:sz="4" w:space="0" w:color="auto"/>
            </w:tcBorders>
          </w:tcPr>
          <w:p w14:paraId="16577397" w14:textId="77777777" w:rsidR="006F76EB" w:rsidRPr="00834D52" w:rsidRDefault="006F76EB" w:rsidP="002139FC">
            <w:pPr>
              <w:spacing w:after="120" w:line="240" w:lineRule="auto"/>
              <w:ind w:left="56" w:right="-6"/>
              <w:rPr>
                <w:rFonts w:ascii="Sylfaen" w:eastAsia="Times New Roman" w:hAnsi="Sylfaen" w:cs="Times New Roman"/>
                <w:sz w:val="24"/>
                <w:szCs w:val="24"/>
              </w:rPr>
            </w:pPr>
            <w:r w:rsidRPr="00834D52">
              <w:rPr>
                <w:rFonts w:ascii="Sylfaen" w:hAnsi="Sylfaen"/>
                <w:sz w:val="24"/>
                <w:szCs w:val="24"/>
              </w:rPr>
              <w:t>համապատասխանում է՝</w:t>
            </w:r>
          </w:p>
        </w:tc>
        <w:tc>
          <w:tcPr>
            <w:tcW w:w="945" w:type="dxa"/>
            <w:tcBorders>
              <w:top w:val="single" w:sz="4" w:space="0" w:color="auto"/>
              <w:bottom w:val="single" w:sz="4" w:space="0" w:color="auto"/>
            </w:tcBorders>
          </w:tcPr>
          <w:p w14:paraId="33FA27B2" w14:textId="389CB86B" w:rsidR="006F76EB" w:rsidRPr="00834D52" w:rsidRDefault="0037154C" w:rsidP="002139FC">
            <w:pPr>
              <w:spacing w:after="120" w:line="240" w:lineRule="auto"/>
              <w:ind w:right="-6"/>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74112" behindDoc="0" locked="0" layoutInCell="1" allowOverlap="1" wp14:anchorId="486B75E2" wp14:editId="57D59AB3">
                      <wp:simplePos x="0" y="0"/>
                      <wp:positionH relativeFrom="column">
                        <wp:posOffset>43180</wp:posOffset>
                      </wp:positionH>
                      <wp:positionV relativeFrom="paragraph">
                        <wp:posOffset>27940</wp:posOffset>
                      </wp:positionV>
                      <wp:extent cx="161925" cy="152400"/>
                      <wp:effectExtent l="6350" t="10160" r="12700" b="8890"/>
                      <wp:wrapNone/>
                      <wp:docPr id="15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CD263" id="Rectangle 157" o:spid="_x0000_s1026" style="position:absolute;margin-left:3.4pt;margin-top:2.2pt;width:12.75pt;height:1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"/>
                  </w:pict>
                </mc:Fallback>
              </mc:AlternateContent>
            </w:r>
            <w:r w:rsidR="006F76EB" w:rsidRPr="00834D52">
              <w:rPr>
                <w:rFonts w:ascii="Sylfaen" w:hAnsi="Sylfaen"/>
                <w:sz w:val="24"/>
                <w:szCs w:val="24"/>
              </w:rPr>
              <w:t>ոչ</w:t>
            </w:r>
          </w:p>
        </w:tc>
        <w:tc>
          <w:tcPr>
            <w:tcW w:w="1040" w:type="dxa"/>
            <w:tcBorders>
              <w:top w:val="single" w:sz="4" w:space="0" w:color="auto"/>
              <w:bottom w:val="single" w:sz="4" w:space="0" w:color="auto"/>
              <w:right w:val="single" w:sz="4" w:space="0" w:color="auto"/>
            </w:tcBorders>
          </w:tcPr>
          <w:p w14:paraId="1ED1A837" w14:textId="5CD5F469" w:rsidR="006F76EB" w:rsidRPr="00834D52" w:rsidRDefault="0037154C" w:rsidP="002139F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5136" behindDoc="0" locked="0" layoutInCell="1" allowOverlap="1" wp14:anchorId="5D962CE0" wp14:editId="283A3A29">
                      <wp:simplePos x="0" y="0"/>
                      <wp:positionH relativeFrom="column">
                        <wp:posOffset>23495</wp:posOffset>
                      </wp:positionH>
                      <wp:positionV relativeFrom="paragraph">
                        <wp:posOffset>27940</wp:posOffset>
                      </wp:positionV>
                      <wp:extent cx="161925" cy="152400"/>
                      <wp:effectExtent l="5715" t="10160" r="13335" b="8890"/>
                      <wp:wrapNone/>
                      <wp:docPr id="1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D97BE" id="Rectangle 156" o:spid="_x0000_s1026" style="position:absolute;margin-left:1.85pt;margin-top:2.2pt;width:12.75pt;height:1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"/>
                  </w:pict>
                </mc:Fallback>
              </mc:AlternateContent>
            </w:r>
            <w:r w:rsidR="006F76EB" w:rsidRPr="00834D52">
              <w:rPr>
                <w:rFonts w:ascii="Sylfaen" w:hAnsi="Sylfaen"/>
                <w:sz w:val="24"/>
                <w:szCs w:val="24"/>
              </w:rPr>
              <w:t>այո</w:t>
            </w:r>
          </w:p>
        </w:tc>
      </w:tr>
    </w:tbl>
    <w:p w14:paraId="62A8DDB7" w14:textId="77777777" w:rsidR="00754307" w:rsidRDefault="00754307" w:rsidP="006F76EB">
      <w:pPr>
        <w:spacing w:after="160" w:line="348" w:lineRule="auto"/>
        <w:ind w:right="-6" w:firstLine="567"/>
        <w:rPr>
          <w:rFonts w:ascii="Sylfaen" w:hAnsi="Sylfaen"/>
          <w:sz w:val="24"/>
          <w:szCs w:val="24"/>
          <w:lang w:val="en-US"/>
        </w:rPr>
      </w:pPr>
    </w:p>
    <w:p w14:paraId="034EA20E" w14:textId="77777777" w:rsidR="006F76EB" w:rsidRPr="00834D52" w:rsidRDefault="006F76EB" w:rsidP="006F76EB">
      <w:pPr>
        <w:spacing w:after="160" w:line="348" w:lineRule="auto"/>
        <w:ind w:right="-6" w:firstLine="567"/>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ԱԴԲ-ն արտադրողի մաստեր-ֆայլը՝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7CA81E5" w14:textId="77777777" w:rsidTr="00F71229">
        <w:trPr>
          <w:jc w:val="center"/>
        </w:trPr>
        <w:tc>
          <w:tcPr>
            <w:tcW w:w="1560" w:type="dxa"/>
          </w:tcPr>
          <w:p w14:paraId="7AABAE20" w14:textId="7B2E43F3" w:rsidR="006F76EB" w:rsidRPr="00834D52" w:rsidRDefault="0037154C" w:rsidP="00F71229">
            <w:pPr>
              <w:spacing w:after="160" w:line="348"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6160" behindDoc="0" locked="0" layoutInCell="1" allowOverlap="1" wp14:anchorId="65447C0B" wp14:editId="070C3A89">
                      <wp:simplePos x="0" y="0"/>
                      <wp:positionH relativeFrom="column">
                        <wp:posOffset>104775</wp:posOffset>
                      </wp:positionH>
                      <wp:positionV relativeFrom="paragraph">
                        <wp:posOffset>51435</wp:posOffset>
                      </wp:positionV>
                      <wp:extent cx="161925" cy="152400"/>
                      <wp:effectExtent l="5080" t="6985" r="13970" b="12065"/>
                      <wp:wrapNone/>
                      <wp:docPr id="14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A0540" id="Rectangle 158" o:spid="_x0000_s1026" style="position:absolute;margin-left:8.25pt;margin-top:4.05pt;width:12.75pt;height:1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274406ED" w14:textId="4DF06DF1" w:rsidR="006F76EB" w:rsidRPr="00834D52" w:rsidRDefault="0037154C" w:rsidP="00F71229">
            <w:pPr>
              <w:spacing w:after="160" w:line="348" w:lineRule="auto"/>
              <w:ind w:left="-108" w:right="-6"/>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77184" behindDoc="0" locked="0" layoutInCell="1" allowOverlap="1" wp14:anchorId="0F5796B4" wp14:editId="06D90062">
                      <wp:simplePos x="0" y="0"/>
                      <wp:positionH relativeFrom="column">
                        <wp:posOffset>6350</wp:posOffset>
                      </wp:positionH>
                      <wp:positionV relativeFrom="paragraph">
                        <wp:posOffset>51435</wp:posOffset>
                      </wp:positionV>
                      <wp:extent cx="161925" cy="152400"/>
                      <wp:effectExtent l="11430" t="6985" r="7620" b="12065"/>
                      <wp:wrapNone/>
                      <wp:docPr id="14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BCF23" id="Rectangle 159" o:spid="_x0000_s1026" style="position:absolute;margin-left:.5pt;margin-top:4.05pt;width:12.75pt;height:1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2EE61931" w14:textId="77777777" w:rsidR="006F76EB" w:rsidRPr="00834D52" w:rsidRDefault="006F76EB" w:rsidP="006F76EB">
      <w:pPr>
        <w:spacing w:after="160" w:line="348" w:lineRule="auto"/>
        <w:ind w:right="-6"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68CD6230"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C612EF6"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4520" w:type="dxa"/>
            <w:tcBorders>
              <w:top w:val="single" w:sz="4" w:space="0" w:color="000000"/>
              <w:left w:val="single" w:sz="4" w:space="0" w:color="000000"/>
              <w:bottom w:val="single" w:sz="4" w:space="0" w:color="000000"/>
              <w:right w:val="single" w:sz="4" w:space="0" w:color="000000"/>
            </w:tcBorders>
          </w:tcPr>
          <w:p w14:paraId="47537C1E" w14:textId="77777777" w:rsidR="006F76EB" w:rsidRPr="00834D52" w:rsidRDefault="006F76EB" w:rsidP="00732974">
            <w:pPr>
              <w:spacing w:after="120" w:line="240" w:lineRule="auto"/>
              <w:ind w:right="-6"/>
              <w:rPr>
                <w:rFonts w:ascii="Sylfaen" w:hAnsi="Sylfaen"/>
                <w:sz w:val="24"/>
                <w:szCs w:val="24"/>
              </w:rPr>
            </w:pPr>
          </w:p>
        </w:tc>
      </w:tr>
      <w:tr w:rsidR="006F76EB" w:rsidRPr="00834D52" w14:paraId="4C88346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A3CBCBB"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ԱԴԲՆ-ն արտադրողի մաստեր-ֆայլի իրավատիրոջ անվանումը</w:t>
            </w:r>
          </w:p>
        </w:tc>
        <w:tc>
          <w:tcPr>
            <w:tcW w:w="4520" w:type="dxa"/>
            <w:tcBorders>
              <w:top w:val="single" w:sz="4" w:space="0" w:color="000000"/>
              <w:left w:val="single" w:sz="4" w:space="0" w:color="000000"/>
              <w:bottom w:val="single" w:sz="4" w:space="0" w:color="000000"/>
              <w:right w:val="single" w:sz="4" w:space="0" w:color="000000"/>
            </w:tcBorders>
          </w:tcPr>
          <w:p w14:paraId="77211DFC" w14:textId="77777777" w:rsidR="006F76EB" w:rsidRPr="00834D52" w:rsidRDefault="006F76EB" w:rsidP="00732974">
            <w:pPr>
              <w:spacing w:after="120" w:line="240" w:lineRule="auto"/>
              <w:ind w:right="-6"/>
              <w:rPr>
                <w:rFonts w:ascii="Sylfaen" w:hAnsi="Sylfaen"/>
                <w:sz w:val="24"/>
                <w:szCs w:val="24"/>
              </w:rPr>
            </w:pPr>
          </w:p>
        </w:tc>
      </w:tr>
      <w:tr w:rsidR="006F76EB" w:rsidRPr="00834D52" w14:paraId="06E36CE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04EFD9B"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ԱԴԲ-ն արտադրողի անվանումը, եթե</w:t>
            </w:r>
          </w:p>
          <w:p w14:paraId="1163E0E7"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տարբերվում է ԱԴԲ-ն արտադրողի մաստեր-ֆայլի իրավատիրոջից</w:t>
            </w:r>
          </w:p>
        </w:tc>
        <w:tc>
          <w:tcPr>
            <w:tcW w:w="4520" w:type="dxa"/>
            <w:tcBorders>
              <w:top w:val="single" w:sz="4" w:space="0" w:color="000000"/>
              <w:left w:val="single" w:sz="4" w:space="0" w:color="000000"/>
              <w:bottom w:val="single" w:sz="4" w:space="0" w:color="000000"/>
              <w:right w:val="single" w:sz="4" w:space="0" w:color="000000"/>
            </w:tcBorders>
          </w:tcPr>
          <w:p w14:paraId="3FB7BD3C" w14:textId="77777777" w:rsidR="006F76EB" w:rsidRPr="00834D52" w:rsidRDefault="006F76EB" w:rsidP="00732974">
            <w:pPr>
              <w:spacing w:after="120" w:line="240" w:lineRule="auto"/>
              <w:ind w:right="-6"/>
              <w:rPr>
                <w:rFonts w:ascii="Sylfaen" w:hAnsi="Sylfaen"/>
                <w:sz w:val="24"/>
                <w:szCs w:val="24"/>
              </w:rPr>
            </w:pPr>
          </w:p>
        </w:tc>
      </w:tr>
      <w:tr w:rsidR="006F76EB" w:rsidRPr="00834D52" w14:paraId="7C10B174"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DD6C0E6"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4520" w:type="dxa"/>
            <w:tcBorders>
              <w:top w:val="single" w:sz="4" w:space="0" w:color="000000"/>
              <w:left w:val="single" w:sz="4" w:space="0" w:color="000000"/>
              <w:bottom w:val="single" w:sz="4" w:space="0" w:color="000000"/>
              <w:right w:val="single" w:sz="4" w:space="0" w:color="000000"/>
            </w:tcBorders>
          </w:tcPr>
          <w:p w14:paraId="12B31A9D" w14:textId="77777777" w:rsidR="006F76EB" w:rsidRPr="00834D52" w:rsidRDefault="006F76EB" w:rsidP="00732974">
            <w:pPr>
              <w:spacing w:after="120" w:line="240" w:lineRule="auto"/>
              <w:ind w:right="-6"/>
              <w:rPr>
                <w:rFonts w:ascii="Sylfaen" w:hAnsi="Sylfaen"/>
                <w:sz w:val="24"/>
                <w:szCs w:val="24"/>
              </w:rPr>
            </w:pPr>
          </w:p>
        </w:tc>
      </w:tr>
    </w:tbl>
    <w:p w14:paraId="2774A6BA" w14:textId="210606A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տրվել է պատվաստանյութային հակածնի մաստեր-ֆայլի սերտիֆիկատ (այսուհետ՝ ՊՀՄՖ), որն օգտագործվում է գրանցման դոսյեում,</w:t>
      </w:r>
      <w:r w:rsidRPr="00834D52">
        <w:rPr>
          <w:rFonts w:ascii="Sylfaen" w:hAnsi="Sylfaen"/>
          <w:sz w:val="24"/>
          <w:szCs w:val="24"/>
        </w:rPr>
        <w:br/>
        <w:t xml:space="preserve">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EB16100" w14:textId="77777777" w:rsidTr="00F71229">
        <w:trPr>
          <w:jc w:val="center"/>
        </w:trPr>
        <w:tc>
          <w:tcPr>
            <w:tcW w:w="1560" w:type="dxa"/>
          </w:tcPr>
          <w:p w14:paraId="412D0383" w14:textId="75FB51C4"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8208" behindDoc="0" locked="0" layoutInCell="1" allowOverlap="1" wp14:anchorId="2E3D2FAA" wp14:editId="167A898B">
                      <wp:simplePos x="0" y="0"/>
                      <wp:positionH relativeFrom="column">
                        <wp:posOffset>104775</wp:posOffset>
                      </wp:positionH>
                      <wp:positionV relativeFrom="paragraph">
                        <wp:posOffset>51435</wp:posOffset>
                      </wp:positionV>
                      <wp:extent cx="161925" cy="152400"/>
                      <wp:effectExtent l="5080" t="5080" r="13970" b="13970"/>
                      <wp:wrapNone/>
                      <wp:docPr id="14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2DB60" id="Rectangle 160" o:spid="_x0000_s1026" style="position:absolute;margin-left:8.25pt;margin-top:4.05pt;width:12.75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6EC9F8A" w14:textId="46726723" w:rsidR="006F76EB" w:rsidRPr="00834D52" w:rsidRDefault="0037154C"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9232" behindDoc="0" locked="0" layoutInCell="1" allowOverlap="1" wp14:anchorId="7C5A500A" wp14:editId="775301A1">
                      <wp:simplePos x="0" y="0"/>
                      <wp:positionH relativeFrom="column">
                        <wp:posOffset>6350</wp:posOffset>
                      </wp:positionH>
                      <wp:positionV relativeFrom="paragraph">
                        <wp:posOffset>51435</wp:posOffset>
                      </wp:positionV>
                      <wp:extent cx="161925" cy="152400"/>
                      <wp:effectExtent l="11430" t="5080" r="7620" b="13970"/>
                      <wp:wrapNone/>
                      <wp:docPr id="14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02E70" id="Rectangle 161" o:spid="_x0000_s1026" style="position:absolute;margin-left:.5pt;margin-top:4.05pt;width:12.75pt;height: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25E31E2F"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1626C390"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509BB2E"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պատվաստանյութային հակածնի անվանումը</w:t>
            </w:r>
          </w:p>
        </w:tc>
        <w:tc>
          <w:tcPr>
            <w:tcW w:w="4520" w:type="dxa"/>
            <w:tcBorders>
              <w:top w:val="single" w:sz="4" w:space="0" w:color="000000"/>
              <w:left w:val="single" w:sz="4" w:space="0" w:color="000000"/>
              <w:bottom w:val="single" w:sz="4" w:space="0" w:color="000000"/>
              <w:right w:val="single" w:sz="4" w:space="0" w:color="000000"/>
            </w:tcBorders>
          </w:tcPr>
          <w:p w14:paraId="315E9FD7" w14:textId="77777777" w:rsidR="006F76EB" w:rsidRPr="00834D52" w:rsidRDefault="006F76EB" w:rsidP="00732974">
            <w:pPr>
              <w:spacing w:after="120" w:line="240" w:lineRule="auto"/>
              <w:ind w:right="-6"/>
              <w:rPr>
                <w:rFonts w:ascii="Sylfaen" w:hAnsi="Sylfaen"/>
                <w:sz w:val="24"/>
                <w:szCs w:val="24"/>
              </w:rPr>
            </w:pPr>
          </w:p>
        </w:tc>
      </w:tr>
      <w:tr w:rsidR="006F76EB" w:rsidRPr="00834D52" w14:paraId="7999C54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8293796"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պատվաստանյութային հակածինն արտադրողի (ՊՀՄՖ սերտիֆիկատին տիրապետողի) անվանումը</w:t>
            </w:r>
          </w:p>
        </w:tc>
        <w:tc>
          <w:tcPr>
            <w:tcW w:w="4520" w:type="dxa"/>
            <w:tcBorders>
              <w:top w:val="single" w:sz="4" w:space="0" w:color="000000"/>
              <w:left w:val="single" w:sz="4" w:space="0" w:color="000000"/>
              <w:bottom w:val="single" w:sz="4" w:space="0" w:color="000000"/>
              <w:right w:val="single" w:sz="4" w:space="0" w:color="000000"/>
            </w:tcBorders>
          </w:tcPr>
          <w:p w14:paraId="10467240" w14:textId="77777777" w:rsidR="006F76EB" w:rsidRPr="00834D52" w:rsidRDefault="006F76EB" w:rsidP="00732974">
            <w:pPr>
              <w:spacing w:after="120" w:line="240" w:lineRule="auto"/>
              <w:ind w:right="-6"/>
              <w:rPr>
                <w:rFonts w:ascii="Sylfaen" w:hAnsi="Sylfaen"/>
                <w:sz w:val="24"/>
                <w:szCs w:val="24"/>
              </w:rPr>
            </w:pPr>
          </w:p>
        </w:tc>
      </w:tr>
      <w:tr w:rsidR="006F76EB" w:rsidRPr="00834D52" w14:paraId="51912FEA"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B3258AA" w14:textId="06A0ED2F" w:rsidR="006F76EB" w:rsidRPr="00834D52" w:rsidRDefault="0056496B" w:rsidP="00732974">
            <w:pPr>
              <w:spacing w:after="120" w:line="240" w:lineRule="auto"/>
              <w:ind w:left="128"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ի (սերտիֆիկատի) համարը </w:t>
            </w:r>
          </w:p>
        </w:tc>
        <w:tc>
          <w:tcPr>
            <w:tcW w:w="4520" w:type="dxa"/>
            <w:tcBorders>
              <w:top w:val="single" w:sz="4" w:space="0" w:color="000000"/>
              <w:left w:val="single" w:sz="4" w:space="0" w:color="000000"/>
              <w:bottom w:val="single" w:sz="4" w:space="0" w:color="000000"/>
              <w:right w:val="single" w:sz="4" w:space="0" w:color="000000"/>
            </w:tcBorders>
          </w:tcPr>
          <w:p w14:paraId="75802ED2" w14:textId="77777777" w:rsidR="006F76EB" w:rsidRPr="00834D52" w:rsidRDefault="006F76EB" w:rsidP="00732974">
            <w:pPr>
              <w:spacing w:after="120" w:line="240" w:lineRule="auto"/>
              <w:ind w:right="-6"/>
              <w:rPr>
                <w:rFonts w:ascii="Sylfaen" w:hAnsi="Sylfaen"/>
                <w:sz w:val="24"/>
                <w:szCs w:val="24"/>
              </w:rPr>
            </w:pPr>
          </w:p>
        </w:tc>
      </w:tr>
      <w:tr w:rsidR="006F76EB" w:rsidRPr="00834D52" w14:paraId="2F665BB2"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9E80723"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4520" w:type="dxa"/>
            <w:tcBorders>
              <w:top w:val="single" w:sz="4" w:space="0" w:color="000000"/>
              <w:left w:val="single" w:sz="4" w:space="0" w:color="000000"/>
              <w:bottom w:val="single" w:sz="4" w:space="0" w:color="000000"/>
              <w:right w:val="single" w:sz="4" w:space="0" w:color="000000"/>
            </w:tcBorders>
          </w:tcPr>
          <w:p w14:paraId="6566AF77" w14:textId="77777777" w:rsidR="006F76EB" w:rsidRPr="00834D52" w:rsidRDefault="006F76EB" w:rsidP="00732974">
            <w:pPr>
              <w:spacing w:after="120" w:line="240" w:lineRule="auto"/>
              <w:ind w:right="-6"/>
              <w:rPr>
                <w:rFonts w:ascii="Sylfaen" w:hAnsi="Sylfaen"/>
                <w:sz w:val="24"/>
                <w:szCs w:val="24"/>
              </w:rPr>
            </w:pPr>
          </w:p>
        </w:tc>
      </w:tr>
      <w:tr w:rsidR="006F76EB" w:rsidRPr="00834D52" w14:paraId="5B93BB4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4D891FC"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 xml:space="preserve">հաստատման կամ վերջին վերանայման </w:t>
            </w:r>
            <w:r w:rsidRPr="00834D52">
              <w:rPr>
                <w:rFonts w:ascii="Sylfaen" w:hAnsi="Sylfaen"/>
                <w:sz w:val="24"/>
                <w:szCs w:val="24"/>
              </w:rPr>
              <w:lastRenderedPageBreak/>
              <w:t>ամսաթիվը (եթե առկա է)</w:t>
            </w:r>
          </w:p>
        </w:tc>
        <w:tc>
          <w:tcPr>
            <w:tcW w:w="4520" w:type="dxa"/>
            <w:tcBorders>
              <w:top w:val="single" w:sz="4" w:space="0" w:color="000000"/>
              <w:left w:val="single" w:sz="4" w:space="0" w:color="000000"/>
              <w:bottom w:val="single" w:sz="4" w:space="0" w:color="000000"/>
              <w:right w:val="single" w:sz="4" w:space="0" w:color="000000"/>
            </w:tcBorders>
          </w:tcPr>
          <w:p w14:paraId="03652D9E" w14:textId="77777777" w:rsidR="006F76EB" w:rsidRPr="00834D52" w:rsidRDefault="006F76EB" w:rsidP="00732974">
            <w:pPr>
              <w:spacing w:after="120" w:line="240" w:lineRule="auto"/>
              <w:ind w:right="-6"/>
              <w:rPr>
                <w:rFonts w:ascii="Sylfaen" w:hAnsi="Sylfaen"/>
                <w:sz w:val="24"/>
                <w:szCs w:val="24"/>
              </w:rPr>
            </w:pPr>
          </w:p>
        </w:tc>
      </w:tr>
    </w:tbl>
    <w:p w14:paraId="4D853597" w14:textId="77777777" w:rsidR="006F76EB" w:rsidRPr="00834D52" w:rsidRDefault="006F76EB" w:rsidP="0073297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3.5.6.</w:t>
      </w:r>
      <w:r w:rsidRPr="00834D52">
        <w:rPr>
          <w:rFonts w:ascii="Sylfaen" w:hAnsi="Sylfaen"/>
          <w:sz w:val="24"/>
          <w:szCs w:val="24"/>
        </w:rPr>
        <w:tab/>
        <w:t xml:space="preserve">Պայմանագրային հետազոտական կազմակերպությունները, որոնք ներգրավվում են կենսամատչելիության </w:t>
      </w:r>
      <w:r w:rsidR="00C54D75">
        <w:rPr>
          <w:rFonts w:ascii="Sylfaen" w:hAnsi="Sylfaen"/>
          <w:sz w:val="24"/>
          <w:szCs w:val="24"/>
        </w:rPr>
        <w:t>և</w:t>
      </w:r>
      <w:r w:rsidRPr="00834D52">
        <w:rPr>
          <w:rFonts w:ascii="Sylfaen" w:hAnsi="Sylfaen"/>
          <w:sz w:val="24"/>
          <w:szCs w:val="24"/>
        </w:rPr>
        <w:t xml:space="preserve"> (կամ) կենսահամարժեքության որոշման համար կլինիկական հետազոտություններին, կամ որոնք ներգրավվել են արյան պատրաստուկների արտադրական գործընթացների վալիդացմանը</w:t>
      </w:r>
    </w:p>
    <w:p w14:paraId="0A65B9AD"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10233" w:type="dxa"/>
        <w:jc w:val="center"/>
        <w:tblLayout w:type="fixed"/>
        <w:tblCellMar>
          <w:left w:w="0" w:type="dxa"/>
          <w:right w:w="0" w:type="dxa"/>
        </w:tblCellMar>
        <w:tblLook w:val="01E0" w:firstRow="1" w:lastRow="1" w:firstColumn="1" w:lastColumn="1" w:noHBand="0" w:noVBand="0"/>
      </w:tblPr>
      <w:tblGrid>
        <w:gridCol w:w="5420"/>
        <w:gridCol w:w="4813"/>
      </w:tblGrid>
      <w:tr w:rsidR="006F76EB" w:rsidRPr="00834D52" w14:paraId="377680C1" w14:textId="77777777" w:rsidTr="009B121E">
        <w:trPr>
          <w:trHeight w:val="455"/>
          <w:jc w:val="center"/>
        </w:trPr>
        <w:tc>
          <w:tcPr>
            <w:tcW w:w="5420" w:type="dxa"/>
            <w:tcBorders>
              <w:top w:val="single" w:sz="4" w:space="0" w:color="000000"/>
              <w:left w:val="single" w:sz="4" w:space="0" w:color="000000"/>
              <w:bottom w:val="single" w:sz="4" w:space="0" w:color="000000"/>
              <w:right w:val="single" w:sz="4" w:space="0" w:color="000000"/>
            </w:tcBorders>
          </w:tcPr>
          <w:p w14:paraId="7B90D0D3"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4813" w:type="dxa"/>
            <w:tcBorders>
              <w:top w:val="single" w:sz="4" w:space="0" w:color="000000"/>
              <w:left w:val="single" w:sz="4" w:space="0" w:color="000000"/>
              <w:bottom w:val="single" w:sz="4" w:space="0" w:color="000000"/>
              <w:right w:val="single" w:sz="4" w:space="0" w:color="000000"/>
            </w:tcBorders>
          </w:tcPr>
          <w:p w14:paraId="7DA82A95"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D6BC2C1" w14:textId="77777777" w:rsidTr="009B121E">
        <w:trPr>
          <w:trHeight w:val="438"/>
          <w:jc w:val="center"/>
        </w:trPr>
        <w:tc>
          <w:tcPr>
            <w:tcW w:w="5420" w:type="dxa"/>
            <w:tcBorders>
              <w:top w:val="single" w:sz="4" w:space="0" w:color="000000"/>
              <w:left w:val="single" w:sz="4" w:space="0" w:color="000000"/>
              <w:bottom w:val="single" w:sz="4" w:space="0" w:color="000000"/>
              <w:right w:val="single" w:sz="4" w:space="0" w:color="000000"/>
            </w:tcBorders>
          </w:tcPr>
          <w:p w14:paraId="583631DF"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4813" w:type="dxa"/>
            <w:tcBorders>
              <w:top w:val="single" w:sz="4" w:space="0" w:color="000000"/>
              <w:left w:val="single" w:sz="4" w:space="0" w:color="000000"/>
              <w:bottom w:val="single" w:sz="4" w:space="0" w:color="000000"/>
              <w:right w:val="single" w:sz="4" w:space="0" w:color="000000"/>
            </w:tcBorders>
          </w:tcPr>
          <w:p w14:paraId="322415F9" w14:textId="77777777" w:rsidR="006F76EB" w:rsidRPr="00834D52" w:rsidRDefault="006F76EB" w:rsidP="00520390">
            <w:pPr>
              <w:spacing w:after="120" w:line="240" w:lineRule="auto"/>
              <w:ind w:right="-6"/>
              <w:rPr>
                <w:rFonts w:ascii="Sylfaen" w:hAnsi="Sylfaen"/>
                <w:sz w:val="24"/>
                <w:szCs w:val="24"/>
              </w:rPr>
            </w:pPr>
          </w:p>
        </w:tc>
      </w:tr>
      <w:tr w:rsidR="006F76EB" w:rsidRPr="00834D52" w14:paraId="17C3DCF9" w14:textId="77777777" w:rsidTr="009B121E">
        <w:trPr>
          <w:trHeight w:val="759"/>
          <w:jc w:val="center"/>
        </w:trPr>
        <w:tc>
          <w:tcPr>
            <w:tcW w:w="5420" w:type="dxa"/>
            <w:tcBorders>
              <w:top w:val="single" w:sz="4" w:space="0" w:color="000000"/>
              <w:left w:val="single" w:sz="4" w:space="0" w:color="000000"/>
              <w:bottom w:val="single" w:sz="4" w:space="0" w:color="000000"/>
              <w:right w:val="single" w:sz="4" w:space="0" w:color="000000"/>
            </w:tcBorders>
          </w:tcPr>
          <w:p w14:paraId="1A1B4307"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EudraCT-ի համարը</w:t>
            </w:r>
            <w:r w:rsidRPr="00834D52">
              <w:rPr>
                <w:rFonts w:ascii="Sylfaen" w:hAnsi="Sylfaen"/>
                <w:sz w:val="24"/>
                <w:szCs w:val="24"/>
              </w:rPr>
              <w:br/>
              <w:t>(առկայության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22E72003" w14:textId="77777777" w:rsidR="006F76EB" w:rsidRPr="00834D52" w:rsidRDefault="006F76EB" w:rsidP="00520390">
            <w:pPr>
              <w:spacing w:after="120" w:line="240" w:lineRule="auto"/>
              <w:ind w:right="-6"/>
              <w:rPr>
                <w:rFonts w:ascii="Sylfaen" w:hAnsi="Sylfaen"/>
                <w:sz w:val="24"/>
                <w:szCs w:val="24"/>
              </w:rPr>
            </w:pPr>
          </w:p>
        </w:tc>
      </w:tr>
      <w:tr w:rsidR="006F76EB" w:rsidRPr="00834D52" w14:paraId="0FC61110" w14:textId="77777777" w:rsidTr="009B121E">
        <w:trPr>
          <w:trHeight w:val="828"/>
          <w:jc w:val="center"/>
        </w:trPr>
        <w:tc>
          <w:tcPr>
            <w:tcW w:w="5420" w:type="dxa"/>
            <w:tcBorders>
              <w:top w:val="single" w:sz="4" w:space="0" w:color="000000"/>
              <w:left w:val="single" w:sz="4" w:space="0" w:color="000000"/>
              <w:bottom w:val="single" w:sz="4" w:space="0" w:color="000000"/>
              <w:right w:val="single" w:sz="4" w:space="0" w:color="000000"/>
            </w:tcBorders>
          </w:tcPr>
          <w:p w14:paraId="5000F3AE"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ClinicalTrials.gov-ի համարը</w:t>
            </w:r>
            <w:r w:rsidRPr="00834D52">
              <w:rPr>
                <w:rFonts w:ascii="Sylfaen" w:hAnsi="Sylfaen"/>
                <w:sz w:val="24"/>
                <w:szCs w:val="24"/>
              </w:rPr>
              <w:br/>
              <w:t>(առկայության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4F912F07" w14:textId="77777777" w:rsidR="006F76EB" w:rsidRPr="00834D52" w:rsidRDefault="006F76EB" w:rsidP="00520390">
            <w:pPr>
              <w:spacing w:after="120" w:line="240" w:lineRule="auto"/>
              <w:ind w:right="-6"/>
              <w:rPr>
                <w:rFonts w:ascii="Sylfaen" w:hAnsi="Sylfaen"/>
                <w:sz w:val="24"/>
                <w:szCs w:val="24"/>
              </w:rPr>
            </w:pPr>
          </w:p>
        </w:tc>
      </w:tr>
      <w:tr w:rsidR="006F76EB" w:rsidRPr="00834D52" w14:paraId="05D8AA98" w14:textId="77777777" w:rsidTr="009B121E">
        <w:trPr>
          <w:trHeight w:val="793"/>
          <w:jc w:val="center"/>
        </w:trPr>
        <w:tc>
          <w:tcPr>
            <w:tcW w:w="5420" w:type="dxa"/>
            <w:tcBorders>
              <w:top w:val="single" w:sz="4" w:space="0" w:color="000000"/>
              <w:left w:val="single" w:sz="4" w:space="0" w:color="000000"/>
              <w:bottom w:val="single" w:sz="4" w:space="0" w:color="000000"/>
              <w:right w:val="single" w:sz="4" w:space="0" w:color="000000"/>
            </w:tcBorders>
          </w:tcPr>
          <w:p w14:paraId="3C894D68"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4813" w:type="dxa"/>
            <w:tcBorders>
              <w:top w:val="single" w:sz="4" w:space="0" w:color="000000"/>
              <w:left w:val="single" w:sz="4" w:space="0" w:color="000000"/>
              <w:bottom w:val="single" w:sz="4" w:space="0" w:color="000000"/>
              <w:right w:val="single" w:sz="4" w:space="0" w:color="000000"/>
            </w:tcBorders>
          </w:tcPr>
          <w:p w14:paraId="7A6B6A44"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64F33A0" w14:textId="77777777" w:rsidTr="009B121E">
        <w:trPr>
          <w:trHeight w:val="818"/>
          <w:jc w:val="center"/>
        </w:trPr>
        <w:tc>
          <w:tcPr>
            <w:tcW w:w="5420" w:type="dxa"/>
            <w:tcBorders>
              <w:top w:val="single" w:sz="4" w:space="0" w:color="000000"/>
              <w:left w:val="single" w:sz="4" w:space="0" w:color="000000"/>
              <w:bottom w:val="single" w:sz="4" w:space="0" w:color="000000"/>
              <w:right w:val="single" w:sz="4" w:space="0" w:color="000000"/>
            </w:tcBorders>
          </w:tcPr>
          <w:p w14:paraId="64152E4E"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հասցեն</w:t>
            </w:r>
          </w:p>
        </w:tc>
        <w:tc>
          <w:tcPr>
            <w:tcW w:w="4813" w:type="dxa"/>
            <w:tcBorders>
              <w:top w:val="single" w:sz="4" w:space="0" w:color="000000"/>
              <w:left w:val="single" w:sz="4" w:space="0" w:color="000000"/>
              <w:bottom w:val="single" w:sz="4" w:space="0" w:color="000000"/>
              <w:right w:val="single" w:sz="4" w:space="0" w:color="000000"/>
            </w:tcBorders>
          </w:tcPr>
          <w:p w14:paraId="1B9E632B" w14:textId="77777777" w:rsidR="006F76EB" w:rsidRPr="00834D52" w:rsidRDefault="006F76EB" w:rsidP="00520390">
            <w:pPr>
              <w:spacing w:after="120" w:line="240" w:lineRule="auto"/>
              <w:ind w:right="-6"/>
              <w:rPr>
                <w:rFonts w:ascii="Sylfaen" w:hAnsi="Sylfaen"/>
                <w:sz w:val="24"/>
                <w:szCs w:val="24"/>
              </w:rPr>
            </w:pPr>
          </w:p>
        </w:tc>
      </w:tr>
      <w:tr w:rsidR="006F76EB" w:rsidRPr="00834D52" w14:paraId="43E1AFC2" w14:textId="77777777" w:rsidTr="009B121E">
        <w:trPr>
          <w:trHeight w:val="828"/>
          <w:jc w:val="center"/>
        </w:trPr>
        <w:tc>
          <w:tcPr>
            <w:tcW w:w="5420" w:type="dxa"/>
            <w:tcBorders>
              <w:top w:val="single" w:sz="4" w:space="0" w:color="000000"/>
              <w:left w:val="single" w:sz="4" w:space="0" w:color="000000"/>
              <w:bottom w:val="single" w:sz="4" w:space="0" w:color="000000"/>
              <w:right w:val="single" w:sz="4" w:space="0" w:color="000000"/>
            </w:tcBorders>
          </w:tcPr>
          <w:p w14:paraId="477C5425"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07B4F32D"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CD1C730" w14:textId="77777777" w:rsidTr="009B121E">
        <w:trPr>
          <w:trHeight w:val="786"/>
          <w:jc w:val="center"/>
        </w:trPr>
        <w:tc>
          <w:tcPr>
            <w:tcW w:w="5420" w:type="dxa"/>
            <w:tcBorders>
              <w:top w:val="single" w:sz="4" w:space="0" w:color="000000"/>
              <w:left w:val="single" w:sz="4" w:space="0" w:color="000000"/>
              <w:bottom w:val="single" w:sz="4" w:space="0" w:color="000000"/>
              <w:right w:val="single" w:sz="4" w:space="0" w:color="000000"/>
            </w:tcBorders>
          </w:tcPr>
          <w:p w14:paraId="442077F9"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813" w:type="dxa"/>
            <w:tcBorders>
              <w:top w:val="single" w:sz="4" w:space="0" w:color="000000"/>
              <w:left w:val="single" w:sz="4" w:space="0" w:color="000000"/>
              <w:bottom w:val="single" w:sz="4" w:space="0" w:color="000000"/>
              <w:right w:val="single" w:sz="4" w:space="0" w:color="000000"/>
            </w:tcBorders>
          </w:tcPr>
          <w:p w14:paraId="2CA764C6" w14:textId="77777777" w:rsidR="006F76EB" w:rsidRPr="00834D52" w:rsidRDefault="006F76EB" w:rsidP="00520390">
            <w:pPr>
              <w:spacing w:after="120" w:line="240" w:lineRule="auto"/>
              <w:ind w:right="-6"/>
              <w:rPr>
                <w:rFonts w:ascii="Sylfaen" w:hAnsi="Sylfaen"/>
                <w:sz w:val="24"/>
                <w:szCs w:val="24"/>
              </w:rPr>
            </w:pPr>
          </w:p>
        </w:tc>
      </w:tr>
    </w:tbl>
    <w:p w14:paraId="06D34C51" w14:textId="77777777" w:rsidR="006F76EB" w:rsidRPr="00834D52" w:rsidRDefault="006F76EB" w:rsidP="0052039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732364AA" w14:textId="77777777" w:rsidR="006F76EB" w:rsidRPr="00834D52" w:rsidRDefault="006F76EB" w:rsidP="0052039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(ԱԴԲ-ն </w:t>
      </w:r>
      <w:r w:rsidR="00C54D75">
        <w:rPr>
          <w:rFonts w:ascii="Sylfaen" w:hAnsi="Sylfaen"/>
          <w:sz w:val="24"/>
          <w:szCs w:val="24"/>
        </w:rPr>
        <w:t>և</w:t>
      </w:r>
      <w:r w:rsidRPr="00834D52">
        <w:rPr>
          <w:rFonts w:ascii="Sylfaen" w:hAnsi="Sylfaen"/>
          <w:sz w:val="24"/>
          <w:szCs w:val="24"/>
        </w:rPr>
        <w:t xml:space="preserve"> օժանդակ նյութերը)</w:t>
      </w:r>
    </w:p>
    <w:p w14:paraId="2FD9B22A" w14:textId="77777777" w:rsidR="00136617" w:rsidRDefault="006F76EB" w:rsidP="006F76EB">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Անհրաժեշտ է նշել, թե որ միավորի հաշվով է բաղադրությունը (դոզավորված ձ</w:t>
      </w:r>
      <w:r w:rsidR="00C54D75">
        <w:rPr>
          <w:rFonts w:ascii="Sylfaen" w:hAnsi="Sylfaen"/>
          <w:sz w:val="24"/>
          <w:szCs w:val="24"/>
        </w:rPr>
        <w:t>և</w:t>
      </w:r>
      <w:r w:rsidRPr="00834D52">
        <w:rPr>
          <w:rFonts w:ascii="Sylfaen" w:hAnsi="Sylfaen"/>
          <w:sz w:val="24"/>
          <w:szCs w:val="24"/>
        </w:rPr>
        <w:t xml:space="preserve">ի միավորի, ծավալի միավորի, զանգվածի միավորի </w:t>
      </w:r>
      <w:r w:rsidR="00C54D75">
        <w:rPr>
          <w:rFonts w:ascii="Sylfaen" w:hAnsi="Sylfaen"/>
          <w:sz w:val="24"/>
          <w:szCs w:val="24"/>
        </w:rPr>
        <w:t>և</w:t>
      </w:r>
      <w:r w:rsidRPr="00834D52">
        <w:rPr>
          <w:rFonts w:ascii="Sylfaen" w:hAnsi="Sylfaen"/>
          <w:sz w:val="24"/>
          <w:szCs w:val="24"/>
        </w:rPr>
        <w:t xml:space="preserve"> այլն):</w:t>
      </w:r>
    </w:p>
    <w:p w14:paraId="4D94B805" w14:textId="77777777" w:rsidR="00136617" w:rsidRDefault="00136617">
      <w:pPr>
        <w:widowControl/>
        <w:rPr>
          <w:rFonts w:ascii="Sylfaen" w:hAnsi="Sylfaen"/>
          <w:sz w:val="24"/>
          <w:szCs w:val="24"/>
        </w:rPr>
      </w:pPr>
      <w:r>
        <w:rPr>
          <w:rFonts w:ascii="Sylfaen" w:hAnsi="Sylfaen"/>
          <w:sz w:val="24"/>
          <w:szCs w:val="24"/>
        </w:rPr>
        <w:br w:type="page"/>
      </w:r>
    </w:p>
    <w:p w14:paraId="5D646B96" w14:textId="77777777" w:rsidR="00520390"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lastRenderedPageBreak/>
        <w:t>ԱԴԲ-ն թվարկե՛ք օժանդակ նյութերից առանձին՝</w:t>
      </w:r>
    </w:p>
    <w:tbl>
      <w:tblPr>
        <w:tblW w:w="10395" w:type="dxa"/>
        <w:jc w:val="center"/>
        <w:tblLayout w:type="fixed"/>
        <w:tblCellMar>
          <w:left w:w="0" w:type="dxa"/>
          <w:right w:w="0" w:type="dxa"/>
        </w:tblCellMar>
        <w:tblLook w:val="01E0" w:firstRow="1" w:lastRow="1" w:firstColumn="1" w:lastColumn="1" w:noHBand="0" w:noVBand="0"/>
      </w:tblPr>
      <w:tblGrid>
        <w:gridCol w:w="706"/>
        <w:gridCol w:w="2973"/>
        <w:gridCol w:w="3419"/>
        <w:gridCol w:w="1340"/>
        <w:gridCol w:w="1957"/>
      </w:tblGrid>
      <w:tr w:rsidR="006F76EB" w:rsidRPr="00834D52" w14:paraId="65244D70" w14:textId="77777777" w:rsidTr="003A6399">
        <w:trPr>
          <w:trHeight w:val="1969"/>
          <w:jc w:val="center"/>
        </w:trPr>
        <w:tc>
          <w:tcPr>
            <w:tcW w:w="706" w:type="dxa"/>
            <w:tcBorders>
              <w:top w:val="single" w:sz="4" w:space="0" w:color="000000"/>
              <w:left w:val="single" w:sz="4" w:space="0" w:color="000000"/>
              <w:bottom w:val="single" w:sz="4" w:space="0" w:color="000000"/>
              <w:right w:val="single" w:sz="4" w:space="0" w:color="000000"/>
            </w:tcBorders>
          </w:tcPr>
          <w:p w14:paraId="7080362D"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973" w:type="dxa"/>
            <w:tcBorders>
              <w:top w:val="single" w:sz="4" w:space="0" w:color="000000"/>
              <w:left w:val="single" w:sz="4" w:space="0" w:color="000000"/>
              <w:bottom w:val="single" w:sz="4" w:space="0" w:color="000000"/>
              <w:right w:val="single" w:sz="4" w:space="0" w:color="000000"/>
            </w:tcBorders>
          </w:tcPr>
          <w:p w14:paraId="01AB50A4"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ԱԴԲ-ի անվանումը</w:t>
            </w:r>
            <w:r w:rsidRPr="00834D52">
              <w:rPr>
                <w:rStyle w:val="FootnoteReference"/>
                <w:rFonts w:ascii="Sylfaen" w:eastAsia="Times New Roman" w:hAnsi="Sylfaen" w:cs="Times New Roman"/>
                <w:sz w:val="24"/>
                <w:szCs w:val="24"/>
              </w:rPr>
              <w:sym w:font="Symbol" w:char="F02A"/>
            </w:r>
          </w:p>
        </w:tc>
        <w:tc>
          <w:tcPr>
            <w:tcW w:w="3419" w:type="dxa"/>
            <w:tcBorders>
              <w:top w:val="single" w:sz="4" w:space="0" w:color="000000"/>
              <w:left w:val="single" w:sz="4" w:space="0" w:color="000000"/>
              <w:bottom w:val="single" w:sz="4" w:space="0" w:color="000000"/>
              <w:right w:val="single" w:sz="4" w:space="0" w:color="000000"/>
            </w:tcBorders>
          </w:tcPr>
          <w:p w14:paraId="24415376"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footnoteReference w:customMarkFollows="1" w:id="11"/>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340" w:type="dxa"/>
            <w:tcBorders>
              <w:top w:val="single" w:sz="4" w:space="0" w:color="000000"/>
              <w:left w:val="single" w:sz="4" w:space="0" w:color="000000"/>
              <w:bottom w:val="single" w:sz="4" w:space="0" w:color="000000"/>
              <w:right w:val="single" w:sz="4" w:space="0" w:color="000000"/>
            </w:tcBorders>
          </w:tcPr>
          <w:p w14:paraId="792B8BF7"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957" w:type="dxa"/>
            <w:tcBorders>
              <w:top w:val="single" w:sz="4" w:space="0" w:color="000000"/>
              <w:left w:val="single" w:sz="4" w:space="0" w:color="000000"/>
              <w:bottom w:val="single" w:sz="4" w:space="0" w:color="000000"/>
              <w:right w:val="single" w:sz="4" w:space="0" w:color="000000"/>
            </w:tcBorders>
          </w:tcPr>
          <w:p w14:paraId="16A5791F"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r w:rsidR="006F76EB" w:rsidRPr="00834D52" w14:paraId="1E662F17" w14:textId="77777777" w:rsidTr="003A6399">
        <w:trPr>
          <w:trHeight w:val="1993"/>
          <w:jc w:val="center"/>
        </w:trPr>
        <w:tc>
          <w:tcPr>
            <w:tcW w:w="706" w:type="dxa"/>
            <w:tcBorders>
              <w:top w:val="single" w:sz="4" w:space="0" w:color="000000"/>
              <w:left w:val="single" w:sz="4" w:space="0" w:color="000000"/>
              <w:bottom w:val="single" w:sz="4" w:space="0" w:color="000000"/>
              <w:right w:val="single" w:sz="4" w:space="0" w:color="000000"/>
            </w:tcBorders>
          </w:tcPr>
          <w:p w14:paraId="3CBB9DDA"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973" w:type="dxa"/>
            <w:tcBorders>
              <w:top w:val="single" w:sz="4" w:space="0" w:color="000000"/>
              <w:left w:val="single" w:sz="4" w:space="0" w:color="000000"/>
              <w:bottom w:val="single" w:sz="4" w:space="0" w:color="000000"/>
              <w:right w:val="single" w:sz="4" w:space="0" w:color="000000"/>
            </w:tcBorders>
          </w:tcPr>
          <w:p w14:paraId="04A377B6"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419" w:type="dxa"/>
            <w:tcBorders>
              <w:top w:val="single" w:sz="4" w:space="0" w:color="000000"/>
              <w:left w:val="single" w:sz="4" w:space="0" w:color="000000"/>
              <w:bottom w:val="single" w:sz="4" w:space="0" w:color="000000"/>
              <w:right w:val="single" w:sz="4" w:space="0" w:color="000000"/>
            </w:tcBorders>
          </w:tcPr>
          <w:p w14:paraId="0E34277C"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340" w:type="dxa"/>
            <w:tcBorders>
              <w:top w:val="single" w:sz="4" w:space="0" w:color="000000"/>
              <w:left w:val="single" w:sz="4" w:space="0" w:color="000000"/>
              <w:bottom w:val="single" w:sz="4" w:space="0" w:color="000000"/>
              <w:right w:val="single" w:sz="4" w:space="0" w:color="000000"/>
            </w:tcBorders>
          </w:tcPr>
          <w:p w14:paraId="01DB7387"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957" w:type="dxa"/>
            <w:tcBorders>
              <w:top w:val="single" w:sz="4" w:space="0" w:color="000000"/>
              <w:left w:val="single" w:sz="4" w:space="0" w:color="000000"/>
              <w:bottom w:val="single" w:sz="4" w:space="0" w:color="000000"/>
              <w:right w:val="single" w:sz="4" w:space="0" w:color="000000"/>
            </w:tcBorders>
          </w:tcPr>
          <w:p w14:paraId="5AEBAD5A"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bl>
    <w:p w14:paraId="5129443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Ավելցուկների մասին տեղեկությունները չի թույլատրվում նշել բաղադրության մասին սյունակներում, դրանք պետք է շարադրել ստոր</w:t>
      </w:r>
      <w:r w:rsidR="00C54D75">
        <w:rPr>
          <w:rFonts w:ascii="Sylfaen" w:hAnsi="Sylfaen"/>
          <w:sz w:val="24"/>
          <w:szCs w:val="24"/>
        </w:rPr>
        <w:t>և</w:t>
      </w:r>
      <w:r w:rsidRPr="00834D52">
        <w:rPr>
          <w:rFonts w:ascii="Sylfaen" w:hAnsi="Sylfaen"/>
          <w:sz w:val="24"/>
          <w:szCs w:val="24"/>
        </w:rPr>
        <w:t>՝</w:t>
      </w:r>
    </w:p>
    <w:tbl>
      <w:tblPr>
        <w:tblW w:w="10325" w:type="dxa"/>
        <w:jc w:val="center"/>
        <w:tblLayout w:type="fixed"/>
        <w:tblCellMar>
          <w:left w:w="0" w:type="dxa"/>
          <w:right w:w="0" w:type="dxa"/>
        </w:tblCellMar>
        <w:tblLook w:val="01E0" w:firstRow="1" w:lastRow="1" w:firstColumn="1" w:lastColumn="1" w:noHBand="0" w:noVBand="0"/>
      </w:tblPr>
      <w:tblGrid>
        <w:gridCol w:w="5718"/>
        <w:gridCol w:w="4607"/>
      </w:tblGrid>
      <w:tr w:rsidR="006F76EB" w:rsidRPr="00834D52" w14:paraId="69405E94" w14:textId="77777777" w:rsidTr="004147B3">
        <w:trPr>
          <w:trHeight w:val="918"/>
          <w:jc w:val="center"/>
        </w:trPr>
        <w:tc>
          <w:tcPr>
            <w:tcW w:w="5718" w:type="dxa"/>
            <w:tcBorders>
              <w:top w:val="single" w:sz="4" w:space="0" w:color="000000"/>
              <w:left w:val="single" w:sz="4" w:space="0" w:color="000000"/>
              <w:bottom w:val="single" w:sz="4" w:space="0" w:color="000000"/>
              <w:right w:val="single" w:sz="4" w:space="0" w:color="000000"/>
            </w:tcBorders>
          </w:tcPr>
          <w:p w14:paraId="372B0165" w14:textId="77777777" w:rsidR="006F76EB" w:rsidRPr="00834D52" w:rsidRDefault="006F76EB" w:rsidP="00C623F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դեղաբանական բաղադրամասը</w:t>
            </w:r>
          </w:p>
        </w:tc>
        <w:tc>
          <w:tcPr>
            <w:tcW w:w="4607" w:type="dxa"/>
            <w:tcBorders>
              <w:top w:val="single" w:sz="4" w:space="0" w:color="000000"/>
              <w:left w:val="single" w:sz="4" w:space="0" w:color="000000"/>
              <w:bottom w:val="single" w:sz="4" w:space="0" w:color="000000"/>
              <w:right w:val="single" w:sz="4" w:space="0" w:color="000000"/>
            </w:tcBorders>
          </w:tcPr>
          <w:p w14:paraId="07E14C7F" w14:textId="77777777" w:rsidR="006F76EB" w:rsidRPr="00834D52" w:rsidRDefault="006F76EB" w:rsidP="00C623FA">
            <w:pPr>
              <w:spacing w:after="120" w:line="240" w:lineRule="auto"/>
              <w:ind w:right="-6"/>
              <w:rPr>
                <w:rFonts w:ascii="Sylfaen" w:hAnsi="Sylfaen"/>
                <w:sz w:val="24"/>
                <w:szCs w:val="24"/>
              </w:rPr>
            </w:pPr>
          </w:p>
        </w:tc>
      </w:tr>
      <w:tr w:rsidR="006F76EB" w:rsidRPr="00834D52" w14:paraId="6E01BC85" w14:textId="77777777" w:rsidTr="004147B3">
        <w:trPr>
          <w:trHeight w:val="954"/>
          <w:jc w:val="center"/>
        </w:trPr>
        <w:tc>
          <w:tcPr>
            <w:tcW w:w="5718" w:type="dxa"/>
            <w:tcBorders>
              <w:top w:val="single" w:sz="4" w:space="0" w:color="000000"/>
              <w:left w:val="single" w:sz="4" w:space="0" w:color="000000"/>
              <w:bottom w:val="single" w:sz="4" w:space="0" w:color="000000"/>
              <w:right w:val="single" w:sz="4" w:space="0" w:color="000000"/>
            </w:tcBorders>
          </w:tcPr>
          <w:p w14:paraId="657947AD" w14:textId="77777777" w:rsidR="006F76EB" w:rsidRPr="00834D52" w:rsidRDefault="006F76EB" w:rsidP="00C623F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օժանդակ նյութ(եր)ը</w:t>
            </w:r>
          </w:p>
        </w:tc>
        <w:tc>
          <w:tcPr>
            <w:tcW w:w="4607" w:type="dxa"/>
            <w:tcBorders>
              <w:top w:val="single" w:sz="4" w:space="0" w:color="000000"/>
              <w:left w:val="single" w:sz="4" w:space="0" w:color="000000"/>
              <w:bottom w:val="single" w:sz="4" w:space="0" w:color="000000"/>
              <w:right w:val="single" w:sz="4" w:space="0" w:color="000000"/>
            </w:tcBorders>
          </w:tcPr>
          <w:p w14:paraId="78BFB7F9" w14:textId="77777777" w:rsidR="006F76EB" w:rsidRPr="00834D52" w:rsidRDefault="006F76EB" w:rsidP="00C623FA">
            <w:pPr>
              <w:spacing w:after="120" w:line="240" w:lineRule="auto"/>
              <w:ind w:right="-6"/>
              <w:rPr>
                <w:rFonts w:ascii="Sylfaen" w:hAnsi="Sylfaen"/>
                <w:sz w:val="24"/>
                <w:szCs w:val="24"/>
              </w:rPr>
            </w:pPr>
          </w:p>
        </w:tc>
      </w:tr>
    </w:tbl>
    <w:p w14:paraId="53AA3E44" w14:textId="77777777" w:rsidR="006F76EB" w:rsidRPr="00834D52" w:rsidRDefault="006F76EB" w:rsidP="00C623F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3.6.2.</w:t>
      </w:r>
      <w:r w:rsidRPr="00834D52">
        <w:rPr>
          <w:rFonts w:ascii="Sylfaen" w:hAnsi="Sylfaen"/>
          <w:sz w:val="24"/>
          <w:szCs w:val="24"/>
        </w:rPr>
        <w:tab/>
        <w:t xml:space="preserve">Դեղապատրաստուկի բաղադրության մաս կազմող կամ դրա արտադրության գործընթացում կիրառվող կենդանական </w:t>
      </w:r>
      <w:r w:rsidR="00C54D75">
        <w:rPr>
          <w:rFonts w:ascii="Sylfaen" w:hAnsi="Sylfaen"/>
          <w:sz w:val="24"/>
          <w:szCs w:val="24"/>
        </w:rPr>
        <w:t>և</w:t>
      </w:r>
      <w:r w:rsidRPr="00834D52">
        <w:rPr>
          <w:rFonts w:ascii="Sylfaen" w:hAnsi="Sylfaen"/>
          <w:sz w:val="24"/>
          <w:szCs w:val="24"/>
        </w:rPr>
        <w:t xml:space="preserve"> (կամ) մարդկային ծագման նյութերի ցանկը</w:t>
      </w:r>
    </w:p>
    <w:p w14:paraId="45238B99" w14:textId="77C62D6A" w:rsidR="003A6399" w:rsidRDefault="0037154C" w:rsidP="006F76EB">
      <w:pPr>
        <w:spacing w:after="160" w:line="360" w:lineRule="auto"/>
        <w:ind w:right="-8"/>
        <w:jc w:val="center"/>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80256" behindDoc="0" locked="0" layoutInCell="1" allowOverlap="1" wp14:anchorId="2FBD942F" wp14:editId="09E02A5F">
                <wp:simplePos x="0" y="0"/>
                <wp:positionH relativeFrom="column">
                  <wp:posOffset>2109470</wp:posOffset>
                </wp:positionH>
                <wp:positionV relativeFrom="paragraph">
                  <wp:posOffset>34925</wp:posOffset>
                </wp:positionV>
                <wp:extent cx="161925" cy="152400"/>
                <wp:effectExtent l="9525" t="6985" r="9525" b="12065"/>
                <wp:wrapNone/>
                <wp:docPr id="14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452B9" id="Rectangle 104" o:spid="_x0000_s1026" style="position:absolute;margin-left:166.1pt;margin-top:2.75pt;width:12.75pt;height: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"/>
            </w:pict>
          </mc:Fallback>
        </mc:AlternateContent>
      </w:r>
      <w:r w:rsidR="006F76EB" w:rsidRPr="00834D52">
        <w:rPr>
          <w:rFonts w:ascii="Sylfaen" w:hAnsi="Sylfaen"/>
          <w:sz w:val="24"/>
          <w:szCs w:val="24"/>
        </w:rPr>
        <w:t>բացակայում են</w:t>
      </w:r>
    </w:p>
    <w:p w14:paraId="7FAF3EB3" w14:textId="77777777" w:rsidR="003A6399" w:rsidRDefault="003A6399">
      <w:pPr>
        <w:widowControl/>
        <w:rPr>
          <w:rFonts w:ascii="Sylfaen" w:hAnsi="Sylfaen"/>
          <w:sz w:val="24"/>
          <w:szCs w:val="24"/>
        </w:rPr>
      </w:pPr>
      <w:r>
        <w:rPr>
          <w:rFonts w:ascii="Sylfaen" w:hAnsi="Sylfaen"/>
          <w:sz w:val="24"/>
          <w:szCs w:val="24"/>
        </w:rPr>
        <w:br w:type="page"/>
      </w:r>
    </w:p>
    <w:p w14:paraId="01055C3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tbl>
      <w:tblPr>
        <w:tblW w:w="10366" w:type="dxa"/>
        <w:jc w:val="center"/>
        <w:tblLayout w:type="fixed"/>
        <w:tblCellMar>
          <w:left w:w="0" w:type="dxa"/>
          <w:right w:w="0" w:type="dxa"/>
        </w:tblCellMar>
        <w:tblLook w:val="01E0" w:firstRow="1" w:lastRow="1" w:firstColumn="1" w:lastColumn="1" w:noHBand="0" w:noVBand="0"/>
      </w:tblPr>
      <w:tblGrid>
        <w:gridCol w:w="1225"/>
        <w:gridCol w:w="723"/>
        <w:gridCol w:w="722"/>
        <w:gridCol w:w="579"/>
        <w:gridCol w:w="1776"/>
        <w:gridCol w:w="1225"/>
        <w:gridCol w:w="1308"/>
        <w:gridCol w:w="2808"/>
      </w:tblGrid>
      <w:tr w:rsidR="006F76EB" w:rsidRPr="00834D52" w14:paraId="521230C8" w14:textId="77777777" w:rsidTr="00BE0DB5">
        <w:trPr>
          <w:trHeight w:val="1960"/>
          <w:jc w:val="center"/>
        </w:trPr>
        <w:tc>
          <w:tcPr>
            <w:tcW w:w="1225" w:type="dxa"/>
            <w:tcBorders>
              <w:top w:val="single" w:sz="4" w:space="0" w:color="000000"/>
              <w:left w:val="single" w:sz="4" w:space="0" w:color="000000"/>
              <w:bottom w:val="single" w:sz="4" w:space="0" w:color="000000"/>
              <w:right w:val="single" w:sz="4" w:space="0" w:color="000000"/>
            </w:tcBorders>
          </w:tcPr>
          <w:p w14:paraId="45AFF902"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Անվանումը</w:t>
            </w:r>
          </w:p>
        </w:tc>
        <w:tc>
          <w:tcPr>
            <w:tcW w:w="2024" w:type="dxa"/>
            <w:gridSpan w:val="3"/>
            <w:tcBorders>
              <w:top w:val="single" w:sz="4" w:space="0" w:color="000000"/>
              <w:left w:val="single" w:sz="4" w:space="0" w:color="000000"/>
              <w:bottom w:val="single" w:sz="4" w:space="0" w:color="000000"/>
              <w:right w:val="single" w:sz="4" w:space="0" w:color="000000"/>
            </w:tcBorders>
          </w:tcPr>
          <w:p w14:paraId="0AF096B3" w14:textId="77777777" w:rsidR="006F76EB" w:rsidRPr="00834D52" w:rsidRDefault="006F76EB" w:rsidP="00C623FA">
            <w:pPr>
              <w:spacing w:after="120" w:line="240" w:lineRule="auto"/>
              <w:ind w:left="142" w:right="-6"/>
              <w:jc w:val="center"/>
              <w:rPr>
                <w:rFonts w:ascii="Sylfaen" w:eastAsia="Times New Roman" w:hAnsi="Sylfaen" w:cs="Times New Roman"/>
                <w:sz w:val="20"/>
                <w:szCs w:val="20"/>
              </w:rPr>
            </w:pPr>
            <w:r w:rsidRPr="00834D52">
              <w:rPr>
                <w:rFonts w:ascii="Sylfaen" w:hAnsi="Sylfaen"/>
                <w:sz w:val="20"/>
                <w:szCs w:val="20"/>
              </w:rPr>
              <w:t>Գործառույթը</w:t>
            </w:r>
          </w:p>
        </w:tc>
        <w:tc>
          <w:tcPr>
            <w:tcW w:w="1776" w:type="dxa"/>
            <w:tcBorders>
              <w:top w:val="single" w:sz="4" w:space="0" w:color="000000"/>
              <w:left w:val="single" w:sz="4" w:space="0" w:color="000000"/>
              <w:bottom w:val="single" w:sz="4" w:space="0" w:color="000000"/>
              <w:right w:val="single" w:sz="4" w:space="0" w:color="000000"/>
            </w:tcBorders>
          </w:tcPr>
          <w:p w14:paraId="4AD20F38" w14:textId="77777777" w:rsidR="006F76EB" w:rsidRPr="00834D52" w:rsidRDefault="006F76EB" w:rsidP="00D7038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ՏՍԷ-ի նկատմամբ զգայուն կենդանիներից</w:t>
            </w:r>
          </w:p>
        </w:tc>
        <w:tc>
          <w:tcPr>
            <w:tcW w:w="1225" w:type="dxa"/>
            <w:tcBorders>
              <w:top w:val="single" w:sz="4" w:space="0" w:color="000000"/>
              <w:left w:val="single" w:sz="4" w:space="0" w:color="000000"/>
              <w:bottom w:val="single" w:sz="4" w:space="0" w:color="000000"/>
              <w:right w:val="single" w:sz="4" w:space="0" w:color="000000"/>
            </w:tcBorders>
          </w:tcPr>
          <w:p w14:paraId="779EA80A"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Այլ կենդանիներ</w:t>
            </w:r>
          </w:p>
        </w:tc>
        <w:tc>
          <w:tcPr>
            <w:tcW w:w="1308" w:type="dxa"/>
            <w:tcBorders>
              <w:top w:val="single" w:sz="4" w:space="0" w:color="000000"/>
              <w:left w:val="single" w:sz="4" w:space="0" w:color="000000"/>
              <w:bottom w:val="single" w:sz="4" w:space="0" w:color="000000"/>
              <w:right w:val="single" w:sz="4" w:space="0" w:color="000000"/>
            </w:tcBorders>
          </w:tcPr>
          <w:p w14:paraId="1CA17987"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Մարդկային ծագման</w:t>
            </w:r>
          </w:p>
        </w:tc>
        <w:tc>
          <w:tcPr>
            <w:tcW w:w="2808" w:type="dxa"/>
            <w:tcBorders>
              <w:top w:val="single" w:sz="4" w:space="0" w:color="000000"/>
              <w:left w:val="single" w:sz="4" w:space="0" w:color="000000"/>
              <w:bottom w:val="single" w:sz="4" w:space="0" w:color="000000"/>
              <w:right w:val="single" w:sz="4" w:space="0" w:color="000000"/>
            </w:tcBorders>
          </w:tcPr>
          <w:p w14:paraId="79BFE71D"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w:t>
            </w:r>
            <w:r w:rsidRPr="00834D52">
              <w:rPr>
                <w:rFonts w:ascii="Sylfaen" w:hAnsi="Sylfaen"/>
                <w:sz w:val="20"/>
                <w:szCs w:val="20"/>
                <w:vertAlign w:val="superscript"/>
              </w:rPr>
              <w:t>3</w:t>
            </w:r>
            <w:r w:rsidRPr="00834D52">
              <w:rPr>
                <w:rFonts w:ascii="Sylfaen" w:hAnsi="Sylfaen"/>
                <w:sz w:val="20"/>
                <w:szCs w:val="20"/>
              </w:rPr>
              <w:t>-ի վերաբերյալ Եվրոպական դեղագրքերի համապատասխանության սերտիֆիկատ (նշե՛ք համարը)</w:t>
            </w:r>
          </w:p>
        </w:tc>
      </w:tr>
      <w:tr w:rsidR="006F76EB" w:rsidRPr="00834D52" w14:paraId="69885BF9" w14:textId="77777777" w:rsidTr="00BE0DB5">
        <w:trPr>
          <w:trHeight w:val="507"/>
          <w:jc w:val="center"/>
        </w:trPr>
        <w:tc>
          <w:tcPr>
            <w:tcW w:w="1225" w:type="dxa"/>
            <w:tcBorders>
              <w:top w:val="single" w:sz="4" w:space="0" w:color="000000"/>
              <w:left w:val="single" w:sz="4" w:space="0" w:color="000000"/>
              <w:bottom w:val="single" w:sz="4" w:space="0" w:color="000000"/>
              <w:right w:val="single" w:sz="4" w:space="0" w:color="000000"/>
            </w:tcBorders>
          </w:tcPr>
          <w:p w14:paraId="1EE63C34" w14:textId="77777777" w:rsidR="006F76EB" w:rsidRPr="00834D52" w:rsidRDefault="006F76EB" w:rsidP="00C623FA">
            <w:pPr>
              <w:spacing w:after="120" w:line="240" w:lineRule="auto"/>
              <w:ind w:right="-6"/>
              <w:rPr>
                <w:rFonts w:ascii="Sylfaen" w:hAnsi="Sylfaen"/>
                <w:sz w:val="20"/>
                <w:szCs w:val="20"/>
              </w:rPr>
            </w:pPr>
          </w:p>
        </w:tc>
        <w:tc>
          <w:tcPr>
            <w:tcW w:w="723" w:type="dxa"/>
            <w:tcBorders>
              <w:top w:val="single" w:sz="4" w:space="0" w:color="000000"/>
              <w:left w:val="single" w:sz="4" w:space="0" w:color="000000"/>
              <w:bottom w:val="single" w:sz="4" w:space="0" w:color="000000"/>
              <w:right w:val="single" w:sz="4" w:space="0" w:color="000000"/>
            </w:tcBorders>
          </w:tcPr>
          <w:p w14:paraId="01A05EAD"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ԱԴԲ</w:t>
            </w:r>
          </w:p>
        </w:tc>
        <w:tc>
          <w:tcPr>
            <w:tcW w:w="722" w:type="dxa"/>
            <w:tcBorders>
              <w:top w:val="single" w:sz="4" w:space="0" w:color="000000"/>
              <w:left w:val="single" w:sz="4" w:space="0" w:color="000000"/>
              <w:bottom w:val="single" w:sz="4" w:space="0" w:color="000000"/>
              <w:right w:val="single" w:sz="4" w:space="0" w:color="000000"/>
            </w:tcBorders>
          </w:tcPr>
          <w:p w14:paraId="005CC6C7" w14:textId="77777777" w:rsidR="006F76EB" w:rsidRPr="002C3F55" w:rsidRDefault="006F76EB" w:rsidP="002C3F55">
            <w:pPr>
              <w:spacing w:after="120" w:line="240" w:lineRule="auto"/>
              <w:ind w:right="-6"/>
              <w:rPr>
                <w:rFonts w:ascii="Sylfaen" w:eastAsia="Times New Roman" w:hAnsi="Sylfaen" w:cs="Times New Roman"/>
                <w:sz w:val="20"/>
                <w:szCs w:val="20"/>
                <w:lang w:val="en-US"/>
              </w:rPr>
            </w:pPr>
            <w:r w:rsidRPr="00834D52">
              <w:rPr>
                <w:rFonts w:ascii="Sylfaen" w:hAnsi="Sylfaen"/>
                <w:sz w:val="20"/>
                <w:szCs w:val="20"/>
              </w:rPr>
              <w:t>ՕՆ</w:t>
            </w:r>
            <w:r w:rsidR="002C3F55">
              <w:rPr>
                <w:rStyle w:val="FootnoteReference"/>
                <w:rFonts w:ascii="Sylfaen" w:hAnsi="Sylfaen"/>
                <w:sz w:val="20"/>
                <w:szCs w:val="20"/>
              </w:rPr>
              <w:footnoteReference w:id="12"/>
            </w:r>
          </w:p>
        </w:tc>
        <w:tc>
          <w:tcPr>
            <w:tcW w:w="579" w:type="dxa"/>
            <w:tcBorders>
              <w:top w:val="single" w:sz="4" w:space="0" w:color="000000"/>
              <w:left w:val="single" w:sz="4" w:space="0" w:color="000000"/>
              <w:bottom w:val="single" w:sz="4" w:space="0" w:color="000000"/>
              <w:right w:val="single" w:sz="4" w:space="0" w:color="000000"/>
            </w:tcBorders>
          </w:tcPr>
          <w:p w14:paraId="02426F0E" w14:textId="77777777" w:rsidR="006F76EB" w:rsidRPr="002C3F55" w:rsidRDefault="006F76EB" w:rsidP="002C3F55">
            <w:pPr>
              <w:spacing w:after="120" w:line="240" w:lineRule="auto"/>
              <w:ind w:right="-6"/>
              <w:rPr>
                <w:rFonts w:ascii="Sylfaen" w:eastAsia="Times New Roman" w:hAnsi="Sylfaen" w:cs="Times New Roman"/>
                <w:sz w:val="20"/>
                <w:szCs w:val="20"/>
                <w:lang w:val="en-US"/>
              </w:rPr>
            </w:pPr>
            <w:r w:rsidRPr="00834D52">
              <w:rPr>
                <w:rFonts w:ascii="Sylfaen" w:hAnsi="Sylfaen"/>
                <w:sz w:val="20"/>
                <w:szCs w:val="20"/>
              </w:rPr>
              <w:t>Ռ</w:t>
            </w:r>
            <w:r w:rsidR="002C3F55">
              <w:rPr>
                <w:rStyle w:val="FootnoteReference"/>
                <w:rFonts w:ascii="Sylfaen" w:hAnsi="Sylfaen"/>
                <w:sz w:val="20"/>
                <w:szCs w:val="20"/>
              </w:rPr>
              <w:footnoteReference w:id="13"/>
            </w:r>
          </w:p>
        </w:tc>
        <w:tc>
          <w:tcPr>
            <w:tcW w:w="1776" w:type="dxa"/>
            <w:tcBorders>
              <w:top w:val="single" w:sz="4" w:space="0" w:color="000000"/>
              <w:left w:val="single" w:sz="4" w:space="0" w:color="000000"/>
              <w:bottom w:val="single" w:sz="4" w:space="0" w:color="000000"/>
              <w:right w:val="single" w:sz="4" w:space="0" w:color="000000"/>
            </w:tcBorders>
          </w:tcPr>
          <w:p w14:paraId="49AB11E3"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2D9FC78"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3FB75A9D"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781C1CC3"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24838FE"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2F3D5878"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1</w:t>
            </w:r>
          </w:p>
        </w:tc>
        <w:tc>
          <w:tcPr>
            <w:tcW w:w="723" w:type="dxa"/>
            <w:tcBorders>
              <w:top w:val="single" w:sz="4" w:space="0" w:color="000000"/>
              <w:left w:val="single" w:sz="4" w:space="0" w:color="000000"/>
              <w:bottom w:val="single" w:sz="4" w:space="0" w:color="000000"/>
              <w:right w:val="single" w:sz="4" w:space="0" w:color="000000"/>
            </w:tcBorders>
          </w:tcPr>
          <w:p w14:paraId="5F77B47B"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0E53B811"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3CC90E70"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083BA340"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72F28971"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5D8FA0EC"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6A1D54B9"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79E6236" w14:textId="77777777" w:rsidTr="00BE0DB5">
        <w:trPr>
          <w:trHeight w:val="507"/>
          <w:jc w:val="center"/>
        </w:trPr>
        <w:tc>
          <w:tcPr>
            <w:tcW w:w="1225" w:type="dxa"/>
            <w:tcBorders>
              <w:top w:val="single" w:sz="4" w:space="0" w:color="000000"/>
              <w:left w:val="single" w:sz="4" w:space="0" w:color="000000"/>
              <w:bottom w:val="single" w:sz="4" w:space="0" w:color="000000"/>
              <w:right w:val="single" w:sz="4" w:space="0" w:color="000000"/>
            </w:tcBorders>
          </w:tcPr>
          <w:p w14:paraId="27BF1E73"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2</w:t>
            </w:r>
          </w:p>
        </w:tc>
        <w:tc>
          <w:tcPr>
            <w:tcW w:w="723" w:type="dxa"/>
            <w:tcBorders>
              <w:top w:val="single" w:sz="4" w:space="0" w:color="000000"/>
              <w:left w:val="single" w:sz="4" w:space="0" w:color="000000"/>
              <w:bottom w:val="single" w:sz="4" w:space="0" w:color="000000"/>
              <w:right w:val="single" w:sz="4" w:space="0" w:color="000000"/>
            </w:tcBorders>
          </w:tcPr>
          <w:p w14:paraId="69FFE1C4"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188511B2"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440485F2"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7C937C29"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10F3CA3"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09609EB"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1707218A" w14:textId="77777777" w:rsidR="006F76EB" w:rsidRPr="00834D52" w:rsidRDefault="006F76EB" w:rsidP="00C623FA">
            <w:pPr>
              <w:spacing w:after="120" w:line="240" w:lineRule="auto"/>
              <w:ind w:right="-6"/>
              <w:rPr>
                <w:rFonts w:ascii="Sylfaen" w:hAnsi="Sylfaen"/>
                <w:sz w:val="20"/>
                <w:szCs w:val="20"/>
              </w:rPr>
            </w:pPr>
          </w:p>
        </w:tc>
      </w:tr>
      <w:tr w:rsidR="006F76EB" w:rsidRPr="00834D52" w14:paraId="42C7A7B6"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622A5DA3"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3</w:t>
            </w:r>
          </w:p>
        </w:tc>
        <w:tc>
          <w:tcPr>
            <w:tcW w:w="723" w:type="dxa"/>
            <w:tcBorders>
              <w:top w:val="single" w:sz="4" w:space="0" w:color="000000"/>
              <w:left w:val="single" w:sz="4" w:space="0" w:color="000000"/>
              <w:bottom w:val="single" w:sz="4" w:space="0" w:color="000000"/>
              <w:right w:val="single" w:sz="4" w:space="0" w:color="000000"/>
            </w:tcBorders>
          </w:tcPr>
          <w:p w14:paraId="0E571843"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3E4A7CA2"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4A9C38D4"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663CFF05"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D105322"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65223E9"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18384BFB"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31C61BE"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0079CE8F"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w:t>
            </w:r>
          </w:p>
        </w:tc>
        <w:tc>
          <w:tcPr>
            <w:tcW w:w="723" w:type="dxa"/>
            <w:tcBorders>
              <w:top w:val="single" w:sz="4" w:space="0" w:color="000000"/>
              <w:left w:val="single" w:sz="4" w:space="0" w:color="000000"/>
              <w:bottom w:val="single" w:sz="4" w:space="0" w:color="000000"/>
              <w:right w:val="single" w:sz="4" w:space="0" w:color="000000"/>
            </w:tcBorders>
          </w:tcPr>
          <w:p w14:paraId="5BF5E477"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034AA2FE"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615BAF95"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156BC1A6"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61F0B19A"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69DA58E7"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78918EB3" w14:textId="77777777" w:rsidR="006F76EB" w:rsidRPr="00834D52" w:rsidRDefault="006F76EB" w:rsidP="00C623FA">
            <w:pPr>
              <w:spacing w:after="120" w:line="240" w:lineRule="auto"/>
              <w:ind w:right="-6"/>
              <w:rPr>
                <w:rFonts w:ascii="Sylfaen" w:hAnsi="Sylfaen"/>
                <w:sz w:val="20"/>
                <w:szCs w:val="20"/>
              </w:rPr>
            </w:pPr>
          </w:p>
        </w:tc>
      </w:tr>
    </w:tbl>
    <w:p w14:paraId="72DE5B1C" w14:textId="77777777" w:rsidR="006F76EB" w:rsidRPr="00834D52" w:rsidRDefault="006F76EB" w:rsidP="004147B3">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002C3F55">
        <w:rPr>
          <w:rStyle w:val="FootnoteReference"/>
          <w:rFonts w:ascii="Sylfaen" w:hAnsi="Sylfaen"/>
          <w:sz w:val="24"/>
          <w:szCs w:val="24"/>
        </w:rPr>
        <w:footnoteReference w:id="14"/>
      </w:r>
      <w:r w:rsidRPr="00834D52">
        <w:rPr>
          <w:rFonts w:ascii="Sylfaen" w:hAnsi="Sylfaen"/>
          <w:sz w:val="24"/>
          <w:szCs w:val="24"/>
        </w:rPr>
        <w:t>-ի վերաբերյալ Եվրոպական դեղագրքերի համապատասխանության սերտիֆիկատի կամ հումքի ծագման երկրի անասնաբուժական վերահսկողության՝ երկրում ՏՍԷ</w:t>
      </w:r>
      <w:r w:rsidRPr="00834D52">
        <w:rPr>
          <w:rFonts w:ascii="Sylfaen" w:hAnsi="Sylfaen"/>
          <w:sz w:val="24"/>
          <w:szCs w:val="24"/>
          <w:vertAlign w:val="superscript"/>
        </w:rPr>
        <w:t>3</w:t>
      </w:r>
      <w:r w:rsidRPr="00834D52">
        <w:rPr>
          <w:rFonts w:ascii="Sylfaen" w:hAnsi="Sylfaen"/>
          <w:sz w:val="24"/>
          <w:szCs w:val="24"/>
        </w:rPr>
        <w:t xml:space="preserve">-ի դեպքերի գրանցման (ըստ կլինիկական </w:t>
      </w:r>
      <w:r w:rsidR="00C54D75">
        <w:rPr>
          <w:rFonts w:ascii="Sylfaen" w:hAnsi="Sylfaen"/>
          <w:sz w:val="24"/>
          <w:szCs w:val="24"/>
        </w:rPr>
        <w:t>և</w:t>
      </w:r>
      <w:r w:rsidRPr="00834D52">
        <w:rPr>
          <w:rFonts w:ascii="Sylfaen" w:hAnsi="Sylfaen"/>
          <w:sz w:val="24"/>
          <w:szCs w:val="24"/>
        </w:rPr>
        <w:t xml:space="preserve"> լաբորատոր հսկողության արդյունքների) մասով լիազորված մարմինների կողմից տրված փաստաթղթի առկայությունը</w:t>
      </w:r>
    </w:p>
    <w:p w14:paraId="575A3E01" w14:textId="35341523" w:rsidR="006F76EB" w:rsidRPr="00834D52" w:rsidRDefault="006F76EB" w:rsidP="004147B3">
      <w:pPr>
        <w:tabs>
          <w:tab w:val="left" w:pos="1701"/>
        </w:tabs>
        <w:spacing w:after="160" w:line="336" w:lineRule="auto"/>
        <w:ind w:right="-6" w:firstLine="567"/>
        <w:jc w:val="both"/>
        <w:rPr>
          <w:rFonts w:ascii="Sylfaen" w:hAnsi="Sylfaen"/>
          <w:sz w:val="24"/>
          <w:szCs w:val="24"/>
        </w:rPr>
      </w:pPr>
      <w:r w:rsidRPr="00834D52">
        <w:rPr>
          <w:rFonts w:ascii="Sylfaen" w:hAnsi="Sylfaen"/>
          <w:sz w:val="24"/>
          <w:szCs w:val="24"/>
        </w:rPr>
        <w:t>3.6.3.</w:t>
      </w:r>
      <w:r w:rsidRPr="00834D52">
        <w:rPr>
          <w:rFonts w:ascii="Sylfaen" w:hAnsi="Sylfaen"/>
          <w:sz w:val="24"/>
          <w:szCs w:val="24"/>
        </w:rPr>
        <w:tab/>
        <w:t xml:space="preserve">Արդյոք տրվել է պլազմայի մաստեր-ֆայլի սերտիֆիկատ (այսուհետ՝ ՊՄՖ), որն օգտագործվում է տվյալ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870CFAE" w14:textId="77777777" w:rsidTr="00F71229">
        <w:tc>
          <w:tcPr>
            <w:tcW w:w="2268" w:type="dxa"/>
          </w:tcPr>
          <w:p w14:paraId="3C098E72" w14:textId="44A9B2A0" w:rsidR="006F76EB" w:rsidRPr="00834D52" w:rsidRDefault="0037154C" w:rsidP="00F71229">
            <w:pPr>
              <w:spacing w:after="160" w:line="360" w:lineRule="auto"/>
              <w:ind w:left="1134" w:right="458"/>
              <w:jc w:val="right"/>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81280" behindDoc="0" locked="0" layoutInCell="1" allowOverlap="1" wp14:anchorId="16EA8EFE" wp14:editId="197BFD1B">
                      <wp:simplePos x="0" y="0"/>
                      <wp:positionH relativeFrom="column">
                        <wp:posOffset>515620</wp:posOffset>
                      </wp:positionH>
                      <wp:positionV relativeFrom="paragraph">
                        <wp:posOffset>38735</wp:posOffset>
                      </wp:positionV>
                      <wp:extent cx="161925" cy="152400"/>
                      <wp:effectExtent l="6985" t="10795" r="12065" b="8255"/>
                      <wp:wrapNone/>
                      <wp:docPr id="144"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95250" id="Rectangle 211" o:spid="_x0000_s1026" style="position:absolute;margin-left:40.6pt;margin-top:3.05pt;width:12.75pt;height:1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55AA7C56" w14:textId="171F9070" w:rsidR="006F76EB" w:rsidRPr="00834D52" w:rsidRDefault="0037154C" w:rsidP="00F71229">
            <w:pPr>
              <w:spacing w:after="160" w:line="360" w:lineRule="auto"/>
              <w:ind w:left="744" w:right="-8"/>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82304" behindDoc="0" locked="0" layoutInCell="1" allowOverlap="1" wp14:anchorId="3F7C576D" wp14:editId="24B38C71">
                      <wp:simplePos x="0" y="0"/>
                      <wp:positionH relativeFrom="column">
                        <wp:posOffset>192405</wp:posOffset>
                      </wp:positionH>
                      <wp:positionV relativeFrom="paragraph">
                        <wp:posOffset>38735</wp:posOffset>
                      </wp:positionV>
                      <wp:extent cx="161925" cy="152400"/>
                      <wp:effectExtent l="9525" t="10795" r="9525" b="8255"/>
                      <wp:wrapNone/>
                      <wp:docPr id="14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CA9EA" id="Rectangle 162" o:spid="_x0000_s1026" style="position:absolute;margin-left:15.15pt;margin-top:3.05pt;width:12.75pt;height:1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6ADBF0EB" w14:textId="77777777" w:rsidR="00BE0DB5" w:rsidRDefault="00BE0DB5" w:rsidP="006F76EB">
      <w:pPr>
        <w:spacing w:after="160" w:line="360" w:lineRule="auto"/>
        <w:ind w:right="-8" w:firstLine="567"/>
        <w:rPr>
          <w:rFonts w:ascii="Sylfaen" w:hAnsi="Sylfaen"/>
          <w:sz w:val="24"/>
          <w:szCs w:val="24"/>
        </w:rPr>
      </w:pPr>
    </w:p>
    <w:p w14:paraId="12B655BE" w14:textId="77777777" w:rsidR="00BE0DB5" w:rsidRDefault="00BE0DB5">
      <w:pPr>
        <w:widowControl/>
        <w:rPr>
          <w:rFonts w:ascii="Sylfaen" w:hAnsi="Sylfaen"/>
          <w:sz w:val="24"/>
          <w:szCs w:val="24"/>
        </w:rPr>
      </w:pPr>
      <w:r>
        <w:rPr>
          <w:rFonts w:ascii="Sylfaen" w:hAnsi="Sylfaen"/>
          <w:sz w:val="24"/>
          <w:szCs w:val="24"/>
        </w:rPr>
        <w:br w:type="page"/>
      </w:r>
    </w:p>
    <w:p w14:paraId="780422ED" w14:textId="77777777" w:rsidR="006F76EB" w:rsidRPr="00834D52"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lastRenderedPageBreak/>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4142"/>
        <w:gridCol w:w="1822"/>
        <w:gridCol w:w="1822"/>
        <w:gridCol w:w="1824"/>
      </w:tblGrid>
      <w:tr w:rsidR="006F76EB" w:rsidRPr="00834D52" w14:paraId="288F1918"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1BCD42F"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ՊՄՖ-ի հղումով նյութը (սուբստանցիան)</w:t>
            </w:r>
          </w:p>
        </w:tc>
        <w:tc>
          <w:tcPr>
            <w:tcW w:w="5468" w:type="dxa"/>
            <w:gridSpan w:val="3"/>
            <w:tcBorders>
              <w:top w:val="single" w:sz="4" w:space="0" w:color="000000"/>
              <w:left w:val="single" w:sz="4" w:space="0" w:color="000000"/>
              <w:bottom w:val="single" w:sz="4" w:space="0" w:color="000000"/>
              <w:right w:val="single" w:sz="4" w:space="0" w:color="000000"/>
            </w:tcBorders>
          </w:tcPr>
          <w:p w14:paraId="5424F31A" w14:textId="77777777" w:rsidR="006F76EB" w:rsidRPr="00834D52" w:rsidRDefault="006F76EB" w:rsidP="004147B3">
            <w:pPr>
              <w:spacing w:after="120" w:line="240" w:lineRule="auto"/>
              <w:ind w:right="-6"/>
              <w:rPr>
                <w:rFonts w:ascii="Sylfaen" w:hAnsi="Sylfaen"/>
                <w:sz w:val="24"/>
                <w:szCs w:val="24"/>
              </w:rPr>
            </w:pPr>
          </w:p>
        </w:tc>
      </w:tr>
      <w:tr w:rsidR="006F76EB" w:rsidRPr="00834D52" w14:paraId="3D44131B" w14:textId="77777777" w:rsidTr="00F71229">
        <w:tc>
          <w:tcPr>
            <w:tcW w:w="4142" w:type="dxa"/>
            <w:vMerge w:val="restart"/>
            <w:tcBorders>
              <w:top w:val="single" w:sz="4" w:space="0" w:color="000000"/>
              <w:left w:val="single" w:sz="4" w:space="0" w:color="000000"/>
              <w:right w:val="single" w:sz="4" w:space="0" w:color="000000"/>
            </w:tcBorders>
          </w:tcPr>
          <w:p w14:paraId="14C26FBC"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գործառույթը</w:t>
            </w:r>
          </w:p>
        </w:tc>
        <w:tc>
          <w:tcPr>
            <w:tcW w:w="1822" w:type="dxa"/>
            <w:tcBorders>
              <w:top w:val="single" w:sz="4" w:space="0" w:color="000000"/>
              <w:left w:val="single" w:sz="4" w:space="0" w:color="000000"/>
              <w:bottom w:val="single" w:sz="4" w:space="0" w:color="000000"/>
              <w:right w:val="single" w:sz="4" w:space="0" w:color="000000"/>
            </w:tcBorders>
          </w:tcPr>
          <w:p w14:paraId="024533C0"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ԱԴՆ-ն</w:t>
            </w:r>
          </w:p>
        </w:tc>
        <w:tc>
          <w:tcPr>
            <w:tcW w:w="1822" w:type="dxa"/>
            <w:tcBorders>
              <w:top w:val="single" w:sz="4" w:space="0" w:color="000000"/>
              <w:left w:val="single" w:sz="4" w:space="0" w:color="000000"/>
              <w:bottom w:val="single" w:sz="4" w:space="0" w:color="000000"/>
              <w:right w:val="single" w:sz="4" w:space="0" w:color="000000"/>
            </w:tcBorders>
          </w:tcPr>
          <w:p w14:paraId="33DF05EC"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15"/>
              <w:t>1</w:t>
            </w:r>
          </w:p>
        </w:tc>
        <w:tc>
          <w:tcPr>
            <w:tcW w:w="1824" w:type="dxa"/>
            <w:tcBorders>
              <w:top w:val="single" w:sz="4" w:space="0" w:color="000000"/>
              <w:left w:val="single" w:sz="4" w:space="0" w:color="000000"/>
              <w:bottom w:val="single" w:sz="4" w:space="0" w:color="000000"/>
              <w:right w:val="single" w:sz="4" w:space="0" w:color="000000"/>
            </w:tcBorders>
          </w:tcPr>
          <w:p w14:paraId="0DF2F8EB"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customMarkFollows="1" w:id="16"/>
              <w:t>2</w:t>
            </w:r>
          </w:p>
        </w:tc>
      </w:tr>
      <w:tr w:rsidR="006F76EB" w:rsidRPr="00834D52" w14:paraId="4B265E53" w14:textId="77777777" w:rsidTr="00F71229">
        <w:tc>
          <w:tcPr>
            <w:tcW w:w="4142" w:type="dxa"/>
            <w:vMerge/>
            <w:tcBorders>
              <w:left w:val="single" w:sz="4" w:space="0" w:color="000000"/>
              <w:bottom w:val="single" w:sz="4" w:space="0" w:color="000000"/>
              <w:right w:val="single" w:sz="4" w:space="0" w:color="000000"/>
            </w:tcBorders>
          </w:tcPr>
          <w:p w14:paraId="779DD470" w14:textId="77777777" w:rsidR="006F76EB" w:rsidRPr="00834D52" w:rsidRDefault="006F76EB" w:rsidP="004147B3">
            <w:pPr>
              <w:spacing w:after="120" w:line="240" w:lineRule="auto"/>
              <w:ind w:left="180" w:right="135"/>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7CEBC086" w14:textId="77777777" w:rsidR="006F76EB" w:rsidRPr="00834D52" w:rsidRDefault="006F76EB" w:rsidP="004147B3">
            <w:pPr>
              <w:spacing w:after="120" w:line="240" w:lineRule="auto"/>
              <w:ind w:right="-6"/>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7B45CDFC" w14:textId="77777777" w:rsidR="006F76EB" w:rsidRPr="00834D52" w:rsidRDefault="006F76EB" w:rsidP="004147B3">
            <w:pPr>
              <w:spacing w:after="120" w:line="240" w:lineRule="auto"/>
              <w:ind w:right="-6"/>
              <w:rPr>
                <w:rFonts w:ascii="Sylfaen" w:hAnsi="Sylfaen"/>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FFC3FBF" w14:textId="77777777" w:rsidR="006F76EB" w:rsidRPr="00834D52" w:rsidRDefault="006F76EB" w:rsidP="004147B3">
            <w:pPr>
              <w:spacing w:after="120" w:line="240" w:lineRule="auto"/>
              <w:ind w:right="-6"/>
              <w:rPr>
                <w:rFonts w:ascii="Sylfaen" w:hAnsi="Sylfaen"/>
                <w:sz w:val="24"/>
                <w:szCs w:val="24"/>
              </w:rPr>
            </w:pPr>
          </w:p>
        </w:tc>
      </w:tr>
      <w:tr w:rsidR="006F76EB" w:rsidRPr="00834D52" w14:paraId="5E211E69"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9FD6B20" w14:textId="3127F93E"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ՊՄՖ-ին տիրապետողի/</w:t>
            </w:r>
            <w:r w:rsidR="0056496B">
              <w:rPr>
                <w:rFonts w:ascii="Sylfaen" w:hAnsi="Sylfaen"/>
                <w:sz w:val="24"/>
                <w:szCs w:val="24"/>
              </w:rPr>
              <w:t>դիմումատու</w:t>
            </w:r>
            <w:r w:rsidRPr="00834D52">
              <w:rPr>
                <w:rFonts w:ascii="Sylfaen" w:hAnsi="Sylfaen"/>
                <w:sz w:val="24"/>
                <w:szCs w:val="24"/>
              </w:rPr>
              <w:t>ի անվանումը</w:t>
            </w:r>
          </w:p>
        </w:tc>
        <w:tc>
          <w:tcPr>
            <w:tcW w:w="5468" w:type="dxa"/>
            <w:gridSpan w:val="3"/>
            <w:tcBorders>
              <w:top w:val="single" w:sz="4" w:space="0" w:color="000000"/>
              <w:left w:val="single" w:sz="4" w:space="0" w:color="000000"/>
              <w:bottom w:val="single" w:sz="4" w:space="0" w:color="000000"/>
              <w:right w:val="single" w:sz="4" w:space="0" w:color="000000"/>
            </w:tcBorders>
          </w:tcPr>
          <w:p w14:paraId="2A035D5A" w14:textId="77777777" w:rsidR="006F76EB" w:rsidRPr="00834D52" w:rsidRDefault="006F76EB" w:rsidP="004147B3">
            <w:pPr>
              <w:spacing w:after="120" w:line="240" w:lineRule="auto"/>
              <w:ind w:right="-6"/>
              <w:rPr>
                <w:rFonts w:ascii="Sylfaen" w:hAnsi="Sylfaen"/>
                <w:sz w:val="24"/>
                <w:szCs w:val="24"/>
              </w:rPr>
            </w:pPr>
          </w:p>
        </w:tc>
      </w:tr>
      <w:tr w:rsidR="006F76EB" w:rsidRPr="00834D52" w14:paraId="45E82E3C"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7987E62" w14:textId="04B00E01"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սերտիֆիկատի/</w:t>
            </w:r>
            <w:r w:rsidR="0056496B">
              <w:rPr>
                <w:rFonts w:ascii="Sylfaen" w:hAnsi="Sylfaen"/>
                <w:sz w:val="24"/>
                <w:szCs w:val="24"/>
              </w:rPr>
              <w:t>դիմում</w:t>
            </w:r>
            <w:r w:rsidRPr="00834D52">
              <w:rPr>
                <w:rFonts w:ascii="Sylfaen" w:hAnsi="Sylfaen"/>
                <w:sz w:val="24"/>
                <w:szCs w:val="24"/>
              </w:rPr>
              <w:t>ի համարը</w:t>
            </w:r>
          </w:p>
        </w:tc>
        <w:tc>
          <w:tcPr>
            <w:tcW w:w="5468" w:type="dxa"/>
            <w:gridSpan w:val="3"/>
            <w:tcBorders>
              <w:top w:val="single" w:sz="4" w:space="0" w:color="000000"/>
              <w:left w:val="single" w:sz="4" w:space="0" w:color="000000"/>
              <w:bottom w:val="single" w:sz="4" w:space="0" w:color="000000"/>
              <w:right w:val="single" w:sz="4" w:space="0" w:color="000000"/>
            </w:tcBorders>
          </w:tcPr>
          <w:p w14:paraId="70354014" w14:textId="77777777" w:rsidR="006F76EB" w:rsidRPr="00834D52" w:rsidRDefault="006F76EB" w:rsidP="004147B3">
            <w:pPr>
              <w:spacing w:after="120" w:line="240" w:lineRule="auto"/>
              <w:ind w:right="-6"/>
              <w:rPr>
                <w:rFonts w:ascii="Sylfaen" w:hAnsi="Sylfaen"/>
                <w:sz w:val="24"/>
                <w:szCs w:val="24"/>
              </w:rPr>
            </w:pPr>
          </w:p>
        </w:tc>
      </w:tr>
      <w:tr w:rsidR="006F76EB" w:rsidRPr="00834D52" w14:paraId="0CEA943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77428E15" w14:textId="70516BC7" w:rsidR="006F76EB" w:rsidRPr="00834D52" w:rsidRDefault="0056496B" w:rsidP="004147B3">
            <w:pPr>
              <w:spacing w:after="120" w:line="240" w:lineRule="auto"/>
              <w:ind w:left="180" w:right="135"/>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ամսաթիվը (եթե քննարկման փուլում է)</w:t>
            </w:r>
          </w:p>
        </w:tc>
        <w:tc>
          <w:tcPr>
            <w:tcW w:w="5468" w:type="dxa"/>
            <w:gridSpan w:val="3"/>
            <w:tcBorders>
              <w:top w:val="single" w:sz="4" w:space="0" w:color="000000"/>
              <w:left w:val="single" w:sz="4" w:space="0" w:color="000000"/>
              <w:bottom w:val="single" w:sz="4" w:space="0" w:color="000000"/>
              <w:right w:val="single" w:sz="4" w:space="0" w:color="000000"/>
            </w:tcBorders>
          </w:tcPr>
          <w:p w14:paraId="4F51B71C" w14:textId="77777777" w:rsidR="006F76EB" w:rsidRPr="00834D52" w:rsidRDefault="006F76EB" w:rsidP="004147B3">
            <w:pPr>
              <w:spacing w:after="120" w:line="240" w:lineRule="auto"/>
              <w:ind w:right="-6"/>
              <w:rPr>
                <w:rFonts w:ascii="Sylfaen" w:hAnsi="Sylfaen"/>
                <w:sz w:val="24"/>
                <w:szCs w:val="24"/>
              </w:rPr>
            </w:pPr>
          </w:p>
        </w:tc>
      </w:tr>
      <w:tr w:rsidR="006F76EB" w:rsidRPr="00834D52" w14:paraId="002C5A5A"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E443901"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սերտիֆիկատն առկա է)</w:t>
            </w:r>
          </w:p>
        </w:tc>
        <w:tc>
          <w:tcPr>
            <w:tcW w:w="5468" w:type="dxa"/>
            <w:gridSpan w:val="3"/>
            <w:tcBorders>
              <w:top w:val="single" w:sz="4" w:space="0" w:color="000000"/>
              <w:left w:val="single" w:sz="4" w:space="0" w:color="000000"/>
              <w:bottom w:val="single" w:sz="4" w:space="0" w:color="000000"/>
              <w:right w:val="single" w:sz="4" w:space="0" w:color="000000"/>
            </w:tcBorders>
          </w:tcPr>
          <w:p w14:paraId="3A4B91FD" w14:textId="77777777" w:rsidR="006F76EB" w:rsidRPr="00834D52" w:rsidRDefault="006F76EB" w:rsidP="004147B3">
            <w:pPr>
              <w:spacing w:after="120" w:line="240" w:lineRule="auto"/>
              <w:ind w:right="-6"/>
              <w:rPr>
                <w:rFonts w:ascii="Sylfaen" w:hAnsi="Sylfaen"/>
                <w:sz w:val="24"/>
                <w:szCs w:val="24"/>
              </w:rPr>
            </w:pPr>
          </w:p>
        </w:tc>
      </w:tr>
    </w:tbl>
    <w:p w14:paraId="4092CE17"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245F749" w14:textId="77777777" w:rsidTr="00F71229">
        <w:tc>
          <w:tcPr>
            <w:tcW w:w="2268" w:type="dxa"/>
          </w:tcPr>
          <w:p w14:paraId="5AF92651" w14:textId="23D15D6A"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83328" behindDoc="0" locked="0" layoutInCell="1" allowOverlap="1" wp14:anchorId="2032D06F" wp14:editId="2B77890C">
                      <wp:simplePos x="0" y="0"/>
                      <wp:positionH relativeFrom="column">
                        <wp:posOffset>515620</wp:posOffset>
                      </wp:positionH>
                      <wp:positionV relativeFrom="paragraph">
                        <wp:posOffset>38735</wp:posOffset>
                      </wp:positionV>
                      <wp:extent cx="161925" cy="152400"/>
                      <wp:effectExtent l="6985" t="10160" r="12065" b="8890"/>
                      <wp:wrapNone/>
                      <wp:docPr id="14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19CBB" id="Rectangle 213" o:spid="_x0000_s1026" style="position:absolute;margin-left:40.6pt;margin-top:3.05pt;width:12.75pt;height: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233FD11C" w14:textId="3BBFD5B2"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84352" behindDoc="0" locked="0" layoutInCell="1" allowOverlap="1" wp14:anchorId="5872F203" wp14:editId="3C48465B">
                      <wp:simplePos x="0" y="0"/>
                      <wp:positionH relativeFrom="column">
                        <wp:posOffset>192405</wp:posOffset>
                      </wp:positionH>
                      <wp:positionV relativeFrom="paragraph">
                        <wp:posOffset>38735</wp:posOffset>
                      </wp:positionV>
                      <wp:extent cx="161925" cy="152400"/>
                      <wp:effectExtent l="9525" t="10160" r="9525" b="8890"/>
                      <wp:wrapNone/>
                      <wp:docPr id="14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5C22E" id="Rectangle 212" o:spid="_x0000_s1026" style="position:absolute;margin-left:15.15pt;margin-top:3.05pt;width:12.75pt;height:1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312C9CBD"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41175A9" w14:textId="77777777" w:rsidTr="00F71229">
        <w:tc>
          <w:tcPr>
            <w:tcW w:w="2268" w:type="dxa"/>
          </w:tcPr>
          <w:p w14:paraId="1785C3BF" w14:textId="6DAAFBAE"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85376" behindDoc="0" locked="0" layoutInCell="1" allowOverlap="1" wp14:anchorId="4CBB4610" wp14:editId="7216BF04">
                      <wp:simplePos x="0" y="0"/>
                      <wp:positionH relativeFrom="column">
                        <wp:posOffset>515620</wp:posOffset>
                      </wp:positionH>
                      <wp:positionV relativeFrom="paragraph">
                        <wp:posOffset>38735</wp:posOffset>
                      </wp:positionV>
                      <wp:extent cx="161925" cy="152400"/>
                      <wp:effectExtent l="6985" t="11430" r="12065" b="7620"/>
                      <wp:wrapNone/>
                      <wp:docPr id="14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0A85B" id="Rectangle 215" o:spid="_x0000_s1026" style="position:absolute;margin-left:40.6pt;margin-top:3.05pt;width:12.75pt;height:1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01B33C00" w14:textId="72DE6B55"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86400" behindDoc="0" locked="0" layoutInCell="1" allowOverlap="1" wp14:anchorId="477BC002" wp14:editId="22E2D3A7">
                      <wp:simplePos x="0" y="0"/>
                      <wp:positionH relativeFrom="column">
                        <wp:posOffset>192405</wp:posOffset>
                      </wp:positionH>
                      <wp:positionV relativeFrom="paragraph">
                        <wp:posOffset>38735</wp:posOffset>
                      </wp:positionV>
                      <wp:extent cx="161925" cy="152400"/>
                      <wp:effectExtent l="9525" t="11430" r="9525" b="7620"/>
                      <wp:wrapNone/>
                      <wp:docPr id="13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5D4F0" id="Rectangle 214" o:spid="_x0000_s1026" style="position:absolute;margin-left:15.15pt;margin-top:3.05pt;width:12.75pt;height: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3CDBADF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Կատարե՛ք անհրաժեշտ հղում:</w:t>
      </w:r>
    </w:p>
    <w:p w14:paraId="52AC9CFD"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4. Այլ տեղեկություններ</w:t>
      </w:r>
    </w:p>
    <w:p w14:paraId="430F76B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Արդյոք Եվրասիական տնտեսական միության անդամ պետության տարածքում գործող արտոնագրերով պահպանվում են դեղապատրաստուկի նկատմամբ մտավոր սեփականության իրավունքները՝</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2C18D36" w14:textId="77777777" w:rsidTr="00F71229">
        <w:tc>
          <w:tcPr>
            <w:tcW w:w="2268" w:type="dxa"/>
          </w:tcPr>
          <w:p w14:paraId="434A3E65" w14:textId="2453E9EB"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lastRenderedPageBreak/>
              <mc:AlternateContent>
                <mc:Choice Requires="wps">
                  <w:drawing>
                    <wp:anchor distT="0" distB="0" distL="114300" distR="114300" simplePos="0" relativeHeight="251687424" behindDoc="0" locked="0" layoutInCell="1" allowOverlap="1" wp14:anchorId="7181F1A7" wp14:editId="091922AD">
                      <wp:simplePos x="0" y="0"/>
                      <wp:positionH relativeFrom="column">
                        <wp:posOffset>515620</wp:posOffset>
                      </wp:positionH>
                      <wp:positionV relativeFrom="paragraph">
                        <wp:posOffset>38735</wp:posOffset>
                      </wp:positionV>
                      <wp:extent cx="161925" cy="152400"/>
                      <wp:effectExtent l="6985" t="5715" r="12065" b="13335"/>
                      <wp:wrapNone/>
                      <wp:docPr id="138"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4F691" id="Rectangle 217" o:spid="_x0000_s1026" style="position:absolute;margin-left:40.6pt;margin-top:3.05pt;width:12.75pt;height:1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2488275" w14:textId="60982344"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88448" behindDoc="0" locked="0" layoutInCell="1" allowOverlap="1" wp14:anchorId="21208736" wp14:editId="2512E2EB">
                      <wp:simplePos x="0" y="0"/>
                      <wp:positionH relativeFrom="column">
                        <wp:posOffset>192405</wp:posOffset>
                      </wp:positionH>
                      <wp:positionV relativeFrom="paragraph">
                        <wp:posOffset>38735</wp:posOffset>
                      </wp:positionV>
                      <wp:extent cx="161925" cy="152400"/>
                      <wp:effectExtent l="9525" t="5715" r="9525" b="13335"/>
                      <wp:wrapNone/>
                      <wp:docPr id="13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CFDCF" id="Rectangle 216" o:spid="_x0000_s1026" style="position:absolute;margin-left:15.15pt;margin-top:3.05pt;width:12.75pt;height:1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565307C3"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այդ տեղեկատվությունը՝</w:t>
      </w:r>
    </w:p>
    <w:tbl>
      <w:tblPr>
        <w:tblW w:w="9211" w:type="dxa"/>
        <w:tblInd w:w="102" w:type="dxa"/>
        <w:tblLayout w:type="fixed"/>
        <w:tblCellMar>
          <w:left w:w="0" w:type="dxa"/>
          <w:right w:w="0" w:type="dxa"/>
        </w:tblCellMar>
        <w:tblLook w:val="01E0" w:firstRow="1" w:lastRow="1" w:firstColumn="1" w:lastColumn="1" w:noHBand="0" w:noVBand="0"/>
      </w:tblPr>
      <w:tblGrid>
        <w:gridCol w:w="1838"/>
        <w:gridCol w:w="2268"/>
        <w:gridCol w:w="1560"/>
        <w:gridCol w:w="1702"/>
        <w:gridCol w:w="1843"/>
      </w:tblGrid>
      <w:tr w:rsidR="006F76EB" w:rsidRPr="00834D52" w14:paraId="4F94FC70" w14:textId="77777777" w:rsidTr="00F71229">
        <w:tc>
          <w:tcPr>
            <w:tcW w:w="1838" w:type="dxa"/>
            <w:tcBorders>
              <w:top w:val="single" w:sz="4" w:space="0" w:color="000000"/>
              <w:left w:val="single" w:sz="4" w:space="0" w:color="000000"/>
              <w:bottom w:val="single" w:sz="4" w:space="0" w:color="000000"/>
              <w:right w:val="single" w:sz="4" w:space="0" w:color="000000"/>
            </w:tcBorders>
          </w:tcPr>
          <w:p w14:paraId="4A5DB80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68" w:type="dxa"/>
            <w:tcBorders>
              <w:top w:val="single" w:sz="4" w:space="0" w:color="000000"/>
              <w:left w:val="single" w:sz="4" w:space="0" w:color="000000"/>
              <w:bottom w:val="single" w:sz="4" w:space="0" w:color="000000"/>
              <w:right w:val="single" w:sz="4" w:space="0" w:color="000000"/>
            </w:tcBorders>
          </w:tcPr>
          <w:p w14:paraId="086AD75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560" w:type="dxa"/>
            <w:tcBorders>
              <w:top w:val="single" w:sz="4" w:space="0" w:color="000000"/>
              <w:left w:val="single" w:sz="4" w:space="0" w:color="000000"/>
              <w:bottom w:val="single" w:sz="4" w:space="0" w:color="000000"/>
              <w:right w:val="single" w:sz="4" w:space="0" w:color="000000"/>
            </w:tcBorders>
          </w:tcPr>
          <w:p w14:paraId="05D4E24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02" w:type="dxa"/>
            <w:tcBorders>
              <w:top w:val="single" w:sz="4" w:space="0" w:color="000000"/>
              <w:left w:val="single" w:sz="4" w:space="0" w:color="000000"/>
              <w:bottom w:val="single" w:sz="4" w:space="0" w:color="000000"/>
              <w:right w:val="single" w:sz="4" w:space="0" w:color="000000"/>
            </w:tcBorders>
          </w:tcPr>
          <w:p w14:paraId="52FA83C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3" w:type="dxa"/>
            <w:tcBorders>
              <w:top w:val="single" w:sz="4" w:space="0" w:color="000000"/>
              <w:left w:val="single" w:sz="4" w:space="0" w:color="000000"/>
              <w:bottom w:val="single" w:sz="4" w:space="0" w:color="000000"/>
              <w:right w:val="single" w:sz="4" w:space="0" w:color="000000"/>
            </w:tcBorders>
          </w:tcPr>
          <w:p w14:paraId="6F9F5BE3"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Արտոնագրին տիրապետողը</w:t>
            </w:r>
          </w:p>
        </w:tc>
      </w:tr>
      <w:tr w:rsidR="006F76EB" w:rsidRPr="00834D52" w14:paraId="4A7976F8" w14:textId="77777777" w:rsidTr="00F71229">
        <w:tc>
          <w:tcPr>
            <w:tcW w:w="1838" w:type="dxa"/>
            <w:tcBorders>
              <w:top w:val="single" w:sz="4" w:space="0" w:color="000000"/>
              <w:left w:val="single" w:sz="4" w:space="0" w:color="000000"/>
              <w:bottom w:val="single" w:sz="4" w:space="0" w:color="000000"/>
              <w:right w:val="single" w:sz="4" w:space="0" w:color="000000"/>
            </w:tcBorders>
          </w:tcPr>
          <w:p w14:paraId="21A540F6" w14:textId="77777777" w:rsidR="006F76EB" w:rsidRPr="00834D52" w:rsidRDefault="006F76EB" w:rsidP="004947F6">
            <w:pPr>
              <w:spacing w:after="120" w:line="240" w:lineRule="auto"/>
              <w:ind w:right="-6"/>
              <w:rPr>
                <w:rFonts w:ascii="Sylfaen" w:hAnsi="Sylfae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BB9E2E6" w14:textId="77777777" w:rsidR="006F76EB" w:rsidRPr="00834D52" w:rsidRDefault="006F76EB" w:rsidP="004947F6">
            <w:pPr>
              <w:spacing w:after="120" w:line="240" w:lineRule="auto"/>
              <w:ind w:right="-6"/>
              <w:rPr>
                <w:rFonts w:ascii="Sylfaen" w:hAnsi="Sylfae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054280FA" w14:textId="77777777" w:rsidR="006F76EB" w:rsidRPr="00834D52" w:rsidRDefault="006F76EB" w:rsidP="004947F6">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635AAE1E" w14:textId="77777777" w:rsidR="006F76EB" w:rsidRPr="00834D52" w:rsidRDefault="006F76EB" w:rsidP="004947F6">
            <w:pPr>
              <w:spacing w:after="120" w:line="240" w:lineRule="auto"/>
              <w:ind w:right="-6"/>
              <w:rPr>
                <w:rFonts w:ascii="Sylfaen" w:hAnsi="Sylfae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8D690B0" w14:textId="77777777" w:rsidR="006F76EB" w:rsidRPr="00834D52" w:rsidRDefault="006F76EB" w:rsidP="004947F6">
            <w:pPr>
              <w:spacing w:after="120" w:line="240" w:lineRule="auto"/>
              <w:ind w:right="-6"/>
              <w:rPr>
                <w:rFonts w:ascii="Sylfaen" w:hAnsi="Sylfaen"/>
                <w:sz w:val="24"/>
                <w:szCs w:val="24"/>
              </w:rPr>
            </w:pPr>
          </w:p>
        </w:tc>
      </w:tr>
    </w:tbl>
    <w:p w14:paraId="30D5E96D" w14:textId="01F3D633" w:rsidR="006F76EB" w:rsidRPr="00834D52" w:rsidRDefault="006F76EB" w:rsidP="004947F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դեղապատրաստուկների գրանցման համար, որոնք հիմնվում են մտավոր սեփականության օբյեկտների վրա կամ առնչություն ունեն մտավոր սեփականության այն օբյեկտների հետ, որոնց համար, Եվրասիական տնտեսական միության անդամ պետության օրենսդրությանը համապատասխան, տրվել է արտոնագիր, </w:t>
      </w:r>
      <w:r w:rsidR="0056496B">
        <w:rPr>
          <w:rFonts w:ascii="Sylfaen" w:hAnsi="Sylfaen"/>
          <w:sz w:val="24"/>
          <w:szCs w:val="24"/>
        </w:rPr>
        <w:t>դիմումատու</w:t>
      </w:r>
      <w:r w:rsidRPr="00834D52">
        <w:rPr>
          <w:rFonts w:ascii="Sylfaen" w:hAnsi="Sylfaen"/>
          <w:sz w:val="24"/>
          <w:szCs w:val="24"/>
        </w:rPr>
        <w:t xml:space="preserve">ն տրամադրում է իր կողմից վավերացված՝ Եվրասիական տնտեսական միության անդամ պետության տարածքում գործող արտոնագրի կամ լիցենզիոն համաձայնագրի պատճենը, որը տալիս է գրանցված դեղապատրաստուկի արտադրության կամ վաճառքի իրավունք: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արտոնագրով պաշտպանված կամ լիցենզիայով փոխանցված մտավոր սեփականության իրավունքները չեն խախտվում դեղապատրաստուկի գրանցման հետ</w:t>
      </w:r>
      <w:r w:rsidR="00C54D75">
        <w:rPr>
          <w:rFonts w:ascii="Sylfaen" w:hAnsi="Sylfaen"/>
          <w:sz w:val="24"/>
          <w:szCs w:val="24"/>
        </w:rPr>
        <w:t>և</w:t>
      </w:r>
      <w:r w:rsidRPr="00834D52">
        <w:rPr>
          <w:rFonts w:ascii="Sylfaen" w:hAnsi="Sylfaen"/>
          <w:sz w:val="24"/>
          <w:szCs w:val="24"/>
        </w:rPr>
        <w:t>անքով:</w:t>
      </w:r>
    </w:p>
    <w:p w14:paraId="1968D291" w14:textId="77777777" w:rsidR="006F76EB" w:rsidRPr="00834D52" w:rsidRDefault="006F76EB" w:rsidP="004947F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10D0CB8" w14:textId="77777777" w:rsidTr="00F71229">
        <w:tc>
          <w:tcPr>
            <w:tcW w:w="2268" w:type="dxa"/>
          </w:tcPr>
          <w:p w14:paraId="6562C197" w14:textId="25B019BF"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89472" behindDoc="0" locked="0" layoutInCell="1" allowOverlap="1" wp14:anchorId="77EFD9B0" wp14:editId="41639DF8">
                      <wp:simplePos x="0" y="0"/>
                      <wp:positionH relativeFrom="column">
                        <wp:posOffset>515620</wp:posOffset>
                      </wp:positionH>
                      <wp:positionV relativeFrom="paragraph">
                        <wp:posOffset>38735</wp:posOffset>
                      </wp:positionV>
                      <wp:extent cx="161925" cy="152400"/>
                      <wp:effectExtent l="6985" t="9525" r="12065" b="9525"/>
                      <wp:wrapNone/>
                      <wp:docPr id="136"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8D074" id="Rectangle 219" o:spid="_x0000_s1026" style="position:absolute;margin-left:40.6pt;margin-top:3.05pt;width:12.75pt;height: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8A9B18C" w14:textId="41864FA9"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90496" behindDoc="0" locked="0" layoutInCell="1" allowOverlap="1" wp14:anchorId="477F222F" wp14:editId="426BED95">
                      <wp:simplePos x="0" y="0"/>
                      <wp:positionH relativeFrom="column">
                        <wp:posOffset>192405</wp:posOffset>
                      </wp:positionH>
                      <wp:positionV relativeFrom="paragraph">
                        <wp:posOffset>38735</wp:posOffset>
                      </wp:positionV>
                      <wp:extent cx="161925" cy="152400"/>
                      <wp:effectExtent l="9525" t="9525" r="9525" b="9525"/>
                      <wp:wrapNone/>
                      <wp:docPr id="135"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52331" id="Rectangle 218" o:spid="_x0000_s1026" style="position:absolute;margin-left:15.15pt;margin-top:3.05pt;width:12.75pt;height:1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2CADC5E9"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 ապա ներկայացրե՛ք այդ տեղեկատվությունը՝</w:t>
      </w:r>
    </w:p>
    <w:tbl>
      <w:tblPr>
        <w:tblW w:w="9407" w:type="dxa"/>
        <w:tblInd w:w="102" w:type="dxa"/>
        <w:tblLayout w:type="fixed"/>
        <w:tblCellMar>
          <w:left w:w="0" w:type="dxa"/>
          <w:right w:w="0" w:type="dxa"/>
        </w:tblCellMar>
        <w:tblLook w:val="01E0" w:firstRow="1" w:lastRow="1" w:firstColumn="1" w:lastColumn="1" w:noHBand="0" w:noVBand="0"/>
      </w:tblPr>
      <w:tblGrid>
        <w:gridCol w:w="1733"/>
        <w:gridCol w:w="2274"/>
        <w:gridCol w:w="1279"/>
        <w:gridCol w:w="1813"/>
        <w:gridCol w:w="2308"/>
      </w:tblGrid>
      <w:tr w:rsidR="006F76EB" w:rsidRPr="00834D52" w14:paraId="170B7584" w14:textId="77777777" w:rsidTr="004947F6">
        <w:trPr>
          <w:trHeight w:val="1453"/>
        </w:trPr>
        <w:tc>
          <w:tcPr>
            <w:tcW w:w="1733" w:type="dxa"/>
            <w:tcBorders>
              <w:top w:val="single" w:sz="4" w:space="0" w:color="000000"/>
              <w:left w:val="single" w:sz="4" w:space="0" w:color="000000"/>
              <w:bottom w:val="single" w:sz="4" w:space="0" w:color="000000"/>
              <w:right w:val="single" w:sz="4" w:space="0" w:color="000000"/>
            </w:tcBorders>
          </w:tcPr>
          <w:p w14:paraId="218E5809"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Վկայականի համարը</w:t>
            </w:r>
          </w:p>
        </w:tc>
        <w:tc>
          <w:tcPr>
            <w:tcW w:w="2274" w:type="dxa"/>
            <w:tcBorders>
              <w:top w:val="single" w:sz="4" w:space="0" w:color="000000"/>
              <w:left w:val="single" w:sz="4" w:space="0" w:color="000000"/>
              <w:bottom w:val="single" w:sz="4" w:space="0" w:color="000000"/>
              <w:right w:val="single" w:sz="4" w:space="0" w:color="000000"/>
            </w:tcBorders>
          </w:tcPr>
          <w:p w14:paraId="6CD40352"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279" w:type="dxa"/>
            <w:tcBorders>
              <w:top w:val="single" w:sz="4" w:space="0" w:color="000000"/>
              <w:left w:val="single" w:sz="4" w:space="0" w:color="000000"/>
              <w:bottom w:val="single" w:sz="4" w:space="0" w:color="000000"/>
              <w:right w:val="single" w:sz="4" w:space="0" w:color="000000"/>
            </w:tcBorders>
          </w:tcPr>
          <w:p w14:paraId="1C904785"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813" w:type="dxa"/>
            <w:tcBorders>
              <w:top w:val="single" w:sz="4" w:space="0" w:color="000000"/>
              <w:left w:val="single" w:sz="4" w:space="0" w:color="000000"/>
              <w:bottom w:val="single" w:sz="4" w:space="0" w:color="000000"/>
              <w:right w:val="single" w:sz="4" w:space="0" w:color="000000"/>
            </w:tcBorders>
          </w:tcPr>
          <w:p w14:paraId="66146DFD"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2308" w:type="dxa"/>
            <w:tcBorders>
              <w:top w:val="single" w:sz="4" w:space="0" w:color="000000"/>
              <w:left w:val="single" w:sz="4" w:space="0" w:color="000000"/>
              <w:bottom w:val="single" w:sz="4" w:space="0" w:color="000000"/>
              <w:right w:val="single" w:sz="4" w:space="0" w:color="000000"/>
            </w:tcBorders>
          </w:tcPr>
          <w:p w14:paraId="38CC7759"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4A0FD4DB" w14:textId="77777777" w:rsidTr="004947F6">
        <w:trPr>
          <w:trHeight w:val="599"/>
        </w:trPr>
        <w:tc>
          <w:tcPr>
            <w:tcW w:w="1733" w:type="dxa"/>
            <w:tcBorders>
              <w:top w:val="single" w:sz="4" w:space="0" w:color="000000"/>
              <w:left w:val="single" w:sz="4" w:space="0" w:color="000000"/>
              <w:bottom w:val="single" w:sz="4" w:space="0" w:color="000000"/>
              <w:right w:val="single" w:sz="4" w:space="0" w:color="000000"/>
            </w:tcBorders>
          </w:tcPr>
          <w:p w14:paraId="2DA7F6D0" w14:textId="77777777" w:rsidR="006F76EB" w:rsidRPr="00834D52" w:rsidRDefault="006F76EB" w:rsidP="004947F6">
            <w:pPr>
              <w:spacing w:after="120" w:line="240" w:lineRule="auto"/>
              <w:ind w:right="-6"/>
              <w:rPr>
                <w:rFonts w:ascii="Sylfaen" w:hAnsi="Sylfaen"/>
                <w:sz w:val="24"/>
                <w:szCs w:val="24"/>
              </w:rPr>
            </w:pPr>
          </w:p>
        </w:tc>
        <w:tc>
          <w:tcPr>
            <w:tcW w:w="2274" w:type="dxa"/>
            <w:tcBorders>
              <w:top w:val="single" w:sz="4" w:space="0" w:color="000000"/>
              <w:left w:val="single" w:sz="4" w:space="0" w:color="000000"/>
              <w:bottom w:val="single" w:sz="4" w:space="0" w:color="000000"/>
              <w:right w:val="single" w:sz="4" w:space="0" w:color="000000"/>
            </w:tcBorders>
          </w:tcPr>
          <w:p w14:paraId="1FB44356" w14:textId="77777777" w:rsidR="006F76EB" w:rsidRPr="00834D52" w:rsidRDefault="006F76EB" w:rsidP="004947F6">
            <w:pPr>
              <w:spacing w:after="120" w:line="240" w:lineRule="auto"/>
              <w:ind w:right="-6"/>
              <w:rPr>
                <w:rFonts w:ascii="Sylfaen" w:hAnsi="Sylfaen"/>
                <w:sz w:val="24"/>
                <w:szCs w:val="24"/>
              </w:rPr>
            </w:pPr>
          </w:p>
        </w:tc>
        <w:tc>
          <w:tcPr>
            <w:tcW w:w="1279" w:type="dxa"/>
            <w:tcBorders>
              <w:top w:val="single" w:sz="4" w:space="0" w:color="000000"/>
              <w:left w:val="single" w:sz="4" w:space="0" w:color="000000"/>
              <w:bottom w:val="single" w:sz="4" w:space="0" w:color="000000"/>
              <w:right w:val="single" w:sz="4" w:space="0" w:color="000000"/>
            </w:tcBorders>
          </w:tcPr>
          <w:p w14:paraId="6187EF71" w14:textId="77777777" w:rsidR="006F76EB" w:rsidRPr="00834D52" w:rsidRDefault="006F76EB" w:rsidP="004947F6">
            <w:pPr>
              <w:spacing w:after="120" w:line="240" w:lineRule="auto"/>
              <w:ind w:right="-6"/>
              <w:rPr>
                <w:rFonts w:ascii="Sylfaen" w:hAnsi="Sylfaen"/>
                <w:sz w:val="24"/>
                <w:szCs w:val="24"/>
              </w:rPr>
            </w:pPr>
          </w:p>
        </w:tc>
        <w:tc>
          <w:tcPr>
            <w:tcW w:w="1813" w:type="dxa"/>
            <w:tcBorders>
              <w:top w:val="single" w:sz="4" w:space="0" w:color="000000"/>
              <w:left w:val="single" w:sz="4" w:space="0" w:color="000000"/>
              <w:bottom w:val="single" w:sz="4" w:space="0" w:color="000000"/>
              <w:right w:val="single" w:sz="4" w:space="0" w:color="000000"/>
            </w:tcBorders>
          </w:tcPr>
          <w:p w14:paraId="36F99A8B" w14:textId="77777777" w:rsidR="006F76EB" w:rsidRPr="00834D52" w:rsidRDefault="006F76EB" w:rsidP="004947F6">
            <w:pPr>
              <w:spacing w:after="120" w:line="240" w:lineRule="auto"/>
              <w:ind w:right="-6"/>
              <w:rPr>
                <w:rFonts w:ascii="Sylfaen" w:hAnsi="Sylfaen"/>
                <w:sz w:val="24"/>
                <w:szCs w:val="24"/>
              </w:rPr>
            </w:pPr>
          </w:p>
        </w:tc>
        <w:tc>
          <w:tcPr>
            <w:tcW w:w="2308" w:type="dxa"/>
            <w:tcBorders>
              <w:top w:val="single" w:sz="4" w:space="0" w:color="000000"/>
              <w:left w:val="single" w:sz="4" w:space="0" w:color="000000"/>
              <w:bottom w:val="single" w:sz="4" w:space="0" w:color="000000"/>
              <w:right w:val="single" w:sz="4" w:space="0" w:color="000000"/>
            </w:tcBorders>
          </w:tcPr>
          <w:p w14:paraId="20AA8DD4" w14:textId="77777777" w:rsidR="006F76EB" w:rsidRPr="00834D52" w:rsidRDefault="006F76EB" w:rsidP="004947F6">
            <w:pPr>
              <w:spacing w:after="120" w:line="240" w:lineRule="auto"/>
              <w:ind w:right="-6"/>
              <w:rPr>
                <w:rFonts w:ascii="Sylfaen" w:hAnsi="Sylfaen"/>
                <w:sz w:val="24"/>
                <w:szCs w:val="24"/>
              </w:rPr>
            </w:pPr>
          </w:p>
        </w:tc>
      </w:tr>
    </w:tbl>
    <w:p w14:paraId="5C65C367" w14:textId="2D599CE5" w:rsidR="006F76EB" w:rsidRPr="00834D52" w:rsidRDefault="006F76EB" w:rsidP="004947F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Կցել </w:t>
      </w:r>
      <w:r w:rsidR="0056496B">
        <w:rPr>
          <w:rFonts w:ascii="Sylfaen" w:hAnsi="Sylfaen"/>
          <w:sz w:val="24"/>
          <w:szCs w:val="24"/>
        </w:rPr>
        <w:t>դիմումատու</w:t>
      </w:r>
      <w:r w:rsidRPr="00834D52">
        <w:rPr>
          <w:rFonts w:ascii="Sylfaen" w:hAnsi="Sylfaen"/>
          <w:sz w:val="24"/>
          <w:szCs w:val="24"/>
        </w:rPr>
        <w:t xml:space="preserve">ի կողմից վավերացված՝ Եվրասիական տնտեսական միության անդամ պետության տարածքում գործող ապրանքային նշանի գրանցման </w:t>
      </w:r>
      <w:r w:rsidRPr="00834D52">
        <w:rPr>
          <w:rFonts w:ascii="Sylfaen" w:hAnsi="Sylfaen"/>
          <w:sz w:val="24"/>
          <w:szCs w:val="24"/>
        </w:rPr>
        <w:lastRenderedPageBreak/>
        <w:t>վկայականի պատճենը:</w:t>
      </w:r>
    </w:p>
    <w:p w14:paraId="47062B32" w14:textId="68A66B45"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 չէ, ապա կցել </w:t>
      </w:r>
      <w:r w:rsidR="0056496B">
        <w:rPr>
          <w:rFonts w:ascii="Sylfaen" w:hAnsi="Sylfaen"/>
          <w:sz w:val="24"/>
          <w:szCs w:val="24"/>
        </w:rPr>
        <w:t>դիմումատու</w:t>
      </w:r>
      <w:r w:rsidRPr="00834D52">
        <w:rPr>
          <w:rFonts w:ascii="Sylfaen" w:hAnsi="Sylfaen"/>
          <w:sz w:val="24"/>
          <w:szCs w:val="24"/>
        </w:rPr>
        <w:t>ի կողմից վավերացված լիցենզիոն պայմանագրի պատճենը կամ ապրանքային նշանի օգտագործման իրավունքի տր</w:t>
      </w:r>
      <w:r w:rsidR="00037B30">
        <w:rPr>
          <w:rFonts w:ascii="Sylfaen" w:hAnsi="Sylfaen"/>
          <w:sz w:val="24"/>
          <w:szCs w:val="24"/>
        </w:rPr>
        <w:t>ա</w:t>
      </w:r>
      <w:r w:rsidRPr="00834D52">
        <w:rPr>
          <w:rFonts w:ascii="Sylfaen" w:hAnsi="Sylfaen"/>
          <w:sz w:val="24"/>
          <w:szCs w:val="24"/>
        </w:rPr>
        <w:t>մ</w:t>
      </w:r>
      <w:r w:rsidR="00037B30">
        <w:rPr>
          <w:rFonts w:ascii="Sylfaen" w:hAnsi="Sylfaen"/>
          <w:sz w:val="24"/>
          <w:szCs w:val="24"/>
        </w:rPr>
        <w:t>ադրմ</w:t>
      </w:r>
      <w:r w:rsidRPr="00834D52">
        <w:rPr>
          <w:rFonts w:ascii="Sylfaen" w:hAnsi="Sylfaen"/>
          <w:sz w:val="24"/>
          <w:szCs w:val="24"/>
        </w:rPr>
        <w:t>ան</w:t>
      </w:r>
      <w:r w:rsidR="00037B30">
        <w:rPr>
          <w:rFonts w:ascii="Sylfaen" w:hAnsi="Sylfaen"/>
          <w:sz w:val="24"/>
          <w:szCs w:val="24"/>
        </w:rPr>
        <w:t xml:space="preserve"> գրանցման</w:t>
      </w:r>
      <w:r w:rsidRPr="00834D52">
        <w:rPr>
          <w:rFonts w:ascii="Sylfaen" w:hAnsi="Sylfaen"/>
          <w:sz w:val="24"/>
          <w:szCs w:val="24"/>
        </w:rPr>
        <w:t xml:space="preserve"> հաստատումը:</w:t>
      </w:r>
    </w:p>
    <w:p w14:paraId="52B402C4" w14:textId="77777777" w:rsidR="006F76EB" w:rsidRPr="00834D52" w:rsidRDefault="006F76EB" w:rsidP="00B71A73">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Արդյոք դեղապատրաստուկը գրանցված է արտադրողի երկրում՝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44A0674" w14:textId="77777777" w:rsidTr="00F71229">
        <w:tc>
          <w:tcPr>
            <w:tcW w:w="2268" w:type="dxa"/>
          </w:tcPr>
          <w:p w14:paraId="5EDAFEBB" w14:textId="6508DCD4"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91520" behindDoc="0" locked="0" layoutInCell="1" allowOverlap="1" wp14:anchorId="734F389E" wp14:editId="03C2D8EE">
                      <wp:simplePos x="0" y="0"/>
                      <wp:positionH relativeFrom="column">
                        <wp:posOffset>515620</wp:posOffset>
                      </wp:positionH>
                      <wp:positionV relativeFrom="paragraph">
                        <wp:posOffset>38735</wp:posOffset>
                      </wp:positionV>
                      <wp:extent cx="161925" cy="152400"/>
                      <wp:effectExtent l="6985" t="12700" r="12065" b="6350"/>
                      <wp:wrapNone/>
                      <wp:docPr id="13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2D3A3" id="Rectangle 221" o:spid="_x0000_s1026" style="position:absolute;margin-left:40.6pt;margin-top:3.05pt;width:12.75pt;height:1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26B2A7F" w14:textId="419F1A87"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92544" behindDoc="0" locked="0" layoutInCell="1" allowOverlap="1" wp14:anchorId="413BF38B" wp14:editId="46518D1B">
                      <wp:simplePos x="0" y="0"/>
                      <wp:positionH relativeFrom="column">
                        <wp:posOffset>192405</wp:posOffset>
                      </wp:positionH>
                      <wp:positionV relativeFrom="paragraph">
                        <wp:posOffset>38735</wp:posOffset>
                      </wp:positionV>
                      <wp:extent cx="161925" cy="152400"/>
                      <wp:effectExtent l="9525" t="12700" r="9525" b="6350"/>
                      <wp:wrapNone/>
                      <wp:docPr id="133"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D5BAE" id="Rectangle 220" o:spid="_x0000_s1026" style="position:absolute;margin-left:15.15pt;margin-top:3.05pt;width:12.75pt;height:1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16E67273"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E09CC6A" w14:textId="77777777" w:rsidTr="00F71229">
        <w:tc>
          <w:tcPr>
            <w:tcW w:w="2268" w:type="dxa"/>
          </w:tcPr>
          <w:p w14:paraId="21C1653E" w14:textId="22B1B186"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93568" behindDoc="0" locked="0" layoutInCell="1" allowOverlap="1" wp14:anchorId="33FAF5F0" wp14:editId="23E85280">
                      <wp:simplePos x="0" y="0"/>
                      <wp:positionH relativeFrom="column">
                        <wp:posOffset>515620</wp:posOffset>
                      </wp:positionH>
                      <wp:positionV relativeFrom="paragraph">
                        <wp:posOffset>38735</wp:posOffset>
                      </wp:positionV>
                      <wp:extent cx="161925" cy="152400"/>
                      <wp:effectExtent l="6985" t="6350" r="12065" b="12700"/>
                      <wp:wrapNone/>
                      <wp:docPr id="132"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A4914" id="Rectangle 223" o:spid="_x0000_s1026" style="position:absolute;margin-left:40.6pt;margin-top:3.05pt;width:12.75pt;height:1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355CF99" w14:textId="21EF739F"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94592" behindDoc="0" locked="0" layoutInCell="1" allowOverlap="1" wp14:anchorId="3DB9B4E1" wp14:editId="70705EBD">
                      <wp:simplePos x="0" y="0"/>
                      <wp:positionH relativeFrom="column">
                        <wp:posOffset>192405</wp:posOffset>
                      </wp:positionH>
                      <wp:positionV relativeFrom="paragraph">
                        <wp:posOffset>38735</wp:posOffset>
                      </wp:positionV>
                      <wp:extent cx="161925" cy="152400"/>
                      <wp:effectExtent l="9525" t="6350" r="9525" b="12700"/>
                      <wp:wrapNone/>
                      <wp:docPr id="13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E659" id="Rectangle 222" o:spid="_x0000_s1026" style="position:absolute;margin-left:15.15pt;margin-top:3.05pt;width:12.75pt;height:1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38F3E250" w14:textId="77777777" w:rsidR="006F76EB" w:rsidRPr="00834D52" w:rsidRDefault="00AA40D1" w:rsidP="00B71A73">
      <w:pPr>
        <w:tabs>
          <w:tab w:val="left" w:pos="1134"/>
        </w:tabs>
        <w:spacing w:after="160" w:line="336" w:lineRule="auto"/>
        <w:ind w:right="-8" w:firstLine="567"/>
        <w:jc w:val="both"/>
        <w:rPr>
          <w:rFonts w:ascii="Sylfaen" w:eastAsia="Times New Roman" w:hAnsi="Sylfaen" w:cs="Times New Roman"/>
          <w:sz w:val="24"/>
          <w:szCs w:val="24"/>
        </w:rPr>
      </w:pPr>
      <w:r>
        <w:rPr>
          <w:rFonts w:ascii="Sylfaen" w:hAnsi="Sylfaen"/>
          <w:sz w:val="24"/>
          <w:szCs w:val="24"/>
        </w:rPr>
        <w:t>4</w:t>
      </w:r>
      <w:r w:rsidR="006F76EB" w:rsidRPr="00834D52">
        <w:rPr>
          <w:rFonts w:ascii="Sylfaen" w:hAnsi="Sylfaen"/>
          <w:sz w:val="24"/>
          <w:szCs w:val="24"/>
        </w:rPr>
        <w:t>.4.</w:t>
      </w:r>
      <w:r w:rsidR="006F76EB" w:rsidRPr="00834D52">
        <w:rPr>
          <w:rFonts w:ascii="Sylfaen" w:hAnsi="Sylfaen"/>
          <w:sz w:val="24"/>
          <w:szCs w:val="24"/>
        </w:rPr>
        <w:tab/>
        <w:t>Արդյոք Եվրասիական տնտեսական միության անդամ պետություններում անցկացվել է տվյալ դեղապատրաստուկի առնչությամբ նախնական գիտական խորհրդատվություն ՝</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27F6A875" w14:textId="77777777" w:rsidTr="00F71229">
        <w:tc>
          <w:tcPr>
            <w:tcW w:w="2268" w:type="dxa"/>
          </w:tcPr>
          <w:p w14:paraId="7F3DEECD" w14:textId="02C726D7"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95616" behindDoc="0" locked="0" layoutInCell="1" allowOverlap="1" wp14:anchorId="185CFA86" wp14:editId="02409600">
                      <wp:simplePos x="0" y="0"/>
                      <wp:positionH relativeFrom="column">
                        <wp:posOffset>515620</wp:posOffset>
                      </wp:positionH>
                      <wp:positionV relativeFrom="paragraph">
                        <wp:posOffset>38735</wp:posOffset>
                      </wp:positionV>
                      <wp:extent cx="161925" cy="152400"/>
                      <wp:effectExtent l="6985" t="8890" r="12065" b="10160"/>
                      <wp:wrapNone/>
                      <wp:docPr id="130"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D4624" id="Rectangle 225" o:spid="_x0000_s1026" style="position:absolute;margin-left:40.6pt;margin-top:3.05pt;width:12.75pt;height:1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05FF2337" w14:textId="5C4278DD"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96640" behindDoc="0" locked="0" layoutInCell="1" allowOverlap="1" wp14:anchorId="4203B7E7" wp14:editId="2D7AD4CD">
                      <wp:simplePos x="0" y="0"/>
                      <wp:positionH relativeFrom="column">
                        <wp:posOffset>192405</wp:posOffset>
                      </wp:positionH>
                      <wp:positionV relativeFrom="paragraph">
                        <wp:posOffset>38735</wp:posOffset>
                      </wp:positionV>
                      <wp:extent cx="161925" cy="152400"/>
                      <wp:effectExtent l="9525" t="8890" r="9525" b="10160"/>
                      <wp:wrapNone/>
                      <wp:docPr id="129"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11080" id="Rectangle 224" o:spid="_x0000_s1026" style="position:absolute;margin-left:15.15pt;margin-top:3.05pt;width:12.75pt;height:1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3CA9622D"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0" w:type="auto"/>
        <w:tblInd w:w="109" w:type="dxa"/>
        <w:tblLayout w:type="fixed"/>
        <w:tblCellMar>
          <w:left w:w="0" w:type="dxa"/>
          <w:right w:w="0" w:type="dxa"/>
        </w:tblCellMar>
        <w:tblLook w:val="01E0" w:firstRow="1" w:lastRow="1" w:firstColumn="1" w:lastColumn="1" w:noHBand="0" w:noVBand="0"/>
      </w:tblPr>
      <w:tblGrid>
        <w:gridCol w:w="4142"/>
        <w:gridCol w:w="5467"/>
      </w:tblGrid>
      <w:tr w:rsidR="006F76EB" w:rsidRPr="00834D52" w14:paraId="3F9AE938"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492831BD"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պետությունը</w:t>
            </w:r>
          </w:p>
        </w:tc>
        <w:tc>
          <w:tcPr>
            <w:tcW w:w="5467" w:type="dxa"/>
            <w:tcBorders>
              <w:top w:val="single" w:sz="4" w:space="0" w:color="000000"/>
              <w:left w:val="single" w:sz="4" w:space="0" w:color="000000"/>
              <w:bottom w:val="single" w:sz="4" w:space="0" w:color="000000"/>
              <w:right w:val="single" w:sz="4" w:space="0" w:color="000000"/>
            </w:tcBorders>
          </w:tcPr>
          <w:p w14:paraId="2608EDE3" w14:textId="77777777" w:rsidR="006F76EB" w:rsidRPr="00834D52" w:rsidRDefault="006F76EB" w:rsidP="00B71A73">
            <w:pPr>
              <w:spacing w:after="120" w:line="240" w:lineRule="auto"/>
              <w:ind w:right="-6"/>
              <w:rPr>
                <w:rFonts w:ascii="Sylfaen" w:hAnsi="Sylfaen"/>
                <w:sz w:val="24"/>
                <w:szCs w:val="24"/>
              </w:rPr>
            </w:pPr>
          </w:p>
        </w:tc>
      </w:tr>
      <w:tr w:rsidR="006F76EB" w:rsidRPr="00834D52" w14:paraId="36A81A01"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4F1D552"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467" w:type="dxa"/>
            <w:tcBorders>
              <w:top w:val="single" w:sz="4" w:space="0" w:color="000000"/>
              <w:left w:val="single" w:sz="4" w:space="0" w:color="000000"/>
              <w:bottom w:val="single" w:sz="4" w:space="0" w:color="000000"/>
              <w:right w:val="single" w:sz="4" w:space="0" w:color="000000"/>
            </w:tcBorders>
          </w:tcPr>
          <w:p w14:paraId="3C918BAC" w14:textId="77777777" w:rsidR="006F76EB" w:rsidRPr="00834D52" w:rsidRDefault="006F76EB" w:rsidP="00B71A73">
            <w:pPr>
              <w:spacing w:after="120" w:line="240" w:lineRule="auto"/>
              <w:ind w:right="-6"/>
              <w:rPr>
                <w:rFonts w:ascii="Sylfaen" w:hAnsi="Sylfaen"/>
                <w:sz w:val="24"/>
                <w:szCs w:val="24"/>
              </w:rPr>
            </w:pPr>
          </w:p>
        </w:tc>
      </w:tr>
      <w:tr w:rsidR="006F76EB" w:rsidRPr="00834D52" w14:paraId="0B2D71D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69FA6E01"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դոսյեի կազմում եզրակացության առկայության մասին նշում</w:t>
            </w:r>
          </w:p>
        </w:tc>
        <w:tc>
          <w:tcPr>
            <w:tcW w:w="5467" w:type="dxa"/>
            <w:tcBorders>
              <w:top w:val="single" w:sz="4" w:space="0" w:color="000000"/>
              <w:left w:val="single" w:sz="4" w:space="0" w:color="000000"/>
              <w:bottom w:val="single" w:sz="4" w:space="0" w:color="000000"/>
              <w:right w:val="single" w:sz="4" w:space="0" w:color="000000"/>
            </w:tcBorders>
          </w:tcPr>
          <w:p w14:paraId="475B0DCE" w14:textId="77777777" w:rsidR="006F76EB" w:rsidRPr="00834D52" w:rsidRDefault="006F76EB" w:rsidP="00B71A73">
            <w:pPr>
              <w:spacing w:after="120" w:line="240" w:lineRule="auto"/>
              <w:ind w:right="-6"/>
              <w:rPr>
                <w:rFonts w:ascii="Sylfaen" w:hAnsi="Sylfaen"/>
                <w:sz w:val="24"/>
                <w:szCs w:val="24"/>
              </w:rPr>
            </w:pPr>
          </w:p>
        </w:tc>
      </w:tr>
    </w:tbl>
    <w:p w14:paraId="69748B4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Դեղամիջոցների փորձագիտական կոմիտեում</w:t>
      </w:r>
      <w:r w:rsidRPr="00834D52" w:rsidDel="00D67DB4">
        <w:rPr>
          <w:rFonts w:ascii="Sylfaen" w:hAnsi="Sylfaen"/>
          <w:sz w:val="24"/>
          <w:szCs w:val="24"/>
        </w:rPr>
        <w:t xml:space="preserve"> </w:t>
      </w:r>
      <w:r w:rsidRPr="00834D52">
        <w:rPr>
          <w:rFonts w:ascii="Sylfaen" w:hAnsi="Sylfaen"/>
          <w:sz w:val="24"/>
          <w:szCs w:val="24"/>
        </w:rPr>
        <w:t>անցկացվել է տվյալ դեղապատրաստուկի առնչությամբ նախնական գիտական խորհրդատվություն՝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A8C66AC" w14:textId="77777777" w:rsidTr="00F71229">
        <w:tc>
          <w:tcPr>
            <w:tcW w:w="2268" w:type="dxa"/>
          </w:tcPr>
          <w:p w14:paraId="370F5A7D" w14:textId="38B28BFE"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97664" behindDoc="0" locked="0" layoutInCell="1" allowOverlap="1" wp14:anchorId="23B2EEDD" wp14:editId="3B835722">
                      <wp:simplePos x="0" y="0"/>
                      <wp:positionH relativeFrom="column">
                        <wp:posOffset>515620</wp:posOffset>
                      </wp:positionH>
                      <wp:positionV relativeFrom="paragraph">
                        <wp:posOffset>38735</wp:posOffset>
                      </wp:positionV>
                      <wp:extent cx="161925" cy="152400"/>
                      <wp:effectExtent l="6985" t="12065" r="12065" b="6985"/>
                      <wp:wrapNone/>
                      <wp:docPr id="12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82CBB" id="Rectangle 227" o:spid="_x0000_s1026" style="position:absolute;margin-left:40.6pt;margin-top:3.05pt;width:12.75pt;height:1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630F3C62" w14:textId="524DD2E3"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98688" behindDoc="0" locked="0" layoutInCell="1" allowOverlap="1" wp14:anchorId="228254E0" wp14:editId="3E4759D3">
                      <wp:simplePos x="0" y="0"/>
                      <wp:positionH relativeFrom="column">
                        <wp:posOffset>192405</wp:posOffset>
                      </wp:positionH>
                      <wp:positionV relativeFrom="paragraph">
                        <wp:posOffset>38735</wp:posOffset>
                      </wp:positionV>
                      <wp:extent cx="161925" cy="152400"/>
                      <wp:effectExtent l="9525" t="12065" r="9525" b="6985"/>
                      <wp:wrapNone/>
                      <wp:docPr id="12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72C8D" id="Rectangle 226" o:spid="_x0000_s1026" style="position:absolute;margin-left:15.15pt;margin-top:3.05pt;width:12.75pt;height:1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574BC3F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676" w:type="dxa"/>
        <w:tblInd w:w="109" w:type="dxa"/>
        <w:tblLayout w:type="fixed"/>
        <w:tblCellMar>
          <w:left w:w="0" w:type="dxa"/>
          <w:right w:w="0" w:type="dxa"/>
        </w:tblCellMar>
        <w:tblLook w:val="01E0" w:firstRow="1" w:lastRow="1" w:firstColumn="1" w:lastColumn="1" w:noHBand="0" w:noVBand="0"/>
      </w:tblPr>
      <w:tblGrid>
        <w:gridCol w:w="4171"/>
        <w:gridCol w:w="5505"/>
      </w:tblGrid>
      <w:tr w:rsidR="006F76EB" w:rsidRPr="00834D52" w14:paraId="766805D1" w14:textId="77777777" w:rsidTr="00AF3B62">
        <w:trPr>
          <w:trHeight w:val="604"/>
        </w:trPr>
        <w:tc>
          <w:tcPr>
            <w:tcW w:w="4171" w:type="dxa"/>
            <w:tcBorders>
              <w:top w:val="single" w:sz="4" w:space="0" w:color="000000"/>
              <w:left w:val="single" w:sz="4" w:space="0" w:color="000000"/>
              <w:bottom w:val="single" w:sz="4" w:space="0" w:color="000000"/>
              <w:right w:val="single" w:sz="4" w:space="0" w:color="000000"/>
            </w:tcBorders>
          </w:tcPr>
          <w:p w14:paraId="10AA3274" w14:textId="77777777" w:rsidR="006F76EB" w:rsidRPr="00834D52" w:rsidRDefault="006F76EB" w:rsidP="00AF3B6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505" w:type="dxa"/>
            <w:tcBorders>
              <w:top w:val="single" w:sz="4" w:space="0" w:color="000000"/>
              <w:left w:val="single" w:sz="4" w:space="0" w:color="000000"/>
              <w:bottom w:val="single" w:sz="4" w:space="0" w:color="000000"/>
              <w:right w:val="single" w:sz="4" w:space="0" w:color="000000"/>
            </w:tcBorders>
          </w:tcPr>
          <w:p w14:paraId="6C5E3D71" w14:textId="77777777" w:rsidR="006F76EB" w:rsidRPr="00834D52" w:rsidRDefault="006F76EB" w:rsidP="00AF3B62">
            <w:pPr>
              <w:spacing w:after="120" w:line="240" w:lineRule="auto"/>
              <w:ind w:right="-6"/>
              <w:rPr>
                <w:rFonts w:ascii="Sylfaen" w:hAnsi="Sylfaen"/>
                <w:sz w:val="24"/>
                <w:szCs w:val="24"/>
              </w:rPr>
            </w:pPr>
          </w:p>
        </w:tc>
      </w:tr>
      <w:tr w:rsidR="006F76EB" w:rsidRPr="00834D52" w14:paraId="45AFB4C0" w14:textId="77777777" w:rsidTr="00AF3B62">
        <w:trPr>
          <w:trHeight w:val="1045"/>
        </w:trPr>
        <w:tc>
          <w:tcPr>
            <w:tcW w:w="4171" w:type="dxa"/>
            <w:tcBorders>
              <w:top w:val="single" w:sz="4" w:space="0" w:color="000000"/>
              <w:left w:val="single" w:sz="4" w:space="0" w:color="000000"/>
              <w:bottom w:val="single" w:sz="4" w:space="0" w:color="000000"/>
              <w:right w:val="single" w:sz="4" w:space="0" w:color="000000"/>
            </w:tcBorders>
          </w:tcPr>
          <w:p w14:paraId="0FB4272D" w14:textId="77777777" w:rsidR="006F76EB" w:rsidRPr="00834D52" w:rsidRDefault="006F76EB" w:rsidP="00AF3B6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դոսյեի կազմում եզրակացության առկայության մասին նշում</w:t>
            </w:r>
          </w:p>
        </w:tc>
        <w:tc>
          <w:tcPr>
            <w:tcW w:w="5505" w:type="dxa"/>
            <w:tcBorders>
              <w:top w:val="single" w:sz="4" w:space="0" w:color="000000"/>
              <w:left w:val="single" w:sz="4" w:space="0" w:color="000000"/>
              <w:bottom w:val="single" w:sz="4" w:space="0" w:color="000000"/>
              <w:right w:val="single" w:sz="4" w:space="0" w:color="000000"/>
            </w:tcBorders>
          </w:tcPr>
          <w:p w14:paraId="0D4FB3C1" w14:textId="77777777" w:rsidR="006F76EB" w:rsidRPr="00834D52" w:rsidRDefault="006F76EB" w:rsidP="00AF3B62">
            <w:pPr>
              <w:spacing w:after="120" w:line="240" w:lineRule="auto"/>
              <w:ind w:right="-6"/>
              <w:rPr>
                <w:rFonts w:ascii="Sylfaen" w:hAnsi="Sylfaen"/>
                <w:sz w:val="24"/>
                <w:szCs w:val="24"/>
              </w:rPr>
            </w:pPr>
          </w:p>
        </w:tc>
      </w:tr>
    </w:tbl>
    <w:p w14:paraId="00B60817" w14:textId="77777777" w:rsidR="006F76EB" w:rsidRPr="00834D52" w:rsidRDefault="006F76EB" w:rsidP="00AF3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w:t>
      </w:r>
      <w:r w:rsidRPr="00834D52">
        <w:rPr>
          <w:rFonts w:ascii="Sylfaen" w:hAnsi="Sylfaen"/>
          <w:sz w:val="24"/>
          <w:szCs w:val="24"/>
        </w:rPr>
        <w:lastRenderedPageBreak/>
        <w:t xml:space="preserve">հավաստագրի մերժումների, հետկանչերի </w:t>
      </w:r>
      <w:r w:rsidR="00C54D75">
        <w:rPr>
          <w:rFonts w:ascii="Sylfaen" w:hAnsi="Sylfaen"/>
          <w:sz w:val="24"/>
          <w:szCs w:val="24"/>
        </w:rPr>
        <w:t>և</w:t>
      </w:r>
      <w:r w:rsidRPr="00834D52">
        <w:rPr>
          <w:rFonts w:ascii="Sylfaen" w:hAnsi="Sylfaen"/>
          <w:sz w:val="24"/>
          <w:szCs w:val="24"/>
        </w:rPr>
        <w:t xml:space="preserve"> գործողությունը դադարեցնելու մասին տեղեկատվություն:</w:t>
      </w:r>
    </w:p>
    <w:p w14:paraId="626101C4"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529" w:type="dxa"/>
        <w:tblInd w:w="222" w:type="dxa"/>
        <w:tblLayout w:type="fixed"/>
        <w:tblCellMar>
          <w:left w:w="0" w:type="dxa"/>
          <w:right w:w="0" w:type="dxa"/>
        </w:tblCellMar>
        <w:tblLook w:val="01E0" w:firstRow="1" w:lastRow="1" w:firstColumn="1" w:lastColumn="1" w:noHBand="0" w:noVBand="0"/>
      </w:tblPr>
      <w:tblGrid>
        <w:gridCol w:w="2582"/>
        <w:gridCol w:w="1558"/>
        <w:gridCol w:w="1702"/>
        <w:gridCol w:w="1702"/>
        <w:gridCol w:w="1985"/>
      </w:tblGrid>
      <w:tr w:rsidR="006F76EB" w:rsidRPr="00834D52" w14:paraId="1C4750A3" w14:textId="77777777" w:rsidTr="00AF3B62">
        <w:trPr>
          <w:trHeight w:val="1000"/>
        </w:trPr>
        <w:tc>
          <w:tcPr>
            <w:tcW w:w="2582" w:type="dxa"/>
            <w:tcBorders>
              <w:top w:val="single" w:sz="4" w:space="0" w:color="000000"/>
              <w:left w:val="single" w:sz="4" w:space="0" w:color="000000"/>
              <w:bottom w:val="single" w:sz="4" w:space="0" w:color="000000"/>
              <w:right w:val="single" w:sz="4" w:space="0" w:color="000000"/>
            </w:tcBorders>
          </w:tcPr>
          <w:p w14:paraId="3E8DAAE0"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558" w:type="dxa"/>
            <w:tcBorders>
              <w:top w:val="single" w:sz="4" w:space="0" w:color="000000"/>
              <w:left w:val="single" w:sz="4" w:space="0" w:color="000000"/>
              <w:bottom w:val="single" w:sz="4" w:space="0" w:color="000000"/>
              <w:right w:val="single" w:sz="4" w:space="0" w:color="000000"/>
            </w:tcBorders>
          </w:tcPr>
          <w:p w14:paraId="5BE11D2E"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Պատճառը</w:t>
            </w:r>
          </w:p>
        </w:tc>
        <w:tc>
          <w:tcPr>
            <w:tcW w:w="1702" w:type="dxa"/>
            <w:tcBorders>
              <w:top w:val="single" w:sz="4" w:space="0" w:color="000000"/>
              <w:left w:val="single" w:sz="4" w:space="0" w:color="000000"/>
              <w:bottom w:val="single" w:sz="4" w:space="0" w:color="000000"/>
              <w:right w:val="single" w:sz="4" w:space="0" w:color="000000"/>
            </w:tcBorders>
          </w:tcPr>
          <w:p w14:paraId="66294453"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Երկիրը</w:t>
            </w:r>
          </w:p>
        </w:tc>
        <w:tc>
          <w:tcPr>
            <w:tcW w:w="1702" w:type="dxa"/>
            <w:tcBorders>
              <w:top w:val="single" w:sz="4" w:space="0" w:color="000000"/>
              <w:left w:val="single" w:sz="4" w:space="0" w:color="000000"/>
              <w:bottom w:val="single" w:sz="4" w:space="0" w:color="000000"/>
              <w:right w:val="single" w:sz="4" w:space="0" w:color="000000"/>
            </w:tcBorders>
          </w:tcPr>
          <w:p w14:paraId="582F2374"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Ժամկետը</w:t>
            </w:r>
          </w:p>
        </w:tc>
        <w:tc>
          <w:tcPr>
            <w:tcW w:w="1985" w:type="dxa"/>
            <w:tcBorders>
              <w:top w:val="single" w:sz="4" w:space="0" w:color="000000"/>
              <w:left w:val="single" w:sz="4" w:space="0" w:color="000000"/>
              <w:bottom w:val="single" w:sz="4" w:space="0" w:color="000000"/>
              <w:right w:val="single" w:sz="4" w:space="0" w:color="000000"/>
            </w:tcBorders>
          </w:tcPr>
          <w:p w14:paraId="23700A49"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31F1F449" w14:textId="77777777" w:rsidTr="00AF3B62">
        <w:trPr>
          <w:trHeight w:val="590"/>
        </w:trPr>
        <w:tc>
          <w:tcPr>
            <w:tcW w:w="2582" w:type="dxa"/>
            <w:tcBorders>
              <w:top w:val="single" w:sz="4" w:space="0" w:color="000000"/>
              <w:left w:val="single" w:sz="4" w:space="0" w:color="000000"/>
              <w:bottom w:val="single" w:sz="4" w:space="0" w:color="000000"/>
              <w:right w:val="single" w:sz="4" w:space="0" w:color="000000"/>
            </w:tcBorders>
          </w:tcPr>
          <w:p w14:paraId="76ED46F1" w14:textId="77777777" w:rsidR="006F76EB" w:rsidRPr="00834D52" w:rsidRDefault="006F76EB" w:rsidP="00AF3B62">
            <w:pPr>
              <w:spacing w:after="120" w:line="240" w:lineRule="auto"/>
              <w:ind w:right="-6"/>
              <w:rPr>
                <w:rFonts w:ascii="Sylfaen" w:hAnsi="Sylfaen"/>
                <w:sz w:val="24"/>
                <w:szCs w:val="24"/>
              </w:rPr>
            </w:pPr>
          </w:p>
        </w:tc>
        <w:tc>
          <w:tcPr>
            <w:tcW w:w="1558" w:type="dxa"/>
            <w:tcBorders>
              <w:top w:val="single" w:sz="4" w:space="0" w:color="000000"/>
              <w:left w:val="single" w:sz="4" w:space="0" w:color="000000"/>
              <w:bottom w:val="single" w:sz="4" w:space="0" w:color="000000"/>
              <w:right w:val="single" w:sz="4" w:space="0" w:color="000000"/>
            </w:tcBorders>
          </w:tcPr>
          <w:p w14:paraId="07C78191"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0BC24E74"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38486326" w14:textId="77777777" w:rsidR="006F76EB" w:rsidRPr="00834D52" w:rsidRDefault="006F76EB" w:rsidP="00AF3B62">
            <w:pPr>
              <w:spacing w:after="120" w:line="240" w:lineRule="auto"/>
              <w:ind w:right="-6"/>
              <w:rPr>
                <w:rFonts w:ascii="Sylfaen" w:hAnsi="Sylfae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4C108CAF" w14:textId="77777777" w:rsidR="006F76EB" w:rsidRPr="00834D52" w:rsidRDefault="006F76EB" w:rsidP="00AF3B62">
            <w:pPr>
              <w:spacing w:after="120" w:line="240" w:lineRule="auto"/>
              <w:ind w:right="-6"/>
              <w:rPr>
                <w:rFonts w:ascii="Sylfaen" w:hAnsi="Sylfaen"/>
                <w:sz w:val="24"/>
                <w:szCs w:val="24"/>
              </w:rPr>
            </w:pPr>
          </w:p>
        </w:tc>
      </w:tr>
      <w:tr w:rsidR="006F76EB" w:rsidRPr="00834D52" w14:paraId="395053B6" w14:textId="77777777" w:rsidTr="00AF3B62">
        <w:trPr>
          <w:trHeight w:val="590"/>
        </w:trPr>
        <w:tc>
          <w:tcPr>
            <w:tcW w:w="2582" w:type="dxa"/>
            <w:tcBorders>
              <w:top w:val="single" w:sz="4" w:space="0" w:color="000000"/>
              <w:left w:val="single" w:sz="4" w:space="0" w:color="000000"/>
              <w:bottom w:val="single" w:sz="4" w:space="0" w:color="000000"/>
              <w:right w:val="single" w:sz="4" w:space="0" w:color="000000"/>
            </w:tcBorders>
          </w:tcPr>
          <w:p w14:paraId="2A355EC6" w14:textId="77777777" w:rsidR="006F76EB" w:rsidRPr="00834D52" w:rsidRDefault="006F76EB" w:rsidP="00AF3B62">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1558" w:type="dxa"/>
            <w:tcBorders>
              <w:top w:val="single" w:sz="4" w:space="0" w:color="000000"/>
              <w:left w:val="single" w:sz="4" w:space="0" w:color="000000"/>
              <w:bottom w:val="single" w:sz="4" w:space="0" w:color="000000"/>
              <w:right w:val="single" w:sz="4" w:space="0" w:color="000000"/>
            </w:tcBorders>
          </w:tcPr>
          <w:p w14:paraId="5C81ABFE"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75B015D9"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7F431938" w14:textId="77777777" w:rsidR="006F76EB" w:rsidRPr="00834D52" w:rsidRDefault="006F76EB" w:rsidP="00AF3B62">
            <w:pPr>
              <w:spacing w:after="120" w:line="240" w:lineRule="auto"/>
              <w:ind w:right="-6"/>
              <w:rPr>
                <w:rFonts w:ascii="Sylfaen" w:hAnsi="Sylfae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4C2B6F0E" w14:textId="77777777" w:rsidR="006F76EB" w:rsidRPr="00834D52" w:rsidRDefault="006F76EB" w:rsidP="00AF3B62">
            <w:pPr>
              <w:spacing w:after="120" w:line="240" w:lineRule="auto"/>
              <w:ind w:right="-6"/>
              <w:rPr>
                <w:rFonts w:ascii="Sylfaen" w:hAnsi="Sylfaen"/>
                <w:sz w:val="24"/>
                <w:szCs w:val="24"/>
              </w:rPr>
            </w:pPr>
          </w:p>
        </w:tc>
      </w:tr>
    </w:tbl>
    <w:p w14:paraId="59A84EF9" w14:textId="77777777" w:rsidR="006F76EB" w:rsidRPr="00834D52" w:rsidRDefault="006F76EB" w:rsidP="006F76EB">
      <w:pPr>
        <w:spacing w:after="160" w:line="336" w:lineRule="auto"/>
        <w:ind w:right="-8"/>
        <w:jc w:val="center"/>
        <w:rPr>
          <w:rFonts w:ascii="Sylfaen" w:hAnsi="Sylfaen"/>
          <w:sz w:val="24"/>
          <w:szCs w:val="24"/>
          <w:lang w:val="en-US"/>
        </w:rPr>
      </w:pPr>
    </w:p>
    <w:p w14:paraId="28EA88D7" w14:textId="58116640" w:rsidR="006F76EB" w:rsidRDefault="006F76EB" w:rsidP="006F76EB">
      <w:pPr>
        <w:spacing w:after="160" w:line="336" w:lineRule="auto"/>
        <w:ind w:right="-6"/>
        <w:jc w:val="center"/>
        <w:rPr>
          <w:rFonts w:ascii="Sylfaen" w:hAnsi="Sylfaen"/>
          <w:sz w:val="24"/>
          <w:szCs w:val="24"/>
        </w:rPr>
      </w:pPr>
      <w:r w:rsidRPr="00834D52">
        <w:rPr>
          <w:rFonts w:ascii="Sylfaen" w:hAnsi="Sylfaen"/>
          <w:sz w:val="24"/>
          <w:szCs w:val="24"/>
        </w:rPr>
        <w:t xml:space="preserve">5. </w:t>
      </w:r>
      <w:r w:rsidR="0056496B">
        <w:rPr>
          <w:rFonts w:ascii="Sylfaen" w:hAnsi="Sylfaen"/>
          <w:sz w:val="24"/>
          <w:szCs w:val="24"/>
        </w:rPr>
        <w:t>Դիմում</w:t>
      </w:r>
      <w:r w:rsidRPr="00834D52">
        <w:rPr>
          <w:rFonts w:ascii="Sylfaen" w:hAnsi="Sylfaen"/>
          <w:sz w:val="24"/>
          <w:szCs w:val="24"/>
        </w:rPr>
        <w:t>ի հավելվածները</w:t>
      </w:r>
      <w:r w:rsidR="00357DEB">
        <w:rPr>
          <w:rFonts w:ascii="Sylfaen" w:hAnsi="Sylfaen"/>
          <w:sz w:val="24"/>
          <w:szCs w:val="24"/>
        </w:rPr>
        <w:t xml:space="preserve"> </w:t>
      </w:r>
      <w:r w:rsidR="00357DEB" w:rsidRPr="00357DEB">
        <w:rPr>
          <w:rFonts w:ascii="Sylfaen" w:hAnsi="Sylfaen"/>
          <w:sz w:val="24"/>
          <w:szCs w:val="24"/>
        </w:rPr>
        <w:t>ներկայացվում են թղթային կրիչով կամ էլեկտրոնային ստորագրությամբ ստորագրված (վավերացված)՝ էլեկտրոնային փաստաթղթերի տեսքով</w:t>
      </w:r>
    </w:p>
    <w:p w14:paraId="43A13DA6" w14:textId="26789DB4" w:rsidR="00357DEB" w:rsidRPr="00371618" w:rsidRDefault="00357DEB" w:rsidP="00357DEB">
      <w:pPr>
        <w:jc w:val="center"/>
        <w:rPr>
          <w:b/>
          <w:bCs/>
          <w:i/>
          <w:iCs/>
        </w:rPr>
      </w:pPr>
      <w:r w:rsidRPr="00371618">
        <w:rPr>
          <w:b/>
          <w:bCs/>
          <w:i/>
          <w:iCs/>
        </w:rPr>
        <w:t>(</w:t>
      </w:r>
      <w:r>
        <w:rPr>
          <w:b/>
          <w:bCs/>
          <w:i/>
          <w:iCs/>
        </w:rPr>
        <w:t>վերնագիրը լրաց.</w:t>
      </w:r>
      <w:r w:rsidRPr="00371618">
        <w:rPr>
          <w:b/>
          <w:bCs/>
          <w:i/>
          <w:iCs/>
        </w:rPr>
        <w:t xml:space="preserve"> 17.03.22 թիվ 36)</w:t>
      </w:r>
    </w:p>
    <w:p w14:paraId="2E8C847C" w14:textId="77777777" w:rsidR="00357DEB" w:rsidRPr="00834D52" w:rsidRDefault="00357DEB" w:rsidP="006F76EB">
      <w:pPr>
        <w:spacing w:after="160" w:line="336" w:lineRule="auto"/>
        <w:ind w:right="-6"/>
        <w:jc w:val="center"/>
        <w:rPr>
          <w:rFonts w:ascii="Sylfaen" w:eastAsia="Times New Roman" w:hAnsi="Sylfaen" w:cs="Times New Roman"/>
          <w:sz w:val="24"/>
          <w:szCs w:val="24"/>
        </w:rPr>
      </w:pPr>
    </w:p>
    <w:p w14:paraId="4890668A" w14:textId="42CC2D4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իրավաբանական նշանակություն ունեցող գործողություններ կատարելու լիազորագիրը (եթե կիրառելի է):</w:t>
      </w:r>
    </w:p>
    <w:p w14:paraId="66BA8C14" w14:textId="7777777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Դեղապատրաստուկի հազվադեպ կիրառվող («որբ») կարգավիճակը հաստատող փաստաթղթի պատճենը:</w:t>
      </w:r>
    </w:p>
    <w:p w14:paraId="1D9CD434" w14:textId="7777777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Գրանցվող դեղապատրաստուկի առնչությամբ Եվրասիական տնտեսական միության անդամ պետությունների տարածքում գործող արտոնագրերի պատճենները:</w:t>
      </w:r>
    </w:p>
    <w:p w14:paraId="248588D0" w14:textId="31C3D686" w:rsidR="006F76EB" w:rsidRPr="00834D52" w:rsidRDefault="006F76EB" w:rsidP="00AF3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գրանցմամբ չի խախտվում երրորդ անձանց մտավոր սեփականության իրավունքները:</w:t>
      </w:r>
    </w:p>
    <w:p w14:paraId="31DE56B3" w14:textId="77777777" w:rsidR="006F76EB" w:rsidRPr="00834D52" w:rsidRDefault="006F76EB" w:rsidP="00AF3B6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5.5.</w:t>
      </w:r>
      <w:r w:rsidRPr="00834D52">
        <w:rPr>
          <w:rFonts w:ascii="Sylfaen" w:hAnsi="Sylfaen"/>
          <w:sz w:val="24"/>
          <w:szCs w:val="24"/>
        </w:rPr>
        <w:tab/>
        <w:t>Եվրասիական տնտեսական միության անդամ պետության տարածքում գործող ապրանքային նշանի գրանցման վկայականի պատճենը:</w:t>
      </w:r>
    </w:p>
    <w:p w14:paraId="39B0E147" w14:textId="6C7A7C24" w:rsidR="006F76EB" w:rsidRPr="00834D52" w:rsidRDefault="006F76EB" w:rsidP="00AF3B62">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5.6.</w:t>
      </w:r>
      <w:r w:rsidRPr="00834D52">
        <w:rPr>
          <w:rFonts w:ascii="Sylfaen" w:hAnsi="Sylfaen"/>
          <w:spacing w:val="-4"/>
          <w:sz w:val="24"/>
          <w:szCs w:val="24"/>
        </w:rPr>
        <w:tab/>
        <w:t xml:space="preserve">Որակի հսկողության հարցերով լիազորված անձի </w:t>
      </w:r>
      <w:r w:rsidR="0056496B">
        <w:rPr>
          <w:rFonts w:ascii="Sylfaen" w:hAnsi="Sylfaen"/>
          <w:spacing w:val="-4"/>
          <w:sz w:val="24"/>
          <w:szCs w:val="24"/>
        </w:rPr>
        <w:t>դիմում</w:t>
      </w:r>
      <w:r w:rsidRPr="00834D52">
        <w:rPr>
          <w:rFonts w:ascii="Sylfaen" w:hAnsi="Sylfaen"/>
          <w:spacing w:val="-4"/>
          <w:sz w:val="24"/>
          <w:szCs w:val="24"/>
        </w:rPr>
        <w:t xml:space="preserve">ը՝ </w:t>
      </w:r>
      <w:r w:rsidRPr="00834D52">
        <w:rPr>
          <w:rFonts w:ascii="Sylfaen" w:hAnsi="Sylfaen"/>
          <w:spacing w:val="-4"/>
          <w:sz w:val="24"/>
          <w:szCs w:val="24"/>
        </w:rPr>
        <w:lastRenderedPageBreak/>
        <w:t xml:space="preserve">արտադրության՝ Եվրասիական տնտեսական միության պատշաճ արտադրական գործունեության կանոններին </w:t>
      </w:r>
      <w:r w:rsidR="00C54D75">
        <w:rPr>
          <w:rFonts w:ascii="Sylfaen" w:hAnsi="Sylfaen"/>
          <w:spacing w:val="-4"/>
          <w:sz w:val="24"/>
          <w:szCs w:val="24"/>
        </w:rPr>
        <w:t>և</w:t>
      </w:r>
      <w:r w:rsidRPr="00834D52">
        <w:rPr>
          <w:rFonts w:ascii="Sylfaen" w:hAnsi="Sylfaen"/>
          <w:spacing w:val="-4"/>
          <w:sz w:val="24"/>
          <w:szCs w:val="24"/>
        </w:rPr>
        <w:t xml:space="preserve"> դեղապատրաստուկի ու ԱԴԲ-ի արտադրության գործընթացում օգտագործվող յուրաքանչյուր արտադրական հարթակի համար ելանյութերի մասով պատշաճ գործունեության ձեռնարկներին համապատասխանելու մասին, ներառյալ այն հարթակները, որտեղ իրականացվում է որակի հսկողություն (արտադրության գործընթացում հսկողություն):</w:t>
      </w:r>
    </w:p>
    <w:p w14:paraId="51BF28E0" w14:textId="4625EF63" w:rsidR="006F76EB" w:rsidRPr="00F06D43" w:rsidRDefault="006F76EB" w:rsidP="006F76EB">
      <w:pPr>
        <w:spacing w:after="160" w:line="360" w:lineRule="auto"/>
        <w:ind w:left="567" w:right="565"/>
        <w:jc w:val="center"/>
        <w:rPr>
          <w:rFonts w:ascii="Sylfaen" w:eastAsia="Times New Roman" w:hAnsi="Sylfaen" w:cs="Times New Roman"/>
          <w:sz w:val="24"/>
          <w:szCs w:val="24"/>
        </w:rPr>
      </w:pPr>
      <w:r w:rsidRPr="00F06D43">
        <w:rPr>
          <w:rFonts w:ascii="Sylfaen" w:hAnsi="Sylfaen"/>
          <w:sz w:val="24"/>
          <w:szCs w:val="24"/>
        </w:rPr>
        <w:t xml:space="preserve">III. </w:t>
      </w:r>
      <w:r w:rsidR="0056496B">
        <w:rPr>
          <w:rFonts w:ascii="Sylfaen" w:hAnsi="Sylfaen"/>
          <w:sz w:val="24"/>
          <w:szCs w:val="24"/>
        </w:rPr>
        <w:t>ԴԻՄՈՒՄ</w:t>
      </w:r>
      <w:r w:rsidRPr="00F06D43">
        <w:rPr>
          <w:rFonts w:ascii="Sylfaen" w:hAnsi="Sylfaen"/>
          <w:sz w:val="24"/>
          <w:szCs w:val="24"/>
        </w:rPr>
        <w:t xml:space="preserve"> </w:t>
      </w:r>
      <w:r w:rsidR="00537062">
        <w:rPr>
          <w:rFonts w:ascii="Sylfaen" w:hAnsi="Sylfaen"/>
          <w:sz w:val="24"/>
          <w:szCs w:val="24"/>
        </w:rPr>
        <w:br/>
      </w:r>
      <w:r w:rsidR="00F06D43" w:rsidRPr="00F06D43">
        <w:rPr>
          <w:rFonts w:ascii="Sylfaen" w:hAnsi="Sylfaen"/>
          <w:sz w:val="24"/>
          <w:szCs w:val="24"/>
        </w:rPr>
        <w:t>Դ</w:t>
      </w:r>
      <w:r w:rsidRPr="00F06D43">
        <w:rPr>
          <w:rFonts w:ascii="Sylfaen" w:hAnsi="Sylfaen"/>
          <w:sz w:val="24"/>
          <w:szCs w:val="24"/>
        </w:rPr>
        <w:t xml:space="preserve">եղապատրաստուկի գրանցման դոսյեում </w:t>
      </w:r>
      <w:r w:rsidRPr="00F06D43">
        <w:rPr>
          <w:rFonts w:ascii="Sylfaen" w:hAnsi="Sylfaen"/>
          <w:sz w:val="24"/>
          <w:szCs w:val="24"/>
        </w:rPr>
        <w:br/>
        <w:t>փոփոխություններ կատարելու մասին</w:t>
      </w:r>
    </w:p>
    <w:tbl>
      <w:tblPr>
        <w:tblStyle w:val="TableGrid"/>
        <w:tblW w:w="955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456"/>
      </w:tblGrid>
      <w:tr w:rsidR="006F76EB" w:rsidRPr="00834D52" w14:paraId="3297B0B6" w14:textId="77777777" w:rsidTr="00B9781A">
        <w:trPr>
          <w:trHeight w:val="442"/>
        </w:trPr>
        <w:tc>
          <w:tcPr>
            <w:tcW w:w="5103" w:type="dxa"/>
          </w:tcPr>
          <w:p w14:paraId="2D8FE92D" w14:textId="77E87990" w:rsidR="006F76EB" w:rsidRPr="00834D52" w:rsidRDefault="0056496B" w:rsidP="00F71229">
            <w:pPr>
              <w:spacing w:after="160" w:line="360" w:lineRule="auto"/>
              <w:ind w:right="-8"/>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ն ստանալու ամսաթիվը</w:t>
            </w:r>
          </w:p>
        </w:tc>
        <w:tc>
          <w:tcPr>
            <w:tcW w:w="4456" w:type="dxa"/>
            <w:vMerge w:val="restart"/>
          </w:tcPr>
          <w:p w14:paraId="04F127F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թիվ _______________________________</w:t>
            </w:r>
          </w:p>
        </w:tc>
      </w:tr>
      <w:tr w:rsidR="006F76EB" w:rsidRPr="00834D52" w14:paraId="23177D77" w14:textId="77777777" w:rsidTr="00B9781A">
        <w:trPr>
          <w:trHeight w:val="497"/>
        </w:trPr>
        <w:tc>
          <w:tcPr>
            <w:tcW w:w="5103" w:type="dxa"/>
          </w:tcPr>
          <w:p w14:paraId="0062F882"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«___» _______________ 20 ___ թ.</w:t>
            </w:r>
          </w:p>
        </w:tc>
        <w:tc>
          <w:tcPr>
            <w:tcW w:w="4456" w:type="dxa"/>
            <w:vMerge/>
          </w:tcPr>
          <w:p w14:paraId="6FE44427" w14:textId="77777777" w:rsidR="006F76EB" w:rsidRPr="00834D52" w:rsidRDefault="006F76EB" w:rsidP="00F71229">
            <w:pPr>
              <w:spacing w:after="160" w:line="360" w:lineRule="auto"/>
              <w:ind w:right="-8"/>
              <w:rPr>
                <w:rFonts w:ascii="Sylfaen" w:hAnsi="Sylfaen"/>
                <w:sz w:val="24"/>
                <w:szCs w:val="24"/>
              </w:rPr>
            </w:pPr>
          </w:p>
        </w:tc>
      </w:tr>
    </w:tbl>
    <w:p w14:paraId="5734F24E" w14:textId="77777777" w:rsidR="006F76EB" w:rsidRPr="00834D52" w:rsidRDefault="006F76EB" w:rsidP="00666B75">
      <w:pPr>
        <w:spacing w:after="120" w:line="240" w:lineRule="auto"/>
        <w:ind w:right="-6"/>
        <w:jc w:val="center"/>
        <w:rPr>
          <w:rFonts w:ascii="Sylfaen" w:eastAsia="Times New Roman" w:hAnsi="Sylfaen" w:cs="Times New Roman"/>
          <w:sz w:val="24"/>
          <w:szCs w:val="24"/>
          <w:lang w:val="en-US"/>
        </w:rPr>
      </w:pPr>
    </w:p>
    <w:tbl>
      <w:tblPr>
        <w:tblW w:w="0" w:type="auto"/>
        <w:jc w:val="center"/>
        <w:tblLayout w:type="fixed"/>
        <w:tblCellMar>
          <w:left w:w="0" w:type="dxa"/>
          <w:right w:w="0" w:type="dxa"/>
        </w:tblCellMar>
        <w:tblLook w:val="01E0" w:firstRow="1" w:lastRow="1" w:firstColumn="1" w:lastColumn="1" w:noHBand="0" w:noVBand="0"/>
      </w:tblPr>
      <w:tblGrid>
        <w:gridCol w:w="5558"/>
        <w:gridCol w:w="4241"/>
      </w:tblGrid>
      <w:tr w:rsidR="006F76EB" w:rsidRPr="00834D52" w14:paraId="359CDDC2" w14:textId="77777777" w:rsidTr="00BC304C">
        <w:trPr>
          <w:trHeight w:val="640"/>
          <w:jc w:val="center"/>
        </w:trPr>
        <w:tc>
          <w:tcPr>
            <w:tcW w:w="5558" w:type="dxa"/>
            <w:tcBorders>
              <w:top w:val="single" w:sz="4" w:space="0" w:color="000000"/>
              <w:left w:val="single" w:sz="4" w:space="0" w:color="000000"/>
              <w:bottom w:val="single" w:sz="4" w:space="0" w:color="000000"/>
              <w:right w:val="single" w:sz="4" w:space="0" w:color="000000"/>
            </w:tcBorders>
          </w:tcPr>
          <w:p w14:paraId="25407D6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241" w:type="dxa"/>
            <w:tcBorders>
              <w:top w:val="single" w:sz="4" w:space="0" w:color="000000"/>
              <w:left w:val="single" w:sz="4" w:space="0" w:color="000000"/>
              <w:bottom w:val="single" w:sz="4" w:space="0" w:color="000000"/>
              <w:right w:val="single" w:sz="4" w:space="0" w:color="000000"/>
            </w:tcBorders>
          </w:tcPr>
          <w:p w14:paraId="3617441D" w14:textId="77777777" w:rsidR="006F76EB" w:rsidRPr="00834D52" w:rsidRDefault="006F76EB" w:rsidP="00537062">
            <w:pPr>
              <w:spacing w:after="60" w:line="240" w:lineRule="auto"/>
              <w:ind w:right="-6"/>
              <w:rPr>
                <w:rFonts w:ascii="Sylfaen" w:hAnsi="Sylfaen"/>
                <w:sz w:val="24"/>
                <w:szCs w:val="24"/>
              </w:rPr>
            </w:pPr>
          </w:p>
        </w:tc>
      </w:tr>
      <w:tr w:rsidR="006F76EB" w:rsidRPr="00834D52" w14:paraId="5C10B428"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5DF4316B"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Ակտիվ դեղաբանական բաղադրամասերը</w:t>
            </w:r>
          </w:p>
        </w:tc>
        <w:tc>
          <w:tcPr>
            <w:tcW w:w="4241" w:type="dxa"/>
            <w:tcBorders>
              <w:top w:val="single" w:sz="4" w:space="0" w:color="000000"/>
              <w:left w:val="single" w:sz="4" w:space="0" w:color="000000"/>
              <w:bottom w:val="single" w:sz="4" w:space="0" w:color="000000"/>
              <w:right w:val="single" w:sz="4" w:space="0" w:color="000000"/>
            </w:tcBorders>
          </w:tcPr>
          <w:p w14:paraId="7C18BCD2" w14:textId="77777777" w:rsidR="006F76EB" w:rsidRPr="00834D52" w:rsidRDefault="006F76EB" w:rsidP="00537062">
            <w:pPr>
              <w:spacing w:after="60" w:line="240" w:lineRule="auto"/>
              <w:ind w:right="-6"/>
              <w:rPr>
                <w:rFonts w:ascii="Sylfaen" w:hAnsi="Sylfaen"/>
                <w:sz w:val="24"/>
                <w:szCs w:val="24"/>
              </w:rPr>
            </w:pPr>
          </w:p>
        </w:tc>
      </w:tr>
      <w:tr w:rsidR="006F76EB" w:rsidRPr="00834D52" w14:paraId="37279FC0" w14:textId="77777777" w:rsidTr="00BC304C">
        <w:trPr>
          <w:trHeight w:val="668"/>
          <w:jc w:val="center"/>
        </w:trPr>
        <w:tc>
          <w:tcPr>
            <w:tcW w:w="5558" w:type="dxa"/>
            <w:tcBorders>
              <w:top w:val="single" w:sz="4" w:space="0" w:color="000000"/>
              <w:left w:val="single" w:sz="4" w:space="0" w:color="000000"/>
              <w:bottom w:val="single" w:sz="4" w:space="0" w:color="000000"/>
              <w:right w:val="single" w:sz="4" w:space="0" w:color="000000"/>
            </w:tcBorders>
          </w:tcPr>
          <w:p w14:paraId="07DC43B8" w14:textId="77777777" w:rsidR="006F76EB" w:rsidRPr="00834D52" w:rsidRDefault="006F76EB" w:rsidP="00537062">
            <w:pPr>
              <w:spacing w:after="60" w:line="240" w:lineRule="auto"/>
              <w:ind w:left="186" w:right="69"/>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4241" w:type="dxa"/>
            <w:tcBorders>
              <w:top w:val="single" w:sz="4" w:space="0" w:color="000000"/>
              <w:left w:val="single" w:sz="4" w:space="0" w:color="000000"/>
              <w:bottom w:val="single" w:sz="4" w:space="0" w:color="000000"/>
              <w:right w:val="single" w:sz="4" w:space="0" w:color="000000"/>
            </w:tcBorders>
          </w:tcPr>
          <w:p w14:paraId="281E8D83" w14:textId="77777777" w:rsidR="006F76EB" w:rsidRPr="00834D52" w:rsidRDefault="006F76EB" w:rsidP="00537062">
            <w:pPr>
              <w:spacing w:after="60" w:line="240" w:lineRule="auto"/>
              <w:ind w:right="-6"/>
              <w:rPr>
                <w:rFonts w:ascii="Sylfaen" w:hAnsi="Sylfaen"/>
                <w:sz w:val="24"/>
                <w:szCs w:val="24"/>
              </w:rPr>
            </w:pPr>
          </w:p>
        </w:tc>
      </w:tr>
      <w:tr w:rsidR="006F76EB" w:rsidRPr="00834D52" w14:paraId="3F4D39C9"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628555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241" w:type="dxa"/>
            <w:tcBorders>
              <w:top w:val="single" w:sz="4" w:space="0" w:color="000000"/>
              <w:left w:val="single" w:sz="4" w:space="0" w:color="000000"/>
              <w:bottom w:val="single" w:sz="4" w:space="0" w:color="000000"/>
              <w:right w:val="single" w:sz="4" w:space="0" w:color="000000"/>
            </w:tcBorders>
          </w:tcPr>
          <w:p w14:paraId="545E436B" w14:textId="77777777" w:rsidR="006F76EB" w:rsidRPr="00834D52" w:rsidRDefault="006F76EB" w:rsidP="00537062">
            <w:pPr>
              <w:spacing w:after="60" w:line="240" w:lineRule="auto"/>
              <w:ind w:right="-6"/>
              <w:rPr>
                <w:rFonts w:ascii="Sylfaen" w:hAnsi="Sylfaen"/>
                <w:sz w:val="24"/>
                <w:szCs w:val="24"/>
              </w:rPr>
            </w:pPr>
          </w:p>
        </w:tc>
      </w:tr>
      <w:tr w:rsidR="006F76EB" w:rsidRPr="00834D52" w14:paraId="0413DC5D"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10AEACAA"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241" w:type="dxa"/>
            <w:tcBorders>
              <w:top w:val="single" w:sz="4" w:space="0" w:color="000000"/>
              <w:left w:val="single" w:sz="4" w:space="0" w:color="000000"/>
              <w:bottom w:val="single" w:sz="4" w:space="0" w:color="000000"/>
              <w:right w:val="single" w:sz="4" w:space="0" w:color="000000"/>
            </w:tcBorders>
          </w:tcPr>
          <w:p w14:paraId="1822A4AA" w14:textId="77777777" w:rsidR="006F76EB" w:rsidRPr="00834D52" w:rsidRDefault="006F76EB" w:rsidP="00537062">
            <w:pPr>
              <w:spacing w:after="60" w:line="240" w:lineRule="auto"/>
              <w:ind w:right="-6"/>
              <w:rPr>
                <w:rFonts w:ascii="Sylfaen" w:hAnsi="Sylfaen"/>
                <w:sz w:val="24"/>
                <w:szCs w:val="24"/>
              </w:rPr>
            </w:pPr>
          </w:p>
        </w:tc>
      </w:tr>
      <w:tr w:rsidR="006F76EB" w:rsidRPr="00834D52" w14:paraId="17E44B2D"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8F97DA8"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241" w:type="dxa"/>
            <w:tcBorders>
              <w:top w:val="single" w:sz="4" w:space="0" w:color="000000"/>
              <w:left w:val="single" w:sz="4" w:space="0" w:color="000000"/>
              <w:bottom w:val="single" w:sz="4" w:space="0" w:color="000000"/>
              <w:right w:val="single" w:sz="4" w:space="0" w:color="000000"/>
            </w:tcBorders>
          </w:tcPr>
          <w:p w14:paraId="66564D67" w14:textId="77777777" w:rsidR="006F76EB" w:rsidRPr="00834D52" w:rsidRDefault="006F76EB" w:rsidP="00537062">
            <w:pPr>
              <w:spacing w:after="60" w:line="240" w:lineRule="auto"/>
              <w:ind w:right="-6"/>
              <w:rPr>
                <w:rFonts w:ascii="Sylfaen" w:hAnsi="Sylfaen"/>
                <w:sz w:val="24"/>
                <w:szCs w:val="24"/>
              </w:rPr>
            </w:pPr>
          </w:p>
        </w:tc>
      </w:tr>
      <w:tr w:rsidR="006F76EB" w:rsidRPr="00834D52" w14:paraId="5E455F04"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2C24C043" w14:textId="2B1AFCC4" w:rsidR="006F76EB" w:rsidRPr="00834D52" w:rsidRDefault="0056496B" w:rsidP="00537062">
            <w:pPr>
              <w:spacing w:after="6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241" w:type="dxa"/>
            <w:tcBorders>
              <w:top w:val="single" w:sz="4" w:space="0" w:color="000000"/>
              <w:left w:val="single" w:sz="4" w:space="0" w:color="000000"/>
              <w:bottom w:val="single" w:sz="4" w:space="0" w:color="000000"/>
              <w:right w:val="single" w:sz="4" w:space="0" w:color="000000"/>
            </w:tcBorders>
          </w:tcPr>
          <w:p w14:paraId="18F085B0" w14:textId="77777777" w:rsidR="006F76EB" w:rsidRPr="00834D52" w:rsidRDefault="006F76EB" w:rsidP="00537062">
            <w:pPr>
              <w:spacing w:after="60" w:line="240" w:lineRule="auto"/>
              <w:ind w:right="-6"/>
              <w:rPr>
                <w:rFonts w:ascii="Sylfaen" w:hAnsi="Sylfaen"/>
                <w:sz w:val="24"/>
                <w:szCs w:val="24"/>
              </w:rPr>
            </w:pPr>
          </w:p>
        </w:tc>
      </w:tr>
      <w:tr w:rsidR="006F76EB" w:rsidRPr="00834D52" w14:paraId="31E27313"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265B117E" w14:textId="03FAA0FC" w:rsidR="006F76EB" w:rsidRPr="00834D52" w:rsidRDefault="0056496B" w:rsidP="00537062">
            <w:pPr>
              <w:spacing w:after="6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241" w:type="dxa"/>
            <w:tcBorders>
              <w:top w:val="single" w:sz="4" w:space="0" w:color="000000"/>
              <w:left w:val="single" w:sz="4" w:space="0" w:color="000000"/>
              <w:bottom w:val="single" w:sz="4" w:space="0" w:color="000000"/>
              <w:right w:val="single" w:sz="4" w:space="0" w:color="000000"/>
            </w:tcBorders>
          </w:tcPr>
          <w:p w14:paraId="0EBADDFA" w14:textId="77777777" w:rsidR="006F76EB" w:rsidRPr="00834D52" w:rsidRDefault="006F76EB" w:rsidP="00537062">
            <w:pPr>
              <w:spacing w:after="60" w:line="240" w:lineRule="auto"/>
              <w:ind w:right="-6"/>
              <w:rPr>
                <w:rFonts w:ascii="Sylfaen" w:hAnsi="Sylfaen"/>
                <w:sz w:val="24"/>
                <w:szCs w:val="24"/>
              </w:rPr>
            </w:pPr>
          </w:p>
        </w:tc>
      </w:tr>
      <w:tr w:rsidR="006F76EB" w:rsidRPr="00834D52" w14:paraId="66A0F1DF" w14:textId="77777777" w:rsidTr="00BC304C">
        <w:trPr>
          <w:trHeight w:val="364"/>
          <w:jc w:val="center"/>
        </w:trPr>
        <w:tc>
          <w:tcPr>
            <w:tcW w:w="9799" w:type="dxa"/>
            <w:gridSpan w:val="2"/>
            <w:tcBorders>
              <w:top w:val="single" w:sz="4" w:space="0" w:color="000000"/>
              <w:left w:val="single" w:sz="4" w:space="0" w:color="000000"/>
              <w:bottom w:val="single" w:sz="4" w:space="0" w:color="000000"/>
              <w:right w:val="single" w:sz="4" w:space="0" w:color="000000"/>
            </w:tcBorders>
          </w:tcPr>
          <w:p w14:paraId="57655CAB" w14:textId="77777777" w:rsidR="006F76EB" w:rsidRPr="00834D52" w:rsidRDefault="006F76EB" w:rsidP="00537062">
            <w:pPr>
              <w:spacing w:after="60" w:line="240" w:lineRule="auto"/>
              <w:ind w:left="186" w:right="-6"/>
              <w:jc w:val="center"/>
              <w:rPr>
                <w:rFonts w:ascii="Sylfaen" w:eastAsia="Times New Roman" w:hAnsi="Sylfaen" w:cs="Times New Roman"/>
                <w:sz w:val="24"/>
                <w:szCs w:val="24"/>
              </w:rPr>
            </w:pPr>
            <w:r w:rsidRPr="00834D52">
              <w:rPr>
                <w:rFonts w:ascii="Sylfaen" w:hAnsi="Sylfaen"/>
                <w:sz w:val="24"/>
                <w:szCs w:val="24"/>
              </w:rPr>
              <w:t>Գրանցման հավաստագրի տվյալները</w:t>
            </w:r>
          </w:p>
        </w:tc>
      </w:tr>
      <w:tr w:rsidR="006F76EB" w:rsidRPr="00834D52" w14:paraId="2921B9A5"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476BEB7A"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241" w:type="dxa"/>
            <w:tcBorders>
              <w:top w:val="single" w:sz="4" w:space="0" w:color="000000"/>
              <w:left w:val="single" w:sz="4" w:space="0" w:color="000000"/>
              <w:bottom w:val="single" w:sz="4" w:space="0" w:color="000000"/>
              <w:right w:val="single" w:sz="4" w:space="0" w:color="000000"/>
            </w:tcBorders>
          </w:tcPr>
          <w:p w14:paraId="12357DA4" w14:textId="77777777" w:rsidR="006F76EB" w:rsidRPr="00834D52" w:rsidRDefault="006F76EB" w:rsidP="00537062">
            <w:pPr>
              <w:spacing w:after="60" w:line="240" w:lineRule="auto"/>
              <w:ind w:right="-6"/>
              <w:rPr>
                <w:rFonts w:ascii="Sylfaen" w:hAnsi="Sylfaen"/>
                <w:sz w:val="24"/>
                <w:szCs w:val="24"/>
              </w:rPr>
            </w:pPr>
          </w:p>
        </w:tc>
      </w:tr>
      <w:tr w:rsidR="006F76EB" w:rsidRPr="00834D52" w14:paraId="5F12B5D3"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DDBCA3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241" w:type="dxa"/>
            <w:tcBorders>
              <w:top w:val="single" w:sz="4" w:space="0" w:color="000000"/>
              <w:left w:val="single" w:sz="4" w:space="0" w:color="000000"/>
              <w:bottom w:val="single" w:sz="4" w:space="0" w:color="000000"/>
              <w:right w:val="single" w:sz="4" w:space="0" w:color="000000"/>
            </w:tcBorders>
          </w:tcPr>
          <w:p w14:paraId="43E90FDF" w14:textId="77777777" w:rsidR="006F76EB" w:rsidRPr="00834D52" w:rsidRDefault="006F76EB" w:rsidP="00537062">
            <w:pPr>
              <w:spacing w:after="60" w:line="240" w:lineRule="auto"/>
              <w:ind w:right="-6"/>
              <w:rPr>
                <w:rFonts w:ascii="Sylfaen" w:hAnsi="Sylfaen"/>
                <w:sz w:val="24"/>
                <w:szCs w:val="24"/>
              </w:rPr>
            </w:pPr>
          </w:p>
        </w:tc>
      </w:tr>
      <w:tr w:rsidR="006F76EB" w:rsidRPr="00834D52" w14:paraId="38CEAD89" w14:textId="77777777" w:rsidTr="00BC304C">
        <w:trPr>
          <w:trHeight w:val="529"/>
          <w:jc w:val="center"/>
        </w:trPr>
        <w:tc>
          <w:tcPr>
            <w:tcW w:w="5558" w:type="dxa"/>
            <w:tcBorders>
              <w:top w:val="single" w:sz="4" w:space="0" w:color="000000"/>
              <w:left w:val="single" w:sz="4" w:space="0" w:color="000000"/>
              <w:bottom w:val="single" w:sz="4" w:space="0" w:color="000000"/>
              <w:right w:val="single" w:sz="4" w:space="0" w:color="000000"/>
            </w:tcBorders>
          </w:tcPr>
          <w:p w14:paraId="6BD65B5B"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որակի նորմատիվային փաստաթղթի համարը</w:t>
            </w:r>
          </w:p>
        </w:tc>
        <w:tc>
          <w:tcPr>
            <w:tcW w:w="4241" w:type="dxa"/>
            <w:tcBorders>
              <w:top w:val="single" w:sz="4" w:space="0" w:color="000000"/>
              <w:left w:val="single" w:sz="4" w:space="0" w:color="000000"/>
              <w:bottom w:val="single" w:sz="4" w:space="0" w:color="000000"/>
              <w:right w:val="single" w:sz="4" w:space="0" w:color="000000"/>
            </w:tcBorders>
          </w:tcPr>
          <w:p w14:paraId="197BADFE" w14:textId="77777777" w:rsidR="006F76EB" w:rsidRPr="00834D52" w:rsidRDefault="006F76EB" w:rsidP="00537062">
            <w:pPr>
              <w:spacing w:after="60" w:line="240" w:lineRule="auto"/>
              <w:ind w:right="-6"/>
              <w:rPr>
                <w:rFonts w:ascii="Sylfaen" w:hAnsi="Sylfaen"/>
                <w:sz w:val="24"/>
                <w:szCs w:val="24"/>
              </w:rPr>
            </w:pPr>
          </w:p>
        </w:tc>
      </w:tr>
    </w:tbl>
    <w:p w14:paraId="6BE42673" w14:textId="77777777" w:rsidR="006F76EB" w:rsidRPr="00834D52" w:rsidRDefault="006F76EB" w:rsidP="00B9781A">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դրանց համար:</w:t>
      </w:r>
    </w:p>
    <w:p w14:paraId="2AA40722" w14:textId="2608C430" w:rsidR="006F76EB" w:rsidRPr="00834D52" w:rsidRDefault="006F76EB" w:rsidP="00B9781A">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30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2680A">
        <w:rPr>
          <w:rFonts w:ascii="Sylfaen" w:hAnsi="Sylfaen"/>
          <w:sz w:val="24"/>
          <w:szCs w:val="24"/>
        </w:rPr>
        <w:t xml:space="preserve">ռեֆերենտ </w:t>
      </w:r>
      <w:r w:rsidRPr="00834D52">
        <w:rPr>
          <w:rFonts w:ascii="Sylfaen" w:hAnsi="Sylfaen"/>
          <w:sz w:val="24"/>
          <w:szCs w:val="24"/>
        </w:rPr>
        <w:lastRenderedPageBreak/>
        <w:t xml:space="preserve">պետության լիազորված մարմնի (փորձագիտական կազմակերպության) դիտողությունների հիման վրա տվյալ </w:t>
      </w:r>
      <w:r w:rsidR="0056496B">
        <w:rPr>
          <w:rFonts w:ascii="Sylfaen" w:hAnsi="Sylfaen"/>
          <w:sz w:val="24"/>
          <w:szCs w:val="24"/>
        </w:rPr>
        <w:t>դիմում</w:t>
      </w:r>
      <w:r w:rsidRPr="00834D52">
        <w:rPr>
          <w:rFonts w:ascii="Sylfaen" w:hAnsi="Sylfaen"/>
          <w:sz w:val="24"/>
          <w:szCs w:val="24"/>
        </w:rPr>
        <w:t>ի ուսումնասիրությունը կմերժվի:</w:t>
      </w:r>
    </w:p>
    <w:p w14:paraId="71B278D8" w14:textId="7A559275" w:rsidR="006F76EB" w:rsidRPr="00666B75" w:rsidRDefault="006F76EB" w:rsidP="00B9781A">
      <w:pPr>
        <w:spacing w:after="160" w:line="336" w:lineRule="auto"/>
        <w:ind w:right="-6" w:firstLine="567"/>
        <w:jc w:val="both"/>
        <w:rPr>
          <w:rFonts w:ascii="Sylfaen" w:eastAsia="Times New Roman" w:hAnsi="Sylfaen" w:cs="Times New Roman"/>
          <w:spacing w:val="-6"/>
          <w:sz w:val="24"/>
          <w:szCs w:val="24"/>
        </w:rPr>
      </w:pPr>
      <w:r w:rsidRPr="00666B75">
        <w:rPr>
          <w:rFonts w:ascii="Sylfaen" w:hAnsi="Sylfaen"/>
          <w:spacing w:val="-6"/>
          <w:sz w:val="24"/>
          <w:szCs w:val="24"/>
        </w:rPr>
        <w:t xml:space="preserve">Ես հաստատում եմ, որ գրանցման դոսյեի կազմում ներառված բոլոր տվյալները ձեռք են բերվել սահմանված կարգով, </w:t>
      </w:r>
      <w:r w:rsidR="00C54D75">
        <w:rPr>
          <w:rFonts w:ascii="Sylfaen" w:hAnsi="Sylfaen"/>
          <w:spacing w:val="-6"/>
          <w:sz w:val="24"/>
          <w:szCs w:val="24"/>
        </w:rPr>
        <w:t>և</w:t>
      </w:r>
      <w:r w:rsidRPr="00666B75">
        <w:rPr>
          <w:rFonts w:ascii="Sylfaen" w:hAnsi="Sylfaen"/>
          <w:spacing w:val="-6"/>
          <w:sz w:val="24"/>
          <w:szCs w:val="24"/>
        </w:rPr>
        <w:t xml:space="preserve"> դրանցով չեն խախտվում երրորդ անձանց մտավոր սեփականության իրավունքները (սույն </w:t>
      </w:r>
      <w:r w:rsidR="0056496B">
        <w:rPr>
          <w:rFonts w:ascii="Sylfaen" w:hAnsi="Sylfaen"/>
          <w:spacing w:val="-6"/>
          <w:sz w:val="24"/>
          <w:szCs w:val="24"/>
        </w:rPr>
        <w:t>դիմում</w:t>
      </w:r>
      <w:r w:rsidRPr="00666B75">
        <w:rPr>
          <w:rFonts w:ascii="Sylfaen" w:hAnsi="Sylfaen"/>
          <w:spacing w:val="-6"/>
          <w:sz w:val="24"/>
          <w:szCs w:val="24"/>
        </w:rPr>
        <w:t xml:space="preserve">ի հավելվածի </w:t>
      </w:r>
      <w:r w:rsidR="00B57BA8" w:rsidRPr="00666B75">
        <w:rPr>
          <w:rFonts w:ascii="Sylfaen" w:hAnsi="Sylfaen"/>
          <w:spacing w:val="-6"/>
          <w:sz w:val="24"/>
          <w:szCs w:val="24"/>
        </w:rPr>
        <w:t>5</w:t>
      </w:r>
      <w:r w:rsidRPr="00666B75">
        <w:rPr>
          <w:rFonts w:ascii="Sylfaen" w:hAnsi="Sylfaen"/>
          <w:spacing w:val="-6"/>
          <w:sz w:val="24"/>
          <w:szCs w:val="24"/>
        </w:rPr>
        <w:t xml:space="preserve">.3 </w:t>
      </w:r>
      <w:r w:rsidR="00C54D75">
        <w:rPr>
          <w:rFonts w:ascii="Sylfaen" w:hAnsi="Sylfaen"/>
          <w:spacing w:val="-6"/>
          <w:sz w:val="24"/>
          <w:szCs w:val="24"/>
        </w:rPr>
        <w:t>և</w:t>
      </w:r>
      <w:r w:rsidRPr="00666B75">
        <w:rPr>
          <w:rFonts w:ascii="Sylfaen" w:hAnsi="Sylfaen"/>
          <w:spacing w:val="-6"/>
          <w:sz w:val="24"/>
          <w:szCs w:val="24"/>
        </w:rPr>
        <w:t xml:space="preserve"> </w:t>
      </w:r>
      <w:r w:rsidR="00B57BA8" w:rsidRPr="00666B75">
        <w:rPr>
          <w:rFonts w:ascii="Sylfaen" w:hAnsi="Sylfaen"/>
          <w:spacing w:val="-6"/>
          <w:sz w:val="24"/>
          <w:szCs w:val="24"/>
        </w:rPr>
        <w:t>5</w:t>
      </w:r>
      <w:r w:rsidRPr="00666B75">
        <w:rPr>
          <w:rFonts w:ascii="Sylfaen" w:hAnsi="Sylfaen"/>
          <w:spacing w:val="-6"/>
          <w:sz w:val="24"/>
          <w:szCs w:val="24"/>
        </w:rPr>
        <w:t>.4</w:t>
      </w:r>
      <w:r w:rsidR="005053A4" w:rsidRPr="00526607">
        <w:rPr>
          <w:rFonts w:ascii="Sylfaen" w:hAnsi="Sylfaen"/>
          <w:spacing w:val="-6"/>
          <w:sz w:val="24"/>
          <w:szCs w:val="24"/>
        </w:rPr>
        <w:t> </w:t>
      </w:r>
      <w:r w:rsidRPr="00666B75">
        <w:rPr>
          <w:rFonts w:ascii="Sylfaen" w:hAnsi="Sylfaen"/>
          <w:spacing w:val="-6"/>
          <w:sz w:val="24"/>
          <w:szCs w:val="24"/>
        </w:rPr>
        <w:t>ենթակետեր):</w:t>
      </w:r>
    </w:p>
    <w:p w14:paraId="66D2D9F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բոլոր նախատեսված գանձումները (տուրքերը) վճարված են (կվճարվեն) օրենսդրության պահանջներին համապատասխան:</w:t>
      </w:r>
    </w:p>
    <w:p w14:paraId="420107B0" w14:textId="22FEF73C"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Կից ներկայացված է</w:t>
      </w:r>
      <w:r w:rsidRPr="00834D52" w:rsidDel="00A7499F">
        <w:rPr>
          <w:rFonts w:ascii="Sylfaen" w:hAnsi="Sylfaen"/>
          <w:sz w:val="24"/>
          <w:szCs w:val="24"/>
        </w:rPr>
        <w:t xml:space="preserve"> </w:t>
      </w:r>
      <w:r w:rsidRPr="00834D52">
        <w:rPr>
          <w:rFonts w:ascii="Sylfaen" w:hAnsi="Sylfaen"/>
          <w:sz w:val="24"/>
          <w:szCs w:val="24"/>
        </w:rPr>
        <w:t xml:space="preserve">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3C90C9CC" w14:textId="0302C6B3" w:rsidR="006F76EB" w:rsidRPr="00834D52" w:rsidRDefault="0056496B" w:rsidP="006F76EB">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199A6F4D"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54ACAECB" w14:textId="77777777" w:rsidR="006F76EB" w:rsidRPr="00F560AC" w:rsidRDefault="006F76EB" w:rsidP="00F560AC">
      <w:pPr>
        <w:spacing w:after="120" w:line="240" w:lineRule="auto"/>
        <w:ind w:right="-8" w:firstLine="567"/>
        <w:rPr>
          <w:rFonts w:ascii="Sylfaen" w:eastAsia="Times New Roman" w:hAnsi="Sylfaen" w:cs="Times New Roman"/>
          <w:sz w:val="20"/>
          <w:szCs w:val="20"/>
        </w:rPr>
      </w:pPr>
      <w:r w:rsidRPr="00F560AC">
        <w:rPr>
          <w:rFonts w:ascii="Sylfaen" w:hAnsi="Sylfaen"/>
          <w:sz w:val="20"/>
          <w:szCs w:val="20"/>
        </w:rPr>
        <w:t>(ստորագրություն)</w:t>
      </w:r>
    </w:p>
    <w:p w14:paraId="7FBA8912" w14:textId="77777777" w:rsidR="006F76EB" w:rsidRPr="00834D52" w:rsidRDefault="006F76EB" w:rsidP="001543F8">
      <w:pPr>
        <w:spacing w:after="160" w:line="240" w:lineRule="auto"/>
        <w:ind w:right="-6" w:firstLine="567"/>
        <w:rPr>
          <w:rFonts w:ascii="Sylfaen" w:hAnsi="Sylfaen"/>
          <w:sz w:val="24"/>
          <w:szCs w:val="24"/>
        </w:rPr>
      </w:pPr>
    </w:p>
    <w:p w14:paraId="322963E3"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78E9C81D" w14:textId="77777777" w:rsidR="006F76EB" w:rsidRPr="00F560AC" w:rsidRDefault="006F76EB" w:rsidP="00F560AC">
      <w:pPr>
        <w:spacing w:after="120" w:line="240" w:lineRule="auto"/>
        <w:ind w:right="-8" w:firstLine="567"/>
        <w:rPr>
          <w:rFonts w:ascii="Sylfaen" w:eastAsia="Times New Roman" w:hAnsi="Sylfaen" w:cs="Times New Roman"/>
          <w:sz w:val="20"/>
          <w:szCs w:val="20"/>
        </w:rPr>
      </w:pPr>
      <w:r w:rsidRPr="00F560AC">
        <w:rPr>
          <w:rFonts w:ascii="Sylfaen" w:hAnsi="Sylfaen"/>
          <w:sz w:val="20"/>
          <w:szCs w:val="20"/>
        </w:rPr>
        <w:t>(ազգանուն, անուն, հայրանուն)</w:t>
      </w:r>
    </w:p>
    <w:p w14:paraId="3BAEF9C5" w14:textId="77777777" w:rsidR="006F76EB" w:rsidRPr="00F560AC" w:rsidRDefault="006F76EB" w:rsidP="001543F8">
      <w:pPr>
        <w:spacing w:after="160" w:line="240" w:lineRule="auto"/>
        <w:ind w:right="-6" w:firstLine="567"/>
        <w:rPr>
          <w:rFonts w:ascii="Sylfaen" w:hAnsi="Sylfaen"/>
          <w:sz w:val="20"/>
          <w:szCs w:val="20"/>
        </w:rPr>
      </w:pPr>
    </w:p>
    <w:p w14:paraId="42B0D082"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143BF22E" w14:textId="77777777" w:rsidR="006F76EB" w:rsidRPr="007F5A60" w:rsidRDefault="006F76EB" w:rsidP="00F560AC">
      <w:pPr>
        <w:spacing w:after="120" w:line="240" w:lineRule="auto"/>
        <w:ind w:right="-8" w:firstLine="567"/>
        <w:rPr>
          <w:rFonts w:ascii="Sylfaen" w:hAnsi="Sylfaen"/>
          <w:sz w:val="20"/>
          <w:szCs w:val="20"/>
        </w:rPr>
      </w:pPr>
      <w:r w:rsidRPr="00F560AC">
        <w:rPr>
          <w:rFonts w:ascii="Sylfaen" w:hAnsi="Sylfaen"/>
          <w:sz w:val="20"/>
          <w:szCs w:val="20"/>
        </w:rPr>
        <w:t>(պաշտոն)</w:t>
      </w:r>
    </w:p>
    <w:p w14:paraId="5AC69837" w14:textId="77777777" w:rsidR="001543F8" w:rsidRPr="007F5A60" w:rsidRDefault="001543F8" w:rsidP="00F560AC">
      <w:pPr>
        <w:spacing w:after="120" w:line="240" w:lineRule="auto"/>
        <w:ind w:right="-8" w:firstLine="567"/>
        <w:rPr>
          <w:rFonts w:ascii="Sylfaen" w:eastAsia="Times New Roman" w:hAnsi="Sylfaen" w:cs="Times New Roman"/>
          <w:sz w:val="20"/>
          <w:szCs w:val="20"/>
        </w:rPr>
      </w:pPr>
    </w:p>
    <w:p w14:paraId="0FCA5717"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Կ. Տ.</w:t>
      </w:r>
    </w:p>
    <w:p w14:paraId="607BD06A" w14:textId="77777777" w:rsidR="006F76EB" w:rsidRPr="00F75C7A" w:rsidRDefault="006F76EB" w:rsidP="006F76EB">
      <w:pPr>
        <w:spacing w:after="160" w:line="360" w:lineRule="auto"/>
        <w:ind w:right="-8"/>
        <w:jc w:val="center"/>
        <w:rPr>
          <w:rFonts w:ascii="Sylfaen" w:hAnsi="Sylfaen"/>
          <w:sz w:val="24"/>
          <w:szCs w:val="24"/>
          <w:u w:val="thick" w:color="000000"/>
        </w:rPr>
      </w:pPr>
    </w:p>
    <w:p w14:paraId="08F76228" w14:textId="2A45258B" w:rsidR="006F76EB" w:rsidRPr="00537062" w:rsidRDefault="006F76EB" w:rsidP="006F76EB">
      <w:pPr>
        <w:spacing w:after="160" w:line="360" w:lineRule="auto"/>
        <w:ind w:right="-8"/>
        <w:jc w:val="center"/>
        <w:rPr>
          <w:rFonts w:ascii="Sylfaen" w:eastAsia="Times New Roman" w:hAnsi="Sylfaen" w:cs="Times New Roman"/>
          <w:sz w:val="24"/>
          <w:szCs w:val="24"/>
        </w:rPr>
      </w:pPr>
      <w:r w:rsidRPr="00537062">
        <w:rPr>
          <w:rFonts w:ascii="Sylfaen" w:hAnsi="Sylfaen"/>
          <w:sz w:val="24"/>
          <w:szCs w:val="24"/>
        </w:rPr>
        <w:t xml:space="preserve">1. </w:t>
      </w:r>
      <w:r w:rsidR="0056496B">
        <w:rPr>
          <w:rFonts w:ascii="Sylfaen" w:hAnsi="Sylfaen"/>
          <w:sz w:val="24"/>
          <w:szCs w:val="24"/>
        </w:rPr>
        <w:t>Դիմում</w:t>
      </w:r>
      <w:r w:rsidRPr="00537062">
        <w:rPr>
          <w:rFonts w:ascii="Sylfaen" w:hAnsi="Sylfaen"/>
          <w:sz w:val="24"/>
          <w:szCs w:val="24"/>
        </w:rPr>
        <w:t>ի ընդհանուր կետերը</w:t>
      </w:r>
    </w:p>
    <w:p w14:paraId="157D3E5F" w14:textId="4A2481B0"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 համաձայն:</w:t>
      </w:r>
    </w:p>
    <w:p w14:paraId="00CE91F1" w14:textId="31F7D6CA"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փոխադարձ ճանաչման ընթացակարգով՝</w:t>
      </w:r>
    </w:p>
    <w:tbl>
      <w:tblPr>
        <w:tblW w:w="9612" w:type="dxa"/>
        <w:tblInd w:w="103" w:type="dxa"/>
        <w:tblLayout w:type="fixed"/>
        <w:tblCellMar>
          <w:left w:w="0" w:type="dxa"/>
          <w:right w:w="0" w:type="dxa"/>
        </w:tblCellMar>
        <w:tblLook w:val="01E0" w:firstRow="1" w:lastRow="1" w:firstColumn="1" w:lastColumn="1" w:noHBand="0" w:noVBand="0"/>
      </w:tblPr>
      <w:tblGrid>
        <w:gridCol w:w="4606"/>
        <w:gridCol w:w="5006"/>
      </w:tblGrid>
      <w:tr w:rsidR="006F76EB" w:rsidRPr="00834D52" w14:paraId="101B18A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FC16C59" w14:textId="77777777" w:rsidR="006F76EB" w:rsidRPr="00834D52" w:rsidRDefault="0032680A" w:rsidP="001543F8">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006" w:type="dxa"/>
            <w:tcBorders>
              <w:top w:val="single" w:sz="4" w:space="0" w:color="000000"/>
              <w:left w:val="single" w:sz="4" w:space="0" w:color="000000"/>
              <w:bottom w:val="single" w:sz="4" w:space="0" w:color="000000"/>
              <w:right w:val="single" w:sz="4" w:space="0" w:color="000000"/>
            </w:tcBorders>
          </w:tcPr>
          <w:p w14:paraId="0A6642BE" w14:textId="77777777" w:rsidR="006F76EB" w:rsidRPr="00834D52" w:rsidRDefault="006F76EB" w:rsidP="001543F8">
            <w:pPr>
              <w:spacing w:after="120" w:line="240" w:lineRule="auto"/>
              <w:ind w:right="-6"/>
              <w:rPr>
                <w:rFonts w:ascii="Sylfaen" w:hAnsi="Sylfaen"/>
                <w:sz w:val="24"/>
                <w:szCs w:val="24"/>
              </w:rPr>
            </w:pPr>
          </w:p>
        </w:tc>
      </w:tr>
      <w:tr w:rsidR="006F76EB" w:rsidRPr="00834D52" w14:paraId="77C92ECD"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7A8E7607"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lastRenderedPageBreak/>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006" w:type="dxa"/>
            <w:tcBorders>
              <w:top w:val="single" w:sz="4" w:space="0" w:color="000000"/>
              <w:left w:val="single" w:sz="4" w:space="0" w:color="000000"/>
              <w:bottom w:val="single" w:sz="4" w:space="0" w:color="000000"/>
              <w:right w:val="single" w:sz="4" w:space="0" w:color="000000"/>
            </w:tcBorders>
          </w:tcPr>
          <w:p w14:paraId="4652F68C" w14:textId="77777777" w:rsidR="006F76EB" w:rsidRPr="00834D52" w:rsidRDefault="006F76EB" w:rsidP="001543F8">
            <w:pPr>
              <w:spacing w:after="120" w:line="240" w:lineRule="auto"/>
              <w:ind w:right="-6"/>
              <w:rPr>
                <w:rFonts w:ascii="Sylfaen" w:hAnsi="Sylfaen"/>
                <w:sz w:val="24"/>
                <w:szCs w:val="24"/>
              </w:rPr>
            </w:pPr>
          </w:p>
        </w:tc>
      </w:tr>
      <w:tr w:rsidR="006F76EB" w:rsidRPr="00834D52" w14:paraId="5EC5865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7C15556C"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5006" w:type="dxa"/>
            <w:tcBorders>
              <w:top w:val="single" w:sz="4" w:space="0" w:color="000000"/>
              <w:left w:val="single" w:sz="4" w:space="0" w:color="000000"/>
              <w:bottom w:val="single" w:sz="4" w:space="0" w:color="000000"/>
              <w:right w:val="single" w:sz="4" w:space="0" w:color="000000"/>
            </w:tcBorders>
          </w:tcPr>
          <w:p w14:paraId="597B0040" w14:textId="77777777" w:rsidR="006F76EB" w:rsidRPr="00834D52" w:rsidRDefault="006F76EB" w:rsidP="001543F8">
            <w:pPr>
              <w:spacing w:after="120" w:line="240" w:lineRule="auto"/>
              <w:ind w:right="-6"/>
              <w:rPr>
                <w:rFonts w:ascii="Sylfaen" w:hAnsi="Sylfaen"/>
                <w:sz w:val="24"/>
                <w:szCs w:val="24"/>
              </w:rPr>
            </w:pPr>
          </w:p>
        </w:tc>
      </w:tr>
      <w:tr w:rsidR="006F76EB" w:rsidRPr="00834D52" w14:paraId="630062A2"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5AC0AC4C"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5006" w:type="dxa"/>
            <w:tcBorders>
              <w:top w:val="single" w:sz="4" w:space="0" w:color="000000"/>
              <w:left w:val="single" w:sz="4" w:space="0" w:color="000000"/>
              <w:bottom w:val="single" w:sz="4" w:space="0" w:color="000000"/>
              <w:right w:val="single" w:sz="4" w:space="0" w:color="000000"/>
            </w:tcBorders>
          </w:tcPr>
          <w:p w14:paraId="2C9ECBE2" w14:textId="77777777" w:rsidR="006F76EB" w:rsidRPr="00834D52" w:rsidRDefault="006F76EB" w:rsidP="001543F8">
            <w:pPr>
              <w:spacing w:after="120" w:line="240" w:lineRule="auto"/>
              <w:ind w:right="-6"/>
              <w:rPr>
                <w:rFonts w:ascii="Sylfaen" w:hAnsi="Sylfaen"/>
                <w:sz w:val="24"/>
                <w:szCs w:val="24"/>
              </w:rPr>
            </w:pPr>
          </w:p>
        </w:tc>
      </w:tr>
      <w:tr w:rsidR="006F76EB" w:rsidRPr="00834D52" w14:paraId="78F5EF5B"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20D4D046"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5006" w:type="dxa"/>
            <w:tcBorders>
              <w:top w:val="single" w:sz="4" w:space="0" w:color="000000"/>
              <w:left w:val="single" w:sz="4" w:space="0" w:color="000000"/>
              <w:bottom w:val="single" w:sz="4" w:space="0" w:color="000000"/>
              <w:right w:val="single" w:sz="4" w:space="0" w:color="000000"/>
            </w:tcBorders>
          </w:tcPr>
          <w:p w14:paraId="1F46C4BB" w14:textId="77777777" w:rsidR="006F76EB" w:rsidRPr="00834D52" w:rsidRDefault="006F76EB" w:rsidP="001543F8">
            <w:pPr>
              <w:spacing w:after="120" w:line="240" w:lineRule="auto"/>
              <w:ind w:right="-6"/>
              <w:rPr>
                <w:rFonts w:ascii="Sylfaen" w:hAnsi="Sylfaen"/>
                <w:sz w:val="24"/>
                <w:szCs w:val="24"/>
              </w:rPr>
            </w:pPr>
          </w:p>
        </w:tc>
      </w:tr>
      <w:tr w:rsidR="006F76EB" w:rsidRPr="00834D52" w14:paraId="43C00BEC"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DEC6375" w14:textId="3AD294B6" w:rsidR="006F76EB" w:rsidRPr="00834D52" w:rsidRDefault="0056496B" w:rsidP="001543F8">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006" w:type="dxa"/>
            <w:tcBorders>
              <w:top w:val="single" w:sz="4" w:space="0" w:color="000000"/>
              <w:left w:val="single" w:sz="4" w:space="0" w:color="000000"/>
              <w:bottom w:val="single" w:sz="4" w:space="0" w:color="000000"/>
              <w:right w:val="single" w:sz="4" w:space="0" w:color="000000"/>
            </w:tcBorders>
          </w:tcPr>
          <w:p w14:paraId="40B03A79" w14:textId="77777777" w:rsidR="006F76EB" w:rsidRPr="00834D52" w:rsidRDefault="006F76EB" w:rsidP="001543F8">
            <w:pPr>
              <w:spacing w:after="120" w:line="240" w:lineRule="auto"/>
              <w:ind w:right="-6"/>
              <w:rPr>
                <w:rFonts w:ascii="Sylfaen" w:hAnsi="Sylfaen"/>
                <w:sz w:val="24"/>
                <w:szCs w:val="24"/>
              </w:rPr>
            </w:pPr>
          </w:p>
        </w:tc>
      </w:tr>
      <w:tr w:rsidR="006F76EB" w:rsidRPr="00834D52" w14:paraId="50650B84"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39964004" w14:textId="01B96B81" w:rsidR="006F76EB" w:rsidRPr="00834D52" w:rsidRDefault="0056496B" w:rsidP="001543F8">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Եվրասիական տնտեսական միության այլ անդամ պետություններ (առկայության դեպքում)</w:t>
            </w:r>
          </w:p>
        </w:tc>
        <w:tc>
          <w:tcPr>
            <w:tcW w:w="5006" w:type="dxa"/>
            <w:tcBorders>
              <w:top w:val="single" w:sz="4" w:space="0" w:color="000000"/>
              <w:left w:val="single" w:sz="4" w:space="0" w:color="000000"/>
              <w:bottom w:val="single" w:sz="4" w:space="0" w:color="000000"/>
              <w:right w:val="single" w:sz="4" w:space="0" w:color="000000"/>
            </w:tcBorders>
          </w:tcPr>
          <w:p w14:paraId="5422A6C7" w14:textId="77777777" w:rsidR="006F76EB" w:rsidRPr="00834D52" w:rsidRDefault="006F76EB" w:rsidP="001543F8">
            <w:pPr>
              <w:spacing w:after="120" w:line="240" w:lineRule="auto"/>
              <w:ind w:right="-6"/>
              <w:rPr>
                <w:rFonts w:ascii="Sylfaen" w:hAnsi="Sylfaen"/>
                <w:sz w:val="24"/>
                <w:szCs w:val="24"/>
              </w:rPr>
            </w:pPr>
          </w:p>
        </w:tc>
      </w:tr>
      <w:tr w:rsidR="006F76EB" w:rsidRPr="00834D52" w14:paraId="0ABF5D4F"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4F779E05"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գրանցվածից առ</w:t>
            </w:r>
            <w:r w:rsidR="00C54D75">
              <w:rPr>
                <w:rFonts w:ascii="Sylfaen" w:hAnsi="Sylfaen"/>
                <w:sz w:val="24"/>
                <w:szCs w:val="24"/>
              </w:rPr>
              <w:t>և</w:t>
            </w:r>
            <w:r w:rsidRPr="00834D52">
              <w:rPr>
                <w:rFonts w:ascii="Sylfaen" w:hAnsi="Sylfaen"/>
                <w:sz w:val="24"/>
                <w:szCs w:val="24"/>
              </w:rPr>
              <w:t>տրային անվանման տարբերության դեպքում)</w:t>
            </w:r>
          </w:p>
        </w:tc>
        <w:tc>
          <w:tcPr>
            <w:tcW w:w="5006" w:type="dxa"/>
            <w:tcBorders>
              <w:top w:val="single" w:sz="4" w:space="0" w:color="000000"/>
              <w:left w:val="single" w:sz="4" w:space="0" w:color="000000"/>
              <w:bottom w:val="single" w:sz="4" w:space="0" w:color="000000"/>
              <w:right w:val="single" w:sz="4" w:space="0" w:color="000000"/>
            </w:tcBorders>
          </w:tcPr>
          <w:p w14:paraId="3AF60234" w14:textId="77777777" w:rsidR="006F76EB" w:rsidRPr="00834D52" w:rsidRDefault="006F76EB" w:rsidP="001543F8">
            <w:pPr>
              <w:spacing w:after="120" w:line="240" w:lineRule="auto"/>
              <w:ind w:right="-6"/>
              <w:rPr>
                <w:rFonts w:ascii="Sylfaen" w:hAnsi="Sylfaen"/>
                <w:sz w:val="24"/>
                <w:szCs w:val="24"/>
              </w:rPr>
            </w:pPr>
          </w:p>
        </w:tc>
      </w:tr>
    </w:tbl>
    <w:p w14:paraId="6A6B600F" w14:textId="4BD3F705"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ապակենտրոնացված ընթացակարգով՝</w:t>
      </w:r>
    </w:p>
    <w:tbl>
      <w:tblPr>
        <w:tblW w:w="9612" w:type="dxa"/>
        <w:tblInd w:w="103" w:type="dxa"/>
        <w:tblLayout w:type="fixed"/>
        <w:tblCellMar>
          <w:left w:w="0" w:type="dxa"/>
          <w:right w:w="0" w:type="dxa"/>
        </w:tblCellMar>
        <w:tblLook w:val="01E0" w:firstRow="1" w:lastRow="1" w:firstColumn="1" w:lastColumn="1" w:noHBand="0" w:noVBand="0"/>
      </w:tblPr>
      <w:tblGrid>
        <w:gridCol w:w="4606"/>
        <w:gridCol w:w="5006"/>
      </w:tblGrid>
      <w:tr w:rsidR="006F76EB" w:rsidRPr="00834D52" w14:paraId="249DE65B"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345120C7" w14:textId="43132886" w:rsidR="006F76EB" w:rsidRPr="00834D52" w:rsidRDefault="0056496B" w:rsidP="00BC304C">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006" w:type="dxa"/>
            <w:tcBorders>
              <w:top w:val="single" w:sz="4" w:space="0" w:color="000000"/>
              <w:left w:val="single" w:sz="4" w:space="0" w:color="000000"/>
              <w:bottom w:val="single" w:sz="4" w:space="0" w:color="000000"/>
              <w:right w:val="single" w:sz="4" w:space="0" w:color="000000"/>
            </w:tcBorders>
          </w:tcPr>
          <w:p w14:paraId="27633967" w14:textId="77777777" w:rsidR="006F76EB" w:rsidRPr="00834D52" w:rsidRDefault="006F76EB" w:rsidP="00BC304C">
            <w:pPr>
              <w:spacing w:after="120" w:line="240" w:lineRule="auto"/>
              <w:ind w:right="-6"/>
              <w:rPr>
                <w:rFonts w:ascii="Sylfaen" w:hAnsi="Sylfaen"/>
                <w:sz w:val="24"/>
                <w:szCs w:val="24"/>
              </w:rPr>
            </w:pPr>
          </w:p>
        </w:tc>
      </w:tr>
      <w:tr w:rsidR="006F76EB" w:rsidRPr="00834D52" w14:paraId="0834D236"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589B04E7" w14:textId="77777777" w:rsidR="006F76EB" w:rsidRPr="00834D52" w:rsidRDefault="0032680A" w:rsidP="00BC304C">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006" w:type="dxa"/>
            <w:tcBorders>
              <w:top w:val="single" w:sz="4" w:space="0" w:color="000000"/>
              <w:left w:val="single" w:sz="4" w:space="0" w:color="000000"/>
              <w:bottom w:val="single" w:sz="4" w:space="0" w:color="000000"/>
              <w:right w:val="single" w:sz="4" w:space="0" w:color="000000"/>
            </w:tcBorders>
          </w:tcPr>
          <w:p w14:paraId="4E17F592" w14:textId="77777777" w:rsidR="006F76EB" w:rsidRPr="00834D52" w:rsidRDefault="006F76EB" w:rsidP="00BC304C">
            <w:pPr>
              <w:spacing w:after="120" w:line="240" w:lineRule="auto"/>
              <w:ind w:right="-6"/>
              <w:rPr>
                <w:rFonts w:ascii="Sylfaen" w:hAnsi="Sylfaen"/>
                <w:sz w:val="24"/>
                <w:szCs w:val="24"/>
              </w:rPr>
            </w:pPr>
          </w:p>
        </w:tc>
      </w:tr>
      <w:tr w:rsidR="006F76EB" w:rsidRPr="00834D52" w14:paraId="6F450B7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6D7111DE" w14:textId="77777777" w:rsidR="006F76EB" w:rsidRPr="00834D52" w:rsidRDefault="006F76EB" w:rsidP="00BC304C">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006" w:type="dxa"/>
            <w:tcBorders>
              <w:top w:val="single" w:sz="4" w:space="0" w:color="000000"/>
              <w:left w:val="single" w:sz="4" w:space="0" w:color="000000"/>
              <w:bottom w:val="single" w:sz="4" w:space="0" w:color="000000"/>
              <w:right w:val="single" w:sz="4" w:space="0" w:color="000000"/>
            </w:tcBorders>
          </w:tcPr>
          <w:p w14:paraId="25C770F4" w14:textId="77777777" w:rsidR="006F76EB" w:rsidRPr="00834D52" w:rsidRDefault="006F76EB" w:rsidP="00BC304C">
            <w:pPr>
              <w:spacing w:after="120" w:line="240" w:lineRule="auto"/>
              <w:ind w:right="-6"/>
              <w:rPr>
                <w:rFonts w:ascii="Sylfaen" w:hAnsi="Sylfaen"/>
                <w:sz w:val="24"/>
                <w:szCs w:val="24"/>
              </w:rPr>
            </w:pPr>
          </w:p>
        </w:tc>
      </w:tr>
      <w:tr w:rsidR="006F76EB" w:rsidRPr="00834D52" w14:paraId="02FEEF32"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46D6CC38" w14:textId="7EF809C1" w:rsidR="006F76EB" w:rsidRPr="00834D52" w:rsidRDefault="0056496B" w:rsidP="00BC304C">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ճանաչման պետությունները</w:t>
            </w:r>
          </w:p>
        </w:tc>
        <w:tc>
          <w:tcPr>
            <w:tcW w:w="5006" w:type="dxa"/>
            <w:tcBorders>
              <w:top w:val="single" w:sz="4" w:space="0" w:color="000000"/>
              <w:left w:val="single" w:sz="4" w:space="0" w:color="000000"/>
              <w:bottom w:val="single" w:sz="4" w:space="0" w:color="000000"/>
              <w:right w:val="single" w:sz="4" w:space="0" w:color="000000"/>
            </w:tcBorders>
          </w:tcPr>
          <w:p w14:paraId="39656C77" w14:textId="77777777" w:rsidR="006F76EB" w:rsidRPr="00834D52" w:rsidRDefault="006F76EB" w:rsidP="00BC304C">
            <w:pPr>
              <w:spacing w:after="120" w:line="240" w:lineRule="auto"/>
              <w:ind w:right="-6"/>
              <w:rPr>
                <w:rFonts w:ascii="Sylfaen" w:hAnsi="Sylfaen"/>
                <w:sz w:val="24"/>
                <w:szCs w:val="24"/>
              </w:rPr>
            </w:pPr>
          </w:p>
        </w:tc>
      </w:tr>
      <w:tr w:rsidR="006F76EB" w:rsidRPr="00834D52" w14:paraId="5A093519"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92AFC1A" w14:textId="77777777" w:rsidR="006F76EB" w:rsidRPr="00834D52" w:rsidRDefault="006F76EB" w:rsidP="00BC304C">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պետության հետ առ</w:t>
            </w:r>
            <w:r w:rsidR="00C54D75">
              <w:rPr>
                <w:rFonts w:ascii="Sylfaen" w:hAnsi="Sylfaen"/>
                <w:sz w:val="24"/>
                <w:szCs w:val="24"/>
              </w:rPr>
              <w:t>և</w:t>
            </w:r>
            <w:r w:rsidRPr="00834D52">
              <w:rPr>
                <w:rFonts w:ascii="Sylfaen" w:hAnsi="Sylfaen"/>
                <w:sz w:val="24"/>
                <w:szCs w:val="24"/>
              </w:rPr>
              <w:t>տրային անվանումների տարբերությունների դեպքում)</w:t>
            </w:r>
          </w:p>
        </w:tc>
        <w:tc>
          <w:tcPr>
            <w:tcW w:w="5006" w:type="dxa"/>
            <w:tcBorders>
              <w:top w:val="single" w:sz="4" w:space="0" w:color="000000"/>
              <w:left w:val="single" w:sz="4" w:space="0" w:color="000000"/>
              <w:bottom w:val="single" w:sz="4" w:space="0" w:color="000000"/>
              <w:right w:val="single" w:sz="4" w:space="0" w:color="000000"/>
            </w:tcBorders>
          </w:tcPr>
          <w:p w14:paraId="511627FF" w14:textId="77777777" w:rsidR="006F76EB" w:rsidRPr="00834D52" w:rsidRDefault="006F76EB" w:rsidP="00BC304C">
            <w:pPr>
              <w:spacing w:after="120" w:line="240" w:lineRule="auto"/>
              <w:ind w:right="-6"/>
              <w:rPr>
                <w:rFonts w:ascii="Sylfaen" w:hAnsi="Sylfaen"/>
                <w:sz w:val="24"/>
                <w:szCs w:val="24"/>
              </w:rPr>
            </w:pPr>
          </w:p>
        </w:tc>
      </w:tr>
    </w:tbl>
    <w:p w14:paraId="2E46D7F9" w14:textId="42B107E0"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ը, որոնց հղում է կատարվում այդ բաժնում:</w:t>
      </w:r>
    </w:p>
    <w:p w14:paraId="6ED847C4" w14:textId="77777777" w:rsidR="006F76EB" w:rsidRPr="00834D52" w:rsidRDefault="006F76EB" w:rsidP="006F76EB">
      <w:pPr>
        <w:spacing w:after="160" w:line="360" w:lineRule="auto"/>
        <w:ind w:right="-8"/>
        <w:jc w:val="center"/>
        <w:rPr>
          <w:rFonts w:ascii="Sylfaen" w:hAnsi="Sylfaen"/>
          <w:sz w:val="24"/>
          <w:szCs w:val="24"/>
        </w:rPr>
      </w:pPr>
    </w:p>
    <w:p w14:paraId="7A462203"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2. Կատարվող փոփոխությունները</w:t>
      </w:r>
    </w:p>
    <w:tbl>
      <w:tblPr>
        <w:tblW w:w="9346" w:type="dxa"/>
        <w:tblInd w:w="215" w:type="dxa"/>
        <w:tblLayout w:type="fixed"/>
        <w:tblCellMar>
          <w:left w:w="0" w:type="dxa"/>
          <w:right w:w="0" w:type="dxa"/>
        </w:tblCellMar>
        <w:tblLook w:val="01E0" w:firstRow="1" w:lastRow="1" w:firstColumn="1" w:lastColumn="1" w:noHBand="0" w:noVBand="0"/>
      </w:tblPr>
      <w:tblGrid>
        <w:gridCol w:w="706"/>
        <w:gridCol w:w="2407"/>
        <w:gridCol w:w="2410"/>
        <w:gridCol w:w="3823"/>
      </w:tblGrid>
      <w:tr w:rsidR="006F76EB" w:rsidRPr="00834D52" w14:paraId="1D9BE33B" w14:textId="77777777" w:rsidTr="00F71229">
        <w:tc>
          <w:tcPr>
            <w:tcW w:w="706" w:type="dxa"/>
            <w:tcBorders>
              <w:top w:val="single" w:sz="4" w:space="0" w:color="000000"/>
              <w:left w:val="single" w:sz="4" w:space="0" w:color="000000"/>
              <w:bottom w:val="single" w:sz="4" w:space="0" w:color="000000"/>
              <w:right w:val="single" w:sz="4" w:space="0" w:color="000000"/>
            </w:tcBorders>
          </w:tcPr>
          <w:p w14:paraId="6F93B803"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07" w:type="dxa"/>
            <w:tcBorders>
              <w:top w:val="single" w:sz="4" w:space="0" w:color="000000"/>
              <w:left w:val="single" w:sz="4" w:space="0" w:color="000000"/>
              <w:bottom w:val="single" w:sz="4" w:space="0" w:color="000000"/>
              <w:right w:val="single" w:sz="4" w:space="0" w:color="000000"/>
            </w:tcBorders>
          </w:tcPr>
          <w:p w14:paraId="11072CB9"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անվանումը</w:t>
            </w:r>
          </w:p>
        </w:tc>
        <w:tc>
          <w:tcPr>
            <w:tcW w:w="2410" w:type="dxa"/>
            <w:tcBorders>
              <w:top w:val="single" w:sz="4" w:space="0" w:color="000000"/>
              <w:left w:val="single" w:sz="4" w:space="0" w:color="000000"/>
              <w:bottom w:val="single" w:sz="4" w:space="0" w:color="000000"/>
              <w:right w:val="single" w:sz="4" w:space="0" w:color="000000"/>
            </w:tcBorders>
          </w:tcPr>
          <w:p w14:paraId="5B4B82C2"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տիպը</w:t>
            </w:r>
          </w:p>
        </w:tc>
        <w:tc>
          <w:tcPr>
            <w:tcW w:w="3823" w:type="dxa"/>
            <w:tcBorders>
              <w:top w:val="single" w:sz="4" w:space="0" w:color="000000"/>
              <w:left w:val="single" w:sz="4" w:space="0" w:color="000000"/>
              <w:bottom w:val="single" w:sz="4" w:space="0" w:color="000000"/>
              <w:right w:val="single" w:sz="4" w:space="0" w:color="000000"/>
            </w:tcBorders>
          </w:tcPr>
          <w:p w14:paraId="7AE4263D"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համառոտ նկարագրությունը</w:t>
            </w:r>
          </w:p>
        </w:tc>
      </w:tr>
      <w:tr w:rsidR="006F76EB" w:rsidRPr="00834D52" w14:paraId="0D05948B" w14:textId="77777777" w:rsidTr="00F71229">
        <w:tc>
          <w:tcPr>
            <w:tcW w:w="706" w:type="dxa"/>
            <w:tcBorders>
              <w:top w:val="single" w:sz="4" w:space="0" w:color="000000"/>
              <w:left w:val="single" w:sz="4" w:space="0" w:color="000000"/>
              <w:bottom w:val="single" w:sz="4" w:space="0" w:color="000000"/>
              <w:right w:val="single" w:sz="4" w:space="0" w:color="000000"/>
            </w:tcBorders>
          </w:tcPr>
          <w:p w14:paraId="006905A9" w14:textId="77777777" w:rsidR="006F76EB" w:rsidRPr="00834D52" w:rsidRDefault="006F76EB" w:rsidP="00BC304C">
            <w:pPr>
              <w:spacing w:after="120" w:line="240" w:lineRule="auto"/>
              <w:ind w:right="-6"/>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580AD2D9"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247C05A"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05AB05AE" w14:textId="77777777" w:rsidR="006F76EB" w:rsidRPr="00834D52" w:rsidRDefault="006F76EB" w:rsidP="00BC304C">
            <w:pPr>
              <w:spacing w:after="120" w:line="240" w:lineRule="auto"/>
              <w:ind w:right="-6"/>
              <w:rPr>
                <w:rFonts w:ascii="Sylfaen" w:hAnsi="Sylfaen"/>
                <w:sz w:val="24"/>
                <w:szCs w:val="24"/>
              </w:rPr>
            </w:pPr>
          </w:p>
        </w:tc>
      </w:tr>
      <w:tr w:rsidR="006F76EB" w:rsidRPr="00834D52" w14:paraId="6FC7A8DE" w14:textId="77777777" w:rsidTr="00F71229">
        <w:tc>
          <w:tcPr>
            <w:tcW w:w="706" w:type="dxa"/>
            <w:tcBorders>
              <w:top w:val="single" w:sz="4" w:space="0" w:color="000000"/>
              <w:left w:val="single" w:sz="4" w:space="0" w:color="000000"/>
              <w:bottom w:val="single" w:sz="4" w:space="0" w:color="000000"/>
              <w:right w:val="single" w:sz="4" w:space="0" w:color="000000"/>
            </w:tcBorders>
          </w:tcPr>
          <w:p w14:paraId="2A20520B" w14:textId="77777777" w:rsidR="006F76EB" w:rsidRPr="00834D52" w:rsidRDefault="006F76EB" w:rsidP="00BC304C">
            <w:pPr>
              <w:spacing w:after="120" w:line="240" w:lineRule="auto"/>
              <w:ind w:right="-6"/>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34F836A8"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1558986"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39899FE3" w14:textId="77777777" w:rsidR="006F76EB" w:rsidRPr="00834D52" w:rsidRDefault="006F76EB" w:rsidP="00BC304C">
            <w:pPr>
              <w:spacing w:after="120" w:line="240" w:lineRule="auto"/>
              <w:ind w:right="-6"/>
              <w:rPr>
                <w:rFonts w:ascii="Sylfaen" w:hAnsi="Sylfaen"/>
                <w:sz w:val="24"/>
                <w:szCs w:val="24"/>
              </w:rPr>
            </w:pPr>
          </w:p>
        </w:tc>
      </w:tr>
      <w:tr w:rsidR="006F76EB" w:rsidRPr="00834D52" w14:paraId="784A47F7" w14:textId="77777777" w:rsidTr="00F71229">
        <w:tc>
          <w:tcPr>
            <w:tcW w:w="706" w:type="dxa"/>
            <w:tcBorders>
              <w:top w:val="single" w:sz="4" w:space="0" w:color="000000"/>
              <w:left w:val="single" w:sz="4" w:space="0" w:color="000000"/>
              <w:bottom w:val="single" w:sz="4" w:space="0" w:color="000000"/>
              <w:right w:val="single" w:sz="4" w:space="0" w:color="000000"/>
            </w:tcBorders>
          </w:tcPr>
          <w:p w14:paraId="59A651F2" w14:textId="77777777" w:rsidR="006F76EB" w:rsidRPr="00834D52" w:rsidRDefault="006F76EB" w:rsidP="00BC304C">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2407" w:type="dxa"/>
            <w:tcBorders>
              <w:top w:val="single" w:sz="4" w:space="0" w:color="000000"/>
              <w:left w:val="single" w:sz="4" w:space="0" w:color="000000"/>
              <w:bottom w:val="single" w:sz="4" w:space="0" w:color="000000"/>
              <w:right w:val="single" w:sz="4" w:space="0" w:color="000000"/>
            </w:tcBorders>
          </w:tcPr>
          <w:p w14:paraId="5CA29026"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6380D679"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60B0C389" w14:textId="77777777" w:rsidR="006F76EB" w:rsidRPr="00834D52" w:rsidRDefault="006F76EB" w:rsidP="00BC304C">
            <w:pPr>
              <w:spacing w:after="120" w:line="240" w:lineRule="auto"/>
              <w:ind w:right="-6"/>
              <w:rPr>
                <w:rFonts w:ascii="Sylfaen" w:hAnsi="Sylfaen"/>
                <w:sz w:val="24"/>
                <w:szCs w:val="24"/>
              </w:rPr>
            </w:pPr>
          </w:p>
        </w:tc>
      </w:tr>
    </w:tbl>
    <w:p w14:paraId="54B7CFD5" w14:textId="6423FCD0"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Դեղապատրաստուկի՝ ստոր</w:t>
      </w:r>
      <w:r w:rsidR="00C54D75">
        <w:rPr>
          <w:rFonts w:ascii="Sylfaen" w:hAnsi="Sylfaen"/>
          <w:sz w:val="24"/>
          <w:szCs w:val="24"/>
        </w:rPr>
        <w:t>և</w:t>
      </w:r>
      <w:r w:rsidRPr="00834D52">
        <w:rPr>
          <w:rFonts w:ascii="Sylfaen" w:hAnsi="Sylfaen"/>
          <w:sz w:val="24"/>
          <w:szCs w:val="24"/>
        </w:rPr>
        <w:t xml:space="preserve"> բերված համապատասխան տիպի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դեղապատրաստուկների այլ տիպերին, չեն լրացվում:</w:t>
      </w:r>
    </w:p>
    <w:p w14:paraId="2AACF70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p>
    <w:p w14:paraId="488D5016" w14:textId="3ED772E9" w:rsidR="006F76EB" w:rsidRPr="00834D52" w:rsidRDefault="0037154C" w:rsidP="00E15800">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99712" behindDoc="0" locked="0" layoutInCell="1" allowOverlap="1" wp14:anchorId="7CFEDEE0" wp14:editId="1693CACA">
                <wp:simplePos x="0" y="0"/>
                <wp:positionH relativeFrom="column">
                  <wp:posOffset>889000</wp:posOffset>
                </wp:positionH>
                <wp:positionV relativeFrom="paragraph">
                  <wp:posOffset>27940</wp:posOffset>
                </wp:positionV>
                <wp:extent cx="161925" cy="152400"/>
                <wp:effectExtent l="8255" t="10160" r="10795" b="8890"/>
                <wp:wrapNone/>
                <wp:docPr id="126"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EE0CD" id="Rectangle 163" o:spid="_x0000_s1026" style="position:absolute;margin-left:70pt;margin-top:2.2pt;width:12.75pt;height:1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"/>
            </w:pict>
          </mc:Fallback>
        </mc:AlternateContent>
      </w:r>
      <w:r w:rsidR="006F76EB" w:rsidRPr="00834D52">
        <w:rPr>
          <w:rFonts w:ascii="Sylfaen" w:hAnsi="Sylfaen"/>
          <w:sz w:val="24"/>
          <w:szCs w:val="24"/>
        </w:rPr>
        <w:t>ՕՐԻԳԻՆԱԼ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289"/>
        <w:gridCol w:w="4323"/>
      </w:tblGrid>
      <w:tr w:rsidR="006F76EB" w:rsidRPr="00834D52" w14:paraId="085C0684" w14:textId="77777777" w:rsidTr="00F71229">
        <w:tc>
          <w:tcPr>
            <w:tcW w:w="5289" w:type="dxa"/>
            <w:tcBorders>
              <w:top w:val="single" w:sz="4" w:space="0" w:color="000000"/>
              <w:left w:val="single" w:sz="4" w:space="0" w:color="000000"/>
              <w:bottom w:val="single" w:sz="4" w:space="0" w:color="000000"/>
              <w:right w:val="single" w:sz="4" w:space="0" w:color="000000"/>
            </w:tcBorders>
          </w:tcPr>
          <w:p w14:paraId="70462A97" w14:textId="72581B95" w:rsidR="006F76EB" w:rsidRPr="00834D52" w:rsidRDefault="0037154C" w:rsidP="00BC304C">
            <w:pPr>
              <w:spacing w:after="120" w:line="240" w:lineRule="auto"/>
              <w:ind w:left="186"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0736" behindDoc="0" locked="0" layoutInCell="1" allowOverlap="1" wp14:anchorId="58B93ED8" wp14:editId="5C16D0E0">
                      <wp:simplePos x="0" y="0"/>
                      <wp:positionH relativeFrom="column">
                        <wp:posOffset>185420</wp:posOffset>
                      </wp:positionH>
                      <wp:positionV relativeFrom="paragraph">
                        <wp:posOffset>60325</wp:posOffset>
                      </wp:positionV>
                      <wp:extent cx="161925" cy="152400"/>
                      <wp:effectExtent l="8255" t="13970" r="10795" b="5080"/>
                      <wp:wrapNone/>
                      <wp:docPr id="125"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E5339" id="Rectangle 164" o:spid="_x0000_s1026" style="position:absolute;margin-left:14.6pt;margin-top:4.75pt;width:12.75pt;height:1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"/>
                  </w:pict>
                </mc:Fallback>
              </mc:AlternateContent>
            </w:r>
            <w:r w:rsidR="006F76EB" w:rsidRPr="00834D52">
              <w:rPr>
                <w:rFonts w:ascii="Sylfaen" w:hAnsi="Sylfaen"/>
                <w:sz w:val="24"/>
                <w:szCs w:val="24"/>
              </w:rPr>
              <w:t>կենսաբանական դեղապատրաստուկ</w:t>
            </w:r>
          </w:p>
        </w:tc>
        <w:tc>
          <w:tcPr>
            <w:tcW w:w="4323" w:type="dxa"/>
            <w:tcBorders>
              <w:top w:val="single" w:sz="4" w:space="0" w:color="000000"/>
              <w:left w:val="single" w:sz="4" w:space="0" w:color="000000"/>
              <w:bottom w:val="single" w:sz="4" w:space="0" w:color="000000"/>
              <w:right w:val="single" w:sz="4" w:space="0" w:color="000000"/>
            </w:tcBorders>
          </w:tcPr>
          <w:p w14:paraId="4EDCD173" w14:textId="1847197F" w:rsidR="006F76EB" w:rsidRPr="00834D52" w:rsidRDefault="0037154C" w:rsidP="00BC304C">
            <w:pPr>
              <w:spacing w:after="120" w:line="240" w:lineRule="auto"/>
              <w:ind w:left="186" w:right="-8" w:firstLine="567"/>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01760" behindDoc="0" locked="0" layoutInCell="1" allowOverlap="1" wp14:anchorId="55ACCDE4" wp14:editId="32AFAB30">
                      <wp:simplePos x="0" y="0"/>
                      <wp:positionH relativeFrom="column">
                        <wp:posOffset>202565</wp:posOffset>
                      </wp:positionH>
                      <wp:positionV relativeFrom="paragraph">
                        <wp:posOffset>60325</wp:posOffset>
                      </wp:positionV>
                      <wp:extent cx="161925" cy="152400"/>
                      <wp:effectExtent l="12065" t="13970" r="6985" b="5080"/>
                      <wp:wrapNone/>
                      <wp:docPr id="12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F4D4E" id="Rectangle 165" o:spid="_x0000_s1026" style="position:absolute;margin-left:15.95pt;margin-top:4.75pt;width:12.75pt;height:1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"/>
                  </w:pict>
                </mc:Fallback>
              </mc:AlternateContent>
            </w:r>
            <w:r w:rsidR="006F76EB" w:rsidRPr="00834D52">
              <w:rPr>
                <w:rFonts w:ascii="Sylfaen" w:hAnsi="Sylfaen"/>
                <w:sz w:val="24"/>
                <w:szCs w:val="24"/>
              </w:rPr>
              <w:t>այլ դեղապատրաստուկ</w:t>
            </w:r>
          </w:p>
        </w:tc>
      </w:tr>
      <w:tr w:rsidR="006F76EB" w:rsidRPr="00834D52" w14:paraId="1DBF033B"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4D72B258" w14:textId="7AAC118B" w:rsidR="006F76EB" w:rsidRPr="00834D52" w:rsidRDefault="0037154C" w:rsidP="00BC304C">
            <w:pPr>
              <w:spacing w:after="120" w:line="240" w:lineRule="auto"/>
              <w:ind w:left="753" w:right="-8"/>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2784" behindDoc="0" locked="0" layoutInCell="1" allowOverlap="1" wp14:anchorId="61639378" wp14:editId="3EE53842">
                      <wp:simplePos x="0" y="0"/>
                      <wp:positionH relativeFrom="column">
                        <wp:posOffset>185420</wp:posOffset>
                      </wp:positionH>
                      <wp:positionV relativeFrom="paragraph">
                        <wp:posOffset>64135</wp:posOffset>
                      </wp:positionV>
                      <wp:extent cx="161925" cy="152400"/>
                      <wp:effectExtent l="8255" t="5715" r="10795" b="13335"/>
                      <wp:wrapNone/>
                      <wp:docPr id="12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60BB" id="Rectangle 166" o:spid="_x0000_s1026" style="position:absolute;margin-left:14.6pt;margin-top:5.05pt;width:12.75pt;height:1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"/>
                  </w:pict>
                </mc:Fallback>
              </mc:AlternateContent>
            </w:r>
            <w:r w:rsidR="006F76EB" w:rsidRPr="00834D52">
              <w:rPr>
                <w:rFonts w:ascii="Sylfaen" w:hAnsi="Sylfaen"/>
                <w:sz w:val="24"/>
                <w:szCs w:val="24"/>
              </w:rPr>
              <w:t>նոր ակտիվ դեղաբանական բաղադրամաս (այսուհետ՝ ԱԴԲ)</w:t>
            </w:r>
          </w:p>
          <w:p w14:paraId="4430C33E" w14:textId="77777777" w:rsidR="006F76EB" w:rsidRPr="00834D52" w:rsidRDefault="006F76EB" w:rsidP="00BC304C">
            <w:pPr>
              <w:spacing w:after="120" w:line="240" w:lineRule="auto"/>
              <w:ind w:left="186" w:right="212"/>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բացակայում են ԱԴԲ-ի մասին տեղեկությունները:</w:t>
            </w:r>
          </w:p>
        </w:tc>
      </w:tr>
      <w:tr w:rsidR="006F76EB" w:rsidRPr="00834D52" w14:paraId="033CB1B6"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43EBC2E1" w14:textId="3F90C7AB" w:rsidR="006F76EB" w:rsidRPr="00834D52" w:rsidRDefault="0037154C" w:rsidP="00BC304C">
            <w:pPr>
              <w:spacing w:after="120" w:line="240" w:lineRule="auto"/>
              <w:ind w:left="753" w:right="-8"/>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3808" behindDoc="0" locked="0" layoutInCell="1" allowOverlap="1" wp14:anchorId="441D5529" wp14:editId="2EDF1762">
                      <wp:simplePos x="0" y="0"/>
                      <wp:positionH relativeFrom="column">
                        <wp:posOffset>185420</wp:posOffset>
                      </wp:positionH>
                      <wp:positionV relativeFrom="paragraph">
                        <wp:posOffset>58420</wp:posOffset>
                      </wp:positionV>
                      <wp:extent cx="161925" cy="152400"/>
                      <wp:effectExtent l="8255" t="9525" r="10795" b="9525"/>
                      <wp:wrapNone/>
                      <wp:docPr id="12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0E761" id="Rectangle 167" o:spid="_x0000_s1026" style="position:absolute;margin-left:14.6pt;margin-top:4.6pt;width:12.75pt;height:1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"/>
                  </w:pict>
                </mc:Fallback>
              </mc:AlternateContent>
            </w:r>
            <w:r w:rsidR="005F6A31">
              <w:rPr>
                <w:rFonts w:ascii="Sylfaen" w:hAnsi="Sylfaen"/>
                <w:sz w:val="24"/>
                <w:szCs w:val="24"/>
              </w:rPr>
              <w:t>հայտնի</w:t>
            </w:r>
            <w:r w:rsidR="006F76EB" w:rsidRPr="00834D52">
              <w:rPr>
                <w:rFonts w:ascii="Sylfaen" w:hAnsi="Sylfaen"/>
                <w:sz w:val="24"/>
                <w:szCs w:val="24"/>
              </w:rPr>
              <w:t xml:space="preserve"> ԱԴԲ</w:t>
            </w:r>
          </w:p>
          <w:p w14:paraId="46A0006A" w14:textId="77777777" w:rsidR="006F76EB" w:rsidRPr="00834D52" w:rsidRDefault="006F76EB" w:rsidP="00BC304C">
            <w:pPr>
              <w:spacing w:after="120" w:line="240" w:lineRule="auto"/>
              <w:ind w:left="186" w:right="212"/>
              <w:rPr>
                <w:rFonts w:ascii="Sylfaen" w:hAnsi="Sylfae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առկա են ԱԴԲ-ի մասին տեղեկություններ:</w:t>
            </w:r>
          </w:p>
        </w:tc>
      </w:tr>
    </w:tbl>
    <w:p w14:paraId="4A7A465E" w14:textId="77777777" w:rsidR="006F76EB" w:rsidRPr="00834D52" w:rsidRDefault="006F76EB" w:rsidP="006F76EB">
      <w:pPr>
        <w:spacing w:after="160" w:line="360" w:lineRule="auto"/>
        <w:ind w:right="-8"/>
        <w:jc w:val="center"/>
        <w:rPr>
          <w:rFonts w:ascii="Sylfaen" w:hAnsi="Sylfaen"/>
          <w:sz w:val="24"/>
          <w:szCs w:val="24"/>
        </w:rPr>
      </w:pPr>
    </w:p>
    <w:p w14:paraId="4FEA6748" w14:textId="002A584E"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4832" behindDoc="0" locked="0" layoutInCell="1" allowOverlap="1" wp14:anchorId="3458D552" wp14:editId="26009A40">
                <wp:simplePos x="0" y="0"/>
                <wp:positionH relativeFrom="column">
                  <wp:posOffset>727075</wp:posOffset>
                </wp:positionH>
                <wp:positionV relativeFrom="paragraph">
                  <wp:posOffset>31115</wp:posOffset>
                </wp:positionV>
                <wp:extent cx="161925" cy="152400"/>
                <wp:effectExtent l="8255" t="13335" r="10795" b="5715"/>
                <wp:wrapNone/>
                <wp:docPr id="12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0A081" id="Rectangle 168" o:spid="_x0000_s1026" style="position:absolute;margin-left:57.25pt;margin-top:2.45pt;width:12.75pt;height:1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"/>
            </w:pict>
          </mc:Fallback>
        </mc:AlternateContent>
      </w:r>
      <w:r w:rsidR="006F76EB" w:rsidRPr="00834D52">
        <w:rPr>
          <w:rFonts w:ascii="Sylfaen" w:hAnsi="Sylfaen"/>
          <w:sz w:val="24"/>
          <w:szCs w:val="24"/>
        </w:rPr>
        <w:t>ՎԵՐԱՐՏԱԴՐՎԱԾ ԴԵՂԱՊԱՏՐԱՍՏՈՒԿ</w:t>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110"/>
      </w:tblGrid>
      <w:tr w:rsidR="006F76EB" w:rsidRPr="00834D52" w14:paraId="2A1D8F1F" w14:textId="77777777" w:rsidTr="00F71229">
        <w:tc>
          <w:tcPr>
            <w:tcW w:w="5387" w:type="dxa"/>
          </w:tcPr>
          <w:p w14:paraId="6E890B8C" w14:textId="111CD3AD" w:rsidR="006F76EB" w:rsidRPr="00834D52" w:rsidRDefault="0037154C" w:rsidP="00F71229">
            <w:pPr>
              <w:spacing w:after="160" w:line="360" w:lineRule="auto"/>
              <w:ind w:left="44" w:right="-8" w:firstLine="425"/>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5856" behindDoc="0" locked="0" layoutInCell="1" allowOverlap="1" wp14:anchorId="4EFC72F2" wp14:editId="43AAF8EF">
                      <wp:simplePos x="0" y="0"/>
                      <wp:positionH relativeFrom="column">
                        <wp:posOffset>22225</wp:posOffset>
                      </wp:positionH>
                      <wp:positionV relativeFrom="paragraph">
                        <wp:posOffset>55245</wp:posOffset>
                      </wp:positionV>
                      <wp:extent cx="161925" cy="152400"/>
                      <wp:effectExtent l="5080" t="11430" r="13970" b="7620"/>
                      <wp:wrapNone/>
                      <wp:docPr id="12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B9122" id="Rectangle 169" o:spid="_x0000_s1026" style="position:absolute;margin-left:1.75pt;margin-top:4.35pt;width:12.75pt;height:1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"/>
                  </w:pict>
                </mc:Fallback>
              </mc:AlternateContent>
            </w:r>
            <w:r w:rsidR="006F76EB" w:rsidRPr="00834D52">
              <w:rPr>
                <w:rFonts w:ascii="Sylfaen" w:hAnsi="Sylfaen"/>
                <w:sz w:val="24"/>
                <w:szCs w:val="24"/>
              </w:rPr>
              <w:t>միաբաղադրիչ</w:t>
            </w:r>
          </w:p>
        </w:tc>
        <w:tc>
          <w:tcPr>
            <w:tcW w:w="4110" w:type="dxa"/>
          </w:tcPr>
          <w:p w14:paraId="1A8CE443" w14:textId="08F83CD2" w:rsidR="006F76EB" w:rsidRPr="00834D52" w:rsidRDefault="0037154C" w:rsidP="00F71229">
            <w:pPr>
              <w:spacing w:after="160" w:line="360" w:lineRule="auto"/>
              <w:ind w:left="469" w:right="-8"/>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6880" behindDoc="0" locked="0" layoutInCell="1" allowOverlap="1" wp14:anchorId="45D284AE" wp14:editId="2A7C98A2">
                      <wp:simplePos x="0" y="0"/>
                      <wp:positionH relativeFrom="column">
                        <wp:posOffset>-5080</wp:posOffset>
                      </wp:positionH>
                      <wp:positionV relativeFrom="paragraph">
                        <wp:posOffset>55245</wp:posOffset>
                      </wp:positionV>
                      <wp:extent cx="161925" cy="152400"/>
                      <wp:effectExtent l="7620" t="11430" r="11430" b="7620"/>
                      <wp:wrapNone/>
                      <wp:docPr id="11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59E0B" id="Rectangle 170" o:spid="_x0000_s1026" style="position:absolute;margin-left:-.4pt;margin-top:4.35pt;width:12.75pt;height:1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"/>
                  </w:pict>
                </mc:Fallback>
              </mc:AlternateContent>
            </w:r>
            <w:r w:rsidR="006F76EB" w:rsidRPr="00834D52">
              <w:rPr>
                <w:rFonts w:ascii="Sylfaen" w:hAnsi="Sylfaen"/>
                <w:sz w:val="24"/>
                <w:szCs w:val="24"/>
              </w:rPr>
              <w:t>բազմաբաղադրիչ</w:t>
            </w:r>
          </w:p>
        </w:tc>
      </w:tr>
    </w:tbl>
    <w:p w14:paraId="4B085541" w14:textId="77777777" w:rsidR="006F76EB" w:rsidRPr="00834D52" w:rsidRDefault="006F76EB" w:rsidP="006F76EB">
      <w:pPr>
        <w:spacing w:after="160" w:line="360" w:lineRule="auto"/>
        <w:ind w:right="-8"/>
        <w:rPr>
          <w:rFonts w:ascii="Sylfaen" w:hAnsi="Sylfae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498"/>
        <w:gridCol w:w="4114"/>
      </w:tblGrid>
      <w:tr w:rsidR="006F76EB" w:rsidRPr="00834D52" w14:paraId="47341562"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19BB72E9"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4DDA1018"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3425280B"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107E06DD" w14:textId="77777777" w:rsidR="006F76EB" w:rsidRPr="00834D52" w:rsidRDefault="006F76EB" w:rsidP="00E15800">
            <w:pPr>
              <w:spacing w:after="120" w:line="240" w:lineRule="auto"/>
              <w:ind w:right="-6"/>
              <w:rPr>
                <w:rFonts w:ascii="Sylfaen" w:hAnsi="Sylfaen"/>
                <w:sz w:val="24"/>
                <w:szCs w:val="24"/>
              </w:rPr>
            </w:pPr>
          </w:p>
        </w:tc>
      </w:tr>
      <w:tr w:rsidR="006F76EB" w:rsidRPr="00834D52" w14:paraId="6BF4DE9C"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41A85152"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w:t>
            </w:r>
            <w:r w:rsidRPr="00834D52">
              <w:rPr>
                <w:rFonts w:ascii="Sylfaen" w:hAnsi="Sylfaen"/>
                <w:sz w:val="24"/>
                <w:szCs w:val="24"/>
              </w:rPr>
              <w:lastRenderedPageBreak/>
              <w:t>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71448024" w14:textId="77777777" w:rsidR="006F76EB" w:rsidRPr="00834D52" w:rsidRDefault="006F76EB" w:rsidP="00E15800">
            <w:pPr>
              <w:spacing w:after="120" w:line="240" w:lineRule="auto"/>
              <w:ind w:right="-6"/>
              <w:rPr>
                <w:rFonts w:ascii="Sylfaen" w:hAnsi="Sylfaen"/>
                <w:sz w:val="24"/>
                <w:szCs w:val="24"/>
              </w:rPr>
            </w:pPr>
          </w:p>
        </w:tc>
      </w:tr>
      <w:tr w:rsidR="006F76EB" w:rsidRPr="00834D52" w14:paraId="08A5A9F5"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2C0CF87D" w14:textId="77777777" w:rsidR="006F76EB" w:rsidRPr="00834D52" w:rsidRDefault="00D0720C" w:rsidP="00E15800">
            <w:pPr>
              <w:spacing w:after="120" w:line="240" w:lineRule="auto"/>
              <w:ind w:left="187" w:right="-6"/>
              <w:rPr>
                <w:rFonts w:ascii="Sylfaen" w:eastAsia="Times New Roman" w:hAnsi="Sylfaen" w:cs="Times New Roman"/>
                <w:sz w:val="24"/>
                <w:szCs w:val="24"/>
              </w:rPr>
            </w:pPr>
            <w:r>
              <w:rPr>
                <w:rFonts w:ascii="Sylfaen" w:hAnsi="Sylfaen"/>
                <w:sz w:val="24"/>
                <w:szCs w:val="24"/>
              </w:rPr>
              <w:t>Ռեֆերենտ</w:t>
            </w:r>
            <w:r w:rsidRPr="00834D52">
              <w:rPr>
                <w:rFonts w:ascii="Sylfaen" w:hAnsi="Sylfaen"/>
                <w:sz w:val="24"/>
                <w:szCs w:val="24"/>
              </w:rPr>
              <w:t xml:space="preserve"> </w:t>
            </w:r>
            <w:r w:rsidR="006F76EB" w:rsidRPr="00834D52">
              <w:rPr>
                <w:rFonts w:ascii="Sylfaen" w:hAnsi="Sylfaen"/>
                <w:sz w:val="24"/>
                <w:szCs w:val="24"/>
              </w:rPr>
              <w:t>դեղապատրաստուկը, որն օգտագործվել է համարժեքության հետազոտություններում (եթե այդպիսիք անցկացվել են)՝</w:t>
            </w:r>
          </w:p>
        </w:tc>
      </w:tr>
      <w:tr w:rsidR="006F76EB" w:rsidRPr="00834D52" w14:paraId="2B65D4EE"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5675C79C"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7F77A0EE" w14:textId="77777777" w:rsidR="006F76EB" w:rsidRPr="00834D52" w:rsidRDefault="006F76EB" w:rsidP="00E15800">
            <w:pPr>
              <w:spacing w:after="120" w:line="240" w:lineRule="auto"/>
              <w:ind w:right="-6"/>
              <w:rPr>
                <w:rFonts w:ascii="Sylfaen" w:hAnsi="Sylfaen"/>
                <w:sz w:val="24"/>
                <w:szCs w:val="24"/>
              </w:rPr>
            </w:pPr>
          </w:p>
        </w:tc>
      </w:tr>
      <w:tr w:rsidR="006F76EB" w:rsidRPr="00834D52" w14:paraId="7B73ECD9"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7CA67BB5"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19E4D960" w14:textId="77777777" w:rsidR="006F76EB" w:rsidRPr="00834D52" w:rsidRDefault="006F76EB" w:rsidP="00E15800">
            <w:pPr>
              <w:spacing w:after="120" w:line="240" w:lineRule="auto"/>
              <w:ind w:right="-6"/>
              <w:rPr>
                <w:rFonts w:ascii="Sylfaen" w:hAnsi="Sylfaen"/>
                <w:sz w:val="24"/>
                <w:szCs w:val="24"/>
              </w:rPr>
            </w:pPr>
          </w:p>
        </w:tc>
      </w:tr>
      <w:tr w:rsidR="006F76EB" w:rsidRPr="00834D52" w14:paraId="44792828"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29522AC8"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 xml:space="preserve">բերել </w:t>
            </w:r>
            <w:r w:rsidR="00D0720C">
              <w:rPr>
                <w:rFonts w:ascii="Sylfaen" w:hAnsi="Sylfaen"/>
                <w:sz w:val="24"/>
                <w:szCs w:val="24"/>
              </w:rPr>
              <w:t>ռեֆերենտ</w:t>
            </w:r>
            <w:r w:rsidRPr="00834D52">
              <w:rPr>
                <w:rFonts w:ascii="Sylfaen" w:hAnsi="Sylfaen"/>
                <w:sz w:val="24"/>
                <w:szCs w:val="24"/>
              </w:rPr>
              <w:t xml:space="preserve"> պատրաստուկի օգտագործման հիմնավորումներ օրիգինալ պատրաստուկից դրա տարբերության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50400E80"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200D5DD"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77065055" w14:textId="77777777" w:rsidR="006F76EB" w:rsidRPr="00834D52" w:rsidRDefault="00D0720C" w:rsidP="00E15800">
            <w:pPr>
              <w:spacing w:after="120" w:line="240" w:lineRule="auto"/>
              <w:ind w:left="187"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վերաբերյալ Դեղամիջոցների հարցերով փորձագիտական կոմիտեի առաջարկությունների առկայությունը</w:t>
            </w:r>
          </w:p>
        </w:tc>
        <w:tc>
          <w:tcPr>
            <w:tcW w:w="4114" w:type="dxa"/>
            <w:tcBorders>
              <w:top w:val="single" w:sz="4" w:space="0" w:color="000000"/>
              <w:left w:val="single" w:sz="4" w:space="0" w:color="000000"/>
              <w:bottom w:val="single" w:sz="4" w:space="0" w:color="000000"/>
              <w:right w:val="single" w:sz="4" w:space="0" w:color="000000"/>
            </w:tcBorders>
          </w:tcPr>
          <w:p w14:paraId="4844C9DC" w14:textId="77777777" w:rsidR="006F76EB" w:rsidRPr="00834D52" w:rsidRDefault="006F76EB" w:rsidP="00E15800">
            <w:pPr>
              <w:spacing w:after="120" w:line="240" w:lineRule="auto"/>
              <w:ind w:right="-6"/>
              <w:rPr>
                <w:rFonts w:ascii="Sylfaen" w:hAnsi="Sylfaen"/>
                <w:sz w:val="24"/>
                <w:szCs w:val="24"/>
              </w:rPr>
            </w:pPr>
          </w:p>
        </w:tc>
      </w:tr>
    </w:tbl>
    <w:p w14:paraId="45194A10"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Բաժինն անհրաժեշտ է լրացնել յուրաքանչյուր դեղապատրաստուկի համար, որն օգտագործվել է համարժեքության հետազոտություններում:</w:t>
      </w:r>
    </w:p>
    <w:p w14:paraId="763B2C4A" w14:textId="77777777" w:rsidR="006F76EB" w:rsidRPr="00834D52" w:rsidRDefault="006F76EB" w:rsidP="00DA62B0">
      <w:pPr>
        <w:spacing w:after="160" w:line="360" w:lineRule="auto"/>
        <w:ind w:right="-8"/>
        <w:jc w:val="center"/>
        <w:rPr>
          <w:rFonts w:ascii="Sylfaen" w:hAnsi="Sylfaen"/>
          <w:sz w:val="24"/>
          <w:szCs w:val="24"/>
        </w:rPr>
      </w:pPr>
    </w:p>
    <w:p w14:paraId="571F02F9" w14:textId="1DED9269"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07904" behindDoc="0" locked="0" layoutInCell="1" allowOverlap="1" wp14:anchorId="3838EE17" wp14:editId="4D75092B">
                <wp:simplePos x="0" y="0"/>
                <wp:positionH relativeFrom="column">
                  <wp:posOffset>412750</wp:posOffset>
                </wp:positionH>
                <wp:positionV relativeFrom="paragraph">
                  <wp:posOffset>26670</wp:posOffset>
                </wp:positionV>
                <wp:extent cx="161925" cy="152400"/>
                <wp:effectExtent l="8255" t="10160" r="10795" b="8890"/>
                <wp:wrapNone/>
                <wp:docPr id="11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31818" id="Rectangle 171" o:spid="_x0000_s1026" style="position:absolute;margin-left:32.5pt;margin-top:2.1pt;width:12.75pt;height:1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"/>
            </w:pict>
          </mc:Fallback>
        </mc:AlternateContent>
      </w:r>
      <w:r w:rsidR="006F76EB" w:rsidRPr="00834D52">
        <w:rPr>
          <w:rFonts w:ascii="Sylfaen" w:hAnsi="Sylfaen"/>
          <w:sz w:val="24"/>
          <w:szCs w:val="24"/>
        </w:rPr>
        <w:t>ԿԵՆՍԱՆՄԱՆ ԴԵՂԱՊԱՏՐԱՍՏՈՒԿ (ԿԵՆՍԱՆՄԱՆԱԿ)</w:t>
      </w:r>
    </w:p>
    <w:p w14:paraId="5BC20078"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498"/>
        <w:gridCol w:w="4114"/>
      </w:tblGrid>
      <w:tr w:rsidR="006F76EB" w:rsidRPr="00834D52" w14:paraId="2E0BDD53"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3C98D8A8"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4EBC6F6F"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D364DBF"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1836977D"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015E6431" w14:textId="77777777" w:rsidR="006F76EB" w:rsidRPr="00834D52" w:rsidRDefault="006F76EB" w:rsidP="00E15800">
            <w:pPr>
              <w:spacing w:after="120" w:line="240" w:lineRule="auto"/>
              <w:ind w:right="-6"/>
              <w:rPr>
                <w:rFonts w:ascii="Sylfaen" w:hAnsi="Sylfaen"/>
                <w:sz w:val="24"/>
                <w:szCs w:val="24"/>
              </w:rPr>
            </w:pPr>
          </w:p>
        </w:tc>
      </w:tr>
    </w:tbl>
    <w:p w14:paraId="475156BA" w14:textId="77777777" w:rsidR="006F76EB" w:rsidRPr="00834D52" w:rsidRDefault="00D0720C" w:rsidP="006F76EB">
      <w:pPr>
        <w:spacing w:after="160" w:line="360" w:lineRule="auto"/>
        <w:ind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431"/>
        <w:gridCol w:w="4181"/>
      </w:tblGrid>
      <w:tr w:rsidR="006F76EB" w:rsidRPr="00834D52" w14:paraId="1EA2BA79"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167907B6" w14:textId="77777777" w:rsidR="006F76EB" w:rsidRPr="00834D52" w:rsidRDefault="006F76EB" w:rsidP="00E1580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lastRenderedPageBreak/>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81" w:type="dxa"/>
            <w:tcBorders>
              <w:top w:val="single" w:sz="4" w:space="0" w:color="000000"/>
              <w:left w:val="single" w:sz="4" w:space="0" w:color="000000"/>
              <w:bottom w:val="single" w:sz="4" w:space="0" w:color="000000"/>
              <w:right w:val="single" w:sz="4" w:space="0" w:color="000000"/>
            </w:tcBorders>
          </w:tcPr>
          <w:p w14:paraId="3C297CBA" w14:textId="77777777" w:rsidR="006F76EB" w:rsidRPr="00834D52" w:rsidRDefault="006F76EB" w:rsidP="00E15800">
            <w:pPr>
              <w:spacing w:after="120" w:line="240" w:lineRule="auto"/>
              <w:ind w:right="-8"/>
              <w:rPr>
                <w:rFonts w:ascii="Sylfaen" w:hAnsi="Sylfaen"/>
                <w:sz w:val="24"/>
                <w:szCs w:val="24"/>
              </w:rPr>
            </w:pPr>
          </w:p>
        </w:tc>
      </w:tr>
      <w:tr w:rsidR="006F76EB" w:rsidRPr="00834D52" w14:paraId="599A610C"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63D871B2" w14:textId="77777777" w:rsidR="006F76EB" w:rsidRPr="00834D52" w:rsidRDefault="006F76EB" w:rsidP="00E1580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Եվրասիական 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81" w:type="dxa"/>
            <w:tcBorders>
              <w:top w:val="single" w:sz="4" w:space="0" w:color="000000"/>
              <w:left w:val="single" w:sz="4" w:space="0" w:color="000000"/>
              <w:bottom w:val="single" w:sz="4" w:space="0" w:color="000000"/>
              <w:right w:val="single" w:sz="4" w:space="0" w:color="000000"/>
            </w:tcBorders>
          </w:tcPr>
          <w:p w14:paraId="018EAD48" w14:textId="77777777" w:rsidR="006F76EB" w:rsidRPr="00834D52" w:rsidRDefault="006F76EB" w:rsidP="00E15800">
            <w:pPr>
              <w:spacing w:after="120" w:line="240" w:lineRule="auto"/>
              <w:ind w:right="-8"/>
              <w:rPr>
                <w:rFonts w:ascii="Sylfaen" w:hAnsi="Sylfaen"/>
                <w:sz w:val="24"/>
                <w:szCs w:val="24"/>
              </w:rPr>
            </w:pPr>
          </w:p>
        </w:tc>
      </w:tr>
      <w:tr w:rsidR="006F76EB" w:rsidRPr="00834D52" w14:paraId="758CD529"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1289E48D" w14:textId="77777777" w:rsidR="006F76EB" w:rsidRPr="00834D52" w:rsidRDefault="00D0720C" w:rsidP="00E15800">
            <w:pPr>
              <w:spacing w:after="120" w:line="240" w:lineRule="auto"/>
              <w:ind w:left="186"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հարցի վերաբերյալ Դեղամիջոցների հարցերով փորձագիտական կոմիտեի առաջարկությունների առկայությունը</w:t>
            </w:r>
          </w:p>
        </w:tc>
        <w:tc>
          <w:tcPr>
            <w:tcW w:w="4181" w:type="dxa"/>
            <w:tcBorders>
              <w:top w:val="single" w:sz="4" w:space="0" w:color="000000"/>
              <w:left w:val="single" w:sz="4" w:space="0" w:color="000000"/>
              <w:bottom w:val="single" w:sz="4" w:space="0" w:color="000000"/>
              <w:right w:val="single" w:sz="4" w:space="0" w:color="000000"/>
            </w:tcBorders>
          </w:tcPr>
          <w:p w14:paraId="4F11B656" w14:textId="77777777" w:rsidR="006F76EB" w:rsidRPr="00834D52" w:rsidRDefault="006F76EB" w:rsidP="00E15800">
            <w:pPr>
              <w:spacing w:after="120" w:line="240" w:lineRule="auto"/>
              <w:ind w:right="-8"/>
              <w:rPr>
                <w:rFonts w:ascii="Sylfaen" w:hAnsi="Sylfaen"/>
                <w:sz w:val="24"/>
                <w:szCs w:val="24"/>
              </w:rPr>
            </w:pPr>
          </w:p>
        </w:tc>
      </w:tr>
      <w:tr w:rsidR="006F76EB" w:rsidRPr="00834D52" w14:paraId="67A8DF1C"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36DA7085" w14:textId="77777777" w:rsidR="006F76EB" w:rsidRPr="00834D52" w:rsidRDefault="00D0720C" w:rsidP="00E15800">
            <w:pPr>
              <w:spacing w:after="120" w:line="240" w:lineRule="auto"/>
              <w:ind w:left="186"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դեղապատրաստուկի համեմատությամբ տարբերությունները (առկայության դեպքում)՝</w:t>
            </w:r>
          </w:p>
        </w:tc>
        <w:tc>
          <w:tcPr>
            <w:tcW w:w="4181" w:type="dxa"/>
            <w:tcBorders>
              <w:top w:val="single" w:sz="4" w:space="0" w:color="000000"/>
              <w:left w:val="single" w:sz="4" w:space="0" w:color="000000"/>
              <w:bottom w:val="single" w:sz="4" w:space="0" w:color="000000"/>
              <w:right w:val="single" w:sz="4" w:space="0" w:color="000000"/>
            </w:tcBorders>
          </w:tcPr>
          <w:p w14:paraId="751B6412" w14:textId="27160545"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08928" behindDoc="0" locked="0" layoutInCell="1" allowOverlap="1" wp14:anchorId="7B12AAE3" wp14:editId="232394F3">
                      <wp:simplePos x="0" y="0"/>
                      <wp:positionH relativeFrom="column">
                        <wp:posOffset>53340</wp:posOffset>
                      </wp:positionH>
                      <wp:positionV relativeFrom="paragraph">
                        <wp:posOffset>68580</wp:posOffset>
                      </wp:positionV>
                      <wp:extent cx="161925" cy="152400"/>
                      <wp:effectExtent l="10160" t="12065" r="8890" b="6985"/>
                      <wp:wrapNone/>
                      <wp:docPr id="11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9C7D6" id="Rectangle 172" o:spid="_x0000_s1026" style="position:absolute;margin-left:4.2pt;margin-top:5.4pt;width:12.75pt;height:1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"/>
                  </w:pict>
                </mc:Fallback>
              </mc:AlternateContent>
            </w:r>
            <w:r w:rsidR="006F76EB" w:rsidRPr="00834D52">
              <w:rPr>
                <w:rFonts w:ascii="Sylfaen" w:hAnsi="Sylfaen"/>
                <w:sz w:val="24"/>
                <w:szCs w:val="24"/>
              </w:rPr>
              <w:t>ելանյութերի տարբերությունները</w:t>
            </w:r>
          </w:p>
          <w:p w14:paraId="36DB0ADD" w14:textId="4EAA0B23"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09952" behindDoc="0" locked="0" layoutInCell="1" allowOverlap="1" wp14:anchorId="1632D20F" wp14:editId="4BD1E77A">
                      <wp:simplePos x="0" y="0"/>
                      <wp:positionH relativeFrom="column">
                        <wp:posOffset>62865</wp:posOffset>
                      </wp:positionH>
                      <wp:positionV relativeFrom="paragraph">
                        <wp:posOffset>64135</wp:posOffset>
                      </wp:positionV>
                      <wp:extent cx="161925" cy="152400"/>
                      <wp:effectExtent l="10160" t="8255" r="8890" b="10795"/>
                      <wp:wrapNone/>
                      <wp:docPr id="11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163AF" id="Rectangle 173" o:spid="_x0000_s1026" style="position:absolute;margin-left:4.95pt;margin-top:5.05pt;width:12.75pt;height:1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"/>
                  </w:pict>
                </mc:Fallback>
              </mc:AlternateContent>
            </w:r>
            <w:r w:rsidR="006F76EB" w:rsidRPr="00834D52">
              <w:rPr>
                <w:rFonts w:ascii="Sylfaen" w:hAnsi="Sylfaen"/>
                <w:sz w:val="24"/>
                <w:szCs w:val="24"/>
              </w:rPr>
              <w:t>արտադրական գործընթացի տարբերությունները</w:t>
            </w:r>
          </w:p>
          <w:p w14:paraId="0C3C91BC" w14:textId="0D200306"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0976" behindDoc="0" locked="0" layoutInCell="1" allowOverlap="1" wp14:anchorId="36B14C36" wp14:editId="006A67E2">
                      <wp:simplePos x="0" y="0"/>
                      <wp:positionH relativeFrom="column">
                        <wp:posOffset>72390</wp:posOffset>
                      </wp:positionH>
                      <wp:positionV relativeFrom="paragraph">
                        <wp:posOffset>32385</wp:posOffset>
                      </wp:positionV>
                      <wp:extent cx="161925" cy="152400"/>
                      <wp:effectExtent l="10160" t="6350" r="8890" b="12700"/>
                      <wp:wrapNone/>
                      <wp:docPr id="1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2034F" id="Rectangle 174" o:spid="_x0000_s1026" style="position:absolute;margin-left:5.7pt;margin-top:2.55pt;width:12.75pt;height:1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"/>
                  </w:pict>
                </mc:Fallback>
              </mc:AlternateContent>
            </w:r>
            <w:r w:rsidR="006F76EB" w:rsidRPr="00834D52">
              <w:rPr>
                <w:rFonts w:ascii="Sylfaen" w:hAnsi="Sylfaen"/>
                <w:sz w:val="24"/>
                <w:szCs w:val="24"/>
              </w:rPr>
              <w:t>կիրառման այլ ցուցումներ</w:t>
            </w:r>
          </w:p>
          <w:p w14:paraId="0AAF9DC9" w14:textId="76803329"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2000" behindDoc="0" locked="0" layoutInCell="1" allowOverlap="1" wp14:anchorId="4AC58763" wp14:editId="35E6E8DD">
                      <wp:simplePos x="0" y="0"/>
                      <wp:positionH relativeFrom="column">
                        <wp:posOffset>72390</wp:posOffset>
                      </wp:positionH>
                      <wp:positionV relativeFrom="paragraph">
                        <wp:posOffset>57150</wp:posOffset>
                      </wp:positionV>
                      <wp:extent cx="161925" cy="152400"/>
                      <wp:effectExtent l="10160" t="12700" r="8890" b="6350"/>
                      <wp:wrapNone/>
                      <wp:docPr id="11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71040" id="Rectangle 175" o:spid="_x0000_s1026" style="position:absolute;margin-left:5.7pt;margin-top:4.5pt;width:12.75pt;height:1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"/>
                  </w:pict>
                </mc:Fallback>
              </mc:AlternateContent>
            </w:r>
            <w:r w:rsidR="006F76EB" w:rsidRPr="00834D52">
              <w:rPr>
                <w:rFonts w:ascii="Sylfaen" w:hAnsi="Sylfaen"/>
                <w:sz w:val="24"/>
                <w:szCs w:val="24"/>
              </w:rPr>
              <w:t>դեղաձ</w:t>
            </w:r>
            <w:r w:rsidR="00C54D75">
              <w:rPr>
                <w:rFonts w:ascii="Sylfaen" w:hAnsi="Sylfaen"/>
                <w:sz w:val="24"/>
                <w:szCs w:val="24"/>
              </w:rPr>
              <w:t>և</w:t>
            </w:r>
            <w:r w:rsidR="006F76EB" w:rsidRPr="00834D52">
              <w:rPr>
                <w:rFonts w:ascii="Sylfaen" w:hAnsi="Sylfaen"/>
                <w:sz w:val="24"/>
                <w:szCs w:val="24"/>
              </w:rPr>
              <w:t>ի տարբերությունները</w:t>
            </w:r>
          </w:p>
          <w:p w14:paraId="0E44DC3F" w14:textId="146CBF0F"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3024" behindDoc="0" locked="0" layoutInCell="1" allowOverlap="1" wp14:anchorId="16E7BDA7" wp14:editId="57BD4E2B">
                      <wp:simplePos x="0" y="0"/>
                      <wp:positionH relativeFrom="column">
                        <wp:posOffset>72390</wp:posOffset>
                      </wp:positionH>
                      <wp:positionV relativeFrom="paragraph">
                        <wp:posOffset>81915</wp:posOffset>
                      </wp:positionV>
                      <wp:extent cx="161925" cy="152400"/>
                      <wp:effectExtent l="10160" t="9525" r="8890" b="9525"/>
                      <wp:wrapNone/>
                      <wp:docPr id="11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28BE0" id="Rectangle 176" o:spid="_x0000_s1026" style="position:absolute;margin-left:5.7pt;margin-top:6.45pt;width:12.75pt;height:1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"/>
                  </w:pict>
                </mc:Fallback>
              </mc:AlternateContent>
            </w:r>
            <w:r w:rsidR="006F76EB" w:rsidRPr="00834D52">
              <w:rPr>
                <w:rFonts w:ascii="Sylfaen" w:hAnsi="Sylfaen"/>
                <w:sz w:val="24"/>
                <w:szCs w:val="24"/>
              </w:rPr>
              <w:t>այլ դոզավորումներ (ԱԴԲ-ի քանակական փոփոխություններ)</w:t>
            </w:r>
          </w:p>
          <w:p w14:paraId="02C22785" w14:textId="7A51AF01"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4048" behindDoc="0" locked="0" layoutInCell="1" allowOverlap="1" wp14:anchorId="53637D98" wp14:editId="1E172E23">
                      <wp:simplePos x="0" y="0"/>
                      <wp:positionH relativeFrom="column">
                        <wp:posOffset>72390</wp:posOffset>
                      </wp:positionH>
                      <wp:positionV relativeFrom="paragraph">
                        <wp:posOffset>65405</wp:posOffset>
                      </wp:positionV>
                      <wp:extent cx="161925" cy="152400"/>
                      <wp:effectExtent l="10160" t="13335" r="8890" b="5715"/>
                      <wp:wrapNone/>
                      <wp:docPr id="112"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36B30" id="Rectangle 177" o:spid="_x0000_s1026" style="position:absolute;margin-left:5.7pt;margin-top:5.15pt;width:12.75pt;height:1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"/>
                  </w:pict>
                </mc:Fallback>
              </mc:AlternateContent>
            </w:r>
            <w:r w:rsidR="006F76EB" w:rsidRPr="00834D52">
              <w:rPr>
                <w:rFonts w:ascii="Sylfaen" w:hAnsi="Sylfaen"/>
                <w:sz w:val="24"/>
                <w:szCs w:val="24"/>
              </w:rPr>
              <w:t>ներմուծման այլ եղանակ</w:t>
            </w:r>
          </w:p>
          <w:p w14:paraId="6D72C97E" w14:textId="46FB6B3E" w:rsidR="006F76EB" w:rsidRPr="00834D52" w:rsidRDefault="0037154C" w:rsidP="00E15800">
            <w:pPr>
              <w:spacing w:after="120" w:line="240" w:lineRule="auto"/>
              <w:ind w:left="469"/>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5072" behindDoc="0" locked="0" layoutInCell="1" allowOverlap="1" wp14:anchorId="2AD60676" wp14:editId="50CF97B2">
                      <wp:simplePos x="0" y="0"/>
                      <wp:positionH relativeFrom="column">
                        <wp:posOffset>72390</wp:posOffset>
                      </wp:positionH>
                      <wp:positionV relativeFrom="paragraph">
                        <wp:posOffset>22860</wp:posOffset>
                      </wp:positionV>
                      <wp:extent cx="161925" cy="152400"/>
                      <wp:effectExtent l="10160" t="9525" r="8890" b="9525"/>
                      <wp:wrapNone/>
                      <wp:docPr id="11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24697" id="Rectangle 178" o:spid="_x0000_s1026" style="position:absolute;margin-left:5.7pt;margin-top:1.8pt;width:12.75pt;height:1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"/>
                  </w:pict>
                </mc:Fallback>
              </mc:AlternateContent>
            </w:r>
            <w:r w:rsidR="006F76EB" w:rsidRPr="00834D52">
              <w:rPr>
                <w:rFonts w:ascii="Sylfaen" w:hAnsi="Sylfaen"/>
                <w:sz w:val="24"/>
                <w:szCs w:val="24"/>
              </w:rPr>
              <w:t>այլ տարբերություններ՝ ______________________</w:t>
            </w:r>
          </w:p>
        </w:tc>
      </w:tr>
    </w:tbl>
    <w:p w14:paraId="54841B26" w14:textId="77777777" w:rsidR="006F76EB" w:rsidRPr="00834D52" w:rsidRDefault="006F76EB" w:rsidP="006F76EB">
      <w:pPr>
        <w:spacing w:after="160" w:line="360" w:lineRule="auto"/>
        <w:ind w:right="-8"/>
        <w:jc w:val="center"/>
        <w:rPr>
          <w:rFonts w:ascii="Sylfaen" w:hAnsi="Sylfaen"/>
          <w:sz w:val="24"/>
          <w:szCs w:val="24"/>
        </w:rPr>
      </w:pPr>
    </w:p>
    <w:p w14:paraId="6B1262CF" w14:textId="25CE3243"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6096" behindDoc="0" locked="0" layoutInCell="1" allowOverlap="1" wp14:anchorId="6FC2B953" wp14:editId="6F799175">
                <wp:simplePos x="0" y="0"/>
                <wp:positionH relativeFrom="column">
                  <wp:posOffset>1042670</wp:posOffset>
                </wp:positionH>
                <wp:positionV relativeFrom="paragraph">
                  <wp:posOffset>24130</wp:posOffset>
                </wp:positionV>
                <wp:extent cx="161925" cy="152400"/>
                <wp:effectExtent l="9525" t="11430" r="9525" b="7620"/>
                <wp:wrapNone/>
                <wp:docPr id="11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A8FD6" id="Rectangle 179" o:spid="_x0000_s1026" style="position:absolute;margin-left:82.1pt;margin-top:1.9pt;width:12.75pt;height:1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"/>
            </w:pict>
          </mc:Fallback>
        </mc:AlternateContent>
      </w:r>
      <w:r w:rsidR="006F76EB" w:rsidRPr="00834D52">
        <w:rPr>
          <w:rFonts w:ascii="Sylfaen" w:hAnsi="Sylfaen"/>
          <w:sz w:val="24"/>
          <w:szCs w:val="24"/>
        </w:rPr>
        <w:t>ՀԻԲՐԻԴԱՅԻՆ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4580"/>
        <w:gridCol w:w="5032"/>
      </w:tblGrid>
      <w:tr w:rsidR="006F76EB" w:rsidRPr="00834D52" w14:paraId="423F9F95"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3B658F84"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4FE7D8C3"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1DD9EECC"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5032" w:type="dxa"/>
            <w:tcBorders>
              <w:top w:val="single" w:sz="4" w:space="0" w:color="000000"/>
              <w:left w:val="single" w:sz="4" w:space="0" w:color="000000"/>
              <w:bottom w:val="single" w:sz="4" w:space="0" w:color="000000"/>
              <w:right w:val="single" w:sz="4" w:space="0" w:color="000000"/>
            </w:tcBorders>
          </w:tcPr>
          <w:p w14:paraId="4CAACF84"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A109650"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0C739A91"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5032" w:type="dxa"/>
            <w:tcBorders>
              <w:top w:val="single" w:sz="4" w:space="0" w:color="000000"/>
              <w:left w:val="single" w:sz="4" w:space="0" w:color="000000"/>
              <w:bottom w:val="single" w:sz="4" w:space="0" w:color="000000"/>
              <w:right w:val="single" w:sz="4" w:space="0" w:color="000000"/>
            </w:tcBorders>
          </w:tcPr>
          <w:p w14:paraId="49FD6B77" w14:textId="77777777" w:rsidR="006F76EB" w:rsidRPr="00834D52" w:rsidRDefault="006F76EB" w:rsidP="00E15800">
            <w:pPr>
              <w:spacing w:after="120" w:line="240" w:lineRule="auto"/>
              <w:ind w:right="-6"/>
              <w:rPr>
                <w:rFonts w:ascii="Sylfaen" w:hAnsi="Sylfaen"/>
                <w:sz w:val="24"/>
                <w:szCs w:val="24"/>
              </w:rPr>
            </w:pPr>
          </w:p>
        </w:tc>
      </w:tr>
      <w:tr w:rsidR="006F76EB" w:rsidRPr="00834D52" w14:paraId="231E8842"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09634BFD"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 Եվրասիական տնտեսական միության այն անդամ պետությունների գրանցման հավաստագրի համարը, որտեղ գրանցված է օրիգինալ դեղապատրաստուկը</w:t>
            </w:r>
          </w:p>
        </w:tc>
        <w:tc>
          <w:tcPr>
            <w:tcW w:w="5032" w:type="dxa"/>
            <w:tcBorders>
              <w:top w:val="single" w:sz="4" w:space="0" w:color="000000"/>
              <w:left w:val="single" w:sz="4" w:space="0" w:color="000000"/>
              <w:bottom w:val="single" w:sz="4" w:space="0" w:color="000000"/>
              <w:right w:val="single" w:sz="4" w:space="0" w:color="000000"/>
            </w:tcBorders>
          </w:tcPr>
          <w:p w14:paraId="4166E2FB" w14:textId="77777777" w:rsidR="006F76EB" w:rsidRPr="00834D52" w:rsidRDefault="006F76EB" w:rsidP="00E15800">
            <w:pPr>
              <w:spacing w:after="120" w:line="240" w:lineRule="auto"/>
              <w:ind w:right="-6"/>
              <w:rPr>
                <w:rFonts w:ascii="Sylfaen" w:hAnsi="Sylfaen"/>
                <w:sz w:val="24"/>
                <w:szCs w:val="24"/>
              </w:rPr>
            </w:pPr>
          </w:p>
        </w:tc>
      </w:tr>
      <w:tr w:rsidR="006F76EB" w:rsidRPr="00834D52" w14:paraId="6C7440FB"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655E13FB"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Օրիգինալ դեղապատրաստուկի համեմատությամբ տարբերությունները՝</w:t>
            </w:r>
          </w:p>
        </w:tc>
        <w:tc>
          <w:tcPr>
            <w:tcW w:w="5032" w:type="dxa"/>
            <w:tcBorders>
              <w:top w:val="single" w:sz="4" w:space="0" w:color="000000"/>
              <w:left w:val="single" w:sz="4" w:space="0" w:color="000000"/>
              <w:bottom w:val="single" w:sz="4" w:space="0" w:color="000000"/>
              <w:right w:val="single" w:sz="4" w:space="0" w:color="000000"/>
            </w:tcBorders>
          </w:tcPr>
          <w:p w14:paraId="65317360" w14:textId="6550E0DD"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7120" behindDoc="0" locked="0" layoutInCell="1" allowOverlap="1" wp14:anchorId="1C4CAAE7" wp14:editId="5FC6B66A">
                      <wp:simplePos x="0" y="0"/>
                      <wp:positionH relativeFrom="column">
                        <wp:posOffset>34290</wp:posOffset>
                      </wp:positionH>
                      <wp:positionV relativeFrom="paragraph">
                        <wp:posOffset>76835</wp:posOffset>
                      </wp:positionV>
                      <wp:extent cx="161925" cy="152400"/>
                      <wp:effectExtent l="12700" t="10160" r="6350" b="8890"/>
                      <wp:wrapNone/>
                      <wp:docPr id="10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B471" id="Rectangle 180" o:spid="_x0000_s1026" style="position:absolute;margin-left:2.7pt;margin-top:6.05pt;width:12.75pt;height:1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"/>
                  </w:pict>
                </mc:Fallback>
              </mc:AlternateContent>
            </w:r>
            <w:r w:rsidR="006F76EB" w:rsidRPr="00834D52">
              <w:rPr>
                <w:rFonts w:ascii="Sylfaen" w:hAnsi="Sylfaen"/>
                <w:sz w:val="24"/>
                <w:szCs w:val="24"/>
              </w:rPr>
              <w:t>ակտիվ դեղաբանական բաղադրամասի փոփոխություններ</w:t>
            </w:r>
          </w:p>
          <w:p w14:paraId="352418FF" w14:textId="0E65842A"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718144" behindDoc="0" locked="0" layoutInCell="1" allowOverlap="1" wp14:anchorId="44451C3C" wp14:editId="6994D969">
                      <wp:simplePos x="0" y="0"/>
                      <wp:positionH relativeFrom="column">
                        <wp:posOffset>34290</wp:posOffset>
                      </wp:positionH>
                      <wp:positionV relativeFrom="paragraph">
                        <wp:posOffset>39370</wp:posOffset>
                      </wp:positionV>
                      <wp:extent cx="161925" cy="152400"/>
                      <wp:effectExtent l="12700" t="12700" r="6350" b="6350"/>
                      <wp:wrapNone/>
                      <wp:docPr id="10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ABC8" id="Rectangle 181" o:spid="_x0000_s1026" style="position:absolute;margin-left:2.7pt;margin-top:3.1pt;width:12.75pt;height:1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"/>
                  </w:pict>
                </mc:Fallback>
              </mc:AlternateContent>
            </w:r>
            <w:r w:rsidR="006F76EB" w:rsidRPr="00834D52">
              <w:rPr>
                <w:rFonts w:ascii="Sylfaen" w:hAnsi="Sylfaen"/>
                <w:sz w:val="24"/>
                <w:szCs w:val="24"/>
              </w:rPr>
              <w:t>այլ դեղաձ</w:t>
            </w:r>
            <w:r w:rsidR="00C54D75">
              <w:rPr>
                <w:rFonts w:ascii="Sylfaen" w:hAnsi="Sylfaen"/>
                <w:sz w:val="24"/>
                <w:szCs w:val="24"/>
              </w:rPr>
              <w:t>և</w:t>
            </w:r>
          </w:p>
          <w:p w14:paraId="44DFB06C" w14:textId="18E802F5"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9168" behindDoc="0" locked="0" layoutInCell="1" allowOverlap="1" wp14:anchorId="2A590C1B" wp14:editId="74DE8D84">
                      <wp:simplePos x="0" y="0"/>
                      <wp:positionH relativeFrom="column">
                        <wp:posOffset>34290</wp:posOffset>
                      </wp:positionH>
                      <wp:positionV relativeFrom="paragraph">
                        <wp:posOffset>63500</wp:posOffset>
                      </wp:positionV>
                      <wp:extent cx="161925" cy="152400"/>
                      <wp:effectExtent l="12700" t="8890" r="6350" b="10160"/>
                      <wp:wrapNone/>
                      <wp:docPr id="10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43AA3" id="Rectangle 182" o:spid="_x0000_s1026" style="position:absolute;margin-left:2.7pt;margin-top:5pt;width:12.75pt;height: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"/>
                  </w:pict>
                </mc:Fallback>
              </mc:AlternateContent>
            </w:r>
            <w:r w:rsidR="006F76EB" w:rsidRPr="00834D52">
              <w:rPr>
                <w:rFonts w:ascii="Sylfaen" w:hAnsi="Sylfaen"/>
                <w:sz w:val="24"/>
                <w:szCs w:val="24"/>
              </w:rPr>
              <w:t>այլ դոզավորումներ (ԱԴԲ-ի քանակական փոփոխություններ)</w:t>
            </w:r>
          </w:p>
          <w:p w14:paraId="54800B81" w14:textId="0FB652D7"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20192" behindDoc="0" locked="0" layoutInCell="1" allowOverlap="1" wp14:anchorId="35322746" wp14:editId="45DECEF4">
                      <wp:simplePos x="0" y="0"/>
                      <wp:positionH relativeFrom="column">
                        <wp:posOffset>34290</wp:posOffset>
                      </wp:positionH>
                      <wp:positionV relativeFrom="paragraph">
                        <wp:posOffset>40005</wp:posOffset>
                      </wp:positionV>
                      <wp:extent cx="161925" cy="152400"/>
                      <wp:effectExtent l="12700" t="5715" r="6350" b="13335"/>
                      <wp:wrapNone/>
                      <wp:docPr id="10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72892" id="Rectangle 183" o:spid="_x0000_s1026" style="position:absolute;margin-left:2.7pt;margin-top:3.15pt;width:12.75pt;height:1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"/>
                  </w:pict>
                </mc:Fallback>
              </mc:AlternateContent>
            </w:r>
            <w:r w:rsidR="006F76EB" w:rsidRPr="00834D52">
              <w:rPr>
                <w:rFonts w:ascii="Sylfaen" w:hAnsi="Sylfaen"/>
                <w:sz w:val="24"/>
                <w:szCs w:val="24"/>
              </w:rPr>
              <w:t>ներմուծման այլ եղանակ</w:t>
            </w:r>
          </w:p>
          <w:p w14:paraId="4F463FC2" w14:textId="03B3E6A2"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21216" behindDoc="0" locked="0" layoutInCell="1" allowOverlap="1" wp14:anchorId="60197C7F" wp14:editId="503B0822">
                      <wp:simplePos x="0" y="0"/>
                      <wp:positionH relativeFrom="column">
                        <wp:posOffset>34290</wp:posOffset>
                      </wp:positionH>
                      <wp:positionV relativeFrom="paragraph">
                        <wp:posOffset>69215</wp:posOffset>
                      </wp:positionV>
                      <wp:extent cx="161925" cy="152400"/>
                      <wp:effectExtent l="12700" t="6985" r="6350" b="12065"/>
                      <wp:wrapNone/>
                      <wp:docPr id="10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9FA3A" id="Rectangle 184" o:spid="_x0000_s1026" style="position:absolute;margin-left:2.7pt;margin-top:5.45pt;width:12.75pt;height:1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"/>
                  </w:pict>
                </mc:Fallback>
              </mc:AlternateContent>
            </w:r>
            <w:r w:rsidR="006F76EB" w:rsidRPr="00834D52">
              <w:rPr>
                <w:rFonts w:ascii="Sylfaen" w:hAnsi="Sylfaen"/>
                <w:sz w:val="24"/>
                <w:szCs w:val="24"/>
              </w:rPr>
              <w:t xml:space="preserve">այլ </w:t>
            </w:r>
            <w:r w:rsidR="00355C33">
              <w:rPr>
                <w:rFonts w:ascii="Sylfaen" w:hAnsi="Sylfaen"/>
                <w:sz w:val="24"/>
                <w:szCs w:val="24"/>
              </w:rPr>
              <w:t>դեղա</w:t>
            </w:r>
            <w:r w:rsidR="006F76EB" w:rsidRPr="00834D52">
              <w:rPr>
                <w:rFonts w:ascii="Sylfaen" w:hAnsi="Sylfaen"/>
                <w:sz w:val="24"/>
                <w:szCs w:val="24"/>
              </w:rPr>
              <w:t>կինետիկա (ներառյալ՝ այլ կենսամատչելիություն).</w:t>
            </w:r>
          </w:p>
          <w:p w14:paraId="5508E4E5" w14:textId="5A8D487B"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22240" behindDoc="0" locked="0" layoutInCell="1" allowOverlap="1" wp14:anchorId="4CCA0CB2" wp14:editId="7756DDF0">
                      <wp:simplePos x="0" y="0"/>
                      <wp:positionH relativeFrom="column">
                        <wp:posOffset>34290</wp:posOffset>
                      </wp:positionH>
                      <wp:positionV relativeFrom="paragraph">
                        <wp:posOffset>40640</wp:posOffset>
                      </wp:positionV>
                      <wp:extent cx="161925" cy="152400"/>
                      <wp:effectExtent l="12700" t="8255" r="6350" b="10795"/>
                      <wp:wrapNone/>
                      <wp:docPr id="10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1CEBB" id="Rectangle 185" o:spid="_x0000_s1026" style="position:absolute;margin-left:2.7pt;margin-top:3.2pt;width:12.75pt;height:1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"/>
                  </w:pict>
                </mc:Fallback>
              </mc:AlternateContent>
            </w:r>
            <w:r w:rsidR="006F76EB" w:rsidRPr="00834D52">
              <w:rPr>
                <w:rFonts w:ascii="Sylfaen" w:hAnsi="Sylfaen"/>
                <w:sz w:val="24"/>
                <w:szCs w:val="24"/>
              </w:rPr>
              <w:t>կիրառման այլ ցուցում</w:t>
            </w:r>
          </w:p>
          <w:p w14:paraId="514202DA" w14:textId="77777777" w:rsidR="006F76EB" w:rsidRPr="00834D52" w:rsidRDefault="006F76EB" w:rsidP="00E15800">
            <w:pPr>
              <w:spacing w:after="120" w:line="240" w:lineRule="auto"/>
              <w:ind w:left="469" w:right="-6"/>
              <w:rPr>
                <w:rFonts w:ascii="Sylfaen" w:eastAsia="Times New Roman" w:hAnsi="Sylfaen" w:cs="Times New Roman"/>
                <w:sz w:val="24"/>
                <w:szCs w:val="24"/>
              </w:rPr>
            </w:pPr>
            <w:r w:rsidRPr="00834D52">
              <w:rPr>
                <w:rFonts w:ascii="Sylfaen" w:hAnsi="Sylfaen"/>
                <w:sz w:val="24"/>
                <w:szCs w:val="24"/>
              </w:rPr>
              <w:t>այլ տարբերություններ՝___________________</w:t>
            </w:r>
          </w:p>
        </w:tc>
      </w:tr>
    </w:tbl>
    <w:p w14:paraId="42EDCA94" w14:textId="251DED2C" w:rsidR="006F76EB" w:rsidRPr="00834D52" w:rsidRDefault="0037154C" w:rsidP="006F76EB">
      <w:pPr>
        <w:spacing w:after="160" w:line="360" w:lineRule="auto"/>
        <w:ind w:right="-6"/>
        <w:jc w:val="center"/>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723264" behindDoc="0" locked="0" layoutInCell="1" allowOverlap="1" wp14:anchorId="7E55EC77" wp14:editId="14268736">
                <wp:simplePos x="0" y="0"/>
                <wp:positionH relativeFrom="column">
                  <wp:posOffset>768350</wp:posOffset>
                </wp:positionH>
                <wp:positionV relativeFrom="paragraph">
                  <wp:posOffset>20955</wp:posOffset>
                </wp:positionV>
                <wp:extent cx="161925" cy="152400"/>
                <wp:effectExtent l="11430" t="6350" r="7620" b="12700"/>
                <wp:wrapNone/>
                <wp:docPr id="10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9A5A9" id="Rectangle 186" o:spid="_x0000_s1026" style="position:absolute;margin-left:60.5pt;margin-top:1.65pt;width:12.75pt;height:1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"/>
            </w:pict>
          </mc:Fallback>
        </mc:AlternateContent>
      </w:r>
      <w:r w:rsidR="006F76EB" w:rsidRPr="00834D52">
        <w:rPr>
          <w:rFonts w:ascii="Sylfaen" w:hAnsi="Sylfaen"/>
          <w:sz w:val="24"/>
          <w:szCs w:val="24"/>
        </w:rPr>
        <w:t>ՀԱՄԱԿՑՎԱԾ ԴԵՂԱՊԱՏՐԱՍՏՈՒԿ</w:t>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103"/>
      </w:tblGrid>
      <w:tr w:rsidR="006F76EB" w:rsidRPr="00834D52" w14:paraId="5A8E43A3" w14:textId="77777777" w:rsidTr="00F71229">
        <w:tc>
          <w:tcPr>
            <w:tcW w:w="4394" w:type="dxa"/>
          </w:tcPr>
          <w:p w14:paraId="37817119" w14:textId="4E1DA48F" w:rsidR="006F76EB" w:rsidRPr="00834D52" w:rsidRDefault="0037154C" w:rsidP="00F71229">
            <w:pPr>
              <w:spacing w:after="160" w:line="360" w:lineRule="auto"/>
              <w:ind w:left="44" w:right="-6" w:firstLine="425"/>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724288" behindDoc="0" locked="0" layoutInCell="1" allowOverlap="1" wp14:anchorId="415D8F56" wp14:editId="7ECE5EF4">
                      <wp:simplePos x="0" y="0"/>
                      <wp:positionH relativeFrom="column">
                        <wp:posOffset>-22225</wp:posOffset>
                      </wp:positionH>
                      <wp:positionV relativeFrom="paragraph">
                        <wp:posOffset>45085</wp:posOffset>
                      </wp:positionV>
                      <wp:extent cx="161925" cy="152400"/>
                      <wp:effectExtent l="8255" t="5080" r="10795" b="13970"/>
                      <wp:wrapNone/>
                      <wp:docPr id="10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4A8DC" id="Rectangle 187" o:spid="_x0000_s1026" style="position:absolute;margin-left:-1.75pt;margin-top:3.55pt;width:12.75pt;height:1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"/>
                  </w:pict>
                </mc:Fallback>
              </mc:AlternateContent>
            </w:r>
            <w:r w:rsidR="005F6A31">
              <w:rPr>
                <w:rFonts w:ascii="Sylfaen" w:hAnsi="Sylfaen"/>
                <w:sz w:val="24"/>
                <w:szCs w:val="24"/>
              </w:rPr>
              <w:t>հայտնի</w:t>
            </w:r>
            <w:r w:rsidR="006F76EB" w:rsidRPr="00834D52">
              <w:rPr>
                <w:rFonts w:ascii="Sylfaen" w:hAnsi="Sylfaen"/>
                <w:sz w:val="24"/>
                <w:szCs w:val="24"/>
              </w:rPr>
              <w:t xml:space="preserve"> համակցություն</w:t>
            </w:r>
          </w:p>
        </w:tc>
        <w:tc>
          <w:tcPr>
            <w:tcW w:w="5103" w:type="dxa"/>
          </w:tcPr>
          <w:p w14:paraId="7BDCA40B" w14:textId="25AA1CC7" w:rsidR="006F76EB" w:rsidRPr="00834D52" w:rsidRDefault="0037154C" w:rsidP="00F71229">
            <w:pPr>
              <w:spacing w:after="160" w:line="360" w:lineRule="auto"/>
              <w:ind w:left="469"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25312" behindDoc="0" locked="0" layoutInCell="1" allowOverlap="1" wp14:anchorId="3D50A4B1" wp14:editId="42F0A9AD">
                      <wp:simplePos x="0" y="0"/>
                      <wp:positionH relativeFrom="column">
                        <wp:posOffset>-24130</wp:posOffset>
                      </wp:positionH>
                      <wp:positionV relativeFrom="paragraph">
                        <wp:posOffset>45085</wp:posOffset>
                      </wp:positionV>
                      <wp:extent cx="161925" cy="152400"/>
                      <wp:effectExtent l="5715" t="5080" r="13335" b="13970"/>
                      <wp:wrapNone/>
                      <wp:docPr id="10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1DEAC" id="Rectangle 188" o:spid="_x0000_s1026" style="position:absolute;margin-left:-1.9pt;margin-top:3.55pt;width:12.75pt;height:1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"/>
                  </w:pict>
                </mc:Fallback>
              </mc:AlternateContent>
            </w:r>
            <w:r w:rsidR="006F76EB" w:rsidRPr="00834D52">
              <w:rPr>
                <w:rFonts w:ascii="Sylfaen" w:hAnsi="Sylfaen"/>
                <w:sz w:val="24"/>
                <w:szCs w:val="24"/>
              </w:rPr>
              <w:t>նոր համակցություն</w:t>
            </w:r>
          </w:p>
        </w:tc>
      </w:tr>
    </w:tbl>
    <w:p w14:paraId="1EC5B7FB" w14:textId="775D1182" w:rsidR="006F76EB" w:rsidRPr="00834D52" w:rsidRDefault="006F76EB" w:rsidP="006F76EB">
      <w:pPr>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0" w:type="auto"/>
        <w:tblInd w:w="109" w:type="dxa"/>
        <w:tblLayout w:type="fixed"/>
        <w:tblCellMar>
          <w:left w:w="0" w:type="dxa"/>
          <w:right w:w="0" w:type="dxa"/>
        </w:tblCellMar>
        <w:tblLook w:val="01E0" w:firstRow="1" w:lastRow="1" w:firstColumn="1" w:lastColumn="1" w:noHBand="0" w:noVBand="0"/>
      </w:tblPr>
      <w:tblGrid>
        <w:gridCol w:w="4258"/>
        <w:gridCol w:w="5388"/>
      </w:tblGrid>
      <w:tr w:rsidR="006F76EB" w:rsidRPr="00834D52" w14:paraId="3632A808" w14:textId="77777777" w:rsidTr="00F71229">
        <w:tc>
          <w:tcPr>
            <w:tcW w:w="4258" w:type="dxa"/>
            <w:tcBorders>
              <w:top w:val="single" w:sz="4" w:space="0" w:color="000000"/>
              <w:left w:val="single" w:sz="4" w:space="0" w:color="000000"/>
              <w:bottom w:val="single" w:sz="4" w:space="0" w:color="000000"/>
              <w:right w:val="single" w:sz="4" w:space="0" w:color="000000"/>
            </w:tcBorders>
          </w:tcPr>
          <w:p w14:paraId="222FE403" w14:textId="77777777" w:rsidR="006F76EB" w:rsidRPr="00834D52" w:rsidRDefault="006F76EB" w:rsidP="00DA62B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5388" w:type="dxa"/>
            <w:tcBorders>
              <w:top w:val="single" w:sz="4" w:space="0" w:color="000000"/>
              <w:left w:val="single" w:sz="4" w:space="0" w:color="000000"/>
              <w:bottom w:val="single" w:sz="4" w:space="0" w:color="000000"/>
              <w:right w:val="single" w:sz="4" w:space="0" w:color="000000"/>
            </w:tcBorders>
          </w:tcPr>
          <w:p w14:paraId="224B1A0A" w14:textId="77777777" w:rsidR="006F76EB" w:rsidRPr="00834D52" w:rsidRDefault="006F76EB" w:rsidP="00DA62B0">
            <w:pPr>
              <w:spacing w:after="120" w:line="240" w:lineRule="auto"/>
              <w:ind w:right="-6"/>
              <w:rPr>
                <w:rFonts w:ascii="Sylfaen" w:hAnsi="Sylfaen"/>
                <w:sz w:val="24"/>
                <w:szCs w:val="24"/>
              </w:rPr>
            </w:pPr>
          </w:p>
        </w:tc>
      </w:tr>
      <w:tr w:rsidR="006F76EB" w:rsidRPr="00834D52" w14:paraId="5CDC8D0E" w14:textId="77777777" w:rsidTr="00F71229">
        <w:tc>
          <w:tcPr>
            <w:tcW w:w="4258" w:type="dxa"/>
            <w:tcBorders>
              <w:top w:val="single" w:sz="4" w:space="0" w:color="000000"/>
              <w:left w:val="single" w:sz="4" w:space="0" w:color="000000"/>
              <w:bottom w:val="single" w:sz="4" w:space="0" w:color="000000"/>
              <w:right w:val="single" w:sz="4" w:space="0" w:color="000000"/>
            </w:tcBorders>
          </w:tcPr>
          <w:p w14:paraId="50650FCD" w14:textId="77777777" w:rsidR="006F76EB" w:rsidRPr="00834D52" w:rsidRDefault="006F76EB" w:rsidP="00DA62B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388" w:type="dxa"/>
            <w:tcBorders>
              <w:top w:val="single" w:sz="4" w:space="0" w:color="000000"/>
              <w:left w:val="single" w:sz="4" w:space="0" w:color="000000"/>
              <w:bottom w:val="single" w:sz="4" w:space="0" w:color="000000"/>
              <w:right w:val="single" w:sz="4" w:space="0" w:color="000000"/>
            </w:tcBorders>
          </w:tcPr>
          <w:p w14:paraId="501BFD98" w14:textId="77777777" w:rsidR="006F76EB" w:rsidRPr="00834D52" w:rsidRDefault="006F76EB" w:rsidP="00DA62B0">
            <w:pPr>
              <w:spacing w:after="120" w:line="240" w:lineRule="auto"/>
              <w:ind w:right="-6"/>
              <w:rPr>
                <w:rFonts w:ascii="Sylfaen" w:hAnsi="Sylfaen"/>
                <w:sz w:val="24"/>
                <w:szCs w:val="24"/>
              </w:rPr>
            </w:pPr>
          </w:p>
        </w:tc>
      </w:tr>
    </w:tbl>
    <w:p w14:paraId="141C2DF3" w14:textId="77777777" w:rsidR="006F76EB" w:rsidRPr="00834D52" w:rsidRDefault="006F76EB" w:rsidP="006F76EB">
      <w:pPr>
        <w:spacing w:after="160" w:line="336" w:lineRule="auto"/>
        <w:ind w:right="-8"/>
        <w:rPr>
          <w:rFonts w:ascii="Sylfaen" w:hAnsi="Sylfaen"/>
          <w:sz w:val="24"/>
          <w:szCs w:val="24"/>
        </w:rPr>
      </w:pPr>
    </w:p>
    <w:p w14:paraId="181B9148" w14:textId="349D6CA2" w:rsidR="006F76EB" w:rsidRPr="00834D52" w:rsidRDefault="0037154C" w:rsidP="00DA62B0">
      <w:pPr>
        <w:spacing w:after="160" w:line="336" w:lineRule="auto"/>
        <w:ind w:left="567" w:right="-6"/>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26336" behindDoc="0" locked="0" layoutInCell="1" allowOverlap="1" wp14:anchorId="59CAFAF5" wp14:editId="34FEF8D9">
                <wp:simplePos x="0" y="0"/>
                <wp:positionH relativeFrom="column">
                  <wp:posOffset>104775</wp:posOffset>
                </wp:positionH>
                <wp:positionV relativeFrom="paragraph">
                  <wp:posOffset>5080</wp:posOffset>
                </wp:positionV>
                <wp:extent cx="161925" cy="152400"/>
                <wp:effectExtent l="5080" t="6350" r="13970" b="12700"/>
                <wp:wrapNone/>
                <wp:docPr id="10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33CDC" id="Rectangle 189" o:spid="_x0000_s1026" style="position:absolute;margin-left:8.25pt;margin-top:.4pt;width:12.75pt;height:1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"/>
            </w:pict>
          </mc:Fallback>
        </mc:AlternateContent>
      </w:r>
      <w:r w:rsidR="006F76EB" w:rsidRPr="00834D52">
        <w:rPr>
          <w:rFonts w:ascii="Sylfaen" w:hAnsi="Sylfaen"/>
          <w:sz w:val="24"/>
          <w:szCs w:val="24"/>
        </w:rPr>
        <w:t>ԼԱՎ ՈՒՍՈՒՄՆԱՍԻՐՎԱԾ ԲԺՇԿԱԿԱՆ ԿԻՐԱՌՈՒԹՅԱՄԲ ԴԵՂԱՊԱՏՐԱՍՏՈՒԿ</w:t>
      </w:r>
    </w:p>
    <w:p w14:paraId="74A12E00" w14:textId="05C550F1" w:rsidR="006F76EB" w:rsidRPr="00834D52" w:rsidRDefault="0037154C" w:rsidP="00DA62B0">
      <w:pPr>
        <w:spacing w:after="160" w:line="336" w:lineRule="auto"/>
        <w:ind w:left="567" w:right="-6"/>
        <w:jc w:val="center"/>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727360" behindDoc="0" locked="0" layoutInCell="1" allowOverlap="1" wp14:anchorId="5B0A6EFB" wp14:editId="34A0540D">
                <wp:simplePos x="0" y="0"/>
                <wp:positionH relativeFrom="column">
                  <wp:posOffset>104775</wp:posOffset>
                </wp:positionH>
                <wp:positionV relativeFrom="paragraph">
                  <wp:posOffset>24765</wp:posOffset>
                </wp:positionV>
                <wp:extent cx="161925" cy="152400"/>
                <wp:effectExtent l="5080" t="13335" r="13970" b="5715"/>
                <wp:wrapNone/>
                <wp:docPr id="9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40EF7" id="Rectangle 190" o:spid="_x0000_s1026" style="position:absolute;margin-left:8.25pt;margin-top:1.95pt;width:12.75pt;height:1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"/>
            </w:pict>
          </mc:Fallback>
        </mc:AlternateContent>
      </w:r>
      <w:r w:rsidR="006F76EB" w:rsidRPr="00834D52">
        <w:rPr>
          <w:rFonts w:ascii="Sylfaen" w:hAnsi="Sylfaen"/>
          <w:sz w:val="24"/>
          <w:szCs w:val="24"/>
        </w:rPr>
        <w:t>ՌԱԴԻՈԴԵՂԱԳՈՐԾԱԿԱՆ ԴԵՂԱՊԱՏՐԱՍՏՈՒԿ ԿԱՄ ՊՐԵԿՈՒՐՍՈՐ</w:t>
      </w:r>
    </w:p>
    <w:p w14:paraId="666EB4B4" w14:textId="77777777" w:rsidR="006F76EB" w:rsidRPr="00834D52" w:rsidRDefault="006F76EB" w:rsidP="006F76EB">
      <w:pPr>
        <w:spacing w:after="160" w:line="336" w:lineRule="auto"/>
        <w:ind w:right="-6"/>
        <w:jc w:val="center"/>
        <w:rPr>
          <w:rFonts w:ascii="Sylfaen" w:eastAsia="Times New Roman" w:hAnsi="Sylfaen" w:cs="Times New Roman"/>
          <w:sz w:val="24"/>
          <w:szCs w:val="24"/>
        </w:rPr>
      </w:pPr>
    </w:p>
    <w:p w14:paraId="40173D39" w14:textId="4B5B0D02" w:rsidR="006F76EB" w:rsidRPr="00834D52" w:rsidRDefault="0037154C" w:rsidP="006F76EB">
      <w:pPr>
        <w:spacing w:after="160" w:line="336" w:lineRule="auto"/>
        <w:ind w:left="567"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28384" behindDoc="0" locked="0" layoutInCell="1" allowOverlap="1" wp14:anchorId="3A507531" wp14:editId="1CAD9C8A">
                <wp:simplePos x="0" y="0"/>
                <wp:positionH relativeFrom="column">
                  <wp:posOffset>104775</wp:posOffset>
                </wp:positionH>
                <wp:positionV relativeFrom="paragraph">
                  <wp:posOffset>73025</wp:posOffset>
                </wp:positionV>
                <wp:extent cx="161925" cy="152400"/>
                <wp:effectExtent l="5080" t="7620" r="13970" b="11430"/>
                <wp:wrapNone/>
                <wp:docPr id="9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9A037" id="Rectangle 191" o:spid="_x0000_s1026" style="position:absolute;margin-left:8.25pt;margin-top:5.75pt;width:12.75pt;height:1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"/>
            </w:pict>
          </mc:Fallback>
        </mc:AlternateContent>
      </w:r>
      <w:r w:rsidR="006F76EB" w:rsidRPr="00834D52">
        <w:rPr>
          <w:rFonts w:ascii="Sylfaen" w:hAnsi="Sylfaen"/>
          <w:sz w:val="24"/>
          <w:szCs w:val="24"/>
        </w:rPr>
        <w:t>ռադիոդեղագործական հավաքակազմ</w:t>
      </w:r>
    </w:p>
    <w:p w14:paraId="569499C2" w14:textId="53144187" w:rsidR="006F76EB" w:rsidRPr="00DA62B0" w:rsidRDefault="0037154C" w:rsidP="006F76EB">
      <w:pPr>
        <w:spacing w:after="160" w:line="336" w:lineRule="auto"/>
        <w:ind w:left="567" w:right="-6"/>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729408" behindDoc="0" locked="0" layoutInCell="1" allowOverlap="1" wp14:anchorId="3BACA2C1" wp14:editId="1D25ED7B">
                <wp:simplePos x="0" y="0"/>
                <wp:positionH relativeFrom="column">
                  <wp:posOffset>114300</wp:posOffset>
                </wp:positionH>
                <wp:positionV relativeFrom="paragraph">
                  <wp:posOffset>59055</wp:posOffset>
                </wp:positionV>
                <wp:extent cx="161925" cy="152400"/>
                <wp:effectExtent l="5080" t="13970" r="13970" b="5080"/>
                <wp:wrapNone/>
                <wp:docPr id="9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BDF61" id="Rectangle 192" o:spid="_x0000_s1026" style="position:absolute;margin-left:9pt;margin-top:4.65pt;width:12.75pt;height:1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"/>
            </w:pict>
          </mc:Fallback>
        </mc:AlternateContent>
      </w:r>
      <w:r w:rsidR="006F76EB" w:rsidRPr="00834D52">
        <w:rPr>
          <w:rFonts w:ascii="Sylfaen" w:hAnsi="Sylfaen"/>
          <w:sz w:val="24"/>
          <w:szCs w:val="24"/>
        </w:rPr>
        <w:t>ռադիոնուկլիդի պրեկուրսոր</w:t>
      </w:r>
    </w:p>
    <w:tbl>
      <w:tblPr>
        <w:tblW w:w="9646" w:type="dxa"/>
        <w:tblInd w:w="109" w:type="dxa"/>
        <w:tblLayout w:type="fixed"/>
        <w:tblCellMar>
          <w:left w:w="0" w:type="dxa"/>
          <w:right w:w="0" w:type="dxa"/>
        </w:tblCellMar>
        <w:tblLook w:val="01E0" w:firstRow="1" w:lastRow="1" w:firstColumn="1" w:lastColumn="1" w:noHBand="0" w:noVBand="0"/>
      </w:tblPr>
      <w:tblGrid>
        <w:gridCol w:w="4817"/>
        <w:gridCol w:w="4829"/>
      </w:tblGrid>
      <w:tr w:rsidR="006F76EB" w:rsidRPr="00834D52" w14:paraId="69A47062" w14:textId="77777777" w:rsidTr="00F71229">
        <w:tc>
          <w:tcPr>
            <w:tcW w:w="4817" w:type="dxa"/>
            <w:tcBorders>
              <w:top w:val="single" w:sz="4" w:space="0" w:color="000000"/>
              <w:left w:val="single" w:sz="4" w:space="0" w:color="000000"/>
              <w:bottom w:val="single" w:sz="4" w:space="0" w:color="000000"/>
              <w:right w:val="single" w:sz="4" w:space="0" w:color="000000"/>
            </w:tcBorders>
          </w:tcPr>
          <w:p w14:paraId="1DDB9074" w14:textId="77777777" w:rsidR="006F76EB" w:rsidRPr="00834D52" w:rsidRDefault="006F76EB" w:rsidP="00DA62B0">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 xml:space="preserve">ռադիոնուկլիդի աղբյուրը (առաջնային </w:t>
            </w:r>
            <w:r w:rsidR="00C54D75">
              <w:rPr>
                <w:rFonts w:ascii="Sylfaen" w:hAnsi="Sylfaen"/>
                <w:sz w:val="24"/>
                <w:szCs w:val="24"/>
              </w:rPr>
              <w:t>և</w:t>
            </w:r>
            <w:r w:rsidRPr="00834D52">
              <w:rPr>
                <w:rFonts w:ascii="Sylfaen" w:hAnsi="Sylfaen"/>
                <w:sz w:val="24"/>
                <w:szCs w:val="24"/>
              </w:rPr>
              <w:t xml:space="preserve"> երկրորդային) (առկայության դեպքում)</w:t>
            </w:r>
          </w:p>
        </w:tc>
        <w:tc>
          <w:tcPr>
            <w:tcW w:w="4829" w:type="dxa"/>
            <w:tcBorders>
              <w:top w:val="single" w:sz="4" w:space="0" w:color="000000"/>
              <w:left w:val="single" w:sz="4" w:space="0" w:color="000000"/>
              <w:bottom w:val="single" w:sz="4" w:space="0" w:color="000000"/>
              <w:right w:val="single" w:sz="4" w:space="0" w:color="000000"/>
            </w:tcBorders>
          </w:tcPr>
          <w:p w14:paraId="0B4177FA" w14:textId="77777777" w:rsidR="006F76EB" w:rsidRPr="00834D52" w:rsidRDefault="006F76EB" w:rsidP="00DA62B0">
            <w:pPr>
              <w:spacing w:after="120" w:line="240" w:lineRule="auto"/>
              <w:ind w:right="-8"/>
              <w:rPr>
                <w:rFonts w:ascii="Sylfaen" w:hAnsi="Sylfaen"/>
                <w:sz w:val="24"/>
                <w:szCs w:val="24"/>
              </w:rPr>
            </w:pPr>
          </w:p>
        </w:tc>
      </w:tr>
      <w:tr w:rsidR="006F76EB" w:rsidRPr="00834D52" w14:paraId="4B48F418" w14:textId="77777777" w:rsidTr="00F71229">
        <w:tc>
          <w:tcPr>
            <w:tcW w:w="4817" w:type="dxa"/>
            <w:tcBorders>
              <w:top w:val="single" w:sz="4" w:space="0" w:color="000000"/>
              <w:left w:val="single" w:sz="4" w:space="0" w:color="000000"/>
              <w:bottom w:val="single" w:sz="4" w:space="0" w:color="000000"/>
              <w:right w:val="single" w:sz="4" w:space="0" w:color="000000"/>
            </w:tcBorders>
          </w:tcPr>
          <w:p w14:paraId="64785324" w14:textId="77777777" w:rsidR="006F76EB" w:rsidRPr="00834D52" w:rsidRDefault="006F76EB" w:rsidP="00DA62B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lastRenderedPageBreak/>
              <w:t>գեներատոր</w:t>
            </w:r>
          </w:p>
        </w:tc>
        <w:tc>
          <w:tcPr>
            <w:tcW w:w="4829" w:type="dxa"/>
            <w:tcBorders>
              <w:top w:val="single" w:sz="4" w:space="0" w:color="000000"/>
              <w:left w:val="single" w:sz="4" w:space="0" w:color="000000"/>
              <w:bottom w:val="single" w:sz="4" w:space="0" w:color="000000"/>
              <w:right w:val="single" w:sz="4" w:space="0" w:color="000000"/>
            </w:tcBorders>
          </w:tcPr>
          <w:p w14:paraId="771A695C" w14:textId="77777777" w:rsidR="006F76EB" w:rsidRPr="00834D52" w:rsidRDefault="006F76EB" w:rsidP="00DA62B0">
            <w:pPr>
              <w:spacing w:after="120" w:line="240" w:lineRule="auto"/>
              <w:ind w:right="-8"/>
              <w:rPr>
                <w:rFonts w:ascii="Sylfaen" w:hAnsi="Sylfaen"/>
                <w:sz w:val="24"/>
                <w:szCs w:val="24"/>
              </w:rPr>
            </w:pPr>
          </w:p>
        </w:tc>
      </w:tr>
    </w:tbl>
    <w:p w14:paraId="48C9185B" w14:textId="77777777" w:rsidR="006F76EB" w:rsidRPr="00834D52" w:rsidRDefault="006F76EB" w:rsidP="006F76EB">
      <w:pPr>
        <w:spacing w:after="160" w:line="336" w:lineRule="auto"/>
        <w:ind w:right="-8"/>
        <w:rPr>
          <w:rFonts w:ascii="Sylfaen" w:hAnsi="Sylfaen"/>
          <w:sz w:val="24"/>
          <w:szCs w:val="24"/>
        </w:rPr>
      </w:pPr>
    </w:p>
    <w:p w14:paraId="65B83A84" w14:textId="4C4BFA05" w:rsidR="006F76EB" w:rsidRPr="00834D52" w:rsidRDefault="0037154C" w:rsidP="006F76EB">
      <w:pPr>
        <w:spacing w:after="160" w:line="336" w:lineRule="auto"/>
        <w:ind w:right="-6"/>
        <w:jc w:val="center"/>
        <w:rPr>
          <w:rFonts w:ascii="Sylfaen" w:hAnsi="Sylfaen"/>
          <w:sz w:val="24"/>
          <w:szCs w:val="24"/>
          <w:lang w:val="en-US"/>
        </w:rPr>
      </w:pPr>
      <w:r>
        <w:rPr>
          <w:rFonts w:ascii="Sylfaen" w:hAnsi="Sylfaen"/>
          <w:noProof/>
          <w:sz w:val="24"/>
          <w:szCs w:val="24"/>
        </w:rPr>
        <mc:AlternateContent>
          <mc:Choice Requires="wps">
            <w:drawing>
              <wp:anchor distT="0" distB="0" distL="114300" distR="114300" simplePos="0" relativeHeight="251730432" behindDoc="0" locked="0" layoutInCell="1" allowOverlap="1" wp14:anchorId="68ECAAAA" wp14:editId="74286231">
                <wp:simplePos x="0" y="0"/>
                <wp:positionH relativeFrom="column">
                  <wp:posOffset>733425</wp:posOffset>
                </wp:positionH>
                <wp:positionV relativeFrom="paragraph">
                  <wp:posOffset>36830</wp:posOffset>
                </wp:positionV>
                <wp:extent cx="161925" cy="152400"/>
                <wp:effectExtent l="5080" t="9525" r="13970" b="9525"/>
                <wp:wrapNone/>
                <wp:docPr id="9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B7580" id="Rectangle 193" o:spid="_x0000_s1026" style="position:absolute;margin-left:57.75pt;margin-top:2.9pt;width:12.75pt;height:1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"/>
            </w:pict>
          </mc:Fallback>
        </mc:AlternateContent>
      </w:r>
      <w:r w:rsidR="006F76EB" w:rsidRPr="00834D52">
        <w:rPr>
          <w:rFonts w:ascii="Sylfaen" w:hAnsi="Sylfaen"/>
          <w:sz w:val="24"/>
          <w:szCs w:val="24"/>
        </w:rPr>
        <w:t>ՀՈՄԵՈՊԱԹԻԿ ԴԵՂԱՊԱՏՐԱՍՏՈՒԿ</w:t>
      </w:r>
    </w:p>
    <w:p w14:paraId="67A9C386" w14:textId="77777777" w:rsidR="006F76EB" w:rsidRPr="00834D52" w:rsidRDefault="006F76EB" w:rsidP="006F76EB">
      <w:pPr>
        <w:spacing w:after="160" w:line="336" w:lineRule="auto"/>
        <w:ind w:right="-6"/>
        <w:jc w:val="center"/>
        <w:rPr>
          <w:rFonts w:ascii="Sylfaen" w:eastAsia="Times New Roman" w:hAnsi="Sylfaen" w:cs="Times New Roman"/>
          <w:sz w:val="24"/>
          <w:szCs w:val="24"/>
          <w:lang w:val="en-US"/>
        </w:rPr>
      </w:pPr>
    </w:p>
    <w:p w14:paraId="76BEE942" w14:textId="21D3CE9D" w:rsidR="006F76EB" w:rsidRPr="00834D52" w:rsidRDefault="0037154C" w:rsidP="006F76EB">
      <w:pPr>
        <w:spacing w:after="160" w:line="336" w:lineRule="auto"/>
        <w:ind w:left="567" w:right="-6"/>
        <w:jc w:val="both"/>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31456" behindDoc="0" locked="0" layoutInCell="1" allowOverlap="1" wp14:anchorId="5A5C32D1" wp14:editId="3926D55B">
                <wp:simplePos x="0" y="0"/>
                <wp:positionH relativeFrom="column">
                  <wp:posOffset>104775</wp:posOffset>
                </wp:positionH>
                <wp:positionV relativeFrom="paragraph">
                  <wp:posOffset>37465</wp:posOffset>
                </wp:positionV>
                <wp:extent cx="161925" cy="152400"/>
                <wp:effectExtent l="5080" t="12700" r="13970" b="6350"/>
                <wp:wrapNone/>
                <wp:docPr id="9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63E10" id="Rectangle 194" o:spid="_x0000_s1026" style="position:absolute;margin-left:8.25pt;margin-top:2.95pt;width:12.75pt;height:1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"/>
            </w:pict>
          </mc:Fallback>
        </mc:AlternateConten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չներառված նոր հոմեոպաթիկ պատրաստուկ</w:t>
      </w:r>
    </w:p>
    <w:p w14:paraId="1507734E" w14:textId="0B554EA5" w:rsidR="006F76EB" w:rsidRPr="00834D52" w:rsidRDefault="0037154C" w:rsidP="006F76EB">
      <w:pPr>
        <w:spacing w:after="160" w:line="336" w:lineRule="auto"/>
        <w:ind w:left="567" w:right="-6"/>
        <w:jc w:val="both"/>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32480" behindDoc="0" locked="0" layoutInCell="1" allowOverlap="1" wp14:anchorId="1E166DD2" wp14:editId="118736FD">
                <wp:simplePos x="0" y="0"/>
                <wp:positionH relativeFrom="column">
                  <wp:posOffset>114300</wp:posOffset>
                </wp:positionH>
                <wp:positionV relativeFrom="paragraph">
                  <wp:posOffset>23495</wp:posOffset>
                </wp:positionV>
                <wp:extent cx="161925" cy="152400"/>
                <wp:effectExtent l="5080" t="5080" r="13970" b="13970"/>
                <wp:wrapNone/>
                <wp:docPr id="9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4ADB3" id="Rectangle 195" o:spid="_x0000_s1026" style="position:absolute;margin-left:9pt;margin-top:1.85pt;width:12.75pt;height:1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"/>
            </w:pict>
          </mc:Fallback>
        </mc:AlternateConten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ներառված հոմեոպաթիկ պատրաստուկ</w:t>
      </w:r>
    </w:p>
    <w:p w14:paraId="59DF2138" w14:textId="1DF86C11" w:rsidR="006F76EB" w:rsidRPr="00834D52" w:rsidRDefault="0037154C" w:rsidP="006F76EB">
      <w:pPr>
        <w:spacing w:after="160" w:line="36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33504" behindDoc="0" locked="0" layoutInCell="1" allowOverlap="1" wp14:anchorId="5D7FC85C" wp14:editId="4F021550">
                <wp:simplePos x="0" y="0"/>
                <wp:positionH relativeFrom="column">
                  <wp:posOffset>895350</wp:posOffset>
                </wp:positionH>
                <wp:positionV relativeFrom="paragraph">
                  <wp:posOffset>24130</wp:posOffset>
                </wp:positionV>
                <wp:extent cx="161925" cy="152400"/>
                <wp:effectExtent l="5080" t="7620" r="13970" b="11430"/>
                <wp:wrapNone/>
                <wp:docPr id="9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E2051" id="Rectangle 196" o:spid="_x0000_s1026" style="position:absolute;margin-left:70.5pt;margin-top:1.9pt;width:12.75pt;height:1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"/>
            </w:pict>
          </mc:Fallback>
        </mc:AlternateContent>
      </w:r>
      <w:r w:rsidR="006F76EB" w:rsidRPr="00834D52">
        <w:rPr>
          <w:rFonts w:ascii="Sylfaen" w:hAnsi="Sylfaen"/>
          <w:sz w:val="24"/>
          <w:szCs w:val="24"/>
        </w:rPr>
        <w:t>ԲՈՒՍԱԿԱՆ ԴԵՂԱՊԱՏՐԱՍՏՈՒԿ</w:t>
      </w:r>
    </w:p>
    <w:p w14:paraId="600A4FC9" w14:textId="4D7F5DD5" w:rsidR="006F76EB" w:rsidRPr="00834D52" w:rsidRDefault="0037154C" w:rsidP="006F76EB">
      <w:pPr>
        <w:spacing w:after="160" w:line="360" w:lineRule="auto"/>
        <w:ind w:left="567" w:right="-6"/>
        <w:jc w:val="center"/>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734528" behindDoc="0" locked="0" layoutInCell="1" allowOverlap="1" wp14:anchorId="0A365EAC" wp14:editId="67D4103A">
                <wp:simplePos x="0" y="0"/>
                <wp:positionH relativeFrom="column">
                  <wp:posOffset>895350</wp:posOffset>
                </wp:positionH>
                <wp:positionV relativeFrom="paragraph">
                  <wp:posOffset>24130</wp:posOffset>
                </wp:positionV>
                <wp:extent cx="161925" cy="152400"/>
                <wp:effectExtent l="5080" t="10160" r="13970" b="8890"/>
                <wp:wrapNone/>
                <wp:docPr id="9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05614" id="Rectangle 197" o:spid="_x0000_s1026" style="position:absolute;margin-left:70.5pt;margin-top:1.9pt;width:12.75pt;height:1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"/>
            </w:pict>
          </mc:Fallback>
        </mc:AlternateContent>
      </w:r>
      <w:r w:rsidR="006F76EB" w:rsidRPr="00834D52">
        <w:rPr>
          <w:rFonts w:ascii="Sylfaen" w:hAnsi="Sylfaen"/>
          <w:sz w:val="24"/>
          <w:szCs w:val="24"/>
        </w:rPr>
        <w:t>ՀԱԶՎԱԴԵՊ ԿԻՐԱՌՎՈՂ («ՈՐԲ») ԴԵՂԱՊԱՏՐԱՍՏՈՒԿ</w:t>
      </w:r>
    </w:p>
    <w:p w14:paraId="06A3C82F" w14:textId="77777777" w:rsidR="006F76EB" w:rsidRPr="00834D52" w:rsidRDefault="006F76EB" w:rsidP="006F76EB">
      <w:pPr>
        <w:spacing w:after="160" w:line="360" w:lineRule="auto"/>
        <w:ind w:right="-6"/>
        <w:jc w:val="center"/>
        <w:rPr>
          <w:rFonts w:ascii="Sylfaen" w:eastAsia="Times New Roman" w:hAnsi="Sylfaen" w:cs="Times New Roman"/>
          <w:sz w:val="24"/>
          <w:szCs w:val="24"/>
        </w:rPr>
      </w:pPr>
    </w:p>
    <w:p w14:paraId="544377B5"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Արդյոք Եվրասիական տնտեսական միության անդամ պետություններում կամ դրա սահմաններից դուրս դեղապատրաստուկին տրվել է հազվադեպ կիրառվող («որբ») դեղապատրաստուկի կարգավիճակ </w:t>
      </w:r>
    </w:p>
    <w:tbl>
      <w:tblPr>
        <w:tblStyle w:val="TableGrid"/>
        <w:tblW w:w="960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954"/>
        <w:gridCol w:w="1843"/>
      </w:tblGrid>
      <w:tr w:rsidR="006F76EB" w:rsidRPr="00834D52" w14:paraId="479E6A50" w14:textId="77777777" w:rsidTr="00F71229">
        <w:tc>
          <w:tcPr>
            <w:tcW w:w="1809" w:type="dxa"/>
          </w:tcPr>
          <w:p w14:paraId="3B544348" w14:textId="57B6355C" w:rsidR="006F76EB" w:rsidRPr="00834D52" w:rsidRDefault="0037154C" w:rsidP="00F71229">
            <w:pPr>
              <w:spacing w:after="160" w:line="360" w:lineRule="auto"/>
              <w:ind w:right="-8"/>
              <w:jc w:val="center"/>
              <w:rPr>
                <w:rFonts w:ascii="Sylfaen" w:eastAsia="Wingdings 2" w:hAnsi="Sylfaen" w:cs="Wingdings 2"/>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35552" behindDoc="0" locked="0" layoutInCell="1" allowOverlap="1" wp14:anchorId="62DA9984" wp14:editId="15AE3865">
                      <wp:simplePos x="0" y="0"/>
                      <wp:positionH relativeFrom="column">
                        <wp:posOffset>785495</wp:posOffset>
                      </wp:positionH>
                      <wp:positionV relativeFrom="paragraph">
                        <wp:posOffset>49530</wp:posOffset>
                      </wp:positionV>
                      <wp:extent cx="161925" cy="152400"/>
                      <wp:effectExtent l="6350" t="6985" r="12700" b="12065"/>
                      <wp:wrapNone/>
                      <wp:docPr id="9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FF338" id="Rectangle 199" o:spid="_x0000_s1026" style="position:absolute;margin-left:61.85pt;margin-top:3.9pt;width:12.75pt;height:1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"/>
                  </w:pict>
                </mc:Fallback>
              </mc:AlternateContent>
            </w:r>
            <w:r w:rsidR="006F76EB" w:rsidRPr="00834D52">
              <w:rPr>
                <w:rFonts w:ascii="Sylfaen" w:hAnsi="Sylfaen"/>
                <w:sz w:val="24"/>
                <w:szCs w:val="24"/>
              </w:rPr>
              <w:t>ոչ</w:t>
            </w:r>
          </w:p>
        </w:tc>
        <w:tc>
          <w:tcPr>
            <w:tcW w:w="5954" w:type="dxa"/>
          </w:tcPr>
          <w:p w14:paraId="2AA5E38B" w14:textId="57E4807A" w:rsidR="006F76EB" w:rsidRPr="00834D52" w:rsidRDefault="0037154C" w:rsidP="00F71229">
            <w:pPr>
              <w:spacing w:after="160" w:line="360" w:lineRule="auto"/>
              <w:ind w:right="-8"/>
              <w:jc w:val="center"/>
              <w:rPr>
                <w:rFonts w:ascii="Sylfaen" w:eastAsia="Wingdings 2" w:hAnsi="Sylfaen" w:cs="Wingdings 2"/>
                <w:sz w:val="24"/>
                <w:szCs w:val="24"/>
              </w:rPr>
            </w:pPr>
            <w:r>
              <w:rPr>
                <w:rFonts w:ascii="Sylfaen" w:hAnsi="Sylfaen"/>
                <w:noProof/>
                <w:sz w:val="24"/>
                <w:szCs w:val="24"/>
              </w:rPr>
              <mc:AlternateContent>
                <mc:Choice Requires="wps">
                  <w:drawing>
                    <wp:anchor distT="0" distB="0" distL="114300" distR="114300" simplePos="0" relativeHeight="251736576" behindDoc="0" locked="0" layoutInCell="1" allowOverlap="1" wp14:anchorId="77403D28" wp14:editId="309B7BAE">
                      <wp:simplePos x="0" y="0"/>
                      <wp:positionH relativeFrom="column">
                        <wp:posOffset>-14605</wp:posOffset>
                      </wp:positionH>
                      <wp:positionV relativeFrom="paragraph">
                        <wp:posOffset>49530</wp:posOffset>
                      </wp:positionV>
                      <wp:extent cx="161925" cy="152400"/>
                      <wp:effectExtent l="12065" t="6985" r="6985" b="12065"/>
                      <wp:wrapNone/>
                      <wp:docPr id="9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7C7FA" id="Rectangle 198" o:spid="_x0000_s1026" style="position:absolute;margin-left:-1.15pt;margin-top:3.9pt;width:12.75pt;height:1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"/>
                  </w:pict>
                </mc:Fallback>
              </mc:AlternateContent>
            </w:r>
            <w:r w:rsidR="006F76EB" w:rsidRPr="00834D52">
              <w:rPr>
                <w:rFonts w:ascii="Sylfaen" w:hAnsi="Sylfaen"/>
                <w:sz w:val="24"/>
                <w:szCs w:val="24"/>
              </w:rPr>
              <w:t>գտնվում է ուսումնասիրության գործընթացում</w:t>
            </w:r>
          </w:p>
        </w:tc>
        <w:tc>
          <w:tcPr>
            <w:tcW w:w="1843" w:type="dxa"/>
          </w:tcPr>
          <w:p w14:paraId="391722CA" w14:textId="016FCBDD" w:rsidR="006F76EB" w:rsidRPr="00834D52" w:rsidRDefault="0037154C" w:rsidP="00F71229">
            <w:pPr>
              <w:spacing w:after="160" w:line="360" w:lineRule="auto"/>
              <w:ind w:left="-108"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37600" behindDoc="0" locked="0" layoutInCell="1" allowOverlap="1" wp14:anchorId="7677306C" wp14:editId="269A1DA3">
                      <wp:simplePos x="0" y="0"/>
                      <wp:positionH relativeFrom="column">
                        <wp:posOffset>794385</wp:posOffset>
                      </wp:positionH>
                      <wp:positionV relativeFrom="paragraph">
                        <wp:posOffset>49530</wp:posOffset>
                      </wp:positionV>
                      <wp:extent cx="161925" cy="152400"/>
                      <wp:effectExtent l="10795" t="6985" r="8255" b="12065"/>
                      <wp:wrapNone/>
                      <wp:docPr id="8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38912" id="Rectangle 200" o:spid="_x0000_s1026" style="position:absolute;margin-left:62.55pt;margin-top:3.9pt;width:12.75pt;height:1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"/>
                  </w:pict>
                </mc:Fallback>
              </mc:AlternateContent>
            </w:r>
            <w:r w:rsidR="006F76EB" w:rsidRPr="00834D52">
              <w:rPr>
                <w:rFonts w:ascii="Sylfaen" w:hAnsi="Sylfaen"/>
                <w:sz w:val="24"/>
                <w:szCs w:val="24"/>
              </w:rPr>
              <w:t>այո</w:t>
            </w:r>
          </w:p>
        </w:tc>
      </w:tr>
    </w:tbl>
    <w:p w14:paraId="23614B1E" w14:textId="77777777" w:rsidR="006F76EB" w:rsidRPr="00834D52" w:rsidRDefault="006F76EB" w:rsidP="006F76EB">
      <w:pPr>
        <w:spacing w:after="160" w:line="360" w:lineRule="auto"/>
        <w:ind w:right="-8"/>
        <w:rPr>
          <w:rFonts w:ascii="Sylfaen" w:hAnsi="Sylfaen"/>
          <w:sz w:val="24"/>
          <w:szCs w:val="24"/>
        </w:rPr>
      </w:pPr>
    </w:p>
    <w:tbl>
      <w:tblPr>
        <w:tblW w:w="9610" w:type="dxa"/>
        <w:tblInd w:w="109" w:type="dxa"/>
        <w:tblLayout w:type="fixed"/>
        <w:tblCellMar>
          <w:left w:w="0" w:type="dxa"/>
          <w:right w:w="0" w:type="dxa"/>
        </w:tblCellMar>
        <w:tblLook w:val="01E0" w:firstRow="1" w:lastRow="1" w:firstColumn="1" w:lastColumn="1" w:noHBand="0" w:noVBand="0"/>
      </w:tblPr>
      <w:tblGrid>
        <w:gridCol w:w="4142"/>
        <w:gridCol w:w="2240"/>
        <w:gridCol w:w="3228"/>
      </w:tblGrid>
      <w:tr w:rsidR="006F76EB" w:rsidRPr="00834D52" w14:paraId="5013CACD"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668B7F62"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ամսաթիվը</w:t>
            </w:r>
          </w:p>
        </w:tc>
        <w:tc>
          <w:tcPr>
            <w:tcW w:w="5468" w:type="dxa"/>
            <w:gridSpan w:val="2"/>
            <w:tcBorders>
              <w:top w:val="single" w:sz="4" w:space="0" w:color="000000"/>
              <w:left w:val="single" w:sz="4" w:space="0" w:color="000000"/>
              <w:bottom w:val="single" w:sz="4" w:space="0" w:color="000000"/>
              <w:right w:val="single" w:sz="4" w:space="0" w:color="000000"/>
            </w:tcBorders>
          </w:tcPr>
          <w:p w14:paraId="10A2C95E"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p>
        </w:tc>
      </w:tr>
      <w:tr w:rsidR="006F76EB" w:rsidRPr="00834D52" w14:paraId="05A94A63" w14:textId="77777777" w:rsidTr="00F71229">
        <w:tc>
          <w:tcPr>
            <w:tcW w:w="6382" w:type="dxa"/>
            <w:gridSpan w:val="2"/>
            <w:tcBorders>
              <w:top w:val="single" w:sz="4" w:space="0" w:color="000000"/>
              <w:left w:val="single" w:sz="4" w:space="0" w:color="000000"/>
              <w:bottom w:val="single" w:sz="4" w:space="0" w:color="000000"/>
              <w:right w:val="single" w:sz="4" w:space="0" w:color="000000"/>
            </w:tcBorders>
          </w:tcPr>
          <w:p w14:paraId="22580865"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3228" w:type="dxa"/>
            <w:tcBorders>
              <w:top w:val="single" w:sz="4" w:space="0" w:color="000000"/>
              <w:left w:val="single" w:sz="4" w:space="0" w:color="000000"/>
              <w:bottom w:val="single" w:sz="4" w:space="0" w:color="000000"/>
              <w:right w:val="single" w:sz="4" w:space="0" w:color="000000"/>
            </w:tcBorders>
          </w:tcPr>
          <w:p w14:paraId="2646D014" w14:textId="77777777" w:rsidR="006F76EB" w:rsidRPr="00834D52" w:rsidRDefault="006F76EB" w:rsidP="001516A4">
            <w:pPr>
              <w:spacing w:after="120" w:line="240" w:lineRule="auto"/>
              <w:ind w:right="-8"/>
              <w:rPr>
                <w:rFonts w:ascii="Sylfaen" w:hAnsi="Sylfaen"/>
                <w:sz w:val="24"/>
                <w:szCs w:val="24"/>
              </w:rPr>
            </w:pPr>
          </w:p>
        </w:tc>
      </w:tr>
      <w:tr w:rsidR="006F76EB" w:rsidRPr="00834D52" w14:paraId="69A1EDFE" w14:textId="77777777" w:rsidTr="00F71229">
        <w:tc>
          <w:tcPr>
            <w:tcW w:w="6382" w:type="dxa"/>
            <w:gridSpan w:val="2"/>
            <w:tcBorders>
              <w:top w:val="single" w:sz="4" w:space="0" w:color="000000"/>
              <w:left w:val="single" w:sz="4" w:space="0" w:color="000000"/>
              <w:bottom w:val="single" w:sz="4" w:space="0" w:color="000000"/>
              <w:right w:val="single" w:sz="4" w:space="0" w:color="000000"/>
            </w:tcBorders>
          </w:tcPr>
          <w:p w14:paraId="4A977781"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շնորհել են հազվադեպ կիրառվող («որբ») դեղապատրաստուկի կարգավիճակ</w:t>
            </w:r>
          </w:p>
        </w:tc>
        <w:tc>
          <w:tcPr>
            <w:tcW w:w="3228" w:type="dxa"/>
            <w:tcBorders>
              <w:top w:val="single" w:sz="4" w:space="0" w:color="000000"/>
              <w:left w:val="single" w:sz="4" w:space="0" w:color="000000"/>
              <w:bottom w:val="single" w:sz="4" w:space="0" w:color="000000"/>
              <w:right w:val="single" w:sz="4" w:space="0" w:color="000000"/>
            </w:tcBorders>
          </w:tcPr>
          <w:p w14:paraId="2FD06AE7" w14:textId="77777777" w:rsidR="006F76EB" w:rsidRPr="00834D52" w:rsidRDefault="006F76EB" w:rsidP="001516A4">
            <w:pPr>
              <w:spacing w:after="120" w:line="240" w:lineRule="auto"/>
              <w:ind w:right="-8"/>
              <w:rPr>
                <w:rFonts w:ascii="Sylfaen" w:hAnsi="Sylfaen"/>
                <w:sz w:val="24"/>
                <w:szCs w:val="24"/>
              </w:rPr>
            </w:pPr>
          </w:p>
        </w:tc>
      </w:tr>
    </w:tbl>
    <w:p w14:paraId="04340D75"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z w:val="24"/>
          <w:szCs w:val="24"/>
        </w:rPr>
        <w:t>Հազվադեպ կիրառվող («որբ») դեղապատրաստուկի կարգավիճակի շնորհումը մերժվել է</w:t>
      </w:r>
      <w:r w:rsidRPr="00834D52">
        <w:rPr>
          <w:rFonts w:ascii="Sylfaen" w:hAnsi="Sylfaen"/>
          <w:spacing w:val="-4"/>
          <w:sz w:val="24"/>
          <w:szCs w:val="24"/>
        </w:rPr>
        <w:t>՝</w:t>
      </w:r>
    </w:p>
    <w:tbl>
      <w:tblPr>
        <w:tblW w:w="9663" w:type="dxa"/>
        <w:tblInd w:w="109" w:type="dxa"/>
        <w:tblLayout w:type="fixed"/>
        <w:tblCellMar>
          <w:left w:w="0" w:type="dxa"/>
          <w:right w:w="0" w:type="dxa"/>
        </w:tblCellMar>
        <w:tblLook w:val="01E0" w:firstRow="1" w:lastRow="1" w:firstColumn="1" w:lastColumn="1" w:noHBand="0" w:noVBand="0"/>
      </w:tblPr>
      <w:tblGrid>
        <w:gridCol w:w="4164"/>
        <w:gridCol w:w="5499"/>
      </w:tblGrid>
      <w:tr w:rsidR="006F76EB" w:rsidRPr="00834D52" w14:paraId="41AA2F26" w14:textId="77777777" w:rsidTr="001516A4">
        <w:trPr>
          <w:trHeight w:val="493"/>
        </w:trPr>
        <w:tc>
          <w:tcPr>
            <w:tcW w:w="4164" w:type="dxa"/>
            <w:tcBorders>
              <w:top w:val="single" w:sz="4" w:space="0" w:color="000000"/>
              <w:left w:val="single" w:sz="4" w:space="0" w:color="000000"/>
              <w:bottom w:val="single" w:sz="4" w:space="0" w:color="000000"/>
              <w:right w:val="single" w:sz="4" w:space="0" w:color="000000"/>
            </w:tcBorders>
          </w:tcPr>
          <w:p w14:paraId="5BF4EF5C"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ամսաթիվը</w:t>
            </w:r>
          </w:p>
        </w:tc>
        <w:tc>
          <w:tcPr>
            <w:tcW w:w="5499" w:type="dxa"/>
            <w:tcBorders>
              <w:top w:val="single" w:sz="4" w:space="0" w:color="000000"/>
              <w:left w:val="single" w:sz="4" w:space="0" w:color="000000"/>
              <w:bottom w:val="single" w:sz="4" w:space="0" w:color="000000"/>
              <w:right w:val="single" w:sz="4" w:space="0" w:color="000000"/>
            </w:tcBorders>
          </w:tcPr>
          <w:p w14:paraId="5E8F7C8E"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6AAF7B64" w14:textId="77777777" w:rsidTr="001516A4">
        <w:trPr>
          <w:trHeight w:val="493"/>
        </w:trPr>
        <w:tc>
          <w:tcPr>
            <w:tcW w:w="4164" w:type="dxa"/>
            <w:tcBorders>
              <w:top w:val="single" w:sz="4" w:space="0" w:color="000000"/>
              <w:left w:val="single" w:sz="4" w:space="0" w:color="000000"/>
              <w:bottom w:val="single" w:sz="4" w:space="0" w:color="000000"/>
              <w:right w:val="single" w:sz="4" w:space="0" w:color="auto"/>
            </w:tcBorders>
          </w:tcPr>
          <w:p w14:paraId="38DF9D4C"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lastRenderedPageBreak/>
              <w:t>որոշման համարը</w:t>
            </w:r>
          </w:p>
        </w:tc>
        <w:tc>
          <w:tcPr>
            <w:tcW w:w="5499" w:type="dxa"/>
            <w:tcBorders>
              <w:top w:val="single" w:sz="4" w:space="0" w:color="000000"/>
              <w:left w:val="single" w:sz="4" w:space="0" w:color="auto"/>
              <w:bottom w:val="single" w:sz="4" w:space="0" w:color="000000"/>
              <w:right w:val="single" w:sz="4" w:space="0" w:color="000000"/>
            </w:tcBorders>
          </w:tcPr>
          <w:p w14:paraId="75A233F0"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2F8CF1A3" w14:textId="77777777" w:rsidTr="001516A4">
        <w:trPr>
          <w:trHeight w:val="493"/>
        </w:trPr>
        <w:tc>
          <w:tcPr>
            <w:tcW w:w="9663" w:type="dxa"/>
            <w:gridSpan w:val="2"/>
            <w:tcBorders>
              <w:top w:val="single" w:sz="4" w:space="0" w:color="000000"/>
              <w:left w:val="single" w:sz="4" w:space="0" w:color="000000"/>
              <w:bottom w:val="single" w:sz="4" w:space="0" w:color="000000"/>
              <w:right w:val="single" w:sz="4" w:space="0" w:color="000000"/>
            </w:tcBorders>
          </w:tcPr>
          <w:p w14:paraId="691D993F" w14:textId="69F92F8D"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 xml:space="preserve">կարգավիճակի շնորհման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0543CAB3" w14:textId="77777777" w:rsidTr="001516A4">
        <w:trPr>
          <w:trHeight w:val="493"/>
        </w:trPr>
        <w:tc>
          <w:tcPr>
            <w:tcW w:w="4164" w:type="dxa"/>
            <w:tcBorders>
              <w:top w:val="single" w:sz="4" w:space="0" w:color="000000"/>
              <w:left w:val="single" w:sz="4" w:space="0" w:color="000000"/>
              <w:bottom w:val="single" w:sz="4" w:space="0" w:color="000000"/>
              <w:right w:val="single" w:sz="4" w:space="0" w:color="auto"/>
            </w:tcBorders>
          </w:tcPr>
          <w:p w14:paraId="4D1EB555"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ամսաթիվը</w:t>
            </w:r>
          </w:p>
        </w:tc>
        <w:tc>
          <w:tcPr>
            <w:tcW w:w="5499" w:type="dxa"/>
            <w:tcBorders>
              <w:top w:val="single" w:sz="4" w:space="0" w:color="000000"/>
              <w:left w:val="single" w:sz="4" w:space="0" w:color="auto"/>
              <w:bottom w:val="single" w:sz="4" w:space="0" w:color="000000"/>
              <w:right w:val="single" w:sz="4" w:space="0" w:color="000000"/>
            </w:tcBorders>
          </w:tcPr>
          <w:p w14:paraId="2E1F63C8"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38F822D7" w14:textId="77777777" w:rsidTr="001516A4">
        <w:trPr>
          <w:trHeight w:val="1197"/>
        </w:trPr>
        <w:tc>
          <w:tcPr>
            <w:tcW w:w="9663" w:type="dxa"/>
            <w:gridSpan w:val="2"/>
            <w:tcBorders>
              <w:top w:val="single" w:sz="4" w:space="0" w:color="000000"/>
              <w:left w:val="single" w:sz="4" w:space="0" w:color="000000"/>
              <w:bottom w:val="single" w:sz="4" w:space="0" w:color="000000"/>
              <w:right w:val="single" w:sz="4" w:space="0" w:color="000000"/>
            </w:tcBorders>
          </w:tcPr>
          <w:p w14:paraId="14C3DCBE" w14:textId="3FAEC5BA" w:rsidR="006F76EB" w:rsidRPr="00834D52" w:rsidRDefault="006F76EB" w:rsidP="001516A4">
            <w:pPr>
              <w:spacing w:after="120" w:line="240" w:lineRule="auto"/>
              <w:ind w:left="187"/>
              <w:rPr>
                <w:rFonts w:ascii="Sylfaen" w:eastAsia="Times New Roman" w:hAnsi="Sylfaen" w:cs="Times New Roman"/>
                <w:sz w:val="24"/>
                <w:szCs w:val="24"/>
              </w:rPr>
            </w:pPr>
            <w:r w:rsidRPr="00834D52">
              <w:rPr>
                <w:rFonts w:ascii="Sylfaen" w:hAnsi="Sylfaen"/>
                <w:sz w:val="24"/>
                <w:szCs w:val="24"/>
              </w:rPr>
              <w:t xml:space="preserve">դեղապատրաստուկին հազվադեպ կիրառվող («որբ») պատրաստուկի կարգավիճակի շնորհումը հաստատող 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 5.2 ենթակետ):</w:t>
            </w:r>
          </w:p>
        </w:tc>
      </w:tr>
    </w:tbl>
    <w:p w14:paraId="225D6654" w14:textId="77777777" w:rsidR="006F76EB" w:rsidRPr="00834D52" w:rsidRDefault="006F76EB" w:rsidP="006F76EB">
      <w:pPr>
        <w:spacing w:after="160" w:line="360" w:lineRule="auto"/>
        <w:ind w:right="-8"/>
        <w:rPr>
          <w:rFonts w:ascii="Sylfaen" w:eastAsia="Times New Roman" w:hAnsi="Sylfaen" w:cs="Times New Roman"/>
          <w:sz w:val="24"/>
          <w:szCs w:val="24"/>
        </w:rPr>
      </w:pPr>
    </w:p>
    <w:p w14:paraId="742B5E48" w14:textId="77777777" w:rsidR="001516A4" w:rsidRPr="007F5A60" w:rsidRDefault="001516A4">
      <w:pPr>
        <w:widowControl/>
        <w:rPr>
          <w:rFonts w:ascii="Sylfaen" w:hAnsi="Sylfaen"/>
          <w:sz w:val="24"/>
          <w:szCs w:val="24"/>
        </w:rPr>
      </w:pPr>
      <w:r w:rsidRPr="007F5A60">
        <w:rPr>
          <w:rFonts w:ascii="Sylfaen" w:hAnsi="Sylfaen"/>
          <w:sz w:val="24"/>
          <w:szCs w:val="24"/>
        </w:rPr>
        <w:br w:type="page"/>
      </w:r>
    </w:p>
    <w:p w14:paraId="3ECCF215" w14:textId="0466CE15" w:rsidR="006F76EB" w:rsidRPr="00834D52" w:rsidRDefault="006F76EB" w:rsidP="001516A4">
      <w:pPr>
        <w:spacing w:after="160" w:line="336"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3. </w:t>
      </w:r>
      <w:r w:rsidR="0056496B">
        <w:rPr>
          <w:rFonts w:ascii="Sylfaen" w:hAnsi="Sylfaen"/>
          <w:sz w:val="24"/>
          <w:szCs w:val="24"/>
        </w:rPr>
        <w:t>Դիմում</w:t>
      </w:r>
      <w:r w:rsidRPr="00834D52">
        <w:rPr>
          <w:rFonts w:ascii="Sylfaen" w:hAnsi="Sylfaen"/>
          <w:sz w:val="24"/>
          <w:szCs w:val="24"/>
        </w:rPr>
        <w:t>ի հատուկ կետերը</w:t>
      </w:r>
    </w:p>
    <w:tbl>
      <w:tblPr>
        <w:tblW w:w="9535" w:type="dxa"/>
        <w:tblInd w:w="109" w:type="dxa"/>
        <w:tblLayout w:type="fixed"/>
        <w:tblCellMar>
          <w:left w:w="0" w:type="dxa"/>
          <w:right w:w="0" w:type="dxa"/>
        </w:tblCellMar>
        <w:tblLook w:val="01E0" w:firstRow="1" w:lastRow="1" w:firstColumn="1" w:lastColumn="1" w:noHBand="0" w:noVBand="0"/>
      </w:tblPr>
      <w:tblGrid>
        <w:gridCol w:w="5850"/>
        <w:gridCol w:w="3685"/>
      </w:tblGrid>
      <w:tr w:rsidR="006F76EB" w:rsidRPr="00834D52" w14:paraId="4031D5D8"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576FE845" w14:textId="77777777" w:rsidR="006F76EB" w:rsidRPr="00834D52" w:rsidRDefault="006F76EB" w:rsidP="001516A4">
            <w:pPr>
              <w:tabs>
                <w:tab w:val="left" w:pos="1172"/>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3685" w:type="dxa"/>
            <w:tcBorders>
              <w:top w:val="single" w:sz="4" w:space="0" w:color="000000"/>
              <w:left w:val="single" w:sz="4" w:space="0" w:color="000000"/>
              <w:bottom w:val="single" w:sz="4" w:space="0" w:color="000000"/>
              <w:right w:val="single" w:sz="4" w:space="0" w:color="000000"/>
            </w:tcBorders>
          </w:tcPr>
          <w:p w14:paraId="7B2E7455" w14:textId="77777777" w:rsidR="006F76EB" w:rsidRPr="00834D52" w:rsidRDefault="006F76EB" w:rsidP="001516A4">
            <w:pPr>
              <w:spacing w:after="120" w:line="240" w:lineRule="auto"/>
              <w:ind w:right="-8"/>
              <w:rPr>
                <w:rFonts w:ascii="Sylfaen" w:hAnsi="Sylfaen"/>
                <w:sz w:val="24"/>
                <w:szCs w:val="24"/>
              </w:rPr>
            </w:pPr>
          </w:p>
        </w:tc>
      </w:tr>
      <w:tr w:rsidR="006F76EB" w:rsidRPr="00834D52" w14:paraId="0EDD747D"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52E587C6" w14:textId="77777777" w:rsidR="006F76EB" w:rsidRPr="00834D52" w:rsidRDefault="006F76EB" w:rsidP="001516A4">
            <w:pPr>
              <w:tabs>
                <w:tab w:val="left" w:pos="1172"/>
              </w:tabs>
              <w:spacing w:after="120" w:line="240" w:lineRule="auto"/>
              <w:ind w:left="186"/>
              <w:rPr>
                <w:rFonts w:ascii="Sylfaen" w:eastAsia="Times New Roman" w:hAnsi="Sylfaen" w:cs="Times New Roman"/>
                <w:sz w:val="24"/>
                <w:szCs w:val="24"/>
              </w:rPr>
            </w:pPr>
            <w:r w:rsidRPr="00834D52">
              <w:rPr>
                <w:rFonts w:ascii="Sylfaen" w:hAnsi="Sylfaen"/>
                <w:sz w:val="24"/>
                <w:szCs w:val="24"/>
              </w:rPr>
              <w:t>3.1.1.</w:t>
            </w:r>
            <w:r w:rsidRPr="00834D52">
              <w:rPr>
                <w:rFonts w:ascii="Sylfaen" w:hAnsi="Sylfaen"/>
                <w:sz w:val="24"/>
                <w:szCs w:val="24"/>
              </w:rPr>
              <w:tab/>
              <w:t>Դեղապատրաստուկի անվանումը</w:t>
            </w:r>
          </w:p>
        </w:tc>
        <w:tc>
          <w:tcPr>
            <w:tcW w:w="3685" w:type="dxa"/>
            <w:tcBorders>
              <w:top w:val="single" w:sz="4" w:space="0" w:color="000000"/>
              <w:left w:val="single" w:sz="4" w:space="0" w:color="000000"/>
              <w:bottom w:val="single" w:sz="4" w:space="0" w:color="000000"/>
              <w:right w:val="single" w:sz="4" w:space="0" w:color="000000"/>
            </w:tcBorders>
          </w:tcPr>
          <w:p w14:paraId="4A969BA2" w14:textId="77777777" w:rsidR="006F76EB" w:rsidRPr="00834D52" w:rsidRDefault="006F76EB" w:rsidP="001516A4">
            <w:pPr>
              <w:spacing w:after="120" w:line="240" w:lineRule="auto"/>
              <w:ind w:right="-8"/>
              <w:rPr>
                <w:rFonts w:ascii="Sylfaen" w:hAnsi="Sylfaen"/>
                <w:sz w:val="24"/>
                <w:szCs w:val="24"/>
              </w:rPr>
            </w:pPr>
          </w:p>
        </w:tc>
      </w:tr>
      <w:tr w:rsidR="006F76EB" w:rsidRPr="00834D52" w14:paraId="4DB9BF09"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60CAA2B2" w14:textId="77777777" w:rsidR="006F76EB" w:rsidRPr="00834D52" w:rsidRDefault="006F76EB" w:rsidP="001516A4">
            <w:pPr>
              <w:tabs>
                <w:tab w:val="left" w:pos="1172"/>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3.1.2.</w:t>
            </w:r>
            <w:r w:rsidRPr="00834D52">
              <w:rPr>
                <w:rFonts w:ascii="Sylfaen" w:hAnsi="Sylfaen"/>
                <w:sz w:val="24"/>
                <w:szCs w:val="24"/>
              </w:rPr>
              <w:tab/>
              <w:t>ԱԴԲ-ի անվանումը կամ բաղադրությունը</w:t>
            </w:r>
          </w:p>
        </w:tc>
        <w:tc>
          <w:tcPr>
            <w:tcW w:w="3685" w:type="dxa"/>
            <w:tcBorders>
              <w:top w:val="single" w:sz="4" w:space="0" w:color="000000"/>
              <w:left w:val="single" w:sz="4" w:space="0" w:color="000000"/>
              <w:bottom w:val="single" w:sz="4" w:space="0" w:color="000000"/>
              <w:right w:val="single" w:sz="4" w:space="0" w:color="000000"/>
            </w:tcBorders>
          </w:tcPr>
          <w:p w14:paraId="58D064D9" w14:textId="77777777" w:rsidR="006F76EB" w:rsidRPr="00834D52" w:rsidRDefault="006F76EB" w:rsidP="001516A4">
            <w:pPr>
              <w:spacing w:after="120" w:line="240" w:lineRule="auto"/>
              <w:ind w:right="-8"/>
              <w:rPr>
                <w:rFonts w:ascii="Sylfaen" w:hAnsi="Sylfaen"/>
                <w:sz w:val="24"/>
                <w:szCs w:val="24"/>
              </w:rPr>
            </w:pPr>
          </w:p>
        </w:tc>
      </w:tr>
    </w:tbl>
    <w:p w14:paraId="69E28CD1" w14:textId="77777777" w:rsidR="006F76EB" w:rsidRDefault="006F76EB" w:rsidP="006F76EB">
      <w:pPr>
        <w:spacing w:after="160" w:line="336" w:lineRule="auto"/>
        <w:ind w:right="-8" w:firstLine="567"/>
        <w:jc w:val="both"/>
        <w:rPr>
          <w:rFonts w:ascii="Sylfaen" w:hAnsi="Sylfaen"/>
          <w:sz w:val="24"/>
          <w:szCs w:val="24"/>
        </w:rPr>
      </w:pPr>
      <w:r w:rsidRPr="00834D52">
        <w:rPr>
          <w:rFonts w:ascii="Sylfaen" w:hAnsi="Sylfaen"/>
          <w:sz w:val="24"/>
          <w:szCs w:val="24"/>
        </w:rPr>
        <w:t>Ծանոթագրություն. Միայն մեկ անվանում պետք է բերվի հետ</w:t>
      </w:r>
      <w:r w:rsidR="00C54D75">
        <w:rPr>
          <w:rFonts w:ascii="Sylfaen" w:hAnsi="Sylfaen"/>
          <w:sz w:val="24"/>
          <w:szCs w:val="24"/>
        </w:rPr>
        <w:t>և</w:t>
      </w:r>
      <w:r w:rsidRPr="00834D52">
        <w:rPr>
          <w:rFonts w:ascii="Sylfaen" w:hAnsi="Sylfaen"/>
          <w:sz w:val="24"/>
          <w:szCs w:val="24"/>
        </w:rPr>
        <w:t>յալ կարգով՝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անվանումը՝ ըստ Եվրասիական տնտեսական միության դեղագրքի, Եվրասիական տնտեսական միության անդամ պետությունների դեղագրքերի (կամ Եվրասիական տնտեսական հանձնաժողովի կողմից հաստատված Եվրասիական տնտեսական միության անդամ պետությունների դեղագրքերի ներդաշնակեցման հայեցակարգին </w:t>
      </w:r>
      <w:r w:rsidRPr="007E6BCD">
        <w:rPr>
          <w:rFonts w:ascii="Sylfaen" w:hAnsi="Sylfaen"/>
          <w:sz w:val="24"/>
          <w:szCs w:val="24"/>
        </w:rPr>
        <w:t xml:space="preserve">համապատասխան հիմնական դեղագրքերի), համընդհանուր կամ </w:t>
      </w:r>
      <w:r w:rsidR="00C648A4">
        <w:rPr>
          <w:rFonts w:ascii="Sylfaen" w:hAnsi="Sylfaen"/>
          <w:sz w:val="24"/>
          <w:szCs w:val="24"/>
        </w:rPr>
        <w:t>խմբի անվանումը, գիտական (քիմիական) անվանումը:</w:t>
      </w:r>
    </w:p>
    <w:p w14:paraId="334111E2" w14:textId="77777777" w:rsidR="006F76EB" w:rsidRPr="00834D52" w:rsidRDefault="006F76EB" w:rsidP="00FA28B3">
      <w:pPr>
        <w:tabs>
          <w:tab w:val="left" w:pos="1701"/>
        </w:tabs>
        <w:spacing w:after="160" w:line="336" w:lineRule="auto"/>
        <w:ind w:right="4331"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7"/>
        <w:t>3.1.3.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 (օգտագործե՛ք գործող ԱԲՔ ծածկագիրը)</w:t>
      </w:r>
    </w:p>
    <w:tbl>
      <w:tblPr>
        <w:tblW w:w="9660" w:type="dxa"/>
        <w:tblInd w:w="109" w:type="dxa"/>
        <w:tblLayout w:type="fixed"/>
        <w:tblCellMar>
          <w:left w:w="0" w:type="dxa"/>
          <w:right w:w="0" w:type="dxa"/>
        </w:tblCellMar>
        <w:tblLook w:val="01E0" w:firstRow="1" w:lastRow="1" w:firstColumn="1" w:lastColumn="1" w:noHBand="0" w:noVBand="0"/>
      </w:tblPr>
      <w:tblGrid>
        <w:gridCol w:w="4164"/>
        <w:gridCol w:w="5496"/>
      </w:tblGrid>
      <w:tr w:rsidR="006F76EB" w:rsidRPr="00834D52" w14:paraId="784DCDCC" w14:textId="77777777" w:rsidTr="00FA28B3">
        <w:trPr>
          <w:trHeight w:val="722"/>
        </w:trPr>
        <w:tc>
          <w:tcPr>
            <w:tcW w:w="4164" w:type="dxa"/>
            <w:tcBorders>
              <w:top w:val="single" w:sz="4" w:space="0" w:color="000000"/>
              <w:left w:val="single" w:sz="4" w:space="0" w:color="000000"/>
              <w:bottom w:val="single" w:sz="4" w:space="0" w:color="000000"/>
              <w:right w:val="single" w:sz="4" w:space="0" w:color="000000"/>
            </w:tcBorders>
          </w:tcPr>
          <w:p w14:paraId="6257CA6A"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ԱԲՔ ծածկագիրը</w:t>
            </w:r>
          </w:p>
        </w:tc>
        <w:tc>
          <w:tcPr>
            <w:tcW w:w="5496" w:type="dxa"/>
            <w:tcBorders>
              <w:top w:val="single" w:sz="4" w:space="0" w:color="000000"/>
              <w:left w:val="single" w:sz="4" w:space="0" w:color="000000"/>
              <w:bottom w:val="single" w:sz="4" w:space="0" w:color="000000"/>
              <w:right w:val="single" w:sz="4" w:space="0" w:color="000000"/>
            </w:tcBorders>
          </w:tcPr>
          <w:p w14:paraId="5CFD3101" w14:textId="77777777" w:rsidR="006F76EB" w:rsidRPr="00834D52" w:rsidRDefault="006F76EB" w:rsidP="00FA28B3">
            <w:pPr>
              <w:spacing w:after="120" w:line="240" w:lineRule="auto"/>
              <w:ind w:right="-8"/>
              <w:rPr>
                <w:rFonts w:ascii="Sylfaen" w:hAnsi="Sylfaen"/>
                <w:sz w:val="24"/>
                <w:szCs w:val="24"/>
              </w:rPr>
            </w:pPr>
          </w:p>
        </w:tc>
      </w:tr>
      <w:tr w:rsidR="006F76EB" w:rsidRPr="00834D52" w14:paraId="24471EFB" w14:textId="77777777" w:rsidTr="00FA28B3">
        <w:trPr>
          <w:trHeight w:val="722"/>
        </w:trPr>
        <w:tc>
          <w:tcPr>
            <w:tcW w:w="4164" w:type="dxa"/>
            <w:tcBorders>
              <w:top w:val="single" w:sz="4" w:space="0" w:color="000000"/>
              <w:left w:val="single" w:sz="4" w:space="0" w:color="000000"/>
              <w:bottom w:val="single" w:sz="4" w:space="0" w:color="000000"/>
              <w:right w:val="single" w:sz="4" w:space="0" w:color="000000"/>
            </w:tcBorders>
          </w:tcPr>
          <w:p w14:paraId="5BDD1487"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Խումբը</w:t>
            </w:r>
          </w:p>
        </w:tc>
        <w:tc>
          <w:tcPr>
            <w:tcW w:w="5496" w:type="dxa"/>
            <w:tcBorders>
              <w:top w:val="single" w:sz="4" w:space="0" w:color="000000"/>
              <w:left w:val="single" w:sz="4" w:space="0" w:color="000000"/>
              <w:bottom w:val="single" w:sz="4" w:space="0" w:color="000000"/>
              <w:right w:val="single" w:sz="4" w:space="0" w:color="000000"/>
            </w:tcBorders>
          </w:tcPr>
          <w:p w14:paraId="4B695DFA" w14:textId="77777777" w:rsidR="006F76EB" w:rsidRPr="00834D52" w:rsidRDefault="006F76EB" w:rsidP="00FA28B3">
            <w:pPr>
              <w:spacing w:after="120" w:line="240" w:lineRule="auto"/>
              <w:ind w:right="-8"/>
              <w:rPr>
                <w:rFonts w:ascii="Sylfaen" w:hAnsi="Sylfaen"/>
                <w:sz w:val="24"/>
                <w:szCs w:val="24"/>
              </w:rPr>
            </w:pPr>
          </w:p>
        </w:tc>
      </w:tr>
    </w:tbl>
    <w:p w14:paraId="577C50E2" w14:textId="578E6834"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շնորհված չէ, ապա նշե՛ք, թե արդյոք ներկայացվել է ԱԲՔ ծածկագրի շնորհման </w:t>
      </w:r>
      <w:r w:rsidR="0056496B">
        <w:rPr>
          <w:rFonts w:ascii="Sylfaen" w:hAnsi="Sylfaen"/>
          <w:sz w:val="24"/>
          <w:szCs w:val="24"/>
        </w:rPr>
        <w:t>դիմում</w:t>
      </w:r>
      <w:r w:rsidRPr="00834D52">
        <w:rPr>
          <w:rFonts w:ascii="Sylfaen" w:hAnsi="Sylfaen"/>
          <w:sz w:val="24"/>
          <w:szCs w:val="24"/>
        </w:rPr>
        <w:t xml:space="preserve"> </w:t>
      </w:r>
    </w:p>
    <w:p w14:paraId="5737D5CD" w14:textId="77777777" w:rsidR="006F76EB" w:rsidRPr="00834D52" w:rsidRDefault="006F76EB" w:rsidP="00FA28B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Դոզավորումը,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եղանակը, առաջնային փաթեթվածքի տարողունակությունը, դոզավորման միավորների քանակը փաթեթվածքում</w:t>
      </w:r>
    </w:p>
    <w:p w14:paraId="1412024D" w14:textId="77777777" w:rsidR="006F76EB" w:rsidRPr="00834D52" w:rsidRDefault="006F76EB" w:rsidP="00FA28B3">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3.2.1.</w:t>
      </w:r>
      <w:r w:rsidRPr="00834D52">
        <w:rPr>
          <w:rFonts w:ascii="Sylfaen" w:hAnsi="Sylfaen"/>
          <w:sz w:val="24"/>
          <w:szCs w:val="24"/>
        </w:rPr>
        <w:tab/>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11EEFBDF"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0" w:type="auto"/>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7B8964CE"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184160D2"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lastRenderedPageBreak/>
              <w:t>դեղաձ</w:t>
            </w:r>
            <w:r w:rsidR="00C54D75">
              <w:rPr>
                <w:rFonts w:ascii="Sylfaen" w:hAnsi="Sylfaen"/>
                <w:sz w:val="24"/>
                <w:szCs w:val="24"/>
              </w:rPr>
              <w:t>և</w:t>
            </w:r>
            <w:r w:rsidRPr="00834D52">
              <w:rPr>
                <w:rFonts w:ascii="Sylfaen" w:hAnsi="Sylfaen"/>
                <w:sz w:val="24"/>
                <w:szCs w:val="24"/>
              </w:rPr>
              <w:t>ը</w:t>
            </w:r>
          </w:p>
        </w:tc>
        <w:tc>
          <w:tcPr>
            <w:tcW w:w="3794" w:type="dxa"/>
            <w:tcBorders>
              <w:top w:val="single" w:sz="4" w:space="0" w:color="000000"/>
              <w:left w:val="single" w:sz="4" w:space="0" w:color="000000"/>
              <w:bottom w:val="single" w:sz="4" w:space="0" w:color="000000"/>
              <w:right w:val="single" w:sz="4" w:space="0" w:color="000000"/>
            </w:tcBorders>
          </w:tcPr>
          <w:p w14:paraId="1F2C24B8" w14:textId="77777777" w:rsidR="006F76EB" w:rsidRPr="00834D52" w:rsidRDefault="006F76EB" w:rsidP="00FA28B3">
            <w:pPr>
              <w:spacing w:after="120" w:line="240" w:lineRule="auto"/>
              <w:ind w:right="-8"/>
              <w:rPr>
                <w:rFonts w:ascii="Sylfaen" w:hAnsi="Sylfaen"/>
                <w:sz w:val="24"/>
                <w:szCs w:val="24"/>
              </w:rPr>
            </w:pPr>
          </w:p>
        </w:tc>
      </w:tr>
      <w:tr w:rsidR="006F76EB" w:rsidRPr="00834D52" w14:paraId="25C3AB5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60ED3B5B"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3794" w:type="dxa"/>
            <w:tcBorders>
              <w:top w:val="single" w:sz="4" w:space="0" w:color="000000"/>
              <w:left w:val="single" w:sz="4" w:space="0" w:color="000000"/>
              <w:bottom w:val="single" w:sz="4" w:space="0" w:color="000000"/>
              <w:right w:val="single" w:sz="4" w:space="0" w:color="000000"/>
            </w:tcBorders>
          </w:tcPr>
          <w:p w14:paraId="080AEA1A" w14:textId="77777777" w:rsidR="006F76EB" w:rsidRPr="00834D52" w:rsidRDefault="006F76EB" w:rsidP="00FA28B3">
            <w:pPr>
              <w:spacing w:after="120" w:line="240" w:lineRule="auto"/>
              <w:ind w:right="-8"/>
              <w:rPr>
                <w:rFonts w:ascii="Sylfaen" w:hAnsi="Sylfaen"/>
                <w:sz w:val="24"/>
                <w:szCs w:val="24"/>
              </w:rPr>
            </w:pPr>
          </w:p>
        </w:tc>
      </w:tr>
      <w:tr w:rsidR="006F76EB" w:rsidRPr="00834D52" w14:paraId="76D43E9D"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5E90A515" w14:textId="77777777" w:rsidR="006F76EB" w:rsidRPr="00834D52" w:rsidRDefault="006F76EB" w:rsidP="00FA28B3">
            <w:pPr>
              <w:tabs>
                <w:tab w:val="left" w:pos="1030"/>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3.2.2.</w:t>
            </w:r>
            <w:r w:rsidRPr="00834D52">
              <w:rPr>
                <w:rFonts w:ascii="Sylfaen" w:hAnsi="Sylfaen"/>
                <w:sz w:val="24"/>
                <w:szCs w:val="24"/>
              </w:rPr>
              <w:tab/>
              <w:t>Ներմուծման եղանակը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3794" w:type="dxa"/>
            <w:tcBorders>
              <w:top w:val="single" w:sz="4" w:space="0" w:color="000000"/>
              <w:left w:val="single" w:sz="4" w:space="0" w:color="000000"/>
              <w:bottom w:val="single" w:sz="4" w:space="0" w:color="000000"/>
              <w:right w:val="single" w:sz="4" w:space="0" w:color="000000"/>
            </w:tcBorders>
          </w:tcPr>
          <w:p w14:paraId="6E1A0239" w14:textId="77777777" w:rsidR="006F76EB" w:rsidRPr="00834D52" w:rsidRDefault="006F76EB" w:rsidP="00FA28B3">
            <w:pPr>
              <w:spacing w:after="120" w:line="240" w:lineRule="auto"/>
              <w:ind w:right="-8"/>
              <w:rPr>
                <w:rFonts w:ascii="Sylfaen" w:hAnsi="Sylfaen"/>
                <w:sz w:val="24"/>
                <w:szCs w:val="24"/>
              </w:rPr>
            </w:pPr>
          </w:p>
        </w:tc>
      </w:tr>
      <w:tr w:rsidR="006F76EB" w:rsidRPr="00834D52" w14:paraId="0F7294E2"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4772FB41" w14:textId="2C5221A7" w:rsidR="006F76EB" w:rsidRPr="00834D52" w:rsidRDefault="006F76EB" w:rsidP="00FA28B3">
            <w:pPr>
              <w:tabs>
                <w:tab w:val="left" w:pos="1030"/>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3.2.3.</w:t>
            </w:r>
            <w:r w:rsidRPr="00834D52">
              <w:rPr>
                <w:rFonts w:ascii="Sylfaen" w:hAnsi="Sylfaen"/>
                <w:sz w:val="24"/>
                <w:szCs w:val="24"/>
              </w:rPr>
              <w:tab/>
              <w:t xml:space="preserve">Փաթեթվածքը՝ առաջնային </w:t>
            </w:r>
            <w:r w:rsidR="00C54D75">
              <w:rPr>
                <w:rFonts w:ascii="Sylfaen" w:hAnsi="Sylfaen"/>
                <w:sz w:val="24"/>
                <w:szCs w:val="24"/>
              </w:rPr>
              <w:t>և</w:t>
            </w:r>
            <w:r w:rsidRPr="00834D52">
              <w:rPr>
                <w:rFonts w:ascii="Sylfaen" w:hAnsi="Sylfaen"/>
                <w:sz w:val="24"/>
                <w:szCs w:val="24"/>
              </w:rPr>
              <w:t xml:space="preserve"> երկրորդային փաթեթվածք (առկայության դեպքում), խցանափակման համակարգը </w:t>
            </w:r>
            <w:r w:rsidR="00C54D75">
              <w:rPr>
                <w:rFonts w:ascii="Sylfaen" w:hAnsi="Sylfaen"/>
                <w:sz w:val="24"/>
                <w:szCs w:val="24"/>
              </w:rPr>
              <w:t>և</w:t>
            </w:r>
            <w:r w:rsidRPr="00834D52">
              <w:rPr>
                <w:rFonts w:ascii="Sylfaen" w:hAnsi="Sylfaen"/>
                <w:sz w:val="24"/>
                <w:szCs w:val="24"/>
              </w:rPr>
              <w:t xml:space="preserve"> ներմուծման սարքերը՝ ներառյալ այն նյութի նկարագրությունը, որից դրանք պատրաստված են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r w:rsidR="00A4168F">
              <w:t xml:space="preserve"> </w:t>
            </w:r>
            <w:r w:rsidR="00A4168F" w:rsidRPr="00A4168F">
              <w:rPr>
                <w:rFonts w:ascii="Sylfaen" w:hAnsi="Sylfaen"/>
                <w:sz w:val="24"/>
                <w:szCs w:val="24"/>
              </w:rPr>
              <w:t>չբաժնեծրարված արտադրանքի փաթեթվածք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11DCDF3" w14:textId="77777777" w:rsidR="006F76EB" w:rsidRPr="00834D52" w:rsidRDefault="006F76EB" w:rsidP="00FA28B3">
            <w:pPr>
              <w:spacing w:after="120" w:line="240" w:lineRule="auto"/>
              <w:ind w:right="-8"/>
              <w:rPr>
                <w:rFonts w:ascii="Sylfaen" w:hAnsi="Sylfaen"/>
                <w:sz w:val="24"/>
                <w:szCs w:val="24"/>
              </w:rPr>
            </w:pPr>
          </w:p>
        </w:tc>
      </w:tr>
    </w:tbl>
    <w:p w14:paraId="39C65F05" w14:textId="77777777" w:rsidR="006F76EB" w:rsidRPr="00834D52" w:rsidRDefault="006F76EB" w:rsidP="009A0FA0">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0A381025"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3.2.3.1.</w:t>
      </w:r>
      <w:r w:rsidRPr="00834D52">
        <w:rPr>
          <w:rFonts w:ascii="Sylfaen" w:hAnsi="Sylfaen"/>
          <w:sz w:val="24"/>
          <w:szCs w:val="24"/>
        </w:rPr>
        <w:tab/>
        <w:t>Դոզավորման միավորների քանակը փաթեթվածքում</w:t>
      </w:r>
    </w:p>
    <w:p w14:paraId="23D0204D"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3.2.3.2.</w:t>
      </w:r>
      <w:r w:rsidRPr="00834D52">
        <w:rPr>
          <w:rFonts w:ascii="Sylfaen" w:hAnsi="Sylfaen"/>
          <w:sz w:val="24"/>
          <w:szCs w:val="24"/>
        </w:rPr>
        <w:tab/>
        <w:t>Պահպանման առաջարկվող ժամկետը</w:t>
      </w:r>
    </w:p>
    <w:p w14:paraId="0274010B"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3758B905"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3.2.3.4.</w:t>
      </w:r>
      <w:r w:rsidRPr="00834D52">
        <w:rPr>
          <w:rFonts w:ascii="Sylfaen" w:hAnsi="Sylfaen"/>
          <w:sz w:val="24"/>
          <w:szCs w:val="24"/>
        </w:rPr>
        <w:tab/>
        <w:t>Պահպանման առաջարկվող ժամկետը (վերականգնումից (լուծումից) կամ նոսրացումից հետո)</w:t>
      </w:r>
    </w:p>
    <w:p w14:paraId="61BECD3B"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3.2.3.5.</w:t>
      </w:r>
      <w:r w:rsidRPr="00834D52">
        <w:rPr>
          <w:rFonts w:ascii="Sylfaen" w:hAnsi="Sylfaen"/>
          <w:sz w:val="24"/>
          <w:szCs w:val="24"/>
        </w:rPr>
        <w:tab/>
        <w:t>Պահպանման առաջարկվող պայմանները</w:t>
      </w:r>
    </w:p>
    <w:p w14:paraId="6FD44E29"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3.2.3.6.</w:t>
      </w:r>
      <w:r w:rsidRPr="00834D52">
        <w:rPr>
          <w:rFonts w:ascii="Sylfaen" w:hAnsi="Sylfaen"/>
          <w:sz w:val="24"/>
          <w:szCs w:val="24"/>
        </w:rPr>
        <w:tab/>
        <w:t>Պահպանման առաջարկվող պայմանները փաթեթվածքը (առաջնային կամ միջանկյալ) առաջին անգամ բացելուց հետո</w:t>
      </w:r>
    </w:p>
    <w:p w14:paraId="3EC77328" w14:textId="77777777" w:rsidR="006F76EB" w:rsidRPr="00834D52" w:rsidRDefault="006F76EB" w:rsidP="009A0FA0">
      <w:pPr>
        <w:tabs>
          <w:tab w:val="left" w:pos="1701"/>
        </w:tabs>
        <w:spacing w:after="160" w:line="336" w:lineRule="auto"/>
        <w:ind w:right="-6" w:firstLine="567"/>
        <w:rPr>
          <w:rFonts w:ascii="Sylfaen" w:eastAsia="Times New Roman" w:hAnsi="Sylfaen" w:cs="Times New Roman"/>
          <w:sz w:val="24"/>
          <w:szCs w:val="24"/>
        </w:rPr>
      </w:pPr>
      <w:r w:rsidRPr="00834D52">
        <w:rPr>
          <w:rFonts w:ascii="Sylfaen" w:hAnsi="Sylfaen"/>
          <w:sz w:val="24"/>
          <w:szCs w:val="24"/>
        </w:rPr>
        <w:t>3.2.4.</w:t>
      </w:r>
      <w:r w:rsidRPr="00834D52">
        <w:rPr>
          <w:rFonts w:ascii="Sylfaen" w:hAnsi="Sylfaen"/>
          <w:sz w:val="24"/>
          <w:szCs w:val="24"/>
        </w:rPr>
        <w:tab/>
        <w:t>Ներմուծման սարքերի վերաբերյալ տեղեկատվություն</w:t>
      </w:r>
    </w:p>
    <w:p w14:paraId="04998D8B" w14:textId="77777777" w:rsidR="006F76EB" w:rsidRPr="00834D52" w:rsidRDefault="006F76EB" w:rsidP="009A0FA0">
      <w:pPr>
        <w:tabs>
          <w:tab w:val="left" w:pos="1701"/>
        </w:tabs>
        <w:spacing w:after="160" w:line="336" w:lineRule="auto"/>
        <w:ind w:right="-6" w:firstLine="567"/>
        <w:rPr>
          <w:rFonts w:ascii="Sylfaen" w:hAnsi="Sylfaen"/>
          <w:sz w:val="24"/>
          <w:szCs w:val="24"/>
        </w:rPr>
      </w:pPr>
      <w:r w:rsidRPr="00834D52">
        <w:rPr>
          <w:rFonts w:ascii="Sylfaen" w:hAnsi="Sylfaen"/>
          <w:sz w:val="24"/>
          <w:szCs w:val="24"/>
        </w:rPr>
        <w:t>3.3.</w:t>
      </w:r>
      <w:r w:rsidRPr="00834D52">
        <w:rPr>
          <w:rFonts w:ascii="Sylfaen" w:hAnsi="Sylfaen"/>
          <w:sz w:val="24"/>
          <w:szCs w:val="24"/>
        </w:rPr>
        <w:tab/>
        <w:t>Բացթողման կատեգորիան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592"/>
      </w:tblGrid>
      <w:tr w:rsidR="006F76EB" w:rsidRPr="00834D52" w14:paraId="300A0033" w14:textId="77777777" w:rsidTr="007527B5">
        <w:tc>
          <w:tcPr>
            <w:tcW w:w="4615" w:type="dxa"/>
          </w:tcPr>
          <w:p w14:paraId="11D7AFF7" w14:textId="77777777" w:rsidR="006F76EB" w:rsidRPr="00834D52" w:rsidRDefault="006F76EB" w:rsidP="00F71229">
            <w:pPr>
              <w:spacing w:after="160" w:line="336" w:lineRule="auto"/>
              <w:ind w:right="-6"/>
              <w:rPr>
                <w:rFonts w:ascii="Sylfaen" w:eastAsia="Times New Roman" w:hAnsi="Sylfaen" w:cs="Times New Roman"/>
                <w:sz w:val="24"/>
                <w:szCs w:val="24"/>
              </w:rPr>
            </w:pPr>
          </w:p>
        </w:tc>
        <w:tc>
          <w:tcPr>
            <w:tcW w:w="4685" w:type="dxa"/>
          </w:tcPr>
          <w:p w14:paraId="1A865F7D" w14:textId="5367E1E4" w:rsidR="006F76EB" w:rsidRPr="00834D52" w:rsidRDefault="0037154C"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38624" behindDoc="0" locked="0" layoutInCell="1" allowOverlap="1" wp14:anchorId="55899A0A" wp14:editId="496F71A7">
                      <wp:simplePos x="0" y="0"/>
                      <wp:positionH relativeFrom="column">
                        <wp:posOffset>24130</wp:posOffset>
                      </wp:positionH>
                      <wp:positionV relativeFrom="paragraph">
                        <wp:posOffset>54610</wp:posOffset>
                      </wp:positionV>
                      <wp:extent cx="161925" cy="152400"/>
                      <wp:effectExtent l="6985" t="5080" r="12065" b="13970"/>
                      <wp:wrapNone/>
                      <wp:docPr id="8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7AF92" id="Rectangle 201" o:spid="_x0000_s1026" style="position:absolute;margin-left:1.9pt;margin-top:4.3pt;width:12.75pt;height:1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"/>
                  </w:pict>
                </mc:Fallback>
              </mc:AlternateContent>
            </w:r>
            <w:r w:rsidR="006F76EB" w:rsidRPr="00834D52">
              <w:rPr>
                <w:rFonts w:ascii="Sylfaen" w:hAnsi="Sylfaen"/>
                <w:sz w:val="24"/>
                <w:szCs w:val="24"/>
              </w:rPr>
              <w:t>դեղատոմսով</w:t>
            </w:r>
          </w:p>
        </w:tc>
      </w:tr>
      <w:tr w:rsidR="006F76EB" w:rsidRPr="00834D52" w14:paraId="036123C4" w14:textId="77777777" w:rsidTr="007527B5">
        <w:tc>
          <w:tcPr>
            <w:tcW w:w="4615" w:type="dxa"/>
          </w:tcPr>
          <w:p w14:paraId="0AB66A70" w14:textId="77777777" w:rsidR="006F76EB" w:rsidRPr="00834D52" w:rsidRDefault="006F76EB" w:rsidP="009A0FA0">
            <w:pPr>
              <w:tabs>
                <w:tab w:val="left" w:pos="1134"/>
              </w:tabs>
              <w:spacing w:after="160" w:line="336" w:lineRule="auto"/>
              <w:ind w:right="-6" w:firstLine="567"/>
              <w:rPr>
                <w:rFonts w:ascii="Sylfaen" w:eastAsia="Times New Roman" w:hAnsi="Sylfaen" w:cs="Times New Roman"/>
                <w:sz w:val="24"/>
                <w:szCs w:val="24"/>
              </w:rPr>
            </w:pPr>
            <w:r w:rsidRPr="00834D52">
              <w:rPr>
                <w:rFonts w:ascii="Sylfaen" w:hAnsi="Sylfaen"/>
                <w:sz w:val="24"/>
                <w:szCs w:val="24"/>
              </w:rPr>
              <w:t>3.3.1.</w:t>
            </w:r>
            <w:r w:rsidRPr="00834D52">
              <w:rPr>
                <w:rFonts w:ascii="Sylfaen" w:hAnsi="Sylfaen"/>
                <w:sz w:val="24"/>
                <w:szCs w:val="24"/>
              </w:rPr>
              <w:tab/>
              <w:t>Բացթողման առաջարկվող կատեգորիան.</w:t>
            </w:r>
          </w:p>
        </w:tc>
        <w:tc>
          <w:tcPr>
            <w:tcW w:w="4685" w:type="dxa"/>
          </w:tcPr>
          <w:p w14:paraId="131E1039" w14:textId="082C1677" w:rsidR="006F76EB" w:rsidRPr="00834D52" w:rsidRDefault="0037154C"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39648" behindDoc="0" locked="0" layoutInCell="1" allowOverlap="1" wp14:anchorId="1AE766C0" wp14:editId="2A29298F">
                      <wp:simplePos x="0" y="0"/>
                      <wp:positionH relativeFrom="column">
                        <wp:posOffset>24130</wp:posOffset>
                      </wp:positionH>
                      <wp:positionV relativeFrom="paragraph">
                        <wp:posOffset>85090</wp:posOffset>
                      </wp:positionV>
                      <wp:extent cx="161925" cy="152400"/>
                      <wp:effectExtent l="6985" t="8890" r="12065" b="10160"/>
                      <wp:wrapNone/>
                      <wp:docPr id="8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B69A2" id="Rectangle 202" o:spid="_x0000_s1026" style="position:absolute;margin-left:1.9pt;margin-top:6.7pt;width:12.75pt;height:1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"/>
                  </w:pict>
                </mc:Fallback>
              </mc:AlternateContent>
            </w:r>
            <w:r w:rsidR="006F76EB" w:rsidRPr="00834D52">
              <w:rPr>
                <w:rFonts w:ascii="Sylfaen" w:hAnsi="Sylfaen"/>
                <w:sz w:val="24"/>
                <w:szCs w:val="24"/>
              </w:rPr>
              <w:t>առանց դեղատոմսի</w:t>
            </w:r>
          </w:p>
        </w:tc>
      </w:tr>
      <w:tr w:rsidR="006F76EB" w:rsidRPr="00834D52" w14:paraId="54BE74EA" w14:textId="77777777" w:rsidTr="007527B5">
        <w:tc>
          <w:tcPr>
            <w:tcW w:w="4615" w:type="dxa"/>
          </w:tcPr>
          <w:p w14:paraId="40A5CD80" w14:textId="77777777" w:rsidR="006F76EB" w:rsidRPr="00834D52" w:rsidRDefault="006F76EB" w:rsidP="00F71229">
            <w:pPr>
              <w:spacing w:after="160" w:line="336" w:lineRule="auto"/>
              <w:ind w:right="-6"/>
              <w:rPr>
                <w:rFonts w:ascii="Sylfaen" w:eastAsia="Times New Roman" w:hAnsi="Sylfaen" w:cs="Times New Roman"/>
                <w:sz w:val="24"/>
                <w:szCs w:val="24"/>
              </w:rPr>
            </w:pPr>
          </w:p>
        </w:tc>
        <w:tc>
          <w:tcPr>
            <w:tcW w:w="4685" w:type="dxa"/>
          </w:tcPr>
          <w:p w14:paraId="33C9834A" w14:textId="42D844B1" w:rsidR="006F76EB" w:rsidRPr="00834D52" w:rsidRDefault="0037154C"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40672" behindDoc="0" locked="0" layoutInCell="1" allowOverlap="1" wp14:anchorId="3A5D838E" wp14:editId="2B24EE57">
                      <wp:simplePos x="0" y="0"/>
                      <wp:positionH relativeFrom="column">
                        <wp:posOffset>24130</wp:posOffset>
                      </wp:positionH>
                      <wp:positionV relativeFrom="paragraph">
                        <wp:posOffset>71120</wp:posOffset>
                      </wp:positionV>
                      <wp:extent cx="161925" cy="152400"/>
                      <wp:effectExtent l="6985" t="10795" r="12065" b="8255"/>
                      <wp:wrapNone/>
                      <wp:docPr id="8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096CB" id="Rectangle 203" o:spid="_x0000_s1026" style="position:absolute;margin-left:1.9pt;margin-top:5.6pt;width:12.75pt;height:1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"/>
                  </w:pict>
                </mc:Fallback>
              </mc:AlternateContent>
            </w:r>
            <w:r w:rsidR="006F76EB" w:rsidRPr="00834D52">
              <w:rPr>
                <w:rFonts w:ascii="Sylfaen" w:hAnsi="Sylfaen"/>
                <w:sz w:val="24"/>
                <w:szCs w:val="24"/>
              </w:rPr>
              <w:t>ստացիոնար պայմաններում</w:t>
            </w:r>
          </w:p>
        </w:tc>
      </w:tr>
    </w:tbl>
    <w:p w14:paraId="29981657" w14:textId="77777777" w:rsidR="006F76EB" w:rsidRPr="00834D52" w:rsidRDefault="006F76EB" w:rsidP="009A0FA0">
      <w:pPr>
        <w:tabs>
          <w:tab w:val="left" w:pos="1701"/>
        </w:tabs>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lastRenderedPageBreak/>
        <w:t>3.4.</w:t>
      </w:r>
      <w:r w:rsidRPr="00834D52">
        <w:rPr>
          <w:rFonts w:ascii="Sylfaen" w:hAnsi="Sylfaen"/>
          <w:sz w:val="24"/>
          <w:szCs w:val="24"/>
          <w:lang w:val="en-US"/>
        </w:rPr>
        <w:tab/>
      </w:r>
      <w:r w:rsidRPr="00834D52">
        <w:rPr>
          <w:rFonts w:ascii="Sylfaen" w:hAnsi="Sylfaen"/>
          <w:sz w:val="24"/>
          <w:szCs w:val="24"/>
        </w:rPr>
        <w:t>Գրանցման հավաստագրի իրավատերը</w:t>
      </w:r>
    </w:p>
    <w:p w14:paraId="4A9DDF92" w14:textId="77777777" w:rsidR="006F76EB" w:rsidRPr="00834D52" w:rsidRDefault="006F76EB" w:rsidP="009A0FA0">
      <w:pPr>
        <w:tabs>
          <w:tab w:val="left" w:pos="1701"/>
        </w:tabs>
        <w:spacing w:after="160" w:line="336" w:lineRule="auto"/>
        <w:ind w:right="-8" w:firstLine="567"/>
        <w:rPr>
          <w:rFonts w:ascii="Sylfaen" w:eastAsia="Times New Roman" w:hAnsi="Sylfaen" w:cs="Times New Roman"/>
          <w:sz w:val="24"/>
          <w:szCs w:val="24"/>
          <w:lang w:val="en-US"/>
        </w:rPr>
      </w:pPr>
      <w:r w:rsidRPr="00834D52">
        <w:rPr>
          <w:rFonts w:ascii="Sylfaen" w:hAnsi="Sylfaen"/>
          <w:sz w:val="24"/>
          <w:szCs w:val="24"/>
        </w:rPr>
        <w:t>3.4.1.</w:t>
      </w:r>
      <w:r w:rsidRPr="00834D52">
        <w:rPr>
          <w:rFonts w:ascii="Sylfaen" w:hAnsi="Sylfaen"/>
          <w:sz w:val="24"/>
          <w:szCs w:val="24"/>
        </w:rPr>
        <w:tab/>
        <w:t>Գրանցման հավաստագրի իրավատերը՝</w:t>
      </w:r>
    </w:p>
    <w:tbl>
      <w:tblPr>
        <w:tblW w:w="0" w:type="auto"/>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79E5DDC1"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2596C752"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794" w:type="dxa"/>
            <w:tcBorders>
              <w:top w:val="single" w:sz="4" w:space="0" w:color="000000"/>
              <w:left w:val="single" w:sz="4" w:space="0" w:color="000000"/>
              <w:bottom w:val="single" w:sz="4" w:space="0" w:color="000000"/>
              <w:right w:val="single" w:sz="4" w:space="0" w:color="000000"/>
            </w:tcBorders>
          </w:tcPr>
          <w:p w14:paraId="2469621E" w14:textId="77777777" w:rsidR="006F76EB" w:rsidRPr="00834D52" w:rsidRDefault="006F76EB" w:rsidP="009A0FA0">
            <w:pPr>
              <w:spacing w:after="120" w:line="240" w:lineRule="auto"/>
              <w:ind w:right="-8"/>
              <w:rPr>
                <w:rFonts w:ascii="Sylfaen" w:hAnsi="Sylfaen"/>
                <w:sz w:val="24"/>
                <w:szCs w:val="24"/>
              </w:rPr>
            </w:pPr>
          </w:p>
        </w:tc>
      </w:tr>
      <w:tr w:rsidR="006F76EB" w:rsidRPr="00834D52" w14:paraId="2FA3A843"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279328C"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հասցեն</w:t>
            </w:r>
          </w:p>
        </w:tc>
        <w:tc>
          <w:tcPr>
            <w:tcW w:w="3794" w:type="dxa"/>
            <w:tcBorders>
              <w:top w:val="single" w:sz="4" w:space="0" w:color="000000"/>
              <w:left w:val="single" w:sz="4" w:space="0" w:color="000000"/>
              <w:bottom w:val="single" w:sz="4" w:space="0" w:color="000000"/>
              <w:right w:val="single" w:sz="4" w:space="0" w:color="000000"/>
            </w:tcBorders>
          </w:tcPr>
          <w:p w14:paraId="7E94DB07" w14:textId="77777777" w:rsidR="006F76EB" w:rsidRPr="00834D52" w:rsidRDefault="006F76EB" w:rsidP="009A0FA0">
            <w:pPr>
              <w:spacing w:after="120" w:line="240" w:lineRule="auto"/>
              <w:ind w:right="-8"/>
              <w:rPr>
                <w:rFonts w:ascii="Sylfaen" w:hAnsi="Sylfaen"/>
                <w:sz w:val="24"/>
                <w:szCs w:val="24"/>
              </w:rPr>
            </w:pPr>
          </w:p>
        </w:tc>
      </w:tr>
      <w:tr w:rsidR="006F76EB" w:rsidRPr="00834D52" w14:paraId="3BF93684"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347AE18A"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պետությունը</w:t>
            </w:r>
          </w:p>
        </w:tc>
        <w:tc>
          <w:tcPr>
            <w:tcW w:w="3794" w:type="dxa"/>
            <w:tcBorders>
              <w:top w:val="single" w:sz="4" w:space="0" w:color="000000"/>
              <w:left w:val="single" w:sz="4" w:space="0" w:color="000000"/>
              <w:bottom w:val="single" w:sz="4" w:space="0" w:color="000000"/>
              <w:right w:val="single" w:sz="4" w:space="0" w:color="000000"/>
            </w:tcBorders>
          </w:tcPr>
          <w:p w14:paraId="692B44BF" w14:textId="77777777" w:rsidR="006F76EB" w:rsidRPr="00834D52" w:rsidRDefault="006F76EB" w:rsidP="009A0FA0">
            <w:pPr>
              <w:spacing w:after="120" w:line="240" w:lineRule="auto"/>
              <w:ind w:right="-8"/>
              <w:rPr>
                <w:rFonts w:ascii="Sylfaen" w:hAnsi="Sylfaen"/>
                <w:sz w:val="24"/>
                <w:szCs w:val="24"/>
              </w:rPr>
            </w:pPr>
          </w:p>
        </w:tc>
      </w:tr>
      <w:tr w:rsidR="006F76EB" w:rsidRPr="00834D52" w14:paraId="452546E0"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62AD4BB4"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D3E2BDB" w14:textId="77777777" w:rsidR="006F76EB" w:rsidRPr="00834D52" w:rsidRDefault="006F76EB" w:rsidP="009A0FA0">
            <w:pPr>
              <w:spacing w:after="120" w:line="240" w:lineRule="auto"/>
              <w:ind w:right="-8"/>
              <w:rPr>
                <w:rFonts w:ascii="Sylfaen" w:hAnsi="Sylfaen"/>
                <w:sz w:val="24"/>
                <w:szCs w:val="24"/>
              </w:rPr>
            </w:pPr>
          </w:p>
        </w:tc>
      </w:tr>
      <w:tr w:rsidR="006F76EB" w:rsidRPr="00834D52" w14:paraId="5116A610"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421CE2CE"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794" w:type="dxa"/>
            <w:tcBorders>
              <w:top w:val="single" w:sz="4" w:space="0" w:color="000000"/>
              <w:left w:val="single" w:sz="4" w:space="0" w:color="000000"/>
              <w:bottom w:val="single" w:sz="4" w:space="0" w:color="000000"/>
              <w:right w:val="single" w:sz="4" w:space="0" w:color="000000"/>
            </w:tcBorders>
          </w:tcPr>
          <w:p w14:paraId="6935D419" w14:textId="77777777" w:rsidR="006F76EB" w:rsidRPr="00834D52" w:rsidRDefault="006F76EB" w:rsidP="009A0FA0">
            <w:pPr>
              <w:spacing w:after="120" w:line="240" w:lineRule="auto"/>
              <w:ind w:right="-8"/>
              <w:rPr>
                <w:rFonts w:ascii="Sylfaen" w:hAnsi="Sylfaen"/>
                <w:sz w:val="24"/>
                <w:szCs w:val="24"/>
              </w:rPr>
            </w:pPr>
          </w:p>
        </w:tc>
      </w:tr>
    </w:tbl>
    <w:p w14:paraId="6CED8BA0" w14:textId="791A51C7" w:rsidR="006F76EB" w:rsidRPr="00834D52" w:rsidRDefault="006F76EB" w:rsidP="009A0FA0">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609" w:type="dxa"/>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4916E25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701274D4"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3794" w:type="dxa"/>
            <w:tcBorders>
              <w:top w:val="single" w:sz="4" w:space="0" w:color="000000"/>
              <w:left w:val="single" w:sz="4" w:space="0" w:color="000000"/>
              <w:bottom w:val="single" w:sz="4" w:space="0" w:color="000000"/>
              <w:right w:val="single" w:sz="4" w:space="0" w:color="000000"/>
            </w:tcBorders>
          </w:tcPr>
          <w:p w14:paraId="0F18E506" w14:textId="77777777" w:rsidR="006F76EB" w:rsidRPr="00834D52" w:rsidRDefault="006F76EB" w:rsidP="009A0FA0">
            <w:pPr>
              <w:spacing w:after="120" w:line="240" w:lineRule="auto"/>
              <w:ind w:right="-8"/>
              <w:rPr>
                <w:rFonts w:ascii="Sylfaen" w:hAnsi="Sylfaen"/>
                <w:sz w:val="24"/>
                <w:szCs w:val="24"/>
              </w:rPr>
            </w:pPr>
          </w:p>
        </w:tc>
      </w:tr>
      <w:tr w:rsidR="006F76EB" w:rsidRPr="00834D52" w14:paraId="0C9D70F6"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DF5B7D7"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69A683B" w14:textId="77777777" w:rsidR="006F76EB" w:rsidRPr="00834D52" w:rsidRDefault="006F76EB" w:rsidP="009A0FA0">
            <w:pPr>
              <w:spacing w:after="120" w:line="240" w:lineRule="auto"/>
              <w:ind w:right="-8"/>
              <w:rPr>
                <w:rFonts w:ascii="Sylfaen" w:hAnsi="Sylfaen"/>
                <w:sz w:val="24"/>
                <w:szCs w:val="24"/>
              </w:rPr>
            </w:pPr>
          </w:p>
        </w:tc>
      </w:tr>
      <w:tr w:rsidR="006F76EB" w:rsidRPr="00834D52" w14:paraId="6A9A837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F033276"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794" w:type="dxa"/>
            <w:tcBorders>
              <w:top w:val="single" w:sz="4" w:space="0" w:color="000000"/>
              <w:left w:val="single" w:sz="4" w:space="0" w:color="000000"/>
              <w:bottom w:val="single" w:sz="4" w:space="0" w:color="000000"/>
              <w:right w:val="single" w:sz="4" w:space="0" w:color="000000"/>
            </w:tcBorders>
          </w:tcPr>
          <w:p w14:paraId="08B388FA" w14:textId="77777777" w:rsidR="006F76EB" w:rsidRPr="00834D52" w:rsidRDefault="006F76EB" w:rsidP="009A0FA0">
            <w:pPr>
              <w:spacing w:after="120" w:line="240" w:lineRule="auto"/>
              <w:ind w:right="-8"/>
              <w:rPr>
                <w:rFonts w:ascii="Sylfaen" w:hAnsi="Sylfaen"/>
                <w:sz w:val="24"/>
                <w:szCs w:val="24"/>
              </w:rPr>
            </w:pPr>
          </w:p>
        </w:tc>
      </w:tr>
    </w:tbl>
    <w:p w14:paraId="44B218E3" w14:textId="7C448BD8"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7F71A031" w14:textId="15653F7F" w:rsidR="006F76EB" w:rsidRPr="00834D52" w:rsidRDefault="006F76EB" w:rsidP="009A0FA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ի ներկայացուցիչը (</w:t>
      </w:r>
      <w:r w:rsidR="0056496B">
        <w:rPr>
          <w:rFonts w:ascii="Sylfaen" w:hAnsi="Sylfaen"/>
          <w:sz w:val="24"/>
          <w:szCs w:val="24"/>
        </w:rPr>
        <w:t>դիմումատու</w:t>
      </w:r>
      <w:r w:rsidRPr="00834D52">
        <w:rPr>
          <w:rFonts w:ascii="Sylfaen" w:hAnsi="Sylfaen"/>
          <w:sz w:val="24"/>
          <w:szCs w:val="24"/>
        </w:rPr>
        <w:t xml:space="preserve">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3.4.2 ենթակետում ներկայացվածներից՝</w:t>
      </w:r>
    </w:p>
    <w:tbl>
      <w:tblPr>
        <w:tblW w:w="9610" w:type="dxa"/>
        <w:tblInd w:w="109" w:type="dxa"/>
        <w:tblLayout w:type="fixed"/>
        <w:tblCellMar>
          <w:left w:w="0" w:type="dxa"/>
          <w:right w:w="0" w:type="dxa"/>
        </w:tblCellMar>
        <w:tblLook w:val="01E0" w:firstRow="1" w:lastRow="1" w:firstColumn="1" w:lastColumn="1" w:noHBand="0" w:noVBand="0"/>
      </w:tblPr>
      <w:tblGrid>
        <w:gridCol w:w="5992"/>
        <w:gridCol w:w="3618"/>
      </w:tblGrid>
      <w:tr w:rsidR="006F76EB" w:rsidRPr="00834D52" w14:paraId="4E7B35A1"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451B6EF0" w14:textId="67A3F001" w:rsidR="006F76EB" w:rsidRPr="00834D52" w:rsidRDefault="0056496B" w:rsidP="009A0FA0">
            <w:pPr>
              <w:spacing w:after="120" w:line="240" w:lineRule="auto"/>
              <w:ind w:left="186" w:right="277"/>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ներկայացուցչի ազգանունը, անունը, հայրանունը կամ իրավաբանական անձի անվանումը</w:t>
            </w:r>
          </w:p>
        </w:tc>
        <w:tc>
          <w:tcPr>
            <w:tcW w:w="3618" w:type="dxa"/>
            <w:tcBorders>
              <w:top w:val="single" w:sz="4" w:space="0" w:color="000000"/>
              <w:left w:val="single" w:sz="4" w:space="0" w:color="000000"/>
              <w:bottom w:val="single" w:sz="4" w:space="0" w:color="000000"/>
              <w:right w:val="single" w:sz="4" w:space="0" w:color="000000"/>
            </w:tcBorders>
          </w:tcPr>
          <w:p w14:paraId="487BBFD5" w14:textId="77777777" w:rsidR="006F76EB" w:rsidRPr="00834D52" w:rsidRDefault="006F76EB" w:rsidP="009A0FA0">
            <w:pPr>
              <w:spacing w:after="120" w:line="240" w:lineRule="auto"/>
              <w:ind w:right="-8"/>
              <w:rPr>
                <w:rFonts w:ascii="Sylfaen" w:hAnsi="Sylfaen"/>
                <w:sz w:val="24"/>
                <w:szCs w:val="24"/>
              </w:rPr>
            </w:pPr>
          </w:p>
        </w:tc>
      </w:tr>
      <w:tr w:rsidR="006F76EB" w:rsidRPr="00834D52" w14:paraId="2A84D8FE"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67C546DD"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3618" w:type="dxa"/>
            <w:tcBorders>
              <w:top w:val="single" w:sz="4" w:space="0" w:color="000000"/>
              <w:left w:val="single" w:sz="4" w:space="0" w:color="000000"/>
              <w:bottom w:val="single" w:sz="4" w:space="0" w:color="000000"/>
              <w:right w:val="single" w:sz="4" w:space="0" w:color="000000"/>
            </w:tcBorders>
          </w:tcPr>
          <w:p w14:paraId="163C8346" w14:textId="77777777" w:rsidR="006F76EB" w:rsidRPr="00834D52" w:rsidRDefault="006F76EB" w:rsidP="009A0FA0">
            <w:pPr>
              <w:spacing w:after="120" w:line="240" w:lineRule="auto"/>
              <w:ind w:right="-8"/>
              <w:rPr>
                <w:rFonts w:ascii="Sylfaen" w:hAnsi="Sylfaen"/>
                <w:sz w:val="24"/>
                <w:szCs w:val="24"/>
              </w:rPr>
            </w:pPr>
          </w:p>
        </w:tc>
      </w:tr>
      <w:tr w:rsidR="006F76EB" w:rsidRPr="00834D52" w14:paraId="7B21D15C"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45854377"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պետությունը</w:t>
            </w:r>
          </w:p>
        </w:tc>
        <w:tc>
          <w:tcPr>
            <w:tcW w:w="3618" w:type="dxa"/>
            <w:tcBorders>
              <w:top w:val="single" w:sz="4" w:space="0" w:color="000000"/>
              <w:left w:val="single" w:sz="4" w:space="0" w:color="000000"/>
              <w:bottom w:val="single" w:sz="4" w:space="0" w:color="000000"/>
              <w:right w:val="single" w:sz="4" w:space="0" w:color="000000"/>
            </w:tcBorders>
          </w:tcPr>
          <w:p w14:paraId="247A191A" w14:textId="77777777" w:rsidR="006F76EB" w:rsidRPr="00834D52" w:rsidRDefault="006F76EB" w:rsidP="009A0FA0">
            <w:pPr>
              <w:spacing w:after="120" w:line="240" w:lineRule="auto"/>
              <w:ind w:right="-8"/>
              <w:rPr>
                <w:rFonts w:ascii="Sylfaen" w:hAnsi="Sylfaen"/>
                <w:sz w:val="24"/>
                <w:szCs w:val="24"/>
              </w:rPr>
            </w:pPr>
          </w:p>
        </w:tc>
      </w:tr>
      <w:tr w:rsidR="006F76EB" w:rsidRPr="00834D52" w14:paraId="0F3D10FE"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5B69AB3C"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18" w:type="dxa"/>
            <w:tcBorders>
              <w:top w:val="single" w:sz="4" w:space="0" w:color="000000"/>
              <w:left w:val="single" w:sz="4" w:space="0" w:color="000000"/>
              <w:bottom w:val="single" w:sz="4" w:space="0" w:color="000000"/>
              <w:right w:val="single" w:sz="4" w:space="0" w:color="000000"/>
            </w:tcBorders>
          </w:tcPr>
          <w:p w14:paraId="7FDAFD87" w14:textId="77777777" w:rsidR="006F76EB" w:rsidRPr="00834D52" w:rsidRDefault="006F76EB" w:rsidP="009A0FA0">
            <w:pPr>
              <w:spacing w:after="120" w:line="240" w:lineRule="auto"/>
              <w:ind w:right="-8"/>
              <w:rPr>
                <w:rFonts w:ascii="Sylfaen" w:hAnsi="Sylfaen"/>
                <w:sz w:val="24"/>
                <w:szCs w:val="24"/>
              </w:rPr>
            </w:pPr>
          </w:p>
        </w:tc>
      </w:tr>
      <w:tr w:rsidR="006F76EB" w:rsidRPr="00834D52" w14:paraId="478D7880"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34C197F2"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18" w:type="dxa"/>
            <w:tcBorders>
              <w:top w:val="single" w:sz="4" w:space="0" w:color="000000"/>
              <w:left w:val="single" w:sz="4" w:space="0" w:color="000000"/>
              <w:bottom w:val="single" w:sz="4" w:space="0" w:color="000000"/>
              <w:right w:val="single" w:sz="4" w:space="0" w:color="000000"/>
            </w:tcBorders>
          </w:tcPr>
          <w:p w14:paraId="01EEF72F" w14:textId="77777777" w:rsidR="006F76EB" w:rsidRPr="00834D52" w:rsidRDefault="006F76EB" w:rsidP="009A0FA0">
            <w:pPr>
              <w:spacing w:after="120" w:line="240" w:lineRule="auto"/>
              <w:ind w:right="-8"/>
              <w:rPr>
                <w:rFonts w:ascii="Sylfaen" w:hAnsi="Sylfaen"/>
                <w:sz w:val="24"/>
                <w:szCs w:val="24"/>
              </w:rPr>
            </w:pPr>
          </w:p>
        </w:tc>
      </w:tr>
    </w:tbl>
    <w:p w14:paraId="1954A9B6" w14:textId="3A34EA46" w:rsidR="006F76EB" w:rsidRPr="009A0FA0" w:rsidRDefault="006F76EB" w:rsidP="006F76EB">
      <w:pPr>
        <w:spacing w:after="160" w:line="360" w:lineRule="auto"/>
        <w:ind w:right="-8" w:firstLine="567"/>
        <w:jc w:val="both"/>
        <w:rPr>
          <w:rFonts w:ascii="Sylfaen" w:eastAsia="Times New Roman" w:hAnsi="Sylfaen" w:cs="Times New Roman"/>
          <w:spacing w:val="-6"/>
          <w:sz w:val="24"/>
          <w:szCs w:val="24"/>
        </w:rPr>
      </w:pPr>
      <w:r w:rsidRPr="009A0FA0">
        <w:rPr>
          <w:rFonts w:ascii="Sylfaen" w:hAnsi="Sylfaen"/>
          <w:spacing w:val="-6"/>
          <w:sz w:val="24"/>
          <w:szCs w:val="24"/>
        </w:rPr>
        <w:lastRenderedPageBreak/>
        <w:t xml:space="preserve">Սույն կետը լրացնելիս կցե՛ք լիազորագիրը (սույն </w:t>
      </w:r>
      <w:r w:rsidR="0056496B">
        <w:rPr>
          <w:rFonts w:ascii="Sylfaen" w:hAnsi="Sylfaen"/>
          <w:spacing w:val="-6"/>
          <w:sz w:val="24"/>
          <w:szCs w:val="24"/>
        </w:rPr>
        <w:t>դիմում</w:t>
      </w:r>
      <w:r w:rsidRPr="009A0FA0">
        <w:rPr>
          <w:rFonts w:ascii="Sylfaen" w:hAnsi="Sylfaen"/>
          <w:spacing w:val="-6"/>
          <w:sz w:val="24"/>
          <w:szCs w:val="24"/>
        </w:rPr>
        <w:t>ի հավելվածի 5.1 ենթակետ):</w:t>
      </w:r>
    </w:p>
    <w:p w14:paraId="5FFF621D" w14:textId="77777777" w:rsidR="006F76EB" w:rsidRPr="00834D52" w:rsidRDefault="006F76EB" w:rsidP="0082707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3.4.4.</w:t>
      </w:r>
      <w:r w:rsidRPr="00834D52">
        <w:rPr>
          <w:rFonts w:ascii="Sylfaen" w:hAnsi="Sylfaen"/>
          <w:sz w:val="24"/>
          <w:szCs w:val="24"/>
        </w:rPr>
        <w:tab/>
        <w:t>Գրանցման հավաստագրի իրավատիրոջ՝ դեղազգոնության համար պատասխանատու լիազորված անձը՝</w:t>
      </w:r>
    </w:p>
    <w:tbl>
      <w:tblPr>
        <w:tblStyle w:val="TableGrid"/>
        <w:tblW w:w="0" w:type="auto"/>
        <w:tblInd w:w="250" w:type="dxa"/>
        <w:tblLook w:val="04A0" w:firstRow="1" w:lastRow="0" w:firstColumn="1" w:lastColumn="0" w:noHBand="0" w:noVBand="1"/>
      </w:tblPr>
      <w:tblGrid>
        <w:gridCol w:w="5831"/>
        <w:gridCol w:w="2993"/>
      </w:tblGrid>
      <w:tr w:rsidR="006F76EB" w:rsidRPr="00834D52" w14:paraId="6A5B8E19" w14:textId="77777777" w:rsidTr="00183A19">
        <w:tc>
          <w:tcPr>
            <w:tcW w:w="5954" w:type="dxa"/>
          </w:tcPr>
          <w:p w14:paraId="6363D8CF" w14:textId="77777777" w:rsidR="006F76EB" w:rsidRPr="00834D52" w:rsidRDefault="006F76EB" w:rsidP="00827072">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w:t>
            </w:r>
          </w:p>
        </w:tc>
        <w:tc>
          <w:tcPr>
            <w:tcW w:w="3096" w:type="dxa"/>
          </w:tcPr>
          <w:p w14:paraId="08817B15" w14:textId="77777777" w:rsidR="006F76EB" w:rsidRPr="00834D52" w:rsidRDefault="006F76EB" w:rsidP="00827072">
            <w:pPr>
              <w:spacing w:after="120"/>
              <w:ind w:right="-6"/>
              <w:rPr>
                <w:rFonts w:ascii="Sylfaen" w:hAnsi="Sylfaen"/>
                <w:sz w:val="24"/>
                <w:szCs w:val="24"/>
              </w:rPr>
            </w:pPr>
          </w:p>
        </w:tc>
      </w:tr>
      <w:tr w:rsidR="006F76EB" w:rsidRPr="00834D52" w14:paraId="66660C59" w14:textId="77777777" w:rsidTr="00183A19">
        <w:tc>
          <w:tcPr>
            <w:tcW w:w="5954" w:type="dxa"/>
          </w:tcPr>
          <w:p w14:paraId="55673B22"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3096" w:type="dxa"/>
          </w:tcPr>
          <w:p w14:paraId="74547053" w14:textId="77777777" w:rsidR="006F76EB" w:rsidRPr="00834D52" w:rsidRDefault="006F76EB" w:rsidP="00827072">
            <w:pPr>
              <w:spacing w:after="120"/>
              <w:ind w:right="-6"/>
              <w:rPr>
                <w:rFonts w:ascii="Sylfaen" w:hAnsi="Sylfaen"/>
                <w:sz w:val="24"/>
                <w:szCs w:val="24"/>
              </w:rPr>
            </w:pPr>
          </w:p>
        </w:tc>
      </w:tr>
      <w:tr w:rsidR="006F76EB" w:rsidRPr="00834D52" w14:paraId="1DDC4F64" w14:textId="77777777" w:rsidTr="00183A19">
        <w:tc>
          <w:tcPr>
            <w:tcW w:w="5954" w:type="dxa"/>
          </w:tcPr>
          <w:p w14:paraId="73F49742"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3096" w:type="dxa"/>
          </w:tcPr>
          <w:p w14:paraId="095BB285" w14:textId="77777777" w:rsidR="006F76EB" w:rsidRPr="00834D52" w:rsidRDefault="006F76EB" w:rsidP="00827072">
            <w:pPr>
              <w:spacing w:after="120"/>
              <w:ind w:right="-6"/>
              <w:rPr>
                <w:rFonts w:ascii="Sylfaen" w:hAnsi="Sylfaen"/>
                <w:sz w:val="24"/>
                <w:szCs w:val="24"/>
              </w:rPr>
            </w:pPr>
          </w:p>
        </w:tc>
      </w:tr>
      <w:tr w:rsidR="006F76EB" w:rsidRPr="00834D52" w14:paraId="2151584D" w14:textId="77777777" w:rsidTr="00183A19">
        <w:tc>
          <w:tcPr>
            <w:tcW w:w="5954" w:type="dxa"/>
          </w:tcPr>
          <w:p w14:paraId="27DE7636"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3096" w:type="dxa"/>
          </w:tcPr>
          <w:p w14:paraId="1C69C904" w14:textId="77777777" w:rsidR="006F76EB" w:rsidRPr="00834D52" w:rsidRDefault="006F76EB" w:rsidP="00827072">
            <w:pPr>
              <w:spacing w:after="120"/>
              <w:ind w:right="-6"/>
              <w:rPr>
                <w:rFonts w:ascii="Sylfaen" w:hAnsi="Sylfaen"/>
                <w:sz w:val="24"/>
                <w:szCs w:val="24"/>
              </w:rPr>
            </w:pPr>
          </w:p>
        </w:tc>
      </w:tr>
      <w:tr w:rsidR="006F76EB" w:rsidRPr="00834D52" w14:paraId="4C46667C" w14:textId="77777777" w:rsidTr="00183A19">
        <w:tc>
          <w:tcPr>
            <w:tcW w:w="5954" w:type="dxa"/>
          </w:tcPr>
          <w:p w14:paraId="48B53E24"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3096" w:type="dxa"/>
          </w:tcPr>
          <w:p w14:paraId="6C1DBF72" w14:textId="77777777" w:rsidR="006F76EB" w:rsidRPr="00834D52" w:rsidRDefault="006F76EB" w:rsidP="00827072">
            <w:pPr>
              <w:spacing w:after="120"/>
              <w:ind w:right="-6"/>
              <w:rPr>
                <w:rFonts w:ascii="Sylfaen" w:hAnsi="Sylfaen"/>
                <w:sz w:val="24"/>
                <w:szCs w:val="24"/>
              </w:rPr>
            </w:pPr>
          </w:p>
        </w:tc>
      </w:tr>
      <w:tr w:rsidR="006F76EB" w:rsidRPr="00834D52" w14:paraId="04259F83" w14:textId="77777777" w:rsidTr="00183A19">
        <w:tc>
          <w:tcPr>
            <w:tcW w:w="5954" w:type="dxa"/>
          </w:tcPr>
          <w:p w14:paraId="43D67671"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096" w:type="dxa"/>
          </w:tcPr>
          <w:p w14:paraId="158AAD43" w14:textId="77777777" w:rsidR="006F76EB" w:rsidRPr="00834D52" w:rsidRDefault="006F76EB" w:rsidP="00827072">
            <w:pPr>
              <w:spacing w:after="120"/>
              <w:ind w:right="-6"/>
              <w:rPr>
                <w:rFonts w:ascii="Sylfaen" w:hAnsi="Sylfaen"/>
                <w:sz w:val="24"/>
                <w:szCs w:val="24"/>
              </w:rPr>
            </w:pPr>
          </w:p>
        </w:tc>
      </w:tr>
    </w:tbl>
    <w:p w14:paraId="32651299"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9639" w:type="dxa"/>
        <w:tblInd w:w="250" w:type="dxa"/>
        <w:tblLook w:val="04A0" w:firstRow="1" w:lastRow="0" w:firstColumn="1" w:lastColumn="0" w:noHBand="0" w:noVBand="1"/>
      </w:tblPr>
      <w:tblGrid>
        <w:gridCol w:w="9639"/>
      </w:tblGrid>
      <w:tr w:rsidR="006F76EB" w:rsidRPr="00834D52" w14:paraId="304E61A4" w14:textId="77777777" w:rsidTr="00F71229">
        <w:tc>
          <w:tcPr>
            <w:tcW w:w="9639" w:type="dxa"/>
          </w:tcPr>
          <w:p w14:paraId="6A873F49"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դեղազգոնության մաստեր-ֆայլը՝</w:t>
            </w:r>
          </w:p>
          <w:p w14:paraId="6193CD34"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համարը՝</w:t>
            </w:r>
          </w:p>
          <w:p w14:paraId="7E341D20"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գտնվելու վայրի հասցեն՝</w:t>
            </w:r>
          </w:p>
        </w:tc>
      </w:tr>
    </w:tbl>
    <w:p w14:paraId="4A04A4B9" w14:textId="43E07CB4" w:rsidR="006F76EB" w:rsidRPr="00834D52" w:rsidRDefault="006F76EB" w:rsidP="00183A19">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դեղազգոնություն իրականացնելու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ի 3.4.4 ենթակետում նշվածից՝</w:t>
      </w:r>
    </w:p>
    <w:tbl>
      <w:tblPr>
        <w:tblW w:w="0" w:type="auto"/>
        <w:tblInd w:w="109" w:type="dxa"/>
        <w:tblLayout w:type="fixed"/>
        <w:tblCellMar>
          <w:left w:w="0" w:type="dxa"/>
          <w:right w:w="0" w:type="dxa"/>
        </w:tblCellMar>
        <w:tblLook w:val="01E0" w:firstRow="1" w:lastRow="1" w:firstColumn="1" w:lastColumn="1" w:noHBand="0" w:noVBand="0"/>
      </w:tblPr>
      <w:tblGrid>
        <w:gridCol w:w="5532"/>
        <w:gridCol w:w="4078"/>
      </w:tblGrid>
      <w:tr w:rsidR="006F76EB" w:rsidRPr="00834D52" w14:paraId="6CF15847"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2F302660"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078" w:type="dxa"/>
            <w:tcBorders>
              <w:top w:val="single" w:sz="4" w:space="0" w:color="000000"/>
              <w:left w:val="single" w:sz="4" w:space="0" w:color="000000"/>
              <w:bottom w:val="single" w:sz="4" w:space="0" w:color="000000"/>
              <w:right w:val="single" w:sz="4" w:space="0" w:color="000000"/>
            </w:tcBorders>
          </w:tcPr>
          <w:p w14:paraId="653CEA31" w14:textId="77777777" w:rsidR="006F76EB" w:rsidRPr="00834D52" w:rsidRDefault="006F76EB" w:rsidP="00183A19">
            <w:pPr>
              <w:spacing w:after="120" w:line="240" w:lineRule="auto"/>
              <w:ind w:right="-6"/>
              <w:rPr>
                <w:rFonts w:ascii="Sylfaen" w:hAnsi="Sylfaen"/>
                <w:sz w:val="24"/>
                <w:szCs w:val="24"/>
              </w:rPr>
            </w:pPr>
          </w:p>
        </w:tc>
      </w:tr>
      <w:tr w:rsidR="006F76EB" w:rsidRPr="00834D52" w14:paraId="742F70D4"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01D48D04"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078" w:type="dxa"/>
            <w:tcBorders>
              <w:top w:val="single" w:sz="4" w:space="0" w:color="000000"/>
              <w:left w:val="single" w:sz="4" w:space="0" w:color="000000"/>
              <w:bottom w:val="single" w:sz="4" w:space="0" w:color="000000"/>
              <w:right w:val="single" w:sz="4" w:space="0" w:color="000000"/>
            </w:tcBorders>
          </w:tcPr>
          <w:p w14:paraId="5232713F"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D3F3298"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5B0857EB"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հասցեն</w:t>
            </w:r>
          </w:p>
        </w:tc>
        <w:tc>
          <w:tcPr>
            <w:tcW w:w="4078" w:type="dxa"/>
            <w:tcBorders>
              <w:top w:val="single" w:sz="4" w:space="0" w:color="000000"/>
              <w:left w:val="single" w:sz="4" w:space="0" w:color="000000"/>
              <w:bottom w:val="single" w:sz="4" w:space="0" w:color="000000"/>
              <w:right w:val="single" w:sz="4" w:space="0" w:color="000000"/>
            </w:tcBorders>
          </w:tcPr>
          <w:p w14:paraId="6A21C994"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A25696F"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6C84C669"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lastRenderedPageBreak/>
              <w:t>երկիրը</w:t>
            </w:r>
          </w:p>
        </w:tc>
        <w:tc>
          <w:tcPr>
            <w:tcW w:w="4078" w:type="dxa"/>
            <w:tcBorders>
              <w:top w:val="single" w:sz="4" w:space="0" w:color="000000"/>
              <w:left w:val="single" w:sz="4" w:space="0" w:color="000000"/>
              <w:bottom w:val="single" w:sz="4" w:space="0" w:color="000000"/>
              <w:right w:val="single" w:sz="4" w:space="0" w:color="000000"/>
            </w:tcBorders>
          </w:tcPr>
          <w:p w14:paraId="3CBC9824"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3D8C1C5"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784A7E52"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շուրջօրյա հեռախոսը (ֆաքսը)</w:t>
            </w:r>
          </w:p>
        </w:tc>
        <w:tc>
          <w:tcPr>
            <w:tcW w:w="4078" w:type="dxa"/>
            <w:tcBorders>
              <w:top w:val="single" w:sz="4" w:space="0" w:color="000000"/>
              <w:left w:val="single" w:sz="4" w:space="0" w:color="000000"/>
              <w:bottom w:val="single" w:sz="4" w:space="0" w:color="000000"/>
              <w:right w:val="single" w:sz="4" w:space="0" w:color="000000"/>
            </w:tcBorders>
          </w:tcPr>
          <w:p w14:paraId="5CDCF611" w14:textId="77777777" w:rsidR="006F76EB" w:rsidRPr="00834D52" w:rsidRDefault="006F76EB" w:rsidP="00183A19">
            <w:pPr>
              <w:spacing w:after="120" w:line="240" w:lineRule="auto"/>
              <w:ind w:right="-6"/>
              <w:rPr>
                <w:rFonts w:ascii="Sylfaen" w:hAnsi="Sylfaen"/>
                <w:sz w:val="24"/>
                <w:szCs w:val="24"/>
              </w:rPr>
            </w:pPr>
          </w:p>
        </w:tc>
      </w:tr>
      <w:tr w:rsidR="006F76EB" w:rsidRPr="00834D52" w14:paraId="3EE6C998"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4D8E6301"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փոստը</w:t>
            </w:r>
          </w:p>
        </w:tc>
        <w:tc>
          <w:tcPr>
            <w:tcW w:w="4078" w:type="dxa"/>
            <w:tcBorders>
              <w:top w:val="single" w:sz="4" w:space="0" w:color="000000"/>
              <w:left w:val="single" w:sz="4" w:space="0" w:color="000000"/>
              <w:bottom w:val="single" w:sz="4" w:space="0" w:color="000000"/>
              <w:right w:val="single" w:sz="4" w:space="0" w:color="000000"/>
            </w:tcBorders>
          </w:tcPr>
          <w:p w14:paraId="6A78FF4B" w14:textId="77777777" w:rsidR="006F76EB" w:rsidRPr="00834D52" w:rsidRDefault="006F76EB" w:rsidP="00183A19">
            <w:pPr>
              <w:spacing w:after="120" w:line="240" w:lineRule="auto"/>
              <w:ind w:right="-6"/>
              <w:rPr>
                <w:rFonts w:ascii="Sylfaen" w:hAnsi="Sylfaen"/>
                <w:sz w:val="24"/>
                <w:szCs w:val="24"/>
              </w:rPr>
            </w:pPr>
          </w:p>
        </w:tc>
      </w:tr>
    </w:tbl>
    <w:p w14:paraId="36D0B4E5" w14:textId="77777777" w:rsidR="006F76EB" w:rsidRPr="00834D52" w:rsidRDefault="006F76EB" w:rsidP="00FA2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Եվրասիական տնտեսական միության անդամ պետությունում դեղազգոնություն իրականացնելու համար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7FB88583" w14:textId="77777777" w:rsidR="006F76EB" w:rsidRPr="00834D52" w:rsidRDefault="006F76EB" w:rsidP="00FA2FDE">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Դեղապատրաստուկն արտադրողը</w:t>
      </w:r>
    </w:p>
    <w:p w14:paraId="64E6E800" w14:textId="77777777" w:rsidR="006F76EB" w:rsidRPr="00834D52" w:rsidRDefault="006F76EB" w:rsidP="00FA2FD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3.5.1.</w:t>
      </w:r>
      <w:r w:rsidRPr="00834D52">
        <w:rPr>
          <w:rFonts w:ascii="Sylfaen" w:hAnsi="Sylfaen"/>
          <w:sz w:val="24"/>
          <w:szCs w:val="24"/>
        </w:rPr>
        <w:tab/>
        <w:t xml:space="preserve">Արտադրողը, որը պատասխանատու է դեղապատրաստուկի սերիաների բացթողման համար անհրաժեշտ որակի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 xml:space="preserve"> անհրաժեշտության դեպքում՝ մականշվածքում)</w:t>
      </w:r>
    </w:p>
    <w:tbl>
      <w:tblPr>
        <w:tblW w:w="9695" w:type="dxa"/>
        <w:tblInd w:w="109" w:type="dxa"/>
        <w:tblLayout w:type="fixed"/>
        <w:tblCellMar>
          <w:left w:w="0" w:type="dxa"/>
          <w:right w:w="0" w:type="dxa"/>
        </w:tblCellMar>
        <w:tblLook w:val="01E0" w:firstRow="1" w:lastRow="1" w:firstColumn="1" w:lastColumn="1" w:noHBand="0" w:noVBand="0"/>
      </w:tblPr>
      <w:tblGrid>
        <w:gridCol w:w="5581"/>
        <w:gridCol w:w="4114"/>
      </w:tblGrid>
      <w:tr w:rsidR="006F76EB" w:rsidRPr="00834D52" w14:paraId="7108DE41" w14:textId="77777777" w:rsidTr="00FA2FDE">
        <w:trPr>
          <w:trHeight w:val="526"/>
        </w:trPr>
        <w:tc>
          <w:tcPr>
            <w:tcW w:w="5581" w:type="dxa"/>
            <w:tcBorders>
              <w:top w:val="single" w:sz="4" w:space="0" w:color="000000"/>
              <w:left w:val="single" w:sz="4" w:space="0" w:color="000000"/>
              <w:bottom w:val="single" w:sz="4" w:space="0" w:color="000000"/>
              <w:right w:val="single" w:sz="4" w:space="0" w:color="000000"/>
            </w:tcBorders>
          </w:tcPr>
          <w:p w14:paraId="095F3A1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114" w:type="dxa"/>
            <w:tcBorders>
              <w:top w:val="single" w:sz="4" w:space="0" w:color="000000"/>
              <w:left w:val="single" w:sz="4" w:space="0" w:color="000000"/>
              <w:bottom w:val="single" w:sz="4" w:space="0" w:color="000000"/>
              <w:right w:val="single" w:sz="4" w:space="0" w:color="000000"/>
            </w:tcBorders>
          </w:tcPr>
          <w:p w14:paraId="25455CE1" w14:textId="77777777" w:rsidR="006F76EB" w:rsidRPr="00834D52" w:rsidRDefault="006F76EB" w:rsidP="00FA2FDE">
            <w:pPr>
              <w:spacing w:after="120" w:line="240" w:lineRule="auto"/>
              <w:ind w:right="-6"/>
              <w:rPr>
                <w:rFonts w:ascii="Sylfaen" w:hAnsi="Sylfaen"/>
                <w:sz w:val="24"/>
                <w:szCs w:val="24"/>
              </w:rPr>
            </w:pPr>
          </w:p>
        </w:tc>
      </w:tr>
      <w:tr w:rsidR="006F76EB" w:rsidRPr="00834D52" w14:paraId="1FD6DAD0" w14:textId="77777777" w:rsidTr="00FA2FDE">
        <w:trPr>
          <w:trHeight w:val="547"/>
        </w:trPr>
        <w:tc>
          <w:tcPr>
            <w:tcW w:w="5581" w:type="dxa"/>
            <w:tcBorders>
              <w:top w:val="single" w:sz="4" w:space="0" w:color="000000"/>
              <w:left w:val="single" w:sz="4" w:space="0" w:color="000000"/>
              <w:bottom w:val="single" w:sz="4" w:space="0" w:color="000000"/>
              <w:right w:val="single" w:sz="4" w:space="0" w:color="000000"/>
            </w:tcBorders>
          </w:tcPr>
          <w:p w14:paraId="7C435E7E"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114" w:type="dxa"/>
            <w:tcBorders>
              <w:top w:val="single" w:sz="4" w:space="0" w:color="000000"/>
              <w:left w:val="single" w:sz="4" w:space="0" w:color="000000"/>
              <w:bottom w:val="single" w:sz="4" w:space="0" w:color="000000"/>
              <w:right w:val="single" w:sz="4" w:space="0" w:color="000000"/>
            </w:tcBorders>
          </w:tcPr>
          <w:p w14:paraId="3F8D03C8"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D0A9B57" w14:textId="77777777" w:rsidTr="00FA2FDE">
        <w:trPr>
          <w:trHeight w:val="547"/>
        </w:trPr>
        <w:tc>
          <w:tcPr>
            <w:tcW w:w="5581" w:type="dxa"/>
            <w:tcBorders>
              <w:top w:val="single" w:sz="4" w:space="0" w:color="000000"/>
              <w:left w:val="single" w:sz="4" w:space="0" w:color="000000"/>
              <w:bottom w:val="single" w:sz="4" w:space="0" w:color="000000"/>
              <w:right w:val="single" w:sz="4" w:space="0" w:color="000000"/>
            </w:tcBorders>
          </w:tcPr>
          <w:p w14:paraId="1095182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114" w:type="dxa"/>
            <w:tcBorders>
              <w:top w:val="single" w:sz="4" w:space="0" w:color="000000"/>
              <w:left w:val="single" w:sz="4" w:space="0" w:color="000000"/>
              <w:bottom w:val="single" w:sz="4" w:space="0" w:color="000000"/>
              <w:right w:val="single" w:sz="4" w:space="0" w:color="000000"/>
            </w:tcBorders>
          </w:tcPr>
          <w:p w14:paraId="42CC9205" w14:textId="77777777" w:rsidR="006F76EB" w:rsidRPr="00834D52" w:rsidRDefault="006F76EB" w:rsidP="00FA2FDE">
            <w:pPr>
              <w:spacing w:after="120" w:line="240" w:lineRule="auto"/>
              <w:ind w:right="-6"/>
              <w:rPr>
                <w:rFonts w:ascii="Sylfaen" w:hAnsi="Sylfaen"/>
                <w:sz w:val="24"/>
                <w:szCs w:val="24"/>
              </w:rPr>
            </w:pPr>
          </w:p>
        </w:tc>
      </w:tr>
      <w:tr w:rsidR="006F76EB" w:rsidRPr="00834D52" w14:paraId="2C9EE760" w14:textId="77777777" w:rsidTr="00FA2FDE">
        <w:trPr>
          <w:trHeight w:val="946"/>
        </w:trPr>
        <w:tc>
          <w:tcPr>
            <w:tcW w:w="5581" w:type="dxa"/>
            <w:tcBorders>
              <w:top w:val="single" w:sz="4" w:space="0" w:color="000000"/>
              <w:left w:val="single" w:sz="4" w:space="0" w:color="000000"/>
              <w:bottom w:val="single" w:sz="4" w:space="0" w:color="000000"/>
              <w:right w:val="single" w:sz="4" w:space="0" w:color="000000"/>
            </w:tcBorders>
          </w:tcPr>
          <w:p w14:paraId="5AF6240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2FD229EB" w14:textId="77777777" w:rsidR="006F76EB" w:rsidRPr="00834D52" w:rsidRDefault="006F76EB" w:rsidP="00FA2FDE">
            <w:pPr>
              <w:spacing w:after="120" w:line="240" w:lineRule="auto"/>
              <w:ind w:right="-6"/>
              <w:rPr>
                <w:rFonts w:ascii="Sylfaen" w:hAnsi="Sylfaen"/>
                <w:sz w:val="24"/>
                <w:szCs w:val="24"/>
              </w:rPr>
            </w:pPr>
          </w:p>
        </w:tc>
      </w:tr>
      <w:tr w:rsidR="006F76EB" w:rsidRPr="00834D52" w14:paraId="4F1E3282" w14:textId="77777777" w:rsidTr="00FA2FDE">
        <w:trPr>
          <w:trHeight w:val="568"/>
        </w:trPr>
        <w:tc>
          <w:tcPr>
            <w:tcW w:w="5581" w:type="dxa"/>
            <w:tcBorders>
              <w:top w:val="single" w:sz="4" w:space="0" w:color="000000"/>
              <w:left w:val="single" w:sz="4" w:space="0" w:color="000000"/>
              <w:bottom w:val="single" w:sz="4" w:space="0" w:color="000000"/>
              <w:right w:val="single" w:sz="4" w:space="0" w:color="000000"/>
            </w:tcBorders>
          </w:tcPr>
          <w:p w14:paraId="671F20E5"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14" w:type="dxa"/>
            <w:tcBorders>
              <w:top w:val="single" w:sz="4" w:space="0" w:color="000000"/>
              <w:left w:val="single" w:sz="4" w:space="0" w:color="000000"/>
              <w:bottom w:val="single" w:sz="4" w:space="0" w:color="000000"/>
              <w:right w:val="single" w:sz="4" w:space="0" w:color="000000"/>
            </w:tcBorders>
          </w:tcPr>
          <w:p w14:paraId="303DD4EC" w14:textId="77777777" w:rsidR="006F76EB" w:rsidRPr="00834D52" w:rsidRDefault="006F76EB" w:rsidP="00FA2FDE">
            <w:pPr>
              <w:spacing w:after="120" w:line="240" w:lineRule="auto"/>
              <w:ind w:right="-6"/>
              <w:rPr>
                <w:rFonts w:ascii="Sylfaen" w:hAnsi="Sylfaen"/>
                <w:sz w:val="24"/>
                <w:szCs w:val="24"/>
              </w:rPr>
            </w:pPr>
          </w:p>
        </w:tc>
      </w:tr>
    </w:tbl>
    <w:p w14:paraId="548477B9" w14:textId="77777777" w:rsidR="006F76EB" w:rsidRPr="00834D52" w:rsidRDefault="006F76EB" w:rsidP="00FA2FD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3.5.2.</w:t>
      </w:r>
      <w:r w:rsidRPr="00834D52">
        <w:rPr>
          <w:rFonts w:ascii="Sylfaen" w:hAnsi="Sylfaen"/>
          <w:sz w:val="24"/>
          <w:szCs w:val="24"/>
        </w:rPr>
        <w:tab/>
        <w:t xml:space="preserve">Արտադրող երկրի՝ արյան </w:t>
      </w:r>
      <w:r w:rsidR="00C54D75">
        <w:rPr>
          <w:rFonts w:ascii="Sylfaen" w:hAnsi="Sylfaen"/>
          <w:sz w:val="24"/>
          <w:szCs w:val="24"/>
        </w:rPr>
        <w:t>և</w:t>
      </w:r>
      <w:r w:rsidRPr="00834D52">
        <w:rPr>
          <w:rFonts w:ascii="Sylfaen" w:hAnsi="Sylfaen"/>
          <w:sz w:val="24"/>
          <w:szCs w:val="24"/>
        </w:rPr>
        <w:t xml:space="preserve"> պատվաստանյութերի պատրաստուկների որակի հսկողության լաբորատորիան, որը պատասխանատու</w:t>
      </w:r>
      <w:r w:rsidR="00FA2FDE" w:rsidRPr="00FA2FDE">
        <w:rPr>
          <w:rFonts w:ascii="Sylfaen" w:hAnsi="Sylfaen"/>
          <w:sz w:val="24"/>
          <w:szCs w:val="24"/>
        </w:rPr>
        <w:t> </w:t>
      </w:r>
      <w:r w:rsidRPr="00834D52">
        <w:rPr>
          <w:rFonts w:ascii="Sylfaen" w:hAnsi="Sylfaen"/>
          <w:sz w:val="24"/>
          <w:szCs w:val="24"/>
        </w:rPr>
        <w:t>է սերիայի որակի հսկողության (բացթողման) համար</w:t>
      </w:r>
    </w:p>
    <w:tbl>
      <w:tblPr>
        <w:tblW w:w="9644" w:type="dxa"/>
        <w:tblInd w:w="109" w:type="dxa"/>
        <w:tblLayout w:type="fixed"/>
        <w:tblCellMar>
          <w:left w:w="0" w:type="dxa"/>
          <w:right w:w="0" w:type="dxa"/>
        </w:tblCellMar>
        <w:tblLook w:val="01E0" w:firstRow="1" w:lastRow="1" w:firstColumn="1" w:lastColumn="1" w:noHBand="0" w:noVBand="0"/>
      </w:tblPr>
      <w:tblGrid>
        <w:gridCol w:w="5552"/>
        <w:gridCol w:w="4092"/>
      </w:tblGrid>
      <w:tr w:rsidR="006F76EB" w:rsidRPr="00834D52" w14:paraId="43D54B23"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78F1CD85"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4092" w:type="dxa"/>
            <w:tcBorders>
              <w:top w:val="single" w:sz="4" w:space="0" w:color="000000"/>
              <w:left w:val="single" w:sz="4" w:space="0" w:color="000000"/>
              <w:bottom w:val="single" w:sz="4" w:space="0" w:color="000000"/>
              <w:right w:val="single" w:sz="4" w:space="0" w:color="000000"/>
            </w:tcBorders>
          </w:tcPr>
          <w:p w14:paraId="6F6654EF" w14:textId="77777777" w:rsidR="006F76EB" w:rsidRPr="00834D52" w:rsidRDefault="006F76EB" w:rsidP="00FA2FDE">
            <w:pPr>
              <w:spacing w:after="120" w:line="240" w:lineRule="auto"/>
              <w:ind w:right="-6"/>
              <w:rPr>
                <w:rFonts w:ascii="Sylfaen" w:hAnsi="Sylfaen"/>
                <w:sz w:val="24"/>
                <w:szCs w:val="24"/>
              </w:rPr>
            </w:pPr>
          </w:p>
        </w:tc>
      </w:tr>
      <w:tr w:rsidR="006F76EB" w:rsidRPr="00834D52" w14:paraId="77776BDC"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68B0505C"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092" w:type="dxa"/>
            <w:tcBorders>
              <w:top w:val="single" w:sz="4" w:space="0" w:color="000000"/>
              <w:left w:val="single" w:sz="4" w:space="0" w:color="000000"/>
              <w:bottom w:val="single" w:sz="4" w:space="0" w:color="000000"/>
              <w:right w:val="single" w:sz="4" w:space="0" w:color="000000"/>
            </w:tcBorders>
          </w:tcPr>
          <w:p w14:paraId="4F07C0AC"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3143473"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3B71CDE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092" w:type="dxa"/>
            <w:tcBorders>
              <w:top w:val="single" w:sz="4" w:space="0" w:color="000000"/>
              <w:left w:val="single" w:sz="4" w:space="0" w:color="000000"/>
              <w:bottom w:val="single" w:sz="4" w:space="0" w:color="000000"/>
              <w:right w:val="single" w:sz="4" w:space="0" w:color="000000"/>
            </w:tcBorders>
          </w:tcPr>
          <w:p w14:paraId="17F52835" w14:textId="77777777" w:rsidR="006F76EB" w:rsidRPr="00834D52" w:rsidRDefault="006F76EB" w:rsidP="00FA2FDE">
            <w:pPr>
              <w:spacing w:after="120" w:line="240" w:lineRule="auto"/>
              <w:ind w:right="-6"/>
              <w:rPr>
                <w:rFonts w:ascii="Sylfaen" w:hAnsi="Sylfaen"/>
                <w:sz w:val="24"/>
                <w:szCs w:val="24"/>
              </w:rPr>
            </w:pPr>
          </w:p>
        </w:tc>
      </w:tr>
      <w:tr w:rsidR="006F76EB" w:rsidRPr="00834D52" w14:paraId="0E597824" w14:textId="77777777" w:rsidTr="00426865">
        <w:trPr>
          <w:trHeight w:val="888"/>
        </w:trPr>
        <w:tc>
          <w:tcPr>
            <w:tcW w:w="5552" w:type="dxa"/>
            <w:tcBorders>
              <w:top w:val="single" w:sz="4" w:space="0" w:color="000000"/>
              <w:left w:val="single" w:sz="4" w:space="0" w:color="000000"/>
              <w:bottom w:val="single" w:sz="4" w:space="0" w:color="000000"/>
              <w:right w:val="single" w:sz="4" w:space="0" w:color="000000"/>
            </w:tcBorders>
          </w:tcPr>
          <w:p w14:paraId="292CE64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092" w:type="dxa"/>
            <w:tcBorders>
              <w:top w:val="single" w:sz="4" w:space="0" w:color="000000"/>
              <w:left w:val="single" w:sz="4" w:space="0" w:color="000000"/>
              <w:bottom w:val="single" w:sz="4" w:space="0" w:color="000000"/>
              <w:right w:val="single" w:sz="4" w:space="0" w:color="000000"/>
            </w:tcBorders>
          </w:tcPr>
          <w:p w14:paraId="3A8B5570" w14:textId="77777777" w:rsidR="006F76EB" w:rsidRPr="00834D52" w:rsidRDefault="006F76EB" w:rsidP="00FA2FDE">
            <w:pPr>
              <w:spacing w:after="120" w:line="240" w:lineRule="auto"/>
              <w:ind w:right="-6"/>
              <w:rPr>
                <w:rFonts w:ascii="Sylfaen" w:hAnsi="Sylfaen"/>
                <w:sz w:val="24"/>
                <w:szCs w:val="24"/>
              </w:rPr>
            </w:pPr>
          </w:p>
        </w:tc>
      </w:tr>
      <w:tr w:rsidR="006F76EB" w:rsidRPr="00834D52" w14:paraId="53A3A66A" w14:textId="77777777" w:rsidTr="00426865">
        <w:trPr>
          <w:trHeight w:val="544"/>
        </w:trPr>
        <w:tc>
          <w:tcPr>
            <w:tcW w:w="5552" w:type="dxa"/>
            <w:tcBorders>
              <w:top w:val="single" w:sz="4" w:space="0" w:color="000000"/>
              <w:left w:val="single" w:sz="4" w:space="0" w:color="000000"/>
              <w:bottom w:val="single" w:sz="4" w:space="0" w:color="000000"/>
              <w:right w:val="single" w:sz="4" w:space="0" w:color="000000"/>
            </w:tcBorders>
          </w:tcPr>
          <w:p w14:paraId="1962B760"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92" w:type="dxa"/>
            <w:tcBorders>
              <w:top w:val="single" w:sz="4" w:space="0" w:color="000000"/>
              <w:left w:val="single" w:sz="4" w:space="0" w:color="000000"/>
              <w:bottom w:val="single" w:sz="4" w:space="0" w:color="000000"/>
              <w:right w:val="single" w:sz="4" w:space="0" w:color="000000"/>
            </w:tcBorders>
          </w:tcPr>
          <w:p w14:paraId="7B219D7C" w14:textId="77777777" w:rsidR="006F76EB" w:rsidRPr="00834D52" w:rsidRDefault="006F76EB" w:rsidP="00FA2FDE">
            <w:pPr>
              <w:spacing w:after="120" w:line="240" w:lineRule="auto"/>
              <w:ind w:right="-6"/>
              <w:rPr>
                <w:rFonts w:ascii="Sylfaen" w:hAnsi="Sylfaen"/>
                <w:sz w:val="24"/>
                <w:szCs w:val="24"/>
              </w:rPr>
            </w:pPr>
          </w:p>
        </w:tc>
      </w:tr>
    </w:tbl>
    <w:p w14:paraId="483420D3" w14:textId="77777777" w:rsidR="006F76EB" w:rsidRPr="00DB039F" w:rsidRDefault="006F76EB" w:rsidP="00FA2FDE">
      <w:pPr>
        <w:tabs>
          <w:tab w:val="left" w:pos="1701"/>
        </w:tabs>
        <w:spacing w:after="160" w:line="360" w:lineRule="auto"/>
        <w:ind w:right="-6" w:firstLine="567"/>
        <w:jc w:val="both"/>
        <w:rPr>
          <w:rFonts w:ascii="Sylfaen" w:hAnsi="Sylfaen"/>
          <w:spacing w:val="-4"/>
          <w:sz w:val="24"/>
          <w:szCs w:val="24"/>
        </w:rPr>
      </w:pPr>
      <w:r w:rsidRPr="00834D52">
        <w:rPr>
          <w:rFonts w:ascii="Sylfaen" w:hAnsi="Sylfaen"/>
          <w:spacing w:val="-4"/>
          <w:sz w:val="24"/>
          <w:szCs w:val="24"/>
        </w:rPr>
        <w:t>3.5.3.</w:t>
      </w:r>
      <w:r w:rsidRPr="00834D52">
        <w:rPr>
          <w:rFonts w:ascii="Sylfaen" w:hAnsi="Sylfaen"/>
          <w:spacing w:val="-4"/>
          <w:sz w:val="24"/>
          <w:szCs w:val="24"/>
        </w:rPr>
        <w:tab/>
        <w:t xml:space="preserve">Եվրասիական տնտեսական միության շրջանակներում բողոքագրերի </w:t>
      </w:r>
      <w:r w:rsidRPr="00834D52">
        <w:rPr>
          <w:rFonts w:ascii="Sylfaen" w:hAnsi="Sylfaen"/>
          <w:spacing w:val="-4"/>
          <w:sz w:val="24"/>
          <w:szCs w:val="24"/>
        </w:rPr>
        <w:lastRenderedPageBreak/>
        <w:t>հետ աշխատանքի համար պատասխանատու կազմակերպությունը (Եվրասիական տնտեսական միության յուրաքանչյուր անդամ պետության համար (առկայության դեպքում)</w:t>
      </w:r>
    </w:p>
    <w:tbl>
      <w:tblPr>
        <w:tblW w:w="9695" w:type="dxa"/>
        <w:tblInd w:w="109" w:type="dxa"/>
        <w:tblLayout w:type="fixed"/>
        <w:tblCellMar>
          <w:left w:w="0" w:type="dxa"/>
          <w:right w:w="0" w:type="dxa"/>
        </w:tblCellMar>
        <w:tblLook w:val="01E0" w:firstRow="1" w:lastRow="1" w:firstColumn="1" w:lastColumn="1" w:noHBand="0" w:noVBand="0"/>
      </w:tblPr>
      <w:tblGrid>
        <w:gridCol w:w="5581"/>
        <w:gridCol w:w="4114"/>
      </w:tblGrid>
      <w:tr w:rsidR="006F76EB" w:rsidRPr="00834D52" w14:paraId="780FF42A" w14:textId="77777777" w:rsidTr="00FD580B">
        <w:trPr>
          <w:trHeight w:val="519"/>
        </w:trPr>
        <w:tc>
          <w:tcPr>
            <w:tcW w:w="5581" w:type="dxa"/>
            <w:tcBorders>
              <w:top w:val="single" w:sz="4" w:space="0" w:color="000000"/>
              <w:left w:val="single" w:sz="4" w:space="0" w:color="000000"/>
              <w:bottom w:val="single" w:sz="4" w:space="0" w:color="000000"/>
              <w:right w:val="single" w:sz="4" w:space="0" w:color="000000"/>
            </w:tcBorders>
          </w:tcPr>
          <w:p w14:paraId="12DC2336"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114" w:type="dxa"/>
            <w:tcBorders>
              <w:top w:val="single" w:sz="4" w:space="0" w:color="000000"/>
              <w:left w:val="single" w:sz="4" w:space="0" w:color="000000"/>
              <w:bottom w:val="single" w:sz="4" w:space="0" w:color="000000"/>
              <w:right w:val="single" w:sz="4" w:space="0" w:color="000000"/>
            </w:tcBorders>
          </w:tcPr>
          <w:p w14:paraId="223F78F4" w14:textId="77777777" w:rsidR="006F76EB" w:rsidRPr="00834D52" w:rsidRDefault="006F76EB" w:rsidP="00FA2FDE">
            <w:pPr>
              <w:spacing w:after="120" w:line="240" w:lineRule="auto"/>
              <w:ind w:right="-6"/>
              <w:rPr>
                <w:rFonts w:ascii="Sylfaen" w:hAnsi="Sylfaen"/>
                <w:sz w:val="24"/>
                <w:szCs w:val="24"/>
              </w:rPr>
            </w:pPr>
          </w:p>
        </w:tc>
      </w:tr>
      <w:tr w:rsidR="006F76EB" w:rsidRPr="00834D52" w14:paraId="09E16926"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1716F30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4114" w:type="dxa"/>
            <w:tcBorders>
              <w:top w:val="single" w:sz="4" w:space="0" w:color="000000"/>
              <w:left w:val="single" w:sz="4" w:space="0" w:color="000000"/>
              <w:bottom w:val="single" w:sz="4" w:space="0" w:color="000000"/>
              <w:right w:val="single" w:sz="4" w:space="0" w:color="000000"/>
            </w:tcBorders>
          </w:tcPr>
          <w:p w14:paraId="66774D67" w14:textId="77777777" w:rsidR="006F76EB" w:rsidRPr="00834D52" w:rsidRDefault="006F76EB" w:rsidP="00FA2FDE">
            <w:pPr>
              <w:spacing w:after="120" w:line="240" w:lineRule="auto"/>
              <w:ind w:right="-6"/>
              <w:rPr>
                <w:rFonts w:ascii="Sylfaen" w:hAnsi="Sylfaen"/>
                <w:sz w:val="24"/>
                <w:szCs w:val="24"/>
              </w:rPr>
            </w:pPr>
          </w:p>
        </w:tc>
      </w:tr>
      <w:tr w:rsidR="006F76EB" w:rsidRPr="00834D52" w14:paraId="6773B01F"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278B8C88" w14:textId="77777777" w:rsidR="006F76EB" w:rsidRPr="00834D52" w:rsidRDefault="006F76EB" w:rsidP="00FA2FDE">
            <w:pPr>
              <w:spacing w:after="120" w:line="240" w:lineRule="auto"/>
              <w:ind w:left="112" w:right="-6"/>
              <w:rPr>
                <w:rFonts w:ascii="Sylfaen" w:eastAsia="Times New Roman" w:hAnsi="Sylfaen" w:cs="Times New Roman"/>
                <w:sz w:val="24"/>
                <w:szCs w:val="24"/>
                <w:lang w:val="en-US"/>
              </w:rPr>
            </w:pPr>
            <w:r w:rsidRPr="00834D52">
              <w:rPr>
                <w:rFonts w:ascii="Sylfaen" w:hAnsi="Sylfaen"/>
                <w:sz w:val="24"/>
                <w:szCs w:val="24"/>
              </w:rPr>
              <w:t>պետությունը</w:t>
            </w:r>
          </w:p>
        </w:tc>
        <w:tc>
          <w:tcPr>
            <w:tcW w:w="4114" w:type="dxa"/>
            <w:tcBorders>
              <w:top w:val="single" w:sz="4" w:space="0" w:color="000000"/>
              <w:left w:val="single" w:sz="4" w:space="0" w:color="000000"/>
              <w:bottom w:val="single" w:sz="4" w:space="0" w:color="000000"/>
              <w:right w:val="single" w:sz="4" w:space="0" w:color="000000"/>
            </w:tcBorders>
          </w:tcPr>
          <w:p w14:paraId="2F9AF9F3"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403B0DB" w14:textId="77777777" w:rsidTr="00FD580B">
        <w:trPr>
          <w:trHeight w:val="913"/>
        </w:trPr>
        <w:tc>
          <w:tcPr>
            <w:tcW w:w="5581" w:type="dxa"/>
            <w:tcBorders>
              <w:top w:val="single" w:sz="4" w:space="0" w:color="000000"/>
              <w:left w:val="single" w:sz="4" w:space="0" w:color="000000"/>
              <w:bottom w:val="single" w:sz="4" w:space="0" w:color="000000"/>
              <w:right w:val="single" w:sz="4" w:space="0" w:color="000000"/>
            </w:tcBorders>
          </w:tcPr>
          <w:p w14:paraId="5C389517"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114" w:type="dxa"/>
            <w:tcBorders>
              <w:top w:val="single" w:sz="4" w:space="0" w:color="000000"/>
              <w:left w:val="single" w:sz="4" w:space="0" w:color="000000"/>
              <w:bottom w:val="single" w:sz="4" w:space="0" w:color="000000"/>
              <w:right w:val="single" w:sz="4" w:space="0" w:color="000000"/>
            </w:tcBorders>
          </w:tcPr>
          <w:p w14:paraId="01BC688E"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2D6E1F0"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0CA48DEB"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14" w:type="dxa"/>
            <w:tcBorders>
              <w:top w:val="single" w:sz="4" w:space="0" w:color="000000"/>
              <w:left w:val="single" w:sz="4" w:space="0" w:color="000000"/>
              <w:bottom w:val="single" w:sz="4" w:space="0" w:color="000000"/>
              <w:right w:val="single" w:sz="4" w:space="0" w:color="000000"/>
            </w:tcBorders>
          </w:tcPr>
          <w:p w14:paraId="1FE51803" w14:textId="77777777" w:rsidR="006F76EB" w:rsidRPr="00834D52" w:rsidRDefault="006F76EB" w:rsidP="00FA2FDE">
            <w:pPr>
              <w:spacing w:after="120" w:line="240" w:lineRule="auto"/>
              <w:ind w:right="-6"/>
              <w:rPr>
                <w:rFonts w:ascii="Sylfaen" w:hAnsi="Sylfaen"/>
                <w:sz w:val="24"/>
                <w:szCs w:val="24"/>
              </w:rPr>
            </w:pPr>
          </w:p>
        </w:tc>
      </w:tr>
    </w:tbl>
    <w:p w14:paraId="78A68C86" w14:textId="77777777" w:rsidR="006F76EB" w:rsidRPr="00834D52" w:rsidRDefault="006F76EB" w:rsidP="00FD580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3.5.4.</w:t>
      </w:r>
      <w:r w:rsidRPr="00834D52">
        <w:rPr>
          <w:rFonts w:ascii="Sylfaen" w:hAnsi="Sylfaen"/>
          <w:sz w:val="24"/>
          <w:szCs w:val="24"/>
        </w:rPr>
        <w:tab/>
        <w:t xml:space="preserve">Դեղապատրաստուկն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869F6CE"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արտադրական գործընթացին մասնակցող բոլոր արտադրական հարթակները (ներառյալ լուծիչները)՝ նշելով արտադրական գործընթացի ընթացաշրջանը</w:t>
      </w:r>
    </w:p>
    <w:tbl>
      <w:tblPr>
        <w:tblW w:w="9812" w:type="dxa"/>
        <w:tblInd w:w="109" w:type="dxa"/>
        <w:tblLayout w:type="fixed"/>
        <w:tblCellMar>
          <w:left w:w="0" w:type="dxa"/>
          <w:right w:w="0" w:type="dxa"/>
        </w:tblCellMar>
        <w:tblLook w:val="01E0" w:firstRow="1" w:lastRow="1" w:firstColumn="1" w:lastColumn="1" w:noHBand="0" w:noVBand="0"/>
      </w:tblPr>
      <w:tblGrid>
        <w:gridCol w:w="5648"/>
        <w:gridCol w:w="4164"/>
      </w:tblGrid>
      <w:tr w:rsidR="006F76EB" w:rsidRPr="00834D52" w14:paraId="67CF13D0" w14:textId="77777777" w:rsidTr="00FD580B">
        <w:trPr>
          <w:trHeight w:val="1312"/>
        </w:trPr>
        <w:tc>
          <w:tcPr>
            <w:tcW w:w="5648" w:type="dxa"/>
            <w:tcBorders>
              <w:top w:val="single" w:sz="4" w:space="0" w:color="000000"/>
              <w:left w:val="single" w:sz="4" w:space="0" w:color="000000"/>
              <w:bottom w:val="single" w:sz="4" w:space="0" w:color="000000"/>
              <w:right w:val="single" w:sz="4" w:space="0" w:color="000000"/>
            </w:tcBorders>
          </w:tcPr>
          <w:p w14:paraId="042DF5B6"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4164" w:type="dxa"/>
            <w:tcBorders>
              <w:top w:val="single" w:sz="4" w:space="0" w:color="000000"/>
              <w:left w:val="single" w:sz="4" w:space="0" w:color="000000"/>
              <w:bottom w:val="single" w:sz="4" w:space="0" w:color="000000"/>
              <w:right w:val="single" w:sz="4" w:space="0" w:color="000000"/>
            </w:tcBorders>
          </w:tcPr>
          <w:p w14:paraId="7237F56C" w14:textId="77777777" w:rsidR="006F76EB" w:rsidRPr="00834D52" w:rsidRDefault="006F76EB" w:rsidP="00FD580B">
            <w:pPr>
              <w:spacing w:after="120" w:line="240" w:lineRule="auto"/>
              <w:ind w:right="-6"/>
              <w:rPr>
                <w:rFonts w:ascii="Sylfaen" w:hAnsi="Sylfaen"/>
                <w:sz w:val="24"/>
                <w:szCs w:val="24"/>
              </w:rPr>
            </w:pPr>
          </w:p>
        </w:tc>
      </w:tr>
      <w:tr w:rsidR="006F76EB" w:rsidRPr="00834D52" w14:paraId="69C76A38" w14:textId="77777777" w:rsidTr="00FD580B">
        <w:trPr>
          <w:trHeight w:val="521"/>
        </w:trPr>
        <w:tc>
          <w:tcPr>
            <w:tcW w:w="5648" w:type="dxa"/>
            <w:tcBorders>
              <w:top w:val="single" w:sz="4" w:space="0" w:color="000000"/>
              <w:left w:val="single" w:sz="4" w:space="0" w:color="000000"/>
              <w:bottom w:val="single" w:sz="4" w:space="0" w:color="000000"/>
              <w:right w:val="single" w:sz="4" w:space="0" w:color="000000"/>
            </w:tcBorders>
          </w:tcPr>
          <w:p w14:paraId="0E37FBD7"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footnoteReference w:customMarkFollows="1" w:id="18"/>
              <w:t>գործունեության իրականացման վայրի հասցեն*</w:t>
            </w:r>
          </w:p>
        </w:tc>
        <w:tc>
          <w:tcPr>
            <w:tcW w:w="4164" w:type="dxa"/>
            <w:tcBorders>
              <w:top w:val="single" w:sz="4" w:space="0" w:color="000000"/>
              <w:left w:val="single" w:sz="4" w:space="0" w:color="000000"/>
              <w:bottom w:val="single" w:sz="4" w:space="0" w:color="000000"/>
              <w:right w:val="single" w:sz="4" w:space="0" w:color="000000"/>
            </w:tcBorders>
          </w:tcPr>
          <w:p w14:paraId="14C52274" w14:textId="77777777" w:rsidR="006F76EB" w:rsidRPr="00834D52" w:rsidRDefault="006F76EB" w:rsidP="00FD580B">
            <w:pPr>
              <w:spacing w:after="120" w:line="240" w:lineRule="auto"/>
              <w:ind w:right="-6"/>
              <w:rPr>
                <w:rFonts w:ascii="Sylfaen" w:hAnsi="Sylfaen"/>
                <w:sz w:val="24"/>
                <w:szCs w:val="24"/>
              </w:rPr>
            </w:pPr>
          </w:p>
        </w:tc>
      </w:tr>
      <w:tr w:rsidR="006F76EB" w:rsidRPr="00834D52" w14:paraId="30094B17" w14:textId="77777777" w:rsidTr="00FD580B">
        <w:trPr>
          <w:trHeight w:val="541"/>
        </w:trPr>
        <w:tc>
          <w:tcPr>
            <w:tcW w:w="5648" w:type="dxa"/>
            <w:tcBorders>
              <w:top w:val="single" w:sz="4" w:space="0" w:color="000000"/>
              <w:left w:val="single" w:sz="4" w:space="0" w:color="000000"/>
              <w:bottom w:val="single" w:sz="4" w:space="0" w:color="000000"/>
              <w:right w:val="single" w:sz="4" w:space="0" w:color="000000"/>
            </w:tcBorders>
          </w:tcPr>
          <w:p w14:paraId="2242DB62"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164" w:type="dxa"/>
            <w:tcBorders>
              <w:top w:val="single" w:sz="4" w:space="0" w:color="000000"/>
              <w:left w:val="single" w:sz="4" w:space="0" w:color="000000"/>
              <w:bottom w:val="single" w:sz="4" w:space="0" w:color="000000"/>
              <w:right w:val="single" w:sz="4" w:space="0" w:color="000000"/>
            </w:tcBorders>
          </w:tcPr>
          <w:p w14:paraId="79E70DCC" w14:textId="77777777" w:rsidR="006F76EB" w:rsidRPr="00834D52" w:rsidRDefault="006F76EB" w:rsidP="00FD580B">
            <w:pPr>
              <w:spacing w:after="120" w:line="240" w:lineRule="auto"/>
              <w:ind w:right="-6"/>
              <w:rPr>
                <w:rFonts w:ascii="Sylfaen" w:hAnsi="Sylfaen"/>
                <w:sz w:val="24"/>
                <w:szCs w:val="24"/>
              </w:rPr>
            </w:pPr>
          </w:p>
        </w:tc>
      </w:tr>
      <w:tr w:rsidR="006F76EB" w:rsidRPr="00834D52" w14:paraId="523D43B4" w14:textId="77777777" w:rsidTr="00FD580B">
        <w:trPr>
          <w:trHeight w:val="936"/>
        </w:trPr>
        <w:tc>
          <w:tcPr>
            <w:tcW w:w="5648" w:type="dxa"/>
            <w:tcBorders>
              <w:top w:val="single" w:sz="4" w:space="0" w:color="000000"/>
              <w:left w:val="single" w:sz="4" w:space="0" w:color="000000"/>
              <w:bottom w:val="single" w:sz="4" w:space="0" w:color="000000"/>
              <w:right w:val="single" w:sz="4" w:space="0" w:color="000000"/>
            </w:tcBorders>
          </w:tcPr>
          <w:p w14:paraId="6F926E1F"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64" w:type="dxa"/>
            <w:tcBorders>
              <w:top w:val="single" w:sz="4" w:space="0" w:color="000000"/>
              <w:left w:val="single" w:sz="4" w:space="0" w:color="000000"/>
              <w:bottom w:val="single" w:sz="4" w:space="0" w:color="000000"/>
              <w:right w:val="single" w:sz="4" w:space="0" w:color="000000"/>
            </w:tcBorders>
          </w:tcPr>
          <w:p w14:paraId="5F978103" w14:textId="77777777" w:rsidR="006F76EB" w:rsidRPr="00834D52" w:rsidRDefault="006F76EB" w:rsidP="00FD580B">
            <w:pPr>
              <w:spacing w:after="120" w:line="240" w:lineRule="auto"/>
              <w:ind w:right="-6"/>
              <w:rPr>
                <w:rFonts w:ascii="Sylfaen" w:hAnsi="Sylfaen"/>
                <w:sz w:val="24"/>
                <w:szCs w:val="24"/>
              </w:rPr>
            </w:pPr>
          </w:p>
        </w:tc>
      </w:tr>
      <w:tr w:rsidR="006F76EB" w:rsidRPr="00834D52" w14:paraId="5FD6C300" w14:textId="77777777" w:rsidTr="00FD580B">
        <w:trPr>
          <w:trHeight w:val="541"/>
        </w:trPr>
        <w:tc>
          <w:tcPr>
            <w:tcW w:w="5648" w:type="dxa"/>
            <w:tcBorders>
              <w:top w:val="single" w:sz="4" w:space="0" w:color="000000"/>
              <w:left w:val="single" w:sz="4" w:space="0" w:color="000000"/>
              <w:bottom w:val="single" w:sz="4" w:space="0" w:color="000000"/>
              <w:right w:val="single" w:sz="4" w:space="0" w:color="000000"/>
            </w:tcBorders>
          </w:tcPr>
          <w:p w14:paraId="135B34A6"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64" w:type="dxa"/>
            <w:tcBorders>
              <w:top w:val="single" w:sz="4" w:space="0" w:color="000000"/>
              <w:left w:val="single" w:sz="4" w:space="0" w:color="000000"/>
              <w:bottom w:val="single" w:sz="4" w:space="0" w:color="000000"/>
              <w:right w:val="single" w:sz="4" w:space="0" w:color="000000"/>
            </w:tcBorders>
          </w:tcPr>
          <w:p w14:paraId="2CFF7921" w14:textId="77777777" w:rsidR="006F76EB" w:rsidRPr="00834D52" w:rsidRDefault="006F76EB" w:rsidP="00FD580B">
            <w:pPr>
              <w:spacing w:after="120" w:line="240" w:lineRule="auto"/>
              <w:ind w:right="-6"/>
              <w:rPr>
                <w:rFonts w:ascii="Sylfaen" w:hAnsi="Sylfaen"/>
                <w:sz w:val="24"/>
                <w:szCs w:val="24"/>
              </w:rPr>
            </w:pPr>
          </w:p>
        </w:tc>
      </w:tr>
    </w:tbl>
    <w:p w14:paraId="4D03B2F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w:t>
      </w:r>
      <w:r w:rsidRPr="00834D52" w:rsidDel="00615D9B">
        <w:rPr>
          <w:rFonts w:ascii="Sylfaen" w:hAnsi="Sylfaen"/>
          <w:sz w:val="24"/>
          <w:szCs w:val="24"/>
        </w:rPr>
        <w:t xml:space="preserve"> </w:t>
      </w:r>
      <w:r w:rsidRPr="00834D52">
        <w:rPr>
          <w:rFonts w:ascii="Sylfaen" w:hAnsi="Sylfaen"/>
          <w:sz w:val="24"/>
          <w:szCs w:val="24"/>
        </w:rPr>
        <w:t xml:space="preserve">անցկացվել է Եվրասիական տնտեսական միության պատշաճ արտադրական գործունեության պահանջների կատարման մասով տեսչական </w:t>
      </w:r>
      <w:r w:rsidRPr="00834D52">
        <w:rPr>
          <w:rFonts w:ascii="Sylfaen" w:hAnsi="Sylfaen"/>
          <w:sz w:val="24"/>
          <w:szCs w:val="24"/>
        </w:rPr>
        <w:lastRenderedPageBreak/>
        <w:t>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AF56D79" w14:textId="77777777" w:rsidTr="00F71229">
        <w:tc>
          <w:tcPr>
            <w:tcW w:w="2268" w:type="dxa"/>
          </w:tcPr>
          <w:p w14:paraId="21F47629" w14:textId="7617A845"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41696" behindDoc="0" locked="0" layoutInCell="1" allowOverlap="1" wp14:anchorId="308CB415" wp14:editId="01355557">
                      <wp:simplePos x="0" y="0"/>
                      <wp:positionH relativeFrom="column">
                        <wp:posOffset>515620</wp:posOffset>
                      </wp:positionH>
                      <wp:positionV relativeFrom="paragraph">
                        <wp:posOffset>38735</wp:posOffset>
                      </wp:positionV>
                      <wp:extent cx="161925" cy="152400"/>
                      <wp:effectExtent l="6985" t="5715" r="12065" b="13335"/>
                      <wp:wrapNone/>
                      <wp:docPr id="85"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18FBA" id="Rectangle 229" o:spid="_x0000_s1026" style="position:absolute;margin-left:40.6pt;margin-top:3.05pt;width:12.75pt;height:1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3A65B59F" w14:textId="15B6EAF2"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42720" behindDoc="0" locked="0" layoutInCell="1" allowOverlap="1" wp14:anchorId="20E546C6" wp14:editId="1FCCFA9C">
                      <wp:simplePos x="0" y="0"/>
                      <wp:positionH relativeFrom="column">
                        <wp:posOffset>192405</wp:posOffset>
                      </wp:positionH>
                      <wp:positionV relativeFrom="paragraph">
                        <wp:posOffset>38735</wp:posOffset>
                      </wp:positionV>
                      <wp:extent cx="161925" cy="152400"/>
                      <wp:effectExtent l="9525" t="5715" r="9525" b="13335"/>
                      <wp:wrapNone/>
                      <wp:docPr id="84"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44094" id="Rectangle 228" o:spid="_x0000_s1026" style="position:absolute;margin-left:15.15pt;margin-top:3.05pt;width:12.75pt;height:1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6475BD8E" w14:textId="77777777" w:rsidR="008603F3" w:rsidRDefault="008603F3" w:rsidP="006F76EB">
      <w:pPr>
        <w:spacing w:after="160" w:line="360" w:lineRule="auto"/>
        <w:ind w:right="-8" w:firstLine="567"/>
        <w:rPr>
          <w:rFonts w:ascii="Sylfaen" w:hAnsi="Sylfaen"/>
          <w:sz w:val="24"/>
          <w:szCs w:val="24"/>
          <w:lang w:val="en-US"/>
        </w:rPr>
      </w:pPr>
    </w:p>
    <w:p w14:paraId="13F5E182" w14:textId="77777777" w:rsidR="006F76EB"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t>Եթե այո՝ նշե՛ք՝</w:t>
      </w:r>
    </w:p>
    <w:tbl>
      <w:tblPr>
        <w:tblW w:w="9611" w:type="dxa"/>
        <w:tblInd w:w="109" w:type="dxa"/>
        <w:tblLayout w:type="fixed"/>
        <w:tblCellMar>
          <w:left w:w="0" w:type="dxa"/>
          <w:right w:w="0" w:type="dxa"/>
        </w:tblCellMar>
        <w:tblLook w:val="01E0" w:firstRow="1" w:lastRow="1" w:firstColumn="1" w:lastColumn="1" w:noHBand="0" w:noVBand="0"/>
      </w:tblPr>
      <w:tblGrid>
        <w:gridCol w:w="4269"/>
        <w:gridCol w:w="5342"/>
      </w:tblGrid>
      <w:tr w:rsidR="006F76EB" w:rsidRPr="00834D52" w14:paraId="2BC6D62F"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5AD8E17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342" w:type="dxa"/>
            <w:tcBorders>
              <w:top w:val="single" w:sz="4" w:space="0" w:color="000000"/>
              <w:left w:val="single" w:sz="4" w:space="0" w:color="000000"/>
              <w:bottom w:val="single" w:sz="4" w:space="0" w:color="000000"/>
              <w:right w:val="single" w:sz="4" w:space="0" w:color="000000"/>
            </w:tcBorders>
          </w:tcPr>
          <w:p w14:paraId="4D4D5BC8" w14:textId="77777777" w:rsidR="006F76EB" w:rsidRPr="00834D52" w:rsidRDefault="006F76EB" w:rsidP="00FD580B">
            <w:pPr>
              <w:spacing w:after="120" w:line="240" w:lineRule="auto"/>
              <w:ind w:right="-6"/>
              <w:rPr>
                <w:rFonts w:ascii="Sylfaen" w:hAnsi="Sylfaen"/>
                <w:sz w:val="24"/>
                <w:szCs w:val="24"/>
              </w:rPr>
            </w:pPr>
          </w:p>
        </w:tc>
      </w:tr>
      <w:tr w:rsidR="006F76EB" w:rsidRPr="00834D52" w14:paraId="6EE48C76"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06138A57"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342" w:type="dxa"/>
            <w:tcBorders>
              <w:top w:val="single" w:sz="4" w:space="0" w:color="000000"/>
              <w:left w:val="single" w:sz="4" w:space="0" w:color="000000"/>
              <w:bottom w:val="single" w:sz="4" w:space="0" w:color="000000"/>
              <w:right w:val="single" w:sz="4" w:space="0" w:color="000000"/>
            </w:tcBorders>
          </w:tcPr>
          <w:p w14:paraId="36AEE719" w14:textId="77777777" w:rsidR="006F76EB" w:rsidRPr="00834D52" w:rsidRDefault="006F76EB" w:rsidP="00FD580B">
            <w:pPr>
              <w:spacing w:after="120" w:line="240" w:lineRule="auto"/>
              <w:ind w:right="-6"/>
              <w:rPr>
                <w:rFonts w:ascii="Sylfaen" w:hAnsi="Sylfaen"/>
                <w:sz w:val="24"/>
                <w:szCs w:val="24"/>
              </w:rPr>
            </w:pPr>
          </w:p>
        </w:tc>
      </w:tr>
      <w:tr w:rsidR="006F76EB" w:rsidRPr="00834D52" w14:paraId="4B33E653"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50ED77AA"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342" w:type="dxa"/>
            <w:tcBorders>
              <w:top w:val="single" w:sz="4" w:space="0" w:color="000000"/>
              <w:left w:val="single" w:sz="4" w:space="0" w:color="000000"/>
              <w:bottom w:val="single" w:sz="4" w:space="0" w:color="000000"/>
              <w:right w:val="single" w:sz="4" w:space="0" w:color="000000"/>
            </w:tcBorders>
          </w:tcPr>
          <w:p w14:paraId="411484B5" w14:textId="77777777" w:rsidR="006F76EB" w:rsidRPr="00834D52" w:rsidRDefault="006F76EB" w:rsidP="00FD580B">
            <w:pPr>
              <w:spacing w:after="120" w:line="240" w:lineRule="auto"/>
              <w:ind w:right="-6"/>
              <w:rPr>
                <w:rFonts w:ascii="Sylfaen" w:hAnsi="Sylfaen"/>
                <w:sz w:val="24"/>
                <w:szCs w:val="24"/>
              </w:rPr>
            </w:pPr>
          </w:p>
        </w:tc>
      </w:tr>
      <w:tr w:rsidR="006F76EB" w:rsidRPr="00834D52" w14:paraId="142D3BE7"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2117DE7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5342" w:type="dxa"/>
            <w:tcBorders>
              <w:top w:val="single" w:sz="4" w:space="0" w:color="000000"/>
              <w:left w:val="single" w:sz="4" w:space="0" w:color="000000"/>
              <w:bottom w:val="single" w:sz="4" w:space="0" w:color="000000"/>
              <w:right w:val="single" w:sz="4" w:space="0" w:color="000000"/>
            </w:tcBorders>
          </w:tcPr>
          <w:p w14:paraId="2BBD31D3" w14:textId="77777777" w:rsidR="006F76EB" w:rsidRPr="00834D52" w:rsidRDefault="006F76EB" w:rsidP="00FD580B">
            <w:pPr>
              <w:spacing w:after="120" w:line="240" w:lineRule="auto"/>
              <w:ind w:right="-6"/>
              <w:rPr>
                <w:rFonts w:ascii="Sylfaen" w:hAnsi="Sylfaen"/>
                <w:sz w:val="24"/>
                <w:szCs w:val="24"/>
              </w:rPr>
            </w:pPr>
          </w:p>
        </w:tc>
      </w:tr>
      <w:tr w:rsidR="006F76EB" w:rsidRPr="00834D52" w14:paraId="220BED1C"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265FD50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342" w:type="dxa"/>
            <w:tcBorders>
              <w:top w:val="single" w:sz="4" w:space="0" w:color="000000"/>
              <w:left w:val="single" w:sz="4" w:space="0" w:color="000000"/>
              <w:bottom w:val="single" w:sz="4" w:space="0" w:color="000000"/>
              <w:right w:val="single" w:sz="4" w:space="0" w:color="000000"/>
            </w:tcBorders>
          </w:tcPr>
          <w:p w14:paraId="457B30CC" w14:textId="45E1C515" w:rsidR="006F76EB" w:rsidRPr="00834D52" w:rsidRDefault="0037154C" w:rsidP="00FD580B">
            <w:pPr>
              <w:spacing w:after="120" w:line="240" w:lineRule="auto"/>
              <w:ind w:left="163"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43744" behindDoc="0" locked="0" layoutInCell="1" allowOverlap="1" wp14:anchorId="16D8D5CD" wp14:editId="1A3D89F2">
                      <wp:simplePos x="0" y="0"/>
                      <wp:positionH relativeFrom="column">
                        <wp:posOffset>2708910</wp:posOffset>
                      </wp:positionH>
                      <wp:positionV relativeFrom="paragraph">
                        <wp:posOffset>72390</wp:posOffset>
                      </wp:positionV>
                      <wp:extent cx="161925" cy="152400"/>
                      <wp:effectExtent l="7620" t="7620" r="11430" b="11430"/>
                      <wp:wrapNone/>
                      <wp:docPr id="83"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B2308" id="Rectangle 205" o:spid="_x0000_s1026" style="position:absolute;margin-left:213.3pt;margin-top:5.7pt;width:12.75pt;height:1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"/>
                  </w:pict>
                </mc:Fallback>
              </mc:AlternateContent>
            </w:r>
            <w:r>
              <w:rPr>
                <w:rFonts w:ascii="Sylfaen" w:eastAsia="Times New Roman" w:hAnsi="Sylfaen" w:cs="Times New Roman"/>
                <w:noProof/>
                <w:sz w:val="24"/>
                <w:szCs w:val="24"/>
              </w:rPr>
              <mc:AlternateContent>
                <mc:Choice Requires="wps">
                  <w:drawing>
                    <wp:anchor distT="0" distB="0" distL="114300" distR="114300" simplePos="0" relativeHeight="251744768" behindDoc="0" locked="0" layoutInCell="1" allowOverlap="1" wp14:anchorId="178ED1F9" wp14:editId="7F05FFDB">
                      <wp:simplePos x="0" y="0"/>
                      <wp:positionH relativeFrom="column">
                        <wp:posOffset>2072640</wp:posOffset>
                      </wp:positionH>
                      <wp:positionV relativeFrom="paragraph">
                        <wp:posOffset>72390</wp:posOffset>
                      </wp:positionV>
                      <wp:extent cx="161925" cy="152400"/>
                      <wp:effectExtent l="9525" t="7620" r="9525" b="11430"/>
                      <wp:wrapNone/>
                      <wp:docPr id="8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78FE3" id="Rectangle 204" o:spid="_x0000_s1026" style="position:absolute;margin-left:163.2pt;margin-top:5.7pt;width:12.75pt;height:1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"/>
                  </w:pict>
                </mc:Fallback>
              </mc:AlternateContent>
            </w:r>
            <w:r w:rsidR="006F76EB" w:rsidRPr="00834D52">
              <w:rPr>
                <w:rFonts w:ascii="Sylfaen" w:hAnsi="Sylfaen"/>
                <w:sz w:val="24"/>
                <w:szCs w:val="24"/>
              </w:rPr>
              <w:t xml:space="preserve">համապատասխանում է՝ ոչ </w:t>
            </w:r>
            <w:r w:rsidR="006F76EB" w:rsidRPr="00834D52">
              <w:rPr>
                <w:rFonts w:ascii="Sylfaen" w:hAnsi="Sylfaen"/>
                <w:sz w:val="24"/>
                <w:szCs w:val="24"/>
                <w:lang w:val="en-US"/>
              </w:rPr>
              <w:t xml:space="preserve">                       </w:t>
            </w:r>
            <w:r w:rsidR="006F76EB" w:rsidRPr="00834D52">
              <w:rPr>
                <w:rFonts w:ascii="Sylfaen" w:hAnsi="Sylfaen"/>
                <w:sz w:val="24"/>
                <w:szCs w:val="24"/>
              </w:rPr>
              <w:t>այո</w:t>
            </w:r>
          </w:p>
        </w:tc>
      </w:tr>
    </w:tbl>
    <w:p w14:paraId="3E940D5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կողմից անցկացվել է պատշաճ արտադրական գործունեության պահանջների կատարման մասով տարածքի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F424C95" w14:textId="77777777" w:rsidTr="00F71229">
        <w:tc>
          <w:tcPr>
            <w:tcW w:w="2268" w:type="dxa"/>
          </w:tcPr>
          <w:p w14:paraId="50D05EA1" w14:textId="5D93FC62"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45792" behindDoc="0" locked="0" layoutInCell="1" allowOverlap="1" wp14:anchorId="5D19EF48" wp14:editId="1DE10BF2">
                      <wp:simplePos x="0" y="0"/>
                      <wp:positionH relativeFrom="column">
                        <wp:posOffset>515620</wp:posOffset>
                      </wp:positionH>
                      <wp:positionV relativeFrom="paragraph">
                        <wp:posOffset>38735</wp:posOffset>
                      </wp:positionV>
                      <wp:extent cx="161925" cy="152400"/>
                      <wp:effectExtent l="6985" t="13970" r="12065" b="5080"/>
                      <wp:wrapNone/>
                      <wp:docPr id="8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14842" id="Rectangle 231" o:spid="_x0000_s1026" style="position:absolute;margin-left:40.6pt;margin-top:3.05pt;width:12.75pt;height:1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64CB1DC7" w14:textId="56910E63"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46816" behindDoc="0" locked="0" layoutInCell="1" allowOverlap="1" wp14:anchorId="46FD9557" wp14:editId="76DB4FCB">
                      <wp:simplePos x="0" y="0"/>
                      <wp:positionH relativeFrom="column">
                        <wp:posOffset>192405</wp:posOffset>
                      </wp:positionH>
                      <wp:positionV relativeFrom="paragraph">
                        <wp:posOffset>38735</wp:posOffset>
                      </wp:positionV>
                      <wp:extent cx="161925" cy="152400"/>
                      <wp:effectExtent l="9525" t="13970" r="9525" b="5080"/>
                      <wp:wrapNone/>
                      <wp:docPr id="8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D0FA1" id="Rectangle 230" o:spid="_x0000_s1026" style="position:absolute;margin-left:15.15pt;margin-top:3.05pt;width:12.75pt;height:1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0D80E28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528" w:type="dxa"/>
        <w:tblInd w:w="109" w:type="dxa"/>
        <w:tblLayout w:type="fixed"/>
        <w:tblCellMar>
          <w:left w:w="0" w:type="dxa"/>
          <w:right w:w="0" w:type="dxa"/>
        </w:tblCellMar>
        <w:tblLook w:val="01E0" w:firstRow="1" w:lastRow="1" w:firstColumn="1" w:lastColumn="1" w:noHBand="0" w:noVBand="0"/>
      </w:tblPr>
      <w:tblGrid>
        <w:gridCol w:w="4252"/>
        <w:gridCol w:w="5276"/>
      </w:tblGrid>
      <w:tr w:rsidR="006F76EB" w:rsidRPr="00834D52" w14:paraId="08A9AFF4" w14:textId="77777777" w:rsidTr="002A181E">
        <w:trPr>
          <w:trHeight w:val="927"/>
        </w:trPr>
        <w:tc>
          <w:tcPr>
            <w:tcW w:w="4252" w:type="dxa"/>
            <w:tcBorders>
              <w:top w:val="single" w:sz="4" w:space="0" w:color="000000"/>
              <w:left w:val="single" w:sz="4" w:space="0" w:color="000000"/>
              <w:bottom w:val="single" w:sz="4" w:space="0" w:color="000000"/>
              <w:right w:val="single" w:sz="4" w:space="0" w:color="000000"/>
            </w:tcBorders>
          </w:tcPr>
          <w:p w14:paraId="247FD659"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276" w:type="dxa"/>
            <w:tcBorders>
              <w:top w:val="single" w:sz="4" w:space="0" w:color="000000"/>
              <w:left w:val="single" w:sz="4" w:space="0" w:color="000000"/>
              <w:bottom w:val="single" w:sz="4" w:space="0" w:color="000000"/>
              <w:right w:val="single" w:sz="4" w:space="0" w:color="000000"/>
            </w:tcBorders>
          </w:tcPr>
          <w:p w14:paraId="574EE4B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61EE7446" w14:textId="77777777" w:rsidTr="002A181E">
        <w:trPr>
          <w:trHeight w:val="927"/>
        </w:trPr>
        <w:tc>
          <w:tcPr>
            <w:tcW w:w="4252" w:type="dxa"/>
            <w:tcBorders>
              <w:top w:val="single" w:sz="4" w:space="0" w:color="000000"/>
              <w:left w:val="single" w:sz="4" w:space="0" w:color="000000"/>
              <w:bottom w:val="single" w:sz="4" w:space="0" w:color="000000"/>
              <w:right w:val="single" w:sz="4" w:space="0" w:color="000000"/>
            </w:tcBorders>
          </w:tcPr>
          <w:p w14:paraId="70CFEB32"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276" w:type="dxa"/>
            <w:tcBorders>
              <w:top w:val="single" w:sz="4" w:space="0" w:color="000000"/>
              <w:left w:val="single" w:sz="4" w:space="0" w:color="000000"/>
              <w:bottom w:val="single" w:sz="4" w:space="0" w:color="000000"/>
              <w:right w:val="single" w:sz="4" w:space="0" w:color="000000"/>
            </w:tcBorders>
          </w:tcPr>
          <w:p w14:paraId="737EC8E8"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4113901" w14:textId="77777777" w:rsidTr="002A181E">
        <w:trPr>
          <w:trHeight w:val="536"/>
        </w:trPr>
        <w:tc>
          <w:tcPr>
            <w:tcW w:w="4252" w:type="dxa"/>
            <w:tcBorders>
              <w:top w:val="single" w:sz="4" w:space="0" w:color="000000"/>
              <w:left w:val="single" w:sz="4" w:space="0" w:color="000000"/>
              <w:bottom w:val="single" w:sz="4" w:space="0" w:color="000000"/>
              <w:right w:val="single" w:sz="4" w:space="0" w:color="000000"/>
            </w:tcBorders>
          </w:tcPr>
          <w:p w14:paraId="13EF9559"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276" w:type="dxa"/>
            <w:tcBorders>
              <w:top w:val="single" w:sz="4" w:space="0" w:color="000000"/>
              <w:left w:val="single" w:sz="4" w:space="0" w:color="000000"/>
              <w:bottom w:val="single" w:sz="4" w:space="0" w:color="000000"/>
              <w:right w:val="single" w:sz="4" w:space="0" w:color="000000"/>
            </w:tcBorders>
          </w:tcPr>
          <w:p w14:paraId="69412AB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6980B353" w14:textId="77777777" w:rsidTr="002A181E">
        <w:trPr>
          <w:trHeight w:val="908"/>
        </w:trPr>
        <w:tc>
          <w:tcPr>
            <w:tcW w:w="4252" w:type="dxa"/>
            <w:tcBorders>
              <w:top w:val="single" w:sz="4" w:space="0" w:color="000000"/>
              <w:left w:val="single" w:sz="4" w:space="0" w:color="000000"/>
              <w:bottom w:val="single" w:sz="4" w:space="0" w:color="000000"/>
              <w:right w:val="single" w:sz="4" w:space="0" w:color="000000"/>
            </w:tcBorders>
          </w:tcPr>
          <w:p w14:paraId="23C49283"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5276" w:type="dxa"/>
            <w:tcBorders>
              <w:top w:val="single" w:sz="4" w:space="0" w:color="000000"/>
              <w:left w:val="single" w:sz="4" w:space="0" w:color="000000"/>
              <w:bottom w:val="single" w:sz="4" w:space="0" w:color="000000"/>
              <w:right w:val="single" w:sz="4" w:space="0" w:color="000000"/>
            </w:tcBorders>
          </w:tcPr>
          <w:p w14:paraId="47357971" w14:textId="77777777" w:rsidR="006F76EB" w:rsidRPr="00834D52" w:rsidRDefault="006F76EB" w:rsidP="002A181E">
            <w:pPr>
              <w:spacing w:after="120" w:line="240" w:lineRule="auto"/>
              <w:ind w:right="-6"/>
              <w:rPr>
                <w:rFonts w:ascii="Sylfaen" w:hAnsi="Sylfaen"/>
                <w:sz w:val="24"/>
                <w:szCs w:val="24"/>
              </w:rPr>
            </w:pPr>
          </w:p>
        </w:tc>
      </w:tr>
      <w:tr w:rsidR="006F76EB" w:rsidRPr="00834D52" w14:paraId="5BEEE476" w14:textId="77777777" w:rsidTr="002A181E">
        <w:trPr>
          <w:trHeight w:val="536"/>
        </w:trPr>
        <w:tc>
          <w:tcPr>
            <w:tcW w:w="4252" w:type="dxa"/>
            <w:tcBorders>
              <w:top w:val="single" w:sz="4" w:space="0" w:color="000000"/>
              <w:left w:val="single" w:sz="4" w:space="0" w:color="000000"/>
              <w:bottom w:val="single" w:sz="4" w:space="0" w:color="000000"/>
              <w:right w:val="single" w:sz="4" w:space="0" w:color="000000"/>
            </w:tcBorders>
          </w:tcPr>
          <w:p w14:paraId="096C57BD"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276" w:type="dxa"/>
            <w:tcBorders>
              <w:top w:val="single" w:sz="4" w:space="0" w:color="000000"/>
              <w:left w:val="single" w:sz="4" w:space="0" w:color="000000"/>
              <w:bottom w:val="single" w:sz="4" w:space="0" w:color="000000"/>
              <w:right w:val="single" w:sz="4" w:space="0" w:color="000000"/>
            </w:tcBorders>
          </w:tcPr>
          <w:p w14:paraId="1C6EA64F" w14:textId="7E3EF223" w:rsidR="006F76EB" w:rsidRPr="00834D52" w:rsidRDefault="0037154C" w:rsidP="002A181E">
            <w:pPr>
              <w:spacing w:after="120" w:line="240" w:lineRule="auto"/>
              <w:ind w:left="163"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47840" behindDoc="0" locked="0" layoutInCell="1" allowOverlap="1" wp14:anchorId="095711EF" wp14:editId="05ED5E15">
                      <wp:simplePos x="0" y="0"/>
                      <wp:positionH relativeFrom="column">
                        <wp:posOffset>2477135</wp:posOffset>
                      </wp:positionH>
                      <wp:positionV relativeFrom="paragraph">
                        <wp:posOffset>24765</wp:posOffset>
                      </wp:positionV>
                      <wp:extent cx="161925" cy="152400"/>
                      <wp:effectExtent l="12700" t="6985" r="6350" b="12065"/>
                      <wp:wrapNone/>
                      <wp:docPr id="7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1249F" id="Rectangle 207" o:spid="_x0000_s1026" style="position:absolute;margin-left:195.05pt;margin-top:1.95pt;width:12.75pt;height:1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"/>
                  </w:pict>
                </mc:Fallback>
              </mc:AlternateContent>
            </w:r>
            <w:r>
              <w:rPr>
                <w:rFonts w:ascii="Sylfaen" w:eastAsia="Times New Roman" w:hAnsi="Sylfaen" w:cs="Times New Roman"/>
                <w:noProof/>
                <w:sz w:val="24"/>
                <w:szCs w:val="24"/>
              </w:rPr>
              <mc:AlternateContent>
                <mc:Choice Requires="wps">
                  <w:drawing>
                    <wp:anchor distT="0" distB="0" distL="114300" distR="114300" simplePos="0" relativeHeight="251748864" behindDoc="0" locked="0" layoutInCell="1" allowOverlap="1" wp14:anchorId="6C57C3CE" wp14:editId="24C7285F">
                      <wp:simplePos x="0" y="0"/>
                      <wp:positionH relativeFrom="column">
                        <wp:posOffset>2061210</wp:posOffset>
                      </wp:positionH>
                      <wp:positionV relativeFrom="paragraph">
                        <wp:posOffset>24765</wp:posOffset>
                      </wp:positionV>
                      <wp:extent cx="161925" cy="152400"/>
                      <wp:effectExtent l="6350" t="6985" r="12700" b="12065"/>
                      <wp:wrapNone/>
                      <wp:docPr id="7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25564" id="Rectangle 206" o:spid="_x0000_s1026" style="position:absolute;margin-left:162.3pt;margin-top:1.95pt;width:12.75pt;height:1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"/>
                  </w:pict>
                </mc:Fallback>
              </mc:AlternateContent>
            </w:r>
            <w:r w:rsidR="006F76EB" w:rsidRPr="00834D52">
              <w:rPr>
                <w:rFonts w:ascii="Sylfaen" w:hAnsi="Sylfaen"/>
                <w:sz w:val="24"/>
                <w:szCs w:val="24"/>
              </w:rPr>
              <w:t xml:space="preserve">համապատասխանում է՝ ոչ </w:t>
            </w:r>
            <w:r w:rsidR="006F76EB" w:rsidRPr="00834D52">
              <w:rPr>
                <w:rFonts w:ascii="Sylfaen" w:hAnsi="Sylfaen"/>
                <w:sz w:val="24"/>
                <w:szCs w:val="24"/>
                <w:lang w:val="en-US"/>
              </w:rPr>
              <w:t xml:space="preserve">                  </w:t>
            </w:r>
            <w:r w:rsidR="006F76EB" w:rsidRPr="00834D52">
              <w:rPr>
                <w:rFonts w:ascii="Sylfaen" w:hAnsi="Sylfaen"/>
                <w:sz w:val="24"/>
                <w:szCs w:val="24"/>
              </w:rPr>
              <w:t>այո</w:t>
            </w:r>
          </w:p>
        </w:tc>
      </w:tr>
    </w:tbl>
    <w:p w14:paraId="76BF72CF" w14:textId="77777777" w:rsidR="006F76EB" w:rsidRPr="00834D52" w:rsidRDefault="006F76EB" w:rsidP="002A181E">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3.5.5.</w:t>
      </w:r>
      <w:r w:rsidRPr="00834D52">
        <w:rPr>
          <w:rFonts w:ascii="Sylfaen" w:hAnsi="Sylfaen"/>
          <w:sz w:val="24"/>
          <w:szCs w:val="24"/>
        </w:rPr>
        <w:tab/>
        <w:t xml:space="preserve">ԱԴԲ-ն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9A45747" w14:textId="77777777" w:rsidR="006F76EB" w:rsidRPr="007F5A60" w:rsidRDefault="006F76EB" w:rsidP="006F76E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ԱԴԲ-ի արտադրական գործընթացին մասնակցող բոլոր արտադրական հարթակները՝ նշելով արտադրության էտապը: Կենսաբանական </w:t>
      </w:r>
      <w:r w:rsidRPr="00834D52">
        <w:rPr>
          <w:rFonts w:ascii="Sylfaen" w:hAnsi="Sylfaen"/>
          <w:sz w:val="24"/>
          <w:szCs w:val="24"/>
        </w:rPr>
        <w:lastRenderedPageBreak/>
        <w:t xml:space="preserve">դեղապատրաստուկների համար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p w14:paraId="20B4FDCF" w14:textId="77777777" w:rsidR="002A181E" w:rsidRPr="007F5A60" w:rsidRDefault="002A181E" w:rsidP="006F76EB">
      <w:pPr>
        <w:spacing w:after="160" w:line="336" w:lineRule="auto"/>
        <w:ind w:right="-6" w:firstLine="567"/>
        <w:jc w:val="both"/>
        <w:rPr>
          <w:rFonts w:ascii="Sylfaen" w:eastAsia="Times New Roman" w:hAnsi="Sylfaen" w:cs="Times New Roman"/>
          <w:sz w:val="24"/>
          <w:szCs w:val="24"/>
        </w:rPr>
      </w:pP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3DC31E2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A79BED2"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 ակտիվ դեղաբանական բաղադրամասը</w:t>
            </w:r>
          </w:p>
        </w:tc>
        <w:tc>
          <w:tcPr>
            <w:tcW w:w="3653" w:type="dxa"/>
            <w:tcBorders>
              <w:top w:val="single" w:sz="4" w:space="0" w:color="000000"/>
              <w:left w:val="single" w:sz="4" w:space="0" w:color="000000"/>
              <w:bottom w:val="single" w:sz="4" w:space="0" w:color="000000"/>
              <w:right w:val="single" w:sz="4" w:space="0" w:color="000000"/>
            </w:tcBorders>
          </w:tcPr>
          <w:p w14:paraId="0B9A6937" w14:textId="77777777" w:rsidR="006F76EB" w:rsidRPr="00834D52" w:rsidRDefault="006F76EB" w:rsidP="002A181E">
            <w:pPr>
              <w:spacing w:after="120" w:line="240" w:lineRule="auto"/>
              <w:ind w:right="-6"/>
              <w:rPr>
                <w:rFonts w:ascii="Sylfaen" w:hAnsi="Sylfaen"/>
                <w:sz w:val="24"/>
                <w:szCs w:val="24"/>
              </w:rPr>
            </w:pPr>
          </w:p>
        </w:tc>
      </w:tr>
      <w:tr w:rsidR="006F76EB" w:rsidRPr="00834D52" w14:paraId="46AB58C5"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1696ADC"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ֆիզիկական անձի ազգանունը, անունը, հայրանունը</w:t>
            </w:r>
          </w:p>
        </w:tc>
        <w:tc>
          <w:tcPr>
            <w:tcW w:w="3653" w:type="dxa"/>
            <w:tcBorders>
              <w:top w:val="single" w:sz="4" w:space="0" w:color="000000"/>
              <w:left w:val="single" w:sz="4" w:space="0" w:color="000000"/>
              <w:bottom w:val="single" w:sz="4" w:space="0" w:color="000000"/>
              <w:right w:val="single" w:sz="4" w:space="0" w:color="000000"/>
            </w:tcBorders>
          </w:tcPr>
          <w:p w14:paraId="44352A7A"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A56E2DB"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67969B0"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653" w:type="dxa"/>
            <w:tcBorders>
              <w:top w:val="single" w:sz="4" w:space="0" w:color="000000"/>
              <w:left w:val="single" w:sz="4" w:space="0" w:color="000000"/>
              <w:bottom w:val="single" w:sz="4" w:space="0" w:color="000000"/>
              <w:right w:val="single" w:sz="4" w:space="0" w:color="000000"/>
            </w:tcBorders>
          </w:tcPr>
          <w:p w14:paraId="6AD862E5" w14:textId="77777777" w:rsidR="006F76EB" w:rsidRPr="00834D52" w:rsidRDefault="006F76EB" w:rsidP="002A181E">
            <w:pPr>
              <w:spacing w:after="120" w:line="240" w:lineRule="auto"/>
              <w:ind w:right="-6"/>
              <w:rPr>
                <w:rFonts w:ascii="Sylfaen" w:hAnsi="Sylfaen"/>
                <w:sz w:val="24"/>
                <w:szCs w:val="24"/>
              </w:rPr>
            </w:pPr>
          </w:p>
        </w:tc>
      </w:tr>
      <w:tr w:rsidR="006F76EB" w:rsidRPr="00834D52" w14:paraId="28506F5A"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4249A22E"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3653" w:type="dxa"/>
            <w:tcBorders>
              <w:top w:val="single" w:sz="4" w:space="0" w:color="000000"/>
              <w:left w:val="single" w:sz="4" w:space="0" w:color="000000"/>
              <w:bottom w:val="single" w:sz="4" w:space="0" w:color="000000"/>
              <w:right w:val="single" w:sz="4" w:space="0" w:color="000000"/>
            </w:tcBorders>
          </w:tcPr>
          <w:p w14:paraId="1DDFA883"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E33C66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0CC874B"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316F198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1CE614BF"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734F669C"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53" w:type="dxa"/>
            <w:tcBorders>
              <w:top w:val="single" w:sz="4" w:space="0" w:color="000000"/>
              <w:left w:val="single" w:sz="4" w:space="0" w:color="000000"/>
              <w:bottom w:val="single" w:sz="4" w:space="0" w:color="000000"/>
              <w:right w:val="single" w:sz="4" w:space="0" w:color="000000"/>
            </w:tcBorders>
          </w:tcPr>
          <w:p w14:paraId="48205EEA" w14:textId="77777777" w:rsidR="006F76EB" w:rsidRPr="00834D52" w:rsidRDefault="006F76EB" w:rsidP="002A181E">
            <w:pPr>
              <w:spacing w:after="120" w:line="240" w:lineRule="auto"/>
              <w:ind w:right="-6"/>
              <w:rPr>
                <w:rFonts w:ascii="Sylfaen" w:hAnsi="Sylfaen"/>
                <w:sz w:val="24"/>
                <w:szCs w:val="24"/>
              </w:rPr>
            </w:pPr>
          </w:p>
        </w:tc>
      </w:tr>
    </w:tbl>
    <w:p w14:paraId="41B69FC7" w14:textId="6E715D35" w:rsidR="006F76EB" w:rsidRPr="00834D52" w:rsidRDefault="006F76EB" w:rsidP="00762F9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ԱԴԲ-ի համար կցե՛ք լիազորված անձի </w:t>
      </w:r>
      <w:r w:rsidR="0056496B">
        <w:rPr>
          <w:rFonts w:ascii="Sylfaen" w:hAnsi="Sylfaen"/>
          <w:sz w:val="24"/>
          <w:szCs w:val="24"/>
        </w:rPr>
        <w:t>դիմում</w:t>
      </w:r>
      <w:r w:rsidRPr="00834D52">
        <w:rPr>
          <w:rFonts w:ascii="Sylfaen" w:hAnsi="Sylfaen"/>
          <w:sz w:val="24"/>
          <w:szCs w:val="24"/>
        </w:rPr>
        <w:t xml:space="preserve">ը՝ սույն </w:t>
      </w:r>
      <w:r w:rsidR="0056496B">
        <w:rPr>
          <w:rFonts w:ascii="Sylfaen" w:hAnsi="Sylfaen"/>
          <w:sz w:val="24"/>
          <w:szCs w:val="24"/>
        </w:rPr>
        <w:t>դիմում</w:t>
      </w:r>
      <w:r w:rsidRPr="00834D52">
        <w:rPr>
          <w:rFonts w:ascii="Sylfaen" w:hAnsi="Sylfaen"/>
          <w:sz w:val="24"/>
          <w:szCs w:val="24"/>
        </w:rPr>
        <w:t xml:space="preserve">ի հավելվածի 5.5 ենթակետի համաձայն (կցե՛ք այն սխեման, որը ներառում է արտադրական գործընթացում ներգրավված տարբեր արտադրական հարթակների համար հաջորդականությունը </w:t>
      </w:r>
      <w:r w:rsidR="00C54D75">
        <w:rPr>
          <w:rFonts w:ascii="Sylfaen" w:hAnsi="Sylfaen"/>
          <w:sz w:val="24"/>
          <w:szCs w:val="24"/>
        </w:rPr>
        <w:t>և</w:t>
      </w:r>
      <w:r w:rsidRPr="00834D52">
        <w:rPr>
          <w:rFonts w:ascii="Sylfaen" w:hAnsi="Sylfaen"/>
          <w:sz w:val="24"/>
          <w:szCs w:val="24"/>
        </w:rPr>
        <w:t xml:space="preserve"> գործողությունները՝ ներառյալ բացթողման համար անհրաժեշտ հսկողությունը):</w:t>
      </w:r>
    </w:p>
    <w:p w14:paraId="161C7E92" w14:textId="77777777" w:rsidR="006F76EB" w:rsidRPr="00834D52" w:rsidRDefault="006F76EB" w:rsidP="00762F9B">
      <w:pPr>
        <w:spacing w:after="160" w:line="336" w:lineRule="auto"/>
        <w:ind w:right="-8"/>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 անցկացվել է Եվրասիական տնտեսական միության պատշաճ արտադրական գործունեության պահանջների կատարման մասով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3FC8108" w14:textId="77777777" w:rsidTr="00F71229">
        <w:tc>
          <w:tcPr>
            <w:tcW w:w="2268" w:type="dxa"/>
          </w:tcPr>
          <w:p w14:paraId="5E306261" w14:textId="3C0186B4"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49888" behindDoc="0" locked="0" layoutInCell="1" allowOverlap="1" wp14:anchorId="7DFFA8B3" wp14:editId="0F39EB38">
                      <wp:simplePos x="0" y="0"/>
                      <wp:positionH relativeFrom="column">
                        <wp:posOffset>515620</wp:posOffset>
                      </wp:positionH>
                      <wp:positionV relativeFrom="paragraph">
                        <wp:posOffset>38735</wp:posOffset>
                      </wp:positionV>
                      <wp:extent cx="161925" cy="152400"/>
                      <wp:effectExtent l="6985" t="5715" r="12065" b="13335"/>
                      <wp:wrapNone/>
                      <wp:docPr id="77"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4C1F8" id="Rectangle 233" o:spid="_x0000_s1026" style="position:absolute;margin-left:40.6pt;margin-top:3.05pt;width:12.75pt;height:1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013B1E0D" w14:textId="10CD4A11"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50912" behindDoc="0" locked="0" layoutInCell="1" allowOverlap="1" wp14:anchorId="53F7C666" wp14:editId="4AA0AB02">
                      <wp:simplePos x="0" y="0"/>
                      <wp:positionH relativeFrom="column">
                        <wp:posOffset>192405</wp:posOffset>
                      </wp:positionH>
                      <wp:positionV relativeFrom="paragraph">
                        <wp:posOffset>38735</wp:posOffset>
                      </wp:positionV>
                      <wp:extent cx="161925" cy="152400"/>
                      <wp:effectExtent l="9525" t="5715" r="9525" b="13335"/>
                      <wp:wrapNone/>
                      <wp:docPr id="7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59273" id="Rectangle 232" o:spid="_x0000_s1026" style="position:absolute;margin-left:15.15pt;margin-top:3.05pt;width:12.75pt;height:1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18EF057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ԱԴԲ-ի համար տրվել է Եվրոպական դեղագրքի մենագրությանը համապատասխանության սերտիֆիկատ</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24338A0" w14:textId="77777777" w:rsidTr="00F71229">
        <w:tc>
          <w:tcPr>
            <w:tcW w:w="2268" w:type="dxa"/>
          </w:tcPr>
          <w:p w14:paraId="24B1B1AD" w14:textId="71350C1C"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51936" behindDoc="0" locked="0" layoutInCell="1" allowOverlap="1" wp14:anchorId="63831C22" wp14:editId="49377FF7">
                      <wp:simplePos x="0" y="0"/>
                      <wp:positionH relativeFrom="column">
                        <wp:posOffset>515620</wp:posOffset>
                      </wp:positionH>
                      <wp:positionV relativeFrom="paragraph">
                        <wp:posOffset>38735</wp:posOffset>
                      </wp:positionV>
                      <wp:extent cx="161925" cy="152400"/>
                      <wp:effectExtent l="6985" t="6985" r="12065" b="12065"/>
                      <wp:wrapNone/>
                      <wp:docPr id="7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7D878" id="Rectangle 235" o:spid="_x0000_s1026" style="position:absolute;margin-left:40.6pt;margin-top:3.05pt;width:12.75pt;height:1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4FF9EE99" w14:textId="3C0AA446"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52960" behindDoc="0" locked="0" layoutInCell="1" allowOverlap="1" wp14:anchorId="37DB1F77" wp14:editId="74495339">
                      <wp:simplePos x="0" y="0"/>
                      <wp:positionH relativeFrom="column">
                        <wp:posOffset>192405</wp:posOffset>
                      </wp:positionH>
                      <wp:positionV relativeFrom="paragraph">
                        <wp:posOffset>38735</wp:posOffset>
                      </wp:positionV>
                      <wp:extent cx="161925" cy="152400"/>
                      <wp:effectExtent l="9525" t="6985" r="9525" b="12065"/>
                      <wp:wrapNone/>
                      <wp:docPr id="7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287DD" id="Rectangle 234" o:spid="_x0000_s1026" style="position:absolute;margin-left:15.15pt;margin-top:3.05pt;width:12.75pt;height:1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27E0322F" w14:textId="77777777" w:rsidR="006F76EB" w:rsidRPr="00834D52" w:rsidRDefault="006F76EB" w:rsidP="006F76EB">
      <w:pPr>
        <w:spacing w:after="160" w:line="360" w:lineRule="auto"/>
        <w:ind w:right="-8" w:firstLine="567"/>
        <w:rPr>
          <w:rFonts w:ascii="Sylfaen" w:hAnsi="Sylfaen"/>
          <w:sz w:val="24"/>
          <w:szCs w:val="24"/>
        </w:rPr>
      </w:pPr>
      <w:r w:rsidRPr="00834D52">
        <w:rPr>
          <w:rFonts w:ascii="Sylfaen" w:hAnsi="Sylfaen"/>
          <w:sz w:val="24"/>
          <w:szCs w:val="24"/>
        </w:rPr>
        <w:t>Եթե այո՝</w:t>
      </w:r>
    </w:p>
    <w:tbl>
      <w:tblPr>
        <w:tblW w:w="0" w:type="auto"/>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223A1042"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EF209AB"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653" w:type="dxa"/>
            <w:tcBorders>
              <w:top w:val="single" w:sz="4" w:space="0" w:color="000000"/>
              <w:left w:val="single" w:sz="4" w:space="0" w:color="000000"/>
              <w:bottom w:val="single" w:sz="4" w:space="0" w:color="000000"/>
              <w:right w:val="single" w:sz="4" w:space="0" w:color="000000"/>
            </w:tcBorders>
          </w:tcPr>
          <w:p w14:paraId="0669C1BC" w14:textId="77777777" w:rsidR="006F76EB" w:rsidRPr="00834D52" w:rsidRDefault="006F76EB" w:rsidP="00762F9B">
            <w:pPr>
              <w:spacing w:after="120" w:line="240" w:lineRule="auto"/>
              <w:ind w:right="-6"/>
              <w:rPr>
                <w:rFonts w:ascii="Sylfaen" w:hAnsi="Sylfaen"/>
                <w:sz w:val="24"/>
                <w:szCs w:val="24"/>
              </w:rPr>
            </w:pPr>
          </w:p>
        </w:tc>
      </w:tr>
      <w:tr w:rsidR="006F76EB" w:rsidRPr="00834D52" w14:paraId="477D503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88E67FB"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lastRenderedPageBreak/>
              <w:t>իրավաբանական անձի անվանումը կամ ձեռնարկատեր ֆիզիկական անձի (արտադրողի) ազգանունը, անունը, հայրանունը</w:t>
            </w:r>
          </w:p>
        </w:tc>
        <w:tc>
          <w:tcPr>
            <w:tcW w:w="3653" w:type="dxa"/>
            <w:tcBorders>
              <w:top w:val="single" w:sz="4" w:space="0" w:color="000000"/>
              <w:left w:val="single" w:sz="4" w:space="0" w:color="000000"/>
              <w:bottom w:val="single" w:sz="4" w:space="0" w:color="000000"/>
              <w:right w:val="single" w:sz="4" w:space="0" w:color="000000"/>
            </w:tcBorders>
          </w:tcPr>
          <w:p w14:paraId="7A37BDE7" w14:textId="77777777" w:rsidR="006F76EB" w:rsidRPr="00834D52" w:rsidRDefault="006F76EB" w:rsidP="00762F9B">
            <w:pPr>
              <w:spacing w:after="120" w:line="240" w:lineRule="auto"/>
              <w:ind w:right="-6"/>
              <w:rPr>
                <w:rFonts w:ascii="Sylfaen" w:hAnsi="Sylfaen"/>
                <w:sz w:val="24"/>
                <w:szCs w:val="24"/>
              </w:rPr>
            </w:pPr>
          </w:p>
        </w:tc>
      </w:tr>
      <w:tr w:rsidR="006F76EB" w:rsidRPr="00834D52" w14:paraId="3CCEBFB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D7A1249"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653" w:type="dxa"/>
            <w:tcBorders>
              <w:top w:val="single" w:sz="4" w:space="0" w:color="000000"/>
              <w:left w:val="single" w:sz="4" w:space="0" w:color="000000"/>
              <w:bottom w:val="single" w:sz="4" w:space="0" w:color="000000"/>
              <w:right w:val="single" w:sz="4" w:space="0" w:color="000000"/>
            </w:tcBorders>
          </w:tcPr>
          <w:p w14:paraId="3F1C53FC" w14:textId="77777777" w:rsidR="006F76EB" w:rsidRPr="00834D52" w:rsidRDefault="006F76EB" w:rsidP="00762F9B">
            <w:pPr>
              <w:spacing w:after="120" w:line="240" w:lineRule="auto"/>
              <w:ind w:right="-6"/>
              <w:rPr>
                <w:rFonts w:ascii="Sylfaen" w:hAnsi="Sylfaen"/>
                <w:sz w:val="24"/>
                <w:szCs w:val="24"/>
              </w:rPr>
            </w:pPr>
          </w:p>
        </w:tc>
      </w:tr>
      <w:tr w:rsidR="006F76EB" w:rsidRPr="00834D52" w14:paraId="44C1FCF6" w14:textId="77777777" w:rsidTr="00F71229">
        <w:tc>
          <w:tcPr>
            <w:tcW w:w="5957" w:type="dxa"/>
            <w:tcBorders>
              <w:top w:val="single" w:sz="4" w:space="0" w:color="000000"/>
              <w:left w:val="single" w:sz="4" w:space="0" w:color="000000"/>
              <w:bottom w:val="nil"/>
              <w:right w:val="single" w:sz="4" w:space="0" w:color="000000"/>
            </w:tcBorders>
          </w:tcPr>
          <w:p w14:paraId="629EA3A7"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653" w:type="dxa"/>
            <w:tcBorders>
              <w:top w:val="single" w:sz="4" w:space="0" w:color="000000"/>
              <w:left w:val="single" w:sz="4" w:space="0" w:color="000000"/>
              <w:bottom w:val="nil"/>
              <w:right w:val="single" w:sz="4" w:space="0" w:color="000000"/>
            </w:tcBorders>
          </w:tcPr>
          <w:p w14:paraId="7AF93061" w14:textId="77777777" w:rsidR="006F76EB" w:rsidRPr="00834D52" w:rsidRDefault="006F76EB" w:rsidP="00762F9B">
            <w:pPr>
              <w:spacing w:after="120" w:line="240" w:lineRule="auto"/>
              <w:ind w:right="-6"/>
              <w:rPr>
                <w:rFonts w:ascii="Sylfaen" w:hAnsi="Sylfaen"/>
                <w:sz w:val="24"/>
                <w:szCs w:val="24"/>
              </w:rPr>
            </w:pPr>
          </w:p>
        </w:tc>
      </w:tr>
    </w:tbl>
    <w:p w14:paraId="61124FC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կողմից անցկացվել է պատշաճ արտադրական գործունեության պահանջների կատարման մասով հարթակի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ACD95B4" w14:textId="77777777" w:rsidTr="00F71229">
        <w:tc>
          <w:tcPr>
            <w:tcW w:w="2268" w:type="dxa"/>
          </w:tcPr>
          <w:p w14:paraId="168C0434" w14:textId="5A078C5A"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53984" behindDoc="0" locked="0" layoutInCell="1" allowOverlap="1" wp14:anchorId="6C52ED46" wp14:editId="4C5E559F">
                      <wp:simplePos x="0" y="0"/>
                      <wp:positionH relativeFrom="column">
                        <wp:posOffset>515620</wp:posOffset>
                      </wp:positionH>
                      <wp:positionV relativeFrom="paragraph">
                        <wp:posOffset>38735</wp:posOffset>
                      </wp:positionV>
                      <wp:extent cx="161925" cy="152400"/>
                      <wp:effectExtent l="6985" t="13970" r="12065" b="5080"/>
                      <wp:wrapNone/>
                      <wp:docPr id="7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E16E7" id="Rectangle 237" o:spid="_x0000_s1026" style="position:absolute;margin-left:40.6pt;margin-top:3.05pt;width:12.75pt;height:1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489F01F" w14:textId="4CAE8040"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55008" behindDoc="0" locked="0" layoutInCell="1" allowOverlap="1" wp14:anchorId="4465767D" wp14:editId="56A9D71E">
                      <wp:simplePos x="0" y="0"/>
                      <wp:positionH relativeFrom="column">
                        <wp:posOffset>192405</wp:posOffset>
                      </wp:positionH>
                      <wp:positionV relativeFrom="paragraph">
                        <wp:posOffset>38735</wp:posOffset>
                      </wp:positionV>
                      <wp:extent cx="161925" cy="152400"/>
                      <wp:effectExtent l="9525" t="13970" r="9525" b="5080"/>
                      <wp:wrapNone/>
                      <wp:docPr id="72"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488D5" id="Rectangle 236" o:spid="_x0000_s1026" style="position:absolute;margin-left:15.15pt;margin-top:3.05pt;width:12.75pt;height:1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0BF4D5F6"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11" w:type="dxa"/>
        <w:tblInd w:w="109" w:type="dxa"/>
        <w:tblLayout w:type="fixed"/>
        <w:tblCellMar>
          <w:left w:w="0" w:type="dxa"/>
          <w:right w:w="0" w:type="dxa"/>
        </w:tblCellMar>
        <w:tblLook w:val="01E0" w:firstRow="1" w:lastRow="1" w:firstColumn="1" w:lastColumn="1" w:noHBand="0" w:noVBand="0"/>
      </w:tblPr>
      <w:tblGrid>
        <w:gridCol w:w="4259"/>
        <w:gridCol w:w="5352"/>
      </w:tblGrid>
      <w:tr w:rsidR="006F76EB" w:rsidRPr="00834D52" w14:paraId="4CF686D6"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4AC1015A"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352" w:type="dxa"/>
            <w:tcBorders>
              <w:top w:val="single" w:sz="4" w:space="0" w:color="000000"/>
              <w:left w:val="single" w:sz="4" w:space="0" w:color="000000"/>
              <w:bottom w:val="single" w:sz="4" w:space="0" w:color="000000"/>
              <w:right w:val="single" w:sz="4" w:space="0" w:color="000000"/>
            </w:tcBorders>
          </w:tcPr>
          <w:p w14:paraId="695DC25E"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716939C"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289F8EC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352" w:type="dxa"/>
            <w:tcBorders>
              <w:top w:val="single" w:sz="4" w:space="0" w:color="000000"/>
              <w:left w:val="single" w:sz="4" w:space="0" w:color="000000"/>
              <w:bottom w:val="single" w:sz="4" w:space="0" w:color="000000"/>
              <w:right w:val="single" w:sz="4" w:space="0" w:color="000000"/>
            </w:tcBorders>
          </w:tcPr>
          <w:p w14:paraId="0C35CD6D"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CA6ED6C"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08298651"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352" w:type="dxa"/>
            <w:tcBorders>
              <w:top w:val="single" w:sz="4" w:space="0" w:color="000000"/>
              <w:left w:val="single" w:sz="4" w:space="0" w:color="000000"/>
              <w:bottom w:val="single" w:sz="4" w:space="0" w:color="000000"/>
              <w:right w:val="single" w:sz="4" w:space="0" w:color="000000"/>
            </w:tcBorders>
          </w:tcPr>
          <w:p w14:paraId="3C127F3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F8BD03E"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1AEF018F"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5352" w:type="dxa"/>
            <w:tcBorders>
              <w:top w:val="single" w:sz="4" w:space="0" w:color="000000"/>
              <w:left w:val="single" w:sz="4" w:space="0" w:color="000000"/>
              <w:bottom w:val="single" w:sz="4" w:space="0" w:color="000000"/>
              <w:right w:val="single" w:sz="4" w:space="0" w:color="000000"/>
            </w:tcBorders>
          </w:tcPr>
          <w:p w14:paraId="5E1B7CB3"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8510733"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11C0C5F9"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352" w:type="dxa"/>
            <w:tcBorders>
              <w:top w:val="single" w:sz="4" w:space="0" w:color="000000"/>
              <w:left w:val="single" w:sz="4" w:space="0" w:color="000000"/>
              <w:bottom w:val="single" w:sz="4" w:space="0" w:color="000000"/>
              <w:right w:val="single" w:sz="4" w:space="0" w:color="000000"/>
            </w:tcBorders>
          </w:tcPr>
          <w:p w14:paraId="2B77A711" w14:textId="2B7C3F4D" w:rsidR="006F76EB" w:rsidRPr="00834D52" w:rsidRDefault="0037154C" w:rsidP="00BA3580">
            <w:pPr>
              <w:spacing w:after="120" w:line="240" w:lineRule="auto"/>
              <w:ind w:left="163"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56032" behindDoc="0" locked="0" layoutInCell="1" allowOverlap="1" wp14:anchorId="037F6E28" wp14:editId="59B26291">
                      <wp:simplePos x="0" y="0"/>
                      <wp:positionH relativeFrom="column">
                        <wp:posOffset>2117090</wp:posOffset>
                      </wp:positionH>
                      <wp:positionV relativeFrom="paragraph">
                        <wp:posOffset>72390</wp:posOffset>
                      </wp:positionV>
                      <wp:extent cx="161925" cy="152400"/>
                      <wp:effectExtent l="9525" t="12700" r="9525" b="6350"/>
                      <wp:wrapNone/>
                      <wp:docPr id="7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496C0" id="Rectangle 208" o:spid="_x0000_s1026" style="position:absolute;margin-left:166.7pt;margin-top:5.7pt;width:12.75pt;height:1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"/>
                  </w:pict>
                </mc:Fallback>
              </mc:AlternateContent>
            </w:r>
            <w:r>
              <w:rPr>
                <w:rFonts w:ascii="Sylfaen" w:hAnsi="Sylfaen"/>
                <w:noProof/>
                <w:sz w:val="24"/>
                <w:szCs w:val="24"/>
              </w:rPr>
              <mc:AlternateContent>
                <mc:Choice Requires="wps">
                  <w:drawing>
                    <wp:anchor distT="0" distB="0" distL="114300" distR="114300" simplePos="0" relativeHeight="251757056" behindDoc="0" locked="0" layoutInCell="1" allowOverlap="1" wp14:anchorId="4AB1B8B7" wp14:editId="37BF6C8A">
                      <wp:simplePos x="0" y="0"/>
                      <wp:positionH relativeFrom="column">
                        <wp:posOffset>2642235</wp:posOffset>
                      </wp:positionH>
                      <wp:positionV relativeFrom="paragraph">
                        <wp:posOffset>72390</wp:posOffset>
                      </wp:positionV>
                      <wp:extent cx="161925" cy="152400"/>
                      <wp:effectExtent l="10795" t="12700" r="8255" b="6350"/>
                      <wp:wrapNone/>
                      <wp:docPr id="7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4346D" id="Rectangle 209" o:spid="_x0000_s1026" style="position:absolute;margin-left:208.05pt;margin-top:5.7pt;width:12.75pt;height:1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"/>
                  </w:pict>
                </mc:Fallback>
              </mc:AlternateContent>
            </w:r>
            <w:r w:rsidR="006F76EB" w:rsidRPr="00834D52">
              <w:rPr>
                <w:rFonts w:ascii="Sylfaen" w:hAnsi="Sylfaen"/>
                <w:sz w:val="24"/>
                <w:szCs w:val="24"/>
              </w:rPr>
              <w:t>համապատասխանում է՝ ոչ</w:t>
            </w:r>
            <w:r w:rsidR="006F76EB" w:rsidRPr="00834D52">
              <w:rPr>
                <w:rFonts w:ascii="Sylfaen" w:hAnsi="Sylfaen"/>
                <w:sz w:val="24"/>
                <w:szCs w:val="24"/>
                <w:lang w:val="en-US"/>
              </w:rPr>
              <w:t xml:space="preserve">                      </w:t>
            </w:r>
            <w:r w:rsidR="006F76EB" w:rsidRPr="00834D52">
              <w:rPr>
                <w:rFonts w:ascii="Sylfaen" w:hAnsi="Sylfaen"/>
                <w:sz w:val="24"/>
                <w:szCs w:val="24"/>
              </w:rPr>
              <w:t xml:space="preserve"> այո</w:t>
            </w:r>
          </w:p>
        </w:tc>
      </w:tr>
    </w:tbl>
    <w:p w14:paraId="478E0911"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ԱԴԲ-ն արտադրողի մաստեր-ֆայլը՝</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68D99A0" w14:textId="77777777" w:rsidTr="00F71229">
        <w:tc>
          <w:tcPr>
            <w:tcW w:w="2268" w:type="dxa"/>
          </w:tcPr>
          <w:p w14:paraId="2EFEAD57" w14:textId="014F2E77"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58080" behindDoc="0" locked="0" layoutInCell="1" allowOverlap="1" wp14:anchorId="1F082990" wp14:editId="2AEDD69E">
                      <wp:simplePos x="0" y="0"/>
                      <wp:positionH relativeFrom="column">
                        <wp:posOffset>515620</wp:posOffset>
                      </wp:positionH>
                      <wp:positionV relativeFrom="paragraph">
                        <wp:posOffset>38735</wp:posOffset>
                      </wp:positionV>
                      <wp:extent cx="161925" cy="152400"/>
                      <wp:effectExtent l="6985" t="13335" r="12065" b="5715"/>
                      <wp:wrapNone/>
                      <wp:docPr id="6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5145C" id="Rectangle 239" o:spid="_x0000_s1026" style="position:absolute;margin-left:40.6pt;margin-top:3.05pt;width:12.75pt;height:1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7B4CA61D" w14:textId="72DB9B36"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59104" behindDoc="0" locked="0" layoutInCell="1" allowOverlap="1" wp14:anchorId="172F2E11" wp14:editId="53800F66">
                      <wp:simplePos x="0" y="0"/>
                      <wp:positionH relativeFrom="column">
                        <wp:posOffset>192405</wp:posOffset>
                      </wp:positionH>
                      <wp:positionV relativeFrom="paragraph">
                        <wp:posOffset>38735</wp:posOffset>
                      </wp:positionV>
                      <wp:extent cx="161925" cy="152400"/>
                      <wp:effectExtent l="9525" t="13335" r="9525" b="5715"/>
                      <wp:wrapNone/>
                      <wp:docPr id="6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CDDCF" id="Rectangle 238" o:spid="_x0000_s1026" style="position:absolute;margin-left:15.15pt;margin-top:3.05pt;width:12.75pt;height:1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414B68F7"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1E3C406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5069D68"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653" w:type="dxa"/>
            <w:tcBorders>
              <w:top w:val="single" w:sz="4" w:space="0" w:color="000000"/>
              <w:left w:val="single" w:sz="4" w:space="0" w:color="000000"/>
              <w:bottom w:val="single" w:sz="4" w:space="0" w:color="000000"/>
              <w:right w:val="single" w:sz="4" w:space="0" w:color="000000"/>
            </w:tcBorders>
          </w:tcPr>
          <w:p w14:paraId="69D151CE"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DCBF85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880615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ԱԴԲ-ն արտադրողի մաստեր-ֆայլի իրավատիրոջ անվանումը</w:t>
            </w:r>
          </w:p>
        </w:tc>
        <w:tc>
          <w:tcPr>
            <w:tcW w:w="3653" w:type="dxa"/>
            <w:tcBorders>
              <w:top w:val="single" w:sz="4" w:space="0" w:color="000000"/>
              <w:left w:val="single" w:sz="4" w:space="0" w:color="000000"/>
              <w:bottom w:val="single" w:sz="4" w:space="0" w:color="000000"/>
              <w:right w:val="single" w:sz="4" w:space="0" w:color="000000"/>
            </w:tcBorders>
          </w:tcPr>
          <w:p w14:paraId="402385AC" w14:textId="77777777" w:rsidR="006F76EB" w:rsidRPr="00834D52" w:rsidRDefault="006F76EB" w:rsidP="00BA3580">
            <w:pPr>
              <w:spacing w:after="120" w:line="240" w:lineRule="auto"/>
              <w:ind w:right="-6"/>
              <w:rPr>
                <w:rFonts w:ascii="Sylfaen" w:hAnsi="Sylfaen"/>
                <w:sz w:val="24"/>
                <w:szCs w:val="24"/>
              </w:rPr>
            </w:pPr>
          </w:p>
        </w:tc>
      </w:tr>
      <w:tr w:rsidR="006F76EB" w:rsidRPr="00834D52" w14:paraId="11203D4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50402AC"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ԱԴԲ-ն արտադրողի անվանումը, եթե նա տարբերվում է ԱԴԲ-ն արտադրողի մաստեր-ֆայլի իրավատիրոջից</w:t>
            </w:r>
          </w:p>
        </w:tc>
        <w:tc>
          <w:tcPr>
            <w:tcW w:w="3653" w:type="dxa"/>
            <w:tcBorders>
              <w:top w:val="single" w:sz="4" w:space="0" w:color="000000"/>
              <w:left w:val="single" w:sz="4" w:space="0" w:color="000000"/>
              <w:bottom w:val="single" w:sz="4" w:space="0" w:color="000000"/>
              <w:right w:val="single" w:sz="4" w:space="0" w:color="000000"/>
            </w:tcBorders>
          </w:tcPr>
          <w:p w14:paraId="05E72FC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E8E97E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1CDBCD26"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653" w:type="dxa"/>
            <w:tcBorders>
              <w:top w:val="single" w:sz="4" w:space="0" w:color="000000"/>
              <w:left w:val="single" w:sz="4" w:space="0" w:color="000000"/>
              <w:bottom w:val="single" w:sz="4" w:space="0" w:color="000000"/>
              <w:right w:val="single" w:sz="4" w:space="0" w:color="000000"/>
            </w:tcBorders>
          </w:tcPr>
          <w:p w14:paraId="3759E40D" w14:textId="77777777" w:rsidR="006F76EB" w:rsidRPr="00834D52" w:rsidRDefault="006F76EB" w:rsidP="00BA3580">
            <w:pPr>
              <w:spacing w:after="120" w:line="240" w:lineRule="auto"/>
              <w:ind w:right="-6"/>
              <w:rPr>
                <w:rFonts w:ascii="Sylfaen" w:hAnsi="Sylfaen"/>
                <w:sz w:val="24"/>
                <w:szCs w:val="24"/>
              </w:rPr>
            </w:pPr>
          </w:p>
        </w:tc>
      </w:tr>
    </w:tbl>
    <w:p w14:paraId="0F6514FD" w14:textId="57C39C7D"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տրվել է պատվաստանյութային հակածինի մաստեր-ֆայլի </w:t>
      </w:r>
      <w:r w:rsidRPr="00834D52">
        <w:rPr>
          <w:rFonts w:ascii="Sylfaen" w:hAnsi="Sylfaen"/>
          <w:sz w:val="24"/>
          <w:szCs w:val="24"/>
        </w:rPr>
        <w:lastRenderedPageBreak/>
        <w:t xml:space="preserve">սերտիֆիկատ (այսուհետ՝ ՊՀՄՖ), որն օգտագործվում է գրանցման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E7DBD75" w14:textId="77777777" w:rsidTr="00F71229">
        <w:tc>
          <w:tcPr>
            <w:tcW w:w="2268" w:type="dxa"/>
          </w:tcPr>
          <w:p w14:paraId="33E2F29F" w14:textId="75C93CEC"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60128" behindDoc="0" locked="0" layoutInCell="1" allowOverlap="1" wp14:anchorId="0806F0DC" wp14:editId="09073D59">
                      <wp:simplePos x="0" y="0"/>
                      <wp:positionH relativeFrom="column">
                        <wp:posOffset>515620</wp:posOffset>
                      </wp:positionH>
                      <wp:positionV relativeFrom="paragraph">
                        <wp:posOffset>38735</wp:posOffset>
                      </wp:positionV>
                      <wp:extent cx="161925" cy="152400"/>
                      <wp:effectExtent l="6985" t="6985" r="12065" b="12065"/>
                      <wp:wrapNone/>
                      <wp:docPr id="67"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73622" id="Rectangle 241" o:spid="_x0000_s1026" style="position:absolute;margin-left:40.6pt;margin-top:3.05pt;width:12.75pt;height:1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248286E5" w14:textId="7722D1B0"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61152" behindDoc="0" locked="0" layoutInCell="1" allowOverlap="1" wp14:anchorId="0D52E19F" wp14:editId="45736627">
                      <wp:simplePos x="0" y="0"/>
                      <wp:positionH relativeFrom="column">
                        <wp:posOffset>192405</wp:posOffset>
                      </wp:positionH>
                      <wp:positionV relativeFrom="paragraph">
                        <wp:posOffset>38735</wp:posOffset>
                      </wp:positionV>
                      <wp:extent cx="161925" cy="152400"/>
                      <wp:effectExtent l="9525" t="6985" r="9525" b="12065"/>
                      <wp:wrapNone/>
                      <wp:docPr id="6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82E4A" id="Rectangle 240" o:spid="_x0000_s1026" style="position:absolute;margin-left:15.15pt;margin-top:3.05pt;width:12.75pt;height:1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78DA092B" w14:textId="77777777" w:rsidR="00BA3580" w:rsidRDefault="00BA3580" w:rsidP="006F76EB">
      <w:pPr>
        <w:spacing w:after="160" w:line="336" w:lineRule="auto"/>
        <w:ind w:right="-8" w:firstLine="567"/>
        <w:rPr>
          <w:rFonts w:ascii="Sylfaen" w:hAnsi="Sylfaen"/>
          <w:sz w:val="24"/>
          <w:szCs w:val="24"/>
          <w:lang w:val="en-US"/>
        </w:rPr>
      </w:pPr>
    </w:p>
    <w:p w14:paraId="5F9EA464"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928" w:type="dxa"/>
        <w:tblInd w:w="109" w:type="dxa"/>
        <w:tblLayout w:type="fixed"/>
        <w:tblCellMar>
          <w:left w:w="0" w:type="dxa"/>
          <w:right w:w="0" w:type="dxa"/>
        </w:tblCellMar>
        <w:tblLook w:val="01E0" w:firstRow="1" w:lastRow="1" w:firstColumn="1" w:lastColumn="1" w:noHBand="0" w:noVBand="0"/>
      </w:tblPr>
      <w:tblGrid>
        <w:gridCol w:w="6275"/>
        <w:gridCol w:w="3653"/>
      </w:tblGrid>
      <w:tr w:rsidR="006F76EB" w:rsidRPr="00834D52" w14:paraId="09F5FDBC"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64156E36"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պատվաստանյութային հակածինի անվանումը</w:t>
            </w:r>
          </w:p>
        </w:tc>
        <w:tc>
          <w:tcPr>
            <w:tcW w:w="3653" w:type="dxa"/>
            <w:tcBorders>
              <w:top w:val="single" w:sz="4" w:space="0" w:color="000000"/>
              <w:left w:val="single" w:sz="4" w:space="0" w:color="000000"/>
              <w:bottom w:val="single" w:sz="4" w:space="0" w:color="000000"/>
              <w:right w:val="single" w:sz="4" w:space="0" w:color="000000"/>
            </w:tcBorders>
          </w:tcPr>
          <w:p w14:paraId="2531FE50" w14:textId="77777777" w:rsidR="006F76EB" w:rsidRPr="00834D52" w:rsidRDefault="006F76EB" w:rsidP="00BA3580">
            <w:pPr>
              <w:spacing w:after="120" w:line="240" w:lineRule="auto"/>
              <w:ind w:right="-6"/>
              <w:rPr>
                <w:rFonts w:ascii="Sylfaen" w:hAnsi="Sylfaen"/>
                <w:sz w:val="24"/>
                <w:szCs w:val="24"/>
              </w:rPr>
            </w:pPr>
          </w:p>
        </w:tc>
      </w:tr>
      <w:tr w:rsidR="006F76EB" w:rsidRPr="00834D52" w14:paraId="18F2EFC4"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3D13D164"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պատվաստանյութային հակածինն արտադրողի (ՊՀՄՖ սերտիֆիկատին տիրապետողի) անվանումը</w:t>
            </w:r>
          </w:p>
        </w:tc>
        <w:tc>
          <w:tcPr>
            <w:tcW w:w="3653" w:type="dxa"/>
            <w:tcBorders>
              <w:top w:val="single" w:sz="4" w:space="0" w:color="000000"/>
              <w:left w:val="single" w:sz="4" w:space="0" w:color="000000"/>
              <w:bottom w:val="single" w:sz="4" w:space="0" w:color="000000"/>
              <w:right w:val="single" w:sz="4" w:space="0" w:color="000000"/>
            </w:tcBorders>
          </w:tcPr>
          <w:p w14:paraId="3C54B6BB" w14:textId="77777777" w:rsidR="006F76EB" w:rsidRPr="00834D52" w:rsidRDefault="006F76EB" w:rsidP="00BA3580">
            <w:pPr>
              <w:spacing w:after="120" w:line="240" w:lineRule="auto"/>
              <w:ind w:right="-6"/>
              <w:rPr>
                <w:rFonts w:ascii="Sylfaen" w:hAnsi="Sylfaen"/>
                <w:sz w:val="24"/>
                <w:szCs w:val="24"/>
              </w:rPr>
            </w:pPr>
          </w:p>
        </w:tc>
      </w:tr>
      <w:tr w:rsidR="006F76EB" w:rsidRPr="00834D52" w14:paraId="32A24A8D"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3AE4DEC9" w14:textId="60E9F252" w:rsidR="006F76EB" w:rsidRPr="00834D52" w:rsidRDefault="0056496B" w:rsidP="00BA3580">
            <w:pPr>
              <w:spacing w:after="120" w:line="240" w:lineRule="auto"/>
              <w:ind w:left="112"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(սերտիֆիկատի) համարը</w:t>
            </w:r>
          </w:p>
        </w:tc>
        <w:tc>
          <w:tcPr>
            <w:tcW w:w="3653" w:type="dxa"/>
            <w:tcBorders>
              <w:top w:val="single" w:sz="4" w:space="0" w:color="000000"/>
              <w:left w:val="single" w:sz="4" w:space="0" w:color="000000"/>
              <w:bottom w:val="single" w:sz="4" w:space="0" w:color="000000"/>
              <w:right w:val="single" w:sz="4" w:space="0" w:color="000000"/>
            </w:tcBorders>
          </w:tcPr>
          <w:p w14:paraId="7943A1C7"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FBABD97"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1712D56C"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3653" w:type="dxa"/>
            <w:tcBorders>
              <w:top w:val="single" w:sz="4" w:space="0" w:color="000000"/>
              <w:left w:val="single" w:sz="4" w:space="0" w:color="000000"/>
              <w:bottom w:val="single" w:sz="4" w:space="0" w:color="000000"/>
              <w:right w:val="single" w:sz="4" w:space="0" w:color="000000"/>
            </w:tcBorders>
          </w:tcPr>
          <w:p w14:paraId="48924DAD"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C4BB45D"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2A08183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առկա է)</w:t>
            </w:r>
          </w:p>
        </w:tc>
        <w:tc>
          <w:tcPr>
            <w:tcW w:w="3653" w:type="dxa"/>
            <w:tcBorders>
              <w:top w:val="single" w:sz="4" w:space="0" w:color="000000"/>
              <w:left w:val="single" w:sz="4" w:space="0" w:color="000000"/>
              <w:bottom w:val="single" w:sz="4" w:space="0" w:color="000000"/>
              <w:right w:val="single" w:sz="4" w:space="0" w:color="000000"/>
            </w:tcBorders>
          </w:tcPr>
          <w:p w14:paraId="13966920" w14:textId="77777777" w:rsidR="006F76EB" w:rsidRPr="00834D52" w:rsidRDefault="006F76EB" w:rsidP="00BA3580">
            <w:pPr>
              <w:spacing w:after="120" w:line="240" w:lineRule="auto"/>
              <w:ind w:right="-6"/>
              <w:rPr>
                <w:rFonts w:ascii="Sylfaen" w:hAnsi="Sylfaen"/>
                <w:sz w:val="24"/>
                <w:szCs w:val="24"/>
              </w:rPr>
            </w:pPr>
          </w:p>
        </w:tc>
      </w:tr>
    </w:tbl>
    <w:p w14:paraId="4F530F0E" w14:textId="77777777" w:rsidR="006F76EB" w:rsidRPr="00834D52" w:rsidRDefault="006F76EB" w:rsidP="00BA358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3.5.6.</w:t>
      </w:r>
      <w:r w:rsidRPr="00834D52">
        <w:rPr>
          <w:rFonts w:ascii="Sylfaen" w:hAnsi="Sylfaen"/>
          <w:sz w:val="24"/>
          <w:szCs w:val="24"/>
        </w:rPr>
        <w:tab/>
        <w:t xml:space="preserve">Պայմանագրային հետազոտական կազմակերպությունները, որոնք ներգրավվում են կենսամատչելիության </w:t>
      </w:r>
      <w:r w:rsidR="00C54D75">
        <w:rPr>
          <w:rFonts w:ascii="Sylfaen" w:hAnsi="Sylfaen"/>
          <w:sz w:val="24"/>
          <w:szCs w:val="24"/>
        </w:rPr>
        <w:t>և</w:t>
      </w:r>
      <w:r w:rsidRPr="00834D52">
        <w:rPr>
          <w:rFonts w:ascii="Sylfaen" w:hAnsi="Sylfaen"/>
          <w:sz w:val="24"/>
          <w:szCs w:val="24"/>
        </w:rPr>
        <w:t xml:space="preserve"> (կամ) կենսահամարժեքության որոշման համար կլինիկական հետազոտություններին, կամ որոնք ներգրավվել են արյան պատրաստուկների արտադրական գործընթացների վալիդացմանը</w:t>
      </w:r>
    </w:p>
    <w:p w14:paraId="40755990" w14:textId="77777777" w:rsidR="006F76EB" w:rsidRPr="00834D52" w:rsidRDefault="006F76EB" w:rsidP="006F76E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4E40AFC6"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70F9BC1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3653" w:type="dxa"/>
            <w:tcBorders>
              <w:top w:val="single" w:sz="4" w:space="0" w:color="000000"/>
              <w:left w:val="single" w:sz="4" w:space="0" w:color="000000"/>
              <w:bottom w:val="single" w:sz="4" w:space="0" w:color="000000"/>
              <w:right w:val="single" w:sz="4" w:space="0" w:color="000000"/>
            </w:tcBorders>
          </w:tcPr>
          <w:p w14:paraId="37B24CFF"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5DBB2E7"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2A4104E"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3653" w:type="dxa"/>
            <w:tcBorders>
              <w:top w:val="single" w:sz="4" w:space="0" w:color="000000"/>
              <w:left w:val="single" w:sz="4" w:space="0" w:color="000000"/>
              <w:bottom w:val="single" w:sz="4" w:space="0" w:color="000000"/>
              <w:right w:val="single" w:sz="4" w:space="0" w:color="000000"/>
            </w:tcBorders>
          </w:tcPr>
          <w:p w14:paraId="0B123DDB"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73A06F4"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686B3888"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EudraCT-ի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7464B9D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0E68B0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6829B21A"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ClinicalTrials.gov-ի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22A28C21" w14:textId="77777777" w:rsidR="006F76EB" w:rsidRPr="00834D52" w:rsidRDefault="006F76EB" w:rsidP="00BA3580">
            <w:pPr>
              <w:spacing w:after="120" w:line="240" w:lineRule="auto"/>
              <w:ind w:right="-6"/>
              <w:rPr>
                <w:rFonts w:ascii="Sylfaen" w:hAnsi="Sylfaen"/>
                <w:sz w:val="24"/>
                <w:szCs w:val="24"/>
              </w:rPr>
            </w:pPr>
          </w:p>
        </w:tc>
      </w:tr>
      <w:tr w:rsidR="006F76EB" w:rsidRPr="00834D52" w14:paraId="6F0FD4E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7717359"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3653" w:type="dxa"/>
            <w:tcBorders>
              <w:top w:val="single" w:sz="4" w:space="0" w:color="000000"/>
              <w:left w:val="single" w:sz="4" w:space="0" w:color="000000"/>
              <w:bottom w:val="single" w:sz="4" w:space="0" w:color="000000"/>
              <w:right w:val="single" w:sz="4" w:space="0" w:color="000000"/>
            </w:tcBorders>
          </w:tcPr>
          <w:p w14:paraId="16630051" w14:textId="77777777" w:rsidR="006F76EB" w:rsidRPr="00834D52" w:rsidRDefault="006F76EB" w:rsidP="00BA3580">
            <w:pPr>
              <w:spacing w:after="120" w:line="240" w:lineRule="auto"/>
              <w:ind w:right="-6"/>
              <w:rPr>
                <w:rFonts w:ascii="Sylfaen" w:hAnsi="Sylfaen"/>
                <w:sz w:val="24"/>
                <w:szCs w:val="24"/>
              </w:rPr>
            </w:pPr>
          </w:p>
        </w:tc>
      </w:tr>
      <w:tr w:rsidR="006F76EB" w:rsidRPr="00834D52" w14:paraId="7CBC5081"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4D669115" w14:textId="77777777" w:rsidR="006F76EB" w:rsidRPr="00834D52" w:rsidRDefault="006F76EB" w:rsidP="00BA3580">
            <w:pPr>
              <w:spacing w:after="120" w:line="240" w:lineRule="auto"/>
              <w:ind w:left="112" w:right="-6"/>
              <w:rPr>
                <w:rFonts w:ascii="Sylfaen" w:eastAsia="Times New Roman" w:hAnsi="Sylfaen" w:cs="Times New Roman"/>
                <w:sz w:val="24"/>
                <w:szCs w:val="24"/>
                <w:lang w:val="en-US"/>
              </w:rPr>
            </w:pPr>
            <w:r w:rsidRPr="00834D52">
              <w:rPr>
                <w:rFonts w:ascii="Sylfaen" w:hAnsi="Sylfaen"/>
                <w:sz w:val="24"/>
                <w:szCs w:val="24"/>
              </w:rPr>
              <w:t>պայմանագրային հետազոտական կազմակերպության հասցեն</w:t>
            </w:r>
          </w:p>
        </w:tc>
        <w:tc>
          <w:tcPr>
            <w:tcW w:w="3653" w:type="dxa"/>
            <w:tcBorders>
              <w:top w:val="single" w:sz="4" w:space="0" w:color="000000"/>
              <w:left w:val="single" w:sz="4" w:space="0" w:color="000000"/>
              <w:bottom w:val="single" w:sz="4" w:space="0" w:color="000000"/>
              <w:right w:val="single" w:sz="4" w:space="0" w:color="000000"/>
            </w:tcBorders>
          </w:tcPr>
          <w:p w14:paraId="72D8A84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4FDFBA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F69655D"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69628E67" w14:textId="77777777" w:rsidR="006F76EB" w:rsidRPr="00834D52" w:rsidRDefault="006F76EB" w:rsidP="00BA3580">
            <w:pPr>
              <w:spacing w:after="120" w:line="240" w:lineRule="auto"/>
              <w:ind w:right="-6"/>
              <w:rPr>
                <w:rFonts w:ascii="Sylfaen" w:hAnsi="Sylfaen"/>
                <w:sz w:val="24"/>
                <w:szCs w:val="24"/>
              </w:rPr>
            </w:pPr>
          </w:p>
        </w:tc>
      </w:tr>
      <w:tr w:rsidR="006F76EB" w:rsidRPr="00834D52" w14:paraId="42EEE4B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1EAC27A3"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53" w:type="dxa"/>
            <w:tcBorders>
              <w:top w:val="single" w:sz="4" w:space="0" w:color="000000"/>
              <w:left w:val="single" w:sz="4" w:space="0" w:color="000000"/>
              <w:bottom w:val="single" w:sz="4" w:space="0" w:color="000000"/>
              <w:right w:val="single" w:sz="4" w:space="0" w:color="000000"/>
            </w:tcBorders>
          </w:tcPr>
          <w:p w14:paraId="4D795641" w14:textId="77777777" w:rsidR="006F76EB" w:rsidRPr="00834D52" w:rsidRDefault="006F76EB" w:rsidP="00BA3580">
            <w:pPr>
              <w:spacing w:after="120" w:line="240" w:lineRule="auto"/>
              <w:ind w:right="-6"/>
              <w:rPr>
                <w:rFonts w:ascii="Sylfaen" w:hAnsi="Sylfaen"/>
                <w:sz w:val="24"/>
                <w:szCs w:val="24"/>
              </w:rPr>
            </w:pPr>
          </w:p>
        </w:tc>
      </w:tr>
    </w:tbl>
    <w:p w14:paraId="61C9FA6E" w14:textId="77777777" w:rsidR="006F76EB" w:rsidRPr="00834D52" w:rsidRDefault="006F76EB" w:rsidP="00BA358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1C992AA6" w14:textId="77777777" w:rsidR="006F76EB" w:rsidRPr="00834D52" w:rsidRDefault="006F76EB" w:rsidP="00BA3580">
      <w:pPr>
        <w:tabs>
          <w:tab w:val="left" w:pos="1701"/>
        </w:tabs>
        <w:spacing w:after="160" w:line="360" w:lineRule="auto"/>
        <w:ind w:right="1780" w:firstLine="567"/>
        <w:jc w:val="both"/>
        <w:rPr>
          <w:rFonts w:ascii="Sylfaen" w:eastAsia="Times New Roman" w:hAnsi="Sylfaen" w:cs="Times New Roman"/>
          <w:sz w:val="24"/>
          <w:szCs w:val="24"/>
        </w:rPr>
      </w:pPr>
      <w:r w:rsidRPr="00834D52">
        <w:rPr>
          <w:rFonts w:ascii="Sylfaen" w:hAnsi="Sylfaen"/>
          <w:sz w:val="24"/>
          <w:szCs w:val="24"/>
        </w:rPr>
        <w:lastRenderedPageBreak/>
        <w:t>3.6.1.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(ԱԴԲ-ն </w:t>
      </w:r>
      <w:r w:rsidR="00C54D75">
        <w:rPr>
          <w:rFonts w:ascii="Sylfaen" w:hAnsi="Sylfaen"/>
          <w:sz w:val="24"/>
          <w:szCs w:val="24"/>
        </w:rPr>
        <w:t>և</w:t>
      </w:r>
      <w:r w:rsidRPr="00834D52">
        <w:rPr>
          <w:rFonts w:ascii="Sylfaen" w:hAnsi="Sylfaen"/>
          <w:sz w:val="24"/>
          <w:szCs w:val="24"/>
        </w:rPr>
        <w:t xml:space="preserve"> օժանդակ նյութերը)</w:t>
      </w:r>
    </w:p>
    <w:p w14:paraId="3B05F03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նշել, թե որ միավորի հաշվով է բաղադրությունը (դոզավորված ձ</w:t>
      </w:r>
      <w:r w:rsidR="00C54D75">
        <w:rPr>
          <w:rFonts w:ascii="Sylfaen" w:hAnsi="Sylfaen"/>
          <w:sz w:val="24"/>
          <w:szCs w:val="24"/>
        </w:rPr>
        <w:t>և</w:t>
      </w:r>
      <w:r w:rsidRPr="00834D52">
        <w:rPr>
          <w:rFonts w:ascii="Sylfaen" w:hAnsi="Sylfaen"/>
          <w:sz w:val="24"/>
          <w:szCs w:val="24"/>
        </w:rPr>
        <w:t xml:space="preserve">ի միավորի, ծավալի միավորի, զանգվածի միավորի </w:t>
      </w:r>
      <w:r w:rsidR="00C54D75">
        <w:rPr>
          <w:rFonts w:ascii="Sylfaen" w:hAnsi="Sylfaen"/>
          <w:sz w:val="24"/>
          <w:szCs w:val="24"/>
        </w:rPr>
        <w:t>և</w:t>
      </w:r>
      <w:r w:rsidRPr="00834D52">
        <w:rPr>
          <w:rFonts w:ascii="Sylfaen" w:hAnsi="Sylfaen"/>
          <w:sz w:val="24"/>
          <w:szCs w:val="24"/>
        </w:rPr>
        <w:t xml:space="preserve"> այլն):</w:t>
      </w:r>
    </w:p>
    <w:p w14:paraId="6DDDDDA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Թվարկեք ԱԴԲ-ն՝ օժանդակ նյութերից առանձին</w:t>
      </w:r>
    </w:p>
    <w:tbl>
      <w:tblPr>
        <w:tblW w:w="9565" w:type="dxa"/>
        <w:tblInd w:w="222" w:type="dxa"/>
        <w:tblLayout w:type="fixed"/>
        <w:tblCellMar>
          <w:left w:w="0" w:type="dxa"/>
          <w:right w:w="0" w:type="dxa"/>
        </w:tblCellMar>
        <w:tblLook w:val="01E0" w:firstRow="1" w:lastRow="1" w:firstColumn="1" w:lastColumn="1" w:noHBand="0" w:noVBand="0"/>
      </w:tblPr>
      <w:tblGrid>
        <w:gridCol w:w="634"/>
        <w:gridCol w:w="2410"/>
        <w:gridCol w:w="3401"/>
        <w:gridCol w:w="1277"/>
        <w:gridCol w:w="1843"/>
      </w:tblGrid>
      <w:tr w:rsidR="006F76EB" w:rsidRPr="00834D52" w14:paraId="7B8EDF9B" w14:textId="77777777" w:rsidTr="0099364A">
        <w:trPr>
          <w:trHeight w:val="1524"/>
        </w:trPr>
        <w:tc>
          <w:tcPr>
            <w:tcW w:w="634" w:type="dxa"/>
            <w:tcBorders>
              <w:top w:val="single" w:sz="4" w:space="0" w:color="000000"/>
              <w:left w:val="single" w:sz="4" w:space="0" w:color="000000"/>
              <w:bottom w:val="single" w:sz="4" w:space="0" w:color="000000"/>
              <w:right w:val="single" w:sz="4" w:space="0" w:color="000000"/>
            </w:tcBorders>
            <w:vAlign w:val="center"/>
          </w:tcPr>
          <w:p w14:paraId="738E124E"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10" w:type="dxa"/>
            <w:tcBorders>
              <w:top w:val="single" w:sz="4" w:space="0" w:color="000000"/>
              <w:left w:val="single" w:sz="4" w:space="0" w:color="000000"/>
              <w:bottom w:val="single" w:sz="4" w:space="0" w:color="000000"/>
              <w:right w:val="single" w:sz="4" w:space="0" w:color="000000"/>
            </w:tcBorders>
            <w:vAlign w:val="center"/>
          </w:tcPr>
          <w:p w14:paraId="2C61403C"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ԱԴԲ-ի անվանումը </w:t>
            </w:r>
          </w:p>
        </w:tc>
        <w:tc>
          <w:tcPr>
            <w:tcW w:w="3401" w:type="dxa"/>
            <w:tcBorders>
              <w:top w:val="single" w:sz="4" w:space="0" w:color="000000"/>
              <w:left w:val="single" w:sz="4" w:space="0" w:color="000000"/>
              <w:bottom w:val="single" w:sz="4" w:space="0" w:color="000000"/>
              <w:right w:val="single" w:sz="4" w:space="0" w:color="000000"/>
            </w:tcBorders>
            <w:vAlign w:val="center"/>
          </w:tcPr>
          <w:p w14:paraId="29EA080D"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277" w:type="dxa"/>
            <w:tcBorders>
              <w:top w:val="single" w:sz="4" w:space="0" w:color="000000"/>
              <w:left w:val="single" w:sz="4" w:space="0" w:color="000000"/>
              <w:bottom w:val="single" w:sz="4" w:space="0" w:color="000000"/>
              <w:right w:val="single" w:sz="4" w:space="0" w:color="000000"/>
            </w:tcBorders>
            <w:vAlign w:val="center"/>
          </w:tcPr>
          <w:p w14:paraId="1243B4CA"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843" w:type="dxa"/>
            <w:tcBorders>
              <w:top w:val="single" w:sz="4" w:space="0" w:color="000000"/>
              <w:left w:val="single" w:sz="4" w:space="0" w:color="000000"/>
              <w:bottom w:val="single" w:sz="4" w:space="0" w:color="000000"/>
              <w:right w:val="single" w:sz="4" w:space="0" w:color="000000"/>
            </w:tcBorders>
            <w:vAlign w:val="center"/>
          </w:tcPr>
          <w:p w14:paraId="4A7B699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Հոդված (մենագրություն) </w:t>
            </w:r>
          </w:p>
        </w:tc>
      </w:tr>
      <w:tr w:rsidR="006F76EB" w:rsidRPr="00834D52" w14:paraId="10C05BC1" w14:textId="77777777" w:rsidTr="0099364A">
        <w:trPr>
          <w:trHeight w:val="1549"/>
        </w:trPr>
        <w:tc>
          <w:tcPr>
            <w:tcW w:w="634" w:type="dxa"/>
            <w:tcBorders>
              <w:top w:val="single" w:sz="4" w:space="0" w:color="000000"/>
              <w:left w:val="single" w:sz="4" w:space="0" w:color="000000"/>
              <w:bottom w:val="single" w:sz="4" w:space="0" w:color="000000"/>
              <w:right w:val="single" w:sz="4" w:space="0" w:color="000000"/>
            </w:tcBorders>
            <w:vAlign w:val="center"/>
          </w:tcPr>
          <w:p w14:paraId="33253306"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10" w:type="dxa"/>
            <w:tcBorders>
              <w:top w:val="single" w:sz="4" w:space="0" w:color="000000"/>
              <w:left w:val="single" w:sz="4" w:space="0" w:color="000000"/>
              <w:bottom w:val="single" w:sz="4" w:space="0" w:color="000000"/>
              <w:right w:val="single" w:sz="4" w:space="0" w:color="000000"/>
            </w:tcBorders>
            <w:vAlign w:val="center"/>
          </w:tcPr>
          <w:p w14:paraId="35232E71"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401" w:type="dxa"/>
            <w:tcBorders>
              <w:top w:val="single" w:sz="4" w:space="0" w:color="000000"/>
              <w:left w:val="single" w:sz="4" w:space="0" w:color="000000"/>
              <w:bottom w:val="single" w:sz="4" w:space="0" w:color="000000"/>
              <w:right w:val="single" w:sz="4" w:space="0" w:color="000000"/>
            </w:tcBorders>
            <w:vAlign w:val="center"/>
          </w:tcPr>
          <w:p w14:paraId="21B986E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277" w:type="dxa"/>
            <w:tcBorders>
              <w:top w:val="single" w:sz="4" w:space="0" w:color="000000"/>
              <w:left w:val="single" w:sz="4" w:space="0" w:color="000000"/>
              <w:bottom w:val="single" w:sz="4" w:space="0" w:color="000000"/>
              <w:right w:val="single" w:sz="4" w:space="0" w:color="000000"/>
            </w:tcBorders>
            <w:vAlign w:val="center"/>
          </w:tcPr>
          <w:p w14:paraId="657954A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843" w:type="dxa"/>
            <w:tcBorders>
              <w:top w:val="single" w:sz="4" w:space="0" w:color="000000"/>
              <w:left w:val="single" w:sz="4" w:space="0" w:color="000000"/>
              <w:bottom w:val="single" w:sz="4" w:space="0" w:color="000000"/>
              <w:right w:val="single" w:sz="4" w:space="0" w:color="000000"/>
            </w:tcBorders>
            <w:vAlign w:val="center"/>
          </w:tcPr>
          <w:p w14:paraId="7AB1C430"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bl>
    <w:p w14:paraId="3E8CA765"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Ծանոթագրություն. Յուրաքանչյուր ԱԴԲ-ի համար միայն մեկ անվանում պետք</w:t>
      </w:r>
      <w:r w:rsidRPr="00A97FD7">
        <w:rPr>
          <w:rFonts w:ascii="Sylfaen" w:hAnsi="Sylfaen"/>
          <w:spacing w:val="-4"/>
          <w:sz w:val="24"/>
          <w:szCs w:val="24"/>
        </w:rPr>
        <w:t> </w:t>
      </w:r>
      <w:r w:rsidRPr="00834D52">
        <w:rPr>
          <w:rFonts w:ascii="Sylfaen" w:hAnsi="Sylfaen"/>
          <w:spacing w:val="-4"/>
          <w:sz w:val="24"/>
          <w:szCs w:val="24"/>
        </w:rPr>
        <w:t>է նշել հետ</w:t>
      </w:r>
      <w:r w:rsidR="00C54D75">
        <w:rPr>
          <w:rFonts w:ascii="Sylfaen" w:hAnsi="Sylfaen"/>
          <w:spacing w:val="-4"/>
          <w:sz w:val="24"/>
          <w:szCs w:val="24"/>
        </w:rPr>
        <w:t>և</w:t>
      </w:r>
      <w:r w:rsidRPr="00834D52">
        <w:rPr>
          <w:rFonts w:ascii="Sylfaen" w:hAnsi="Sylfaen"/>
          <w:spacing w:val="-4"/>
          <w:sz w:val="24"/>
          <w:szCs w:val="24"/>
        </w:rPr>
        <w:t>յալ հաջորդականությամբ՝ ՄՉԱ-ն, *անվանումը՝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 հիմնական դեղագրքերի), համընդհանուր կամ խմբային անվանումը, գիտական (քիմիական) անունը:</w:t>
      </w:r>
    </w:p>
    <w:p w14:paraId="34FEB4F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9"/>
        <w:t>Չի թույլատրվում ավելցուկի մասին տեղեկությունները նշել բաղադրությանը վերաբերող սյունակներում, դրանք անհրաժեշտ է շարադրել ստոր</w:t>
      </w:r>
      <w:r w:rsidR="00C54D75">
        <w:rPr>
          <w:rFonts w:ascii="Sylfaen" w:hAnsi="Sylfaen"/>
          <w:sz w:val="24"/>
          <w:szCs w:val="24"/>
        </w:rPr>
        <w:t>և</w:t>
      </w:r>
      <w:r w:rsidRPr="00834D52">
        <w:rPr>
          <w:rFonts w:ascii="Sylfaen" w:hAnsi="Sylfaen"/>
          <w:sz w:val="24"/>
          <w:szCs w:val="24"/>
        </w:rPr>
        <w:t>՝</w:t>
      </w:r>
    </w:p>
    <w:tbl>
      <w:tblPr>
        <w:tblW w:w="9577" w:type="dxa"/>
        <w:tblInd w:w="109" w:type="dxa"/>
        <w:tblLayout w:type="fixed"/>
        <w:tblCellMar>
          <w:left w:w="0" w:type="dxa"/>
          <w:right w:w="0" w:type="dxa"/>
        </w:tblCellMar>
        <w:tblLook w:val="01E0" w:firstRow="1" w:lastRow="1" w:firstColumn="1" w:lastColumn="1" w:noHBand="0" w:noVBand="0"/>
      </w:tblPr>
      <w:tblGrid>
        <w:gridCol w:w="6219"/>
        <w:gridCol w:w="3358"/>
      </w:tblGrid>
      <w:tr w:rsidR="006F76EB" w:rsidRPr="00834D52" w14:paraId="157CD58E" w14:textId="77777777" w:rsidTr="0099364A">
        <w:trPr>
          <w:trHeight w:val="791"/>
        </w:trPr>
        <w:tc>
          <w:tcPr>
            <w:tcW w:w="6219" w:type="dxa"/>
            <w:tcBorders>
              <w:top w:val="single" w:sz="4" w:space="0" w:color="000000"/>
              <w:left w:val="single" w:sz="4" w:space="0" w:color="000000"/>
              <w:bottom w:val="single" w:sz="4" w:space="0" w:color="000000"/>
              <w:right w:val="single" w:sz="4" w:space="0" w:color="000000"/>
            </w:tcBorders>
          </w:tcPr>
          <w:p w14:paraId="2A7066EE" w14:textId="77777777" w:rsidR="006F76EB" w:rsidRPr="00834D52" w:rsidRDefault="006F76EB" w:rsidP="00714E9D">
            <w:pPr>
              <w:spacing w:after="0" w:line="240" w:lineRule="auto"/>
              <w:ind w:left="112"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w:t>
            </w:r>
          </w:p>
        </w:tc>
        <w:tc>
          <w:tcPr>
            <w:tcW w:w="3358" w:type="dxa"/>
            <w:tcBorders>
              <w:top w:val="single" w:sz="4" w:space="0" w:color="000000"/>
              <w:left w:val="single" w:sz="4" w:space="0" w:color="000000"/>
              <w:bottom w:val="single" w:sz="4" w:space="0" w:color="000000"/>
              <w:right w:val="single" w:sz="4" w:space="0" w:color="000000"/>
            </w:tcBorders>
          </w:tcPr>
          <w:p w14:paraId="35298916" w14:textId="77777777" w:rsidR="006F76EB" w:rsidRPr="00834D52" w:rsidRDefault="006F76EB" w:rsidP="00714E9D">
            <w:pPr>
              <w:spacing w:after="0" w:line="240" w:lineRule="auto"/>
              <w:ind w:right="-6"/>
              <w:rPr>
                <w:rFonts w:ascii="Sylfaen" w:hAnsi="Sylfaen"/>
                <w:sz w:val="24"/>
                <w:szCs w:val="24"/>
              </w:rPr>
            </w:pPr>
          </w:p>
        </w:tc>
      </w:tr>
      <w:tr w:rsidR="006F76EB" w:rsidRPr="00834D52" w14:paraId="39FA4040" w14:textId="77777777" w:rsidTr="0099364A">
        <w:trPr>
          <w:trHeight w:val="835"/>
        </w:trPr>
        <w:tc>
          <w:tcPr>
            <w:tcW w:w="6219" w:type="dxa"/>
            <w:tcBorders>
              <w:top w:val="single" w:sz="4" w:space="0" w:color="000000"/>
              <w:left w:val="single" w:sz="4" w:space="0" w:color="000000"/>
              <w:bottom w:val="single" w:sz="4" w:space="0" w:color="000000"/>
              <w:right w:val="single" w:sz="4" w:space="0" w:color="000000"/>
            </w:tcBorders>
          </w:tcPr>
          <w:p w14:paraId="711963C7" w14:textId="77777777" w:rsidR="006F76EB" w:rsidRPr="00834D52" w:rsidRDefault="006F76EB" w:rsidP="00714E9D">
            <w:pPr>
              <w:spacing w:after="0" w:line="240" w:lineRule="auto"/>
              <w:ind w:left="112" w:right="-6"/>
              <w:rPr>
                <w:rFonts w:ascii="Sylfaen" w:eastAsia="Times New Roman" w:hAnsi="Sylfaen" w:cs="Times New Roman"/>
                <w:sz w:val="24"/>
                <w:szCs w:val="24"/>
              </w:rPr>
            </w:pPr>
            <w:r w:rsidRPr="00834D52">
              <w:rPr>
                <w:rFonts w:ascii="Sylfaen" w:hAnsi="Sylfaen"/>
                <w:sz w:val="24"/>
                <w:szCs w:val="24"/>
              </w:rPr>
              <w:t>օժանդակ նյութ (եր)</w:t>
            </w:r>
          </w:p>
        </w:tc>
        <w:tc>
          <w:tcPr>
            <w:tcW w:w="3358" w:type="dxa"/>
            <w:tcBorders>
              <w:top w:val="single" w:sz="4" w:space="0" w:color="000000"/>
              <w:left w:val="single" w:sz="4" w:space="0" w:color="000000"/>
              <w:bottom w:val="single" w:sz="4" w:space="0" w:color="000000"/>
              <w:right w:val="single" w:sz="4" w:space="0" w:color="000000"/>
            </w:tcBorders>
          </w:tcPr>
          <w:p w14:paraId="7615B629" w14:textId="77777777" w:rsidR="006F76EB" w:rsidRPr="00834D52" w:rsidRDefault="006F76EB" w:rsidP="00714E9D">
            <w:pPr>
              <w:spacing w:after="0" w:line="240" w:lineRule="auto"/>
              <w:ind w:right="-6"/>
              <w:rPr>
                <w:rFonts w:ascii="Sylfaen" w:hAnsi="Sylfaen"/>
                <w:sz w:val="24"/>
                <w:szCs w:val="24"/>
              </w:rPr>
            </w:pPr>
          </w:p>
        </w:tc>
      </w:tr>
    </w:tbl>
    <w:p w14:paraId="507FACBE" w14:textId="77777777" w:rsidR="006F76EB" w:rsidRPr="00834D52" w:rsidRDefault="006F76EB" w:rsidP="00714E9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3.6.2.</w:t>
      </w:r>
      <w:r w:rsidRPr="00834D52">
        <w:rPr>
          <w:rFonts w:ascii="Sylfaen" w:hAnsi="Sylfaen"/>
          <w:sz w:val="24"/>
          <w:szCs w:val="24"/>
        </w:rPr>
        <w:tab/>
        <w:t xml:space="preserve">Կենդանական </w:t>
      </w:r>
      <w:r w:rsidR="00C54D75">
        <w:rPr>
          <w:rFonts w:ascii="Sylfaen" w:hAnsi="Sylfaen"/>
          <w:sz w:val="24"/>
          <w:szCs w:val="24"/>
        </w:rPr>
        <w:t>և</w:t>
      </w:r>
      <w:r w:rsidRPr="00834D52">
        <w:rPr>
          <w:rFonts w:ascii="Sylfaen" w:hAnsi="Sylfaen"/>
          <w:sz w:val="24"/>
          <w:szCs w:val="24"/>
        </w:rPr>
        <w:t xml:space="preserve"> (կամ) մարդկային ծագման այն նյութերի ցանկը, </w:t>
      </w:r>
      <w:r w:rsidRPr="00834D52">
        <w:rPr>
          <w:rFonts w:ascii="Sylfaen" w:hAnsi="Sylfaen"/>
          <w:sz w:val="24"/>
          <w:szCs w:val="24"/>
        </w:rPr>
        <w:lastRenderedPageBreak/>
        <w:t>որոնք դեղապատրաստուկի բաղադրության մաս են կազմում կամ կիրառվում են դրա արտադրության պրոցեսում</w:t>
      </w:r>
    </w:p>
    <w:p w14:paraId="4D12D887" w14:textId="1B106B77" w:rsidR="006F76EB" w:rsidRDefault="0037154C" w:rsidP="006F76EB">
      <w:pPr>
        <w:spacing w:after="160" w:line="360" w:lineRule="auto"/>
        <w:ind w:right="-6"/>
        <w:jc w:val="center"/>
        <w:rPr>
          <w:rFonts w:ascii="Sylfaen" w:hAnsi="Sylfae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62176" behindDoc="0" locked="0" layoutInCell="1" allowOverlap="1" wp14:anchorId="3FA63EFE" wp14:editId="7CE5E85E">
                <wp:simplePos x="0" y="0"/>
                <wp:positionH relativeFrom="column">
                  <wp:posOffset>2162175</wp:posOffset>
                </wp:positionH>
                <wp:positionV relativeFrom="paragraph">
                  <wp:posOffset>69215</wp:posOffset>
                </wp:positionV>
                <wp:extent cx="161925" cy="152400"/>
                <wp:effectExtent l="5080" t="6350" r="13970" b="12700"/>
                <wp:wrapNone/>
                <wp:docPr id="6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7DC32" id="Rectangle 210" o:spid="_x0000_s1026" style="position:absolute;margin-left:170.25pt;margin-top:5.45pt;width:12.75pt;height:1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"/>
            </w:pict>
          </mc:Fallback>
        </mc:AlternateContent>
      </w:r>
      <w:r w:rsidR="006F76EB" w:rsidRPr="00834D52">
        <w:rPr>
          <w:rFonts w:ascii="Sylfaen" w:hAnsi="Sylfaen"/>
          <w:sz w:val="24"/>
          <w:szCs w:val="24"/>
        </w:rPr>
        <w:t>առկա չեն</w:t>
      </w:r>
    </w:p>
    <w:p w14:paraId="67099546" w14:textId="77777777" w:rsidR="0099364A" w:rsidRPr="0099364A" w:rsidRDefault="0099364A" w:rsidP="006F76EB">
      <w:pPr>
        <w:spacing w:after="160" w:line="360" w:lineRule="auto"/>
        <w:ind w:right="-6"/>
        <w:jc w:val="center"/>
        <w:rPr>
          <w:rFonts w:ascii="Sylfaen" w:hAnsi="Sylfaen"/>
          <w:sz w:val="24"/>
          <w:szCs w:val="24"/>
          <w:lang w:val="en-US"/>
        </w:rPr>
      </w:pPr>
    </w:p>
    <w:tbl>
      <w:tblPr>
        <w:tblW w:w="9951" w:type="dxa"/>
        <w:tblInd w:w="5" w:type="dxa"/>
        <w:tblLayout w:type="fixed"/>
        <w:tblCellMar>
          <w:left w:w="0" w:type="dxa"/>
          <w:right w:w="0" w:type="dxa"/>
        </w:tblCellMar>
        <w:tblLook w:val="01E0" w:firstRow="1" w:lastRow="1" w:firstColumn="1" w:lastColumn="1" w:noHBand="0" w:noVBand="0"/>
      </w:tblPr>
      <w:tblGrid>
        <w:gridCol w:w="1437"/>
        <w:gridCol w:w="575"/>
        <w:gridCol w:w="575"/>
        <w:gridCol w:w="574"/>
        <w:gridCol w:w="1725"/>
        <w:gridCol w:w="1436"/>
        <w:gridCol w:w="1150"/>
        <w:gridCol w:w="2479"/>
      </w:tblGrid>
      <w:tr w:rsidR="006F76EB" w:rsidRPr="00834D52" w14:paraId="40AEF8B4" w14:textId="77777777" w:rsidTr="00FB13FE">
        <w:trPr>
          <w:trHeight w:val="2040"/>
        </w:trPr>
        <w:tc>
          <w:tcPr>
            <w:tcW w:w="1437" w:type="dxa"/>
            <w:tcBorders>
              <w:top w:val="single" w:sz="4" w:space="0" w:color="000000"/>
              <w:left w:val="single" w:sz="4" w:space="0" w:color="000000"/>
              <w:bottom w:val="single" w:sz="4" w:space="0" w:color="000000"/>
              <w:right w:val="single" w:sz="4" w:space="0" w:color="000000"/>
            </w:tcBorders>
            <w:vAlign w:val="center"/>
          </w:tcPr>
          <w:p w14:paraId="75B07D49"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Անունը</w:t>
            </w:r>
          </w:p>
        </w:tc>
        <w:tc>
          <w:tcPr>
            <w:tcW w:w="1724" w:type="dxa"/>
            <w:gridSpan w:val="3"/>
            <w:tcBorders>
              <w:top w:val="single" w:sz="4" w:space="0" w:color="000000"/>
              <w:left w:val="single" w:sz="4" w:space="0" w:color="000000"/>
              <w:bottom w:val="single" w:sz="4" w:space="0" w:color="000000"/>
              <w:right w:val="single" w:sz="4" w:space="0" w:color="000000"/>
            </w:tcBorders>
            <w:vAlign w:val="center"/>
          </w:tcPr>
          <w:p w14:paraId="0EC35814"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Գործառույթը</w:t>
            </w:r>
          </w:p>
        </w:tc>
        <w:tc>
          <w:tcPr>
            <w:tcW w:w="1725" w:type="dxa"/>
            <w:tcBorders>
              <w:top w:val="single" w:sz="4" w:space="0" w:color="000000"/>
              <w:left w:val="single" w:sz="4" w:space="0" w:color="000000"/>
              <w:bottom w:val="single" w:sz="4" w:space="0" w:color="000000"/>
              <w:right w:val="single" w:sz="4" w:space="0" w:color="000000"/>
            </w:tcBorders>
            <w:vAlign w:val="center"/>
          </w:tcPr>
          <w:p w14:paraId="7716A2CC"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ՏՍԷ-ի նկատմամբ զգայուն կենդանիներից</w:t>
            </w:r>
            <w:r w:rsidRPr="00834D52">
              <w:rPr>
                <w:rStyle w:val="FootnoteReference"/>
                <w:rFonts w:ascii="Sylfaen" w:hAnsi="Sylfaen"/>
                <w:sz w:val="20"/>
                <w:szCs w:val="20"/>
              </w:rPr>
              <w:footnoteReference w:customMarkFollows="1" w:id="20"/>
              <w:t>3</w:t>
            </w:r>
          </w:p>
        </w:tc>
        <w:tc>
          <w:tcPr>
            <w:tcW w:w="1436" w:type="dxa"/>
            <w:tcBorders>
              <w:top w:val="single" w:sz="4" w:space="0" w:color="000000"/>
              <w:left w:val="single" w:sz="4" w:space="0" w:color="000000"/>
              <w:bottom w:val="single" w:sz="4" w:space="0" w:color="000000"/>
              <w:right w:val="single" w:sz="4" w:space="0" w:color="000000"/>
            </w:tcBorders>
            <w:vAlign w:val="center"/>
          </w:tcPr>
          <w:p w14:paraId="3A705A68"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Այլ կենդանիներից</w:t>
            </w:r>
          </w:p>
        </w:tc>
        <w:tc>
          <w:tcPr>
            <w:tcW w:w="1150" w:type="dxa"/>
            <w:tcBorders>
              <w:top w:val="single" w:sz="4" w:space="0" w:color="000000"/>
              <w:left w:val="single" w:sz="4" w:space="0" w:color="000000"/>
              <w:bottom w:val="single" w:sz="4" w:space="0" w:color="000000"/>
              <w:right w:val="single" w:sz="4" w:space="0" w:color="000000"/>
            </w:tcBorders>
            <w:vAlign w:val="center"/>
          </w:tcPr>
          <w:p w14:paraId="034909A6"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Մարդկային ծագման</w:t>
            </w:r>
          </w:p>
        </w:tc>
        <w:tc>
          <w:tcPr>
            <w:tcW w:w="2479" w:type="dxa"/>
            <w:tcBorders>
              <w:top w:val="single" w:sz="4" w:space="0" w:color="000000"/>
              <w:left w:val="single" w:sz="4" w:space="0" w:color="000000"/>
              <w:bottom w:val="single" w:sz="4" w:space="0" w:color="000000"/>
              <w:right w:val="single" w:sz="4" w:space="0" w:color="000000"/>
            </w:tcBorders>
            <w:vAlign w:val="center"/>
          </w:tcPr>
          <w:p w14:paraId="2403CBD2"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w:t>
            </w:r>
            <w:r w:rsidRPr="00834D52">
              <w:rPr>
                <w:rFonts w:ascii="Sylfaen" w:hAnsi="Sylfaen"/>
                <w:sz w:val="20"/>
                <w:szCs w:val="20"/>
                <w:vertAlign w:val="superscript"/>
              </w:rPr>
              <w:t>3</w:t>
            </w:r>
            <w:r w:rsidRPr="00834D52">
              <w:rPr>
                <w:rFonts w:ascii="Sylfaen" w:hAnsi="Sylfaen"/>
                <w:sz w:val="20"/>
                <w:szCs w:val="20"/>
              </w:rPr>
              <w:t>-ի մասով Եվրոպական դեղագրքերի համապատասխանության սերտիֆիկատ (նշե՛ք համարը)</w:t>
            </w:r>
          </w:p>
        </w:tc>
      </w:tr>
      <w:tr w:rsidR="006F76EB" w:rsidRPr="00834D52" w14:paraId="317191BC"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1387F1D4"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6154FCB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ԱԴԲ</w:t>
            </w:r>
          </w:p>
        </w:tc>
        <w:tc>
          <w:tcPr>
            <w:tcW w:w="575" w:type="dxa"/>
            <w:tcBorders>
              <w:top w:val="single" w:sz="4" w:space="0" w:color="000000"/>
              <w:left w:val="single" w:sz="4" w:space="0" w:color="000000"/>
              <w:bottom w:val="single" w:sz="4" w:space="0" w:color="000000"/>
              <w:right w:val="single" w:sz="4" w:space="0" w:color="000000"/>
            </w:tcBorders>
          </w:tcPr>
          <w:p w14:paraId="14703394"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ՕՆ</w:t>
            </w:r>
            <w:r w:rsidRPr="00834D52">
              <w:rPr>
                <w:rStyle w:val="FootnoteReference"/>
                <w:rFonts w:ascii="Sylfaen" w:hAnsi="Sylfaen"/>
                <w:sz w:val="20"/>
                <w:szCs w:val="20"/>
              </w:rPr>
              <w:footnoteReference w:customMarkFollows="1" w:id="21"/>
              <w:t>1</w:t>
            </w:r>
          </w:p>
        </w:tc>
        <w:tc>
          <w:tcPr>
            <w:tcW w:w="574" w:type="dxa"/>
            <w:tcBorders>
              <w:top w:val="single" w:sz="4" w:space="0" w:color="000000"/>
              <w:left w:val="single" w:sz="4" w:space="0" w:color="000000"/>
              <w:bottom w:val="single" w:sz="4" w:space="0" w:color="000000"/>
              <w:right w:val="single" w:sz="4" w:space="0" w:color="000000"/>
            </w:tcBorders>
          </w:tcPr>
          <w:p w14:paraId="2F777D9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Ռ</w:t>
            </w:r>
            <w:r w:rsidRPr="00834D52">
              <w:rPr>
                <w:rStyle w:val="FootnoteReference"/>
                <w:rFonts w:ascii="Sylfaen" w:hAnsi="Sylfaen"/>
                <w:sz w:val="20"/>
                <w:szCs w:val="20"/>
              </w:rPr>
              <w:footnoteReference w:customMarkFollows="1" w:id="22"/>
              <w:t>2</w:t>
            </w:r>
          </w:p>
        </w:tc>
        <w:tc>
          <w:tcPr>
            <w:tcW w:w="1725" w:type="dxa"/>
            <w:tcBorders>
              <w:top w:val="single" w:sz="4" w:space="0" w:color="000000"/>
              <w:left w:val="single" w:sz="4" w:space="0" w:color="000000"/>
              <w:bottom w:val="single" w:sz="4" w:space="0" w:color="000000"/>
              <w:right w:val="single" w:sz="4" w:space="0" w:color="000000"/>
            </w:tcBorders>
          </w:tcPr>
          <w:p w14:paraId="161A1F57"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03310E66"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0C01FE9A"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3911F7B" w14:textId="77777777" w:rsidR="006F76EB" w:rsidRPr="00834D52" w:rsidRDefault="006F76EB" w:rsidP="0099364A">
            <w:pPr>
              <w:spacing w:after="120" w:line="240" w:lineRule="auto"/>
              <w:ind w:right="-6"/>
              <w:rPr>
                <w:rFonts w:ascii="Sylfaen" w:hAnsi="Sylfaen"/>
                <w:sz w:val="20"/>
                <w:szCs w:val="20"/>
              </w:rPr>
            </w:pPr>
          </w:p>
        </w:tc>
      </w:tr>
      <w:tr w:rsidR="006F76EB" w:rsidRPr="00834D52" w14:paraId="794E00D4" w14:textId="77777777" w:rsidTr="00FB13FE">
        <w:trPr>
          <w:trHeight w:val="528"/>
        </w:trPr>
        <w:tc>
          <w:tcPr>
            <w:tcW w:w="1437" w:type="dxa"/>
            <w:tcBorders>
              <w:top w:val="single" w:sz="4" w:space="0" w:color="000000"/>
              <w:left w:val="single" w:sz="4" w:space="0" w:color="000000"/>
              <w:bottom w:val="single" w:sz="4" w:space="0" w:color="000000"/>
              <w:right w:val="single" w:sz="4" w:space="0" w:color="000000"/>
            </w:tcBorders>
          </w:tcPr>
          <w:p w14:paraId="6CF09E9A"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1</w:t>
            </w:r>
          </w:p>
        </w:tc>
        <w:tc>
          <w:tcPr>
            <w:tcW w:w="575" w:type="dxa"/>
            <w:tcBorders>
              <w:top w:val="single" w:sz="4" w:space="0" w:color="000000"/>
              <w:left w:val="single" w:sz="4" w:space="0" w:color="000000"/>
              <w:bottom w:val="single" w:sz="4" w:space="0" w:color="000000"/>
              <w:right w:val="single" w:sz="4" w:space="0" w:color="000000"/>
            </w:tcBorders>
          </w:tcPr>
          <w:p w14:paraId="66017AD2"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61D1B450"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44FF3BBA"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0EA3202C"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2315E40B"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19DA4C58"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66AF9758" w14:textId="77777777" w:rsidR="006F76EB" w:rsidRPr="00834D52" w:rsidRDefault="006F76EB" w:rsidP="0099364A">
            <w:pPr>
              <w:spacing w:after="120" w:line="240" w:lineRule="auto"/>
              <w:ind w:right="-6"/>
              <w:rPr>
                <w:rFonts w:ascii="Sylfaen" w:hAnsi="Sylfaen"/>
                <w:sz w:val="20"/>
                <w:szCs w:val="20"/>
              </w:rPr>
            </w:pPr>
          </w:p>
        </w:tc>
      </w:tr>
      <w:tr w:rsidR="006F76EB" w:rsidRPr="00834D52" w14:paraId="2410355E"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4082BA81"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2</w:t>
            </w:r>
          </w:p>
        </w:tc>
        <w:tc>
          <w:tcPr>
            <w:tcW w:w="575" w:type="dxa"/>
            <w:tcBorders>
              <w:top w:val="single" w:sz="4" w:space="0" w:color="000000"/>
              <w:left w:val="single" w:sz="4" w:space="0" w:color="000000"/>
              <w:bottom w:val="single" w:sz="4" w:space="0" w:color="000000"/>
              <w:right w:val="single" w:sz="4" w:space="0" w:color="000000"/>
            </w:tcBorders>
          </w:tcPr>
          <w:p w14:paraId="7239B982"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2B8E977B"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85608DA"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379E4B64"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4EBF1E02"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14EF1509"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3306B9BC" w14:textId="77777777" w:rsidR="006F76EB" w:rsidRPr="00834D52" w:rsidRDefault="006F76EB" w:rsidP="0099364A">
            <w:pPr>
              <w:spacing w:after="120" w:line="240" w:lineRule="auto"/>
              <w:ind w:right="-6"/>
              <w:rPr>
                <w:rFonts w:ascii="Sylfaen" w:hAnsi="Sylfaen"/>
                <w:sz w:val="20"/>
                <w:szCs w:val="20"/>
              </w:rPr>
            </w:pPr>
          </w:p>
        </w:tc>
      </w:tr>
      <w:tr w:rsidR="006F76EB" w:rsidRPr="00834D52" w14:paraId="53CF5C07" w14:textId="77777777" w:rsidTr="00FB13FE">
        <w:trPr>
          <w:trHeight w:val="528"/>
        </w:trPr>
        <w:tc>
          <w:tcPr>
            <w:tcW w:w="1437" w:type="dxa"/>
            <w:tcBorders>
              <w:top w:val="single" w:sz="4" w:space="0" w:color="000000"/>
              <w:left w:val="single" w:sz="4" w:space="0" w:color="000000"/>
              <w:bottom w:val="single" w:sz="4" w:space="0" w:color="000000"/>
              <w:right w:val="single" w:sz="4" w:space="0" w:color="000000"/>
            </w:tcBorders>
          </w:tcPr>
          <w:p w14:paraId="1CDC295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3</w:t>
            </w:r>
          </w:p>
        </w:tc>
        <w:tc>
          <w:tcPr>
            <w:tcW w:w="575" w:type="dxa"/>
            <w:tcBorders>
              <w:top w:val="single" w:sz="4" w:space="0" w:color="000000"/>
              <w:left w:val="single" w:sz="4" w:space="0" w:color="000000"/>
              <w:bottom w:val="single" w:sz="4" w:space="0" w:color="000000"/>
              <w:right w:val="single" w:sz="4" w:space="0" w:color="000000"/>
            </w:tcBorders>
          </w:tcPr>
          <w:p w14:paraId="452AF8C6"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1C969BAC"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58DEE3DC"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79D8489C"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796672C4"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6A4DD132"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65F5F14" w14:textId="77777777" w:rsidR="006F76EB" w:rsidRPr="00834D52" w:rsidRDefault="006F76EB" w:rsidP="0099364A">
            <w:pPr>
              <w:spacing w:after="120" w:line="240" w:lineRule="auto"/>
              <w:ind w:right="-6"/>
              <w:rPr>
                <w:rFonts w:ascii="Sylfaen" w:hAnsi="Sylfaen"/>
                <w:sz w:val="20"/>
                <w:szCs w:val="20"/>
              </w:rPr>
            </w:pPr>
          </w:p>
        </w:tc>
      </w:tr>
      <w:tr w:rsidR="006F76EB" w:rsidRPr="00834D52" w14:paraId="219B8963"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550A699C"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w:t>
            </w:r>
          </w:p>
        </w:tc>
        <w:tc>
          <w:tcPr>
            <w:tcW w:w="575" w:type="dxa"/>
            <w:tcBorders>
              <w:top w:val="single" w:sz="4" w:space="0" w:color="000000"/>
              <w:left w:val="single" w:sz="4" w:space="0" w:color="000000"/>
              <w:bottom w:val="single" w:sz="4" w:space="0" w:color="000000"/>
              <w:right w:val="single" w:sz="4" w:space="0" w:color="000000"/>
            </w:tcBorders>
          </w:tcPr>
          <w:p w14:paraId="0B826330"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2423CFED"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0CEC8660"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68EBCB18"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38DB36BB"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4CCF63B2"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B30939B" w14:textId="77777777" w:rsidR="006F76EB" w:rsidRPr="00834D52" w:rsidRDefault="006F76EB" w:rsidP="0099364A">
            <w:pPr>
              <w:spacing w:after="120" w:line="240" w:lineRule="auto"/>
              <w:ind w:right="-6"/>
              <w:rPr>
                <w:rFonts w:ascii="Sylfaen" w:hAnsi="Sylfaen"/>
                <w:sz w:val="20"/>
                <w:szCs w:val="20"/>
              </w:rPr>
            </w:pPr>
          </w:p>
        </w:tc>
      </w:tr>
      <w:tr w:rsidR="006F76EB" w:rsidRPr="00834D52" w14:paraId="33384E73"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66F259E7"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7A6FE2EF"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3161D9DF"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1EFFAFC"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3E7C4726"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40C26016"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7BECF951"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D2583A6" w14:textId="77777777" w:rsidR="006F76EB" w:rsidRPr="00834D52" w:rsidRDefault="006F76EB" w:rsidP="0099364A">
            <w:pPr>
              <w:spacing w:after="120" w:line="240" w:lineRule="auto"/>
              <w:ind w:right="-6"/>
              <w:rPr>
                <w:rFonts w:ascii="Sylfaen" w:hAnsi="Sylfaen"/>
                <w:sz w:val="20"/>
                <w:szCs w:val="20"/>
              </w:rPr>
            </w:pPr>
          </w:p>
        </w:tc>
      </w:tr>
    </w:tbl>
    <w:p w14:paraId="12264EC6" w14:textId="77777777" w:rsidR="006F76EB" w:rsidRPr="00834D52" w:rsidRDefault="006F76EB" w:rsidP="00FB13F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Pr="00834D52">
        <w:rPr>
          <w:rFonts w:ascii="Sylfaen" w:hAnsi="Sylfaen"/>
          <w:sz w:val="24"/>
          <w:szCs w:val="24"/>
          <w:vertAlign w:val="superscript"/>
        </w:rPr>
        <w:t>3</w:t>
      </w:r>
      <w:r w:rsidRPr="00834D52">
        <w:rPr>
          <w:rFonts w:ascii="Sylfaen" w:hAnsi="Sylfaen"/>
          <w:sz w:val="24"/>
          <w:szCs w:val="24"/>
        </w:rPr>
        <w:t xml:space="preserve">-ի մասով Եվրոպական դեղագրքերի համապատասխանության սերտիֆիկատի կամ հումքի ծագման երկրի անասնաբուժական վերահսկողություն իրականացնող լիազորված մարմինների կողմից՝ երկրում (կլինիկական </w:t>
      </w:r>
      <w:r w:rsidR="00C54D75">
        <w:rPr>
          <w:rFonts w:ascii="Sylfaen" w:hAnsi="Sylfaen"/>
          <w:sz w:val="24"/>
          <w:szCs w:val="24"/>
        </w:rPr>
        <w:t>և</w:t>
      </w:r>
      <w:r w:rsidRPr="00834D52">
        <w:rPr>
          <w:rFonts w:ascii="Sylfaen" w:hAnsi="Sylfaen"/>
          <w:sz w:val="24"/>
          <w:szCs w:val="24"/>
        </w:rPr>
        <w:t xml:space="preserve"> լաբորատոր վերահսկողության արդյունքների հիման վրա) ՏՍԷ-ի դեպքերի գրանցման առնչությամբ տրված փաստաթղթի առկայությունը:</w:t>
      </w:r>
    </w:p>
    <w:p w14:paraId="62A8AFDC" w14:textId="0C8C82C2" w:rsidR="006F76EB" w:rsidRPr="00834D52" w:rsidRDefault="006F76EB" w:rsidP="00FB13FE">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3.6.3.</w:t>
      </w:r>
      <w:r w:rsidRPr="00834D52">
        <w:rPr>
          <w:rFonts w:ascii="Sylfaen" w:hAnsi="Sylfaen"/>
          <w:sz w:val="24"/>
          <w:szCs w:val="24"/>
        </w:rPr>
        <w:tab/>
        <w:t xml:space="preserve">Արդյոք տրամադրվել է պլազմայի մաստեր-ֆայլի սերտիֆիկատ </w:t>
      </w:r>
      <w:r w:rsidRPr="00834D52">
        <w:rPr>
          <w:rFonts w:ascii="Sylfaen" w:hAnsi="Sylfaen"/>
          <w:sz w:val="24"/>
          <w:szCs w:val="24"/>
        </w:rPr>
        <w:lastRenderedPageBreak/>
        <w:t xml:space="preserve">(այսուհետ՝ ՊՄՖ), որն օգտագործվում է տվյալ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1DAD7B5" w14:textId="77777777" w:rsidTr="00F71229">
        <w:tc>
          <w:tcPr>
            <w:tcW w:w="2268" w:type="dxa"/>
          </w:tcPr>
          <w:p w14:paraId="7C6F7205" w14:textId="014697CA"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63200" behindDoc="0" locked="0" layoutInCell="1" allowOverlap="1" wp14:anchorId="67CB72E2" wp14:editId="11C658BA">
                      <wp:simplePos x="0" y="0"/>
                      <wp:positionH relativeFrom="column">
                        <wp:posOffset>515620</wp:posOffset>
                      </wp:positionH>
                      <wp:positionV relativeFrom="paragraph">
                        <wp:posOffset>38735</wp:posOffset>
                      </wp:positionV>
                      <wp:extent cx="161925" cy="152400"/>
                      <wp:effectExtent l="6985" t="9525" r="12065" b="9525"/>
                      <wp:wrapNone/>
                      <wp:docPr id="6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D27E6" id="Rectangle 243" o:spid="_x0000_s1026" style="position:absolute;margin-left:40.6pt;margin-top:3.05pt;width:12.75pt;height:1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5A76279F" w14:textId="4DE2107B"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64224" behindDoc="0" locked="0" layoutInCell="1" allowOverlap="1" wp14:anchorId="0303356D" wp14:editId="2A59B0D8">
                      <wp:simplePos x="0" y="0"/>
                      <wp:positionH relativeFrom="column">
                        <wp:posOffset>192405</wp:posOffset>
                      </wp:positionH>
                      <wp:positionV relativeFrom="paragraph">
                        <wp:posOffset>38735</wp:posOffset>
                      </wp:positionV>
                      <wp:extent cx="161925" cy="152400"/>
                      <wp:effectExtent l="9525" t="9525" r="9525" b="9525"/>
                      <wp:wrapNone/>
                      <wp:docPr id="63"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83E02" id="Rectangle 242" o:spid="_x0000_s1026" style="position:absolute;margin-left:15.15pt;margin-top:3.05pt;width:12.75pt;height:1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4391DF2B" w14:textId="77777777" w:rsidR="00FB13FE" w:rsidRDefault="00FB13FE" w:rsidP="006F76EB">
      <w:pPr>
        <w:spacing w:after="160" w:line="360" w:lineRule="auto"/>
        <w:ind w:right="-8" w:firstLine="567"/>
        <w:rPr>
          <w:rFonts w:ascii="Sylfaen" w:hAnsi="Sylfaen"/>
          <w:sz w:val="24"/>
          <w:szCs w:val="24"/>
          <w:lang w:val="en-US"/>
        </w:rPr>
      </w:pPr>
    </w:p>
    <w:p w14:paraId="4E2B591A" w14:textId="77777777" w:rsidR="006F76EB"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4142"/>
        <w:gridCol w:w="1822"/>
        <w:gridCol w:w="1822"/>
        <w:gridCol w:w="1824"/>
      </w:tblGrid>
      <w:tr w:rsidR="006F76EB" w:rsidRPr="00834D52" w14:paraId="78596D47"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70061B2D"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նյութը (սուբստանցիան)՝ ՊՄՖ-ին արված հղումով</w:t>
            </w:r>
          </w:p>
        </w:tc>
        <w:tc>
          <w:tcPr>
            <w:tcW w:w="5468" w:type="dxa"/>
            <w:gridSpan w:val="3"/>
            <w:tcBorders>
              <w:top w:val="single" w:sz="4" w:space="0" w:color="000000"/>
              <w:left w:val="single" w:sz="4" w:space="0" w:color="000000"/>
              <w:bottom w:val="single" w:sz="4" w:space="0" w:color="000000"/>
              <w:right w:val="single" w:sz="4" w:space="0" w:color="000000"/>
            </w:tcBorders>
          </w:tcPr>
          <w:p w14:paraId="354D7A4B" w14:textId="77777777" w:rsidR="006F76EB" w:rsidRPr="00834D52" w:rsidRDefault="006F76EB" w:rsidP="00FB13FE">
            <w:pPr>
              <w:spacing w:after="120" w:line="240" w:lineRule="auto"/>
              <w:ind w:right="-6"/>
              <w:rPr>
                <w:rFonts w:ascii="Sylfaen" w:hAnsi="Sylfaen"/>
                <w:sz w:val="24"/>
                <w:szCs w:val="24"/>
              </w:rPr>
            </w:pPr>
          </w:p>
        </w:tc>
      </w:tr>
      <w:tr w:rsidR="006F76EB" w:rsidRPr="00834D52" w14:paraId="5139A98A" w14:textId="77777777" w:rsidTr="00F71229">
        <w:tc>
          <w:tcPr>
            <w:tcW w:w="4142" w:type="dxa"/>
            <w:vMerge w:val="restart"/>
            <w:tcBorders>
              <w:top w:val="single" w:sz="4" w:space="0" w:color="000000"/>
              <w:left w:val="single" w:sz="4" w:space="0" w:color="000000"/>
              <w:right w:val="single" w:sz="4" w:space="0" w:color="000000"/>
            </w:tcBorders>
          </w:tcPr>
          <w:p w14:paraId="19C23B6D"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գործառույթը</w:t>
            </w:r>
          </w:p>
        </w:tc>
        <w:tc>
          <w:tcPr>
            <w:tcW w:w="1822" w:type="dxa"/>
            <w:tcBorders>
              <w:top w:val="single" w:sz="4" w:space="0" w:color="000000"/>
              <w:left w:val="single" w:sz="4" w:space="0" w:color="000000"/>
              <w:bottom w:val="single" w:sz="4" w:space="0" w:color="000000"/>
              <w:right w:val="single" w:sz="4" w:space="0" w:color="000000"/>
            </w:tcBorders>
            <w:vAlign w:val="center"/>
          </w:tcPr>
          <w:p w14:paraId="4B6E772D"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ԱԴԲ-ն</w:t>
            </w:r>
          </w:p>
        </w:tc>
        <w:tc>
          <w:tcPr>
            <w:tcW w:w="1822" w:type="dxa"/>
            <w:tcBorders>
              <w:top w:val="single" w:sz="4" w:space="0" w:color="000000"/>
              <w:left w:val="single" w:sz="4" w:space="0" w:color="000000"/>
              <w:bottom w:val="single" w:sz="4" w:space="0" w:color="000000"/>
              <w:right w:val="single" w:sz="4" w:space="0" w:color="000000"/>
            </w:tcBorders>
            <w:vAlign w:val="center"/>
          </w:tcPr>
          <w:p w14:paraId="67DEC420"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23"/>
              <w:t>1</w:t>
            </w:r>
          </w:p>
        </w:tc>
        <w:tc>
          <w:tcPr>
            <w:tcW w:w="1824" w:type="dxa"/>
            <w:tcBorders>
              <w:top w:val="single" w:sz="4" w:space="0" w:color="000000"/>
              <w:left w:val="single" w:sz="4" w:space="0" w:color="000000"/>
              <w:bottom w:val="single" w:sz="4" w:space="0" w:color="000000"/>
              <w:right w:val="single" w:sz="4" w:space="0" w:color="000000"/>
            </w:tcBorders>
            <w:vAlign w:val="center"/>
          </w:tcPr>
          <w:p w14:paraId="6816E41A"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Ռ-ն</w:t>
            </w:r>
            <w:r w:rsidRPr="00834D52">
              <w:rPr>
                <w:rStyle w:val="FootnoteReference"/>
                <w:rFonts w:ascii="Sylfaen" w:hAnsi="Sylfaen"/>
                <w:sz w:val="24"/>
                <w:szCs w:val="24"/>
              </w:rPr>
              <w:footnoteReference w:customMarkFollows="1" w:id="24"/>
              <w:t>2</w:t>
            </w:r>
          </w:p>
        </w:tc>
      </w:tr>
      <w:tr w:rsidR="006F76EB" w:rsidRPr="00834D52" w14:paraId="7B148ACC" w14:textId="77777777" w:rsidTr="00F71229">
        <w:tc>
          <w:tcPr>
            <w:tcW w:w="4142" w:type="dxa"/>
            <w:vMerge/>
            <w:tcBorders>
              <w:left w:val="single" w:sz="4" w:space="0" w:color="000000"/>
              <w:bottom w:val="single" w:sz="4" w:space="0" w:color="000000"/>
              <w:right w:val="single" w:sz="4" w:space="0" w:color="000000"/>
            </w:tcBorders>
          </w:tcPr>
          <w:p w14:paraId="2C29E2C8" w14:textId="77777777" w:rsidR="006F76EB" w:rsidRPr="00834D52" w:rsidRDefault="006F76EB" w:rsidP="00FB13FE">
            <w:pPr>
              <w:spacing w:after="120" w:line="240" w:lineRule="auto"/>
              <w:ind w:left="112" w:right="-6"/>
              <w:rPr>
                <w:rFonts w:ascii="Sylfaen" w:eastAsia="Times New Roman" w:hAnsi="Sylfaen" w:cs="Times New Roma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5DEDEFB7" w14:textId="77777777" w:rsidR="006F76EB" w:rsidRPr="00834D52" w:rsidRDefault="006F76EB" w:rsidP="00FB13FE">
            <w:pPr>
              <w:spacing w:after="120" w:line="240" w:lineRule="auto"/>
              <w:ind w:right="-6"/>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0C123040" w14:textId="77777777" w:rsidR="006F76EB" w:rsidRPr="00834D52" w:rsidRDefault="006F76EB" w:rsidP="00FB13FE">
            <w:pPr>
              <w:spacing w:after="120" w:line="240" w:lineRule="auto"/>
              <w:ind w:right="-6"/>
              <w:rPr>
                <w:rFonts w:ascii="Sylfaen" w:hAnsi="Sylfaen"/>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0D1C8E3" w14:textId="77777777" w:rsidR="006F76EB" w:rsidRPr="00834D52" w:rsidRDefault="006F76EB" w:rsidP="00FB13FE">
            <w:pPr>
              <w:spacing w:after="120" w:line="240" w:lineRule="auto"/>
              <w:ind w:right="-6"/>
              <w:rPr>
                <w:rFonts w:ascii="Sylfaen" w:hAnsi="Sylfaen"/>
                <w:sz w:val="24"/>
                <w:szCs w:val="24"/>
              </w:rPr>
            </w:pPr>
          </w:p>
        </w:tc>
      </w:tr>
      <w:tr w:rsidR="006F76EB" w:rsidRPr="00834D52" w14:paraId="66B35707"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E1DA83F" w14:textId="5641BAB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ՊՄՖ-ի տիրապետողի (</w:t>
            </w:r>
            <w:r w:rsidR="0056496B">
              <w:rPr>
                <w:rFonts w:ascii="Sylfaen" w:hAnsi="Sylfaen"/>
                <w:sz w:val="24"/>
                <w:szCs w:val="24"/>
              </w:rPr>
              <w:t>դիմումատու</w:t>
            </w:r>
            <w:r w:rsidRPr="00834D52">
              <w:rPr>
                <w:rFonts w:ascii="Sylfaen" w:hAnsi="Sylfaen"/>
                <w:sz w:val="24"/>
                <w:szCs w:val="24"/>
              </w:rPr>
              <w:t>ի) անվանումը</w:t>
            </w:r>
          </w:p>
        </w:tc>
        <w:tc>
          <w:tcPr>
            <w:tcW w:w="5468" w:type="dxa"/>
            <w:gridSpan w:val="3"/>
            <w:tcBorders>
              <w:top w:val="single" w:sz="4" w:space="0" w:color="000000"/>
              <w:left w:val="single" w:sz="4" w:space="0" w:color="000000"/>
              <w:bottom w:val="single" w:sz="4" w:space="0" w:color="000000"/>
              <w:right w:val="single" w:sz="4" w:space="0" w:color="000000"/>
            </w:tcBorders>
          </w:tcPr>
          <w:p w14:paraId="32CC67B5" w14:textId="77777777" w:rsidR="006F76EB" w:rsidRPr="00834D52" w:rsidRDefault="006F76EB" w:rsidP="00FB13FE">
            <w:pPr>
              <w:spacing w:after="120" w:line="240" w:lineRule="auto"/>
              <w:ind w:right="-6"/>
              <w:rPr>
                <w:rFonts w:ascii="Sylfaen" w:hAnsi="Sylfaen"/>
                <w:sz w:val="24"/>
                <w:szCs w:val="24"/>
              </w:rPr>
            </w:pPr>
          </w:p>
        </w:tc>
      </w:tr>
      <w:tr w:rsidR="006F76EB" w:rsidRPr="00834D52" w14:paraId="32983DDF"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091EA44D" w14:textId="40F0A4ED"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Սերտիֆիկատի (</w:t>
            </w:r>
            <w:r w:rsidR="0056496B">
              <w:rPr>
                <w:rFonts w:ascii="Sylfaen" w:hAnsi="Sylfaen"/>
                <w:sz w:val="24"/>
                <w:szCs w:val="24"/>
              </w:rPr>
              <w:t>դիմում</w:t>
            </w:r>
            <w:r w:rsidRPr="00834D52">
              <w:rPr>
                <w:rFonts w:ascii="Sylfaen" w:hAnsi="Sylfaen"/>
                <w:sz w:val="24"/>
                <w:szCs w:val="24"/>
              </w:rPr>
              <w:t>ի) համարը</w:t>
            </w:r>
          </w:p>
        </w:tc>
        <w:tc>
          <w:tcPr>
            <w:tcW w:w="5468" w:type="dxa"/>
            <w:gridSpan w:val="3"/>
            <w:tcBorders>
              <w:top w:val="single" w:sz="4" w:space="0" w:color="000000"/>
              <w:left w:val="single" w:sz="4" w:space="0" w:color="000000"/>
              <w:bottom w:val="single" w:sz="4" w:space="0" w:color="000000"/>
              <w:right w:val="single" w:sz="4" w:space="0" w:color="000000"/>
            </w:tcBorders>
          </w:tcPr>
          <w:p w14:paraId="7791E201" w14:textId="77777777" w:rsidR="006F76EB" w:rsidRPr="00834D52" w:rsidRDefault="006F76EB" w:rsidP="00FB13FE">
            <w:pPr>
              <w:spacing w:after="120" w:line="240" w:lineRule="auto"/>
              <w:ind w:right="-6"/>
              <w:rPr>
                <w:rFonts w:ascii="Sylfaen" w:hAnsi="Sylfaen"/>
                <w:sz w:val="24"/>
                <w:szCs w:val="24"/>
              </w:rPr>
            </w:pPr>
          </w:p>
        </w:tc>
      </w:tr>
      <w:tr w:rsidR="006F76EB" w:rsidRPr="00834D52" w14:paraId="40A5E906"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58A5115" w14:textId="29A9CBFA" w:rsidR="006F76EB" w:rsidRPr="00834D52" w:rsidRDefault="0056496B" w:rsidP="00FB13FE">
            <w:pPr>
              <w:spacing w:after="120" w:line="240" w:lineRule="auto"/>
              <w:ind w:left="112"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ամսաթիվը (եթե քննարկման փուլում է գտնվում)</w:t>
            </w:r>
          </w:p>
        </w:tc>
        <w:tc>
          <w:tcPr>
            <w:tcW w:w="5468" w:type="dxa"/>
            <w:gridSpan w:val="3"/>
            <w:tcBorders>
              <w:top w:val="single" w:sz="4" w:space="0" w:color="000000"/>
              <w:left w:val="single" w:sz="4" w:space="0" w:color="000000"/>
              <w:bottom w:val="single" w:sz="4" w:space="0" w:color="000000"/>
              <w:right w:val="single" w:sz="4" w:space="0" w:color="000000"/>
            </w:tcBorders>
          </w:tcPr>
          <w:p w14:paraId="76554786" w14:textId="77777777" w:rsidR="006F76EB" w:rsidRPr="00834D52" w:rsidRDefault="006F76EB" w:rsidP="00FB13FE">
            <w:pPr>
              <w:spacing w:after="120" w:line="240" w:lineRule="auto"/>
              <w:ind w:right="-6"/>
              <w:rPr>
                <w:rFonts w:ascii="Sylfaen" w:hAnsi="Sylfaen"/>
                <w:sz w:val="24"/>
                <w:szCs w:val="24"/>
              </w:rPr>
            </w:pPr>
          </w:p>
        </w:tc>
      </w:tr>
      <w:tr w:rsidR="006F76EB" w:rsidRPr="00834D52" w14:paraId="503DCDA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7E96312"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սերտիֆիկատն առկա է)</w:t>
            </w:r>
          </w:p>
        </w:tc>
        <w:tc>
          <w:tcPr>
            <w:tcW w:w="5468" w:type="dxa"/>
            <w:gridSpan w:val="3"/>
            <w:tcBorders>
              <w:top w:val="single" w:sz="4" w:space="0" w:color="000000"/>
              <w:left w:val="single" w:sz="4" w:space="0" w:color="000000"/>
              <w:bottom w:val="single" w:sz="4" w:space="0" w:color="000000"/>
              <w:right w:val="single" w:sz="4" w:space="0" w:color="000000"/>
            </w:tcBorders>
          </w:tcPr>
          <w:p w14:paraId="0F8A85DB" w14:textId="77777777" w:rsidR="006F76EB" w:rsidRPr="00834D52" w:rsidRDefault="006F76EB" w:rsidP="00FB13FE">
            <w:pPr>
              <w:spacing w:after="120" w:line="240" w:lineRule="auto"/>
              <w:ind w:right="-6"/>
              <w:rPr>
                <w:rFonts w:ascii="Sylfaen" w:hAnsi="Sylfaen"/>
                <w:sz w:val="24"/>
                <w:szCs w:val="24"/>
              </w:rPr>
            </w:pPr>
          </w:p>
        </w:tc>
      </w:tr>
    </w:tbl>
    <w:p w14:paraId="6E06F76C" w14:textId="77777777" w:rsidR="006F76EB" w:rsidRPr="00834D52" w:rsidRDefault="006F76EB" w:rsidP="009D1C0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B325197" w14:textId="77777777" w:rsidTr="00F71229">
        <w:tc>
          <w:tcPr>
            <w:tcW w:w="2268" w:type="dxa"/>
          </w:tcPr>
          <w:p w14:paraId="1C4EEB30" w14:textId="0BC1217E"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65248" behindDoc="0" locked="0" layoutInCell="1" allowOverlap="1" wp14:anchorId="2D254A99" wp14:editId="0AFFA09B">
                      <wp:simplePos x="0" y="0"/>
                      <wp:positionH relativeFrom="column">
                        <wp:posOffset>515620</wp:posOffset>
                      </wp:positionH>
                      <wp:positionV relativeFrom="paragraph">
                        <wp:posOffset>38735</wp:posOffset>
                      </wp:positionV>
                      <wp:extent cx="161925" cy="152400"/>
                      <wp:effectExtent l="6985" t="8890" r="12065" b="10160"/>
                      <wp:wrapNone/>
                      <wp:docPr id="6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0BF90" id="Rectangle 245" o:spid="_x0000_s1026" style="position:absolute;margin-left:40.6pt;margin-top:3.05pt;width:12.75pt;height:1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AA15B25" w14:textId="6170697C"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66272" behindDoc="0" locked="0" layoutInCell="1" allowOverlap="1" wp14:anchorId="0AABABAD" wp14:editId="1B6A8B58">
                      <wp:simplePos x="0" y="0"/>
                      <wp:positionH relativeFrom="column">
                        <wp:posOffset>192405</wp:posOffset>
                      </wp:positionH>
                      <wp:positionV relativeFrom="paragraph">
                        <wp:posOffset>38735</wp:posOffset>
                      </wp:positionV>
                      <wp:extent cx="161925" cy="152400"/>
                      <wp:effectExtent l="9525" t="8890" r="9525" b="10160"/>
                      <wp:wrapNone/>
                      <wp:docPr id="61"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6A430" id="Rectangle 244" o:spid="_x0000_s1026" style="position:absolute;margin-left:15.15pt;margin-top:3.05pt;width:12.75pt;height:1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1470DBB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168B1A3" w14:textId="77777777" w:rsidTr="00F71229">
        <w:tc>
          <w:tcPr>
            <w:tcW w:w="2268" w:type="dxa"/>
          </w:tcPr>
          <w:p w14:paraId="48A97E07" w14:textId="326ACE22"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67296" behindDoc="0" locked="0" layoutInCell="1" allowOverlap="1" wp14:anchorId="76E5B907" wp14:editId="259A7AEE">
                      <wp:simplePos x="0" y="0"/>
                      <wp:positionH relativeFrom="column">
                        <wp:posOffset>515620</wp:posOffset>
                      </wp:positionH>
                      <wp:positionV relativeFrom="paragraph">
                        <wp:posOffset>38735</wp:posOffset>
                      </wp:positionV>
                      <wp:extent cx="161925" cy="152400"/>
                      <wp:effectExtent l="6985" t="10160" r="12065" b="8890"/>
                      <wp:wrapNone/>
                      <wp:docPr id="6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C4E2D" id="Rectangle 247" o:spid="_x0000_s1026" style="position:absolute;margin-left:40.6pt;margin-top:3.05pt;width:12.75pt;height:1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2954B321" w14:textId="2E567F76"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68320" behindDoc="0" locked="0" layoutInCell="1" allowOverlap="1" wp14:anchorId="65F82FB0" wp14:editId="398E977E">
                      <wp:simplePos x="0" y="0"/>
                      <wp:positionH relativeFrom="column">
                        <wp:posOffset>192405</wp:posOffset>
                      </wp:positionH>
                      <wp:positionV relativeFrom="paragraph">
                        <wp:posOffset>38735</wp:posOffset>
                      </wp:positionV>
                      <wp:extent cx="161925" cy="152400"/>
                      <wp:effectExtent l="9525" t="10160" r="9525" b="8890"/>
                      <wp:wrapNone/>
                      <wp:docPr id="5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40B09" id="Rectangle 246" o:spid="_x0000_s1026" style="position:absolute;margin-left:15.15pt;margin-top:3.05pt;width:12.75pt;height:1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187379FB" w14:textId="17ACCF7B" w:rsidR="006F76EB"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Կատարե՛ք անհրաժեշտ հղումը:</w:t>
      </w:r>
    </w:p>
    <w:p w14:paraId="7FA1ED66" w14:textId="45F982C0" w:rsidR="00F96F17" w:rsidRPr="00CD4709" w:rsidRDefault="00F96F17" w:rsidP="00F96F17">
      <w:pPr>
        <w:rPr>
          <w:b/>
          <w:bCs/>
          <w:i/>
          <w:iCs/>
        </w:rPr>
      </w:pPr>
      <w:r w:rsidRPr="00CD4709">
        <w:rPr>
          <w:b/>
          <w:bCs/>
          <w:i/>
          <w:iCs/>
        </w:rPr>
        <w:lastRenderedPageBreak/>
        <w:t>(</w:t>
      </w:r>
      <w:r>
        <w:rPr>
          <w:b/>
          <w:bCs/>
          <w:i/>
          <w:iCs/>
        </w:rPr>
        <w:t xml:space="preserve">3-րդ բաժինը </w:t>
      </w:r>
      <w:r w:rsidRPr="00CD4709">
        <w:rPr>
          <w:b/>
          <w:bCs/>
          <w:i/>
          <w:iCs/>
        </w:rPr>
        <w:t xml:space="preserve">փոփ. </w:t>
      </w:r>
      <w:r>
        <w:rPr>
          <w:b/>
          <w:bCs/>
          <w:i/>
          <w:iCs/>
        </w:rPr>
        <w:t>23.04.21 թիվ 34</w:t>
      </w:r>
      <w:r w:rsidRPr="00CD4709">
        <w:rPr>
          <w:b/>
          <w:bCs/>
          <w:i/>
          <w:iCs/>
        </w:rPr>
        <w:t>)</w:t>
      </w:r>
    </w:p>
    <w:p w14:paraId="5BA05528" w14:textId="77777777" w:rsidR="00F96F17" w:rsidRPr="00834D52" w:rsidRDefault="00F96F17" w:rsidP="006F76EB">
      <w:pPr>
        <w:spacing w:after="160" w:line="360" w:lineRule="auto"/>
        <w:ind w:right="-8" w:firstLine="567"/>
        <w:jc w:val="both"/>
        <w:rPr>
          <w:rFonts w:ascii="Sylfaen" w:eastAsia="Times New Roman" w:hAnsi="Sylfaen" w:cs="Times New Roman"/>
          <w:sz w:val="24"/>
          <w:szCs w:val="24"/>
        </w:rPr>
      </w:pPr>
    </w:p>
    <w:p w14:paraId="211B5BC4" w14:textId="77777777" w:rsidR="006F76EB" w:rsidRPr="00F96F17" w:rsidRDefault="006F76EB" w:rsidP="006F76EB">
      <w:pPr>
        <w:spacing w:after="160" w:line="360" w:lineRule="auto"/>
        <w:ind w:right="-8"/>
        <w:jc w:val="center"/>
        <w:rPr>
          <w:rFonts w:ascii="Sylfaen" w:hAnsi="Sylfaen"/>
          <w:sz w:val="24"/>
          <w:szCs w:val="24"/>
        </w:rPr>
      </w:pPr>
    </w:p>
    <w:p w14:paraId="319C2FE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4. Այլ տեղեկություններ</w:t>
      </w:r>
    </w:p>
    <w:p w14:paraId="4FE7094F" w14:textId="77777777" w:rsidR="006F76EB" w:rsidRPr="00834D52" w:rsidRDefault="006F76EB" w:rsidP="00D05A7F">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Պահպանվո՞ւմ են արդյոք դեղապատրաստուկի նկատմամբ մտավոր սեփականության իրավունքները Եվրասիական տնտեսական միության անդամ պետության տարածքում գործող արտոնագրերով՝</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A78A803" w14:textId="77777777" w:rsidTr="00F71229">
        <w:tc>
          <w:tcPr>
            <w:tcW w:w="2268" w:type="dxa"/>
          </w:tcPr>
          <w:p w14:paraId="6D5D0BB7" w14:textId="5C525C31"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69344" behindDoc="0" locked="0" layoutInCell="1" allowOverlap="1" wp14:anchorId="7D4A4D5F" wp14:editId="0F4B719D">
                      <wp:simplePos x="0" y="0"/>
                      <wp:positionH relativeFrom="column">
                        <wp:posOffset>515620</wp:posOffset>
                      </wp:positionH>
                      <wp:positionV relativeFrom="paragraph">
                        <wp:posOffset>38735</wp:posOffset>
                      </wp:positionV>
                      <wp:extent cx="161925" cy="152400"/>
                      <wp:effectExtent l="6985" t="8255" r="12065" b="10795"/>
                      <wp:wrapNone/>
                      <wp:docPr id="5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3D789" id="Rectangle 249" o:spid="_x0000_s1026" style="position:absolute;margin-left:40.6pt;margin-top:3.05pt;width:12.75pt;height:1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25975A87" w14:textId="247DE434"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70368" behindDoc="0" locked="0" layoutInCell="1" allowOverlap="1" wp14:anchorId="26873EEF" wp14:editId="18EBADF9">
                      <wp:simplePos x="0" y="0"/>
                      <wp:positionH relativeFrom="column">
                        <wp:posOffset>192405</wp:posOffset>
                      </wp:positionH>
                      <wp:positionV relativeFrom="paragraph">
                        <wp:posOffset>38735</wp:posOffset>
                      </wp:positionV>
                      <wp:extent cx="161925" cy="152400"/>
                      <wp:effectExtent l="9525" t="8255" r="9525" b="10795"/>
                      <wp:wrapNone/>
                      <wp:docPr id="5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A8D09" id="Rectangle 248" o:spid="_x0000_s1026" style="position:absolute;margin-left:15.15pt;margin-top:3.05pt;width:12.75pt;height:1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41D2530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տեղեկությունները՝</w:t>
      </w:r>
    </w:p>
    <w:tbl>
      <w:tblPr>
        <w:tblW w:w="9227" w:type="dxa"/>
        <w:tblInd w:w="102" w:type="dxa"/>
        <w:tblLayout w:type="fixed"/>
        <w:tblCellMar>
          <w:left w:w="0" w:type="dxa"/>
          <w:right w:w="0" w:type="dxa"/>
        </w:tblCellMar>
        <w:tblLook w:val="01E0" w:firstRow="1" w:lastRow="1" w:firstColumn="1" w:lastColumn="1" w:noHBand="0" w:noVBand="0"/>
      </w:tblPr>
      <w:tblGrid>
        <w:gridCol w:w="1841"/>
        <w:gridCol w:w="2272"/>
        <w:gridCol w:w="1563"/>
        <w:gridCol w:w="1705"/>
        <w:gridCol w:w="1846"/>
      </w:tblGrid>
      <w:tr w:rsidR="006F76EB" w:rsidRPr="00834D52" w14:paraId="40FDEFA0" w14:textId="77777777" w:rsidTr="00D05A7F">
        <w:trPr>
          <w:trHeight w:val="1358"/>
        </w:trPr>
        <w:tc>
          <w:tcPr>
            <w:tcW w:w="1841" w:type="dxa"/>
            <w:tcBorders>
              <w:top w:val="single" w:sz="4" w:space="0" w:color="000000"/>
              <w:left w:val="single" w:sz="4" w:space="0" w:color="000000"/>
              <w:bottom w:val="single" w:sz="4" w:space="0" w:color="000000"/>
              <w:right w:val="single" w:sz="4" w:space="0" w:color="000000"/>
            </w:tcBorders>
            <w:vAlign w:val="center"/>
          </w:tcPr>
          <w:p w14:paraId="3CC9235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72" w:type="dxa"/>
            <w:tcBorders>
              <w:top w:val="single" w:sz="4" w:space="0" w:color="000000"/>
              <w:left w:val="single" w:sz="4" w:space="0" w:color="000000"/>
              <w:bottom w:val="single" w:sz="4" w:space="0" w:color="000000"/>
              <w:right w:val="single" w:sz="4" w:space="0" w:color="000000"/>
            </w:tcBorders>
            <w:vAlign w:val="center"/>
          </w:tcPr>
          <w:p w14:paraId="0B5E9A7A"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563" w:type="dxa"/>
            <w:tcBorders>
              <w:top w:val="single" w:sz="4" w:space="0" w:color="000000"/>
              <w:left w:val="single" w:sz="4" w:space="0" w:color="000000"/>
              <w:bottom w:val="single" w:sz="4" w:space="0" w:color="000000"/>
              <w:right w:val="single" w:sz="4" w:space="0" w:color="000000"/>
            </w:tcBorders>
            <w:vAlign w:val="center"/>
          </w:tcPr>
          <w:p w14:paraId="4758FF2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05" w:type="dxa"/>
            <w:tcBorders>
              <w:top w:val="single" w:sz="4" w:space="0" w:color="000000"/>
              <w:left w:val="single" w:sz="4" w:space="0" w:color="000000"/>
              <w:bottom w:val="single" w:sz="4" w:space="0" w:color="000000"/>
              <w:right w:val="single" w:sz="4" w:space="0" w:color="000000"/>
            </w:tcBorders>
            <w:vAlign w:val="center"/>
          </w:tcPr>
          <w:p w14:paraId="3C425EC7"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6" w:type="dxa"/>
            <w:tcBorders>
              <w:top w:val="single" w:sz="4" w:space="0" w:color="000000"/>
              <w:left w:val="single" w:sz="4" w:space="0" w:color="000000"/>
              <w:bottom w:val="single" w:sz="4" w:space="0" w:color="000000"/>
              <w:right w:val="single" w:sz="4" w:space="0" w:color="000000"/>
            </w:tcBorders>
            <w:vAlign w:val="center"/>
          </w:tcPr>
          <w:p w14:paraId="593AD4A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տիրապետողը</w:t>
            </w:r>
          </w:p>
        </w:tc>
      </w:tr>
      <w:tr w:rsidR="006F76EB" w:rsidRPr="00834D52" w14:paraId="4DB0DF94" w14:textId="77777777" w:rsidTr="00D05A7F">
        <w:trPr>
          <w:trHeight w:val="551"/>
        </w:trPr>
        <w:tc>
          <w:tcPr>
            <w:tcW w:w="1841" w:type="dxa"/>
            <w:tcBorders>
              <w:top w:val="single" w:sz="4" w:space="0" w:color="000000"/>
              <w:left w:val="single" w:sz="4" w:space="0" w:color="000000"/>
              <w:bottom w:val="single" w:sz="4" w:space="0" w:color="000000"/>
              <w:right w:val="single" w:sz="4" w:space="0" w:color="000000"/>
            </w:tcBorders>
          </w:tcPr>
          <w:p w14:paraId="68DEB3D9" w14:textId="77777777" w:rsidR="006F76EB" w:rsidRPr="00834D52" w:rsidRDefault="006F76EB" w:rsidP="00D05A7F">
            <w:pPr>
              <w:spacing w:after="120" w:line="240" w:lineRule="auto"/>
              <w:ind w:right="-6"/>
              <w:rPr>
                <w:rFonts w:ascii="Sylfaen" w:hAnsi="Sylfae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42A68D29" w14:textId="77777777" w:rsidR="006F76EB" w:rsidRPr="00834D52" w:rsidRDefault="006F76EB" w:rsidP="00D05A7F">
            <w:pPr>
              <w:spacing w:after="120" w:line="240" w:lineRule="auto"/>
              <w:ind w:right="-6"/>
              <w:rPr>
                <w:rFonts w:ascii="Sylfaen" w:hAnsi="Sylfaen"/>
                <w:sz w:val="24"/>
                <w:szCs w:val="24"/>
              </w:rPr>
            </w:pPr>
          </w:p>
        </w:tc>
        <w:tc>
          <w:tcPr>
            <w:tcW w:w="1563" w:type="dxa"/>
            <w:tcBorders>
              <w:top w:val="single" w:sz="4" w:space="0" w:color="000000"/>
              <w:left w:val="single" w:sz="4" w:space="0" w:color="000000"/>
              <w:bottom w:val="single" w:sz="4" w:space="0" w:color="000000"/>
              <w:right w:val="single" w:sz="4" w:space="0" w:color="000000"/>
            </w:tcBorders>
          </w:tcPr>
          <w:p w14:paraId="0A822501" w14:textId="77777777" w:rsidR="006F76EB" w:rsidRPr="00834D52" w:rsidRDefault="006F76EB" w:rsidP="00D05A7F">
            <w:pPr>
              <w:spacing w:after="120" w:line="240" w:lineRule="auto"/>
              <w:ind w:right="-6"/>
              <w:rPr>
                <w:rFonts w:ascii="Sylfaen" w:hAnsi="Sylfaen"/>
                <w:sz w:val="24"/>
                <w:szCs w:val="24"/>
              </w:rPr>
            </w:pPr>
          </w:p>
        </w:tc>
        <w:tc>
          <w:tcPr>
            <w:tcW w:w="1705" w:type="dxa"/>
            <w:tcBorders>
              <w:top w:val="single" w:sz="4" w:space="0" w:color="000000"/>
              <w:left w:val="single" w:sz="4" w:space="0" w:color="000000"/>
              <w:bottom w:val="single" w:sz="4" w:space="0" w:color="000000"/>
              <w:right w:val="single" w:sz="4" w:space="0" w:color="000000"/>
            </w:tcBorders>
          </w:tcPr>
          <w:p w14:paraId="3DD2594D" w14:textId="77777777" w:rsidR="006F76EB" w:rsidRPr="00834D52" w:rsidRDefault="006F76EB" w:rsidP="00D05A7F">
            <w:pPr>
              <w:spacing w:after="120" w:line="240" w:lineRule="auto"/>
              <w:ind w:right="-6"/>
              <w:rPr>
                <w:rFonts w:ascii="Sylfaen" w:hAnsi="Sylfaen"/>
                <w:sz w:val="24"/>
                <w:szCs w:val="24"/>
              </w:rPr>
            </w:pPr>
          </w:p>
        </w:tc>
        <w:tc>
          <w:tcPr>
            <w:tcW w:w="1846" w:type="dxa"/>
            <w:tcBorders>
              <w:top w:val="single" w:sz="4" w:space="0" w:color="000000"/>
              <w:left w:val="single" w:sz="4" w:space="0" w:color="000000"/>
              <w:bottom w:val="single" w:sz="4" w:space="0" w:color="000000"/>
              <w:right w:val="single" w:sz="4" w:space="0" w:color="000000"/>
            </w:tcBorders>
          </w:tcPr>
          <w:p w14:paraId="49B8B2D1" w14:textId="77777777" w:rsidR="006F76EB" w:rsidRPr="00834D52" w:rsidRDefault="006F76EB" w:rsidP="00D05A7F">
            <w:pPr>
              <w:spacing w:after="120" w:line="240" w:lineRule="auto"/>
              <w:ind w:right="-6"/>
              <w:rPr>
                <w:rFonts w:ascii="Sylfaen" w:hAnsi="Sylfaen"/>
                <w:sz w:val="24"/>
                <w:szCs w:val="24"/>
              </w:rPr>
            </w:pPr>
          </w:p>
        </w:tc>
      </w:tr>
    </w:tbl>
    <w:p w14:paraId="157E20F0" w14:textId="5505D64F" w:rsidR="006F76EB" w:rsidRPr="00834D52" w:rsidRDefault="006F76EB" w:rsidP="00A86C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դեղապատրաստուկների գրանցման համար, որոնք հիմնվում են մտավոր սեփականության այն օբյեկտների վրա կամ առնչություն ունեն մտավոր սեփականության այն օբյեկտների հետ, որոնց համար, Եվրասիական տնտեսական միության անդամ պետության օրենսդրությանը համապատասխան, տրվել է արտոնագիր, </w:t>
      </w:r>
      <w:r w:rsidR="0056496B">
        <w:rPr>
          <w:rFonts w:ascii="Sylfaen" w:hAnsi="Sylfaen"/>
          <w:sz w:val="24"/>
          <w:szCs w:val="24"/>
        </w:rPr>
        <w:t>դիմումատու</w:t>
      </w:r>
      <w:r w:rsidRPr="00834D52">
        <w:rPr>
          <w:rFonts w:ascii="Sylfaen" w:hAnsi="Sylfaen"/>
          <w:sz w:val="24"/>
          <w:szCs w:val="24"/>
        </w:rPr>
        <w:t xml:space="preserve">ն տրամադրում է իր կողմից վավերացված՝ Եվրասիական տնտեսական միության անդամ պետության տարածքում գործող արտոնագրի կամ լիցենզիոն համաձայնագրի պատճենը, որը տալիս է գրանցված դեղապատրաստուկի արտադրության </w:t>
      </w:r>
      <w:r w:rsidR="00C54D75">
        <w:rPr>
          <w:rFonts w:ascii="Sylfaen" w:hAnsi="Sylfaen"/>
          <w:sz w:val="24"/>
          <w:szCs w:val="24"/>
        </w:rPr>
        <w:t>և</w:t>
      </w:r>
      <w:r w:rsidRPr="00834D52">
        <w:rPr>
          <w:rFonts w:ascii="Sylfaen" w:hAnsi="Sylfaen"/>
          <w:sz w:val="24"/>
          <w:szCs w:val="24"/>
        </w:rPr>
        <w:t xml:space="preserve"> վաճառքի իրավունք: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արտոնագրով պաշտպանվող կամ լիցենզիայով փոխանցվող մտավոր սեփականության իրավունքները չեն խախտվում դեղապատրաստուկի գրանցման պատճառով:</w:t>
      </w:r>
    </w:p>
    <w:p w14:paraId="22C24772" w14:textId="77777777" w:rsidR="006F76EB" w:rsidRPr="00834D52" w:rsidRDefault="006F76EB" w:rsidP="00A86C0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29A0834" w14:textId="77777777" w:rsidTr="00F71229">
        <w:tc>
          <w:tcPr>
            <w:tcW w:w="2268" w:type="dxa"/>
          </w:tcPr>
          <w:p w14:paraId="123B92FE" w14:textId="627BE4EC"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lastRenderedPageBreak/>
              <mc:AlternateContent>
                <mc:Choice Requires="wps">
                  <w:drawing>
                    <wp:anchor distT="0" distB="0" distL="114300" distR="114300" simplePos="0" relativeHeight="251771392" behindDoc="0" locked="0" layoutInCell="1" allowOverlap="1" wp14:anchorId="2D860F66" wp14:editId="4731F474">
                      <wp:simplePos x="0" y="0"/>
                      <wp:positionH relativeFrom="column">
                        <wp:posOffset>515620</wp:posOffset>
                      </wp:positionH>
                      <wp:positionV relativeFrom="paragraph">
                        <wp:posOffset>38735</wp:posOffset>
                      </wp:positionV>
                      <wp:extent cx="161925" cy="152400"/>
                      <wp:effectExtent l="6985" t="12700" r="12065" b="6350"/>
                      <wp:wrapNone/>
                      <wp:docPr id="5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69E5" id="Rectangle 251" o:spid="_x0000_s1026" style="position:absolute;margin-left:40.6pt;margin-top:3.05pt;width:12.75pt;height:1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282E50E" w14:textId="39A06996"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72416" behindDoc="0" locked="0" layoutInCell="1" allowOverlap="1" wp14:anchorId="0B0974DB" wp14:editId="31F5B152">
                      <wp:simplePos x="0" y="0"/>
                      <wp:positionH relativeFrom="column">
                        <wp:posOffset>192405</wp:posOffset>
                      </wp:positionH>
                      <wp:positionV relativeFrom="paragraph">
                        <wp:posOffset>38735</wp:posOffset>
                      </wp:positionV>
                      <wp:extent cx="161925" cy="152400"/>
                      <wp:effectExtent l="9525" t="12700" r="9525" b="6350"/>
                      <wp:wrapNone/>
                      <wp:docPr id="5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9B3AF" id="Rectangle 250" o:spid="_x0000_s1026" style="position:absolute;margin-left:15.15pt;margin-top:3.05pt;width:12.75pt;height:1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2A397C9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տեղեկությունները՝</w:t>
      </w:r>
    </w:p>
    <w:tbl>
      <w:tblPr>
        <w:tblW w:w="9325" w:type="dxa"/>
        <w:tblInd w:w="222" w:type="dxa"/>
        <w:tblLayout w:type="fixed"/>
        <w:tblCellMar>
          <w:left w:w="0" w:type="dxa"/>
          <w:right w:w="0" w:type="dxa"/>
        </w:tblCellMar>
        <w:tblLook w:val="01E0" w:firstRow="1" w:lastRow="1" w:firstColumn="1" w:lastColumn="1" w:noHBand="0" w:noVBand="0"/>
      </w:tblPr>
      <w:tblGrid>
        <w:gridCol w:w="1718"/>
        <w:gridCol w:w="2254"/>
        <w:gridCol w:w="1268"/>
        <w:gridCol w:w="1797"/>
        <w:gridCol w:w="2288"/>
      </w:tblGrid>
      <w:tr w:rsidR="006F76EB" w:rsidRPr="00834D52" w14:paraId="5A8E6E00" w14:textId="77777777" w:rsidTr="00337D8C">
        <w:trPr>
          <w:trHeight w:val="1417"/>
        </w:trPr>
        <w:tc>
          <w:tcPr>
            <w:tcW w:w="1718" w:type="dxa"/>
            <w:tcBorders>
              <w:top w:val="single" w:sz="4" w:space="0" w:color="000000"/>
              <w:left w:val="single" w:sz="4" w:space="0" w:color="000000"/>
              <w:bottom w:val="single" w:sz="4" w:space="0" w:color="000000"/>
              <w:right w:val="single" w:sz="4" w:space="0" w:color="000000"/>
            </w:tcBorders>
            <w:vAlign w:val="center"/>
          </w:tcPr>
          <w:p w14:paraId="7A6EAF68"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Վկայագրի համարը</w:t>
            </w:r>
          </w:p>
        </w:tc>
        <w:tc>
          <w:tcPr>
            <w:tcW w:w="2254" w:type="dxa"/>
            <w:tcBorders>
              <w:top w:val="single" w:sz="4" w:space="0" w:color="000000"/>
              <w:left w:val="single" w:sz="4" w:space="0" w:color="000000"/>
              <w:bottom w:val="single" w:sz="4" w:space="0" w:color="000000"/>
              <w:right w:val="single" w:sz="4" w:space="0" w:color="000000"/>
            </w:tcBorders>
            <w:vAlign w:val="center"/>
          </w:tcPr>
          <w:p w14:paraId="034C2C36"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268" w:type="dxa"/>
            <w:tcBorders>
              <w:top w:val="single" w:sz="4" w:space="0" w:color="000000"/>
              <w:left w:val="single" w:sz="4" w:space="0" w:color="000000"/>
              <w:bottom w:val="single" w:sz="4" w:space="0" w:color="000000"/>
              <w:right w:val="single" w:sz="4" w:space="0" w:color="000000"/>
            </w:tcBorders>
            <w:vAlign w:val="center"/>
          </w:tcPr>
          <w:p w14:paraId="1C48B7CF"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97" w:type="dxa"/>
            <w:tcBorders>
              <w:top w:val="single" w:sz="4" w:space="0" w:color="000000"/>
              <w:left w:val="single" w:sz="4" w:space="0" w:color="000000"/>
              <w:bottom w:val="single" w:sz="4" w:space="0" w:color="000000"/>
              <w:right w:val="single" w:sz="4" w:space="0" w:color="000000"/>
            </w:tcBorders>
            <w:vAlign w:val="center"/>
          </w:tcPr>
          <w:p w14:paraId="2CC04FC7"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2288" w:type="dxa"/>
            <w:tcBorders>
              <w:top w:val="single" w:sz="4" w:space="0" w:color="000000"/>
              <w:left w:val="single" w:sz="4" w:space="0" w:color="000000"/>
              <w:bottom w:val="single" w:sz="4" w:space="0" w:color="000000"/>
              <w:right w:val="single" w:sz="4" w:space="0" w:color="000000"/>
            </w:tcBorders>
            <w:vAlign w:val="center"/>
          </w:tcPr>
          <w:p w14:paraId="68C14C06" w14:textId="77777777" w:rsidR="006F76EB" w:rsidRPr="00834D52" w:rsidRDefault="006F76EB" w:rsidP="00337D8C">
            <w:pPr>
              <w:spacing w:after="120" w:line="240" w:lineRule="auto"/>
              <w:ind w:left="209" w:right="252"/>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5C8E19AC" w14:textId="77777777" w:rsidTr="00337D8C">
        <w:trPr>
          <w:trHeight w:val="598"/>
        </w:trPr>
        <w:tc>
          <w:tcPr>
            <w:tcW w:w="1718" w:type="dxa"/>
            <w:tcBorders>
              <w:top w:val="single" w:sz="4" w:space="0" w:color="000000"/>
              <w:left w:val="single" w:sz="4" w:space="0" w:color="000000"/>
              <w:bottom w:val="single" w:sz="4" w:space="0" w:color="000000"/>
              <w:right w:val="single" w:sz="4" w:space="0" w:color="000000"/>
            </w:tcBorders>
          </w:tcPr>
          <w:p w14:paraId="251EDE74" w14:textId="77777777" w:rsidR="006F76EB" w:rsidRPr="00834D52" w:rsidRDefault="006F76EB" w:rsidP="00337D8C">
            <w:pPr>
              <w:spacing w:after="120" w:line="240" w:lineRule="auto"/>
              <w:ind w:right="-8"/>
              <w:rPr>
                <w:rFonts w:ascii="Sylfaen" w:hAnsi="Sylfaen"/>
                <w:sz w:val="24"/>
                <w:szCs w:val="24"/>
              </w:rPr>
            </w:pPr>
          </w:p>
        </w:tc>
        <w:tc>
          <w:tcPr>
            <w:tcW w:w="2254" w:type="dxa"/>
            <w:tcBorders>
              <w:top w:val="single" w:sz="4" w:space="0" w:color="000000"/>
              <w:left w:val="single" w:sz="4" w:space="0" w:color="000000"/>
              <w:bottom w:val="single" w:sz="4" w:space="0" w:color="000000"/>
              <w:right w:val="single" w:sz="4" w:space="0" w:color="000000"/>
            </w:tcBorders>
          </w:tcPr>
          <w:p w14:paraId="2C48C38F" w14:textId="77777777" w:rsidR="006F76EB" w:rsidRPr="00834D52" w:rsidRDefault="006F76EB" w:rsidP="00337D8C">
            <w:pPr>
              <w:spacing w:after="120" w:line="240" w:lineRule="auto"/>
              <w:ind w:right="-8"/>
              <w:rPr>
                <w:rFonts w:ascii="Sylfaen" w:hAnsi="Sylfaen"/>
                <w:sz w:val="24"/>
                <w:szCs w:val="24"/>
              </w:rPr>
            </w:pPr>
          </w:p>
        </w:tc>
        <w:tc>
          <w:tcPr>
            <w:tcW w:w="1268" w:type="dxa"/>
            <w:tcBorders>
              <w:top w:val="single" w:sz="4" w:space="0" w:color="000000"/>
              <w:left w:val="single" w:sz="4" w:space="0" w:color="000000"/>
              <w:bottom w:val="single" w:sz="4" w:space="0" w:color="000000"/>
              <w:right w:val="single" w:sz="4" w:space="0" w:color="000000"/>
            </w:tcBorders>
          </w:tcPr>
          <w:p w14:paraId="7E83205C" w14:textId="77777777" w:rsidR="006F76EB" w:rsidRPr="00834D52" w:rsidRDefault="006F76EB" w:rsidP="00337D8C">
            <w:pPr>
              <w:spacing w:after="120" w:line="240" w:lineRule="auto"/>
              <w:ind w:right="-8"/>
              <w:rPr>
                <w:rFonts w:ascii="Sylfaen" w:hAnsi="Sylfaen"/>
                <w:sz w:val="24"/>
                <w:szCs w:val="24"/>
              </w:rPr>
            </w:pPr>
          </w:p>
        </w:tc>
        <w:tc>
          <w:tcPr>
            <w:tcW w:w="1797" w:type="dxa"/>
            <w:tcBorders>
              <w:top w:val="single" w:sz="4" w:space="0" w:color="000000"/>
              <w:left w:val="single" w:sz="4" w:space="0" w:color="000000"/>
              <w:bottom w:val="single" w:sz="4" w:space="0" w:color="000000"/>
              <w:right w:val="single" w:sz="4" w:space="0" w:color="000000"/>
            </w:tcBorders>
          </w:tcPr>
          <w:p w14:paraId="077D5A58" w14:textId="77777777" w:rsidR="006F76EB" w:rsidRPr="00834D52" w:rsidRDefault="006F76EB" w:rsidP="00337D8C">
            <w:pPr>
              <w:spacing w:after="120" w:line="240" w:lineRule="auto"/>
              <w:ind w:right="-8"/>
              <w:rPr>
                <w:rFonts w:ascii="Sylfaen" w:hAnsi="Sylfaen"/>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6EFF8B40" w14:textId="77777777" w:rsidR="006F76EB" w:rsidRPr="00834D52" w:rsidRDefault="006F76EB" w:rsidP="00337D8C">
            <w:pPr>
              <w:spacing w:after="120" w:line="240" w:lineRule="auto"/>
              <w:ind w:right="-8"/>
              <w:rPr>
                <w:rFonts w:ascii="Sylfaen" w:hAnsi="Sylfaen"/>
                <w:sz w:val="24"/>
                <w:szCs w:val="24"/>
              </w:rPr>
            </w:pPr>
          </w:p>
        </w:tc>
      </w:tr>
    </w:tbl>
    <w:p w14:paraId="527BCC67" w14:textId="77777777" w:rsidR="00A86C06" w:rsidRDefault="00A86C06" w:rsidP="006F76EB">
      <w:pPr>
        <w:spacing w:after="160" w:line="360" w:lineRule="auto"/>
        <w:ind w:right="-8" w:firstLine="567"/>
        <w:jc w:val="both"/>
        <w:rPr>
          <w:rFonts w:ascii="Sylfaen" w:hAnsi="Sylfaen"/>
          <w:sz w:val="24"/>
          <w:szCs w:val="24"/>
          <w:lang w:val="en-US"/>
        </w:rPr>
      </w:pPr>
    </w:p>
    <w:p w14:paraId="725D5AFD" w14:textId="5867AED2"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Կցել Եվրասիական տնտեսական միության անդամ պետության տարածքում գործող՝ ապրանքային նշանի գրանցման վկայագրի՝ </w:t>
      </w:r>
      <w:r w:rsidR="0056496B">
        <w:rPr>
          <w:rFonts w:ascii="Sylfaen" w:hAnsi="Sylfaen"/>
          <w:sz w:val="24"/>
          <w:szCs w:val="24"/>
        </w:rPr>
        <w:t>դիմումատու</w:t>
      </w:r>
      <w:r w:rsidRPr="00834D52">
        <w:rPr>
          <w:rFonts w:ascii="Sylfaen" w:hAnsi="Sylfaen"/>
          <w:sz w:val="24"/>
          <w:szCs w:val="24"/>
        </w:rPr>
        <w:t>ի կողմից վավերացված պատճենը:</w:t>
      </w:r>
    </w:p>
    <w:p w14:paraId="0278985F" w14:textId="1BACBFB6"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իրավատերը չէ, ապա կցել լիցենզիոն համաձայնագրի՝ </w:t>
      </w:r>
      <w:r w:rsidR="0056496B">
        <w:rPr>
          <w:rFonts w:ascii="Sylfaen" w:hAnsi="Sylfaen"/>
          <w:sz w:val="24"/>
          <w:szCs w:val="24"/>
        </w:rPr>
        <w:t>դիմումատու</w:t>
      </w:r>
      <w:r w:rsidRPr="00834D52">
        <w:rPr>
          <w:rFonts w:ascii="Sylfaen" w:hAnsi="Sylfaen"/>
          <w:sz w:val="24"/>
          <w:szCs w:val="24"/>
        </w:rPr>
        <w:t>ի կողմից վավերացված պատճենը կամ ապրանքային նշանի օգտագործման իրավունքի տրամադրման գրանցման հաստատումը:</w:t>
      </w:r>
    </w:p>
    <w:p w14:paraId="677A1CBF" w14:textId="77777777" w:rsidR="006F76EB" w:rsidRPr="00834D52" w:rsidRDefault="006F76EB" w:rsidP="00B45C4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Արդյոք դեղապատրաստուկը գրանցված է արտադրողի երկրում՝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110256D" w14:textId="77777777" w:rsidTr="00F71229">
        <w:tc>
          <w:tcPr>
            <w:tcW w:w="2268" w:type="dxa"/>
          </w:tcPr>
          <w:p w14:paraId="52ADB9FB" w14:textId="17DC2B71"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73440" behindDoc="0" locked="0" layoutInCell="1" allowOverlap="1" wp14:anchorId="04D49CE6" wp14:editId="0716FC5D">
                      <wp:simplePos x="0" y="0"/>
                      <wp:positionH relativeFrom="column">
                        <wp:posOffset>515620</wp:posOffset>
                      </wp:positionH>
                      <wp:positionV relativeFrom="paragraph">
                        <wp:posOffset>38735</wp:posOffset>
                      </wp:positionV>
                      <wp:extent cx="161925" cy="152400"/>
                      <wp:effectExtent l="6985" t="6985" r="12065" b="12065"/>
                      <wp:wrapNone/>
                      <wp:docPr id="5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70719" id="Rectangle 253" o:spid="_x0000_s1026" style="position:absolute;margin-left:40.6pt;margin-top:3.05pt;width:12.75pt;height:1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6DC4C6EB" w14:textId="7B20B2BA"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74464" behindDoc="0" locked="0" layoutInCell="1" allowOverlap="1" wp14:anchorId="6B93E4E4" wp14:editId="38E66E42">
                      <wp:simplePos x="0" y="0"/>
                      <wp:positionH relativeFrom="column">
                        <wp:posOffset>192405</wp:posOffset>
                      </wp:positionH>
                      <wp:positionV relativeFrom="paragraph">
                        <wp:posOffset>38735</wp:posOffset>
                      </wp:positionV>
                      <wp:extent cx="161925" cy="152400"/>
                      <wp:effectExtent l="9525" t="6985" r="9525" b="12065"/>
                      <wp:wrapNone/>
                      <wp:docPr id="5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5E4F5" id="Rectangle 252" o:spid="_x0000_s1026" style="position:absolute;margin-left:15.15pt;margin-top:3.05pt;width:12.75pt;height:1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53788A6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78BC22C" w14:textId="77777777" w:rsidTr="00F71229">
        <w:tc>
          <w:tcPr>
            <w:tcW w:w="2268" w:type="dxa"/>
          </w:tcPr>
          <w:p w14:paraId="5262A061" w14:textId="5ED3E88E"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75488" behindDoc="0" locked="0" layoutInCell="1" allowOverlap="1" wp14:anchorId="23C0E7A8" wp14:editId="5F47C16A">
                      <wp:simplePos x="0" y="0"/>
                      <wp:positionH relativeFrom="column">
                        <wp:posOffset>515620</wp:posOffset>
                      </wp:positionH>
                      <wp:positionV relativeFrom="paragraph">
                        <wp:posOffset>38735</wp:posOffset>
                      </wp:positionV>
                      <wp:extent cx="161925" cy="152400"/>
                      <wp:effectExtent l="6985" t="12065" r="12065" b="6985"/>
                      <wp:wrapNone/>
                      <wp:docPr id="5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FB920" id="Rectangle 255" o:spid="_x0000_s1026" style="position:absolute;margin-left:40.6pt;margin-top:3.05pt;width:12.75pt;height:1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2CAF98F5" w14:textId="72A46E9E"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76512" behindDoc="0" locked="0" layoutInCell="1" allowOverlap="1" wp14:anchorId="3A83D001" wp14:editId="253B6528">
                      <wp:simplePos x="0" y="0"/>
                      <wp:positionH relativeFrom="column">
                        <wp:posOffset>192405</wp:posOffset>
                      </wp:positionH>
                      <wp:positionV relativeFrom="paragraph">
                        <wp:posOffset>38735</wp:posOffset>
                      </wp:positionV>
                      <wp:extent cx="161925" cy="152400"/>
                      <wp:effectExtent l="9525" t="12065" r="9525" b="6985"/>
                      <wp:wrapNone/>
                      <wp:docPr id="51"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5073D" id="Rectangle 254" o:spid="_x0000_s1026" style="position:absolute;margin-left:15.15pt;margin-top:3.05pt;width:12.75pt;height:1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77A503A6" w14:textId="77777777" w:rsidR="006F76EB" w:rsidRPr="00834D52" w:rsidRDefault="006F76EB" w:rsidP="00B45C4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Արդյոք տվյալ դեղապատրաստուկի առնչությամբ Եվրասիական տնտեսական միության անդամ պետություններում անցկացվել է նախնական գիտական խորհրդակցություն՝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0574F33" w14:textId="77777777" w:rsidTr="00F71229">
        <w:tc>
          <w:tcPr>
            <w:tcW w:w="2268" w:type="dxa"/>
          </w:tcPr>
          <w:p w14:paraId="1089E634" w14:textId="605E341E"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77536" behindDoc="0" locked="0" layoutInCell="1" allowOverlap="1" wp14:anchorId="6DCF8423" wp14:editId="58697299">
                      <wp:simplePos x="0" y="0"/>
                      <wp:positionH relativeFrom="column">
                        <wp:posOffset>515620</wp:posOffset>
                      </wp:positionH>
                      <wp:positionV relativeFrom="paragraph">
                        <wp:posOffset>38735</wp:posOffset>
                      </wp:positionV>
                      <wp:extent cx="161925" cy="152400"/>
                      <wp:effectExtent l="6985" t="6350" r="12065" b="12700"/>
                      <wp:wrapNone/>
                      <wp:docPr id="5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0568F" id="Rectangle 257" o:spid="_x0000_s1026" style="position:absolute;margin-left:40.6pt;margin-top:3.05pt;width:12.75pt;height:1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55105C7" w14:textId="10089041"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78560" behindDoc="0" locked="0" layoutInCell="1" allowOverlap="1" wp14:anchorId="4D0D2162" wp14:editId="662762DC">
                      <wp:simplePos x="0" y="0"/>
                      <wp:positionH relativeFrom="column">
                        <wp:posOffset>192405</wp:posOffset>
                      </wp:positionH>
                      <wp:positionV relativeFrom="paragraph">
                        <wp:posOffset>38735</wp:posOffset>
                      </wp:positionV>
                      <wp:extent cx="161925" cy="152400"/>
                      <wp:effectExtent l="9525" t="6350" r="9525" b="12700"/>
                      <wp:wrapNone/>
                      <wp:docPr id="49"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AD2C7" id="Rectangle 256" o:spid="_x0000_s1026" style="position:absolute;margin-left:15.15pt;margin-top:3.05pt;width:12.75pt;height:1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1086424E"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54" w:type="dxa"/>
        <w:tblInd w:w="109" w:type="dxa"/>
        <w:tblLayout w:type="fixed"/>
        <w:tblCellMar>
          <w:left w:w="0" w:type="dxa"/>
          <w:right w:w="0" w:type="dxa"/>
        </w:tblCellMar>
        <w:tblLook w:val="01E0" w:firstRow="1" w:lastRow="1" w:firstColumn="1" w:lastColumn="1" w:noHBand="0" w:noVBand="0"/>
      </w:tblPr>
      <w:tblGrid>
        <w:gridCol w:w="4631"/>
        <w:gridCol w:w="5023"/>
      </w:tblGrid>
      <w:tr w:rsidR="006F76EB" w:rsidRPr="00834D52" w14:paraId="01367044" w14:textId="77777777" w:rsidTr="007C43CF">
        <w:trPr>
          <w:trHeight w:val="1014"/>
        </w:trPr>
        <w:tc>
          <w:tcPr>
            <w:tcW w:w="4631" w:type="dxa"/>
            <w:tcBorders>
              <w:top w:val="single" w:sz="4" w:space="0" w:color="000000"/>
              <w:left w:val="single" w:sz="4" w:space="0" w:color="000000"/>
              <w:bottom w:val="single" w:sz="4" w:space="0" w:color="000000"/>
              <w:right w:val="single" w:sz="4" w:space="0" w:color="000000"/>
            </w:tcBorders>
          </w:tcPr>
          <w:p w14:paraId="09AA5799"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պետությունը</w:t>
            </w:r>
          </w:p>
        </w:tc>
        <w:tc>
          <w:tcPr>
            <w:tcW w:w="5023" w:type="dxa"/>
            <w:tcBorders>
              <w:top w:val="single" w:sz="4" w:space="0" w:color="000000"/>
              <w:left w:val="single" w:sz="4" w:space="0" w:color="000000"/>
              <w:bottom w:val="single" w:sz="4" w:space="0" w:color="000000"/>
              <w:right w:val="single" w:sz="4" w:space="0" w:color="000000"/>
            </w:tcBorders>
          </w:tcPr>
          <w:p w14:paraId="66EF30F7" w14:textId="77777777" w:rsidR="006F76EB" w:rsidRPr="00834D52" w:rsidRDefault="006F76EB" w:rsidP="00B45C4F">
            <w:pPr>
              <w:spacing w:after="120" w:line="240" w:lineRule="auto"/>
              <w:ind w:right="-6"/>
              <w:rPr>
                <w:rFonts w:ascii="Sylfaen" w:hAnsi="Sylfaen"/>
                <w:sz w:val="24"/>
                <w:szCs w:val="24"/>
              </w:rPr>
            </w:pPr>
          </w:p>
        </w:tc>
      </w:tr>
      <w:tr w:rsidR="006F76EB" w:rsidRPr="00834D52" w14:paraId="0731E8D6" w14:textId="77777777" w:rsidTr="007C43CF">
        <w:trPr>
          <w:trHeight w:val="599"/>
        </w:trPr>
        <w:tc>
          <w:tcPr>
            <w:tcW w:w="4631" w:type="dxa"/>
            <w:tcBorders>
              <w:top w:val="single" w:sz="4" w:space="0" w:color="000000"/>
              <w:left w:val="single" w:sz="4" w:space="0" w:color="000000"/>
              <w:bottom w:val="single" w:sz="4" w:space="0" w:color="000000"/>
              <w:right w:val="single" w:sz="4" w:space="0" w:color="000000"/>
            </w:tcBorders>
          </w:tcPr>
          <w:p w14:paraId="207D8FD6"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023" w:type="dxa"/>
            <w:tcBorders>
              <w:top w:val="single" w:sz="4" w:space="0" w:color="000000"/>
              <w:left w:val="single" w:sz="4" w:space="0" w:color="000000"/>
              <w:bottom w:val="single" w:sz="4" w:space="0" w:color="000000"/>
              <w:right w:val="single" w:sz="4" w:space="0" w:color="000000"/>
            </w:tcBorders>
          </w:tcPr>
          <w:p w14:paraId="0C03C1E3" w14:textId="77777777" w:rsidR="006F76EB" w:rsidRPr="00834D52" w:rsidRDefault="006F76EB" w:rsidP="00B45C4F">
            <w:pPr>
              <w:spacing w:after="120" w:line="240" w:lineRule="auto"/>
              <w:ind w:right="-6"/>
              <w:rPr>
                <w:rFonts w:ascii="Sylfaen" w:hAnsi="Sylfaen"/>
                <w:sz w:val="24"/>
                <w:szCs w:val="24"/>
              </w:rPr>
            </w:pPr>
          </w:p>
        </w:tc>
      </w:tr>
      <w:tr w:rsidR="006F76EB" w:rsidRPr="00834D52" w14:paraId="62CADA24" w14:textId="77777777" w:rsidTr="007C43CF">
        <w:trPr>
          <w:trHeight w:val="1060"/>
        </w:trPr>
        <w:tc>
          <w:tcPr>
            <w:tcW w:w="4631" w:type="dxa"/>
            <w:tcBorders>
              <w:top w:val="single" w:sz="4" w:space="0" w:color="000000"/>
              <w:left w:val="single" w:sz="4" w:space="0" w:color="000000"/>
              <w:bottom w:val="single" w:sz="4" w:space="0" w:color="000000"/>
              <w:right w:val="single" w:sz="4" w:space="0" w:color="000000"/>
            </w:tcBorders>
          </w:tcPr>
          <w:p w14:paraId="20BE20E4"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դոսյեում եզրակացության առկայության մասին նշումը</w:t>
            </w:r>
          </w:p>
        </w:tc>
        <w:tc>
          <w:tcPr>
            <w:tcW w:w="5023" w:type="dxa"/>
            <w:tcBorders>
              <w:top w:val="single" w:sz="4" w:space="0" w:color="000000"/>
              <w:left w:val="single" w:sz="4" w:space="0" w:color="000000"/>
              <w:bottom w:val="single" w:sz="4" w:space="0" w:color="000000"/>
              <w:right w:val="single" w:sz="4" w:space="0" w:color="000000"/>
            </w:tcBorders>
          </w:tcPr>
          <w:p w14:paraId="39007D11" w14:textId="77777777" w:rsidR="006F76EB" w:rsidRPr="00834D52" w:rsidRDefault="006F76EB" w:rsidP="00B45C4F">
            <w:pPr>
              <w:spacing w:after="120" w:line="240" w:lineRule="auto"/>
              <w:ind w:right="-6"/>
              <w:rPr>
                <w:rFonts w:ascii="Sylfaen" w:hAnsi="Sylfaen"/>
                <w:sz w:val="24"/>
                <w:szCs w:val="24"/>
              </w:rPr>
            </w:pPr>
          </w:p>
        </w:tc>
      </w:tr>
    </w:tbl>
    <w:p w14:paraId="1B1F7AE3"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տվյալ դեղապատրաստուկի առնչությամբ Դեղամիջոցների հարցերով փորձագիտական կոմիտեում անցկացվել է նախնական գիտական խորհրդակցություն՝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A58B329" w14:textId="77777777" w:rsidTr="00F71229">
        <w:tc>
          <w:tcPr>
            <w:tcW w:w="2268" w:type="dxa"/>
          </w:tcPr>
          <w:p w14:paraId="21BA07D8" w14:textId="5D972F69"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79584" behindDoc="0" locked="0" layoutInCell="1" allowOverlap="1" wp14:anchorId="0BC69162" wp14:editId="1FCB8417">
                      <wp:simplePos x="0" y="0"/>
                      <wp:positionH relativeFrom="column">
                        <wp:posOffset>515620</wp:posOffset>
                      </wp:positionH>
                      <wp:positionV relativeFrom="paragraph">
                        <wp:posOffset>38735</wp:posOffset>
                      </wp:positionV>
                      <wp:extent cx="161925" cy="152400"/>
                      <wp:effectExtent l="6985" t="6985" r="12065" b="12065"/>
                      <wp:wrapNone/>
                      <wp:docPr id="4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E7E64" id="Rectangle 259" o:spid="_x0000_s1026" style="position:absolute;margin-left:40.6pt;margin-top:3.05pt;width:12.75pt;height:1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78CBB7D7" w14:textId="15BCABF4"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80608" behindDoc="0" locked="0" layoutInCell="1" allowOverlap="1" wp14:anchorId="5BC41BD7" wp14:editId="0E5CB5F2">
                      <wp:simplePos x="0" y="0"/>
                      <wp:positionH relativeFrom="column">
                        <wp:posOffset>192405</wp:posOffset>
                      </wp:positionH>
                      <wp:positionV relativeFrom="paragraph">
                        <wp:posOffset>38735</wp:posOffset>
                      </wp:positionV>
                      <wp:extent cx="161925" cy="152400"/>
                      <wp:effectExtent l="9525" t="6985" r="9525" b="12065"/>
                      <wp:wrapNone/>
                      <wp:docPr id="47"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F55C" id="Rectangle 258" o:spid="_x0000_s1026" style="position:absolute;margin-left:15.15pt;margin-top:3.05pt;width:12.75pt;height:1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77DDEFB4" w14:textId="77777777" w:rsidR="007C43CF" w:rsidRDefault="007C43CF" w:rsidP="006F76EB">
      <w:pPr>
        <w:spacing w:after="160" w:line="336" w:lineRule="auto"/>
        <w:ind w:right="-8" w:firstLine="567"/>
        <w:rPr>
          <w:rFonts w:ascii="Sylfaen" w:hAnsi="Sylfaen"/>
          <w:sz w:val="24"/>
          <w:szCs w:val="24"/>
          <w:lang w:val="en-US"/>
        </w:rPr>
      </w:pPr>
    </w:p>
    <w:p w14:paraId="1841B4FE"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09" w:type="dxa"/>
        <w:tblInd w:w="109" w:type="dxa"/>
        <w:tblLayout w:type="fixed"/>
        <w:tblCellMar>
          <w:left w:w="0" w:type="dxa"/>
          <w:right w:w="0" w:type="dxa"/>
        </w:tblCellMar>
        <w:tblLook w:val="01E0" w:firstRow="1" w:lastRow="1" w:firstColumn="1" w:lastColumn="1" w:noHBand="0" w:noVBand="0"/>
      </w:tblPr>
      <w:tblGrid>
        <w:gridCol w:w="4142"/>
        <w:gridCol w:w="5467"/>
      </w:tblGrid>
      <w:tr w:rsidR="006F76EB" w:rsidRPr="00834D52" w14:paraId="69AE4AB2"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2BC93DA1" w14:textId="77777777" w:rsidR="006F76EB" w:rsidRPr="00834D52" w:rsidRDefault="006F76EB" w:rsidP="007C43CF">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467" w:type="dxa"/>
            <w:tcBorders>
              <w:top w:val="single" w:sz="4" w:space="0" w:color="000000"/>
              <w:left w:val="single" w:sz="4" w:space="0" w:color="000000"/>
              <w:bottom w:val="single" w:sz="4" w:space="0" w:color="000000"/>
              <w:right w:val="single" w:sz="4" w:space="0" w:color="000000"/>
            </w:tcBorders>
          </w:tcPr>
          <w:p w14:paraId="624E1CA8" w14:textId="77777777" w:rsidR="006F76EB" w:rsidRPr="00834D52" w:rsidRDefault="006F76EB" w:rsidP="007C43CF">
            <w:pPr>
              <w:spacing w:after="120" w:line="240" w:lineRule="auto"/>
              <w:ind w:right="-6"/>
              <w:rPr>
                <w:rFonts w:ascii="Sylfaen" w:hAnsi="Sylfaen"/>
                <w:sz w:val="24"/>
                <w:szCs w:val="24"/>
              </w:rPr>
            </w:pPr>
          </w:p>
        </w:tc>
      </w:tr>
      <w:tr w:rsidR="006F76EB" w:rsidRPr="00834D52" w14:paraId="78EB126F"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E747D8E" w14:textId="77777777" w:rsidR="006F76EB" w:rsidRPr="00834D52" w:rsidRDefault="006F76EB" w:rsidP="007C43CF">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դոսյեում եզրակացության առկայության մասին նշումը</w:t>
            </w:r>
          </w:p>
        </w:tc>
        <w:tc>
          <w:tcPr>
            <w:tcW w:w="5467" w:type="dxa"/>
            <w:tcBorders>
              <w:top w:val="single" w:sz="4" w:space="0" w:color="000000"/>
              <w:left w:val="single" w:sz="4" w:space="0" w:color="000000"/>
              <w:bottom w:val="single" w:sz="4" w:space="0" w:color="000000"/>
              <w:right w:val="single" w:sz="4" w:space="0" w:color="000000"/>
            </w:tcBorders>
          </w:tcPr>
          <w:p w14:paraId="3601AA32" w14:textId="77777777" w:rsidR="006F76EB" w:rsidRPr="00834D52" w:rsidRDefault="006F76EB" w:rsidP="007C43CF">
            <w:pPr>
              <w:spacing w:after="120" w:line="240" w:lineRule="auto"/>
              <w:ind w:right="-6"/>
              <w:rPr>
                <w:rFonts w:ascii="Sylfaen" w:hAnsi="Sylfaen"/>
                <w:sz w:val="24"/>
                <w:szCs w:val="24"/>
              </w:rPr>
            </w:pPr>
          </w:p>
        </w:tc>
      </w:tr>
    </w:tbl>
    <w:p w14:paraId="6D2F1718" w14:textId="77777777" w:rsidR="006F76EB" w:rsidRPr="00834D52" w:rsidRDefault="006F76EB" w:rsidP="00190846">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հավաստագրի մերժման, հետկանչի </w:t>
      </w:r>
      <w:r w:rsidR="00C54D75">
        <w:rPr>
          <w:rFonts w:ascii="Sylfaen" w:hAnsi="Sylfaen"/>
          <w:sz w:val="24"/>
          <w:szCs w:val="24"/>
        </w:rPr>
        <w:t>և</w:t>
      </w:r>
      <w:r w:rsidRPr="00834D52">
        <w:rPr>
          <w:rFonts w:ascii="Sylfaen" w:hAnsi="Sylfaen"/>
          <w:sz w:val="24"/>
          <w:szCs w:val="24"/>
        </w:rPr>
        <w:t xml:space="preserve"> գործողության կասեցման մասին տեղեկատվություն:</w:t>
      </w:r>
    </w:p>
    <w:p w14:paraId="4295EDC7" w14:textId="77777777" w:rsidR="006F76EB" w:rsidRDefault="006F76EB" w:rsidP="006F76EB">
      <w:pPr>
        <w:spacing w:after="160" w:line="336" w:lineRule="auto"/>
        <w:ind w:right="-6" w:firstLine="567"/>
        <w:jc w:val="both"/>
        <w:rPr>
          <w:rFonts w:ascii="Sylfaen" w:hAnsi="Sylfaen"/>
          <w:sz w:val="24"/>
          <w:szCs w:val="24"/>
          <w:lang w:val="en-US"/>
        </w:rPr>
      </w:pPr>
      <w:r w:rsidRPr="00834D52">
        <w:rPr>
          <w:rFonts w:ascii="Sylfaen" w:hAnsi="Sylfaen"/>
          <w:sz w:val="24"/>
          <w:szCs w:val="24"/>
        </w:rPr>
        <w:t>Եթե այո՝</w:t>
      </w:r>
    </w:p>
    <w:tbl>
      <w:tblPr>
        <w:tblW w:w="9562" w:type="dxa"/>
        <w:tblInd w:w="102" w:type="dxa"/>
        <w:tblLayout w:type="fixed"/>
        <w:tblCellMar>
          <w:left w:w="0" w:type="dxa"/>
          <w:right w:w="0" w:type="dxa"/>
        </w:tblCellMar>
        <w:tblLook w:val="01E0" w:firstRow="1" w:lastRow="1" w:firstColumn="1" w:lastColumn="1" w:noHBand="0" w:noVBand="0"/>
      </w:tblPr>
      <w:tblGrid>
        <w:gridCol w:w="2762"/>
        <w:gridCol w:w="1431"/>
        <w:gridCol w:w="1858"/>
        <w:gridCol w:w="1857"/>
        <w:gridCol w:w="1654"/>
      </w:tblGrid>
      <w:tr w:rsidR="006F76EB" w:rsidRPr="00834D52" w14:paraId="28045089" w14:textId="77777777" w:rsidTr="00D4123F">
        <w:trPr>
          <w:trHeight w:val="922"/>
        </w:trPr>
        <w:tc>
          <w:tcPr>
            <w:tcW w:w="2762" w:type="dxa"/>
            <w:tcBorders>
              <w:top w:val="single" w:sz="4" w:space="0" w:color="000000"/>
              <w:left w:val="single" w:sz="4" w:space="0" w:color="000000"/>
              <w:bottom w:val="single" w:sz="4" w:space="0" w:color="000000"/>
              <w:right w:val="single" w:sz="4" w:space="0" w:color="000000"/>
            </w:tcBorders>
            <w:vAlign w:val="center"/>
          </w:tcPr>
          <w:p w14:paraId="0CCFC117" w14:textId="77777777" w:rsidR="006F76EB" w:rsidRPr="00834D52" w:rsidRDefault="006F76EB" w:rsidP="007902F3">
            <w:pPr>
              <w:spacing w:after="120" w:line="240" w:lineRule="auto"/>
              <w:ind w:left="187" w:right="-6"/>
              <w:jc w:val="center"/>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431" w:type="dxa"/>
            <w:tcBorders>
              <w:top w:val="single" w:sz="4" w:space="0" w:color="000000"/>
              <w:left w:val="single" w:sz="4" w:space="0" w:color="000000"/>
              <w:bottom w:val="single" w:sz="4" w:space="0" w:color="000000"/>
              <w:right w:val="single" w:sz="4" w:space="0" w:color="000000"/>
            </w:tcBorders>
            <w:vAlign w:val="center"/>
          </w:tcPr>
          <w:p w14:paraId="192F4202"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Պատճառը</w:t>
            </w:r>
          </w:p>
        </w:tc>
        <w:tc>
          <w:tcPr>
            <w:tcW w:w="1858" w:type="dxa"/>
            <w:tcBorders>
              <w:top w:val="single" w:sz="4" w:space="0" w:color="000000"/>
              <w:left w:val="single" w:sz="4" w:space="0" w:color="000000"/>
              <w:bottom w:val="single" w:sz="4" w:space="0" w:color="000000"/>
              <w:right w:val="single" w:sz="4" w:space="0" w:color="000000"/>
            </w:tcBorders>
            <w:vAlign w:val="center"/>
          </w:tcPr>
          <w:p w14:paraId="45041879"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Երկիրը</w:t>
            </w:r>
          </w:p>
        </w:tc>
        <w:tc>
          <w:tcPr>
            <w:tcW w:w="1857" w:type="dxa"/>
            <w:tcBorders>
              <w:top w:val="single" w:sz="4" w:space="0" w:color="000000"/>
              <w:left w:val="single" w:sz="4" w:space="0" w:color="000000"/>
              <w:bottom w:val="single" w:sz="4" w:space="0" w:color="000000"/>
              <w:right w:val="single" w:sz="4" w:space="0" w:color="000000"/>
            </w:tcBorders>
            <w:vAlign w:val="center"/>
          </w:tcPr>
          <w:p w14:paraId="492BBA51"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Ժամկետը</w:t>
            </w:r>
          </w:p>
        </w:tc>
        <w:tc>
          <w:tcPr>
            <w:tcW w:w="1654" w:type="dxa"/>
            <w:tcBorders>
              <w:top w:val="single" w:sz="4" w:space="0" w:color="000000"/>
              <w:left w:val="single" w:sz="4" w:space="0" w:color="000000"/>
              <w:bottom w:val="single" w:sz="4" w:space="0" w:color="000000"/>
              <w:right w:val="single" w:sz="4" w:space="0" w:color="000000"/>
            </w:tcBorders>
            <w:vAlign w:val="center"/>
          </w:tcPr>
          <w:p w14:paraId="2D977F88"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4FB91022" w14:textId="77777777" w:rsidTr="00D4123F">
        <w:trPr>
          <w:trHeight w:val="532"/>
        </w:trPr>
        <w:tc>
          <w:tcPr>
            <w:tcW w:w="2762" w:type="dxa"/>
            <w:tcBorders>
              <w:top w:val="single" w:sz="4" w:space="0" w:color="000000"/>
              <w:left w:val="single" w:sz="4" w:space="0" w:color="000000"/>
              <w:bottom w:val="single" w:sz="4" w:space="0" w:color="000000"/>
              <w:right w:val="single" w:sz="4" w:space="0" w:color="000000"/>
            </w:tcBorders>
          </w:tcPr>
          <w:p w14:paraId="4892603A" w14:textId="77777777" w:rsidR="006F76EB" w:rsidRPr="00834D52" w:rsidRDefault="006F76EB" w:rsidP="007902F3">
            <w:pPr>
              <w:spacing w:after="120" w:line="240" w:lineRule="auto"/>
              <w:ind w:left="187" w:right="-6"/>
              <w:rPr>
                <w:rFonts w:ascii="Sylfaen" w:hAnsi="Sylfaen"/>
                <w:sz w:val="24"/>
                <w:szCs w:val="24"/>
              </w:rPr>
            </w:pPr>
          </w:p>
        </w:tc>
        <w:tc>
          <w:tcPr>
            <w:tcW w:w="1431" w:type="dxa"/>
            <w:tcBorders>
              <w:top w:val="single" w:sz="4" w:space="0" w:color="000000"/>
              <w:left w:val="single" w:sz="4" w:space="0" w:color="000000"/>
              <w:bottom w:val="single" w:sz="4" w:space="0" w:color="000000"/>
              <w:right w:val="single" w:sz="4" w:space="0" w:color="000000"/>
            </w:tcBorders>
          </w:tcPr>
          <w:p w14:paraId="32825D59" w14:textId="77777777" w:rsidR="006F76EB" w:rsidRPr="00834D52" w:rsidRDefault="006F76EB" w:rsidP="007902F3">
            <w:pPr>
              <w:spacing w:after="120" w:line="240" w:lineRule="auto"/>
              <w:ind w:right="-6"/>
              <w:rPr>
                <w:rFonts w:ascii="Sylfaen" w:hAnsi="Sylfae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4E43F5B9" w14:textId="77777777" w:rsidR="006F76EB" w:rsidRPr="00834D52" w:rsidRDefault="006F76EB" w:rsidP="007902F3">
            <w:pPr>
              <w:spacing w:after="120" w:line="240" w:lineRule="auto"/>
              <w:ind w:right="-6"/>
              <w:rPr>
                <w:rFonts w:ascii="Sylfaen" w:hAnsi="Sylfaen"/>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2036A49C" w14:textId="77777777" w:rsidR="006F76EB" w:rsidRPr="00834D52" w:rsidRDefault="006F76EB" w:rsidP="007902F3">
            <w:pPr>
              <w:spacing w:after="120" w:line="240" w:lineRule="auto"/>
              <w:ind w:right="-6"/>
              <w:rPr>
                <w:rFonts w:ascii="Sylfaen" w:hAnsi="Sylfae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6B55A573" w14:textId="77777777" w:rsidR="006F76EB" w:rsidRPr="00834D52" w:rsidRDefault="006F76EB" w:rsidP="007902F3">
            <w:pPr>
              <w:spacing w:after="120" w:line="240" w:lineRule="auto"/>
              <w:ind w:right="-6"/>
              <w:rPr>
                <w:rFonts w:ascii="Sylfaen" w:hAnsi="Sylfaen"/>
                <w:sz w:val="24"/>
                <w:szCs w:val="24"/>
              </w:rPr>
            </w:pPr>
          </w:p>
        </w:tc>
      </w:tr>
      <w:tr w:rsidR="006F76EB" w:rsidRPr="00834D52" w14:paraId="4272E72E" w14:textId="77777777" w:rsidTr="00D4123F">
        <w:trPr>
          <w:trHeight w:val="532"/>
        </w:trPr>
        <w:tc>
          <w:tcPr>
            <w:tcW w:w="2762" w:type="dxa"/>
            <w:tcBorders>
              <w:top w:val="single" w:sz="4" w:space="0" w:color="000000"/>
              <w:left w:val="single" w:sz="4" w:space="0" w:color="000000"/>
              <w:bottom w:val="single" w:sz="4" w:space="0" w:color="000000"/>
              <w:right w:val="single" w:sz="4" w:space="0" w:color="000000"/>
            </w:tcBorders>
          </w:tcPr>
          <w:p w14:paraId="09ACBCCD" w14:textId="77777777" w:rsidR="006F76EB" w:rsidRPr="007902F3" w:rsidRDefault="006F76EB" w:rsidP="007902F3">
            <w:pPr>
              <w:spacing w:after="120" w:line="240" w:lineRule="auto"/>
              <w:ind w:left="187" w:right="-6"/>
              <w:rPr>
                <w:rFonts w:ascii="Sylfaen" w:eastAsia="Times New Roman" w:hAnsi="Sylfaen" w:cs="Times New Roman"/>
                <w:sz w:val="24"/>
                <w:szCs w:val="24"/>
                <w:lang w:val="en-US"/>
              </w:rPr>
            </w:pPr>
            <w:r w:rsidRPr="00834D52">
              <w:rPr>
                <w:rFonts w:ascii="Sylfaen" w:hAnsi="Sylfaen"/>
                <w:sz w:val="24"/>
                <w:szCs w:val="24"/>
              </w:rPr>
              <w:t>...</w:t>
            </w:r>
          </w:p>
        </w:tc>
        <w:tc>
          <w:tcPr>
            <w:tcW w:w="1431" w:type="dxa"/>
            <w:tcBorders>
              <w:top w:val="single" w:sz="4" w:space="0" w:color="000000"/>
              <w:left w:val="single" w:sz="4" w:space="0" w:color="000000"/>
              <w:bottom w:val="single" w:sz="4" w:space="0" w:color="000000"/>
              <w:right w:val="single" w:sz="4" w:space="0" w:color="000000"/>
            </w:tcBorders>
          </w:tcPr>
          <w:p w14:paraId="42D3ACC9" w14:textId="77777777" w:rsidR="006F76EB" w:rsidRPr="00834D52" w:rsidRDefault="006F76EB" w:rsidP="007902F3">
            <w:pPr>
              <w:spacing w:after="120" w:line="240" w:lineRule="auto"/>
              <w:ind w:right="-6"/>
              <w:rPr>
                <w:rFonts w:ascii="Sylfaen" w:hAnsi="Sylfae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4D986A38" w14:textId="77777777" w:rsidR="006F76EB" w:rsidRPr="00834D52" w:rsidRDefault="006F76EB" w:rsidP="007902F3">
            <w:pPr>
              <w:spacing w:after="120" w:line="240" w:lineRule="auto"/>
              <w:ind w:right="-6"/>
              <w:rPr>
                <w:rFonts w:ascii="Sylfaen" w:hAnsi="Sylfaen"/>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6B2FBFF5" w14:textId="77777777" w:rsidR="006F76EB" w:rsidRPr="00834D52" w:rsidRDefault="006F76EB" w:rsidP="007902F3">
            <w:pPr>
              <w:spacing w:after="120" w:line="240" w:lineRule="auto"/>
              <w:ind w:right="-6"/>
              <w:rPr>
                <w:rFonts w:ascii="Sylfaen" w:hAnsi="Sylfae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21E3FD23" w14:textId="77777777" w:rsidR="006F76EB" w:rsidRPr="00834D52" w:rsidRDefault="006F76EB" w:rsidP="007902F3">
            <w:pPr>
              <w:spacing w:after="120" w:line="240" w:lineRule="auto"/>
              <w:ind w:right="-6"/>
              <w:rPr>
                <w:rFonts w:ascii="Sylfaen" w:hAnsi="Sylfaen"/>
                <w:sz w:val="24"/>
                <w:szCs w:val="24"/>
              </w:rPr>
            </w:pPr>
          </w:p>
        </w:tc>
      </w:tr>
    </w:tbl>
    <w:p w14:paraId="4D1BA3C8" w14:textId="77777777" w:rsidR="007902F3" w:rsidRDefault="007902F3" w:rsidP="006F76EB">
      <w:pPr>
        <w:spacing w:after="160" w:line="336" w:lineRule="auto"/>
        <w:ind w:right="-6"/>
        <w:jc w:val="center"/>
        <w:rPr>
          <w:rFonts w:ascii="Sylfaen" w:hAnsi="Sylfaen"/>
          <w:sz w:val="24"/>
          <w:szCs w:val="24"/>
          <w:lang w:val="en-US"/>
        </w:rPr>
      </w:pPr>
    </w:p>
    <w:p w14:paraId="386701DA" w14:textId="38E5A693" w:rsidR="006F76EB" w:rsidRDefault="006F76EB" w:rsidP="006F76EB">
      <w:pPr>
        <w:spacing w:after="160" w:line="336" w:lineRule="auto"/>
        <w:ind w:right="-6"/>
        <w:jc w:val="center"/>
        <w:rPr>
          <w:rFonts w:ascii="Sylfaen" w:hAnsi="Sylfaen"/>
          <w:sz w:val="24"/>
          <w:szCs w:val="24"/>
        </w:rPr>
      </w:pPr>
      <w:r w:rsidRPr="00834D52">
        <w:rPr>
          <w:rFonts w:ascii="Sylfaen" w:hAnsi="Sylfaen"/>
          <w:sz w:val="24"/>
          <w:szCs w:val="24"/>
        </w:rPr>
        <w:t xml:space="preserve">5. </w:t>
      </w:r>
      <w:r w:rsidR="0056496B">
        <w:rPr>
          <w:rFonts w:ascii="Sylfaen" w:hAnsi="Sylfaen"/>
          <w:sz w:val="24"/>
          <w:szCs w:val="24"/>
        </w:rPr>
        <w:t>Դիմում</w:t>
      </w:r>
      <w:r w:rsidRPr="00834D52">
        <w:rPr>
          <w:rFonts w:ascii="Sylfaen" w:hAnsi="Sylfaen"/>
          <w:sz w:val="24"/>
          <w:szCs w:val="24"/>
        </w:rPr>
        <w:t>ի հավելված</w:t>
      </w:r>
      <w:r w:rsidR="00357DEB">
        <w:rPr>
          <w:rFonts w:ascii="Sylfaen" w:hAnsi="Sylfaen"/>
          <w:sz w:val="24"/>
          <w:szCs w:val="24"/>
        </w:rPr>
        <w:t xml:space="preserve"> </w:t>
      </w:r>
      <w:r w:rsidR="00357DEB" w:rsidRPr="00357DEB">
        <w:rPr>
          <w:rFonts w:ascii="Sylfaen" w:hAnsi="Sylfaen"/>
          <w:sz w:val="24"/>
          <w:szCs w:val="24"/>
        </w:rPr>
        <w:t>ներկայացվում են թղթային կրիչով կամ էլեկտրոնային ստորագրությամբ ստորագրված (վավերացված) էլեկտրոնային փաստաթղթերի տեսքով</w:t>
      </w:r>
    </w:p>
    <w:p w14:paraId="7F5AF2DD" w14:textId="5300380E" w:rsidR="00357DEB" w:rsidRPr="00371618" w:rsidRDefault="00357DEB" w:rsidP="00357DEB">
      <w:pPr>
        <w:jc w:val="center"/>
        <w:rPr>
          <w:b/>
          <w:bCs/>
          <w:i/>
          <w:iCs/>
        </w:rPr>
      </w:pPr>
      <w:r w:rsidRPr="00371618">
        <w:rPr>
          <w:b/>
          <w:bCs/>
          <w:i/>
          <w:iCs/>
        </w:rPr>
        <w:t>(</w:t>
      </w:r>
      <w:r>
        <w:rPr>
          <w:b/>
          <w:bCs/>
          <w:i/>
          <w:iCs/>
        </w:rPr>
        <w:t>վերնագիրը</w:t>
      </w:r>
      <w:r w:rsidRPr="00371618">
        <w:rPr>
          <w:b/>
          <w:bCs/>
          <w:i/>
          <w:iCs/>
        </w:rPr>
        <w:t xml:space="preserve"> լրաց. 17.03.22 թիվ 36)</w:t>
      </w:r>
    </w:p>
    <w:p w14:paraId="5D342C78" w14:textId="77777777" w:rsidR="00357DEB" w:rsidRPr="00834D52" w:rsidRDefault="00357DEB" w:rsidP="006F76EB">
      <w:pPr>
        <w:spacing w:after="160" w:line="336" w:lineRule="auto"/>
        <w:ind w:right="-6"/>
        <w:jc w:val="center"/>
        <w:rPr>
          <w:rFonts w:ascii="Sylfaen" w:eastAsia="Times New Roman" w:hAnsi="Sylfaen" w:cs="Times New Roman"/>
          <w:sz w:val="24"/>
          <w:szCs w:val="24"/>
        </w:rPr>
      </w:pPr>
    </w:p>
    <w:p w14:paraId="62BEEBFF" w14:textId="30FB4E93"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անունից իրավաբանորեն նշանակալի գործողություններ կատարելու լիազորագիրը (եթե </w:t>
      </w:r>
      <w:r w:rsidRPr="00834D52">
        <w:rPr>
          <w:rFonts w:ascii="Sylfaen" w:hAnsi="Sylfaen"/>
          <w:sz w:val="24"/>
          <w:szCs w:val="24"/>
        </w:rPr>
        <w:lastRenderedPageBreak/>
        <w:t>կիրառելի է):</w:t>
      </w:r>
    </w:p>
    <w:p w14:paraId="517093BE" w14:textId="77777777"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Դեղապատրաստուկի հազվադեպ կիրառելի (որբ) կարգավիճակը հաստատող փաստաթղթի պատճենը:</w:t>
      </w:r>
    </w:p>
    <w:p w14:paraId="66E0AE65" w14:textId="77777777" w:rsidR="006F76EB" w:rsidRPr="00834D52" w:rsidRDefault="006F76EB" w:rsidP="00D4123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Գրանցվող դեղապատրաստուկի մասով Եվրասիական տնտեսական միության անդամ պետությունների տարածքում գործող արտոնագրերի պատճենները:</w:t>
      </w:r>
    </w:p>
    <w:p w14:paraId="548F58BE" w14:textId="53505FBB" w:rsidR="006F76EB" w:rsidRPr="00834D52" w:rsidRDefault="006F76EB" w:rsidP="00D4123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գրանցումը չի խախտում երրորդ անձանց` մտավոր սեփականության իրավունքները:</w:t>
      </w:r>
    </w:p>
    <w:p w14:paraId="1A4C5B20" w14:textId="77777777"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5.5.</w:t>
      </w:r>
      <w:r w:rsidRPr="00834D52">
        <w:rPr>
          <w:rFonts w:ascii="Sylfaen" w:hAnsi="Sylfaen"/>
          <w:sz w:val="24"/>
          <w:szCs w:val="24"/>
        </w:rPr>
        <w:tab/>
        <w:t>Միության անդամ պետության տարածքում ապրանքային նշանի գրանցման մասին գործող վկայագրի պատճենը:</w:t>
      </w:r>
    </w:p>
    <w:p w14:paraId="6070A169" w14:textId="77777777" w:rsidR="006F76EB" w:rsidRDefault="006F76EB" w:rsidP="00D4123F">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5.6.</w:t>
      </w:r>
      <w:r w:rsidRPr="00834D52">
        <w:rPr>
          <w:rFonts w:ascii="Sylfaen" w:hAnsi="Sylfaen"/>
          <w:sz w:val="24"/>
          <w:szCs w:val="24"/>
        </w:rPr>
        <w:tab/>
        <w:t xml:space="preserve">Որակի հսկողության հարցերով լիազորված անձի </w:t>
      </w:r>
      <w:r w:rsidR="00F350A1">
        <w:rPr>
          <w:rFonts w:ascii="Sylfaen" w:hAnsi="Sylfaen"/>
          <w:sz w:val="24"/>
          <w:szCs w:val="24"/>
        </w:rPr>
        <w:t>հայտ</w:t>
      </w:r>
      <w:r w:rsidRPr="00834D52">
        <w:rPr>
          <w:rFonts w:ascii="Sylfaen" w:hAnsi="Sylfaen"/>
          <w:sz w:val="24"/>
          <w:szCs w:val="24"/>
        </w:rPr>
        <w:t xml:space="preserve">արարությունն արտադրության՝ Եվրասիական տնտեսական հանձնաժողովի կողմից հաստատվող` Եվրասիական տնտեսական միության պատշաճ արտադրական գործունեության կանոններին, դեղապատրաստուկի </w:t>
      </w:r>
      <w:r w:rsidR="00C54D75">
        <w:rPr>
          <w:rFonts w:ascii="Sylfaen" w:hAnsi="Sylfaen"/>
          <w:sz w:val="24"/>
          <w:szCs w:val="24"/>
        </w:rPr>
        <w:t>և</w:t>
      </w:r>
      <w:r w:rsidRPr="00834D52">
        <w:rPr>
          <w:rFonts w:ascii="Sylfaen" w:hAnsi="Sylfaen"/>
          <w:sz w:val="24"/>
          <w:szCs w:val="24"/>
        </w:rPr>
        <w:t xml:space="preserve"> ԱԴԲ-ի արտադրության գործընթացում օգտագործվող յուրաքանչյուր արտադրական հարթակի համար ելանյութերի առնչությամբ պատշաճ գործունեության ձեռնարկներին համապատասխանության մասին, այդ թվում այն հարթակների, որտեղ իրականացվում է որակի հսկողությունը (արտադրության գործընթացի հսկողությունը): </w:t>
      </w:r>
    </w:p>
    <w:p w14:paraId="5BED2D95" w14:textId="5047E393" w:rsidR="00890DC3" w:rsidRPr="006F28F9" w:rsidRDefault="00890DC3" w:rsidP="00890DC3">
      <w:pPr>
        <w:rPr>
          <w:b/>
          <w:bCs/>
          <w:i/>
          <w:iCs/>
        </w:rPr>
      </w:pPr>
      <w:r w:rsidRPr="00CD4709">
        <w:rPr>
          <w:b/>
          <w:bCs/>
          <w:i/>
          <w:iCs/>
        </w:rPr>
        <w:t>(</w:t>
      </w:r>
      <w:r>
        <w:rPr>
          <w:b/>
          <w:bCs/>
          <w:i/>
          <w:iCs/>
        </w:rPr>
        <w:t xml:space="preserve">հավելվածը </w:t>
      </w:r>
      <w:r w:rsidRPr="00CD4709">
        <w:rPr>
          <w:b/>
          <w:bCs/>
          <w:i/>
          <w:iCs/>
        </w:rPr>
        <w:t>փոփ. 30.01.20 թիվ 9</w:t>
      </w:r>
      <w:r w:rsidR="00AC7652">
        <w:rPr>
          <w:b/>
          <w:bCs/>
          <w:i/>
          <w:iCs/>
        </w:rPr>
        <w:t>, լրաց 23.04.21 թիվ 34</w:t>
      </w:r>
      <w:r w:rsidR="00C95F07">
        <w:rPr>
          <w:b/>
          <w:bCs/>
          <w:i/>
          <w:iCs/>
        </w:rPr>
        <w:t>, 17.03.22 թիվ 36</w:t>
      </w:r>
      <w:r w:rsidRPr="00CD4709">
        <w:rPr>
          <w:b/>
          <w:bCs/>
          <w:i/>
          <w:iCs/>
        </w:rPr>
        <w:t>)</w:t>
      </w:r>
    </w:p>
    <w:p w14:paraId="7E5095E4" w14:textId="051DB9E1" w:rsidR="00890DC3" w:rsidRDefault="00890DC3" w:rsidP="00D4123F">
      <w:pPr>
        <w:tabs>
          <w:tab w:val="left" w:pos="1134"/>
        </w:tabs>
        <w:spacing w:after="160" w:line="336" w:lineRule="auto"/>
        <w:ind w:right="-6" w:firstLine="567"/>
        <w:jc w:val="both"/>
        <w:rPr>
          <w:rFonts w:ascii="Sylfaen" w:hAnsi="Sylfaen"/>
          <w:sz w:val="24"/>
          <w:szCs w:val="24"/>
        </w:rPr>
        <w:sectPr w:rsidR="00890DC3" w:rsidSect="00C31D56">
          <w:footnotePr>
            <w:numRestart w:val="eachPage"/>
          </w:footnotePr>
          <w:pgSz w:w="11920" w:h="16840"/>
          <w:pgMar w:top="1418" w:right="1418" w:bottom="1418" w:left="1418" w:header="738" w:footer="370" w:gutter="0"/>
          <w:pgNumType w:start="16"/>
          <w:cols w:space="720"/>
        </w:sectPr>
      </w:pPr>
    </w:p>
    <w:p w14:paraId="74933FAA" w14:textId="77777777" w:rsidR="006F76EB" w:rsidRPr="00834D52" w:rsidRDefault="006F76EB" w:rsidP="006F76EB">
      <w:pPr>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1F4516">
        <w:rPr>
          <w:rFonts w:ascii="Sylfaen" w:hAnsi="Sylfaen"/>
          <w:sz w:val="24"/>
          <w:szCs w:val="24"/>
        </w:rPr>
        <w:t xml:space="preserve">ԹԻՎ </w:t>
      </w:r>
      <w:r w:rsidRPr="00834D52">
        <w:rPr>
          <w:rFonts w:ascii="Sylfaen" w:hAnsi="Sylfaen"/>
          <w:sz w:val="24"/>
          <w:szCs w:val="24"/>
        </w:rPr>
        <w:t>3</w:t>
      </w:r>
    </w:p>
    <w:p w14:paraId="4FFE5611" w14:textId="77777777" w:rsidR="006F76EB" w:rsidRPr="00834D52" w:rsidRDefault="006F76EB" w:rsidP="006F76EB">
      <w:pPr>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6B38A702" w14:textId="77777777" w:rsidR="006F76EB" w:rsidRPr="00834D52" w:rsidRDefault="006F76EB" w:rsidP="006F76EB">
      <w:pPr>
        <w:spacing w:after="160" w:line="360" w:lineRule="auto"/>
        <w:ind w:right="-8"/>
        <w:jc w:val="center"/>
        <w:rPr>
          <w:rFonts w:ascii="Sylfaen" w:hAnsi="Sylfaen"/>
          <w:sz w:val="24"/>
          <w:szCs w:val="24"/>
        </w:rPr>
      </w:pPr>
    </w:p>
    <w:p w14:paraId="776BF9F3"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ՑՈՒՑՈՒՄՆԵՐ</w:t>
      </w:r>
    </w:p>
    <w:p w14:paraId="0460D3CB" w14:textId="6968E171"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 xml:space="preserve">Որակի </w:t>
      </w:r>
      <w:r w:rsidR="00C64C1C">
        <w:rPr>
          <w:rFonts w:ascii="Sylfaen" w:hAnsi="Sylfaen"/>
          <w:b/>
          <w:sz w:val="24"/>
          <w:szCs w:val="24"/>
        </w:rPr>
        <w:t xml:space="preserve">վերաբերյալ </w:t>
      </w:r>
      <w:r w:rsidRPr="00834D52">
        <w:rPr>
          <w:rFonts w:ascii="Sylfaen" w:hAnsi="Sylfaen"/>
          <w:b/>
          <w:sz w:val="24"/>
          <w:szCs w:val="24"/>
        </w:rPr>
        <w:t xml:space="preserve">նորմատիվ փաստաթղթի կազմման, որն ուղեկցում է դեղապատրաստուկի գրանցման </w:t>
      </w:r>
      <w:r w:rsidR="0056496B">
        <w:rPr>
          <w:rFonts w:ascii="Sylfaen" w:hAnsi="Sylfaen"/>
          <w:b/>
          <w:sz w:val="24"/>
          <w:szCs w:val="24"/>
        </w:rPr>
        <w:t>դիմում</w:t>
      </w:r>
      <w:r w:rsidRPr="00834D52">
        <w:rPr>
          <w:rFonts w:ascii="Sylfaen" w:hAnsi="Sylfaen"/>
          <w:b/>
          <w:sz w:val="24"/>
          <w:szCs w:val="24"/>
        </w:rPr>
        <w:t>ին</w:t>
      </w:r>
    </w:p>
    <w:p w14:paraId="11A9D79C" w14:textId="77777777" w:rsidR="006F76EB" w:rsidRPr="00834D52" w:rsidRDefault="006F76EB" w:rsidP="006F76EB">
      <w:pPr>
        <w:spacing w:after="160" w:line="360" w:lineRule="auto"/>
        <w:ind w:right="-8" w:firstLine="567"/>
        <w:jc w:val="both"/>
        <w:rPr>
          <w:rFonts w:ascii="Sylfaen" w:hAnsi="Sylfaen"/>
          <w:sz w:val="24"/>
          <w:szCs w:val="24"/>
        </w:rPr>
      </w:pPr>
    </w:p>
    <w:p w14:paraId="3BC12C6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հսկողության նորմատիվ փաստաթղթերի (այսուհետ` ՆՓ) նախագիծը պետք է ներառի 8 բաժիններ`</w:t>
      </w:r>
    </w:p>
    <w:p w14:paraId="7CD03B42" w14:textId="77777777" w:rsidR="006F76EB" w:rsidRPr="00834D52" w:rsidRDefault="006F76EB" w:rsidP="009B75EA">
      <w:pPr>
        <w:pStyle w:val="ListParagraph"/>
        <w:numPr>
          <w:ilvl w:val="0"/>
          <w:numId w:val="2"/>
        </w:numPr>
        <w:tabs>
          <w:tab w:val="left" w:pos="1134"/>
        </w:tabs>
        <w:spacing w:after="160" w:line="360" w:lineRule="auto"/>
        <w:ind w:left="0" w:right="-8" w:firstLine="567"/>
        <w:contextualSpacing w:val="0"/>
        <w:jc w:val="both"/>
        <w:rPr>
          <w:rFonts w:ascii="Sylfaen" w:eastAsia="Times New Roman" w:hAnsi="Sylfaen" w:cs="Times New Roman"/>
          <w:sz w:val="24"/>
          <w:szCs w:val="24"/>
        </w:rPr>
      </w:pPr>
      <w:r w:rsidRPr="00834D52">
        <w:rPr>
          <w:rFonts w:ascii="Sylfaen" w:hAnsi="Sylfaen" w:cs="Arial"/>
          <w:sz w:val="24"/>
          <w:szCs w:val="24"/>
        </w:rPr>
        <w:t>Ամփոփաթերթը</w:t>
      </w:r>
      <w:r w:rsidRPr="00834D52">
        <w:rPr>
          <w:rFonts w:ascii="Sylfaen" w:hAnsi="Sylfaen"/>
          <w:sz w:val="24"/>
          <w:szCs w:val="24"/>
        </w:rPr>
        <w:t>, ներառյալ`</w:t>
      </w:r>
    </w:p>
    <w:p w14:paraId="5B7E51C1"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անվանումը (ապրանքային անվանումը </w:t>
      </w:r>
      <w:r w:rsidR="00C54D75">
        <w:rPr>
          <w:rFonts w:ascii="Sylfaen" w:hAnsi="Sylfaen"/>
          <w:sz w:val="24"/>
          <w:szCs w:val="24"/>
        </w:rPr>
        <w:t>և</w:t>
      </w:r>
      <w:r w:rsidRPr="00834D52">
        <w:rPr>
          <w:rFonts w:ascii="Sylfaen" w:hAnsi="Sylfaen"/>
          <w:sz w:val="24"/>
          <w:szCs w:val="24"/>
        </w:rPr>
        <w:t xml:space="preserve"> ՄՉԱ-ն, դրա բացակայության դեպքում` համընդհանուր (խմբային) անվանումը, վերջինիս բացակայության դեպքում` քիմիական անվանումը),</w:t>
      </w:r>
    </w:p>
    <w:p w14:paraId="18133FD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p w14:paraId="3584F61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դեղաչափը,</w:t>
      </w:r>
    </w:p>
    <w:p w14:paraId="48E0D7A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երկրի անվանումը,</w:t>
      </w:r>
    </w:p>
    <w:p w14:paraId="74BDBD3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ՆՓ համարի նշման համար դաշտ (նշվում է </w:t>
      </w:r>
      <w:r w:rsidR="0032680A">
        <w:rPr>
          <w:rFonts w:ascii="Sylfaen" w:hAnsi="Sylfaen"/>
          <w:sz w:val="24"/>
          <w:szCs w:val="24"/>
        </w:rPr>
        <w:t xml:space="preserve">ռեֆերենտ </w:t>
      </w:r>
      <w:r w:rsidRPr="00834D52">
        <w:rPr>
          <w:rFonts w:ascii="Sylfaen" w:hAnsi="Sylfaen"/>
          <w:sz w:val="24"/>
          <w:szCs w:val="24"/>
        </w:rPr>
        <w:t>պետության կողմից տրված գրանցման հավաստագրի համարի ձ</w:t>
      </w:r>
      <w:r w:rsidR="00C54D75">
        <w:rPr>
          <w:rFonts w:ascii="Sylfaen" w:hAnsi="Sylfaen"/>
          <w:sz w:val="24"/>
          <w:szCs w:val="24"/>
        </w:rPr>
        <w:t>և</w:t>
      </w:r>
      <w:r w:rsidRPr="00834D52">
        <w:rPr>
          <w:rFonts w:ascii="Sylfaen" w:hAnsi="Sylfaen"/>
          <w:sz w:val="24"/>
          <w:szCs w:val="24"/>
        </w:rPr>
        <w:t xml:space="preserve">ով </w:t>
      </w:r>
      <w:r w:rsidR="00C54D75">
        <w:rPr>
          <w:rFonts w:ascii="Sylfaen" w:hAnsi="Sylfaen"/>
          <w:sz w:val="24"/>
          <w:szCs w:val="24"/>
        </w:rPr>
        <w:t>և</w:t>
      </w:r>
      <w:r w:rsidRPr="00834D52">
        <w:rPr>
          <w:rFonts w:ascii="Sylfaen" w:hAnsi="Sylfaen"/>
          <w:sz w:val="24"/>
          <w:szCs w:val="24"/>
        </w:rPr>
        <w:t xml:space="preserve"> ՕՕ.ԱԱ.ՏՏՏՏ ձ</w:t>
      </w:r>
      <w:r w:rsidR="00C54D75">
        <w:rPr>
          <w:rFonts w:ascii="Sylfaen" w:hAnsi="Sylfaen"/>
          <w:sz w:val="24"/>
          <w:szCs w:val="24"/>
        </w:rPr>
        <w:t>և</w:t>
      </w:r>
      <w:r w:rsidRPr="00834D52">
        <w:rPr>
          <w:rFonts w:ascii="Sylfaen" w:hAnsi="Sylfaen"/>
          <w:sz w:val="24"/>
          <w:szCs w:val="24"/>
        </w:rPr>
        <w:t>աչափով գրանցման ամսաթիվը, որը նշվում է միացման գծիկով),</w:t>
      </w:r>
    </w:p>
    <w:p w14:paraId="2E11C75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համաձայնեցման գրիֆը:</w:t>
      </w:r>
    </w:p>
    <w:p w14:paraId="7B1A44E0" w14:textId="77777777" w:rsidR="006F76EB" w:rsidRPr="00834D52" w:rsidRDefault="006F76EB" w:rsidP="009B75E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Դեղապատրաստուկի բաղադրությունը նշվում է ՆՓ առանձին բաժնում գրանցման դոսյեի 3-րդ մոդուլի 3.2.Р.5.1 բաժնին համապատասխան (առանց նշելու ֆունկցիոնալ նշանակությունը) `որպես դեղագործական բաղադրամասի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օժանդակ նյութերի քանակական </w:t>
      </w:r>
      <w:r w:rsidR="00C54D75">
        <w:rPr>
          <w:rFonts w:ascii="Sylfaen" w:hAnsi="Sylfaen"/>
          <w:sz w:val="24"/>
          <w:szCs w:val="24"/>
        </w:rPr>
        <w:t>և</w:t>
      </w:r>
      <w:r w:rsidRPr="00834D52">
        <w:rPr>
          <w:rFonts w:ascii="Sylfaen" w:hAnsi="Sylfaen"/>
          <w:sz w:val="24"/>
          <w:szCs w:val="24"/>
        </w:rPr>
        <w:t xml:space="preserve"> որակական բաղադրության ցուցում` դրանց որակը կարգավորող դեղագրքին կամ նորմատիվ փաստաթղթերին արված հղումներով: </w:t>
      </w:r>
    </w:p>
    <w:p w14:paraId="39D13C83" w14:textId="77777777" w:rsidR="006F76EB" w:rsidRPr="00834D52" w:rsidRDefault="006F76EB" w:rsidP="009B75E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Մասնագիրը (գրանցման դոսյեի 3-րդ մոդուլի 3.2.Р.5.1 բաժնին համապատասխան)՝ 3 սյունակներից բաղկացած աղյուսակի տեսքով՝</w:t>
      </w:r>
    </w:p>
    <w:p w14:paraId="2B0B403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բոլոր ցուցանիշների ցանկը,</w:t>
      </w:r>
    </w:p>
    <w:p w14:paraId="69AC250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նորմաները (թույլատրելի շեմերը),</w:t>
      </w:r>
    </w:p>
    <w:p w14:paraId="0C1622B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փորձարկման մեթոդներին արված հղումները:</w:t>
      </w:r>
    </w:p>
    <w:p w14:paraId="483F7D48"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Որակի ցուցանիշները պետք է սահմանվեն Եվրասիական տնտեսական միության դեղագրքի (այսուհետ՝ Միություն) ընդհանուր դեղագրքային հոդվածների (մենագրությունների)` դեղաձ</w:t>
      </w:r>
      <w:r w:rsidR="00C54D75">
        <w:rPr>
          <w:rFonts w:ascii="Sylfaen" w:hAnsi="Sylfaen"/>
          <w:sz w:val="24"/>
          <w:szCs w:val="24"/>
        </w:rPr>
        <w:t>և</w:t>
      </w:r>
      <w:r w:rsidRPr="00834D52">
        <w:rPr>
          <w:rFonts w:ascii="Sylfaen" w:hAnsi="Sylfaen"/>
          <w:sz w:val="24"/>
          <w:szCs w:val="24"/>
        </w:rPr>
        <w:t>երին առնչվող պահանջներին համապատասխան` հաշվի առնելով դեղագործական բաղադրամասի բնույթից կախված դեղապատրաստուկի կոնկրետ դեղաձ</w:t>
      </w:r>
      <w:r w:rsidR="00C54D75">
        <w:rPr>
          <w:rFonts w:ascii="Sylfaen" w:hAnsi="Sylfaen"/>
          <w:sz w:val="24"/>
          <w:szCs w:val="24"/>
        </w:rPr>
        <w:t>և</w:t>
      </w:r>
      <w:r w:rsidRPr="00834D52">
        <w:rPr>
          <w:rFonts w:ascii="Sylfaen" w:hAnsi="Sylfaen"/>
          <w:sz w:val="24"/>
          <w:szCs w:val="24"/>
        </w:rPr>
        <w:t xml:space="preserve">երի առանձնահատկությունները, </w:t>
      </w:r>
      <w:r w:rsidR="00C54D75">
        <w:rPr>
          <w:rFonts w:ascii="Sylfaen" w:hAnsi="Sylfaen"/>
          <w:sz w:val="24"/>
          <w:szCs w:val="24"/>
        </w:rPr>
        <w:t>և</w:t>
      </w:r>
      <w:r w:rsidRPr="00834D52">
        <w:rPr>
          <w:rFonts w:ascii="Sylfaen" w:hAnsi="Sylfaen"/>
          <w:sz w:val="24"/>
          <w:szCs w:val="24"/>
        </w:rPr>
        <w:t xml:space="preserve"> սույն փաստաթղթին համապատասխան:</w:t>
      </w:r>
    </w:p>
    <w:p w14:paraId="46B61E14"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Մասնագրում որակի ցուցանիշների անվանումը նշվում է Եվրասիական տնտեսական միության դեղագրքին համապատասխան:</w:t>
      </w:r>
    </w:p>
    <w:p w14:paraId="53ACC6D2"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առանձին ցուցանիշների մասով փորձարկումն իրականացվում է ընտրանքային կարգով կամ սահմանված պարբերականությամբ, ապա մասնագրում սահմանվում է փորձարկման ընտրողականությունը </w:t>
      </w:r>
      <w:r w:rsidR="00C54D75">
        <w:rPr>
          <w:rFonts w:ascii="Sylfaen" w:hAnsi="Sylfaen"/>
          <w:sz w:val="24"/>
          <w:szCs w:val="24"/>
        </w:rPr>
        <w:t>և</w:t>
      </w:r>
      <w:r w:rsidRPr="00834D52">
        <w:rPr>
          <w:rFonts w:ascii="Sylfaen" w:hAnsi="Sylfaen"/>
          <w:sz w:val="24"/>
          <w:szCs w:val="24"/>
        </w:rPr>
        <w:t xml:space="preserve"> պարբերականությունը:</w:t>
      </w:r>
    </w:p>
    <w:p w14:paraId="26545329" w14:textId="77777777" w:rsidR="006F76EB" w:rsidRPr="00834D52" w:rsidRDefault="006F76EB" w:rsidP="009B75E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 xml:space="preserve">Դեղապատրաստուկի փորձարկման մեթոդների </w:t>
      </w:r>
      <w:r w:rsidR="00C54D75">
        <w:rPr>
          <w:rFonts w:ascii="Sylfaen" w:hAnsi="Sylfaen"/>
          <w:sz w:val="24"/>
          <w:szCs w:val="24"/>
        </w:rPr>
        <w:t>և</w:t>
      </w:r>
      <w:r w:rsidRPr="00834D52">
        <w:rPr>
          <w:rFonts w:ascii="Sylfaen" w:hAnsi="Sylfaen"/>
          <w:sz w:val="24"/>
          <w:szCs w:val="24"/>
        </w:rPr>
        <w:t xml:space="preserve"> մեթոդիկաների իրականացման մանրամասն նկարագրությունը՝ որակի մասնագրի բոլոր ցուցանիշների մասով, Միության դեղագրքին արված հղումներով (եթե կիրառելի է) իրականացվում է գրանցման դոսյեի 3-րդ մոդուլի 3.2.Р.5.2 բաժնին համապատասխան: </w:t>
      </w:r>
    </w:p>
    <w:p w14:paraId="0C0722D1"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lastRenderedPageBreak/>
        <w:t>5.</w:t>
      </w:r>
      <w:r w:rsidRPr="009B75EA">
        <w:rPr>
          <w:rFonts w:ascii="Sylfaen" w:hAnsi="Sylfaen"/>
          <w:sz w:val="24"/>
          <w:szCs w:val="24"/>
        </w:rPr>
        <w:tab/>
        <w:t xml:space="preserve">ՆՓ-ի «Փաթեթվածք» բաժնում նկարագրվում են առաջնային փաթեթվածքը (ամպուլաներ, սրվակներ, բանկաներ, փաթեթներ </w:t>
      </w:r>
      <w:r w:rsidR="00C54D75">
        <w:rPr>
          <w:rFonts w:ascii="Sylfaen" w:hAnsi="Sylfaen"/>
          <w:sz w:val="24"/>
          <w:szCs w:val="24"/>
        </w:rPr>
        <w:t>և</w:t>
      </w:r>
      <w:r w:rsidRPr="009B75EA">
        <w:rPr>
          <w:rFonts w:ascii="Sylfaen" w:hAnsi="Sylfaen"/>
          <w:sz w:val="24"/>
          <w:szCs w:val="24"/>
        </w:rPr>
        <w:t xml:space="preserve"> այլն), առաջնային փաթեթվածքում միավոր արտադրանքի քանակը (օրինակ` ուրվագծային բջջային (բլիստերային) կամ ոչ բջջային (ոչ բլիստերային) փաթեթվածքում դեղահաբերի քանակը), միջանկյալ, երկրորդային (սպառողական) փաթեթվածքը </w:t>
      </w:r>
      <w:r w:rsidR="00C54D75">
        <w:rPr>
          <w:rFonts w:ascii="Sylfaen" w:hAnsi="Sylfaen"/>
          <w:sz w:val="24"/>
          <w:szCs w:val="24"/>
        </w:rPr>
        <w:t>և</w:t>
      </w:r>
      <w:r w:rsidRPr="009B75EA">
        <w:rPr>
          <w:rFonts w:ascii="Sylfaen" w:hAnsi="Sylfaen"/>
          <w:sz w:val="24"/>
          <w:szCs w:val="24"/>
        </w:rPr>
        <w:t xml:space="preserve"> դրանում առաջնային փաթեթվածքների քանակը (օրինակ` երկրորդային փաթեթվածքում ուրվագծային բջջային փաթեթվածքների քանակը), խոնավության կլանիչի, ներդիր թերթիկի (բժշկական կիրառման հրահանգի) առկայությունը, լրակազմությունը (ասեղ, կաթոցիչ, սեղմակ </w:t>
      </w:r>
      <w:r w:rsidR="00C54D75">
        <w:rPr>
          <w:rFonts w:ascii="Sylfaen" w:hAnsi="Sylfaen"/>
          <w:sz w:val="24"/>
          <w:szCs w:val="24"/>
        </w:rPr>
        <w:t>և</w:t>
      </w:r>
      <w:r w:rsidRPr="009B75EA">
        <w:rPr>
          <w:rFonts w:ascii="Sylfaen" w:hAnsi="Sylfaen"/>
          <w:sz w:val="24"/>
          <w:szCs w:val="24"/>
        </w:rPr>
        <w:t xml:space="preserve"> այլն) </w:t>
      </w:r>
      <w:r w:rsidR="00C54D75">
        <w:rPr>
          <w:rFonts w:ascii="Sylfaen" w:hAnsi="Sylfaen"/>
          <w:sz w:val="24"/>
          <w:szCs w:val="24"/>
        </w:rPr>
        <w:t>և</w:t>
      </w:r>
      <w:r w:rsidRPr="009B75EA">
        <w:rPr>
          <w:rFonts w:ascii="Sylfaen" w:hAnsi="Sylfaen"/>
          <w:sz w:val="24"/>
          <w:szCs w:val="24"/>
        </w:rPr>
        <w:t xml:space="preserve"> այլն:</w:t>
      </w:r>
    </w:p>
    <w:p w14:paraId="08CF5404"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6.</w:t>
      </w:r>
      <w:r w:rsidRPr="00834D52">
        <w:rPr>
          <w:rFonts w:ascii="Sylfaen" w:hAnsi="Sylfaen"/>
          <w:sz w:val="24"/>
          <w:szCs w:val="24"/>
        </w:rPr>
        <w:tab/>
        <w:t>ՆՓ-ի «Մականշվածք» բաժնում հղում է բերվում գրանցման դոսյեի 1-ին մոդուլի 1.3.2. բաժնին:</w:t>
      </w:r>
    </w:p>
    <w:p w14:paraId="14D6D7C0"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7.</w:t>
      </w:r>
      <w:r w:rsidRPr="00834D52">
        <w:rPr>
          <w:rFonts w:ascii="Sylfaen" w:hAnsi="Sylfaen"/>
          <w:sz w:val="24"/>
          <w:szCs w:val="24"/>
        </w:rPr>
        <w:tab/>
        <w:t>Պահման պայմանները:</w:t>
      </w:r>
    </w:p>
    <w:p w14:paraId="111FA05E" w14:textId="77777777" w:rsidR="006F76EB" w:rsidRDefault="006F76EB" w:rsidP="009B75EA">
      <w:pPr>
        <w:pBdr>
          <w:bottom w:val="single" w:sz="6" w:space="1" w:color="auto"/>
        </w:pBd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8.</w:t>
      </w:r>
      <w:r w:rsidRPr="00834D52">
        <w:rPr>
          <w:rFonts w:ascii="Sylfaen" w:hAnsi="Sylfaen"/>
          <w:sz w:val="24"/>
          <w:szCs w:val="24"/>
        </w:rPr>
        <w:tab/>
        <w:t>Պիտանիության (պահման) ժամկետը:</w:t>
      </w:r>
    </w:p>
    <w:p w14:paraId="06094DF6" w14:textId="77777777" w:rsidR="00890DC3" w:rsidRPr="006F28F9" w:rsidRDefault="00890DC3" w:rsidP="00890DC3">
      <w:pPr>
        <w:rPr>
          <w:b/>
          <w:bCs/>
          <w:i/>
          <w:iCs/>
        </w:rPr>
      </w:pPr>
      <w:r w:rsidRPr="00CD4709">
        <w:rPr>
          <w:b/>
          <w:bCs/>
          <w:i/>
          <w:iCs/>
        </w:rPr>
        <w:t>(</w:t>
      </w:r>
      <w:r>
        <w:rPr>
          <w:b/>
          <w:bCs/>
          <w:i/>
          <w:iCs/>
        </w:rPr>
        <w:t xml:space="preserve">հավելվածը </w:t>
      </w:r>
      <w:r w:rsidRPr="00CD4709">
        <w:rPr>
          <w:b/>
          <w:bCs/>
          <w:i/>
          <w:iCs/>
        </w:rPr>
        <w:t>փոփ. 30.01.20 թիվ 9)</w:t>
      </w:r>
    </w:p>
    <w:p w14:paraId="6ADB9C55" w14:textId="77777777" w:rsidR="00890DC3" w:rsidRPr="00834D52" w:rsidRDefault="00890DC3" w:rsidP="00974276">
      <w:pPr>
        <w:tabs>
          <w:tab w:val="left" w:pos="1134"/>
        </w:tabs>
        <w:spacing w:after="160" w:line="384" w:lineRule="auto"/>
        <w:ind w:right="-6" w:firstLine="567"/>
        <w:jc w:val="center"/>
        <w:rPr>
          <w:rFonts w:ascii="Sylfaen" w:eastAsia="Times New Roman" w:hAnsi="Sylfaen" w:cs="Times New Roman"/>
          <w:sz w:val="24"/>
          <w:szCs w:val="24"/>
        </w:rPr>
      </w:pPr>
    </w:p>
    <w:p w14:paraId="19E3C2B4" w14:textId="77777777" w:rsidR="006F76EB" w:rsidRDefault="006F76EB" w:rsidP="006F76EB">
      <w:pPr>
        <w:widowControl/>
        <w:rPr>
          <w:rFonts w:ascii="Sylfaen" w:hAnsi="Sylfaen"/>
          <w:sz w:val="24"/>
          <w:szCs w:val="24"/>
        </w:rPr>
      </w:pPr>
    </w:p>
    <w:p w14:paraId="51B13195" w14:textId="77777777" w:rsidR="006F76EB" w:rsidRDefault="006F76EB" w:rsidP="006F76EB">
      <w:pPr>
        <w:widowControl/>
        <w:spacing w:after="160" w:line="360" w:lineRule="auto"/>
        <w:rPr>
          <w:rFonts w:ascii="Sylfaen" w:hAnsi="Sylfaen"/>
          <w:sz w:val="24"/>
          <w:szCs w:val="24"/>
        </w:rPr>
        <w:sectPr w:rsidR="006F76EB" w:rsidSect="00C31D56">
          <w:pgSz w:w="11920" w:h="16840"/>
          <w:pgMar w:top="1418" w:right="1418" w:bottom="1418" w:left="1418" w:header="738" w:footer="375" w:gutter="0"/>
          <w:pgNumType w:start="1"/>
          <w:cols w:space="720"/>
          <w:titlePg/>
          <w:docGrid w:linePitch="299"/>
        </w:sectPr>
      </w:pPr>
    </w:p>
    <w:p w14:paraId="15C7F1D4"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1C09E1">
        <w:rPr>
          <w:rFonts w:ascii="Sylfaen" w:hAnsi="Sylfaen"/>
          <w:sz w:val="24"/>
          <w:szCs w:val="24"/>
        </w:rPr>
        <w:t xml:space="preserve">ԹԻՎ </w:t>
      </w:r>
      <w:r w:rsidRPr="00834D52">
        <w:rPr>
          <w:rFonts w:ascii="Sylfaen" w:hAnsi="Sylfaen"/>
          <w:sz w:val="24"/>
          <w:szCs w:val="24"/>
        </w:rPr>
        <w:t>4</w:t>
      </w:r>
    </w:p>
    <w:p w14:paraId="32951D8B"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1D9B3AEF" w14:textId="77777777" w:rsidR="006F76EB" w:rsidRPr="00834D52" w:rsidRDefault="006F76EB" w:rsidP="006F76EB">
      <w:pPr>
        <w:spacing w:after="160" w:line="360" w:lineRule="auto"/>
        <w:ind w:left="567" w:right="567"/>
        <w:jc w:val="center"/>
        <w:rPr>
          <w:rFonts w:ascii="Sylfaen" w:hAnsi="Sylfaen"/>
          <w:sz w:val="24"/>
          <w:szCs w:val="24"/>
        </w:rPr>
      </w:pPr>
    </w:p>
    <w:p w14:paraId="6730A9B4"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ՊԱՀԱՆՋՆԵՐ</w:t>
      </w:r>
    </w:p>
    <w:p w14:paraId="50EB5826" w14:textId="77777777" w:rsidR="006F76EB" w:rsidRPr="00834D52" w:rsidRDefault="006F76EB" w:rsidP="006F76EB">
      <w:pPr>
        <w:spacing w:after="160" w:line="360" w:lineRule="auto"/>
        <w:ind w:left="567" w:right="567"/>
        <w:jc w:val="center"/>
        <w:rPr>
          <w:rFonts w:ascii="Sylfaen" w:eastAsia="Times New Roman" w:hAnsi="Sylfaen" w:cs="Times New Roman"/>
          <w:b/>
          <w:bCs/>
          <w:sz w:val="24"/>
          <w:szCs w:val="24"/>
        </w:rPr>
      </w:pPr>
      <w:r w:rsidRPr="00834D52">
        <w:rPr>
          <w:rFonts w:ascii="Sylfaen" w:hAnsi="Sylfaen"/>
          <w:b/>
          <w:sz w:val="24"/>
          <w:szCs w:val="24"/>
        </w:rPr>
        <w:t>ընդհանուր տեխնիկական փաստաթղթի (ԸՏՓ) ձ</w:t>
      </w:r>
      <w:r w:rsidR="00C54D75">
        <w:rPr>
          <w:rFonts w:ascii="Sylfaen" w:hAnsi="Sylfaen"/>
          <w:b/>
          <w:sz w:val="24"/>
          <w:szCs w:val="24"/>
        </w:rPr>
        <w:t>և</w:t>
      </w:r>
      <w:r w:rsidRPr="00834D52">
        <w:rPr>
          <w:rFonts w:ascii="Sylfaen" w:hAnsi="Sylfaen"/>
          <w:b/>
          <w:sz w:val="24"/>
          <w:szCs w:val="24"/>
        </w:rPr>
        <w:t>աչափով դեղապատրաստուկի գրանցման դոսյեի փաստաթղթերի ձ</w:t>
      </w:r>
      <w:r w:rsidR="00C54D75">
        <w:rPr>
          <w:rFonts w:ascii="Sylfaen" w:hAnsi="Sylfaen"/>
          <w:b/>
          <w:sz w:val="24"/>
          <w:szCs w:val="24"/>
        </w:rPr>
        <w:t>և</w:t>
      </w:r>
      <w:r w:rsidRPr="00834D52">
        <w:rPr>
          <w:rFonts w:ascii="Sylfaen" w:hAnsi="Sylfaen"/>
          <w:b/>
          <w:sz w:val="24"/>
          <w:szCs w:val="24"/>
        </w:rPr>
        <w:t xml:space="preserve">աչափին </w:t>
      </w:r>
      <w:r w:rsidR="00C54D75">
        <w:rPr>
          <w:rFonts w:ascii="Sylfaen" w:hAnsi="Sylfaen"/>
          <w:b/>
          <w:sz w:val="24"/>
          <w:szCs w:val="24"/>
        </w:rPr>
        <w:t>և</w:t>
      </w:r>
      <w:r w:rsidRPr="00834D52">
        <w:rPr>
          <w:rFonts w:ascii="Sylfaen" w:hAnsi="Sylfaen"/>
          <w:b/>
          <w:sz w:val="24"/>
          <w:szCs w:val="24"/>
        </w:rPr>
        <w:t xml:space="preserve"> տեղադրմանը ներկայացվող</w:t>
      </w:r>
    </w:p>
    <w:p w14:paraId="6FA18A03"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p>
    <w:p w14:paraId="2338779F"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sz w:val="24"/>
          <w:szCs w:val="24"/>
        </w:rPr>
        <w:t xml:space="preserve">I. Դեղապատրաստուկի գրանցման դոսյեի մոդուլներում </w:t>
      </w:r>
      <w:r w:rsidRPr="00834D52">
        <w:rPr>
          <w:rFonts w:ascii="Sylfaen" w:hAnsi="Sylfaen"/>
          <w:sz w:val="24"/>
          <w:szCs w:val="24"/>
        </w:rPr>
        <w:br/>
        <w:t>փաստաթղթերի ցանկը</w:t>
      </w:r>
    </w:p>
    <w:tbl>
      <w:tblPr>
        <w:tblStyle w:val="TableGrid"/>
        <w:tblW w:w="9977" w:type="dxa"/>
        <w:tblLook w:val="04A0" w:firstRow="1" w:lastRow="0" w:firstColumn="1" w:lastColumn="0" w:noHBand="0" w:noVBand="1"/>
      </w:tblPr>
      <w:tblGrid>
        <w:gridCol w:w="1809"/>
        <w:gridCol w:w="8157"/>
        <w:gridCol w:w="11"/>
      </w:tblGrid>
      <w:tr w:rsidR="006F76EB" w:rsidRPr="00834D52" w14:paraId="1FF617AA" w14:textId="77777777" w:rsidTr="00F71229">
        <w:trPr>
          <w:gridAfter w:val="1"/>
          <w:wAfter w:w="11" w:type="dxa"/>
          <w:tblHeader/>
        </w:trPr>
        <w:tc>
          <w:tcPr>
            <w:tcW w:w="1809" w:type="dxa"/>
          </w:tcPr>
          <w:p w14:paraId="4851E335" w14:textId="77777777" w:rsidR="006F76EB" w:rsidRPr="00834D52" w:rsidRDefault="006F76EB" w:rsidP="00E7523C">
            <w:pPr>
              <w:spacing w:after="120" w:line="360" w:lineRule="auto"/>
              <w:ind w:right="-6"/>
              <w:jc w:val="center"/>
              <w:rPr>
                <w:rFonts w:ascii="Sylfaen" w:eastAsia="Times New Roman" w:hAnsi="Sylfaen" w:cs="Times New Roman"/>
                <w:sz w:val="24"/>
                <w:szCs w:val="24"/>
              </w:rPr>
            </w:pPr>
            <w:r w:rsidRPr="00834D52">
              <w:rPr>
                <w:rFonts w:ascii="Sylfaen" w:hAnsi="Sylfaen"/>
                <w:sz w:val="24"/>
                <w:szCs w:val="24"/>
              </w:rPr>
              <w:t>Համարը՝ ը/կ</w:t>
            </w:r>
          </w:p>
        </w:tc>
        <w:tc>
          <w:tcPr>
            <w:tcW w:w="8157" w:type="dxa"/>
          </w:tcPr>
          <w:p w14:paraId="088636EF" w14:textId="77777777" w:rsidR="006F76EB" w:rsidRPr="00834D52" w:rsidRDefault="006F76EB" w:rsidP="00E7523C">
            <w:pPr>
              <w:spacing w:after="120" w:line="360" w:lineRule="auto"/>
              <w:ind w:right="111"/>
              <w:jc w:val="center"/>
              <w:rPr>
                <w:rFonts w:ascii="Sylfaen" w:eastAsia="Times New Roman" w:hAnsi="Sylfaen" w:cs="Times New Roman"/>
                <w:sz w:val="24"/>
                <w:szCs w:val="24"/>
              </w:rPr>
            </w:pPr>
            <w:r w:rsidRPr="00834D52">
              <w:rPr>
                <w:rFonts w:ascii="Sylfaen" w:hAnsi="Sylfaen"/>
                <w:sz w:val="24"/>
                <w:szCs w:val="24"/>
              </w:rPr>
              <w:t>ՓԱՍՏԱԹՂԹԻ ԱՆՎԱՆՈՒՄԸ</w:t>
            </w:r>
          </w:p>
        </w:tc>
      </w:tr>
      <w:tr w:rsidR="006F76EB" w:rsidRPr="00834D52" w14:paraId="12CC97DC" w14:textId="77777777" w:rsidTr="00F71229">
        <w:trPr>
          <w:gridAfter w:val="1"/>
          <w:wAfter w:w="11" w:type="dxa"/>
        </w:trPr>
        <w:tc>
          <w:tcPr>
            <w:tcW w:w="9966" w:type="dxa"/>
            <w:gridSpan w:val="2"/>
            <w:tcBorders>
              <w:bottom w:val="single" w:sz="4" w:space="0" w:color="auto"/>
            </w:tcBorders>
          </w:tcPr>
          <w:p w14:paraId="3EF68802" w14:textId="77777777" w:rsidR="006F76EB" w:rsidRPr="00834D52" w:rsidRDefault="006F76EB" w:rsidP="00E7523C">
            <w:pPr>
              <w:spacing w:after="120" w:line="360" w:lineRule="auto"/>
              <w:ind w:right="-31"/>
              <w:jc w:val="center"/>
              <w:rPr>
                <w:rFonts w:ascii="Sylfaen" w:eastAsia="Times New Roman" w:hAnsi="Sylfaen" w:cs="Times New Roman"/>
                <w:sz w:val="24"/>
                <w:szCs w:val="24"/>
              </w:rPr>
            </w:pPr>
            <w:r w:rsidRPr="00834D52">
              <w:rPr>
                <w:rFonts w:ascii="Sylfaen" w:hAnsi="Sylfaen"/>
                <w:sz w:val="24"/>
                <w:szCs w:val="24"/>
              </w:rPr>
              <w:t>ՄՈԴՈՒԼ 1. ՎԱՐՉԱԿԱՆ ՏԵՂԵԿԱՏՎՈՒԹՅՈՒՆ</w:t>
            </w:r>
          </w:p>
        </w:tc>
      </w:tr>
      <w:tr w:rsidR="006F76EB" w:rsidRPr="00834D52" w14:paraId="6A072593" w14:textId="77777777" w:rsidTr="00F71229">
        <w:trPr>
          <w:gridAfter w:val="1"/>
          <w:wAfter w:w="11" w:type="dxa"/>
        </w:trPr>
        <w:tc>
          <w:tcPr>
            <w:tcW w:w="1809" w:type="dxa"/>
            <w:tcBorders>
              <w:top w:val="single" w:sz="4" w:space="0" w:color="auto"/>
              <w:left w:val="nil"/>
              <w:bottom w:val="nil"/>
              <w:right w:val="nil"/>
            </w:tcBorders>
          </w:tcPr>
          <w:p w14:paraId="4DEA9250"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1.0.</w:t>
            </w:r>
          </w:p>
        </w:tc>
        <w:tc>
          <w:tcPr>
            <w:tcW w:w="8157" w:type="dxa"/>
            <w:tcBorders>
              <w:top w:val="single" w:sz="4" w:space="0" w:color="auto"/>
              <w:left w:val="nil"/>
              <w:bottom w:val="nil"/>
              <w:right w:val="nil"/>
            </w:tcBorders>
          </w:tcPr>
          <w:p w14:paraId="3AFBD42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Ուղեկցող նամակ (ինչպես ԸՏՓ-ում)</w:t>
            </w:r>
          </w:p>
        </w:tc>
      </w:tr>
      <w:tr w:rsidR="006F76EB" w:rsidRPr="00834D52" w14:paraId="7104D78E" w14:textId="77777777" w:rsidTr="00F71229">
        <w:trPr>
          <w:gridAfter w:val="1"/>
          <w:wAfter w:w="11" w:type="dxa"/>
        </w:trPr>
        <w:tc>
          <w:tcPr>
            <w:tcW w:w="1809" w:type="dxa"/>
            <w:tcBorders>
              <w:top w:val="nil"/>
              <w:left w:val="nil"/>
              <w:bottom w:val="nil"/>
              <w:right w:val="nil"/>
            </w:tcBorders>
          </w:tcPr>
          <w:p w14:paraId="2F395BD5"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1.1.</w:t>
            </w:r>
          </w:p>
        </w:tc>
        <w:tc>
          <w:tcPr>
            <w:tcW w:w="8157" w:type="dxa"/>
            <w:tcBorders>
              <w:top w:val="nil"/>
              <w:left w:val="nil"/>
              <w:bottom w:val="nil"/>
              <w:right w:val="nil"/>
            </w:tcBorders>
          </w:tcPr>
          <w:p w14:paraId="4684D5A4"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Բովանդակություն</w:t>
            </w:r>
          </w:p>
        </w:tc>
      </w:tr>
      <w:tr w:rsidR="006F76EB" w:rsidRPr="00834D52" w14:paraId="0518146E" w14:textId="77777777" w:rsidTr="00F71229">
        <w:trPr>
          <w:gridAfter w:val="1"/>
          <w:wAfter w:w="11" w:type="dxa"/>
        </w:trPr>
        <w:tc>
          <w:tcPr>
            <w:tcW w:w="1809" w:type="dxa"/>
            <w:tcBorders>
              <w:top w:val="nil"/>
              <w:left w:val="nil"/>
              <w:bottom w:val="nil"/>
              <w:right w:val="nil"/>
            </w:tcBorders>
          </w:tcPr>
          <w:p w14:paraId="61CE60C3"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1.2.</w:t>
            </w:r>
          </w:p>
        </w:tc>
        <w:tc>
          <w:tcPr>
            <w:tcW w:w="8157" w:type="dxa"/>
            <w:tcBorders>
              <w:top w:val="nil"/>
              <w:left w:val="nil"/>
              <w:bottom w:val="nil"/>
              <w:right w:val="nil"/>
            </w:tcBorders>
          </w:tcPr>
          <w:p w14:paraId="4563148C"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Ընդհանուր փաստաթղթերը</w:t>
            </w:r>
          </w:p>
        </w:tc>
      </w:tr>
      <w:tr w:rsidR="006F76EB" w:rsidRPr="00834D52" w14:paraId="467CB38A" w14:textId="77777777" w:rsidTr="00F71229">
        <w:trPr>
          <w:gridAfter w:val="1"/>
          <w:wAfter w:w="11" w:type="dxa"/>
        </w:trPr>
        <w:tc>
          <w:tcPr>
            <w:tcW w:w="1809" w:type="dxa"/>
            <w:tcBorders>
              <w:top w:val="nil"/>
              <w:left w:val="nil"/>
              <w:bottom w:val="nil"/>
              <w:right w:val="nil"/>
            </w:tcBorders>
          </w:tcPr>
          <w:p w14:paraId="07D48413"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1.2.1.</w:t>
            </w:r>
          </w:p>
        </w:tc>
        <w:tc>
          <w:tcPr>
            <w:tcW w:w="8157" w:type="dxa"/>
            <w:tcBorders>
              <w:top w:val="nil"/>
              <w:left w:val="nil"/>
              <w:bottom w:val="nil"/>
              <w:right w:val="nil"/>
            </w:tcBorders>
          </w:tcPr>
          <w:p w14:paraId="7EDB84A5" w14:textId="76E04B8A"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56496B">
              <w:rPr>
                <w:rFonts w:ascii="Sylfaen" w:hAnsi="Sylfaen"/>
                <w:sz w:val="24"/>
                <w:szCs w:val="24"/>
              </w:rPr>
              <w:t>դիմում</w:t>
            </w:r>
            <w:r w:rsidRPr="00834D52">
              <w:rPr>
                <w:rFonts w:ascii="Sylfaen" w:hAnsi="Sylfaen"/>
                <w:sz w:val="24"/>
                <w:szCs w:val="24"/>
              </w:rPr>
              <w:t>ը</w:t>
            </w:r>
          </w:p>
        </w:tc>
      </w:tr>
      <w:tr w:rsidR="006F76EB" w:rsidRPr="00834D52" w14:paraId="3EE582D0" w14:textId="77777777" w:rsidTr="00F71229">
        <w:trPr>
          <w:gridAfter w:val="1"/>
          <w:wAfter w:w="11" w:type="dxa"/>
        </w:trPr>
        <w:tc>
          <w:tcPr>
            <w:tcW w:w="1809" w:type="dxa"/>
            <w:tcBorders>
              <w:top w:val="nil"/>
              <w:left w:val="nil"/>
              <w:bottom w:val="nil"/>
              <w:right w:val="nil"/>
            </w:tcBorders>
          </w:tcPr>
          <w:p w14:paraId="390089E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1.2.2.</w:t>
            </w:r>
          </w:p>
        </w:tc>
        <w:tc>
          <w:tcPr>
            <w:tcW w:w="8157" w:type="dxa"/>
            <w:tcBorders>
              <w:top w:val="nil"/>
              <w:left w:val="nil"/>
              <w:bottom w:val="nil"/>
              <w:right w:val="nil"/>
            </w:tcBorders>
          </w:tcPr>
          <w:p w14:paraId="64B640E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փորձագիտական աշխատանքների վճարումը </w:t>
            </w:r>
            <w:r w:rsidR="00C54D75">
              <w:rPr>
                <w:rFonts w:ascii="Sylfaen" w:hAnsi="Sylfaen"/>
                <w:sz w:val="24"/>
                <w:szCs w:val="24"/>
              </w:rPr>
              <w:t>և</w:t>
            </w:r>
            <w:r w:rsidRPr="00834D52">
              <w:rPr>
                <w:rFonts w:ascii="Sylfaen" w:hAnsi="Sylfaen"/>
                <w:sz w:val="24"/>
                <w:szCs w:val="24"/>
              </w:rPr>
              <w:t xml:space="preserve"> (կամ) գրանցման վճարների (տուրքերի) վճարումը հաստատող փաստաթղթերը՝ Եվրասիական տնտեսական միության գրանցում իրականացնող անդամ 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r w:rsidRPr="00834D52">
              <w:rPr>
                <w:rStyle w:val="FootnoteReference"/>
                <w:rFonts w:ascii="Sylfaen" w:eastAsia="Times New Roman" w:hAnsi="Sylfaen" w:cs="Times New Roman"/>
                <w:sz w:val="24"/>
                <w:szCs w:val="24"/>
              </w:rPr>
              <w:sym w:font="Symbol" w:char="F02A"/>
            </w:r>
          </w:p>
        </w:tc>
      </w:tr>
      <w:tr w:rsidR="006F76EB" w:rsidRPr="00834D52" w14:paraId="36F367E3" w14:textId="77777777" w:rsidTr="00F71229">
        <w:trPr>
          <w:gridAfter w:val="1"/>
          <w:wAfter w:w="11" w:type="dxa"/>
        </w:trPr>
        <w:tc>
          <w:tcPr>
            <w:tcW w:w="1809" w:type="dxa"/>
            <w:tcBorders>
              <w:top w:val="nil"/>
              <w:left w:val="nil"/>
              <w:bottom w:val="nil"/>
              <w:right w:val="nil"/>
            </w:tcBorders>
          </w:tcPr>
          <w:p w14:paraId="05D840A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footnoteReference w:customMarkFollows="1" w:id="25"/>
              <w:t>1.2.3.</w:t>
            </w:r>
          </w:p>
        </w:tc>
        <w:tc>
          <w:tcPr>
            <w:tcW w:w="8157" w:type="dxa"/>
            <w:tcBorders>
              <w:top w:val="nil"/>
              <w:left w:val="nil"/>
              <w:bottom w:val="nil"/>
              <w:right w:val="nil"/>
            </w:tcBorders>
          </w:tcPr>
          <w:p w14:paraId="543601E4"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արտադրող երկրի լիազորված մարմնի կողմից տրված՝ դեղապատրաստուկի սերտիֆիկատի պատճենը (սահմանված կարգով վավերացված)` ըստ ԱՀԿ-ի կողմից առաջարկվող ձ</w:t>
            </w:r>
            <w:r w:rsidR="00C54D75">
              <w:rPr>
                <w:rFonts w:ascii="Sylfaen" w:hAnsi="Sylfaen"/>
                <w:sz w:val="24"/>
                <w:szCs w:val="24"/>
              </w:rPr>
              <w:t>և</w:t>
            </w:r>
            <w:r w:rsidRPr="00834D52">
              <w:rPr>
                <w:rFonts w:ascii="Sylfaen" w:hAnsi="Sylfaen"/>
                <w:sz w:val="24"/>
                <w:szCs w:val="24"/>
              </w:rPr>
              <w:t xml:space="preserve">աչափի: Այդպիսի սերտիֆիկատի բացակայության դեպքում ներկայացվում է արտադրող երկրում </w:t>
            </w:r>
            <w:r w:rsidR="00C54D75">
              <w:rPr>
                <w:rFonts w:ascii="Sylfaen" w:hAnsi="Sylfaen"/>
                <w:sz w:val="24"/>
                <w:szCs w:val="24"/>
              </w:rPr>
              <w:t>և</w:t>
            </w:r>
            <w:r w:rsidRPr="00834D52">
              <w:rPr>
                <w:rFonts w:ascii="Sylfaen" w:hAnsi="Sylfaen"/>
                <w:sz w:val="24"/>
                <w:szCs w:val="24"/>
              </w:rPr>
              <w:t xml:space="preserve"> (կամ) դեղապատրաստուկի գրանցման հավաստագրի իրավատեր երկրում գրանցումը հաստատող (սահմանված կարգով վավերացված) փաստաթուղթը (առկայության դեպքում)</w:t>
            </w:r>
          </w:p>
        </w:tc>
      </w:tr>
      <w:tr w:rsidR="006F76EB" w:rsidRPr="00834D52" w14:paraId="22EABCC6" w14:textId="77777777" w:rsidTr="00F71229">
        <w:trPr>
          <w:gridAfter w:val="1"/>
          <w:wAfter w:w="11" w:type="dxa"/>
        </w:trPr>
        <w:tc>
          <w:tcPr>
            <w:tcW w:w="1809" w:type="dxa"/>
            <w:tcBorders>
              <w:top w:val="nil"/>
              <w:left w:val="nil"/>
              <w:bottom w:val="nil"/>
              <w:right w:val="nil"/>
            </w:tcBorders>
          </w:tcPr>
          <w:p w14:paraId="32E5440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1.2.4.</w:t>
            </w:r>
          </w:p>
        </w:tc>
        <w:tc>
          <w:tcPr>
            <w:tcW w:w="8157" w:type="dxa"/>
            <w:tcBorders>
              <w:top w:val="nil"/>
              <w:left w:val="nil"/>
              <w:bottom w:val="nil"/>
              <w:right w:val="nil"/>
            </w:tcBorders>
          </w:tcPr>
          <w:p w14:paraId="2070D010"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լիազորված մարմնի կողմից արտադրող երկրում կամ դեղապատրաստուկի գրանցման հավաստագրի (առկայության դեպքում) իրավատեր երկրում դեղապատրաստուկի գրանցման ժամանակ տրված փորձագիտական հաշվետվության ռուսերեն թարգմանությունը </w:t>
            </w:r>
            <w:r w:rsidR="00C54D75">
              <w:rPr>
                <w:rFonts w:ascii="Sylfaen" w:hAnsi="Sylfaen"/>
                <w:sz w:val="24"/>
                <w:szCs w:val="24"/>
              </w:rPr>
              <w:t>և</w:t>
            </w:r>
            <w:r w:rsidRPr="00834D52">
              <w:rPr>
                <w:rFonts w:ascii="Sylfaen" w:hAnsi="Sylfaen"/>
                <w:sz w:val="24"/>
                <w:szCs w:val="24"/>
              </w:rPr>
              <w:t xml:space="preserve"> սահմանված կարգով հաստատված պատճենը</w:t>
            </w:r>
          </w:p>
        </w:tc>
      </w:tr>
      <w:tr w:rsidR="006F76EB" w:rsidRPr="00834D52" w14:paraId="3283CEC4" w14:textId="77777777" w:rsidTr="00F71229">
        <w:trPr>
          <w:gridAfter w:val="1"/>
          <w:wAfter w:w="11" w:type="dxa"/>
        </w:trPr>
        <w:tc>
          <w:tcPr>
            <w:tcW w:w="1809" w:type="dxa"/>
            <w:tcBorders>
              <w:top w:val="nil"/>
              <w:left w:val="nil"/>
              <w:bottom w:val="nil"/>
              <w:right w:val="nil"/>
            </w:tcBorders>
          </w:tcPr>
          <w:p w14:paraId="2258ABE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1.2.5.</w:t>
            </w:r>
          </w:p>
        </w:tc>
        <w:tc>
          <w:tcPr>
            <w:tcW w:w="8157" w:type="dxa"/>
            <w:tcBorders>
              <w:top w:val="nil"/>
              <w:left w:val="nil"/>
              <w:bottom w:val="nil"/>
              <w:right w:val="nil"/>
            </w:tcBorders>
          </w:tcPr>
          <w:p w14:paraId="3EC8A58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պետության լիազորված մարմնի (լիազորված կազմակերպության) եզրակացությունը (առաջարկությունը) Եվրասիական տնտեսական միության անդամ պետությունում տվյալ դեղապատրաստուկի վերաբերյալ նախնական գիտական խորհրդատվության արդյունքներով (առկայության դեպքում)</w:t>
            </w:r>
          </w:p>
        </w:tc>
      </w:tr>
      <w:tr w:rsidR="006F76EB" w:rsidRPr="00834D52" w14:paraId="5C59867B" w14:textId="77777777" w:rsidTr="00F71229">
        <w:trPr>
          <w:gridAfter w:val="1"/>
          <w:wAfter w:w="11" w:type="dxa"/>
        </w:trPr>
        <w:tc>
          <w:tcPr>
            <w:tcW w:w="1809" w:type="dxa"/>
            <w:tcBorders>
              <w:top w:val="nil"/>
              <w:left w:val="nil"/>
              <w:bottom w:val="nil"/>
              <w:right w:val="nil"/>
            </w:tcBorders>
          </w:tcPr>
          <w:p w14:paraId="05A0060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1.2.6.</w:t>
            </w:r>
          </w:p>
        </w:tc>
        <w:tc>
          <w:tcPr>
            <w:tcW w:w="8157" w:type="dxa"/>
            <w:tcBorders>
              <w:top w:val="nil"/>
              <w:left w:val="nil"/>
              <w:bottom w:val="nil"/>
              <w:right w:val="nil"/>
            </w:tcBorders>
          </w:tcPr>
          <w:p w14:paraId="6714FA2F" w14:textId="77777777" w:rsidR="006F76EB" w:rsidRPr="00834D52"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Եվրասիական տնտեսական հանձնաժողովին կից գործող դեղամիջոցների հարցերով փորձագիտական կոմիտեի առաջարկությունը՝ ըստ տվյալ դեղապատրաստուկի վերաբերյալ նախնական գիտական խորհրդատվության արդյունքների (առկայության դեպքում)</w:t>
            </w:r>
          </w:p>
          <w:p w14:paraId="2ACED8A2"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p>
        </w:tc>
      </w:tr>
      <w:tr w:rsidR="006F76EB" w:rsidRPr="00834D52" w14:paraId="27AA5DF0" w14:textId="77777777" w:rsidTr="00F71229">
        <w:trPr>
          <w:gridAfter w:val="1"/>
          <w:wAfter w:w="11" w:type="dxa"/>
        </w:trPr>
        <w:tc>
          <w:tcPr>
            <w:tcW w:w="1809" w:type="dxa"/>
            <w:tcBorders>
              <w:top w:val="nil"/>
              <w:left w:val="nil"/>
              <w:bottom w:val="nil"/>
              <w:right w:val="nil"/>
            </w:tcBorders>
          </w:tcPr>
          <w:p w14:paraId="71890F6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1.3.</w:t>
            </w:r>
          </w:p>
        </w:tc>
        <w:tc>
          <w:tcPr>
            <w:tcW w:w="8157" w:type="dxa"/>
            <w:tcBorders>
              <w:top w:val="nil"/>
              <w:left w:val="nil"/>
              <w:bottom w:val="nil"/>
              <w:right w:val="nil"/>
            </w:tcBorders>
          </w:tcPr>
          <w:p w14:paraId="3220996B"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ընդհանուր բնութագիրը, բժշկական կիրառման հրահանգը (ներդիր թերթիկը), մականշվածքը՝</w:t>
            </w:r>
          </w:p>
        </w:tc>
      </w:tr>
      <w:tr w:rsidR="006F76EB" w:rsidRPr="00834D52" w14:paraId="0E7DFC68" w14:textId="77777777" w:rsidTr="00F71229">
        <w:trPr>
          <w:gridAfter w:val="1"/>
          <w:wAfter w:w="11" w:type="dxa"/>
        </w:trPr>
        <w:tc>
          <w:tcPr>
            <w:tcW w:w="1809" w:type="dxa"/>
            <w:tcBorders>
              <w:top w:val="nil"/>
              <w:left w:val="nil"/>
              <w:bottom w:val="nil"/>
              <w:right w:val="nil"/>
            </w:tcBorders>
          </w:tcPr>
          <w:p w14:paraId="4DE27F4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1.3.1.</w:t>
            </w:r>
          </w:p>
        </w:tc>
        <w:tc>
          <w:tcPr>
            <w:tcW w:w="8157" w:type="dxa"/>
            <w:tcBorders>
              <w:top w:val="nil"/>
              <w:left w:val="nil"/>
              <w:bottom w:val="nil"/>
              <w:right w:val="nil"/>
            </w:tcBorders>
          </w:tcPr>
          <w:p w14:paraId="05399E63"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ընդհանուր բնութագրի նախագծերը, բժշկական կիրառման հրահանգը (ներդիր թերթիկը), որոնք կազմվել են Եվրասիական տնտեսական միության մարմինների ակտերի պահանջներին համապատասխան՝ ռուսերեն լեզվով</w:t>
            </w:r>
          </w:p>
        </w:tc>
      </w:tr>
      <w:tr w:rsidR="006F76EB" w:rsidRPr="00834D52" w14:paraId="626863E2" w14:textId="77777777" w:rsidTr="00F71229">
        <w:trPr>
          <w:gridAfter w:val="1"/>
          <w:wAfter w:w="11" w:type="dxa"/>
        </w:trPr>
        <w:tc>
          <w:tcPr>
            <w:tcW w:w="1809" w:type="dxa"/>
            <w:tcBorders>
              <w:top w:val="nil"/>
              <w:left w:val="nil"/>
              <w:bottom w:val="nil"/>
              <w:right w:val="nil"/>
            </w:tcBorders>
          </w:tcPr>
          <w:p w14:paraId="1248DD5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1.3.2.</w:t>
            </w:r>
          </w:p>
        </w:tc>
        <w:tc>
          <w:tcPr>
            <w:tcW w:w="8157" w:type="dxa"/>
            <w:tcBorders>
              <w:top w:val="nil"/>
              <w:left w:val="nil"/>
              <w:bottom w:val="nil"/>
              <w:right w:val="nil"/>
            </w:tcBorders>
          </w:tcPr>
          <w:p w14:paraId="27B4C83F" w14:textId="77777777" w:rsidR="006F76EB"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առաջնային (ներքին) </w:t>
            </w:r>
            <w:r w:rsidR="00C54D75">
              <w:rPr>
                <w:rFonts w:ascii="Sylfaen" w:hAnsi="Sylfaen"/>
                <w:sz w:val="24"/>
                <w:szCs w:val="24"/>
              </w:rPr>
              <w:t>և</w:t>
            </w:r>
            <w:r w:rsidRPr="00834D52">
              <w:rPr>
                <w:rFonts w:ascii="Sylfaen" w:hAnsi="Sylfaen"/>
                <w:sz w:val="24"/>
                <w:szCs w:val="24"/>
              </w:rPr>
              <w:t xml:space="preserve"> երկրորդային (սպառողական) միջանկյալ փաթեթվածքների մակետները, որոնք պատրաստվել են Եվրասիական տնտեսական միության մարմինների ակտերի պահանջներին համապատասխան: Միջանկյալ փաթեթվածքի, պիտակների, սթիքերների մակետները ներկայացվում են առկայության դեպքում</w:t>
            </w:r>
          </w:p>
          <w:p w14:paraId="5D72EF34" w14:textId="70791685" w:rsidR="007F2644" w:rsidRPr="00E77BB3" w:rsidRDefault="007F2644" w:rsidP="007F2644">
            <w:pPr>
              <w:rPr>
                <w:b/>
                <w:bCs/>
                <w:i/>
                <w:iCs/>
              </w:rPr>
            </w:pPr>
            <w:r w:rsidRPr="00CD4709">
              <w:rPr>
                <w:b/>
                <w:bCs/>
                <w:i/>
                <w:iCs/>
              </w:rPr>
              <w:t>(</w:t>
            </w:r>
            <w:r>
              <w:rPr>
                <w:b/>
                <w:bCs/>
                <w:i/>
                <w:iCs/>
              </w:rPr>
              <w:t>1.3.2. կետը փոփ</w:t>
            </w:r>
            <w:r w:rsidR="00BF7F2E">
              <w:rPr>
                <w:b/>
                <w:bCs/>
                <w:i/>
                <w:iCs/>
              </w:rPr>
              <w:t xml:space="preserve">. ԵՏՀԽ </w:t>
            </w:r>
            <w:r>
              <w:rPr>
                <w:b/>
                <w:bCs/>
                <w:i/>
                <w:iCs/>
              </w:rPr>
              <w:t>23.09.22 թիվ 141</w:t>
            </w:r>
            <w:r w:rsidRPr="00CD4709">
              <w:rPr>
                <w:b/>
                <w:bCs/>
                <w:i/>
                <w:iCs/>
              </w:rPr>
              <w:t>)</w:t>
            </w:r>
          </w:p>
          <w:p w14:paraId="106088AF" w14:textId="00DDC61F" w:rsidR="007F2644" w:rsidRPr="00834D52" w:rsidRDefault="007F2644" w:rsidP="00F71229">
            <w:pPr>
              <w:spacing w:after="160" w:line="360" w:lineRule="auto"/>
              <w:ind w:right="111"/>
              <w:jc w:val="both"/>
              <w:rPr>
                <w:rFonts w:ascii="Sylfaen" w:eastAsia="Times New Roman" w:hAnsi="Sylfaen" w:cs="Times New Roman"/>
                <w:sz w:val="24"/>
                <w:szCs w:val="24"/>
              </w:rPr>
            </w:pPr>
          </w:p>
        </w:tc>
      </w:tr>
      <w:tr w:rsidR="006F76EB" w:rsidRPr="00834D52" w14:paraId="07661501" w14:textId="77777777" w:rsidTr="00F71229">
        <w:trPr>
          <w:gridAfter w:val="1"/>
          <w:wAfter w:w="11" w:type="dxa"/>
        </w:trPr>
        <w:tc>
          <w:tcPr>
            <w:tcW w:w="1809" w:type="dxa"/>
            <w:tcBorders>
              <w:top w:val="nil"/>
              <w:left w:val="nil"/>
              <w:bottom w:val="nil"/>
              <w:right w:val="nil"/>
            </w:tcBorders>
          </w:tcPr>
          <w:p w14:paraId="59CCCBC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1.3.3.</w:t>
            </w:r>
          </w:p>
        </w:tc>
        <w:tc>
          <w:tcPr>
            <w:tcW w:w="8157" w:type="dxa"/>
            <w:tcBorders>
              <w:top w:val="nil"/>
              <w:left w:val="nil"/>
              <w:bottom w:val="nil"/>
              <w:right w:val="nil"/>
            </w:tcBorders>
          </w:tcPr>
          <w:p w14:paraId="20B2D36F" w14:textId="77777777" w:rsidR="006F76EB" w:rsidRPr="00834D52" w:rsidRDefault="006F76EB" w:rsidP="00377927">
            <w:pPr>
              <w:spacing w:after="160" w:line="360" w:lineRule="auto"/>
              <w:ind w:right="111"/>
              <w:rPr>
                <w:rFonts w:ascii="Sylfaen" w:eastAsia="Times New Roman" w:hAnsi="Sylfaen" w:cs="Times New Roman"/>
                <w:sz w:val="24"/>
                <w:szCs w:val="24"/>
              </w:rPr>
            </w:pPr>
            <w:r w:rsidRPr="00834D52">
              <w:rPr>
                <w:rFonts w:ascii="Sylfaen" w:hAnsi="Sylfaen"/>
                <w:sz w:val="24"/>
                <w:szCs w:val="24"/>
              </w:rPr>
              <w:t>բժշկական կիրառման հրահանգի (ներդիր թերթիկի) տեքստը օգտագործողների թեստավորման արդյունքները (</w:t>
            </w:r>
            <w:r w:rsidR="00377927">
              <w:rPr>
                <w:rFonts w:ascii="Sylfaen" w:hAnsi="Sylfaen"/>
                <w:sz w:val="24"/>
                <w:szCs w:val="24"/>
              </w:rPr>
              <w:t>առկայության դեպքում</w:t>
            </w:r>
            <w:r w:rsidRPr="00834D52">
              <w:rPr>
                <w:rFonts w:ascii="Sylfaen" w:hAnsi="Sylfaen"/>
                <w:sz w:val="24"/>
                <w:szCs w:val="24"/>
              </w:rPr>
              <w:t>)</w:t>
            </w:r>
          </w:p>
        </w:tc>
      </w:tr>
      <w:tr w:rsidR="006F76EB" w:rsidRPr="00834D52" w14:paraId="4AEB8519" w14:textId="77777777" w:rsidTr="00F71229">
        <w:trPr>
          <w:gridAfter w:val="1"/>
          <w:wAfter w:w="11" w:type="dxa"/>
        </w:trPr>
        <w:tc>
          <w:tcPr>
            <w:tcW w:w="1809" w:type="dxa"/>
            <w:tcBorders>
              <w:top w:val="nil"/>
              <w:left w:val="nil"/>
              <w:bottom w:val="nil"/>
              <w:right w:val="nil"/>
            </w:tcBorders>
          </w:tcPr>
          <w:p w14:paraId="72408C5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1.3.4.</w:t>
            </w:r>
          </w:p>
        </w:tc>
        <w:tc>
          <w:tcPr>
            <w:tcW w:w="8157" w:type="dxa"/>
            <w:tcBorders>
              <w:top w:val="nil"/>
              <w:left w:val="nil"/>
              <w:bottom w:val="nil"/>
              <w:right w:val="nil"/>
            </w:tcBorders>
          </w:tcPr>
          <w:p w14:paraId="3155FD84" w14:textId="77777777" w:rsidR="006F76EB" w:rsidRPr="00834D52" w:rsidRDefault="006F76EB" w:rsidP="00F71229">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ընդհանուր բնութագրի՝ իրավատիրոջ կողմից վավերացված գրանցման հավաստագրի պատճենները՝ վերջին վերանայման ամսաթվով, բժշկական կիրառման հրահանգը (ներդիր թերթիկը), որը հաստատվել է արտադրող երկրի, գրանցման հավաստագրի իրավատեր երկրի </w:t>
            </w:r>
            <w:r w:rsidR="00C54D75">
              <w:rPr>
                <w:rFonts w:ascii="Sylfaen" w:hAnsi="Sylfaen"/>
                <w:spacing w:val="4"/>
                <w:sz w:val="24"/>
                <w:szCs w:val="24"/>
              </w:rPr>
              <w:t>և</w:t>
            </w:r>
            <w:r w:rsidRPr="00834D52">
              <w:rPr>
                <w:rFonts w:ascii="Sylfaen" w:hAnsi="Sylfaen"/>
                <w:spacing w:val="4"/>
                <w:sz w:val="24"/>
                <w:szCs w:val="24"/>
              </w:rPr>
              <w:t xml:space="preserve"> (կամ) լավ կարգավորվող դեղագործական շուկա ունեցող մեկ այլ երկրի լիազորված մարմնի կողմից, որտեղ գրանցված է դեղապատրաստուկը (առկայության դեպքում)</w:t>
            </w:r>
          </w:p>
        </w:tc>
      </w:tr>
      <w:tr w:rsidR="006F76EB" w:rsidRPr="00834D52" w14:paraId="3FDEBA28" w14:textId="77777777" w:rsidTr="00F71229">
        <w:trPr>
          <w:gridAfter w:val="1"/>
          <w:wAfter w:w="11" w:type="dxa"/>
        </w:trPr>
        <w:tc>
          <w:tcPr>
            <w:tcW w:w="1809" w:type="dxa"/>
            <w:tcBorders>
              <w:top w:val="nil"/>
              <w:left w:val="nil"/>
              <w:bottom w:val="nil"/>
              <w:right w:val="nil"/>
            </w:tcBorders>
          </w:tcPr>
          <w:p w14:paraId="485DE93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1.4.</w:t>
            </w:r>
          </w:p>
        </w:tc>
        <w:tc>
          <w:tcPr>
            <w:tcW w:w="8157" w:type="dxa"/>
            <w:tcBorders>
              <w:top w:val="nil"/>
              <w:left w:val="nil"/>
              <w:bottom w:val="nil"/>
              <w:right w:val="nil"/>
            </w:tcBorders>
          </w:tcPr>
          <w:p w14:paraId="55C9F59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Այլ երկրներում դեղապատրաստուկի կարգավորման կարգավիճակի մասին տեղեկատվությունը (առկայության դեպքում)</w:t>
            </w:r>
          </w:p>
        </w:tc>
      </w:tr>
      <w:tr w:rsidR="006F76EB" w:rsidRPr="00834D52" w14:paraId="32E67A55" w14:textId="77777777" w:rsidTr="00F71229">
        <w:trPr>
          <w:gridAfter w:val="1"/>
          <w:wAfter w:w="11" w:type="dxa"/>
        </w:trPr>
        <w:tc>
          <w:tcPr>
            <w:tcW w:w="1809" w:type="dxa"/>
            <w:tcBorders>
              <w:top w:val="nil"/>
              <w:left w:val="nil"/>
              <w:bottom w:val="nil"/>
              <w:right w:val="nil"/>
            </w:tcBorders>
          </w:tcPr>
          <w:p w14:paraId="5E985B62"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1.4.1.</w:t>
            </w:r>
          </w:p>
        </w:tc>
        <w:tc>
          <w:tcPr>
            <w:tcW w:w="8157" w:type="dxa"/>
            <w:tcBorders>
              <w:top w:val="nil"/>
              <w:left w:val="nil"/>
              <w:bottom w:val="nil"/>
              <w:right w:val="nil"/>
            </w:tcBorders>
          </w:tcPr>
          <w:p w14:paraId="15F6AA0D"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Այն երկրների ցանկը, որտեղ դեղապատրաստուկը ներկայացվել է գրանցման, գրանցվել է, գրանցման մերժում է ստացել կամ որոնց շուկայում դրա շրջանառությունը կասեցվել է` նշելով դեղապատրաստուկի անվանումը, գրանցման հավաստագրի համարը </w:t>
            </w:r>
            <w:r w:rsidR="00C54D75">
              <w:rPr>
                <w:rFonts w:ascii="Sylfaen" w:hAnsi="Sylfaen"/>
                <w:sz w:val="24"/>
                <w:szCs w:val="24"/>
              </w:rPr>
              <w:t>և</w:t>
            </w:r>
            <w:r w:rsidRPr="00834D52">
              <w:rPr>
                <w:rFonts w:ascii="Sylfaen" w:hAnsi="Sylfaen"/>
                <w:sz w:val="24"/>
                <w:szCs w:val="24"/>
              </w:rPr>
              <w:t xml:space="preserve"> ամսաթիվը, դրա գործողության ժամկետը կամ գրանցումը մերժելու մասին որոշում կայացնելու, գրանցման հավաստագրի գործողությունը կասեցնելու ամսաթիվը: Ներկայացվող տեղեկատվությունը պետք է վավերացվի գրանցման հավաստագրի իրավատիրոջ կողմից</w:t>
            </w:r>
          </w:p>
        </w:tc>
      </w:tr>
      <w:tr w:rsidR="006F76EB" w:rsidRPr="00834D52" w14:paraId="3A41EDAB" w14:textId="77777777" w:rsidTr="00F71229">
        <w:trPr>
          <w:gridAfter w:val="1"/>
          <w:wAfter w:w="11" w:type="dxa"/>
        </w:trPr>
        <w:tc>
          <w:tcPr>
            <w:tcW w:w="1809" w:type="dxa"/>
            <w:tcBorders>
              <w:top w:val="nil"/>
              <w:left w:val="nil"/>
              <w:bottom w:val="nil"/>
              <w:right w:val="nil"/>
            </w:tcBorders>
          </w:tcPr>
          <w:p w14:paraId="4EEFDEE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w:t>
            </w:r>
          </w:p>
        </w:tc>
        <w:tc>
          <w:tcPr>
            <w:tcW w:w="8157" w:type="dxa"/>
            <w:tcBorders>
              <w:top w:val="nil"/>
              <w:left w:val="nil"/>
              <w:bottom w:val="nil"/>
              <w:right w:val="nil"/>
            </w:tcBorders>
          </w:tcPr>
          <w:p w14:paraId="63471D7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Որակի փաստաթղթերը</w:t>
            </w:r>
          </w:p>
        </w:tc>
      </w:tr>
      <w:tr w:rsidR="006F76EB" w:rsidRPr="00834D52" w14:paraId="79194A9A" w14:textId="77777777" w:rsidTr="00F71229">
        <w:trPr>
          <w:gridAfter w:val="1"/>
          <w:wAfter w:w="11" w:type="dxa"/>
        </w:trPr>
        <w:tc>
          <w:tcPr>
            <w:tcW w:w="1809" w:type="dxa"/>
            <w:tcBorders>
              <w:top w:val="nil"/>
              <w:left w:val="nil"/>
              <w:bottom w:val="nil"/>
              <w:right w:val="nil"/>
            </w:tcBorders>
          </w:tcPr>
          <w:p w14:paraId="0E477CA3"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1.5.1.</w:t>
            </w:r>
          </w:p>
        </w:tc>
        <w:tc>
          <w:tcPr>
            <w:tcW w:w="8157" w:type="dxa"/>
            <w:tcBorders>
              <w:top w:val="nil"/>
              <w:left w:val="nil"/>
              <w:bottom w:val="nil"/>
              <w:right w:val="nil"/>
            </w:tcBorders>
          </w:tcPr>
          <w:p w14:paraId="67851F93" w14:textId="77777777" w:rsidR="006F76EB" w:rsidRPr="00834D52" w:rsidRDefault="006F76EB" w:rsidP="00CE6A25">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Եվրասիական տնտեսական միության դեղագրքի հոդվածին կամ սպունգանման էնցեֆալոպատիայի մասով Եվրոպական դեղագրքին համապատասխանության սերտիֆիկատը կամ կենդանական ծագման դեղագործական բաղադրամասի օգտագործման դեպքում հումքի ծագման երկրի անասնաբուժական վերահսկողություն իրականացնող լիազորված մարմինների կողմից տրված փաստաթուղթը (</w:t>
            </w:r>
            <w:r w:rsidR="00DC3B8B">
              <w:rPr>
                <w:rFonts w:ascii="Sylfaen" w:hAnsi="Sylfaen"/>
                <w:sz w:val="24"/>
                <w:szCs w:val="24"/>
              </w:rPr>
              <w:t>եթե</w:t>
            </w:r>
            <w:r w:rsidR="00CE6A25" w:rsidRPr="00CE6A25">
              <w:rPr>
                <w:rFonts w:ascii="Sylfaen" w:hAnsi="Sylfaen"/>
                <w:sz w:val="24"/>
                <w:szCs w:val="24"/>
              </w:rPr>
              <w:t> </w:t>
            </w:r>
            <w:r w:rsidR="00DC3B8B">
              <w:rPr>
                <w:rFonts w:ascii="Sylfaen" w:hAnsi="Sylfaen"/>
                <w:sz w:val="24"/>
                <w:szCs w:val="24"/>
              </w:rPr>
              <w:t>կիրառելի է</w:t>
            </w:r>
            <w:r w:rsidRPr="00834D52">
              <w:rPr>
                <w:rFonts w:ascii="Sylfaen" w:hAnsi="Sylfaen"/>
                <w:sz w:val="24"/>
                <w:szCs w:val="24"/>
              </w:rPr>
              <w:t>)</w:t>
            </w:r>
          </w:p>
        </w:tc>
      </w:tr>
      <w:tr w:rsidR="006F76EB" w:rsidRPr="00834D52" w14:paraId="37BB885F" w14:textId="77777777" w:rsidTr="00F71229">
        <w:trPr>
          <w:gridAfter w:val="1"/>
          <w:wAfter w:w="11" w:type="dxa"/>
        </w:trPr>
        <w:tc>
          <w:tcPr>
            <w:tcW w:w="1809" w:type="dxa"/>
            <w:tcBorders>
              <w:top w:val="nil"/>
              <w:left w:val="nil"/>
              <w:bottom w:val="nil"/>
              <w:right w:val="nil"/>
            </w:tcBorders>
          </w:tcPr>
          <w:p w14:paraId="5A4FEDF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1.5.2.</w:t>
            </w:r>
          </w:p>
        </w:tc>
        <w:tc>
          <w:tcPr>
            <w:tcW w:w="8157" w:type="dxa"/>
            <w:tcBorders>
              <w:top w:val="nil"/>
              <w:left w:val="nil"/>
              <w:bottom w:val="nil"/>
              <w:right w:val="nil"/>
            </w:tcBorders>
          </w:tcPr>
          <w:p w14:paraId="7FF70729" w14:textId="77777777" w:rsidR="00F157AF" w:rsidRDefault="006F76EB" w:rsidP="00F157AF">
            <w:pPr>
              <w:rPr>
                <w:rFonts w:ascii="Sylfaen" w:hAnsi="Sylfaen"/>
                <w:spacing w:val="-4"/>
                <w:sz w:val="24"/>
                <w:szCs w:val="24"/>
              </w:rPr>
            </w:pPr>
            <w:r w:rsidRPr="00834D52">
              <w:rPr>
                <w:rFonts w:ascii="Sylfaen" w:hAnsi="Sylfaen"/>
                <w:spacing w:val="-4"/>
                <w:sz w:val="24"/>
                <w:szCs w:val="24"/>
              </w:rPr>
              <w:t xml:space="preserve">ակտիվ դեղագործական բաղադրամասի մաստեր-ֆայլի իրավատիրոջ նամակը՝ դեղապատրաստուկի արտադրողին </w:t>
            </w:r>
            <w:r w:rsidR="00C54D75">
              <w:rPr>
                <w:rFonts w:ascii="Sylfaen" w:hAnsi="Sylfaen"/>
                <w:spacing w:val="-4"/>
                <w:sz w:val="24"/>
                <w:szCs w:val="24"/>
              </w:rPr>
              <w:t>և</w:t>
            </w:r>
            <w:r w:rsidRPr="00834D52">
              <w:rPr>
                <w:rFonts w:ascii="Sylfaen" w:hAnsi="Sylfaen"/>
                <w:spacing w:val="-4"/>
                <w:sz w:val="24"/>
                <w:szCs w:val="24"/>
              </w:rPr>
              <w:t xml:space="preserve"> Եվրասիական տնտեսական միության անդամ պետության լիազորված մարմնին նախքան դեղագործական բաղադրամասի մաստեր-ֆայլում որ</w:t>
            </w:r>
            <w:r w:rsidR="00C54D75">
              <w:rPr>
                <w:rFonts w:ascii="Sylfaen" w:hAnsi="Sylfaen"/>
                <w:spacing w:val="-4"/>
                <w:sz w:val="24"/>
                <w:szCs w:val="24"/>
              </w:rPr>
              <w:t>և</w:t>
            </w:r>
            <w:r w:rsidRPr="00834D52">
              <w:rPr>
                <w:rFonts w:ascii="Sylfaen" w:hAnsi="Sylfaen"/>
                <w:spacing w:val="-4"/>
                <w:sz w:val="24"/>
                <w:szCs w:val="24"/>
              </w:rPr>
              <w:t xml:space="preserve">է էական փոփոխություն մտցնելը բոլոր փոփոխությունների մասին հաղորդելու պարտավորությամբ </w:t>
            </w:r>
            <w:r w:rsidR="00F157AF" w:rsidRPr="00F157AF">
              <w:rPr>
                <w:rFonts w:ascii="Sylfaen" w:hAnsi="Sylfaen"/>
                <w:spacing w:val="-4"/>
                <w:sz w:val="24"/>
                <w:szCs w:val="24"/>
              </w:rPr>
              <w:t>որակի հարցերով լիազորված անձի ստորագրությամբ գրության՝ նոտարական կարգով կամ ակտիվ դեղագործական բաղադրամասի մաստեր-ֆայլ ունեցող անձի էլեկտրոնային թվային ստորագրությամբ վավերացված պատճենը՝ թարգմանությամբ</w:t>
            </w:r>
            <w:r w:rsidR="00F157AF">
              <w:rPr>
                <w:rFonts w:ascii="Sylfaen" w:hAnsi="Sylfaen"/>
                <w:spacing w:val="-4"/>
                <w:sz w:val="24"/>
                <w:szCs w:val="24"/>
              </w:rPr>
              <w:t>.</w:t>
            </w:r>
          </w:p>
          <w:p w14:paraId="77F56EDB" w14:textId="1CD23A89" w:rsidR="00F157AF" w:rsidRPr="00371618" w:rsidRDefault="00F157AF" w:rsidP="00F157AF">
            <w:pPr>
              <w:rPr>
                <w:b/>
                <w:bCs/>
                <w:i/>
                <w:iCs/>
              </w:rPr>
            </w:pPr>
            <w:r w:rsidRPr="00371618">
              <w:rPr>
                <w:b/>
                <w:bCs/>
                <w:i/>
                <w:iCs/>
              </w:rPr>
              <w:t xml:space="preserve"> (</w:t>
            </w:r>
            <w:r>
              <w:rPr>
                <w:b/>
                <w:bCs/>
                <w:i/>
                <w:iCs/>
              </w:rPr>
              <w:t>1.5.2.</w:t>
            </w:r>
            <w:r w:rsidRPr="00371618">
              <w:rPr>
                <w:b/>
                <w:bCs/>
                <w:i/>
                <w:iCs/>
              </w:rPr>
              <w:t xml:space="preserve"> կետը փոփ. 17.03.22 թիվ 36)</w:t>
            </w:r>
          </w:p>
          <w:p w14:paraId="4CD230DA" w14:textId="1DAAC631" w:rsidR="006F76EB" w:rsidRDefault="00F157AF" w:rsidP="0004184B">
            <w:pPr>
              <w:spacing w:after="160" w:line="360" w:lineRule="auto"/>
              <w:ind w:right="111"/>
              <w:jc w:val="both"/>
              <w:rPr>
                <w:rFonts w:ascii="Sylfaen" w:hAnsi="Sylfaen"/>
                <w:spacing w:val="-4"/>
                <w:sz w:val="24"/>
                <w:szCs w:val="24"/>
              </w:rPr>
            </w:pPr>
            <w:r>
              <w:rPr>
                <w:rFonts w:ascii="Sylfaen" w:hAnsi="Sylfaen"/>
                <w:spacing w:val="-4"/>
                <w:sz w:val="24"/>
                <w:szCs w:val="24"/>
              </w:rPr>
              <w:br/>
            </w:r>
          </w:p>
          <w:p w14:paraId="47698FB9" w14:textId="56EFE933" w:rsidR="00F157AF" w:rsidRPr="00834D52" w:rsidRDefault="00F157AF" w:rsidP="0004184B">
            <w:pPr>
              <w:spacing w:after="160" w:line="360" w:lineRule="auto"/>
              <w:ind w:right="111"/>
              <w:jc w:val="both"/>
              <w:rPr>
                <w:rFonts w:ascii="Sylfaen" w:eastAsia="Times New Roman" w:hAnsi="Sylfaen" w:cs="Times New Roman"/>
                <w:spacing w:val="-4"/>
                <w:sz w:val="24"/>
                <w:szCs w:val="24"/>
              </w:rPr>
            </w:pPr>
          </w:p>
        </w:tc>
      </w:tr>
      <w:tr w:rsidR="006F76EB" w:rsidRPr="00834D52" w14:paraId="5FB1F01E" w14:textId="77777777" w:rsidTr="00F71229">
        <w:trPr>
          <w:gridAfter w:val="1"/>
          <w:wAfter w:w="11" w:type="dxa"/>
        </w:trPr>
        <w:tc>
          <w:tcPr>
            <w:tcW w:w="1809" w:type="dxa"/>
            <w:tcBorders>
              <w:top w:val="nil"/>
              <w:left w:val="nil"/>
              <w:bottom w:val="nil"/>
              <w:right w:val="nil"/>
            </w:tcBorders>
          </w:tcPr>
          <w:p w14:paraId="306B680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1.5.3.</w:t>
            </w:r>
          </w:p>
        </w:tc>
        <w:tc>
          <w:tcPr>
            <w:tcW w:w="8157" w:type="dxa"/>
            <w:tcBorders>
              <w:top w:val="nil"/>
              <w:left w:val="nil"/>
              <w:bottom w:val="nil"/>
              <w:right w:val="nil"/>
            </w:tcBorders>
          </w:tcPr>
          <w:p w14:paraId="23827AE9"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դեղագործական բաղադրամասի մաստեր-ֆայլի իրավատիրոջ` դեղագործական բաղադրամասի մաստեր-ֆայլի փակ մասի փաստաթղթերը Եվրասիական տնտեսական միության անդամ պետության լիազորված մարմնի հարցմամբ ներկայացնելու համաձայնությունը հաստատող նամակը</w:t>
            </w:r>
          </w:p>
        </w:tc>
      </w:tr>
      <w:tr w:rsidR="006F76EB" w:rsidRPr="00834D52" w14:paraId="15CC2435" w14:textId="77777777" w:rsidTr="00F71229">
        <w:trPr>
          <w:gridAfter w:val="1"/>
          <w:wAfter w:w="11" w:type="dxa"/>
        </w:trPr>
        <w:tc>
          <w:tcPr>
            <w:tcW w:w="1809" w:type="dxa"/>
            <w:tcBorders>
              <w:top w:val="nil"/>
              <w:left w:val="nil"/>
              <w:bottom w:val="nil"/>
              <w:right w:val="nil"/>
            </w:tcBorders>
          </w:tcPr>
          <w:p w14:paraId="4855A6E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1.5.4.</w:t>
            </w:r>
          </w:p>
        </w:tc>
        <w:tc>
          <w:tcPr>
            <w:tcW w:w="8157" w:type="dxa"/>
            <w:tcBorders>
              <w:top w:val="nil"/>
              <w:left w:val="nil"/>
              <w:bottom w:val="nil"/>
              <w:right w:val="nil"/>
            </w:tcBorders>
          </w:tcPr>
          <w:p w14:paraId="18F1F837"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Եվրոպական դեղագրքի պահանջներին դեղագործական բաղադրամասի համապատասխանության սերտիֆիկատի պատճենը (առկայության դեպքում)</w:t>
            </w:r>
          </w:p>
        </w:tc>
      </w:tr>
      <w:tr w:rsidR="006F76EB" w:rsidRPr="00834D52" w14:paraId="0B67AB47" w14:textId="77777777" w:rsidTr="00F71229">
        <w:trPr>
          <w:gridAfter w:val="1"/>
          <w:wAfter w:w="11" w:type="dxa"/>
        </w:trPr>
        <w:tc>
          <w:tcPr>
            <w:tcW w:w="1809" w:type="dxa"/>
            <w:tcBorders>
              <w:top w:val="nil"/>
              <w:left w:val="nil"/>
              <w:bottom w:val="nil"/>
              <w:right w:val="nil"/>
            </w:tcBorders>
          </w:tcPr>
          <w:p w14:paraId="5395D10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1.5.5.</w:t>
            </w:r>
          </w:p>
        </w:tc>
        <w:tc>
          <w:tcPr>
            <w:tcW w:w="8157" w:type="dxa"/>
            <w:tcBorders>
              <w:top w:val="nil"/>
              <w:left w:val="nil"/>
              <w:bottom w:val="nil"/>
              <w:right w:val="nil"/>
            </w:tcBorders>
          </w:tcPr>
          <w:p w14:paraId="358005B4"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պլազմայի մաստեր-ֆայլի սերտիֆիկատի պատճենը, որը տրվել է արտադրող երկրի լիազորված մարմնի կողմից (առկայության դեպքում)</w:t>
            </w:r>
          </w:p>
        </w:tc>
      </w:tr>
      <w:tr w:rsidR="006F76EB" w:rsidRPr="00834D52" w14:paraId="5E27FBD0" w14:textId="77777777" w:rsidTr="00F71229">
        <w:trPr>
          <w:gridAfter w:val="1"/>
          <w:wAfter w:w="11" w:type="dxa"/>
        </w:trPr>
        <w:tc>
          <w:tcPr>
            <w:tcW w:w="1809" w:type="dxa"/>
            <w:tcBorders>
              <w:top w:val="nil"/>
              <w:left w:val="nil"/>
              <w:bottom w:val="nil"/>
              <w:right w:val="nil"/>
            </w:tcBorders>
          </w:tcPr>
          <w:p w14:paraId="2F8ECEB1" w14:textId="77777777" w:rsidR="006F76EB" w:rsidRDefault="006F76EB" w:rsidP="00F71229">
            <w:pPr>
              <w:spacing w:after="160" w:line="360" w:lineRule="auto"/>
              <w:ind w:right="-6"/>
              <w:jc w:val="center"/>
              <w:rPr>
                <w:rFonts w:ascii="Sylfaen" w:hAnsi="Sylfaen"/>
                <w:sz w:val="24"/>
                <w:szCs w:val="24"/>
              </w:rPr>
            </w:pPr>
            <w:r w:rsidRPr="00834D52">
              <w:rPr>
                <w:rFonts w:ascii="Sylfaen" w:hAnsi="Sylfaen"/>
                <w:sz w:val="24"/>
                <w:szCs w:val="24"/>
              </w:rPr>
              <w:t>1.5.6.</w:t>
            </w:r>
          </w:p>
          <w:p w14:paraId="46298805" w14:textId="77777777" w:rsidR="00AB17F6" w:rsidRDefault="00AB17F6" w:rsidP="00F71229">
            <w:pPr>
              <w:spacing w:after="160" w:line="360" w:lineRule="auto"/>
              <w:ind w:right="-6"/>
              <w:jc w:val="center"/>
              <w:rPr>
                <w:rFonts w:ascii="Sylfaen" w:eastAsia="Times New Roman" w:hAnsi="Sylfaen" w:cs="Times New Roman"/>
                <w:sz w:val="24"/>
                <w:szCs w:val="24"/>
              </w:rPr>
            </w:pPr>
          </w:p>
          <w:p w14:paraId="2BC7BC18" w14:textId="448D3D9C" w:rsidR="00AB17F6" w:rsidRDefault="00AB17F6" w:rsidP="00F71229">
            <w:pPr>
              <w:spacing w:after="160" w:line="360" w:lineRule="auto"/>
              <w:ind w:right="-6"/>
              <w:jc w:val="center"/>
              <w:rPr>
                <w:rFonts w:ascii="Sylfaen" w:eastAsia="Times New Roman" w:hAnsi="Sylfaen" w:cs="Times New Roman"/>
                <w:sz w:val="24"/>
                <w:szCs w:val="24"/>
              </w:rPr>
            </w:pPr>
            <w:r w:rsidRPr="00AB17F6">
              <w:rPr>
                <w:rFonts w:ascii="Sylfaen" w:eastAsia="Times New Roman" w:hAnsi="Sylfaen" w:cs="Times New Roman"/>
                <w:sz w:val="24"/>
                <w:szCs w:val="24"/>
              </w:rPr>
              <w:t>1.5.7.</w:t>
            </w:r>
          </w:p>
          <w:p w14:paraId="232270F3" w14:textId="4254016E" w:rsidR="00AB17F6" w:rsidRPr="00834D52" w:rsidRDefault="00AB17F6" w:rsidP="00F71229">
            <w:pPr>
              <w:spacing w:after="160" w:line="360" w:lineRule="auto"/>
              <w:ind w:right="-6"/>
              <w:jc w:val="center"/>
              <w:rPr>
                <w:rFonts w:ascii="Sylfaen" w:eastAsia="Times New Roman" w:hAnsi="Sylfaen" w:cs="Times New Roman"/>
                <w:sz w:val="24"/>
                <w:szCs w:val="24"/>
              </w:rPr>
            </w:pPr>
          </w:p>
        </w:tc>
        <w:tc>
          <w:tcPr>
            <w:tcW w:w="8157" w:type="dxa"/>
            <w:tcBorders>
              <w:top w:val="nil"/>
              <w:left w:val="nil"/>
              <w:bottom w:val="nil"/>
              <w:right w:val="nil"/>
            </w:tcBorders>
          </w:tcPr>
          <w:p w14:paraId="679A875B" w14:textId="2E479469" w:rsidR="006F76EB" w:rsidRDefault="006F76EB" w:rsidP="00607D50">
            <w:pPr>
              <w:spacing w:after="160" w:line="336" w:lineRule="auto"/>
              <w:ind w:right="113"/>
              <w:jc w:val="both"/>
              <w:rPr>
                <w:rFonts w:ascii="Sylfaen" w:hAnsi="Sylfaen"/>
                <w:sz w:val="24"/>
                <w:szCs w:val="24"/>
              </w:rPr>
            </w:pPr>
            <w:r w:rsidRPr="00834D52">
              <w:rPr>
                <w:rFonts w:ascii="Sylfaen" w:hAnsi="Sylfaen"/>
                <w:sz w:val="24"/>
                <w:szCs w:val="24"/>
              </w:rPr>
              <w:t>պատվաստանյութային հակածնի մաստեր-ֆայլի սերտիֆիկատի պատճենը, որը տրվել է արտադրող երկրի լիազորված մարմնի կողմից (առկայության դեպքում)</w:t>
            </w:r>
          </w:p>
          <w:p w14:paraId="0B155EA2" w14:textId="5645188E" w:rsidR="00AB17F6" w:rsidRDefault="00AB17F6" w:rsidP="00607D50">
            <w:pPr>
              <w:spacing w:after="160" w:line="336" w:lineRule="auto"/>
              <w:ind w:right="113"/>
              <w:jc w:val="both"/>
              <w:rPr>
                <w:rFonts w:ascii="Sylfaen" w:hAnsi="Sylfaen"/>
                <w:sz w:val="24"/>
                <w:szCs w:val="24"/>
              </w:rPr>
            </w:pPr>
            <w:r w:rsidRPr="00AB17F6">
              <w:rPr>
                <w:rFonts w:ascii="Sylfaen" w:hAnsi="Sylfaen"/>
                <w:sz w:val="24"/>
                <w:szCs w:val="24"/>
              </w:rPr>
              <w:t>Եվրասիական տնտեսական հանձնաժողովի կոլեգիայի 2018 թվականի սեպտեմբերի 7-ի թիվ 151 որոշմամբ հաստատված՝ Դեղապատրաստուկի որակի վերաբերյալ նորմատիվ փաստաթուղթ կազմելու մասին ուղեցույցին համապատասխան պատրաստված՝ Որակի վերաբերյալ նորմատիվ փաստաթղթի նախագիծ</w:t>
            </w:r>
          </w:p>
          <w:p w14:paraId="7B53EFEB" w14:textId="6254BB19" w:rsidR="00AB17F6" w:rsidRPr="00834D52" w:rsidRDefault="00AB17F6" w:rsidP="00607D50">
            <w:pPr>
              <w:spacing w:after="160" w:line="336" w:lineRule="auto"/>
              <w:ind w:right="113"/>
              <w:jc w:val="both"/>
              <w:rPr>
                <w:rFonts w:ascii="Sylfaen" w:eastAsia="Times New Roman" w:hAnsi="Sylfaen" w:cs="Times New Roman"/>
                <w:sz w:val="24"/>
                <w:szCs w:val="24"/>
              </w:rPr>
            </w:pPr>
          </w:p>
        </w:tc>
      </w:tr>
      <w:tr w:rsidR="006F76EB" w:rsidRPr="00834D52" w14:paraId="6334644E" w14:textId="77777777" w:rsidTr="00F71229">
        <w:trPr>
          <w:gridAfter w:val="1"/>
          <w:wAfter w:w="11" w:type="dxa"/>
        </w:trPr>
        <w:tc>
          <w:tcPr>
            <w:tcW w:w="1809" w:type="dxa"/>
            <w:tcBorders>
              <w:top w:val="nil"/>
              <w:left w:val="nil"/>
              <w:bottom w:val="nil"/>
              <w:right w:val="nil"/>
            </w:tcBorders>
          </w:tcPr>
          <w:p w14:paraId="3EF434B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w:t>
            </w:r>
          </w:p>
        </w:tc>
        <w:tc>
          <w:tcPr>
            <w:tcW w:w="8157" w:type="dxa"/>
            <w:tcBorders>
              <w:top w:val="nil"/>
              <w:left w:val="nil"/>
              <w:bottom w:val="nil"/>
              <w:right w:val="nil"/>
            </w:tcBorders>
          </w:tcPr>
          <w:p w14:paraId="3996A493" w14:textId="77777777" w:rsidR="006F76EB" w:rsidRPr="00834D52" w:rsidRDefault="006F76EB" w:rsidP="00607D50">
            <w:pPr>
              <w:spacing w:after="160" w:line="336" w:lineRule="auto"/>
              <w:ind w:right="113"/>
              <w:rPr>
                <w:rFonts w:ascii="Sylfaen" w:eastAsia="Times New Roman" w:hAnsi="Sylfaen" w:cs="Times New Roman"/>
                <w:sz w:val="24"/>
                <w:szCs w:val="24"/>
              </w:rPr>
            </w:pPr>
            <w:r w:rsidRPr="00834D52">
              <w:rPr>
                <w:rFonts w:ascii="Sylfaen" w:hAnsi="Sylfaen"/>
                <w:sz w:val="24"/>
                <w:szCs w:val="24"/>
              </w:rPr>
              <w:t>Արտադրության փաստաթղթերը</w:t>
            </w:r>
          </w:p>
        </w:tc>
      </w:tr>
      <w:tr w:rsidR="006F76EB" w:rsidRPr="00834D52" w14:paraId="6287280F" w14:textId="77777777" w:rsidTr="00F71229">
        <w:trPr>
          <w:gridAfter w:val="1"/>
          <w:wAfter w:w="11" w:type="dxa"/>
        </w:trPr>
        <w:tc>
          <w:tcPr>
            <w:tcW w:w="1809" w:type="dxa"/>
            <w:tcBorders>
              <w:top w:val="nil"/>
              <w:left w:val="nil"/>
              <w:bottom w:val="nil"/>
              <w:right w:val="nil"/>
            </w:tcBorders>
          </w:tcPr>
          <w:p w14:paraId="6BF8FA6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w:t>
            </w:r>
          </w:p>
        </w:tc>
        <w:tc>
          <w:tcPr>
            <w:tcW w:w="8157" w:type="dxa"/>
            <w:tcBorders>
              <w:top w:val="nil"/>
              <w:left w:val="nil"/>
              <w:bottom w:val="nil"/>
              <w:right w:val="nil"/>
            </w:tcBorders>
          </w:tcPr>
          <w:p w14:paraId="49ABE543" w14:textId="5B49985F"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պետության լիազորված մարմնի կողմից տրված՝ Եվրասիական տնտեսական հանձնաժողովի կողմից հաստատվող՝ Եվրասիական տնտեսական միության պատշաճ արտադրական գործունեության կանոնների պահանջներին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արտադրողի արտադրական հարթակի համապատասխանությունը հաստատող գործող փաստաթղթի սահմանված կարգով վավերացված պատճենը, </w:t>
            </w:r>
            <w:r w:rsidRPr="00834D52">
              <w:rPr>
                <w:rFonts w:ascii="Sylfaen" w:hAnsi="Sylfaen"/>
                <w:sz w:val="24"/>
                <w:szCs w:val="24"/>
              </w:rPr>
              <w:lastRenderedPageBreak/>
              <w:t xml:space="preserve">այն երկրի (երկրների) լիազորված մարմինների կողմից տրված՝ պատշաճ արտադրական գործունեության </w:t>
            </w:r>
            <w:r w:rsidR="006B65FD">
              <w:rPr>
                <w:rFonts w:ascii="Sylfaen" w:hAnsi="Sylfaen"/>
                <w:sz w:val="24"/>
                <w:szCs w:val="24"/>
              </w:rPr>
              <w:t>պահանջներին արտադրողի արտադրական հարթակի համապատասխանությունը</w:t>
            </w:r>
            <w:r w:rsidRPr="00834D52">
              <w:rPr>
                <w:rFonts w:ascii="Sylfaen" w:hAnsi="Sylfaen"/>
                <w:sz w:val="24"/>
                <w:szCs w:val="24"/>
              </w:rPr>
              <w:t xml:space="preserve"> հաստատող գործող փաստաթղթերի սահմանված կարգով վավերացված պատճենները, որտեղ տեղակայված է արտադրական հարթակը (արտադրության տարբեր էտապներում արտադրական հարթակները), </w:t>
            </w:r>
            <w:r w:rsidR="00C54D75">
              <w:rPr>
                <w:rFonts w:ascii="Sylfaen" w:hAnsi="Sylfaen"/>
                <w:sz w:val="24"/>
                <w:szCs w:val="24"/>
              </w:rPr>
              <w:t>և</w:t>
            </w:r>
            <w:r w:rsidRPr="00834D52">
              <w:rPr>
                <w:rFonts w:ascii="Sylfaen" w:hAnsi="Sylfaen"/>
                <w:sz w:val="24"/>
                <w:szCs w:val="24"/>
              </w:rPr>
              <w:t xml:space="preserve"> (կամ) այլ լիազորված մարմինների կողմից տրված պատճենները, իսկ առկայության դեպքում «Ինտերնետ» տեղեկատվական-հեռահաղորդակցության ցանցում (եթե կիրառելի է) ներկայացնել լիազորված մարմինների կողմից տրված՝ պատշաճ արտադրական գործունեության (օրինակ՝ EudraGMP) պահանջներին համապատասխանությունը հաստատող սերտիֆիկատների ռեեստրի կայքի հասցեն</w:t>
            </w:r>
          </w:p>
        </w:tc>
      </w:tr>
      <w:tr w:rsidR="006F76EB" w:rsidRPr="00834D52" w14:paraId="276588AC" w14:textId="77777777" w:rsidTr="00F71229">
        <w:trPr>
          <w:gridAfter w:val="1"/>
          <w:wAfter w:w="11" w:type="dxa"/>
        </w:trPr>
        <w:tc>
          <w:tcPr>
            <w:tcW w:w="1809" w:type="dxa"/>
            <w:tcBorders>
              <w:top w:val="nil"/>
              <w:left w:val="nil"/>
              <w:bottom w:val="nil"/>
              <w:right w:val="nil"/>
            </w:tcBorders>
          </w:tcPr>
          <w:p w14:paraId="7618B6C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1.6.2.</w:t>
            </w:r>
          </w:p>
        </w:tc>
        <w:tc>
          <w:tcPr>
            <w:tcW w:w="8157" w:type="dxa"/>
            <w:tcBorders>
              <w:top w:val="nil"/>
              <w:left w:val="nil"/>
              <w:bottom w:val="nil"/>
              <w:right w:val="nil"/>
            </w:tcBorders>
          </w:tcPr>
          <w:p w14:paraId="2D296071"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այն երկրի լիազորված մարմնի կողմից տրված՝ արտադրություն իրականացնելու գործող թույտվության (լիցենզիայի) սահմանված կարգով վավերացված պատճենը (այդ թվում՝ դրա հավելվածները), որտեղ տեղակայված է արտադրական հարթակը (արտադրության տարբեր էտապներում արտադրական հարթակները)</w:t>
            </w:r>
          </w:p>
        </w:tc>
      </w:tr>
      <w:tr w:rsidR="006F76EB" w:rsidRPr="00834D52" w14:paraId="60D8F0F0" w14:textId="77777777" w:rsidTr="00F71229">
        <w:trPr>
          <w:gridAfter w:val="1"/>
          <w:wAfter w:w="11" w:type="dxa"/>
        </w:trPr>
        <w:tc>
          <w:tcPr>
            <w:tcW w:w="1809" w:type="dxa"/>
            <w:tcBorders>
              <w:top w:val="nil"/>
              <w:left w:val="nil"/>
              <w:bottom w:val="nil"/>
              <w:right w:val="nil"/>
            </w:tcBorders>
          </w:tcPr>
          <w:p w14:paraId="7D38FC1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1.6.3.</w:t>
            </w:r>
          </w:p>
        </w:tc>
        <w:tc>
          <w:tcPr>
            <w:tcW w:w="8157" w:type="dxa"/>
            <w:tcBorders>
              <w:top w:val="nil"/>
              <w:left w:val="nil"/>
              <w:bottom w:val="nil"/>
              <w:right w:val="nil"/>
            </w:tcBorders>
          </w:tcPr>
          <w:p w14:paraId="0E2C9EE8" w14:textId="577C0D42"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արտադրական հարթակի (արտադրության տարբեր էտապներում արտադրական հարթակների) պատշաճ արտադրական գործունեությանը համապատասխանության մասով տեսչական այն ստուգման (ստուգումների) հաշվետվությունների սահմանված կարգով վավերացված պատճենները, որն իրականացվել է (որոնք իրականացվել են) արտադրող երկրի լիազորված մարմնի կամ այլ լիազորված մարմնի կողմից՝ </w:t>
            </w:r>
            <w:r w:rsidR="0056496B">
              <w:rPr>
                <w:rFonts w:ascii="Sylfaen" w:hAnsi="Sylfaen"/>
                <w:sz w:val="24"/>
                <w:szCs w:val="24"/>
              </w:rPr>
              <w:t>դիմում</w:t>
            </w:r>
            <w:r w:rsidRPr="00834D52">
              <w:rPr>
                <w:rFonts w:ascii="Sylfaen" w:hAnsi="Sylfaen"/>
                <w:sz w:val="24"/>
                <w:szCs w:val="24"/>
              </w:rPr>
              <w:t xml:space="preserve">ը ներկայացնելու օրվանից հետո վերջին 3 տարիների ընթացքում՝ տեսչական ստուգումից հետո շտկող միջոցառումների (САРА) պլանի </w:t>
            </w:r>
            <w:r w:rsidR="00C54D75">
              <w:rPr>
                <w:rFonts w:ascii="Sylfaen" w:hAnsi="Sylfaen"/>
                <w:sz w:val="24"/>
                <w:szCs w:val="24"/>
              </w:rPr>
              <w:t>և</w:t>
            </w:r>
            <w:r w:rsidRPr="00834D52">
              <w:rPr>
                <w:rFonts w:ascii="Sylfaen" w:hAnsi="Sylfaen"/>
                <w:sz w:val="24"/>
                <w:szCs w:val="24"/>
              </w:rPr>
              <w:t xml:space="preserve"> հաշվետվության հետ մեկտեղ (առկայության դեպքում)</w:t>
            </w:r>
          </w:p>
        </w:tc>
      </w:tr>
      <w:tr w:rsidR="006F76EB" w:rsidRPr="00834D52" w14:paraId="52DF545F" w14:textId="77777777" w:rsidTr="00F71229">
        <w:trPr>
          <w:gridAfter w:val="1"/>
          <w:wAfter w:w="11" w:type="dxa"/>
        </w:trPr>
        <w:tc>
          <w:tcPr>
            <w:tcW w:w="1809" w:type="dxa"/>
            <w:tcBorders>
              <w:top w:val="nil"/>
              <w:left w:val="nil"/>
              <w:bottom w:val="nil"/>
              <w:right w:val="nil"/>
            </w:tcBorders>
          </w:tcPr>
          <w:p w14:paraId="7DA00C0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1.6.4.</w:t>
            </w:r>
          </w:p>
        </w:tc>
        <w:tc>
          <w:tcPr>
            <w:tcW w:w="8157" w:type="dxa"/>
            <w:tcBorders>
              <w:top w:val="nil"/>
              <w:left w:val="nil"/>
              <w:bottom w:val="nil"/>
              <w:right w:val="nil"/>
            </w:tcBorders>
          </w:tcPr>
          <w:p w14:paraId="7FFAC833" w14:textId="77777777" w:rsidR="006F76EB" w:rsidRPr="008C65C0"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պատշաճ արտադրական գործունեության պահանջները պահպանելու հարցերով կոնտրակտի (պայմանագրի)՝ սահմանված կարգով վավերացված պատճենը, եթե գրանցման հավաստագրի իրավատերը չի մասնակցում դեղապատրաստուկի արտադրության գործընթացին</w:t>
            </w:r>
            <w:r w:rsidR="008C65C0">
              <w:rPr>
                <w:rFonts w:ascii="Sylfaen" w:hAnsi="Sylfaen"/>
                <w:sz w:val="24"/>
                <w:szCs w:val="24"/>
              </w:rPr>
              <w:t xml:space="preserve"> </w:t>
            </w:r>
            <w:r w:rsidR="00E90FAF" w:rsidRPr="00E90FAF">
              <w:rPr>
                <w:rFonts w:ascii="Sylfaen" w:hAnsi="Sylfaen"/>
                <w:sz w:val="24"/>
                <w:szCs w:val="24"/>
              </w:rPr>
              <w:t>(</w:t>
            </w:r>
            <w:r w:rsidR="008C65C0">
              <w:rPr>
                <w:rFonts w:ascii="Sylfaen" w:hAnsi="Sylfaen"/>
                <w:sz w:val="24"/>
                <w:szCs w:val="24"/>
              </w:rPr>
              <w:t>առկայության դեպքում</w:t>
            </w:r>
            <w:r w:rsidR="00E90FAF" w:rsidRPr="00E90FAF">
              <w:rPr>
                <w:rFonts w:ascii="Sylfaen" w:hAnsi="Sylfaen"/>
                <w:sz w:val="24"/>
                <w:szCs w:val="24"/>
              </w:rPr>
              <w:t>)</w:t>
            </w:r>
          </w:p>
        </w:tc>
      </w:tr>
      <w:tr w:rsidR="006F76EB" w:rsidRPr="00834D52" w14:paraId="294B31D4" w14:textId="77777777" w:rsidTr="00F71229">
        <w:trPr>
          <w:gridAfter w:val="1"/>
          <w:wAfter w:w="11" w:type="dxa"/>
        </w:trPr>
        <w:tc>
          <w:tcPr>
            <w:tcW w:w="1809" w:type="dxa"/>
            <w:tcBorders>
              <w:top w:val="nil"/>
              <w:left w:val="nil"/>
              <w:bottom w:val="nil"/>
              <w:right w:val="nil"/>
            </w:tcBorders>
          </w:tcPr>
          <w:p w14:paraId="5CB4A67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1.6.5.</w:t>
            </w:r>
          </w:p>
        </w:tc>
        <w:tc>
          <w:tcPr>
            <w:tcW w:w="8157" w:type="dxa"/>
            <w:tcBorders>
              <w:top w:val="nil"/>
              <w:left w:val="nil"/>
              <w:bottom w:val="nil"/>
              <w:right w:val="nil"/>
            </w:tcBorders>
          </w:tcPr>
          <w:p w14:paraId="1963EB6B" w14:textId="77777777" w:rsidR="006F76EB" w:rsidRPr="007342DE"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պայմանագրային արտադրական հարթակի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պատշաճ արտադրական գործունեության պահանջները պահպանելու հարցերով կոնտրակտի (պայմանագրի)՝ սահմանված կարգով վավերացված պատճենը, եթե դեղապատրաստուկի արտադրության ամբողջ գործընթացը կամ էտապներից մեկը իրականացվում է պայմանագրային արտադրական հարթակում</w:t>
            </w:r>
            <w:r w:rsidR="007342DE">
              <w:rPr>
                <w:rFonts w:ascii="Sylfaen" w:hAnsi="Sylfaen"/>
                <w:sz w:val="24"/>
                <w:szCs w:val="24"/>
              </w:rPr>
              <w:t xml:space="preserve"> </w:t>
            </w:r>
            <w:r w:rsidR="00E90FAF" w:rsidRPr="00E90FAF">
              <w:rPr>
                <w:rFonts w:ascii="Sylfaen" w:hAnsi="Sylfaen"/>
                <w:sz w:val="24"/>
                <w:szCs w:val="24"/>
              </w:rPr>
              <w:t>(</w:t>
            </w:r>
            <w:r w:rsidR="007342DE">
              <w:rPr>
                <w:rFonts w:ascii="Sylfaen" w:hAnsi="Sylfaen"/>
                <w:sz w:val="24"/>
                <w:szCs w:val="24"/>
              </w:rPr>
              <w:t>եթե կիրառելի է</w:t>
            </w:r>
            <w:r w:rsidR="00E90FAF" w:rsidRPr="00E90FAF">
              <w:rPr>
                <w:rFonts w:ascii="Sylfaen" w:hAnsi="Sylfaen"/>
                <w:sz w:val="24"/>
                <w:szCs w:val="24"/>
              </w:rPr>
              <w:t>)</w:t>
            </w:r>
          </w:p>
        </w:tc>
      </w:tr>
      <w:tr w:rsidR="006F76EB" w:rsidRPr="00834D52" w14:paraId="65CB492B" w14:textId="77777777" w:rsidTr="00F71229">
        <w:trPr>
          <w:gridAfter w:val="1"/>
          <w:wAfter w:w="11" w:type="dxa"/>
        </w:trPr>
        <w:tc>
          <w:tcPr>
            <w:tcW w:w="1809" w:type="dxa"/>
            <w:tcBorders>
              <w:top w:val="nil"/>
              <w:left w:val="nil"/>
              <w:bottom w:val="nil"/>
              <w:right w:val="nil"/>
            </w:tcBorders>
          </w:tcPr>
          <w:p w14:paraId="44C3503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1.6.6.</w:t>
            </w:r>
          </w:p>
        </w:tc>
        <w:tc>
          <w:tcPr>
            <w:tcW w:w="8157" w:type="dxa"/>
            <w:tcBorders>
              <w:top w:val="nil"/>
              <w:left w:val="nil"/>
              <w:bottom w:val="nil"/>
              <w:right w:val="nil"/>
            </w:tcBorders>
          </w:tcPr>
          <w:p w14:paraId="13E8D1F4" w14:textId="5D2E34B9"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կարգավորիչ ցանկացած միջոցի մասին տեղեկություններ, որը ձեռնարկվել է </w:t>
            </w:r>
            <w:r w:rsidR="001A5F1A">
              <w:rPr>
                <w:rFonts w:ascii="Sylfaen" w:hAnsi="Sylfaen"/>
                <w:sz w:val="24"/>
                <w:szCs w:val="24"/>
              </w:rPr>
              <w:t>հայտագրված</w:t>
            </w:r>
            <w:r w:rsidRPr="00834D52">
              <w:rPr>
                <w:rFonts w:ascii="Sylfaen" w:hAnsi="Sylfaen"/>
                <w:sz w:val="24"/>
                <w:szCs w:val="24"/>
              </w:rPr>
              <w:t xml:space="preserve"> արտադրական հարթակին առնչվող տեսչական ստուգման արդյունքներով տեսչական ստուգում իրականացնող լիազորված մարմնի կողմից վերջին 3 տարիների ընթացքում (</w:t>
            </w:r>
            <w:r w:rsidR="0056496B">
              <w:rPr>
                <w:rFonts w:ascii="Sylfaen" w:hAnsi="Sylfaen"/>
                <w:sz w:val="24"/>
                <w:szCs w:val="24"/>
              </w:rPr>
              <w:t>դիմում</w:t>
            </w:r>
            <w:r w:rsidRPr="00834D52">
              <w:rPr>
                <w:rFonts w:ascii="Sylfaen" w:hAnsi="Sylfaen"/>
                <w:sz w:val="24"/>
                <w:szCs w:val="24"/>
              </w:rPr>
              <w:t>ը ներկայացնելու օրվանից) (առկայության դեպքում)</w:t>
            </w:r>
          </w:p>
        </w:tc>
      </w:tr>
      <w:tr w:rsidR="006F76EB" w:rsidRPr="00834D52" w14:paraId="17EF3247" w14:textId="77777777" w:rsidTr="00F71229">
        <w:trPr>
          <w:gridAfter w:val="1"/>
          <w:wAfter w:w="11" w:type="dxa"/>
        </w:trPr>
        <w:tc>
          <w:tcPr>
            <w:tcW w:w="1809" w:type="dxa"/>
            <w:tcBorders>
              <w:top w:val="nil"/>
              <w:left w:val="nil"/>
              <w:bottom w:val="nil"/>
              <w:right w:val="nil"/>
            </w:tcBorders>
          </w:tcPr>
          <w:p w14:paraId="42C2D40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1.6.7.</w:t>
            </w:r>
          </w:p>
        </w:tc>
        <w:tc>
          <w:tcPr>
            <w:tcW w:w="8157" w:type="dxa"/>
            <w:tcBorders>
              <w:top w:val="nil"/>
              <w:left w:val="nil"/>
              <w:bottom w:val="nil"/>
              <w:right w:val="nil"/>
            </w:tcBorders>
          </w:tcPr>
          <w:p w14:paraId="474E0A55" w14:textId="1040396C"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որակի հարցերով լիազորված անձի նամակը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արտադրության պայմանների՝ Եվրասիական տնտեսական հանձնաժողովի կողմից հաստատվող` Եվրասիական տնտեսական միության պատշաճ արտադրական գործունեության կանոններին համապատասխանության մասին, այդ թվում՝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օգտագործվող յուրաքանչյուր արտադրական հարթակի համար ելանյութերի </w:t>
            </w:r>
            <w:r w:rsidR="00C54D75">
              <w:rPr>
                <w:rFonts w:ascii="Sylfaen" w:hAnsi="Sylfaen"/>
                <w:sz w:val="24"/>
                <w:szCs w:val="24"/>
              </w:rPr>
              <w:t>և</w:t>
            </w:r>
            <w:r w:rsidRPr="00834D52">
              <w:rPr>
                <w:rFonts w:ascii="Sylfaen" w:hAnsi="Sylfaen"/>
                <w:sz w:val="24"/>
                <w:szCs w:val="24"/>
              </w:rPr>
              <w:t xml:space="preserve"> ակտիվ դեղագործական բաղադրամասի մասով, ներառյալ այն հարթակները, որտեղ իրականացվում է որակի հսկողություն </w:t>
            </w:r>
            <w:r w:rsidR="00C54D75">
              <w:rPr>
                <w:rFonts w:ascii="Sylfaen" w:hAnsi="Sylfaen"/>
                <w:sz w:val="24"/>
                <w:szCs w:val="24"/>
              </w:rPr>
              <w:t>և</w:t>
            </w:r>
            <w:r w:rsidRPr="00834D52">
              <w:rPr>
                <w:rFonts w:ascii="Sylfaen" w:hAnsi="Sylfaen"/>
                <w:sz w:val="24"/>
                <w:szCs w:val="24"/>
              </w:rPr>
              <w:t xml:space="preserve"> հսկողություն </w:t>
            </w:r>
            <w:r w:rsidRPr="00834D52">
              <w:rPr>
                <w:rFonts w:ascii="Sylfaen" w:hAnsi="Sylfaen"/>
                <w:sz w:val="24"/>
                <w:szCs w:val="24"/>
              </w:rPr>
              <w:lastRenderedPageBreak/>
              <w:t xml:space="preserve">արտադրության գործընթացում: Նամակը պետք է ստորագրվի որակի հարցերով լիազորված մարմնի կողմից </w:t>
            </w:r>
            <w:r w:rsidR="00C54D75">
              <w:rPr>
                <w:rFonts w:ascii="Sylfaen" w:hAnsi="Sylfaen"/>
                <w:sz w:val="24"/>
                <w:szCs w:val="24"/>
              </w:rPr>
              <w:t>և</w:t>
            </w:r>
            <w:r w:rsidRPr="00834D52">
              <w:rPr>
                <w:rFonts w:ascii="Sylfaen" w:hAnsi="Sylfaen"/>
                <w:sz w:val="24"/>
                <w:szCs w:val="24"/>
              </w:rPr>
              <w:t xml:space="preserve"> վավերացվի արտադրողի կնիքով (դրոշմակնիքով)՝ անհրաժեշտության դեպքում ուղեկցվելով ռուսերեն թարգմանությամբ</w:t>
            </w:r>
          </w:p>
        </w:tc>
      </w:tr>
      <w:tr w:rsidR="006F76EB" w:rsidRPr="00834D52" w14:paraId="636B4B2E" w14:textId="77777777" w:rsidTr="00F71229">
        <w:trPr>
          <w:gridAfter w:val="1"/>
          <w:wAfter w:w="11" w:type="dxa"/>
        </w:trPr>
        <w:tc>
          <w:tcPr>
            <w:tcW w:w="1809" w:type="dxa"/>
            <w:tcBorders>
              <w:top w:val="nil"/>
              <w:left w:val="nil"/>
              <w:bottom w:val="nil"/>
              <w:right w:val="nil"/>
            </w:tcBorders>
          </w:tcPr>
          <w:p w14:paraId="4E6887A3"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1.6.8.</w:t>
            </w:r>
          </w:p>
        </w:tc>
        <w:tc>
          <w:tcPr>
            <w:tcW w:w="8157" w:type="dxa"/>
            <w:tcBorders>
              <w:top w:val="nil"/>
              <w:left w:val="nil"/>
              <w:bottom w:val="nil"/>
              <w:right w:val="nil"/>
            </w:tcBorders>
          </w:tcPr>
          <w:p w14:paraId="1B285AC0" w14:textId="737CFE39" w:rsidR="006F76EB" w:rsidRPr="00834D52"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դեղապատրաստուկի գրանցման համար </w:t>
            </w:r>
            <w:r w:rsidR="001A5F1A">
              <w:rPr>
                <w:rFonts w:ascii="Sylfaen" w:hAnsi="Sylfaen"/>
                <w:sz w:val="24"/>
                <w:szCs w:val="24"/>
              </w:rPr>
              <w:t>հայտագրված</w:t>
            </w:r>
            <w:r w:rsidRPr="00834D52">
              <w:rPr>
                <w:rFonts w:ascii="Sylfaen" w:hAnsi="Sylfaen"/>
                <w:sz w:val="24"/>
                <w:szCs w:val="24"/>
              </w:rPr>
              <w:t xml:space="preserve"> արտադրական հարթակում դեղապատրաստուկների որակի առնչությամբ վերջին 3 տարիների ընթացքում ներկայացված բողոքագրերի մասին տեղեկությունները (եթե կիրառելի է)</w:t>
            </w:r>
          </w:p>
          <w:p w14:paraId="762E25C1"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p>
        </w:tc>
      </w:tr>
      <w:tr w:rsidR="006F76EB" w:rsidRPr="00834D52" w14:paraId="2E12EF01" w14:textId="77777777" w:rsidTr="00F71229">
        <w:trPr>
          <w:gridAfter w:val="1"/>
          <w:wAfter w:w="11" w:type="dxa"/>
        </w:trPr>
        <w:tc>
          <w:tcPr>
            <w:tcW w:w="1809" w:type="dxa"/>
            <w:tcBorders>
              <w:top w:val="nil"/>
              <w:left w:val="nil"/>
              <w:bottom w:val="nil"/>
              <w:right w:val="nil"/>
            </w:tcBorders>
          </w:tcPr>
          <w:p w14:paraId="26301D7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1.6.9.</w:t>
            </w:r>
          </w:p>
        </w:tc>
        <w:tc>
          <w:tcPr>
            <w:tcW w:w="8157" w:type="dxa"/>
            <w:tcBorders>
              <w:top w:val="nil"/>
              <w:left w:val="nil"/>
              <w:bottom w:val="nil"/>
              <w:right w:val="nil"/>
            </w:tcBorders>
          </w:tcPr>
          <w:p w14:paraId="33B39232" w14:textId="2B3CE691" w:rsidR="006F76EB" w:rsidRDefault="006B65FD" w:rsidP="00F71229">
            <w:pPr>
              <w:spacing w:after="160" w:line="360" w:lineRule="auto"/>
              <w:ind w:right="111"/>
              <w:jc w:val="both"/>
              <w:rPr>
                <w:rFonts w:ascii="Sylfaen" w:hAnsi="Sylfaen"/>
                <w:sz w:val="24"/>
                <w:szCs w:val="24"/>
              </w:rPr>
            </w:pPr>
            <w:r w:rsidRPr="006B65FD">
              <w:rPr>
                <w:rFonts w:ascii="Sylfaen" w:hAnsi="Sylfaen"/>
                <w:sz w:val="24"/>
                <w:szCs w:val="24"/>
              </w:rPr>
              <w:t>Միության իրավունքը կազմող միջազգային պայմանագրերի և ակտերի պահանջներին համապատասխանության առնչությամբ դեղագործական տեսչական ստուգում անցկացնելու համաձայնությունը</w:t>
            </w:r>
          </w:p>
          <w:p w14:paraId="1A1AF9D4" w14:textId="77777777" w:rsidR="006B65FD" w:rsidRDefault="006B65FD" w:rsidP="006B65FD">
            <w:pPr>
              <w:rPr>
                <w:b/>
                <w:bCs/>
                <w:i/>
                <w:iCs/>
              </w:rPr>
            </w:pPr>
            <w:r w:rsidRPr="00CD4709">
              <w:rPr>
                <w:b/>
                <w:bCs/>
                <w:i/>
                <w:iCs/>
              </w:rPr>
              <w:t>(</w:t>
            </w:r>
            <w:r w:rsidRPr="006B65FD">
              <w:rPr>
                <w:b/>
                <w:bCs/>
                <w:i/>
                <w:iCs/>
              </w:rPr>
              <w:t>1.6.</w:t>
            </w:r>
            <w:r>
              <w:rPr>
                <w:b/>
                <w:bCs/>
                <w:i/>
                <w:iCs/>
              </w:rPr>
              <w:t xml:space="preserve">9 դիրքը </w:t>
            </w:r>
            <w:r w:rsidRPr="00CD4709">
              <w:rPr>
                <w:b/>
                <w:bCs/>
                <w:i/>
                <w:iCs/>
              </w:rPr>
              <w:t>փոփ. 30.01.20 թիվ 9)</w:t>
            </w:r>
          </w:p>
          <w:p w14:paraId="1EE764CE" w14:textId="7B9B911D" w:rsidR="006B65FD" w:rsidRPr="006B65FD" w:rsidRDefault="006B65FD" w:rsidP="006B65FD">
            <w:pPr>
              <w:rPr>
                <w:b/>
                <w:bCs/>
                <w:i/>
                <w:iCs/>
                <w:lang w:val="en-US"/>
              </w:rPr>
            </w:pPr>
          </w:p>
        </w:tc>
      </w:tr>
      <w:tr w:rsidR="006F76EB" w:rsidRPr="00834D52" w14:paraId="12FE92B0" w14:textId="77777777" w:rsidTr="00F71229">
        <w:trPr>
          <w:gridAfter w:val="1"/>
          <w:wAfter w:w="11" w:type="dxa"/>
        </w:trPr>
        <w:tc>
          <w:tcPr>
            <w:tcW w:w="1809" w:type="dxa"/>
            <w:tcBorders>
              <w:top w:val="nil"/>
              <w:left w:val="nil"/>
              <w:bottom w:val="nil"/>
              <w:right w:val="nil"/>
            </w:tcBorders>
          </w:tcPr>
          <w:p w14:paraId="2767CDB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1.6.10.</w:t>
            </w:r>
          </w:p>
        </w:tc>
        <w:tc>
          <w:tcPr>
            <w:tcW w:w="8157" w:type="dxa"/>
            <w:tcBorders>
              <w:top w:val="nil"/>
              <w:left w:val="nil"/>
              <w:bottom w:val="nil"/>
              <w:right w:val="nil"/>
            </w:tcBorders>
          </w:tcPr>
          <w:p w14:paraId="544C6D01" w14:textId="7078E602"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արտադրական հարթակի (արտադրական հարթակների) հիմնական դոսյեի (մաստեր-ֆայլի)՝ </w:t>
            </w:r>
            <w:r w:rsidR="0056496B">
              <w:rPr>
                <w:rFonts w:ascii="Sylfaen" w:hAnsi="Sylfaen"/>
                <w:sz w:val="24"/>
                <w:szCs w:val="24"/>
              </w:rPr>
              <w:t>դիմումատու</w:t>
            </w:r>
            <w:r w:rsidRPr="00834D52">
              <w:rPr>
                <w:rFonts w:ascii="Sylfaen" w:hAnsi="Sylfaen"/>
                <w:sz w:val="24"/>
                <w:szCs w:val="24"/>
              </w:rPr>
              <w:t xml:space="preserve">ի կողմից վավերացված պատճենը </w:t>
            </w:r>
            <w:r w:rsidR="004261B1" w:rsidRPr="004261B1">
              <w:rPr>
                <w:rFonts w:ascii="Sylfaen" w:hAnsi="Sylfaen"/>
                <w:sz w:val="24"/>
                <w:szCs w:val="24"/>
              </w:rPr>
              <w:t>սույն կանոնների 30-րդ կետին համապատասխան</w:t>
            </w:r>
          </w:p>
        </w:tc>
      </w:tr>
      <w:tr w:rsidR="006F76EB" w:rsidRPr="00834D52" w14:paraId="33C397FA" w14:textId="77777777" w:rsidTr="00F71229">
        <w:trPr>
          <w:gridAfter w:val="1"/>
          <w:wAfter w:w="11" w:type="dxa"/>
        </w:trPr>
        <w:tc>
          <w:tcPr>
            <w:tcW w:w="1809" w:type="dxa"/>
            <w:tcBorders>
              <w:top w:val="nil"/>
              <w:left w:val="nil"/>
              <w:bottom w:val="nil"/>
              <w:right w:val="nil"/>
            </w:tcBorders>
          </w:tcPr>
          <w:p w14:paraId="4B4E1CD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1.6.11.</w:t>
            </w:r>
          </w:p>
        </w:tc>
        <w:tc>
          <w:tcPr>
            <w:tcW w:w="8157" w:type="dxa"/>
            <w:tcBorders>
              <w:top w:val="nil"/>
              <w:left w:val="nil"/>
              <w:bottom w:val="nil"/>
              <w:right w:val="nil"/>
            </w:tcBorders>
          </w:tcPr>
          <w:p w14:paraId="6768B3FF" w14:textId="77777777" w:rsidR="006F76EB"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արտադրության էտապների սխեման՝ նշելով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ներգրավված բոլոր արտադրական հարթակները, ներառյալ՝ բացթողման որակի հսկողությունը</w:t>
            </w:r>
          </w:p>
          <w:p w14:paraId="1D6C202E" w14:textId="0F28D059" w:rsidR="006B65FD" w:rsidRPr="00CD4709" w:rsidRDefault="006B65FD" w:rsidP="006B65FD">
            <w:pPr>
              <w:rPr>
                <w:b/>
                <w:bCs/>
                <w:i/>
                <w:iCs/>
                <w:lang w:val="en-US"/>
              </w:rPr>
            </w:pPr>
            <w:r w:rsidRPr="00CD4709">
              <w:rPr>
                <w:b/>
                <w:bCs/>
                <w:i/>
                <w:iCs/>
              </w:rPr>
              <w:t>(</w:t>
            </w:r>
            <w:r w:rsidRPr="006B65FD">
              <w:rPr>
                <w:b/>
                <w:bCs/>
                <w:i/>
                <w:iCs/>
              </w:rPr>
              <w:t>1.6.1</w:t>
            </w:r>
            <w:r>
              <w:rPr>
                <w:b/>
                <w:bCs/>
                <w:i/>
                <w:iCs/>
              </w:rPr>
              <w:t xml:space="preserve"> դիրքը </w:t>
            </w:r>
            <w:r w:rsidRPr="00CD4709">
              <w:rPr>
                <w:b/>
                <w:bCs/>
                <w:i/>
                <w:iCs/>
              </w:rPr>
              <w:t>փոփ. 30.01.20 թիվ 9</w:t>
            </w:r>
            <w:r w:rsidR="004261B1">
              <w:rPr>
                <w:b/>
                <w:bCs/>
                <w:i/>
                <w:iCs/>
              </w:rPr>
              <w:t>, 17.03.22 թիվ 36</w:t>
            </w:r>
            <w:r w:rsidRPr="00CD4709">
              <w:rPr>
                <w:b/>
                <w:bCs/>
                <w:i/>
                <w:iCs/>
              </w:rPr>
              <w:t>)</w:t>
            </w:r>
          </w:p>
          <w:p w14:paraId="0EB43E38" w14:textId="31676A60" w:rsidR="006B65FD" w:rsidRPr="00834D52" w:rsidRDefault="006B65FD" w:rsidP="00F71229">
            <w:pPr>
              <w:spacing w:after="160" w:line="360" w:lineRule="auto"/>
              <w:ind w:right="111"/>
              <w:jc w:val="both"/>
              <w:rPr>
                <w:rFonts w:ascii="Sylfaen" w:eastAsia="Times New Roman" w:hAnsi="Sylfaen" w:cs="Times New Roman"/>
                <w:sz w:val="24"/>
                <w:szCs w:val="24"/>
              </w:rPr>
            </w:pPr>
          </w:p>
        </w:tc>
      </w:tr>
      <w:tr w:rsidR="006F76EB" w:rsidRPr="00834D52" w14:paraId="1720F0F7" w14:textId="77777777" w:rsidTr="00F71229">
        <w:trPr>
          <w:gridAfter w:val="1"/>
          <w:wAfter w:w="11" w:type="dxa"/>
        </w:trPr>
        <w:tc>
          <w:tcPr>
            <w:tcW w:w="1809" w:type="dxa"/>
            <w:tcBorders>
              <w:top w:val="nil"/>
              <w:left w:val="nil"/>
              <w:bottom w:val="nil"/>
              <w:right w:val="nil"/>
            </w:tcBorders>
          </w:tcPr>
          <w:p w14:paraId="71AA1D0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w:t>
            </w:r>
          </w:p>
        </w:tc>
        <w:tc>
          <w:tcPr>
            <w:tcW w:w="8157" w:type="dxa"/>
            <w:tcBorders>
              <w:top w:val="nil"/>
              <w:left w:val="nil"/>
              <w:bottom w:val="nil"/>
              <w:right w:val="nil"/>
            </w:tcBorders>
          </w:tcPr>
          <w:p w14:paraId="26293D4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Մասնագետների մասին տեղեկատվություն՝</w:t>
            </w:r>
          </w:p>
        </w:tc>
      </w:tr>
      <w:tr w:rsidR="006F76EB" w:rsidRPr="00834D52" w14:paraId="033BD5EA" w14:textId="77777777" w:rsidTr="00F71229">
        <w:trPr>
          <w:gridAfter w:val="1"/>
          <w:wAfter w:w="11" w:type="dxa"/>
        </w:trPr>
        <w:tc>
          <w:tcPr>
            <w:tcW w:w="1809" w:type="dxa"/>
            <w:tcBorders>
              <w:top w:val="nil"/>
              <w:left w:val="nil"/>
              <w:bottom w:val="nil"/>
              <w:right w:val="nil"/>
            </w:tcBorders>
          </w:tcPr>
          <w:p w14:paraId="65C8E63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1.7.1</w:t>
            </w:r>
          </w:p>
        </w:tc>
        <w:tc>
          <w:tcPr>
            <w:tcW w:w="8157" w:type="dxa"/>
            <w:tcBorders>
              <w:top w:val="nil"/>
              <w:left w:val="nil"/>
              <w:bottom w:val="nil"/>
              <w:right w:val="nil"/>
            </w:tcBorders>
          </w:tcPr>
          <w:p w14:paraId="67354F9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տեղեկատվություն (հակիրճ ռեզյումե)՝ որակի ռեզյումե պատրաստած մասնագետի մասին</w:t>
            </w:r>
          </w:p>
        </w:tc>
      </w:tr>
      <w:tr w:rsidR="006F76EB" w:rsidRPr="00834D52" w14:paraId="0FF99E4B" w14:textId="77777777" w:rsidTr="00F71229">
        <w:trPr>
          <w:gridAfter w:val="1"/>
          <w:wAfter w:w="11" w:type="dxa"/>
        </w:trPr>
        <w:tc>
          <w:tcPr>
            <w:tcW w:w="1809" w:type="dxa"/>
            <w:tcBorders>
              <w:top w:val="nil"/>
              <w:left w:val="nil"/>
              <w:bottom w:val="nil"/>
              <w:right w:val="nil"/>
            </w:tcBorders>
          </w:tcPr>
          <w:p w14:paraId="298A150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1.7.2.</w:t>
            </w:r>
          </w:p>
        </w:tc>
        <w:tc>
          <w:tcPr>
            <w:tcW w:w="8157" w:type="dxa"/>
            <w:tcBorders>
              <w:top w:val="nil"/>
              <w:left w:val="nil"/>
              <w:bottom w:val="nil"/>
              <w:right w:val="nil"/>
            </w:tcBorders>
          </w:tcPr>
          <w:p w14:paraId="3154742D" w14:textId="61A7A553" w:rsidR="006F76EB" w:rsidRPr="00834D52" w:rsidRDefault="006B65FD" w:rsidP="00F71229">
            <w:pPr>
              <w:spacing w:after="160" w:line="360" w:lineRule="auto"/>
              <w:ind w:right="111"/>
              <w:jc w:val="both"/>
              <w:rPr>
                <w:rFonts w:ascii="Sylfaen" w:eastAsia="Times New Roman" w:hAnsi="Sylfaen" w:cs="Times New Roman"/>
                <w:sz w:val="24"/>
                <w:szCs w:val="24"/>
              </w:rPr>
            </w:pPr>
            <w:r w:rsidRPr="006B65FD">
              <w:rPr>
                <w:rFonts w:ascii="Sylfaen" w:hAnsi="Sylfaen"/>
                <w:sz w:val="24"/>
                <w:szCs w:val="24"/>
              </w:rPr>
              <w:t>տեղեկատվություն (հակիրճ ռեզյումե)՝ նախակլինիկական հետազոտությունների ռեզյումե պատրաստած մասնագետի մասին</w:t>
            </w:r>
          </w:p>
        </w:tc>
      </w:tr>
      <w:tr w:rsidR="006F76EB" w:rsidRPr="00834D52" w14:paraId="78B267C8" w14:textId="77777777" w:rsidTr="00F71229">
        <w:trPr>
          <w:gridAfter w:val="1"/>
          <w:wAfter w:w="11" w:type="dxa"/>
          <w:trHeight w:val="930"/>
        </w:trPr>
        <w:tc>
          <w:tcPr>
            <w:tcW w:w="1809" w:type="dxa"/>
            <w:tcBorders>
              <w:top w:val="nil"/>
              <w:left w:val="nil"/>
              <w:bottom w:val="nil"/>
              <w:right w:val="nil"/>
            </w:tcBorders>
          </w:tcPr>
          <w:p w14:paraId="763A62B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1.7.3.</w:t>
            </w:r>
          </w:p>
        </w:tc>
        <w:tc>
          <w:tcPr>
            <w:tcW w:w="8157" w:type="dxa"/>
            <w:tcBorders>
              <w:top w:val="nil"/>
              <w:left w:val="nil"/>
              <w:bottom w:val="nil"/>
              <w:right w:val="nil"/>
            </w:tcBorders>
          </w:tcPr>
          <w:p w14:paraId="4778F9B1" w14:textId="77777777" w:rsidR="006F76EB" w:rsidRDefault="006B65FD" w:rsidP="00F71229">
            <w:pPr>
              <w:spacing w:after="160" w:line="360" w:lineRule="auto"/>
              <w:ind w:right="111"/>
              <w:jc w:val="both"/>
              <w:rPr>
                <w:rFonts w:ascii="Sylfaen" w:hAnsi="Sylfaen"/>
                <w:sz w:val="24"/>
                <w:szCs w:val="24"/>
              </w:rPr>
            </w:pPr>
            <w:r w:rsidRPr="006B65FD">
              <w:rPr>
                <w:rFonts w:ascii="Sylfaen" w:hAnsi="Sylfaen"/>
                <w:sz w:val="24"/>
                <w:szCs w:val="24"/>
              </w:rPr>
              <w:t>տեղեկատվություն (հակիրճ ռեզյումե)՝ կլինիկական հետազոտությունների ռեզյումե պատրաստած մասնագետի մասին</w:t>
            </w:r>
          </w:p>
          <w:p w14:paraId="363E55CC" w14:textId="50B80063" w:rsidR="006B65FD" w:rsidRPr="00CD4709" w:rsidRDefault="006B65FD" w:rsidP="006B65FD">
            <w:pPr>
              <w:rPr>
                <w:b/>
                <w:bCs/>
                <w:i/>
                <w:iCs/>
                <w:lang w:val="en-US"/>
              </w:rPr>
            </w:pPr>
            <w:r w:rsidRPr="00CD4709">
              <w:rPr>
                <w:b/>
                <w:bCs/>
                <w:i/>
                <w:iCs/>
              </w:rPr>
              <w:t>(</w:t>
            </w:r>
            <w:r>
              <w:rPr>
                <w:b/>
                <w:bCs/>
                <w:i/>
                <w:iCs/>
              </w:rPr>
              <w:t xml:space="preserve">1.7 դիրքը </w:t>
            </w:r>
            <w:r w:rsidRPr="00CD4709">
              <w:rPr>
                <w:b/>
                <w:bCs/>
                <w:i/>
                <w:iCs/>
              </w:rPr>
              <w:t>փոփ. 30.01.20 թիվ 9)</w:t>
            </w:r>
          </w:p>
          <w:p w14:paraId="38E9B430" w14:textId="6BA1B8E0" w:rsidR="006B65FD" w:rsidRPr="00834D52" w:rsidRDefault="006B65FD" w:rsidP="00F71229">
            <w:pPr>
              <w:spacing w:after="160" w:line="360" w:lineRule="auto"/>
              <w:ind w:right="111"/>
              <w:jc w:val="both"/>
              <w:rPr>
                <w:rFonts w:ascii="Sylfaen" w:eastAsia="Times New Roman" w:hAnsi="Sylfaen" w:cs="Times New Roman"/>
                <w:sz w:val="24"/>
                <w:szCs w:val="24"/>
              </w:rPr>
            </w:pPr>
          </w:p>
        </w:tc>
      </w:tr>
      <w:tr w:rsidR="006F76EB" w:rsidRPr="00834D52" w14:paraId="5A544B86" w14:textId="77777777" w:rsidTr="00F71229">
        <w:trPr>
          <w:gridAfter w:val="1"/>
          <w:wAfter w:w="11" w:type="dxa"/>
        </w:trPr>
        <w:tc>
          <w:tcPr>
            <w:tcW w:w="1809" w:type="dxa"/>
            <w:tcBorders>
              <w:top w:val="nil"/>
              <w:left w:val="nil"/>
              <w:bottom w:val="nil"/>
              <w:right w:val="nil"/>
            </w:tcBorders>
          </w:tcPr>
          <w:p w14:paraId="6F44556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w:t>
            </w:r>
          </w:p>
        </w:tc>
        <w:tc>
          <w:tcPr>
            <w:tcW w:w="8157" w:type="dxa"/>
            <w:tcBorders>
              <w:top w:val="nil"/>
              <w:left w:val="nil"/>
              <w:bottom w:val="nil"/>
              <w:right w:val="nil"/>
            </w:tcBorders>
          </w:tcPr>
          <w:p w14:paraId="2B8CF9B4" w14:textId="25C9DB7E"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 xml:space="preserve">Տարբեր տեսակի </w:t>
            </w:r>
            <w:r w:rsidR="009F5829">
              <w:rPr>
                <w:rFonts w:ascii="Sylfaen" w:hAnsi="Sylfaen"/>
                <w:sz w:val="24"/>
                <w:szCs w:val="24"/>
              </w:rPr>
              <w:t>դիմումներ</w:t>
            </w:r>
            <w:r w:rsidRPr="00834D52">
              <w:rPr>
                <w:rFonts w:ascii="Sylfaen" w:hAnsi="Sylfaen"/>
                <w:sz w:val="24"/>
                <w:szCs w:val="24"/>
              </w:rPr>
              <w:t>ի համար մասնահատուկ պահանջները՝</w:t>
            </w:r>
          </w:p>
        </w:tc>
      </w:tr>
      <w:tr w:rsidR="006F76EB" w:rsidRPr="00834D52" w14:paraId="4FFF85C0" w14:textId="77777777" w:rsidTr="00F71229">
        <w:trPr>
          <w:gridAfter w:val="1"/>
          <w:wAfter w:w="11" w:type="dxa"/>
        </w:trPr>
        <w:tc>
          <w:tcPr>
            <w:tcW w:w="1809" w:type="dxa"/>
            <w:tcBorders>
              <w:top w:val="nil"/>
              <w:left w:val="nil"/>
              <w:bottom w:val="nil"/>
              <w:right w:val="nil"/>
            </w:tcBorders>
          </w:tcPr>
          <w:p w14:paraId="6EE24B6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1.8.1.</w:t>
            </w:r>
          </w:p>
        </w:tc>
        <w:tc>
          <w:tcPr>
            <w:tcW w:w="8157" w:type="dxa"/>
            <w:tcBorders>
              <w:top w:val="nil"/>
              <w:left w:val="nil"/>
              <w:bottom w:val="nil"/>
              <w:right w:val="nil"/>
            </w:tcBorders>
          </w:tcPr>
          <w:p w14:paraId="7A740562" w14:textId="77777777" w:rsidR="006F76EB" w:rsidRPr="00401706"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լրացուցիչ առ</w:t>
            </w:r>
            <w:r w:rsidR="00C54D75">
              <w:rPr>
                <w:rFonts w:ascii="Sylfaen" w:hAnsi="Sylfaen"/>
                <w:sz w:val="24"/>
                <w:szCs w:val="24"/>
              </w:rPr>
              <w:t>և</w:t>
            </w:r>
            <w:r w:rsidRPr="00834D52">
              <w:rPr>
                <w:rFonts w:ascii="Sylfaen" w:hAnsi="Sylfaen"/>
                <w:sz w:val="24"/>
                <w:szCs w:val="24"/>
              </w:rPr>
              <w:t>տրային անվանման մասին գրանցման հավաստագրի իրավատիրոջ նամակը</w:t>
            </w:r>
            <w:r w:rsidR="00401706">
              <w:rPr>
                <w:rFonts w:ascii="Sylfaen" w:hAnsi="Sylfaen"/>
                <w:sz w:val="24"/>
                <w:szCs w:val="24"/>
              </w:rPr>
              <w:t xml:space="preserve"> </w:t>
            </w:r>
            <w:r w:rsidR="00E90FAF" w:rsidRPr="00E90FAF">
              <w:rPr>
                <w:rFonts w:ascii="Sylfaen" w:hAnsi="Sylfaen"/>
                <w:sz w:val="24"/>
                <w:szCs w:val="24"/>
              </w:rPr>
              <w:t>(</w:t>
            </w:r>
            <w:r w:rsidR="00401706">
              <w:rPr>
                <w:rFonts w:ascii="Sylfaen" w:hAnsi="Sylfaen"/>
                <w:sz w:val="24"/>
                <w:szCs w:val="24"/>
              </w:rPr>
              <w:t>եթե կիրառելի է</w:t>
            </w:r>
            <w:r w:rsidR="00E90FAF" w:rsidRPr="00E90FAF">
              <w:rPr>
                <w:rFonts w:ascii="Sylfaen" w:hAnsi="Sylfaen"/>
                <w:sz w:val="24"/>
                <w:szCs w:val="24"/>
              </w:rPr>
              <w:t>)</w:t>
            </w:r>
          </w:p>
        </w:tc>
      </w:tr>
      <w:tr w:rsidR="002B12C4" w:rsidRPr="00834D52" w14:paraId="1C88C6E6" w14:textId="77777777" w:rsidTr="00F71229">
        <w:trPr>
          <w:gridAfter w:val="1"/>
          <w:wAfter w:w="11" w:type="dxa"/>
        </w:trPr>
        <w:tc>
          <w:tcPr>
            <w:tcW w:w="1809" w:type="dxa"/>
            <w:tcBorders>
              <w:top w:val="nil"/>
              <w:left w:val="nil"/>
              <w:bottom w:val="nil"/>
              <w:right w:val="nil"/>
            </w:tcBorders>
          </w:tcPr>
          <w:p w14:paraId="26DB9FB8" w14:textId="77777777" w:rsidR="002B12C4" w:rsidRDefault="002B12C4" w:rsidP="002B12C4">
            <w:pPr>
              <w:spacing w:after="160" w:line="360" w:lineRule="auto"/>
              <w:ind w:right="-6"/>
              <w:jc w:val="center"/>
              <w:rPr>
                <w:sz w:val="21"/>
                <w:szCs w:val="21"/>
              </w:rPr>
            </w:pPr>
            <w:r>
              <w:rPr>
                <w:rFonts w:ascii="Arial Unicode" w:hAnsi="Arial Unicode"/>
                <w:sz w:val="21"/>
                <w:szCs w:val="21"/>
              </w:rPr>
              <w:t>1.8.2</w:t>
            </w:r>
          </w:p>
          <w:p w14:paraId="3BC8F6C3" w14:textId="77777777" w:rsidR="002A5CD7" w:rsidRDefault="002A5CD7" w:rsidP="002B12C4">
            <w:pPr>
              <w:spacing w:after="160" w:line="360" w:lineRule="auto"/>
              <w:ind w:right="-6"/>
              <w:jc w:val="center"/>
              <w:rPr>
                <w:sz w:val="21"/>
                <w:szCs w:val="21"/>
              </w:rPr>
            </w:pPr>
          </w:p>
          <w:p w14:paraId="3A21FF91" w14:textId="77777777"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1.8.2.1</w:t>
            </w:r>
          </w:p>
          <w:p w14:paraId="1699E044" w14:textId="77777777" w:rsidR="002A5CD7" w:rsidRDefault="002A5CD7" w:rsidP="002B12C4">
            <w:pPr>
              <w:spacing w:after="160" w:line="360" w:lineRule="auto"/>
              <w:ind w:right="-6"/>
              <w:jc w:val="center"/>
              <w:rPr>
                <w:rFonts w:eastAsia="Times New Roman" w:cs="Times New Roman"/>
                <w:sz w:val="24"/>
                <w:szCs w:val="24"/>
              </w:rPr>
            </w:pPr>
          </w:p>
          <w:p w14:paraId="55333EEE" w14:textId="77777777" w:rsidR="002A5CD7" w:rsidRDefault="002A5CD7" w:rsidP="002B12C4">
            <w:pPr>
              <w:spacing w:after="160" w:line="360" w:lineRule="auto"/>
              <w:ind w:right="-6"/>
              <w:jc w:val="center"/>
              <w:rPr>
                <w:rFonts w:eastAsia="Times New Roman" w:cs="Times New Roman"/>
                <w:sz w:val="24"/>
                <w:szCs w:val="24"/>
              </w:rPr>
            </w:pPr>
          </w:p>
          <w:p w14:paraId="0BC04550" w14:textId="232A35B9"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2</w:t>
            </w:r>
          </w:p>
          <w:p w14:paraId="255BB2DB" w14:textId="6B706AC9"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3</w:t>
            </w:r>
          </w:p>
          <w:p w14:paraId="52BD9130" w14:textId="4D77B521" w:rsidR="002A5CD7" w:rsidRDefault="002A5CD7" w:rsidP="002B12C4">
            <w:pPr>
              <w:spacing w:after="160" w:line="360" w:lineRule="auto"/>
              <w:ind w:right="-6"/>
              <w:jc w:val="center"/>
              <w:rPr>
                <w:rFonts w:eastAsia="Times New Roman" w:cs="Times New Roman"/>
                <w:sz w:val="24"/>
                <w:szCs w:val="24"/>
              </w:rPr>
            </w:pPr>
          </w:p>
          <w:p w14:paraId="046C92E7" w14:textId="5F9CF289"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4</w:t>
            </w:r>
          </w:p>
          <w:p w14:paraId="23114D2F" w14:textId="69CACEA0" w:rsidR="002A5CD7" w:rsidRDefault="002A5CD7" w:rsidP="002B12C4">
            <w:pPr>
              <w:spacing w:after="160" w:line="360" w:lineRule="auto"/>
              <w:ind w:right="-6"/>
              <w:jc w:val="center"/>
              <w:rPr>
                <w:rFonts w:eastAsia="Times New Roman" w:cs="Times New Roman"/>
                <w:sz w:val="24"/>
                <w:szCs w:val="24"/>
              </w:rPr>
            </w:pPr>
          </w:p>
          <w:p w14:paraId="2465C610" w14:textId="76D5E05E"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5</w:t>
            </w:r>
          </w:p>
          <w:p w14:paraId="060D736F" w14:textId="4D121169" w:rsidR="002A5CD7" w:rsidRDefault="002A5CD7" w:rsidP="002B12C4">
            <w:pPr>
              <w:spacing w:after="160" w:line="360" w:lineRule="auto"/>
              <w:ind w:right="-6"/>
              <w:jc w:val="center"/>
              <w:rPr>
                <w:rFonts w:eastAsia="Times New Roman" w:cs="Times New Roman"/>
                <w:sz w:val="24"/>
                <w:szCs w:val="24"/>
              </w:rPr>
            </w:pPr>
          </w:p>
          <w:p w14:paraId="4932C9CD" w14:textId="3C74A373" w:rsidR="002A5CD7" w:rsidRDefault="002A5CD7" w:rsidP="002B12C4">
            <w:pPr>
              <w:spacing w:after="160" w:line="360" w:lineRule="auto"/>
              <w:ind w:right="-6"/>
              <w:jc w:val="center"/>
              <w:rPr>
                <w:rFonts w:eastAsia="Times New Roman" w:cs="Times New Roman"/>
                <w:sz w:val="24"/>
                <w:szCs w:val="24"/>
              </w:rPr>
            </w:pPr>
          </w:p>
          <w:p w14:paraId="61AF54C8" w14:textId="359B4E9A"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6</w:t>
            </w:r>
          </w:p>
          <w:p w14:paraId="22232990" w14:textId="39FE34F5" w:rsidR="002A5CD7" w:rsidRDefault="002A5CD7" w:rsidP="002B12C4">
            <w:pPr>
              <w:spacing w:after="160" w:line="360" w:lineRule="auto"/>
              <w:ind w:right="-6"/>
              <w:jc w:val="center"/>
              <w:rPr>
                <w:rFonts w:eastAsia="Times New Roman" w:cs="Times New Roman"/>
                <w:sz w:val="24"/>
                <w:szCs w:val="24"/>
              </w:rPr>
            </w:pPr>
          </w:p>
          <w:p w14:paraId="684264F5" w14:textId="2EB76F68"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7</w:t>
            </w:r>
          </w:p>
          <w:p w14:paraId="4E39A89F" w14:textId="1506AC50" w:rsidR="002A5CD7" w:rsidRDefault="002A5CD7" w:rsidP="002B12C4">
            <w:pPr>
              <w:spacing w:after="160" w:line="360" w:lineRule="auto"/>
              <w:ind w:right="-6"/>
              <w:jc w:val="center"/>
              <w:rPr>
                <w:rFonts w:eastAsia="Times New Roman" w:cs="Times New Roman"/>
                <w:sz w:val="24"/>
                <w:szCs w:val="24"/>
              </w:rPr>
            </w:pPr>
          </w:p>
          <w:p w14:paraId="3C0D36A7" w14:textId="64A2E8C0"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8</w:t>
            </w:r>
          </w:p>
          <w:p w14:paraId="33097A39" w14:textId="77777777" w:rsidR="002A5CD7" w:rsidRDefault="002A5CD7" w:rsidP="002B12C4">
            <w:pPr>
              <w:spacing w:after="160" w:line="360" w:lineRule="auto"/>
              <w:ind w:right="-6"/>
              <w:jc w:val="center"/>
              <w:rPr>
                <w:rFonts w:eastAsia="Times New Roman" w:cs="Times New Roman"/>
                <w:sz w:val="24"/>
                <w:szCs w:val="24"/>
              </w:rPr>
            </w:pPr>
          </w:p>
          <w:p w14:paraId="25CAAD8B" w14:textId="3F03FBCE" w:rsidR="002A5CD7" w:rsidRDefault="002A5CD7" w:rsidP="009D74A1">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9</w:t>
            </w:r>
          </w:p>
          <w:p w14:paraId="18BAE80D" w14:textId="6A2FB58C" w:rsidR="002A5CD7" w:rsidRPr="002A5CD7" w:rsidRDefault="002A5CD7" w:rsidP="002A5CD7">
            <w:pPr>
              <w:spacing w:after="160" w:line="360" w:lineRule="auto"/>
              <w:ind w:right="-6"/>
              <w:rPr>
                <w:rFonts w:eastAsia="Times New Roman" w:cs="Times New Roman"/>
                <w:sz w:val="24"/>
                <w:szCs w:val="24"/>
              </w:rPr>
            </w:pPr>
          </w:p>
        </w:tc>
        <w:tc>
          <w:tcPr>
            <w:tcW w:w="8157" w:type="dxa"/>
            <w:tcBorders>
              <w:top w:val="nil"/>
              <w:left w:val="nil"/>
              <w:bottom w:val="nil"/>
              <w:right w:val="nil"/>
            </w:tcBorders>
          </w:tcPr>
          <w:p w14:paraId="6661F6D8" w14:textId="77777777" w:rsidR="002B12C4" w:rsidRDefault="002B12C4" w:rsidP="002B12C4">
            <w:pPr>
              <w:spacing w:after="160" w:line="360" w:lineRule="auto"/>
              <w:ind w:right="111"/>
              <w:jc w:val="both"/>
              <w:rPr>
                <w:sz w:val="21"/>
                <w:szCs w:val="21"/>
              </w:rPr>
            </w:pPr>
            <w:r>
              <w:rPr>
                <w:rFonts w:ascii="Arial Unicode" w:hAnsi="Arial Unicode"/>
                <w:sz w:val="21"/>
                <w:szCs w:val="21"/>
              </w:rPr>
              <w:lastRenderedPageBreak/>
              <w:t>կլինիկական հետազոտությունների փաստաթղթերը և գրանցման հայտի հիմնավորման համար ամփոփագիրը (եթե կիրառելի է)</w:t>
            </w:r>
          </w:p>
          <w:p w14:paraId="628E8C4E" w14:textId="3C974CAE" w:rsidR="002B12C4" w:rsidRPr="002B12C4" w:rsidRDefault="002B12C4" w:rsidP="002A5CD7">
            <w:pPr>
              <w:spacing w:after="160" w:line="360" w:lineRule="auto"/>
              <w:ind w:right="111"/>
              <w:rPr>
                <w:rFonts w:eastAsia="Times New Roman" w:cs="Times New Roman"/>
                <w:sz w:val="24"/>
                <w:szCs w:val="24"/>
              </w:rPr>
            </w:pPr>
            <w:r w:rsidRPr="002B12C4">
              <w:rPr>
                <w:rFonts w:eastAsia="Times New Roman" w:cs="Times New Roman"/>
                <w:sz w:val="24"/>
                <w:szCs w:val="24"/>
              </w:rPr>
              <w:t>.լիազորված մարմնի թույլտվությունը՝ կլինիկական հետազոտություններ անցկացնելու համար</w:t>
            </w:r>
          </w:p>
          <w:p w14:paraId="11A98A25"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w:t>
            </w:r>
          </w:p>
          <w:p w14:paraId="087CC3D0" w14:textId="202FF984" w:rsidR="002B12C4" w:rsidRPr="002A5CD7" w:rsidRDefault="002B12C4" w:rsidP="002A5CD7">
            <w:pPr>
              <w:spacing w:after="160" w:line="360" w:lineRule="auto"/>
              <w:ind w:right="111"/>
              <w:rPr>
                <w:rFonts w:eastAsia="Times New Roman" w:cs="Times New Roman"/>
                <w:sz w:val="24"/>
                <w:szCs w:val="24"/>
              </w:rPr>
            </w:pPr>
            <w:r w:rsidRPr="002A5CD7">
              <w:rPr>
                <w:rFonts w:eastAsia="Times New Roman" w:cs="Times New Roman"/>
                <w:sz w:val="24"/>
                <w:szCs w:val="24"/>
              </w:rPr>
              <w:t>պատշաճ կլինիկական գործունեությանը համապատասխանության մասով կատարված տեսչական ստուգումների ցանկը</w:t>
            </w:r>
          </w:p>
          <w:p w14:paraId="40ABDCC8" w14:textId="540B1A2A"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տեսչական ստուգումների վերաբերյալ հաշվետվությունների պատճենները</w:t>
            </w:r>
          </w:p>
          <w:p w14:paraId="1E9DDDAF" w14:textId="48F7A5B5"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պայմանագրերի պատճենները</w:t>
            </w:r>
          </w:p>
          <w:p w14:paraId="294E54D9"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w:t>
            </w:r>
          </w:p>
          <w:p w14:paraId="332A3531" w14:textId="55068980"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գրանցման հայտի համար ամփոփագիրը՝</w:t>
            </w:r>
          </w:p>
          <w:p w14:paraId="75476EF7"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մատենագիտական աղբյուրների և տվյալների տրամադրմամբ</w:t>
            </w:r>
          </w:p>
          <w:p w14:paraId="5078F596"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w:t>
            </w:r>
          </w:p>
          <w:p w14:paraId="7DB61EBC" w14:textId="7FDF53B5"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գեներիկ, հիբրիդային կամ կենսահամանման (կենսանման) դեղապատրաստուկների գրանցման հայտի համար ամփոփագիր</w:t>
            </w:r>
          </w:p>
          <w:p w14:paraId="3EBD0FC0" w14:textId="5BD25298"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lastRenderedPageBreak/>
              <w:t xml:space="preserve"> գրանցման հայտի համար ամփոփագիր՝ գրանցվող դեղապատրաստուկի առնչությամբ անդամ</w:t>
            </w:r>
            <w:r w:rsidR="002A5CD7">
              <w:rPr>
                <w:rFonts w:eastAsia="Times New Roman" w:cs="Times New Roman"/>
                <w:sz w:val="24"/>
                <w:szCs w:val="24"/>
              </w:rPr>
              <w:t xml:space="preserve"> </w:t>
            </w:r>
            <w:r w:rsidRPr="002B12C4">
              <w:rPr>
                <w:rFonts w:eastAsia="Times New Roman" w:cs="Times New Roman"/>
                <w:sz w:val="24"/>
                <w:szCs w:val="24"/>
              </w:rPr>
              <w:t>պետությունում արտոնագրերի առկայության դեպքում</w:t>
            </w:r>
          </w:p>
          <w:p w14:paraId="7622D97E" w14:textId="7439B35D"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գրանցման հայտի համար ամփոփագիր՝ հատուկ դեպքերում</w:t>
            </w:r>
          </w:p>
          <w:p w14:paraId="16CB4E7B" w14:textId="77777777" w:rsid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գրանցման հայտի համար ամփոփագիր՝ հետգրանցումային միջոցների սահմանմամբ (գրանցում պայմաններով</w:t>
            </w:r>
            <w:r w:rsidR="002A5CD7" w:rsidRPr="002B12C4">
              <w:rPr>
                <w:rFonts w:eastAsia="Times New Roman" w:cs="Times New Roman"/>
                <w:sz w:val="24"/>
                <w:szCs w:val="24"/>
              </w:rPr>
              <w:t>)</w:t>
            </w:r>
          </w:p>
          <w:p w14:paraId="108E7C5C" w14:textId="764999E3" w:rsidR="009D74A1" w:rsidRPr="00CD4709" w:rsidRDefault="009D74A1" w:rsidP="009D74A1">
            <w:pPr>
              <w:rPr>
                <w:b/>
                <w:bCs/>
                <w:i/>
                <w:iCs/>
                <w:lang w:val="en-US"/>
              </w:rPr>
            </w:pPr>
            <w:r w:rsidRPr="00CD4709">
              <w:rPr>
                <w:b/>
                <w:bCs/>
                <w:i/>
                <w:iCs/>
              </w:rPr>
              <w:t>(</w:t>
            </w:r>
            <w:r>
              <w:rPr>
                <w:b/>
                <w:bCs/>
                <w:i/>
                <w:iCs/>
              </w:rPr>
              <w:t xml:space="preserve">1.8.2  դիրքը </w:t>
            </w:r>
            <w:r w:rsidRPr="00CD4709">
              <w:rPr>
                <w:b/>
                <w:bCs/>
                <w:i/>
                <w:iCs/>
              </w:rPr>
              <w:t xml:space="preserve">փոփ. </w:t>
            </w:r>
            <w:r>
              <w:rPr>
                <w:b/>
                <w:bCs/>
                <w:i/>
                <w:iCs/>
              </w:rPr>
              <w:t>05.03.21</w:t>
            </w:r>
            <w:r w:rsidRPr="00CD4709">
              <w:rPr>
                <w:b/>
                <w:bCs/>
                <w:i/>
                <w:iCs/>
              </w:rPr>
              <w:t xml:space="preserve"> թիվ </w:t>
            </w:r>
            <w:r>
              <w:rPr>
                <w:b/>
                <w:bCs/>
                <w:i/>
                <w:iCs/>
              </w:rPr>
              <w:t>14</w:t>
            </w:r>
            <w:r w:rsidRPr="00CD4709">
              <w:rPr>
                <w:b/>
                <w:bCs/>
                <w:i/>
                <w:iCs/>
              </w:rPr>
              <w:t>)</w:t>
            </w:r>
          </w:p>
          <w:p w14:paraId="5564F145" w14:textId="5E41A106" w:rsidR="009D74A1" w:rsidRPr="002B12C4" w:rsidRDefault="009D74A1" w:rsidP="002B12C4">
            <w:pPr>
              <w:spacing w:after="160" w:line="360" w:lineRule="auto"/>
              <w:ind w:right="111"/>
              <w:jc w:val="both"/>
              <w:rPr>
                <w:rFonts w:eastAsia="Times New Roman" w:cs="Times New Roman"/>
                <w:sz w:val="24"/>
                <w:szCs w:val="24"/>
              </w:rPr>
            </w:pPr>
          </w:p>
        </w:tc>
      </w:tr>
      <w:tr w:rsidR="006F76EB" w:rsidRPr="00834D52" w14:paraId="2B33C977" w14:textId="77777777" w:rsidTr="00F71229">
        <w:trPr>
          <w:gridAfter w:val="1"/>
          <w:wAfter w:w="11" w:type="dxa"/>
        </w:trPr>
        <w:tc>
          <w:tcPr>
            <w:tcW w:w="1809" w:type="dxa"/>
            <w:tcBorders>
              <w:top w:val="nil"/>
              <w:left w:val="nil"/>
              <w:bottom w:val="nil"/>
              <w:right w:val="nil"/>
            </w:tcBorders>
          </w:tcPr>
          <w:p w14:paraId="46432F6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1.8.3.</w:t>
            </w:r>
          </w:p>
        </w:tc>
        <w:tc>
          <w:tcPr>
            <w:tcW w:w="8157" w:type="dxa"/>
            <w:tcBorders>
              <w:top w:val="nil"/>
              <w:left w:val="nil"/>
              <w:bottom w:val="nil"/>
              <w:right w:val="nil"/>
            </w:tcBorders>
          </w:tcPr>
          <w:p w14:paraId="1A7F92EA" w14:textId="77777777" w:rsidR="006F76EB" w:rsidRPr="00834D52" w:rsidRDefault="006F76EB" w:rsidP="00F71229">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կլինիկական հետազոտությունների ցանկով աղյուսակ (եթե կիրառելի է)</w:t>
            </w:r>
          </w:p>
        </w:tc>
      </w:tr>
      <w:tr w:rsidR="006F76EB" w:rsidRPr="00834D52" w14:paraId="4ABC2696" w14:textId="77777777" w:rsidTr="00F71229">
        <w:trPr>
          <w:gridAfter w:val="1"/>
          <w:wAfter w:w="11" w:type="dxa"/>
        </w:trPr>
        <w:tc>
          <w:tcPr>
            <w:tcW w:w="1809" w:type="dxa"/>
            <w:tcBorders>
              <w:top w:val="nil"/>
              <w:left w:val="nil"/>
              <w:bottom w:val="nil"/>
              <w:right w:val="nil"/>
            </w:tcBorders>
          </w:tcPr>
          <w:p w14:paraId="7CC4A56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1.8.4.</w:t>
            </w:r>
          </w:p>
        </w:tc>
        <w:tc>
          <w:tcPr>
            <w:tcW w:w="8157" w:type="dxa"/>
            <w:tcBorders>
              <w:top w:val="nil"/>
              <w:left w:val="nil"/>
              <w:bottom w:val="nil"/>
              <w:right w:val="nil"/>
            </w:tcBorders>
          </w:tcPr>
          <w:p w14:paraId="1F098190" w14:textId="1AA13266"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նամակը՝ Եվրասիական տնտեսական հանձնաժողովի կողմից հաստատվող՝ Եվրասիական տնտեսական միության պատշաճ կլինիկական գործունեության կանոնների պահանջներին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կլինիկական հետազոտությունների համապատասխանության մասին </w:t>
            </w:r>
          </w:p>
        </w:tc>
      </w:tr>
      <w:tr w:rsidR="006F76EB" w:rsidRPr="00834D52" w14:paraId="623D4869" w14:textId="77777777" w:rsidTr="00F71229">
        <w:trPr>
          <w:gridAfter w:val="1"/>
          <w:wAfter w:w="11" w:type="dxa"/>
        </w:trPr>
        <w:tc>
          <w:tcPr>
            <w:tcW w:w="1809" w:type="dxa"/>
            <w:tcBorders>
              <w:top w:val="nil"/>
              <w:left w:val="nil"/>
              <w:bottom w:val="nil"/>
              <w:right w:val="nil"/>
            </w:tcBorders>
          </w:tcPr>
          <w:p w14:paraId="2F2127F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1.9.</w:t>
            </w:r>
          </w:p>
        </w:tc>
        <w:tc>
          <w:tcPr>
            <w:tcW w:w="8157" w:type="dxa"/>
            <w:tcBorders>
              <w:top w:val="nil"/>
              <w:left w:val="nil"/>
              <w:bottom w:val="nil"/>
              <w:right w:val="nil"/>
            </w:tcBorders>
          </w:tcPr>
          <w:p w14:paraId="26067EDA" w14:textId="43C16194" w:rsidR="006F76EB" w:rsidRPr="00834D52" w:rsidRDefault="0056496B" w:rsidP="00F71229">
            <w:pPr>
              <w:spacing w:after="160" w:line="336" w:lineRule="auto"/>
              <w:ind w:right="113"/>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փաստաթղթերը՝ շրջակա միջավայրի համար պոտենցիալ վտանգը գնահատելու մասին (առկայության դեպքում)՝</w:t>
            </w:r>
          </w:p>
        </w:tc>
      </w:tr>
      <w:tr w:rsidR="006F76EB" w:rsidRPr="00834D52" w14:paraId="74FAC3AD" w14:textId="77777777" w:rsidTr="00F71229">
        <w:trPr>
          <w:gridAfter w:val="1"/>
          <w:wAfter w:w="11" w:type="dxa"/>
        </w:trPr>
        <w:tc>
          <w:tcPr>
            <w:tcW w:w="1809" w:type="dxa"/>
            <w:tcBorders>
              <w:top w:val="nil"/>
              <w:left w:val="nil"/>
              <w:bottom w:val="nil"/>
              <w:right w:val="nil"/>
            </w:tcBorders>
          </w:tcPr>
          <w:p w14:paraId="640FCE7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1.9.1.</w:t>
            </w:r>
          </w:p>
        </w:tc>
        <w:tc>
          <w:tcPr>
            <w:tcW w:w="8157" w:type="dxa"/>
            <w:tcBorders>
              <w:top w:val="nil"/>
              <w:left w:val="nil"/>
              <w:bottom w:val="nil"/>
              <w:right w:val="nil"/>
            </w:tcBorders>
          </w:tcPr>
          <w:p w14:paraId="4D70A1C4" w14:textId="00204292" w:rsidR="006F76EB" w:rsidRPr="00834D52" w:rsidRDefault="0056496B" w:rsidP="00F71229">
            <w:pPr>
              <w:spacing w:after="160" w:line="336" w:lineRule="auto"/>
              <w:ind w:right="113"/>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նամակն այն մասին, որ դեղապատրաստուկները պարունակում են գենետիկորեն մոդիֆիկացված օրգանիզմներ կամ ստացվել են դրանցից </w:t>
            </w:r>
            <w:r w:rsidR="00E369DB" w:rsidRPr="00834D52">
              <w:rPr>
                <w:rFonts w:ascii="Sylfaen" w:hAnsi="Sylfaen"/>
                <w:spacing w:val="-4"/>
                <w:sz w:val="24"/>
                <w:szCs w:val="24"/>
              </w:rPr>
              <w:t>(եթե կիրառելի է)</w:t>
            </w:r>
          </w:p>
        </w:tc>
      </w:tr>
      <w:tr w:rsidR="006F76EB" w:rsidRPr="00834D52" w14:paraId="649D66B7" w14:textId="77777777" w:rsidTr="00F71229">
        <w:trPr>
          <w:gridAfter w:val="1"/>
          <w:wAfter w:w="11" w:type="dxa"/>
        </w:trPr>
        <w:tc>
          <w:tcPr>
            <w:tcW w:w="1809" w:type="dxa"/>
            <w:tcBorders>
              <w:top w:val="nil"/>
              <w:left w:val="nil"/>
              <w:bottom w:val="nil"/>
              <w:right w:val="nil"/>
            </w:tcBorders>
          </w:tcPr>
          <w:p w14:paraId="5331BE2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w:t>
            </w:r>
          </w:p>
        </w:tc>
        <w:tc>
          <w:tcPr>
            <w:tcW w:w="8157" w:type="dxa"/>
            <w:tcBorders>
              <w:top w:val="nil"/>
              <w:left w:val="nil"/>
              <w:bottom w:val="nil"/>
              <w:right w:val="nil"/>
            </w:tcBorders>
          </w:tcPr>
          <w:p w14:paraId="3657E29D" w14:textId="41852651"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պետությունում </w:t>
            </w:r>
            <w:r w:rsidR="0056496B">
              <w:rPr>
                <w:rFonts w:ascii="Sylfaen" w:hAnsi="Sylfaen"/>
                <w:sz w:val="24"/>
                <w:szCs w:val="24"/>
              </w:rPr>
              <w:t>դիմումատու</w:t>
            </w:r>
            <w:r w:rsidRPr="00834D52">
              <w:rPr>
                <w:rFonts w:ascii="Sylfaen" w:hAnsi="Sylfaen"/>
                <w:sz w:val="24"/>
                <w:szCs w:val="24"/>
              </w:rPr>
              <w:t xml:space="preserve">ի դեղազգոնության մասով տեղեկատվություն </w:t>
            </w:r>
          </w:p>
        </w:tc>
      </w:tr>
      <w:tr w:rsidR="006F76EB" w:rsidRPr="00834D52" w14:paraId="24AF5B6F" w14:textId="77777777" w:rsidTr="00F71229">
        <w:trPr>
          <w:gridAfter w:val="1"/>
          <w:wAfter w:w="11" w:type="dxa"/>
        </w:trPr>
        <w:tc>
          <w:tcPr>
            <w:tcW w:w="1809" w:type="dxa"/>
            <w:tcBorders>
              <w:top w:val="nil"/>
              <w:left w:val="nil"/>
              <w:bottom w:val="nil"/>
              <w:right w:val="nil"/>
            </w:tcBorders>
          </w:tcPr>
          <w:p w14:paraId="057A77D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1.10.1.</w:t>
            </w:r>
          </w:p>
        </w:tc>
        <w:tc>
          <w:tcPr>
            <w:tcW w:w="8157" w:type="dxa"/>
            <w:tcBorders>
              <w:top w:val="nil"/>
              <w:left w:val="nil"/>
              <w:bottom w:val="nil"/>
              <w:right w:val="nil"/>
            </w:tcBorders>
          </w:tcPr>
          <w:p w14:paraId="46542229" w14:textId="77777777"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դեղազգոնության համակարգի մաստեր-ֆայլը՝ Եվրասիական տնտեսական միության պատշաճ դեղազգոնության գործունեությանը համապատասխան, կամ գրանցման հավաստագրի իրավատիրոջ դեղազգոնության համակարգի հակիրճ </w:t>
            </w:r>
            <w:r w:rsidRPr="00834D52">
              <w:rPr>
                <w:rFonts w:ascii="Sylfaen" w:hAnsi="Sylfaen"/>
                <w:sz w:val="24"/>
                <w:szCs w:val="24"/>
              </w:rPr>
              <w:lastRenderedPageBreak/>
              <w:t>բնութագիրը</w:t>
            </w:r>
          </w:p>
        </w:tc>
      </w:tr>
      <w:tr w:rsidR="006F76EB" w:rsidRPr="00834D52" w14:paraId="749C1EA5" w14:textId="77777777" w:rsidTr="00F71229">
        <w:trPr>
          <w:gridAfter w:val="1"/>
          <w:wAfter w:w="11" w:type="dxa"/>
        </w:trPr>
        <w:tc>
          <w:tcPr>
            <w:tcW w:w="1809" w:type="dxa"/>
            <w:tcBorders>
              <w:top w:val="nil"/>
              <w:left w:val="nil"/>
              <w:bottom w:val="nil"/>
              <w:right w:val="nil"/>
            </w:tcBorders>
          </w:tcPr>
          <w:p w14:paraId="7653714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1.10.2.</w:t>
            </w:r>
          </w:p>
        </w:tc>
        <w:tc>
          <w:tcPr>
            <w:tcW w:w="8157" w:type="dxa"/>
            <w:tcBorders>
              <w:top w:val="nil"/>
              <w:left w:val="nil"/>
              <w:bottom w:val="nil"/>
              <w:right w:val="nil"/>
            </w:tcBorders>
          </w:tcPr>
          <w:p w14:paraId="7A2EE88B" w14:textId="77777777"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գրավոր հաստատում այն մասին, որ գրանցման հավաստագրի իրավատերը իր տիրապետության տակ ունի որակավորված անձ, որը պատասխանատու է Եվրասիական տնտեսական միության անդամ պետության տարածքում դեղազգոնության համակարգի համար</w:t>
            </w:r>
          </w:p>
        </w:tc>
      </w:tr>
      <w:tr w:rsidR="006F76EB" w:rsidRPr="00834D52" w14:paraId="63381221" w14:textId="77777777" w:rsidTr="00F71229">
        <w:trPr>
          <w:gridAfter w:val="1"/>
          <w:wAfter w:w="11" w:type="dxa"/>
        </w:trPr>
        <w:tc>
          <w:tcPr>
            <w:tcW w:w="1809" w:type="dxa"/>
            <w:tcBorders>
              <w:top w:val="nil"/>
              <w:left w:val="nil"/>
              <w:bottom w:val="nil"/>
              <w:right w:val="nil"/>
            </w:tcBorders>
          </w:tcPr>
          <w:p w14:paraId="24508D6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1.10.3.</w:t>
            </w:r>
          </w:p>
        </w:tc>
        <w:tc>
          <w:tcPr>
            <w:tcW w:w="8157" w:type="dxa"/>
            <w:tcBorders>
              <w:top w:val="nil"/>
              <w:left w:val="nil"/>
              <w:bottom w:val="nil"/>
              <w:right w:val="nil"/>
            </w:tcBorders>
          </w:tcPr>
          <w:p w14:paraId="414DDD85" w14:textId="54649E9F"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հանձնաժողովի կողմից հաստատվող՝ Եվրասիական տնտեսական միության պատշաճ դեղազգոնության գործունեության կանոնների պահանջներին համապատասխան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ռիսկերի կառավարման պլանը (եթե կիրառելի է)</w:t>
            </w:r>
          </w:p>
        </w:tc>
      </w:tr>
      <w:tr w:rsidR="006F76EB" w:rsidRPr="00834D52" w14:paraId="4284E42B" w14:textId="77777777" w:rsidTr="00F71229">
        <w:trPr>
          <w:gridAfter w:val="1"/>
          <w:wAfter w:w="11" w:type="dxa"/>
        </w:trPr>
        <w:tc>
          <w:tcPr>
            <w:tcW w:w="1809" w:type="dxa"/>
            <w:tcBorders>
              <w:top w:val="nil"/>
              <w:left w:val="nil"/>
              <w:bottom w:val="nil"/>
              <w:right w:val="nil"/>
            </w:tcBorders>
          </w:tcPr>
          <w:p w14:paraId="791C5B8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1.10.4.</w:t>
            </w:r>
          </w:p>
        </w:tc>
        <w:tc>
          <w:tcPr>
            <w:tcW w:w="8157" w:type="dxa"/>
            <w:tcBorders>
              <w:top w:val="nil"/>
              <w:left w:val="nil"/>
              <w:bottom w:val="nil"/>
              <w:right w:val="nil"/>
            </w:tcBorders>
          </w:tcPr>
          <w:p w14:paraId="4FEFEDD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պատշաճ կերպով վավերացված փաստաթղթեր, որոնցով հաստատվում են գրանցման հավաստագրի իրավատիրոջ բոլոր պարտավորությունների մի քանի իրավաբանական անձանց կողմից պատշաճ կատարումն ապահովող փոխգործակցության առկայությունը</w:t>
            </w:r>
            <w:r w:rsidR="00E369DB">
              <w:rPr>
                <w:rFonts w:ascii="Sylfaen" w:hAnsi="Sylfaen"/>
                <w:sz w:val="24"/>
                <w:szCs w:val="24"/>
              </w:rPr>
              <w:t xml:space="preserve"> </w:t>
            </w:r>
            <w:r w:rsidR="00E369DB" w:rsidRPr="00834D52">
              <w:rPr>
                <w:rFonts w:ascii="Sylfaen" w:hAnsi="Sylfaen"/>
                <w:spacing w:val="-4"/>
                <w:sz w:val="24"/>
                <w:szCs w:val="24"/>
              </w:rPr>
              <w:t>(եթե կիրառելի է)</w:t>
            </w:r>
          </w:p>
        </w:tc>
      </w:tr>
      <w:tr w:rsidR="006F76EB" w:rsidRPr="00834D52" w14:paraId="7AAB97A3" w14:textId="77777777" w:rsidTr="00F71229">
        <w:trPr>
          <w:gridAfter w:val="1"/>
          <w:wAfter w:w="11" w:type="dxa"/>
        </w:trPr>
        <w:tc>
          <w:tcPr>
            <w:tcW w:w="1809" w:type="dxa"/>
            <w:tcBorders>
              <w:top w:val="nil"/>
              <w:left w:val="nil"/>
              <w:bottom w:val="single" w:sz="4" w:space="0" w:color="auto"/>
              <w:right w:val="nil"/>
            </w:tcBorders>
          </w:tcPr>
          <w:p w14:paraId="7F3217E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1.11.</w:t>
            </w:r>
          </w:p>
        </w:tc>
        <w:tc>
          <w:tcPr>
            <w:tcW w:w="8157" w:type="dxa"/>
            <w:tcBorders>
              <w:top w:val="nil"/>
              <w:left w:val="nil"/>
              <w:bottom w:val="single" w:sz="4" w:space="0" w:color="auto"/>
              <w:right w:val="nil"/>
            </w:tcBorders>
          </w:tcPr>
          <w:p w14:paraId="3FCB709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Ապրանքային նշանի գրանցումը հաստատող փաստաթղթերի պատճենները (առկայության դեպքում):</w:t>
            </w:r>
          </w:p>
        </w:tc>
      </w:tr>
      <w:tr w:rsidR="006F76EB" w:rsidRPr="00834D52" w14:paraId="2D79E9A8" w14:textId="77777777" w:rsidTr="00F71229">
        <w:trPr>
          <w:gridAfter w:val="1"/>
          <w:wAfter w:w="11" w:type="dxa"/>
        </w:trPr>
        <w:tc>
          <w:tcPr>
            <w:tcW w:w="9966" w:type="dxa"/>
            <w:gridSpan w:val="2"/>
            <w:tcBorders>
              <w:top w:val="nil"/>
              <w:left w:val="single" w:sz="4" w:space="0" w:color="auto"/>
              <w:bottom w:val="nil"/>
              <w:right w:val="single" w:sz="4" w:space="0" w:color="auto"/>
            </w:tcBorders>
          </w:tcPr>
          <w:p w14:paraId="23E5444C" w14:textId="77777777" w:rsidR="006F76EB" w:rsidRPr="00834D52" w:rsidRDefault="006F76EB" w:rsidP="00F71229">
            <w:pPr>
              <w:spacing w:after="160" w:line="360" w:lineRule="auto"/>
              <w:ind w:right="-31"/>
              <w:jc w:val="center"/>
              <w:rPr>
                <w:rFonts w:ascii="Sylfaen" w:eastAsia="Times New Roman" w:hAnsi="Sylfaen" w:cs="Times New Roman"/>
                <w:sz w:val="24"/>
                <w:szCs w:val="24"/>
              </w:rPr>
            </w:pPr>
            <w:r w:rsidRPr="00834D52">
              <w:rPr>
                <w:rFonts w:ascii="Sylfaen" w:hAnsi="Sylfaen"/>
                <w:sz w:val="24"/>
                <w:szCs w:val="24"/>
              </w:rPr>
              <w:t>ՄՈԴՈՒԼ 2. ԸՆԴՀԱՆՈՒՐ ՏԵԽՆԻԿԱԿԱՆ ՓԱՍՏԱԹՂԹԻ ՌԵԶՅՈՒՄԵՆ</w:t>
            </w:r>
          </w:p>
        </w:tc>
      </w:tr>
      <w:tr w:rsidR="006F76EB" w:rsidRPr="00834D52" w14:paraId="0CF935C3" w14:textId="77777777" w:rsidTr="00F71229">
        <w:trPr>
          <w:gridAfter w:val="1"/>
          <w:wAfter w:w="11" w:type="dxa"/>
        </w:trPr>
        <w:tc>
          <w:tcPr>
            <w:tcW w:w="1809" w:type="dxa"/>
            <w:tcBorders>
              <w:top w:val="single" w:sz="4" w:space="0" w:color="auto"/>
              <w:left w:val="nil"/>
              <w:bottom w:val="nil"/>
              <w:right w:val="nil"/>
            </w:tcBorders>
          </w:tcPr>
          <w:p w14:paraId="3905A7E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2.1.</w:t>
            </w:r>
          </w:p>
        </w:tc>
        <w:tc>
          <w:tcPr>
            <w:tcW w:w="8157" w:type="dxa"/>
            <w:tcBorders>
              <w:top w:val="single" w:sz="4" w:space="0" w:color="auto"/>
              <w:left w:val="nil"/>
              <w:bottom w:val="nil"/>
              <w:right w:val="nil"/>
            </w:tcBorders>
          </w:tcPr>
          <w:p w14:paraId="2907028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2-5-րդ մոդուլների բովանդակությունը</w:t>
            </w:r>
          </w:p>
        </w:tc>
      </w:tr>
      <w:tr w:rsidR="006F76EB" w:rsidRPr="00834D52" w14:paraId="4539FC6A" w14:textId="77777777" w:rsidTr="00F71229">
        <w:trPr>
          <w:gridAfter w:val="1"/>
          <w:wAfter w:w="11" w:type="dxa"/>
        </w:trPr>
        <w:tc>
          <w:tcPr>
            <w:tcW w:w="1809" w:type="dxa"/>
            <w:tcBorders>
              <w:top w:val="nil"/>
              <w:left w:val="nil"/>
              <w:bottom w:val="nil"/>
              <w:right w:val="nil"/>
            </w:tcBorders>
          </w:tcPr>
          <w:p w14:paraId="4F90343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2.2.</w:t>
            </w:r>
          </w:p>
        </w:tc>
        <w:tc>
          <w:tcPr>
            <w:tcW w:w="8157" w:type="dxa"/>
            <w:tcBorders>
              <w:top w:val="nil"/>
              <w:left w:val="nil"/>
              <w:bottom w:val="nil"/>
              <w:right w:val="nil"/>
            </w:tcBorders>
          </w:tcPr>
          <w:p w14:paraId="6A2FC233"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ԸՏՓ-ի ներածությունը</w:t>
            </w:r>
          </w:p>
        </w:tc>
      </w:tr>
      <w:tr w:rsidR="006F76EB" w:rsidRPr="00834D52" w14:paraId="49EB7063" w14:textId="77777777" w:rsidTr="00F71229">
        <w:trPr>
          <w:gridAfter w:val="1"/>
          <w:wAfter w:w="11" w:type="dxa"/>
        </w:trPr>
        <w:tc>
          <w:tcPr>
            <w:tcW w:w="1809" w:type="dxa"/>
            <w:tcBorders>
              <w:top w:val="nil"/>
              <w:left w:val="nil"/>
              <w:bottom w:val="nil"/>
              <w:right w:val="nil"/>
            </w:tcBorders>
          </w:tcPr>
          <w:p w14:paraId="5C9538D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2.3.</w:t>
            </w:r>
          </w:p>
        </w:tc>
        <w:tc>
          <w:tcPr>
            <w:tcW w:w="8157" w:type="dxa"/>
            <w:tcBorders>
              <w:top w:val="nil"/>
              <w:left w:val="nil"/>
              <w:bottom w:val="nil"/>
              <w:right w:val="nil"/>
            </w:tcBorders>
          </w:tcPr>
          <w:p w14:paraId="63B24AC6"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Որակի ընդհանուր ռեզյումեն</w:t>
            </w:r>
          </w:p>
        </w:tc>
      </w:tr>
      <w:tr w:rsidR="006F76EB" w:rsidRPr="00834D52" w14:paraId="6F7F31C3" w14:textId="77777777" w:rsidTr="00F71229">
        <w:trPr>
          <w:gridAfter w:val="1"/>
          <w:wAfter w:w="11" w:type="dxa"/>
        </w:trPr>
        <w:tc>
          <w:tcPr>
            <w:tcW w:w="1809" w:type="dxa"/>
            <w:tcBorders>
              <w:top w:val="nil"/>
              <w:left w:val="nil"/>
              <w:bottom w:val="nil"/>
              <w:right w:val="nil"/>
            </w:tcBorders>
          </w:tcPr>
          <w:p w14:paraId="6843535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2.4.</w:t>
            </w:r>
          </w:p>
        </w:tc>
        <w:tc>
          <w:tcPr>
            <w:tcW w:w="8157" w:type="dxa"/>
            <w:tcBorders>
              <w:top w:val="nil"/>
              <w:left w:val="nil"/>
              <w:bottom w:val="nil"/>
              <w:right w:val="nil"/>
            </w:tcBorders>
          </w:tcPr>
          <w:p w14:paraId="79E208F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Նախակլինիկական տվյալների ամփոփումը</w:t>
            </w:r>
          </w:p>
        </w:tc>
      </w:tr>
      <w:tr w:rsidR="006F76EB" w:rsidRPr="00834D52" w14:paraId="4614D615" w14:textId="77777777" w:rsidTr="00F71229">
        <w:trPr>
          <w:gridAfter w:val="1"/>
          <w:wAfter w:w="11" w:type="dxa"/>
        </w:trPr>
        <w:tc>
          <w:tcPr>
            <w:tcW w:w="1809" w:type="dxa"/>
            <w:tcBorders>
              <w:top w:val="nil"/>
              <w:left w:val="nil"/>
              <w:bottom w:val="nil"/>
              <w:right w:val="nil"/>
            </w:tcBorders>
          </w:tcPr>
          <w:p w14:paraId="7DA5090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2.5.</w:t>
            </w:r>
          </w:p>
        </w:tc>
        <w:tc>
          <w:tcPr>
            <w:tcW w:w="8157" w:type="dxa"/>
            <w:tcBorders>
              <w:top w:val="nil"/>
              <w:left w:val="nil"/>
              <w:bottom w:val="nil"/>
              <w:right w:val="nil"/>
            </w:tcBorders>
          </w:tcPr>
          <w:p w14:paraId="3F58A09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տվյալների ամփոփումը</w:t>
            </w:r>
          </w:p>
        </w:tc>
      </w:tr>
      <w:tr w:rsidR="006F76EB" w:rsidRPr="00834D52" w14:paraId="1FF43D05" w14:textId="77777777" w:rsidTr="00F71229">
        <w:trPr>
          <w:gridAfter w:val="1"/>
          <w:wAfter w:w="11" w:type="dxa"/>
        </w:trPr>
        <w:tc>
          <w:tcPr>
            <w:tcW w:w="1809" w:type="dxa"/>
            <w:tcBorders>
              <w:top w:val="nil"/>
              <w:left w:val="nil"/>
              <w:bottom w:val="nil"/>
              <w:right w:val="nil"/>
            </w:tcBorders>
          </w:tcPr>
          <w:p w14:paraId="2865C3B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w:t>
            </w:r>
          </w:p>
        </w:tc>
        <w:tc>
          <w:tcPr>
            <w:tcW w:w="8157" w:type="dxa"/>
            <w:tcBorders>
              <w:top w:val="nil"/>
              <w:left w:val="nil"/>
              <w:bottom w:val="nil"/>
              <w:right w:val="nil"/>
            </w:tcBorders>
          </w:tcPr>
          <w:p w14:paraId="63110B88"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հետազոտությունների ռեզյումեն</w:t>
            </w:r>
          </w:p>
        </w:tc>
      </w:tr>
      <w:tr w:rsidR="006F76EB" w:rsidRPr="00834D52" w14:paraId="33682E7C" w14:textId="77777777" w:rsidTr="00F71229">
        <w:trPr>
          <w:gridAfter w:val="1"/>
          <w:wAfter w:w="11" w:type="dxa"/>
        </w:trPr>
        <w:tc>
          <w:tcPr>
            <w:tcW w:w="1809" w:type="dxa"/>
            <w:tcBorders>
              <w:top w:val="nil"/>
              <w:left w:val="nil"/>
              <w:bottom w:val="nil"/>
              <w:right w:val="nil"/>
            </w:tcBorders>
          </w:tcPr>
          <w:p w14:paraId="77D5AFC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2.6.1.</w:t>
            </w:r>
          </w:p>
        </w:tc>
        <w:tc>
          <w:tcPr>
            <w:tcW w:w="8157" w:type="dxa"/>
            <w:tcBorders>
              <w:top w:val="nil"/>
              <w:left w:val="nil"/>
              <w:bottom w:val="nil"/>
              <w:right w:val="nil"/>
            </w:tcBorders>
          </w:tcPr>
          <w:p w14:paraId="5BC5194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Դեղաբանական տվյալների ռեզյումեն՝ տեքստային ձ</w:t>
            </w:r>
            <w:r w:rsidR="00C54D75">
              <w:rPr>
                <w:rFonts w:ascii="Sylfaen" w:hAnsi="Sylfaen"/>
                <w:sz w:val="24"/>
                <w:szCs w:val="24"/>
              </w:rPr>
              <w:t>և</w:t>
            </w:r>
            <w:r w:rsidRPr="00834D52">
              <w:rPr>
                <w:rFonts w:ascii="Sylfaen" w:hAnsi="Sylfaen"/>
                <w:sz w:val="24"/>
                <w:szCs w:val="24"/>
              </w:rPr>
              <w:t>աչափով</w:t>
            </w:r>
          </w:p>
        </w:tc>
      </w:tr>
      <w:tr w:rsidR="006F76EB" w:rsidRPr="00834D52" w14:paraId="01534E86" w14:textId="77777777" w:rsidTr="00F71229">
        <w:trPr>
          <w:gridAfter w:val="1"/>
          <w:wAfter w:w="11" w:type="dxa"/>
        </w:trPr>
        <w:tc>
          <w:tcPr>
            <w:tcW w:w="1809" w:type="dxa"/>
            <w:tcBorders>
              <w:top w:val="nil"/>
              <w:left w:val="nil"/>
              <w:bottom w:val="nil"/>
              <w:right w:val="nil"/>
            </w:tcBorders>
          </w:tcPr>
          <w:p w14:paraId="3ECC158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2.6.2.</w:t>
            </w:r>
          </w:p>
        </w:tc>
        <w:tc>
          <w:tcPr>
            <w:tcW w:w="8157" w:type="dxa"/>
            <w:tcBorders>
              <w:top w:val="nil"/>
              <w:left w:val="nil"/>
              <w:bottom w:val="nil"/>
              <w:right w:val="nil"/>
            </w:tcBorders>
          </w:tcPr>
          <w:p w14:paraId="3662A4A6"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Դեղաբանական տվյալների ռեզյումեն՝ աղյուսակների տեսքով</w:t>
            </w:r>
          </w:p>
        </w:tc>
      </w:tr>
      <w:tr w:rsidR="006F76EB" w:rsidRPr="00834D52" w14:paraId="26D746E1" w14:textId="77777777" w:rsidTr="00F71229">
        <w:trPr>
          <w:gridAfter w:val="1"/>
          <w:wAfter w:w="11" w:type="dxa"/>
        </w:trPr>
        <w:tc>
          <w:tcPr>
            <w:tcW w:w="1809" w:type="dxa"/>
            <w:tcBorders>
              <w:top w:val="nil"/>
              <w:left w:val="nil"/>
              <w:bottom w:val="nil"/>
              <w:right w:val="nil"/>
            </w:tcBorders>
          </w:tcPr>
          <w:p w14:paraId="73F8127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2.6.3.</w:t>
            </w:r>
          </w:p>
        </w:tc>
        <w:tc>
          <w:tcPr>
            <w:tcW w:w="8157" w:type="dxa"/>
            <w:tcBorders>
              <w:top w:val="nil"/>
              <w:left w:val="nil"/>
              <w:bottom w:val="nil"/>
              <w:right w:val="nil"/>
            </w:tcBorders>
          </w:tcPr>
          <w:p w14:paraId="0EE94A62" w14:textId="77777777" w:rsidR="006F76EB" w:rsidRPr="00834D52" w:rsidRDefault="00355C33" w:rsidP="00F71229">
            <w:pPr>
              <w:spacing w:after="160" w:line="360" w:lineRule="auto"/>
              <w:ind w:right="111"/>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տվյալների ռեզյումեն՝ տեքստային ձ</w:t>
            </w:r>
            <w:r w:rsidR="00C54D75">
              <w:rPr>
                <w:rFonts w:ascii="Sylfaen" w:hAnsi="Sylfaen"/>
                <w:sz w:val="24"/>
                <w:szCs w:val="24"/>
              </w:rPr>
              <w:t>և</w:t>
            </w:r>
            <w:r w:rsidR="006F76EB" w:rsidRPr="00834D52">
              <w:rPr>
                <w:rFonts w:ascii="Sylfaen" w:hAnsi="Sylfaen"/>
                <w:sz w:val="24"/>
                <w:szCs w:val="24"/>
              </w:rPr>
              <w:t>աչափով</w:t>
            </w:r>
          </w:p>
        </w:tc>
      </w:tr>
      <w:tr w:rsidR="006F76EB" w:rsidRPr="00834D52" w14:paraId="74FCB9DB" w14:textId="77777777" w:rsidTr="00F71229">
        <w:trPr>
          <w:gridAfter w:val="1"/>
          <w:wAfter w:w="11" w:type="dxa"/>
        </w:trPr>
        <w:tc>
          <w:tcPr>
            <w:tcW w:w="1809" w:type="dxa"/>
            <w:tcBorders>
              <w:top w:val="nil"/>
              <w:left w:val="nil"/>
              <w:bottom w:val="nil"/>
              <w:right w:val="nil"/>
            </w:tcBorders>
          </w:tcPr>
          <w:p w14:paraId="2BC6DED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2.6.4.</w:t>
            </w:r>
          </w:p>
        </w:tc>
        <w:tc>
          <w:tcPr>
            <w:tcW w:w="8157" w:type="dxa"/>
            <w:tcBorders>
              <w:top w:val="nil"/>
              <w:left w:val="nil"/>
              <w:bottom w:val="nil"/>
              <w:right w:val="nil"/>
            </w:tcBorders>
          </w:tcPr>
          <w:p w14:paraId="075F7AF5" w14:textId="77777777" w:rsidR="006F76EB" w:rsidRPr="00834D52" w:rsidRDefault="00355C33" w:rsidP="00F71229">
            <w:pPr>
              <w:spacing w:after="160" w:line="360" w:lineRule="auto"/>
              <w:ind w:right="111"/>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տվյալների ռեզյումեն՝ աղյուսակների տեսքով</w:t>
            </w:r>
          </w:p>
        </w:tc>
      </w:tr>
      <w:tr w:rsidR="006F76EB" w:rsidRPr="00834D52" w14:paraId="3C51EAC7" w14:textId="77777777" w:rsidTr="00F71229">
        <w:trPr>
          <w:gridAfter w:val="1"/>
          <w:wAfter w:w="11" w:type="dxa"/>
        </w:trPr>
        <w:tc>
          <w:tcPr>
            <w:tcW w:w="1809" w:type="dxa"/>
            <w:tcBorders>
              <w:top w:val="nil"/>
              <w:left w:val="nil"/>
              <w:bottom w:val="nil"/>
              <w:right w:val="nil"/>
            </w:tcBorders>
          </w:tcPr>
          <w:p w14:paraId="1E72F0E2"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2.6.5.</w:t>
            </w:r>
          </w:p>
        </w:tc>
        <w:tc>
          <w:tcPr>
            <w:tcW w:w="8157" w:type="dxa"/>
            <w:tcBorders>
              <w:top w:val="nil"/>
              <w:left w:val="nil"/>
              <w:bottom w:val="nil"/>
              <w:right w:val="nil"/>
            </w:tcBorders>
          </w:tcPr>
          <w:p w14:paraId="3A8FDE5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Թունաբանական տվյալների ռեզյումեն՝ տեքստային ձ</w:t>
            </w:r>
            <w:r w:rsidR="00C54D75">
              <w:rPr>
                <w:rFonts w:ascii="Sylfaen" w:hAnsi="Sylfaen"/>
                <w:sz w:val="24"/>
                <w:szCs w:val="24"/>
              </w:rPr>
              <w:t>և</w:t>
            </w:r>
            <w:r w:rsidRPr="00834D52">
              <w:rPr>
                <w:rFonts w:ascii="Sylfaen" w:hAnsi="Sylfaen"/>
                <w:sz w:val="24"/>
                <w:szCs w:val="24"/>
              </w:rPr>
              <w:t>աչափով</w:t>
            </w:r>
          </w:p>
        </w:tc>
      </w:tr>
      <w:tr w:rsidR="006F76EB" w:rsidRPr="00834D52" w14:paraId="1456F239" w14:textId="77777777" w:rsidTr="00F71229">
        <w:trPr>
          <w:gridAfter w:val="1"/>
          <w:wAfter w:w="11" w:type="dxa"/>
        </w:trPr>
        <w:tc>
          <w:tcPr>
            <w:tcW w:w="1809" w:type="dxa"/>
            <w:tcBorders>
              <w:top w:val="nil"/>
              <w:left w:val="nil"/>
              <w:bottom w:val="nil"/>
              <w:right w:val="nil"/>
            </w:tcBorders>
          </w:tcPr>
          <w:p w14:paraId="2DA8A418"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2.6.6.</w:t>
            </w:r>
          </w:p>
        </w:tc>
        <w:tc>
          <w:tcPr>
            <w:tcW w:w="8157" w:type="dxa"/>
            <w:tcBorders>
              <w:top w:val="nil"/>
              <w:left w:val="nil"/>
              <w:bottom w:val="nil"/>
              <w:right w:val="nil"/>
            </w:tcBorders>
          </w:tcPr>
          <w:p w14:paraId="39ABF15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Թունաբանական տվյալների ռեզյումեն՝ աղյուսակների տեսքով</w:t>
            </w:r>
          </w:p>
        </w:tc>
      </w:tr>
      <w:tr w:rsidR="006F76EB" w:rsidRPr="00834D52" w14:paraId="19FB1D05" w14:textId="77777777" w:rsidTr="00F71229">
        <w:trPr>
          <w:gridAfter w:val="1"/>
          <w:wAfter w:w="11" w:type="dxa"/>
        </w:trPr>
        <w:tc>
          <w:tcPr>
            <w:tcW w:w="1809" w:type="dxa"/>
            <w:tcBorders>
              <w:top w:val="nil"/>
              <w:left w:val="nil"/>
              <w:bottom w:val="nil"/>
              <w:right w:val="nil"/>
            </w:tcBorders>
          </w:tcPr>
          <w:p w14:paraId="6697371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w:t>
            </w:r>
          </w:p>
        </w:tc>
        <w:tc>
          <w:tcPr>
            <w:tcW w:w="8157" w:type="dxa"/>
            <w:tcBorders>
              <w:top w:val="nil"/>
              <w:left w:val="nil"/>
              <w:bottom w:val="nil"/>
              <w:right w:val="nil"/>
            </w:tcBorders>
          </w:tcPr>
          <w:p w14:paraId="52296B02" w14:textId="77777777" w:rsidR="006F76EB" w:rsidRPr="00834D52" w:rsidRDefault="006F76EB" w:rsidP="00F71229">
            <w:pPr>
              <w:spacing w:after="160" w:line="360" w:lineRule="auto"/>
              <w:ind w:right="111"/>
              <w:rPr>
                <w:rFonts w:ascii="Sylfaen" w:eastAsia="Times New Roman" w:hAnsi="Sylfaen" w:cs="Times New Roman"/>
                <w:sz w:val="24"/>
                <w:szCs w:val="24"/>
                <w:lang w:val="en-US"/>
              </w:rPr>
            </w:pPr>
            <w:r w:rsidRPr="00834D52">
              <w:rPr>
                <w:rFonts w:ascii="Sylfaen" w:hAnsi="Sylfaen"/>
                <w:sz w:val="24"/>
                <w:szCs w:val="24"/>
              </w:rPr>
              <w:t>Կլինիկական տվյալների ռեզյումեն</w:t>
            </w:r>
          </w:p>
        </w:tc>
      </w:tr>
      <w:tr w:rsidR="006F76EB" w:rsidRPr="00834D52" w14:paraId="5F3EAEE5" w14:textId="77777777" w:rsidTr="00F71229">
        <w:trPr>
          <w:gridAfter w:val="1"/>
          <w:wAfter w:w="11" w:type="dxa"/>
        </w:trPr>
        <w:tc>
          <w:tcPr>
            <w:tcW w:w="1809" w:type="dxa"/>
            <w:tcBorders>
              <w:top w:val="nil"/>
              <w:left w:val="nil"/>
              <w:bottom w:val="nil"/>
              <w:right w:val="nil"/>
            </w:tcBorders>
          </w:tcPr>
          <w:p w14:paraId="519514D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2.7.1.</w:t>
            </w:r>
          </w:p>
        </w:tc>
        <w:tc>
          <w:tcPr>
            <w:tcW w:w="8157" w:type="dxa"/>
            <w:tcBorders>
              <w:top w:val="nil"/>
              <w:left w:val="nil"/>
              <w:bottom w:val="nil"/>
              <w:right w:val="nil"/>
            </w:tcBorders>
          </w:tcPr>
          <w:p w14:paraId="5F4E707F"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դրանց առնչվող վերլուծական մեթոդների ռեզյումեն</w:t>
            </w:r>
          </w:p>
        </w:tc>
      </w:tr>
      <w:tr w:rsidR="006F76EB" w:rsidRPr="00834D52" w14:paraId="169053C2" w14:textId="77777777" w:rsidTr="00F71229">
        <w:trPr>
          <w:gridAfter w:val="1"/>
          <w:wAfter w:w="11" w:type="dxa"/>
        </w:trPr>
        <w:tc>
          <w:tcPr>
            <w:tcW w:w="1809" w:type="dxa"/>
            <w:tcBorders>
              <w:top w:val="nil"/>
              <w:left w:val="nil"/>
              <w:bottom w:val="nil"/>
              <w:right w:val="nil"/>
            </w:tcBorders>
          </w:tcPr>
          <w:p w14:paraId="02C8839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2.7.2.</w:t>
            </w:r>
          </w:p>
        </w:tc>
        <w:tc>
          <w:tcPr>
            <w:tcW w:w="8157" w:type="dxa"/>
            <w:tcBorders>
              <w:top w:val="nil"/>
              <w:left w:val="nil"/>
              <w:bottom w:val="nil"/>
              <w:right w:val="nil"/>
            </w:tcBorders>
          </w:tcPr>
          <w:p w14:paraId="616C65F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դեղաբանության մասով հետազոտությունների ռեզյումեն</w:t>
            </w:r>
          </w:p>
        </w:tc>
      </w:tr>
      <w:tr w:rsidR="006F76EB" w:rsidRPr="00834D52" w14:paraId="322721B7" w14:textId="77777777" w:rsidTr="00F71229">
        <w:trPr>
          <w:gridAfter w:val="1"/>
          <w:wAfter w:w="11" w:type="dxa"/>
        </w:trPr>
        <w:tc>
          <w:tcPr>
            <w:tcW w:w="1809" w:type="dxa"/>
            <w:tcBorders>
              <w:top w:val="nil"/>
              <w:left w:val="nil"/>
              <w:bottom w:val="nil"/>
              <w:right w:val="nil"/>
            </w:tcBorders>
          </w:tcPr>
          <w:p w14:paraId="39E9E53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2.7.3.</w:t>
            </w:r>
          </w:p>
        </w:tc>
        <w:tc>
          <w:tcPr>
            <w:tcW w:w="8157" w:type="dxa"/>
            <w:tcBorders>
              <w:top w:val="nil"/>
              <w:left w:val="nil"/>
              <w:bottom w:val="nil"/>
              <w:right w:val="nil"/>
            </w:tcBorders>
          </w:tcPr>
          <w:p w14:paraId="5D0C0BA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արդյունավետության մասով ռեզյումեն</w:t>
            </w:r>
          </w:p>
        </w:tc>
      </w:tr>
      <w:tr w:rsidR="006F76EB" w:rsidRPr="00834D52" w14:paraId="25A29789" w14:textId="77777777" w:rsidTr="00F71229">
        <w:trPr>
          <w:gridAfter w:val="1"/>
          <w:wAfter w:w="11" w:type="dxa"/>
        </w:trPr>
        <w:tc>
          <w:tcPr>
            <w:tcW w:w="1809" w:type="dxa"/>
            <w:tcBorders>
              <w:top w:val="nil"/>
              <w:left w:val="nil"/>
              <w:bottom w:val="nil"/>
              <w:right w:val="nil"/>
            </w:tcBorders>
          </w:tcPr>
          <w:p w14:paraId="2245377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2.7.4.</w:t>
            </w:r>
          </w:p>
        </w:tc>
        <w:tc>
          <w:tcPr>
            <w:tcW w:w="8157" w:type="dxa"/>
            <w:tcBorders>
              <w:top w:val="nil"/>
              <w:left w:val="nil"/>
              <w:bottom w:val="nil"/>
              <w:right w:val="nil"/>
            </w:tcBorders>
          </w:tcPr>
          <w:p w14:paraId="546E46E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անվտանգության մասով ռեզյումեն</w:t>
            </w:r>
          </w:p>
        </w:tc>
      </w:tr>
      <w:tr w:rsidR="006F76EB" w:rsidRPr="00834D52" w14:paraId="598A34B3" w14:textId="77777777" w:rsidTr="00F71229">
        <w:trPr>
          <w:gridAfter w:val="1"/>
          <w:wAfter w:w="11" w:type="dxa"/>
        </w:trPr>
        <w:tc>
          <w:tcPr>
            <w:tcW w:w="1809" w:type="dxa"/>
            <w:tcBorders>
              <w:top w:val="nil"/>
              <w:left w:val="nil"/>
              <w:bottom w:val="nil"/>
              <w:right w:val="nil"/>
            </w:tcBorders>
          </w:tcPr>
          <w:p w14:paraId="699C1C2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2.7.5.</w:t>
            </w:r>
          </w:p>
        </w:tc>
        <w:tc>
          <w:tcPr>
            <w:tcW w:w="8157" w:type="dxa"/>
            <w:tcBorders>
              <w:top w:val="nil"/>
              <w:left w:val="nil"/>
              <w:bottom w:val="nil"/>
              <w:right w:val="nil"/>
            </w:tcBorders>
          </w:tcPr>
          <w:p w14:paraId="24F15658"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Օգտագործված գրականության աղբյուրների պատճենները</w:t>
            </w:r>
          </w:p>
        </w:tc>
      </w:tr>
      <w:tr w:rsidR="006F76EB" w:rsidRPr="00834D52" w14:paraId="389376F0" w14:textId="77777777" w:rsidTr="00F71229">
        <w:trPr>
          <w:gridAfter w:val="1"/>
          <w:wAfter w:w="11" w:type="dxa"/>
        </w:trPr>
        <w:tc>
          <w:tcPr>
            <w:tcW w:w="1809" w:type="dxa"/>
            <w:tcBorders>
              <w:top w:val="nil"/>
              <w:left w:val="nil"/>
              <w:bottom w:val="nil"/>
              <w:right w:val="nil"/>
            </w:tcBorders>
          </w:tcPr>
          <w:p w14:paraId="2614A2D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2.7.6.</w:t>
            </w:r>
          </w:p>
        </w:tc>
        <w:tc>
          <w:tcPr>
            <w:tcW w:w="8157" w:type="dxa"/>
            <w:tcBorders>
              <w:top w:val="nil"/>
              <w:left w:val="nil"/>
              <w:bottom w:val="nil"/>
              <w:right w:val="nil"/>
            </w:tcBorders>
          </w:tcPr>
          <w:p w14:paraId="00B8474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Անհատական հետազոտությունների հակիրճ ամփոփումը</w:t>
            </w:r>
          </w:p>
        </w:tc>
      </w:tr>
      <w:tr w:rsidR="006F76EB" w:rsidRPr="00834D52" w14:paraId="0EF1D9F7" w14:textId="77777777" w:rsidTr="00F71229">
        <w:tc>
          <w:tcPr>
            <w:tcW w:w="9977" w:type="dxa"/>
            <w:gridSpan w:val="3"/>
            <w:tcBorders>
              <w:top w:val="single" w:sz="4" w:space="0" w:color="auto"/>
              <w:left w:val="single" w:sz="4" w:space="0" w:color="auto"/>
              <w:bottom w:val="single" w:sz="4" w:space="0" w:color="auto"/>
              <w:right w:val="single" w:sz="4" w:space="0" w:color="auto"/>
            </w:tcBorders>
          </w:tcPr>
          <w:p w14:paraId="0C46B09B" w14:textId="77777777" w:rsidR="006F76EB" w:rsidRPr="00834D52" w:rsidRDefault="006F76EB" w:rsidP="00F71229">
            <w:pPr>
              <w:spacing w:after="120"/>
              <w:ind w:right="-8"/>
              <w:jc w:val="center"/>
              <w:rPr>
                <w:rFonts w:ascii="Sylfaen" w:eastAsia="Times New Roman" w:hAnsi="Sylfaen" w:cs="Times New Roman"/>
                <w:sz w:val="24"/>
                <w:szCs w:val="24"/>
              </w:rPr>
            </w:pPr>
            <w:r w:rsidRPr="00834D52">
              <w:rPr>
                <w:rFonts w:ascii="Sylfaen" w:hAnsi="Sylfaen"/>
                <w:sz w:val="24"/>
                <w:szCs w:val="24"/>
              </w:rPr>
              <w:t>ՄՈԴՈՒԼ 3. ՈՐԱԿ</w:t>
            </w:r>
          </w:p>
        </w:tc>
      </w:tr>
      <w:tr w:rsidR="006F76EB" w:rsidRPr="00834D52" w14:paraId="26A29E56" w14:textId="77777777" w:rsidTr="00F71229">
        <w:tc>
          <w:tcPr>
            <w:tcW w:w="1809" w:type="dxa"/>
            <w:tcBorders>
              <w:top w:val="single" w:sz="4" w:space="0" w:color="auto"/>
              <w:left w:val="nil"/>
              <w:bottom w:val="nil"/>
              <w:right w:val="nil"/>
            </w:tcBorders>
          </w:tcPr>
          <w:p w14:paraId="6F43A049"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3.1.</w:t>
            </w:r>
          </w:p>
        </w:tc>
        <w:tc>
          <w:tcPr>
            <w:tcW w:w="8168" w:type="dxa"/>
            <w:gridSpan w:val="2"/>
            <w:tcBorders>
              <w:top w:val="single" w:sz="4" w:space="0" w:color="auto"/>
              <w:left w:val="nil"/>
              <w:bottom w:val="nil"/>
              <w:right w:val="nil"/>
            </w:tcBorders>
          </w:tcPr>
          <w:p w14:paraId="1068FC45"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3-րդ մոդուլի բովանդակությունը</w:t>
            </w:r>
          </w:p>
        </w:tc>
      </w:tr>
      <w:tr w:rsidR="006F76EB" w:rsidRPr="00834D52" w14:paraId="0C885968" w14:textId="77777777" w:rsidTr="00F71229">
        <w:tc>
          <w:tcPr>
            <w:tcW w:w="1809" w:type="dxa"/>
            <w:tcBorders>
              <w:top w:val="nil"/>
              <w:left w:val="nil"/>
              <w:bottom w:val="nil"/>
              <w:right w:val="nil"/>
            </w:tcBorders>
          </w:tcPr>
          <w:p w14:paraId="47A116B8"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w:t>
            </w:r>
          </w:p>
        </w:tc>
        <w:tc>
          <w:tcPr>
            <w:tcW w:w="8168" w:type="dxa"/>
            <w:gridSpan w:val="2"/>
            <w:tcBorders>
              <w:top w:val="nil"/>
              <w:left w:val="nil"/>
              <w:bottom w:val="nil"/>
              <w:right w:val="nil"/>
            </w:tcBorders>
          </w:tcPr>
          <w:p w14:paraId="09F163A5"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Հիմնական տեղեկություններ</w:t>
            </w:r>
          </w:p>
        </w:tc>
      </w:tr>
      <w:tr w:rsidR="006F76EB" w:rsidRPr="00834D52" w14:paraId="06A9BBE3" w14:textId="77777777" w:rsidTr="00F71229">
        <w:tc>
          <w:tcPr>
            <w:tcW w:w="1809" w:type="dxa"/>
            <w:tcBorders>
              <w:top w:val="nil"/>
              <w:left w:val="nil"/>
              <w:bottom w:val="nil"/>
              <w:right w:val="nil"/>
            </w:tcBorders>
          </w:tcPr>
          <w:p w14:paraId="65DAA18D"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w:t>
            </w:r>
          </w:p>
        </w:tc>
        <w:tc>
          <w:tcPr>
            <w:tcW w:w="8168" w:type="dxa"/>
            <w:gridSpan w:val="2"/>
            <w:tcBorders>
              <w:top w:val="nil"/>
              <w:left w:val="nil"/>
              <w:bottom w:val="nil"/>
              <w:right w:val="nil"/>
            </w:tcBorders>
          </w:tcPr>
          <w:p w14:paraId="0F7495F6" w14:textId="77777777" w:rsidR="006F76EB" w:rsidRPr="00834D52" w:rsidRDefault="006F76EB" w:rsidP="00A028E3">
            <w:pPr>
              <w:spacing w:after="160" w:line="360" w:lineRule="auto"/>
              <w:ind w:right="-6"/>
              <w:jc w:val="both"/>
              <w:rPr>
                <w:rFonts w:ascii="Sylfaen" w:eastAsia="Times New Roman" w:hAnsi="Sylfaen" w:cs="Times New Roman"/>
                <w:sz w:val="24"/>
                <w:szCs w:val="24"/>
              </w:rPr>
            </w:pPr>
            <w:r w:rsidRPr="00834D52">
              <w:rPr>
                <w:rFonts w:ascii="Sylfaen" w:hAnsi="Sylfaen"/>
                <w:sz w:val="24"/>
                <w:szCs w:val="24"/>
              </w:rPr>
              <w:t>Ակտիվ դեղագործական բաղադրամաս (ԱԴԲ)՝ մի քանի ակտիվ (ազդող) նյութ պարունակող դեղապատրաստուկների համար տեղեկատվությունը ներկայացվում է ամբողջ ծավալով դրանցից յուրաքանչյուրի վերաբերյալ</w:t>
            </w:r>
            <w:r w:rsidRPr="00834D52">
              <w:rPr>
                <w:rStyle w:val="FootnoteReference"/>
                <w:rFonts w:ascii="Sylfaen" w:eastAsia="Times New Roman" w:hAnsi="Sylfaen" w:cs="Times New Roman"/>
                <w:sz w:val="24"/>
                <w:szCs w:val="24"/>
              </w:rPr>
              <w:sym w:font="Symbol" w:char="F02A"/>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w:t>
            </w:r>
          </w:p>
        </w:tc>
      </w:tr>
      <w:tr w:rsidR="006F76EB" w:rsidRPr="00834D52" w14:paraId="79686FFD" w14:textId="77777777" w:rsidTr="00F71229">
        <w:tc>
          <w:tcPr>
            <w:tcW w:w="1809" w:type="dxa"/>
            <w:tcBorders>
              <w:top w:val="nil"/>
              <w:left w:val="nil"/>
              <w:bottom w:val="nil"/>
              <w:right w:val="nil"/>
            </w:tcBorders>
          </w:tcPr>
          <w:p w14:paraId="3899ABD0"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footnoteReference w:customMarkFollows="1" w:id="26"/>
              <w:t>3.2.S.1.</w:t>
            </w:r>
          </w:p>
        </w:tc>
        <w:tc>
          <w:tcPr>
            <w:tcW w:w="8168" w:type="dxa"/>
            <w:gridSpan w:val="2"/>
            <w:tcBorders>
              <w:top w:val="nil"/>
              <w:left w:val="nil"/>
              <w:bottom w:val="nil"/>
              <w:right w:val="nil"/>
            </w:tcBorders>
          </w:tcPr>
          <w:p w14:paraId="7A6114D0"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 xml:space="preserve">Ելանյութերի </w:t>
            </w:r>
            <w:r w:rsidR="00C54D75">
              <w:rPr>
                <w:rFonts w:ascii="Sylfaen" w:hAnsi="Sylfaen"/>
                <w:sz w:val="24"/>
                <w:szCs w:val="24"/>
              </w:rPr>
              <w:t>և</w:t>
            </w:r>
            <w:r w:rsidRPr="00834D52">
              <w:rPr>
                <w:rFonts w:ascii="Sylfaen" w:hAnsi="Sylfaen"/>
                <w:sz w:val="24"/>
                <w:szCs w:val="24"/>
              </w:rPr>
              <w:t xml:space="preserve"> հումքի վերաբերյալ ընդհանուր տեղեկատվություն**</w:t>
            </w:r>
          </w:p>
        </w:tc>
      </w:tr>
      <w:tr w:rsidR="006F76EB" w:rsidRPr="00834D52" w14:paraId="01892EB1" w14:textId="77777777" w:rsidTr="00F71229">
        <w:tc>
          <w:tcPr>
            <w:tcW w:w="1809" w:type="dxa"/>
            <w:tcBorders>
              <w:top w:val="nil"/>
              <w:left w:val="nil"/>
              <w:bottom w:val="nil"/>
              <w:right w:val="nil"/>
            </w:tcBorders>
          </w:tcPr>
          <w:p w14:paraId="369D23A3"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3.2.S.1.1.</w:t>
            </w:r>
          </w:p>
        </w:tc>
        <w:tc>
          <w:tcPr>
            <w:tcW w:w="8168" w:type="dxa"/>
            <w:gridSpan w:val="2"/>
            <w:tcBorders>
              <w:top w:val="nil"/>
              <w:left w:val="nil"/>
              <w:bottom w:val="nil"/>
              <w:right w:val="nil"/>
            </w:tcBorders>
          </w:tcPr>
          <w:p w14:paraId="456CFF41"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անվանումների մասին տեղեկատվություն**</w:t>
            </w:r>
          </w:p>
        </w:tc>
      </w:tr>
      <w:tr w:rsidR="006F76EB" w:rsidRPr="00834D52" w14:paraId="2B54DB89" w14:textId="77777777" w:rsidTr="00F71229">
        <w:tc>
          <w:tcPr>
            <w:tcW w:w="1809" w:type="dxa"/>
            <w:tcBorders>
              <w:top w:val="nil"/>
              <w:left w:val="nil"/>
              <w:bottom w:val="nil"/>
              <w:right w:val="nil"/>
            </w:tcBorders>
          </w:tcPr>
          <w:p w14:paraId="06D0FA1F"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3.2.S.1.2.</w:t>
            </w:r>
          </w:p>
        </w:tc>
        <w:tc>
          <w:tcPr>
            <w:tcW w:w="8168" w:type="dxa"/>
            <w:gridSpan w:val="2"/>
            <w:tcBorders>
              <w:top w:val="nil"/>
              <w:left w:val="nil"/>
              <w:bottom w:val="nil"/>
              <w:right w:val="nil"/>
            </w:tcBorders>
          </w:tcPr>
          <w:p w14:paraId="1A18251F"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կառուցվածքը**</w:t>
            </w:r>
          </w:p>
        </w:tc>
      </w:tr>
      <w:tr w:rsidR="006F76EB" w:rsidRPr="00834D52" w14:paraId="5E843C8F" w14:textId="77777777" w:rsidTr="00F71229">
        <w:tc>
          <w:tcPr>
            <w:tcW w:w="1809" w:type="dxa"/>
            <w:tcBorders>
              <w:top w:val="nil"/>
              <w:left w:val="nil"/>
              <w:bottom w:val="nil"/>
              <w:right w:val="nil"/>
            </w:tcBorders>
          </w:tcPr>
          <w:p w14:paraId="7176DA9D"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3.2.S.1.3.</w:t>
            </w:r>
          </w:p>
        </w:tc>
        <w:tc>
          <w:tcPr>
            <w:tcW w:w="8168" w:type="dxa"/>
            <w:gridSpan w:val="2"/>
            <w:tcBorders>
              <w:top w:val="nil"/>
              <w:left w:val="nil"/>
              <w:bottom w:val="nil"/>
              <w:right w:val="nil"/>
            </w:tcBorders>
          </w:tcPr>
          <w:p w14:paraId="77ADB84C"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ընդհանուր հատկությունները**</w:t>
            </w:r>
          </w:p>
        </w:tc>
      </w:tr>
      <w:tr w:rsidR="006F76EB" w:rsidRPr="00834D52" w14:paraId="192E7295" w14:textId="77777777" w:rsidTr="00F71229">
        <w:tc>
          <w:tcPr>
            <w:tcW w:w="1809" w:type="dxa"/>
            <w:tcBorders>
              <w:top w:val="nil"/>
              <w:left w:val="nil"/>
              <w:bottom w:val="nil"/>
              <w:right w:val="nil"/>
            </w:tcBorders>
          </w:tcPr>
          <w:p w14:paraId="12142B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w:t>
            </w:r>
          </w:p>
        </w:tc>
        <w:tc>
          <w:tcPr>
            <w:tcW w:w="8168" w:type="dxa"/>
            <w:gridSpan w:val="2"/>
            <w:tcBorders>
              <w:top w:val="nil"/>
              <w:left w:val="nil"/>
              <w:bottom w:val="nil"/>
              <w:right w:val="nil"/>
            </w:tcBorders>
          </w:tcPr>
          <w:p w14:paraId="2AC315F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արտադրության գործընթացը</w:t>
            </w:r>
          </w:p>
        </w:tc>
      </w:tr>
      <w:tr w:rsidR="006F76EB" w:rsidRPr="00834D52" w14:paraId="419BA402" w14:textId="77777777" w:rsidTr="00F71229">
        <w:tc>
          <w:tcPr>
            <w:tcW w:w="1809" w:type="dxa"/>
            <w:tcBorders>
              <w:top w:val="nil"/>
              <w:left w:val="nil"/>
              <w:bottom w:val="nil"/>
              <w:right w:val="nil"/>
            </w:tcBorders>
          </w:tcPr>
          <w:p w14:paraId="25EE8D68"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3.2.S.2.1.</w:t>
            </w:r>
          </w:p>
        </w:tc>
        <w:tc>
          <w:tcPr>
            <w:tcW w:w="8168" w:type="dxa"/>
            <w:gridSpan w:val="2"/>
            <w:tcBorders>
              <w:top w:val="nil"/>
              <w:left w:val="nil"/>
              <w:bottom w:val="nil"/>
              <w:right w:val="nil"/>
            </w:tcBorders>
          </w:tcPr>
          <w:p w14:paraId="4BB3890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Արտադրողը**</w:t>
            </w:r>
          </w:p>
        </w:tc>
      </w:tr>
      <w:tr w:rsidR="006F76EB" w:rsidRPr="00834D52" w14:paraId="1515EBCB" w14:textId="77777777" w:rsidTr="00F71229">
        <w:tc>
          <w:tcPr>
            <w:tcW w:w="1809" w:type="dxa"/>
            <w:tcBorders>
              <w:top w:val="nil"/>
              <w:left w:val="nil"/>
              <w:bottom w:val="nil"/>
              <w:right w:val="nil"/>
            </w:tcBorders>
          </w:tcPr>
          <w:p w14:paraId="0AEFC6DB"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3.2.S.2.2.</w:t>
            </w:r>
          </w:p>
        </w:tc>
        <w:tc>
          <w:tcPr>
            <w:tcW w:w="8168" w:type="dxa"/>
            <w:gridSpan w:val="2"/>
            <w:tcBorders>
              <w:top w:val="nil"/>
              <w:left w:val="nil"/>
              <w:bottom w:val="nil"/>
              <w:right w:val="nil"/>
            </w:tcBorders>
          </w:tcPr>
          <w:p w14:paraId="2BAC8924"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նկարագրությունն ու դրա հսկողությունը</w:t>
            </w:r>
          </w:p>
        </w:tc>
      </w:tr>
      <w:tr w:rsidR="006F76EB" w:rsidRPr="00834D52" w14:paraId="0B5F05E7" w14:textId="77777777" w:rsidTr="00F71229">
        <w:tc>
          <w:tcPr>
            <w:tcW w:w="1809" w:type="dxa"/>
            <w:tcBorders>
              <w:top w:val="nil"/>
              <w:left w:val="nil"/>
              <w:bottom w:val="nil"/>
              <w:right w:val="nil"/>
            </w:tcBorders>
          </w:tcPr>
          <w:p w14:paraId="050389B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3.2.S.2.3.</w:t>
            </w:r>
          </w:p>
        </w:tc>
        <w:tc>
          <w:tcPr>
            <w:tcW w:w="8168" w:type="dxa"/>
            <w:gridSpan w:val="2"/>
            <w:tcBorders>
              <w:top w:val="nil"/>
              <w:left w:val="nil"/>
              <w:bottom w:val="nil"/>
              <w:right w:val="nil"/>
            </w:tcBorders>
          </w:tcPr>
          <w:p w14:paraId="73C5EE9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Ելանյութերի հսկողությունը</w:t>
            </w:r>
          </w:p>
        </w:tc>
      </w:tr>
      <w:tr w:rsidR="006F76EB" w:rsidRPr="00834D52" w14:paraId="77B27C3D" w14:textId="77777777" w:rsidTr="00F71229">
        <w:tc>
          <w:tcPr>
            <w:tcW w:w="1809" w:type="dxa"/>
            <w:tcBorders>
              <w:top w:val="nil"/>
              <w:left w:val="nil"/>
              <w:bottom w:val="nil"/>
              <w:right w:val="nil"/>
            </w:tcBorders>
          </w:tcPr>
          <w:p w14:paraId="577229E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3.2.S.2.4.</w:t>
            </w:r>
          </w:p>
        </w:tc>
        <w:tc>
          <w:tcPr>
            <w:tcW w:w="8168" w:type="dxa"/>
            <w:gridSpan w:val="2"/>
            <w:tcBorders>
              <w:top w:val="nil"/>
              <w:left w:val="nil"/>
              <w:bottom w:val="nil"/>
              <w:right w:val="nil"/>
            </w:tcBorders>
          </w:tcPr>
          <w:p w14:paraId="51BDC16E"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Կրիտիկական փուլերի </w:t>
            </w:r>
            <w:r w:rsidR="00C54D75">
              <w:rPr>
                <w:rFonts w:ascii="Sylfaen" w:hAnsi="Sylfaen"/>
                <w:sz w:val="24"/>
                <w:szCs w:val="24"/>
              </w:rPr>
              <w:t>և</w:t>
            </w:r>
            <w:r w:rsidRPr="00834D52">
              <w:rPr>
                <w:rFonts w:ascii="Sylfaen" w:hAnsi="Sylfaen"/>
                <w:sz w:val="24"/>
                <w:szCs w:val="24"/>
              </w:rPr>
              <w:t xml:space="preserve"> միջանկյալ արտադրանքի հսկողությունը</w:t>
            </w:r>
          </w:p>
        </w:tc>
      </w:tr>
      <w:tr w:rsidR="006F76EB" w:rsidRPr="00834D52" w14:paraId="70E01B26" w14:textId="77777777" w:rsidTr="00F71229">
        <w:tc>
          <w:tcPr>
            <w:tcW w:w="1809" w:type="dxa"/>
            <w:tcBorders>
              <w:top w:val="nil"/>
              <w:left w:val="nil"/>
              <w:bottom w:val="nil"/>
              <w:right w:val="nil"/>
            </w:tcBorders>
          </w:tcPr>
          <w:p w14:paraId="155523D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3.2.S.2.5.</w:t>
            </w:r>
          </w:p>
        </w:tc>
        <w:tc>
          <w:tcPr>
            <w:tcW w:w="8168" w:type="dxa"/>
            <w:gridSpan w:val="2"/>
            <w:tcBorders>
              <w:top w:val="nil"/>
              <w:left w:val="nil"/>
              <w:bottom w:val="nil"/>
              <w:right w:val="nil"/>
            </w:tcBorders>
          </w:tcPr>
          <w:p w14:paraId="7E4D270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վալիդացումը </w:t>
            </w:r>
            <w:r w:rsidR="00C54D75">
              <w:rPr>
                <w:rFonts w:ascii="Sylfaen" w:hAnsi="Sylfaen"/>
                <w:sz w:val="24"/>
                <w:szCs w:val="24"/>
              </w:rPr>
              <w:t>և</w:t>
            </w:r>
            <w:r w:rsidRPr="00834D52">
              <w:rPr>
                <w:rFonts w:ascii="Sylfaen" w:hAnsi="Sylfaen"/>
                <w:sz w:val="24"/>
                <w:szCs w:val="24"/>
              </w:rPr>
              <w:t xml:space="preserve"> (կամ) գնահատումը</w:t>
            </w:r>
          </w:p>
        </w:tc>
      </w:tr>
      <w:tr w:rsidR="006F76EB" w:rsidRPr="00834D52" w14:paraId="4ACE1561" w14:textId="77777777" w:rsidTr="00F71229">
        <w:tc>
          <w:tcPr>
            <w:tcW w:w="1809" w:type="dxa"/>
            <w:tcBorders>
              <w:top w:val="nil"/>
              <w:left w:val="nil"/>
              <w:bottom w:val="nil"/>
              <w:right w:val="nil"/>
            </w:tcBorders>
          </w:tcPr>
          <w:p w14:paraId="607E83B4"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3.2.S.2.6.</w:t>
            </w:r>
          </w:p>
        </w:tc>
        <w:tc>
          <w:tcPr>
            <w:tcW w:w="8168" w:type="dxa"/>
            <w:gridSpan w:val="2"/>
            <w:tcBorders>
              <w:top w:val="nil"/>
              <w:left w:val="nil"/>
              <w:bottom w:val="nil"/>
              <w:right w:val="nil"/>
            </w:tcBorders>
          </w:tcPr>
          <w:p w14:paraId="708F76D1"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մշակումը</w:t>
            </w:r>
          </w:p>
        </w:tc>
      </w:tr>
      <w:tr w:rsidR="006F76EB" w:rsidRPr="00834D52" w14:paraId="5C21EFA3" w14:textId="77777777" w:rsidTr="00F71229">
        <w:tc>
          <w:tcPr>
            <w:tcW w:w="1809" w:type="dxa"/>
            <w:tcBorders>
              <w:top w:val="nil"/>
              <w:left w:val="nil"/>
              <w:bottom w:val="nil"/>
              <w:right w:val="nil"/>
            </w:tcBorders>
          </w:tcPr>
          <w:p w14:paraId="5F1701F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w:t>
            </w:r>
          </w:p>
        </w:tc>
        <w:tc>
          <w:tcPr>
            <w:tcW w:w="8168" w:type="dxa"/>
            <w:gridSpan w:val="2"/>
            <w:tcBorders>
              <w:top w:val="nil"/>
              <w:left w:val="nil"/>
              <w:bottom w:val="nil"/>
              <w:right w:val="nil"/>
            </w:tcBorders>
          </w:tcPr>
          <w:p w14:paraId="10B3C89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բնութագրերի նկարագրությունը**</w:t>
            </w:r>
          </w:p>
        </w:tc>
      </w:tr>
      <w:tr w:rsidR="006F76EB" w:rsidRPr="00834D52" w14:paraId="3B121A24" w14:textId="77777777" w:rsidTr="00F71229">
        <w:tc>
          <w:tcPr>
            <w:tcW w:w="1809" w:type="dxa"/>
            <w:tcBorders>
              <w:top w:val="nil"/>
              <w:left w:val="nil"/>
              <w:bottom w:val="nil"/>
              <w:right w:val="nil"/>
            </w:tcBorders>
          </w:tcPr>
          <w:p w14:paraId="1CF32A5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3.2.S.3.1.</w:t>
            </w:r>
          </w:p>
        </w:tc>
        <w:tc>
          <w:tcPr>
            <w:tcW w:w="8168" w:type="dxa"/>
            <w:gridSpan w:val="2"/>
            <w:tcBorders>
              <w:top w:val="nil"/>
              <w:left w:val="nil"/>
              <w:bottom w:val="nil"/>
              <w:right w:val="nil"/>
            </w:tcBorders>
          </w:tcPr>
          <w:p w14:paraId="37AB20B2"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Կառուցվածքի </w:t>
            </w:r>
            <w:r w:rsidR="00C54D75">
              <w:rPr>
                <w:rFonts w:ascii="Sylfaen" w:hAnsi="Sylfaen"/>
                <w:sz w:val="24"/>
                <w:szCs w:val="24"/>
              </w:rPr>
              <w:t>և</w:t>
            </w:r>
            <w:r w:rsidRPr="00834D52">
              <w:rPr>
                <w:rFonts w:ascii="Sylfaen" w:hAnsi="Sylfaen"/>
                <w:sz w:val="24"/>
                <w:szCs w:val="24"/>
              </w:rPr>
              <w:t xml:space="preserve"> այլ բնութագրերի հաստատումը</w:t>
            </w:r>
          </w:p>
        </w:tc>
      </w:tr>
      <w:tr w:rsidR="006F76EB" w:rsidRPr="00834D52" w14:paraId="53C012AA" w14:textId="77777777" w:rsidTr="00F71229">
        <w:tc>
          <w:tcPr>
            <w:tcW w:w="1809" w:type="dxa"/>
            <w:tcBorders>
              <w:top w:val="nil"/>
              <w:left w:val="nil"/>
              <w:bottom w:val="nil"/>
              <w:right w:val="nil"/>
            </w:tcBorders>
          </w:tcPr>
          <w:p w14:paraId="4081A9E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3.2.S.3.2.</w:t>
            </w:r>
          </w:p>
        </w:tc>
        <w:tc>
          <w:tcPr>
            <w:tcW w:w="8168" w:type="dxa"/>
            <w:gridSpan w:val="2"/>
            <w:tcBorders>
              <w:top w:val="nil"/>
              <w:left w:val="nil"/>
              <w:bottom w:val="nil"/>
              <w:right w:val="nil"/>
            </w:tcBorders>
          </w:tcPr>
          <w:p w14:paraId="495EC53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Խառնուկները**</w:t>
            </w:r>
          </w:p>
        </w:tc>
      </w:tr>
      <w:tr w:rsidR="006F76EB" w:rsidRPr="00834D52" w14:paraId="2886C15C" w14:textId="77777777" w:rsidTr="00F71229">
        <w:tc>
          <w:tcPr>
            <w:tcW w:w="1809" w:type="dxa"/>
            <w:tcBorders>
              <w:top w:val="nil"/>
              <w:left w:val="nil"/>
              <w:bottom w:val="nil"/>
              <w:right w:val="nil"/>
            </w:tcBorders>
          </w:tcPr>
          <w:p w14:paraId="0A98D52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w:t>
            </w:r>
          </w:p>
        </w:tc>
        <w:tc>
          <w:tcPr>
            <w:tcW w:w="8168" w:type="dxa"/>
            <w:gridSpan w:val="2"/>
            <w:tcBorders>
              <w:top w:val="nil"/>
              <w:left w:val="nil"/>
              <w:bottom w:val="nil"/>
              <w:right w:val="nil"/>
            </w:tcBorders>
          </w:tcPr>
          <w:p w14:paraId="243536D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որակի հսկողությունը**</w:t>
            </w:r>
          </w:p>
        </w:tc>
      </w:tr>
      <w:tr w:rsidR="006F76EB" w:rsidRPr="00834D52" w14:paraId="7177EF38" w14:textId="77777777" w:rsidTr="00F71229">
        <w:tc>
          <w:tcPr>
            <w:tcW w:w="1809" w:type="dxa"/>
            <w:tcBorders>
              <w:top w:val="nil"/>
              <w:left w:val="nil"/>
              <w:bottom w:val="nil"/>
              <w:right w:val="nil"/>
            </w:tcBorders>
          </w:tcPr>
          <w:p w14:paraId="54B4B0AD"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3.2.S.4.1.</w:t>
            </w:r>
          </w:p>
        </w:tc>
        <w:tc>
          <w:tcPr>
            <w:tcW w:w="8168" w:type="dxa"/>
            <w:gridSpan w:val="2"/>
            <w:tcBorders>
              <w:top w:val="nil"/>
              <w:left w:val="nil"/>
              <w:bottom w:val="nil"/>
              <w:right w:val="nil"/>
            </w:tcBorders>
          </w:tcPr>
          <w:p w14:paraId="32EAB6EA"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Մասնագիրը**</w:t>
            </w:r>
          </w:p>
        </w:tc>
      </w:tr>
      <w:tr w:rsidR="006F76EB" w:rsidRPr="00834D52" w14:paraId="6356CA7E" w14:textId="77777777" w:rsidTr="00F71229">
        <w:tc>
          <w:tcPr>
            <w:tcW w:w="1809" w:type="dxa"/>
            <w:tcBorders>
              <w:top w:val="nil"/>
              <w:left w:val="nil"/>
              <w:bottom w:val="nil"/>
              <w:right w:val="nil"/>
            </w:tcBorders>
          </w:tcPr>
          <w:p w14:paraId="21212AB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3.2.S.4.2.</w:t>
            </w:r>
          </w:p>
        </w:tc>
        <w:tc>
          <w:tcPr>
            <w:tcW w:w="8168" w:type="dxa"/>
            <w:gridSpan w:val="2"/>
            <w:tcBorders>
              <w:top w:val="nil"/>
              <w:left w:val="nil"/>
              <w:bottom w:val="nil"/>
              <w:right w:val="nil"/>
            </w:tcBorders>
          </w:tcPr>
          <w:p w14:paraId="10713DA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Վերլուծական մեթոդիկաները**</w:t>
            </w:r>
          </w:p>
        </w:tc>
      </w:tr>
      <w:tr w:rsidR="006F76EB" w:rsidRPr="00834D52" w14:paraId="5EC0809C" w14:textId="77777777" w:rsidTr="00F71229">
        <w:tc>
          <w:tcPr>
            <w:tcW w:w="1809" w:type="dxa"/>
            <w:tcBorders>
              <w:top w:val="nil"/>
              <w:left w:val="nil"/>
              <w:bottom w:val="nil"/>
              <w:right w:val="nil"/>
            </w:tcBorders>
          </w:tcPr>
          <w:p w14:paraId="13A31EA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3.2.S.4.3.</w:t>
            </w:r>
          </w:p>
        </w:tc>
        <w:tc>
          <w:tcPr>
            <w:tcW w:w="8168" w:type="dxa"/>
            <w:gridSpan w:val="2"/>
            <w:tcBorders>
              <w:top w:val="nil"/>
              <w:left w:val="nil"/>
              <w:bottom w:val="nil"/>
              <w:right w:val="nil"/>
            </w:tcBorders>
          </w:tcPr>
          <w:p w14:paraId="73DC1FE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36B1BDEF" w14:textId="77777777" w:rsidTr="00F71229">
        <w:tc>
          <w:tcPr>
            <w:tcW w:w="1809" w:type="dxa"/>
            <w:tcBorders>
              <w:top w:val="nil"/>
              <w:left w:val="nil"/>
              <w:bottom w:val="nil"/>
              <w:right w:val="nil"/>
            </w:tcBorders>
          </w:tcPr>
          <w:p w14:paraId="1A12DA9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3.2.S.4.4.</w:t>
            </w:r>
          </w:p>
        </w:tc>
        <w:tc>
          <w:tcPr>
            <w:tcW w:w="8168" w:type="dxa"/>
            <w:gridSpan w:val="2"/>
            <w:tcBorders>
              <w:top w:val="nil"/>
              <w:left w:val="nil"/>
              <w:bottom w:val="nil"/>
              <w:right w:val="nil"/>
            </w:tcBorders>
          </w:tcPr>
          <w:p w14:paraId="60584DE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Սերիաների վերլուծություն (սերիաների վերլուծության արդյունքները)**</w:t>
            </w:r>
          </w:p>
        </w:tc>
      </w:tr>
      <w:tr w:rsidR="006F76EB" w:rsidRPr="00834D52" w14:paraId="54ACB03D" w14:textId="77777777" w:rsidTr="00F71229">
        <w:tc>
          <w:tcPr>
            <w:tcW w:w="1809" w:type="dxa"/>
            <w:tcBorders>
              <w:top w:val="nil"/>
              <w:left w:val="nil"/>
              <w:bottom w:val="nil"/>
              <w:right w:val="nil"/>
            </w:tcBorders>
          </w:tcPr>
          <w:p w14:paraId="5BD04EF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3.2.S.4.5.</w:t>
            </w:r>
          </w:p>
        </w:tc>
        <w:tc>
          <w:tcPr>
            <w:tcW w:w="8168" w:type="dxa"/>
            <w:gridSpan w:val="2"/>
            <w:tcBorders>
              <w:top w:val="nil"/>
              <w:left w:val="nil"/>
              <w:bottom w:val="nil"/>
              <w:right w:val="nil"/>
            </w:tcBorders>
          </w:tcPr>
          <w:p w14:paraId="61715A9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Մասնագրի հիմնավորումը</w:t>
            </w:r>
          </w:p>
        </w:tc>
      </w:tr>
      <w:tr w:rsidR="006F76EB" w:rsidRPr="00834D52" w14:paraId="110BCA49" w14:textId="77777777" w:rsidTr="00F71229">
        <w:tc>
          <w:tcPr>
            <w:tcW w:w="1809" w:type="dxa"/>
            <w:tcBorders>
              <w:top w:val="nil"/>
              <w:left w:val="nil"/>
              <w:bottom w:val="nil"/>
              <w:right w:val="nil"/>
            </w:tcBorders>
          </w:tcPr>
          <w:p w14:paraId="7FF1F12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3.2.S.5.</w:t>
            </w:r>
          </w:p>
        </w:tc>
        <w:tc>
          <w:tcPr>
            <w:tcW w:w="8168" w:type="dxa"/>
            <w:gridSpan w:val="2"/>
            <w:tcBorders>
              <w:top w:val="nil"/>
              <w:left w:val="nil"/>
              <w:bottom w:val="nil"/>
              <w:right w:val="nil"/>
            </w:tcBorders>
          </w:tcPr>
          <w:p w14:paraId="7FBD023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Ստանդարտ նմուշները կամ նյութերը</w:t>
            </w:r>
          </w:p>
        </w:tc>
      </w:tr>
      <w:tr w:rsidR="006F76EB" w:rsidRPr="00834D52" w14:paraId="0E2AAEF8" w14:textId="77777777" w:rsidTr="00F71229">
        <w:tc>
          <w:tcPr>
            <w:tcW w:w="1809" w:type="dxa"/>
            <w:tcBorders>
              <w:top w:val="nil"/>
              <w:left w:val="nil"/>
              <w:bottom w:val="nil"/>
              <w:right w:val="nil"/>
            </w:tcBorders>
          </w:tcPr>
          <w:p w14:paraId="0C5C0A3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3.2.S.6.</w:t>
            </w:r>
          </w:p>
        </w:tc>
        <w:tc>
          <w:tcPr>
            <w:tcW w:w="8168" w:type="dxa"/>
            <w:gridSpan w:val="2"/>
            <w:tcBorders>
              <w:top w:val="nil"/>
              <w:left w:val="nil"/>
              <w:bottom w:val="nil"/>
              <w:right w:val="nil"/>
            </w:tcBorders>
          </w:tcPr>
          <w:p w14:paraId="41FFD211"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0BA568D8" w14:textId="77777777" w:rsidTr="00F71229">
        <w:tc>
          <w:tcPr>
            <w:tcW w:w="1809" w:type="dxa"/>
            <w:tcBorders>
              <w:top w:val="nil"/>
              <w:left w:val="nil"/>
              <w:bottom w:val="nil"/>
              <w:right w:val="nil"/>
            </w:tcBorders>
          </w:tcPr>
          <w:p w14:paraId="16871CF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w:t>
            </w:r>
          </w:p>
        </w:tc>
        <w:tc>
          <w:tcPr>
            <w:tcW w:w="8168" w:type="dxa"/>
            <w:gridSpan w:val="2"/>
            <w:tcBorders>
              <w:top w:val="nil"/>
              <w:left w:val="nil"/>
              <w:bottom w:val="nil"/>
              <w:right w:val="nil"/>
            </w:tcBorders>
          </w:tcPr>
          <w:p w14:paraId="586DE98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Կայունությունը**</w:t>
            </w:r>
          </w:p>
        </w:tc>
      </w:tr>
      <w:tr w:rsidR="006F76EB" w:rsidRPr="00834D52" w14:paraId="23F2F67A" w14:textId="77777777" w:rsidTr="00F71229">
        <w:tc>
          <w:tcPr>
            <w:tcW w:w="1809" w:type="dxa"/>
            <w:tcBorders>
              <w:top w:val="nil"/>
              <w:left w:val="nil"/>
              <w:bottom w:val="nil"/>
              <w:right w:val="nil"/>
            </w:tcBorders>
          </w:tcPr>
          <w:p w14:paraId="63B3D6C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3.2.S.7.1.</w:t>
            </w:r>
          </w:p>
        </w:tc>
        <w:tc>
          <w:tcPr>
            <w:tcW w:w="8168" w:type="dxa"/>
            <w:gridSpan w:val="2"/>
            <w:tcBorders>
              <w:top w:val="nil"/>
              <w:left w:val="nil"/>
              <w:bottom w:val="nil"/>
              <w:right w:val="nil"/>
            </w:tcBorders>
          </w:tcPr>
          <w:p w14:paraId="0544300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Կայունության փորձարկումների վերաբերյալ ռեզյումեն </w:t>
            </w:r>
            <w:r w:rsidR="00C54D75">
              <w:rPr>
                <w:rFonts w:ascii="Sylfaen" w:hAnsi="Sylfaen"/>
                <w:sz w:val="24"/>
                <w:szCs w:val="24"/>
              </w:rPr>
              <w:t>և</w:t>
            </w:r>
            <w:r w:rsidRPr="00834D52">
              <w:rPr>
                <w:rFonts w:ascii="Sylfaen" w:hAnsi="Sylfaen"/>
                <w:sz w:val="24"/>
                <w:szCs w:val="24"/>
              </w:rPr>
              <w:t xml:space="preserve"> կայունության վերաբերյալ եզրակացությունը**</w:t>
            </w:r>
          </w:p>
        </w:tc>
      </w:tr>
      <w:tr w:rsidR="006F76EB" w:rsidRPr="00834D52" w14:paraId="729F77F8" w14:textId="77777777" w:rsidTr="00F71229">
        <w:tc>
          <w:tcPr>
            <w:tcW w:w="1809" w:type="dxa"/>
            <w:tcBorders>
              <w:top w:val="nil"/>
              <w:left w:val="nil"/>
              <w:bottom w:val="nil"/>
              <w:right w:val="nil"/>
            </w:tcBorders>
          </w:tcPr>
          <w:p w14:paraId="3AE664D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3.2.S.7.2.</w:t>
            </w:r>
          </w:p>
        </w:tc>
        <w:tc>
          <w:tcPr>
            <w:tcW w:w="8168" w:type="dxa"/>
            <w:gridSpan w:val="2"/>
            <w:tcBorders>
              <w:top w:val="nil"/>
              <w:left w:val="nil"/>
              <w:bottom w:val="nil"/>
              <w:right w:val="nil"/>
            </w:tcBorders>
          </w:tcPr>
          <w:p w14:paraId="33B645C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Կայունության հետգրանցումային փորձարկումների ծրագիրը </w:t>
            </w:r>
            <w:r w:rsidR="00C54D75">
              <w:rPr>
                <w:rFonts w:ascii="Sylfaen" w:hAnsi="Sylfaen"/>
                <w:sz w:val="24"/>
                <w:szCs w:val="24"/>
              </w:rPr>
              <w:t>և</w:t>
            </w:r>
            <w:r w:rsidRPr="00834D52">
              <w:rPr>
                <w:rFonts w:ascii="Sylfaen" w:hAnsi="Sylfaen"/>
                <w:sz w:val="24"/>
                <w:szCs w:val="24"/>
              </w:rPr>
              <w:t xml:space="preserve"> կայունությանը վերաբերող պարտավորությունները**</w:t>
            </w:r>
          </w:p>
        </w:tc>
      </w:tr>
      <w:tr w:rsidR="006F76EB" w:rsidRPr="00834D52" w14:paraId="75F2320E" w14:textId="77777777" w:rsidTr="00F71229">
        <w:tc>
          <w:tcPr>
            <w:tcW w:w="1809" w:type="dxa"/>
            <w:tcBorders>
              <w:top w:val="nil"/>
              <w:left w:val="nil"/>
              <w:bottom w:val="nil"/>
              <w:right w:val="nil"/>
            </w:tcBorders>
          </w:tcPr>
          <w:p w14:paraId="6ACA6A64"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3.2.S.7.3.</w:t>
            </w:r>
          </w:p>
        </w:tc>
        <w:tc>
          <w:tcPr>
            <w:tcW w:w="8168" w:type="dxa"/>
            <w:gridSpan w:val="2"/>
            <w:tcBorders>
              <w:top w:val="nil"/>
              <w:left w:val="nil"/>
              <w:bottom w:val="nil"/>
              <w:right w:val="nil"/>
            </w:tcBorders>
          </w:tcPr>
          <w:p w14:paraId="72605D8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Կայունության վերաբերյալ փորձարկումների տվյալները**</w:t>
            </w:r>
          </w:p>
        </w:tc>
      </w:tr>
      <w:tr w:rsidR="006F76EB" w:rsidRPr="00834D52" w14:paraId="3627C356" w14:textId="77777777" w:rsidTr="00F71229">
        <w:tc>
          <w:tcPr>
            <w:tcW w:w="1809" w:type="dxa"/>
            <w:tcBorders>
              <w:top w:val="nil"/>
              <w:left w:val="nil"/>
              <w:bottom w:val="nil"/>
              <w:right w:val="nil"/>
            </w:tcBorders>
          </w:tcPr>
          <w:p w14:paraId="67772DB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w:t>
            </w:r>
          </w:p>
        </w:tc>
        <w:tc>
          <w:tcPr>
            <w:tcW w:w="8168" w:type="dxa"/>
            <w:gridSpan w:val="2"/>
            <w:tcBorders>
              <w:top w:val="nil"/>
              <w:left w:val="nil"/>
              <w:bottom w:val="nil"/>
              <w:right w:val="nil"/>
            </w:tcBorders>
          </w:tcPr>
          <w:p w14:paraId="622164E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56112AD3" w14:textId="77777777" w:rsidTr="00F71229">
        <w:tc>
          <w:tcPr>
            <w:tcW w:w="1809" w:type="dxa"/>
            <w:tcBorders>
              <w:top w:val="nil"/>
              <w:left w:val="nil"/>
              <w:bottom w:val="nil"/>
              <w:right w:val="nil"/>
            </w:tcBorders>
          </w:tcPr>
          <w:p w14:paraId="2E7D8B8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3.2.Р.1.</w:t>
            </w:r>
          </w:p>
        </w:tc>
        <w:tc>
          <w:tcPr>
            <w:tcW w:w="8168" w:type="dxa"/>
            <w:gridSpan w:val="2"/>
            <w:tcBorders>
              <w:top w:val="nil"/>
              <w:left w:val="nil"/>
              <w:bottom w:val="nil"/>
              <w:right w:val="nil"/>
            </w:tcBorders>
          </w:tcPr>
          <w:p w14:paraId="215F0A0C"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Դեղապատրաստուկի նկարագրությունը </w:t>
            </w:r>
            <w:r w:rsidR="00C54D75">
              <w:rPr>
                <w:rFonts w:ascii="Sylfaen" w:hAnsi="Sylfaen"/>
                <w:sz w:val="24"/>
                <w:szCs w:val="24"/>
              </w:rPr>
              <w:t>և</w:t>
            </w:r>
            <w:r w:rsidRPr="00834D52">
              <w:rPr>
                <w:rFonts w:ascii="Sylfaen" w:hAnsi="Sylfaen"/>
                <w:sz w:val="24"/>
                <w:szCs w:val="24"/>
              </w:rPr>
              <w:t xml:space="preserve"> բաղադրությունը</w:t>
            </w:r>
          </w:p>
        </w:tc>
      </w:tr>
      <w:tr w:rsidR="006F76EB" w:rsidRPr="00834D52" w14:paraId="5E19AD2F" w14:textId="77777777" w:rsidTr="00F71229">
        <w:tc>
          <w:tcPr>
            <w:tcW w:w="1809" w:type="dxa"/>
            <w:tcBorders>
              <w:top w:val="nil"/>
              <w:left w:val="nil"/>
              <w:bottom w:val="nil"/>
              <w:right w:val="nil"/>
            </w:tcBorders>
          </w:tcPr>
          <w:p w14:paraId="6BA4D0E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w:t>
            </w:r>
          </w:p>
        </w:tc>
        <w:tc>
          <w:tcPr>
            <w:tcW w:w="8168" w:type="dxa"/>
            <w:gridSpan w:val="2"/>
            <w:tcBorders>
              <w:top w:val="nil"/>
              <w:left w:val="nil"/>
              <w:bottom w:val="nil"/>
              <w:right w:val="nil"/>
            </w:tcBorders>
          </w:tcPr>
          <w:p w14:paraId="2CEEBEC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Դեղագործական մշակում</w:t>
            </w:r>
          </w:p>
        </w:tc>
      </w:tr>
      <w:tr w:rsidR="006F76EB" w:rsidRPr="00834D52" w14:paraId="503198E2" w14:textId="77777777" w:rsidTr="00F71229">
        <w:tc>
          <w:tcPr>
            <w:tcW w:w="1809" w:type="dxa"/>
            <w:tcBorders>
              <w:top w:val="nil"/>
              <w:left w:val="nil"/>
              <w:bottom w:val="nil"/>
              <w:right w:val="nil"/>
            </w:tcBorders>
          </w:tcPr>
          <w:p w14:paraId="1A15DC9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w:t>
            </w:r>
          </w:p>
        </w:tc>
        <w:tc>
          <w:tcPr>
            <w:tcW w:w="8168" w:type="dxa"/>
            <w:gridSpan w:val="2"/>
            <w:tcBorders>
              <w:top w:val="nil"/>
              <w:left w:val="nil"/>
              <w:bottom w:val="nil"/>
              <w:right w:val="nil"/>
            </w:tcBorders>
          </w:tcPr>
          <w:p w14:paraId="53BB36C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Դեղապատրաստուկի բաղադրիչները</w:t>
            </w:r>
          </w:p>
        </w:tc>
      </w:tr>
      <w:tr w:rsidR="006F76EB" w:rsidRPr="00834D52" w14:paraId="25618360" w14:textId="77777777" w:rsidTr="00F71229">
        <w:tc>
          <w:tcPr>
            <w:tcW w:w="1809" w:type="dxa"/>
            <w:tcBorders>
              <w:top w:val="nil"/>
              <w:left w:val="nil"/>
              <w:bottom w:val="nil"/>
              <w:right w:val="nil"/>
            </w:tcBorders>
          </w:tcPr>
          <w:p w14:paraId="19C2E41B"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3.2.Р.2.1.1.</w:t>
            </w:r>
          </w:p>
        </w:tc>
        <w:tc>
          <w:tcPr>
            <w:tcW w:w="8168" w:type="dxa"/>
            <w:gridSpan w:val="2"/>
            <w:tcBorders>
              <w:top w:val="nil"/>
              <w:left w:val="nil"/>
              <w:bottom w:val="nil"/>
              <w:right w:val="nil"/>
            </w:tcBorders>
          </w:tcPr>
          <w:p w14:paraId="64B596A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Ակտիվ դեղագործական բաղադրամաս</w:t>
            </w:r>
          </w:p>
        </w:tc>
      </w:tr>
      <w:tr w:rsidR="006F76EB" w:rsidRPr="00834D52" w14:paraId="76B9C7E6" w14:textId="77777777" w:rsidTr="00F71229">
        <w:tc>
          <w:tcPr>
            <w:tcW w:w="1809" w:type="dxa"/>
            <w:tcBorders>
              <w:top w:val="nil"/>
              <w:left w:val="nil"/>
              <w:bottom w:val="nil"/>
              <w:right w:val="nil"/>
            </w:tcBorders>
          </w:tcPr>
          <w:p w14:paraId="28F9B34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3.2.Р.2.1.2.</w:t>
            </w:r>
          </w:p>
        </w:tc>
        <w:tc>
          <w:tcPr>
            <w:tcW w:w="8168" w:type="dxa"/>
            <w:gridSpan w:val="2"/>
            <w:tcBorders>
              <w:top w:val="nil"/>
              <w:left w:val="nil"/>
              <w:bottom w:val="nil"/>
              <w:right w:val="nil"/>
            </w:tcBorders>
          </w:tcPr>
          <w:p w14:paraId="0E5F3D2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Օժանդակ նյութեր</w:t>
            </w:r>
          </w:p>
        </w:tc>
      </w:tr>
      <w:tr w:rsidR="006F76EB" w:rsidRPr="00834D52" w14:paraId="2C8D0ECE" w14:textId="77777777" w:rsidTr="00F71229">
        <w:tc>
          <w:tcPr>
            <w:tcW w:w="1809" w:type="dxa"/>
            <w:tcBorders>
              <w:top w:val="nil"/>
              <w:left w:val="nil"/>
              <w:bottom w:val="nil"/>
              <w:right w:val="nil"/>
            </w:tcBorders>
          </w:tcPr>
          <w:p w14:paraId="5036AE6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w:t>
            </w:r>
          </w:p>
        </w:tc>
        <w:tc>
          <w:tcPr>
            <w:tcW w:w="8168" w:type="dxa"/>
            <w:gridSpan w:val="2"/>
            <w:tcBorders>
              <w:top w:val="nil"/>
              <w:left w:val="nil"/>
              <w:bottom w:val="nil"/>
              <w:right w:val="nil"/>
            </w:tcBorders>
          </w:tcPr>
          <w:p w14:paraId="5CCC816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12EA7B6D" w14:textId="77777777" w:rsidTr="00F71229">
        <w:tc>
          <w:tcPr>
            <w:tcW w:w="1809" w:type="dxa"/>
            <w:tcBorders>
              <w:top w:val="nil"/>
              <w:left w:val="nil"/>
              <w:bottom w:val="nil"/>
              <w:right w:val="nil"/>
            </w:tcBorders>
          </w:tcPr>
          <w:p w14:paraId="3A7DCC2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3.2.Р.2.2.1.</w:t>
            </w:r>
          </w:p>
        </w:tc>
        <w:tc>
          <w:tcPr>
            <w:tcW w:w="8168" w:type="dxa"/>
            <w:gridSpan w:val="2"/>
            <w:tcBorders>
              <w:top w:val="nil"/>
              <w:left w:val="nil"/>
              <w:bottom w:val="nil"/>
              <w:right w:val="nil"/>
            </w:tcBorders>
          </w:tcPr>
          <w:p w14:paraId="070CD8EC"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ի մշակումը</w:t>
            </w:r>
          </w:p>
        </w:tc>
      </w:tr>
      <w:tr w:rsidR="006F76EB" w:rsidRPr="00834D52" w14:paraId="309C7459" w14:textId="77777777" w:rsidTr="00F71229">
        <w:tc>
          <w:tcPr>
            <w:tcW w:w="1809" w:type="dxa"/>
            <w:tcBorders>
              <w:top w:val="nil"/>
              <w:left w:val="nil"/>
              <w:bottom w:val="nil"/>
              <w:right w:val="nil"/>
            </w:tcBorders>
          </w:tcPr>
          <w:p w14:paraId="488DC61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3.2.Р.2.2.2.</w:t>
            </w:r>
          </w:p>
        </w:tc>
        <w:tc>
          <w:tcPr>
            <w:tcW w:w="8168" w:type="dxa"/>
            <w:gridSpan w:val="2"/>
            <w:tcBorders>
              <w:top w:val="nil"/>
              <w:left w:val="nil"/>
              <w:bottom w:val="nil"/>
              <w:right w:val="nil"/>
            </w:tcBorders>
          </w:tcPr>
          <w:p w14:paraId="01F50A6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ավելցուկները</w:t>
            </w:r>
          </w:p>
        </w:tc>
      </w:tr>
      <w:tr w:rsidR="006F76EB" w:rsidRPr="00834D52" w14:paraId="71CCAA78" w14:textId="77777777" w:rsidTr="00F71229">
        <w:tc>
          <w:tcPr>
            <w:tcW w:w="1809" w:type="dxa"/>
            <w:tcBorders>
              <w:top w:val="nil"/>
              <w:left w:val="nil"/>
              <w:bottom w:val="nil"/>
              <w:right w:val="nil"/>
            </w:tcBorders>
          </w:tcPr>
          <w:p w14:paraId="7D2841E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3.2.Р.2.2.3.</w:t>
            </w:r>
          </w:p>
        </w:tc>
        <w:tc>
          <w:tcPr>
            <w:tcW w:w="8168" w:type="dxa"/>
            <w:gridSpan w:val="2"/>
            <w:tcBorders>
              <w:top w:val="nil"/>
              <w:left w:val="nil"/>
              <w:bottom w:val="nil"/>
              <w:right w:val="nil"/>
            </w:tcBorders>
          </w:tcPr>
          <w:p w14:paraId="0C74A438"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Ֆիզիկաքիմիական </w:t>
            </w:r>
            <w:r w:rsidR="00C54D75">
              <w:rPr>
                <w:rFonts w:ascii="Sylfaen" w:hAnsi="Sylfaen"/>
                <w:sz w:val="24"/>
                <w:szCs w:val="24"/>
              </w:rPr>
              <w:t>և</w:t>
            </w:r>
            <w:r w:rsidRPr="00834D52">
              <w:rPr>
                <w:rFonts w:ascii="Sylfaen" w:hAnsi="Sylfaen"/>
                <w:sz w:val="24"/>
                <w:szCs w:val="24"/>
              </w:rPr>
              <w:t xml:space="preserve"> կենսաբանական հատկությունները</w:t>
            </w:r>
          </w:p>
        </w:tc>
      </w:tr>
      <w:tr w:rsidR="006F76EB" w:rsidRPr="00834D52" w14:paraId="3021030E" w14:textId="77777777" w:rsidTr="00F71229">
        <w:tc>
          <w:tcPr>
            <w:tcW w:w="1809" w:type="dxa"/>
            <w:tcBorders>
              <w:top w:val="nil"/>
              <w:left w:val="nil"/>
              <w:bottom w:val="nil"/>
              <w:right w:val="nil"/>
            </w:tcBorders>
          </w:tcPr>
          <w:p w14:paraId="53B4AB4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3.2.Р.2.3.</w:t>
            </w:r>
          </w:p>
        </w:tc>
        <w:tc>
          <w:tcPr>
            <w:tcW w:w="8168" w:type="dxa"/>
            <w:gridSpan w:val="2"/>
            <w:tcBorders>
              <w:top w:val="nil"/>
              <w:left w:val="nil"/>
              <w:bottom w:val="nil"/>
              <w:right w:val="nil"/>
            </w:tcBorders>
          </w:tcPr>
          <w:p w14:paraId="551C0CB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մշակումը</w:t>
            </w:r>
          </w:p>
        </w:tc>
      </w:tr>
      <w:tr w:rsidR="006F76EB" w:rsidRPr="00834D52" w14:paraId="090EECFA" w14:textId="77777777" w:rsidTr="00F71229">
        <w:tc>
          <w:tcPr>
            <w:tcW w:w="1809" w:type="dxa"/>
            <w:tcBorders>
              <w:top w:val="nil"/>
              <w:left w:val="nil"/>
              <w:bottom w:val="nil"/>
              <w:right w:val="nil"/>
            </w:tcBorders>
          </w:tcPr>
          <w:p w14:paraId="7D7EEE7F"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3.2.Р.2.4.</w:t>
            </w:r>
          </w:p>
        </w:tc>
        <w:tc>
          <w:tcPr>
            <w:tcW w:w="8168" w:type="dxa"/>
            <w:gridSpan w:val="2"/>
            <w:tcBorders>
              <w:top w:val="nil"/>
              <w:left w:val="nil"/>
              <w:bottom w:val="nil"/>
              <w:right w:val="nil"/>
            </w:tcBorders>
          </w:tcPr>
          <w:p w14:paraId="09908A1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412489A8" w14:textId="77777777" w:rsidTr="00F71229">
        <w:tc>
          <w:tcPr>
            <w:tcW w:w="1809" w:type="dxa"/>
            <w:tcBorders>
              <w:top w:val="nil"/>
              <w:left w:val="nil"/>
              <w:bottom w:val="nil"/>
              <w:right w:val="nil"/>
            </w:tcBorders>
          </w:tcPr>
          <w:p w14:paraId="1CA5EB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3.2.Р.2.5.</w:t>
            </w:r>
          </w:p>
        </w:tc>
        <w:tc>
          <w:tcPr>
            <w:tcW w:w="8168" w:type="dxa"/>
            <w:gridSpan w:val="2"/>
            <w:tcBorders>
              <w:top w:val="nil"/>
              <w:left w:val="nil"/>
              <w:bottom w:val="nil"/>
              <w:right w:val="nil"/>
            </w:tcBorders>
          </w:tcPr>
          <w:p w14:paraId="2435DB2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Միկրոկենսաբանական բնութագրերը</w:t>
            </w:r>
          </w:p>
        </w:tc>
      </w:tr>
      <w:tr w:rsidR="006F76EB" w:rsidRPr="00834D52" w14:paraId="5CE47078" w14:textId="77777777" w:rsidTr="00F71229">
        <w:tc>
          <w:tcPr>
            <w:tcW w:w="1809" w:type="dxa"/>
            <w:tcBorders>
              <w:top w:val="nil"/>
              <w:left w:val="nil"/>
              <w:bottom w:val="nil"/>
              <w:right w:val="nil"/>
            </w:tcBorders>
          </w:tcPr>
          <w:p w14:paraId="31C1D7D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3.2.Р.2.6.</w:t>
            </w:r>
          </w:p>
        </w:tc>
        <w:tc>
          <w:tcPr>
            <w:tcW w:w="8168" w:type="dxa"/>
            <w:gridSpan w:val="2"/>
            <w:tcBorders>
              <w:top w:val="nil"/>
              <w:left w:val="nil"/>
              <w:bottom w:val="nil"/>
              <w:right w:val="nil"/>
            </w:tcBorders>
          </w:tcPr>
          <w:p w14:paraId="7482E6F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Համատեղելիությունը</w:t>
            </w:r>
          </w:p>
        </w:tc>
      </w:tr>
      <w:tr w:rsidR="006F76EB" w:rsidRPr="00834D52" w14:paraId="1E3FB161" w14:textId="77777777" w:rsidTr="00F71229">
        <w:tc>
          <w:tcPr>
            <w:tcW w:w="1809" w:type="dxa"/>
            <w:tcBorders>
              <w:top w:val="nil"/>
              <w:left w:val="nil"/>
              <w:bottom w:val="nil"/>
              <w:right w:val="nil"/>
            </w:tcBorders>
          </w:tcPr>
          <w:p w14:paraId="42BB8F79"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3.2.Р.3.</w:t>
            </w:r>
          </w:p>
        </w:tc>
        <w:tc>
          <w:tcPr>
            <w:tcW w:w="8168" w:type="dxa"/>
            <w:gridSpan w:val="2"/>
            <w:tcBorders>
              <w:top w:val="nil"/>
              <w:left w:val="nil"/>
              <w:bottom w:val="nil"/>
              <w:right w:val="nil"/>
            </w:tcBorders>
          </w:tcPr>
          <w:p w14:paraId="307BF3A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Դեղապատրաստուկի արտադրության գործընթացը</w:t>
            </w:r>
          </w:p>
        </w:tc>
      </w:tr>
      <w:tr w:rsidR="006F76EB" w:rsidRPr="00834D52" w14:paraId="20ED063B" w14:textId="77777777" w:rsidTr="00F71229">
        <w:tc>
          <w:tcPr>
            <w:tcW w:w="1809" w:type="dxa"/>
            <w:tcBorders>
              <w:top w:val="nil"/>
              <w:left w:val="nil"/>
              <w:bottom w:val="nil"/>
              <w:right w:val="nil"/>
            </w:tcBorders>
          </w:tcPr>
          <w:p w14:paraId="0C8489F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3.2.Р.3.1.</w:t>
            </w:r>
          </w:p>
        </w:tc>
        <w:tc>
          <w:tcPr>
            <w:tcW w:w="8168" w:type="dxa"/>
            <w:gridSpan w:val="2"/>
            <w:tcBorders>
              <w:top w:val="nil"/>
              <w:left w:val="nil"/>
              <w:bottom w:val="nil"/>
              <w:right w:val="nil"/>
            </w:tcBorders>
          </w:tcPr>
          <w:p w14:paraId="53ACA2C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Արտադրողները</w:t>
            </w:r>
          </w:p>
        </w:tc>
      </w:tr>
      <w:tr w:rsidR="006F76EB" w:rsidRPr="00834D52" w14:paraId="33C6A025" w14:textId="77777777" w:rsidTr="00F71229">
        <w:tc>
          <w:tcPr>
            <w:tcW w:w="1809" w:type="dxa"/>
            <w:tcBorders>
              <w:top w:val="nil"/>
              <w:left w:val="nil"/>
              <w:bottom w:val="nil"/>
              <w:right w:val="nil"/>
            </w:tcBorders>
          </w:tcPr>
          <w:p w14:paraId="4014D4C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3.2.Р.3.2.</w:t>
            </w:r>
          </w:p>
        </w:tc>
        <w:tc>
          <w:tcPr>
            <w:tcW w:w="8168" w:type="dxa"/>
            <w:gridSpan w:val="2"/>
            <w:tcBorders>
              <w:top w:val="nil"/>
              <w:left w:val="nil"/>
              <w:bottom w:val="nil"/>
              <w:right w:val="nil"/>
            </w:tcBorders>
          </w:tcPr>
          <w:p w14:paraId="7A33E43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Բաղադրությունը՝ սերիայի համար (արտադրական դեղագրությունը)</w:t>
            </w:r>
          </w:p>
        </w:tc>
      </w:tr>
      <w:tr w:rsidR="006F76EB" w:rsidRPr="00834D52" w14:paraId="6293E3CC" w14:textId="77777777" w:rsidTr="00F71229">
        <w:tc>
          <w:tcPr>
            <w:tcW w:w="1809" w:type="dxa"/>
            <w:tcBorders>
              <w:top w:val="nil"/>
              <w:left w:val="nil"/>
              <w:bottom w:val="nil"/>
              <w:right w:val="nil"/>
            </w:tcBorders>
          </w:tcPr>
          <w:p w14:paraId="65FA6BA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3.2.Р.3.3.</w:t>
            </w:r>
          </w:p>
        </w:tc>
        <w:tc>
          <w:tcPr>
            <w:tcW w:w="8168" w:type="dxa"/>
            <w:gridSpan w:val="2"/>
            <w:tcBorders>
              <w:top w:val="nil"/>
              <w:left w:val="nil"/>
              <w:bottom w:val="nil"/>
              <w:right w:val="nil"/>
            </w:tcBorders>
          </w:tcPr>
          <w:p w14:paraId="5300D90F"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ու դրա հսկողության նկարագրությունը </w:t>
            </w:r>
          </w:p>
        </w:tc>
      </w:tr>
      <w:tr w:rsidR="006F76EB" w:rsidRPr="00834D52" w14:paraId="667CD6A8" w14:textId="77777777" w:rsidTr="00F71229">
        <w:tc>
          <w:tcPr>
            <w:tcW w:w="1809" w:type="dxa"/>
            <w:tcBorders>
              <w:top w:val="nil"/>
              <w:left w:val="nil"/>
              <w:bottom w:val="nil"/>
              <w:right w:val="nil"/>
            </w:tcBorders>
          </w:tcPr>
          <w:p w14:paraId="5E96F0A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3.2.Р.3.4.</w:t>
            </w:r>
          </w:p>
        </w:tc>
        <w:tc>
          <w:tcPr>
            <w:tcW w:w="8168" w:type="dxa"/>
            <w:gridSpan w:val="2"/>
            <w:tcBorders>
              <w:top w:val="nil"/>
              <w:left w:val="nil"/>
              <w:bottom w:val="nil"/>
              <w:right w:val="nil"/>
            </w:tcBorders>
          </w:tcPr>
          <w:p w14:paraId="5F9B5E48"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Կրիտիկական փուլերի </w:t>
            </w:r>
            <w:r w:rsidR="00C54D75">
              <w:rPr>
                <w:rFonts w:ascii="Sylfaen" w:hAnsi="Sylfaen"/>
                <w:sz w:val="24"/>
                <w:szCs w:val="24"/>
              </w:rPr>
              <w:t>և</w:t>
            </w:r>
            <w:r w:rsidRPr="00834D52">
              <w:rPr>
                <w:rFonts w:ascii="Sylfaen" w:hAnsi="Sylfaen"/>
                <w:sz w:val="24"/>
                <w:szCs w:val="24"/>
              </w:rPr>
              <w:t xml:space="preserve"> միջանկյալ արտադրանքի հսկողությունը</w:t>
            </w:r>
          </w:p>
        </w:tc>
      </w:tr>
      <w:tr w:rsidR="006F76EB" w:rsidRPr="00834D52" w14:paraId="72FA57D8" w14:textId="77777777" w:rsidTr="00F71229">
        <w:tc>
          <w:tcPr>
            <w:tcW w:w="1809" w:type="dxa"/>
            <w:tcBorders>
              <w:top w:val="nil"/>
              <w:left w:val="nil"/>
              <w:bottom w:val="nil"/>
              <w:right w:val="nil"/>
            </w:tcBorders>
          </w:tcPr>
          <w:p w14:paraId="5E43D77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3.2.Р.3.5.</w:t>
            </w:r>
          </w:p>
        </w:tc>
        <w:tc>
          <w:tcPr>
            <w:tcW w:w="8168" w:type="dxa"/>
            <w:gridSpan w:val="2"/>
            <w:tcBorders>
              <w:top w:val="nil"/>
              <w:left w:val="nil"/>
              <w:bottom w:val="nil"/>
              <w:right w:val="nil"/>
            </w:tcBorders>
          </w:tcPr>
          <w:p w14:paraId="6BAD509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վալիդացումը </w:t>
            </w:r>
            <w:r w:rsidR="00C54D75">
              <w:rPr>
                <w:rFonts w:ascii="Sylfaen" w:hAnsi="Sylfaen"/>
                <w:sz w:val="24"/>
                <w:szCs w:val="24"/>
              </w:rPr>
              <w:t>և</w:t>
            </w:r>
            <w:r w:rsidRPr="00834D52">
              <w:rPr>
                <w:rFonts w:ascii="Sylfaen" w:hAnsi="Sylfaen"/>
                <w:sz w:val="24"/>
                <w:szCs w:val="24"/>
              </w:rPr>
              <w:t xml:space="preserve"> (կամ) գնահատումը</w:t>
            </w:r>
          </w:p>
        </w:tc>
      </w:tr>
      <w:tr w:rsidR="006F76EB" w:rsidRPr="00834D52" w14:paraId="66991603" w14:textId="77777777" w:rsidTr="00F71229">
        <w:tc>
          <w:tcPr>
            <w:tcW w:w="1809" w:type="dxa"/>
            <w:tcBorders>
              <w:top w:val="nil"/>
              <w:left w:val="nil"/>
              <w:bottom w:val="nil"/>
              <w:right w:val="nil"/>
            </w:tcBorders>
          </w:tcPr>
          <w:p w14:paraId="0908FE5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w:t>
            </w:r>
          </w:p>
        </w:tc>
        <w:tc>
          <w:tcPr>
            <w:tcW w:w="8168" w:type="dxa"/>
            <w:gridSpan w:val="2"/>
            <w:tcBorders>
              <w:top w:val="nil"/>
              <w:left w:val="nil"/>
              <w:bottom w:val="nil"/>
              <w:right w:val="nil"/>
            </w:tcBorders>
          </w:tcPr>
          <w:p w14:paraId="3911453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Օժանդակ նյութերի որակի հսկողությունը</w:t>
            </w:r>
          </w:p>
        </w:tc>
      </w:tr>
      <w:tr w:rsidR="006F76EB" w:rsidRPr="00834D52" w14:paraId="405274CF" w14:textId="77777777" w:rsidTr="00F71229">
        <w:tc>
          <w:tcPr>
            <w:tcW w:w="1809" w:type="dxa"/>
            <w:tcBorders>
              <w:top w:val="nil"/>
              <w:left w:val="nil"/>
              <w:bottom w:val="nil"/>
              <w:right w:val="nil"/>
            </w:tcBorders>
          </w:tcPr>
          <w:p w14:paraId="19EE52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3.2.Р.4.1.</w:t>
            </w:r>
          </w:p>
        </w:tc>
        <w:tc>
          <w:tcPr>
            <w:tcW w:w="8168" w:type="dxa"/>
            <w:gridSpan w:val="2"/>
            <w:tcBorders>
              <w:top w:val="nil"/>
              <w:left w:val="nil"/>
              <w:bottom w:val="nil"/>
              <w:right w:val="nil"/>
            </w:tcBorders>
          </w:tcPr>
          <w:p w14:paraId="66DCD13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Մասնագրերը</w:t>
            </w:r>
          </w:p>
        </w:tc>
      </w:tr>
      <w:tr w:rsidR="006F76EB" w:rsidRPr="00834D52" w14:paraId="01B43DFD" w14:textId="77777777" w:rsidTr="00F71229">
        <w:tc>
          <w:tcPr>
            <w:tcW w:w="1809" w:type="dxa"/>
            <w:tcBorders>
              <w:top w:val="nil"/>
              <w:left w:val="nil"/>
              <w:bottom w:val="nil"/>
              <w:right w:val="nil"/>
            </w:tcBorders>
          </w:tcPr>
          <w:p w14:paraId="3657F68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3.2.Р.4.2.</w:t>
            </w:r>
          </w:p>
        </w:tc>
        <w:tc>
          <w:tcPr>
            <w:tcW w:w="8168" w:type="dxa"/>
            <w:gridSpan w:val="2"/>
            <w:tcBorders>
              <w:top w:val="nil"/>
              <w:left w:val="nil"/>
              <w:bottom w:val="nil"/>
              <w:right w:val="nil"/>
            </w:tcBorders>
          </w:tcPr>
          <w:p w14:paraId="67995DE6"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մեթոդիկաները</w:t>
            </w:r>
          </w:p>
        </w:tc>
      </w:tr>
      <w:tr w:rsidR="006F76EB" w:rsidRPr="00834D52" w14:paraId="2F288EF7" w14:textId="77777777" w:rsidTr="00F71229">
        <w:tc>
          <w:tcPr>
            <w:tcW w:w="1809" w:type="dxa"/>
            <w:tcBorders>
              <w:top w:val="nil"/>
              <w:left w:val="nil"/>
              <w:bottom w:val="nil"/>
              <w:right w:val="nil"/>
            </w:tcBorders>
          </w:tcPr>
          <w:p w14:paraId="7ABAC8E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3.2.Р.4.3.</w:t>
            </w:r>
          </w:p>
        </w:tc>
        <w:tc>
          <w:tcPr>
            <w:tcW w:w="8168" w:type="dxa"/>
            <w:gridSpan w:val="2"/>
            <w:tcBorders>
              <w:top w:val="nil"/>
              <w:left w:val="nil"/>
              <w:bottom w:val="nil"/>
              <w:right w:val="nil"/>
            </w:tcBorders>
          </w:tcPr>
          <w:p w14:paraId="6ABB513D"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35A5B3EE" w14:textId="77777777" w:rsidTr="00F71229">
        <w:tc>
          <w:tcPr>
            <w:tcW w:w="1809" w:type="dxa"/>
            <w:tcBorders>
              <w:top w:val="nil"/>
              <w:left w:val="nil"/>
              <w:bottom w:val="nil"/>
              <w:right w:val="nil"/>
            </w:tcBorders>
          </w:tcPr>
          <w:p w14:paraId="4201729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3.2.Р.4.4.</w:t>
            </w:r>
          </w:p>
        </w:tc>
        <w:tc>
          <w:tcPr>
            <w:tcW w:w="8168" w:type="dxa"/>
            <w:gridSpan w:val="2"/>
            <w:tcBorders>
              <w:top w:val="nil"/>
              <w:left w:val="nil"/>
              <w:bottom w:val="nil"/>
              <w:right w:val="nil"/>
            </w:tcBorders>
          </w:tcPr>
          <w:p w14:paraId="4C961B6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Մասնագրերի հիմնավորումը</w:t>
            </w:r>
          </w:p>
        </w:tc>
      </w:tr>
      <w:tr w:rsidR="006F76EB" w:rsidRPr="00834D52" w14:paraId="7B9DC562" w14:textId="77777777" w:rsidTr="00F71229">
        <w:tc>
          <w:tcPr>
            <w:tcW w:w="1809" w:type="dxa"/>
            <w:tcBorders>
              <w:top w:val="nil"/>
              <w:left w:val="nil"/>
              <w:bottom w:val="nil"/>
              <w:right w:val="nil"/>
            </w:tcBorders>
          </w:tcPr>
          <w:p w14:paraId="30F47AD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3.2.Р.4.5.</w:t>
            </w:r>
          </w:p>
        </w:tc>
        <w:tc>
          <w:tcPr>
            <w:tcW w:w="8168" w:type="dxa"/>
            <w:gridSpan w:val="2"/>
            <w:tcBorders>
              <w:top w:val="nil"/>
              <w:left w:val="nil"/>
              <w:bottom w:val="nil"/>
              <w:right w:val="nil"/>
            </w:tcBorders>
          </w:tcPr>
          <w:p w14:paraId="2E187719"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Մարդկային </w:t>
            </w:r>
            <w:r w:rsidR="00C54D75">
              <w:rPr>
                <w:rFonts w:ascii="Sylfaen" w:hAnsi="Sylfaen"/>
                <w:sz w:val="24"/>
                <w:szCs w:val="24"/>
              </w:rPr>
              <w:t>և</w:t>
            </w:r>
            <w:r w:rsidRPr="00834D52">
              <w:rPr>
                <w:rFonts w:ascii="Sylfaen" w:hAnsi="Sylfaen"/>
                <w:sz w:val="24"/>
                <w:szCs w:val="24"/>
              </w:rPr>
              <w:t xml:space="preserve"> կենդանական ծագման օժանդակ նյութերը</w:t>
            </w:r>
          </w:p>
        </w:tc>
      </w:tr>
      <w:tr w:rsidR="006F76EB" w:rsidRPr="00834D52" w14:paraId="4981F7F3" w14:textId="77777777" w:rsidTr="00F71229">
        <w:tc>
          <w:tcPr>
            <w:tcW w:w="1809" w:type="dxa"/>
            <w:tcBorders>
              <w:top w:val="nil"/>
              <w:left w:val="nil"/>
              <w:bottom w:val="nil"/>
              <w:right w:val="nil"/>
            </w:tcBorders>
          </w:tcPr>
          <w:p w14:paraId="6EAA2F7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3.2.Р.4.6.</w:t>
            </w:r>
          </w:p>
        </w:tc>
        <w:tc>
          <w:tcPr>
            <w:tcW w:w="8168" w:type="dxa"/>
            <w:gridSpan w:val="2"/>
            <w:tcBorders>
              <w:top w:val="nil"/>
              <w:left w:val="nil"/>
              <w:bottom w:val="nil"/>
              <w:right w:val="nil"/>
            </w:tcBorders>
          </w:tcPr>
          <w:p w14:paraId="11ECEE6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Նոր օժանդակ նյութեր</w:t>
            </w:r>
          </w:p>
        </w:tc>
      </w:tr>
      <w:tr w:rsidR="006F76EB" w:rsidRPr="00834D52" w14:paraId="619B2C87" w14:textId="77777777" w:rsidTr="00F71229">
        <w:tc>
          <w:tcPr>
            <w:tcW w:w="1809" w:type="dxa"/>
            <w:tcBorders>
              <w:top w:val="nil"/>
              <w:left w:val="nil"/>
              <w:bottom w:val="nil"/>
              <w:right w:val="nil"/>
            </w:tcBorders>
          </w:tcPr>
          <w:p w14:paraId="1A11F0A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w:t>
            </w:r>
          </w:p>
        </w:tc>
        <w:tc>
          <w:tcPr>
            <w:tcW w:w="8168" w:type="dxa"/>
            <w:gridSpan w:val="2"/>
            <w:tcBorders>
              <w:top w:val="nil"/>
              <w:left w:val="nil"/>
              <w:bottom w:val="nil"/>
              <w:right w:val="nil"/>
            </w:tcBorders>
          </w:tcPr>
          <w:p w14:paraId="3D4A2C8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Դեղապատրաստուկի որակի հսկողությունը</w:t>
            </w:r>
          </w:p>
        </w:tc>
      </w:tr>
      <w:tr w:rsidR="006F76EB" w:rsidRPr="00834D52" w14:paraId="26AABAD6" w14:textId="77777777" w:rsidTr="00F71229">
        <w:tc>
          <w:tcPr>
            <w:tcW w:w="1809" w:type="dxa"/>
            <w:tcBorders>
              <w:top w:val="nil"/>
              <w:left w:val="nil"/>
              <w:bottom w:val="nil"/>
              <w:right w:val="nil"/>
            </w:tcBorders>
          </w:tcPr>
          <w:p w14:paraId="1908300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3.2.Р.5.1.</w:t>
            </w:r>
          </w:p>
        </w:tc>
        <w:tc>
          <w:tcPr>
            <w:tcW w:w="8168" w:type="dxa"/>
            <w:gridSpan w:val="2"/>
            <w:tcBorders>
              <w:top w:val="nil"/>
              <w:left w:val="nil"/>
              <w:bottom w:val="nil"/>
              <w:right w:val="nil"/>
            </w:tcBorders>
          </w:tcPr>
          <w:p w14:paraId="6A2849F9"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Մասնագրերը</w:t>
            </w:r>
          </w:p>
        </w:tc>
      </w:tr>
      <w:tr w:rsidR="006F76EB" w:rsidRPr="00834D52" w14:paraId="78024762" w14:textId="77777777" w:rsidTr="00F71229">
        <w:tc>
          <w:tcPr>
            <w:tcW w:w="1809" w:type="dxa"/>
            <w:tcBorders>
              <w:top w:val="nil"/>
              <w:left w:val="nil"/>
              <w:bottom w:val="nil"/>
              <w:right w:val="nil"/>
            </w:tcBorders>
          </w:tcPr>
          <w:p w14:paraId="7ECE745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3.2.Р.5.2.</w:t>
            </w:r>
          </w:p>
        </w:tc>
        <w:tc>
          <w:tcPr>
            <w:tcW w:w="8168" w:type="dxa"/>
            <w:gridSpan w:val="2"/>
            <w:tcBorders>
              <w:top w:val="nil"/>
              <w:left w:val="nil"/>
              <w:bottom w:val="nil"/>
              <w:right w:val="nil"/>
            </w:tcBorders>
          </w:tcPr>
          <w:p w14:paraId="5152FEB5"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Վերլուծական մեթոդիկաները։ Եվրասիական տնտեսական հանձնաժողովի կողմից հաստատվող հանձնարարականներին համապատասխան նախապատրաստված՝ որակի վերաբերյալ նորմատիվ փաստաթղթի նախագիծը</w:t>
            </w:r>
            <w:r w:rsidRPr="00834D52">
              <w:rPr>
                <w:rStyle w:val="FootnoteReference"/>
                <w:rFonts w:ascii="Sylfaen" w:hAnsi="Sylfaen"/>
                <w:sz w:val="24"/>
                <w:szCs w:val="24"/>
              </w:rPr>
              <w:footnoteReference w:customMarkFollows="1" w:id="27"/>
              <w:t>***</w:t>
            </w:r>
          </w:p>
        </w:tc>
      </w:tr>
      <w:tr w:rsidR="006F76EB" w:rsidRPr="00834D52" w14:paraId="51358E66" w14:textId="77777777" w:rsidTr="00F71229">
        <w:tc>
          <w:tcPr>
            <w:tcW w:w="1809" w:type="dxa"/>
            <w:tcBorders>
              <w:top w:val="nil"/>
              <w:left w:val="nil"/>
              <w:bottom w:val="nil"/>
              <w:right w:val="nil"/>
            </w:tcBorders>
          </w:tcPr>
          <w:p w14:paraId="0A796E7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3.2.Р.5.3.</w:t>
            </w:r>
          </w:p>
        </w:tc>
        <w:tc>
          <w:tcPr>
            <w:tcW w:w="8168" w:type="dxa"/>
            <w:gridSpan w:val="2"/>
            <w:tcBorders>
              <w:top w:val="nil"/>
              <w:left w:val="nil"/>
              <w:bottom w:val="nil"/>
              <w:right w:val="nil"/>
            </w:tcBorders>
          </w:tcPr>
          <w:p w14:paraId="6F8EB7F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4BEB50AC" w14:textId="77777777" w:rsidTr="00F71229">
        <w:tc>
          <w:tcPr>
            <w:tcW w:w="1809" w:type="dxa"/>
            <w:tcBorders>
              <w:top w:val="nil"/>
              <w:left w:val="nil"/>
              <w:bottom w:val="nil"/>
              <w:right w:val="nil"/>
            </w:tcBorders>
          </w:tcPr>
          <w:p w14:paraId="0EA4B41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3.2.Р.5.4.</w:t>
            </w:r>
          </w:p>
        </w:tc>
        <w:tc>
          <w:tcPr>
            <w:tcW w:w="8168" w:type="dxa"/>
            <w:gridSpan w:val="2"/>
            <w:tcBorders>
              <w:top w:val="nil"/>
              <w:left w:val="nil"/>
              <w:bottom w:val="nil"/>
              <w:right w:val="nil"/>
            </w:tcBorders>
          </w:tcPr>
          <w:p w14:paraId="5F9E0323"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Սերիաների վերլուծության արդյունքները</w:t>
            </w:r>
          </w:p>
        </w:tc>
      </w:tr>
      <w:tr w:rsidR="006F76EB" w:rsidRPr="00834D52" w14:paraId="1AB89300" w14:textId="77777777" w:rsidTr="00F71229">
        <w:tc>
          <w:tcPr>
            <w:tcW w:w="1809" w:type="dxa"/>
            <w:tcBorders>
              <w:top w:val="nil"/>
              <w:left w:val="nil"/>
              <w:bottom w:val="nil"/>
              <w:right w:val="nil"/>
            </w:tcBorders>
          </w:tcPr>
          <w:p w14:paraId="1D82B31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3.2.Р.5.5.</w:t>
            </w:r>
          </w:p>
        </w:tc>
        <w:tc>
          <w:tcPr>
            <w:tcW w:w="8168" w:type="dxa"/>
            <w:gridSpan w:val="2"/>
            <w:tcBorders>
              <w:top w:val="nil"/>
              <w:left w:val="nil"/>
              <w:bottom w:val="nil"/>
              <w:right w:val="nil"/>
            </w:tcBorders>
          </w:tcPr>
          <w:p w14:paraId="3A1D8D0A"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Խառնուկների բնութագիրը</w:t>
            </w:r>
          </w:p>
        </w:tc>
      </w:tr>
      <w:tr w:rsidR="006F76EB" w:rsidRPr="00834D52" w14:paraId="0B07D163" w14:textId="77777777" w:rsidTr="00F71229">
        <w:tc>
          <w:tcPr>
            <w:tcW w:w="1809" w:type="dxa"/>
            <w:tcBorders>
              <w:top w:val="nil"/>
              <w:left w:val="nil"/>
              <w:bottom w:val="nil"/>
              <w:right w:val="nil"/>
            </w:tcBorders>
          </w:tcPr>
          <w:p w14:paraId="35EC1CB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3.2.Р.5.6.</w:t>
            </w:r>
          </w:p>
        </w:tc>
        <w:tc>
          <w:tcPr>
            <w:tcW w:w="8168" w:type="dxa"/>
            <w:gridSpan w:val="2"/>
            <w:tcBorders>
              <w:top w:val="nil"/>
              <w:left w:val="nil"/>
              <w:bottom w:val="nil"/>
              <w:right w:val="nil"/>
            </w:tcBorders>
          </w:tcPr>
          <w:p w14:paraId="3E16C81D"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Մասնագրերի հիմնավորումները</w:t>
            </w:r>
          </w:p>
        </w:tc>
      </w:tr>
      <w:tr w:rsidR="006F76EB" w:rsidRPr="00834D52" w14:paraId="2149E725" w14:textId="77777777" w:rsidTr="00F71229">
        <w:tc>
          <w:tcPr>
            <w:tcW w:w="1809" w:type="dxa"/>
            <w:tcBorders>
              <w:top w:val="nil"/>
              <w:left w:val="nil"/>
              <w:bottom w:val="nil"/>
              <w:right w:val="nil"/>
            </w:tcBorders>
          </w:tcPr>
          <w:p w14:paraId="45F8761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3.2.Р.6.</w:t>
            </w:r>
          </w:p>
        </w:tc>
        <w:tc>
          <w:tcPr>
            <w:tcW w:w="8168" w:type="dxa"/>
            <w:gridSpan w:val="2"/>
            <w:tcBorders>
              <w:top w:val="nil"/>
              <w:left w:val="nil"/>
              <w:bottom w:val="nil"/>
              <w:right w:val="nil"/>
            </w:tcBorders>
          </w:tcPr>
          <w:p w14:paraId="67D63F5E"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tc>
      </w:tr>
      <w:tr w:rsidR="006F76EB" w:rsidRPr="00834D52" w14:paraId="632B4915" w14:textId="77777777" w:rsidTr="00F71229">
        <w:tc>
          <w:tcPr>
            <w:tcW w:w="1809" w:type="dxa"/>
            <w:tcBorders>
              <w:top w:val="nil"/>
              <w:left w:val="nil"/>
              <w:bottom w:val="nil"/>
              <w:right w:val="nil"/>
            </w:tcBorders>
          </w:tcPr>
          <w:p w14:paraId="2B3542C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3.2.Р.7.</w:t>
            </w:r>
          </w:p>
        </w:tc>
        <w:tc>
          <w:tcPr>
            <w:tcW w:w="8168" w:type="dxa"/>
            <w:gridSpan w:val="2"/>
            <w:tcBorders>
              <w:top w:val="nil"/>
              <w:left w:val="nil"/>
              <w:bottom w:val="nil"/>
              <w:right w:val="nil"/>
            </w:tcBorders>
          </w:tcPr>
          <w:p w14:paraId="3550431C"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75B51C80" w14:textId="77777777" w:rsidTr="00F71229">
        <w:tc>
          <w:tcPr>
            <w:tcW w:w="1809" w:type="dxa"/>
            <w:tcBorders>
              <w:top w:val="nil"/>
              <w:left w:val="nil"/>
              <w:bottom w:val="nil"/>
              <w:right w:val="nil"/>
            </w:tcBorders>
          </w:tcPr>
          <w:p w14:paraId="0E9FA88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w:t>
            </w:r>
          </w:p>
        </w:tc>
        <w:tc>
          <w:tcPr>
            <w:tcW w:w="8168" w:type="dxa"/>
            <w:gridSpan w:val="2"/>
            <w:tcBorders>
              <w:top w:val="nil"/>
              <w:left w:val="nil"/>
              <w:bottom w:val="nil"/>
              <w:right w:val="nil"/>
            </w:tcBorders>
          </w:tcPr>
          <w:p w14:paraId="1E106310"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Դեղապատրաստուկի կայունությունը</w:t>
            </w:r>
          </w:p>
        </w:tc>
      </w:tr>
      <w:tr w:rsidR="006F76EB" w:rsidRPr="00834D52" w14:paraId="16084DF8" w14:textId="77777777" w:rsidTr="00F71229">
        <w:tc>
          <w:tcPr>
            <w:tcW w:w="1809" w:type="dxa"/>
            <w:tcBorders>
              <w:top w:val="nil"/>
              <w:left w:val="nil"/>
              <w:bottom w:val="nil"/>
              <w:right w:val="nil"/>
            </w:tcBorders>
          </w:tcPr>
          <w:p w14:paraId="4013437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3.2.Р.8.1.</w:t>
            </w:r>
          </w:p>
        </w:tc>
        <w:tc>
          <w:tcPr>
            <w:tcW w:w="8168" w:type="dxa"/>
            <w:gridSpan w:val="2"/>
            <w:tcBorders>
              <w:top w:val="nil"/>
              <w:left w:val="nil"/>
              <w:bottom w:val="nil"/>
              <w:right w:val="nil"/>
            </w:tcBorders>
          </w:tcPr>
          <w:p w14:paraId="3E10653B" w14:textId="77777777" w:rsidR="006F76EB" w:rsidRPr="00834D52" w:rsidRDefault="006F76EB" w:rsidP="00607D50">
            <w:pPr>
              <w:spacing w:after="160" w:line="28" w:lineRule="atLeast"/>
              <w:ind w:right="-6"/>
              <w:jc w:val="both"/>
              <w:rPr>
                <w:rFonts w:ascii="Sylfaen" w:eastAsia="Times New Roman" w:hAnsi="Sylfaen" w:cs="Times New Roman"/>
                <w:sz w:val="24"/>
                <w:szCs w:val="24"/>
              </w:rPr>
            </w:pPr>
            <w:r w:rsidRPr="00834D52">
              <w:rPr>
                <w:rFonts w:ascii="Sylfaen" w:hAnsi="Sylfaen"/>
                <w:sz w:val="24"/>
                <w:szCs w:val="24"/>
              </w:rPr>
              <w:t xml:space="preserve">Կայունության փորձարկումների վերաբերյալ ռեզյումեն </w:t>
            </w:r>
            <w:r w:rsidR="00C54D75">
              <w:rPr>
                <w:rFonts w:ascii="Sylfaen" w:hAnsi="Sylfaen"/>
                <w:sz w:val="24"/>
                <w:szCs w:val="24"/>
              </w:rPr>
              <w:t>և</w:t>
            </w:r>
            <w:r w:rsidRPr="00834D52">
              <w:rPr>
                <w:rFonts w:ascii="Sylfaen" w:hAnsi="Sylfaen"/>
                <w:sz w:val="24"/>
                <w:szCs w:val="24"/>
              </w:rPr>
              <w:t xml:space="preserve"> կայունության վերաբերյալ եզրակացությունը**</w:t>
            </w:r>
          </w:p>
        </w:tc>
      </w:tr>
      <w:tr w:rsidR="006F76EB" w:rsidRPr="00834D52" w14:paraId="1B06F005" w14:textId="77777777" w:rsidTr="00F71229">
        <w:tc>
          <w:tcPr>
            <w:tcW w:w="1809" w:type="dxa"/>
            <w:tcBorders>
              <w:top w:val="nil"/>
              <w:left w:val="nil"/>
              <w:bottom w:val="nil"/>
              <w:right w:val="nil"/>
            </w:tcBorders>
          </w:tcPr>
          <w:p w14:paraId="57A3EC2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3.2.Р.8.2.</w:t>
            </w:r>
          </w:p>
        </w:tc>
        <w:tc>
          <w:tcPr>
            <w:tcW w:w="8168" w:type="dxa"/>
            <w:gridSpan w:val="2"/>
            <w:tcBorders>
              <w:top w:val="nil"/>
              <w:left w:val="nil"/>
              <w:bottom w:val="nil"/>
              <w:right w:val="nil"/>
            </w:tcBorders>
          </w:tcPr>
          <w:p w14:paraId="46A74B77" w14:textId="77777777" w:rsidR="006F76EB" w:rsidRPr="00834D52" w:rsidRDefault="006F76EB" w:rsidP="00607D50">
            <w:pPr>
              <w:spacing w:after="160" w:line="28" w:lineRule="atLeast"/>
              <w:ind w:right="-6"/>
              <w:jc w:val="both"/>
              <w:rPr>
                <w:rFonts w:ascii="Sylfaen" w:eastAsia="Times New Roman" w:hAnsi="Sylfaen" w:cs="Times New Roman"/>
                <w:sz w:val="24"/>
                <w:szCs w:val="24"/>
              </w:rPr>
            </w:pPr>
            <w:r w:rsidRPr="00834D52">
              <w:rPr>
                <w:rFonts w:ascii="Sylfaen" w:hAnsi="Sylfaen"/>
                <w:sz w:val="24"/>
                <w:szCs w:val="24"/>
              </w:rPr>
              <w:t xml:space="preserve">Կայունության հետգրանցումային փորձարկումների ծրագիրը </w:t>
            </w:r>
            <w:r w:rsidR="00C54D75">
              <w:rPr>
                <w:rFonts w:ascii="Sylfaen" w:hAnsi="Sylfaen"/>
                <w:sz w:val="24"/>
                <w:szCs w:val="24"/>
              </w:rPr>
              <w:t>և</w:t>
            </w:r>
            <w:r w:rsidRPr="00834D52">
              <w:rPr>
                <w:rFonts w:ascii="Sylfaen" w:hAnsi="Sylfaen"/>
                <w:sz w:val="24"/>
                <w:szCs w:val="24"/>
              </w:rPr>
              <w:t xml:space="preserve"> կայունության ուսումնասիրությանը վերաբերող պարտավորությունները</w:t>
            </w:r>
          </w:p>
        </w:tc>
      </w:tr>
      <w:tr w:rsidR="006F76EB" w:rsidRPr="00834D52" w14:paraId="2DE4174D" w14:textId="77777777" w:rsidTr="00F71229">
        <w:tc>
          <w:tcPr>
            <w:tcW w:w="1809" w:type="dxa"/>
            <w:tcBorders>
              <w:top w:val="nil"/>
              <w:left w:val="nil"/>
              <w:bottom w:val="nil"/>
              <w:right w:val="nil"/>
            </w:tcBorders>
          </w:tcPr>
          <w:p w14:paraId="7432B6D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3.2.Р.8.3.</w:t>
            </w:r>
          </w:p>
        </w:tc>
        <w:tc>
          <w:tcPr>
            <w:tcW w:w="8168" w:type="dxa"/>
            <w:gridSpan w:val="2"/>
            <w:tcBorders>
              <w:top w:val="nil"/>
              <w:left w:val="nil"/>
              <w:bottom w:val="nil"/>
              <w:right w:val="nil"/>
            </w:tcBorders>
          </w:tcPr>
          <w:p w14:paraId="589D842A"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Կայունության փորձարկումների տվյալները</w:t>
            </w:r>
          </w:p>
        </w:tc>
      </w:tr>
      <w:tr w:rsidR="006F76EB" w:rsidRPr="00834D52" w14:paraId="7BB0BC38" w14:textId="77777777" w:rsidTr="00F71229">
        <w:tc>
          <w:tcPr>
            <w:tcW w:w="1809" w:type="dxa"/>
            <w:tcBorders>
              <w:top w:val="nil"/>
              <w:left w:val="nil"/>
              <w:bottom w:val="nil"/>
              <w:right w:val="nil"/>
            </w:tcBorders>
          </w:tcPr>
          <w:p w14:paraId="225EA8D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w:t>
            </w:r>
          </w:p>
        </w:tc>
        <w:tc>
          <w:tcPr>
            <w:tcW w:w="8168" w:type="dxa"/>
            <w:gridSpan w:val="2"/>
            <w:tcBorders>
              <w:top w:val="nil"/>
              <w:left w:val="nil"/>
              <w:bottom w:val="nil"/>
              <w:right w:val="nil"/>
            </w:tcBorders>
          </w:tcPr>
          <w:p w14:paraId="2480C921"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Լրացումները</w:t>
            </w:r>
          </w:p>
        </w:tc>
      </w:tr>
      <w:tr w:rsidR="006F76EB" w:rsidRPr="00834D52" w14:paraId="678BA7D9" w14:textId="77777777" w:rsidTr="00F71229">
        <w:tc>
          <w:tcPr>
            <w:tcW w:w="1809" w:type="dxa"/>
            <w:tcBorders>
              <w:top w:val="nil"/>
              <w:left w:val="nil"/>
              <w:bottom w:val="nil"/>
              <w:right w:val="nil"/>
            </w:tcBorders>
          </w:tcPr>
          <w:p w14:paraId="4631AA4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3.2.А.1.</w:t>
            </w:r>
          </w:p>
        </w:tc>
        <w:tc>
          <w:tcPr>
            <w:tcW w:w="8168" w:type="dxa"/>
            <w:gridSpan w:val="2"/>
            <w:tcBorders>
              <w:top w:val="nil"/>
              <w:left w:val="nil"/>
              <w:bottom w:val="nil"/>
              <w:right w:val="nil"/>
            </w:tcBorders>
          </w:tcPr>
          <w:p w14:paraId="7A5D4777"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 xml:space="preserve">Արտադրական տարածքները </w:t>
            </w:r>
            <w:r w:rsidR="00C54D75">
              <w:rPr>
                <w:rFonts w:ascii="Sylfaen" w:hAnsi="Sylfaen"/>
                <w:sz w:val="24"/>
                <w:szCs w:val="24"/>
              </w:rPr>
              <w:t>և</w:t>
            </w:r>
            <w:r w:rsidRPr="00834D52">
              <w:rPr>
                <w:rFonts w:ascii="Sylfaen" w:hAnsi="Sylfaen"/>
                <w:sz w:val="24"/>
                <w:szCs w:val="24"/>
              </w:rPr>
              <w:t xml:space="preserve"> սարքավորումները</w:t>
            </w:r>
          </w:p>
        </w:tc>
      </w:tr>
      <w:tr w:rsidR="006F76EB" w:rsidRPr="00834D52" w14:paraId="03CAEDC7" w14:textId="77777777" w:rsidTr="00F71229">
        <w:tc>
          <w:tcPr>
            <w:tcW w:w="1809" w:type="dxa"/>
            <w:tcBorders>
              <w:top w:val="nil"/>
              <w:left w:val="nil"/>
              <w:bottom w:val="nil"/>
              <w:right w:val="nil"/>
            </w:tcBorders>
          </w:tcPr>
          <w:p w14:paraId="73B3275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3.2.А.2.</w:t>
            </w:r>
          </w:p>
        </w:tc>
        <w:tc>
          <w:tcPr>
            <w:tcW w:w="8168" w:type="dxa"/>
            <w:gridSpan w:val="2"/>
            <w:tcBorders>
              <w:top w:val="nil"/>
              <w:left w:val="nil"/>
              <w:bottom w:val="nil"/>
              <w:right w:val="nil"/>
            </w:tcBorders>
          </w:tcPr>
          <w:p w14:paraId="3AF929F2"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Կողմնակի ագենտների մասով անվտանգության գնահատումը</w:t>
            </w:r>
          </w:p>
        </w:tc>
      </w:tr>
      <w:tr w:rsidR="006F76EB" w:rsidRPr="00834D52" w14:paraId="38E65899" w14:textId="77777777" w:rsidTr="00F71229">
        <w:tc>
          <w:tcPr>
            <w:tcW w:w="1809" w:type="dxa"/>
            <w:tcBorders>
              <w:top w:val="nil"/>
              <w:left w:val="nil"/>
              <w:bottom w:val="nil"/>
              <w:right w:val="nil"/>
            </w:tcBorders>
          </w:tcPr>
          <w:p w14:paraId="1B109C00"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3.2.А.3.</w:t>
            </w:r>
          </w:p>
        </w:tc>
        <w:tc>
          <w:tcPr>
            <w:tcW w:w="8168" w:type="dxa"/>
            <w:gridSpan w:val="2"/>
            <w:tcBorders>
              <w:top w:val="nil"/>
              <w:left w:val="nil"/>
              <w:bottom w:val="nil"/>
              <w:right w:val="nil"/>
            </w:tcBorders>
          </w:tcPr>
          <w:p w14:paraId="673D620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Նոր օժանդակ նյութեր</w:t>
            </w:r>
          </w:p>
        </w:tc>
      </w:tr>
      <w:tr w:rsidR="006F76EB" w:rsidRPr="00834D52" w14:paraId="1875F1FF" w14:textId="77777777" w:rsidTr="00F71229">
        <w:tc>
          <w:tcPr>
            <w:tcW w:w="1809" w:type="dxa"/>
            <w:tcBorders>
              <w:top w:val="nil"/>
              <w:left w:val="nil"/>
              <w:bottom w:val="nil"/>
              <w:right w:val="nil"/>
            </w:tcBorders>
          </w:tcPr>
          <w:p w14:paraId="63E2AB23" w14:textId="77777777" w:rsidR="006F76EB" w:rsidRDefault="006F76EB" w:rsidP="00607D50">
            <w:pPr>
              <w:spacing w:after="160" w:line="28" w:lineRule="atLeast"/>
              <w:ind w:right="-8"/>
              <w:jc w:val="center"/>
              <w:rPr>
                <w:rFonts w:ascii="Sylfaen" w:hAnsi="Sylfaen"/>
                <w:sz w:val="24"/>
                <w:szCs w:val="24"/>
              </w:rPr>
            </w:pPr>
            <w:r w:rsidRPr="00834D52">
              <w:rPr>
                <w:rFonts w:ascii="Sylfaen" w:hAnsi="Sylfaen"/>
                <w:sz w:val="24"/>
                <w:szCs w:val="24"/>
              </w:rPr>
              <w:t>3.2.R.</w:t>
            </w:r>
          </w:p>
          <w:p w14:paraId="57E1ABC8" w14:textId="77777777" w:rsidR="004261B1" w:rsidRDefault="004261B1" w:rsidP="004261B1">
            <w:pPr>
              <w:rPr>
                <w:sz w:val="21"/>
                <w:szCs w:val="21"/>
              </w:rPr>
            </w:pPr>
            <w:r>
              <w:rPr>
                <w:sz w:val="21"/>
                <w:szCs w:val="21"/>
              </w:rPr>
              <w:t xml:space="preserve">          </w:t>
            </w:r>
            <w:r>
              <w:rPr>
                <w:rFonts w:ascii="Arial Unicode" w:hAnsi="Arial Unicode"/>
                <w:sz w:val="21"/>
                <w:szCs w:val="21"/>
              </w:rPr>
              <w:t>3.2.R.1</w:t>
            </w:r>
          </w:p>
          <w:p w14:paraId="77E1A5F1" w14:textId="283016A6" w:rsidR="004261B1" w:rsidRPr="004261B1" w:rsidRDefault="004261B1" w:rsidP="004261B1">
            <w:pPr>
              <w:jc w:val="both"/>
              <w:rPr>
                <w:rFonts w:eastAsia="Times New Roman" w:cs="Times New Roman"/>
                <w:sz w:val="24"/>
                <w:szCs w:val="24"/>
              </w:rPr>
            </w:pPr>
            <w:r>
              <w:rPr>
                <w:sz w:val="21"/>
                <w:szCs w:val="21"/>
              </w:rPr>
              <w:t xml:space="preserve"> </w:t>
            </w:r>
          </w:p>
        </w:tc>
        <w:tc>
          <w:tcPr>
            <w:tcW w:w="8168" w:type="dxa"/>
            <w:gridSpan w:val="2"/>
            <w:tcBorders>
              <w:top w:val="nil"/>
              <w:left w:val="nil"/>
              <w:bottom w:val="nil"/>
              <w:right w:val="nil"/>
            </w:tcBorders>
          </w:tcPr>
          <w:p w14:paraId="084ABA9E" w14:textId="77777777" w:rsidR="006F76EB" w:rsidRDefault="006F76EB" w:rsidP="00607D50">
            <w:pPr>
              <w:spacing w:after="160" w:line="28" w:lineRule="atLeast"/>
              <w:ind w:right="-8"/>
              <w:rPr>
                <w:rFonts w:ascii="Sylfaen" w:hAnsi="Sylfaen"/>
                <w:sz w:val="24"/>
                <w:szCs w:val="24"/>
              </w:rPr>
            </w:pPr>
            <w:r w:rsidRPr="00834D52">
              <w:rPr>
                <w:rFonts w:ascii="Sylfaen" w:hAnsi="Sylfaen"/>
                <w:sz w:val="24"/>
                <w:szCs w:val="24"/>
              </w:rPr>
              <w:t>Տարածաշրջանային տեղեկատվություն</w:t>
            </w:r>
          </w:p>
          <w:p w14:paraId="0BAB9403" w14:textId="77777777" w:rsidR="004261B1" w:rsidRPr="00882F17" w:rsidRDefault="004261B1" w:rsidP="00607D50">
            <w:pPr>
              <w:spacing w:after="160" w:line="28" w:lineRule="atLeast"/>
              <w:ind w:right="-8"/>
              <w:rPr>
                <w:rFonts w:ascii="Sylfaen" w:eastAsia="Times New Roman" w:hAnsi="Sylfaen" w:cs="Times New Roman"/>
                <w:b/>
                <w:bCs/>
                <w:i/>
                <w:iCs/>
                <w:sz w:val="24"/>
                <w:szCs w:val="24"/>
              </w:rPr>
            </w:pPr>
            <w:r w:rsidRPr="00882F17">
              <w:rPr>
                <w:rFonts w:ascii="Sylfaen" w:eastAsia="Times New Roman" w:hAnsi="Sylfaen" w:cs="Times New Roman"/>
                <w:b/>
                <w:bCs/>
                <w:i/>
                <w:iCs/>
                <w:sz w:val="24"/>
                <w:szCs w:val="24"/>
              </w:rPr>
              <w:t>(</w:t>
            </w:r>
            <w:r w:rsidRPr="004261B1">
              <w:rPr>
                <w:rFonts w:ascii="Sylfaen" w:eastAsia="Times New Roman" w:hAnsi="Sylfaen" w:cs="Times New Roman"/>
                <w:b/>
                <w:bCs/>
                <w:i/>
                <w:iCs/>
                <w:sz w:val="24"/>
                <w:szCs w:val="24"/>
              </w:rPr>
              <w:t>դիրքը հանվել է 17.03.22 թիվ 36</w:t>
            </w:r>
            <w:r w:rsidRPr="00882F17">
              <w:rPr>
                <w:rFonts w:ascii="Sylfaen" w:eastAsia="Times New Roman" w:hAnsi="Sylfaen" w:cs="Times New Roman"/>
                <w:b/>
                <w:bCs/>
                <w:i/>
                <w:iCs/>
                <w:sz w:val="24"/>
                <w:szCs w:val="24"/>
              </w:rPr>
              <w:t>)</w:t>
            </w:r>
          </w:p>
          <w:p w14:paraId="043A32F8" w14:textId="77777777" w:rsidR="004261B1" w:rsidRDefault="004261B1" w:rsidP="00607D50">
            <w:pPr>
              <w:spacing w:after="160" w:line="28" w:lineRule="atLeast"/>
              <w:ind w:right="-8"/>
              <w:rPr>
                <w:sz w:val="21"/>
                <w:szCs w:val="21"/>
              </w:rPr>
            </w:pPr>
            <w:r>
              <w:rPr>
                <w:rFonts w:ascii="Arial Unicode" w:hAnsi="Arial Unicode"/>
                <w:sz w:val="21"/>
                <w:szCs w:val="21"/>
              </w:rPr>
              <w:t>3.2.R.2. Արտադրական գործընթացի վալիդացման պլան</w:t>
            </w:r>
          </w:p>
          <w:p w14:paraId="02221E6C" w14:textId="65AE8565" w:rsidR="004261B1" w:rsidRPr="004261B1" w:rsidRDefault="004261B1" w:rsidP="004261B1">
            <w:pPr>
              <w:spacing w:after="160" w:line="28" w:lineRule="atLeast"/>
              <w:ind w:right="-8"/>
              <w:rPr>
                <w:rFonts w:ascii="Sylfaen" w:eastAsia="Times New Roman" w:hAnsi="Sylfaen" w:cs="Times New Roman"/>
                <w:b/>
                <w:bCs/>
                <w:i/>
                <w:iCs/>
                <w:sz w:val="24"/>
                <w:szCs w:val="24"/>
              </w:rPr>
            </w:pPr>
            <w:r>
              <w:rPr>
                <w:rFonts w:ascii="Arial Unicode" w:hAnsi="Arial Unicode"/>
                <w:sz w:val="21"/>
                <w:szCs w:val="21"/>
              </w:rPr>
              <w:t xml:space="preserve">3.2.R.3, 3.2.R.4, 3.2.R.5 </w:t>
            </w:r>
            <w:r w:rsidRPr="004261B1">
              <w:rPr>
                <w:rFonts w:ascii="Sylfaen" w:eastAsia="Times New Roman" w:hAnsi="Sylfaen" w:cs="Times New Roman"/>
                <w:b/>
                <w:bCs/>
                <w:i/>
                <w:iCs/>
                <w:sz w:val="24"/>
                <w:szCs w:val="24"/>
              </w:rPr>
              <w:t>(դիրք</w:t>
            </w:r>
            <w:r>
              <w:rPr>
                <w:rFonts w:ascii="Sylfaen" w:eastAsia="Times New Roman" w:hAnsi="Sylfaen" w:cs="Times New Roman"/>
                <w:b/>
                <w:bCs/>
                <w:i/>
                <w:iCs/>
                <w:sz w:val="24"/>
                <w:szCs w:val="24"/>
              </w:rPr>
              <w:t>երը</w:t>
            </w:r>
            <w:r w:rsidRPr="004261B1">
              <w:rPr>
                <w:rFonts w:ascii="Sylfaen" w:eastAsia="Times New Roman" w:hAnsi="Sylfaen" w:cs="Times New Roman"/>
                <w:b/>
                <w:bCs/>
                <w:i/>
                <w:iCs/>
                <w:sz w:val="24"/>
                <w:szCs w:val="24"/>
              </w:rPr>
              <w:t xml:space="preserve"> հանվել </w:t>
            </w:r>
            <w:r>
              <w:rPr>
                <w:rFonts w:ascii="Sylfaen" w:eastAsia="Times New Roman" w:hAnsi="Sylfaen" w:cs="Times New Roman"/>
                <w:b/>
                <w:bCs/>
                <w:i/>
                <w:iCs/>
                <w:sz w:val="24"/>
                <w:szCs w:val="24"/>
              </w:rPr>
              <w:t>են</w:t>
            </w:r>
            <w:r w:rsidRPr="004261B1">
              <w:rPr>
                <w:rFonts w:ascii="Sylfaen" w:eastAsia="Times New Roman" w:hAnsi="Sylfaen" w:cs="Times New Roman"/>
                <w:b/>
                <w:bCs/>
                <w:i/>
                <w:iCs/>
                <w:sz w:val="24"/>
                <w:szCs w:val="24"/>
              </w:rPr>
              <w:t xml:space="preserve"> 17.03.22 թիվ 36)</w:t>
            </w:r>
          </w:p>
          <w:p w14:paraId="26A80FE1" w14:textId="71F5BCB8" w:rsidR="004261B1" w:rsidRPr="004261B1" w:rsidRDefault="004261B1" w:rsidP="00607D50">
            <w:pPr>
              <w:spacing w:after="160" w:line="28" w:lineRule="atLeast"/>
              <w:ind w:right="-8"/>
              <w:rPr>
                <w:rFonts w:eastAsia="Times New Roman" w:cs="Times New Roman"/>
                <w:b/>
                <w:bCs/>
                <w:i/>
                <w:iCs/>
                <w:sz w:val="24"/>
                <w:szCs w:val="24"/>
              </w:rPr>
            </w:pPr>
          </w:p>
        </w:tc>
      </w:tr>
      <w:tr w:rsidR="006F76EB" w:rsidRPr="00834D52" w14:paraId="081D4049" w14:textId="77777777" w:rsidTr="00F71229">
        <w:tc>
          <w:tcPr>
            <w:tcW w:w="1809" w:type="dxa"/>
            <w:tcBorders>
              <w:top w:val="nil"/>
              <w:left w:val="nil"/>
              <w:bottom w:val="single" w:sz="4" w:space="0" w:color="auto"/>
              <w:right w:val="nil"/>
            </w:tcBorders>
          </w:tcPr>
          <w:p w14:paraId="7FD1938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3.3.</w:t>
            </w:r>
          </w:p>
        </w:tc>
        <w:tc>
          <w:tcPr>
            <w:tcW w:w="8168" w:type="dxa"/>
            <w:gridSpan w:val="2"/>
            <w:tcBorders>
              <w:top w:val="nil"/>
              <w:left w:val="nil"/>
              <w:bottom w:val="single" w:sz="4" w:space="0" w:color="auto"/>
              <w:right w:val="nil"/>
            </w:tcBorders>
          </w:tcPr>
          <w:p w14:paraId="2614D432"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r w:rsidR="006F76EB" w:rsidRPr="00834D52" w14:paraId="29C87B1E" w14:textId="77777777" w:rsidTr="00F71229">
        <w:tc>
          <w:tcPr>
            <w:tcW w:w="9977" w:type="dxa"/>
            <w:gridSpan w:val="3"/>
            <w:tcBorders>
              <w:top w:val="single" w:sz="4" w:space="0" w:color="auto"/>
              <w:left w:val="single" w:sz="4" w:space="0" w:color="auto"/>
              <w:bottom w:val="single" w:sz="4" w:space="0" w:color="auto"/>
              <w:right w:val="single" w:sz="4" w:space="0" w:color="auto"/>
            </w:tcBorders>
          </w:tcPr>
          <w:p w14:paraId="6537D3E2" w14:textId="77777777" w:rsidR="006F76EB" w:rsidRPr="00834D52" w:rsidRDefault="006F76EB" w:rsidP="00607D50">
            <w:pPr>
              <w:spacing w:after="160" w:line="28" w:lineRule="atLeast"/>
              <w:ind w:left="567" w:right="437"/>
              <w:jc w:val="center"/>
              <w:rPr>
                <w:rFonts w:ascii="Sylfaen" w:eastAsia="Times New Roman" w:hAnsi="Sylfaen" w:cs="Times New Roman"/>
                <w:sz w:val="24"/>
                <w:szCs w:val="24"/>
              </w:rPr>
            </w:pPr>
            <w:r w:rsidRPr="00834D52">
              <w:rPr>
                <w:rFonts w:ascii="Sylfaen" w:hAnsi="Sylfaen"/>
                <w:sz w:val="24"/>
                <w:szCs w:val="24"/>
              </w:rPr>
              <w:t>ՄՈԴՈՒԼ 4. ՆԱԽԱԿԼԻՆԻԿԱԿԱՆ (ՈՉ ԿԼԻՆԻԿԱԿԱՆ) ՀԵՏԱԶՈՏՈՒԹՅՈՒՆՆԵՐԻ ՎԵՐԱԲԵՐՅԱԼ ՀԱՇՎԵՏՎՈՒԹՅՈՒՆՆԵՐԸ</w:t>
            </w:r>
          </w:p>
        </w:tc>
      </w:tr>
      <w:tr w:rsidR="006F76EB" w:rsidRPr="00834D52" w14:paraId="15FC2A8D" w14:textId="77777777" w:rsidTr="00F71229">
        <w:tc>
          <w:tcPr>
            <w:tcW w:w="1809" w:type="dxa"/>
            <w:tcBorders>
              <w:top w:val="single" w:sz="4" w:space="0" w:color="auto"/>
              <w:left w:val="nil"/>
              <w:bottom w:val="nil"/>
              <w:right w:val="nil"/>
            </w:tcBorders>
          </w:tcPr>
          <w:p w14:paraId="0B27E49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4.1.</w:t>
            </w:r>
          </w:p>
        </w:tc>
        <w:tc>
          <w:tcPr>
            <w:tcW w:w="8168" w:type="dxa"/>
            <w:gridSpan w:val="2"/>
            <w:tcBorders>
              <w:top w:val="single" w:sz="4" w:space="0" w:color="auto"/>
              <w:left w:val="nil"/>
              <w:bottom w:val="nil"/>
              <w:right w:val="nil"/>
            </w:tcBorders>
          </w:tcPr>
          <w:p w14:paraId="14798BFD"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4-րդ մոդուլի բովանդակությունը</w:t>
            </w:r>
          </w:p>
        </w:tc>
      </w:tr>
      <w:tr w:rsidR="006F76EB" w:rsidRPr="00834D52" w14:paraId="333757DC" w14:textId="77777777" w:rsidTr="00F71229">
        <w:tc>
          <w:tcPr>
            <w:tcW w:w="1809" w:type="dxa"/>
            <w:tcBorders>
              <w:top w:val="nil"/>
              <w:left w:val="nil"/>
              <w:bottom w:val="nil"/>
              <w:right w:val="nil"/>
            </w:tcBorders>
          </w:tcPr>
          <w:p w14:paraId="05F91B3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w:t>
            </w:r>
          </w:p>
        </w:tc>
        <w:tc>
          <w:tcPr>
            <w:tcW w:w="8168" w:type="dxa"/>
            <w:gridSpan w:val="2"/>
            <w:tcBorders>
              <w:top w:val="nil"/>
              <w:left w:val="nil"/>
              <w:bottom w:val="nil"/>
              <w:right w:val="nil"/>
            </w:tcBorders>
          </w:tcPr>
          <w:p w14:paraId="40951AF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Հետազոտությունների վերաբերյալ հաշվետվությունները (կիրառելիության դեպքում)</w:t>
            </w:r>
          </w:p>
        </w:tc>
      </w:tr>
      <w:tr w:rsidR="006F76EB" w:rsidRPr="00834D52" w14:paraId="2A431B2F" w14:textId="77777777" w:rsidTr="00F71229">
        <w:tc>
          <w:tcPr>
            <w:tcW w:w="1809" w:type="dxa"/>
            <w:tcBorders>
              <w:top w:val="nil"/>
              <w:left w:val="nil"/>
              <w:bottom w:val="nil"/>
              <w:right w:val="nil"/>
            </w:tcBorders>
          </w:tcPr>
          <w:p w14:paraId="6D32514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4.2.1.</w:t>
            </w:r>
          </w:p>
        </w:tc>
        <w:tc>
          <w:tcPr>
            <w:tcW w:w="8168" w:type="dxa"/>
            <w:gridSpan w:val="2"/>
            <w:tcBorders>
              <w:top w:val="nil"/>
              <w:left w:val="nil"/>
              <w:bottom w:val="nil"/>
              <w:right w:val="nil"/>
            </w:tcBorders>
          </w:tcPr>
          <w:p w14:paraId="3E6455FA"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Դեղաբանություն</w:t>
            </w:r>
          </w:p>
        </w:tc>
      </w:tr>
      <w:tr w:rsidR="006F76EB" w:rsidRPr="00834D52" w14:paraId="25263F26" w14:textId="77777777" w:rsidTr="00F71229">
        <w:tc>
          <w:tcPr>
            <w:tcW w:w="1809" w:type="dxa"/>
            <w:tcBorders>
              <w:top w:val="nil"/>
              <w:left w:val="nil"/>
              <w:bottom w:val="nil"/>
              <w:right w:val="nil"/>
            </w:tcBorders>
          </w:tcPr>
          <w:p w14:paraId="6B7698D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4.2.1.1.</w:t>
            </w:r>
          </w:p>
        </w:tc>
        <w:tc>
          <w:tcPr>
            <w:tcW w:w="8168" w:type="dxa"/>
            <w:gridSpan w:val="2"/>
            <w:tcBorders>
              <w:top w:val="nil"/>
              <w:left w:val="nil"/>
              <w:bottom w:val="nil"/>
              <w:right w:val="nil"/>
            </w:tcBorders>
          </w:tcPr>
          <w:p w14:paraId="3FD3385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Առաջնային </w:t>
            </w:r>
            <w:r w:rsidR="00355C33">
              <w:rPr>
                <w:rFonts w:ascii="Sylfaen" w:hAnsi="Sylfaen"/>
                <w:sz w:val="24"/>
                <w:szCs w:val="24"/>
              </w:rPr>
              <w:t>դեղա</w:t>
            </w:r>
            <w:r w:rsidRPr="00834D52">
              <w:rPr>
                <w:rFonts w:ascii="Sylfaen" w:hAnsi="Sylfaen"/>
                <w:sz w:val="24"/>
                <w:szCs w:val="24"/>
              </w:rPr>
              <w:t>դինամիկա</w:t>
            </w:r>
          </w:p>
        </w:tc>
      </w:tr>
      <w:tr w:rsidR="006F76EB" w:rsidRPr="00834D52" w14:paraId="2484539E" w14:textId="77777777" w:rsidTr="00F71229">
        <w:tc>
          <w:tcPr>
            <w:tcW w:w="1809" w:type="dxa"/>
            <w:tcBorders>
              <w:top w:val="nil"/>
              <w:left w:val="nil"/>
              <w:bottom w:val="nil"/>
              <w:right w:val="nil"/>
            </w:tcBorders>
          </w:tcPr>
          <w:p w14:paraId="475155D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4.2.1.2.</w:t>
            </w:r>
          </w:p>
        </w:tc>
        <w:tc>
          <w:tcPr>
            <w:tcW w:w="8168" w:type="dxa"/>
            <w:gridSpan w:val="2"/>
            <w:tcBorders>
              <w:top w:val="nil"/>
              <w:left w:val="nil"/>
              <w:bottom w:val="nil"/>
              <w:right w:val="nil"/>
            </w:tcBorders>
          </w:tcPr>
          <w:p w14:paraId="16570C6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Երկրորդային </w:t>
            </w:r>
            <w:r w:rsidR="00355C33">
              <w:rPr>
                <w:rFonts w:ascii="Sylfaen" w:hAnsi="Sylfaen"/>
                <w:sz w:val="24"/>
                <w:szCs w:val="24"/>
              </w:rPr>
              <w:t>դեղա</w:t>
            </w:r>
            <w:r w:rsidRPr="00834D52">
              <w:rPr>
                <w:rFonts w:ascii="Sylfaen" w:hAnsi="Sylfaen"/>
                <w:sz w:val="24"/>
                <w:szCs w:val="24"/>
              </w:rPr>
              <w:t>դինամիկա</w:t>
            </w:r>
          </w:p>
        </w:tc>
      </w:tr>
      <w:tr w:rsidR="006F76EB" w:rsidRPr="00834D52" w14:paraId="2DEE0DBA" w14:textId="77777777" w:rsidTr="00F71229">
        <w:tc>
          <w:tcPr>
            <w:tcW w:w="1809" w:type="dxa"/>
            <w:tcBorders>
              <w:top w:val="nil"/>
              <w:left w:val="nil"/>
              <w:bottom w:val="nil"/>
              <w:right w:val="nil"/>
            </w:tcBorders>
          </w:tcPr>
          <w:p w14:paraId="038899B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4.2.1.3.</w:t>
            </w:r>
          </w:p>
        </w:tc>
        <w:tc>
          <w:tcPr>
            <w:tcW w:w="8168" w:type="dxa"/>
            <w:gridSpan w:val="2"/>
            <w:tcBorders>
              <w:top w:val="nil"/>
              <w:left w:val="nil"/>
              <w:bottom w:val="nil"/>
              <w:right w:val="nil"/>
            </w:tcBorders>
          </w:tcPr>
          <w:p w14:paraId="2A7D8F4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Դեղաբանական անվտանգությունը</w:t>
            </w:r>
          </w:p>
        </w:tc>
      </w:tr>
      <w:tr w:rsidR="006F76EB" w:rsidRPr="00834D52" w14:paraId="6FDC731C" w14:textId="77777777" w:rsidTr="00F71229">
        <w:tc>
          <w:tcPr>
            <w:tcW w:w="1809" w:type="dxa"/>
            <w:tcBorders>
              <w:top w:val="nil"/>
              <w:left w:val="nil"/>
              <w:bottom w:val="nil"/>
              <w:right w:val="nil"/>
            </w:tcBorders>
          </w:tcPr>
          <w:p w14:paraId="2091733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4.2.1.4.</w:t>
            </w:r>
          </w:p>
        </w:tc>
        <w:tc>
          <w:tcPr>
            <w:tcW w:w="8168" w:type="dxa"/>
            <w:gridSpan w:val="2"/>
            <w:tcBorders>
              <w:top w:val="nil"/>
              <w:left w:val="nil"/>
              <w:bottom w:val="nil"/>
              <w:right w:val="nil"/>
            </w:tcBorders>
          </w:tcPr>
          <w:p w14:paraId="06FE9666"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դինամիկ դեղային փոխազդեցություններ</w:t>
            </w:r>
          </w:p>
        </w:tc>
      </w:tr>
      <w:tr w:rsidR="006F76EB" w:rsidRPr="00834D52" w14:paraId="5CCDBC20" w14:textId="77777777" w:rsidTr="00F71229">
        <w:tc>
          <w:tcPr>
            <w:tcW w:w="1809" w:type="dxa"/>
            <w:tcBorders>
              <w:top w:val="nil"/>
              <w:left w:val="nil"/>
              <w:bottom w:val="nil"/>
              <w:right w:val="nil"/>
            </w:tcBorders>
          </w:tcPr>
          <w:p w14:paraId="7738F1E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w:t>
            </w:r>
          </w:p>
        </w:tc>
        <w:tc>
          <w:tcPr>
            <w:tcW w:w="8168" w:type="dxa"/>
            <w:gridSpan w:val="2"/>
            <w:tcBorders>
              <w:top w:val="nil"/>
              <w:left w:val="nil"/>
              <w:bottom w:val="nil"/>
              <w:right w:val="nil"/>
            </w:tcBorders>
          </w:tcPr>
          <w:p w14:paraId="5EA4368E"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կինետիկա</w:t>
            </w:r>
          </w:p>
        </w:tc>
      </w:tr>
      <w:tr w:rsidR="006F76EB" w:rsidRPr="00834D52" w14:paraId="357857CF" w14:textId="77777777" w:rsidTr="00F71229">
        <w:tc>
          <w:tcPr>
            <w:tcW w:w="1809" w:type="dxa"/>
            <w:tcBorders>
              <w:top w:val="nil"/>
              <w:left w:val="nil"/>
              <w:bottom w:val="nil"/>
              <w:right w:val="nil"/>
            </w:tcBorders>
          </w:tcPr>
          <w:p w14:paraId="5BB70FF5"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4.2.2.1.</w:t>
            </w:r>
          </w:p>
        </w:tc>
        <w:tc>
          <w:tcPr>
            <w:tcW w:w="8168" w:type="dxa"/>
            <w:gridSpan w:val="2"/>
            <w:tcBorders>
              <w:top w:val="nil"/>
              <w:left w:val="nil"/>
              <w:bottom w:val="nil"/>
              <w:right w:val="nil"/>
            </w:tcBorders>
          </w:tcPr>
          <w:p w14:paraId="18EC1F4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Վերլուծական մեթոդիկաները </w:t>
            </w:r>
            <w:r w:rsidR="00C54D75">
              <w:rPr>
                <w:rFonts w:ascii="Sylfaen" w:hAnsi="Sylfaen"/>
                <w:sz w:val="24"/>
                <w:szCs w:val="24"/>
              </w:rPr>
              <w:t>և</w:t>
            </w:r>
            <w:r w:rsidRPr="00834D52">
              <w:rPr>
                <w:rFonts w:ascii="Sylfaen" w:hAnsi="Sylfaen"/>
                <w:sz w:val="24"/>
                <w:szCs w:val="24"/>
              </w:rPr>
              <w:t xml:space="preserve"> վալիդացման հաշվետվությունները</w:t>
            </w:r>
          </w:p>
        </w:tc>
      </w:tr>
      <w:tr w:rsidR="006F76EB" w:rsidRPr="00834D52" w14:paraId="0F834319" w14:textId="77777777" w:rsidTr="00F71229">
        <w:tc>
          <w:tcPr>
            <w:tcW w:w="1809" w:type="dxa"/>
            <w:tcBorders>
              <w:top w:val="nil"/>
              <w:left w:val="nil"/>
              <w:bottom w:val="nil"/>
              <w:right w:val="nil"/>
            </w:tcBorders>
          </w:tcPr>
          <w:p w14:paraId="64CD6D7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4.2.2.2.</w:t>
            </w:r>
          </w:p>
        </w:tc>
        <w:tc>
          <w:tcPr>
            <w:tcW w:w="8168" w:type="dxa"/>
            <w:gridSpan w:val="2"/>
            <w:tcBorders>
              <w:top w:val="nil"/>
              <w:left w:val="nil"/>
              <w:bottom w:val="nil"/>
              <w:right w:val="nil"/>
            </w:tcBorders>
          </w:tcPr>
          <w:p w14:paraId="37ECB90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Կլանումը</w:t>
            </w:r>
          </w:p>
        </w:tc>
      </w:tr>
      <w:tr w:rsidR="006F76EB" w:rsidRPr="00834D52" w14:paraId="0EE55FFC" w14:textId="77777777" w:rsidTr="00F71229">
        <w:tc>
          <w:tcPr>
            <w:tcW w:w="1809" w:type="dxa"/>
            <w:tcBorders>
              <w:top w:val="nil"/>
              <w:left w:val="nil"/>
              <w:bottom w:val="nil"/>
              <w:right w:val="nil"/>
            </w:tcBorders>
          </w:tcPr>
          <w:p w14:paraId="39B1CBBB"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4.2.2.3.</w:t>
            </w:r>
          </w:p>
        </w:tc>
        <w:tc>
          <w:tcPr>
            <w:tcW w:w="8168" w:type="dxa"/>
            <w:gridSpan w:val="2"/>
            <w:tcBorders>
              <w:top w:val="nil"/>
              <w:left w:val="nil"/>
              <w:bottom w:val="nil"/>
              <w:right w:val="nil"/>
            </w:tcBorders>
          </w:tcPr>
          <w:p w14:paraId="74E1A0D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Բաշխումը</w:t>
            </w:r>
          </w:p>
        </w:tc>
      </w:tr>
      <w:tr w:rsidR="006F76EB" w:rsidRPr="00834D52" w14:paraId="354CFA76" w14:textId="77777777" w:rsidTr="00F71229">
        <w:tc>
          <w:tcPr>
            <w:tcW w:w="1809" w:type="dxa"/>
            <w:tcBorders>
              <w:top w:val="nil"/>
              <w:left w:val="nil"/>
              <w:bottom w:val="nil"/>
              <w:right w:val="nil"/>
            </w:tcBorders>
          </w:tcPr>
          <w:p w14:paraId="109FF9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4.2.2.4.</w:t>
            </w:r>
          </w:p>
        </w:tc>
        <w:tc>
          <w:tcPr>
            <w:tcW w:w="8168" w:type="dxa"/>
            <w:gridSpan w:val="2"/>
            <w:tcBorders>
              <w:top w:val="nil"/>
              <w:left w:val="nil"/>
              <w:bottom w:val="nil"/>
              <w:right w:val="nil"/>
            </w:tcBorders>
          </w:tcPr>
          <w:p w14:paraId="64308AE2"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Մետաբոլիզմը</w:t>
            </w:r>
          </w:p>
        </w:tc>
      </w:tr>
      <w:tr w:rsidR="006F76EB" w:rsidRPr="00834D52" w14:paraId="6FF4BD4E" w14:textId="77777777" w:rsidTr="00F71229">
        <w:tc>
          <w:tcPr>
            <w:tcW w:w="1809" w:type="dxa"/>
            <w:tcBorders>
              <w:top w:val="nil"/>
              <w:left w:val="nil"/>
              <w:bottom w:val="nil"/>
              <w:right w:val="nil"/>
            </w:tcBorders>
          </w:tcPr>
          <w:p w14:paraId="65314C1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4.2.2.5.</w:t>
            </w:r>
          </w:p>
        </w:tc>
        <w:tc>
          <w:tcPr>
            <w:tcW w:w="8168" w:type="dxa"/>
            <w:gridSpan w:val="2"/>
            <w:tcBorders>
              <w:top w:val="nil"/>
              <w:left w:val="nil"/>
              <w:bottom w:val="nil"/>
              <w:right w:val="nil"/>
            </w:tcBorders>
          </w:tcPr>
          <w:p w14:paraId="2F411CA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Արտազատում (դուրսբերում)</w:t>
            </w:r>
          </w:p>
        </w:tc>
      </w:tr>
      <w:tr w:rsidR="006F76EB" w:rsidRPr="00834D52" w14:paraId="40CDC3B0" w14:textId="77777777" w:rsidTr="00F71229">
        <w:tc>
          <w:tcPr>
            <w:tcW w:w="1809" w:type="dxa"/>
            <w:tcBorders>
              <w:top w:val="nil"/>
              <w:left w:val="nil"/>
              <w:bottom w:val="nil"/>
              <w:right w:val="nil"/>
            </w:tcBorders>
          </w:tcPr>
          <w:p w14:paraId="1B0F519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4.2.2.6.</w:t>
            </w:r>
          </w:p>
        </w:tc>
        <w:tc>
          <w:tcPr>
            <w:tcW w:w="8168" w:type="dxa"/>
            <w:gridSpan w:val="2"/>
            <w:tcBorders>
              <w:top w:val="nil"/>
              <w:left w:val="nil"/>
              <w:bottom w:val="nil"/>
              <w:right w:val="nil"/>
            </w:tcBorders>
          </w:tcPr>
          <w:p w14:paraId="35BA2297"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դեղային փոխազդեցությունները</w:t>
            </w:r>
          </w:p>
        </w:tc>
      </w:tr>
      <w:tr w:rsidR="006F76EB" w:rsidRPr="00834D52" w14:paraId="2268550D" w14:textId="77777777" w:rsidTr="00F71229">
        <w:tc>
          <w:tcPr>
            <w:tcW w:w="1809" w:type="dxa"/>
            <w:tcBorders>
              <w:top w:val="nil"/>
              <w:left w:val="nil"/>
              <w:bottom w:val="nil"/>
              <w:right w:val="nil"/>
            </w:tcBorders>
          </w:tcPr>
          <w:p w14:paraId="30D8FFB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4.2.2.7.</w:t>
            </w:r>
          </w:p>
        </w:tc>
        <w:tc>
          <w:tcPr>
            <w:tcW w:w="8168" w:type="dxa"/>
            <w:gridSpan w:val="2"/>
            <w:tcBorders>
              <w:top w:val="nil"/>
              <w:left w:val="nil"/>
              <w:bottom w:val="nil"/>
              <w:right w:val="nil"/>
            </w:tcBorders>
          </w:tcPr>
          <w:p w14:paraId="0FD6117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Այլ </w:t>
            </w:r>
            <w:r w:rsidR="00355C33">
              <w:rPr>
                <w:rFonts w:ascii="Sylfaen" w:hAnsi="Sylfaen"/>
                <w:sz w:val="24"/>
                <w:szCs w:val="24"/>
              </w:rPr>
              <w:t>դեղա</w:t>
            </w:r>
            <w:r w:rsidRPr="00834D52">
              <w:rPr>
                <w:rFonts w:ascii="Sylfaen" w:hAnsi="Sylfaen"/>
                <w:sz w:val="24"/>
                <w:szCs w:val="24"/>
              </w:rPr>
              <w:t>կինետիկ հետազոտություններ</w:t>
            </w:r>
          </w:p>
        </w:tc>
      </w:tr>
      <w:tr w:rsidR="006F76EB" w:rsidRPr="00834D52" w14:paraId="71D10A90" w14:textId="77777777" w:rsidTr="00F71229">
        <w:tc>
          <w:tcPr>
            <w:tcW w:w="1809" w:type="dxa"/>
            <w:tcBorders>
              <w:top w:val="nil"/>
              <w:left w:val="nil"/>
              <w:bottom w:val="nil"/>
              <w:right w:val="nil"/>
            </w:tcBorders>
          </w:tcPr>
          <w:p w14:paraId="1793994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w:t>
            </w:r>
          </w:p>
        </w:tc>
        <w:tc>
          <w:tcPr>
            <w:tcW w:w="8168" w:type="dxa"/>
            <w:gridSpan w:val="2"/>
            <w:tcBorders>
              <w:top w:val="nil"/>
              <w:left w:val="nil"/>
              <w:bottom w:val="nil"/>
              <w:right w:val="nil"/>
            </w:tcBorders>
          </w:tcPr>
          <w:p w14:paraId="146B4209"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Թունաբանություն</w:t>
            </w:r>
          </w:p>
        </w:tc>
      </w:tr>
      <w:tr w:rsidR="006F76EB" w:rsidRPr="00834D52" w14:paraId="082B6F9F" w14:textId="77777777" w:rsidTr="00F71229">
        <w:tc>
          <w:tcPr>
            <w:tcW w:w="1809" w:type="dxa"/>
            <w:tcBorders>
              <w:top w:val="nil"/>
              <w:left w:val="nil"/>
              <w:bottom w:val="nil"/>
              <w:right w:val="nil"/>
            </w:tcBorders>
          </w:tcPr>
          <w:p w14:paraId="7B8F387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4.2.3.1.</w:t>
            </w:r>
          </w:p>
        </w:tc>
        <w:tc>
          <w:tcPr>
            <w:tcW w:w="8168" w:type="dxa"/>
            <w:gridSpan w:val="2"/>
            <w:tcBorders>
              <w:top w:val="nil"/>
              <w:left w:val="nil"/>
              <w:bottom w:val="nil"/>
              <w:right w:val="nil"/>
            </w:tcBorders>
          </w:tcPr>
          <w:p w14:paraId="4075F456"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Թունավորություն՝ մեկանգամյա ներմուծման դեպքում</w:t>
            </w:r>
          </w:p>
        </w:tc>
      </w:tr>
      <w:tr w:rsidR="006F76EB" w:rsidRPr="00834D52" w14:paraId="63025058" w14:textId="77777777" w:rsidTr="00F71229">
        <w:tc>
          <w:tcPr>
            <w:tcW w:w="1809" w:type="dxa"/>
            <w:tcBorders>
              <w:top w:val="nil"/>
              <w:left w:val="nil"/>
              <w:bottom w:val="nil"/>
              <w:right w:val="nil"/>
            </w:tcBorders>
          </w:tcPr>
          <w:p w14:paraId="0565DB3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4.2.3.2.</w:t>
            </w:r>
          </w:p>
        </w:tc>
        <w:tc>
          <w:tcPr>
            <w:tcW w:w="8168" w:type="dxa"/>
            <w:gridSpan w:val="2"/>
            <w:tcBorders>
              <w:top w:val="nil"/>
              <w:left w:val="nil"/>
              <w:bottom w:val="nil"/>
              <w:right w:val="nil"/>
            </w:tcBorders>
          </w:tcPr>
          <w:p w14:paraId="2F97862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Թունավորություն՝ բազմակի ներմուծման դեպքում</w:t>
            </w:r>
          </w:p>
        </w:tc>
      </w:tr>
      <w:tr w:rsidR="006F76EB" w:rsidRPr="00834D52" w14:paraId="28933143" w14:textId="77777777" w:rsidTr="00F71229">
        <w:tc>
          <w:tcPr>
            <w:tcW w:w="1809" w:type="dxa"/>
            <w:tcBorders>
              <w:top w:val="nil"/>
              <w:left w:val="nil"/>
              <w:bottom w:val="nil"/>
              <w:right w:val="nil"/>
            </w:tcBorders>
          </w:tcPr>
          <w:p w14:paraId="6AD139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4.2.3.3.</w:t>
            </w:r>
          </w:p>
        </w:tc>
        <w:tc>
          <w:tcPr>
            <w:tcW w:w="8168" w:type="dxa"/>
            <w:gridSpan w:val="2"/>
            <w:tcBorders>
              <w:top w:val="nil"/>
              <w:left w:val="nil"/>
              <w:bottom w:val="nil"/>
              <w:right w:val="nil"/>
            </w:tcBorders>
          </w:tcPr>
          <w:p w14:paraId="7794F54B"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Գենոտոքսիկություն</w:t>
            </w:r>
          </w:p>
        </w:tc>
      </w:tr>
      <w:tr w:rsidR="006F76EB" w:rsidRPr="00834D52" w14:paraId="306F920D" w14:textId="77777777" w:rsidTr="00F71229">
        <w:tc>
          <w:tcPr>
            <w:tcW w:w="1809" w:type="dxa"/>
            <w:tcBorders>
              <w:top w:val="nil"/>
              <w:left w:val="nil"/>
              <w:bottom w:val="nil"/>
              <w:right w:val="nil"/>
            </w:tcBorders>
          </w:tcPr>
          <w:p w14:paraId="31D5AA4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4.2.3.4.</w:t>
            </w:r>
          </w:p>
        </w:tc>
        <w:tc>
          <w:tcPr>
            <w:tcW w:w="8168" w:type="dxa"/>
            <w:gridSpan w:val="2"/>
            <w:tcBorders>
              <w:top w:val="nil"/>
              <w:left w:val="nil"/>
              <w:bottom w:val="nil"/>
              <w:right w:val="nil"/>
            </w:tcBorders>
          </w:tcPr>
          <w:p w14:paraId="6CF28F4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Քաղցկեղածնություն</w:t>
            </w:r>
          </w:p>
        </w:tc>
      </w:tr>
      <w:tr w:rsidR="006F76EB" w:rsidRPr="00834D52" w14:paraId="73192316" w14:textId="77777777" w:rsidTr="00F71229">
        <w:tc>
          <w:tcPr>
            <w:tcW w:w="1809" w:type="dxa"/>
            <w:tcBorders>
              <w:top w:val="nil"/>
              <w:left w:val="nil"/>
              <w:bottom w:val="nil"/>
              <w:right w:val="nil"/>
            </w:tcBorders>
          </w:tcPr>
          <w:p w14:paraId="4342CEEB"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4.2.3.5.</w:t>
            </w:r>
          </w:p>
        </w:tc>
        <w:tc>
          <w:tcPr>
            <w:tcW w:w="8168" w:type="dxa"/>
            <w:gridSpan w:val="2"/>
            <w:tcBorders>
              <w:top w:val="nil"/>
              <w:left w:val="nil"/>
              <w:bottom w:val="nil"/>
              <w:right w:val="nil"/>
            </w:tcBorders>
          </w:tcPr>
          <w:p w14:paraId="7508F12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 պտղաբերությունը </w:t>
            </w:r>
            <w:r w:rsidR="00C54D75">
              <w:rPr>
                <w:rFonts w:ascii="Sylfaen" w:hAnsi="Sylfaen"/>
                <w:sz w:val="24"/>
                <w:szCs w:val="24"/>
              </w:rPr>
              <w:t>և</w:t>
            </w:r>
            <w:r w:rsidRPr="00834D52">
              <w:rPr>
                <w:rFonts w:ascii="Sylfaen" w:hAnsi="Sylfaen"/>
                <w:sz w:val="24"/>
                <w:szCs w:val="24"/>
              </w:rPr>
              <w:t xml:space="preserve"> վաղ սաղմնային զարգացումը, սաղմնապտղային զարգացումը, նախածննդյան </w:t>
            </w:r>
            <w:r w:rsidR="00C54D75">
              <w:rPr>
                <w:rFonts w:ascii="Sylfaen" w:hAnsi="Sylfaen"/>
                <w:sz w:val="24"/>
                <w:szCs w:val="24"/>
              </w:rPr>
              <w:t>և</w:t>
            </w:r>
            <w:r w:rsidRPr="00834D52">
              <w:rPr>
                <w:rFonts w:ascii="Sylfaen" w:hAnsi="Sylfaen"/>
                <w:sz w:val="24"/>
                <w:szCs w:val="24"/>
              </w:rPr>
              <w:t xml:space="preserve"> հետծննդյան զարգացումը, ոչ սեռահասուն սերնդի հետազոտությունները՝ հաջորդող հսկողությամբ </w:t>
            </w:r>
          </w:p>
        </w:tc>
      </w:tr>
      <w:tr w:rsidR="006F76EB" w:rsidRPr="00834D52" w14:paraId="3338F99F" w14:textId="77777777" w:rsidTr="00F71229">
        <w:tc>
          <w:tcPr>
            <w:tcW w:w="1809" w:type="dxa"/>
            <w:tcBorders>
              <w:top w:val="nil"/>
              <w:left w:val="nil"/>
              <w:bottom w:val="nil"/>
              <w:right w:val="nil"/>
            </w:tcBorders>
          </w:tcPr>
          <w:p w14:paraId="2663F7CF"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4.2.3.6.</w:t>
            </w:r>
          </w:p>
        </w:tc>
        <w:tc>
          <w:tcPr>
            <w:tcW w:w="8168" w:type="dxa"/>
            <w:gridSpan w:val="2"/>
            <w:tcBorders>
              <w:top w:val="nil"/>
              <w:left w:val="nil"/>
              <w:bottom w:val="nil"/>
              <w:right w:val="nil"/>
            </w:tcBorders>
          </w:tcPr>
          <w:p w14:paraId="64267A9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Տեղային տանելիությունը</w:t>
            </w:r>
          </w:p>
        </w:tc>
      </w:tr>
      <w:tr w:rsidR="006F76EB" w:rsidRPr="00834D52" w14:paraId="4230BFE2" w14:textId="77777777" w:rsidTr="00F71229">
        <w:tc>
          <w:tcPr>
            <w:tcW w:w="1809" w:type="dxa"/>
            <w:tcBorders>
              <w:top w:val="nil"/>
              <w:left w:val="nil"/>
              <w:bottom w:val="nil"/>
              <w:right w:val="nil"/>
            </w:tcBorders>
          </w:tcPr>
          <w:p w14:paraId="2BCD26A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4.2.3.7.</w:t>
            </w:r>
          </w:p>
        </w:tc>
        <w:tc>
          <w:tcPr>
            <w:tcW w:w="8168" w:type="dxa"/>
            <w:gridSpan w:val="2"/>
            <w:tcBorders>
              <w:top w:val="nil"/>
              <w:left w:val="nil"/>
              <w:bottom w:val="nil"/>
              <w:right w:val="nil"/>
            </w:tcBorders>
          </w:tcPr>
          <w:p w14:paraId="785078A1"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Թունաբանության այլ հետազոտություններ՝ հակածնություն, իմունաթունավորություն, ազդեցության մեխանիզմի հետազոտություններ, դեղային կախվածություն, մետաբոլիտներ, խառնուկներ </w:t>
            </w:r>
            <w:r w:rsidR="00C54D75">
              <w:rPr>
                <w:rFonts w:ascii="Sylfaen" w:hAnsi="Sylfaen"/>
                <w:sz w:val="24"/>
                <w:szCs w:val="24"/>
              </w:rPr>
              <w:t>և</w:t>
            </w:r>
            <w:r w:rsidRPr="00834D52">
              <w:rPr>
                <w:rFonts w:ascii="Sylfaen" w:hAnsi="Sylfaen"/>
                <w:sz w:val="24"/>
                <w:szCs w:val="24"/>
              </w:rPr>
              <w:t xml:space="preserve"> այլն</w:t>
            </w:r>
          </w:p>
        </w:tc>
      </w:tr>
      <w:tr w:rsidR="006F76EB" w:rsidRPr="00834D52" w14:paraId="62329C69" w14:textId="77777777" w:rsidTr="00F71229">
        <w:tc>
          <w:tcPr>
            <w:tcW w:w="1809" w:type="dxa"/>
            <w:tcBorders>
              <w:top w:val="nil"/>
              <w:left w:val="nil"/>
              <w:bottom w:val="nil"/>
              <w:right w:val="nil"/>
            </w:tcBorders>
          </w:tcPr>
          <w:p w14:paraId="633E23A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4.3.</w:t>
            </w:r>
          </w:p>
        </w:tc>
        <w:tc>
          <w:tcPr>
            <w:tcW w:w="8168" w:type="dxa"/>
            <w:gridSpan w:val="2"/>
            <w:tcBorders>
              <w:top w:val="nil"/>
              <w:left w:val="nil"/>
              <w:bottom w:val="nil"/>
              <w:right w:val="nil"/>
            </w:tcBorders>
          </w:tcPr>
          <w:p w14:paraId="61E9D23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r w:rsidR="006F76EB" w:rsidRPr="00834D52" w14:paraId="1260DB42" w14:textId="77777777" w:rsidTr="00F71229">
        <w:tc>
          <w:tcPr>
            <w:tcW w:w="9977" w:type="dxa"/>
            <w:gridSpan w:val="3"/>
            <w:tcBorders>
              <w:top w:val="nil"/>
              <w:left w:val="nil"/>
              <w:bottom w:val="nil"/>
              <w:right w:val="nil"/>
            </w:tcBorders>
            <w:vAlign w:val="center"/>
          </w:tcPr>
          <w:p w14:paraId="4AA761D4" w14:textId="77777777" w:rsidR="006F76EB" w:rsidRPr="00834D52" w:rsidRDefault="006F76EB" w:rsidP="00607D50">
            <w:pPr>
              <w:spacing w:after="160" w:line="28" w:lineRule="atLeast"/>
              <w:ind w:left="567" w:right="437"/>
              <w:jc w:val="center"/>
              <w:rPr>
                <w:rFonts w:ascii="Sylfaen" w:eastAsia="Times New Roman" w:hAnsi="Sylfaen" w:cs="Times New Roman"/>
                <w:sz w:val="24"/>
                <w:szCs w:val="24"/>
              </w:rPr>
            </w:pPr>
            <w:r w:rsidRPr="00834D52">
              <w:rPr>
                <w:rFonts w:ascii="Sylfaen" w:hAnsi="Sylfaen"/>
                <w:sz w:val="24"/>
                <w:szCs w:val="24"/>
              </w:rPr>
              <w:t>ՄՈԴՈՒԼ 5. ԿԼԻՆԻԿԱԿԱՆ ՀԵՏԱԶՈՏՈՒԹՅՈՒՆՆԵՐԻ ՎԵՐԱԲԵՐՅԱԼ ՀԱՇՎԵՏՎՈՒԹՅՈՒՆՆԵՐԸ</w:t>
            </w:r>
          </w:p>
        </w:tc>
      </w:tr>
      <w:tr w:rsidR="006F76EB" w:rsidRPr="00834D52" w14:paraId="3CF31D42" w14:textId="77777777" w:rsidTr="00F71229">
        <w:tc>
          <w:tcPr>
            <w:tcW w:w="1809" w:type="dxa"/>
            <w:tcBorders>
              <w:top w:val="nil"/>
              <w:left w:val="nil"/>
              <w:bottom w:val="nil"/>
              <w:right w:val="nil"/>
            </w:tcBorders>
          </w:tcPr>
          <w:p w14:paraId="28C83344"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5.1.</w:t>
            </w:r>
          </w:p>
        </w:tc>
        <w:tc>
          <w:tcPr>
            <w:tcW w:w="8168" w:type="dxa"/>
            <w:gridSpan w:val="2"/>
            <w:tcBorders>
              <w:top w:val="nil"/>
              <w:left w:val="nil"/>
              <w:bottom w:val="nil"/>
              <w:right w:val="nil"/>
            </w:tcBorders>
          </w:tcPr>
          <w:p w14:paraId="23638BB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5-րդ մոդուլի բովանդակությունը</w:t>
            </w:r>
          </w:p>
        </w:tc>
      </w:tr>
      <w:tr w:rsidR="006F76EB" w:rsidRPr="00834D52" w14:paraId="0E0B6F66" w14:textId="77777777" w:rsidTr="00F71229">
        <w:tc>
          <w:tcPr>
            <w:tcW w:w="1809" w:type="dxa"/>
            <w:tcBorders>
              <w:top w:val="nil"/>
              <w:left w:val="nil"/>
              <w:bottom w:val="nil"/>
              <w:right w:val="nil"/>
            </w:tcBorders>
          </w:tcPr>
          <w:p w14:paraId="55B62E8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5.2.</w:t>
            </w:r>
          </w:p>
        </w:tc>
        <w:tc>
          <w:tcPr>
            <w:tcW w:w="8168" w:type="dxa"/>
            <w:gridSpan w:val="2"/>
            <w:tcBorders>
              <w:top w:val="nil"/>
              <w:left w:val="nil"/>
              <w:bottom w:val="nil"/>
              <w:right w:val="nil"/>
            </w:tcBorders>
          </w:tcPr>
          <w:p w14:paraId="49243B80"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Բոլոր կլինիկական հետազոտությունների (փորձարկումների) ցանկը՝ աղյուսակների տեսքով</w:t>
            </w:r>
          </w:p>
        </w:tc>
      </w:tr>
      <w:tr w:rsidR="006F76EB" w:rsidRPr="00834D52" w14:paraId="24BE52CF" w14:textId="77777777" w:rsidTr="00F71229">
        <w:tc>
          <w:tcPr>
            <w:tcW w:w="1809" w:type="dxa"/>
            <w:tcBorders>
              <w:top w:val="nil"/>
              <w:left w:val="nil"/>
              <w:bottom w:val="nil"/>
              <w:right w:val="nil"/>
            </w:tcBorders>
          </w:tcPr>
          <w:p w14:paraId="67BD63F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w:t>
            </w:r>
          </w:p>
        </w:tc>
        <w:tc>
          <w:tcPr>
            <w:tcW w:w="8168" w:type="dxa"/>
            <w:gridSpan w:val="2"/>
            <w:tcBorders>
              <w:top w:val="nil"/>
              <w:left w:val="nil"/>
              <w:bottom w:val="nil"/>
              <w:right w:val="nil"/>
            </w:tcBorders>
          </w:tcPr>
          <w:p w14:paraId="67B1A2C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Կլինիկական հետազոտությունների (փորձարկումների) վերաբերյալ հաշվետվությունները</w:t>
            </w:r>
          </w:p>
        </w:tc>
      </w:tr>
      <w:tr w:rsidR="006F76EB" w:rsidRPr="00834D52" w14:paraId="3983CF5F" w14:textId="77777777" w:rsidTr="00F71229">
        <w:tc>
          <w:tcPr>
            <w:tcW w:w="1809" w:type="dxa"/>
            <w:tcBorders>
              <w:top w:val="nil"/>
              <w:left w:val="nil"/>
              <w:bottom w:val="nil"/>
              <w:right w:val="nil"/>
            </w:tcBorders>
          </w:tcPr>
          <w:p w14:paraId="347B909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5.3.1.</w:t>
            </w:r>
          </w:p>
        </w:tc>
        <w:tc>
          <w:tcPr>
            <w:tcW w:w="8168" w:type="dxa"/>
            <w:gridSpan w:val="2"/>
            <w:tcBorders>
              <w:top w:val="nil"/>
              <w:left w:val="nil"/>
              <w:bottom w:val="nil"/>
              <w:right w:val="nil"/>
            </w:tcBorders>
          </w:tcPr>
          <w:p w14:paraId="0367A07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վերաբերյալ հաշվետվությունները </w:t>
            </w:r>
          </w:p>
        </w:tc>
      </w:tr>
      <w:tr w:rsidR="006F76EB" w:rsidRPr="00834D52" w14:paraId="008D97C4" w14:textId="77777777" w:rsidTr="00F71229">
        <w:tc>
          <w:tcPr>
            <w:tcW w:w="1809" w:type="dxa"/>
            <w:tcBorders>
              <w:top w:val="nil"/>
              <w:left w:val="nil"/>
              <w:bottom w:val="nil"/>
              <w:right w:val="nil"/>
            </w:tcBorders>
          </w:tcPr>
          <w:p w14:paraId="10B736B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5.3.2.</w:t>
            </w:r>
          </w:p>
        </w:tc>
        <w:tc>
          <w:tcPr>
            <w:tcW w:w="8168" w:type="dxa"/>
            <w:gridSpan w:val="2"/>
            <w:tcBorders>
              <w:top w:val="nil"/>
              <w:left w:val="nil"/>
              <w:bottom w:val="nil"/>
              <w:right w:val="nil"/>
            </w:tcBorders>
          </w:tcPr>
          <w:p w14:paraId="5FBA139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Մարդու կենսանյութերի օգտագործմամբ </w:t>
            </w:r>
            <w:r w:rsidR="00355C33">
              <w:rPr>
                <w:rFonts w:ascii="Sylfaen" w:hAnsi="Sylfaen"/>
                <w:sz w:val="24"/>
                <w:szCs w:val="24"/>
              </w:rPr>
              <w:t>դեղա</w:t>
            </w:r>
            <w:r w:rsidRPr="00834D52">
              <w:rPr>
                <w:rFonts w:ascii="Sylfaen" w:hAnsi="Sylfaen"/>
                <w:sz w:val="24"/>
                <w:szCs w:val="24"/>
              </w:rPr>
              <w:t>կինետիկ հետազոտությունների վերաբերյալ հաշվետվությունները</w:t>
            </w:r>
          </w:p>
        </w:tc>
      </w:tr>
      <w:tr w:rsidR="006F76EB" w:rsidRPr="00834D52" w14:paraId="3A9DED16" w14:textId="77777777" w:rsidTr="00F71229">
        <w:tc>
          <w:tcPr>
            <w:tcW w:w="1809" w:type="dxa"/>
            <w:tcBorders>
              <w:top w:val="nil"/>
              <w:left w:val="nil"/>
              <w:bottom w:val="nil"/>
              <w:right w:val="nil"/>
            </w:tcBorders>
          </w:tcPr>
          <w:p w14:paraId="5303F7D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5.3.3.</w:t>
            </w:r>
          </w:p>
        </w:tc>
        <w:tc>
          <w:tcPr>
            <w:tcW w:w="8168" w:type="dxa"/>
            <w:gridSpan w:val="2"/>
            <w:tcBorders>
              <w:top w:val="nil"/>
              <w:left w:val="nil"/>
              <w:bottom w:val="nil"/>
              <w:right w:val="nil"/>
            </w:tcBorders>
          </w:tcPr>
          <w:p w14:paraId="5A48EC4B"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Մարդու </w:t>
            </w:r>
            <w:r w:rsidR="00355C33">
              <w:rPr>
                <w:rFonts w:ascii="Sylfaen" w:hAnsi="Sylfaen"/>
                <w:sz w:val="24"/>
                <w:szCs w:val="24"/>
              </w:rPr>
              <w:t>դեղա</w:t>
            </w:r>
            <w:r w:rsidRPr="00834D52">
              <w:rPr>
                <w:rFonts w:ascii="Sylfaen" w:hAnsi="Sylfaen"/>
                <w:sz w:val="24"/>
                <w:szCs w:val="24"/>
              </w:rPr>
              <w:t>կինետիկ հետազոտությունների վերաբերյալ հաշվետվությունները</w:t>
            </w:r>
          </w:p>
        </w:tc>
      </w:tr>
      <w:tr w:rsidR="006F76EB" w:rsidRPr="00834D52" w14:paraId="43BE4164" w14:textId="77777777" w:rsidTr="00F71229">
        <w:tc>
          <w:tcPr>
            <w:tcW w:w="1809" w:type="dxa"/>
            <w:tcBorders>
              <w:top w:val="nil"/>
              <w:left w:val="nil"/>
              <w:bottom w:val="nil"/>
              <w:right w:val="nil"/>
            </w:tcBorders>
          </w:tcPr>
          <w:p w14:paraId="579D37C9"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5.3.4.</w:t>
            </w:r>
          </w:p>
        </w:tc>
        <w:tc>
          <w:tcPr>
            <w:tcW w:w="8168" w:type="dxa"/>
            <w:gridSpan w:val="2"/>
            <w:tcBorders>
              <w:top w:val="nil"/>
              <w:left w:val="nil"/>
              <w:bottom w:val="nil"/>
              <w:right w:val="nil"/>
            </w:tcBorders>
          </w:tcPr>
          <w:p w14:paraId="45720F3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Մարդու </w:t>
            </w:r>
            <w:r w:rsidR="00355C33">
              <w:rPr>
                <w:rFonts w:ascii="Sylfaen" w:hAnsi="Sylfaen"/>
                <w:sz w:val="24"/>
                <w:szCs w:val="24"/>
              </w:rPr>
              <w:t>դեղա</w:t>
            </w:r>
            <w:r w:rsidRPr="00834D52">
              <w:rPr>
                <w:rFonts w:ascii="Sylfaen" w:hAnsi="Sylfaen"/>
                <w:sz w:val="24"/>
                <w:szCs w:val="24"/>
              </w:rPr>
              <w:t>դինամիկ հետազոտությունների վերաբերյալ հաշվետվությունները</w:t>
            </w:r>
          </w:p>
        </w:tc>
      </w:tr>
      <w:tr w:rsidR="006F76EB" w:rsidRPr="00834D52" w14:paraId="284CFB11" w14:textId="77777777" w:rsidTr="00F71229">
        <w:tc>
          <w:tcPr>
            <w:tcW w:w="1809" w:type="dxa"/>
            <w:tcBorders>
              <w:top w:val="nil"/>
              <w:left w:val="nil"/>
              <w:bottom w:val="nil"/>
              <w:right w:val="nil"/>
            </w:tcBorders>
          </w:tcPr>
          <w:p w14:paraId="74DF6AB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5.3.5.</w:t>
            </w:r>
          </w:p>
        </w:tc>
        <w:tc>
          <w:tcPr>
            <w:tcW w:w="8168" w:type="dxa"/>
            <w:gridSpan w:val="2"/>
            <w:tcBorders>
              <w:top w:val="nil"/>
              <w:left w:val="nil"/>
              <w:bottom w:val="nil"/>
              <w:right w:val="nil"/>
            </w:tcBorders>
          </w:tcPr>
          <w:p w14:paraId="3A0D38E8"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հետազոտության վերաբերյալ հաշվետվությունները</w:t>
            </w:r>
          </w:p>
        </w:tc>
      </w:tr>
      <w:tr w:rsidR="006F76EB" w:rsidRPr="00834D52" w14:paraId="692FEF96" w14:textId="77777777" w:rsidTr="00F71229">
        <w:tc>
          <w:tcPr>
            <w:tcW w:w="1809" w:type="dxa"/>
            <w:tcBorders>
              <w:top w:val="nil"/>
              <w:left w:val="nil"/>
              <w:bottom w:val="nil"/>
              <w:right w:val="nil"/>
            </w:tcBorders>
          </w:tcPr>
          <w:p w14:paraId="2C488C6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5.3.6.</w:t>
            </w:r>
          </w:p>
        </w:tc>
        <w:tc>
          <w:tcPr>
            <w:tcW w:w="8168" w:type="dxa"/>
            <w:gridSpan w:val="2"/>
            <w:tcBorders>
              <w:top w:val="nil"/>
              <w:left w:val="nil"/>
              <w:bottom w:val="nil"/>
              <w:right w:val="nil"/>
            </w:tcBorders>
          </w:tcPr>
          <w:p w14:paraId="763EFAF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Կիրառության հետգրանցումային փորձի վերաբերյալ հաշվետվությունները</w:t>
            </w:r>
          </w:p>
        </w:tc>
      </w:tr>
      <w:tr w:rsidR="006F76EB" w:rsidRPr="00834D52" w14:paraId="4D519F66" w14:textId="77777777" w:rsidTr="00F71229">
        <w:tc>
          <w:tcPr>
            <w:tcW w:w="1809" w:type="dxa"/>
            <w:tcBorders>
              <w:top w:val="nil"/>
              <w:left w:val="nil"/>
              <w:bottom w:val="nil"/>
              <w:right w:val="nil"/>
            </w:tcBorders>
          </w:tcPr>
          <w:p w14:paraId="6F073D8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5.3.7.</w:t>
            </w:r>
          </w:p>
        </w:tc>
        <w:tc>
          <w:tcPr>
            <w:tcW w:w="8168" w:type="dxa"/>
            <w:gridSpan w:val="2"/>
            <w:tcBorders>
              <w:top w:val="nil"/>
              <w:left w:val="nil"/>
              <w:bottom w:val="nil"/>
              <w:right w:val="nil"/>
            </w:tcBorders>
          </w:tcPr>
          <w:p w14:paraId="03CF934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Պացիենտների անհատական գրանցման քարտերը </w:t>
            </w:r>
            <w:r w:rsidR="00C54D75">
              <w:rPr>
                <w:rFonts w:ascii="Sylfaen" w:hAnsi="Sylfaen"/>
                <w:sz w:val="24"/>
                <w:szCs w:val="24"/>
              </w:rPr>
              <w:t>և</w:t>
            </w:r>
            <w:r w:rsidRPr="00834D52">
              <w:rPr>
                <w:rFonts w:ascii="Sylfaen" w:hAnsi="Sylfaen"/>
                <w:sz w:val="24"/>
                <w:szCs w:val="24"/>
              </w:rPr>
              <w:t xml:space="preserve"> ցանկերը</w:t>
            </w:r>
          </w:p>
        </w:tc>
      </w:tr>
      <w:tr w:rsidR="006F76EB" w:rsidRPr="00834D52" w14:paraId="7579C768" w14:textId="77777777" w:rsidTr="00F71229">
        <w:tc>
          <w:tcPr>
            <w:tcW w:w="1809" w:type="dxa"/>
            <w:tcBorders>
              <w:top w:val="nil"/>
              <w:left w:val="nil"/>
              <w:bottom w:val="nil"/>
              <w:right w:val="nil"/>
            </w:tcBorders>
          </w:tcPr>
          <w:p w14:paraId="4F5CE4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5.4.</w:t>
            </w:r>
          </w:p>
        </w:tc>
        <w:tc>
          <w:tcPr>
            <w:tcW w:w="8168" w:type="dxa"/>
            <w:gridSpan w:val="2"/>
            <w:tcBorders>
              <w:top w:val="nil"/>
              <w:left w:val="nil"/>
              <w:bottom w:val="nil"/>
              <w:right w:val="nil"/>
            </w:tcBorders>
          </w:tcPr>
          <w:p w14:paraId="39A4771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bl>
    <w:p w14:paraId="5BE3CC01" w14:textId="77777777" w:rsidR="006F76EB" w:rsidRPr="00834D52" w:rsidRDefault="006F76EB" w:rsidP="006F76EB">
      <w:pPr>
        <w:spacing w:after="120" w:line="240" w:lineRule="auto"/>
        <w:ind w:right="-8"/>
        <w:rPr>
          <w:rFonts w:ascii="Sylfaen" w:hAnsi="Sylfaen"/>
          <w:sz w:val="24"/>
          <w:szCs w:val="24"/>
        </w:rPr>
      </w:pPr>
    </w:p>
    <w:p w14:paraId="4D161981" w14:textId="77777777" w:rsidR="006F76EB" w:rsidRPr="00834D52" w:rsidRDefault="006F76EB" w:rsidP="006F76EB">
      <w:pPr>
        <w:spacing w:after="120" w:line="240" w:lineRule="auto"/>
        <w:ind w:right="-8" w:firstLine="567"/>
        <w:rPr>
          <w:rFonts w:ascii="Sylfaen" w:eastAsia="Times New Roman" w:hAnsi="Sylfaen" w:cs="Times New Roman"/>
        </w:rPr>
      </w:pPr>
      <w:r w:rsidRPr="00834D52">
        <w:rPr>
          <w:rFonts w:ascii="Sylfaen" w:hAnsi="Sylfaen"/>
        </w:rPr>
        <w:t>Ծանոթագրություն.</w:t>
      </w:r>
    </w:p>
    <w:p w14:paraId="5EB352AE" w14:textId="38F04179" w:rsidR="004261B1" w:rsidRDefault="006F76EB" w:rsidP="006F76EB">
      <w:pPr>
        <w:spacing w:after="120" w:line="240" w:lineRule="auto"/>
        <w:ind w:right="-8" w:firstLine="567"/>
        <w:jc w:val="both"/>
        <w:rPr>
          <w:rFonts w:ascii="Sylfaen" w:hAnsi="Sylfaen"/>
        </w:rPr>
      </w:pPr>
      <w:r w:rsidRPr="00834D52">
        <w:rPr>
          <w:rFonts w:ascii="Sylfaen" w:hAnsi="Sylfaen"/>
        </w:rPr>
        <w:t xml:space="preserve">Եթե Եվրասիական տնտեսական հանձնաժողովի կողմից հաստատվող՝ բժշկական կիրառության դեղամիջոցների գրանցման </w:t>
      </w:r>
      <w:r w:rsidR="00C54D75">
        <w:rPr>
          <w:rFonts w:ascii="Sylfaen" w:hAnsi="Sylfaen"/>
        </w:rPr>
        <w:t>և</w:t>
      </w:r>
      <w:r w:rsidRPr="00834D52">
        <w:rPr>
          <w:rFonts w:ascii="Sylfaen" w:hAnsi="Sylfaen"/>
        </w:rPr>
        <w:t xml:space="preserve"> փորձաքննության կանոններով այլ բան սահմանված չէ, ապա ներկայացվում են </w:t>
      </w:r>
      <w:r w:rsidR="0056496B">
        <w:rPr>
          <w:rFonts w:ascii="Sylfaen" w:hAnsi="Sylfaen"/>
        </w:rPr>
        <w:t>դիմումատու</w:t>
      </w:r>
      <w:r w:rsidRPr="00834D52">
        <w:rPr>
          <w:rFonts w:ascii="Sylfaen" w:hAnsi="Sylfaen"/>
        </w:rPr>
        <w:t xml:space="preserve">ի կողմից վավերացված փաստաթղթերը։ Գրանցման դոսյեի փաստաթղթերը ներկայացվում են ռուսերենով կամ ռուսերեն թարգմանությամբ՝ սույն փաստաթղթի երկրորդ մասում ներկայացված ցուցումներին համապատասխան։ </w:t>
      </w:r>
      <w:r w:rsidR="004261B1" w:rsidRPr="004261B1">
        <w:rPr>
          <w:rFonts w:ascii="Sylfaen" w:hAnsi="Sylfaen"/>
        </w:rPr>
        <w:t xml:space="preserve">Թույլատրվում է 1-ին մոդուլի 1.6.3 բաժնի փաստաթուղթը, ինչպես նաև 3-5-րդ մոդուլների փաստաթղթերը ներկայացնել անգլերենով՝ մոդուլ 3-ի հետևյալ բաժինների ռուսերեն պարտադիր թարգմանությամբ՝ արտադրական գործընթացի և դրա հսկողության նկարագրությունը (3.2.S.2.2), կրիտիկական փուլերի և միջանկյալ արտադրանքի հսկողությունը (3.2.S.2.4), արտադրական գործընթացի վալիդացումը և (կամ) դրա գնահատումը (3.2.S.2.5), խառնուրդները (3.2.S.3.2), կառուցվածքի և այլ բնութագրերի հաստատումը (3.2.S.3.1), մասնագիրը (3.2.S.4.1), անալիտիկ </w:t>
      </w:r>
      <w:r w:rsidR="004261B1" w:rsidRPr="004261B1">
        <w:rPr>
          <w:rFonts w:ascii="Sylfaen" w:hAnsi="Sylfaen"/>
        </w:rPr>
        <w:lastRenderedPageBreak/>
        <w:t>մեթոդիկաները (3.2.S.4.2), անալիտիկ մեթոդիկաների վալիդացումը (3.2.S.4.3), մասնագրի հիմնավորումը (3.2.S.4.5), փաթեթավորման (խցանափակման) համակարգը (3.2.S.6), կայունության փորձարկումների մասին ամփոփագիրը և կայունության մասին եզրակացությունը (3.2.S.7.1), դեղապատրաստուկի նկարագրությունը և բաղադրությունը (3.2.Р.1), ակտիվ դեղագործական բաղադրամասը (3.2.Р.2.1.1), օժանդակ նյութերը (3.2.Р.2.1.2), դեղաձևի մշակումը (3.2.Р.2.2.1), արտադրական ավելցուկները (3.2.Р .2.2.2), ֆիզիկական-քիմիական և կենսաբանական հատկությունները (3.2.Р.2.2.3), արտադրական գործընթացի մշակումը (3.2.Р.2.3), փաթեթավորման (խցանափակման) համակարգը (3.2.Р.2.4), մանրէաբանական բնութագրերը (3.2.Р.2.5), համատեղելիությունը (3.2.Р.2.6), արտադրական գործընթացի նկարագրությունը և դրա հսկողությունը (3.2.P.3.3), կրիտիկական փուլերի և միջանկյալ արտադրանքի հսկողությունը (3.2.Р.3.4), արտադրական գործընթացի վալիդացումը և (կամ) դրա գնահատումը (3.2.Р.3.5), անալիտիկ մեթոդիկաների վալիդացումը (3.2.Р.4.3), մասնագրերի հիմնավորումը (3.2.Р.4.4), մարդկային և կենդանական ծագման օժանդակ նյութերը (3.2.Р.4.5), նոր օժանդակ նյութերը (3.2.Р.4.6), մասնագրերը (3.2.Р.5.1), անալիտիկ մեթոդիկաները (3.2.Р.5.2), անալիտիկ մեթոդիկաների վալիդացումը (3.2.Р.5.3), խառնուրդների բնութագիրը (3.2.Р.5.5), մասնագրերի հիմնավորումը (3.2.Р.5.6), փաթեթավորման (խցանափակման) համակարգը (3.2.Р.7), կայունության փորձարկումների մասին ամփոփագիրը և կայունության մասին եզրակացությունը (3.2.Р.8.1), կայունության հետգրանցումային փորձարկումների ծրագիրը և կայունության ուսումնասիրմանը վերաբերող պարտավորությունները (3.2.Р.8.2), կողմնակի ազդանյութերի մասով անվտանգության գնահատումը (3.2.А.2), նոր օժանդակ նյութերը (3.2.A.3), արտադրական գործընթացի վալիդացման պլանը (3.2.R.2):</w:t>
      </w:r>
    </w:p>
    <w:p w14:paraId="740C9319" w14:textId="285BBC71" w:rsidR="004261B1" w:rsidRPr="004261B1" w:rsidRDefault="004261B1" w:rsidP="004261B1">
      <w:pPr>
        <w:rPr>
          <w:b/>
          <w:bCs/>
          <w:i/>
          <w:iCs/>
        </w:rPr>
      </w:pPr>
      <w:r w:rsidRPr="00CD4709">
        <w:rPr>
          <w:b/>
          <w:bCs/>
          <w:i/>
          <w:iCs/>
        </w:rPr>
        <w:t>(</w:t>
      </w:r>
      <w:r>
        <w:rPr>
          <w:b/>
          <w:bCs/>
          <w:i/>
          <w:iCs/>
        </w:rPr>
        <w:t>ծանուցումը խմբ. 17.03.22 թիվ 36</w:t>
      </w:r>
      <w:r w:rsidRPr="00CD4709">
        <w:rPr>
          <w:b/>
          <w:bCs/>
          <w:i/>
          <w:iCs/>
        </w:rPr>
        <w:t>)</w:t>
      </w:r>
    </w:p>
    <w:p w14:paraId="6290A1BE" w14:textId="63C02E0B" w:rsidR="00C924A8" w:rsidRDefault="00C924A8" w:rsidP="006F76EB">
      <w:pPr>
        <w:spacing w:after="120" w:line="240" w:lineRule="auto"/>
        <w:ind w:right="-8" w:firstLine="567"/>
        <w:jc w:val="both"/>
        <w:rPr>
          <w:rFonts w:ascii="Sylfaen" w:hAnsi="Sylfaen"/>
        </w:rPr>
      </w:pPr>
      <w:r w:rsidRPr="00C924A8">
        <w:rPr>
          <w:rFonts w:ascii="Sylfaen" w:hAnsi="Sylfaen"/>
        </w:rPr>
        <w:t>Ընդ որում, չի պահանջվում նշված կանոնների 1751 կետին համապատասխան ներկայացված փաստաթղթերի ռուսերեն թարգմանությունն այն դեպքում, եթե ռուսերենն Եվրասիական տնտեսական միության համապատասխան անդամ պետությունում պետական լեզու չի համարվում</w:t>
      </w:r>
      <w:r>
        <w:rPr>
          <w:rFonts w:ascii="Sylfaen" w:hAnsi="Sylfaen"/>
        </w:rPr>
        <w:t>:</w:t>
      </w:r>
    </w:p>
    <w:p w14:paraId="5C727260" w14:textId="77777777" w:rsidR="00C924A8" w:rsidRPr="007F5A60" w:rsidRDefault="00C924A8" w:rsidP="006F76EB">
      <w:pPr>
        <w:spacing w:after="120" w:line="240" w:lineRule="auto"/>
        <w:ind w:right="-8" w:firstLine="567"/>
        <w:jc w:val="both"/>
        <w:rPr>
          <w:rFonts w:ascii="Sylfaen" w:hAnsi="Sylfaen"/>
        </w:rPr>
      </w:pPr>
    </w:p>
    <w:p w14:paraId="3BE831A3" w14:textId="77777777" w:rsidR="00607D50" w:rsidRPr="007F5A60" w:rsidRDefault="00607D50">
      <w:pPr>
        <w:widowControl/>
        <w:rPr>
          <w:rFonts w:ascii="Sylfaen" w:hAnsi="Sylfaen"/>
        </w:rPr>
      </w:pPr>
      <w:r w:rsidRPr="007F5A60">
        <w:rPr>
          <w:rFonts w:ascii="Sylfaen" w:hAnsi="Sylfaen"/>
        </w:rPr>
        <w:br w:type="page"/>
      </w:r>
    </w:p>
    <w:p w14:paraId="55C52151" w14:textId="77777777" w:rsidR="006F76EB" w:rsidRPr="00834D52" w:rsidRDefault="006F76EB" w:rsidP="008E009C">
      <w:pPr>
        <w:spacing w:after="160" w:line="360" w:lineRule="auto"/>
        <w:ind w:left="567" w:right="437"/>
        <w:jc w:val="center"/>
        <w:rPr>
          <w:rFonts w:ascii="Sylfaen" w:eastAsia="Times New Roman" w:hAnsi="Sylfaen" w:cs="Times New Roman"/>
          <w:sz w:val="24"/>
          <w:szCs w:val="24"/>
        </w:rPr>
      </w:pPr>
      <w:r w:rsidRPr="00834D52">
        <w:rPr>
          <w:rFonts w:ascii="Sylfaen" w:hAnsi="Sylfaen"/>
          <w:sz w:val="24"/>
          <w:szCs w:val="24"/>
        </w:rPr>
        <w:lastRenderedPageBreak/>
        <w:t>II. Դեղապատրաստուկների տարբեր տեսակների համար գրանցման դոսյեի մոդուլներում ներկայացվող փաստաթղթերի օրինակելի ցանկը</w:t>
      </w:r>
    </w:p>
    <w:p w14:paraId="069BF7DF" w14:textId="77777777" w:rsidR="006F76EB" w:rsidRPr="00834D52" w:rsidRDefault="006F76EB" w:rsidP="008E009C">
      <w:pPr>
        <w:spacing w:after="160" w:line="360" w:lineRule="auto"/>
        <w:ind w:right="-8"/>
        <w:rPr>
          <w:rFonts w:ascii="Sylfaen" w:hAnsi="Sylfaen"/>
          <w:sz w:val="24"/>
          <w:szCs w:val="24"/>
        </w:rPr>
      </w:pPr>
    </w:p>
    <w:p w14:paraId="2880D884" w14:textId="77777777" w:rsidR="006F76EB" w:rsidRPr="00834D52" w:rsidRDefault="006F76EB" w:rsidP="008E009C">
      <w:pPr>
        <w:spacing w:after="160" w:line="360" w:lineRule="auto"/>
        <w:ind w:right="-6" w:firstLine="567"/>
        <w:jc w:val="both"/>
        <w:rPr>
          <w:rFonts w:ascii="Sylfaen" w:hAnsi="Sylfaen"/>
          <w:sz w:val="24"/>
          <w:szCs w:val="24"/>
        </w:rPr>
      </w:pPr>
      <w:r w:rsidRPr="00834D52">
        <w:rPr>
          <w:rFonts w:ascii="Sylfaen" w:hAnsi="Sylfaen"/>
          <w:sz w:val="24"/>
          <w:szCs w:val="24"/>
        </w:rPr>
        <w:t xml:space="preserve">Սույն ցանկն օժանդակող է սույն փաստաթղթի I մասի համար </w:t>
      </w:r>
      <w:r w:rsidR="00C54D75">
        <w:rPr>
          <w:rFonts w:ascii="Sylfaen" w:hAnsi="Sylfaen"/>
          <w:sz w:val="24"/>
          <w:szCs w:val="24"/>
        </w:rPr>
        <w:t>և</w:t>
      </w:r>
      <w:r w:rsidRPr="00834D52">
        <w:rPr>
          <w:rFonts w:ascii="Sylfaen" w:hAnsi="Sylfaen"/>
          <w:sz w:val="24"/>
          <w:szCs w:val="24"/>
        </w:rPr>
        <w:t xml:space="preserve"> աղյուսակային ձ</w:t>
      </w:r>
      <w:r w:rsidR="00C54D75">
        <w:rPr>
          <w:rFonts w:ascii="Sylfaen" w:hAnsi="Sylfaen"/>
          <w:sz w:val="24"/>
          <w:szCs w:val="24"/>
        </w:rPr>
        <w:t>և</w:t>
      </w:r>
      <w:r w:rsidRPr="00834D52">
        <w:rPr>
          <w:rFonts w:ascii="Sylfaen" w:hAnsi="Sylfaen"/>
          <w:sz w:val="24"/>
          <w:szCs w:val="24"/>
        </w:rPr>
        <w:t xml:space="preserve">ով ներկայացնում է դեղապատրաստուկի գրանցման դոսյեի օրինակելի լրակազմության </w:t>
      </w:r>
    </w:p>
    <w:p w14:paraId="71FF03C3" w14:textId="77777777" w:rsidR="006F76EB" w:rsidRPr="00834D52" w:rsidRDefault="006F76EB" w:rsidP="008E009C">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անցկացման անհրաժեշտ ծավալով։ վերաբերյալ տեղեկատվություն՝ դեղապատրաստուկների առանձին տեսակների համար։ </w:t>
      </w:r>
    </w:p>
    <w:p w14:paraId="5F403870" w14:textId="77777777" w:rsidR="006F76EB" w:rsidRPr="00834D52" w:rsidRDefault="006F76EB" w:rsidP="008E009C">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դոսյեն կազմելիս </w:t>
      </w:r>
      <w:r w:rsidR="00C54D75">
        <w:rPr>
          <w:rFonts w:ascii="Sylfaen" w:hAnsi="Sylfaen"/>
          <w:sz w:val="24"/>
          <w:szCs w:val="24"/>
        </w:rPr>
        <w:t>և</w:t>
      </w:r>
      <w:r w:rsidRPr="00834D52">
        <w:rPr>
          <w:rFonts w:ascii="Sylfaen" w:hAnsi="Sylfaen"/>
          <w:sz w:val="24"/>
          <w:szCs w:val="24"/>
        </w:rPr>
        <w:t xml:space="preserve"> դրա լրակազմության գնահատումն անցկացնելիս հարկավոր է առաջին հերթին ղեկավարվել սույն փաստաթղթի I մասում </w:t>
      </w:r>
      <w:r w:rsidR="00C54D75">
        <w:rPr>
          <w:rFonts w:ascii="Sylfaen" w:hAnsi="Sylfaen"/>
          <w:sz w:val="24"/>
          <w:szCs w:val="24"/>
        </w:rPr>
        <w:t>և</w:t>
      </w:r>
      <w:r w:rsidRPr="00834D52">
        <w:rPr>
          <w:rFonts w:ascii="Sylfaen" w:hAnsi="Sylfaen"/>
          <w:sz w:val="24"/>
          <w:szCs w:val="24"/>
        </w:rPr>
        <w:t xml:space="preserve"> Եվրասիական տնտեսական հանձնաժողովի կողմից հաստատվող՝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թիվ 1 հավելվածում ներկայացված ցուցումներով, ինչպես նա</w:t>
      </w:r>
      <w:r w:rsidR="00C54D75">
        <w:rPr>
          <w:rFonts w:ascii="Sylfaen" w:hAnsi="Sylfaen"/>
          <w:sz w:val="24"/>
          <w:szCs w:val="24"/>
        </w:rPr>
        <w:t>և</w:t>
      </w:r>
      <w:r w:rsidRPr="00834D52">
        <w:rPr>
          <w:rFonts w:ascii="Sylfaen" w:hAnsi="Sylfaen"/>
          <w:sz w:val="24"/>
          <w:szCs w:val="24"/>
        </w:rPr>
        <w:t xml:space="preserve"> դեղապատրաստուկ մշակելիս Եվրասիական տնտեսական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կանոններում </w:t>
      </w:r>
      <w:r w:rsidR="00C54D75">
        <w:rPr>
          <w:rFonts w:ascii="Sylfaen" w:hAnsi="Sylfaen"/>
          <w:sz w:val="24"/>
          <w:szCs w:val="24"/>
        </w:rPr>
        <w:t>և</w:t>
      </w:r>
      <w:r w:rsidRPr="00834D52">
        <w:rPr>
          <w:rFonts w:ascii="Sylfaen" w:hAnsi="Sylfaen"/>
          <w:sz w:val="24"/>
          <w:szCs w:val="24"/>
        </w:rPr>
        <w:t xml:space="preserve"> Եվրասիական տնտեսական միության տարածքում կենսաբանական դեղամիջոցների հետազոտությունների անցկացման կանոններում նշված նախակլինիկական </w:t>
      </w:r>
      <w:r w:rsidR="00C54D75">
        <w:rPr>
          <w:rFonts w:ascii="Sylfaen" w:hAnsi="Sylfaen"/>
          <w:sz w:val="24"/>
          <w:szCs w:val="24"/>
        </w:rPr>
        <w:t>և</w:t>
      </w:r>
      <w:r w:rsidRPr="00834D52">
        <w:rPr>
          <w:rFonts w:ascii="Sylfaen" w:hAnsi="Sylfaen"/>
          <w:sz w:val="24"/>
          <w:szCs w:val="24"/>
        </w:rPr>
        <w:t xml:space="preserve"> կլինիկական</w:t>
      </w:r>
    </w:p>
    <w:p w14:paraId="3DC21068" w14:textId="77777777" w:rsidR="006F76EB" w:rsidRPr="00834D52" w:rsidRDefault="006F76EB" w:rsidP="006F76EB">
      <w:pPr>
        <w:spacing w:after="120" w:line="240" w:lineRule="auto"/>
        <w:ind w:right="-8"/>
        <w:jc w:val="both"/>
        <w:rPr>
          <w:rFonts w:ascii="Sylfaen" w:eastAsia="Times New Roman" w:hAnsi="Sylfaen" w:cs="Times New Roman"/>
          <w:sz w:val="24"/>
          <w:szCs w:val="24"/>
        </w:rPr>
        <w:sectPr w:rsidR="006F76EB" w:rsidRPr="00834D52" w:rsidSect="00C31D56">
          <w:footerReference w:type="default" r:id="rId11"/>
          <w:pgSz w:w="11920" w:h="16840"/>
          <w:pgMar w:top="1418" w:right="1418" w:bottom="1418" w:left="1418" w:header="738" w:footer="517" w:gutter="0"/>
          <w:pgNumType w:start="1"/>
          <w:cols w:space="720"/>
          <w:titlePg/>
          <w:docGrid w:linePitch="299"/>
        </w:sectPr>
      </w:pPr>
    </w:p>
    <w:tbl>
      <w:tblPr>
        <w:tblW w:w="0" w:type="auto"/>
        <w:jc w:val="center"/>
        <w:tblLayout w:type="fixed"/>
        <w:tblCellMar>
          <w:left w:w="0" w:type="dxa"/>
          <w:right w:w="0" w:type="dxa"/>
        </w:tblCellMar>
        <w:tblLook w:val="01E0" w:firstRow="1" w:lastRow="1" w:firstColumn="1" w:lastColumn="1" w:noHBand="0" w:noVBand="0"/>
      </w:tblPr>
      <w:tblGrid>
        <w:gridCol w:w="1134"/>
        <w:gridCol w:w="1276"/>
        <w:gridCol w:w="1984"/>
        <w:gridCol w:w="1418"/>
        <w:gridCol w:w="1560"/>
        <w:gridCol w:w="1417"/>
        <w:gridCol w:w="1559"/>
        <w:gridCol w:w="1701"/>
        <w:gridCol w:w="1275"/>
        <w:gridCol w:w="1560"/>
      </w:tblGrid>
      <w:tr w:rsidR="006F76EB" w:rsidRPr="00834D52" w14:paraId="2B011372" w14:textId="77777777" w:rsidTr="001A24A9">
        <w:trPr>
          <w:trHeight w:val="405"/>
          <w:tblHeade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58FC38F3" w14:textId="77777777" w:rsidR="006F76EB" w:rsidRPr="00834D52" w:rsidRDefault="006F76EB" w:rsidP="00F71229">
            <w:pPr>
              <w:spacing w:after="120" w:line="240" w:lineRule="auto"/>
              <w:ind w:right="-20"/>
              <w:jc w:val="center"/>
              <w:rPr>
                <w:rFonts w:ascii="Sylfaen" w:eastAsia="Times New Roman" w:hAnsi="Sylfaen" w:cs="Times New Roman"/>
                <w:sz w:val="24"/>
                <w:szCs w:val="24"/>
              </w:rPr>
            </w:pPr>
            <w:r w:rsidRPr="00834D52">
              <w:rPr>
                <w:rFonts w:ascii="Sylfaen" w:hAnsi="Sylfaen"/>
                <w:sz w:val="24"/>
                <w:szCs w:val="24"/>
              </w:rPr>
              <w:lastRenderedPageBreak/>
              <w:t>Մոդուլի մասի համարը</w:t>
            </w:r>
          </w:p>
        </w:tc>
        <w:tc>
          <w:tcPr>
            <w:tcW w:w="13750" w:type="dxa"/>
            <w:gridSpan w:val="9"/>
            <w:tcBorders>
              <w:top w:val="single" w:sz="4" w:space="0" w:color="auto"/>
              <w:left w:val="single" w:sz="4" w:space="0" w:color="auto"/>
              <w:bottom w:val="single" w:sz="4" w:space="0" w:color="auto"/>
              <w:right w:val="single" w:sz="4" w:space="0" w:color="auto"/>
            </w:tcBorders>
            <w:vAlign w:val="center"/>
          </w:tcPr>
          <w:p w14:paraId="5F21B3F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625745F4" w14:textId="77777777" w:rsidTr="001A24A9">
        <w:trPr>
          <w:trHeight w:val="540"/>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6353CFA8" w14:textId="77777777" w:rsidR="006F76EB" w:rsidRPr="00834D52" w:rsidRDefault="006F76EB" w:rsidP="00F71229">
            <w:pPr>
              <w:spacing w:after="120" w:line="240" w:lineRule="auto"/>
              <w:ind w:left="208" w:right="-20"/>
              <w:jc w:val="center"/>
              <w:rPr>
                <w:rFonts w:ascii="Sylfaen" w:eastAsia="Times New Roman" w:hAnsi="Sylfae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15258AB" w14:textId="77777777" w:rsidR="006F76EB" w:rsidRPr="00834D52" w:rsidRDefault="006F76EB" w:rsidP="00F71229">
            <w:pPr>
              <w:spacing w:after="120" w:line="240" w:lineRule="auto"/>
              <w:ind w:left="95" w:right="72"/>
              <w:jc w:val="center"/>
              <w:rPr>
                <w:rFonts w:ascii="Sylfaen" w:eastAsia="Times New Roman" w:hAnsi="Sylfaen" w:cs="Times New Roman"/>
                <w:sz w:val="24"/>
                <w:szCs w:val="24"/>
              </w:rPr>
            </w:pPr>
            <w:r w:rsidRPr="00834D52">
              <w:rPr>
                <w:rFonts w:ascii="Sylfaen" w:hAnsi="Sylfaen"/>
                <w:sz w:val="24"/>
                <w:szCs w:val="24"/>
              </w:rPr>
              <w:t>օրիգինալ</w:t>
            </w:r>
          </w:p>
        </w:tc>
        <w:tc>
          <w:tcPr>
            <w:tcW w:w="1984" w:type="dxa"/>
            <w:tcBorders>
              <w:top w:val="single" w:sz="4" w:space="0" w:color="auto"/>
              <w:left w:val="single" w:sz="4" w:space="0" w:color="auto"/>
              <w:bottom w:val="single" w:sz="4" w:space="0" w:color="auto"/>
              <w:right w:val="single" w:sz="4" w:space="0" w:color="auto"/>
            </w:tcBorders>
            <w:vAlign w:val="center"/>
          </w:tcPr>
          <w:p w14:paraId="6F205C87" w14:textId="77777777" w:rsidR="006F76EB" w:rsidRPr="00834D52" w:rsidRDefault="006F76EB" w:rsidP="00F71229">
            <w:pPr>
              <w:spacing w:after="120" w:line="240" w:lineRule="auto"/>
              <w:ind w:left="52" w:right="27"/>
              <w:jc w:val="center"/>
              <w:rPr>
                <w:rFonts w:ascii="Sylfaen" w:eastAsia="Times New Roman" w:hAnsi="Sylfaen" w:cs="Times New Roman"/>
                <w:sz w:val="24"/>
                <w:szCs w:val="24"/>
              </w:rPr>
            </w:pPr>
            <w:r w:rsidRPr="00834D52">
              <w:rPr>
                <w:rFonts w:ascii="Sylfaen" w:hAnsi="Sylfaen"/>
                <w:sz w:val="24"/>
                <w:szCs w:val="24"/>
              </w:rPr>
              <w:t>վերարտադրված</w:t>
            </w:r>
          </w:p>
        </w:tc>
        <w:tc>
          <w:tcPr>
            <w:tcW w:w="1418" w:type="dxa"/>
            <w:tcBorders>
              <w:top w:val="single" w:sz="4" w:space="0" w:color="auto"/>
              <w:left w:val="single" w:sz="4" w:space="0" w:color="auto"/>
              <w:bottom w:val="single" w:sz="4" w:space="0" w:color="auto"/>
              <w:right w:val="single" w:sz="4" w:space="0" w:color="auto"/>
            </w:tcBorders>
            <w:vAlign w:val="center"/>
          </w:tcPr>
          <w:p w14:paraId="478AA10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հիբրիդային</w:t>
            </w:r>
          </w:p>
        </w:tc>
        <w:tc>
          <w:tcPr>
            <w:tcW w:w="1560" w:type="dxa"/>
            <w:tcBorders>
              <w:top w:val="single" w:sz="4" w:space="0" w:color="auto"/>
              <w:left w:val="single" w:sz="4" w:space="0" w:color="auto"/>
              <w:bottom w:val="single" w:sz="4" w:space="0" w:color="auto"/>
              <w:right w:val="single" w:sz="4" w:space="0" w:color="auto"/>
            </w:tcBorders>
            <w:vAlign w:val="center"/>
          </w:tcPr>
          <w:p w14:paraId="2C50584B" w14:textId="77777777" w:rsidR="006F76EB" w:rsidRPr="00834D52" w:rsidRDefault="006F76EB" w:rsidP="00F71229">
            <w:pPr>
              <w:spacing w:after="120" w:line="240" w:lineRule="auto"/>
              <w:ind w:left="28" w:right="3"/>
              <w:jc w:val="center"/>
              <w:rPr>
                <w:rFonts w:ascii="Sylfaen" w:eastAsia="Times New Roman" w:hAnsi="Sylfaen" w:cs="Times New Roman"/>
                <w:sz w:val="24"/>
                <w:szCs w:val="24"/>
              </w:rPr>
            </w:pPr>
            <w:r w:rsidRPr="00834D52">
              <w:rPr>
                <w:rFonts w:ascii="Sylfaen" w:hAnsi="Sylfaen"/>
                <w:sz w:val="24"/>
                <w:szCs w:val="24"/>
              </w:rPr>
              <w:t>կենսաանա</w:t>
            </w:r>
            <w:r w:rsidRPr="00834D52">
              <w:rPr>
                <w:rFonts w:ascii="Sylfaen" w:hAnsi="Sylfaen"/>
                <w:sz w:val="24"/>
                <w:szCs w:val="24"/>
                <w:lang w:val="en-US"/>
              </w:rPr>
              <w:t>-</w:t>
            </w:r>
            <w:r w:rsidRPr="00834D52">
              <w:rPr>
                <w:rFonts w:ascii="Sylfaen" w:hAnsi="Sylfaen"/>
                <w:sz w:val="24"/>
                <w:szCs w:val="24"/>
              </w:rPr>
              <w:t>լոգային</w:t>
            </w:r>
          </w:p>
        </w:tc>
        <w:tc>
          <w:tcPr>
            <w:tcW w:w="1417" w:type="dxa"/>
            <w:tcBorders>
              <w:top w:val="single" w:sz="4" w:space="0" w:color="auto"/>
              <w:left w:val="single" w:sz="4" w:space="0" w:color="auto"/>
              <w:bottom w:val="single" w:sz="4" w:space="0" w:color="auto"/>
              <w:right w:val="single" w:sz="4" w:space="0" w:color="auto"/>
            </w:tcBorders>
            <w:vAlign w:val="center"/>
          </w:tcPr>
          <w:p w14:paraId="21580B6A" w14:textId="77777777" w:rsidR="006F76EB" w:rsidRPr="00834D52" w:rsidRDefault="006F76EB" w:rsidP="00F71229">
            <w:pPr>
              <w:spacing w:after="120" w:line="240" w:lineRule="auto"/>
              <w:ind w:right="51"/>
              <w:jc w:val="center"/>
              <w:rPr>
                <w:rFonts w:ascii="Sylfaen" w:eastAsia="Times New Roman" w:hAnsi="Sylfaen" w:cs="Times New Roman"/>
                <w:sz w:val="24"/>
                <w:szCs w:val="24"/>
              </w:rPr>
            </w:pPr>
            <w:r w:rsidRPr="00834D52">
              <w:rPr>
                <w:rFonts w:ascii="Sylfaen" w:hAnsi="Sylfaen"/>
                <w:sz w:val="24"/>
                <w:szCs w:val="24"/>
              </w:rPr>
              <w:t>պատվաստանյութեր (շիճուկներ)</w:t>
            </w:r>
          </w:p>
        </w:tc>
        <w:tc>
          <w:tcPr>
            <w:tcW w:w="1559" w:type="dxa"/>
            <w:tcBorders>
              <w:top w:val="single" w:sz="4" w:space="0" w:color="auto"/>
              <w:left w:val="single" w:sz="4" w:space="0" w:color="auto"/>
              <w:bottom w:val="single" w:sz="4" w:space="0" w:color="auto"/>
              <w:right w:val="single" w:sz="4" w:space="0" w:color="auto"/>
            </w:tcBorders>
            <w:vAlign w:val="center"/>
          </w:tcPr>
          <w:p w14:paraId="49BAB700" w14:textId="77777777" w:rsidR="006F76EB" w:rsidRPr="00834D52" w:rsidRDefault="006F76EB" w:rsidP="00F71229">
            <w:pPr>
              <w:spacing w:after="120" w:line="240" w:lineRule="auto"/>
              <w:ind w:left="21"/>
              <w:jc w:val="center"/>
              <w:rPr>
                <w:rFonts w:ascii="Sylfaen" w:eastAsia="Times New Roman" w:hAnsi="Sylfaen" w:cs="Times New Roman"/>
                <w:sz w:val="24"/>
                <w:szCs w:val="24"/>
              </w:rPr>
            </w:pPr>
            <w:r w:rsidRPr="00834D52">
              <w:rPr>
                <w:rFonts w:ascii="Sylfaen" w:hAnsi="Sylfaen"/>
                <w:sz w:val="24"/>
                <w:szCs w:val="24"/>
              </w:rPr>
              <w:t>հոմեոպաթիկ</w:t>
            </w:r>
          </w:p>
        </w:tc>
        <w:tc>
          <w:tcPr>
            <w:tcW w:w="1701" w:type="dxa"/>
            <w:tcBorders>
              <w:top w:val="single" w:sz="4" w:space="0" w:color="auto"/>
              <w:left w:val="single" w:sz="4" w:space="0" w:color="auto"/>
              <w:bottom w:val="single" w:sz="4" w:space="0" w:color="auto"/>
              <w:right w:val="single" w:sz="4" w:space="0" w:color="auto"/>
            </w:tcBorders>
            <w:vAlign w:val="center"/>
          </w:tcPr>
          <w:p w14:paraId="1B0B5E82" w14:textId="77777777" w:rsidR="006F76EB" w:rsidRPr="00834D52" w:rsidRDefault="006F76EB" w:rsidP="00F71229">
            <w:pPr>
              <w:spacing w:after="120" w:line="240" w:lineRule="auto"/>
              <w:ind w:left="64" w:right="43"/>
              <w:jc w:val="center"/>
              <w:rPr>
                <w:rFonts w:ascii="Sylfaen" w:eastAsia="Times New Roman" w:hAnsi="Sylfaen" w:cs="Times New Roman"/>
                <w:sz w:val="24"/>
                <w:szCs w:val="24"/>
              </w:rPr>
            </w:pPr>
            <w:r w:rsidRPr="00834D52">
              <w:rPr>
                <w:rFonts w:ascii="Sylfaen" w:hAnsi="Sylfaen"/>
                <w:sz w:val="24"/>
                <w:szCs w:val="24"/>
              </w:rPr>
              <w:t>Հոմեոպաթիկ (պարզեցված դոսյե)</w:t>
            </w:r>
          </w:p>
        </w:tc>
        <w:tc>
          <w:tcPr>
            <w:tcW w:w="1275" w:type="dxa"/>
            <w:tcBorders>
              <w:top w:val="single" w:sz="4" w:space="0" w:color="auto"/>
              <w:left w:val="single" w:sz="4" w:space="0" w:color="auto"/>
              <w:bottom w:val="single" w:sz="4" w:space="0" w:color="auto"/>
              <w:right w:val="single" w:sz="4" w:space="0" w:color="auto"/>
            </w:tcBorders>
            <w:vAlign w:val="center"/>
          </w:tcPr>
          <w:p w14:paraId="1E355D19" w14:textId="77777777" w:rsidR="006F76EB" w:rsidRPr="00834D52" w:rsidRDefault="006F76EB" w:rsidP="00F71229">
            <w:pPr>
              <w:spacing w:after="120" w:line="240" w:lineRule="auto"/>
              <w:ind w:left="21"/>
              <w:jc w:val="center"/>
              <w:rPr>
                <w:rFonts w:ascii="Sylfaen" w:eastAsia="Times New Roman" w:hAnsi="Sylfaen" w:cs="Times New Roman"/>
                <w:sz w:val="24"/>
                <w:szCs w:val="24"/>
              </w:rPr>
            </w:pPr>
            <w:r w:rsidRPr="00834D52">
              <w:rPr>
                <w:rFonts w:ascii="Sylfaen" w:hAnsi="Sylfaen"/>
                <w:sz w:val="24"/>
                <w:szCs w:val="24"/>
              </w:rPr>
              <w:t>բուսական</w:t>
            </w:r>
          </w:p>
        </w:tc>
        <w:tc>
          <w:tcPr>
            <w:tcW w:w="1560" w:type="dxa"/>
            <w:tcBorders>
              <w:top w:val="single" w:sz="4" w:space="0" w:color="auto"/>
              <w:left w:val="single" w:sz="4" w:space="0" w:color="auto"/>
              <w:bottom w:val="single" w:sz="4" w:space="0" w:color="auto"/>
              <w:right w:val="single" w:sz="4" w:space="0" w:color="auto"/>
            </w:tcBorders>
            <w:vAlign w:val="center"/>
          </w:tcPr>
          <w:p w14:paraId="00414095" w14:textId="77777777" w:rsidR="006F76EB" w:rsidRPr="00834D52" w:rsidRDefault="006F76EB" w:rsidP="00F71229">
            <w:pPr>
              <w:spacing w:after="120" w:line="240" w:lineRule="auto"/>
              <w:jc w:val="center"/>
              <w:rPr>
                <w:rFonts w:ascii="Sylfaen" w:eastAsia="Times New Roman" w:hAnsi="Sylfaen" w:cs="Times New Roman"/>
                <w:sz w:val="24"/>
                <w:szCs w:val="24"/>
              </w:rPr>
            </w:pPr>
            <w:r w:rsidRPr="00834D52">
              <w:rPr>
                <w:rFonts w:ascii="Sylfaen" w:hAnsi="Sylfaen"/>
                <w:sz w:val="24"/>
                <w:szCs w:val="24"/>
              </w:rPr>
              <w:t>բուսական (պարզեցված դոսյե)</w:t>
            </w:r>
          </w:p>
        </w:tc>
      </w:tr>
      <w:tr w:rsidR="006F76EB" w:rsidRPr="00834D52" w14:paraId="75D1295D" w14:textId="77777777" w:rsidTr="001A24A9">
        <w:trPr>
          <w:jc w:val="center"/>
        </w:trPr>
        <w:tc>
          <w:tcPr>
            <w:tcW w:w="14884" w:type="dxa"/>
            <w:gridSpan w:val="10"/>
            <w:tcBorders>
              <w:top w:val="single" w:sz="4" w:space="0" w:color="auto"/>
              <w:left w:val="single" w:sz="4" w:space="0" w:color="auto"/>
              <w:bottom w:val="single" w:sz="4" w:space="0" w:color="auto"/>
              <w:right w:val="single" w:sz="4" w:space="0" w:color="auto"/>
            </w:tcBorders>
            <w:vAlign w:val="center"/>
          </w:tcPr>
          <w:p w14:paraId="492399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1. ՎԱՐՉԱԿԱՆ ՏԵՂԵԿԱՏՎՈՒԹՅՈՒՆ</w:t>
            </w:r>
          </w:p>
        </w:tc>
      </w:tr>
      <w:tr w:rsidR="006F76EB" w:rsidRPr="00834D52" w14:paraId="2C919642" w14:textId="77777777" w:rsidTr="001A24A9">
        <w:trPr>
          <w:jc w:val="center"/>
        </w:trPr>
        <w:tc>
          <w:tcPr>
            <w:tcW w:w="1134" w:type="dxa"/>
            <w:tcBorders>
              <w:top w:val="nil"/>
              <w:left w:val="nil"/>
              <w:bottom w:val="nil"/>
              <w:right w:val="nil"/>
            </w:tcBorders>
            <w:vAlign w:val="center"/>
          </w:tcPr>
          <w:p w14:paraId="742CBC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1.0.</w:t>
            </w:r>
          </w:p>
        </w:tc>
        <w:tc>
          <w:tcPr>
            <w:tcW w:w="1276" w:type="dxa"/>
            <w:tcBorders>
              <w:top w:val="nil"/>
              <w:left w:val="nil"/>
              <w:bottom w:val="nil"/>
              <w:right w:val="nil"/>
            </w:tcBorders>
            <w:vAlign w:val="center"/>
          </w:tcPr>
          <w:p w14:paraId="73420A47" w14:textId="77777777" w:rsidR="006F76EB" w:rsidRPr="00834D52" w:rsidRDefault="006F76EB" w:rsidP="000B3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7913A4E" w14:textId="77777777" w:rsidR="006F76EB" w:rsidRPr="00834D52" w:rsidRDefault="006F76EB" w:rsidP="000B3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976AD8F"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8ED1E04"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BA55BD7"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1C11F86"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8E3180C"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B1E38F6"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17BFC7A"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BFD6637" w14:textId="77777777" w:rsidTr="001A24A9">
        <w:trPr>
          <w:jc w:val="center"/>
        </w:trPr>
        <w:tc>
          <w:tcPr>
            <w:tcW w:w="1134" w:type="dxa"/>
            <w:tcBorders>
              <w:top w:val="nil"/>
              <w:left w:val="nil"/>
              <w:bottom w:val="nil"/>
              <w:right w:val="nil"/>
            </w:tcBorders>
            <w:vAlign w:val="center"/>
          </w:tcPr>
          <w:p w14:paraId="683E35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w:t>
            </w:r>
          </w:p>
        </w:tc>
        <w:tc>
          <w:tcPr>
            <w:tcW w:w="1276" w:type="dxa"/>
            <w:tcBorders>
              <w:top w:val="nil"/>
              <w:left w:val="nil"/>
              <w:bottom w:val="nil"/>
              <w:right w:val="nil"/>
            </w:tcBorders>
            <w:vAlign w:val="center"/>
          </w:tcPr>
          <w:p w14:paraId="35A39CF2"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0C8B9B7"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F899E77"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D90EDCF"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BFFE8FB"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399A34D"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81A8AB5"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D47EB09"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B10BBB2"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D6C0B28" w14:textId="77777777" w:rsidTr="001A24A9">
        <w:trPr>
          <w:jc w:val="center"/>
        </w:trPr>
        <w:tc>
          <w:tcPr>
            <w:tcW w:w="1134" w:type="dxa"/>
            <w:tcBorders>
              <w:top w:val="nil"/>
              <w:left w:val="nil"/>
              <w:bottom w:val="nil"/>
              <w:right w:val="nil"/>
            </w:tcBorders>
            <w:vAlign w:val="center"/>
          </w:tcPr>
          <w:p w14:paraId="234741E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w:t>
            </w:r>
          </w:p>
        </w:tc>
        <w:tc>
          <w:tcPr>
            <w:tcW w:w="1276" w:type="dxa"/>
            <w:tcBorders>
              <w:top w:val="nil"/>
              <w:left w:val="nil"/>
              <w:bottom w:val="nil"/>
              <w:right w:val="nil"/>
            </w:tcBorders>
            <w:vAlign w:val="center"/>
          </w:tcPr>
          <w:p w14:paraId="7FB8AA76"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A7065C1"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74FC84BC"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67D288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A88327C"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605936B"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EF5379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061FC15"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A10B13B"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7B42CDFF" w14:textId="77777777" w:rsidTr="001A24A9">
        <w:trPr>
          <w:jc w:val="center"/>
        </w:trPr>
        <w:tc>
          <w:tcPr>
            <w:tcW w:w="1134" w:type="dxa"/>
            <w:tcBorders>
              <w:top w:val="nil"/>
              <w:left w:val="nil"/>
              <w:bottom w:val="nil"/>
              <w:right w:val="nil"/>
            </w:tcBorders>
            <w:vAlign w:val="center"/>
          </w:tcPr>
          <w:p w14:paraId="64F4FEE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1.2.1.</w:t>
            </w:r>
          </w:p>
        </w:tc>
        <w:tc>
          <w:tcPr>
            <w:tcW w:w="1276" w:type="dxa"/>
            <w:tcBorders>
              <w:top w:val="nil"/>
              <w:left w:val="nil"/>
              <w:bottom w:val="nil"/>
              <w:right w:val="nil"/>
            </w:tcBorders>
            <w:vAlign w:val="center"/>
          </w:tcPr>
          <w:p w14:paraId="25E4E4F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9310F9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A307D68"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147DF4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D4DF1EC"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246D4FC"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26590E6"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D74C116"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3205AA9"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062B13" w14:textId="77777777" w:rsidTr="001A24A9">
        <w:trPr>
          <w:jc w:val="center"/>
        </w:trPr>
        <w:tc>
          <w:tcPr>
            <w:tcW w:w="1134" w:type="dxa"/>
            <w:tcBorders>
              <w:top w:val="nil"/>
              <w:left w:val="nil"/>
              <w:bottom w:val="nil"/>
              <w:right w:val="nil"/>
            </w:tcBorders>
            <w:vAlign w:val="center"/>
          </w:tcPr>
          <w:p w14:paraId="4CE5B0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1.2.2.</w:t>
            </w:r>
          </w:p>
        </w:tc>
        <w:tc>
          <w:tcPr>
            <w:tcW w:w="1276" w:type="dxa"/>
            <w:tcBorders>
              <w:top w:val="nil"/>
              <w:left w:val="nil"/>
              <w:bottom w:val="nil"/>
              <w:right w:val="nil"/>
            </w:tcBorders>
            <w:vAlign w:val="center"/>
          </w:tcPr>
          <w:p w14:paraId="22A5FC22"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4C6692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ABC33D0"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11C931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042F195"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33AA50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D95F1F"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D230BD8"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48A204F"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280225D" w14:textId="77777777" w:rsidTr="001A24A9">
        <w:trPr>
          <w:jc w:val="center"/>
        </w:trPr>
        <w:tc>
          <w:tcPr>
            <w:tcW w:w="1134" w:type="dxa"/>
            <w:tcBorders>
              <w:top w:val="nil"/>
              <w:left w:val="nil"/>
              <w:bottom w:val="nil"/>
              <w:right w:val="nil"/>
            </w:tcBorders>
            <w:vAlign w:val="center"/>
          </w:tcPr>
          <w:p w14:paraId="01AF507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1.2.3.</w:t>
            </w:r>
          </w:p>
        </w:tc>
        <w:tc>
          <w:tcPr>
            <w:tcW w:w="1276" w:type="dxa"/>
            <w:tcBorders>
              <w:top w:val="nil"/>
              <w:left w:val="nil"/>
              <w:bottom w:val="nil"/>
              <w:right w:val="nil"/>
            </w:tcBorders>
            <w:vAlign w:val="center"/>
          </w:tcPr>
          <w:p w14:paraId="3DAED9E5"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7E9F8E9"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5FF07DD"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3DDA7FE"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8274AB"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CC2A334"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1FBEEFC"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90C255F"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2026F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500E9EB" w14:textId="77777777" w:rsidTr="001A24A9">
        <w:trPr>
          <w:jc w:val="center"/>
        </w:trPr>
        <w:tc>
          <w:tcPr>
            <w:tcW w:w="1134" w:type="dxa"/>
            <w:tcBorders>
              <w:top w:val="nil"/>
              <w:left w:val="nil"/>
              <w:bottom w:val="nil"/>
              <w:right w:val="nil"/>
            </w:tcBorders>
            <w:vAlign w:val="center"/>
          </w:tcPr>
          <w:p w14:paraId="78B325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1.2.4.</w:t>
            </w:r>
          </w:p>
        </w:tc>
        <w:tc>
          <w:tcPr>
            <w:tcW w:w="1276" w:type="dxa"/>
            <w:tcBorders>
              <w:top w:val="nil"/>
              <w:left w:val="nil"/>
              <w:bottom w:val="nil"/>
              <w:right w:val="nil"/>
            </w:tcBorders>
            <w:vAlign w:val="center"/>
          </w:tcPr>
          <w:p w14:paraId="0BA6F716"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1F61CDA7"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061B3E29"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5E2C711A"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69FBD3DA"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7CFB3120"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B989E26"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8F7E5A8"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9322D4F"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4CD12C35" w14:textId="77777777" w:rsidTr="001A24A9">
        <w:trPr>
          <w:jc w:val="center"/>
        </w:trPr>
        <w:tc>
          <w:tcPr>
            <w:tcW w:w="1134" w:type="dxa"/>
            <w:tcBorders>
              <w:top w:val="nil"/>
              <w:left w:val="nil"/>
              <w:bottom w:val="nil"/>
              <w:right w:val="nil"/>
            </w:tcBorders>
            <w:vAlign w:val="center"/>
          </w:tcPr>
          <w:p w14:paraId="7F1ABB6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1.2.5.</w:t>
            </w:r>
          </w:p>
        </w:tc>
        <w:tc>
          <w:tcPr>
            <w:tcW w:w="1276" w:type="dxa"/>
            <w:tcBorders>
              <w:top w:val="nil"/>
              <w:left w:val="nil"/>
              <w:bottom w:val="nil"/>
              <w:right w:val="nil"/>
            </w:tcBorders>
            <w:vAlign w:val="center"/>
          </w:tcPr>
          <w:p w14:paraId="3F935E5E"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139805CE"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4A237884"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4DD34122"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3C76A5BF"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2EC1558C"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FBA870"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6799C97"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27926C6"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41B5864E" w14:textId="77777777" w:rsidTr="001A24A9">
        <w:trPr>
          <w:jc w:val="center"/>
        </w:trPr>
        <w:tc>
          <w:tcPr>
            <w:tcW w:w="1134" w:type="dxa"/>
            <w:tcBorders>
              <w:top w:val="nil"/>
              <w:left w:val="nil"/>
              <w:bottom w:val="nil"/>
              <w:right w:val="nil"/>
            </w:tcBorders>
            <w:vAlign w:val="center"/>
          </w:tcPr>
          <w:p w14:paraId="0F99C2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1.2.6.</w:t>
            </w:r>
          </w:p>
        </w:tc>
        <w:tc>
          <w:tcPr>
            <w:tcW w:w="1276" w:type="dxa"/>
            <w:tcBorders>
              <w:top w:val="nil"/>
              <w:left w:val="nil"/>
              <w:bottom w:val="nil"/>
              <w:right w:val="nil"/>
            </w:tcBorders>
            <w:vAlign w:val="center"/>
          </w:tcPr>
          <w:p w14:paraId="18C85D4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59AF5B63"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3751C2B3"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56A72FC8"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66E0F4EE"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5F21302A"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741B611"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EF278DA"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7131265"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65918E9D" w14:textId="77777777" w:rsidTr="001A24A9">
        <w:trPr>
          <w:jc w:val="center"/>
        </w:trPr>
        <w:tc>
          <w:tcPr>
            <w:tcW w:w="1134" w:type="dxa"/>
            <w:tcBorders>
              <w:top w:val="nil"/>
              <w:left w:val="nil"/>
              <w:bottom w:val="nil"/>
              <w:right w:val="nil"/>
            </w:tcBorders>
            <w:vAlign w:val="center"/>
          </w:tcPr>
          <w:p w14:paraId="6BEE41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w:t>
            </w:r>
          </w:p>
        </w:tc>
        <w:tc>
          <w:tcPr>
            <w:tcW w:w="1276" w:type="dxa"/>
            <w:tcBorders>
              <w:top w:val="nil"/>
              <w:left w:val="nil"/>
              <w:bottom w:val="nil"/>
              <w:right w:val="nil"/>
            </w:tcBorders>
            <w:vAlign w:val="center"/>
          </w:tcPr>
          <w:p w14:paraId="2E5257FC"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8062BCD"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0FCB155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CFF6BF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6DDE0B77"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A6AD68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6FB4F473"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C12BF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6592948"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EE303C8" w14:textId="77777777" w:rsidTr="001A24A9">
        <w:trPr>
          <w:jc w:val="center"/>
        </w:trPr>
        <w:tc>
          <w:tcPr>
            <w:tcW w:w="1134" w:type="dxa"/>
            <w:tcBorders>
              <w:top w:val="nil"/>
              <w:left w:val="nil"/>
              <w:bottom w:val="nil"/>
              <w:right w:val="nil"/>
            </w:tcBorders>
            <w:vAlign w:val="center"/>
          </w:tcPr>
          <w:p w14:paraId="1C1906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1.3.1.</w:t>
            </w:r>
          </w:p>
        </w:tc>
        <w:tc>
          <w:tcPr>
            <w:tcW w:w="1276" w:type="dxa"/>
            <w:tcBorders>
              <w:top w:val="nil"/>
              <w:left w:val="nil"/>
              <w:bottom w:val="nil"/>
              <w:right w:val="nil"/>
            </w:tcBorders>
            <w:vAlign w:val="center"/>
          </w:tcPr>
          <w:p w14:paraId="071F65E4"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949FC9"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2C2D88F"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7FAA710"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5E7E4BB"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C3EC48E"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F0767A2"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A1F88FF"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6D75BA1"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A498D1F" w14:textId="77777777" w:rsidTr="001A24A9">
        <w:trPr>
          <w:jc w:val="center"/>
        </w:trPr>
        <w:tc>
          <w:tcPr>
            <w:tcW w:w="1134" w:type="dxa"/>
            <w:tcBorders>
              <w:top w:val="nil"/>
              <w:left w:val="nil"/>
              <w:bottom w:val="nil"/>
              <w:right w:val="nil"/>
            </w:tcBorders>
            <w:vAlign w:val="center"/>
          </w:tcPr>
          <w:p w14:paraId="7614F6C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1.3.2.</w:t>
            </w:r>
          </w:p>
        </w:tc>
        <w:tc>
          <w:tcPr>
            <w:tcW w:w="1276" w:type="dxa"/>
            <w:tcBorders>
              <w:top w:val="nil"/>
              <w:left w:val="nil"/>
              <w:bottom w:val="nil"/>
              <w:right w:val="nil"/>
            </w:tcBorders>
            <w:vAlign w:val="center"/>
          </w:tcPr>
          <w:p w14:paraId="1D4B47EC"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C12DB4F"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7456D8"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C345ABC"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F89B5F7"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1168C23"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0AF886"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4ED1667"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6815292"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A501BC5" w14:textId="77777777" w:rsidTr="001A24A9">
        <w:trPr>
          <w:jc w:val="center"/>
        </w:trPr>
        <w:tc>
          <w:tcPr>
            <w:tcW w:w="1134" w:type="dxa"/>
            <w:tcBorders>
              <w:top w:val="nil"/>
              <w:left w:val="nil"/>
              <w:bottom w:val="nil"/>
              <w:right w:val="nil"/>
            </w:tcBorders>
            <w:vAlign w:val="center"/>
          </w:tcPr>
          <w:p w14:paraId="32B7AF2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1.3.3.</w:t>
            </w:r>
          </w:p>
        </w:tc>
        <w:tc>
          <w:tcPr>
            <w:tcW w:w="1276" w:type="dxa"/>
            <w:tcBorders>
              <w:top w:val="nil"/>
              <w:left w:val="nil"/>
              <w:bottom w:val="nil"/>
              <w:right w:val="nil"/>
            </w:tcBorders>
            <w:vAlign w:val="center"/>
          </w:tcPr>
          <w:p w14:paraId="4BC87E82"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5AA124C"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88CDBFB"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EDFF503"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0C76335"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C35D068"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788EBB1"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AC6AAD6"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2949CCD"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567015A7" w14:textId="77777777" w:rsidTr="001A24A9">
        <w:trPr>
          <w:jc w:val="center"/>
        </w:trPr>
        <w:tc>
          <w:tcPr>
            <w:tcW w:w="1134" w:type="dxa"/>
            <w:tcBorders>
              <w:top w:val="nil"/>
              <w:left w:val="nil"/>
              <w:bottom w:val="nil"/>
              <w:right w:val="nil"/>
            </w:tcBorders>
            <w:vAlign w:val="center"/>
          </w:tcPr>
          <w:p w14:paraId="2E46305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1.3.4.</w:t>
            </w:r>
          </w:p>
        </w:tc>
        <w:tc>
          <w:tcPr>
            <w:tcW w:w="1276" w:type="dxa"/>
            <w:tcBorders>
              <w:top w:val="nil"/>
              <w:left w:val="nil"/>
              <w:bottom w:val="nil"/>
              <w:right w:val="nil"/>
            </w:tcBorders>
            <w:vAlign w:val="center"/>
          </w:tcPr>
          <w:p w14:paraId="55B9DA17"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5F085B0"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74588E8"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1A1E933"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B7C16DB"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285946B"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9BA3F0"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2ED0A92"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ABB81D2"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2F1C5FD" w14:textId="77777777" w:rsidTr="001A24A9">
        <w:trPr>
          <w:jc w:val="center"/>
        </w:trPr>
        <w:tc>
          <w:tcPr>
            <w:tcW w:w="1134" w:type="dxa"/>
            <w:tcBorders>
              <w:top w:val="nil"/>
              <w:left w:val="nil"/>
              <w:bottom w:val="nil"/>
              <w:right w:val="nil"/>
            </w:tcBorders>
            <w:vAlign w:val="center"/>
          </w:tcPr>
          <w:p w14:paraId="24FB82A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1.4.</w:t>
            </w:r>
          </w:p>
        </w:tc>
        <w:tc>
          <w:tcPr>
            <w:tcW w:w="1276" w:type="dxa"/>
            <w:tcBorders>
              <w:top w:val="nil"/>
              <w:left w:val="nil"/>
              <w:bottom w:val="nil"/>
              <w:right w:val="nil"/>
            </w:tcBorders>
            <w:vAlign w:val="center"/>
          </w:tcPr>
          <w:p w14:paraId="5FCF47F5"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E086A4E"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3E3062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770F65F"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3A83DF5"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85D9042"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8740CEA"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7205E27"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FC8BC6F"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E4617A1" w14:textId="77777777" w:rsidTr="001A24A9">
        <w:trPr>
          <w:jc w:val="center"/>
        </w:trPr>
        <w:tc>
          <w:tcPr>
            <w:tcW w:w="1134" w:type="dxa"/>
            <w:tcBorders>
              <w:top w:val="nil"/>
              <w:left w:val="nil"/>
              <w:bottom w:val="nil"/>
              <w:right w:val="nil"/>
            </w:tcBorders>
            <w:vAlign w:val="center"/>
          </w:tcPr>
          <w:p w14:paraId="704568A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1.4.1.</w:t>
            </w:r>
          </w:p>
        </w:tc>
        <w:tc>
          <w:tcPr>
            <w:tcW w:w="1276" w:type="dxa"/>
            <w:tcBorders>
              <w:top w:val="nil"/>
              <w:left w:val="nil"/>
              <w:bottom w:val="nil"/>
              <w:right w:val="nil"/>
            </w:tcBorders>
            <w:vAlign w:val="center"/>
          </w:tcPr>
          <w:p w14:paraId="31CDB906"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3C3FDE8A"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9493948"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927879B"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C89EFF1"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2C6D7F3"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1577899"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3BA279A"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78E0441"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07CCCE79" w14:textId="77777777" w:rsidTr="001A24A9">
        <w:trPr>
          <w:jc w:val="center"/>
        </w:trPr>
        <w:tc>
          <w:tcPr>
            <w:tcW w:w="1134" w:type="dxa"/>
            <w:tcBorders>
              <w:top w:val="nil"/>
              <w:left w:val="nil"/>
              <w:bottom w:val="nil"/>
              <w:right w:val="nil"/>
            </w:tcBorders>
            <w:vAlign w:val="center"/>
          </w:tcPr>
          <w:p w14:paraId="72054DC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1.5.</w:t>
            </w:r>
          </w:p>
        </w:tc>
        <w:tc>
          <w:tcPr>
            <w:tcW w:w="1276" w:type="dxa"/>
            <w:tcBorders>
              <w:top w:val="nil"/>
              <w:left w:val="nil"/>
              <w:bottom w:val="nil"/>
              <w:right w:val="nil"/>
            </w:tcBorders>
            <w:vAlign w:val="center"/>
          </w:tcPr>
          <w:p w14:paraId="5084F640"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17E7C8F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214C1A2"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615535E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D018E6D"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FC1A53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22EC22F9"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580664D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856DF9A"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4480017" w14:textId="77777777" w:rsidTr="001A24A9">
        <w:trPr>
          <w:jc w:val="center"/>
        </w:trPr>
        <w:tc>
          <w:tcPr>
            <w:tcW w:w="1134" w:type="dxa"/>
            <w:tcBorders>
              <w:top w:val="nil"/>
              <w:left w:val="nil"/>
              <w:bottom w:val="nil"/>
              <w:right w:val="nil"/>
            </w:tcBorders>
            <w:vAlign w:val="center"/>
          </w:tcPr>
          <w:p w14:paraId="57199BE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1.5.1.</w:t>
            </w:r>
          </w:p>
        </w:tc>
        <w:tc>
          <w:tcPr>
            <w:tcW w:w="1276" w:type="dxa"/>
            <w:tcBorders>
              <w:top w:val="nil"/>
              <w:left w:val="nil"/>
              <w:bottom w:val="nil"/>
              <w:right w:val="nil"/>
            </w:tcBorders>
            <w:vAlign w:val="center"/>
          </w:tcPr>
          <w:p w14:paraId="0C7F8DC5"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46E7AA9"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D6472CB"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194C7F0"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3C71523"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782961E"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7C5AB6E"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54E6D15"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CBB9B78"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5BF1584" w14:textId="77777777" w:rsidTr="001A24A9">
        <w:trPr>
          <w:jc w:val="center"/>
        </w:trPr>
        <w:tc>
          <w:tcPr>
            <w:tcW w:w="1134" w:type="dxa"/>
            <w:tcBorders>
              <w:top w:val="nil"/>
              <w:left w:val="nil"/>
              <w:bottom w:val="nil"/>
              <w:right w:val="nil"/>
            </w:tcBorders>
            <w:vAlign w:val="center"/>
          </w:tcPr>
          <w:p w14:paraId="393866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1.5.2.</w:t>
            </w:r>
          </w:p>
        </w:tc>
        <w:tc>
          <w:tcPr>
            <w:tcW w:w="1276" w:type="dxa"/>
            <w:tcBorders>
              <w:top w:val="nil"/>
              <w:left w:val="nil"/>
              <w:bottom w:val="nil"/>
              <w:right w:val="nil"/>
            </w:tcBorders>
            <w:vAlign w:val="center"/>
          </w:tcPr>
          <w:p w14:paraId="43C97E0E"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3F5B76E"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48AB05C"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79C7224"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7D3BC2C"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0E6CFCF"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1BEFA49" w14:textId="77777777" w:rsidR="006F76EB" w:rsidRPr="00834D52" w:rsidRDefault="00314778"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694A44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F6FF963"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DCFD646" w14:textId="77777777" w:rsidTr="001A24A9">
        <w:trPr>
          <w:jc w:val="center"/>
        </w:trPr>
        <w:tc>
          <w:tcPr>
            <w:tcW w:w="1134" w:type="dxa"/>
            <w:tcBorders>
              <w:top w:val="nil"/>
              <w:left w:val="nil"/>
              <w:bottom w:val="nil"/>
              <w:right w:val="nil"/>
            </w:tcBorders>
            <w:vAlign w:val="center"/>
          </w:tcPr>
          <w:p w14:paraId="3EA95EE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1.5.3.</w:t>
            </w:r>
          </w:p>
        </w:tc>
        <w:tc>
          <w:tcPr>
            <w:tcW w:w="1276" w:type="dxa"/>
            <w:tcBorders>
              <w:top w:val="nil"/>
              <w:left w:val="nil"/>
              <w:bottom w:val="nil"/>
              <w:right w:val="nil"/>
            </w:tcBorders>
            <w:vAlign w:val="center"/>
          </w:tcPr>
          <w:p w14:paraId="02AA2713"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4A9BA00"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E517164"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577B635"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C9607E4"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2B97A3C" w14:textId="77777777" w:rsidR="006F76EB" w:rsidRPr="00834D52" w:rsidRDefault="00C76C8E"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009349C9" w14:textId="77777777" w:rsidR="006F76EB" w:rsidRPr="00834D52" w:rsidRDefault="00C76C8E"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D824C68" w14:textId="77777777" w:rsidR="006F76EB" w:rsidRPr="00834D52" w:rsidRDefault="00C76C8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rPr>
              <w:t>-</w:t>
            </w:r>
          </w:p>
        </w:tc>
        <w:tc>
          <w:tcPr>
            <w:tcW w:w="1560" w:type="dxa"/>
            <w:tcBorders>
              <w:top w:val="nil"/>
              <w:left w:val="nil"/>
              <w:bottom w:val="nil"/>
              <w:right w:val="nil"/>
            </w:tcBorders>
            <w:vAlign w:val="center"/>
          </w:tcPr>
          <w:p w14:paraId="7ABA07F2" w14:textId="77777777" w:rsidR="006F76EB" w:rsidRPr="00834D52" w:rsidRDefault="00C76C8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rPr>
              <w:t>-</w:t>
            </w:r>
          </w:p>
        </w:tc>
      </w:tr>
      <w:tr w:rsidR="006F76EB" w:rsidRPr="00834D52" w14:paraId="4AF9573F" w14:textId="77777777" w:rsidTr="001A24A9">
        <w:trPr>
          <w:jc w:val="center"/>
        </w:trPr>
        <w:tc>
          <w:tcPr>
            <w:tcW w:w="1134" w:type="dxa"/>
            <w:tcBorders>
              <w:top w:val="nil"/>
              <w:left w:val="nil"/>
              <w:bottom w:val="nil"/>
              <w:right w:val="nil"/>
            </w:tcBorders>
            <w:vAlign w:val="center"/>
          </w:tcPr>
          <w:p w14:paraId="395C07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1.5.4.</w:t>
            </w:r>
          </w:p>
        </w:tc>
        <w:tc>
          <w:tcPr>
            <w:tcW w:w="1276" w:type="dxa"/>
            <w:tcBorders>
              <w:top w:val="nil"/>
              <w:left w:val="nil"/>
              <w:bottom w:val="nil"/>
              <w:right w:val="nil"/>
            </w:tcBorders>
            <w:vAlign w:val="center"/>
          </w:tcPr>
          <w:p w14:paraId="1A9221CC"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3274162"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404483C"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353F48B"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6D97506"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F6B6330"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5C8F398" w14:textId="77777777" w:rsidR="006F76EB" w:rsidRPr="00834D52" w:rsidRDefault="005E7C0D"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935C8D0"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65AF0E"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FB250F2" w14:textId="77777777" w:rsidTr="001A24A9">
        <w:trPr>
          <w:jc w:val="center"/>
        </w:trPr>
        <w:tc>
          <w:tcPr>
            <w:tcW w:w="1134" w:type="dxa"/>
            <w:tcBorders>
              <w:top w:val="nil"/>
              <w:left w:val="nil"/>
              <w:bottom w:val="nil"/>
              <w:right w:val="nil"/>
            </w:tcBorders>
            <w:vAlign w:val="center"/>
          </w:tcPr>
          <w:p w14:paraId="5A94D75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1.5.5.</w:t>
            </w:r>
          </w:p>
        </w:tc>
        <w:tc>
          <w:tcPr>
            <w:tcW w:w="1276" w:type="dxa"/>
            <w:tcBorders>
              <w:top w:val="nil"/>
              <w:left w:val="nil"/>
              <w:bottom w:val="nil"/>
              <w:right w:val="nil"/>
            </w:tcBorders>
            <w:vAlign w:val="center"/>
          </w:tcPr>
          <w:p w14:paraId="1B15FB13"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354DD2E8"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5A0E14E"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7F02AB5"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3A30C2A"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11679C1"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649BA6E"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581D538"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0DD9539"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30555D2" w14:textId="77777777" w:rsidTr="001A24A9">
        <w:trPr>
          <w:jc w:val="center"/>
        </w:trPr>
        <w:tc>
          <w:tcPr>
            <w:tcW w:w="1134" w:type="dxa"/>
            <w:tcBorders>
              <w:top w:val="nil"/>
              <w:left w:val="nil"/>
              <w:bottom w:val="nil"/>
              <w:right w:val="nil"/>
            </w:tcBorders>
            <w:vAlign w:val="center"/>
          </w:tcPr>
          <w:p w14:paraId="06D8385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1.5.6.</w:t>
            </w:r>
          </w:p>
        </w:tc>
        <w:tc>
          <w:tcPr>
            <w:tcW w:w="1276" w:type="dxa"/>
            <w:tcBorders>
              <w:top w:val="nil"/>
              <w:left w:val="nil"/>
              <w:bottom w:val="nil"/>
              <w:right w:val="nil"/>
            </w:tcBorders>
            <w:vAlign w:val="center"/>
          </w:tcPr>
          <w:p w14:paraId="2FF57004"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5D71534"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57555E3B"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10CDE78"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5BF5DAF"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979F656"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6EC3EE5"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035C88F"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6A5BE8F8"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06008436" w14:textId="77777777" w:rsidTr="001A24A9">
        <w:trPr>
          <w:jc w:val="center"/>
        </w:trPr>
        <w:tc>
          <w:tcPr>
            <w:tcW w:w="1134" w:type="dxa"/>
            <w:tcBorders>
              <w:top w:val="nil"/>
              <w:left w:val="nil"/>
              <w:bottom w:val="nil"/>
              <w:right w:val="nil"/>
            </w:tcBorders>
            <w:vAlign w:val="center"/>
          </w:tcPr>
          <w:p w14:paraId="5EBA50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w:t>
            </w:r>
          </w:p>
        </w:tc>
        <w:tc>
          <w:tcPr>
            <w:tcW w:w="1276" w:type="dxa"/>
            <w:tcBorders>
              <w:top w:val="nil"/>
              <w:left w:val="nil"/>
              <w:bottom w:val="nil"/>
              <w:right w:val="nil"/>
            </w:tcBorders>
            <w:vAlign w:val="center"/>
          </w:tcPr>
          <w:p w14:paraId="2CAC381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5F0CA08"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1838286"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D3344EC"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2E7B6FA"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E6352D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36EAB0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7A4D62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9B7A9F9"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0843D446" w14:textId="77777777" w:rsidTr="001A24A9">
        <w:trPr>
          <w:jc w:val="center"/>
        </w:trPr>
        <w:tc>
          <w:tcPr>
            <w:tcW w:w="1134" w:type="dxa"/>
            <w:tcBorders>
              <w:top w:val="nil"/>
              <w:left w:val="nil"/>
              <w:bottom w:val="nil"/>
              <w:right w:val="nil"/>
            </w:tcBorders>
            <w:vAlign w:val="center"/>
          </w:tcPr>
          <w:p w14:paraId="5CDCBB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w:t>
            </w:r>
          </w:p>
        </w:tc>
        <w:tc>
          <w:tcPr>
            <w:tcW w:w="1276" w:type="dxa"/>
            <w:tcBorders>
              <w:top w:val="nil"/>
              <w:left w:val="nil"/>
              <w:bottom w:val="nil"/>
              <w:right w:val="nil"/>
            </w:tcBorders>
            <w:vAlign w:val="center"/>
          </w:tcPr>
          <w:p w14:paraId="1B0EF3BB"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7A90A14"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AF45D23"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BA5C036"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0CBAFD0"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1246A05"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D042925"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3AB3680"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A569FF9"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1710BC6" w14:textId="77777777" w:rsidTr="001A24A9">
        <w:trPr>
          <w:jc w:val="center"/>
        </w:trPr>
        <w:tc>
          <w:tcPr>
            <w:tcW w:w="1134" w:type="dxa"/>
            <w:tcBorders>
              <w:top w:val="nil"/>
              <w:left w:val="nil"/>
              <w:bottom w:val="nil"/>
              <w:right w:val="nil"/>
            </w:tcBorders>
            <w:vAlign w:val="center"/>
          </w:tcPr>
          <w:p w14:paraId="2D3339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1.6.2.</w:t>
            </w:r>
          </w:p>
        </w:tc>
        <w:tc>
          <w:tcPr>
            <w:tcW w:w="1276" w:type="dxa"/>
            <w:tcBorders>
              <w:top w:val="nil"/>
              <w:left w:val="nil"/>
              <w:bottom w:val="nil"/>
              <w:right w:val="nil"/>
            </w:tcBorders>
            <w:vAlign w:val="center"/>
          </w:tcPr>
          <w:p w14:paraId="2130D211"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8F79A5C"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DE9A07F"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6BF299E"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EAC4114"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1497C52"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3350E5"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AB34BBD"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B6D76BD"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FA77E3F" w14:textId="77777777" w:rsidTr="001A24A9">
        <w:trPr>
          <w:jc w:val="center"/>
        </w:trPr>
        <w:tc>
          <w:tcPr>
            <w:tcW w:w="1134" w:type="dxa"/>
            <w:tcBorders>
              <w:top w:val="nil"/>
              <w:left w:val="nil"/>
              <w:bottom w:val="nil"/>
              <w:right w:val="nil"/>
            </w:tcBorders>
            <w:vAlign w:val="center"/>
          </w:tcPr>
          <w:p w14:paraId="08DD7FF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1.6.3.</w:t>
            </w:r>
          </w:p>
        </w:tc>
        <w:tc>
          <w:tcPr>
            <w:tcW w:w="1276" w:type="dxa"/>
            <w:tcBorders>
              <w:top w:val="nil"/>
              <w:left w:val="nil"/>
              <w:bottom w:val="nil"/>
              <w:right w:val="nil"/>
            </w:tcBorders>
            <w:vAlign w:val="center"/>
          </w:tcPr>
          <w:p w14:paraId="34835384"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D27C38C"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985AE78"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8831EEA"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45D15E"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67E0599"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BA9A17D"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5A50942"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7610271"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D7C38B5" w14:textId="77777777" w:rsidTr="001A24A9">
        <w:trPr>
          <w:jc w:val="center"/>
        </w:trPr>
        <w:tc>
          <w:tcPr>
            <w:tcW w:w="1134" w:type="dxa"/>
            <w:tcBorders>
              <w:top w:val="nil"/>
              <w:left w:val="nil"/>
              <w:bottom w:val="nil"/>
              <w:right w:val="nil"/>
            </w:tcBorders>
            <w:vAlign w:val="center"/>
          </w:tcPr>
          <w:p w14:paraId="77A2FE8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30B00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8257D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714E9D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009C7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241D73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2EA1C3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A485B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64D892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383AC77"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p>
        </w:tc>
      </w:tr>
      <w:tr w:rsidR="006F76EB" w:rsidRPr="00834D52" w14:paraId="4AF792B2" w14:textId="77777777" w:rsidTr="001A24A9">
        <w:trPr>
          <w:jc w:val="center"/>
        </w:trPr>
        <w:tc>
          <w:tcPr>
            <w:tcW w:w="1134" w:type="dxa"/>
            <w:tcBorders>
              <w:top w:val="nil"/>
              <w:left w:val="nil"/>
              <w:bottom w:val="nil"/>
              <w:right w:val="nil"/>
            </w:tcBorders>
            <w:vAlign w:val="center"/>
          </w:tcPr>
          <w:p w14:paraId="31984BA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1.6.4.</w:t>
            </w:r>
          </w:p>
        </w:tc>
        <w:tc>
          <w:tcPr>
            <w:tcW w:w="1276" w:type="dxa"/>
            <w:tcBorders>
              <w:top w:val="nil"/>
              <w:left w:val="nil"/>
              <w:bottom w:val="nil"/>
              <w:right w:val="nil"/>
            </w:tcBorders>
            <w:vAlign w:val="center"/>
          </w:tcPr>
          <w:p w14:paraId="3A9BF01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5727D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9A0D38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9E09DA5"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590C791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E8F33E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6C669F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4DB6AF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0A4525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94B2589" w14:textId="77777777" w:rsidTr="001A24A9">
        <w:trPr>
          <w:jc w:val="center"/>
        </w:trPr>
        <w:tc>
          <w:tcPr>
            <w:tcW w:w="1134" w:type="dxa"/>
            <w:tcBorders>
              <w:top w:val="nil"/>
              <w:left w:val="nil"/>
              <w:bottom w:val="nil"/>
              <w:right w:val="nil"/>
            </w:tcBorders>
            <w:vAlign w:val="center"/>
          </w:tcPr>
          <w:p w14:paraId="16C38E4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1.6.5.</w:t>
            </w:r>
          </w:p>
        </w:tc>
        <w:tc>
          <w:tcPr>
            <w:tcW w:w="1276" w:type="dxa"/>
            <w:tcBorders>
              <w:top w:val="nil"/>
              <w:left w:val="nil"/>
              <w:bottom w:val="nil"/>
              <w:right w:val="nil"/>
            </w:tcBorders>
            <w:vAlign w:val="center"/>
          </w:tcPr>
          <w:p w14:paraId="67353A6A"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00ED67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4457009"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6E7F1F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B39AEE1"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EF698A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54BDB6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A2C948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B4AA28F"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4032C6F" w14:textId="77777777" w:rsidTr="001A24A9">
        <w:trPr>
          <w:jc w:val="center"/>
        </w:trPr>
        <w:tc>
          <w:tcPr>
            <w:tcW w:w="1134" w:type="dxa"/>
            <w:tcBorders>
              <w:top w:val="nil"/>
              <w:left w:val="nil"/>
              <w:bottom w:val="nil"/>
              <w:right w:val="nil"/>
            </w:tcBorders>
            <w:vAlign w:val="center"/>
          </w:tcPr>
          <w:p w14:paraId="12EBCD9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1.6.6.</w:t>
            </w:r>
          </w:p>
        </w:tc>
        <w:tc>
          <w:tcPr>
            <w:tcW w:w="1276" w:type="dxa"/>
            <w:tcBorders>
              <w:top w:val="nil"/>
              <w:left w:val="nil"/>
              <w:bottom w:val="nil"/>
              <w:right w:val="nil"/>
            </w:tcBorders>
            <w:vAlign w:val="center"/>
          </w:tcPr>
          <w:p w14:paraId="7B3AE501"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D705EB0"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AED3B35"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A056613"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C29D0A0"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B356F5B"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BFDB8BF"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FA54431"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235C63E"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C82DBA1" w14:textId="77777777" w:rsidTr="001A24A9">
        <w:trPr>
          <w:jc w:val="center"/>
        </w:trPr>
        <w:tc>
          <w:tcPr>
            <w:tcW w:w="1134" w:type="dxa"/>
            <w:tcBorders>
              <w:top w:val="nil"/>
              <w:left w:val="nil"/>
              <w:bottom w:val="nil"/>
              <w:right w:val="nil"/>
            </w:tcBorders>
            <w:vAlign w:val="center"/>
          </w:tcPr>
          <w:p w14:paraId="38CC9E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1.6.7.</w:t>
            </w:r>
          </w:p>
        </w:tc>
        <w:tc>
          <w:tcPr>
            <w:tcW w:w="1276" w:type="dxa"/>
            <w:tcBorders>
              <w:top w:val="nil"/>
              <w:left w:val="nil"/>
              <w:bottom w:val="nil"/>
              <w:right w:val="nil"/>
            </w:tcBorders>
            <w:vAlign w:val="center"/>
          </w:tcPr>
          <w:p w14:paraId="1CE792FF"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AFF05B8"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48B4FD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81D507"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2D627B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CBD62F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88AFB12"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6CEC1D2"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4EE7ECB"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FEEF6FB" w14:textId="77777777" w:rsidTr="001A24A9">
        <w:trPr>
          <w:jc w:val="center"/>
        </w:trPr>
        <w:tc>
          <w:tcPr>
            <w:tcW w:w="1134" w:type="dxa"/>
            <w:tcBorders>
              <w:top w:val="nil"/>
              <w:left w:val="nil"/>
              <w:bottom w:val="nil"/>
              <w:right w:val="nil"/>
            </w:tcBorders>
            <w:vAlign w:val="center"/>
          </w:tcPr>
          <w:p w14:paraId="53309DE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1.6.8.</w:t>
            </w:r>
          </w:p>
        </w:tc>
        <w:tc>
          <w:tcPr>
            <w:tcW w:w="1276" w:type="dxa"/>
            <w:tcBorders>
              <w:top w:val="nil"/>
              <w:left w:val="nil"/>
              <w:bottom w:val="nil"/>
              <w:right w:val="nil"/>
            </w:tcBorders>
            <w:vAlign w:val="center"/>
          </w:tcPr>
          <w:p w14:paraId="0B27A9A0"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A323C3"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C9FB20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57C92BF"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716A70A"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B131BED"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7231F26" w14:textId="77777777" w:rsidR="006F76EB" w:rsidRPr="00834D52" w:rsidRDefault="00C9094D"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96EDCA8" w14:textId="77777777" w:rsidR="006F76EB" w:rsidRPr="00834D52" w:rsidRDefault="006F76EB" w:rsidP="00C9094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D13E96E" w14:textId="77777777" w:rsidR="006F76EB" w:rsidRPr="00834D52" w:rsidRDefault="006F76EB" w:rsidP="00C9094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A5E66AC" w14:textId="77777777" w:rsidTr="001A24A9">
        <w:trPr>
          <w:jc w:val="center"/>
        </w:trPr>
        <w:tc>
          <w:tcPr>
            <w:tcW w:w="1134" w:type="dxa"/>
            <w:tcBorders>
              <w:top w:val="nil"/>
              <w:left w:val="nil"/>
              <w:bottom w:val="nil"/>
              <w:right w:val="nil"/>
            </w:tcBorders>
            <w:vAlign w:val="center"/>
          </w:tcPr>
          <w:p w14:paraId="4D85C2B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1.6.9.</w:t>
            </w:r>
          </w:p>
        </w:tc>
        <w:tc>
          <w:tcPr>
            <w:tcW w:w="1276" w:type="dxa"/>
            <w:tcBorders>
              <w:top w:val="nil"/>
              <w:left w:val="nil"/>
              <w:bottom w:val="nil"/>
              <w:right w:val="nil"/>
            </w:tcBorders>
            <w:vAlign w:val="center"/>
          </w:tcPr>
          <w:p w14:paraId="1F8CB869"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48B4F43"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F6CA33F"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5BF5C90"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94ECE63"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F509025"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70B6AFA8"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B7DC687"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33604AF"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09BD702" w14:textId="77777777" w:rsidTr="001A24A9">
        <w:trPr>
          <w:jc w:val="center"/>
        </w:trPr>
        <w:tc>
          <w:tcPr>
            <w:tcW w:w="1134" w:type="dxa"/>
            <w:tcBorders>
              <w:top w:val="nil"/>
              <w:left w:val="nil"/>
              <w:bottom w:val="nil"/>
              <w:right w:val="nil"/>
            </w:tcBorders>
            <w:vAlign w:val="center"/>
          </w:tcPr>
          <w:p w14:paraId="329597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1.6.10.</w:t>
            </w:r>
          </w:p>
        </w:tc>
        <w:tc>
          <w:tcPr>
            <w:tcW w:w="1276" w:type="dxa"/>
            <w:tcBorders>
              <w:top w:val="nil"/>
              <w:left w:val="nil"/>
              <w:bottom w:val="nil"/>
              <w:right w:val="nil"/>
            </w:tcBorders>
            <w:vAlign w:val="center"/>
          </w:tcPr>
          <w:p w14:paraId="2FE95EE2"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6E9C810"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1ACDDFC"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CCF407"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4BA5E2D"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CBBAF94"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74B8255"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6D3A7E1"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0DC5B00"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33EE5EA" w14:textId="77777777" w:rsidTr="001A24A9">
        <w:trPr>
          <w:jc w:val="center"/>
        </w:trPr>
        <w:tc>
          <w:tcPr>
            <w:tcW w:w="1134" w:type="dxa"/>
            <w:tcBorders>
              <w:top w:val="nil"/>
              <w:left w:val="nil"/>
              <w:bottom w:val="nil"/>
              <w:right w:val="nil"/>
            </w:tcBorders>
            <w:vAlign w:val="center"/>
          </w:tcPr>
          <w:p w14:paraId="4594308F"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6117A6B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63632F8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6F23AD6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6C0345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56A3D07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581DC5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41EEF7C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07A3948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98520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B575D73" w14:textId="77777777" w:rsidTr="001A24A9">
        <w:trPr>
          <w:jc w:val="center"/>
        </w:trPr>
        <w:tc>
          <w:tcPr>
            <w:tcW w:w="1134" w:type="dxa"/>
            <w:tcBorders>
              <w:top w:val="nil"/>
              <w:left w:val="nil"/>
              <w:bottom w:val="nil"/>
              <w:right w:val="nil"/>
            </w:tcBorders>
            <w:vAlign w:val="center"/>
          </w:tcPr>
          <w:p w14:paraId="4F0725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1.6.11.</w:t>
            </w:r>
          </w:p>
        </w:tc>
        <w:tc>
          <w:tcPr>
            <w:tcW w:w="1276" w:type="dxa"/>
            <w:tcBorders>
              <w:top w:val="nil"/>
              <w:left w:val="nil"/>
              <w:bottom w:val="nil"/>
              <w:right w:val="nil"/>
            </w:tcBorders>
            <w:vAlign w:val="center"/>
          </w:tcPr>
          <w:p w14:paraId="602E554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C8A9D5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CC3324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76CAAA2"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EDABE59"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8C550B2"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4B599F4"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5DFDE96"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86AFC21"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3D1ED06" w14:textId="77777777" w:rsidTr="001A24A9">
        <w:trPr>
          <w:jc w:val="center"/>
        </w:trPr>
        <w:tc>
          <w:tcPr>
            <w:tcW w:w="1134" w:type="dxa"/>
            <w:tcBorders>
              <w:top w:val="nil"/>
              <w:left w:val="nil"/>
              <w:bottom w:val="nil"/>
              <w:right w:val="nil"/>
            </w:tcBorders>
            <w:vAlign w:val="center"/>
          </w:tcPr>
          <w:p w14:paraId="01A8C7F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w:t>
            </w:r>
          </w:p>
        </w:tc>
        <w:tc>
          <w:tcPr>
            <w:tcW w:w="1276" w:type="dxa"/>
            <w:tcBorders>
              <w:top w:val="nil"/>
              <w:left w:val="nil"/>
              <w:bottom w:val="nil"/>
              <w:right w:val="nil"/>
            </w:tcBorders>
            <w:vAlign w:val="center"/>
          </w:tcPr>
          <w:p w14:paraId="430D0C20"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69711F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C9872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F7D5A7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70470CE"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6068660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201FEB0C"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388FB8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92677E2"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FE406EB" w14:textId="77777777" w:rsidTr="001A24A9">
        <w:trPr>
          <w:jc w:val="center"/>
        </w:trPr>
        <w:tc>
          <w:tcPr>
            <w:tcW w:w="1134" w:type="dxa"/>
            <w:tcBorders>
              <w:top w:val="nil"/>
              <w:left w:val="nil"/>
              <w:bottom w:val="nil"/>
              <w:right w:val="nil"/>
            </w:tcBorders>
            <w:vAlign w:val="center"/>
          </w:tcPr>
          <w:p w14:paraId="777EC3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1.7.1</w:t>
            </w:r>
          </w:p>
        </w:tc>
        <w:tc>
          <w:tcPr>
            <w:tcW w:w="1276" w:type="dxa"/>
            <w:tcBorders>
              <w:top w:val="nil"/>
              <w:left w:val="nil"/>
              <w:bottom w:val="nil"/>
              <w:right w:val="nil"/>
            </w:tcBorders>
            <w:vAlign w:val="center"/>
          </w:tcPr>
          <w:p w14:paraId="551C8BBC"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3298270"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7DE60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AEF084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F1DE5F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90CCBFD"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AFA81DA"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75452F9"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8FFFEF0"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8CCB6D7" w14:textId="77777777" w:rsidTr="001A24A9">
        <w:trPr>
          <w:jc w:val="center"/>
        </w:trPr>
        <w:tc>
          <w:tcPr>
            <w:tcW w:w="1134" w:type="dxa"/>
            <w:tcBorders>
              <w:top w:val="nil"/>
              <w:left w:val="nil"/>
              <w:bottom w:val="nil"/>
              <w:right w:val="nil"/>
            </w:tcBorders>
            <w:vAlign w:val="center"/>
          </w:tcPr>
          <w:p w14:paraId="79EA35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1.7.2.</w:t>
            </w:r>
          </w:p>
        </w:tc>
        <w:tc>
          <w:tcPr>
            <w:tcW w:w="1276" w:type="dxa"/>
            <w:tcBorders>
              <w:top w:val="nil"/>
              <w:left w:val="nil"/>
              <w:bottom w:val="nil"/>
              <w:right w:val="nil"/>
            </w:tcBorders>
            <w:vAlign w:val="center"/>
          </w:tcPr>
          <w:p w14:paraId="2900DDE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14CCB4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A1FCBD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0DB0D62"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E9D371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058AE40"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521AF2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84A612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87D44F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9C41764" w14:textId="77777777" w:rsidTr="001A24A9">
        <w:trPr>
          <w:jc w:val="center"/>
        </w:trPr>
        <w:tc>
          <w:tcPr>
            <w:tcW w:w="1134" w:type="dxa"/>
            <w:tcBorders>
              <w:top w:val="nil"/>
              <w:left w:val="nil"/>
              <w:bottom w:val="nil"/>
              <w:right w:val="nil"/>
            </w:tcBorders>
            <w:vAlign w:val="center"/>
          </w:tcPr>
          <w:p w14:paraId="508F25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1.7.3.</w:t>
            </w:r>
          </w:p>
        </w:tc>
        <w:tc>
          <w:tcPr>
            <w:tcW w:w="1276" w:type="dxa"/>
            <w:tcBorders>
              <w:top w:val="nil"/>
              <w:left w:val="nil"/>
              <w:bottom w:val="nil"/>
              <w:right w:val="nil"/>
            </w:tcBorders>
            <w:vAlign w:val="center"/>
          </w:tcPr>
          <w:p w14:paraId="1E9F9A9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BF95D14"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874AF24"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6FE10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52199BE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B7F6B4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2443627"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DDE2D18"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F74AAA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44EDBD3" w14:textId="77777777" w:rsidTr="001A24A9">
        <w:trPr>
          <w:jc w:val="center"/>
        </w:trPr>
        <w:tc>
          <w:tcPr>
            <w:tcW w:w="1134" w:type="dxa"/>
            <w:tcBorders>
              <w:top w:val="nil"/>
              <w:left w:val="nil"/>
              <w:bottom w:val="nil"/>
              <w:right w:val="nil"/>
            </w:tcBorders>
            <w:vAlign w:val="center"/>
          </w:tcPr>
          <w:p w14:paraId="72C25D2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w:t>
            </w:r>
          </w:p>
        </w:tc>
        <w:tc>
          <w:tcPr>
            <w:tcW w:w="1276" w:type="dxa"/>
            <w:tcBorders>
              <w:top w:val="nil"/>
              <w:left w:val="nil"/>
              <w:bottom w:val="nil"/>
              <w:right w:val="nil"/>
            </w:tcBorders>
            <w:vAlign w:val="center"/>
          </w:tcPr>
          <w:p w14:paraId="257C648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0297446"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15E641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D339FB3"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208276D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4815BD4B"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50BC004"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ED1FDCB"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9023242"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E288DBE" w14:textId="77777777" w:rsidTr="001A24A9">
        <w:trPr>
          <w:jc w:val="center"/>
        </w:trPr>
        <w:tc>
          <w:tcPr>
            <w:tcW w:w="1134" w:type="dxa"/>
            <w:tcBorders>
              <w:top w:val="nil"/>
              <w:left w:val="nil"/>
              <w:bottom w:val="nil"/>
              <w:right w:val="nil"/>
            </w:tcBorders>
            <w:vAlign w:val="center"/>
          </w:tcPr>
          <w:p w14:paraId="1054234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1.8.1.</w:t>
            </w:r>
          </w:p>
        </w:tc>
        <w:tc>
          <w:tcPr>
            <w:tcW w:w="1276" w:type="dxa"/>
            <w:tcBorders>
              <w:top w:val="nil"/>
              <w:left w:val="nil"/>
              <w:bottom w:val="nil"/>
              <w:right w:val="nil"/>
            </w:tcBorders>
            <w:vAlign w:val="center"/>
          </w:tcPr>
          <w:p w14:paraId="06DAAE9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E69A9FC"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6AAE01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462DCD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FC011A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67322A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A05C786"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AC42B8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2C5ED2C"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61ECB9" w14:textId="77777777" w:rsidTr="001A24A9">
        <w:trPr>
          <w:jc w:val="center"/>
        </w:trPr>
        <w:tc>
          <w:tcPr>
            <w:tcW w:w="1134" w:type="dxa"/>
            <w:tcBorders>
              <w:top w:val="nil"/>
              <w:left w:val="nil"/>
              <w:bottom w:val="nil"/>
              <w:right w:val="nil"/>
            </w:tcBorders>
            <w:vAlign w:val="center"/>
          </w:tcPr>
          <w:p w14:paraId="24D2AD4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1.8.2.</w:t>
            </w:r>
          </w:p>
        </w:tc>
        <w:tc>
          <w:tcPr>
            <w:tcW w:w="1276" w:type="dxa"/>
            <w:tcBorders>
              <w:top w:val="nil"/>
              <w:left w:val="nil"/>
              <w:bottom w:val="nil"/>
              <w:right w:val="nil"/>
            </w:tcBorders>
            <w:vAlign w:val="center"/>
          </w:tcPr>
          <w:p w14:paraId="414E755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9F8E17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BEFC33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821EFF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00041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0AAB28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F8F2D98" w14:textId="77777777" w:rsidR="006F76EB" w:rsidRPr="00834D52" w:rsidRDefault="00261E6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2D51089"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2E83C66" w14:textId="77777777" w:rsidR="006F76EB" w:rsidRPr="00834D52" w:rsidRDefault="00261E6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C9F402B" w14:textId="77777777" w:rsidTr="001A24A9">
        <w:trPr>
          <w:jc w:val="center"/>
        </w:trPr>
        <w:tc>
          <w:tcPr>
            <w:tcW w:w="1134" w:type="dxa"/>
            <w:tcBorders>
              <w:top w:val="nil"/>
              <w:left w:val="nil"/>
              <w:bottom w:val="nil"/>
              <w:right w:val="nil"/>
            </w:tcBorders>
            <w:vAlign w:val="center"/>
          </w:tcPr>
          <w:p w14:paraId="41C33C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1.8.3.</w:t>
            </w:r>
          </w:p>
        </w:tc>
        <w:tc>
          <w:tcPr>
            <w:tcW w:w="1276" w:type="dxa"/>
            <w:tcBorders>
              <w:top w:val="nil"/>
              <w:left w:val="nil"/>
              <w:bottom w:val="nil"/>
              <w:right w:val="nil"/>
            </w:tcBorders>
            <w:vAlign w:val="center"/>
          </w:tcPr>
          <w:p w14:paraId="79F930D8"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7D3B831"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04E1507"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E899699"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F631205"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6B72AA0"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EB09AD" w14:textId="77777777" w:rsidR="006F76EB" w:rsidRPr="00834D52" w:rsidRDefault="00554A7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2DF0B9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1CD50BE" w14:textId="77777777" w:rsidR="006F76EB" w:rsidRPr="00834D52" w:rsidRDefault="00554A71"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179CE266" w14:textId="77777777" w:rsidTr="001A24A9">
        <w:trPr>
          <w:jc w:val="center"/>
        </w:trPr>
        <w:tc>
          <w:tcPr>
            <w:tcW w:w="1134" w:type="dxa"/>
            <w:tcBorders>
              <w:top w:val="nil"/>
              <w:left w:val="nil"/>
              <w:bottom w:val="nil"/>
              <w:right w:val="nil"/>
            </w:tcBorders>
            <w:vAlign w:val="center"/>
          </w:tcPr>
          <w:p w14:paraId="646DA5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1.8.4.</w:t>
            </w:r>
          </w:p>
        </w:tc>
        <w:tc>
          <w:tcPr>
            <w:tcW w:w="1276" w:type="dxa"/>
            <w:tcBorders>
              <w:top w:val="nil"/>
              <w:left w:val="nil"/>
              <w:bottom w:val="nil"/>
              <w:right w:val="nil"/>
            </w:tcBorders>
            <w:vAlign w:val="center"/>
          </w:tcPr>
          <w:p w14:paraId="5D7FD204"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A8C40A"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4756C47"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7C7C5ED"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600B851"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4ABBD24"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B83CD05" w14:textId="77777777" w:rsidR="006F76EB" w:rsidRPr="00834D52" w:rsidRDefault="002D12E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A5D0278"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D34A4A3" w14:textId="77777777" w:rsidR="006F76EB" w:rsidRPr="00834D52" w:rsidRDefault="002D12E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778A079" w14:textId="77777777" w:rsidTr="001A24A9">
        <w:trPr>
          <w:jc w:val="center"/>
        </w:trPr>
        <w:tc>
          <w:tcPr>
            <w:tcW w:w="1134" w:type="dxa"/>
            <w:tcBorders>
              <w:top w:val="nil"/>
              <w:left w:val="nil"/>
              <w:bottom w:val="nil"/>
              <w:right w:val="nil"/>
            </w:tcBorders>
            <w:vAlign w:val="center"/>
          </w:tcPr>
          <w:p w14:paraId="78A62D2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1.9.</w:t>
            </w:r>
          </w:p>
        </w:tc>
        <w:tc>
          <w:tcPr>
            <w:tcW w:w="1276" w:type="dxa"/>
            <w:tcBorders>
              <w:top w:val="nil"/>
              <w:left w:val="nil"/>
              <w:bottom w:val="nil"/>
              <w:right w:val="nil"/>
            </w:tcBorders>
            <w:vAlign w:val="center"/>
          </w:tcPr>
          <w:p w14:paraId="1A1F4A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D6790A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924897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9BB7D2B"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8BD9EA8"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2D7C6A2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901FD58"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C60C6E5"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7BB4CA8"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1BFB563E" w14:textId="77777777" w:rsidTr="001A24A9">
        <w:trPr>
          <w:jc w:val="center"/>
        </w:trPr>
        <w:tc>
          <w:tcPr>
            <w:tcW w:w="1134" w:type="dxa"/>
            <w:tcBorders>
              <w:top w:val="nil"/>
              <w:left w:val="nil"/>
              <w:bottom w:val="nil"/>
              <w:right w:val="nil"/>
            </w:tcBorders>
            <w:vAlign w:val="center"/>
          </w:tcPr>
          <w:p w14:paraId="49B11A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1.9.1.</w:t>
            </w:r>
          </w:p>
        </w:tc>
        <w:tc>
          <w:tcPr>
            <w:tcW w:w="1276" w:type="dxa"/>
            <w:tcBorders>
              <w:top w:val="nil"/>
              <w:left w:val="nil"/>
              <w:bottom w:val="nil"/>
              <w:right w:val="nil"/>
            </w:tcBorders>
            <w:vAlign w:val="center"/>
          </w:tcPr>
          <w:p w14:paraId="2A5ED477"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3099B78"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29E13F2"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5702473"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A331B3B"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5A87CE8"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2BCC74EC"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5DAE54C1"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3F653D9"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48DA3283" w14:textId="77777777" w:rsidTr="001A24A9">
        <w:trPr>
          <w:jc w:val="center"/>
        </w:trPr>
        <w:tc>
          <w:tcPr>
            <w:tcW w:w="1134" w:type="dxa"/>
            <w:tcBorders>
              <w:top w:val="nil"/>
              <w:left w:val="nil"/>
              <w:bottom w:val="nil"/>
              <w:right w:val="nil"/>
            </w:tcBorders>
            <w:vAlign w:val="center"/>
          </w:tcPr>
          <w:p w14:paraId="14285B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w:t>
            </w:r>
          </w:p>
        </w:tc>
        <w:tc>
          <w:tcPr>
            <w:tcW w:w="1276" w:type="dxa"/>
            <w:tcBorders>
              <w:top w:val="nil"/>
              <w:left w:val="nil"/>
              <w:bottom w:val="nil"/>
              <w:right w:val="nil"/>
            </w:tcBorders>
            <w:vAlign w:val="center"/>
          </w:tcPr>
          <w:p w14:paraId="6B38A821"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7796E79B"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73401B9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D707567"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E54FE1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DA53E3A"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75130E7"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0CDF53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84637DF"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0F3C762" w14:textId="77777777" w:rsidTr="001A24A9">
        <w:trPr>
          <w:jc w:val="center"/>
        </w:trPr>
        <w:tc>
          <w:tcPr>
            <w:tcW w:w="1134" w:type="dxa"/>
            <w:tcBorders>
              <w:top w:val="nil"/>
              <w:left w:val="nil"/>
              <w:bottom w:val="nil"/>
              <w:right w:val="nil"/>
            </w:tcBorders>
            <w:vAlign w:val="center"/>
          </w:tcPr>
          <w:p w14:paraId="75D0B6E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1.10.1.</w:t>
            </w:r>
          </w:p>
        </w:tc>
        <w:tc>
          <w:tcPr>
            <w:tcW w:w="1276" w:type="dxa"/>
            <w:tcBorders>
              <w:top w:val="nil"/>
              <w:left w:val="nil"/>
              <w:bottom w:val="nil"/>
              <w:right w:val="nil"/>
            </w:tcBorders>
            <w:vAlign w:val="center"/>
          </w:tcPr>
          <w:p w14:paraId="6305007F"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1F106D7"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6A045D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DA50E5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025193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A464B58"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5C5577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EBA6587"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FD59CF9"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8EA837B" w14:textId="77777777" w:rsidTr="001A24A9">
        <w:trPr>
          <w:jc w:val="center"/>
        </w:trPr>
        <w:tc>
          <w:tcPr>
            <w:tcW w:w="1134" w:type="dxa"/>
            <w:tcBorders>
              <w:top w:val="nil"/>
              <w:left w:val="nil"/>
              <w:bottom w:val="nil"/>
              <w:right w:val="nil"/>
            </w:tcBorders>
            <w:vAlign w:val="center"/>
          </w:tcPr>
          <w:p w14:paraId="0334ED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1.10.2.</w:t>
            </w:r>
          </w:p>
        </w:tc>
        <w:tc>
          <w:tcPr>
            <w:tcW w:w="1276" w:type="dxa"/>
            <w:tcBorders>
              <w:top w:val="nil"/>
              <w:left w:val="nil"/>
              <w:bottom w:val="nil"/>
              <w:right w:val="nil"/>
            </w:tcBorders>
            <w:vAlign w:val="center"/>
          </w:tcPr>
          <w:p w14:paraId="20759A4E"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AD72BC"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B178351"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0159F47"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88C535D"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A66F830"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4C4EBC"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9756189"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72B7313"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6831114" w14:textId="77777777" w:rsidTr="001A24A9">
        <w:trPr>
          <w:jc w:val="center"/>
        </w:trPr>
        <w:tc>
          <w:tcPr>
            <w:tcW w:w="1134" w:type="dxa"/>
            <w:tcBorders>
              <w:top w:val="nil"/>
              <w:left w:val="nil"/>
              <w:bottom w:val="nil"/>
              <w:right w:val="nil"/>
            </w:tcBorders>
            <w:vAlign w:val="center"/>
          </w:tcPr>
          <w:p w14:paraId="07C2EEE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1.10.3.</w:t>
            </w:r>
          </w:p>
        </w:tc>
        <w:tc>
          <w:tcPr>
            <w:tcW w:w="1276" w:type="dxa"/>
            <w:tcBorders>
              <w:top w:val="nil"/>
              <w:left w:val="nil"/>
              <w:bottom w:val="nil"/>
              <w:right w:val="nil"/>
            </w:tcBorders>
            <w:vAlign w:val="center"/>
          </w:tcPr>
          <w:p w14:paraId="5C532ED7" w14:textId="77777777" w:rsidR="006F76EB" w:rsidRPr="00834D52" w:rsidRDefault="00164BD9"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E38C6AB"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32A82C8" w14:textId="77777777" w:rsidR="006F76EB" w:rsidRPr="00834D52" w:rsidRDefault="0077226C"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0E82BD0" w14:textId="77777777" w:rsidR="006F76EB" w:rsidRPr="00834D52" w:rsidRDefault="0077226C" w:rsidP="007722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5E5BFC1" w14:textId="77777777" w:rsidR="006F76EB" w:rsidRPr="00834D52" w:rsidRDefault="0077226C" w:rsidP="007722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9FA05E3"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7C0A6D5"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34CD439F"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1A8098C"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1AF7603" w14:textId="77777777" w:rsidTr="001A24A9">
        <w:trPr>
          <w:jc w:val="center"/>
        </w:trPr>
        <w:tc>
          <w:tcPr>
            <w:tcW w:w="1134" w:type="dxa"/>
            <w:tcBorders>
              <w:top w:val="nil"/>
              <w:left w:val="nil"/>
              <w:bottom w:val="nil"/>
              <w:right w:val="nil"/>
            </w:tcBorders>
            <w:vAlign w:val="center"/>
          </w:tcPr>
          <w:p w14:paraId="4D33289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1.10.4.</w:t>
            </w:r>
          </w:p>
        </w:tc>
        <w:tc>
          <w:tcPr>
            <w:tcW w:w="1276" w:type="dxa"/>
            <w:tcBorders>
              <w:top w:val="nil"/>
              <w:left w:val="nil"/>
              <w:bottom w:val="nil"/>
              <w:right w:val="nil"/>
            </w:tcBorders>
            <w:vAlign w:val="center"/>
          </w:tcPr>
          <w:p w14:paraId="3EA84FFE"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118CC7"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E528F66"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054257A"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72EA909"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417B7E2"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CF60503"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52B0880"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EF1EA1E"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53E8452" w14:textId="77777777" w:rsidTr="001A24A9">
        <w:trPr>
          <w:jc w:val="center"/>
        </w:trPr>
        <w:tc>
          <w:tcPr>
            <w:tcW w:w="1134" w:type="dxa"/>
            <w:tcBorders>
              <w:top w:val="nil"/>
              <w:left w:val="nil"/>
              <w:bottom w:val="nil"/>
              <w:right w:val="nil"/>
            </w:tcBorders>
            <w:vAlign w:val="center"/>
          </w:tcPr>
          <w:p w14:paraId="634F27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1.11.</w:t>
            </w:r>
          </w:p>
        </w:tc>
        <w:tc>
          <w:tcPr>
            <w:tcW w:w="1276" w:type="dxa"/>
            <w:tcBorders>
              <w:top w:val="nil"/>
              <w:left w:val="nil"/>
              <w:bottom w:val="nil"/>
              <w:right w:val="nil"/>
            </w:tcBorders>
            <w:vAlign w:val="center"/>
          </w:tcPr>
          <w:p w14:paraId="6EA4C457"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20D1CFD"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C1DF898"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4D69B29"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80B59B8"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67DE25B"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76616FDB"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30D2A9C"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B28547F"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07B5E2" w14:textId="77777777" w:rsidTr="001A24A9">
        <w:trPr>
          <w:jc w:val="center"/>
        </w:trPr>
        <w:tc>
          <w:tcPr>
            <w:tcW w:w="14884" w:type="dxa"/>
            <w:gridSpan w:val="10"/>
            <w:tcBorders>
              <w:top w:val="nil"/>
              <w:left w:val="nil"/>
              <w:bottom w:val="nil"/>
              <w:right w:val="nil"/>
            </w:tcBorders>
            <w:vAlign w:val="center"/>
          </w:tcPr>
          <w:p w14:paraId="5A67251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2. ԸՆԴՀԱՆՈՒՐ ՏԵԽՆԻԿԱԿԱՆ ՓԱՍՏԱԹՂԹԻ ՌԵԶՅՈՒՄԵ</w:t>
            </w:r>
          </w:p>
        </w:tc>
      </w:tr>
      <w:tr w:rsidR="006F76EB" w:rsidRPr="00834D52" w14:paraId="5A2B32AB" w14:textId="77777777" w:rsidTr="001A24A9">
        <w:trPr>
          <w:jc w:val="center"/>
        </w:trPr>
        <w:tc>
          <w:tcPr>
            <w:tcW w:w="1134" w:type="dxa"/>
            <w:tcBorders>
              <w:top w:val="nil"/>
              <w:left w:val="nil"/>
              <w:bottom w:val="nil"/>
              <w:right w:val="nil"/>
            </w:tcBorders>
            <w:vAlign w:val="center"/>
          </w:tcPr>
          <w:p w14:paraId="3CD96B9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2.1.</w:t>
            </w:r>
          </w:p>
        </w:tc>
        <w:tc>
          <w:tcPr>
            <w:tcW w:w="1276" w:type="dxa"/>
            <w:tcBorders>
              <w:top w:val="nil"/>
              <w:left w:val="nil"/>
              <w:bottom w:val="nil"/>
              <w:right w:val="nil"/>
            </w:tcBorders>
            <w:vAlign w:val="center"/>
          </w:tcPr>
          <w:p w14:paraId="7C01DE3D" w14:textId="77777777" w:rsidR="006F76EB" w:rsidRPr="00834D52" w:rsidRDefault="004B2EBC"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EB7CE8E"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C7C1C4B"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05622B7"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37EAC88"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DADC662"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EA0636F"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A137E41"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8DF50CA"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4B86E42" w14:textId="77777777" w:rsidTr="001A24A9">
        <w:trPr>
          <w:jc w:val="center"/>
        </w:trPr>
        <w:tc>
          <w:tcPr>
            <w:tcW w:w="1134" w:type="dxa"/>
            <w:tcBorders>
              <w:top w:val="nil"/>
              <w:left w:val="nil"/>
              <w:bottom w:val="nil"/>
              <w:right w:val="nil"/>
            </w:tcBorders>
            <w:vAlign w:val="center"/>
          </w:tcPr>
          <w:p w14:paraId="4643A96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2.2.</w:t>
            </w:r>
          </w:p>
        </w:tc>
        <w:tc>
          <w:tcPr>
            <w:tcW w:w="1276" w:type="dxa"/>
            <w:tcBorders>
              <w:top w:val="nil"/>
              <w:left w:val="nil"/>
              <w:bottom w:val="nil"/>
              <w:right w:val="nil"/>
            </w:tcBorders>
            <w:vAlign w:val="center"/>
          </w:tcPr>
          <w:p w14:paraId="2CC7BC9A"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59B190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1C7E35"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2228E79"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2C07BE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D5EB68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58DD9F9"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DEFF960"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A3EC280"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C75E31D" w14:textId="77777777" w:rsidTr="001A24A9">
        <w:trPr>
          <w:jc w:val="center"/>
        </w:trPr>
        <w:tc>
          <w:tcPr>
            <w:tcW w:w="1134" w:type="dxa"/>
            <w:tcBorders>
              <w:top w:val="nil"/>
              <w:left w:val="nil"/>
              <w:bottom w:val="nil"/>
              <w:right w:val="nil"/>
            </w:tcBorders>
            <w:vAlign w:val="center"/>
          </w:tcPr>
          <w:p w14:paraId="726AB7E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2.3.</w:t>
            </w:r>
          </w:p>
        </w:tc>
        <w:tc>
          <w:tcPr>
            <w:tcW w:w="1276" w:type="dxa"/>
            <w:tcBorders>
              <w:top w:val="nil"/>
              <w:left w:val="nil"/>
              <w:bottom w:val="nil"/>
              <w:right w:val="nil"/>
            </w:tcBorders>
            <w:vAlign w:val="center"/>
          </w:tcPr>
          <w:p w14:paraId="031F437D" w14:textId="77777777" w:rsidR="006F76EB" w:rsidRPr="00834D52" w:rsidRDefault="001F13A5"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16CC908"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56921B6"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D3EF984"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3F711DA"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87483F4"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8F70479"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773982E"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8A21113"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2419C04" w14:textId="77777777" w:rsidTr="001A24A9">
        <w:trPr>
          <w:jc w:val="center"/>
        </w:trPr>
        <w:tc>
          <w:tcPr>
            <w:tcW w:w="1134" w:type="dxa"/>
            <w:tcBorders>
              <w:top w:val="nil"/>
              <w:left w:val="nil"/>
              <w:bottom w:val="nil"/>
              <w:right w:val="nil"/>
            </w:tcBorders>
            <w:vAlign w:val="center"/>
          </w:tcPr>
          <w:p w14:paraId="3196A7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2.4.</w:t>
            </w:r>
          </w:p>
        </w:tc>
        <w:tc>
          <w:tcPr>
            <w:tcW w:w="1276" w:type="dxa"/>
            <w:tcBorders>
              <w:top w:val="nil"/>
              <w:left w:val="nil"/>
              <w:bottom w:val="nil"/>
              <w:right w:val="nil"/>
            </w:tcBorders>
            <w:vAlign w:val="center"/>
          </w:tcPr>
          <w:p w14:paraId="7BB31C2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14B2370"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A9B467E"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1EC429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FC272A5"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1B4DFBC"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2F8073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03898C0"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648CF33"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00B18B8" w14:textId="77777777" w:rsidTr="001A24A9">
        <w:trPr>
          <w:jc w:val="center"/>
        </w:trPr>
        <w:tc>
          <w:tcPr>
            <w:tcW w:w="1134" w:type="dxa"/>
            <w:tcBorders>
              <w:top w:val="nil"/>
              <w:left w:val="nil"/>
              <w:bottom w:val="nil"/>
              <w:right w:val="nil"/>
            </w:tcBorders>
            <w:vAlign w:val="center"/>
          </w:tcPr>
          <w:p w14:paraId="4A0AF9A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2.5.</w:t>
            </w:r>
          </w:p>
        </w:tc>
        <w:tc>
          <w:tcPr>
            <w:tcW w:w="1276" w:type="dxa"/>
            <w:tcBorders>
              <w:top w:val="nil"/>
              <w:left w:val="nil"/>
              <w:bottom w:val="nil"/>
              <w:right w:val="nil"/>
            </w:tcBorders>
            <w:vAlign w:val="center"/>
          </w:tcPr>
          <w:p w14:paraId="221952D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08BD8A6"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0032A4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479B4B2"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C15CE6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B9C3909"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430C60">
              <w:rPr>
                <w:rFonts w:ascii="Sylfaen" w:hAnsi="Sylfaen"/>
                <w:sz w:val="24"/>
                <w:szCs w:val="24"/>
              </w:rPr>
              <w:t xml:space="preserve"> </w:t>
            </w:r>
          </w:p>
        </w:tc>
        <w:tc>
          <w:tcPr>
            <w:tcW w:w="1701" w:type="dxa"/>
            <w:tcBorders>
              <w:top w:val="nil"/>
              <w:left w:val="nil"/>
              <w:bottom w:val="nil"/>
              <w:right w:val="nil"/>
            </w:tcBorders>
            <w:vAlign w:val="center"/>
          </w:tcPr>
          <w:p w14:paraId="5344CC3C"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15BFBF5"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0DD9789"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001D321" w14:textId="77777777" w:rsidTr="001A24A9">
        <w:trPr>
          <w:jc w:val="center"/>
        </w:trPr>
        <w:tc>
          <w:tcPr>
            <w:tcW w:w="1134" w:type="dxa"/>
            <w:tcBorders>
              <w:top w:val="nil"/>
              <w:left w:val="nil"/>
              <w:bottom w:val="nil"/>
              <w:right w:val="nil"/>
            </w:tcBorders>
            <w:vAlign w:val="center"/>
          </w:tcPr>
          <w:p w14:paraId="64C01C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w:t>
            </w:r>
          </w:p>
        </w:tc>
        <w:tc>
          <w:tcPr>
            <w:tcW w:w="1276" w:type="dxa"/>
            <w:tcBorders>
              <w:top w:val="nil"/>
              <w:left w:val="nil"/>
              <w:bottom w:val="nil"/>
              <w:right w:val="nil"/>
            </w:tcBorders>
            <w:vAlign w:val="center"/>
          </w:tcPr>
          <w:p w14:paraId="390A2DBB"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56893985"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970944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EF6713E"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6F63297E"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4A3BBC09"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0A98972"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30AD4F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19A1AC5"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BEE8BED" w14:textId="77777777" w:rsidTr="001A24A9">
        <w:trPr>
          <w:jc w:val="center"/>
        </w:trPr>
        <w:tc>
          <w:tcPr>
            <w:tcW w:w="1134" w:type="dxa"/>
            <w:tcBorders>
              <w:top w:val="nil"/>
              <w:left w:val="nil"/>
              <w:bottom w:val="nil"/>
              <w:right w:val="nil"/>
            </w:tcBorders>
            <w:vAlign w:val="center"/>
          </w:tcPr>
          <w:p w14:paraId="710D71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2.6.1.</w:t>
            </w:r>
          </w:p>
        </w:tc>
        <w:tc>
          <w:tcPr>
            <w:tcW w:w="1276" w:type="dxa"/>
            <w:tcBorders>
              <w:top w:val="nil"/>
              <w:left w:val="nil"/>
              <w:bottom w:val="nil"/>
              <w:right w:val="nil"/>
            </w:tcBorders>
            <w:vAlign w:val="center"/>
          </w:tcPr>
          <w:p w14:paraId="2BC74304"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662C74C"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6847617"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2B33523"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00A3EF5"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41DFC2C"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D5FF32F"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5012BB0"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8F5E211"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7554538" w14:textId="77777777" w:rsidTr="001A24A9">
        <w:trPr>
          <w:jc w:val="center"/>
        </w:trPr>
        <w:tc>
          <w:tcPr>
            <w:tcW w:w="1134" w:type="dxa"/>
            <w:tcBorders>
              <w:top w:val="nil"/>
              <w:left w:val="nil"/>
              <w:bottom w:val="nil"/>
              <w:right w:val="nil"/>
            </w:tcBorders>
            <w:vAlign w:val="center"/>
          </w:tcPr>
          <w:p w14:paraId="397AF69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2.6.2.</w:t>
            </w:r>
          </w:p>
        </w:tc>
        <w:tc>
          <w:tcPr>
            <w:tcW w:w="1276" w:type="dxa"/>
            <w:tcBorders>
              <w:top w:val="nil"/>
              <w:left w:val="nil"/>
              <w:bottom w:val="nil"/>
              <w:right w:val="nil"/>
            </w:tcBorders>
            <w:vAlign w:val="center"/>
          </w:tcPr>
          <w:p w14:paraId="3D51C8B5"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58D8BCB"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22389B87"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70B34708"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8B8F891"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B24937D"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253B00D2"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39B4D08"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7E71674"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6A2A94F" w14:textId="77777777" w:rsidTr="001A24A9">
        <w:trPr>
          <w:jc w:val="center"/>
        </w:trPr>
        <w:tc>
          <w:tcPr>
            <w:tcW w:w="1134" w:type="dxa"/>
            <w:tcBorders>
              <w:top w:val="nil"/>
              <w:left w:val="nil"/>
              <w:bottom w:val="nil"/>
              <w:right w:val="nil"/>
            </w:tcBorders>
            <w:vAlign w:val="center"/>
          </w:tcPr>
          <w:p w14:paraId="7D4D50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2.6.3.</w:t>
            </w:r>
          </w:p>
        </w:tc>
        <w:tc>
          <w:tcPr>
            <w:tcW w:w="1276" w:type="dxa"/>
            <w:tcBorders>
              <w:top w:val="nil"/>
              <w:left w:val="nil"/>
              <w:bottom w:val="nil"/>
              <w:right w:val="nil"/>
            </w:tcBorders>
            <w:vAlign w:val="center"/>
          </w:tcPr>
          <w:p w14:paraId="1A146D8D" w14:textId="77777777" w:rsidR="006F76EB" w:rsidRPr="00834D52" w:rsidRDefault="00995B6C" w:rsidP="00995B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CBB73FF"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5E5DB2D6"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BA2943B" w14:textId="77777777" w:rsidR="006F76EB" w:rsidRPr="00834D52" w:rsidRDefault="00995B6C" w:rsidP="00995B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71D8921"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03228DD6"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FA7EBDC"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8103BB4"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1CF3EA2"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02F6854" w14:textId="77777777" w:rsidTr="001A24A9">
        <w:trPr>
          <w:jc w:val="center"/>
        </w:trPr>
        <w:tc>
          <w:tcPr>
            <w:tcW w:w="1134" w:type="dxa"/>
            <w:tcBorders>
              <w:top w:val="nil"/>
              <w:left w:val="nil"/>
              <w:bottom w:val="nil"/>
              <w:right w:val="nil"/>
            </w:tcBorders>
            <w:vAlign w:val="center"/>
          </w:tcPr>
          <w:p w14:paraId="5946417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2.6.4.</w:t>
            </w:r>
          </w:p>
        </w:tc>
        <w:tc>
          <w:tcPr>
            <w:tcW w:w="1276" w:type="dxa"/>
            <w:tcBorders>
              <w:top w:val="nil"/>
              <w:left w:val="nil"/>
              <w:bottom w:val="nil"/>
              <w:right w:val="nil"/>
            </w:tcBorders>
            <w:vAlign w:val="center"/>
          </w:tcPr>
          <w:p w14:paraId="77499517" w14:textId="77777777" w:rsidR="006F76EB" w:rsidRPr="00834D52" w:rsidRDefault="00D0538A" w:rsidP="00D0538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CE99C06"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9137803"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AEFB8CC" w14:textId="77777777" w:rsidR="006F76EB" w:rsidRPr="00834D52" w:rsidRDefault="00D0538A" w:rsidP="00D0538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9913C4E"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03C36025"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94C1CD1"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77FA72A9"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5E0DBD98"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A4608B2" w14:textId="77777777" w:rsidTr="001A24A9">
        <w:trPr>
          <w:jc w:val="center"/>
        </w:trPr>
        <w:tc>
          <w:tcPr>
            <w:tcW w:w="1134" w:type="dxa"/>
            <w:tcBorders>
              <w:top w:val="nil"/>
              <w:left w:val="nil"/>
              <w:bottom w:val="nil"/>
              <w:right w:val="nil"/>
            </w:tcBorders>
            <w:vAlign w:val="center"/>
          </w:tcPr>
          <w:p w14:paraId="45C23E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2.6.5.</w:t>
            </w:r>
          </w:p>
        </w:tc>
        <w:tc>
          <w:tcPr>
            <w:tcW w:w="1276" w:type="dxa"/>
            <w:tcBorders>
              <w:top w:val="nil"/>
              <w:left w:val="nil"/>
              <w:bottom w:val="nil"/>
              <w:right w:val="nil"/>
            </w:tcBorders>
            <w:vAlign w:val="center"/>
          </w:tcPr>
          <w:p w14:paraId="47F2E17B"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BC0F7CF"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44EFAF05"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A1A1F18"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727B21D"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8E8C691"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516A62E"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10F21612"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2455E79"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8503374" w14:textId="77777777" w:rsidTr="001A24A9">
        <w:trPr>
          <w:jc w:val="center"/>
        </w:trPr>
        <w:tc>
          <w:tcPr>
            <w:tcW w:w="1134" w:type="dxa"/>
            <w:tcBorders>
              <w:top w:val="nil"/>
              <w:left w:val="nil"/>
              <w:bottom w:val="nil"/>
              <w:right w:val="nil"/>
            </w:tcBorders>
            <w:vAlign w:val="center"/>
          </w:tcPr>
          <w:p w14:paraId="5BC86C1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2.6.6.</w:t>
            </w:r>
          </w:p>
        </w:tc>
        <w:tc>
          <w:tcPr>
            <w:tcW w:w="1276" w:type="dxa"/>
            <w:tcBorders>
              <w:top w:val="nil"/>
              <w:left w:val="nil"/>
              <w:bottom w:val="nil"/>
              <w:right w:val="nil"/>
            </w:tcBorders>
            <w:vAlign w:val="center"/>
          </w:tcPr>
          <w:p w14:paraId="32E820AD"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E3A50A9"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E3525A1"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7F18136"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6F6A180"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E9E7DC5"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314BD957"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5DDB23A"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50B29D1"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0EC950E" w14:textId="77777777" w:rsidTr="001A24A9">
        <w:trPr>
          <w:jc w:val="center"/>
        </w:trPr>
        <w:tc>
          <w:tcPr>
            <w:tcW w:w="1134" w:type="dxa"/>
            <w:tcBorders>
              <w:top w:val="nil"/>
              <w:left w:val="nil"/>
              <w:bottom w:val="nil"/>
              <w:right w:val="nil"/>
            </w:tcBorders>
            <w:vAlign w:val="center"/>
          </w:tcPr>
          <w:p w14:paraId="37D2E4F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2.7.</w:t>
            </w:r>
          </w:p>
        </w:tc>
        <w:tc>
          <w:tcPr>
            <w:tcW w:w="1276" w:type="dxa"/>
            <w:tcBorders>
              <w:top w:val="nil"/>
              <w:left w:val="nil"/>
              <w:bottom w:val="nil"/>
              <w:right w:val="nil"/>
            </w:tcBorders>
            <w:vAlign w:val="center"/>
          </w:tcPr>
          <w:p w14:paraId="30A7EE3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56A9D2E"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61CC87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942BC5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0404A4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D6E0BCA"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1C70C3E"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C2D6FC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626FE0A"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241D0F35" w14:textId="77777777" w:rsidTr="001A24A9">
        <w:trPr>
          <w:jc w:val="center"/>
        </w:trPr>
        <w:tc>
          <w:tcPr>
            <w:tcW w:w="1134" w:type="dxa"/>
            <w:tcBorders>
              <w:top w:val="nil"/>
              <w:left w:val="nil"/>
              <w:bottom w:val="nil"/>
              <w:right w:val="nil"/>
            </w:tcBorders>
            <w:vAlign w:val="center"/>
          </w:tcPr>
          <w:p w14:paraId="6F1F28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2.7.1.</w:t>
            </w:r>
          </w:p>
        </w:tc>
        <w:tc>
          <w:tcPr>
            <w:tcW w:w="1276" w:type="dxa"/>
            <w:tcBorders>
              <w:top w:val="nil"/>
              <w:left w:val="nil"/>
              <w:bottom w:val="nil"/>
              <w:right w:val="nil"/>
            </w:tcBorders>
            <w:vAlign w:val="center"/>
          </w:tcPr>
          <w:p w14:paraId="19659914"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69AE54ED"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FFCFEEF"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7CCF3D0"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CB235FF"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3BCE63C2"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7D5E76F"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41C84FC"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5269489"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8641720" w14:textId="77777777" w:rsidTr="001A24A9">
        <w:trPr>
          <w:jc w:val="center"/>
        </w:trPr>
        <w:tc>
          <w:tcPr>
            <w:tcW w:w="1134" w:type="dxa"/>
            <w:tcBorders>
              <w:top w:val="nil"/>
              <w:left w:val="nil"/>
              <w:bottom w:val="nil"/>
              <w:right w:val="nil"/>
            </w:tcBorders>
            <w:vAlign w:val="center"/>
          </w:tcPr>
          <w:p w14:paraId="09DD2A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2.7.2.</w:t>
            </w:r>
          </w:p>
        </w:tc>
        <w:tc>
          <w:tcPr>
            <w:tcW w:w="1276" w:type="dxa"/>
            <w:tcBorders>
              <w:top w:val="nil"/>
              <w:left w:val="nil"/>
              <w:bottom w:val="nil"/>
              <w:right w:val="nil"/>
            </w:tcBorders>
            <w:vAlign w:val="center"/>
          </w:tcPr>
          <w:p w14:paraId="04A1930E"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5932B05"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39E63BBA"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08E3166"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7A0A064B"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6DA06F31"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3ED6A60F"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BAD5FA5"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53B20BF"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05641D9" w14:textId="77777777" w:rsidTr="001A24A9">
        <w:trPr>
          <w:jc w:val="center"/>
        </w:trPr>
        <w:tc>
          <w:tcPr>
            <w:tcW w:w="1134" w:type="dxa"/>
            <w:tcBorders>
              <w:top w:val="nil"/>
              <w:left w:val="nil"/>
              <w:bottom w:val="nil"/>
              <w:right w:val="nil"/>
            </w:tcBorders>
            <w:vAlign w:val="center"/>
          </w:tcPr>
          <w:p w14:paraId="12D81B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2.7.3.</w:t>
            </w:r>
          </w:p>
        </w:tc>
        <w:tc>
          <w:tcPr>
            <w:tcW w:w="1276" w:type="dxa"/>
            <w:tcBorders>
              <w:top w:val="nil"/>
              <w:left w:val="nil"/>
              <w:bottom w:val="nil"/>
              <w:right w:val="nil"/>
            </w:tcBorders>
            <w:vAlign w:val="center"/>
          </w:tcPr>
          <w:p w14:paraId="079E987A"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6A4C440E"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ADBAEB9"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28CA9652"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7EF59A95"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F383B51"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B486F90"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4ECB8AF"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875F574"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F4C46B9" w14:textId="77777777" w:rsidTr="001A24A9">
        <w:trPr>
          <w:jc w:val="center"/>
        </w:trPr>
        <w:tc>
          <w:tcPr>
            <w:tcW w:w="1134" w:type="dxa"/>
            <w:tcBorders>
              <w:top w:val="nil"/>
              <w:left w:val="nil"/>
              <w:bottom w:val="nil"/>
              <w:right w:val="nil"/>
            </w:tcBorders>
            <w:vAlign w:val="center"/>
          </w:tcPr>
          <w:p w14:paraId="3829127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2.7.4.</w:t>
            </w:r>
          </w:p>
        </w:tc>
        <w:tc>
          <w:tcPr>
            <w:tcW w:w="1276" w:type="dxa"/>
            <w:tcBorders>
              <w:top w:val="nil"/>
              <w:left w:val="nil"/>
              <w:bottom w:val="nil"/>
              <w:right w:val="nil"/>
            </w:tcBorders>
            <w:vAlign w:val="center"/>
          </w:tcPr>
          <w:p w14:paraId="1AB59FEB"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4C4C18E"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4B422D7E"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4D80A7F"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F178E2B"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35B5CDE8"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AA8FF4C"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056BB0F"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A530DFB"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14B0E9C1" w14:textId="77777777" w:rsidTr="001A24A9">
        <w:trPr>
          <w:jc w:val="center"/>
        </w:trPr>
        <w:tc>
          <w:tcPr>
            <w:tcW w:w="1134" w:type="dxa"/>
            <w:tcBorders>
              <w:top w:val="nil"/>
              <w:left w:val="nil"/>
              <w:bottom w:val="nil"/>
              <w:right w:val="nil"/>
            </w:tcBorders>
            <w:vAlign w:val="center"/>
          </w:tcPr>
          <w:p w14:paraId="0C4220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2.7.5.</w:t>
            </w:r>
          </w:p>
        </w:tc>
        <w:tc>
          <w:tcPr>
            <w:tcW w:w="1276" w:type="dxa"/>
            <w:tcBorders>
              <w:top w:val="nil"/>
              <w:left w:val="nil"/>
              <w:bottom w:val="nil"/>
              <w:right w:val="nil"/>
            </w:tcBorders>
            <w:vAlign w:val="center"/>
          </w:tcPr>
          <w:p w14:paraId="5FF1C43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9009CF0"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79176D0"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287B1F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AC28D7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4B9240E"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DA91E86"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5C04FB2E"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6250155"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34989AD" w14:textId="77777777" w:rsidTr="001A24A9">
        <w:trPr>
          <w:jc w:val="center"/>
        </w:trPr>
        <w:tc>
          <w:tcPr>
            <w:tcW w:w="1134" w:type="dxa"/>
            <w:tcBorders>
              <w:top w:val="nil"/>
              <w:left w:val="nil"/>
              <w:bottom w:val="nil"/>
              <w:right w:val="nil"/>
            </w:tcBorders>
            <w:vAlign w:val="center"/>
          </w:tcPr>
          <w:p w14:paraId="62045CB7"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C65BCE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60C133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84A6BD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A17F3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3F080A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C851C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9ABE80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72F15A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0276B3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6072481" w14:textId="77777777" w:rsidTr="001A24A9">
        <w:trPr>
          <w:jc w:val="center"/>
        </w:trPr>
        <w:tc>
          <w:tcPr>
            <w:tcW w:w="1134" w:type="dxa"/>
            <w:tcBorders>
              <w:top w:val="nil"/>
              <w:left w:val="nil"/>
              <w:bottom w:val="nil"/>
              <w:right w:val="nil"/>
            </w:tcBorders>
            <w:vAlign w:val="center"/>
          </w:tcPr>
          <w:p w14:paraId="6733AA7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2.7.6.</w:t>
            </w:r>
          </w:p>
        </w:tc>
        <w:tc>
          <w:tcPr>
            <w:tcW w:w="1276" w:type="dxa"/>
            <w:tcBorders>
              <w:top w:val="nil"/>
              <w:left w:val="nil"/>
              <w:bottom w:val="nil"/>
              <w:right w:val="nil"/>
            </w:tcBorders>
            <w:vAlign w:val="center"/>
          </w:tcPr>
          <w:p w14:paraId="44201B9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ECFEADE"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29720D28"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76F8E73"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DB8A03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EE7B1B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399A128C"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6C666DD"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4651C9A"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2BD570F" w14:textId="77777777" w:rsidTr="001A24A9">
        <w:trPr>
          <w:jc w:val="center"/>
        </w:trPr>
        <w:tc>
          <w:tcPr>
            <w:tcW w:w="14884" w:type="dxa"/>
            <w:gridSpan w:val="10"/>
            <w:tcBorders>
              <w:top w:val="nil"/>
              <w:left w:val="nil"/>
              <w:bottom w:val="nil"/>
              <w:right w:val="nil"/>
            </w:tcBorders>
            <w:vAlign w:val="center"/>
          </w:tcPr>
          <w:p w14:paraId="2B1013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3. ՈՐԱԿ</w:t>
            </w:r>
          </w:p>
        </w:tc>
      </w:tr>
      <w:tr w:rsidR="006F76EB" w:rsidRPr="00834D52" w14:paraId="63172856" w14:textId="77777777" w:rsidTr="001A24A9">
        <w:trPr>
          <w:jc w:val="center"/>
        </w:trPr>
        <w:tc>
          <w:tcPr>
            <w:tcW w:w="1134" w:type="dxa"/>
            <w:tcBorders>
              <w:top w:val="nil"/>
              <w:left w:val="nil"/>
              <w:bottom w:val="nil"/>
              <w:right w:val="nil"/>
            </w:tcBorders>
            <w:vAlign w:val="center"/>
          </w:tcPr>
          <w:p w14:paraId="54C1918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3.1.</w:t>
            </w:r>
          </w:p>
        </w:tc>
        <w:tc>
          <w:tcPr>
            <w:tcW w:w="1276" w:type="dxa"/>
            <w:tcBorders>
              <w:top w:val="nil"/>
              <w:left w:val="nil"/>
              <w:bottom w:val="nil"/>
              <w:right w:val="nil"/>
            </w:tcBorders>
            <w:vAlign w:val="center"/>
          </w:tcPr>
          <w:p w14:paraId="20F88890"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99BCFB4"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697C32F6"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CBBE9E5"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008F0ED"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20F7BCD"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70D6129"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275514C6"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60AB039"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228AC679" w14:textId="77777777" w:rsidTr="001A24A9">
        <w:trPr>
          <w:jc w:val="center"/>
        </w:trPr>
        <w:tc>
          <w:tcPr>
            <w:tcW w:w="1134" w:type="dxa"/>
            <w:tcBorders>
              <w:top w:val="nil"/>
              <w:left w:val="nil"/>
              <w:bottom w:val="nil"/>
              <w:right w:val="nil"/>
            </w:tcBorders>
            <w:vAlign w:val="center"/>
          </w:tcPr>
          <w:p w14:paraId="0A735C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w:t>
            </w:r>
          </w:p>
        </w:tc>
        <w:tc>
          <w:tcPr>
            <w:tcW w:w="1276" w:type="dxa"/>
            <w:tcBorders>
              <w:top w:val="nil"/>
              <w:left w:val="nil"/>
              <w:bottom w:val="nil"/>
              <w:right w:val="nil"/>
            </w:tcBorders>
            <w:vAlign w:val="center"/>
          </w:tcPr>
          <w:p w14:paraId="06BD3F4F"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25326AB4"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1A344D4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385D7D0"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0B52EC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1D0C842"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19F73C1"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D287C8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53EBAA3"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272E95C5" w14:textId="77777777" w:rsidTr="001A24A9">
        <w:trPr>
          <w:jc w:val="center"/>
        </w:trPr>
        <w:tc>
          <w:tcPr>
            <w:tcW w:w="1134" w:type="dxa"/>
            <w:tcBorders>
              <w:top w:val="nil"/>
              <w:left w:val="nil"/>
              <w:bottom w:val="nil"/>
              <w:right w:val="nil"/>
            </w:tcBorders>
            <w:vAlign w:val="center"/>
          </w:tcPr>
          <w:p w14:paraId="40ECDF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w:t>
            </w:r>
          </w:p>
        </w:tc>
        <w:tc>
          <w:tcPr>
            <w:tcW w:w="1276" w:type="dxa"/>
            <w:tcBorders>
              <w:top w:val="nil"/>
              <w:left w:val="nil"/>
              <w:bottom w:val="nil"/>
              <w:right w:val="nil"/>
            </w:tcBorders>
            <w:vAlign w:val="center"/>
          </w:tcPr>
          <w:p w14:paraId="5A53B9FB"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5912B696"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DF3819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1C05E2B"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BE97450"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161FC8A1"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5C60785E"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BF68A9B"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C30620E"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5C0D5DEE" w14:textId="77777777" w:rsidTr="001A24A9">
        <w:trPr>
          <w:jc w:val="center"/>
        </w:trPr>
        <w:tc>
          <w:tcPr>
            <w:tcW w:w="1134" w:type="dxa"/>
            <w:tcBorders>
              <w:top w:val="nil"/>
              <w:left w:val="nil"/>
              <w:bottom w:val="nil"/>
              <w:right w:val="nil"/>
            </w:tcBorders>
            <w:vAlign w:val="center"/>
          </w:tcPr>
          <w:p w14:paraId="4134628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3.2.S.1.</w:t>
            </w:r>
          </w:p>
        </w:tc>
        <w:tc>
          <w:tcPr>
            <w:tcW w:w="1276" w:type="dxa"/>
            <w:tcBorders>
              <w:top w:val="nil"/>
              <w:left w:val="nil"/>
              <w:bottom w:val="nil"/>
              <w:right w:val="nil"/>
            </w:tcBorders>
            <w:vAlign w:val="center"/>
          </w:tcPr>
          <w:p w14:paraId="11B3FB0F"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0B31C28"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24BFCBB"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82B4F60"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090ED9E"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2F894C5"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570499E"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FC51C91"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7E5F5A4"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19A14F97" w14:textId="77777777" w:rsidTr="001A24A9">
        <w:trPr>
          <w:jc w:val="center"/>
        </w:trPr>
        <w:tc>
          <w:tcPr>
            <w:tcW w:w="1134" w:type="dxa"/>
            <w:tcBorders>
              <w:top w:val="nil"/>
              <w:left w:val="nil"/>
              <w:bottom w:val="nil"/>
              <w:right w:val="nil"/>
            </w:tcBorders>
            <w:vAlign w:val="center"/>
          </w:tcPr>
          <w:p w14:paraId="07D96D00"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B373DF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51500F1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075F6BE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2BA42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E9B9EB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324A6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007E22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97B581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BEF62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2178DB6D" w14:textId="77777777" w:rsidTr="001A24A9">
        <w:trPr>
          <w:jc w:val="center"/>
        </w:trPr>
        <w:tc>
          <w:tcPr>
            <w:tcW w:w="1134" w:type="dxa"/>
            <w:tcBorders>
              <w:top w:val="nil"/>
              <w:left w:val="nil"/>
              <w:bottom w:val="nil"/>
              <w:right w:val="nil"/>
            </w:tcBorders>
            <w:vAlign w:val="center"/>
          </w:tcPr>
          <w:p w14:paraId="5C771DF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3.2.S.2.</w:t>
            </w:r>
          </w:p>
        </w:tc>
        <w:tc>
          <w:tcPr>
            <w:tcW w:w="1276" w:type="dxa"/>
            <w:tcBorders>
              <w:top w:val="nil"/>
              <w:left w:val="nil"/>
              <w:bottom w:val="nil"/>
              <w:right w:val="nil"/>
            </w:tcBorders>
            <w:vAlign w:val="center"/>
          </w:tcPr>
          <w:p w14:paraId="60C5327E"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82EFA99"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D50658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0528F87"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A591871"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70B7E32"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EF50127"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183A2FD4"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B4998D5"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68F2CA1" w14:textId="77777777" w:rsidTr="001A24A9">
        <w:trPr>
          <w:jc w:val="center"/>
        </w:trPr>
        <w:tc>
          <w:tcPr>
            <w:tcW w:w="1134" w:type="dxa"/>
            <w:tcBorders>
              <w:top w:val="nil"/>
              <w:left w:val="nil"/>
              <w:bottom w:val="nil"/>
              <w:right w:val="nil"/>
            </w:tcBorders>
            <w:vAlign w:val="center"/>
          </w:tcPr>
          <w:p w14:paraId="3486B95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3.2.S.3.</w:t>
            </w:r>
          </w:p>
        </w:tc>
        <w:tc>
          <w:tcPr>
            <w:tcW w:w="1276" w:type="dxa"/>
            <w:tcBorders>
              <w:top w:val="nil"/>
              <w:left w:val="nil"/>
              <w:bottom w:val="nil"/>
              <w:right w:val="nil"/>
            </w:tcBorders>
            <w:vAlign w:val="center"/>
          </w:tcPr>
          <w:p w14:paraId="2F812928"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914A24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77A125FF"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C3BA30A"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6EABD22"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66676A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63E1B795"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654CB8B3"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B56A89B"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458F862" w14:textId="77777777" w:rsidTr="001A24A9">
        <w:trPr>
          <w:jc w:val="center"/>
        </w:trPr>
        <w:tc>
          <w:tcPr>
            <w:tcW w:w="1134" w:type="dxa"/>
            <w:tcBorders>
              <w:top w:val="nil"/>
              <w:left w:val="nil"/>
              <w:bottom w:val="nil"/>
              <w:right w:val="nil"/>
            </w:tcBorders>
            <w:vAlign w:val="center"/>
          </w:tcPr>
          <w:p w14:paraId="4DB013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3.2.S.4.</w:t>
            </w:r>
          </w:p>
        </w:tc>
        <w:tc>
          <w:tcPr>
            <w:tcW w:w="1276" w:type="dxa"/>
            <w:tcBorders>
              <w:top w:val="nil"/>
              <w:left w:val="nil"/>
              <w:bottom w:val="nil"/>
              <w:right w:val="nil"/>
            </w:tcBorders>
            <w:vAlign w:val="center"/>
          </w:tcPr>
          <w:p w14:paraId="76D6B4A7"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25DD64F4"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976A8E7"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83A6B9B"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43EC9F1"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7D5D19B"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0D703D8"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3BB5BD3"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5BE65EC"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12F3FBE" w14:textId="77777777" w:rsidTr="001A24A9">
        <w:trPr>
          <w:jc w:val="center"/>
        </w:trPr>
        <w:tc>
          <w:tcPr>
            <w:tcW w:w="1134" w:type="dxa"/>
            <w:tcBorders>
              <w:top w:val="nil"/>
              <w:left w:val="nil"/>
              <w:bottom w:val="nil"/>
              <w:right w:val="nil"/>
            </w:tcBorders>
            <w:vAlign w:val="center"/>
          </w:tcPr>
          <w:p w14:paraId="543DA5C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3.2.S.5.</w:t>
            </w:r>
          </w:p>
        </w:tc>
        <w:tc>
          <w:tcPr>
            <w:tcW w:w="1276" w:type="dxa"/>
            <w:tcBorders>
              <w:top w:val="nil"/>
              <w:left w:val="nil"/>
              <w:bottom w:val="nil"/>
              <w:right w:val="nil"/>
            </w:tcBorders>
            <w:vAlign w:val="center"/>
          </w:tcPr>
          <w:p w14:paraId="5C0DF638"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EABB942"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CEED691"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1AA5E5B"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FF28F30"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76C253D"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ADD784B" w14:textId="77777777" w:rsidR="006F76EB" w:rsidRPr="00834D52" w:rsidRDefault="00976DFA"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3D5C94A3"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3BEFE51"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8A436E5" w14:textId="77777777" w:rsidTr="001A24A9">
        <w:trPr>
          <w:jc w:val="center"/>
        </w:trPr>
        <w:tc>
          <w:tcPr>
            <w:tcW w:w="1134" w:type="dxa"/>
            <w:tcBorders>
              <w:top w:val="nil"/>
              <w:left w:val="nil"/>
              <w:bottom w:val="nil"/>
              <w:right w:val="nil"/>
            </w:tcBorders>
            <w:vAlign w:val="center"/>
          </w:tcPr>
          <w:p w14:paraId="3CAD3F7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D6820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EB2D24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2D3974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104132A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04049D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D5E9B6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17C520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96486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0953F2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4C58636" w14:textId="77777777" w:rsidTr="001A24A9">
        <w:trPr>
          <w:jc w:val="center"/>
        </w:trPr>
        <w:tc>
          <w:tcPr>
            <w:tcW w:w="1134" w:type="dxa"/>
            <w:tcBorders>
              <w:top w:val="nil"/>
              <w:left w:val="nil"/>
              <w:bottom w:val="nil"/>
              <w:right w:val="nil"/>
            </w:tcBorders>
            <w:vAlign w:val="center"/>
          </w:tcPr>
          <w:p w14:paraId="2EDAE1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3.2.S.6.</w:t>
            </w:r>
          </w:p>
        </w:tc>
        <w:tc>
          <w:tcPr>
            <w:tcW w:w="1276" w:type="dxa"/>
            <w:tcBorders>
              <w:top w:val="nil"/>
              <w:left w:val="nil"/>
              <w:bottom w:val="nil"/>
              <w:right w:val="nil"/>
            </w:tcBorders>
            <w:vAlign w:val="center"/>
          </w:tcPr>
          <w:p w14:paraId="1E167EC6"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FE0E62">
              <w:rPr>
                <w:rFonts w:ascii="Sylfaen" w:hAnsi="Sylfaen"/>
                <w:sz w:val="24"/>
                <w:szCs w:val="24"/>
              </w:rPr>
              <w:t xml:space="preserve"> </w:t>
            </w:r>
          </w:p>
        </w:tc>
        <w:tc>
          <w:tcPr>
            <w:tcW w:w="1984" w:type="dxa"/>
            <w:tcBorders>
              <w:top w:val="nil"/>
              <w:left w:val="nil"/>
              <w:bottom w:val="nil"/>
              <w:right w:val="nil"/>
            </w:tcBorders>
            <w:vAlign w:val="center"/>
          </w:tcPr>
          <w:p w14:paraId="600A35F7"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2C51BE0"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ECB1D5D"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1327372"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783B427"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2A330E9"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19980E1F"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9628CEE"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A81BD77" w14:textId="77777777" w:rsidTr="001A24A9">
        <w:trPr>
          <w:jc w:val="center"/>
        </w:trPr>
        <w:tc>
          <w:tcPr>
            <w:tcW w:w="1134" w:type="dxa"/>
            <w:tcBorders>
              <w:top w:val="nil"/>
              <w:left w:val="nil"/>
              <w:bottom w:val="nil"/>
              <w:right w:val="nil"/>
            </w:tcBorders>
            <w:vAlign w:val="center"/>
          </w:tcPr>
          <w:p w14:paraId="38BABA48"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6E892E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FD8359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448CE98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CE89E3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3097A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0DB5B2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E83E6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7536CD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273AB5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6B45BBC" w14:textId="77777777" w:rsidTr="001A24A9">
        <w:trPr>
          <w:jc w:val="center"/>
        </w:trPr>
        <w:tc>
          <w:tcPr>
            <w:tcW w:w="1134" w:type="dxa"/>
            <w:tcBorders>
              <w:top w:val="nil"/>
              <w:left w:val="nil"/>
              <w:bottom w:val="nil"/>
              <w:right w:val="nil"/>
            </w:tcBorders>
            <w:vAlign w:val="center"/>
          </w:tcPr>
          <w:p w14:paraId="1E4E5E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3.2.S.7.</w:t>
            </w:r>
          </w:p>
        </w:tc>
        <w:tc>
          <w:tcPr>
            <w:tcW w:w="1276" w:type="dxa"/>
            <w:tcBorders>
              <w:top w:val="nil"/>
              <w:left w:val="nil"/>
              <w:bottom w:val="nil"/>
              <w:right w:val="nil"/>
            </w:tcBorders>
            <w:vAlign w:val="center"/>
          </w:tcPr>
          <w:p w14:paraId="3F84117A"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89F51EE"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231704C9"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51F4705"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BF466E7"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A1C8ED3"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4A00580"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49FFD8F7"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73350EC"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3EBC530" w14:textId="77777777" w:rsidTr="001A24A9">
        <w:trPr>
          <w:jc w:val="center"/>
        </w:trPr>
        <w:tc>
          <w:tcPr>
            <w:tcW w:w="1134" w:type="dxa"/>
            <w:tcBorders>
              <w:top w:val="nil"/>
              <w:left w:val="nil"/>
              <w:bottom w:val="nil"/>
              <w:right w:val="nil"/>
            </w:tcBorders>
            <w:vAlign w:val="center"/>
          </w:tcPr>
          <w:p w14:paraId="502FE1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w:t>
            </w:r>
          </w:p>
        </w:tc>
        <w:tc>
          <w:tcPr>
            <w:tcW w:w="1276" w:type="dxa"/>
            <w:tcBorders>
              <w:top w:val="nil"/>
              <w:left w:val="nil"/>
              <w:bottom w:val="nil"/>
              <w:right w:val="nil"/>
            </w:tcBorders>
            <w:vAlign w:val="center"/>
          </w:tcPr>
          <w:p w14:paraId="57E28AE1"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8F6C004"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D3130F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33079EE"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75C25F2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CC91DC8"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A885E7F"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C9DE3A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032B237"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67B00B8" w14:textId="77777777" w:rsidTr="001A24A9">
        <w:trPr>
          <w:jc w:val="center"/>
        </w:trPr>
        <w:tc>
          <w:tcPr>
            <w:tcW w:w="1134" w:type="dxa"/>
            <w:tcBorders>
              <w:top w:val="nil"/>
              <w:left w:val="nil"/>
              <w:bottom w:val="nil"/>
              <w:right w:val="nil"/>
            </w:tcBorders>
            <w:vAlign w:val="center"/>
          </w:tcPr>
          <w:p w14:paraId="36F8C12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3.2.Р.1.</w:t>
            </w:r>
          </w:p>
        </w:tc>
        <w:tc>
          <w:tcPr>
            <w:tcW w:w="1276" w:type="dxa"/>
            <w:tcBorders>
              <w:top w:val="nil"/>
              <w:left w:val="nil"/>
              <w:bottom w:val="nil"/>
              <w:right w:val="nil"/>
            </w:tcBorders>
            <w:vAlign w:val="center"/>
          </w:tcPr>
          <w:p w14:paraId="001661EA"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5B70DB2"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A954EA5"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CF6BD20"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40C23C68"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6943C11"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FD153A9"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C833B10"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17D7EED"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ECA09FF" w14:textId="77777777" w:rsidTr="001A24A9">
        <w:trPr>
          <w:jc w:val="center"/>
        </w:trPr>
        <w:tc>
          <w:tcPr>
            <w:tcW w:w="1134" w:type="dxa"/>
            <w:tcBorders>
              <w:top w:val="nil"/>
              <w:left w:val="nil"/>
              <w:bottom w:val="nil"/>
              <w:right w:val="nil"/>
            </w:tcBorders>
            <w:vAlign w:val="center"/>
          </w:tcPr>
          <w:p w14:paraId="17D77C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3.2.Р.2.</w:t>
            </w:r>
          </w:p>
        </w:tc>
        <w:tc>
          <w:tcPr>
            <w:tcW w:w="1276" w:type="dxa"/>
            <w:tcBorders>
              <w:top w:val="nil"/>
              <w:left w:val="nil"/>
              <w:bottom w:val="nil"/>
              <w:right w:val="nil"/>
            </w:tcBorders>
            <w:vAlign w:val="center"/>
          </w:tcPr>
          <w:p w14:paraId="40D58BB3"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B5D2FFC"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2106CE36"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D21A42B"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EA3C217"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5B59B63C"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1BB0F963"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F5BF96B"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67C6F63"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E7A4004" w14:textId="77777777" w:rsidTr="001A24A9">
        <w:trPr>
          <w:jc w:val="center"/>
        </w:trPr>
        <w:tc>
          <w:tcPr>
            <w:tcW w:w="1134" w:type="dxa"/>
            <w:tcBorders>
              <w:top w:val="nil"/>
              <w:left w:val="nil"/>
              <w:bottom w:val="nil"/>
              <w:right w:val="nil"/>
            </w:tcBorders>
            <w:vAlign w:val="center"/>
          </w:tcPr>
          <w:p w14:paraId="07EE5E1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3.2.Р.3.</w:t>
            </w:r>
          </w:p>
        </w:tc>
        <w:tc>
          <w:tcPr>
            <w:tcW w:w="1276" w:type="dxa"/>
            <w:tcBorders>
              <w:top w:val="nil"/>
              <w:left w:val="nil"/>
              <w:bottom w:val="nil"/>
              <w:right w:val="nil"/>
            </w:tcBorders>
            <w:vAlign w:val="center"/>
          </w:tcPr>
          <w:p w14:paraId="5E9C8C1E"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36B84D17"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7723E4D"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4CCECBC"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4A2BD31"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0240D2ED"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BE88493"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232B0E7"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DB972EA"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26DD384" w14:textId="77777777" w:rsidTr="001A24A9">
        <w:trPr>
          <w:jc w:val="center"/>
        </w:trPr>
        <w:tc>
          <w:tcPr>
            <w:tcW w:w="1134" w:type="dxa"/>
            <w:tcBorders>
              <w:top w:val="nil"/>
              <w:left w:val="nil"/>
              <w:bottom w:val="nil"/>
              <w:right w:val="nil"/>
            </w:tcBorders>
            <w:vAlign w:val="center"/>
          </w:tcPr>
          <w:p w14:paraId="62F6BE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3.2.Р.4.</w:t>
            </w:r>
          </w:p>
        </w:tc>
        <w:tc>
          <w:tcPr>
            <w:tcW w:w="1276" w:type="dxa"/>
            <w:tcBorders>
              <w:top w:val="nil"/>
              <w:left w:val="nil"/>
              <w:bottom w:val="nil"/>
              <w:right w:val="nil"/>
            </w:tcBorders>
            <w:vAlign w:val="center"/>
          </w:tcPr>
          <w:p w14:paraId="2EF562A6"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6D6537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210BBE">
              <w:rPr>
                <w:rFonts w:ascii="Sylfaen" w:hAnsi="Sylfaen"/>
                <w:sz w:val="24"/>
                <w:szCs w:val="24"/>
              </w:rPr>
              <w:t xml:space="preserve"> </w:t>
            </w:r>
          </w:p>
        </w:tc>
        <w:tc>
          <w:tcPr>
            <w:tcW w:w="1418" w:type="dxa"/>
            <w:tcBorders>
              <w:top w:val="nil"/>
              <w:left w:val="nil"/>
              <w:bottom w:val="nil"/>
              <w:right w:val="nil"/>
            </w:tcBorders>
            <w:vAlign w:val="center"/>
          </w:tcPr>
          <w:p w14:paraId="374D0247"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05D35E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2E9F680"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54A25195"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220AD1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6A9D8E77"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96F6B22"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1623919" w14:textId="77777777" w:rsidTr="001A24A9">
        <w:trPr>
          <w:jc w:val="center"/>
        </w:trPr>
        <w:tc>
          <w:tcPr>
            <w:tcW w:w="1134" w:type="dxa"/>
            <w:tcBorders>
              <w:top w:val="nil"/>
              <w:left w:val="nil"/>
              <w:bottom w:val="nil"/>
              <w:right w:val="nil"/>
            </w:tcBorders>
            <w:vAlign w:val="center"/>
          </w:tcPr>
          <w:p w14:paraId="4A5832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3.2.Р.5.</w:t>
            </w:r>
          </w:p>
        </w:tc>
        <w:tc>
          <w:tcPr>
            <w:tcW w:w="1276" w:type="dxa"/>
            <w:tcBorders>
              <w:top w:val="nil"/>
              <w:left w:val="nil"/>
              <w:bottom w:val="nil"/>
              <w:right w:val="nil"/>
            </w:tcBorders>
            <w:vAlign w:val="center"/>
          </w:tcPr>
          <w:p w14:paraId="3494CBF6"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B6166D8"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72B35B6F"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5C7B1E6"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900B912"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BC8AC52"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C87BC41"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4E4DC3D5"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85EA164"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C365EC3" w14:textId="77777777" w:rsidTr="001A24A9">
        <w:trPr>
          <w:jc w:val="center"/>
        </w:trPr>
        <w:tc>
          <w:tcPr>
            <w:tcW w:w="1134" w:type="dxa"/>
            <w:tcBorders>
              <w:top w:val="nil"/>
              <w:left w:val="nil"/>
              <w:bottom w:val="nil"/>
              <w:right w:val="nil"/>
            </w:tcBorders>
            <w:vAlign w:val="center"/>
          </w:tcPr>
          <w:p w14:paraId="3035174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3.2.Р.6.</w:t>
            </w:r>
          </w:p>
        </w:tc>
        <w:tc>
          <w:tcPr>
            <w:tcW w:w="1276" w:type="dxa"/>
            <w:tcBorders>
              <w:top w:val="nil"/>
              <w:left w:val="nil"/>
              <w:bottom w:val="nil"/>
              <w:right w:val="nil"/>
            </w:tcBorders>
            <w:vAlign w:val="center"/>
          </w:tcPr>
          <w:p w14:paraId="7FCBA6AF"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42C67861"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304F994"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0E78287"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C872DC3"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8F37EEF"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30598E1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6ADA89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F2A1361"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262DC8D1" w14:textId="77777777" w:rsidTr="001A24A9">
        <w:trPr>
          <w:jc w:val="center"/>
        </w:trPr>
        <w:tc>
          <w:tcPr>
            <w:tcW w:w="1134" w:type="dxa"/>
            <w:tcBorders>
              <w:top w:val="nil"/>
              <w:left w:val="nil"/>
              <w:bottom w:val="nil"/>
              <w:right w:val="nil"/>
            </w:tcBorders>
            <w:vAlign w:val="center"/>
          </w:tcPr>
          <w:p w14:paraId="1CDE0F5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3.2.Р.7.</w:t>
            </w:r>
          </w:p>
        </w:tc>
        <w:tc>
          <w:tcPr>
            <w:tcW w:w="1276" w:type="dxa"/>
            <w:tcBorders>
              <w:top w:val="nil"/>
              <w:left w:val="nil"/>
              <w:bottom w:val="nil"/>
              <w:right w:val="nil"/>
            </w:tcBorders>
            <w:vAlign w:val="center"/>
          </w:tcPr>
          <w:p w14:paraId="0DFE8446"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8252FD8"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45A95712"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C7E3312"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079F1BC"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13B9BFA"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6DBA821"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53CDB974"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6506B37"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682BC30" w14:textId="77777777" w:rsidTr="001A24A9">
        <w:trPr>
          <w:jc w:val="center"/>
        </w:trPr>
        <w:tc>
          <w:tcPr>
            <w:tcW w:w="1134" w:type="dxa"/>
            <w:tcBorders>
              <w:top w:val="nil"/>
              <w:left w:val="nil"/>
              <w:bottom w:val="nil"/>
              <w:right w:val="nil"/>
            </w:tcBorders>
            <w:vAlign w:val="center"/>
          </w:tcPr>
          <w:p w14:paraId="457DB7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3.2.Р.8.</w:t>
            </w:r>
          </w:p>
        </w:tc>
        <w:tc>
          <w:tcPr>
            <w:tcW w:w="1276" w:type="dxa"/>
            <w:tcBorders>
              <w:top w:val="nil"/>
              <w:left w:val="nil"/>
              <w:bottom w:val="nil"/>
              <w:right w:val="nil"/>
            </w:tcBorders>
            <w:vAlign w:val="center"/>
          </w:tcPr>
          <w:p w14:paraId="02F068E5"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BF4C134"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7A4C195"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6A34BDD"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1A25C37"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CB87847"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BEB34E0"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9586399"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EF19F8E"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7F9BA26" w14:textId="77777777" w:rsidTr="001A24A9">
        <w:trPr>
          <w:jc w:val="center"/>
        </w:trPr>
        <w:tc>
          <w:tcPr>
            <w:tcW w:w="1134" w:type="dxa"/>
            <w:tcBorders>
              <w:top w:val="nil"/>
              <w:left w:val="nil"/>
              <w:bottom w:val="nil"/>
              <w:right w:val="nil"/>
            </w:tcBorders>
            <w:vAlign w:val="center"/>
          </w:tcPr>
          <w:p w14:paraId="507A60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w:t>
            </w:r>
          </w:p>
        </w:tc>
        <w:tc>
          <w:tcPr>
            <w:tcW w:w="1276" w:type="dxa"/>
            <w:tcBorders>
              <w:top w:val="nil"/>
              <w:left w:val="nil"/>
              <w:bottom w:val="nil"/>
              <w:right w:val="nil"/>
            </w:tcBorders>
            <w:vAlign w:val="center"/>
          </w:tcPr>
          <w:p w14:paraId="01DD402D"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FF39CD9"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FD4E189"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4DD382A"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5C04C3F"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D39CE13"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DA389CB" w14:textId="77777777" w:rsidR="006F76EB" w:rsidRPr="00834D52" w:rsidRDefault="00FF289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5E9F0E3"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ACAFA87"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686E9A6" w14:textId="77777777" w:rsidTr="001A24A9">
        <w:trPr>
          <w:jc w:val="center"/>
        </w:trPr>
        <w:tc>
          <w:tcPr>
            <w:tcW w:w="1134" w:type="dxa"/>
            <w:tcBorders>
              <w:top w:val="nil"/>
              <w:left w:val="nil"/>
              <w:bottom w:val="nil"/>
              <w:right w:val="nil"/>
            </w:tcBorders>
            <w:vAlign w:val="center"/>
          </w:tcPr>
          <w:p w14:paraId="42672AF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AE8BDA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DC124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5AEE5C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1B2F5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978EF7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87DB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A09635B"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5355FE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0BAC92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5C83DEB" w14:textId="77777777" w:rsidTr="001A24A9">
        <w:trPr>
          <w:jc w:val="center"/>
        </w:trPr>
        <w:tc>
          <w:tcPr>
            <w:tcW w:w="1134" w:type="dxa"/>
            <w:tcBorders>
              <w:top w:val="nil"/>
              <w:left w:val="nil"/>
              <w:bottom w:val="nil"/>
              <w:right w:val="nil"/>
            </w:tcBorders>
            <w:vAlign w:val="center"/>
          </w:tcPr>
          <w:p w14:paraId="30BE88F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3.2.А.1.</w:t>
            </w:r>
          </w:p>
        </w:tc>
        <w:tc>
          <w:tcPr>
            <w:tcW w:w="1276" w:type="dxa"/>
            <w:tcBorders>
              <w:top w:val="nil"/>
              <w:left w:val="nil"/>
              <w:bottom w:val="nil"/>
              <w:right w:val="nil"/>
            </w:tcBorders>
            <w:vAlign w:val="center"/>
          </w:tcPr>
          <w:p w14:paraId="1898D807"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3AA440C9"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4A563A5B"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9099F01"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125E36C"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5927BF5"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FAA11B0" w14:textId="77777777" w:rsidR="006F76EB" w:rsidRPr="00834D52" w:rsidRDefault="003820D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A7562CF"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45C58D1"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132E82D3" w14:textId="77777777" w:rsidTr="001A24A9">
        <w:trPr>
          <w:trHeight w:val="553"/>
          <w:jc w:val="center"/>
        </w:trPr>
        <w:tc>
          <w:tcPr>
            <w:tcW w:w="1134" w:type="dxa"/>
            <w:tcBorders>
              <w:top w:val="nil"/>
              <w:left w:val="nil"/>
              <w:bottom w:val="nil"/>
              <w:right w:val="nil"/>
            </w:tcBorders>
            <w:vAlign w:val="center"/>
          </w:tcPr>
          <w:p w14:paraId="3DFC1ABE"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B9AB19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89C65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32E2F97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88A37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98BBC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00C356A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0DFEA3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928CD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D53CE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A8FFCE9" w14:textId="77777777" w:rsidTr="001A24A9">
        <w:trPr>
          <w:jc w:val="center"/>
        </w:trPr>
        <w:tc>
          <w:tcPr>
            <w:tcW w:w="1134" w:type="dxa"/>
            <w:tcBorders>
              <w:top w:val="nil"/>
              <w:left w:val="nil"/>
              <w:bottom w:val="nil"/>
              <w:right w:val="nil"/>
            </w:tcBorders>
            <w:vAlign w:val="center"/>
          </w:tcPr>
          <w:p w14:paraId="7A5D96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3.2.А.2.</w:t>
            </w:r>
          </w:p>
        </w:tc>
        <w:tc>
          <w:tcPr>
            <w:tcW w:w="1276" w:type="dxa"/>
            <w:tcBorders>
              <w:top w:val="nil"/>
              <w:left w:val="nil"/>
              <w:bottom w:val="nil"/>
              <w:right w:val="nil"/>
            </w:tcBorders>
            <w:vAlign w:val="center"/>
          </w:tcPr>
          <w:p w14:paraId="73680D8D" w14:textId="77777777" w:rsidR="006F76EB" w:rsidRPr="00F26B87" w:rsidRDefault="00F26B87" w:rsidP="00F71229">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984" w:type="dxa"/>
            <w:tcBorders>
              <w:top w:val="nil"/>
              <w:left w:val="nil"/>
              <w:bottom w:val="nil"/>
              <w:right w:val="nil"/>
            </w:tcBorders>
            <w:vAlign w:val="center"/>
          </w:tcPr>
          <w:p w14:paraId="79DCD8A0"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286F5C73"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533A7806"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051B6CA1" w14:textId="77777777" w:rsidR="006F76EB" w:rsidRPr="00834D52" w:rsidRDefault="00CB05D5" w:rsidP="00CB05D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082305ED" w14:textId="77777777" w:rsidR="006F76EB" w:rsidRPr="00834D52" w:rsidRDefault="006F76EB" w:rsidP="00CB05D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CB05D5">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42A719BB" w14:textId="77777777" w:rsidR="006F76EB" w:rsidRPr="00CB05D5" w:rsidRDefault="00CB05D5"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1F930376" w14:textId="77777777" w:rsidR="006F76EB" w:rsidRPr="00834D52" w:rsidRDefault="00C72BDE"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c>
          <w:tcPr>
            <w:tcW w:w="1560" w:type="dxa"/>
            <w:tcBorders>
              <w:top w:val="nil"/>
              <w:left w:val="nil"/>
              <w:bottom w:val="nil"/>
              <w:right w:val="nil"/>
            </w:tcBorders>
            <w:vAlign w:val="center"/>
          </w:tcPr>
          <w:p w14:paraId="65F88840" w14:textId="77777777" w:rsidR="006F76EB" w:rsidRPr="00834D52" w:rsidRDefault="00C72BDE"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r>
      <w:tr w:rsidR="006F76EB" w:rsidRPr="00834D52" w14:paraId="75F4CAE9" w14:textId="77777777" w:rsidTr="001A24A9">
        <w:trPr>
          <w:jc w:val="center"/>
        </w:trPr>
        <w:tc>
          <w:tcPr>
            <w:tcW w:w="1134" w:type="dxa"/>
            <w:tcBorders>
              <w:top w:val="nil"/>
              <w:left w:val="nil"/>
              <w:bottom w:val="nil"/>
              <w:right w:val="nil"/>
            </w:tcBorders>
            <w:vAlign w:val="center"/>
          </w:tcPr>
          <w:p w14:paraId="50E61B3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3.2.А.3.</w:t>
            </w:r>
          </w:p>
        </w:tc>
        <w:tc>
          <w:tcPr>
            <w:tcW w:w="1276" w:type="dxa"/>
            <w:tcBorders>
              <w:top w:val="nil"/>
              <w:left w:val="nil"/>
              <w:bottom w:val="nil"/>
              <w:right w:val="nil"/>
            </w:tcBorders>
            <w:vAlign w:val="center"/>
          </w:tcPr>
          <w:p w14:paraId="26AEB2AC" w14:textId="77777777" w:rsidR="006F76EB" w:rsidRPr="00834D52" w:rsidRDefault="009F62EE" w:rsidP="009F62E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170931F9" w14:textId="77777777" w:rsidR="006F76EB" w:rsidRPr="009F62EE" w:rsidRDefault="009F62EE" w:rsidP="009F62EE">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56CEEDDB" w14:textId="77777777" w:rsidR="006F76EB" w:rsidRPr="009F62EE" w:rsidRDefault="009F62EE" w:rsidP="009F62EE">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5B87C093" w14:textId="77777777" w:rsidR="006F76EB" w:rsidRPr="00834D52" w:rsidRDefault="009F62EE" w:rsidP="009F62E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01F3B554" w14:textId="77777777" w:rsidR="006F76EB" w:rsidRPr="00834D52" w:rsidRDefault="009F62E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7D7FF688" w14:textId="77777777" w:rsidR="006F76EB" w:rsidRPr="00834D52" w:rsidRDefault="00F9343A"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3121C741" w14:textId="77777777" w:rsidR="006F76EB" w:rsidRPr="00F9343A" w:rsidRDefault="00F9343A"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77E5DF27" w14:textId="77777777" w:rsidR="006F76EB" w:rsidRPr="00834D52" w:rsidRDefault="006F76EB" w:rsidP="00F9343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F9343A">
              <w:rPr>
                <w:rFonts w:ascii="Sylfaen" w:hAnsi="Sylfaen"/>
                <w:sz w:val="24"/>
                <w:szCs w:val="24"/>
                <w:lang w:val="ru-RU"/>
              </w:rPr>
              <w:t>+</w:t>
            </w:r>
            <w:r w:rsidRPr="00834D52">
              <w:rPr>
                <w:rFonts w:ascii="Sylfaen" w:hAnsi="Sylfaen"/>
                <w:sz w:val="24"/>
                <w:szCs w:val="24"/>
              </w:rPr>
              <w:t>)</w:t>
            </w:r>
          </w:p>
        </w:tc>
        <w:tc>
          <w:tcPr>
            <w:tcW w:w="1560" w:type="dxa"/>
            <w:tcBorders>
              <w:top w:val="nil"/>
              <w:left w:val="nil"/>
              <w:bottom w:val="nil"/>
              <w:right w:val="nil"/>
            </w:tcBorders>
            <w:vAlign w:val="center"/>
          </w:tcPr>
          <w:p w14:paraId="48AED381" w14:textId="77777777" w:rsidR="006F76EB" w:rsidRPr="00834D52" w:rsidRDefault="006F76EB" w:rsidP="00F9343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F9343A">
              <w:rPr>
                <w:rFonts w:ascii="Sylfaen" w:hAnsi="Sylfaen"/>
                <w:sz w:val="24"/>
                <w:szCs w:val="24"/>
                <w:lang w:val="ru-RU"/>
              </w:rPr>
              <w:t>+</w:t>
            </w:r>
            <w:r w:rsidRPr="00834D52">
              <w:rPr>
                <w:rFonts w:ascii="Sylfaen" w:hAnsi="Sylfaen"/>
                <w:sz w:val="24"/>
                <w:szCs w:val="24"/>
              </w:rPr>
              <w:t>)</w:t>
            </w:r>
          </w:p>
        </w:tc>
      </w:tr>
      <w:tr w:rsidR="006F76EB" w:rsidRPr="00834D52" w14:paraId="377EF3EA" w14:textId="77777777" w:rsidTr="001A24A9">
        <w:trPr>
          <w:jc w:val="center"/>
        </w:trPr>
        <w:tc>
          <w:tcPr>
            <w:tcW w:w="1134" w:type="dxa"/>
            <w:tcBorders>
              <w:top w:val="nil"/>
              <w:left w:val="nil"/>
              <w:bottom w:val="nil"/>
              <w:right w:val="nil"/>
            </w:tcBorders>
            <w:vAlign w:val="center"/>
          </w:tcPr>
          <w:p w14:paraId="4B193EA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3.2.R.</w:t>
            </w:r>
          </w:p>
        </w:tc>
        <w:tc>
          <w:tcPr>
            <w:tcW w:w="1276" w:type="dxa"/>
            <w:tcBorders>
              <w:top w:val="nil"/>
              <w:left w:val="nil"/>
              <w:bottom w:val="nil"/>
              <w:right w:val="nil"/>
            </w:tcBorders>
            <w:vAlign w:val="center"/>
          </w:tcPr>
          <w:p w14:paraId="2286AB19"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35EAAA9"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01C5E14D"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1F60FA87"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6677BF52"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1AF39910" w14:textId="77777777" w:rsidR="006F76EB" w:rsidRPr="00834D52" w:rsidRDefault="006F76EB" w:rsidP="00A467D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A467DA">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0E43C059" w14:textId="77777777" w:rsidR="006F76EB" w:rsidRPr="004E2474" w:rsidRDefault="004E247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5836DF63"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4C24B6A0"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r>
      <w:tr w:rsidR="006F76EB" w:rsidRPr="00834D52" w14:paraId="13001354" w14:textId="77777777" w:rsidTr="001A24A9">
        <w:trPr>
          <w:jc w:val="center"/>
        </w:trPr>
        <w:tc>
          <w:tcPr>
            <w:tcW w:w="1134" w:type="dxa"/>
            <w:tcBorders>
              <w:top w:val="nil"/>
              <w:left w:val="nil"/>
              <w:bottom w:val="nil"/>
              <w:right w:val="nil"/>
            </w:tcBorders>
            <w:vAlign w:val="center"/>
          </w:tcPr>
          <w:p w14:paraId="1C601F0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2E93A3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10612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10819F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ED8265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542BD4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C6339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75A3FFB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F95BE0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1EA74B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27AFA0B7" w14:textId="77777777" w:rsidTr="001A24A9">
        <w:trPr>
          <w:trHeight w:val="747"/>
          <w:jc w:val="center"/>
        </w:trPr>
        <w:tc>
          <w:tcPr>
            <w:tcW w:w="1134" w:type="dxa"/>
            <w:tcBorders>
              <w:top w:val="nil"/>
              <w:left w:val="nil"/>
              <w:bottom w:val="nil"/>
              <w:right w:val="nil"/>
            </w:tcBorders>
            <w:vAlign w:val="center"/>
          </w:tcPr>
          <w:p w14:paraId="04F22EE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3.3.</w:t>
            </w:r>
          </w:p>
        </w:tc>
        <w:tc>
          <w:tcPr>
            <w:tcW w:w="1276" w:type="dxa"/>
            <w:tcBorders>
              <w:top w:val="nil"/>
              <w:left w:val="nil"/>
              <w:bottom w:val="nil"/>
              <w:right w:val="nil"/>
            </w:tcBorders>
            <w:vAlign w:val="center"/>
          </w:tcPr>
          <w:p w14:paraId="59FDD591" w14:textId="77777777" w:rsidR="006F76EB" w:rsidRPr="00834D52" w:rsidRDefault="006A55C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79F6F55D"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122FDAE3"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50ECF1BB"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D0286C6"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54F92CB9"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7635AA64"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275" w:type="dxa"/>
            <w:tcBorders>
              <w:top w:val="nil"/>
              <w:left w:val="nil"/>
              <w:bottom w:val="nil"/>
              <w:right w:val="nil"/>
            </w:tcBorders>
            <w:vAlign w:val="center"/>
          </w:tcPr>
          <w:p w14:paraId="03D6C1D5"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60D6B376"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r>
      <w:tr w:rsidR="006F76EB" w:rsidRPr="00834D52" w14:paraId="2CDBA065" w14:textId="77777777" w:rsidTr="001A24A9">
        <w:trPr>
          <w:jc w:val="center"/>
        </w:trPr>
        <w:tc>
          <w:tcPr>
            <w:tcW w:w="1134" w:type="dxa"/>
            <w:tcBorders>
              <w:top w:val="nil"/>
              <w:left w:val="nil"/>
              <w:bottom w:val="nil"/>
              <w:right w:val="nil"/>
            </w:tcBorders>
            <w:vAlign w:val="center"/>
          </w:tcPr>
          <w:p w14:paraId="17B5671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253FE82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FBA902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3396D3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D203F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92A83F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1627C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001A1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599847F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20DF7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64201BD" w14:textId="77777777" w:rsidTr="001A24A9">
        <w:trPr>
          <w:jc w:val="center"/>
        </w:trPr>
        <w:tc>
          <w:tcPr>
            <w:tcW w:w="14884" w:type="dxa"/>
            <w:gridSpan w:val="10"/>
            <w:tcBorders>
              <w:top w:val="nil"/>
              <w:left w:val="nil"/>
              <w:bottom w:val="nil"/>
              <w:right w:val="nil"/>
            </w:tcBorders>
            <w:vAlign w:val="center"/>
          </w:tcPr>
          <w:p w14:paraId="00A50874" w14:textId="77777777" w:rsidR="006F76EB" w:rsidRPr="00834D52" w:rsidRDefault="006F76EB" w:rsidP="00F71229">
            <w:pPr>
              <w:spacing w:after="120" w:line="240" w:lineRule="auto"/>
              <w:ind w:left="567" w:right="567"/>
              <w:jc w:val="center"/>
              <w:rPr>
                <w:rFonts w:ascii="Sylfaen" w:eastAsia="Times New Roman" w:hAnsi="Sylfaen" w:cs="Times New Roman"/>
                <w:sz w:val="24"/>
                <w:szCs w:val="24"/>
              </w:rPr>
            </w:pPr>
            <w:r w:rsidRPr="00834D52">
              <w:rPr>
                <w:rFonts w:ascii="Sylfaen" w:hAnsi="Sylfaen"/>
                <w:sz w:val="24"/>
                <w:szCs w:val="24"/>
              </w:rPr>
              <w:t>ՄՈԴՈՒԼ 4. ՆԱԽԱԿԼԻՆԻԿԱԿԱՆ (ՈՉ ԿԼԻՆԻԿԱԿԱՆ) ՀԵՏԱԶՈՏՈՒԹՅՈՒՆՆԵՐԻ ՎԵՐԱԲԵՐՅԱԼ ՀԱՇՎԵՏՎՈՒԹՅՈՒՆՆԵՐԸ</w:t>
            </w:r>
          </w:p>
        </w:tc>
      </w:tr>
      <w:tr w:rsidR="006F76EB" w:rsidRPr="00834D52" w14:paraId="6AD6821D" w14:textId="77777777" w:rsidTr="001A24A9">
        <w:trPr>
          <w:jc w:val="center"/>
        </w:trPr>
        <w:tc>
          <w:tcPr>
            <w:tcW w:w="1134" w:type="dxa"/>
            <w:tcBorders>
              <w:top w:val="nil"/>
              <w:left w:val="nil"/>
              <w:bottom w:val="nil"/>
              <w:right w:val="nil"/>
            </w:tcBorders>
            <w:vAlign w:val="center"/>
          </w:tcPr>
          <w:p w14:paraId="3D4980F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4.1.</w:t>
            </w:r>
          </w:p>
        </w:tc>
        <w:tc>
          <w:tcPr>
            <w:tcW w:w="1276" w:type="dxa"/>
            <w:tcBorders>
              <w:top w:val="nil"/>
              <w:left w:val="nil"/>
              <w:bottom w:val="nil"/>
              <w:right w:val="nil"/>
            </w:tcBorders>
            <w:vAlign w:val="center"/>
          </w:tcPr>
          <w:p w14:paraId="47E51F61"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984" w:type="dxa"/>
            <w:tcBorders>
              <w:top w:val="nil"/>
              <w:left w:val="nil"/>
              <w:bottom w:val="nil"/>
              <w:right w:val="nil"/>
            </w:tcBorders>
            <w:vAlign w:val="center"/>
          </w:tcPr>
          <w:p w14:paraId="3BF1A70D"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40A27D42"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34AC1728"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49012CA0"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D19E0D3"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74D2CB4D"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55CE4235" w14:textId="77777777" w:rsidR="006F76EB" w:rsidRPr="00DB7012" w:rsidRDefault="00DB70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4CEC132"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53DCEE1B" w14:textId="77777777" w:rsidTr="001A24A9">
        <w:trPr>
          <w:jc w:val="center"/>
        </w:trPr>
        <w:tc>
          <w:tcPr>
            <w:tcW w:w="1134" w:type="dxa"/>
            <w:tcBorders>
              <w:top w:val="nil"/>
              <w:left w:val="nil"/>
              <w:bottom w:val="nil"/>
              <w:right w:val="nil"/>
            </w:tcBorders>
            <w:vAlign w:val="center"/>
          </w:tcPr>
          <w:p w14:paraId="424A826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w:t>
            </w:r>
          </w:p>
        </w:tc>
        <w:tc>
          <w:tcPr>
            <w:tcW w:w="1276" w:type="dxa"/>
            <w:tcBorders>
              <w:top w:val="nil"/>
              <w:left w:val="nil"/>
              <w:bottom w:val="nil"/>
              <w:right w:val="nil"/>
            </w:tcBorders>
            <w:vAlign w:val="center"/>
          </w:tcPr>
          <w:p w14:paraId="3F798A9A"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4C6FFFA"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156DEF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CB50FC4"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92A77BF"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D408DF1"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09208D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D69824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3B7F91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03662F1" w14:textId="77777777" w:rsidTr="001A24A9">
        <w:trPr>
          <w:jc w:val="center"/>
        </w:trPr>
        <w:tc>
          <w:tcPr>
            <w:tcW w:w="1134" w:type="dxa"/>
            <w:tcBorders>
              <w:top w:val="nil"/>
              <w:left w:val="nil"/>
              <w:bottom w:val="nil"/>
              <w:right w:val="nil"/>
            </w:tcBorders>
            <w:vAlign w:val="center"/>
          </w:tcPr>
          <w:p w14:paraId="5DA7657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4.2.1.</w:t>
            </w:r>
          </w:p>
        </w:tc>
        <w:tc>
          <w:tcPr>
            <w:tcW w:w="1276" w:type="dxa"/>
            <w:tcBorders>
              <w:top w:val="nil"/>
              <w:left w:val="nil"/>
              <w:bottom w:val="nil"/>
              <w:right w:val="nil"/>
            </w:tcBorders>
            <w:vAlign w:val="center"/>
          </w:tcPr>
          <w:p w14:paraId="79EC5008"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79C73FE2"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6BEAC067"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27E420A3"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75C4D25F"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1AC77974"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18B2331" w14:textId="77777777" w:rsidR="006F76EB" w:rsidRPr="005D6612" w:rsidRDefault="005D66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01D1F6A8"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EF03537" w14:textId="77777777" w:rsidR="006F76EB" w:rsidRPr="005D6612" w:rsidRDefault="005D66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B05B74D" w14:textId="77777777" w:rsidTr="001A24A9">
        <w:trPr>
          <w:jc w:val="center"/>
        </w:trPr>
        <w:tc>
          <w:tcPr>
            <w:tcW w:w="1134" w:type="dxa"/>
            <w:tcBorders>
              <w:top w:val="nil"/>
              <w:left w:val="nil"/>
              <w:bottom w:val="nil"/>
              <w:right w:val="nil"/>
            </w:tcBorders>
            <w:vAlign w:val="center"/>
          </w:tcPr>
          <w:p w14:paraId="117E6795"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958832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3ACB967"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451616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112CD7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96028C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909A4D3"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2050B8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4697B120"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473014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3164262" w14:textId="77777777" w:rsidTr="001A24A9">
        <w:trPr>
          <w:jc w:val="center"/>
        </w:trPr>
        <w:tc>
          <w:tcPr>
            <w:tcW w:w="1134" w:type="dxa"/>
            <w:tcBorders>
              <w:top w:val="nil"/>
              <w:left w:val="nil"/>
              <w:bottom w:val="nil"/>
              <w:right w:val="nil"/>
            </w:tcBorders>
            <w:vAlign w:val="center"/>
          </w:tcPr>
          <w:p w14:paraId="7555ADA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4.2.2.</w:t>
            </w:r>
          </w:p>
        </w:tc>
        <w:tc>
          <w:tcPr>
            <w:tcW w:w="1276" w:type="dxa"/>
            <w:tcBorders>
              <w:top w:val="nil"/>
              <w:left w:val="nil"/>
              <w:bottom w:val="nil"/>
              <w:right w:val="nil"/>
            </w:tcBorders>
            <w:vAlign w:val="center"/>
          </w:tcPr>
          <w:p w14:paraId="72F3F812" w14:textId="77777777" w:rsidR="006F76EB" w:rsidRPr="00834D52" w:rsidRDefault="00FD1035" w:rsidP="00FD103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1480B610"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28D55077"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1A7CB81B" w14:textId="77777777" w:rsidR="006F76EB" w:rsidRPr="00834D52" w:rsidRDefault="00FD1035" w:rsidP="00FD103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DAF933D"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13B0642E"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0FFE417"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3DE4D14"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223FC286" w14:textId="77777777" w:rsidR="006F76EB" w:rsidRPr="00FD1035" w:rsidRDefault="00FD1035"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E879422" w14:textId="77777777" w:rsidTr="001A24A9">
        <w:trPr>
          <w:jc w:val="center"/>
        </w:trPr>
        <w:tc>
          <w:tcPr>
            <w:tcW w:w="1134" w:type="dxa"/>
            <w:tcBorders>
              <w:top w:val="nil"/>
              <w:left w:val="nil"/>
              <w:bottom w:val="nil"/>
              <w:right w:val="nil"/>
            </w:tcBorders>
            <w:vAlign w:val="center"/>
          </w:tcPr>
          <w:p w14:paraId="07FD69D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1FD143F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A28CDFC"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A730BC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A97E7E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0A84023"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1B179E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09E37B6"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0CBFBB7"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C84679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D2CA2FF" w14:textId="77777777" w:rsidTr="001A24A9">
        <w:trPr>
          <w:jc w:val="center"/>
        </w:trPr>
        <w:tc>
          <w:tcPr>
            <w:tcW w:w="1134" w:type="dxa"/>
            <w:tcBorders>
              <w:top w:val="nil"/>
              <w:left w:val="nil"/>
              <w:bottom w:val="nil"/>
              <w:right w:val="nil"/>
            </w:tcBorders>
            <w:vAlign w:val="center"/>
          </w:tcPr>
          <w:p w14:paraId="024A824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4.2.3.</w:t>
            </w:r>
          </w:p>
        </w:tc>
        <w:tc>
          <w:tcPr>
            <w:tcW w:w="1276" w:type="dxa"/>
            <w:tcBorders>
              <w:top w:val="nil"/>
              <w:left w:val="nil"/>
              <w:bottom w:val="nil"/>
              <w:right w:val="nil"/>
            </w:tcBorders>
            <w:vAlign w:val="center"/>
          </w:tcPr>
          <w:p w14:paraId="7F744118"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9F2201F" w14:textId="77777777" w:rsidR="006F76EB" w:rsidRPr="00F81439" w:rsidRDefault="00F81439"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48C70D1E"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174F1928"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084E487"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153FF672"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51DE405D"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6581E87" w14:textId="77777777" w:rsidR="006F76EB" w:rsidRPr="00F81439" w:rsidRDefault="00F81439"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0D980CB8" w14:textId="77777777" w:rsidR="006F76EB" w:rsidRPr="00F81439" w:rsidRDefault="00F81439"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9A35B10" w14:textId="77777777" w:rsidTr="001A24A9">
        <w:trPr>
          <w:jc w:val="center"/>
        </w:trPr>
        <w:tc>
          <w:tcPr>
            <w:tcW w:w="1134" w:type="dxa"/>
            <w:tcBorders>
              <w:top w:val="nil"/>
              <w:left w:val="nil"/>
              <w:bottom w:val="nil"/>
              <w:right w:val="nil"/>
            </w:tcBorders>
            <w:vAlign w:val="center"/>
          </w:tcPr>
          <w:p w14:paraId="5475D44C"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75E424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06214908"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5FB63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836CD1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96643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33DE0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7D81E2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290A76F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183D5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73C74B6E" w14:textId="77777777" w:rsidTr="001A24A9">
        <w:trPr>
          <w:jc w:val="center"/>
        </w:trPr>
        <w:tc>
          <w:tcPr>
            <w:tcW w:w="1134" w:type="dxa"/>
            <w:tcBorders>
              <w:top w:val="nil"/>
              <w:left w:val="nil"/>
              <w:bottom w:val="nil"/>
              <w:right w:val="nil"/>
            </w:tcBorders>
            <w:vAlign w:val="center"/>
          </w:tcPr>
          <w:p w14:paraId="5AE91F1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4.3.</w:t>
            </w:r>
          </w:p>
        </w:tc>
        <w:tc>
          <w:tcPr>
            <w:tcW w:w="1276" w:type="dxa"/>
            <w:tcBorders>
              <w:top w:val="nil"/>
              <w:left w:val="nil"/>
              <w:bottom w:val="nil"/>
              <w:right w:val="nil"/>
            </w:tcBorders>
            <w:vAlign w:val="center"/>
          </w:tcPr>
          <w:p w14:paraId="3C59E076"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F04F06C"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5B884C1B"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16DC7EBA"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3F67406"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0CDC479"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30F73BF0"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17C321D5" w14:textId="77777777" w:rsidR="006F76EB" w:rsidRPr="00CD4450" w:rsidRDefault="00CD4450" w:rsidP="00CD4450">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33F5B256" w14:textId="77777777" w:rsidR="006F76EB" w:rsidRPr="00CD4450" w:rsidRDefault="00CD4450"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64994ECA" w14:textId="77777777" w:rsidTr="001A24A9">
        <w:trPr>
          <w:jc w:val="center"/>
        </w:trPr>
        <w:tc>
          <w:tcPr>
            <w:tcW w:w="1134" w:type="dxa"/>
            <w:tcBorders>
              <w:top w:val="nil"/>
              <w:left w:val="nil"/>
              <w:bottom w:val="nil"/>
              <w:right w:val="nil"/>
            </w:tcBorders>
            <w:vAlign w:val="center"/>
          </w:tcPr>
          <w:p w14:paraId="3FA5B206"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2AB5BC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2ECEC1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2628E49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09D5AF2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5AE07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0691F6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3BE6D56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2195136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F171BF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D875ACB" w14:textId="77777777" w:rsidTr="001A24A9">
        <w:trPr>
          <w:jc w:val="center"/>
        </w:trPr>
        <w:tc>
          <w:tcPr>
            <w:tcW w:w="14884" w:type="dxa"/>
            <w:gridSpan w:val="10"/>
            <w:tcBorders>
              <w:top w:val="nil"/>
              <w:left w:val="nil"/>
              <w:bottom w:val="nil"/>
              <w:right w:val="nil"/>
            </w:tcBorders>
            <w:vAlign w:val="center"/>
          </w:tcPr>
          <w:p w14:paraId="687076B8" w14:textId="77777777" w:rsidR="006F76EB" w:rsidRPr="00834D52" w:rsidRDefault="006F76EB" w:rsidP="00F71229">
            <w:pPr>
              <w:spacing w:after="120" w:line="240" w:lineRule="auto"/>
              <w:ind w:left="567" w:right="567"/>
              <w:jc w:val="center"/>
              <w:rPr>
                <w:rFonts w:ascii="Sylfaen" w:eastAsia="Times New Roman" w:hAnsi="Sylfaen" w:cs="Times New Roman"/>
                <w:sz w:val="24"/>
                <w:szCs w:val="24"/>
              </w:rPr>
            </w:pPr>
            <w:r w:rsidRPr="00834D52">
              <w:rPr>
                <w:rFonts w:ascii="Sylfaen" w:hAnsi="Sylfaen"/>
                <w:sz w:val="24"/>
                <w:szCs w:val="24"/>
              </w:rPr>
              <w:t>ՄՈԴՈՒԼ 5. ԿԼԻՆԻԿԱԿԱՆ ՀԵՏԱԶՈՏՈՒԹՅՈՒՆՆԵՐԻ ՎԵՐԱԲԵՐՅԱԼ ՀԱՇՎԵՏՎՈՒԹՅՈՒՆՆԵՐԸ</w:t>
            </w:r>
          </w:p>
        </w:tc>
      </w:tr>
      <w:tr w:rsidR="006F76EB" w:rsidRPr="00834D52" w14:paraId="6811F9C3" w14:textId="77777777" w:rsidTr="001A24A9">
        <w:trPr>
          <w:jc w:val="center"/>
        </w:trPr>
        <w:tc>
          <w:tcPr>
            <w:tcW w:w="1134" w:type="dxa"/>
            <w:tcBorders>
              <w:top w:val="nil"/>
              <w:left w:val="nil"/>
              <w:bottom w:val="nil"/>
              <w:right w:val="nil"/>
            </w:tcBorders>
            <w:vAlign w:val="center"/>
          </w:tcPr>
          <w:p w14:paraId="0CB2F17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5.1.</w:t>
            </w:r>
          </w:p>
        </w:tc>
        <w:tc>
          <w:tcPr>
            <w:tcW w:w="1276" w:type="dxa"/>
            <w:tcBorders>
              <w:top w:val="nil"/>
              <w:left w:val="nil"/>
              <w:bottom w:val="nil"/>
              <w:right w:val="nil"/>
            </w:tcBorders>
            <w:vAlign w:val="center"/>
          </w:tcPr>
          <w:p w14:paraId="47E551C5"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437EC49D"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714990E6"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2E48CDE7"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A0FE49F"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0EC2691A"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5346CCE8"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E2FBE8A" w14:textId="77777777" w:rsidR="006F76EB" w:rsidRPr="00570DEF" w:rsidRDefault="00570DEF"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68ADA14D" w14:textId="77777777" w:rsidR="006F76EB" w:rsidRPr="00570DEF" w:rsidRDefault="00570DEF"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E311565" w14:textId="77777777" w:rsidTr="001A24A9">
        <w:trPr>
          <w:jc w:val="center"/>
        </w:trPr>
        <w:tc>
          <w:tcPr>
            <w:tcW w:w="1134" w:type="dxa"/>
            <w:tcBorders>
              <w:top w:val="nil"/>
              <w:left w:val="nil"/>
              <w:bottom w:val="nil"/>
              <w:right w:val="nil"/>
            </w:tcBorders>
            <w:vAlign w:val="center"/>
          </w:tcPr>
          <w:p w14:paraId="14A792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5.2.</w:t>
            </w:r>
          </w:p>
        </w:tc>
        <w:tc>
          <w:tcPr>
            <w:tcW w:w="1276" w:type="dxa"/>
            <w:tcBorders>
              <w:top w:val="nil"/>
              <w:left w:val="nil"/>
              <w:bottom w:val="nil"/>
              <w:right w:val="nil"/>
            </w:tcBorders>
            <w:vAlign w:val="center"/>
          </w:tcPr>
          <w:p w14:paraId="7B9F5DC6"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2BDD732F"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6998AE75"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2169BD49"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708F59E1"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6780E11"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06C06970"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1E999733" w14:textId="77777777" w:rsidR="006F76EB" w:rsidRPr="00657B53" w:rsidRDefault="00657B53"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054A4B22" w14:textId="77777777" w:rsidR="006F76EB" w:rsidRPr="00657B53" w:rsidRDefault="00657B53"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522E9BA" w14:textId="77777777" w:rsidTr="001A24A9">
        <w:trPr>
          <w:jc w:val="center"/>
        </w:trPr>
        <w:tc>
          <w:tcPr>
            <w:tcW w:w="1134" w:type="dxa"/>
            <w:tcBorders>
              <w:top w:val="nil"/>
              <w:left w:val="nil"/>
              <w:bottom w:val="nil"/>
              <w:right w:val="nil"/>
            </w:tcBorders>
            <w:vAlign w:val="center"/>
          </w:tcPr>
          <w:p w14:paraId="0C0E867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w:t>
            </w:r>
          </w:p>
        </w:tc>
        <w:tc>
          <w:tcPr>
            <w:tcW w:w="1276" w:type="dxa"/>
            <w:tcBorders>
              <w:top w:val="nil"/>
              <w:left w:val="nil"/>
              <w:bottom w:val="nil"/>
              <w:right w:val="nil"/>
            </w:tcBorders>
            <w:vAlign w:val="center"/>
          </w:tcPr>
          <w:p w14:paraId="2448E3EA"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1B5C3E55"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CD010C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521851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1FB2CBA"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BEFBAF4"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6E40540"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44AA1D3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D2FFDA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11046E1" w14:textId="77777777" w:rsidTr="001A24A9">
        <w:trPr>
          <w:jc w:val="center"/>
        </w:trPr>
        <w:tc>
          <w:tcPr>
            <w:tcW w:w="1134" w:type="dxa"/>
            <w:tcBorders>
              <w:top w:val="nil"/>
              <w:left w:val="nil"/>
              <w:bottom w:val="nil"/>
              <w:right w:val="nil"/>
            </w:tcBorders>
            <w:vAlign w:val="center"/>
          </w:tcPr>
          <w:p w14:paraId="676D5A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5.3.1.</w:t>
            </w:r>
          </w:p>
        </w:tc>
        <w:tc>
          <w:tcPr>
            <w:tcW w:w="1276" w:type="dxa"/>
            <w:tcBorders>
              <w:top w:val="nil"/>
              <w:left w:val="nil"/>
              <w:bottom w:val="nil"/>
              <w:right w:val="nil"/>
            </w:tcBorders>
            <w:vAlign w:val="center"/>
          </w:tcPr>
          <w:p w14:paraId="692D9AED"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159D7255"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5437E07F"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7EAC5C1F"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557185C" w14:textId="77777777" w:rsidR="006F76EB" w:rsidRPr="00AE5D44" w:rsidRDefault="00AE5D4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694E4814" w14:textId="77777777" w:rsidR="006F76EB" w:rsidRPr="00AE5D44" w:rsidRDefault="00AE5D4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B300C1E" w14:textId="77777777" w:rsidR="006F76EB" w:rsidRPr="00AE5D44" w:rsidRDefault="00AE5D44" w:rsidP="00AE5D44">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7D4DC777" w14:textId="77777777" w:rsidR="006F76EB" w:rsidRPr="00AE5D44" w:rsidRDefault="00AE5D44"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BEA2814" w14:textId="77777777" w:rsidR="006F76EB" w:rsidRPr="00AE5D44" w:rsidRDefault="00AE5D44"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22D4A249" w14:textId="77777777" w:rsidTr="001A24A9">
        <w:trPr>
          <w:jc w:val="center"/>
        </w:trPr>
        <w:tc>
          <w:tcPr>
            <w:tcW w:w="1134" w:type="dxa"/>
            <w:tcBorders>
              <w:top w:val="nil"/>
              <w:left w:val="nil"/>
              <w:bottom w:val="nil"/>
              <w:right w:val="nil"/>
            </w:tcBorders>
            <w:vAlign w:val="center"/>
          </w:tcPr>
          <w:p w14:paraId="787C07BE"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941F45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0247923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0EC1DF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EA69FA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19472508"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9645E33"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A7EB08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694626D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34E02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75439DD2" w14:textId="77777777" w:rsidTr="001A24A9">
        <w:trPr>
          <w:jc w:val="center"/>
        </w:trPr>
        <w:tc>
          <w:tcPr>
            <w:tcW w:w="1134" w:type="dxa"/>
            <w:tcBorders>
              <w:top w:val="nil"/>
              <w:left w:val="nil"/>
              <w:bottom w:val="nil"/>
              <w:right w:val="nil"/>
            </w:tcBorders>
            <w:vAlign w:val="center"/>
          </w:tcPr>
          <w:p w14:paraId="52629B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5.3.2.</w:t>
            </w:r>
          </w:p>
        </w:tc>
        <w:tc>
          <w:tcPr>
            <w:tcW w:w="1276" w:type="dxa"/>
            <w:tcBorders>
              <w:top w:val="nil"/>
              <w:left w:val="nil"/>
              <w:bottom w:val="nil"/>
              <w:right w:val="nil"/>
            </w:tcBorders>
            <w:vAlign w:val="center"/>
          </w:tcPr>
          <w:p w14:paraId="2BE97EDF"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37B50E73"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37F818A9"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43D6DECA"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52DCB98"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68E84262"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3147A456"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4783EF3" w14:textId="77777777" w:rsidR="006F76EB" w:rsidRPr="00387B4E" w:rsidRDefault="00387B4E"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3413C399" w14:textId="77777777" w:rsidR="006F76EB" w:rsidRPr="00387B4E" w:rsidRDefault="00387B4E"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24A09F4F" w14:textId="77777777" w:rsidTr="001A24A9">
        <w:trPr>
          <w:jc w:val="center"/>
        </w:trPr>
        <w:tc>
          <w:tcPr>
            <w:tcW w:w="1134" w:type="dxa"/>
            <w:tcBorders>
              <w:top w:val="nil"/>
              <w:left w:val="nil"/>
              <w:bottom w:val="nil"/>
              <w:right w:val="nil"/>
            </w:tcBorders>
            <w:vAlign w:val="center"/>
          </w:tcPr>
          <w:p w14:paraId="3E0A67F1"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0425C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CEAF1D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C4C31B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21B78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2DFCE2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EF50895" w14:textId="77777777" w:rsidR="006F76EB" w:rsidRPr="00387B4E" w:rsidRDefault="006F76EB" w:rsidP="00F71229">
            <w:pPr>
              <w:spacing w:after="120" w:line="240" w:lineRule="auto"/>
              <w:ind w:right="-8"/>
              <w:jc w:val="center"/>
              <w:rPr>
                <w:rFonts w:ascii="Sylfaen" w:hAnsi="Sylfaen"/>
                <w:sz w:val="24"/>
                <w:szCs w:val="24"/>
                <w:lang w:val="ru-RU"/>
              </w:rPr>
            </w:pPr>
          </w:p>
        </w:tc>
        <w:tc>
          <w:tcPr>
            <w:tcW w:w="1701" w:type="dxa"/>
            <w:tcBorders>
              <w:top w:val="nil"/>
              <w:left w:val="nil"/>
              <w:bottom w:val="nil"/>
              <w:right w:val="nil"/>
            </w:tcBorders>
            <w:vAlign w:val="center"/>
          </w:tcPr>
          <w:p w14:paraId="1957287A"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FB89CF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86ACF5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6D25D95E" w14:textId="77777777" w:rsidTr="001A24A9">
        <w:trPr>
          <w:jc w:val="center"/>
        </w:trPr>
        <w:tc>
          <w:tcPr>
            <w:tcW w:w="1134" w:type="dxa"/>
            <w:tcBorders>
              <w:top w:val="nil"/>
              <w:left w:val="nil"/>
              <w:bottom w:val="nil"/>
              <w:right w:val="nil"/>
            </w:tcBorders>
            <w:vAlign w:val="center"/>
          </w:tcPr>
          <w:p w14:paraId="410C72B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5.3.3.</w:t>
            </w:r>
          </w:p>
        </w:tc>
        <w:tc>
          <w:tcPr>
            <w:tcW w:w="1276" w:type="dxa"/>
            <w:tcBorders>
              <w:top w:val="nil"/>
              <w:left w:val="nil"/>
              <w:bottom w:val="nil"/>
              <w:right w:val="nil"/>
            </w:tcBorders>
            <w:vAlign w:val="center"/>
          </w:tcPr>
          <w:p w14:paraId="1599A83B"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42D7996E"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6425DB10"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1B51E74E"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302363CB"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58B82F06"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2CF0CF93"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D57FE70"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3C8E5D5"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F50C230" w14:textId="77777777" w:rsidTr="001A24A9">
        <w:trPr>
          <w:jc w:val="center"/>
        </w:trPr>
        <w:tc>
          <w:tcPr>
            <w:tcW w:w="1134" w:type="dxa"/>
            <w:tcBorders>
              <w:top w:val="nil"/>
              <w:left w:val="nil"/>
              <w:bottom w:val="nil"/>
              <w:right w:val="nil"/>
            </w:tcBorders>
            <w:vAlign w:val="center"/>
          </w:tcPr>
          <w:p w14:paraId="6010E5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6" w:type="dxa"/>
            <w:tcBorders>
              <w:top w:val="nil"/>
              <w:left w:val="nil"/>
              <w:bottom w:val="nil"/>
              <w:right w:val="nil"/>
            </w:tcBorders>
            <w:vAlign w:val="center"/>
          </w:tcPr>
          <w:p w14:paraId="034CF7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AAD0C80"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BC55F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DE3CF1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78BE7E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D4CD7F2"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80533E2"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AA43E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9F2B68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C52D700" w14:textId="77777777" w:rsidTr="001A24A9">
        <w:trPr>
          <w:jc w:val="center"/>
        </w:trPr>
        <w:tc>
          <w:tcPr>
            <w:tcW w:w="1134" w:type="dxa"/>
            <w:tcBorders>
              <w:top w:val="nil"/>
              <w:left w:val="nil"/>
              <w:bottom w:val="nil"/>
              <w:right w:val="nil"/>
            </w:tcBorders>
            <w:vAlign w:val="center"/>
          </w:tcPr>
          <w:p w14:paraId="68369C4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5.3.4.</w:t>
            </w:r>
          </w:p>
        </w:tc>
        <w:tc>
          <w:tcPr>
            <w:tcW w:w="1276" w:type="dxa"/>
            <w:tcBorders>
              <w:top w:val="nil"/>
              <w:left w:val="nil"/>
              <w:bottom w:val="nil"/>
              <w:right w:val="nil"/>
            </w:tcBorders>
            <w:vAlign w:val="center"/>
          </w:tcPr>
          <w:p w14:paraId="12163EC4"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7A72990D"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19667C3D"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0BB8F506"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19C97E2"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7F7B957C"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4322B4D3"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257FE962"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37290934"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0F18317" w14:textId="77777777" w:rsidTr="001A24A9">
        <w:trPr>
          <w:jc w:val="center"/>
        </w:trPr>
        <w:tc>
          <w:tcPr>
            <w:tcW w:w="1134" w:type="dxa"/>
            <w:tcBorders>
              <w:top w:val="nil"/>
              <w:left w:val="nil"/>
              <w:bottom w:val="nil"/>
              <w:right w:val="nil"/>
            </w:tcBorders>
            <w:vAlign w:val="center"/>
          </w:tcPr>
          <w:p w14:paraId="510EDCF0"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23EB70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B00918F"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FDD0B1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E00549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DBA04C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545599DC"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2FC71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59A5A58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2CB00F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236A478" w14:textId="77777777" w:rsidTr="001A24A9">
        <w:trPr>
          <w:jc w:val="center"/>
        </w:trPr>
        <w:tc>
          <w:tcPr>
            <w:tcW w:w="1134" w:type="dxa"/>
            <w:tcBorders>
              <w:top w:val="nil"/>
              <w:left w:val="nil"/>
              <w:bottom w:val="nil"/>
              <w:right w:val="nil"/>
            </w:tcBorders>
            <w:vAlign w:val="center"/>
          </w:tcPr>
          <w:p w14:paraId="4C3EBE0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5.3.5.</w:t>
            </w:r>
          </w:p>
        </w:tc>
        <w:tc>
          <w:tcPr>
            <w:tcW w:w="1276" w:type="dxa"/>
            <w:tcBorders>
              <w:top w:val="nil"/>
              <w:left w:val="nil"/>
              <w:bottom w:val="nil"/>
              <w:right w:val="nil"/>
            </w:tcBorders>
            <w:vAlign w:val="center"/>
          </w:tcPr>
          <w:p w14:paraId="1E0D06FC"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74D1BAD3" w14:textId="77777777" w:rsidR="006F76EB" w:rsidRPr="00A926FB" w:rsidRDefault="00A926F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2CF92338" w14:textId="77777777" w:rsidR="006F76EB" w:rsidRPr="00A926FB" w:rsidRDefault="00A926F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CC8EAD7"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72E62F97"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03BCACDE"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7840819C"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DB92A04" w14:textId="77777777" w:rsidR="006F76EB" w:rsidRPr="00A926FB" w:rsidRDefault="00A926F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38DCE78" w14:textId="77777777" w:rsidR="006F76EB" w:rsidRPr="00A926FB" w:rsidRDefault="00A926F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FF68C4F" w14:textId="77777777" w:rsidTr="001A24A9">
        <w:trPr>
          <w:jc w:val="center"/>
        </w:trPr>
        <w:tc>
          <w:tcPr>
            <w:tcW w:w="1134" w:type="dxa"/>
            <w:tcBorders>
              <w:top w:val="nil"/>
              <w:left w:val="nil"/>
              <w:bottom w:val="nil"/>
              <w:right w:val="nil"/>
            </w:tcBorders>
            <w:vAlign w:val="center"/>
          </w:tcPr>
          <w:p w14:paraId="55503F06"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28EA2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4F129E9"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22E1B002"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729F7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007A0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92A91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86DF0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CA7EFF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1ACDF1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6ACD34C1" w14:textId="77777777" w:rsidTr="001A24A9">
        <w:trPr>
          <w:jc w:val="center"/>
        </w:trPr>
        <w:tc>
          <w:tcPr>
            <w:tcW w:w="1134" w:type="dxa"/>
            <w:tcBorders>
              <w:top w:val="nil"/>
              <w:left w:val="nil"/>
              <w:bottom w:val="nil"/>
              <w:right w:val="nil"/>
            </w:tcBorders>
            <w:vAlign w:val="center"/>
          </w:tcPr>
          <w:p w14:paraId="007173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5.3.6.</w:t>
            </w:r>
          </w:p>
        </w:tc>
        <w:tc>
          <w:tcPr>
            <w:tcW w:w="1276" w:type="dxa"/>
            <w:tcBorders>
              <w:top w:val="nil"/>
              <w:left w:val="nil"/>
              <w:bottom w:val="nil"/>
              <w:right w:val="nil"/>
            </w:tcBorders>
            <w:vAlign w:val="center"/>
          </w:tcPr>
          <w:p w14:paraId="1B638743"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448CBF6"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07C591AC"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4172217E"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527BA67B"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6CAE9000"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7FD74F99" w14:textId="77777777" w:rsidR="006F76EB" w:rsidRPr="00ED4AEB" w:rsidRDefault="00ED4AEB" w:rsidP="00ED4AEB">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0215ADAD" w14:textId="77777777" w:rsidR="006F76EB" w:rsidRPr="00ED4AEB" w:rsidRDefault="00ED4AE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14B47A86" w14:textId="77777777" w:rsidR="006F76EB" w:rsidRPr="00ED4AEB" w:rsidRDefault="00ED4AE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01253A6" w14:textId="77777777" w:rsidTr="001A24A9">
        <w:trPr>
          <w:jc w:val="center"/>
        </w:trPr>
        <w:tc>
          <w:tcPr>
            <w:tcW w:w="1134" w:type="dxa"/>
            <w:tcBorders>
              <w:top w:val="nil"/>
              <w:left w:val="nil"/>
              <w:bottom w:val="nil"/>
              <w:right w:val="nil"/>
            </w:tcBorders>
            <w:vAlign w:val="center"/>
          </w:tcPr>
          <w:p w14:paraId="5D6DCB4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81CED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68DA32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5DB97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4539A1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64BC94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1474E5C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3A101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32B7FA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721A05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2498331" w14:textId="77777777" w:rsidTr="001A24A9">
        <w:trPr>
          <w:jc w:val="center"/>
        </w:trPr>
        <w:tc>
          <w:tcPr>
            <w:tcW w:w="1134" w:type="dxa"/>
            <w:tcBorders>
              <w:top w:val="nil"/>
              <w:left w:val="nil"/>
              <w:bottom w:val="nil"/>
              <w:right w:val="nil"/>
            </w:tcBorders>
            <w:vAlign w:val="center"/>
          </w:tcPr>
          <w:p w14:paraId="1A1FD9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5.3.7.</w:t>
            </w:r>
          </w:p>
        </w:tc>
        <w:tc>
          <w:tcPr>
            <w:tcW w:w="1276" w:type="dxa"/>
            <w:tcBorders>
              <w:top w:val="nil"/>
              <w:left w:val="nil"/>
              <w:bottom w:val="nil"/>
              <w:right w:val="nil"/>
            </w:tcBorders>
            <w:vAlign w:val="center"/>
          </w:tcPr>
          <w:p w14:paraId="52F366C9"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EBB1AA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4AF9D574"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6D7E8EBE"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2B36F36E"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762585B8"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1887DDF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2F5B9CA8" w14:textId="77777777" w:rsidR="006F76EB" w:rsidRPr="006D5D99" w:rsidRDefault="006D5D99"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895B4E4" w14:textId="77777777" w:rsidR="006F76EB" w:rsidRPr="006D5D99" w:rsidRDefault="006D5D99"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1399E762" w14:textId="77777777" w:rsidTr="001A24A9">
        <w:trPr>
          <w:jc w:val="center"/>
        </w:trPr>
        <w:tc>
          <w:tcPr>
            <w:tcW w:w="1134" w:type="dxa"/>
            <w:tcBorders>
              <w:top w:val="nil"/>
              <w:left w:val="nil"/>
              <w:bottom w:val="nil"/>
              <w:right w:val="nil"/>
            </w:tcBorders>
            <w:vAlign w:val="center"/>
          </w:tcPr>
          <w:p w14:paraId="693ACC0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FB1676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23D9C6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74A95FE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0D1F4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191E7A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456FA73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76EA46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AA5B87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62A29E2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2B6EABC" w14:textId="77777777" w:rsidTr="001A24A9">
        <w:trPr>
          <w:jc w:val="center"/>
        </w:trPr>
        <w:tc>
          <w:tcPr>
            <w:tcW w:w="1134" w:type="dxa"/>
            <w:tcBorders>
              <w:top w:val="nil"/>
              <w:left w:val="nil"/>
              <w:bottom w:val="nil"/>
              <w:right w:val="nil"/>
            </w:tcBorders>
            <w:vAlign w:val="center"/>
          </w:tcPr>
          <w:p w14:paraId="124E4A5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5.4.</w:t>
            </w:r>
          </w:p>
        </w:tc>
        <w:tc>
          <w:tcPr>
            <w:tcW w:w="1276" w:type="dxa"/>
            <w:tcBorders>
              <w:top w:val="nil"/>
              <w:left w:val="nil"/>
              <w:bottom w:val="nil"/>
              <w:right w:val="nil"/>
            </w:tcBorders>
            <w:vAlign w:val="center"/>
          </w:tcPr>
          <w:p w14:paraId="60866D67"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01FF00C"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0448B7D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74C2089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2CFDC3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0B3F607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1964FAE5"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1F9DD1C"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79A464AB" w14:textId="77777777" w:rsidR="006F76EB" w:rsidRPr="006D5D99" w:rsidRDefault="006D5D99"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6FF979AA" w14:textId="77777777" w:rsidTr="001A24A9">
        <w:trPr>
          <w:jc w:val="center"/>
        </w:trPr>
        <w:tc>
          <w:tcPr>
            <w:tcW w:w="1134" w:type="dxa"/>
            <w:tcBorders>
              <w:top w:val="nil"/>
              <w:left w:val="nil"/>
              <w:bottom w:val="nil"/>
              <w:right w:val="nil"/>
            </w:tcBorders>
            <w:vAlign w:val="center"/>
          </w:tcPr>
          <w:p w14:paraId="2E57F67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7F9696E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F28292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2BFCC8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3155D1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059FED6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3626F6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525912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3E32D50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F2455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bl>
    <w:p w14:paraId="50BD5855" w14:textId="77777777" w:rsidR="006F76EB" w:rsidRPr="00834D52" w:rsidRDefault="006F76EB" w:rsidP="006F76EB">
      <w:pPr>
        <w:spacing w:after="120" w:line="240" w:lineRule="auto"/>
        <w:ind w:right="-8"/>
        <w:rPr>
          <w:rFonts w:ascii="Sylfaen" w:hAnsi="Sylfaen"/>
          <w:sz w:val="24"/>
          <w:szCs w:val="24"/>
        </w:rPr>
      </w:pPr>
    </w:p>
    <w:p w14:paraId="0AF28C2D" w14:textId="77777777" w:rsidR="009C4CE7" w:rsidRPr="009C4CE7" w:rsidRDefault="006F76EB" w:rsidP="00450D30">
      <w:pPr>
        <w:spacing w:after="120" w:line="240" w:lineRule="auto"/>
        <w:ind w:right="-8"/>
        <w:jc w:val="both"/>
        <w:rPr>
          <w:rFonts w:ascii="Sylfaen" w:eastAsia="Times New Roman" w:hAnsi="Sylfaen" w:cs="Times New Roman"/>
          <w:lang w:val="en-US"/>
        </w:rPr>
      </w:pPr>
      <w:r w:rsidRPr="00834D52">
        <w:rPr>
          <w:rFonts w:ascii="Sylfaen" w:hAnsi="Sylfaen"/>
        </w:rPr>
        <w:t>Ծանոթագրություն. Օգտագործվող նշանները՝</w:t>
      </w:r>
    </w:p>
    <w:p w14:paraId="15F83EEA" w14:textId="77777777" w:rsidR="006F76EB" w:rsidRPr="00834D52" w:rsidRDefault="00E90FAF" w:rsidP="00450D30">
      <w:pPr>
        <w:spacing w:after="120" w:line="240" w:lineRule="auto"/>
        <w:ind w:right="-8"/>
        <w:jc w:val="both"/>
        <w:rPr>
          <w:rFonts w:ascii="Sylfaen" w:hAnsi="Sylfaen"/>
        </w:rPr>
      </w:pPr>
      <w:r w:rsidRPr="00E90FAF">
        <w:rPr>
          <w:rFonts w:ascii="Sylfaen" w:hAnsi="Sylfaen"/>
          <w:lang w:val="en-US"/>
        </w:rPr>
        <w:t>«</w:t>
      </w:r>
      <w:r w:rsidR="006F76EB" w:rsidRPr="00834D52">
        <w:rPr>
          <w:rFonts w:ascii="Sylfaen" w:hAnsi="Sylfaen"/>
        </w:rPr>
        <w:t>+</w:t>
      </w:r>
      <w:r w:rsidRPr="00E90FAF">
        <w:rPr>
          <w:rFonts w:ascii="Sylfaen" w:hAnsi="Sylfaen"/>
          <w:lang w:val="en-US"/>
        </w:rPr>
        <w:t>»</w:t>
      </w:r>
      <w:r w:rsidR="006F76EB" w:rsidRPr="00834D52">
        <w:rPr>
          <w:rFonts w:ascii="Sylfaen" w:hAnsi="Sylfaen"/>
        </w:rPr>
        <w:t xml:space="preserve">` փաստաթուղթը </w:t>
      </w:r>
      <w:r w:rsidR="009C4CE7">
        <w:rPr>
          <w:rFonts w:ascii="Sylfaen" w:hAnsi="Sylfaen"/>
        </w:rPr>
        <w:t xml:space="preserve">պարտադիր կարգով կամ անհրաժեշտության դեպքում </w:t>
      </w:r>
      <w:r w:rsidR="006F76EB" w:rsidRPr="00834D52">
        <w:rPr>
          <w:rFonts w:ascii="Sylfaen" w:hAnsi="Sylfaen"/>
        </w:rPr>
        <w:t xml:space="preserve">ներկայացվում է </w:t>
      </w:r>
      <w:r w:rsidR="009C4CE7">
        <w:rPr>
          <w:rFonts w:ascii="Sylfaen" w:hAnsi="Sylfaen"/>
        </w:rPr>
        <w:t xml:space="preserve">սույն հավելվածի </w:t>
      </w:r>
      <w:r w:rsidR="009C4CE7">
        <w:rPr>
          <w:rFonts w:ascii="Sylfaen" w:hAnsi="Sylfaen"/>
          <w:lang w:val="en-US"/>
        </w:rPr>
        <w:t xml:space="preserve">I </w:t>
      </w:r>
      <w:r w:rsidR="009C4CE7">
        <w:rPr>
          <w:rFonts w:ascii="Sylfaen" w:hAnsi="Sylfaen"/>
        </w:rPr>
        <w:t>մասում ներկայացված ցուցումներին համապատասխան</w:t>
      </w:r>
      <w:r w:rsidR="006F76EB" w:rsidRPr="00834D52">
        <w:rPr>
          <w:rFonts w:ascii="Sylfaen" w:hAnsi="Sylfaen"/>
        </w:rPr>
        <w:t xml:space="preserve"> </w:t>
      </w:r>
    </w:p>
    <w:p w14:paraId="6F92630F" w14:textId="77777777" w:rsidR="006F76EB" w:rsidRPr="00834D52" w:rsidRDefault="00E90FAF" w:rsidP="00450D30">
      <w:pPr>
        <w:spacing w:after="120" w:line="240" w:lineRule="auto"/>
        <w:ind w:right="-8"/>
        <w:jc w:val="both"/>
        <w:rPr>
          <w:rFonts w:ascii="Sylfaen" w:eastAsia="Times New Roman" w:hAnsi="Sylfaen" w:cs="Times New Roman"/>
        </w:rPr>
      </w:pPr>
      <w:r w:rsidRPr="00E90FAF">
        <w:rPr>
          <w:rFonts w:ascii="Sylfaen" w:hAnsi="Sylfaen"/>
        </w:rPr>
        <w:t>«(+)»</w:t>
      </w:r>
      <w:r w:rsidR="006F76EB" w:rsidRPr="00834D52">
        <w:rPr>
          <w:rFonts w:ascii="Sylfaen" w:hAnsi="Sylfaen"/>
        </w:rPr>
        <w:t>՝</w:t>
      </w:r>
      <w:r w:rsidR="00557AE2" w:rsidRPr="00834D52">
        <w:rPr>
          <w:rFonts w:ascii="Sylfaen" w:hAnsi="Sylfaen"/>
        </w:rPr>
        <w:t>փաստաթուղթը ներկայացվում է առկայության դեպքում</w:t>
      </w:r>
      <w:r w:rsidR="00BA33FD">
        <w:rPr>
          <w:rFonts w:ascii="Sylfaen" w:hAnsi="Sylfaen"/>
        </w:rPr>
        <w:t>,</w:t>
      </w:r>
    </w:p>
    <w:p w14:paraId="5DEF1E4C" w14:textId="091B9B55" w:rsidR="006F76EB" w:rsidRDefault="00E90FAF" w:rsidP="00450D30">
      <w:pPr>
        <w:spacing w:after="120" w:line="240" w:lineRule="auto"/>
        <w:ind w:right="-8"/>
        <w:jc w:val="both"/>
        <w:rPr>
          <w:rFonts w:ascii="Sylfaen" w:hAnsi="Sylfaen"/>
        </w:rPr>
      </w:pPr>
      <w:r w:rsidRPr="00E90FAF">
        <w:rPr>
          <w:rFonts w:ascii="Sylfaen" w:hAnsi="Sylfaen"/>
        </w:rPr>
        <w:t>«</w:t>
      </w:r>
      <w:r w:rsidR="006F76EB" w:rsidRPr="00834D52">
        <w:rPr>
          <w:rFonts w:ascii="Sylfaen" w:hAnsi="Sylfaen"/>
        </w:rPr>
        <w:t>-</w:t>
      </w:r>
      <w:r w:rsidRPr="00E90FAF">
        <w:rPr>
          <w:rFonts w:ascii="Sylfaen" w:hAnsi="Sylfaen"/>
        </w:rPr>
        <w:t>»`</w:t>
      </w:r>
      <w:r w:rsidR="002B4BF8">
        <w:rPr>
          <w:rFonts w:ascii="Sylfaen" w:hAnsi="Sylfaen"/>
        </w:rPr>
        <w:t>փաստաթուղթը չի ներկայացվում</w:t>
      </w:r>
      <w:r w:rsidR="00280E60">
        <w:rPr>
          <w:rFonts w:ascii="Sylfaen" w:hAnsi="Sylfaen"/>
        </w:rPr>
        <w:t>:</w:t>
      </w:r>
    </w:p>
    <w:p w14:paraId="14735DBA" w14:textId="5C990376" w:rsidR="004261B1" w:rsidRPr="00CD4709" w:rsidRDefault="00C43BF0" w:rsidP="004261B1">
      <w:pPr>
        <w:rPr>
          <w:b/>
          <w:bCs/>
          <w:i/>
          <w:iCs/>
        </w:rPr>
      </w:pPr>
      <w:r w:rsidRPr="00CD4709">
        <w:rPr>
          <w:b/>
          <w:bCs/>
          <w:i/>
          <w:iCs/>
        </w:rPr>
        <w:t>(</w:t>
      </w:r>
      <w:r>
        <w:rPr>
          <w:b/>
          <w:bCs/>
          <w:i/>
          <w:iCs/>
        </w:rPr>
        <w:t xml:space="preserve">հավելվածը </w:t>
      </w:r>
      <w:r w:rsidRPr="00CD4709">
        <w:rPr>
          <w:b/>
          <w:bCs/>
          <w:i/>
          <w:iCs/>
        </w:rPr>
        <w:t>փոփ. 30.01.20 թիվ 9</w:t>
      </w:r>
      <w:r w:rsidR="00AF5497">
        <w:rPr>
          <w:b/>
          <w:bCs/>
          <w:i/>
          <w:iCs/>
        </w:rPr>
        <w:t>, լրաց 23.04.21 թիվ 34</w:t>
      </w:r>
      <w:r w:rsidR="008E1DFB">
        <w:rPr>
          <w:b/>
          <w:bCs/>
          <w:i/>
          <w:iCs/>
        </w:rPr>
        <w:t xml:space="preserve">,  </w:t>
      </w:r>
      <w:r w:rsidR="008E1DFB" w:rsidRPr="00CD4709">
        <w:rPr>
          <w:b/>
          <w:bCs/>
          <w:i/>
          <w:iCs/>
        </w:rPr>
        <w:t xml:space="preserve">փոփ. </w:t>
      </w:r>
      <w:r w:rsidR="008E1DFB">
        <w:rPr>
          <w:b/>
          <w:bCs/>
          <w:i/>
          <w:iCs/>
        </w:rPr>
        <w:t>05.03.21</w:t>
      </w:r>
      <w:r w:rsidR="008E1DFB" w:rsidRPr="00CD4709">
        <w:rPr>
          <w:b/>
          <w:bCs/>
          <w:i/>
          <w:iCs/>
        </w:rPr>
        <w:t xml:space="preserve"> թիվ </w:t>
      </w:r>
      <w:r w:rsidR="008E1DFB">
        <w:rPr>
          <w:b/>
          <w:bCs/>
          <w:i/>
          <w:iCs/>
        </w:rPr>
        <w:t>14</w:t>
      </w:r>
      <w:r w:rsidR="004261B1">
        <w:rPr>
          <w:b/>
          <w:bCs/>
          <w:i/>
          <w:iCs/>
        </w:rPr>
        <w:t>,</w:t>
      </w:r>
      <w:r w:rsidR="004261B1" w:rsidRPr="004261B1">
        <w:rPr>
          <w:b/>
          <w:bCs/>
          <w:i/>
          <w:iCs/>
        </w:rPr>
        <w:t xml:space="preserve"> </w:t>
      </w:r>
      <w:r w:rsidR="004261B1">
        <w:rPr>
          <w:b/>
          <w:bCs/>
          <w:i/>
          <w:iCs/>
        </w:rPr>
        <w:t>փոփ., խմբ. 17.03.22 թիվ 36</w:t>
      </w:r>
      <w:r w:rsidR="00D64329">
        <w:rPr>
          <w:b/>
          <w:bCs/>
          <w:i/>
          <w:iCs/>
        </w:rPr>
        <w:t>, փոփ. ԵՏՀԽ 23.09.22 թիվ 141</w:t>
      </w:r>
      <w:r w:rsidR="004261B1" w:rsidRPr="00CD4709">
        <w:rPr>
          <w:b/>
          <w:bCs/>
          <w:i/>
          <w:iCs/>
        </w:rPr>
        <w:t>)</w:t>
      </w:r>
    </w:p>
    <w:p w14:paraId="58714CC8" w14:textId="28DF5228" w:rsidR="008E1DFB" w:rsidRPr="008E1DFB" w:rsidRDefault="008E1DFB" w:rsidP="008E1DFB">
      <w:pPr>
        <w:rPr>
          <w:b/>
          <w:bCs/>
          <w:i/>
          <w:iCs/>
        </w:rPr>
      </w:pPr>
      <w:r w:rsidRPr="00CD4709">
        <w:rPr>
          <w:b/>
          <w:bCs/>
          <w:i/>
          <w:iCs/>
        </w:rPr>
        <w:t>)</w:t>
      </w:r>
    </w:p>
    <w:p w14:paraId="0322D41D" w14:textId="77777777" w:rsidR="00C43BF0" w:rsidRPr="00834D52" w:rsidRDefault="00C43BF0" w:rsidP="00450D30">
      <w:pPr>
        <w:spacing w:after="120" w:line="240" w:lineRule="auto"/>
        <w:ind w:right="-8"/>
        <w:jc w:val="both"/>
        <w:rPr>
          <w:rFonts w:ascii="Sylfaen" w:eastAsia="Times New Roman" w:hAnsi="Sylfaen" w:cs="Times New Roman"/>
        </w:rPr>
      </w:pPr>
    </w:p>
    <w:p w14:paraId="396A4085" w14:textId="77777777" w:rsidR="006F76EB" w:rsidRPr="00834D52" w:rsidRDefault="006F76EB" w:rsidP="006F76EB">
      <w:pPr>
        <w:spacing w:after="120" w:line="240" w:lineRule="auto"/>
        <w:ind w:right="-8"/>
        <w:rPr>
          <w:rFonts w:ascii="Sylfaen" w:eastAsia="Times New Roman" w:hAnsi="Sylfaen" w:cs="Times New Roman"/>
          <w:sz w:val="24"/>
          <w:szCs w:val="24"/>
        </w:rPr>
      </w:pPr>
    </w:p>
    <w:p w14:paraId="3C3A1245" w14:textId="77777777" w:rsidR="006F76EB" w:rsidRPr="00834D52" w:rsidRDefault="006F76EB" w:rsidP="006F76EB">
      <w:pPr>
        <w:spacing w:after="120" w:line="240" w:lineRule="auto"/>
        <w:ind w:right="-8"/>
        <w:rPr>
          <w:rFonts w:ascii="Sylfaen" w:eastAsia="Times New Roman" w:hAnsi="Sylfaen" w:cs="Times New Roman"/>
          <w:sz w:val="24"/>
          <w:szCs w:val="24"/>
        </w:rPr>
        <w:sectPr w:rsidR="006F76EB" w:rsidRPr="00834D52" w:rsidSect="00C31D56">
          <w:headerReference w:type="default" r:id="rId12"/>
          <w:pgSz w:w="16840" w:h="11920" w:orient="landscape"/>
          <w:pgMar w:top="1418" w:right="1418" w:bottom="1418" w:left="1418" w:header="882" w:footer="395" w:gutter="0"/>
          <w:cols w:space="720"/>
        </w:sectPr>
      </w:pPr>
    </w:p>
    <w:p w14:paraId="1ADBC6BF" w14:textId="77777777" w:rsidR="006F76EB" w:rsidRPr="00834D52" w:rsidRDefault="006F76EB" w:rsidP="006F76EB">
      <w:pPr>
        <w:tabs>
          <w:tab w:val="left" w:pos="4395"/>
        </w:tabs>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2C1A53">
        <w:rPr>
          <w:rFonts w:ascii="Sylfaen" w:hAnsi="Sylfaen"/>
          <w:sz w:val="24"/>
          <w:szCs w:val="24"/>
        </w:rPr>
        <w:t xml:space="preserve">ԹԻՎ </w:t>
      </w:r>
      <w:r w:rsidRPr="00834D52">
        <w:rPr>
          <w:rFonts w:ascii="Sylfaen" w:hAnsi="Sylfaen"/>
          <w:sz w:val="24"/>
          <w:szCs w:val="24"/>
        </w:rPr>
        <w:t>5</w:t>
      </w:r>
    </w:p>
    <w:p w14:paraId="7C645384" w14:textId="77777777" w:rsidR="006F76EB" w:rsidRPr="00834D52" w:rsidRDefault="006F76EB" w:rsidP="006F76EB">
      <w:pPr>
        <w:tabs>
          <w:tab w:val="left" w:pos="4395"/>
        </w:tabs>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2FE4EFC2" w14:textId="77777777" w:rsidR="006F76EB" w:rsidRPr="00834D52" w:rsidRDefault="006F76EB" w:rsidP="006F76EB">
      <w:pPr>
        <w:spacing w:after="160" w:line="360" w:lineRule="auto"/>
        <w:ind w:right="-8"/>
        <w:rPr>
          <w:rFonts w:ascii="Sylfaen" w:hAnsi="Sylfaen"/>
          <w:sz w:val="24"/>
          <w:szCs w:val="24"/>
        </w:rPr>
      </w:pPr>
    </w:p>
    <w:p w14:paraId="7CCEA23D"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ԿԱՌՈՒՑՎԱԾՔԸ</w:t>
      </w:r>
    </w:p>
    <w:p w14:paraId="1E330A47"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բժշկական նշանակության դեղապատրաստուկների գրանցման համար նախատեսված ընդհանուր տեխնիկական փաստաթղթի</w:t>
      </w:r>
    </w:p>
    <w:p w14:paraId="271E130C" w14:textId="77777777" w:rsidR="006F76EB" w:rsidRPr="00834D52" w:rsidRDefault="006F76EB" w:rsidP="006F76EB">
      <w:pPr>
        <w:spacing w:after="160" w:line="360" w:lineRule="auto"/>
        <w:ind w:right="-8"/>
        <w:rPr>
          <w:rFonts w:ascii="Sylfaen" w:hAnsi="Sylfaen"/>
          <w:sz w:val="24"/>
          <w:szCs w:val="24"/>
        </w:rPr>
      </w:pPr>
    </w:p>
    <w:p w14:paraId="47CD7140"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I. Նպատակը</w:t>
      </w:r>
    </w:p>
    <w:p w14:paraId="2F7E7F7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փաստաթուղթն անդամ պետությունների լիազորված մարմինների կողմից տրամադրվող գրանցման դոսյեների՝ պատշաճ ձ</w:t>
      </w:r>
      <w:r w:rsidR="00C54D75">
        <w:rPr>
          <w:rFonts w:ascii="Sylfaen" w:hAnsi="Sylfaen"/>
          <w:sz w:val="24"/>
          <w:szCs w:val="24"/>
        </w:rPr>
        <w:t>և</w:t>
      </w:r>
      <w:r w:rsidRPr="00834D52">
        <w:rPr>
          <w:rFonts w:ascii="Sylfaen" w:hAnsi="Sylfaen"/>
          <w:sz w:val="24"/>
          <w:szCs w:val="24"/>
        </w:rPr>
        <w:t>ով կառուցվածքավորված ընդհանուր տեխնիկական փաստաթղթի (այսուհետ՝ ԸՏՓ) ներկայացման՝ Եվրասիական տնտեսական միության անդամ պետությունների (այսուհետ համապատասխանաբար՝ Միություն, անդամ պետություններ) կողմից համաձայնեցված ընդհանուր ձ</w:t>
      </w:r>
      <w:r w:rsidR="00C54D75">
        <w:rPr>
          <w:rFonts w:ascii="Sylfaen" w:hAnsi="Sylfaen"/>
          <w:sz w:val="24"/>
          <w:szCs w:val="24"/>
        </w:rPr>
        <w:t>և</w:t>
      </w:r>
      <w:r w:rsidRPr="00834D52">
        <w:rPr>
          <w:rFonts w:ascii="Sylfaen" w:hAnsi="Sylfaen"/>
          <w:sz w:val="24"/>
          <w:szCs w:val="24"/>
        </w:rPr>
        <w:t>աչափն է։</w:t>
      </w:r>
    </w:p>
    <w:p w14:paraId="22EBC7B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Տեխնիկական փաստաթղթերի ընդհանուր ձ</w:t>
      </w:r>
      <w:r w:rsidR="00C54D75">
        <w:rPr>
          <w:rFonts w:ascii="Sylfaen" w:hAnsi="Sylfaen"/>
          <w:sz w:val="24"/>
          <w:szCs w:val="24"/>
        </w:rPr>
        <w:t>և</w:t>
      </w:r>
      <w:r w:rsidRPr="00834D52">
        <w:rPr>
          <w:rFonts w:ascii="Sylfaen" w:hAnsi="Sylfaen"/>
          <w:sz w:val="24"/>
          <w:szCs w:val="24"/>
        </w:rPr>
        <w:t xml:space="preserve">աչափն էապես կրճատում է բժշկական կիրառության դեղապատրաստուկների վերաբերյալ գրանցման դոսյեներ կազմելու վրա ծախսվող ժամանակն ու ռեսուրսները </w:t>
      </w:r>
      <w:r w:rsidR="00C54D75">
        <w:rPr>
          <w:rFonts w:ascii="Sylfaen" w:hAnsi="Sylfaen"/>
          <w:sz w:val="24"/>
          <w:szCs w:val="24"/>
        </w:rPr>
        <w:t>և</w:t>
      </w:r>
      <w:r w:rsidRPr="00834D52">
        <w:rPr>
          <w:rFonts w:ascii="Sylfaen" w:hAnsi="Sylfaen"/>
          <w:sz w:val="24"/>
          <w:szCs w:val="24"/>
        </w:rPr>
        <w:t xml:space="preserve"> դյուրացնում է ընդհանուր տեխնիկական փաստաթղթի ձ</w:t>
      </w:r>
      <w:r w:rsidR="00C54D75">
        <w:rPr>
          <w:rFonts w:ascii="Sylfaen" w:hAnsi="Sylfaen"/>
          <w:sz w:val="24"/>
          <w:szCs w:val="24"/>
        </w:rPr>
        <w:t>և</w:t>
      </w:r>
      <w:r w:rsidRPr="00834D52">
        <w:rPr>
          <w:rFonts w:ascii="Sylfaen" w:hAnsi="Sylfaen"/>
          <w:sz w:val="24"/>
          <w:szCs w:val="24"/>
        </w:rPr>
        <w:t xml:space="preserve">աչափով փաստաթղթերի էլեկտրոնային տարբերակով ներկայացնելը (այսուհետ՝ ԷԸՏՓ)։ </w:t>
      </w:r>
    </w:p>
    <w:p w14:paraId="4A58F9F7" w14:textId="2FEDCD6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Փաստաթղթերի ընդհանուր տարրերն ստանդարտացնելիս պարզեցվում է կարգավորիչ փորձաքննությունը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հետ փոխգործակցությունը։ Բացի այդ, դյուրացվում է անդամ պետությունների լիազորված մարմինների միջ</w:t>
      </w:r>
      <w:r w:rsidR="00C54D75">
        <w:rPr>
          <w:rFonts w:ascii="Sylfaen" w:hAnsi="Sylfaen"/>
          <w:sz w:val="24"/>
          <w:szCs w:val="24"/>
        </w:rPr>
        <w:t>և</w:t>
      </w:r>
      <w:r w:rsidRPr="00834D52">
        <w:rPr>
          <w:rFonts w:ascii="Sylfaen" w:hAnsi="Sylfaen"/>
          <w:sz w:val="24"/>
          <w:szCs w:val="24"/>
        </w:rPr>
        <w:t xml:space="preserve"> կարգավորիչ տեղեկատվության փոխանակումը։</w:t>
      </w:r>
    </w:p>
    <w:p w14:paraId="527A4DB3" w14:textId="77777777" w:rsidR="006F76EB" w:rsidRPr="00834D52" w:rsidRDefault="006F76EB" w:rsidP="006F76EB">
      <w:pPr>
        <w:spacing w:after="160" w:line="360" w:lineRule="auto"/>
        <w:ind w:right="-8"/>
        <w:rPr>
          <w:rFonts w:ascii="Sylfaen" w:hAnsi="Sylfaen"/>
          <w:sz w:val="24"/>
          <w:szCs w:val="24"/>
        </w:rPr>
      </w:pPr>
    </w:p>
    <w:p w14:paraId="3903A51E"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lastRenderedPageBreak/>
        <w:t>II. Կիրառության ոլորտը</w:t>
      </w:r>
    </w:p>
    <w:p w14:paraId="5BE2489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փաստաթղթում գլխավորապես քննարկվում է նոր դեղապատրաստուկների (ներառյալ՝ կենսատեխնոլոգիական դեղապարաստուկների) վերաբերյալ գրանցման դոսյեների կազմում ներկայացման ենթակա տեղեկությունների կազմակերպումը։</w:t>
      </w:r>
    </w:p>
    <w:p w14:paraId="13088B46" w14:textId="5C4F7E98"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փաստաթղթում բացակայում են պարզաբանումներ, թե որ հետազոտությունների արդյունքներն է անհրաժեշտ ներկայացնել։ Սույն փաստաթուղթը միայն մատնանշում է ստացված տվյալների ներկայացման համապատասխան ձ</w:t>
      </w:r>
      <w:r w:rsidR="00C54D75">
        <w:rPr>
          <w:rFonts w:ascii="Sylfaen" w:hAnsi="Sylfaen"/>
          <w:sz w:val="24"/>
          <w:szCs w:val="24"/>
        </w:rPr>
        <w:t>և</w:t>
      </w:r>
      <w:r w:rsidRPr="00834D52">
        <w:rPr>
          <w:rFonts w:ascii="Sylfaen" w:hAnsi="Sylfaen"/>
          <w:sz w:val="24"/>
          <w:szCs w:val="24"/>
        </w:rPr>
        <w:t xml:space="preserve">աչափը։ </w:t>
      </w:r>
      <w:r w:rsidR="0056496B">
        <w:rPr>
          <w:rFonts w:ascii="Sylfaen" w:hAnsi="Sylfaen"/>
          <w:sz w:val="24"/>
          <w:szCs w:val="24"/>
        </w:rPr>
        <w:t>Դիմումատու</w:t>
      </w:r>
      <w:r w:rsidRPr="00834D52">
        <w:rPr>
          <w:rFonts w:ascii="Sylfaen" w:hAnsi="Sylfaen"/>
          <w:sz w:val="24"/>
          <w:szCs w:val="24"/>
        </w:rPr>
        <w:t xml:space="preserve">ներն իրավասու չեն փոխելու սույն փաստաթղթում նկարագրված ԸՏՓ-ի սկզբունքային կազմակերպումը։ Սակայն նախակլինիկական </w:t>
      </w:r>
      <w:r w:rsidR="00C54D75">
        <w:rPr>
          <w:rFonts w:ascii="Sylfaen" w:hAnsi="Sylfaen"/>
          <w:sz w:val="24"/>
          <w:szCs w:val="24"/>
        </w:rPr>
        <w:t>և</w:t>
      </w:r>
      <w:r w:rsidRPr="00834D52">
        <w:rPr>
          <w:rFonts w:ascii="Sylfaen" w:hAnsi="Sylfaen"/>
          <w:sz w:val="24"/>
          <w:szCs w:val="24"/>
        </w:rPr>
        <w:t xml:space="preserve"> կլինիկական ռեզյումեներում </w:t>
      </w:r>
      <w:r w:rsidR="0056496B">
        <w:rPr>
          <w:rFonts w:ascii="Sylfaen" w:hAnsi="Sylfaen"/>
          <w:sz w:val="24"/>
          <w:szCs w:val="24"/>
        </w:rPr>
        <w:t>դիմումատու</w:t>
      </w:r>
      <w:r w:rsidRPr="00834D52">
        <w:rPr>
          <w:rFonts w:ascii="Sylfaen" w:hAnsi="Sylfaen"/>
          <w:sz w:val="24"/>
          <w:szCs w:val="24"/>
        </w:rPr>
        <w:t>ներն իրավասու են փոխելու առանձին ձ</w:t>
      </w:r>
      <w:r w:rsidR="00C54D75">
        <w:rPr>
          <w:rFonts w:ascii="Sylfaen" w:hAnsi="Sylfaen"/>
          <w:sz w:val="24"/>
          <w:szCs w:val="24"/>
        </w:rPr>
        <w:t>և</w:t>
      </w:r>
      <w:r w:rsidRPr="00834D52">
        <w:rPr>
          <w:rFonts w:ascii="Sylfaen" w:hAnsi="Sylfaen"/>
          <w:sz w:val="24"/>
          <w:szCs w:val="24"/>
        </w:rPr>
        <w:t xml:space="preserve">աչափեր, եթե այդ է պահանջում արդյունքները հասկանալուն </w:t>
      </w:r>
      <w:r w:rsidR="00C54D75">
        <w:rPr>
          <w:rFonts w:ascii="Sylfaen" w:hAnsi="Sylfaen"/>
          <w:sz w:val="24"/>
          <w:szCs w:val="24"/>
        </w:rPr>
        <w:t>և</w:t>
      </w:r>
      <w:r w:rsidRPr="00834D52">
        <w:rPr>
          <w:rFonts w:ascii="Sylfaen" w:hAnsi="Sylfaen"/>
          <w:sz w:val="24"/>
          <w:szCs w:val="24"/>
        </w:rPr>
        <w:t xml:space="preserve"> գնահատելուն նպաստելու նպատակով տեխնիկական տեղեկությունների օպտիմալ ներկայացումը։</w:t>
      </w:r>
    </w:p>
    <w:p w14:paraId="49D3C6E8" w14:textId="77777777" w:rsidR="006F76EB" w:rsidRPr="00834D52" w:rsidRDefault="006F76EB" w:rsidP="006F76EB">
      <w:pPr>
        <w:spacing w:after="160" w:line="360" w:lineRule="auto"/>
        <w:ind w:right="-8"/>
        <w:rPr>
          <w:rFonts w:ascii="Sylfaen" w:hAnsi="Sylfaen"/>
          <w:sz w:val="24"/>
          <w:szCs w:val="24"/>
        </w:rPr>
      </w:pPr>
    </w:p>
    <w:p w14:paraId="5C82A140"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III. Ընդհանուր սկզբունքները</w:t>
      </w:r>
    </w:p>
    <w:p w14:paraId="1A70EE77"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Հիմնական տվյալների փորձաքննություն անցկացնելիս փորձագետին աջակցություն ցուցաբերելու </w:t>
      </w:r>
      <w:r w:rsidR="00C54D75">
        <w:rPr>
          <w:rFonts w:ascii="Sylfaen" w:hAnsi="Sylfaen"/>
          <w:sz w:val="24"/>
          <w:szCs w:val="24"/>
        </w:rPr>
        <w:t>և</w:t>
      </w:r>
      <w:r w:rsidRPr="00834D52">
        <w:rPr>
          <w:rFonts w:ascii="Sylfaen" w:hAnsi="Sylfaen"/>
          <w:sz w:val="24"/>
          <w:szCs w:val="24"/>
        </w:rPr>
        <w:t xml:space="preserve"> գրանցման դոսյեի բովանդակության մեջ արագ կողմնորոշվելու հարցում նրան օգնելու նպատակով ամբողջ ԸՏՓ-ի կազմման ընթացքում տեղեկությունների ներկայացումը պետք է լինի ոչ երկիմաստ ու թափանցիկ։ Տեքստի </w:t>
      </w:r>
      <w:r w:rsidR="00C54D75">
        <w:rPr>
          <w:rFonts w:ascii="Sylfaen" w:hAnsi="Sylfaen"/>
          <w:sz w:val="24"/>
          <w:szCs w:val="24"/>
        </w:rPr>
        <w:t>և</w:t>
      </w:r>
      <w:r w:rsidRPr="00834D52">
        <w:rPr>
          <w:rFonts w:ascii="Sylfaen" w:hAnsi="Sylfaen"/>
          <w:sz w:val="24"/>
          <w:szCs w:val="24"/>
        </w:rPr>
        <w:t xml:space="preserve"> աղյուսակների եզրագծերը պետք է թույլ տան փաստաթղթի տպագրումը A4 ձ</w:t>
      </w:r>
      <w:r w:rsidR="00C54D75">
        <w:rPr>
          <w:rFonts w:ascii="Sylfaen" w:hAnsi="Sylfaen"/>
          <w:sz w:val="24"/>
          <w:szCs w:val="24"/>
        </w:rPr>
        <w:t>և</w:t>
      </w:r>
      <w:r w:rsidRPr="00834D52">
        <w:rPr>
          <w:rFonts w:ascii="Sylfaen" w:hAnsi="Sylfaen"/>
          <w:sz w:val="24"/>
          <w:szCs w:val="24"/>
        </w:rPr>
        <w:t xml:space="preserve">աչափի թղթի վրա։ Ձախ եզրագիծը պետք է բավականաչափ լայն լինի, որպեսզի չվնասվեն տեղեկությունները՝ դրանք կարակցելիս (օրինակ՝ ձախ եզրագիծը՝ 3 սմ, աջ եզրագիծը՝ 1,5 սմ, վերին </w:t>
      </w:r>
      <w:r w:rsidR="00C54D75">
        <w:rPr>
          <w:rFonts w:ascii="Sylfaen" w:hAnsi="Sylfaen"/>
          <w:sz w:val="24"/>
          <w:szCs w:val="24"/>
        </w:rPr>
        <w:t>և</w:t>
      </w:r>
      <w:r w:rsidRPr="00834D52">
        <w:rPr>
          <w:rFonts w:ascii="Sylfaen" w:hAnsi="Sylfaen"/>
          <w:sz w:val="24"/>
          <w:szCs w:val="24"/>
        </w:rPr>
        <w:t xml:space="preserve"> ստորին եզրագծերը՝ 2 սմ)։ Տեքստի </w:t>
      </w:r>
      <w:r w:rsidR="00C54D75">
        <w:rPr>
          <w:rFonts w:ascii="Sylfaen" w:hAnsi="Sylfaen"/>
          <w:sz w:val="24"/>
          <w:szCs w:val="24"/>
        </w:rPr>
        <w:t>և</w:t>
      </w:r>
      <w:r w:rsidRPr="00834D52">
        <w:rPr>
          <w:rFonts w:ascii="Sylfaen" w:hAnsi="Sylfaen"/>
          <w:sz w:val="24"/>
          <w:szCs w:val="24"/>
        </w:rPr>
        <w:t xml:space="preserve"> աղյուսակների տառատեսակի ոճն ու կեգելը պետք է լինեն բավականաչափ մեծ, որպեսզի ապահովեն ընթեռնելիությունը նույնիսկ պատճենահանումից հետո։ Պատմողական տեքստի համար խորհուրդ է տրվում օգտագործել Times New Roman </w:t>
      </w:r>
      <w:r w:rsidRPr="00834D52">
        <w:rPr>
          <w:rFonts w:ascii="Sylfaen" w:hAnsi="Sylfaen"/>
          <w:sz w:val="24"/>
          <w:szCs w:val="24"/>
        </w:rPr>
        <w:lastRenderedPageBreak/>
        <w:t xml:space="preserve">տառատեսակը, 12 տառաչափը։ Յուրաքանչյուր էջ պետք է համարակալվի պարզաբանող փաստաթղթին համապատասխան (տե՛ս սույն փաստաթղթի հավելվածը)։ Կրճատումները </w:t>
      </w:r>
      <w:r w:rsidR="00C54D75">
        <w:rPr>
          <w:rFonts w:ascii="Sylfaen" w:hAnsi="Sylfaen"/>
          <w:sz w:val="24"/>
          <w:szCs w:val="24"/>
        </w:rPr>
        <w:t>և</w:t>
      </w:r>
      <w:r w:rsidRPr="00834D52">
        <w:rPr>
          <w:rFonts w:ascii="Sylfaen" w:hAnsi="Sylfaen"/>
          <w:sz w:val="24"/>
          <w:szCs w:val="24"/>
        </w:rPr>
        <w:t xml:space="preserve"> հապավումները հարկավոր է վերծանել՝ յուրաքանչյուր մոդուլում դրանք առաջին անգամ հիշատակելիս։ Անհրաժեշտ է հղումները մեջբերել՝ Բժշկական հանդեսների խմբագիրների միջազգային կոմիտեի (այսուհետ՝ ԲՀԽՄԿ)՝ «Կենսաբժշկական հանդեսներում ներառվող բնագիր նյութերի վերաբերյալ միասնական պահանջներ»-ի գործող խմբագրությանը համապատասխան («Կենսաբժշկական հանդեսներում ներառվող բնագիր նյութերի վերաբերյալ միասնական պահանջներ»-ի առաջին խմբագրությունը հաստատվել է Վանկուվերյան խմբի կողմից </w:t>
      </w:r>
      <w:r w:rsidR="00C54D75">
        <w:rPr>
          <w:rFonts w:ascii="Sylfaen" w:hAnsi="Sylfaen"/>
          <w:sz w:val="24"/>
          <w:szCs w:val="24"/>
        </w:rPr>
        <w:t>և</w:t>
      </w:r>
      <w:r w:rsidRPr="00834D52">
        <w:rPr>
          <w:rFonts w:ascii="Sylfaen" w:hAnsi="Sylfaen"/>
          <w:sz w:val="24"/>
          <w:szCs w:val="24"/>
        </w:rPr>
        <w:t xml:space="preserve"> հրատարակվել է 1979 թվականին)։</w:t>
      </w:r>
    </w:p>
    <w:p w14:paraId="79791961" w14:textId="77777777" w:rsidR="006F76EB" w:rsidRPr="00834D52" w:rsidRDefault="006F76EB" w:rsidP="008E1BE5">
      <w:pPr>
        <w:spacing w:after="160" w:line="372" w:lineRule="auto"/>
        <w:ind w:right="-8"/>
        <w:rPr>
          <w:rFonts w:ascii="Sylfaen" w:hAnsi="Sylfaen"/>
          <w:sz w:val="24"/>
          <w:szCs w:val="24"/>
        </w:rPr>
      </w:pPr>
    </w:p>
    <w:p w14:paraId="35CF8963" w14:textId="77777777" w:rsidR="006F76EB" w:rsidRPr="00834D52" w:rsidRDefault="006F76EB" w:rsidP="008E1BE5">
      <w:pPr>
        <w:spacing w:after="160" w:line="372" w:lineRule="auto"/>
        <w:ind w:left="567" w:right="579"/>
        <w:jc w:val="center"/>
        <w:rPr>
          <w:rFonts w:ascii="Sylfaen" w:eastAsia="Times New Roman" w:hAnsi="Sylfaen" w:cs="Times New Roman"/>
          <w:sz w:val="24"/>
          <w:szCs w:val="24"/>
        </w:rPr>
      </w:pPr>
      <w:r w:rsidRPr="00834D52">
        <w:rPr>
          <w:rFonts w:ascii="Sylfaen" w:hAnsi="Sylfaen"/>
          <w:sz w:val="24"/>
          <w:szCs w:val="24"/>
        </w:rPr>
        <w:t>IV. ԸՆԴՀԱՆՈՒՐ ՏԵԽՆԻԿԱԿԱՆ ՓԱՍՏԱԹՂԹԻ ԿԱՌՈՒՑՎԱԾՔԸ</w:t>
      </w:r>
    </w:p>
    <w:p w14:paraId="75D66B36" w14:textId="77777777"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ԸՏՓ-ն բաղկացած է 5 մոդուլից։ Առաջին մոդուլը յուրահատուկ է անդամ պետությունների համար։ 2-5-րդ մոդուլները բոլոր տարածաշրջանների համար ընդհանուր են։ Սույն փաստաթղթին համապատասխանությունը պետք է ապահովի այդ 4 մոդուլների ներկայացումը՝ անդամ պետությունների լիազորված մարմինների համար ընդունելի ձ</w:t>
      </w:r>
      <w:r w:rsidR="00C54D75">
        <w:rPr>
          <w:rFonts w:ascii="Sylfaen" w:hAnsi="Sylfaen"/>
          <w:sz w:val="24"/>
          <w:szCs w:val="24"/>
        </w:rPr>
        <w:t>և</w:t>
      </w:r>
      <w:r w:rsidRPr="00834D52">
        <w:rPr>
          <w:rFonts w:ascii="Sylfaen" w:hAnsi="Sylfaen"/>
          <w:sz w:val="24"/>
          <w:szCs w:val="24"/>
        </w:rPr>
        <w:t>աչափով։</w:t>
      </w:r>
    </w:p>
    <w:p w14:paraId="3DDBE510" w14:textId="77777777"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Մոդուլ 1. Նշանակման վերաբերյալ տեղեկությունները </w:t>
      </w:r>
      <w:r w:rsidR="00C54D75">
        <w:rPr>
          <w:rFonts w:ascii="Sylfaen" w:hAnsi="Sylfaen"/>
          <w:sz w:val="24"/>
          <w:szCs w:val="24"/>
        </w:rPr>
        <w:t>և</w:t>
      </w:r>
      <w:r w:rsidRPr="00834D52">
        <w:rPr>
          <w:rFonts w:ascii="Sylfaen" w:hAnsi="Sylfaen"/>
          <w:sz w:val="24"/>
          <w:szCs w:val="24"/>
        </w:rPr>
        <w:t xml:space="preserve"> վարչական տեղեկատվությունը:</w:t>
      </w:r>
    </w:p>
    <w:p w14:paraId="37EF66C3" w14:textId="2DAF52EF"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Տվյալ մոդուլում պետք է ընդգրկվեն անդամ պետությունների համար յուրահատուկ փաստաթղթեր, օրինակ՝ </w:t>
      </w:r>
      <w:r w:rsidR="009F5829">
        <w:rPr>
          <w:rFonts w:ascii="Sylfaen" w:hAnsi="Sylfaen"/>
          <w:sz w:val="24"/>
          <w:szCs w:val="24"/>
        </w:rPr>
        <w:t>դիմումներ</w:t>
      </w:r>
      <w:r w:rsidRPr="00834D52">
        <w:rPr>
          <w:rFonts w:ascii="Sylfaen" w:hAnsi="Sylfaen"/>
          <w:sz w:val="24"/>
          <w:szCs w:val="24"/>
        </w:rPr>
        <w:t>ի ձ</w:t>
      </w:r>
      <w:r w:rsidR="00C54D75">
        <w:rPr>
          <w:rFonts w:ascii="Sylfaen" w:hAnsi="Sylfaen"/>
          <w:sz w:val="24"/>
          <w:szCs w:val="24"/>
        </w:rPr>
        <w:t>և</w:t>
      </w:r>
      <w:r w:rsidRPr="00834D52">
        <w:rPr>
          <w:rFonts w:ascii="Sylfaen" w:hAnsi="Sylfaen"/>
          <w:sz w:val="24"/>
          <w:szCs w:val="24"/>
        </w:rPr>
        <w:t xml:space="preserve">եր կամ անդամ պետություններում կիրառության վերաբերյալ առաջարկվող տեղեկատվություն։ Այս մոդուլի բովանդակությունը </w:t>
      </w:r>
      <w:r w:rsidR="00C54D75">
        <w:rPr>
          <w:rFonts w:ascii="Sylfaen" w:hAnsi="Sylfaen"/>
          <w:sz w:val="24"/>
          <w:szCs w:val="24"/>
        </w:rPr>
        <w:t>և</w:t>
      </w:r>
      <w:r w:rsidRPr="00834D52">
        <w:rPr>
          <w:rFonts w:ascii="Sylfaen" w:hAnsi="Sylfaen"/>
          <w:sz w:val="24"/>
          <w:szCs w:val="24"/>
        </w:rPr>
        <w:t xml:space="preserve"> ձ</w:t>
      </w:r>
      <w:r w:rsidR="00C54D75">
        <w:rPr>
          <w:rFonts w:ascii="Sylfaen" w:hAnsi="Sylfaen"/>
          <w:sz w:val="24"/>
          <w:szCs w:val="24"/>
        </w:rPr>
        <w:t>և</w:t>
      </w:r>
      <w:r w:rsidRPr="00834D52">
        <w:rPr>
          <w:rFonts w:ascii="Sylfaen" w:hAnsi="Sylfaen"/>
          <w:sz w:val="24"/>
          <w:szCs w:val="24"/>
        </w:rPr>
        <w:t xml:space="preserve">աչափը նկարագրված են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առաջին հավելվածում (այսուհետ՝ Կանոններ)։</w:t>
      </w:r>
    </w:p>
    <w:p w14:paraId="76461968" w14:textId="77777777" w:rsidR="006F76EB" w:rsidRPr="00834D52" w:rsidRDefault="006F76EB" w:rsidP="008E1BE5">
      <w:pPr>
        <w:tabs>
          <w:tab w:val="left" w:pos="1134"/>
        </w:tabs>
        <w:spacing w:after="160" w:line="372" w:lineRule="auto"/>
        <w:ind w:right="-8" w:firstLine="567"/>
        <w:rPr>
          <w:rFonts w:ascii="Sylfaen" w:eastAsia="Times New Roman" w:hAnsi="Sylfaen" w:cs="Times New Roman"/>
          <w:sz w:val="24"/>
          <w:szCs w:val="24"/>
        </w:rPr>
      </w:pPr>
      <w:r w:rsidRPr="00834D52">
        <w:rPr>
          <w:rFonts w:ascii="Sylfaen" w:hAnsi="Sylfaen"/>
          <w:sz w:val="24"/>
          <w:szCs w:val="24"/>
        </w:rPr>
        <w:t>Մոդուլ 2.</w:t>
      </w:r>
      <w:r w:rsidR="008E1BE5" w:rsidRPr="007F5A60">
        <w:rPr>
          <w:rFonts w:ascii="Sylfaen" w:hAnsi="Sylfaen"/>
          <w:sz w:val="24"/>
          <w:szCs w:val="24"/>
        </w:rPr>
        <w:tab/>
      </w:r>
      <w:r w:rsidRPr="00834D52">
        <w:rPr>
          <w:rFonts w:ascii="Sylfaen" w:hAnsi="Sylfaen"/>
          <w:sz w:val="24"/>
          <w:szCs w:val="24"/>
        </w:rPr>
        <w:t>ԸՏՓ-ի ռեզյումե:</w:t>
      </w:r>
    </w:p>
    <w:p w14:paraId="7A49B16D"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2-րդ մոդուլը պետք է սկսվի դեղապատրաստուկի ընդհանուր ներածությունից՝ ներառյալ դեղաբանական դասը, ազդեցության մեխանիզմը </w:t>
      </w:r>
      <w:r w:rsidR="00C54D75">
        <w:rPr>
          <w:rFonts w:ascii="Sylfaen" w:hAnsi="Sylfaen"/>
          <w:sz w:val="24"/>
          <w:szCs w:val="24"/>
        </w:rPr>
        <w:t>և</w:t>
      </w:r>
      <w:r w:rsidRPr="00834D52">
        <w:rPr>
          <w:rFonts w:ascii="Sylfaen" w:hAnsi="Sylfaen"/>
          <w:sz w:val="24"/>
          <w:szCs w:val="24"/>
        </w:rPr>
        <w:t xml:space="preserve"> ենթադրվող կլինիկական կիրառությունը։ Ներածությունն ընդհանուր առմամբ չպետք է գերազանցի մեկ էջը։</w:t>
      </w:r>
    </w:p>
    <w:p w14:paraId="78288C2B"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2-րդ մոդուլը պետք է պարունակի հետ</w:t>
      </w:r>
      <w:r w:rsidR="00C54D75">
        <w:rPr>
          <w:rFonts w:ascii="Sylfaen" w:hAnsi="Sylfaen"/>
          <w:sz w:val="24"/>
          <w:szCs w:val="24"/>
        </w:rPr>
        <w:t>և</w:t>
      </w:r>
      <w:r w:rsidRPr="00834D52">
        <w:rPr>
          <w:rFonts w:ascii="Sylfaen" w:hAnsi="Sylfaen"/>
          <w:sz w:val="24"/>
          <w:szCs w:val="24"/>
        </w:rPr>
        <w:t>յալ 7 բաժինները նշված կարգով՝</w:t>
      </w:r>
    </w:p>
    <w:p w14:paraId="46964B47"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ԸՏՓ-ի բովանդակությունը,</w:t>
      </w:r>
    </w:p>
    <w:p w14:paraId="0ED2ADCD"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ԸՏՓ-ի ներածությունը,</w:t>
      </w:r>
    </w:p>
    <w:p w14:paraId="43623E21"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Որակի վերաբերյալ ամփոփիչ ռեզյումեն,</w:t>
      </w:r>
    </w:p>
    <w:p w14:paraId="2AF65BB8"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Նախակլինիկական ամփոփում,</w:t>
      </w:r>
    </w:p>
    <w:p w14:paraId="4829729E"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Կլինիկական ամփոփում,</w:t>
      </w:r>
    </w:p>
    <w:p w14:paraId="791EE9E4"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 xml:space="preserve">Նախակլինիկական նկարագրական </w:t>
      </w:r>
      <w:r w:rsidR="00C54D75">
        <w:rPr>
          <w:rFonts w:ascii="Sylfaen" w:hAnsi="Sylfaen"/>
          <w:sz w:val="24"/>
          <w:szCs w:val="24"/>
        </w:rPr>
        <w:t>և</w:t>
      </w:r>
      <w:r w:rsidRPr="00834D52">
        <w:rPr>
          <w:rFonts w:ascii="Sylfaen" w:hAnsi="Sylfaen"/>
          <w:sz w:val="24"/>
          <w:szCs w:val="24"/>
        </w:rPr>
        <w:t xml:space="preserve"> աղյուսակային ռեզյումեներ,</w:t>
      </w:r>
    </w:p>
    <w:p w14:paraId="31FFCF82"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Կլինիկական ամփոփում։</w:t>
      </w:r>
    </w:p>
    <w:p w14:paraId="3DC8757C" w14:textId="77777777" w:rsidR="006F76EB" w:rsidRPr="007F5A60" w:rsidRDefault="006F76EB" w:rsidP="008E1BE5">
      <w:pPr>
        <w:spacing w:after="160" w:line="372" w:lineRule="auto"/>
        <w:ind w:right="-6" w:firstLine="567"/>
        <w:rPr>
          <w:rFonts w:ascii="Sylfaen" w:hAnsi="Sylfaen"/>
          <w:sz w:val="24"/>
          <w:szCs w:val="24"/>
        </w:rPr>
      </w:pPr>
      <w:r w:rsidRPr="00834D52">
        <w:rPr>
          <w:rFonts w:ascii="Sylfaen" w:hAnsi="Sylfaen"/>
          <w:sz w:val="24"/>
          <w:szCs w:val="24"/>
        </w:rPr>
        <w:t>Այդ ռեզյումեների նկարագրությունը բերված է Կանոնների թիվ 1 հավելվածում։</w:t>
      </w:r>
    </w:p>
    <w:p w14:paraId="4E4FE5EB"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3.</w:t>
      </w:r>
      <w:r w:rsidR="008E1BE5" w:rsidRPr="007F5A60">
        <w:rPr>
          <w:rFonts w:ascii="Sylfaen" w:hAnsi="Sylfaen"/>
          <w:sz w:val="24"/>
          <w:szCs w:val="24"/>
        </w:rPr>
        <w:tab/>
      </w:r>
      <w:r w:rsidRPr="00834D52">
        <w:rPr>
          <w:rFonts w:ascii="Sylfaen" w:hAnsi="Sylfaen"/>
          <w:sz w:val="24"/>
          <w:szCs w:val="24"/>
        </w:rPr>
        <w:t>Որակ.</w:t>
      </w:r>
    </w:p>
    <w:p w14:paraId="6A345A56"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Որակի վերաբերյալ տեղեկություններն անհրաժեշտ է ներկայացնել կառուցվածքավորված ձ</w:t>
      </w:r>
      <w:r w:rsidR="00C54D75">
        <w:rPr>
          <w:rFonts w:ascii="Sylfaen" w:hAnsi="Sylfaen"/>
          <w:sz w:val="24"/>
          <w:szCs w:val="24"/>
        </w:rPr>
        <w:t>և</w:t>
      </w:r>
      <w:r w:rsidRPr="00834D52">
        <w:rPr>
          <w:rFonts w:ascii="Sylfaen" w:hAnsi="Sylfaen"/>
          <w:sz w:val="24"/>
          <w:szCs w:val="24"/>
        </w:rPr>
        <w:t>աչափով՝ Կանոնների թիվ 1 հավելվածին համապատասխան։</w:t>
      </w:r>
    </w:p>
    <w:p w14:paraId="757A79A5"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4.</w:t>
      </w:r>
      <w:r w:rsidR="008E1BE5" w:rsidRPr="007F5A60">
        <w:rPr>
          <w:rFonts w:ascii="Sylfaen" w:hAnsi="Sylfaen"/>
          <w:sz w:val="24"/>
          <w:szCs w:val="24"/>
        </w:rPr>
        <w:tab/>
      </w:r>
      <w:r w:rsidRPr="00834D52">
        <w:rPr>
          <w:rFonts w:ascii="Sylfaen" w:hAnsi="Sylfaen"/>
          <w:sz w:val="24"/>
          <w:szCs w:val="24"/>
        </w:rPr>
        <w:t>Նախակլինիկական հետազոտությունների վերաբերյալ հաշվետվությունները:</w:t>
      </w:r>
    </w:p>
    <w:p w14:paraId="76999810"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Նախակլինիկական հետազոտությունների վերաբերյալ հաշվետվություններն անհրաժեշտ է ներկայացնել Կանոնների թիվ 1 հավելվածում նկարագրված կարգով։</w:t>
      </w:r>
    </w:p>
    <w:p w14:paraId="7D6B9804"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5.</w:t>
      </w:r>
      <w:r w:rsidR="008E1BE5" w:rsidRPr="007F5A60">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23B3DB8C"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Մարդու հետազոտությունների վերաբերյալ հաշվետվությունները </w:t>
      </w:r>
      <w:r w:rsidR="00C54D75">
        <w:rPr>
          <w:rFonts w:ascii="Sylfaen" w:hAnsi="Sylfaen"/>
          <w:sz w:val="24"/>
          <w:szCs w:val="24"/>
        </w:rPr>
        <w:t>և</w:t>
      </w:r>
      <w:r w:rsidRPr="00834D52">
        <w:rPr>
          <w:rFonts w:ascii="Sylfaen" w:hAnsi="Sylfaen"/>
          <w:sz w:val="24"/>
          <w:szCs w:val="24"/>
        </w:rPr>
        <w:t xml:space="preserve"> դրանց հետ կապված տեղեկություններն անհրաժեշտ է ներկայացնել Կանոնների թիվ 1 հավելվածում նկարագրված կարգով։</w:t>
      </w:r>
    </w:p>
    <w:p w14:paraId="45FA5AB5" w14:textId="77777777" w:rsidR="006F76EB" w:rsidRPr="00C44940" w:rsidRDefault="006F76EB" w:rsidP="008E1BE5">
      <w:pPr>
        <w:spacing w:after="160" w:line="372" w:lineRule="auto"/>
        <w:ind w:right="-6" w:firstLine="567"/>
        <w:rPr>
          <w:rFonts w:ascii="Sylfaen" w:hAnsi="Sylfaen"/>
          <w:sz w:val="24"/>
          <w:szCs w:val="24"/>
        </w:rPr>
      </w:pPr>
      <w:r w:rsidRPr="00834D52">
        <w:rPr>
          <w:rFonts w:ascii="Sylfaen" w:hAnsi="Sylfaen"/>
          <w:sz w:val="24"/>
          <w:szCs w:val="24"/>
        </w:rPr>
        <w:t>Այնուհետ</w:t>
      </w:r>
      <w:r w:rsidR="00C54D75">
        <w:rPr>
          <w:rFonts w:ascii="Sylfaen" w:hAnsi="Sylfaen"/>
          <w:sz w:val="24"/>
          <w:szCs w:val="24"/>
        </w:rPr>
        <w:t>և</w:t>
      </w:r>
      <w:r w:rsidRPr="00834D52">
        <w:rPr>
          <w:rFonts w:ascii="Sylfaen" w:hAnsi="Sylfaen"/>
          <w:sz w:val="24"/>
          <w:szCs w:val="24"/>
        </w:rPr>
        <w:t xml:space="preserve"> ներկայացված է ԸՏՓ-ի ընդհանուր կառուցվածքը (էԸՏՓ)։</w:t>
      </w:r>
    </w:p>
    <w:p w14:paraId="3076AB38" w14:textId="77777777" w:rsidR="008E1BE5" w:rsidRDefault="008E1BE5">
      <w:pPr>
        <w:widowControl/>
        <w:rPr>
          <w:rFonts w:ascii="Sylfaen" w:eastAsia="Times New Roman" w:hAnsi="Sylfaen" w:cs="Times New Roman"/>
          <w:sz w:val="24"/>
          <w:szCs w:val="24"/>
        </w:rPr>
      </w:pPr>
      <w:r>
        <w:rPr>
          <w:rFonts w:ascii="Sylfaen" w:eastAsia="Times New Roman" w:hAnsi="Sylfaen" w:cs="Times New Roman"/>
          <w:sz w:val="24"/>
          <w:szCs w:val="24"/>
        </w:rPr>
        <w:br w:type="page"/>
      </w:r>
    </w:p>
    <w:p w14:paraId="53935889" w14:textId="77777777" w:rsidR="006F76EB" w:rsidRPr="006F76EB" w:rsidRDefault="006F76EB" w:rsidP="006F76EB">
      <w:pPr>
        <w:pStyle w:val="Picturecaption0"/>
        <w:shd w:val="clear" w:color="auto" w:fill="auto"/>
        <w:spacing w:after="120" w:line="240" w:lineRule="auto"/>
        <w:jc w:val="center"/>
        <w:rPr>
          <w:rFonts w:ascii="Sylfaen" w:hAnsi="Sylfaen"/>
          <w:sz w:val="24"/>
          <w:szCs w:val="24"/>
          <w:lang w:val="hy-AM"/>
        </w:rPr>
      </w:pPr>
      <w:r w:rsidRPr="006F76EB">
        <w:rPr>
          <w:rFonts w:ascii="Sylfaen" w:hAnsi="Sylfaen"/>
          <w:color w:val="000000"/>
          <w:sz w:val="24"/>
          <w:szCs w:val="24"/>
          <w:lang w:val="hy-AM"/>
        </w:rPr>
        <w:lastRenderedPageBreak/>
        <w:t>V. ԸՏՓ-Ի ԿԱՌՈՒՑՎԱԾՔԻ ՍԽԵՄԱՏԻԿ ՆԵՐԿԱՅԱՑՈՒՄԸ</w:t>
      </w:r>
    </w:p>
    <w:p w14:paraId="56B86DC3" w14:textId="77777777" w:rsidR="006F76EB" w:rsidRPr="00834D52" w:rsidRDefault="006F76EB" w:rsidP="006F76EB">
      <w:pPr>
        <w:spacing w:after="120" w:line="240" w:lineRule="auto"/>
        <w:jc w:val="center"/>
        <w:rPr>
          <w:rFonts w:ascii="Sylfaen" w:hAnsi="Sylfaen"/>
          <w:sz w:val="24"/>
          <w:szCs w:val="24"/>
        </w:rPr>
      </w:pPr>
    </w:p>
    <w:p w14:paraId="7C57C48D" w14:textId="398A0061" w:rsidR="006F76EB" w:rsidRPr="00834D52" w:rsidRDefault="0037154C" w:rsidP="006F76EB">
      <w:pPr>
        <w:rPr>
          <w:rFonts w:ascii="Sylfaen" w:hAnsi="Sylfaen"/>
        </w:rPr>
      </w:pPr>
      <w:r>
        <w:rPr>
          <w:rFonts w:ascii="Sylfaen" w:hAnsi="Sylfaen"/>
          <w:noProof/>
          <w:lang w:val="ru-RU" w:eastAsia="ru-RU"/>
        </w:rPr>
        <mc:AlternateContent>
          <mc:Choice Requires="wps">
            <w:drawing>
              <wp:anchor distT="0" distB="0" distL="114300" distR="114300" simplePos="0" relativeHeight="251794944" behindDoc="0" locked="0" layoutInCell="1" allowOverlap="1" wp14:anchorId="0D6CECA3" wp14:editId="39096C3C">
                <wp:simplePos x="0" y="0"/>
                <wp:positionH relativeFrom="column">
                  <wp:posOffset>1345565</wp:posOffset>
                </wp:positionH>
                <wp:positionV relativeFrom="paragraph">
                  <wp:posOffset>4547870</wp:posOffset>
                </wp:positionV>
                <wp:extent cx="766445" cy="689610"/>
                <wp:effectExtent l="7620" t="10795" r="6985" b="13970"/>
                <wp:wrapNone/>
                <wp:docPr id="4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89610"/>
                        </a:xfrm>
                        <a:prstGeom prst="rect">
                          <a:avLst/>
                        </a:prstGeom>
                        <a:solidFill>
                          <a:srgbClr val="FFFFFF"/>
                        </a:solidFill>
                        <a:ln w="9525">
                          <a:solidFill>
                            <a:srgbClr val="000000"/>
                          </a:solidFill>
                          <a:miter lim="800000"/>
                          <a:headEnd/>
                          <a:tailEnd/>
                        </a:ln>
                      </wps:spPr>
                      <wps:txbx>
                        <w:txbxContent>
                          <w:p w14:paraId="3700AE0A" w14:textId="77777777" w:rsidR="004A52D9" w:rsidRPr="00DE0CA4" w:rsidRDefault="004A52D9" w:rsidP="006F76EB">
                            <w:pPr>
                              <w:ind w:left="142"/>
                              <w:rPr>
                                <w:rFonts w:ascii="Sylfaen" w:hAnsi="Sylfaen"/>
                                <w:sz w:val="16"/>
                                <w:szCs w:val="16"/>
                              </w:rPr>
                            </w:pPr>
                            <w:r w:rsidRPr="00DE0CA4">
                              <w:rPr>
                                <w:rFonts w:ascii="Sylfaen" w:hAnsi="Sylfaen"/>
                                <w:sz w:val="16"/>
                                <w:szCs w:val="16"/>
                              </w:rPr>
                              <w:t>Մոդուլ 3</w:t>
                            </w:r>
                          </w:p>
                          <w:p w14:paraId="302182BC" w14:textId="77777777" w:rsidR="004A52D9" w:rsidRPr="00DE0CA4" w:rsidRDefault="004A52D9" w:rsidP="006F76EB">
                            <w:pPr>
                              <w:ind w:left="142"/>
                              <w:rPr>
                                <w:rFonts w:ascii="Sylfaen" w:hAnsi="Sylfaen"/>
                                <w:sz w:val="16"/>
                                <w:szCs w:val="16"/>
                              </w:rPr>
                            </w:pPr>
                            <w:r w:rsidRPr="00DE0CA4">
                              <w:rPr>
                                <w:rFonts w:ascii="Sylfaen" w:hAnsi="Sylfaen"/>
                                <w:sz w:val="16"/>
                                <w:szCs w:val="16"/>
                              </w:rPr>
                              <w:t>Որակ</w:t>
                            </w:r>
                          </w:p>
                          <w:p w14:paraId="10A13C9E" w14:textId="77777777" w:rsidR="004A52D9" w:rsidRPr="00DE0CA4" w:rsidRDefault="004A52D9" w:rsidP="006F76EB">
                            <w:pPr>
                              <w:ind w:left="142"/>
                              <w:rPr>
                                <w:rFonts w:ascii="Sylfaen" w:hAnsi="Sylfaen"/>
                                <w:sz w:val="16"/>
                                <w:szCs w:val="16"/>
                              </w:rPr>
                            </w:pPr>
                            <w:r w:rsidRPr="00DE0CA4">
                              <w:rPr>
                                <w:rFonts w:ascii="Sylfaen" w:hAnsi="Sylfaen"/>
                                <w:sz w:val="16"/>
                                <w:szCs w:val="16"/>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6CECA3" id="_x0000_t202" coordsize="21600,21600" o:spt="202" path="m,l,21600r21600,l21600,xe">
                <v:stroke joinstyle="miter"/>
                <v:path gradientshapeok="t" o:connecttype="rect"/>
              </v:shapetype>
              <v:shape id="Text Box 273" o:spid="_x0000_s1026" type="#_x0000_t202" style="position:absolute;margin-left:105.95pt;margin-top:358.1pt;width:60.35pt;height:54.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">
                <v:textbox inset="0,0,0,0">
                  <w:txbxContent>
                    <w:p w14:paraId="3700AE0A" w14:textId="77777777" w:rsidR="004A52D9" w:rsidRPr="00DE0CA4" w:rsidRDefault="004A52D9" w:rsidP="006F76EB">
                      <w:pPr>
                        <w:ind w:left="142"/>
                        <w:rPr>
                          <w:rFonts w:ascii="Sylfaen" w:hAnsi="Sylfaen"/>
                          <w:sz w:val="16"/>
                          <w:szCs w:val="16"/>
                        </w:rPr>
                      </w:pPr>
                      <w:r w:rsidRPr="00DE0CA4">
                        <w:rPr>
                          <w:rFonts w:ascii="Sylfaen" w:hAnsi="Sylfaen"/>
                          <w:sz w:val="16"/>
                          <w:szCs w:val="16"/>
                        </w:rPr>
                        <w:t>Մոդուլ 3</w:t>
                      </w:r>
                    </w:p>
                    <w:p w14:paraId="302182BC" w14:textId="77777777" w:rsidR="004A52D9" w:rsidRPr="00DE0CA4" w:rsidRDefault="004A52D9" w:rsidP="006F76EB">
                      <w:pPr>
                        <w:ind w:left="142"/>
                        <w:rPr>
                          <w:rFonts w:ascii="Sylfaen" w:hAnsi="Sylfaen"/>
                          <w:sz w:val="16"/>
                          <w:szCs w:val="16"/>
                        </w:rPr>
                      </w:pPr>
                      <w:r w:rsidRPr="00DE0CA4">
                        <w:rPr>
                          <w:rFonts w:ascii="Sylfaen" w:hAnsi="Sylfaen"/>
                          <w:sz w:val="16"/>
                          <w:szCs w:val="16"/>
                        </w:rPr>
                        <w:t>Որակ</w:t>
                      </w:r>
                    </w:p>
                    <w:p w14:paraId="10A13C9E" w14:textId="77777777" w:rsidR="004A52D9" w:rsidRPr="00DE0CA4" w:rsidRDefault="004A52D9" w:rsidP="006F76EB">
                      <w:pPr>
                        <w:ind w:left="142"/>
                        <w:rPr>
                          <w:rFonts w:ascii="Sylfaen" w:hAnsi="Sylfaen"/>
                          <w:sz w:val="16"/>
                          <w:szCs w:val="16"/>
                        </w:rPr>
                      </w:pPr>
                      <w:r w:rsidRPr="00DE0CA4">
                        <w:rPr>
                          <w:rFonts w:ascii="Sylfaen" w:hAnsi="Sylfaen"/>
                          <w:sz w:val="16"/>
                          <w:szCs w:val="16"/>
                        </w:rPr>
                        <w:t>3</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6992" behindDoc="0" locked="0" layoutInCell="1" allowOverlap="1" wp14:anchorId="26BEE16A" wp14:editId="22D1E002">
                <wp:simplePos x="0" y="0"/>
                <wp:positionH relativeFrom="column">
                  <wp:posOffset>2382520</wp:posOffset>
                </wp:positionH>
                <wp:positionV relativeFrom="paragraph">
                  <wp:posOffset>5415280</wp:posOffset>
                </wp:positionV>
                <wp:extent cx="926465" cy="174625"/>
                <wp:effectExtent l="6350" t="11430" r="10160" b="13970"/>
                <wp:wrapNone/>
                <wp:docPr id="4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74625"/>
                        </a:xfrm>
                        <a:prstGeom prst="rect">
                          <a:avLst/>
                        </a:prstGeom>
                        <a:solidFill>
                          <a:srgbClr val="FFFFFF"/>
                        </a:solidFill>
                        <a:ln w="9525">
                          <a:solidFill>
                            <a:srgbClr val="000000"/>
                          </a:solidFill>
                          <a:miter lim="800000"/>
                          <a:headEnd/>
                          <a:tailEnd/>
                        </a:ln>
                      </wps:spPr>
                      <wps:txbx>
                        <w:txbxContent>
                          <w:p w14:paraId="3AF94E7E" w14:textId="77777777" w:rsidR="004A52D9" w:rsidRPr="00EB43A1" w:rsidRDefault="004A52D9" w:rsidP="006F76EB">
                            <w:pPr>
                              <w:rPr>
                                <w:rFonts w:ascii="Sylfaen" w:hAnsi="Sylfaen"/>
                                <w:sz w:val="10"/>
                                <w:szCs w:val="10"/>
                              </w:rPr>
                            </w:pPr>
                            <w:r w:rsidRPr="00EB43A1">
                              <w:rPr>
                                <w:rFonts w:ascii="Sylfaen" w:hAnsi="Sylfaen"/>
                                <w:sz w:val="10"/>
                                <w:szCs w:val="10"/>
                              </w:rPr>
                              <w:t>4.1 Բովանդակություն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EE16A" id="Text Box 275" o:spid="_x0000_s1027" type="#_x0000_t202" style="position:absolute;margin-left:187.6pt;margin-top:426.4pt;width:72.95pt;height:13.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">
                <v:textbox inset="0,0,0,0">
                  <w:txbxContent>
                    <w:p w14:paraId="3AF94E7E" w14:textId="77777777" w:rsidR="004A52D9" w:rsidRPr="00EB43A1" w:rsidRDefault="004A52D9" w:rsidP="006F76EB">
                      <w:pPr>
                        <w:rPr>
                          <w:rFonts w:ascii="Sylfaen" w:hAnsi="Sylfaen"/>
                          <w:sz w:val="10"/>
                          <w:szCs w:val="10"/>
                        </w:rPr>
                      </w:pPr>
                      <w:r w:rsidRPr="00EB43A1">
                        <w:rPr>
                          <w:rFonts w:ascii="Sylfaen" w:hAnsi="Sylfaen"/>
                          <w:sz w:val="10"/>
                          <w:szCs w:val="10"/>
                        </w:rPr>
                        <w:t>4.1 Բովանդակություն</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0848" behindDoc="0" locked="0" layoutInCell="1" allowOverlap="1" wp14:anchorId="03DA5BD4" wp14:editId="3A6180A0">
                <wp:simplePos x="0" y="0"/>
                <wp:positionH relativeFrom="column">
                  <wp:posOffset>2298700</wp:posOffset>
                </wp:positionH>
                <wp:positionV relativeFrom="paragraph">
                  <wp:posOffset>3918585</wp:posOffset>
                </wp:positionV>
                <wp:extent cx="1180465" cy="629285"/>
                <wp:effectExtent l="8255" t="10160" r="11430" b="8255"/>
                <wp:wrapNone/>
                <wp:docPr id="4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29285"/>
                        </a:xfrm>
                        <a:prstGeom prst="rect">
                          <a:avLst/>
                        </a:prstGeom>
                        <a:solidFill>
                          <a:srgbClr val="FFFFFF"/>
                        </a:solidFill>
                        <a:ln w="9525">
                          <a:solidFill>
                            <a:srgbClr val="000000"/>
                          </a:solidFill>
                          <a:miter lim="800000"/>
                          <a:headEnd/>
                          <a:tailEnd/>
                        </a:ln>
                      </wps:spPr>
                      <wps:txbx>
                        <w:txbxContent>
                          <w:p w14:paraId="3B2035EE" w14:textId="77777777" w:rsidR="004A52D9" w:rsidRPr="00132FCC" w:rsidRDefault="004A52D9" w:rsidP="006F76EB">
                            <w:pPr>
                              <w:ind w:left="142"/>
                              <w:rPr>
                                <w:sz w:val="16"/>
                                <w:szCs w:val="16"/>
                              </w:rPr>
                            </w:pPr>
                            <w:r w:rsidRPr="00132FCC">
                              <w:rPr>
                                <w:rFonts w:ascii="Sylfaen" w:hAnsi="Sylfaen"/>
                                <w:sz w:val="16"/>
                                <w:szCs w:val="16"/>
                              </w:rPr>
                              <w:t>Նկարագրական եւ աղյուսակային նախակլինիկական ռեզյումեներ</w:t>
                            </w:r>
                            <w:r>
                              <w:rPr>
                                <w:rFonts w:ascii="Sylfaen" w:hAnsi="Sylfaen"/>
                                <w:sz w:val="16"/>
                                <w:szCs w:val="16"/>
                              </w:rPr>
                              <w:t xml:space="preserve"> 2.6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A5BD4" id="Text Box 269" o:spid="_x0000_s1028" type="#_x0000_t202" style="position:absolute;margin-left:181pt;margin-top:308.55pt;width:92.95pt;height:49.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">
                <v:textbox inset="0,0,0,0">
                  <w:txbxContent>
                    <w:p w14:paraId="3B2035EE" w14:textId="77777777" w:rsidR="004A52D9" w:rsidRPr="00132FCC" w:rsidRDefault="004A52D9" w:rsidP="006F76EB">
                      <w:pPr>
                        <w:ind w:left="142"/>
                        <w:rPr>
                          <w:sz w:val="16"/>
                          <w:szCs w:val="16"/>
                        </w:rPr>
                      </w:pPr>
                      <w:r w:rsidRPr="00132FCC">
                        <w:rPr>
                          <w:rFonts w:ascii="Sylfaen" w:hAnsi="Sylfaen"/>
                          <w:sz w:val="16"/>
                          <w:szCs w:val="16"/>
                        </w:rPr>
                        <w:t>Նկարագրական եւ աղյուսակային նախակլինիկական ռեզյումեներ</w:t>
                      </w:r>
                      <w:r>
                        <w:rPr>
                          <w:rFonts w:ascii="Sylfaen" w:hAnsi="Sylfaen"/>
                          <w:sz w:val="16"/>
                          <w:szCs w:val="16"/>
                        </w:rPr>
                        <w:t xml:space="preserve"> 2.6</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8800" behindDoc="0" locked="0" layoutInCell="1" allowOverlap="1" wp14:anchorId="6B018FF5" wp14:editId="2D2356FA">
                <wp:simplePos x="0" y="0"/>
                <wp:positionH relativeFrom="column">
                  <wp:posOffset>1434465</wp:posOffset>
                </wp:positionH>
                <wp:positionV relativeFrom="paragraph">
                  <wp:posOffset>3634105</wp:posOffset>
                </wp:positionV>
                <wp:extent cx="864235" cy="709295"/>
                <wp:effectExtent l="10795" t="11430" r="10795" b="12700"/>
                <wp:wrapNone/>
                <wp:docPr id="4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709295"/>
                        </a:xfrm>
                        <a:prstGeom prst="rect">
                          <a:avLst/>
                        </a:prstGeom>
                        <a:solidFill>
                          <a:srgbClr val="FFFFFF"/>
                        </a:solidFill>
                        <a:ln w="9525">
                          <a:solidFill>
                            <a:srgbClr val="000000"/>
                          </a:solidFill>
                          <a:miter lim="800000"/>
                          <a:headEnd/>
                          <a:tailEnd/>
                        </a:ln>
                      </wps:spPr>
                      <wps:txbx>
                        <w:txbxContent>
                          <w:p w14:paraId="6D0E7467" w14:textId="77777777" w:rsidR="004A52D9" w:rsidRDefault="004A52D9" w:rsidP="006F76EB">
                            <w:pPr>
                              <w:ind w:left="142"/>
                            </w:pPr>
                            <w:r w:rsidRPr="00132FCC">
                              <w:rPr>
                                <w:rFonts w:ascii="Sylfaen" w:hAnsi="Sylfaen"/>
                                <w:sz w:val="16"/>
                                <w:szCs w:val="16"/>
                              </w:rPr>
                              <w:t>Որակի վերաբերյալ</w:t>
                            </w:r>
                            <w:r w:rsidRPr="00B33E97">
                              <w:rPr>
                                <w:rFonts w:ascii="Sylfaen" w:hAnsi="Sylfaen"/>
                                <w:sz w:val="24"/>
                                <w:szCs w:val="24"/>
                              </w:rPr>
                              <w:t xml:space="preserve"> </w:t>
                            </w:r>
                            <w:r w:rsidRPr="00132FCC">
                              <w:rPr>
                                <w:rFonts w:ascii="Sylfaen" w:hAnsi="Sylfaen"/>
                                <w:sz w:val="16"/>
                                <w:szCs w:val="16"/>
                              </w:rPr>
                              <w:t>ամփոփ</w:t>
                            </w:r>
                            <w:r w:rsidRPr="00B33E97">
                              <w:rPr>
                                <w:rFonts w:ascii="Sylfaen" w:hAnsi="Sylfaen"/>
                                <w:sz w:val="24"/>
                                <w:szCs w:val="24"/>
                              </w:rPr>
                              <w:t xml:space="preserve"> </w:t>
                            </w:r>
                            <w:r>
                              <w:rPr>
                                <w:rFonts w:ascii="Sylfaen" w:hAnsi="Sylfaen"/>
                                <w:sz w:val="16"/>
                                <w:szCs w:val="16"/>
                              </w:rPr>
                              <w:t>ռեզյ</w:t>
                            </w:r>
                            <w:r w:rsidRPr="00132FCC">
                              <w:rPr>
                                <w:rFonts w:ascii="Sylfaen" w:hAnsi="Sylfaen"/>
                                <w:sz w:val="16"/>
                                <w:szCs w:val="16"/>
                              </w:rPr>
                              <w:t>ումե</w:t>
                            </w:r>
                            <w:r>
                              <w:rPr>
                                <w:rFonts w:ascii="Sylfaen" w:hAnsi="Sylfaen"/>
                                <w:sz w:val="16"/>
                                <w:szCs w:val="16"/>
                              </w:rPr>
                              <w:t xml:space="preserve"> 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18FF5" id="Text Box 267" o:spid="_x0000_s1029" type="#_x0000_t202" style="position:absolute;margin-left:112.95pt;margin-top:286.15pt;width:68.05pt;height:55.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">
                <v:textbox inset="0,0,0,0">
                  <w:txbxContent>
                    <w:p w14:paraId="6D0E7467" w14:textId="77777777" w:rsidR="004A52D9" w:rsidRDefault="004A52D9" w:rsidP="006F76EB">
                      <w:pPr>
                        <w:ind w:left="142"/>
                      </w:pPr>
                      <w:r w:rsidRPr="00132FCC">
                        <w:rPr>
                          <w:rFonts w:ascii="Sylfaen" w:hAnsi="Sylfaen"/>
                          <w:sz w:val="16"/>
                          <w:szCs w:val="16"/>
                        </w:rPr>
                        <w:t>Որակի վերաբերյալ</w:t>
                      </w:r>
                      <w:r w:rsidRPr="00B33E97">
                        <w:rPr>
                          <w:rFonts w:ascii="Sylfaen" w:hAnsi="Sylfaen"/>
                          <w:sz w:val="24"/>
                          <w:szCs w:val="24"/>
                        </w:rPr>
                        <w:t xml:space="preserve"> </w:t>
                      </w:r>
                      <w:r w:rsidRPr="00132FCC">
                        <w:rPr>
                          <w:rFonts w:ascii="Sylfaen" w:hAnsi="Sylfaen"/>
                          <w:sz w:val="16"/>
                          <w:szCs w:val="16"/>
                        </w:rPr>
                        <w:t>ամփոփ</w:t>
                      </w:r>
                      <w:r w:rsidRPr="00B33E97">
                        <w:rPr>
                          <w:rFonts w:ascii="Sylfaen" w:hAnsi="Sylfaen"/>
                          <w:sz w:val="24"/>
                          <w:szCs w:val="24"/>
                        </w:rPr>
                        <w:t xml:space="preserve"> </w:t>
                      </w:r>
                      <w:r>
                        <w:rPr>
                          <w:rFonts w:ascii="Sylfaen" w:hAnsi="Sylfaen"/>
                          <w:sz w:val="16"/>
                          <w:szCs w:val="16"/>
                        </w:rPr>
                        <w:t>ռեզյ</w:t>
                      </w:r>
                      <w:r w:rsidRPr="00132FCC">
                        <w:rPr>
                          <w:rFonts w:ascii="Sylfaen" w:hAnsi="Sylfaen"/>
                          <w:sz w:val="16"/>
                          <w:szCs w:val="16"/>
                        </w:rPr>
                        <w:t>ումե</w:t>
                      </w:r>
                      <w:r>
                        <w:rPr>
                          <w:rFonts w:ascii="Sylfaen" w:hAnsi="Sylfaen"/>
                          <w:sz w:val="16"/>
                          <w:szCs w:val="16"/>
                        </w:rPr>
                        <w:t xml:space="preserve"> 2.3</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5968" behindDoc="0" locked="0" layoutInCell="1" allowOverlap="1" wp14:anchorId="35FC8FD5" wp14:editId="1592B06E">
                <wp:simplePos x="0" y="0"/>
                <wp:positionH relativeFrom="column">
                  <wp:posOffset>1258570</wp:posOffset>
                </wp:positionH>
                <wp:positionV relativeFrom="paragraph">
                  <wp:posOffset>5237480</wp:posOffset>
                </wp:positionV>
                <wp:extent cx="926465" cy="415290"/>
                <wp:effectExtent l="6350" t="5080" r="10160" b="8255"/>
                <wp:wrapNone/>
                <wp:docPr id="4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415290"/>
                        </a:xfrm>
                        <a:prstGeom prst="rect">
                          <a:avLst/>
                        </a:prstGeom>
                        <a:solidFill>
                          <a:srgbClr val="FFFFFF"/>
                        </a:solidFill>
                        <a:ln w="9525">
                          <a:solidFill>
                            <a:srgbClr val="000000"/>
                          </a:solidFill>
                          <a:miter lim="800000"/>
                          <a:headEnd/>
                          <a:tailEnd/>
                        </a:ln>
                      </wps:spPr>
                      <wps:txbx>
                        <w:txbxContent>
                          <w:p w14:paraId="01AE7204" w14:textId="77777777" w:rsidR="004A52D9" w:rsidRPr="00EB43A1" w:rsidRDefault="004A52D9" w:rsidP="006F76EB">
                            <w:pPr>
                              <w:rPr>
                                <w:rFonts w:ascii="Sylfaen" w:hAnsi="Sylfaen"/>
                                <w:sz w:val="16"/>
                                <w:szCs w:val="16"/>
                              </w:rPr>
                            </w:pPr>
                            <w:r w:rsidRPr="00EB43A1">
                              <w:rPr>
                                <w:rFonts w:ascii="Sylfaen" w:hAnsi="Sylfaen"/>
                                <w:sz w:val="16"/>
                                <w:szCs w:val="16"/>
                              </w:rPr>
                              <w:t>3.1 Բովանդակություն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C8FD5" id="Text Box 274" o:spid="_x0000_s1030" type="#_x0000_t202" style="position:absolute;margin-left:99.1pt;margin-top:412.4pt;width:72.95pt;height:32.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">
                <v:textbox inset="0,0,0,0">
                  <w:txbxContent>
                    <w:p w14:paraId="01AE7204" w14:textId="77777777" w:rsidR="004A52D9" w:rsidRPr="00EB43A1" w:rsidRDefault="004A52D9" w:rsidP="006F76EB">
                      <w:pPr>
                        <w:rPr>
                          <w:rFonts w:ascii="Sylfaen" w:hAnsi="Sylfaen"/>
                          <w:sz w:val="16"/>
                          <w:szCs w:val="16"/>
                        </w:rPr>
                      </w:pPr>
                      <w:r w:rsidRPr="00EB43A1">
                        <w:rPr>
                          <w:rFonts w:ascii="Sylfaen" w:hAnsi="Sylfaen"/>
                          <w:sz w:val="16"/>
                          <w:szCs w:val="16"/>
                        </w:rPr>
                        <w:t>3.1 Բովանդակություն</w:t>
                      </w:r>
                    </w:p>
                  </w:txbxContent>
                </v:textbox>
              </v:shape>
            </w:pict>
          </mc:Fallback>
        </mc:AlternateContent>
      </w:r>
      <w:r>
        <w:rPr>
          <w:rFonts w:ascii="Sylfaen" w:hAnsi="Sylfaen"/>
          <w:noProof/>
          <w:lang w:eastAsia="zh-TW"/>
        </w:rPr>
        <mc:AlternateContent>
          <mc:Choice Requires="wps">
            <w:drawing>
              <wp:anchor distT="0" distB="0" distL="114300" distR="114300" simplePos="0" relativeHeight="251781632" behindDoc="0" locked="0" layoutInCell="1" allowOverlap="1" wp14:anchorId="3526B286" wp14:editId="0DE03CBC">
                <wp:simplePos x="0" y="0"/>
                <wp:positionH relativeFrom="column">
                  <wp:posOffset>2280920</wp:posOffset>
                </wp:positionH>
                <wp:positionV relativeFrom="paragraph">
                  <wp:posOffset>1056640</wp:posOffset>
                </wp:positionV>
                <wp:extent cx="1198245" cy="1162685"/>
                <wp:effectExtent l="9525" t="5715" r="11430" b="12700"/>
                <wp:wrapNone/>
                <wp:docPr id="4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1162685"/>
                        </a:xfrm>
                        <a:prstGeom prst="rect">
                          <a:avLst/>
                        </a:prstGeom>
                        <a:solidFill>
                          <a:srgbClr val="FFFFFF"/>
                        </a:solidFill>
                        <a:ln w="9525">
                          <a:solidFill>
                            <a:srgbClr val="000000"/>
                          </a:solidFill>
                          <a:miter lim="800000"/>
                          <a:headEnd/>
                          <a:tailEnd/>
                        </a:ln>
                      </wps:spPr>
                      <wps:txbx>
                        <w:txbxContent>
                          <w:p w14:paraId="1448E4CD" w14:textId="77777777" w:rsidR="004A52D9" w:rsidRPr="00DE0CA4" w:rsidRDefault="004A52D9" w:rsidP="006F76EB">
                            <w:pPr>
                              <w:jc w:val="center"/>
                              <w:rPr>
                                <w:rFonts w:ascii="Sylfaen" w:hAnsi="Sylfaen"/>
                                <w:sz w:val="12"/>
                                <w:szCs w:val="12"/>
                              </w:rPr>
                            </w:pPr>
                            <w:r w:rsidRPr="00DE0CA4">
                              <w:rPr>
                                <w:rFonts w:ascii="Sylfaen" w:hAnsi="Sylfaen"/>
                                <w:sz w:val="12"/>
                                <w:szCs w:val="12"/>
                              </w:rPr>
                              <w:t>մոդուլ 1</w:t>
                            </w:r>
                          </w:p>
                          <w:p w14:paraId="4B7E3AB4" w14:textId="77777777" w:rsidR="004A52D9" w:rsidRPr="00DE0CA4" w:rsidRDefault="004A52D9" w:rsidP="006F76EB">
                            <w:pPr>
                              <w:jc w:val="center"/>
                              <w:rPr>
                                <w:rFonts w:ascii="Sylfaen" w:hAnsi="Sylfaen"/>
                                <w:sz w:val="12"/>
                                <w:szCs w:val="12"/>
                              </w:rPr>
                            </w:pPr>
                            <w:r w:rsidRPr="00DE0CA4">
                              <w:rPr>
                                <w:rFonts w:ascii="Sylfaen" w:hAnsi="Sylfaen"/>
                                <w:sz w:val="12"/>
                                <w:szCs w:val="12"/>
                              </w:rPr>
                              <w:t>տարածաշրջանային վարչական տեղեկատվություն</w:t>
                            </w:r>
                          </w:p>
                          <w:p w14:paraId="449EE801" w14:textId="77777777" w:rsidR="004A52D9" w:rsidRDefault="004A52D9" w:rsidP="006F76EB">
                            <w:pPr>
                              <w:jc w:val="center"/>
                              <w:rPr>
                                <w:rFonts w:ascii="Sylfaen" w:hAnsi="Sylfaen"/>
                                <w:sz w:val="16"/>
                                <w:szCs w:val="16"/>
                                <w:lang w:val="en-US"/>
                              </w:rPr>
                            </w:pPr>
                            <w:r>
                              <w:rPr>
                                <w:rFonts w:ascii="Sylfaen" w:hAnsi="Sylfaen"/>
                                <w:sz w:val="16"/>
                                <w:szCs w:val="16"/>
                              </w:rPr>
                              <w:t>1</w:t>
                            </w:r>
                          </w:p>
                          <w:p w14:paraId="1F373553" w14:textId="77777777" w:rsidR="004A52D9" w:rsidRPr="00423E3E" w:rsidRDefault="004A52D9" w:rsidP="006F76EB">
                            <w:pPr>
                              <w:jc w:val="center"/>
                              <w:rPr>
                                <w:rFonts w:ascii="Sylfaen" w:hAnsi="Sylfaen"/>
                                <w:sz w:val="16"/>
                                <w:szCs w:val="16"/>
                              </w:rPr>
                            </w:pPr>
                            <w:r>
                              <w:rPr>
                                <w:rFonts w:ascii="Sylfaen" w:hAnsi="Sylfaen"/>
                                <w:sz w:val="16"/>
                                <w:szCs w:val="16"/>
                              </w:rPr>
                              <w:t>1.1 C-ից T</w:t>
                            </w:r>
                            <w:r w:rsidRPr="008341C7">
                              <w:rPr>
                                <w:rFonts w:ascii="Sylfaen" w:hAnsi="Sylfaen"/>
                                <w:sz w:val="16"/>
                                <w:szCs w:val="16"/>
                              </w:rPr>
                              <w:t>-</w:t>
                            </w:r>
                            <w:r>
                              <w:rPr>
                                <w:rFonts w:ascii="Sylfaen" w:hAnsi="Sylfaen"/>
                                <w:sz w:val="16"/>
                                <w:szCs w:val="16"/>
                              </w:rPr>
                              <w:t>ի տրամադրում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6B286" id="Text Box 260" o:spid="_x0000_s1031" type="#_x0000_t202" style="position:absolute;margin-left:179.6pt;margin-top:83.2pt;width:94.35pt;height:91.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">
                <v:textbox inset="0,0,0,0">
                  <w:txbxContent>
                    <w:p w14:paraId="1448E4CD" w14:textId="77777777" w:rsidR="004A52D9" w:rsidRPr="00DE0CA4" w:rsidRDefault="004A52D9" w:rsidP="006F76EB">
                      <w:pPr>
                        <w:jc w:val="center"/>
                        <w:rPr>
                          <w:rFonts w:ascii="Sylfaen" w:hAnsi="Sylfaen"/>
                          <w:sz w:val="12"/>
                          <w:szCs w:val="12"/>
                        </w:rPr>
                      </w:pPr>
                      <w:r w:rsidRPr="00DE0CA4">
                        <w:rPr>
                          <w:rFonts w:ascii="Sylfaen" w:hAnsi="Sylfaen"/>
                          <w:sz w:val="12"/>
                          <w:szCs w:val="12"/>
                        </w:rPr>
                        <w:t>մոդուլ 1</w:t>
                      </w:r>
                    </w:p>
                    <w:p w14:paraId="4B7E3AB4" w14:textId="77777777" w:rsidR="004A52D9" w:rsidRPr="00DE0CA4" w:rsidRDefault="004A52D9" w:rsidP="006F76EB">
                      <w:pPr>
                        <w:jc w:val="center"/>
                        <w:rPr>
                          <w:rFonts w:ascii="Sylfaen" w:hAnsi="Sylfaen"/>
                          <w:sz w:val="12"/>
                          <w:szCs w:val="12"/>
                        </w:rPr>
                      </w:pPr>
                      <w:r w:rsidRPr="00DE0CA4">
                        <w:rPr>
                          <w:rFonts w:ascii="Sylfaen" w:hAnsi="Sylfaen"/>
                          <w:sz w:val="12"/>
                          <w:szCs w:val="12"/>
                        </w:rPr>
                        <w:t>տարածաշրջանային վարչական տեղեկատվություն</w:t>
                      </w:r>
                    </w:p>
                    <w:p w14:paraId="449EE801" w14:textId="77777777" w:rsidR="004A52D9" w:rsidRDefault="004A52D9" w:rsidP="006F76EB">
                      <w:pPr>
                        <w:jc w:val="center"/>
                        <w:rPr>
                          <w:rFonts w:ascii="Sylfaen" w:hAnsi="Sylfaen"/>
                          <w:sz w:val="16"/>
                          <w:szCs w:val="16"/>
                          <w:lang w:val="en-US"/>
                        </w:rPr>
                      </w:pPr>
                      <w:r>
                        <w:rPr>
                          <w:rFonts w:ascii="Sylfaen" w:hAnsi="Sylfaen"/>
                          <w:sz w:val="16"/>
                          <w:szCs w:val="16"/>
                        </w:rPr>
                        <w:t>1</w:t>
                      </w:r>
                    </w:p>
                    <w:p w14:paraId="1F373553" w14:textId="77777777" w:rsidR="004A52D9" w:rsidRPr="00423E3E" w:rsidRDefault="004A52D9" w:rsidP="006F76EB">
                      <w:pPr>
                        <w:jc w:val="center"/>
                        <w:rPr>
                          <w:rFonts w:ascii="Sylfaen" w:hAnsi="Sylfaen"/>
                          <w:sz w:val="16"/>
                          <w:szCs w:val="16"/>
                        </w:rPr>
                      </w:pPr>
                      <w:r>
                        <w:rPr>
                          <w:rFonts w:ascii="Sylfaen" w:hAnsi="Sylfaen"/>
                          <w:sz w:val="16"/>
                          <w:szCs w:val="16"/>
                        </w:rPr>
                        <w:t>1.1 C-ից T</w:t>
                      </w:r>
                      <w:r w:rsidRPr="008341C7">
                        <w:rPr>
                          <w:rFonts w:ascii="Sylfaen" w:hAnsi="Sylfaen"/>
                          <w:sz w:val="16"/>
                          <w:szCs w:val="16"/>
                        </w:rPr>
                        <w:t>-</w:t>
                      </w:r>
                      <w:r>
                        <w:rPr>
                          <w:rFonts w:ascii="Sylfaen" w:hAnsi="Sylfaen"/>
                          <w:sz w:val="16"/>
                          <w:szCs w:val="16"/>
                        </w:rPr>
                        <w:t>ի տրամադրում</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8016" behindDoc="0" locked="0" layoutInCell="1" allowOverlap="1" wp14:anchorId="289B97D9" wp14:editId="25583C23">
                <wp:simplePos x="0" y="0"/>
                <wp:positionH relativeFrom="column">
                  <wp:posOffset>3461385</wp:posOffset>
                </wp:positionH>
                <wp:positionV relativeFrom="paragraph">
                  <wp:posOffset>5474970</wp:posOffset>
                </wp:positionV>
                <wp:extent cx="926465" cy="177800"/>
                <wp:effectExtent l="8890" t="13970" r="7620" b="8255"/>
                <wp:wrapNone/>
                <wp:docPr id="4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77800"/>
                        </a:xfrm>
                        <a:prstGeom prst="rect">
                          <a:avLst/>
                        </a:prstGeom>
                        <a:solidFill>
                          <a:srgbClr val="FFFFFF"/>
                        </a:solidFill>
                        <a:ln w="9525">
                          <a:solidFill>
                            <a:srgbClr val="000000"/>
                          </a:solidFill>
                          <a:miter lim="800000"/>
                          <a:headEnd/>
                          <a:tailEnd/>
                        </a:ln>
                      </wps:spPr>
                      <wps:txbx>
                        <w:txbxContent>
                          <w:p w14:paraId="7E066540" w14:textId="77777777" w:rsidR="004A52D9" w:rsidRPr="00EB43A1" w:rsidRDefault="004A52D9" w:rsidP="006F76EB">
                            <w:pPr>
                              <w:rPr>
                                <w:rFonts w:ascii="Sylfaen" w:hAnsi="Sylfaen"/>
                                <w:sz w:val="10"/>
                                <w:szCs w:val="10"/>
                              </w:rPr>
                            </w:pPr>
                            <w:r w:rsidRPr="00EB43A1">
                              <w:rPr>
                                <w:rFonts w:ascii="Sylfaen" w:hAnsi="Sylfaen"/>
                                <w:sz w:val="10"/>
                                <w:szCs w:val="10"/>
                              </w:rPr>
                              <w:t>5.1 Բովանդակություն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B97D9" id="Text Box 276" o:spid="_x0000_s1032" type="#_x0000_t202" style="position:absolute;margin-left:272.55pt;margin-top:431.1pt;width:72.95pt;height:1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">
                <v:textbox inset="0,0,0,0">
                  <w:txbxContent>
                    <w:p w14:paraId="7E066540" w14:textId="77777777" w:rsidR="004A52D9" w:rsidRPr="00EB43A1" w:rsidRDefault="004A52D9" w:rsidP="006F76EB">
                      <w:pPr>
                        <w:rPr>
                          <w:rFonts w:ascii="Sylfaen" w:hAnsi="Sylfaen"/>
                          <w:sz w:val="10"/>
                          <w:szCs w:val="10"/>
                        </w:rPr>
                      </w:pPr>
                      <w:r w:rsidRPr="00EB43A1">
                        <w:rPr>
                          <w:rFonts w:ascii="Sylfaen" w:hAnsi="Sylfaen"/>
                          <w:sz w:val="10"/>
                          <w:szCs w:val="10"/>
                        </w:rPr>
                        <w:t>5.1 Բովանդակություն</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3920" behindDoc="0" locked="0" layoutInCell="1" allowOverlap="1" wp14:anchorId="741D1926" wp14:editId="04EB79EE">
                <wp:simplePos x="0" y="0"/>
                <wp:positionH relativeFrom="column">
                  <wp:posOffset>3536950</wp:posOffset>
                </wp:positionH>
                <wp:positionV relativeFrom="paragraph">
                  <wp:posOffset>4641215</wp:posOffset>
                </wp:positionV>
                <wp:extent cx="1180465" cy="774065"/>
                <wp:effectExtent l="8255" t="8890" r="11430" b="7620"/>
                <wp:wrapNone/>
                <wp:docPr id="3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774065"/>
                        </a:xfrm>
                        <a:prstGeom prst="rect">
                          <a:avLst/>
                        </a:prstGeom>
                        <a:solidFill>
                          <a:srgbClr val="FFFFFF"/>
                        </a:solidFill>
                        <a:ln w="9525">
                          <a:solidFill>
                            <a:srgbClr val="000000"/>
                          </a:solidFill>
                          <a:miter lim="800000"/>
                          <a:headEnd/>
                          <a:tailEnd/>
                        </a:ln>
                      </wps:spPr>
                      <wps:txbx>
                        <w:txbxContent>
                          <w:p w14:paraId="54AF2C2A" w14:textId="77777777" w:rsidR="004A52D9" w:rsidRDefault="004A52D9" w:rsidP="006F76EB">
                            <w:pPr>
                              <w:rPr>
                                <w:rFonts w:ascii="Sylfaen" w:hAnsi="Sylfaen"/>
                              </w:rPr>
                            </w:pPr>
                            <w:r>
                              <w:rPr>
                                <w:rFonts w:ascii="Sylfaen" w:hAnsi="Sylfaen"/>
                              </w:rPr>
                              <w:t>Մոդուլ 5</w:t>
                            </w:r>
                          </w:p>
                          <w:p w14:paraId="5F3E20B8" w14:textId="77777777" w:rsidR="004A52D9" w:rsidRDefault="004A52D9" w:rsidP="006F76EB">
                            <w:pPr>
                              <w:ind w:left="142"/>
                              <w:rPr>
                                <w:rFonts w:ascii="Sylfaen" w:hAnsi="Sylfaen"/>
                                <w:sz w:val="10"/>
                                <w:szCs w:val="10"/>
                              </w:rPr>
                            </w:pPr>
                            <w:r>
                              <w:rPr>
                                <w:rFonts w:ascii="Sylfaen" w:hAnsi="Sylfaen"/>
                                <w:sz w:val="10"/>
                                <w:szCs w:val="10"/>
                              </w:rPr>
                              <w:t>Կ</w:t>
                            </w:r>
                            <w:r w:rsidRPr="00EB43A1">
                              <w:rPr>
                                <w:rFonts w:ascii="Sylfaen" w:hAnsi="Sylfaen"/>
                                <w:sz w:val="10"/>
                                <w:szCs w:val="10"/>
                              </w:rPr>
                              <w:t>լինիկական հետազոտությունների վերաբերյալ հաշվետվությունները</w:t>
                            </w:r>
                          </w:p>
                          <w:p w14:paraId="6D7A2E66" w14:textId="77777777" w:rsidR="004A52D9" w:rsidRPr="00EB43A1" w:rsidRDefault="004A52D9" w:rsidP="006F76EB">
                            <w:pPr>
                              <w:rPr>
                                <w:rFonts w:ascii="Sylfaen" w:hAnsi="Sylfaen"/>
                                <w:sz w:val="10"/>
                                <w:szCs w:val="10"/>
                              </w:rPr>
                            </w:pPr>
                            <w:r>
                              <w:rPr>
                                <w:rFonts w:ascii="Sylfaen" w:hAnsi="Sylfaen"/>
                                <w:sz w:val="10"/>
                                <w:szCs w:val="10"/>
                              </w:rPr>
                              <w:t>5</w:t>
                            </w:r>
                          </w:p>
                          <w:p w14:paraId="0352ED0E" w14:textId="77777777" w:rsidR="004A52D9" w:rsidRPr="00EB43A1" w:rsidRDefault="004A52D9" w:rsidP="006F76EB">
                            <w:pPr>
                              <w:rPr>
                                <w:rFonts w:ascii="Sylfaen" w:hAnsi="Sylfae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D1926" id="Text Box 272" o:spid="_x0000_s1033" type="#_x0000_t202" style="position:absolute;margin-left:278.5pt;margin-top:365.45pt;width:92.95pt;height:60.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">
                <v:textbox inset="0,0,0,0">
                  <w:txbxContent>
                    <w:p w14:paraId="54AF2C2A" w14:textId="77777777" w:rsidR="004A52D9" w:rsidRDefault="004A52D9" w:rsidP="006F76EB">
                      <w:pPr>
                        <w:rPr>
                          <w:rFonts w:ascii="Sylfaen" w:hAnsi="Sylfaen"/>
                        </w:rPr>
                      </w:pPr>
                      <w:r>
                        <w:rPr>
                          <w:rFonts w:ascii="Sylfaen" w:hAnsi="Sylfaen"/>
                        </w:rPr>
                        <w:t>Մոդուլ 5</w:t>
                      </w:r>
                    </w:p>
                    <w:p w14:paraId="5F3E20B8" w14:textId="77777777" w:rsidR="004A52D9" w:rsidRDefault="004A52D9" w:rsidP="006F76EB">
                      <w:pPr>
                        <w:ind w:left="142"/>
                        <w:rPr>
                          <w:rFonts w:ascii="Sylfaen" w:hAnsi="Sylfaen"/>
                          <w:sz w:val="10"/>
                          <w:szCs w:val="10"/>
                        </w:rPr>
                      </w:pPr>
                      <w:r>
                        <w:rPr>
                          <w:rFonts w:ascii="Sylfaen" w:hAnsi="Sylfaen"/>
                          <w:sz w:val="10"/>
                          <w:szCs w:val="10"/>
                        </w:rPr>
                        <w:t>Կ</w:t>
                      </w:r>
                      <w:r w:rsidRPr="00EB43A1">
                        <w:rPr>
                          <w:rFonts w:ascii="Sylfaen" w:hAnsi="Sylfaen"/>
                          <w:sz w:val="10"/>
                          <w:szCs w:val="10"/>
                        </w:rPr>
                        <w:t>լինիկական հետազոտությունների վերաբերյալ հաշվետվությունները</w:t>
                      </w:r>
                    </w:p>
                    <w:p w14:paraId="6D7A2E66" w14:textId="77777777" w:rsidR="004A52D9" w:rsidRPr="00EB43A1" w:rsidRDefault="004A52D9" w:rsidP="006F76EB">
                      <w:pPr>
                        <w:rPr>
                          <w:rFonts w:ascii="Sylfaen" w:hAnsi="Sylfaen"/>
                          <w:sz w:val="10"/>
                          <w:szCs w:val="10"/>
                        </w:rPr>
                      </w:pPr>
                      <w:r>
                        <w:rPr>
                          <w:rFonts w:ascii="Sylfaen" w:hAnsi="Sylfaen"/>
                          <w:sz w:val="10"/>
                          <w:szCs w:val="10"/>
                        </w:rPr>
                        <w:t>5</w:t>
                      </w:r>
                    </w:p>
                    <w:p w14:paraId="0352ED0E" w14:textId="77777777" w:rsidR="004A52D9" w:rsidRPr="00EB43A1" w:rsidRDefault="004A52D9" w:rsidP="006F76EB">
                      <w:pPr>
                        <w:rPr>
                          <w:rFonts w:ascii="Sylfaen" w:hAnsi="Sylfaen"/>
                        </w:rPr>
                      </w:pP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2896" behindDoc="0" locked="0" layoutInCell="1" allowOverlap="1" wp14:anchorId="1B5AC549" wp14:editId="669A50D8">
                <wp:simplePos x="0" y="0"/>
                <wp:positionH relativeFrom="column">
                  <wp:posOffset>2298700</wp:posOffset>
                </wp:positionH>
                <wp:positionV relativeFrom="paragraph">
                  <wp:posOffset>4641215</wp:posOffset>
                </wp:positionV>
                <wp:extent cx="1180465" cy="774065"/>
                <wp:effectExtent l="8255" t="8890" r="11430" b="7620"/>
                <wp:wrapNone/>
                <wp:docPr id="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774065"/>
                        </a:xfrm>
                        <a:prstGeom prst="rect">
                          <a:avLst/>
                        </a:prstGeom>
                        <a:solidFill>
                          <a:srgbClr val="FFFFFF"/>
                        </a:solidFill>
                        <a:ln w="9525">
                          <a:solidFill>
                            <a:srgbClr val="000000"/>
                          </a:solidFill>
                          <a:miter lim="800000"/>
                          <a:headEnd/>
                          <a:tailEnd/>
                        </a:ln>
                      </wps:spPr>
                      <wps:txbx>
                        <w:txbxContent>
                          <w:p w14:paraId="47DA2E44" w14:textId="77777777" w:rsidR="004A52D9" w:rsidRPr="00EB43A1" w:rsidRDefault="004A52D9" w:rsidP="006F76EB">
                            <w:pPr>
                              <w:ind w:left="142"/>
                              <w:rPr>
                                <w:rFonts w:ascii="Sylfaen" w:hAnsi="Sylfaen"/>
                                <w:sz w:val="10"/>
                                <w:szCs w:val="10"/>
                              </w:rPr>
                            </w:pPr>
                            <w:r w:rsidRPr="00EB43A1">
                              <w:rPr>
                                <w:rFonts w:ascii="Sylfaen" w:hAnsi="Sylfaen"/>
                                <w:sz w:val="10"/>
                                <w:szCs w:val="10"/>
                              </w:rPr>
                              <w:t>Մոդուլ 4</w:t>
                            </w:r>
                          </w:p>
                          <w:p w14:paraId="182DBD9F" w14:textId="77777777" w:rsidR="004A52D9" w:rsidRDefault="004A52D9" w:rsidP="006F76EB">
                            <w:pPr>
                              <w:rPr>
                                <w:rFonts w:ascii="Sylfaen" w:hAnsi="Sylfaen"/>
                                <w:sz w:val="10"/>
                                <w:szCs w:val="10"/>
                              </w:rPr>
                            </w:pPr>
                            <w:r w:rsidRPr="00EB43A1">
                              <w:rPr>
                                <w:rFonts w:ascii="Sylfaen" w:hAnsi="Sylfaen"/>
                                <w:sz w:val="10"/>
                                <w:szCs w:val="10"/>
                              </w:rPr>
                              <w:t>Նախակլինիկական հետազոտությունների վերաբերյալ հաշվետվությունները</w:t>
                            </w:r>
                          </w:p>
                          <w:p w14:paraId="2DD04B37" w14:textId="77777777" w:rsidR="004A52D9" w:rsidRPr="00EB43A1" w:rsidRDefault="004A52D9" w:rsidP="006F76EB">
                            <w:pPr>
                              <w:rPr>
                                <w:rFonts w:ascii="Sylfaen" w:hAnsi="Sylfaen"/>
                                <w:sz w:val="10"/>
                                <w:szCs w:val="10"/>
                              </w:rPr>
                            </w:pPr>
                            <w:r>
                              <w:rPr>
                                <w:rFonts w:ascii="Sylfaen" w:hAnsi="Sylfaen"/>
                                <w:sz w:val="10"/>
                                <w:szCs w:val="10"/>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AC549" id="Text Box 271" o:spid="_x0000_s1034" type="#_x0000_t202" style="position:absolute;margin-left:181pt;margin-top:365.45pt;width:92.95pt;height:60.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">
                <v:textbox inset="0,0,0,0">
                  <w:txbxContent>
                    <w:p w14:paraId="47DA2E44" w14:textId="77777777" w:rsidR="004A52D9" w:rsidRPr="00EB43A1" w:rsidRDefault="004A52D9" w:rsidP="006F76EB">
                      <w:pPr>
                        <w:ind w:left="142"/>
                        <w:rPr>
                          <w:rFonts w:ascii="Sylfaen" w:hAnsi="Sylfaen"/>
                          <w:sz w:val="10"/>
                          <w:szCs w:val="10"/>
                        </w:rPr>
                      </w:pPr>
                      <w:r w:rsidRPr="00EB43A1">
                        <w:rPr>
                          <w:rFonts w:ascii="Sylfaen" w:hAnsi="Sylfaen"/>
                          <w:sz w:val="10"/>
                          <w:szCs w:val="10"/>
                        </w:rPr>
                        <w:t>Մոդուլ 4</w:t>
                      </w:r>
                    </w:p>
                    <w:p w14:paraId="182DBD9F" w14:textId="77777777" w:rsidR="004A52D9" w:rsidRDefault="004A52D9" w:rsidP="006F76EB">
                      <w:pPr>
                        <w:rPr>
                          <w:rFonts w:ascii="Sylfaen" w:hAnsi="Sylfaen"/>
                          <w:sz w:val="10"/>
                          <w:szCs w:val="10"/>
                        </w:rPr>
                      </w:pPr>
                      <w:r w:rsidRPr="00EB43A1">
                        <w:rPr>
                          <w:rFonts w:ascii="Sylfaen" w:hAnsi="Sylfaen"/>
                          <w:sz w:val="10"/>
                          <w:szCs w:val="10"/>
                        </w:rPr>
                        <w:t>Նախակլինիկական հետազոտությունների վերաբերյալ հաշվետվությունները</w:t>
                      </w:r>
                    </w:p>
                    <w:p w14:paraId="2DD04B37" w14:textId="77777777" w:rsidR="004A52D9" w:rsidRPr="00EB43A1" w:rsidRDefault="004A52D9" w:rsidP="006F76EB">
                      <w:pPr>
                        <w:rPr>
                          <w:rFonts w:ascii="Sylfaen" w:hAnsi="Sylfaen"/>
                          <w:sz w:val="10"/>
                          <w:szCs w:val="10"/>
                        </w:rPr>
                      </w:pPr>
                      <w:r>
                        <w:rPr>
                          <w:rFonts w:ascii="Sylfaen" w:hAnsi="Sylfaen"/>
                          <w:sz w:val="10"/>
                          <w:szCs w:val="10"/>
                        </w:rPr>
                        <w:t>4</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1872" behindDoc="0" locked="0" layoutInCell="1" allowOverlap="1" wp14:anchorId="044F4C60" wp14:editId="4CEBB26D">
                <wp:simplePos x="0" y="0"/>
                <wp:positionH relativeFrom="column">
                  <wp:posOffset>3536950</wp:posOffset>
                </wp:positionH>
                <wp:positionV relativeFrom="paragraph">
                  <wp:posOffset>3918585</wp:posOffset>
                </wp:positionV>
                <wp:extent cx="888365" cy="534670"/>
                <wp:effectExtent l="8255" t="10160" r="8255" b="7620"/>
                <wp:wrapNone/>
                <wp:docPr id="3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534670"/>
                        </a:xfrm>
                        <a:prstGeom prst="rect">
                          <a:avLst/>
                        </a:prstGeom>
                        <a:solidFill>
                          <a:srgbClr val="FFFFFF"/>
                        </a:solidFill>
                        <a:ln w="9525">
                          <a:solidFill>
                            <a:srgbClr val="000000"/>
                          </a:solidFill>
                          <a:miter lim="800000"/>
                          <a:headEnd/>
                          <a:tailEnd/>
                        </a:ln>
                      </wps:spPr>
                      <wps:txbx>
                        <w:txbxContent>
                          <w:p w14:paraId="436F5E68" w14:textId="77777777" w:rsidR="004A52D9" w:rsidRPr="00EB43A1" w:rsidRDefault="004A52D9" w:rsidP="006F76EB">
                            <w:pPr>
                              <w:ind w:left="142"/>
                              <w:rPr>
                                <w:sz w:val="16"/>
                                <w:szCs w:val="16"/>
                              </w:rPr>
                            </w:pPr>
                            <w:r w:rsidRPr="00EB43A1">
                              <w:rPr>
                                <w:rFonts w:ascii="Sylfaen" w:hAnsi="Sylfaen"/>
                                <w:sz w:val="16"/>
                                <w:szCs w:val="16"/>
                              </w:rPr>
                              <w:t>Կլինիկական ռեզյումե 2.7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4C60" id="Text Box 270" o:spid="_x0000_s1035" type="#_x0000_t202" style="position:absolute;margin-left:278.5pt;margin-top:308.55pt;width:69.95pt;height:42.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">
                <v:textbox inset="0,0,0,0">
                  <w:txbxContent>
                    <w:p w14:paraId="436F5E68" w14:textId="77777777" w:rsidR="004A52D9" w:rsidRPr="00EB43A1" w:rsidRDefault="004A52D9" w:rsidP="006F76EB">
                      <w:pPr>
                        <w:ind w:left="142"/>
                        <w:rPr>
                          <w:sz w:val="16"/>
                          <w:szCs w:val="16"/>
                        </w:rPr>
                      </w:pPr>
                      <w:r w:rsidRPr="00EB43A1">
                        <w:rPr>
                          <w:rFonts w:ascii="Sylfaen" w:hAnsi="Sylfaen"/>
                          <w:sz w:val="16"/>
                          <w:szCs w:val="16"/>
                        </w:rPr>
                        <w:t>Կլինիկական ռեզյումե 2.7</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9824" behindDoc="0" locked="0" layoutInCell="1" allowOverlap="1" wp14:anchorId="7131C3F5" wp14:editId="204666C6">
                <wp:simplePos x="0" y="0"/>
                <wp:positionH relativeFrom="column">
                  <wp:posOffset>3384550</wp:posOffset>
                </wp:positionH>
                <wp:positionV relativeFrom="paragraph">
                  <wp:posOffset>3394075</wp:posOffset>
                </wp:positionV>
                <wp:extent cx="888365" cy="453390"/>
                <wp:effectExtent l="8255" t="9525" r="8255" b="13335"/>
                <wp:wrapNone/>
                <wp:docPr id="3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453390"/>
                        </a:xfrm>
                        <a:prstGeom prst="rect">
                          <a:avLst/>
                        </a:prstGeom>
                        <a:solidFill>
                          <a:srgbClr val="FFFFFF"/>
                        </a:solidFill>
                        <a:ln w="9525">
                          <a:solidFill>
                            <a:srgbClr val="000000"/>
                          </a:solidFill>
                          <a:miter lim="800000"/>
                          <a:headEnd/>
                          <a:tailEnd/>
                        </a:ln>
                      </wps:spPr>
                      <wps:txbx>
                        <w:txbxContent>
                          <w:p w14:paraId="7B031855" w14:textId="77777777" w:rsidR="004A52D9" w:rsidRPr="00132FCC" w:rsidRDefault="004A52D9" w:rsidP="006F76EB">
                            <w:pPr>
                              <w:ind w:left="142"/>
                            </w:pPr>
                            <w:r>
                              <w:rPr>
                                <w:rFonts w:ascii="Sylfaen" w:hAnsi="Sylfaen"/>
                                <w:sz w:val="16"/>
                                <w:szCs w:val="16"/>
                                <w:lang w:val="ru-RU"/>
                              </w:rPr>
                              <w:t>Կ</w:t>
                            </w:r>
                            <w:r w:rsidRPr="00132FCC">
                              <w:rPr>
                                <w:rFonts w:ascii="Sylfaen" w:hAnsi="Sylfaen"/>
                                <w:sz w:val="16"/>
                                <w:szCs w:val="16"/>
                              </w:rPr>
                              <w:t>լինիկական ամփոփում</w:t>
                            </w:r>
                            <w:r>
                              <w:rPr>
                                <w:rFonts w:ascii="Sylfaen" w:hAnsi="Sylfaen"/>
                                <w:sz w:val="16"/>
                                <w:szCs w:val="16"/>
                              </w:rPr>
                              <w:t xml:space="preserve"> 2.5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1C3F5" id="Text Box 268" o:spid="_x0000_s1036" type="#_x0000_t202" style="position:absolute;margin-left:266.5pt;margin-top:267.25pt;width:69.95pt;height:35.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">
                <v:textbox inset="0,0,0,0">
                  <w:txbxContent>
                    <w:p w14:paraId="7B031855" w14:textId="77777777" w:rsidR="004A52D9" w:rsidRPr="00132FCC" w:rsidRDefault="004A52D9" w:rsidP="006F76EB">
                      <w:pPr>
                        <w:ind w:left="142"/>
                      </w:pPr>
                      <w:r>
                        <w:rPr>
                          <w:rFonts w:ascii="Sylfaen" w:hAnsi="Sylfaen"/>
                          <w:sz w:val="16"/>
                          <w:szCs w:val="16"/>
                          <w:lang w:val="ru-RU"/>
                        </w:rPr>
                        <w:t>Կ</w:t>
                      </w:r>
                      <w:r w:rsidRPr="00132FCC">
                        <w:rPr>
                          <w:rFonts w:ascii="Sylfaen" w:hAnsi="Sylfaen"/>
                          <w:sz w:val="16"/>
                          <w:szCs w:val="16"/>
                        </w:rPr>
                        <w:t>լինիկական ամփոփում</w:t>
                      </w:r>
                      <w:r>
                        <w:rPr>
                          <w:rFonts w:ascii="Sylfaen" w:hAnsi="Sylfaen"/>
                          <w:sz w:val="16"/>
                          <w:szCs w:val="16"/>
                        </w:rPr>
                        <w:t xml:space="preserve"> 2.5</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7776" behindDoc="0" locked="0" layoutInCell="1" allowOverlap="1" wp14:anchorId="1D3779FA" wp14:editId="2931FE3C">
                <wp:simplePos x="0" y="0"/>
                <wp:positionH relativeFrom="column">
                  <wp:posOffset>2420620</wp:posOffset>
                </wp:positionH>
                <wp:positionV relativeFrom="paragraph">
                  <wp:posOffset>3394075</wp:posOffset>
                </wp:positionV>
                <wp:extent cx="888365" cy="453390"/>
                <wp:effectExtent l="6350" t="9525" r="10160" b="13335"/>
                <wp:wrapNone/>
                <wp:docPr id="3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453390"/>
                        </a:xfrm>
                        <a:prstGeom prst="rect">
                          <a:avLst/>
                        </a:prstGeom>
                        <a:solidFill>
                          <a:srgbClr val="FFFFFF"/>
                        </a:solidFill>
                        <a:ln w="9525">
                          <a:solidFill>
                            <a:srgbClr val="000000"/>
                          </a:solidFill>
                          <a:miter lim="800000"/>
                          <a:headEnd/>
                          <a:tailEnd/>
                        </a:ln>
                      </wps:spPr>
                      <wps:txbx>
                        <w:txbxContent>
                          <w:p w14:paraId="0D3885F6" w14:textId="77777777" w:rsidR="004A52D9" w:rsidRPr="00132FCC" w:rsidRDefault="004A52D9" w:rsidP="006F76EB">
                            <w:pPr>
                              <w:ind w:left="142"/>
                            </w:pPr>
                            <w:r w:rsidRPr="00132FCC">
                              <w:rPr>
                                <w:rFonts w:ascii="Sylfaen" w:hAnsi="Sylfaen"/>
                                <w:sz w:val="16"/>
                                <w:szCs w:val="16"/>
                              </w:rPr>
                              <w:t>Նախակլինիկական ամփոփում</w:t>
                            </w:r>
                            <w:r>
                              <w:rPr>
                                <w:rFonts w:ascii="Sylfaen" w:hAnsi="Sylfaen"/>
                                <w:sz w:val="16"/>
                                <w:szCs w:val="16"/>
                              </w:rPr>
                              <w:t xml:space="preserve"> 2.1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779FA" id="Text Box 266" o:spid="_x0000_s1037" type="#_x0000_t202" style="position:absolute;margin-left:190.6pt;margin-top:267.25pt;width:69.95pt;height:35.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">
                <v:textbox inset="0,0,0,0">
                  <w:txbxContent>
                    <w:p w14:paraId="0D3885F6" w14:textId="77777777" w:rsidR="004A52D9" w:rsidRPr="00132FCC" w:rsidRDefault="004A52D9" w:rsidP="006F76EB">
                      <w:pPr>
                        <w:ind w:left="142"/>
                      </w:pPr>
                      <w:r w:rsidRPr="00132FCC">
                        <w:rPr>
                          <w:rFonts w:ascii="Sylfaen" w:hAnsi="Sylfaen"/>
                          <w:sz w:val="16"/>
                          <w:szCs w:val="16"/>
                        </w:rPr>
                        <w:t>Նախակլինիկական ամփոփում</w:t>
                      </w:r>
                      <w:r>
                        <w:rPr>
                          <w:rFonts w:ascii="Sylfaen" w:hAnsi="Sylfaen"/>
                          <w:sz w:val="16"/>
                          <w:szCs w:val="16"/>
                        </w:rPr>
                        <w:t xml:space="preserve"> 2.1</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6752" behindDoc="0" locked="0" layoutInCell="1" allowOverlap="1" wp14:anchorId="744F3BEA" wp14:editId="3DCDF6B7">
                <wp:simplePos x="0" y="0"/>
                <wp:positionH relativeFrom="column">
                  <wp:posOffset>5436870</wp:posOffset>
                </wp:positionH>
                <wp:positionV relativeFrom="paragraph">
                  <wp:posOffset>3786505</wp:posOffset>
                </wp:positionV>
                <wp:extent cx="678815" cy="240030"/>
                <wp:effectExtent l="12700" t="11430" r="13335" b="5715"/>
                <wp:wrapNone/>
                <wp:docPr id="3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40030"/>
                        </a:xfrm>
                        <a:prstGeom prst="rect">
                          <a:avLst/>
                        </a:prstGeom>
                        <a:solidFill>
                          <a:srgbClr val="FFFFFF"/>
                        </a:solidFill>
                        <a:ln w="9525">
                          <a:solidFill>
                            <a:srgbClr val="000000"/>
                          </a:solidFill>
                          <a:miter lim="800000"/>
                          <a:headEnd/>
                          <a:tailEnd/>
                        </a:ln>
                      </wps:spPr>
                      <wps:txbx>
                        <w:txbxContent>
                          <w:p w14:paraId="2E118DCA" w14:textId="77777777" w:rsidR="004A52D9" w:rsidRDefault="004A52D9" w:rsidP="006F76EB">
                            <w:r>
                              <w:rPr>
                                <w:rFonts w:ascii="Sylfaen" w:hAnsi="Sylfaen"/>
                              </w:rPr>
                              <w:t>ԸՏՓ</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F3BEA" id="Text Box 265" o:spid="_x0000_s1038" type="#_x0000_t202" style="position:absolute;margin-left:428.1pt;margin-top:298.15pt;width:53.45pt;height:18.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">
                <v:textbox inset="0,0,0,0">
                  <w:txbxContent>
                    <w:p w14:paraId="2E118DCA" w14:textId="77777777" w:rsidR="004A52D9" w:rsidRDefault="004A52D9" w:rsidP="006F76EB">
                      <w:r>
                        <w:rPr>
                          <w:rFonts w:ascii="Sylfaen" w:hAnsi="Sylfaen"/>
                        </w:rPr>
                        <w:t>ԸՏՓ</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5728" behindDoc="0" locked="0" layoutInCell="1" allowOverlap="1" wp14:anchorId="1EBA86E2" wp14:editId="4EBAEA68">
                <wp:simplePos x="0" y="0"/>
                <wp:positionH relativeFrom="column">
                  <wp:posOffset>0</wp:posOffset>
                </wp:positionH>
                <wp:positionV relativeFrom="paragraph">
                  <wp:posOffset>3394075</wp:posOffset>
                </wp:positionV>
                <wp:extent cx="888365" cy="240030"/>
                <wp:effectExtent l="5080" t="9525" r="11430" b="7620"/>
                <wp:wrapNone/>
                <wp:docPr id="3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240030"/>
                        </a:xfrm>
                        <a:prstGeom prst="rect">
                          <a:avLst/>
                        </a:prstGeom>
                        <a:solidFill>
                          <a:srgbClr val="FFFFFF"/>
                        </a:solidFill>
                        <a:ln w="9525">
                          <a:solidFill>
                            <a:srgbClr val="000000"/>
                          </a:solidFill>
                          <a:miter lim="800000"/>
                          <a:headEnd/>
                          <a:tailEnd/>
                        </a:ln>
                      </wps:spPr>
                      <wps:txbx>
                        <w:txbxContent>
                          <w:p w14:paraId="317FD3CE" w14:textId="77777777" w:rsidR="004A52D9" w:rsidRPr="00EB43A1" w:rsidRDefault="004A52D9" w:rsidP="006F76EB">
                            <w:pPr>
                              <w:ind w:left="142"/>
                              <w:rPr>
                                <w:rFonts w:ascii="Sylfaen" w:hAnsi="Sylfaen"/>
                              </w:rPr>
                            </w:pPr>
                            <w:r>
                              <w:rPr>
                                <w:rFonts w:ascii="Sylfaen" w:hAnsi="Sylfaen"/>
                              </w:rPr>
                              <w:t>մոդուլ 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A86E2" id="Text Box 264" o:spid="_x0000_s1039" type="#_x0000_t202" style="position:absolute;margin-left:0;margin-top:267.25pt;width:69.95pt;height:18.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">
                <v:textbox inset="0,0,0,0">
                  <w:txbxContent>
                    <w:p w14:paraId="317FD3CE" w14:textId="77777777" w:rsidR="004A52D9" w:rsidRPr="00EB43A1" w:rsidRDefault="004A52D9" w:rsidP="006F76EB">
                      <w:pPr>
                        <w:ind w:left="142"/>
                        <w:rPr>
                          <w:rFonts w:ascii="Sylfaen" w:hAnsi="Sylfaen"/>
                        </w:rPr>
                      </w:pPr>
                      <w:r>
                        <w:rPr>
                          <w:rFonts w:ascii="Sylfaen" w:hAnsi="Sylfaen"/>
                        </w:rPr>
                        <w:t>մոդուլ 2</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4704" behindDoc="0" locked="0" layoutInCell="1" allowOverlap="1" wp14:anchorId="74D53DC7" wp14:editId="01635C55">
                <wp:simplePos x="0" y="0"/>
                <wp:positionH relativeFrom="column">
                  <wp:posOffset>2298700</wp:posOffset>
                </wp:positionH>
                <wp:positionV relativeFrom="paragraph">
                  <wp:posOffset>2909570</wp:posOffset>
                </wp:positionV>
                <wp:extent cx="1180465" cy="332105"/>
                <wp:effectExtent l="8255" t="10795" r="11430" b="9525"/>
                <wp:wrapNone/>
                <wp:docPr id="3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32105"/>
                        </a:xfrm>
                        <a:prstGeom prst="rect">
                          <a:avLst/>
                        </a:prstGeom>
                        <a:solidFill>
                          <a:srgbClr val="FFFFFF"/>
                        </a:solidFill>
                        <a:ln w="9525">
                          <a:solidFill>
                            <a:srgbClr val="000000"/>
                          </a:solidFill>
                          <a:miter lim="800000"/>
                          <a:headEnd/>
                          <a:tailEnd/>
                        </a:ln>
                      </wps:spPr>
                      <wps:txbx>
                        <w:txbxContent>
                          <w:p w14:paraId="21063B50" w14:textId="77777777" w:rsidR="004A52D9" w:rsidRPr="00132FCC" w:rsidRDefault="004A52D9" w:rsidP="006F76EB">
                            <w:pPr>
                              <w:ind w:left="142"/>
                              <w:rPr>
                                <w:sz w:val="16"/>
                                <w:szCs w:val="16"/>
                              </w:rPr>
                            </w:pPr>
                            <w:r w:rsidRPr="00132FCC">
                              <w:rPr>
                                <w:rFonts w:ascii="Sylfaen" w:hAnsi="Sylfaen"/>
                                <w:sz w:val="16"/>
                                <w:szCs w:val="16"/>
                              </w:rPr>
                              <w:t>Տեղեկատվությունը ԸՏ</w:t>
                            </w:r>
                            <w:r>
                              <w:rPr>
                                <w:rFonts w:ascii="Sylfaen" w:hAnsi="Sylfaen"/>
                                <w:sz w:val="16"/>
                                <w:szCs w:val="16"/>
                              </w:rPr>
                              <w:t>Փ-ում 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53DC7" id="Text Box 263" o:spid="_x0000_s1040" type="#_x0000_t202" style="position:absolute;margin-left:181pt;margin-top:229.1pt;width:92.95pt;height:26.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">
                <v:textbox inset="0,0,0,0">
                  <w:txbxContent>
                    <w:p w14:paraId="21063B50" w14:textId="77777777" w:rsidR="004A52D9" w:rsidRPr="00132FCC" w:rsidRDefault="004A52D9" w:rsidP="006F76EB">
                      <w:pPr>
                        <w:ind w:left="142"/>
                        <w:rPr>
                          <w:sz w:val="16"/>
                          <w:szCs w:val="16"/>
                        </w:rPr>
                      </w:pPr>
                      <w:r w:rsidRPr="00132FCC">
                        <w:rPr>
                          <w:rFonts w:ascii="Sylfaen" w:hAnsi="Sylfaen"/>
                          <w:sz w:val="16"/>
                          <w:szCs w:val="16"/>
                        </w:rPr>
                        <w:t>Տեղեկատվությունը ԸՏ</w:t>
                      </w:r>
                      <w:r>
                        <w:rPr>
                          <w:rFonts w:ascii="Sylfaen" w:hAnsi="Sylfaen"/>
                          <w:sz w:val="16"/>
                          <w:szCs w:val="16"/>
                        </w:rPr>
                        <w:t>Փ-ում 2.2</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3680" behindDoc="0" locked="0" layoutInCell="1" allowOverlap="1" wp14:anchorId="33AFE58B" wp14:editId="1A2C0233">
                <wp:simplePos x="0" y="0"/>
                <wp:positionH relativeFrom="column">
                  <wp:posOffset>2298700</wp:posOffset>
                </wp:positionH>
                <wp:positionV relativeFrom="paragraph">
                  <wp:posOffset>2399030</wp:posOffset>
                </wp:positionV>
                <wp:extent cx="1180465" cy="439420"/>
                <wp:effectExtent l="8255" t="5080" r="11430" b="12700"/>
                <wp:wrapNone/>
                <wp:docPr id="3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439420"/>
                        </a:xfrm>
                        <a:prstGeom prst="rect">
                          <a:avLst/>
                        </a:prstGeom>
                        <a:solidFill>
                          <a:srgbClr val="FFFFFF"/>
                        </a:solidFill>
                        <a:ln w="9525">
                          <a:solidFill>
                            <a:srgbClr val="000000"/>
                          </a:solidFill>
                          <a:miter lim="800000"/>
                          <a:headEnd/>
                          <a:tailEnd/>
                        </a:ln>
                      </wps:spPr>
                      <wps:txbx>
                        <w:txbxContent>
                          <w:p w14:paraId="2E754BB7" w14:textId="77777777" w:rsidR="004A52D9" w:rsidRPr="00132FCC" w:rsidRDefault="004A52D9" w:rsidP="006F76EB">
                            <w:pPr>
                              <w:ind w:left="142"/>
                              <w:jc w:val="center"/>
                              <w:rPr>
                                <w:rFonts w:ascii="Sylfaen" w:hAnsi="Sylfaen"/>
                                <w:sz w:val="16"/>
                                <w:szCs w:val="16"/>
                              </w:rPr>
                            </w:pPr>
                            <w:r w:rsidRPr="00132FCC">
                              <w:rPr>
                                <w:rFonts w:ascii="Sylfaen" w:hAnsi="Sylfaen"/>
                                <w:sz w:val="16"/>
                                <w:szCs w:val="16"/>
                              </w:rPr>
                              <w:t>ԸՏՓ-ի բովանդակությունը</w:t>
                            </w:r>
                            <w:r>
                              <w:rPr>
                                <w:rFonts w:ascii="Sylfaen" w:hAnsi="Sylfaen"/>
                                <w:sz w:val="16"/>
                                <w:szCs w:val="16"/>
                                <w:lang w:val="en-US"/>
                              </w:rPr>
                              <w:t xml:space="preserve"> </w:t>
                            </w:r>
                            <w:r>
                              <w:rPr>
                                <w:rFonts w:ascii="Sylfaen" w:hAnsi="Sylfaen"/>
                                <w:sz w:val="16"/>
                                <w:szCs w:val="16"/>
                              </w:rPr>
                              <w:t>2.1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FE58B" id="Text Box 262" o:spid="_x0000_s1041" type="#_x0000_t202" style="position:absolute;margin-left:181pt;margin-top:188.9pt;width:92.95pt;height:34.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">
                <v:textbox inset="0,0,0,0">
                  <w:txbxContent>
                    <w:p w14:paraId="2E754BB7" w14:textId="77777777" w:rsidR="004A52D9" w:rsidRPr="00132FCC" w:rsidRDefault="004A52D9" w:rsidP="006F76EB">
                      <w:pPr>
                        <w:ind w:left="142"/>
                        <w:jc w:val="center"/>
                        <w:rPr>
                          <w:rFonts w:ascii="Sylfaen" w:hAnsi="Sylfaen"/>
                          <w:sz w:val="16"/>
                          <w:szCs w:val="16"/>
                        </w:rPr>
                      </w:pPr>
                      <w:r w:rsidRPr="00132FCC">
                        <w:rPr>
                          <w:rFonts w:ascii="Sylfaen" w:hAnsi="Sylfaen"/>
                          <w:sz w:val="16"/>
                          <w:szCs w:val="16"/>
                        </w:rPr>
                        <w:t>ԸՏՓ-ի բովանդակությունը</w:t>
                      </w:r>
                      <w:r>
                        <w:rPr>
                          <w:rFonts w:ascii="Sylfaen" w:hAnsi="Sylfaen"/>
                          <w:sz w:val="16"/>
                          <w:szCs w:val="16"/>
                          <w:lang w:val="en-US"/>
                        </w:rPr>
                        <w:t xml:space="preserve"> </w:t>
                      </w:r>
                      <w:r>
                        <w:rPr>
                          <w:rFonts w:ascii="Sylfaen" w:hAnsi="Sylfaen"/>
                          <w:sz w:val="16"/>
                          <w:szCs w:val="16"/>
                        </w:rPr>
                        <w:t>2.1</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2656" behindDoc="0" locked="0" layoutInCell="1" allowOverlap="1" wp14:anchorId="7E05CED9" wp14:editId="77C90703">
                <wp:simplePos x="0" y="0"/>
                <wp:positionH relativeFrom="column">
                  <wp:posOffset>4493895</wp:posOffset>
                </wp:positionH>
                <wp:positionV relativeFrom="paragraph">
                  <wp:posOffset>1353820</wp:posOffset>
                </wp:positionV>
                <wp:extent cx="1180465" cy="451485"/>
                <wp:effectExtent l="12700" t="7620" r="6985" b="7620"/>
                <wp:wrapNone/>
                <wp:docPr id="3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451485"/>
                        </a:xfrm>
                        <a:prstGeom prst="rect">
                          <a:avLst/>
                        </a:prstGeom>
                        <a:solidFill>
                          <a:srgbClr val="FFFFFF"/>
                        </a:solidFill>
                        <a:ln w="9525">
                          <a:solidFill>
                            <a:srgbClr val="000000"/>
                          </a:solidFill>
                          <a:miter lim="800000"/>
                          <a:headEnd/>
                          <a:tailEnd/>
                        </a:ln>
                      </wps:spPr>
                      <wps:txbx>
                        <w:txbxContent>
                          <w:p w14:paraId="76231FAC" w14:textId="77777777" w:rsidR="004A52D9" w:rsidRPr="00132FCC" w:rsidRDefault="004A52D9" w:rsidP="006F76EB">
                            <w:pPr>
                              <w:ind w:left="142"/>
                              <w:rPr>
                                <w:rFonts w:ascii="Sylfaen" w:hAnsi="Sylfaen"/>
                              </w:rPr>
                            </w:pPr>
                            <w:r>
                              <w:rPr>
                                <w:rFonts w:ascii="Sylfaen" w:hAnsi="Sylfaen"/>
                              </w:rPr>
                              <w:t>ԸՏՓ-ի մաս չէ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5CED9" id="Text Box 261" o:spid="_x0000_s1042" type="#_x0000_t202" style="position:absolute;margin-left:353.85pt;margin-top:106.6pt;width:92.95pt;height:35.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">
                <v:textbox inset="0,0,0,0">
                  <w:txbxContent>
                    <w:p w14:paraId="76231FAC" w14:textId="77777777" w:rsidR="004A52D9" w:rsidRPr="00132FCC" w:rsidRDefault="004A52D9" w:rsidP="006F76EB">
                      <w:pPr>
                        <w:ind w:left="142"/>
                        <w:rPr>
                          <w:rFonts w:ascii="Sylfaen" w:hAnsi="Sylfaen"/>
                        </w:rPr>
                      </w:pPr>
                      <w:r>
                        <w:rPr>
                          <w:rFonts w:ascii="Sylfaen" w:hAnsi="Sylfaen"/>
                        </w:rPr>
                        <w:t>ԸՏՓ-ի մաս չէ</w:t>
                      </w:r>
                    </w:p>
                  </w:txbxContent>
                </v:textbox>
              </v:shape>
            </w:pict>
          </mc:Fallback>
        </mc:AlternateContent>
      </w:r>
      <w:r w:rsidR="006F76EB" w:rsidRPr="00834D52">
        <w:rPr>
          <w:rFonts w:ascii="Sylfaen" w:hAnsi="Sylfaen"/>
          <w:noProof/>
          <w:lang w:val="en-US" w:eastAsia="en-US" w:bidi="ar-SA"/>
        </w:rPr>
        <w:drawing>
          <wp:inline distT="0" distB="0" distL="0" distR="0" wp14:anchorId="3FDD545E" wp14:editId="28FA659A">
            <wp:extent cx="5943600" cy="6409228"/>
            <wp:effectExtent l="19050" t="0" r="0" b="0"/>
            <wp:docPr id="6" name="Picture 1" descr="C:\Users\mikhail.LOCAL\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LOCAL\Desktop\media\image1.png"/>
                    <pic:cNvPicPr>
                      <a:picLocks noChangeAspect="1" noChangeArrowheads="1"/>
                    </pic:cNvPicPr>
                  </pic:nvPicPr>
                  <pic:blipFill>
                    <a:blip r:embed="rId13" cstate="print"/>
                    <a:srcRect/>
                    <a:stretch>
                      <a:fillRect/>
                    </a:stretch>
                  </pic:blipFill>
                  <pic:spPr bwMode="auto">
                    <a:xfrm>
                      <a:off x="0" y="0"/>
                      <a:ext cx="5943600" cy="6409228"/>
                    </a:xfrm>
                    <a:prstGeom prst="rect">
                      <a:avLst/>
                    </a:prstGeom>
                    <a:noFill/>
                    <a:ln w="9525">
                      <a:noFill/>
                      <a:miter lim="800000"/>
                      <a:headEnd/>
                      <a:tailEnd/>
                    </a:ln>
                  </pic:spPr>
                </pic:pic>
              </a:graphicData>
            </a:graphic>
          </wp:inline>
        </w:drawing>
      </w:r>
    </w:p>
    <w:p w14:paraId="4E1C58F2" w14:textId="77777777" w:rsidR="006F76EB" w:rsidRPr="00834D52" w:rsidRDefault="006F76EB" w:rsidP="006F76EB">
      <w:pPr>
        <w:widowControl/>
        <w:rPr>
          <w:rFonts w:ascii="Sylfaen" w:hAnsi="Sylfaen"/>
          <w:sz w:val="24"/>
          <w:szCs w:val="24"/>
          <w:lang w:val="en-US"/>
        </w:rPr>
      </w:pPr>
      <w:r w:rsidRPr="00834D52">
        <w:rPr>
          <w:rFonts w:ascii="Sylfaen" w:hAnsi="Sylfaen"/>
          <w:sz w:val="24"/>
          <w:szCs w:val="24"/>
          <w:lang w:val="en-US"/>
        </w:rPr>
        <w:br w:type="page"/>
      </w:r>
    </w:p>
    <w:p w14:paraId="308D2258" w14:textId="77777777" w:rsidR="006F76EB" w:rsidRPr="00834D52" w:rsidRDefault="006F76EB" w:rsidP="002978B0">
      <w:pPr>
        <w:spacing w:after="120" w:line="312" w:lineRule="auto"/>
        <w:ind w:left="567" w:right="579"/>
        <w:jc w:val="center"/>
        <w:rPr>
          <w:rFonts w:ascii="Sylfaen" w:hAnsi="Sylfaen"/>
          <w:sz w:val="24"/>
          <w:szCs w:val="24"/>
          <w:lang w:val="en-US"/>
        </w:rPr>
      </w:pPr>
      <w:r w:rsidRPr="00834D52">
        <w:rPr>
          <w:rFonts w:ascii="Sylfaen" w:hAnsi="Sylfaen"/>
          <w:sz w:val="24"/>
          <w:szCs w:val="24"/>
        </w:rPr>
        <w:lastRenderedPageBreak/>
        <w:t>VI. ԲԺՇԿԱԿԱՆ ԿԻՐԱՌՈՒԹՅԱՆ ԴԵՂԱՊԱՏՐԱՍՏՈՒԿՆԵՐԻ ԳՐԱՆՑՄԱՆ ԸՏՓ-ի ԿԱՌՈՒՑՎԱԾՔԸ</w:t>
      </w:r>
    </w:p>
    <w:p w14:paraId="316B490F" w14:textId="77777777" w:rsidR="006F76EB" w:rsidRPr="00834D52" w:rsidRDefault="006F76EB" w:rsidP="002978B0">
      <w:pPr>
        <w:tabs>
          <w:tab w:val="left" w:pos="1134"/>
        </w:tabs>
        <w:spacing w:after="120" w:line="312" w:lineRule="auto"/>
        <w:ind w:right="-8" w:firstLine="567"/>
        <w:jc w:val="both"/>
        <w:rPr>
          <w:rFonts w:ascii="Sylfaen" w:eastAsia="Times New Roman" w:hAnsi="Sylfaen" w:cs="Times New Roman"/>
          <w:sz w:val="24"/>
          <w:szCs w:val="24"/>
        </w:rPr>
      </w:pPr>
      <w:r w:rsidRPr="00834D52">
        <w:rPr>
          <w:rFonts w:ascii="Sylfaen" w:hAnsi="Sylfaen"/>
          <w:sz w:val="24"/>
          <w:szCs w:val="24"/>
        </w:rPr>
        <w:t>Մոդուլ</w:t>
      </w:r>
      <w:r>
        <w:rPr>
          <w:rFonts w:ascii="Sylfaen" w:hAnsi="Sylfaen"/>
          <w:sz w:val="24"/>
          <w:szCs w:val="24"/>
        </w:rPr>
        <w:t xml:space="preserve"> 1.</w:t>
      </w:r>
      <w:r>
        <w:rPr>
          <w:rFonts w:ascii="Sylfaen" w:hAnsi="Sylfaen"/>
          <w:sz w:val="24"/>
          <w:szCs w:val="24"/>
          <w:lang w:val="en-US"/>
        </w:rPr>
        <w:tab/>
      </w:r>
      <w:r w:rsidRPr="00834D52">
        <w:rPr>
          <w:rFonts w:ascii="Sylfaen" w:hAnsi="Sylfaen"/>
          <w:sz w:val="24"/>
          <w:szCs w:val="24"/>
        </w:rPr>
        <w:t xml:space="preserve">Նշանակման վերաբերյալ տեղեկատվությունը </w:t>
      </w:r>
      <w:r w:rsidR="00C54D75">
        <w:rPr>
          <w:rFonts w:ascii="Sylfaen" w:hAnsi="Sylfaen"/>
          <w:sz w:val="24"/>
          <w:szCs w:val="24"/>
        </w:rPr>
        <w:t>և</w:t>
      </w:r>
      <w:r w:rsidRPr="00834D52">
        <w:rPr>
          <w:rFonts w:ascii="Sylfaen" w:hAnsi="Sylfaen"/>
          <w:sz w:val="24"/>
          <w:szCs w:val="24"/>
        </w:rPr>
        <w:t xml:space="preserve"> վարչական տեղեկությունները </w:t>
      </w:r>
    </w:p>
    <w:p w14:paraId="7BDE9C09"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Դոսյեի բովանդակությունը, ներառյալ՝ 1-ին մոդուլը</w:t>
      </w:r>
    </w:p>
    <w:p w14:paraId="26151270" w14:textId="31051226"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1.2.</w:t>
      </w:r>
      <w:r w:rsidRPr="00CC275D">
        <w:rPr>
          <w:rFonts w:ascii="Sylfaen" w:hAnsi="Sylfaen"/>
          <w:sz w:val="24"/>
          <w:szCs w:val="24"/>
        </w:rPr>
        <w:tab/>
      </w:r>
      <w:r w:rsidRPr="00834D52">
        <w:rPr>
          <w:rFonts w:ascii="Sylfaen" w:hAnsi="Sylfaen"/>
          <w:sz w:val="24"/>
          <w:szCs w:val="24"/>
        </w:rPr>
        <w:t xml:space="preserve">Յուրաքանչյուր տարածաշրջանի համար յուրահատուկ փաստաթղթերը (օրինակ՝ </w:t>
      </w:r>
      <w:r w:rsidR="009F5829">
        <w:rPr>
          <w:rFonts w:ascii="Sylfaen" w:hAnsi="Sylfaen"/>
          <w:sz w:val="24"/>
          <w:szCs w:val="24"/>
        </w:rPr>
        <w:t>դիմումներ</w:t>
      </w:r>
      <w:r w:rsidRPr="00834D52">
        <w:rPr>
          <w:rFonts w:ascii="Sylfaen" w:hAnsi="Sylfaen"/>
          <w:sz w:val="24"/>
          <w:szCs w:val="24"/>
        </w:rPr>
        <w:t>ի ձ</w:t>
      </w:r>
      <w:r w:rsidR="00C54D75">
        <w:rPr>
          <w:rFonts w:ascii="Sylfaen" w:hAnsi="Sylfaen"/>
          <w:sz w:val="24"/>
          <w:szCs w:val="24"/>
        </w:rPr>
        <w:t>և</w:t>
      </w:r>
      <w:r w:rsidRPr="00834D52">
        <w:rPr>
          <w:rFonts w:ascii="Sylfaen" w:hAnsi="Sylfaen"/>
          <w:sz w:val="24"/>
          <w:szCs w:val="24"/>
        </w:rPr>
        <w:t>երը, պատրաստուկի նշանակման վերաբերյալ տեղեկատվությունը)</w:t>
      </w:r>
    </w:p>
    <w:p w14:paraId="11710E42" w14:textId="77777777" w:rsidR="006F76EB" w:rsidRPr="00834D52" w:rsidRDefault="006F76EB" w:rsidP="002978B0">
      <w:pPr>
        <w:tabs>
          <w:tab w:val="left" w:pos="1134"/>
        </w:tabs>
        <w:spacing w:after="120" w:line="312" w:lineRule="auto"/>
        <w:ind w:right="-8"/>
        <w:jc w:val="both"/>
        <w:rPr>
          <w:rFonts w:ascii="Sylfaen" w:eastAsia="Times New Roman" w:hAnsi="Sylfaen" w:cs="Times New Roman"/>
          <w:sz w:val="24"/>
          <w:szCs w:val="24"/>
        </w:rPr>
      </w:pPr>
      <w:r w:rsidRPr="00834D52">
        <w:rPr>
          <w:rFonts w:ascii="Sylfaen" w:hAnsi="Sylfaen"/>
          <w:sz w:val="24"/>
          <w:szCs w:val="24"/>
        </w:rPr>
        <w:t>Մոդուլ</w:t>
      </w:r>
      <w:r>
        <w:rPr>
          <w:rFonts w:ascii="Sylfaen" w:hAnsi="Sylfaen"/>
          <w:sz w:val="24"/>
          <w:szCs w:val="24"/>
        </w:rPr>
        <w:t xml:space="preserve"> 2.</w:t>
      </w:r>
      <w:r w:rsidRPr="00581D46">
        <w:rPr>
          <w:rFonts w:ascii="Sylfaen" w:hAnsi="Sylfaen"/>
          <w:sz w:val="24"/>
          <w:szCs w:val="24"/>
        </w:rPr>
        <w:tab/>
      </w:r>
      <w:r w:rsidRPr="00834D52">
        <w:rPr>
          <w:rFonts w:ascii="Sylfaen" w:hAnsi="Sylfaen"/>
          <w:sz w:val="24"/>
          <w:szCs w:val="24"/>
        </w:rPr>
        <w:t>ԸՏՓ-ի ռեզյումեն</w:t>
      </w:r>
    </w:p>
    <w:p w14:paraId="393CBCF7"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2.1.</w:t>
      </w:r>
      <w:r w:rsidRPr="00CC275D">
        <w:rPr>
          <w:rFonts w:ascii="Sylfaen" w:hAnsi="Sylfaen"/>
          <w:sz w:val="24"/>
          <w:szCs w:val="24"/>
        </w:rPr>
        <w:tab/>
      </w:r>
      <w:r w:rsidRPr="00834D52">
        <w:rPr>
          <w:rFonts w:ascii="Sylfaen" w:hAnsi="Sylfaen"/>
          <w:sz w:val="24"/>
          <w:szCs w:val="24"/>
        </w:rPr>
        <w:t>ԸՏՓ-ի ամփոփ բովանդակությունը (2-5-րդ մոդուլներ)</w:t>
      </w:r>
    </w:p>
    <w:p w14:paraId="6A2A120A"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2.2.</w:t>
      </w:r>
      <w:r w:rsidRPr="00CC275D">
        <w:rPr>
          <w:rFonts w:ascii="Sylfaen" w:hAnsi="Sylfaen"/>
          <w:sz w:val="24"/>
          <w:szCs w:val="24"/>
        </w:rPr>
        <w:tab/>
      </w:r>
      <w:r w:rsidRPr="00834D52">
        <w:rPr>
          <w:rFonts w:ascii="Sylfaen" w:hAnsi="Sylfaen"/>
          <w:sz w:val="24"/>
          <w:szCs w:val="24"/>
        </w:rPr>
        <w:t>Ներածություն</w:t>
      </w:r>
    </w:p>
    <w:p w14:paraId="6B030051"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2.3.</w:t>
      </w:r>
      <w:r w:rsidRPr="00CC275D">
        <w:rPr>
          <w:rFonts w:ascii="Sylfaen" w:hAnsi="Sylfaen"/>
          <w:sz w:val="24"/>
          <w:szCs w:val="24"/>
        </w:rPr>
        <w:tab/>
      </w:r>
      <w:r w:rsidRPr="00834D52">
        <w:rPr>
          <w:rFonts w:ascii="Sylfaen" w:hAnsi="Sylfaen"/>
          <w:sz w:val="24"/>
          <w:szCs w:val="24"/>
        </w:rPr>
        <w:t>Որակի վերաբերյալ ամփոփ ռեզյումե</w:t>
      </w:r>
    </w:p>
    <w:p w14:paraId="6D3018D6"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2.4.</w:t>
      </w:r>
      <w:r w:rsidRPr="00CC275D">
        <w:rPr>
          <w:rFonts w:ascii="Sylfaen" w:hAnsi="Sylfaen"/>
          <w:sz w:val="24"/>
          <w:szCs w:val="24"/>
        </w:rPr>
        <w:tab/>
      </w:r>
      <w:r w:rsidRPr="00834D52">
        <w:rPr>
          <w:rFonts w:ascii="Sylfaen" w:hAnsi="Sylfaen"/>
          <w:sz w:val="24"/>
          <w:szCs w:val="24"/>
        </w:rPr>
        <w:t>Նախակլինիկական ամփոփում</w:t>
      </w:r>
    </w:p>
    <w:p w14:paraId="6935BBDB"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2.5.</w:t>
      </w:r>
      <w:r w:rsidRPr="00CC275D">
        <w:rPr>
          <w:rFonts w:ascii="Sylfaen" w:hAnsi="Sylfaen"/>
          <w:sz w:val="24"/>
          <w:szCs w:val="24"/>
        </w:rPr>
        <w:tab/>
      </w:r>
      <w:r w:rsidRPr="00834D52">
        <w:rPr>
          <w:rFonts w:ascii="Sylfaen" w:hAnsi="Sylfaen"/>
          <w:sz w:val="24"/>
          <w:szCs w:val="24"/>
        </w:rPr>
        <w:t>Կլինիկական ամփոփում</w:t>
      </w:r>
    </w:p>
    <w:p w14:paraId="4D74B2F9"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2.6.</w:t>
      </w:r>
      <w:r w:rsidRPr="00581D46">
        <w:rPr>
          <w:rFonts w:ascii="Sylfaen" w:hAnsi="Sylfaen"/>
          <w:sz w:val="24"/>
          <w:szCs w:val="24"/>
        </w:rPr>
        <w:tab/>
      </w:r>
      <w:r w:rsidRPr="00834D52">
        <w:rPr>
          <w:rFonts w:ascii="Sylfaen" w:hAnsi="Sylfaen"/>
          <w:sz w:val="24"/>
          <w:szCs w:val="24"/>
        </w:rPr>
        <w:t xml:space="preserve">Նկարագրական </w:t>
      </w:r>
      <w:r w:rsidR="00C54D75">
        <w:rPr>
          <w:rFonts w:ascii="Sylfaen" w:hAnsi="Sylfaen"/>
          <w:sz w:val="24"/>
          <w:szCs w:val="24"/>
        </w:rPr>
        <w:t>և</w:t>
      </w:r>
      <w:r w:rsidRPr="00834D52">
        <w:rPr>
          <w:rFonts w:ascii="Sylfaen" w:hAnsi="Sylfaen"/>
          <w:sz w:val="24"/>
          <w:szCs w:val="24"/>
        </w:rPr>
        <w:t xml:space="preserve"> աղյուսակային նախակլինիկական ռեզյումեներ</w:t>
      </w:r>
    </w:p>
    <w:p w14:paraId="1102E250" w14:textId="77777777" w:rsidR="006F76EB" w:rsidRPr="00834D52" w:rsidRDefault="006F76EB" w:rsidP="002978B0">
      <w:pPr>
        <w:tabs>
          <w:tab w:val="left" w:pos="1134"/>
        </w:tabs>
        <w:spacing w:after="120" w:line="312" w:lineRule="auto"/>
        <w:ind w:left="1276" w:right="-8"/>
        <w:jc w:val="both"/>
        <w:rPr>
          <w:rFonts w:ascii="Sylfaen" w:eastAsia="Times New Roman" w:hAnsi="Sylfaen" w:cs="Times New Roman"/>
          <w:sz w:val="24"/>
          <w:szCs w:val="24"/>
        </w:rPr>
      </w:pPr>
      <w:r w:rsidRPr="00834D52">
        <w:rPr>
          <w:rFonts w:ascii="Sylfaen" w:hAnsi="Sylfaen"/>
          <w:sz w:val="24"/>
          <w:szCs w:val="24"/>
        </w:rPr>
        <w:t>դեղաբանություն</w:t>
      </w:r>
    </w:p>
    <w:p w14:paraId="36B0C119" w14:textId="77777777" w:rsidR="006F76EB" w:rsidRPr="00834D52" w:rsidRDefault="00355C33" w:rsidP="002978B0">
      <w:pPr>
        <w:tabs>
          <w:tab w:val="left" w:pos="1134"/>
        </w:tabs>
        <w:spacing w:after="120" w:line="312" w:lineRule="auto"/>
        <w:ind w:left="1276" w:right="-8"/>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կինետիկա</w:t>
      </w:r>
    </w:p>
    <w:p w14:paraId="35ECB21A" w14:textId="77777777" w:rsidR="006F76EB" w:rsidRPr="00834D52" w:rsidRDefault="006F76EB" w:rsidP="002978B0">
      <w:pPr>
        <w:tabs>
          <w:tab w:val="left" w:pos="1134"/>
        </w:tabs>
        <w:spacing w:after="120" w:line="312" w:lineRule="auto"/>
        <w:ind w:left="1276" w:right="-8"/>
        <w:jc w:val="both"/>
        <w:rPr>
          <w:rFonts w:ascii="Sylfaen" w:eastAsia="Times New Roman" w:hAnsi="Sylfaen" w:cs="Times New Roman"/>
          <w:sz w:val="24"/>
          <w:szCs w:val="24"/>
        </w:rPr>
      </w:pPr>
      <w:r w:rsidRPr="00834D52">
        <w:rPr>
          <w:rFonts w:ascii="Sylfaen" w:hAnsi="Sylfaen"/>
          <w:sz w:val="24"/>
          <w:szCs w:val="24"/>
        </w:rPr>
        <w:t xml:space="preserve">թունաբանություն </w:t>
      </w:r>
    </w:p>
    <w:p w14:paraId="54795700"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2.7.</w:t>
      </w:r>
      <w:r w:rsidRPr="00B17274">
        <w:rPr>
          <w:rFonts w:ascii="Sylfaen" w:hAnsi="Sylfaen"/>
          <w:sz w:val="24"/>
          <w:szCs w:val="24"/>
        </w:rPr>
        <w:tab/>
      </w:r>
      <w:r w:rsidRPr="00834D52">
        <w:rPr>
          <w:rFonts w:ascii="Sylfaen" w:hAnsi="Sylfaen"/>
          <w:sz w:val="24"/>
          <w:szCs w:val="24"/>
        </w:rPr>
        <w:t>Կլինիկական ռեզյումե</w:t>
      </w:r>
    </w:p>
    <w:p w14:paraId="4E0B86BF"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համապատասխան վերլուծական մեթոդների ռեզյումեներ</w:t>
      </w:r>
    </w:p>
    <w:p w14:paraId="2B3D2EDF"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դեղաբանության հետազոտությունների ռեզյումե</w:t>
      </w:r>
    </w:p>
    <w:p w14:paraId="653BE08D"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արդյունավետության ռեզյումե</w:t>
      </w:r>
    </w:p>
    <w:p w14:paraId="45225C43"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անվտանգության ռեզյումե</w:t>
      </w:r>
    </w:p>
    <w:p w14:paraId="523A446A" w14:textId="77777777" w:rsidR="006F76EB" w:rsidRPr="007F5A60" w:rsidRDefault="006F76EB" w:rsidP="002978B0">
      <w:pPr>
        <w:tabs>
          <w:tab w:val="left" w:pos="1134"/>
        </w:tabs>
        <w:spacing w:after="120" w:line="312" w:lineRule="auto"/>
        <w:ind w:left="1701" w:right="-8"/>
        <w:jc w:val="both"/>
        <w:rPr>
          <w:rFonts w:ascii="Sylfaen" w:hAnsi="Sylfaen"/>
          <w:sz w:val="24"/>
          <w:szCs w:val="24"/>
        </w:rPr>
      </w:pPr>
      <w:r w:rsidRPr="00834D52">
        <w:rPr>
          <w:rFonts w:ascii="Sylfaen" w:hAnsi="Sylfaen"/>
          <w:sz w:val="24"/>
          <w:szCs w:val="24"/>
        </w:rPr>
        <w:t xml:space="preserve">առանձին հետազոտությունների </w:t>
      </w:r>
      <w:r w:rsidR="00333236">
        <w:rPr>
          <w:rFonts w:ascii="Sylfaen" w:hAnsi="Sylfaen"/>
          <w:sz w:val="24"/>
          <w:szCs w:val="24"/>
        </w:rPr>
        <w:t>ս</w:t>
      </w:r>
      <w:r w:rsidRPr="00834D52">
        <w:rPr>
          <w:rFonts w:ascii="Sylfaen" w:hAnsi="Sylfaen"/>
          <w:sz w:val="24"/>
          <w:szCs w:val="24"/>
        </w:rPr>
        <w:t>ինոփսիսներ</w:t>
      </w:r>
    </w:p>
    <w:p w14:paraId="205F7AB0"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Մոդուլ 3.</w:t>
      </w:r>
      <w:r w:rsidRPr="00581D46">
        <w:rPr>
          <w:rFonts w:ascii="Sylfaen" w:hAnsi="Sylfaen"/>
          <w:sz w:val="24"/>
          <w:szCs w:val="24"/>
        </w:rPr>
        <w:tab/>
      </w:r>
      <w:r w:rsidRPr="00834D52">
        <w:rPr>
          <w:rFonts w:ascii="Sylfaen" w:hAnsi="Sylfaen"/>
          <w:sz w:val="24"/>
          <w:szCs w:val="24"/>
        </w:rPr>
        <w:t>Որակ</w:t>
      </w:r>
    </w:p>
    <w:p w14:paraId="09F28629"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3.1.</w:t>
      </w:r>
      <w:r w:rsidRPr="00581D46">
        <w:rPr>
          <w:rFonts w:ascii="Sylfaen" w:hAnsi="Sylfaen"/>
          <w:sz w:val="24"/>
          <w:szCs w:val="24"/>
        </w:rPr>
        <w:tab/>
      </w:r>
      <w:r w:rsidRPr="00834D52">
        <w:rPr>
          <w:rFonts w:ascii="Sylfaen" w:hAnsi="Sylfaen"/>
          <w:sz w:val="24"/>
          <w:szCs w:val="24"/>
        </w:rPr>
        <w:t>3-րդ մոդուլի բովանդակությունը</w:t>
      </w:r>
    </w:p>
    <w:p w14:paraId="38118CAA"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lastRenderedPageBreak/>
        <w:t>3.2.</w:t>
      </w:r>
      <w:r w:rsidRPr="00581D46">
        <w:rPr>
          <w:rFonts w:ascii="Sylfaen" w:hAnsi="Sylfaen"/>
          <w:sz w:val="24"/>
          <w:szCs w:val="24"/>
        </w:rPr>
        <w:tab/>
      </w:r>
      <w:r w:rsidRPr="00834D52">
        <w:rPr>
          <w:rFonts w:ascii="Sylfaen" w:hAnsi="Sylfaen"/>
          <w:sz w:val="24"/>
          <w:szCs w:val="24"/>
        </w:rPr>
        <w:t>Հիմնական տվյալները</w:t>
      </w:r>
    </w:p>
    <w:p w14:paraId="144E3153" w14:textId="77777777" w:rsidR="006F76EB" w:rsidRPr="007F5A60"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3.3.</w:t>
      </w:r>
      <w:r w:rsidRPr="00581D46">
        <w:rPr>
          <w:rFonts w:ascii="Sylfaen" w:hAnsi="Sylfaen"/>
          <w:sz w:val="24"/>
          <w:szCs w:val="24"/>
        </w:rPr>
        <w:tab/>
      </w:r>
      <w:r w:rsidRPr="00834D52">
        <w:rPr>
          <w:rFonts w:ascii="Sylfaen" w:hAnsi="Sylfaen"/>
          <w:sz w:val="24"/>
          <w:szCs w:val="24"/>
        </w:rPr>
        <w:t>Հղումներ գրականությանը</w:t>
      </w:r>
    </w:p>
    <w:p w14:paraId="16C6EF48" w14:textId="77777777" w:rsidR="0047408B" w:rsidRPr="007F5A60" w:rsidRDefault="0047408B" w:rsidP="002978B0">
      <w:pPr>
        <w:tabs>
          <w:tab w:val="left" w:pos="1134"/>
        </w:tabs>
        <w:spacing w:after="120" w:line="312" w:lineRule="auto"/>
        <w:ind w:left="567" w:right="-8"/>
        <w:jc w:val="both"/>
        <w:rPr>
          <w:rFonts w:ascii="Sylfaen" w:hAnsi="Sylfaen"/>
          <w:sz w:val="24"/>
          <w:szCs w:val="24"/>
        </w:rPr>
      </w:pPr>
    </w:p>
    <w:p w14:paraId="68D6647C" w14:textId="77777777" w:rsidR="006F76EB" w:rsidRPr="0047408B" w:rsidRDefault="006F76EB" w:rsidP="002978B0">
      <w:pPr>
        <w:tabs>
          <w:tab w:val="left" w:pos="1134"/>
        </w:tabs>
        <w:spacing w:after="120" w:line="312" w:lineRule="auto"/>
        <w:ind w:right="-8" w:firstLine="567"/>
        <w:jc w:val="both"/>
        <w:rPr>
          <w:rFonts w:ascii="Sylfaen" w:hAnsi="Sylfaen"/>
          <w:sz w:val="24"/>
          <w:szCs w:val="24"/>
        </w:rPr>
      </w:pPr>
      <w:r w:rsidRPr="00834D52">
        <w:rPr>
          <w:rFonts w:ascii="Sylfaen" w:hAnsi="Sylfaen"/>
          <w:sz w:val="24"/>
          <w:szCs w:val="24"/>
        </w:rPr>
        <w:t>Մոդուլ</w:t>
      </w:r>
      <w:r>
        <w:rPr>
          <w:rFonts w:ascii="Sylfaen" w:hAnsi="Sylfaen"/>
          <w:sz w:val="24"/>
          <w:szCs w:val="24"/>
        </w:rPr>
        <w:t xml:space="preserve"> 4.</w:t>
      </w:r>
      <w:r w:rsidRPr="00581D46">
        <w:rPr>
          <w:rFonts w:ascii="Sylfaen" w:hAnsi="Sylfaen"/>
          <w:sz w:val="24"/>
          <w:szCs w:val="24"/>
        </w:rPr>
        <w:tab/>
      </w:r>
      <w:r w:rsidRPr="00834D52">
        <w:rPr>
          <w:rFonts w:ascii="Sylfaen" w:hAnsi="Sylfaen"/>
          <w:sz w:val="24"/>
          <w:szCs w:val="24"/>
        </w:rPr>
        <w:t>Նախակլինիկական հետազոտությունների վերաբերյալ հաշվետվությունները</w:t>
      </w:r>
    </w:p>
    <w:p w14:paraId="03D9E642"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4.1.</w:t>
      </w:r>
      <w:r w:rsidRPr="00581D46">
        <w:rPr>
          <w:rFonts w:ascii="Sylfaen" w:hAnsi="Sylfaen"/>
          <w:sz w:val="24"/>
          <w:szCs w:val="24"/>
        </w:rPr>
        <w:tab/>
      </w:r>
      <w:r w:rsidRPr="00834D52">
        <w:rPr>
          <w:rFonts w:ascii="Sylfaen" w:hAnsi="Sylfaen"/>
          <w:sz w:val="24"/>
          <w:szCs w:val="24"/>
        </w:rPr>
        <w:t>4-րդ մոդուլի բովանդակությունը</w:t>
      </w:r>
    </w:p>
    <w:p w14:paraId="59631318"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4.2</w:t>
      </w:r>
      <w:r>
        <w:rPr>
          <w:rFonts w:ascii="Sylfaen" w:hAnsi="Sylfaen"/>
          <w:sz w:val="24"/>
          <w:szCs w:val="24"/>
        </w:rPr>
        <w:t>.</w:t>
      </w:r>
      <w:r w:rsidRPr="00581D46">
        <w:rPr>
          <w:rFonts w:ascii="Sylfaen" w:hAnsi="Sylfaen"/>
          <w:sz w:val="24"/>
          <w:szCs w:val="24"/>
        </w:rPr>
        <w:tab/>
      </w:r>
      <w:r w:rsidRPr="00834D52">
        <w:rPr>
          <w:rFonts w:ascii="Sylfaen" w:hAnsi="Sylfaen"/>
          <w:sz w:val="24"/>
          <w:szCs w:val="24"/>
        </w:rPr>
        <w:t>Հետազոտությունների վերաբերյալ հաշվետվությունները</w:t>
      </w:r>
    </w:p>
    <w:p w14:paraId="48E0647F"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4.3.</w:t>
      </w:r>
      <w:r w:rsidRPr="00581D46">
        <w:rPr>
          <w:rFonts w:ascii="Sylfaen" w:hAnsi="Sylfaen"/>
          <w:sz w:val="24"/>
          <w:szCs w:val="24"/>
        </w:rPr>
        <w:tab/>
      </w:r>
      <w:r w:rsidRPr="00834D52">
        <w:rPr>
          <w:rFonts w:ascii="Sylfaen" w:hAnsi="Sylfaen"/>
          <w:sz w:val="24"/>
          <w:szCs w:val="24"/>
        </w:rPr>
        <w:t>Հղումներ գրականությանը</w:t>
      </w:r>
    </w:p>
    <w:p w14:paraId="637C41BD"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Մոդուլ</w:t>
      </w:r>
      <w:r>
        <w:rPr>
          <w:rFonts w:ascii="Sylfaen" w:hAnsi="Sylfaen"/>
          <w:sz w:val="24"/>
          <w:szCs w:val="24"/>
        </w:rPr>
        <w:t xml:space="preserve"> 5.</w:t>
      </w:r>
      <w:r w:rsidRPr="00581D46">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30F2D530"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5.1.</w:t>
      </w:r>
      <w:r w:rsidRPr="00581D46">
        <w:rPr>
          <w:rFonts w:ascii="Sylfaen" w:hAnsi="Sylfaen"/>
          <w:sz w:val="24"/>
          <w:szCs w:val="24"/>
        </w:rPr>
        <w:tab/>
      </w:r>
      <w:r w:rsidRPr="00834D52">
        <w:rPr>
          <w:rFonts w:ascii="Sylfaen" w:hAnsi="Sylfaen"/>
          <w:sz w:val="24"/>
          <w:szCs w:val="24"/>
        </w:rPr>
        <w:t>5-րդ մոդուլի բովանդակությունը</w:t>
      </w:r>
    </w:p>
    <w:p w14:paraId="6EE970FF"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5.2.</w:t>
      </w:r>
      <w:r w:rsidRPr="00581D46">
        <w:rPr>
          <w:rFonts w:ascii="Sylfaen" w:hAnsi="Sylfaen"/>
          <w:sz w:val="24"/>
          <w:szCs w:val="24"/>
        </w:rPr>
        <w:tab/>
      </w:r>
      <w:r w:rsidRPr="00834D52">
        <w:rPr>
          <w:rFonts w:ascii="Sylfaen" w:hAnsi="Sylfaen"/>
          <w:sz w:val="24"/>
          <w:szCs w:val="24"/>
        </w:rPr>
        <w:t>Բոլոր կլինիկական հետազոտությունների աղյուսակային ցանկը</w:t>
      </w:r>
    </w:p>
    <w:p w14:paraId="0CA0C952"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5.3.</w:t>
      </w:r>
      <w:r w:rsidRPr="00581D46">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0F580ACF" w14:textId="77777777" w:rsidR="006F76EB" w:rsidRPr="00834D52"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5.4.</w:t>
      </w:r>
      <w:r w:rsidRPr="00581D46">
        <w:rPr>
          <w:rFonts w:ascii="Sylfaen" w:hAnsi="Sylfaen"/>
          <w:sz w:val="24"/>
          <w:szCs w:val="24"/>
        </w:rPr>
        <w:tab/>
      </w:r>
      <w:r w:rsidRPr="00834D52">
        <w:rPr>
          <w:rFonts w:ascii="Sylfaen" w:hAnsi="Sylfaen"/>
          <w:sz w:val="24"/>
          <w:szCs w:val="24"/>
        </w:rPr>
        <w:t>Հղումներ գրականությանը</w:t>
      </w:r>
    </w:p>
    <w:p w14:paraId="3FA36DA2" w14:textId="77777777" w:rsidR="008C76E0" w:rsidRPr="00F06D43" w:rsidRDefault="008C76E0">
      <w:pPr>
        <w:widowControl/>
        <w:rPr>
          <w:rFonts w:ascii="Sylfaen" w:hAnsi="Sylfaen"/>
          <w:sz w:val="24"/>
          <w:szCs w:val="24"/>
        </w:rPr>
      </w:pPr>
    </w:p>
    <w:p w14:paraId="7BB1AFCC" w14:textId="77777777" w:rsidR="002978B0" w:rsidRDefault="002978B0">
      <w:pPr>
        <w:widowControl/>
        <w:rPr>
          <w:rFonts w:ascii="Sylfaen" w:hAnsi="Sylfaen"/>
          <w:sz w:val="24"/>
          <w:szCs w:val="24"/>
        </w:rPr>
      </w:pPr>
      <w:r>
        <w:rPr>
          <w:rFonts w:ascii="Sylfaen" w:hAnsi="Sylfaen"/>
          <w:sz w:val="24"/>
          <w:szCs w:val="24"/>
        </w:rPr>
        <w:br w:type="page"/>
      </w:r>
    </w:p>
    <w:p w14:paraId="6AB21E0B" w14:textId="77777777" w:rsidR="008C76E0" w:rsidRPr="00BD7577" w:rsidRDefault="008C76E0" w:rsidP="00297352">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VII. Պարզաբանում՝ գրանցման դոսյեի փաստաթղթերի տեղակայման</w:t>
      </w:r>
      <w:r w:rsidRPr="008C76E0">
        <w:rPr>
          <w:rFonts w:ascii="Sylfaen" w:hAnsi="Sylfaen"/>
          <w:sz w:val="24"/>
          <w:szCs w:val="24"/>
        </w:rPr>
        <w:t> </w:t>
      </w:r>
      <w:r w:rsidRPr="00BD7577">
        <w:rPr>
          <w:rFonts w:ascii="Sylfaen" w:hAnsi="Sylfaen"/>
          <w:sz w:val="24"/>
          <w:szCs w:val="24"/>
        </w:rPr>
        <w:t>վերաբերյալ</w:t>
      </w:r>
    </w:p>
    <w:p w14:paraId="4E376C6E" w14:textId="77777777" w:rsidR="008C76E0" w:rsidRPr="00BD7577" w:rsidRDefault="008C76E0" w:rsidP="00297352">
      <w:pPr>
        <w:spacing w:after="160" w:line="360" w:lineRule="auto"/>
        <w:rPr>
          <w:rFonts w:ascii="Sylfaen" w:hAnsi="Sylfaen"/>
          <w:sz w:val="24"/>
          <w:szCs w:val="24"/>
        </w:rPr>
      </w:pPr>
    </w:p>
    <w:p w14:paraId="3F478909" w14:textId="77777777" w:rsidR="008C76E0" w:rsidRPr="00BD7577" w:rsidRDefault="008C76E0" w:rsidP="00297352">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1. Փաստաթղթի սահմանումը</w:t>
      </w:r>
    </w:p>
    <w:p w14:paraId="3660E647"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Փաստաթղթերը թղթային կրիչով ներկայացնելիս` փաստաթուղթ ասելով հասկանում ենք հաջորդականորեն համարակալված </w:t>
      </w:r>
      <w:r w:rsidR="00C54D75">
        <w:rPr>
          <w:rFonts w:ascii="Sylfaen" w:hAnsi="Sylfaen"/>
          <w:sz w:val="24"/>
          <w:szCs w:val="24"/>
        </w:rPr>
        <w:t>և</w:t>
      </w:r>
      <w:r w:rsidRPr="00BD7577">
        <w:rPr>
          <w:rFonts w:ascii="Sylfaen" w:hAnsi="Sylfaen"/>
          <w:sz w:val="24"/>
          <w:szCs w:val="24"/>
        </w:rPr>
        <w:t xml:space="preserve"> մյուս փաստաթղթերից </w:t>
      </w:r>
      <w:r w:rsidRPr="00BD7577">
        <w:rPr>
          <w:rFonts w:ascii="Sylfaen" w:hAnsi="Sylfaen"/>
          <w:spacing w:val="-6"/>
          <w:sz w:val="24"/>
          <w:szCs w:val="24"/>
        </w:rPr>
        <w:t>բաժանիչի միջոցով բաժանված բազմաթիվ էջեր (տե՛ս Կանոնների թիվ 4 հավելվածում «Փաստաթղթերի</w:t>
      </w:r>
      <w:r w:rsidRPr="00BD7577">
        <w:rPr>
          <w:rFonts w:ascii="Sylfaen" w:hAnsi="Sylfaen"/>
          <w:sz w:val="24"/>
          <w:szCs w:val="24"/>
        </w:rPr>
        <w:t xml:space="preserve"> համարակալում </w:t>
      </w:r>
      <w:r w:rsidR="00C54D75">
        <w:rPr>
          <w:rFonts w:ascii="Sylfaen" w:hAnsi="Sylfaen"/>
          <w:sz w:val="24"/>
          <w:szCs w:val="24"/>
        </w:rPr>
        <w:t>և</w:t>
      </w:r>
      <w:r w:rsidRPr="00BD7577">
        <w:rPr>
          <w:rFonts w:ascii="Sylfaen" w:hAnsi="Sylfaen"/>
          <w:sz w:val="24"/>
          <w:szCs w:val="24"/>
        </w:rPr>
        <w:t xml:space="preserve"> բաժանում» բաժինը): Էլեկտրոնային կրիչով ներկայացնելիս փաստաթուղթը կարող է հավասարեցվել ֆայլի: Փաստաթղթերը թղթային </w:t>
      </w:r>
      <w:r w:rsidR="00C54D75">
        <w:rPr>
          <w:rFonts w:ascii="Sylfaen" w:hAnsi="Sylfaen"/>
          <w:sz w:val="24"/>
          <w:szCs w:val="24"/>
        </w:rPr>
        <w:t>և</w:t>
      </w:r>
      <w:r w:rsidRPr="00BD7577">
        <w:rPr>
          <w:rFonts w:ascii="Sylfaen" w:hAnsi="Sylfaen"/>
          <w:sz w:val="24"/>
          <w:szCs w:val="24"/>
        </w:rPr>
        <w:t xml:space="preserve"> (կամ) էլեկտրոնային կրիչով ներկայացնելիս մանրամասնեցումը պետք է միանման լինի, սակայն թղթային դոսյեն էլեկտրոնայինից առաջ վերափոխելիս մանրամասնեցման մեջ կարող են որոշակի փոփոխություններ պահանջվել՝ կապված կենսական պարբերաշրջանի շարունակական կառավարման հետ: Փաստաթղթերն էլեկտրոնային կրիչով ներկայացնելիս նոր ֆայլը պետք է սկսվի այն նույն տեղից, որտեղից թղթային դոսյեում փաստաթղթերը բաժանված են բաժանիչներով: </w:t>
      </w:r>
    </w:p>
    <w:p w14:paraId="3E6EFAA0"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Մեկ կամ մի քանի փաստաթղթերի կամ ֆայլերի տեղին լինելը որոշելիս անհրաժեշտ է հաշվի առնել, որ մոտեցումներից որ</w:t>
      </w:r>
      <w:r w:rsidR="00C54D75">
        <w:rPr>
          <w:rFonts w:ascii="Sylfaen" w:hAnsi="Sylfaen"/>
          <w:sz w:val="24"/>
          <w:szCs w:val="24"/>
        </w:rPr>
        <w:t>և</w:t>
      </w:r>
      <w:r w:rsidRPr="00BD7577">
        <w:rPr>
          <w:rFonts w:ascii="Sylfaen" w:hAnsi="Sylfaen"/>
          <w:sz w:val="24"/>
          <w:szCs w:val="24"/>
        </w:rPr>
        <w:t>է մեկն ընտրելու դեպքում անհրաժեշտ է դրան հետ</w:t>
      </w:r>
      <w:r w:rsidR="00C54D75">
        <w:rPr>
          <w:rFonts w:ascii="Sylfaen" w:hAnsi="Sylfaen"/>
          <w:sz w:val="24"/>
          <w:szCs w:val="24"/>
        </w:rPr>
        <w:t>և</w:t>
      </w:r>
      <w:r w:rsidRPr="00BD7577">
        <w:rPr>
          <w:rFonts w:ascii="Sylfaen" w:hAnsi="Sylfaen"/>
          <w:sz w:val="24"/>
          <w:szCs w:val="24"/>
        </w:rPr>
        <w:t>ել դոսյեի կենսական պարբերաշրջանի տ</w:t>
      </w:r>
      <w:r w:rsidR="00C54D75">
        <w:rPr>
          <w:rFonts w:ascii="Sylfaen" w:hAnsi="Sylfaen"/>
          <w:sz w:val="24"/>
          <w:szCs w:val="24"/>
        </w:rPr>
        <w:t>և</w:t>
      </w:r>
      <w:r w:rsidRPr="00BD7577">
        <w:rPr>
          <w:rFonts w:ascii="Sylfaen" w:hAnsi="Sylfaen"/>
          <w:sz w:val="24"/>
          <w:szCs w:val="24"/>
        </w:rPr>
        <w:t xml:space="preserve">ողության ամբողջ ընթացքում, քանի որ տեղեկությունների փոփոխության դեպքում փաստաթղթերը (ֆայլերը) անհրաժեշտ է ամբողջությամբ փոխարինել: </w:t>
      </w:r>
    </w:p>
    <w:p w14:paraId="429194E1"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pacing w:val="-4"/>
          <w:sz w:val="24"/>
          <w:szCs w:val="24"/>
        </w:rPr>
        <w:t>Ստոր</w:t>
      </w:r>
      <w:r w:rsidR="00C54D75">
        <w:rPr>
          <w:rFonts w:ascii="Sylfaen" w:hAnsi="Sylfaen"/>
          <w:spacing w:val="-4"/>
          <w:sz w:val="24"/>
          <w:szCs w:val="24"/>
        </w:rPr>
        <w:t>և</w:t>
      </w:r>
      <w:r w:rsidRPr="00BD7577">
        <w:rPr>
          <w:rFonts w:ascii="Sylfaen" w:hAnsi="Sylfaen"/>
          <w:spacing w:val="-4"/>
          <w:sz w:val="24"/>
          <w:szCs w:val="24"/>
        </w:rPr>
        <w:t xml:space="preserve"> ներկայացված աղյուսակները նկարագրում են ԸՏՓ-ի </w:t>
      </w:r>
      <w:r w:rsidR="00C54D75">
        <w:rPr>
          <w:rFonts w:ascii="Sylfaen" w:hAnsi="Sylfaen"/>
          <w:spacing w:val="-4"/>
          <w:sz w:val="24"/>
          <w:szCs w:val="24"/>
        </w:rPr>
        <w:t>և</w:t>
      </w:r>
      <w:r w:rsidRPr="00BD7577">
        <w:rPr>
          <w:rFonts w:ascii="Sylfaen" w:hAnsi="Sylfaen"/>
          <w:spacing w:val="-4"/>
          <w:sz w:val="24"/>
          <w:szCs w:val="24"/>
        </w:rPr>
        <w:t xml:space="preserve"> (կամ) էԸՏՓ-ի ստորակարգության</w:t>
      </w:r>
      <w:r w:rsidRPr="00BD7577">
        <w:rPr>
          <w:rFonts w:ascii="Sylfaen" w:hAnsi="Sylfaen"/>
          <w:sz w:val="24"/>
          <w:szCs w:val="24"/>
        </w:rPr>
        <w:t xml:space="preserve"> այն մակարդակները, որոնց վրա հարկ է տեղադրել փաստաթղթերը (ֆայլերը), ինչպես նա</w:t>
      </w:r>
      <w:r w:rsidR="00C54D75">
        <w:rPr>
          <w:rFonts w:ascii="Sylfaen" w:hAnsi="Sylfaen"/>
          <w:sz w:val="24"/>
          <w:szCs w:val="24"/>
        </w:rPr>
        <w:t>և</w:t>
      </w:r>
      <w:r w:rsidRPr="00BD7577">
        <w:rPr>
          <w:rFonts w:ascii="Sylfaen" w:hAnsi="Sylfaen"/>
          <w:sz w:val="24"/>
          <w:szCs w:val="24"/>
        </w:rPr>
        <w:t xml:space="preserve"> յուրաքանչյուր տեղում մեկ կամ մի քանի փաստաթղթերի անհրաժեշտությունը: Նկարագրվել են ԸՏՓ-ի </w:t>
      </w:r>
      <w:r w:rsidR="00C54D75">
        <w:rPr>
          <w:rFonts w:ascii="Sylfaen" w:hAnsi="Sylfaen"/>
          <w:sz w:val="24"/>
          <w:szCs w:val="24"/>
        </w:rPr>
        <w:t>և</w:t>
      </w:r>
      <w:r w:rsidRPr="00BD7577">
        <w:rPr>
          <w:rFonts w:ascii="Sylfaen" w:hAnsi="Sylfaen"/>
          <w:sz w:val="24"/>
          <w:szCs w:val="24"/>
        </w:rPr>
        <w:t xml:space="preserve"> (կամ) էԸՏՓ-ի բոլոր բաժինները, սակայն ոչ բոլոր բաժինները կարող են կիրառվել առանձին դոսյեների համար:</w:t>
      </w:r>
    </w:p>
    <w:p w14:paraId="660963E3" w14:textId="77777777" w:rsidR="00827A4D" w:rsidRPr="00E15E7D" w:rsidRDefault="00827A4D">
      <w:pPr>
        <w:widowControl/>
        <w:rPr>
          <w:rFonts w:ascii="Sylfaen" w:eastAsia="Times New Roman" w:hAnsi="Sylfaen" w:cs="Times New Roman"/>
          <w:sz w:val="24"/>
          <w:szCs w:val="24"/>
        </w:rPr>
        <w:sectPr w:rsidR="00827A4D" w:rsidRPr="00E15E7D" w:rsidSect="00C31D56">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7" w:h="16839" w:code="9"/>
          <w:pgMar w:top="1418" w:right="1418" w:bottom="1418" w:left="1418" w:header="0" w:footer="693" w:gutter="0"/>
          <w:pgNumType w:start="1"/>
          <w:cols w:space="720"/>
          <w:noEndnote/>
          <w:titlePg/>
          <w:docGrid w:linePitch="360"/>
        </w:sectPr>
      </w:pPr>
    </w:p>
    <w:p w14:paraId="1149E7BD" w14:textId="77777777" w:rsidR="00827A4D" w:rsidRPr="00827A4D" w:rsidRDefault="008C76E0" w:rsidP="00827A4D">
      <w:pPr>
        <w:tabs>
          <w:tab w:val="left" w:pos="1134"/>
        </w:tabs>
        <w:ind w:right="39" w:firstLine="567"/>
        <w:jc w:val="both"/>
        <w:rPr>
          <w:rFonts w:ascii="Sylfaen" w:hAnsi="Sylfaen"/>
          <w:sz w:val="24"/>
          <w:szCs w:val="24"/>
          <w:lang w:val="en-US"/>
        </w:rPr>
      </w:pPr>
      <w:r>
        <w:rPr>
          <w:rFonts w:ascii="Sylfaen" w:eastAsia="Times New Roman" w:hAnsi="Sylfaen" w:cs="Times New Roman"/>
          <w:sz w:val="24"/>
          <w:szCs w:val="24"/>
          <w:lang w:val="en-US"/>
        </w:rPr>
        <w:lastRenderedPageBreak/>
        <w:t>2.</w:t>
      </w:r>
      <w:r>
        <w:rPr>
          <w:rFonts w:ascii="Sylfaen" w:eastAsia="Times New Roman" w:hAnsi="Sylfaen" w:cs="Times New Roman"/>
          <w:sz w:val="24"/>
          <w:szCs w:val="24"/>
          <w:lang w:val="en-US"/>
        </w:rPr>
        <w:tab/>
      </w:r>
      <w:r w:rsidRPr="00BD7577">
        <w:rPr>
          <w:rFonts w:ascii="Sylfaen" w:hAnsi="Sylfaen"/>
          <w:sz w:val="24"/>
          <w:szCs w:val="24"/>
        </w:rPr>
        <w:t>Մոդուլ 2</w:t>
      </w:r>
    </w:p>
    <w:tbl>
      <w:tblPr>
        <w:tblW w:w="9571" w:type="dxa"/>
        <w:jc w:val="center"/>
        <w:tblLayout w:type="fixed"/>
        <w:tblCellMar>
          <w:left w:w="0" w:type="dxa"/>
          <w:right w:w="0" w:type="dxa"/>
        </w:tblCellMar>
        <w:tblLook w:val="01E0" w:firstRow="1" w:lastRow="1" w:firstColumn="1" w:lastColumn="1" w:noHBand="0" w:noVBand="0"/>
      </w:tblPr>
      <w:tblGrid>
        <w:gridCol w:w="1351"/>
        <w:gridCol w:w="1752"/>
        <w:gridCol w:w="2453"/>
        <w:gridCol w:w="4015"/>
      </w:tblGrid>
      <w:tr w:rsidR="008C76E0" w:rsidRPr="00BD7577" w14:paraId="71BCCA26" w14:textId="77777777" w:rsidTr="00827A4D">
        <w:trPr>
          <w:jc w:val="center"/>
        </w:trPr>
        <w:tc>
          <w:tcPr>
            <w:tcW w:w="1351" w:type="dxa"/>
            <w:vMerge w:val="restart"/>
            <w:tcBorders>
              <w:top w:val="single" w:sz="4" w:space="0" w:color="000000"/>
              <w:left w:val="single" w:sz="4" w:space="0" w:color="000000"/>
              <w:right w:val="single" w:sz="4" w:space="0" w:color="000000"/>
            </w:tcBorders>
          </w:tcPr>
          <w:p w14:paraId="5B4C033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Մոդուլ 2</w:t>
            </w:r>
          </w:p>
        </w:tc>
        <w:tc>
          <w:tcPr>
            <w:tcW w:w="1752" w:type="dxa"/>
            <w:tcBorders>
              <w:top w:val="single" w:sz="4" w:space="0" w:color="000000"/>
              <w:left w:val="single" w:sz="4" w:space="0" w:color="000000"/>
              <w:bottom w:val="single" w:sz="4" w:space="0" w:color="000000"/>
              <w:right w:val="single" w:sz="4" w:space="0" w:color="000000"/>
            </w:tcBorders>
          </w:tcPr>
          <w:p w14:paraId="0E235E3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2.1</w:t>
            </w:r>
          </w:p>
        </w:tc>
        <w:tc>
          <w:tcPr>
            <w:tcW w:w="6468" w:type="dxa"/>
            <w:gridSpan w:val="2"/>
            <w:tcBorders>
              <w:top w:val="single" w:sz="4" w:space="0" w:color="000000"/>
              <w:left w:val="single" w:sz="4" w:space="0" w:color="000000"/>
              <w:bottom w:val="single" w:sz="4" w:space="0" w:color="000000"/>
              <w:right w:val="single" w:sz="4" w:space="0" w:color="000000"/>
            </w:tcBorders>
          </w:tcPr>
          <w:p w14:paraId="7DE26800" w14:textId="77777777" w:rsidR="008C76E0" w:rsidRPr="00BD7577" w:rsidRDefault="008C76E0" w:rsidP="008C76E0">
            <w:pPr>
              <w:spacing w:after="120" w:line="240" w:lineRule="auto"/>
              <w:rPr>
                <w:rFonts w:ascii="Sylfaen" w:hAnsi="Sylfaen"/>
                <w:sz w:val="24"/>
                <w:szCs w:val="24"/>
              </w:rPr>
            </w:pPr>
          </w:p>
        </w:tc>
      </w:tr>
      <w:tr w:rsidR="008C76E0" w:rsidRPr="00BD7577" w14:paraId="6615DA2C" w14:textId="77777777" w:rsidTr="00827A4D">
        <w:trPr>
          <w:jc w:val="center"/>
        </w:trPr>
        <w:tc>
          <w:tcPr>
            <w:tcW w:w="1351" w:type="dxa"/>
            <w:vMerge/>
            <w:tcBorders>
              <w:left w:val="single" w:sz="4" w:space="0" w:color="000000"/>
              <w:right w:val="single" w:sz="4" w:space="0" w:color="000000"/>
            </w:tcBorders>
          </w:tcPr>
          <w:p w14:paraId="72A40146"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18D1C2CF"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2.2</w:t>
            </w:r>
          </w:p>
        </w:tc>
        <w:tc>
          <w:tcPr>
            <w:tcW w:w="2453" w:type="dxa"/>
            <w:tcBorders>
              <w:top w:val="single" w:sz="4" w:space="0" w:color="000000"/>
              <w:left w:val="single" w:sz="4" w:space="0" w:color="000000"/>
              <w:bottom w:val="single" w:sz="4" w:space="0" w:color="000000"/>
              <w:right w:val="single" w:sz="4" w:space="0" w:color="000000"/>
            </w:tcBorders>
          </w:tcPr>
          <w:p w14:paraId="422B33B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Ներածություն</w:t>
            </w:r>
          </w:p>
        </w:tc>
        <w:tc>
          <w:tcPr>
            <w:tcW w:w="4015" w:type="dxa"/>
            <w:tcBorders>
              <w:top w:val="single" w:sz="4" w:space="0" w:color="000000"/>
              <w:left w:val="single" w:sz="4" w:space="0" w:color="000000"/>
              <w:bottom w:val="single" w:sz="4" w:space="0" w:color="000000"/>
              <w:right w:val="single" w:sz="4" w:space="0" w:color="000000"/>
            </w:tcBorders>
          </w:tcPr>
          <w:p w14:paraId="0E6C26B6" w14:textId="77777777" w:rsidR="008C76E0" w:rsidRPr="00BD7577" w:rsidRDefault="008C76E0" w:rsidP="008C76E0">
            <w:pPr>
              <w:spacing w:after="120" w:line="240" w:lineRule="auto"/>
              <w:rPr>
                <w:rFonts w:ascii="Sylfaen" w:hAnsi="Sylfaen"/>
                <w:sz w:val="24"/>
                <w:szCs w:val="24"/>
              </w:rPr>
            </w:pPr>
          </w:p>
        </w:tc>
      </w:tr>
      <w:tr w:rsidR="008C76E0" w:rsidRPr="00BD7577" w14:paraId="30C0976A" w14:textId="77777777" w:rsidTr="00827A4D">
        <w:trPr>
          <w:jc w:val="center"/>
        </w:trPr>
        <w:tc>
          <w:tcPr>
            <w:tcW w:w="1351" w:type="dxa"/>
            <w:vMerge/>
            <w:tcBorders>
              <w:left w:val="single" w:sz="4" w:space="0" w:color="000000"/>
              <w:right w:val="single" w:sz="4" w:space="0" w:color="000000"/>
            </w:tcBorders>
          </w:tcPr>
          <w:p w14:paraId="6F5FC3D1"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shd w:val="clear" w:color="auto" w:fill="ECECEC"/>
          </w:tcPr>
          <w:p w14:paraId="47E8101A" w14:textId="77777777" w:rsidR="008C76E0" w:rsidRPr="00827A4D" w:rsidRDefault="008C76E0" w:rsidP="00827A4D">
            <w:pPr>
              <w:spacing w:after="120" w:line="240" w:lineRule="auto"/>
              <w:ind w:left="100" w:right="-20"/>
              <w:rPr>
                <w:rFonts w:ascii="Sylfaen" w:eastAsia="Times New Roman" w:hAnsi="Sylfaen" w:cs="Times New Roman"/>
                <w:sz w:val="24"/>
                <w:szCs w:val="24"/>
                <w:lang w:val="en-US"/>
              </w:rPr>
            </w:pPr>
            <w:r w:rsidRPr="004F6471">
              <w:rPr>
                <w:rFonts w:ascii="Sylfaen" w:hAnsi="Sylfaen"/>
                <w:sz w:val="24"/>
                <w:szCs w:val="24"/>
              </w:rPr>
              <w:t>2.3</w:t>
            </w:r>
            <w:r w:rsidR="00827A4D" w:rsidRPr="004F6471">
              <w:rPr>
                <w:rStyle w:val="FootnoteReference"/>
                <w:rFonts w:ascii="Sylfaen" w:hAnsi="Sylfaen"/>
                <w:sz w:val="24"/>
                <w:szCs w:val="24"/>
              </w:rPr>
              <w:footnoteReference w:id="28"/>
            </w:r>
          </w:p>
        </w:tc>
        <w:tc>
          <w:tcPr>
            <w:tcW w:w="2453" w:type="dxa"/>
            <w:vMerge w:val="restart"/>
            <w:tcBorders>
              <w:top w:val="single" w:sz="4" w:space="0" w:color="000000"/>
              <w:left w:val="single" w:sz="4" w:space="0" w:color="000000"/>
              <w:right w:val="single" w:sz="4" w:space="0" w:color="000000"/>
            </w:tcBorders>
          </w:tcPr>
          <w:p w14:paraId="2CBE93EE" w14:textId="77777777" w:rsidR="008C76E0" w:rsidRPr="00827A4D" w:rsidRDefault="008C76E0" w:rsidP="00827A4D">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2.3.S</w:t>
            </w:r>
            <w:r w:rsidR="00827A4D" w:rsidRPr="004F6471">
              <w:rPr>
                <w:rStyle w:val="FootnoteReference"/>
                <w:rFonts w:ascii="Sylfaen" w:hAnsi="Sylfaen"/>
                <w:sz w:val="24"/>
                <w:szCs w:val="24"/>
              </w:rPr>
              <w:footnoteReference w:id="29"/>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263DED2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2.3.S.1</w:t>
            </w:r>
          </w:p>
        </w:tc>
      </w:tr>
      <w:tr w:rsidR="008C76E0" w:rsidRPr="00BD7577" w14:paraId="571556A0" w14:textId="77777777" w:rsidTr="00827A4D">
        <w:trPr>
          <w:jc w:val="center"/>
        </w:trPr>
        <w:tc>
          <w:tcPr>
            <w:tcW w:w="1351" w:type="dxa"/>
            <w:vMerge/>
            <w:tcBorders>
              <w:left w:val="single" w:sz="4" w:space="0" w:color="000000"/>
              <w:right w:val="single" w:sz="4" w:space="0" w:color="000000"/>
            </w:tcBorders>
          </w:tcPr>
          <w:p w14:paraId="677D7C98"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421D12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0626BC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ACDDFF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2.3.S.2</w:t>
            </w:r>
          </w:p>
        </w:tc>
      </w:tr>
      <w:tr w:rsidR="008C76E0" w:rsidRPr="00BD7577" w14:paraId="1B5CED6A" w14:textId="77777777" w:rsidTr="00827A4D">
        <w:trPr>
          <w:jc w:val="center"/>
        </w:trPr>
        <w:tc>
          <w:tcPr>
            <w:tcW w:w="1351" w:type="dxa"/>
            <w:vMerge/>
            <w:tcBorders>
              <w:left w:val="single" w:sz="4" w:space="0" w:color="000000"/>
              <w:right w:val="single" w:sz="4" w:space="0" w:color="000000"/>
            </w:tcBorders>
          </w:tcPr>
          <w:p w14:paraId="68A920C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3B5C28C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5995E928"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71E959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2.3.S.3</w:t>
            </w:r>
          </w:p>
        </w:tc>
      </w:tr>
      <w:tr w:rsidR="008C76E0" w:rsidRPr="00BD7577" w14:paraId="2533E86A" w14:textId="77777777" w:rsidTr="00827A4D">
        <w:trPr>
          <w:jc w:val="center"/>
        </w:trPr>
        <w:tc>
          <w:tcPr>
            <w:tcW w:w="1351" w:type="dxa"/>
            <w:vMerge/>
            <w:tcBorders>
              <w:left w:val="single" w:sz="4" w:space="0" w:color="000000"/>
              <w:right w:val="single" w:sz="4" w:space="0" w:color="000000"/>
            </w:tcBorders>
          </w:tcPr>
          <w:p w14:paraId="570CBA26"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E4E17F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4F99E71"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74034B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2.3.S.4</w:t>
            </w:r>
          </w:p>
        </w:tc>
      </w:tr>
      <w:tr w:rsidR="008C76E0" w:rsidRPr="00BD7577" w14:paraId="73F7688E" w14:textId="77777777" w:rsidTr="00827A4D">
        <w:trPr>
          <w:jc w:val="center"/>
        </w:trPr>
        <w:tc>
          <w:tcPr>
            <w:tcW w:w="1351" w:type="dxa"/>
            <w:vMerge/>
            <w:tcBorders>
              <w:left w:val="single" w:sz="4" w:space="0" w:color="000000"/>
              <w:right w:val="single" w:sz="4" w:space="0" w:color="000000"/>
            </w:tcBorders>
          </w:tcPr>
          <w:p w14:paraId="5367F55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63CB5DE"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7219F19E"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85730C8"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2.3.S.5</w:t>
            </w:r>
          </w:p>
        </w:tc>
      </w:tr>
      <w:tr w:rsidR="008C76E0" w:rsidRPr="00BD7577" w14:paraId="5F379758" w14:textId="77777777" w:rsidTr="00827A4D">
        <w:trPr>
          <w:jc w:val="center"/>
        </w:trPr>
        <w:tc>
          <w:tcPr>
            <w:tcW w:w="1351" w:type="dxa"/>
            <w:vMerge/>
            <w:tcBorders>
              <w:left w:val="single" w:sz="4" w:space="0" w:color="000000"/>
              <w:right w:val="single" w:sz="4" w:space="0" w:color="000000"/>
            </w:tcBorders>
          </w:tcPr>
          <w:p w14:paraId="7573121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A8AA632"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1416A6E8"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40DC47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2.3.S.6</w:t>
            </w:r>
          </w:p>
        </w:tc>
      </w:tr>
      <w:tr w:rsidR="008C76E0" w:rsidRPr="00BD7577" w14:paraId="19889F75" w14:textId="77777777" w:rsidTr="00827A4D">
        <w:trPr>
          <w:jc w:val="center"/>
        </w:trPr>
        <w:tc>
          <w:tcPr>
            <w:tcW w:w="1351" w:type="dxa"/>
            <w:vMerge/>
            <w:tcBorders>
              <w:left w:val="single" w:sz="4" w:space="0" w:color="000000"/>
              <w:right w:val="single" w:sz="4" w:space="0" w:color="000000"/>
            </w:tcBorders>
          </w:tcPr>
          <w:p w14:paraId="72B6040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4BC654F1"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12B582E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86AF01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2.3.S.7</w:t>
            </w:r>
          </w:p>
        </w:tc>
      </w:tr>
      <w:tr w:rsidR="008C76E0" w:rsidRPr="00BD7577" w14:paraId="6C06C088" w14:textId="77777777" w:rsidTr="00827A4D">
        <w:trPr>
          <w:jc w:val="center"/>
        </w:trPr>
        <w:tc>
          <w:tcPr>
            <w:tcW w:w="1351" w:type="dxa"/>
            <w:vMerge/>
            <w:tcBorders>
              <w:left w:val="single" w:sz="4" w:space="0" w:color="000000"/>
              <w:right w:val="single" w:sz="4" w:space="0" w:color="000000"/>
            </w:tcBorders>
          </w:tcPr>
          <w:p w14:paraId="295A18D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077683E" w14:textId="77777777" w:rsidR="008C76E0" w:rsidRPr="00BD7577" w:rsidRDefault="008C76E0" w:rsidP="008C76E0">
            <w:pPr>
              <w:spacing w:after="120" w:line="240" w:lineRule="auto"/>
              <w:rPr>
                <w:rFonts w:ascii="Sylfaen" w:hAnsi="Sylfaen"/>
                <w:sz w:val="24"/>
                <w:szCs w:val="24"/>
              </w:rPr>
            </w:pPr>
          </w:p>
        </w:tc>
        <w:tc>
          <w:tcPr>
            <w:tcW w:w="2453" w:type="dxa"/>
            <w:vMerge w:val="restart"/>
            <w:tcBorders>
              <w:top w:val="single" w:sz="4" w:space="0" w:color="000000"/>
              <w:left w:val="single" w:sz="4" w:space="0" w:color="000000"/>
              <w:right w:val="single" w:sz="4" w:space="0" w:color="000000"/>
            </w:tcBorders>
          </w:tcPr>
          <w:p w14:paraId="7FE6C339" w14:textId="77777777" w:rsidR="008C76E0" w:rsidRPr="00827A4D" w:rsidRDefault="008C76E0" w:rsidP="00827A4D">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2.3.P</w:t>
            </w:r>
            <w:r w:rsidR="0081587C" w:rsidRPr="004F6471">
              <w:rPr>
                <w:rStyle w:val="FootnoteReference"/>
                <w:rFonts w:ascii="Sylfaen" w:hAnsi="Sylfaen"/>
                <w:sz w:val="24"/>
                <w:szCs w:val="24"/>
              </w:rPr>
              <w:footnoteReference w:id="30"/>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2DC647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2.3.P.1</w:t>
            </w:r>
          </w:p>
        </w:tc>
      </w:tr>
      <w:tr w:rsidR="008C76E0" w:rsidRPr="00BD7577" w14:paraId="123D4FE6" w14:textId="77777777" w:rsidTr="00827A4D">
        <w:trPr>
          <w:jc w:val="center"/>
        </w:trPr>
        <w:tc>
          <w:tcPr>
            <w:tcW w:w="1351" w:type="dxa"/>
            <w:vMerge/>
            <w:tcBorders>
              <w:left w:val="single" w:sz="4" w:space="0" w:color="000000"/>
              <w:right w:val="single" w:sz="4" w:space="0" w:color="000000"/>
            </w:tcBorders>
          </w:tcPr>
          <w:p w14:paraId="5A150E0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74C8F13F"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5BDBE6A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1E2BD2A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2.3.P.2</w:t>
            </w:r>
          </w:p>
        </w:tc>
      </w:tr>
      <w:tr w:rsidR="008C76E0" w:rsidRPr="00BD7577" w14:paraId="30E431AC" w14:textId="77777777" w:rsidTr="00827A4D">
        <w:trPr>
          <w:jc w:val="center"/>
        </w:trPr>
        <w:tc>
          <w:tcPr>
            <w:tcW w:w="1351" w:type="dxa"/>
            <w:vMerge/>
            <w:tcBorders>
              <w:left w:val="single" w:sz="4" w:space="0" w:color="000000"/>
              <w:right w:val="single" w:sz="4" w:space="0" w:color="000000"/>
            </w:tcBorders>
          </w:tcPr>
          <w:p w14:paraId="552EEE5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47B4E6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97AF55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D221DF6"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2.3.P.3</w:t>
            </w:r>
          </w:p>
        </w:tc>
      </w:tr>
      <w:tr w:rsidR="008C76E0" w:rsidRPr="00BD7577" w14:paraId="7B599E38" w14:textId="77777777" w:rsidTr="00827A4D">
        <w:trPr>
          <w:jc w:val="center"/>
        </w:trPr>
        <w:tc>
          <w:tcPr>
            <w:tcW w:w="1351" w:type="dxa"/>
            <w:vMerge/>
            <w:tcBorders>
              <w:left w:val="single" w:sz="4" w:space="0" w:color="000000"/>
              <w:right w:val="single" w:sz="4" w:space="0" w:color="000000"/>
            </w:tcBorders>
          </w:tcPr>
          <w:p w14:paraId="3D525C04"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BA0D8B3"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4A61D4D"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73BED76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2.3.P.4</w:t>
            </w:r>
          </w:p>
        </w:tc>
      </w:tr>
      <w:tr w:rsidR="008C76E0" w:rsidRPr="00BD7577" w14:paraId="640EE394" w14:textId="77777777" w:rsidTr="00827A4D">
        <w:trPr>
          <w:jc w:val="center"/>
        </w:trPr>
        <w:tc>
          <w:tcPr>
            <w:tcW w:w="1351" w:type="dxa"/>
            <w:vMerge/>
            <w:tcBorders>
              <w:left w:val="single" w:sz="4" w:space="0" w:color="000000"/>
              <w:right w:val="single" w:sz="4" w:space="0" w:color="000000"/>
            </w:tcBorders>
          </w:tcPr>
          <w:p w14:paraId="3817BF7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218C1C0"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ACD98D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0C6D9C3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2.3.P.5</w:t>
            </w:r>
          </w:p>
        </w:tc>
      </w:tr>
      <w:tr w:rsidR="008C76E0" w:rsidRPr="00BD7577" w14:paraId="524D0869" w14:textId="77777777" w:rsidTr="00827A4D">
        <w:trPr>
          <w:jc w:val="center"/>
        </w:trPr>
        <w:tc>
          <w:tcPr>
            <w:tcW w:w="1351" w:type="dxa"/>
            <w:vMerge/>
            <w:tcBorders>
              <w:left w:val="single" w:sz="4" w:space="0" w:color="000000"/>
              <w:right w:val="single" w:sz="4" w:space="0" w:color="000000"/>
            </w:tcBorders>
          </w:tcPr>
          <w:p w14:paraId="2A3D8E2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682EB2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784C6A2"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7BC511E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2.3.P.6</w:t>
            </w:r>
          </w:p>
        </w:tc>
      </w:tr>
      <w:tr w:rsidR="008C76E0" w:rsidRPr="00BD7577" w14:paraId="3F13658B" w14:textId="77777777" w:rsidTr="00827A4D">
        <w:trPr>
          <w:jc w:val="center"/>
        </w:trPr>
        <w:tc>
          <w:tcPr>
            <w:tcW w:w="1351" w:type="dxa"/>
            <w:vMerge/>
            <w:tcBorders>
              <w:left w:val="single" w:sz="4" w:space="0" w:color="000000"/>
              <w:right w:val="single" w:sz="4" w:space="0" w:color="000000"/>
            </w:tcBorders>
          </w:tcPr>
          <w:p w14:paraId="70488C38"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2A3825A6"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47091AF6"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35C180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2.3.P.7</w:t>
            </w:r>
          </w:p>
        </w:tc>
      </w:tr>
      <w:tr w:rsidR="008C76E0" w:rsidRPr="00BD7577" w14:paraId="2C473B21" w14:textId="77777777" w:rsidTr="00827A4D">
        <w:trPr>
          <w:jc w:val="center"/>
        </w:trPr>
        <w:tc>
          <w:tcPr>
            <w:tcW w:w="1351" w:type="dxa"/>
            <w:vMerge/>
            <w:tcBorders>
              <w:left w:val="single" w:sz="4" w:space="0" w:color="000000"/>
              <w:right w:val="single" w:sz="4" w:space="0" w:color="000000"/>
            </w:tcBorders>
          </w:tcPr>
          <w:p w14:paraId="662B4F86"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2696B33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7E659E77"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1B7D2D80"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2.3.P.8</w:t>
            </w:r>
          </w:p>
        </w:tc>
      </w:tr>
      <w:tr w:rsidR="008C76E0" w:rsidRPr="00BD7577" w14:paraId="4B5B6C01" w14:textId="77777777" w:rsidTr="00827A4D">
        <w:trPr>
          <w:jc w:val="center"/>
        </w:trPr>
        <w:tc>
          <w:tcPr>
            <w:tcW w:w="1351" w:type="dxa"/>
            <w:vMerge/>
            <w:tcBorders>
              <w:left w:val="single" w:sz="4" w:space="0" w:color="000000"/>
              <w:right w:val="single" w:sz="4" w:space="0" w:color="000000"/>
            </w:tcBorders>
          </w:tcPr>
          <w:p w14:paraId="43B41A3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6F5F40F1" w14:textId="77777777" w:rsidR="008C76E0" w:rsidRPr="00BD7577" w:rsidRDefault="008C76E0" w:rsidP="008C76E0">
            <w:pPr>
              <w:spacing w:after="120" w:line="240" w:lineRule="auto"/>
              <w:rPr>
                <w:rFonts w:ascii="Sylfaen" w:hAnsi="Sylfaen"/>
                <w:sz w:val="24"/>
                <w:szCs w:val="24"/>
              </w:rPr>
            </w:pPr>
          </w:p>
        </w:tc>
        <w:tc>
          <w:tcPr>
            <w:tcW w:w="2453" w:type="dxa"/>
            <w:vMerge w:val="restart"/>
            <w:tcBorders>
              <w:top w:val="single" w:sz="4" w:space="0" w:color="000000"/>
              <w:left w:val="single" w:sz="4" w:space="0" w:color="000000"/>
              <w:right w:val="single" w:sz="4" w:space="0" w:color="000000"/>
            </w:tcBorders>
          </w:tcPr>
          <w:p w14:paraId="344B52E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2.3.А</w:t>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8B7B9B0"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2.3.А.1</w:t>
            </w:r>
          </w:p>
        </w:tc>
      </w:tr>
      <w:tr w:rsidR="008C76E0" w:rsidRPr="00BD7577" w14:paraId="21D5FBB3" w14:textId="77777777" w:rsidTr="00827A4D">
        <w:trPr>
          <w:jc w:val="center"/>
        </w:trPr>
        <w:tc>
          <w:tcPr>
            <w:tcW w:w="1351" w:type="dxa"/>
            <w:vMerge/>
            <w:tcBorders>
              <w:left w:val="single" w:sz="4" w:space="0" w:color="000000"/>
              <w:right w:val="single" w:sz="4" w:space="0" w:color="000000"/>
            </w:tcBorders>
          </w:tcPr>
          <w:p w14:paraId="0D4B3EC1"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AB3242B"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657F45FC"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EACAF8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2.3.А.2</w:t>
            </w:r>
          </w:p>
        </w:tc>
      </w:tr>
      <w:tr w:rsidR="008C76E0" w:rsidRPr="00BD7577" w14:paraId="6C06C23A" w14:textId="77777777" w:rsidTr="00827A4D">
        <w:trPr>
          <w:jc w:val="center"/>
        </w:trPr>
        <w:tc>
          <w:tcPr>
            <w:tcW w:w="1351" w:type="dxa"/>
            <w:vMerge/>
            <w:tcBorders>
              <w:left w:val="single" w:sz="4" w:space="0" w:color="000000"/>
              <w:right w:val="single" w:sz="4" w:space="0" w:color="000000"/>
            </w:tcBorders>
          </w:tcPr>
          <w:p w14:paraId="2925C3F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shd w:val="clear" w:color="auto" w:fill="ECECEC"/>
          </w:tcPr>
          <w:p w14:paraId="28DBAE9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0EC5210F"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3B92064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2.3.А.3</w:t>
            </w:r>
          </w:p>
        </w:tc>
      </w:tr>
      <w:tr w:rsidR="008C76E0" w:rsidRPr="00BD7577" w14:paraId="5B99049F" w14:textId="77777777" w:rsidTr="00827A4D">
        <w:trPr>
          <w:jc w:val="center"/>
        </w:trPr>
        <w:tc>
          <w:tcPr>
            <w:tcW w:w="1351" w:type="dxa"/>
            <w:vMerge/>
            <w:tcBorders>
              <w:left w:val="single" w:sz="4" w:space="0" w:color="000000"/>
              <w:right w:val="single" w:sz="4" w:space="0" w:color="000000"/>
            </w:tcBorders>
          </w:tcPr>
          <w:p w14:paraId="5A562A5F"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36A46FBB"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tcPr>
          <w:p w14:paraId="5D5F1E0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2.3.R</w:t>
            </w:r>
          </w:p>
        </w:tc>
        <w:tc>
          <w:tcPr>
            <w:tcW w:w="4015" w:type="dxa"/>
            <w:tcBorders>
              <w:top w:val="single" w:sz="4" w:space="0" w:color="000000"/>
              <w:left w:val="single" w:sz="4" w:space="0" w:color="000000"/>
              <w:bottom w:val="single" w:sz="4" w:space="0" w:color="000000"/>
              <w:right w:val="single" w:sz="4" w:space="0" w:color="000000"/>
            </w:tcBorders>
          </w:tcPr>
          <w:p w14:paraId="250F6B6D" w14:textId="77777777" w:rsidR="008C76E0" w:rsidRPr="00BD7577" w:rsidRDefault="008C76E0" w:rsidP="008C76E0">
            <w:pPr>
              <w:spacing w:after="120" w:line="240" w:lineRule="auto"/>
              <w:rPr>
                <w:rFonts w:ascii="Sylfaen" w:hAnsi="Sylfaen"/>
                <w:sz w:val="24"/>
                <w:szCs w:val="24"/>
              </w:rPr>
            </w:pPr>
          </w:p>
        </w:tc>
      </w:tr>
      <w:tr w:rsidR="008C76E0" w:rsidRPr="00BD7577" w14:paraId="447455F3" w14:textId="77777777" w:rsidTr="00827A4D">
        <w:trPr>
          <w:jc w:val="center"/>
        </w:trPr>
        <w:tc>
          <w:tcPr>
            <w:tcW w:w="1351" w:type="dxa"/>
            <w:vMerge/>
            <w:tcBorders>
              <w:left w:val="single" w:sz="4" w:space="0" w:color="000000"/>
              <w:right w:val="single" w:sz="4" w:space="0" w:color="000000"/>
            </w:tcBorders>
          </w:tcPr>
          <w:p w14:paraId="1853214E"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4831632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2.4</w:t>
            </w:r>
          </w:p>
        </w:tc>
        <w:tc>
          <w:tcPr>
            <w:tcW w:w="2453" w:type="dxa"/>
            <w:tcBorders>
              <w:top w:val="single" w:sz="4" w:space="0" w:color="000000"/>
              <w:left w:val="single" w:sz="4" w:space="0" w:color="000000"/>
              <w:bottom w:val="single" w:sz="4" w:space="0" w:color="000000"/>
              <w:right w:val="single" w:sz="4" w:space="0" w:color="000000"/>
            </w:tcBorders>
          </w:tcPr>
          <w:p w14:paraId="29B4F93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tcPr>
          <w:p w14:paraId="1EC9F2CD" w14:textId="77777777" w:rsidR="008C76E0" w:rsidRPr="00BD7577" w:rsidRDefault="008C76E0" w:rsidP="008C76E0">
            <w:pPr>
              <w:spacing w:after="120" w:line="240" w:lineRule="auto"/>
              <w:rPr>
                <w:rFonts w:ascii="Sylfaen" w:hAnsi="Sylfaen"/>
                <w:sz w:val="24"/>
                <w:szCs w:val="24"/>
              </w:rPr>
            </w:pPr>
          </w:p>
        </w:tc>
      </w:tr>
      <w:tr w:rsidR="008C76E0" w:rsidRPr="00BD7577" w14:paraId="4A57FAF8" w14:textId="77777777" w:rsidTr="00827A4D">
        <w:trPr>
          <w:jc w:val="center"/>
        </w:trPr>
        <w:tc>
          <w:tcPr>
            <w:tcW w:w="1351" w:type="dxa"/>
            <w:vMerge/>
            <w:tcBorders>
              <w:left w:val="single" w:sz="4" w:space="0" w:color="000000"/>
              <w:right w:val="single" w:sz="4" w:space="0" w:color="000000"/>
            </w:tcBorders>
          </w:tcPr>
          <w:p w14:paraId="3E121CF3"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57ED6FAA"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2.5</w:t>
            </w:r>
          </w:p>
        </w:tc>
        <w:tc>
          <w:tcPr>
            <w:tcW w:w="2453" w:type="dxa"/>
            <w:tcBorders>
              <w:top w:val="single" w:sz="4" w:space="0" w:color="000000"/>
              <w:left w:val="single" w:sz="4" w:space="0" w:color="000000"/>
              <w:bottom w:val="single" w:sz="4" w:space="0" w:color="000000"/>
              <w:right w:val="single" w:sz="4" w:space="0" w:color="000000"/>
            </w:tcBorders>
          </w:tcPr>
          <w:p w14:paraId="4AE1C159"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tcPr>
          <w:p w14:paraId="51C33F15" w14:textId="77777777" w:rsidR="008C76E0" w:rsidRPr="00BD7577" w:rsidRDefault="008C76E0" w:rsidP="008C76E0">
            <w:pPr>
              <w:spacing w:after="120" w:line="240" w:lineRule="auto"/>
              <w:rPr>
                <w:rFonts w:ascii="Sylfaen" w:hAnsi="Sylfaen"/>
                <w:sz w:val="24"/>
                <w:szCs w:val="24"/>
              </w:rPr>
            </w:pPr>
          </w:p>
        </w:tc>
      </w:tr>
      <w:tr w:rsidR="008C76E0" w:rsidRPr="00BD7577" w14:paraId="1B3834A8" w14:textId="77777777" w:rsidTr="00827A4D">
        <w:trPr>
          <w:jc w:val="center"/>
        </w:trPr>
        <w:tc>
          <w:tcPr>
            <w:tcW w:w="1351" w:type="dxa"/>
            <w:vMerge/>
            <w:tcBorders>
              <w:left w:val="single" w:sz="4" w:space="0" w:color="000000"/>
              <w:right w:val="single" w:sz="4" w:space="0" w:color="000000"/>
            </w:tcBorders>
          </w:tcPr>
          <w:p w14:paraId="2C43DCFA"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tcPr>
          <w:p w14:paraId="42813757"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2.6</w:t>
            </w: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234DA3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2.6.1</w:t>
            </w:r>
          </w:p>
        </w:tc>
        <w:tc>
          <w:tcPr>
            <w:tcW w:w="4015" w:type="dxa"/>
            <w:tcBorders>
              <w:top w:val="single" w:sz="4" w:space="0" w:color="000000"/>
              <w:left w:val="single" w:sz="4" w:space="0" w:color="000000"/>
              <w:bottom w:val="single" w:sz="4" w:space="0" w:color="000000"/>
              <w:right w:val="single" w:sz="4" w:space="0" w:color="000000"/>
            </w:tcBorders>
          </w:tcPr>
          <w:p w14:paraId="70A59453" w14:textId="77777777" w:rsidR="008C76E0" w:rsidRPr="00BD7577" w:rsidRDefault="008C76E0" w:rsidP="008C76E0">
            <w:pPr>
              <w:spacing w:after="120" w:line="240" w:lineRule="auto"/>
              <w:rPr>
                <w:rFonts w:ascii="Sylfaen" w:hAnsi="Sylfaen"/>
                <w:sz w:val="24"/>
                <w:szCs w:val="24"/>
              </w:rPr>
            </w:pPr>
          </w:p>
        </w:tc>
      </w:tr>
      <w:tr w:rsidR="008C76E0" w:rsidRPr="00BD7577" w14:paraId="2FEB243F" w14:textId="77777777" w:rsidTr="00827A4D">
        <w:trPr>
          <w:jc w:val="center"/>
        </w:trPr>
        <w:tc>
          <w:tcPr>
            <w:tcW w:w="1351" w:type="dxa"/>
            <w:vMerge/>
            <w:tcBorders>
              <w:left w:val="single" w:sz="4" w:space="0" w:color="000000"/>
              <w:right w:val="single" w:sz="4" w:space="0" w:color="000000"/>
            </w:tcBorders>
          </w:tcPr>
          <w:p w14:paraId="5648D849"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439E5EC2"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DA6041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2.6.2</w:t>
            </w:r>
          </w:p>
        </w:tc>
        <w:tc>
          <w:tcPr>
            <w:tcW w:w="4015" w:type="dxa"/>
            <w:tcBorders>
              <w:top w:val="single" w:sz="4" w:space="0" w:color="000000"/>
              <w:left w:val="single" w:sz="4" w:space="0" w:color="000000"/>
              <w:bottom w:val="single" w:sz="4" w:space="0" w:color="000000"/>
              <w:right w:val="single" w:sz="4" w:space="0" w:color="000000"/>
            </w:tcBorders>
          </w:tcPr>
          <w:p w14:paraId="54F757AB" w14:textId="77777777" w:rsidR="008C76E0" w:rsidRPr="00BD7577" w:rsidRDefault="008C76E0" w:rsidP="008C76E0">
            <w:pPr>
              <w:spacing w:after="120" w:line="240" w:lineRule="auto"/>
              <w:rPr>
                <w:rFonts w:ascii="Sylfaen" w:hAnsi="Sylfaen"/>
                <w:sz w:val="24"/>
                <w:szCs w:val="24"/>
              </w:rPr>
            </w:pPr>
          </w:p>
        </w:tc>
      </w:tr>
      <w:tr w:rsidR="008C76E0" w:rsidRPr="00BD7577" w14:paraId="325ABF8D" w14:textId="77777777" w:rsidTr="00827A4D">
        <w:trPr>
          <w:jc w:val="center"/>
        </w:trPr>
        <w:tc>
          <w:tcPr>
            <w:tcW w:w="1351" w:type="dxa"/>
            <w:vMerge/>
            <w:tcBorders>
              <w:left w:val="single" w:sz="4" w:space="0" w:color="000000"/>
              <w:right w:val="single" w:sz="4" w:space="0" w:color="000000"/>
            </w:tcBorders>
          </w:tcPr>
          <w:p w14:paraId="6ADA58A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558801B7"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5DB6BDD8"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2.6.3</w:t>
            </w:r>
          </w:p>
        </w:tc>
        <w:tc>
          <w:tcPr>
            <w:tcW w:w="4015" w:type="dxa"/>
            <w:tcBorders>
              <w:top w:val="single" w:sz="4" w:space="0" w:color="000000"/>
              <w:left w:val="single" w:sz="4" w:space="0" w:color="000000"/>
              <w:bottom w:val="single" w:sz="4" w:space="0" w:color="000000"/>
              <w:right w:val="single" w:sz="4" w:space="0" w:color="000000"/>
            </w:tcBorders>
          </w:tcPr>
          <w:p w14:paraId="469DE4AE" w14:textId="77777777" w:rsidR="008C76E0" w:rsidRPr="00BD7577" w:rsidRDefault="008C76E0" w:rsidP="008C76E0">
            <w:pPr>
              <w:spacing w:after="120" w:line="240" w:lineRule="auto"/>
              <w:rPr>
                <w:rFonts w:ascii="Sylfaen" w:hAnsi="Sylfaen"/>
                <w:sz w:val="24"/>
                <w:szCs w:val="24"/>
              </w:rPr>
            </w:pPr>
          </w:p>
        </w:tc>
      </w:tr>
      <w:tr w:rsidR="008C76E0" w:rsidRPr="00BD7577" w14:paraId="7CFEFFE8" w14:textId="77777777" w:rsidTr="00827A4D">
        <w:trPr>
          <w:jc w:val="center"/>
        </w:trPr>
        <w:tc>
          <w:tcPr>
            <w:tcW w:w="1351" w:type="dxa"/>
            <w:vMerge/>
            <w:tcBorders>
              <w:left w:val="single" w:sz="4" w:space="0" w:color="000000"/>
              <w:right w:val="single" w:sz="4" w:space="0" w:color="000000"/>
            </w:tcBorders>
          </w:tcPr>
          <w:p w14:paraId="5E7363FB"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0BCF734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3085E4C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2.6.4</w:t>
            </w:r>
          </w:p>
        </w:tc>
        <w:tc>
          <w:tcPr>
            <w:tcW w:w="4015" w:type="dxa"/>
            <w:tcBorders>
              <w:top w:val="single" w:sz="4" w:space="0" w:color="000000"/>
              <w:left w:val="single" w:sz="4" w:space="0" w:color="000000"/>
              <w:bottom w:val="single" w:sz="4" w:space="0" w:color="000000"/>
              <w:right w:val="single" w:sz="4" w:space="0" w:color="000000"/>
            </w:tcBorders>
          </w:tcPr>
          <w:p w14:paraId="1BA751EF" w14:textId="77777777" w:rsidR="008C76E0" w:rsidRPr="00BD7577" w:rsidRDefault="008C76E0" w:rsidP="008C76E0">
            <w:pPr>
              <w:spacing w:after="120" w:line="240" w:lineRule="auto"/>
              <w:rPr>
                <w:rFonts w:ascii="Sylfaen" w:hAnsi="Sylfaen"/>
                <w:sz w:val="24"/>
                <w:szCs w:val="24"/>
              </w:rPr>
            </w:pPr>
          </w:p>
        </w:tc>
      </w:tr>
      <w:tr w:rsidR="008C76E0" w:rsidRPr="00BD7577" w14:paraId="071D2C54" w14:textId="77777777" w:rsidTr="00827A4D">
        <w:trPr>
          <w:jc w:val="center"/>
        </w:trPr>
        <w:tc>
          <w:tcPr>
            <w:tcW w:w="1351" w:type="dxa"/>
            <w:vMerge/>
            <w:tcBorders>
              <w:left w:val="single" w:sz="4" w:space="0" w:color="000000"/>
              <w:right w:val="single" w:sz="4" w:space="0" w:color="000000"/>
            </w:tcBorders>
          </w:tcPr>
          <w:p w14:paraId="5DAC6F6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3B3B8416"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54711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2.6.5</w:t>
            </w:r>
          </w:p>
        </w:tc>
        <w:tc>
          <w:tcPr>
            <w:tcW w:w="4015" w:type="dxa"/>
            <w:tcBorders>
              <w:top w:val="single" w:sz="4" w:space="0" w:color="000000"/>
              <w:left w:val="single" w:sz="4" w:space="0" w:color="000000"/>
              <w:bottom w:val="single" w:sz="4" w:space="0" w:color="000000"/>
              <w:right w:val="single" w:sz="4" w:space="0" w:color="000000"/>
            </w:tcBorders>
          </w:tcPr>
          <w:p w14:paraId="4277C068" w14:textId="77777777" w:rsidR="008C76E0" w:rsidRPr="00BD7577" w:rsidRDefault="008C76E0" w:rsidP="008C76E0">
            <w:pPr>
              <w:spacing w:after="120" w:line="240" w:lineRule="auto"/>
              <w:rPr>
                <w:rFonts w:ascii="Sylfaen" w:hAnsi="Sylfaen"/>
                <w:sz w:val="24"/>
                <w:szCs w:val="24"/>
              </w:rPr>
            </w:pPr>
          </w:p>
        </w:tc>
      </w:tr>
      <w:tr w:rsidR="008C76E0" w:rsidRPr="00BD7577" w14:paraId="2DD84F52" w14:textId="77777777" w:rsidTr="00827A4D">
        <w:trPr>
          <w:jc w:val="center"/>
        </w:trPr>
        <w:tc>
          <w:tcPr>
            <w:tcW w:w="1351" w:type="dxa"/>
            <w:vMerge/>
            <w:tcBorders>
              <w:left w:val="single" w:sz="4" w:space="0" w:color="000000"/>
              <w:right w:val="single" w:sz="4" w:space="0" w:color="000000"/>
            </w:tcBorders>
          </w:tcPr>
          <w:p w14:paraId="053A3E21"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266E2087"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69E298C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2.6.6</w:t>
            </w:r>
          </w:p>
        </w:tc>
        <w:tc>
          <w:tcPr>
            <w:tcW w:w="4015" w:type="dxa"/>
            <w:tcBorders>
              <w:top w:val="single" w:sz="4" w:space="0" w:color="000000"/>
              <w:left w:val="single" w:sz="4" w:space="0" w:color="000000"/>
              <w:bottom w:val="single" w:sz="4" w:space="0" w:color="000000"/>
              <w:right w:val="single" w:sz="4" w:space="0" w:color="000000"/>
            </w:tcBorders>
          </w:tcPr>
          <w:p w14:paraId="350C2446" w14:textId="77777777" w:rsidR="008C76E0" w:rsidRPr="00BD7577" w:rsidRDefault="008C76E0" w:rsidP="008C76E0">
            <w:pPr>
              <w:spacing w:after="120" w:line="240" w:lineRule="auto"/>
              <w:rPr>
                <w:rFonts w:ascii="Sylfaen" w:hAnsi="Sylfaen"/>
                <w:sz w:val="24"/>
                <w:szCs w:val="24"/>
              </w:rPr>
            </w:pPr>
          </w:p>
        </w:tc>
      </w:tr>
      <w:tr w:rsidR="008C76E0" w:rsidRPr="00BD7577" w14:paraId="2E6473C8" w14:textId="77777777" w:rsidTr="00827A4D">
        <w:trPr>
          <w:jc w:val="center"/>
        </w:trPr>
        <w:tc>
          <w:tcPr>
            <w:tcW w:w="1351" w:type="dxa"/>
            <w:vMerge/>
            <w:tcBorders>
              <w:left w:val="single" w:sz="4" w:space="0" w:color="000000"/>
              <w:right w:val="single" w:sz="4" w:space="0" w:color="000000"/>
            </w:tcBorders>
          </w:tcPr>
          <w:p w14:paraId="5E67D7F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tcPr>
          <w:p w14:paraId="50D56DD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6E3605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2.6.7</w:t>
            </w:r>
          </w:p>
        </w:tc>
        <w:tc>
          <w:tcPr>
            <w:tcW w:w="4015" w:type="dxa"/>
            <w:tcBorders>
              <w:top w:val="single" w:sz="4" w:space="0" w:color="000000"/>
              <w:left w:val="single" w:sz="4" w:space="0" w:color="000000"/>
              <w:bottom w:val="single" w:sz="4" w:space="0" w:color="000000"/>
              <w:right w:val="single" w:sz="4" w:space="0" w:color="000000"/>
            </w:tcBorders>
          </w:tcPr>
          <w:p w14:paraId="7BF2D864" w14:textId="77777777" w:rsidR="008C76E0" w:rsidRPr="00BD7577" w:rsidRDefault="008C76E0" w:rsidP="008C76E0">
            <w:pPr>
              <w:spacing w:after="120" w:line="240" w:lineRule="auto"/>
              <w:rPr>
                <w:rFonts w:ascii="Sylfaen" w:hAnsi="Sylfaen"/>
                <w:sz w:val="24"/>
                <w:szCs w:val="24"/>
              </w:rPr>
            </w:pPr>
          </w:p>
        </w:tc>
      </w:tr>
      <w:tr w:rsidR="008C76E0" w:rsidRPr="00BD7577" w14:paraId="0501F15F" w14:textId="77777777" w:rsidTr="00827A4D">
        <w:trPr>
          <w:jc w:val="center"/>
        </w:trPr>
        <w:tc>
          <w:tcPr>
            <w:tcW w:w="1351" w:type="dxa"/>
            <w:vMerge/>
            <w:tcBorders>
              <w:left w:val="single" w:sz="4" w:space="0" w:color="000000"/>
              <w:right w:val="single" w:sz="4" w:space="0" w:color="000000"/>
            </w:tcBorders>
          </w:tcPr>
          <w:p w14:paraId="5EBA9872"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tcPr>
          <w:p w14:paraId="3777309F"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2.7</w:t>
            </w: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2910A1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2.7.1</w:t>
            </w:r>
          </w:p>
        </w:tc>
        <w:tc>
          <w:tcPr>
            <w:tcW w:w="4015" w:type="dxa"/>
            <w:tcBorders>
              <w:top w:val="single" w:sz="4" w:space="0" w:color="000000"/>
              <w:left w:val="single" w:sz="4" w:space="0" w:color="000000"/>
              <w:bottom w:val="single" w:sz="4" w:space="0" w:color="000000"/>
              <w:right w:val="single" w:sz="4" w:space="0" w:color="000000"/>
            </w:tcBorders>
          </w:tcPr>
          <w:p w14:paraId="413E103E" w14:textId="77777777" w:rsidR="008C76E0" w:rsidRPr="00BD7577" w:rsidRDefault="008C76E0" w:rsidP="008C76E0">
            <w:pPr>
              <w:spacing w:after="120" w:line="240" w:lineRule="auto"/>
              <w:rPr>
                <w:rFonts w:ascii="Sylfaen" w:hAnsi="Sylfaen"/>
                <w:sz w:val="24"/>
                <w:szCs w:val="24"/>
              </w:rPr>
            </w:pPr>
          </w:p>
        </w:tc>
      </w:tr>
      <w:tr w:rsidR="008C76E0" w:rsidRPr="00BD7577" w14:paraId="53DB06D8" w14:textId="77777777" w:rsidTr="00827A4D">
        <w:trPr>
          <w:jc w:val="center"/>
        </w:trPr>
        <w:tc>
          <w:tcPr>
            <w:tcW w:w="1351" w:type="dxa"/>
            <w:vMerge/>
            <w:tcBorders>
              <w:left w:val="single" w:sz="4" w:space="0" w:color="000000"/>
              <w:right w:val="single" w:sz="4" w:space="0" w:color="000000"/>
            </w:tcBorders>
          </w:tcPr>
          <w:p w14:paraId="36956AA2"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1D28874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36DA214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2.7.2</w:t>
            </w:r>
          </w:p>
        </w:tc>
        <w:tc>
          <w:tcPr>
            <w:tcW w:w="4015" w:type="dxa"/>
            <w:tcBorders>
              <w:top w:val="single" w:sz="4" w:space="0" w:color="000000"/>
              <w:left w:val="single" w:sz="4" w:space="0" w:color="000000"/>
              <w:bottom w:val="single" w:sz="4" w:space="0" w:color="000000"/>
              <w:right w:val="single" w:sz="4" w:space="0" w:color="000000"/>
            </w:tcBorders>
          </w:tcPr>
          <w:p w14:paraId="693C92DD" w14:textId="77777777" w:rsidR="008C76E0" w:rsidRPr="00BD7577" w:rsidRDefault="008C76E0" w:rsidP="008C76E0">
            <w:pPr>
              <w:spacing w:after="120" w:line="240" w:lineRule="auto"/>
              <w:rPr>
                <w:rFonts w:ascii="Sylfaen" w:hAnsi="Sylfaen"/>
                <w:sz w:val="24"/>
                <w:szCs w:val="24"/>
              </w:rPr>
            </w:pPr>
          </w:p>
        </w:tc>
      </w:tr>
      <w:tr w:rsidR="008C76E0" w:rsidRPr="00BD7577" w14:paraId="3796E3BC" w14:textId="77777777" w:rsidTr="00827A4D">
        <w:trPr>
          <w:jc w:val="center"/>
        </w:trPr>
        <w:tc>
          <w:tcPr>
            <w:tcW w:w="1351" w:type="dxa"/>
            <w:vMerge/>
            <w:tcBorders>
              <w:left w:val="single" w:sz="4" w:space="0" w:color="000000"/>
              <w:right w:val="single" w:sz="4" w:space="0" w:color="000000"/>
            </w:tcBorders>
          </w:tcPr>
          <w:p w14:paraId="14A26F2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368EE71D"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3450300" w14:textId="77777777" w:rsidR="008C76E0" w:rsidRPr="00C72D24" w:rsidRDefault="008C76E0" w:rsidP="00C72D24">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2.7.3</w:t>
            </w:r>
            <w:r w:rsidR="0081587C" w:rsidRPr="004F6471">
              <w:rPr>
                <w:rStyle w:val="FootnoteReference"/>
                <w:rFonts w:ascii="Sylfaen" w:hAnsi="Sylfaen"/>
                <w:sz w:val="24"/>
                <w:szCs w:val="24"/>
              </w:rPr>
              <w:footnoteReference w:id="31"/>
            </w:r>
          </w:p>
        </w:tc>
        <w:tc>
          <w:tcPr>
            <w:tcW w:w="4015" w:type="dxa"/>
            <w:tcBorders>
              <w:top w:val="single" w:sz="4" w:space="0" w:color="000000"/>
              <w:left w:val="single" w:sz="4" w:space="0" w:color="000000"/>
              <w:bottom w:val="single" w:sz="4" w:space="0" w:color="000000"/>
              <w:right w:val="single" w:sz="4" w:space="0" w:color="000000"/>
            </w:tcBorders>
          </w:tcPr>
          <w:p w14:paraId="2990EB12" w14:textId="77777777" w:rsidR="008C76E0" w:rsidRPr="00BD7577" w:rsidRDefault="008C76E0" w:rsidP="008C76E0">
            <w:pPr>
              <w:spacing w:after="120" w:line="240" w:lineRule="auto"/>
              <w:rPr>
                <w:rFonts w:ascii="Sylfaen" w:hAnsi="Sylfaen"/>
                <w:sz w:val="24"/>
                <w:szCs w:val="24"/>
              </w:rPr>
            </w:pPr>
          </w:p>
        </w:tc>
      </w:tr>
      <w:tr w:rsidR="008C76E0" w:rsidRPr="00BD7577" w14:paraId="6D243116" w14:textId="77777777" w:rsidTr="00827A4D">
        <w:trPr>
          <w:jc w:val="center"/>
        </w:trPr>
        <w:tc>
          <w:tcPr>
            <w:tcW w:w="1351" w:type="dxa"/>
            <w:vMerge/>
            <w:tcBorders>
              <w:left w:val="single" w:sz="4" w:space="0" w:color="000000"/>
              <w:right w:val="single" w:sz="4" w:space="0" w:color="000000"/>
            </w:tcBorders>
          </w:tcPr>
          <w:p w14:paraId="32AB871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796AC82F"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108EA7D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2.7.4</w:t>
            </w:r>
          </w:p>
        </w:tc>
        <w:tc>
          <w:tcPr>
            <w:tcW w:w="4015" w:type="dxa"/>
            <w:tcBorders>
              <w:top w:val="single" w:sz="4" w:space="0" w:color="000000"/>
              <w:left w:val="single" w:sz="4" w:space="0" w:color="000000"/>
              <w:bottom w:val="single" w:sz="4" w:space="0" w:color="000000"/>
              <w:right w:val="single" w:sz="4" w:space="0" w:color="000000"/>
            </w:tcBorders>
          </w:tcPr>
          <w:p w14:paraId="4BC8B067" w14:textId="77777777" w:rsidR="008C76E0" w:rsidRPr="00BD7577" w:rsidRDefault="008C76E0" w:rsidP="008C76E0">
            <w:pPr>
              <w:spacing w:after="120" w:line="240" w:lineRule="auto"/>
              <w:rPr>
                <w:rFonts w:ascii="Sylfaen" w:hAnsi="Sylfaen"/>
                <w:sz w:val="24"/>
                <w:szCs w:val="24"/>
              </w:rPr>
            </w:pPr>
          </w:p>
        </w:tc>
      </w:tr>
      <w:tr w:rsidR="008C76E0" w:rsidRPr="00BD7577" w14:paraId="5E8F4281" w14:textId="77777777" w:rsidTr="00827A4D">
        <w:trPr>
          <w:jc w:val="center"/>
        </w:trPr>
        <w:tc>
          <w:tcPr>
            <w:tcW w:w="1351" w:type="dxa"/>
            <w:vMerge/>
            <w:tcBorders>
              <w:left w:val="single" w:sz="4" w:space="0" w:color="000000"/>
              <w:right w:val="single" w:sz="4" w:space="0" w:color="000000"/>
            </w:tcBorders>
          </w:tcPr>
          <w:p w14:paraId="207C18BF"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53CE25B0"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688A3A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2.7.5</w:t>
            </w:r>
          </w:p>
        </w:tc>
        <w:tc>
          <w:tcPr>
            <w:tcW w:w="4015" w:type="dxa"/>
            <w:tcBorders>
              <w:top w:val="single" w:sz="4" w:space="0" w:color="000000"/>
              <w:left w:val="single" w:sz="4" w:space="0" w:color="000000"/>
              <w:bottom w:val="single" w:sz="4" w:space="0" w:color="000000"/>
              <w:right w:val="single" w:sz="4" w:space="0" w:color="000000"/>
            </w:tcBorders>
          </w:tcPr>
          <w:p w14:paraId="62FB5240" w14:textId="77777777" w:rsidR="008C76E0" w:rsidRPr="00BD7577" w:rsidRDefault="008C76E0" w:rsidP="008C76E0">
            <w:pPr>
              <w:spacing w:after="120" w:line="240" w:lineRule="auto"/>
              <w:rPr>
                <w:rFonts w:ascii="Sylfaen" w:hAnsi="Sylfaen"/>
                <w:sz w:val="24"/>
                <w:szCs w:val="24"/>
              </w:rPr>
            </w:pPr>
          </w:p>
        </w:tc>
      </w:tr>
      <w:tr w:rsidR="008C76E0" w:rsidRPr="00BD7577" w14:paraId="1788788A" w14:textId="77777777" w:rsidTr="00827A4D">
        <w:trPr>
          <w:jc w:val="center"/>
        </w:trPr>
        <w:tc>
          <w:tcPr>
            <w:tcW w:w="1351" w:type="dxa"/>
            <w:vMerge/>
            <w:tcBorders>
              <w:left w:val="single" w:sz="4" w:space="0" w:color="000000"/>
              <w:bottom w:val="single" w:sz="4" w:space="0" w:color="000000"/>
              <w:right w:val="single" w:sz="4" w:space="0" w:color="000000"/>
            </w:tcBorders>
          </w:tcPr>
          <w:p w14:paraId="38F7463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tcPr>
          <w:p w14:paraId="014DE01D"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39B5F2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2.7.6</w:t>
            </w:r>
          </w:p>
        </w:tc>
        <w:tc>
          <w:tcPr>
            <w:tcW w:w="4015" w:type="dxa"/>
            <w:tcBorders>
              <w:top w:val="single" w:sz="4" w:space="0" w:color="000000"/>
              <w:left w:val="single" w:sz="4" w:space="0" w:color="000000"/>
              <w:bottom w:val="single" w:sz="4" w:space="0" w:color="000000"/>
              <w:right w:val="single" w:sz="4" w:space="0" w:color="000000"/>
            </w:tcBorders>
          </w:tcPr>
          <w:p w14:paraId="1A9D1702" w14:textId="77777777" w:rsidR="008C76E0" w:rsidRPr="00BD7577" w:rsidRDefault="008C76E0" w:rsidP="008C76E0">
            <w:pPr>
              <w:spacing w:after="120" w:line="240" w:lineRule="auto"/>
              <w:rPr>
                <w:rFonts w:ascii="Sylfaen" w:hAnsi="Sylfaen"/>
                <w:sz w:val="24"/>
                <w:szCs w:val="24"/>
              </w:rPr>
            </w:pPr>
          </w:p>
        </w:tc>
      </w:tr>
    </w:tbl>
    <w:p w14:paraId="698508EE" w14:textId="77777777" w:rsidR="00814E26" w:rsidRDefault="00814E26" w:rsidP="008C76E0">
      <w:pPr>
        <w:ind w:left="567" w:right="566"/>
        <w:jc w:val="center"/>
        <w:rPr>
          <w:rFonts w:ascii="Sylfaen" w:hAnsi="Sylfaen"/>
          <w:sz w:val="24"/>
          <w:szCs w:val="24"/>
          <w:lang w:val="en-US"/>
        </w:rPr>
      </w:pPr>
    </w:p>
    <w:p w14:paraId="2FB47CE6" w14:textId="77777777" w:rsidR="008C76E0" w:rsidRPr="00BD7577" w:rsidRDefault="008C76E0" w:rsidP="00297352">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489" w:type="dxa"/>
        <w:jc w:val="center"/>
        <w:tblLook w:val="04A0" w:firstRow="1" w:lastRow="0" w:firstColumn="1" w:lastColumn="0" w:noHBand="0" w:noVBand="1"/>
      </w:tblPr>
      <w:tblGrid>
        <w:gridCol w:w="9489"/>
      </w:tblGrid>
      <w:tr w:rsidR="008C76E0" w:rsidRPr="00BD7577" w14:paraId="36D37D0D" w14:textId="77777777" w:rsidTr="008C76E0">
        <w:trPr>
          <w:jc w:val="center"/>
        </w:trPr>
        <w:tc>
          <w:tcPr>
            <w:tcW w:w="9489" w:type="dxa"/>
          </w:tcPr>
          <w:p w14:paraId="3A284B09" w14:textId="77777777" w:rsidR="008C76E0" w:rsidRPr="00BD7577" w:rsidRDefault="008C76E0" w:rsidP="008C76E0">
            <w:pPr>
              <w:spacing w:after="120"/>
              <w:ind w:right="39"/>
              <w:jc w:val="both"/>
              <w:rPr>
                <w:rFonts w:ascii="Sylfaen" w:eastAsia="Times New Roman" w:hAnsi="Sylfaen" w:cs="Times New Roman"/>
                <w:sz w:val="24"/>
                <w:szCs w:val="24"/>
              </w:rPr>
            </w:pPr>
            <w:r w:rsidRPr="00BD7577">
              <w:rPr>
                <w:rFonts w:ascii="Sylfaen" w:hAnsi="Sylfaen"/>
                <w:sz w:val="24"/>
                <w:szCs w:val="24"/>
              </w:rPr>
              <w:t xml:space="preserve">Այս մակարդակում փաստաթղթեր ներկայացնելը չի թույլատրվում: </w:t>
            </w:r>
          </w:p>
        </w:tc>
      </w:tr>
      <w:tr w:rsidR="008C76E0" w:rsidRPr="00BD7577" w14:paraId="102434E6" w14:textId="77777777" w:rsidTr="008C76E0">
        <w:trPr>
          <w:jc w:val="center"/>
        </w:trPr>
        <w:tc>
          <w:tcPr>
            <w:tcW w:w="9489" w:type="dxa"/>
          </w:tcPr>
          <w:p w14:paraId="6A711AF6" w14:textId="77777777" w:rsidR="008C76E0" w:rsidRPr="00BD7577" w:rsidRDefault="008C76E0" w:rsidP="008C76E0">
            <w:pPr>
              <w:spacing w:after="120"/>
              <w:ind w:right="40"/>
              <w:jc w:val="both"/>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 Այդ մակարդակում թույլատրվում է ներկայացնել մեկ փաստաթուղթ:</w:t>
            </w:r>
          </w:p>
        </w:tc>
      </w:tr>
    </w:tbl>
    <w:p w14:paraId="580E13C0" w14:textId="77777777" w:rsidR="00814E26" w:rsidRDefault="00814E26" w:rsidP="008C76E0">
      <w:pPr>
        <w:ind w:right="39"/>
        <w:jc w:val="center"/>
        <w:rPr>
          <w:rFonts w:ascii="Sylfaen" w:eastAsia="Times New Roman" w:hAnsi="Sylfaen" w:cs="Times New Roman"/>
          <w:sz w:val="24"/>
          <w:szCs w:val="24"/>
        </w:rPr>
        <w:sectPr w:rsidR="00814E26" w:rsidSect="00C31D56">
          <w:footnotePr>
            <w:numRestart w:val="eachSect"/>
          </w:footnotePr>
          <w:pgSz w:w="11907" w:h="16839" w:code="9"/>
          <w:pgMar w:top="1418" w:right="1418" w:bottom="1418" w:left="1418" w:header="0" w:footer="361" w:gutter="0"/>
          <w:cols w:space="720"/>
          <w:noEndnote/>
          <w:docGrid w:linePitch="360"/>
        </w:sectPr>
      </w:pPr>
    </w:p>
    <w:p w14:paraId="2F188F6F" w14:textId="77777777" w:rsidR="008C76E0" w:rsidRPr="00BD7577" w:rsidRDefault="008C76E0" w:rsidP="008C76E0">
      <w:pPr>
        <w:tabs>
          <w:tab w:val="left" w:pos="1134"/>
        </w:tabs>
        <w:ind w:right="175" w:firstLine="567"/>
        <w:jc w:val="both"/>
        <w:rPr>
          <w:rFonts w:ascii="Sylfaen" w:eastAsia="Times New Roman" w:hAnsi="Sylfaen" w:cs="Times New Roman"/>
          <w:sz w:val="24"/>
          <w:szCs w:val="24"/>
          <w:lang w:val="ru-RU"/>
        </w:rPr>
      </w:pPr>
      <w:r w:rsidRPr="00BD7577">
        <w:rPr>
          <w:rFonts w:ascii="Sylfaen" w:eastAsia="Times New Roman" w:hAnsi="Sylfaen" w:cs="Times New Roman"/>
          <w:sz w:val="24"/>
          <w:szCs w:val="24"/>
        </w:rPr>
        <w:lastRenderedPageBreak/>
        <w:t>3</w:t>
      </w:r>
      <w:r>
        <w:rPr>
          <w:rFonts w:ascii="Sylfaen" w:eastAsia="Times New Roman" w:hAnsi="Sylfaen" w:cs="Times New Roman"/>
          <w:sz w:val="24"/>
          <w:szCs w:val="24"/>
          <w:lang w:val="ru-RU"/>
        </w:rPr>
        <w:t>.</w:t>
      </w:r>
      <w:r>
        <w:rPr>
          <w:rFonts w:ascii="Sylfaen" w:eastAsia="Times New Roman" w:hAnsi="Sylfaen" w:cs="Times New Roman"/>
          <w:sz w:val="24"/>
          <w:szCs w:val="24"/>
          <w:lang w:val="en-US"/>
        </w:rPr>
        <w:tab/>
      </w:r>
      <w:r w:rsidRPr="00BD7577">
        <w:rPr>
          <w:rFonts w:ascii="Sylfaen" w:hAnsi="Sylfaen"/>
          <w:sz w:val="24"/>
          <w:szCs w:val="24"/>
        </w:rPr>
        <w:t>Մոդուլ 3</w:t>
      </w:r>
    </w:p>
    <w:tbl>
      <w:tblPr>
        <w:tblW w:w="0" w:type="auto"/>
        <w:jc w:val="center"/>
        <w:tblLayout w:type="fixed"/>
        <w:tblCellMar>
          <w:left w:w="0" w:type="dxa"/>
          <w:right w:w="0" w:type="dxa"/>
        </w:tblCellMar>
        <w:tblLook w:val="01E0" w:firstRow="1" w:lastRow="1" w:firstColumn="1" w:lastColumn="1" w:noHBand="0" w:noVBand="0"/>
      </w:tblPr>
      <w:tblGrid>
        <w:gridCol w:w="1526"/>
        <w:gridCol w:w="1154"/>
        <w:gridCol w:w="2815"/>
        <w:gridCol w:w="1927"/>
        <w:gridCol w:w="2237"/>
      </w:tblGrid>
      <w:tr w:rsidR="008C76E0" w:rsidRPr="00BD7577" w14:paraId="46043684"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5C435144"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Մոդուլ 3</w:t>
            </w:r>
            <w:r w:rsidR="00814E26">
              <w:rPr>
                <w:rStyle w:val="FootnoteReference"/>
                <w:rFonts w:ascii="Sylfaen" w:hAnsi="Sylfaen"/>
                <w:sz w:val="24"/>
                <w:szCs w:val="24"/>
              </w:rPr>
              <w:footnoteReference w:id="32"/>
            </w:r>
          </w:p>
        </w:tc>
        <w:tc>
          <w:tcPr>
            <w:tcW w:w="1154" w:type="dxa"/>
            <w:tcBorders>
              <w:top w:val="single" w:sz="4" w:space="0" w:color="000000"/>
              <w:left w:val="single" w:sz="4" w:space="0" w:color="000000"/>
              <w:bottom w:val="single" w:sz="4" w:space="0" w:color="000000"/>
              <w:right w:val="single" w:sz="4" w:space="0" w:color="000000"/>
            </w:tcBorders>
          </w:tcPr>
          <w:p w14:paraId="1D91838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3.1</w:t>
            </w:r>
          </w:p>
        </w:tc>
        <w:tc>
          <w:tcPr>
            <w:tcW w:w="6979" w:type="dxa"/>
            <w:gridSpan w:val="3"/>
            <w:tcBorders>
              <w:top w:val="single" w:sz="4" w:space="0" w:color="000000"/>
              <w:left w:val="single" w:sz="4" w:space="0" w:color="000000"/>
              <w:bottom w:val="single" w:sz="4" w:space="0" w:color="000000"/>
              <w:right w:val="single" w:sz="4" w:space="0" w:color="000000"/>
            </w:tcBorders>
          </w:tcPr>
          <w:p w14:paraId="726FCC79" w14:textId="77777777" w:rsidR="008C76E0" w:rsidRPr="00BD7577" w:rsidRDefault="008C76E0" w:rsidP="008C76E0">
            <w:pPr>
              <w:spacing w:after="120" w:line="240" w:lineRule="auto"/>
              <w:rPr>
                <w:rFonts w:ascii="Sylfaen" w:hAnsi="Sylfaen"/>
                <w:sz w:val="24"/>
                <w:szCs w:val="24"/>
              </w:rPr>
            </w:pPr>
          </w:p>
        </w:tc>
      </w:tr>
      <w:tr w:rsidR="008C76E0" w:rsidRPr="00BD7577" w14:paraId="2A2D1D67" w14:textId="77777777" w:rsidTr="008C76E0">
        <w:trPr>
          <w:jc w:val="center"/>
        </w:trPr>
        <w:tc>
          <w:tcPr>
            <w:tcW w:w="1526" w:type="dxa"/>
            <w:vMerge/>
            <w:tcBorders>
              <w:left w:val="single" w:sz="4" w:space="0" w:color="000000"/>
              <w:right w:val="single" w:sz="4" w:space="0" w:color="000000"/>
            </w:tcBorders>
            <w:shd w:val="clear" w:color="auto" w:fill="E7E7E7"/>
          </w:tcPr>
          <w:p w14:paraId="2AAC49D6"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2E994F1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w:t>
            </w:r>
          </w:p>
        </w:tc>
        <w:tc>
          <w:tcPr>
            <w:tcW w:w="2815" w:type="dxa"/>
            <w:vMerge w:val="restart"/>
            <w:tcBorders>
              <w:top w:val="single" w:sz="4" w:space="0" w:color="000000"/>
              <w:left w:val="single" w:sz="4" w:space="0" w:color="000000"/>
              <w:right w:val="single" w:sz="4" w:space="0" w:color="000000"/>
            </w:tcBorders>
            <w:shd w:val="clear" w:color="auto" w:fill="E7E7E7"/>
          </w:tcPr>
          <w:p w14:paraId="4A7BEF9C"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3.2.S</w:t>
            </w:r>
            <w:r w:rsidRPr="00BD7577">
              <w:rPr>
                <w:rFonts w:ascii="Sylfaen" w:hAnsi="Sylfaen"/>
                <w:sz w:val="24"/>
                <w:szCs w:val="24"/>
              </w:rPr>
              <w:t xml:space="preserve"> </w:t>
            </w:r>
            <w:r w:rsidR="00814E26">
              <w:rPr>
                <w:rStyle w:val="FootnoteReference"/>
                <w:rFonts w:ascii="Sylfaen" w:hAnsi="Sylfaen"/>
                <w:sz w:val="24"/>
                <w:szCs w:val="24"/>
              </w:rPr>
              <w:footnoteReference w:id="33"/>
            </w:r>
          </w:p>
        </w:tc>
        <w:tc>
          <w:tcPr>
            <w:tcW w:w="1927" w:type="dxa"/>
            <w:vMerge w:val="restart"/>
            <w:tcBorders>
              <w:top w:val="single" w:sz="4" w:space="0" w:color="000000"/>
              <w:left w:val="single" w:sz="4" w:space="0" w:color="000000"/>
              <w:right w:val="single" w:sz="4" w:space="0" w:color="000000"/>
            </w:tcBorders>
            <w:shd w:val="clear" w:color="auto" w:fill="E7E7E7"/>
          </w:tcPr>
          <w:p w14:paraId="0FA40DBD"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3.2.S.1</w:t>
            </w:r>
          </w:p>
        </w:tc>
        <w:tc>
          <w:tcPr>
            <w:tcW w:w="2237" w:type="dxa"/>
            <w:tcBorders>
              <w:top w:val="single" w:sz="4" w:space="0" w:color="000000"/>
              <w:left w:val="single" w:sz="4" w:space="0" w:color="000000"/>
              <w:bottom w:val="single" w:sz="4" w:space="0" w:color="000000"/>
              <w:right w:val="single" w:sz="4" w:space="0" w:color="000000"/>
            </w:tcBorders>
          </w:tcPr>
          <w:p w14:paraId="23AFCBE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3.2.S.1.1</w:t>
            </w:r>
          </w:p>
        </w:tc>
      </w:tr>
      <w:tr w:rsidR="008C76E0" w:rsidRPr="00BD7577" w14:paraId="083F7D35" w14:textId="77777777" w:rsidTr="008C76E0">
        <w:trPr>
          <w:jc w:val="center"/>
        </w:trPr>
        <w:tc>
          <w:tcPr>
            <w:tcW w:w="1526" w:type="dxa"/>
            <w:vMerge/>
            <w:tcBorders>
              <w:left w:val="single" w:sz="4" w:space="0" w:color="000000"/>
              <w:right w:val="single" w:sz="4" w:space="0" w:color="000000"/>
            </w:tcBorders>
            <w:shd w:val="clear" w:color="auto" w:fill="E7E7E7"/>
          </w:tcPr>
          <w:p w14:paraId="1FCDC7C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47591C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D65740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8200A8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03FBCE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3.2.S.1.2</w:t>
            </w:r>
          </w:p>
        </w:tc>
      </w:tr>
      <w:tr w:rsidR="008C76E0" w:rsidRPr="00BD7577" w14:paraId="36698479" w14:textId="77777777" w:rsidTr="008C76E0">
        <w:trPr>
          <w:jc w:val="center"/>
        </w:trPr>
        <w:tc>
          <w:tcPr>
            <w:tcW w:w="1526" w:type="dxa"/>
            <w:vMerge/>
            <w:tcBorders>
              <w:left w:val="single" w:sz="4" w:space="0" w:color="000000"/>
              <w:right w:val="single" w:sz="4" w:space="0" w:color="000000"/>
            </w:tcBorders>
            <w:shd w:val="clear" w:color="auto" w:fill="E7E7E7"/>
          </w:tcPr>
          <w:p w14:paraId="06B31B12"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022399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C08043C"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3A975C58"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BBE810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3.2.S.1.3</w:t>
            </w:r>
          </w:p>
        </w:tc>
      </w:tr>
      <w:tr w:rsidR="008C76E0" w:rsidRPr="00BD7577" w14:paraId="309A0ADA" w14:textId="77777777" w:rsidTr="008C76E0">
        <w:trPr>
          <w:jc w:val="center"/>
        </w:trPr>
        <w:tc>
          <w:tcPr>
            <w:tcW w:w="1526" w:type="dxa"/>
            <w:vMerge/>
            <w:tcBorders>
              <w:left w:val="single" w:sz="4" w:space="0" w:color="000000"/>
              <w:right w:val="single" w:sz="4" w:space="0" w:color="000000"/>
            </w:tcBorders>
            <w:shd w:val="clear" w:color="auto" w:fill="E7E7E7"/>
          </w:tcPr>
          <w:p w14:paraId="090BEB01"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9433F0F"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3D6F70C"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38D03D9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3.2.S.2</w:t>
            </w:r>
          </w:p>
        </w:tc>
        <w:tc>
          <w:tcPr>
            <w:tcW w:w="2237" w:type="dxa"/>
            <w:tcBorders>
              <w:top w:val="single" w:sz="4" w:space="0" w:color="000000"/>
              <w:left w:val="single" w:sz="4" w:space="0" w:color="000000"/>
              <w:bottom w:val="single" w:sz="4" w:space="0" w:color="000000"/>
              <w:right w:val="single" w:sz="4" w:space="0" w:color="000000"/>
            </w:tcBorders>
          </w:tcPr>
          <w:p w14:paraId="27D850A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3.2.S.2.1</w:t>
            </w:r>
          </w:p>
        </w:tc>
      </w:tr>
      <w:tr w:rsidR="008C76E0" w:rsidRPr="00BD7577" w14:paraId="3E778B88" w14:textId="77777777" w:rsidTr="008C76E0">
        <w:trPr>
          <w:jc w:val="center"/>
        </w:trPr>
        <w:tc>
          <w:tcPr>
            <w:tcW w:w="1526" w:type="dxa"/>
            <w:vMerge/>
            <w:tcBorders>
              <w:left w:val="single" w:sz="4" w:space="0" w:color="000000"/>
              <w:right w:val="single" w:sz="4" w:space="0" w:color="000000"/>
            </w:tcBorders>
            <w:shd w:val="clear" w:color="auto" w:fill="E7E7E7"/>
          </w:tcPr>
          <w:p w14:paraId="209F294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FF921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B9340A9"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4B246CDC"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F71091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3.2.S.2.2</w:t>
            </w:r>
          </w:p>
        </w:tc>
      </w:tr>
      <w:tr w:rsidR="008C76E0" w:rsidRPr="00BD7577" w14:paraId="30299A2C" w14:textId="77777777" w:rsidTr="008C76E0">
        <w:trPr>
          <w:jc w:val="center"/>
        </w:trPr>
        <w:tc>
          <w:tcPr>
            <w:tcW w:w="1526" w:type="dxa"/>
            <w:vMerge/>
            <w:tcBorders>
              <w:left w:val="single" w:sz="4" w:space="0" w:color="000000"/>
              <w:right w:val="single" w:sz="4" w:space="0" w:color="000000"/>
            </w:tcBorders>
            <w:shd w:val="clear" w:color="auto" w:fill="E7E7E7"/>
          </w:tcPr>
          <w:p w14:paraId="0B30ACC3"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5606BD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F15D705"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43E6B25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045446B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3.2.S.2.3</w:t>
            </w:r>
          </w:p>
        </w:tc>
      </w:tr>
      <w:tr w:rsidR="008C76E0" w:rsidRPr="00BD7577" w14:paraId="7DB84E58" w14:textId="77777777" w:rsidTr="008C76E0">
        <w:trPr>
          <w:jc w:val="center"/>
        </w:trPr>
        <w:tc>
          <w:tcPr>
            <w:tcW w:w="1526" w:type="dxa"/>
            <w:vMerge/>
            <w:tcBorders>
              <w:left w:val="single" w:sz="4" w:space="0" w:color="000000"/>
              <w:right w:val="single" w:sz="4" w:space="0" w:color="000000"/>
            </w:tcBorders>
            <w:shd w:val="clear" w:color="auto" w:fill="E7E7E7"/>
          </w:tcPr>
          <w:p w14:paraId="470C4C9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DE34F6A"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46A7A6F"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3E7E7DE"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2B6E69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3.2.S.2.4</w:t>
            </w:r>
          </w:p>
        </w:tc>
      </w:tr>
      <w:tr w:rsidR="008C76E0" w:rsidRPr="00BD7577" w14:paraId="767998DC" w14:textId="77777777" w:rsidTr="008C76E0">
        <w:trPr>
          <w:jc w:val="center"/>
        </w:trPr>
        <w:tc>
          <w:tcPr>
            <w:tcW w:w="1526" w:type="dxa"/>
            <w:vMerge/>
            <w:tcBorders>
              <w:left w:val="single" w:sz="4" w:space="0" w:color="000000"/>
              <w:right w:val="single" w:sz="4" w:space="0" w:color="000000"/>
            </w:tcBorders>
            <w:shd w:val="clear" w:color="auto" w:fill="E7E7E7"/>
          </w:tcPr>
          <w:p w14:paraId="22A287F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04714A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1EF2EA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FDE2937"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8E00DA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3.2.S.2.5</w:t>
            </w:r>
          </w:p>
        </w:tc>
      </w:tr>
      <w:tr w:rsidR="008C76E0" w:rsidRPr="00BD7577" w14:paraId="00EA36DB" w14:textId="77777777" w:rsidTr="008C76E0">
        <w:trPr>
          <w:jc w:val="center"/>
        </w:trPr>
        <w:tc>
          <w:tcPr>
            <w:tcW w:w="1526" w:type="dxa"/>
            <w:vMerge/>
            <w:tcBorders>
              <w:left w:val="single" w:sz="4" w:space="0" w:color="000000"/>
              <w:right w:val="single" w:sz="4" w:space="0" w:color="000000"/>
            </w:tcBorders>
            <w:shd w:val="clear" w:color="auto" w:fill="E7E7E7"/>
          </w:tcPr>
          <w:p w14:paraId="31EA292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F39B97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48D3DE8"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98CDD4D"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C129BA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3.2.S.2.6</w:t>
            </w:r>
          </w:p>
        </w:tc>
      </w:tr>
      <w:tr w:rsidR="008C76E0" w:rsidRPr="00BD7577" w14:paraId="280A6224" w14:textId="77777777" w:rsidTr="008C76E0">
        <w:trPr>
          <w:jc w:val="center"/>
        </w:trPr>
        <w:tc>
          <w:tcPr>
            <w:tcW w:w="1526" w:type="dxa"/>
            <w:vMerge/>
            <w:tcBorders>
              <w:left w:val="single" w:sz="4" w:space="0" w:color="000000"/>
              <w:right w:val="single" w:sz="4" w:space="0" w:color="000000"/>
            </w:tcBorders>
            <w:shd w:val="clear" w:color="auto" w:fill="E7E7E7"/>
          </w:tcPr>
          <w:p w14:paraId="3447133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5B95D3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33A788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052E142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3.2.S.3</w:t>
            </w:r>
          </w:p>
        </w:tc>
        <w:tc>
          <w:tcPr>
            <w:tcW w:w="2237" w:type="dxa"/>
            <w:tcBorders>
              <w:top w:val="single" w:sz="4" w:space="0" w:color="000000"/>
              <w:left w:val="single" w:sz="4" w:space="0" w:color="000000"/>
              <w:bottom w:val="single" w:sz="4" w:space="0" w:color="000000"/>
              <w:right w:val="single" w:sz="4" w:space="0" w:color="000000"/>
            </w:tcBorders>
          </w:tcPr>
          <w:p w14:paraId="53C7837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3.2.S.3.1</w:t>
            </w:r>
          </w:p>
        </w:tc>
      </w:tr>
      <w:tr w:rsidR="008C76E0" w:rsidRPr="00BD7577" w14:paraId="70A22A24" w14:textId="77777777" w:rsidTr="008C76E0">
        <w:trPr>
          <w:jc w:val="center"/>
        </w:trPr>
        <w:tc>
          <w:tcPr>
            <w:tcW w:w="1526" w:type="dxa"/>
            <w:vMerge/>
            <w:tcBorders>
              <w:left w:val="single" w:sz="4" w:space="0" w:color="000000"/>
              <w:right w:val="single" w:sz="4" w:space="0" w:color="000000"/>
            </w:tcBorders>
            <w:shd w:val="clear" w:color="auto" w:fill="E7E7E7"/>
          </w:tcPr>
          <w:p w14:paraId="3163BB9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A21939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528A123"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2BA90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A56024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3.2.S.3.2</w:t>
            </w:r>
          </w:p>
        </w:tc>
      </w:tr>
      <w:tr w:rsidR="008C76E0" w:rsidRPr="00BD7577" w14:paraId="7AB2AA00" w14:textId="77777777" w:rsidTr="008C76E0">
        <w:trPr>
          <w:jc w:val="center"/>
        </w:trPr>
        <w:tc>
          <w:tcPr>
            <w:tcW w:w="1526" w:type="dxa"/>
            <w:vMerge/>
            <w:tcBorders>
              <w:left w:val="single" w:sz="4" w:space="0" w:color="000000"/>
              <w:right w:val="single" w:sz="4" w:space="0" w:color="000000"/>
            </w:tcBorders>
            <w:shd w:val="clear" w:color="auto" w:fill="E7E7E7"/>
          </w:tcPr>
          <w:p w14:paraId="1837AAC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AA060E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5B23D01"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01DB4D5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3.2.S.4</w:t>
            </w:r>
          </w:p>
        </w:tc>
        <w:tc>
          <w:tcPr>
            <w:tcW w:w="2237" w:type="dxa"/>
            <w:tcBorders>
              <w:top w:val="single" w:sz="4" w:space="0" w:color="000000"/>
              <w:left w:val="single" w:sz="4" w:space="0" w:color="000000"/>
              <w:bottom w:val="single" w:sz="4" w:space="0" w:color="000000"/>
              <w:right w:val="single" w:sz="4" w:space="0" w:color="000000"/>
            </w:tcBorders>
          </w:tcPr>
          <w:p w14:paraId="5532033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3.2.S.4.1</w:t>
            </w:r>
          </w:p>
        </w:tc>
      </w:tr>
      <w:tr w:rsidR="008C76E0" w:rsidRPr="00BD7577" w14:paraId="5AE34C53" w14:textId="77777777" w:rsidTr="008C76E0">
        <w:trPr>
          <w:jc w:val="center"/>
        </w:trPr>
        <w:tc>
          <w:tcPr>
            <w:tcW w:w="1526" w:type="dxa"/>
            <w:vMerge/>
            <w:tcBorders>
              <w:left w:val="single" w:sz="4" w:space="0" w:color="000000"/>
              <w:right w:val="single" w:sz="4" w:space="0" w:color="000000"/>
            </w:tcBorders>
            <w:shd w:val="clear" w:color="auto" w:fill="E7E7E7"/>
          </w:tcPr>
          <w:p w14:paraId="3330C25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09CD66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BD91F5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6394B0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A53C61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3.2.S.4.2</w:t>
            </w:r>
          </w:p>
        </w:tc>
      </w:tr>
      <w:tr w:rsidR="008C76E0" w:rsidRPr="00BD7577" w14:paraId="18E3FC82" w14:textId="77777777" w:rsidTr="008C76E0">
        <w:trPr>
          <w:jc w:val="center"/>
        </w:trPr>
        <w:tc>
          <w:tcPr>
            <w:tcW w:w="1526" w:type="dxa"/>
            <w:vMerge/>
            <w:tcBorders>
              <w:left w:val="single" w:sz="4" w:space="0" w:color="000000"/>
              <w:right w:val="single" w:sz="4" w:space="0" w:color="000000"/>
            </w:tcBorders>
            <w:shd w:val="clear" w:color="auto" w:fill="E7E7E7"/>
          </w:tcPr>
          <w:p w14:paraId="5CF4028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81241A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F6E3FA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38C86D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11CCC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3.2.S.4.3</w:t>
            </w:r>
          </w:p>
        </w:tc>
      </w:tr>
      <w:tr w:rsidR="008C76E0" w:rsidRPr="00BD7577" w14:paraId="2216A125" w14:textId="77777777" w:rsidTr="008C76E0">
        <w:trPr>
          <w:jc w:val="center"/>
        </w:trPr>
        <w:tc>
          <w:tcPr>
            <w:tcW w:w="1526" w:type="dxa"/>
            <w:vMerge/>
            <w:tcBorders>
              <w:left w:val="single" w:sz="4" w:space="0" w:color="000000"/>
              <w:right w:val="single" w:sz="4" w:space="0" w:color="000000"/>
            </w:tcBorders>
            <w:shd w:val="clear" w:color="auto" w:fill="E7E7E7"/>
          </w:tcPr>
          <w:p w14:paraId="7D5AD8E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13FC8F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70CBA3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2E50A2B4"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67E9B3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3.2.S.4.4</w:t>
            </w:r>
          </w:p>
        </w:tc>
      </w:tr>
      <w:tr w:rsidR="008C76E0" w:rsidRPr="00BD7577" w14:paraId="0B977AB4" w14:textId="77777777" w:rsidTr="008C76E0">
        <w:trPr>
          <w:jc w:val="center"/>
        </w:trPr>
        <w:tc>
          <w:tcPr>
            <w:tcW w:w="1526" w:type="dxa"/>
            <w:vMerge/>
            <w:tcBorders>
              <w:left w:val="single" w:sz="4" w:space="0" w:color="000000"/>
              <w:right w:val="single" w:sz="4" w:space="0" w:color="000000"/>
            </w:tcBorders>
            <w:shd w:val="clear" w:color="auto" w:fill="E7E7E7"/>
          </w:tcPr>
          <w:p w14:paraId="5930D97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212851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B88904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2114EF1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B24BDF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3.2.S.4.5</w:t>
            </w:r>
          </w:p>
        </w:tc>
      </w:tr>
      <w:tr w:rsidR="008C76E0" w:rsidRPr="00BD7577" w14:paraId="2E216452" w14:textId="77777777" w:rsidTr="008C76E0">
        <w:trPr>
          <w:jc w:val="center"/>
        </w:trPr>
        <w:tc>
          <w:tcPr>
            <w:tcW w:w="1526" w:type="dxa"/>
            <w:vMerge/>
            <w:tcBorders>
              <w:left w:val="single" w:sz="4" w:space="0" w:color="000000"/>
              <w:right w:val="single" w:sz="4" w:space="0" w:color="000000"/>
            </w:tcBorders>
            <w:shd w:val="clear" w:color="auto" w:fill="E7E7E7"/>
          </w:tcPr>
          <w:p w14:paraId="4D4B0F0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38D4063"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CEBE78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311F51B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3.2.S.5</w:t>
            </w:r>
          </w:p>
        </w:tc>
        <w:tc>
          <w:tcPr>
            <w:tcW w:w="2237" w:type="dxa"/>
            <w:tcBorders>
              <w:top w:val="single" w:sz="4" w:space="0" w:color="000000"/>
              <w:left w:val="single" w:sz="4" w:space="0" w:color="000000"/>
              <w:bottom w:val="single" w:sz="4" w:space="0" w:color="000000"/>
              <w:right w:val="single" w:sz="4" w:space="0" w:color="000000"/>
            </w:tcBorders>
          </w:tcPr>
          <w:p w14:paraId="198F6BA5" w14:textId="77777777" w:rsidR="008C76E0" w:rsidRPr="00BD7577" w:rsidRDefault="008C76E0" w:rsidP="008C76E0">
            <w:pPr>
              <w:spacing w:after="120" w:line="240" w:lineRule="auto"/>
              <w:rPr>
                <w:rFonts w:ascii="Sylfaen" w:hAnsi="Sylfaen"/>
                <w:sz w:val="24"/>
                <w:szCs w:val="24"/>
              </w:rPr>
            </w:pPr>
          </w:p>
        </w:tc>
      </w:tr>
      <w:tr w:rsidR="008C76E0" w:rsidRPr="00BD7577" w14:paraId="119CDFF8" w14:textId="77777777" w:rsidTr="008C76E0">
        <w:trPr>
          <w:jc w:val="center"/>
        </w:trPr>
        <w:tc>
          <w:tcPr>
            <w:tcW w:w="1526" w:type="dxa"/>
            <w:vMerge/>
            <w:tcBorders>
              <w:left w:val="single" w:sz="4" w:space="0" w:color="000000"/>
              <w:right w:val="single" w:sz="4" w:space="0" w:color="000000"/>
            </w:tcBorders>
            <w:shd w:val="clear" w:color="auto" w:fill="E7E7E7"/>
          </w:tcPr>
          <w:p w14:paraId="52126D4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7F77F0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CD0425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3C8F1DC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3.2.S.6</w:t>
            </w:r>
          </w:p>
        </w:tc>
        <w:tc>
          <w:tcPr>
            <w:tcW w:w="2237" w:type="dxa"/>
            <w:tcBorders>
              <w:top w:val="single" w:sz="4" w:space="0" w:color="000000"/>
              <w:left w:val="single" w:sz="4" w:space="0" w:color="000000"/>
              <w:bottom w:val="single" w:sz="4" w:space="0" w:color="000000"/>
              <w:right w:val="single" w:sz="4" w:space="0" w:color="000000"/>
            </w:tcBorders>
          </w:tcPr>
          <w:p w14:paraId="5975A737" w14:textId="77777777" w:rsidR="008C76E0" w:rsidRPr="00BD7577" w:rsidRDefault="008C76E0" w:rsidP="008C76E0">
            <w:pPr>
              <w:spacing w:after="120" w:line="240" w:lineRule="auto"/>
              <w:rPr>
                <w:rFonts w:ascii="Sylfaen" w:hAnsi="Sylfaen"/>
                <w:sz w:val="24"/>
                <w:szCs w:val="24"/>
              </w:rPr>
            </w:pPr>
          </w:p>
        </w:tc>
      </w:tr>
      <w:tr w:rsidR="008C76E0" w:rsidRPr="00BD7577" w14:paraId="465514BA" w14:textId="77777777" w:rsidTr="008C76E0">
        <w:trPr>
          <w:jc w:val="center"/>
        </w:trPr>
        <w:tc>
          <w:tcPr>
            <w:tcW w:w="1526" w:type="dxa"/>
            <w:vMerge/>
            <w:tcBorders>
              <w:left w:val="single" w:sz="4" w:space="0" w:color="000000"/>
              <w:right w:val="single" w:sz="4" w:space="0" w:color="000000"/>
            </w:tcBorders>
            <w:shd w:val="clear" w:color="auto" w:fill="E7E7E7"/>
          </w:tcPr>
          <w:p w14:paraId="4A48F1A7"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B6B753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47CF895"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19591CC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3.2.S.7</w:t>
            </w:r>
          </w:p>
        </w:tc>
        <w:tc>
          <w:tcPr>
            <w:tcW w:w="2237" w:type="dxa"/>
            <w:tcBorders>
              <w:top w:val="single" w:sz="4" w:space="0" w:color="000000"/>
              <w:left w:val="single" w:sz="4" w:space="0" w:color="000000"/>
              <w:bottom w:val="single" w:sz="4" w:space="0" w:color="000000"/>
              <w:right w:val="single" w:sz="4" w:space="0" w:color="000000"/>
            </w:tcBorders>
          </w:tcPr>
          <w:p w14:paraId="0AB113E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3.2.S.7.1</w:t>
            </w:r>
          </w:p>
        </w:tc>
      </w:tr>
      <w:tr w:rsidR="008C76E0" w:rsidRPr="00BD7577" w14:paraId="35DB5097" w14:textId="77777777" w:rsidTr="008C76E0">
        <w:trPr>
          <w:jc w:val="center"/>
        </w:trPr>
        <w:tc>
          <w:tcPr>
            <w:tcW w:w="1526" w:type="dxa"/>
            <w:vMerge/>
            <w:tcBorders>
              <w:left w:val="single" w:sz="4" w:space="0" w:color="000000"/>
              <w:right w:val="single" w:sz="4" w:space="0" w:color="000000"/>
            </w:tcBorders>
            <w:shd w:val="clear" w:color="auto" w:fill="E7E7E7"/>
          </w:tcPr>
          <w:p w14:paraId="490909E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ACE813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401D0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9A7888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B2CEF0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3.2.S.7.2</w:t>
            </w:r>
          </w:p>
        </w:tc>
      </w:tr>
      <w:tr w:rsidR="008C76E0" w:rsidRPr="00BD7577" w14:paraId="0EB1BD6C" w14:textId="77777777" w:rsidTr="008C76E0">
        <w:trPr>
          <w:jc w:val="center"/>
        </w:trPr>
        <w:tc>
          <w:tcPr>
            <w:tcW w:w="1526" w:type="dxa"/>
            <w:vMerge/>
            <w:tcBorders>
              <w:left w:val="single" w:sz="4" w:space="0" w:color="000000"/>
              <w:right w:val="single" w:sz="4" w:space="0" w:color="000000"/>
            </w:tcBorders>
            <w:shd w:val="clear" w:color="auto" w:fill="E7E7E7"/>
          </w:tcPr>
          <w:p w14:paraId="39AF715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A9D0C0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15E40D9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68EA1C8A"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7855CD4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3.2.S.7.3</w:t>
            </w:r>
          </w:p>
        </w:tc>
      </w:tr>
      <w:tr w:rsidR="008C76E0" w:rsidRPr="00BD7577" w14:paraId="256EC3ED" w14:textId="77777777" w:rsidTr="008C76E0">
        <w:trPr>
          <w:jc w:val="center"/>
        </w:trPr>
        <w:tc>
          <w:tcPr>
            <w:tcW w:w="1526" w:type="dxa"/>
            <w:vMerge/>
            <w:tcBorders>
              <w:left w:val="single" w:sz="4" w:space="0" w:color="000000"/>
              <w:right w:val="single" w:sz="4" w:space="0" w:color="000000"/>
            </w:tcBorders>
            <w:shd w:val="clear" w:color="auto" w:fill="E7E7E7"/>
          </w:tcPr>
          <w:p w14:paraId="53BC7F6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01712C01"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6DB1C6B3"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w:t>
            </w:r>
            <w:r w:rsidR="00814E26" w:rsidRPr="00814E26">
              <w:rPr>
                <w:rStyle w:val="FootnoteReference"/>
                <w:rFonts w:ascii="Sylfaen" w:hAnsi="Sylfaen"/>
                <w:sz w:val="24"/>
                <w:szCs w:val="24"/>
              </w:rPr>
              <w:footnoteReference w:id="34"/>
            </w:r>
          </w:p>
        </w:tc>
        <w:tc>
          <w:tcPr>
            <w:tcW w:w="1927" w:type="dxa"/>
            <w:tcBorders>
              <w:top w:val="single" w:sz="4" w:space="0" w:color="000000"/>
              <w:left w:val="single" w:sz="4" w:space="0" w:color="000000"/>
              <w:bottom w:val="single" w:sz="4" w:space="0" w:color="000000"/>
              <w:right w:val="single" w:sz="4" w:space="0" w:color="000000"/>
            </w:tcBorders>
          </w:tcPr>
          <w:p w14:paraId="5820C4E7"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3.2.P.1</w:t>
            </w:r>
          </w:p>
        </w:tc>
        <w:tc>
          <w:tcPr>
            <w:tcW w:w="2237" w:type="dxa"/>
            <w:tcBorders>
              <w:top w:val="single" w:sz="4" w:space="0" w:color="000000"/>
              <w:left w:val="single" w:sz="4" w:space="0" w:color="000000"/>
              <w:bottom w:val="single" w:sz="4" w:space="0" w:color="000000"/>
              <w:right w:val="single" w:sz="4" w:space="0" w:color="000000"/>
            </w:tcBorders>
          </w:tcPr>
          <w:p w14:paraId="7C2EAB4E" w14:textId="77777777" w:rsidR="008C76E0" w:rsidRPr="00BD7577" w:rsidRDefault="008C76E0" w:rsidP="008C76E0">
            <w:pPr>
              <w:spacing w:after="120" w:line="240" w:lineRule="auto"/>
              <w:rPr>
                <w:rFonts w:ascii="Sylfaen" w:hAnsi="Sylfaen"/>
                <w:sz w:val="24"/>
                <w:szCs w:val="24"/>
              </w:rPr>
            </w:pPr>
          </w:p>
        </w:tc>
      </w:tr>
      <w:tr w:rsidR="008C76E0" w:rsidRPr="00BD7577" w14:paraId="216714C9" w14:textId="77777777" w:rsidTr="008C76E0">
        <w:trPr>
          <w:jc w:val="center"/>
        </w:trPr>
        <w:tc>
          <w:tcPr>
            <w:tcW w:w="1526" w:type="dxa"/>
            <w:vMerge/>
            <w:tcBorders>
              <w:left w:val="single" w:sz="4" w:space="0" w:color="000000"/>
              <w:right w:val="single" w:sz="4" w:space="0" w:color="000000"/>
            </w:tcBorders>
            <w:shd w:val="clear" w:color="auto" w:fill="E7E7E7"/>
          </w:tcPr>
          <w:p w14:paraId="255F26D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E62452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B0489DE"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tcPr>
          <w:p w14:paraId="6829DE2A"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3.2.P.2</w:t>
            </w:r>
          </w:p>
        </w:tc>
        <w:tc>
          <w:tcPr>
            <w:tcW w:w="2237" w:type="dxa"/>
            <w:tcBorders>
              <w:top w:val="single" w:sz="4" w:space="0" w:color="000000"/>
              <w:left w:val="single" w:sz="4" w:space="0" w:color="000000"/>
              <w:bottom w:val="single" w:sz="4" w:space="0" w:color="000000"/>
              <w:right w:val="single" w:sz="4" w:space="0" w:color="000000"/>
            </w:tcBorders>
          </w:tcPr>
          <w:p w14:paraId="293CED44"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3.2.P.2.1</w:t>
            </w:r>
            <w:r w:rsidR="00814E26" w:rsidRPr="00814E26">
              <w:rPr>
                <w:rStyle w:val="FootnoteReference"/>
                <w:rFonts w:ascii="Sylfaen" w:hAnsi="Sylfaen"/>
                <w:sz w:val="24"/>
                <w:szCs w:val="24"/>
              </w:rPr>
              <w:footnoteReference w:id="35"/>
            </w:r>
          </w:p>
        </w:tc>
      </w:tr>
      <w:tr w:rsidR="008C76E0" w:rsidRPr="00BD7577" w14:paraId="40059264" w14:textId="77777777" w:rsidTr="008C76E0">
        <w:trPr>
          <w:jc w:val="center"/>
        </w:trPr>
        <w:tc>
          <w:tcPr>
            <w:tcW w:w="1526" w:type="dxa"/>
            <w:vMerge/>
            <w:tcBorders>
              <w:left w:val="single" w:sz="4" w:space="0" w:color="000000"/>
              <w:right w:val="single" w:sz="4" w:space="0" w:color="000000"/>
            </w:tcBorders>
            <w:shd w:val="clear" w:color="auto" w:fill="E7E7E7"/>
          </w:tcPr>
          <w:p w14:paraId="0A9516A6"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92978E"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6CCCD5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09EF847D"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4BA741F" w14:textId="77777777" w:rsidR="008C76E0" w:rsidRPr="002239BE" w:rsidRDefault="008C76E0" w:rsidP="002239BE">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 2.2</w:t>
            </w:r>
          </w:p>
        </w:tc>
      </w:tr>
      <w:tr w:rsidR="008C76E0" w:rsidRPr="00BD7577" w14:paraId="3E53B357" w14:textId="77777777" w:rsidTr="008C76E0">
        <w:trPr>
          <w:jc w:val="center"/>
        </w:trPr>
        <w:tc>
          <w:tcPr>
            <w:tcW w:w="1526" w:type="dxa"/>
            <w:vMerge/>
            <w:tcBorders>
              <w:left w:val="single" w:sz="4" w:space="0" w:color="000000"/>
              <w:right w:val="single" w:sz="4" w:space="0" w:color="000000"/>
            </w:tcBorders>
            <w:shd w:val="clear" w:color="auto" w:fill="E7E7E7"/>
          </w:tcPr>
          <w:p w14:paraId="30CDEAF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6BB90A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4A9DDE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43B251A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AF2C3F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3.2.P.2.3</w:t>
            </w:r>
          </w:p>
        </w:tc>
      </w:tr>
      <w:tr w:rsidR="008C76E0" w:rsidRPr="00BD7577" w14:paraId="33647841" w14:textId="77777777" w:rsidTr="008C76E0">
        <w:trPr>
          <w:jc w:val="center"/>
        </w:trPr>
        <w:tc>
          <w:tcPr>
            <w:tcW w:w="1526" w:type="dxa"/>
            <w:vMerge/>
            <w:tcBorders>
              <w:left w:val="single" w:sz="4" w:space="0" w:color="000000"/>
              <w:right w:val="single" w:sz="4" w:space="0" w:color="000000"/>
            </w:tcBorders>
            <w:shd w:val="clear" w:color="auto" w:fill="E7E7E7"/>
          </w:tcPr>
          <w:p w14:paraId="2C13F2B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521AD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CDD4A5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407A562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0471E5C"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3.2.P.2.4</w:t>
            </w:r>
          </w:p>
        </w:tc>
      </w:tr>
      <w:tr w:rsidR="008C76E0" w:rsidRPr="00BD7577" w14:paraId="70937CB9" w14:textId="77777777" w:rsidTr="008C76E0">
        <w:trPr>
          <w:jc w:val="center"/>
        </w:trPr>
        <w:tc>
          <w:tcPr>
            <w:tcW w:w="1526" w:type="dxa"/>
            <w:vMerge/>
            <w:tcBorders>
              <w:left w:val="single" w:sz="4" w:space="0" w:color="000000"/>
              <w:right w:val="single" w:sz="4" w:space="0" w:color="000000"/>
            </w:tcBorders>
            <w:shd w:val="clear" w:color="auto" w:fill="E7E7E7"/>
          </w:tcPr>
          <w:p w14:paraId="30661E5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8A7E44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BEE23E2"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39E35AA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218E84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3.2.P.2.5</w:t>
            </w:r>
          </w:p>
        </w:tc>
      </w:tr>
      <w:tr w:rsidR="008C76E0" w:rsidRPr="00BD7577" w14:paraId="38C45618" w14:textId="77777777" w:rsidTr="008C76E0">
        <w:trPr>
          <w:jc w:val="center"/>
        </w:trPr>
        <w:tc>
          <w:tcPr>
            <w:tcW w:w="1526" w:type="dxa"/>
            <w:vMerge/>
            <w:tcBorders>
              <w:left w:val="single" w:sz="4" w:space="0" w:color="000000"/>
              <w:right w:val="single" w:sz="4" w:space="0" w:color="000000"/>
            </w:tcBorders>
            <w:shd w:val="clear" w:color="auto" w:fill="E7E7E7"/>
          </w:tcPr>
          <w:p w14:paraId="6524C75B"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F00DB8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EF2B25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tcPr>
          <w:p w14:paraId="6FB0ADD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808E84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3.2.P.2.6</w:t>
            </w:r>
          </w:p>
        </w:tc>
      </w:tr>
      <w:tr w:rsidR="008C76E0" w:rsidRPr="00BD7577" w14:paraId="00F61EDD" w14:textId="77777777" w:rsidTr="008C76E0">
        <w:trPr>
          <w:jc w:val="center"/>
        </w:trPr>
        <w:tc>
          <w:tcPr>
            <w:tcW w:w="1526" w:type="dxa"/>
            <w:vMerge/>
            <w:tcBorders>
              <w:left w:val="single" w:sz="4" w:space="0" w:color="000000"/>
              <w:right w:val="single" w:sz="4" w:space="0" w:color="000000"/>
            </w:tcBorders>
            <w:shd w:val="clear" w:color="auto" w:fill="E7E7E7"/>
          </w:tcPr>
          <w:p w14:paraId="5F27B02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9ED045"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7A8AEB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5D42D56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3.2.P.3</w:t>
            </w:r>
          </w:p>
        </w:tc>
        <w:tc>
          <w:tcPr>
            <w:tcW w:w="2237" w:type="dxa"/>
            <w:tcBorders>
              <w:top w:val="single" w:sz="4" w:space="0" w:color="000000"/>
              <w:left w:val="single" w:sz="4" w:space="0" w:color="000000"/>
              <w:bottom w:val="single" w:sz="4" w:space="0" w:color="000000"/>
              <w:right w:val="single" w:sz="4" w:space="0" w:color="000000"/>
            </w:tcBorders>
          </w:tcPr>
          <w:p w14:paraId="6800C79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3.2.P.3.1</w:t>
            </w:r>
          </w:p>
        </w:tc>
      </w:tr>
      <w:tr w:rsidR="008C76E0" w:rsidRPr="00BD7577" w14:paraId="2397BDDD" w14:textId="77777777" w:rsidTr="008C76E0">
        <w:trPr>
          <w:jc w:val="center"/>
        </w:trPr>
        <w:tc>
          <w:tcPr>
            <w:tcW w:w="1526" w:type="dxa"/>
            <w:vMerge/>
            <w:tcBorders>
              <w:left w:val="single" w:sz="4" w:space="0" w:color="000000"/>
              <w:right w:val="single" w:sz="4" w:space="0" w:color="000000"/>
            </w:tcBorders>
            <w:shd w:val="clear" w:color="auto" w:fill="E7E7E7"/>
          </w:tcPr>
          <w:p w14:paraId="7D0AB56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EDF698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7BE004F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C2C001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F0BD2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3.2.P.3.2</w:t>
            </w:r>
          </w:p>
        </w:tc>
      </w:tr>
      <w:tr w:rsidR="008C76E0" w:rsidRPr="00BD7577" w14:paraId="2104E064" w14:textId="77777777" w:rsidTr="008C76E0">
        <w:trPr>
          <w:jc w:val="center"/>
        </w:trPr>
        <w:tc>
          <w:tcPr>
            <w:tcW w:w="1526" w:type="dxa"/>
            <w:vMerge/>
            <w:tcBorders>
              <w:left w:val="single" w:sz="4" w:space="0" w:color="000000"/>
              <w:right w:val="single" w:sz="4" w:space="0" w:color="000000"/>
            </w:tcBorders>
            <w:shd w:val="clear" w:color="auto" w:fill="E7E7E7"/>
          </w:tcPr>
          <w:p w14:paraId="0F5B8BB3"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60AFF4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EF06245"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6F6C73C"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4461E4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3.2.P.3.3</w:t>
            </w:r>
          </w:p>
        </w:tc>
      </w:tr>
      <w:tr w:rsidR="008C76E0" w:rsidRPr="00BD7577" w14:paraId="5354243C" w14:textId="77777777" w:rsidTr="008C76E0">
        <w:trPr>
          <w:trHeight w:val="544"/>
          <w:jc w:val="center"/>
        </w:trPr>
        <w:tc>
          <w:tcPr>
            <w:tcW w:w="1526" w:type="dxa"/>
            <w:vMerge/>
            <w:tcBorders>
              <w:left w:val="single" w:sz="4" w:space="0" w:color="000000"/>
              <w:right w:val="single" w:sz="4" w:space="0" w:color="000000"/>
            </w:tcBorders>
            <w:shd w:val="clear" w:color="auto" w:fill="E7E7E7"/>
          </w:tcPr>
          <w:p w14:paraId="53211832"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7AA150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2F55F60"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6A58915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2CC513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3.2.P.3.4</w:t>
            </w:r>
          </w:p>
        </w:tc>
      </w:tr>
      <w:tr w:rsidR="008C76E0" w:rsidRPr="00BD7577" w14:paraId="189D19BC" w14:textId="77777777" w:rsidTr="008C76E0">
        <w:trPr>
          <w:jc w:val="center"/>
        </w:trPr>
        <w:tc>
          <w:tcPr>
            <w:tcW w:w="1526" w:type="dxa"/>
            <w:vMerge/>
            <w:tcBorders>
              <w:left w:val="single" w:sz="4" w:space="0" w:color="000000"/>
              <w:right w:val="single" w:sz="4" w:space="0" w:color="000000"/>
            </w:tcBorders>
            <w:shd w:val="clear" w:color="auto" w:fill="E7E7E7"/>
          </w:tcPr>
          <w:p w14:paraId="5DFF04A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B62B2B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46E0E5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D28D18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1FA410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3.2.P.3.5</w:t>
            </w:r>
          </w:p>
        </w:tc>
      </w:tr>
      <w:tr w:rsidR="008C76E0" w:rsidRPr="00BD7577" w14:paraId="7F942307" w14:textId="77777777" w:rsidTr="008C76E0">
        <w:trPr>
          <w:jc w:val="center"/>
        </w:trPr>
        <w:tc>
          <w:tcPr>
            <w:tcW w:w="1526" w:type="dxa"/>
            <w:vMerge/>
            <w:tcBorders>
              <w:left w:val="single" w:sz="4" w:space="0" w:color="000000"/>
              <w:right w:val="single" w:sz="4" w:space="0" w:color="000000"/>
            </w:tcBorders>
            <w:shd w:val="clear" w:color="auto" w:fill="E7E7E7"/>
          </w:tcPr>
          <w:p w14:paraId="5DF10E9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03CAD4F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7599E9E"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426C96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3.2.P.4</w:t>
            </w:r>
          </w:p>
        </w:tc>
        <w:tc>
          <w:tcPr>
            <w:tcW w:w="2237" w:type="dxa"/>
            <w:tcBorders>
              <w:top w:val="single" w:sz="4" w:space="0" w:color="000000"/>
              <w:left w:val="single" w:sz="4" w:space="0" w:color="000000"/>
              <w:bottom w:val="single" w:sz="4" w:space="0" w:color="000000"/>
              <w:right w:val="single" w:sz="4" w:space="0" w:color="000000"/>
            </w:tcBorders>
          </w:tcPr>
          <w:p w14:paraId="3F0A0CA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3.2.P.4.1</w:t>
            </w:r>
          </w:p>
        </w:tc>
      </w:tr>
      <w:tr w:rsidR="008C76E0" w:rsidRPr="00BD7577" w14:paraId="32FF5B71" w14:textId="77777777" w:rsidTr="008C76E0">
        <w:trPr>
          <w:jc w:val="center"/>
        </w:trPr>
        <w:tc>
          <w:tcPr>
            <w:tcW w:w="1526" w:type="dxa"/>
            <w:vMerge/>
            <w:tcBorders>
              <w:left w:val="single" w:sz="4" w:space="0" w:color="000000"/>
              <w:right w:val="single" w:sz="4" w:space="0" w:color="000000"/>
            </w:tcBorders>
            <w:shd w:val="clear" w:color="auto" w:fill="E7E7E7"/>
          </w:tcPr>
          <w:p w14:paraId="7110C4D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B5D6645"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929350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7CE3AD0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5719F7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3.2.P.4.2</w:t>
            </w:r>
          </w:p>
        </w:tc>
      </w:tr>
      <w:tr w:rsidR="008C76E0" w:rsidRPr="00BD7577" w14:paraId="1C531D5C" w14:textId="77777777" w:rsidTr="008C76E0">
        <w:trPr>
          <w:jc w:val="center"/>
        </w:trPr>
        <w:tc>
          <w:tcPr>
            <w:tcW w:w="1526" w:type="dxa"/>
            <w:vMerge/>
            <w:tcBorders>
              <w:left w:val="single" w:sz="4" w:space="0" w:color="000000"/>
              <w:right w:val="single" w:sz="4" w:space="0" w:color="000000"/>
            </w:tcBorders>
            <w:shd w:val="clear" w:color="auto" w:fill="E7E7E7"/>
          </w:tcPr>
          <w:p w14:paraId="0963D54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5F97C0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17E8B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3479BF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D36D9E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3.2.P.4.3</w:t>
            </w:r>
          </w:p>
        </w:tc>
      </w:tr>
      <w:tr w:rsidR="008C76E0" w:rsidRPr="00BD7577" w14:paraId="48ADD533" w14:textId="77777777" w:rsidTr="008C76E0">
        <w:trPr>
          <w:jc w:val="center"/>
        </w:trPr>
        <w:tc>
          <w:tcPr>
            <w:tcW w:w="1526" w:type="dxa"/>
            <w:vMerge/>
            <w:tcBorders>
              <w:left w:val="single" w:sz="4" w:space="0" w:color="000000"/>
              <w:right w:val="single" w:sz="4" w:space="0" w:color="000000"/>
            </w:tcBorders>
            <w:shd w:val="clear" w:color="auto" w:fill="E7E7E7"/>
          </w:tcPr>
          <w:p w14:paraId="3B9A181B"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19B9AC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98E7FE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ACD2A5E"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BDF182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3.2.P.4.4</w:t>
            </w:r>
          </w:p>
        </w:tc>
      </w:tr>
      <w:tr w:rsidR="008C76E0" w:rsidRPr="00BD7577" w14:paraId="4F0C4FB0" w14:textId="77777777" w:rsidTr="008C76E0">
        <w:trPr>
          <w:jc w:val="center"/>
        </w:trPr>
        <w:tc>
          <w:tcPr>
            <w:tcW w:w="1526" w:type="dxa"/>
            <w:vMerge/>
            <w:tcBorders>
              <w:left w:val="single" w:sz="4" w:space="0" w:color="000000"/>
              <w:right w:val="single" w:sz="4" w:space="0" w:color="000000"/>
            </w:tcBorders>
            <w:shd w:val="clear" w:color="auto" w:fill="E7E7E7"/>
          </w:tcPr>
          <w:p w14:paraId="4FD8E13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E45C79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606AAF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28D8DD8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2B684A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3.2.P.4.5</w:t>
            </w:r>
          </w:p>
        </w:tc>
      </w:tr>
      <w:tr w:rsidR="008C76E0" w:rsidRPr="00BD7577" w14:paraId="69706704" w14:textId="77777777" w:rsidTr="008C76E0">
        <w:trPr>
          <w:jc w:val="center"/>
        </w:trPr>
        <w:tc>
          <w:tcPr>
            <w:tcW w:w="1526" w:type="dxa"/>
            <w:vMerge/>
            <w:tcBorders>
              <w:left w:val="single" w:sz="4" w:space="0" w:color="000000"/>
              <w:right w:val="single" w:sz="4" w:space="0" w:color="000000"/>
            </w:tcBorders>
            <w:shd w:val="clear" w:color="auto" w:fill="E7E7E7"/>
          </w:tcPr>
          <w:p w14:paraId="2659FC4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530653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CA6FF7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DA42D7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E70D3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3.2.P.4.6</w:t>
            </w:r>
          </w:p>
        </w:tc>
      </w:tr>
      <w:tr w:rsidR="008C76E0" w:rsidRPr="00BD7577" w14:paraId="11F06219" w14:textId="77777777" w:rsidTr="008C76E0">
        <w:trPr>
          <w:trHeight w:val="508"/>
          <w:jc w:val="center"/>
        </w:trPr>
        <w:tc>
          <w:tcPr>
            <w:tcW w:w="1526" w:type="dxa"/>
            <w:vMerge/>
            <w:tcBorders>
              <w:left w:val="single" w:sz="4" w:space="0" w:color="000000"/>
              <w:right w:val="single" w:sz="4" w:space="0" w:color="000000"/>
            </w:tcBorders>
            <w:shd w:val="clear" w:color="auto" w:fill="E7E7E7"/>
          </w:tcPr>
          <w:p w14:paraId="182CF76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1BA99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046062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9661EF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3.2.P.5</w:t>
            </w:r>
          </w:p>
        </w:tc>
        <w:tc>
          <w:tcPr>
            <w:tcW w:w="2237" w:type="dxa"/>
            <w:tcBorders>
              <w:top w:val="single" w:sz="4" w:space="0" w:color="000000"/>
              <w:left w:val="single" w:sz="4" w:space="0" w:color="000000"/>
              <w:bottom w:val="single" w:sz="4" w:space="0" w:color="000000"/>
              <w:right w:val="single" w:sz="4" w:space="0" w:color="000000"/>
            </w:tcBorders>
          </w:tcPr>
          <w:p w14:paraId="0DBFCB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3.2.P.5.1</w:t>
            </w:r>
          </w:p>
        </w:tc>
      </w:tr>
      <w:tr w:rsidR="008C76E0" w:rsidRPr="00BD7577" w14:paraId="7CA8FE79" w14:textId="77777777" w:rsidTr="008C76E0">
        <w:trPr>
          <w:jc w:val="center"/>
        </w:trPr>
        <w:tc>
          <w:tcPr>
            <w:tcW w:w="1526" w:type="dxa"/>
            <w:vMerge/>
            <w:tcBorders>
              <w:left w:val="single" w:sz="4" w:space="0" w:color="000000"/>
              <w:right w:val="single" w:sz="4" w:space="0" w:color="000000"/>
            </w:tcBorders>
            <w:shd w:val="clear" w:color="auto" w:fill="E7E7E7"/>
          </w:tcPr>
          <w:p w14:paraId="4DF0215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3AD7C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C758FD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051CFA9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3C521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3.2.P.5.2</w:t>
            </w:r>
          </w:p>
        </w:tc>
      </w:tr>
      <w:tr w:rsidR="008C76E0" w:rsidRPr="00BD7577" w14:paraId="550C8CD7" w14:textId="77777777" w:rsidTr="008C76E0">
        <w:trPr>
          <w:trHeight w:val="465"/>
          <w:jc w:val="center"/>
        </w:trPr>
        <w:tc>
          <w:tcPr>
            <w:tcW w:w="1526" w:type="dxa"/>
            <w:vMerge/>
            <w:tcBorders>
              <w:left w:val="single" w:sz="4" w:space="0" w:color="000000"/>
              <w:right w:val="single" w:sz="4" w:space="0" w:color="000000"/>
            </w:tcBorders>
            <w:shd w:val="clear" w:color="auto" w:fill="E7E7E7"/>
          </w:tcPr>
          <w:p w14:paraId="7A375CF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8F771F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7DCB82D"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99251D7"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D5A877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3.2.P.5.3</w:t>
            </w:r>
          </w:p>
        </w:tc>
      </w:tr>
      <w:tr w:rsidR="008C76E0" w:rsidRPr="00BD7577" w14:paraId="7784467D" w14:textId="77777777" w:rsidTr="008C76E0">
        <w:trPr>
          <w:trHeight w:val="531"/>
          <w:jc w:val="center"/>
        </w:trPr>
        <w:tc>
          <w:tcPr>
            <w:tcW w:w="1526" w:type="dxa"/>
            <w:vMerge/>
            <w:tcBorders>
              <w:left w:val="single" w:sz="4" w:space="0" w:color="000000"/>
              <w:bottom w:val="single" w:sz="4" w:space="0" w:color="000000"/>
              <w:right w:val="single" w:sz="4" w:space="0" w:color="000000"/>
            </w:tcBorders>
            <w:shd w:val="clear" w:color="auto" w:fill="E7E7E7"/>
          </w:tcPr>
          <w:p w14:paraId="5D840A6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2D907D7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1B29385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762FE6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BC59F7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3.2.P.5.4</w:t>
            </w:r>
          </w:p>
        </w:tc>
      </w:tr>
      <w:tr w:rsidR="008C76E0" w:rsidRPr="00BD7577" w14:paraId="4D1E9942"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28911F93"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62750F1C"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3FD194AA"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641226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BD107A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3.2.P.5.5</w:t>
            </w:r>
          </w:p>
        </w:tc>
      </w:tr>
      <w:tr w:rsidR="008C76E0" w:rsidRPr="00BD7577" w14:paraId="60BC3984" w14:textId="77777777" w:rsidTr="008C76E0">
        <w:trPr>
          <w:jc w:val="center"/>
        </w:trPr>
        <w:tc>
          <w:tcPr>
            <w:tcW w:w="1526" w:type="dxa"/>
            <w:vMerge/>
            <w:tcBorders>
              <w:left w:val="single" w:sz="4" w:space="0" w:color="000000"/>
              <w:right w:val="single" w:sz="4" w:space="0" w:color="000000"/>
            </w:tcBorders>
            <w:shd w:val="clear" w:color="auto" w:fill="E7E7E7"/>
          </w:tcPr>
          <w:p w14:paraId="29EA56D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E13269E"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BD361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8D00CA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081704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3.2.P.5.6</w:t>
            </w:r>
          </w:p>
        </w:tc>
      </w:tr>
      <w:tr w:rsidR="008C76E0" w:rsidRPr="00BD7577" w14:paraId="3A74A5D8" w14:textId="77777777" w:rsidTr="008C76E0">
        <w:trPr>
          <w:jc w:val="center"/>
        </w:trPr>
        <w:tc>
          <w:tcPr>
            <w:tcW w:w="1526" w:type="dxa"/>
            <w:vMerge/>
            <w:tcBorders>
              <w:left w:val="single" w:sz="4" w:space="0" w:color="000000"/>
              <w:right w:val="single" w:sz="4" w:space="0" w:color="000000"/>
            </w:tcBorders>
            <w:shd w:val="clear" w:color="auto" w:fill="E7E7E7"/>
          </w:tcPr>
          <w:p w14:paraId="2FF756D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ECC5B4A"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0D6FB27"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126DD5C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3.2.P.6</w:t>
            </w:r>
          </w:p>
        </w:tc>
        <w:tc>
          <w:tcPr>
            <w:tcW w:w="2237" w:type="dxa"/>
            <w:tcBorders>
              <w:top w:val="single" w:sz="4" w:space="0" w:color="000000"/>
              <w:left w:val="single" w:sz="4" w:space="0" w:color="000000"/>
              <w:bottom w:val="single" w:sz="4" w:space="0" w:color="000000"/>
              <w:right w:val="single" w:sz="4" w:space="0" w:color="000000"/>
            </w:tcBorders>
          </w:tcPr>
          <w:p w14:paraId="1AAEAECD" w14:textId="77777777" w:rsidR="008C76E0" w:rsidRPr="00BD7577" w:rsidRDefault="008C76E0" w:rsidP="008C76E0">
            <w:pPr>
              <w:spacing w:after="120" w:line="240" w:lineRule="auto"/>
              <w:rPr>
                <w:rFonts w:ascii="Sylfaen" w:hAnsi="Sylfaen"/>
                <w:sz w:val="24"/>
                <w:szCs w:val="24"/>
              </w:rPr>
            </w:pPr>
          </w:p>
        </w:tc>
      </w:tr>
      <w:tr w:rsidR="008C76E0" w:rsidRPr="00BD7577" w14:paraId="6C425101" w14:textId="77777777" w:rsidTr="008C76E0">
        <w:trPr>
          <w:jc w:val="center"/>
        </w:trPr>
        <w:tc>
          <w:tcPr>
            <w:tcW w:w="1526" w:type="dxa"/>
            <w:vMerge/>
            <w:tcBorders>
              <w:left w:val="single" w:sz="4" w:space="0" w:color="000000"/>
              <w:bottom w:val="single" w:sz="4" w:space="0" w:color="000000"/>
              <w:right w:val="single" w:sz="4" w:space="0" w:color="000000"/>
            </w:tcBorders>
            <w:shd w:val="clear" w:color="auto" w:fill="E7E7E7"/>
          </w:tcPr>
          <w:p w14:paraId="280B323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50929DF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23C387E4"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1F410A46"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3.2.P.7</w:t>
            </w:r>
          </w:p>
        </w:tc>
        <w:tc>
          <w:tcPr>
            <w:tcW w:w="2237" w:type="dxa"/>
            <w:tcBorders>
              <w:top w:val="single" w:sz="4" w:space="0" w:color="000000"/>
              <w:left w:val="single" w:sz="4" w:space="0" w:color="000000"/>
              <w:bottom w:val="single" w:sz="4" w:space="0" w:color="000000"/>
              <w:right w:val="single" w:sz="4" w:space="0" w:color="000000"/>
            </w:tcBorders>
          </w:tcPr>
          <w:p w14:paraId="1D33EE1B" w14:textId="77777777" w:rsidR="008C76E0" w:rsidRPr="00BD7577" w:rsidRDefault="008C76E0" w:rsidP="008C76E0">
            <w:pPr>
              <w:spacing w:after="120" w:line="240" w:lineRule="auto"/>
              <w:rPr>
                <w:rFonts w:ascii="Sylfaen" w:hAnsi="Sylfaen"/>
                <w:sz w:val="24"/>
                <w:szCs w:val="24"/>
              </w:rPr>
            </w:pPr>
          </w:p>
        </w:tc>
      </w:tr>
      <w:tr w:rsidR="008C76E0" w:rsidRPr="00BD7577" w14:paraId="48804586"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472A9357"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476353BC"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4890390D"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5FE974D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3.2.P.8</w:t>
            </w:r>
          </w:p>
        </w:tc>
        <w:tc>
          <w:tcPr>
            <w:tcW w:w="2237" w:type="dxa"/>
            <w:tcBorders>
              <w:top w:val="single" w:sz="4" w:space="0" w:color="000000"/>
              <w:left w:val="single" w:sz="4" w:space="0" w:color="000000"/>
              <w:bottom w:val="single" w:sz="4" w:space="0" w:color="000000"/>
              <w:right w:val="single" w:sz="4" w:space="0" w:color="000000"/>
            </w:tcBorders>
          </w:tcPr>
          <w:p w14:paraId="1A3398F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3.2.P.8.1</w:t>
            </w:r>
          </w:p>
        </w:tc>
      </w:tr>
      <w:tr w:rsidR="008C76E0" w:rsidRPr="00BD7577" w14:paraId="0428E074" w14:textId="77777777" w:rsidTr="008C76E0">
        <w:trPr>
          <w:trHeight w:val="608"/>
          <w:jc w:val="center"/>
        </w:trPr>
        <w:tc>
          <w:tcPr>
            <w:tcW w:w="1526" w:type="dxa"/>
            <w:vMerge/>
            <w:tcBorders>
              <w:left w:val="single" w:sz="4" w:space="0" w:color="000000"/>
              <w:right w:val="single" w:sz="4" w:space="0" w:color="000000"/>
            </w:tcBorders>
            <w:shd w:val="clear" w:color="auto" w:fill="E7E7E7"/>
          </w:tcPr>
          <w:p w14:paraId="7BF800F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449008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FA6394C"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6F0F50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4F3B30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3.2.P.8.2</w:t>
            </w:r>
          </w:p>
        </w:tc>
      </w:tr>
      <w:tr w:rsidR="008C76E0" w:rsidRPr="00BD7577" w14:paraId="1B75CBE1" w14:textId="77777777" w:rsidTr="008C76E0">
        <w:trPr>
          <w:jc w:val="center"/>
        </w:trPr>
        <w:tc>
          <w:tcPr>
            <w:tcW w:w="1526" w:type="dxa"/>
            <w:vMerge/>
            <w:tcBorders>
              <w:left w:val="single" w:sz="4" w:space="0" w:color="000000"/>
              <w:bottom w:val="nil"/>
              <w:right w:val="single" w:sz="4" w:space="0" w:color="000000"/>
            </w:tcBorders>
            <w:shd w:val="clear" w:color="auto" w:fill="E7E7E7"/>
          </w:tcPr>
          <w:p w14:paraId="2F3776B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nil"/>
              <w:right w:val="single" w:sz="4" w:space="0" w:color="000000"/>
            </w:tcBorders>
            <w:shd w:val="clear" w:color="auto" w:fill="E7E7E7"/>
          </w:tcPr>
          <w:p w14:paraId="7DD31E2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2737C04A"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20D8AABB"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31A853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3.2.P.8.3</w:t>
            </w:r>
          </w:p>
        </w:tc>
      </w:tr>
      <w:tr w:rsidR="008C76E0" w:rsidRPr="00BD7577" w14:paraId="25B730F3" w14:textId="77777777" w:rsidTr="008C76E0">
        <w:trPr>
          <w:trHeight w:val="515"/>
          <w:jc w:val="center"/>
        </w:trPr>
        <w:tc>
          <w:tcPr>
            <w:tcW w:w="1526" w:type="dxa"/>
            <w:vMerge w:val="restart"/>
            <w:tcBorders>
              <w:top w:val="nil"/>
              <w:left w:val="single" w:sz="4" w:space="0" w:color="000000"/>
              <w:right w:val="single" w:sz="4" w:space="0" w:color="000000"/>
            </w:tcBorders>
            <w:shd w:val="clear" w:color="auto" w:fill="E7E7E7"/>
          </w:tcPr>
          <w:p w14:paraId="111B26FF"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nil"/>
              <w:left w:val="single" w:sz="4" w:space="0" w:color="000000"/>
              <w:right w:val="single" w:sz="4" w:space="0" w:color="000000"/>
            </w:tcBorders>
            <w:shd w:val="clear" w:color="auto" w:fill="E7E7E7"/>
          </w:tcPr>
          <w:p w14:paraId="59B3B736"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5E8883C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3.2.A</w:t>
            </w:r>
          </w:p>
        </w:tc>
        <w:tc>
          <w:tcPr>
            <w:tcW w:w="1927" w:type="dxa"/>
            <w:tcBorders>
              <w:top w:val="single" w:sz="4" w:space="0" w:color="000000"/>
              <w:left w:val="single" w:sz="4" w:space="0" w:color="000000"/>
              <w:bottom w:val="single" w:sz="4" w:space="0" w:color="000000"/>
              <w:right w:val="single" w:sz="4" w:space="0" w:color="000000"/>
            </w:tcBorders>
          </w:tcPr>
          <w:p w14:paraId="36338DF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3.2.A.1</w:t>
            </w:r>
          </w:p>
        </w:tc>
        <w:tc>
          <w:tcPr>
            <w:tcW w:w="2237" w:type="dxa"/>
            <w:tcBorders>
              <w:top w:val="single" w:sz="4" w:space="0" w:color="000000"/>
              <w:left w:val="single" w:sz="4" w:space="0" w:color="000000"/>
              <w:bottom w:val="single" w:sz="4" w:space="0" w:color="000000"/>
              <w:right w:val="single" w:sz="4" w:space="0" w:color="000000"/>
            </w:tcBorders>
          </w:tcPr>
          <w:p w14:paraId="72D9B9BB" w14:textId="77777777" w:rsidR="008C76E0" w:rsidRPr="00BD7577" w:rsidRDefault="008C76E0" w:rsidP="008C76E0">
            <w:pPr>
              <w:spacing w:after="120" w:line="240" w:lineRule="auto"/>
              <w:rPr>
                <w:rFonts w:ascii="Sylfaen" w:hAnsi="Sylfaen"/>
                <w:sz w:val="24"/>
                <w:szCs w:val="24"/>
              </w:rPr>
            </w:pPr>
          </w:p>
        </w:tc>
      </w:tr>
      <w:tr w:rsidR="008C76E0" w:rsidRPr="00BD7577" w14:paraId="323276DC" w14:textId="77777777" w:rsidTr="008C76E0">
        <w:trPr>
          <w:jc w:val="center"/>
        </w:trPr>
        <w:tc>
          <w:tcPr>
            <w:tcW w:w="1526" w:type="dxa"/>
            <w:vMerge/>
            <w:tcBorders>
              <w:left w:val="single" w:sz="4" w:space="0" w:color="000000"/>
              <w:right w:val="single" w:sz="4" w:space="0" w:color="000000"/>
            </w:tcBorders>
            <w:shd w:val="clear" w:color="auto" w:fill="E7E7E7"/>
          </w:tcPr>
          <w:p w14:paraId="7FDD910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212711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88989B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5F76511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3.2.A.2</w:t>
            </w:r>
          </w:p>
        </w:tc>
        <w:tc>
          <w:tcPr>
            <w:tcW w:w="2237" w:type="dxa"/>
            <w:tcBorders>
              <w:top w:val="single" w:sz="4" w:space="0" w:color="000000"/>
              <w:left w:val="single" w:sz="4" w:space="0" w:color="000000"/>
              <w:bottom w:val="single" w:sz="4" w:space="0" w:color="000000"/>
              <w:right w:val="single" w:sz="4" w:space="0" w:color="000000"/>
            </w:tcBorders>
          </w:tcPr>
          <w:p w14:paraId="59126827" w14:textId="77777777" w:rsidR="008C76E0" w:rsidRPr="00BD7577" w:rsidRDefault="008C76E0" w:rsidP="008C76E0">
            <w:pPr>
              <w:spacing w:after="120" w:line="240" w:lineRule="auto"/>
              <w:rPr>
                <w:rFonts w:ascii="Sylfaen" w:hAnsi="Sylfaen"/>
                <w:sz w:val="24"/>
                <w:szCs w:val="24"/>
              </w:rPr>
            </w:pPr>
          </w:p>
        </w:tc>
      </w:tr>
      <w:tr w:rsidR="008C76E0" w:rsidRPr="00BD7577" w14:paraId="3C11DFBC" w14:textId="77777777" w:rsidTr="008C76E0">
        <w:trPr>
          <w:trHeight w:val="670"/>
          <w:jc w:val="center"/>
        </w:trPr>
        <w:tc>
          <w:tcPr>
            <w:tcW w:w="1526" w:type="dxa"/>
            <w:vMerge/>
            <w:tcBorders>
              <w:left w:val="single" w:sz="4" w:space="0" w:color="000000"/>
              <w:right w:val="single" w:sz="4" w:space="0" w:color="000000"/>
            </w:tcBorders>
            <w:shd w:val="clear" w:color="auto" w:fill="E7E7E7"/>
          </w:tcPr>
          <w:p w14:paraId="5506B5D4"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D7A730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5D9C051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457D62F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3.2.A.3</w:t>
            </w:r>
          </w:p>
        </w:tc>
        <w:tc>
          <w:tcPr>
            <w:tcW w:w="2237" w:type="dxa"/>
            <w:tcBorders>
              <w:top w:val="single" w:sz="4" w:space="0" w:color="000000"/>
              <w:left w:val="single" w:sz="4" w:space="0" w:color="000000"/>
              <w:bottom w:val="single" w:sz="4" w:space="0" w:color="000000"/>
              <w:right w:val="single" w:sz="4" w:space="0" w:color="000000"/>
            </w:tcBorders>
          </w:tcPr>
          <w:p w14:paraId="764B2686" w14:textId="77777777" w:rsidR="008C76E0" w:rsidRPr="00BD7577" w:rsidRDefault="008C76E0" w:rsidP="008C76E0">
            <w:pPr>
              <w:spacing w:after="120" w:line="240" w:lineRule="auto"/>
              <w:rPr>
                <w:rFonts w:ascii="Sylfaen" w:hAnsi="Sylfaen"/>
                <w:sz w:val="24"/>
                <w:szCs w:val="24"/>
              </w:rPr>
            </w:pPr>
          </w:p>
        </w:tc>
      </w:tr>
      <w:tr w:rsidR="008C76E0" w:rsidRPr="00BD7577" w14:paraId="20584C7B" w14:textId="77777777" w:rsidTr="008C76E0">
        <w:trPr>
          <w:jc w:val="center"/>
        </w:trPr>
        <w:tc>
          <w:tcPr>
            <w:tcW w:w="1526" w:type="dxa"/>
            <w:vMerge/>
            <w:tcBorders>
              <w:left w:val="single" w:sz="4" w:space="0" w:color="000000"/>
              <w:bottom w:val="nil"/>
              <w:right w:val="single" w:sz="4" w:space="0" w:color="000000"/>
            </w:tcBorders>
            <w:shd w:val="clear" w:color="auto" w:fill="E7E7E7"/>
          </w:tcPr>
          <w:p w14:paraId="14C10F4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4D740AC8" w14:textId="77777777" w:rsidR="008C76E0" w:rsidRPr="00BD7577" w:rsidRDefault="008C76E0" w:rsidP="008C76E0">
            <w:pPr>
              <w:spacing w:after="120" w:line="240" w:lineRule="auto"/>
              <w:rPr>
                <w:rFonts w:ascii="Sylfaen" w:hAnsi="Sylfaen"/>
                <w:sz w:val="24"/>
                <w:szCs w:val="24"/>
              </w:rPr>
            </w:pPr>
          </w:p>
        </w:tc>
        <w:tc>
          <w:tcPr>
            <w:tcW w:w="2815" w:type="dxa"/>
            <w:tcBorders>
              <w:top w:val="single" w:sz="4" w:space="0" w:color="000000"/>
              <w:left w:val="single" w:sz="4" w:space="0" w:color="000000"/>
              <w:bottom w:val="single" w:sz="4" w:space="0" w:color="000000"/>
              <w:right w:val="single" w:sz="4" w:space="0" w:color="000000"/>
            </w:tcBorders>
            <w:shd w:val="clear" w:color="auto" w:fill="E7E7E7"/>
          </w:tcPr>
          <w:p w14:paraId="258CE958" w14:textId="77777777" w:rsidR="008C76E0" w:rsidRDefault="008C76E0" w:rsidP="008C76E0">
            <w:pPr>
              <w:spacing w:after="120" w:line="240" w:lineRule="auto"/>
              <w:ind w:left="102" w:right="-20"/>
              <w:rPr>
                <w:rFonts w:ascii="Sylfaen" w:hAnsi="Sylfaen"/>
                <w:sz w:val="24"/>
                <w:szCs w:val="24"/>
              </w:rPr>
            </w:pPr>
            <w:r w:rsidRPr="00BD7577">
              <w:rPr>
                <w:rFonts w:ascii="Sylfaen" w:hAnsi="Sylfaen"/>
                <w:sz w:val="24"/>
                <w:szCs w:val="24"/>
              </w:rPr>
              <w:t>3.2.R</w:t>
            </w:r>
          </w:p>
          <w:p w14:paraId="77CE7B63" w14:textId="46D46C39" w:rsidR="00EC398F" w:rsidRPr="00EC398F" w:rsidRDefault="00EC398F" w:rsidP="008C76E0">
            <w:pPr>
              <w:spacing w:after="120" w:line="240" w:lineRule="auto"/>
              <w:ind w:left="102" w:right="-20"/>
              <w:rPr>
                <w:rFonts w:eastAsia="Times New Roman" w:cs="Times New Roma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476071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9FED5AE" w14:textId="77777777" w:rsidR="008C76E0" w:rsidRPr="00BD7577" w:rsidRDefault="008C76E0" w:rsidP="008C76E0">
            <w:pPr>
              <w:spacing w:after="120" w:line="240" w:lineRule="auto"/>
              <w:rPr>
                <w:rFonts w:ascii="Sylfaen" w:hAnsi="Sylfaen"/>
                <w:sz w:val="24"/>
                <w:szCs w:val="24"/>
              </w:rPr>
            </w:pPr>
          </w:p>
        </w:tc>
      </w:tr>
      <w:tr w:rsidR="008C76E0" w:rsidRPr="00BD7577" w14:paraId="63EA7445" w14:textId="77777777" w:rsidTr="008C76E0">
        <w:trPr>
          <w:jc w:val="center"/>
        </w:trPr>
        <w:tc>
          <w:tcPr>
            <w:tcW w:w="1526" w:type="dxa"/>
            <w:tcBorders>
              <w:top w:val="nil"/>
              <w:left w:val="single" w:sz="4" w:space="0" w:color="000000"/>
              <w:bottom w:val="single" w:sz="4" w:space="0" w:color="000000"/>
              <w:right w:val="single" w:sz="4" w:space="0" w:color="000000"/>
            </w:tcBorders>
            <w:shd w:val="clear" w:color="auto" w:fill="E7E7E7"/>
          </w:tcPr>
          <w:p w14:paraId="767ABD1B" w14:textId="77777777" w:rsidR="008C76E0" w:rsidRPr="00BD7577" w:rsidRDefault="008C76E0" w:rsidP="008C76E0">
            <w:pPr>
              <w:spacing w:after="120" w:line="240" w:lineRule="auto"/>
              <w:rPr>
                <w:rFonts w:ascii="Sylfaen" w:hAnsi="Sylfaen"/>
                <w:sz w:val="24"/>
                <w:szCs w:val="24"/>
              </w:rPr>
            </w:pPr>
          </w:p>
        </w:tc>
        <w:tc>
          <w:tcPr>
            <w:tcW w:w="1154" w:type="dxa"/>
            <w:tcBorders>
              <w:top w:val="single" w:sz="4" w:space="0" w:color="000000"/>
              <w:left w:val="single" w:sz="4" w:space="0" w:color="000000"/>
              <w:bottom w:val="single" w:sz="4" w:space="0" w:color="000000"/>
              <w:right w:val="single" w:sz="4" w:space="0" w:color="000000"/>
            </w:tcBorders>
            <w:shd w:val="clear" w:color="auto" w:fill="E7E7E7"/>
          </w:tcPr>
          <w:p w14:paraId="5DB5BE6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3.3</w:t>
            </w:r>
          </w:p>
        </w:tc>
        <w:tc>
          <w:tcPr>
            <w:tcW w:w="2815" w:type="dxa"/>
            <w:tcBorders>
              <w:top w:val="single" w:sz="4" w:space="0" w:color="000000"/>
              <w:left w:val="single" w:sz="4" w:space="0" w:color="000000"/>
              <w:bottom w:val="single" w:sz="4" w:space="0" w:color="000000"/>
              <w:right w:val="single" w:sz="4" w:space="0" w:color="000000"/>
            </w:tcBorders>
          </w:tcPr>
          <w:p w14:paraId="20555599" w14:textId="77777777" w:rsidR="008C76E0" w:rsidRPr="00814E26" w:rsidRDefault="008C76E0" w:rsidP="00814E26">
            <w:pPr>
              <w:spacing w:after="120" w:line="240" w:lineRule="auto"/>
              <w:ind w:left="102" w:right="35"/>
              <w:rPr>
                <w:rFonts w:ascii="Sylfaen" w:eastAsia="Times New Roman" w:hAnsi="Sylfaen" w:cs="Times New Roman"/>
                <w:sz w:val="24"/>
                <w:szCs w:val="24"/>
              </w:rPr>
            </w:pPr>
            <w:r w:rsidRPr="00BD7577">
              <w:rPr>
                <w:rFonts w:ascii="Sylfaen" w:hAnsi="Sylfaen"/>
                <w:sz w:val="24"/>
                <w:szCs w:val="24"/>
              </w:rPr>
              <w:t xml:space="preserve">Մեկական ֆայլ՝ յուրաքանչյուր աղբյուրի </w:t>
            </w:r>
            <w:r w:rsidRPr="00C72D24">
              <w:rPr>
                <w:rFonts w:ascii="Sylfaen" w:hAnsi="Sylfaen"/>
                <w:sz w:val="24"/>
                <w:szCs w:val="24"/>
                <w:highlight w:val="yellow"/>
              </w:rPr>
              <w:t>համար</w:t>
            </w:r>
            <w:r w:rsidR="00814E26">
              <w:rPr>
                <w:rStyle w:val="FootnoteReference"/>
                <w:rFonts w:ascii="Sylfaen" w:hAnsi="Sylfaen"/>
                <w:sz w:val="24"/>
                <w:szCs w:val="24"/>
                <w:highlight w:val="yellow"/>
              </w:rPr>
              <w:footnoteReference w:id="36"/>
            </w:r>
          </w:p>
        </w:tc>
        <w:tc>
          <w:tcPr>
            <w:tcW w:w="1927" w:type="dxa"/>
            <w:tcBorders>
              <w:top w:val="single" w:sz="4" w:space="0" w:color="000000"/>
              <w:left w:val="single" w:sz="4" w:space="0" w:color="000000"/>
              <w:bottom w:val="single" w:sz="4" w:space="0" w:color="000000"/>
              <w:right w:val="single" w:sz="4" w:space="0" w:color="000000"/>
            </w:tcBorders>
          </w:tcPr>
          <w:p w14:paraId="04C1979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1E04602" w14:textId="77777777" w:rsidR="008C76E0" w:rsidRPr="00BD7577" w:rsidRDefault="008C76E0" w:rsidP="008C76E0">
            <w:pPr>
              <w:spacing w:after="120" w:line="240" w:lineRule="auto"/>
              <w:rPr>
                <w:rFonts w:ascii="Sylfaen" w:hAnsi="Sylfaen"/>
                <w:sz w:val="24"/>
                <w:szCs w:val="24"/>
              </w:rPr>
            </w:pPr>
          </w:p>
        </w:tc>
      </w:tr>
    </w:tbl>
    <w:p w14:paraId="347B6817" w14:textId="238B9379" w:rsidR="008C76E0" w:rsidRPr="0004291E" w:rsidRDefault="0004291E" w:rsidP="008C76E0">
      <w:pPr>
        <w:rPr>
          <w:rFonts w:ascii="Sylfaen" w:hAnsi="Sylfaen"/>
          <w:b/>
          <w:bCs/>
          <w:i/>
          <w:iCs/>
          <w:sz w:val="24"/>
          <w:szCs w:val="24"/>
        </w:rPr>
      </w:pPr>
      <w:r w:rsidRPr="0004291E">
        <w:rPr>
          <w:rFonts w:ascii="Sylfaen" w:hAnsi="Sylfaen"/>
          <w:b/>
          <w:bCs/>
          <w:i/>
          <w:iCs/>
          <w:sz w:val="24"/>
          <w:szCs w:val="24"/>
        </w:rPr>
        <w:t>(</w:t>
      </w:r>
      <w:r w:rsidRPr="0004291E">
        <w:rPr>
          <w:rFonts w:ascii="Arial Unicode" w:hAnsi="Arial Unicode"/>
          <w:b/>
          <w:bCs/>
          <w:i/>
          <w:iCs/>
          <w:sz w:val="21"/>
          <w:szCs w:val="21"/>
        </w:rPr>
        <w:t>3.2.R.1, 3.2.R.3, 3.2.R.4, 3.2.R.5</w:t>
      </w:r>
      <w:r w:rsidR="00E47854">
        <w:rPr>
          <w:b/>
          <w:bCs/>
          <w:i/>
          <w:iCs/>
          <w:sz w:val="21"/>
          <w:szCs w:val="21"/>
        </w:rPr>
        <w:t xml:space="preserve"> </w:t>
      </w:r>
      <w:r w:rsidRPr="0004291E">
        <w:rPr>
          <w:b/>
          <w:bCs/>
          <w:i/>
          <w:iCs/>
          <w:sz w:val="21"/>
          <w:szCs w:val="21"/>
        </w:rPr>
        <w:t xml:space="preserve"> դիրքերը հանվել են 17.03.22 թիվ 36</w:t>
      </w:r>
      <w:r w:rsidRPr="0004291E">
        <w:rPr>
          <w:rFonts w:ascii="Sylfaen" w:hAnsi="Sylfaen"/>
          <w:b/>
          <w:bCs/>
          <w:i/>
          <w:iCs/>
          <w:sz w:val="24"/>
          <w:szCs w:val="24"/>
        </w:rPr>
        <w:t>)</w:t>
      </w:r>
    </w:p>
    <w:p w14:paraId="7D54F8D8" w14:textId="77777777" w:rsidR="008C76E0" w:rsidRPr="00BD7577" w:rsidRDefault="008C76E0" w:rsidP="00297352">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552" w:type="dxa"/>
        <w:jc w:val="center"/>
        <w:tblLook w:val="04A0" w:firstRow="1" w:lastRow="0" w:firstColumn="1" w:lastColumn="0" w:noHBand="0" w:noVBand="1"/>
      </w:tblPr>
      <w:tblGrid>
        <w:gridCol w:w="9552"/>
      </w:tblGrid>
      <w:tr w:rsidR="008C76E0" w:rsidRPr="00BD7577" w14:paraId="5E73581D" w14:textId="77777777" w:rsidTr="008C76E0">
        <w:trPr>
          <w:jc w:val="center"/>
        </w:trPr>
        <w:tc>
          <w:tcPr>
            <w:tcW w:w="9552" w:type="dxa"/>
          </w:tcPr>
          <w:p w14:paraId="3FDB630A" w14:textId="77777777" w:rsidR="008C76E0" w:rsidRPr="00BD7577" w:rsidRDefault="008C76E0" w:rsidP="008C76E0">
            <w:pPr>
              <w:spacing w:after="120"/>
              <w:ind w:right="4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781D41B9" w14:textId="77777777" w:rsidTr="008C76E0">
        <w:trPr>
          <w:jc w:val="center"/>
        </w:trPr>
        <w:tc>
          <w:tcPr>
            <w:tcW w:w="9552" w:type="dxa"/>
          </w:tcPr>
          <w:p w14:paraId="0A083671" w14:textId="77777777" w:rsidR="008C76E0" w:rsidRPr="00BD7577" w:rsidRDefault="008C76E0" w:rsidP="008C76E0">
            <w:pPr>
              <w:spacing w:after="120"/>
              <w:ind w:right="40"/>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 Այդ մակարդակում թույլատրվում է ներկայացնել մեկ կամ մի քանի փաստաթղթեր:</w:t>
            </w:r>
          </w:p>
        </w:tc>
      </w:tr>
    </w:tbl>
    <w:p w14:paraId="156F4AA6" w14:textId="77777777" w:rsidR="00A8592B" w:rsidRDefault="00A8592B" w:rsidP="008C76E0">
      <w:pPr>
        <w:ind w:right="255"/>
        <w:jc w:val="both"/>
        <w:rPr>
          <w:rFonts w:ascii="Sylfaen" w:eastAsia="Times New Roman" w:hAnsi="Sylfaen" w:cs="Times New Roman"/>
          <w:sz w:val="24"/>
          <w:szCs w:val="24"/>
        </w:rPr>
        <w:sectPr w:rsidR="00A8592B" w:rsidSect="00C31D56">
          <w:footnotePr>
            <w:numRestart w:val="eachSect"/>
          </w:footnotePr>
          <w:pgSz w:w="11907" w:h="16839" w:code="9"/>
          <w:pgMar w:top="1418" w:right="1418" w:bottom="1418" w:left="1418" w:header="0" w:footer="361" w:gutter="0"/>
          <w:cols w:space="720"/>
          <w:noEndnote/>
          <w:docGrid w:linePitch="360"/>
        </w:sectPr>
      </w:pPr>
    </w:p>
    <w:p w14:paraId="698F8045" w14:textId="77777777" w:rsidR="008C76E0" w:rsidRPr="00BD7577" w:rsidRDefault="008C76E0" w:rsidP="008C76E0">
      <w:pPr>
        <w:tabs>
          <w:tab w:val="left" w:pos="1134"/>
        </w:tabs>
        <w:ind w:right="-20" w:firstLine="567"/>
        <w:jc w:val="both"/>
        <w:rPr>
          <w:rFonts w:ascii="Sylfaen" w:eastAsia="Times New Roman" w:hAnsi="Sylfaen" w:cs="Times New Roman"/>
          <w:sz w:val="24"/>
          <w:szCs w:val="24"/>
        </w:rPr>
      </w:pPr>
      <w:r w:rsidRPr="00BD7577">
        <w:rPr>
          <w:rFonts w:ascii="Sylfaen" w:hAnsi="Sylfaen"/>
          <w:sz w:val="24"/>
          <w:szCs w:val="24"/>
        </w:rPr>
        <w:lastRenderedPageBreak/>
        <w:t>4</w:t>
      </w:r>
      <w:r>
        <w:rPr>
          <w:rFonts w:ascii="Sylfaen" w:hAnsi="Sylfaen"/>
          <w:sz w:val="24"/>
          <w:szCs w:val="24"/>
          <w:lang w:val="ru-RU"/>
        </w:rPr>
        <w:t>.</w:t>
      </w:r>
      <w:r>
        <w:rPr>
          <w:rFonts w:ascii="Sylfaen" w:hAnsi="Sylfaen"/>
          <w:sz w:val="24"/>
          <w:szCs w:val="24"/>
          <w:lang w:val="en-US"/>
        </w:rPr>
        <w:tab/>
      </w:r>
      <w:r w:rsidRPr="00BD7577">
        <w:rPr>
          <w:rFonts w:ascii="Sylfaen" w:hAnsi="Sylfaen"/>
          <w:sz w:val="24"/>
          <w:szCs w:val="24"/>
        </w:rPr>
        <w:t>Մոդուլ 4</w:t>
      </w:r>
    </w:p>
    <w:tbl>
      <w:tblPr>
        <w:tblOverlap w:val="never"/>
        <w:tblW w:w="9799" w:type="dxa"/>
        <w:jc w:val="center"/>
        <w:tblLayout w:type="fixed"/>
        <w:tblCellMar>
          <w:left w:w="10" w:type="dxa"/>
          <w:right w:w="10" w:type="dxa"/>
        </w:tblCellMar>
        <w:tblLook w:val="04A0" w:firstRow="1" w:lastRow="0" w:firstColumn="1" w:lastColumn="0" w:noHBand="0" w:noVBand="1"/>
      </w:tblPr>
      <w:tblGrid>
        <w:gridCol w:w="1215"/>
        <w:gridCol w:w="532"/>
        <w:gridCol w:w="2052"/>
        <w:gridCol w:w="902"/>
        <w:gridCol w:w="2520"/>
        <w:gridCol w:w="2578"/>
      </w:tblGrid>
      <w:tr w:rsidR="008C76E0" w:rsidRPr="00BD7577" w14:paraId="3B92A4E5" w14:textId="77777777" w:rsidTr="00A8592B">
        <w:trPr>
          <w:jc w:val="center"/>
        </w:trPr>
        <w:tc>
          <w:tcPr>
            <w:tcW w:w="1215" w:type="dxa"/>
            <w:vMerge w:val="restart"/>
            <w:tcBorders>
              <w:top w:val="single" w:sz="4" w:space="0" w:color="auto"/>
              <w:left w:val="single" w:sz="4" w:space="0" w:color="auto"/>
            </w:tcBorders>
            <w:shd w:val="clear" w:color="auto" w:fill="FFFFFF"/>
          </w:tcPr>
          <w:p w14:paraId="4138B93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Մոդուլ 4</w:t>
            </w:r>
          </w:p>
        </w:tc>
        <w:tc>
          <w:tcPr>
            <w:tcW w:w="8584" w:type="dxa"/>
            <w:gridSpan w:val="5"/>
            <w:tcBorders>
              <w:top w:val="single" w:sz="4" w:space="0" w:color="auto"/>
              <w:left w:val="single" w:sz="4" w:space="0" w:color="auto"/>
              <w:right w:val="single" w:sz="4" w:space="0" w:color="auto"/>
            </w:tcBorders>
            <w:shd w:val="clear" w:color="auto" w:fill="FFFFFF"/>
            <w:vAlign w:val="bottom"/>
          </w:tcPr>
          <w:p w14:paraId="3826979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4.1</w:t>
            </w:r>
          </w:p>
        </w:tc>
      </w:tr>
      <w:tr w:rsidR="008C76E0" w:rsidRPr="00BD7577" w14:paraId="70E569E3" w14:textId="77777777" w:rsidTr="00A8592B">
        <w:trPr>
          <w:jc w:val="center"/>
        </w:trPr>
        <w:tc>
          <w:tcPr>
            <w:tcW w:w="1215" w:type="dxa"/>
            <w:vMerge/>
            <w:tcBorders>
              <w:left w:val="single" w:sz="4" w:space="0" w:color="auto"/>
            </w:tcBorders>
            <w:shd w:val="clear" w:color="auto" w:fill="FFFFFF"/>
          </w:tcPr>
          <w:p w14:paraId="03CCB6A4"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top w:val="single" w:sz="4" w:space="0" w:color="auto"/>
              <w:left w:val="single" w:sz="4" w:space="0" w:color="auto"/>
            </w:tcBorders>
            <w:shd w:val="clear" w:color="auto" w:fill="FFFFFF"/>
          </w:tcPr>
          <w:p w14:paraId="5F877610"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Pr>
                <w:rStyle w:val="Bodytext411pt"/>
                <w:rFonts w:ascii="Sylfaen" w:hAnsi="Sylfaen"/>
                <w:sz w:val="24"/>
                <w:szCs w:val="24"/>
              </w:rPr>
              <w:t>4.2</w:t>
            </w:r>
            <w:r>
              <w:rPr>
                <w:rStyle w:val="Bodytext411pt"/>
                <w:rFonts w:ascii="Sylfaen" w:hAnsi="Sylfaen"/>
                <w:sz w:val="24"/>
                <w:szCs w:val="24"/>
                <w:lang w:val="en-US"/>
              </w:rPr>
              <w:tab/>
            </w:r>
            <w:r w:rsidRPr="00BD7577">
              <w:rPr>
                <w:rStyle w:val="Bodytext411pt"/>
                <w:rFonts w:ascii="Sylfaen" w:hAnsi="Sylfaen"/>
                <w:sz w:val="24"/>
                <w:szCs w:val="24"/>
              </w:rPr>
              <w:t>4.2.1</w:t>
            </w:r>
          </w:p>
        </w:tc>
        <w:tc>
          <w:tcPr>
            <w:tcW w:w="902" w:type="dxa"/>
            <w:tcBorders>
              <w:top w:val="single" w:sz="4" w:space="0" w:color="auto"/>
              <w:left w:val="single" w:sz="4" w:space="0" w:color="auto"/>
            </w:tcBorders>
            <w:shd w:val="clear" w:color="auto" w:fill="FFFFFF"/>
            <w:vAlign w:val="bottom"/>
          </w:tcPr>
          <w:p w14:paraId="6AC91E66"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4.2.1.1</w:t>
            </w:r>
          </w:p>
        </w:tc>
        <w:tc>
          <w:tcPr>
            <w:tcW w:w="2520" w:type="dxa"/>
            <w:tcBorders>
              <w:top w:val="single" w:sz="4" w:space="0" w:color="auto"/>
              <w:left w:val="single" w:sz="4" w:space="0" w:color="auto"/>
            </w:tcBorders>
            <w:shd w:val="clear" w:color="auto" w:fill="FFFFFF"/>
          </w:tcPr>
          <w:p w14:paraId="40A0200C" w14:textId="77777777" w:rsidR="008C76E0" w:rsidRPr="00BD7577" w:rsidRDefault="008C76E0" w:rsidP="00EC6304">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Style w:val="FootnoteReference"/>
                <w:rFonts w:ascii="Sylfaen" w:hAnsi="Sylfaen"/>
                <w:sz w:val="24"/>
                <w:szCs w:val="24"/>
              </w:rPr>
              <w:footnoteReference w:id="37"/>
            </w:r>
            <w:r w:rsidRPr="00BD7577">
              <w:rPr>
                <w:rFonts w:ascii="Sylfaen" w:hAnsi="Sylfaen"/>
                <w:sz w:val="24"/>
                <w:szCs w:val="24"/>
              </w:rPr>
              <w:t xml:space="preserve"> </w:t>
            </w:r>
          </w:p>
        </w:tc>
        <w:tc>
          <w:tcPr>
            <w:tcW w:w="2578" w:type="dxa"/>
            <w:tcBorders>
              <w:top w:val="single" w:sz="4" w:space="0" w:color="auto"/>
              <w:left w:val="single" w:sz="4" w:space="0" w:color="auto"/>
              <w:right w:val="single" w:sz="4" w:space="0" w:color="auto"/>
            </w:tcBorders>
            <w:shd w:val="clear" w:color="auto" w:fill="FFFFFF"/>
          </w:tcPr>
          <w:p w14:paraId="59FA42E6" w14:textId="77777777" w:rsidR="008C76E0" w:rsidRPr="00BD7577" w:rsidRDefault="008C76E0" w:rsidP="008C76E0">
            <w:pPr>
              <w:spacing w:after="120" w:line="240" w:lineRule="auto"/>
              <w:rPr>
                <w:rFonts w:ascii="Sylfaen" w:hAnsi="Sylfaen"/>
                <w:sz w:val="24"/>
                <w:szCs w:val="24"/>
              </w:rPr>
            </w:pPr>
          </w:p>
        </w:tc>
      </w:tr>
      <w:tr w:rsidR="008C76E0" w:rsidRPr="00BD7577" w14:paraId="5B90CB57" w14:textId="77777777" w:rsidTr="00A8592B">
        <w:trPr>
          <w:jc w:val="center"/>
        </w:trPr>
        <w:tc>
          <w:tcPr>
            <w:tcW w:w="1215" w:type="dxa"/>
            <w:vMerge/>
            <w:tcBorders>
              <w:left w:val="single" w:sz="4" w:space="0" w:color="auto"/>
            </w:tcBorders>
            <w:shd w:val="clear" w:color="auto" w:fill="FFFFFF"/>
          </w:tcPr>
          <w:p w14:paraId="2C1C1EB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DD3A9C0"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4C23FEF8"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4.2.1.2</w:t>
            </w:r>
          </w:p>
        </w:tc>
        <w:tc>
          <w:tcPr>
            <w:tcW w:w="2520" w:type="dxa"/>
            <w:tcBorders>
              <w:top w:val="single" w:sz="4" w:space="0" w:color="auto"/>
              <w:left w:val="single" w:sz="4" w:space="0" w:color="auto"/>
            </w:tcBorders>
            <w:shd w:val="clear" w:color="auto" w:fill="FFFFFF"/>
          </w:tcPr>
          <w:p w14:paraId="1BF9503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46879CA2" w14:textId="77777777" w:rsidR="008C76E0" w:rsidRPr="00BD7577" w:rsidRDefault="008C76E0" w:rsidP="008C76E0">
            <w:pPr>
              <w:spacing w:after="120" w:line="240" w:lineRule="auto"/>
              <w:rPr>
                <w:rFonts w:ascii="Sylfaen" w:hAnsi="Sylfaen"/>
                <w:sz w:val="24"/>
                <w:szCs w:val="24"/>
              </w:rPr>
            </w:pPr>
          </w:p>
        </w:tc>
      </w:tr>
      <w:tr w:rsidR="008C76E0" w:rsidRPr="00BD7577" w14:paraId="7FC652BF" w14:textId="77777777" w:rsidTr="00A8592B">
        <w:trPr>
          <w:jc w:val="center"/>
        </w:trPr>
        <w:tc>
          <w:tcPr>
            <w:tcW w:w="1215" w:type="dxa"/>
            <w:vMerge/>
            <w:tcBorders>
              <w:left w:val="single" w:sz="4" w:space="0" w:color="auto"/>
            </w:tcBorders>
            <w:shd w:val="clear" w:color="auto" w:fill="FFFFFF"/>
          </w:tcPr>
          <w:p w14:paraId="5CD5B64D"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0DBF7ED1"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0670DF6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4.2.1.3</w:t>
            </w:r>
          </w:p>
        </w:tc>
        <w:tc>
          <w:tcPr>
            <w:tcW w:w="2520" w:type="dxa"/>
            <w:tcBorders>
              <w:top w:val="single" w:sz="4" w:space="0" w:color="auto"/>
              <w:left w:val="single" w:sz="4" w:space="0" w:color="auto"/>
            </w:tcBorders>
            <w:shd w:val="clear" w:color="auto" w:fill="FFFFFF"/>
          </w:tcPr>
          <w:p w14:paraId="33377D90"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72D8BC8D" w14:textId="77777777" w:rsidR="008C76E0" w:rsidRPr="00BD7577" w:rsidRDefault="008C76E0" w:rsidP="008C76E0">
            <w:pPr>
              <w:spacing w:after="120" w:line="240" w:lineRule="auto"/>
              <w:rPr>
                <w:rFonts w:ascii="Sylfaen" w:hAnsi="Sylfaen"/>
                <w:sz w:val="24"/>
                <w:szCs w:val="24"/>
              </w:rPr>
            </w:pPr>
          </w:p>
        </w:tc>
      </w:tr>
      <w:tr w:rsidR="008C76E0" w:rsidRPr="00BD7577" w14:paraId="0157FFF0" w14:textId="77777777" w:rsidTr="00A8592B">
        <w:trPr>
          <w:jc w:val="center"/>
        </w:trPr>
        <w:tc>
          <w:tcPr>
            <w:tcW w:w="1215" w:type="dxa"/>
            <w:vMerge/>
            <w:tcBorders>
              <w:left w:val="single" w:sz="4" w:space="0" w:color="auto"/>
            </w:tcBorders>
            <w:shd w:val="clear" w:color="auto" w:fill="FFFFFF"/>
          </w:tcPr>
          <w:p w14:paraId="76616E62" w14:textId="77777777" w:rsidR="008C76E0" w:rsidRPr="00BD7577" w:rsidRDefault="008C76E0" w:rsidP="008C76E0">
            <w:pPr>
              <w:spacing w:after="120" w:line="240" w:lineRule="auto"/>
              <w:rPr>
                <w:rFonts w:ascii="Sylfaen" w:hAnsi="Sylfaen"/>
                <w:sz w:val="24"/>
                <w:szCs w:val="24"/>
              </w:rPr>
            </w:pPr>
          </w:p>
        </w:tc>
        <w:tc>
          <w:tcPr>
            <w:tcW w:w="532" w:type="dxa"/>
            <w:vMerge w:val="restart"/>
            <w:tcBorders>
              <w:left w:val="single" w:sz="4" w:space="0" w:color="auto"/>
            </w:tcBorders>
            <w:shd w:val="clear" w:color="auto" w:fill="FFFFFF"/>
          </w:tcPr>
          <w:p w14:paraId="12D48F54" w14:textId="77777777" w:rsidR="008C76E0" w:rsidRPr="00BD7577" w:rsidRDefault="008C76E0" w:rsidP="008C76E0">
            <w:pPr>
              <w:spacing w:after="120" w:line="240" w:lineRule="auto"/>
              <w:rPr>
                <w:rFonts w:ascii="Sylfaen" w:hAnsi="Sylfaen"/>
                <w:sz w:val="24"/>
                <w:szCs w:val="24"/>
              </w:rPr>
            </w:pPr>
          </w:p>
        </w:tc>
        <w:tc>
          <w:tcPr>
            <w:tcW w:w="2052" w:type="dxa"/>
            <w:shd w:val="clear" w:color="auto" w:fill="FFFFFF"/>
          </w:tcPr>
          <w:p w14:paraId="7F8B4860"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1D649A4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4.2.1.4</w:t>
            </w:r>
          </w:p>
        </w:tc>
        <w:tc>
          <w:tcPr>
            <w:tcW w:w="2520" w:type="dxa"/>
            <w:tcBorders>
              <w:top w:val="single" w:sz="4" w:space="0" w:color="auto"/>
              <w:left w:val="single" w:sz="4" w:space="0" w:color="auto"/>
            </w:tcBorders>
            <w:shd w:val="clear" w:color="auto" w:fill="FFFFFF"/>
          </w:tcPr>
          <w:p w14:paraId="377FD5D6"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3E3B3B20" w14:textId="77777777" w:rsidR="008C76E0" w:rsidRPr="00BD7577" w:rsidRDefault="008C76E0" w:rsidP="008C76E0">
            <w:pPr>
              <w:spacing w:after="120" w:line="240" w:lineRule="auto"/>
              <w:rPr>
                <w:rFonts w:ascii="Sylfaen" w:hAnsi="Sylfaen"/>
                <w:sz w:val="24"/>
                <w:szCs w:val="24"/>
              </w:rPr>
            </w:pPr>
          </w:p>
        </w:tc>
      </w:tr>
      <w:tr w:rsidR="008C76E0" w:rsidRPr="00BD7577" w14:paraId="534ACA7B" w14:textId="77777777" w:rsidTr="00A8592B">
        <w:trPr>
          <w:jc w:val="center"/>
        </w:trPr>
        <w:tc>
          <w:tcPr>
            <w:tcW w:w="1215" w:type="dxa"/>
            <w:vMerge/>
            <w:tcBorders>
              <w:left w:val="single" w:sz="4" w:space="0" w:color="auto"/>
            </w:tcBorders>
            <w:shd w:val="clear" w:color="auto" w:fill="FFFFFF"/>
          </w:tcPr>
          <w:p w14:paraId="28024E57" w14:textId="77777777" w:rsidR="008C76E0" w:rsidRPr="00BD7577" w:rsidRDefault="008C76E0" w:rsidP="008C76E0">
            <w:pPr>
              <w:spacing w:after="120" w:line="240" w:lineRule="auto"/>
              <w:rPr>
                <w:rFonts w:ascii="Sylfaen" w:hAnsi="Sylfaen"/>
                <w:sz w:val="24"/>
                <w:szCs w:val="24"/>
              </w:rPr>
            </w:pPr>
          </w:p>
        </w:tc>
        <w:tc>
          <w:tcPr>
            <w:tcW w:w="532" w:type="dxa"/>
            <w:vMerge/>
            <w:tcBorders>
              <w:left w:val="single" w:sz="4" w:space="0" w:color="auto"/>
            </w:tcBorders>
            <w:shd w:val="clear" w:color="auto" w:fill="FFFFFF"/>
          </w:tcPr>
          <w:p w14:paraId="7B842343" w14:textId="77777777" w:rsidR="008C76E0" w:rsidRPr="00BD7577" w:rsidRDefault="008C76E0" w:rsidP="008C76E0">
            <w:pPr>
              <w:spacing w:after="120" w:line="240" w:lineRule="auto"/>
              <w:rPr>
                <w:rFonts w:ascii="Sylfaen" w:hAnsi="Sylfaen"/>
                <w:sz w:val="24"/>
                <w:szCs w:val="24"/>
              </w:rPr>
            </w:pPr>
          </w:p>
        </w:tc>
        <w:tc>
          <w:tcPr>
            <w:tcW w:w="2052" w:type="dxa"/>
            <w:tcBorders>
              <w:top w:val="single" w:sz="4" w:space="0" w:color="auto"/>
            </w:tcBorders>
            <w:shd w:val="clear" w:color="auto" w:fill="FFFFFF"/>
            <w:vAlign w:val="bottom"/>
          </w:tcPr>
          <w:p w14:paraId="1749CDD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w:t>
            </w:r>
          </w:p>
        </w:tc>
        <w:tc>
          <w:tcPr>
            <w:tcW w:w="902" w:type="dxa"/>
            <w:tcBorders>
              <w:top w:val="single" w:sz="4" w:space="0" w:color="auto"/>
              <w:left w:val="single" w:sz="4" w:space="0" w:color="auto"/>
            </w:tcBorders>
            <w:shd w:val="clear" w:color="auto" w:fill="FFFFFF"/>
            <w:vAlign w:val="bottom"/>
          </w:tcPr>
          <w:p w14:paraId="056B9DE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4.2.2.1</w:t>
            </w:r>
          </w:p>
        </w:tc>
        <w:tc>
          <w:tcPr>
            <w:tcW w:w="2520" w:type="dxa"/>
            <w:tcBorders>
              <w:top w:val="single" w:sz="4" w:space="0" w:color="auto"/>
              <w:left w:val="single" w:sz="4" w:space="0" w:color="auto"/>
            </w:tcBorders>
            <w:shd w:val="clear" w:color="auto" w:fill="FFFFFF"/>
          </w:tcPr>
          <w:p w14:paraId="0C969CF7"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0910599E" w14:textId="77777777" w:rsidR="008C76E0" w:rsidRPr="00BD7577" w:rsidRDefault="008C76E0" w:rsidP="008C76E0">
            <w:pPr>
              <w:spacing w:after="120" w:line="240" w:lineRule="auto"/>
              <w:rPr>
                <w:rFonts w:ascii="Sylfaen" w:hAnsi="Sylfaen"/>
                <w:sz w:val="24"/>
                <w:szCs w:val="24"/>
              </w:rPr>
            </w:pPr>
          </w:p>
        </w:tc>
      </w:tr>
      <w:tr w:rsidR="008C76E0" w:rsidRPr="00BD7577" w14:paraId="24D59FA4" w14:textId="77777777" w:rsidTr="00A8592B">
        <w:trPr>
          <w:jc w:val="center"/>
        </w:trPr>
        <w:tc>
          <w:tcPr>
            <w:tcW w:w="1215" w:type="dxa"/>
            <w:vMerge/>
            <w:tcBorders>
              <w:left w:val="single" w:sz="4" w:space="0" w:color="auto"/>
            </w:tcBorders>
            <w:shd w:val="clear" w:color="auto" w:fill="FFFFFF"/>
          </w:tcPr>
          <w:p w14:paraId="7746A07B"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left w:val="single" w:sz="4" w:space="0" w:color="auto"/>
            </w:tcBorders>
            <w:shd w:val="clear" w:color="auto" w:fill="FFFFFF"/>
          </w:tcPr>
          <w:p w14:paraId="6B8779AE"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4753F0BC"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4.2.2.2</w:t>
            </w:r>
          </w:p>
        </w:tc>
        <w:tc>
          <w:tcPr>
            <w:tcW w:w="2520" w:type="dxa"/>
            <w:tcBorders>
              <w:top w:val="single" w:sz="4" w:space="0" w:color="auto"/>
              <w:left w:val="single" w:sz="4" w:space="0" w:color="auto"/>
            </w:tcBorders>
            <w:shd w:val="clear" w:color="auto" w:fill="FFFFFF"/>
          </w:tcPr>
          <w:p w14:paraId="7A47451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B339486" w14:textId="77777777" w:rsidR="008C76E0" w:rsidRPr="00BD7577" w:rsidRDefault="008C76E0" w:rsidP="008C76E0">
            <w:pPr>
              <w:spacing w:after="120" w:line="240" w:lineRule="auto"/>
              <w:rPr>
                <w:rFonts w:ascii="Sylfaen" w:hAnsi="Sylfaen"/>
                <w:sz w:val="24"/>
                <w:szCs w:val="24"/>
              </w:rPr>
            </w:pPr>
          </w:p>
        </w:tc>
      </w:tr>
      <w:tr w:rsidR="008C76E0" w:rsidRPr="00BD7577" w14:paraId="7869604F" w14:textId="77777777" w:rsidTr="00A8592B">
        <w:trPr>
          <w:jc w:val="center"/>
        </w:trPr>
        <w:tc>
          <w:tcPr>
            <w:tcW w:w="1215" w:type="dxa"/>
            <w:vMerge/>
            <w:tcBorders>
              <w:left w:val="single" w:sz="4" w:space="0" w:color="auto"/>
            </w:tcBorders>
            <w:shd w:val="clear" w:color="auto" w:fill="FFFFFF"/>
          </w:tcPr>
          <w:p w14:paraId="325A0A94"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354ABDA"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2251AD1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4.2.2.3</w:t>
            </w:r>
          </w:p>
        </w:tc>
        <w:tc>
          <w:tcPr>
            <w:tcW w:w="2520" w:type="dxa"/>
            <w:tcBorders>
              <w:top w:val="single" w:sz="4" w:space="0" w:color="auto"/>
              <w:left w:val="single" w:sz="4" w:space="0" w:color="auto"/>
            </w:tcBorders>
            <w:shd w:val="clear" w:color="auto" w:fill="FFFFFF"/>
          </w:tcPr>
          <w:p w14:paraId="326A8F4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3D0809B6" w14:textId="77777777" w:rsidR="008C76E0" w:rsidRPr="00BD7577" w:rsidRDefault="008C76E0" w:rsidP="008C76E0">
            <w:pPr>
              <w:spacing w:after="120" w:line="240" w:lineRule="auto"/>
              <w:rPr>
                <w:rFonts w:ascii="Sylfaen" w:hAnsi="Sylfaen"/>
                <w:sz w:val="24"/>
                <w:szCs w:val="24"/>
              </w:rPr>
            </w:pPr>
          </w:p>
        </w:tc>
      </w:tr>
      <w:tr w:rsidR="008C76E0" w:rsidRPr="00BD7577" w14:paraId="73B97A89" w14:textId="77777777" w:rsidTr="00A8592B">
        <w:trPr>
          <w:jc w:val="center"/>
        </w:trPr>
        <w:tc>
          <w:tcPr>
            <w:tcW w:w="1215" w:type="dxa"/>
            <w:vMerge/>
            <w:tcBorders>
              <w:left w:val="single" w:sz="4" w:space="0" w:color="auto"/>
            </w:tcBorders>
            <w:shd w:val="clear" w:color="auto" w:fill="FFFFFF"/>
          </w:tcPr>
          <w:p w14:paraId="7DA0A4B1"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16DB0D05"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6C8F2FE3"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4.2.2.4</w:t>
            </w:r>
          </w:p>
        </w:tc>
        <w:tc>
          <w:tcPr>
            <w:tcW w:w="2520" w:type="dxa"/>
            <w:tcBorders>
              <w:top w:val="single" w:sz="4" w:space="0" w:color="auto"/>
              <w:left w:val="single" w:sz="4" w:space="0" w:color="auto"/>
            </w:tcBorders>
            <w:shd w:val="clear" w:color="auto" w:fill="FFFFFF"/>
          </w:tcPr>
          <w:p w14:paraId="4C2D04B6"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761A8DA9" w14:textId="77777777" w:rsidR="008C76E0" w:rsidRPr="00BD7577" w:rsidRDefault="008C76E0" w:rsidP="008C76E0">
            <w:pPr>
              <w:spacing w:after="120" w:line="240" w:lineRule="auto"/>
              <w:rPr>
                <w:rFonts w:ascii="Sylfaen" w:hAnsi="Sylfaen"/>
                <w:sz w:val="24"/>
                <w:szCs w:val="24"/>
              </w:rPr>
            </w:pPr>
          </w:p>
        </w:tc>
      </w:tr>
      <w:tr w:rsidR="008C76E0" w:rsidRPr="00BD7577" w14:paraId="6B8F8B24" w14:textId="77777777" w:rsidTr="00A8592B">
        <w:trPr>
          <w:jc w:val="center"/>
        </w:trPr>
        <w:tc>
          <w:tcPr>
            <w:tcW w:w="1215" w:type="dxa"/>
            <w:vMerge/>
            <w:tcBorders>
              <w:left w:val="single" w:sz="4" w:space="0" w:color="auto"/>
            </w:tcBorders>
            <w:shd w:val="clear" w:color="auto" w:fill="FFFFFF"/>
          </w:tcPr>
          <w:p w14:paraId="2D9EDA93"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233F62B"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5E77B55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4.2.2.5</w:t>
            </w:r>
          </w:p>
        </w:tc>
        <w:tc>
          <w:tcPr>
            <w:tcW w:w="2520" w:type="dxa"/>
            <w:tcBorders>
              <w:top w:val="single" w:sz="4" w:space="0" w:color="auto"/>
              <w:left w:val="single" w:sz="4" w:space="0" w:color="auto"/>
            </w:tcBorders>
            <w:shd w:val="clear" w:color="auto" w:fill="FFFFFF"/>
          </w:tcPr>
          <w:p w14:paraId="3175F0FA"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4AA7D24" w14:textId="77777777" w:rsidR="008C76E0" w:rsidRPr="00BD7577" w:rsidRDefault="008C76E0" w:rsidP="008C76E0">
            <w:pPr>
              <w:spacing w:after="120" w:line="240" w:lineRule="auto"/>
              <w:rPr>
                <w:rFonts w:ascii="Sylfaen" w:hAnsi="Sylfaen"/>
                <w:sz w:val="24"/>
                <w:szCs w:val="24"/>
              </w:rPr>
            </w:pPr>
          </w:p>
        </w:tc>
      </w:tr>
      <w:tr w:rsidR="008C76E0" w:rsidRPr="00BD7577" w14:paraId="57CE21D3" w14:textId="77777777" w:rsidTr="00A8592B">
        <w:trPr>
          <w:jc w:val="center"/>
        </w:trPr>
        <w:tc>
          <w:tcPr>
            <w:tcW w:w="1215" w:type="dxa"/>
            <w:vMerge/>
            <w:tcBorders>
              <w:left w:val="single" w:sz="4" w:space="0" w:color="auto"/>
            </w:tcBorders>
            <w:shd w:val="clear" w:color="auto" w:fill="FFFFFF"/>
          </w:tcPr>
          <w:p w14:paraId="7CD9E5B3"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E4E0D85"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23698D2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4.2.2.6</w:t>
            </w:r>
          </w:p>
        </w:tc>
        <w:tc>
          <w:tcPr>
            <w:tcW w:w="2520" w:type="dxa"/>
            <w:tcBorders>
              <w:top w:val="single" w:sz="4" w:space="0" w:color="auto"/>
              <w:left w:val="single" w:sz="4" w:space="0" w:color="auto"/>
            </w:tcBorders>
            <w:shd w:val="clear" w:color="auto" w:fill="FFFFFF"/>
          </w:tcPr>
          <w:p w14:paraId="23589883"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8DFABCA" w14:textId="77777777" w:rsidR="008C76E0" w:rsidRPr="00BD7577" w:rsidRDefault="008C76E0" w:rsidP="008C76E0">
            <w:pPr>
              <w:spacing w:after="120" w:line="240" w:lineRule="auto"/>
              <w:rPr>
                <w:rFonts w:ascii="Sylfaen" w:hAnsi="Sylfaen"/>
                <w:sz w:val="24"/>
                <w:szCs w:val="24"/>
              </w:rPr>
            </w:pPr>
          </w:p>
        </w:tc>
      </w:tr>
      <w:tr w:rsidR="008C76E0" w:rsidRPr="00BD7577" w14:paraId="5059DD3A" w14:textId="77777777" w:rsidTr="00A8592B">
        <w:trPr>
          <w:jc w:val="center"/>
        </w:trPr>
        <w:tc>
          <w:tcPr>
            <w:tcW w:w="1215" w:type="dxa"/>
            <w:vMerge/>
            <w:tcBorders>
              <w:left w:val="single" w:sz="4" w:space="0" w:color="auto"/>
            </w:tcBorders>
            <w:shd w:val="clear" w:color="auto" w:fill="FFFFFF"/>
          </w:tcPr>
          <w:p w14:paraId="19F47365" w14:textId="77777777" w:rsidR="008C76E0" w:rsidRPr="00BD7577" w:rsidRDefault="008C76E0" w:rsidP="008C76E0">
            <w:pPr>
              <w:spacing w:after="120" w:line="240" w:lineRule="auto"/>
              <w:rPr>
                <w:rFonts w:ascii="Sylfaen" w:hAnsi="Sylfaen"/>
                <w:sz w:val="24"/>
                <w:szCs w:val="24"/>
              </w:rPr>
            </w:pPr>
          </w:p>
        </w:tc>
        <w:tc>
          <w:tcPr>
            <w:tcW w:w="532" w:type="dxa"/>
            <w:vMerge w:val="restart"/>
            <w:tcBorders>
              <w:left w:val="single" w:sz="4" w:space="0" w:color="auto"/>
            </w:tcBorders>
            <w:shd w:val="clear" w:color="auto" w:fill="FFFFFF"/>
          </w:tcPr>
          <w:p w14:paraId="51FBB811" w14:textId="77777777" w:rsidR="008C76E0" w:rsidRPr="00BD7577" w:rsidRDefault="008C76E0" w:rsidP="008C76E0">
            <w:pPr>
              <w:spacing w:after="120" w:line="240" w:lineRule="auto"/>
              <w:rPr>
                <w:rFonts w:ascii="Sylfaen" w:hAnsi="Sylfaen"/>
                <w:sz w:val="24"/>
                <w:szCs w:val="24"/>
              </w:rPr>
            </w:pPr>
          </w:p>
        </w:tc>
        <w:tc>
          <w:tcPr>
            <w:tcW w:w="2052" w:type="dxa"/>
            <w:shd w:val="clear" w:color="auto" w:fill="FFFFFF"/>
          </w:tcPr>
          <w:p w14:paraId="40D13DDD"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363F316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4.2.2.7</w:t>
            </w:r>
          </w:p>
        </w:tc>
        <w:tc>
          <w:tcPr>
            <w:tcW w:w="2520" w:type="dxa"/>
            <w:tcBorders>
              <w:top w:val="single" w:sz="4" w:space="0" w:color="auto"/>
              <w:left w:val="single" w:sz="4" w:space="0" w:color="auto"/>
            </w:tcBorders>
            <w:shd w:val="clear" w:color="auto" w:fill="FFFFFF"/>
          </w:tcPr>
          <w:p w14:paraId="31565E3C"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5969F146" w14:textId="77777777" w:rsidR="008C76E0" w:rsidRPr="00BD7577" w:rsidRDefault="008C76E0" w:rsidP="008C76E0">
            <w:pPr>
              <w:spacing w:after="120" w:line="240" w:lineRule="auto"/>
              <w:rPr>
                <w:rFonts w:ascii="Sylfaen" w:hAnsi="Sylfaen"/>
                <w:sz w:val="24"/>
                <w:szCs w:val="24"/>
              </w:rPr>
            </w:pPr>
          </w:p>
        </w:tc>
      </w:tr>
      <w:tr w:rsidR="008C76E0" w:rsidRPr="00BD7577" w14:paraId="551853B3" w14:textId="77777777" w:rsidTr="00A8592B">
        <w:trPr>
          <w:jc w:val="center"/>
        </w:trPr>
        <w:tc>
          <w:tcPr>
            <w:tcW w:w="1215" w:type="dxa"/>
            <w:vMerge/>
            <w:tcBorders>
              <w:left w:val="single" w:sz="4" w:space="0" w:color="auto"/>
            </w:tcBorders>
            <w:shd w:val="clear" w:color="auto" w:fill="FFFFFF"/>
          </w:tcPr>
          <w:p w14:paraId="2288C8E6" w14:textId="77777777" w:rsidR="008C76E0" w:rsidRPr="00BD7577" w:rsidRDefault="008C76E0" w:rsidP="008C76E0">
            <w:pPr>
              <w:spacing w:after="120" w:line="240" w:lineRule="auto"/>
              <w:rPr>
                <w:rFonts w:ascii="Sylfaen" w:hAnsi="Sylfaen"/>
                <w:sz w:val="24"/>
                <w:szCs w:val="24"/>
              </w:rPr>
            </w:pPr>
          </w:p>
        </w:tc>
        <w:tc>
          <w:tcPr>
            <w:tcW w:w="532" w:type="dxa"/>
            <w:vMerge/>
            <w:tcBorders>
              <w:left w:val="single" w:sz="4" w:space="0" w:color="auto"/>
            </w:tcBorders>
            <w:shd w:val="clear" w:color="auto" w:fill="FFFFFF"/>
          </w:tcPr>
          <w:p w14:paraId="748FD653" w14:textId="77777777" w:rsidR="008C76E0" w:rsidRPr="00BD7577" w:rsidRDefault="008C76E0" w:rsidP="008C76E0">
            <w:pPr>
              <w:spacing w:after="120" w:line="240" w:lineRule="auto"/>
              <w:rPr>
                <w:rFonts w:ascii="Sylfaen" w:hAnsi="Sylfaen"/>
                <w:sz w:val="24"/>
                <w:szCs w:val="24"/>
              </w:rPr>
            </w:pPr>
          </w:p>
        </w:tc>
        <w:tc>
          <w:tcPr>
            <w:tcW w:w="2052" w:type="dxa"/>
            <w:tcBorders>
              <w:top w:val="single" w:sz="4" w:space="0" w:color="auto"/>
            </w:tcBorders>
            <w:shd w:val="clear" w:color="auto" w:fill="FFFFFF"/>
            <w:vAlign w:val="bottom"/>
          </w:tcPr>
          <w:p w14:paraId="4D1E25E3"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w:t>
            </w:r>
          </w:p>
        </w:tc>
        <w:tc>
          <w:tcPr>
            <w:tcW w:w="902" w:type="dxa"/>
            <w:tcBorders>
              <w:top w:val="single" w:sz="4" w:space="0" w:color="auto"/>
              <w:left w:val="single" w:sz="4" w:space="0" w:color="auto"/>
            </w:tcBorders>
            <w:shd w:val="clear" w:color="auto" w:fill="FFFFFF"/>
            <w:vAlign w:val="bottom"/>
          </w:tcPr>
          <w:p w14:paraId="18A0597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4.2.3.1</w:t>
            </w:r>
          </w:p>
        </w:tc>
        <w:tc>
          <w:tcPr>
            <w:tcW w:w="2520" w:type="dxa"/>
            <w:tcBorders>
              <w:top w:val="single" w:sz="4" w:space="0" w:color="auto"/>
              <w:left w:val="single" w:sz="4" w:space="0" w:color="auto"/>
            </w:tcBorders>
            <w:shd w:val="clear" w:color="auto" w:fill="FFFFFF"/>
          </w:tcPr>
          <w:p w14:paraId="5A96236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4CD9A83F" w14:textId="77777777" w:rsidR="008C76E0" w:rsidRPr="00BD7577" w:rsidRDefault="008C76E0" w:rsidP="008C76E0">
            <w:pPr>
              <w:spacing w:after="120" w:line="240" w:lineRule="auto"/>
              <w:rPr>
                <w:rFonts w:ascii="Sylfaen" w:hAnsi="Sylfaen"/>
                <w:sz w:val="24"/>
                <w:szCs w:val="24"/>
              </w:rPr>
            </w:pPr>
          </w:p>
        </w:tc>
      </w:tr>
      <w:tr w:rsidR="008C76E0" w:rsidRPr="00BD7577" w14:paraId="3119FE6B" w14:textId="77777777" w:rsidTr="00A8592B">
        <w:trPr>
          <w:jc w:val="center"/>
        </w:trPr>
        <w:tc>
          <w:tcPr>
            <w:tcW w:w="1215" w:type="dxa"/>
            <w:vMerge/>
            <w:tcBorders>
              <w:left w:val="single" w:sz="4" w:space="0" w:color="auto"/>
            </w:tcBorders>
            <w:shd w:val="clear" w:color="auto" w:fill="FFFFFF"/>
          </w:tcPr>
          <w:p w14:paraId="214FD990"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left w:val="single" w:sz="4" w:space="0" w:color="auto"/>
            </w:tcBorders>
            <w:shd w:val="clear" w:color="auto" w:fill="FFFFFF"/>
          </w:tcPr>
          <w:p w14:paraId="0F5A337F"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12763BD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4.2.3.2</w:t>
            </w:r>
          </w:p>
        </w:tc>
        <w:tc>
          <w:tcPr>
            <w:tcW w:w="2520" w:type="dxa"/>
            <w:tcBorders>
              <w:top w:val="single" w:sz="4" w:space="0" w:color="auto"/>
              <w:left w:val="single" w:sz="4" w:space="0" w:color="auto"/>
            </w:tcBorders>
            <w:shd w:val="clear" w:color="auto" w:fill="FFFFFF"/>
          </w:tcPr>
          <w:p w14:paraId="5CE39E5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233E88FC" w14:textId="77777777" w:rsidR="008C76E0" w:rsidRPr="00BD7577" w:rsidRDefault="008C76E0" w:rsidP="008C76E0">
            <w:pPr>
              <w:spacing w:after="120" w:line="240" w:lineRule="auto"/>
              <w:rPr>
                <w:rFonts w:ascii="Sylfaen" w:hAnsi="Sylfaen"/>
                <w:sz w:val="24"/>
                <w:szCs w:val="24"/>
              </w:rPr>
            </w:pPr>
          </w:p>
        </w:tc>
      </w:tr>
      <w:tr w:rsidR="008C76E0" w:rsidRPr="00BD7577" w14:paraId="03E9B186" w14:textId="77777777" w:rsidTr="00A8592B">
        <w:trPr>
          <w:jc w:val="center"/>
        </w:trPr>
        <w:tc>
          <w:tcPr>
            <w:tcW w:w="1215" w:type="dxa"/>
            <w:vMerge/>
            <w:tcBorders>
              <w:left w:val="single" w:sz="4" w:space="0" w:color="auto"/>
            </w:tcBorders>
            <w:shd w:val="clear" w:color="auto" w:fill="FFFFFF"/>
          </w:tcPr>
          <w:p w14:paraId="4D4224AA"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D8566C5"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01C48BAE"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w:t>
            </w:r>
          </w:p>
        </w:tc>
        <w:tc>
          <w:tcPr>
            <w:tcW w:w="2520" w:type="dxa"/>
            <w:tcBorders>
              <w:top w:val="single" w:sz="4" w:space="0" w:color="auto"/>
              <w:left w:val="single" w:sz="4" w:space="0" w:color="auto"/>
            </w:tcBorders>
            <w:shd w:val="clear" w:color="auto" w:fill="FFFFFF"/>
            <w:vAlign w:val="bottom"/>
          </w:tcPr>
          <w:p w14:paraId="6C2F4C47"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4.2.3.3.1</w:t>
            </w:r>
          </w:p>
        </w:tc>
        <w:tc>
          <w:tcPr>
            <w:tcW w:w="2578" w:type="dxa"/>
            <w:tcBorders>
              <w:top w:val="single" w:sz="4" w:space="0" w:color="auto"/>
              <w:left w:val="single" w:sz="4" w:space="0" w:color="auto"/>
              <w:right w:val="single" w:sz="4" w:space="0" w:color="auto"/>
            </w:tcBorders>
            <w:shd w:val="clear" w:color="auto" w:fill="FFFFFF"/>
          </w:tcPr>
          <w:p w14:paraId="6D8E373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054F2B2" w14:textId="77777777" w:rsidTr="00A8592B">
        <w:trPr>
          <w:jc w:val="center"/>
        </w:trPr>
        <w:tc>
          <w:tcPr>
            <w:tcW w:w="1215" w:type="dxa"/>
            <w:vMerge/>
            <w:tcBorders>
              <w:left w:val="single" w:sz="4" w:space="0" w:color="auto"/>
            </w:tcBorders>
            <w:shd w:val="clear" w:color="auto" w:fill="FFFFFF"/>
          </w:tcPr>
          <w:p w14:paraId="374C0220"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9FA520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132AA10E"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57151F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4.2.3.3.2</w:t>
            </w:r>
          </w:p>
        </w:tc>
        <w:tc>
          <w:tcPr>
            <w:tcW w:w="2578" w:type="dxa"/>
            <w:tcBorders>
              <w:top w:val="single" w:sz="4" w:space="0" w:color="auto"/>
              <w:left w:val="single" w:sz="4" w:space="0" w:color="auto"/>
              <w:right w:val="single" w:sz="4" w:space="0" w:color="auto"/>
            </w:tcBorders>
            <w:shd w:val="clear" w:color="auto" w:fill="FFFFFF"/>
          </w:tcPr>
          <w:p w14:paraId="4761DC80"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C101157" w14:textId="77777777" w:rsidTr="00A8592B">
        <w:trPr>
          <w:jc w:val="center"/>
        </w:trPr>
        <w:tc>
          <w:tcPr>
            <w:tcW w:w="1215" w:type="dxa"/>
            <w:vMerge/>
            <w:tcBorders>
              <w:left w:val="single" w:sz="4" w:space="0" w:color="auto"/>
            </w:tcBorders>
            <w:shd w:val="clear" w:color="auto" w:fill="FFFFFF"/>
          </w:tcPr>
          <w:p w14:paraId="25EF4220"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6C88696"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35E014D7"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w:t>
            </w:r>
          </w:p>
        </w:tc>
        <w:tc>
          <w:tcPr>
            <w:tcW w:w="2520" w:type="dxa"/>
            <w:tcBorders>
              <w:top w:val="single" w:sz="4" w:space="0" w:color="auto"/>
              <w:left w:val="single" w:sz="4" w:space="0" w:color="auto"/>
            </w:tcBorders>
            <w:shd w:val="clear" w:color="auto" w:fill="FFFFFF"/>
            <w:vAlign w:val="bottom"/>
          </w:tcPr>
          <w:p w14:paraId="708C489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4.2.3.4.1</w:t>
            </w:r>
          </w:p>
        </w:tc>
        <w:tc>
          <w:tcPr>
            <w:tcW w:w="2578" w:type="dxa"/>
            <w:tcBorders>
              <w:top w:val="single" w:sz="4" w:space="0" w:color="auto"/>
              <w:left w:val="single" w:sz="4" w:space="0" w:color="auto"/>
              <w:right w:val="single" w:sz="4" w:space="0" w:color="auto"/>
            </w:tcBorders>
            <w:shd w:val="clear" w:color="auto" w:fill="FFFFFF"/>
          </w:tcPr>
          <w:p w14:paraId="50CA4D9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A9CE858" w14:textId="77777777" w:rsidTr="00A8592B">
        <w:trPr>
          <w:jc w:val="center"/>
        </w:trPr>
        <w:tc>
          <w:tcPr>
            <w:tcW w:w="1215" w:type="dxa"/>
            <w:vMerge/>
            <w:tcBorders>
              <w:left w:val="single" w:sz="4" w:space="0" w:color="auto"/>
            </w:tcBorders>
            <w:shd w:val="clear" w:color="auto" w:fill="FFFFFF"/>
          </w:tcPr>
          <w:p w14:paraId="0F76353D"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4E517BD"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3CC787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7635452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4.2.3.4.2</w:t>
            </w:r>
          </w:p>
        </w:tc>
        <w:tc>
          <w:tcPr>
            <w:tcW w:w="2578" w:type="dxa"/>
            <w:tcBorders>
              <w:top w:val="single" w:sz="4" w:space="0" w:color="auto"/>
              <w:left w:val="single" w:sz="4" w:space="0" w:color="auto"/>
              <w:right w:val="single" w:sz="4" w:space="0" w:color="auto"/>
            </w:tcBorders>
            <w:shd w:val="clear" w:color="auto" w:fill="FFFFFF"/>
          </w:tcPr>
          <w:p w14:paraId="74AB4C59"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B099F6B" w14:textId="77777777" w:rsidTr="00A8592B">
        <w:trPr>
          <w:jc w:val="center"/>
        </w:trPr>
        <w:tc>
          <w:tcPr>
            <w:tcW w:w="1215" w:type="dxa"/>
            <w:vMerge/>
            <w:tcBorders>
              <w:left w:val="single" w:sz="4" w:space="0" w:color="auto"/>
            </w:tcBorders>
            <w:shd w:val="clear" w:color="auto" w:fill="FFFFFF"/>
          </w:tcPr>
          <w:p w14:paraId="208A551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5EFBE2E"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095FCE9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3B8555A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4.2.3.4.3</w:t>
            </w:r>
          </w:p>
        </w:tc>
        <w:tc>
          <w:tcPr>
            <w:tcW w:w="2578" w:type="dxa"/>
            <w:tcBorders>
              <w:top w:val="single" w:sz="4" w:space="0" w:color="auto"/>
              <w:left w:val="single" w:sz="4" w:space="0" w:color="auto"/>
              <w:right w:val="single" w:sz="4" w:space="0" w:color="auto"/>
            </w:tcBorders>
            <w:shd w:val="clear" w:color="auto" w:fill="FFFFFF"/>
          </w:tcPr>
          <w:p w14:paraId="053345C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CCDF307" w14:textId="77777777" w:rsidTr="00A8592B">
        <w:trPr>
          <w:jc w:val="center"/>
        </w:trPr>
        <w:tc>
          <w:tcPr>
            <w:tcW w:w="1215" w:type="dxa"/>
            <w:vMerge/>
            <w:tcBorders>
              <w:left w:val="single" w:sz="4" w:space="0" w:color="auto"/>
            </w:tcBorders>
            <w:shd w:val="clear" w:color="auto" w:fill="FFFFFF"/>
          </w:tcPr>
          <w:p w14:paraId="5B358C75"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305A5460"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1463A19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w:t>
            </w:r>
          </w:p>
        </w:tc>
        <w:tc>
          <w:tcPr>
            <w:tcW w:w="2520" w:type="dxa"/>
            <w:tcBorders>
              <w:top w:val="single" w:sz="4" w:space="0" w:color="auto"/>
              <w:left w:val="single" w:sz="4" w:space="0" w:color="auto"/>
            </w:tcBorders>
            <w:shd w:val="clear" w:color="auto" w:fill="FFFFFF"/>
            <w:vAlign w:val="bottom"/>
          </w:tcPr>
          <w:p w14:paraId="4D3C13D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4.2.3.5.1</w:t>
            </w:r>
          </w:p>
        </w:tc>
        <w:tc>
          <w:tcPr>
            <w:tcW w:w="2578" w:type="dxa"/>
            <w:tcBorders>
              <w:top w:val="single" w:sz="4" w:space="0" w:color="auto"/>
              <w:left w:val="single" w:sz="4" w:space="0" w:color="auto"/>
              <w:right w:val="single" w:sz="4" w:space="0" w:color="auto"/>
            </w:tcBorders>
            <w:shd w:val="clear" w:color="auto" w:fill="FFFFFF"/>
          </w:tcPr>
          <w:p w14:paraId="14D14EEF"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C0C9CBC" w14:textId="77777777" w:rsidTr="00A8592B">
        <w:trPr>
          <w:jc w:val="center"/>
        </w:trPr>
        <w:tc>
          <w:tcPr>
            <w:tcW w:w="1215" w:type="dxa"/>
            <w:vMerge/>
            <w:tcBorders>
              <w:left w:val="single" w:sz="4" w:space="0" w:color="auto"/>
            </w:tcBorders>
            <w:shd w:val="clear" w:color="auto" w:fill="FFFFFF"/>
          </w:tcPr>
          <w:p w14:paraId="43F122F8"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14D74C41"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2950A0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tcPr>
          <w:p w14:paraId="4AAE225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4.2.3.5.2</w:t>
            </w:r>
          </w:p>
        </w:tc>
        <w:tc>
          <w:tcPr>
            <w:tcW w:w="2578" w:type="dxa"/>
            <w:tcBorders>
              <w:top w:val="single" w:sz="4" w:space="0" w:color="auto"/>
              <w:left w:val="single" w:sz="4" w:space="0" w:color="auto"/>
              <w:right w:val="single" w:sz="4" w:space="0" w:color="auto"/>
            </w:tcBorders>
            <w:shd w:val="clear" w:color="auto" w:fill="FFFFFF"/>
          </w:tcPr>
          <w:p w14:paraId="1567D96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2B4A16A" w14:textId="77777777" w:rsidTr="00A8592B">
        <w:trPr>
          <w:jc w:val="center"/>
        </w:trPr>
        <w:tc>
          <w:tcPr>
            <w:tcW w:w="1215" w:type="dxa"/>
            <w:vMerge/>
            <w:tcBorders>
              <w:left w:val="single" w:sz="4" w:space="0" w:color="auto"/>
            </w:tcBorders>
            <w:shd w:val="clear" w:color="auto" w:fill="FFFFFF"/>
          </w:tcPr>
          <w:p w14:paraId="1AE5C15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B374021"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11A4392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431A77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4.2.3.5.3</w:t>
            </w:r>
          </w:p>
        </w:tc>
        <w:tc>
          <w:tcPr>
            <w:tcW w:w="2578" w:type="dxa"/>
            <w:tcBorders>
              <w:top w:val="single" w:sz="4" w:space="0" w:color="auto"/>
              <w:left w:val="single" w:sz="4" w:space="0" w:color="auto"/>
              <w:right w:val="single" w:sz="4" w:space="0" w:color="auto"/>
            </w:tcBorders>
            <w:shd w:val="clear" w:color="auto" w:fill="FFFFFF"/>
          </w:tcPr>
          <w:p w14:paraId="5FF19A2D"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9188705" w14:textId="77777777" w:rsidTr="00A8592B">
        <w:trPr>
          <w:jc w:val="center"/>
        </w:trPr>
        <w:tc>
          <w:tcPr>
            <w:tcW w:w="1215" w:type="dxa"/>
            <w:vMerge/>
            <w:tcBorders>
              <w:left w:val="single" w:sz="4" w:space="0" w:color="auto"/>
            </w:tcBorders>
            <w:shd w:val="clear" w:color="auto" w:fill="FFFFFF"/>
          </w:tcPr>
          <w:p w14:paraId="76A13D04"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22AEB6AB"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3A28D7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2E1A1C2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4.2.3.5.4</w:t>
            </w:r>
          </w:p>
        </w:tc>
        <w:tc>
          <w:tcPr>
            <w:tcW w:w="2578" w:type="dxa"/>
            <w:tcBorders>
              <w:top w:val="single" w:sz="4" w:space="0" w:color="auto"/>
              <w:left w:val="single" w:sz="4" w:space="0" w:color="auto"/>
              <w:right w:val="single" w:sz="4" w:space="0" w:color="auto"/>
            </w:tcBorders>
            <w:shd w:val="clear" w:color="auto" w:fill="FFFFFF"/>
          </w:tcPr>
          <w:p w14:paraId="3AB69254"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89AC53C" w14:textId="77777777" w:rsidTr="00A8592B">
        <w:trPr>
          <w:jc w:val="center"/>
        </w:trPr>
        <w:tc>
          <w:tcPr>
            <w:tcW w:w="1215" w:type="dxa"/>
            <w:vMerge/>
            <w:tcBorders>
              <w:left w:val="single" w:sz="4" w:space="0" w:color="auto"/>
            </w:tcBorders>
            <w:shd w:val="clear" w:color="auto" w:fill="FFFFFF"/>
          </w:tcPr>
          <w:p w14:paraId="0D0090E1"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9C2B4D8"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6DA0A9A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4.2.3.6</w:t>
            </w:r>
          </w:p>
        </w:tc>
        <w:tc>
          <w:tcPr>
            <w:tcW w:w="2520" w:type="dxa"/>
            <w:tcBorders>
              <w:top w:val="single" w:sz="4" w:space="0" w:color="auto"/>
              <w:left w:val="single" w:sz="4" w:space="0" w:color="auto"/>
            </w:tcBorders>
            <w:shd w:val="clear" w:color="auto" w:fill="FFFFFF"/>
          </w:tcPr>
          <w:p w14:paraId="4798FD5A"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533C3A70" w14:textId="77777777" w:rsidR="008C76E0" w:rsidRPr="00BD7577" w:rsidRDefault="008C76E0" w:rsidP="008C76E0">
            <w:pPr>
              <w:spacing w:after="120" w:line="240" w:lineRule="auto"/>
              <w:rPr>
                <w:rFonts w:ascii="Sylfaen" w:hAnsi="Sylfaen"/>
                <w:sz w:val="24"/>
                <w:szCs w:val="24"/>
              </w:rPr>
            </w:pPr>
          </w:p>
        </w:tc>
      </w:tr>
      <w:tr w:rsidR="008C76E0" w:rsidRPr="00BD7577" w14:paraId="791925C3" w14:textId="77777777" w:rsidTr="00A8592B">
        <w:trPr>
          <w:jc w:val="center"/>
        </w:trPr>
        <w:tc>
          <w:tcPr>
            <w:tcW w:w="1215" w:type="dxa"/>
            <w:vMerge/>
            <w:tcBorders>
              <w:left w:val="single" w:sz="4" w:space="0" w:color="auto"/>
            </w:tcBorders>
            <w:shd w:val="clear" w:color="auto" w:fill="FFFFFF"/>
          </w:tcPr>
          <w:p w14:paraId="748D73DF"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1A3337C"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1CFB177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w:t>
            </w:r>
          </w:p>
        </w:tc>
        <w:tc>
          <w:tcPr>
            <w:tcW w:w="2520" w:type="dxa"/>
            <w:tcBorders>
              <w:top w:val="single" w:sz="4" w:space="0" w:color="auto"/>
              <w:left w:val="single" w:sz="4" w:space="0" w:color="auto"/>
            </w:tcBorders>
            <w:shd w:val="clear" w:color="auto" w:fill="FFFFFF"/>
            <w:vAlign w:val="bottom"/>
          </w:tcPr>
          <w:p w14:paraId="67BF9D46"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4.2.3.7.1</w:t>
            </w:r>
          </w:p>
        </w:tc>
        <w:tc>
          <w:tcPr>
            <w:tcW w:w="2578" w:type="dxa"/>
            <w:tcBorders>
              <w:top w:val="single" w:sz="4" w:space="0" w:color="auto"/>
              <w:left w:val="single" w:sz="4" w:space="0" w:color="auto"/>
              <w:right w:val="single" w:sz="4" w:space="0" w:color="auto"/>
            </w:tcBorders>
            <w:shd w:val="clear" w:color="auto" w:fill="FFFFFF"/>
          </w:tcPr>
          <w:p w14:paraId="3D0161F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237BB15" w14:textId="77777777" w:rsidTr="00A8592B">
        <w:trPr>
          <w:jc w:val="center"/>
        </w:trPr>
        <w:tc>
          <w:tcPr>
            <w:tcW w:w="1215" w:type="dxa"/>
            <w:vMerge/>
            <w:tcBorders>
              <w:left w:val="single" w:sz="4" w:space="0" w:color="auto"/>
            </w:tcBorders>
            <w:shd w:val="clear" w:color="auto" w:fill="FFFFFF"/>
          </w:tcPr>
          <w:p w14:paraId="54CA978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B24399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37C3038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4F6AC3E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4.2.3.7.2</w:t>
            </w:r>
          </w:p>
        </w:tc>
        <w:tc>
          <w:tcPr>
            <w:tcW w:w="2578" w:type="dxa"/>
            <w:tcBorders>
              <w:top w:val="single" w:sz="4" w:space="0" w:color="auto"/>
              <w:left w:val="single" w:sz="4" w:space="0" w:color="auto"/>
              <w:right w:val="single" w:sz="4" w:space="0" w:color="auto"/>
            </w:tcBorders>
            <w:shd w:val="clear" w:color="auto" w:fill="FFFFFF"/>
          </w:tcPr>
          <w:p w14:paraId="4DE98247"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8A86E5F" w14:textId="77777777" w:rsidTr="00A8592B">
        <w:trPr>
          <w:jc w:val="center"/>
        </w:trPr>
        <w:tc>
          <w:tcPr>
            <w:tcW w:w="1215" w:type="dxa"/>
            <w:vMerge/>
            <w:tcBorders>
              <w:left w:val="single" w:sz="4" w:space="0" w:color="auto"/>
            </w:tcBorders>
            <w:shd w:val="clear" w:color="auto" w:fill="FFFFFF"/>
          </w:tcPr>
          <w:p w14:paraId="7F10CD92"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2AB5C0A"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42F6CB2B"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10DCFACE"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4.2.3.7.3</w:t>
            </w:r>
          </w:p>
        </w:tc>
        <w:tc>
          <w:tcPr>
            <w:tcW w:w="2578" w:type="dxa"/>
            <w:tcBorders>
              <w:top w:val="single" w:sz="4" w:space="0" w:color="auto"/>
              <w:left w:val="single" w:sz="4" w:space="0" w:color="auto"/>
              <w:right w:val="single" w:sz="4" w:space="0" w:color="auto"/>
            </w:tcBorders>
            <w:shd w:val="clear" w:color="auto" w:fill="FFFFFF"/>
          </w:tcPr>
          <w:p w14:paraId="088E5D92"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3104CE4" w14:textId="77777777" w:rsidTr="00A8592B">
        <w:trPr>
          <w:jc w:val="center"/>
        </w:trPr>
        <w:tc>
          <w:tcPr>
            <w:tcW w:w="1215" w:type="dxa"/>
            <w:vMerge/>
            <w:tcBorders>
              <w:left w:val="single" w:sz="4" w:space="0" w:color="auto"/>
            </w:tcBorders>
            <w:shd w:val="clear" w:color="auto" w:fill="FFFFFF"/>
          </w:tcPr>
          <w:p w14:paraId="509F2587"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046F7EEB"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4464ACCD"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5460D7C"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4.2.3.7.4</w:t>
            </w:r>
          </w:p>
        </w:tc>
        <w:tc>
          <w:tcPr>
            <w:tcW w:w="2578" w:type="dxa"/>
            <w:tcBorders>
              <w:top w:val="single" w:sz="4" w:space="0" w:color="auto"/>
              <w:left w:val="single" w:sz="4" w:space="0" w:color="auto"/>
              <w:right w:val="single" w:sz="4" w:space="0" w:color="auto"/>
            </w:tcBorders>
            <w:shd w:val="clear" w:color="auto" w:fill="FFFFFF"/>
          </w:tcPr>
          <w:p w14:paraId="4B80462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90524B3" w14:textId="77777777" w:rsidTr="00A8592B">
        <w:trPr>
          <w:jc w:val="center"/>
        </w:trPr>
        <w:tc>
          <w:tcPr>
            <w:tcW w:w="1215" w:type="dxa"/>
            <w:vMerge/>
            <w:tcBorders>
              <w:left w:val="single" w:sz="4" w:space="0" w:color="auto"/>
            </w:tcBorders>
            <w:shd w:val="clear" w:color="auto" w:fill="FFFFFF"/>
          </w:tcPr>
          <w:p w14:paraId="736290EE"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275EECF4"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7FB5151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0F72C5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4.2.3.7.5</w:t>
            </w:r>
          </w:p>
        </w:tc>
        <w:tc>
          <w:tcPr>
            <w:tcW w:w="2578" w:type="dxa"/>
            <w:tcBorders>
              <w:top w:val="single" w:sz="4" w:space="0" w:color="auto"/>
              <w:left w:val="single" w:sz="4" w:space="0" w:color="auto"/>
              <w:right w:val="single" w:sz="4" w:space="0" w:color="auto"/>
            </w:tcBorders>
            <w:shd w:val="clear" w:color="auto" w:fill="FFFFFF"/>
          </w:tcPr>
          <w:p w14:paraId="056D9BF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4289C2E" w14:textId="77777777" w:rsidTr="00A8592B">
        <w:trPr>
          <w:jc w:val="center"/>
        </w:trPr>
        <w:tc>
          <w:tcPr>
            <w:tcW w:w="1215" w:type="dxa"/>
            <w:vMerge/>
            <w:tcBorders>
              <w:left w:val="single" w:sz="4" w:space="0" w:color="auto"/>
            </w:tcBorders>
            <w:shd w:val="clear" w:color="auto" w:fill="FFFFFF"/>
          </w:tcPr>
          <w:p w14:paraId="355DDC4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CD8E6F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5822452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35C41A3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4.2.3.7.6</w:t>
            </w:r>
          </w:p>
        </w:tc>
        <w:tc>
          <w:tcPr>
            <w:tcW w:w="2578" w:type="dxa"/>
            <w:tcBorders>
              <w:top w:val="single" w:sz="4" w:space="0" w:color="auto"/>
              <w:left w:val="single" w:sz="4" w:space="0" w:color="auto"/>
              <w:right w:val="single" w:sz="4" w:space="0" w:color="auto"/>
            </w:tcBorders>
            <w:shd w:val="clear" w:color="auto" w:fill="FFFFFF"/>
          </w:tcPr>
          <w:p w14:paraId="3F2EDEDD"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755C924" w14:textId="77777777" w:rsidTr="00A8592B">
        <w:trPr>
          <w:jc w:val="center"/>
        </w:trPr>
        <w:tc>
          <w:tcPr>
            <w:tcW w:w="1215" w:type="dxa"/>
            <w:vMerge/>
            <w:tcBorders>
              <w:left w:val="single" w:sz="4" w:space="0" w:color="auto"/>
            </w:tcBorders>
            <w:shd w:val="clear" w:color="auto" w:fill="FFFFFF"/>
          </w:tcPr>
          <w:p w14:paraId="24FC46A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D2F92D7"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5212CF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04C6676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4.2.3.7.7</w:t>
            </w:r>
          </w:p>
        </w:tc>
        <w:tc>
          <w:tcPr>
            <w:tcW w:w="2578" w:type="dxa"/>
            <w:tcBorders>
              <w:top w:val="single" w:sz="4" w:space="0" w:color="auto"/>
              <w:left w:val="single" w:sz="4" w:space="0" w:color="auto"/>
              <w:right w:val="single" w:sz="4" w:space="0" w:color="auto"/>
            </w:tcBorders>
            <w:shd w:val="clear" w:color="auto" w:fill="FFFFFF"/>
          </w:tcPr>
          <w:p w14:paraId="4A78CCC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4ADFC84" w14:textId="77777777" w:rsidTr="00A8592B">
        <w:trPr>
          <w:jc w:val="center"/>
        </w:trPr>
        <w:tc>
          <w:tcPr>
            <w:tcW w:w="1215" w:type="dxa"/>
            <w:vMerge/>
            <w:tcBorders>
              <w:left w:val="single" w:sz="4" w:space="0" w:color="auto"/>
              <w:bottom w:val="single" w:sz="4" w:space="0" w:color="auto"/>
            </w:tcBorders>
            <w:shd w:val="clear" w:color="auto" w:fill="FFFFFF"/>
          </w:tcPr>
          <w:p w14:paraId="5112166F" w14:textId="77777777" w:rsidR="008C76E0" w:rsidRPr="00BD7577" w:rsidRDefault="008C76E0" w:rsidP="008C76E0">
            <w:pPr>
              <w:spacing w:after="120" w:line="240" w:lineRule="auto"/>
              <w:rPr>
                <w:rFonts w:ascii="Sylfaen" w:hAnsi="Sylfaen"/>
                <w:sz w:val="24"/>
                <w:szCs w:val="24"/>
              </w:rPr>
            </w:pPr>
          </w:p>
        </w:tc>
        <w:tc>
          <w:tcPr>
            <w:tcW w:w="532" w:type="dxa"/>
            <w:tcBorders>
              <w:top w:val="single" w:sz="4" w:space="0" w:color="auto"/>
              <w:left w:val="single" w:sz="4" w:space="0" w:color="auto"/>
              <w:bottom w:val="single" w:sz="4" w:space="0" w:color="auto"/>
            </w:tcBorders>
            <w:shd w:val="clear" w:color="auto" w:fill="FFFFFF"/>
          </w:tcPr>
          <w:p w14:paraId="3DF38E8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4.3</w:t>
            </w:r>
          </w:p>
        </w:tc>
        <w:tc>
          <w:tcPr>
            <w:tcW w:w="2052" w:type="dxa"/>
            <w:tcBorders>
              <w:top w:val="single" w:sz="4" w:space="0" w:color="auto"/>
              <w:left w:val="single" w:sz="4" w:space="0" w:color="auto"/>
              <w:bottom w:val="single" w:sz="4" w:space="0" w:color="auto"/>
            </w:tcBorders>
            <w:shd w:val="clear" w:color="auto" w:fill="FFFFFF"/>
          </w:tcPr>
          <w:p w14:paraId="43B04BC1" w14:textId="77777777" w:rsidR="008C76E0" w:rsidRPr="00903D92" w:rsidRDefault="008C76E0" w:rsidP="008C76E0">
            <w:pPr>
              <w:spacing w:after="120" w:line="240" w:lineRule="auto"/>
              <w:ind w:left="132" w:right="123"/>
              <w:jc w:val="both"/>
              <w:rPr>
                <w:rFonts w:ascii="Sylfaen" w:hAnsi="Sylfaen"/>
                <w:sz w:val="24"/>
                <w:szCs w:val="24"/>
                <w:lang w:val="en-US"/>
              </w:rPr>
            </w:pPr>
            <w:r w:rsidRPr="00BD7577">
              <w:rPr>
                <w:rFonts w:ascii="Sylfaen" w:hAnsi="Sylfaen"/>
                <w:sz w:val="24"/>
                <w:szCs w:val="24"/>
              </w:rPr>
              <w:t>Մեկական ֆայլ՝ յուրաքանչյուր աղբյուրի համար</w:t>
            </w:r>
            <w:r w:rsidRPr="00BD7577">
              <w:rPr>
                <w:rStyle w:val="FootnoteReference"/>
                <w:rFonts w:ascii="Sylfaen" w:hAnsi="Sylfaen"/>
                <w:sz w:val="24"/>
                <w:szCs w:val="24"/>
              </w:rPr>
              <w:footnoteReference w:id="38"/>
            </w:r>
          </w:p>
        </w:tc>
        <w:tc>
          <w:tcPr>
            <w:tcW w:w="902" w:type="dxa"/>
            <w:tcBorders>
              <w:top w:val="single" w:sz="4" w:space="0" w:color="auto"/>
              <w:left w:val="single" w:sz="4" w:space="0" w:color="auto"/>
              <w:bottom w:val="single" w:sz="4" w:space="0" w:color="auto"/>
            </w:tcBorders>
            <w:shd w:val="clear" w:color="auto" w:fill="FFFFFF"/>
          </w:tcPr>
          <w:p w14:paraId="5D56FC1C"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bottom w:val="single" w:sz="4" w:space="0" w:color="auto"/>
            </w:tcBorders>
            <w:shd w:val="clear" w:color="auto" w:fill="FFFFFF"/>
          </w:tcPr>
          <w:p w14:paraId="6D12A592" w14:textId="77777777" w:rsidR="008C76E0" w:rsidRPr="00BD7577" w:rsidRDefault="008C76E0" w:rsidP="008C76E0">
            <w:pPr>
              <w:spacing w:after="120" w:line="240" w:lineRule="auto"/>
              <w:rPr>
                <w:rFonts w:ascii="Sylfaen" w:hAnsi="Sylfaen"/>
                <w:sz w:val="24"/>
                <w:szCs w:val="24"/>
              </w:rPr>
            </w:pPr>
          </w:p>
        </w:tc>
        <w:tc>
          <w:tcPr>
            <w:tcW w:w="2578" w:type="dxa"/>
            <w:tcBorders>
              <w:top w:val="single" w:sz="4" w:space="0" w:color="auto"/>
              <w:left w:val="single" w:sz="4" w:space="0" w:color="auto"/>
              <w:bottom w:val="single" w:sz="4" w:space="0" w:color="auto"/>
              <w:right w:val="single" w:sz="4" w:space="0" w:color="auto"/>
            </w:tcBorders>
            <w:shd w:val="clear" w:color="auto" w:fill="FFFFFF"/>
          </w:tcPr>
          <w:p w14:paraId="7F66C55A" w14:textId="77777777" w:rsidR="008C76E0" w:rsidRPr="00BD7577" w:rsidRDefault="008C76E0" w:rsidP="008C76E0">
            <w:pPr>
              <w:spacing w:after="120" w:line="240" w:lineRule="auto"/>
              <w:rPr>
                <w:rFonts w:ascii="Sylfaen" w:hAnsi="Sylfaen"/>
                <w:sz w:val="24"/>
                <w:szCs w:val="24"/>
              </w:rPr>
            </w:pPr>
          </w:p>
        </w:tc>
      </w:tr>
    </w:tbl>
    <w:p w14:paraId="41BD204E" w14:textId="77777777" w:rsidR="008C76E0" w:rsidRPr="00BD7577" w:rsidRDefault="008C76E0" w:rsidP="008C76E0">
      <w:pPr>
        <w:rPr>
          <w:rFonts w:ascii="Sylfaen" w:hAnsi="Sylfaen"/>
          <w:sz w:val="24"/>
          <w:szCs w:val="24"/>
        </w:rPr>
      </w:pPr>
    </w:p>
    <w:p w14:paraId="0F8D2DB3" w14:textId="77777777" w:rsidR="008C76E0" w:rsidRPr="00BD7577" w:rsidRDefault="008C76E0" w:rsidP="008C76E0">
      <w:pPr>
        <w:ind w:left="567" w:right="566"/>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552" w:type="dxa"/>
        <w:jc w:val="center"/>
        <w:tblLook w:val="04A0" w:firstRow="1" w:lastRow="0" w:firstColumn="1" w:lastColumn="0" w:noHBand="0" w:noVBand="1"/>
      </w:tblPr>
      <w:tblGrid>
        <w:gridCol w:w="9552"/>
      </w:tblGrid>
      <w:tr w:rsidR="008C76E0" w:rsidRPr="00BD7577" w14:paraId="5B4E5411" w14:textId="77777777" w:rsidTr="008C76E0">
        <w:trPr>
          <w:jc w:val="center"/>
        </w:trPr>
        <w:tc>
          <w:tcPr>
            <w:tcW w:w="9552" w:type="dxa"/>
          </w:tcPr>
          <w:p w14:paraId="361EEBF1" w14:textId="77777777" w:rsidR="008C76E0" w:rsidRPr="00BD7577" w:rsidRDefault="008C76E0" w:rsidP="008C76E0">
            <w:pPr>
              <w:spacing w:after="120"/>
              <w:ind w:left="-9" w:right="-2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6A3362C7" w14:textId="77777777" w:rsidTr="008C76E0">
        <w:trPr>
          <w:jc w:val="center"/>
        </w:trPr>
        <w:tc>
          <w:tcPr>
            <w:tcW w:w="9552" w:type="dxa"/>
          </w:tcPr>
          <w:p w14:paraId="66FBF002" w14:textId="77777777" w:rsidR="008C76E0" w:rsidRPr="00BD7577" w:rsidRDefault="008C76E0" w:rsidP="008C76E0">
            <w:pPr>
              <w:spacing w:after="120"/>
              <w:ind w:left="-9" w:right="-11"/>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w:t>
            </w:r>
          </w:p>
        </w:tc>
      </w:tr>
      <w:tr w:rsidR="008C76E0" w:rsidRPr="00BD7577" w14:paraId="4110FDE6" w14:textId="77777777" w:rsidTr="008C76E0">
        <w:trPr>
          <w:jc w:val="center"/>
        </w:trPr>
        <w:tc>
          <w:tcPr>
            <w:tcW w:w="9552" w:type="dxa"/>
          </w:tcPr>
          <w:p w14:paraId="50615544" w14:textId="77777777" w:rsidR="008C76E0" w:rsidRPr="00BD7577" w:rsidRDefault="008C76E0" w:rsidP="008C76E0">
            <w:pPr>
              <w:spacing w:after="120"/>
              <w:ind w:left="-9" w:right="-11"/>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կամ մի քանի փաստաթղթեր:</w:t>
            </w:r>
          </w:p>
        </w:tc>
      </w:tr>
    </w:tbl>
    <w:p w14:paraId="43E9457C" w14:textId="77777777" w:rsidR="00903D92" w:rsidRDefault="00903D92" w:rsidP="008C76E0">
      <w:pPr>
        <w:ind w:left="102" w:right="-20"/>
        <w:rPr>
          <w:rFonts w:ascii="Sylfaen" w:eastAsia="Times New Roman" w:hAnsi="Sylfaen" w:cs="Times New Roman"/>
          <w:sz w:val="24"/>
          <w:szCs w:val="24"/>
        </w:rPr>
        <w:sectPr w:rsidR="00903D92" w:rsidSect="00C31D56">
          <w:footnotePr>
            <w:numRestart w:val="eachSect"/>
          </w:footnotePr>
          <w:pgSz w:w="11907" w:h="16839" w:code="9"/>
          <w:pgMar w:top="1418" w:right="1418" w:bottom="1418" w:left="1418" w:header="0" w:footer="361" w:gutter="0"/>
          <w:cols w:space="720"/>
          <w:noEndnote/>
          <w:docGrid w:linePitch="360"/>
        </w:sectPr>
      </w:pPr>
    </w:p>
    <w:p w14:paraId="671B7339" w14:textId="77777777" w:rsidR="008C76E0" w:rsidRPr="00BD7577" w:rsidRDefault="008C76E0" w:rsidP="008C76E0">
      <w:pPr>
        <w:tabs>
          <w:tab w:val="left" w:pos="1134"/>
        </w:tabs>
        <w:ind w:right="-20" w:firstLine="567"/>
        <w:jc w:val="both"/>
        <w:rPr>
          <w:rFonts w:ascii="Sylfaen" w:eastAsia="Times New Roman" w:hAnsi="Sylfaen" w:cs="Times New Roman"/>
          <w:sz w:val="24"/>
          <w:szCs w:val="24"/>
          <w:lang w:val="en-US"/>
        </w:rPr>
      </w:pPr>
      <w:r w:rsidRPr="00BD7577">
        <w:rPr>
          <w:rFonts w:ascii="Sylfaen" w:eastAsia="Times New Roman" w:hAnsi="Sylfaen" w:cs="Times New Roman"/>
          <w:sz w:val="24"/>
          <w:szCs w:val="24"/>
          <w:lang w:val="ru-RU"/>
        </w:rPr>
        <w:lastRenderedPageBreak/>
        <w:t>5</w:t>
      </w:r>
      <w:r>
        <w:rPr>
          <w:rFonts w:ascii="Sylfaen" w:eastAsia="Times New Roman" w:hAnsi="Sylfaen" w:cs="Times New Roman"/>
          <w:sz w:val="24"/>
          <w:szCs w:val="24"/>
          <w:lang w:val="en-US"/>
        </w:rPr>
        <w:t>.</w:t>
      </w:r>
      <w:r>
        <w:rPr>
          <w:rFonts w:ascii="Sylfaen" w:eastAsia="Times New Roman" w:hAnsi="Sylfaen" w:cs="Times New Roman"/>
          <w:sz w:val="24"/>
          <w:szCs w:val="24"/>
          <w:lang w:val="en-US"/>
        </w:rPr>
        <w:tab/>
      </w:r>
      <w:r w:rsidRPr="00BD7577">
        <w:rPr>
          <w:rFonts w:ascii="Sylfaen" w:hAnsi="Sylfaen"/>
          <w:sz w:val="24"/>
          <w:szCs w:val="24"/>
        </w:rPr>
        <w:t>Մոդուլ 5</w:t>
      </w:r>
    </w:p>
    <w:tbl>
      <w:tblPr>
        <w:tblW w:w="0" w:type="auto"/>
        <w:jc w:val="center"/>
        <w:tblLayout w:type="fixed"/>
        <w:tblCellMar>
          <w:left w:w="0" w:type="dxa"/>
          <w:right w:w="0" w:type="dxa"/>
        </w:tblCellMar>
        <w:tblLook w:val="01E0" w:firstRow="1" w:lastRow="1" w:firstColumn="1" w:lastColumn="1" w:noHBand="0" w:noVBand="0"/>
      </w:tblPr>
      <w:tblGrid>
        <w:gridCol w:w="1200"/>
        <w:gridCol w:w="720"/>
        <w:gridCol w:w="2441"/>
        <w:gridCol w:w="2520"/>
        <w:gridCol w:w="2700"/>
      </w:tblGrid>
      <w:tr w:rsidR="008C76E0" w:rsidRPr="00BD7577" w14:paraId="33EDDEAA" w14:textId="77777777" w:rsidTr="008C76E0">
        <w:trPr>
          <w:jc w:val="center"/>
        </w:trPr>
        <w:tc>
          <w:tcPr>
            <w:tcW w:w="1200" w:type="dxa"/>
            <w:vMerge w:val="restart"/>
            <w:tcBorders>
              <w:top w:val="single" w:sz="4" w:space="0" w:color="000000"/>
              <w:left w:val="single" w:sz="4" w:space="0" w:color="000000"/>
              <w:right w:val="single" w:sz="4" w:space="0" w:color="000000"/>
            </w:tcBorders>
            <w:shd w:val="clear" w:color="auto" w:fill="E7E7E7"/>
          </w:tcPr>
          <w:p w14:paraId="23202EF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Մոդուլ 5</w:t>
            </w:r>
          </w:p>
        </w:tc>
        <w:tc>
          <w:tcPr>
            <w:tcW w:w="720" w:type="dxa"/>
            <w:tcBorders>
              <w:top w:val="single" w:sz="4" w:space="0" w:color="000000"/>
              <w:left w:val="single" w:sz="4" w:space="0" w:color="000000"/>
              <w:bottom w:val="single" w:sz="4" w:space="0" w:color="000000"/>
              <w:right w:val="single" w:sz="4" w:space="0" w:color="000000"/>
            </w:tcBorders>
          </w:tcPr>
          <w:p w14:paraId="24B7A59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5.1</w:t>
            </w:r>
          </w:p>
        </w:tc>
        <w:tc>
          <w:tcPr>
            <w:tcW w:w="7661" w:type="dxa"/>
            <w:gridSpan w:val="3"/>
            <w:tcBorders>
              <w:top w:val="single" w:sz="4" w:space="0" w:color="000000"/>
              <w:left w:val="single" w:sz="4" w:space="0" w:color="000000"/>
              <w:bottom w:val="single" w:sz="4" w:space="0" w:color="000000"/>
              <w:right w:val="single" w:sz="4" w:space="0" w:color="000000"/>
            </w:tcBorders>
          </w:tcPr>
          <w:p w14:paraId="345820C4" w14:textId="77777777" w:rsidR="008C76E0" w:rsidRPr="00BD7577" w:rsidRDefault="008C76E0" w:rsidP="008C76E0">
            <w:pPr>
              <w:spacing w:after="120" w:line="240" w:lineRule="auto"/>
              <w:rPr>
                <w:rFonts w:ascii="Sylfaen" w:hAnsi="Sylfaen"/>
                <w:sz w:val="24"/>
                <w:szCs w:val="24"/>
              </w:rPr>
            </w:pPr>
          </w:p>
        </w:tc>
      </w:tr>
      <w:tr w:rsidR="008C76E0" w:rsidRPr="00BD7577" w14:paraId="143175E8" w14:textId="77777777" w:rsidTr="008C76E0">
        <w:trPr>
          <w:jc w:val="center"/>
        </w:trPr>
        <w:tc>
          <w:tcPr>
            <w:tcW w:w="1200" w:type="dxa"/>
            <w:vMerge/>
            <w:tcBorders>
              <w:left w:val="single" w:sz="4" w:space="0" w:color="000000"/>
              <w:right w:val="single" w:sz="4" w:space="0" w:color="000000"/>
            </w:tcBorders>
            <w:shd w:val="clear" w:color="auto" w:fill="E7E7E7"/>
          </w:tcPr>
          <w:p w14:paraId="4783E2F8" w14:textId="77777777" w:rsidR="008C76E0" w:rsidRPr="00BD7577" w:rsidRDefault="008C76E0" w:rsidP="008C76E0">
            <w:pPr>
              <w:spacing w:after="120" w:line="240" w:lineRule="auto"/>
              <w:rPr>
                <w:rFonts w:ascii="Sylfaen" w:hAnsi="Sylfae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9A71B5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5.2</w:t>
            </w:r>
          </w:p>
        </w:tc>
        <w:tc>
          <w:tcPr>
            <w:tcW w:w="2441" w:type="dxa"/>
            <w:tcBorders>
              <w:top w:val="single" w:sz="4" w:space="0" w:color="000000"/>
              <w:left w:val="single" w:sz="4" w:space="0" w:color="000000"/>
              <w:bottom w:val="single" w:sz="4" w:space="0" w:color="000000"/>
              <w:right w:val="single" w:sz="4" w:space="0" w:color="000000"/>
            </w:tcBorders>
          </w:tcPr>
          <w:p w14:paraId="0ACF9007"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tcPr>
          <w:p w14:paraId="57D5065A"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2261922C" w14:textId="77777777" w:rsidR="008C76E0" w:rsidRPr="00BD7577" w:rsidRDefault="008C76E0" w:rsidP="008C76E0">
            <w:pPr>
              <w:spacing w:after="120" w:line="240" w:lineRule="auto"/>
              <w:rPr>
                <w:rFonts w:ascii="Sylfaen" w:hAnsi="Sylfaen"/>
                <w:sz w:val="24"/>
                <w:szCs w:val="24"/>
              </w:rPr>
            </w:pPr>
          </w:p>
        </w:tc>
      </w:tr>
      <w:tr w:rsidR="008C76E0" w:rsidRPr="00BD7577" w14:paraId="567B43A6" w14:textId="77777777" w:rsidTr="008C76E0">
        <w:trPr>
          <w:jc w:val="center"/>
        </w:trPr>
        <w:tc>
          <w:tcPr>
            <w:tcW w:w="1200" w:type="dxa"/>
            <w:vMerge/>
            <w:tcBorders>
              <w:left w:val="single" w:sz="4" w:space="0" w:color="000000"/>
              <w:right w:val="single" w:sz="4" w:space="0" w:color="000000"/>
            </w:tcBorders>
            <w:shd w:val="clear" w:color="auto" w:fill="E7E7E7"/>
          </w:tcPr>
          <w:p w14:paraId="4885098A" w14:textId="77777777" w:rsidR="008C76E0" w:rsidRPr="00BD7577" w:rsidRDefault="008C76E0" w:rsidP="008C76E0">
            <w:pPr>
              <w:spacing w:after="120" w:line="240" w:lineRule="auto"/>
              <w:rPr>
                <w:rFonts w:ascii="Sylfaen" w:hAnsi="Sylfaen"/>
                <w:sz w:val="24"/>
                <w:szCs w:val="24"/>
              </w:rPr>
            </w:pPr>
          </w:p>
        </w:tc>
        <w:tc>
          <w:tcPr>
            <w:tcW w:w="720" w:type="dxa"/>
            <w:vMerge w:val="restart"/>
            <w:tcBorders>
              <w:top w:val="single" w:sz="4" w:space="0" w:color="000000"/>
              <w:left w:val="single" w:sz="4" w:space="0" w:color="000000"/>
              <w:right w:val="single" w:sz="4" w:space="0" w:color="000000"/>
            </w:tcBorders>
            <w:shd w:val="clear" w:color="auto" w:fill="E7E7E7"/>
          </w:tcPr>
          <w:p w14:paraId="32CBDF2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w:t>
            </w:r>
          </w:p>
        </w:tc>
        <w:tc>
          <w:tcPr>
            <w:tcW w:w="2441" w:type="dxa"/>
            <w:vMerge w:val="restart"/>
            <w:tcBorders>
              <w:top w:val="single" w:sz="4" w:space="0" w:color="000000"/>
              <w:left w:val="single" w:sz="4" w:space="0" w:color="000000"/>
              <w:right w:val="single" w:sz="4" w:space="0" w:color="000000"/>
            </w:tcBorders>
            <w:shd w:val="clear" w:color="auto" w:fill="E7E7E7"/>
          </w:tcPr>
          <w:p w14:paraId="523DBEB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5C9D4D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5.3.1.1</w:t>
            </w:r>
          </w:p>
        </w:tc>
        <w:tc>
          <w:tcPr>
            <w:tcW w:w="2700" w:type="dxa"/>
            <w:tcBorders>
              <w:top w:val="single" w:sz="4" w:space="0" w:color="000000"/>
              <w:left w:val="single" w:sz="4" w:space="0" w:color="000000"/>
              <w:bottom w:val="single" w:sz="4" w:space="0" w:color="000000"/>
              <w:right w:val="single" w:sz="4" w:space="0" w:color="000000"/>
            </w:tcBorders>
          </w:tcPr>
          <w:p w14:paraId="4AF5E5BC" w14:textId="77777777" w:rsidR="008C76E0" w:rsidRPr="00903D92" w:rsidRDefault="008C76E0" w:rsidP="008C76E0">
            <w:pPr>
              <w:spacing w:after="120" w:line="240" w:lineRule="auto"/>
              <w:ind w:left="102" w:right="-20"/>
              <w:rPr>
                <w:rFonts w:ascii="Sylfaen" w:eastAsia="Times New Roman" w:hAnsi="Sylfaen" w:cs="Times New Roman"/>
                <w:sz w:val="24"/>
                <w:szCs w:val="24"/>
                <w:lang w:val="en-US"/>
              </w:rPr>
            </w:pPr>
            <w:r w:rsidRPr="00BD7577">
              <w:rPr>
                <w:rFonts w:ascii="Sylfaen" w:hAnsi="Sylfaen"/>
                <w:sz w:val="24"/>
                <w:szCs w:val="24"/>
              </w:rPr>
              <w:t>Հետազոտություններ</w:t>
            </w:r>
            <w:r w:rsidRPr="00BD7577">
              <w:rPr>
                <w:rStyle w:val="FootnoteReference"/>
                <w:rFonts w:ascii="Sylfaen" w:hAnsi="Sylfaen"/>
                <w:sz w:val="24"/>
                <w:szCs w:val="24"/>
              </w:rPr>
              <w:footnoteReference w:id="39"/>
            </w:r>
            <w:r w:rsidRPr="00BD7577">
              <w:rPr>
                <w:rFonts w:ascii="Sylfaen" w:hAnsi="Sylfaen"/>
                <w:sz w:val="24"/>
                <w:szCs w:val="24"/>
                <w:lang w:val="en-US"/>
              </w:rPr>
              <w:t xml:space="preserve"> </w:t>
            </w:r>
          </w:p>
        </w:tc>
      </w:tr>
      <w:tr w:rsidR="008C76E0" w:rsidRPr="00BD7577" w14:paraId="7CA69E58" w14:textId="77777777" w:rsidTr="008C76E0">
        <w:trPr>
          <w:jc w:val="center"/>
        </w:trPr>
        <w:tc>
          <w:tcPr>
            <w:tcW w:w="1200" w:type="dxa"/>
            <w:vMerge/>
            <w:tcBorders>
              <w:left w:val="single" w:sz="4" w:space="0" w:color="000000"/>
              <w:right w:val="single" w:sz="4" w:space="0" w:color="000000"/>
            </w:tcBorders>
            <w:shd w:val="clear" w:color="auto" w:fill="E7E7E7"/>
          </w:tcPr>
          <w:p w14:paraId="51DF15CA"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653C218"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649F926"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EE7E5F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5.3.1.2</w:t>
            </w:r>
          </w:p>
        </w:tc>
        <w:tc>
          <w:tcPr>
            <w:tcW w:w="2700" w:type="dxa"/>
            <w:tcBorders>
              <w:top w:val="single" w:sz="4" w:space="0" w:color="000000"/>
              <w:left w:val="single" w:sz="4" w:space="0" w:color="000000"/>
              <w:bottom w:val="single" w:sz="4" w:space="0" w:color="000000"/>
              <w:right w:val="single" w:sz="4" w:space="0" w:color="000000"/>
            </w:tcBorders>
          </w:tcPr>
          <w:p w14:paraId="016E39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E6D6325" w14:textId="77777777" w:rsidTr="008C76E0">
        <w:trPr>
          <w:jc w:val="center"/>
        </w:trPr>
        <w:tc>
          <w:tcPr>
            <w:tcW w:w="1200" w:type="dxa"/>
            <w:vMerge/>
            <w:tcBorders>
              <w:left w:val="single" w:sz="4" w:space="0" w:color="000000"/>
              <w:right w:val="single" w:sz="4" w:space="0" w:color="000000"/>
            </w:tcBorders>
            <w:shd w:val="clear" w:color="auto" w:fill="E7E7E7"/>
          </w:tcPr>
          <w:p w14:paraId="1F159EA4"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B73C495"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43495B26"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703AA48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5.3.1.3</w:t>
            </w:r>
          </w:p>
        </w:tc>
        <w:tc>
          <w:tcPr>
            <w:tcW w:w="2700" w:type="dxa"/>
            <w:tcBorders>
              <w:top w:val="single" w:sz="4" w:space="0" w:color="000000"/>
              <w:left w:val="single" w:sz="4" w:space="0" w:color="000000"/>
              <w:bottom w:val="single" w:sz="4" w:space="0" w:color="000000"/>
              <w:right w:val="single" w:sz="4" w:space="0" w:color="000000"/>
            </w:tcBorders>
          </w:tcPr>
          <w:p w14:paraId="14C6EC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9CE3BD1" w14:textId="77777777" w:rsidTr="008C76E0">
        <w:trPr>
          <w:jc w:val="center"/>
        </w:trPr>
        <w:tc>
          <w:tcPr>
            <w:tcW w:w="1200" w:type="dxa"/>
            <w:vMerge/>
            <w:tcBorders>
              <w:left w:val="single" w:sz="4" w:space="0" w:color="000000"/>
              <w:right w:val="single" w:sz="4" w:space="0" w:color="000000"/>
            </w:tcBorders>
            <w:shd w:val="clear" w:color="auto" w:fill="E7E7E7"/>
          </w:tcPr>
          <w:p w14:paraId="3581435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B00D2E5"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29A76BD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6DFF57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5.3.1.4</w:t>
            </w:r>
          </w:p>
        </w:tc>
        <w:tc>
          <w:tcPr>
            <w:tcW w:w="2700" w:type="dxa"/>
            <w:tcBorders>
              <w:top w:val="single" w:sz="4" w:space="0" w:color="000000"/>
              <w:left w:val="single" w:sz="4" w:space="0" w:color="000000"/>
              <w:bottom w:val="single" w:sz="4" w:space="0" w:color="000000"/>
              <w:right w:val="single" w:sz="4" w:space="0" w:color="000000"/>
            </w:tcBorders>
          </w:tcPr>
          <w:p w14:paraId="28D9779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D1BFB1B" w14:textId="77777777" w:rsidTr="008C76E0">
        <w:trPr>
          <w:jc w:val="center"/>
        </w:trPr>
        <w:tc>
          <w:tcPr>
            <w:tcW w:w="1200" w:type="dxa"/>
            <w:vMerge/>
            <w:tcBorders>
              <w:left w:val="single" w:sz="4" w:space="0" w:color="000000"/>
              <w:right w:val="single" w:sz="4" w:space="0" w:color="000000"/>
            </w:tcBorders>
            <w:shd w:val="clear" w:color="auto" w:fill="E7E7E7"/>
          </w:tcPr>
          <w:p w14:paraId="37D997D8"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1A307EB"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5673A30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D42298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5.3.2.1</w:t>
            </w:r>
          </w:p>
        </w:tc>
        <w:tc>
          <w:tcPr>
            <w:tcW w:w="2700" w:type="dxa"/>
            <w:tcBorders>
              <w:top w:val="single" w:sz="4" w:space="0" w:color="000000"/>
              <w:left w:val="single" w:sz="4" w:space="0" w:color="000000"/>
              <w:bottom w:val="single" w:sz="4" w:space="0" w:color="000000"/>
              <w:right w:val="single" w:sz="4" w:space="0" w:color="000000"/>
            </w:tcBorders>
          </w:tcPr>
          <w:p w14:paraId="5E3FB55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D483A2D" w14:textId="77777777" w:rsidTr="008C76E0">
        <w:trPr>
          <w:jc w:val="center"/>
        </w:trPr>
        <w:tc>
          <w:tcPr>
            <w:tcW w:w="1200" w:type="dxa"/>
            <w:vMerge/>
            <w:tcBorders>
              <w:left w:val="single" w:sz="4" w:space="0" w:color="000000"/>
              <w:right w:val="single" w:sz="4" w:space="0" w:color="000000"/>
            </w:tcBorders>
            <w:shd w:val="clear" w:color="auto" w:fill="E7E7E7"/>
          </w:tcPr>
          <w:p w14:paraId="457D1F5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6C29037B"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7C777792"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E331FD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5.3.2.2</w:t>
            </w:r>
          </w:p>
        </w:tc>
        <w:tc>
          <w:tcPr>
            <w:tcW w:w="2700" w:type="dxa"/>
            <w:tcBorders>
              <w:top w:val="single" w:sz="4" w:space="0" w:color="000000"/>
              <w:left w:val="single" w:sz="4" w:space="0" w:color="000000"/>
              <w:bottom w:val="single" w:sz="4" w:space="0" w:color="000000"/>
              <w:right w:val="single" w:sz="4" w:space="0" w:color="000000"/>
            </w:tcBorders>
          </w:tcPr>
          <w:p w14:paraId="5A59421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DC5D6C9" w14:textId="77777777" w:rsidTr="008C76E0">
        <w:trPr>
          <w:jc w:val="center"/>
        </w:trPr>
        <w:tc>
          <w:tcPr>
            <w:tcW w:w="1200" w:type="dxa"/>
            <w:vMerge/>
            <w:tcBorders>
              <w:left w:val="single" w:sz="4" w:space="0" w:color="000000"/>
              <w:right w:val="single" w:sz="4" w:space="0" w:color="000000"/>
            </w:tcBorders>
            <w:shd w:val="clear" w:color="auto" w:fill="E7E7E7"/>
          </w:tcPr>
          <w:p w14:paraId="46ECAC6F"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00A0013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155C054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64374A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5.3.2.3</w:t>
            </w:r>
          </w:p>
        </w:tc>
        <w:tc>
          <w:tcPr>
            <w:tcW w:w="2700" w:type="dxa"/>
            <w:tcBorders>
              <w:top w:val="single" w:sz="4" w:space="0" w:color="000000"/>
              <w:left w:val="single" w:sz="4" w:space="0" w:color="000000"/>
              <w:bottom w:val="single" w:sz="4" w:space="0" w:color="000000"/>
              <w:right w:val="single" w:sz="4" w:space="0" w:color="000000"/>
            </w:tcBorders>
          </w:tcPr>
          <w:p w14:paraId="64DDD87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E2A8A58" w14:textId="77777777" w:rsidTr="008C76E0">
        <w:trPr>
          <w:jc w:val="center"/>
        </w:trPr>
        <w:tc>
          <w:tcPr>
            <w:tcW w:w="1200" w:type="dxa"/>
            <w:vMerge/>
            <w:tcBorders>
              <w:left w:val="single" w:sz="4" w:space="0" w:color="000000"/>
              <w:right w:val="single" w:sz="4" w:space="0" w:color="000000"/>
            </w:tcBorders>
            <w:shd w:val="clear" w:color="auto" w:fill="E7E7E7"/>
          </w:tcPr>
          <w:p w14:paraId="19CDA9C0"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01F5DE3B"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505B28B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436DA6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5.3.3.1</w:t>
            </w:r>
          </w:p>
        </w:tc>
        <w:tc>
          <w:tcPr>
            <w:tcW w:w="2700" w:type="dxa"/>
            <w:tcBorders>
              <w:top w:val="single" w:sz="4" w:space="0" w:color="000000"/>
              <w:left w:val="single" w:sz="4" w:space="0" w:color="000000"/>
              <w:bottom w:val="single" w:sz="4" w:space="0" w:color="000000"/>
              <w:right w:val="single" w:sz="4" w:space="0" w:color="000000"/>
            </w:tcBorders>
          </w:tcPr>
          <w:p w14:paraId="5765F9B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F49B562" w14:textId="77777777" w:rsidTr="008C76E0">
        <w:trPr>
          <w:jc w:val="center"/>
        </w:trPr>
        <w:tc>
          <w:tcPr>
            <w:tcW w:w="1200" w:type="dxa"/>
            <w:vMerge/>
            <w:tcBorders>
              <w:left w:val="single" w:sz="4" w:space="0" w:color="000000"/>
              <w:right w:val="single" w:sz="4" w:space="0" w:color="000000"/>
            </w:tcBorders>
            <w:shd w:val="clear" w:color="auto" w:fill="E7E7E7"/>
          </w:tcPr>
          <w:p w14:paraId="410A452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20B0A3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3C94745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63F1D1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5.3.3.2</w:t>
            </w:r>
          </w:p>
        </w:tc>
        <w:tc>
          <w:tcPr>
            <w:tcW w:w="2700" w:type="dxa"/>
            <w:tcBorders>
              <w:top w:val="single" w:sz="4" w:space="0" w:color="000000"/>
              <w:left w:val="single" w:sz="4" w:space="0" w:color="000000"/>
              <w:bottom w:val="single" w:sz="4" w:space="0" w:color="000000"/>
              <w:right w:val="single" w:sz="4" w:space="0" w:color="000000"/>
            </w:tcBorders>
          </w:tcPr>
          <w:p w14:paraId="5E4B069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4AE9F4C" w14:textId="77777777" w:rsidTr="008C76E0">
        <w:trPr>
          <w:jc w:val="center"/>
        </w:trPr>
        <w:tc>
          <w:tcPr>
            <w:tcW w:w="1200" w:type="dxa"/>
            <w:vMerge/>
            <w:tcBorders>
              <w:left w:val="single" w:sz="4" w:space="0" w:color="000000"/>
              <w:right w:val="single" w:sz="4" w:space="0" w:color="000000"/>
            </w:tcBorders>
            <w:shd w:val="clear" w:color="auto" w:fill="E7E7E7"/>
          </w:tcPr>
          <w:p w14:paraId="49C07693"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791B68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2C150E33"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3ECE7F6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5.3.3.3</w:t>
            </w:r>
          </w:p>
        </w:tc>
        <w:tc>
          <w:tcPr>
            <w:tcW w:w="2700" w:type="dxa"/>
            <w:tcBorders>
              <w:top w:val="single" w:sz="4" w:space="0" w:color="000000"/>
              <w:left w:val="single" w:sz="4" w:space="0" w:color="000000"/>
              <w:bottom w:val="single" w:sz="4" w:space="0" w:color="000000"/>
              <w:right w:val="single" w:sz="4" w:space="0" w:color="000000"/>
            </w:tcBorders>
          </w:tcPr>
          <w:p w14:paraId="12F9D00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C380C27" w14:textId="77777777" w:rsidTr="008C76E0">
        <w:trPr>
          <w:jc w:val="center"/>
        </w:trPr>
        <w:tc>
          <w:tcPr>
            <w:tcW w:w="1200" w:type="dxa"/>
            <w:vMerge/>
            <w:tcBorders>
              <w:left w:val="single" w:sz="4" w:space="0" w:color="000000"/>
              <w:right w:val="single" w:sz="4" w:space="0" w:color="000000"/>
            </w:tcBorders>
            <w:shd w:val="clear" w:color="auto" w:fill="E7E7E7"/>
          </w:tcPr>
          <w:p w14:paraId="0A21D8AA"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F81B21F"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3D9B2A3A"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4AFBA2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5.3.3.4</w:t>
            </w:r>
          </w:p>
        </w:tc>
        <w:tc>
          <w:tcPr>
            <w:tcW w:w="2700" w:type="dxa"/>
            <w:tcBorders>
              <w:top w:val="single" w:sz="4" w:space="0" w:color="000000"/>
              <w:left w:val="single" w:sz="4" w:space="0" w:color="000000"/>
              <w:bottom w:val="single" w:sz="4" w:space="0" w:color="000000"/>
              <w:right w:val="single" w:sz="4" w:space="0" w:color="000000"/>
            </w:tcBorders>
          </w:tcPr>
          <w:p w14:paraId="648638A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EC7D180" w14:textId="77777777" w:rsidTr="008C76E0">
        <w:trPr>
          <w:jc w:val="center"/>
        </w:trPr>
        <w:tc>
          <w:tcPr>
            <w:tcW w:w="1200" w:type="dxa"/>
            <w:vMerge/>
            <w:tcBorders>
              <w:left w:val="single" w:sz="4" w:space="0" w:color="000000"/>
              <w:right w:val="single" w:sz="4" w:space="0" w:color="000000"/>
            </w:tcBorders>
            <w:shd w:val="clear" w:color="auto" w:fill="E7E7E7"/>
          </w:tcPr>
          <w:p w14:paraId="5D36F17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FDA05AD"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0A186E1B"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6644B46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5.3.3.5</w:t>
            </w:r>
          </w:p>
        </w:tc>
        <w:tc>
          <w:tcPr>
            <w:tcW w:w="2700" w:type="dxa"/>
            <w:tcBorders>
              <w:top w:val="single" w:sz="4" w:space="0" w:color="000000"/>
              <w:left w:val="single" w:sz="4" w:space="0" w:color="000000"/>
              <w:bottom w:val="single" w:sz="4" w:space="0" w:color="000000"/>
              <w:right w:val="single" w:sz="4" w:space="0" w:color="000000"/>
            </w:tcBorders>
          </w:tcPr>
          <w:p w14:paraId="74C904B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 +</w:t>
            </w:r>
          </w:p>
        </w:tc>
      </w:tr>
      <w:tr w:rsidR="008C76E0" w:rsidRPr="00BD7577" w14:paraId="39A2DCAB" w14:textId="77777777" w:rsidTr="008C76E0">
        <w:trPr>
          <w:jc w:val="center"/>
        </w:trPr>
        <w:tc>
          <w:tcPr>
            <w:tcW w:w="1200" w:type="dxa"/>
            <w:vMerge/>
            <w:tcBorders>
              <w:left w:val="single" w:sz="4" w:space="0" w:color="000000"/>
              <w:right w:val="single" w:sz="4" w:space="0" w:color="000000"/>
            </w:tcBorders>
            <w:shd w:val="clear" w:color="auto" w:fill="E7E7E7"/>
          </w:tcPr>
          <w:p w14:paraId="32BD0BAB"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97575BE"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4A32AC9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5145AB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5.3.4.1</w:t>
            </w:r>
          </w:p>
        </w:tc>
        <w:tc>
          <w:tcPr>
            <w:tcW w:w="2700" w:type="dxa"/>
            <w:tcBorders>
              <w:top w:val="single" w:sz="4" w:space="0" w:color="000000"/>
              <w:left w:val="single" w:sz="4" w:space="0" w:color="000000"/>
              <w:bottom w:val="single" w:sz="4" w:space="0" w:color="000000"/>
              <w:right w:val="single" w:sz="4" w:space="0" w:color="000000"/>
            </w:tcBorders>
          </w:tcPr>
          <w:p w14:paraId="48E94FB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6137678" w14:textId="77777777" w:rsidTr="008C76E0">
        <w:trPr>
          <w:jc w:val="center"/>
        </w:trPr>
        <w:tc>
          <w:tcPr>
            <w:tcW w:w="1200" w:type="dxa"/>
            <w:vMerge/>
            <w:tcBorders>
              <w:left w:val="single" w:sz="4" w:space="0" w:color="000000"/>
              <w:right w:val="single" w:sz="4" w:space="0" w:color="000000"/>
            </w:tcBorders>
            <w:shd w:val="clear" w:color="auto" w:fill="E7E7E7"/>
          </w:tcPr>
          <w:p w14:paraId="37F85BC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DE571A0"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7644F7E4"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4EE6CDD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5.3.4.2</w:t>
            </w:r>
          </w:p>
        </w:tc>
        <w:tc>
          <w:tcPr>
            <w:tcW w:w="2700" w:type="dxa"/>
            <w:tcBorders>
              <w:top w:val="single" w:sz="4" w:space="0" w:color="000000"/>
              <w:left w:val="single" w:sz="4" w:space="0" w:color="000000"/>
              <w:bottom w:val="single" w:sz="4" w:space="0" w:color="000000"/>
              <w:right w:val="single" w:sz="4" w:space="0" w:color="000000"/>
            </w:tcBorders>
          </w:tcPr>
          <w:p w14:paraId="07731C5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2EA55C3" w14:textId="77777777" w:rsidTr="008C76E0">
        <w:trPr>
          <w:jc w:val="center"/>
        </w:trPr>
        <w:tc>
          <w:tcPr>
            <w:tcW w:w="1200" w:type="dxa"/>
            <w:vMerge/>
            <w:tcBorders>
              <w:left w:val="single" w:sz="4" w:space="0" w:color="000000"/>
              <w:right w:val="single" w:sz="4" w:space="0" w:color="000000"/>
            </w:tcBorders>
            <w:shd w:val="clear" w:color="auto" w:fill="E7E7E7"/>
          </w:tcPr>
          <w:p w14:paraId="13B4C844"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973970C"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02765FA2" w14:textId="77777777" w:rsidR="008C76E0" w:rsidRPr="00BD7577" w:rsidRDefault="008C76E0" w:rsidP="008C76E0">
            <w:pPr>
              <w:spacing w:after="120" w:line="240" w:lineRule="auto"/>
              <w:ind w:left="102" w:right="-20"/>
              <w:rPr>
                <w:rFonts w:ascii="Sylfaen" w:eastAsia="Times New Roman" w:hAnsi="Sylfaen" w:cs="Times New Roman"/>
                <w:sz w:val="24"/>
                <w:szCs w:val="24"/>
                <w:lang w:val="en-US"/>
              </w:rPr>
            </w:pPr>
            <w:r w:rsidRPr="00BD7577">
              <w:rPr>
                <w:rFonts w:ascii="Sylfaen" w:hAnsi="Sylfaen"/>
                <w:sz w:val="24"/>
                <w:szCs w:val="24"/>
              </w:rPr>
              <w:t>5.3.5</w:t>
            </w:r>
            <w:r w:rsidRPr="00BD7577">
              <w:rPr>
                <w:rStyle w:val="FootnoteReference"/>
                <w:rFonts w:ascii="Sylfaen" w:hAnsi="Sylfaen"/>
                <w:sz w:val="24"/>
                <w:szCs w:val="24"/>
              </w:rPr>
              <w:footnoteReference w:id="40"/>
            </w:r>
            <w:r w:rsidRPr="00BD7577">
              <w:rPr>
                <w:rFonts w:ascii="Sylfaen" w:hAnsi="Sylfaen"/>
                <w:sz w:val="24"/>
                <w:szCs w:val="24"/>
                <w:lang w:val="en-US"/>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23F8D2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5.3.5.1</w:t>
            </w:r>
          </w:p>
        </w:tc>
        <w:tc>
          <w:tcPr>
            <w:tcW w:w="2700" w:type="dxa"/>
            <w:tcBorders>
              <w:top w:val="single" w:sz="4" w:space="0" w:color="000000"/>
              <w:left w:val="single" w:sz="4" w:space="0" w:color="000000"/>
              <w:bottom w:val="single" w:sz="4" w:space="0" w:color="000000"/>
              <w:right w:val="single" w:sz="4" w:space="0" w:color="000000"/>
            </w:tcBorders>
          </w:tcPr>
          <w:p w14:paraId="2B1655E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65F4D29" w14:textId="77777777" w:rsidTr="008C76E0">
        <w:trPr>
          <w:jc w:val="center"/>
        </w:trPr>
        <w:tc>
          <w:tcPr>
            <w:tcW w:w="1200" w:type="dxa"/>
            <w:vMerge/>
            <w:tcBorders>
              <w:left w:val="single" w:sz="4" w:space="0" w:color="000000"/>
              <w:right w:val="single" w:sz="4" w:space="0" w:color="000000"/>
            </w:tcBorders>
            <w:shd w:val="clear" w:color="auto" w:fill="E7E7E7"/>
          </w:tcPr>
          <w:p w14:paraId="42E8E15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B18EB90"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611FF4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7B7B2C5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5.3.5.2</w:t>
            </w:r>
          </w:p>
        </w:tc>
        <w:tc>
          <w:tcPr>
            <w:tcW w:w="2700" w:type="dxa"/>
            <w:tcBorders>
              <w:top w:val="single" w:sz="4" w:space="0" w:color="000000"/>
              <w:left w:val="single" w:sz="4" w:space="0" w:color="000000"/>
              <w:bottom w:val="single" w:sz="4" w:space="0" w:color="000000"/>
              <w:right w:val="single" w:sz="4" w:space="0" w:color="000000"/>
            </w:tcBorders>
          </w:tcPr>
          <w:p w14:paraId="3F60245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0AD3D2C" w14:textId="77777777" w:rsidTr="008C76E0">
        <w:trPr>
          <w:jc w:val="center"/>
        </w:trPr>
        <w:tc>
          <w:tcPr>
            <w:tcW w:w="1200" w:type="dxa"/>
            <w:vMerge/>
            <w:tcBorders>
              <w:left w:val="single" w:sz="4" w:space="0" w:color="000000"/>
              <w:right w:val="single" w:sz="4" w:space="0" w:color="000000"/>
            </w:tcBorders>
            <w:shd w:val="clear" w:color="auto" w:fill="E7E7E7"/>
          </w:tcPr>
          <w:p w14:paraId="71200E2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5CB324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F5588DF"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F707ED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5.3.5.3</w:t>
            </w:r>
          </w:p>
        </w:tc>
        <w:tc>
          <w:tcPr>
            <w:tcW w:w="2700" w:type="dxa"/>
            <w:tcBorders>
              <w:top w:val="single" w:sz="4" w:space="0" w:color="000000"/>
              <w:left w:val="single" w:sz="4" w:space="0" w:color="000000"/>
              <w:bottom w:val="single" w:sz="4" w:space="0" w:color="000000"/>
              <w:right w:val="single" w:sz="4" w:space="0" w:color="000000"/>
            </w:tcBorders>
          </w:tcPr>
          <w:p w14:paraId="79BF084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1C2A19F" w14:textId="77777777" w:rsidTr="008C76E0">
        <w:trPr>
          <w:jc w:val="center"/>
        </w:trPr>
        <w:tc>
          <w:tcPr>
            <w:tcW w:w="1200" w:type="dxa"/>
            <w:vMerge/>
            <w:tcBorders>
              <w:left w:val="single" w:sz="4" w:space="0" w:color="000000"/>
              <w:right w:val="single" w:sz="4" w:space="0" w:color="000000"/>
            </w:tcBorders>
            <w:shd w:val="clear" w:color="auto" w:fill="E7E7E7"/>
          </w:tcPr>
          <w:p w14:paraId="01108F70"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35B75FB"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16CA042A"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F0E86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5.3.5.4</w:t>
            </w:r>
          </w:p>
        </w:tc>
        <w:tc>
          <w:tcPr>
            <w:tcW w:w="2700" w:type="dxa"/>
            <w:tcBorders>
              <w:top w:val="single" w:sz="4" w:space="0" w:color="000000"/>
              <w:left w:val="single" w:sz="4" w:space="0" w:color="000000"/>
              <w:bottom w:val="single" w:sz="4" w:space="0" w:color="000000"/>
              <w:right w:val="single" w:sz="4" w:space="0" w:color="000000"/>
            </w:tcBorders>
          </w:tcPr>
          <w:p w14:paraId="4B4B45D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E188749" w14:textId="77777777" w:rsidTr="008C76E0">
        <w:trPr>
          <w:jc w:val="center"/>
        </w:trPr>
        <w:tc>
          <w:tcPr>
            <w:tcW w:w="1200" w:type="dxa"/>
            <w:vMerge/>
            <w:tcBorders>
              <w:left w:val="single" w:sz="4" w:space="0" w:color="000000"/>
              <w:right w:val="single" w:sz="4" w:space="0" w:color="000000"/>
            </w:tcBorders>
            <w:shd w:val="clear" w:color="auto" w:fill="E7E7E7"/>
          </w:tcPr>
          <w:p w14:paraId="42BF0EC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6A7B799" w14:textId="77777777" w:rsidR="008C76E0" w:rsidRPr="00BD7577" w:rsidRDefault="008C76E0" w:rsidP="008C76E0">
            <w:pPr>
              <w:spacing w:after="120" w:line="240" w:lineRule="auto"/>
              <w:rPr>
                <w:rFonts w:ascii="Sylfaen" w:hAnsi="Sylfaen"/>
                <w:sz w:val="24"/>
                <w:szCs w:val="24"/>
              </w:rPr>
            </w:pPr>
          </w:p>
        </w:tc>
        <w:tc>
          <w:tcPr>
            <w:tcW w:w="2441" w:type="dxa"/>
            <w:tcBorders>
              <w:top w:val="single" w:sz="4" w:space="0" w:color="000000"/>
              <w:left w:val="single" w:sz="4" w:space="0" w:color="000000"/>
              <w:bottom w:val="single" w:sz="4" w:space="0" w:color="000000"/>
              <w:right w:val="single" w:sz="4" w:space="0" w:color="000000"/>
            </w:tcBorders>
          </w:tcPr>
          <w:p w14:paraId="5B3B3C5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5.3.6</w:t>
            </w:r>
          </w:p>
        </w:tc>
        <w:tc>
          <w:tcPr>
            <w:tcW w:w="2520" w:type="dxa"/>
            <w:tcBorders>
              <w:top w:val="single" w:sz="4" w:space="0" w:color="000000"/>
              <w:left w:val="single" w:sz="4" w:space="0" w:color="000000"/>
              <w:bottom w:val="single" w:sz="4" w:space="0" w:color="000000"/>
              <w:right w:val="single" w:sz="4" w:space="0" w:color="000000"/>
            </w:tcBorders>
          </w:tcPr>
          <w:p w14:paraId="0A872563"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7DB1EE86" w14:textId="77777777" w:rsidR="008C76E0" w:rsidRPr="00BD7577" w:rsidRDefault="008C76E0" w:rsidP="008C76E0">
            <w:pPr>
              <w:spacing w:after="120" w:line="240" w:lineRule="auto"/>
              <w:rPr>
                <w:rFonts w:ascii="Sylfaen" w:hAnsi="Sylfaen"/>
                <w:sz w:val="24"/>
                <w:szCs w:val="24"/>
              </w:rPr>
            </w:pPr>
          </w:p>
        </w:tc>
      </w:tr>
      <w:tr w:rsidR="008C76E0" w:rsidRPr="00BD7577" w14:paraId="194CE06E" w14:textId="77777777" w:rsidTr="008C76E0">
        <w:trPr>
          <w:jc w:val="center"/>
        </w:trPr>
        <w:tc>
          <w:tcPr>
            <w:tcW w:w="1200" w:type="dxa"/>
            <w:vMerge/>
            <w:tcBorders>
              <w:left w:val="single" w:sz="4" w:space="0" w:color="000000"/>
              <w:right w:val="single" w:sz="4" w:space="0" w:color="000000"/>
            </w:tcBorders>
            <w:shd w:val="clear" w:color="auto" w:fill="E7E7E7"/>
          </w:tcPr>
          <w:p w14:paraId="7E0AD80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bottom w:val="single" w:sz="4" w:space="0" w:color="000000"/>
              <w:right w:val="single" w:sz="4" w:space="0" w:color="000000"/>
            </w:tcBorders>
            <w:shd w:val="clear" w:color="auto" w:fill="E7E7E7"/>
          </w:tcPr>
          <w:p w14:paraId="010F7771" w14:textId="77777777" w:rsidR="008C76E0" w:rsidRPr="00BD7577" w:rsidRDefault="008C76E0" w:rsidP="008C76E0">
            <w:pPr>
              <w:spacing w:after="120" w:line="240" w:lineRule="auto"/>
              <w:rPr>
                <w:rFonts w:ascii="Sylfaen" w:hAnsi="Sylfaen"/>
                <w:sz w:val="24"/>
                <w:szCs w:val="24"/>
              </w:rPr>
            </w:pPr>
          </w:p>
        </w:tc>
        <w:tc>
          <w:tcPr>
            <w:tcW w:w="2441" w:type="dxa"/>
            <w:tcBorders>
              <w:top w:val="single" w:sz="4" w:space="0" w:color="000000"/>
              <w:left w:val="single" w:sz="4" w:space="0" w:color="000000"/>
              <w:bottom w:val="single" w:sz="4" w:space="0" w:color="000000"/>
              <w:right w:val="single" w:sz="4" w:space="0" w:color="000000"/>
            </w:tcBorders>
            <w:shd w:val="clear" w:color="auto" w:fill="E7E7E7"/>
          </w:tcPr>
          <w:p w14:paraId="4965E25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5.3.7</w:t>
            </w:r>
          </w:p>
        </w:tc>
        <w:tc>
          <w:tcPr>
            <w:tcW w:w="2520" w:type="dxa"/>
            <w:tcBorders>
              <w:top w:val="single" w:sz="4" w:space="0" w:color="000000"/>
              <w:left w:val="single" w:sz="4" w:space="0" w:color="000000"/>
              <w:bottom w:val="single" w:sz="4" w:space="0" w:color="000000"/>
              <w:right w:val="single" w:sz="4" w:space="0" w:color="000000"/>
            </w:tcBorders>
          </w:tcPr>
          <w:p w14:paraId="64A84D7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700" w:type="dxa"/>
            <w:tcBorders>
              <w:top w:val="single" w:sz="4" w:space="0" w:color="000000"/>
              <w:left w:val="single" w:sz="4" w:space="0" w:color="000000"/>
              <w:bottom w:val="single" w:sz="4" w:space="0" w:color="000000"/>
              <w:right w:val="single" w:sz="4" w:space="0" w:color="000000"/>
            </w:tcBorders>
          </w:tcPr>
          <w:p w14:paraId="27AFAB57" w14:textId="77777777" w:rsidR="008C76E0" w:rsidRPr="00BD7577" w:rsidRDefault="008C76E0" w:rsidP="008C76E0">
            <w:pPr>
              <w:spacing w:after="120" w:line="240" w:lineRule="auto"/>
              <w:rPr>
                <w:rFonts w:ascii="Sylfaen" w:hAnsi="Sylfaen"/>
                <w:sz w:val="24"/>
                <w:szCs w:val="24"/>
              </w:rPr>
            </w:pPr>
          </w:p>
        </w:tc>
      </w:tr>
      <w:tr w:rsidR="008C76E0" w:rsidRPr="00BD7577" w14:paraId="0CC22AB9" w14:textId="77777777" w:rsidTr="008C76E0">
        <w:trPr>
          <w:jc w:val="center"/>
        </w:trPr>
        <w:tc>
          <w:tcPr>
            <w:tcW w:w="1200" w:type="dxa"/>
            <w:vMerge/>
            <w:tcBorders>
              <w:left w:val="single" w:sz="4" w:space="0" w:color="000000"/>
              <w:bottom w:val="single" w:sz="4" w:space="0" w:color="000000"/>
              <w:right w:val="single" w:sz="4" w:space="0" w:color="000000"/>
            </w:tcBorders>
            <w:shd w:val="clear" w:color="auto" w:fill="E7E7E7"/>
          </w:tcPr>
          <w:p w14:paraId="354A9BCD" w14:textId="77777777" w:rsidR="008C76E0" w:rsidRPr="00BD7577" w:rsidRDefault="008C76E0" w:rsidP="008C76E0">
            <w:pPr>
              <w:spacing w:after="120" w:line="240" w:lineRule="auto"/>
              <w:rPr>
                <w:rFonts w:ascii="Sylfaen" w:hAnsi="Sylfae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E7E7E7"/>
          </w:tcPr>
          <w:p w14:paraId="0A47D80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5.4</w:t>
            </w:r>
          </w:p>
        </w:tc>
        <w:tc>
          <w:tcPr>
            <w:tcW w:w="2441" w:type="dxa"/>
            <w:tcBorders>
              <w:top w:val="single" w:sz="4" w:space="0" w:color="000000"/>
              <w:left w:val="single" w:sz="4" w:space="0" w:color="000000"/>
              <w:bottom w:val="single" w:sz="4" w:space="0" w:color="000000"/>
              <w:right w:val="single" w:sz="4" w:space="0" w:color="000000"/>
            </w:tcBorders>
          </w:tcPr>
          <w:p w14:paraId="01371BC6" w14:textId="77777777" w:rsidR="008C76E0" w:rsidRPr="00903D92" w:rsidRDefault="008C76E0" w:rsidP="008C76E0">
            <w:pPr>
              <w:spacing w:after="120" w:line="240" w:lineRule="auto"/>
              <w:ind w:left="102" w:right="37"/>
              <w:rPr>
                <w:rFonts w:ascii="Sylfaen" w:eastAsia="Times New Roman" w:hAnsi="Sylfaen" w:cs="Times New Roman"/>
                <w:sz w:val="24"/>
                <w:szCs w:val="24"/>
              </w:rPr>
            </w:pPr>
            <w:r w:rsidRPr="00BD7577">
              <w:rPr>
                <w:rFonts w:ascii="Sylfaen" w:hAnsi="Sylfaen"/>
                <w:sz w:val="24"/>
                <w:szCs w:val="24"/>
              </w:rPr>
              <w:t>Մեկական ֆայլ՝ յուրաքանչյուր աղբյուրի համար</w:t>
            </w:r>
            <w:r w:rsidRPr="00BD7577">
              <w:rPr>
                <w:rStyle w:val="FootnoteReference"/>
                <w:rFonts w:ascii="Sylfaen" w:hAnsi="Sylfaen"/>
                <w:sz w:val="24"/>
                <w:szCs w:val="24"/>
              </w:rPr>
              <w:footnoteReference w:id="41"/>
            </w:r>
            <w:r w:rsidRPr="00BD7577">
              <w:rPr>
                <w:rFonts w:ascii="Sylfaen" w:hAnsi="Sylfaen"/>
                <w:sz w:val="24"/>
                <w:szCs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3A313A3F"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0D944906" w14:textId="77777777" w:rsidR="008C76E0" w:rsidRPr="00BD7577" w:rsidRDefault="008C76E0" w:rsidP="008C76E0">
            <w:pPr>
              <w:spacing w:after="120" w:line="240" w:lineRule="auto"/>
              <w:rPr>
                <w:rFonts w:ascii="Sylfaen" w:hAnsi="Sylfaen"/>
                <w:sz w:val="24"/>
                <w:szCs w:val="24"/>
              </w:rPr>
            </w:pPr>
          </w:p>
        </w:tc>
      </w:tr>
    </w:tbl>
    <w:p w14:paraId="0FEDAFE3"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Պայմանական նշագրերը</w:t>
      </w:r>
    </w:p>
    <w:tbl>
      <w:tblPr>
        <w:tblStyle w:val="TableGrid"/>
        <w:tblW w:w="9640" w:type="dxa"/>
        <w:tblLook w:val="04A0" w:firstRow="1" w:lastRow="0" w:firstColumn="1" w:lastColumn="0" w:noHBand="0" w:noVBand="1"/>
      </w:tblPr>
      <w:tblGrid>
        <w:gridCol w:w="9640"/>
      </w:tblGrid>
      <w:tr w:rsidR="008C76E0" w:rsidRPr="00BD7577" w14:paraId="75618586" w14:textId="77777777" w:rsidTr="008C76E0">
        <w:tc>
          <w:tcPr>
            <w:tcW w:w="9640" w:type="dxa"/>
          </w:tcPr>
          <w:p w14:paraId="2C813F2E"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4215CA79" w14:textId="77777777" w:rsidTr="008C76E0">
        <w:tc>
          <w:tcPr>
            <w:tcW w:w="9640" w:type="dxa"/>
          </w:tcPr>
          <w:p w14:paraId="394C6043" w14:textId="77777777" w:rsidR="008C76E0" w:rsidRPr="00BD7577" w:rsidRDefault="008C76E0" w:rsidP="008C76E0">
            <w:pPr>
              <w:spacing w:after="120"/>
              <w:ind w:right="68"/>
              <w:rPr>
                <w:rFonts w:ascii="Sylfaen" w:eastAsia="Times New Roman" w:hAnsi="Sylfaen" w:cs="Times New Roman"/>
                <w:sz w:val="24"/>
                <w:szCs w:val="24"/>
              </w:rPr>
            </w:pPr>
            <w:r w:rsidRPr="00BD7577">
              <w:rPr>
                <w:rFonts w:ascii="Sylfaen" w:hAnsi="Sylfaen"/>
                <w:sz w:val="24"/>
                <w:szCs w:val="24"/>
              </w:rPr>
              <w:t xml:space="preserve">Վերնագիրը պահանջվում է միայն թղթային կրիչով ԸՏՓ-ի համար, էԸՏՓ-ի համար այդ տարրը պետք չէ: </w:t>
            </w:r>
          </w:p>
        </w:tc>
      </w:tr>
      <w:tr w:rsidR="008C76E0" w:rsidRPr="00BD7577" w14:paraId="3E2E49CF" w14:textId="77777777" w:rsidTr="008C76E0">
        <w:tc>
          <w:tcPr>
            <w:tcW w:w="9640" w:type="dxa"/>
          </w:tcPr>
          <w:p w14:paraId="59055F85"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փաստաթուղթ:</w:t>
            </w:r>
          </w:p>
        </w:tc>
      </w:tr>
      <w:tr w:rsidR="008C76E0" w:rsidRPr="00BD7577" w14:paraId="6F8EA53F" w14:textId="77777777" w:rsidTr="008C76E0">
        <w:tc>
          <w:tcPr>
            <w:tcW w:w="9640" w:type="dxa"/>
          </w:tcPr>
          <w:p w14:paraId="10D25189"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կամ մի քանի փաստաթղթեր:</w:t>
            </w:r>
          </w:p>
        </w:tc>
      </w:tr>
    </w:tbl>
    <w:p w14:paraId="4E664FBB" w14:textId="77777777" w:rsidR="008C76E0" w:rsidRPr="00BD7577" w:rsidRDefault="008C76E0" w:rsidP="008C76E0">
      <w:pPr>
        <w:rPr>
          <w:rFonts w:ascii="Sylfaen" w:eastAsia="Times New Roman" w:hAnsi="Sylfaen" w:cs="Times New Roman"/>
          <w:sz w:val="24"/>
          <w:szCs w:val="24"/>
        </w:rPr>
      </w:pPr>
    </w:p>
    <w:p w14:paraId="460D9DDD" w14:textId="77777777" w:rsidR="008C76E0" w:rsidRPr="00421BB4" w:rsidRDefault="008C76E0" w:rsidP="00591274">
      <w:pPr>
        <w:spacing w:after="160" w:line="360" w:lineRule="auto"/>
        <w:ind w:left="567" w:right="566"/>
        <w:jc w:val="center"/>
        <w:rPr>
          <w:rFonts w:ascii="Sylfaen" w:hAnsi="Sylfaen"/>
          <w:sz w:val="24"/>
          <w:szCs w:val="24"/>
        </w:rPr>
      </w:pPr>
      <w:r w:rsidRPr="00BD7577">
        <w:rPr>
          <w:rFonts w:ascii="Sylfaen" w:hAnsi="Sylfaen"/>
          <w:sz w:val="24"/>
          <w:szCs w:val="24"/>
        </w:rPr>
        <w:t>VIII. Փաստաթղթի համարակալումն ու բաժանումը</w:t>
      </w:r>
    </w:p>
    <w:p w14:paraId="136DF477" w14:textId="77777777" w:rsidR="008C76E0" w:rsidRPr="00421BB4" w:rsidRDefault="008C76E0" w:rsidP="00591274">
      <w:pPr>
        <w:spacing w:after="160" w:line="360" w:lineRule="auto"/>
        <w:ind w:left="567" w:right="566"/>
        <w:jc w:val="center"/>
        <w:rPr>
          <w:rFonts w:ascii="Sylfaen" w:eastAsia="Times New Roman" w:hAnsi="Sylfaen" w:cs="Times New Roman"/>
          <w:sz w:val="24"/>
          <w:szCs w:val="24"/>
        </w:rPr>
      </w:pPr>
    </w:p>
    <w:p w14:paraId="7C483026" w14:textId="77777777" w:rsidR="008C76E0" w:rsidRPr="00BD7577" w:rsidRDefault="008C76E0" w:rsidP="00591274">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1. Ընդհանուր պահանջներ</w:t>
      </w:r>
    </w:p>
    <w:p w14:paraId="786C2779" w14:textId="0BF6F2DA" w:rsidR="008C76E0" w:rsidRPr="00BD7577" w:rsidRDefault="008C76E0" w:rsidP="00591274">
      <w:pPr>
        <w:spacing w:after="160" w:line="360" w:lineRule="auto"/>
        <w:ind w:right="-57" w:firstLine="567"/>
        <w:jc w:val="both"/>
        <w:rPr>
          <w:rFonts w:ascii="Sylfaen" w:eastAsia="Times New Roman" w:hAnsi="Sylfaen" w:cs="Times New Roman"/>
          <w:sz w:val="24"/>
          <w:szCs w:val="24"/>
        </w:rPr>
      </w:pPr>
      <w:r w:rsidRPr="00BD7577">
        <w:rPr>
          <w:rFonts w:ascii="Sylfaen" w:hAnsi="Sylfaen"/>
          <w:sz w:val="24"/>
          <w:szCs w:val="24"/>
        </w:rPr>
        <w:t xml:space="preserve">Յուրաքանչյուր փաստաթուղթ հարկ է համարակալել (սկսած առաջին էջից)՝ բացառությամբ գրական աղբյուրներին արված առանձին հղումների, որոնց համար բավարար է գրանցամատյանում էջերի փաստացի համարակալումը: </w:t>
      </w:r>
      <w:r w:rsidR="0056496B">
        <w:rPr>
          <w:rFonts w:ascii="Sylfaen" w:hAnsi="Sylfaen"/>
          <w:spacing w:val="-4"/>
          <w:sz w:val="24"/>
          <w:szCs w:val="24"/>
        </w:rPr>
        <w:t>Դիմումատու</w:t>
      </w:r>
      <w:r w:rsidRPr="00E957FF">
        <w:rPr>
          <w:rFonts w:ascii="Sylfaen" w:hAnsi="Sylfaen"/>
          <w:spacing w:val="-4"/>
          <w:sz w:val="24"/>
          <w:szCs w:val="24"/>
        </w:rPr>
        <w:t>ները պարտավոր չեն հետ</w:t>
      </w:r>
      <w:r w:rsidR="00C54D75">
        <w:rPr>
          <w:rFonts w:ascii="Sylfaen" w:hAnsi="Sylfaen"/>
          <w:spacing w:val="-4"/>
          <w:sz w:val="24"/>
          <w:szCs w:val="24"/>
        </w:rPr>
        <w:t>և</w:t>
      </w:r>
      <w:r w:rsidRPr="00E957FF">
        <w:rPr>
          <w:rFonts w:ascii="Sylfaen" w:hAnsi="Sylfaen"/>
          <w:spacing w:val="-4"/>
          <w:sz w:val="24"/>
          <w:szCs w:val="24"/>
        </w:rPr>
        <w:t>յալ տեսքով նշելու էջերի համարները՝ «n-ից 1», որտեղ</w:t>
      </w:r>
      <w:r w:rsidRPr="00BD7577">
        <w:rPr>
          <w:rFonts w:ascii="Sylfaen" w:hAnsi="Sylfaen"/>
          <w:sz w:val="24"/>
          <w:szCs w:val="24"/>
        </w:rPr>
        <w:t xml:space="preserve"> n-ը էջերի ընդհանուր քանակն է:</w:t>
      </w:r>
    </w:p>
    <w:p w14:paraId="68334EF5"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Բացի դրանից, փաստաթղթի բոլոր էջերը պետք է ներառեն եզակի վերին կամ ստորին էջախորագիրը, որում համառոտ արտացոլված է փաստաթղթի բովանդակությունը: Փաստաթուղթը թղթային կրիչով ներկայացնելիս բաժանիչի վրա հարկ է նշել այն նույն նույնականացուցիչը, որը նախորդում է փաստաթղթին՝ դոսյեում դրա գտնելը դյուրացնելու համար: Թույլատրվում է օգտագործել բաժնի ամբողջական համարի </w:t>
      </w:r>
      <w:r w:rsidR="00C54D75">
        <w:rPr>
          <w:rFonts w:ascii="Sylfaen" w:hAnsi="Sylfaen"/>
          <w:sz w:val="24"/>
          <w:szCs w:val="24"/>
        </w:rPr>
        <w:t>և</w:t>
      </w:r>
      <w:r w:rsidRPr="00BD7577">
        <w:rPr>
          <w:rFonts w:ascii="Sylfaen" w:hAnsi="Sylfaen"/>
          <w:sz w:val="24"/>
          <w:szCs w:val="24"/>
        </w:rPr>
        <w:t xml:space="preserve"> փաստաթղթի անվանման հապավումը:</w:t>
      </w:r>
    </w:p>
    <w:p w14:paraId="1368EC8A" w14:textId="77777777" w:rsidR="008C76E0" w:rsidRPr="00BD7577" w:rsidRDefault="008C76E0" w:rsidP="00591274">
      <w:pPr>
        <w:spacing w:after="160" w:line="336" w:lineRule="auto"/>
        <w:ind w:firstLine="567"/>
        <w:jc w:val="both"/>
        <w:rPr>
          <w:rFonts w:ascii="Sylfaen" w:eastAsia="Times New Roman" w:hAnsi="Sylfaen" w:cs="Times New Roman"/>
          <w:sz w:val="24"/>
          <w:szCs w:val="24"/>
        </w:rPr>
      </w:pPr>
      <w:r w:rsidRPr="00BD7577">
        <w:rPr>
          <w:rFonts w:ascii="Sylfaen" w:hAnsi="Sylfaen"/>
          <w:sz w:val="24"/>
          <w:szCs w:val="24"/>
        </w:rPr>
        <w:t xml:space="preserve">Եթե բաժինը պարունակում է մի քանի փաստաթուղթ, ապա այդ բաժնի համար թույլատրվում է նախատեսել առանձին բովանդակություն (դրանում պարունակվող փաստաթղթերի ժամանակագրությունն ու անվանումները նշելու նպատակով), </w:t>
      </w:r>
      <w:r w:rsidRPr="00BD7577">
        <w:rPr>
          <w:rFonts w:ascii="Sylfaen" w:hAnsi="Sylfaen"/>
          <w:sz w:val="24"/>
          <w:szCs w:val="24"/>
        </w:rPr>
        <w:lastRenderedPageBreak/>
        <w:t>օրինակ՝</w:t>
      </w:r>
    </w:p>
    <w:p w14:paraId="3B473450"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բաժանիչը «3.2.S.4.2. Անալիտիկ մեթոդիկաներ»-ով.</w:t>
      </w:r>
    </w:p>
    <w:p w14:paraId="35AEB429" w14:textId="77777777" w:rsidR="008C76E0" w:rsidRPr="00E957FF" w:rsidRDefault="008C76E0" w:rsidP="00591274">
      <w:pPr>
        <w:spacing w:after="160" w:line="360" w:lineRule="auto"/>
        <w:ind w:right="-1" w:firstLine="567"/>
        <w:jc w:val="both"/>
        <w:rPr>
          <w:rFonts w:ascii="Sylfaen" w:hAnsi="Sylfaen"/>
          <w:spacing w:val="-6"/>
          <w:sz w:val="24"/>
          <w:szCs w:val="24"/>
        </w:rPr>
      </w:pPr>
      <w:r w:rsidRPr="00E957FF">
        <w:rPr>
          <w:rFonts w:ascii="Sylfaen" w:hAnsi="Sylfaen"/>
          <w:spacing w:val="-6"/>
          <w:sz w:val="24"/>
          <w:szCs w:val="24"/>
        </w:rPr>
        <w:t>բովանդակությունը՝ A մեթոդիկայի, B մեթոդիկայի, C մեթոդիկայի անվանումը.</w:t>
      </w:r>
    </w:p>
    <w:p w14:paraId="0A424D3C"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բաժանիչը «3.2.S.4.2. «Մեթոդիկա A»-ով.</w:t>
      </w:r>
    </w:p>
    <w:p w14:paraId="2C999D16"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 xml:space="preserve">մեթոդիկա A (այսինքն՝ 1-n էջերի փաստաթուղթ). </w:t>
      </w:r>
    </w:p>
    <w:p w14:paraId="1C2C27DE"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 xml:space="preserve">բաժանիչը «3.2.S.4.2. «Մեթոդիկա B»-ով. </w:t>
      </w:r>
    </w:p>
    <w:p w14:paraId="65021F13" w14:textId="77777777" w:rsidR="008C76E0" w:rsidRPr="00BD7577" w:rsidRDefault="008C76E0" w:rsidP="00591274">
      <w:pPr>
        <w:spacing w:after="160" w:line="360" w:lineRule="auto"/>
        <w:ind w:firstLine="567"/>
        <w:jc w:val="both"/>
        <w:rPr>
          <w:rFonts w:ascii="Sylfaen" w:hAnsi="Sylfaen"/>
          <w:sz w:val="24"/>
          <w:szCs w:val="24"/>
        </w:rPr>
      </w:pPr>
      <w:r w:rsidRPr="00BD7577">
        <w:rPr>
          <w:rFonts w:ascii="Sylfaen" w:hAnsi="Sylfaen"/>
          <w:sz w:val="24"/>
          <w:szCs w:val="24"/>
        </w:rPr>
        <w:t xml:space="preserve">մեթոդիկա B (այսինքն՝ 1-n էջերի փաստաթուղթ). </w:t>
      </w:r>
    </w:p>
    <w:p w14:paraId="1D6F1B48" w14:textId="77777777" w:rsidR="008C76E0" w:rsidRPr="00BD7577" w:rsidRDefault="008C76E0" w:rsidP="00591274">
      <w:pPr>
        <w:spacing w:after="160" w:line="360" w:lineRule="auto"/>
        <w:ind w:firstLine="567"/>
        <w:jc w:val="both"/>
        <w:rPr>
          <w:rFonts w:ascii="Sylfaen" w:hAnsi="Sylfaen"/>
          <w:sz w:val="24"/>
          <w:szCs w:val="24"/>
        </w:rPr>
      </w:pPr>
      <w:r w:rsidRPr="00BD7577">
        <w:rPr>
          <w:rFonts w:ascii="Sylfaen" w:hAnsi="Sylfaen"/>
          <w:sz w:val="24"/>
          <w:szCs w:val="24"/>
        </w:rPr>
        <w:t xml:space="preserve">բաժանիչը «3.2.S.4.2. «Մեթոդիկա C»-ով. </w:t>
      </w:r>
    </w:p>
    <w:p w14:paraId="4A766AE7"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մեթոդիկա C (այսինքն՝ 1-n էջերի փաստաթուղթ): </w:t>
      </w:r>
    </w:p>
    <w:p w14:paraId="3BF00047" w14:textId="77777777" w:rsidR="008C76E0" w:rsidRPr="00421BB4" w:rsidRDefault="008C76E0" w:rsidP="00591274">
      <w:pPr>
        <w:spacing w:after="160" w:line="360" w:lineRule="auto"/>
        <w:ind w:firstLine="567"/>
        <w:jc w:val="both"/>
        <w:rPr>
          <w:rFonts w:ascii="Sylfaen" w:eastAsia="Times New Roman" w:hAnsi="Sylfaen" w:cs="Times New Roman"/>
          <w:spacing w:val="6"/>
          <w:sz w:val="24"/>
          <w:szCs w:val="24"/>
        </w:rPr>
      </w:pPr>
      <w:r w:rsidRPr="00421BB4">
        <w:rPr>
          <w:rFonts w:ascii="Sylfaen" w:hAnsi="Sylfaen"/>
          <w:spacing w:val="6"/>
          <w:sz w:val="24"/>
          <w:szCs w:val="24"/>
        </w:rPr>
        <w:t>Եթե բաժինը պարունակում է միայն մեկ փաստաթուղթ (օրինակ՝ «3.2.S.1.1. Անվանացանկ»), փաստաթղթին պետք է նախորդի միայն «3.2.S.1.1. Անվանացանկ» բաժանիչը:</w:t>
      </w:r>
    </w:p>
    <w:p w14:paraId="01476DE7" w14:textId="77777777" w:rsidR="008C76E0" w:rsidRPr="00BD7577" w:rsidRDefault="008C76E0" w:rsidP="00591274">
      <w:pPr>
        <w:spacing w:after="160" w:line="360" w:lineRule="auto"/>
        <w:rPr>
          <w:rFonts w:ascii="Sylfaen" w:eastAsia="Times New Roman" w:hAnsi="Sylfaen" w:cs="Times New Roman"/>
          <w:sz w:val="24"/>
          <w:szCs w:val="24"/>
        </w:rPr>
      </w:pPr>
    </w:p>
    <w:p w14:paraId="2C4FDCAF" w14:textId="77777777" w:rsidR="008C76E0" w:rsidRPr="00BD7577" w:rsidRDefault="008C76E0" w:rsidP="00591274">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2. Փաստաթղթում բաժինների համարակալումը</w:t>
      </w:r>
    </w:p>
    <w:p w14:paraId="0ED1EE09" w14:textId="7B1AF508" w:rsidR="008C76E0" w:rsidRPr="00BD7577" w:rsidRDefault="008C76E0" w:rsidP="00591274">
      <w:pPr>
        <w:spacing w:after="160" w:line="360" w:lineRule="auto"/>
        <w:ind w:right="-59" w:firstLine="567"/>
        <w:jc w:val="both"/>
        <w:rPr>
          <w:rFonts w:ascii="Sylfaen" w:eastAsia="Times New Roman" w:hAnsi="Sylfaen" w:cs="Times New Roman"/>
          <w:sz w:val="24"/>
          <w:szCs w:val="24"/>
        </w:rPr>
      </w:pPr>
      <w:r w:rsidRPr="00BD7577">
        <w:rPr>
          <w:rFonts w:ascii="Sylfaen" w:hAnsi="Sylfaen"/>
          <w:sz w:val="24"/>
          <w:szCs w:val="24"/>
        </w:rPr>
        <w:t xml:space="preserve">Փաստաթղթում 5-րդ, 6-րդ </w:t>
      </w:r>
      <w:r w:rsidR="00C54D75">
        <w:rPr>
          <w:rFonts w:ascii="Sylfaen" w:hAnsi="Sylfaen"/>
          <w:sz w:val="24"/>
          <w:szCs w:val="24"/>
        </w:rPr>
        <w:t>և</w:t>
      </w:r>
      <w:r w:rsidRPr="00BD7577">
        <w:rPr>
          <w:rFonts w:ascii="Sylfaen" w:hAnsi="Sylfaen"/>
          <w:sz w:val="24"/>
          <w:szCs w:val="24"/>
        </w:rPr>
        <w:t xml:space="preserve"> այլ մակարդակների ենթավերնագրերից խուսափելու համար (օրինակ՝ 2.6.6.3.2.1)՝ </w:t>
      </w:r>
      <w:r w:rsidR="0056496B">
        <w:rPr>
          <w:rFonts w:ascii="Sylfaen" w:hAnsi="Sylfaen"/>
          <w:sz w:val="24"/>
          <w:szCs w:val="24"/>
        </w:rPr>
        <w:t>դիմումատու</w:t>
      </w:r>
      <w:r w:rsidRPr="00BD7577">
        <w:rPr>
          <w:rFonts w:ascii="Sylfaen" w:hAnsi="Sylfaen"/>
          <w:sz w:val="24"/>
          <w:szCs w:val="24"/>
        </w:rPr>
        <w:t xml:space="preserve">ն կարող է օգտվել կրճատ համարից: Այդ դեպքում փաստաթղթի վերին կամ ստորին էջախորագրում </w:t>
      </w:r>
      <w:r w:rsidRPr="00415952">
        <w:rPr>
          <w:rFonts w:ascii="Sylfaen" w:hAnsi="Sylfaen"/>
          <w:sz w:val="24"/>
          <w:szCs w:val="24"/>
        </w:rPr>
        <w:t xml:space="preserve">անհրաժեշտ է նշել փաստաթղթի համարը </w:t>
      </w:r>
      <w:r w:rsidR="00C54D75">
        <w:rPr>
          <w:rFonts w:ascii="Sylfaen" w:hAnsi="Sylfaen"/>
          <w:sz w:val="24"/>
          <w:szCs w:val="24"/>
        </w:rPr>
        <w:t>և</w:t>
      </w:r>
      <w:r w:rsidRPr="00415952">
        <w:rPr>
          <w:rFonts w:ascii="Sylfaen" w:hAnsi="Sylfaen"/>
          <w:sz w:val="24"/>
          <w:szCs w:val="24"/>
        </w:rPr>
        <w:t xml:space="preserve"> անվանումը (օրինակ՝ 2.6.6. Նկարագրական ռեզյումե՝ թունաբանության</w:t>
      </w:r>
      <w:r w:rsidRPr="00BD7577">
        <w:rPr>
          <w:rFonts w:ascii="Sylfaen" w:hAnsi="Sylfaen"/>
          <w:sz w:val="24"/>
          <w:szCs w:val="24"/>
        </w:rPr>
        <w:t xml:space="preserve"> վերաբերյալ)՝ փաստաթղթի մեջ բաժնի համարի հետագա նշմամբ (օրինակ՝ 1, 1.1, 2, 3, 3.1, 3.2 </w:t>
      </w:r>
      <w:r w:rsidR="00C54D75">
        <w:rPr>
          <w:rFonts w:ascii="Sylfaen" w:hAnsi="Sylfaen"/>
          <w:sz w:val="24"/>
          <w:szCs w:val="24"/>
        </w:rPr>
        <w:t>և</w:t>
      </w:r>
      <w:r w:rsidRPr="00BD7577">
        <w:rPr>
          <w:rFonts w:ascii="Sylfaen" w:hAnsi="Sylfaen"/>
          <w:sz w:val="24"/>
          <w:szCs w:val="24"/>
        </w:rPr>
        <w:t xml:space="preserve"> այլն): Նա</w:t>
      </w:r>
      <w:r w:rsidR="00C54D75">
        <w:rPr>
          <w:rFonts w:ascii="Sylfaen" w:hAnsi="Sylfaen"/>
          <w:sz w:val="24"/>
          <w:szCs w:val="24"/>
        </w:rPr>
        <w:t>և</w:t>
      </w:r>
      <w:r w:rsidRPr="00BD7577">
        <w:rPr>
          <w:rFonts w:ascii="Sylfaen" w:hAnsi="Sylfaen"/>
          <w:sz w:val="24"/>
          <w:szCs w:val="24"/>
        </w:rPr>
        <w:t xml:space="preserve"> թույլատրելի է ամբողջական համարի օգտագործումը (օրինակ՝ 2.6.6.3.2.1):</w:t>
      </w:r>
    </w:p>
    <w:p w14:paraId="26A580B0" w14:textId="77777777" w:rsidR="00591274" w:rsidRDefault="00591274">
      <w:pPr>
        <w:widowControl/>
        <w:rPr>
          <w:rFonts w:ascii="Sylfaen" w:hAnsi="Sylfaen"/>
          <w:sz w:val="24"/>
          <w:szCs w:val="24"/>
        </w:rPr>
      </w:pPr>
      <w:r>
        <w:rPr>
          <w:rFonts w:ascii="Sylfaen" w:hAnsi="Sylfaen"/>
          <w:sz w:val="24"/>
          <w:szCs w:val="24"/>
        </w:rPr>
        <w:br w:type="page"/>
      </w:r>
    </w:p>
    <w:p w14:paraId="36469E9E" w14:textId="77777777" w:rsidR="008C76E0" w:rsidRPr="00BD7577" w:rsidRDefault="008C76E0" w:rsidP="00591274">
      <w:pPr>
        <w:spacing w:after="160" w:line="384"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3. Բովանդակության ձ</w:t>
      </w:r>
      <w:r w:rsidR="00C54D75">
        <w:rPr>
          <w:rFonts w:ascii="Sylfaen" w:hAnsi="Sylfaen"/>
          <w:sz w:val="24"/>
          <w:szCs w:val="24"/>
        </w:rPr>
        <w:t>և</w:t>
      </w:r>
      <w:r w:rsidRPr="00BD7577">
        <w:rPr>
          <w:rFonts w:ascii="Sylfaen" w:hAnsi="Sylfaen"/>
          <w:sz w:val="24"/>
          <w:szCs w:val="24"/>
        </w:rPr>
        <w:t>աչափումը</w:t>
      </w:r>
    </w:p>
    <w:p w14:paraId="4E3FD7D8" w14:textId="77777777" w:rsidR="008C76E0" w:rsidRPr="00BD7577" w:rsidRDefault="008C76E0" w:rsidP="00591274">
      <w:pPr>
        <w:tabs>
          <w:tab w:val="left" w:pos="1134"/>
        </w:tabs>
        <w:spacing w:after="160" w:line="374" w:lineRule="auto"/>
        <w:ind w:right="-59" w:firstLine="567"/>
        <w:jc w:val="both"/>
        <w:rPr>
          <w:rFonts w:ascii="Sylfaen" w:hAnsi="Sylfaen"/>
          <w:sz w:val="24"/>
          <w:szCs w:val="24"/>
        </w:rPr>
      </w:pPr>
      <w:r w:rsidRPr="00BD7577">
        <w:rPr>
          <w:rFonts w:ascii="Sylfaen" w:hAnsi="Sylfaen"/>
          <w:sz w:val="24"/>
          <w:szCs w:val="24"/>
        </w:rPr>
        <w:t>3.1.</w:t>
      </w:r>
      <w:r w:rsidRPr="00BD7577">
        <w:rPr>
          <w:rFonts w:ascii="Sylfaen" w:hAnsi="Sylfaen"/>
          <w:sz w:val="24"/>
          <w:szCs w:val="24"/>
        </w:rPr>
        <w:tab/>
        <w:t>Մոդուլ 2.</w:t>
      </w:r>
    </w:p>
    <w:p w14:paraId="024863B9" w14:textId="77777777" w:rsidR="008C76E0" w:rsidRPr="00BD7577" w:rsidRDefault="008C76E0" w:rsidP="00591274">
      <w:pPr>
        <w:spacing w:after="160" w:line="374" w:lineRule="auto"/>
        <w:ind w:right="-59" w:firstLine="567"/>
        <w:jc w:val="both"/>
        <w:rPr>
          <w:rFonts w:ascii="Sylfaen" w:eastAsia="Times New Roman" w:hAnsi="Sylfaen" w:cs="Times New Roman"/>
          <w:sz w:val="24"/>
          <w:szCs w:val="24"/>
        </w:rPr>
      </w:pPr>
      <w:r w:rsidRPr="00BD7577">
        <w:rPr>
          <w:rFonts w:ascii="Sylfaen" w:hAnsi="Sylfaen"/>
          <w:sz w:val="24"/>
          <w:szCs w:val="24"/>
        </w:rPr>
        <w:t>ԸՏՓ-ի 2.1 բաժնի բովանդակությունն անհրաժեշտ է մանրամասնեցնել մինչ</w:t>
      </w:r>
      <w:r w:rsidR="00C54D75">
        <w:rPr>
          <w:rFonts w:ascii="Sylfaen" w:hAnsi="Sylfaen"/>
          <w:sz w:val="24"/>
          <w:szCs w:val="24"/>
        </w:rPr>
        <w:t>և</w:t>
      </w:r>
      <w:r w:rsidRPr="00BD7577">
        <w:rPr>
          <w:rFonts w:ascii="Sylfaen" w:hAnsi="Sylfaen"/>
          <w:sz w:val="24"/>
          <w:szCs w:val="24"/>
        </w:rPr>
        <w:t xml:space="preserve"> 3-րդ (օրինակ՝ 2.3.S) կամ 4-րդ (օրինակ՝ 2.3.S.1) մակարդակը՝ կախված այն հանգամանքից, թե որակի ամփոփիչ ռեզյումեի մեջ որ փաստաթուղթն է ներառված (տե՛ս 2-րդ մոդուլում փաստաթղթի սահմանումը): </w:t>
      </w:r>
    </w:p>
    <w:p w14:paraId="2E26530D" w14:textId="77777777" w:rsidR="008C76E0" w:rsidRPr="00BD7577" w:rsidRDefault="008C76E0" w:rsidP="00591274">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3.2.</w:t>
      </w:r>
      <w:r w:rsidRPr="00BD7577">
        <w:rPr>
          <w:rFonts w:ascii="Sylfaen" w:hAnsi="Sylfaen"/>
          <w:sz w:val="24"/>
          <w:szCs w:val="24"/>
        </w:rPr>
        <w:tab/>
        <w:t>Մոդուլ 3.</w:t>
      </w:r>
    </w:p>
    <w:p w14:paraId="0F4CDEF6"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ԸՏՓ-ի 3.1-րդ բաժնի բովանդակությունը պետք է ներառի վերին կարգի բաժինների համարները, բաժինների՝ դրանց համապատասխանող վերնագրերը </w:t>
      </w:r>
      <w:r w:rsidR="00C54D75">
        <w:rPr>
          <w:rFonts w:ascii="Sylfaen" w:hAnsi="Sylfaen"/>
          <w:sz w:val="24"/>
          <w:szCs w:val="24"/>
        </w:rPr>
        <w:t>և</w:t>
      </w:r>
      <w:r w:rsidRPr="00BD7577">
        <w:rPr>
          <w:rFonts w:ascii="Sylfaen" w:hAnsi="Sylfaen"/>
          <w:sz w:val="24"/>
          <w:szCs w:val="24"/>
        </w:rPr>
        <w:t xml:space="preserve"> հատորի համարը՝ դոսյեում դրանց հերթականության կարգով: Այդ բովանդակությունը կօգտագործվի 3-րդ մոդուլի բովանդակությունը նշելու համար՝ Կանոնների թիվ 1 հավելվածին համապատասխան: Այն պետք է մանրամասնեցնել մինչ</w:t>
      </w:r>
      <w:r w:rsidR="00C54D75">
        <w:rPr>
          <w:rFonts w:ascii="Sylfaen" w:hAnsi="Sylfaen"/>
          <w:sz w:val="24"/>
          <w:szCs w:val="24"/>
        </w:rPr>
        <w:t>և</w:t>
      </w:r>
      <w:r w:rsidRPr="00BD7577">
        <w:rPr>
          <w:rFonts w:ascii="Sylfaen" w:hAnsi="Sylfaen"/>
          <w:sz w:val="24"/>
          <w:szCs w:val="24"/>
        </w:rPr>
        <w:t xml:space="preserve"> 5-րդ մակարդակը (օրինակ՝ 3.2.P.2.1): Հարկ է նշել, որ սույն կանոնների թիվ</w:t>
      </w:r>
      <w:r w:rsidRPr="00415952">
        <w:rPr>
          <w:rFonts w:ascii="Sylfaen" w:hAnsi="Sylfaen"/>
          <w:sz w:val="24"/>
          <w:szCs w:val="24"/>
        </w:rPr>
        <w:t> </w:t>
      </w:r>
      <w:r w:rsidRPr="00BD7577">
        <w:rPr>
          <w:rFonts w:ascii="Sylfaen" w:hAnsi="Sylfaen"/>
          <w:sz w:val="24"/>
          <w:szCs w:val="24"/>
        </w:rPr>
        <w:t>1 հավելվածով նախատեսվում են այդ մակարդակից ավելի ցած գտնվող լրացուցիչ ենթաբաժիններ ու ենթավերնագրեր (օրինակ՝ 3.2.P.2), այդ պատճառով այս ձ</w:t>
      </w:r>
      <w:r w:rsidR="00C54D75">
        <w:rPr>
          <w:rFonts w:ascii="Sylfaen" w:hAnsi="Sylfaen"/>
          <w:sz w:val="24"/>
          <w:szCs w:val="24"/>
        </w:rPr>
        <w:t>և</w:t>
      </w:r>
      <w:r w:rsidRPr="00BD7577">
        <w:rPr>
          <w:rFonts w:ascii="Sylfaen" w:hAnsi="Sylfaen"/>
          <w:sz w:val="24"/>
          <w:szCs w:val="24"/>
        </w:rPr>
        <w:t>աչափը պետք է օգտագործել ամբողջ դոսյեում՝ նույնիսկ չնայած այն բանի, որ այն ներառված չէ 3.1-րդ բաժնում՝ «Բովանդակություն»։ «Փաստաթղթի համարակալում ու բաժանում» բաժնում նկարագրված ստորին մակարդակի բովանդակությունը պետք չէ ներառել 3.1 «Բովանդակություն» բաժնում:</w:t>
      </w:r>
    </w:p>
    <w:p w14:paraId="1312478E" w14:textId="6366F878" w:rsidR="008C76E0" w:rsidRPr="00BD7577" w:rsidRDefault="0056496B" w:rsidP="00591274">
      <w:pPr>
        <w:spacing w:after="160" w:line="336" w:lineRule="auto"/>
        <w:ind w:firstLine="567"/>
        <w:jc w:val="both"/>
        <w:rPr>
          <w:rFonts w:ascii="Sylfaen" w:eastAsia="Times New Roman" w:hAnsi="Sylfaen" w:cs="Times New Roman"/>
          <w:sz w:val="24"/>
          <w:szCs w:val="24"/>
        </w:rPr>
      </w:pPr>
      <w:r>
        <w:rPr>
          <w:rFonts w:ascii="Sylfaen" w:hAnsi="Sylfaen"/>
          <w:sz w:val="24"/>
          <w:szCs w:val="24"/>
        </w:rPr>
        <w:t>Դիմումատու</w:t>
      </w:r>
      <w:r w:rsidR="008C76E0" w:rsidRPr="00BD7577">
        <w:rPr>
          <w:rFonts w:ascii="Sylfaen" w:hAnsi="Sylfaen"/>
          <w:sz w:val="24"/>
          <w:szCs w:val="24"/>
        </w:rPr>
        <w:t xml:space="preserve">ի հայեցողությամբ, ժամանակագրությունն ու համարակալումը նշելու նպատակով, Կանոնների թիվ 1 հավելվածում նշվածներից բացի, բազմաթիվ փաստաթղթեր պարունակող առանձին բաժնի համար կարելի է բովանդակություն կազմել: Այն հարկ է ներկայացնել միայն փաստաթղթի շրջանակներում </w:t>
      </w:r>
      <w:r w:rsidR="00C54D75">
        <w:rPr>
          <w:rFonts w:ascii="Sylfaen" w:hAnsi="Sylfaen"/>
          <w:sz w:val="24"/>
          <w:szCs w:val="24"/>
        </w:rPr>
        <w:t>և</w:t>
      </w:r>
      <w:r w:rsidR="008C76E0" w:rsidRPr="00BD7577">
        <w:rPr>
          <w:rFonts w:ascii="Sylfaen" w:hAnsi="Sylfaen"/>
          <w:sz w:val="24"/>
          <w:szCs w:val="24"/>
        </w:rPr>
        <w:t xml:space="preserve"> ոչ</w:t>
      </w:r>
      <w:r w:rsidR="008C76E0" w:rsidRPr="00421BB4">
        <w:rPr>
          <w:rFonts w:ascii="Sylfaen" w:hAnsi="Sylfaen"/>
          <w:sz w:val="24"/>
          <w:szCs w:val="24"/>
        </w:rPr>
        <w:t> </w:t>
      </w:r>
      <w:r w:rsidR="008C76E0" w:rsidRPr="00BD7577">
        <w:rPr>
          <w:rFonts w:ascii="Sylfaen" w:hAnsi="Sylfaen"/>
          <w:sz w:val="24"/>
          <w:szCs w:val="24"/>
        </w:rPr>
        <w:t xml:space="preserve">որպես առանձին փաստաթուղթ կամ նոր ենթավերնագիր: Այդ դեպքում այդպիսի փաստաթղթի համար կարելի է նախատեսել առանձին բովանդակություն՝ դրանում պարունակվող ենթաբաժինների ժամանակագրությունն ու անվանումը նշելու համար: Այս փաստաթղթերը </w:t>
      </w:r>
      <w:r w:rsidR="00C54D75">
        <w:rPr>
          <w:rFonts w:ascii="Sylfaen" w:hAnsi="Sylfaen"/>
          <w:sz w:val="24"/>
          <w:szCs w:val="24"/>
        </w:rPr>
        <w:t>և</w:t>
      </w:r>
      <w:r w:rsidR="008C76E0" w:rsidRPr="00BD7577">
        <w:rPr>
          <w:rFonts w:ascii="Sylfaen" w:hAnsi="Sylfaen"/>
          <w:sz w:val="24"/>
          <w:szCs w:val="24"/>
        </w:rPr>
        <w:t xml:space="preserve"> ենթաբաժինները պետք չէ ներառել 3.1</w:t>
      </w:r>
      <w:r w:rsidR="008C76E0" w:rsidRPr="00415952">
        <w:rPr>
          <w:rFonts w:ascii="Sylfaen" w:hAnsi="Sylfaen"/>
          <w:sz w:val="24"/>
          <w:szCs w:val="24"/>
        </w:rPr>
        <w:t> </w:t>
      </w:r>
      <w:r w:rsidR="008C76E0" w:rsidRPr="00BD7577">
        <w:rPr>
          <w:rFonts w:ascii="Sylfaen" w:hAnsi="Sylfaen"/>
          <w:sz w:val="24"/>
          <w:szCs w:val="24"/>
        </w:rPr>
        <w:t>«Բովանդակություն» բաժնում :</w:t>
      </w:r>
    </w:p>
    <w:p w14:paraId="3F4FD14D" w14:textId="77777777" w:rsidR="008C76E0" w:rsidRPr="00BD7577" w:rsidRDefault="008C76E0" w:rsidP="00591274">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lastRenderedPageBreak/>
        <w:t>Այս ձ</w:t>
      </w:r>
      <w:r w:rsidR="00C54D75">
        <w:rPr>
          <w:rFonts w:ascii="Sylfaen" w:hAnsi="Sylfaen"/>
          <w:sz w:val="24"/>
          <w:szCs w:val="24"/>
        </w:rPr>
        <w:t>և</w:t>
      </w:r>
      <w:r w:rsidRPr="00BD7577">
        <w:rPr>
          <w:rFonts w:ascii="Sylfaen" w:hAnsi="Sylfaen"/>
          <w:sz w:val="24"/>
          <w:szCs w:val="24"/>
        </w:rPr>
        <w:t>աչափի մեջ պետք չէ ներառել լրացուցիչ ներդիրներ կամ հավելվածներ, այնուամենայնիվ, դրանք առանձին փաստաթղթի տեսքով թույլատրելի են մի քանի փաստաթղթերի ներկայացնելը ենթադրող բաժնում: Այդ դեպքում պետք է հղում կատարել առդրվող կամ կցվող փաստաթղթի համապատասխան բաժնին: Միայն մեկ փաստաթղթից բաղկացած բաժնում լրացուցիչ տեղեկություններ առդնելու կամ կցելու ցանկության դեպքում այդ տեղեկությունները հարկ է ներառել այդ փաստաթղթում:</w:t>
      </w:r>
    </w:p>
    <w:p w14:paraId="741D5215"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Բովանդակության մուտքերի բոլոր անվանումները պետք է համապատասխանեն վերնագրերի անվանումներին </w:t>
      </w:r>
      <w:r w:rsidR="00C54D75">
        <w:rPr>
          <w:rFonts w:ascii="Sylfaen" w:hAnsi="Sylfaen"/>
          <w:sz w:val="24"/>
          <w:szCs w:val="24"/>
        </w:rPr>
        <w:t>և</w:t>
      </w:r>
      <w:r w:rsidRPr="00BD7577">
        <w:rPr>
          <w:rFonts w:ascii="Sylfaen" w:hAnsi="Sylfaen"/>
          <w:sz w:val="24"/>
          <w:szCs w:val="24"/>
        </w:rPr>
        <w:t xml:space="preserve"> բաժինների համարներին՝ </w:t>
      </w:r>
      <w:r w:rsidRPr="00415952">
        <w:rPr>
          <w:rFonts w:ascii="Sylfaen" w:hAnsi="Sylfaen"/>
          <w:spacing w:val="-4"/>
          <w:sz w:val="24"/>
          <w:szCs w:val="24"/>
        </w:rPr>
        <w:t>համաձայն Կանոնների թիվ 1 հավելվածի կամ բաժանիչների նույնականացուցիչների (միայն դոսյեն թղթային կրիչով ներկայացնելու դեպքում</w:t>
      </w:r>
      <w:r w:rsidRPr="00BD7577">
        <w:rPr>
          <w:rFonts w:ascii="Sylfaen" w:hAnsi="Sylfaen"/>
          <w:sz w:val="24"/>
          <w:szCs w:val="24"/>
        </w:rPr>
        <w:t>), գերադասելի է դրանց ամբողջական անվանումներով, որոնք պետք է թույլատրեն հեշտությամբ նույնականացնել ցանկացած կրճատ անվանում, որը կարող է օգտագործվել համապատասխան բաժանիչում: Բովանդակության մեջ պետք չէ նշել էջերի համարները:</w:t>
      </w:r>
    </w:p>
    <w:p w14:paraId="23E2EB0A"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Գրականության աղբյուրներին հղումները բովանդակության մեջ պետք է վերաբերեն միայն այս բաժնին:</w:t>
      </w:r>
    </w:p>
    <w:p w14:paraId="535F9867" w14:textId="77777777" w:rsidR="008C76E0" w:rsidRPr="00BD7577" w:rsidRDefault="008C76E0" w:rsidP="00591274">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3.3.</w:t>
      </w:r>
      <w:r w:rsidRPr="00BD7577">
        <w:rPr>
          <w:rFonts w:ascii="Sylfaen" w:hAnsi="Sylfaen"/>
          <w:sz w:val="24"/>
          <w:szCs w:val="24"/>
        </w:rPr>
        <w:tab/>
        <w:t>Մոդուլ 4</w:t>
      </w:r>
    </w:p>
    <w:p w14:paraId="156682FC"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Դոսյեի բոլոր կար</w:t>
      </w:r>
      <w:r w:rsidR="00C54D75">
        <w:rPr>
          <w:rFonts w:ascii="Sylfaen" w:hAnsi="Sylfaen"/>
          <w:sz w:val="24"/>
          <w:szCs w:val="24"/>
        </w:rPr>
        <w:t>և</w:t>
      </w:r>
      <w:r w:rsidRPr="00BD7577">
        <w:rPr>
          <w:rFonts w:ascii="Sylfaen" w:hAnsi="Sylfaen"/>
          <w:sz w:val="24"/>
          <w:szCs w:val="24"/>
        </w:rPr>
        <w:t>որ բաղադրիչները նույնականացնելու նպատակով (</w:t>
      </w:r>
      <w:r w:rsidRPr="00415952">
        <w:rPr>
          <w:rFonts w:ascii="Sylfaen" w:hAnsi="Sylfaen"/>
          <w:spacing w:val="-6"/>
          <w:sz w:val="24"/>
          <w:szCs w:val="24"/>
        </w:rPr>
        <w:t xml:space="preserve">օրինակ՝ 4.2.3.5.1. «Պտղաբերությունը </w:t>
      </w:r>
      <w:r w:rsidR="00C54D75">
        <w:rPr>
          <w:rFonts w:ascii="Sylfaen" w:hAnsi="Sylfaen"/>
          <w:spacing w:val="-6"/>
          <w:sz w:val="24"/>
          <w:szCs w:val="24"/>
        </w:rPr>
        <w:t>և</w:t>
      </w:r>
      <w:r w:rsidRPr="00415952">
        <w:rPr>
          <w:rFonts w:ascii="Sylfaen" w:hAnsi="Sylfaen"/>
          <w:spacing w:val="-6"/>
          <w:sz w:val="24"/>
          <w:szCs w:val="24"/>
        </w:rPr>
        <w:t xml:space="preserve"> վաղ սաղմնային զարգացումը»)՝ 4-րդ մոդուլի բովանդակությունը</w:t>
      </w:r>
      <w:r w:rsidRPr="00BD7577">
        <w:rPr>
          <w:rFonts w:ascii="Sylfaen" w:hAnsi="Sylfaen"/>
          <w:sz w:val="24"/>
          <w:szCs w:val="24"/>
        </w:rPr>
        <w:t xml:space="preserve"> պետք է ներառի Կանոնների թիվ 1 հավելվածում թվարկված բոլոր թվային տարրերը, այն անհրաժեշտ է մանրամասնեցնել առնվազն մինչ</w:t>
      </w:r>
      <w:r w:rsidR="00C54D75">
        <w:rPr>
          <w:rFonts w:ascii="Sylfaen" w:hAnsi="Sylfaen"/>
          <w:sz w:val="24"/>
          <w:szCs w:val="24"/>
        </w:rPr>
        <w:t>և</w:t>
      </w:r>
      <w:r w:rsidRPr="00BD7577">
        <w:rPr>
          <w:rFonts w:ascii="Sylfaen" w:hAnsi="Sylfaen"/>
          <w:sz w:val="24"/>
          <w:szCs w:val="24"/>
        </w:rPr>
        <w:t xml:space="preserve"> հետազոտության մասին հաշվետվության մակարդակը: Այդ կերպ բովանդակության մեջ անհրաժեշտ է արտացոլել հետազոտության մասին յուրաքանչյուր հաշվետվություն: Հետազոտության մասին հաշվետվության բաժինները թույլատրվում է նշել դոսյեի 4-րդ մոդուլի բովանդակության մեջ կամ միայն հետազոտության մասին առանձին հաշվետվության բովանդակության մեջ:</w:t>
      </w:r>
    </w:p>
    <w:p w14:paraId="18BBAFAD" w14:textId="77777777" w:rsidR="008C76E0" w:rsidRPr="00BD7577" w:rsidRDefault="008C76E0" w:rsidP="00591274">
      <w:pPr>
        <w:spacing w:after="160" w:line="360" w:lineRule="auto"/>
        <w:ind w:right="-59" w:firstLine="567"/>
        <w:jc w:val="both"/>
        <w:rPr>
          <w:rFonts w:ascii="Sylfaen" w:hAnsi="Sylfaen"/>
          <w:sz w:val="24"/>
          <w:szCs w:val="24"/>
        </w:rPr>
      </w:pPr>
      <w:r w:rsidRPr="00BD7577">
        <w:rPr>
          <w:rFonts w:ascii="Sylfaen" w:hAnsi="Sylfaen"/>
          <w:sz w:val="24"/>
          <w:szCs w:val="24"/>
        </w:rPr>
        <w:t>4-րդ մոդուլի բովանդակության իլյուստրացիան:</w:t>
      </w:r>
    </w:p>
    <w:p w14:paraId="734F472D" w14:textId="77777777" w:rsidR="008C76E0" w:rsidRPr="00BD7577" w:rsidRDefault="008C76E0" w:rsidP="00591274">
      <w:pPr>
        <w:tabs>
          <w:tab w:val="left" w:pos="1701"/>
        </w:tabs>
        <w:spacing w:after="160" w:line="360" w:lineRule="auto"/>
        <w:ind w:right="-59" w:firstLine="567"/>
        <w:jc w:val="both"/>
        <w:rPr>
          <w:rFonts w:ascii="Sylfaen" w:hAnsi="Sylfaen"/>
          <w:sz w:val="24"/>
          <w:szCs w:val="24"/>
        </w:rPr>
      </w:pPr>
      <w:r w:rsidRPr="00BD7577">
        <w:rPr>
          <w:rFonts w:ascii="Sylfaen" w:hAnsi="Sylfaen"/>
          <w:sz w:val="24"/>
          <w:szCs w:val="24"/>
        </w:rPr>
        <w:lastRenderedPageBreak/>
        <w:t>4.2.3.2.</w:t>
      </w:r>
      <w:r w:rsidRPr="00BD7577">
        <w:rPr>
          <w:rFonts w:ascii="Sylfaen" w:hAnsi="Sylfaen"/>
          <w:sz w:val="24"/>
          <w:szCs w:val="24"/>
        </w:rPr>
        <w:tab/>
        <w:t>Թունավորությունը բազմակի ներարկման դեպքում:</w:t>
      </w:r>
    </w:p>
    <w:p w14:paraId="436A868E"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aa-aaa՝ թունավորության 30-օրյա հետազոտություն՝ առնետներին C պատրաստուկի բազմակի ներարկման դեպքում:</w:t>
      </w:r>
    </w:p>
    <w:p w14:paraId="68B8BD2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bb-bbb՝ թունավորության 6-ամսյա հետազոտություն՝ առնետներին C պատրաստուկի բազմակի ներարկման դեպքում:</w:t>
      </w:r>
    </w:p>
    <w:p w14:paraId="123CF9D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cc-ccc՝ թունավորության 30-օրյա հետազոտություն՝ շներին C պատրաստուկի բազմակի ներարկման դեպքում:</w:t>
      </w:r>
    </w:p>
    <w:p w14:paraId="4848F522"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dd-ddd՝ թունավորության 6-ամսյա հետազոտություն՝ շներին C պատրաստուկի բազմակի ներարկման դեպքում:</w:t>
      </w:r>
    </w:p>
    <w:p w14:paraId="31F0FF41"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4.2.3.3.</w:t>
      </w:r>
      <w:r w:rsidRPr="00BD7577">
        <w:rPr>
          <w:rFonts w:ascii="Sylfaen" w:hAnsi="Sylfaen"/>
          <w:sz w:val="24"/>
          <w:szCs w:val="24"/>
        </w:rPr>
        <w:tab/>
        <w:t>Գենոտոքսիկությունը։</w:t>
      </w:r>
    </w:p>
    <w:p w14:paraId="057D3BA8" w14:textId="77777777" w:rsidR="008C76E0" w:rsidRPr="00BD7577" w:rsidRDefault="008C76E0" w:rsidP="00591274">
      <w:pPr>
        <w:tabs>
          <w:tab w:val="left" w:pos="1701"/>
        </w:tabs>
        <w:spacing w:after="160" w:line="336" w:lineRule="auto"/>
        <w:ind w:right="-1" w:firstLine="567"/>
        <w:jc w:val="both"/>
        <w:rPr>
          <w:rFonts w:ascii="Sylfaen" w:hAnsi="Sylfaen"/>
          <w:sz w:val="24"/>
          <w:szCs w:val="24"/>
        </w:rPr>
      </w:pPr>
      <w:r w:rsidRPr="00BD7577">
        <w:rPr>
          <w:rFonts w:ascii="Sylfaen" w:hAnsi="Sylfaen"/>
          <w:sz w:val="24"/>
          <w:szCs w:val="24"/>
        </w:rPr>
        <w:t>4.2.3.3.1.</w:t>
      </w:r>
      <w:r w:rsidRPr="00BD7577">
        <w:rPr>
          <w:rFonts w:ascii="Sylfaen" w:hAnsi="Sylfaen"/>
          <w:sz w:val="24"/>
          <w:szCs w:val="24"/>
        </w:rPr>
        <w:tab/>
        <w:t>In vitro:</w:t>
      </w:r>
    </w:p>
    <w:p w14:paraId="306643BF"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Հետազոտություն ee-eee՝ Էյմսի թեստը C պատրաստուկով </w:t>
      </w:r>
      <w:r w:rsidR="00C54D75">
        <w:rPr>
          <w:rFonts w:ascii="Sylfaen" w:hAnsi="Sylfaen"/>
          <w:sz w:val="24"/>
          <w:szCs w:val="24"/>
        </w:rPr>
        <w:t>և</w:t>
      </w:r>
      <w:r w:rsidRPr="00BD7577">
        <w:rPr>
          <w:rFonts w:ascii="Sylfaen" w:hAnsi="Sylfaen"/>
          <w:sz w:val="24"/>
          <w:szCs w:val="24"/>
        </w:rPr>
        <w:t xml:space="preserve"> այլն:</w:t>
      </w:r>
    </w:p>
    <w:p w14:paraId="5E41B433" w14:textId="77777777" w:rsidR="008C76E0" w:rsidRPr="00BD7577" w:rsidRDefault="008C76E0" w:rsidP="00591274">
      <w:pPr>
        <w:tabs>
          <w:tab w:val="left" w:pos="1134"/>
        </w:tabs>
        <w:spacing w:after="160" w:line="336" w:lineRule="auto"/>
        <w:ind w:right="-59" w:firstLine="567"/>
        <w:jc w:val="both"/>
        <w:rPr>
          <w:rFonts w:ascii="Sylfaen" w:hAnsi="Sylfaen"/>
          <w:sz w:val="24"/>
          <w:szCs w:val="24"/>
        </w:rPr>
      </w:pPr>
      <w:r w:rsidRPr="00BD7577">
        <w:rPr>
          <w:rFonts w:ascii="Sylfaen" w:hAnsi="Sylfaen"/>
          <w:sz w:val="24"/>
          <w:szCs w:val="24"/>
        </w:rPr>
        <w:t>3.4.</w:t>
      </w:r>
      <w:r w:rsidRPr="00BD7577">
        <w:rPr>
          <w:rFonts w:ascii="Sylfaen" w:hAnsi="Sylfaen"/>
          <w:sz w:val="24"/>
          <w:szCs w:val="24"/>
        </w:rPr>
        <w:tab/>
        <w:t>Մոդուլ 5.</w:t>
      </w:r>
    </w:p>
    <w:p w14:paraId="19AB031D" w14:textId="77777777" w:rsidR="008C76E0" w:rsidRPr="00BD7577" w:rsidRDefault="008C76E0" w:rsidP="00591274">
      <w:pPr>
        <w:spacing w:after="160" w:line="336" w:lineRule="auto"/>
        <w:ind w:firstLine="567"/>
        <w:jc w:val="both"/>
        <w:rPr>
          <w:rFonts w:ascii="Sylfaen" w:eastAsia="Times New Roman" w:hAnsi="Sylfaen" w:cs="Times New Roman"/>
          <w:sz w:val="24"/>
          <w:szCs w:val="24"/>
        </w:rPr>
      </w:pPr>
      <w:r w:rsidRPr="00BD7577">
        <w:rPr>
          <w:rFonts w:ascii="Sylfaen" w:hAnsi="Sylfaen"/>
          <w:sz w:val="24"/>
          <w:szCs w:val="24"/>
        </w:rPr>
        <w:t>Դոսյեի կար</w:t>
      </w:r>
      <w:r w:rsidR="00C54D75">
        <w:rPr>
          <w:rFonts w:ascii="Sylfaen" w:hAnsi="Sylfaen"/>
          <w:sz w:val="24"/>
          <w:szCs w:val="24"/>
        </w:rPr>
        <w:t>և</w:t>
      </w:r>
      <w:r w:rsidRPr="00BD7577">
        <w:rPr>
          <w:rFonts w:ascii="Sylfaen" w:hAnsi="Sylfaen"/>
          <w:sz w:val="24"/>
          <w:szCs w:val="24"/>
        </w:rPr>
        <w:t>որ բաղադրիչները նույնականացնելու նպատակով (օրինակ՝</w:t>
      </w:r>
      <w:r w:rsidRPr="00E41A3B">
        <w:rPr>
          <w:rFonts w:ascii="Sylfaen" w:hAnsi="Sylfaen"/>
          <w:sz w:val="24"/>
          <w:szCs w:val="24"/>
        </w:rPr>
        <w:t> </w:t>
      </w:r>
      <w:r w:rsidRPr="00BD7577">
        <w:rPr>
          <w:rFonts w:ascii="Sylfaen" w:hAnsi="Sylfaen"/>
          <w:sz w:val="24"/>
          <w:szCs w:val="24"/>
        </w:rPr>
        <w:t>5.3.5.1.1. «Պլացեբո-վերահսկվող հետազոտություն») 5-րդ մոդուլի բովանդակությունը պետք է ներառի Կանոնների թիվ 1 հավելվածում թվարկված բոլոր թվային տարրերը, այն անհրաժեշտ է մանրամասնեցնել առնվազն մինչ</w:t>
      </w:r>
      <w:r w:rsidR="00C54D75">
        <w:rPr>
          <w:rFonts w:ascii="Sylfaen" w:hAnsi="Sylfaen"/>
          <w:sz w:val="24"/>
          <w:szCs w:val="24"/>
        </w:rPr>
        <w:t>և</w:t>
      </w:r>
      <w:r w:rsidRPr="00BD7577">
        <w:rPr>
          <w:rFonts w:ascii="Sylfaen" w:hAnsi="Sylfaen"/>
          <w:sz w:val="24"/>
          <w:szCs w:val="24"/>
        </w:rPr>
        <w:t xml:space="preserve"> կլինիկական հետազոտության մասին հաշվետվության մակարդակը: Այդ կերպ, բովանդակության մեջ անհրաժեշտ է արտացոլել կլինիկական հետազոտության </w:t>
      </w:r>
      <w:r w:rsidRPr="003676C2">
        <w:rPr>
          <w:rFonts w:ascii="Sylfaen" w:hAnsi="Sylfaen"/>
          <w:sz w:val="24"/>
          <w:szCs w:val="24"/>
        </w:rPr>
        <w:t xml:space="preserve">մասին յուրաքանչյուր հաշվետվություն: Կլինիկական հետազոտության մասին հաշվետվության բաժինները թույլատրվում է ներառել (տե՛ս Եվրասիական </w:t>
      </w:r>
      <w:r w:rsidRPr="003676C2">
        <w:rPr>
          <w:rFonts w:ascii="Sylfaen" w:hAnsi="Sylfaen"/>
          <w:spacing w:val="6"/>
          <w:sz w:val="24"/>
          <w:szCs w:val="24"/>
        </w:rPr>
        <w:t>տնտեսական միության պատշաճ կլինիկական գործելակերպի Կանոնների թիվ 1 հավելվածը) 5-րդ մոդուլի</w:t>
      </w:r>
      <w:r w:rsidRPr="00BD7577">
        <w:rPr>
          <w:rFonts w:ascii="Sylfaen" w:hAnsi="Sylfaen"/>
          <w:sz w:val="24"/>
          <w:szCs w:val="24"/>
        </w:rPr>
        <w:t xml:space="preserve"> բովանդակության մեջ կամ միայն կլինիկական հետազոտության մասին առանձին հաշվետվության բովանդակության մեջ:</w:t>
      </w:r>
    </w:p>
    <w:p w14:paraId="50A3294E" w14:textId="77777777" w:rsidR="008C76E0" w:rsidRPr="00BD7577" w:rsidRDefault="008C76E0" w:rsidP="00591274">
      <w:pPr>
        <w:spacing w:after="160" w:line="336" w:lineRule="auto"/>
        <w:ind w:firstLine="567"/>
        <w:jc w:val="both"/>
        <w:rPr>
          <w:rFonts w:ascii="Sylfaen" w:hAnsi="Sylfaen"/>
          <w:sz w:val="24"/>
          <w:szCs w:val="24"/>
        </w:rPr>
      </w:pPr>
      <w:r w:rsidRPr="00BD7577">
        <w:rPr>
          <w:rFonts w:ascii="Sylfaen" w:hAnsi="Sylfaen"/>
          <w:sz w:val="24"/>
          <w:szCs w:val="24"/>
        </w:rPr>
        <w:t>5-րդ մոդուլի բովանդակության մասի իլյուստրացիան:</w:t>
      </w:r>
    </w:p>
    <w:p w14:paraId="1E7470E7" w14:textId="77777777" w:rsidR="008C76E0" w:rsidRPr="00BD7577" w:rsidRDefault="008C76E0" w:rsidP="00591274">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5.3.5</w:t>
      </w:r>
      <w:r w:rsidRPr="00BD7577">
        <w:rPr>
          <w:rFonts w:ascii="Sylfaen" w:hAnsi="Sylfaen"/>
          <w:sz w:val="24"/>
          <w:szCs w:val="24"/>
        </w:rPr>
        <w:tab/>
        <w:t xml:space="preserve">Z ցուցում՝ հաշվետվություններ՝ հետազոտության արդյունավետության </w:t>
      </w:r>
      <w:r w:rsidR="00C54D75">
        <w:rPr>
          <w:rFonts w:ascii="Sylfaen" w:hAnsi="Sylfaen"/>
          <w:sz w:val="24"/>
          <w:szCs w:val="24"/>
        </w:rPr>
        <w:t>և</w:t>
      </w:r>
      <w:r w:rsidRPr="00BD7577">
        <w:rPr>
          <w:rFonts w:ascii="Sylfaen" w:hAnsi="Sylfaen"/>
          <w:sz w:val="24"/>
          <w:szCs w:val="24"/>
        </w:rPr>
        <w:t xml:space="preserve"> անվտանգության մասին:</w:t>
      </w:r>
    </w:p>
    <w:p w14:paraId="741C000B" w14:textId="77E42419" w:rsidR="008C76E0" w:rsidRPr="00BD7577" w:rsidRDefault="008C76E0" w:rsidP="00591274">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lastRenderedPageBreak/>
        <w:t>5.3.5.1</w:t>
      </w:r>
      <w:r w:rsidRPr="00BD7577">
        <w:rPr>
          <w:rFonts w:ascii="Sylfaen" w:hAnsi="Sylfaen"/>
          <w:sz w:val="24"/>
          <w:szCs w:val="24"/>
        </w:rPr>
        <w:tab/>
        <w:t xml:space="preserve">Z ցուցում՝ վերահսկվող կլինիկական հետազոտությունների մասին հաշվետվություններ, որոնք վերաբերում են </w:t>
      </w:r>
      <w:r w:rsidR="001A5F1A">
        <w:rPr>
          <w:rFonts w:ascii="Sylfaen" w:hAnsi="Sylfaen"/>
          <w:sz w:val="24"/>
          <w:szCs w:val="24"/>
        </w:rPr>
        <w:t>հայտագրված</w:t>
      </w:r>
      <w:r w:rsidRPr="00BD7577">
        <w:rPr>
          <w:rFonts w:ascii="Sylfaen" w:hAnsi="Sylfaen"/>
          <w:sz w:val="24"/>
          <w:szCs w:val="24"/>
        </w:rPr>
        <w:t xml:space="preserve"> կիրառման ցուցմանը։</w:t>
      </w:r>
    </w:p>
    <w:p w14:paraId="713A93B0"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5.3.5.1.1</w:t>
      </w:r>
      <w:r w:rsidRPr="00BD7577">
        <w:rPr>
          <w:rFonts w:ascii="Sylfaen" w:hAnsi="Sylfaen"/>
          <w:sz w:val="24"/>
          <w:szCs w:val="24"/>
        </w:rPr>
        <w:tab/>
        <w:t xml:space="preserve">Z ցուցում — պլացեբո-վերահսկվող հետազոտություններ: Հետազոտություն xx-xxx՝ A պատրաստուկի կրկնակի կույր, պլացեբո-վերահսկվող հետազոտություն՝ Z ցուցման դեպքում: </w:t>
      </w:r>
    </w:p>
    <w:p w14:paraId="6F40C42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yy-yyy՝ կրկնակի կույր:</w:t>
      </w:r>
    </w:p>
    <w:p w14:paraId="22B18700" w14:textId="77777777" w:rsidR="008C76E0" w:rsidRPr="00BD7577" w:rsidRDefault="008C76E0" w:rsidP="0059127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5.3.5.1.2</w:t>
      </w:r>
      <w:r w:rsidRPr="00BD7577">
        <w:rPr>
          <w:rFonts w:ascii="Sylfaen" w:hAnsi="Sylfaen"/>
          <w:sz w:val="24"/>
          <w:szCs w:val="24"/>
        </w:rPr>
        <w:tab/>
        <w:t xml:space="preserve">Z ցուցում՝ հետազոտություններ՝ ակտիվ հսկողությամբ: Հետազոտություն zz-zzz՝ A պատրաստուկի կրկնակի կույր, ակտիվ-վերահսկվող հետազոտություն՝ C պատրաստուկի համեմատությամբ՝ Z ցուցման դեպքում: </w:t>
      </w:r>
    </w:p>
    <w:p w14:paraId="0F94D076"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5.3.5</w:t>
      </w:r>
      <w:r w:rsidRPr="00BD7577">
        <w:rPr>
          <w:rFonts w:ascii="Sylfaen" w:hAnsi="Sylfaen"/>
          <w:sz w:val="24"/>
          <w:szCs w:val="24"/>
        </w:rPr>
        <w:tab/>
        <w:t xml:space="preserve">Q ցուցում՝ հաշվետվություններ՝ հետազոտության արդյունավետության </w:t>
      </w:r>
      <w:r w:rsidR="00C54D75">
        <w:rPr>
          <w:rFonts w:ascii="Sylfaen" w:hAnsi="Sylfaen"/>
          <w:sz w:val="24"/>
          <w:szCs w:val="24"/>
        </w:rPr>
        <w:t>և</w:t>
      </w:r>
      <w:r w:rsidRPr="00BD7577">
        <w:rPr>
          <w:rFonts w:ascii="Sylfaen" w:hAnsi="Sylfaen"/>
          <w:sz w:val="24"/>
          <w:szCs w:val="24"/>
        </w:rPr>
        <w:t xml:space="preserve"> անվտանգության մասին:</w:t>
      </w:r>
    </w:p>
    <w:p w14:paraId="5B0E00F4" w14:textId="58751243" w:rsidR="008C76E0" w:rsidRPr="003676C2" w:rsidRDefault="008C76E0" w:rsidP="00591274">
      <w:pPr>
        <w:pBdr>
          <w:bottom w:val="single" w:sz="12" w:space="1" w:color="auto"/>
        </w:pBdr>
        <w:tabs>
          <w:tab w:val="left" w:pos="1701"/>
        </w:tabs>
        <w:spacing w:after="160" w:line="360" w:lineRule="auto"/>
        <w:ind w:right="-1" w:firstLine="567"/>
        <w:jc w:val="both"/>
        <w:rPr>
          <w:rFonts w:ascii="Sylfaen" w:hAnsi="Sylfaen"/>
          <w:spacing w:val="6"/>
          <w:sz w:val="24"/>
          <w:szCs w:val="24"/>
        </w:rPr>
      </w:pPr>
      <w:r w:rsidRPr="003676C2">
        <w:rPr>
          <w:rFonts w:ascii="Sylfaen" w:hAnsi="Sylfaen"/>
          <w:spacing w:val="6"/>
          <w:sz w:val="24"/>
          <w:szCs w:val="24"/>
        </w:rPr>
        <w:t>5.3.5.1</w:t>
      </w:r>
      <w:r w:rsidRPr="003676C2">
        <w:rPr>
          <w:rFonts w:ascii="Sylfaen" w:hAnsi="Sylfaen"/>
          <w:spacing w:val="6"/>
          <w:sz w:val="24"/>
          <w:szCs w:val="24"/>
        </w:rPr>
        <w:tab/>
        <w:t xml:space="preserve">Q ցուցում՝ վերահսկվող կլինիկական հետազոտությունների մասին հաշվետվություններ, որոնք վերաբերում են </w:t>
      </w:r>
      <w:r w:rsidR="001A5F1A">
        <w:rPr>
          <w:rFonts w:ascii="Sylfaen" w:hAnsi="Sylfaen"/>
          <w:spacing w:val="6"/>
          <w:sz w:val="24"/>
          <w:szCs w:val="24"/>
        </w:rPr>
        <w:t>հայտագրված</w:t>
      </w:r>
      <w:r w:rsidRPr="003676C2">
        <w:rPr>
          <w:rFonts w:ascii="Sylfaen" w:hAnsi="Sylfaen"/>
          <w:spacing w:val="6"/>
          <w:sz w:val="24"/>
          <w:szCs w:val="24"/>
        </w:rPr>
        <w:t xml:space="preserve"> կիրառման ցուցմանը </w:t>
      </w:r>
      <w:r w:rsidR="00C54D75">
        <w:rPr>
          <w:rFonts w:ascii="Sylfaen" w:hAnsi="Sylfaen"/>
          <w:spacing w:val="6"/>
          <w:sz w:val="24"/>
          <w:szCs w:val="24"/>
        </w:rPr>
        <w:t>և</w:t>
      </w:r>
      <w:r w:rsidRPr="003676C2">
        <w:rPr>
          <w:rFonts w:ascii="Sylfaen" w:hAnsi="Sylfaen"/>
          <w:spacing w:val="6"/>
          <w:sz w:val="24"/>
          <w:szCs w:val="24"/>
        </w:rPr>
        <w:t xml:space="preserve"> այլն:</w:t>
      </w:r>
    </w:p>
    <w:p w14:paraId="48184C05" w14:textId="657D68F7" w:rsidR="00C43BF0" w:rsidRPr="006F28F9" w:rsidRDefault="00C43BF0" w:rsidP="00C43BF0">
      <w:pPr>
        <w:rPr>
          <w:b/>
          <w:bCs/>
          <w:i/>
          <w:iCs/>
        </w:rPr>
      </w:pPr>
      <w:r w:rsidRPr="00CD4709">
        <w:rPr>
          <w:b/>
          <w:bCs/>
          <w:i/>
          <w:iCs/>
        </w:rPr>
        <w:t>(</w:t>
      </w:r>
      <w:r>
        <w:rPr>
          <w:b/>
          <w:bCs/>
          <w:i/>
          <w:iCs/>
        </w:rPr>
        <w:t xml:space="preserve">հավելվածը </w:t>
      </w:r>
      <w:r w:rsidRPr="00CD4709">
        <w:rPr>
          <w:b/>
          <w:bCs/>
          <w:i/>
          <w:iCs/>
        </w:rPr>
        <w:t>փոփ. 30.01.20 թիվ 9</w:t>
      </w:r>
      <w:r w:rsidR="00E47854">
        <w:rPr>
          <w:b/>
          <w:bCs/>
          <w:i/>
          <w:iCs/>
        </w:rPr>
        <w:t>, 17.03.22 թիվ 36</w:t>
      </w:r>
      <w:r w:rsidRPr="00CD4709">
        <w:rPr>
          <w:b/>
          <w:bCs/>
          <w:i/>
          <w:iCs/>
        </w:rPr>
        <w:t>)</w:t>
      </w:r>
    </w:p>
    <w:p w14:paraId="133735D1" w14:textId="77777777" w:rsidR="00C43BF0" w:rsidRPr="00E06907" w:rsidRDefault="00C43BF0" w:rsidP="008C76E0">
      <w:pPr>
        <w:tabs>
          <w:tab w:val="left" w:pos="1701"/>
        </w:tabs>
        <w:ind w:right="-1" w:firstLine="567"/>
        <w:jc w:val="center"/>
        <w:rPr>
          <w:rFonts w:ascii="Sylfaen" w:eastAsia="Times New Roman" w:hAnsi="Sylfaen" w:cs="Times New Roman"/>
          <w:sz w:val="24"/>
          <w:szCs w:val="24"/>
        </w:rPr>
      </w:pPr>
    </w:p>
    <w:p w14:paraId="26FD74A6" w14:textId="77777777" w:rsidR="008C76E0" w:rsidRPr="00E06907" w:rsidRDefault="008C76E0" w:rsidP="008C76E0">
      <w:pPr>
        <w:tabs>
          <w:tab w:val="left" w:pos="1701"/>
        </w:tabs>
        <w:ind w:right="-1" w:firstLine="567"/>
        <w:jc w:val="both"/>
        <w:rPr>
          <w:rFonts w:ascii="Sylfaen" w:eastAsia="Times New Roman" w:hAnsi="Sylfaen" w:cs="Times New Roman"/>
          <w:sz w:val="24"/>
          <w:szCs w:val="24"/>
        </w:rPr>
      </w:pPr>
    </w:p>
    <w:p w14:paraId="6470CEDB" w14:textId="77777777" w:rsidR="008C76E0" w:rsidRPr="00E06907" w:rsidRDefault="008C76E0" w:rsidP="008C76E0">
      <w:pPr>
        <w:tabs>
          <w:tab w:val="left" w:pos="1701"/>
        </w:tabs>
        <w:ind w:right="-1" w:firstLine="567"/>
        <w:jc w:val="both"/>
        <w:rPr>
          <w:rFonts w:ascii="Sylfaen" w:eastAsia="Times New Roman" w:hAnsi="Sylfaen" w:cs="Times New Roman"/>
          <w:sz w:val="24"/>
          <w:szCs w:val="24"/>
        </w:rPr>
        <w:sectPr w:rsidR="008C76E0" w:rsidRPr="00E06907" w:rsidSect="00C31D56">
          <w:footnotePr>
            <w:numRestart w:val="eachSect"/>
          </w:footnotePr>
          <w:pgSz w:w="11907" w:h="16839" w:code="9"/>
          <w:pgMar w:top="1418" w:right="1418" w:bottom="1418" w:left="1418" w:header="0" w:footer="361" w:gutter="0"/>
          <w:cols w:space="720"/>
          <w:noEndnote/>
          <w:docGrid w:linePitch="360"/>
        </w:sectPr>
      </w:pPr>
    </w:p>
    <w:p w14:paraId="56BC9D7F" w14:textId="77777777" w:rsidR="008C76E0" w:rsidRPr="00421BB4" w:rsidRDefault="008C76E0" w:rsidP="00486B34">
      <w:pPr>
        <w:spacing w:after="160" w:line="360" w:lineRule="auto"/>
        <w:ind w:left="4536" w:right="-7"/>
        <w:jc w:val="center"/>
        <w:rPr>
          <w:rFonts w:ascii="Sylfaen" w:hAnsi="Sylfaen"/>
          <w:sz w:val="24"/>
          <w:szCs w:val="24"/>
        </w:rPr>
      </w:pPr>
      <w:r w:rsidRPr="00BD7577">
        <w:rPr>
          <w:rFonts w:ascii="Sylfaen" w:hAnsi="Sylfaen"/>
          <w:sz w:val="24"/>
          <w:szCs w:val="24"/>
        </w:rPr>
        <w:lastRenderedPageBreak/>
        <w:t>ՀԱՎԵԼՎԱԾ ԹԻՎ 6</w:t>
      </w:r>
      <w:r w:rsidRPr="00E06907">
        <w:rPr>
          <w:rFonts w:ascii="Sylfaen" w:hAnsi="Sylfaen"/>
          <w:sz w:val="24"/>
          <w:szCs w:val="24"/>
        </w:rPr>
        <w:t xml:space="preserve"> </w:t>
      </w:r>
    </w:p>
    <w:p w14:paraId="1CF2E73B" w14:textId="77777777" w:rsidR="008C76E0" w:rsidRPr="00BD7577" w:rsidRDefault="008C76E0" w:rsidP="00486B34">
      <w:pPr>
        <w:spacing w:after="160" w:line="360" w:lineRule="auto"/>
        <w:ind w:left="4536" w:right="-7"/>
        <w:jc w:val="center"/>
        <w:rPr>
          <w:rFonts w:ascii="Sylfaen" w:eastAsia="Times New Roman" w:hAnsi="Sylfaen" w:cs="Times New Roman"/>
          <w:sz w:val="24"/>
          <w:szCs w:val="24"/>
        </w:rPr>
      </w:pPr>
      <w:r w:rsidRPr="00BD7577">
        <w:rPr>
          <w:rFonts w:ascii="Sylfaen" w:hAnsi="Sylfaen"/>
          <w:sz w:val="24"/>
          <w:szCs w:val="24"/>
        </w:rP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2D9D90F6" w14:textId="77777777" w:rsidR="008C76E0" w:rsidRPr="00BD7577" w:rsidRDefault="008C76E0" w:rsidP="00486B34">
      <w:pPr>
        <w:spacing w:after="160" w:line="360" w:lineRule="auto"/>
        <w:ind w:left="4536" w:right="-7"/>
        <w:rPr>
          <w:rFonts w:ascii="Sylfaen" w:hAnsi="Sylfaen"/>
          <w:sz w:val="24"/>
          <w:szCs w:val="24"/>
        </w:rPr>
      </w:pPr>
    </w:p>
    <w:p w14:paraId="10CEEEA2" w14:textId="77777777" w:rsidR="008C76E0" w:rsidRPr="00E06907" w:rsidRDefault="008C76E0" w:rsidP="00486B34">
      <w:pPr>
        <w:spacing w:after="160" w:line="360" w:lineRule="auto"/>
        <w:ind w:left="567" w:right="566"/>
        <w:jc w:val="center"/>
        <w:rPr>
          <w:rFonts w:ascii="Sylfaen" w:hAnsi="Sylfaen"/>
          <w:b/>
          <w:sz w:val="24"/>
          <w:szCs w:val="24"/>
        </w:rPr>
      </w:pPr>
      <w:r w:rsidRPr="00E06907">
        <w:rPr>
          <w:rFonts w:ascii="Sylfaen" w:hAnsi="Sylfaen"/>
          <w:b/>
          <w:sz w:val="24"/>
          <w:szCs w:val="24"/>
        </w:rPr>
        <w:t>ՁԵՎ</w:t>
      </w:r>
    </w:p>
    <w:p w14:paraId="6DA57858" w14:textId="77777777" w:rsidR="008C76E0" w:rsidRPr="00BD7577" w:rsidRDefault="008C76E0" w:rsidP="00486B34">
      <w:pPr>
        <w:spacing w:after="160" w:line="360" w:lineRule="auto"/>
        <w:ind w:left="567" w:right="566"/>
        <w:jc w:val="center"/>
        <w:rPr>
          <w:rFonts w:ascii="Sylfaen" w:hAnsi="Sylfaen"/>
          <w:b/>
          <w:sz w:val="24"/>
          <w:szCs w:val="24"/>
        </w:rPr>
      </w:pPr>
      <w:r w:rsidRPr="00BD7577">
        <w:rPr>
          <w:rFonts w:ascii="Sylfaen" w:hAnsi="Sylfaen"/>
          <w:b/>
          <w:sz w:val="24"/>
          <w:szCs w:val="24"/>
        </w:rPr>
        <w:t>նախակլինիկական (ոչ կլինիկական) հետազոտությունների արդյունքների գնահատման վերաբերյալ փորձագիտական</w:t>
      </w:r>
      <w:r w:rsidRPr="00E06907">
        <w:rPr>
          <w:rFonts w:ascii="Sylfaen" w:hAnsi="Sylfaen"/>
          <w:b/>
          <w:sz w:val="24"/>
          <w:szCs w:val="24"/>
        </w:rPr>
        <w:t> </w:t>
      </w:r>
      <w:r w:rsidRPr="00BD7577">
        <w:rPr>
          <w:rFonts w:ascii="Sylfaen" w:hAnsi="Sylfaen"/>
          <w:b/>
          <w:sz w:val="24"/>
          <w:szCs w:val="24"/>
        </w:rPr>
        <w:t>հաշվետվության</w:t>
      </w:r>
    </w:p>
    <w:p w14:paraId="0006AA5B" w14:textId="77777777" w:rsidR="008C76E0" w:rsidRPr="00BD7577" w:rsidRDefault="008C76E0" w:rsidP="00486B34">
      <w:pPr>
        <w:spacing w:after="160" w:line="360" w:lineRule="auto"/>
        <w:ind w:left="567" w:right="566"/>
        <w:jc w:val="center"/>
        <w:rPr>
          <w:rFonts w:ascii="Sylfaen" w:eastAsia="Times New Roman" w:hAnsi="Sylfaen" w:cs="Times New Roman"/>
          <w:bCs/>
          <w:sz w:val="24"/>
          <w:szCs w:val="24"/>
        </w:rPr>
      </w:pPr>
    </w:p>
    <w:p w14:paraId="1AC20535" w14:textId="77777777" w:rsidR="008C76E0" w:rsidRPr="00BD7577" w:rsidRDefault="008C76E0" w:rsidP="00486B34">
      <w:pPr>
        <w:spacing w:after="160" w:line="360" w:lineRule="auto"/>
        <w:ind w:right="566"/>
        <w:jc w:val="right"/>
        <w:rPr>
          <w:rFonts w:ascii="Sylfaen" w:eastAsia="Times New Roman" w:hAnsi="Sylfaen" w:cs="Times New Roma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204E72D0" w14:textId="77777777" w:rsidR="008C76E0" w:rsidRPr="00BD7577" w:rsidRDefault="008C76E0" w:rsidP="00486B34">
      <w:pPr>
        <w:spacing w:after="160" w:line="360" w:lineRule="auto"/>
        <w:ind w:left="3361" w:right="36" w:firstLine="5198"/>
        <w:rPr>
          <w:rFonts w:ascii="Sylfaen" w:eastAsia="Times New Roman" w:hAnsi="Sylfaen" w:cs="Times New Roman"/>
          <w:sz w:val="24"/>
          <w:szCs w:val="24"/>
        </w:rPr>
      </w:pPr>
    </w:p>
    <w:p w14:paraId="7C974B48" w14:textId="77777777" w:rsidR="008C76E0" w:rsidRPr="00BD7577" w:rsidRDefault="008C76E0" w:rsidP="00486B34">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ՓՈՐՁԱԳԻՏԱԿԱՆ ՀԱՇՎԵՏՎՈՒԹՅՈՒՆ</w:t>
      </w:r>
    </w:p>
    <w:p w14:paraId="5330126D" w14:textId="77777777" w:rsidR="008C76E0" w:rsidRPr="00BD7577" w:rsidRDefault="008C76E0" w:rsidP="00486B34">
      <w:pPr>
        <w:spacing w:after="160" w:line="360" w:lineRule="auto"/>
        <w:ind w:left="567" w:right="566"/>
        <w:jc w:val="center"/>
        <w:rPr>
          <w:rFonts w:ascii="Sylfaen" w:hAnsi="Sylfaen"/>
          <w:sz w:val="24"/>
          <w:szCs w:val="24"/>
        </w:rPr>
      </w:pPr>
      <w:r w:rsidRPr="00BD7577">
        <w:rPr>
          <w:rFonts w:ascii="Sylfaen" w:hAnsi="Sylfaen"/>
          <w:sz w:val="24"/>
          <w:szCs w:val="24"/>
        </w:rPr>
        <w:t xml:space="preserve">նախակլինիկական (ոչ կլինիկական) հետազոտությունների արդյունքների գնահատման վերաբերյալ </w:t>
      </w:r>
    </w:p>
    <w:p w14:paraId="763FB071" w14:textId="77777777" w:rsidR="008C76E0" w:rsidRPr="00BD7577" w:rsidRDefault="008C76E0" w:rsidP="00486B34">
      <w:pPr>
        <w:spacing w:after="160" w:line="360" w:lineRule="auto"/>
        <w:ind w:left="374" w:right="244"/>
        <w:jc w:val="center"/>
        <w:rPr>
          <w:rFonts w:ascii="Sylfaen" w:hAnsi="Sylfaen"/>
          <w:sz w:val="24"/>
          <w:szCs w:val="24"/>
          <w:lang w:val="en-US"/>
        </w:rPr>
      </w:pPr>
      <w:r w:rsidRPr="00BD7577">
        <w:rPr>
          <w:rFonts w:ascii="Sylfaen" w:hAnsi="Sylfaen"/>
          <w:sz w:val="24"/>
          <w:szCs w:val="24"/>
          <w:lang w:val="en-US"/>
        </w:rPr>
        <w:t>__________________________________________________________________</w:t>
      </w:r>
    </w:p>
    <w:p w14:paraId="0460DEE2" w14:textId="77777777" w:rsidR="008C76E0" w:rsidRDefault="008C76E0" w:rsidP="008C76E0">
      <w:pPr>
        <w:spacing w:after="0" w:line="240" w:lineRule="auto"/>
        <w:ind w:right="-23"/>
        <w:jc w:val="center"/>
        <w:rPr>
          <w:rFonts w:ascii="Sylfaen" w:hAnsi="Sylfaen"/>
          <w:sz w:val="24"/>
          <w:szCs w:val="24"/>
          <w:lang w:val="en-US"/>
        </w:rPr>
      </w:pPr>
      <w:r w:rsidRPr="00BD7577">
        <w:rPr>
          <w:rFonts w:ascii="Sylfaen" w:hAnsi="Sylfaen"/>
          <w:sz w:val="24"/>
          <w:szCs w:val="24"/>
        </w:rPr>
        <w:t>(</w:t>
      </w:r>
      <w:r w:rsidRPr="00E06907">
        <w:rPr>
          <w:rFonts w:ascii="Sylfaen" w:hAnsi="Sylfaen"/>
          <w:sz w:val="20"/>
          <w:szCs w:val="20"/>
        </w:rPr>
        <w:t>դեղապատրաստուկի անվանումը, դեղաձ</w:t>
      </w:r>
      <w:r w:rsidR="00C54D75">
        <w:rPr>
          <w:rFonts w:ascii="Sylfaen" w:hAnsi="Sylfaen"/>
          <w:sz w:val="20"/>
          <w:szCs w:val="20"/>
        </w:rPr>
        <w:t>և</w:t>
      </w:r>
      <w:r w:rsidRPr="00E06907">
        <w:rPr>
          <w:rFonts w:ascii="Sylfaen" w:hAnsi="Sylfaen"/>
          <w:sz w:val="20"/>
          <w:szCs w:val="20"/>
        </w:rPr>
        <w:t>ը, դոզաները</w:t>
      </w:r>
      <w:r w:rsidRPr="00BD7577">
        <w:rPr>
          <w:rFonts w:ascii="Sylfaen" w:hAnsi="Sylfaen"/>
          <w:sz w:val="24"/>
          <w:szCs w:val="24"/>
        </w:rPr>
        <w:t>)</w:t>
      </w:r>
    </w:p>
    <w:p w14:paraId="13533316" w14:textId="77777777" w:rsidR="008C76E0" w:rsidRPr="00E06907" w:rsidRDefault="008C76E0" w:rsidP="008C76E0">
      <w:pPr>
        <w:spacing w:after="0" w:line="240" w:lineRule="auto"/>
        <w:ind w:right="-23"/>
        <w:jc w:val="center"/>
        <w:rPr>
          <w:rFonts w:ascii="Sylfaen" w:hAnsi="Sylfaen"/>
          <w:sz w:val="24"/>
          <w:szCs w:val="24"/>
          <w:lang w:val="en-US"/>
        </w:rPr>
      </w:pPr>
    </w:p>
    <w:tbl>
      <w:tblPr>
        <w:tblW w:w="0" w:type="auto"/>
        <w:jc w:val="center"/>
        <w:tblLayout w:type="fixed"/>
        <w:tblCellMar>
          <w:left w:w="0" w:type="dxa"/>
          <w:right w:w="0" w:type="dxa"/>
        </w:tblCellMar>
        <w:tblLook w:val="01E0" w:firstRow="1" w:lastRow="1" w:firstColumn="1" w:lastColumn="1" w:noHBand="0" w:noVBand="0"/>
      </w:tblPr>
      <w:tblGrid>
        <w:gridCol w:w="4786"/>
        <w:gridCol w:w="4678"/>
      </w:tblGrid>
      <w:tr w:rsidR="008C76E0" w:rsidRPr="00BD7577" w14:paraId="33522567"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79DB8232"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Փորձագետ՝</w:t>
            </w:r>
          </w:p>
        </w:tc>
        <w:tc>
          <w:tcPr>
            <w:tcW w:w="4678" w:type="dxa"/>
            <w:tcBorders>
              <w:top w:val="single" w:sz="4" w:space="0" w:color="000000"/>
              <w:left w:val="single" w:sz="4" w:space="0" w:color="000000"/>
              <w:bottom w:val="single" w:sz="4" w:space="0" w:color="000000"/>
              <w:right w:val="single" w:sz="4" w:space="0" w:color="000000"/>
            </w:tcBorders>
          </w:tcPr>
          <w:p w14:paraId="751EA2A2" w14:textId="77777777" w:rsidR="008C76E0" w:rsidRPr="00BD7577" w:rsidRDefault="008C76E0" w:rsidP="008C76E0">
            <w:pPr>
              <w:spacing w:after="120" w:line="240" w:lineRule="auto"/>
              <w:rPr>
                <w:rFonts w:ascii="Sylfaen" w:hAnsi="Sylfaen"/>
                <w:sz w:val="24"/>
                <w:szCs w:val="24"/>
              </w:rPr>
            </w:pPr>
          </w:p>
        </w:tc>
      </w:tr>
      <w:tr w:rsidR="008C76E0" w:rsidRPr="00BD7577" w14:paraId="14B56687"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7171A05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Ընթացակարգի սկիզբը՝</w:t>
            </w:r>
          </w:p>
        </w:tc>
        <w:tc>
          <w:tcPr>
            <w:tcW w:w="4678" w:type="dxa"/>
            <w:tcBorders>
              <w:top w:val="single" w:sz="4" w:space="0" w:color="000000"/>
              <w:left w:val="single" w:sz="4" w:space="0" w:color="000000"/>
              <w:bottom w:val="single" w:sz="4" w:space="0" w:color="000000"/>
              <w:right w:val="single" w:sz="4" w:space="0" w:color="000000"/>
            </w:tcBorders>
          </w:tcPr>
          <w:p w14:paraId="2F20B466" w14:textId="77777777" w:rsidR="008C76E0" w:rsidRPr="00BD7577" w:rsidRDefault="008C76E0" w:rsidP="008C76E0">
            <w:pPr>
              <w:spacing w:after="120" w:line="240" w:lineRule="auto"/>
              <w:rPr>
                <w:rFonts w:ascii="Sylfaen" w:hAnsi="Sylfaen"/>
                <w:sz w:val="24"/>
                <w:szCs w:val="24"/>
              </w:rPr>
            </w:pPr>
          </w:p>
        </w:tc>
      </w:tr>
      <w:tr w:rsidR="008C76E0" w:rsidRPr="00BD7577" w14:paraId="69136E7A"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0E2B08B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Սույն հաշվետվության ամսաթիվը՝</w:t>
            </w:r>
          </w:p>
        </w:tc>
        <w:tc>
          <w:tcPr>
            <w:tcW w:w="4678" w:type="dxa"/>
            <w:tcBorders>
              <w:top w:val="single" w:sz="4" w:space="0" w:color="000000"/>
              <w:left w:val="single" w:sz="4" w:space="0" w:color="000000"/>
              <w:bottom w:val="single" w:sz="4" w:space="0" w:color="000000"/>
              <w:right w:val="single" w:sz="4" w:space="0" w:color="000000"/>
            </w:tcBorders>
          </w:tcPr>
          <w:p w14:paraId="23FAD6E9" w14:textId="77777777" w:rsidR="008C76E0" w:rsidRPr="00BD7577" w:rsidRDefault="008C76E0" w:rsidP="008C76E0">
            <w:pPr>
              <w:spacing w:after="120" w:line="240" w:lineRule="auto"/>
              <w:rPr>
                <w:rFonts w:ascii="Sylfaen" w:hAnsi="Sylfaen"/>
                <w:sz w:val="24"/>
                <w:szCs w:val="24"/>
              </w:rPr>
            </w:pPr>
          </w:p>
        </w:tc>
      </w:tr>
      <w:tr w:rsidR="008C76E0" w:rsidRPr="00BD7577" w14:paraId="0D1C01E3"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29822340" w14:textId="77777777" w:rsidR="008C76E0" w:rsidRPr="00BD7577" w:rsidRDefault="008C76E0" w:rsidP="008C76E0">
            <w:pPr>
              <w:spacing w:after="120" w:line="240" w:lineRule="auto"/>
              <w:ind w:left="102" w:right="53"/>
              <w:rPr>
                <w:rFonts w:ascii="Sylfaen" w:eastAsia="Times New Roman" w:hAnsi="Sylfaen" w:cs="Times New Roman"/>
                <w:sz w:val="24"/>
                <w:szCs w:val="24"/>
              </w:rPr>
            </w:pPr>
            <w:r w:rsidRPr="00BD7577">
              <w:rPr>
                <w:rFonts w:ascii="Sylfaen" w:hAnsi="Sylfaen"/>
                <w:sz w:val="24"/>
                <w:szCs w:val="24"/>
              </w:rPr>
              <w:t>Մեկնաբանությունների համար վերջնաժամկետը՝</w:t>
            </w:r>
          </w:p>
        </w:tc>
        <w:tc>
          <w:tcPr>
            <w:tcW w:w="4678" w:type="dxa"/>
            <w:tcBorders>
              <w:top w:val="single" w:sz="4" w:space="0" w:color="000000"/>
              <w:left w:val="single" w:sz="4" w:space="0" w:color="000000"/>
              <w:bottom w:val="single" w:sz="4" w:space="0" w:color="000000"/>
              <w:right w:val="single" w:sz="4" w:space="0" w:color="000000"/>
            </w:tcBorders>
          </w:tcPr>
          <w:p w14:paraId="008F1B6E" w14:textId="77777777" w:rsidR="008C76E0" w:rsidRPr="00BD7577" w:rsidRDefault="008C76E0" w:rsidP="008C76E0">
            <w:pPr>
              <w:spacing w:after="120" w:line="240" w:lineRule="auto"/>
              <w:rPr>
                <w:rFonts w:ascii="Sylfaen" w:hAnsi="Sylfaen"/>
                <w:sz w:val="24"/>
                <w:szCs w:val="24"/>
              </w:rPr>
            </w:pPr>
          </w:p>
        </w:tc>
      </w:tr>
    </w:tbl>
    <w:p w14:paraId="06811A6A" w14:textId="77777777" w:rsidR="008C76E0" w:rsidRPr="00BD7577" w:rsidRDefault="008C76E0" w:rsidP="008C76E0">
      <w:pPr>
        <w:rPr>
          <w:rFonts w:ascii="Sylfaen" w:hAnsi="Sylfaen"/>
          <w:sz w:val="24"/>
          <w:szCs w:val="24"/>
        </w:rPr>
      </w:pPr>
      <w:r w:rsidRPr="00BD7577">
        <w:rPr>
          <w:rFonts w:ascii="Sylfaen" w:hAnsi="Sylfaen"/>
          <w:sz w:val="24"/>
          <w:szCs w:val="24"/>
        </w:rPr>
        <w:br w:type="page"/>
      </w:r>
    </w:p>
    <w:p w14:paraId="21DF1549" w14:textId="77777777" w:rsidR="008C76E0" w:rsidRPr="00BD7577" w:rsidRDefault="008C76E0" w:rsidP="00486B34">
      <w:pPr>
        <w:spacing w:after="160" w:line="360" w:lineRule="auto"/>
        <w:jc w:val="both"/>
        <w:rPr>
          <w:rFonts w:ascii="Sylfaen" w:hAnsi="Sylfaen"/>
          <w:sz w:val="24"/>
          <w:szCs w:val="24"/>
        </w:rPr>
      </w:pPr>
      <w:r w:rsidRPr="00BD7577">
        <w:rPr>
          <w:rFonts w:ascii="Sylfaen" w:hAnsi="Sylfaen"/>
          <w:sz w:val="24"/>
          <w:szCs w:val="24"/>
        </w:rPr>
        <w:lastRenderedPageBreak/>
        <w:t>ՎԱՐՉԱԿԱՆ ՏԵՂԵԿԱՏՎՈՒԹՅՈՒՆ</w:t>
      </w:r>
    </w:p>
    <w:tbl>
      <w:tblPr>
        <w:tblW w:w="9746" w:type="dxa"/>
        <w:jc w:val="center"/>
        <w:tblLayout w:type="fixed"/>
        <w:tblCellMar>
          <w:left w:w="0" w:type="dxa"/>
          <w:right w:w="0" w:type="dxa"/>
        </w:tblCellMar>
        <w:tblLook w:val="01E0" w:firstRow="1" w:lastRow="1" w:firstColumn="1" w:lastColumn="1" w:noHBand="0" w:noVBand="0"/>
      </w:tblPr>
      <w:tblGrid>
        <w:gridCol w:w="5434"/>
        <w:gridCol w:w="4312"/>
      </w:tblGrid>
      <w:tr w:rsidR="008C76E0" w:rsidRPr="00BD7577" w14:paraId="2BE2DF84" w14:textId="77777777" w:rsidTr="008C76E0">
        <w:trPr>
          <w:jc w:val="center"/>
        </w:trPr>
        <w:tc>
          <w:tcPr>
            <w:tcW w:w="5434" w:type="dxa"/>
            <w:tcBorders>
              <w:top w:val="single" w:sz="4" w:space="0" w:color="000000"/>
              <w:left w:val="single" w:sz="4" w:space="0" w:color="000000"/>
              <w:bottom w:val="single" w:sz="6" w:space="0" w:color="000000"/>
              <w:right w:val="single" w:sz="6" w:space="0" w:color="000000"/>
            </w:tcBorders>
          </w:tcPr>
          <w:p w14:paraId="06405944" w14:textId="59CB8A89" w:rsidR="008C76E0" w:rsidRPr="00BD7577" w:rsidRDefault="008C76E0" w:rsidP="008C76E0">
            <w:pPr>
              <w:spacing w:after="120" w:line="240" w:lineRule="auto"/>
              <w:ind w:left="102" w:right="28"/>
              <w:jc w:val="both"/>
              <w:rPr>
                <w:rFonts w:ascii="Sylfaen" w:eastAsia="Times New Roman" w:hAnsi="Sylfaen" w:cs="Times New Roman"/>
                <w:sz w:val="24"/>
                <w:szCs w:val="24"/>
              </w:rPr>
            </w:pPr>
            <w:r w:rsidRPr="00BD7577">
              <w:rPr>
                <w:rFonts w:ascii="Sylfaen" w:hAnsi="Sylfaen"/>
                <w:sz w:val="24"/>
                <w:szCs w:val="24"/>
              </w:rPr>
              <w:t xml:space="preserve">Գրանցման համար </w:t>
            </w:r>
            <w:r w:rsidR="0056496B">
              <w:rPr>
                <w:rFonts w:ascii="Sylfaen" w:hAnsi="Sylfaen"/>
                <w:sz w:val="24"/>
                <w:szCs w:val="24"/>
              </w:rPr>
              <w:t>դիմում</w:t>
            </w:r>
            <w:r w:rsidRPr="00BD7577">
              <w:rPr>
                <w:rFonts w:ascii="Sylfaen" w:hAnsi="Sylfaen"/>
                <w:sz w:val="24"/>
                <w:szCs w:val="24"/>
              </w:rPr>
              <w:t>ի նույնականացման համարը՝</w:t>
            </w:r>
          </w:p>
        </w:tc>
        <w:tc>
          <w:tcPr>
            <w:tcW w:w="4312" w:type="dxa"/>
            <w:tcBorders>
              <w:top w:val="single" w:sz="4" w:space="0" w:color="000000"/>
              <w:left w:val="single" w:sz="6" w:space="0" w:color="000000"/>
              <w:bottom w:val="single" w:sz="6" w:space="0" w:color="000000"/>
              <w:right w:val="single" w:sz="4" w:space="0" w:color="000000"/>
            </w:tcBorders>
          </w:tcPr>
          <w:p w14:paraId="6DAD4953" w14:textId="77777777" w:rsidR="008C76E0" w:rsidRPr="00BD7577" w:rsidRDefault="008C76E0" w:rsidP="008C76E0">
            <w:pPr>
              <w:spacing w:after="120" w:line="240" w:lineRule="auto"/>
              <w:rPr>
                <w:rFonts w:ascii="Sylfaen" w:hAnsi="Sylfaen"/>
                <w:sz w:val="24"/>
                <w:szCs w:val="24"/>
              </w:rPr>
            </w:pPr>
          </w:p>
        </w:tc>
      </w:tr>
      <w:tr w:rsidR="008C76E0" w:rsidRPr="00BD7577" w14:paraId="350A0038"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39A58B78" w14:textId="77777777" w:rsidR="008C76E0" w:rsidRPr="00BD7577" w:rsidRDefault="008C76E0" w:rsidP="008C76E0">
            <w:pPr>
              <w:spacing w:after="120" w:line="240" w:lineRule="auto"/>
              <w:ind w:left="102" w:right="27"/>
              <w:jc w:val="both"/>
              <w:rPr>
                <w:rFonts w:ascii="Sylfaen" w:eastAsia="Times New Roman" w:hAnsi="Sylfaen" w:cs="Times New Roman"/>
                <w:sz w:val="24"/>
                <w:szCs w:val="24"/>
              </w:rPr>
            </w:pPr>
            <w:r w:rsidRPr="00BD7577">
              <w:rPr>
                <w:rFonts w:ascii="Sylfaen" w:hAnsi="Sylfaen"/>
                <w:sz w:val="24"/>
                <w:szCs w:val="24"/>
              </w:rPr>
              <w:t>Դեղամիջոցի առ</w:t>
            </w:r>
            <w:r w:rsidR="00C54D75">
              <w:rPr>
                <w:rFonts w:ascii="Sylfaen" w:hAnsi="Sylfaen"/>
                <w:sz w:val="24"/>
                <w:szCs w:val="24"/>
              </w:rPr>
              <w:t>և</w:t>
            </w:r>
            <w:r w:rsidRPr="00BD7577">
              <w:rPr>
                <w:rFonts w:ascii="Sylfaen" w:hAnsi="Sylfaen"/>
                <w:sz w:val="24"/>
                <w:szCs w:val="24"/>
              </w:rPr>
              <w:t>տրային անվանումը՝</w:t>
            </w:r>
          </w:p>
        </w:tc>
        <w:tc>
          <w:tcPr>
            <w:tcW w:w="4312" w:type="dxa"/>
            <w:tcBorders>
              <w:top w:val="single" w:sz="6" w:space="0" w:color="000000"/>
              <w:left w:val="single" w:sz="6" w:space="0" w:color="000000"/>
              <w:bottom w:val="single" w:sz="6" w:space="0" w:color="000000"/>
              <w:right w:val="single" w:sz="4" w:space="0" w:color="000000"/>
            </w:tcBorders>
          </w:tcPr>
          <w:p w14:paraId="1EE43D22" w14:textId="77777777" w:rsidR="008C76E0" w:rsidRPr="00BD7577" w:rsidRDefault="008C76E0" w:rsidP="008C76E0">
            <w:pPr>
              <w:spacing w:after="120" w:line="240" w:lineRule="auto"/>
              <w:rPr>
                <w:rFonts w:ascii="Sylfaen" w:hAnsi="Sylfaen"/>
                <w:sz w:val="24"/>
                <w:szCs w:val="24"/>
              </w:rPr>
            </w:pPr>
          </w:p>
        </w:tc>
      </w:tr>
      <w:tr w:rsidR="008C76E0" w:rsidRPr="00BD7577" w14:paraId="56B0428F"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5BB72707" w14:textId="77777777" w:rsidR="008C76E0" w:rsidRPr="00BD7577" w:rsidRDefault="008C76E0" w:rsidP="008C76E0">
            <w:pPr>
              <w:spacing w:after="120" w:line="240" w:lineRule="auto"/>
              <w:ind w:left="102" w:right="24"/>
              <w:jc w:val="both"/>
              <w:rPr>
                <w:rFonts w:ascii="Sylfaen" w:eastAsia="Times New Roman" w:hAnsi="Sylfaen" w:cs="Times New Roman"/>
                <w:sz w:val="24"/>
                <w:szCs w:val="24"/>
              </w:rPr>
            </w:pPr>
            <w:r w:rsidRPr="00BD7577">
              <w:rPr>
                <w:rFonts w:ascii="Sylfaen" w:hAnsi="Sylfaen"/>
                <w:sz w:val="24"/>
                <w:szCs w:val="24"/>
              </w:rPr>
              <w:t>Միջազգային չարտոնագրված անվանումը (ՄՉԱ) կամ ազդող նյութի (նյութերի) համընդհանուր անվանումը՝</w:t>
            </w:r>
          </w:p>
        </w:tc>
        <w:tc>
          <w:tcPr>
            <w:tcW w:w="4312" w:type="dxa"/>
            <w:tcBorders>
              <w:top w:val="single" w:sz="6" w:space="0" w:color="000000"/>
              <w:left w:val="single" w:sz="6" w:space="0" w:color="000000"/>
              <w:bottom w:val="single" w:sz="6" w:space="0" w:color="000000"/>
              <w:right w:val="single" w:sz="4" w:space="0" w:color="000000"/>
            </w:tcBorders>
          </w:tcPr>
          <w:p w14:paraId="1C612AB6" w14:textId="77777777" w:rsidR="008C76E0" w:rsidRPr="00BD7577" w:rsidRDefault="008C76E0" w:rsidP="008C76E0">
            <w:pPr>
              <w:spacing w:after="120" w:line="240" w:lineRule="auto"/>
              <w:rPr>
                <w:rFonts w:ascii="Sylfaen" w:hAnsi="Sylfaen"/>
                <w:sz w:val="24"/>
                <w:szCs w:val="24"/>
              </w:rPr>
            </w:pPr>
          </w:p>
        </w:tc>
      </w:tr>
      <w:tr w:rsidR="008C76E0" w:rsidRPr="00BD7577" w14:paraId="272E486E"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42F65BDD" w14:textId="27297016" w:rsidR="008C76E0" w:rsidRPr="00BD7577" w:rsidRDefault="0056496B" w:rsidP="008C76E0">
            <w:pPr>
              <w:spacing w:after="120" w:line="240" w:lineRule="auto"/>
              <w:ind w:left="102" w:right="-20"/>
              <w:jc w:val="both"/>
              <w:rPr>
                <w:rFonts w:ascii="Sylfaen" w:eastAsia="Times New Roman" w:hAnsi="Sylfaen" w:cs="Times New Roman"/>
                <w:sz w:val="24"/>
                <w:szCs w:val="24"/>
              </w:rPr>
            </w:pPr>
            <w:r>
              <w:rPr>
                <w:rFonts w:ascii="Sylfaen" w:hAnsi="Sylfaen"/>
                <w:sz w:val="24"/>
                <w:szCs w:val="24"/>
              </w:rPr>
              <w:t>Դիմումատու</w:t>
            </w:r>
            <w:r w:rsidR="008C76E0" w:rsidRPr="00BD7577">
              <w:rPr>
                <w:rFonts w:ascii="Sylfaen" w:hAnsi="Sylfaen"/>
                <w:sz w:val="24"/>
                <w:szCs w:val="24"/>
              </w:rPr>
              <w:t>ն՝</w:t>
            </w:r>
          </w:p>
        </w:tc>
        <w:tc>
          <w:tcPr>
            <w:tcW w:w="4312" w:type="dxa"/>
            <w:tcBorders>
              <w:top w:val="single" w:sz="6" w:space="0" w:color="000000"/>
              <w:left w:val="single" w:sz="6" w:space="0" w:color="000000"/>
              <w:bottom w:val="single" w:sz="6" w:space="0" w:color="000000"/>
              <w:right w:val="single" w:sz="4" w:space="0" w:color="000000"/>
            </w:tcBorders>
          </w:tcPr>
          <w:p w14:paraId="002F070E" w14:textId="77777777" w:rsidR="008C76E0" w:rsidRPr="00BD7577" w:rsidRDefault="008C76E0" w:rsidP="008C76E0">
            <w:pPr>
              <w:spacing w:after="120" w:line="240" w:lineRule="auto"/>
              <w:rPr>
                <w:rFonts w:ascii="Sylfaen" w:hAnsi="Sylfaen"/>
                <w:sz w:val="24"/>
                <w:szCs w:val="24"/>
              </w:rPr>
            </w:pPr>
          </w:p>
        </w:tc>
      </w:tr>
      <w:tr w:rsidR="008C76E0" w:rsidRPr="00BD7577" w14:paraId="221E0FA0"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359D5B1C" w14:textId="2CD599D1"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 xml:space="preserve">Կիրառման </w:t>
            </w:r>
            <w:r w:rsidR="001A5F1A">
              <w:rPr>
                <w:rFonts w:ascii="Sylfaen" w:hAnsi="Sylfaen"/>
                <w:sz w:val="24"/>
                <w:szCs w:val="24"/>
              </w:rPr>
              <w:t>հայտագրված</w:t>
            </w:r>
            <w:r w:rsidRPr="00BD7577">
              <w:rPr>
                <w:rFonts w:ascii="Sylfaen" w:hAnsi="Sylfaen"/>
                <w:sz w:val="24"/>
                <w:szCs w:val="24"/>
              </w:rPr>
              <w:t xml:space="preserve"> ցուցումները՝</w:t>
            </w:r>
          </w:p>
        </w:tc>
        <w:tc>
          <w:tcPr>
            <w:tcW w:w="4312" w:type="dxa"/>
            <w:tcBorders>
              <w:top w:val="single" w:sz="6" w:space="0" w:color="000000"/>
              <w:left w:val="single" w:sz="6" w:space="0" w:color="000000"/>
              <w:bottom w:val="single" w:sz="6" w:space="0" w:color="000000"/>
              <w:right w:val="single" w:sz="4" w:space="0" w:color="000000"/>
            </w:tcBorders>
          </w:tcPr>
          <w:p w14:paraId="70BD1D68" w14:textId="77777777" w:rsidR="008C76E0" w:rsidRPr="00BD7577" w:rsidRDefault="008C76E0" w:rsidP="008C76E0">
            <w:pPr>
              <w:spacing w:after="120" w:line="240" w:lineRule="auto"/>
              <w:rPr>
                <w:rFonts w:ascii="Sylfaen" w:hAnsi="Sylfaen"/>
                <w:sz w:val="24"/>
                <w:szCs w:val="24"/>
              </w:rPr>
            </w:pPr>
          </w:p>
        </w:tc>
      </w:tr>
      <w:tr w:rsidR="008C76E0" w:rsidRPr="00BD7577" w14:paraId="1B1D50E3"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764A35E1" w14:textId="77777777"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Դեղաթերապ</w:t>
            </w:r>
            <w:r w:rsidR="00C54D75">
              <w:rPr>
                <w:rFonts w:ascii="Sylfaen" w:hAnsi="Sylfaen"/>
                <w:sz w:val="24"/>
                <w:szCs w:val="24"/>
              </w:rPr>
              <w:t>և</w:t>
            </w:r>
            <w:r w:rsidRPr="00BD7577">
              <w:rPr>
                <w:rFonts w:ascii="Sylfaen" w:hAnsi="Sylfaen"/>
                <w:sz w:val="24"/>
                <w:szCs w:val="24"/>
              </w:rPr>
              <w:t>տիկ խումբը (ԱԲՔ ծածկագիր)՝</w:t>
            </w:r>
          </w:p>
        </w:tc>
        <w:tc>
          <w:tcPr>
            <w:tcW w:w="4312" w:type="dxa"/>
            <w:tcBorders>
              <w:top w:val="single" w:sz="6" w:space="0" w:color="000000"/>
              <w:left w:val="single" w:sz="6" w:space="0" w:color="000000"/>
              <w:bottom w:val="single" w:sz="6" w:space="0" w:color="000000"/>
              <w:right w:val="single" w:sz="4" w:space="0" w:color="000000"/>
            </w:tcBorders>
          </w:tcPr>
          <w:p w14:paraId="1801E0E4" w14:textId="77777777" w:rsidR="008C76E0" w:rsidRPr="00BD7577" w:rsidRDefault="008C76E0" w:rsidP="008C76E0">
            <w:pPr>
              <w:spacing w:after="120" w:line="240" w:lineRule="auto"/>
              <w:rPr>
                <w:rFonts w:ascii="Sylfaen" w:hAnsi="Sylfaen"/>
                <w:sz w:val="24"/>
                <w:szCs w:val="24"/>
              </w:rPr>
            </w:pPr>
          </w:p>
        </w:tc>
      </w:tr>
      <w:tr w:rsidR="008C76E0" w:rsidRPr="00BD7577" w14:paraId="6AA41568"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4EB4E7EF" w14:textId="77777777"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Դեղաձ</w:t>
            </w:r>
            <w:r w:rsidR="00C54D75">
              <w:rPr>
                <w:rFonts w:ascii="Sylfaen" w:hAnsi="Sylfaen"/>
                <w:sz w:val="24"/>
                <w:szCs w:val="24"/>
              </w:rPr>
              <w:t>և</w:t>
            </w:r>
            <w:r w:rsidRPr="00BD7577">
              <w:rPr>
                <w:rFonts w:ascii="Sylfaen" w:hAnsi="Sylfaen"/>
                <w:sz w:val="24"/>
                <w:szCs w:val="24"/>
              </w:rPr>
              <w:t xml:space="preserve">ը </w:t>
            </w:r>
            <w:r w:rsidR="00C54D75">
              <w:rPr>
                <w:rFonts w:ascii="Sylfaen" w:hAnsi="Sylfaen"/>
                <w:sz w:val="24"/>
                <w:szCs w:val="24"/>
              </w:rPr>
              <w:t>և</w:t>
            </w:r>
            <w:r w:rsidRPr="00BD7577">
              <w:rPr>
                <w:rFonts w:ascii="Sylfaen" w:hAnsi="Sylfaen"/>
                <w:sz w:val="24"/>
                <w:szCs w:val="24"/>
              </w:rPr>
              <w:t xml:space="preserve"> դոզան (դոզաները)՝</w:t>
            </w:r>
          </w:p>
        </w:tc>
        <w:tc>
          <w:tcPr>
            <w:tcW w:w="4312" w:type="dxa"/>
            <w:tcBorders>
              <w:top w:val="single" w:sz="6" w:space="0" w:color="000000"/>
              <w:left w:val="single" w:sz="6" w:space="0" w:color="000000"/>
              <w:bottom w:val="single" w:sz="6" w:space="0" w:color="000000"/>
              <w:right w:val="single" w:sz="4" w:space="0" w:color="000000"/>
            </w:tcBorders>
          </w:tcPr>
          <w:p w14:paraId="0D32A301" w14:textId="77777777" w:rsidR="008C76E0" w:rsidRPr="00BD7577" w:rsidRDefault="008C76E0" w:rsidP="008C76E0">
            <w:pPr>
              <w:spacing w:after="120" w:line="240" w:lineRule="auto"/>
              <w:rPr>
                <w:rFonts w:ascii="Sylfaen" w:hAnsi="Sylfaen"/>
                <w:sz w:val="24"/>
                <w:szCs w:val="24"/>
              </w:rPr>
            </w:pPr>
          </w:p>
        </w:tc>
      </w:tr>
      <w:tr w:rsidR="008C76E0" w:rsidRPr="00BD7577" w14:paraId="4CAF061E" w14:textId="77777777" w:rsidTr="008C76E0">
        <w:trPr>
          <w:jc w:val="center"/>
        </w:trPr>
        <w:tc>
          <w:tcPr>
            <w:tcW w:w="5434" w:type="dxa"/>
            <w:tcBorders>
              <w:top w:val="single" w:sz="6" w:space="0" w:color="000000"/>
              <w:left w:val="single" w:sz="4" w:space="0" w:color="000000"/>
              <w:bottom w:val="single" w:sz="4" w:space="0" w:color="000000"/>
              <w:right w:val="single" w:sz="6" w:space="0" w:color="000000"/>
            </w:tcBorders>
          </w:tcPr>
          <w:p w14:paraId="33D631E4" w14:textId="77777777" w:rsidR="008C76E0" w:rsidRPr="00BD7577" w:rsidRDefault="008C76E0" w:rsidP="008C76E0">
            <w:pPr>
              <w:spacing w:after="120" w:line="240" w:lineRule="auto"/>
              <w:ind w:left="102" w:right="28"/>
              <w:jc w:val="both"/>
              <w:rPr>
                <w:rFonts w:ascii="Sylfaen" w:eastAsia="Times New Roman" w:hAnsi="Sylfaen" w:cs="Times New Roman"/>
                <w:sz w:val="24"/>
                <w:szCs w:val="24"/>
              </w:rPr>
            </w:pPr>
            <w:r w:rsidRPr="00BD7577">
              <w:rPr>
                <w:rFonts w:ascii="Sylfaen" w:hAnsi="Sylfaen"/>
                <w:sz w:val="24"/>
                <w:szCs w:val="24"/>
              </w:rPr>
              <w:t xml:space="preserve">Զեկուցողի փորձագետների անունները (ներքին փորձագետ </w:t>
            </w:r>
            <w:r w:rsidR="00C54D75">
              <w:rPr>
                <w:rFonts w:ascii="Sylfaen" w:hAnsi="Sylfaen"/>
                <w:sz w:val="24"/>
                <w:szCs w:val="24"/>
              </w:rPr>
              <w:t>և</w:t>
            </w:r>
            <w:r w:rsidRPr="00BD7577">
              <w:rPr>
                <w:rFonts w:ascii="Sylfaen" w:hAnsi="Sylfaen"/>
                <w:sz w:val="24"/>
                <w:szCs w:val="24"/>
              </w:rPr>
              <w:t xml:space="preserve"> անկախ փորձագետ)՝</w:t>
            </w:r>
          </w:p>
        </w:tc>
        <w:tc>
          <w:tcPr>
            <w:tcW w:w="4312" w:type="dxa"/>
            <w:tcBorders>
              <w:top w:val="single" w:sz="6" w:space="0" w:color="000000"/>
              <w:left w:val="single" w:sz="6" w:space="0" w:color="000000"/>
              <w:bottom w:val="single" w:sz="4" w:space="0" w:color="000000"/>
              <w:right w:val="single" w:sz="4" w:space="0" w:color="000000"/>
            </w:tcBorders>
          </w:tcPr>
          <w:p w14:paraId="3B44BC0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Որակ՝</w:t>
            </w:r>
          </w:p>
          <w:p w14:paraId="56EDA42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Ա.Ա.Հ.՝</w:t>
            </w:r>
          </w:p>
          <w:p w14:paraId="75BFE0B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5D1D6157" w14:textId="77777777" w:rsidR="008C76E0" w:rsidRPr="00BD7577" w:rsidRDefault="008C76E0" w:rsidP="008C76E0">
            <w:pPr>
              <w:spacing w:after="120" w:line="240" w:lineRule="auto"/>
              <w:ind w:left="100" w:right="-20"/>
              <w:rPr>
                <w:rFonts w:ascii="Sylfaen" w:hAnsi="Sylfaen"/>
                <w:sz w:val="24"/>
                <w:szCs w:val="24"/>
              </w:rPr>
            </w:pPr>
            <w:r w:rsidRPr="00BD7577">
              <w:rPr>
                <w:rFonts w:ascii="Sylfaen" w:hAnsi="Sylfaen"/>
                <w:sz w:val="24"/>
                <w:szCs w:val="24"/>
              </w:rPr>
              <w:t>Էլեկտրոնային փոստի հասցե՝</w:t>
            </w:r>
          </w:p>
          <w:p w14:paraId="4B2C26BD" w14:textId="77777777" w:rsidR="008C76E0" w:rsidRPr="00BD7577" w:rsidRDefault="008C76E0" w:rsidP="008C76E0">
            <w:pPr>
              <w:spacing w:after="120" w:line="240" w:lineRule="auto"/>
              <w:rPr>
                <w:rFonts w:ascii="Sylfaen" w:hAnsi="Sylfaen"/>
                <w:sz w:val="24"/>
                <w:szCs w:val="24"/>
              </w:rPr>
            </w:pPr>
          </w:p>
          <w:p w14:paraId="77D6FC38" w14:textId="77777777" w:rsidR="008C76E0" w:rsidRPr="00BD7577" w:rsidRDefault="008C76E0" w:rsidP="008C76E0">
            <w:pPr>
              <w:spacing w:after="120" w:line="240" w:lineRule="auto"/>
              <w:ind w:left="100" w:right="1611"/>
              <w:rPr>
                <w:rFonts w:ascii="Sylfaen" w:eastAsia="Times New Roman" w:hAnsi="Sylfaen" w:cs="Times New Roman"/>
                <w:sz w:val="24"/>
                <w:szCs w:val="24"/>
              </w:rPr>
            </w:pPr>
            <w:r w:rsidRPr="00BD7577">
              <w:rPr>
                <w:rFonts w:ascii="Sylfaen" w:hAnsi="Sylfaen"/>
                <w:sz w:val="24"/>
                <w:szCs w:val="24"/>
              </w:rPr>
              <w:t>Նախակլինիկական՝ Ա.Ա.Հ.՝</w:t>
            </w:r>
          </w:p>
          <w:p w14:paraId="0D96EF3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72633EEE" w14:textId="77777777" w:rsidR="008C76E0" w:rsidRPr="00BD7577" w:rsidRDefault="008C76E0" w:rsidP="008C76E0">
            <w:pPr>
              <w:spacing w:after="120" w:line="240" w:lineRule="auto"/>
              <w:ind w:left="100" w:right="-20"/>
              <w:rPr>
                <w:rFonts w:ascii="Sylfaen" w:hAnsi="Sylfaen"/>
                <w:sz w:val="24"/>
                <w:szCs w:val="24"/>
              </w:rPr>
            </w:pPr>
            <w:r w:rsidRPr="00BD7577">
              <w:rPr>
                <w:rFonts w:ascii="Sylfaen" w:hAnsi="Sylfaen"/>
                <w:sz w:val="24"/>
                <w:szCs w:val="24"/>
              </w:rPr>
              <w:t>Էլեկտրոնային փոստի հասցե՝</w:t>
            </w:r>
          </w:p>
          <w:p w14:paraId="647234A2" w14:textId="77777777" w:rsidR="008C76E0" w:rsidRPr="00BD7577" w:rsidRDefault="008C76E0" w:rsidP="008C76E0">
            <w:pPr>
              <w:spacing w:after="120" w:line="240" w:lineRule="auto"/>
              <w:rPr>
                <w:rFonts w:ascii="Sylfaen" w:hAnsi="Sylfaen"/>
                <w:sz w:val="24"/>
                <w:szCs w:val="24"/>
              </w:rPr>
            </w:pPr>
          </w:p>
          <w:p w14:paraId="0C5A1494" w14:textId="77777777" w:rsidR="008C76E0" w:rsidRPr="00BD7577" w:rsidRDefault="008C76E0" w:rsidP="008C76E0">
            <w:pPr>
              <w:spacing w:after="120" w:line="240" w:lineRule="auto"/>
              <w:ind w:left="100" w:right="2412"/>
              <w:rPr>
                <w:rFonts w:ascii="Sylfaen" w:eastAsia="Times New Roman" w:hAnsi="Sylfaen" w:cs="Times New Roman"/>
                <w:sz w:val="24"/>
                <w:szCs w:val="24"/>
              </w:rPr>
            </w:pPr>
            <w:r w:rsidRPr="00BD7577">
              <w:rPr>
                <w:rFonts w:ascii="Sylfaen" w:hAnsi="Sylfaen"/>
                <w:sz w:val="24"/>
                <w:szCs w:val="24"/>
              </w:rPr>
              <w:t>Կլինիկական՝ Ա.Ա.Հ.՝</w:t>
            </w:r>
          </w:p>
          <w:p w14:paraId="76D4308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455799A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Էլեկտրոնային փոստի հասցե՝</w:t>
            </w:r>
          </w:p>
        </w:tc>
      </w:tr>
    </w:tbl>
    <w:p w14:paraId="718A944C" w14:textId="77777777" w:rsidR="008C76E0" w:rsidRDefault="008C76E0" w:rsidP="008C76E0">
      <w:pPr>
        <w:ind w:right="-20"/>
        <w:jc w:val="both"/>
        <w:rPr>
          <w:rFonts w:ascii="Sylfaen" w:hAnsi="Sylfaen"/>
          <w:sz w:val="24"/>
          <w:szCs w:val="24"/>
          <w:lang w:val="en-US"/>
        </w:rPr>
      </w:pPr>
    </w:p>
    <w:p w14:paraId="6C681AEC" w14:textId="77777777" w:rsidR="008C76E0" w:rsidRPr="00BD7577" w:rsidRDefault="008C76E0" w:rsidP="00486B34">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Հապավումների ցանկ։</w:t>
      </w:r>
    </w:p>
    <w:p w14:paraId="70DDBE8D"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05E419F1" w14:textId="77777777" w:rsidR="008C76E0" w:rsidRPr="00BD7577" w:rsidRDefault="008C76E0" w:rsidP="001C3278">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ՆԱԽԱԿԼԻՆԻԿԱԿԱՆ (ՈՉ ԿԼԻՆԻԿԱԿԱՆ) ԱՍՊԵԿՏՆԵՐԻ ՓՈՐՁԱՔՆՆՈՒԹՅՈՒՆԸ</w:t>
      </w:r>
    </w:p>
    <w:p w14:paraId="1AC3E9A0"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Ներածություն:</w:t>
      </w:r>
    </w:p>
    <w:p w14:paraId="68E66601" w14:textId="673A30ED"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 ասպեկտները:</w:t>
      </w:r>
    </w:p>
    <w:p w14:paraId="69E42E1F"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Պատշաճ լաբորատոր գործելակերպի ասպեկտները:</w:t>
      </w:r>
    </w:p>
    <w:p w14:paraId="71CA3B78"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 xml:space="preserve">Դեղաբանություն (2.6.2 </w:t>
      </w:r>
      <w:r w:rsidR="00C54D75">
        <w:rPr>
          <w:rFonts w:ascii="Sylfaen" w:hAnsi="Sylfaen"/>
          <w:sz w:val="24"/>
          <w:szCs w:val="24"/>
        </w:rPr>
        <w:t>և</w:t>
      </w:r>
      <w:r w:rsidRPr="00BD7577">
        <w:rPr>
          <w:rFonts w:ascii="Sylfaen" w:hAnsi="Sylfaen"/>
          <w:sz w:val="24"/>
          <w:szCs w:val="24"/>
        </w:rPr>
        <w:t xml:space="preserve"> 4.2.1 մոդուլներ): </w:t>
      </w:r>
    </w:p>
    <w:p w14:paraId="76584D1F"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Համառոտ նկարագրություն:</w:t>
      </w:r>
    </w:p>
    <w:tbl>
      <w:tblPr>
        <w:tblStyle w:val="TableGrid"/>
        <w:tblW w:w="9292" w:type="dxa"/>
        <w:jc w:val="center"/>
        <w:tblLook w:val="04A0" w:firstRow="1" w:lastRow="0" w:firstColumn="1" w:lastColumn="0" w:noHBand="0" w:noVBand="1"/>
      </w:tblPr>
      <w:tblGrid>
        <w:gridCol w:w="9292"/>
      </w:tblGrid>
      <w:tr w:rsidR="008C76E0" w:rsidRPr="00BD7577" w14:paraId="1D64164B" w14:textId="77777777" w:rsidTr="008C76E0">
        <w:trPr>
          <w:jc w:val="center"/>
        </w:trPr>
        <w:tc>
          <w:tcPr>
            <w:tcW w:w="9292" w:type="dxa"/>
          </w:tcPr>
          <w:p w14:paraId="34939912" w14:textId="77777777" w:rsidR="008C76E0" w:rsidRPr="00BD7577" w:rsidRDefault="008C76E0" w:rsidP="008C76E0">
            <w:pPr>
              <w:spacing w:after="160" w:line="360" w:lineRule="auto"/>
              <w:ind w:right="-23" w:firstLine="6"/>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23B7EB0D" w14:textId="77777777" w:rsidR="008C76E0" w:rsidRPr="00BD7577" w:rsidRDefault="008C76E0" w:rsidP="001C3278">
      <w:pPr>
        <w:spacing w:after="160" w:line="360" w:lineRule="auto"/>
        <w:ind w:firstLine="567"/>
        <w:jc w:val="both"/>
        <w:rPr>
          <w:rFonts w:ascii="Sylfaen" w:hAnsi="Sylfaen"/>
          <w:sz w:val="24"/>
          <w:szCs w:val="24"/>
          <w:lang w:val="en-US"/>
        </w:rPr>
      </w:pPr>
      <w:r w:rsidRPr="00BD7577">
        <w:rPr>
          <w:rFonts w:ascii="Sylfaen" w:hAnsi="Sylfaen"/>
          <w:sz w:val="24"/>
          <w:szCs w:val="24"/>
        </w:rPr>
        <w:t>Ֆիզիկաքիմիական հատկությունները։</w:t>
      </w:r>
    </w:p>
    <w:p w14:paraId="61C12737" w14:textId="77777777" w:rsidR="008C76E0" w:rsidRPr="00BD7577" w:rsidRDefault="008C76E0" w:rsidP="001C3278">
      <w:pPr>
        <w:spacing w:after="160" w:line="360" w:lineRule="auto"/>
        <w:ind w:right="-1" w:firstLine="567"/>
        <w:jc w:val="both"/>
        <w:rPr>
          <w:rFonts w:ascii="Sylfaen" w:hAnsi="Sylfaen"/>
          <w:sz w:val="24"/>
          <w:szCs w:val="24"/>
          <w:lang w:val="en-US"/>
        </w:rPr>
      </w:pPr>
      <w:r w:rsidRPr="00BD7577">
        <w:rPr>
          <w:rFonts w:ascii="Sylfaen" w:hAnsi="Sylfaen"/>
          <w:sz w:val="24"/>
          <w:szCs w:val="24"/>
        </w:rPr>
        <w:t>Ազդող նյութի կառուցվածքը</w:t>
      </w:r>
    </w:p>
    <w:p w14:paraId="4A0A4C7C"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(տեղադրել կառուցվածքը)</w:t>
      </w:r>
    </w:p>
    <w:p w14:paraId="08251348"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Ռադիոակտիվ նշման դիրքը</w:t>
      </w:r>
    </w:p>
    <w:p w14:paraId="116169A8"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(տե՛ս կառուցվածքը)</w:t>
      </w:r>
    </w:p>
    <w:p w14:paraId="611F03DB"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Իզոմերիա</w:t>
      </w:r>
    </w:p>
    <w:p w14:paraId="7DE3E0BD"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Հարաբերական մոլեկուլյար զանգվածը</w:t>
      </w:r>
    </w:p>
    <w:p w14:paraId="2A31C05A"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Լուծելիությունը ջրում</w:t>
      </w:r>
    </w:p>
    <w:p w14:paraId="51AD02C1"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Իոնիզացման հաստատունի ցուցանիշը (ցՀ)</w:t>
      </w:r>
    </w:p>
    <w:p w14:paraId="754F7995"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Տեղաբաշխման գործակիցը</w:t>
      </w:r>
    </w:p>
    <w:p w14:paraId="04F8304F"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Լուծելիությունն օրգանական լուծիչներում</w:t>
      </w:r>
    </w:p>
    <w:p w14:paraId="4061FED2"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Կայունությունը</w:t>
      </w:r>
    </w:p>
    <w:p w14:paraId="0A799A01"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Ենթադրյալ քիրալությունը </w:t>
      </w:r>
      <w:r w:rsidR="00C54D75">
        <w:rPr>
          <w:rFonts w:ascii="Sylfaen" w:hAnsi="Sylfaen"/>
          <w:sz w:val="24"/>
          <w:szCs w:val="24"/>
        </w:rPr>
        <w:t>և</w:t>
      </w:r>
      <w:r w:rsidRPr="00BD7577">
        <w:rPr>
          <w:rFonts w:ascii="Sylfaen" w:hAnsi="Sylfaen"/>
          <w:sz w:val="24"/>
          <w:szCs w:val="24"/>
        </w:rPr>
        <w:t xml:space="preserve"> դրա էֆեկտները </w:t>
      </w:r>
    </w:p>
    <w:p w14:paraId="7615D86D" w14:textId="77777777" w:rsidR="008C76E0" w:rsidRPr="00BD7577" w:rsidRDefault="008C76E0" w:rsidP="001C3278">
      <w:pPr>
        <w:spacing w:after="160" w:line="360" w:lineRule="auto"/>
        <w:rPr>
          <w:rFonts w:ascii="Sylfaen" w:hAnsi="Sylfaen"/>
          <w:sz w:val="24"/>
          <w:szCs w:val="24"/>
        </w:rPr>
      </w:pPr>
    </w:p>
    <w:tbl>
      <w:tblPr>
        <w:tblStyle w:val="TableGrid"/>
        <w:tblW w:w="0" w:type="auto"/>
        <w:jc w:val="center"/>
        <w:tblLook w:val="04A0" w:firstRow="1" w:lastRow="0" w:firstColumn="1" w:lastColumn="0" w:noHBand="0" w:noVBand="1"/>
      </w:tblPr>
      <w:tblGrid>
        <w:gridCol w:w="9061"/>
      </w:tblGrid>
      <w:tr w:rsidR="008C76E0" w:rsidRPr="00BD7577" w14:paraId="4B0DD177" w14:textId="77777777" w:rsidTr="008C76E0">
        <w:trPr>
          <w:jc w:val="center"/>
        </w:trPr>
        <w:tc>
          <w:tcPr>
            <w:tcW w:w="9674" w:type="dxa"/>
          </w:tcPr>
          <w:p w14:paraId="3F1CB30D"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lastRenderedPageBreak/>
              <w:t>Փորձագետի մեկնաբանությունը</w:t>
            </w:r>
          </w:p>
        </w:tc>
      </w:tr>
    </w:tbl>
    <w:p w14:paraId="6C29909A" w14:textId="77777777" w:rsidR="008C76E0" w:rsidRPr="00BD7577" w:rsidRDefault="008C76E0" w:rsidP="001C3278">
      <w:pPr>
        <w:tabs>
          <w:tab w:val="left" w:pos="1134"/>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2.1.</w:t>
      </w:r>
      <w:r w:rsidRPr="00BD7577">
        <w:rPr>
          <w:rFonts w:ascii="Sylfaen" w:hAnsi="Sylfaen"/>
          <w:sz w:val="24"/>
          <w:szCs w:val="24"/>
        </w:rPr>
        <w:tab/>
        <w:t>Առաջնային դեղադինամիկան:</w:t>
      </w:r>
    </w:p>
    <w:p w14:paraId="119D6400" w14:textId="77777777" w:rsidR="008C76E0" w:rsidRPr="00BD7577" w:rsidRDefault="008C76E0" w:rsidP="001C3278">
      <w:pPr>
        <w:spacing w:after="160" w:line="360" w:lineRule="auto"/>
        <w:ind w:left="102" w:right="-20"/>
        <w:rPr>
          <w:rFonts w:ascii="Sylfaen" w:eastAsia="Times New Roman" w:hAnsi="Sylfaen" w:cs="Times New Roman"/>
          <w:sz w:val="24"/>
          <w:szCs w:val="24"/>
        </w:rPr>
      </w:pPr>
    </w:p>
    <w:tbl>
      <w:tblPr>
        <w:tblStyle w:val="TableGrid"/>
        <w:tblW w:w="0" w:type="auto"/>
        <w:jc w:val="center"/>
        <w:tblLook w:val="04A0" w:firstRow="1" w:lastRow="0" w:firstColumn="1" w:lastColumn="0" w:noHBand="0" w:noVBand="1"/>
      </w:tblPr>
      <w:tblGrid>
        <w:gridCol w:w="9061"/>
      </w:tblGrid>
      <w:tr w:rsidR="008C76E0" w:rsidRPr="00BD7577" w14:paraId="772848CC" w14:textId="77777777" w:rsidTr="008C76E0">
        <w:trPr>
          <w:jc w:val="center"/>
        </w:trPr>
        <w:tc>
          <w:tcPr>
            <w:tcW w:w="9674" w:type="dxa"/>
          </w:tcPr>
          <w:p w14:paraId="5E1217CF"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5F7DA9D3" w14:textId="77777777" w:rsidR="008C76E0" w:rsidRPr="00BD7577" w:rsidRDefault="008C76E0" w:rsidP="001C3278">
      <w:pPr>
        <w:tabs>
          <w:tab w:val="left" w:pos="567"/>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2.2.</w:t>
      </w:r>
      <w:r w:rsidRPr="00BD7577">
        <w:rPr>
          <w:rFonts w:ascii="Sylfaen" w:hAnsi="Sylfaen"/>
          <w:sz w:val="24"/>
          <w:szCs w:val="24"/>
        </w:rPr>
        <w:tab/>
        <w:t xml:space="preserve">Երկրորդային դեղադինամիկան: </w:t>
      </w:r>
    </w:p>
    <w:p w14:paraId="72E8FD42" w14:textId="77777777" w:rsidR="008C76E0" w:rsidRPr="00BD7577" w:rsidRDefault="008C76E0" w:rsidP="001C3278">
      <w:pPr>
        <w:spacing w:after="160" w:line="360" w:lineRule="auto"/>
        <w:ind w:right="-7" w:firstLine="567"/>
        <w:rPr>
          <w:rFonts w:ascii="Sylfaen" w:eastAsia="Times New Roman" w:hAnsi="Sylfaen" w:cs="Times New Roman"/>
          <w:sz w:val="24"/>
          <w:szCs w:val="24"/>
        </w:rPr>
      </w:pPr>
    </w:p>
    <w:tbl>
      <w:tblPr>
        <w:tblStyle w:val="TableGrid"/>
        <w:tblW w:w="0" w:type="auto"/>
        <w:jc w:val="center"/>
        <w:tblLook w:val="04A0" w:firstRow="1" w:lastRow="0" w:firstColumn="1" w:lastColumn="0" w:noHBand="0" w:noVBand="1"/>
      </w:tblPr>
      <w:tblGrid>
        <w:gridCol w:w="9061"/>
      </w:tblGrid>
      <w:tr w:rsidR="008C76E0" w:rsidRPr="00BD7577" w14:paraId="55D1DC98" w14:textId="77777777" w:rsidTr="008C76E0">
        <w:trPr>
          <w:jc w:val="center"/>
        </w:trPr>
        <w:tc>
          <w:tcPr>
            <w:tcW w:w="9674" w:type="dxa"/>
          </w:tcPr>
          <w:p w14:paraId="6F48C59C"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6F0894D9" w14:textId="77777777" w:rsidR="008C76E0" w:rsidRPr="00BD7577" w:rsidRDefault="008C76E0" w:rsidP="001C3278">
      <w:pPr>
        <w:tabs>
          <w:tab w:val="left" w:pos="567"/>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2.3.</w:t>
      </w:r>
      <w:r w:rsidRPr="00BD7577">
        <w:rPr>
          <w:rFonts w:ascii="Sylfaen" w:hAnsi="Sylfaen"/>
          <w:sz w:val="24"/>
          <w:szCs w:val="24"/>
        </w:rPr>
        <w:tab/>
        <w:t>Դեղաբանական անվտանգությունը:</w:t>
      </w:r>
    </w:p>
    <w:p w14:paraId="37433CAC" w14:textId="77777777" w:rsidR="008C76E0" w:rsidRPr="00BD7577" w:rsidRDefault="008C76E0" w:rsidP="001C3278">
      <w:pPr>
        <w:spacing w:after="160" w:line="360" w:lineRule="auto"/>
        <w:ind w:firstLine="567"/>
        <w:rPr>
          <w:rFonts w:ascii="Sylfaen" w:hAnsi="Sylfaen"/>
          <w:sz w:val="24"/>
          <w:szCs w:val="24"/>
        </w:rPr>
      </w:pPr>
    </w:p>
    <w:tbl>
      <w:tblPr>
        <w:tblStyle w:val="TableGrid"/>
        <w:tblW w:w="0" w:type="auto"/>
        <w:tblLook w:val="04A0" w:firstRow="1" w:lastRow="0" w:firstColumn="1" w:lastColumn="0" w:noHBand="0" w:noVBand="1"/>
      </w:tblPr>
      <w:tblGrid>
        <w:gridCol w:w="9061"/>
      </w:tblGrid>
      <w:tr w:rsidR="008C76E0" w:rsidRPr="00BD7577" w14:paraId="7DEF09B8" w14:textId="77777777" w:rsidTr="008C76E0">
        <w:tc>
          <w:tcPr>
            <w:tcW w:w="9674" w:type="dxa"/>
          </w:tcPr>
          <w:p w14:paraId="297B656F"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5654D31A" w14:textId="77777777" w:rsidR="008C76E0" w:rsidRPr="00BD7577" w:rsidRDefault="008C76E0" w:rsidP="001C3278">
      <w:pPr>
        <w:tabs>
          <w:tab w:val="left" w:pos="567"/>
        </w:tabs>
        <w:spacing w:after="160" w:line="360" w:lineRule="auto"/>
        <w:ind w:right="-1" w:firstLine="567"/>
        <w:jc w:val="both"/>
        <w:rPr>
          <w:rFonts w:ascii="Sylfaen" w:eastAsia="Times New Roman" w:hAnsi="Sylfaen" w:cs="Times New Roman"/>
          <w:sz w:val="24"/>
          <w:szCs w:val="24"/>
        </w:rPr>
      </w:pPr>
      <w:r>
        <w:rPr>
          <w:rFonts w:ascii="Sylfaen" w:hAnsi="Sylfaen"/>
          <w:sz w:val="24"/>
          <w:szCs w:val="24"/>
        </w:rPr>
        <w:t>2.4.</w:t>
      </w:r>
      <w:r>
        <w:rPr>
          <w:rFonts w:ascii="Sylfaen" w:hAnsi="Sylfaen"/>
          <w:sz w:val="24"/>
          <w:szCs w:val="24"/>
        </w:rPr>
        <w:tab/>
      </w:r>
      <w:r w:rsidRPr="00BD7577">
        <w:rPr>
          <w:rFonts w:ascii="Sylfaen" w:hAnsi="Sylfaen"/>
          <w:sz w:val="24"/>
          <w:szCs w:val="24"/>
        </w:rPr>
        <w:t>Դեղադինամիկ դեղային փոխազդեցությունները:</w:t>
      </w:r>
    </w:p>
    <w:p w14:paraId="0F335EA5" w14:textId="77777777" w:rsidR="008C76E0" w:rsidRPr="00BD7577" w:rsidRDefault="008C76E0" w:rsidP="001C3278">
      <w:pPr>
        <w:spacing w:after="160" w:line="360" w:lineRule="auto"/>
        <w:ind w:firstLine="567"/>
        <w:rPr>
          <w:rFonts w:ascii="Sylfaen" w:hAnsi="Sylfaen"/>
          <w:sz w:val="24"/>
          <w:szCs w:val="24"/>
        </w:rPr>
      </w:pPr>
    </w:p>
    <w:tbl>
      <w:tblPr>
        <w:tblStyle w:val="TableGrid"/>
        <w:tblW w:w="0" w:type="auto"/>
        <w:tblLook w:val="04A0" w:firstRow="1" w:lastRow="0" w:firstColumn="1" w:lastColumn="0" w:noHBand="0" w:noVBand="1"/>
      </w:tblPr>
      <w:tblGrid>
        <w:gridCol w:w="9061"/>
      </w:tblGrid>
      <w:tr w:rsidR="008C76E0" w:rsidRPr="00BD7577" w14:paraId="051C9059" w14:textId="77777777" w:rsidTr="008C76E0">
        <w:tc>
          <w:tcPr>
            <w:tcW w:w="9674" w:type="dxa"/>
          </w:tcPr>
          <w:p w14:paraId="40C29D62"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33DA4E58" w14:textId="77777777" w:rsidR="008C76E0" w:rsidRPr="00BD7577" w:rsidRDefault="008C76E0" w:rsidP="001C3278">
      <w:pPr>
        <w:tabs>
          <w:tab w:val="left" w:pos="567"/>
        </w:tabs>
        <w:spacing w:after="160" w:line="360" w:lineRule="auto"/>
        <w:ind w:right="-1" w:firstLine="567"/>
        <w:jc w:val="both"/>
        <w:rPr>
          <w:rFonts w:ascii="Sylfaen" w:hAnsi="Sylfaen"/>
          <w:sz w:val="24"/>
          <w:szCs w:val="24"/>
        </w:rPr>
      </w:pPr>
      <w:r>
        <w:rPr>
          <w:rFonts w:ascii="Sylfaen" w:hAnsi="Sylfaen"/>
          <w:sz w:val="24"/>
          <w:szCs w:val="24"/>
        </w:rPr>
        <w:t>2.5.</w:t>
      </w:r>
      <w:r w:rsidRPr="00BD7577">
        <w:rPr>
          <w:rFonts w:ascii="Sylfaen" w:hAnsi="Sylfaen"/>
          <w:sz w:val="24"/>
          <w:szCs w:val="24"/>
        </w:rPr>
        <w:tab/>
        <w:t>Դեղաբանության գծով փորձագետի ընդհանուր եզրակացությունը:</w:t>
      </w:r>
    </w:p>
    <w:p w14:paraId="58FC5FA8" w14:textId="77777777" w:rsidR="008C76E0" w:rsidRPr="00BD7577" w:rsidRDefault="008C76E0" w:rsidP="001C3278">
      <w:pPr>
        <w:tabs>
          <w:tab w:val="left" w:pos="1134"/>
        </w:tabs>
        <w:spacing w:after="160" w:line="360" w:lineRule="auto"/>
        <w:ind w:right="-1" w:firstLine="567"/>
        <w:rPr>
          <w:rFonts w:ascii="Sylfaen" w:hAnsi="Sylfaen"/>
          <w:sz w:val="24"/>
          <w:szCs w:val="24"/>
        </w:rPr>
      </w:pPr>
    </w:p>
    <w:p w14:paraId="64EE9A21" w14:textId="77777777" w:rsidR="008C76E0" w:rsidRPr="00BD7577" w:rsidRDefault="008C76E0" w:rsidP="001C3278">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60" w:lineRule="auto"/>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p w14:paraId="309BC59F" w14:textId="77777777" w:rsidR="008C76E0" w:rsidRPr="00BD7577" w:rsidRDefault="008C76E0" w:rsidP="001C3278">
      <w:pPr>
        <w:spacing w:after="160" w:line="360" w:lineRule="auto"/>
        <w:rPr>
          <w:rFonts w:ascii="Sylfaen" w:eastAsia="Times New Roman" w:hAnsi="Sylfaen" w:cs="Times New Roman"/>
          <w:sz w:val="24"/>
          <w:szCs w:val="24"/>
        </w:rPr>
      </w:pPr>
    </w:p>
    <w:p w14:paraId="62F9323C" w14:textId="77777777" w:rsidR="008C76E0" w:rsidRPr="00BD7577" w:rsidRDefault="008C76E0" w:rsidP="001C3278">
      <w:pPr>
        <w:spacing w:after="160" w:line="360" w:lineRule="auto"/>
        <w:rPr>
          <w:rFonts w:ascii="Sylfaen" w:hAnsi="Sylfaen"/>
          <w:sz w:val="24"/>
          <w:szCs w:val="24"/>
        </w:rPr>
        <w:sectPr w:rsidR="008C76E0" w:rsidRPr="00BD7577" w:rsidSect="00C31D56">
          <w:pgSz w:w="11907" w:h="16839" w:code="9"/>
          <w:pgMar w:top="1418" w:right="1418" w:bottom="1418" w:left="1418" w:header="0" w:footer="6" w:gutter="0"/>
          <w:cols w:space="720"/>
          <w:noEndnote/>
          <w:docGrid w:linePitch="360"/>
        </w:sectPr>
      </w:pPr>
    </w:p>
    <w:p w14:paraId="0D0920F6" w14:textId="77777777" w:rsidR="008C76E0" w:rsidRPr="00BD7577" w:rsidRDefault="008C76E0" w:rsidP="001C3278">
      <w:pPr>
        <w:pStyle w:val="Bodytext180"/>
        <w:shd w:val="clear" w:color="auto" w:fill="auto"/>
        <w:tabs>
          <w:tab w:val="left" w:pos="1134"/>
        </w:tabs>
        <w:spacing w:before="0" w:after="160" w:line="360" w:lineRule="auto"/>
        <w:ind w:firstLine="567"/>
        <w:jc w:val="both"/>
        <w:rPr>
          <w:rStyle w:val="Bodytext295pt"/>
          <w:rFonts w:ascii="Sylfaen" w:hAnsi="Sylfaen"/>
          <w:i/>
          <w:spacing w:val="0"/>
          <w:sz w:val="24"/>
          <w:szCs w:val="24"/>
        </w:rPr>
      </w:pPr>
      <w:r>
        <w:rPr>
          <w:rStyle w:val="Bodytext295pt"/>
          <w:rFonts w:ascii="Sylfaen" w:hAnsi="Sylfaen"/>
          <w:spacing w:val="0"/>
          <w:sz w:val="24"/>
          <w:szCs w:val="24"/>
        </w:rPr>
        <w:lastRenderedPageBreak/>
        <w:t>3.</w:t>
      </w:r>
      <w:r w:rsidRPr="00BD7577">
        <w:rPr>
          <w:rStyle w:val="Bodytext295pt"/>
          <w:rFonts w:ascii="Sylfaen" w:hAnsi="Sylfaen"/>
          <w:spacing w:val="0"/>
          <w:sz w:val="24"/>
          <w:szCs w:val="24"/>
        </w:rPr>
        <w:tab/>
        <w:t xml:space="preserve">Դեղակինետիկա (2.6.4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4.2.2 մոդուլներ):</w:t>
      </w:r>
    </w:p>
    <w:p w14:paraId="324225D4" w14:textId="77777777" w:rsidR="008C76E0" w:rsidRPr="00BD7577" w:rsidRDefault="008C76E0" w:rsidP="001C3278">
      <w:pPr>
        <w:pStyle w:val="Bodytext180"/>
        <w:shd w:val="clear" w:color="auto" w:fill="auto"/>
        <w:spacing w:before="0" w:after="160" w:line="360" w:lineRule="auto"/>
        <w:ind w:firstLine="567"/>
        <w:jc w:val="both"/>
        <w:rPr>
          <w:rFonts w:ascii="Sylfaen" w:hAnsi="Sylfaen"/>
          <w:b w:val="0"/>
          <w:sz w:val="24"/>
          <w:szCs w:val="24"/>
        </w:rPr>
      </w:pPr>
      <w:r w:rsidRPr="00BD7577">
        <w:rPr>
          <w:rStyle w:val="Bodytext295pt"/>
          <w:rFonts w:ascii="Sylfaen" w:hAnsi="Sylfaen"/>
          <w:spacing w:val="0"/>
          <w:sz w:val="24"/>
          <w:szCs w:val="24"/>
        </w:rPr>
        <w:t>Դեղակինետիկ հետազոտությունները:</w:t>
      </w:r>
    </w:p>
    <w:tbl>
      <w:tblPr>
        <w:tblOverlap w:val="never"/>
        <w:tblW w:w="14817" w:type="dxa"/>
        <w:tblLayout w:type="fixed"/>
        <w:tblCellMar>
          <w:left w:w="10" w:type="dxa"/>
          <w:right w:w="10" w:type="dxa"/>
        </w:tblCellMar>
        <w:tblLook w:val="04A0" w:firstRow="1" w:lastRow="0" w:firstColumn="1" w:lastColumn="0" w:noHBand="0" w:noVBand="1"/>
      </w:tblPr>
      <w:tblGrid>
        <w:gridCol w:w="14817"/>
      </w:tblGrid>
      <w:tr w:rsidR="008C76E0" w:rsidRPr="00BD7577" w14:paraId="0095908B" w14:textId="77777777" w:rsidTr="008C76E0">
        <w:tc>
          <w:tcPr>
            <w:tcW w:w="14817" w:type="dxa"/>
            <w:tcBorders>
              <w:top w:val="single" w:sz="4" w:space="0" w:color="auto"/>
              <w:left w:val="single" w:sz="4" w:space="0" w:color="auto"/>
              <w:right w:val="single" w:sz="4" w:space="0" w:color="auto"/>
            </w:tcBorders>
            <w:shd w:val="clear" w:color="auto" w:fill="FFFFFF"/>
          </w:tcPr>
          <w:p w14:paraId="2EB21327" w14:textId="77777777" w:rsidR="008C76E0" w:rsidRPr="00BD7577" w:rsidRDefault="008C76E0" w:rsidP="001C3278">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մեկնաբանությունները</w:t>
            </w:r>
          </w:p>
        </w:tc>
      </w:tr>
      <w:tr w:rsidR="008C76E0" w:rsidRPr="00BD7577" w14:paraId="42A96BCD" w14:textId="77777777" w:rsidTr="008C76E0">
        <w:tc>
          <w:tcPr>
            <w:tcW w:w="14817" w:type="dxa"/>
            <w:tcBorders>
              <w:top w:val="single" w:sz="4" w:space="0" w:color="auto"/>
            </w:tcBorders>
            <w:shd w:val="clear" w:color="auto" w:fill="FFFFFF"/>
          </w:tcPr>
          <w:p w14:paraId="04D6E204" w14:textId="77777777" w:rsidR="008C76E0" w:rsidRPr="00BD7577" w:rsidRDefault="008C76E0" w:rsidP="001C3278">
            <w:pPr>
              <w:pStyle w:val="Bodytext180"/>
              <w:shd w:val="clear" w:color="auto" w:fill="auto"/>
              <w:tabs>
                <w:tab w:val="left" w:pos="1134"/>
              </w:tabs>
              <w:spacing w:before="0" w:after="160" w:line="360" w:lineRule="auto"/>
              <w:ind w:firstLine="567"/>
              <w:jc w:val="both"/>
              <w:rPr>
                <w:rFonts w:ascii="Sylfaen" w:hAnsi="Sylfaen"/>
                <w:b w:val="0"/>
                <w:sz w:val="24"/>
                <w:szCs w:val="24"/>
              </w:rPr>
            </w:pPr>
            <w:r>
              <w:rPr>
                <w:rStyle w:val="Bodytext295pt"/>
                <w:rFonts w:ascii="Sylfaen" w:hAnsi="Sylfaen"/>
                <w:spacing w:val="0"/>
                <w:sz w:val="24"/>
                <w:szCs w:val="24"/>
              </w:rPr>
              <w:t>3.1.</w:t>
            </w:r>
            <w:r w:rsidRPr="00BD7577">
              <w:rPr>
                <w:rStyle w:val="Bodytext295pt"/>
                <w:rFonts w:ascii="Sylfaen" w:hAnsi="Sylfaen"/>
                <w:spacing w:val="0"/>
                <w:sz w:val="24"/>
                <w:szCs w:val="24"/>
              </w:rPr>
              <w:tab/>
              <w:t>Հետազոտության մեթոդները:</w:t>
            </w:r>
          </w:p>
        </w:tc>
      </w:tr>
    </w:tbl>
    <w:p w14:paraId="78996D38" w14:textId="77777777" w:rsidR="008C76E0" w:rsidRPr="00BD7577" w:rsidRDefault="008C76E0" w:rsidP="001C3278">
      <w:pPr>
        <w:spacing w:after="160" w:line="360" w:lineRule="auto"/>
        <w:rPr>
          <w:rFonts w:ascii="Sylfaen" w:hAnsi="Sylfaen"/>
          <w:sz w:val="24"/>
          <w:szCs w:val="24"/>
        </w:rPr>
      </w:pPr>
    </w:p>
    <w:tbl>
      <w:tblPr>
        <w:tblOverlap w:val="never"/>
        <w:tblW w:w="14817" w:type="dxa"/>
        <w:tblLayout w:type="fixed"/>
        <w:tblCellMar>
          <w:left w:w="10" w:type="dxa"/>
          <w:right w:w="10" w:type="dxa"/>
        </w:tblCellMar>
        <w:tblLook w:val="04A0" w:firstRow="1" w:lastRow="0" w:firstColumn="1" w:lastColumn="0" w:noHBand="0" w:noVBand="1"/>
      </w:tblPr>
      <w:tblGrid>
        <w:gridCol w:w="14817"/>
      </w:tblGrid>
      <w:tr w:rsidR="008C76E0" w:rsidRPr="00BD7577" w14:paraId="68C588FC" w14:textId="77777777" w:rsidTr="008C76E0">
        <w:tc>
          <w:tcPr>
            <w:tcW w:w="14817" w:type="dxa"/>
            <w:tcBorders>
              <w:top w:val="single" w:sz="4" w:space="0" w:color="auto"/>
              <w:left w:val="single" w:sz="4" w:space="0" w:color="auto"/>
              <w:right w:val="single" w:sz="4" w:space="0" w:color="auto"/>
            </w:tcBorders>
            <w:shd w:val="clear" w:color="auto" w:fill="FFFFFF"/>
          </w:tcPr>
          <w:p w14:paraId="310004D1" w14:textId="77777777" w:rsidR="008C76E0" w:rsidRPr="00BD7577" w:rsidRDefault="008C76E0" w:rsidP="001C3278">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390F302" w14:textId="77777777" w:rsidTr="008C76E0">
        <w:tc>
          <w:tcPr>
            <w:tcW w:w="14817" w:type="dxa"/>
            <w:tcBorders>
              <w:top w:val="single" w:sz="4" w:space="0" w:color="auto"/>
            </w:tcBorders>
            <w:shd w:val="clear" w:color="auto" w:fill="FFFFFF"/>
            <w:vAlign w:val="bottom"/>
          </w:tcPr>
          <w:p w14:paraId="7D251B30" w14:textId="77777777" w:rsidR="008C76E0" w:rsidRPr="00BD7577" w:rsidRDefault="008C76E0" w:rsidP="001C3278">
            <w:pPr>
              <w:pStyle w:val="Bodytext180"/>
              <w:shd w:val="clear" w:color="auto" w:fill="auto"/>
              <w:tabs>
                <w:tab w:val="left" w:pos="1134"/>
              </w:tabs>
              <w:spacing w:before="0" w:after="160" w:line="360" w:lineRule="auto"/>
              <w:ind w:firstLine="567"/>
              <w:jc w:val="both"/>
              <w:rPr>
                <w:rFonts w:ascii="Sylfaen" w:hAnsi="Sylfaen"/>
                <w:b w:val="0"/>
                <w:sz w:val="24"/>
                <w:szCs w:val="24"/>
              </w:rPr>
            </w:pPr>
            <w:r w:rsidRPr="00BD7577">
              <w:rPr>
                <w:rStyle w:val="Bodytext295pt"/>
                <w:rFonts w:ascii="Sylfaen" w:hAnsi="Sylfaen"/>
                <w:spacing w:val="0"/>
                <w:sz w:val="24"/>
                <w:szCs w:val="24"/>
              </w:rPr>
              <w:t>3.2.</w:t>
            </w:r>
            <w:r w:rsidRPr="00BD7577">
              <w:rPr>
                <w:rStyle w:val="Bodytext295pt"/>
                <w:rFonts w:ascii="Sylfaen" w:hAnsi="Sylfaen"/>
                <w:spacing w:val="0"/>
                <w:sz w:val="24"/>
                <w:szCs w:val="24"/>
              </w:rPr>
              <w:tab/>
              <w:t>Կլանումը:</w:t>
            </w:r>
          </w:p>
        </w:tc>
      </w:tr>
    </w:tbl>
    <w:p w14:paraId="3AC73CDD" w14:textId="77777777" w:rsidR="008C76E0" w:rsidRPr="00BD7577" w:rsidRDefault="008C76E0" w:rsidP="008C76E0">
      <w:pPr>
        <w:rPr>
          <w:rStyle w:val="Bodytext295pt"/>
          <w:rFonts w:ascii="Sylfaen" w:eastAsia="MS Mincho" w:hAnsi="Sylfaen"/>
          <w:b w:val="0"/>
          <w:i/>
          <w:spacing w:val="0"/>
          <w:sz w:val="24"/>
          <w:szCs w:val="24"/>
          <w:lang w:val="en-US"/>
        </w:rPr>
      </w:pPr>
    </w:p>
    <w:p w14:paraId="0876B96A" w14:textId="77777777" w:rsidR="008C76E0" w:rsidRPr="001D10C9" w:rsidRDefault="008C76E0" w:rsidP="008C76E0">
      <w:pPr>
        <w:jc w:val="center"/>
        <w:rPr>
          <w:rFonts w:ascii="Sylfaen" w:hAnsi="Sylfaen"/>
          <w:sz w:val="24"/>
          <w:szCs w:val="24"/>
        </w:rPr>
      </w:pPr>
      <w:r w:rsidRPr="001D10C9">
        <w:rPr>
          <w:rStyle w:val="Bodytext295pt"/>
          <w:rFonts w:ascii="Sylfaen" w:eastAsia="MS Mincho" w:hAnsi="Sylfaen"/>
          <w:b w:val="0"/>
          <w:spacing w:val="0"/>
          <w:sz w:val="24"/>
          <w:szCs w:val="24"/>
        </w:rPr>
        <w:t>Աղյուսակների օրինակելի նմուշներ՝ կլանման վերաբերյալ տվյալները մուտքագրելու համար</w:t>
      </w:r>
      <w:r w:rsidRPr="001D10C9">
        <w:rPr>
          <w:rStyle w:val="Bodytext295pt"/>
          <w:rFonts w:ascii="Sylfaen" w:eastAsia="MS Mincho" w:hAnsi="Sylfaen"/>
          <w:spacing w:val="0"/>
          <w:sz w:val="24"/>
          <w:szCs w:val="24"/>
        </w:rPr>
        <w:t>՝</w:t>
      </w:r>
    </w:p>
    <w:tbl>
      <w:tblPr>
        <w:tblOverlap w:val="never"/>
        <w:tblW w:w="14675" w:type="dxa"/>
        <w:tblLayout w:type="fixed"/>
        <w:tblCellMar>
          <w:left w:w="10" w:type="dxa"/>
          <w:right w:w="10" w:type="dxa"/>
        </w:tblCellMar>
        <w:tblLook w:val="04A0" w:firstRow="1" w:lastRow="0" w:firstColumn="1" w:lastColumn="0" w:noHBand="0" w:noVBand="1"/>
      </w:tblPr>
      <w:tblGrid>
        <w:gridCol w:w="2419"/>
        <w:gridCol w:w="1560"/>
        <w:gridCol w:w="749"/>
        <w:gridCol w:w="1134"/>
        <w:gridCol w:w="1701"/>
        <w:gridCol w:w="1985"/>
        <w:gridCol w:w="1235"/>
        <w:gridCol w:w="1134"/>
        <w:gridCol w:w="1558"/>
        <w:gridCol w:w="1200"/>
      </w:tblGrid>
      <w:tr w:rsidR="008C76E0" w:rsidRPr="00BD7577" w14:paraId="5B6D5FC1" w14:textId="77777777" w:rsidTr="008C76E0">
        <w:tc>
          <w:tcPr>
            <w:tcW w:w="2419" w:type="dxa"/>
            <w:tcBorders>
              <w:top w:val="single" w:sz="4" w:space="0" w:color="auto"/>
              <w:left w:val="single" w:sz="4" w:space="0" w:color="auto"/>
            </w:tcBorders>
            <w:shd w:val="clear" w:color="auto" w:fill="FFFFFF"/>
          </w:tcPr>
          <w:p w14:paraId="4DB3C3CA"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1560" w:type="dxa"/>
            <w:tcBorders>
              <w:top w:val="single" w:sz="4" w:space="0" w:color="auto"/>
              <w:left w:val="single" w:sz="4" w:space="0" w:color="auto"/>
            </w:tcBorders>
            <w:shd w:val="clear" w:color="auto" w:fill="FFFFFF"/>
          </w:tcPr>
          <w:p w14:paraId="046B03A3"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Տեսակները</w:t>
            </w:r>
          </w:p>
        </w:tc>
        <w:tc>
          <w:tcPr>
            <w:tcW w:w="749" w:type="dxa"/>
            <w:tcBorders>
              <w:top w:val="single" w:sz="4" w:space="0" w:color="auto"/>
              <w:left w:val="single" w:sz="4" w:space="0" w:color="auto"/>
            </w:tcBorders>
            <w:shd w:val="clear" w:color="auto" w:fill="FFFFFF"/>
          </w:tcPr>
          <w:p w14:paraId="1877433B"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N</w:t>
            </w:r>
          </w:p>
        </w:tc>
        <w:tc>
          <w:tcPr>
            <w:tcW w:w="1134" w:type="dxa"/>
            <w:tcBorders>
              <w:top w:val="single" w:sz="4" w:space="0" w:color="auto"/>
              <w:left w:val="single" w:sz="4" w:space="0" w:color="auto"/>
            </w:tcBorders>
            <w:shd w:val="clear" w:color="auto" w:fill="FFFFFF"/>
          </w:tcPr>
          <w:p w14:paraId="325AFF0F"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701" w:type="dxa"/>
            <w:tcBorders>
              <w:top w:val="single" w:sz="4" w:space="0" w:color="auto"/>
              <w:left w:val="single" w:sz="4" w:space="0" w:color="auto"/>
            </w:tcBorders>
            <w:shd w:val="clear" w:color="auto" w:fill="FFFFFF"/>
          </w:tcPr>
          <w:p w14:paraId="67F7A70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Ներմուծման ուղին</w:t>
            </w:r>
          </w:p>
        </w:tc>
        <w:tc>
          <w:tcPr>
            <w:tcW w:w="1985" w:type="dxa"/>
            <w:tcBorders>
              <w:top w:val="single" w:sz="4" w:space="0" w:color="auto"/>
              <w:left w:val="single" w:sz="4" w:space="0" w:color="auto"/>
            </w:tcBorders>
            <w:shd w:val="clear" w:color="auto" w:fill="FFFFFF"/>
          </w:tcPr>
          <w:p w14:paraId="22CED94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35" w:type="dxa"/>
            <w:tcBorders>
              <w:top w:val="single" w:sz="4" w:space="0" w:color="auto"/>
              <w:left w:val="single" w:sz="4" w:space="0" w:color="auto"/>
            </w:tcBorders>
            <w:shd w:val="clear" w:color="auto" w:fill="FFFFFF"/>
          </w:tcPr>
          <w:p w14:paraId="74728C06"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C</w:t>
            </w:r>
            <w:r w:rsidRPr="00BD7577">
              <w:rPr>
                <w:rStyle w:val="Bodytext1811pt"/>
                <w:rFonts w:ascii="Sylfaen" w:hAnsi="Sylfaen"/>
                <w:sz w:val="24"/>
                <w:szCs w:val="24"/>
                <w:vertAlign w:val="subscript"/>
              </w:rPr>
              <w:t>max</w:t>
            </w:r>
          </w:p>
        </w:tc>
        <w:tc>
          <w:tcPr>
            <w:tcW w:w="1134" w:type="dxa"/>
            <w:tcBorders>
              <w:top w:val="single" w:sz="4" w:space="0" w:color="auto"/>
            </w:tcBorders>
            <w:shd w:val="clear" w:color="auto" w:fill="FFFFFF"/>
          </w:tcPr>
          <w:p w14:paraId="6972BF75"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t</w:t>
            </w:r>
            <w:r w:rsidRPr="00BD7577">
              <w:rPr>
                <w:rStyle w:val="Bodytext1811pt"/>
                <w:rFonts w:ascii="Sylfaen" w:hAnsi="Sylfaen"/>
                <w:sz w:val="24"/>
                <w:szCs w:val="24"/>
                <w:vertAlign w:val="subscript"/>
              </w:rPr>
              <w:t>max</w:t>
            </w:r>
          </w:p>
        </w:tc>
        <w:tc>
          <w:tcPr>
            <w:tcW w:w="1558" w:type="dxa"/>
            <w:tcBorders>
              <w:top w:val="single" w:sz="4" w:space="0" w:color="auto"/>
            </w:tcBorders>
            <w:shd w:val="clear" w:color="auto" w:fill="FFFFFF"/>
          </w:tcPr>
          <w:p w14:paraId="7227E050"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AUC</w:t>
            </w:r>
          </w:p>
        </w:tc>
        <w:tc>
          <w:tcPr>
            <w:tcW w:w="1200" w:type="dxa"/>
            <w:tcBorders>
              <w:top w:val="single" w:sz="4" w:space="0" w:color="auto"/>
              <w:right w:val="single" w:sz="4" w:space="0" w:color="auto"/>
            </w:tcBorders>
            <w:shd w:val="clear" w:color="auto" w:fill="FFFFFF"/>
          </w:tcPr>
          <w:p w14:paraId="7ED56414"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7F976816" w14:textId="77777777" w:rsidTr="008C76E0">
        <w:tc>
          <w:tcPr>
            <w:tcW w:w="14675" w:type="dxa"/>
            <w:gridSpan w:val="10"/>
            <w:tcBorders>
              <w:top w:val="single" w:sz="4" w:space="0" w:color="auto"/>
            </w:tcBorders>
            <w:shd w:val="clear" w:color="auto" w:fill="FFFFFF"/>
            <w:vAlign w:val="bottom"/>
          </w:tcPr>
          <w:p w14:paraId="0DFF5F2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w:t>
            </w:r>
          </w:p>
          <w:p w14:paraId="18F1640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B</w:t>
            </w:r>
          </w:p>
        </w:tc>
      </w:tr>
      <w:tr w:rsidR="008C76E0" w:rsidRPr="00BD7577" w14:paraId="66920F1F" w14:textId="77777777" w:rsidTr="008C76E0">
        <w:tc>
          <w:tcPr>
            <w:tcW w:w="14675" w:type="dxa"/>
            <w:gridSpan w:val="10"/>
            <w:tcBorders>
              <w:top w:val="single" w:sz="4" w:space="0" w:color="auto"/>
            </w:tcBorders>
            <w:shd w:val="clear" w:color="auto" w:fill="FFFFFF"/>
          </w:tcPr>
          <w:p w14:paraId="6E810462"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0A941791" w14:textId="77777777" w:rsidTr="008C76E0">
        <w:tc>
          <w:tcPr>
            <w:tcW w:w="2419" w:type="dxa"/>
            <w:tcBorders>
              <w:top w:val="single" w:sz="4" w:space="0" w:color="auto"/>
              <w:left w:val="single" w:sz="4" w:space="0" w:color="auto"/>
            </w:tcBorders>
            <w:shd w:val="clear" w:color="auto" w:fill="FFFFFF"/>
          </w:tcPr>
          <w:p w14:paraId="0C5B0B48"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 xml:space="preserve">Հետազոտության նույնականացման </w:t>
            </w:r>
            <w:r w:rsidRPr="00BD7577">
              <w:rPr>
                <w:rStyle w:val="Bodytext1811pt"/>
                <w:rFonts w:ascii="Sylfaen" w:hAnsi="Sylfaen"/>
                <w:sz w:val="24"/>
                <w:szCs w:val="24"/>
              </w:rPr>
              <w:lastRenderedPageBreak/>
              <w:t>համարը</w:t>
            </w:r>
          </w:p>
        </w:tc>
        <w:tc>
          <w:tcPr>
            <w:tcW w:w="1560" w:type="dxa"/>
            <w:tcBorders>
              <w:top w:val="single" w:sz="4" w:space="0" w:color="auto"/>
              <w:left w:val="single" w:sz="4" w:space="0" w:color="auto"/>
            </w:tcBorders>
            <w:shd w:val="clear" w:color="auto" w:fill="FFFFFF"/>
          </w:tcPr>
          <w:p w14:paraId="1BCC75AB"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lastRenderedPageBreak/>
              <w:t>Տեսակները</w:t>
            </w:r>
          </w:p>
        </w:tc>
        <w:tc>
          <w:tcPr>
            <w:tcW w:w="749" w:type="dxa"/>
            <w:tcBorders>
              <w:top w:val="single" w:sz="4" w:space="0" w:color="auto"/>
              <w:left w:val="single" w:sz="4" w:space="0" w:color="auto"/>
            </w:tcBorders>
            <w:shd w:val="clear" w:color="auto" w:fill="FFFFFF"/>
          </w:tcPr>
          <w:p w14:paraId="0DCAD08E"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N</w:t>
            </w:r>
          </w:p>
        </w:tc>
        <w:tc>
          <w:tcPr>
            <w:tcW w:w="1134" w:type="dxa"/>
            <w:tcBorders>
              <w:top w:val="single" w:sz="4" w:space="0" w:color="auto"/>
              <w:left w:val="single" w:sz="4" w:space="0" w:color="auto"/>
            </w:tcBorders>
            <w:shd w:val="clear" w:color="auto" w:fill="FFFFFF"/>
          </w:tcPr>
          <w:p w14:paraId="38AF8A3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701" w:type="dxa"/>
            <w:tcBorders>
              <w:top w:val="single" w:sz="4" w:space="0" w:color="auto"/>
              <w:left w:val="single" w:sz="4" w:space="0" w:color="auto"/>
            </w:tcBorders>
            <w:shd w:val="clear" w:color="auto" w:fill="FFFFFF"/>
          </w:tcPr>
          <w:p w14:paraId="415717E8"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Ներմուծման ուղին</w:t>
            </w:r>
          </w:p>
        </w:tc>
        <w:tc>
          <w:tcPr>
            <w:tcW w:w="1985" w:type="dxa"/>
            <w:tcBorders>
              <w:top w:val="single" w:sz="4" w:space="0" w:color="auto"/>
              <w:left w:val="single" w:sz="4" w:space="0" w:color="auto"/>
            </w:tcBorders>
            <w:shd w:val="clear" w:color="auto" w:fill="FFFFFF"/>
          </w:tcPr>
          <w:p w14:paraId="453CFFA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35" w:type="dxa"/>
            <w:tcBorders>
              <w:top w:val="single" w:sz="4" w:space="0" w:color="auto"/>
              <w:left w:val="single" w:sz="4" w:space="0" w:color="auto"/>
            </w:tcBorders>
            <w:shd w:val="clear" w:color="auto" w:fill="FFFFFF"/>
          </w:tcPr>
          <w:p w14:paraId="502800AE"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lang w:val="en-US"/>
              </w:rPr>
              <w:t>t</w:t>
            </w:r>
            <w:r w:rsidRPr="00BD7577">
              <w:rPr>
                <w:rStyle w:val="Bodytext1811pt"/>
                <w:rFonts w:ascii="Sylfaen" w:hAnsi="Sylfaen"/>
                <w:sz w:val="24"/>
                <w:szCs w:val="24"/>
              </w:rPr>
              <w:t>½, el</w:t>
            </w:r>
          </w:p>
        </w:tc>
        <w:tc>
          <w:tcPr>
            <w:tcW w:w="1134" w:type="dxa"/>
            <w:tcBorders>
              <w:top w:val="single" w:sz="4" w:space="0" w:color="auto"/>
              <w:left w:val="single" w:sz="4" w:space="0" w:color="auto"/>
            </w:tcBorders>
            <w:shd w:val="clear" w:color="auto" w:fill="FFFFFF"/>
          </w:tcPr>
          <w:p w14:paraId="29AF05B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V</w:t>
            </w:r>
            <w:r w:rsidRPr="00BD7577">
              <w:rPr>
                <w:rStyle w:val="Bodytext1811pt"/>
                <w:rFonts w:ascii="Sylfaen" w:hAnsi="Sylfaen"/>
                <w:sz w:val="24"/>
                <w:szCs w:val="24"/>
                <w:vertAlign w:val="subscript"/>
              </w:rPr>
              <w:t>d</w:t>
            </w:r>
          </w:p>
        </w:tc>
        <w:tc>
          <w:tcPr>
            <w:tcW w:w="1558" w:type="dxa"/>
            <w:tcBorders>
              <w:top w:val="single" w:sz="4" w:space="0" w:color="auto"/>
              <w:left w:val="single" w:sz="4" w:space="0" w:color="auto"/>
            </w:tcBorders>
            <w:shd w:val="clear" w:color="auto" w:fill="FFFFFF"/>
          </w:tcPr>
          <w:p w14:paraId="3A7A92D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Cl</w:t>
            </w:r>
            <w:r w:rsidRPr="00BD7577">
              <w:rPr>
                <w:rStyle w:val="Bodytext1811pt"/>
                <w:rFonts w:ascii="Sylfaen" w:hAnsi="Sylfaen"/>
                <w:sz w:val="24"/>
                <w:szCs w:val="24"/>
                <w:vertAlign w:val="subscript"/>
              </w:rPr>
              <w:t>t</w:t>
            </w:r>
          </w:p>
        </w:tc>
        <w:tc>
          <w:tcPr>
            <w:tcW w:w="1200" w:type="dxa"/>
            <w:tcBorders>
              <w:top w:val="single" w:sz="4" w:space="0" w:color="auto"/>
              <w:left w:val="single" w:sz="4" w:space="0" w:color="auto"/>
              <w:right w:val="single" w:sz="4" w:space="0" w:color="auto"/>
            </w:tcBorders>
            <w:shd w:val="clear" w:color="auto" w:fill="FFFFFF"/>
          </w:tcPr>
          <w:p w14:paraId="0B605B1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F (%)</w:t>
            </w:r>
          </w:p>
        </w:tc>
      </w:tr>
      <w:tr w:rsidR="008C76E0" w:rsidRPr="00BD7577" w14:paraId="5C5CE4A3" w14:textId="77777777" w:rsidTr="008C76E0">
        <w:tc>
          <w:tcPr>
            <w:tcW w:w="10783" w:type="dxa"/>
            <w:gridSpan w:val="7"/>
            <w:tcBorders>
              <w:top w:val="single" w:sz="4" w:space="0" w:color="auto"/>
            </w:tcBorders>
            <w:shd w:val="clear" w:color="auto" w:fill="FFFFFF"/>
          </w:tcPr>
          <w:p w14:paraId="6E58D9B5"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w:t>
            </w:r>
          </w:p>
          <w:p w14:paraId="61A4F24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B</w:t>
            </w:r>
          </w:p>
        </w:tc>
        <w:tc>
          <w:tcPr>
            <w:tcW w:w="1134" w:type="dxa"/>
            <w:tcBorders>
              <w:top w:val="single" w:sz="4" w:space="0" w:color="auto"/>
            </w:tcBorders>
            <w:shd w:val="clear" w:color="auto" w:fill="FFFFFF"/>
          </w:tcPr>
          <w:p w14:paraId="0FEEB169" w14:textId="77777777" w:rsidR="008C76E0" w:rsidRPr="00BD7577" w:rsidRDefault="008C76E0" w:rsidP="008C76E0">
            <w:pPr>
              <w:spacing w:after="120" w:line="240" w:lineRule="auto"/>
              <w:ind w:left="142"/>
              <w:rPr>
                <w:rFonts w:ascii="Sylfaen" w:hAnsi="Sylfaen"/>
                <w:sz w:val="24"/>
                <w:szCs w:val="24"/>
              </w:rPr>
            </w:pPr>
          </w:p>
        </w:tc>
        <w:tc>
          <w:tcPr>
            <w:tcW w:w="1558" w:type="dxa"/>
            <w:tcBorders>
              <w:top w:val="single" w:sz="4" w:space="0" w:color="auto"/>
            </w:tcBorders>
            <w:shd w:val="clear" w:color="auto" w:fill="FFFFFF"/>
          </w:tcPr>
          <w:p w14:paraId="5318BE0B" w14:textId="77777777" w:rsidR="008C76E0" w:rsidRPr="00BD7577" w:rsidRDefault="008C76E0" w:rsidP="008C76E0">
            <w:pPr>
              <w:spacing w:after="120" w:line="240" w:lineRule="auto"/>
              <w:ind w:left="142"/>
              <w:rPr>
                <w:rFonts w:ascii="Sylfaen" w:hAnsi="Sylfaen"/>
                <w:sz w:val="24"/>
                <w:szCs w:val="24"/>
              </w:rPr>
            </w:pPr>
          </w:p>
        </w:tc>
        <w:tc>
          <w:tcPr>
            <w:tcW w:w="1200" w:type="dxa"/>
            <w:tcBorders>
              <w:top w:val="single" w:sz="4" w:space="0" w:color="auto"/>
            </w:tcBorders>
            <w:shd w:val="clear" w:color="auto" w:fill="FFFFFF"/>
          </w:tcPr>
          <w:p w14:paraId="773F8EF9"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39843AFC" w14:textId="77777777" w:rsidTr="008C76E0">
        <w:tc>
          <w:tcPr>
            <w:tcW w:w="10783" w:type="dxa"/>
            <w:gridSpan w:val="7"/>
            <w:tcBorders>
              <w:top w:val="single" w:sz="4" w:space="0" w:color="auto"/>
              <w:bottom w:val="single" w:sz="4" w:space="0" w:color="auto"/>
            </w:tcBorders>
            <w:shd w:val="clear" w:color="auto" w:fill="FFFFFF"/>
            <w:vAlign w:val="bottom"/>
          </w:tcPr>
          <w:p w14:paraId="72BC168E" w14:textId="77777777" w:rsidR="008C76E0" w:rsidRPr="00BD7577" w:rsidRDefault="008C76E0" w:rsidP="008C76E0">
            <w:pPr>
              <w:pStyle w:val="Bodytext180"/>
              <w:shd w:val="clear" w:color="auto" w:fill="auto"/>
              <w:tabs>
                <w:tab w:val="left" w:pos="2977"/>
              </w:tabs>
              <w:spacing w:before="0" w:after="120" w:line="240" w:lineRule="auto"/>
              <w:ind w:left="142" w:right="8070" w:firstLine="0"/>
              <w:jc w:val="right"/>
              <w:rPr>
                <w:rFonts w:ascii="Sylfaen" w:hAnsi="Sylfaen"/>
                <w:b w:val="0"/>
                <w:sz w:val="24"/>
                <w:szCs w:val="24"/>
              </w:rPr>
            </w:pPr>
            <w:r w:rsidRPr="00BD7577">
              <w:rPr>
                <w:rStyle w:val="Bodytext1811pt"/>
                <w:rFonts w:ascii="Sylfaen" w:hAnsi="Sylfaen"/>
                <w:sz w:val="24"/>
                <w:szCs w:val="24"/>
              </w:rPr>
              <w:t xml:space="preserve">Ծանոթագրություններ ա) </w:t>
            </w:r>
          </w:p>
          <w:p w14:paraId="34BA4185" w14:textId="77777777" w:rsidR="008C76E0" w:rsidRPr="00BD7577" w:rsidRDefault="008C76E0" w:rsidP="008C76E0">
            <w:pPr>
              <w:pStyle w:val="Bodytext180"/>
              <w:shd w:val="clear" w:color="auto" w:fill="auto"/>
              <w:spacing w:before="0" w:after="120" w:line="240" w:lineRule="auto"/>
              <w:ind w:left="142" w:right="8070" w:firstLine="0"/>
              <w:jc w:val="right"/>
              <w:rPr>
                <w:rFonts w:ascii="Sylfaen" w:hAnsi="Sylfaen"/>
                <w:b w:val="0"/>
                <w:sz w:val="24"/>
                <w:szCs w:val="24"/>
              </w:rPr>
            </w:pPr>
            <w:r w:rsidRPr="00BD7577">
              <w:rPr>
                <w:rStyle w:val="Bodytext1811pt"/>
                <w:rFonts w:ascii="Sylfaen" w:hAnsi="Sylfaen"/>
                <w:sz w:val="24"/>
                <w:szCs w:val="24"/>
              </w:rPr>
              <w:t>բ)</w:t>
            </w:r>
          </w:p>
        </w:tc>
        <w:tc>
          <w:tcPr>
            <w:tcW w:w="1134" w:type="dxa"/>
            <w:tcBorders>
              <w:top w:val="single" w:sz="4" w:space="0" w:color="auto"/>
              <w:bottom w:val="single" w:sz="4" w:space="0" w:color="auto"/>
            </w:tcBorders>
            <w:shd w:val="clear" w:color="auto" w:fill="FFFFFF"/>
          </w:tcPr>
          <w:p w14:paraId="68704F93" w14:textId="77777777" w:rsidR="008C76E0" w:rsidRPr="00BD7577" w:rsidRDefault="008C76E0" w:rsidP="008C76E0">
            <w:pPr>
              <w:spacing w:after="120" w:line="240" w:lineRule="auto"/>
              <w:ind w:left="142"/>
              <w:rPr>
                <w:rFonts w:ascii="Sylfaen" w:hAnsi="Sylfaen"/>
                <w:sz w:val="24"/>
                <w:szCs w:val="24"/>
              </w:rPr>
            </w:pPr>
          </w:p>
        </w:tc>
        <w:tc>
          <w:tcPr>
            <w:tcW w:w="1558" w:type="dxa"/>
            <w:tcBorders>
              <w:top w:val="single" w:sz="4" w:space="0" w:color="auto"/>
              <w:bottom w:val="single" w:sz="4" w:space="0" w:color="auto"/>
            </w:tcBorders>
            <w:shd w:val="clear" w:color="auto" w:fill="FFFFFF"/>
          </w:tcPr>
          <w:p w14:paraId="37A9A673" w14:textId="77777777" w:rsidR="008C76E0" w:rsidRPr="00BD7577" w:rsidRDefault="008C76E0" w:rsidP="008C76E0">
            <w:pPr>
              <w:spacing w:after="120" w:line="240" w:lineRule="auto"/>
              <w:ind w:left="142"/>
              <w:rPr>
                <w:rFonts w:ascii="Sylfaen" w:hAnsi="Sylfaen"/>
                <w:sz w:val="24"/>
                <w:szCs w:val="24"/>
              </w:rPr>
            </w:pPr>
          </w:p>
        </w:tc>
        <w:tc>
          <w:tcPr>
            <w:tcW w:w="1200" w:type="dxa"/>
            <w:tcBorders>
              <w:top w:val="single" w:sz="4" w:space="0" w:color="auto"/>
              <w:bottom w:val="single" w:sz="4" w:space="0" w:color="auto"/>
            </w:tcBorders>
            <w:shd w:val="clear" w:color="auto" w:fill="FFFFFF"/>
          </w:tcPr>
          <w:p w14:paraId="026360C6" w14:textId="77777777" w:rsidR="008C76E0" w:rsidRPr="00BD7577" w:rsidRDefault="008C76E0" w:rsidP="008C76E0">
            <w:pPr>
              <w:spacing w:after="120" w:line="240" w:lineRule="auto"/>
              <w:ind w:left="142"/>
              <w:rPr>
                <w:rFonts w:ascii="Sylfaen" w:hAnsi="Sylfaen"/>
                <w:sz w:val="24"/>
                <w:szCs w:val="24"/>
              </w:rPr>
            </w:pPr>
          </w:p>
        </w:tc>
      </w:tr>
    </w:tbl>
    <w:p w14:paraId="20D7B216" w14:textId="77777777" w:rsidR="008C76E0" w:rsidRPr="00BD7577" w:rsidRDefault="008C76E0" w:rsidP="008C76E0">
      <w:pPr>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2ADFB4F7"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0DD7CCFD" w14:textId="77777777" w:rsidR="008C76E0" w:rsidRPr="00BD7577" w:rsidRDefault="008C76E0" w:rsidP="008C76E0">
            <w:pPr>
              <w:pStyle w:val="Bodytext180"/>
              <w:shd w:val="clear" w:color="auto" w:fill="auto"/>
              <w:tabs>
                <w:tab w:val="left" w:pos="1134"/>
              </w:tabs>
              <w:spacing w:before="0" w:after="160" w:line="360" w:lineRule="auto"/>
              <w:ind w:firstLine="0"/>
              <w:rPr>
                <w:rFonts w:ascii="Sylfaen" w:hAnsi="Sylfaen"/>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0FDCB0F" w14:textId="77777777" w:rsidTr="008C76E0">
        <w:trPr>
          <w:cantSplit/>
        </w:trPr>
        <w:tc>
          <w:tcPr>
            <w:tcW w:w="14691" w:type="dxa"/>
            <w:tcBorders>
              <w:top w:val="single" w:sz="4" w:space="0" w:color="auto"/>
            </w:tcBorders>
            <w:shd w:val="clear" w:color="auto" w:fill="FFFFFF"/>
          </w:tcPr>
          <w:p w14:paraId="632E4444"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3.3.</w:t>
            </w:r>
            <w:r w:rsidRPr="00BD7577">
              <w:rPr>
                <w:rStyle w:val="Bodytext295pt"/>
                <w:rFonts w:ascii="Sylfaen" w:hAnsi="Sylfaen"/>
                <w:spacing w:val="0"/>
                <w:sz w:val="24"/>
                <w:szCs w:val="24"/>
              </w:rPr>
              <w:tab/>
              <w:t>Բաշխումը:</w:t>
            </w:r>
          </w:p>
        </w:tc>
      </w:tr>
    </w:tbl>
    <w:p w14:paraId="2363B693" w14:textId="77777777" w:rsidR="008C76E0" w:rsidRPr="00BD7577" w:rsidRDefault="008C76E0" w:rsidP="008C76E0">
      <w:pPr>
        <w:tabs>
          <w:tab w:val="left" w:pos="1134"/>
        </w:tabs>
        <w:ind w:firstLine="567"/>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4F57E9AE"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435FDAC1" w14:textId="77777777" w:rsidR="008C76E0" w:rsidRPr="00BD7577" w:rsidRDefault="008C76E0" w:rsidP="008C76E0">
            <w:pPr>
              <w:pStyle w:val="Bodytext180"/>
              <w:shd w:val="clear" w:color="auto" w:fill="auto"/>
              <w:tabs>
                <w:tab w:val="left" w:pos="1134"/>
              </w:tabs>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79D0337" w14:textId="77777777" w:rsidTr="008C76E0">
        <w:trPr>
          <w:cantSplit/>
        </w:trPr>
        <w:tc>
          <w:tcPr>
            <w:tcW w:w="14691" w:type="dxa"/>
            <w:tcBorders>
              <w:top w:val="single" w:sz="4" w:space="0" w:color="auto"/>
            </w:tcBorders>
            <w:shd w:val="clear" w:color="auto" w:fill="FFFFFF"/>
          </w:tcPr>
          <w:p w14:paraId="7AAC85FC"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3.4.</w:t>
            </w:r>
            <w:r w:rsidRPr="00BD7577">
              <w:rPr>
                <w:rStyle w:val="Bodytext295pt"/>
                <w:rFonts w:ascii="Sylfaen" w:hAnsi="Sylfaen"/>
                <w:spacing w:val="0"/>
                <w:sz w:val="24"/>
                <w:szCs w:val="24"/>
              </w:rPr>
              <w:tab/>
              <w:t>Նյութափոխանակություն:</w:t>
            </w:r>
          </w:p>
        </w:tc>
      </w:tr>
    </w:tbl>
    <w:p w14:paraId="6D9139C2" w14:textId="77777777" w:rsidR="008C76E0" w:rsidRPr="00BD7577" w:rsidRDefault="008C76E0" w:rsidP="008C76E0">
      <w:pPr>
        <w:tabs>
          <w:tab w:val="left" w:pos="1134"/>
        </w:tabs>
        <w:ind w:firstLine="567"/>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7939BDCA"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7761AD14" w14:textId="77777777" w:rsidR="008C76E0" w:rsidRPr="00BD7577" w:rsidRDefault="008C76E0" w:rsidP="008C76E0">
            <w:pPr>
              <w:pStyle w:val="Bodytext180"/>
              <w:shd w:val="clear" w:color="auto" w:fill="auto"/>
              <w:tabs>
                <w:tab w:val="left" w:pos="1134"/>
              </w:tabs>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8AFB9F6" w14:textId="77777777" w:rsidTr="008C76E0">
        <w:trPr>
          <w:cantSplit/>
        </w:trPr>
        <w:tc>
          <w:tcPr>
            <w:tcW w:w="14691" w:type="dxa"/>
            <w:tcBorders>
              <w:top w:val="single" w:sz="4" w:space="0" w:color="auto"/>
            </w:tcBorders>
            <w:shd w:val="clear" w:color="auto" w:fill="FFFFFF"/>
            <w:vAlign w:val="center"/>
          </w:tcPr>
          <w:p w14:paraId="3732F362"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3.5.</w:t>
            </w:r>
            <w:r w:rsidRPr="00BD7577">
              <w:rPr>
                <w:rStyle w:val="Bodytext295pt"/>
                <w:rFonts w:ascii="Sylfaen" w:hAnsi="Sylfaen"/>
                <w:spacing w:val="0"/>
                <w:sz w:val="24"/>
                <w:szCs w:val="24"/>
              </w:rPr>
              <w:tab/>
              <w:t>Դուրսբերում:</w:t>
            </w:r>
          </w:p>
        </w:tc>
      </w:tr>
    </w:tbl>
    <w:p w14:paraId="487DF785" w14:textId="77777777" w:rsidR="008C76E0" w:rsidRPr="00BD7577" w:rsidRDefault="008C76E0" w:rsidP="008C76E0">
      <w:pPr>
        <w:rPr>
          <w:rFonts w:ascii="Sylfaen" w:hAnsi="Sylfaen"/>
          <w:sz w:val="24"/>
          <w:szCs w:val="24"/>
        </w:rPr>
      </w:pPr>
    </w:p>
    <w:tbl>
      <w:tblPr>
        <w:tblOverlap w:val="never"/>
        <w:tblW w:w="15092" w:type="dxa"/>
        <w:tblLayout w:type="fixed"/>
        <w:tblCellMar>
          <w:left w:w="10" w:type="dxa"/>
          <w:right w:w="10" w:type="dxa"/>
        </w:tblCellMar>
        <w:tblLook w:val="04A0" w:firstRow="1" w:lastRow="0" w:firstColumn="1" w:lastColumn="0" w:noHBand="0" w:noVBand="1"/>
      </w:tblPr>
      <w:tblGrid>
        <w:gridCol w:w="1901"/>
        <w:gridCol w:w="1262"/>
        <w:gridCol w:w="1382"/>
        <w:gridCol w:w="1258"/>
        <w:gridCol w:w="1944"/>
        <w:gridCol w:w="1262"/>
        <w:gridCol w:w="1238"/>
        <w:gridCol w:w="1262"/>
        <w:gridCol w:w="1742"/>
        <w:gridCol w:w="1360"/>
        <w:gridCol w:w="481"/>
      </w:tblGrid>
      <w:tr w:rsidR="008C76E0" w:rsidRPr="00BD7577" w14:paraId="4F91712F" w14:textId="77777777" w:rsidTr="008C76E0">
        <w:trPr>
          <w:cantSplit/>
        </w:trPr>
        <w:tc>
          <w:tcPr>
            <w:tcW w:w="1901" w:type="dxa"/>
            <w:tcBorders>
              <w:top w:val="single" w:sz="4" w:space="0" w:color="auto"/>
              <w:left w:val="single" w:sz="4" w:space="0" w:color="auto"/>
            </w:tcBorders>
            <w:shd w:val="clear" w:color="auto" w:fill="FFFFFF"/>
          </w:tcPr>
          <w:p w14:paraId="238D8B66"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lastRenderedPageBreak/>
              <w:t>Տեսակները</w:t>
            </w:r>
          </w:p>
        </w:tc>
        <w:tc>
          <w:tcPr>
            <w:tcW w:w="1262" w:type="dxa"/>
            <w:tcBorders>
              <w:top w:val="single" w:sz="4" w:space="0" w:color="auto"/>
              <w:left w:val="single" w:sz="4" w:space="0" w:color="auto"/>
            </w:tcBorders>
            <w:shd w:val="clear" w:color="auto" w:fill="FFFFFF"/>
          </w:tcPr>
          <w:p w14:paraId="082998FB"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N</w:t>
            </w:r>
          </w:p>
        </w:tc>
        <w:tc>
          <w:tcPr>
            <w:tcW w:w="1382" w:type="dxa"/>
            <w:tcBorders>
              <w:top w:val="single" w:sz="4" w:space="0" w:color="auto"/>
              <w:left w:val="single" w:sz="4" w:space="0" w:color="auto"/>
            </w:tcBorders>
            <w:shd w:val="clear" w:color="auto" w:fill="FFFFFF"/>
          </w:tcPr>
          <w:p w14:paraId="3EDE8F41"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258" w:type="dxa"/>
            <w:tcBorders>
              <w:top w:val="single" w:sz="4" w:space="0" w:color="auto"/>
              <w:left w:val="single" w:sz="4" w:space="0" w:color="auto"/>
            </w:tcBorders>
            <w:shd w:val="clear" w:color="auto" w:fill="FFFFFF"/>
          </w:tcPr>
          <w:p w14:paraId="7B2A81AF"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Ուղին</w:t>
            </w:r>
          </w:p>
        </w:tc>
        <w:tc>
          <w:tcPr>
            <w:tcW w:w="1944" w:type="dxa"/>
            <w:tcBorders>
              <w:top w:val="single" w:sz="4" w:space="0" w:color="auto"/>
              <w:left w:val="single" w:sz="4" w:space="0" w:color="auto"/>
            </w:tcBorders>
            <w:shd w:val="clear" w:color="auto" w:fill="FFFFFF"/>
          </w:tcPr>
          <w:p w14:paraId="28BE04F2"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62" w:type="dxa"/>
            <w:tcBorders>
              <w:top w:val="single" w:sz="4" w:space="0" w:color="auto"/>
              <w:left w:val="single" w:sz="4" w:space="0" w:color="auto"/>
            </w:tcBorders>
            <w:shd w:val="clear" w:color="auto" w:fill="FFFFFF"/>
          </w:tcPr>
          <w:p w14:paraId="1CD080D2"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Մեզ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238" w:type="dxa"/>
            <w:tcBorders>
              <w:top w:val="single" w:sz="4" w:space="0" w:color="auto"/>
              <w:left w:val="single" w:sz="4" w:space="0" w:color="auto"/>
            </w:tcBorders>
            <w:shd w:val="clear" w:color="auto" w:fill="FFFFFF"/>
          </w:tcPr>
          <w:p w14:paraId="05EAC804"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Կեղտ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262" w:type="dxa"/>
            <w:tcBorders>
              <w:top w:val="single" w:sz="4" w:space="0" w:color="auto"/>
              <w:left w:val="single" w:sz="4" w:space="0" w:color="auto"/>
            </w:tcBorders>
            <w:shd w:val="clear" w:color="auto" w:fill="FFFFFF"/>
          </w:tcPr>
          <w:p w14:paraId="1B07FF1F"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Լեղի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742" w:type="dxa"/>
            <w:tcBorders>
              <w:top w:val="single" w:sz="4" w:space="0" w:color="auto"/>
              <w:left w:val="single" w:sz="4" w:space="0" w:color="auto"/>
            </w:tcBorders>
            <w:shd w:val="clear" w:color="auto" w:fill="FFFFFF"/>
          </w:tcPr>
          <w:p w14:paraId="1CD30E8C"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Անփոփոխ ԴՄ (% դոզա)</w:t>
            </w:r>
          </w:p>
        </w:tc>
        <w:tc>
          <w:tcPr>
            <w:tcW w:w="1360" w:type="dxa"/>
            <w:tcBorders>
              <w:top w:val="single" w:sz="4" w:space="0" w:color="auto"/>
              <w:left w:val="single" w:sz="4" w:space="0" w:color="auto"/>
            </w:tcBorders>
            <w:shd w:val="clear" w:color="auto" w:fill="FFFFFF"/>
          </w:tcPr>
          <w:p w14:paraId="67E1D2DE"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Ժամանակ (ժամ)</w:t>
            </w:r>
          </w:p>
        </w:tc>
        <w:tc>
          <w:tcPr>
            <w:tcW w:w="481" w:type="dxa"/>
            <w:tcBorders>
              <w:left w:val="single" w:sz="4" w:space="0" w:color="auto"/>
            </w:tcBorders>
            <w:shd w:val="clear" w:color="auto" w:fill="FFFFFF"/>
          </w:tcPr>
          <w:p w14:paraId="5D638FD3" w14:textId="77777777" w:rsidR="008C76E0" w:rsidRPr="00BD7577" w:rsidRDefault="008C76E0" w:rsidP="008C76E0">
            <w:pPr>
              <w:rPr>
                <w:rFonts w:ascii="Sylfaen" w:hAnsi="Sylfaen"/>
                <w:sz w:val="24"/>
                <w:szCs w:val="24"/>
              </w:rPr>
            </w:pPr>
          </w:p>
        </w:tc>
      </w:tr>
      <w:tr w:rsidR="008C76E0" w:rsidRPr="00BD7577" w14:paraId="7D2473DB" w14:textId="77777777" w:rsidTr="008C76E0">
        <w:trPr>
          <w:cantSplit/>
        </w:trPr>
        <w:tc>
          <w:tcPr>
            <w:tcW w:w="3163" w:type="dxa"/>
            <w:gridSpan w:val="2"/>
            <w:tcBorders>
              <w:top w:val="single" w:sz="4" w:space="0" w:color="auto"/>
            </w:tcBorders>
            <w:shd w:val="clear" w:color="auto" w:fill="FFFFFF"/>
          </w:tcPr>
          <w:p w14:paraId="19B0089F" w14:textId="77777777" w:rsidR="008C76E0" w:rsidRPr="00BD7577" w:rsidRDefault="008C76E0" w:rsidP="008C76E0">
            <w:pPr>
              <w:rPr>
                <w:rFonts w:ascii="Sylfaen" w:hAnsi="Sylfaen"/>
                <w:sz w:val="24"/>
                <w:szCs w:val="24"/>
              </w:rPr>
            </w:pPr>
          </w:p>
        </w:tc>
        <w:tc>
          <w:tcPr>
            <w:tcW w:w="1382" w:type="dxa"/>
            <w:tcBorders>
              <w:top w:val="single" w:sz="4" w:space="0" w:color="auto"/>
            </w:tcBorders>
            <w:shd w:val="clear" w:color="auto" w:fill="FFFFFF"/>
          </w:tcPr>
          <w:p w14:paraId="1147687F" w14:textId="77777777" w:rsidR="008C76E0" w:rsidRPr="00BD7577" w:rsidRDefault="008C76E0" w:rsidP="008C76E0">
            <w:pPr>
              <w:rPr>
                <w:rFonts w:ascii="Sylfaen" w:hAnsi="Sylfaen"/>
                <w:sz w:val="24"/>
                <w:szCs w:val="24"/>
              </w:rPr>
            </w:pPr>
          </w:p>
        </w:tc>
        <w:tc>
          <w:tcPr>
            <w:tcW w:w="1258" w:type="dxa"/>
            <w:tcBorders>
              <w:top w:val="single" w:sz="4" w:space="0" w:color="auto"/>
            </w:tcBorders>
            <w:shd w:val="clear" w:color="auto" w:fill="FFFFFF"/>
          </w:tcPr>
          <w:p w14:paraId="7B809478" w14:textId="77777777" w:rsidR="008C76E0" w:rsidRPr="00BD7577" w:rsidRDefault="008C76E0" w:rsidP="008C76E0">
            <w:pPr>
              <w:rPr>
                <w:rFonts w:ascii="Sylfaen" w:hAnsi="Sylfaen"/>
                <w:sz w:val="24"/>
                <w:szCs w:val="24"/>
              </w:rPr>
            </w:pPr>
          </w:p>
        </w:tc>
        <w:tc>
          <w:tcPr>
            <w:tcW w:w="1944" w:type="dxa"/>
            <w:tcBorders>
              <w:top w:val="single" w:sz="4" w:space="0" w:color="auto"/>
            </w:tcBorders>
            <w:shd w:val="clear" w:color="auto" w:fill="FFFFFF"/>
          </w:tcPr>
          <w:p w14:paraId="0ECCB29D"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5DECDD9E"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62FED32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238" w:type="dxa"/>
            <w:tcBorders>
              <w:top w:val="single" w:sz="4" w:space="0" w:color="auto"/>
            </w:tcBorders>
            <w:shd w:val="clear" w:color="auto" w:fill="FFFFFF"/>
          </w:tcPr>
          <w:p w14:paraId="64F7A0C9"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0AE0378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262" w:type="dxa"/>
            <w:tcBorders>
              <w:top w:val="single" w:sz="4" w:space="0" w:color="auto"/>
            </w:tcBorders>
            <w:shd w:val="clear" w:color="auto" w:fill="FFFFFF"/>
          </w:tcPr>
          <w:p w14:paraId="56BE2CB3"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58C5AAE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742" w:type="dxa"/>
            <w:tcBorders>
              <w:top w:val="single" w:sz="4" w:space="0" w:color="auto"/>
            </w:tcBorders>
            <w:shd w:val="clear" w:color="auto" w:fill="FFFFFF"/>
          </w:tcPr>
          <w:p w14:paraId="3239BAD4"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6BC1343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360" w:type="dxa"/>
            <w:tcBorders>
              <w:top w:val="single" w:sz="4" w:space="0" w:color="auto"/>
            </w:tcBorders>
            <w:shd w:val="clear" w:color="auto" w:fill="FFFFFF"/>
          </w:tcPr>
          <w:p w14:paraId="6DFD6D69"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2E5B34F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481" w:type="dxa"/>
            <w:shd w:val="clear" w:color="auto" w:fill="FFFFFF"/>
          </w:tcPr>
          <w:p w14:paraId="7C0C40F2" w14:textId="77777777" w:rsidR="008C76E0" w:rsidRPr="00BD7577" w:rsidRDefault="008C76E0" w:rsidP="008C76E0">
            <w:pPr>
              <w:rPr>
                <w:rFonts w:ascii="Sylfaen" w:hAnsi="Sylfaen"/>
                <w:sz w:val="24"/>
                <w:szCs w:val="24"/>
              </w:rPr>
            </w:pPr>
          </w:p>
        </w:tc>
      </w:tr>
      <w:tr w:rsidR="008C76E0" w:rsidRPr="00BD7577" w14:paraId="26F97C20" w14:textId="77777777" w:rsidTr="008C76E0">
        <w:trPr>
          <w:cantSplit/>
        </w:trPr>
        <w:tc>
          <w:tcPr>
            <w:tcW w:w="3163" w:type="dxa"/>
            <w:gridSpan w:val="2"/>
            <w:tcBorders>
              <w:top w:val="single" w:sz="4" w:space="0" w:color="auto"/>
            </w:tcBorders>
            <w:shd w:val="clear" w:color="auto" w:fill="FFFFFF"/>
          </w:tcPr>
          <w:p w14:paraId="7A7D80C8" w14:textId="77777777" w:rsidR="008C76E0" w:rsidRPr="00BD7577" w:rsidRDefault="008C76E0" w:rsidP="008C76E0">
            <w:pPr>
              <w:rPr>
                <w:rFonts w:ascii="Sylfaen" w:hAnsi="Sylfaen"/>
                <w:sz w:val="24"/>
                <w:szCs w:val="24"/>
              </w:rPr>
            </w:pPr>
          </w:p>
        </w:tc>
        <w:tc>
          <w:tcPr>
            <w:tcW w:w="1382" w:type="dxa"/>
            <w:tcBorders>
              <w:top w:val="single" w:sz="4" w:space="0" w:color="auto"/>
            </w:tcBorders>
            <w:shd w:val="clear" w:color="auto" w:fill="FFFFFF"/>
          </w:tcPr>
          <w:p w14:paraId="3BC26BF9" w14:textId="77777777" w:rsidR="008C76E0" w:rsidRPr="00BD7577" w:rsidRDefault="008C76E0" w:rsidP="008C76E0">
            <w:pPr>
              <w:rPr>
                <w:rFonts w:ascii="Sylfaen" w:hAnsi="Sylfaen"/>
                <w:sz w:val="24"/>
                <w:szCs w:val="24"/>
              </w:rPr>
            </w:pPr>
          </w:p>
        </w:tc>
        <w:tc>
          <w:tcPr>
            <w:tcW w:w="1258" w:type="dxa"/>
            <w:tcBorders>
              <w:top w:val="single" w:sz="4" w:space="0" w:color="auto"/>
            </w:tcBorders>
            <w:shd w:val="clear" w:color="auto" w:fill="FFFFFF"/>
          </w:tcPr>
          <w:p w14:paraId="2CB4F7EA" w14:textId="77777777" w:rsidR="008C76E0" w:rsidRPr="00BD7577" w:rsidRDefault="008C76E0" w:rsidP="008C76E0">
            <w:pPr>
              <w:rPr>
                <w:rFonts w:ascii="Sylfaen" w:hAnsi="Sylfaen"/>
                <w:sz w:val="24"/>
                <w:szCs w:val="24"/>
              </w:rPr>
            </w:pPr>
          </w:p>
        </w:tc>
        <w:tc>
          <w:tcPr>
            <w:tcW w:w="1944" w:type="dxa"/>
            <w:tcBorders>
              <w:top w:val="single" w:sz="4" w:space="0" w:color="auto"/>
            </w:tcBorders>
            <w:shd w:val="clear" w:color="auto" w:fill="FFFFFF"/>
          </w:tcPr>
          <w:p w14:paraId="35979849"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13B9FEEA" w14:textId="77777777" w:rsidR="008C76E0" w:rsidRPr="00BD7577" w:rsidRDefault="008C76E0" w:rsidP="008C76E0">
            <w:pPr>
              <w:rPr>
                <w:rFonts w:ascii="Sylfaen" w:hAnsi="Sylfaen"/>
                <w:sz w:val="24"/>
                <w:szCs w:val="24"/>
              </w:rPr>
            </w:pPr>
          </w:p>
        </w:tc>
        <w:tc>
          <w:tcPr>
            <w:tcW w:w="1238" w:type="dxa"/>
            <w:tcBorders>
              <w:top w:val="single" w:sz="4" w:space="0" w:color="auto"/>
            </w:tcBorders>
            <w:shd w:val="clear" w:color="auto" w:fill="FFFFFF"/>
          </w:tcPr>
          <w:p w14:paraId="61751B0A"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649B4C23" w14:textId="77777777" w:rsidR="008C76E0" w:rsidRPr="00BD7577" w:rsidRDefault="008C76E0" w:rsidP="008C76E0">
            <w:pPr>
              <w:rPr>
                <w:rFonts w:ascii="Sylfaen" w:hAnsi="Sylfaen"/>
                <w:sz w:val="24"/>
                <w:szCs w:val="24"/>
              </w:rPr>
            </w:pPr>
          </w:p>
        </w:tc>
        <w:tc>
          <w:tcPr>
            <w:tcW w:w="1742" w:type="dxa"/>
            <w:tcBorders>
              <w:top w:val="single" w:sz="4" w:space="0" w:color="auto"/>
            </w:tcBorders>
            <w:shd w:val="clear" w:color="auto" w:fill="FFFFFF"/>
          </w:tcPr>
          <w:p w14:paraId="34C4BE12" w14:textId="77777777" w:rsidR="008C76E0" w:rsidRPr="00BD7577" w:rsidRDefault="008C76E0" w:rsidP="008C76E0">
            <w:pPr>
              <w:rPr>
                <w:rFonts w:ascii="Sylfaen" w:hAnsi="Sylfaen"/>
                <w:sz w:val="24"/>
                <w:szCs w:val="24"/>
              </w:rPr>
            </w:pPr>
          </w:p>
        </w:tc>
        <w:tc>
          <w:tcPr>
            <w:tcW w:w="1360" w:type="dxa"/>
            <w:tcBorders>
              <w:top w:val="single" w:sz="4" w:space="0" w:color="auto"/>
            </w:tcBorders>
            <w:shd w:val="clear" w:color="auto" w:fill="FFFFFF"/>
          </w:tcPr>
          <w:p w14:paraId="7ABC8CD5" w14:textId="77777777" w:rsidR="008C76E0" w:rsidRPr="00BD7577" w:rsidRDefault="008C76E0" w:rsidP="008C76E0">
            <w:pPr>
              <w:rPr>
                <w:rFonts w:ascii="Sylfaen" w:hAnsi="Sylfaen"/>
                <w:sz w:val="24"/>
                <w:szCs w:val="24"/>
              </w:rPr>
            </w:pPr>
          </w:p>
        </w:tc>
        <w:tc>
          <w:tcPr>
            <w:tcW w:w="481" w:type="dxa"/>
            <w:shd w:val="clear" w:color="auto" w:fill="FFFFFF"/>
          </w:tcPr>
          <w:p w14:paraId="2E73AE7B" w14:textId="77777777" w:rsidR="008C76E0" w:rsidRPr="00BD7577" w:rsidRDefault="008C76E0" w:rsidP="008C76E0">
            <w:pPr>
              <w:rPr>
                <w:rFonts w:ascii="Sylfaen" w:hAnsi="Sylfaen"/>
                <w:sz w:val="24"/>
                <w:szCs w:val="24"/>
              </w:rPr>
            </w:pPr>
          </w:p>
        </w:tc>
      </w:tr>
    </w:tbl>
    <w:p w14:paraId="4C1BB07D" w14:textId="77777777" w:rsidR="008C76E0" w:rsidRPr="00BD7577" w:rsidRDefault="008C76E0" w:rsidP="008C76E0">
      <w:pPr>
        <w:spacing w:line="336" w:lineRule="auto"/>
        <w:rPr>
          <w:rFonts w:ascii="Sylfaen" w:hAnsi="Sylfaen"/>
          <w:sz w:val="24"/>
          <w:szCs w:val="24"/>
          <w:lang w:val="en-US"/>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2ACD5DBB" w14:textId="77777777" w:rsidTr="008C76E0">
        <w:tc>
          <w:tcPr>
            <w:tcW w:w="14693" w:type="dxa"/>
            <w:tcBorders>
              <w:top w:val="single" w:sz="4" w:space="0" w:color="auto"/>
              <w:left w:val="single" w:sz="4" w:space="0" w:color="auto"/>
              <w:bottom w:val="single" w:sz="4" w:space="0" w:color="auto"/>
              <w:right w:val="single" w:sz="4" w:space="0" w:color="auto"/>
            </w:tcBorders>
            <w:shd w:val="clear" w:color="auto" w:fill="FFFFFF"/>
          </w:tcPr>
          <w:p w14:paraId="5D4E9595" w14:textId="77777777" w:rsidR="008C76E0" w:rsidRPr="00BD7577" w:rsidRDefault="008C76E0" w:rsidP="008C76E0">
            <w:pPr>
              <w:pStyle w:val="Bodytext180"/>
              <w:shd w:val="clear" w:color="auto" w:fill="auto"/>
              <w:spacing w:before="0" w:after="160" w:line="336"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38C220E" w14:textId="77777777" w:rsidTr="008C76E0">
        <w:tc>
          <w:tcPr>
            <w:tcW w:w="14693" w:type="dxa"/>
            <w:shd w:val="clear" w:color="auto" w:fill="FFFFFF"/>
          </w:tcPr>
          <w:p w14:paraId="2391984A" w14:textId="77777777" w:rsidR="008C76E0" w:rsidRPr="00BD7577" w:rsidRDefault="008C76E0" w:rsidP="008C76E0">
            <w:pPr>
              <w:pStyle w:val="Bodytext180"/>
              <w:shd w:val="clear" w:color="auto" w:fill="auto"/>
              <w:tabs>
                <w:tab w:val="left" w:pos="1134"/>
              </w:tabs>
              <w:spacing w:before="0" w:after="160" w:line="336" w:lineRule="auto"/>
              <w:ind w:firstLine="567"/>
              <w:rPr>
                <w:rFonts w:ascii="Sylfaen" w:hAnsi="Sylfaen"/>
                <w:b w:val="0"/>
                <w:sz w:val="24"/>
                <w:szCs w:val="24"/>
              </w:rPr>
            </w:pPr>
            <w:r>
              <w:rPr>
                <w:rStyle w:val="Bodytext295pt"/>
                <w:rFonts w:ascii="Sylfaen" w:hAnsi="Sylfaen"/>
                <w:spacing w:val="0"/>
                <w:sz w:val="24"/>
                <w:szCs w:val="24"/>
              </w:rPr>
              <w:t>3.6.</w:t>
            </w:r>
            <w:r w:rsidRPr="00BD7577">
              <w:rPr>
                <w:rStyle w:val="Bodytext295pt"/>
                <w:rFonts w:ascii="Sylfaen" w:hAnsi="Sylfaen"/>
                <w:spacing w:val="0"/>
                <w:sz w:val="24"/>
                <w:szCs w:val="24"/>
              </w:rPr>
              <w:tab/>
              <w:t>Դեղակինետիկ դեղային փոխազդեցությունները:</w:t>
            </w:r>
          </w:p>
        </w:tc>
      </w:tr>
    </w:tbl>
    <w:p w14:paraId="52033E63" w14:textId="77777777" w:rsidR="008C76E0" w:rsidRPr="00BD7577" w:rsidRDefault="008C76E0" w:rsidP="008C76E0">
      <w:pPr>
        <w:spacing w:line="336" w:lineRule="auto"/>
        <w:rPr>
          <w:rFonts w:ascii="Sylfaen" w:hAnsi="Sylfaen"/>
          <w:sz w:val="24"/>
          <w:szCs w:val="24"/>
          <w:lang w:val="en-US"/>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1EADAD2B" w14:textId="77777777" w:rsidTr="008C76E0">
        <w:tc>
          <w:tcPr>
            <w:tcW w:w="14693" w:type="dxa"/>
            <w:tcBorders>
              <w:top w:val="single" w:sz="4" w:space="0" w:color="auto"/>
              <w:left w:val="single" w:sz="4" w:space="0" w:color="auto"/>
              <w:right w:val="single" w:sz="4" w:space="0" w:color="auto"/>
            </w:tcBorders>
            <w:shd w:val="clear" w:color="auto" w:fill="FFFFFF"/>
          </w:tcPr>
          <w:p w14:paraId="617D4AD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F36419A" w14:textId="77777777" w:rsidTr="008C76E0">
        <w:tc>
          <w:tcPr>
            <w:tcW w:w="14693" w:type="dxa"/>
            <w:tcBorders>
              <w:top w:val="single" w:sz="4" w:space="0" w:color="auto"/>
            </w:tcBorders>
            <w:shd w:val="clear" w:color="auto" w:fill="FFFFFF"/>
          </w:tcPr>
          <w:p w14:paraId="07D91CE5" w14:textId="77777777" w:rsidR="008C76E0" w:rsidRPr="00BD7577" w:rsidRDefault="008C76E0" w:rsidP="008C76E0">
            <w:pPr>
              <w:pStyle w:val="Bodytext180"/>
              <w:shd w:val="clear" w:color="auto" w:fill="auto"/>
              <w:tabs>
                <w:tab w:val="left" w:pos="1155"/>
              </w:tabs>
              <w:spacing w:before="0" w:after="160" w:line="336" w:lineRule="auto"/>
              <w:ind w:firstLine="567"/>
              <w:rPr>
                <w:rFonts w:ascii="Sylfaen" w:hAnsi="Sylfaen"/>
                <w:b w:val="0"/>
                <w:sz w:val="24"/>
                <w:szCs w:val="24"/>
              </w:rPr>
            </w:pPr>
            <w:r w:rsidRPr="00BD7577">
              <w:rPr>
                <w:rStyle w:val="Bodytext295pt"/>
                <w:rFonts w:ascii="Sylfaen" w:hAnsi="Sylfaen"/>
                <w:spacing w:val="0"/>
                <w:sz w:val="24"/>
                <w:szCs w:val="24"/>
              </w:rPr>
              <w:t>3.7.</w:t>
            </w:r>
            <w:r w:rsidRPr="00BD7577">
              <w:rPr>
                <w:rStyle w:val="Bodytext295pt"/>
                <w:rFonts w:ascii="Sylfaen" w:hAnsi="Sylfaen"/>
                <w:spacing w:val="0"/>
                <w:sz w:val="24"/>
                <w:szCs w:val="24"/>
              </w:rPr>
              <w:tab/>
              <w:t>Այլ դեղակինետիկ հետազոտություններ:</w:t>
            </w:r>
          </w:p>
        </w:tc>
      </w:tr>
    </w:tbl>
    <w:p w14:paraId="4F7F8491" w14:textId="77777777" w:rsidR="008C76E0" w:rsidRPr="00BD7577" w:rsidRDefault="008C76E0" w:rsidP="008C76E0">
      <w:pPr>
        <w:spacing w:line="336" w:lineRule="auto"/>
        <w:rPr>
          <w:rFonts w:ascii="Sylfaen" w:hAnsi="Sylfaen"/>
          <w:sz w:val="24"/>
          <w:szCs w:val="24"/>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229194C4" w14:textId="77777777" w:rsidTr="008C76E0">
        <w:tc>
          <w:tcPr>
            <w:tcW w:w="14693" w:type="dxa"/>
            <w:tcBorders>
              <w:top w:val="single" w:sz="4" w:space="0" w:color="auto"/>
              <w:left w:val="single" w:sz="4" w:space="0" w:color="auto"/>
              <w:right w:val="single" w:sz="4" w:space="0" w:color="auto"/>
            </w:tcBorders>
            <w:shd w:val="clear" w:color="auto" w:fill="FFFFFF"/>
          </w:tcPr>
          <w:p w14:paraId="6A0D7D6C"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7C5A82B" w14:textId="77777777" w:rsidTr="008C76E0">
        <w:tc>
          <w:tcPr>
            <w:tcW w:w="14693" w:type="dxa"/>
            <w:tcBorders>
              <w:top w:val="single" w:sz="4" w:space="0" w:color="auto"/>
            </w:tcBorders>
            <w:shd w:val="clear" w:color="auto" w:fill="FFFFFF"/>
            <w:vAlign w:val="bottom"/>
          </w:tcPr>
          <w:p w14:paraId="4604F8B2" w14:textId="77777777" w:rsidR="008C76E0" w:rsidRPr="008C76E0" w:rsidRDefault="008C76E0" w:rsidP="008C76E0">
            <w:pPr>
              <w:pStyle w:val="Bodytext180"/>
              <w:shd w:val="clear" w:color="auto" w:fill="auto"/>
              <w:tabs>
                <w:tab w:val="left" w:pos="1611"/>
              </w:tabs>
              <w:spacing w:before="0" w:after="160" w:line="336" w:lineRule="auto"/>
              <w:ind w:firstLine="567"/>
              <w:rPr>
                <w:rFonts w:ascii="Sylfaen" w:hAnsi="Sylfaen"/>
                <w:b w:val="0"/>
                <w:sz w:val="24"/>
                <w:szCs w:val="24"/>
                <w:lang w:val="hy-AM"/>
              </w:rPr>
            </w:pPr>
            <w:r w:rsidRPr="00BD7577">
              <w:rPr>
                <w:rStyle w:val="Bodytext295pt"/>
                <w:rFonts w:ascii="Sylfaen" w:hAnsi="Sylfaen"/>
                <w:spacing w:val="0"/>
                <w:sz w:val="24"/>
                <w:szCs w:val="24"/>
              </w:rPr>
              <w:t xml:space="preserve">3.8. </w:t>
            </w:r>
            <w:r w:rsidRPr="00BD7577">
              <w:rPr>
                <w:rStyle w:val="Bodytext295pt"/>
                <w:rFonts w:ascii="Sylfaen" w:hAnsi="Sylfaen"/>
                <w:spacing w:val="0"/>
                <w:sz w:val="24"/>
                <w:szCs w:val="24"/>
              </w:rPr>
              <w:tab/>
              <w:t>Դեղակինետիկայի գծով փորձագետի ընդհանուր եզրակացությունը:</w:t>
            </w:r>
          </w:p>
        </w:tc>
      </w:tr>
    </w:tbl>
    <w:p w14:paraId="04D15BDB" w14:textId="77777777" w:rsidR="008C76E0" w:rsidRPr="00BD7577" w:rsidRDefault="008C76E0" w:rsidP="008C76E0">
      <w:pPr>
        <w:rPr>
          <w:rFonts w:ascii="Sylfaen" w:hAnsi="Sylfaen"/>
          <w:sz w:val="24"/>
          <w:szCs w:val="24"/>
        </w:rPr>
      </w:pPr>
    </w:p>
    <w:p w14:paraId="6EBD990D" w14:textId="77777777" w:rsidR="008C76E0" w:rsidRPr="00BD7577" w:rsidRDefault="008C76E0" w:rsidP="008C76E0">
      <w:pPr>
        <w:rPr>
          <w:rFonts w:ascii="Sylfaen" w:hAnsi="Sylfaen"/>
          <w:sz w:val="24"/>
          <w:szCs w:val="24"/>
        </w:rPr>
        <w:sectPr w:rsidR="008C76E0" w:rsidRPr="00BD7577" w:rsidSect="00C31D56">
          <w:headerReference w:type="even" r:id="rId20"/>
          <w:headerReference w:type="default" r:id="rId21"/>
          <w:pgSz w:w="16839" w:h="11907" w:orient="landscape" w:code="9"/>
          <w:pgMar w:top="1418" w:right="1418" w:bottom="1418" w:left="1418" w:header="0" w:footer="564" w:gutter="0"/>
          <w:cols w:space="720"/>
          <w:noEndnote/>
          <w:docGrid w:linePitch="360"/>
        </w:sectPr>
      </w:pPr>
    </w:p>
    <w:tbl>
      <w:tblPr>
        <w:tblOverlap w:val="never"/>
        <w:tblW w:w="10626" w:type="dxa"/>
        <w:jc w:val="center"/>
        <w:tblLayout w:type="fixed"/>
        <w:tblCellMar>
          <w:left w:w="10" w:type="dxa"/>
          <w:right w:w="10" w:type="dxa"/>
        </w:tblCellMar>
        <w:tblLook w:val="04A0" w:firstRow="1" w:lastRow="0" w:firstColumn="1" w:lastColumn="0" w:noHBand="0" w:noVBand="1"/>
      </w:tblPr>
      <w:tblGrid>
        <w:gridCol w:w="2222"/>
        <w:gridCol w:w="1631"/>
        <w:gridCol w:w="7"/>
        <w:gridCol w:w="397"/>
        <w:gridCol w:w="1126"/>
        <w:gridCol w:w="392"/>
        <w:gridCol w:w="1476"/>
        <w:gridCol w:w="245"/>
        <w:gridCol w:w="1335"/>
        <w:gridCol w:w="241"/>
        <w:gridCol w:w="1554"/>
      </w:tblGrid>
      <w:tr w:rsidR="008C76E0" w:rsidRPr="00BD7577" w14:paraId="57AB7087" w14:textId="77777777" w:rsidTr="008C76E0">
        <w:trPr>
          <w:jc w:val="center"/>
        </w:trPr>
        <w:tc>
          <w:tcPr>
            <w:tcW w:w="10626" w:type="dxa"/>
            <w:gridSpan w:val="11"/>
            <w:shd w:val="clear" w:color="auto" w:fill="FFFFFF"/>
          </w:tcPr>
          <w:p w14:paraId="7AA58646" w14:textId="77777777" w:rsidR="008C76E0" w:rsidRPr="00BD7577" w:rsidRDefault="008C76E0" w:rsidP="001C3278">
            <w:pPr>
              <w:pStyle w:val="Bodytext180"/>
              <w:shd w:val="clear" w:color="auto" w:fill="auto"/>
              <w:tabs>
                <w:tab w:val="left" w:pos="1073"/>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lastRenderedPageBreak/>
              <w:t>4.</w:t>
            </w:r>
            <w:r w:rsidRPr="00BD7577">
              <w:rPr>
                <w:rStyle w:val="Bodytext295pt"/>
                <w:rFonts w:ascii="Sylfaen" w:hAnsi="Sylfaen"/>
                <w:spacing w:val="0"/>
                <w:sz w:val="24"/>
                <w:szCs w:val="24"/>
              </w:rPr>
              <w:tab/>
              <w:t xml:space="preserve">Թունաբանություն (2.6.6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4.3.3 մոդուլներ):</w:t>
            </w:r>
          </w:p>
          <w:p w14:paraId="3B1D23B1" w14:textId="77777777" w:rsidR="008C76E0" w:rsidRPr="008C76E0" w:rsidRDefault="008C76E0" w:rsidP="001C3278">
            <w:pPr>
              <w:pStyle w:val="Bodytext180"/>
              <w:shd w:val="clear" w:color="auto" w:fill="auto"/>
              <w:tabs>
                <w:tab w:val="left" w:pos="1073"/>
              </w:tabs>
              <w:spacing w:before="0" w:after="160" w:line="360" w:lineRule="auto"/>
              <w:ind w:firstLine="567"/>
              <w:rPr>
                <w:rFonts w:ascii="Sylfaen" w:hAnsi="Sylfaen"/>
                <w:sz w:val="24"/>
                <w:szCs w:val="24"/>
                <w:lang w:val="hy-AM"/>
              </w:rPr>
            </w:pPr>
            <w:r>
              <w:rPr>
                <w:rStyle w:val="Bodytext295pt"/>
                <w:rFonts w:ascii="Sylfaen" w:hAnsi="Sylfaen"/>
                <w:spacing w:val="0"/>
                <w:sz w:val="24"/>
                <w:szCs w:val="24"/>
              </w:rPr>
              <w:t>4.1.</w:t>
            </w:r>
            <w:r w:rsidRPr="00BD7577">
              <w:rPr>
                <w:rStyle w:val="Bodytext295pt"/>
                <w:rFonts w:ascii="Sylfaen" w:hAnsi="Sylfaen"/>
                <w:spacing w:val="0"/>
                <w:sz w:val="24"/>
                <w:szCs w:val="24"/>
              </w:rPr>
              <w:tab/>
              <w:t>Թո</w:t>
            </w:r>
            <w:r w:rsidRPr="00BD7577">
              <w:rPr>
                <w:rStyle w:val="Bodytext295pt"/>
                <w:rFonts w:ascii="Sylfaen" w:eastAsia="MS Mincho" w:hAnsi="Sylfaen"/>
                <w:spacing w:val="0"/>
                <w:sz w:val="24"/>
                <w:szCs w:val="24"/>
              </w:rPr>
              <w:t>ւնավորությունը՝ մեկանգամյա ներարկման դեպքում:</w:t>
            </w:r>
          </w:p>
          <w:p w14:paraId="67EF054E" w14:textId="77777777" w:rsidR="008C76E0" w:rsidRPr="008C76E0" w:rsidRDefault="008C76E0" w:rsidP="001C3278">
            <w:pPr>
              <w:pStyle w:val="Bodytext180"/>
              <w:shd w:val="clear" w:color="auto" w:fill="auto"/>
              <w:spacing w:before="0" w:after="160" w:line="360" w:lineRule="auto"/>
              <w:ind w:left="3341" w:right="260" w:firstLine="0"/>
              <w:jc w:val="right"/>
              <w:rPr>
                <w:rFonts w:ascii="Sylfaen" w:hAnsi="Sylfaen"/>
                <w:b w:val="0"/>
                <w:sz w:val="24"/>
                <w:szCs w:val="24"/>
                <w:lang w:val="hy-AM"/>
              </w:rPr>
            </w:pPr>
            <w:r w:rsidRPr="00BD7577">
              <w:rPr>
                <w:rStyle w:val="Bodytext295pt"/>
                <w:rFonts w:ascii="Sylfaen" w:hAnsi="Sylfaen"/>
                <w:spacing w:val="0"/>
                <w:sz w:val="24"/>
                <w:szCs w:val="24"/>
              </w:rPr>
              <w:t>Մեկանգամյա ներարկման դեպքում թունավորության հետազոտության համար աղյուսակի օրինակ՝</w:t>
            </w:r>
          </w:p>
        </w:tc>
      </w:tr>
      <w:tr w:rsidR="008C76E0" w:rsidRPr="00BD7577" w14:paraId="361E6BA9" w14:textId="77777777" w:rsidTr="008C76E0">
        <w:trPr>
          <w:jc w:val="center"/>
        </w:trPr>
        <w:tc>
          <w:tcPr>
            <w:tcW w:w="2222" w:type="dxa"/>
            <w:tcBorders>
              <w:top w:val="single" w:sz="4" w:space="0" w:color="auto"/>
              <w:left w:val="single" w:sz="4" w:space="0" w:color="auto"/>
            </w:tcBorders>
            <w:shd w:val="clear" w:color="auto" w:fill="FFFFFF"/>
          </w:tcPr>
          <w:p w14:paraId="6708DA29"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035" w:type="dxa"/>
            <w:gridSpan w:val="3"/>
            <w:tcBorders>
              <w:top w:val="single" w:sz="4" w:space="0" w:color="auto"/>
              <w:left w:val="single" w:sz="4" w:space="0" w:color="auto"/>
            </w:tcBorders>
            <w:shd w:val="clear" w:color="auto" w:fill="FFFFFF"/>
          </w:tcPr>
          <w:p w14:paraId="59A63F0B"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Տեսակները/սեռը/քանակը/խումբը</w:t>
            </w:r>
          </w:p>
        </w:tc>
        <w:tc>
          <w:tcPr>
            <w:tcW w:w="1518" w:type="dxa"/>
            <w:gridSpan w:val="2"/>
            <w:tcBorders>
              <w:top w:val="single" w:sz="4" w:space="0" w:color="auto"/>
              <w:left w:val="single" w:sz="4" w:space="0" w:color="auto"/>
            </w:tcBorders>
            <w:shd w:val="clear" w:color="auto" w:fill="FFFFFF"/>
          </w:tcPr>
          <w:p w14:paraId="59CD7544"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3056" w:type="dxa"/>
            <w:gridSpan w:val="3"/>
            <w:tcBorders>
              <w:top w:val="single" w:sz="4" w:space="0" w:color="auto"/>
              <w:left w:val="single" w:sz="4" w:space="0" w:color="auto"/>
            </w:tcBorders>
            <w:shd w:val="clear" w:color="auto" w:fill="FFFFFF"/>
          </w:tcPr>
          <w:p w14:paraId="3A189D9A" w14:textId="77777777" w:rsidR="008C76E0" w:rsidRPr="00BD7577" w:rsidRDefault="008C76E0" w:rsidP="001C3278">
            <w:pPr>
              <w:pStyle w:val="Bodytext180"/>
              <w:shd w:val="clear" w:color="auto" w:fill="auto"/>
              <w:spacing w:before="0" w:after="160" w:line="360" w:lineRule="auto"/>
              <w:ind w:left="85" w:right="37" w:firstLine="0"/>
              <w:rPr>
                <w:rFonts w:ascii="Sylfaen" w:hAnsi="Sylfaen"/>
                <w:b w:val="0"/>
                <w:sz w:val="24"/>
                <w:szCs w:val="24"/>
              </w:rPr>
            </w:pPr>
            <w:r w:rsidRPr="00BD7577">
              <w:rPr>
                <w:rStyle w:val="Bodytext1811pt"/>
                <w:rFonts w:ascii="Sylfaen" w:hAnsi="Sylfaen"/>
                <w:sz w:val="24"/>
                <w:szCs w:val="24"/>
              </w:rPr>
              <w:t>Հաշվարկված մահացու դոզան (դիտարկվող առավելագույն ոչ մահացու դոզան)</w:t>
            </w:r>
          </w:p>
        </w:tc>
        <w:tc>
          <w:tcPr>
            <w:tcW w:w="1795" w:type="dxa"/>
            <w:gridSpan w:val="2"/>
            <w:tcBorders>
              <w:top w:val="single" w:sz="4" w:space="0" w:color="auto"/>
              <w:left w:val="single" w:sz="4" w:space="0" w:color="auto"/>
            </w:tcBorders>
            <w:shd w:val="clear" w:color="auto" w:fill="FFFFFF"/>
          </w:tcPr>
          <w:p w14:paraId="5D62E600"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6ACDE81B" w14:textId="77777777" w:rsidTr="008C76E0">
        <w:trPr>
          <w:jc w:val="center"/>
        </w:trPr>
        <w:tc>
          <w:tcPr>
            <w:tcW w:w="10626" w:type="dxa"/>
            <w:gridSpan w:val="11"/>
            <w:tcBorders>
              <w:top w:val="single" w:sz="4" w:space="0" w:color="auto"/>
            </w:tcBorders>
            <w:shd w:val="clear" w:color="auto" w:fill="FFFFFF"/>
          </w:tcPr>
          <w:p w14:paraId="48150E2E" w14:textId="77777777" w:rsidR="008C76E0" w:rsidRPr="00BD7577" w:rsidRDefault="008C76E0" w:rsidP="001C3278">
            <w:pPr>
              <w:spacing w:after="160" w:line="360" w:lineRule="auto"/>
              <w:rPr>
                <w:rFonts w:ascii="Sylfaen" w:hAnsi="Sylfaen"/>
                <w:sz w:val="24"/>
                <w:szCs w:val="24"/>
              </w:rPr>
            </w:pPr>
          </w:p>
        </w:tc>
      </w:tr>
      <w:tr w:rsidR="008C76E0" w:rsidRPr="00BD7577" w14:paraId="6B597E1E" w14:textId="77777777" w:rsidTr="008C76E0">
        <w:trPr>
          <w:jc w:val="center"/>
        </w:trPr>
        <w:tc>
          <w:tcPr>
            <w:tcW w:w="10626" w:type="dxa"/>
            <w:gridSpan w:val="11"/>
            <w:tcBorders>
              <w:top w:val="single" w:sz="4" w:space="0" w:color="auto"/>
            </w:tcBorders>
            <w:shd w:val="clear" w:color="auto" w:fill="FFFFFF"/>
          </w:tcPr>
          <w:p w14:paraId="784E3523" w14:textId="77777777" w:rsidR="008C76E0" w:rsidRPr="00BD7577" w:rsidRDefault="008C76E0" w:rsidP="001C3278">
            <w:pPr>
              <w:spacing w:after="160" w:line="360" w:lineRule="auto"/>
              <w:rPr>
                <w:rFonts w:ascii="Sylfaen" w:hAnsi="Sylfaen"/>
                <w:sz w:val="24"/>
                <w:szCs w:val="24"/>
              </w:rPr>
            </w:pPr>
          </w:p>
        </w:tc>
      </w:tr>
      <w:tr w:rsidR="008C76E0" w:rsidRPr="00BD7577" w14:paraId="63486DF4" w14:textId="77777777" w:rsidTr="008C76E0">
        <w:trPr>
          <w:jc w:val="center"/>
        </w:trPr>
        <w:tc>
          <w:tcPr>
            <w:tcW w:w="10626" w:type="dxa"/>
            <w:gridSpan w:val="11"/>
            <w:tcBorders>
              <w:top w:val="single" w:sz="4" w:space="0" w:color="auto"/>
              <w:left w:val="single" w:sz="4" w:space="0" w:color="auto"/>
            </w:tcBorders>
            <w:shd w:val="clear" w:color="auto" w:fill="FFFFFF"/>
          </w:tcPr>
          <w:p w14:paraId="63482F38" w14:textId="77777777" w:rsidR="008C76E0" w:rsidRPr="00BD7577" w:rsidRDefault="008C76E0" w:rsidP="001C3278">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638D774" w14:textId="77777777" w:rsidTr="008C76E0">
        <w:trPr>
          <w:jc w:val="center"/>
        </w:trPr>
        <w:tc>
          <w:tcPr>
            <w:tcW w:w="10626" w:type="dxa"/>
            <w:gridSpan w:val="11"/>
            <w:tcBorders>
              <w:top w:val="single" w:sz="4" w:space="0" w:color="auto"/>
            </w:tcBorders>
            <w:shd w:val="clear" w:color="auto" w:fill="FFFFFF"/>
            <w:vAlign w:val="bottom"/>
          </w:tcPr>
          <w:p w14:paraId="6CAF1815" w14:textId="77777777" w:rsidR="008C76E0" w:rsidRPr="008C76E0" w:rsidRDefault="008C76E0" w:rsidP="001C3278">
            <w:pPr>
              <w:pStyle w:val="Bodytext180"/>
              <w:shd w:val="clear" w:color="auto" w:fill="auto"/>
              <w:tabs>
                <w:tab w:val="left" w:pos="1194"/>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4.2.</w:t>
            </w:r>
            <w:r w:rsidRPr="00BD7577">
              <w:rPr>
                <w:rStyle w:val="Bodytext295pt"/>
                <w:rFonts w:ascii="Sylfaen" w:hAnsi="Sylfaen"/>
                <w:spacing w:val="0"/>
                <w:sz w:val="24"/>
                <w:szCs w:val="24"/>
              </w:rPr>
              <w:tab/>
              <w:t>Թունավորությունը բազմակի ներարկման դեպքում:</w:t>
            </w:r>
          </w:p>
          <w:p w14:paraId="143BD3CB" w14:textId="77777777" w:rsidR="008C76E0" w:rsidRPr="008C76E0" w:rsidRDefault="008C76E0" w:rsidP="001C3278">
            <w:pPr>
              <w:pStyle w:val="Bodytext180"/>
              <w:shd w:val="clear" w:color="auto" w:fill="auto"/>
              <w:spacing w:before="0" w:after="160" w:line="360" w:lineRule="auto"/>
              <w:ind w:left="3341" w:right="260" w:firstLine="0"/>
              <w:jc w:val="right"/>
              <w:rPr>
                <w:rFonts w:ascii="Sylfaen" w:hAnsi="Sylfaen"/>
                <w:b w:val="0"/>
                <w:sz w:val="24"/>
                <w:szCs w:val="24"/>
                <w:lang w:val="hy-AM"/>
              </w:rPr>
            </w:pPr>
            <w:r w:rsidRPr="00BD7577">
              <w:rPr>
                <w:rStyle w:val="Bodytext295pt"/>
                <w:rFonts w:ascii="Sylfaen" w:hAnsi="Sylfaen"/>
                <w:spacing w:val="0"/>
                <w:sz w:val="24"/>
                <w:szCs w:val="24"/>
              </w:rPr>
              <w:t>Բազմակի ներարկման դեպքում թունավորության հետազոտության համար աղյուսակի օրինակ՝</w:t>
            </w:r>
          </w:p>
        </w:tc>
      </w:tr>
      <w:tr w:rsidR="008C76E0" w:rsidRPr="00BD7577" w14:paraId="1F596366" w14:textId="77777777" w:rsidTr="008C76E0">
        <w:trPr>
          <w:jc w:val="center"/>
        </w:trPr>
        <w:tc>
          <w:tcPr>
            <w:tcW w:w="2222" w:type="dxa"/>
            <w:tcBorders>
              <w:top w:val="single" w:sz="4" w:space="0" w:color="auto"/>
              <w:left w:val="single" w:sz="4" w:space="0" w:color="auto"/>
            </w:tcBorders>
            <w:shd w:val="clear" w:color="auto" w:fill="FFFFFF"/>
          </w:tcPr>
          <w:p w14:paraId="5DAE6CA2"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035" w:type="dxa"/>
            <w:gridSpan w:val="3"/>
            <w:tcBorders>
              <w:top w:val="single" w:sz="4" w:space="0" w:color="auto"/>
              <w:left w:val="single" w:sz="4" w:space="0" w:color="auto"/>
            </w:tcBorders>
            <w:shd w:val="clear" w:color="auto" w:fill="FFFFFF"/>
          </w:tcPr>
          <w:p w14:paraId="078A677C"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Տեսակները/սեռը/քանակը/խումբը</w:t>
            </w:r>
          </w:p>
        </w:tc>
        <w:tc>
          <w:tcPr>
            <w:tcW w:w="1518" w:type="dxa"/>
            <w:gridSpan w:val="2"/>
            <w:tcBorders>
              <w:top w:val="single" w:sz="4" w:space="0" w:color="auto"/>
              <w:left w:val="single" w:sz="4" w:space="0" w:color="auto"/>
            </w:tcBorders>
            <w:shd w:val="clear" w:color="auto" w:fill="FFFFFF"/>
          </w:tcPr>
          <w:p w14:paraId="63B0B159"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1721" w:type="dxa"/>
            <w:gridSpan w:val="2"/>
            <w:tcBorders>
              <w:top w:val="single" w:sz="4" w:space="0" w:color="auto"/>
            </w:tcBorders>
            <w:shd w:val="clear" w:color="auto" w:fill="FFFFFF"/>
          </w:tcPr>
          <w:p w14:paraId="0C90911B"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Տ</w:t>
            </w:r>
            <w:r w:rsidR="00C54D75">
              <w:rPr>
                <w:rStyle w:val="Bodytext1811pt"/>
                <w:rFonts w:ascii="Sylfaen" w:hAnsi="Sylfaen"/>
                <w:sz w:val="24"/>
                <w:szCs w:val="24"/>
              </w:rPr>
              <w:t>և</w:t>
            </w:r>
            <w:r w:rsidRPr="00BD7577">
              <w:rPr>
                <w:rStyle w:val="Bodytext1811pt"/>
                <w:rFonts w:ascii="Sylfaen" w:hAnsi="Sylfaen"/>
                <w:sz w:val="24"/>
                <w:szCs w:val="24"/>
              </w:rPr>
              <w:t>ողությունը</w:t>
            </w:r>
          </w:p>
        </w:tc>
        <w:tc>
          <w:tcPr>
            <w:tcW w:w="1335" w:type="dxa"/>
            <w:tcBorders>
              <w:top w:val="single" w:sz="4" w:space="0" w:color="auto"/>
              <w:left w:val="single" w:sz="4" w:space="0" w:color="auto"/>
            </w:tcBorders>
            <w:shd w:val="clear" w:color="auto" w:fill="FFFFFF"/>
          </w:tcPr>
          <w:p w14:paraId="211B7042"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NOEL/ NOAEL (մգ/կգ/օր)</w:t>
            </w:r>
          </w:p>
        </w:tc>
        <w:tc>
          <w:tcPr>
            <w:tcW w:w="1795" w:type="dxa"/>
            <w:gridSpan w:val="2"/>
            <w:tcBorders>
              <w:top w:val="single" w:sz="4" w:space="0" w:color="auto"/>
              <w:right w:val="single" w:sz="4" w:space="0" w:color="auto"/>
            </w:tcBorders>
            <w:shd w:val="clear" w:color="auto" w:fill="FFFFFF"/>
          </w:tcPr>
          <w:p w14:paraId="34AE5757" w14:textId="77777777" w:rsidR="008C76E0" w:rsidRPr="00BD7577" w:rsidRDefault="008C76E0" w:rsidP="001C3278">
            <w:pPr>
              <w:pStyle w:val="Bodytext180"/>
              <w:shd w:val="clear" w:color="auto" w:fill="auto"/>
              <w:spacing w:before="0" w:after="160" w:line="360" w:lineRule="auto"/>
              <w:ind w:left="85" w:right="-63" w:firstLine="0"/>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1535ABDB" w14:textId="77777777" w:rsidTr="008C76E0">
        <w:trPr>
          <w:jc w:val="center"/>
        </w:trPr>
        <w:tc>
          <w:tcPr>
            <w:tcW w:w="10626" w:type="dxa"/>
            <w:gridSpan w:val="11"/>
            <w:tcBorders>
              <w:top w:val="single" w:sz="4" w:space="0" w:color="auto"/>
            </w:tcBorders>
            <w:shd w:val="clear" w:color="auto" w:fill="FFFFFF"/>
          </w:tcPr>
          <w:p w14:paraId="4346FBC6" w14:textId="77777777" w:rsidR="008C76E0" w:rsidRPr="00BD7577" w:rsidRDefault="008C76E0" w:rsidP="001C3278">
            <w:pPr>
              <w:spacing w:after="160" w:line="360" w:lineRule="auto"/>
              <w:rPr>
                <w:rFonts w:ascii="Sylfaen" w:hAnsi="Sylfaen"/>
                <w:sz w:val="24"/>
                <w:szCs w:val="24"/>
              </w:rPr>
            </w:pPr>
          </w:p>
        </w:tc>
      </w:tr>
      <w:tr w:rsidR="008C76E0" w:rsidRPr="00BD7577" w14:paraId="18B4B390" w14:textId="77777777" w:rsidTr="008C76E0">
        <w:trPr>
          <w:jc w:val="center"/>
        </w:trPr>
        <w:tc>
          <w:tcPr>
            <w:tcW w:w="10626" w:type="dxa"/>
            <w:gridSpan w:val="11"/>
            <w:tcBorders>
              <w:top w:val="single" w:sz="4" w:space="0" w:color="auto"/>
            </w:tcBorders>
            <w:shd w:val="clear" w:color="auto" w:fill="FFFFFF"/>
          </w:tcPr>
          <w:p w14:paraId="470EAAA1" w14:textId="77777777" w:rsidR="008C76E0" w:rsidRPr="00BD7577" w:rsidRDefault="008C76E0" w:rsidP="001C3278">
            <w:pPr>
              <w:spacing w:after="160" w:line="360" w:lineRule="auto"/>
              <w:rPr>
                <w:rFonts w:ascii="Sylfaen" w:hAnsi="Sylfaen"/>
                <w:sz w:val="24"/>
                <w:szCs w:val="24"/>
              </w:rPr>
            </w:pPr>
          </w:p>
        </w:tc>
      </w:tr>
      <w:tr w:rsidR="008C76E0" w:rsidRPr="00BD7577" w14:paraId="6B44099E" w14:textId="77777777" w:rsidTr="008C76E0">
        <w:trPr>
          <w:jc w:val="center"/>
        </w:trPr>
        <w:tc>
          <w:tcPr>
            <w:tcW w:w="10626" w:type="dxa"/>
            <w:gridSpan w:val="11"/>
            <w:tcBorders>
              <w:top w:val="single" w:sz="4" w:space="0" w:color="auto"/>
              <w:left w:val="single" w:sz="4" w:space="0" w:color="auto"/>
            </w:tcBorders>
            <w:shd w:val="clear" w:color="auto" w:fill="FFFFFF"/>
          </w:tcPr>
          <w:p w14:paraId="67596351" w14:textId="77777777" w:rsidR="008C76E0" w:rsidRPr="00BD7577" w:rsidRDefault="008C76E0" w:rsidP="001C3278">
            <w:pPr>
              <w:pStyle w:val="Bodytext180"/>
              <w:shd w:val="clear" w:color="auto" w:fill="auto"/>
              <w:spacing w:before="0" w:after="160" w:line="360" w:lineRule="auto"/>
              <w:ind w:right="5749"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3EC4444" w14:textId="77777777" w:rsidTr="008C76E0">
        <w:trPr>
          <w:jc w:val="center"/>
        </w:trPr>
        <w:tc>
          <w:tcPr>
            <w:tcW w:w="10626" w:type="dxa"/>
            <w:gridSpan w:val="11"/>
            <w:tcBorders>
              <w:top w:val="single" w:sz="4" w:space="0" w:color="auto"/>
            </w:tcBorders>
            <w:shd w:val="clear" w:color="auto" w:fill="FFFFFF"/>
            <w:vAlign w:val="center"/>
          </w:tcPr>
          <w:p w14:paraId="2C31E185" w14:textId="77777777" w:rsidR="008C76E0" w:rsidRPr="008C76E0" w:rsidRDefault="008C76E0" w:rsidP="001C3278">
            <w:pPr>
              <w:pStyle w:val="Bodytext180"/>
              <w:shd w:val="clear" w:color="auto" w:fill="auto"/>
              <w:spacing w:before="0" w:after="160" w:line="360" w:lineRule="auto"/>
              <w:ind w:firstLine="0"/>
              <w:rPr>
                <w:rFonts w:ascii="Sylfaen" w:hAnsi="Sylfaen"/>
                <w:b w:val="0"/>
                <w:sz w:val="24"/>
                <w:szCs w:val="24"/>
                <w:lang w:val="hy-AM"/>
              </w:rPr>
            </w:pPr>
            <w:r w:rsidRPr="00BD7577">
              <w:rPr>
                <w:rStyle w:val="Bodytext295pt"/>
                <w:rFonts w:ascii="Sylfaen" w:hAnsi="Sylfaen"/>
                <w:spacing w:val="0"/>
                <w:sz w:val="24"/>
                <w:szCs w:val="24"/>
              </w:rPr>
              <w:t>Տոքսիկոկինետիկա:</w:t>
            </w:r>
          </w:p>
          <w:p w14:paraId="10A56D2E" w14:textId="77777777" w:rsidR="008C76E0" w:rsidRPr="00DD61E4" w:rsidRDefault="008C76E0" w:rsidP="001C3278">
            <w:pPr>
              <w:pStyle w:val="Bodytext180"/>
              <w:shd w:val="clear" w:color="auto" w:fill="auto"/>
              <w:spacing w:before="0" w:after="160" w:line="360" w:lineRule="auto"/>
              <w:ind w:left="4615" w:right="261" w:firstLine="0"/>
              <w:jc w:val="right"/>
              <w:rPr>
                <w:rStyle w:val="Bodytext295pt"/>
                <w:rFonts w:ascii="Sylfaen" w:hAnsi="Sylfaen"/>
                <w:spacing w:val="0"/>
                <w:sz w:val="24"/>
                <w:szCs w:val="24"/>
              </w:rPr>
            </w:pPr>
            <w:r w:rsidRPr="00BD7577">
              <w:rPr>
                <w:rStyle w:val="Bodytext295pt"/>
                <w:rFonts w:ascii="Sylfaen" w:hAnsi="Sylfaen"/>
                <w:spacing w:val="0"/>
                <w:sz w:val="24"/>
                <w:szCs w:val="24"/>
              </w:rPr>
              <w:t>Տոքսիկոկինետիկ հետազոտությունների տվյալներով աղյուսակի օրինակ:</w:t>
            </w:r>
          </w:p>
          <w:p w14:paraId="355A4A97" w14:textId="77777777" w:rsidR="008C76E0" w:rsidRPr="008C76E0" w:rsidRDefault="008C76E0" w:rsidP="001C3278">
            <w:pPr>
              <w:pStyle w:val="Bodytext180"/>
              <w:shd w:val="clear" w:color="auto" w:fill="auto"/>
              <w:spacing w:before="0" w:after="160" w:line="360" w:lineRule="auto"/>
              <w:ind w:left="4617" w:right="260" w:firstLine="0"/>
              <w:jc w:val="right"/>
              <w:rPr>
                <w:rFonts w:ascii="Sylfaen" w:hAnsi="Sylfaen"/>
                <w:b w:val="0"/>
                <w:sz w:val="24"/>
                <w:szCs w:val="24"/>
                <w:lang w:val="hy-AM"/>
              </w:rPr>
            </w:pPr>
          </w:p>
        </w:tc>
      </w:tr>
      <w:tr w:rsidR="008C76E0" w:rsidRPr="00BD7577" w14:paraId="3A2EF269" w14:textId="77777777" w:rsidTr="008C76E0">
        <w:trPr>
          <w:jc w:val="center"/>
        </w:trPr>
        <w:tc>
          <w:tcPr>
            <w:tcW w:w="2222" w:type="dxa"/>
            <w:tcBorders>
              <w:top w:val="single" w:sz="4" w:space="0" w:color="auto"/>
              <w:left w:val="single" w:sz="4" w:space="0" w:color="auto"/>
              <w:bottom w:val="single" w:sz="4" w:space="0" w:color="auto"/>
            </w:tcBorders>
            <w:shd w:val="clear" w:color="auto" w:fill="FFFFFF"/>
          </w:tcPr>
          <w:p w14:paraId="7A03D47E"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lastRenderedPageBreak/>
              <w:t>Հետազոտության նույնականացման համարը</w:t>
            </w:r>
          </w:p>
        </w:tc>
        <w:tc>
          <w:tcPr>
            <w:tcW w:w="1638" w:type="dxa"/>
            <w:gridSpan w:val="2"/>
            <w:tcBorders>
              <w:top w:val="single" w:sz="4" w:space="0" w:color="auto"/>
              <w:left w:val="single" w:sz="4" w:space="0" w:color="auto"/>
              <w:bottom w:val="single" w:sz="4" w:space="0" w:color="auto"/>
            </w:tcBorders>
            <w:shd w:val="clear" w:color="auto" w:fill="FFFFFF"/>
          </w:tcPr>
          <w:p w14:paraId="7FFBE646"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Օրական դոզա (хх/хх)</w:t>
            </w:r>
          </w:p>
        </w:tc>
        <w:tc>
          <w:tcPr>
            <w:tcW w:w="3391" w:type="dxa"/>
            <w:gridSpan w:val="4"/>
            <w:tcBorders>
              <w:top w:val="single" w:sz="4" w:space="0" w:color="auto"/>
              <w:left w:val="single" w:sz="4" w:space="0" w:color="auto"/>
              <w:bottom w:val="single" w:sz="4" w:space="0" w:color="auto"/>
            </w:tcBorders>
            <w:shd w:val="clear" w:color="auto" w:fill="FFFFFF"/>
          </w:tcPr>
          <w:p w14:paraId="7DBDF90C"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AUC-ը կենդանիների մոտ (նգ×մլ/ժ)</w:t>
            </w:r>
          </w:p>
        </w:tc>
        <w:tc>
          <w:tcPr>
            <w:tcW w:w="3375" w:type="dxa"/>
            <w:gridSpan w:val="4"/>
            <w:tcBorders>
              <w:top w:val="single" w:sz="4" w:space="0" w:color="auto"/>
              <w:left w:val="single" w:sz="4" w:space="0" w:color="auto"/>
              <w:bottom w:val="single" w:sz="4" w:space="0" w:color="auto"/>
            </w:tcBorders>
            <w:shd w:val="clear" w:color="auto" w:fill="FFFFFF"/>
          </w:tcPr>
          <w:p w14:paraId="7C0837AB" w14:textId="77777777" w:rsidR="008C76E0" w:rsidRPr="00BD7577" w:rsidRDefault="008C76E0" w:rsidP="001C3278">
            <w:pPr>
              <w:pStyle w:val="Bodytext180"/>
              <w:shd w:val="clear" w:color="auto" w:fill="auto"/>
              <w:spacing w:before="0" w:after="160" w:line="360" w:lineRule="auto"/>
              <w:ind w:left="85" w:right="75" w:firstLine="0"/>
              <w:rPr>
                <w:rStyle w:val="Bodytext1811pt"/>
                <w:rFonts w:ascii="Sylfaen" w:hAnsi="Sylfaen"/>
                <w:sz w:val="24"/>
                <w:szCs w:val="24"/>
              </w:rPr>
            </w:pPr>
            <w:r w:rsidRPr="00BD7577">
              <w:rPr>
                <w:rStyle w:val="Bodytext1811pt"/>
                <w:rFonts w:ascii="Sylfaen" w:hAnsi="Sylfaen"/>
                <w:sz w:val="24"/>
                <w:szCs w:val="24"/>
              </w:rPr>
              <w:t xml:space="preserve">Կենդանիներ՝ Մարդ </w:t>
            </w:r>
          </w:p>
          <w:p w14:paraId="624C9421"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XXX</w:t>
            </w:r>
          </w:p>
          <w:p w14:paraId="2EDB9D51"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Կրկնակի էկսպոզիցիա</w:t>
            </w:r>
          </w:p>
        </w:tc>
      </w:tr>
      <w:tr w:rsidR="008C76E0" w:rsidRPr="00BD7577" w14:paraId="185AFC08" w14:textId="77777777" w:rsidTr="008C76E0">
        <w:trPr>
          <w:jc w:val="center"/>
        </w:trPr>
        <w:tc>
          <w:tcPr>
            <w:tcW w:w="3853" w:type="dxa"/>
            <w:gridSpan w:val="2"/>
            <w:tcBorders>
              <w:top w:val="single" w:sz="4" w:space="0" w:color="auto"/>
              <w:bottom w:val="single" w:sz="4" w:space="0" w:color="auto"/>
            </w:tcBorders>
            <w:shd w:val="clear" w:color="auto" w:fill="FFFFFF"/>
          </w:tcPr>
          <w:p w14:paraId="361672A6" w14:textId="77777777" w:rsidR="008C76E0" w:rsidRPr="00BD7577" w:rsidRDefault="008C76E0" w:rsidP="001C3278">
            <w:pPr>
              <w:spacing w:after="160" w:line="360" w:lineRule="auto"/>
              <w:rPr>
                <w:rFonts w:ascii="Sylfaen" w:hAnsi="Sylfaen"/>
                <w:sz w:val="24"/>
                <w:szCs w:val="24"/>
              </w:rPr>
            </w:pPr>
          </w:p>
        </w:tc>
        <w:tc>
          <w:tcPr>
            <w:tcW w:w="1530" w:type="dxa"/>
            <w:gridSpan w:val="3"/>
            <w:tcBorders>
              <w:top w:val="single" w:sz="4" w:space="0" w:color="auto"/>
              <w:bottom w:val="single" w:sz="4" w:space="0" w:color="auto"/>
            </w:tcBorders>
            <w:shd w:val="clear" w:color="auto" w:fill="FFFFFF"/>
          </w:tcPr>
          <w:p w14:paraId="16390F3E"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868" w:type="dxa"/>
            <w:gridSpan w:val="2"/>
            <w:tcBorders>
              <w:top w:val="single" w:sz="4" w:space="0" w:color="auto"/>
              <w:bottom w:val="single" w:sz="4" w:space="0" w:color="auto"/>
            </w:tcBorders>
            <w:shd w:val="clear" w:color="auto" w:fill="FFFFFF"/>
          </w:tcPr>
          <w:p w14:paraId="260A7532"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hAnsi="Times New Roman" w:cs="Times New Roman"/>
                <w:sz w:val="24"/>
                <w:szCs w:val="24"/>
              </w:rPr>
              <w:t>♀</w:t>
            </w:r>
          </w:p>
        </w:tc>
        <w:tc>
          <w:tcPr>
            <w:tcW w:w="1821" w:type="dxa"/>
            <w:gridSpan w:val="3"/>
            <w:tcBorders>
              <w:top w:val="single" w:sz="4" w:space="0" w:color="auto"/>
              <w:bottom w:val="single" w:sz="4" w:space="0" w:color="auto"/>
            </w:tcBorders>
            <w:shd w:val="clear" w:color="auto" w:fill="FFFFFF"/>
          </w:tcPr>
          <w:p w14:paraId="7A3ED76D"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554" w:type="dxa"/>
            <w:tcBorders>
              <w:top w:val="single" w:sz="4" w:space="0" w:color="auto"/>
              <w:bottom w:val="single" w:sz="4" w:space="0" w:color="auto"/>
            </w:tcBorders>
            <w:shd w:val="clear" w:color="auto" w:fill="FFFFFF"/>
          </w:tcPr>
          <w:p w14:paraId="57DB6FC0"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hAnsi="Times New Roman" w:cs="Times New Roman"/>
                <w:sz w:val="24"/>
                <w:szCs w:val="24"/>
              </w:rPr>
              <w:t>♀</w:t>
            </w:r>
          </w:p>
        </w:tc>
      </w:tr>
    </w:tbl>
    <w:p w14:paraId="75838C3B" w14:textId="77777777" w:rsidR="008C76E0" w:rsidRPr="00BD7577" w:rsidRDefault="008C76E0" w:rsidP="008C76E0">
      <w:pPr>
        <w:rPr>
          <w:rFonts w:ascii="Sylfaen" w:hAnsi="Sylfaen"/>
          <w:sz w:val="24"/>
          <w:szCs w:val="24"/>
        </w:rPr>
      </w:pPr>
    </w:p>
    <w:tbl>
      <w:tblPr>
        <w:tblOverlap w:val="never"/>
        <w:tblW w:w="9810" w:type="dxa"/>
        <w:jc w:val="center"/>
        <w:tblLayout w:type="fixed"/>
        <w:tblCellMar>
          <w:left w:w="10" w:type="dxa"/>
          <w:right w:w="10" w:type="dxa"/>
        </w:tblCellMar>
        <w:tblLook w:val="04A0" w:firstRow="1" w:lastRow="0" w:firstColumn="1" w:lastColumn="0" w:noHBand="0" w:noVBand="1"/>
      </w:tblPr>
      <w:tblGrid>
        <w:gridCol w:w="9810"/>
      </w:tblGrid>
      <w:tr w:rsidR="008C76E0" w:rsidRPr="00BD7577" w14:paraId="037E6A2D" w14:textId="77777777" w:rsidTr="008C76E0">
        <w:trPr>
          <w:jc w:val="center"/>
        </w:trPr>
        <w:tc>
          <w:tcPr>
            <w:tcW w:w="9810" w:type="dxa"/>
            <w:tcBorders>
              <w:top w:val="single" w:sz="4" w:space="0" w:color="auto"/>
            </w:tcBorders>
            <w:shd w:val="clear" w:color="auto" w:fill="FFFFFF"/>
          </w:tcPr>
          <w:p w14:paraId="52A79EA8"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1811pt"/>
                <w:rFonts w:ascii="Sylfaen" w:hAnsi="Sylfaen"/>
                <w:sz w:val="24"/>
                <w:szCs w:val="24"/>
              </w:rPr>
              <w:t>Ծանոթագրություն՝* Համեմատության համար ցանկալի է օգտագործել պատրաստուկի չկապակցված մասի համար AUC արժեքները:</w:t>
            </w:r>
          </w:p>
        </w:tc>
      </w:tr>
    </w:tbl>
    <w:p w14:paraId="23BBFD57" w14:textId="77777777" w:rsidR="008C76E0" w:rsidRPr="00E15E7D" w:rsidRDefault="008C76E0" w:rsidP="008C76E0">
      <w:pPr>
        <w:rPr>
          <w:rFonts w:ascii="Sylfaen" w:hAnsi="Sylfaen"/>
          <w:sz w:val="24"/>
          <w:szCs w:val="24"/>
        </w:rPr>
      </w:pPr>
    </w:p>
    <w:tbl>
      <w:tblPr>
        <w:tblOverlap w:val="never"/>
        <w:tblW w:w="9609" w:type="dxa"/>
        <w:jc w:val="center"/>
        <w:tblLayout w:type="fixed"/>
        <w:tblCellMar>
          <w:left w:w="10" w:type="dxa"/>
          <w:right w:w="10" w:type="dxa"/>
        </w:tblCellMar>
        <w:tblLook w:val="04A0" w:firstRow="1" w:lastRow="0" w:firstColumn="1" w:lastColumn="0" w:noHBand="0" w:noVBand="1"/>
      </w:tblPr>
      <w:tblGrid>
        <w:gridCol w:w="4219"/>
        <w:gridCol w:w="1142"/>
        <w:gridCol w:w="1128"/>
        <w:gridCol w:w="868"/>
        <w:gridCol w:w="764"/>
        <w:gridCol w:w="1488"/>
      </w:tblGrid>
      <w:tr w:rsidR="008C76E0" w:rsidRPr="00BD7577" w14:paraId="65C54CA7" w14:textId="77777777" w:rsidTr="008C76E0">
        <w:trPr>
          <w:jc w:val="center"/>
        </w:trPr>
        <w:tc>
          <w:tcPr>
            <w:tcW w:w="9609" w:type="dxa"/>
            <w:gridSpan w:val="6"/>
            <w:tcBorders>
              <w:top w:val="single" w:sz="4" w:space="0" w:color="auto"/>
              <w:left w:val="single" w:sz="4" w:space="0" w:color="auto"/>
              <w:right w:val="single" w:sz="4" w:space="0" w:color="auto"/>
            </w:tcBorders>
            <w:shd w:val="clear" w:color="auto" w:fill="FFFFFF"/>
          </w:tcPr>
          <w:p w14:paraId="7DF2C6E5"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051B14" w14:textId="77777777" w:rsidTr="008C76E0">
        <w:trPr>
          <w:jc w:val="center"/>
        </w:trPr>
        <w:tc>
          <w:tcPr>
            <w:tcW w:w="4219" w:type="dxa"/>
            <w:tcBorders>
              <w:top w:val="single" w:sz="4" w:space="0" w:color="auto"/>
            </w:tcBorders>
            <w:shd w:val="clear" w:color="auto" w:fill="FFFFFF"/>
            <w:vAlign w:val="center"/>
          </w:tcPr>
          <w:p w14:paraId="5D1AA07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Միջտեսակային համեմատություն:</w:t>
            </w:r>
          </w:p>
        </w:tc>
        <w:tc>
          <w:tcPr>
            <w:tcW w:w="1142" w:type="dxa"/>
            <w:tcBorders>
              <w:top w:val="single" w:sz="4" w:space="0" w:color="auto"/>
            </w:tcBorders>
            <w:shd w:val="clear" w:color="auto" w:fill="FFFFFF"/>
          </w:tcPr>
          <w:p w14:paraId="618B1AD2" w14:textId="77777777" w:rsidR="008C76E0" w:rsidRPr="00BD7577" w:rsidRDefault="008C76E0" w:rsidP="008C76E0">
            <w:pPr>
              <w:rPr>
                <w:rFonts w:ascii="Sylfaen" w:hAnsi="Sylfaen"/>
                <w:sz w:val="24"/>
                <w:szCs w:val="24"/>
              </w:rPr>
            </w:pPr>
          </w:p>
        </w:tc>
        <w:tc>
          <w:tcPr>
            <w:tcW w:w="1128" w:type="dxa"/>
            <w:tcBorders>
              <w:top w:val="single" w:sz="4" w:space="0" w:color="auto"/>
            </w:tcBorders>
            <w:shd w:val="clear" w:color="auto" w:fill="FFFFFF"/>
          </w:tcPr>
          <w:p w14:paraId="3090D477" w14:textId="77777777" w:rsidR="008C76E0" w:rsidRPr="00BD7577" w:rsidRDefault="008C76E0" w:rsidP="008C76E0">
            <w:pPr>
              <w:rPr>
                <w:rFonts w:ascii="Sylfaen" w:hAnsi="Sylfaen"/>
                <w:sz w:val="24"/>
                <w:szCs w:val="24"/>
              </w:rPr>
            </w:pPr>
          </w:p>
        </w:tc>
        <w:tc>
          <w:tcPr>
            <w:tcW w:w="868" w:type="dxa"/>
            <w:tcBorders>
              <w:top w:val="single" w:sz="4" w:space="0" w:color="auto"/>
            </w:tcBorders>
            <w:shd w:val="clear" w:color="auto" w:fill="FFFFFF"/>
          </w:tcPr>
          <w:p w14:paraId="3F339B78" w14:textId="77777777" w:rsidR="008C76E0" w:rsidRPr="00BD7577" w:rsidRDefault="008C76E0" w:rsidP="008C76E0">
            <w:pPr>
              <w:rPr>
                <w:rFonts w:ascii="Sylfaen" w:hAnsi="Sylfaen"/>
                <w:sz w:val="24"/>
                <w:szCs w:val="24"/>
              </w:rPr>
            </w:pPr>
          </w:p>
        </w:tc>
        <w:tc>
          <w:tcPr>
            <w:tcW w:w="764" w:type="dxa"/>
            <w:tcBorders>
              <w:top w:val="single" w:sz="4" w:space="0" w:color="auto"/>
            </w:tcBorders>
            <w:shd w:val="clear" w:color="auto" w:fill="FFFFFF"/>
          </w:tcPr>
          <w:p w14:paraId="39E013F3" w14:textId="77777777" w:rsidR="008C76E0" w:rsidRPr="00BD7577" w:rsidRDefault="008C76E0" w:rsidP="008C76E0">
            <w:pPr>
              <w:rPr>
                <w:rFonts w:ascii="Sylfaen" w:hAnsi="Sylfaen"/>
                <w:sz w:val="24"/>
                <w:szCs w:val="24"/>
              </w:rPr>
            </w:pPr>
          </w:p>
        </w:tc>
        <w:tc>
          <w:tcPr>
            <w:tcW w:w="1488" w:type="dxa"/>
            <w:tcBorders>
              <w:top w:val="single" w:sz="4" w:space="0" w:color="auto"/>
            </w:tcBorders>
            <w:shd w:val="clear" w:color="auto" w:fill="FFFFFF"/>
          </w:tcPr>
          <w:p w14:paraId="646A2472" w14:textId="77777777" w:rsidR="008C76E0" w:rsidRPr="00BD7577" w:rsidRDefault="008C76E0" w:rsidP="008C76E0">
            <w:pPr>
              <w:rPr>
                <w:rFonts w:ascii="Sylfaen" w:hAnsi="Sylfaen"/>
                <w:sz w:val="24"/>
                <w:szCs w:val="24"/>
              </w:rPr>
            </w:pPr>
          </w:p>
        </w:tc>
      </w:tr>
    </w:tbl>
    <w:p w14:paraId="79ECBD28" w14:textId="77777777" w:rsidR="008C76E0" w:rsidRPr="00BD7577" w:rsidRDefault="008C76E0" w:rsidP="008C76E0">
      <w:pPr>
        <w:rPr>
          <w:rFonts w:ascii="Sylfaen" w:hAnsi="Sylfaen"/>
          <w:sz w:val="24"/>
          <w:szCs w:val="24"/>
        </w:rPr>
      </w:pPr>
    </w:p>
    <w:tbl>
      <w:tblPr>
        <w:tblOverlap w:val="never"/>
        <w:tblW w:w="9765" w:type="dxa"/>
        <w:jc w:val="center"/>
        <w:tblLayout w:type="fixed"/>
        <w:tblCellMar>
          <w:left w:w="10" w:type="dxa"/>
          <w:right w:w="10" w:type="dxa"/>
        </w:tblCellMar>
        <w:tblLook w:val="04A0" w:firstRow="1" w:lastRow="0" w:firstColumn="1" w:lastColumn="0" w:noHBand="0" w:noVBand="1"/>
      </w:tblPr>
      <w:tblGrid>
        <w:gridCol w:w="2254"/>
        <w:gridCol w:w="2121"/>
        <w:gridCol w:w="1142"/>
        <w:gridCol w:w="1128"/>
        <w:gridCol w:w="868"/>
        <w:gridCol w:w="764"/>
        <w:gridCol w:w="780"/>
        <w:gridCol w:w="708"/>
      </w:tblGrid>
      <w:tr w:rsidR="008C76E0" w:rsidRPr="00BD7577" w14:paraId="472FB46D" w14:textId="77777777" w:rsidTr="008C76E0">
        <w:trPr>
          <w:jc w:val="center"/>
        </w:trPr>
        <w:tc>
          <w:tcPr>
            <w:tcW w:w="9765" w:type="dxa"/>
            <w:gridSpan w:val="8"/>
            <w:shd w:val="clear" w:color="auto" w:fill="FFFFFF"/>
            <w:vAlign w:val="center"/>
          </w:tcPr>
          <w:p w14:paraId="0A21A125" w14:textId="77777777" w:rsidR="008C76E0" w:rsidRPr="008C76E0" w:rsidRDefault="008C76E0" w:rsidP="008C76E0">
            <w:pPr>
              <w:pStyle w:val="Bodytext180"/>
              <w:shd w:val="clear" w:color="auto" w:fill="auto"/>
              <w:spacing w:before="0" w:after="120" w:line="240" w:lineRule="auto"/>
              <w:ind w:left="2244" w:right="160" w:firstLine="0"/>
              <w:jc w:val="right"/>
              <w:rPr>
                <w:rFonts w:ascii="Sylfaen" w:hAnsi="Sylfaen"/>
                <w:b w:val="0"/>
                <w:sz w:val="24"/>
                <w:szCs w:val="24"/>
                <w:lang w:val="hy-AM"/>
              </w:rPr>
            </w:pPr>
            <w:r w:rsidRPr="00BD7577">
              <w:rPr>
                <w:rStyle w:val="Bodytext295pt"/>
                <w:rFonts w:ascii="Sylfaen" w:hAnsi="Sylfaen"/>
                <w:spacing w:val="0"/>
                <w:sz w:val="24"/>
                <w:szCs w:val="24"/>
              </w:rPr>
              <w:t>Կենդանիների վրա հետազոտություններում էքսպոզիցիան կլինիկական հետազոտություններում էքսպոզիցիայի հետ համեմատելու համար աղյուսակի օրինակ՝</w:t>
            </w:r>
          </w:p>
        </w:tc>
      </w:tr>
      <w:tr w:rsidR="008C76E0" w:rsidRPr="00BD7577" w14:paraId="392742C0" w14:textId="77777777" w:rsidTr="008C76E0">
        <w:trPr>
          <w:jc w:val="center"/>
        </w:trPr>
        <w:tc>
          <w:tcPr>
            <w:tcW w:w="2254" w:type="dxa"/>
            <w:tcBorders>
              <w:top w:val="single" w:sz="4" w:space="0" w:color="auto"/>
              <w:left w:val="single" w:sz="4" w:space="0" w:color="auto"/>
            </w:tcBorders>
            <w:shd w:val="clear" w:color="auto" w:fill="FFFFFF"/>
            <w:vAlign w:val="bottom"/>
          </w:tcPr>
          <w:p w14:paraId="0C2984FB"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121" w:type="dxa"/>
            <w:tcBorders>
              <w:top w:val="single" w:sz="4" w:space="0" w:color="auto"/>
              <w:left w:val="single" w:sz="4" w:space="0" w:color="auto"/>
            </w:tcBorders>
            <w:shd w:val="clear" w:color="auto" w:fill="FFFFFF"/>
          </w:tcPr>
          <w:p w14:paraId="2FDF3A52"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Օրական դոզա (хх/хх)</w:t>
            </w:r>
          </w:p>
        </w:tc>
        <w:tc>
          <w:tcPr>
            <w:tcW w:w="2270" w:type="dxa"/>
            <w:gridSpan w:val="2"/>
            <w:tcBorders>
              <w:top w:val="single" w:sz="4" w:space="0" w:color="auto"/>
              <w:left w:val="single" w:sz="4" w:space="0" w:color="auto"/>
            </w:tcBorders>
            <w:shd w:val="clear" w:color="auto" w:fill="FFFFFF"/>
          </w:tcPr>
          <w:p w14:paraId="21CD2AEA"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AUC-ը կենդանիների մոտ (նգ×մլ/ժ)</w:t>
            </w:r>
          </w:p>
        </w:tc>
        <w:tc>
          <w:tcPr>
            <w:tcW w:w="1632" w:type="dxa"/>
            <w:gridSpan w:val="2"/>
            <w:tcBorders>
              <w:top w:val="single" w:sz="4" w:space="0" w:color="auto"/>
              <w:left w:val="single" w:sz="4" w:space="0" w:color="auto"/>
            </w:tcBorders>
            <w:shd w:val="clear" w:color="auto" w:fill="FFFFFF"/>
          </w:tcPr>
          <w:p w14:paraId="56F425A7"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C</w:t>
            </w:r>
            <w:r w:rsidRPr="00BD7577">
              <w:rPr>
                <w:rStyle w:val="Bodytext1811pt"/>
                <w:rFonts w:ascii="Sylfaen" w:hAnsi="Sylfaen"/>
                <w:sz w:val="24"/>
                <w:szCs w:val="24"/>
                <w:vertAlign w:val="subscript"/>
              </w:rPr>
              <w:t>max</w:t>
            </w:r>
          </w:p>
        </w:tc>
        <w:tc>
          <w:tcPr>
            <w:tcW w:w="1488" w:type="dxa"/>
            <w:gridSpan w:val="2"/>
            <w:tcBorders>
              <w:top w:val="single" w:sz="4" w:space="0" w:color="auto"/>
              <w:left w:val="single" w:sz="4" w:space="0" w:color="auto"/>
            </w:tcBorders>
            <w:shd w:val="clear" w:color="auto" w:fill="FFFFFF"/>
          </w:tcPr>
          <w:p w14:paraId="6F555EEB" w14:textId="77777777" w:rsidR="008C76E0" w:rsidRPr="00BD7577" w:rsidRDefault="008C76E0" w:rsidP="008C76E0">
            <w:pPr>
              <w:spacing w:after="120" w:line="240" w:lineRule="auto"/>
              <w:ind w:left="117"/>
              <w:rPr>
                <w:rFonts w:ascii="Sylfaen" w:hAnsi="Sylfaen" w:cs="Times New Roman"/>
                <w:sz w:val="24"/>
                <w:szCs w:val="24"/>
              </w:rPr>
            </w:pPr>
            <w:r w:rsidRPr="00BD7577">
              <w:rPr>
                <w:rFonts w:ascii="Sylfaen" w:hAnsi="Sylfaen"/>
                <w:sz w:val="24"/>
                <w:szCs w:val="24"/>
              </w:rPr>
              <w:t>t</w:t>
            </w:r>
            <w:r w:rsidRPr="00BD7577">
              <w:rPr>
                <w:rFonts w:ascii="Sylfaen" w:hAnsi="Sylfaen"/>
                <w:sz w:val="24"/>
                <w:szCs w:val="24"/>
                <w:vertAlign w:val="subscript"/>
              </w:rPr>
              <w:t>½</w:t>
            </w:r>
          </w:p>
        </w:tc>
      </w:tr>
      <w:tr w:rsidR="008C76E0" w:rsidRPr="00BD7577" w14:paraId="5774410E" w14:textId="77777777" w:rsidTr="008C76E0">
        <w:trPr>
          <w:jc w:val="center"/>
        </w:trPr>
        <w:tc>
          <w:tcPr>
            <w:tcW w:w="2254" w:type="dxa"/>
            <w:tcBorders>
              <w:top w:val="single" w:sz="4" w:space="0" w:color="auto"/>
            </w:tcBorders>
            <w:shd w:val="clear" w:color="auto" w:fill="FFFFFF"/>
          </w:tcPr>
          <w:p w14:paraId="32389073" w14:textId="77777777" w:rsidR="008C76E0" w:rsidRPr="00BD7577" w:rsidRDefault="008C76E0" w:rsidP="008C76E0">
            <w:pPr>
              <w:spacing w:after="120" w:line="240" w:lineRule="auto"/>
              <w:rPr>
                <w:rFonts w:ascii="Sylfaen" w:hAnsi="Sylfaen"/>
                <w:sz w:val="24"/>
                <w:szCs w:val="24"/>
              </w:rPr>
            </w:pPr>
          </w:p>
        </w:tc>
        <w:tc>
          <w:tcPr>
            <w:tcW w:w="2121" w:type="dxa"/>
            <w:tcBorders>
              <w:top w:val="single" w:sz="4" w:space="0" w:color="auto"/>
            </w:tcBorders>
            <w:shd w:val="clear" w:color="auto" w:fill="FFFFFF"/>
          </w:tcPr>
          <w:p w14:paraId="3F0A574E" w14:textId="77777777" w:rsidR="008C76E0" w:rsidRPr="00BD7577" w:rsidRDefault="008C76E0" w:rsidP="008C76E0">
            <w:pPr>
              <w:spacing w:after="120" w:line="240" w:lineRule="auto"/>
              <w:rPr>
                <w:rFonts w:ascii="Sylfaen" w:hAnsi="Sylfaen"/>
                <w:sz w:val="24"/>
                <w:szCs w:val="24"/>
              </w:rPr>
            </w:pPr>
          </w:p>
        </w:tc>
        <w:tc>
          <w:tcPr>
            <w:tcW w:w="1142" w:type="dxa"/>
            <w:tcBorders>
              <w:top w:val="single" w:sz="4" w:space="0" w:color="auto"/>
            </w:tcBorders>
            <w:shd w:val="clear" w:color="auto" w:fill="FFFFFF"/>
          </w:tcPr>
          <w:p w14:paraId="0AC428C6"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128" w:type="dxa"/>
            <w:tcBorders>
              <w:top w:val="single" w:sz="4" w:space="0" w:color="auto"/>
            </w:tcBorders>
            <w:shd w:val="clear" w:color="auto" w:fill="FFFFFF"/>
          </w:tcPr>
          <w:p w14:paraId="225CFAD0"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c>
          <w:tcPr>
            <w:tcW w:w="868" w:type="dxa"/>
            <w:tcBorders>
              <w:top w:val="single" w:sz="4" w:space="0" w:color="auto"/>
            </w:tcBorders>
            <w:shd w:val="clear" w:color="auto" w:fill="FFFFFF"/>
          </w:tcPr>
          <w:p w14:paraId="640ED0F5"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764" w:type="dxa"/>
            <w:tcBorders>
              <w:top w:val="single" w:sz="4" w:space="0" w:color="auto"/>
            </w:tcBorders>
            <w:shd w:val="clear" w:color="auto" w:fill="FFFFFF"/>
          </w:tcPr>
          <w:p w14:paraId="27732737"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c>
          <w:tcPr>
            <w:tcW w:w="780" w:type="dxa"/>
            <w:tcBorders>
              <w:top w:val="single" w:sz="4" w:space="0" w:color="auto"/>
            </w:tcBorders>
            <w:shd w:val="clear" w:color="auto" w:fill="FFFFFF"/>
          </w:tcPr>
          <w:p w14:paraId="07B42527"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708" w:type="dxa"/>
            <w:tcBorders>
              <w:top w:val="single" w:sz="4" w:space="0" w:color="auto"/>
              <w:left w:val="nil"/>
            </w:tcBorders>
            <w:shd w:val="clear" w:color="auto" w:fill="FFFFFF"/>
          </w:tcPr>
          <w:p w14:paraId="2501F72D"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r>
      <w:tr w:rsidR="008C76E0" w:rsidRPr="00BD7577" w14:paraId="23D43406" w14:textId="77777777" w:rsidTr="008C76E0">
        <w:trPr>
          <w:jc w:val="center"/>
        </w:trPr>
        <w:tc>
          <w:tcPr>
            <w:tcW w:w="9765" w:type="dxa"/>
            <w:gridSpan w:val="8"/>
            <w:tcBorders>
              <w:top w:val="single" w:sz="4" w:space="0" w:color="auto"/>
            </w:tcBorders>
            <w:shd w:val="clear" w:color="auto" w:fill="FFFFFF"/>
          </w:tcPr>
          <w:p w14:paraId="21F08969" w14:textId="77777777" w:rsidR="008C76E0" w:rsidRPr="00BD7577" w:rsidRDefault="008C76E0" w:rsidP="008C76E0">
            <w:pPr>
              <w:spacing w:after="120" w:line="240" w:lineRule="auto"/>
              <w:rPr>
                <w:rFonts w:ascii="Sylfaen" w:hAnsi="Sylfaen"/>
                <w:sz w:val="24"/>
                <w:szCs w:val="24"/>
              </w:rPr>
            </w:pPr>
          </w:p>
        </w:tc>
      </w:tr>
      <w:tr w:rsidR="008C76E0" w:rsidRPr="00BD7577" w14:paraId="0DB8F197" w14:textId="77777777" w:rsidTr="008C76E0">
        <w:trPr>
          <w:jc w:val="center"/>
        </w:trPr>
        <w:tc>
          <w:tcPr>
            <w:tcW w:w="9765" w:type="dxa"/>
            <w:gridSpan w:val="8"/>
            <w:tcBorders>
              <w:top w:val="single" w:sz="4" w:space="0" w:color="auto"/>
              <w:left w:val="single" w:sz="4" w:space="0" w:color="auto"/>
              <w:right w:val="single" w:sz="4" w:space="0" w:color="auto"/>
            </w:tcBorders>
            <w:shd w:val="clear" w:color="auto" w:fill="FFFFFF"/>
          </w:tcPr>
          <w:p w14:paraId="1EDC8A78"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818828E" w14:textId="77777777" w:rsidTr="008C76E0">
        <w:trPr>
          <w:jc w:val="center"/>
        </w:trPr>
        <w:tc>
          <w:tcPr>
            <w:tcW w:w="9765" w:type="dxa"/>
            <w:gridSpan w:val="8"/>
            <w:tcBorders>
              <w:top w:val="single" w:sz="4" w:space="0" w:color="auto"/>
            </w:tcBorders>
            <w:shd w:val="clear" w:color="auto" w:fill="FFFFFF"/>
            <w:vAlign w:val="center"/>
          </w:tcPr>
          <w:p w14:paraId="0B18F916" w14:textId="77777777" w:rsidR="008C76E0" w:rsidRPr="00BD7577" w:rsidRDefault="008C76E0" w:rsidP="008C76E0">
            <w:pPr>
              <w:pStyle w:val="Bodytext180"/>
              <w:shd w:val="clear" w:color="auto" w:fill="auto"/>
              <w:tabs>
                <w:tab w:val="left" w:pos="1188"/>
              </w:tabs>
              <w:spacing w:before="0" w:after="120" w:line="240" w:lineRule="auto"/>
              <w:ind w:firstLine="567"/>
              <w:rPr>
                <w:rStyle w:val="Bodytext295pt"/>
                <w:rFonts w:ascii="Sylfaen" w:hAnsi="Sylfaen"/>
                <w:b/>
                <w:spacing w:val="0"/>
                <w:sz w:val="24"/>
                <w:szCs w:val="24"/>
              </w:rPr>
            </w:pPr>
            <w:r>
              <w:rPr>
                <w:rStyle w:val="Bodytext295pt"/>
                <w:rFonts w:ascii="Sylfaen" w:hAnsi="Sylfaen"/>
                <w:spacing w:val="0"/>
                <w:sz w:val="24"/>
                <w:szCs w:val="24"/>
              </w:rPr>
              <w:t>4.3.</w:t>
            </w:r>
            <w:r w:rsidRPr="00BD7577">
              <w:rPr>
                <w:rStyle w:val="Bodytext295pt"/>
                <w:rFonts w:ascii="Sylfaen" w:hAnsi="Sylfaen"/>
                <w:spacing w:val="0"/>
                <w:sz w:val="24"/>
                <w:szCs w:val="24"/>
              </w:rPr>
              <w:tab/>
              <w:t>Գենոտոքսիկ ազդեցությունը։</w:t>
            </w:r>
          </w:p>
        </w:tc>
      </w:tr>
    </w:tbl>
    <w:p w14:paraId="3F5558F4" w14:textId="77777777" w:rsidR="008C76E0" w:rsidRPr="00BD7577" w:rsidRDefault="008C76E0" w:rsidP="008C76E0">
      <w:pPr>
        <w:rPr>
          <w:rFonts w:ascii="Sylfaen" w:hAnsi="Sylfaen"/>
          <w:sz w:val="24"/>
          <w:szCs w:val="24"/>
        </w:rPr>
      </w:pPr>
    </w:p>
    <w:tbl>
      <w:tblPr>
        <w:tblOverlap w:val="never"/>
        <w:tblW w:w="10712" w:type="dxa"/>
        <w:jc w:val="center"/>
        <w:tblLayout w:type="fixed"/>
        <w:tblCellMar>
          <w:left w:w="10" w:type="dxa"/>
          <w:right w:w="10" w:type="dxa"/>
        </w:tblCellMar>
        <w:tblLook w:val="04A0" w:firstRow="1" w:lastRow="0" w:firstColumn="1" w:lastColumn="0" w:noHBand="0" w:noVBand="1"/>
      </w:tblPr>
      <w:tblGrid>
        <w:gridCol w:w="2098"/>
        <w:gridCol w:w="654"/>
        <w:gridCol w:w="3232"/>
        <w:gridCol w:w="1128"/>
        <w:gridCol w:w="1569"/>
        <w:gridCol w:w="764"/>
        <w:gridCol w:w="1267"/>
      </w:tblGrid>
      <w:tr w:rsidR="008C76E0" w:rsidRPr="00BD7577" w14:paraId="4C45D60A" w14:textId="77777777" w:rsidTr="008C76E0">
        <w:trPr>
          <w:jc w:val="center"/>
        </w:trPr>
        <w:tc>
          <w:tcPr>
            <w:tcW w:w="2098" w:type="dxa"/>
            <w:shd w:val="clear" w:color="auto" w:fill="FFFFFF"/>
          </w:tcPr>
          <w:p w14:paraId="48425A89" w14:textId="77777777" w:rsidR="008C76E0" w:rsidRPr="00BD7577" w:rsidRDefault="008C76E0" w:rsidP="008C76E0">
            <w:pPr>
              <w:spacing w:after="120" w:line="240" w:lineRule="auto"/>
              <w:rPr>
                <w:rFonts w:ascii="Sylfaen" w:hAnsi="Sylfaen"/>
                <w:sz w:val="24"/>
                <w:szCs w:val="24"/>
              </w:rPr>
            </w:pPr>
          </w:p>
        </w:tc>
        <w:tc>
          <w:tcPr>
            <w:tcW w:w="8614" w:type="dxa"/>
            <w:gridSpan w:val="6"/>
            <w:shd w:val="clear" w:color="auto" w:fill="FFFFFF"/>
            <w:vAlign w:val="bottom"/>
          </w:tcPr>
          <w:p w14:paraId="34982811"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295pt"/>
                <w:rFonts w:ascii="Sylfaen" w:hAnsi="Sylfaen"/>
                <w:spacing w:val="0"/>
                <w:sz w:val="24"/>
                <w:szCs w:val="24"/>
              </w:rPr>
              <w:t>Գենոտոքսիկ հետազոտությունների ակնարկի աղյուսակի օրինակ՝</w:t>
            </w:r>
          </w:p>
        </w:tc>
      </w:tr>
      <w:tr w:rsidR="008C76E0" w:rsidRPr="00BD7577" w14:paraId="1FC89CA6" w14:textId="77777777" w:rsidTr="008C76E0">
        <w:trPr>
          <w:jc w:val="center"/>
        </w:trPr>
        <w:tc>
          <w:tcPr>
            <w:tcW w:w="2752" w:type="dxa"/>
            <w:gridSpan w:val="2"/>
            <w:tcBorders>
              <w:top w:val="single" w:sz="4" w:space="0" w:color="auto"/>
              <w:left w:val="single" w:sz="4" w:space="0" w:color="auto"/>
            </w:tcBorders>
            <w:shd w:val="clear" w:color="auto" w:fill="FFFFFF"/>
          </w:tcPr>
          <w:p w14:paraId="2E310A83" w14:textId="77777777" w:rsidR="008C76E0" w:rsidRPr="008C76E0" w:rsidRDefault="008C76E0" w:rsidP="008C76E0">
            <w:pPr>
              <w:pStyle w:val="Bodytext180"/>
              <w:shd w:val="clear" w:color="auto" w:fill="auto"/>
              <w:spacing w:before="0" w:after="120" w:line="240" w:lineRule="auto"/>
              <w:ind w:left="117" w:firstLine="0"/>
              <w:rPr>
                <w:rFonts w:ascii="Sylfaen" w:hAnsi="Sylfaen"/>
                <w:b w:val="0"/>
                <w:sz w:val="24"/>
                <w:szCs w:val="24"/>
                <w:lang w:val="hy-AM"/>
              </w:rPr>
            </w:pPr>
            <w:r w:rsidRPr="00BD7577">
              <w:rPr>
                <w:rStyle w:val="Bodytext1811pt"/>
                <w:rFonts w:ascii="Sylfaen" w:hAnsi="Sylfaen"/>
                <w:sz w:val="24"/>
                <w:szCs w:val="24"/>
              </w:rPr>
              <w:t xml:space="preserve">Հետազոտության տեսակը/ նույնականացման համարը/պատշաճ լաբորատոր </w:t>
            </w:r>
            <w:r w:rsidRPr="00BD7577">
              <w:rPr>
                <w:rStyle w:val="Bodytext1811pt"/>
                <w:rFonts w:ascii="Sylfaen" w:hAnsi="Sylfaen"/>
                <w:sz w:val="24"/>
                <w:szCs w:val="24"/>
              </w:rPr>
              <w:lastRenderedPageBreak/>
              <w:t xml:space="preserve">գործելակերպին համապատասխա-նությունը </w:t>
            </w:r>
          </w:p>
        </w:tc>
        <w:tc>
          <w:tcPr>
            <w:tcW w:w="3232" w:type="dxa"/>
            <w:tcBorders>
              <w:top w:val="single" w:sz="4" w:space="0" w:color="auto"/>
              <w:left w:val="single" w:sz="4" w:space="0" w:color="auto"/>
            </w:tcBorders>
            <w:shd w:val="clear" w:color="auto" w:fill="FFFFFF"/>
          </w:tcPr>
          <w:p w14:paraId="2A6D0501"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lastRenderedPageBreak/>
              <w:t>Վերլուծության համակարգ</w:t>
            </w:r>
          </w:p>
        </w:tc>
        <w:tc>
          <w:tcPr>
            <w:tcW w:w="2697" w:type="dxa"/>
            <w:gridSpan w:val="2"/>
            <w:tcBorders>
              <w:top w:val="single" w:sz="4" w:space="0" w:color="auto"/>
              <w:left w:val="single" w:sz="4" w:space="0" w:color="auto"/>
            </w:tcBorders>
            <w:shd w:val="clear" w:color="auto" w:fill="FFFFFF"/>
          </w:tcPr>
          <w:p w14:paraId="3365C0CB"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Pr>
                <w:rStyle w:val="Bodytext1811pt"/>
                <w:rFonts w:ascii="Sylfaen" w:hAnsi="Sylfaen"/>
                <w:sz w:val="24"/>
                <w:szCs w:val="24"/>
              </w:rPr>
              <w:t>Կոնցենտրացիաները/ կոնցենտրացիա</w:t>
            </w:r>
            <w:r w:rsidRPr="00BD7577">
              <w:rPr>
                <w:rStyle w:val="Bodytext1811pt"/>
                <w:rFonts w:ascii="Sylfaen" w:hAnsi="Sylfaen"/>
                <w:sz w:val="24"/>
                <w:szCs w:val="24"/>
              </w:rPr>
              <w:t xml:space="preserve">ների ընդգրկույթը/ նյութափոխանա-կության համակարգը </w:t>
            </w:r>
          </w:p>
        </w:tc>
        <w:tc>
          <w:tcPr>
            <w:tcW w:w="2031" w:type="dxa"/>
            <w:gridSpan w:val="2"/>
            <w:tcBorders>
              <w:top w:val="single" w:sz="4" w:space="0" w:color="auto"/>
              <w:left w:val="single" w:sz="4" w:space="0" w:color="auto"/>
              <w:right w:val="single" w:sz="4" w:space="0" w:color="auto"/>
            </w:tcBorders>
            <w:shd w:val="clear" w:color="auto" w:fill="FFFFFF"/>
          </w:tcPr>
          <w:p w14:paraId="61A205E2"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Արդյունքներ՝ դրական/ բացասական/ ոչ միանշանակ</w:t>
            </w:r>
          </w:p>
        </w:tc>
      </w:tr>
      <w:tr w:rsidR="008C76E0" w:rsidRPr="00BD7577" w14:paraId="65717F11" w14:textId="77777777" w:rsidTr="008C76E0">
        <w:trPr>
          <w:jc w:val="center"/>
        </w:trPr>
        <w:tc>
          <w:tcPr>
            <w:tcW w:w="2098" w:type="dxa"/>
            <w:tcBorders>
              <w:top w:val="single" w:sz="4" w:space="0" w:color="auto"/>
            </w:tcBorders>
            <w:shd w:val="clear" w:color="auto" w:fill="FFFFFF"/>
          </w:tcPr>
          <w:p w14:paraId="6E2E5535"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Գենային մուտացիաները մանրէներում</w:t>
            </w:r>
          </w:p>
        </w:tc>
        <w:tc>
          <w:tcPr>
            <w:tcW w:w="654" w:type="dxa"/>
            <w:tcBorders>
              <w:top w:val="single" w:sz="4" w:space="0" w:color="auto"/>
            </w:tcBorders>
            <w:shd w:val="clear" w:color="auto" w:fill="FFFFFF"/>
          </w:tcPr>
          <w:p w14:paraId="0287C858" w14:textId="77777777" w:rsidR="008C76E0" w:rsidRPr="00BD7577" w:rsidRDefault="008C76E0" w:rsidP="008C76E0">
            <w:pPr>
              <w:spacing w:after="120" w:line="240" w:lineRule="auto"/>
              <w:ind w:left="162"/>
              <w:rPr>
                <w:rFonts w:ascii="Sylfaen" w:hAnsi="Sylfaen"/>
                <w:sz w:val="24"/>
                <w:szCs w:val="24"/>
              </w:rPr>
            </w:pPr>
          </w:p>
        </w:tc>
        <w:tc>
          <w:tcPr>
            <w:tcW w:w="3232" w:type="dxa"/>
            <w:tcBorders>
              <w:top w:val="single" w:sz="4" w:space="0" w:color="auto"/>
            </w:tcBorders>
            <w:shd w:val="clear" w:color="auto" w:fill="FFFFFF"/>
          </w:tcPr>
          <w:p w14:paraId="2E1D95A3"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սալմոնելայի շտամները</w:t>
            </w:r>
          </w:p>
        </w:tc>
        <w:tc>
          <w:tcPr>
            <w:tcW w:w="1128" w:type="dxa"/>
            <w:tcBorders>
              <w:top w:val="single" w:sz="4" w:space="0" w:color="auto"/>
            </w:tcBorders>
            <w:shd w:val="clear" w:color="auto" w:fill="FFFFFF"/>
            <w:vAlign w:val="center"/>
          </w:tcPr>
          <w:p w14:paraId="40025480"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 S9</w:t>
            </w:r>
          </w:p>
        </w:tc>
        <w:tc>
          <w:tcPr>
            <w:tcW w:w="1569" w:type="dxa"/>
            <w:tcBorders>
              <w:top w:val="single" w:sz="4" w:space="0" w:color="auto"/>
            </w:tcBorders>
            <w:shd w:val="clear" w:color="auto" w:fill="FFFFFF"/>
          </w:tcPr>
          <w:p w14:paraId="34708B84" w14:textId="77777777" w:rsidR="008C76E0" w:rsidRPr="00BD7577" w:rsidRDefault="008C76E0" w:rsidP="008C76E0">
            <w:pPr>
              <w:spacing w:after="120" w:line="240" w:lineRule="auto"/>
              <w:ind w:left="162"/>
              <w:rPr>
                <w:rFonts w:ascii="Sylfaen" w:hAnsi="Sylfaen"/>
                <w:sz w:val="24"/>
                <w:szCs w:val="24"/>
              </w:rPr>
            </w:pPr>
          </w:p>
        </w:tc>
        <w:tc>
          <w:tcPr>
            <w:tcW w:w="764" w:type="dxa"/>
            <w:tcBorders>
              <w:top w:val="single" w:sz="4" w:space="0" w:color="auto"/>
            </w:tcBorders>
            <w:shd w:val="clear" w:color="auto" w:fill="FFFFFF"/>
          </w:tcPr>
          <w:p w14:paraId="5CA518B3" w14:textId="77777777" w:rsidR="008C76E0" w:rsidRPr="00BD7577" w:rsidRDefault="008C76E0" w:rsidP="008C76E0">
            <w:pPr>
              <w:spacing w:after="120" w:line="240" w:lineRule="auto"/>
              <w:ind w:left="162"/>
              <w:rPr>
                <w:rFonts w:ascii="Sylfaen" w:hAnsi="Sylfaen"/>
                <w:sz w:val="24"/>
                <w:szCs w:val="24"/>
              </w:rPr>
            </w:pPr>
          </w:p>
        </w:tc>
        <w:tc>
          <w:tcPr>
            <w:tcW w:w="1267" w:type="dxa"/>
            <w:tcBorders>
              <w:top w:val="single" w:sz="4" w:space="0" w:color="auto"/>
            </w:tcBorders>
            <w:shd w:val="clear" w:color="auto" w:fill="FFFFFF"/>
          </w:tcPr>
          <w:p w14:paraId="44B16B63"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339E912D" w14:textId="77777777" w:rsidTr="008C76E0">
        <w:trPr>
          <w:trHeight w:val="1140"/>
          <w:jc w:val="center"/>
        </w:trPr>
        <w:tc>
          <w:tcPr>
            <w:tcW w:w="2098" w:type="dxa"/>
            <w:shd w:val="clear" w:color="auto" w:fill="FFFFFF"/>
          </w:tcPr>
          <w:p w14:paraId="4E24A1AA" w14:textId="77777777" w:rsidR="008C76E0" w:rsidRPr="00BD7577" w:rsidRDefault="008C76E0" w:rsidP="008C76E0">
            <w:pPr>
              <w:pStyle w:val="Bodytext180"/>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Գենային մուտացիաները կաթնասունների բջիջներում</w:t>
            </w:r>
          </w:p>
        </w:tc>
        <w:tc>
          <w:tcPr>
            <w:tcW w:w="654" w:type="dxa"/>
            <w:shd w:val="clear" w:color="auto" w:fill="FFFFFF"/>
          </w:tcPr>
          <w:p w14:paraId="6E5AE593" w14:textId="77777777" w:rsidR="008C76E0" w:rsidRPr="00BD7577" w:rsidRDefault="008C76E0" w:rsidP="008C76E0">
            <w:pPr>
              <w:spacing w:after="120" w:line="240" w:lineRule="auto"/>
              <w:ind w:left="162"/>
              <w:rPr>
                <w:rFonts w:ascii="Sylfaen" w:hAnsi="Sylfaen"/>
                <w:sz w:val="24"/>
                <w:szCs w:val="24"/>
              </w:rPr>
            </w:pPr>
          </w:p>
        </w:tc>
        <w:tc>
          <w:tcPr>
            <w:tcW w:w="3232" w:type="dxa"/>
            <w:shd w:val="clear" w:color="auto" w:fill="FFFFFF"/>
          </w:tcPr>
          <w:p w14:paraId="30262B0B" w14:textId="77777777" w:rsidR="008C76E0" w:rsidRPr="008C76E0" w:rsidRDefault="008C76E0" w:rsidP="008C76E0">
            <w:pPr>
              <w:pStyle w:val="Bodytext180"/>
              <w:shd w:val="clear" w:color="auto" w:fill="auto"/>
              <w:spacing w:before="0" w:after="120" w:line="240" w:lineRule="auto"/>
              <w:ind w:left="162" w:firstLine="0"/>
              <w:rPr>
                <w:rFonts w:ascii="Sylfaen" w:hAnsi="Sylfaen"/>
                <w:b w:val="0"/>
                <w:sz w:val="24"/>
                <w:szCs w:val="24"/>
                <w:lang w:val="hy-AM"/>
              </w:rPr>
            </w:pPr>
            <w:r w:rsidRPr="00BD7577">
              <w:rPr>
                <w:rStyle w:val="Bodytext1811pt"/>
                <w:rFonts w:ascii="Sylfaen" w:hAnsi="Sylfaen"/>
                <w:sz w:val="24"/>
                <w:szCs w:val="24"/>
              </w:rPr>
              <w:t xml:space="preserve">չինական գերմանամկան ձվաբջիջներ (CHO-բջիջներ), HGPRT-լոկուս, մարդու լիմֆոցիտներ </w:t>
            </w:r>
          </w:p>
        </w:tc>
        <w:tc>
          <w:tcPr>
            <w:tcW w:w="1128" w:type="dxa"/>
            <w:shd w:val="clear" w:color="auto" w:fill="FFFFFF"/>
            <w:vAlign w:val="center"/>
          </w:tcPr>
          <w:p w14:paraId="434E1B8A"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 xml:space="preserve">+/- S9 </w:t>
            </w:r>
          </w:p>
        </w:tc>
        <w:tc>
          <w:tcPr>
            <w:tcW w:w="1569" w:type="dxa"/>
            <w:shd w:val="clear" w:color="auto" w:fill="FFFFFF"/>
          </w:tcPr>
          <w:p w14:paraId="26834F1B" w14:textId="77777777" w:rsidR="008C76E0" w:rsidRPr="00BD7577" w:rsidRDefault="008C76E0" w:rsidP="008C76E0">
            <w:pPr>
              <w:spacing w:after="120" w:line="240" w:lineRule="auto"/>
              <w:ind w:left="162"/>
              <w:rPr>
                <w:rFonts w:ascii="Sylfaen" w:hAnsi="Sylfaen"/>
                <w:sz w:val="24"/>
                <w:szCs w:val="24"/>
              </w:rPr>
            </w:pPr>
          </w:p>
        </w:tc>
        <w:tc>
          <w:tcPr>
            <w:tcW w:w="764" w:type="dxa"/>
            <w:shd w:val="clear" w:color="auto" w:fill="FFFFFF"/>
          </w:tcPr>
          <w:p w14:paraId="167E8DB6" w14:textId="77777777" w:rsidR="008C76E0" w:rsidRPr="00BD7577" w:rsidRDefault="008C76E0" w:rsidP="008C76E0">
            <w:pPr>
              <w:spacing w:after="120" w:line="240" w:lineRule="auto"/>
              <w:ind w:left="162"/>
              <w:rPr>
                <w:rFonts w:ascii="Sylfaen" w:hAnsi="Sylfaen"/>
                <w:sz w:val="24"/>
                <w:szCs w:val="24"/>
              </w:rPr>
            </w:pPr>
          </w:p>
        </w:tc>
        <w:tc>
          <w:tcPr>
            <w:tcW w:w="1267" w:type="dxa"/>
            <w:shd w:val="clear" w:color="auto" w:fill="FFFFFF"/>
          </w:tcPr>
          <w:p w14:paraId="100F3CDD"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32BCB607" w14:textId="77777777" w:rsidTr="008C76E0">
        <w:trPr>
          <w:trHeight w:val="1320"/>
          <w:jc w:val="center"/>
        </w:trPr>
        <w:tc>
          <w:tcPr>
            <w:tcW w:w="2098" w:type="dxa"/>
            <w:shd w:val="clear" w:color="auto" w:fill="FFFFFF"/>
          </w:tcPr>
          <w:p w14:paraId="6534293D"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 xml:space="preserve">in vivo քրոմոսոմային աբերացիաներ </w:t>
            </w:r>
          </w:p>
        </w:tc>
        <w:tc>
          <w:tcPr>
            <w:tcW w:w="654" w:type="dxa"/>
            <w:shd w:val="clear" w:color="auto" w:fill="FFFFFF"/>
          </w:tcPr>
          <w:p w14:paraId="1D1EE45A" w14:textId="77777777" w:rsidR="008C76E0" w:rsidRPr="00BD7577" w:rsidRDefault="008C76E0" w:rsidP="008C76E0">
            <w:pPr>
              <w:spacing w:after="120" w:line="240" w:lineRule="auto"/>
              <w:ind w:left="162"/>
              <w:rPr>
                <w:rFonts w:ascii="Sylfaen" w:hAnsi="Sylfaen"/>
                <w:sz w:val="24"/>
                <w:szCs w:val="24"/>
              </w:rPr>
            </w:pPr>
          </w:p>
        </w:tc>
        <w:tc>
          <w:tcPr>
            <w:tcW w:w="3232" w:type="dxa"/>
            <w:shd w:val="clear" w:color="auto" w:fill="FFFFFF"/>
          </w:tcPr>
          <w:p w14:paraId="452B0658"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մկներ, միկրոմիջուկային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ստուգանիշ ոսկրածուծում</w:t>
            </w:r>
          </w:p>
        </w:tc>
        <w:tc>
          <w:tcPr>
            <w:tcW w:w="1128" w:type="dxa"/>
            <w:shd w:val="clear" w:color="auto" w:fill="FFFFFF"/>
            <w:vAlign w:val="center"/>
          </w:tcPr>
          <w:p w14:paraId="1E9F39E8"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 S9</w:t>
            </w:r>
          </w:p>
        </w:tc>
        <w:tc>
          <w:tcPr>
            <w:tcW w:w="1569" w:type="dxa"/>
            <w:shd w:val="clear" w:color="auto" w:fill="FFFFFF"/>
          </w:tcPr>
          <w:p w14:paraId="5D7D4E40" w14:textId="77777777" w:rsidR="008C76E0" w:rsidRPr="00BD7577" w:rsidRDefault="008C76E0" w:rsidP="008C76E0">
            <w:pPr>
              <w:spacing w:after="120" w:line="240" w:lineRule="auto"/>
              <w:ind w:left="162"/>
              <w:rPr>
                <w:rFonts w:ascii="Sylfaen" w:hAnsi="Sylfaen"/>
                <w:sz w:val="24"/>
                <w:szCs w:val="24"/>
              </w:rPr>
            </w:pPr>
          </w:p>
        </w:tc>
        <w:tc>
          <w:tcPr>
            <w:tcW w:w="764" w:type="dxa"/>
            <w:shd w:val="clear" w:color="auto" w:fill="FFFFFF"/>
          </w:tcPr>
          <w:p w14:paraId="2B2FC657" w14:textId="77777777" w:rsidR="008C76E0" w:rsidRPr="00BD7577" w:rsidRDefault="008C76E0" w:rsidP="008C76E0">
            <w:pPr>
              <w:spacing w:after="120" w:line="240" w:lineRule="auto"/>
              <w:ind w:left="162"/>
              <w:rPr>
                <w:rFonts w:ascii="Sylfaen" w:hAnsi="Sylfaen"/>
                <w:sz w:val="24"/>
                <w:szCs w:val="24"/>
              </w:rPr>
            </w:pPr>
          </w:p>
        </w:tc>
        <w:tc>
          <w:tcPr>
            <w:tcW w:w="1267" w:type="dxa"/>
            <w:shd w:val="clear" w:color="auto" w:fill="FFFFFF"/>
          </w:tcPr>
          <w:p w14:paraId="62D8D052"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6F87AFC8" w14:textId="77777777" w:rsidTr="008C76E0">
        <w:trPr>
          <w:jc w:val="center"/>
        </w:trPr>
        <w:tc>
          <w:tcPr>
            <w:tcW w:w="10712" w:type="dxa"/>
            <w:gridSpan w:val="7"/>
            <w:tcBorders>
              <w:top w:val="single" w:sz="4" w:space="0" w:color="auto"/>
            </w:tcBorders>
            <w:shd w:val="clear" w:color="auto" w:fill="FFFFFF"/>
          </w:tcPr>
          <w:p w14:paraId="0C9FF506"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2963A7F3" w14:textId="77777777" w:rsidTr="008C76E0">
        <w:trPr>
          <w:jc w:val="center"/>
        </w:trPr>
        <w:tc>
          <w:tcPr>
            <w:tcW w:w="10712" w:type="dxa"/>
            <w:gridSpan w:val="7"/>
            <w:tcBorders>
              <w:top w:val="single" w:sz="4" w:space="0" w:color="auto"/>
              <w:left w:val="single" w:sz="4" w:space="0" w:color="auto"/>
              <w:bottom w:val="single" w:sz="4" w:space="0" w:color="auto"/>
              <w:right w:val="single" w:sz="4" w:space="0" w:color="auto"/>
            </w:tcBorders>
            <w:shd w:val="clear" w:color="auto" w:fill="FFFFFF"/>
          </w:tcPr>
          <w:p w14:paraId="436F8C3C" w14:textId="77777777" w:rsidR="008C76E0" w:rsidRPr="00BD7577" w:rsidRDefault="008C76E0" w:rsidP="008C76E0">
            <w:pPr>
              <w:pStyle w:val="Bodytext180"/>
              <w:shd w:val="clear" w:color="auto" w:fill="auto"/>
              <w:spacing w:before="0" w:after="160" w:line="360" w:lineRule="auto"/>
              <w:ind w:left="164"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6F2EDA0F" w14:textId="77777777" w:rsidR="008C76E0" w:rsidRPr="00BD7577" w:rsidRDefault="008C76E0" w:rsidP="008C76E0">
      <w:pPr>
        <w:rPr>
          <w:rFonts w:ascii="Sylfaen" w:hAnsi="Sylfaen"/>
          <w:sz w:val="24"/>
          <w:szCs w:val="24"/>
        </w:rPr>
      </w:pPr>
    </w:p>
    <w:tbl>
      <w:tblPr>
        <w:tblOverlap w:val="never"/>
        <w:tblW w:w="11048" w:type="dxa"/>
        <w:jc w:val="center"/>
        <w:tblLayout w:type="fixed"/>
        <w:tblCellMar>
          <w:left w:w="10" w:type="dxa"/>
          <w:right w:w="10" w:type="dxa"/>
        </w:tblCellMar>
        <w:tblLook w:val="04A0" w:firstRow="1" w:lastRow="0" w:firstColumn="1" w:lastColumn="0" w:noHBand="0" w:noVBand="1"/>
      </w:tblPr>
      <w:tblGrid>
        <w:gridCol w:w="3231"/>
        <w:gridCol w:w="1860"/>
        <w:gridCol w:w="2127"/>
        <w:gridCol w:w="1848"/>
        <w:gridCol w:w="1982"/>
      </w:tblGrid>
      <w:tr w:rsidR="008C76E0" w:rsidRPr="00BD7577" w14:paraId="32577B44" w14:textId="77777777" w:rsidTr="008C76E0">
        <w:trPr>
          <w:jc w:val="center"/>
        </w:trPr>
        <w:tc>
          <w:tcPr>
            <w:tcW w:w="11048" w:type="dxa"/>
            <w:gridSpan w:val="5"/>
            <w:shd w:val="clear" w:color="auto" w:fill="FFFFFF"/>
          </w:tcPr>
          <w:p w14:paraId="737067E8" w14:textId="77777777" w:rsidR="008C76E0" w:rsidRPr="00BD7577" w:rsidRDefault="008C76E0" w:rsidP="008C76E0">
            <w:pPr>
              <w:pStyle w:val="Bodytext180"/>
              <w:shd w:val="clear" w:color="auto" w:fill="auto"/>
              <w:tabs>
                <w:tab w:val="left" w:pos="1121"/>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4.4.</w:t>
            </w:r>
            <w:r w:rsidRPr="00BD7577">
              <w:rPr>
                <w:rStyle w:val="Bodytext295pt"/>
                <w:rFonts w:ascii="Sylfaen" w:hAnsi="Sylfaen"/>
                <w:spacing w:val="0"/>
                <w:sz w:val="24"/>
                <w:szCs w:val="24"/>
              </w:rPr>
              <w:tab/>
              <w:t>Քաղցկեղածնությունը։</w:t>
            </w:r>
          </w:p>
          <w:p w14:paraId="3A4F363A" w14:textId="77777777" w:rsidR="008C76E0" w:rsidRPr="008C76E0"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4.4.1.</w:t>
            </w:r>
            <w:r w:rsidRPr="00BD7577">
              <w:rPr>
                <w:rStyle w:val="Bodytext295pt"/>
                <w:rFonts w:ascii="Sylfaen" w:hAnsi="Sylfaen"/>
                <w:spacing w:val="0"/>
                <w:sz w:val="24"/>
                <w:szCs w:val="24"/>
              </w:rPr>
              <w:tab/>
              <w:t>Երկարաժամկետ հետազոտություններ:</w:t>
            </w:r>
          </w:p>
          <w:p w14:paraId="0BE02E28" w14:textId="77777777" w:rsidR="008C76E0" w:rsidRPr="008C76E0" w:rsidRDefault="008C76E0" w:rsidP="008C76E0">
            <w:pPr>
              <w:pStyle w:val="Bodytext180"/>
              <w:shd w:val="clear" w:color="auto" w:fill="auto"/>
              <w:spacing w:before="0" w:after="160" w:line="360" w:lineRule="auto"/>
              <w:ind w:left="3114" w:right="160" w:firstLine="0"/>
              <w:jc w:val="right"/>
              <w:rPr>
                <w:rFonts w:ascii="Sylfaen" w:hAnsi="Sylfaen"/>
                <w:b w:val="0"/>
                <w:sz w:val="24"/>
                <w:szCs w:val="24"/>
                <w:lang w:val="hy-AM"/>
              </w:rPr>
            </w:pPr>
            <w:r w:rsidRPr="00BD7577">
              <w:rPr>
                <w:rStyle w:val="Bodytext295pt"/>
                <w:rFonts w:ascii="Sylfaen" w:hAnsi="Sylfaen"/>
                <w:spacing w:val="0"/>
                <w:sz w:val="24"/>
                <w:szCs w:val="24"/>
              </w:rPr>
              <w:t xml:space="preserve">Քաղցկեղածին ազդեցության մասով անցկացված հետազոտության նկարագրությամբ աղյուսակի օրինակ՝ </w:t>
            </w:r>
          </w:p>
        </w:tc>
      </w:tr>
      <w:tr w:rsidR="008C76E0" w:rsidRPr="00BD7577" w14:paraId="4BBCB823" w14:textId="77777777" w:rsidTr="008C76E0">
        <w:trPr>
          <w:jc w:val="center"/>
        </w:trPr>
        <w:tc>
          <w:tcPr>
            <w:tcW w:w="3231" w:type="dxa"/>
            <w:tcBorders>
              <w:top w:val="single" w:sz="4" w:space="0" w:color="auto"/>
            </w:tcBorders>
            <w:shd w:val="clear" w:color="auto" w:fill="FFFFFF"/>
          </w:tcPr>
          <w:p w14:paraId="6120A529" w14:textId="77777777" w:rsidR="008C76E0" w:rsidRPr="008C76E0" w:rsidRDefault="008C76E0" w:rsidP="008C76E0">
            <w:pPr>
              <w:pStyle w:val="Bodytext180"/>
              <w:shd w:val="clear" w:color="auto" w:fill="auto"/>
              <w:spacing w:before="0" w:after="160" w:line="360" w:lineRule="auto"/>
              <w:ind w:left="119" w:firstLine="0"/>
              <w:rPr>
                <w:rFonts w:ascii="Sylfaen" w:hAnsi="Sylfaen"/>
                <w:b w:val="0"/>
                <w:sz w:val="24"/>
                <w:szCs w:val="24"/>
                <w:lang w:val="hy-AM"/>
              </w:rPr>
            </w:pPr>
            <w:r w:rsidRPr="00BD7577">
              <w:rPr>
                <w:rStyle w:val="Bodytext1811pt"/>
                <w:rFonts w:ascii="Sylfaen" w:hAnsi="Sylfaen"/>
                <w:sz w:val="24"/>
                <w:szCs w:val="24"/>
              </w:rPr>
              <w:t>Ն</w:t>
            </w:r>
            <w:r>
              <w:rPr>
                <w:rStyle w:val="Bodytext1811pt"/>
                <w:rFonts w:ascii="Sylfaen" w:hAnsi="Sylfaen"/>
                <w:sz w:val="24"/>
                <w:szCs w:val="24"/>
              </w:rPr>
              <w:t>ույնականացման համարը/ համապատաս</w:t>
            </w:r>
            <w:r w:rsidRPr="00BD7577">
              <w:rPr>
                <w:rStyle w:val="Bodytext1811pt"/>
                <w:rFonts w:ascii="Sylfaen" w:hAnsi="Sylfaen"/>
                <w:sz w:val="24"/>
                <w:szCs w:val="24"/>
              </w:rPr>
              <w:t xml:space="preserve">խանությունը պատշաճ լաբորատոր գործելակերպին </w:t>
            </w:r>
          </w:p>
        </w:tc>
        <w:tc>
          <w:tcPr>
            <w:tcW w:w="1860" w:type="dxa"/>
            <w:tcBorders>
              <w:top w:val="single" w:sz="4" w:space="0" w:color="auto"/>
              <w:left w:val="single" w:sz="4" w:space="0" w:color="auto"/>
            </w:tcBorders>
            <w:shd w:val="clear" w:color="auto" w:fill="FFFFFF"/>
          </w:tcPr>
          <w:p w14:paraId="3C6CFE58"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2127" w:type="dxa"/>
            <w:tcBorders>
              <w:top w:val="single" w:sz="4" w:space="0" w:color="auto"/>
              <w:left w:val="single" w:sz="4" w:space="0" w:color="auto"/>
            </w:tcBorders>
            <w:shd w:val="clear" w:color="auto" w:fill="FFFFFF"/>
          </w:tcPr>
          <w:p w14:paraId="3C6657C0"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Ներգործությունը (AUC)</w:t>
            </w:r>
          </w:p>
        </w:tc>
        <w:tc>
          <w:tcPr>
            <w:tcW w:w="1848" w:type="dxa"/>
            <w:tcBorders>
              <w:top w:val="single" w:sz="4" w:space="0" w:color="auto"/>
              <w:left w:val="single" w:sz="4" w:space="0" w:color="auto"/>
            </w:tcBorders>
            <w:shd w:val="clear" w:color="auto" w:fill="FFFFFF"/>
          </w:tcPr>
          <w:p w14:paraId="3D413C2A"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Տեսակները/</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կենդանիների թիվը</w:t>
            </w:r>
          </w:p>
        </w:tc>
        <w:tc>
          <w:tcPr>
            <w:tcW w:w="1982" w:type="dxa"/>
            <w:tcBorders>
              <w:top w:val="single" w:sz="4" w:space="0" w:color="auto"/>
              <w:left w:val="single" w:sz="4" w:space="0" w:color="auto"/>
              <w:right w:val="single" w:sz="4" w:space="0" w:color="auto"/>
            </w:tcBorders>
            <w:shd w:val="clear" w:color="auto" w:fill="FFFFFF"/>
          </w:tcPr>
          <w:p w14:paraId="0AADE1D1"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32B98FBA" w14:textId="77777777" w:rsidTr="008C76E0">
        <w:trPr>
          <w:jc w:val="center"/>
        </w:trPr>
        <w:tc>
          <w:tcPr>
            <w:tcW w:w="11048" w:type="dxa"/>
            <w:gridSpan w:val="5"/>
            <w:tcBorders>
              <w:top w:val="single" w:sz="4" w:space="0" w:color="auto"/>
            </w:tcBorders>
            <w:shd w:val="clear" w:color="auto" w:fill="FFFFFF"/>
          </w:tcPr>
          <w:p w14:paraId="21F0ECCF" w14:textId="77777777" w:rsidR="008C76E0" w:rsidRPr="00BD7577" w:rsidRDefault="008C76E0" w:rsidP="008C76E0">
            <w:pPr>
              <w:rPr>
                <w:rFonts w:ascii="Sylfaen" w:hAnsi="Sylfaen"/>
                <w:sz w:val="24"/>
                <w:szCs w:val="24"/>
              </w:rPr>
            </w:pPr>
          </w:p>
        </w:tc>
      </w:tr>
      <w:tr w:rsidR="008C76E0" w:rsidRPr="00BD7577" w14:paraId="249DDF25" w14:textId="77777777" w:rsidTr="008C76E0">
        <w:trPr>
          <w:jc w:val="center"/>
        </w:trPr>
        <w:tc>
          <w:tcPr>
            <w:tcW w:w="3231" w:type="dxa"/>
            <w:tcBorders>
              <w:top w:val="single" w:sz="4" w:space="0" w:color="auto"/>
            </w:tcBorders>
            <w:shd w:val="clear" w:color="auto" w:fill="FFFFFF"/>
          </w:tcPr>
          <w:p w14:paraId="13CB93D6" w14:textId="77777777" w:rsidR="008C76E0" w:rsidRPr="00BD7577" w:rsidRDefault="008C76E0" w:rsidP="008C76E0">
            <w:pPr>
              <w:rPr>
                <w:rFonts w:ascii="Sylfaen" w:hAnsi="Sylfaen"/>
                <w:sz w:val="24"/>
                <w:szCs w:val="24"/>
              </w:rPr>
            </w:pPr>
          </w:p>
        </w:tc>
        <w:tc>
          <w:tcPr>
            <w:tcW w:w="1860" w:type="dxa"/>
            <w:tcBorders>
              <w:top w:val="single" w:sz="4" w:space="0" w:color="auto"/>
            </w:tcBorders>
            <w:shd w:val="clear" w:color="auto" w:fill="FFFFFF"/>
          </w:tcPr>
          <w:p w14:paraId="03F3343D" w14:textId="77777777" w:rsidR="008C76E0" w:rsidRPr="00BD7577" w:rsidRDefault="008C76E0" w:rsidP="008C76E0">
            <w:pPr>
              <w:rPr>
                <w:rFonts w:ascii="Sylfaen" w:hAnsi="Sylfaen"/>
                <w:sz w:val="24"/>
                <w:szCs w:val="24"/>
              </w:rPr>
            </w:pPr>
          </w:p>
        </w:tc>
        <w:tc>
          <w:tcPr>
            <w:tcW w:w="5957" w:type="dxa"/>
            <w:gridSpan w:val="3"/>
            <w:tcBorders>
              <w:top w:val="single" w:sz="4" w:space="0" w:color="auto"/>
            </w:tcBorders>
            <w:shd w:val="clear" w:color="auto" w:fill="FFFFFF"/>
            <w:vAlign w:val="bottom"/>
          </w:tcPr>
          <w:p w14:paraId="2427C42E"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295pt"/>
                <w:rFonts w:ascii="Sylfaen" w:hAnsi="Sylfaen"/>
                <w:spacing w:val="0"/>
                <w:sz w:val="24"/>
                <w:szCs w:val="24"/>
              </w:rPr>
              <w:t>«ХХ հետազոտության» ընթացքում ուռուցքների զարգացման մասին տվյալներով աղյուսակի օրինակ՝</w:t>
            </w:r>
          </w:p>
        </w:tc>
      </w:tr>
      <w:tr w:rsidR="008C76E0" w:rsidRPr="00BD7577" w14:paraId="2B155CC6" w14:textId="77777777" w:rsidTr="008C76E0">
        <w:trPr>
          <w:jc w:val="center"/>
        </w:trPr>
        <w:tc>
          <w:tcPr>
            <w:tcW w:w="3231" w:type="dxa"/>
            <w:shd w:val="clear" w:color="auto" w:fill="FFFFFF"/>
          </w:tcPr>
          <w:p w14:paraId="57865E64" w14:textId="77777777" w:rsidR="008C76E0" w:rsidRPr="00BD7577" w:rsidRDefault="008C76E0" w:rsidP="008C76E0">
            <w:pPr>
              <w:rPr>
                <w:rFonts w:ascii="Sylfaen" w:hAnsi="Sylfaen"/>
                <w:sz w:val="24"/>
                <w:szCs w:val="24"/>
              </w:rPr>
            </w:pPr>
          </w:p>
        </w:tc>
        <w:tc>
          <w:tcPr>
            <w:tcW w:w="1860" w:type="dxa"/>
            <w:shd w:val="clear" w:color="auto" w:fill="FFFFFF"/>
          </w:tcPr>
          <w:p w14:paraId="58DFF4E6" w14:textId="77777777" w:rsidR="008C76E0" w:rsidRPr="00BD7577" w:rsidRDefault="008C76E0" w:rsidP="008C76E0">
            <w:pPr>
              <w:rPr>
                <w:rFonts w:ascii="Sylfaen" w:hAnsi="Sylfaen"/>
                <w:sz w:val="24"/>
                <w:szCs w:val="24"/>
              </w:rPr>
            </w:pPr>
          </w:p>
        </w:tc>
        <w:tc>
          <w:tcPr>
            <w:tcW w:w="2127" w:type="dxa"/>
            <w:shd w:val="clear" w:color="auto" w:fill="FFFFFF"/>
          </w:tcPr>
          <w:p w14:paraId="22C2FBD7" w14:textId="77777777" w:rsidR="008C76E0" w:rsidRPr="00BD7577" w:rsidRDefault="008C76E0" w:rsidP="008C76E0">
            <w:pPr>
              <w:rPr>
                <w:rFonts w:ascii="Sylfaen" w:hAnsi="Sylfaen"/>
                <w:sz w:val="24"/>
                <w:szCs w:val="24"/>
              </w:rPr>
            </w:pPr>
          </w:p>
        </w:tc>
        <w:tc>
          <w:tcPr>
            <w:tcW w:w="3830" w:type="dxa"/>
            <w:gridSpan w:val="2"/>
            <w:shd w:val="clear" w:color="auto" w:fill="FFFFFF"/>
          </w:tcPr>
          <w:p w14:paraId="2D442A3E" w14:textId="77777777" w:rsidR="008C76E0" w:rsidRPr="008C76E0" w:rsidRDefault="008C76E0" w:rsidP="008C76E0">
            <w:pPr>
              <w:pStyle w:val="Bodytext180"/>
              <w:shd w:val="clear" w:color="auto" w:fill="auto"/>
              <w:spacing w:before="0" w:after="160" w:line="360" w:lineRule="auto"/>
              <w:ind w:right="140" w:firstLine="0"/>
              <w:jc w:val="right"/>
              <w:rPr>
                <w:rFonts w:ascii="Sylfaen" w:hAnsi="Sylfaen"/>
                <w:b w:val="0"/>
                <w:sz w:val="24"/>
                <w:szCs w:val="24"/>
                <w:lang w:val="hy-AM"/>
              </w:rPr>
            </w:pPr>
          </w:p>
        </w:tc>
      </w:tr>
      <w:tr w:rsidR="008C76E0" w:rsidRPr="00BD7577" w14:paraId="0752D3C3" w14:textId="77777777" w:rsidTr="008C76E0">
        <w:trPr>
          <w:jc w:val="center"/>
        </w:trPr>
        <w:tc>
          <w:tcPr>
            <w:tcW w:w="3231" w:type="dxa"/>
            <w:tcBorders>
              <w:top w:val="single" w:sz="4" w:space="0" w:color="auto"/>
              <w:left w:val="single" w:sz="4" w:space="0" w:color="auto"/>
            </w:tcBorders>
            <w:shd w:val="clear" w:color="auto" w:fill="FFFFFF"/>
          </w:tcPr>
          <w:p w14:paraId="6D94E002"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lastRenderedPageBreak/>
              <w:t>Ուռուցքների մասին տվյալներ</w:t>
            </w:r>
          </w:p>
        </w:tc>
        <w:tc>
          <w:tcPr>
            <w:tcW w:w="1860" w:type="dxa"/>
            <w:tcBorders>
              <w:top w:val="single" w:sz="4" w:space="0" w:color="auto"/>
              <w:left w:val="single" w:sz="4" w:space="0" w:color="auto"/>
            </w:tcBorders>
            <w:shd w:val="clear" w:color="auto" w:fill="FFFFFF"/>
          </w:tcPr>
          <w:p w14:paraId="0362A2E4" w14:textId="77777777" w:rsidR="008C76E0" w:rsidRPr="00BD7577" w:rsidRDefault="008C76E0" w:rsidP="008C76E0">
            <w:pPr>
              <w:pStyle w:val="Bodytext180"/>
              <w:shd w:val="clear" w:color="auto" w:fill="auto"/>
              <w:spacing w:before="0" w:after="160" w:line="360" w:lineRule="auto"/>
              <w:ind w:left="119" w:right="-10" w:firstLine="0"/>
              <w:jc w:val="center"/>
              <w:rPr>
                <w:rFonts w:ascii="Sylfaen" w:hAnsi="Sylfaen"/>
                <w:b w:val="0"/>
                <w:sz w:val="24"/>
                <w:szCs w:val="24"/>
              </w:rPr>
            </w:pPr>
            <w:r w:rsidRPr="00BD7577">
              <w:rPr>
                <w:rStyle w:val="Bodytext1811pt"/>
                <w:rFonts w:ascii="Sylfaen" w:hAnsi="Sylfaen"/>
                <w:sz w:val="24"/>
                <w:szCs w:val="24"/>
              </w:rPr>
              <w:t>Հսկողություն</w:t>
            </w:r>
          </w:p>
        </w:tc>
        <w:tc>
          <w:tcPr>
            <w:tcW w:w="2127" w:type="dxa"/>
            <w:tcBorders>
              <w:top w:val="single" w:sz="4" w:space="0" w:color="auto"/>
              <w:left w:val="single" w:sz="4" w:space="0" w:color="auto"/>
            </w:tcBorders>
            <w:shd w:val="clear" w:color="auto" w:fill="FFFFFF"/>
          </w:tcPr>
          <w:p w14:paraId="7A0FC989"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Ցածր դոզա</w:t>
            </w:r>
          </w:p>
        </w:tc>
        <w:tc>
          <w:tcPr>
            <w:tcW w:w="1848" w:type="dxa"/>
            <w:tcBorders>
              <w:top w:val="single" w:sz="4" w:space="0" w:color="auto"/>
              <w:left w:val="single" w:sz="4" w:space="0" w:color="auto"/>
            </w:tcBorders>
            <w:shd w:val="clear" w:color="auto" w:fill="FFFFFF"/>
          </w:tcPr>
          <w:p w14:paraId="4AB37C43"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Միջին դոզա</w:t>
            </w:r>
          </w:p>
        </w:tc>
        <w:tc>
          <w:tcPr>
            <w:tcW w:w="1982" w:type="dxa"/>
            <w:tcBorders>
              <w:top w:val="single" w:sz="4" w:space="0" w:color="auto"/>
              <w:left w:val="single" w:sz="4" w:space="0" w:color="auto"/>
              <w:right w:val="single" w:sz="4" w:space="0" w:color="auto"/>
            </w:tcBorders>
            <w:shd w:val="clear" w:color="auto" w:fill="FFFFFF"/>
          </w:tcPr>
          <w:p w14:paraId="62B2FAF7"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Բարձր դոզա</w:t>
            </w:r>
          </w:p>
        </w:tc>
      </w:tr>
      <w:tr w:rsidR="008C76E0" w:rsidRPr="00BD7577" w14:paraId="588D581B" w14:textId="77777777" w:rsidTr="008C76E0">
        <w:trPr>
          <w:jc w:val="center"/>
        </w:trPr>
        <w:tc>
          <w:tcPr>
            <w:tcW w:w="3231" w:type="dxa"/>
            <w:tcBorders>
              <w:top w:val="single" w:sz="4" w:space="0" w:color="auto"/>
            </w:tcBorders>
            <w:shd w:val="clear" w:color="auto" w:fill="FFFFFF"/>
          </w:tcPr>
          <w:p w14:paraId="0F92A740" w14:textId="77777777" w:rsidR="008C76E0" w:rsidRPr="00BD7577" w:rsidRDefault="008C76E0" w:rsidP="008C76E0">
            <w:pPr>
              <w:rPr>
                <w:rFonts w:ascii="Sylfaen" w:hAnsi="Sylfaen"/>
                <w:sz w:val="24"/>
                <w:szCs w:val="24"/>
              </w:rPr>
            </w:pPr>
          </w:p>
        </w:tc>
        <w:tc>
          <w:tcPr>
            <w:tcW w:w="1860" w:type="dxa"/>
            <w:tcBorders>
              <w:top w:val="single" w:sz="4" w:space="0" w:color="auto"/>
            </w:tcBorders>
            <w:shd w:val="clear" w:color="auto" w:fill="FFFFFF"/>
          </w:tcPr>
          <w:p w14:paraId="0826F9B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Արուներ</w:t>
            </w:r>
          </w:p>
        </w:tc>
        <w:tc>
          <w:tcPr>
            <w:tcW w:w="2127" w:type="dxa"/>
            <w:tcBorders>
              <w:top w:val="single" w:sz="4" w:space="0" w:color="auto"/>
            </w:tcBorders>
            <w:shd w:val="clear" w:color="auto" w:fill="FFFFFF"/>
          </w:tcPr>
          <w:p w14:paraId="5A460B63" w14:textId="77777777" w:rsidR="008C76E0" w:rsidRPr="00BD7577" w:rsidRDefault="008C76E0" w:rsidP="008C76E0">
            <w:pPr>
              <w:pStyle w:val="Bodytext180"/>
              <w:shd w:val="clear" w:color="auto" w:fill="auto"/>
              <w:spacing w:before="0" w:after="160" w:line="360" w:lineRule="auto"/>
              <w:ind w:left="940" w:firstLine="0"/>
              <w:rPr>
                <w:rFonts w:ascii="Sylfaen" w:hAnsi="Sylfaen"/>
                <w:b w:val="0"/>
                <w:sz w:val="24"/>
                <w:szCs w:val="24"/>
              </w:rPr>
            </w:pPr>
          </w:p>
        </w:tc>
        <w:tc>
          <w:tcPr>
            <w:tcW w:w="1848" w:type="dxa"/>
            <w:tcBorders>
              <w:top w:val="single" w:sz="4" w:space="0" w:color="auto"/>
            </w:tcBorders>
            <w:shd w:val="clear" w:color="auto" w:fill="FFFFFF"/>
          </w:tcPr>
          <w:p w14:paraId="4C2FBA1E" w14:textId="77777777" w:rsidR="008C76E0" w:rsidRPr="00B15797" w:rsidRDefault="008C76E0" w:rsidP="008C76E0">
            <w:pPr>
              <w:pStyle w:val="Bodytext180"/>
              <w:spacing w:before="0" w:after="160" w:line="360" w:lineRule="auto"/>
              <w:ind w:firstLine="0"/>
              <w:jc w:val="center"/>
              <w:rPr>
                <w:rFonts w:ascii="Sylfaen" w:hAnsi="Sylfaen"/>
                <w:b w:val="0"/>
                <w:sz w:val="24"/>
                <w:szCs w:val="24"/>
              </w:rPr>
            </w:pPr>
          </w:p>
        </w:tc>
        <w:tc>
          <w:tcPr>
            <w:tcW w:w="1982" w:type="dxa"/>
            <w:tcBorders>
              <w:top w:val="single" w:sz="4" w:space="0" w:color="auto"/>
            </w:tcBorders>
            <w:shd w:val="clear" w:color="auto" w:fill="FFFFFF"/>
          </w:tcPr>
          <w:p w14:paraId="5E03F2FA" w14:textId="77777777" w:rsidR="008C76E0" w:rsidRPr="00BD7577" w:rsidRDefault="008C76E0" w:rsidP="008C76E0">
            <w:pPr>
              <w:rPr>
                <w:rFonts w:ascii="Sylfaen" w:hAnsi="Sylfaen"/>
                <w:sz w:val="24"/>
                <w:szCs w:val="24"/>
              </w:rPr>
            </w:pPr>
          </w:p>
        </w:tc>
      </w:tr>
      <w:tr w:rsidR="008C76E0" w:rsidRPr="00BD7577" w14:paraId="18357958" w14:textId="77777777" w:rsidTr="008C76E0">
        <w:trPr>
          <w:jc w:val="center"/>
        </w:trPr>
        <w:tc>
          <w:tcPr>
            <w:tcW w:w="3231" w:type="dxa"/>
            <w:shd w:val="clear" w:color="auto" w:fill="FFFFFF"/>
          </w:tcPr>
          <w:p w14:paraId="4179E43E" w14:textId="77777777" w:rsidR="008C76E0" w:rsidRPr="00BD7577" w:rsidRDefault="008C76E0" w:rsidP="008C76E0">
            <w:pPr>
              <w:rPr>
                <w:rFonts w:ascii="Sylfaen" w:hAnsi="Sylfaen"/>
                <w:sz w:val="24"/>
                <w:szCs w:val="24"/>
              </w:rPr>
            </w:pPr>
          </w:p>
        </w:tc>
        <w:tc>
          <w:tcPr>
            <w:tcW w:w="1860" w:type="dxa"/>
            <w:shd w:val="clear" w:color="auto" w:fill="FFFFFF"/>
          </w:tcPr>
          <w:p w14:paraId="7C35EF9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Էգեր</w:t>
            </w:r>
          </w:p>
        </w:tc>
        <w:tc>
          <w:tcPr>
            <w:tcW w:w="2127" w:type="dxa"/>
            <w:shd w:val="clear" w:color="auto" w:fill="FFFFFF"/>
          </w:tcPr>
          <w:p w14:paraId="3C358897" w14:textId="77777777" w:rsidR="008C76E0" w:rsidRPr="00BD7577" w:rsidRDefault="008C76E0" w:rsidP="008C76E0">
            <w:pPr>
              <w:pStyle w:val="Bodytext180"/>
              <w:shd w:val="clear" w:color="auto" w:fill="auto"/>
              <w:spacing w:before="0" w:after="160" w:line="360" w:lineRule="auto"/>
              <w:ind w:left="940" w:firstLine="0"/>
              <w:rPr>
                <w:rFonts w:ascii="Sylfaen" w:hAnsi="Sylfaen"/>
                <w:b w:val="0"/>
                <w:sz w:val="24"/>
                <w:szCs w:val="24"/>
              </w:rPr>
            </w:pPr>
          </w:p>
        </w:tc>
        <w:tc>
          <w:tcPr>
            <w:tcW w:w="1848" w:type="dxa"/>
            <w:shd w:val="clear" w:color="auto" w:fill="FFFFFF"/>
          </w:tcPr>
          <w:p w14:paraId="6CC5D1C2" w14:textId="77777777" w:rsidR="008C76E0" w:rsidRPr="00B15797" w:rsidRDefault="008C76E0" w:rsidP="008C76E0">
            <w:pPr>
              <w:pStyle w:val="Bodytext180"/>
              <w:spacing w:before="0" w:after="160" w:line="360" w:lineRule="auto"/>
              <w:ind w:firstLine="0"/>
              <w:jc w:val="center"/>
              <w:rPr>
                <w:rFonts w:ascii="Sylfaen" w:hAnsi="Sylfaen"/>
                <w:b w:val="0"/>
                <w:sz w:val="24"/>
                <w:szCs w:val="24"/>
              </w:rPr>
            </w:pPr>
          </w:p>
        </w:tc>
        <w:tc>
          <w:tcPr>
            <w:tcW w:w="1982" w:type="dxa"/>
            <w:shd w:val="clear" w:color="auto" w:fill="FFFFFF"/>
          </w:tcPr>
          <w:p w14:paraId="7C0CF58F" w14:textId="77777777" w:rsidR="008C76E0" w:rsidRPr="00BD7577" w:rsidRDefault="008C76E0" w:rsidP="008C76E0">
            <w:pPr>
              <w:rPr>
                <w:rFonts w:ascii="Sylfaen" w:hAnsi="Sylfaen"/>
                <w:sz w:val="24"/>
                <w:szCs w:val="24"/>
              </w:rPr>
            </w:pPr>
          </w:p>
        </w:tc>
      </w:tr>
      <w:tr w:rsidR="008C76E0" w:rsidRPr="00BD7577" w14:paraId="115CBE80" w14:textId="77777777" w:rsidTr="008C76E0">
        <w:trPr>
          <w:jc w:val="center"/>
        </w:trPr>
        <w:tc>
          <w:tcPr>
            <w:tcW w:w="11048" w:type="dxa"/>
            <w:gridSpan w:val="5"/>
            <w:tcBorders>
              <w:top w:val="single" w:sz="4" w:space="0" w:color="auto"/>
            </w:tcBorders>
            <w:shd w:val="clear" w:color="auto" w:fill="FFFFFF"/>
          </w:tcPr>
          <w:p w14:paraId="567CEB53" w14:textId="77777777" w:rsidR="008C76E0" w:rsidRPr="00BD7577" w:rsidRDefault="008C76E0" w:rsidP="008C76E0">
            <w:pPr>
              <w:rPr>
                <w:rFonts w:ascii="Sylfaen" w:hAnsi="Sylfaen"/>
                <w:sz w:val="24"/>
                <w:szCs w:val="24"/>
              </w:rPr>
            </w:pPr>
          </w:p>
        </w:tc>
      </w:tr>
    </w:tbl>
    <w:p w14:paraId="2E04E4D5"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74EAE2C1" w14:textId="77777777" w:rsidTr="008C76E0">
        <w:trPr>
          <w:jc w:val="center"/>
        </w:trPr>
        <w:tc>
          <w:tcPr>
            <w:tcW w:w="9648" w:type="dxa"/>
            <w:tcBorders>
              <w:top w:val="single" w:sz="4" w:space="0" w:color="auto"/>
              <w:left w:val="single" w:sz="4" w:space="0" w:color="auto"/>
              <w:right w:val="single" w:sz="4" w:space="0" w:color="auto"/>
            </w:tcBorders>
            <w:shd w:val="clear" w:color="auto" w:fill="FFFFFF"/>
          </w:tcPr>
          <w:p w14:paraId="0CCB78ED" w14:textId="77777777" w:rsidR="008C76E0" w:rsidRPr="00BD7577" w:rsidRDefault="008C76E0" w:rsidP="008C76E0">
            <w:pPr>
              <w:pStyle w:val="Bodytext180"/>
              <w:shd w:val="clear" w:color="auto" w:fill="auto"/>
              <w:spacing w:before="0" w:after="160" w:line="360" w:lineRule="auto"/>
              <w:ind w:left="-5"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187F275" w14:textId="77777777" w:rsidTr="008C76E0">
        <w:trPr>
          <w:jc w:val="center"/>
        </w:trPr>
        <w:tc>
          <w:tcPr>
            <w:tcW w:w="9648" w:type="dxa"/>
            <w:tcBorders>
              <w:top w:val="single" w:sz="4" w:space="0" w:color="auto"/>
            </w:tcBorders>
            <w:shd w:val="clear" w:color="auto" w:fill="FFFFFF"/>
          </w:tcPr>
          <w:p w14:paraId="7209EAF7" w14:textId="77777777" w:rsidR="008C76E0" w:rsidRPr="00BD7577"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rPr>
            </w:pPr>
            <w:r>
              <w:rPr>
                <w:rStyle w:val="Bodytext295pt"/>
                <w:rFonts w:ascii="Sylfaen" w:hAnsi="Sylfaen"/>
                <w:spacing w:val="0"/>
                <w:sz w:val="24"/>
                <w:szCs w:val="24"/>
              </w:rPr>
              <w:t>4.4.2.</w:t>
            </w:r>
            <w:r w:rsidRPr="00BD7577">
              <w:rPr>
                <w:rStyle w:val="Bodytext295pt"/>
                <w:rFonts w:ascii="Sylfaen" w:hAnsi="Sylfaen"/>
                <w:spacing w:val="0"/>
                <w:sz w:val="24"/>
                <w:szCs w:val="24"/>
              </w:rPr>
              <w:tab/>
              <w:t xml:space="preserve">Կարճաժամկետ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միջնաժամկետ հետազոտություններ:</w:t>
            </w:r>
          </w:p>
        </w:tc>
      </w:tr>
    </w:tbl>
    <w:p w14:paraId="576D1532"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4F3A11E7" w14:textId="77777777" w:rsidTr="008C76E0">
        <w:trPr>
          <w:jc w:val="center"/>
        </w:trPr>
        <w:tc>
          <w:tcPr>
            <w:tcW w:w="9648" w:type="dxa"/>
            <w:tcBorders>
              <w:top w:val="single" w:sz="4" w:space="0" w:color="auto"/>
              <w:left w:val="single" w:sz="4" w:space="0" w:color="auto"/>
              <w:right w:val="single" w:sz="4" w:space="0" w:color="auto"/>
            </w:tcBorders>
            <w:shd w:val="clear" w:color="auto" w:fill="FFFFFF"/>
          </w:tcPr>
          <w:p w14:paraId="0ED2FCD4" w14:textId="77777777" w:rsidR="008C76E0" w:rsidRPr="00BD7577" w:rsidRDefault="008C76E0" w:rsidP="008C76E0">
            <w:pPr>
              <w:pStyle w:val="Bodytext180"/>
              <w:shd w:val="clear" w:color="auto" w:fill="auto"/>
              <w:spacing w:before="0" w:after="160" w:line="360" w:lineRule="auto"/>
              <w:ind w:left="16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AF1243B" w14:textId="77777777" w:rsidTr="008C76E0">
        <w:trPr>
          <w:jc w:val="center"/>
        </w:trPr>
        <w:tc>
          <w:tcPr>
            <w:tcW w:w="9648" w:type="dxa"/>
            <w:tcBorders>
              <w:top w:val="single" w:sz="4" w:space="0" w:color="auto"/>
            </w:tcBorders>
            <w:shd w:val="clear" w:color="auto" w:fill="FFFFFF"/>
          </w:tcPr>
          <w:p w14:paraId="01CDB04D" w14:textId="77777777" w:rsidR="008C76E0" w:rsidRPr="00BD7577"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rPr>
            </w:pPr>
            <w:r>
              <w:rPr>
                <w:rStyle w:val="Bodytext295pt"/>
                <w:rFonts w:ascii="Sylfaen" w:hAnsi="Sylfaen"/>
                <w:spacing w:val="0"/>
                <w:sz w:val="24"/>
                <w:szCs w:val="24"/>
              </w:rPr>
              <w:t>4.4.3.</w:t>
            </w:r>
            <w:r w:rsidRPr="00BD7577">
              <w:rPr>
                <w:rStyle w:val="Bodytext295pt"/>
                <w:rFonts w:ascii="Sylfaen" w:hAnsi="Sylfaen"/>
                <w:spacing w:val="0"/>
                <w:sz w:val="24"/>
                <w:szCs w:val="24"/>
              </w:rPr>
              <w:tab/>
              <w:t>Այլ հետազոտություններ:</w:t>
            </w:r>
          </w:p>
        </w:tc>
      </w:tr>
    </w:tbl>
    <w:p w14:paraId="2007D65C"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7FF5E633" w14:textId="77777777" w:rsidTr="008C76E0">
        <w:trPr>
          <w:jc w:val="center"/>
        </w:trPr>
        <w:tc>
          <w:tcPr>
            <w:tcW w:w="9648" w:type="dxa"/>
            <w:tcBorders>
              <w:top w:val="single" w:sz="4" w:space="0" w:color="auto"/>
              <w:left w:val="single" w:sz="4" w:space="0" w:color="auto"/>
              <w:bottom w:val="single" w:sz="4" w:space="0" w:color="auto"/>
              <w:right w:val="single" w:sz="4" w:space="0" w:color="auto"/>
            </w:tcBorders>
            <w:shd w:val="clear" w:color="auto" w:fill="FFFFFF"/>
          </w:tcPr>
          <w:p w14:paraId="67B7599E" w14:textId="77777777" w:rsidR="008C76E0" w:rsidRPr="00BD7577" w:rsidRDefault="008C76E0" w:rsidP="008C76E0">
            <w:pPr>
              <w:pStyle w:val="Bodytext180"/>
              <w:shd w:val="clear" w:color="auto" w:fill="auto"/>
              <w:spacing w:before="0" w:after="160" w:line="360" w:lineRule="auto"/>
              <w:ind w:left="16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178D30A2"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2115"/>
        <w:gridCol w:w="1418"/>
        <w:gridCol w:w="1536"/>
        <w:gridCol w:w="1440"/>
        <w:gridCol w:w="1701"/>
        <w:gridCol w:w="1370"/>
      </w:tblGrid>
      <w:tr w:rsidR="008C76E0" w:rsidRPr="00BD7577" w14:paraId="419FF577" w14:textId="77777777" w:rsidTr="008C76E0">
        <w:trPr>
          <w:jc w:val="center"/>
        </w:trPr>
        <w:tc>
          <w:tcPr>
            <w:tcW w:w="9580" w:type="dxa"/>
            <w:gridSpan w:val="6"/>
            <w:shd w:val="clear" w:color="auto" w:fill="FFFFFF"/>
          </w:tcPr>
          <w:p w14:paraId="1E8F854E" w14:textId="77777777" w:rsidR="008C76E0" w:rsidRPr="008C76E0" w:rsidRDefault="008C76E0" w:rsidP="008C76E0">
            <w:pPr>
              <w:pStyle w:val="Bodytext180"/>
              <w:shd w:val="clear" w:color="auto" w:fill="auto"/>
              <w:tabs>
                <w:tab w:val="left" w:pos="1160"/>
              </w:tabs>
              <w:spacing w:before="0" w:after="160" w:line="360" w:lineRule="auto"/>
              <w:ind w:firstLine="529"/>
              <w:rPr>
                <w:rFonts w:ascii="Sylfaen" w:hAnsi="Sylfaen"/>
                <w:b w:val="0"/>
                <w:sz w:val="24"/>
                <w:szCs w:val="24"/>
                <w:lang w:val="hy-AM"/>
              </w:rPr>
            </w:pPr>
            <w:r>
              <w:rPr>
                <w:rStyle w:val="Bodytext295pt"/>
                <w:rFonts w:ascii="Sylfaen" w:hAnsi="Sylfaen"/>
                <w:spacing w:val="0"/>
                <w:sz w:val="24"/>
                <w:szCs w:val="24"/>
              </w:rPr>
              <w:t>4.5.</w:t>
            </w:r>
            <w:r w:rsidRPr="00BD7577">
              <w:rPr>
                <w:rStyle w:val="Bodytext295pt"/>
                <w:rFonts w:ascii="Sylfaen" w:hAnsi="Sylfaen"/>
                <w:spacing w:val="0"/>
                <w:sz w:val="24"/>
                <w:szCs w:val="24"/>
              </w:rPr>
              <w:tab/>
              <w:t xml:space="preserve">Վերարտադրողական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օնտոգենետիկ թունավորությունը:</w:t>
            </w:r>
          </w:p>
          <w:p w14:paraId="02F9BBA2" w14:textId="77777777" w:rsidR="008C76E0" w:rsidRPr="008C76E0" w:rsidRDefault="008C76E0" w:rsidP="008C76E0">
            <w:pPr>
              <w:pStyle w:val="Bodytext180"/>
              <w:shd w:val="clear" w:color="auto" w:fill="auto"/>
              <w:spacing w:before="0" w:after="160" w:line="360" w:lineRule="auto"/>
              <w:ind w:right="140" w:firstLine="0"/>
              <w:jc w:val="right"/>
              <w:rPr>
                <w:rFonts w:ascii="Sylfaen" w:hAnsi="Sylfaen"/>
                <w:b w:val="0"/>
                <w:sz w:val="24"/>
                <w:szCs w:val="24"/>
                <w:lang w:val="hy-AM"/>
              </w:rPr>
            </w:pPr>
            <w:r w:rsidRPr="00BD7577">
              <w:rPr>
                <w:rStyle w:val="Bodytext295pt"/>
                <w:rFonts w:ascii="Sylfaen" w:hAnsi="Sylfaen"/>
                <w:spacing w:val="0"/>
                <w:sz w:val="24"/>
                <w:szCs w:val="24"/>
              </w:rPr>
              <w:t>Անցկացված հետազոտությունների մասին տվյալներով աղյուսակի օրինակ՝</w:t>
            </w:r>
          </w:p>
        </w:tc>
      </w:tr>
      <w:tr w:rsidR="008C76E0" w:rsidRPr="00BD7577" w14:paraId="08E93753" w14:textId="77777777" w:rsidTr="008C76E0">
        <w:trPr>
          <w:jc w:val="center"/>
        </w:trPr>
        <w:tc>
          <w:tcPr>
            <w:tcW w:w="2115" w:type="dxa"/>
            <w:tcBorders>
              <w:top w:val="single" w:sz="4" w:space="0" w:color="auto"/>
              <w:left w:val="single" w:sz="4" w:space="0" w:color="auto"/>
            </w:tcBorders>
            <w:shd w:val="clear" w:color="auto" w:fill="FFFFFF"/>
          </w:tcPr>
          <w:p w14:paraId="3098B83E"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t>Հետազոտության տեսակը/ Նույնականացման համարը/Պատշաճ լաբորատոր գործելակերպին համապատասխա-նությունը</w:t>
            </w:r>
          </w:p>
        </w:tc>
        <w:tc>
          <w:tcPr>
            <w:tcW w:w="1418" w:type="dxa"/>
            <w:tcBorders>
              <w:top w:val="single" w:sz="4" w:space="0" w:color="auto"/>
              <w:left w:val="single" w:sz="4" w:space="0" w:color="auto"/>
            </w:tcBorders>
            <w:shd w:val="clear" w:color="auto" w:fill="FFFFFF"/>
          </w:tcPr>
          <w:p w14:paraId="6DE0DD1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Տեսակները. էգերի քանակը/</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խումբը</w:t>
            </w:r>
          </w:p>
        </w:tc>
        <w:tc>
          <w:tcPr>
            <w:tcW w:w="1536" w:type="dxa"/>
            <w:tcBorders>
              <w:top w:val="single" w:sz="4" w:space="0" w:color="auto"/>
              <w:left w:val="single" w:sz="4" w:space="0" w:color="auto"/>
            </w:tcBorders>
            <w:shd w:val="clear" w:color="auto" w:fill="FFFFFF"/>
          </w:tcPr>
          <w:p w14:paraId="668FA36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Ներմուծման ուղին </w:t>
            </w:r>
            <w:r w:rsidR="00C54D75">
              <w:rPr>
                <w:rStyle w:val="Bodytext1811pt"/>
                <w:rFonts w:ascii="Sylfaen" w:hAnsi="Sylfaen"/>
                <w:sz w:val="24"/>
                <w:szCs w:val="24"/>
              </w:rPr>
              <w:t>և</w:t>
            </w:r>
            <w:r w:rsidRPr="00BD7577">
              <w:rPr>
                <w:rStyle w:val="Bodytext1811pt"/>
                <w:rFonts w:ascii="Sylfaen" w:hAnsi="Sylfaen"/>
                <w:sz w:val="24"/>
                <w:szCs w:val="24"/>
              </w:rPr>
              <w:t xml:space="preserve"> դոզան</w:t>
            </w:r>
          </w:p>
        </w:tc>
        <w:tc>
          <w:tcPr>
            <w:tcW w:w="1440" w:type="dxa"/>
            <w:tcBorders>
              <w:top w:val="single" w:sz="4" w:space="0" w:color="auto"/>
              <w:left w:val="single" w:sz="4" w:space="0" w:color="auto"/>
            </w:tcBorders>
            <w:shd w:val="clear" w:color="auto" w:fill="FFFFFF"/>
          </w:tcPr>
          <w:p w14:paraId="2F7BDE9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Դոզաների ներմուծման</w:t>
            </w:r>
            <w:r w:rsidRPr="00BD7577">
              <w:rPr>
                <w:rStyle w:val="Bodytext295pt"/>
                <w:rFonts w:ascii="Sylfaen" w:hAnsi="Sylfaen"/>
                <w:spacing w:val="0"/>
                <w:sz w:val="24"/>
                <w:szCs w:val="24"/>
              </w:rPr>
              <w:t xml:space="preserve"> ժամանակահատվածը</w:t>
            </w:r>
          </w:p>
        </w:tc>
        <w:tc>
          <w:tcPr>
            <w:tcW w:w="1701" w:type="dxa"/>
            <w:tcBorders>
              <w:top w:val="single" w:sz="4" w:space="0" w:color="auto"/>
              <w:left w:val="single" w:sz="4" w:space="0" w:color="auto"/>
            </w:tcBorders>
            <w:shd w:val="clear" w:color="auto" w:fill="FFFFFF"/>
          </w:tcPr>
          <w:p w14:paraId="3E160CBC"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Հիմնական արդյունքները</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6EF35AA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NOAEL (մգ/կգ) </w:t>
            </w:r>
            <w:r w:rsidR="00C54D75">
              <w:rPr>
                <w:rStyle w:val="Bodytext1811pt"/>
                <w:rFonts w:ascii="Sylfaen" w:hAnsi="Sylfaen"/>
                <w:sz w:val="24"/>
                <w:szCs w:val="24"/>
              </w:rPr>
              <w:t>և</w:t>
            </w:r>
            <w:r w:rsidRPr="00BD7577">
              <w:rPr>
                <w:rStyle w:val="Bodytext1811pt"/>
                <w:rFonts w:ascii="Sylfaen" w:hAnsi="Sylfaen"/>
                <w:sz w:val="24"/>
                <w:szCs w:val="24"/>
              </w:rPr>
              <w:t xml:space="preserve"> AUC</w:t>
            </w:r>
          </w:p>
        </w:tc>
      </w:tr>
      <w:tr w:rsidR="008C76E0" w:rsidRPr="00BD7577" w14:paraId="00F5A130" w14:textId="77777777" w:rsidTr="008C76E0">
        <w:trPr>
          <w:trHeight w:val="919"/>
          <w:jc w:val="center"/>
        </w:trPr>
        <w:tc>
          <w:tcPr>
            <w:tcW w:w="8210" w:type="dxa"/>
            <w:gridSpan w:val="5"/>
            <w:vMerge w:val="restart"/>
            <w:tcBorders>
              <w:top w:val="single" w:sz="4" w:space="0" w:color="auto"/>
            </w:tcBorders>
            <w:shd w:val="clear" w:color="auto" w:fill="FFFFFF"/>
            <w:vAlign w:val="bottom"/>
          </w:tcPr>
          <w:p w14:paraId="75FC146F"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lastRenderedPageBreak/>
              <w:t>Արուների պտղաբերությունը Էգերի պտղաբերությունը</w:t>
            </w:r>
          </w:p>
          <w:p w14:paraId="62A8E9BF"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t xml:space="preserve">Էմբրիոֆետալային զարգացում </w:t>
            </w:r>
          </w:p>
          <w:p w14:paraId="051C354F"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Նախածննդյան </w:t>
            </w:r>
            <w:r w:rsidR="00C54D75">
              <w:rPr>
                <w:rStyle w:val="Bodytext1811pt"/>
                <w:rFonts w:ascii="Sylfaen" w:hAnsi="Sylfaen"/>
                <w:sz w:val="24"/>
                <w:szCs w:val="24"/>
              </w:rPr>
              <w:t>և</w:t>
            </w:r>
            <w:r w:rsidRPr="00BD7577">
              <w:rPr>
                <w:rStyle w:val="Bodytext1811pt"/>
                <w:rFonts w:ascii="Sylfaen" w:hAnsi="Sylfaen"/>
                <w:sz w:val="24"/>
                <w:szCs w:val="24"/>
              </w:rPr>
              <w:t xml:space="preserve"> հետծննդյան </w:t>
            </w:r>
          </w:p>
        </w:tc>
        <w:tc>
          <w:tcPr>
            <w:tcW w:w="1370" w:type="dxa"/>
            <w:tcBorders>
              <w:top w:val="single" w:sz="4" w:space="0" w:color="auto"/>
            </w:tcBorders>
            <w:shd w:val="clear" w:color="auto" w:fill="FFFFFF"/>
            <w:vAlign w:val="bottom"/>
          </w:tcPr>
          <w:p w14:paraId="2635C0E9" w14:textId="77777777" w:rsidR="008C76E0" w:rsidRPr="00BD7577" w:rsidRDefault="008C76E0" w:rsidP="008C76E0">
            <w:pPr>
              <w:rPr>
                <w:rStyle w:val="Bodytext1811pt"/>
                <w:rFonts w:ascii="Sylfaen" w:eastAsia="MS Mincho" w:hAnsi="Sylfaen"/>
                <w:b w:val="0"/>
                <w:bCs w:val="0"/>
                <w:sz w:val="24"/>
                <w:szCs w:val="24"/>
                <w:vertAlign w:val="subscript"/>
              </w:rPr>
            </w:pPr>
            <w:r w:rsidRPr="00BD7577">
              <w:rPr>
                <w:rStyle w:val="Bodytext1811pt"/>
                <w:rFonts w:ascii="Sylfaen" w:eastAsia="MS Mincho" w:hAnsi="Sylfaen"/>
                <w:sz w:val="24"/>
                <w:szCs w:val="24"/>
              </w:rPr>
              <w:t>F</w:t>
            </w:r>
            <w:r w:rsidRPr="00BD7577">
              <w:rPr>
                <w:rStyle w:val="Bodytext1811pt"/>
                <w:rFonts w:ascii="Sylfaen" w:eastAsia="MS Mincho" w:hAnsi="Sylfaen"/>
                <w:sz w:val="24"/>
                <w:szCs w:val="24"/>
                <w:vertAlign w:val="subscript"/>
              </w:rPr>
              <w:t>0</w:t>
            </w:r>
          </w:p>
          <w:p w14:paraId="773680BC" w14:textId="77777777" w:rsidR="008C76E0" w:rsidRPr="00BD7577" w:rsidRDefault="008C76E0" w:rsidP="008C76E0">
            <w:pPr>
              <w:rPr>
                <w:rFonts w:ascii="Sylfaen" w:hAnsi="Sylfaen"/>
                <w:sz w:val="24"/>
                <w:szCs w:val="24"/>
              </w:rPr>
            </w:pPr>
            <w:r w:rsidRPr="00BD7577">
              <w:rPr>
                <w:rStyle w:val="Bodytext1811pt"/>
                <w:rFonts w:ascii="Sylfaen" w:eastAsia="MS Mincho" w:hAnsi="Sylfaen"/>
                <w:sz w:val="24"/>
                <w:szCs w:val="24"/>
              </w:rPr>
              <w:t>F</w:t>
            </w:r>
            <w:r w:rsidRPr="00BD7577">
              <w:rPr>
                <w:rStyle w:val="Bodytext1811pt"/>
                <w:rFonts w:ascii="Sylfaen" w:eastAsia="MS Mincho" w:hAnsi="Sylfaen"/>
                <w:sz w:val="24"/>
                <w:szCs w:val="24"/>
                <w:vertAlign w:val="subscript"/>
              </w:rPr>
              <w:t>1</w:t>
            </w:r>
          </w:p>
        </w:tc>
      </w:tr>
      <w:tr w:rsidR="008C76E0" w:rsidRPr="00BD7577" w14:paraId="053A56F3" w14:textId="77777777" w:rsidTr="008C76E0">
        <w:trPr>
          <w:trHeight w:val="450"/>
          <w:jc w:val="center"/>
        </w:trPr>
        <w:tc>
          <w:tcPr>
            <w:tcW w:w="8210" w:type="dxa"/>
            <w:gridSpan w:val="5"/>
            <w:vMerge/>
            <w:shd w:val="clear" w:color="auto" w:fill="FFFFFF"/>
            <w:vAlign w:val="bottom"/>
          </w:tcPr>
          <w:p w14:paraId="6A356FB3" w14:textId="77777777" w:rsidR="008C76E0" w:rsidRPr="00BD7577" w:rsidRDefault="008C76E0" w:rsidP="008C76E0">
            <w:pPr>
              <w:pStyle w:val="Bodytext180"/>
              <w:shd w:val="clear" w:color="auto" w:fill="auto"/>
              <w:spacing w:before="0" w:after="160" w:line="360" w:lineRule="auto"/>
              <w:ind w:firstLine="0"/>
              <w:rPr>
                <w:rStyle w:val="Bodytext1811pt"/>
                <w:rFonts w:ascii="Sylfaen" w:hAnsi="Sylfaen"/>
                <w:sz w:val="24"/>
                <w:szCs w:val="24"/>
              </w:rPr>
            </w:pPr>
          </w:p>
        </w:tc>
        <w:tc>
          <w:tcPr>
            <w:tcW w:w="1370" w:type="dxa"/>
            <w:shd w:val="clear" w:color="auto" w:fill="FFFFFF"/>
            <w:vAlign w:val="bottom"/>
          </w:tcPr>
          <w:p w14:paraId="1F0B07E3" w14:textId="77777777" w:rsidR="008C76E0" w:rsidRPr="00BD7577" w:rsidRDefault="008C76E0" w:rsidP="008C76E0">
            <w:pPr>
              <w:rPr>
                <w:rStyle w:val="Bodytext1811pt"/>
                <w:rFonts w:ascii="Sylfaen" w:eastAsia="MS Mincho" w:hAnsi="Sylfaen"/>
                <w:b w:val="0"/>
                <w:bCs w:val="0"/>
                <w:sz w:val="24"/>
                <w:szCs w:val="24"/>
              </w:rPr>
            </w:pPr>
          </w:p>
        </w:tc>
      </w:tr>
      <w:tr w:rsidR="008C76E0" w:rsidRPr="00BD7577" w14:paraId="1E3E79E8" w14:textId="77777777" w:rsidTr="008C76E0">
        <w:trPr>
          <w:jc w:val="center"/>
        </w:trPr>
        <w:tc>
          <w:tcPr>
            <w:tcW w:w="9580" w:type="dxa"/>
            <w:gridSpan w:val="6"/>
            <w:tcBorders>
              <w:top w:val="single" w:sz="4" w:space="0" w:color="auto"/>
            </w:tcBorders>
            <w:shd w:val="clear" w:color="auto" w:fill="FFFFFF"/>
          </w:tcPr>
          <w:p w14:paraId="2A2666B2" w14:textId="77777777" w:rsidR="008C76E0" w:rsidRPr="00BD7577" w:rsidRDefault="008C76E0" w:rsidP="008C76E0">
            <w:pPr>
              <w:rPr>
                <w:rFonts w:ascii="Sylfaen" w:hAnsi="Sylfaen"/>
                <w:sz w:val="24"/>
                <w:szCs w:val="24"/>
              </w:rPr>
            </w:pPr>
          </w:p>
        </w:tc>
      </w:tr>
      <w:tr w:rsidR="008C76E0" w:rsidRPr="00BD7577" w14:paraId="2E348BFA" w14:textId="77777777" w:rsidTr="008C76E0">
        <w:trPr>
          <w:jc w:val="center"/>
        </w:trPr>
        <w:tc>
          <w:tcPr>
            <w:tcW w:w="9580" w:type="dxa"/>
            <w:gridSpan w:val="6"/>
            <w:tcBorders>
              <w:top w:val="single" w:sz="4" w:space="0" w:color="auto"/>
              <w:left w:val="single" w:sz="4" w:space="0" w:color="auto"/>
              <w:right w:val="single" w:sz="4" w:space="0" w:color="auto"/>
            </w:tcBorders>
            <w:shd w:val="clear" w:color="auto" w:fill="FFFFFF"/>
          </w:tcPr>
          <w:p w14:paraId="5DD77872"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6C0CB06" w14:textId="77777777" w:rsidTr="008C76E0">
        <w:trPr>
          <w:jc w:val="center"/>
        </w:trPr>
        <w:tc>
          <w:tcPr>
            <w:tcW w:w="9580" w:type="dxa"/>
            <w:gridSpan w:val="6"/>
            <w:tcBorders>
              <w:top w:val="single" w:sz="4" w:space="0" w:color="auto"/>
              <w:bottom w:val="single" w:sz="4" w:space="0" w:color="auto"/>
            </w:tcBorders>
            <w:shd w:val="clear" w:color="auto" w:fill="FFFFFF"/>
          </w:tcPr>
          <w:p w14:paraId="30EAB224" w14:textId="77777777" w:rsidR="008C76E0" w:rsidRPr="008C76E0" w:rsidRDefault="008C76E0" w:rsidP="008C76E0">
            <w:pPr>
              <w:pStyle w:val="Bodytext180"/>
              <w:shd w:val="clear" w:color="auto" w:fill="auto"/>
              <w:tabs>
                <w:tab w:val="left" w:pos="1663"/>
              </w:tabs>
              <w:spacing w:before="0" w:after="160" w:line="360" w:lineRule="auto"/>
              <w:ind w:firstLine="567"/>
              <w:jc w:val="both"/>
              <w:rPr>
                <w:rFonts w:ascii="Sylfaen" w:hAnsi="Sylfaen"/>
                <w:b w:val="0"/>
                <w:sz w:val="24"/>
                <w:szCs w:val="24"/>
                <w:lang w:val="hy-AM"/>
              </w:rPr>
            </w:pPr>
            <w:r>
              <w:rPr>
                <w:rStyle w:val="Bodytext295pt"/>
                <w:rFonts w:ascii="Sylfaen" w:hAnsi="Sylfaen"/>
                <w:spacing w:val="0"/>
                <w:sz w:val="24"/>
                <w:szCs w:val="24"/>
              </w:rPr>
              <w:t>4.5.1.</w:t>
            </w:r>
            <w:r w:rsidRPr="00DD61E4">
              <w:rPr>
                <w:rStyle w:val="Bodytext295pt"/>
                <w:rFonts w:ascii="Sylfaen" w:hAnsi="Sylfaen"/>
                <w:spacing w:val="0"/>
                <w:sz w:val="24"/>
                <w:szCs w:val="24"/>
              </w:rPr>
              <w:tab/>
            </w:r>
            <w:r w:rsidRPr="00BD7577">
              <w:rPr>
                <w:rStyle w:val="Bodytext295pt"/>
                <w:rFonts w:ascii="Sylfaen" w:hAnsi="Sylfaen"/>
                <w:spacing w:val="0"/>
                <w:sz w:val="24"/>
                <w:szCs w:val="24"/>
              </w:rPr>
              <w:t xml:space="preserve">Պտղաբերությունը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վաղ սաղմնային զարգացումը:</w:t>
            </w:r>
          </w:p>
        </w:tc>
      </w:tr>
      <w:tr w:rsidR="008C76E0" w:rsidRPr="00BD7577" w14:paraId="3DD6E203" w14:textId="77777777" w:rsidTr="008C76E0">
        <w:trPr>
          <w:jc w:val="center"/>
        </w:trPr>
        <w:tc>
          <w:tcPr>
            <w:tcW w:w="9580" w:type="dxa"/>
            <w:gridSpan w:val="6"/>
            <w:tcBorders>
              <w:top w:val="single" w:sz="4" w:space="0" w:color="auto"/>
            </w:tcBorders>
            <w:shd w:val="clear" w:color="auto" w:fill="FFFFFF"/>
          </w:tcPr>
          <w:p w14:paraId="1D3964A5" w14:textId="77777777" w:rsidR="008C76E0" w:rsidRDefault="008C76E0" w:rsidP="008C76E0">
            <w:pPr>
              <w:pStyle w:val="Bodytext180"/>
              <w:shd w:val="clear" w:color="auto" w:fill="auto"/>
              <w:tabs>
                <w:tab w:val="left" w:pos="1663"/>
              </w:tabs>
              <w:spacing w:before="0" w:after="160" w:line="360" w:lineRule="auto"/>
              <w:ind w:firstLine="567"/>
              <w:rPr>
                <w:rStyle w:val="Bodytext295pt"/>
                <w:rFonts w:ascii="Sylfaen" w:hAnsi="Sylfaen"/>
                <w:spacing w:val="0"/>
                <w:sz w:val="24"/>
                <w:szCs w:val="24"/>
              </w:rPr>
            </w:pPr>
          </w:p>
        </w:tc>
      </w:tr>
    </w:tbl>
    <w:p w14:paraId="77A95F48"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5C57E2E4"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37B95753"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AB5495D" w14:textId="77777777" w:rsidTr="008C76E0">
        <w:trPr>
          <w:jc w:val="center"/>
        </w:trPr>
        <w:tc>
          <w:tcPr>
            <w:tcW w:w="9580" w:type="dxa"/>
            <w:tcBorders>
              <w:top w:val="single" w:sz="4" w:space="0" w:color="auto"/>
            </w:tcBorders>
            <w:shd w:val="clear" w:color="auto" w:fill="FFFFFF"/>
          </w:tcPr>
          <w:p w14:paraId="32A83991" w14:textId="77777777" w:rsidR="008C76E0" w:rsidRPr="00BD7577" w:rsidRDefault="008C76E0" w:rsidP="008C76E0">
            <w:pPr>
              <w:pStyle w:val="Bodytext180"/>
              <w:shd w:val="clear" w:color="auto" w:fill="auto"/>
              <w:tabs>
                <w:tab w:val="left" w:pos="1663"/>
              </w:tabs>
              <w:spacing w:before="0" w:after="160" w:line="360" w:lineRule="auto"/>
              <w:ind w:firstLine="567"/>
              <w:rPr>
                <w:rFonts w:ascii="Sylfaen" w:hAnsi="Sylfaen"/>
                <w:b w:val="0"/>
                <w:sz w:val="24"/>
                <w:szCs w:val="24"/>
              </w:rPr>
            </w:pPr>
            <w:r>
              <w:rPr>
                <w:rStyle w:val="Bodytext295pt"/>
                <w:rFonts w:ascii="Sylfaen" w:hAnsi="Sylfaen"/>
                <w:spacing w:val="0"/>
                <w:sz w:val="24"/>
                <w:szCs w:val="24"/>
              </w:rPr>
              <w:t>4.5.2.</w:t>
            </w:r>
            <w:r w:rsidRPr="00BD7577">
              <w:rPr>
                <w:rStyle w:val="Bodytext295pt"/>
                <w:rFonts w:ascii="Sylfaen" w:hAnsi="Sylfaen"/>
                <w:spacing w:val="0"/>
                <w:sz w:val="24"/>
                <w:szCs w:val="24"/>
              </w:rPr>
              <w:tab/>
              <w:t>Էմբրիոֆետալային զարգացումը:</w:t>
            </w:r>
          </w:p>
        </w:tc>
      </w:tr>
    </w:tbl>
    <w:p w14:paraId="17CC5EE3"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1E5A2AC6"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1660E5BC"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4196E66" w14:textId="77777777" w:rsidTr="008C76E0">
        <w:trPr>
          <w:jc w:val="center"/>
        </w:trPr>
        <w:tc>
          <w:tcPr>
            <w:tcW w:w="9580" w:type="dxa"/>
            <w:tcBorders>
              <w:top w:val="single" w:sz="4" w:space="0" w:color="auto"/>
            </w:tcBorders>
            <w:shd w:val="clear" w:color="auto" w:fill="FFFFFF"/>
          </w:tcPr>
          <w:p w14:paraId="0427C0BB" w14:textId="77777777" w:rsidR="008C76E0" w:rsidRPr="008C76E0" w:rsidRDefault="008C76E0" w:rsidP="008C76E0">
            <w:pPr>
              <w:pStyle w:val="Bodytext180"/>
              <w:shd w:val="clear" w:color="auto" w:fill="auto"/>
              <w:tabs>
                <w:tab w:val="left" w:pos="1611"/>
              </w:tabs>
              <w:spacing w:before="0" w:after="160" w:line="360" w:lineRule="auto"/>
              <w:ind w:right="101" w:firstLine="567"/>
              <w:jc w:val="both"/>
              <w:rPr>
                <w:rFonts w:ascii="Sylfaen" w:hAnsi="Sylfaen"/>
                <w:b w:val="0"/>
                <w:sz w:val="24"/>
                <w:szCs w:val="24"/>
                <w:lang w:val="hy-AM"/>
              </w:rPr>
            </w:pPr>
            <w:r>
              <w:rPr>
                <w:rStyle w:val="Bodytext295pt"/>
                <w:rFonts w:ascii="Sylfaen" w:hAnsi="Sylfaen"/>
                <w:spacing w:val="0"/>
                <w:sz w:val="24"/>
                <w:szCs w:val="24"/>
              </w:rPr>
              <w:t>4.5.3.</w:t>
            </w:r>
            <w:r w:rsidRPr="00BD7577">
              <w:rPr>
                <w:rStyle w:val="Bodytext295pt"/>
                <w:rFonts w:ascii="Sylfaen" w:hAnsi="Sylfaen"/>
                <w:spacing w:val="0"/>
                <w:sz w:val="24"/>
                <w:szCs w:val="24"/>
              </w:rPr>
              <w:tab/>
              <w:t xml:space="preserve">Նախածննդյան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հետծննդյան զարգացումը՝ ներառյալ մայրական ֆունկցիան:</w:t>
            </w:r>
          </w:p>
        </w:tc>
      </w:tr>
    </w:tbl>
    <w:p w14:paraId="5EACF5D3"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6A3F94D8"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2C5F9764"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9C00BF6" w14:textId="77777777" w:rsidTr="008C76E0">
        <w:trPr>
          <w:jc w:val="center"/>
        </w:trPr>
        <w:tc>
          <w:tcPr>
            <w:tcW w:w="9580" w:type="dxa"/>
            <w:tcBorders>
              <w:top w:val="single" w:sz="4" w:space="0" w:color="auto"/>
            </w:tcBorders>
            <w:shd w:val="clear" w:color="auto" w:fill="FFFFFF"/>
          </w:tcPr>
          <w:p w14:paraId="243E012E" w14:textId="77777777" w:rsidR="008C76E0" w:rsidRPr="008C76E0" w:rsidRDefault="008C76E0" w:rsidP="008C76E0">
            <w:pPr>
              <w:pStyle w:val="Bodytext180"/>
              <w:shd w:val="clear" w:color="auto" w:fill="auto"/>
              <w:tabs>
                <w:tab w:val="left" w:pos="1663"/>
              </w:tabs>
              <w:spacing w:before="0" w:after="160" w:line="360" w:lineRule="auto"/>
              <w:ind w:right="101" w:firstLine="567"/>
              <w:jc w:val="both"/>
              <w:rPr>
                <w:rFonts w:ascii="Sylfaen" w:hAnsi="Sylfaen"/>
                <w:b w:val="0"/>
                <w:sz w:val="24"/>
                <w:szCs w:val="24"/>
                <w:lang w:val="hy-AM"/>
              </w:rPr>
            </w:pPr>
            <w:r>
              <w:rPr>
                <w:rStyle w:val="Bodytext295pt"/>
                <w:rFonts w:ascii="Sylfaen" w:hAnsi="Sylfaen"/>
                <w:spacing w:val="0"/>
                <w:sz w:val="24"/>
                <w:szCs w:val="24"/>
              </w:rPr>
              <w:t>4.5.4.</w:t>
            </w:r>
            <w:r w:rsidRPr="00BD7577">
              <w:rPr>
                <w:rStyle w:val="Bodytext295pt"/>
                <w:rFonts w:ascii="Sylfaen" w:hAnsi="Sylfaen"/>
                <w:spacing w:val="0"/>
                <w:sz w:val="24"/>
                <w:szCs w:val="24"/>
              </w:rPr>
              <w:tab/>
              <w:t xml:space="preserve">Հետազոտություններ, որոնցում պատրաստուկը ներարկվում է ոչ սեռահասուն առանձնյակներին,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(կամ) անցկացվում է դրա զարգացման հետագա գնահատում: </w:t>
            </w:r>
          </w:p>
        </w:tc>
      </w:tr>
    </w:tbl>
    <w:p w14:paraId="5797DCCB"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66"/>
        <w:gridCol w:w="14"/>
      </w:tblGrid>
      <w:tr w:rsidR="008C76E0" w:rsidRPr="00BD7577" w14:paraId="3B3E5EFE" w14:textId="77777777" w:rsidTr="008C76E0">
        <w:trPr>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7FE3E78"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295pt"/>
                <w:rFonts w:ascii="Sylfaen" w:hAnsi="Sylfaen"/>
                <w:spacing w:val="0"/>
                <w:sz w:val="24"/>
                <w:szCs w:val="24"/>
              </w:rPr>
              <w:t>Փորձագետի մեկնաբանությունը</w:t>
            </w:r>
          </w:p>
          <w:p w14:paraId="6FAF82EB"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295pt"/>
                <w:rFonts w:ascii="Sylfaen" w:hAnsi="Sylfaen"/>
                <w:spacing w:val="0"/>
                <w:sz w:val="24"/>
                <w:szCs w:val="24"/>
              </w:rPr>
              <w:t>Վերարտադրողական թունավորության վերաբերյալ եզրակացությունները:</w:t>
            </w:r>
          </w:p>
        </w:tc>
      </w:tr>
      <w:tr w:rsidR="008C76E0" w:rsidRPr="00BD7577" w14:paraId="3B2E8B47" w14:textId="77777777" w:rsidTr="008C76E0">
        <w:trPr>
          <w:gridAfter w:val="1"/>
          <w:wAfter w:w="14" w:type="dxa"/>
          <w:jc w:val="center"/>
        </w:trPr>
        <w:tc>
          <w:tcPr>
            <w:tcW w:w="9566" w:type="dxa"/>
            <w:shd w:val="clear" w:color="auto" w:fill="FFFFFF"/>
          </w:tcPr>
          <w:p w14:paraId="62CF0638" w14:textId="77777777" w:rsidR="008C76E0" w:rsidRPr="00BD7577" w:rsidRDefault="008C76E0" w:rsidP="008C76E0">
            <w:pPr>
              <w:pStyle w:val="Bodytext180"/>
              <w:shd w:val="clear" w:color="auto" w:fill="auto"/>
              <w:tabs>
                <w:tab w:val="left" w:pos="113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4.6.</w:t>
            </w:r>
            <w:r w:rsidRPr="00BD7577">
              <w:rPr>
                <w:rStyle w:val="Bodytext295pt"/>
                <w:rFonts w:ascii="Sylfaen" w:hAnsi="Sylfaen"/>
                <w:spacing w:val="0"/>
                <w:sz w:val="24"/>
                <w:szCs w:val="24"/>
              </w:rPr>
              <w:tab/>
              <w:t>Տեղային տանելիությունը։</w:t>
            </w:r>
          </w:p>
        </w:tc>
      </w:tr>
    </w:tbl>
    <w:p w14:paraId="03A20314"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7A0D14AA"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795CD96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383F6A3" w14:textId="77777777" w:rsidTr="008C76E0">
        <w:trPr>
          <w:jc w:val="center"/>
        </w:trPr>
        <w:tc>
          <w:tcPr>
            <w:tcW w:w="9566" w:type="dxa"/>
            <w:tcBorders>
              <w:top w:val="single" w:sz="4" w:space="0" w:color="auto"/>
            </w:tcBorders>
            <w:shd w:val="clear" w:color="auto" w:fill="FFFFFF"/>
          </w:tcPr>
          <w:p w14:paraId="62DEAC46" w14:textId="77777777" w:rsidR="008C76E0" w:rsidRPr="00BD7577" w:rsidRDefault="008C76E0" w:rsidP="008C76E0">
            <w:pPr>
              <w:pStyle w:val="Bodytext180"/>
              <w:shd w:val="clear" w:color="auto" w:fill="auto"/>
              <w:tabs>
                <w:tab w:val="left" w:pos="1089"/>
              </w:tabs>
              <w:spacing w:before="0" w:after="160" w:line="360" w:lineRule="auto"/>
              <w:ind w:firstLine="567"/>
              <w:rPr>
                <w:rFonts w:ascii="Sylfaen" w:hAnsi="Sylfaen"/>
                <w:b w:val="0"/>
                <w:sz w:val="24"/>
                <w:szCs w:val="24"/>
              </w:rPr>
            </w:pPr>
            <w:r>
              <w:rPr>
                <w:rStyle w:val="Bodytext295pt"/>
                <w:rFonts w:ascii="Sylfaen" w:hAnsi="Sylfaen"/>
                <w:spacing w:val="0"/>
                <w:sz w:val="24"/>
                <w:szCs w:val="24"/>
              </w:rPr>
              <w:t>4.7.</w:t>
            </w:r>
            <w:r w:rsidRPr="00BD7577">
              <w:rPr>
                <w:rStyle w:val="Bodytext295pt"/>
                <w:rFonts w:ascii="Sylfaen" w:hAnsi="Sylfaen"/>
                <w:spacing w:val="0"/>
                <w:sz w:val="24"/>
                <w:szCs w:val="24"/>
              </w:rPr>
              <w:tab/>
              <w:t>Թունավորության այլ հետազոտություններ:</w:t>
            </w:r>
          </w:p>
        </w:tc>
      </w:tr>
    </w:tbl>
    <w:p w14:paraId="489992B2"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76123A8"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469D9B71"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FE93B9" w14:textId="77777777" w:rsidTr="008C76E0">
        <w:trPr>
          <w:jc w:val="center"/>
        </w:trPr>
        <w:tc>
          <w:tcPr>
            <w:tcW w:w="9566" w:type="dxa"/>
            <w:tcBorders>
              <w:top w:val="single" w:sz="4" w:space="0" w:color="auto"/>
            </w:tcBorders>
            <w:shd w:val="clear" w:color="auto" w:fill="FFFFFF"/>
          </w:tcPr>
          <w:p w14:paraId="54A1A332"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4.7.1.</w:t>
            </w:r>
            <w:r w:rsidRPr="00BD7577">
              <w:rPr>
                <w:rStyle w:val="Bodytext295pt"/>
                <w:rFonts w:ascii="Sylfaen" w:hAnsi="Sylfaen"/>
                <w:spacing w:val="0"/>
                <w:sz w:val="24"/>
                <w:szCs w:val="24"/>
              </w:rPr>
              <w:tab/>
              <w:t>Հակածնությունը:</w:t>
            </w:r>
          </w:p>
        </w:tc>
      </w:tr>
    </w:tbl>
    <w:p w14:paraId="5C7602E3"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7798B65"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3659A0C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9E38C0A" w14:textId="77777777" w:rsidTr="008C76E0">
        <w:trPr>
          <w:jc w:val="center"/>
        </w:trPr>
        <w:tc>
          <w:tcPr>
            <w:tcW w:w="9566" w:type="dxa"/>
            <w:tcBorders>
              <w:top w:val="single" w:sz="4" w:space="0" w:color="auto"/>
            </w:tcBorders>
            <w:shd w:val="clear" w:color="auto" w:fill="FFFFFF"/>
          </w:tcPr>
          <w:p w14:paraId="7CE575C2"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4.7.2.</w:t>
            </w:r>
            <w:r>
              <w:rPr>
                <w:rStyle w:val="Bodytext295pt"/>
                <w:rFonts w:ascii="Sylfaen" w:hAnsi="Sylfaen"/>
                <w:spacing w:val="0"/>
                <w:sz w:val="24"/>
                <w:szCs w:val="24"/>
                <w:lang w:val="en-US"/>
              </w:rPr>
              <w:tab/>
            </w:r>
            <w:r w:rsidRPr="00BD7577">
              <w:rPr>
                <w:rStyle w:val="Bodytext295pt"/>
                <w:rFonts w:ascii="Sylfaen" w:hAnsi="Sylfaen"/>
                <w:spacing w:val="0"/>
                <w:sz w:val="24"/>
                <w:szCs w:val="24"/>
              </w:rPr>
              <w:t>Իմունոտոքսիկություն:</w:t>
            </w:r>
          </w:p>
        </w:tc>
      </w:tr>
      <w:tr w:rsidR="008C76E0" w:rsidRPr="00BD7577" w14:paraId="4251A584"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798019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F816251" w14:textId="77777777" w:rsidTr="008C76E0">
        <w:trPr>
          <w:jc w:val="center"/>
        </w:trPr>
        <w:tc>
          <w:tcPr>
            <w:tcW w:w="9566" w:type="dxa"/>
            <w:tcBorders>
              <w:top w:val="single" w:sz="4" w:space="0" w:color="auto"/>
            </w:tcBorders>
            <w:shd w:val="clear" w:color="auto" w:fill="FFFFFF"/>
          </w:tcPr>
          <w:p w14:paraId="51478335"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4.7.3.</w:t>
            </w:r>
            <w:r w:rsidRPr="00BD7577">
              <w:rPr>
                <w:rStyle w:val="Bodytext295pt"/>
                <w:rFonts w:ascii="Sylfaen" w:hAnsi="Sylfaen"/>
                <w:spacing w:val="0"/>
                <w:sz w:val="24"/>
                <w:szCs w:val="24"/>
              </w:rPr>
              <w:tab/>
              <w:t>Կախվածություն:</w:t>
            </w:r>
          </w:p>
        </w:tc>
      </w:tr>
    </w:tbl>
    <w:p w14:paraId="61A5A400" w14:textId="77777777" w:rsidR="008C76E0" w:rsidRDefault="008C76E0" w:rsidP="008C76E0">
      <w:pPr>
        <w:rPr>
          <w:rFonts w:ascii="Sylfaen" w:hAnsi="Sylfaen"/>
          <w:sz w:val="24"/>
          <w:szCs w:val="24"/>
          <w:lang w:val="en-US"/>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C03D6AE"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2A91876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9B02DF1" w14:textId="77777777" w:rsidTr="008C76E0">
        <w:trPr>
          <w:jc w:val="center"/>
        </w:trPr>
        <w:tc>
          <w:tcPr>
            <w:tcW w:w="9566" w:type="dxa"/>
            <w:tcBorders>
              <w:top w:val="single" w:sz="4" w:space="0" w:color="auto"/>
            </w:tcBorders>
            <w:shd w:val="clear" w:color="auto" w:fill="FFFFFF"/>
          </w:tcPr>
          <w:p w14:paraId="2A4F9266"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4.7.4.</w:t>
            </w:r>
            <w:r w:rsidRPr="00BD7577">
              <w:rPr>
                <w:rStyle w:val="Bodytext295pt"/>
                <w:rFonts w:ascii="Sylfaen" w:hAnsi="Sylfaen"/>
                <w:spacing w:val="0"/>
                <w:sz w:val="24"/>
                <w:szCs w:val="24"/>
              </w:rPr>
              <w:tab/>
              <w:t>Մետաբոլիտներ:</w:t>
            </w:r>
          </w:p>
        </w:tc>
      </w:tr>
    </w:tbl>
    <w:p w14:paraId="06DF5D0E"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549C66E9"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4201A8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4AB59B4" w14:textId="77777777" w:rsidTr="008C76E0">
        <w:trPr>
          <w:jc w:val="center"/>
        </w:trPr>
        <w:tc>
          <w:tcPr>
            <w:tcW w:w="9566" w:type="dxa"/>
            <w:tcBorders>
              <w:top w:val="single" w:sz="4" w:space="0" w:color="auto"/>
            </w:tcBorders>
            <w:shd w:val="clear" w:color="auto" w:fill="FFFFFF"/>
          </w:tcPr>
          <w:p w14:paraId="0F24DFD3"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4.7.5.</w:t>
            </w:r>
            <w:r w:rsidRPr="00BD7577">
              <w:rPr>
                <w:rStyle w:val="Bodytext295pt"/>
                <w:rFonts w:ascii="Sylfaen" w:hAnsi="Sylfaen"/>
                <w:spacing w:val="0"/>
                <w:sz w:val="24"/>
                <w:szCs w:val="24"/>
              </w:rPr>
              <w:tab/>
              <w:t>Խառնուկների հետազոտություններ:</w:t>
            </w:r>
          </w:p>
        </w:tc>
      </w:tr>
    </w:tbl>
    <w:p w14:paraId="0C9CFCC6" w14:textId="77777777" w:rsidR="008C76E0" w:rsidRPr="00BD7577" w:rsidRDefault="008C76E0" w:rsidP="008C76E0">
      <w:pPr>
        <w:rPr>
          <w:rFonts w:ascii="Sylfaen" w:hAnsi="Sylfaen"/>
          <w:sz w:val="24"/>
          <w:szCs w:val="24"/>
        </w:rPr>
      </w:pPr>
    </w:p>
    <w:tbl>
      <w:tblPr>
        <w:tblOverlap w:val="never"/>
        <w:tblW w:w="9615" w:type="dxa"/>
        <w:jc w:val="center"/>
        <w:tblLayout w:type="fixed"/>
        <w:tblCellMar>
          <w:left w:w="10" w:type="dxa"/>
          <w:right w:w="10" w:type="dxa"/>
        </w:tblCellMar>
        <w:tblLook w:val="04A0" w:firstRow="1" w:lastRow="0" w:firstColumn="1" w:lastColumn="0" w:noHBand="0" w:noVBand="1"/>
      </w:tblPr>
      <w:tblGrid>
        <w:gridCol w:w="9566"/>
        <w:gridCol w:w="49"/>
      </w:tblGrid>
      <w:tr w:rsidR="008C76E0" w:rsidRPr="00BD7577" w14:paraId="1769C99E" w14:textId="77777777" w:rsidTr="008C76E0">
        <w:trPr>
          <w:gridAfter w:val="1"/>
          <w:wAfter w:w="49" w:type="dxa"/>
          <w:jc w:val="center"/>
        </w:trPr>
        <w:tc>
          <w:tcPr>
            <w:tcW w:w="9566" w:type="dxa"/>
            <w:tcBorders>
              <w:top w:val="single" w:sz="4" w:space="0" w:color="auto"/>
              <w:left w:val="single" w:sz="4" w:space="0" w:color="auto"/>
              <w:bottom w:val="single" w:sz="4" w:space="0" w:color="auto"/>
              <w:right w:val="single" w:sz="4" w:space="0" w:color="auto"/>
            </w:tcBorders>
            <w:shd w:val="clear" w:color="auto" w:fill="FFFFFF"/>
          </w:tcPr>
          <w:p w14:paraId="7D99FC1C"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04CD1B8" w14:textId="77777777" w:rsidTr="008C76E0">
        <w:trPr>
          <w:trHeight w:val="616"/>
          <w:jc w:val="center"/>
        </w:trPr>
        <w:tc>
          <w:tcPr>
            <w:tcW w:w="9615" w:type="dxa"/>
            <w:gridSpan w:val="2"/>
            <w:shd w:val="clear" w:color="auto" w:fill="FFFFFF"/>
          </w:tcPr>
          <w:p w14:paraId="50686739" w14:textId="77777777" w:rsidR="008C76E0" w:rsidRPr="00BD7577" w:rsidRDefault="008C76E0" w:rsidP="008C76E0">
            <w:pPr>
              <w:pStyle w:val="Bodytext180"/>
              <w:shd w:val="clear" w:color="auto" w:fill="auto"/>
              <w:tabs>
                <w:tab w:val="left" w:pos="1680"/>
              </w:tabs>
              <w:spacing w:before="0" w:after="160" w:line="360" w:lineRule="auto"/>
              <w:ind w:firstLine="567"/>
              <w:rPr>
                <w:rFonts w:ascii="Sylfaen" w:hAnsi="Sylfaen"/>
                <w:b w:val="0"/>
                <w:sz w:val="24"/>
                <w:szCs w:val="24"/>
              </w:rPr>
            </w:pPr>
            <w:r>
              <w:rPr>
                <w:rStyle w:val="Bodytext295pt"/>
                <w:rFonts w:ascii="Sylfaen" w:hAnsi="Sylfaen"/>
                <w:spacing w:val="0"/>
                <w:sz w:val="24"/>
                <w:szCs w:val="24"/>
              </w:rPr>
              <w:t>4.7.6.</w:t>
            </w:r>
            <w:r w:rsidRPr="00BD7577">
              <w:rPr>
                <w:rStyle w:val="Bodytext295pt"/>
                <w:rFonts w:ascii="Sylfaen" w:hAnsi="Sylfaen"/>
                <w:spacing w:val="0"/>
                <w:sz w:val="24"/>
                <w:szCs w:val="24"/>
              </w:rPr>
              <w:tab/>
              <w:t>Այլ հետազոտություններ:</w:t>
            </w:r>
          </w:p>
        </w:tc>
      </w:tr>
    </w:tbl>
    <w:p w14:paraId="2E165BC8" w14:textId="77777777" w:rsidR="008C76E0" w:rsidRPr="00BD7577" w:rsidRDefault="008C76E0" w:rsidP="008C76E0">
      <w:pPr>
        <w:rPr>
          <w:rFonts w:ascii="Sylfaen" w:hAnsi="Sylfaen"/>
          <w:sz w:val="24"/>
          <w:szCs w:val="24"/>
        </w:rPr>
      </w:pPr>
    </w:p>
    <w:tbl>
      <w:tblPr>
        <w:tblOverlap w:val="never"/>
        <w:tblW w:w="9615" w:type="dxa"/>
        <w:jc w:val="center"/>
        <w:tblLayout w:type="fixed"/>
        <w:tblCellMar>
          <w:left w:w="10" w:type="dxa"/>
          <w:right w:w="10" w:type="dxa"/>
        </w:tblCellMar>
        <w:tblLook w:val="04A0" w:firstRow="1" w:lastRow="0" w:firstColumn="1" w:lastColumn="0" w:noHBand="0" w:noVBand="1"/>
      </w:tblPr>
      <w:tblGrid>
        <w:gridCol w:w="8242"/>
        <w:gridCol w:w="1373"/>
      </w:tblGrid>
      <w:tr w:rsidR="008C76E0" w:rsidRPr="00BD7577" w14:paraId="69DBBF36" w14:textId="77777777" w:rsidTr="008C76E0">
        <w:trPr>
          <w:jc w:val="center"/>
        </w:trPr>
        <w:tc>
          <w:tcPr>
            <w:tcW w:w="9615" w:type="dxa"/>
            <w:gridSpan w:val="2"/>
            <w:tcBorders>
              <w:top w:val="single" w:sz="4" w:space="0" w:color="auto"/>
              <w:left w:val="single" w:sz="4" w:space="0" w:color="auto"/>
              <w:right w:val="single" w:sz="4" w:space="0" w:color="auto"/>
            </w:tcBorders>
            <w:shd w:val="clear" w:color="auto" w:fill="FFFFFF"/>
          </w:tcPr>
          <w:p w14:paraId="2ACBDCA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DA07DE6" w14:textId="77777777" w:rsidTr="008C76E0">
        <w:trPr>
          <w:jc w:val="center"/>
        </w:trPr>
        <w:tc>
          <w:tcPr>
            <w:tcW w:w="9615" w:type="dxa"/>
            <w:gridSpan w:val="2"/>
            <w:tcBorders>
              <w:top w:val="single" w:sz="4" w:space="0" w:color="auto"/>
            </w:tcBorders>
            <w:shd w:val="clear" w:color="auto" w:fill="FFFFFF"/>
            <w:vAlign w:val="center"/>
          </w:tcPr>
          <w:p w14:paraId="2E4379B2" w14:textId="77777777" w:rsidR="008C76E0" w:rsidRPr="00BD7577"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b/>
                <w:spacing w:val="0"/>
                <w:sz w:val="24"/>
                <w:szCs w:val="24"/>
              </w:rPr>
            </w:pPr>
            <w:r>
              <w:rPr>
                <w:rStyle w:val="Bodytext295pt"/>
                <w:rFonts w:ascii="Sylfaen" w:hAnsi="Sylfaen"/>
                <w:spacing w:val="0"/>
                <w:sz w:val="24"/>
                <w:szCs w:val="24"/>
              </w:rPr>
              <w:lastRenderedPageBreak/>
              <w:t>4.8.</w:t>
            </w:r>
            <w:r w:rsidRPr="00BD7577">
              <w:rPr>
                <w:rStyle w:val="Bodytext295pt"/>
                <w:rFonts w:ascii="Sylfaen" w:hAnsi="Sylfaen"/>
                <w:spacing w:val="0"/>
                <w:sz w:val="24"/>
                <w:szCs w:val="24"/>
              </w:rPr>
              <w:tab/>
              <w:t>Գնահատման գծով փորձագետի՝թունաբանության վերաբերյալ ընդհանուր եզրակացությունը:</w:t>
            </w:r>
          </w:p>
        </w:tc>
      </w:tr>
      <w:tr w:rsidR="008C76E0" w:rsidRPr="00BD7577" w14:paraId="570FFECF" w14:textId="77777777" w:rsidTr="008C76E0">
        <w:trPr>
          <w:jc w:val="center"/>
        </w:trPr>
        <w:tc>
          <w:tcPr>
            <w:tcW w:w="9615" w:type="dxa"/>
            <w:gridSpan w:val="2"/>
            <w:shd w:val="clear" w:color="auto" w:fill="FFFFFF"/>
            <w:vAlign w:val="center"/>
          </w:tcPr>
          <w:p w14:paraId="410AD166" w14:textId="77777777" w:rsidR="008C76E0" w:rsidRPr="00BD7577" w:rsidRDefault="008C76E0" w:rsidP="008C76E0">
            <w:pPr>
              <w:pStyle w:val="Bodytext180"/>
              <w:shd w:val="clear" w:color="auto" w:fill="auto"/>
              <w:tabs>
                <w:tab w:val="left" w:pos="1113"/>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5.</w:t>
            </w:r>
            <w:r w:rsidRPr="00BD7577">
              <w:rPr>
                <w:rStyle w:val="Bodytext295pt"/>
                <w:rFonts w:ascii="Sylfaen" w:hAnsi="Sylfaen"/>
                <w:spacing w:val="0"/>
                <w:sz w:val="24"/>
                <w:szCs w:val="24"/>
              </w:rPr>
              <w:tab/>
              <w:t>Գրականության ցանկը:</w:t>
            </w:r>
          </w:p>
        </w:tc>
      </w:tr>
      <w:tr w:rsidR="008C76E0" w:rsidRPr="00BD7577" w14:paraId="7BB004D7" w14:textId="77777777" w:rsidTr="008C76E0">
        <w:trPr>
          <w:jc w:val="center"/>
        </w:trPr>
        <w:tc>
          <w:tcPr>
            <w:tcW w:w="9615" w:type="dxa"/>
            <w:gridSpan w:val="2"/>
            <w:shd w:val="clear" w:color="auto" w:fill="FFFFFF"/>
            <w:vAlign w:val="center"/>
          </w:tcPr>
          <w:p w14:paraId="1BAF335A" w14:textId="77777777" w:rsidR="008C76E0" w:rsidRPr="00B96454"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spacing w:val="0"/>
                <w:sz w:val="24"/>
                <w:szCs w:val="24"/>
              </w:rPr>
            </w:pPr>
            <w:r w:rsidRPr="00BD7577">
              <w:rPr>
                <w:rStyle w:val="Bodytext295pt"/>
                <w:rFonts w:ascii="Sylfaen" w:hAnsi="Sylfaen"/>
                <w:spacing w:val="0"/>
                <w:sz w:val="24"/>
                <w:szCs w:val="24"/>
              </w:rPr>
              <w:t>6.</w:t>
            </w:r>
            <w:r w:rsidRPr="00BD7577">
              <w:rPr>
                <w:rStyle w:val="Bodytext295pt"/>
                <w:rFonts w:ascii="Sylfaen" w:hAnsi="Sylfaen"/>
                <w:spacing w:val="0"/>
                <w:sz w:val="24"/>
                <w:szCs w:val="24"/>
              </w:rPr>
              <w:tab/>
              <w:t>Փորձագետի կողմից անցկացված փորձագիտության շրջանակներում բերված դիտողությունների ցանկը:</w:t>
            </w:r>
          </w:p>
          <w:p w14:paraId="2B51C99B" w14:textId="77777777" w:rsidR="008C76E0" w:rsidRPr="00B96454"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b/>
                <w:spacing w:val="0"/>
                <w:sz w:val="24"/>
                <w:szCs w:val="24"/>
              </w:rPr>
            </w:pPr>
          </w:p>
        </w:tc>
      </w:tr>
      <w:tr w:rsidR="008C76E0" w:rsidRPr="00BD7577" w14:paraId="3A79416A"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2AB69B87" w14:textId="77777777" w:rsidR="008C76E0" w:rsidRPr="00BD7577" w:rsidRDefault="008C76E0" w:rsidP="008C76E0">
            <w:pPr>
              <w:pStyle w:val="Bodytext180"/>
              <w:shd w:val="clear" w:color="auto" w:fill="auto"/>
              <w:spacing w:before="0" w:after="160" w:line="360" w:lineRule="auto"/>
              <w:ind w:left="220" w:firstLine="0"/>
              <w:rPr>
                <w:rFonts w:ascii="Sylfaen" w:hAnsi="Sylfaen"/>
                <w:b w:val="0"/>
                <w:sz w:val="24"/>
                <w:szCs w:val="24"/>
              </w:rPr>
            </w:pPr>
            <w:r w:rsidRPr="00BD7577">
              <w:rPr>
                <w:rStyle w:val="Bodytext295pt"/>
                <w:rFonts w:ascii="Sylfaen" w:hAnsi="Sylfaen"/>
                <w:spacing w:val="0"/>
                <w:sz w:val="24"/>
                <w:szCs w:val="24"/>
              </w:rPr>
              <w:t>ԿՐԻՏԻԿԱԿԱՆ ԴԻՏՈՂՈՒԹՅՈՒՆՆԵՐ</w:t>
            </w:r>
          </w:p>
        </w:tc>
      </w:tr>
      <w:tr w:rsidR="008C76E0" w:rsidRPr="00BD7577" w14:paraId="4EBAA1BE" w14:textId="77777777" w:rsidTr="008C76E0">
        <w:trPr>
          <w:jc w:val="center"/>
        </w:trPr>
        <w:tc>
          <w:tcPr>
            <w:tcW w:w="8242" w:type="dxa"/>
            <w:tcBorders>
              <w:top w:val="single" w:sz="4" w:space="0" w:color="auto"/>
            </w:tcBorders>
            <w:shd w:val="clear" w:color="auto" w:fill="FFFFFF"/>
            <w:vAlign w:val="center"/>
          </w:tcPr>
          <w:p w14:paraId="58CF6243"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Դեղաբանություն:</w:t>
            </w:r>
          </w:p>
        </w:tc>
        <w:tc>
          <w:tcPr>
            <w:tcW w:w="1373" w:type="dxa"/>
            <w:tcBorders>
              <w:top w:val="single" w:sz="4" w:space="0" w:color="auto"/>
            </w:tcBorders>
            <w:shd w:val="clear" w:color="auto" w:fill="FFFFFF"/>
          </w:tcPr>
          <w:p w14:paraId="26F98D9E" w14:textId="77777777" w:rsidR="008C76E0" w:rsidRPr="00BD7577" w:rsidRDefault="008C76E0" w:rsidP="008C76E0">
            <w:pPr>
              <w:rPr>
                <w:rFonts w:ascii="Sylfaen" w:hAnsi="Sylfaen"/>
                <w:sz w:val="24"/>
                <w:szCs w:val="24"/>
              </w:rPr>
            </w:pPr>
          </w:p>
        </w:tc>
      </w:tr>
      <w:tr w:rsidR="008C76E0" w:rsidRPr="00BD7577" w14:paraId="55F62244" w14:textId="77777777" w:rsidTr="008C76E0">
        <w:trPr>
          <w:jc w:val="center"/>
        </w:trPr>
        <w:tc>
          <w:tcPr>
            <w:tcW w:w="8242" w:type="dxa"/>
            <w:shd w:val="clear" w:color="auto" w:fill="FFFFFF"/>
            <w:vAlign w:val="center"/>
          </w:tcPr>
          <w:p w14:paraId="68DBCA77"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Դեղակինետիկա։</w:t>
            </w:r>
          </w:p>
        </w:tc>
        <w:tc>
          <w:tcPr>
            <w:tcW w:w="1373" w:type="dxa"/>
            <w:shd w:val="clear" w:color="auto" w:fill="FFFFFF"/>
          </w:tcPr>
          <w:p w14:paraId="52F32C45" w14:textId="77777777" w:rsidR="008C76E0" w:rsidRPr="00BD7577" w:rsidRDefault="008C76E0" w:rsidP="008C76E0">
            <w:pPr>
              <w:rPr>
                <w:rFonts w:ascii="Sylfaen" w:hAnsi="Sylfaen"/>
                <w:sz w:val="24"/>
                <w:szCs w:val="24"/>
              </w:rPr>
            </w:pPr>
          </w:p>
        </w:tc>
      </w:tr>
      <w:tr w:rsidR="008C76E0" w:rsidRPr="00BD7577" w14:paraId="65F4DF56" w14:textId="77777777" w:rsidTr="008C76E0">
        <w:trPr>
          <w:jc w:val="center"/>
        </w:trPr>
        <w:tc>
          <w:tcPr>
            <w:tcW w:w="8242" w:type="dxa"/>
            <w:shd w:val="clear" w:color="auto" w:fill="FFFFFF"/>
            <w:vAlign w:val="center"/>
          </w:tcPr>
          <w:p w14:paraId="5E8D6451"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Թունաբանություն:</w:t>
            </w:r>
          </w:p>
        </w:tc>
        <w:tc>
          <w:tcPr>
            <w:tcW w:w="1373" w:type="dxa"/>
            <w:shd w:val="clear" w:color="auto" w:fill="FFFFFF"/>
          </w:tcPr>
          <w:p w14:paraId="714E5A8E" w14:textId="77777777" w:rsidR="008C76E0" w:rsidRPr="00BD7577" w:rsidRDefault="008C76E0" w:rsidP="008C76E0">
            <w:pPr>
              <w:rPr>
                <w:rFonts w:ascii="Sylfaen" w:hAnsi="Sylfaen"/>
                <w:sz w:val="24"/>
                <w:szCs w:val="24"/>
              </w:rPr>
            </w:pPr>
          </w:p>
        </w:tc>
      </w:tr>
      <w:tr w:rsidR="008C76E0" w:rsidRPr="00BD7577" w14:paraId="003A8AD1"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7E28D9DA"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ԱՅԼ ԴԻՏՈՂՈՒԹՅՈՒՆՆԵՐ</w:t>
            </w:r>
          </w:p>
        </w:tc>
      </w:tr>
      <w:tr w:rsidR="008C76E0" w:rsidRPr="00BD7577" w14:paraId="4EAFDBF2" w14:textId="77777777" w:rsidTr="008C76E0">
        <w:trPr>
          <w:jc w:val="center"/>
        </w:trPr>
        <w:tc>
          <w:tcPr>
            <w:tcW w:w="8242" w:type="dxa"/>
            <w:tcBorders>
              <w:top w:val="single" w:sz="4" w:space="0" w:color="auto"/>
            </w:tcBorders>
            <w:shd w:val="clear" w:color="auto" w:fill="FFFFFF"/>
            <w:vAlign w:val="center"/>
          </w:tcPr>
          <w:p w14:paraId="60EC28E6"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Դեղաբանություն:</w:t>
            </w:r>
          </w:p>
        </w:tc>
        <w:tc>
          <w:tcPr>
            <w:tcW w:w="1373" w:type="dxa"/>
            <w:tcBorders>
              <w:top w:val="single" w:sz="4" w:space="0" w:color="auto"/>
            </w:tcBorders>
            <w:shd w:val="clear" w:color="auto" w:fill="FFFFFF"/>
          </w:tcPr>
          <w:p w14:paraId="5EE9E981" w14:textId="77777777" w:rsidR="008C76E0" w:rsidRPr="00BD7577" w:rsidRDefault="008C76E0" w:rsidP="008C76E0">
            <w:pPr>
              <w:rPr>
                <w:rFonts w:ascii="Sylfaen" w:hAnsi="Sylfaen"/>
                <w:sz w:val="24"/>
                <w:szCs w:val="24"/>
              </w:rPr>
            </w:pPr>
          </w:p>
        </w:tc>
      </w:tr>
      <w:tr w:rsidR="008C76E0" w:rsidRPr="00BD7577" w14:paraId="1527746C" w14:textId="77777777" w:rsidTr="008C76E0">
        <w:trPr>
          <w:jc w:val="center"/>
        </w:trPr>
        <w:tc>
          <w:tcPr>
            <w:tcW w:w="8242" w:type="dxa"/>
            <w:shd w:val="clear" w:color="auto" w:fill="FFFFFF"/>
            <w:vAlign w:val="center"/>
          </w:tcPr>
          <w:p w14:paraId="4B95A3D6"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Դեղակինետիկա։</w:t>
            </w:r>
          </w:p>
        </w:tc>
        <w:tc>
          <w:tcPr>
            <w:tcW w:w="1373" w:type="dxa"/>
            <w:shd w:val="clear" w:color="auto" w:fill="FFFFFF"/>
          </w:tcPr>
          <w:p w14:paraId="46BB292D" w14:textId="77777777" w:rsidR="008C76E0" w:rsidRPr="00BD7577" w:rsidRDefault="008C76E0" w:rsidP="008C76E0">
            <w:pPr>
              <w:rPr>
                <w:rFonts w:ascii="Sylfaen" w:hAnsi="Sylfaen"/>
                <w:sz w:val="24"/>
                <w:szCs w:val="24"/>
              </w:rPr>
            </w:pPr>
          </w:p>
        </w:tc>
      </w:tr>
      <w:tr w:rsidR="008C76E0" w:rsidRPr="00BD7577" w14:paraId="066F85D1" w14:textId="77777777" w:rsidTr="008C76E0">
        <w:trPr>
          <w:jc w:val="center"/>
        </w:trPr>
        <w:tc>
          <w:tcPr>
            <w:tcW w:w="8242" w:type="dxa"/>
            <w:shd w:val="clear" w:color="auto" w:fill="FFFFFF"/>
            <w:vAlign w:val="center"/>
          </w:tcPr>
          <w:p w14:paraId="25AA1B3E"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Թունաբանություն:</w:t>
            </w:r>
          </w:p>
        </w:tc>
        <w:tc>
          <w:tcPr>
            <w:tcW w:w="1373" w:type="dxa"/>
            <w:shd w:val="clear" w:color="auto" w:fill="FFFFFF"/>
          </w:tcPr>
          <w:p w14:paraId="09E3E25B" w14:textId="77777777" w:rsidR="008C76E0" w:rsidRPr="00BD7577" w:rsidRDefault="008C76E0" w:rsidP="008C76E0">
            <w:pPr>
              <w:rPr>
                <w:rFonts w:ascii="Sylfaen" w:hAnsi="Sylfaen"/>
                <w:sz w:val="24"/>
                <w:szCs w:val="24"/>
              </w:rPr>
            </w:pPr>
          </w:p>
        </w:tc>
      </w:tr>
      <w:tr w:rsidR="008C76E0" w:rsidRPr="00BD7577" w14:paraId="22BD8664"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7F6D64B6" w14:textId="77777777" w:rsidR="008C76E0" w:rsidRPr="00BD7577" w:rsidRDefault="008C76E0" w:rsidP="008C76E0">
            <w:pPr>
              <w:pStyle w:val="Bodytext180"/>
              <w:shd w:val="clear" w:color="auto" w:fill="auto"/>
              <w:spacing w:before="0" w:after="160" w:line="360" w:lineRule="auto"/>
              <w:ind w:left="240" w:firstLine="0"/>
              <w:rPr>
                <w:rFonts w:ascii="Sylfaen" w:hAnsi="Sylfaen"/>
                <w:b w:val="0"/>
                <w:sz w:val="24"/>
                <w:szCs w:val="24"/>
              </w:rPr>
            </w:pPr>
            <w:r w:rsidRPr="00BD7577">
              <w:rPr>
                <w:rFonts w:ascii="Sylfaen" w:hAnsi="Sylfaen"/>
                <w:b w:val="0"/>
                <w:sz w:val="24"/>
                <w:szCs w:val="24"/>
              </w:rPr>
              <w:t>ՀԱՆՁՆԱՐԱՐԱԿԱՆՆԵՐ</w:t>
            </w:r>
          </w:p>
        </w:tc>
      </w:tr>
      <w:tr w:rsidR="008C76E0" w:rsidRPr="00BD7577" w14:paraId="3FA81A36" w14:textId="77777777" w:rsidTr="008C76E0">
        <w:trPr>
          <w:jc w:val="center"/>
        </w:trPr>
        <w:tc>
          <w:tcPr>
            <w:tcW w:w="9615" w:type="dxa"/>
            <w:gridSpan w:val="2"/>
            <w:tcBorders>
              <w:top w:val="single" w:sz="4" w:space="0" w:color="auto"/>
            </w:tcBorders>
            <w:shd w:val="clear" w:color="auto" w:fill="FFFFFF"/>
            <w:vAlign w:val="bottom"/>
          </w:tcPr>
          <w:p w14:paraId="603E03BE" w14:textId="77777777" w:rsidR="00C43BF0" w:rsidRDefault="008C76E0" w:rsidP="008C76E0">
            <w:pPr>
              <w:pStyle w:val="Bodytext180"/>
              <w:shd w:val="clear" w:color="auto" w:fill="auto"/>
              <w:tabs>
                <w:tab w:val="left" w:pos="1117"/>
              </w:tabs>
              <w:spacing w:before="0" w:after="160" w:line="360" w:lineRule="auto"/>
              <w:ind w:firstLine="546"/>
              <w:jc w:val="both"/>
              <w:rPr>
                <w:rStyle w:val="Bodytext295pt"/>
                <w:rFonts w:ascii="Sylfaen" w:hAnsi="Sylfaen"/>
                <w:spacing w:val="0"/>
                <w:sz w:val="24"/>
                <w:szCs w:val="24"/>
              </w:rPr>
            </w:pPr>
            <w:r>
              <w:rPr>
                <w:rStyle w:val="Bodytext295pt"/>
                <w:rFonts w:ascii="Sylfaen" w:hAnsi="Sylfaen"/>
                <w:spacing w:val="0"/>
                <w:sz w:val="24"/>
                <w:szCs w:val="24"/>
              </w:rPr>
              <w:t>7.</w:t>
            </w:r>
            <w:r w:rsidRPr="00BD7577">
              <w:rPr>
                <w:rStyle w:val="Bodytext295pt"/>
                <w:rFonts w:ascii="Sylfaen" w:hAnsi="Sylfaen"/>
                <w:spacing w:val="0"/>
                <w:sz w:val="24"/>
                <w:szCs w:val="24"/>
              </w:rPr>
              <w:tab/>
              <w:t xml:space="preserve">Փորձագետի կողմից առաջարկվող պայմանները, որոնց կատարումն անհրաժեշտ է </w:t>
            </w:r>
            <w:r w:rsidR="0056496B">
              <w:rPr>
                <w:rStyle w:val="Bodytext295pt"/>
                <w:rFonts w:ascii="Sylfaen" w:hAnsi="Sylfaen"/>
                <w:spacing w:val="0"/>
                <w:sz w:val="24"/>
                <w:szCs w:val="24"/>
              </w:rPr>
              <w:t>դիմումատու</w:t>
            </w:r>
            <w:r w:rsidRPr="00BD7577">
              <w:rPr>
                <w:rStyle w:val="Bodytext295pt"/>
                <w:rFonts w:ascii="Sylfaen" w:hAnsi="Sylfaen"/>
                <w:spacing w:val="0"/>
                <w:sz w:val="24"/>
                <w:szCs w:val="24"/>
              </w:rPr>
              <w:t xml:space="preserve">ի կողմից գրանցման հավաստագիրը ստանալուց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դեղապատրաստուկի ընդհանուր բնութագիրը, բժշկական կիրառման ցուցումները (ներդիր թերթիկը)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դեղապատրաստուկի փաթեթվածքի դիզայնը հաստատելուց հետո:</w:t>
            </w:r>
          </w:p>
          <w:p w14:paraId="46228AFB"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5BD96FEF" w14:textId="11861771" w:rsidR="008C76E0" w:rsidRPr="008C76E0" w:rsidRDefault="008C76E0" w:rsidP="008C76E0">
            <w:pPr>
              <w:pStyle w:val="Bodytext180"/>
              <w:shd w:val="clear" w:color="auto" w:fill="auto"/>
              <w:tabs>
                <w:tab w:val="left" w:pos="1117"/>
              </w:tabs>
              <w:spacing w:before="0" w:after="160" w:line="360" w:lineRule="auto"/>
              <w:ind w:firstLine="546"/>
              <w:jc w:val="both"/>
              <w:rPr>
                <w:rFonts w:ascii="Sylfaen" w:hAnsi="Sylfaen"/>
                <w:b w:val="0"/>
                <w:sz w:val="24"/>
                <w:szCs w:val="24"/>
                <w:lang w:val="hy-AM"/>
              </w:rPr>
            </w:pPr>
            <w:r w:rsidRPr="00BD7577">
              <w:rPr>
                <w:rStyle w:val="Bodytext295pt"/>
                <w:rFonts w:ascii="Sylfaen" w:hAnsi="Sylfaen"/>
                <w:spacing w:val="0"/>
                <w:sz w:val="24"/>
                <w:szCs w:val="24"/>
              </w:rPr>
              <w:t xml:space="preserve"> </w:t>
            </w:r>
          </w:p>
        </w:tc>
      </w:tr>
    </w:tbl>
    <w:p w14:paraId="2F026328" w14:textId="77777777" w:rsidR="008C76E0" w:rsidRDefault="008C76E0" w:rsidP="008C76E0">
      <w:pPr>
        <w:ind w:left="4395" w:right="-1"/>
        <w:jc w:val="center"/>
        <w:rPr>
          <w:rFonts w:ascii="Sylfaen" w:hAnsi="Sylfaen"/>
          <w:sz w:val="24"/>
          <w:szCs w:val="24"/>
        </w:rPr>
        <w:sectPr w:rsidR="008C76E0" w:rsidSect="00C31D56">
          <w:type w:val="continuous"/>
          <w:pgSz w:w="11907" w:h="16839" w:code="9"/>
          <w:pgMar w:top="1418" w:right="1418" w:bottom="1418" w:left="1418" w:header="0" w:footer="6" w:gutter="0"/>
          <w:cols w:space="720"/>
          <w:noEndnote/>
          <w:docGrid w:linePitch="360"/>
        </w:sectPr>
      </w:pPr>
    </w:p>
    <w:p w14:paraId="09A2D1B2" w14:textId="77777777" w:rsidR="00591274" w:rsidRDefault="00591274" w:rsidP="008C76E0">
      <w:pPr>
        <w:ind w:left="4395" w:right="-1"/>
        <w:jc w:val="center"/>
        <w:rPr>
          <w:rFonts w:ascii="Sylfaen" w:hAnsi="Sylfaen"/>
          <w:sz w:val="24"/>
          <w:szCs w:val="24"/>
        </w:rPr>
        <w:sectPr w:rsidR="00591274" w:rsidSect="00C31D56">
          <w:type w:val="continuous"/>
          <w:pgSz w:w="11907" w:h="16839" w:code="9"/>
          <w:pgMar w:top="1418" w:right="1418" w:bottom="1418" w:left="1418" w:header="0" w:footer="6" w:gutter="0"/>
          <w:cols w:space="720"/>
          <w:noEndnote/>
          <w:docGrid w:linePitch="360"/>
        </w:sectPr>
      </w:pPr>
    </w:p>
    <w:p w14:paraId="46535D2D" w14:textId="77777777" w:rsidR="008C76E0" w:rsidRPr="00BD7577" w:rsidRDefault="008C76E0" w:rsidP="001C3278">
      <w:pPr>
        <w:spacing w:after="160" w:line="360" w:lineRule="auto"/>
        <w:ind w:left="4395" w:right="-1"/>
        <w:jc w:val="center"/>
        <w:rPr>
          <w:rFonts w:ascii="Sylfaen" w:hAnsi="Sylfaen"/>
          <w:sz w:val="24"/>
          <w:szCs w:val="24"/>
        </w:rPr>
      </w:pPr>
      <w:r w:rsidRPr="00BD7577">
        <w:rPr>
          <w:rFonts w:ascii="Sylfaen" w:hAnsi="Sylfaen"/>
          <w:sz w:val="24"/>
          <w:szCs w:val="24"/>
        </w:rPr>
        <w:lastRenderedPageBreak/>
        <w:t>ՀԱՎԵԼՎԱԾ ԹԻՎ 7</w:t>
      </w:r>
      <w:r w:rsidRPr="00BD7577">
        <w:rPr>
          <w:rFonts w:ascii="Sylfaen" w:hAnsi="Sylfaen"/>
          <w:sz w:val="24"/>
          <w:szCs w:val="24"/>
        </w:rPr>
        <w:b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072A5414" w14:textId="77777777" w:rsidR="008C76E0" w:rsidRPr="00BD7577" w:rsidRDefault="008C76E0" w:rsidP="001C3278">
      <w:pPr>
        <w:spacing w:after="160" w:line="360" w:lineRule="auto"/>
        <w:ind w:left="5103" w:right="260"/>
        <w:rPr>
          <w:rFonts w:ascii="Sylfaen" w:hAnsi="Sylfaen"/>
          <w:sz w:val="24"/>
          <w:szCs w:val="24"/>
        </w:rPr>
      </w:pPr>
    </w:p>
    <w:p w14:paraId="7DE836BD" w14:textId="77777777" w:rsidR="008C76E0" w:rsidRPr="008C76E0" w:rsidRDefault="008C76E0" w:rsidP="001C3278">
      <w:pPr>
        <w:pStyle w:val="Heading120"/>
        <w:shd w:val="clear" w:color="auto" w:fill="auto"/>
        <w:spacing w:before="0" w:after="160" w:line="360" w:lineRule="auto"/>
        <w:ind w:left="40"/>
        <w:outlineLvl w:val="9"/>
        <w:rPr>
          <w:rFonts w:ascii="Sylfaen" w:hAnsi="Sylfaen"/>
          <w:b w:val="0"/>
          <w:sz w:val="24"/>
          <w:szCs w:val="24"/>
          <w:lang w:val="hy-AM"/>
        </w:rPr>
      </w:pPr>
      <w:r w:rsidRPr="001F38CC">
        <w:rPr>
          <w:rStyle w:val="Heading12Spacing1pt"/>
          <w:rFonts w:ascii="Sylfaen" w:hAnsi="Sylfaen"/>
          <w:b/>
          <w:spacing w:val="0"/>
          <w:sz w:val="24"/>
          <w:szCs w:val="24"/>
        </w:rPr>
        <w:t>ՁԵՎ</w:t>
      </w:r>
    </w:p>
    <w:p w14:paraId="5088E8B2" w14:textId="77777777" w:rsidR="008C76E0" w:rsidRPr="008C76E0" w:rsidRDefault="008C76E0" w:rsidP="001C3278">
      <w:pPr>
        <w:pStyle w:val="Bodytext130"/>
        <w:shd w:val="clear" w:color="auto" w:fill="auto"/>
        <w:spacing w:after="160" w:line="360" w:lineRule="auto"/>
        <w:ind w:left="40"/>
        <w:rPr>
          <w:rFonts w:ascii="Sylfaen" w:hAnsi="Sylfaen"/>
          <w:sz w:val="24"/>
          <w:szCs w:val="24"/>
          <w:lang w:val="hy-AM"/>
        </w:rPr>
      </w:pPr>
      <w:r w:rsidRPr="008C76E0">
        <w:rPr>
          <w:rFonts w:ascii="Sylfaen" w:hAnsi="Sylfaen"/>
          <w:sz w:val="24"/>
          <w:szCs w:val="24"/>
          <w:lang w:val="hy-AM"/>
        </w:rPr>
        <w:t>կլինիկական հետազոտությունների գնահատման գծով փորձագետի հաշվետվության</w:t>
      </w:r>
    </w:p>
    <w:p w14:paraId="2F53CE34" w14:textId="77777777" w:rsidR="008C76E0" w:rsidRPr="00BD7577" w:rsidRDefault="008C76E0" w:rsidP="001C3278">
      <w:pPr>
        <w:spacing w:after="160" w:line="360" w:lineRule="auto"/>
        <w:ind w:right="160"/>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3D1A7D0E" w14:textId="77777777" w:rsidR="008C76E0" w:rsidRPr="00BD7577" w:rsidRDefault="008C76E0" w:rsidP="001C3278">
      <w:pPr>
        <w:spacing w:after="160" w:line="360" w:lineRule="auto"/>
        <w:ind w:left="40"/>
        <w:jc w:val="center"/>
        <w:rPr>
          <w:rFonts w:ascii="Sylfaen" w:hAnsi="Sylfaen"/>
          <w:sz w:val="24"/>
          <w:szCs w:val="24"/>
        </w:rPr>
      </w:pPr>
      <w:r w:rsidRPr="00BD7577">
        <w:rPr>
          <w:rFonts w:ascii="Sylfaen" w:hAnsi="Sylfaen"/>
          <w:sz w:val="24"/>
          <w:szCs w:val="24"/>
        </w:rPr>
        <w:t>ՀԱՇՎԵՏՎՈՒԹՅՈՒՆ</w:t>
      </w:r>
    </w:p>
    <w:p w14:paraId="3C3C4599" w14:textId="77777777" w:rsidR="008C76E0" w:rsidRPr="00DD61E4" w:rsidRDefault="008C76E0" w:rsidP="001C3278">
      <w:pPr>
        <w:spacing w:after="160" w:line="360" w:lineRule="auto"/>
        <w:ind w:left="40"/>
        <w:jc w:val="center"/>
        <w:rPr>
          <w:rFonts w:ascii="Sylfaen" w:hAnsi="Sylfaen"/>
          <w:sz w:val="24"/>
          <w:szCs w:val="24"/>
        </w:rPr>
      </w:pPr>
      <w:r w:rsidRPr="00BD7577">
        <w:rPr>
          <w:rFonts w:ascii="Sylfaen" w:hAnsi="Sylfaen"/>
          <w:sz w:val="24"/>
          <w:szCs w:val="24"/>
        </w:rPr>
        <w:t>կլինիկական հետազոտությունների գնահատման գծով փորձագետի</w:t>
      </w:r>
    </w:p>
    <w:p w14:paraId="6F46CB4E" w14:textId="77777777" w:rsidR="008C76E0" w:rsidRPr="00DD61E4" w:rsidRDefault="008C76E0" w:rsidP="001C3278">
      <w:pPr>
        <w:spacing w:after="160" w:line="360" w:lineRule="auto"/>
        <w:ind w:left="40"/>
        <w:jc w:val="center"/>
        <w:rPr>
          <w:rFonts w:ascii="Sylfaen" w:hAnsi="Sylfaen"/>
          <w:sz w:val="24"/>
          <w:szCs w:val="24"/>
        </w:rPr>
      </w:pPr>
    </w:p>
    <w:p w14:paraId="09F26F8B" w14:textId="77777777" w:rsidR="008C76E0" w:rsidRPr="00BD7577" w:rsidRDefault="008C76E0" w:rsidP="001C3278">
      <w:pPr>
        <w:spacing w:after="160" w:line="360" w:lineRule="auto"/>
        <w:ind w:left="40"/>
        <w:rPr>
          <w:rFonts w:ascii="Sylfaen" w:hAnsi="Sylfaen"/>
          <w:sz w:val="24"/>
          <w:szCs w:val="24"/>
        </w:rPr>
      </w:pPr>
      <w:r w:rsidRPr="00BD7577">
        <w:rPr>
          <w:rFonts w:ascii="Sylfaen" w:hAnsi="Sylfaen"/>
          <w:sz w:val="24"/>
          <w:szCs w:val="24"/>
        </w:rPr>
        <w:t>Վարչական տեղեկատվություն</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5357"/>
        <w:gridCol w:w="4829"/>
      </w:tblGrid>
      <w:tr w:rsidR="008C76E0" w:rsidRPr="00BD7577" w14:paraId="4411A330" w14:textId="77777777" w:rsidTr="008C76E0">
        <w:trPr>
          <w:jc w:val="center"/>
        </w:trPr>
        <w:tc>
          <w:tcPr>
            <w:tcW w:w="5357" w:type="dxa"/>
            <w:tcBorders>
              <w:top w:val="single" w:sz="4" w:space="0" w:color="auto"/>
              <w:left w:val="single" w:sz="4" w:space="0" w:color="auto"/>
            </w:tcBorders>
            <w:shd w:val="clear" w:color="auto" w:fill="FFFFFF"/>
          </w:tcPr>
          <w:p w14:paraId="34ADD2E1"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Դեղամիջոցի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w:t>
            </w:r>
          </w:p>
        </w:tc>
        <w:tc>
          <w:tcPr>
            <w:tcW w:w="4829" w:type="dxa"/>
            <w:tcBorders>
              <w:top w:val="single" w:sz="4" w:space="0" w:color="auto"/>
              <w:left w:val="single" w:sz="4" w:space="0" w:color="auto"/>
              <w:right w:val="single" w:sz="4" w:space="0" w:color="auto"/>
            </w:tcBorders>
            <w:shd w:val="clear" w:color="auto" w:fill="FFFFFF"/>
          </w:tcPr>
          <w:p w14:paraId="0B7FE219" w14:textId="77777777" w:rsidR="008C76E0" w:rsidRPr="00BD7577" w:rsidRDefault="008C76E0" w:rsidP="008C76E0">
            <w:pPr>
              <w:spacing w:after="120" w:line="240" w:lineRule="auto"/>
              <w:rPr>
                <w:rFonts w:ascii="Sylfaen" w:hAnsi="Sylfaen"/>
                <w:sz w:val="24"/>
                <w:szCs w:val="24"/>
              </w:rPr>
            </w:pPr>
          </w:p>
        </w:tc>
      </w:tr>
      <w:tr w:rsidR="008C76E0" w:rsidRPr="00BD7577" w14:paraId="52384FB4" w14:textId="77777777" w:rsidTr="008C76E0">
        <w:trPr>
          <w:jc w:val="center"/>
        </w:trPr>
        <w:tc>
          <w:tcPr>
            <w:tcW w:w="5357" w:type="dxa"/>
            <w:tcBorders>
              <w:top w:val="single" w:sz="4" w:space="0" w:color="auto"/>
              <w:left w:val="single" w:sz="4" w:space="0" w:color="auto"/>
            </w:tcBorders>
            <w:shd w:val="clear" w:color="auto" w:fill="FFFFFF"/>
          </w:tcPr>
          <w:p w14:paraId="73AE3490" w14:textId="77777777" w:rsidR="008C76E0" w:rsidRPr="008C76E0" w:rsidRDefault="008C76E0" w:rsidP="008C76E0">
            <w:pPr>
              <w:pStyle w:val="Bodytext180"/>
              <w:shd w:val="clear" w:color="auto" w:fill="auto"/>
              <w:spacing w:before="0" w:after="120" w:line="240" w:lineRule="auto"/>
              <w:ind w:left="122" w:right="111" w:firstLine="0"/>
              <w:rPr>
                <w:rFonts w:ascii="Sylfaen" w:hAnsi="Sylfaen"/>
                <w:b w:val="0"/>
                <w:sz w:val="24"/>
                <w:szCs w:val="24"/>
                <w:lang w:val="hy-AM"/>
              </w:rPr>
            </w:pPr>
            <w:r w:rsidRPr="00BD7577">
              <w:rPr>
                <w:rStyle w:val="Bodytext1811pt"/>
                <w:rFonts w:ascii="Sylfaen" w:hAnsi="Sylfaen"/>
                <w:sz w:val="24"/>
                <w:szCs w:val="24"/>
              </w:rPr>
              <w:t>Միջազգային չարտոնագրված անվանումը (ՄՉԱ) կամ ազդող նյութի (նյութերի) ընդհանուր անվանումը՝</w:t>
            </w:r>
          </w:p>
        </w:tc>
        <w:tc>
          <w:tcPr>
            <w:tcW w:w="4829" w:type="dxa"/>
            <w:tcBorders>
              <w:top w:val="single" w:sz="4" w:space="0" w:color="auto"/>
              <w:left w:val="single" w:sz="4" w:space="0" w:color="auto"/>
              <w:right w:val="single" w:sz="4" w:space="0" w:color="auto"/>
            </w:tcBorders>
            <w:shd w:val="clear" w:color="auto" w:fill="FFFFFF"/>
          </w:tcPr>
          <w:p w14:paraId="7D236721" w14:textId="77777777" w:rsidR="008C76E0" w:rsidRPr="00BD7577" w:rsidRDefault="008C76E0" w:rsidP="008C76E0">
            <w:pPr>
              <w:spacing w:after="120" w:line="240" w:lineRule="auto"/>
              <w:rPr>
                <w:rFonts w:ascii="Sylfaen" w:hAnsi="Sylfaen"/>
                <w:sz w:val="24"/>
                <w:szCs w:val="24"/>
              </w:rPr>
            </w:pPr>
          </w:p>
        </w:tc>
      </w:tr>
      <w:tr w:rsidR="008C76E0" w:rsidRPr="00BD7577" w14:paraId="32165AF3" w14:textId="77777777" w:rsidTr="008C76E0">
        <w:trPr>
          <w:jc w:val="center"/>
        </w:trPr>
        <w:tc>
          <w:tcPr>
            <w:tcW w:w="5357" w:type="dxa"/>
            <w:tcBorders>
              <w:top w:val="single" w:sz="4" w:space="0" w:color="auto"/>
              <w:left w:val="single" w:sz="4" w:space="0" w:color="auto"/>
            </w:tcBorders>
            <w:shd w:val="clear" w:color="auto" w:fill="FFFFFF"/>
          </w:tcPr>
          <w:p w14:paraId="555689D3" w14:textId="7D9CAC93" w:rsidR="008C76E0" w:rsidRPr="00BD7577" w:rsidRDefault="0056496B" w:rsidP="008C76E0">
            <w:pPr>
              <w:pStyle w:val="Bodytext180"/>
              <w:shd w:val="clear" w:color="auto" w:fill="auto"/>
              <w:spacing w:before="0" w:after="120" w:line="240" w:lineRule="auto"/>
              <w:ind w:left="122" w:firstLine="0"/>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ն՝</w:t>
            </w:r>
          </w:p>
        </w:tc>
        <w:tc>
          <w:tcPr>
            <w:tcW w:w="4829" w:type="dxa"/>
            <w:tcBorders>
              <w:top w:val="single" w:sz="4" w:space="0" w:color="auto"/>
              <w:left w:val="single" w:sz="4" w:space="0" w:color="auto"/>
              <w:right w:val="single" w:sz="4" w:space="0" w:color="auto"/>
            </w:tcBorders>
            <w:shd w:val="clear" w:color="auto" w:fill="FFFFFF"/>
          </w:tcPr>
          <w:p w14:paraId="73F250E5" w14:textId="77777777" w:rsidR="008C76E0" w:rsidRPr="00BD7577" w:rsidRDefault="008C76E0" w:rsidP="008C76E0">
            <w:pPr>
              <w:spacing w:after="120" w:line="240" w:lineRule="auto"/>
              <w:rPr>
                <w:rFonts w:ascii="Sylfaen" w:hAnsi="Sylfaen"/>
                <w:sz w:val="24"/>
                <w:szCs w:val="24"/>
              </w:rPr>
            </w:pPr>
          </w:p>
        </w:tc>
      </w:tr>
      <w:tr w:rsidR="008C76E0" w:rsidRPr="00BD7577" w14:paraId="21968307" w14:textId="77777777" w:rsidTr="008C76E0">
        <w:trPr>
          <w:jc w:val="center"/>
        </w:trPr>
        <w:tc>
          <w:tcPr>
            <w:tcW w:w="5357" w:type="dxa"/>
            <w:tcBorders>
              <w:top w:val="single" w:sz="4" w:space="0" w:color="auto"/>
              <w:left w:val="single" w:sz="4" w:space="0" w:color="auto"/>
            </w:tcBorders>
            <w:shd w:val="clear" w:color="auto" w:fill="FFFFFF"/>
          </w:tcPr>
          <w:p w14:paraId="1EABFC90" w14:textId="152DD1C8"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 xml:space="preserve">Կիրառման </w:t>
            </w:r>
            <w:r w:rsidR="001A5F1A">
              <w:rPr>
                <w:rStyle w:val="Bodytext1811pt"/>
                <w:rFonts w:ascii="Sylfaen" w:hAnsi="Sylfaen"/>
                <w:sz w:val="24"/>
                <w:szCs w:val="24"/>
              </w:rPr>
              <w:t>հայտագրված</w:t>
            </w:r>
            <w:r w:rsidRPr="00BD7577">
              <w:rPr>
                <w:rStyle w:val="Bodytext1811pt"/>
                <w:rFonts w:ascii="Sylfaen" w:hAnsi="Sylfaen"/>
                <w:sz w:val="24"/>
                <w:szCs w:val="24"/>
              </w:rPr>
              <w:t xml:space="preserve"> ցուցումները՝</w:t>
            </w:r>
          </w:p>
        </w:tc>
        <w:tc>
          <w:tcPr>
            <w:tcW w:w="4829" w:type="dxa"/>
            <w:tcBorders>
              <w:top w:val="single" w:sz="4" w:space="0" w:color="auto"/>
              <w:left w:val="single" w:sz="4" w:space="0" w:color="auto"/>
              <w:right w:val="single" w:sz="4" w:space="0" w:color="auto"/>
            </w:tcBorders>
            <w:shd w:val="clear" w:color="auto" w:fill="FFFFFF"/>
          </w:tcPr>
          <w:p w14:paraId="4704E373" w14:textId="77777777" w:rsidR="008C76E0" w:rsidRPr="00BD7577" w:rsidRDefault="008C76E0" w:rsidP="008C76E0">
            <w:pPr>
              <w:spacing w:after="120" w:line="240" w:lineRule="auto"/>
              <w:rPr>
                <w:rFonts w:ascii="Sylfaen" w:hAnsi="Sylfaen"/>
                <w:sz w:val="24"/>
                <w:szCs w:val="24"/>
              </w:rPr>
            </w:pPr>
          </w:p>
        </w:tc>
      </w:tr>
      <w:tr w:rsidR="008C76E0" w:rsidRPr="00BD7577" w14:paraId="440B50BB" w14:textId="77777777" w:rsidTr="008C76E0">
        <w:trPr>
          <w:jc w:val="center"/>
        </w:trPr>
        <w:tc>
          <w:tcPr>
            <w:tcW w:w="5357" w:type="dxa"/>
            <w:tcBorders>
              <w:top w:val="single" w:sz="4" w:space="0" w:color="auto"/>
              <w:left w:val="single" w:sz="4" w:space="0" w:color="auto"/>
            </w:tcBorders>
            <w:shd w:val="clear" w:color="auto" w:fill="FFFFFF"/>
          </w:tcPr>
          <w:p w14:paraId="262D6BA0"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Դեղաթերապ</w:t>
            </w:r>
            <w:r w:rsidR="00C54D75">
              <w:rPr>
                <w:rStyle w:val="Bodytext1811pt"/>
                <w:rFonts w:ascii="Sylfaen" w:hAnsi="Sylfaen"/>
                <w:sz w:val="24"/>
                <w:szCs w:val="24"/>
              </w:rPr>
              <w:t>և</w:t>
            </w:r>
            <w:r w:rsidRPr="00BD7577">
              <w:rPr>
                <w:rStyle w:val="Bodytext1811pt"/>
                <w:rFonts w:ascii="Sylfaen" w:hAnsi="Sylfaen"/>
                <w:sz w:val="24"/>
                <w:szCs w:val="24"/>
              </w:rPr>
              <w:t>տիկ խումբը (ԱԲՔ ծածկագիրը)՝</w:t>
            </w:r>
          </w:p>
        </w:tc>
        <w:tc>
          <w:tcPr>
            <w:tcW w:w="4829" w:type="dxa"/>
            <w:tcBorders>
              <w:top w:val="single" w:sz="4" w:space="0" w:color="auto"/>
              <w:left w:val="single" w:sz="4" w:space="0" w:color="auto"/>
              <w:right w:val="single" w:sz="4" w:space="0" w:color="auto"/>
            </w:tcBorders>
            <w:shd w:val="clear" w:color="auto" w:fill="FFFFFF"/>
          </w:tcPr>
          <w:p w14:paraId="3786A8ED" w14:textId="77777777" w:rsidR="008C76E0" w:rsidRPr="00BD7577" w:rsidRDefault="008C76E0" w:rsidP="008C76E0">
            <w:pPr>
              <w:spacing w:after="120" w:line="240" w:lineRule="auto"/>
              <w:rPr>
                <w:rFonts w:ascii="Sylfaen" w:hAnsi="Sylfaen"/>
                <w:sz w:val="24"/>
                <w:szCs w:val="24"/>
              </w:rPr>
            </w:pPr>
          </w:p>
        </w:tc>
      </w:tr>
      <w:tr w:rsidR="008C76E0" w:rsidRPr="00BD7577" w14:paraId="317D0FE8" w14:textId="77777777" w:rsidTr="008C76E0">
        <w:trPr>
          <w:jc w:val="center"/>
        </w:trPr>
        <w:tc>
          <w:tcPr>
            <w:tcW w:w="5357" w:type="dxa"/>
            <w:tcBorders>
              <w:top w:val="single" w:sz="4" w:space="0" w:color="auto"/>
              <w:left w:val="single" w:sz="4" w:space="0" w:color="auto"/>
            </w:tcBorders>
            <w:shd w:val="clear" w:color="auto" w:fill="FFFFFF"/>
          </w:tcPr>
          <w:p w14:paraId="0124FE76"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t>Դեղաձ</w:t>
            </w:r>
            <w:r w:rsidR="00C54D75">
              <w:rPr>
                <w:rStyle w:val="Bodytext1811pt"/>
                <w:rFonts w:ascii="Sylfaen" w:hAnsi="Sylfaen"/>
                <w:sz w:val="24"/>
                <w:szCs w:val="24"/>
              </w:rPr>
              <w:t>և</w:t>
            </w:r>
            <w:r w:rsidRPr="00BD7577">
              <w:rPr>
                <w:rStyle w:val="Bodytext1811pt"/>
                <w:rFonts w:ascii="Sylfaen" w:hAnsi="Sylfaen"/>
                <w:sz w:val="24"/>
                <w:szCs w:val="24"/>
              </w:rPr>
              <w:t>ը (դեղաձ</w:t>
            </w:r>
            <w:r w:rsidR="00C54D75">
              <w:rPr>
                <w:rStyle w:val="Bodytext1811pt"/>
                <w:rFonts w:ascii="Sylfaen" w:hAnsi="Sylfaen"/>
                <w:sz w:val="24"/>
                <w:szCs w:val="24"/>
              </w:rPr>
              <w:t>և</w:t>
            </w:r>
            <w:r w:rsidRPr="00BD7577">
              <w:rPr>
                <w:rStyle w:val="Bodytext1811pt"/>
                <w:rFonts w:ascii="Sylfaen" w:hAnsi="Sylfaen"/>
                <w:sz w:val="24"/>
                <w:szCs w:val="24"/>
              </w:rPr>
              <w:t xml:space="preserve">երը) </w:t>
            </w:r>
            <w:r w:rsidR="00C54D75">
              <w:rPr>
                <w:rStyle w:val="Bodytext1811pt"/>
                <w:rFonts w:ascii="Sylfaen" w:hAnsi="Sylfaen"/>
                <w:sz w:val="24"/>
                <w:szCs w:val="24"/>
              </w:rPr>
              <w:t>և</w:t>
            </w:r>
            <w:r w:rsidRPr="00BD7577">
              <w:rPr>
                <w:rStyle w:val="Bodytext1811pt"/>
                <w:rFonts w:ascii="Sylfaen" w:hAnsi="Sylfaen"/>
                <w:sz w:val="24"/>
                <w:szCs w:val="24"/>
              </w:rPr>
              <w:t xml:space="preserve"> դոզավորումը (դոզավորումները)՝</w:t>
            </w:r>
          </w:p>
        </w:tc>
        <w:tc>
          <w:tcPr>
            <w:tcW w:w="4829" w:type="dxa"/>
            <w:tcBorders>
              <w:top w:val="single" w:sz="4" w:space="0" w:color="auto"/>
              <w:left w:val="single" w:sz="4" w:space="0" w:color="auto"/>
              <w:right w:val="single" w:sz="4" w:space="0" w:color="auto"/>
            </w:tcBorders>
            <w:shd w:val="clear" w:color="auto" w:fill="FFFFFF"/>
          </w:tcPr>
          <w:p w14:paraId="0342B742" w14:textId="77777777" w:rsidR="008C76E0" w:rsidRPr="00BD7577" w:rsidRDefault="008C76E0" w:rsidP="008C76E0">
            <w:pPr>
              <w:spacing w:after="120" w:line="240" w:lineRule="auto"/>
              <w:rPr>
                <w:rFonts w:ascii="Sylfaen" w:hAnsi="Sylfaen"/>
                <w:sz w:val="24"/>
                <w:szCs w:val="24"/>
              </w:rPr>
            </w:pPr>
          </w:p>
        </w:tc>
      </w:tr>
      <w:tr w:rsidR="008C76E0" w:rsidRPr="00BD7577" w14:paraId="6DE79C45" w14:textId="77777777" w:rsidTr="008C76E0">
        <w:trPr>
          <w:jc w:val="center"/>
        </w:trPr>
        <w:tc>
          <w:tcPr>
            <w:tcW w:w="5357" w:type="dxa"/>
            <w:tcBorders>
              <w:top w:val="single" w:sz="4" w:space="0" w:color="auto"/>
              <w:left w:val="single" w:sz="4" w:space="0" w:color="auto"/>
            </w:tcBorders>
            <w:shd w:val="clear" w:color="auto" w:fill="FFFFFF"/>
          </w:tcPr>
          <w:p w14:paraId="25D80DB6"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Փորձագետների կոնտակտային անձի տվյալները՝</w:t>
            </w:r>
          </w:p>
        </w:tc>
        <w:tc>
          <w:tcPr>
            <w:tcW w:w="4829" w:type="dxa"/>
            <w:tcBorders>
              <w:top w:val="single" w:sz="4" w:space="0" w:color="auto"/>
              <w:left w:val="single" w:sz="4" w:space="0" w:color="auto"/>
              <w:right w:val="single" w:sz="4" w:space="0" w:color="auto"/>
            </w:tcBorders>
            <w:shd w:val="clear" w:color="auto" w:fill="FFFFFF"/>
          </w:tcPr>
          <w:p w14:paraId="6C92C2D0"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Ա.Ա.Հ.՝</w:t>
            </w:r>
          </w:p>
          <w:p w14:paraId="554896E4"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5CD18BA8"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5E227FFE" w14:textId="77777777" w:rsidTr="008C76E0">
        <w:trPr>
          <w:jc w:val="center"/>
        </w:trPr>
        <w:tc>
          <w:tcPr>
            <w:tcW w:w="5357" w:type="dxa"/>
            <w:tcBorders>
              <w:top w:val="single" w:sz="4" w:space="0" w:color="auto"/>
              <w:left w:val="single" w:sz="4" w:space="0" w:color="auto"/>
            </w:tcBorders>
            <w:shd w:val="clear" w:color="auto" w:fill="FFFFFF"/>
          </w:tcPr>
          <w:p w14:paraId="69630703"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t xml:space="preserve">Փորձագետների տվյալները (ներքին </w:t>
            </w:r>
            <w:r w:rsidR="00C54D75">
              <w:rPr>
                <w:rStyle w:val="Bodytext1811pt"/>
                <w:rFonts w:ascii="Sylfaen" w:hAnsi="Sylfaen"/>
                <w:sz w:val="24"/>
                <w:szCs w:val="24"/>
              </w:rPr>
              <w:t>և</w:t>
            </w:r>
            <w:r w:rsidRPr="00BD7577">
              <w:rPr>
                <w:rStyle w:val="Bodytext1811pt"/>
                <w:rFonts w:ascii="Sylfaen" w:hAnsi="Sylfaen"/>
                <w:sz w:val="24"/>
                <w:szCs w:val="24"/>
              </w:rPr>
              <w:t xml:space="preserve"> անկախ)՝</w:t>
            </w:r>
          </w:p>
        </w:tc>
        <w:tc>
          <w:tcPr>
            <w:tcW w:w="4829" w:type="dxa"/>
            <w:tcBorders>
              <w:top w:val="single" w:sz="4" w:space="0" w:color="auto"/>
              <w:left w:val="single" w:sz="4" w:space="0" w:color="auto"/>
              <w:right w:val="single" w:sz="4" w:space="0" w:color="auto"/>
            </w:tcBorders>
            <w:shd w:val="clear" w:color="auto" w:fill="FFFFFF"/>
            <w:vAlign w:val="bottom"/>
          </w:tcPr>
          <w:p w14:paraId="1710F95A"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Որակ՝</w:t>
            </w:r>
          </w:p>
          <w:p w14:paraId="013A9D75"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40B747FA"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52511DA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lastRenderedPageBreak/>
              <w:t>էլ. փոստ՝</w:t>
            </w:r>
          </w:p>
          <w:p w14:paraId="0CEC9C0B"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Նախակլինիկական՝ </w:t>
            </w:r>
          </w:p>
          <w:p w14:paraId="6C2B00D3"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48CB8CA6"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43DF88A8"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էլ. փոստ՝</w:t>
            </w:r>
          </w:p>
          <w:p w14:paraId="718A7264"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Կլինիկական՝</w:t>
            </w:r>
          </w:p>
          <w:p w14:paraId="67534C9A"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01AEADE7"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2552375C"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307CEAAB"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6C950D43"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lastRenderedPageBreak/>
              <w:t xml:space="preserve">Փորձագետների տվյալները (ներքին </w:t>
            </w:r>
            <w:r w:rsidR="00C54D75">
              <w:rPr>
                <w:rStyle w:val="Bodytext1811pt"/>
                <w:rFonts w:ascii="Sylfaen" w:hAnsi="Sylfaen"/>
                <w:sz w:val="24"/>
                <w:szCs w:val="24"/>
              </w:rPr>
              <w:t>և</w:t>
            </w:r>
            <w:r w:rsidRPr="00BD7577">
              <w:rPr>
                <w:rStyle w:val="Bodytext1811pt"/>
                <w:rFonts w:ascii="Sylfaen" w:hAnsi="Sylfaen"/>
                <w:sz w:val="24"/>
                <w:szCs w:val="24"/>
              </w:rPr>
              <w:t xml:space="preserve"> անկախ)՝</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14:paraId="2D2AA2F3"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Որակ՝</w:t>
            </w:r>
          </w:p>
          <w:p w14:paraId="57BA156C"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18D4C593"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35AC5D1D"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1DC7FCD8" w14:textId="77777777" w:rsidTr="008C76E0">
        <w:trPr>
          <w:jc w:val="center"/>
        </w:trPr>
        <w:tc>
          <w:tcPr>
            <w:tcW w:w="5357" w:type="dxa"/>
            <w:tcBorders>
              <w:top w:val="single" w:sz="4" w:space="0" w:color="auto"/>
              <w:left w:val="single" w:sz="4" w:space="0" w:color="auto"/>
            </w:tcBorders>
            <w:shd w:val="clear" w:color="auto" w:fill="FFFFFF"/>
          </w:tcPr>
          <w:p w14:paraId="43436063" w14:textId="77777777" w:rsidR="008C76E0" w:rsidRPr="00BD7577" w:rsidRDefault="008C76E0" w:rsidP="008C76E0">
            <w:pPr>
              <w:spacing w:after="120" w:line="240" w:lineRule="auto"/>
              <w:ind w:left="122"/>
              <w:rPr>
                <w:rFonts w:ascii="Sylfaen" w:hAnsi="Sylfaen"/>
                <w:sz w:val="24"/>
                <w:szCs w:val="24"/>
              </w:rPr>
            </w:pPr>
          </w:p>
        </w:tc>
        <w:tc>
          <w:tcPr>
            <w:tcW w:w="4829" w:type="dxa"/>
            <w:tcBorders>
              <w:top w:val="single" w:sz="4" w:space="0" w:color="auto"/>
              <w:left w:val="single" w:sz="4" w:space="0" w:color="auto"/>
              <w:right w:val="single" w:sz="4" w:space="0" w:color="auto"/>
            </w:tcBorders>
            <w:shd w:val="clear" w:color="auto" w:fill="FFFFFF"/>
            <w:vAlign w:val="bottom"/>
          </w:tcPr>
          <w:p w14:paraId="0AD58DA2"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Նախակլինիկական՝ </w:t>
            </w:r>
          </w:p>
          <w:p w14:paraId="3DA74742"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55658CC9"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33D6E4B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էլ. փոստ՝</w:t>
            </w:r>
          </w:p>
          <w:p w14:paraId="5612322D"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Կլինիկական՝</w:t>
            </w:r>
          </w:p>
          <w:p w14:paraId="131BCA6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2C31AEE3"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090EF48A"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393ABB27" w14:textId="77777777" w:rsidTr="008C76E0">
        <w:trPr>
          <w:jc w:val="center"/>
        </w:trPr>
        <w:tc>
          <w:tcPr>
            <w:tcW w:w="10186" w:type="dxa"/>
            <w:gridSpan w:val="2"/>
            <w:tcBorders>
              <w:top w:val="single" w:sz="4" w:space="0" w:color="auto"/>
            </w:tcBorders>
            <w:shd w:val="clear" w:color="auto" w:fill="FFFFFF"/>
            <w:vAlign w:val="center"/>
          </w:tcPr>
          <w:p w14:paraId="1C3BB27A" w14:textId="77777777" w:rsidR="008C76E0" w:rsidRPr="001F38CC" w:rsidRDefault="008C76E0" w:rsidP="008C76E0">
            <w:pPr>
              <w:spacing w:after="120" w:line="240" w:lineRule="auto"/>
              <w:rPr>
                <w:rFonts w:ascii="Sylfaen" w:hAnsi="Sylfaen"/>
                <w:b/>
                <w:sz w:val="24"/>
                <w:szCs w:val="24"/>
              </w:rPr>
            </w:pPr>
            <w:r w:rsidRPr="001F38CC">
              <w:rPr>
                <w:rStyle w:val="Bodytext295pt"/>
                <w:rFonts w:ascii="Sylfaen" w:eastAsia="MS Mincho" w:hAnsi="Sylfaen"/>
                <w:b w:val="0"/>
                <w:spacing w:val="0"/>
                <w:sz w:val="24"/>
                <w:szCs w:val="24"/>
              </w:rPr>
              <w:t>Հապավումների ցանկ՝</w:t>
            </w:r>
          </w:p>
        </w:tc>
      </w:tr>
      <w:tr w:rsidR="008C76E0" w:rsidRPr="00BD7577" w14:paraId="04E038E3" w14:textId="77777777" w:rsidTr="008C76E0">
        <w:trPr>
          <w:jc w:val="center"/>
        </w:trPr>
        <w:tc>
          <w:tcPr>
            <w:tcW w:w="10186" w:type="dxa"/>
            <w:gridSpan w:val="2"/>
            <w:tcBorders>
              <w:top w:val="single" w:sz="4" w:space="0" w:color="auto"/>
            </w:tcBorders>
            <w:shd w:val="clear" w:color="auto" w:fill="FFFFFF"/>
          </w:tcPr>
          <w:p w14:paraId="1D2A8FED" w14:textId="77777777" w:rsidR="008C76E0" w:rsidRPr="00BD7577" w:rsidRDefault="008C76E0" w:rsidP="008C76E0">
            <w:pPr>
              <w:spacing w:after="120" w:line="240" w:lineRule="auto"/>
              <w:rPr>
                <w:rFonts w:ascii="Sylfaen" w:hAnsi="Sylfaen"/>
                <w:sz w:val="24"/>
                <w:szCs w:val="24"/>
              </w:rPr>
            </w:pPr>
          </w:p>
        </w:tc>
      </w:tr>
      <w:tr w:rsidR="008C76E0" w:rsidRPr="00BD7577" w14:paraId="127A8269" w14:textId="77777777" w:rsidTr="008C76E0">
        <w:trPr>
          <w:jc w:val="center"/>
        </w:trPr>
        <w:tc>
          <w:tcPr>
            <w:tcW w:w="10186" w:type="dxa"/>
            <w:gridSpan w:val="2"/>
            <w:tcBorders>
              <w:top w:val="single" w:sz="4" w:space="0" w:color="auto"/>
              <w:bottom w:val="single" w:sz="4" w:space="0" w:color="auto"/>
            </w:tcBorders>
            <w:shd w:val="clear" w:color="auto" w:fill="FFFFFF"/>
          </w:tcPr>
          <w:p w14:paraId="28F32260" w14:textId="77777777" w:rsidR="008C76E0" w:rsidRPr="00BD7577" w:rsidRDefault="008C76E0" w:rsidP="008C76E0">
            <w:pPr>
              <w:spacing w:after="120" w:line="240" w:lineRule="auto"/>
              <w:rPr>
                <w:rFonts w:ascii="Sylfaen" w:hAnsi="Sylfaen"/>
                <w:sz w:val="24"/>
                <w:szCs w:val="24"/>
              </w:rPr>
            </w:pPr>
          </w:p>
        </w:tc>
      </w:tr>
    </w:tbl>
    <w:p w14:paraId="00E9BF34" w14:textId="77777777" w:rsidR="008C76E0" w:rsidRPr="00BD7577" w:rsidRDefault="008C76E0" w:rsidP="008C76E0">
      <w:pPr>
        <w:rPr>
          <w:rFonts w:ascii="Sylfaen" w:hAnsi="Sylfaen"/>
          <w:sz w:val="24"/>
          <w:szCs w:val="24"/>
        </w:rPr>
      </w:pPr>
    </w:p>
    <w:p w14:paraId="2258E531" w14:textId="77777777" w:rsidR="008C76E0" w:rsidRPr="00BD7577" w:rsidRDefault="008C76E0" w:rsidP="008C76E0">
      <w:pPr>
        <w:rPr>
          <w:rFonts w:ascii="Sylfaen" w:hAnsi="Sylfaen"/>
          <w:sz w:val="24"/>
          <w:szCs w:val="24"/>
          <w:lang w:val="en-US"/>
        </w:rPr>
      </w:pPr>
      <w:r w:rsidRPr="00BD7577">
        <w:rPr>
          <w:rFonts w:ascii="Sylfaen" w:hAnsi="Sylfaen"/>
          <w:sz w:val="24"/>
          <w:szCs w:val="24"/>
        </w:rPr>
        <w:t>Կլինիկական գնահատում 1։</w:t>
      </w:r>
    </w:p>
    <w:p w14:paraId="475D3E3A" w14:textId="77777777" w:rsidR="008C76E0" w:rsidRDefault="008C76E0" w:rsidP="008C76E0">
      <w:pPr>
        <w:widowControl/>
        <w:rPr>
          <w:rFonts w:ascii="Sylfaen" w:hAnsi="Sylfaen"/>
          <w:sz w:val="24"/>
          <w:szCs w:val="24"/>
          <w:lang w:val="en-US"/>
        </w:rPr>
      </w:pPr>
      <w:r>
        <w:rPr>
          <w:rFonts w:ascii="Sylfaen" w:hAnsi="Sylfaen"/>
          <w:sz w:val="24"/>
          <w:szCs w:val="24"/>
          <w:lang w:val="en-US"/>
        </w:rPr>
        <w:br w:type="page"/>
      </w:r>
    </w:p>
    <w:p w14:paraId="5F29099A" w14:textId="77777777" w:rsidR="008C76E0" w:rsidRPr="00BD7577" w:rsidRDefault="008C76E0" w:rsidP="001C3278">
      <w:pPr>
        <w:spacing w:after="160" w:line="360" w:lineRule="auto"/>
        <w:jc w:val="center"/>
        <w:rPr>
          <w:rFonts w:ascii="Sylfaen" w:hAnsi="Sylfaen"/>
          <w:sz w:val="24"/>
          <w:szCs w:val="24"/>
        </w:rPr>
      </w:pPr>
      <w:r w:rsidRPr="00BD7577">
        <w:rPr>
          <w:rFonts w:ascii="Sylfaen" w:hAnsi="Sylfaen"/>
          <w:sz w:val="24"/>
          <w:szCs w:val="24"/>
        </w:rPr>
        <w:lastRenderedPageBreak/>
        <w:t>Ներածություն</w:t>
      </w:r>
    </w:p>
    <w:p w14:paraId="446248E3" w14:textId="5EE5A5E5"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 ասպեկտները՝</w:t>
      </w:r>
    </w:p>
    <w:p w14:paraId="0993148B"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գրանցման նորմատիվ-իրավական ընթացակարգի տեսակը.</w:t>
      </w:r>
    </w:p>
    <w:p w14:paraId="6A87D76F"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գրանցման ընթացակարգի համար հատուկ հիմնավորումների կիրառման հնարավորությունը.</w:t>
      </w:r>
    </w:p>
    <w:p w14:paraId="7860AD57"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կենսահամանմանակ հայեցակարգի կիրառումը.</w:t>
      </w:r>
    </w:p>
    <w:p w14:paraId="2FE6D1A7" w14:textId="77777777" w:rsidR="008C76E0" w:rsidRPr="00324D94"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համապատասխանությունը դեղապատրաստուկների մշակման ձեռնարկներին (գիտական խորհրդատվության առկայությունը</w:t>
      </w:r>
      <w:r>
        <w:rPr>
          <w:rFonts w:ascii="Sylfaen" w:hAnsi="Sylfaen"/>
          <w:sz w:val="24"/>
          <w:szCs w:val="24"/>
        </w:rPr>
        <w:t>).</w:t>
      </w:r>
    </w:p>
    <w:p w14:paraId="4505AEA3" w14:textId="77777777" w:rsidR="008C76E0" w:rsidRPr="00DD61E4"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մանկաբուժական հետազոտությունների նշանակալիությունը</w:t>
      </w:r>
      <w:r>
        <w:rPr>
          <w:rFonts w:ascii="Sylfaen" w:hAnsi="Sylfaen"/>
          <w:sz w:val="24"/>
          <w:szCs w:val="24"/>
        </w:rPr>
        <w:t>:</w:t>
      </w:r>
    </w:p>
    <w:p w14:paraId="06097B2F"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Պատշաճ կլինիկական գործելակերպի (GCP) սկզբունքների պահպանումը:</w:t>
      </w:r>
    </w:p>
    <w:p w14:paraId="34C776FE"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1.3.</w:t>
      </w:r>
      <w:r w:rsidRPr="00BD7577">
        <w:rPr>
          <w:rFonts w:ascii="Sylfaen" w:hAnsi="Sylfaen"/>
          <w:sz w:val="24"/>
          <w:szCs w:val="24"/>
        </w:rPr>
        <w:tab/>
        <w:t>Օրֆանային դեղապատրաստուկների դասին պատկանելիության վերաբերյալ տվյալներ:</w:t>
      </w:r>
    </w:p>
    <w:p w14:paraId="632CBB99"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 xml:space="preserve">Առողջապահության ոլորտում լիազորված մարմինների եզրակացությանը համապատասխան (00/00/00-ի եզրակացությունը)՝ հիվանդության դեպքերի հաճախությունը (նշել հիվանդաբանության անվանումը) Եվրասիական տնտեսական միության անդամ պետությունների տարածքներում 10000 մարդու հաշվարկով կազմում է (XX) (տվյալները բացակայում են): </w:t>
      </w:r>
    </w:p>
    <w:p w14:paraId="4625C7CE" w14:textId="77777777" w:rsidR="008C76E0" w:rsidRPr="00BD7577" w:rsidRDefault="008C76E0" w:rsidP="001C3278">
      <w:pPr>
        <w:pStyle w:val="Bodytext180"/>
        <w:spacing w:before="0" w:after="160" w:line="360" w:lineRule="auto"/>
        <w:ind w:left="-35" w:firstLine="0"/>
        <w:jc w:val="center"/>
        <w:rPr>
          <w:rStyle w:val="Bodytext295pt"/>
          <w:rFonts w:ascii="Sylfaen" w:hAnsi="Sylfaen"/>
          <w:spacing w:val="0"/>
          <w:sz w:val="24"/>
          <w:szCs w:val="24"/>
        </w:rPr>
      </w:pPr>
    </w:p>
    <w:p w14:paraId="326F00E7" w14:textId="77777777" w:rsidR="008C76E0" w:rsidRPr="00BD7577" w:rsidRDefault="008C76E0" w:rsidP="001C3278">
      <w:pPr>
        <w:pStyle w:val="Bodytext180"/>
        <w:spacing w:before="0" w:after="160" w:line="360" w:lineRule="auto"/>
        <w:ind w:left="-35" w:firstLine="0"/>
        <w:jc w:val="center"/>
        <w:rPr>
          <w:rStyle w:val="Bodytext295pt"/>
          <w:rFonts w:ascii="Sylfaen" w:hAnsi="Sylfaen"/>
          <w:i/>
          <w:spacing w:val="0"/>
          <w:sz w:val="24"/>
          <w:szCs w:val="24"/>
        </w:rPr>
      </w:pPr>
      <w:r w:rsidRPr="00BD7577">
        <w:rPr>
          <w:rStyle w:val="Bodytext295pt"/>
          <w:rFonts w:ascii="Sylfaen" w:hAnsi="Sylfaen"/>
          <w:spacing w:val="0"/>
          <w:sz w:val="24"/>
          <w:szCs w:val="24"/>
        </w:rPr>
        <w:t>2. Կլինիկական դեղաբանություն</w:t>
      </w:r>
    </w:p>
    <w:p w14:paraId="67827A4D" w14:textId="77777777" w:rsidR="008C76E0" w:rsidRPr="008C76E0" w:rsidRDefault="008C76E0" w:rsidP="001C3278">
      <w:pPr>
        <w:pStyle w:val="Bodytext180"/>
        <w:shd w:val="clear" w:color="auto" w:fill="auto"/>
        <w:tabs>
          <w:tab w:val="left" w:pos="1134"/>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w:t>
      </w:r>
      <w:r w:rsidRPr="00BD7577">
        <w:rPr>
          <w:rStyle w:val="Bodytext295pt"/>
          <w:rFonts w:ascii="Sylfaen" w:hAnsi="Sylfaen"/>
          <w:spacing w:val="0"/>
          <w:sz w:val="24"/>
          <w:szCs w:val="24"/>
        </w:rPr>
        <w:tab/>
        <w:t>Դեղակինետիկա։</w:t>
      </w:r>
    </w:p>
    <w:p w14:paraId="139ADAC1" w14:textId="77777777" w:rsidR="008C76E0" w:rsidRPr="008C76E0" w:rsidRDefault="008C76E0" w:rsidP="001C3278">
      <w:pPr>
        <w:pStyle w:val="Bodytext180"/>
        <w:shd w:val="clear" w:color="auto" w:fill="auto"/>
        <w:tabs>
          <w:tab w:val="left" w:pos="1701"/>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2.1.1.</w:t>
      </w:r>
      <w:r w:rsidRPr="00BD7577">
        <w:rPr>
          <w:rStyle w:val="Bodytext295pt"/>
          <w:rFonts w:ascii="Sylfaen" w:hAnsi="Sylfaen"/>
          <w:spacing w:val="0"/>
          <w:sz w:val="24"/>
          <w:szCs w:val="24"/>
        </w:rPr>
        <w:tab/>
        <w:t>Ներածություն:</w:t>
      </w:r>
    </w:p>
    <w:p w14:paraId="36C6DE7A" w14:textId="77777777" w:rsidR="008C76E0" w:rsidRPr="008C76E0" w:rsidRDefault="008C76E0" w:rsidP="001C3278">
      <w:pPr>
        <w:pStyle w:val="Bodytext180"/>
        <w:shd w:val="clear" w:color="auto" w:fill="auto"/>
        <w:tabs>
          <w:tab w:val="left" w:pos="1701"/>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2.1.2.</w:t>
      </w:r>
      <w:r w:rsidRPr="00BD7577">
        <w:rPr>
          <w:rStyle w:val="Bodytext295pt"/>
          <w:rFonts w:ascii="Sylfaen" w:hAnsi="Sylfaen"/>
          <w:spacing w:val="0"/>
          <w:sz w:val="24"/>
          <w:szCs w:val="24"/>
        </w:rPr>
        <w:tab/>
        <w:t>Մեթոդները:</w:t>
      </w:r>
    </w:p>
    <w:p w14:paraId="0651C949" w14:textId="77777777" w:rsidR="008C76E0" w:rsidRPr="00BD7577" w:rsidRDefault="008C76E0" w:rsidP="001C3278">
      <w:pPr>
        <w:pStyle w:val="Bodytext180"/>
        <w:shd w:val="clear" w:color="auto" w:fill="auto"/>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Անալիտիկ մեթոդներն ու մեթոդիկաները</w:t>
      </w:r>
    </w:p>
    <w:tbl>
      <w:tblPr>
        <w:tblOverlap w:val="never"/>
        <w:tblW w:w="10285" w:type="dxa"/>
        <w:jc w:val="center"/>
        <w:tblLayout w:type="fixed"/>
        <w:tblCellMar>
          <w:left w:w="10" w:type="dxa"/>
          <w:right w:w="10" w:type="dxa"/>
        </w:tblCellMar>
        <w:tblLook w:val="04A0" w:firstRow="1" w:lastRow="0" w:firstColumn="1" w:lastColumn="0" w:noHBand="0" w:noVBand="1"/>
      </w:tblPr>
      <w:tblGrid>
        <w:gridCol w:w="2531"/>
        <w:gridCol w:w="1573"/>
        <w:gridCol w:w="970"/>
        <w:gridCol w:w="1050"/>
        <w:gridCol w:w="1492"/>
        <w:gridCol w:w="528"/>
        <w:gridCol w:w="2141"/>
      </w:tblGrid>
      <w:tr w:rsidR="008C76E0" w:rsidRPr="00BD7577" w14:paraId="46882E6D"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AA3BCA1"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05ADD5B6" w14:textId="77777777" w:rsidTr="008C76E0">
        <w:trPr>
          <w:jc w:val="center"/>
        </w:trPr>
        <w:tc>
          <w:tcPr>
            <w:tcW w:w="10285" w:type="dxa"/>
            <w:gridSpan w:val="7"/>
            <w:tcBorders>
              <w:top w:val="single" w:sz="4" w:space="0" w:color="auto"/>
            </w:tcBorders>
            <w:shd w:val="clear" w:color="auto" w:fill="FFFFFF"/>
            <w:vAlign w:val="bottom"/>
          </w:tcPr>
          <w:p w14:paraId="7169DF71" w14:textId="77777777" w:rsidR="008C76E0" w:rsidRPr="00BD7577" w:rsidRDefault="008C76E0" w:rsidP="008C76E0">
            <w:pPr>
              <w:pStyle w:val="Bodytext180"/>
              <w:shd w:val="clear" w:color="auto" w:fill="auto"/>
              <w:spacing w:before="0" w:after="160" w:line="360" w:lineRule="auto"/>
              <w:ind w:left="536" w:firstLine="0"/>
              <w:rPr>
                <w:rFonts w:ascii="Sylfaen" w:hAnsi="Sylfaen"/>
                <w:b w:val="0"/>
                <w:sz w:val="24"/>
                <w:szCs w:val="24"/>
              </w:rPr>
            </w:pPr>
            <w:r w:rsidRPr="00BD7577">
              <w:rPr>
                <w:rStyle w:val="Bodytext295pt"/>
                <w:rFonts w:ascii="Sylfaen" w:hAnsi="Sylfaen"/>
                <w:spacing w:val="0"/>
                <w:sz w:val="24"/>
                <w:szCs w:val="24"/>
              </w:rPr>
              <w:t>Դեղակինետիկ տվյալների վերլուծությունը</w:t>
            </w:r>
          </w:p>
        </w:tc>
      </w:tr>
      <w:tr w:rsidR="008C76E0" w:rsidRPr="00BD7577" w14:paraId="1BFAE64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8EC4AB4"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9AD1552" w14:textId="77777777" w:rsidTr="008C76E0">
        <w:trPr>
          <w:jc w:val="center"/>
        </w:trPr>
        <w:tc>
          <w:tcPr>
            <w:tcW w:w="10285" w:type="dxa"/>
            <w:gridSpan w:val="7"/>
            <w:tcBorders>
              <w:top w:val="single" w:sz="4" w:space="0" w:color="auto"/>
            </w:tcBorders>
            <w:shd w:val="clear" w:color="auto" w:fill="FFFFFF"/>
            <w:vAlign w:val="center"/>
          </w:tcPr>
          <w:p w14:paraId="0362358D" w14:textId="77777777" w:rsidR="008C76E0" w:rsidRPr="00BD7577" w:rsidRDefault="008C76E0" w:rsidP="008C76E0">
            <w:pPr>
              <w:pStyle w:val="Bodytext180"/>
              <w:shd w:val="clear" w:color="auto" w:fill="auto"/>
              <w:spacing w:before="0" w:after="160" w:line="360" w:lineRule="auto"/>
              <w:ind w:left="536" w:firstLine="0"/>
              <w:rPr>
                <w:rFonts w:ascii="Sylfaen" w:hAnsi="Sylfaen"/>
                <w:b w:val="0"/>
                <w:sz w:val="24"/>
                <w:szCs w:val="24"/>
              </w:rPr>
            </w:pPr>
            <w:r w:rsidRPr="00BD7577">
              <w:rPr>
                <w:rStyle w:val="Bodytext295pt"/>
                <w:rFonts w:ascii="Sylfaen" w:hAnsi="Sylfaen"/>
                <w:spacing w:val="0"/>
                <w:sz w:val="24"/>
                <w:szCs w:val="24"/>
              </w:rPr>
              <w:t>Վիճակագրական վերլուծությունը</w:t>
            </w:r>
          </w:p>
        </w:tc>
      </w:tr>
      <w:tr w:rsidR="008C76E0" w:rsidRPr="00BD7577" w14:paraId="1FECABF7"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017E659"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119D5FD" w14:textId="77777777" w:rsidTr="008C76E0">
        <w:trPr>
          <w:jc w:val="center"/>
        </w:trPr>
        <w:tc>
          <w:tcPr>
            <w:tcW w:w="10285" w:type="dxa"/>
            <w:gridSpan w:val="7"/>
            <w:tcBorders>
              <w:top w:val="single" w:sz="4" w:space="0" w:color="auto"/>
            </w:tcBorders>
            <w:shd w:val="clear" w:color="auto" w:fill="FFFFFF"/>
            <w:vAlign w:val="center"/>
          </w:tcPr>
          <w:p w14:paraId="558DEF15" w14:textId="77777777" w:rsidR="008C76E0" w:rsidRPr="00BD7577"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rPr>
            </w:pPr>
            <w:r>
              <w:rPr>
                <w:rStyle w:val="Bodytext295pt"/>
                <w:rFonts w:ascii="Sylfaen" w:hAnsi="Sylfaen"/>
                <w:spacing w:val="0"/>
                <w:sz w:val="24"/>
                <w:szCs w:val="24"/>
              </w:rPr>
              <w:t>2.1.3.</w:t>
            </w:r>
            <w:r w:rsidRPr="00BD7577">
              <w:rPr>
                <w:rStyle w:val="Bodytext295pt"/>
                <w:rFonts w:ascii="Sylfaen" w:hAnsi="Sylfaen"/>
                <w:spacing w:val="0"/>
                <w:sz w:val="24"/>
                <w:szCs w:val="24"/>
              </w:rPr>
              <w:tab/>
              <w:t>Կլանումը: Կենսամատչելիությունը</w:t>
            </w:r>
          </w:p>
        </w:tc>
      </w:tr>
      <w:tr w:rsidR="008C76E0" w:rsidRPr="00BD7577" w14:paraId="21F2D5F5"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7333131"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C9EF503" w14:textId="77777777" w:rsidTr="008C76E0">
        <w:trPr>
          <w:jc w:val="center"/>
        </w:trPr>
        <w:tc>
          <w:tcPr>
            <w:tcW w:w="10285" w:type="dxa"/>
            <w:gridSpan w:val="7"/>
            <w:tcBorders>
              <w:top w:val="single" w:sz="4" w:space="0" w:color="auto"/>
            </w:tcBorders>
            <w:shd w:val="clear" w:color="auto" w:fill="FFFFFF"/>
            <w:vAlign w:val="center"/>
          </w:tcPr>
          <w:p w14:paraId="7C06D178"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Կենսահամարժեքությունը</w:t>
            </w:r>
          </w:p>
        </w:tc>
      </w:tr>
      <w:tr w:rsidR="008C76E0" w:rsidRPr="00BD7577" w14:paraId="13871CF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692A36D9"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C3C32CC" w14:textId="77777777" w:rsidTr="008C76E0">
        <w:trPr>
          <w:jc w:val="center"/>
        </w:trPr>
        <w:tc>
          <w:tcPr>
            <w:tcW w:w="10285" w:type="dxa"/>
            <w:gridSpan w:val="7"/>
            <w:tcBorders>
              <w:top w:val="single" w:sz="4" w:space="0" w:color="auto"/>
            </w:tcBorders>
            <w:shd w:val="clear" w:color="auto" w:fill="FFFFFF"/>
            <w:vAlign w:val="center"/>
          </w:tcPr>
          <w:p w14:paraId="416F0C6B"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Սննդի ազդեցությունը</w:t>
            </w:r>
          </w:p>
        </w:tc>
      </w:tr>
      <w:tr w:rsidR="008C76E0" w:rsidRPr="00BD7577" w14:paraId="157C6329"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C75925B"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E98F79D" w14:textId="77777777" w:rsidTr="008C76E0">
        <w:trPr>
          <w:jc w:val="center"/>
        </w:trPr>
        <w:tc>
          <w:tcPr>
            <w:tcW w:w="10285" w:type="dxa"/>
            <w:gridSpan w:val="7"/>
            <w:tcBorders>
              <w:top w:val="single" w:sz="4" w:space="0" w:color="auto"/>
            </w:tcBorders>
            <w:shd w:val="clear" w:color="auto" w:fill="FFFFFF"/>
            <w:vAlign w:val="bottom"/>
          </w:tcPr>
          <w:p w14:paraId="5FF4D4EA" w14:textId="77777777" w:rsidR="008C76E0" w:rsidRPr="00BD7577" w:rsidRDefault="008C76E0" w:rsidP="008C76E0">
            <w:pPr>
              <w:pStyle w:val="Bodytext180"/>
              <w:shd w:val="clear" w:color="auto" w:fill="auto"/>
              <w:tabs>
                <w:tab w:val="left" w:pos="1707"/>
              </w:tabs>
              <w:spacing w:before="0" w:after="160" w:line="360" w:lineRule="auto"/>
              <w:ind w:firstLine="567"/>
              <w:rPr>
                <w:rFonts w:ascii="Sylfaen" w:hAnsi="Sylfaen"/>
                <w:b w:val="0"/>
                <w:sz w:val="24"/>
                <w:szCs w:val="24"/>
              </w:rPr>
            </w:pPr>
            <w:r>
              <w:rPr>
                <w:rStyle w:val="Bodytext295pt"/>
                <w:rFonts w:ascii="Sylfaen" w:hAnsi="Sylfaen"/>
                <w:spacing w:val="0"/>
                <w:sz w:val="24"/>
                <w:szCs w:val="24"/>
              </w:rPr>
              <w:t>2.1.4.</w:t>
            </w:r>
            <w:r>
              <w:rPr>
                <w:rStyle w:val="Bodytext295pt"/>
                <w:rFonts w:ascii="Sylfaen" w:hAnsi="Sylfaen"/>
                <w:spacing w:val="0"/>
                <w:sz w:val="24"/>
                <w:szCs w:val="24"/>
              </w:rPr>
              <w:tab/>
            </w:r>
            <w:r w:rsidRPr="00BD7577">
              <w:rPr>
                <w:rStyle w:val="Bodytext295pt"/>
                <w:rFonts w:ascii="Sylfaen" w:hAnsi="Sylfaen"/>
                <w:spacing w:val="0"/>
                <w:sz w:val="24"/>
                <w:szCs w:val="24"/>
              </w:rPr>
              <w:t>Բաշխումը:</w:t>
            </w:r>
          </w:p>
        </w:tc>
      </w:tr>
      <w:tr w:rsidR="008C76E0" w:rsidRPr="00BD7577" w14:paraId="4B53AF76"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5D601D5F"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79303F3" w14:textId="77777777" w:rsidTr="008C76E0">
        <w:trPr>
          <w:jc w:val="center"/>
        </w:trPr>
        <w:tc>
          <w:tcPr>
            <w:tcW w:w="10285" w:type="dxa"/>
            <w:gridSpan w:val="7"/>
            <w:tcBorders>
              <w:top w:val="single" w:sz="4" w:space="0" w:color="auto"/>
            </w:tcBorders>
            <w:shd w:val="clear" w:color="auto" w:fill="FFFFFF"/>
            <w:vAlign w:val="bottom"/>
          </w:tcPr>
          <w:p w14:paraId="647F158F" w14:textId="77777777" w:rsidR="008C76E0" w:rsidRPr="00BD7577" w:rsidRDefault="008C76E0" w:rsidP="008C76E0">
            <w:pPr>
              <w:pStyle w:val="Bodytext180"/>
              <w:shd w:val="clear" w:color="auto" w:fill="auto"/>
              <w:tabs>
                <w:tab w:val="left" w:pos="1707"/>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2.1.5.</w:t>
            </w:r>
            <w:r w:rsidRPr="00BD7577">
              <w:rPr>
                <w:rStyle w:val="Bodytext295pt"/>
                <w:rFonts w:ascii="Sylfaen" w:hAnsi="Sylfaen"/>
                <w:spacing w:val="0"/>
                <w:sz w:val="24"/>
                <w:szCs w:val="24"/>
              </w:rPr>
              <w:tab/>
              <w:t>Վերացումը:</w:t>
            </w:r>
          </w:p>
          <w:p w14:paraId="7A6B0B07" w14:textId="77777777" w:rsidR="008C76E0" w:rsidRPr="00BD7577" w:rsidRDefault="008C76E0" w:rsidP="008C76E0">
            <w:pPr>
              <w:pStyle w:val="Bodytext180"/>
              <w:shd w:val="clear" w:color="auto" w:fill="auto"/>
              <w:tabs>
                <w:tab w:val="left" w:pos="1611"/>
              </w:tabs>
              <w:spacing w:before="0" w:after="160" w:line="360" w:lineRule="auto"/>
              <w:ind w:firstLine="536"/>
              <w:rPr>
                <w:rFonts w:ascii="Sylfaen" w:hAnsi="Sylfaen"/>
                <w:b w:val="0"/>
                <w:sz w:val="24"/>
                <w:szCs w:val="24"/>
              </w:rPr>
            </w:pPr>
            <w:r w:rsidRPr="00BD7577">
              <w:rPr>
                <w:rStyle w:val="Bodytext295pt"/>
                <w:rFonts w:ascii="Sylfaen" w:hAnsi="Sylfaen"/>
                <w:spacing w:val="0"/>
                <w:sz w:val="24"/>
                <w:szCs w:val="24"/>
              </w:rPr>
              <w:t>Դուրսբերումը:</w:t>
            </w:r>
          </w:p>
        </w:tc>
      </w:tr>
      <w:tr w:rsidR="008C76E0" w:rsidRPr="00BD7577" w14:paraId="79DDA427"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5E0B7D9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8B5FA7F" w14:textId="77777777" w:rsidTr="008C76E0">
        <w:trPr>
          <w:jc w:val="center"/>
        </w:trPr>
        <w:tc>
          <w:tcPr>
            <w:tcW w:w="10285" w:type="dxa"/>
            <w:gridSpan w:val="7"/>
            <w:tcBorders>
              <w:top w:val="single" w:sz="4" w:space="0" w:color="auto"/>
            </w:tcBorders>
            <w:shd w:val="clear" w:color="auto" w:fill="FFFFFF"/>
            <w:vAlign w:val="center"/>
          </w:tcPr>
          <w:p w14:paraId="46EF6301"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Նյութափոխանակությունը</w:t>
            </w:r>
          </w:p>
        </w:tc>
      </w:tr>
      <w:tr w:rsidR="008C76E0" w:rsidRPr="00BD7577" w14:paraId="4C1B3BE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857D1E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7E1063" w14:textId="77777777" w:rsidTr="008C76E0">
        <w:trPr>
          <w:jc w:val="center"/>
        </w:trPr>
        <w:tc>
          <w:tcPr>
            <w:tcW w:w="10285" w:type="dxa"/>
            <w:gridSpan w:val="7"/>
            <w:tcBorders>
              <w:top w:val="single" w:sz="4" w:space="0" w:color="auto"/>
            </w:tcBorders>
            <w:shd w:val="clear" w:color="auto" w:fill="FFFFFF"/>
            <w:vAlign w:val="bottom"/>
          </w:tcPr>
          <w:p w14:paraId="4BD57889"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Փոխադարձ փոխարկում</w:t>
            </w:r>
          </w:p>
        </w:tc>
      </w:tr>
      <w:tr w:rsidR="008C76E0" w:rsidRPr="00BD7577" w14:paraId="4407731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A47800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1A9B3B" w14:textId="77777777" w:rsidTr="008C76E0">
        <w:trPr>
          <w:jc w:val="center"/>
        </w:trPr>
        <w:tc>
          <w:tcPr>
            <w:tcW w:w="10285" w:type="dxa"/>
            <w:gridSpan w:val="7"/>
            <w:tcBorders>
              <w:top w:val="single" w:sz="4" w:space="0" w:color="auto"/>
            </w:tcBorders>
            <w:shd w:val="clear" w:color="auto" w:fill="FFFFFF"/>
            <w:vAlign w:val="bottom"/>
          </w:tcPr>
          <w:p w14:paraId="6CD83949"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Մետաբոլիտների դեղակինետիկան</w:t>
            </w:r>
          </w:p>
        </w:tc>
      </w:tr>
      <w:tr w:rsidR="008C76E0" w:rsidRPr="00BD7577" w14:paraId="38A2374E"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DC20E1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5BB99246" w14:textId="77777777" w:rsidTr="008C76E0">
        <w:trPr>
          <w:jc w:val="center"/>
        </w:trPr>
        <w:tc>
          <w:tcPr>
            <w:tcW w:w="10285" w:type="dxa"/>
            <w:gridSpan w:val="7"/>
            <w:tcBorders>
              <w:top w:val="single" w:sz="4" w:space="0" w:color="auto"/>
            </w:tcBorders>
            <w:shd w:val="clear" w:color="auto" w:fill="FFFFFF"/>
            <w:vAlign w:val="bottom"/>
          </w:tcPr>
          <w:p w14:paraId="42308DB8"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Հնարավոր գենետիկական պոլիմորֆիզմի հետ</w:t>
            </w:r>
            <w:r w:rsidR="00C54D75">
              <w:rPr>
                <w:rStyle w:val="Bodytext295pt"/>
                <w:rFonts w:ascii="Sylfaen" w:hAnsi="Sylfaen"/>
                <w:spacing w:val="0"/>
                <w:sz w:val="24"/>
                <w:szCs w:val="24"/>
              </w:rPr>
              <w:t>և</w:t>
            </w:r>
            <w:r w:rsidRPr="00BD7577">
              <w:rPr>
                <w:rStyle w:val="Bodytext295pt"/>
                <w:rFonts w:ascii="Sylfaen" w:hAnsi="Sylfaen"/>
                <w:spacing w:val="0"/>
                <w:sz w:val="24"/>
                <w:szCs w:val="24"/>
              </w:rPr>
              <w:t>անքները</w:t>
            </w:r>
          </w:p>
        </w:tc>
      </w:tr>
      <w:tr w:rsidR="008C76E0" w:rsidRPr="00BD7577" w14:paraId="613DB49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92D7DB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539D6BD" w14:textId="77777777" w:rsidTr="008C76E0">
        <w:trPr>
          <w:jc w:val="center"/>
        </w:trPr>
        <w:tc>
          <w:tcPr>
            <w:tcW w:w="10285" w:type="dxa"/>
            <w:gridSpan w:val="7"/>
            <w:tcBorders>
              <w:top w:val="single" w:sz="4" w:space="0" w:color="auto"/>
            </w:tcBorders>
            <w:shd w:val="clear" w:color="auto" w:fill="FFFFFF"/>
            <w:vAlign w:val="bottom"/>
          </w:tcPr>
          <w:p w14:paraId="17460BA7" w14:textId="77777777" w:rsidR="008C76E0" w:rsidRPr="008C76E0" w:rsidRDefault="008C76E0" w:rsidP="008C76E0">
            <w:pPr>
              <w:pStyle w:val="Bodytext180"/>
              <w:shd w:val="clear" w:color="auto" w:fill="auto"/>
              <w:tabs>
                <w:tab w:val="left" w:pos="1722"/>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2.1.6.</w:t>
            </w:r>
            <w:r w:rsidRPr="00BD7577">
              <w:rPr>
                <w:rStyle w:val="Bodytext295pt"/>
                <w:rFonts w:ascii="Sylfaen" w:hAnsi="Sylfaen"/>
                <w:spacing w:val="0"/>
                <w:sz w:val="24"/>
                <w:szCs w:val="24"/>
              </w:rPr>
              <w:tab/>
              <w:t xml:space="preserve">Դոզաների համամասնությունը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ժամանակավոր կախվածությունը: Դոզաների համամասնությունը</w:t>
            </w:r>
          </w:p>
        </w:tc>
      </w:tr>
      <w:tr w:rsidR="008C76E0" w:rsidRPr="00BD7577" w14:paraId="00179ED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6EFFF0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585118C" w14:textId="77777777" w:rsidTr="008C76E0">
        <w:trPr>
          <w:jc w:val="center"/>
        </w:trPr>
        <w:tc>
          <w:tcPr>
            <w:tcW w:w="10285" w:type="dxa"/>
            <w:gridSpan w:val="7"/>
            <w:tcBorders>
              <w:top w:val="single" w:sz="4" w:space="0" w:color="auto"/>
            </w:tcBorders>
            <w:shd w:val="clear" w:color="auto" w:fill="FFFFFF"/>
            <w:vAlign w:val="bottom"/>
          </w:tcPr>
          <w:p w14:paraId="2534614A"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Ժամանակավոր կախվածությունը</w:t>
            </w:r>
          </w:p>
        </w:tc>
      </w:tr>
      <w:tr w:rsidR="008C76E0" w:rsidRPr="00BD7577" w14:paraId="22CDA9B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CFF22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F18C3E5" w14:textId="77777777" w:rsidTr="008C76E0">
        <w:trPr>
          <w:jc w:val="center"/>
        </w:trPr>
        <w:tc>
          <w:tcPr>
            <w:tcW w:w="10285" w:type="dxa"/>
            <w:gridSpan w:val="7"/>
            <w:tcBorders>
              <w:top w:val="single" w:sz="4" w:space="0" w:color="auto"/>
            </w:tcBorders>
            <w:shd w:val="clear" w:color="auto" w:fill="FFFFFF"/>
            <w:vAlign w:val="bottom"/>
          </w:tcPr>
          <w:p w14:paraId="46F42413"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Pr>
                <w:rStyle w:val="Bodytext295pt"/>
                <w:rFonts w:ascii="Sylfaen" w:hAnsi="Sylfaen"/>
                <w:spacing w:val="0"/>
                <w:sz w:val="24"/>
                <w:szCs w:val="24"/>
              </w:rPr>
              <w:t>2.1.7.</w:t>
            </w:r>
            <w:r w:rsidRPr="00BD7577">
              <w:rPr>
                <w:rStyle w:val="Bodytext295pt"/>
                <w:rFonts w:ascii="Sylfaen" w:hAnsi="Sylfaen"/>
                <w:spacing w:val="0"/>
                <w:sz w:val="24"/>
                <w:szCs w:val="24"/>
              </w:rPr>
              <w:tab/>
              <w:t xml:space="preserve">Ներանհատական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միջանհատական փոփոխականությունը: </w:t>
            </w:r>
          </w:p>
        </w:tc>
      </w:tr>
      <w:tr w:rsidR="008C76E0" w:rsidRPr="00BD7577" w14:paraId="2A512636"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41FFD9D"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66509CC" w14:textId="77777777" w:rsidTr="008C76E0">
        <w:trPr>
          <w:jc w:val="center"/>
        </w:trPr>
        <w:tc>
          <w:tcPr>
            <w:tcW w:w="10285" w:type="dxa"/>
            <w:gridSpan w:val="7"/>
            <w:tcBorders>
              <w:top w:val="single" w:sz="4" w:space="0" w:color="auto"/>
            </w:tcBorders>
            <w:shd w:val="clear" w:color="auto" w:fill="FFFFFF"/>
            <w:vAlign w:val="bottom"/>
          </w:tcPr>
          <w:p w14:paraId="0633A59C"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Pr>
                <w:rStyle w:val="Bodytext295pt"/>
                <w:rFonts w:ascii="Sylfaen" w:hAnsi="Sylfaen"/>
                <w:spacing w:val="0"/>
                <w:sz w:val="24"/>
                <w:szCs w:val="24"/>
              </w:rPr>
              <w:t>2.1.8.</w:t>
            </w:r>
            <w:r w:rsidRPr="00BD7577">
              <w:rPr>
                <w:rStyle w:val="Bodytext295pt"/>
                <w:rFonts w:ascii="Sylfaen" w:hAnsi="Sylfaen"/>
                <w:spacing w:val="0"/>
                <w:sz w:val="24"/>
                <w:szCs w:val="24"/>
              </w:rPr>
              <w:tab/>
              <w:t>Նպատակային պոպուլյացիայի մոտ դեղակինետիկան:</w:t>
            </w:r>
          </w:p>
        </w:tc>
      </w:tr>
      <w:tr w:rsidR="008C76E0" w:rsidRPr="00BD7577" w14:paraId="3A5A4AEE"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6D358C75"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096D578" w14:textId="77777777" w:rsidTr="008C76E0">
        <w:trPr>
          <w:jc w:val="center"/>
        </w:trPr>
        <w:tc>
          <w:tcPr>
            <w:tcW w:w="10285" w:type="dxa"/>
            <w:gridSpan w:val="7"/>
            <w:tcBorders>
              <w:top w:val="single" w:sz="4" w:space="0" w:color="auto"/>
            </w:tcBorders>
            <w:shd w:val="clear" w:color="auto" w:fill="FFFFFF"/>
            <w:vAlign w:val="bottom"/>
          </w:tcPr>
          <w:p w14:paraId="34F971FD" w14:textId="77777777" w:rsidR="008C76E0" w:rsidRPr="008C76E0"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2.1.9.</w:t>
            </w:r>
            <w:r w:rsidRPr="00BD7577">
              <w:rPr>
                <w:rStyle w:val="Bodytext295pt"/>
                <w:rFonts w:ascii="Sylfaen" w:hAnsi="Sylfaen"/>
                <w:spacing w:val="0"/>
                <w:sz w:val="24"/>
                <w:szCs w:val="24"/>
              </w:rPr>
              <w:tab/>
              <w:t>Բնակչության հատուկ խմբերը: Երիկամների ֆունկցիայի խանգարումը</w:t>
            </w:r>
          </w:p>
        </w:tc>
      </w:tr>
      <w:tr w:rsidR="008C76E0" w:rsidRPr="00BD7577" w14:paraId="26F042BD" w14:textId="77777777" w:rsidTr="008C76E0">
        <w:trPr>
          <w:jc w:val="center"/>
        </w:trPr>
        <w:tc>
          <w:tcPr>
            <w:tcW w:w="10285" w:type="dxa"/>
            <w:gridSpan w:val="7"/>
            <w:tcBorders>
              <w:top w:val="single" w:sz="4" w:space="0" w:color="auto"/>
              <w:left w:val="single" w:sz="4" w:space="0" w:color="auto"/>
              <w:bottom w:val="single" w:sz="4" w:space="0" w:color="auto"/>
              <w:right w:val="single" w:sz="4" w:space="0" w:color="auto"/>
            </w:tcBorders>
            <w:shd w:val="clear" w:color="auto" w:fill="FFFFFF"/>
          </w:tcPr>
          <w:p w14:paraId="15883F4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306FBB2" w14:textId="77777777" w:rsidTr="008C76E0">
        <w:trPr>
          <w:jc w:val="center"/>
        </w:trPr>
        <w:tc>
          <w:tcPr>
            <w:tcW w:w="10285" w:type="dxa"/>
            <w:gridSpan w:val="7"/>
            <w:shd w:val="clear" w:color="auto" w:fill="FFFFFF"/>
          </w:tcPr>
          <w:p w14:paraId="6A3D0C1F"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Լյարդի ֆունկցիայի խանգարումը</w:t>
            </w:r>
          </w:p>
        </w:tc>
      </w:tr>
      <w:tr w:rsidR="008C76E0" w:rsidRPr="00BD7577" w14:paraId="6204B4B9"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vAlign w:val="bottom"/>
          </w:tcPr>
          <w:p w14:paraId="7DF2ADD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A29A70" w14:textId="77777777" w:rsidTr="008C76E0">
        <w:trPr>
          <w:jc w:val="center"/>
        </w:trPr>
        <w:tc>
          <w:tcPr>
            <w:tcW w:w="10285" w:type="dxa"/>
            <w:gridSpan w:val="7"/>
            <w:tcBorders>
              <w:top w:val="single" w:sz="4" w:space="0" w:color="auto"/>
            </w:tcBorders>
            <w:shd w:val="clear" w:color="auto" w:fill="FFFFFF"/>
            <w:vAlign w:val="center"/>
          </w:tcPr>
          <w:p w14:paraId="69961B4F"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Սեռը</w:t>
            </w:r>
          </w:p>
        </w:tc>
      </w:tr>
      <w:tr w:rsidR="008C76E0" w:rsidRPr="00BD7577" w14:paraId="7A4810F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F0B946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61CF9E9" w14:textId="77777777" w:rsidTr="008C76E0">
        <w:trPr>
          <w:jc w:val="center"/>
        </w:trPr>
        <w:tc>
          <w:tcPr>
            <w:tcW w:w="10285" w:type="dxa"/>
            <w:gridSpan w:val="7"/>
            <w:tcBorders>
              <w:top w:val="single" w:sz="4" w:space="0" w:color="auto"/>
            </w:tcBorders>
            <w:shd w:val="clear" w:color="auto" w:fill="FFFFFF"/>
            <w:vAlign w:val="center"/>
          </w:tcPr>
          <w:p w14:paraId="39C00217"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Ռասան</w:t>
            </w:r>
          </w:p>
        </w:tc>
      </w:tr>
      <w:tr w:rsidR="008C76E0" w:rsidRPr="00BD7577" w14:paraId="14637E1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0AC130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BBD62E0" w14:textId="77777777" w:rsidTr="008C76E0">
        <w:trPr>
          <w:jc w:val="center"/>
        </w:trPr>
        <w:tc>
          <w:tcPr>
            <w:tcW w:w="10285" w:type="dxa"/>
            <w:gridSpan w:val="7"/>
            <w:tcBorders>
              <w:top w:val="single" w:sz="4" w:space="0" w:color="auto"/>
            </w:tcBorders>
            <w:shd w:val="clear" w:color="auto" w:fill="FFFFFF"/>
            <w:vAlign w:val="center"/>
          </w:tcPr>
          <w:p w14:paraId="47E80966"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Քաշը</w:t>
            </w:r>
          </w:p>
        </w:tc>
      </w:tr>
      <w:tr w:rsidR="008C76E0" w:rsidRPr="00BD7577" w14:paraId="23AC7A0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B86F68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5CAE5EF" w14:textId="77777777" w:rsidTr="008C76E0">
        <w:trPr>
          <w:jc w:val="center"/>
        </w:trPr>
        <w:tc>
          <w:tcPr>
            <w:tcW w:w="10285" w:type="dxa"/>
            <w:gridSpan w:val="7"/>
            <w:tcBorders>
              <w:top w:val="single" w:sz="4" w:space="0" w:color="auto"/>
            </w:tcBorders>
            <w:shd w:val="clear" w:color="auto" w:fill="FFFFFF"/>
            <w:vAlign w:val="center"/>
          </w:tcPr>
          <w:p w14:paraId="2AD12D7D"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lastRenderedPageBreak/>
              <w:t>Տարեցները</w:t>
            </w:r>
          </w:p>
        </w:tc>
      </w:tr>
      <w:tr w:rsidR="008C76E0" w:rsidRPr="00BD7577" w14:paraId="7C5A83A3" w14:textId="77777777" w:rsidTr="008C76E0">
        <w:trPr>
          <w:jc w:val="center"/>
        </w:trPr>
        <w:tc>
          <w:tcPr>
            <w:tcW w:w="4104" w:type="dxa"/>
            <w:gridSpan w:val="2"/>
            <w:tcBorders>
              <w:top w:val="single" w:sz="4" w:space="0" w:color="auto"/>
              <w:left w:val="single" w:sz="4" w:space="0" w:color="auto"/>
            </w:tcBorders>
            <w:shd w:val="clear" w:color="auto" w:fill="FFFFFF"/>
          </w:tcPr>
          <w:p w14:paraId="43E3CD47"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1546F343"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5DEF1C57"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391F2EFD" w14:textId="77777777" w:rsidR="008C76E0" w:rsidRPr="00BD7577" w:rsidRDefault="008C76E0" w:rsidP="008C76E0">
            <w:pPr>
              <w:rPr>
                <w:rFonts w:ascii="Sylfaen" w:hAnsi="Sylfaen"/>
                <w:sz w:val="24"/>
                <w:szCs w:val="24"/>
              </w:rPr>
            </w:pPr>
          </w:p>
        </w:tc>
      </w:tr>
      <w:tr w:rsidR="008C76E0" w:rsidRPr="00BD7577" w14:paraId="4A5ACBE3" w14:textId="77777777" w:rsidTr="008C76E0">
        <w:trPr>
          <w:jc w:val="center"/>
        </w:trPr>
        <w:tc>
          <w:tcPr>
            <w:tcW w:w="4104" w:type="dxa"/>
            <w:gridSpan w:val="2"/>
            <w:tcBorders>
              <w:top w:val="single" w:sz="4" w:space="0" w:color="auto"/>
              <w:left w:val="single" w:sz="4" w:space="0" w:color="auto"/>
            </w:tcBorders>
            <w:shd w:val="clear" w:color="auto" w:fill="FFFFFF"/>
          </w:tcPr>
          <w:p w14:paraId="3778FB5A"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374F7E58"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7FAEB6DA"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6CA9D4EF" w14:textId="77777777" w:rsidR="008C76E0" w:rsidRPr="00BD7577" w:rsidRDefault="008C76E0" w:rsidP="008C76E0">
            <w:pPr>
              <w:rPr>
                <w:rFonts w:ascii="Sylfaen" w:hAnsi="Sylfaen"/>
                <w:sz w:val="24"/>
                <w:szCs w:val="24"/>
              </w:rPr>
            </w:pPr>
          </w:p>
        </w:tc>
      </w:tr>
      <w:tr w:rsidR="008C76E0" w:rsidRPr="00BD7577" w14:paraId="7F8B4544" w14:textId="77777777" w:rsidTr="008C76E0">
        <w:trPr>
          <w:jc w:val="center"/>
        </w:trPr>
        <w:tc>
          <w:tcPr>
            <w:tcW w:w="4104" w:type="dxa"/>
            <w:gridSpan w:val="2"/>
            <w:tcBorders>
              <w:top w:val="single" w:sz="4" w:space="0" w:color="auto"/>
              <w:left w:val="single" w:sz="4" w:space="0" w:color="auto"/>
            </w:tcBorders>
            <w:shd w:val="clear" w:color="auto" w:fill="FFFFFF"/>
          </w:tcPr>
          <w:p w14:paraId="184C8F12"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4C196394"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050E0DE5"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0737B79A" w14:textId="77777777" w:rsidR="008C76E0" w:rsidRPr="00BD7577" w:rsidRDefault="008C76E0" w:rsidP="008C76E0">
            <w:pPr>
              <w:rPr>
                <w:rFonts w:ascii="Sylfaen" w:hAnsi="Sylfaen"/>
                <w:sz w:val="24"/>
                <w:szCs w:val="24"/>
              </w:rPr>
            </w:pPr>
          </w:p>
        </w:tc>
      </w:tr>
      <w:tr w:rsidR="008C76E0" w:rsidRPr="00BD7577" w14:paraId="533D2784" w14:textId="77777777" w:rsidTr="008C76E0">
        <w:trPr>
          <w:jc w:val="center"/>
        </w:trPr>
        <w:tc>
          <w:tcPr>
            <w:tcW w:w="10285" w:type="dxa"/>
            <w:gridSpan w:val="7"/>
            <w:tcBorders>
              <w:top w:val="single" w:sz="4" w:space="0" w:color="auto"/>
            </w:tcBorders>
            <w:shd w:val="clear" w:color="auto" w:fill="FFFFFF"/>
          </w:tcPr>
          <w:p w14:paraId="1CED35FF" w14:textId="77777777" w:rsidR="008C76E0" w:rsidRPr="00BD7577" w:rsidRDefault="008C76E0" w:rsidP="008C76E0">
            <w:pPr>
              <w:rPr>
                <w:rFonts w:ascii="Sylfaen" w:hAnsi="Sylfaen"/>
                <w:sz w:val="24"/>
                <w:szCs w:val="24"/>
              </w:rPr>
            </w:pPr>
          </w:p>
        </w:tc>
      </w:tr>
      <w:tr w:rsidR="008C76E0" w:rsidRPr="00BD7577" w14:paraId="5E76093B" w14:textId="77777777" w:rsidTr="008C76E0">
        <w:trPr>
          <w:jc w:val="center"/>
        </w:trPr>
        <w:tc>
          <w:tcPr>
            <w:tcW w:w="2531" w:type="dxa"/>
            <w:tcBorders>
              <w:top w:val="single" w:sz="4" w:space="0" w:color="auto"/>
              <w:left w:val="single" w:sz="4" w:space="0" w:color="auto"/>
            </w:tcBorders>
            <w:shd w:val="clear" w:color="auto" w:fill="FFFFFF"/>
            <w:vAlign w:val="center"/>
          </w:tcPr>
          <w:p w14:paraId="6C21CF6A" w14:textId="77777777" w:rsidR="008C76E0" w:rsidRPr="00BD7577" w:rsidRDefault="008C76E0" w:rsidP="008C76E0">
            <w:pPr>
              <w:rPr>
                <w:rFonts w:ascii="Sylfaen" w:hAnsi="Sylfaen"/>
                <w:sz w:val="24"/>
                <w:szCs w:val="24"/>
              </w:rPr>
            </w:pPr>
          </w:p>
        </w:tc>
        <w:tc>
          <w:tcPr>
            <w:tcW w:w="2543" w:type="dxa"/>
            <w:gridSpan w:val="2"/>
            <w:tcBorders>
              <w:top w:val="single" w:sz="4" w:space="0" w:color="auto"/>
              <w:left w:val="single" w:sz="4" w:space="0" w:color="auto"/>
            </w:tcBorders>
            <w:shd w:val="clear" w:color="auto" w:fill="FFFFFF"/>
            <w:vAlign w:val="center"/>
          </w:tcPr>
          <w:p w14:paraId="681EF4E4"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65-74 տարիքային խումբ (տարեց պացիենտների քանակը (ընդհանուր քանակը))</w:t>
            </w:r>
          </w:p>
        </w:tc>
        <w:tc>
          <w:tcPr>
            <w:tcW w:w="2542" w:type="dxa"/>
            <w:gridSpan w:val="2"/>
            <w:tcBorders>
              <w:top w:val="single" w:sz="4" w:space="0" w:color="auto"/>
              <w:left w:val="single" w:sz="4" w:space="0" w:color="auto"/>
            </w:tcBorders>
            <w:shd w:val="clear" w:color="auto" w:fill="FFFFFF"/>
            <w:vAlign w:val="center"/>
          </w:tcPr>
          <w:p w14:paraId="06A5B183"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75-84 տարիքային խումբ (տարեց պացիենտների քանակը (ընդհանուր քանակը))</w:t>
            </w:r>
          </w:p>
        </w:tc>
        <w:tc>
          <w:tcPr>
            <w:tcW w:w="2669" w:type="dxa"/>
            <w:gridSpan w:val="2"/>
            <w:tcBorders>
              <w:top w:val="single" w:sz="4" w:space="0" w:color="auto"/>
              <w:left w:val="single" w:sz="4" w:space="0" w:color="auto"/>
            </w:tcBorders>
            <w:shd w:val="clear" w:color="auto" w:fill="FFFFFF"/>
          </w:tcPr>
          <w:p w14:paraId="1D97AA89"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85+ տարիքային խումբ (տարեց պացիենտների քանակը (ընդհանուր քանակը))</w:t>
            </w:r>
          </w:p>
        </w:tc>
      </w:tr>
      <w:tr w:rsidR="008C76E0" w:rsidRPr="00BD7577" w14:paraId="4493E740" w14:textId="77777777" w:rsidTr="008C76E0">
        <w:trPr>
          <w:jc w:val="center"/>
        </w:trPr>
        <w:tc>
          <w:tcPr>
            <w:tcW w:w="2531" w:type="dxa"/>
            <w:tcBorders>
              <w:top w:val="single" w:sz="4" w:space="0" w:color="auto"/>
              <w:left w:val="single" w:sz="4" w:space="0" w:color="auto"/>
            </w:tcBorders>
            <w:shd w:val="clear" w:color="auto" w:fill="FFFFFF"/>
            <w:vAlign w:val="bottom"/>
          </w:tcPr>
          <w:p w14:paraId="714D16DD"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Դեղակինետիկ հետազոտություններ</w:t>
            </w:r>
          </w:p>
        </w:tc>
        <w:tc>
          <w:tcPr>
            <w:tcW w:w="2543" w:type="dxa"/>
            <w:gridSpan w:val="2"/>
            <w:tcBorders>
              <w:top w:val="single" w:sz="4" w:space="0" w:color="auto"/>
              <w:left w:val="single" w:sz="4" w:space="0" w:color="auto"/>
            </w:tcBorders>
            <w:shd w:val="clear" w:color="auto" w:fill="FFFFFF"/>
          </w:tcPr>
          <w:p w14:paraId="357314D9" w14:textId="77777777" w:rsidR="008C76E0" w:rsidRPr="00BD7577" w:rsidRDefault="008C76E0" w:rsidP="008C76E0">
            <w:pPr>
              <w:ind w:left="110"/>
              <w:rPr>
                <w:rFonts w:ascii="Sylfaen" w:hAnsi="Sylfaen"/>
                <w:sz w:val="24"/>
                <w:szCs w:val="24"/>
              </w:rPr>
            </w:pPr>
          </w:p>
        </w:tc>
        <w:tc>
          <w:tcPr>
            <w:tcW w:w="2542" w:type="dxa"/>
            <w:gridSpan w:val="2"/>
            <w:tcBorders>
              <w:top w:val="single" w:sz="4" w:space="0" w:color="auto"/>
              <w:left w:val="single" w:sz="4" w:space="0" w:color="auto"/>
            </w:tcBorders>
            <w:shd w:val="clear" w:color="auto" w:fill="FFFFFF"/>
          </w:tcPr>
          <w:p w14:paraId="1AF3865A" w14:textId="77777777" w:rsidR="008C76E0" w:rsidRPr="00BD7577" w:rsidRDefault="008C76E0" w:rsidP="008C76E0">
            <w:pPr>
              <w:ind w:left="110"/>
              <w:rPr>
                <w:rFonts w:ascii="Sylfaen" w:hAnsi="Sylfaen"/>
                <w:sz w:val="24"/>
                <w:szCs w:val="24"/>
              </w:rPr>
            </w:pPr>
          </w:p>
        </w:tc>
        <w:tc>
          <w:tcPr>
            <w:tcW w:w="2669" w:type="dxa"/>
            <w:gridSpan w:val="2"/>
            <w:tcBorders>
              <w:top w:val="single" w:sz="4" w:space="0" w:color="auto"/>
              <w:left w:val="single" w:sz="4" w:space="0" w:color="auto"/>
            </w:tcBorders>
            <w:shd w:val="clear" w:color="auto" w:fill="FFFFFF"/>
          </w:tcPr>
          <w:p w14:paraId="0B75E30C" w14:textId="77777777" w:rsidR="008C76E0" w:rsidRPr="00BD7577" w:rsidRDefault="008C76E0" w:rsidP="008C76E0">
            <w:pPr>
              <w:ind w:left="110"/>
              <w:rPr>
                <w:rFonts w:ascii="Sylfaen" w:hAnsi="Sylfaen"/>
                <w:sz w:val="24"/>
                <w:szCs w:val="24"/>
              </w:rPr>
            </w:pPr>
          </w:p>
        </w:tc>
      </w:tr>
      <w:tr w:rsidR="008C76E0" w:rsidRPr="00BD7577" w14:paraId="29B14FA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91B5C50"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884D088" w14:textId="77777777" w:rsidTr="008C76E0">
        <w:trPr>
          <w:jc w:val="center"/>
        </w:trPr>
        <w:tc>
          <w:tcPr>
            <w:tcW w:w="10285" w:type="dxa"/>
            <w:gridSpan w:val="7"/>
            <w:tcBorders>
              <w:top w:val="single" w:sz="4" w:space="0" w:color="auto"/>
            </w:tcBorders>
            <w:shd w:val="clear" w:color="auto" w:fill="FFFFFF"/>
            <w:vAlign w:val="bottom"/>
          </w:tcPr>
          <w:p w14:paraId="124913AF"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Երեխաներ</w:t>
            </w:r>
          </w:p>
        </w:tc>
      </w:tr>
      <w:tr w:rsidR="008C76E0" w:rsidRPr="00BD7577" w14:paraId="5E72333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A40AE79"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B080641" w14:textId="77777777" w:rsidTr="008C76E0">
        <w:trPr>
          <w:jc w:val="center"/>
        </w:trPr>
        <w:tc>
          <w:tcPr>
            <w:tcW w:w="10285" w:type="dxa"/>
            <w:gridSpan w:val="7"/>
            <w:tcBorders>
              <w:top w:val="single" w:sz="4" w:space="0" w:color="auto"/>
            </w:tcBorders>
            <w:shd w:val="clear" w:color="auto" w:fill="FFFFFF"/>
          </w:tcPr>
          <w:p w14:paraId="5E23CE53"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 xml:space="preserve">Բնակչության հատուկ խմբերի մոտ դեղակինետիկայի գծով փորձագետի ընդհանուր դիտողությունները </w:t>
            </w:r>
          </w:p>
          <w:p w14:paraId="1EAF1DF8" w14:textId="77777777" w:rsidR="008C76E0" w:rsidRPr="00BD7577" w:rsidRDefault="008C76E0" w:rsidP="008C76E0">
            <w:pPr>
              <w:pStyle w:val="Bodytext180"/>
              <w:shd w:val="clear" w:color="auto" w:fill="auto"/>
              <w:tabs>
                <w:tab w:val="left" w:pos="1662"/>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2.1.10.</w:t>
            </w:r>
            <w:r w:rsidRPr="00BD7577">
              <w:rPr>
                <w:rStyle w:val="Bodytext295pt"/>
                <w:rFonts w:ascii="Sylfaen" w:hAnsi="Sylfaen"/>
                <w:spacing w:val="0"/>
                <w:sz w:val="24"/>
                <w:szCs w:val="24"/>
              </w:rPr>
              <w:tab/>
              <w:t>Փոխազդեցությունը:</w:t>
            </w:r>
          </w:p>
          <w:p w14:paraId="3F1D8870" w14:textId="77777777" w:rsidR="008C76E0" w:rsidRPr="00BD7577" w:rsidRDefault="008C76E0" w:rsidP="008C76E0">
            <w:pPr>
              <w:pStyle w:val="Bodytext180"/>
              <w:shd w:val="clear" w:color="auto" w:fill="auto"/>
              <w:tabs>
                <w:tab w:val="left" w:pos="1611"/>
              </w:tabs>
              <w:spacing w:before="0" w:after="160" w:line="360" w:lineRule="auto"/>
              <w:ind w:left="962" w:firstLine="708"/>
              <w:rPr>
                <w:rFonts w:ascii="Sylfaen" w:hAnsi="Sylfaen"/>
                <w:b w:val="0"/>
                <w:sz w:val="24"/>
                <w:szCs w:val="24"/>
              </w:rPr>
            </w:pPr>
            <w:r w:rsidRPr="00BD7577">
              <w:rPr>
                <w:rStyle w:val="Bodytext295pt"/>
                <w:rFonts w:ascii="Sylfaen" w:hAnsi="Sylfaen"/>
                <w:spacing w:val="0"/>
                <w:sz w:val="24"/>
                <w:szCs w:val="24"/>
              </w:rPr>
              <w:t>In vitro</w:t>
            </w:r>
          </w:p>
        </w:tc>
      </w:tr>
      <w:tr w:rsidR="008C76E0" w:rsidRPr="00BD7577" w14:paraId="3EF5E82D"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DE4D61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EF7ADC5" w14:textId="77777777" w:rsidTr="008C76E0">
        <w:trPr>
          <w:jc w:val="center"/>
        </w:trPr>
        <w:tc>
          <w:tcPr>
            <w:tcW w:w="10285" w:type="dxa"/>
            <w:gridSpan w:val="7"/>
            <w:tcBorders>
              <w:top w:val="single" w:sz="4" w:space="0" w:color="auto"/>
            </w:tcBorders>
            <w:shd w:val="clear" w:color="auto" w:fill="FFFFFF"/>
            <w:vAlign w:val="center"/>
          </w:tcPr>
          <w:p w14:paraId="7AD8EC8C"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In vivo</w:t>
            </w:r>
          </w:p>
        </w:tc>
      </w:tr>
      <w:tr w:rsidR="008C76E0" w:rsidRPr="00BD7577" w14:paraId="5351ADF0" w14:textId="77777777" w:rsidTr="008C76E0">
        <w:trPr>
          <w:jc w:val="center"/>
        </w:trPr>
        <w:tc>
          <w:tcPr>
            <w:tcW w:w="10285"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2ED2429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8E29B1A"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F8ABF87" w14:textId="77777777" w:rsidR="008C76E0" w:rsidRPr="00BD7577" w:rsidRDefault="008C76E0" w:rsidP="008C76E0">
            <w:pPr>
              <w:rPr>
                <w:rFonts w:ascii="Sylfaen" w:hAnsi="Sylfaen"/>
                <w:sz w:val="24"/>
                <w:szCs w:val="24"/>
              </w:rPr>
            </w:pPr>
          </w:p>
        </w:tc>
      </w:tr>
      <w:tr w:rsidR="008C76E0" w:rsidRPr="00BD7577" w14:paraId="53E9CC34" w14:textId="77777777" w:rsidTr="008C76E0">
        <w:trPr>
          <w:jc w:val="center"/>
        </w:trPr>
        <w:tc>
          <w:tcPr>
            <w:tcW w:w="10285" w:type="dxa"/>
            <w:gridSpan w:val="7"/>
            <w:tcBorders>
              <w:top w:val="single" w:sz="4" w:space="0" w:color="auto"/>
            </w:tcBorders>
            <w:shd w:val="clear" w:color="auto" w:fill="FFFFFF"/>
            <w:vAlign w:val="center"/>
          </w:tcPr>
          <w:p w14:paraId="7864EE10" w14:textId="77777777" w:rsidR="008C76E0" w:rsidRPr="00BD7577" w:rsidRDefault="008C76E0" w:rsidP="008C76E0">
            <w:pPr>
              <w:pStyle w:val="Bodytext180"/>
              <w:shd w:val="clear" w:color="auto" w:fill="auto"/>
              <w:tabs>
                <w:tab w:val="left" w:pos="1611"/>
              </w:tabs>
              <w:spacing w:before="0" w:after="160" w:line="360" w:lineRule="auto"/>
              <w:ind w:firstLine="1670"/>
              <w:rPr>
                <w:rStyle w:val="Bodytext295pt"/>
                <w:rFonts w:ascii="Sylfaen" w:hAnsi="Sylfaen"/>
                <w:i/>
                <w:spacing w:val="0"/>
                <w:sz w:val="24"/>
                <w:szCs w:val="24"/>
              </w:rPr>
            </w:pPr>
            <w:r w:rsidRPr="00BD7577">
              <w:rPr>
                <w:rStyle w:val="Bodytext295pt"/>
                <w:rFonts w:ascii="Sylfaen" w:hAnsi="Sylfaen"/>
                <w:spacing w:val="0"/>
                <w:sz w:val="24"/>
                <w:szCs w:val="24"/>
              </w:rPr>
              <w:lastRenderedPageBreak/>
              <w:t xml:space="preserve">Փոխազդեցությունների մասով փորձագետի ընդհանուր դիտողությունները </w:t>
            </w:r>
          </w:p>
          <w:p w14:paraId="530DCFCD" w14:textId="77777777" w:rsidR="008C76E0" w:rsidRPr="008C76E0"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2.1.11.</w:t>
            </w:r>
            <w:r w:rsidRPr="00BD7577">
              <w:rPr>
                <w:rStyle w:val="Bodytext295pt"/>
                <w:rFonts w:ascii="Sylfaen" w:hAnsi="Sylfaen"/>
                <w:spacing w:val="0"/>
                <w:sz w:val="24"/>
                <w:szCs w:val="24"/>
              </w:rPr>
              <w:tab/>
              <w:t>Անվտանգության գնահատման համար նշանակալի ներգործությունը:</w:t>
            </w:r>
          </w:p>
        </w:tc>
      </w:tr>
      <w:tr w:rsidR="008C76E0" w:rsidRPr="00BD7577" w14:paraId="370A96A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B4BD3D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1A331E5" w14:textId="77777777" w:rsidTr="008C76E0">
        <w:trPr>
          <w:jc w:val="center"/>
        </w:trPr>
        <w:tc>
          <w:tcPr>
            <w:tcW w:w="10285" w:type="dxa"/>
            <w:gridSpan w:val="7"/>
            <w:tcBorders>
              <w:top w:val="single" w:sz="4" w:space="0" w:color="auto"/>
            </w:tcBorders>
            <w:shd w:val="clear" w:color="auto" w:fill="FFFFFF"/>
            <w:vAlign w:val="center"/>
          </w:tcPr>
          <w:p w14:paraId="2C4168D2" w14:textId="77777777" w:rsidR="008C76E0" w:rsidRPr="008C2532" w:rsidRDefault="008C76E0" w:rsidP="008C76E0">
            <w:pPr>
              <w:pStyle w:val="Bodytext180"/>
              <w:shd w:val="clear" w:color="auto" w:fill="auto"/>
              <w:tabs>
                <w:tab w:val="left" w:pos="173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2.1.12.</w:t>
            </w:r>
            <w:r w:rsidRPr="00BD7577">
              <w:rPr>
                <w:rStyle w:val="Bodytext295pt"/>
                <w:rFonts w:ascii="Sylfaen" w:hAnsi="Sylfaen"/>
                <w:spacing w:val="0"/>
                <w:sz w:val="24"/>
                <w:szCs w:val="24"/>
              </w:rPr>
              <w:tab/>
              <w:t>Դեղակինետիկայի գծով փորձագետի ընդհանուր եզրակացությունը:</w:t>
            </w:r>
          </w:p>
          <w:p w14:paraId="645EFAF5" w14:textId="77777777" w:rsidR="008C76E0" w:rsidRPr="00BD7577" w:rsidRDefault="008C76E0" w:rsidP="008C76E0">
            <w:pPr>
              <w:pStyle w:val="Bodytext180"/>
              <w:shd w:val="clear" w:color="auto" w:fill="auto"/>
              <w:tabs>
                <w:tab w:val="left" w:pos="1164"/>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2.2.</w:t>
            </w:r>
            <w:r w:rsidRPr="00BD7577">
              <w:rPr>
                <w:rStyle w:val="Bodytext295pt"/>
                <w:rFonts w:ascii="Sylfaen" w:hAnsi="Sylfaen"/>
                <w:spacing w:val="0"/>
                <w:sz w:val="24"/>
                <w:szCs w:val="24"/>
              </w:rPr>
              <w:tab/>
              <w:t>Դեղադինամիկա:</w:t>
            </w:r>
          </w:p>
          <w:p w14:paraId="2ACE6B76" w14:textId="77777777" w:rsidR="008C76E0" w:rsidRPr="00BD7577" w:rsidRDefault="008C76E0" w:rsidP="008C76E0">
            <w:pPr>
              <w:pStyle w:val="Bodytext180"/>
              <w:shd w:val="clear" w:color="auto" w:fill="auto"/>
              <w:tabs>
                <w:tab w:val="left" w:pos="173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2.2.1.</w:t>
            </w:r>
            <w:r w:rsidRPr="00BD7577">
              <w:rPr>
                <w:rStyle w:val="Bodytext295pt"/>
                <w:rFonts w:ascii="Sylfaen" w:hAnsi="Sylfaen"/>
                <w:spacing w:val="0"/>
                <w:sz w:val="24"/>
                <w:szCs w:val="24"/>
              </w:rPr>
              <w:tab/>
              <w:t>Ներածություն:</w:t>
            </w:r>
          </w:p>
          <w:p w14:paraId="4BFD5B45" w14:textId="77777777" w:rsidR="008C76E0" w:rsidRPr="00BD7577" w:rsidRDefault="008C76E0" w:rsidP="008C76E0">
            <w:pPr>
              <w:pStyle w:val="Bodytext180"/>
              <w:shd w:val="clear" w:color="auto" w:fill="auto"/>
              <w:tabs>
                <w:tab w:val="left" w:pos="1731"/>
              </w:tabs>
              <w:spacing w:before="0" w:after="160" w:line="360" w:lineRule="auto"/>
              <w:ind w:firstLine="567"/>
              <w:rPr>
                <w:rFonts w:ascii="Sylfaen" w:hAnsi="Sylfaen"/>
                <w:b w:val="0"/>
                <w:sz w:val="24"/>
                <w:szCs w:val="24"/>
              </w:rPr>
            </w:pPr>
            <w:r>
              <w:rPr>
                <w:rStyle w:val="Bodytext295pt"/>
                <w:rFonts w:ascii="Sylfaen" w:hAnsi="Sylfaen"/>
                <w:spacing w:val="0"/>
                <w:sz w:val="24"/>
                <w:szCs w:val="24"/>
              </w:rPr>
              <w:t>2.2.2.</w:t>
            </w:r>
            <w:r w:rsidRPr="00BD7577">
              <w:rPr>
                <w:rStyle w:val="Bodytext295pt"/>
                <w:rFonts w:ascii="Sylfaen" w:hAnsi="Sylfaen"/>
                <w:spacing w:val="0"/>
                <w:sz w:val="24"/>
                <w:szCs w:val="24"/>
              </w:rPr>
              <w:tab/>
              <w:t>Ազդեցության մեխանիզմը:</w:t>
            </w:r>
          </w:p>
        </w:tc>
      </w:tr>
      <w:tr w:rsidR="008C76E0" w:rsidRPr="00BD7577" w14:paraId="1DD8A87A"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CBDF12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EDA40D8" w14:textId="77777777" w:rsidTr="008C76E0">
        <w:trPr>
          <w:jc w:val="center"/>
        </w:trPr>
        <w:tc>
          <w:tcPr>
            <w:tcW w:w="10285" w:type="dxa"/>
            <w:gridSpan w:val="7"/>
            <w:tcBorders>
              <w:top w:val="single" w:sz="4" w:space="0" w:color="auto"/>
            </w:tcBorders>
            <w:shd w:val="clear" w:color="auto" w:fill="FFFFFF"/>
            <w:vAlign w:val="bottom"/>
          </w:tcPr>
          <w:p w14:paraId="1BC4255E" w14:textId="77777777" w:rsidR="008C76E0" w:rsidRPr="00BD7577" w:rsidRDefault="008C76E0" w:rsidP="008C76E0">
            <w:pPr>
              <w:pStyle w:val="Bodytext180"/>
              <w:shd w:val="clear" w:color="auto" w:fill="auto"/>
              <w:tabs>
                <w:tab w:val="left" w:pos="1692"/>
              </w:tabs>
              <w:spacing w:before="0" w:after="160" w:line="360" w:lineRule="auto"/>
              <w:ind w:firstLine="567"/>
              <w:rPr>
                <w:rFonts w:ascii="Sylfaen" w:hAnsi="Sylfaen"/>
                <w:b w:val="0"/>
                <w:sz w:val="24"/>
                <w:szCs w:val="24"/>
              </w:rPr>
            </w:pPr>
            <w:r>
              <w:rPr>
                <w:rStyle w:val="Bodytext295pt"/>
                <w:rFonts w:ascii="Sylfaen" w:hAnsi="Sylfaen"/>
                <w:spacing w:val="0"/>
                <w:sz w:val="24"/>
                <w:szCs w:val="24"/>
              </w:rPr>
              <w:t>2.2.3.</w:t>
            </w:r>
            <w:r w:rsidRPr="00BD7577">
              <w:rPr>
                <w:rStyle w:val="Bodytext295pt"/>
                <w:rFonts w:ascii="Sylfaen" w:hAnsi="Sylfaen"/>
                <w:spacing w:val="0"/>
                <w:sz w:val="24"/>
                <w:szCs w:val="24"/>
              </w:rPr>
              <w:tab/>
              <w:t>Առաջնային դեղաբանություն:</w:t>
            </w:r>
          </w:p>
        </w:tc>
      </w:tr>
      <w:tr w:rsidR="008C76E0" w:rsidRPr="00BD7577" w14:paraId="7AA9096C"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5F67311"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83A5F07" w14:textId="77777777" w:rsidTr="008C76E0">
        <w:trPr>
          <w:jc w:val="center"/>
        </w:trPr>
        <w:tc>
          <w:tcPr>
            <w:tcW w:w="10285" w:type="dxa"/>
            <w:gridSpan w:val="7"/>
            <w:tcBorders>
              <w:top w:val="single" w:sz="4" w:space="0" w:color="auto"/>
            </w:tcBorders>
            <w:shd w:val="clear" w:color="auto" w:fill="FFFFFF"/>
            <w:vAlign w:val="bottom"/>
          </w:tcPr>
          <w:p w14:paraId="41DB618E" w14:textId="77777777" w:rsidR="008C76E0" w:rsidRPr="00BD7577" w:rsidRDefault="008C76E0" w:rsidP="008C76E0">
            <w:pPr>
              <w:pStyle w:val="Bodytext180"/>
              <w:shd w:val="clear" w:color="auto" w:fill="auto"/>
              <w:tabs>
                <w:tab w:val="left" w:pos="1731"/>
              </w:tabs>
              <w:spacing w:before="0" w:after="160" w:line="360" w:lineRule="auto"/>
              <w:ind w:firstLine="567"/>
              <w:rPr>
                <w:rFonts w:ascii="Sylfaen" w:hAnsi="Sylfaen"/>
                <w:b w:val="0"/>
                <w:sz w:val="24"/>
                <w:szCs w:val="24"/>
              </w:rPr>
            </w:pPr>
            <w:r>
              <w:rPr>
                <w:rStyle w:val="Bodytext295pt"/>
                <w:rFonts w:ascii="Sylfaen" w:hAnsi="Sylfaen"/>
                <w:spacing w:val="0"/>
                <w:sz w:val="24"/>
                <w:szCs w:val="24"/>
              </w:rPr>
              <w:t>2.2.4.</w:t>
            </w:r>
            <w:r w:rsidRPr="00BD7577">
              <w:rPr>
                <w:rStyle w:val="Bodytext295pt"/>
                <w:rFonts w:ascii="Sylfaen" w:hAnsi="Sylfaen"/>
                <w:spacing w:val="0"/>
                <w:sz w:val="24"/>
                <w:szCs w:val="24"/>
              </w:rPr>
              <w:tab/>
              <w:t>Երկրորդային դեղաբանություն:</w:t>
            </w:r>
          </w:p>
        </w:tc>
      </w:tr>
      <w:tr w:rsidR="008C76E0" w:rsidRPr="00BD7577" w14:paraId="79E5789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25C4C3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51FFBA3" w14:textId="77777777" w:rsidTr="008C76E0">
        <w:trPr>
          <w:jc w:val="center"/>
        </w:trPr>
        <w:tc>
          <w:tcPr>
            <w:tcW w:w="10285" w:type="dxa"/>
            <w:gridSpan w:val="7"/>
            <w:tcBorders>
              <w:top w:val="single" w:sz="4" w:space="0" w:color="auto"/>
            </w:tcBorders>
            <w:shd w:val="clear" w:color="auto" w:fill="FFFFFF"/>
            <w:vAlign w:val="bottom"/>
          </w:tcPr>
          <w:p w14:paraId="734FBD59" w14:textId="77777777" w:rsidR="008C76E0" w:rsidRPr="008C76E0" w:rsidRDefault="008C76E0" w:rsidP="008C76E0">
            <w:pPr>
              <w:pStyle w:val="Bodytext180"/>
              <w:shd w:val="clear" w:color="auto" w:fill="auto"/>
              <w:tabs>
                <w:tab w:val="left" w:pos="170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2.2.5.</w:t>
            </w:r>
            <w:r w:rsidRPr="00BD7577">
              <w:rPr>
                <w:rStyle w:val="Bodytext295pt"/>
                <w:rFonts w:ascii="Sylfaen" w:hAnsi="Sylfaen"/>
                <w:spacing w:val="0"/>
                <w:sz w:val="24"/>
                <w:szCs w:val="24"/>
              </w:rPr>
              <w:tab/>
              <w:t xml:space="preserve">Պլազմայում կոնցենտրացիայի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էֆեկտի միջ</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փոխկապակցվածությունը:</w:t>
            </w:r>
          </w:p>
        </w:tc>
      </w:tr>
      <w:tr w:rsidR="008C76E0" w:rsidRPr="00BD7577" w14:paraId="3988B1F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705833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7849D90" w14:textId="77777777" w:rsidTr="008C76E0">
        <w:trPr>
          <w:jc w:val="center"/>
        </w:trPr>
        <w:tc>
          <w:tcPr>
            <w:tcW w:w="10285" w:type="dxa"/>
            <w:gridSpan w:val="7"/>
            <w:tcBorders>
              <w:top w:val="single" w:sz="4" w:space="0" w:color="auto"/>
            </w:tcBorders>
            <w:shd w:val="clear" w:color="auto" w:fill="FFFFFF"/>
            <w:vAlign w:val="bottom"/>
          </w:tcPr>
          <w:p w14:paraId="4C21609F" w14:textId="77777777" w:rsidR="008C76E0" w:rsidRPr="008C76E0"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2.2.6.</w:t>
            </w:r>
            <w:r w:rsidRPr="00BD7577">
              <w:rPr>
                <w:rStyle w:val="Bodytext295pt"/>
                <w:rFonts w:ascii="Sylfaen" w:hAnsi="Sylfaen"/>
                <w:spacing w:val="0"/>
                <w:sz w:val="24"/>
                <w:szCs w:val="24"/>
              </w:rPr>
              <w:tab/>
              <w:t>Դեղադինամիկ փոխազդեցությունն այլ դեղամիջոցների կամ բաղադրամասերի հետ:</w:t>
            </w:r>
          </w:p>
        </w:tc>
      </w:tr>
      <w:tr w:rsidR="008C76E0" w:rsidRPr="00BD7577" w14:paraId="31EE8780"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59D6311" w14:textId="77777777" w:rsidR="008C76E0" w:rsidRPr="00BD7577" w:rsidRDefault="008C76E0" w:rsidP="008C76E0">
            <w:pPr>
              <w:pStyle w:val="Bodytext180"/>
              <w:shd w:val="clear" w:color="auto" w:fill="auto"/>
              <w:tabs>
                <w:tab w:val="left" w:pos="1677"/>
              </w:tabs>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C9DD0C3" w14:textId="77777777" w:rsidTr="008C76E0">
        <w:trPr>
          <w:jc w:val="center"/>
        </w:trPr>
        <w:tc>
          <w:tcPr>
            <w:tcW w:w="10285" w:type="dxa"/>
            <w:gridSpan w:val="7"/>
            <w:tcBorders>
              <w:top w:val="single" w:sz="4" w:space="0" w:color="auto"/>
            </w:tcBorders>
            <w:shd w:val="clear" w:color="auto" w:fill="FFFFFF"/>
            <w:vAlign w:val="bottom"/>
          </w:tcPr>
          <w:p w14:paraId="26D10AF3" w14:textId="77777777" w:rsidR="008C76E0" w:rsidRPr="00BD7577"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rPr>
            </w:pPr>
            <w:r>
              <w:rPr>
                <w:rStyle w:val="Bodytext295pt"/>
                <w:rFonts w:ascii="Sylfaen" w:hAnsi="Sylfaen"/>
                <w:spacing w:val="0"/>
                <w:sz w:val="24"/>
                <w:szCs w:val="24"/>
              </w:rPr>
              <w:t>2.2.7.</w:t>
            </w:r>
            <w:r w:rsidRPr="00BD7577">
              <w:rPr>
                <w:rStyle w:val="Bodytext295pt"/>
                <w:rFonts w:ascii="Sylfaen" w:hAnsi="Sylfaen"/>
                <w:spacing w:val="0"/>
                <w:sz w:val="24"/>
                <w:szCs w:val="24"/>
              </w:rPr>
              <w:tab/>
              <w:t>Գենետիկ տարբերությունները դեղադինամիկ պատասխանում:</w:t>
            </w:r>
          </w:p>
        </w:tc>
      </w:tr>
      <w:tr w:rsidR="008C76E0" w:rsidRPr="00BD7577" w14:paraId="02B07D9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D5EA36E" w14:textId="77777777" w:rsidR="008C76E0" w:rsidRPr="00BD7577" w:rsidRDefault="008C76E0" w:rsidP="008C76E0">
            <w:pPr>
              <w:pStyle w:val="Bodytext180"/>
              <w:shd w:val="clear" w:color="auto" w:fill="auto"/>
              <w:tabs>
                <w:tab w:val="left" w:pos="1677"/>
              </w:tabs>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6837B07" w14:textId="77777777" w:rsidTr="008C76E0">
        <w:trPr>
          <w:jc w:val="center"/>
        </w:trPr>
        <w:tc>
          <w:tcPr>
            <w:tcW w:w="10285" w:type="dxa"/>
            <w:gridSpan w:val="7"/>
            <w:tcBorders>
              <w:top w:val="single" w:sz="4" w:space="0" w:color="auto"/>
              <w:bottom w:val="single" w:sz="4" w:space="0" w:color="auto"/>
            </w:tcBorders>
            <w:shd w:val="clear" w:color="auto" w:fill="FFFFFF"/>
          </w:tcPr>
          <w:p w14:paraId="47CEE066" w14:textId="77777777" w:rsidR="008C76E0" w:rsidRPr="008C76E0"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2.2.8.</w:t>
            </w:r>
            <w:r w:rsidRPr="00BD7577">
              <w:rPr>
                <w:rStyle w:val="Bodytext295pt"/>
                <w:rFonts w:ascii="Sylfaen" w:hAnsi="Sylfaen"/>
                <w:spacing w:val="0"/>
                <w:sz w:val="24"/>
                <w:szCs w:val="24"/>
              </w:rPr>
              <w:tab/>
              <w:t>Դեղադինամիկայի գծով փորձագետի ընդհանուր եզրակացությունը:</w:t>
            </w:r>
          </w:p>
        </w:tc>
      </w:tr>
    </w:tbl>
    <w:p w14:paraId="5D13A172" w14:textId="77777777" w:rsidR="008C76E0" w:rsidRDefault="008C76E0" w:rsidP="008C76E0">
      <w:pPr>
        <w:jc w:val="center"/>
        <w:rPr>
          <w:rFonts w:ascii="Sylfaen" w:hAnsi="Sylfaen"/>
          <w:sz w:val="24"/>
          <w:szCs w:val="24"/>
        </w:rPr>
        <w:sectPr w:rsidR="008C76E0" w:rsidSect="00C31D56">
          <w:pgSz w:w="11907" w:h="16839" w:code="9"/>
          <w:pgMar w:top="1418" w:right="1418" w:bottom="1418" w:left="1418" w:header="0" w:footer="6" w:gutter="0"/>
          <w:cols w:space="720"/>
          <w:noEndnote/>
          <w:docGrid w:linePitch="360"/>
        </w:sectPr>
      </w:pPr>
    </w:p>
    <w:p w14:paraId="55256D73" w14:textId="77777777" w:rsidR="008C76E0" w:rsidRPr="00DD61E4" w:rsidRDefault="008C76E0" w:rsidP="001C3278">
      <w:pPr>
        <w:spacing w:after="160" w:line="360" w:lineRule="auto"/>
        <w:jc w:val="center"/>
        <w:rPr>
          <w:rFonts w:ascii="Sylfaen" w:hAnsi="Sylfaen"/>
          <w:sz w:val="24"/>
          <w:szCs w:val="24"/>
        </w:rPr>
      </w:pPr>
      <w:r w:rsidRPr="00BD7577">
        <w:rPr>
          <w:rFonts w:ascii="Sylfaen" w:hAnsi="Sylfaen"/>
          <w:sz w:val="24"/>
          <w:szCs w:val="24"/>
        </w:rPr>
        <w:lastRenderedPageBreak/>
        <w:t>3. Կլինիկական արդյունավետությունը</w:t>
      </w:r>
    </w:p>
    <w:p w14:paraId="17E4C938" w14:textId="77777777" w:rsidR="008C76E0" w:rsidRPr="008C76E0" w:rsidRDefault="008C76E0" w:rsidP="001C3278">
      <w:pPr>
        <w:pStyle w:val="Bodytext180"/>
        <w:shd w:val="clear" w:color="auto" w:fill="auto"/>
        <w:tabs>
          <w:tab w:val="left" w:pos="1134"/>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3.1.</w:t>
      </w:r>
      <w:r w:rsidRPr="008C76E0">
        <w:rPr>
          <w:rFonts w:ascii="Sylfaen" w:hAnsi="Sylfaen"/>
          <w:b w:val="0"/>
          <w:sz w:val="24"/>
          <w:szCs w:val="24"/>
          <w:lang w:val="hy-AM"/>
        </w:rPr>
        <w:tab/>
        <w:t>Ներածություն:</w:t>
      </w:r>
    </w:p>
    <w:p w14:paraId="3F082729" w14:textId="77777777" w:rsidR="008C76E0" w:rsidRPr="00BD7577" w:rsidRDefault="008C76E0" w:rsidP="001C3278">
      <w:pPr>
        <w:spacing w:after="160" w:line="360" w:lineRule="auto"/>
        <w:ind w:firstLine="567"/>
        <w:rPr>
          <w:rFonts w:ascii="Sylfaen" w:hAnsi="Sylfaen"/>
          <w:sz w:val="24"/>
          <w:szCs w:val="24"/>
        </w:rPr>
      </w:pPr>
      <w:r w:rsidRPr="00BD7577">
        <w:rPr>
          <w:rFonts w:ascii="Sylfaen" w:hAnsi="Sylfaen"/>
          <w:sz w:val="24"/>
          <w:szCs w:val="24"/>
        </w:rPr>
        <w:t>Հետազոտության մանրամասների մասին տեղեկատվության ներկայացման համար աղյուսակի օրինակ</w:t>
      </w:r>
    </w:p>
    <w:tbl>
      <w:tblPr>
        <w:tblOverlap w:val="never"/>
        <w:tblW w:w="16148" w:type="dxa"/>
        <w:jc w:val="center"/>
        <w:tblLayout w:type="fixed"/>
        <w:tblCellMar>
          <w:left w:w="10" w:type="dxa"/>
          <w:right w:w="10" w:type="dxa"/>
        </w:tblCellMar>
        <w:tblLook w:val="04A0" w:firstRow="1" w:lastRow="0" w:firstColumn="1" w:lastColumn="0" w:noHBand="0" w:noVBand="1"/>
      </w:tblPr>
      <w:tblGrid>
        <w:gridCol w:w="1976"/>
        <w:gridCol w:w="1650"/>
        <w:gridCol w:w="1118"/>
        <w:gridCol w:w="1618"/>
        <w:gridCol w:w="1888"/>
        <w:gridCol w:w="1997"/>
        <w:gridCol w:w="1581"/>
        <w:gridCol w:w="1263"/>
        <w:gridCol w:w="1639"/>
        <w:gridCol w:w="1418"/>
      </w:tblGrid>
      <w:tr w:rsidR="008C76E0" w:rsidRPr="008C2532" w14:paraId="7971C97B" w14:textId="77777777" w:rsidTr="008C76E0">
        <w:trPr>
          <w:jc w:val="center"/>
        </w:trPr>
        <w:tc>
          <w:tcPr>
            <w:tcW w:w="1976" w:type="dxa"/>
            <w:tcBorders>
              <w:top w:val="single" w:sz="4" w:space="0" w:color="auto"/>
              <w:left w:val="single" w:sz="4" w:space="0" w:color="auto"/>
            </w:tcBorders>
            <w:shd w:val="clear" w:color="auto" w:fill="FFFFFF"/>
          </w:tcPr>
          <w:p w14:paraId="36D3241D"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Հետազոտության</w:t>
            </w:r>
            <w:r w:rsidRPr="008C2532">
              <w:rPr>
                <w:rFonts w:ascii="Sylfaen" w:hAnsi="Sylfaen"/>
                <w:b w:val="0"/>
                <w:sz w:val="22"/>
                <w:szCs w:val="22"/>
              </w:rPr>
              <w:t xml:space="preserve"> </w:t>
            </w:r>
            <w:r w:rsidRPr="008C2532">
              <w:rPr>
                <w:rStyle w:val="Bodytext1811pt"/>
                <w:rFonts w:ascii="Sylfaen" w:hAnsi="Sylfaen"/>
              </w:rPr>
              <w:t>նույնականացման</w:t>
            </w:r>
            <w:r w:rsidRPr="008C2532">
              <w:rPr>
                <w:rFonts w:ascii="Sylfaen" w:hAnsi="Sylfaen"/>
                <w:b w:val="0"/>
                <w:sz w:val="22"/>
                <w:szCs w:val="22"/>
              </w:rPr>
              <w:t xml:space="preserve"> </w:t>
            </w:r>
            <w:r w:rsidRPr="008C2532">
              <w:rPr>
                <w:rStyle w:val="Bodytext1811pt"/>
                <w:rFonts w:ascii="Sylfaen" w:hAnsi="Sylfaen"/>
              </w:rPr>
              <w:t>համարը</w:t>
            </w:r>
          </w:p>
        </w:tc>
        <w:tc>
          <w:tcPr>
            <w:tcW w:w="1650" w:type="dxa"/>
            <w:tcBorders>
              <w:top w:val="single" w:sz="4" w:space="0" w:color="auto"/>
              <w:left w:val="single" w:sz="4" w:space="0" w:color="auto"/>
            </w:tcBorders>
            <w:shd w:val="clear" w:color="auto" w:fill="FFFFFF"/>
          </w:tcPr>
          <w:p w14:paraId="5D1D4CAB"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Հետազոտական կենտրոնների համարները (դրանց տեղակայման</w:t>
            </w:r>
            <w:r w:rsidRPr="008C2532">
              <w:rPr>
                <w:rFonts w:ascii="Sylfaen" w:hAnsi="Sylfaen"/>
                <w:b w:val="0"/>
                <w:sz w:val="22"/>
                <w:szCs w:val="22"/>
              </w:rPr>
              <w:t xml:space="preserve"> </w:t>
            </w:r>
            <w:r w:rsidRPr="008C2532">
              <w:rPr>
                <w:rStyle w:val="Bodytext1811pt"/>
                <w:rFonts w:ascii="Sylfaen" w:hAnsi="Sylfaen"/>
              </w:rPr>
              <w:t>վայրերը)</w:t>
            </w:r>
          </w:p>
        </w:tc>
        <w:tc>
          <w:tcPr>
            <w:tcW w:w="1118" w:type="dxa"/>
            <w:tcBorders>
              <w:top w:val="single" w:sz="4" w:space="0" w:color="auto"/>
              <w:left w:val="single" w:sz="4" w:space="0" w:color="auto"/>
            </w:tcBorders>
            <w:shd w:val="clear" w:color="auto" w:fill="FFFFFF"/>
          </w:tcPr>
          <w:p w14:paraId="481317AF"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Դիզայնը</w:t>
            </w:r>
          </w:p>
        </w:tc>
        <w:tc>
          <w:tcPr>
            <w:tcW w:w="1618" w:type="dxa"/>
            <w:tcBorders>
              <w:top w:val="single" w:sz="4" w:space="0" w:color="auto"/>
              <w:left w:val="single" w:sz="4" w:space="0" w:color="auto"/>
            </w:tcBorders>
            <w:shd w:val="clear" w:color="auto" w:fill="FFFFFF"/>
          </w:tcPr>
          <w:p w14:paraId="1F806D11"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Հետազոտվող</w:t>
            </w:r>
            <w:r w:rsidRPr="008C2532">
              <w:rPr>
                <w:rFonts w:ascii="Sylfaen" w:hAnsi="Sylfaen"/>
                <w:b w:val="0"/>
                <w:sz w:val="22"/>
                <w:szCs w:val="22"/>
              </w:rPr>
              <w:t xml:space="preserve"> </w:t>
            </w:r>
            <w:r w:rsidRPr="008C2532">
              <w:rPr>
                <w:rStyle w:val="Bodytext1811pt"/>
                <w:rFonts w:ascii="Sylfaen" w:hAnsi="Sylfaen"/>
              </w:rPr>
              <w:t>դոզան</w:t>
            </w:r>
          </w:p>
        </w:tc>
        <w:tc>
          <w:tcPr>
            <w:tcW w:w="1888" w:type="dxa"/>
            <w:tcBorders>
              <w:top w:val="single" w:sz="4" w:space="0" w:color="auto"/>
              <w:left w:val="single" w:sz="4" w:space="0" w:color="auto"/>
            </w:tcBorders>
            <w:shd w:val="clear" w:color="auto" w:fill="FFFFFF"/>
          </w:tcPr>
          <w:p w14:paraId="1CE4EC83"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Հետազոտության</w:t>
            </w:r>
            <w:r w:rsidRPr="008C2532">
              <w:rPr>
                <w:rFonts w:ascii="Sylfaen" w:hAnsi="Sylfaen"/>
                <w:b w:val="0"/>
                <w:sz w:val="22"/>
                <w:szCs w:val="22"/>
              </w:rPr>
              <w:t xml:space="preserve"> </w:t>
            </w:r>
            <w:r w:rsidRPr="008C2532">
              <w:rPr>
                <w:rStyle w:val="Bodytext1811pt"/>
                <w:rFonts w:ascii="Sylfaen" w:hAnsi="Sylfaen"/>
              </w:rPr>
              <w:t>նպատակը</w:t>
            </w:r>
          </w:p>
        </w:tc>
        <w:tc>
          <w:tcPr>
            <w:tcW w:w="1997" w:type="dxa"/>
            <w:tcBorders>
              <w:top w:val="single" w:sz="4" w:space="0" w:color="auto"/>
              <w:left w:val="single" w:sz="4" w:space="0" w:color="auto"/>
            </w:tcBorders>
            <w:shd w:val="clear" w:color="auto" w:fill="FFFFFF"/>
          </w:tcPr>
          <w:p w14:paraId="15520E12"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 xml:space="preserve">Պացիենտներն </w:t>
            </w:r>
            <w:r>
              <w:rPr>
                <w:rStyle w:val="Bodytext1811pt"/>
                <w:rFonts w:ascii="Sylfaen" w:hAnsi="Sylfaen"/>
              </w:rPr>
              <w:t>ըստ խմբերի (ներառված (հետազոտու</w:t>
            </w:r>
            <w:r w:rsidRPr="008C2532">
              <w:rPr>
                <w:rStyle w:val="Bodytext1811pt"/>
                <w:rFonts w:ascii="Sylfaen" w:hAnsi="Sylfaen"/>
              </w:rPr>
              <w:t>թյունն ավարտած))</w:t>
            </w:r>
          </w:p>
        </w:tc>
        <w:tc>
          <w:tcPr>
            <w:tcW w:w="1581" w:type="dxa"/>
            <w:tcBorders>
              <w:top w:val="single" w:sz="4" w:space="0" w:color="auto"/>
              <w:left w:val="single" w:sz="4" w:space="0" w:color="auto"/>
            </w:tcBorders>
            <w:shd w:val="clear" w:color="auto" w:fill="FFFFFF"/>
          </w:tcPr>
          <w:p w14:paraId="07F29006"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Տ</w:t>
            </w:r>
            <w:r w:rsidR="00C54D75">
              <w:rPr>
                <w:rStyle w:val="Bodytext1811pt"/>
                <w:rFonts w:ascii="Sylfaen" w:hAnsi="Sylfaen"/>
              </w:rPr>
              <w:t>և</w:t>
            </w:r>
            <w:r w:rsidRPr="008C2532">
              <w:rPr>
                <w:rStyle w:val="Bodytext1811pt"/>
                <w:rFonts w:ascii="Sylfaen" w:hAnsi="Sylfaen"/>
              </w:rPr>
              <w:t>ողությունը</w:t>
            </w:r>
          </w:p>
        </w:tc>
        <w:tc>
          <w:tcPr>
            <w:tcW w:w="1263" w:type="dxa"/>
            <w:tcBorders>
              <w:top w:val="single" w:sz="4" w:space="0" w:color="auto"/>
              <w:left w:val="single" w:sz="4" w:space="0" w:color="auto"/>
            </w:tcBorders>
            <w:shd w:val="clear" w:color="auto" w:fill="FFFFFF"/>
          </w:tcPr>
          <w:p w14:paraId="7F8BF497"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Սեռը</w:t>
            </w:r>
            <w:r w:rsidRPr="008C2532">
              <w:rPr>
                <w:rFonts w:ascii="Sylfaen" w:hAnsi="Sylfaen"/>
                <w:b w:val="0"/>
                <w:sz w:val="22"/>
                <w:szCs w:val="22"/>
              </w:rPr>
              <w:t xml:space="preserve"> </w:t>
            </w:r>
            <w:r w:rsidRPr="008C2532">
              <w:rPr>
                <w:rStyle w:val="Bodytext1811pt"/>
                <w:rFonts w:ascii="Sylfaen" w:hAnsi="Sylfaen"/>
              </w:rPr>
              <w:t>(արական կամ իգական),</w:t>
            </w:r>
            <w:r w:rsidRPr="008C2532">
              <w:rPr>
                <w:rFonts w:ascii="Sylfaen" w:hAnsi="Sylfaen"/>
                <w:b w:val="0"/>
                <w:sz w:val="22"/>
                <w:szCs w:val="22"/>
              </w:rPr>
              <w:t xml:space="preserve"> </w:t>
            </w:r>
            <w:r w:rsidRPr="008C2532">
              <w:rPr>
                <w:rStyle w:val="Bodytext1811pt"/>
                <w:rFonts w:ascii="Sylfaen" w:hAnsi="Sylfaen"/>
              </w:rPr>
              <w:t>տարիքի</w:t>
            </w:r>
            <w:r w:rsidRPr="008C2532">
              <w:rPr>
                <w:rFonts w:ascii="Sylfaen" w:hAnsi="Sylfaen"/>
                <w:b w:val="0"/>
                <w:sz w:val="22"/>
                <w:szCs w:val="22"/>
              </w:rPr>
              <w:t xml:space="preserve"> </w:t>
            </w:r>
            <w:r w:rsidRPr="008C2532">
              <w:rPr>
                <w:rStyle w:val="Bodytext1811pt"/>
                <w:rFonts w:ascii="Sylfaen" w:hAnsi="Sylfaen"/>
              </w:rPr>
              <w:t>մեդիանան (միջին թիվը)</w:t>
            </w:r>
          </w:p>
        </w:tc>
        <w:tc>
          <w:tcPr>
            <w:tcW w:w="1639" w:type="dxa"/>
            <w:tcBorders>
              <w:top w:val="single" w:sz="4" w:space="0" w:color="auto"/>
              <w:left w:val="single" w:sz="4" w:space="0" w:color="auto"/>
            </w:tcBorders>
            <w:shd w:val="clear" w:color="auto" w:fill="FFFFFF"/>
          </w:tcPr>
          <w:p w14:paraId="373350D3"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Pr>
                <w:rStyle w:val="Bodytext1811pt"/>
                <w:rFonts w:ascii="Sylfaen" w:hAnsi="Sylfaen"/>
              </w:rPr>
              <w:t>Ախտորո</w:t>
            </w:r>
            <w:r w:rsidRPr="008C2532">
              <w:rPr>
                <w:rStyle w:val="Bodytext1811pt"/>
                <w:rFonts w:ascii="Sylfaen" w:hAnsi="Sylfaen"/>
              </w:rPr>
              <w:t>շումը,</w:t>
            </w:r>
            <w:r w:rsidRPr="008C2532">
              <w:rPr>
                <w:rFonts w:ascii="Sylfaen" w:hAnsi="Sylfaen"/>
                <w:b w:val="0"/>
                <w:sz w:val="22"/>
                <w:szCs w:val="22"/>
              </w:rPr>
              <w:t xml:space="preserve"> </w:t>
            </w:r>
            <w:r w:rsidRPr="008C2532">
              <w:rPr>
                <w:rStyle w:val="Bodytext1811pt"/>
                <w:rFonts w:ascii="Sylfaen" w:hAnsi="Sylfaen"/>
              </w:rPr>
              <w:t>ներառման</w:t>
            </w:r>
            <w:r w:rsidRPr="008C2532">
              <w:rPr>
                <w:rFonts w:ascii="Sylfaen" w:hAnsi="Sylfaen"/>
                <w:b w:val="0"/>
                <w:sz w:val="22"/>
                <w:szCs w:val="22"/>
              </w:rPr>
              <w:t xml:space="preserve"> </w:t>
            </w:r>
            <w:r>
              <w:rPr>
                <w:rStyle w:val="Bodytext1811pt"/>
                <w:rFonts w:ascii="Sylfaen" w:hAnsi="Sylfaen"/>
              </w:rPr>
              <w:t>չափորոշիչ</w:t>
            </w:r>
            <w:r w:rsidRPr="008C2532">
              <w:rPr>
                <w:rStyle w:val="Bodytext1811pt"/>
                <w:rFonts w:ascii="Sylfaen" w:hAnsi="Sylfaen"/>
              </w:rPr>
              <w:t>ները</w:t>
            </w:r>
          </w:p>
        </w:tc>
        <w:tc>
          <w:tcPr>
            <w:tcW w:w="1418" w:type="dxa"/>
            <w:tcBorders>
              <w:top w:val="single" w:sz="4" w:space="0" w:color="auto"/>
              <w:left w:val="single" w:sz="4" w:space="0" w:color="auto"/>
              <w:right w:val="single" w:sz="4" w:space="0" w:color="auto"/>
            </w:tcBorders>
            <w:shd w:val="clear" w:color="auto" w:fill="FFFFFF"/>
          </w:tcPr>
          <w:p w14:paraId="46B06DD1"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Առաջնային,</w:t>
            </w:r>
            <w:r w:rsidRPr="008C2532">
              <w:rPr>
                <w:rFonts w:ascii="Sylfaen" w:hAnsi="Sylfaen"/>
                <w:b w:val="0"/>
                <w:sz w:val="22"/>
                <w:szCs w:val="22"/>
              </w:rPr>
              <w:t xml:space="preserve"> </w:t>
            </w:r>
            <w:r w:rsidRPr="008C2532">
              <w:rPr>
                <w:rStyle w:val="Bodytext1811pt"/>
                <w:rFonts w:ascii="Sylfaen" w:hAnsi="Sylfaen"/>
              </w:rPr>
              <w:t>վերջնական</w:t>
            </w:r>
            <w:r w:rsidRPr="008C2532">
              <w:rPr>
                <w:rFonts w:ascii="Sylfaen" w:hAnsi="Sylfaen"/>
                <w:b w:val="0"/>
                <w:sz w:val="22"/>
                <w:szCs w:val="22"/>
              </w:rPr>
              <w:t xml:space="preserve"> </w:t>
            </w:r>
            <w:r w:rsidRPr="008C2532">
              <w:rPr>
                <w:rStyle w:val="Bodytext1811pt"/>
                <w:rFonts w:ascii="Sylfaen" w:hAnsi="Sylfaen"/>
              </w:rPr>
              <w:t>կետերը</w:t>
            </w:r>
          </w:p>
        </w:tc>
      </w:tr>
      <w:tr w:rsidR="008C76E0" w:rsidRPr="008C2532" w14:paraId="47F80ED8" w14:textId="77777777" w:rsidTr="008C76E0">
        <w:trPr>
          <w:jc w:val="center"/>
        </w:trPr>
        <w:tc>
          <w:tcPr>
            <w:tcW w:w="1976" w:type="dxa"/>
            <w:tcBorders>
              <w:top w:val="single" w:sz="4" w:space="0" w:color="auto"/>
              <w:left w:val="single" w:sz="4" w:space="0" w:color="auto"/>
            </w:tcBorders>
            <w:shd w:val="clear" w:color="auto" w:fill="FFFFFF"/>
          </w:tcPr>
          <w:p w14:paraId="1D4B7CBB" w14:textId="77777777" w:rsidR="008C76E0" w:rsidRPr="008C2532" w:rsidRDefault="008C76E0" w:rsidP="008C76E0">
            <w:pPr>
              <w:rPr>
                <w:rFonts w:ascii="Sylfaen" w:hAnsi="Sylfaen"/>
              </w:rPr>
            </w:pPr>
          </w:p>
        </w:tc>
        <w:tc>
          <w:tcPr>
            <w:tcW w:w="1650" w:type="dxa"/>
            <w:tcBorders>
              <w:top w:val="single" w:sz="4" w:space="0" w:color="auto"/>
              <w:left w:val="single" w:sz="4" w:space="0" w:color="auto"/>
            </w:tcBorders>
            <w:shd w:val="clear" w:color="auto" w:fill="FFFFFF"/>
          </w:tcPr>
          <w:p w14:paraId="73FCCDF3" w14:textId="77777777" w:rsidR="008C76E0" w:rsidRPr="008C2532" w:rsidRDefault="008C76E0" w:rsidP="008C76E0">
            <w:pPr>
              <w:rPr>
                <w:rFonts w:ascii="Sylfaen" w:hAnsi="Sylfaen"/>
              </w:rPr>
            </w:pPr>
          </w:p>
        </w:tc>
        <w:tc>
          <w:tcPr>
            <w:tcW w:w="1118" w:type="dxa"/>
            <w:tcBorders>
              <w:top w:val="single" w:sz="4" w:space="0" w:color="auto"/>
              <w:left w:val="single" w:sz="4" w:space="0" w:color="auto"/>
            </w:tcBorders>
            <w:shd w:val="clear" w:color="auto" w:fill="FFFFFF"/>
          </w:tcPr>
          <w:p w14:paraId="4475D013" w14:textId="77777777" w:rsidR="008C76E0" w:rsidRPr="008C2532" w:rsidRDefault="008C76E0" w:rsidP="008C76E0">
            <w:pPr>
              <w:rPr>
                <w:rFonts w:ascii="Sylfaen" w:hAnsi="Sylfaen"/>
              </w:rPr>
            </w:pPr>
          </w:p>
        </w:tc>
        <w:tc>
          <w:tcPr>
            <w:tcW w:w="1618" w:type="dxa"/>
            <w:tcBorders>
              <w:top w:val="single" w:sz="4" w:space="0" w:color="auto"/>
              <w:left w:val="single" w:sz="4" w:space="0" w:color="auto"/>
            </w:tcBorders>
            <w:shd w:val="clear" w:color="auto" w:fill="FFFFFF"/>
          </w:tcPr>
          <w:p w14:paraId="76BC38D9" w14:textId="77777777" w:rsidR="008C76E0" w:rsidRPr="008C2532" w:rsidRDefault="008C76E0" w:rsidP="008C76E0">
            <w:pPr>
              <w:rPr>
                <w:rFonts w:ascii="Sylfaen" w:hAnsi="Sylfaen"/>
              </w:rPr>
            </w:pPr>
          </w:p>
        </w:tc>
        <w:tc>
          <w:tcPr>
            <w:tcW w:w="1888" w:type="dxa"/>
            <w:tcBorders>
              <w:top w:val="single" w:sz="4" w:space="0" w:color="auto"/>
              <w:left w:val="single" w:sz="4" w:space="0" w:color="auto"/>
            </w:tcBorders>
            <w:shd w:val="clear" w:color="auto" w:fill="FFFFFF"/>
          </w:tcPr>
          <w:p w14:paraId="2DDDD5C5" w14:textId="77777777" w:rsidR="008C76E0" w:rsidRPr="008C2532" w:rsidRDefault="008C76E0" w:rsidP="008C76E0">
            <w:pPr>
              <w:rPr>
                <w:rFonts w:ascii="Sylfaen" w:hAnsi="Sylfaen"/>
              </w:rPr>
            </w:pPr>
          </w:p>
        </w:tc>
        <w:tc>
          <w:tcPr>
            <w:tcW w:w="1997" w:type="dxa"/>
            <w:tcBorders>
              <w:top w:val="single" w:sz="4" w:space="0" w:color="auto"/>
              <w:left w:val="single" w:sz="4" w:space="0" w:color="auto"/>
            </w:tcBorders>
            <w:shd w:val="clear" w:color="auto" w:fill="FFFFFF"/>
          </w:tcPr>
          <w:p w14:paraId="325EA0A3" w14:textId="77777777" w:rsidR="008C76E0" w:rsidRPr="008C2532" w:rsidRDefault="008C76E0" w:rsidP="008C76E0">
            <w:pPr>
              <w:rPr>
                <w:rFonts w:ascii="Sylfaen" w:hAnsi="Sylfaen"/>
              </w:rPr>
            </w:pPr>
          </w:p>
        </w:tc>
        <w:tc>
          <w:tcPr>
            <w:tcW w:w="1581" w:type="dxa"/>
            <w:tcBorders>
              <w:top w:val="single" w:sz="4" w:space="0" w:color="auto"/>
              <w:left w:val="single" w:sz="4" w:space="0" w:color="auto"/>
            </w:tcBorders>
            <w:shd w:val="clear" w:color="auto" w:fill="FFFFFF"/>
          </w:tcPr>
          <w:p w14:paraId="73455E49" w14:textId="77777777" w:rsidR="008C76E0" w:rsidRPr="008C2532" w:rsidRDefault="008C76E0" w:rsidP="008C76E0">
            <w:pPr>
              <w:rPr>
                <w:rFonts w:ascii="Sylfaen" w:hAnsi="Sylfaen"/>
              </w:rPr>
            </w:pPr>
          </w:p>
        </w:tc>
        <w:tc>
          <w:tcPr>
            <w:tcW w:w="1263" w:type="dxa"/>
            <w:tcBorders>
              <w:top w:val="single" w:sz="4" w:space="0" w:color="auto"/>
              <w:left w:val="single" w:sz="4" w:space="0" w:color="auto"/>
            </w:tcBorders>
            <w:shd w:val="clear" w:color="auto" w:fill="FFFFFF"/>
          </w:tcPr>
          <w:p w14:paraId="473F04E4" w14:textId="77777777" w:rsidR="008C76E0" w:rsidRPr="008C2532" w:rsidRDefault="008C76E0" w:rsidP="008C76E0">
            <w:pPr>
              <w:rPr>
                <w:rFonts w:ascii="Sylfaen" w:hAnsi="Sylfaen"/>
              </w:rPr>
            </w:pPr>
          </w:p>
        </w:tc>
        <w:tc>
          <w:tcPr>
            <w:tcW w:w="1639" w:type="dxa"/>
            <w:tcBorders>
              <w:top w:val="single" w:sz="4" w:space="0" w:color="auto"/>
              <w:left w:val="single" w:sz="4" w:space="0" w:color="auto"/>
            </w:tcBorders>
            <w:shd w:val="clear" w:color="auto" w:fill="FFFFFF"/>
          </w:tcPr>
          <w:p w14:paraId="57AB67BB" w14:textId="77777777" w:rsidR="008C76E0" w:rsidRPr="008C2532" w:rsidRDefault="008C76E0" w:rsidP="008C76E0">
            <w:pPr>
              <w:rPr>
                <w:rFonts w:ascii="Sylfaen" w:hAnsi="Sylfaen"/>
              </w:rPr>
            </w:pPr>
          </w:p>
        </w:tc>
        <w:tc>
          <w:tcPr>
            <w:tcW w:w="1418" w:type="dxa"/>
            <w:tcBorders>
              <w:top w:val="single" w:sz="4" w:space="0" w:color="auto"/>
              <w:left w:val="single" w:sz="4" w:space="0" w:color="auto"/>
              <w:right w:val="single" w:sz="4" w:space="0" w:color="auto"/>
            </w:tcBorders>
            <w:shd w:val="clear" w:color="auto" w:fill="FFFFFF"/>
          </w:tcPr>
          <w:p w14:paraId="65B76705" w14:textId="77777777" w:rsidR="008C76E0" w:rsidRPr="008C2532" w:rsidRDefault="008C76E0" w:rsidP="008C76E0">
            <w:pPr>
              <w:rPr>
                <w:rFonts w:ascii="Sylfaen" w:hAnsi="Sylfaen"/>
              </w:rPr>
            </w:pPr>
          </w:p>
        </w:tc>
      </w:tr>
      <w:tr w:rsidR="008C76E0" w:rsidRPr="008C2532" w14:paraId="4BFB6AEF" w14:textId="77777777" w:rsidTr="008C76E0">
        <w:trPr>
          <w:jc w:val="center"/>
        </w:trPr>
        <w:tc>
          <w:tcPr>
            <w:tcW w:w="1976" w:type="dxa"/>
            <w:tcBorders>
              <w:top w:val="single" w:sz="4" w:space="0" w:color="auto"/>
              <w:left w:val="single" w:sz="4" w:space="0" w:color="auto"/>
              <w:bottom w:val="single" w:sz="4" w:space="0" w:color="auto"/>
            </w:tcBorders>
            <w:shd w:val="clear" w:color="auto" w:fill="FFFFFF"/>
          </w:tcPr>
          <w:p w14:paraId="125E611E" w14:textId="77777777" w:rsidR="008C76E0" w:rsidRPr="008C2532" w:rsidRDefault="008C76E0" w:rsidP="008C76E0">
            <w:pPr>
              <w:rPr>
                <w:rFonts w:ascii="Sylfaen" w:hAnsi="Sylfaen"/>
              </w:rPr>
            </w:pPr>
          </w:p>
        </w:tc>
        <w:tc>
          <w:tcPr>
            <w:tcW w:w="1650" w:type="dxa"/>
            <w:tcBorders>
              <w:top w:val="single" w:sz="4" w:space="0" w:color="auto"/>
              <w:left w:val="single" w:sz="4" w:space="0" w:color="auto"/>
              <w:bottom w:val="single" w:sz="4" w:space="0" w:color="auto"/>
            </w:tcBorders>
            <w:shd w:val="clear" w:color="auto" w:fill="FFFFFF"/>
          </w:tcPr>
          <w:p w14:paraId="49C07DE9" w14:textId="77777777" w:rsidR="008C76E0" w:rsidRPr="008C2532" w:rsidRDefault="008C76E0" w:rsidP="008C76E0">
            <w:pPr>
              <w:rPr>
                <w:rFonts w:ascii="Sylfaen" w:hAnsi="Sylfaen"/>
              </w:rPr>
            </w:pPr>
          </w:p>
        </w:tc>
        <w:tc>
          <w:tcPr>
            <w:tcW w:w="1118" w:type="dxa"/>
            <w:tcBorders>
              <w:top w:val="single" w:sz="4" w:space="0" w:color="auto"/>
              <w:left w:val="single" w:sz="4" w:space="0" w:color="auto"/>
              <w:bottom w:val="single" w:sz="4" w:space="0" w:color="auto"/>
            </w:tcBorders>
            <w:shd w:val="clear" w:color="auto" w:fill="FFFFFF"/>
          </w:tcPr>
          <w:p w14:paraId="78AB2E74" w14:textId="77777777" w:rsidR="008C76E0" w:rsidRPr="008C2532" w:rsidRDefault="008C76E0" w:rsidP="008C76E0">
            <w:pPr>
              <w:rPr>
                <w:rFonts w:ascii="Sylfaen" w:hAnsi="Sylfaen"/>
              </w:rPr>
            </w:pPr>
          </w:p>
        </w:tc>
        <w:tc>
          <w:tcPr>
            <w:tcW w:w="1618" w:type="dxa"/>
            <w:tcBorders>
              <w:top w:val="single" w:sz="4" w:space="0" w:color="auto"/>
              <w:left w:val="single" w:sz="4" w:space="0" w:color="auto"/>
              <w:bottom w:val="single" w:sz="4" w:space="0" w:color="auto"/>
            </w:tcBorders>
            <w:shd w:val="clear" w:color="auto" w:fill="FFFFFF"/>
          </w:tcPr>
          <w:p w14:paraId="5A221E09" w14:textId="77777777" w:rsidR="008C76E0" w:rsidRPr="008C2532" w:rsidRDefault="008C76E0" w:rsidP="008C76E0">
            <w:pPr>
              <w:rPr>
                <w:rFonts w:ascii="Sylfaen" w:hAnsi="Sylfaen"/>
              </w:rPr>
            </w:pPr>
          </w:p>
        </w:tc>
        <w:tc>
          <w:tcPr>
            <w:tcW w:w="1888" w:type="dxa"/>
            <w:tcBorders>
              <w:top w:val="single" w:sz="4" w:space="0" w:color="auto"/>
              <w:left w:val="single" w:sz="4" w:space="0" w:color="auto"/>
              <w:bottom w:val="single" w:sz="4" w:space="0" w:color="auto"/>
            </w:tcBorders>
            <w:shd w:val="clear" w:color="auto" w:fill="FFFFFF"/>
          </w:tcPr>
          <w:p w14:paraId="69E72FE2" w14:textId="77777777" w:rsidR="008C76E0" w:rsidRPr="008C2532" w:rsidRDefault="008C76E0" w:rsidP="008C76E0">
            <w:pPr>
              <w:rPr>
                <w:rFonts w:ascii="Sylfaen" w:hAnsi="Sylfaen"/>
              </w:rPr>
            </w:pPr>
          </w:p>
        </w:tc>
        <w:tc>
          <w:tcPr>
            <w:tcW w:w="1997" w:type="dxa"/>
            <w:tcBorders>
              <w:top w:val="single" w:sz="4" w:space="0" w:color="auto"/>
              <w:left w:val="single" w:sz="4" w:space="0" w:color="auto"/>
              <w:bottom w:val="single" w:sz="4" w:space="0" w:color="auto"/>
            </w:tcBorders>
            <w:shd w:val="clear" w:color="auto" w:fill="FFFFFF"/>
          </w:tcPr>
          <w:p w14:paraId="6524F187" w14:textId="77777777" w:rsidR="008C76E0" w:rsidRPr="008C2532" w:rsidRDefault="008C76E0" w:rsidP="008C76E0">
            <w:pPr>
              <w:rPr>
                <w:rFonts w:ascii="Sylfaen" w:hAnsi="Sylfaen"/>
              </w:rPr>
            </w:pPr>
          </w:p>
        </w:tc>
        <w:tc>
          <w:tcPr>
            <w:tcW w:w="1581" w:type="dxa"/>
            <w:tcBorders>
              <w:top w:val="single" w:sz="4" w:space="0" w:color="auto"/>
              <w:left w:val="single" w:sz="4" w:space="0" w:color="auto"/>
              <w:bottom w:val="single" w:sz="4" w:space="0" w:color="auto"/>
            </w:tcBorders>
            <w:shd w:val="clear" w:color="auto" w:fill="FFFFFF"/>
          </w:tcPr>
          <w:p w14:paraId="5552AE9E" w14:textId="77777777" w:rsidR="008C76E0" w:rsidRPr="008C2532" w:rsidRDefault="008C76E0" w:rsidP="008C76E0">
            <w:pPr>
              <w:rPr>
                <w:rFonts w:ascii="Sylfaen" w:hAnsi="Sylfaen"/>
              </w:rPr>
            </w:pPr>
          </w:p>
        </w:tc>
        <w:tc>
          <w:tcPr>
            <w:tcW w:w="1263" w:type="dxa"/>
            <w:tcBorders>
              <w:top w:val="single" w:sz="4" w:space="0" w:color="auto"/>
              <w:left w:val="single" w:sz="4" w:space="0" w:color="auto"/>
              <w:bottom w:val="single" w:sz="4" w:space="0" w:color="auto"/>
            </w:tcBorders>
            <w:shd w:val="clear" w:color="auto" w:fill="FFFFFF"/>
          </w:tcPr>
          <w:p w14:paraId="6001D6C9" w14:textId="77777777" w:rsidR="008C76E0" w:rsidRPr="008C2532" w:rsidRDefault="008C76E0" w:rsidP="008C76E0">
            <w:pPr>
              <w:rPr>
                <w:rFonts w:ascii="Sylfaen" w:hAnsi="Sylfaen"/>
              </w:rPr>
            </w:pPr>
          </w:p>
        </w:tc>
        <w:tc>
          <w:tcPr>
            <w:tcW w:w="1639" w:type="dxa"/>
            <w:tcBorders>
              <w:top w:val="single" w:sz="4" w:space="0" w:color="auto"/>
              <w:left w:val="single" w:sz="4" w:space="0" w:color="auto"/>
              <w:bottom w:val="single" w:sz="4" w:space="0" w:color="auto"/>
            </w:tcBorders>
            <w:shd w:val="clear" w:color="auto" w:fill="FFFFFF"/>
          </w:tcPr>
          <w:p w14:paraId="4199D2BB" w14:textId="77777777" w:rsidR="008C76E0" w:rsidRPr="008C2532" w:rsidRDefault="008C76E0" w:rsidP="008C76E0">
            <w:pPr>
              <w:rPr>
                <w:rFonts w:ascii="Sylfaen" w:hAnsi="Sylfae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536377C" w14:textId="77777777" w:rsidR="008C76E0" w:rsidRPr="008C2532" w:rsidRDefault="008C76E0" w:rsidP="008C76E0">
            <w:pPr>
              <w:rPr>
                <w:rFonts w:ascii="Sylfaen" w:hAnsi="Sylfaen"/>
              </w:rPr>
            </w:pPr>
          </w:p>
        </w:tc>
      </w:tr>
    </w:tbl>
    <w:p w14:paraId="07423954" w14:textId="77777777" w:rsidR="008C76E0" w:rsidRDefault="008C76E0" w:rsidP="008C76E0">
      <w:pPr>
        <w:rPr>
          <w:rFonts w:ascii="Sylfaen" w:hAnsi="Sylfaen"/>
          <w:sz w:val="24"/>
          <w:szCs w:val="24"/>
          <w:lang w:val="en-US"/>
        </w:rPr>
      </w:pPr>
    </w:p>
    <w:p w14:paraId="129E1194" w14:textId="77777777" w:rsidR="008C76E0" w:rsidRDefault="008C76E0" w:rsidP="008C76E0">
      <w:pPr>
        <w:rPr>
          <w:rFonts w:ascii="Sylfaen" w:hAnsi="Sylfaen"/>
          <w:sz w:val="24"/>
          <w:szCs w:val="24"/>
          <w:lang w:val="en-US"/>
        </w:rPr>
        <w:sectPr w:rsidR="008C76E0" w:rsidSect="00C31D56">
          <w:type w:val="continuous"/>
          <w:pgSz w:w="16839" w:h="11907" w:orient="landscape" w:code="9"/>
          <w:pgMar w:top="1418" w:right="1418" w:bottom="1418" w:left="1418" w:header="709" w:footer="709" w:gutter="0"/>
          <w:pgNumType w:start="1"/>
          <w:cols w:space="708"/>
          <w:titlePg/>
          <w:docGrid w:linePitch="360"/>
        </w:sectPr>
      </w:pPr>
    </w:p>
    <w:tbl>
      <w:tblPr>
        <w:tblOverlap w:val="never"/>
        <w:tblW w:w="9547" w:type="dxa"/>
        <w:jc w:val="center"/>
        <w:tblLayout w:type="fixed"/>
        <w:tblCellMar>
          <w:left w:w="10" w:type="dxa"/>
          <w:right w:w="10" w:type="dxa"/>
        </w:tblCellMar>
        <w:tblLook w:val="04A0" w:firstRow="1" w:lastRow="0" w:firstColumn="1" w:lastColumn="0" w:noHBand="0" w:noVBand="1"/>
      </w:tblPr>
      <w:tblGrid>
        <w:gridCol w:w="9547"/>
      </w:tblGrid>
      <w:tr w:rsidR="008C76E0" w:rsidRPr="00BD7577" w14:paraId="22DBDD31" w14:textId="77777777" w:rsidTr="008C76E0">
        <w:trPr>
          <w:jc w:val="center"/>
        </w:trPr>
        <w:tc>
          <w:tcPr>
            <w:tcW w:w="9547" w:type="dxa"/>
            <w:shd w:val="clear" w:color="auto" w:fill="FFFFFF"/>
          </w:tcPr>
          <w:p w14:paraId="551507DF"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lastRenderedPageBreak/>
              <w:t>3.2.</w:t>
            </w:r>
            <w:r w:rsidRPr="00BD7577">
              <w:rPr>
                <w:rStyle w:val="Bodytext295pt"/>
                <w:rFonts w:ascii="Sylfaen" w:hAnsi="Sylfaen"/>
                <w:spacing w:val="0"/>
                <w:sz w:val="24"/>
                <w:szCs w:val="24"/>
              </w:rPr>
              <w:tab/>
              <w:t xml:space="preserve">Դոզա-արդյունք կախվածության հետազոտությունները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հիմնական կլինիկական հետազոտությունները: </w:t>
            </w:r>
          </w:p>
        </w:tc>
      </w:tr>
      <w:tr w:rsidR="008C76E0" w:rsidRPr="00BD7577" w14:paraId="7F7A5193"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67C158D8"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A7F7581" w14:textId="77777777" w:rsidTr="008C76E0">
        <w:trPr>
          <w:jc w:val="center"/>
        </w:trPr>
        <w:tc>
          <w:tcPr>
            <w:tcW w:w="9547" w:type="dxa"/>
            <w:tcBorders>
              <w:top w:val="single" w:sz="4" w:space="0" w:color="auto"/>
            </w:tcBorders>
            <w:shd w:val="clear" w:color="auto" w:fill="FFFFFF"/>
            <w:vAlign w:val="bottom"/>
          </w:tcPr>
          <w:p w14:paraId="12985EF4"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t>3.3.</w:t>
            </w:r>
            <w:r w:rsidRPr="00BD7577">
              <w:rPr>
                <w:rStyle w:val="Bodytext295pt"/>
                <w:rFonts w:ascii="Sylfaen" w:hAnsi="Sylfaen"/>
                <w:spacing w:val="0"/>
                <w:sz w:val="24"/>
                <w:szCs w:val="24"/>
              </w:rPr>
              <w:tab/>
              <w:t xml:space="preserve">Դոզա-արդյունք կախվածության հետազոտությունը (հետազոտությունները): </w:t>
            </w:r>
          </w:p>
        </w:tc>
      </w:tr>
      <w:tr w:rsidR="008C76E0" w:rsidRPr="00BD7577" w14:paraId="5167E3F5"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06CBBEE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4D8B70F" w14:textId="77777777" w:rsidTr="008C76E0">
        <w:trPr>
          <w:jc w:val="center"/>
        </w:trPr>
        <w:tc>
          <w:tcPr>
            <w:tcW w:w="9547" w:type="dxa"/>
            <w:tcBorders>
              <w:top w:val="single" w:sz="4" w:space="0" w:color="auto"/>
            </w:tcBorders>
            <w:shd w:val="clear" w:color="auto" w:fill="FFFFFF"/>
            <w:vAlign w:val="bottom"/>
          </w:tcPr>
          <w:p w14:paraId="19A11CC0"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t>3.4.</w:t>
            </w:r>
            <w:r w:rsidRPr="00BD7577">
              <w:rPr>
                <w:rStyle w:val="Bodytext295pt"/>
                <w:rFonts w:ascii="Sylfaen" w:hAnsi="Sylfaen"/>
                <w:spacing w:val="0"/>
                <w:sz w:val="24"/>
                <w:szCs w:val="24"/>
              </w:rPr>
              <w:tab/>
              <w:t>Հիմնական հետազոտությունը (հիմնական հետազոտությունները):</w:t>
            </w:r>
          </w:p>
        </w:tc>
      </w:tr>
      <w:tr w:rsidR="008C76E0" w:rsidRPr="00BD7577" w14:paraId="53A68B64"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18F394F7"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9C1B76E" w14:textId="77777777" w:rsidTr="008C76E0">
        <w:trPr>
          <w:jc w:val="center"/>
        </w:trPr>
        <w:tc>
          <w:tcPr>
            <w:tcW w:w="9547" w:type="dxa"/>
            <w:tcBorders>
              <w:top w:val="single" w:sz="4" w:space="0" w:color="auto"/>
            </w:tcBorders>
            <w:shd w:val="clear" w:color="auto" w:fill="FFFFFF"/>
            <w:vAlign w:val="center"/>
          </w:tcPr>
          <w:p w14:paraId="373E55FE"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Մեթոդները</w:t>
            </w:r>
          </w:p>
          <w:p w14:paraId="6D75C2DE"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Հետազոտության մասնակիցները</w:t>
            </w:r>
          </w:p>
        </w:tc>
      </w:tr>
      <w:tr w:rsidR="008C76E0" w:rsidRPr="00BD7577" w14:paraId="5A4564DC"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77A6EFA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35D4AE4" w14:textId="77777777" w:rsidTr="008C76E0">
        <w:trPr>
          <w:jc w:val="center"/>
        </w:trPr>
        <w:tc>
          <w:tcPr>
            <w:tcW w:w="9547" w:type="dxa"/>
            <w:tcBorders>
              <w:top w:val="single" w:sz="4" w:space="0" w:color="auto"/>
            </w:tcBorders>
            <w:shd w:val="clear" w:color="auto" w:fill="FFFFFF"/>
            <w:vAlign w:val="center"/>
          </w:tcPr>
          <w:p w14:paraId="333B41EF"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Բուժման տեսակները</w:t>
            </w:r>
          </w:p>
        </w:tc>
      </w:tr>
      <w:tr w:rsidR="008C76E0" w:rsidRPr="00BD7577" w14:paraId="27A41CA7"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2D0EB0DF"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95635B" w14:textId="77777777" w:rsidTr="008C76E0">
        <w:trPr>
          <w:jc w:val="center"/>
        </w:trPr>
        <w:tc>
          <w:tcPr>
            <w:tcW w:w="9547" w:type="dxa"/>
            <w:tcBorders>
              <w:top w:val="single" w:sz="4" w:space="0" w:color="auto"/>
            </w:tcBorders>
            <w:shd w:val="clear" w:color="auto" w:fill="FFFFFF"/>
            <w:vAlign w:val="bottom"/>
          </w:tcPr>
          <w:p w14:paraId="5DEBEAA3"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Նպատակները</w:t>
            </w:r>
          </w:p>
        </w:tc>
      </w:tr>
      <w:tr w:rsidR="008C76E0" w:rsidRPr="00BD7577" w14:paraId="29F76E7E"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0411625E"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E0DFA5" w14:textId="77777777" w:rsidTr="008C76E0">
        <w:trPr>
          <w:jc w:val="center"/>
        </w:trPr>
        <w:tc>
          <w:tcPr>
            <w:tcW w:w="9547" w:type="dxa"/>
            <w:tcBorders>
              <w:top w:val="single" w:sz="4" w:space="0" w:color="auto"/>
            </w:tcBorders>
            <w:shd w:val="clear" w:color="auto" w:fill="FFFFFF"/>
            <w:vAlign w:val="bottom"/>
          </w:tcPr>
          <w:p w14:paraId="1456900C"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Ելքեր (վերջնակետեր)</w:t>
            </w:r>
          </w:p>
        </w:tc>
      </w:tr>
      <w:tr w:rsidR="008C76E0" w:rsidRPr="00BD7577" w14:paraId="717C00D3"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68F09B20"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CE9958" w14:textId="77777777" w:rsidTr="008C76E0">
        <w:trPr>
          <w:jc w:val="center"/>
        </w:trPr>
        <w:tc>
          <w:tcPr>
            <w:tcW w:w="9547" w:type="dxa"/>
            <w:tcBorders>
              <w:top w:val="single" w:sz="4" w:space="0" w:color="auto"/>
            </w:tcBorders>
            <w:shd w:val="clear" w:color="auto" w:fill="FFFFFF"/>
            <w:vAlign w:val="bottom"/>
          </w:tcPr>
          <w:p w14:paraId="3D389590"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Ընտրանքի ծավալը</w:t>
            </w:r>
          </w:p>
        </w:tc>
      </w:tr>
      <w:tr w:rsidR="008C76E0" w:rsidRPr="00BD7577" w14:paraId="4C33FEA0"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16DD8B41"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86248B9" w14:textId="77777777" w:rsidTr="008C76E0">
        <w:trPr>
          <w:jc w:val="center"/>
        </w:trPr>
        <w:tc>
          <w:tcPr>
            <w:tcW w:w="9547" w:type="dxa"/>
            <w:tcBorders>
              <w:top w:val="single" w:sz="4" w:space="0" w:color="auto"/>
            </w:tcBorders>
            <w:shd w:val="clear" w:color="auto" w:fill="FFFFFF"/>
            <w:vAlign w:val="center"/>
          </w:tcPr>
          <w:p w14:paraId="01BC1AF1"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Ռանդոմիզացում (պատահականության սկզբունքով բաշխում)</w:t>
            </w:r>
          </w:p>
        </w:tc>
      </w:tr>
      <w:tr w:rsidR="008C76E0" w:rsidRPr="00BD7577" w14:paraId="7897DF0F"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5D8CAB63"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415C4F7" w14:textId="77777777" w:rsidTr="008C76E0">
        <w:trPr>
          <w:jc w:val="center"/>
        </w:trPr>
        <w:tc>
          <w:tcPr>
            <w:tcW w:w="9547" w:type="dxa"/>
            <w:tcBorders>
              <w:top w:val="single" w:sz="4" w:space="0" w:color="auto"/>
            </w:tcBorders>
            <w:shd w:val="clear" w:color="auto" w:fill="FFFFFF"/>
            <w:vAlign w:val="center"/>
          </w:tcPr>
          <w:p w14:paraId="75554A71"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Կույր մեթոդ (քողարկում)</w:t>
            </w:r>
          </w:p>
        </w:tc>
      </w:tr>
      <w:tr w:rsidR="008C76E0" w:rsidRPr="00BD7577" w14:paraId="45D8DFB6"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32321192"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237A374" w14:textId="77777777" w:rsidTr="008C76E0">
        <w:trPr>
          <w:jc w:val="center"/>
        </w:trPr>
        <w:tc>
          <w:tcPr>
            <w:tcW w:w="9547" w:type="dxa"/>
            <w:tcBorders>
              <w:top w:val="single" w:sz="4" w:space="0" w:color="auto"/>
            </w:tcBorders>
            <w:shd w:val="clear" w:color="auto" w:fill="FFFFFF"/>
            <w:vAlign w:val="bottom"/>
          </w:tcPr>
          <w:p w14:paraId="2C0B2282"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Վիճակագրական մեթոդներ</w:t>
            </w:r>
          </w:p>
        </w:tc>
      </w:tr>
    </w:tbl>
    <w:p w14:paraId="6B8664E4"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lastRenderedPageBreak/>
        <w:t>Արդյունքները</w:t>
      </w:r>
    </w:p>
    <w:p w14:paraId="1DD9712C"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Մասնակիցների բաշխման սխեման (պետք է օգտագործել տվյալ ձ</w:t>
      </w:r>
      <w:r w:rsidR="00C54D75">
        <w:rPr>
          <w:rFonts w:ascii="Sylfaen" w:hAnsi="Sylfaen"/>
          <w:sz w:val="24"/>
          <w:szCs w:val="24"/>
        </w:rPr>
        <w:t>և</w:t>
      </w:r>
      <w:r w:rsidRPr="00BD7577">
        <w:rPr>
          <w:rFonts w:ascii="Sylfaen" w:hAnsi="Sylfaen"/>
          <w:sz w:val="24"/>
          <w:szCs w:val="24"/>
        </w:rPr>
        <w:t>աչափը, թույլատրվում է, ըստ անհրաժեշտության, դրանում փոփոխությունների կատարումը)</w:t>
      </w:r>
    </w:p>
    <w:p w14:paraId="39D75FA7" w14:textId="46A5065B" w:rsidR="008C76E0" w:rsidRPr="00BD7577" w:rsidRDefault="0037154C" w:rsidP="008C76E0">
      <w:pPr>
        <w:ind w:left="-426"/>
        <w:jc w:val="center"/>
        <w:rPr>
          <w:rFonts w:ascii="Sylfaen" w:hAnsi="Sylfaen"/>
          <w:sz w:val="24"/>
          <w:szCs w:val="24"/>
          <w:lang w:val="en-US"/>
        </w:rPr>
      </w:pPr>
      <w:r>
        <w:rPr>
          <w:rFonts w:ascii="Sylfaen" w:hAnsi="Sylfaen"/>
          <w:noProof/>
          <w:sz w:val="24"/>
          <w:szCs w:val="24"/>
        </w:rPr>
        <mc:AlternateContent>
          <mc:Choice Requires="wpg">
            <w:drawing>
              <wp:inline distT="0" distB="0" distL="0" distR="0" wp14:anchorId="300EFC83" wp14:editId="55B2C7BA">
                <wp:extent cx="6470650" cy="7228840"/>
                <wp:effectExtent l="12700" t="12700" r="12700" b="6985"/>
                <wp:docPr id="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0" cy="7228840"/>
                          <a:chOff x="643" y="1573"/>
                          <a:chExt cx="10190" cy="11384"/>
                        </a:xfrm>
                      </wpg:grpSpPr>
                      <wps:wsp>
                        <wps:cNvPr id="2" name="AutoShape 279"/>
                        <wps:cNvSpPr>
                          <a:spLocks noChangeArrowheads="1"/>
                        </wps:cNvSpPr>
                        <wps:spPr bwMode="auto">
                          <a:xfrm>
                            <a:off x="4564" y="1684"/>
                            <a:ext cx="2725" cy="1063"/>
                          </a:xfrm>
                          <a:prstGeom prst="roundRect">
                            <a:avLst>
                              <a:gd name="adj" fmla="val 16667"/>
                            </a:avLst>
                          </a:prstGeom>
                          <a:solidFill>
                            <a:srgbClr val="FFFFFF"/>
                          </a:solidFill>
                          <a:ln w="9525">
                            <a:solidFill>
                              <a:srgbClr val="000000"/>
                            </a:solidFill>
                            <a:round/>
                            <a:headEnd/>
                            <a:tailEnd/>
                          </a:ln>
                        </wps:spPr>
                        <wps:txbx>
                          <w:txbxContent>
                            <w:p w14:paraId="075FD5FC" w14:textId="77777777" w:rsidR="004A52D9" w:rsidRPr="0076243B" w:rsidRDefault="004A52D9" w:rsidP="008C76E0">
                              <w:pPr>
                                <w:spacing w:after="120" w:line="240" w:lineRule="auto"/>
                                <w:rPr>
                                  <w:rFonts w:ascii="Sylfaen" w:hAnsi="Sylfaen"/>
                                  <w:sz w:val="18"/>
                                  <w:szCs w:val="18"/>
                                </w:rPr>
                              </w:pPr>
                              <w:r w:rsidRPr="0076243B">
                                <w:rPr>
                                  <w:rFonts w:ascii="Sylfaen" w:hAnsi="Sylfaen"/>
                                  <w:sz w:val="18"/>
                                  <w:szCs w:val="18"/>
                                </w:rPr>
                                <w:t>Պահանջներին համապատասխանության մասով սքրինինգ են անցել (n=….)</w:t>
                              </w:r>
                            </w:p>
                            <w:p w14:paraId="02A0DE65" w14:textId="77777777" w:rsidR="004A52D9" w:rsidRPr="00AE11C0" w:rsidRDefault="004A52D9" w:rsidP="008C76E0">
                              <w:pPr>
                                <w:rPr>
                                  <w:rFonts w:ascii="Sylfaen" w:hAnsi="Sylfaen"/>
                                </w:rPr>
                              </w:pPr>
                            </w:p>
                          </w:txbxContent>
                        </wps:txbx>
                        <wps:bodyPr rot="0" vert="horz" wrap="square" lIns="3600" tIns="3600" rIns="3600" bIns="3600" anchor="t" anchorCtr="0" upright="1">
                          <a:noAutofit/>
                        </wps:bodyPr>
                      </wps:wsp>
                      <wps:wsp>
                        <wps:cNvPr id="3" name="AutoShape 280"/>
                        <wps:cNvSpPr>
                          <a:spLocks noChangeArrowheads="1"/>
                        </wps:cNvSpPr>
                        <wps:spPr bwMode="auto">
                          <a:xfrm>
                            <a:off x="8086" y="1573"/>
                            <a:ext cx="2747" cy="1373"/>
                          </a:xfrm>
                          <a:prstGeom prst="roundRect">
                            <a:avLst>
                              <a:gd name="adj" fmla="val 16667"/>
                            </a:avLst>
                          </a:prstGeom>
                          <a:solidFill>
                            <a:srgbClr val="FFFFFF"/>
                          </a:solidFill>
                          <a:ln w="9525">
                            <a:solidFill>
                              <a:srgbClr val="000000"/>
                            </a:solidFill>
                            <a:round/>
                            <a:headEnd/>
                            <a:tailEnd/>
                          </a:ln>
                        </wps:spPr>
                        <wps:txbx>
                          <w:txbxContent>
                            <w:p w14:paraId="0D75C04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Բացառվել են որպես պահանջներին չհամապատասխանող (n=….)</w:t>
                              </w:r>
                            </w:p>
                            <w:p w14:paraId="795EDC07" w14:textId="77777777" w:rsidR="004A52D9" w:rsidRPr="00DD61E4" w:rsidRDefault="004A52D9" w:rsidP="008C76E0">
                              <w:pPr>
                                <w:spacing w:after="0" w:line="240" w:lineRule="auto"/>
                                <w:rPr>
                                  <w:rFonts w:ascii="Sylfaen" w:hAnsi="Sylfaen"/>
                                  <w:sz w:val="16"/>
                                  <w:szCs w:val="16"/>
                                </w:rPr>
                              </w:pPr>
                              <w:r w:rsidRPr="0076243B">
                                <w:rPr>
                                  <w:rFonts w:ascii="Sylfaen" w:hAnsi="Sylfaen"/>
                                  <w:sz w:val="16"/>
                                  <w:szCs w:val="16"/>
                                </w:rPr>
                                <w:t>Հրաժարվել են մասնակցությունից (n=….)</w:t>
                              </w:r>
                            </w:p>
                            <w:p w14:paraId="472BF021" w14:textId="77777777" w:rsidR="004A52D9" w:rsidRPr="0076243B" w:rsidRDefault="004A52D9" w:rsidP="008C76E0">
                              <w:pPr>
                                <w:spacing w:after="120" w:line="240" w:lineRule="auto"/>
                                <w:rPr>
                                  <w:sz w:val="16"/>
                                  <w:szCs w:val="16"/>
                                </w:rPr>
                              </w:pPr>
                              <w:r w:rsidRPr="0076243B">
                                <w:rPr>
                                  <w:rFonts w:ascii="Sylfaen" w:hAnsi="Sylfaen"/>
                                  <w:sz w:val="16"/>
                                  <w:szCs w:val="16"/>
                                </w:rPr>
                                <w:t>Այլ պատճառներ</w:t>
                              </w:r>
                              <w:r>
                                <w:rPr>
                                  <w:rFonts w:ascii="Sylfaen" w:hAnsi="Sylfaen"/>
                                  <w:sz w:val="16"/>
                                  <w:szCs w:val="16"/>
                                </w:rPr>
                                <w:t xml:space="preserve"> </w:t>
                              </w:r>
                              <w:r w:rsidRPr="0076243B">
                                <w:rPr>
                                  <w:rFonts w:ascii="Sylfaen" w:hAnsi="Sylfaen"/>
                                  <w:sz w:val="16"/>
                                  <w:szCs w:val="16"/>
                                </w:rPr>
                                <w:t>(n=….)</w:t>
                              </w:r>
                            </w:p>
                          </w:txbxContent>
                        </wps:txbx>
                        <wps:bodyPr rot="0" vert="horz" wrap="square" lIns="3600" tIns="3600" rIns="3600" bIns="3600" anchor="t" anchorCtr="0" upright="1">
                          <a:noAutofit/>
                        </wps:bodyPr>
                      </wps:wsp>
                      <wps:wsp>
                        <wps:cNvPr id="4" name="AutoShape 281"/>
                        <wps:cNvSpPr>
                          <a:spLocks noChangeArrowheads="1"/>
                        </wps:cNvSpPr>
                        <wps:spPr bwMode="auto">
                          <a:xfrm>
                            <a:off x="4564" y="3522"/>
                            <a:ext cx="2725" cy="465"/>
                          </a:xfrm>
                          <a:prstGeom prst="roundRect">
                            <a:avLst>
                              <a:gd name="adj" fmla="val 16667"/>
                            </a:avLst>
                          </a:prstGeom>
                          <a:solidFill>
                            <a:srgbClr val="FFFFFF"/>
                          </a:solidFill>
                          <a:ln w="9525">
                            <a:solidFill>
                              <a:srgbClr val="000000"/>
                            </a:solidFill>
                            <a:round/>
                            <a:headEnd/>
                            <a:tailEnd/>
                          </a:ln>
                        </wps:spPr>
                        <wps:txbx>
                          <w:txbxContent>
                            <w:p w14:paraId="75DF4C69"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Պատահական բաշխման են ենթարկվել</w:t>
                              </w:r>
                              <w:r>
                                <w:rPr>
                                  <w:rFonts w:ascii="Sylfaen" w:hAnsi="Sylfaen"/>
                                  <w:sz w:val="16"/>
                                  <w:szCs w:val="16"/>
                                </w:rPr>
                                <w:t xml:space="preserve"> </w:t>
                              </w:r>
                              <w:r w:rsidRPr="0076243B">
                                <w:rPr>
                                  <w:rFonts w:ascii="Sylfaen" w:hAnsi="Sylfaen"/>
                                  <w:sz w:val="16"/>
                                  <w:szCs w:val="16"/>
                                </w:rPr>
                                <w:t>(n=….)</w:t>
                              </w:r>
                            </w:p>
                            <w:p w14:paraId="1283482A" w14:textId="77777777" w:rsidR="004A52D9" w:rsidRPr="00117D49" w:rsidRDefault="004A52D9" w:rsidP="008C76E0"/>
                          </w:txbxContent>
                        </wps:txbx>
                        <wps:bodyPr rot="0" vert="horz" wrap="square" lIns="3600" tIns="3600" rIns="3600" bIns="3600" anchor="t" anchorCtr="0" upright="1">
                          <a:noAutofit/>
                        </wps:bodyPr>
                      </wps:wsp>
                      <wps:wsp>
                        <wps:cNvPr id="5" name="AutoShape 282"/>
                        <wps:cNvSpPr>
                          <a:spLocks noChangeArrowheads="1"/>
                        </wps:cNvSpPr>
                        <wps:spPr bwMode="auto">
                          <a:xfrm>
                            <a:off x="2703" y="7665"/>
                            <a:ext cx="3102" cy="1218"/>
                          </a:xfrm>
                          <a:prstGeom prst="roundRect">
                            <a:avLst>
                              <a:gd name="adj" fmla="val 16667"/>
                            </a:avLst>
                          </a:prstGeom>
                          <a:solidFill>
                            <a:srgbClr val="FFFFFF"/>
                          </a:solidFill>
                          <a:ln w="9525">
                            <a:solidFill>
                              <a:srgbClr val="000000"/>
                            </a:solidFill>
                            <a:round/>
                            <a:headEnd/>
                            <a:tailEnd/>
                          </a:ln>
                        </wps:spPr>
                        <wps:txbx>
                          <w:txbxContent>
                            <w:p w14:paraId="732F273D"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Չեն անցել հետագա հսկողության փուլ</w:t>
                              </w:r>
                              <w:r>
                                <w:rPr>
                                  <w:rFonts w:ascii="Sylfaen" w:hAnsi="Sylfaen"/>
                                  <w:sz w:val="16"/>
                                  <w:szCs w:val="16"/>
                                </w:rPr>
                                <w:t xml:space="preserve"> </w:t>
                              </w:r>
                              <w:r w:rsidRPr="0076243B">
                                <w:rPr>
                                  <w:rFonts w:ascii="Sylfaen" w:hAnsi="Sylfaen"/>
                                  <w:sz w:val="16"/>
                                  <w:szCs w:val="16"/>
                                </w:rPr>
                                <w:t>(n=….) [նշել պատճառը]</w:t>
                              </w:r>
                            </w:p>
                            <w:p w14:paraId="73013B6E"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 xml:space="preserve">Բուժումը դադարեցված է </w:t>
                              </w:r>
                            </w:p>
                            <w:p w14:paraId="1151D6F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BAF5EED" w14:textId="77777777" w:rsidR="004A52D9" w:rsidRPr="000B2695" w:rsidRDefault="004A52D9" w:rsidP="008C76E0"/>
                          </w:txbxContent>
                        </wps:txbx>
                        <wps:bodyPr rot="0" vert="horz" wrap="square" lIns="3600" tIns="3600" rIns="3600" bIns="3600" anchor="t" anchorCtr="0" upright="1">
                          <a:noAutofit/>
                        </wps:bodyPr>
                      </wps:wsp>
                      <wps:wsp>
                        <wps:cNvPr id="12" name="AutoShape 283"/>
                        <wps:cNvCnPr>
                          <a:cxnSpLocks noChangeShapeType="1"/>
                        </wps:cNvCnPr>
                        <wps:spPr bwMode="auto">
                          <a:xfrm>
                            <a:off x="7289" y="2282"/>
                            <a:ext cx="7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284"/>
                        <wps:cNvCnPr>
                          <a:cxnSpLocks noChangeShapeType="1"/>
                        </wps:cNvCnPr>
                        <wps:spPr bwMode="auto">
                          <a:xfrm>
                            <a:off x="4209" y="6890"/>
                            <a:ext cx="0" cy="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285"/>
                        <wps:cNvCnPr>
                          <a:cxnSpLocks noChangeShapeType="1"/>
                        </wps:cNvCnPr>
                        <wps:spPr bwMode="auto">
                          <a:xfrm>
                            <a:off x="4209" y="8883"/>
                            <a:ext cx="0" cy="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86"/>
                        <wps:cNvCnPr>
                          <a:cxnSpLocks noChangeShapeType="1"/>
                        </wps:cNvCnPr>
                        <wps:spPr bwMode="auto">
                          <a:xfrm>
                            <a:off x="7577" y="6890"/>
                            <a:ext cx="0" cy="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287"/>
                        <wps:cNvCnPr>
                          <a:cxnSpLocks noChangeShapeType="1"/>
                        </wps:cNvCnPr>
                        <wps:spPr bwMode="auto">
                          <a:xfrm>
                            <a:off x="5982" y="2747"/>
                            <a:ext cx="0" cy="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288"/>
                        <wps:cNvSpPr>
                          <a:spLocks noChangeArrowheads="1"/>
                        </wps:cNvSpPr>
                        <wps:spPr bwMode="auto">
                          <a:xfrm>
                            <a:off x="5982" y="5672"/>
                            <a:ext cx="3102" cy="1218"/>
                          </a:xfrm>
                          <a:prstGeom prst="roundRect">
                            <a:avLst>
                              <a:gd name="adj" fmla="val 16667"/>
                            </a:avLst>
                          </a:prstGeom>
                          <a:solidFill>
                            <a:srgbClr val="FFFFFF"/>
                          </a:solidFill>
                          <a:ln w="9525">
                            <a:solidFill>
                              <a:srgbClr val="000000"/>
                            </a:solidFill>
                            <a:round/>
                            <a:headEnd/>
                            <a:tailEnd/>
                          </a:ln>
                        </wps:spPr>
                        <wps:txbx>
                          <w:txbxContent>
                            <w:p w14:paraId="6BE7769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 արձանագրության</w:t>
                              </w:r>
                              <w:r>
                                <w:rPr>
                                  <w:rFonts w:ascii="Sylfaen" w:hAnsi="Sylfaen"/>
                                  <w:sz w:val="16"/>
                                  <w:szCs w:val="16"/>
                                </w:rPr>
                                <w:t xml:space="preserve"> </w:t>
                              </w:r>
                              <w:r w:rsidRPr="0076243B">
                                <w:rPr>
                                  <w:rFonts w:ascii="Sylfaen" w:hAnsi="Sylfaen"/>
                                  <w:sz w:val="16"/>
                                  <w:szCs w:val="16"/>
                                </w:rPr>
                                <w:t>(n=….)</w:t>
                              </w:r>
                            </w:p>
                            <w:p w14:paraId="29BC5C90"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A37C9AB"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0940784C" w14:textId="77777777" w:rsidR="004A52D9" w:rsidRPr="000B2695" w:rsidRDefault="004A52D9" w:rsidP="008C76E0"/>
                          </w:txbxContent>
                        </wps:txbx>
                        <wps:bodyPr rot="0" vert="horz" wrap="square" lIns="3600" tIns="3600" rIns="3600" bIns="3600" anchor="t" anchorCtr="0" upright="1">
                          <a:noAutofit/>
                        </wps:bodyPr>
                      </wps:wsp>
                      <wps:wsp>
                        <wps:cNvPr id="18" name="AutoShape 289"/>
                        <wps:cNvSpPr>
                          <a:spLocks noChangeArrowheads="1"/>
                        </wps:cNvSpPr>
                        <wps:spPr bwMode="auto">
                          <a:xfrm>
                            <a:off x="2703" y="5672"/>
                            <a:ext cx="3102" cy="1218"/>
                          </a:xfrm>
                          <a:prstGeom prst="roundRect">
                            <a:avLst>
                              <a:gd name="adj" fmla="val 16667"/>
                            </a:avLst>
                          </a:prstGeom>
                          <a:solidFill>
                            <a:srgbClr val="FFFFFF"/>
                          </a:solidFill>
                          <a:ln w="9525">
                            <a:solidFill>
                              <a:srgbClr val="000000"/>
                            </a:solidFill>
                            <a:round/>
                            <a:headEnd/>
                            <a:tailEnd/>
                          </a:ln>
                        </wps:spPr>
                        <wps:txbx>
                          <w:txbxContent>
                            <w:p w14:paraId="684309C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w:t>
                              </w:r>
                              <w:r>
                                <w:rPr>
                                  <w:rFonts w:ascii="Sylfaen" w:hAnsi="Sylfaen"/>
                                </w:rPr>
                                <w:t xml:space="preserve"> </w:t>
                              </w:r>
                              <w:r w:rsidRPr="0076243B">
                                <w:rPr>
                                  <w:rFonts w:ascii="Sylfaen" w:hAnsi="Sylfaen"/>
                                  <w:sz w:val="16"/>
                                  <w:szCs w:val="16"/>
                                </w:rPr>
                                <w:t>արձանագրության</w:t>
                              </w:r>
                              <w:r>
                                <w:rPr>
                                  <w:rFonts w:ascii="Sylfaen" w:hAnsi="Sylfaen"/>
                                  <w:sz w:val="16"/>
                                  <w:szCs w:val="16"/>
                                </w:rPr>
                                <w:t xml:space="preserve"> </w:t>
                              </w:r>
                              <w:r w:rsidRPr="0076243B">
                                <w:rPr>
                                  <w:rFonts w:ascii="Sylfaen" w:hAnsi="Sylfaen"/>
                                  <w:sz w:val="16"/>
                                  <w:szCs w:val="16"/>
                                </w:rPr>
                                <w:t>(n=….)</w:t>
                              </w:r>
                            </w:p>
                            <w:p w14:paraId="6EDA045B"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CE60FB2"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60F4E439" w14:textId="77777777" w:rsidR="004A52D9" w:rsidRDefault="004A52D9" w:rsidP="008C76E0">
                              <w:pPr>
                                <w:rPr>
                                  <w:rFonts w:ascii="Sylfaen" w:hAnsi="Sylfaen"/>
                                </w:rPr>
                              </w:pPr>
                            </w:p>
                            <w:p w14:paraId="2DE44044" w14:textId="77777777" w:rsidR="004A52D9" w:rsidRPr="00F45251" w:rsidRDefault="004A52D9" w:rsidP="008C76E0"/>
                          </w:txbxContent>
                        </wps:txbx>
                        <wps:bodyPr rot="0" vert="horz" wrap="square" lIns="3600" tIns="3600" rIns="3600" bIns="3600" anchor="t" anchorCtr="0" upright="1">
                          <a:noAutofit/>
                        </wps:bodyPr>
                      </wps:wsp>
                      <wps:wsp>
                        <wps:cNvPr id="19" name="AutoShape 290"/>
                        <wps:cNvSpPr>
                          <a:spLocks noChangeArrowheads="1"/>
                        </wps:cNvSpPr>
                        <wps:spPr bwMode="auto">
                          <a:xfrm>
                            <a:off x="5982" y="7665"/>
                            <a:ext cx="3102" cy="1218"/>
                          </a:xfrm>
                          <a:prstGeom prst="roundRect">
                            <a:avLst>
                              <a:gd name="adj" fmla="val 16667"/>
                            </a:avLst>
                          </a:prstGeom>
                          <a:solidFill>
                            <a:srgbClr val="FFFFFF"/>
                          </a:solidFill>
                          <a:ln w="9525">
                            <a:solidFill>
                              <a:srgbClr val="000000"/>
                            </a:solidFill>
                            <a:round/>
                            <a:headEnd/>
                            <a:tailEnd/>
                          </a:ln>
                        </wps:spPr>
                        <wps:txbx>
                          <w:txbxContent>
                            <w:p w14:paraId="268CE98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Չեն անցել հետագա հսկողության փուլ (n=….) [նշել պատճառը]</w:t>
                              </w:r>
                            </w:p>
                            <w:p w14:paraId="06E7FB3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 xml:space="preserve">Բուժումը դադարեցված է </w:t>
                              </w:r>
                            </w:p>
                            <w:p w14:paraId="0C9D7401"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(նշել պատճառները)</w:t>
                              </w:r>
                            </w:p>
                            <w:p w14:paraId="0F7809FB" w14:textId="77777777" w:rsidR="004A52D9" w:rsidRPr="000B2695" w:rsidRDefault="004A52D9" w:rsidP="008C76E0"/>
                          </w:txbxContent>
                        </wps:txbx>
                        <wps:bodyPr rot="0" vert="horz" wrap="square" lIns="3600" tIns="3600" rIns="3600" bIns="3600" anchor="t" anchorCtr="0" upright="1">
                          <a:noAutofit/>
                        </wps:bodyPr>
                      </wps:wsp>
                      <wps:wsp>
                        <wps:cNvPr id="20" name="AutoShape 291"/>
                        <wps:cNvCnPr>
                          <a:cxnSpLocks noChangeShapeType="1"/>
                        </wps:cNvCnPr>
                        <wps:spPr bwMode="auto">
                          <a:xfrm>
                            <a:off x="7577" y="8883"/>
                            <a:ext cx="0" cy="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92"/>
                        <wps:cNvSpPr>
                          <a:spLocks noChangeArrowheads="1"/>
                        </wps:cNvSpPr>
                        <wps:spPr bwMode="auto">
                          <a:xfrm>
                            <a:off x="2703" y="9658"/>
                            <a:ext cx="3102" cy="1218"/>
                          </a:xfrm>
                          <a:prstGeom prst="roundRect">
                            <a:avLst>
                              <a:gd name="adj" fmla="val 16667"/>
                            </a:avLst>
                          </a:prstGeom>
                          <a:solidFill>
                            <a:srgbClr val="FFFFFF"/>
                          </a:solidFill>
                          <a:ln w="9525">
                            <a:solidFill>
                              <a:srgbClr val="000000"/>
                            </a:solidFill>
                            <a:round/>
                            <a:headEnd/>
                            <a:tailEnd/>
                          </a:ln>
                        </wps:spPr>
                        <wps:txbx>
                          <w:txbxContent>
                            <w:p w14:paraId="706A97F8"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 են</w:t>
                              </w:r>
                              <w:r>
                                <w:rPr>
                                  <w:rFonts w:ascii="Sylfaen" w:hAnsi="Sylfaen"/>
                                  <w:sz w:val="16"/>
                                  <w:szCs w:val="16"/>
                                </w:rPr>
                                <w:t xml:space="preserve"> </w:t>
                              </w:r>
                              <w:r w:rsidRPr="0076243B">
                                <w:rPr>
                                  <w:rFonts w:ascii="Sylfaen" w:hAnsi="Sylfaen"/>
                                  <w:sz w:val="16"/>
                                  <w:szCs w:val="16"/>
                                </w:rPr>
                                <w:t>(n=….)</w:t>
                              </w:r>
                            </w:p>
                            <w:p w14:paraId="4454E9A6"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8945628" w14:textId="77777777" w:rsidR="004A52D9" w:rsidRDefault="004A52D9" w:rsidP="008C76E0"/>
                          </w:txbxContent>
                        </wps:txbx>
                        <wps:bodyPr rot="0" vert="horz" wrap="square" lIns="3600" tIns="3600" rIns="3600" bIns="3600" anchor="t" anchorCtr="0" upright="1">
                          <a:noAutofit/>
                        </wps:bodyPr>
                      </wps:wsp>
                      <wps:wsp>
                        <wps:cNvPr id="22" name="AutoShape 293"/>
                        <wps:cNvSpPr>
                          <a:spLocks noChangeArrowheads="1"/>
                        </wps:cNvSpPr>
                        <wps:spPr bwMode="auto">
                          <a:xfrm>
                            <a:off x="5982" y="9658"/>
                            <a:ext cx="3102" cy="1218"/>
                          </a:xfrm>
                          <a:prstGeom prst="roundRect">
                            <a:avLst>
                              <a:gd name="adj" fmla="val 16667"/>
                            </a:avLst>
                          </a:prstGeom>
                          <a:solidFill>
                            <a:srgbClr val="FFFFFF"/>
                          </a:solidFill>
                          <a:ln w="9525">
                            <a:solidFill>
                              <a:srgbClr val="000000"/>
                            </a:solidFill>
                            <a:round/>
                            <a:headEnd/>
                            <a:tailEnd/>
                          </a:ln>
                        </wps:spPr>
                        <wps:txbx>
                          <w:txbxContent>
                            <w:p w14:paraId="212AEF0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w:t>
                              </w:r>
                              <w:r>
                                <w:rPr>
                                  <w:rFonts w:ascii="Sylfaen" w:hAnsi="Sylfaen"/>
                                </w:rPr>
                                <w:t xml:space="preserve"> են </w:t>
                              </w:r>
                              <w:r w:rsidRPr="0076243B">
                                <w:rPr>
                                  <w:rFonts w:ascii="Sylfaen" w:hAnsi="Sylfaen"/>
                                  <w:sz w:val="16"/>
                                  <w:szCs w:val="16"/>
                                </w:rPr>
                                <w:t>(n=….)</w:t>
                              </w:r>
                            </w:p>
                            <w:p w14:paraId="072166FF"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(նշել պատճառները)</w:t>
                              </w:r>
                            </w:p>
                            <w:p w14:paraId="2778EAA1" w14:textId="77777777" w:rsidR="004A52D9" w:rsidRDefault="004A52D9" w:rsidP="008C76E0"/>
                          </w:txbxContent>
                        </wps:txbx>
                        <wps:bodyPr rot="0" vert="horz" wrap="square" lIns="3600" tIns="3600" rIns="3600" bIns="3600" anchor="t" anchorCtr="0" upright="1">
                          <a:noAutofit/>
                        </wps:bodyPr>
                      </wps:wsp>
                      <wps:wsp>
                        <wps:cNvPr id="23" name="Arc 294"/>
                        <wps:cNvSpPr>
                          <a:spLocks/>
                        </wps:cNvSpPr>
                        <wps:spPr bwMode="auto">
                          <a:xfrm rot="-2700000">
                            <a:off x="4453" y="3324"/>
                            <a:ext cx="3279" cy="32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295"/>
                        <wps:cNvCnPr>
                          <a:cxnSpLocks noChangeShapeType="1"/>
                        </wps:cNvCnPr>
                        <wps:spPr bwMode="auto">
                          <a:xfrm>
                            <a:off x="3810" y="4962"/>
                            <a:ext cx="0" cy="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96"/>
                        <wps:cNvCnPr>
                          <a:cxnSpLocks noChangeShapeType="1"/>
                        </wps:cNvCnPr>
                        <wps:spPr bwMode="auto">
                          <a:xfrm>
                            <a:off x="8396" y="4962"/>
                            <a:ext cx="0" cy="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Rectangle 297"/>
                        <wps:cNvSpPr>
                          <a:spLocks noChangeArrowheads="1"/>
                        </wps:cNvSpPr>
                        <wps:spPr bwMode="auto">
                          <a:xfrm rot="-5400000">
                            <a:off x="277" y="1939"/>
                            <a:ext cx="1373" cy="642"/>
                          </a:xfrm>
                          <a:prstGeom prst="rect">
                            <a:avLst/>
                          </a:prstGeom>
                          <a:solidFill>
                            <a:srgbClr val="FFFFFF"/>
                          </a:solidFill>
                          <a:ln w="9525">
                            <a:solidFill>
                              <a:srgbClr val="000000"/>
                            </a:solidFill>
                            <a:miter lim="800000"/>
                            <a:headEnd/>
                            <a:tailEnd/>
                          </a:ln>
                        </wps:spPr>
                        <wps:txbx>
                          <w:txbxContent>
                            <w:p w14:paraId="481D5053"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Հավաքում</w:t>
                              </w:r>
                            </w:p>
                            <w:p w14:paraId="279F57AC" w14:textId="77777777" w:rsidR="004A52D9" w:rsidRDefault="004A52D9" w:rsidP="008C76E0"/>
                          </w:txbxContent>
                        </wps:txbx>
                        <wps:bodyPr rot="0" vert="vert270" wrap="square" lIns="3600" tIns="3600" rIns="3600" bIns="3600" anchor="t" anchorCtr="0" upright="1">
                          <a:noAutofit/>
                        </wps:bodyPr>
                      </wps:wsp>
                      <wps:wsp>
                        <wps:cNvPr id="27" name="Rectangle 298"/>
                        <wps:cNvSpPr>
                          <a:spLocks noChangeArrowheads="1"/>
                        </wps:cNvSpPr>
                        <wps:spPr bwMode="auto">
                          <a:xfrm rot="-5400000">
                            <a:off x="-199" y="5428"/>
                            <a:ext cx="2503" cy="819"/>
                          </a:xfrm>
                          <a:prstGeom prst="rect">
                            <a:avLst/>
                          </a:prstGeom>
                          <a:solidFill>
                            <a:srgbClr val="FFFFFF"/>
                          </a:solidFill>
                          <a:ln w="9525">
                            <a:solidFill>
                              <a:srgbClr val="000000"/>
                            </a:solidFill>
                            <a:miter lim="800000"/>
                            <a:headEnd/>
                            <a:tailEnd/>
                          </a:ln>
                        </wps:spPr>
                        <wps:txbx>
                          <w:txbxContent>
                            <w:p w14:paraId="575DE8B1" w14:textId="77777777" w:rsidR="004A52D9" w:rsidRPr="0076243B" w:rsidRDefault="004A52D9" w:rsidP="008C76E0">
                              <w:pPr>
                                <w:rPr>
                                  <w:rFonts w:ascii="Sylfaen" w:hAnsi="Sylfaen"/>
                                  <w:sz w:val="16"/>
                                  <w:szCs w:val="16"/>
                                </w:rPr>
                              </w:pPr>
                              <w:r w:rsidRPr="0076243B">
                                <w:rPr>
                                  <w:rFonts w:ascii="Sylfaen" w:hAnsi="Sylfaen"/>
                                  <w:sz w:val="16"/>
                                  <w:szCs w:val="16"/>
                                </w:rPr>
                                <w:t>Բաշխում</w:t>
                              </w:r>
                            </w:p>
                            <w:p w14:paraId="48B4B746" w14:textId="77777777" w:rsidR="004A52D9" w:rsidRDefault="004A52D9" w:rsidP="008C76E0"/>
                          </w:txbxContent>
                        </wps:txbx>
                        <wps:bodyPr rot="0" vert="vert270" wrap="square" lIns="3600" tIns="3600" rIns="3600" bIns="3600" anchor="t" anchorCtr="0" upright="1">
                          <a:noAutofit/>
                        </wps:bodyPr>
                      </wps:wsp>
                      <wps:wsp>
                        <wps:cNvPr id="28" name="Rectangle 299"/>
                        <wps:cNvSpPr>
                          <a:spLocks noChangeArrowheads="1"/>
                        </wps:cNvSpPr>
                        <wps:spPr bwMode="auto">
                          <a:xfrm rot="-5400000">
                            <a:off x="-288" y="8397"/>
                            <a:ext cx="2503" cy="642"/>
                          </a:xfrm>
                          <a:prstGeom prst="rect">
                            <a:avLst/>
                          </a:prstGeom>
                          <a:solidFill>
                            <a:srgbClr val="FFFFFF"/>
                          </a:solidFill>
                          <a:ln w="9525">
                            <a:solidFill>
                              <a:srgbClr val="000000"/>
                            </a:solidFill>
                            <a:miter lim="800000"/>
                            <a:headEnd/>
                            <a:tailEnd/>
                          </a:ln>
                        </wps:spPr>
                        <wps:txbx>
                          <w:txbxContent>
                            <w:p w14:paraId="763AB30D" w14:textId="77777777" w:rsidR="004A52D9" w:rsidRPr="0076243B" w:rsidRDefault="004A52D9" w:rsidP="008C76E0">
                              <w:pPr>
                                <w:rPr>
                                  <w:rFonts w:ascii="Sylfaen" w:hAnsi="Sylfaen"/>
                                  <w:sz w:val="16"/>
                                  <w:szCs w:val="16"/>
                                </w:rPr>
                              </w:pPr>
                              <w:r w:rsidRPr="0076243B">
                                <w:rPr>
                                  <w:rFonts w:ascii="Sylfaen" w:hAnsi="Sylfaen"/>
                                  <w:sz w:val="16"/>
                                  <w:szCs w:val="16"/>
                                </w:rPr>
                                <w:t>Հետագա հսկողություն</w:t>
                              </w:r>
                            </w:p>
                            <w:p w14:paraId="44F3ED43" w14:textId="77777777" w:rsidR="004A52D9" w:rsidRDefault="004A52D9" w:rsidP="008C76E0"/>
                          </w:txbxContent>
                        </wps:txbx>
                        <wps:bodyPr rot="0" vert="vert270" wrap="square" lIns="3600" tIns="3600" rIns="3600" bIns="3600" anchor="t" anchorCtr="0" upright="1">
                          <a:noAutofit/>
                        </wps:bodyPr>
                      </wps:wsp>
                      <wps:wsp>
                        <wps:cNvPr id="29" name="Rectangle 300"/>
                        <wps:cNvSpPr>
                          <a:spLocks noChangeArrowheads="1"/>
                        </wps:cNvSpPr>
                        <wps:spPr bwMode="auto">
                          <a:xfrm rot="-5400000">
                            <a:off x="-288" y="11385"/>
                            <a:ext cx="2503" cy="642"/>
                          </a:xfrm>
                          <a:prstGeom prst="rect">
                            <a:avLst/>
                          </a:prstGeom>
                          <a:solidFill>
                            <a:srgbClr val="FFFFFF"/>
                          </a:solidFill>
                          <a:ln w="9525">
                            <a:solidFill>
                              <a:srgbClr val="000000"/>
                            </a:solidFill>
                            <a:miter lim="800000"/>
                            <a:headEnd/>
                            <a:tailEnd/>
                          </a:ln>
                        </wps:spPr>
                        <wps:txbx>
                          <w:txbxContent>
                            <w:p w14:paraId="6544992C" w14:textId="77777777" w:rsidR="004A52D9" w:rsidRPr="0076243B" w:rsidRDefault="004A52D9" w:rsidP="008C76E0">
                              <w:pPr>
                                <w:rPr>
                                  <w:rFonts w:ascii="Sylfaen" w:hAnsi="Sylfaen"/>
                                  <w:sz w:val="16"/>
                                  <w:szCs w:val="16"/>
                                </w:rPr>
                              </w:pPr>
                              <w:r w:rsidRPr="0076243B">
                                <w:rPr>
                                  <w:rFonts w:ascii="Sylfaen" w:hAnsi="Sylfaen"/>
                                  <w:sz w:val="16"/>
                                  <w:szCs w:val="16"/>
                                </w:rPr>
                                <w:t>Վերլուծություն</w:t>
                              </w:r>
                            </w:p>
                            <w:p w14:paraId="13B526BF" w14:textId="77777777" w:rsidR="004A52D9" w:rsidRDefault="004A52D9" w:rsidP="008C76E0"/>
                          </w:txbxContent>
                        </wps:txbx>
                        <wps:bodyPr rot="0" vert="vert270" wrap="square" lIns="3600" tIns="3600" rIns="3600" bIns="3600" anchor="t" anchorCtr="0" upright="1">
                          <a:noAutofit/>
                        </wps:bodyPr>
                      </wps:wsp>
                    </wpg:wgp>
                  </a:graphicData>
                </a:graphic>
              </wp:inline>
            </w:drawing>
          </mc:Choice>
          <mc:Fallback>
            <w:pict>
              <v:group w14:anchorId="300EFC83" id="Group 278" o:spid="_x0000_s1043" style="width:509.5pt;height:569.2pt;mso-position-horizontal-relative:char;mso-position-vertical-relative:line" coordorigin="643,1573" coordsize="10190,1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">
                <v:roundrect id="AutoShape 279" o:spid="_x0000_s1044" style="position:absolute;left:4564;top:1684;width:2725;height:10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">
                  <v:textbox inset=".1mm,.1mm,.1mm,.1mm">
                    <w:txbxContent>
                      <w:p w14:paraId="075FD5FC" w14:textId="77777777" w:rsidR="004A52D9" w:rsidRPr="0076243B" w:rsidRDefault="004A52D9" w:rsidP="008C76E0">
                        <w:pPr>
                          <w:spacing w:after="120" w:line="240" w:lineRule="auto"/>
                          <w:rPr>
                            <w:rFonts w:ascii="Sylfaen" w:hAnsi="Sylfaen"/>
                            <w:sz w:val="18"/>
                            <w:szCs w:val="18"/>
                          </w:rPr>
                        </w:pPr>
                        <w:r w:rsidRPr="0076243B">
                          <w:rPr>
                            <w:rFonts w:ascii="Sylfaen" w:hAnsi="Sylfaen"/>
                            <w:sz w:val="18"/>
                            <w:szCs w:val="18"/>
                          </w:rPr>
                          <w:t>Պահանջներին համապատասխանության մասով սքրինինգ են անցել (n=….)</w:t>
                        </w:r>
                      </w:p>
                      <w:p w14:paraId="02A0DE65" w14:textId="77777777" w:rsidR="004A52D9" w:rsidRPr="00AE11C0" w:rsidRDefault="004A52D9" w:rsidP="008C76E0">
                        <w:pPr>
                          <w:rPr>
                            <w:rFonts w:ascii="Sylfaen" w:hAnsi="Sylfaen"/>
                          </w:rPr>
                        </w:pPr>
                      </w:p>
                    </w:txbxContent>
                  </v:textbox>
                </v:roundrect>
                <v:roundrect id="AutoShape 280" o:spid="_x0000_s1045" style="position:absolute;left:8086;top:1573;width:2747;height:1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">
                  <v:textbox inset=".1mm,.1mm,.1mm,.1mm">
                    <w:txbxContent>
                      <w:p w14:paraId="0D75C04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Բացառվել են որպես պահանջներին չհամապատասխանող (n=….)</w:t>
                        </w:r>
                      </w:p>
                      <w:p w14:paraId="795EDC07" w14:textId="77777777" w:rsidR="004A52D9" w:rsidRPr="00DD61E4" w:rsidRDefault="004A52D9" w:rsidP="008C76E0">
                        <w:pPr>
                          <w:spacing w:after="0" w:line="240" w:lineRule="auto"/>
                          <w:rPr>
                            <w:rFonts w:ascii="Sylfaen" w:hAnsi="Sylfaen"/>
                            <w:sz w:val="16"/>
                            <w:szCs w:val="16"/>
                          </w:rPr>
                        </w:pPr>
                        <w:r w:rsidRPr="0076243B">
                          <w:rPr>
                            <w:rFonts w:ascii="Sylfaen" w:hAnsi="Sylfaen"/>
                            <w:sz w:val="16"/>
                            <w:szCs w:val="16"/>
                          </w:rPr>
                          <w:t>Հրաժարվել են մասնակցությունից (n=….)</w:t>
                        </w:r>
                      </w:p>
                      <w:p w14:paraId="472BF021" w14:textId="77777777" w:rsidR="004A52D9" w:rsidRPr="0076243B" w:rsidRDefault="004A52D9" w:rsidP="008C76E0">
                        <w:pPr>
                          <w:spacing w:after="120" w:line="240" w:lineRule="auto"/>
                          <w:rPr>
                            <w:sz w:val="16"/>
                            <w:szCs w:val="16"/>
                          </w:rPr>
                        </w:pPr>
                        <w:r w:rsidRPr="0076243B">
                          <w:rPr>
                            <w:rFonts w:ascii="Sylfaen" w:hAnsi="Sylfaen"/>
                            <w:sz w:val="16"/>
                            <w:szCs w:val="16"/>
                          </w:rPr>
                          <w:t>Այլ պատճառներ</w:t>
                        </w:r>
                        <w:r>
                          <w:rPr>
                            <w:rFonts w:ascii="Sylfaen" w:hAnsi="Sylfaen"/>
                            <w:sz w:val="16"/>
                            <w:szCs w:val="16"/>
                          </w:rPr>
                          <w:t xml:space="preserve"> </w:t>
                        </w:r>
                        <w:r w:rsidRPr="0076243B">
                          <w:rPr>
                            <w:rFonts w:ascii="Sylfaen" w:hAnsi="Sylfaen"/>
                            <w:sz w:val="16"/>
                            <w:szCs w:val="16"/>
                          </w:rPr>
                          <w:t>(n=….)</w:t>
                        </w:r>
                      </w:p>
                    </w:txbxContent>
                  </v:textbox>
                </v:roundrect>
                <v:roundrect id="AutoShape 281" o:spid="_x0000_s1046" style="position:absolute;left:4564;top:3522;width:2725;height:4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">
                  <v:textbox inset=".1mm,.1mm,.1mm,.1mm">
                    <w:txbxContent>
                      <w:p w14:paraId="75DF4C69"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Պատահական բաշխման են ենթարկվել</w:t>
                        </w:r>
                        <w:r>
                          <w:rPr>
                            <w:rFonts w:ascii="Sylfaen" w:hAnsi="Sylfaen"/>
                            <w:sz w:val="16"/>
                            <w:szCs w:val="16"/>
                          </w:rPr>
                          <w:t xml:space="preserve"> </w:t>
                        </w:r>
                        <w:r w:rsidRPr="0076243B">
                          <w:rPr>
                            <w:rFonts w:ascii="Sylfaen" w:hAnsi="Sylfaen"/>
                            <w:sz w:val="16"/>
                            <w:szCs w:val="16"/>
                          </w:rPr>
                          <w:t>(n=….)</w:t>
                        </w:r>
                      </w:p>
                      <w:p w14:paraId="1283482A" w14:textId="77777777" w:rsidR="004A52D9" w:rsidRPr="00117D49" w:rsidRDefault="004A52D9" w:rsidP="008C76E0"/>
                    </w:txbxContent>
                  </v:textbox>
                </v:roundrect>
                <v:roundrect id="AutoShape 282" o:spid="_x0000_s1047" style="position:absolute;left:2703;top:7665;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">
                  <v:textbox inset=".1mm,.1mm,.1mm,.1mm">
                    <w:txbxContent>
                      <w:p w14:paraId="732F273D"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Չեն անցել հետագա հսկողության փուլ</w:t>
                        </w:r>
                        <w:r>
                          <w:rPr>
                            <w:rFonts w:ascii="Sylfaen" w:hAnsi="Sylfaen"/>
                            <w:sz w:val="16"/>
                            <w:szCs w:val="16"/>
                          </w:rPr>
                          <w:t xml:space="preserve"> </w:t>
                        </w:r>
                        <w:r w:rsidRPr="0076243B">
                          <w:rPr>
                            <w:rFonts w:ascii="Sylfaen" w:hAnsi="Sylfaen"/>
                            <w:sz w:val="16"/>
                            <w:szCs w:val="16"/>
                          </w:rPr>
                          <w:t>(n=….) [նշել պատճառը]</w:t>
                        </w:r>
                      </w:p>
                      <w:p w14:paraId="73013B6E"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 xml:space="preserve">Բուժումը դադարեցված է </w:t>
                        </w:r>
                      </w:p>
                      <w:p w14:paraId="1151D6F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BAF5EED" w14:textId="77777777" w:rsidR="004A52D9" w:rsidRPr="000B2695" w:rsidRDefault="004A52D9" w:rsidP="008C76E0"/>
                    </w:txbxContent>
                  </v:textbox>
                </v:roundrect>
                <v:shapetype id="_x0000_t32" coordsize="21600,21600" o:spt="32" o:oned="t" path="m,l21600,21600e" filled="f">
                  <v:path arrowok="t" fillok="f" o:connecttype="none"/>
                  <o:lock v:ext="edit" shapetype="t"/>
                </v:shapetype>
                <v:shape id="AutoShape 283" o:spid="_x0000_s1048" type="#_x0000_t32" style="position:absolute;left:7289;top:2282;width: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284" o:spid="_x0000_s1049" type="#_x0000_t32" style="position:absolute;left:4209;top:6890;width: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285" o:spid="_x0000_s1050" type="#_x0000_t32" style="position:absolute;left:4209;top:8883;width: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86" o:spid="_x0000_s1051" type="#_x0000_t32" style="position:absolute;left:7577;top:6890;width: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287" o:spid="_x0000_s1052" type="#_x0000_t32" style="position:absolute;left:5982;top:2747;width: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roundrect id="AutoShape 288" o:spid="_x0000_s1053" style="position:absolute;left:5982;top:5672;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">
                  <v:textbox inset=".1mm,.1mm,.1mm,.1mm">
                    <w:txbxContent>
                      <w:p w14:paraId="6BE7769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 արձանագրության</w:t>
                        </w:r>
                        <w:r>
                          <w:rPr>
                            <w:rFonts w:ascii="Sylfaen" w:hAnsi="Sylfaen"/>
                            <w:sz w:val="16"/>
                            <w:szCs w:val="16"/>
                          </w:rPr>
                          <w:t xml:space="preserve"> </w:t>
                        </w:r>
                        <w:r w:rsidRPr="0076243B">
                          <w:rPr>
                            <w:rFonts w:ascii="Sylfaen" w:hAnsi="Sylfaen"/>
                            <w:sz w:val="16"/>
                            <w:szCs w:val="16"/>
                          </w:rPr>
                          <w:t>(n=….)</w:t>
                        </w:r>
                      </w:p>
                      <w:p w14:paraId="29BC5C90"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A37C9AB"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0940784C" w14:textId="77777777" w:rsidR="004A52D9" w:rsidRPr="000B2695" w:rsidRDefault="004A52D9" w:rsidP="008C76E0"/>
                    </w:txbxContent>
                  </v:textbox>
                </v:roundrect>
                <v:roundrect id="AutoShape 289" o:spid="_x0000_s1054" style="position:absolute;left:2703;top:5672;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">
                  <v:textbox inset=".1mm,.1mm,.1mm,.1mm">
                    <w:txbxContent>
                      <w:p w14:paraId="684309C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w:t>
                        </w:r>
                        <w:r>
                          <w:rPr>
                            <w:rFonts w:ascii="Sylfaen" w:hAnsi="Sylfaen"/>
                          </w:rPr>
                          <w:t xml:space="preserve"> </w:t>
                        </w:r>
                        <w:r w:rsidRPr="0076243B">
                          <w:rPr>
                            <w:rFonts w:ascii="Sylfaen" w:hAnsi="Sylfaen"/>
                            <w:sz w:val="16"/>
                            <w:szCs w:val="16"/>
                          </w:rPr>
                          <w:t>արձանագրության</w:t>
                        </w:r>
                        <w:r>
                          <w:rPr>
                            <w:rFonts w:ascii="Sylfaen" w:hAnsi="Sylfaen"/>
                            <w:sz w:val="16"/>
                            <w:szCs w:val="16"/>
                          </w:rPr>
                          <w:t xml:space="preserve"> </w:t>
                        </w:r>
                        <w:r w:rsidRPr="0076243B">
                          <w:rPr>
                            <w:rFonts w:ascii="Sylfaen" w:hAnsi="Sylfaen"/>
                            <w:sz w:val="16"/>
                            <w:szCs w:val="16"/>
                          </w:rPr>
                          <w:t>(n=….)</w:t>
                        </w:r>
                      </w:p>
                      <w:p w14:paraId="6EDA045B"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CE60FB2"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60F4E439" w14:textId="77777777" w:rsidR="004A52D9" w:rsidRDefault="004A52D9" w:rsidP="008C76E0">
                        <w:pPr>
                          <w:rPr>
                            <w:rFonts w:ascii="Sylfaen" w:hAnsi="Sylfaen"/>
                          </w:rPr>
                        </w:pPr>
                      </w:p>
                      <w:p w14:paraId="2DE44044" w14:textId="77777777" w:rsidR="004A52D9" w:rsidRPr="00F45251" w:rsidRDefault="004A52D9" w:rsidP="008C76E0"/>
                    </w:txbxContent>
                  </v:textbox>
                </v:roundrect>
                <v:roundrect id="AutoShape 290" o:spid="_x0000_s1055" style="position:absolute;left:5982;top:7665;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">
                  <v:textbox inset=".1mm,.1mm,.1mm,.1mm">
                    <w:txbxContent>
                      <w:p w14:paraId="268CE98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Չեն անցել հետագա հսկողության փուլ (n=….) [նշել պատճառը]</w:t>
                        </w:r>
                      </w:p>
                      <w:p w14:paraId="06E7FB3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 xml:space="preserve">Բուժումը դադարեցված է </w:t>
                        </w:r>
                      </w:p>
                      <w:p w14:paraId="0C9D7401"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(նշել պատճառները)</w:t>
                        </w:r>
                      </w:p>
                      <w:p w14:paraId="0F7809FB" w14:textId="77777777" w:rsidR="004A52D9" w:rsidRPr="000B2695" w:rsidRDefault="004A52D9" w:rsidP="008C76E0"/>
                    </w:txbxContent>
                  </v:textbox>
                </v:roundrect>
                <v:shape id="AutoShape 291" o:spid="_x0000_s1056" type="#_x0000_t32" style="position:absolute;left:7577;top:8883;width: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roundrect id="AutoShape 292" o:spid="_x0000_s1057" style="position:absolute;left:2703;top:9658;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">
                  <v:textbox inset=".1mm,.1mm,.1mm,.1mm">
                    <w:txbxContent>
                      <w:p w14:paraId="706A97F8"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 են</w:t>
                        </w:r>
                        <w:r>
                          <w:rPr>
                            <w:rFonts w:ascii="Sylfaen" w:hAnsi="Sylfaen"/>
                            <w:sz w:val="16"/>
                            <w:szCs w:val="16"/>
                          </w:rPr>
                          <w:t xml:space="preserve"> </w:t>
                        </w:r>
                        <w:r w:rsidRPr="0076243B">
                          <w:rPr>
                            <w:rFonts w:ascii="Sylfaen" w:hAnsi="Sylfaen"/>
                            <w:sz w:val="16"/>
                            <w:szCs w:val="16"/>
                          </w:rPr>
                          <w:t>(n=….)</w:t>
                        </w:r>
                      </w:p>
                      <w:p w14:paraId="4454E9A6"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8945628" w14:textId="77777777" w:rsidR="004A52D9" w:rsidRDefault="004A52D9" w:rsidP="008C76E0"/>
                    </w:txbxContent>
                  </v:textbox>
                </v:roundrect>
                <v:roundrect id="AutoShape 293" o:spid="_x0000_s1058" style="position:absolute;left:5982;top:9658;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">
                  <v:textbox inset=".1mm,.1mm,.1mm,.1mm">
                    <w:txbxContent>
                      <w:p w14:paraId="212AEF0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w:t>
                        </w:r>
                        <w:r>
                          <w:rPr>
                            <w:rFonts w:ascii="Sylfaen" w:hAnsi="Sylfaen"/>
                          </w:rPr>
                          <w:t xml:space="preserve"> են </w:t>
                        </w:r>
                        <w:r w:rsidRPr="0076243B">
                          <w:rPr>
                            <w:rFonts w:ascii="Sylfaen" w:hAnsi="Sylfaen"/>
                            <w:sz w:val="16"/>
                            <w:szCs w:val="16"/>
                          </w:rPr>
                          <w:t>(n=….)</w:t>
                        </w:r>
                      </w:p>
                      <w:p w14:paraId="072166FF"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(նշել պատճառները)</w:t>
                        </w:r>
                      </w:p>
                      <w:p w14:paraId="2778EAA1" w14:textId="77777777" w:rsidR="004A52D9" w:rsidRDefault="004A52D9" w:rsidP="008C76E0"/>
                    </w:txbxContent>
                  </v:textbox>
                </v:roundrect>
                <v:shape id="Arc 294" o:spid="_x0000_s1059" style="position:absolute;left:4453;top:3324;width:3279;height:3279;rotation:-4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" path="m-1,nfc11929,,21600,9670,21600,21600em-1,nsc11929,,21600,9670,21600,21600l,21600,-1,xe" filled="f">
                  <v:path arrowok="t" o:extrusionok="f" o:connecttype="custom" o:connectlocs="0,0;3279,3279;0,3279" o:connectangles="0,0,0"/>
                </v:shape>
                <v:shape id="AutoShape 295" o:spid="_x0000_s1060" type="#_x0000_t32" style="position:absolute;left:3810;top:4962;width:0;height: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296" o:spid="_x0000_s1061" type="#_x0000_t32" style="position:absolute;left:8396;top:4962;width:0;height: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rect id="Rectangle 297" o:spid="_x0000_s1062" style="position:absolute;left:277;top:1939;width:1373;height:6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">
                  <v:textbox style="layout-flow:vertical;mso-layout-flow-alt:bottom-to-top" inset=".1mm,.1mm,.1mm,.1mm">
                    <w:txbxContent>
                      <w:p w14:paraId="481D5053"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Հավաքում</w:t>
                        </w:r>
                      </w:p>
                      <w:p w14:paraId="279F57AC" w14:textId="77777777" w:rsidR="004A52D9" w:rsidRDefault="004A52D9" w:rsidP="008C76E0"/>
                    </w:txbxContent>
                  </v:textbox>
                </v:rect>
                <v:rect id="Rectangle 298" o:spid="_x0000_s1063" style="position:absolute;left:-199;top:5428;width:2503;height:8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">
                  <v:textbox style="layout-flow:vertical;mso-layout-flow-alt:bottom-to-top" inset=".1mm,.1mm,.1mm,.1mm">
                    <w:txbxContent>
                      <w:p w14:paraId="575DE8B1" w14:textId="77777777" w:rsidR="004A52D9" w:rsidRPr="0076243B" w:rsidRDefault="004A52D9" w:rsidP="008C76E0">
                        <w:pPr>
                          <w:rPr>
                            <w:rFonts w:ascii="Sylfaen" w:hAnsi="Sylfaen"/>
                            <w:sz w:val="16"/>
                            <w:szCs w:val="16"/>
                          </w:rPr>
                        </w:pPr>
                        <w:r w:rsidRPr="0076243B">
                          <w:rPr>
                            <w:rFonts w:ascii="Sylfaen" w:hAnsi="Sylfaen"/>
                            <w:sz w:val="16"/>
                            <w:szCs w:val="16"/>
                          </w:rPr>
                          <w:t>Բաշխում</w:t>
                        </w:r>
                      </w:p>
                      <w:p w14:paraId="48B4B746" w14:textId="77777777" w:rsidR="004A52D9" w:rsidRDefault="004A52D9" w:rsidP="008C76E0"/>
                    </w:txbxContent>
                  </v:textbox>
                </v:rect>
                <v:rect id="Rectangle 299" o:spid="_x0000_s1064" style="position:absolute;left:-288;top:8397;width:2503;height:6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">
                  <v:textbox style="layout-flow:vertical;mso-layout-flow-alt:bottom-to-top" inset=".1mm,.1mm,.1mm,.1mm">
                    <w:txbxContent>
                      <w:p w14:paraId="763AB30D" w14:textId="77777777" w:rsidR="004A52D9" w:rsidRPr="0076243B" w:rsidRDefault="004A52D9" w:rsidP="008C76E0">
                        <w:pPr>
                          <w:rPr>
                            <w:rFonts w:ascii="Sylfaen" w:hAnsi="Sylfaen"/>
                            <w:sz w:val="16"/>
                            <w:szCs w:val="16"/>
                          </w:rPr>
                        </w:pPr>
                        <w:r w:rsidRPr="0076243B">
                          <w:rPr>
                            <w:rFonts w:ascii="Sylfaen" w:hAnsi="Sylfaen"/>
                            <w:sz w:val="16"/>
                            <w:szCs w:val="16"/>
                          </w:rPr>
                          <w:t>Հետագա հսկողություն</w:t>
                        </w:r>
                      </w:p>
                      <w:p w14:paraId="44F3ED43" w14:textId="77777777" w:rsidR="004A52D9" w:rsidRDefault="004A52D9" w:rsidP="008C76E0"/>
                    </w:txbxContent>
                  </v:textbox>
                </v:rect>
                <v:rect id="Rectangle 300" o:spid="_x0000_s1065" style="position:absolute;left:-288;top:11385;width:2503;height:6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">
                  <v:textbox style="layout-flow:vertical;mso-layout-flow-alt:bottom-to-top" inset=".1mm,.1mm,.1mm,.1mm">
                    <w:txbxContent>
                      <w:p w14:paraId="6544992C" w14:textId="77777777" w:rsidR="004A52D9" w:rsidRPr="0076243B" w:rsidRDefault="004A52D9" w:rsidP="008C76E0">
                        <w:pPr>
                          <w:rPr>
                            <w:rFonts w:ascii="Sylfaen" w:hAnsi="Sylfaen"/>
                            <w:sz w:val="16"/>
                            <w:szCs w:val="16"/>
                          </w:rPr>
                        </w:pPr>
                        <w:r w:rsidRPr="0076243B">
                          <w:rPr>
                            <w:rFonts w:ascii="Sylfaen" w:hAnsi="Sylfaen"/>
                            <w:sz w:val="16"/>
                            <w:szCs w:val="16"/>
                          </w:rPr>
                          <w:t>Վերլուծություն</w:t>
                        </w:r>
                      </w:p>
                      <w:p w14:paraId="13B526BF" w14:textId="77777777" w:rsidR="004A52D9" w:rsidRDefault="004A52D9" w:rsidP="008C76E0"/>
                    </w:txbxContent>
                  </v:textbox>
                </v:rect>
                <w10:anchorlock/>
              </v:group>
            </w:pict>
          </mc:Fallback>
        </mc:AlternateContent>
      </w:r>
      <w:r w:rsidR="008C76E0" w:rsidRPr="00BD7577">
        <w:rPr>
          <w:rFonts w:ascii="Sylfaen" w:hAnsi="Sylfaen"/>
          <w:sz w:val="24"/>
          <w:szCs w:val="24"/>
          <w:lang w:val="en-US"/>
        </w:rPr>
        <w:br w:type="page"/>
      </w:r>
    </w:p>
    <w:tbl>
      <w:tblPr>
        <w:tblOverlap w:val="never"/>
        <w:tblW w:w="9528" w:type="dxa"/>
        <w:jc w:val="center"/>
        <w:tblLayout w:type="fixed"/>
        <w:tblCellMar>
          <w:left w:w="10" w:type="dxa"/>
          <w:right w:w="10" w:type="dxa"/>
        </w:tblCellMar>
        <w:tblLook w:val="04A0" w:firstRow="1" w:lastRow="0" w:firstColumn="1" w:lastColumn="0" w:noHBand="0" w:noVBand="1"/>
      </w:tblPr>
      <w:tblGrid>
        <w:gridCol w:w="9528"/>
      </w:tblGrid>
      <w:tr w:rsidR="008C76E0" w:rsidRPr="00BD7577" w14:paraId="64A9D506" w14:textId="77777777" w:rsidTr="008C76E0">
        <w:trPr>
          <w:jc w:val="center"/>
        </w:trPr>
        <w:tc>
          <w:tcPr>
            <w:tcW w:w="9528" w:type="dxa"/>
            <w:shd w:val="clear" w:color="auto" w:fill="FFFFFF"/>
          </w:tcPr>
          <w:p w14:paraId="167D6C20"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lastRenderedPageBreak/>
              <w:t>Հետազոտության մեջ մասնակցության համար հավաքագրումը</w:t>
            </w:r>
          </w:p>
        </w:tc>
      </w:tr>
      <w:tr w:rsidR="008C76E0" w:rsidRPr="00BD7577" w14:paraId="53CBC475"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625E395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ED09A98" w14:textId="77777777" w:rsidTr="008C76E0">
        <w:trPr>
          <w:jc w:val="center"/>
        </w:trPr>
        <w:tc>
          <w:tcPr>
            <w:tcW w:w="9528" w:type="dxa"/>
            <w:tcBorders>
              <w:top w:val="single" w:sz="4" w:space="0" w:color="auto"/>
            </w:tcBorders>
            <w:shd w:val="clear" w:color="auto" w:fill="FFFFFF"/>
            <w:vAlign w:val="bottom"/>
          </w:tcPr>
          <w:p w14:paraId="4B3C9944"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Հետազոտության անցկացումը</w:t>
            </w:r>
          </w:p>
        </w:tc>
      </w:tr>
      <w:tr w:rsidR="008C76E0" w:rsidRPr="00BD7577" w14:paraId="2EF9233A"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53C7B1B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23FF5D4" w14:textId="77777777" w:rsidTr="008C76E0">
        <w:trPr>
          <w:jc w:val="center"/>
        </w:trPr>
        <w:tc>
          <w:tcPr>
            <w:tcW w:w="9528" w:type="dxa"/>
            <w:tcBorders>
              <w:top w:val="single" w:sz="4" w:space="0" w:color="auto"/>
            </w:tcBorders>
            <w:shd w:val="clear" w:color="auto" w:fill="FFFFFF"/>
            <w:vAlign w:val="center"/>
          </w:tcPr>
          <w:p w14:paraId="26C943EF"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Ելակետային տվյալներ</w:t>
            </w:r>
          </w:p>
        </w:tc>
      </w:tr>
      <w:tr w:rsidR="008C76E0" w:rsidRPr="00BD7577" w14:paraId="6BB102A0"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3AC67CD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A3C2456" w14:textId="77777777" w:rsidTr="008C76E0">
        <w:trPr>
          <w:jc w:val="center"/>
        </w:trPr>
        <w:tc>
          <w:tcPr>
            <w:tcW w:w="9528" w:type="dxa"/>
            <w:tcBorders>
              <w:top w:val="single" w:sz="4" w:space="0" w:color="auto"/>
            </w:tcBorders>
            <w:shd w:val="clear" w:color="auto" w:fill="FFFFFF"/>
            <w:vAlign w:val="bottom"/>
          </w:tcPr>
          <w:p w14:paraId="00BE93E3"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Վերլուծված ընտրանք</w:t>
            </w:r>
          </w:p>
        </w:tc>
      </w:tr>
      <w:tr w:rsidR="008C76E0" w:rsidRPr="00BD7577" w14:paraId="307D98BA"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604ACBE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6F3092C" w14:textId="77777777" w:rsidTr="008C76E0">
        <w:trPr>
          <w:jc w:val="center"/>
        </w:trPr>
        <w:tc>
          <w:tcPr>
            <w:tcW w:w="9528" w:type="dxa"/>
            <w:tcBorders>
              <w:top w:val="single" w:sz="4" w:space="0" w:color="auto"/>
            </w:tcBorders>
            <w:shd w:val="clear" w:color="auto" w:fill="FFFFFF"/>
          </w:tcPr>
          <w:p w14:paraId="5D58E917"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Ելքերն ու դրանց գնահատումը</w:t>
            </w:r>
          </w:p>
        </w:tc>
      </w:tr>
      <w:tr w:rsidR="008C76E0" w:rsidRPr="00BD7577" w14:paraId="1CF83425"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24B3B37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4038C98" w14:textId="77777777" w:rsidTr="008C76E0">
        <w:trPr>
          <w:jc w:val="center"/>
        </w:trPr>
        <w:tc>
          <w:tcPr>
            <w:tcW w:w="9528" w:type="dxa"/>
            <w:tcBorders>
              <w:top w:val="single" w:sz="4" w:space="0" w:color="auto"/>
              <w:bottom w:val="single" w:sz="4" w:space="0" w:color="auto"/>
            </w:tcBorders>
            <w:shd w:val="clear" w:color="auto" w:fill="FFFFFF"/>
            <w:vAlign w:val="bottom"/>
          </w:tcPr>
          <w:p w14:paraId="78F54275"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Լրացուցիչ վերլուծություններ</w:t>
            </w:r>
          </w:p>
        </w:tc>
      </w:tr>
      <w:tr w:rsidR="008C76E0" w:rsidRPr="00BD7577" w14:paraId="6E72477F" w14:textId="77777777" w:rsidTr="008C76E0">
        <w:trPr>
          <w:trHeight w:val="479"/>
          <w:jc w:val="center"/>
        </w:trPr>
        <w:tc>
          <w:tcPr>
            <w:tcW w:w="9528" w:type="dxa"/>
            <w:tcBorders>
              <w:top w:val="single" w:sz="4" w:space="0" w:color="auto"/>
              <w:left w:val="single" w:sz="4" w:space="0" w:color="auto"/>
              <w:bottom w:val="single" w:sz="4" w:space="0" w:color="auto"/>
              <w:right w:val="single" w:sz="4" w:space="0" w:color="auto"/>
            </w:tcBorders>
            <w:shd w:val="clear" w:color="auto" w:fill="FFFFFF"/>
          </w:tcPr>
          <w:p w14:paraId="47359A6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312DD5AA" w14:textId="77777777" w:rsidR="008C76E0" w:rsidRPr="00BD7577" w:rsidRDefault="008C76E0" w:rsidP="008C76E0">
      <w:pPr>
        <w:ind w:left="567"/>
        <w:rPr>
          <w:rStyle w:val="Bodytext295pt"/>
          <w:rFonts w:ascii="Sylfaen" w:eastAsia="MS Mincho" w:hAnsi="Sylfaen"/>
          <w:spacing w:val="0"/>
          <w:sz w:val="24"/>
          <w:szCs w:val="24"/>
          <w:lang w:val="en-US"/>
        </w:rPr>
      </w:pPr>
    </w:p>
    <w:p w14:paraId="466A9E6B" w14:textId="77777777" w:rsidR="008C76E0" w:rsidRPr="003129E6" w:rsidRDefault="008C76E0" w:rsidP="00305C5C">
      <w:pPr>
        <w:spacing w:after="160" w:line="360" w:lineRule="auto"/>
        <w:ind w:left="567"/>
        <w:rPr>
          <w:rFonts w:ascii="Sylfaen" w:hAnsi="Sylfaen"/>
          <w:b/>
          <w:sz w:val="24"/>
          <w:szCs w:val="24"/>
        </w:rPr>
      </w:pPr>
      <w:r w:rsidRPr="003129E6">
        <w:rPr>
          <w:rStyle w:val="Bodytext295pt"/>
          <w:rFonts w:ascii="Sylfaen" w:eastAsia="MS Mincho" w:hAnsi="Sylfaen"/>
          <w:b w:val="0"/>
          <w:spacing w:val="0"/>
          <w:sz w:val="24"/>
          <w:szCs w:val="24"/>
        </w:rPr>
        <w:t>Արդյունավետության հիմնական արդյունքների համառոտ ակնարկը</w:t>
      </w:r>
    </w:p>
    <w:p w14:paraId="034C498A" w14:textId="28389C76"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Հետ</w:t>
      </w:r>
      <w:r w:rsidR="00C54D75">
        <w:rPr>
          <w:rFonts w:ascii="Sylfaen" w:hAnsi="Sylfaen"/>
          <w:sz w:val="24"/>
          <w:szCs w:val="24"/>
        </w:rPr>
        <w:t>և</w:t>
      </w:r>
      <w:r w:rsidRPr="00BD7577">
        <w:rPr>
          <w:rFonts w:ascii="Sylfaen" w:hAnsi="Sylfaen"/>
          <w:sz w:val="24"/>
          <w:szCs w:val="24"/>
        </w:rPr>
        <w:t xml:space="preserve">յալ աղյուսակներում հավաքված են արդյունավետության հիմնական հետազոտությունների արդյունքները, որոնցով հաստատվում է սույն </w:t>
      </w:r>
      <w:r w:rsidR="0056496B">
        <w:rPr>
          <w:rFonts w:ascii="Sylfaen" w:hAnsi="Sylfaen"/>
          <w:sz w:val="24"/>
          <w:szCs w:val="24"/>
        </w:rPr>
        <w:t>դիմում</w:t>
      </w:r>
      <w:r w:rsidRPr="00BD7577">
        <w:rPr>
          <w:rFonts w:ascii="Sylfaen" w:hAnsi="Sylfaen"/>
          <w:sz w:val="24"/>
          <w:szCs w:val="24"/>
        </w:rPr>
        <w:t>ի համապատասխանությունը: Սույն ամփոփ տեղեկատվությունը հարկ է դիտարկել կլինիկական արդյունավետությանն առնչվող մեկնաբանությունների, ինչպես նա</w:t>
      </w:r>
      <w:r w:rsidR="00C54D75">
        <w:rPr>
          <w:rFonts w:ascii="Sylfaen" w:hAnsi="Sylfaen"/>
          <w:sz w:val="24"/>
          <w:szCs w:val="24"/>
        </w:rPr>
        <w:t>և</w:t>
      </w:r>
      <w:r w:rsidRPr="00BD7577">
        <w:rPr>
          <w:rFonts w:ascii="Sylfaen" w:hAnsi="Sylfaen"/>
          <w:sz w:val="24"/>
          <w:szCs w:val="24"/>
        </w:rPr>
        <w:t xml:space="preserve"> «ռիսկ-օգուտ» հարաբերակցության ակնարկի հետ համադրության մեջ (տե՛ս</w:t>
      </w:r>
      <w:r w:rsidRPr="003129E6">
        <w:rPr>
          <w:rFonts w:ascii="Sylfaen" w:hAnsi="Sylfaen"/>
          <w:sz w:val="24"/>
          <w:szCs w:val="24"/>
        </w:rPr>
        <w:t> </w:t>
      </w:r>
      <w:r w:rsidRPr="00BD7577">
        <w:rPr>
          <w:rFonts w:ascii="Sylfaen" w:hAnsi="Sylfaen"/>
          <w:sz w:val="24"/>
          <w:szCs w:val="24"/>
        </w:rPr>
        <w:t>հետ</w:t>
      </w:r>
      <w:r w:rsidR="00C54D75">
        <w:rPr>
          <w:rFonts w:ascii="Sylfaen" w:hAnsi="Sylfaen"/>
          <w:sz w:val="24"/>
          <w:szCs w:val="24"/>
        </w:rPr>
        <w:t>և</w:t>
      </w:r>
      <w:r w:rsidRPr="00BD7577">
        <w:rPr>
          <w:rFonts w:ascii="Sylfaen" w:hAnsi="Sylfaen"/>
          <w:sz w:val="24"/>
          <w:szCs w:val="24"/>
        </w:rPr>
        <w:t xml:space="preserve">յալ բաժինները): </w:t>
      </w:r>
    </w:p>
    <w:p w14:paraId="20ADDE5E" w14:textId="77777777" w:rsidR="008C76E0" w:rsidRDefault="008C76E0" w:rsidP="00305C5C">
      <w:pPr>
        <w:widowControl/>
        <w:spacing w:after="160" w:line="360" w:lineRule="auto"/>
        <w:rPr>
          <w:rFonts w:ascii="Sylfaen" w:hAnsi="Sylfaen"/>
          <w:sz w:val="24"/>
          <w:szCs w:val="24"/>
        </w:rPr>
      </w:pPr>
      <w:r>
        <w:rPr>
          <w:rFonts w:ascii="Sylfaen" w:hAnsi="Sylfaen"/>
          <w:sz w:val="24"/>
          <w:szCs w:val="24"/>
        </w:rPr>
        <w:br w:type="page"/>
      </w:r>
    </w:p>
    <w:p w14:paraId="49388E92" w14:textId="77777777" w:rsidR="008C76E0" w:rsidRPr="003129E6" w:rsidRDefault="008C76E0" w:rsidP="00305C5C">
      <w:pPr>
        <w:spacing w:after="160" w:line="360" w:lineRule="auto"/>
        <w:jc w:val="center"/>
        <w:rPr>
          <w:rFonts w:ascii="Sylfaen" w:hAnsi="Sylfaen"/>
          <w:b/>
          <w:sz w:val="24"/>
          <w:szCs w:val="24"/>
        </w:rPr>
      </w:pPr>
      <w:r w:rsidRPr="003129E6">
        <w:rPr>
          <w:rFonts w:ascii="Sylfaen" w:hAnsi="Sylfaen"/>
          <w:b/>
          <w:sz w:val="24"/>
          <w:szCs w:val="24"/>
        </w:rPr>
        <w:lastRenderedPageBreak/>
        <w:t>Հետազոտության հիմնական արդյունքների մասին համառոտ տեղեկատվություն (արդյունավետության հետազոտություն)</w:t>
      </w:r>
    </w:p>
    <w:tbl>
      <w:tblPr>
        <w:tblOverlap w:val="never"/>
        <w:tblW w:w="11345" w:type="dxa"/>
        <w:jc w:val="center"/>
        <w:tblLayout w:type="fixed"/>
        <w:tblCellMar>
          <w:left w:w="10" w:type="dxa"/>
          <w:right w:w="10" w:type="dxa"/>
        </w:tblCellMar>
        <w:tblLook w:val="04A0" w:firstRow="1" w:lastRow="0" w:firstColumn="1" w:lastColumn="0" w:noHBand="0" w:noVBand="1"/>
      </w:tblPr>
      <w:tblGrid>
        <w:gridCol w:w="3263"/>
        <w:gridCol w:w="124"/>
        <w:gridCol w:w="1952"/>
        <w:gridCol w:w="427"/>
        <w:gridCol w:w="388"/>
        <w:gridCol w:w="1287"/>
        <w:gridCol w:w="422"/>
        <w:gridCol w:w="621"/>
        <w:gridCol w:w="310"/>
        <w:gridCol w:w="912"/>
        <w:gridCol w:w="1639"/>
      </w:tblGrid>
      <w:tr w:rsidR="008C76E0" w:rsidRPr="00F72577" w14:paraId="50F89EA4"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vAlign w:val="bottom"/>
          </w:tcPr>
          <w:p w14:paraId="19C2606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Անվանումը (ինչպես նշված է հետազոտության անցկացման մասին հաշվետվության մեջ)</w:t>
            </w:r>
          </w:p>
        </w:tc>
      </w:tr>
      <w:tr w:rsidR="008C76E0" w:rsidRPr="00F72577" w14:paraId="0E470AD0" w14:textId="77777777" w:rsidTr="008C76E0">
        <w:trPr>
          <w:jc w:val="center"/>
        </w:trPr>
        <w:tc>
          <w:tcPr>
            <w:tcW w:w="3263" w:type="dxa"/>
            <w:tcBorders>
              <w:top w:val="single" w:sz="4" w:space="0" w:color="auto"/>
              <w:left w:val="single" w:sz="4" w:space="0" w:color="auto"/>
            </w:tcBorders>
            <w:shd w:val="clear" w:color="auto" w:fill="FFFFFF"/>
          </w:tcPr>
          <w:p w14:paraId="6CEAC9E6"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Հետազոտության նույնականացման համարը</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065071F9"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Ծածկագիրը</w:t>
            </w:r>
          </w:p>
          <w:p w14:paraId="573102D8"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բոլոր ծածկագրերի ցանկը, որոնք սկսվում են արձանագրության համարից, որին հետ</w:t>
            </w:r>
            <w:r w:rsidR="00C54D75">
              <w:rPr>
                <w:rStyle w:val="Bodytext1811pt"/>
                <w:rFonts w:ascii="Sylfaen" w:hAnsi="Sylfaen"/>
                <w:sz w:val="24"/>
                <w:szCs w:val="24"/>
              </w:rPr>
              <w:t>և</w:t>
            </w:r>
            <w:r w:rsidRPr="00F72577">
              <w:rPr>
                <w:rStyle w:val="Bodytext1811pt"/>
                <w:rFonts w:ascii="Sylfaen" w:hAnsi="Sylfaen"/>
                <w:sz w:val="24"/>
                <w:szCs w:val="24"/>
              </w:rPr>
              <w:t xml:space="preserve">ում է (առկայության դեպքում) կլինիկական հետազոտությունների Եվրոպական տվյալների բազայի համարը, ռանդոմիզացված կլինիկական հետազոտության միջազգային ստանդարտ համարը, </w:t>
            </w:r>
            <w:r w:rsidR="00C54D75">
              <w:rPr>
                <w:rStyle w:val="Bodytext1811pt"/>
                <w:rFonts w:ascii="Sylfaen" w:hAnsi="Sylfaen"/>
                <w:sz w:val="24"/>
                <w:szCs w:val="24"/>
              </w:rPr>
              <w:t>և</w:t>
            </w:r>
            <w:r w:rsidRPr="00F72577">
              <w:rPr>
                <w:rStyle w:val="Bodytext1811pt"/>
                <w:rFonts w:ascii="Sylfaen" w:hAnsi="Sylfaen"/>
                <w:sz w:val="24"/>
                <w:szCs w:val="24"/>
              </w:rPr>
              <w:t xml:space="preserve"> այլ ծածկագրեր՝ հրապարակումների խաչաձ</w:t>
            </w:r>
            <w:r w:rsidR="00C54D75">
              <w:rPr>
                <w:rStyle w:val="Bodytext1811pt"/>
                <w:rFonts w:ascii="Sylfaen" w:hAnsi="Sylfaen"/>
                <w:sz w:val="24"/>
                <w:szCs w:val="24"/>
              </w:rPr>
              <w:t>և</w:t>
            </w:r>
            <w:r w:rsidRPr="00F72577">
              <w:rPr>
                <w:rStyle w:val="Bodytext1811pt"/>
                <w:rFonts w:ascii="Sylfaen" w:hAnsi="Sylfaen"/>
                <w:sz w:val="24"/>
                <w:szCs w:val="24"/>
              </w:rPr>
              <w:t xml:space="preserve"> հղում կատարելու համար </w:t>
            </w:r>
          </w:p>
        </w:tc>
      </w:tr>
      <w:tr w:rsidR="008C76E0" w:rsidRPr="00F72577" w14:paraId="249103DC" w14:textId="77777777" w:rsidTr="008C76E0">
        <w:trPr>
          <w:jc w:val="center"/>
        </w:trPr>
        <w:tc>
          <w:tcPr>
            <w:tcW w:w="3263" w:type="dxa"/>
            <w:vMerge w:val="restart"/>
            <w:tcBorders>
              <w:top w:val="single" w:sz="4" w:space="0" w:color="auto"/>
              <w:left w:val="single" w:sz="4" w:space="0" w:color="auto"/>
            </w:tcBorders>
            <w:shd w:val="clear" w:color="auto" w:fill="FFFFFF"/>
          </w:tcPr>
          <w:p w14:paraId="56768815"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Հետազոտության դիզայնը</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1C4F6227"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կամայական տեքստը</w:t>
            </w:r>
          </w:p>
          <w:p w14:paraId="2C752173"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նկարագրեք հետազոտության դիզայնի առանցքային տարրերը (խաչաձ</w:t>
            </w:r>
            <w:r w:rsidR="00C54D75">
              <w:rPr>
                <w:rStyle w:val="Bodytext1811pt"/>
                <w:rFonts w:ascii="Sylfaen" w:hAnsi="Sylfaen"/>
                <w:sz w:val="24"/>
                <w:szCs w:val="24"/>
              </w:rPr>
              <w:t>և</w:t>
            </w:r>
            <w:r w:rsidRPr="00F72577">
              <w:rPr>
                <w:rStyle w:val="Bodytext1811pt"/>
                <w:rFonts w:ascii="Sylfaen" w:hAnsi="Sylfaen"/>
                <w:sz w:val="24"/>
                <w:szCs w:val="24"/>
              </w:rPr>
              <w:t xml:space="preserve">, զուգահեռ, գործոնային, դոզայի ավելացում նախատեսող, ֆիքսված դոզայի էֆեկտի վերլուծությամբ), ներառյալ՝ ռանդոմիզացմամբ, «կուրացմամբ», բաշխման քողարկմամբ, միակենտրոն </w:t>
            </w:r>
            <w:r w:rsidR="00C54D75">
              <w:rPr>
                <w:rStyle w:val="Bodytext1811pt"/>
                <w:rFonts w:ascii="Sylfaen" w:hAnsi="Sylfaen"/>
                <w:sz w:val="24"/>
                <w:szCs w:val="24"/>
              </w:rPr>
              <w:t>և</w:t>
            </w:r>
            <w:r w:rsidRPr="00F72577">
              <w:rPr>
                <w:rStyle w:val="Bodytext1811pt"/>
                <w:rFonts w:ascii="Sylfaen" w:hAnsi="Sylfaen"/>
                <w:sz w:val="24"/>
                <w:szCs w:val="24"/>
              </w:rPr>
              <w:t xml:space="preserve"> բազմակենտրոն հետազոտությունները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 </w:t>
            </w:r>
          </w:p>
        </w:tc>
      </w:tr>
      <w:tr w:rsidR="008C76E0" w:rsidRPr="00F72577" w14:paraId="78856483" w14:textId="77777777" w:rsidTr="008C76E0">
        <w:trPr>
          <w:jc w:val="center"/>
        </w:trPr>
        <w:tc>
          <w:tcPr>
            <w:tcW w:w="3263" w:type="dxa"/>
            <w:vMerge/>
            <w:tcBorders>
              <w:left w:val="single" w:sz="4" w:space="0" w:color="auto"/>
            </w:tcBorders>
            <w:shd w:val="clear" w:color="auto" w:fill="FFFFFF"/>
          </w:tcPr>
          <w:p w14:paraId="6A4DC28C"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vAlign w:val="center"/>
          </w:tcPr>
          <w:p w14:paraId="442D5478" w14:textId="77777777" w:rsidR="008C76E0" w:rsidRPr="008C76E0" w:rsidRDefault="008C76E0" w:rsidP="008C76E0">
            <w:pPr>
              <w:pStyle w:val="Bodytext180"/>
              <w:shd w:val="clear" w:color="auto" w:fill="auto"/>
              <w:spacing w:before="0" w:after="120" w:line="240" w:lineRule="auto"/>
              <w:ind w:left="140" w:right="195" w:firstLine="0"/>
              <w:rPr>
                <w:rFonts w:ascii="Sylfaen" w:hAnsi="Sylfaen"/>
                <w:b w:val="0"/>
                <w:sz w:val="24"/>
                <w:szCs w:val="24"/>
                <w:lang w:val="hy-AM"/>
              </w:rPr>
            </w:pPr>
            <w:r w:rsidRPr="00F72577">
              <w:rPr>
                <w:rStyle w:val="Bodytext1811pt"/>
                <w:rFonts w:ascii="Sylfaen" w:hAnsi="Sylfaen"/>
                <w:sz w:val="24"/>
                <w:szCs w:val="24"/>
              </w:rPr>
              <w:t>հիմնական էտապի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1A0E50BE" w14:textId="77777777" w:rsidR="008C76E0" w:rsidRPr="008C76E0" w:rsidRDefault="008C76E0" w:rsidP="008C76E0">
            <w:pPr>
              <w:pStyle w:val="Bodytext180"/>
              <w:shd w:val="clear" w:color="auto" w:fill="auto"/>
              <w:spacing w:before="0" w:after="120" w:line="240" w:lineRule="auto"/>
              <w:ind w:left="140" w:right="195" w:firstLine="0"/>
              <w:rPr>
                <w:rFonts w:ascii="Sylfaen" w:hAnsi="Sylfaen"/>
                <w:b w:val="0"/>
                <w:sz w:val="24"/>
                <w:szCs w:val="24"/>
                <w:lang w:val="hy-AM"/>
              </w:rPr>
            </w:pPr>
            <w:r w:rsidRPr="00F72577">
              <w:rPr>
                <w:rStyle w:val="Bodytext1811pt"/>
                <w:rFonts w:ascii="Sylfaen" w:hAnsi="Sylfaen"/>
                <w:sz w:val="24"/>
                <w:szCs w:val="24"/>
              </w:rPr>
              <w:t>նախապատրաստական փուլի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323C5800" w14:textId="77777777" w:rsidR="008C76E0" w:rsidRPr="00F72577" w:rsidRDefault="008C76E0" w:rsidP="008C76E0">
            <w:pPr>
              <w:pStyle w:val="Bodytext180"/>
              <w:shd w:val="clear" w:color="auto" w:fill="auto"/>
              <w:spacing w:before="0" w:after="120" w:line="240" w:lineRule="auto"/>
              <w:ind w:left="140" w:right="195" w:firstLine="0"/>
              <w:rPr>
                <w:rFonts w:ascii="Sylfaen" w:hAnsi="Sylfaen"/>
                <w:b w:val="0"/>
                <w:sz w:val="24"/>
                <w:szCs w:val="24"/>
              </w:rPr>
            </w:pPr>
            <w:r w:rsidRPr="00F72577">
              <w:rPr>
                <w:rStyle w:val="Bodytext1811pt"/>
                <w:rFonts w:ascii="Sylfaen" w:hAnsi="Sylfaen"/>
                <w:sz w:val="24"/>
                <w:szCs w:val="24"/>
              </w:rPr>
              <w:t>լրացուցիչ բուժման փուլի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tc>
        <w:tc>
          <w:tcPr>
            <w:tcW w:w="3904" w:type="dxa"/>
            <w:gridSpan w:val="5"/>
            <w:tcBorders>
              <w:top w:val="single" w:sz="4" w:space="0" w:color="auto"/>
              <w:right w:val="single" w:sz="4" w:space="0" w:color="auto"/>
            </w:tcBorders>
            <w:shd w:val="clear" w:color="auto" w:fill="FFFFFF"/>
          </w:tcPr>
          <w:p w14:paraId="5008BCB5" w14:textId="77777777" w:rsidR="008C76E0" w:rsidRPr="00F72577" w:rsidRDefault="008C76E0" w:rsidP="008C76E0">
            <w:pPr>
              <w:pStyle w:val="Bodytext180"/>
              <w:shd w:val="clear" w:color="auto" w:fill="auto"/>
              <w:spacing w:before="0" w:after="120" w:line="240" w:lineRule="auto"/>
              <w:ind w:left="68" w:right="86" w:firstLine="0"/>
              <w:rPr>
                <w:rFonts w:ascii="Sylfaen" w:hAnsi="Sylfaen"/>
                <w:b w:val="0"/>
                <w:sz w:val="24"/>
                <w:szCs w:val="24"/>
              </w:rPr>
            </w:pPr>
            <w:r w:rsidRPr="00F72577">
              <w:rPr>
                <w:rStyle w:val="Bodytext1811pt"/>
                <w:rFonts w:ascii="Sylfaen" w:hAnsi="Sylfaen"/>
                <w:sz w:val="24"/>
                <w:szCs w:val="24"/>
              </w:rPr>
              <w:t>ժամանակը</w:t>
            </w:r>
          </w:p>
          <w:p w14:paraId="7A3C5B3E" w14:textId="77777777" w:rsidR="008C76E0" w:rsidRPr="00F72577" w:rsidRDefault="008C76E0" w:rsidP="008C76E0">
            <w:pPr>
              <w:pStyle w:val="Bodytext180"/>
              <w:shd w:val="clear" w:color="auto" w:fill="auto"/>
              <w:spacing w:before="0" w:after="120" w:line="240" w:lineRule="auto"/>
              <w:ind w:left="68" w:right="86" w:firstLine="0"/>
              <w:rPr>
                <w:rFonts w:ascii="Sylfaen" w:hAnsi="Sylfaen"/>
                <w:b w:val="0"/>
                <w:sz w:val="24"/>
                <w:szCs w:val="24"/>
              </w:rPr>
            </w:pPr>
            <w:r w:rsidRPr="00F72577">
              <w:rPr>
                <w:rStyle w:val="Bodytext1811pt"/>
                <w:rFonts w:ascii="Sylfaen" w:hAnsi="Sylfaen"/>
                <w:sz w:val="24"/>
                <w:szCs w:val="24"/>
              </w:rPr>
              <w:t>ժամանակը կիրառելի չէ ժամանակը կիրառելի չէ</w:t>
            </w:r>
          </w:p>
        </w:tc>
      </w:tr>
      <w:tr w:rsidR="008C76E0" w:rsidRPr="00F72577" w14:paraId="2A151BEE" w14:textId="77777777" w:rsidTr="008C76E0">
        <w:trPr>
          <w:jc w:val="center"/>
        </w:trPr>
        <w:tc>
          <w:tcPr>
            <w:tcW w:w="3263" w:type="dxa"/>
            <w:tcBorders>
              <w:top w:val="single" w:sz="4" w:space="0" w:color="auto"/>
              <w:left w:val="single" w:sz="4" w:space="0" w:color="auto"/>
            </w:tcBorders>
            <w:shd w:val="clear" w:color="auto" w:fill="FFFFFF"/>
          </w:tcPr>
          <w:p w14:paraId="306DF3B2"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Վարկած</w:t>
            </w:r>
          </w:p>
        </w:tc>
        <w:tc>
          <w:tcPr>
            <w:tcW w:w="8082" w:type="dxa"/>
            <w:gridSpan w:val="10"/>
            <w:tcBorders>
              <w:top w:val="single" w:sz="4" w:space="0" w:color="auto"/>
              <w:left w:val="single" w:sz="4" w:space="0" w:color="auto"/>
              <w:right w:val="single" w:sz="4" w:space="0" w:color="auto"/>
            </w:tcBorders>
            <w:shd w:val="clear" w:color="auto" w:fill="FFFFFF"/>
          </w:tcPr>
          <w:p w14:paraId="052AC21E"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 xml:space="preserve">առավելությունների առկայությունը </w:t>
            </w:r>
          </w:p>
          <w:p w14:paraId="5465B331"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 xml:space="preserve">համանմանությունը </w:t>
            </w:r>
          </w:p>
          <w:p w14:paraId="5C9844C7"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ոչ պակաս արդյունավետությունը</w:t>
            </w:r>
          </w:p>
          <w:p w14:paraId="5893684C"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ամփոփիչ՝ նշել</w:t>
            </w:r>
          </w:p>
        </w:tc>
      </w:tr>
      <w:tr w:rsidR="008C76E0" w:rsidRPr="00F72577" w14:paraId="115E2ED1" w14:textId="77777777" w:rsidTr="008C76E0">
        <w:trPr>
          <w:jc w:val="center"/>
        </w:trPr>
        <w:tc>
          <w:tcPr>
            <w:tcW w:w="3263" w:type="dxa"/>
            <w:vMerge w:val="restart"/>
            <w:tcBorders>
              <w:top w:val="single" w:sz="4" w:space="0" w:color="auto"/>
              <w:left w:val="single" w:sz="4" w:space="0" w:color="auto"/>
            </w:tcBorders>
            <w:shd w:val="clear" w:color="auto" w:fill="FFFFFF"/>
          </w:tcPr>
          <w:p w14:paraId="06DD37A8"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Բուժման խմբերը (ավելացրե՛ք բուժման խմբերի նկարագրության համար անհրաժեշտ քանակությամբ տողեր)</w:t>
            </w:r>
          </w:p>
        </w:tc>
        <w:tc>
          <w:tcPr>
            <w:tcW w:w="4178" w:type="dxa"/>
            <w:gridSpan w:val="5"/>
            <w:tcBorders>
              <w:top w:val="single" w:sz="4" w:space="0" w:color="auto"/>
              <w:left w:val="single" w:sz="4" w:space="0" w:color="auto"/>
            </w:tcBorders>
            <w:shd w:val="clear" w:color="auto" w:fill="FFFFFF"/>
          </w:tcPr>
          <w:p w14:paraId="6FACD25D"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խմբի ծածկագրված նշագիրը (արդյունքների նկարագրությամբ նշե՛ք հապավումը՝ բաժնի աղյուսակում հետագա օգտագործման համար) </w:t>
            </w:r>
          </w:p>
        </w:tc>
        <w:tc>
          <w:tcPr>
            <w:tcW w:w="3904" w:type="dxa"/>
            <w:gridSpan w:val="5"/>
            <w:tcBorders>
              <w:top w:val="single" w:sz="4" w:space="0" w:color="auto"/>
              <w:left w:val="single" w:sz="4" w:space="0" w:color="auto"/>
              <w:right w:val="single" w:sz="4" w:space="0" w:color="auto"/>
            </w:tcBorders>
            <w:shd w:val="clear" w:color="auto" w:fill="FFFFFF"/>
          </w:tcPr>
          <w:p w14:paraId="540F2BAD"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բուժումը</w:t>
            </w:r>
          </w:p>
          <w:p w14:paraId="650B6948"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01D2DC68"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ռանդոմիզացված սուբյեկտների քանակը</w:t>
            </w:r>
          </w:p>
        </w:tc>
      </w:tr>
      <w:tr w:rsidR="008C76E0" w:rsidRPr="00F72577" w14:paraId="46B08CE4" w14:textId="77777777" w:rsidTr="008C76E0">
        <w:trPr>
          <w:jc w:val="center"/>
        </w:trPr>
        <w:tc>
          <w:tcPr>
            <w:tcW w:w="3263" w:type="dxa"/>
            <w:vMerge/>
            <w:tcBorders>
              <w:left w:val="single" w:sz="4" w:space="0" w:color="auto"/>
            </w:tcBorders>
            <w:shd w:val="clear" w:color="auto" w:fill="FFFFFF"/>
          </w:tcPr>
          <w:p w14:paraId="6536C1C5"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tcPr>
          <w:p w14:paraId="00B49C1B"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խմբի ծածկագրված նշագիրը</w:t>
            </w:r>
          </w:p>
        </w:tc>
        <w:tc>
          <w:tcPr>
            <w:tcW w:w="3904" w:type="dxa"/>
            <w:gridSpan w:val="5"/>
            <w:tcBorders>
              <w:top w:val="single" w:sz="4" w:space="0" w:color="auto"/>
              <w:left w:val="single" w:sz="4" w:space="0" w:color="auto"/>
              <w:right w:val="single" w:sz="4" w:space="0" w:color="auto"/>
            </w:tcBorders>
            <w:shd w:val="clear" w:color="auto" w:fill="FFFFFF"/>
          </w:tcPr>
          <w:p w14:paraId="2BD55CC0"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բուժումը</w:t>
            </w:r>
          </w:p>
          <w:p w14:paraId="3353FA48"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37B57AE7" w14:textId="77777777" w:rsidR="008C76E0" w:rsidRDefault="008C76E0" w:rsidP="008C76E0">
            <w:pPr>
              <w:pStyle w:val="Bodytext180"/>
              <w:shd w:val="clear" w:color="auto" w:fill="auto"/>
              <w:spacing w:before="0" w:after="120" w:line="240" w:lineRule="auto"/>
              <w:ind w:left="96" w:right="66" w:firstLine="0"/>
              <w:rPr>
                <w:rStyle w:val="Bodytext1811pt"/>
                <w:rFonts w:ascii="Sylfaen" w:hAnsi="Sylfaen"/>
                <w:sz w:val="24"/>
                <w:szCs w:val="24"/>
                <w:lang w:val="en-US"/>
              </w:rPr>
            </w:pPr>
            <w:r w:rsidRPr="00F72577">
              <w:rPr>
                <w:rStyle w:val="Bodytext1811pt"/>
                <w:rFonts w:ascii="Sylfaen" w:hAnsi="Sylfaen"/>
                <w:sz w:val="24"/>
                <w:szCs w:val="24"/>
              </w:rPr>
              <w:t>ռանդոմիզացված սուբյեկտների քանակը</w:t>
            </w:r>
          </w:p>
          <w:p w14:paraId="4838D0D6" w14:textId="77777777" w:rsidR="008C76E0" w:rsidRPr="00C73AC5" w:rsidRDefault="008C76E0" w:rsidP="008C76E0">
            <w:pPr>
              <w:pStyle w:val="Bodytext180"/>
              <w:shd w:val="clear" w:color="auto" w:fill="auto"/>
              <w:spacing w:before="0" w:after="120" w:line="240" w:lineRule="auto"/>
              <w:ind w:left="96" w:right="66" w:firstLine="0"/>
              <w:rPr>
                <w:rFonts w:ascii="Sylfaen" w:hAnsi="Sylfaen"/>
                <w:b w:val="0"/>
                <w:sz w:val="24"/>
                <w:szCs w:val="24"/>
              </w:rPr>
            </w:pPr>
          </w:p>
        </w:tc>
      </w:tr>
      <w:tr w:rsidR="008C76E0" w:rsidRPr="00F72577" w14:paraId="7F3254DD" w14:textId="77777777" w:rsidTr="008C76E0">
        <w:trPr>
          <w:jc w:val="center"/>
        </w:trPr>
        <w:tc>
          <w:tcPr>
            <w:tcW w:w="3263" w:type="dxa"/>
            <w:vMerge/>
            <w:tcBorders>
              <w:left w:val="single" w:sz="4" w:space="0" w:color="auto"/>
            </w:tcBorders>
            <w:shd w:val="clear" w:color="auto" w:fill="FFFFFF"/>
          </w:tcPr>
          <w:p w14:paraId="7E19D6EC"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tcPr>
          <w:p w14:paraId="4057229B"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խմբի ծածկագրված նշագիրը</w:t>
            </w:r>
          </w:p>
        </w:tc>
        <w:tc>
          <w:tcPr>
            <w:tcW w:w="3904" w:type="dxa"/>
            <w:gridSpan w:val="5"/>
            <w:tcBorders>
              <w:top w:val="single" w:sz="4" w:space="0" w:color="auto"/>
              <w:left w:val="single" w:sz="4" w:space="0" w:color="auto"/>
              <w:right w:val="single" w:sz="4" w:space="0" w:color="auto"/>
            </w:tcBorders>
            <w:shd w:val="clear" w:color="auto" w:fill="FFFFFF"/>
          </w:tcPr>
          <w:p w14:paraId="69D76C59"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բուժումը</w:t>
            </w:r>
          </w:p>
          <w:p w14:paraId="08647C96"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120C2956" w14:textId="77777777" w:rsidR="008C76E0" w:rsidRPr="00F72577" w:rsidRDefault="008C76E0" w:rsidP="008C76E0">
            <w:pPr>
              <w:pStyle w:val="Bodytext180"/>
              <w:shd w:val="clear" w:color="auto" w:fill="auto"/>
              <w:spacing w:before="0" w:after="120" w:line="240" w:lineRule="auto"/>
              <w:ind w:left="96" w:right="66" w:firstLine="0"/>
              <w:rPr>
                <w:rStyle w:val="Bodytext1811pt"/>
                <w:rFonts w:ascii="Sylfaen" w:hAnsi="Sylfaen"/>
                <w:sz w:val="24"/>
                <w:szCs w:val="24"/>
              </w:rPr>
            </w:pPr>
            <w:r w:rsidRPr="00F72577">
              <w:rPr>
                <w:rStyle w:val="Bodytext1811pt"/>
                <w:rFonts w:ascii="Sylfaen" w:hAnsi="Sylfaen"/>
                <w:sz w:val="24"/>
                <w:szCs w:val="24"/>
              </w:rPr>
              <w:t>ռանդոմիզացված սուբյեկտների քանակը՝</w:t>
            </w:r>
          </w:p>
          <w:p w14:paraId="779A8D79"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p>
        </w:tc>
      </w:tr>
      <w:tr w:rsidR="008C76E0" w:rsidRPr="00F72577" w14:paraId="4129C065" w14:textId="77777777" w:rsidTr="008C76E0">
        <w:trPr>
          <w:jc w:val="center"/>
        </w:trPr>
        <w:tc>
          <w:tcPr>
            <w:tcW w:w="3263" w:type="dxa"/>
            <w:tcBorders>
              <w:top w:val="single" w:sz="4" w:space="0" w:color="auto"/>
              <w:left w:val="single" w:sz="4" w:space="0" w:color="auto"/>
              <w:bottom w:val="single" w:sz="4" w:space="0" w:color="auto"/>
            </w:tcBorders>
            <w:shd w:val="clear" w:color="auto" w:fill="FFFFFF"/>
          </w:tcPr>
          <w:p w14:paraId="48EE9081"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Կլինիկական հետազոտության կետերը (ավելացրե՛ք կետերի նկարագրության համար անհրաժեշտ քանակով տողեր </w:t>
            </w:r>
          </w:p>
        </w:tc>
        <w:tc>
          <w:tcPr>
            <w:tcW w:w="2076" w:type="dxa"/>
            <w:gridSpan w:val="2"/>
            <w:tcBorders>
              <w:top w:val="single" w:sz="4" w:space="0" w:color="auto"/>
              <w:left w:val="single" w:sz="4" w:space="0" w:color="auto"/>
            </w:tcBorders>
            <w:shd w:val="clear" w:color="auto" w:fill="FFFFFF"/>
          </w:tcPr>
          <w:p w14:paraId="032A8633"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համակցված</w:t>
            </w:r>
          </w:p>
        </w:tc>
        <w:tc>
          <w:tcPr>
            <w:tcW w:w="2102" w:type="dxa"/>
            <w:gridSpan w:val="3"/>
            <w:tcBorders>
              <w:top w:val="single" w:sz="4" w:space="0" w:color="auto"/>
              <w:left w:val="single" w:sz="4" w:space="0" w:color="auto"/>
            </w:tcBorders>
            <w:shd w:val="clear" w:color="auto" w:fill="FFFFFF"/>
          </w:tcPr>
          <w:p w14:paraId="116B0422"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 </w:t>
            </w:r>
            <w:r w:rsidRPr="00F72577">
              <w:rPr>
                <w:rStyle w:val="Bodytext1811pt"/>
                <w:rFonts w:ascii="Sylfaen" w:hAnsi="Sylfaen"/>
                <w:sz w:val="24"/>
                <w:szCs w:val="24"/>
              </w:rPr>
              <w:t>(նշե՛ք</w:t>
            </w:r>
            <w:r w:rsidRPr="00F72577">
              <w:rPr>
                <w:rFonts w:ascii="Sylfaen" w:hAnsi="Sylfaen"/>
                <w:b w:val="0"/>
                <w:sz w:val="24"/>
                <w:szCs w:val="24"/>
              </w:rPr>
              <w:t xml:space="preserve"> </w:t>
            </w:r>
            <w:r w:rsidRPr="00F72577">
              <w:rPr>
                <w:rStyle w:val="Bodytext1811pt"/>
                <w:rFonts w:ascii="Sylfaen" w:hAnsi="Sylfaen"/>
                <w:sz w:val="24"/>
                <w:szCs w:val="24"/>
              </w:rPr>
              <w:t>հապավումը՝</w:t>
            </w:r>
            <w:r w:rsidRPr="00F72577">
              <w:rPr>
                <w:rFonts w:ascii="Sylfaen" w:hAnsi="Sylfaen"/>
                <w:b w:val="0"/>
                <w:sz w:val="24"/>
                <w:szCs w:val="24"/>
              </w:rPr>
              <w:t xml:space="preserve"> </w:t>
            </w:r>
            <w:r w:rsidRPr="00F72577">
              <w:rPr>
                <w:rStyle w:val="Bodytext1811pt"/>
                <w:rFonts w:ascii="Sylfaen" w:hAnsi="Sylfaen"/>
                <w:sz w:val="24"/>
                <w:szCs w:val="24"/>
              </w:rPr>
              <w:t>հետագա օգտագործման</w:t>
            </w:r>
            <w:r w:rsidRPr="00F72577">
              <w:rPr>
                <w:rFonts w:ascii="Sylfaen" w:hAnsi="Sylfaen"/>
                <w:b w:val="0"/>
                <w:sz w:val="24"/>
                <w:szCs w:val="24"/>
              </w:rPr>
              <w:t xml:space="preserve"> </w:t>
            </w:r>
            <w:r w:rsidRPr="00F72577">
              <w:rPr>
                <w:rStyle w:val="Bodytext1811pt"/>
                <w:rFonts w:ascii="Sylfaen" w:hAnsi="Sylfaen"/>
                <w:sz w:val="24"/>
                <w:szCs w:val="24"/>
              </w:rPr>
              <w:t>համար</w:t>
            </w:r>
          </w:p>
        </w:tc>
        <w:tc>
          <w:tcPr>
            <w:tcW w:w="3904" w:type="dxa"/>
            <w:gridSpan w:val="5"/>
            <w:tcBorders>
              <w:top w:val="single" w:sz="4" w:space="0" w:color="auto"/>
              <w:left w:val="single" w:sz="4" w:space="0" w:color="auto"/>
              <w:right w:val="single" w:sz="4" w:space="0" w:color="auto"/>
            </w:tcBorders>
            <w:shd w:val="clear" w:color="auto" w:fill="FFFFFF"/>
          </w:tcPr>
          <w:p w14:paraId="518A4945"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կլինիկական հետազոտության կամայական տեքստը (բերե՛ք համառոտ նկարագրությունը).</w:t>
            </w:r>
          </w:p>
        </w:tc>
      </w:tr>
      <w:tr w:rsidR="008C76E0" w:rsidRPr="00F72577" w14:paraId="6472BD94" w14:textId="77777777" w:rsidTr="008C76E0">
        <w:trPr>
          <w:jc w:val="center"/>
        </w:trPr>
        <w:tc>
          <w:tcPr>
            <w:tcW w:w="3263" w:type="dxa"/>
            <w:vMerge w:val="restart"/>
            <w:tcBorders>
              <w:top w:val="single" w:sz="4" w:space="0" w:color="auto"/>
              <w:left w:val="single" w:sz="4" w:space="0" w:color="auto"/>
            </w:tcBorders>
            <w:shd w:val="clear" w:color="auto" w:fill="FFFFFF"/>
            <w:vAlign w:val="center"/>
          </w:tcPr>
          <w:p w14:paraId="79C6C4D8"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որպես երկրորդական կլինիկական կետեր նշե՛ք արդյունքների նկարագրությամբ բաժնում նշված առավել ակտուալ կետերը) </w:t>
            </w:r>
          </w:p>
        </w:tc>
        <w:tc>
          <w:tcPr>
            <w:tcW w:w="2076" w:type="dxa"/>
            <w:gridSpan w:val="2"/>
            <w:tcBorders>
              <w:top w:val="single" w:sz="4" w:space="0" w:color="auto"/>
              <w:left w:val="single" w:sz="4" w:space="0" w:color="auto"/>
            </w:tcBorders>
            <w:shd w:val="clear" w:color="auto" w:fill="FFFFFF"/>
            <w:vAlign w:val="bottom"/>
          </w:tcPr>
          <w:p w14:paraId="597A90B9" w14:textId="77777777" w:rsidR="008C76E0" w:rsidRPr="00F72577" w:rsidRDefault="008C76E0" w:rsidP="008C76E0">
            <w:pPr>
              <w:pStyle w:val="Bodytext180"/>
              <w:shd w:val="clear" w:color="auto" w:fill="auto"/>
              <w:spacing w:before="0" w:after="120" w:line="240" w:lineRule="auto"/>
              <w:ind w:left="81" w:firstLine="0"/>
              <w:rPr>
                <w:rFonts w:ascii="Sylfaen" w:hAnsi="Sylfaen"/>
                <w:b w:val="0"/>
                <w:sz w:val="24"/>
                <w:szCs w:val="24"/>
              </w:rPr>
            </w:pPr>
            <w:r w:rsidRPr="00F72577">
              <w:rPr>
                <w:rStyle w:val="Bodytext1811pt"/>
                <w:rFonts w:ascii="Sylfaen" w:hAnsi="Sylfaen"/>
                <w:sz w:val="24"/>
                <w:szCs w:val="24"/>
              </w:rPr>
              <w:t xml:space="preserve">կլինիկական </w:t>
            </w:r>
            <w:r w:rsidRPr="00F72577">
              <w:rPr>
                <w:rFonts w:ascii="Sylfaen" w:hAnsi="Sylfaen" w:cs="Sylfaen"/>
                <w:b w:val="0"/>
                <w:sz w:val="24"/>
                <w:szCs w:val="24"/>
              </w:rPr>
              <w:t xml:space="preserve">հետազոտության </w:t>
            </w:r>
            <w:r w:rsidRPr="00F72577">
              <w:rPr>
                <w:rStyle w:val="Bodytext1811pt"/>
                <w:rFonts w:ascii="Sylfaen" w:hAnsi="Sylfaen"/>
                <w:sz w:val="24"/>
                <w:szCs w:val="24"/>
              </w:rPr>
              <w:t>առաջնային կետը</w:t>
            </w:r>
          </w:p>
        </w:tc>
        <w:tc>
          <w:tcPr>
            <w:tcW w:w="2102" w:type="dxa"/>
            <w:gridSpan w:val="3"/>
            <w:tcBorders>
              <w:top w:val="single" w:sz="4" w:space="0" w:color="auto"/>
              <w:left w:val="single" w:sz="4" w:space="0" w:color="auto"/>
            </w:tcBorders>
            <w:shd w:val="clear" w:color="auto" w:fill="FFFFFF"/>
            <w:vAlign w:val="bottom"/>
          </w:tcPr>
          <w:p w14:paraId="4E0EE598"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արդյունքների նկարագրությամբ բաժնի աղյուսակում)</w:t>
            </w:r>
          </w:p>
        </w:tc>
        <w:tc>
          <w:tcPr>
            <w:tcW w:w="3904" w:type="dxa"/>
            <w:gridSpan w:val="5"/>
            <w:tcBorders>
              <w:top w:val="single" w:sz="4" w:space="0" w:color="auto"/>
              <w:left w:val="single" w:sz="4" w:space="0" w:color="auto"/>
              <w:right w:val="single" w:sz="4" w:space="0" w:color="auto"/>
            </w:tcBorders>
            <w:shd w:val="clear" w:color="auto" w:fill="FFFFFF"/>
          </w:tcPr>
          <w:p w14:paraId="2C8AD0A3" w14:textId="77777777" w:rsidR="008C76E0" w:rsidRPr="00F72577" w:rsidRDefault="008C76E0" w:rsidP="008C76E0">
            <w:pPr>
              <w:spacing w:after="120" w:line="240" w:lineRule="auto"/>
              <w:ind w:left="96" w:right="66"/>
              <w:rPr>
                <w:rFonts w:ascii="Sylfaen" w:hAnsi="Sylfaen"/>
                <w:sz w:val="24"/>
                <w:szCs w:val="24"/>
              </w:rPr>
            </w:pPr>
          </w:p>
        </w:tc>
      </w:tr>
      <w:tr w:rsidR="008C76E0" w:rsidRPr="00F72577" w14:paraId="434E78C7" w14:textId="77777777" w:rsidTr="008C76E0">
        <w:trPr>
          <w:jc w:val="center"/>
        </w:trPr>
        <w:tc>
          <w:tcPr>
            <w:tcW w:w="3263" w:type="dxa"/>
            <w:vMerge/>
            <w:tcBorders>
              <w:left w:val="single" w:sz="4" w:space="0" w:color="auto"/>
            </w:tcBorders>
            <w:shd w:val="clear" w:color="auto" w:fill="FFFFFF"/>
            <w:vAlign w:val="center"/>
          </w:tcPr>
          <w:p w14:paraId="20DFB1BB" w14:textId="77777777" w:rsidR="008C76E0" w:rsidRPr="00F72577" w:rsidRDefault="008C76E0" w:rsidP="008C76E0">
            <w:pPr>
              <w:spacing w:after="120" w:line="240" w:lineRule="auto"/>
              <w:rPr>
                <w:rFonts w:ascii="Sylfaen" w:hAnsi="Sylfaen"/>
                <w:sz w:val="24"/>
                <w:szCs w:val="24"/>
              </w:rPr>
            </w:pPr>
          </w:p>
        </w:tc>
        <w:tc>
          <w:tcPr>
            <w:tcW w:w="2076" w:type="dxa"/>
            <w:gridSpan w:val="2"/>
            <w:tcBorders>
              <w:top w:val="single" w:sz="4" w:space="0" w:color="auto"/>
              <w:left w:val="single" w:sz="4" w:space="0" w:color="auto"/>
            </w:tcBorders>
            <w:shd w:val="clear" w:color="auto" w:fill="FFFFFF"/>
            <w:vAlign w:val="bottom"/>
          </w:tcPr>
          <w:p w14:paraId="40B21A0A" w14:textId="77777777" w:rsidR="008C76E0" w:rsidRPr="008C76E0" w:rsidRDefault="008C76E0" w:rsidP="008C76E0">
            <w:pPr>
              <w:pStyle w:val="Bodytext180"/>
              <w:shd w:val="clear" w:color="auto" w:fill="auto"/>
              <w:spacing w:before="0" w:after="120" w:line="240" w:lineRule="auto"/>
              <w:ind w:left="81" w:firstLine="0"/>
              <w:rPr>
                <w:rFonts w:ascii="Sylfaen" w:hAnsi="Sylfaen"/>
                <w:b w:val="0"/>
                <w:sz w:val="24"/>
                <w:szCs w:val="24"/>
                <w:lang w:val="hy-AM"/>
              </w:rPr>
            </w:pP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նշե՛ք </w:t>
            </w:r>
            <w:r w:rsidRPr="008C76E0">
              <w:rPr>
                <w:rFonts w:ascii="Sylfaen" w:hAnsi="Sylfaen"/>
                <w:b w:val="0"/>
                <w:sz w:val="24"/>
                <w:szCs w:val="24"/>
                <w:lang w:val="hy-AM"/>
              </w:rPr>
              <w:t>կլինիկական</w:t>
            </w:r>
            <w:r w:rsidRPr="00F72577">
              <w:rPr>
                <w:rStyle w:val="Bodytext1811pt"/>
                <w:rFonts w:ascii="Sylfaen" w:hAnsi="Sylfaen"/>
                <w:sz w:val="24"/>
                <w:szCs w:val="24"/>
              </w:rPr>
              <w:t xml:space="preserve"> հետազոտության կետը</w:t>
            </w:r>
          </w:p>
        </w:tc>
        <w:tc>
          <w:tcPr>
            <w:tcW w:w="2102" w:type="dxa"/>
            <w:gridSpan w:val="3"/>
            <w:tcBorders>
              <w:top w:val="single" w:sz="4" w:space="0" w:color="auto"/>
              <w:left w:val="single" w:sz="4" w:space="0" w:color="auto"/>
            </w:tcBorders>
            <w:shd w:val="clear" w:color="auto" w:fill="FFFFFF"/>
          </w:tcPr>
          <w:p w14:paraId="0B9DD9F0"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նշագիրը</w:t>
            </w:r>
          </w:p>
        </w:tc>
        <w:tc>
          <w:tcPr>
            <w:tcW w:w="3904" w:type="dxa"/>
            <w:gridSpan w:val="5"/>
            <w:tcBorders>
              <w:top w:val="single" w:sz="4" w:space="0" w:color="auto"/>
              <w:left w:val="single" w:sz="4" w:space="0" w:color="auto"/>
              <w:right w:val="single" w:sz="4" w:space="0" w:color="auto"/>
            </w:tcBorders>
            <w:shd w:val="clear" w:color="auto" w:fill="FFFFFF"/>
          </w:tcPr>
          <w:p w14:paraId="41BE79AB"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կամայական տեքստը (բերեք համառոտ նկարագրությունը)</w:t>
            </w:r>
          </w:p>
        </w:tc>
      </w:tr>
      <w:tr w:rsidR="008C76E0" w:rsidRPr="00F72577" w14:paraId="33FD937E" w14:textId="77777777" w:rsidTr="008C76E0">
        <w:trPr>
          <w:jc w:val="center"/>
        </w:trPr>
        <w:tc>
          <w:tcPr>
            <w:tcW w:w="3263" w:type="dxa"/>
            <w:tcBorders>
              <w:top w:val="single" w:sz="4" w:space="0" w:color="auto"/>
              <w:left w:val="single" w:sz="4" w:space="0" w:color="auto"/>
            </w:tcBorders>
            <w:shd w:val="clear" w:color="auto" w:fill="FFFFFF"/>
          </w:tcPr>
          <w:p w14:paraId="347C3419" w14:textId="77777777" w:rsidR="008C76E0" w:rsidRPr="00F72577" w:rsidRDefault="008C76E0" w:rsidP="008C76E0">
            <w:pPr>
              <w:spacing w:after="120" w:line="240" w:lineRule="auto"/>
              <w:rPr>
                <w:rFonts w:ascii="Sylfaen" w:hAnsi="Sylfaen"/>
                <w:sz w:val="24"/>
                <w:szCs w:val="24"/>
              </w:rPr>
            </w:pPr>
          </w:p>
        </w:tc>
        <w:tc>
          <w:tcPr>
            <w:tcW w:w="2076" w:type="dxa"/>
            <w:gridSpan w:val="2"/>
            <w:tcBorders>
              <w:top w:val="single" w:sz="4" w:space="0" w:color="auto"/>
              <w:left w:val="single" w:sz="4" w:space="0" w:color="auto"/>
            </w:tcBorders>
            <w:shd w:val="clear" w:color="auto" w:fill="FFFFFF"/>
            <w:vAlign w:val="bottom"/>
          </w:tcPr>
          <w:p w14:paraId="1BE779B4" w14:textId="77777777" w:rsidR="008C76E0" w:rsidRPr="008C76E0" w:rsidRDefault="008C76E0" w:rsidP="008C76E0">
            <w:pPr>
              <w:pStyle w:val="Bodytext180"/>
              <w:shd w:val="clear" w:color="auto" w:fill="auto"/>
              <w:spacing w:before="0" w:after="120" w:line="240" w:lineRule="auto"/>
              <w:ind w:left="81" w:firstLine="0"/>
              <w:rPr>
                <w:rFonts w:ascii="Sylfaen" w:hAnsi="Sylfaen"/>
                <w:b w:val="0"/>
                <w:sz w:val="24"/>
                <w:szCs w:val="24"/>
                <w:lang w:val="hy-AM"/>
              </w:rPr>
            </w:pP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նշե՛ք </w:t>
            </w:r>
            <w:r w:rsidRPr="008C76E0">
              <w:rPr>
                <w:rFonts w:ascii="Sylfaen" w:hAnsi="Sylfaen"/>
                <w:b w:val="0"/>
                <w:sz w:val="24"/>
                <w:szCs w:val="24"/>
                <w:lang w:val="hy-AM"/>
              </w:rPr>
              <w:t xml:space="preserve">կլինիկական </w:t>
            </w:r>
            <w:r w:rsidRPr="00F72577">
              <w:rPr>
                <w:rStyle w:val="Bodytext1811pt"/>
                <w:rFonts w:ascii="Sylfaen" w:hAnsi="Sylfaen"/>
                <w:sz w:val="24"/>
                <w:szCs w:val="24"/>
              </w:rPr>
              <w:t>հետազոտության կետը</w:t>
            </w:r>
          </w:p>
        </w:tc>
        <w:tc>
          <w:tcPr>
            <w:tcW w:w="2102" w:type="dxa"/>
            <w:gridSpan w:val="3"/>
            <w:tcBorders>
              <w:top w:val="single" w:sz="4" w:space="0" w:color="auto"/>
              <w:left w:val="single" w:sz="4" w:space="0" w:color="auto"/>
            </w:tcBorders>
            <w:shd w:val="clear" w:color="auto" w:fill="FFFFFF"/>
          </w:tcPr>
          <w:p w14:paraId="1A34A0F8"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նշագիրը</w:t>
            </w:r>
          </w:p>
        </w:tc>
        <w:tc>
          <w:tcPr>
            <w:tcW w:w="3904" w:type="dxa"/>
            <w:gridSpan w:val="5"/>
            <w:tcBorders>
              <w:top w:val="single" w:sz="4" w:space="0" w:color="auto"/>
              <w:left w:val="single" w:sz="4" w:space="0" w:color="auto"/>
              <w:right w:val="single" w:sz="4" w:space="0" w:color="auto"/>
            </w:tcBorders>
            <w:shd w:val="clear" w:color="auto" w:fill="FFFFFF"/>
          </w:tcPr>
          <w:p w14:paraId="701014DF"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կամայական տեքստը (բերե՛ք համառոտ նկարագրությունը)</w:t>
            </w:r>
          </w:p>
        </w:tc>
      </w:tr>
      <w:tr w:rsidR="008C76E0" w:rsidRPr="00F72577" w14:paraId="33541E8B" w14:textId="77777777" w:rsidTr="008C76E0">
        <w:trPr>
          <w:jc w:val="center"/>
        </w:trPr>
        <w:tc>
          <w:tcPr>
            <w:tcW w:w="3263" w:type="dxa"/>
            <w:tcBorders>
              <w:top w:val="single" w:sz="4" w:space="0" w:color="auto"/>
              <w:left w:val="single" w:sz="4" w:space="0" w:color="auto"/>
            </w:tcBorders>
            <w:shd w:val="clear" w:color="auto" w:fill="FFFFFF"/>
            <w:vAlign w:val="bottom"/>
          </w:tcPr>
          <w:p w14:paraId="22101294"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Տվյալների բազայի փակումը</w:t>
            </w:r>
          </w:p>
        </w:tc>
        <w:tc>
          <w:tcPr>
            <w:tcW w:w="8082" w:type="dxa"/>
            <w:gridSpan w:val="10"/>
            <w:tcBorders>
              <w:top w:val="single" w:sz="4" w:space="0" w:color="auto"/>
              <w:left w:val="single" w:sz="4" w:space="0" w:color="auto"/>
              <w:right w:val="single" w:sz="4" w:space="0" w:color="auto"/>
            </w:tcBorders>
            <w:shd w:val="clear" w:color="auto" w:fill="FFFFFF"/>
          </w:tcPr>
          <w:p w14:paraId="5DA58E62" w14:textId="77777777" w:rsidR="008C76E0" w:rsidRPr="00F72577" w:rsidRDefault="008C76E0" w:rsidP="008C76E0">
            <w:pPr>
              <w:pStyle w:val="Bodytext180"/>
              <w:shd w:val="clear" w:color="auto" w:fill="auto"/>
              <w:spacing w:before="0" w:after="120" w:line="240" w:lineRule="auto"/>
              <w:ind w:left="116" w:firstLine="0"/>
              <w:rPr>
                <w:rFonts w:ascii="Sylfaen" w:hAnsi="Sylfaen"/>
                <w:b w:val="0"/>
                <w:sz w:val="24"/>
                <w:szCs w:val="24"/>
              </w:rPr>
            </w:pPr>
            <w:r w:rsidRPr="00F72577">
              <w:rPr>
                <w:rStyle w:val="Bodytext1811pt"/>
                <w:rFonts w:ascii="Sylfaen" w:hAnsi="Sylfaen"/>
                <w:sz w:val="24"/>
                <w:szCs w:val="24"/>
              </w:rPr>
              <w:t>ամսաթիվը</w:t>
            </w:r>
          </w:p>
        </w:tc>
      </w:tr>
      <w:tr w:rsidR="008C76E0" w:rsidRPr="00F72577" w14:paraId="3D19B2E9"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vAlign w:val="bottom"/>
          </w:tcPr>
          <w:p w14:paraId="3D248546"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Վերլուծությունները </w:t>
            </w:r>
            <w:r w:rsidR="00C54D75">
              <w:rPr>
                <w:rStyle w:val="Bodytext1811pt"/>
                <w:rFonts w:ascii="Sylfaen" w:hAnsi="Sylfaen"/>
                <w:sz w:val="24"/>
                <w:szCs w:val="24"/>
              </w:rPr>
              <w:t>և</w:t>
            </w:r>
            <w:r w:rsidRPr="00F72577">
              <w:rPr>
                <w:rStyle w:val="Bodytext1811pt"/>
                <w:rFonts w:ascii="Sylfaen" w:hAnsi="Sylfaen"/>
                <w:sz w:val="24"/>
                <w:szCs w:val="24"/>
              </w:rPr>
              <w:t xml:space="preserve"> արդյունքները (յուրաքանչյուր վերլուծության մասով ներկայացրե՛ք առանձին արդյունքը, որը հետազոտության մասին հաշվետվության մեջ ներառման համար ակտուալ է համարվել, ցանկացած դեպքում անհրաժեշտ է տվյալներ ներկայացնել նախօրոք որոշված առաջնային վերլուծության վերաբերյալ)</w:t>
            </w:r>
          </w:p>
        </w:tc>
      </w:tr>
      <w:tr w:rsidR="008C76E0" w:rsidRPr="00F72577" w14:paraId="5456E9BD" w14:textId="77777777" w:rsidTr="008C76E0">
        <w:trPr>
          <w:jc w:val="center"/>
        </w:trPr>
        <w:tc>
          <w:tcPr>
            <w:tcW w:w="3263" w:type="dxa"/>
            <w:tcBorders>
              <w:top w:val="single" w:sz="4" w:space="0" w:color="auto"/>
              <w:left w:val="single" w:sz="4" w:space="0" w:color="auto"/>
            </w:tcBorders>
            <w:shd w:val="clear" w:color="auto" w:fill="FFFFFF"/>
            <w:vAlign w:val="bottom"/>
          </w:tcPr>
          <w:p w14:paraId="1DF15E60"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Վերլուծության նկարագրությունը</w:t>
            </w:r>
          </w:p>
        </w:tc>
        <w:tc>
          <w:tcPr>
            <w:tcW w:w="8082" w:type="dxa"/>
            <w:gridSpan w:val="10"/>
            <w:tcBorders>
              <w:top w:val="single" w:sz="4" w:space="0" w:color="auto"/>
              <w:left w:val="single" w:sz="4" w:space="0" w:color="auto"/>
              <w:right w:val="single" w:sz="4" w:space="0" w:color="auto"/>
            </w:tcBorders>
            <w:shd w:val="clear" w:color="auto" w:fill="FFFFFF"/>
          </w:tcPr>
          <w:p w14:paraId="4FBE5886" w14:textId="77777777" w:rsidR="008C76E0" w:rsidRPr="00F72577" w:rsidRDefault="008C76E0" w:rsidP="008C76E0">
            <w:pPr>
              <w:pStyle w:val="Bodytext180"/>
              <w:shd w:val="clear" w:color="auto" w:fill="auto"/>
              <w:spacing w:before="0" w:after="120" w:line="240" w:lineRule="auto"/>
              <w:ind w:left="127" w:firstLine="0"/>
              <w:rPr>
                <w:rFonts w:ascii="Sylfaen" w:hAnsi="Sylfaen"/>
                <w:b w:val="0"/>
                <w:sz w:val="24"/>
                <w:szCs w:val="24"/>
              </w:rPr>
            </w:pPr>
            <w:r w:rsidRPr="00F72577">
              <w:rPr>
                <w:rStyle w:val="Bodytext1811pt"/>
                <w:rFonts w:ascii="Sylfaen" w:hAnsi="Sylfaen"/>
                <w:sz w:val="24"/>
                <w:szCs w:val="24"/>
              </w:rPr>
              <w:t>առաջնային վերլուծությունը</w:t>
            </w:r>
          </w:p>
        </w:tc>
      </w:tr>
      <w:tr w:rsidR="008C76E0" w:rsidRPr="00F72577" w14:paraId="1A2A3126" w14:textId="77777777" w:rsidTr="008C76E0">
        <w:trPr>
          <w:jc w:val="center"/>
        </w:trPr>
        <w:tc>
          <w:tcPr>
            <w:tcW w:w="3263" w:type="dxa"/>
            <w:tcBorders>
              <w:top w:val="single" w:sz="4" w:space="0" w:color="auto"/>
              <w:left w:val="single" w:sz="4" w:space="0" w:color="auto"/>
            </w:tcBorders>
            <w:shd w:val="clear" w:color="auto" w:fill="FFFFFF"/>
          </w:tcPr>
          <w:p w14:paraId="2551E86E" w14:textId="77777777" w:rsidR="008C76E0" w:rsidRPr="00F72577" w:rsidRDefault="008C76E0" w:rsidP="008C76E0">
            <w:pPr>
              <w:pStyle w:val="Bodytext180"/>
              <w:shd w:val="clear" w:color="auto" w:fill="auto"/>
              <w:spacing w:before="0" w:after="120" w:line="240" w:lineRule="auto"/>
              <w:ind w:left="87" w:right="53" w:firstLine="0"/>
              <w:rPr>
                <w:rStyle w:val="Bodytext1811pt"/>
                <w:rFonts w:ascii="Sylfaen" w:hAnsi="Sylfaen"/>
                <w:sz w:val="24"/>
                <w:szCs w:val="24"/>
              </w:rPr>
            </w:pPr>
            <w:r w:rsidRPr="00F72577">
              <w:rPr>
                <w:rStyle w:val="Bodytext1811pt"/>
                <w:rFonts w:ascii="Sylfaen" w:hAnsi="Sylfaen"/>
                <w:sz w:val="24"/>
                <w:szCs w:val="24"/>
              </w:rPr>
              <w:t>վերլուծման ենթարկվող</w:t>
            </w:r>
            <w:r w:rsidRPr="00F72577">
              <w:rPr>
                <w:rStyle w:val="Bodytext295pt"/>
                <w:rFonts w:ascii="Sylfaen" w:hAnsi="Sylfaen"/>
                <w:spacing w:val="0"/>
                <w:sz w:val="24"/>
                <w:szCs w:val="24"/>
              </w:rPr>
              <w:t xml:space="preserve">սուբյեկտների խումբը </w:t>
            </w:r>
            <w:r w:rsidR="00C54D75">
              <w:rPr>
                <w:rStyle w:val="Bodytext295pt"/>
                <w:rFonts w:ascii="Sylfaen" w:hAnsi="Sylfaen"/>
                <w:spacing w:val="0"/>
                <w:sz w:val="24"/>
                <w:szCs w:val="24"/>
              </w:rPr>
              <w:t>և</w:t>
            </w:r>
            <w:r w:rsidRPr="00F72577">
              <w:rPr>
                <w:rStyle w:val="Bodytext295pt"/>
                <w:rFonts w:ascii="Sylfaen" w:hAnsi="Sylfaen"/>
                <w:spacing w:val="0"/>
                <w:sz w:val="24"/>
                <w:szCs w:val="24"/>
              </w:rPr>
              <w:t xml:space="preserve"> ժամանակային կետերի </w:t>
            </w:r>
            <w:r w:rsidRPr="00F72577">
              <w:rPr>
                <w:rStyle w:val="Bodytext1811pt"/>
                <w:rFonts w:ascii="Sylfaen" w:hAnsi="Sylfaen"/>
                <w:sz w:val="24"/>
                <w:szCs w:val="24"/>
              </w:rPr>
              <w:t>նկարագրությունը</w:t>
            </w:r>
          </w:p>
          <w:p w14:paraId="524E8599" w14:textId="77777777" w:rsidR="008C76E0" w:rsidRPr="008C76E0" w:rsidRDefault="008C76E0" w:rsidP="008C76E0">
            <w:pPr>
              <w:pStyle w:val="Bodytext180"/>
              <w:shd w:val="clear" w:color="auto" w:fill="auto"/>
              <w:spacing w:before="0" w:after="120" w:line="240" w:lineRule="auto"/>
              <w:ind w:left="87" w:right="53" w:firstLine="0"/>
              <w:rPr>
                <w:rFonts w:ascii="Sylfaen" w:hAnsi="Sylfaen"/>
                <w:b w:val="0"/>
                <w:sz w:val="24"/>
                <w:szCs w:val="24"/>
                <w:lang w:val="hy-AM"/>
              </w:rPr>
            </w:pPr>
          </w:p>
        </w:tc>
        <w:tc>
          <w:tcPr>
            <w:tcW w:w="8082" w:type="dxa"/>
            <w:gridSpan w:val="10"/>
            <w:tcBorders>
              <w:top w:val="single" w:sz="4" w:space="0" w:color="auto"/>
              <w:left w:val="single" w:sz="4" w:space="0" w:color="auto"/>
              <w:right w:val="single" w:sz="4" w:space="0" w:color="auto"/>
            </w:tcBorders>
            <w:shd w:val="clear" w:color="auto" w:fill="FFFFFF"/>
          </w:tcPr>
          <w:p w14:paraId="29681CEB" w14:textId="77777777" w:rsidR="008C76E0" w:rsidRPr="008C76E0" w:rsidRDefault="008C76E0" w:rsidP="008C76E0">
            <w:pPr>
              <w:pStyle w:val="Bodytext180"/>
              <w:shd w:val="clear" w:color="auto" w:fill="auto"/>
              <w:spacing w:before="0" w:after="120" w:line="240" w:lineRule="auto"/>
              <w:ind w:left="87" w:right="53" w:firstLine="0"/>
              <w:rPr>
                <w:rFonts w:ascii="Sylfaen" w:hAnsi="Sylfaen"/>
                <w:b w:val="0"/>
                <w:sz w:val="24"/>
                <w:szCs w:val="24"/>
                <w:lang w:val="hy-AM"/>
              </w:rPr>
            </w:pPr>
            <w:r w:rsidRPr="00F72577">
              <w:rPr>
                <w:rStyle w:val="Bodytext1811pt"/>
                <w:rFonts w:ascii="Sylfaen" w:hAnsi="Sylfaen"/>
                <w:sz w:val="24"/>
                <w:szCs w:val="24"/>
              </w:rPr>
              <w:t xml:space="preserve">ընտրանքային համակցություն բուժումը սկսած պացիենտները, հետազոտության մեջ արձանագրությանը համապատասխան մասնակցությունն ավարտած պացիենտները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 նշե՛լ</w:t>
            </w:r>
            <w:r w:rsidRPr="008C76E0">
              <w:rPr>
                <w:rFonts w:ascii="Sylfaen" w:hAnsi="Sylfaen"/>
                <w:b w:val="0"/>
                <w:sz w:val="24"/>
                <w:szCs w:val="24"/>
                <w:lang w:val="hy-AM"/>
              </w:rPr>
              <w:t xml:space="preserve"> </w:t>
            </w:r>
            <w:r w:rsidRPr="00F72577">
              <w:rPr>
                <w:rStyle w:val="Bodytext1811pt"/>
                <w:rFonts w:ascii="Sylfaen" w:hAnsi="Sylfaen"/>
                <w:sz w:val="24"/>
                <w:szCs w:val="24"/>
              </w:rPr>
              <w:t>(կարո է պահանջվել բնակչության խմբի համառոտ նկարագրության ներառումը) ժամանակային կետը</w:t>
            </w:r>
          </w:p>
        </w:tc>
      </w:tr>
      <w:tr w:rsidR="008C76E0" w:rsidRPr="00F72577" w14:paraId="66F6738A" w14:textId="77777777" w:rsidTr="008C76E0">
        <w:trPr>
          <w:jc w:val="center"/>
        </w:trPr>
        <w:tc>
          <w:tcPr>
            <w:tcW w:w="3263" w:type="dxa"/>
            <w:vMerge w:val="restart"/>
            <w:tcBorders>
              <w:top w:val="single" w:sz="4" w:space="0" w:color="auto"/>
              <w:left w:val="single" w:sz="4" w:space="0" w:color="auto"/>
            </w:tcBorders>
            <w:shd w:val="clear" w:color="auto" w:fill="FFFFFF"/>
          </w:tcPr>
          <w:p w14:paraId="5FAC471C" w14:textId="77777777" w:rsidR="008C76E0" w:rsidRPr="008C76E0" w:rsidRDefault="008C76E0" w:rsidP="008C76E0">
            <w:pPr>
              <w:pStyle w:val="Bodytext180"/>
              <w:shd w:val="clear" w:color="auto" w:fill="auto"/>
              <w:spacing w:before="0" w:after="120" w:line="240" w:lineRule="auto"/>
              <w:ind w:left="87" w:firstLine="0"/>
              <w:rPr>
                <w:rFonts w:ascii="Sylfaen" w:hAnsi="Sylfaen"/>
                <w:b w:val="0"/>
                <w:sz w:val="24"/>
                <w:szCs w:val="24"/>
                <w:lang w:val="hy-AM"/>
              </w:rPr>
            </w:pPr>
            <w:r w:rsidRPr="00F72577">
              <w:rPr>
                <w:rStyle w:val="Bodytext1811pt"/>
                <w:rFonts w:ascii="Sylfaen" w:hAnsi="Sylfaen"/>
                <w:sz w:val="24"/>
                <w:szCs w:val="24"/>
              </w:rPr>
              <w:lastRenderedPageBreak/>
              <w:t xml:space="preserve">Նկարագրական վիճակագրություն </w:t>
            </w:r>
            <w:r w:rsidR="00C54D75">
              <w:rPr>
                <w:rStyle w:val="Bodytext1811pt"/>
                <w:rFonts w:ascii="Sylfaen" w:hAnsi="Sylfaen"/>
                <w:sz w:val="24"/>
                <w:szCs w:val="24"/>
              </w:rPr>
              <w:t>և</w:t>
            </w:r>
            <w:r w:rsidRPr="00F72577">
              <w:rPr>
                <w:rStyle w:val="Bodytext1811pt"/>
                <w:rFonts w:ascii="Sylfaen" w:hAnsi="Sylfaen"/>
                <w:sz w:val="24"/>
                <w:szCs w:val="24"/>
              </w:rPr>
              <w:t xml:space="preserve"> գնահատման վարիատիվու-թյունը</w:t>
            </w:r>
          </w:p>
        </w:tc>
        <w:tc>
          <w:tcPr>
            <w:tcW w:w="2503" w:type="dxa"/>
            <w:gridSpan w:val="3"/>
            <w:tcBorders>
              <w:top w:val="single" w:sz="4" w:space="0" w:color="auto"/>
              <w:left w:val="single" w:sz="4" w:space="0" w:color="auto"/>
            </w:tcBorders>
            <w:shd w:val="clear" w:color="auto" w:fill="FFFFFF"/>
          </w:tcPr>
          <w:p w14:paraId="6F30E1D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բուժման խումբը</w:t>
            </w:r>
          </w:p>
        </w:tc>
        <w:tc>
          <w:tcPr>
            <w:tcW w:w="2097" w:type="dxa"/>
            <w:gridSpan w:val="3"/>
            <w:tcBorders>
              <w:top w:val="single" w:sz="4" w:space="0" w:color="auto"/>
              <w:left w:val="single" w:sz="4" w:space="0" w:color="auto"/>
            </w:tcBorders>
            <w:shd w:val="clear" w:color="auto" w:fill="FFFFFF"/>
            <w:vAlign w:val="bottom"/>
          </w:tcPr>
          <w:p w14:paraId="41562D02" w14:textId="77777777" w:rsidR="008C76E0" w:rsidRPr="00F72577" w:rsidRDefault="008C76E0" w:rsidP="008C76E0">
            <w:pPr>
              <w:pStyle w:val="Bodytext180"/>
              <w:shd w:val="clear" w:color="auto" w:fill="auto"/>
              <w:spacing w:before="0" w:after="120" w:line="240" w:lineRule="auto"/>
              <w:ind w:left="71" w:right="90"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c>
          <w:tcPr>
            <w:tcW w:w="1843" w:type="dxa"/>
            <w:gridSpan w:val="3"/>
            <w:tcBorders>
              <w:top w:val="single" w:sz="4" w:space="0" w:color="auto"/>
              <w:left w:val="single" w:sz="4" w:space="0" w:color="auto"/>
            </w:tcBorders>
            <w:shd w:val="clear" w:color="auto" w:fill="FFFFFF"/>
            <w:vAlign w:val="bottom"/>
          </w:tcPr>
          <w:p w14:paraId="22098F74" w14:textId="77777777" w:rsidR="008C76E0" w:rsidRPr="00F72577" w:rsidRDefault="008C76E0" w:rsidP="008C76E0">
            <w:pPr>
              <w:pStyle w:val="Bodytext180"/>
              <w:shd w:val="clear" w:color="auto" w:fill="auto"/>
              <w:spacing w:before="0" w:after="120" w:line="240" w:lineRule="auto"/>
              <w:ind w:left="71" w:right="90"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c>
          <w:tcPr>
            <w:tcW w:w="1639" w:type="dxa"/>
            <w:tcBorders>
              <w:top w:val="single" w:sz="4" w:space="0" w:color="auto"/>
              <w:left w:val="single" w:sz="4" w:space="0" w:color="auto"/>
              <w:right w:val="single" w:sz="4" w:space="0" w:color="auto"/>
            </w:tcBorders>
            <w:shd w:val="clear" w:color="auto" w:fill="FFFFFF"/>
            <w:vAlign w:val="bottom"/>
          </w:tcPr>
          <w:p w14:paraId="63D113EE"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r>
      <w:tr w:rsidR="008C76E0" w:rsidRPr="00F72577" w14:paraId="6EFDA3C1" w14:textId="77777777" w:rsidTr="008C76E0">
        <w:trPr>
          <w:jc w:val="center"/>
        </w:trPr>
        <w:tc>
          <w:tcPr>
            <w:tcW w:w="3263" w:type="dxa"/>
            <w:vMerge/>
            <w:tcBorders>
              <w:left w:val="single" w:sz="4" w:space="0" w:color="auto"/>
            </w:tcBorders>
            <w:shd w:val="clear" w:color="auto" w:fill="FFFFFF"/>
          </w:tcPr>
          <w:p w14:paraId="17BB6C6C"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0C3B254F" w14:textId="77777777" w:rsidR="008C76E0" w:rsidRPr="00F72577" w:rsidRDefault="008C76E0" w:rsidP="008C76E0">
            <w:pPr>
              <w:pStyle w:val="Bodytext180"/>
              <w:shd w:val="clear" w:color="auto" w:fill="auto"/>
              <w:spacing w:before="0" w:after="120" w:line="240" w:lineRule="auto"/>
              <w:ind w:left="69" w:right="50" w:firstLine="0"/>
              <w:rPr>
                <w:rFonts w:ascii="Sylfaen" w:hAnsi="Sylfaen"/>
                <w:b w:val="0"/>
                <w:sz w:val="24"/>
                <w:szCs w:val="24"/>
              </w:rPr>
            </w:pPr>
            <w:r w:rsidRPr="00F72577">
              <w:rPr>
                <w:rStyle w:val="Bodytext1811pt"/>
                <w:rFonts w:ascii="Sylfaen" w:hAnsi="Sylfaen"/>
                <w:sz w:val="24"/>
                <w:szCs w:val="24"/>
              </w:rPr>
              <w:t>սուբյեկտների քանակը</w:t>
            </w:r>
          </w:p>
        </w:tc>
        <w:tc>
          <w:tcPr>
            <w:tcW w:w="2097" w:type="dxa"/>
            <w:gridSpan w:val="3"/>
            <w:tcBorders>
              <w:top w:val="single" w:sz="4" w:space="0" w:color="auto"/>
              <w:left w:val="single" w:sz="4" w:space="0" w:color="auto"/>
            </w:tcBorders>
            <w:shd w:val="clear" w:color="auto" w:fill="FFFFFF"/>
            <w:vAlign w:val="bottom"/>
          </w:tcPr>
          <w:p w14:paraId="5412F268"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c>
          <w:tcPr>
            <w:tcW w:w="1843" w:type="dxa"/>
            <w:gridSpan w:val="3"/>
            <w:tcBorders>
              <w:top w:val="single" w:sz="4" w:space="0" w:color="auto"/>
              <w:left w:val="single" w:sz="4" w:space="0" w:color="auto"/>
            </w:tcBorders>
            <w:shd w:val="clear" w:color="auto" w:fill="FFFFFF"/>
            <w:vAlign w:val="bottom"/>
          </w:tcPr>
          <w:p w14:paraId="75EA6E26"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c>
          <w:tcPr>
            <w:tcW w:w="1639" w:type="dxa"/>
            <w:tcBorders>
              <w:top w:val="single" w:sz="4" w:space="0" w:color="auto"/>
              <w:left w:val="single" w:sz="4" w:space="0" w:color="auto"/>
              <w:right w:val="single" w:sz="4" w:space="0" w:color="auto"/>
            </w:tcBorders>
            <w:shd w:val="clear" w:color="auto" w:fill="FFFFFF"/>
            <w:vAlign w:val="bottom"/>
          </w:tcPr>
          <w:p w14:paraId="3D909700"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r>
      <w:tr w:rsidR="008C76E0" w:rsidRPr="00F72577" w14:paraId="5C01ECC3" w14:textId="77777777" w:rsidTr="008C76E0">
        <w:trPr>
          <w:jc w:val="center"/>
        </w:trPr>
        <w:tc>
          <w:tcPr>
            <w:tcW w:w="3263" w:type="dxa"/>
            <w:vMerge/>
            <w:tcBorders>
              <w:left w:val="single" w:sz="4" w:space="0" w:color="auto"/>
            </w:tcBorders>
            <w:shd w:val="clear" w:color="auto" w:fill="FFFFFF"/>
          </w:tcPr>
          <w:p w14:paraId="13800B44"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323CF5C3"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Կլինիկական հետազոտության կետը (պայմանական նշագիրը, ինչպես նշված է վեր</w:t>
            </w:r>
            <w:r w:rsidR="00C54D75">
              <w:rPr>
                <w:rStyle w:val="Bodytext1811pt"/>
                <w:rFonts w:ascii="Sylfaen" w:hAnsi="Sylfaen"/>
                <w:sz w:val="24"/>
                <w:szCs w:val="24"/>
              </w:rPr>
              <w:t>և</w:t>
            </w:r>
            <w:r w:rsidRPr="00F72577">
              <w:rPr>
                <w:rStyle w:val="Bodytext1811pt"/>
                <w:rFonts w:ascii="Sylfaen" w:hAnsi="Sylfaen"/>
                <w:sz w:val="24"/>
                <w:szCs w:val="24"/>
              </w:rPr>
              <w:t xml:space="preserve">ում) վիճակագրությունը (օրինակ՝ ընտրանքի միջին, մեդիանային արժեքները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097" w:type="dxa"/>
            <w:gridSpan w:val="3"/>
            <w:tcBorders>
              <w:top w:val="single" w:sz="4" w:space="0" w:color="auto"/>
              <w:left w:val="single" w:sz="4" w:space="0" w:color="auto"/>
            </w:tcBorders>
            <w:shd w:val="clear" w:color="auto" w:fill="FFFFFF"/>
          </w:tcPr>
          <w:p w14:paraId="67AD0D4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tcPr>
          <w:p w14:paraId="74E476D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tcPr>
          <w:p w14:paraId="7BB14DC8"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38FC0906" w14:textId="77777777" w:rsidTr="008C76E0">
        <w:trPr>
          <w:jc w:val="center"/>
        </w:trPr>
        <w:tc>
          <w:tcPr>
            <w:tcW w:w="3263" w:type="dxa"/>
            <w:vMerge/>
            <w:tcBorders>
              <w:left w:val="single" w:sz="4" w:space="0" w:color="auto"/>
            </w:tcBorders>
            <w:shd w:val="clear" w:color="auto" w:fill="FFFFFF"/>
          </w:tcPr>
          <w:p w14:paraId="50E4DF76"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775D9DE9"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վարիացիաների վիճակագրությունը (օրինակ՝ստանդարտ շեղում,</w:t>
            </w:r>
          </w:p>
        </w:tc>
        <w:tc>
          <w:tcPr>
            <w:tcW w:w="2097" w:type="dxa"/>
            <w:gridSpan w:val="3"/>
            <w:tcBorders>
              <w:top w:val="single" w:sz="4" w:space="0" w:color="auto"/>
              <w:left w:val="single" w:sz="4" w:space="0" w:color="auto"/>
            </w:tcBorders>
            <w:shd w:val="clear" w:color="auto" w:fill="FFFFFF"/>
          </w:tcPr>
          <w:p w14:paraId="5D7FF100"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104D627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03C85F48"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45A341A9" w14:textId="77777777" w:rsidTr="008C76E0">
        <w:trPr>
          <w:jc w:val="center"/>
        </w:trPr>
        <w:tc>
          <w:tcPr>
            <w:tcW w:w="3263" w:type="dxa"/>
            <w:vMerge w:val="restart"/>
            <w:tcBorders>
              <w:left w:val="single" w:sz="4" w:space="0" w:color="auto"/>
            </w:tcBorders>
            <w:shd w:val="clear" w:color="auto" w:fill="FFFFFF"/>
          </w:tcPr>
          <w:p w14:paraId="37F30A0A"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01D4F9D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 xml:space="preserve">վստահելի միջակայք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097" w:type="dxa"/>
            <w:gridSpan w:val="3"/>
            <w:tcBorders>
              <w:top w:val="single" w:sz="4" w:space="0" w:color="auto"/>
              <w:left w:val="single" w:sz="4" w:space="0" w:color="auto"/>
            </w:tcBorders>
            <w:shd w:val="clear" w:color="auto" w:fill="FFFFFF"/>
          </w:tcPr>
          <w:p w14:paraId="6280E579" w14:textId="77777777" w:rsidR="008C76E0" w:rsidRPr="00F72577" w:rsidRDefault="008C76E0" w:rsidP="008C76E0">
            <w:pPr>
              <w:spacing w:after="120" w:line="240" w:lineRule="auto"/>
              <w:ind w:left="41" w:right="41"/>
              <w:rPr>
                <w:rFonts w:ascii="Sylfaen" w:hAnsi="Sylfaen"/>
                <w:sz w:val="24"/>
                <w:szCs w:val="24"/>
              </w:rPr>
            </w:pPr>
          </w:p>
        </w:tc>
        <w:tc>
          <w:tcPr>
            <w:tcW w:w="1843" w:type="dxa"/>
            <w:gridSpan w:val="3"/>
            <w:tcBorders>
              <w:top w:val="single" w:sz="4" w:space="0" w:color="auto"/>
              <w:left w:val="single" w:sz="4" w:space="0" w:color="auto"/>
            </w:tcBorders>
            <w:shd w:val="clear" w:color="auto" w:fill="FFFFFF"/>
          </w:tcPr>
          <w:p w14:paraId="05F03A4A" w14:textId="77777777" w:rsidR="008C76E0" w:rsidRPr="00F72577" w:rsidRDefault="008C76E0" w:rsidP="008C76E0">
            <w:pPr>
              <w:spacing w:after="120" w:line="240" w:lineRule="auto"/>
              <w:ind w:left="41" w:right="41"/>
              <w:rPr>
                <w:rFonts w:ascii="Sylfaen" w:hAnsi="Sylfaen"/>
                <w:sz w:val="24"/>
                <w:szCs w:val="24"/>
              </w:rPr>
            </w:pPr>
          </w:p>
        </w:tc>
        <w:tc>
          <w:tcPr>
            <w:tcW w:w="1639" w:type="dxa"/>
            <w:tcBorders>
              <w:top w:val="single" w:sz="4" w:space="0" w:color="auto"/>
              <w:left w:val="single" w:sz="4" w:space="0" w:color="auto"/>
              <w:right w:val="single" w:sz="4" w:space="0" w:color="auto"/>
            </w:tcBorders>
            <w:shd w:val="clear" w:color="auto" w:fill="FFFFFF"/>
          </w:tcPr>
          <w:p w14:paraId="6BF8DF81" w14:textId="77777777" w:rsidR="008C76E0" w:rsidRPr="00F72577" w:rsidRDefault="008C76E0" w:rsidP="008C76E0">
            <w:pPr>
              <w:spacing w:after="120" w:line="240" w:lineRule="auto"/>
              <w:ind w:left="41" w:right="41"/>
              <w:rPr>
                <w:rFonts w:ascii="Sylfaen" w:hAnsi="Sylfaen"/>
                <w:sz w:val="24"/>
                <w:szCs w:val="24"/>
              </w:rPr>
            </w:pPr>
          </w:p>
        </w:tc>
      </w:tr>
      <w:tr w:rsidR="008C76E0" w:rsidRPr="00F72577" w14:paraId="3BED03B9" w14:textId="77777777" w:rsidTr="008C76E0">
        <w:trPr>
          <w:jc w:val="center"/>
        </w:trPr>
        <w:tc>
          <w:tcPr>
            <w:tcW w:w="3263" w:type="dxa"/>
            <w:vMerge/>
            <w:tcBorders>
              <w:left w:val="single" w:sz="4" w:space="0" w:color="auto"/>
            </w:tcBorders>
            <w:shd w:val="clear" w:color="auto" w:fill="FFFFFF"/>
          </w:tcPr>
          <w:p w14:paraId="231ADC85"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588A91E9"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կլինիկական հետազոտության կետը</w:t>
            </w:r>
            <w:r w:rsidRPr="00F72577">
              <w:rPr>
                <w:rFonts w:ascii="Sylfaen" w:hAnsi="Sylfaen"/>
                <w:b w:val="0"/>
                <w:sz w:val="24"/>
                <w:szCs w:val="24"/>
              </w:rPr>
              <w:t xml:space="preserve"> </w:t>
            </w:r>
            <w:r w:rsidRPr="00F72577">
              <w:rPr>
                <w:rStyle w:val="Bodytext1811pt"/>
                <w:rFonts w:ascii="Sylfaen" w:hAnsi="Sylfaen"/>
                <w:sz w:val="24"/>
                <w:szCs w:val="24"/>
              </w:rPr>
              <w:t>(վիճակագրություն)</w:t>
            </w:r>
          </w:p>
        </w:tc>
        <w:tc>
          <w:tcPr>
            <w:tcW w:w="2097" w:type="dxa"/>
            <w:gridSpan w:val="3"/>
            <w:tcBorders>
              <w:top w:val="single" w:sz="4" w:space="0" w:color="auto"/>
              <w:left w:val="single" w:sz="4" w:space="0" w:color="auto"/>
            </w:tcBorders>
            <w:shd w:val="clear" w:color="auto" w:fill="FFFFFF"/>
          </w:tcPr>
          <w:p w14:paraId="570C8F4E"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tcPr>
          <w:p w14:paraId="17E28040"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tcPr>
          <w:p w14:paraId="675ED3B7"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6B9F436F" w14:textId="77777777" w:rsidTr="008C76E0">
        <w:trPr>
          <w:jc w:val="center"/>
        </w:trPr>
        <w:tc>
          <w:tcPr>
            <w:tcW w:w="3263" w:type="dxa"/>
            <w:vMerge/>
            <w:tcBorders>
              <w:left w:val="single" w:sz="4" w:space="0" w:color="auto"/>
            </w:tcBorders>
            <w:shd w:val="clear" w:color="auto" w:fill="FFFFFF"/>
          </w:tcPr>
          <w:p w14:paraId="0EB4ADCC"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tcPr>
          <w:p w14:paraId="447C199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w:t>
            </w:r>
          </w:p>
        </w:tc>
        <w:tc>
          <w:tcPr>
            <w:tcW w:w="2097" w:type="dxa"/>
            <w:gridSpan w:val="3"/>
            <w:tcBorders>
              <w:top w:val="single" w:sz="4" w:space="0" w:color="auto"/>
              <w:left w:val="single" w:sz="4" w:space="0" w:color="auto"/>
            </w:tcBorders>
            <w:shd w:val="clear" w:color="auto" w:fill="FFFFFF"/>
          </w:tcPr>
          <w:p w14:paraId="67ED9AD4"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215997FA"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052806F3"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6BD7A430" w14:textId="77777777" w:rsidTr="008C76E0">
        <w:trPr>
          <w:jc w:val="center"/>
        </w:trPr>
        <w:tc>
          <w:tcPr>
            <w:tcW w:w="3263" w:type="dxa"/>
            <w:vMerge/>
            <w:tcBorders>
              <w:left w:val="single" w:sz="4" w:space="0" w:color="auto"/>
            </w:tcBorders>
            <w:shd w:val="clear" w:color="auto" w:fill="FFFFFF"/>
          </w:tcPr>
          <w:p w14:paraId="57EAEB24"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6A4B9A9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նշեք կլինիկական հետազոտության կետը</w:t>
            </w:r>
          </w:p>
        </w:tc>
        <w:tc>
          <w:tcPr>
            <w:tcW w:w="2097" w:type="dxa"/>
            <w:gridSpan w:val="3"/>
            <w:tcBorders>
              <w:top w:val="single" w:sz="4" w:space="0" w:color="auto"/>
              <w:left w:val="single" w:sz="4" w:space="0" w:color="auto"/>
            </w:tcBorders>
            <w:shd w:val="clear" w:color="auto" w:fill="FFFFFF"/>
            <w:vAlign w:val="bottom"/>
          </w:tcPr>
          <w:p w14:paraId="717797BB"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vAlign w:val="bottom"/>
          </w:tcPr>
          <w:p w14:paraId="1404D633"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vAlign w:val="bottom"/>
          </w:tcPr>
          <w:p w14:paraId="189A2059"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11F25940" w14:textId="77777777" w:rsidTr="008C76E0">
        <w:trPr>
          <w:jc w:val="center"/>
        </w:trPr>
        <w:tc>
          <w:tcPr>
            <w:tcW w:w="3263" w:type="dxa"/>
            <w:vMerge/>
            <w:tcBorders>
              <w:left w:val="single" w:sz="4" w:space="0" w:color="auto"/>
            </w:tcBorders>
            <w:shd w:val="clear" w:color="auto" w:fill="FFFFFF"/>
          </w:tcPr>
          <w:p w14:paraId="4AC2A592"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2856ADA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վիճակագրություն վարիացիաների վիճակագրություն</w:t>
            </w:r>
          </w:p>
        </w:tc>
        <w:tc>
          <w:tcPr>
            <w:tcW w:w="2097" w:type="dxa"/>
            <w:gridSpan w:val="3"/>
            <w:tcBorders>
              <w:top w:val="single" w:sz="4" w:space="0" w:color="auto"/>
              <w:left w:val="single" w:sz="4" w:space="0" w:color="auto"/>
            </w:tcBorders>
            <w:shd w:val="clear" w:color="auto" w:fill="FFFFFF"/>
          </w:tcPr>
          <w:p w14:paraId="2051A54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773F8AE8"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5BC0E3DC"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17840507" w14:textId="77777777" w:rsidTr="008C76E0">
        <w:trPr>
          <w:jc w:val="center"/>
        </w:trPr>
        <w:tc>
          <w:tcPr>
            <w:tcW w:w="3263" w:type="dxa"/>
            <w:vMerge w:val="restart"/>
            <w:tcBorders>
              <w:top w:val="single" w:sz="4" w:space="0" w:color="auto"/>
              <w:left w:val="single" w:sz="4" w:space="0" w:color="auto"/>
            </w:tcBorders>
            <w:shd w:val="clear" w:color="auto" w:fill="FFFFFF"/>
          </w:tcPr>
          <w:p w14:paraId="19569610"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Էֆեկտի գնահատումը համեմատության ժամանակ (ավելացրե՛ք փաստացի կատարված </w:t>
            </w:r>
            <w:r w:rsidRPr="00F72577">
              <w:rPr>
                <w:rStyle w:val="Bodytext1811pt"/>
                <w:rFonts w:ascii="Sylfaen" w:hAnsi="Sylfaen"/>
                <w:sz w:val="24"/>
                <w:szCs w:val="24"/>
              </w:rPr>
              <w:lastRenderedPageBreak/>
              <w:t xml:space="preserve">վիճակագրական վերլուծության նկարագրության համար անհրաժեշտ քանակով տողեր) </w:t>
            </w:r>
          </w:p>
        </w:tc>
        <w:tc>
          <w:tcPr>
            <w:tcW w:w="2503" w:type="dxa"/>
            <w:gridSpan w:val="3"/>
            <w:vMerge w:val="restart"/>
            <w:tcBorders>
              <w:top w:val="single" w:sz="4" w:space="0" w:color="auto"/>
              <w:left w:val="single" w:sz="4" w:space="0" w:color="auto"/>
            </w:tcBorders>
            <w:shd w:val="clear" w:color="auto" w:fill="FFFFFF"/>
          </w:tcPr>
          <w:p w14:paraId="29C7A4E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lastRenderedPageBreak/>
              <w:t>կլինիկական հետազոտության 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կետը</w:t>
            </w:r>
          </w:p>
        </w:tc>
        <w:tc>
          <w:tcPr>
            <w:tcW w:w="2718" w:type="dxa"/>
            <w:gridSpan w:val="4"/>
            <w:tcBorders>
              <w:top w:val="single" w:sz="4" w:space="0" w:color="auto"/>
              <w:left w:val="single" w:sz="4" w:space="0" w:color="auto"/>
            </w:tcBorders>
            <w:shd w:val="clear" w:color="auto" w:fill="FFFFFF"/>
          </w:tcPr>
          <w:p w14:paraId="6B0EEC0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3681401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 (համաձայն վերը բերված տերմինաբանության)</w:t>
            </w:r>
          </w:p>
        </w:tc>
      </w:tr>
      <w:tr w:rsidR="008C76E0" w:rsidRPr="00F72577" w14:paraId="4562FC13" w14:textId="77777777" w:rsidTr="008C76E0">
        <w:trPr>
          <w:jc w:val="center"/>
        </w:trPr>
        <w:tc>
          <w:tcPr>
            <w:tcW w:w="3263" w:type="dxa"/>
            <w:vMerge/>
            <w:tcBorders>
              <w:left w:val="single" w:sz="4" w:space="0" w:color="auto"/>
            </w:tcBorders>
            <w:shd w:val="clear" w:color="auto" w:fill="FFFFFF"/>
          </w:tcPr>
          <w:p w14:paraId="3EC19524"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3835761"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00BBDACA"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նշանակալիության չափանիշը (օրինակ՝ խմբերի միջ</w:t>
            </w:r>
            <w:r w:rsidR="00C54D75">
              <w:rPr>
                <w:rStyle w:val="Bodytext1811pt"/>
                <w:rFonts w:ascii="Sylfaen" w:hAnsi="Sylfaen"/>
                <w:sz w:val="24"/>
                <w:szCs w:val="24"/>
              </w:rPr>
              <w:t>և</w:t>
            </w:r>
            <w:r w:rsidRPr="00F72577">
              <w:rPr>
                <w:rStyle w:val="Bodytext1811pt"/>
                <w:rFonts w:ascii="Sylfaen" w:hAnsi="Sylfaen"/>
                <w:sz w:val="24"/>
                <w:szCs w:val="24"/>
              </w:rPr>
              <w:t xml:space="preserve"> տարբերությունը) </w:t>
            </w:r>
          </w:p>
        </w:tc>
        <w:tc>
          <w:tcPr>
            <w:tcW w:w="2861" w:type="dxa"/>
            <w:gridSpan w:val="3"/>
            <w:tcBorders>
              <w:top w:val="single" w:sz="4" w:space="0" w:color="auto"/>
              <w:left w:val="single" w:sz="4" w:space="0" w:color="auto"/>
              <w:right w:val="single" w:sz="4" w:space="0" w:color="auto"/>
            </w:tcBorders>
            <w:shd w:val="clear" w:color="auto" w:fill="FFFFFF"/>
          </w:tcPr>
          <w:p w14:paraId="41C533DA"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կետային գնահատումը</w:t>
            </w:r>
          </w:p>
        </w:tc>
      </w:tr>
      <w:tr w:rsidR="008C76E0" w:rsidRPr="00F72577" w14:paraId="08C58DF0" w14:textId="77777777" w:rsidTr="008C76E0">
        <w:trPr>
          <w:jc w:val="center"/>
        </w:trPr>
        <w:tc>
          <w:tcPr>
            <w:tcW w:w="3263" w:type="dxa"/>
            <w:vMerge/>
            <w:tcBorders>
              <w:left w:val="single" w:sz="4" w:space="0" w:color="auto"/>
            </w:tcBorders>
            <w:shd w:val="clear" w:color="auto" w:fill="FFFFFF"/>
          </w:tcPr>
          <w:p w14:paraId="016D4DF5"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59545671"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13850DD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 xml:space="preserve">վարիացիաների վիճակագրությունը (օրինակ՝ վստահելի միջակայքը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861" w:type="dxa"/>
            <w:gridSpan w:val="3"/>
            <w:tcBorders>
              <w:top w:val="single" w:sz="4" w:space="0" w:color="auto"/>
              <w:left w:val="single" w:sz="4" w:space="0" w:color="auto"/>
              <w:right w:val="single" w:sz="4" w:space="0" w:color="auto"/>
            </w:tcBorders>
            <w:shd w:val="clear" w:color="auto" w:fill="FFFFFF"/>
          </w:tcPr>
          <w:p w14:paraId="727189E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վարիատիվությունը</w:t>
            </w:r>
          </w:p>
        </w:tc>
      </w:tr>
      <w:tr w:rsidR="008C76E0" w:rsidRPr="00F72577" w14:paraId="51B39AF5" w14:textId="77777777" w:rsidTr="008C76E0">
        <w:trPr>
          <w:jc w:val="center"/>
        </w:trPr>
        <w:tc>
          <w:tcPr>
            <w:tcW w:w="3263" w:type="dxa"/>
            <w:vMerge/>
            <w:tcBorders>
              <w:left w:val="single" w:sz="4" w:space="0" w:color="auto"/>
            </w:tcBorders>
            <w:shd w:val="clear" w:color="auto" w:fill="FFFFFF"/>
          </w:tcPr>
          <w:p w14:paraId="1DE2EA42"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541B70D"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651835BA"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 xml:space="preserve">P արժեքը (նշե՛ք օգտագործված վիճակագրական մեթոդը, օրինակ՝ ANOVA) </w:t>
            </w:r>
          </w:p>
        </w:tc>
        <w:tc>
          <w:tcPr>
            <w:tcW w:w="2861" w:type="dxa"/>
            <w:gridSpan w:val="3"/>
            <w:tcBorders>
              <w:top w:val="single" w:sz="4" w:space="0" w:color="auto"/>
              <w:left w:val="single" w:sz="4" w:space="0" w:color="auto"/>
              <w:right w:val="single" w:sz="4" w:space="0" w:color="auto"/>
            </w:tcBorders>
            <w:shd w:val="clear" w:color="auto" w:fill="FFFFFF"/>
          </w:tcPr>
          <w:p w14:paraId="6CD20FC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15A1438B" w14:textId="77777777" w:rsidTr="008C76E0">
        <w:trPr>
          <w:jc w:val="center"/>
        </w:trPr>
        <w:tc>
          <w:tcPr>
            <w:tcW w:w="3263" w:type="dxa"/>
            <w:vMerge/>
            <w:tcBorders>
              <w:left w:val="single" w:sz="4" w:space="0" w:color="auto"/>
            </w:tcBorders>
            <w:shd w:val="clear" w:color="auto" w:fill="FFFFFF"/>
          </w:tcPr>
          <w:p w14:paraId="724C913A" w14:textId="77777777" w:rsidR="008C76E0" w:rsidRPr="00F72577" w:rsidRDefault="008C76E0" w:rsidP="008C76E0">
            <w:pPr>
              <w:spacing w:after="120" w:line="240" w:lineRule="auto"/>
              <w:rPr>
                <w:rFonts w:ascii="Sylfaen" w:hAnsi="Sylfaen"/>
                <w:sz w:val="24"/>
                <w:szCs w:val="24"/>
              </w:rPr>
            </w:pPr>
          </w:p>
        </w:tc>
        <w:tc>
          <w:tcPr>
            <w:tcW w:w="2503" w:type="dxa"/>
            <w:gridSpan w:val="3"/>
            <w:vMerge w:val="restart"/>
            <w:tcBorders>
              <w:top w:val="single" w:sz="4" w:space="0" w:color="auto"/>
              <w:left w:val="single" w:sz="4" w:space="0" w:color="auto"/>
            </w:tcBorders>
            <w:shd w:val="clear" w:color="auto" w:fill="FFFFFF"/>
          </w:tcPr>
          <w:p w14:paraId="7E6C514E"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նշեք կլինի</w:t>
            </w:r>
            <w:r w:rsidRPr="008C76E0">
              <w:rPr>
                <w:rFonts w:ascii="Sylfaen" w:hAnsi="Sylfaen"/>
                <w:b w:val="0"/>
                <w:sz w:val="24"/>
                <w:szCs w:val="24"/>
                <w:lang w:val="hy-AM"/>
              </w:rPr>
              <w:t>կ</w:t>
            </w:r>
            <w:r w:rsidRPr="00F72577">
              <w:rPr>
                <w:rStyle w:val="Bodytext1811pt"/>
                <w:rFonts w:ascii="Sylfaen" w:hAnsi="Sylfaen"/>
                <w:sz w:val="24"/>
                <w:szCs w:val="24"/>
              </w:rPr>
              <w:t>ական</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հետազոտության </w:t>
            </w:r>
            <w:r w:rsidRPr="008C76E0">
              <w:rPr>
                <w:rFonts w:ascii="Sylfaen" w:hAnsi="Sylfaen"/>
                <w:b w:val="0"/>
                <w:sz w:val="24"/>
                <w:szCs w:val="24"/>
                <w:lang w:val="hy-AM"/>
              </w:rPr>
              <w:t>կետը</w:t>
            </w:r>
          </w:p>
        </w:tc>
        <w:tc>
          <w:tcPr>
            <w:tcW w:w="2718" w:type="dxa"/>
            <w:gridSpan w:val="4"/>
            <w:tcBorders>
              <w:top w:val="single" w:sz="4" w:space="0" w:color="auto"/>
              <w:left w:val="single" w:sz="4" w:space="0" w:color="auto"/>
            </w:tcBorders>
            <w:shd w:val="clear" w:color="auto" w:fill="FFFFFF"/>
            <w:vAlign w:val="center"/>
          </w:tcPr>
          <w:p w14:paraId="1C782BA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492E709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w:t>
            </w:r>
          </w:p>
        </w:tc>
      </w:tr>
      <w:tr w:rsidR="008C76E0" w:rsidRPr="00F72577" w14:paraId="3A82CD4C" w14:textId="77777777" w:rsidTr="008C76E0">
        <w:trPr>
          <w:jc w:val="center"/>
        </w:trPr>
        <w:tc>
          <w:tcPr>
            <w:tcW w:w="3263" w:type="dxa"/>
            <w:vMerge/>
            <w:tcBorders>
              <w:left w:val="single" w:sz="4" w:space="0" w:color="auto"/>
            </w:tcBorders>
            <w:shd w:val="clear" w:color="auto" w:fill="FFFFFF"/>
          </w:tcPr>
          <w:p w14:paraId="66A8EF4E"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79F16BEF"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3DC69F8B"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նշանակալիության չափանիշը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07E36AB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կետային գնահատումը</w:t>
            </w:r>
          </w:p>
        </w:tc>
      </w:tr>
      <w:tr w:rsidR="008C76E0" w:rsidRPr="00F72577" w14:paraId="57ADCBEC" w14:textId="77777777" w:rsidTr="008C76E0">
        <w:trPr>
          <w:jc w:val="center"/>
        </w:trPr>
        <w:tc>
          <w:tcPr>
            <w:tcW w:w="3263" w:type="dxa"/>
            <w:vMerge/>
            <w:tcBorders>
              <w:left w:val="single" w:sz="4" w:space="0" w:color="auto"/>
            </w:tcBorders>
            <w:shd w:val="clear" w:color="auto" w:fill="FFFFFF"/>
          </w:tcPr>
          <w:p w14:paraId="470AA105"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7DD0106F"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3213677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w:t>
            </w:r>
          </w:p>
        </w:tc>
        <w:tc>
          <w:tcPr>
            <w:tcW w:w="2861" w:type="dxa"/>
            <w:gridSpan w:val="3"/>
            <w:tcBorders>
              <w:top w:val="single" w:sz="4" w:space="0" w:color="auto"/>
              <w:left w:val="single" w:sz="4" w:space="0" w:color="auto"/>
              <w:right w:val="single" w:sz="4" w:space="0" w:color="auto"/>
            </w:tcBorders>
            <w:shd w:val="clear" w:color="auto" w:fill="FFFFFF"/>
          </w:tcPr>
          <w:p w14:paraId="2D7409E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վարիատիվություն</w:t>
            </w:r>
          </w:p>
        </w:tc>
      </w:tr>
      <w:tr w:rsidR="008C76E0" w:rsidRPr="00F72577" w14:paraId="6E650303" w14:textId="77777777" w:rsidTr="008C76E0">
        <w:trPr>
          <w:jc w:val="center"/>
        </w:trPr>
        <w:tc>
          <w:tcPr>
            <w:tcW w:w="3263" w:type="dxa"/>
            <w:vMerge w:val="restart"/>
            <w:tcBorders>
              <w:top w:val="single" w:sz="4" w:space="0" w:color="auto"/>
              <w:left w:val="single" w:sz="4" w:space="0" w:color="auto"/>
            </w:tcBorders>
            <w:shd w:val="clear" w:color="auto" w:fill="FFFFFF"/>
          </w:tcPr>
          <w:p w14:paraId="4174FC1E"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tcPr>
          <w:p w14:paraId="3FF8ED81"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նշե՛ք կլինիկական հետազոտության կետը՝ օգտվելով վեր</w:t>
            </w:r>
            <w:r w:rsidR="00C54D75">
              <w:rPr>
                <w:rStyle w:val="Bodytext1811pt"/>
                <w:rFonts w:ascii="Sylfaen" w:hAnsi="Sylfaen"/>
                <w:sz w:val="24"/>
                <w:szCs w:val="24"/>
              </w:rPr>
              <w:t>և</w:t>
            </w:r>
            <w:r w:rsidRPr="00F72577">
              <w:rPr>
                <w:rStyle w:val="Bodytext1811pt"/>
                <w:rFonts w:ascii="Sylfaen" w:hAnsi="Sylfaen"/>
                <w:sz w:val="24"/>
                <w:szCs w:val="24"/>
              </w:rPr>
              <w:t xml:space="preserve">ում՝ «Կլինիկական հետազոտության </w:t>
            </w:r>
            <w:r w:rsidR="00C54D75">
              <w:rPr>
                <w:rStyle w:val="Bodytext1811pt"/>
                <w:rFonts w:ascii="Sylfaen" w:hAnsi="Sylfaen"/>
                <w:sz w:val="24"/>
                <w:szCs w:val="24"/>
              </w:rPr>
              <w:t>և</w:t>
            </w:r>
            <w:r w:rsidRPr="00F72577">
              <w:rPr>
                <w:rStyle w:val="Bodytext1811pt"/>
                <w:rFonts w:ascii="Sylfaen" w:hAnsi="Sylfaen"/>
                <w:sz w:val="24"/>
                <w:szCs w:val="24"/>
              </w:rPr>
              <w:t xml:space="preserve"> սահմանման կետերը» բաժնում նշված տերմինաբանութ-յունից</w:t>
            </w:r>
          </w:p>
        </w:tc>
        <w:tc>
          <w:tcPr>
            <w:tcW w:w="2718" w:type="dxa"/>
            <w:gridSpan w:val="4"/>
            <w:tcBorders>
              <w:top w:val="single" w:sz="4" w:space="0" w:color="auto"/>
              <w:left w:val="single" w:sz="4" w:space="0" w:color="auto"/>
            </w:tcBorders>
            <w:shd w:val="clear" w:color="auto" w:fill="FFFFFF"/>
          </w:tcPr>
          <w:p w14:paraId="4BBC493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c>
          <w:tcPr>
            <w:tcW w:w="2861" w:type="dxa"/>
            <w:gridSpan w:val="3"/>
            <w:tcBorders>
              <w:top w:val="single" w:sz="4" w:space="0" w:color="auto"/>
              <w:left w:val="single" w:sz="4" w:space="0" w:color="auto"/>
              <w:right w:val="single" w:sz="4" w:space="0" w:color="auto"/>
            </w:tcBorders>
            <w:shd w:val="clear" w:color="auto" w:fill="FFFFFF"/>
          </w:tcPr>
          <w:p w14:paraId="1151137B"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35C1DD60" w14:textId="77777777" w:rsidTr="008C76E0">
        <w:trPr>
          <w:jc w:val="center"/>
        </w:trPr>
        <w:tc>
          <w:tcPr>
            <w:tcW w:w="3263" w:type="dxa"/>
            <w:vMerge/>
            <w:tcBorders>
              <w:left w:val="single" w:sz="4" w:space="0" w:color="auto"/>
            </w:tcBorders>
            <w:shd w:val="clear" w:color="auto" w:fill="FFFFFF"/>
          </w:tcPr>
          <w:p w14:paraId="3431862C" w14:textId="77777777" w:rsidR="008C76E0" w:rsidRPr="00F72577" w:rsidRDefault="008C76E0" w:rsidP="008C76E0">
            <w:pPr>
              <w:spacing w:after="120" w:line="240" w:lineRule="auto"/>
              <w:rPr>
                <w:rFonts w:ascii="Sylfaen" w:hAnsi="Sylfaen"/>
                <w:sz w:val="24"/>
                <w:szCs w:val="24"/>
              </w:rPr>
            </w:pPr>
          </w:p>
        </w:tc>
        <w:tc>
          <w:tcPr>
            <w:tcW w:w="2503" w:type="dxa"/>
            <w:gridSpan w:val="3"/>
            <w:vMerge w:val="restart"/>
            <w:tcBorders>
              <w:top w:val="single" w:sz="4" w:space="0" w:color="auto"/>
              <w:left w:val="single" w:sz="4" w:space="0" w:color="auto"/>
            </w:tcBorders>
            <w:shd w:val="clear" w:color="auto" w:fill="FFFFFF"/>
          </w:tcPr>
          <w:p w14:paraId="6AF51807"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նշեք</w:t>
            </w:r>
          </w:p>
        </w:tc>
        <w:tc>
          <w:tcPr>
            <w:tcW w:w="2718" w:type="dxa"/>
            <w:gridSpan w:val="4"/>
            <w:tcBorders>
              <w:top w:val="single" w:sz="4" w:space="0" w:color="auto"/>
              <w:left w:val="single" w:sz="4" w:space="0" w:color="auto"/>
            </w:tcBorders>
            <w:shd w:val="clear" w:color="auto" w:fill="FFFFFF"/>
            <w:vAlign w:val="center"/>
          </w:tcPr>
          <w:p w14:paraId="57A7C0C6"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599B4C1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w:t>
            </w:r>
          </w:p>
        </w:tc>
      </w:tr>
      <w:tr w:rsidR="008C76E0" w:rsidRPr="00F72577" w14:paraId="32D4F576" w14:textId="77777777" w:rsidTr="008C76E0">
        <w:trPr>
          <w:jc w:val="center"/>
        </w:trPr>
        <w:tc>
          <w:tcPr>
            <w:tcW w:w="3263" w:type="dxa"/>
            <w:vMerge/>
            <w:tcBorders>
              <w:left w:val="single" w:sz="4" w:space="0" w:color="auto"/>
            </w:tcBorders>
            <w:shd w:val="clear" w:color="auto" w:fill="FFFFFF"/>
          </w:tcPr>
          <w:p w14:paraId="6956845D"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3720D17B"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01113288"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նշանակելիության չափանիշը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0BCC2C87"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նշանակելիության չափանիշը</w:t>
            </w:r>
          </w:p>
        </w:tc>
      </w:tr>
      <w:tr w:rsidR="008C76E0" w:rsidRPr="00F72577" w14:paraId="37DA99AE" w14:textId="77777777" w:rsidTr="008C76E0">
        <w:trPr>
          <w:jc w:val="center"/>
        </w:trPr>
        <w:tc>
          <w:tcPr>
            <w:tcW w:w="3263" w:type="dxa"/>
            <w:vMerge/>
            <w:tcBorders>
              <w:left w:val="single" w:sz="4" w:space="0" w:color="auto"/>
            </w:tcBorders>
            <w:shd w:val="clear" w:color="auto" w:fill="FFFFFF"/>
          </w:tcPr>
          <w:p w14:paraId="2ED97A9C"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6841807C"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33EAF405"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վիճակագրությունը</w:t>
            </w:r>
          </w:p>
        </w:tc>
        <w:tc>
          <w:tcPr>
            <w:tcW w:w="2861" w:type="dxa"/>
            <w:gridSpan w:val="3"/>
            <w:tcBorders>
              <w:top w:val="single" w:sz="4" w:space="0" w:color="auto"/>
              <w:left w:val="single" w:sz="4" w:space="0" w:color="auto"/>
              <w:right w:val="single" w:sz="4" w:space="0" w:color="auto"/>
            </w:tcBorders>
            <w:shd w:val="clear" w:color="auto" w:fill="FFFFFF"/>
          </w:tcPr>
          <w:p w14:paraId="57A0333D"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վիճակագրությունը</w:t>
            </w:r>
          </w:p>
        </w:tc>
      </w:tr>
      <w:tr w:rsidR="008C76E0" w:rsidRPr="00F72577" w14:paraId="00953830" w14:textId="77777777" w:rsidTr="008C76E0">
        <w:trPr>
          <w:jc w:val="center"/>
        </w:trPr>
        <w:tc>
          <w:tcPr>
            <w:tcW w:w="3263" w:type="dxa"/>
            <w:vMerge/>
            <w:tcBorders>
              <w:left w:val="single" w:sz="4" w:space="0" w:color="auto"/>
            </w:tcBorders>
            <w:shd w:val="clear" w:color="auto" w:fill="FFFFFF"/>
          </w:tcPr>
          <w:p w14:paraId="58467EFA"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38223B3"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52A04C9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c>
          <w:tcPr>
            <w:tcW w:w="2861" w:type="dxa"/>
            <w:gridSpan w:val="3"/>
            <w:tcBorders>
              <w:top w:val="single" w:sz="4" w:space="0" w:color="auto"/>
              <w:left w:val="single" w:sz="4" w:space="0" w:color="auto"/>
              <w:right w:val="single" w:sz="4" w:space="0" w:color="auto"/>
            </w:tcBorders>
            <w:shd w:val="clear" w:color="auto" w:fill="FFFFFF"/>
          </w:tcPr>
          <w:p w14:paraId="6AA6158A" w14:textId="77777777" w:rsidR="008C76E0" w:rsidRPr="00C73AC5"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547C64F9" w14:textId="77777777" w:rsidTr="008C76E0">
        <w:trPr>
          <w:jc w:val="center"/>
        </w:trPr>
        <w:tc>
          <w:tcPr>
            <w:tcW w:w="3263" w:type="dxa"/>
            <w:tcBorders>
              <w:top w:val="single" w:sz="4" w:space="0" w:color="auto"/>
            </w:tcBorders>
            <w:shd w:val="clear" w:color="auto" w:fill="FFFFFF"/>
          </w:tcPr>
          <w:p w14:paraId="77992FDF" w14:textId="77777777" w:rsidR="008C76E0" w:rsidRPr="00F72577" w:rsidRDefault="008C76E0" w:rsidP="008C76E0">
            <w:pPr>
              <w:spacing w:after="120" w:line="240" w:lineRule="auto"/>
              <w:rPr>
                <w:rFonts w:ascii="Sylfaen" w:hAnsi="Sylfaen"/>
                <w:sz w:val="24"/>
                <w:szCs w:val="24"/>
              </w:rPr>
            </w:pPr>
          </w:p>
        </w:tc>
        <w:tc>
          <w:tcPr>
            <w:tcW w:w="8082" w:type="dxa"/>
            <w:gridSpan w:val="10"/>
            <w:tcBorders>
              <w:top w:val="single" w:sz="4" w:space="0" w:color="auto"/>
              <w:left w:val="single" w:sz="4" w:space="0" w:color="auto"/>
              <w:right w:val="single" w:sz="4" w:space="0" w:color="auto"/>
            </w:tcBorders>
            <w:shd w:val="clear" w:color="auto" w:fill="FFFFFF"/>
            <w:vAlign w:val="center"/>
          </w:tcPr>
          <w:p w14:paraId="4ACE852F" w14:textId="77777777" w:rsidR="008C76E0" w:rsidRDefault="008C76E0" w:rsidP="008C76E0">
            <w:pPr>
              <w:pStyle w:val="Bodytext180"/>
              <w:shd w:val="clear" w:color="auto" w:fill="auto"/>
              <w:spacing w:before="0" w:after="120" w:line="240" w:lineRule="auto"/>
              <w:ind w:left="140" w:firstLine="0"/>
              <w:rPr>
                <w:rStyle w:val="Bodytext1811pt"/>
                <w:rFonts w:ascii="Sylfaen" w:hAnsi="Sylfaen"/>
                <w:sz w:val="24"/>
                <w:szCs w:val="24"/>
                <w:lang w:val="en-US"/>
              </w:rPr>
            </w:pPr>
            <w:r w:rsidRPr="00F72577">
              <w:rPr>
                <w:rStyle w:val="Bodytext1811pt"/>
                <w:rFonts w:ascii="Sylfaen" w:hAnsi="Sylfaen"/>
                <w:sz w:val="24"/>
                <w:szCs w:val="24"/>
              </w:rPr>
              <w:t>կլինիկական հետազոտության կետը</w:t>
            </w:r>
          </w:p>
          <w:p w14:paraId="6FD83529" w14:textId="77777777" w:rsidR="008C76E0" w:rsidRPr="0020662E" w:rsidRDefault="008C76E0" w:rsidP="008C76E0">
            <w:pPr>
              <w:pStyle w:val="Bodytext180"/>
              <w:shd w:val="clear" w:color="auto" w:fill="auto"/>
              <w:spacing w:before="0" w:after="120" w:line="240" w:lineRule="auto"/>
              <w:ind w:left="140" w:firstLine="0"/>
              <w:rPr>
                <w:rFonts w:ascii="Sylfaen" w:hAnsi="Sylfaen"/>
                <w:b w:val="0"/>
                <w:sz w:val="24"/>
                <w:szCs w:val="24"/>
              </w:rPr>
            </w:pPr>
          </w:p>
        </w:tc>
      </w:tr>
      <w:tr w:rsidR="008C76E0" w:rsidRPr="00F72577" w14:paraId="6B2B1992" w14:textId="77777777" w:rsidTr="008C76E0">
        <w:trPr>
          <w:jc w:val="center"/>
        </w:trPr>
        <w:tc>
          <w:tcPr>
            <w:tcW w:w="3263" w:type="dxa"/>
            <w:tcBorders>
              <w:top w:val="single" w:sz="4" w:space="0" w:color="auto"/>
            </w:tcBorders>
            <w:shd w:val="clear" w:color="auto" w:fill="FFFFFF"/>
          </w:tcPr>
          <w:p w14:paraId="433A80B2"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lastRenderedPageBreak/>
              <w:t>Ծանոթագրություններ</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3667F725"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կամայական տեքստը</w:t>
            </w:r>
          </w:p>
          <w:p w14:paraId="4D810F0C"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(ի թիվս այլոց դիտարկե՛ք հետ</w:t>
            </w:r>
            <w:r w:rsidR="00C54D75">
              <w:rPr>
                <w:rStyle w:val="Bodytext1811pt"/>
                <w:rFonts w:ascii="Sylfaen" w:hAnsi="Sylfaen"/>
                <w:sz w:val="24"/>
                <w:szCs w:val="24"/>
              </w:rPr>
              <w:t>և</w:t>
            </w:r>
            <w:r w:rsidRPr="00F72577">
              <w:rPr>
                <w:rStyle w:val="Bodytext1811pt"/>
                <w:rFonts w:ascii="Sylfaen" w:hAnsi="Sylfaen"/>
                <w:sz w:val="24"/>
                <w:szCs w:val="24"/>
              </w:rPr>
              <w:t>յալ տեղեկատվությունը՝ հետազոտությունից դուրս գալու պատճառները վերլուծության խիստ կար</w:t>
            </w:r>
            <w:r w:rsidR="00C54D75">
              <w:rPr>
                <w:rStyle w:val="Bodytext1811pt"/>
                <w:rFonts w:ascii="Sylfaen" w:hAnsi="Sylfaen"/>
                <w:sz w:val="24"/>
                <w:szCs w:val="24"/>
              </w:rPr>
              <w:t>և</w:t>
            </w:r>
            <w:r w:rsidRPr="00F72577">
              <w:rPr>
                <w:rStyle w:val="Bodytext1811pt"/>
                <w:rFonts w:ascii="Sylfaen" w:hAnsi="Sylfaen"/>
                <w:sz w:val="24"/>
                <w:szCs w:val="24"/>
              </w:rPr>
              <w:t>որ արդյունքները)</w:t>
            </w:r>
          </w:p>
        </w:tc>
      </w:tr>
      <w:tr w:rsidR="008C76E0" w:rsidRPr="00F72577" w14:paraId="533E028E" w14:textId="77777777" w:rsidTr="008C76E0">
        <w:trPr>
          <w:jc w:val="center"/>
        </w:trPr>
        <w:tc>
          <w:tcPr>
            <w:tcW w:w="3263" w:type="dxa"/>
            <w:tcBorders>
              <w:top w:val="single" w:sz="4" w:space="0" w:color="auto"/>
            </w:tcBorders>
            <w:shd w:val="clear" w:color="auto" w:fill="FFFFFF"/>
          </w:tcPr>
          <w:p w14:paraId="6F80EA8D" w14:textId="77777777" w:rsidR="008C76E0" w:rsidRPr="00F72577" w:rsidRDefault="008C76E0" w:rsidP="008C76E0">
            <w:pPr>
              <w:pStyle w:val="Bodytext180"/>
              <w:shd w:val="clear" w:color="auto" w:fill="auto"/>
              <w:spacing w:before="0" w:after="120" w:line="240" w:lineRule="auto"/>
              <w:ind w:left="99" w:firstLine="0"/>
              <w:rPr>
                <w:rFonts w:ascii="Sylfaen" w:hAnsi="Sylfaen"/>
                <w:b w:val="0"/>
                <w:sz w:val="24"/>
                <w:szCs w:val="24"/>
              </w:rPr>
            </w:pPr>
            <w:r w:rsidRPr="00F72577">
              <w:rPr>
                <w:rStyle w:val="Bodytext1811pt"/>
                <w:rFonts w:ascii="Sylfaen" w:hAnsi="Sylfaen"/>
                <w:sz w:val="24"/>
                <w:szCs w:val="24"/>
              </w:rPr>
              <w:t>Վերլուծության նկարագրությունը</w:t>
            </w:r>
          </w:p>
        </w:tc>
        <w:tc>
          <w:tcPr>
            <w:tcW w:w="8082" w:type="dxa"/>
            <w:gridSpan w:val="10"/>
            <w:tcBorders>
              <w:top w:val="single" w:sz="4" w:space="0" w:color="auto"/>
              <w:left w:val="single" w:sz="4" w:space="0" w:color="auto"/>
              <w:right w:val="single" w:sz="4" w:space="0" w:color="auto"/>
            </w:tcBorders>
            <w:shd w:val="clear" w:color="auto" w:fill="FFFFFF"/>
          </w:tcPr>
          <w:p w14:paraId="3FB30E72"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լրացուցիչ վերլուծությունը համակցված առաջնային վերլուծություն այլը նշե՛լ (նա</w:t>
            </w:r>
            <w:r w:rsidR="00C54D75">
              <w:rPr>
                <w:rStyle w:val="Bodytext1811pt"/>
                <w:rFonts w:ascii="Sylfaen" w:hAnsi="Sylfaen"/>
                <w:sz w:val="24"/>
                <w:szCs w:val="24"/>
              </w:rPr>
              <w:t>և</w:t>
            </w:r>
            <w:r w:rsidRPr="00F72577">
              <w:rPr>
                <w:rStyle w:val="Bodytext1811pt"/>
                <w:rFonts w:ascii="Sylfaen" w:hAnsi="Sylfaen"/>
                <w:sz w:val="24"/>
                <w:szCs w:val="24"/>
              </w:rPr>
              <w:t xml:space="preserve"> նշե՛լ, եթե վերլուծության անցկացումը ծրագրված է եղել)</w:t>
            </w:r>
          </w:p>
        </w:tc>
      </w:tr>
      <w:tr w:rsidR="008C76E0" w:rsidRPr="00F72577" w14:paraId="5455D692" w14:textId="77777777" w:rsidTr="008C76E0">
        <w:trPr>
          <w:jc w:val="center"/>
        </w:trPr>
        <w:tc>
          <w:tcPr>
            <w:tcW w:w="3263" w:type="dxa"/>
            <w:tcBorders>
              <w:top w:val="single" w:sz="4" w:space="0" w:color="auto"/>
            </w:tcBorders>
            <w:shd w:val="clear" w:color="auto" w:fill="FFFFFF"/>
            <w:vAlign w:val="bottom"/>
          </w:tcPr>
          <w:p w14:paraId="0CF4E4F2" w14:textId="77777777" w:rsidR="008C76E0" w:rsidRPr="008C76E0" w:rsidRDefault="008C76E0" w:rsidP="008C76E0">
            <w:pPr>
              <w:pStyle w:val="Bodytext180"/>
              <w:shd w:val="clear" w:color="auto" w:fill="auto"/>
              <w:spacing w:before="0" w:after="120" w:line="240" w:lineRule="auto"/>
              <w:ind w:left="99" w:firstLine="0"/>
              <w:rPr>
                <w:rFonts w:ascii="Sylfaen" w:hAnsi="Sylfaen"/>
                <w:b w:val="0"/>
                <w:sz w:val="24"/>
                <w:szCs w:val="24"/>
                <w:lang w:val="hy-AM"/>
              </w:rPr>
            </w:pPr>
            <w:r w:rsidRPr="00F72577">
              <w:rPr>
                <w:rStyle w:val="Bodytext1811pt"/>
                <w:rFonts w:ascii="Sylfaen" w:hAnsi="Sylfaen"/>
                <w:sz w:val="24"/>
                <w:szCs w:val="24"/>
              </w:rPr>
              <w:t>նշված բաժինները կրկնե՛ք յուրաքանչյուր ակտուալ վերլուծության առնչությամբ</w:t>
            </w:r>
          </w:p>
        </w:tc>
        <w:tc>
          <w:tcPr>
            <w:tcW w:w="8082" w:type="dxa"/>
            <w:gridSpan w:val="10"/>
            <w:tcBorders>
              <w:top w:val="single" w:sz="4" w:space="0" w:color="auto"/>
              <w:left w:val="single" w:sz="4" w:space="0" w:color="auto"/>
              <w:right w:val="single" w:sz="4" w:space="0" w:color="auto"/>
            </w:tcBorders>
            <w:shd w:val="clear" w:color="auto" w:fill="FFFFFF"/>
          </w:tcPr>
          <w:p w14:paraId="29FFC5D9" w14:textId="77777777" w:rsidR="008C76E0" w:rsidRPr="00F72577" w:rsidRDefault="008C76E0" w:rsidP="008C76E0">
            <w:pPr>
              <w:spacing w:after="120" w:line="240" w:lineRule="auto"/>
              <w:rPr>
                <w:rFonts w:ascii="Sylfaen" w:hAnsi="Sylfaen"/>
                <w:sz w:val="24"/>
                <w:szCs w:val="24"/>
              </w:rPr>
            </w:pPr>
          </w:p>
        </w:tc>
      </w:tr>
      <w:tr w:rsidR="008C76E0" w:rsidRPr="00F72577" w14:paraId="5E6F258C" w14:textId="77777777" w:rsidTr="008C76E0">
        <w:trPr>
          <w:jc w:val="center"/>
        </w:trPr>
        <w:tc>
          <w:tcPr>
            <w:tcW w:w="11345" w:type="dxa"/>
            <w:gridSpan w:val="11"/>
            <w:tcBorders>
              <w:top w:val="single" w:sz="4" w:space="0" w:color="auto"/>
            </w:tcBorders>
            <w:shd w:val="clear" w:color="auto" w:fill="FFFFFF"/>
            <w:vAlign w:val="bottom"/>
          </w:tcPr>
          <w:p w14:paraId="7C15767A"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F72577">
              <w:rPr>
                <w:rStyle w:val="Bodytext295pt"/>
                <w:rFonts w:ascii="Sylfaen" w:hAnsi="Sylfaen"/>
                <w:spacing w:val="0"/>
                <w:sz w:val="24"/>
                <w:szCs w:val="24"/>
              </w:rPr>
              <w:t>3.5. Կլինիկական հետազոտությունները բնակչության հատուկ խմբերի մոտ։</w:t>
            </w:r>
          </w:p>
        </w:tc>
      </w:tr>
      <w:tr w:rsidR="008C76E0" w:rsidRPr="00F72577" w14:paraId="7FB15003" w14:textId="77777777" w:rsidTr="008C76E0">
        <w:trPr>
          <w:jc w:val="center"/>
        </w:trPr>
        <w:tc>
          <w:tcPr>
            <w:tcW w:w="3387" w:type="dxa"/>
            <w:gridSpan w:val="2"/>
            <w:tcBorders>
              <w:top w:val="single" w:sz="4" w:space="0" w:color="auto"/>
              <w:left w:val="single" w:sz="4" w:space="0" w:color="auto"/>
            </w:tcBorders>
            <w:shd w:val="clear" w:color="auto" w:fill="FFFFFF"/>
          </w:tcPr>
          <w:p w14:paraId="6900562E" w14:textId="77777777" w:rsidR="008C76E0" w:rsidRPr="00F72577" w:rsidRDefault="008C76E0" w:rsidP="008C76E0">
            <w:pPr>
              <w:spacing w:after="120" w:line="240" w:lineRule="auto"/>
              <w:rPr>
                <w:rFonts w:ascii="Sylfaen" w:hAnsi="Sylfaen"/>
                <w:sz w:val="24"/>
                <w:szCs w:val="24"/>
              </w:rPr>
            </w:pPr>
          </w:p>
        </w:tc>
        <w:tc>
          <w:tcPr>
            <w:tcW w:w="2767" w:type="dxa"/>
            <w:gridSpan w:val="3"/>
            <w:tcBorders>
              <w:top w:val="single" w:sz="4" w:space="0" w:color="auto"/>
              <w:left w:val="single" w:sz="4" w:space="0" w:color="auto"/>
            </w:tcBorders>
            <w:shd w:val="clear" w:color="auto" w:fill="FFFFFF"/>
            <w:vAlign w:val="bottom"/>
          </w:tcPr>
          <w:p w14:paraId="4CF7193F"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65-74 տարիքային խումբ (տարեց պացիենտների քանակը (ընդհանուր քանակը))</w:t>
            </w:r>
          </w:p>
        </w:tc>
        <w:tc>
          <w:tcPr>
            <w:tcW w:w="2640" w:type="dxa"/>
            <w:gridSpan w:val="4"/>
            <w:tcBorders>
              <w:top w:val="single" w:sz="4" w:space="0" w:color="auto"/>
              <w:left w:val="single" w:sz="4" w:space="0" w:color="auto"/>
            </w:tcBorders>
            <w:shd w:val="clear" w:color="auto" w:fill="FFFFFF"/>
            <w:vAlign w:val="bottom"/>
          </w:tcPr>
          <w:p w14:paraId="3E906D5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75-84 տարիքային խումբ (տարեց պացիենտների քանակը (ընդհանուր քանակը))</w:t>
            </w:r>
          </w:p>
        </w:tc>
        <w:tc>
          <w:tcPr>
            <w:tcW w:w="2551" w:type="dxa"/>
            <w:gridSpan w:val="2"/>
            <w:tcBorders>
              <w:top w:val="single" w:sz="4" w:space="0" w:color="auto"/>
              <w:left w:val="single" w:sz="4" w:space="0" w:color="auto"/>
              <w:right w:val="single" w:sz="4" w:space="0" w:color="auto"/>
            </w:tcBorders>
            <w:shd w:val="clear" w:color="auto" w:fill="FFFFFF"/>
          </w:tcPr>
          <w:p w14:paraId="45C05CB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85+ տարիքային խումբ (տարեց պացիենտների քանակը (ընդհանուր քանակը))</w:t>
            </w:r>
          </w:p>
        </w:tc>
      </w:tr>
      <w:tr w:rsidR="008C76E0" w:rsidRPr="00F72577" w14:paraId="140FFE14" w14:textId="77777777" w:rsidTr="008C76E0">
        <w:trPr>
          <w:jc w:val="center"/>
        </w:trPr>
        <w:tc>
          <w:tcPr>
            <w:tcW w:w="3387" w:type="dxa"/>
            <w:gridSpan w:val="2"/>
            <w:tcBorders>
              <w:top w:val="single" w:sz="4" w:space="0" w:color="auto"/>
              <w:left w:val="single" w:sz="4" w:space="0" w:color="auto"/>
            </w:tcBorders>
            <w:shd w:val="clear" w:color="auto" w:fill="FFFFFF"/>
            <w:vAlign w:val="bottom"/>
          </w:tcPr>
          <w:p w14:paraId="50576F2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Վերահսկվող հետազոտություններ</w:t>
            </w:r>
          </w:p>
        </w:tc>
        <w:tc>
          <w:tcPr>
            <w:tcW w:w="2767" w:type="dxa"/>
            <w:gridSpan w:val="3"/>
            <w:tcBorders>
              <w:top w:val="single" w:sz="4" w:space="0" w:color="auto"/>
              <w:left w:val="single" w:sz="4" w:space="0" w:color="auto"/>
            </w:tcBorders>
            <w:shd w:val="clear" w:color="auto" w:fill="FFFFFF"/>
          </w:tcPr>
          <w:p w14:paraId="454F68DB" w14:textId="77777777" w:rsidR="008C76E0" w:rsidRPr="00F72577" w:rsidRDefault="008C76E0" w:rsidP="008C76E0">
            <w:pPr>
              <w:spacing w:after="120" w:line="240" w:lineRule="auto"/>
              <w:rPr>
                <w:rFonts w:ascii="Sylfaen" w:hAnsi="Sylfaen"/>
                <w:sz w:val="24"/>
                <w:szCs w:val="24"/>
              </w:rPr>
            </w:pPr>
          </w:p>
        </w:tc>
        <w:tc>
          <w:tcPr>
            <w:tcW w:w="2640" w:type="dxa"/>
            <w:gridSpan w:val="4"/>
            <w:tcBorders>
              <w:top w:val="single" w:sz="4" w:space="0" w:color="auto"/>
              <w:left w:val="single" w:sz="4" w:space="0" w:color="auto"/>
            </w:tcBorders>
            <w:shd w:val="clear" w:color="auto" w:fill="FFFFFF"/>
          </w:tcPr>
          <w:p w14:paraId="12767CEB" w14:textId="77777777" w:rsidR="008C76E0" w:rsidRPr="00F72577" w:rsidRDefault="008C76E0" w:rsidP="008C76E0">
            <w:pPr>
              <w:spacing w:after="120" w:line="240" w:lineRule="auto"/>
              <w:rPr>
                <w:rFonts w:ascii="Sylfaen" w:hAnsi="Sylfaen"/>
                <w:sz w:val="24"/>
                <w:szCs w:val="24"/>
              </w:rPr>
            </w:pPr>
          </w:p>
        </w:tc>
        <w:tc>
          <w:tcPr>
            <w:tcW w:w="2551" w:type="dxa"/>
            <w:gridSpan w:val="2"/>
            <w:tcBorders>
              <w:top w:val="single" w:sz="4" w:space="0" w:color="auto"/>
              <w:left w:val="single" w:sz="4" w:space="0" w:color="auto"/>
              <w:right w:val="single" w:sz="4" w:space="0" w:color="auto"/>
            </w:tcBorders>
            <w:shd w:val="clear" w:color="auto" w:fill="FFFFFF"/>
          </w:tcPr>
          <w:p w14:paraId="66A2F14D" w14:textId="77777777" w:rsidR="008C76E0" w:rsidRPr="00F72577" w:rsidRDefault="008C76E0" w:rsidP="008C76E0">
            <w:pPr>
              <w:spacing w:after="120" w:line="240" w:lineRule="auto"/>
              <w:rPr>
                <w:rFonts w:ascii="Sylfaen" w:hAnsi="Sylfaen"/>
                <w:sz w:val="24"/>
                <w:szCs w:val="24"/>
              </w:rPr>
            </w:pPr>
          </w:p>
        </w:tc>
      </w:tr>
      <w:tr w:rsidR="008C76E0" w:rsidRPr="00F72577" w14:paraId="310AE802" w14:textId="77777777" w:rsidTr="008C76E0">
        <w:trPr>
          <w:jc w:val="center"/>
        </w:trPr>
        <w:tc>
          <w:tcPr>
            <w:tcW w:w="3387" w:type="dxa"/>
            <w:gridSpan w:val="2"/>
            <w:tcBorders>
              <w:top w:val="single" w:sz="4" w:space="0" w:color="auto"/>
              <w:left w:val="single" w:sz="4" w:space="0" w:color="auto"/>
            </w:tcBorders>
            <w:shd w:val="clear" w:color="auto" w:fill="FFFFFF"/>
            <w:vAlign w:val="bottom"/>
          </w:tcPr>
          <w:p w14:paraId="4492F658"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Չվերահսկվող հետազոտություններ</w:t>
            </w:r>
          </w:p>
        </w:tc>
        <w:tc>
          <w:tcPr>
            <w:tcW w:w="2767" w:type="dxa"/>
            <w:gridSpan w:val="3"/>
            <w:tcBorders>
              <w:top w:val="single" w:sz="4" w:space="0" w:color="auto"/>
              <w:left w:val="single" w:sz="4" w:space="0" w:color="auto"/>
            </w:tcBorders>
            <w:shd w:val="clear" w:color="auto" w:fill="FFFFFF"/>
          </w:tcPr>
          <w:p w14:paraId="550166D5" w14:textId="77777777" w:rsidR="008C76E0" w:rsidRPr="00F72577" w:rsidRDefault="008C76E0" w:rsidP="008C76E0">
            <w:pPr>
              <w:spacing w:after="120" w:line="240" w:lineRule="auto"/>
              <w:rPr>
                <w:rFonts w:ascii="Sylfaen" w:hAnsi="Sylfaen"/>
                <w:sz w:val="24"/>
                <w:szCs w:val="24"/>
              </w:rPr>
            </w:pPr>
          </w:p>
        </w:tc>
        <w:tc>
          <w:tcPr>
            <w:tcW w:w="2640" w:type="dxa"/>
            <w:gridSpan w:val="4"/>
            <w:tcBorders>
              <w:top w:val="single" w:sz="4" w:space="0" w:color="auto"/>
              <w:left w:val="single" w:sz="4" w:space="0" w:color="auto"/>
            </w:tcBorders>
            <w:shd w:val="clear" w:color="auto" w:fill="FFFFFF"/>
          </w:tcPr>
          <w:p w14:paraId="31D2E38E" w14:textId="77777777" w:rsidR="008C76E0" w:rsidRPr="00F72577" w:rsidRDefault="008C76E0" w:rsidP="008C76E0">
            <w:pPr>
              <w:spacing w:after="120" w:line="240" w:lineRule="auto"/>
              <w:rPr>
                <w:rFonts w:ascii="Sylfaen" w:hAnsi="Sylfaen"/>
                <w:sz w:val="24"/>
                <w:szCs w:val="24"/>
              </w:rPr>
            </w:pPr>
          </w:p>
        </w:tc>
        <w:tc>
          <w:tcPr>
            <w:tcW w:w="2551" w:type="dxa"/>
            <w:gridSpan w:val="2"/>
            <w:tcBorders>
              <w:top w:val="single" w:sz="4" w:space="0" w:color="auto"/>
              <w:left w:val="single" w:sz="4" w:space="0" w:color="auto"/>
              <w:right w:val="single" w:sz="4" w:space="0" w:color="auto"/>
            </w:tcBorders>
            <w:shd w:val="clear" w:color="auto" w:fill="FFFFFF"/>
          </w:tcPr>
          <w:p w14:paraId="027080D4" w14:textId="77777777" w:rsidR="008C76E0" w:rsidRPr="00F72577" w:rsidRDefault="008C76E0" w:rsidP="008C76E0">
            <w:pPr>
              <w:spacing w:after="120" w:line="240" w:lineRule="auto"/>
              <w:rPr>
                <w:rFonts w:ascii="Sylfaen" w:hAnsi="Sylfaen"/>
                <w:sz w:val="24"/>
                <w:szCs w:val="24"/>
              </w:rPr>
            </w:pPr>
          </w:p>
        </w:tc>
      </w:tr>
      <w:tr w:rsidR="008C76E0" w:rsidRPr="00F72577" w14:paraId="0865C4DD" w14:textId="77777777" w:rsidTr="008C76E0">
        <w:trPr>
          <w:jc w:val="center"/>
        </w:trPr>
        <w:tc>
          <w:tcPr>
            <w:tcW w:w="11345" w:type="dxa"/>
            <w:gridSpan w:val="11"/>
            <w:tcBorders>
              <w:top w:val="single" w:sz="4" w:space="0" w:color="auto"/>
            </w:tcBorders>
            <w:shd w:val="clear" w:color="auto" w:fill="FFFFFF"/>
          </w:tcPr>
          <w:p w14:paraId="0A7367E7" w14:textId="77777777" w:rsidR="008C76E0" w:rsidRPr="00F72577" w:rsidRDefault="008C76E0" w:rsidP="008C76E0">
            <w:pPr>
              <w:spacing w:after="120" w:line="240" w:lineRule="auto"/>
              <w:rPr>
                <w:rFonts w:ascii="Sylfaen" w:hAnsi="Sylfaen"/>
                <w:sz w:val="24"/>
                <w:szCs w:val="24"/>
              </w:rPr>
            </w:pPr>
          </w:p>
        </w:tc>
      </w:tr>
      <w:tr w:rsidR="008C76E0" w:rsidRPr="00F72577" w14:paraId="3F3BC6D2"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433E11C0" w14:textId="77777777" w:rsidR="008C76E0" w:rsidRPr="00F72577" w:rsidRDefault="008C76E0" w:rsidP="008C76E0">
            <w:pPr>
              <w:pStyle w:val="Bodytext180"/>
              <w:shd w:val="clear" w:color="auto" w:fill="auto"/>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0E4ED0DB" w14:textId="77777777" w:rsidTr="008C76E0">
        <w:trPr>
          <w:jc w:val="center"/>
        </w:trPr>
        <w:tc>
          <w:tcPr>
            <w:tcW w:w="11345" w:type="dxa"/>
            <w:gridSpan w:val="11"/>
            <w:tcBorders>
              <w:top w:val="single" w:sz="4" w:space="0" w:color="auto"/>
            </w:tcBorders>
            <w:shd w:val="clear" w:color="auto" w:fill="FFFFFF"/>
            <w:vAlign w:val="center"/>
          </w:tcPr>
          <w:p w14:paraId="7347387C"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3.6.</w:t>
            </w:r>
            <w:r w:rsidRPr="00F72577">
              <w:rPr>
                <w:rStyle w:val="Bodytext295pt"/>
                <w:rFonts w:ascii="Sylfaen" w:hAnsi="Sylfaen"/>
                <w:spacing w:val="0"/>
                <w:sz w:val="24"/>
                <w:szCs w:val="24"/>
              </w:rPr>
              <w:tab/>
              <w:t xml:space="preserve">Փորձարկումների անցկացման շրջանակներում կատարվող վերլուծություն (ամփոփ վերլուծություն </w:t>
            </w:r>
            <w:r w:rsidR="00C54D75">
              <w:rPr>
                <w:rStyle w:val="Bodytext295pt"/>
                <w:rFonts w:ascii="Sylfaen" w:hAnsi="Sylfaen"/>
                <w:spacing w:val="0"/>
                <w:sz w:val="24"/>
                <w:szCs w:val="24"/>
              </w:rPr>
              <w:t>և</w:t>
            </w:r>
            <w:r w:rsidRPr="00F72577">
              <w:rPr>
                <w:rStyle w:val="Bodytext295pt"/>
                <w:rFonts w:ascii="Sylfaen" w:hAnsi="Sylfaen"/>
                <w:spacing w:val="0"/>
                <w:sz w:val="24"/>
                <w:szCs w:val="24"/>
              </w:rPr>
              <w:t xml:space="preserve"> մետա-վերլուծություն)։</w:t>
            </w:r>
          </w:p>
        </w:tc>
      </w:tr>
      <w:tr w:rsidR="008C76E0" w:rsidRPr="00F72577" w14:paraId="57764F90"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00AF12F1" w14:textId="77777777" w:rsidR="008C76E0" w:rsidRPr="00F72577" w:rsidRDefault="008C76E0" w:rsidP="008C76E0">
            <w:pPr>
              <w:pStyle w:val="Bodytext180"/>
              <w:shd w:val="clear" w:color="auto" w:fill="auto"/>
              <w:tabs>
                <w:tab w:val="left" w:pos="1091"/>
              </w:tabs>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0819F291" w14:textId="77777777" w:rsidTr="008C76E0">
        <w:trPr>
          <w:jc w:val="center"/>
        </w:trPr>
        <w:tc>
          <w:tcPr>
            <w:tcW w:w="11345" w:type="dxa"/>
            <w:gridSpan w:val="11"/>
            <w:tcBorders>
              <w:top w:val="single" w:sz="4" w:space="0" w:color="auto"/>
            </w:tcBorders>
            <w:shd w:val="clear" w:color="auto" w:fill="FFFFFF"/>
            <w:vAlign w:val="bottom"/>
          </w:tcPr>
          <w:p w14:paraId="70D72100"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3.7.</w:t>
            </w:r>
            <w:r w:rsidRPr="00F72577">
              <w:rPr>
                <w:rStyle w:val="Bodytext295pt"/>
                <w:rFonts w:ascii="Sylfaen" w:hAnsi="Sylfaen"/>
                <w:spacing w:val="0"/>
                <w:sz w:val="24"/>
                <w:szCs w:val="24"/>
              </w:rPr>
              <w:tab/>
              <w:t xml:space="preserve">Լրացուցիչ հետազոտություններ: </w:t>
            </w:r>
          </w:p>
        </w:tc>
      </w:tr>
      <w:tr w:rsidR="008C76E0" w:rsidRPr="00F72577" w14:paraId="24EBE21A"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667B5800" w14:textId="77777777" w:rsidR="008C76E0" w:rsidRPr="00F72577" w:rsidRDefault="008C76E0" w:rsidP="008C76E0">
            <w:pPr>
              <w:pStyle w:val="Bodytext180"/>
              <w:shd w:val="clear" w:color="auto" w:fill="auto"/>
              <w:tabs>
                <w:tab w:val="left" w:pos="1091"/>
              </w:tabs>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1E9D48CD" w14:textId="77777777" w:rsidTr="008C76E0">
        <w:trPr>
          <w:jc w:val="center"/>
        </w:trPr>
        <w:tc>
          <w:tcPr>
            <w:tcW w:w="11345" w:type="dxa"/>
            <w:gridSpan w:val="11"/>
            <w:tcBorders>
              <w:top w:val="single" w:sz="4" w:space="0" w:color="auto"/>
            </w:tcBorders>
            <w:shd w:val="clear" w:color="auto" w:fill="FFFFFF"/>
            <w:vAlign w:val="bottom"/>
          </w:tcPr>
          <w:p w14:paraId="084DBAB8"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3.8.</w:t>
            </w:r>
            <w:r w:rsidRPr="00F72577">
              <w:rPr>
                <w:rStyle w:val="Bodytext295pt"/>
                <w:rFonts w:ascii="Sylfaen" w:hAnsi="Sylfaen"/>
                <w:spacing w:val="0"/>
                <w:sz w:val="24"/>
                <w:szCs w:val="24"/>
              </w:rPr>
              <w:tab/>
              <w:t>Կլինիկական արդյունավետության գնահատման գծով փորձագետի ընդհանուր եզրակացությունը:</w:t>
            </w:r>
          </w:p>
          <w:p w14:paraId="2900CBF5"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sidRPr="00F72577">
              <w:rPr>
                <w:rStyle w:val="Bodytext295pt"/>
                <w:rFonts w:ascii="Sylfaen" w:hAnsi="Sylfaen"/>
                <w:spacing w:val="0"/>
                <w:sz w:val="24"/>
                <w:szCs w:val="24"/>
              </w:rPr>
              <w:t xml:space="preserve">Կլինիկական արդյունավետության վերաբերյալ եզրակացությունները </w:t>
            </w:r>
          </w:p>
        </w:tc>
      </w:tr>
    </w:tbl>
    <w:p w14:paraId="12FEAF4D" w14:textId="77777777" w:rsidR="008C76E0" w:rsidRDefault="008C76E0" w:rsidP="008C76E0">
      <w:pPr>
        <w:rPr>
          <w:rFonts w:ascii="Sylfaen" w:hAnsi="Sylfaen"/>
          <w:sz w:val="24"/>
          <w:szCs w:val="24"/>
        </w:rPr>
      </w:pPr>
    </w:p>
    <w:p w14:paraId="4F97D3BF" w14:textId="77777777" w:rsidR="008C76E0" w:rsidRDefault="008C76E0" w:rsidP="008C76E0">
      <w:pPr>
        <w:widowControl/>
        <w:rPr>
          <w:rFonts w:ascii="Sylfaen" w:hAnsi="Sylfaen"/>
          <w:sz w:val="24"/>
          <w:szCs w:val="24"/>
        </w:rPr>
      </w:pPr>
      <w:r>
        <w:rPr>
          <w:rFonts w:ascii="Sylfaen" w:hAnsi="Sylfaen"/>
          <w:sz w:val="24"/>
          <w:szCs w:val="24"/>
        </w:rPr>
        <w:br w:type="page"/>
      </w:r>
    </w:p>
    <w:p w14:paraId="0EA317C3"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lastRenderedPageBreak/>
        <w:t xml:space="preserve">Բովանդակային պլանն ու կլինիկական հետազոտությունների անցկացումը </w:t>
      </w:r>
    </w:p>
    <w:p w14:paraId="21D3515C"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Արդյունավետության տվյալներն ու լրացուցիչ վերլուծությունները </w:t>
      </w:r>
    </w:p>
    <w:p w14:paraId="42E4EEC5"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Կլինիկական արդյունավետության վերաբերյալ եզրակացությունները</w:t>
      </w:r>
    </w:p>
    <w:p w14:paraId="63A8C5D2" w14:textId="77777777" w:rsidR="008C76E0" w:rsidRPr="00BD7577" w:rsidRDefault="008C76E0" w:rsidP="008C76E0">
      <w:pPr>
        <w:ind w:left="567" w:right="566"/>
        <w:rPr>
          <w:rFonts w:ascii="Sylfaen" w:hAnsi="Sylfaen"/>
          <w:sz w:val="24"/>
          <w:szCs w:val="24"/>
        </w:rPr>
      </w:pPr>
    </w:p>
    <w:p w14:paraId="5CB9E35A"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4. Կլինիկական անվտանգությունը</w:t>
      </w:r>
    </w:p>
    <w:p w14:paraId="6253DA45" w14:textId="77777777" w:rsidR="008C76E0" w:rsidRPr="00BD7577" w:rsidRDefault="008C76E0" w:rsidP="008C76E0">
      <w:pPr>
        <w:pStyle w:val="Bodytext180"/>
        <w:shd w:val="clear" w:color="auto" w:fill="auto"/>
        <w:tabs>
          <w:tab w:val="left" w:pos="1134"/>
        </w:tabs>
        <w:spacing w:before="0" w:after="160" w:line="360" w:lineRule="auto"/>
        <w:ind w:firstLine="567"/>
        <w:rPr>
          <w:rFonts w:ascii="Sylfaen" w:hAnsi="Sylfaen"/>
          <w:b w:val="0"/>
          <w:sz w:val="24"/>
          <w:szCs w:val="24"/>
        </w:rPr>
      </w:pPr>
      <w:r w:rsidRPr="00BD7577">
        <w:rPr>
          <w:rFonts w:ascii="Sylfaen" w:hAnsi="Sylfaen"/>
          <w:b w:val="0"/>
          <w:sz w:val="24"/>
          <w:szCs w:val="24"/>
        </w:rPr>
        <w:t>4.1.</w:t>
      </w:r>
      <w:r w:rsidRPr="00BD7577">
        <w:rPr>
          <w:rFonts w:ascii="Sylfaen" w:hAnsi="Sylfaen"/>
          <w:sz w:val="24"/>
          <w:szCs w:val="24"/>
        </w:rPr>
        <w:tab/>
      </w:r>
      <w:r w:rsidRPr="00BD7577">
        <w:rPr>
          <w:rStyle w:val="Bodytext295pt"/>
          <w:rFonts w:ascii="Sylfaen" w:hAnsi="Sylfaen"/>
          <w:spacing w:val="0"/>
          <w:sz w:val="24"/>
          <w:szCs w:val="24"/>
        </w:rPr>
        <w:t>Ներածություն</w:t>
      </w:r>
      <w:r w:rsidRPr="00BD7577">
        <w:rPr>
          <w:rFonts w:ascii="Sylfaen" w:hAnsi="Sylfaen"/>
          <w:b w:val="0"/>
          <w:sz w:val="24"/>
          <w:szCs w:val="24"/>
        </w:rPr>
        <w:t>:</w:t>
      </w:r>
    </w:p>
    <w:tbl>
      <w:tblPr>
        <w:tblOverlap w:val="never"/>
        <w:tblW w:w="10279" w:type="dxa"/>
        <w:tblLayout w:type="fixed"/>
        <w:tblCellMar>
          <w:left w:w="10" w:type="dxa"/>
          <w:right w:w="10" w:type="dxa"/>
        </w:tblCellMar>
        <w:tblLook w:val="04A0" w:firstRow="1" w:lastRow="0" w:firstColumn="1" w:lastColumn="0" w:noHBand="0" w:noVBand="1"/>
      </w:tblPr>
      <w:tblGrid>
        <w:gridCol w:w="2704"/>
        <w:gridCol w:w="1559"/>
        <w:gridCol w:w="283"/>
        <w:gridCol w:w="1074"/>
        <w:gridCol w:w="14"/>
        <w:gridCol w:w="628"/>
        <w:gridCol w:w="852"/>
        <w:gridCol w:w="1224"/>
        <w:gridCol w:w="274"/>
        <w:gridCol w:w="1667"/>
      </w:tblGrid>
      <w:tr w:rsidR="008C76E0" w:rsidRPr="00BD7577" w14:paraId="295863DB" w14:textId="77777777" w:rsidTr="008C76E0">
        <w:tc>
          <w:tcPr>
            <w:tcW w:w="10279" w:type="dxa"/>
            <w:gridSpan w:val="10"/>
            <w:tcBorders>
              <w:top w:val="single" w:sz="4" w:space="0" w:color="auto"/>
            </w:tcBorders>
            <w:shd w:val="clear" w:color="auto" w:fill="FFFFFF"/>
          </w:tcPr>
          <w:p w14:paraId="45E97C7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2E03F46" w14:textId="77777777" w:rsidTr="008C76E0">
        <w:tc>
          <w:tcPr>
            <w:tcW w:w="10279" w:type="dxa"/>
            <w:gridSpan w:val="10"/>
            <w:tcBorders>
              <w:top w:val="single" w:sz="4" w:space="0" w:color="auto"/>
            </w:tcBorders>
            <w:shd w:val="clear" w:color="auto" w:fill="FFFFFF"/>
            <w:vAlign w:val="bottom"/>
          </w:tcPr>
          <w:p w14:paraId="3EFB89BF"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b/>
                <w:spacing w:val="0"/>
                <w:sz w:val="24"/>
                <w:szCs w:val="24"/>
              </w:rPr>
            </w:pPr>
            <w:r>
              <w:rPr>
                <w:rStyle w:val="Bodytext295pt"/>
                <w:rFonts w:ascii="Sylfaen" w:hAnsi="Sylfaen"/>
                <w:spacing w:val="0"/>
                <w:sz w:val="24"/>
                <w:szCs w:val="24"/>
              </w:rPr>
              <w:t>4.2.</w:t>
            </w:r>
            <w:r w:rsidRPr="00BD7577">
              <w:rPr>
                <w:rStyle w:val="Bodytext295pt"/>
                <w:rFonts w:ascii="Sylfaen" w:hAnsi="Sylfaen"/>
                <w:spacing w:val="0"/>
                <w:sz w:val="24"/>
                <w:szCs w:val="24"/>
              </w:rPr>
              <w:tab/>
              <w:t>Պացիենտի վրա դեղանյութի ազդեցությունը:</w:t>
            </w:r>
          </w:p>
        </w:tc>
      </w:tr>
      <w:tr w:rsidR="008C76E0" w:rsidRPr="00BD7577" w14:paraId="552625A5" w14:textId="77777777" w:rsidTr="008C76E0">
        <w:trPr>
          <w:trHeight w:val="1268"/>
        </w:trPr>
        <w:tc>
          <w:tcPr>
            <w:tcW w:w="10279" w:type="dxa"/>
            <w:gridSpan w:val="10"/>
            <w:shd w:val="clear" w:color="auto" w:fill="FFFFFF"/>
          </w:tcPr>
          <w:p w14:paraId="7FE846EE" w14:textId="77777777" w:rsidR="008C76E0" w:rsidRPr="008C76E0" w:rsidRDefault="008C76E0" w:rsidP="008C76E0">
            <w:pPr>
              <w:pStyle w:val="Bodytext180"/>
              <w:shd w:val="clear" w:color="auto" w:fill="auto"/>
              <w:spacing w:before="0" w:after="120" w:line="240" w:lineRule="auto"/>
              <w:ind w:firstLine="567"/>
              <w:rPr>
                <w:rFonts w:ascii="Sylfaen" w:hAnsi="Sylfaen"/>
                <w:b w:val="0"/>
                <w:sz w:val="24"/>
                <w:szCs w:val="24"/>
                <w:lang w:val="hy-AM"/>
              </w:rPr>
            </w:pPr>
            <w:r w:rsidRPr="00BD7577">
              <w:rPr>
                <w:rStyle w:val="Bodytext295pt"/>
                <w:rFonts w:ascii="Sylfaen" w:hAnsi="Sylfaen"/>
                <w:spacing w:val="0"/>
                <w:sz w:val="24"/>
                <w:szCs w:val="24"/>
              </w:rPr>
              <w:t>Աղյուսակի նմուշ՝ պացիենտի վրա դեղանյութի ազդեցությունը</w:t>
            </w:r>
          </w:p>
          <w:p w14:paraId="0CF604E3" w14:textId="77777777" w:rsidR="008C76E0" w:rsidRPr="00BD7577" w:rsidRDefault="008C76E0" w:rsidP="008C76E0">
            <w:pPr>
              <w:pStyle w:val="Bodytext180"/>
              <w:spacing w:before="0" w:after="120" w:line="240" w:lineRule="auto"/>
              <w:ind w:firstLine="567"/>
              <w:rPr>
                <w:rFonts w:ascii="Sylfaen" w:hAnsi="Sylfaen"/>
                <w:b w:val="0"/>
                <w:sz w:val="24"/>
                <w:szCs w:val="24"/>
              </w:rPr>
            </w:pPr>
            <w:r w:rsidRPr="00BD7577">
              <w:rPr>
                <w:rStyle w:val="Bodytext295pt"/>
                <w:rFonts w:ascii="Sylfaen" w:hAnsi="Sylfaen"/>
                <w:spacing w:val="0"/>
                <w:sz w:val="24"/>
                <w:szCs w:val="24"/>
              </w:rPr>
              <w:t>(թույլատրելի մակարդակը)</w:t>
            </w:r>
          </w:p>
        </w:tc>
      </w:tr>
      <w:tr w:rsidR="008C76E0" w:rsidRPr="00BD7577" w14:paraId="7DA715CE" w14:textId="77777777" w:rsidTr="008C76E0">
        <w:tc>
          <w:tcPr>
            <w:tcW w:w="2704" w:type="dxa"/>
            <w:shd w:val="clear" w:color="auto" w:fill="FFFFFF"/>
          </w:tcPr>
          <w:p w14:paraId="337F1916" w14:textId="77777777" w:rsidR="008C76E0" w:rsidRPr="00BD7577" w:rsidRDefault="008C76E0" w:rsidP="008C76E0">
            <w:pPr>
              <w:pStyle w:val="Bodytext180"/>
              <w:shd w:val="clear" w:color="auto" w:fill="auto"/>
              <w:spacing w:before="0" w:after="120" w:line="240" w:lineRule="auto"/>
              <w:ind w:left="50" w:firstLine="0"/>
              <w:rPr>
                <w:rFonts w:ascii="Sylfaen" w:hAnsi="Sylfaen"/>
                <w:b w:val="0"/>
                <w:sz w:val="24"/>
                <w:szCs w:val="24"/>
              </w:rPr>
            </w:pPr>
          </w:p>
        </w:tc>
        <w:tc>
          <w:tcPr>
            <w:tcW w:w="1842" w:type="dxa"/>
            <w:gridSpan w:val="2"/>
            <w:shd w:val="clear" w:color="auto" w:fill="FFFFFF"/>
          </w:tcPr>
          <w:p w14:paraId="2DF23B48" w14:textId="77777777" w:rsidR="008C76E0" w:rsidRPr="00BD7577" w:rsidRDefault="008C76E0" w:rsidP="008C76E0">
            <w:pPr>
              <w:pStyle w:val="Bodytext180"/>
              <w:shd w:val="clear" w:color="auto" w:fill="auto"/>
              <w:spacing w:before="0" w:after="120" w:line="240" w:lineRule="auto"/>
              <w:ind w:left="50" w:firstLine="0"/>
              <w:rPr>
                <w:rFonts w:ascii="Sylfaen" w:hAnsi="Sylfaen"/>
                <w:b w:val="0"/>
                <w:sz w:val="24"/>
                <w:szCs w:val="24"/>
              </w:rPr>
            </w:pPr>
            <w:r w:rsidRPr="00BD7577">
              <w:rPr>
                <w:rStyle w:val="Bodytext1811pt"/>
                <w:rFonts w:ascii="Sylfaen" w:hAnsi="Sylfaen"/>
                <w:sz w:val="24"/>
                <w:szCs w:val="24"/>
              </w:rPr>
              <w:t>Ներառված պացիենտները</w:t>
            </w:r>
          </w:p>
        </w:tc>
        <w:tc>
          <w:tcPr>
            <w:tcW w:w="1716" w:type="dxa"/>
            <w:gridSpan w:val="3"/>
            <w:shd w:val="clear" w:color="auto" w:fill="FFFFFF"/>
          </w:tcPr>
          <w:p w14:paraId="40D90E4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Բուժում ստացած պացիենտները</w:t>
            </w:r>
          </w:p>
        </w:tc>
        <w:tc>
          <w:tcPr>
            <w:tcW w:w="2076" w:type="dxa"/>
            <w:gridSpan w:val="2"/>
            <w:shd w:val="clear" w:color="auto" w:fill="FFFFFF"/>
            <w:vAlign w:val="bottom"/>
          </w:tcPr>
          <w:p w14:paraId="62057A74" w14:textId="77777777" w:rsidR="008C76E0" w:rsidRPr="00BD7577" w:rsidRDefault="008C76E0" w:rsidP="008C76E0">
            <w:pPr>
              <w:pStyle w:val="Bodytext180"/>
              <w:shd w:val="clear" w:color="auto" w:fill="auto"/>
              <w:spacing w:before="0" w:after="120" w:line="240" w:lineRule="auto"/>
              <w:ind w:left="180" w:firstLine="0"/>
              <w:rPr>
                <w:rFonts w:ascii="Sylfaen" w:hAnsi="Sylfaen"/>
                <w:b w:val="0"/>
                <w:sz w:val="24"/>
                <w:szCs w:val="24"/>
              </w:rPr>
            </w:pPr>
            <w:r w:rsidRPr="00BD7577">
              <w:rPr>
                <w:rStyle w:val="Bodytext1811pt"/>
                <w:rFonts w:ascii="Sylfaen" w:hAnsi="Sylfaen"/>
                <w:sz w:val="24"/>
                <w:szCs w:val="24"/>
              </w:rPr>
              <w:t>Պացիենտները՝ դոզաների առաջարկվող ընդգրկույթի ներգործությամբ</w:t>
            </w:r>
          </w:p>
        </w:tc>
        <w:tc>
          <w:tcPr>
            <w:tcW w:w="1941" w:type="dxa"/>
            <w:gridSpan w:val="2"/>
            <w:shd w:val="clear" w:color="auto" w:fill="FFFFFF"/>
            <w:vAlign w:val="bottom"/>
          </w:tcPr>
          <w:p w14:paraId="0737AAF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Պացիենտները՝ անվտանգության մասին երկարաժամկետ* տվյալներով</w:t>
            </w:r>
          </w:p>
        </w:tc>
      </w:tr>
      <w:tr w:rsidR="008C76E0" w:rsidRPr="00BD7577" w14:paraId="3F81B13D" w14:textId="77777777" w:rsidTr="008C76E0">
        <w:tc>
          <w:tcPr>
            <w:tcW w:w="2704" w:type="dxa"/>
            <w:tcBorders>
              <w:top w:val="single" w:sz="4" w:space="0" w:color="auto"/>
            </w:tcBorders>
            <w:shd w:val="clear" w:color="auto" w:fill="FFFFFF"/>
          </w:tcPr>
          <w:p w14:paraId="0DFC69A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Պլացեբո-վերահսկվող հետազոտությունները</w:t>
            </w:r>
          </w:p>
        </w:tc>
        <w:tc>
          <w:tcPr>
            <w:tcW w:w="1842" w:type="dxa"/>
            <w:gridSpan w:val="2"/>
            <w:tcBorders>
              <w:top w:val="single" w:sz="4" w:space="0" w:color="auto"/>
            </w:tcBorders>
            <w:shd w:val="clear" w:color="auto" w:fill="FFFFFF"/>
          </w:tcPr>
          <w:p w14:paraId="276D57FA" w14:textId="77777777" w:rsidR="008C76E0" w:rsidRPr="00BD7577" w:rsidRDefault="008C76E0" w:rsidP="008C76E0">
            <w:pPr>
              <w:spacing w:after="120" w:line="240" w:lineRule="auto"/>
              <w:rPr>
                <w:rFonts w:ascii="Sylfaen" w:hAnsi="Sylfaen"/>
                <w:sz w:val="24"/>
                <w:szCs w:val="24"/>
              </w:rPr>
            </w:pPr>
          </w:p>
        </w:tc>
        <w:tc>
          <w:tcPr>
            <w:tcW w:w="1716" w:type="dxa"/>
            <w:gridSpan w:val="3"/>
            <w:tcBorders>
              <w:top w:val="single" w:sz="4" w:space="0" w:color="auto"/>
            </w:tcBorders>
            <w:shd w:val="clear" w:color="auto" w:fill="FFFFFF"/>
          </w:tcPr>
          <w:p w14:paraId="28D4C96B" w14:textId="77777777" w:rsidR="008C76E0" w:rsidRPr="00BD7577" w:rsidRDefault="008C76E0" w:rsidP="008C76E0">
            <w:pPr>
              <w:spacing w:after="120" w:line="240" w:lineRule="auto"/>
              <w:rPr>
                <w:rFonts w:ascii="Sylfaen" w:hAnsi="Sylfaen"/>
                <w:sz w:val="24"/>
                <w:szCs w:val="24"/>
              </w:rPr>
            </w:pPr>
          </w:p>
        </w:tc>
        <w:tc>
          <w:tcPr>
            <w:tcW w:w="2076" w:type="dxa"/>
            <w:gridSpan w:val="2"/>
            <w:tcBorders>
              <w:top w:val="single" w:sz="4" w:space="0" w:color="auto"/>
            </w:tcBorders>
            <w:shd w:val="clear" w:color="auto" w:fill="FFFFFF"/>
          </w:tcPr>
          <w:p w14:paraId="063FDF2C" w14:textId="77777777" w:rsidR="008C76E0" w:rsidRPr="00BD7577" w:rsidRDefault="008C76E0" w:rsidP="008C76E0">
            <w:pPr>
              <w:spacing w:after="120" w:line="240" w:lineRule="auto"/>
              <w:rPr>
                <w:rFonts w:ascii="Sylfaen" w:hAnsi="Sylfaen"/>
                <w:sz w:val="24"/>
                <w:szCs w:val="24"/>
              </w:rPr>
            </w:pPr>
          </w:p>
        </w:tc>
        <w:tc>
          <w:tcPr>
            <w:tcW w:w="1941" w:type="dxa"/>
            <w:gridSpan w:val="2"/>
            <w:tcBorders>
              <w:top w:val="single" w:sz="4" w:space="0" w:color="auto"/>
            </w:tcBorders>
            <w:shd w:val="clear" w:color="auto" w:fill="FFFFFF"/>
          </w:tcPr>
          <w:p w14:paraId="5B615188" w14:textId="77777777" w:rsidR="008C76E0" w:rsidRPr="00BD7577" w:rsidRDefault="008C76E0" w:rsidP="008C76E0">
            <w:pPr>
              <w:spacing w:after="120" w:line="240" w:lineRule="auto"/>
              <w:rPr>
                <w:rFonts w:ascii="Sylfaen" w:hAnsi="Sylfaen"/>
                <w:sz w:val="24"/>
                <w:szCs w:val="24"/>
              </w:rPr>
            </w:pPr>
          </w:p>
        </w:tc>
      </w:tr>
      <w:tr w:rsidR="008C76E0" w:rsidRPr="00BD7577" w14:paraId="09F10924" w14:textId="77777777" w:rsidTr="008C76E0">
        <w:tc>
          <w:tcPr>
            <w:tcW w:w="2704" w:type="dxa"/>
            <w:shd w:val="clear" w:color="auto" w:fill="FFFFFF"/>
            <w:vAlign w:val="center"/>
          </w:tcPr>
          <w:p w14:paraId="6D793B0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Ակտիվ հսկողությամբ հետազոտությունները</w:t>
            </w:r>
          </w:p>
        </w:tc>
        <w:tc>
          <w:tcPr>
            <w:tcW w:w="1842" w:type="dxa"/>
            <w:gridSpan w:val="2"/>
            <w:shd w:val="clear" w:color="auto" w:fill="FFFFFF"/>
          </w:tcPr>
          <w:p w14:paraId="5EDACC37"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0AD9553E"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4EA7D748"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17FAC1FF" w14:textId="77777777" w:rsidR="008C76E0" w:rsidRPr="00BD7577" w:rsidRDefault="008C76E0" w:rsidP="008C76E0">
            <w:pPr>
              <w:spacing w:after="120" w:line="240" w:lineRule="auto"/>
              <w:rPr>
                <w:rFonts w:ascii="Sylfaen" w:hAnsi="Sylfaen"/>
                <w:sz w:val="24"/>
                <w:szCs w:val="24"/>
              </w:rPr>
            </w:pPr>
          </w:p>
        </w:tc>
      </w:tr>
      <w:tr w:rsidR="008C76E0" w:rsidRPr="00BD7577" w14:paraId="43658E40" w14:textId="77777777" w:rsidTr="008C76E0">
        <w:tc>
          <w:tcPr>
            <w:tcW w:w="2704" w:type="dxa"/>
            <w:shd w:val="clear" w:color="auto" w:fill="FFFFFF"/>
            <w:vAlign w:val="center"/>
          </w:tcPr>
          <w:p w14:paraId="7EF851B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Բաց հետազոտությունները</w:t>
            </w:r>
          </w:p>
        </w:tc>
        <w:tc>
          <w:tcPr>
            <w:tcW w:w="1842" w:type="dxa"/>
            <w:gridSpan w:val="2"/>
            <w:shd w:val="clear" w:color="auto" w:fill="FFFFFF"/>
          </w:tcPr>
          <w:p w14:paraId="1763B6B2"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67647CA4"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150E7F57"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6837E553" w14:textId="77777777" w:rsidR="008C76E0" w:rsidRPr="00BD7577" w:rsidRDefault="008C76E0" w:rsidP="008C76E0">
            <w:pPr>
              <w:spacing w:after="120" w:line="240" w:lineRule="auto"/>
              <w:rPr>
                <w:rFonts w:ascii="Sylfaen" w:hAnsi="Sylfaen"/>
                <w:sz w:val="24"/>
                <w:szCs w:val="24"/>
              </w:rPr>
            </w:pPr>
          </w:p>
        </w:tc>
      </w:tr>
      <w:tr w:rsidR="008C76E0" w:rsidRPr="00BD7577" w14:paraId="127552C0" w14:textId="77777777" w:rsidTr="008C76E0">
        <w:tc>
          <w:tcPr>
            <w:tcW w:w="2704" w:type="dxa"/>
            <w:shd w:val="clear" w:color="auto" w:fill="FFFFFF"/>
            <w:vAlign w:val="center"/>
          </w:tcPr>
          <w:p w14:paraId="2A0EF2B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Հետմարքեթինգային հետազոտությունները </w:t>
            </w:r>
          </w:p>
        </w:tc>
        <w:tc>
          <w:tcPr>
            <w:tcW w:w="1842" w:type="dxa"/>
            <w:gridSpan w:val="2"/>
            <w:shd w:val="clear" w:color="auto" w:fill="FFFFFF"/>
          </w:tcPr>
          <w:p w14:paraId="1A81F235" w14:textId="77777777" w:rsidR="008C76E0" w:rsidRPr="00BD7577" w:rsidRDefault="008C76E0" w:rsidP="008C76E0">
            <w:pPr>
              <w:spacing w:after="120" w:line="240" w:lineRule="auto"/>
              <w:rPr>
                <w:rFonts w:ascii="Sylfaen" w:hAnsi="Sylfaen"/>
                <w:sz w:val="24"/>
                <w:szCs w:val="24"/>
                <w:lang w:val="en-US"/>
              </w:rPr>
            </w:pPr>
          </w:p>
        </w:tc>
        <w:tc>
          <w:tcPr>
            <w:tcW w:w="1716" w:type="dxa"/>
            <w:gridSpan w:val="3"/>
            <w:shd w:val="clear" w:color="auto" w:fill="FFFFFF"/>
          </w:tcPr>
          <w:p w14:paraId="063596AD" w14:textId="77777777" w:rsidR="008C76E0" w:rsidRPr="00BD7577" w:rsidRDefault="008C76E0" w:rsidP="008C76E0">
            <w:pPr>
              <w:spacing w:after="120" w:line="240" w:lineRule="auto"/>
              <w:rPr>
                <w:rFonts w:ascii="Sylfaen" w:hAnsi="Sylfaen"/>
                <w:sz w:val="24"/>
                <w:szCs w:val="24"/>
                <w:lang w:val="en-US"/>
              </w:rPr>
            </w:pPr>
          </w:p>
        </w:tc>
        <w:tc>
          <w:tcPr>
            <w:tcW w:w="2076" w:type="dxa"/>
            <w:gridSpan w:val="2"/>
            <w:shd w:val="clear" w:color="auto" w:fill="FFFFFF"/>
          </w:tcPr>
          <w:p w14:paraId="50E21FE5"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0DEE851D" w14:textId="77777777" w:rsidR="008C76E0" w:rsidRPr="00BD7577" w:rsidRDefault="008C76E0" w:rsidP="008C76E0">
            <w:pPr>
              <w:spacing w:after="120" w:line="240" w:lineRule="auto"/>
              <w:rPr>
                <w:rFonts w:ascii="Sylfaen" w:hAnsi="Sylfaen"/>
                <w:sz w:val="24"/>
                <w:szCs w:val="24"/>
              </w:rPr>
            </w:pPr>
          </w:p>
        </w:tc>
      </w:tr>
      <w:tr w:rsidR="008C76E0" w:rsidRPr="00BD7577" w14:paraId="2D55781F" w14:textId="77777777" w:rsidTr="008C76E0">
        <w:tc>
          <w:tcPr>
            <w:tcW w:w="2704" w:type="dxa"/>
            <w:shd w:val="clear" w:color="auto" w:fill="FFFFFF"/>
            <w:vAlign w:val="center"/>
          </w:tcPr>
          <w:p w14:paraId="39F43F7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Կարեկցանքի նկատառումներից բխող կիրառում</w:t>
            </w:r>
          </w:p>
        </w:tc>
        <w:tc>
          <w:tcPr>
            <w:tcW w:w="1842" w:type="dxa"/>
            <w:gridSpan w:val="2"/>
            <w:shd w:val="clear" w:color="auto" w:fill="FFFFFF"/>
          </w:tcPr>
          <w:p w14:paraId="6A342035"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6CC478E1"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485E3198"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60A176BF" w14:textId="77777777" w:rsidR="008C76E0" w:rsidRPr="00BD7577" w:rsidRDefault="008C76E0" w:rsidP="008C76E0">
            <w:pPr>
              <w:spacing w:after="120" w:line="240" w:lineRule="auto"/>
              <w:rPr>
                <w:rFonts w:ascii="Sylfaen" w:hAnsi="Sylfaen"/>
                <w:sz w:val="24"/>
                <w:szCs w:val="24"/>
              </w:rPr>
            </w:pPr>
          </w:p>
        </w:tc>
      </w:tr>
      <w:tr w:rsidR="008C76E0" w:rsidRPr="00BD7577" w14:paraId="4041716A" w14:textId="77777777" w:rsidTr="008C76E0">
        <w:tc>
          <w:tcPr>
            <w:tcW w:w="10279" w:type="dxa"/>
            <w:gridSpan w:val="10"/>
            <w:tcBorders>
              <w:top w:val="single" w:sz="4" w:space="0" w:color="auto"/>
              <w:bottom w:val="single" w:sz="4" w:space="0" w:color="auto"/>
            </w:tcBorders>
            <w:shd w:val="clear" w:color="auto" w:fill="FFFFFF"/>
          </w:tcPr>
          <w:p w14:paraId="42EE04F8"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 Նշումը վերաբերում է 6 կամ 12 ամիս ժամանակահատվածի ընթացքում անընդհատ կամ ընդհատվող ներգործության տվյալներին:</w:t>
            </w:r>
          </w:p>
        </w:tc>
      </w:tr>
      <w:tr w:rsidR="008C76E0" w:rsidRPr="00BD7577" w14:paraId="4B2A2E0A" w14:textId="77777777" w:rsidTr="008C76E0">
        <w:tc>
          <w:tcPr>
            <w:tcW w:w="10279" w:type="dxa"/>
            <w:gridSpan w:val="10"/>
            <w:tcBorders>
              <w:top w:val="single" w:sz="4" w:space="0" w:color="auto"/>
              <w:left w:val="single" w:sz="4" w:space="0" w:color="auto"/>
              <w:bottom w:val="single" w:sz="4" w:space="0" w:color="auto"/>
              <w:right w:val="single" w:sz="4" w:space="0" w:color="auto"/>
            </w:tcBorders>
            <w:shd w:val="clear" w:color="auto" w:fill="FFFFFF"/>
          </w:tcPr>
          <w:p w14:paraId="29A8C8C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9BF30B8" w14:textId="77777777" w:rsidTr="008C76E0">
        <w:tc>
          <w:tcPr>
            <w:tcW w:w="10279" w:type="dxa"/>
            <w:gridSpan w:val="10"/>
            <w:tcBorders>
              <w:top w:val="single" w:sz="4" w:space="0" w:color="auto"/>
            </w:tcBorders>
            <w:shd w:val="clear" w:color="auto" w:fill="FFFFFF"/>
            <w:vAlign w:val="center"/>
          </w:tcPr>
          <w:p w14:paraId="2C3509A1"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4.3.</w:t>
            </w:r>
            <w:r w:rsidRPr="00BD7577">
              <w:rPr>
                <w:rStyle w:val="Bodytext295pt"/>
                <w:rFonts w:ascii="Sylfaen" w:hAnsi="Sylfaen"/>
                <w:spacing w:val="0"/>
                <w:sz w:val="24"/>
                <w:szCs w:val="24"/>
              </w:rPr>
              <w:tab/>
              <w:t>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ույթները:</w:t>
            </w:r>
          </w:p>
        </w:tc>
      </w:tr>
      <w:tr w:rsidR="008C76E0" w:rsidRPr="00BD7577" w14:paraId="12C7A127" w14:textId="77777777" w:rsidTr="008C76E0">
        <w:tc>
          <w:tcPr>
            <w:tcW w:w="10279" w:type="dxa"/>
            <w:gridSpan w:val="10"/>
            <w:tcBorders>
              <w:top w:val="single" w:sz="4" w:space="0" w:color="auto"/>
              <w:bottom w:val="single" w:sz="4" w:space="0" w:color="auto"/>
            </w:tcBorders>
            <w:shd w:val="clear" w:color="auto" w:fill="FFFFFF"/>
          </w:tcPr>
          <w:p w14:paraId="06BCC469" w14:textId="77777777" w:rsidR="008C76E0" w:rsidRPr="00BD7577" w:rsidRDefault="008C76E0" w:rsidP="008C76E0">
            <w:pPr>
              <w:pStyle w:val="Bodytext180"/>
              <w:shd w:val="clear" w:color="auto" w:fill="auto"/>
              <w:spacing w:before="0" w:after="120" w:line="240" w:lineRule="auto"/>
              <w:ind w:firstLine="53"/>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FEDC152" w14:textId="77777777" w:rsidTr="008C76E0">
        <w:tc>
          <w:tcPr>
            <w:tcW w:w="10279" w:type="dxa"/>
            <w:gridSpan w:val="10"/>
            <w:shd w:val="clear" w:color="auto" w:fill="FFFFFF"/>
          </w:tcPr>
          <w:p w14:paraId="0F7E00B4" w14:textId="77777777" w:rsidR="008C76E0" w:rsidRPr="00BD7577" w:rsidRDefault="008C76E0" w:rsidP="008C76E0">
            <w:pPr>
              <w:pStyle w:val="Bodytext180"/>
              <w:shd w:val="clear" w:color="auto" w:fill="auto"/>
              <w:tabs>
                <w:tab w:val="left" w:pos="1102"/>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4.4.</w:t>
            </w:r>
            <w:r w:rsidRPr="00BD7577">
              <w:rPr>
                <w:rStyle w:val="Bodytext295pt"/>
                <w:rFonts w:ascii="Sylfaen" w:hAnsi="Sylfaen"/>
                <w:spacing w:val="0"/>
                <w:sz w:val="24"/>
                <w:szCs w:val="24"/>
              </w:rPr>
              <w:tab/>
              <w:t>Լուրջ 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ույթներն ու մահացու ելքը:</w:t>
            </w:r>
          </w:p>
        </w:tc>
      </w:tr>
      <w:tr w:rsidR="008C76E0" w:rsidRPr="00BD7577" w14:paraId="18CA1968"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0F1E4F05" w14:textId="77777777" w:rsidR="008C76E0" w:rsidRPr="00BD7577" w:rsidRDefault="008C76E0" w:rsidP="008C76E0">
            <w:pPr>
              <w:pStyle w:val="Bodytext180"/>
              <w:shd w:val="clear" w:color="auto" w:fill="auto"/>
              <w:spacing w:before="0" w:after="120" w:line="240" w:lineRule="auto"/>
              <w:ind w:firstLine="53"/>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7C77D790" w14:textId="77777777" w:rsidTr="008C76E0">
        <w:tc>
          <w:tcPr>
            <w:tcW w:w="10279" w:type="dxa"/>
            <w:gridSpan w:val="10"/>
            <w:tcBorders>
              <w:top w:val="single" w:sz="4" w:space="0" w:color="auto"/>
            </w:tcBorders>
            <w:shd w:val="clear" w:color="auto" w:fill="FFFFFF"/>
            <w:vAlign w:val="bottom"/>
          </w:tcPr>
          <w:p w14:paraId="1C3D732A"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4.5.</w:t>
            </w:r>
            <w:r w:rsidRPr="00BD7577">
              <w:rPr>
                <w:rStyle w:val="Bodytext295pt"/>
                <w:rFonts w:ascii="Sylfaen" w:hAnsi="Sylfaen"/>
                <w:spacing w:val="0"/>
                <w:sz w:val="24"/>
                <w:szCs w:val="24"/>
              </w:rPr>
              <w:tab/>
              <w:t>Լաբորատոր հետազոտությունների տվյալները:</w:t>
            </w:r>
          </w:p>
        </w:tc>
      </w:tr>
      <w:tr w:rsidR="008C76E0" w:rsidRPr="00BD7577" w14:paraId="35950B76"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1C95B03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DB39B01" w14:textId="77777777" w:rsidTr="008C76E0">
        <w:tc>
          <w:tcPr>
            <w:tcW w:w="10279" w:type="dxa"/>
            <w:gridSpan w:val="10"/>
            <w:tcBorders>
              <w:top w:val="single" w:sz="4" w:space="0" w:color="auto"/>
            </w:tcBorders>
            <w:shd w:val="clear" w:color="auto" w:fill="FFFFFF"/>
            <w:vAlign w:val="center"/>
          </w:tcPr>
          <w:p w14:paraId="31E58888" w14:textId="77777777" w:rsidR="008C76E0" w:rsidRPr="00BD7577" w:rsidRDefault="008C76E0" w:rsidP="008C76E0">
            <w:pPr>
              <w:pStyle w:val="Bodytext180"/>
              <w:shd w:val="clear" w:color="auto" w:fill="auto"/>
              <w:tabs>
                <w:tab w:val="left" w:pos="1087"/>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4.6.</w:t>
            </w:r>
            <w:r w:rsidRPr="00BD7577">
              <w:rPr>
                <w:rStyle w:val="Bodytext295pt"/>
                <w:rFonts w:ascii="Sylfaen" w:hAnsi="Sylfaen"/>
                <w:spacing w:val="0"/>
                <w:sz w:val="24"/>
                <w:szCs w:val="24"/>
              </w:rPr>
              <w:tab/>
              <w:t>Բնակչության հատուկ խմբերի մոտ պատրաստուկի կիրառման անվտանգությունը:</w:t>
            </w:r>
          </w:p>
        </w:tc>
      </w:tr>
      <w:tr w:rsidR="008C76E0" w:rsidRPr="00BD7577" w14:paraId="5B1DE8AF" w14:textId="77777777" w:rsidTr="008C76E0">
        <w:tc>
          <w:tcPr>
            <w:tcW w:w="4263" w:type="dxa"/>
            <w:gridSpan w:val="2"/>
            <w:tcBorders>
              <w:top w:val="single" w:sz="4" w:space="0" w:color="auto"/>
              <w:left w:val="single" w:sz="4" w:space="0" w:color="auto"/>
            </w:tcBorders>
            <w:shd w:val="clear" w:color="auto" w:fill="FFFFFF"/>
          </w:tcPr>
          <w:p w14:paraId="7E4E47C8"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MedDRA բառարանի տերմինները</w:t>
            </w:r>
          </w:p>
        </w:tc>
        <w:tc>
          <w:tcPr>
            <w:tcW w:w="1371" w:type="dxa"/>
            <w:gridSpan w:val="3"/>
            <w:tcBorders>
              <w:top w:val="single" w:sz="4" w:space="0" w:color="auto"/>
              <w:left w:val="single" w:sz="4" w:space="0" w:color="auto"/>
            </w:tcBorders>
            <w:shd w:val="clear" w:color="auto" w:fill="FFFFFF"/>
            <w:vAlign w:val="bottom"/>
          </w:tcPr>
          <w:p w14:paraId="1C24BC5E"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մինչ</w:t>
            </w:r>
            <w:r w:rsidR="00C54D75">
              <w:rPr>
                <w:rStyle w:val="Bodytext1811pt"/>
                <w:rFonts w:ascii="Sylfaen" w:hAnsi="Sylfaen"/>
                <w:sz w:val="24"/>
                <w:szCs w:val="24"/>
              </w:rPr>
              <w:t>և</w:t>
            </w:r>
            <w:r w:rsidRPr="00BD7577">
              <w:rPr>
                <w:rStyle w:val="Bodytext1811pt"/>
                <w:rFonts w:ascii="Sylfaen" w:hAnsi="Sylfaen"/>
                <w:sz w:val="24"/>
                <w:szCs w:val="24"/>
              </w:rPr>
              <w:t xml:space="preserve"> 65 տարիքային խումբ, քանակ (տոկոս) </w:t>
            </w:r>
          </w:p>
        </w:tc>
        <w:tc>
          <w:tcPr>
            <w:tcW w:w="1480" w:type="dxa"/>
            <w:gridSpan w:val="2"/>
            <w:tcBorders>
              <w:top w:val="single" w:sz="4" w:space="0" w:color="auto"/>
              <w:left w:val="single" w:sz="4" w:space="0" w:color="auto"/>
            </w:tcBorders>
            <w:shd w:val="clear" w:color="auto" w:fill="FFFFFF"/>
            <w:vAlign w:val="bottom"/>
          </w:tcPr>
          <w:p w14:paraId="485B2D9A"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65-74 տարիքային խումբ, քանակ (տոկոս)</w:t>
            </w:r>
          </w:p>
        </w:tc>
        <w:tc>
          <w:tcPr>
            <w:tcW w:w="1498" w:type="dxa"/>
            <w:gridSpan w:val="2"/>
            <w:tcBorders>
              <w:top w:val="single" w:sz="4" w:space="0" w:color="auto"/>
              <w:left w:val="single" w:sz="4" w:space="0" w:color="auto"/>
            </w:tcBorders>
            <w:shd w:val="clear" w:color="auto" w:fill="FFFFFF"/>
            <w:vAlign w:val="bottom"/>
          </w:tcPr>
          <w:p w14:paraId="6CF1436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75-84 տարիքային խումբ, քանակ (տոկոս)</w:t>
            </w:r>
          </w:p>
        </w:tc>
        <w:tc>
          <w:tcPr>
            <w:tcW w:w="1667" w:type="dxa"/>
            <w:tcBorders>
              <w:top w:val="single" w:sz="4" w:space="0" w:color="auto"/>
              <w:left w:val="single" w:sz="4" w:space="0" w:color="auto"/>
              <w:right w:val="single" w:sz="4" w:space="0" w:color="auto"/>
            </w:tcBorders>
            <w:shd w:val="clear" w:color="auto" w:fill="FFFFFF"/>
          </w:tcPr>
          <w:p w14:paraId="7EB40482"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85+ տարիքային խումբ, քանակ (տոկոս)</w:t>
            </w:r>
          </w:p>
        </w:tc>
      </w:tr>
      <w:tr w:rsidR="008C76E0" w:rsidRPr="00BD7577" w14:paraId="61CFE8E2" w14:textId="77777777" w:rsidTr="008C76E0">
        <w:tc>
          <w:tcPr>
            <w:tcW w:w="4263" w:type="dxa"/>
            <w:gridSpan w:val="2"/>
            <w:tcBorders>
              <w:top w:val="single" w:sz="4" w:space="0" w:color="auto"/>
              <w:left w:val="single" w:sz="4" w:space="0" w:color="auto"/>
            </w:tcBorders>
            <w:shd w:val="clear" w:color="auto" w:fill="FFFFFF"/>
          </w:tcPr>
          <w:p w14:paraId="25746C5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ույթների ընդհանուր քանակը</w:t>
            </w:r>
          </w:p>
        </w:tc>
        <w:tc>
          <w:tcPr>
            <w:tcW w:w="1371" w:type="dxa"/>
            <w:gridSpan w:val="3"/>
            <w:tcBorders>
              <w:top w:val="single" w:sz="4" w:space="0" w:color="auto"/>
              <w:left w:val="single" w:sz="4" w:space="0" w:color="auto"/>
            </w:tcBorders>
            <w:shd w:val="clear" w:color="auto" w:fill="FFFFFF"/>
          </w:tcPr>
          <w:p w14:paraId="7E6D65F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5ED1064"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329AA29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715B977F" w14:textId="77777777" w:rsidR="008C76E0" w:rsidRPr="00BD7577" w:rsidRDefault="008C76E0" w:rsidP="008C76E0">
            <w:pPr>
              <w:spacing w:after="120" w:line="240" w:lineRule="auto"/>
              <w:rPr>
                <w:rFonts w:ascii="Sylfaen" w:hAnsi="Sylfaen"/>
                <w:sz w:val="24"/>
                <w:szCs w:val="24"/>
              </w:rPr>
            </w:pPr>
          </w:p>
        </w:tc>
      </w:tr>
      <w:tr w:rsidR="008C76E0" w:rsidRPr="00BD7577" w14:paraId="2344E4D4" w14:textId="77777777" w:rsidTr="008C76E0">
        <w:tc>
          <w:tcPr>
            <w:tcW w:w="4263" w:type="dxa"/>
            <w:gridSpan w:val="2"/>
            <w:tcBorders>
              <w:top w:val="single" w:sz="4" w:space="0" w:color="auto"/>
              <w:left w:val="single" w:sz="4" w:space="0" w:color="auto"/>
            </w:tcBorders>
            <w:shd w:val="clear" w:color="auto" w:fill="FFFFFF"/>
            <w:vAlign w:val="bottom"/>
          </w:tcPr>
          <w:p w14:paraId="002608C9"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Լուրջ 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ույթները (ընդհանուր քանակը)</w:t>
            </w:r>
          </w:p>
        </w:tc>
        <w:tc>
          <w:tcPr>
            <w:tcW w:w="1371" w:type="dxa"/>
            <w:gridSpan w:val="3"/>
            <w:tcBorders>
              <w:top w:val="single" w:sz="4" w:space="0" w:color="auto"/>
              <w:left w:val="single" w:sz="4" w:space="0" w:color="auto"/>
            </w:tcBorders>
            <w:shd w:val="clear" w:color="auto" w:fill="FFFFFF"/>
          </w:tcPr>
          <w:p w14:paraId="4E2BC2F6"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FE33D31"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BAF899F"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283F6650" w14:textId="77777777" w:rsidR="008C76E0" w:rsidRPr="00BD7577" w:rsidRDefault="008C76E0" w:rsidP="008C76E0">
            <w:pPr>
              <w:spacing w:after="120" w:line="240" w:lineRule="auto"/>
              <w:rPr>
                <w:rFonts w:ascii="Sylfaen" w:hAnsi="Sylfaen"/>
                <w:sz w:val="24"/>
                <w:szCs w:val="24"/>
              </w:rPr>
            </w:pPr>
          </w:p>
        </w:tc>
      </w:tr>
      <w:tr w:rsidR="008C76E0" w:rsidRPr="00BD7577" w14:paraId="1C7752A7" w14:textId="77777777" w:rsidTr="008C76E0">
        <w:tc>
          <w:tcPr>
            <w:tcW w:w="4263" w:type="dxa"/>
            <w:gridSpan w:val="2"/>
            <w:tcBorders>
              <w:top w:val="single" w:sz="4" w:space="0" w:color="auto"/>
              <w:left w:val="single" w:sz="4" w:space="0" w:color="auto"/>
            </w:tcBorders>
            <w:shd w:val="clear" w:color="auto" w:fill="FFFFFF"/>
            <w:vAlign w:val="bottom"/>
          </w:tcPr>
          <w:p w14:paraId="250B63B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մահացու</w:t>
            </w:r>
          </w:p>
        </w:tc>
        <w:tc>
          <w:tcPr>
            <w:tcW w:w="1371" w:type="dxa"/>
            <w:gridSpan w:val="3"/>
            <w:tcBorders>
              <w:top w:val="single" w:sz="4" w:space="0" w:color="auto"/>
              <w:left w:val="single" w:sz="4" w:space="0" w:color="auto"/>
            </w:tcBorders>
            <w:shd w:val="clear" w:color="auto" w:fill="FFFFFF"/>
          </w:tcPr>
          <w:p w14:paraId="40FD675B"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472DBE8"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556B48EB"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FD93FF5" w14:textId="77777777" w:rsidR="008C76E0" w:rsidRPr="00BD7577" w:rsidRDefault="008C76E0" w:rsidP="008C76E0">
            <w:pPr>
              <w:spacing w:after="120" w:line="240" w:lineRule="auto"/>
              <w:rPr>
                <w:rFonts w:ascii="Sylfaen" w:hAnsi="Sylfaen"/>
                <w:sz w:val="24"/>
                <w:szCs w:val="24"/>
              </w:rPr>
            </w:pPr>
          </w:p>
        </w:tc>
      </w:tr>
      <w:tr w:rsidR="008C76E0" w:rsidRPr="00BD7577" w14:paraId="53EC53EA" w14:textId="77777777" w:rsidTr="008C76E0">
        <w:tc>
          <w:tcPr>
            <w:tcW w:w="4263" w:type="dxa"/>
            <w:gridSpan w:val="2"/>
            <w:tcBorders>
              <w:top w:val="single" w:sz="4" w:space="0" w:color="auto"/>
              <w:left w:val="single" w:sz="4" w:space="0" w:color="auto"/>
            </w:tcBorders>
            <w:shd w:val="clear" w:color="auto" w:fill="FFFFFF"/>
            <w:vAlign w:val="bottom"/>
          </w:tcPr>
          <w:p w14:paraId="28AA906F"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հոսպիտալացում (հոսպիտալացման ժամկետի երկարաձգում)</w:t>
            </w:r>
          </w:p>
        </w:tc>
        <w:tc>
          <w:tcPr>
            <w:tcW w:w="1371" w:type="dxa"/>
            <w:gridSpan w:val="3"/>
            <w:tcBorders>
              <w:top w:val="single" w:sz="4" w:space="0" w:color="auto"/>
              <w:left w:val="single" w:sz="4" w:space="0" w:color="auto"/>
            </w:tcBorders>
            <w:shd w:val="clear" w:color="auto" w:fill="FFFFFF"/>
          </w:tcPr>
          <w:p w14:paraId="3273BBE8"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1CFC74FF"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1C211994"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CDF0C6C" w14:textId="77777777" w:rsidR="008C76E0" w:rsidRPr="00BD7577" w:rsidRDefault="008C76E0" w:rsidP="008C76E0">
            <w:pPr>
              <w:spacing w:after="120" w:line="240" w:lineRule="auto"/>
              <w:rPr>
                <w:rFonts w:ascii="Sylfaen" w:hAnsi="Sylfaen"/>
                <w:sz w:val="24"/>
                <w:szCs w:val="24"/>
              </w:rPr>
            </w:pPr>
          </w:p>
        </w:tc>
      </w:tr>
      <w:tr w:rsidR="008C76E0" w:rsidRPr="00BD7577" w14:paraId="7D5773BA" w14:textId="77777777" w:rsidTr="008C76E0">
        <w:tc>
          <w:tcPr>
            <w:tcW w:w="4263" w:type="dxa"/>
            <w:gridSpan w:val="2"/>
            <w:tcBorders>
              <w:top w:val="single" w:sz="4" w:space="0" w:color="auto"/>
              <w:left w:val="single" w:sz="4" w:space="0" w:color="auto"/>
            </w:tcBorders>
            <w:shd w:val="clear" w:color="auto" w:fill="FFFFFF"/>
            <w:vAlign w:val="bottom"/>
          </w:tcPr>
          <w:p w14:paraId="2C5C193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կյանքի համար վտանգ</w:t>
            </w:r>
          </w:p>
        </w:tc>
        <w:tc>
          <w:tcPr>
            <w:tcW w:w="1371" w:type="dxa"/>
            <w:gridSpan w:val="3"/>
            <w:tcBorders>
              <w:top w:val="single" w:sz="4" w:space="0" w:color="auto"/>
              <w:left w:val="single" w:sz="4" w:space="0" w:color="auto"/>
            </w:tcBorders>
            <w:shd w:val="clear" w:color="auto" w:fill="FFFFFF"/>
          </w:tcPr>
          <w:p w14:paraId="643F36D4"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68274E89"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6FCD0B6"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6BDFA204" w14:textId="77777777" w:rsidR="008C76E0" w:rsidRPr="00BD7577" w:rsidRDefault="008C76E0" w:rsidP="008C76E0">
            <w:pPr>
              <w:spacing w:after="120" w:line="240" w:lineRule="auto"/>
              <w:rPr>
                <w:rFonts w:ascii="Sylfaen" w:hAnsi="Sylfaen"/>
                <w:sz w:val="24"/>
                <w:szCs w:val="24"/>
              </w:rPr>
            </w:pPr>
          </w:p>
        </w:tc>
      </w:tr>
      <w:tr w:rsidR="008C76E0" w:rsidRPr="00BD7577" w14:paraId="6F536B2C" w14:textId="77777777" w:rsidTr="008C76E0">
        <w:tc>
          <w:tcPr>
            <w:tcW w:w="4263" w:type="dxa"/>
            <w:gridSpan w:val="2"/>
            <w:tcBorders>
              <w:top w:val="single" w:sz="4" w:space="0" w:color="auto"/>
              <w:left w:val="single" w:sz="4" w:space="0" w:color="auto"/>
            </w:tcBorders>
            <w:shd w:val="clear" w:color="auto" w:fill="FFFFFF"/>
            <w:vAlign w:val="bottom"/>
          </w:tcPr>
          <w:p w14:paraId="1EFFA59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հաշմանդամություն (անաշխատունակություն)</w:t>
            </w:r>
          </w:p>
        </w:tc>
        <w:tc>
          <w:tcPr>
            <w:tcW w:w="1371" w:type="dxa"/>
            <w:gridSpan w:val="3"/>
            <w:tcBorders>
              <w:top w:val="single" w:sz="4" w:space="0" w:color="auto"/>
              <w:left w:val="single" w:sz="4" w:space="0" w:color="auto"/>
            </w:tcBorders>
            <w:shd w:val="clear" w:color="auto" w:fill="FFFFFF"/>
          </w:tcPr>
          <w:p w14:paraId="507FCDB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204EDF4"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229941E"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023FAA5" w14:textId="77777777" w:rsidR="008C76E0" w:rsidRPr="00BD7577" w:rsidRDefault="008C76E0" w:rsidP="008C76E0">
            <w:pPr>
              <w:spacing w:after="120" w:line="240" w:lineRule="auto"/>
              <w:rPr>
                <w:rFonts w:ascii="Sylfaen" w:hAnsi="Sylfaen"/>
                <w:sz w:val="24"/>
                <w:szCs w:val="24"/>
              </w:rPr>
            </w:pPr>
          </w:p>
        </w:tc>
      </w:tr>
      <w:tr w:rsidR="008C76E0" w:rsidRPr="00BD7577" w14:paraId="3CF682D7" w14:textId="77777777" w:rsidTr="008C76E0">
        <w:tc>
          <w:tcPr>
            <w:tcW w:w="4263" w:type="dxa"/>
            <w:gridSpan w:val="2"/>
            <w:tcBorders>
              <w:top w:val="single" w:sz="4" w:space="0" w:color="auto"/>
              <w:left w:val="single" w:sz="4" w:space="0" w:color="auto"/>
            </w:tcBorders>
            <w:shd w:val="clear" w:color="auto" w:fill="FFFFFF"/>
            <w:vAlign w:val="bottom"/>
          </w:tcPr>
          <w:p w14:paraId="6E43720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այլ (բժշկական տեսանկյունից կար</w:t>
            </w:r>
            <w:r w:rsidR="00C54D75">
              <w:rPr>
                <w:rStyle w:val="Bodytext1811pt"/>
                <w:rFonts w:ascii="Sylfaen" w:hAnsi="Sylfaen"/>
                <w:sz w:val="24"/>
                <w:szCs w:val="24"/>
              </w:rPr>
              <w:t>և</w:t>
            </w:r>
            <w:r w:rsidRPr="00BD7577">
              <w:rPr>
                <w:rStyle w:val="Bodytext1811pt"/>
                <w:rFonts w:ascii="Sylfaen" w:hAnsi="Sylfaen"/>
                <w:sz w:val="24"/>
                <w:szCs w:val="24"/>
              </w:rPr>
              <w:t>որ)</w:t>
            </w:r>
          </w:p>
        </w:tc>
        <w:tc>
          <w:tcPr>
            <w:tcW w:w="1371" w:type="dxa"/>
            <w:gridSpan w:val="3"/>
            <w:tcBorders>
              <w:top w:val="single" w:sz="4" w:space="0" w:color="auto"/>
              <w:left w:val="single" w:sz="4" w:space="0" w:color="auto"/>
            </w:tcBorders>
            <w:shd w:val="clear" w:color="auto" w:fill="FFFFFF"/>
          </w:tcPr>
          <w:p w14:paraId="2C79E72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BA6C6EC"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82A2533"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73E1EAB8" w14:textId="77777777" w:rsidR="008C76E0" w:rsidRPr="00BD7577" w:rsidRDefault="008C76E0" w:rsidP="008C76E0">
            <w:pPr>
              <w:spacing w:after="120" w:line="240" w:lineRule="auto"/>
              <w:rPr>
                <w:rFonts w:ascii="Sylfaen" w:hAnsi="Sylfaen"/>
                <w:sz w:val="24"/>
                <w:szCs w:val="24"/>
              </w:rPr>
            </w:pPr>
          </w:p>
        </w:tc>
      </w:tr>
      <w:tr w:rsidR="008C76E0" w:rsidRPr="00BD7577" w14:paraId="2700490E" w14:textId="77777777" w:rsidTr="008C76E0">
        <w:tc>
          <w:tcPr>
            <w:tcW w:w="4263" w:type="dxa"/>
            <w:gridSpan w:val="2"/>
            <w:tcBorders>
              <w:top w:val="single" w:sz="4" w:space="0" w:color="auto"/>
              <w:left w:val="single" w:sz="4" w:space="0" w:color="auto"/>
            </w:tcBorders>
            <w:shd w:val="clear" w:color="auto" w:fill="FFFFFF"/>
            <w:vAlign w:val="bottom"/>
          </w:tcPr>
          <w:p w14:paraId="58063E75"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 որը հանգեցրել է հետազոտությունից դուրս գալուն</w:t>
            </w:r>
          </w:p>
        </w:tc>
        <w:tc>
          <w:tcPr>
            <w:tcW w:w="1371" w:type="dxa"/>
            <w:gridSpan w:val="3"/>
            <w:tcBorders>
              <w:top w:val="single" w:sz="4" w:space="0" w:color="auto"/>
              <w:left w:val="single" w:sz="4" w:space="0" w:color="auto"/>
            </w:tcBorders>
            <w:shd w:val="clear" w:color="auto" w:fill="FFFFFF"/>
          </w:tcPr>
          <w:p w14:paraId="0296EBDE"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2E3638F"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186F62D5"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42F55EE" w14:textId="77777777" w:rsidR="008C76E0" w:rsidRPr="00BD7577" w:rsidRDefault="008C76E0" w:rsidP="008C76E0">
            <w:pPr>
              <w:spacing w:after="120" w:line="240" w:lineRule="auto"/>
              <w:rPr>
                <w:rFonts w:ascii="Sylfaen" w:hAnsi="Sylfaen"/>
                <w:sz w:val="24"/>
                <w:szCs w:val="24"/>
              </w:rPr>
            </w:pPr>
          </w:p>
        </w:tc>
      </w:tr>
      <w:tr w:rsidR="008C76E0" w:rsidRPr="00BD7577" w14:paraId="76E3EC6C" w14:textId="77777777" w:rsidTr="008C76E0">
        <w:tc>
          <w:tcPr>
            <w:tcW w:w="4263" w:type="dxa"/>
            <w:gridSpan w:val="2"/>
            <w:tcBorders>
              <w:top w:val="single" w:sz="4" w:space="0" w:color="auto"/>
              <w:left w:val="single" w:sz="4" w:space="0" w:color="auto"/>
            </w:tcBorders>
            <w:shd w:val="clear" w:color="auto" w:fill="FFFFFF"/>
            <w:vAlign w:val="bottom"/>
          </w:tcPr>
          <w:p w14:paraId="50FF5D6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Հոգեկան խանգարումներ</w:t>
            </w:r>
          </w:p>
        </w:tc>
        <w:tc>
          <w:tcPr>
            <w:tcW w:w="1371" w:type="dxa"/>
            <w:gridSpan w:val="3"/>
            <w:tcBorders>
              <w:top w:val="single" w:sz="4" w:space="0" w:color="auto"/>
              <w:left w:val="single" w:sz="4" w:space="0" w:color="auto"/>
            </w:tcBorders>
            <w:shd w:val="clear" w:color="auto" w:fill="FFFFFF"/>
          </w:tcPr>
          <w:p w14:paraId="6FAEFE8C"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276841A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5ABD386"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BDEA170" w14:textId="77777777" w:rsidR="008C76E0" w:rsidRPr="00BD7577" w:rsidRDefault="008C76E0" w:rsidP="008C76E0">
            <w:pPr>
              <w:spacing w:after="120" w:line="240" w:lineRule="auto"/>
              <w:rPr>
                <w:rFonts w:ascii="Sylfaen" w:hAnsi="Sylfaen"/>
                <w:sz w:val="24"/>
                <w:szCs w:val="24"/>
              </w:rPr>
            </w:pPr>
          </w:p>
        </w:tc>
      </w:tr>
      <w:tr w:rsidR="008C76E0" w:rsidRPr="00BD7577" w14:paraId="0E1FB6E0" w14:textId="77777777" w:rsidTr="008C76E0">
        <w:tc>
          <w:tcPr>
            <w:tcW w:w="4263" w:type="dxa"/>
            <w:gridSpan w:val="2"/>
            <w:tcBorders>
              <w:top w:val="single" w:sz="4" w:space="0" w:color="auto"/>
              <w:left w:val="single" w:sz="4" w:space="0" w:color="auto"/>
            </w:tcBorders>
            <w:shd w:val="clear" w:color="auto" w:fill="FFFFFF"/>
          </w:tcPr>
          <w:p w14:paraId="20F1E7E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Նյարդային համակարգի խանգարումներ</w:t>
            </w:r>
          </w:p>
        </w:tc>
        <w:tc>
          <w:tcPr>
            <w:tcW w:w="1371" w:type="dxa"/>
            <w:gridSpan w:val="3"/>
            <w:tcBorders>
              <w:top w:val="single" w:sz="4" w:space="0" w:color="auto"/>
              <w:left w:val="single" w:sz="4" w:space="0" w:color="auto"/>
            </w:tcBorders>
            <w:shd w:val="clear" w:color="auto" w:fill="FFFFFF"/>
          </w:tcPr>
          <w:p w14:paraId="7B5ADF6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683AA6F3"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D239B6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4A0DCA89" w14:textId="77777777" w:rsidR="008C76E0" w:rsidRPr="00BD7577" w:rsidRDefault="008C76E0" w:rsidP="008C76E0">
            <w:pPr>
              <w:spacing w:after="120" w:line="240" w:lineRule="auto"/>
              <w:rPr>
                <w:rFonts w:ascii="Sylfaen" w:hAnsi="Sylfaen"/>
                <w:sz w:val="24"/>
                <w:szCs w:val="24"/>
              </w:rPr>
            </w:pPr>
          </w:p>
        </w:tc>
      </w:tr>
      <w:tr w:rsidR="008C76E0" w:rsidRPr="00BD7577" w14:paraId="136C986E" w14:textId="77777777" w:rsidTr="008C76E0">
        <w:tc>
          <w:tcPr>
            <w:tcW w:w="4263" w:type="dxa"/>
            <w:gridSpan w:val="2"/>
            <w:tcBorders>
              <w:top w:val="single" w:sz="4" w:space="0" w:color="auto"/>
              <w:left w:val="single" w:sz="4" w:space="0" w:color="auto"/>
            </w:tcBorders>
            <w:shd w:val="clear" w:color="auto" w:fill="FFFFFF"/>
            <w:vAlign w:val="bottom"/>
          </w:tcPr>
          <w:p w14:paraId="71B75F5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Դժբախտ պատահարներ </w:t>
            </w:r>
            <w:r w:rsidR="00C54D75">
              <w:rPr>
                <w:rStyle w:val="Bodytext1811pt"/>
                <w:rFonts w:ascii="Sylfaen" w:hAnsi="Sylfaen"/>
                <w:sz w:val="24"/>
                <w:szCs w:val="24"/>
              </w:rPr>
              <w:t>և</w:t>
            </w:r>
            <w:r w:rsidRPr="00BD7577">
              <w:rPr>
                <w:rStyle w:val="Bodytext1811pt"/>
                <w:rFonts w:ascii="Sylfaen" w:hAnsi="Sylfaen"/>
                <w:sz w:val="24"/>
                <w:szCs w:val="24"/>
              </w:rPr>
              <w:t xml:space="preserve"> վնասվածքներ </w:t>
            </w:r>
          </w:p>
        </w:tc>
        <w:tc>
          <w:tcPr>
            <w:tcW w:w="1371" w:type="dxa"/>
            <w:gridSpan w:val="3"/>
            <w:tcBorders>
              <w:top w:val="single" w:sz="4" w:space="0" w:color="auto"/>
              <w:left w:val="single" w:sz="4" w:space="0" w:color="auto"/>
            </w:tcBorders>
            <w:shd w:val="clear" w:color="auto" w:fill="FFFFFF"/>
          </w:tcPr>
          <w:p w14:paraId="22D0FCF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684AB40"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AAAA03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2ED09839" w14:textId="77777777" w:rsidR="008C76E0" w:rsidRPr="00BD7577" w:rsidRDefault="008C76E0" w:rsidP="008C76E0">
            <w:pPr>
              <w:spacing w:after="120" w:line="240" w:lineRule="auto"/>
              <w:rPr>
                <w:rFonts w:ascii="Sylfaen" w:hAnsi="Sylfaen"/>
                <w:sz w:val="24"/>
                <w:szCs w:val="24"/>
              </w:rPr>
            </w:pPr>
          </w:p>
        </w:tc>
      </w:tr>
      <w:tr w:rsidR="008C76E0" w:rsidRPr="00BD7577" w14:paraId="43E6C96C" w14:textId="77777777" w:rsidTr="008C76E0">
        <w:tc>
          <w:tcPr>
            <w:tcW w:w="4263" w:type="dxa"/>
            <w:gridSpan w:val="2"/>
            <w:tcBorders>
              <w:top w:val="single" w:sz="4" w:space="0" w:color="auto"/>
              <w:left w:val="single" w:sz="4" w:space="0" w:color="auto"/>
            </w:tcBorders>
            <w:shd w:val="clear" w:color="auto" w:fill="FFFFFF"/>
            <w:vAlign w:val="bottom"/>
          </w:tcPr>
          <w:p w14:paraId="48205FA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Սրտի խանգարումներ</w:t>
            </w:r>
          </w:p>
        </w:tc>
        <w:tc>
          <w:tcPr>
            <w:tcW w:w="1371" w:type="dxa"/>
            <w:gridSpan w:val="3"/>
            <w:tcBorders>
              <w:top w:val="single" w:sz="4" w:space="0" w:color="auto"/>
              <w:left w:val="single" w:sz="4" w:space="0" w:color="auto"/>
            </w:tcBorders>
            <w:shd w:val="clear" w:color="auto" w:fill="FFFFFF"/>
          </w:tcPr>
          <w:p w14:paraId="1D0212D0"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3986F2E"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39EE2BB3"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10F52C4" w14:textId="77777777" w:rsidR="008C76E0" w:rsidRPr="00BD7577" w:rsidRDefault="008C76E0" w:rsidP="008C76E0">
            <w:pPr>
              <w:spacing w:after="120" w:line="240" w:lineRule="auto"/>
              <w:rPr>
                <w:rFonts w:ascii="Sylfaen" w:hAnsi="Sylfaen"/>
                <w:sz w:val="24"/>
                <w:szCs w:val="24"/>
              </w:rPr>
            </w:pPr>
          </w:p>
        </w:tc>
      </w:tr>
      <w:tr w:rsidR="008C76E0" w:rsidRPr="00BD7577" w14:paraId="155DC527" w14:textId="77777777" w:rsidTr="008C76E0">
        <w:tc>
          <w:tcPr>
            <w:tcW w:w="4263" w:type="dxa"/>
            <w:gridSpan w:val="2"/>
            <w:tcBorders>
              <w:top w:val="single" w:sz="4" w:space="0" w:color="auto"/>
              <w:left w:val="single" w:sz="4" w:space="0" w:color="auto"/>
            </w:tcBorders>
            <w:shd w:val="clear" w:color="auto" w:fill="FFFFFF"/>
            <w:vAlign w:val="bottom"/>
          </w:tcPr>
          <w:p w14:paraId="07CA122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Անոթային խանգարումներ</w:t>
            </w:r>
          </w:p>
        </w:tc>
        <w:tc>
          <w:tcPr>
            <w:tcW w:w="1371" w:type="dxa"/>
            <w:gridSpan w:val="3"/>
            <w:tcBorders>
              <w:top w:val="single" w:sz="4" w:space="0" w:color="auto"/>
              <w:left w:val="single" w:sz="4" w:space="0" w:color="auto"/>
            </w:tcBorders>
            <w:shd w:val="clear" w:color="auto" w:fill="FFFFFF"/>
          </w:tcPr>
          <w:p w14:paraId="6E26050D"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39CC31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FF58E31"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A5CCE29" w14:textId="77777777" w:rsidR="008C76E0" w:rsidRPr="00BD7577" w:rsidRDefault="008C76E0" w:rsidP="008C76E0">
            <w:pPr>
              <w:spacing w:after="120" w:line="240" w:lineRule="auto"/>
              <w:rPr>
                <w:rFonts w:ascii="Sylfaen" w:hAnsi="Sylfaen"/>
                <w:sz w:val="24"/>
                <w:szCs w:val="24"/>
              </w:rPr>
            </w:pPr>
          </w:p>
        </w:tc>
      </w:tr>
      <w:tr w:rsidR="008C76E0" w:rsidRPr="00BD7577" w14:paraId="53A56E7A" w14:textId="77777777" w:rsidTr="008C76E0">
        <w:tc>
          <w:tcPr>
            <w:tcW w:w="4263" w:type="dxa"/>
            <w:gridSpan w:val="2"/>
            <w:tcBorders>
              <w:top w:val="single" w:sz="4" w:space="0" w:color="auto"/>
              <w:left w:val="single" w:sz="4" w:space="0" w:color="auto"/>
            </w:tcBorders>
            <w:shd w:val="clear" w:color="auto" w:fill="FFFFFF"/>
            <w:vAlign w:val="bottom"/>
          </w:tcPr>
          <w:p w14:paraId="49611CDE"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Ուղեղի արյան շրջանառության խանգարումներ</w:t>
            </w:r>
          </w:p>
        </w:tc>
        <w:tc>
          <w:tcPr>
            <w:tcW w:w="1371" w:type="dxa"/>
            <w:gridSpan w:val="3"/>
            <w:tcBorders>
              <w:top w:val="single" w:sz="4" w:space="0" w:color="auto"/>
              <w:left w:val="single" w:sz="4" w:space="0" w:color="auto"/>
            </w:tcBorders>
            <w:shd w:val="clear" w:color="auto" w:fill="FFFFFF"/>
          </w:tcPr>
          <w:p w14:paraId="2D9D573A"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0828191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0557A36F"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E259A84" w14:textId="77777777" w:rsidR="008C76E0" w:rsidRPr="00BD7577" w:rsidRDefault="008C76E0" w:rsidP="008C76E0">
            <w:pPr>
              <w:spacing w:after="120" w:line="240" w:lineRule="auto"/>
              <w:rPr>
                <w:rFonts w:ascii="Sylfaen" w:hAnsi="Sylfaen"/>
                <w:sz w:val="24"/>
                <w:szCs w:val="24"/>
              </w:rPr>
            </w:pPr>
          </w:p>
        </w:tc>
      </w:tr>
      <w:tr w:rsidR="008C76E0" w:rsidRPr="00BD7577" w14:paraId="59B96DEE" w14:textId="77777777" w:rsidTr="008C76E0">
        <w:tc>
          <w:tcPr>
            <w:tcW w:w="4263" w:type="dxa"/>
            <w:gridSpan w:val="2"/>
            <w:tcBorders>
              <w:top w:val="single" w:sz="4" w:space="0" w:color="auto"/>
              <w:left w:val="single" w:sz="4" w:space="0" w:color="auto"/>
            </w:tcBorders>
            <w:shd w:val="clear" w:color="auto" w:fill="FFFFFF"/>
          </w:tcPr>
          <w:p w14:paraId="0C8C24D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Վարակիչ </w:t>
            </w:r>
            <w:r w:rsidR="00C54D75">
              <w:rPr>
                <w:rStyle w:val="Bodytext1811pt"/>
                <w:rFonts w:ascii="Sylfaen" w:hAnsi="Sylfaen"/>
                <w:sz w:val="24"/>
                <w:szCs w:val="24"/>
              </w:rPr>
              <w:t>և</w:t>
            </w:r>
            <w:r w:rsidRPr="00BD7577">
              <w:rPr>
                <w:rStyle w:val="Bodytext1811pt"/>
                <w:rFonts w:ascii="Sylfaen" w:hAnsi="Sylfaen"/>
                <w:sz w:val="24"/>
                <w:szCs w:val="24"/>
              </w:rPr>
              <w:t xml:space="preserve"> մակաբուծային հիվանդություններ</w:t>
            </w:r>
          </w:p>
        </w:tc>
        <w:tc>
          <w:tcPr>
            <w:tcW w:w="1371" w:type="dxa"/>
            <w:gridSpan w:val="3"/>
            <w:tcBorders>
              <w:top w:val="single" w:sz="4" w:space="0" w:color="auto"/>
              <w:left w:val="single" w:sz="4" w:space="0" w:color="auto"/>
            </w:tcBorders>
            <w:shd w:val="clear" w:color="auto" w:fill="FFFFFF"/>
          </w:tcPr>
          <w:p w14:paraId="776D78B5"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3DBCB196"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0AF5AED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E407447" w14:textId="77777777" w:rsidR="008C76E0" w:rsidRPr="00BD7577" w:rsidRDefault="008C76E0" w:rsidP="008C76E0">
            <w:pPr>
              <w:spacing w:after="120" w:line="240" w:lineRule="auto"/>
              <w:rPr>
                <w:rFonts w:ascii="Sylfaen" w:hAnsi="Sylfaen"/>
                <w:sz w:val="24"/>
                <w:szCs w:val="24"/>
              </w:rPr>
            </w:pPr>
          </w:p>
        </w:tc>
      </w:tr>
      <w:tr w:rsidR="008C76E0" w:rsidRPr="00BD7577" w14:paraId="1583867E" w14:textId="77777777" w:rsidTr="008C76E0">
        <w:tc>
          <w:tcPr>
            <w:tcW w:w="4263" w:type="dxa"/>
            <w:gridSpan w:val="2"/>
            <w:tcBorders>
              <w:top w:val="single" w:sz="4" w:space="0" w:color="auto"/>
              <w:left w:val="single" w:sz="4" w:space="0" w:color="auto"/>
            </w:tcBorders>
            <w:shd w:val="clear" w:color="auto" w:fill="FFFFFF"/>
            <w:vAlign w:val="bottom"/>
          </w:tcPr>
          <w:p w14:paraId="39BB2EC2"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Հակախոլիներգիկ ախտանիշ</w:t>
            </w:r>
          </w:p>
        </w:tc>
        <w:tc>
          <w:tcPr>
            <w:tcW w:w="1371" w:type="dxa"/>
            <w:gridSpan w:val="3"/>
            <w:tcBorders>
              <w:top w:val="single" w:sz="4" w:space="0" w:color="auto"/>
              <w:left w:val="single" w:sz="4" w:space="0" w:color="auto"/>
            </w:tcBorders>
            <w:shd w:val="clear" w:color="auto" w:fill="FFFFFF"/>
          </w:tcPr>
          <w:p w14:paraId="5CFDA68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09E9C7DC"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8A4F55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1B653A8A" w14:textId="77777777" w:rsidR="008C76E0" w:rsidRPr="00BD7577" w:rsidRDefault="008C76E0" w:rsidP="008C76E0">
            <w:pPr>
              <w:spacing w:after="120" w:line="240" w:lineRule="auto"/>
              <w:rPr>
                <w:rFonts w:ascii="Sylfaen" w:hAnsi="Sylfaen"/>
                <w:sz w:val="24"/>
                <w:szCs w:val="24"/>
              </w:rPr>
            </w:pPr>
          </w:p>
        </w:tc>
      </w:tr>
      <w:tr w:rsidR="008C76E0" w:rsidRPr="00BD7577" w14:paraId="1F5D89AF" w14:textId="77777777" w:rsidTr="008C76E0">
        <w:tc>
          <w:tcPr>
            <w:tcW w:w="4263" w:type="dxa"/>
            <w:gridSpan w:val="2"/>
            <w:tcBorders>
              <w:top w:val="single" w:sz="4" w:space="0" w:color="auto"/>
              <w:left w:val="single" w:sz="4" w:space="0" w:color="auto"/>
            </w:tcBorders>
            <w:shd w:val="clear" w:color="auto" w:fill="FFFFFF"/>
          </w:tcPr>
          <w:p w14:paraId="71CB58C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lastRenderedPageBreak/>
              <w:t xml:space="preserve">Կյանքի որակի անկում </w:t>
            </w:r>
          </w:p>
        </w:tc>
        <w:tc>
          <w:tcPr>
            <w:tcW w:w="1371" w:type="dxa"/>
            <w:gridSpan w:val="3"/>
            <w:tcBorders>
              <w:top w:val="single" w:sz="4" w:space="0" w:color="auto"/>
              <w:left w:val="single" w:sz="4" w:space="0" w:color="auto"/>
            </w:tcBorders>
            <w:shd w:val="clear" w:color="auto" w:fill="FFFFFF"/>
          </w:tcPr>
          <w:p w14:paraId="2118BAC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CC350D2"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7C0055E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3ECD2BE" w14:textId="77777777" w:rsidR="008C76E0" w:rsidRPr="00BD7577" w:rsidRDefault="008C76E0" w:rsidP="008C76E0">
            <w:pPr>
              <w:spacing w:after="120" w:line="240" w:lineRule="auto"/>
              <w:rPr>
                <w:rFonts w:ascii="Sylfaen" w:hAnsi="Sylfaen"/>
                <w:sz w:val="24"/>
                <w:szCs w:val="24"/>
              </w:rPr>
            </w:pPr>
          </w:p>
        </w:tc>
      </w:tr>
      <w:tr w:rsidR="008C76E0" w:rsidRPr="00BD7577" w14:paraId="517EA228" w14:textId="77777777" w:rsidTr="008C76E0">
        <w:tc>
          <w:tcPr>
            <w:tcW w:w="4263" w:type="dxa"/>
            <w:gridSpan w:val="2"/>
            <w:tcBorders>
              <w:top w:val="single" w:sz="4" w:space="0" w:color="auto"/>
              <w:left w:val="single" w:sz="4" w:space="0" w:color="auto"/>
              <w:bottom w:val="single" w:sz="4" w:space="0" w:color="auto"/>
            </w:tcBorders>
            <w:shd w:val="clear" w:color="auto" w:fill="FFFFFF"/>
            <w:vAlign w:val="bottom"/>
          </w:tcPr>
          <w:p w14:paraId="6277BD10"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 xml:space="preserve">Գումարային՝ օրտոստատիկ հիպոտենզիա, անկում, աչքերի մթագնում, ուշագնացություններ, գլխապտույտ, ատակսիա, կոտրվածքներ </w:t>
            </w:r>
          </w:p>
        </w:tc>
        <w:tc>
          <w:tcPr>
            <w:tcW w:w="1371" w:type="dxa"/>
            <w:gridSpan w:val="3"/>
            <w:tcBorders>
              <w:top w:val="single" w:sz="4" w:space="0" w:color="auto"/>
              <w:left w:val="single" w:sz="4" w:space="0" w:color="auto"/>
              <w:bottom w:val="single" w:sz="4" w:space="0" w:color="auto"/>
            </w:tcBorders>
            <w:shd w:val="clear" w:color="auto" w:fill="FFFFFF"/>
          </w:tcPr>
          <w:p w14:paraId="269CFB6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bottom w:val="single" w:sz="4" w:space="0" w:color="auto"/>
            </w:tcBorders>
            <w:shd w:val="clear" w:color="auto" w:fill="FFFFFF"/>
          </w:tcPr>
          <w:p w14:paraId="6F64C001"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bottom w:val="single" w:sz="4" w:space="0" w:color="auto"/>
            </w:tcBorders>
            <w:shd w:val="clear" w:color="auto" w:fill="FFFFFF"/>
          </w:tcPr>
          <w:p w14:paraId="0726EBAA"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14:paraId="7B2B91A0" w14:textId="77777777" w:rsidR="008C76E0" w:rsidRPr="00BD7577" w:rsidRDefault="008C76E0" w:rsidP="008C76E0">
            <w:pPr>
              <w:spacing w:after="120" w:line="240" w:lineRule="auto"/>
              <w:rPr>
                <w:rFonts w:ascii="Sylfaen" w:hAnsi="Sylfaen"/>
                <w:sz w:val="24"/>
                <w:szCs w:val="24"/>
              </w:rPr>
            </w:pPr>
          </w:p>
        </w:tc>
      </w:tr>
      <w:tr w:rsidR="008C76E0" w:rsidRPr="00BD7577" w14:paraId="0A6F570B" w14:textId="77777777" w:rsidTr="008C76E0">
        <w:tc>
          <w:tcPr>
            <w:tcW w:w="4263" w:type="dxa"/>
            <w:gridSpan w:val="2"/>
            <w:tcBorders>
              <w:top w:val="single" w:sz="4" w:space="0" w:color="auto"/>
              <w:left w:val="single" w:sz="4" w:space="0" w:color="auto"/>
            </w:tcBorders>
            <w:shd w:val="clear" w:color="auto" w:fill="FFFFFF"/>
            <w:vAlign w:val="bottom"/>
          </w:tcPr>
          <w:p w14:paraId="021FBC4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Ավելի հաճախ տարեց պացիենտների մոտ առաջացող այլ անցանկալի եր</w:t>
            </w:r>
            <w:r w:rsidR="00C54D75">
              <w:rPr>
                <w:rStyle w:val="Bodytext1811pt"/>
                <w:rFonts w:ascii="Sylfaen" w:hAnsi="Sylfaen"/>
                <w:sz w:val="24"/>
                <w:szCs w:val="24"/>
              </w:rPr>
              <w:t>և</w:t>
            </w:r>
            <w:r w:rsidRPr="00BD7577">
              <w:rPr>
                <w:rStyle w:val="Bodytext1811pt"/>
                <w:rFonts w:ascii="Sylfaen" w:hAnsi="Sylfaen"/>
                <w:sz w:val="24"/>
                <w:szCs w:val="24"/>
              </w:rPr>
              <w:t xml:space="preserve">ույթներ </w:t>
            </w:r>
          </w:p>
        </w:tc>
        <w:tc>
          <w:tcPr>
            <w:tcW w:w="1357" w:type="dxa"/>
            <w:gridSpan w:val="2"/>
            <w:tcBorders>
              <w:top w:val="single" w:sz="4" w:space="0" w:color="auto"/>
              <w:left w:val="single" w:sz="4" w:space="0" w:color="auto"/>
            </w:tcBorders>
            <w:shd w:val="clear" w:color="auto" w:fill="FFFFFF"/>
          </w:tcPr>
          <w:p w14:paraId="1686271E" w14:textId="77777777" w:rsidR="008C76E0" w:rsidRPr="00BD7577" w:rsidRDefault="008C76E0" w:rsidP="008C76E0">
            <w:pPr>
              <w:spacing w:after="120" w:line="240" w:lineRule="auto"/>
              <w:rPr>
                <w:rFonts w:ascii="Sylfaen" w:hAnsi="Sylfaen"/>
                <w:sz w:val="24"/>
                <w:szCs w:val="24"/>
              </w:rPr>
            </w:pPr>
          </w:p>
        </w:tc>
        <w:tc>
          <w:tcPr>
            <w:tcW w:w="1494" w:type="dxa"/>
            <w:gridSpan w:val="3"/>
            <w:tcBorders>
              <w:top w:val="single" w:sz="4" w:space="0" w:color="auto"/>
              <w:left w:val="single" w:sz="4" w:space="0" w:color="auto"/>
            </w:tcBorders>
            <w:shd w:val="clear" w:color="auto" w:fill="FFFFFF"/>
          </w:tcPr>
          <w:p w14:paraId="33975609"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FCC613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6EBAAC42" w14:textId="77777777" w:rsidR="008C76E0" w:rsidRPr="00BD7577" w:rsidRDefault="008C76E0" w:rsidP="008C76E0">
            <w:pPr>
              <w:spacing w:after="120" w:line="240" w:lineRule="auto"/>
              <w:rPr>
                <w:rFonts w:ascii="Sylfaen" w:hAnsi="Sylfaen"/>
                <w:sz w:val="24"/>
                <w:szCs w:val="24"/>
              </w:rPr>
            </w:pPr>
          </w:p>
        </w:tc>
      </w:tr>
      <w:tr w:rsidR="008C76E0" w:rsidRPr="00BD7577" w14:paraId="5C0F7033" w14:textId="77777777" w:rsidTr="008C76E0">
        <w:tc>
          <w:tcPr>
            <w:tcW w:w="10279" w:type="dxa"/>
            <w:gridSpan w:val="10"/>
            <w:tcBorders>
              <w:top w:val="single" w:sz="4" w:space="0" w:color="auto"/>
            </w:tcBorders>
            <w:shd w:val="clear" w:color="auto" w:fill="FFFFFF"/>
          </w:tcPr>
          <w:p w14:paraId="6C6AE63C" w14:textId="77777777" w:rsidR="008C76E0" w:rsidRPr="00BD7577" w:rsidRDefault="008C76E0" w:rsidP="008C76E0">
            <w:pPr>
              <w:spacing w:after="120" w:line="240" w:lineRule="auto"/>
              <w:rPr>
                <w:rFonts w:ascii="Sylfaen" w:hAnsi="Sylfaen"/>
                <w:sz w:val="24"/>
                <w:szCs w:val="24"/>
              </w:rPr>
            </w:pPr>
          </w:p>
        </w:tc>
      </w:tr>
      <w:tr w:rsidR="008C76E0" w:rsidRPr="00BD7577" w14:paraId="3C5A0370"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57503DA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F417CCC" w14:textId="77777777" w:rsidTr="008C76E0">
        <w:tc>
          <w:tcPr>
            <w:tcW w:w="10279" w:type="dxa"/>
            <w:gridSpan w:val="10"/>
            <w:tcBorders>
              <w:top w:val="single" w:sz="4" w:space="0" w:color="auto"/>
            </w:tcBorders>
            <w:shd w:val="clear" w:color="auto" w:fill="FFFFFF"/>
            <w:vAlign w:val="bottom"/>
          </w:tcPr>
          <w:p w14:paraId="6442BC5F" w14:textId="77777777" w:rsidR="008C76E0" w:rsidRPr="00BD7577" w:rsidRDefault="008C76E0" w:rsidP="008C76E0">
            <w:pPr>
              <w:pStyle w:val="Bodytext180"/>
              <w:shd w:val="clear" w:color="auto" w:fill="auto"/>
              <w:tabs>
                <w:tab w:val="left" w:pos="111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4.7.</w:t>
            </w:r>
            <w:r w:rsidRPr="00BD7577">
              <w:rPr>
                <w:rStyle w:val="Bodytext295pt"/>
                <w:rFonts w:ascii="Sylfaen" w:hAnsi="Sylfaen"/>
                <w:spacing w:val="0"/>
                <w:sz w:val="24"/>
                <w:szCs w:val="24"/>
              </w:rPr>
              <w:tab/>
              <w:t>Իմունաբանական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w:t>
            </w:r>
          </w:p>
        </w:tc>
      </w:tr>
      <w:tr w:rsidR="008C76E0" w:rsidRPr="00BD7577" w14:paraId="28053B05"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3E5D9AB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D973352" w14:textId="77777777" w:rsidTr="008C76E0">
        <w:tc>
          <w:tcPr>
            <w:tcW w:w="10279" w:type="dxa"/>
            <w:gridSpan w:val="10"/>
            <w:tcBorders>
              <w:top w:val="single" w:sz="4" w:space="0" w:color="auto"/>
            </w:tcBorders>
            <w:shd w:val="clear" w:color="auto" w:fill="FFFFFF"/>
            <w:vAlign w:val="bottom"/>
          </w:tcPr>
          <w:p w14:paraId="6BB5EECE" w14:textId="77777777" w:rsidR="008C76E0" w:rsidRPr="00BD7577" w:rsidRDefault="008C76E0" w:rsidP="008C76E0">
            <w:pPr>
              <w:pStyle w:val="Bodytext180"/>
              <w:shd w:val="clear" w:color="auto" w:fill="auto"/>
              <w:tabs>
                <w:tab w:val="left" w:pos="1132"/>
              </w:tabs>
              <w:spacing w:before="0" w:after="160" w:line="360" w:lineRule="auto"/>
              <w:ind w:left="-89" w:firstLine="710"/>
              <w:rPr>
                <w:rStyle w:val="Bodytext295pt"/>
                <w:rFonts w:ascii="Sylfaen" w:hAnsi="Sylfaen"/>
                <w:i/>
                <w:spacing w:val="0"/>
                <w:sz w:val="24"/>
                <w:szCs w:val="24"/>
              </w:rPr>
            </w:pPr>
            <w:r w:rsidRPr="00BD7577">
              <w:rPr>
                <w:rStyle w:val="Bodytext295pt"/>
                <w:rFonts w:ascii="Sylfaen" w:hAnsi="Sylfaen"/>
                <w:spacing w:val="0"/>
                <w:sz w:val="24"/>
                <w:szCs w:val="24"/>
              </w:rPr>
              <w:t>4.8.</w:t>
            </w:r>
            <w:r w:rsidRPr="00BD7577">
              <w:rPr>
                <w:rStyle w:val="Bodytext295pt"/>
                <w:rFonts w:ascii="Sylfaen" w:hAnsi="Sylfaen"/>
                <w:spacing w:val="0"/>
                <w:sz w:val="24"/>
                <w:szCs w:val="24"/>
              </w:rPr>
              <w:tab/>
              <w:t xml:space="preserve">Անվտանգությունը դեղային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այլ փոխազդեցությունների ժամանակ:</w:t>
            </w:r>
          </w:p>
        </w:tc>
      </w:tr>
      <w:tr w:rsidR="008C76E0" w:rsidRPr="00BD7577" w14:paraId="382170CC"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6C98AC9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E97E04" w14:textId="77777777" w:rsidTr="008C76E0">
        <w:tc>
          <w:tcPr>
            <w:tcW w:w="10279" w:type="dxa"/>
            <w:gridSpan w:val="10"/>
            <w:tcBorders>
              <w:top w:val="single" w:sz="4" w:space="0" w:color="auto"/>
            </w:tcBorders>
            <w:shd w:val="clear" w:color="auto" w:fill="FFFFFF"/>
            <w:vAlign w:val="center"/>
          </w:tcPr>
          <w:p w14:paraId="75F12370" w14:textId="77777777" w:rsidR="008C76E0" w:rsidRPr="00BD7577" w:rsidRDefault="008C76E0" w:rsidP="008C76E0">
            <w:pPr>
              <w:pStyle w:val="Bodytext180"/>
              <w:shd w:val="clear" w:color="auto" w:fill="auto"/>
              <w:tabs>
                <w:tab w:val="left" w:pos="114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4.9.</w:t>
            </w:r>
            <w:r w:rsidRPr="00BD7577">
              <w:rPr>
                <w:rStyle w:val="Bodytext295pt"/>
                <w:rFonts w:ascii="Sylfaen" w:hAnsi="Sylfaen"/>
                <w:spacing w:val="0"/>
                <w:sz w:val="24"/>
                <w:szCs w:val="24"/>
              </w:rPr>
              <w:tab/>
              <w:t>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ույթների պատճառով հետազոտությունից դուրս գալը:</w:t>
            </w:r>
          </w:p>
        </w:tc>
      </w:tr>
      <w:tr w:rsidR="008C76E0" w:rsidRPr="00BD7577" w14:paraId="38D6B35D"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1E9442E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ECE0C05" w14:textId="77777777" w:rsidTr="008C76E0">
        <w:tc>
          <w:tcPr>
            <w:tcW w:w="10279" w:type="dxa"/>
            <w:gridSpan w:val="10"/>
            <w:tcBorders>
              <w:top w:val="single" w:sz="4" w:space="0" w:color="auto"/>
            </w:tcBorders>
            <w:shd w:val="clear" w:color="auto" w:fill="FFFFFF"/>
            <w:vAlign w:val="bottom"/>
          </w:tcPr>
          <w:p w14:paraId="1FABD9C5" w14:textId="77777777" w:rsidR="008C76E0" w:rsidRPr="00BD7577" w:rsidRDefault="008C76E0" w:rsidP="008C76E0">
            <w:pPr>
              <w:pStyle w:val="Bodytext180"/>
              <w:shd w:val="clear" w:color="auto" w:fill="auto"/>
              <w:tabs>
                <w:tab w:val="left" w:pos="1701"/>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4.10.</w:t>
            </w:r>
            <w:r w:rsidRPr="00BD7577">
              <w:rPr>
                <w:rStyle w:val="Bodytext295pt"/>
                <w:rFonts w:ascii="Sylfaen" w:hAnsi="Sylfaen"/>
                <w:spacing w:val="0"/>
                <w:sz w:val="24"/>
                <w:szCs w:val="24"/>
              </w:rPr>
              <w:tab/>
              <w:t>Հետազոտություններ՝ պատրաստուկը շուկա դուրս բերելուց հետո:</w:t>
            </w:r>
          </w:p>
        </w:tc>
      </w:tr>
      <w:tr w:rsidR="008C76E0" w:rsidRPr="00BD7577" w14:paraId="35C38777"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61AFF12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DE21327" w14:textId="77777777" w:rsidTr="008C76E0">
        <w:tc>
          <w:tcPr>
            <w:tcW w:w="10279" w:type="dxa"/>
            <w:gridSpan w:val="10"/>
            <w:tcBorders>
              <w:top w:val="single" w:sz="4" w:space="0" w:color="auto"/>
            </w:tcBorders>
            <w:shd w:val="clear" w:color="auto" w:fill="FFFFFF"/>
            <w:vAlign w:val="bottom"/>
          </w:tcPr>
          <w:p w14:paraId="2930A458" w14:textId="77777777" w:rsidR="008C76E0" w:rsidRPr="00BD7577" w:rsidRDefault="008C76E0" w:rsidP="008C76E0">
            <w:pPr>
              <w:pStyle w:val="Bodytext180"/>
              <w:shd w:val="clear" w:color="auto" w:fill="auto"/>
              <w:tabs>
                <w:tab w:val="left" w:pos="1701"/>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4.11.</w:t>
            </w:r>
            <w:r w:rsidRPr="00BD7577">
              <w:rPr>
                <w:rStyle w:val="Bodytext295pt"/>
                <w:rFonts w:ascii="Sylfaen" w:hAnsi="Sylfaen"/>
                <w:spacing w:val="0"/>
                <w:sz w:val="24"/>
                <w:szCs w:val="24"/>
              </w:rPr>
              <w:tab/>
              <w:t>Կլինիկական անվտանգության գնահատման գծով փորձագետի ընդհանուր եզրակացությունը։</w:t>
            </w:r>
          </w:p>
          <w:p w14:paraId="4A1D7BB7" w14:textId="77777777" w:rsidR="008C76E0" w:rsidRPr="00BD7577" w:rsidRDefault="008C76E0" w:rsidP="008C76E0">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 xml:space="preserve">կլինիկական արդյունավետության վերաբերյալ եզրակացությունները </w:t>
            </w:r>
          </w:p>
          <w:p w14:paraId="681FFAB6" w14:textId="77777777" w:rsidR="008C76E0" w:rsidRPr="00BD7577" w:rsidRDefault="008C76E0" w:rsidP="008C76E0">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կլինիկական անվտանգության վերաբերյալ եզրակացությունները</w:t>
            </w:r>
          </w:p>
        </w:tc>
      </w:tr>
    </w:tbl>
    <w:p w14:paraId="55057C62" w14:textId="77777777" w:rsidR="008C76E0" w:rsidRDefault="008C76E0" w:rsidP="008C76E0">
      <w:pPr>
        <w:ind w:right="-1"/>
        <w:rPr>
          <w:rFonts w:ascii="Sylfaen" w:hAnsi="Sylfaen"/>
          <w:sz w:val="24"/>
          <w:szCs w:val="24"/>
        </w:rPr>
      </w:pPr>
    </w:p>
    <w:p w14:paraId="4E81A4CD" w14:textId="77777777" w:rsidR="008C76E0" w:rsidRDefault="008C76E0" w:rsidP="008C76E0">
      <w:pPr>
        <w:widowControl/>
        <w:rPr>
          <w:rFonts w:ascii="Sylfaen" w:hAnsi="Sylfaen"/>
          <w:sz w:val="24"/>
          <w:szCs w:val="24"/>
        </w:rPr>
      </w:pPr>
      <w:r>
        <w:rPr>
          <w:rFonts w:ascii="Sylfaen" w:hAnsi="Sylfaen"/>
          <w:sz w:val="24"/>
          <w:szCs w:val="24"/>
        </w:rPr>
        <w:br w:type="page"/>
      </w:r>
    </w:p>
    <w:p w14:paraId="5E9C2736" w14:textId="77777777" w:rsidR="008C76E0" w:rsidRPr="00BD7577" w:rsidRDefault="008C76E0" w:rsidP="00305C5C">
      <w:pPr>
        <w:spacing w:after="160" w:line="360" w:lineRule="auto"/>
        <w:ind w:left="567" w:right="-1"/>
        <w:jc w:val="center"/>
        <w:rPr>
          <w:rFonts w:ascii="Sylfaen" w:hAnsi="Sylfaen"/>
          <w:sz w:val="24"/>
          <w:szCs w:val="24"/>
        </w:rPr>
      </w:pPr>
      <w:r w:rsidRPr="00BD7577">
        <w:rPr>
          <w:rFonts w:ascii="Sylfaen" w:hAnsi="Sylfaen"/>
          <w:sz w:val="24"/>
          <w:szCs w:val="24"/>
        </w:rPr>
        <w:lastRenderedPageBreak/>
        <w:t>5. Դեղազգոնությունը</w:t>
      </w:r>
    </w:p>
    <w:p w14:paraId="27991B2F" w14:textId="77777777" w:rsidR="008C76E0" w:rsidRPr="00BD7577" w:rsidRDefault="008C76E0" w:rsidP="00305C5C">
      <w:pPr>
        <w:tabs>
          <w:tab w:val="left" w:pos="1134"/>
        </w:tabs>
        <w:spacing w:after="160" w:line="360" w:lineRule="auto"/>
        <w:ind w:right="-1" w:firstLine="567"/>
        <w:rPr>
          <w:rFonts w:ascii="Sylfaen" w:hAnsi="Sylfaen"/>
          <w:sz w:val="24"/>
          <w:szCs w:val="24"/>
        </w:rPr>
      </w:pPr>
      <w:r w:rsidRPr="00BD7577">
        <w:rPr>
          <w:rFonts w:ascii="Sylfaen" w:hAnsi="Sylfaen"/>
          <w:sz w:val="24"/>
          <w:szCs w:val="24"/>
        </w:rPr>
        <w:t>5.1.</w:t>
      </w:r>
      <w:r w:rsidRPr="00DD61E4">
        <w:rPr>
          <w:rFonts w:ascii="Sylfaen" w:hAnsi="Sylfaen"/>
          <w:sz w:val="24"/>
          <w:szCs w:val="24"/>
        </w:rPr>
        <w:tab/>
      </w:r>
      <w:r w:rsidRPr="00BD7577">
        <w:rPr>
          <w:rFonts w:ascii="Sylfaen" w:hAnsi="Sylfaen"/>
          <w:sz w:val="24"/>
          <w:szCs w:val="24"/>
        </w:rPr>
        <w:t>Դեղազգոնության համակարգը:</w:t>
      </w:r>
    </w:p>
    <w:p w14:paraId="37B4A860" w14:textId="3F504979" w:rsidR="008C76E0" w:rsidRPr="00BD7577" w:rsidRDefault="0056496B" w:rsidP="00305C5C">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ն </w:t>
      </w:r>
      <w:r w:rsidR="008C76E0" w:rsidRPr="009B12B2">
        <w:rPr>
          <w:rFonts w:ascii="Sylfaen" w:hAnsi="Sylfaen"/>
          <w:spacing w:val="-4"/>
          <w:sz w:val="24"/>
          <w:szCs w:val="24"/>
        </w:rPr>
        <w:t xml:space="preserve">ներկայացրեց փաստաթղթեր, որոնցում շարադրված է դեղազգոնության համակարգի մանրամասն նկարագրությունը: Դեղազգոնության համար </w:t>
      </w:r>
      <w:r>
        <w:rPr>
          <w:rFonts w:ascii="Sylfaen" w:hAnsi="Sylfaen"/>
          <w:spacing w:val="-4"/>
          <w:sz w:val="24"/>
          <w:szCs w:val="24"/>
        </w:rPr>
        <w:t>դիմում</w:t>
      </w:r>
      <w:r w:rsidR="008C76E0" w:rsidRPr="009B12B2">
        <w:rPr>
          <w:rFonts w:ascii="Sylfaen" w:hAnsi="Sylfaen"/>
          <w:spacing w:val="-4"/>
          <w:sz w:val="24"/>
          <w:szCs w:val="24"/>
        </w:rPr>
        <w:t xml:space="preserve">ը ստորագրված է </w:t>
      </w:r>
      <w:r>
        <w:rPr>
          <w:rFonts w:ascii="Sylfaen" w:hAnsi="Sylfaen"/>
          <w:spacing w:val="-4"/>
          <w:sz w:val="24"/>
          <w:szCs w:val="24"/>
        </w:rPr>
        <w:t>դիմումատու</w:t>
      </w:r>
      <w:r w:rsidR="008C76E0" w:rsidRPr="009B12B2">
        <w:rPr>
          <w:rFonts w:ascii="Sylfaen" w:hAnsi="Sylfaen"/>
          <w:spacing w:val="-4"/>
          <w:sz w:val="24"/>
          <w:szCs w:val="24"/>
        </w:rPr>
        <w:t xml:space="preserve">ի </w:t>
      </w:r>
      <w:r w:rsidR="00C54D75">
        <w:rPr>
          <w:rFonts w:ascii="Sylfaen" w:hAnsi="Sylfaen"/>
          <w:spacing w:val="-4"/>
          <w:sz w:val="24"/>
          <w:szCs w:val="24"/>
        </w:rPr>
        <w:t>և</w:t>
      </w:r>
      <w:r w:rsidR="008C76E0" w:rsidRPr="009B12B2">
        <w:rPr>
          <w:rFonts w:ascii="Sylfaen" w:hAnsi="Sylfaen"/>
          <w:spacing w:val="-4"/>
          <w:sz w:val="24"/>
          <w:szCs w:val="24"/>
        </w:rPr>
        <w:t xml:space="preserve"> լիազորված անձի կողմից, ընդ որում, դրանում նշված է, որ </w:t>
      </w:r>
      <w:r>
        <w:rPr>
          <w:rFonts w:ascii="Sylfaen" w:hAnsi="Sylfaen"/>
          <w:spacing w:val="-4"/>
          <w:sz w:val="24"/>
          <w:szCs w:val="24"/>
        </w:rPr>
        <w:t>դիմումատու</w:t>
      </w:r>
      <w:r w:rsidR="008C76E0" w:rsidRPr="009B12B2">
        <w:rPr>
          <w:rFonts w:ascii="Sylfaen" w:hAnsi="Sylfaen"/>
          <w:spacing w:val="-4"/>
          <w:sz w:val="24"/>
          <w:szCs w:val="24"/>
        </w:rPr>
        <w:t xml:space="preserve">ին տրամադրվում են դեղազգոնության համար պատասխանատու լիազորված անձի ծառայությունները, </w:t>
      </w:r>
      <w:r w:rsidR="00C54D75">
        <w:rPr>
          <w:rFonts w:ascii="Sylfaen" w:hAnsi="Sylfaen"/>
          <w:spacing w:val="-4"/>
          <w:sz w:val="24"/>
          <w:szCs w:val="24"/>
        </w:rPr>
        <w:t>և</w:t>
      </w:r>
      <w:r w:rsidR="008C76E0" w:rsidRPr="009B12B2">
        <w:rPr>
          <w:rFonts w:ascii="Sylfaen" w:hAnsi="Sylfaen"/>
          <w:spacing w:val="-4"/>
          <w:sz w:val="24"/>
          <w:szCs w:val="24"/>
        </w:rPr>
        <w:t xml:space="preserve"> տրամադրվել են անհրաժեշտ միջոցներ՝ Եվրասիական տնտեսական</w:t>
      </w:r>
      <w:r w:rsidR="008C76E0" w:rsidRPr="00BD7577">
        <w:rPr>
          <w:rFonts w:ascii="Sylfaen" w:hAnsi="Sylfaen"/>
          <w:sz w:val="24"/>
          <w:szCs w:val="24"/>
        </w:rPr>
        <w:t xml:space="preserve"> միությունում կամ երրորդ երկրում առաջացող ցանկացած անցանկալի ռեակցիայի մասին ծանուցելու համար: </w:t>
      </w:r>
    </w:p>
    <w:p w14:paraId="28AC3D99" w14:textId="67E74516"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BD7577">
        <w:rPr>
          <w:rFonts w:ascii="Sylfaen" w:hAnsi="Sylfaen"/>
          <w:sz w:val="24"/>
          <w:szCs w:val="24"/>
        </w:rPr>
        <w:t xml:space="preserve">ի կողմից, բավարարում է պահանջները </w:t>
      </w:r>
      <w:r w:rsidR="00C54D75">
        <w:rPr>
          <w:rFonts w:ascii="Sylfaen" w:hAnsi="Sylfaen"/>
          <w:sz w:val="24"/>
          <w:szCs w:val="24"/>
        </w:rPr>
        <w:t>և</w:t>
      </w:r>
      <w:r w:rsidRPr="00BD7577">
        <w:rPr>
          <w:rFonts w:ascii="Sylfaen" w:hAnsi="Sylfaen"/>
          <w:sz w:val="24"/>
          <w:szCs w:val="24"/>
        </w:rPr>
        <w:t xml:space="preserve"> համապատասխան ապացույց է ներկայացնում առ այն, որ </w:t>
      </w:r>
      <w:r w:rsidR="0056496B">
        <w:rPr>
          <w:rFonts w:ascii="Sylfaen" w:hAnsi="Sylfaen"/>
          <w:sz w:val="24"/>
          <w:szCs w:val="24"/>
        </w:rPr>
        <w:t>դիմումատու</w:t>
      </w:r>
      <w:r w:rsidRPr="00BD7577">
        <w:rPr>
          <w:rFonts w:ascii="Sylfaen" w:hAnsi="Sylfaen"/>
          <w:sz w:val="24"/>
          <w:szCs w:val="24"/>
        </w:rPr>
        <w:t xml:space="preserve">ին տրամադրվում են դեղազգոնության համար պատասխանատու լիազորված անձի ծառայություններ, </w:t>
      </w:r>
      <w:r w:rsidR="00C54D75">
        <w:rPr>
          <w:rFonts w:ascii="Sylfaen" w:hAnsi="Sylfaen"/>
          <w:sz w:val="24"/>
          <w:szCs w:val="24"/>
        </w:rPr>
        <w:t>և</w:t>
      </w:r>
      <w:r w:rsidRPr="00BD7577">
        <w:rPr>
          <w:rFonts w:ascii="Sylfaen" w:hAnsi="Sylfaen"/>
          <w:sz w:val="24"/>
          <w:szCs w:val="24"/>
        </w:rPr>
        <w:t xml:space="preserve"> առկա են Եվրասիական տնտեսական միությունում կամ երրորդ երկրում առաջացող ցանկացած ենթադրյալ անցանկալի ռեակցիայի մասին ծանուցման համար անհրաժեշտ միջոցներ:</w:t>
      </w:r>
    </w:p>
    <w:p w14:paraId="72C3DE6F" w14:textId="270ACD24"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BD7577">
        <w:rPr>
          <w:rFonts w:ascii="Sylfaen" w:hAnsi="Sylfaen"/>
          <w:sz w:val="24"/>
          <w:szCs w:val="24"/>
        </w:rPr>
        <w:t>ի կողմից, ունի հետ</w:t>
      </w:r>
      <w:r w:rsidR="00C54D75">
        <w:rPr>
          <w:rFonts w:ascii="Sylfaen" w:hAnsi="Sylfaen"/>
          <w:sz w:val="24"/>
          <w:szCs w:val="24"/>
        </w:rPr>
        <w:t>և</w:t>
      </w:r>
      <w:r w:rsidRPr="00BD7577">
        <w:rPr>
          <w:rFonts w:ascii="Sylfaen" w:hAnsi="Sylfaen"/>
          <w:sz w:val="24"/>
          <w:szCs w:val="24"/>
        </w:rPr>
        <w:t>յալ թերությունները՝ «թերությունների ցանկը»:</w:t>
      </w:r>
    </w:p>
    <w:p w14:paraId="5F394FF1" w14:textId="5F51EBFB" w:rsidR="008C76E0" w:rsidRPr="007106A3"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Հաշվի առնելով, որ թերությունները վերացվում են նախքան </w:t>
      </w:r>
      <w:r w:rsidR="0056496B">
        <w:rPr>
          <w:rFonts w:ascii="Sylfaen" w:hAnsi="Sylfaen"/>
          <w:sz w:val="24"/>
          <w:szCs w:val="24"/>
        </w:rPr>
        <w:t>դիմումատու</w:t>
      </w:r>
      <w:r w:rsidRPr="00BD7577">
        <w:rPr>
          <w:rFonts w:ascii="Sylfaen" w:hAnsi="Sylfaen"/>
          <w:sz w:val="24"/>
          <w:szCs w:val="24"/>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sz w:val="24"/>
          <w:szCs w:val="24"/>
        </w:rPr>
        <w:t>դիմումատու</w:t>
      </w:r>
      <w:r w:rsidRPr="00BD7577">
        <w:rPr>
          <w:rFonts w:ascii="Sylfaen" w:hAnsi="Sylfaen"/>
          <w:sz w:val="24"/>
          <w:szCs w:val="24"/>
        </w:rPr>
        <w:t xml:space="preserve">ն պետք է ներկայացնի համոզիչ տվյալներ առ այն, որ դեղազգոնության համակարգն ընդունվել </w:t>
      </w:r>
      <w:r w:rsidR="00C54D75">
        <w:rPr>
          <w:rFonts w:ascii="Sylfaen" w:hAnsi="Sylfaen"/>
          <w:sz w:val="24"/>
          <w:szCs w:val="24"/>
        </w:rPr>
        <w:t>և</w:t>
      </w:r>
      <w:r w:rsidRPr="00BD7577">
        <w:rPr>
          <w:rFonts w:ascii="Sylfaen" w:hAnsi="Sylfaen"/>
          <w:sz w:val="24"/>
          <w:szCs w:val="24"/>
        </w:rPr>
        <w:t xml:space="preserve"> գործում է:</w:t>
      </w:r>
    </w:p>
    <w:p w14:paraId="34BCC810" w14:textId="77777777" w:rsidR="008C76E0" w:rsidRPr="007106A3" w:rsidRDefault="008C76E0" w:rsidP="00305C5C">
      <w:pPr>
        <w:spacing w:after="160" w:line="36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4A0" w:firstRow="1" w:lastRow="0" w:firstColumn="1" w:lastColumn="0" w:noHBand="0" w:noVBand="1"/>
      </w:tblPr>
      <w:tblGrid>
        <w:gridCol w:w="9566"/>
      </w:tblGrid>
      <w:tr w:rsidR="008C76E0" w:rsidRPr="00BD7577" w14:paraId="3149F618" w14:textId="77777777" w:rsidTr="008C76E0">
        <w:tc>
          <w:tcPr>
            <w:tcW w:w="9566" w:type="dxa"/>
            <w:tcBorders>
              <w:top w:val="single" w:sz="4" w:space="0" w:color="auto"/>
              <w:left w:val="single" w:sz="4" w:space="0" w:color="auto"/>
              <w:right w:val="single" w:sz="4" w:space="0" w:color="auto"/>
            </w:tcBorders>
            <w:shd w:val="clear" w:color="auto" w:fill="FFFFFF"/>
          </w:tcPr>
          <w:p w14:paraId="4953DCC9" w14:textId="77777777" w:rsidR="008C76E0" w:rsidRPr="00BD7577" w:rsidRDefault="008C76E0" w:rsidP="00305C5C">
            <w:pPr>
              <w:pStyle w:val="Bodytext180"/>
              <w:shd w:val="clear" w:color="auto" w:fill="auto"/>
              <w:spacing w:before="0" w:after="160" w:line="360" w:lineRule="auto"/>
              <w:ind w:left="96" w:firstLine="0"/>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36C1090C" w14:textId="77777777" w:rsidTr="008C76E0">
        <w:tc>
          <w:tcPr>
            <w:tcW w:w="9566" w:type="dxa"/>
            <w:tcBorders>
              <w:top w:val="single" w:sz="4" w:space="0" w:color="auto"/>
              <w:bottom w:val="single" w:sz="4" w:space="0" w:color="auto"/>
            </w:tcBorders>
            <w:shd w:val="clear" w:color="auto" w:fill="FFFFFF"/>
          </w:tcPr>
          <w:p w14:paraId="7D72BFD8" w14:textId="77777777" w:rsidR="008C76E0" w:rsidRPr="00BD7577" w:rsidRDefault="008C76E0" w:rsidP="00305C5C">
            <w:pPr>
              <w:pStyle w:val="Bodytext180"/>
              <w:shd w:val="clear" w:color="auto" w:fill="auto"/>
              <w:tabs>
                <w:tab w:val="left" w:pos="1089"/>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5.2.</w:t>
            </w:r>
            <w:r w:rsidRPr="00BD7577">
              <w:rPr>
                <w:rStyle w:val="Bodytext295pt"/>
                <w:rFonts w:ascii="Sylfaen" w:hAnsi="Sylfaen"/>
                <w:spacing w:val="0"/>
                <w:sz w:val="24"/>
                <w:szCs w:val="24"/>
              </w:rPr>
              <w:tab/>
              <w:t>Ռիսկերի կառավարման պլանը:</w:t>
            </w:r>
          </w:p>
          <w:p w14:paraId="3636CC76" w14:textId="77777777" w:rsidR="008C76E0" w:rsidRPr="00BD7577" w:rsidRDefault="008C76E0" w:rsidP="00305C5C">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 xml:space="preserve">Դեղազգոնության ոլորտում փորձագետի կողմից քննարկման համար հարցեր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(կամ) դիտողություններ՝ ռիսկերի կառավարման պլանը գնահատելու ժամանակ՝ </w:t>
            </w:r>
          </w:p>
          <w:p w14:paraId="6F4EA29B" w14:textId="77777777" w:rsidR="008C76E0" w:rsidRPr="00BD7577" w:rsidRDefault="008C76E0" w:rsidP="00305C5C">
            <w:pPr>
              <w:pStyle w:val="Bodytext180"/>
              <w:shd w:val="clear" w:color="auto" w:fill="auto"/>
              <w:tabs>
                <w:tab w:val="left" w:pos="1897"/>
              </w:tabs>
              <w:spacing w:before="0" w:after="160" w:line="360" w:lineRule="auto"/>
              <w:ind w:firstLine="0"/>
              <w:rPr>
                <w:rStyle w:val="Bodytext295pt"/>
                <w:rFonts w:ascii="Sylfaen" w:hAnsi="Sylfaen"/>
                <w:b/>
                <w:spacing w:val="0"/>
                <w:sz w:val="24"/>
                <w:szCs w:val="24"/>
              </w:rPr>
            </w:pPr>
          </w:p>
        </w:tc>
      </w:tr>
      <w:tr w:rsidR="008C76E0" w:rsidRPr="00BD7577" w14:paraId="543FD533" w14:textId="77777777" w:rsidTr="008C76E0">
        <w:tc>
          <w:tcPr>
            <w:tcW w:w="9566" w:type="dxa"/>
            <w:tcBorders>
              <w:top w:val="single" w:sz="4" w:space="0" w:color="auto"/>
              <w:bottom w:val="single" w:sz="4" w:space="0" w:color="auto"/>
            </w:tcBorders>
            <w:shd w:val="clear" w:color="auto" w:fill="FFFFFF"/>
          </w:tcPr>
          <w:p w14:paraId="2684EB33" w14:textId="77777777" w:rsidR="008C76E0" w:rsidRPr="00BD7577" w:rsidRDefault="008C76E0" w:rsidP="00305C5C">
            <w:pPr>
              <w:spacing w:after="160" w:line="360" w:lineRule="auto"/>
              <w:rPr>
                <w:rFonts w:ascii="Sylfaen" w:hAnsi="Sylfaen"/>
                <w:sz w:val="24"/>
                <w:szCs w:val="24"/>
              </w:rPr>
            </w:pPr>
          </w:p>
        </w:tc>
      </w:tr>
    </w:tbl>
    <w:p w14:paraId="2FE2DEEB" w14:textId="77777777" w:rsidR="008C76E0" w:rsidRPr="00BD7577" w:rsidRDefault="008C76E0" w:rsidP="00305C5C">
      <w:pPr>
        <w:spacing w:after="160" w:line="360" w:lineRule="auto"/>
        <w:rPr>
          <w:rFonts w:ascii="Sylfaen" w:hAnsi="Sylfaen"/>
          <w:sz w:val="24"/>
          <w:szCs w:val="24"/>
        </w:rPr>
      </w:pPr>
    </w:p>
    <w:p w14:paraId="2D8EAB99" w14:textId="77777777" w:rsidR="008C76E0" w:rsidRPr="00BD7577" w:rsidRDefault="008C76E0" w:rsidP="00305C5C">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6. Գրականության ցանկը՝</w:t>
      </w:r>
    </w:p>
    <w:tbl>
      <w:tblPr>
        <w:tblOverlap w:val="never"/>
        <w:tblW w:w="9566" w:type="dxa"/>
        <w:tblLayout w:type="fixed"/>
        <w:tblCellMar>
          <w:left w:w="10" w:type="dxa"/>
          <w:right w:w="10" w:type="dxa"/>
        </w:tblCellMar>
        <w:tblLook w:val="04A0" w:firstRow="1" w:lastRow="0" w:firstColumn="1" w:lastColumn="0" w:noHBand="0" w:noVBand="1"/>
      </w:tblPr>
      <w:tblGrid>
        <w:gridCol w:w="9566"/>
      </w:tblGrid>
      <w:tr w:rsidR="008C76E0" w:rsidRPr="00BD7577" w14:paraId="72CD2737" w14:textId="77777777" w:rsidTr="008C76E0">
        <w:tc>
          <w:tcPr>
            <w:tcW w:w="9566" w:type="dxa"/>
            <w:tcBorders>
              <w:top w:val="single" w:sz="4" w:space="0" w:color="auto"/>
            </w:tcBorders>
            <w:shd w:val="clear" w:color="auto" w:fill="FFFFFF"/>
          </w:tcPr>
          <w:p w14:paraId="5559D855" w14:textId="77777777" w:rsidR="008C76E0" w:rsidRPr="00BD7577" w:rsidRDefault="008C76E0" w:rsidP="00305C5C">
            <w:pPr>
              <w:spacing w:after="160" w:line="360" w:lineRule="auto"/>
              <w:rPr>
                <w:rFonts w:ascii="Sylfaen" w:hAnsi="Sylfaen"/>
                <w:sz w:val="24"/>
                <w:szCs w:val="24"/>
              </w:rPr>
            </w:pPr>
          </w:p>
        </w:tc>
      </w:tr>
      <w:tr w:rsidR="008C76E0" w:rsidRPr="00BD7577" w14:paraId="4BEC35AA" w14:textId="77777777" w:rsidTr="008C76E0">
        <w:tc>
          <w:tcPr>
            <w:tcW w:w="9566" w:type="dxa"/>
            <w:tcBorders>
              <w:top w:val="single" w:sz="4" w:space="0" w:color="auto"/>
              <w:bottom w:val="single" w:sz="4" w:space="0" w:color="auto"/>
            </w:tcBorders>
            <w:shd w:val="clear" w:color="auto" w:fill="FFFFFF"/>
          </w:tcPr>
          <w:p w14:paraId="4366703A" w14:textId="77777777" w:rsidR="008C76E0" w:rsidRPr="00BD7577" w:rsidRDefault="008C76E0" w:rsidP="00305C5C">
            <w:pPr>
              <w:spacing w:after="160" w:line="360" w:lineRule="auto"/>
              <w:rPr>
                <w:rFonts w:ascii="Sylfaen" w:hAnsi="Sylfaen"/>
                <w:sz w:val="24"/>
                <w:szCs w:val="24"/>
              </w:rPr>
            </w:pPr>
          </w:p>
        </w:tc>
      </w:tr>
      <w:tr w:rsidR="008C76E0" w:rsidRPr="00BD7577" w14:paraId="3362DE78" w14:textId="77777777" w:rsidTr="008C76E0">
        <w:tc>
          <w:tcPr>
            <w:tcW w:w="9566" w:type="dxa"/>
            <w:tcBorders>
              <w:top w:val="single" w:sz="4" w:space="0" w:color="auto"/>
              <w:bottom w:val="single" w:sz="4" w:space="0" w:color="auto"/>
            </w:tcBorders>
            <w:shd w:val="clear" w:color="auto" w:fill="FFFFFF"/>
          </w:tcPr>
          <w:p w14:paraId="3FD3975F" w14:textId="77777777" w:rsidR="008C76E0" w:rsidRPr="00BD7577" w:rsidRDefault="008C76E0" w:rsidP="00305C5C">
            <w:pPr>
              <w:spacing w:after="160" w:line="360" w:lineRule="auto"/>
              <w:rPr>
                <w:rFonts w:ascii="Sylfaen" w:hAnsi="Sylfaen"/>
                <w:sz w:val="24"/>
                <w:szCs w:val="24"/>
              </w:rPr>
            </w:pPr>
          </w:p>
        </w:tc>
      </w:tr>
    </w:tbl>
    <w:p w14:paraId="72FD7BF4" w14:textId="77777777" w:rsidR="008C76E0" w:rsidRPr="00BD7577" w:rsidRDefault="008C76E0" w:rsidP="00305C5C">
      <w:pPr>
        <w:spacing w:after="160" w:line="360" w:lineRule="auto"/>
        <w:jc w:val="center"/>
        <w:rPr>
          <w:rFonts w:ascii="Sylfaen" w:hAnsi="Sylfaen"/>
          <w:sz w:val="24"/>
          <w:szCs w:val="24"/>
        </w:rPr>
      </w:pPr>
    </w:p>
    <w:p w14:paraId="01894218" w14:textId="77777777" w:rsidR="008C76E0" w:rsidRPr="00BD7577" w:rsidRDefault="008C76E0" w:rsidP="00305C5C">
      <w:pPr>
        <w:tabs>
          <w:tab w:val="left" w:pos="1134"/>
        </w:tabs>
        <w:spacing w:after="160" w:line="360" w:lineRule="auto"/>
        <w:ind w:firstLine="567"/>
        <w:jc w:val="center"/>
        <w:rPr>
          <w:rFonts w:ascii="Sylfaen" w:hAnsi="Sylfaen"/>
          <w:sz w:val="24"/>
          <w:szCs w:val="24"/>
        </w:rPr>
      </w:pPr>
      <w:r>
        <w:rPr>
          <w:rFonts w:ascii="Sylfaen" w:hAnsi="Sylfaen"/>
          <w:sz w:val="24"/>
          <w:szCs w:val="24"/>
        </w:rPr>
        <w:t>7.</w:t>
      </w:r>
      <w:r w:rsidRPr="00653582">
        <w:rPr>
          <w:rFonts w:ascii="Sylfaen" w:hAnsi="Sylfaen"/>
          <w:sz w:val="24"/>
          <w:szCs w:val="24"/>
        </w:rPr>
        <w:t xml:space="preserve"> </w:t>
      </w:r>
      <w:r w:rsidRPr="00BD7577">
        <w:rPr>
          <w:rFonts w:ascii="Sylfaen" w:hAnsi="Sylfaen"/>
          <w:sz w:val="24"/>
          <w:szCs w:val="24"/>
        </w:rPr>
        <w:t>Փորձագետի կողմից առաջադրվող հարցերի ցանկը</w:t>
      </w:r>
    </w:p>
    <w:p w14:paraId="09B94F57" w14:textId="77777777" w:rsidR="008C76E0" w:rsidRPr="00BD7577" w:rsidRDefault="008C76E0" w:rsidP="00305C5C">
      <w:pPr>
        <w:tabs>
          <w:tab w:val="left" w:pos="1134"/>
        </w:tabs>
        <w:spacing w:after="160" w:line="360" w:lineRule="auto"/>
        <w:ind w:left="1134" w:hanging="567"/>
        <w:rPr>
          <w:rFonts w:ascii="Sylfaen" w:hAnsi="Sylfaen"/>
          <w:sz w:val="24"/>
          <w:szCs w:val="24"/>
        </w:rPr>
      </w:pPr>
      <w:r w:rsidRPr="00BD7577">
        <w:rPr>
          <w:rFonts w:ascii="Sylfaen" w:hAnsi="Sylfaen"/>
          <w:sz w:val="24"/>
          <w:szCs w:val="24"/>
        </w:rPr>
        <w:t>Կլինիկական ասպեկտները՝</w:t>
      </w:r>
    </w:p>
    <w:p w14:paraId="25256E10" w14:textId="77777777" w:rsidR="008C76E0" w:rsidRPr="00BD7577" w:rsidRDefault="008C76E0" w:rsidP="00305C5C">
      <w:pPr>
        <w:tabs>
          <w:tab w:val="left" w:pos="1134"/>
        </w:tabs>
        <w:spacing w:after="160" w:line="360" w:lineRule="auto"/>
        <w:ind w:right="1982" w:firstLine="567"/>
        <w:rPr>
          <w:rFonts w:ascii="Sylfaen" w:hAnsi="Sylfaen"/>
          <w:sz w:val="24"/>
          <w:szCs w:val="24"/>
        </w:rPr>
      </w:pPr>
      <w:r w:rsidRPr="00BD7577">
        <w:rPr>
          <w:rFonts w:ascii="Sylfaen" w:hAnsi="Sylfaen"/>
          <w:sz w:val="24"/>
          <w:szCs w:val="24"/>
        </w:rPr>
        <w:t>ա)</w:t>
      </w:r>
      <w:r w:rsidRPr="00BD7577">
        <w:rPr>
          <w:rFonts w:ascii="Sylfaen" w:hAnsi="Sylfaen"/>
          <w:sz w:val="24"/>
          <w:szCs w:val="24"/>
        </w:rPr>
        <w:tab/>
        <w:t>հիմնական դիտողությունները՝</w:t>
      </w:r>
    </w:p>
    <w:p w14:paraId="27FC164C"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դեղակինետիկա.</w:t>
      </w:r>
    </w:p>
    <w:p w14:paraId="0CF01F77"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դեղադինամիկա.</w:t>
      </w:r>
    </w:p>
    <w:p w14:paraId="72F3DCC0"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արդյունավետություն.</w:t>
      </w:r>
    </w:p>
    <w:p w14:paraId="1068A302"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անվտանգություն.</w:t>
      </w:r>
    </w:p>
    <w:p w14:paraId="19423927"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դեղազգոնության համակարգ.</w:t>
      </w:r>
    </w:p>
    <w:p w14:paraId="1C975434"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ռիսկի կառավարման պլան.</w:t>
      </w:r>
    </w:p>
    <w:p w14:paraId="748609DB" w14:textId="77777777" w:rsidR="008C76E0" w:rsidRPr="00BD7577" w:rsidRDefault="008C76E0" w:rsidP="00305C5C">
      <w:pPr>
        <w:tabs>
          <w:tab w:val="left" w:pos="1134"/>
        </w:tabs>
        <w:spacing w:after="160" w:line="360" w:lineRule="auto"/>
        <w:ind w:left="1134" w:right="1273" w:hanging="567"/>
        <w:rPr>
          <w:rFonts w:ascii="Sylfaen" w:hAnsi="Sylfaen"/>
          <w:sz w:val="24"/>
          <w:szCs w:val="24"/>
        </w:rPr>
      </w:pPr>
      <w:r w:rsidRPr="00BD7577">
        <w:rPr>
          <w:rFonts w:ascii="Sylfaen" w:hAnsi="Sylfaen"/>
          <w:sz w:val="24"/>
          <w:szCs w:val="24"/>
        </w:rPr>
        <w:t>բ)</w:t>
      </w:r>
      <w:r w:rsidRPr="00BD7577">
        <w:rPr>
          <w:rFonts w:ascii="Sylfaen" w:hAnsi="Sylfaen"/>
          <w:sz w:val="24"/>
          <w:szCs w:val="24"/>
        </w:rPr>
        <w:tab/>
        <w:t>այլ դիտողություններ՝</w:t>
      </w:r>
    </w:p>
    <w:p w14:paraId="553514E3"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lastRenderedPageBreak/>
        <w:t>դեղակինետիկա.</w:t>
      </w:r>
    </w:p>
    <w:p w14:paraId="706F2BE4"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t>դեղադինամիկա.</w:t>
      </w:r>
    </w:p>
    <w:p w14:paraId="73F3CB74" w14:textId="77777777" w:rsidR="008C76E0" w:rsidRPr="00BD7577" w:rsidRDefault="008C76E0" w:rsidP="00305C5C">
      <w:pPr>
        <w:tabs>
          <w:tab w:val="left" w:pos="993"/>
          <w:tab w:val="left" w:pos="1134"/>
        </w:tabs>
        <w:spacing w:after="160" w:line="360" w:lineRule="auto"/>
        <w:ind w:left="1134" w:right="1276"/>
        <w:rPr>
          <w:rFonts w:ascii="Sylfaen" w:hAnsi="Sylfaen"/>
          <w:sz w:val="24"/>
          <w:szCs w:val="24"/>
        </w:rPr>
      </w:pPr>
      <w:r w:rsidRPr="00BD7577">
        <w:rPr>
          <w:rFonts w:ascii="Sylfaen" w:hAnsi="Sylfaen"/>
          <w:sz w:val="24"/>
          <w:szCs w:val="24"/>
        </w:rPr>
        <w:t>արդյունավետություն.</w:t>
      </w:r>
    </w:p>
    <w:p w14:paraId="6AD10445" w14:textId="77777777" w:rsidR="008C76E0" w:rsidRPr="00BD7577" w:rsidRDefault="008C76E0" w:rsidP="00305C5C">
      <w:pPr>
        <w:tabs>
          <w:tab w:val="left" w:pos="993"/>
          <w:tab w:val="left" w:pos="1134"/>
        </w:tabs>
        <w:spacing w:after="160" w:line="360" w:lineRule="auto"/>
        <w:ind w:left="1134" w:right="1276"/>
        <w:rPr>
          <w:rFonts w:ascii="Sylfaen" w:hAnsi="Sylfaen"/>
          <w:sz w:val="24"/>
          <w:szCs w:val="24"/>
        </w:rPr>
      </w:pPr>
      <w:r w:rsidRPr="00BD7577">
        <w:rPr>
          <w:rFonts w:ascii="Sylfaen" w:hAnsi="Sylfaen"/>
          <w:sz w:val="24"/>
          <w:szCs w:val="24"/>
        </w:rPr>
        <w:t>անվտանգություն.</w:t>
      </w:r>
    </w:p>
    <w:p w14:paraId="6F9DB0E4"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t>դեղազգոնության համակարգ.</w:t>
      </w:r>
    </w:p>
    <w:p w14:paraId="0F981557" w14:textId="77777777" w:rsidR="008C76E0" w:rsidRPr="00BD7577" w:rsidRDefault="008C76E0" w:rsidP="00305C5C">
      <w:pPr>
        <w:spacing w:after="160" w:line="360" w:lineRule="auto"/>
        <w:ind w:left="1134" w:right="1273"/>
        <w:rPr>
          <w:rFonts w:ascii="Sylfaen" w:hAnsi="Sylfaen"/>
          <w:sz w:val="24"/>
          <w:szCs w:val="24"/>
        </w:rPr>
      </w:pPr>
      <w:r w:rsidRPr="00BD7577">
        <w:rPr>
          <w:rFonts w:ascii="Sylfaen" w:hAnsi="Sylfaen"/>
          <w:sz w:val="24"/>
          <w:szCs w:val="24"/>
        </w:rPr>
        <w:t>ռիսկի կառավարման պլան.</w:t>
      </w:r>
    </w:p>
    <w:p w14:paraId="58775D7B" w14:textId="77777777" w:rsidR="008C76E0" w:rsidRPr="00BD7577" w:rsidRDefault="008C76E0" w:rsidP="00305C5C">
      <w:pPr>
        <w:tabs>
          <w:tab w:val="left" w:pos="1134"/>
        </w:tabs>
        <w:spacing w:after="160" w:line="360" w:lineRule="auto"/>
        <w:ind w:left="1134" w:hanging="567"/>
        <w:jc w:val="both"/>
        <w:rPr>
          <w:rFonts w:ascii="Sylfaen" w:hAnsi="Sylfaen"/>
          <w:sz w:val="24"/>
          <w:szCs w:val="24"/>
          <w:lang w:val="en-US"/>
        </w:rPr>
      </w:pPr>
      <w:r w:rsidRPr="00BD7577">
        <w:rPr>
          <w:rFonts w:ascii="Sylfaen" w:hAnsi="Sylfaen"/>
          <w:sz w:val="24"/>
          <w:szCs w:val="24"/>
        </w:rPr>
        <w:t>գ</w:t>
      </w:r>
      <w:r>
        <w:rPr>
          <w:rFonts w:ascii="Sylfaen" w:hAnsi="Sylfaen"/>
          <w:sz w:val="24"/>
          <w:szCs w:val="24"/>
        </w:rPr>
        <w:t>)</w:t>
      </w:r>
      <w:r w:rsidRPr="00BD7577">
        <w:rPr>
          <w:rFonts w:ascii="Sylfaen" w:hAnsi="Sylfaen"/>
          <w:sz w:val="24"/>
          <w:szCs w:val="24"/>
        </w:rPr>
        <w:tab/>
        <w:t>հանձնարարականներ՝</w:t>
      </w:r>
    </w:p>
    <w:tbl>
      <w:tblPr>
        <w:tblOverlap w:val="never"/>
        <w:tblW w:w="8751" w:type="dxa"/>
        <w:jc w:val="center"/>
        <w:tblLayout w:type="fixed"/>
        <w:tblCellMar>
          <w:left w:w="10" w:type="dxa"/>
          <w:right w:w="10" w:type="dxa"/>
        </w:tblCellMar>
        <w:tblLook w:val="04A0" w:firstRow="1" w:lastRow="0" w:firstColumn="1" w:lastColumn="0" w:noHBand="0" w:noVBand="1"/>
      </w:tblPr>
      <w:tblGrid>
        <w:gridCol w:w="8751"/>
      </w:tblGrid>
      <w:tr w:rsidR="008C76E0" w:rsidRPr="00BD7577" w14:paraId="147A9D3D" w14:textId="77777777" w:rsidTr="008C76E0">
        <w:trPr>
          <w:jc w:val="center"/>
        </w:trPr>
        <w:tc>
          <w:tcPr>
            <w:tcW w:w="8751" w:type="dxa"/>
            <w:tcBorders>
              <w:top w:val="single" w:sz="4" w:space="0" w:color="auto"/>
            </w:tcBorders>
            <w:shd w:val="clear" w:color="auto" w:fill="FFFFFF"/>
          </w:tcPr>
          <w:p w14:paraId="764A1E55" w14:textId="77777777" w:rsidR="008C76E0" w:rsidRPr="00BD7577" w:rsidRDefault="008C76E0" w:rsidP="00305C5C">
            <w:pPr>
              <w:spacing w:after="160" w:line="360" w:lineRule="auto"/>
              <w:rPr>
                <w:rFonts w:ascii="Sylfaen" w:hAnsi="Sylfaen"/>
                <w:sz w:val="24"/>
                <w:szCs w:val="24"/>
              </w:rPr>
            </w:pPr>
          </w:p>
        </w:tc>
      </w:tr>
      <w:tr w:rsidR="008C76E0" w:rsidRPr="00BD7577" w14:paraId="70BEB5C2" w14:textId="77777777" w:rsidTr="008C76E0">
        <w:trPr>
          <w:jc w:val="center"/>
        </w:trPr>
        <w:tc>
          <w:tcPr>
            <w:tcW w:w="8751" w:type="dxa"/>
            <w:tcBorders>
              <w:top w:val="single" w:sz="4" w:space="0" w:color="auto"/>
              <w:bottom w:val="single" w:sz="4" w:space="0" w:color="auto"/>
            </w:tcBorders>
            <w:shd w:val="clear" w:color="auto" w:fill="FFFFFF"/>
          </w:tcPr>
          <w:p w14:paraId="3EEEF877" w14:textId="77777777" w:rsidR="008C76E0" w:rsidRPr="00BD7577" w:rsidRDefault="008C76E0" w:rsidP="00305C5C">
            <w:pPr>
              <w:spacing w:after="160" w:line="360" w:lineRule="auto"/>
              <w:rPr>
                <w:rFonts w:ascii="Sylfaen" w:hAnsi="Sylfaen"/>
                <w:sz w:val="24"/>
                <w:szCs w:val="24"/>
              </w:rPr>
            </w:pPr>
          </w:p>
        </w:tc>
      </w:tr>
    </w:tbl>
    <w:p w14:paraId="5F4FCD15" w14:textId="77777777" w:rsidR="008C76E0" w:rsidRPr="00BD7577" w:rsidRDefault="008C76E0" w:rsidP="00305C5C">
      <w:pPr>
        <w:spacing w:after="160" w:line="360" w:lineRule="auto"/>
        <w:ind w:left="820"/>
        <w:jc w:val="both"/>
        <w:rPr>
          <w:rFonts w:ascii="Sylfaen" w:hAnsi="Sylfaen"/>
          <w:sz w:val="24"/>
          <w:szCs w:val="24"/>
          <w:lang w:val="en-US"/>
        </w:rPr>
      </w:pPr>
    </w:p>
    <w:p w14:paraId="137B9757" w14:textId="23DA1374" w:rsidR="008C76E0" w:rsidRPr="00BD7577" w:rsidRDefault="008C76E0" w:rsidP="00305C5C">
      <w:pPr>
        <w:spacing w:after="160" w:line="360" w:lineRule="auto"/>
        <w:ind w:left="567" w:right="565"/>
        <w:jc w:val="center"/>
        <w:rPr>
          <w:rFonts w:ascii="Sylfaen" w:hAnsi="Sylfaen"/>
          <w:sz w:val="24"/>
          <w:szCs w:val="24"/>
        </w:rPr>
      </w:pPr>
      <w:r w:rsidRPr="00BD7577">
        <w:rPr>
          <w:rFonts w:ascii="Sylfaen" w:hAnsi="Sylfaen"/>
          <w:sz w:val="24"/>
          <w:szCs w:val="24"/>
        </w:rPr>
        <w:t xml:space="preserve">8. Փորձագետի կողմից առաջարկվող պայմանները, որոնց կատարումն անհրաժեշտ է </w:t>
      </w:r>
      <w:r w:rsidR="0056496B">
        <w:rPr>
          <w:rFonts w:ascii="Sylfaen" w:hAnsi="Sylfaen"/>
          <w:sz w:val="24"/>
          <w:szCs w:val="24"/>
        </w:rPr>
        <w:t>դիմումատու</w:t>
      </w:r>
      <w:r w:rsidRPr="00BD7577">
        <w:rPr>
          <w:rFonts w:ascii="Sylfaen" w:hAnsi="Sylfaen"/>
          <w:sz w:val="24"/>
          <w:szCs w:val="24"/>
        </w:rPr>
        <w:t xml:space="preserve">ի կողմից գրանցման հավաստագիրն ստանալուց </w:t>
      </w:r>
      <w:r w:rsidR="00C54D75">
        <w:rPr>
          <w:rFonts w:ascii="Sylfaen" w:hAnsi="Sylfaen"/>
          <w:sz w:val="24"/>
          <w:szCs w:val="24"/>
        </w:rPr>
        <w:t>և</w:t>
      </w:r>
      <w:r w:rsidRPr="00BD7577">
        <w:rPr>
          <w:rFonts w:ascii="Sylfaen" w:hAnsi="Sylfaen"/>
          <w:sz w:val="24"/>
          <w:szCs w:val="24"/>
        </w:rPr>
        <w:t xml:space="preserve"> դեղապատրաստուկի ընդհանուր բնութագիրը հաստատելուց հետո</w:t>
      </w:r>
    </w:p>
    <w:p w14:paraId="0769AFFD" w14:textId="41D16FA7" w:rsidR="008C76E0" w:rsidRPr="00BD7577" w:rsidRDefault="0056496B" w:rsidP="00305C5C">
      <w:pPr>
        <w:widowControl/>
        <w:autoSpaceDE w:val="0"/>
        <w:autoSpaceDN w:val="0"/>
        <w:adjustRightInd w:val="0"/>
        <w:spacing w:after="160" w:line="360" w:lineRule="auto"/>
        <w:rPr>
          <w:rFonts w:ascii="Sylfaen" w:hAnsi="Sylfaen" w:cs="Times New Roman"/>
          <w:sz w:val="24"/>
          <w:szCs w:val="24"/>
        </w:rPr>
      </w:pPr>
      <w:r>
        <w:rPr>
          <w:rFonts w:ascii="Sylfaen" w:hAnsi="Sylfaen"/>
          <w:sz w:val="24"/>
          <w:szCs w:val="24"/>
        </w:rPr>
        <w:t>Դիմումատու</w:t>
      </w:r>
      <w:r w:rsidR="008C76E0" w:rsidRPr="00BD7577">
        <w:rPr>
          <w:rFonts w:ascii="Sylfaen" w:hAnsi="Sylfaen"/>
          <w:sz w:val="24"/>
          <w:szCs w:val="24"/>
        </w:rPr>
        <w:t>ին տրամադրվող խորհրդատվությունը՝</w:t>
      </w:r>
    </w:p>
    <w:tbl>
      <w:tblPr>
        <w:tblOverlap w:val="never"/>
        <w:tblW w:w="9132" w:type="dxa"/>
        <w:jc w:val="center"/>
        <w:tblLayout w:type="fixed"/>
        <w:tblCellMar>
          <w:left w:w="10" w:type="dxa"/>
          <w:right w:w="10" w:type="dxa"/>
        </w:tblCellMar>
        <w:tblLook w:val="04A0" w:firstRow="1" w:lastRow="0" w:firstColumn="1" w:lastColumn="0" w:noHBand="0" w:noVBand="1"/>
      </w:tblPr>
      <w:tblGrid>
        <w:gridCol w:w="9132"/>
      </w:tblGrid>
      <w:tr w:rsidR="008C76E0" w:rsidRPr="00BD7577" w14:paraId="676D697B" w14:textId="77777777" w:rsidTr="008C76E0">
        <w:trPr>
          <w:jc w:val="center"/>
        </w:trPr>
        <w:tc>
          <w:tcPr>
            <w:tcW w:w="9132" w:type="dxa"/>
            <w:tcBorders>
              <w:top w:val="single" w:sz="4" w:space="0" w:color="auto"/>
            </w:tcBorders>
            <w:shd w:val="clear" w:color="auto" w:fill="FFFFFF"/>
          </w:tcPr>
          <w:p w14:paraId="7C91260B" w14:textId="77777777" w:rsidR="008C76E0" w:rsidRPr="00BD7577" w:rsidRDefault="008C76E0" w:rsidP="00305C5C">
            <w:pPr>
              <w:spacing w:after="160" w:line="360" w:lineRule="auto"/>
              <w:rPr>
                <w:rFonts w:ascii="Sylfaen" w:hAnsi="Sylfaen"/>
                <w:sz w:val="24"/>
                <w:szCs w:val="24"/>
              </w:rPr>
            </w:pPr>
          </w:p>
        </w:tc>
      </w:tr>
      <w:tr w:rsidR="008C76E0" w:rsidRPr="00BD7577" w14:paraId="7146498D" w14:textId="77777777" w:rsidTr="008C76E0">
        <w:trPr>
          <w:jc w:val="center"/>
        </w:trPr>
        <w:tc>
          <w:tcPr>
            <w:tcW w:w="9132" w:type="dxa"/>
            <w:tcBorders>
              <w:top w:val="single" w:sz="4" w:space="0" w:color="auto"/>
              <w:bottom w:val="single" w:sz="4" w:space="0" w:color="auto"/>
            </w:tcBorders>
            <w:shd w:val="clear" w:color="auto" w:fill="FFFFFF"/>
          </w:tcPr>
          <w:p w14:paraId="6B748CB1" w14:textId="77777777" w:rsidR="008C76E0" w:rsidRPr="00BD7577" w:rsidRDefault="008C76E0" w:rsidP="00305C5C">
            <w:pPr>
              <w:spacing w:after="160" w:line="360" w:lineRule="auto"/>
              <w:rPr>
                <w:rFonts w:ascii="Sylfaen" w:hAnsi="Sylfaen"/>
                <w:sz w:val="24"/>
                <w:szCs w:val="24"/>
              </w:rPr>
            </w:pPr>
          </w:p>
        </w:tc>
      </w:tr>
    </w:tbl>
    <w:p w14:paraId="30808BC0" w14:textId="77777777" w:rsidR="008C76E0" w:rsidRDefault="008C76E0" w:rsidP="00C43BF0">
      <w:pPr>
        <w:spacing w:after="160" w:line="360" w:lineRule="auto"/>
        <w:rPr>
          <w:rFonts w:ascii="Sylfaen" w:hAnsi="Sylfaen"/>
          <w:sz w:val="24"/>
          <w:szCs w:val="24"/>
        </w:rPr>
        <w:sectPr w:rsidR="008C76E0" w:rsidSect="00C31D56">
          <w:type w:val="continuous"/>
          <w:pgSz w:w="11907" w:h="16839" w:code="9"/>
          <w:pgMar w:top="1418" w:right="1418" w:bottom="1418" w:left="1418" w:header="709" w:footer="709" w:gutter="0"/>
          <w:pgNumType w:start="1"/>
          <w:cols w:space="708"/>
          <w:titlePg/>
          <w:docGrid w:linePitch="360"/>
        </w:sectPr>
      </w:pPr>
    </w:p>
    <w:p w14:paraId="335B1BAF" w14:textId="77777777" w:rsidR="00F40135" w:rsidRDefault="00F40135" w:rsidP="00C43BF0">
      <w:pPr>
        <w:spacing w:after="160" w:line="360" w:lineRule="auto"/>
        <w:rPr>
          <w:rFonts w:ascii="Sylfaen" w:hAnsi="Sylfaen"/>
          <w:sz w:val="24"/>
          <w:szCs w:val="24"/>
        </w:rPr>
      </w:pPr>
    </w:p>
    <w:p w14:paraId="4941D9B9"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4E7E2362" w14:textId="426EE52F" w:rsidR="00C43BF0" w:rsidRDefault="00C43BF0" w:rsidP="00305C5C">
      <w:pPr>
        <w:spacing w:after="160" w:line="360" w:lineRule="auto"/>
        <w:ind w:left="4395"/>
        <w:jc w:val="center"/>
        <w:rPr>
          <w:rFonts w:ascii="Sylfaen" w:hAnsi="Sylfaen"/>
          <w:sz w:val="24"/>
          <w:szCs w:val="24"/>
        </w:rPr>
        <w:sectPr w:rsidR="00C43BF0" w:rsidSect="00C31D56">
          <w:type w:val="continuous"/>
          <w:pgSz w:w="11907" w:h="16839" w:code="9"/>
          <w:pgMar w:top="1418" w:right="1418" w:bottom="1418" w:left="1418" w:header="709" w:footer="709" w:gutter="0"/>
          <w:pgNumType w:start="1"/>
          <w:cols w:space="708"/>
          <w:titlePg/>
          <w:docGrid w:linePitch="360"/>
        </w:sectPr>
      </w:pPr>
    </w:p>
    <w:p w14:paraId="58205040" w14:textId="77777777" w:rsidR="008C76E0" w:rsidRPr="00BD7577" w:rsidRDefault="008C76E0" w:rsidP="00305C5C">
      <w:pPr>
        <w:spacing w:after="160" w:line="360" w:lineRule="auto"/>
        <w:ind w:left="4395"/>
        <w:jc w:val="center"/>
        <w:rPr>
          <w:rFonts w:ascii="Sylfaen" w:hAnsi="Sylfaen"/>
          <w:sz w:val="24"/>
          <w:szCs w:val="24"/>
        </w:rPr>
      </w:pPr>
      <w:r w:rsidRPr="00BD7577">
        <w:rPr>
          <w:rFonts w:ascii="Sylfaen" w:hAnsi="Sylfaen"/>
          <w:sz w:val="24"/>
          <w:szCs w:val="24"/>
        </w:rPr>
        <w:lastRenderedPageBreak/>
        <w:t>ՀԱՎԵԼՎԱԾ ԹԻՎ 8</w:t>
      </w:r>
      <w:r w:rsidRPr="00BD7577">
        <w:rPr>
          <w:rFonts w:ascii="Sylfaen" w:hAnsi="Sylfaen"/>
          <w:sz w:val="24"/>
          <w:szCs w:val="24"/>
        </w:rPr>
        <w:b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6AB3856F" w14:textId="77777777" w:rsidR="008C76E0" w:rsidRPr="00653582" w:rsidRDefault="008C76E0" w:rsidP="00305C5C">
      <w:pPr>
        <w:spacing w:after="160" w:line="360" w:lineRule="auto"/>
        <w:ind w:left="5103" w:right="200"/>
        <w:rPr>
          <w:rFonts w:ascii="Sylfaen" w:hAnsi="Sylfaen"/>
          <w:b/>
          <w:sz w:val="24"/>
          <w:szCs w:val="24"/>
        </w:rPr>
      </w:pPr>
    </w:p>
    <w:p w14:paraId="0412D988" w14:textId="77777777" w:rsidR="008C76E0" w:rsidRPr="008C76E0" w:rsidRDefault="008C76E0" w:rsidP="00305C5C">
      <w:pPr>
        <w:pStyle w:val="Heading120"/>
        <w:shd w:val="clear" w:color="auto" w:fill="auto"/>
        <w:spacing w:before="0" w:after="160" w:line="360" w:lineRule="auto"/>
        <w:ind w:left="567" w:right="565"/>
        <w:outlineLvl w:val="9"/>
        <w:rPr>
          <w:rFonts w:ascii="Sylfaen" w:hAnsi="Sylfaen"/>
          <w:b w:val="0"/>
          <w:sz w:val="24"/>
          <w:szCs w:val="24"/>
          <w:lang w:val="hy-AM"/>
        </w:rPr>
      </w:pPr>
      <w:bookmarkStart w:id="2" w:name="bookmark2"/>
      <w:r w:rsidRPr="00653582">
        <w:rPr>
          <w:rStyle w:val="Heading12Spacing1pt"/>
          <w:rFonts w:ascii="Sylfaen" w:hAnsi="Sylfaen"/>
          <w:b/>
          <w:spacing w:val="0"/>
          <w:sz w:val="24"/>
          <w:szCs w:val="24"/>
        </w:rPr>
        <w:t>ՁԵՎ</w:t>
      </w:r>
      <w:bookmarkEnd w:id="2"/>
    </w:p>
    <w:p w14:paraId="622FE097" w14:textId="77777777" w:rsidR="008C76E0" w:rsidRPr="008C76E0" w:rsidRDefault="008C76E0" w:rsidP="00305C5C">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դեղապատրաստուկի որակի ասպեկտների կրիտիկական գնահատման մասին փորձագիտական հաշվետվության</w:t>
      </w:r>
    </w:p>
    <w:p w14:paraId="61C7E4CF" w14:textId="77777777" w:rsidR="008C76E0" w:rsidRPr="008C76E0" w:rsidRDefault="008C76E0" w:rsidP="00305C5C">
      <w:pPr>
        <w:pStyle w:val="Bodytext130"/>
        <w:shd w:val="clear" w:color="auto" w:fill="auto"/>
        <w:spacing w:after="160" w:line="360" w:lineRule="auto"/>
        <w:ind w:left="567" w:right="565"/>
        <w:rPr>
          <w:rFonts w:ascii="Sylfaen" w:hAnsi="Sylfaen"/>
          <w:sz w:val="24"/>
          <w:szCs w:val="24"/>
          <w:lang w:val="hy-AM"/>
        </w:rPr>
      </w:pPr>
    </w:p>
    <w:p w14:paraId="4CA1BEE0" w14:textId="77777777"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Լրացման վերաբերյալ ցուցումները՝ տեքստի պատրաստի ձ</w:t>
      </w:r>
      <w:r w:rsidR="00C54D75">
        <w:rPr>
          <w:rFonts w:ascii="Sylfaen" w:hAnsi="Sylfaen"/>
          <w:sz w:val="24"/>
          <w:szCs w:val="24"/>
        </w:rPr>
        <w:t>և</w:t>
      </w:r>
      <w:r w:rsidRPr="00BD7577">
        <w:rPr>
          <w:rFonts w:ascii="Sylfaen" w:hAnsi="Sylfaen"/>
          <w:sz w:val="24"/>
          <w:szCs w:val="24"/>
        </w:rPr>
        <w:t>անմուշներն օգտագործելիս՝ դրանք սույն ձ</w:t>
      </w:r>
      <w:r w:rsidR="00C54D75">
        <w:rPr>
          <w:rFonts w:ascii="Sylfaen" w:hAnsi="Sylfaen"/>
          <w:sz w:val="24"/>
          <w:szCs w:val="24"/>
        </w:rPr>
        <w:t>և</w:t>
      </w:r>
      <w:r w:rsidRPr="00BD7577">
        <w:rPr>
          <w:rFonts w:ascii="Sylfaen" w:hAnsi="Sylfaen"/>
          <w:sz w:val="24"/>
          <w:szCs w:val="24"/>
        </w:rPr>
        <w:t xml:space="preserve">ում առանձնացված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w:t>
      </w:r>
    </w:p>
    <w:p w14:paraId="742483DE" w14:textId="77777777" w:rsidR="008C76E0" w:rsidRPr="00DD61E4" w:rsidRDefault="008C76E0" w:rsidP="00305C5C">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37E3DC73" w14:textId="77777777" w:rsidR="008C76E0" w:rsidRPr="00BD7577" w:rsidRDefault="008C76E0" w:rsidP="00305C5C">
      <w:pPr>
        <w:spacing w:after="160" w:line="360" w:lineRule="auto"/>
        <w:ind w:right="80"/>
        <w:jc w:val="center"/>
        <w:rPr>
          <w:rFonts w:ascii="Sylfaen" w:hAnsi="Sylfaen"/>
          <w:sz w:val="24"/>
          <w:szCs w:val="24"/>
        </w:rPr>
      </w:pPr>
      <w:r w:rsidRPr="00BD7577">
        <w:rPr>
          <w:rFonts w:ascii="Sylfaen" w:hAnsi="Sylfaen"/>
          <w:sz w:val="24"/>
          <w:szCs w:val="24"/>
        </w:rPr>
        <w:t>ՓՈՐՁԱԳԻՏԱԿԱՆ ՀԱՇՎԵՏՎՈՒԹՅՈՒՆ</w:t>
      </w:r>
    </w:p>
    <w:p w14:paraId="3B8D0AE8" w14:textId="77777777" w:rsidR="008C76E0" w:rsidRPr="00BD7577" w:rsidRDefault="008C76E0" w:rsidP="00305C5C">
      <w:pPr>
        <w:spacing w:after="160" w:line="360" w:lineRule="auto"/>
        <w:ind w:left="1134" w:right="1132"/>
        <w:jc w:val="center"/>
        <w:rPr>
          <w:rFonts w:ascii="Sylfaen" w:hAnsi="Sylfaen"/>
          <w:sz w:val="24"/>
          <w:szCs w:val="24"/>
        </w:rPr>
      </w:pPr>
      <w:r w:rsidRPr="00BD7577">
        <w:rPr>
          <w:rFonts w:ascii="Sylfaen" w:hAnsi="Sylfaen"/>
          <w:sz w:val="24"/>
          <w:szCs w:val="24"/>
        </w:rPr>
        <w:t>Դեղապատրաստուկի որակի ասպեկտների կրիտիկական գնահատման մասին</w:t>
      </w:r>
    </w:p>
    <w:p w14:paraId="2CE84C09" w14:textId="77777777" w:rsidR="008C76E0" w:rsidRPr="00BD7577" w:rsidRDefault="008C76E0" w:rsidP="008C76E0">
      <w:pPr>
        <w:widowControl/>
        <w:autoSpaceDE w:val="0"/>
        <w:autoSpaceDN w:val="0"/>
        <w:adjustRightInd w:val="0"/>
        <w:spacing w:after="120" w:line="240" w:lineRule="auto"/>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6B9C25E" w14:textId="77777777" w:rsidR="008C76E0" w:rsidRPr="008C76E0" w:rsidRDefault="008C76E0" w:rsidP="008C76E0">
      <w:pPr>
        <w:pStyle w:val="Bodytext40"/>
        <w:shd w:val="clear" w:color="auto" w:fill="auto"/>
        <w:spacing w:before="0" w:after="120" w:line="240" w:lineRule="auto"/>
        <w:ind w:right="80"/>
        <w:rPr>
          <w:rFonts w:ascii="Sylfaen" w:hAnsi="Sylfaen"/>
          <w:b w:val="0"/>
          <w:sz w:val="20"/>
          <w:szCs w:val="20"/>
          <w:lang w:val="hy-AM"/>
        </w:rPr>
      </w:pPr>
      <w:r w:rsidRPr="008C76E0">
        <w:rPr>
          <w:rFonts w:ascii="Sylfaen" w:hAnsi="Sylfaen"/>
          <w:b w:val="0"/>
          <w:sz w:val="20"/>
          <w:szCs w:val="20"/>
          <w:lang w:val="hy-AM"/>
        </w:rPr>
        <w:t>(դեղապատրաստուկի անունը, դրա դեղաձ</w:t>
      </w:r>
      <w:r w:rsidR="00C54D75">
        <w:rPr>
          <w:rFonts w:ascii="Sylfaen" w:hAnsi="Sylfaen"/>
          <w:b w:val="0"/>
          <w:sz w:val="20"/>
          <w:szCs w:val="20"/>
          <w:lang w:val="hy-AM"/>
        </w:rPr>
        <w:t>և</w:t>
      </w:r>
      <w:r w:rsidRPr="008C76E0">
        <w:rPr>
          <w:rFonts w:ascii="Sylfaen" w:hAnsi="Sylfaen"/>
          <w:b w:val="0"/>
          <w:sz w:val="20"/>
          <w:szCs w:val="20"/>
          <w:lang w:val="hy-AM"/>
        </w:rPr>
        <w:t>ը, դոզաները)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4685"/>
      </w:tblGrid>
      <w:tr w:rsidR="008C76E0" w:rsidRPr="00BD7577" w14:paraId="5502E4C0" w14:textId="77777777" w:rsidTr="008C76E0">
        <w:trPr>
          <w:jc w:val="center"/>
        </w:trPr>
        <w:tc>
          <w:tcPr>
            <w:tcW w:w="4795" w:type="dxa"/>
            <w:tcBorders>
              <w:top w:val="single" w:sz="4" w:space="0" w:color="auto"/>
              <w:left w:val="single" w:sz="4" w:space="0" w:color="auto"/>
            </w:tcBorders>
            <w:shd w:val="clear" w:color="auto" w:fill="FFFFFF"/>
          </w:tcPr>
          <w:p w14:paraId="7F628CD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Փորձագետ՝</w:t>
            </w:r>
          </w:p>
        </w:tc>
        <w:tc>
          <w:tcPr>
            <w:tcW w:w="4685" w:type="dxa"/>
            <w:tcBorders>
              <w:top w:val="single" w:sz="4" w:space="0" w:color="auto"/>
              <w:left w:val="single" w:sz="4" w:space="0" w:color="auto"/>
              <w:right w:val="single" w:sz="4" w:space="0" w:color="auto"/>
            </w:tcBorders>
            <w:shd w:val="clear" w:color="auto" w:fill="FFFFFF"/>
          </w:tcPr>
          <w:p w14:paraId="02C18473" w14:textId="77777777" w:rsidR="008C76E0" w:rsidRPr="00BD7577" w:rsidRDefault="008C76E0" w:rsidP="008C76E0">
            <w:pPr>
              <w:spacing w:after="120" w:line="240" w:lineRule="auto"/>
              <w:rPr>
                <w:rFonts w:ascii="Sylfaen" w:hAnsi="Sylfaen"/>
                <w:sz w:val="24"/>
                <w:szCs w:val="24"/>
              </w:rPr>
            </w:pPr>
          </w:p>
        </w:tc>
      </w:tr>
      <w:tr w:rsidR="008C76E0" w:rsidRPr="00BD7577" w14:paraId="60C23038" w14:textId="77777777" w:rsidTr="008C76E0">
        <w:trPr>
          <w:jc w:val="center"/>
        </w:trPr>
        <w:tc>
          <w:tcPr>
            <w:tcW w:w="4795" w:type="dxa"/>
            <w:tcBorders>
              <w:top w:val="single" w:sz="4" w:space="0" w:color="auto"/>
              <w:left w:val="single" w:sz="4" w:space="0" w:color="auto"/>
            </w:tcBorders>
            <w:shd w:val="clear" w:color="auto" w:fill="FFFFFF"/>
          </w:tcPr>
          <w:p w14:paraId="6B0E83B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Ընթացակարգի սկիզբը՝</w:t>
            </w:r>
          </w:p>
        </w:tc>
        <w:tc>
          <w:tcPr>
            <w:tcW w:w="4685" w:type="dxa"/>
            <w:tcBorders>
              <w:top w:val="single" w:sz="4" w:space="0" w:color="auto"/>
              <w:left w:val="single" w:sz="4" w:space="0" w:color="auto"/>
              <w:right w:val="single" w:sz="4" w:space="0" w:color="auto"/>
            </w:tcBorders>
            <w:shd w:val="clear" w:color="auto" w:fill="FFFFFF"/>
          </w:tcPr>
          <w:p w14:paraId="26DF54BA" w14:textId="77777777" w:rsidR="008C76E0" w:rsidRPr="00BD7577" w:rsidRDefault="008C76E0" w:rsidP="008C76E0">
            <w:pPr>
              <w:spacing w:after="120" w:line="240" w:lineRule="auto"/>
              <w:rPr>
                <w:rFonts w:ascii="Sylfaen" w:hAnsi="Sylfaen"/>
                <w:sz w:val="24"/>
                <w:szCs w:val="24"/>
              </w:rPr>
            </w:pPr>
          </w:p>
        </w:tc>
      </w:tr>
      <w:tr w:rsidR="008C76E0" w:rsidRPr="00BD7577" w14:paraId="3F0652F7" w14:textId="77777777" w:rsidTr="008C76E0">
        <w:trPr>
          <w:jc w:val="center"/>
        </w:trPr>
        <w:tc>
          <w:tcPr>
            <w:tcW w:w="4795" w:type="dxa"/>
            <w:tcBorders>
              <w:top w:val="single" w:sz="4" w:space="0" w:color="auto"/>
              <w:left w:val="single" w:sz="4" w:space="0" w:color="auto"/>
            </w:tcBorders>
            <w:shd w:val="clear" w:color="auto" w:fill="FFFFFF"/>
          </w:tcPr>
          <w:p w14:paraId="14C0CD9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Սույն հաշվետվության ամսաթիվը՝</w:t>
            </w:r>
          </w:p>
        </w:tc>
        <w:tc>
          <w:tcPr>
            <w:tcW w:w="4685" w:type="dxa"/>
            <w:tcBorders>
              <w:top w:val="single" w:sz="4" w:space="0" w:color="auto"/>
              <w:left w:val="single" w:sz="4" w:space="0" w:color="auto"/>
              <w:right w:val="single" w:sz="4" w:space="0" w:color="auto"/>
            </w:tcBorders>
            <w:shd w:val="clear" w:color="auto" w:fill="FFFFFF"/>
          </w:tcPr>
          <w:p w14:paraId="439B7C8F" w14:textId="77777777" w:rsidR="008C76E0" w:rsidRPr="00BD7577" w:rsidRDefault="008C76E0" w:rsidP="008C76E0">
            <w:pPr>
              <w:spacing w:after="120" w:line="240" w:lineRule="auto"/>
              <w:rPr>
                <w:rFonts w:ascii="Sylfaen" w:hAnsi="Sylfaen"/>
                <w:sz w:val="24"/>
                <w:szCs w:val="24"/>
              </w:rPr>
            </w:pPr>
          </w:p>
        </w:tc>
      </w:tr>
      <w:tr w:rsidR="008C76E0" w:rsidRPr="00BD7577" w14:paraId="65F93C76" w14:textId="77777777" w:rsidTr="008C76E0">
        <w:trPr>
          <w:jc w:val="center"/>
        </w:trPr>
        <w:tc>
          <w:tcPr>
            <w:tcW w:w="4795" w:type="dxa"/>
            <w:tcBorders>
              <w:top w:val="single" w:sz="4" w:space="0" w:color="auto"/>
              <w:left w:val="single" w:sz="4" w:space="0" w:color="auto"/>
              <w:bottom w:val="single" w:sz="4" w:space="0" w:color="auto"/>
            </w:tcBorders>
            <w:shd w:val="clear" w:color="auto" w:fill="FFFFFF"/>
          </w:tcPr>
          <w:p w14:paraId="70A99F7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Մեկնաբանությունների համար վերջնաժամկետը՝</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14:paraId="3657EBAE" w14:textId="77777777" w:rsidR="008C76E0" w:rsidRPr="00BD7577" w:rsidRDefault="008C76E0" w:rsidP="008C76E0">
            <w:pPr>
              <w:spacing w:after="120" w:line="240" w:lineRule="auto"/>
              <w:rPr>
                <w:rFonts w:ascii="Sylfaen" w:hAnsi="Sylfaen"/>
                <w:sz w:val="24"/>
                <w:szCs w:val="24"/>
              </w:rPr>
            </w:pPr>
          </w:p>
        </w:tc>
      </w:tr>
    </w:tbl>
    <w:p w14:paraId="25917B4C" w14:textId="77777777" w:rsidR="008C76E0" w:rsidRPr="00BD7577" w:rsidRDefault="008C76E0" w:rsidP="008C76E0">
      <w:pPr>
        <w:rPr>
          <w:rFonts w:ascii="Sylfaen" w:hAnsi="Sylfaen"/>
          <w:sz w:val="24"/>
          <w:szCs w:val="24"/>
        </w:rPr>
      </w:pPr>
      <w:r w:rsidRPr="00BD7577">
        <w:rPr>
          <w:rFonts w:ascii="Sylfaen" w:hAnsi="Sylfaen"/>
          <w:sz w:val="24"/>
          <w:szCs w:val="24"/>
        </w:rPr>
        <w:br w:type="page"/>
      </w:r>
    </w:p>
    <w:p w14:paraId="5933D2D2" w14:textId="77777777" w:rsidR="008C76E0" w:rsidRPr="00BD7577" w:rsidRDefault="008C76E0" w:rsidP="008C76E0">
      <w:pPr>
        <w:rPr>
          <w:rFonts w:ascii="Sylfaen" w:hAnsi="Sylfaen"/>
          <w:sz w:val="24"/>
          <w:szCs w:val="24"/>
        </w:rPr>
      </w:pPr>
      <w:r w:rsidRPr="00BD7577">
        <w:rPr>
          <w:rFonts w:ascii="Sylfaen" w:hAnsi="Sylfaen"/>
          <w:sz w:val="24"/>
          <w:szCs w:val="24"/>
        </w:rPr>
        <w:lastRenderedPageBreak/>
        <w:t>ՀԱՊԱՎՈՒՄՆԵՐԻ ՑԱՆԿԸ</w:t>
      </w:r>
    </w:p>
    <w:p w14:paraId="342BB5A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BE5A390"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3C08C81"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CDAE56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49EED7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008DAA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EB90C2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C1381E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36AE63D"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770F86E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9B73678"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74B15875"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529B698D" w14:textId="77777777" w:rsidR="008C76E0" w:rsidRPr="00BD7577" w:rsidRDefault="008C76E0" w:rsidP="00305C5C">
      <w:pPr>
        <w:spacing w:after="160" w:line="360" w:lineRule="auto"/>
        <w:ind w:left="567" w:right="565"/>
        <w:jc w:val="center"/>
        <w:rPr>
          <w:rFonts w:ascii="Sylfaen" w:hAnsi="Sylfaen"/>
          <w:sz w:val="24"/>
          <w:szCs w:val="24"/>
        </w:rPr>
      </w:pPr>
      <w:r w:rsidRPr="00BD7577">
        <w:rPr>
          <w:rFonts w:ascii="Sylfaen" w:hAnsi="Sylfaen"/>
          <w:sz w:val="24"/>
          <w:szCs w:val="24"/>
        </w:rPr>
        <w:lastRenderedPageBreak/>
        <w:t>I. ԿՐԻՏԻԿԱԿԱՆ ԳՆԱՀԱՏՈՒՄՆ ՈՒ ՈՐԱԿԻ ՓՈՐՁԱՔՆՆՈՒԹՅՈՒՆԸ</w:t>
      </w:r>
    </w:p>
    <w:p w14:paraId="2F2D398A" w14:textId="77777777" w:rsidR="008C76E0" w:rsidRPr="00BD7577" w:rsidRDefault="008C76E0" w:rsidP="00305C5C">
      <w:pPr>
        <w:spacing w:after="160" w:line="360" w:lineRule="auto"/>
        <w:jc w:val="center"/>
        <w:rPr>
          <w:rFonts w:ascii="Sylfaen" w:hAnsi="Sylfaen"/>
          <w:sz w:val="24"/>
          <w:szCs w:val="24"/>
        </w:rPr>
      </w:pPr>
      <w:r w:rsidRPr="00BD7577">
        <w:rPr>
          <w:rFonts w:ascii="Sylfaen" w:hAnsi="Sylfaen"/>
          <w:sz w:val="24"/>
          <w:szCs w:val="24"/>
        </w:rPr>
        <w:t>1. Դեղագործական արտադրության տեսչական ստուգման անցկացման հարցումը՝ նախքան գրանցման հավաստագիր տալը</w:t>
      </w:r>
    </w:p>
    <w:p w14:paraId="75052B83" w14:textId="77777777" w:rsidR="008C76E0" w:rsidRPr="00BD7577" w:rsidRDefault="008C76E0" w:rsidP="00305C5C">
      <w:pPr>
        <w:widowControl/>
        <w:autoSpaceDE w:val="0"/>
        <w:autoSpaceDN w:val="0"/>
        <w:adjustRightInd w:val="0"/>
        <w:spacing w:after="160" w:line="360" w:lineRule="auto"/>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2632C43"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11A5E0E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3B2D517" w14:textId="77777777" w:rsidR="008C76E0" w:rsidRPr="00BD7577" w:rsidRDefault="008C76E0" w:rsidP="008C76E0">
      <w:pPr>
        <w:jc w:val="center"/>
        <w:rPr>
          <w:rFonts w:ascii="Sylfaen" w:hAnsi="Sylfaen"/>
          <w:sz w:val="24"/>
          <w:szCs w:val="24"/>
        </w:rPr>
      </w:pPr>
      <w:r w:rsidRPr="00BD7577">
        <w:rPr>
          <w:rFonts w:ascii="Sylfaen" w:hAnsi="Sylfaen"/>
          <w:sz w:val="24"/>
          <w:szCs w:val="24"/>
        </w:rPr>
        <w:t>2. Ներածություն</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48"/>
        <w:gridCol w:w="2280"/>
      </w:tblGrid>
      <w:tr w:rsidR="008C76E0" w:rsidRPr="00BD7577" w14:paraId="74FB3FF1" w14:textId="77777777" w:rsidTr="008C76E0">
        <w:trPr>
          <w:jc w:val="center"/>
        </w:trPr>
        <w:tc>
          <w:tcPr>
            <w:tcW w:w="7248" w:type="dxa"/>
            <w:tcBorders>
              <w:top w:val="single" w:sz="4" w:space="0" w:color="auto"/>
              <w:left w:val="single" w:sz="4" w:space="0" w:color="auto"/>
            </w:tcBorders>
            <w:shd w:val="clear" w:color="auto" w:fill="FFFFFF"/>
          </w:tcPr>
          <w:p w14:paraId="1EA5A9E6"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Անվանումը՝</w:t>
            </w:r>
          </w:p>
        </w:tc>
        <w:tc>
          <w:tcPr>
            <w:tcW w:w="2280" w:type="dxa"/>
            <w:tcBorders>
              <w:top w:val="single" w:sz="4" w:space="0" w:color="auto"/>
              <w:left w:val="single" w:sz="4" w:space="0" w:color="auto"/>
              <w:right w:val="single" w:sz="4" w:space="0" w:color="auto"/>
            </w:tcBorders>
            <w:shd w:val="clear" w:color="auto" w:fill="FFFFFF"/>
          </w:tcPr>
          <w:p w14:paraId="5473AE86" w14:textId="77777777" w:rsidR="008C76E0" w:rsidRPr="00BD7577" w:rsidRDefault="008C76E0" w:rsidP="008C76E0">
            <w:pPr>
              <w:spacing w:after="120" w:line="240" w:lineRule="auto"/>
              <w:rPr>
                <w:rFonts w:ascii="Sylfaen" w:hAnsi="Sylfaen"/>
                <w:sz w:val="24"/>
                <w:szCs w:val="24"/>
              </w:rPr>
            </w:pPr>
          </w:p>
        </w:tc>
      </w:tr>
      <w:tr w:rsidR="008C76E0" w:rsidRPr="00BD7577" w14:paraId="60568469" w14:textId="77777777" w:rsidTr="008C76E0">
        <w:trPr>
          <w:jc w:val="center"/>
        </w:trPr>
        <w:tc>
          <w:tcPr>
            <w:tcW w:w="7248" w:type="dxa"/>
            <w:tcBorders>
              <w:top w:val="single" w:sz="4" w:space="0" w:color="auto"/>
              <w:left w:val="single" w:sz="4" w:space="0" w:color="auto"/>
            </w:tcBorders>
            <w:shd w:val="clear" w:color="auto" w:fill="FFFFFF"/>
            <w:vAlign w:val="bottom"/>
          </w:tcPr>
          <w:p w14:paraId="65D0E4A7"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դոզան (կոնցենտրացիան)՝</w:t>
            </w:r>
          </w:p>
        </w:tc>
        <w:tc>
          <w:tcPr>
            <w:tcW w:w="2280" w:type="dxa"/>
            <w:tcBorders>
              <w:top w:val="single" w:sz="4" w:space="0" w:color="auto"/>
              <w:left w:val="single" w:sz="4" w:space="0" w:color="auto"/>
              <w:right w:val="single" w:sz="4" w:space="0" w:color="auto"/>
            </w:tcBorders>
            <w:shd w:val="clear" w:color="auto" w:fill="FFFFFF"/>
          </w:tcPr>
          <w:p w14:paraId="19E0CE49" w14:textId="77777777" w:rsidR="008C76E0" w:rsidRPr="00BD7577" w:rsidRDefault="008C76E0" w:rsidP="008C76E0">
            <w:pPr>
              <w:spacing w:after="120" w:line="240" w:lineRule="auto"/>
              <w:rPr>
                <w:rFonts w:ascii="Sylfaen" w:hAnsi="Sylfaen"/>
                <w:sz w:val="24"/>
                <w:szCs w:val="24"/>
              </w:rPr>
            </w:pPr>
          </w:p>
        </w:tc>
      </w:tr>
      <w:tr w:rsidR="008C76E0" w:rsidRPr="00BD7577" w14:paraId="12C961C5" w14:textId="77777777" w:rsidTr="008C76E0">
        <w:trPr>
          <w:jc w:val="center"/>
        </w:trPr>
        <w:tc>
          <w:tcPr>
            <w:tcW w:w="7248" w:type="dxa"/>
            <w:tcBorders>
              <w:top w:val="single" w:sz="4" w:space="0" w:color="auto"/>
              <w:left w:val="single" w:sz="4" w:space="0" w:color="auto"/>
            </w:tcBorders>
            <w:shd w:val="clear" w:color="auto" w:fill="FFFFFF"/>
            <w:vAlign w:val="bottom"/>
          </w:tcPr>
          <w:p w14:paraId="72228B54"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Գրանցման ընթացակարգը՝</w:t>
            </w:r>
          </w:p>
        </w:tc>
        <w:tc>
          <w:tcPr>
            <w:tcW w:w="2280" w:type="dxa"/>
            <w:tcBorders>
              <w:top w:val="single" w:sz="4" w:space="0" w:color="auto"/>
              <w:left w:val="single" w:sz="4" w:space="0" w:color="auto"/>
              <w:right w:val="single" w:sz="4" w:space="0" w:color="auto"/>
            </w:tcBorders>
            <w:shd w:val="clear" w:color="auto" w:fill="FFFFFF"/>
          </w:tcPr>
          <w:p w14:paraId="324817E4" w14:textId="77777777" w:rsidR="008C76E0" w:rsidRPr="00BD7577" w:rsidRDefault="008C76E0" w:rsidP="008C76E0">
            <w:pPr>
              <w:spacing w:after="120" w:line="240" w:lineRule="auto"/>
              <w:rPr>
                <w:rFonts w:ascii="Sylfaen" w:hAnsi="Sylfaen"/>
                <w:sz w:val="24"/>
                <w:szCs w:val="24"/>
              </w:rPr>
            </w:pPr>
          </w:p>
        </w:tc>
      </w:tr>
      <w:tr w:rsidR="008C76E0" w:rsidRPr="00BD7577" w14:paraId="4123779E" w14:textId="77777777" w:rsidTr="008C76E0">
        <w:trPr>
          <w:jc w:val="center"/>
        </w:trPr>
        <w:tc>
          <w:tcPr>
            <w:tcW w:w="7248" w:type="dxa"/>
            <w:tcBorders>
              <w:top w:val="single" w:sz="4" w:space="0" w:color="auto"/>
              <w:left w:val="single" w:sz="4" w:space="0" w:color="auto"/>
            </w:tcBorders>
            <w:shd w:val="clear" w:color="auto" w:fill="FFFFFF"/>
            <w:vAlign w:val="bottom"/>
          </w:tcPr>
          <w:p w14:paraId="52B8712C"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դասը կամ ցուցումը՝</w:t>
            </w:r>
          </w:p>
        </w:tc>
        <w:tc>
          <w:tcPr>
            <w:tcW w:w="2280" w:type="dxa"/>
            <w:tcBorders>
              <w:top w:val="single" w:sz="4" w:space="0" w:color="auto"/>
              <w:left w:val="single" w:sz="4" w:space="0" w:color="auto"/>
              <w:right w:val="single" w:sz="4" w:space="0" w:color="auto"/>
            </w:tcBorders>
            <w:shd w:val="clear" w:color="auto" w:fill="FFFFFF"/>
          </w:tcPr>
          <w:p w14:paraId="08DA7E14" w14:textId="77777777" w:rsidR="008C76E0" w:rsidRPr="00BD7577" w:rsidRDefault="008C76E0" w:rsidP="008C76E0">
            <w:pPr>
              <w:spacing w:after="120" w:line="240" w:lineRule="auto"/>
              <w:rPr>
                <w:rFonts w:ascii="Sylfaen" w:hAnsi="Sylfaen"/>
                <w:sz w:val="24"/>
                <w:szCs w:val="24"/>
              </w:rPr>
            </w:pPr>
          </w:p>
        </w:tc>
      </w:tr>
      <w:tr w:rsidR="008C76E0" w:rsidRPr="00BD7577" w14:paraId="0D545446" w14:textId="77777777" w:rsidTr="008C76E0">
        <w:trPr>
          <w:jc w:val="center"/>
        </w:trPr>
        <w:tc>
          <w:tcPr>
            <w:tcW w:w="7248" w:type="dxa"/>
            <w:tcBorders>
              <w:top w:val="single" w:sz="4" w:space="0" w:color="auto"/>
              <w:left w:val="single" w:sz="4" w:space="0" w:color="auto"/>
              <w:bottom w:val="single" w:sz="4" w:space="0" w:color="auto"/>
            </w:tcBorders>
            <w:shd w:val="clear" w:color="auto" w:fill="FFFFFF"/>
            <w:vAlign w:val="bottom"/>
          </w:tcPr>
          <w:p w14:paraId="08B0C4A4"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Դոզաների ենթադրյալ ընդգրկույթը՝</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00746BB3" w14:textId="77777777" w:rsidR="008C76E0" w:rsidRPr="00BD7577" w:rsidRDefault="008C76E0" w:rsidP="008C76E0">
            <w:pPr>
              <w:spacing w:after="120" w:line="240" w:lineRule="auto"/>
              <w:rPr>
                <w:rFonts w:ascii="Sylfaen" w:hAnsi="Sylfaen"/>
                <w:sz w:val="24"/>
                <w:szCs w:val="24"/>
              </w:rPr>
            </w:pPr>
          </w:p>
        </w:tc>
      </w:tr>
    </w:tbl>
    <w:p w14:paraId="7731B547" w14:textId="77777777" w:rsidR="008C76E0" w:rsidRPr="00BD7577" w:rsidRDefault="008C76E0" w:rsidP="008C76E0">
      <w:pPr>
        <w:rPr>
          <w:rFonts w:ascii="Sylfaen" w:hAnsi="Sylfaen"/>
          <w:sz w:val="24"/>
          <w:szCs w:val="24"/>
        </w:rPr>
      </w:pPr>
    </w:p>
    <w:p w14:paraId="490464CF" w14:textId="77777777" w:rsidR="008C76E0" w:rsidRPr="00BD7577" w:rsidRDefault="008C76E0" w:rsidP="008C76E0">
      <w:pPr>
        <w:ind w:left="1701" w:right="1699"/>
        <w:jc w:val="center"/>
        <w:rPr>
          <w:rFonts w:ascii="Sylfaen" w:hAnsi="Sylfaen"/>
          <w:sz w:val="24"/>
          <w:szCs w:val="24"/>
        </w:rPr>
      </w:pPr>
      <w:r w:rsidRPr="00BD7577">
        <w:rPr>
          <w:rFonts w:ascii="Sylfaen" w:hAnsi="Sylfaen"/>
          <w:sz w:val="24"/>
          <w:szCs w:val="24"/>
        </w:rPr>
        <w:t>3. Ակտիվ դեղագործական բաղադրամաս</w:t>
      </w:r>
      <w:r w:rsidRPr="00BD7577">
        <w:rPr>
          <w:rFonts w:ascii="Sylfaen" w:hAnsi="Sylfaen"/>
          <w:sz w:val="24"/>
          <w:szCs w:val="24"/>
        </w:rPr>
        <w:br/>
        <w:t>(ԱԴՍ, մոդուլ 3.2.S)</w:t>
      </w:r>
    </w:p>
    <w:p w14:paraId="489C2CB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A6D632B"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18242E9"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78"/>
      </w:tblGrid>
      <w:tr w:rsidR="008C76E0" w:rsidRPr="00BD7577" w14:paraId="503A1048" w14:textId="77777777" w:rsidTr="008C76E0">
        <w:trPr>
          <w:jc w:val="center"/>
        </w:trPr>
        <w:tc>
          <w:tcPr>
            <w:tcW w:w="2835" w:type="dxa"/>
          </w:tcPr>
          <w:p w14:paraId="3D4DB9C3" w14:textId="77777777" w:rsidR="008C76E0" w:rsidRPr="00BD7577" w:rsidRDefault="008C76E0" w:rsidP="008C76E0">
            <w:pPr>
              <w:spacing w:after="160" w:line="360" w:lineRule="auto"/>
              <w:ind w:right="-108"/>
              <w:rPr>
                <w:rFonts w:ascii="Sylfaen" w:hAnsi="Sylfaen"/>
                <w:sz w:val="24"/>
                <w:szCs w:val="24"/>
              </w:rPr>
            </w:pPr>
            <w:r w:rsidRPr="00BD7577">
              <w:rPr>
                <w:rFonts w:ascii="Sylfaen" w:hAnsi="Sylfaen"/>
                <w:sz w:val="24"/>
                <w:szCs w:val="24"/>
              </w:rPr>
              <w:t>Ծանոթագրություններ՝</w:t>
            </w:r>
          </w:p>
        </w:tc>
        <w:tc>
          <w:tcPr>
            <w:tcW w:w="6378" w:type="dxa"/>
          </w:tcPr>
          <w:p w14:paraId="69DC54DD"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Հարկ է նշել, թե արդյոք ներկայացվել են Եվրոպական դեղագրքի մենագրությանը (այսուհետ՝ СЕР) համապատասխանության Հավաստագիրը կամ Ակտիվ դեղագործական բաղադրամասի դոսյեն (այսուհետ ԱԴԲԴ) կամ ակտիվ դեղագործական բաղադրամասի մասին ամբողջական տեղեկատվությունը:</w:t>
            </w:r>
          </w:p>
          <w:p w14:paraId="44B0991F"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 xml:space="preserve">Ակտիվ դեղագործական բաղադրամասի մաստեր-ֆայլը (այսուհետ ԱԴԲՄՖ) օգտագործելիս հարկ է նշել, </w:t>
            </w:r>
            <w:r w:rsidRPr="00BD7577">
              <w:rPr>
                <w:rFonts w:ascii="Sylfaen" w:hAnsi="Sylfaen"/>
                <w:sz w:val="24"/>
                <w:szCs w:val="24"/>
              </w:rPr>
              <w:lastRenderedPageBreak/>
              <w:t xml:space="preserve">որ դրա գնահատումը ներկայացվում է ԱԴԲՄՖ-ի կրիտիկական գնահատման առանձին հաշվետվության մեջ՝ փաստաթղթի փակ մասին առնչվող գաղտնի հավելվածով: </w:t>
            </w:r>
          </w:p>
          <w:p w14:paraId="45EF173F"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Դոսյեում մի քանի ԱԴԲՄՖ-ների վերաբերյալ տեղեկությունների առկայության դեպքում յուրաքանչյուր ԱԴԲՄՖ-ի համար ներկայացվում է առանձին հաշվետվություն:</w:t>
            </w:r>
          </w:p>
          <w:p w14:paraId="005BB5B1"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Դիտարկվող դեղապատրաստուկի վերաբերյալ անհրաժեշտ է ներկայացնել տեղեկություններ՝ գաղտնի տեղեկատվության հասանելիության վերաբերյալ:</w:t>
            </w:r>
          </w:p>
          <w:p w14:paraId="5955E6B2" w14:textId="35C2140F" w:rsidR="008C76E0" w:rsidRPr="00BD7577" w:rsidRDefault="008C76E0" w:rsidP="008C76E0">
            <w:pPr>
              <w:tabs>
                <w:tab w:val="left" w:pos="459"/>
              </w:tabs>
              <w:spacing w:after="160" w:line="336" w:lineRule="auto"/>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t xml:space="preserve">СЕР-ը </w:t>
            </w:r>
            <w:r w:rsidR="00C54D75">
              <w:rPr>
                <w:rFonts w:ascii="Sylfaen" w:hAnsi="Sylfaen"/>
                <w:sz w:val="24"/>
                <w:szCs w:val="24"/>
              </w:rPr>
              <w:t>և</w:t>
            </w:r>
            <w:r w:rsidRPr="00BD7577">
              <w:rPr>
                <w:rFonts w:ascii="Sylfaen" w:hAnsi="Sylfaen"/>
                <w:sz w:val="24"/>
                <w:szCs w:val="24"/>
              </w:rPr>
              <w:t xml:space="preserve"> ԱԴԲՄՖ-ն օգտագործելիս անհրաժեշտ է լրացնել միայն հաշվետվության «Ակտիվ դեղագործական բաղադրամասի որակի հսկողություն» 3.4-րդ </w:t>
            </w:r>
            <w:r w:rsidR="00C54D75">
              <w:rPr>
                <w:rFonts w:ascii="Sylfaen" w:hAnsi="Sylfaen"/>
                <w:sz w:val="24"/>
                <w:szCs w:val="24"/>
              </w:rPr>
              <w:t>և</w:t>
            </w:r>
            <w:r w:rsidRPr="00BD7577">
              <w:rPr>
                <w:rFonts w:ascii="Sylfaen" w:hAnsi="Sylfaen"/>
                <w:sz w:val="24"/>
                <w:szCs w:val="24"/>
              </w:rPr>
              <w:t xml:space="preserve"> «Ստանդարտ նմուշներ կամ նյութեր» 3.5-րդ բաժինները, որոնք կապված են դեղապատրաստուկի արտադրության հետ, եթե </w:t>
            </w:r>
            <w:r w:rsidR="0056496B">
              <w:rPr>
                <w:rFonts w:ascii="Sylfaen" w:hAnsi="Sylfaen"/>
                <w:sz w:val="24"/>
                <w:szCs w:val="24"/>
              </w:rPr>
              <w:t>դիմումատու</w:t>
            </w:r>
            <w:r w:rsidRPr="00BD7577">
              <w:rPr>
                <w:rFonts w:ascii="Sylfaen" w:hAnsi="Sylfaen"/>
                <w:sz w:val="24"/>
                <w:szCs w:val="24"/>
              </w:rPr>
              <w:t>ն չի տրամադրել լրացուցիչ տվյալներ՝ մասնավորապես գերհսկողության առավել տ</w:t>
            </w:r>
            <w:r w:rsidR="00C54D75">
              <w:rPr>
                <w:rFonts w:ascii="Sylfaen" w:hAnsi="Sylfaen"/>
                <w:sz w:val="24"/>
                <w:szCs w:val="24"/>
              </w:rPr>
              <w:t>և</w:t>
            </w:r>
            <w:r w:rsidRPr="00BD7577">
              <w:rPr>
                <w:rFonts w:ascii="Sylfaen" w:hAnsi="Sylfaen"/>
                <w:sz w:val="24"/>
                <w:szCs w:val="24"/>
              </w:rPr>
              <w:t xml:space="preserve">ական ժամանակահատվածի հաստատման համար կայունության մասին տվյալներ` 3.2.S.7 բաժնին համապատասխան: </w:t>
            </w:r>
          </w:p>
          <w:p w14:paraId="4F8018A0" w14:textId="17B4AE74" w:rsidR="008C76E0" w:rsidRPr="00BD7577" w:rsidRDefault="008C76E0" w:rsidP="008C76E0">
            <w:pPr>
              <w:tabs>
                <w:tab w:val="left" w:pos="459"/>
              </w:tabs>
              <w:spacing w:after="160" w:line="336" w:lineRule="auto"/>
              <w:jc w:val="both"/>
              <w:rPr>
                <w:rFonts w:ascii="Sylfaen" w:hAnsi="Sylfaen"/>
                <w:sz w:val="24"/>
                <w:szCs w:val="24"/>
              </w:rPr>
            </w:pPr>
            <w:r w:rsidRPr="00BD7577">
              <w:rPr>
                <w:rFonts w:ascii="Sylfaen" w:hAnsi="Sylfaen"/>
                <w:sz w:val="24"/>
                <w:szCs w:val="24"/>
              </w:rPr>
              <w:t>6.</w:t>
            </w:r>
            <w:r w:rsidRPr="00BD7577">
              <w:rPr>
                <w:rFonts w:ascii="Sylfaen" w:hAnsi="Sylfaen"/>
                <w:sz w:val="24"/>
                <w:szCs w:val="24"/>
              </w:rPr>
              <w:tab/>
              <w:t xml:space="preserve">ԱԴԲՄՖ հաշվետվությունների փակ մասի վերաբերյալ հարցերը չեն ուղարկվում </w:t>
            </w:r>
            <w:r w:rsidR="0056496B">
              <w:rPr>
                <w:rFonts w:ascii="Sylfaen" w:hAnsi="Sylfaen"/>
                <w:sz w:val="24"/>
                <w:szCs w:val="24"/>
              </w:rPr>
              <w:t>դիմումատու</w:t>
            </w:r>
            <w:r w:rsidRPr="00BD7577">
              <w:rPr>
                <w:rFonts w:ascii="Sylfaen" w:hAnsi="Sylfaen"/>
                <w:sz w:val="24"/>
                <w:szCs w:val="24"/>
              </w:rPr>
              <w:t>ին, այլ բացառապես ուղարկվում են ակտիվ դեղագործական բաղադրամասի համապատասխան արտադրողին (ԱԴԲՄՖ-ի սեփականատիրոջը):</w:t>
            </w:r>
          </w:p>
          <w:p w14:paraId="003D91D0" w14:textId="41E422A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7.</w:t>
            </w:r>
            <w:r w:rsidRPr="00BD7577">
              <w:rPr>
                <w:rFonts w:ascii="Sylfaen" w:hAnsi="Sylfaen"/>
                <w:sz w:val="24"/>
                <w:szCs w:val="24"/>
              </w:rPr>
              <w:tab/>
              <w:t xml:space="preserve">СЕР-ը </w:t>
            </w:r>
            <w:r w:rsidR="00C54D75">
              <w:rPr>
                <w:rFonts w:ascii="Sylfaen" w:hAnsi="Sylfaen"/>
                <w:sz w:val="24"/>
                <w:szCs w:val="24"/>
              </w:rPr>
              <w:t>և</w:t>
            </w:r>
            <w:r w:rsidRPr="00BD7577">
              <w:rPr>
                <w:rFonts w:ascii="Sylfaen" w:hAnsi="Sylfaen"/>
                <w:sz w:val="24"/>
                <w:szCs w:val="24"/>
              </w:rPr>
              <w:t xml:space="preserve"> ԱԴԲՄՖ-ն օգտագործելիս հարկ է ճշգրտել աղբյուրը (</w:t>
            </w:r>
            <w:r w:rsidR="0056496B">
              <w:rPr>
                <w:rFonts w:ascii="Sylfaen" w:hAnsi="Sylfaen"/>
                <w:sz w:val="24"/>
                <w:szCs w:val="24"/>
              </w:rPr>
              <w:t>դիմումատու</w:t>
            </w:r>
            <w:r w:rsidRPr="00BD7577">
              <w:rPr>
                <w:rFonts w:ascii="Sylfaen" w:hAnsi="Sylfaen"/>
                <w:sz w:val="24"/>
                <w:szCs w:val="24"/>
              </w:rPr>
              <w:t xml:space="preserve">ն, ԱԴՍՄՖ-ի սեփականատերը </w:t>
            </w:r>
            <w:r w:rsidRPr="00BD7577">
              <w:rPr>
                <w:rFonts w:ascii="Sylfaen" w:hAnsi="Sylfaen"/>
                <w:sz w:val="24"/>
                <w:szCs w:val="24"/>
              </w:rPr>
              <w:lastRenderedPageBreak/>
              <w:t xml:space="preserve">կամ СЕР-ի տերը) </w:t>
            </w:r>
            <w:r w:rsidR="00C54D75">
              <w:rPr>
                <w:rFonts w:ascii="Sylfaen" w:hAnsi="Sylfaen"/>
                <w:sz w:val="24"/>
                <w:szCs w:val="24"/>
              </w:rPr>
              <w:t>և</w:t>
            </w:r>
            <w:r w:rsidRPr="00BD7577">
              <w:rPr>
                <w:rFonts w:ascii="Sylfaen" w:hAnsi="Sylfaen"/>
                <w:sz w:val="24"/>
                <w:szCs w:val="24"/>
              </w:rPr>
              <w:t xml:space="preserve"> կրիտիկական գնահատման մասին հաշվետվություն կազմելու համար՝ տեղեկությունների մանրամասնեցման մակարդակը: </w:t>
            </w:r>
          </w:p>
          <w:p w14:paraId="550F8A50" w14:textId="582E6671"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8.</w:t>
            </w:r>
            <w:r w:rsidRPr="00BD7577">
              <w:rPr>
                <w:rFonts w:ascii="Sylfaen" w:hAnsi="Sylfaen"/>
                <w:sz w:val="24"/>
                <w:szCs w:val="24"/>
              </w:rPr>
              <w:tab/>
              <w:t>Ակտիվ դեղագործական բաղադրամասի որակի գնահատումը սույն հաշվետվության մեջ պետք է նա</w:t>
            </w:r>
            <w:r w:rsidR="00C54D75">
              <w:rPr>
                <w:rFonts w:ascii="Sylfaen" w:hAnsi="Sylfaen"/>
                <w:sz w:val="24"/>
                <w:szCs w:val="24"/>
              </w:rPr>
              <w:t>և</w:t>
            </w:r>
            <w:r w:rsidRPr="00BD7577">
              <w:rPr>
                <w:rFonts w:ascii="Sylfaen" w:hAnsi="Sylfaen"/>
                <w:sz w:val="24"/>
                <w:szCs w:val="24"/>
              </w:rPr>
              <w:t xml:space="preserve"> արտացոլի </w:t>
            </w:r>
            <w:r w:rsidR="0056496B">
              <w:rPr>
                <w:rFonts w:ascii="Sylfaen" w:hAnsi="Sylfaen"/>
                <w:sz w:val="24"/>
                <w:szCs w:val="24"/>
              </w:rPr>
              <w:t>դիմումատու</w:t>
            </w:r>
            <w:r w:rsidRPr="00BD7577">
              <w:rPr>
                <w:rFonts w:ascii="Sylfaen" w:hAnsi="Sylfaen"/>
                <w:sz w:val="24"/>
                <w:szCs w:val="24"/>
              </w:rPr>
              <w:t xml:space="preserve">ի կողմից ներկայացված լրացուցիչ տեղեկատվությունը, որը ներառված չէ ԱԴԲՄՖ-ի տիրոջ կողմից ներկայացվող փաստաթղթի բաց մասում: Եթե </w:t>
            </w:r>
            <w:r w:rsidR="0056496B">
              <w:rPr>
                <w:rFonts w:ascii="Sylfaen" w:hAnsi="Sylfaen"/>
                <w:sz w:val="24"/>
                <w:szCs w:val="24"/>
              </w:rPr>
              <w:t>դիմումատու</w:t>
            </w:r>
            <w:r w:rsidRPr="00BD7577">
              <w:rPr>
                <w:rFonts w:ascii="Sylfaen" w:hAnsi="Sylfaen"/>
                <w:sz w:val="24"/>
                <w:szCs w:val="24"/>
              </w:rPr>
              <w:t xml:space="preserve">ն ներկայացնում է ակտիվ դեղագործական բաղադրամասի մասին ամբողջական տեղեկատվություն, հաշվետվության մեջ պետք է ներառվի այդ տեղեկատվության գնահատումը: </w:t>
            </w:r>
          </w:p>
        </w:tc>
      </w:tr>
    </w:tbl>
    <w:p w14:paraId="5E8F6DA0" w14:textId="77777777" w:rsidR="008C76E0" w:rsidRPr="00BD7577" w:rsidRDefault="008C76E0" w:rsidP="008C76E0">
      <w:pPr>
        <w:spacing w:line="384" w:lineRule="auto"/>
        <w:rPr>
          <w:rFonts w:ascii="Sylfaen" w:hAnsi="Sylfaen"/>
          <w:sz w:val="24"/>
          <w:szCs w:val="24"/>
        </w:rPr>
      </w:pPr>
    </w:p>
    <w:p w14:paraId="3F6D7A4D" w14:textId="77777777" w:rsidR="008C76E0" w:rsidRPr="00BD7577" w:rsidRDefault="008C76E0" w:rsidP="008C76E0">
      <w:pPr>
        <w:tabs>
          <w:tab w:val="left" w:pos="567"/>
        </w:tabs>
        <w:spacing w:line="384" w:lineRule="auto"/>
        <w:ind w:left="567" w:right="566"/>
        <w:jc w:val="center"/>
        <w:rPr>
          <w:rFonts w:ascii="Sylfaen" w:hAnsi="Sylfaen"/>
          <w:sz w:val="24"/>
          <w:szCs w:val="24"/>
        </w:rPr>
      </w:pPr>
      <w:r w:rsidRPr="00BD7577">
        <w:rPr>
          <w:rFonts w:ascii="Sylfaen" w:hAnsi="Sylfaen"/>
          <w:sz w:val="24"/>
          <w:szCs w:val="24"/>
        </w:rPr>
        <w:t xml:space="preserve">3.1. Ընդհանուր տեղեկատվություն՝ ելանյութերի </w:t>
      </w:r>
      <w:r w:rsidR="00C54D75">
        <w:rPr>
          <w:rFonts w:ascii="Sylfaen" w:hAnsi="Sylfaen"/>
          <w:sz w:val="24"/>
          <w:szCs w:val="24"/>
        </w:rPr>
        <w:t>և</w:t>
      </w:r>
      <w:r w:rsidRPr="00BD7577">
        <w:rPr>
          <w:rFonts w:ascii="Sylfaen" w:hAnsi="Sylfaen"/>
          <w:sz w:val="24"/>
          <w:szCs w:val="24"/>
        </w:rPr>
        <w:t xml:space="preserve"> հումքի մասին </w:t>
      </w:r>
      <w:r w:rsidRPr="00BD7577">
        <w:rPr>
          <w:rFonts w:ascii="Sylfaen" w:hAnsi="Sylfaen"/>
          <w:sz w:val="24"/>
          <w:szCs w:val="24"/>
        </w:rPr>
        <w:br/>
        <w:t>(մոդուլ 3.2.S.1):</w:t>
      </w:r>
    </w:p>
    <w:p w14:paraId="65F9BA61" w14:textId="77777777" w:rsidR="008C76E0" w:rsidRPr="00BD7577" w:rsidRDefault="008C76E0" w:rsidP="008C76E0">
      <w:pPr>
        <w:spacing w:line="384" w:lineRule="auto"/>
        <w:ind w:firstLine="567"/>
        <w:jc w:val="both"/>
        <w:rPr>
          <w:rFonts w:ascii="Sylfaen" w:hAnsi="Sylfaen"/>
          <w:sz w:val="24"/>
          <w:szCs w:val="24"/>
        </w:rPr>
      </w:pPr>
      <w:r w:rsidRPr="00BD7577">
        <w:rPr>
          <w:rFonts w:ascii="Sylfaen" w:hAnsi="Sylfaen"/>
          <w:sz w:val="24"/>
          <w:szCs w:val="24"/>
        </w:rPr>
        <w:t>Տեղեկատվություն՝ ԱԴԲ-ի անվանման մասին (մոդուլ S.1.1)</w:t>
      </w:r>
    </w:p>
    <w:tbl>
      <w:tblPr>
        <w:tblOverlap w:val="never"/>
        <w:tblW w:w="9569" w:type="dxa"/>
        <w:tblLayout w:type="fixed"/>
        <w:tblCellMar>
          <w:left w:w="10" w:type="dxa"/>
          <w:right w:w="10" w:type="dxa"/>
        </w:tblCellMar>
        <w:tblLook w:val="04A0" w:firstRow="1" w:lastRow="0" w:firstColumn="1" w:lastColumn="0" w:noHBand="0" w:noVBand="1"/>
      </w:tblPr>
      <w:tblGrid>
        <w:gridCol w:w="6531"/>
        <w:gridCol w:w="3038"/>
      </w:tblGrid>
      <w:tr w:rsidR="008C76E0" w:rsidRPr="00BD7577" w14:paraId="4DB76508" w14:textId="77777777" w:rsidTr="008C76E0">
        <w:tc>
          <w:tcPr>
            <w:tcW w:w="6531" w:type="dxa"/>
            <w:tcBorders>
              <w:top w:val="single" w:sz="4" w:space="0" w:color="auto"/>
              <w:left w:val="single" w:sz="4" w:space="0" w:color="auto"/>
            </w:tcBorders>
            <w:shd w:val="clear" w:color="auto" w:fill="FFFFFF"/>
          </w:tcPr>
          <w:p w14:paraId="38701659"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Միջազգային չարտոնագրված անվանումը (ՄՉԱ)՝</w:t>
            </w:r>
          </w:p>
        </w:tc>
        <w:tc>
          <w:tcPr>
            <w:tcW w:w="3038" w:type="dxa"/>
            <w:tcBorders>
              <w:top w:val="single" w:sz="4" w:space="0" w:color="auto"/>
              <w:left w:val="single" w:sz="4" w:space="0" w:color="auto"/>
              <w:right w:val="single" w:sz="4" w:space="0" w:color="auto"/>
            </w:tcBorders>
            <w:shd w:val="clear" w:color="auto" w:fill="FFFFFF"/>
          </w:tcPr>
          <w:p w14:paraId="3F161884" w14:textId="77777777" w:rsidR="008C76E0" w:rsidRPr="00BD7577" w:rsidRDefault="008C76E0" w:rsidP="008C76E0">
            <w:pPr>
              <w:spacing w:after="120" w:line="288" w:lineRule="auto"/>
              <w:rPr>
                <w:rFonts w:ascii="Sylfaen" w:hAnsi="Sylfaen"/>
                <w:sz w:val="24"/>
                <w:szCs w:val="24"/>
              </w:rPr>
            </w:pPr>
          </w:p>
        </w:tc>
      </w:tr>
      <w:tr w:rsidR="008C76E0" w:rsidRPr="00BD7577" w14:paraId="0DF092FC" w14:textId="77777777" w:rsidTr="008C76E0">
        <w:tc>
          <w:tcPr>
            <w:tcW w:w="6531" w:type="dxa"/>
            <w:tcBorders>
              <w:top w:val="single" w:sz="4" w:space="0" w:color="auto"/>
              <w:left w:val="single" w:sz="4" w:space="0" w:color="auto"/>
            </w:tcBorders>
            <w:shd w:val="clear" w:color="auto" w:fill="FFFFFF"/>
          </w:tcPr>
          <w:p w14:paraId="0FABBF06"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Քիմիական անվանումը՝</w:t>
            </w:r>
          </w:p>
        </w:tc>
        <w:tc>
          <w:tcPr>
            <w:tcW w:w="3038" w:type="dxa"/>
            <w:tcBorders>
              <w:top w:val="single" w:sz="4" w:space="0" w:color="auto"/>
              <w:left w:val="single" w:sz="4" w:space="0" w:color="auto"/>
              <w:right w:val="single" w:sz="4" w:space="0" w:color="auto"/>
            </w:tcBorders>
            <w:shd w:val="clear" w:color="auto" w:fill="FFFFFF"/>
          </w:tcPr>
          <w:p w14:paraId="4ACBF7DC" w14:textId="77777777" w:rsidR="008C76E0" w:rsidRPr="00BD7577" w:rsidRDefault="008C76E0" w:rsidP="008C76E0">
            <w:pPr>
              <w:spacing w:after="120" w:line="288" w:lineRule="auto"/>
              <w:rPr>
                <w:rFonts w:ascii="Sylfaen" w:hAnsi="Sylfaen"/>
                <w:sz w:val="24"/>
                <w:szCs w:val="24"/>
              </w:rPr>
            </w:pPr>
          </w:p>
        </w:tc>
      </w:tr>
      <w:tr w:rsidR="008C76E0" w:rsidRPr="00BD7577" w14:paraId="444F543D" w14:textId="77777777" w:rsidTr="008C76E0">
        <w:tc>
          <w:tcPr>
            <w:tcW w:w="6531" w:type="dxa"/>
            <w:tcBorders>
              <w:top w:val="single" w:sz="4" w:space="0" w:color="auto"/>
              <w:left w:val="single" w:sz="4" w:space="0" w:color="auto"/>
            </w:tcBorders>
            <w:shd w:val="clear" w:color="auto" w:fill="FFFFFF"/>
          </w:tcPr>
          <w:p w14:paraId="61437BC7" w14:textId="77777777" w:rsidR="008C76E0" w:rsidRPr="008C76E0" w:rsidRDefault="008C76E0" w:rsidP="008C76E0">
            <w:pPr>
              <w:pStyle w:val="Bodytext180"/>
              <w:shd w:val="clear" w:color="auto" w:fill="auto"/>
              <w:spacing w:before="0" w:after="120" w:line="288" w:lineRule="auto"/>
              <w:ind w:left="142" w:firstLine="0"/>
              <w:rPr>
                <w:rFonts w:ascii="Sylfaen" w:hAnsi="Sylfaen"/>
                <w:b w:val="0"/>
                <w:sz w:val="24"/>
                <w:szCs w:val="24"/>
                <w:lang w:val="hy-AM"/>
              </w:rPr>
            </w:pPr>
            <w:r w:rsidRPr="00BD7577">
              <w:rPr>
                <w:rStyle w:val="Bodytext295pt"/>
                <w:rFonts w:ascii="Sylfaen" w:hAnsi="Sylfaen"/>
                <w:spacing w:val="0"/>
                <w:sz w:val="24"/>
                <w:szCs w:val="24"/>
              </w:rPr>
              <w:t>Այլ անվանում (եթե կիրառելի է)՝</w:t>
            </w:r>
          </w:p>
        </w:tc>
        <w:tc>
          <w:tcPr>
            <w:tcW w:w="3038" w:type="dxa"/>
            <w:tcBorders>
              <w:top w:val="single" w:sz="4" w:space="0" w:color="auto"/>
              <w:left w:val="single" w:sz="4" w:space="0" w:color="auto"/>
              <w:right w:val="single" w:sz="4" w:space="0" w:color="auto"/>
            </w:tcBorders>
            <w:shd w:val="clear" w:color="auto" w:fill="FFFFFF"/>
          </w:tcPr>
          <w:p w14:paraId="74F05DE7" w14:textId="77777777" w:rsidR="008C76E0" w:rsidRPr="00BD7577" w:rsidRDefault="008C76E0" w:rsidP="008C76E0">
            <w:pPr>
              <w:spacing w:after="120" w:line="288" w:lineRule="auto"/>
              <w:rPr>
                <w:rFonts w:ascii="Sylfaen" w:hAnsi="Sylfaen"/>
                <w:sz w:val="24"/>
                <w:szCs w:val="24"/>
              </w:rPr>
            </w:pPr>
          </w:p>
        </w:tc>
      </w:tr>
      <w:tr w:rsidR="008C76E0" w:rsidRPr="00BD7577" w14:paraId="55FEEE00" w14:textId="77777777" w:rsidTr="008C76E0">
        <w:tc>
          <w:tcPr>
            <w:tcW w:w="6531" w:type="dxa"/>
            <w:tcBorders>
              <w:top w:val="single" w:sz="4" w:space="0" w:color="auto"/>
              <w:left w:val="single" w:sz="4" w:space="0" w:color="auto"/>
            </w:tcBorders>
            <w:shd w:val="clear" w:color="auto" w:fill="FFFFFF"/>
          </w:tcPr>
          <w:p w14:paraId="325F829A"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Անվանումն ըստ IUPAC անվանացանկի՝</w:t>
            </w:r>
          </w:p>
        </w:tc>
        <w:tc>
          <w:tcPr>
            <w:tcW w:w="3038" w:type="dxa"/>
            <w:tcBorders>
              <w:top w:val="single" w:sz="4" w:space="0" w:color="auto"/>
              <w:left w:val="single" w:sz="4" w:space="0" w:color="auto"/>
              <w:right w:val="single" w:sz="4" w:space="0" w:color="auto"/>
            </w:tcBorders>
            <w:shd w:val="clear" w:color="auto" w:fill="FFFFFF"/>
          </w:tcPr>
          <w:p w14:paraId="15220AA4" w14:textId="77777777" w:rsidR="008C76E0" w:rsidRPr="00BD7577" w:rsidRDefault="008C76E0" w:rsidP="008C76E0">
            <w:pPr>
              <w:spacing w:after="120" w:line="288" w:lineRule="auto"/>
              <w:rPr>
                <w:rFonts w:ascii="Sylfaen" w:hAnsi="Sylfaen"/>
                <w:sz w:val="24"/>
                <w:szCs w:val="24"/>
              </w:rPr>
            </w:pPr>
          </w:p>
        </w:tc>
      </w:tr>
      <w:tr w:rsidR="008C76E0" w:rsidRPr="00BD7577" w14:paraId="42716642" w14:textId="77777777" w:rsidTr="008C76E0">
        <w:tc>
          <w:tcPr>
            <w:tcW w:w="6531" w:type="dxa"/>
            <w:tcBorders>
              <w:top w:val="single" w:sz="4" w:space="0" w:color="auto"/>
              <w:left w:val="single" w:sz="4" w:space="0" w:color="auto"/>
            </w:tcBorders>
            <w:shd w:val="clear" w:color="auto" w:fill="FFFFFF"/>
          </w:tcPr>
          <w:p w14:paraId="2FFD4739"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CAS համարը՝</w:t>
            </w:r>
          </w:p>
        </w:tc>
        <w:tc>
          <w:tcPr>
            <w:tcW w:w="3038" w:type="dxa"/>
            <w:tcBorders>
              <w:top w:val="single" w:sz="4" w:space="0" w:color="auto"/>
              <w:left w:val="single" w:sz="4" w:space="0" w:color="auto"/>
              <w:right w:val="single" w:sz="4" w:space="0" w:color="auto"/>
            </w:tcBorders>
            <w:shd w:val="clear" w:color="auto" w:fill="FFFFFF"/>
          </w:tcPr>
          <w:p w14:paraId="22A22BA7" w14:textId="77777777" w:rsidR="008C76E0" w:rsidRPr="00BD7577" w:rsidRDefault="008C76E0" w:rsidP="008C76E0">
            <w:pPr>
              <w:spacing w:after="120" w:line="288" w:lineRule="auto"/>
              <w:rPr>
                <w:rFonts w:ascii="Sylfaen" w:hAnsi="Sylfaen"/>
                <w:sz w:val="24"/>
                <w:szCs w:val="24"/>
              </w:rPr>
            </w:pPr>
          </w:p>
        </w:tc>
      </w:tr>
      <w:tr w:rsidR="008C76E0" w:rsidRPr="00BD7577" w14:paraId="26B2B4CF" w14:textId="77777777" w:rsidTr="008C76E0">
        <w:tc>
          <w:tcPr>
            <w:tcW w:w="6531" w:type="dxa"/>
            <w:tcBorders>
              <w:top w:val="single" w:sz="4" w:space="0" w:color="auto"/>
              <w:left w:val="single" w:sz="4" w:space="0" w:color="auto"/>
            </w:tcBorders>
            <w:shd w:val="clear" w:color="auto" w:fill="FFFFFF"/>
          </w:tcPr>
          <w:p w14:paraId="136CBB7C"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Լաբորատոր ծածկագիրը՝</w:t>
            </w:r>
          </w:p>
        </w:tc>
        <w:tc>
          <w:tcPr>
            <w:tcW w:w="3038" w:type="dxa"/>
            <w:tcBorders>
              <w:top w:val="single" w:sz="4" w:space="0" w:color="auto"/>
              <w:left w:val="single" w:sz="4" w:space="0" w:color="auto"/>
              <w:right w:val="single" w:sz="4" w:space="0" w:color="auto"/>
            </w:tcBorders>
            <w:shd w:val="clear" w:color="auto" w:fill="FFFFFF"/>
          </w:tcPr>
          <w:p w14:paraId="4D613ECA" w14:textId="77777777" w:rsidR="008C76E0" w:rsidRPr="00BD7577" w:rsidRDefault="008C76E0" w:rsidP="008C76E0">
            <w:pPr>
              <w:spacing w:after="120" w:line="288" w:lineRule="auto"/>
              <w:rPr>
                <w:rFonts w:ascii="Sylfaen" w:hAnsi="Sylfaen"/>
                <w:sz w:val="24"/>
                <w:szCs w:val="24"/>
              </w:rPr>
            </w:pPr>
          </w:p>
        </w:tc>
      </w:tr>
      <w:tr w:rsidR="008C76E0" w:rsidRPr="00BD7577" w14:paraId="30BB27E4" w14:textId="77777777" w:rsidTr="008C76E0">
        <w:tc>
          <w:tcPr>
            <w:tcW w:w="6531" w:type="dxa"/>
            <w:tcBorders>
              <w:top w:val="single" w:sz="4" w:space="0" w:color="auto"/>
              <w:left w:val="single" w:sz="4" w:space="0" w:color="auto"/>
            </w:tcBorders>
            <w:shd w:val="clear" w:color="auto" w:fill="FFFFFF"/>
          </w:tcPr>
          <w:p w14:paraId="30CF327B"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Մոլեկուլային բանաձ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ը՝</w:t>
            </w:r>
          </w:p>
        </w:tc>
        <w:tc>
          <w:tcPr>
            <w:tcW w:w="3038" w:type="dxa"/>
            <w:tcBorders>
              <w:top w:val="single" w:sz="4" w:space="0" w:color="auto"/>
              <w:left w:val="single" w:sz="4" w:space="0" w:color="auto"/>
              <w:right w:val="single" w:sz="4" w:space="0" w:color="auto"/>
            </w:tcBorders>
            <w:shd w:val="clear" w:color="auto" w:fill="FFFFFF"/>
          </w:tcPr>
          <w:p w14:paraId="17D064E3" w14:textId="77777777" w:rsidR="008C76E0" w:rsidRPr="00BD7577" w:rsidRDefault="008C76E0" w:rsidP="008C76E0">
            <w:pPr>
              <w:spacing w:after="120" w:line="288" w:lineRule="auto"/>
              <w:rPr>
                <w:rFonts w:ascii="Sylfaen" w:hAnsi="Sylfaen"/>
                <w:sz w:val="24"/>
                <w:szCs w:val="24"/>
              </w:rPr>
            </w:pPr>
          </w:p>
        </w:tc>
      </w:tr>
      <w:tr w:rsidR="008C76E0" w:rsidRPr="00BD7577" w14:paraId="5CFC9AF0" w14:textId="77777777" w:rsidTr="008C76E0">
        <w:tc>
          <w:tcPr>
            <w:tcW w:w="6531" w:type="dxa"/>
            <w:tcBorders>
              <w:top w:val="single" w:sz="4" w:space="0" w:color="auto"/>
              <w:left w:val="single" w:sz="4" w:space="0" w:color="auto"/>
            </w:tcBorders>
            <w:shd w:val="clear" w:color="auto" w:fill="FFFFFF"/>
          </w:tcPr>
          <w:p w14:paraId="16F61DFD"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Հարաբերական մոլեկուլային զանգվածը՝</w:t>
            </w:r>
          </w:p>
        </w:tc>
        <w:tc>
          <w:tcPr>
            <w:tcW w:w="3038" w:type="dxa"/>
            <w:tcBorders>
              <w:top w:val="single" w:sz="4" w:space="0" w:color="auto"/>
              <w:left w:val="single" w:sz="4" w:space="0" w:color="auto"/>
              <w:right w:val="single" w:sz="4" w:space="0" w:color="auto"/>
            </w:tcBorders>
            <w:shd w:val="clear" w:color="auto" w:fill="FFFFFF"/>
          </w:tcPr>
          <w:p w14:paraId="7AE92350" w14:textId="77777777" w:rsidR="008C76E0" w:rsidRPr="00BD7577" w:rsidRDefault="008C76E0" w:rsidP="008C76E0">
            <w:pPr>
              <w:spacing w:after="120" w:line="288" w:lineRule="auto"/>
              <w:rPr>
                <w:rFonts w:ascii="Sylfaen" w:hAnsi="Sylfaen"/>
                <w:sz w:val="24"/>
                <w:szCs w:val="24"/>
              </w:rPr>
            </w:pPr>
          </w:p>
        </w:tc>
      </w:tr>
      <w:tr w:rsidR="008C76E0" w:rsidRPr="00BD7577" w14:paraId="231B5B18" w14:textId="77777777" w:rsidTr="008C76E0">
        <w:tc>
          <w:tcPr>
            <w:tcW w:w="9569" w:type="dxa"/>
            <w:gridSpan w:val="2"/>
            <w:tcBorders>
              <w:top w:val="single" w:sz="4" w:space="0" w:color="auto"/>
            </w:tcBorders>
            <w:shd w:val="clear" w:color="auto" w:fill="FFFFFF"/>
            <w:vAlign w:val="center"/>
          </w:tcPr>
          <w:p w14:paraId="61D0D229" w14:textId="77777777" w:rsidR="008C76E0" w:rsidRPr="008C76E0" w:rsidRDefault="008C76E0" w:rsidP="008C76E0">
            <w:pPr>
              <w:pStyle w:val="Bodytext180"/>
              <w:shd w:val="clear" w:color="auto" w:fill="auto"/>
              <w:spacing w:before="0" w:after="120" w:line="240" w:lineRule="auto"/>
              <w:ind w:left="142" w:firstLine="568"/>
              <w:rPr>
                <w:rFonts w:ascii="Sylfaen" w:hAnsi="Sylfaen"/>
                <w:b w:val="0"/>
                <w:sz w:val="24"/>
                <w:szCs w:val="24"/>
                <w:lang w:val="hy-AM"/>
              </w:rPr>
            </w:pPr>
            <w:r w:rsidRPr="00BD7577">
              <w:rPr>
                <w:rStyle w:val="Bodytext295pt"/>
                <w:rFonts w:ascii="Sylfaen" w:hAnsi="Sylfaen"/>
                <w:spacing w:val="0"/>
                <w:sz w:val="24"/>
                <w:szCs w:val="24"/>
              </w:rPr>
              <w:t>ԱԴԲ-ի կառուցվածքը (մոդուլ S.1.2)</w:t>
            </w:r>
          </w:p>
        </w:tc>
      </w:tr>
      <w:tr w:rsidR="008C76E0" w:rsidRPr="00BD7577" w14:paraId="049ACBB3" w14:textId="77777777" w:rsidTr="008C76E0">
        <w:tc>
          <w:tcPr>
            <w:tcW w:w="9569" w:type="dxa"/>
            <w:gridSpan w:val="2"/>
            <w:tcBorders>
              <w:top w:val="single" w:sz="4" w:space="0" w:color="auto"/>
            </w:tcBorders>
            <w:shd w:val="clear" w:color="auto" w:fill="FFFFFF"/>
          </w:tcPr>
          <w:p w14:paraId="6B826648"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31523154" w14:textId="77777777" w:rsidTr="008C76E0">
        <w:tc>
          <w:tcPr>
            <w:tcW w:w="9569" w:type="dxa"/>
            <w:gridSpan w:val="2"/>
            <w:tcBorders>
              <w:top w:val="single" w:sz="4" w:space="0" w:color="auto"/>
            </w:tcBorders>
            <w:shd w:val="clear" w:color="auto" w:fill="FFFFFF"/>
            <w:vAlign w:val="bottom"/>
          </w:tcPr>
          <w:p w14:paraId="4185491A" w14:textId="77777777" w:rsidR="008C76E0" w:rsidRPr="008C76E0" w:rsidRDefault="008C76E0" w:rsidP="008C76E0">
            <w:pPr>
              <w:pStyle w:val="Bodytext180"/>
              <w:shd w:val="clear" w:color="auto" w:fill="auto"/>
              <w:spacing w:before="0" w:after="120" w:line="240" w:lineRule="auto"/>
              <w:ind w:left="142" w:firstLine="567"/>
              <w:rPr>
                <w:rFonts w:ascii="Sylfaen" w:hAnsi="Sylfaen"/>
                <w:b w:val="0"/>
                <w:sz w:val="24"/>
                <w:szCs w:val="24"/>
                <w:lang w:val="hy-AM"/>
              </w:rPr>
            </w:pPr>
            <w:r w:rsidRPr="00BD7577">
              <w:rPr>
                <w:rStyle w:val="Bodytext295pt"/>
                <w:rFonts w:ascii="Sylfaen" w:hAnsi="Sylfaen"/>
                <w:spacing w:val="0"/>
                <w:sz w:val="24"/>
                <w:szCs w:val="24"/>
              </w:rPr>
              <w:lastRenderedPageBreak/>
              <w:t>ԱԴԲ-ի ընդհանուր հատկությունները (մոդուլ S.1.3)</w:t>
            </w:r>
          </w:p>
        </w:tc>
      </w:tr>
      <w:tr w:rsidR="008C76E0" w:rsidRPr="00BD7577" w14:paraId="03E155BB" w14:textId="77777777" w:rsidTr="008C76E0">
        <w:tc>
          <w:tcPr>
            <w:tcW w:w="6531" w:type="dxa"/>
            <w:tcBorders>
              <w:top w:val="single" w:sz="4" w:space="0" w:color="auto"/>
              <w:left w:val="single" w:sz="4" w:space="0" w:color="auto"/>
            </w:tcBorders>
            <w:shd w:val="clear" w:color="auto" w:fill="FFFFFF"/>
            <w:vAlign w:val="bottom"/>
          </w:tcPr>
          <w:p w14:paraId="393B36E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Ֆիզիկական բնութագրերը՝</w:t>
            </w:r>
          </w:p>
        </w:tc>
        <w:tc>
          <w:tcPr>
            <w:tcW w:w="3038" w:type="dxa"/>
            <w:tcBorders>
              <w:top w:val="single" w:sz="4" w:space="0" w:color="auto"/>
              <w:left w:val="single" w:sz="4" w:space="0" w:color="auto"/>
              <w:right w:val="single" w:sz="4" w:space="0" w:color="auto"/>
            </w:tcBorders>
            <w:shd w:val="clear" w:color="auto" w:fill="FFFFFF"/>
          </w:tcPr>
          <w:p w14:paraId="2FB668DB" w14:textId="77777777" w:rsidR="008C76E0" w:rsidRPr="00BD7577" w:rsidRDefault="008C76E0" w:rsidP="008C76E0">
            <w:pPr>
              <w:spacing w:after="120" w:line="240" w:lineRule="auto"/>
              <w:rPr>
                <w:rFonts w:ascii="Sylfaen" w:hAnsi="Sylfaen"/>
                <w:sz w:val="24"/>
                <w:szCs w:val="24"/>
              </w:rPr>
            </w:pPr>
          </w:p>
        </w:tc>
      </w:tr>
      <w:tr w:rsidR="008C76E0" w:rsidRPr="00BD7577" w14:paraId="56C21C5F" w14:textId="77777777" w:rsidTr="008C76E0">
        <w:tc>
          <w:tcPr>
            <w:tcW w:w="6531" w:type="dxa"/>
            <w:tcBorders>
              <w:top w:val="single" w:sz="4" w:space="0" w:color="auto"/>
              <w:left w:val="single" w:sz="4" w:space="0" w:color="auto"/>
            </w:tcBorders>
            <w:shd w:val="clear" w:color="auto" w:fill="FFFFFF"/>
          </w:tcPr>
          <w:p w14:paraId="76A294F0"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Լուծելիությունը՝</w:t>
            </w:r>
          </w:p>
        </w:tc>
        <w:tc>
          <w:tcPr>
            <w:tcW w:w="3038" w:type="dxa"/>
            <w:tcBorders>
              <w:top w:val="single" w:sz="4" w:space="0" w:color="auto"/>
              <w:left w:val="single" w:sz="4" w:space="0" w:color="auto"/>
              <w:right w:val="single" w:sz="4" w:space="0" w:color="auto"/>
            </w:tcBorders>
            <w:shd w:val="clear" w:color="auto" w:fill="FFFFFF"/>
          </w:tcPr>
          <w:p w14:paraId="5638A942" w14:textId="77777777" w:rsidR="008C76E0" w:rsidRPr="00BD7577" w:rsidRDefault="008C76E0" w:rsidP="008C76E0">
            <w:pPr>
              <w:spacing w:after="120" w:line="240" w:lineRule="auto"/>
              <w:rPr>
                <w:rFonts w:ascii="Sylfaen" w:hAnsi="Sylfaen"/>
                <w:sz w:val="24"/>
                <w:szCs w:val="24"/>
              </w:rPr>
            </w:pPr>
          </w:p>
        </w:tc>
      </w:tr>
      <w:tr w:rsidR="008C76E0" w:rsidRPr="00BD7577" w14:paraId="15CB4052" w14:textId="77777777" w:rsidTr="008C76E0">
        <w:tc>
          <w:tcPr>
            <w:tcW w:w="6531" w:type="dxa"/>
            <w:tcBorders>
              <w:top w:val="single" w:sz="4" w:space="0" w:color="auto"/>
              <w:left w:val="single" w:sz="4" w:space="0" w:color="auto"/>
            </w:tcBorders>
            <w:shd w:val="clear" w:color="auto" w:fill="FFFFFF"/>
          </w:tcPr>
          <w:p w14:paraId="6FC748B8"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рКа արժեքը (եթե հնարավոր է)՝</w:t>
            </w:r>
          </w:p>
        </w:tc>
        <w:tc>
          <w:tcPr>
            <w:tcW w:w="3038" w:type="dxa"/>
            <w:tcBorders>
              <w:top w:val="single" w:sz="4" w:space="0" w:color="auto"/>
              <w:left w:val="single" w:sz="4" w:space="0" w:color="auto"/>
              <w:right w:val="single" w:sz="4" w:space="0" w:color="auto"/>
            </w:tcBorders>
            <w:shd w:val="clear" w:color="auto" w:fill="FFFFFF"/>
          </w:tcPr>
          <w:p w14:paraId="4B3D9D60" w14:textId="77777777" w:rsidR="008C76E0" w:rsidRPr="00BD7577" w:rsidRDefault="008C76E0" w:rsidP="008C76E0">
            <w:pPr>
              <w:spacing w:after="120" w:line="240" w:lineRule="auto"/>
              <w:rPr>
                <w:rFonts w:ascii="Sylfaen" w:hAnsi="Sylfaen"/>
                <w:sz w:val="24"/>
                <w:szCs w:val="24"/>
              </w:rPr>
            </w:pPr>
          </w:p>
        </w:tc>
      </w:tr>
      <w:tr w:rsidR="008C76E0" w:rsidRPr="00BD7577" w14:paraId="2DFB0194" w14:textId="77777777" w:rsidTr="008C76E0">
        <w:tc>
          <w:tcPr>
            <w:tcW w:w="6531" w:type="dxa"/>
            <w:tcBorders>
              <w:top w:val="single" w:sz="4" w:space="0" w:color="auto"/>
              <w:left w:val="single" w:sz="4" w:space="0" w:color="auto"/>
            </w:tcBorders>
            <w:shd w:val="clear" w:color="auto" w:fill="FFFFFF"/>
          </w:tcPr>
          <w:p w14:paraId="316F5877"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рН լուծույթի արժեքը (եթե հնարավոր է)՝</w:t>
            </w:r>
          </w:p>
        </w:tc>
        <w:tc>
          <w:tcPr>
            <w:tcW w:w="3038" w:type="dxa"/>
            <w:tcBorders>
              <w:top w:val="single" w:sz="4" w:space="0" w:color="auto"/>
              <w:left w:val="single" w:sz="4" w:space="0" w:color="auto"/>
              <w:right w:val="single" w:sz="4" w:space="0" w:color="auto"/>
            </w:tcBorders>
            <w:shd w:val="clear" w:color="auto" w:fill="FFFFFF"/>
          </w:tcPr>
          <w:p w14:paraId="17A19C6F" w14:textId="77777777" w:rsidR="008C76E0" w:rsidRPr="00BD7577" w:rsidRDefault="008C76E0" w:rsidP="008C76E0">
            <w:pPr>
              <w:spacing w:after="120" w:line="240" w:lineRule="auto"/>
              <w:rPr>
                <w:rFonts w:ascii="Sylfaen" w:hAnsi="Sylfaen"/>
                <w:sz w:val="24"/>
                <w:szCs w:val="24"/>
              </w:rPr>
            </w:pPr>
          </w:p>
        </w:tc>
      </w:tr>
      <w:tr w:rsidR="008C76E0" w:rsidRPr="00BD7577" w14:paraId="638E7BFE" w14:textId="77777777" w:rsidTr="008C76E0">
        <w:tc>
          <w:tcPr>
            <w:tcW w:w="6531" w:type="dxa"/>
            <w:tcBorders>
              <w:top w:val="single" w:sz="4" w:space="0" w:color="auto"/>
              <w:left w:val="single" w:sz="4" w:space="0" w:color="auto"/>
            </w:tcBorders>
            <w:shd w:val="clear" w:color="auto" w:fill="FFFFFF"/>
          </w:tcPr>
          <w:p w14:paraId="11784789"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Հալման ջերմաստիճանը (պինդ նյութերի դեպքում)</w:t>
            </w:r>
          </w:p>
        </w:tc>
        <w:tc>
          <w:tcPr>
            <w:tcW w:w="3038" w:type="dxa"/>
            <w:tcBorders>
              <w:top w:val="single" w:sz="4" w:space="0" w:color="auto"/>
              <w:left w:val="single" w:sz="4" w:space="0" w:color="auto"/>
              <w:right w:val="single" w:sz="4" w:space="0" w:color="auto"/>
            </w:tcBorders>
            <w:shd w:val="clear" w:color="auto" w:fill="FFFFFF"/>
          </w:tcPr>
          <w:p w14:paraId="4E5D1229" w14:textId="77777777" w:rsidR="008C76E0" w:rsidRPr="00BD7577" w:rsidRDefault="008C76E0" w:rsidP="008C76E0">
            <w:pPr>
              <w:spacing w:after="120" w:line="240" w:lineRule="auto"/>
              <w:rPr>
                <w:rFonts w:ascii="Sylfaen" w:hAnsi="Sylfaen"/>
                <w:sz w:val="24"/>
                <w:szCs w:val="24"/>
              </w:rPr>
            </w:pPr>
          </w:p>
        </w:tc>
      </w:tr>
      <w:tr w:rsidR="008C76E0" w:rsidRPr="00BD7577" w14:paraId="750F84E0" w14:textId="77777777" w:rsidTr="008C76E0">
        <w:tc>
          <w:tcPr>
            <w:tcW w:w="6531" w:type="dxa"/>
            <w:tcBorders>
              <w:top w:val="single" w:sz="4" w:space="0" w:color="auto"/>
              <w:left w:val="single" w:sz="4" w:space="0" w:color="auto"/>
            </w:tcBorders>
            <w:shd w:val="clear" w:color="auto" w:fill="FFFFFF"/>
          </w:tcPr>
          <w:p w14:paraId="6C37BBF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Տեղաբաշխման գործակիցը՝</w:t>
            </w:r>
          </w:p>
        </w:tc>
        <w:tc>
          <w:tcPr>
            <w:tcW w:w="3038" w:type="dxa"/>
            <w:tcBorders>
              <w:top w:val="single" w:sz="4" w:space="0" w:color="auto"/>
              <w:left w:val="single" w:sz="4" w:space="0" w:color="auto"/>
              <w:right w:val="single" w:sz="4" w:space="0" w:color="auto"/>
            </w:tcBorders>
            <w:shd w:val="clear" w:color="auto" w:fill="FFFFFF"/>
          </w:tcPr>
          <w:p w14:paraId="31326312" w14:textId="77777777" w:rsidR="008C76E0" w:rsidRPr="00BD7577" w:rsidRDefault="008C76E0" w:rsidP="008C76E0">
            <w:pPr>
              <w:spacing w:after="120" w:line="240" w:lineRule="auto"/>
              <w:rPr>
                <w:rFonts w:ascii="Sylfaen" w:hAnsi="Sylfaen"/>
                <w:sz w:val="24"/>
                <w:szCs w:val="24"/>
              </w:rPr>
            </w:pPr>
          </w:p>
        </w:tc>
      </w:tr>
      <w:tr w:rsidR="008C76E0" w:rsidRPr="00BD7577" w14:paraId="550D985E" w14:textId="77777777" w:rsidTr="008C76E0">
        <w:tc>
          <w:tcPr>
            <w:tcW w:w="6531" w:type="dxa"/>
            <w:tcBorders>
              <w:top w:val="single" w:sz="4" w:space="0" w:color="auto"/>
              <w:left w:val="single" w:sz="4" w:space="0" w:color="auto"/>
            </w:tcBorders>
            <w:shd w:val="clear" w:color="auto" w:fill="FFFFFF"/>
          </w:tcPr>
          <w:p w14:paraId="6F696F5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Հիգրոսկոպիկությունը՝</w:t>
            </w:r>
          </w:p>
        </w:tc>
        <w:tc>
          <w:tcPr>
            <w:tcW w:w="3038" w:type="dxa"/>
            <w:tcBorders>
              <w:top w:val="single" w:sz="4" w:space="0" w:color="auto"/>
              <w:left w:val="single" w:sz="4" w:space="0" w:color="auto"/>
              <w:right w:val="single" w:sz="4" w:space="0" w:color="auto"/>
            </w:tcBorders>
            <w:shd w:val="clear" w:color="auto" w:fill="FFFFFF"/>
          </w:tcPr>
          <w:p w14:paraId="3AE096FF" w14:textId="77777777" w:rsidR="008C76E0" w:rsidRPr="00BD7577" w:rsidRDefault="008C76E0" w:rsidP="008C76E0">
            <w:pPr>
              <w:spacing w:after="120" w:line="240" w:lineRule="auto"/>
              <w:rPr>
                <w:rFonts w:ascii="Sylfaen" w:hAnsi="Sylfaen"/>
                <w:sz w:val="24"/>
                <w:szCs w:val="24"/>
              </w:rPr>
            </w:pPr>
          </w:p>
        </w:tc>
      </w:tr>
      <w:tr w:rsidR="008C76E0" w:rsidRPr="00BD7577" w14:paraId="70A7AEBF" w14:textId="77777777" w:rsidTr="008C76E0">
        <w:tc>
          <w:tcPr>
            <w:tcW w:w="6531" w:type="dxa"/>
            <w:tcBorders>
              <w:top w:val="single" w:sz="4" w:space="0" w:color="auto"/>
              <w:left w:val="single" w:sz="4" w:space="0" w:color="auto"/>
            </w:tcBorders>
            <w:shd w:val="clear" w:color="auto" w:fill="FFFFFF"/>
          </w:tcPr>
          <w:p w14:paraId="059B1EE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Տարածական քիմիան՝</w:t>
            </w:r>
          </w:p>
        </w:tc>
        <w:tc>
          <w:tcPr>
            <w:tcW w:w="3038" w:type="dxa"/>
            <w:tcBorders>
              <w:top w:val="single" w:sz="4" w:space="0" w:color="auto"/>
              <w:left w:val="single" w:sz="4" w:space="0" w:color="auto"/>
              <w:right w:val="single" w:sz="4" w:space="0" w:color="auto"/>
            </w:tcBorders>
            <w:shd w:val="clear" w:color="auto" w:fill="FFFFFF"/>
          </w:tcPr>
          <w:p w14:paraId="2AFE163B" w14:textId="77777777" w:rsidR="008C76E0" w:rsidRPr="00BD7577" w:rsidRDefault="008C76E0" w:rsidP="008C76E0">
            <w:pPr>
              <w:spacing w:after="120" w:line="240" w:lineRule="auto"/>
              <w:rPr>
                <w:rFonts w:ascii="Sylfaen" w:hAnsi="Sylfaen"/>
                <w:sz w:val="24"/>
                <w:szCs w:val="24"/>
              </w:rPr>
            </w:pPr>
          </w:p>
        </w:tc>
      </w:tr>
      <w:tr w:rsidR="008C76E0" w:rsidRPr="00BD7577" w14:paraId="3201067F" w14:textId="77777777" w:rsidTr="008C76E0">
        <w:tc>
          <w:tcPr>
            <w:tcW w:w="6531" w:type="dxa"/>
            <w:tcBorders>
              <w:top w:val="single" w:sz="4" w:space="0" w:color="auto"/>
              <w:left w:val="single" w:sz="4" w:space="0" w:color="auto"/>
            </w:tcBorders>
            <w:shd w:val="clear" w:color="auto" w:fill="FFFFFF"/>
          </w:tcPr>
          <w:p w14:paraId="6BE7C301"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Պոլիմորֆիզմը՝</w:t>
            </w:r>
          </w:p>
        </w:tc>
        <w:tc>
          <w:tcPr>
            <w:tcW w:w="3038" w:type="dxa"/>
            <w:tcBorders>
              <w:top w:val="single" w:sz="4" w:space="0" w:color="auto"/>
              <w:left w:val="single" w:sz="4" w:space="0" w:color="auto"/>
              <w:right w:val="single" w:sz="4" w:space="0" w:color="auto"/>
            </w:tcBorders>
            <w:shd w:val="clear" w:color="auto" w:fill="FFFFFF"/>
          </w:tcPr>
          <w:p w14:paraId="3530F3AD" w14:textId="77777777" w:rsidR="008C76E0" w:rsidRPr="00BD7577" w:rsidRDefault="008C76E0" w:rsidP="008C76E0">
            <w:pPr>
              <w:spacing w:after="120" w:line="240" w:lineRule="auto"/>
              <w:rPr>
                <w:rFonts w:ascii="Sylfaen" w:hAnsi="Sylfaen"/>
                <w:sz w:val="24"/>
                <w:szCs w:val="24"/>
              </w:rPr>
            </w:pPr>
          </w:p>
        </w:tc>
      </w:tr>
      <w:tr w:rsidR="008C76E0" w:rsidRPr="00BD7577" w14:paraId="6E55ECA5" w14:textId="77777777" w:rsidTr="008C76E0">
        <w:tc>
          <w:tcPr>
            <w:tcW w:w="6531" w:type="dxa"/>
            <w:tcBorders>
              <w:top w:val="single" w:sz="4" w:space="0" w:color="auto"/>
              <w:left w:val="single" w:sz="4" w:space="0" w:color="auto"/>
              <w:bottom w:val="single" w:sz="4" w:space="0" w:color="auto"/>
            </w:tcBorders>
            <w:shd w:val="clear" w:color="auto" w:fill="FFFFFF"/>
          </w:tcPr>
          <w:p w14:paraId="6C62F706" w14:textId="77777777" w:rsidR="008C76E0" w:rsidRPr="008C76E0" w:rsidRDefault="008C76E0" w:rsidP="008C76E0">
            <w:pPr>
              <w:pStyle w:val="Bodytext180"/>
              <w:shd w:val="clear" w:color="auto" w:fill="auto"/>
              <w:spacing w:before="0" w:after="120" w:line="288" w:lineRule="auto"/>
              <w:ind w:left="142" w:firstLine="0"/>
              <w:rPr>
                <w:rFonts w:ascii="Sylfaen" w:hAnsi="Sylfaen"/>
                <w:b w:val="0"/>
                <w:sz w:val="24"/>
                <w:szCs w:val="24"/>
                <w:lang w:val="hy-AM"/>
              </w:rPr>
            </w:pPr>
            <w:r w:rsidRPr="00BD7577">
              <w:rPr>
                <w:rStyle w:val="Bodytext295pt"/>
                <w:rFonts w:ascii="Sylfaen" w:hAnsi="Sylfaen"/>
                <w:spacing w:val="0"/>
                <w:sz w:val="24"/>
                <w:szCs w:val="24"/>
              </w:rPr>
              <w:t>Բյուրեղայնության աստիճանը (պինդ նյութերի դեպքում)</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BAB868F" w14:textId="77777777" w:rsidR="008C76E0" w:rsidRPr="00BD7577" w:rsidRDefault="008C76E0" w:rsidP="008C76E0">
            <w:pPr>
              <w:spacing w:after="120" w:line="288" w:lineRule="auto"/>
              <w:rPr>
                <w:rFonts w:ascii="Sylfaen" w:hAnsi="Sylfaen"/>
                <w:sz w:val="24"/>
                <w:szCs w:val="24"/>
              </w:rPr>
            </w:pPr>
          </w:p>
        </w:tc>
      </w:tr>
    </w:tbl>
    <w:p w14:paraId="716467D4" w14:textId="77777777" w:rsidR="008C76E0" w:rsidRPr="00BD7577" w:rsidRDefault="008C76E0" w:rsidP="008C76E0">
      <w:pPr>
        <w:rPr>
          <w:rFonts w:ascii="Sylfaen" w:hAnsi="Sylfaen"/>
          <w:sz w:val="24"/>
          <w:szCs w:val="24"/>
        </w:rPr>
      </w:pPr>
    </w:p>
    <w:tbl>
      <w:tblPr>
        <w:tblOverlap w:val="never"/>
        <w:tblW w:w="9621" w:type="dxa"/>
        <w:jc w:val="center"/>
        <w:tblLayout w:type="fixed"/>
        <w:tblCellMar>
          <w:left w:w="10" w:type="dxa"/>
          <w:right w:w="10" w:type="dxa"/>
        </w:tblCellMar>
        <w:tblLook w:val="04A0" w:firstRow="1" w:lastRow="0" w:firstColumn="1" w:lastColumn="0" w:noHBand="0" w:noVBand="1"/>
      </w:tblPr>
      <w:tblGrid>
        <w:gridCol w:w="9621"/>
      </w:tblGrid>
      <w:tr w:rsidR="008C76E0" w:rsidRPr="00BD7577" w14:paraId="21009FE3" w14:textId="77777777" w:rsidTr="008C76E0">
        <w:trPr>
          <w:jc w:val="center"/>
        </w:trPr>
        <w:tc>
          <w:tcPr>
            <w:tcW w:w="9621" w:type="dxa"/>
            <w:tcBorders>
              <w:top w:val="single" w:sz="4" w:space="0" w:color="auto"/>
              <w:left w:val="single" w:sz="4" w:space="0" w:color="auto"/>
              <w:right w:val="single" w:sz="4" w:space="0" w:color="auto"/>
            </w:tcBorders>
            <w:shd w:val="clear" w:color="auto" w:fill="FFFFFF"/>
            <w:vAlign w:val="bottom"/>
          </w:tcPr>
          <w:p w14:paraId="33F033D1" w14:textId="77777777" w:rsidR="008C76E0" w:rsidRPr="00BD7577" w:rsidRDefault="008C76E0" w:rsidP="008C76E0">
            <w:pPr>
              <w:pStyle w:val="Bodytext180"/>
              <w:shd w:val="clear" w:color="auto" w:fill="auto"/>
              <w:spacing w:before="0" w:after="160" w:line="336" w:lineRule="auto"/>
              <w:ind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A476051" w14:textId="77777777" w:rsidTr="008C76E0">
        <w:trPr>
          <w:jc w:val="center"/>
        </w:trPr>
        <w:tc>
          <w:tcPr>
            <w:tcW w:w="9621" w:type="dxa"/>
            <w:tcBorders>
              <w:top w:val="single" w:sz="4" w:space="0" w:color="auto"/>
              <w:left w:val="single" w:sz="4" w:space="0" w:color="auto"/>
              <w:right w:val="single" w:sz="4" w:space="0" w:color="auto"/>
            </w:tcBorders>
            <w:shd w:val="clear" w:color="auto" w:fill="FFFFFF"/>
          </w:tcPr>
          <w:p w14:paraId="30027B77" w14:textId="77777777" w:rsidR="008C76E0" w:rsidRPr="00BD7577" w:rsidRDefault="008C76E0" w:rsidP="008C76E0">
            <w:pPr>
              <w:spacing w:line="336" w:lineRule="auto"/>
              <w:ind w:right="-1"/>
              <w:jc w:val="both"/>
              <w:rPr>
                <w:rFonts w:ascii="Sylfaen" w:hAnsi="Sylfaen"/>
                <w:sz w:val="24"/>
                <w:szCs w:val="24"/>
                <w:highlight w:val="yellow"/>
              </w:rPr>
            </w:pPr>
          </w:p>
        </w:tc>
      </w:tr>
      <w:tr w:rsidR="008C76E0" w:rsidRPr="00BD7577" w14:paraId="6DFF1BB9" w14:textId="77777777" w:rsidTr="008C76E0">
        <w:trPr>
          <w:jc w:val="center"/>
        </w:trPr>
        <w:tc>
          <w:tcPr>
            <w:tcW w:w="9621" w:type="dxa"/>
            <w:tcBorders>
              <w:top w:val="single" w:sz="4" w:space="0" w:color="auto"/>
              <w:left w:val="single" w:sz="4" w:space="0" w:color="auto"/>
              <w:bottom w:val="single" w:sz="4" w:space="0" w:color="auto"/>
              <w:right w:val="single" w:sz="4" w:space="0" w:color="auto"/>
            </w:tcBorders>
            <w:shd w:val="clear" w:color="auto" w:fill="FFFFFF"/>
          </w:tcPr>
          <w:p w14:paraId="4F46E655" w14:textId="77777777" w:rsidR="008C76E0" w:rsidRPr="00BD7577" w:rsidRDefault="008C76E0" w:rsidP="008C76E0">
            <w:pPr>
              <w:spacing w:line="336" w:lineRule="auto"/>
              <w:ind w:right="-1"/>
              <w:jc w:val="both"/>
              <w:rPr>
                <w:rFonts w:ascii="Sylfaen" w:hAnsi="Sylfaen"/>
                <w:sz w:val="24"/>
                <w:szCs w:val="24"/>
              </w:rPr>
            </w:pPr>
          </w:p>
        </w:tc>
      </w:tr>
    </w:tbl>
    <w:p w14:paraId="6ED78808" w14:textId="77777777" w:rsidR="008C76E0" w:rsidRPr="00BD7577" w:rsidRDefault="008C76E0" w:rsidP="008C76E0">
      <w:pPr>
        <w:widowControl/>
        <w:rPr>
          <w:rFonts w:ascii="Sylfaen" w:hAnsi="Sylfaen"/>
          <w:sz w:val="24"/>
          <w:szCs w:val="24"/>
          <w:lang w:val="en-US"/>
        </w:rPr>
      </w:pPr>
    </w:p>
    <w:p w14:paraId="5D8A969D" w14:textId="77777777" w:rsidR="008C76E0" w:rsidRPr="00BD7577" w:rsidRDefault="008C76E0" w:rsidP="00E93A30">
      <w:pPr>
        <w:spacing w:after="160" w:line="360" w:lineRule="auto"/>
        <w:ind w:firstLine="567"/>
        <w:jc w:val="center"/>
        <w:rPr>
          <w:rFonts w:ascii="Sylfaen" w:hAnsi="Sylfaen"/>
          <w:sz w:val="24"/>
          <w:szCs w:val="24"/>
        </w:rPr>
      </w:pPr>
      <w:r w:rsidRPr="00BD7577">
        <w:rPr>
          <w:rFonts w:ascii="Sylfaen" w:hAnsi="Sylfaen"/>
          <w:sz w:val="24"/>
          <w:szCs w:val="24"/>
        </w:rPr>
        <w:t>3.2. ԱԴԲ-ի արտադրության գործընթացը (մոդուլ 3.2.S.2)</w:t>
      </w:r>
    </w:p>
    <w:p w14:paraId="28C0DAAE"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3.2.1.</w:t>
      </w:r>
      <w:r w:rsidRPr="00BD7577">
        <w:rPr>
          <w:rFonts w:ascii="Sylfaen" w:hAnsi="Sylfaen"/>
          <w:sz w:val="24"/>
          <w:szCs w:val="24"/>
        </w:rPr>
        <w:tab/>
        <w:t>Արտադրողները (բաժին S.2.1)։</w:t>
      </w:r>
    </w:p>
    <w:p w14:paraId="0992104B"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387C0DF"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9FF0A9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4746E8"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3.2.2.</w:t>
      </w:r>
      <w:r w:rsidRPr="00BD7577">
        <w:rPr>
          <w:rFonts w:ascii="Sylfaen" w:hAnsi="Sylfaen"/>
          <w:sz w:val="24"/>
          <w:szCs w:val="24"/>
        </w:rPr>
        <w:tab/>
        <w:t>Համապատասխանությունը Եվրասիական տնտեսական հանձնաժողովի (այսուհետ՝ Հանձնաժողով) կողմից հաստատված՝ Եվրասիական տնտեսական միության պատշաճ արտադրական գործունեության կանոններին (GMP)։</w:t>
      </w:r>
    </w:p>
    <w:p w14:paraId="4178279F" w14:textId="77777777" w:rsidR="008C76E0" w:rsidRPr="00BD7577" w:rsidRDefault="008C76E0" w:rsidP="008C76E0">
      <w:pPr>
        <w:spacing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94C37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B1BC217"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2F1AAA0"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3.2.3.</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(բաժին S.2.2)։</w:t>
      </w:r>
    </w:p>
    <w:p w14:paraId="5C2B6D6D"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911DC5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3FDFF6"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67FA3BA"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3.2.4.</w:t>
      </w:r>
      <w:r w:rsidRPr="00BD7577">
        <w:rPr>
          <w:rFonts w:ascii="Sylfaen" w:hAnsi="Sylfaen"/>
          <w:sz w:val="24"/>
          <w:szCs w:val="24"/>
        </w:rPr>
        <w:tab/>
        <w:t>Ելանյութերի որակի հսկողությունը (բաժին S.2.3)։</w:t>
      </w:r>
    </w:p>
    <w:p w14:paraId="49B8FBB9"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89DCA49"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6649CE"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2A4445"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3.2.5.</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 (բաժին S.2.4)։</w:t>
      </w:r>
    </w:p>
    <w:p w14:paraId="3B89DC24"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CF1916"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0229D2"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40B4C68"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3.2.6.</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 (բաժին S.2.5)։</w:t>
      </w:r>
    </w:p>
    <w:p w14:paraId="007F19F0"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12ABBC"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25310D6"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7B98FF0"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3.2.7.</w:t>
      </w:r>
      <w:r w:rsidRPr="00BD7577">
        <w:rPr>
          <w:rFonts w:ascii="Sylfaen" w:hAnsi="Sylfaen"/>
          <w:sz w:val="24"/>
          <w:szCs w:val="24"/>
        </w:rPr>
        <w:tab/>
        <w:t>Արտադրական գործընթացի մշակումը (բաժին S.2.6)։</w:t>
      </w:r>
    </w:p>
    <w:p w14:paraId="44D3B022"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818E48E"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3E04CF70"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08CA01E5"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5996C9D6" w14:textId="77777777" w:rsidR="008C76E0" w:rsidRPr="00BD7577" w:rsidRDefault="008C76E0" w:rsidP="00E93A3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3CB4FF9B"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48B757ED" w14:textId="77777777" w:rsidR="008C76E0" w:rsidRPr="00BD7577" w:rsidRDefault="008C76E0" w:rsidP="00E93A30">
            <w:pPr>
              <w:spacing w:after="160" w:line="360" w:lineRule="auto"/>
              <w:ind w:right="-1"/>
              <w:jc w:val="both"/>
              <w:rPr>
                <w:rFonts w:ascii="Sylfaen" w:hAnsi="Sylfaen"/>
                <w:sz w:val="24"/>
                <w:szCs w:val="24"/>
                <w:highlight w:val="yellow"/>
              </w:rPr>
            </w:pPr>
          </w:p>
        </w:tc>
      </w:tr>
      <w:tr w:rsidR="008C76E0" w:rsidRPr="00BD7577" w14:paraId="5D400194"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06BEB55A" w14:textId="77777777" w:rsidR="008C76E0" w:rsidRPr="00BD7577" w:rsidRDefault="008C76E0" w:rsidP="00E93A30">
            <w:pPr>
              <w:spacing w:after="160" w:line="360" w:lineRule="auto"/>
              <w:ind w:right="-1"/>
              <w:jc w:val="both"/>
              <w:rPr>
                <w:rFonts w:ascii="Sylfaen" w:hAnsi="Sylfaen"/>
                <w:sz w:val="24"/>
                <w:szCs w:val="24"/>
              </w:rPr>
            </w:pPr>
          </w:p>
        </w:tc>
      </w:tr>
    </w:tbl>
    <w:p w14:paraId="7B897A55" w14:textId="77777777" w:rsidR="008C76E0" w:rsidRPr="00BD7577" w:rsidRDefault="008C76E0" w:rsidP="00E93A30">
      <w:pPr>
        <w:tabs>
          <w:tab w:val="left" w:pos="1134"/>
        </w:tabs>
        <w:spacing w:after="160" w:line="360" w:lineRule="auto"/>
        <w:ind w:firstLine="567"/>
        <w:rPr>
          <w:rFonts w:ascii="Sylfaen" w:hAnsi="Sylfaen"/>
          <w:sz w:val="24"/>
          <w:szCs w:val="24"/>
        </w:rPr>
      </w:pPr>
      <w:r w:rsidRPr="00BD7577">
        <w:rPr>
          <w:rFonts w:ascii="Sylfaen" w:hAnsi="Sylfaen"/>
          <w:sz w:val="24"/>
          <w:szCs w:val="24"/>
        </w:rPr>
        <w:t>3.3.</w:t>
      </w:r>
      <w:r w:rsidRPr="009A5C8C">
        <w:rPr>
          <w:rFonts w:ascii="Sylfaen" w:hAnsi="Sylfaen"/>
          <w:sz w:val="24"/>
          <w:szCs w:val="24"/>
        </w:rPr>
        <w:tab/>
      </w:r>
      <w:r w:rsidRPr="00BD7577">
        <w:rPr>
          <w:rFonts w:ascii="Sylfaen" w:hAnsi="Sylfaen"/>
          <w:sz w:val="24"/>
          <w:szCs w:val="24"/>
        </w:rPr>
        <w:t>ԱԴԲ-ի բնութագրերի նկարագրությունը (մոդուլ 3.2.S.3)</w:t>
      </w:r>
    </w:p>
    <w:p w14:paraId="6426FA79" w14:textId="77777777" w:rsidR="008C76E0" w:rsidRPr="008C76E0" w:rsidRDefault="008C76E0" w:rsidP="00E93A30">
      <w:pPr>
        <w:pStyle w:val="Bodytext180"/>
        <w:shd w:val="clear" w:color="auto" w:fill="auto"/>
        <w:tabs>
          <w:tab w:val="left" w:pos="1701"/>
          <w:tab w:val="right" w:pos="9071"/>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3.3.1.</w:t>
      </w:r>
      <w:r w:rsidRPr="008C76E0">
        <w:rPr>
          <w:rFonts w:ascii="Sylfaen" w:hAnsi="Sylfaen"/>
          <w:b w:val="0"/>
          <w:sz w:val="24"/>
          <w:szCs w:val="24"/>
          <w:lang w:val="hy-AM"/>
        </w:rPr>
        <w:tab/>
        <w:t xml:space="preserve">Կառուցվածքի </w:t>
      </w:r>
      <w:r w:rsidR="00C54D75">
        <w:rPr>
          <w:rFonts w:ascii="Sylfaen" w:hAnsi="Sylfaen"/>
          <w:b w:val="0"/>
          <w:sz w:val="24"/>
          <w:szCs w:val="24"/>
          <w:lang w:val="hy-AM"/>
        </w:rPr>
        <w:t>և</w:t>
      </w:r>
      <w:r w:rsidRPr="008C76E0">
        <w:rPr>
          <w:rFonts w:ascii="Sylfaen" w:hAnsi="Sylfaen"/>
          <w:b w:val="0"/>
          <w:sz w:val="24"/>
          <w:szCs w:val="24"/>
          <w:lang w:val="hy-AM"/>
        </w:rPr>
        <w:t xml:space="preserve"> այլ բնութագրերի հաստատումը (բաժին S.3.1)։</w:t>
      </w:r>
    </w:p>
    <w:p w14:paraId="4663EDDE"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A9256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0DC740"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A1B75F" w14:textId="77777777" w:rsidR="008C76E0" w:rsidRPr="00BD7577" w:rsidRDefault="008C76E0" w:rsidP="00E93A30">
      <w:pPr>
        <w:pStyle w:val="Headerorfooter0"/>
        <w:shd w:val="clear" w:color="auto" w:fill="auto"/>
        <w:tabs>
          <w:tab w:val="left" w:pos="1701"/>
        </w:tabs>
        <w:spacing w:after="160" w:line="360" w:lineRule="auto"/>
        <w:ind w:firstLine="567"/>
        <w:jc w:val="both"/>
        <w:rPr>
          <w:rFonts w:ascii="Sylfaen" w:hAnsi="Sylfaen"/>
          <w:sz w:val="24"/>
          <w:szCs w:val="24"/>
        </w:rPr>
      </w:pPr>
      <w:r w:rsidRPr="00BD7577">
        <w:rPr>
          <w:rFonts w:ascii="Sylfaen" w:hAnsi="Sylfaen"/>
          <w:sz w:val="24"/>
          <w:szCs w:val="24"/>
        </w:rPr>
        <w:t>3.3.2.</w:t>
      </w:r>
      <w:r w:rsidRPr="00BD7577">
        <w:rPr>
          <w:rFonts w:ascii="Sylfaen" w:hAnsi="Sylfaen"/>
          <w:sz w:val="24"/>
          <w:szCs w:val="24"/>
        </w:rPr>
        <w:tab/>
        <w:t xml:space="preserve">Խառնուկները (բաժին </w:t>
      </w:r>
      <w:proofErr w:type="gramStart"/>
      <w:r w:rsidRPr="00BD7577">
        <w:rPr>
          <w:rFonts w:ascii="Sylfaen" w:hAnsi="Sylfaen"/>
          <w:sz w:val="24"/>
          <w:szCs w:val="24"/>
        </w:rPr>
        <w:t>S.3.2)։</w:t>
      </w:r>
      <w:proofErr w:type="gramEnd"/>
    </w:p>
    <w:p w14:paraId="14048F2E"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DF59F1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2E61FB6" w14:textId="77777777" w:rsidR="008C76E0" w:rsidRPr="00BD7577" w:rsidRDefault="008C76E0" w:rsidP="00E93A30">
      <w:pPr>
        <w:spacing w:after="160" w:line="360"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5691C979"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715B4C7A" w14:textId="77777777" w:rsidR="008C76E0" w:rsidRPr="00BD7577" w:rsidRDefault="008C76E0" w:rsidP="00E93A3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20CC554D"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31EB0930" w14:textId="77777777" w:rsidR="008C76E0" w:rsidRPr="00BD7577" w:rsidRDefault="008C76E0" w:rsidP="00E93A30">
            <w:pPr>
              <w:spacing w:after="160" w:line="360" w:lineRule="auto"/>
              <w:ind w:right="-1"/>
              <w:jc w:val="both"/>
              <w:rPr>
                <w:rFonts w:ascii="Sylfaen" w:hAnsi="Sylfaen"/>
                <w:sz w:val="24"/>
                <w:szCs w:val="24"/>
                <w:highlight w:val="yellow"/>
              </w:rPr>
            </w:pPr>
          </w:p>
        </w:tc>
      </w:tr>
      <w:tr w:rsidR="008C76E0" w:rsidRPr="00BD7577" w14:paraId="11EAB64C"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59F11CCC" w14:textId="77777777" w:rsidR="008C76E0" w:rsidRPr="00BD7577" w:rsidRDefault="008C76E0" w:rsidP="00E93A30">
            <w:pPr>
              <w:spacing w:after="160" w:line="360" w:lineRule="auto"/>
              <w:ind w:right="-1"/>
              <w:jc w:val="both"/>
              <w:rPr>
                <w:rFonts w:ascii="Sylfaen" w:hAnsi="Sylfaen"/>
                <w:sz w:val="24"/>
                <w:szCs w:val="24"/>
              </w:rPr>
            </w:pPr>
          </w:p>
        </w:tc>
      </w:tr>
    </w:tbl>
    <w:p w14:paraId="74604292" w14:textId="77777777" w:rsidR="008C76E0" w:rsidRPr="00BF082F" w:rsidRDefault="008C76E0" w:rsidP="00E93A30">
      <w:pPr>
        <w:tabs>
          <w:tab w:val="left" w:pos="1134"/>
        </w:tabs>
        <w:spacing w:after="160" w:line="360" w:lineRule="auto"/>
        <w:ind w:firstLine="567"/>
        <w:rPr>
          <w:rFonts w:ascii="Sylfaen" w:hAnsi="Sylfaen"/>
          <w:spacing w:val="4"/>
          <w:sz w:val="24"/>
          <w:szCs w:val="24"/>
        </w:rPr>
      </w:pPr>
      <w:r w:rsidRPr="00BD7577">
        <w:rPr>
          <w:rFonts w:ascii="Sylfaen" w:hAnsi="Sylfaen"/>
          <w:sz w:val="24"/>
          <w:szCs w:val="24"/>
        </w:rPr>
        <w:t>3.4.</w:t>
      </w:r>
      <w:r w:rsidRPr="009A5C8C">
        <w:rPr>
          <w:rFonts w:ascii="Sylfaen" w:hAnsi="Sylfaen"/>
          <w:sz w:val="24"/>
          <w:szCs w:val="24"/>
        </w:rPr>
        <w:tab/>
      </w:r>
      <w:r w:rsidRPr="00BF082F">
        <w:rPr>
          <w:rFonts w:ascii="Sylfaen" w:hAnsi="Sylfaen"/>
          <w:spacing w:val="4"/>
          <w:sz w:val="24"/>
          <w:szCs w:val="24"/>
        </w:rPr>
        <w:t>Ակտիվ դեղագործական բաղադրամասի որակի հսկողությունը (մոդուլ 3.2.S.4)</w:t>
      </w:r>
    </w:p>
    <w:p w14:paraId="2BE6C763" w14:textId="77777777" w:rsidR="008C76E0" w:rsidRPr="00BD7577" w:rsidRDefault="008C76E0" w:rsidP="00E93A30">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3.4.1.</w:t>
      </w:r>
      <w:r w:rsidRPr="00BD7577">
        <w:rPr>
          <w:rFonts w:ascii="Sylfaen" w:hAnsi="Sylfaen"/>
          <w:sz w:val="24"/>
          <w:szCs w:val="24"/>
        </w:rPr>
        <w:tab/>
        <w:t>Մասնագիրը (բաժին S.4.1)։</w:t>
      </w:r>
      <w:r w:rsidRPr="00BD7577">
        <w:rPr>
          <w:rFonts w:ascii="Sylfaen" w:hAnsi="Sylfaen"/>
          <w:sz w:val="24"/>
          <w:szCs w:val="24"/>
        </w:rPr>
        <w:br w:type="page"/>
      </w:r>
    </w:p>
    <w:p w14:paraId="4F7BED9E" w14:textId="77777777" w:rsidR="008C76E0" w:rsidRPr="00BD7577" w:rsidRDefault="008C76E0" w:rsidP="00E93A30">
      <w:pPr>
        <w:spacing w:after="160" w:line="360" w:lineRule="auto"/>
        <w:ind w:right="240"/>
        <w:jc w:val="right"/>
        <w:rPr>
          <w:rFonts w:ascii="Sylfaen" w:hAnsi="Sylfaen"/>
          <w:sz w:val="24"/>
          <w:szCs w:val="24"/>
        </w:rPr>
      </w:pPr>
      <w:r w:rsidRPr="00BD7577">
        <w:rPr>
          <w:rFonts w:ascii="Sylfaen" w:hAnsi="Sylfaen"/>
          <w:sz w:val="24"/>
          <w:szCs w:val="24"/>
        </w:rPr>
        <w:lastRenderedPageBreak/>
        <w:t>Աղյուսակ S.4-1</w:t>
      </w:r>
    </w:p>
    <w:p w14:paraId="60579944" w14:textId="77777777" w:rsidR="008C76E0" w:rsidRPr="00BD7577" w:rsidRDefault="008C76E0" w:rsidP="00E93A30">
      <w:pPr>
        <w:spacing w:after="160" w:line="360" w:lineRule="auto"/>
        <w:rPr>
          <w:rFonts w:ascii="Sylfaen" w:hAnsi="Sylfaen"/>
          <w:sz w:val="24"/>
          <w:szCs w:val="24"/>
        </w:rPr>
      </w:pPr>
      <w:r w:rsidRPr="00BD7577">
        <w:rPr>
          <w:rFonts w:ascii="Sylfaen" w:hAnsi="Sylfaen"/>
          <w:sz w:val="24"/>
          <w:szCs w:val="24"/>
        </w:rPr>
        <w:t>Մասնագիրը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6"/>
        <w:gridCol w:w="2410"/>
        <w:gridCol w:w="4373"/>
      </w:tblGrid>
      <w:tr w:rsidR="008C76E0" w:rsidRPr="00BD7577" w14:paraId="7F086E2E" w14:textId="77777777" w:rsidTr="008C76E0">
        <w:trPr>
          <w:jc w:val="center"/>
        </w:trPr>
        <w:tc>
          <w:tcPr>
            <w:tcW w:w="2226" w:type="dxa"/>
            <w:tcBorders>
              <w:top w:val="single" w:sz="4" w:space="0" w:color="auto"/>
              <w:left w:val="single" w:sz="4" w:space="0" w:color="auto"/>
            </w:tcBorders>
            <w:shd w:val="clear" w:color="auto" w:fill="FFFFFF"/>
            <w:vAlign w:val="bottom"/>
          </w:tcPr>
          <w:p w14:paraId="1B9FC1DD"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Որակի ցուցանիշները</w:t>
            </w:r>
          </w:p>
        </w:tc>
        <w:tc>
          <w:tcPr>
            <w:tcW w:w="2410" w:type="dxa"/>
            <w:tcBorders>
              <w:top w:val="single" w:sz="4" w:space="0" w:color="auto"/>
              <w:left w:val="single" w:sz="4" w:space="0" w:color="auto"/>
            </w:tcBorders>
            <w:shd w:val="clear" w:color="auto" w:fill="FFFFFF"/>
            <w:vAlign w:val="bottom"/>
          </w:tcPr>
          <w:p w14:paraId="5ADCEDEF"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Փորձարկման մեթոդը</w:t>
            </w:r>
          </w:p>
        </w:tc>
        <w:tc>
          <w:tcPr>
            <w:tcW w:w="4373" w:type="dxa"/>
            <w:tcBorders>
              <w:top w:val="single" w:sz="4" w:space="0" w:color="auto"/>
              <w:left w:val="single" w:sz="4" w:space="0" w:color="auto"/>
              <w:right w:val="single" w:sz="4" w:space="0" w:color="auto"/>
            </w:tcBorders>
            <w:shd w:val="clear" w:color="auto" w:fill="FFFFFF"/>
          </w:tcPr>
          <w:p w14:paraId="68A0E1EF"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Թույլատրելի նորմերը</w:t>
            </w:r>
          </w:p>
        </w:tc>
      </w:tr>
      <w:tr w:rsidR="008C76E0" w:rsidRPr="00BD7577" w14:paraId="2115FD05" w14:textId="77777777" w:rsidTr="008C76E0">
        <w:trPr>
          <w:jc w:val="center"/>
        </w:trPr>
        <w:tc>
          <w:tcPr>
            <w:tcW w:w="2226" w:type="dxa"/>
            <w:tcBorders>
              <w:top w:val="single" w:sz="4" w:space="0" w:color="auto"/>
              <w:left w:val="single" w:sz="4" w:space="0" w:color="auto"/>
            </w:tcBorders>
            <w:shd w:val="clear" w:color="auto" w:fill="FFFFFF"/>
          </w:tcPr>
          <w:p w14:paraId="0177CB2F"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6BBA6FE9"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6A64336E" w14:textId="77777777" w:rsidR="008C76E0" w:rsidRPr="00BD7577" w:rsidRDefault="008C76E0" w:rsidP="008C76E0">
            <w:pPr>
              <w:rPr>
                <w:rFonts w:ascii="Sylfaen" w:hAnsi="Sylfaen"/>
                <w:sz w:val="24"/>
                <w:szCs w:val="24"/>
              </w:rPr>
            </w:pPr>
          </w:p>
        </w:tc>
      </w:tr>
      <w:tr w:rsidR="008C76E0" w:rsidRPr="00BD7577" w14:paraId="494DCDE1" w14:textId="77777777" w:rsidTr="008C76E0">
        <w:trPr>
          <w:jc w:val="center"/>
        </w:trPr>
        <w:tc>
          <w:tcPr>
            <w:tcW w:w="2226" w:type="dxa"/>
            <w:tcBorders>
              <w:top w:val="single" w:sz="4" w:space="0" w:color="auto"/>
              <w:left w:val="single" w:sz="4" w:space="0" w:color="auto"/>
            </w:tcBorders>
            <w:shd w:val="clear" w:color="auto" w:fill="FFFFFF"/>
          </w:tcPr>
          <w:p w14:paraId="63987E88"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6C3B1FD0"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33406ACB" w14:textId="77777777" w:rsidR="008C76E0" w:rsidRPr="00BD7577" w:rsidRDefault="008C76E0" w:rsidP="008C76E0">
            <w:pPr>
              <w:rPr>
                <w:rFonts w:ascii="Sylfaen" w:hAnsi="Sylfaen"/>
                <w:sz w:val="24"/>
                <w:szCs w:val="24"/>
              </w:rPr>
            </w:pPr>
          </w:p>
        </w:tc>
      </w:tr>
      <w:tr w:rsidR="008C76E0" w:rsidRPr="00BD7577" w14:paraId="3EA84528" w14:textId="77777777" w:rsidTr="008C76E0">
        <w:trPr>
          <w:jc w:val="center"/>
        </w:trPr>
        <w:tc>
          <w:tcPr>
            <w:tcW w:w="2226" w:type="dxa"/>
            <w:tcBorders>
              <w:top w:val="single" w:sz="4" w:space="0" w:color="auto"/>
              <w:left w:val="single" w:sz="4" w:space="0" w:color="auto"/>
            </w:tcBorders>
            <w:shd w:val="clear" w:color="auto" w:fill="FFFFFF"/>
          </w:tcPr>
          <w:p w14:paraId="48E00C4D"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5644BE76"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264BA290" w14:textId="77777777" w:rsidR="008C76E0" w:rsidRPr="00BD7577" w:rsidRDefault="008C76E0" w:rsidP="008C76E0">
            <w:pPr>
              <w:rPr>
                <w:rFonts w:ascii="Sylfaen" w:hAnsi="Sylfaen"/>
                <w:sz w:val="24"/>
                <w:szCs w:val="24"/>
              </w:rPr>
            </w:pPr>
          </w:p>
        </w:tc>
      </w:tr>
      <w:tr w:rsidR="008C76E0" w:rsidRPr="00BD7577" w14:paraId="33FD40C7" w14:textId="77777777" w:rsidTr="008C76E0">
        <w:trPr>
          <w:jc w:val="center"/>
        </w:trPr>
        <w:tc>
          <w:tcPr>
            <w:tcW w:w="2226" w:type="dxa"/>
            <w:tcBorders>
              <w:top w:val="single" w:sz="4" w:space="0" w:color="auto"/>
              <w:left w:val="single" w:sz="4" w:space="0" w:color="auto"/>
            </w:tcBorders>
            <w:shd w:val="clear" w:color="auto" w:fill="FFFFFF"/>
          </w:tcPr>
          <w:p w14:paraId="5871D703"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225272DF"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500D9440" w14:textId="77777777" w:rsidR="008C76E0" w:rsidRPr="00BD7577" w:rsidRDefault="008C76E0" w:rsidP="008C76E0">
            <w:pPr>
              <w:rPr>
                <w:rFonts w:ascii="Sylfaen" w:hAnsi="Sylfaen"/>
                <w:sz w:val="24"/>
                <w:szCs w:val="24"/>
              </w:rPr>
            </w:pPr>
          </w:p>
        </w:tc>
      </w:tr>
      <w:tr w:rsidR="008C76E0" w:rsidRPr="00BD7577" w14:paraId="52CC250A" w14:textId="77777777" w:rsidTr="008C76E0">
        <w:trPr>
          <w:jc w:val="center"/>
        </w:trPr>
        <w:tc>
          <w:tcPr>
            <w:tcW w:w="2226" w:type="dxa"/>
            <w:tcBorders>
              <w:top w:val="single" w:sz="4" w:space="0" w:color="auto"/>
              <w:left w:val="single" w:sz="4" w:space="0" w:color="auto"/>
              <w:bottom w:val="single" w:sz="4" w:space="0" w:color="auto"/>
            </w:tcBorders>
            <w:shd w:val="clear" w:color="auto" w:fill="FFFFFF"/>
          </w:tcPr>
          <w:p w14:paraId="15AAF0DB"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bottom w:val="single" w:sz="4" w:space="0" w:color="auto"/>
            </w:tcBorders>
            <w:shd w:val="clear" w:color="auto" w:fill="FFFFFF"/>
          </w:tcPr>
          <w:p w14:paraId="59E6BDE0"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bottom w:val="single" w:sz="4" w:space="0" w:color="auto"/>
              <w:right w:val="single" w:sz="4" w:space="0" w:color="auto"/>
            </w:tcBorders>
            <w:shd w:val="clear" w:color="auto" w:fill="FFFFFF"/>
          </w:tcPr>
          <w:p w14:paraId="040F1CAF" w14:textId="77777777" w:rsidR="008C76E0" w:rsidRPr="00BD7577" w:rsidRDefault="008C76E0" w:rsidP="008C76E0">
            <w:pPr>
              <w:rPr>
                <w:rFonts w:ascii="Sylfaen" w:hAnsi="Sylfaen"/>
                <w:sz w:val="24"/>
                <w:szCs w:val="24"/>
              </w:rPr>
            </w:pPr>
          </w:p>
        </w:tc>
      </w:tr>
    </w:tbl>
    <w:p w14:paraId="7CB5C4B3"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3.4.2.</w:t>
      </w:r>
      <w:r w:rsidRPr="00BD7577">
        <w:rPr>
          <w:rFonts w:ascii="Sylfaen" w:hAnsi="Sylfaen"/>
          <w:sz w:val="24"/>
          <w:szCs w:val="24"/>
        </w:rPr>
        <w:tab/>
        <w:t>Վերլուծական մեթոդիկաները (բաժին S.4.2)։</w:t>
      </w:r>
    </w:p>
    <w:p w14:paraId="6447FF96" w14:textId="77777777" w:rsidR="008C76E0" w:rsidRPr="00BD7577" w:rsidRDefault="008C76E0" w:rsidP="00DE713C">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25015F" w14:textId="77777777" w:rsidR="008C76E0" w:rsidRPr="00BD7577" w:rsidRDefault="008C76E0" w:rsidP="00DE713C">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BB27838" w14:textId="77777777" w:rsidR="008C76E0" w:rsidRPr="00BD7577" w:rsidRDefault="008C76E0" w:rsidP="00DE713C">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BAECF5"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3.4.3.</w:t>
      </w:r>
      <w:r w:rsidRPr="00BD7577">
        <w:rPr>
          <w:rFonts w:ascii="Sylfaen" w:hAnsi="Sylfaen"/>
          <w:sz w:val="24"/>
          <w:szCs w:val="24"/>
        </w:rPr>
        <w:tab/>
        <w:t>Վերլուծական մեթոդիկաների վալիդացումը (բաժին S.4.3)։</w:t>
      </w:r>
    </w:p>
    <w:p w14:paraId="6621736E" w14:textId="77777777" w:rsidR="008C76E0" w:rsidRPr="00BD7577" w:rsidRDefault="008C76E0" w:rsidP="00DE713C">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C56298A" w14:textId="77777777" w:rsidR="008C76E0" w:rsidRPr="00BD7577" w:rsidRDefault="008C76E0" w:rsidP="00DE713C">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84602A" w14:textId="77777777" w:rsidR="008C76E0" w:rsidRPr="00BD7577" w:rsidRDefault="008C76E0" w:rsidP="00DE713C">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169D43E" w14:textId="77777777" w:rsidR="008C76E0" w:rsidRDefault="008C76E0" w:rsidP="008C76E0">
      <w:pPr>
        <w:widowControl/>
        <w:rPr>
          <w:rFonts w:ascii="Sylfaen" w:hAnsi="Sylfaen"/>
          <w:sz w:val="24"/>
          <w:szCs w:val="24"/>
        </w:rPr>
      </w:pPr>
      <w:r>
        <w:rPr>
          <w:rFonts w:ascii="Sylfaen" w:hAnsi="Sylfaen"/>
          <w:sz w:val="24"/>
          <w:szCs w:val="24"/>
        </w:rPr>
        <w:br w:type="page"/>
      </w:r>
    </w:p>
    <w:p w14:paraId="04003614" w14:textId="77777777" w:rsidR="008C76E0" w:rsidRPr="00BD7577" w:rsidRDefault="008C76E0" w:rsidP="00DE713C">
      <w:pPr>
        <w:spacing w:after="160" w:line="360" w:lineRule="auto"/>
        <w:ind w:right="240"/>
        <w:jc w:val="right"/>
        <w:rPr>
          <w:rFonts w:ascii="Sylfaen" w:hAnsi="Sylfaen"/>
          <w:sz w:val="24"/>
          <w:szCs w:val="24"/>
        </w:rPr>
      </w:pPr>
      <w:r w:rsidRPr="00BD7577">
        <w:rPr>
          <w:rFonts w:ascii="Sylfaen" w:hAnsi="Sylfaen"/>
          <w:sz w:val="24"/>
          <w:szCs w:val="24"/>
        </w:rPr>
        <w:lastRenderedPageBreak/>
        <w:t>Աղյուսակ S.4-2</w:t>
      </w:r>
    </w:p>
    <w:p w14:paraId="17275D55" w14:textId="77777777" w:rsidR="008C76E0" w:rsidRPr="00BD7577" w:rsidRDefault="008C76E0" w:rsidP="00DE713C">
      <w:pPr>
        <w:spacing w:after="160" w:line="360" w:lineRule="auto"/>
        <w:ind w:left="567" w:right="566"/>
        <w:jc w:val="center"/>
        <w:rPr>
          <w:rFonts w:ascii="Sylfaen" w:hAnsi="Sylfaen"/>
          <w:sz w:val="24"/>
          <w:szCs w:val="24"/>
        </w:rPr>
      </w:pPr>
      <w:r w:rsidRPr="00BD7577">
        <w:rPr>
          <w:rFonts w:ascii="Sylfaen" w:hAnsi="Sylfaen"/>
          <w:sz w:val="24"/>
          <w:szCs w:val="24"/>
        </w:rPr>
        <w:t xml:space="preserve">Վերլուծական մեթոդիկաների վալիդացման պարամետրերի </w:t>
      </w:r>
      <w:r w:rsidRPr="00BD7577">
        <w:rPr>
          <w:rFonts w:ascii="Sylfaen" w:hAnsi="Sylfaen"/>
          <w:sz w:val="24"/>
          <w:szCs w:val="24"/>
        </w:rPr>
        <w:br/>
        <w:t>համառոտ ամփոփումը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33"/>
        <w:gridCol w:w="917"/>
        <w:gridCol w:w="926"/>
        <w:gridCol w:w="917"/>
        <w:gridCol w:w="936"/>
      </w:tblGrid>
      <w:tr w:rsidR="008C76E0" w:rsidRPr="00BD7577" w14:paraId="1FB4E161" w14:textId="77777777" w:rsidTr="008C76E0">
        <w:trPr>
          <w:jc w:val="center"/>
        </w:trPr>
        <w:tc>
          <w:tcPr>
            <w:tcW w:w="5933" w:type="dxa"/>
            <w:tcBorders>
              <w:top w:val="single" w:sz="4" w:space="0" w:color="auto"/>
              <w:left w:val="single" w:sz="4" w:space="0" w:color="auto"/>
            </w:tcBorders>
            <w:shd w:val="clear" w:color="auto" w:fill="FFFFFF"/>
          </w:tcPr>
          <w:p w14:paraId="5C3444F8" w14:textId="77777777" w:rsidR="008C76E0" w:rsidRPr="00BD7577" w:rsidRDefault="008C76E0" w:rsidP="008C76E0">
            <w:pPr>
              <w:spacing w:after="120" w:line="240" w:lineRule="auto"/>
              <w:rPr>
                <w:rFonts w:ascii="Sylfaen" w:hAnsi="Sylfaen"/>
                <w:sz w:val="24"/>
                <w:szCs w:val="24"/>
              </w:rPr>
            </w:pPr>
          </w:p>
        </w:tc>
        <w:tc>
          <w:tcPr>
            <w:tcW w:w="3696" w:type="dxa"/>
            <w:gridSpan w:val="4"/>
            <w:tcBorders>
              <w:top w:val="single" w:sz="4" w:space="0" w:color="auto"/>
              <w:left w:val="single" w:sz="4" w:space="0" w:color="auto"/>
              <w:right w:val="single" w:sz="4" w:space="0" w:color="auto"/>
            </w:tcBorders>
            <w:shd w:val="clear" w:color="auto" w:fill="FFFFFF"/>
            <w:vAlign w:val="bottom"/>
          </w:tcPr>
          <w:p w14:paraId="5C46B5AF"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37C26D57" w14:textId="77777777" w:rsidTr="008C76E0">
        <w:trPr>
          <w:jc w:val="center"/>
        </w:trPr>
        <w:tc>
          <w:tcPr>
            <w:tcW w:w="5933" w:type="dxa"/>
            <w:tcBorders>
              <w:top w:val="single" w:sz="4" w:space="0" w:color="auto"/>
              <w:left w:val="single" w:sz="4" w:space="0" w:color="auto"/>
            </w:tcBorders>
            <w:shd w:val="clear" w:color="auto" w:fill="FFFFFF"/>
          </w:tcPr>
          <w:p w14:paraId="793701CE"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4E4D252F"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009864E7"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163A9D0"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17767DBD" w14:textId="77777777" w:rsidR="008C76E0" w:rsidRPr="00BD7577" w:rsidRDefault="008C76E0" w:rsidP="008C76E0">
            <w:pPr>
              <w:spacing w:after="120" w:line="240" w:lineRule="auto"/>
              <w:rPr>
                <w:rFonts w:ascii="Sylfaen" w:hAnsi="Sylfaen"/>
                <w:sz w:val="24"/>
                <w:szCs w:val="24"/>
              </w:rPr>
            </w:pPr>
          </w:p>
        </w:tc>
      </w:tr>
      <w:tr w:rsidR="008C76E0" w:rsidRPr="00BD7577" w14:paraId="2F594F1C" w14:textId="77777777" w:rsidTr="008C76E0">
        <w:trPr>
          <w:jc w:val="center"/>
        </w:trPr>
        <w:tc>
          <w:tcPr>
            <w:tcW w:w="5933" w:type="dxa"/>
            <w:tcBorders>
              <w:top w:val="single" w:sz="4" w:space="0" w:color="auto"/>
              <w:left w:val="single" w:sz="4" w:space="0" w:color="auto"/>
            </w:tcBorders>
            <w:shd w:val="clear" w:color="auto" w:fill="FFFFFF"/>
          </w:tcPr>
          <w:p w14:paraId="38E9667E"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Ճշտությունը</w:t>
            </w:r>
          </w:p>
        </w:tc>
        <w:tc>
          <w:tcPr>
            <w:tcW w:w="917" w:type="dxa"/>
            <w:tcBorders>
              <w:top w:val="single" w:sz="4" w:space="0" w:color="auto"/>
              <w:left w:val="single" w:sz="4" w:space="0" w:color="auto"/>
            </w:tcBorders>
            <w:shd w:val="clear" w:color="auto" w:fill="FFFFFF"/>
          </w:tcPr>
          <w:p w14:paraId="6D0DB8FA"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427E3A6B"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F93EE6A"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92E46A6" w14:textId="77777777" w:rsidR="008C76E0" w:rsidRPr="00BD7577" w:rsidRDefault="008C76E0" w:rsidP="008C76E0">
            <w:pPr>
              <w:spacing w:after="120" w:line="240" w:lineRule="auto"/>
              <w:rPr>
                <w:rFonts w:ascii="Sylfaen" w:hAnsi="Sylfaen"/>
                <w:sz w:val="24"/>
                <w:szCs w:val="24"/>
              </w:rPr>
            </w:pPr>
          </w:p>
        </w:tc>
      </w:tr>
      <w:tr w:rsidR="008C76E0" w:rsidRPr="00BD7577" w14:paraId="1742E022" w14:textId="77777777" w:rsidTr="008C76E0">
        <w:trPr>
          <w:jc w:val="center"/>
        </w:trPr>
        <w:tc>
          <w:tcPr>
            <w:tcW w:w="5933" w:type="dxa"/>
            <w:tcBorders>
              <w:top w:val="single" w:sz="4" w:space="0" w:color="auto"/>
              <w:left w:val="single" w:sz="4" w:space="0" w:color="auto"/>
            </w:tcBorders>
            <w:shd w:val="clear" w:color="auto" w:fill="FFFFFF"/>
          </w:tcPr>
          <w:p w14:paraId="103CA1DE"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Վերարտադրելիությունը՝ կրկնելիությունը (զուգամիտությունը), միջլաբորատոր վերարտադրելիությունը (առկայության դեպքում)</w:t>
            </w:r>
          </w:p>
        </w:tc>
        <w:tc>
          <w:tcPr>
            <w:tcW w:w="917" w:type="dxa"/>
            <w:tcBorders>
              <w:top w:val="single" w:sz="4" w:space="0" w:color="auto"/>
              <w:left w:val="single" w:sz="4" w:space="0" w:color="auto"/>
            </w:tcBorders>
            <w:shd w:val="clear" w:color="auto" w:fill="FFFFFF"/>
          </w:tcPr>
          <w:p w14:paraId="011A7A13"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FC9D5C2"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2D1A6FC9"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A3F3E38" w14:textId="77777777" w:rsidR="008C76E0" w:rsidRPr="00BD7577" w:rsidRDefault="008C76E0" w:rsidP="008C76E0">
            <w:pPr>
              <w:spacing w:after="120" w:line="240" w:lineRule="auto"/>
              <w:rPr>
                <w:rFonts w:ascii="Sylfaen" w:hAnsi="Sylfaen"/>
                <w:sz w:val="24"/>
                <w:szCs w:val="24"/>
              </w:rPr>
            </w:pPr>
          </w:p>
        </w:tc>
      </w:tr>
      <w:tr w:rsidR="008C76E0" w:rsidRPr="00BD7577" w14:paraId="6CFDFADA" w14:textId="77777777" w:rsidTr="008C76E0">
        <w:trPr>
          <w:jc w:val="center"/>
        </w:trPr>
        <w:tc>
          <w:tcPr>
            <w:tcW w:w="5933" w:type="dxa"/>
            <w:tcBorders>
              <w:top w:val="single" w:sz="4" w:space="0" w:color="auto"/>
              <w:left w:val="single" w:sz="4" w:space="0" w:color="auto"/>
            </w:tcBorders>
            <w:shd w:val="clear" w:color="auto" w:fill="FFFFFF"/>
          </w:tcPr>
          <w:p w14:paraId="7B9D408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Սպեցիֆիկությունը</w:t>
            </w:r>
          </w:p>
        </w:tc>
        <w:tc>
          <w:tcPr>
            <w:tcW w:w="917" w:type="dxa"/>
            <w:tcBorders>
              <w:top w:val="single" w:sz="4" w:space="0" w:color="auto"/>
              <w:left w:val="single" w:sz="4" w:space="0" w:color="auto"/>
            </w:tcBorders>
            <w:shd w:val="clear" w:color="auto" w:fill="FFFFFF"/>
          </w:tcPr>
          <w:p w14:paraId="5AC091FE"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28ADA44D"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2884EE73"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0EBC6867" w14:textId="77777777" w:rsidR="008C76E0" w:rsidRPr="00BD7577" w:rsidRDefault="008C76E0" w:rsidP="008C76E0">
            <w:pPr>
              <w:spacing w:after="120" w:line="240" w:lineRule="auto"/>
              <w:rPr>
                <w:rFonts w:ascii="Sylfaen" w:hAnsi="Sylfaen"/>
                <w:sz w:val="24"/>
                <w:szCs w:val="24"/>
              </w:rPr>
            </w:pPr>
          </w:p>
        </w:tc>
      </w:tr>
      <w:tr w:rsidR="008C76E0" w:rsidRPr="00BD7577" w14:paraId="1359A0D3" w14:textId="77777777" w:rsidTr="008C76E0">
        <w:trPr>
          <w:jc w:val="center"/>
        </w:trPr>
        <w:tc>
          <w:tcPr>
            <w:tcW w:w="5933" w:type="dxa"/>
            <w:tcBorders>
              <w:top w:val="single" w:sz="4" w:space="0" w:color="auto"/>
              <w:left w:val="single" w:sz="4" w:space="0" w:color="auto"/>
            </w:tcBorders>
            <w:shd w:val="clear" w:color="auto" w:fill="FFFFFF"/>
          </w:tcPr>
          <w:p w14:paraId="668D6951" w14:textId="7F891BB4" w:rsidR="008C76E0" w:rsidRPr="00BD7577" w:rsidRDefault="0056496B" w:rsidP="008C76E0">
            <w:pPr>
              <w:pStyle w:val="Bodytext180"/>
              <w:shd w:val="clear" w:color="auto" w:fill="auto"/>
              <w:spacing w:before="0" w:after="120" w:line="240" w:lineRule="auto"/>
              <w:ind w:firstLine="0"/>
              <w:rPr>
                <w:rFonts w:ascii="Sylfaen" w:hAnsi="Sylfaen"/>
                <w:b w:val="0"/>
                <w:sz w:val="24"/>
                <w:szCs w:val="24"/>
              </w:rPr>
            </w:pPr>
            <w:r>
              <w:rPr>
                <w:rStyle w:val="Bodytext1811pt"/>
                <w:rFonts w:ascii="Sylfaen" w:hAnsi="Sylfaen"/>
                <w:sz w:val="24"/>
                <w:szCs w:val="24"/>
              </w:rPr>
              <w:t>Դիմում</w:t>
            </w:r>
            <w:r w:rsidR="008C76E0" w:rsidRPr="00BD7577">
              <w:rPr>
                <w:rStyle w:val="Bodytext1811pt"/>
                <w:rFonts w:ascii="Sylfaen" w:hAnsi="Sylfaen"/>
                <w:sz w:val="24"/>
                <w:szCs w:val="24"/>
              </w:rPr>
              <w:t>նաբերման սահմանը</w:t>
            </w:r>
          </w:p>
        </w:tc>
        <w:tc>
          <w:tcPr>
            <w:tcW w:w="917" w:type="dxa"/>
            <w:tcBorders>
              <w:top w:val="single" w:sz="4" w:space="0" w:color="auto"/>
              <w:left w:val="single" w:sz="4" w:space="0" w:color="auto"/>
            </w:tcBorders>
            <w:shd w:val="clear" w:color="auto" w:fill="FFFFFF"/>
          </w:tcPr>
          <w:p w14:paraId="5A0E2676"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BE65521"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E5CD223"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49F6925C" w14:textId="77777777" w:rsidR="008C76E0" w:rsidRPr="00BD7577" w:rsidRDefault="008C76E0" w:rsidP="008C76E0">
            <w:pPr>
              <w:spacing w:after="120" w:line="240" w:lineRule="auto"/>
              <w:rPr>
                <w:rFonts w:ascii="Sylfaen" w:hAnsi="Sylfaen"/>
                <w:sz w:val="24"/>
                <w:szCs w:val="24"/>
              </w:rPr>
            </w:pPr>
          </w:p>
        </w:tc>
      </w:tr>
      <w:tr w:rsidR="008C76E0" w:rsidRPr="00BD7577" w14:paraId="08021A5B" w14:textId="77777777" w:rsidTr="008C76E0">
        <w:trPr>
          <w:jc w:val="center"/>
        </w:trPr>
        <w:tc>
          <w:tcPr>
            <w:tcW w:w="5933" w:type="dxa"/>
            <w:tcBorders>
              <w:top w:val="single" w:sz="4" w:space="0" w:color="auto"/>
              <w:left w:val="single" w:sz="4" w:space="0" w:color="auto"/>
            </w:tcBorders>
            <w:shd w:val="clear" w:color="auto" w:fill="FFFFFF"/>
          </w:tcPr>
          <w:p w14:paraId="707B8A7A"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Քանակական որոշման ստորին սահմանը</w:t>
            </w:r>
          </w:p>
        </w:tc>
        <w:tc>
          <w:tcPr>
            <w:tcW w:w="917" w:type="dxa"/>
            <w:tcBorders>
              <w:top w:val="single" w:sz="4" w:space="0" w:color="auto"/>
              <w:left w:val="single" w:sz="4" w:space="0" w:color="auto"/>
            </w:tcBorders>
            <w:shd w:val="clear" w:color="auto" w:fill="FFFFFF"/>
          </w:tcPr>
          <w:p w14:paraId="4E7C63A1"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1506F454"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46D7F004"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51F9774" w14:textId="77777777" w:rsidR="008C76E0" w:rsidRPr="00BD7577" w:rsidRDefault="008C76E0" w:rsidP="008C76E0">
            <w:pPr>
              <w:spacing w:after="120" w:line="240" w:lineRule="auto"/>
              <w:rPr>
                <w:rFonts w:ascii="Sylfaen" w:hAnsi="Sylfaen"/>
                <w:sz w:val="24"/>
                <w:szCs w:val="24"/>
              </w:rPr>
            </w:pPr>
          </w:p>
        </w:tc>
      </w:tr>
      <w:tr w:rsidR="008C76E0" w:rsidRPr="00BD7577" w14:paraId="3DBFFDB5" w14:textId="77777777" w:rsidTr="008C76E0">
        <w:trPr>
          <w:jc w:val="center"/>
        </w:trPr>
        <w:tc>
          <w:tcPr>
            <w:tcW w:w="5933" w:type="dxa"/>
            <w:tcBorders>
              <w:top w:val="single" w:sz="4" w:space="0" w:color="auto"/>
              <w:left w:val="single" w:sz="4" w:space="0" w:color="auto"/>
            </w:tcBorders>
            <w:shd w:val="clear" w:color="auto" w:fill="FFFFFF"/>
          </w:tcPr>
          <w:p w14:paraId="53B9C70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Գծայնությունը</w:t>
            </w:r>
          </w:p>
        </w:tc>
        <w:tc>
          <w:tcPr>
            <w:tcW w:w="917" w:type="dxa"/>
            <w:tcBorders>
              <w:top w:val="single" w:sz="4" w:space="0" w:color="auto"/>
              <w:left w:val="single" w:sz="4" w:space="0" w:color="auto"/>
            </w:tcBorders>
            <w:shd w:val="clear" w:color="auto" w:fill="FFFFFF"/>
          </w:tcPr>
          <w:p w14:paraId="19158408"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976DFA0"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06DEA39"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3BF522A" w14:textId="77777777" w:rsidR="008C76E0" w:rsidRPr="00BD7577" w:rsidRDefault="008C76E0" w:rsidP="008C76E0">
            <w:pPr>
              <w:spacing w:after="120" w:line="240" w:lineRule="auto"/>
              <w:rPr>
                <w:rFonts w:ascii="Sylfaen" w:hAnsi="Sylfaen"/>
                <w:sz w:val="24"/>
                <w:szCs w:val="24"/>
              </w:rPr>
            </w:pPr>
          </w:p>
        </w:tc>
      </w:tr>
      <w:tr w:rsidR="008C76E0" w:rsidRPr="00BD7577" w14:paraId="0AA10FCF" w14:textId="77777777" w:rsidTr="008C76E0">
        <w:trPr>
          <w:jc w:val="center"/>
        </w:trPr>
        <w:tc>
          <w:tcPr>
            <w:tcW w:w="5933" w:type="dxa"/>
            <w:tcBorders>
              <w:top w:val="single" w:sz="4" w:space="0" w:color="auto"/>
              <w:left w:val="single" w:sz="4" w:space="0" w:color="auto"/>
            </w:tcBorders>
            <w:shd w:val="clear" w:color="auto" w:fill="FFFFFF"/>
          </w:tcPr>
          <w:p w14:paraId="0974EA8A"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Որոշվող պարունակությունների տիրույթը</w:t>
            </w:r>
          </w:p>
        </w:tc>
        <w:tc>
          <w:tcPr>
            <w:tcW w:w="917" w:type="dxa"/>
            <w:tcBorders>
              <w:top w:val="single" w:sz="4" w:space="0" w:color="auto"/>
              <w:left w:val="single" w:sz="4" w:space="0" w:color="auto"/>
            </w:tcBorders>
            <w:shd w:val="clear" w:color="auto" w:fill="FFFFFF"/>
          </w:tcPr>
          <w:p w14:paraId="6556652E"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3E7486A1"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75D9E11"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7D85A1E7" w14:textId="77777777" w:rsidR="008C76E0" w:rsidRPr="00BD7577" w:rsidRDefault="008C76E0" w:rsidP="008C76E0">
            <w:pPr>
              <w:spacing w:after="120" w:line="240" w:lineRule="auto"/>
              <w:rPr>
                <w:rFonts w:ascii="Sylfaen" w:hAnsi="Sylfaen"/>
                <w:sz w:val="24"/>
                <w:szCs w:val="24"/>
              </w:rPr>
            </w:pPr>
          </w:p>
        </w:tc>
      </w:tr>
      <w:tr w:rsidR="008C76E0" w:rsidRPr="00BD7577" w14:paraId="3BBBF0D7" w14:textId="77777777" w:rsidTr="008C76E0">
        <w:trPr>
          <w:jc w:val="center"/>
        </w:trPr>
        <w:tc>
          <w:tcPr>
            <w:tcW w:w="5933" w:type="dxa"/>
            <w:tcBorders>
              <w:top w:val="single" w:sz="4" w:space="0" w:color="auto"/>
              <w:left w:val="single" w:sz="4" w:space="0" w:color="auto"/>
            </w:tcBorders>
            <w:shd w:val="clear" w:color="auto" w:fill="FFFFFF"/>
          </w:tcPr>
          <w:p w14:paraId="5FE8397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Հաստատունությունը (դիմացկունությունը)</w:t>
            </w:r>
          </w:p>
        </w:tc>
        <w:tc>
          <w:tcPr>
            <w:tcW w:w="917" w:type="dxa"/>
            <w:tcBorders>
              <w:top w:val="single" w:sz="4" w:space="0" w:color="auto"/>
              <w:left w:val="single" w:sz="4" w:space="0" w:color="auto"/>
            </w:tcBorders>
            <w:shd w:val="clear" w:color="auto" w:fill="FFFFFF"/>
          </w:tcPr>
          <w:p w14:paraId="6AF145B9"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450CAC97"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245E35E"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1E303DB4" w14:textId="77777777" w:rsidR="008C76E0" w:rsidRPr="00BD7577" w:rsidRDefault="008C76E0" w:rsidP="008C76E0">
            <w:pPr>
              <w:spacing w:after="120" w:line="240" w:lineRule="auto"/>
              <w:rPr>
                <w:rFonts w:ascii="Sylfaen" w:hAnsi="Sylfaen"/>
                <w:sz w:val="24"/>
                <w:szCs w:val="24"/>
              </w:rPr>
            </w:pPr>
          </w:p>
        </w:tc>
      </w:tr>
      <w:tr w:rsidR="008C76E0" w:rsidRPr="00BD7577" w14:paraId="38738288" w14:textId="77777777" w:rsidTr="008C76E0">
        <w:trPr>
          <w:jc w:val="center"/>
        </w:trPr>
        <w:tc>
          <w:tcPr>
            <w:tcW w:w="5933" w:type="dxa"/>
            <w:tcBorders>
              <w:top w:val="single" w:sz="4" w:space="0" w:color="auto"/>
              <w:left w:val="single" w:sz="4" w:space="0" w:color="auto"/>
              <w:bottom w:val="single" w:sz="4" w:space="0" w:color="auto"/>
            </w:tcBorders>
            <w:shd w:val="clear" w:color="auto" w:fill="FFFFFF"/>
          </w:tcPr>
          <w:p w14:paraId="341348C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Լուծույթի կայունությունը</w:t>
            </w:r>
          </w:p>
        </w:tc>
        <w:tc>
          <w:tcPr>
            <w:tcW w:w="917" w:type="dxa"/>
            <w:tcBorders>
              <w:top w:val="single" w:sz="4" w:space="0" w:color="auto"/>
              <w:left w:val="single" w:sz="4" w:space="0" w:color="auto"/>
              <w:bottom w:val="single" w:sz="4" w:space="0" w:color="auto"/>
            </w:tcBorders>
            <w:shd w:val="clear" w:color="auto" w:fill="FFFFFF"/>
          </w:tcPr>
          <w:p w14:paraId="62DB46D1"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bottom w:val="single" w:sz="4" w:space="0" w:color="auto"/>
            </w:tcBorders>
            <w:shd w:val="clear" w:color="auto" w:fill="FFFFFF"/>
          </w:tcPr>
          <w:p w14:paraId="1138A1EF"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bottom w:val="single" w:sz="4" w:space="0" w:color="auto"/>
            </w:tcBorders>
            <w:shd w:val="clear" w:color="auto" w:fill="FFFFFF"/>
          </w:tcPr>
          <w:p w14:paraId="44A917C7"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bottom w:val="single" w:sz="4" w:space="0" w:color="auto"/>
              <w:right w:val="single" w:sz="4" w:space="0" w:color="auto"/>
            </w:tcBorders>
            <w:shd w:val="clear" w:color="auto" w:fill="FFFFFF"/>
          </w:tcPr>
          <w:p w14:paraId="260211D9" w14:textId="77777777" w:rsidR="008C76E0" w:rsidRPr="00BD7577" w:rsidRDefault="008C76E0" w:rsidP="008C76E0">
            <w:pPr>
              <w:spacing w:after="120" w:line="240" w:lineRule="auto"/>
              <w:rPr>
                <w:rFonts w:ascii="Sylfaen" w:hAnsi="Sylfaen"/>
                <w:sz w:val="24"/>
                <w:szCs w:val="24"/>
              </w:rPr>
            </w:pPr>
          </w:p>
        </w:tc>
      </w:tr>
    </w:tbl>
    <w:p w14:paraId="426366EF" w14:textId="77777777" w:rsidR="008C76E0" w:rsidRPr="00BD7577" w:rsidRDefault="008C76E0" w:rsidP="00DE713C">
      <w:pPr>
        <w:spacing w:after="160" w:line="360" w:lineRule="auto"/>
        <w:ind w:left="2977" w:right="180" w:hanging="2277"/>
        <w:jc w:val="both"/>
        <w:rPr>
          <w:rFonts w:ascii="Sylfaen" w:hAnsi="Sylfaen"/>
          <w:sz w:val="24"/>
          <w:szCs w:val="24"/>
        </w:rPr>
      </w:pPr>
      <w:r w:rsidRPr="00BD7577">
        <w:rPr>
          <w:rFonts w:ascii="Sylfaen" w:hAnsi="Sylfaen"/>
          <w:sz w:val="24"/>
          <w:szCs w:val="24"/>
        </w:rPr>
        <w:t>Ծանոթագրություն: «+» նշանը ցույց է տալիս, որ պարամետրի որոշումն իրականցվել է պահանջներին համապատասխան, «մինուս» նշանը՝ պարամետրը չի որոշվել, «?» նշանը՝ հարցերի առկայությունը նախքան պարամետրի ընդունելիության գնահատումը։</w:t>
      </w:r>
    </w:p>
    <w:p w14:paraId="7A70BC42"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3.4.4.</w:t>
      </w:r>
      <w:r w:rsidRPr="00BD7577">
        <w:rPr>
          <w:rFonts w:ascii="Sylfaen" w:hAnsi="Sylfaen"/>
          <w:sz w:val="24"/>
          <w:szCs w:val="24"/>
        </w:rPr>
        <w:tab/>
        <w:t>Սերիաների անալիզները (սերիաների անալիզի արդյունքները) (բաժին S.4.4)։</w:t>
      </w:r>
    </w:p>
    <w:p w14:paraId="51F31D39"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76B4E74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187066"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59CAD21" w14:textId="77777777" w:rsidR="008C76E0" w:rsidRPr="00BD7577" w:rsidRDefault="008C76E0" w:rsidP="00D72CF4">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3.4.5.</w:t>
      </w:r>
      <w:r w:rsidRPr="00BD7577">
        <w:rPr>
          <w:rFonts w:ascii="Sylfaen" w:hAnsi="Sylfaen"/>
          <w:sz w:val="24"/>
          <w:szCs w:val="24"/>
        </w:rPr>
        <w:tab/>
        <w:t>Մասնագրի հիմնավորումը (բաժին S.4.5)։</w:t>
      </w:r>
    </w:p>
    <w:p w14:paraId="46AAAE0B"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CE3BAC8"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67815BE0"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0DBDA62A"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68AE9CAE"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D85B3F2"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3F9C62C3"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08C5B6F7"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3D553457" w14:textId="77777777" w:rsidR="008C76E0" w:rsidRPr="00BD7577" w:rsidRDefault="008C76E0" w:rsidP="00D72CF4">
            <w:pPr>
              <w:spacing w:after="160" w:line="360" w:lineRule="auto"/>
              <w:ind w:right="-1"/>
              <w:jc w:val="both"/>
              <w:rPr>
                <w:rFonts w:ascii="Sylfaen" w:hAnsi="Sylfaen"/>
                <w:sz w:val="24"/>
                <w:szCs w:val="24"/>
              </w:rPr>
            </w:pPr>
          </w:p>
        </w:tc>
      </w:tr>
    </w:tbl>
    <w:p w14:paraId="2408CE8A" w14:textId="77777777" w:rsidR="008C76E0" w:rsidRPr="00BD7577" w:rsidRDefault="008C76E0" w:rsidP="00D72CF4">
      <w:pPr>
        <w:spacing w:after="160" w:line="360" w:lineRule="auto"/>
        <w:ind w:left="567" w:right="566"/>
        <w:jc w:val="center"/>
        <w:rPr>
          <w:rFonts w:ascii="Sylfaen" w:hAnsi="Sylfaen"/>
          <w:sz w:val="24"/>
          <w:szCs w:val="24"/>
          <w:lang w:val="en-US"/>
        </w:rPr>
      </w:pPr>
    </w:p>
    <w:p w14:paraId="00E84F71" w14:textId="77777777" w:rsidR="008C76E0" w:rsidRPr="00BD7577" w:rsidRDefault="008C76E0" w:rsidP="00D72CF4">
      <w:pPr>
        <w:spacing w:after="160" w:line="360" w:lineRule="auto"/>
        <w:ind w:left="567" w:right="566"/>
        <w:jc w:val="center"/>
        <w:rPr>
          <w:rFonts w:ascii="Sylfaen" w:hAnsi="Sylfaen"/>
          <w:sz w:val="24"/>
          <w:szCs w:val="24"/>
        </w:rPr>
      </w:pPr>
      <w:r w:rsidRPr="00BD7577">
        <w:rPr>
          <w:rFonts w:ascii="Sylfaen" w:hAnsi="Sylfaen"/>
          <w:sz w:val="24"/>
          <w:szCs w:val="24"/>
        </w:rPr>
        <w:t>3.5. Ստանդարտ նմուշները կամ նյութերը (մոդուլ 3.2.S.5)</w:t>
      </w:r>
    </w:p>
    <w:p w14:paraId="6B3C4437"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11EB98"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487DDBF" w14:textId="77777777" w:rsidR="008C76E0" w:rsidRPr="00BD7577" w:rsidRDefault="008C76E0" w:rsidP="00D72CF4">
      <w:pPr>
        <w:spacing w:after="160" w:line="360"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268" w:type="dxa"/>
        <w:jc w:val="center"/>
        <w:tblLayout w:type="fixed"/>
        <w:tblCellMar>
          <w:left w:w="10" w:type="dxa"/>
          <w:right w:w="10" w:type="dxa"/>
        </w:tblCellMar>
        <w:tblLook w:val="04A0" w:firstRow="1" w:lastRow="0" w:firstColumn="1" w:lastColumn="0" w:noHBand="0" w:noVBand="1"/>
      </w:tblPr>
      <w:tblGrid>
        <w:gridCol w:w="9268"/>
      </w:tblGrid>
      <w:tr w:rsidR="008C76E0" w:rsidRPr="00BD7577" w14:paraId="58DF50B8" w14:textId="77777777" w:rsidTr="008C76E0">
        <w:trPr>
          <w:jc w:val="center"/>
        </w:trPr>
        <w:tc>
          <w:tcPr>
            <w:tcW w:w="9268" w:type="dxa"/>
            <w:tcBorders>
              <w:top w:val="single" w:sz="4" w:space="0" w:color="auto"/>
              <w:left w:val="single" w:sz="4" w:space="0" w:color="auto"/>
              <w:right w:val="single" w:sz="4" w:space="0" w:color="auto"/>
            </w:tcBorders>
            <w:shd w:val="clear" w:color="auto" w:fill="FFFFFF"/>
            <w:vAlign w:val="bottom"/>
          </w:tcPr>
          <w:p w14:paraId="6B528C5A"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51ADEFEE" w14:textId="77777777" w:rsidTr="008C76E0">
        <w:trPr>
          <w:jc w:val="center"/>
        </w:trPr>
        <w:tc>
          <w:tcPr>
            <w:tcW w:w="9268" w:type="dxa"/>
            <w:tcBorders>
              <w:top w:val="single" w:sz="4" w:space="0" w:color="auto"/>
              <w:left w:val="single" w:sz="4" w:space="0" w:color="auto"/>
              <w:right w:val="single" w:sz="4" w:space="0" w:color="auto"/>
            </w:tcBorders>
            <w:shd w:val="clear" w:color="auto" w:fill="FFFFFF"/>
          </w:tcPr>
          <w:p w14:paraId="0A289377"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0D3CA0AA" w14:textId="77777777" w:rsidTr="008C76E0">
        <w:trPr>
          <w:jc w:val="center"/>
        </w:trPr>
        <w:tc>
          <w:tcPr>
            <w:tcW w:w="9268" w:type="dxa"/>
            <w:tcBorders>
              <w:top w:val="single" w:sz="4" w:space="0" w:color="auto"/>
              <w:left w:val="single" w:sz="4" w:space="0" w:color="auto"/>
              <w:bottom w:val="single" w:sz="4" w:space="0" w:color="auto"/>
              <w:right w:val="single" w:sz="4" w:space="0" w:color="auto"/>
            </w:tcBorders>
            <w:shd w:val="clear" w:color="auto" w:fill="FFFFFF"/>
          </w:tcPr>
          <w:p w14:paraId="18DA640A" w14:textId="77777777" w:rsidR="008C76E0" w:rsidRPr="00BD7577" w:rsidRDefault="008C76E0" w:rsidP="00D72CF4">
            <w:pPr>
              <w:spacing w:after="160" w:line="360" w:lineRule="auto"/>
              <w:ind w:right="-1"/>
              <w:jc w:val="both"/>
              <w:rPr>
                <w:rFonts w:ascii="Sylfaen" w:hAnsi="Sylfaen"/>
                <w:sz w:val="24"/>
                <w:szCs w:val="24"/>
              </w:rPr>
            </w:pPr>
          </w:p>
        </w:tc>
      </w:tr>
    </w:tbl>
    <w:p w14:paraId="69EC42BE" w14:textId="77777777" w:rsidR="008C76E0" w:rsidRPr="00BD7577" w:rsidRDefault="008C76E0" w:rsidP="00D72CF4">
      <w:pPr>
        <w:spacing w:after="160" w:line="360" w:lineRule="auto"/>
        <w:rPr>
          <w:rFonts w:ascii="Sylfaen" w:eastAsia="Times New Roman" w:hAnsi="Sylfaen" w:cs="Times New Roman"/>
          <w:sz w:val="24"/>
          <w:szCs w:val="24"/>
          <w:lang w:val="en-US"/>
        </w:rPr>
      </w:pPr>
    </w:p>
    <w:p w14:paraId="27C95A93"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3.6.</w:t>
      </w:r>
      <w:r w:rsidRPr="00BD7577">
        <w:rPr>
          <w:rFonts w:ascii="Sylfaen" w:hAnsi="Sylfaen"/>
          <w:sz w:val="24"/>
          <w:szCs w:val="24"/>
          <w:lang w:val="en-US"/>
        </w:rPr>
        <w:t xml:space="preserve"> </w:t>
      </w:r>
      <w:r w:rsidRPr="00BD7577">
        <w:rPr>
          <w:rFonts w:ascii="Sylfaen" w:hAnsi="Sylfaen"/>
          <w:sz w:val="24"/>
          <w:szCs w:val="24"/>
        </w:rPr>
        <w:t>Փաթեթավորման (խցանափակման) համակարգը (մոդուլ 3.2.S.6)</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81"/>
      </w:tblGrid>
      <w:tr w:rsidR="008C76E0" w:rsidRPr="00BD7577" w14:paraId="2ED9C163" w14:textId="77777777" w:rsidTr="008C76E0">
        <w:trPr>
          <w:jc w:val="center"/>
        </w:trPr>
        <w:tc>
          <w:tcPr>
            <w:tcW w:w="9581" w:type="dxa"/>
            <w:tcBorders>
              <w:top w:val="single" w:sz="4" w:space="0" w:color="auto"/>
              <w:left w:val="single" w:sz="4" w:space="0" w:color="auto"/>
              <w:right w:val="single" w:sz="4" w:space="0" w:color="auto"/>
            </w:tcBorders>
            <w:shd w:val="clear" w:color="auto" w:fill="FFFFFF"/>
            <w:vAlign w:val="bottom"/>
          </w:tcPr>
          <w:p w14:paraId="72A4944A"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18B2EEA7" w14:textId="77777777" w:rsidTr="008C76E0">
        <w:trPr>
          <w:jc w:val="center"/>
        </w:trPr>
        <w:tc>
          <w:tcPr>
            <w:tcW w:w="9581" w:type="dxa"/>
            <w:tcBorders>
              <w:top w:val="single" w:sz="4" w:space="0" w:color="auto"/>
              <w:left w:val="single" w:sz="4" w:space="0" w:color="auto"/>
              <w:right w:val="single" w:sz="4" w:space="0" w:color="auto"/>
            </w:tcBorders>
            <w:shd w:val="clear" w:color="auto" w:fill="FFFFFF"/>
          </w:tcPr>
          <w:p w14:paraId="72DCB905"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239B35D6" w14:textId="77777777" w:rsidTr="008C76E0">
        <w:trPr>
          <w:jc w:val="center"/>
        </w:trPr>
        <w:tc>
          <w:tcPr>
            <w:tcW w:w="9581" w:type="dxa"/>
            <w:tcBorders>
              <w:top w:val="single" w:sz="4" w:space="0" w:color="auto"/>
              <w:left w:val="single" w:sz="4" w:space="0" w:color="auto"/>
              <w:bottom w:val="single" w:sz="4" w:space="0" w:color="auto"/>
              <w:right w:val="single" w:sz="4" w:space="0" w:color="auto"/>
            </w:tcBorders>
            <w:shd w:val="clear" w:color="auto" w:fill="FFFFFF"/>
          </w:tcPr>
          <w:p w14:paraId="237A3DA2" w14:textId="77777777" w:rsidR="008C76E0" w:rsidRPr="00BD7577" w:rsidRDefault="008C76E0" w:rsidP="00D72CF4">
            <w:pPr>
              <w:spacing w:after="160" w:line="360" w:lineRule="auto"/>
              <w:ind w:right="-1"/>
              <w:jc w:val="both"/>
              <w:rPr>
                <w:rFonts w:ascii="Sylfaen" w:hAnsi="Sylfaen"/>
                <w:sz w:val="24"/>
                <w:szCs w:val="24"/>
              </w:rPr>
            </w:pPr>
          </w:p>
        </w:tc>
      </w:tr>
    </w:tbl>
    <w:p w14:paraId="146D1F3F" w14:textId="77777777" w:rsidR="008C76E0" w:rsidRPr="00BD7577" w:rsidRDefault="008C76E0" w:rsidP="00D72CF4">
      <w:pPr>
        <w:tabs>
          <w:tab w:val="left" w:pos="1418"/>
        </w:tabs>
        <w:spacing w:after="160" w:line="360" w:lineRule="auto"/>
        <w:ind w:firstLine="567"/>
        <w:rPr>
          <w:rFonts w:ascii="Sylfaen" w:hAnsi="Sylfaen"/>
          <w:sz w:val="24"/>
          <w:szCs w:val="24"/>
        </w:rPr>
      </w:pPr>
    </w:p>
    <w:p w14:paraId="395478D2"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3.7. Կայունությունը (մոդուլ 3.2.S.7)</w:t>
      </w:r>
    </w:p>
    <w:p w14:paraId="78ABEE52" w14:textId="77777777" w:rsidR="008C76E0" w:rsidRPr="00BD7577" w:rsidRDefault="008C76E0" w:rsidP="00D72CF4">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3.7.1.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 (բաժին՝ S.7.1)։ </w:t>
      </w:r>
    </w:p>
    <w:p w14:paraId="76E2BE6A"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73AFE7CF"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CE16B"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C408B09" w14:textId="77777777" w:rsidR="008C76E0" w:rsidRPr="00BD7577" w:rsidRDefault="008C76E0" w:rsidP="00D72CF4">
      <w:pPr>
        <w:tabs>
          <w:tab w:val="left" w:pos="1418"/>
        </w:tabs>
        <w:spacing w:after="160" w:line="360" w:lineRule="auto"/>
        <w:ind w:firstLine="567"/>
        <w:rPr>
          <w:rFonts w:ascii="Sylfaen" w:hAnsi="Sylfaen"/>
          <w:sz w:val="24"/>
          <w:szCs w:val="24"/>
        </w:rPr>
      </w:pPr>
    </w:p>
    <w:p w14:paraId="23227E7C" w14:textId="77777777" w:rsidR="00770E2B" w:rsidRDefault="00770E2B" w:rsidP="00D72CF4">
      <w:pPr>
        <w:widowControl/>
        <w:spacing w:after="160" w:line="360" w:lineRule="auto"/>
        <w:rPr>
          <w:rFonts w:ascii="Sylfaen" w:hAnsi="Sylfaen"/>
          <w:sz w:val="24"/>
          <w:szCs w:val="24"/>
        </w:rPr>
      </w:pPr>
      <w:r>
        <w:rPr>
          <w:rFonts w:ascii="Sylfaen" w:hAnsi="Sylfaen"/>
          <w:sz w:val="24"/>
          <w:szCs w:val="24"/>
        </w:rPr>
        <w:br w:type="page"/>
      </w:r>
    </w:p>
    <w:p w14:paraId="7D5B26F2"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Աղյուսակ S. 7-1</w:t>
      </w:r>
    </w:p>
    <w:p w14:paraId="2CF21231" w14:textId="77777777" w:rsidR="008C76E0" w:rsidRPr="00BD7577" w:rsidRDefault="008C76E0" w:rsidP="008C76E0">
      <w:pPr>
        <w:ind w:right="-1"/>
        <w:rPr>
          <w:rFonts w:ascii="Sylfaen" w:hAnsi="Sylfaen"/>
          <w:sz w:val="24"/>
          <w:szCs w:val="24"/>
        </w:rPr>
      </w:pPr>
      <w:r w:rsidRPr="00BD7577">
        <w:rPr>
          <w:rFonts w:ascii="Sylfaen" w:hAnsi="Sylfaen"/>
          <w:sz w:val="24"/>
          <w:szCs w:val="24"/>
        </w:rPr>
        <w:t>Կայունության փորձարկումները</w:t>
      </w:r>
    </w:p>
    <w:tbl>
      <w:tblPr>
        <w:tblOverlap w:val="never"/>
        <w:tblW w:w="10201" w:type="dxa"/>
        <w:jc w:val="center"/>
        <w:tblLayout w:type="fixed"/>
        <w:tblCellMar>
          <w:left w:w="10" w:type="dxa"/>
          <w:right w:w="10" w:type="dxa"/>
        </w:tblCellMar>
        <w:tblLook w:val="04A0" w:firstRow="1" w:lastRow="0" w:firstColumn="1" w:lastColumn="0" w:noHBand="0" w:noVBand="1"/>
      </w:tblPr>
      <w:tblGrid>
        <w:gridCol w:w="2669"/>
        <w:gridCol w:w="1454"/>
        <w:gridCol w:w="3836"/>
        <w:gridCol w:w="2242"/>
      </w:tblGrid>
      <w:tr w:rsidR="008C76E0" w:rsidRPr="00BD7577" w14:paraId="758F05AE" w14:textId="77777777" w:rsidTr="008C76E0">
        <w:trPr>
          <w:jc w:val="center"/>
        </w:trPr>
        <w:tc>
          <w:tcPr>
            <w:tcW w:w="2669" w:type="dxa"/>
            <w:tcBorders>
              <w:top w:val="single" w:sz="4" w:space="0" w:color="auto"/>
              <w:left w:val="single" w:sz="4" w:space="0" w:color="auto"/>
            </w:tcBorders>
            <w:shd w:val="clear" w:color="auto" w:fill="FFFFFF"/>
          </w:tcPr>
          <w:p w14:paraId="5DB0BA71" w14:textId="77777777" w:rsidR="008C76E0" w:rsidRPr="008C76E0" w:rsidRDefault="008C76E0" w:rsidP="008C76E0">
            <w:pPr>
              <w:pStyle w:val="Bodytext180"/>
              <w:shd w:val="clear" w:color="auto" w:fill="auto"/>
              <w:spacing w:before="0" w:after="160" w:line="360" w:lineRule="auto"/>
              <w:ind w:right="-1" w:firstLine="0"/>
              <w:jc w:val="center"/>
              <w:rPr>
                <w:rFonts w:ascii="Sylfaen" w:hAnsi="Sylfaen"/>
                <w:b w:val="0"/>
                <w:sz w:val="24"/>
                <w:szCs w:val="24"/>
                <w:lang w:val="hy-AM"/>
              </w:rPr>
            </w:pPr>
            <w:r w:rsidRPr="00BD7577">
              <w:rPr>
                <w:rStyle w:val="Bodytext1811pt"/>
                <w:rFonts w:ascii="Sylfaen" w:hAnsi="Sylfaen"/>
                <w:sz w:val="24"/>
                <w:szCs w:val="24"/>
              </w:rPr>
              <w:t>Ջերմաստիճանը, °C, հարաբերական խոնավությունը (ՀԽ), %</w:t>
            </w:r>
          </w:p>
        </w:tc>
        <w:tc>
          <w:tcPr>
            <w:tcW w:w="1454" w:type="dxa"/>
            <w:tcBorders>
              <w:top w:val="single" w:sz="4" w:space="0" w:color="auto"/>
              <w:left w:val="single" w:sz="4" w:space="0" w:color="auto"/>
            </w:tcBorders>
            <w:shd w:val="clear" w:color="auto" w:fill="FFFFFF"/>
          </w:tcPr>
          <w:p w14:paraId="5FED5651"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295pt"/>
                <w:rFonts w:ascii="Sylfaen" w:hAnsi="Sylfaen"/>
                <w:spacing w:val="0"/>
                <w:sz w:val="24"/>
                <w:szCs w:val="24"/>
              </w:rPr>
              <w:t>n</w:t>
            </w:r>
            <w:r w:rsidRPr="00BD7577">
              <w:rPr>
                <w:rStyle w:val="Bodytext1811pt"/>
                <w:rFonts w:ascii="Sylfaen" w:hAnsi="Sylfaen"/>
                <w:sz w:val="24"/>
                <w:szCs w:val="24"/>
              </w:rPr>
              <w:t xml:space="preserve"> սերիաներ х ամիսներ</w:t>
            </w:r>
          </w:p>
        </w:tc>
        <w:tc>
          <w:tcPr>
            <w:tcW w:w="3836" w:type="dxa"/>
            <w:tcBorders>
              <w:top w:val="single" w:sz="4" w:space="0" w:color="auto"/>
              <w:left w:val="single" w:sz="4" w:space="0" w:color="auto"/>
            </w:tcBorders>
            <w:shd w:val="clear" w:color="auto" w:fill="FFFFFF"/>
          </w:tcPr>
          <w:p w14:paraId="2F155664"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1811pt"/>
                <w:rFonts w:ascii="Sylfaen" w:hAnsi="Sylfaen"/>
                <w:sz w:val="24"/>
                <w:szCs w:val="24"/>
              </w:rPr>
              <w:t>Սերիայի չափը</w:t>
            </w:r>
          </w:p>
        </w:tc>
        <w:tc>
          <w:tcPr>
            <w:tcW w:w="2242" w:type="dxa"/>
            <w:tcBorders>
              <w:top w:val="single" w:sz="4" w:space="0" w:color="auto"/>
              <w:left w:val="single" w:sz="4" w:space="0" w:color="auto"/>
              <w:right w:val="single" w:sz="4" w:space="0" w:color="auto"/>
            </w:tcBorders>
            <w:shd w:val="clear" w:color="auto" w:fill="FFFFFF"/>
          </w:tcPr>
          <w:p w14:paraId="60A0028F"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1811pt"/>
                <w:rFonts w:ascii="Sylfaen" w:hAnsi="Sylfaen"/>
                <w:sz w:val="24"/>
                <w:szCs w:val="24"/>
              </w:rPr>
              <w:t>Փաթեթվածքը</w:t>
            </w:r>
          </w:p>
        </w:tc>
      </w:tr>
      <w:tr w:rsidR="008C76E0" w:rsidRPr="00BD7577" w14:paraId="74BB2CA0" w14:textId="77777777" w:rsidTr="008C76E0">
        <w:trPr>
          <w:jc w:val="center"/>
        </w:trPr>
        <w:tc>
          <w:tcPr>
            <w:tcW w:w="2669" w:type="dxa"/>
            <w:tcBorders>
              <w:top w:val="single" w:sz="4" w:space="0" w:color="auto"/>
              <w:left w:val="single" w:sz="4" w:space="0" w:color="auto"/>
            </w:tcBorders>
            <w:shd w:val="clear" w:color="auto" w:fill="FFFFFF"/>
          </w:tcPr>
          <w:p w14:paraId="0AD9ED55" w14:textId="77777777" w:rsidR="008C76E0" w:rsidRPr="00BD7577" w:rsidRDefault="008C76E0" w:rsidP="008C76E0">
            <w:pPr>
              <w:pStyle w:val="Bodytext180"/>
              <w:shd w:val="clear" w:color="auto" w:fill="auto"/>
              <w:spacing w:before="0" w:after="160" w:line="360" w:lineRule="auto"/>
              <w:ind w:left="129" w:right="-1" w:firstLine="0"/>
              <w:rPr>
                <w:rFonts w:ascii="Sylfaen" w:hAnsi="Sylfaen"/>
                <w:b w:val="0"/>
                <w:sz w:val="24"/>
                <w:szCs w:val="24"/>
              </w:rPr>
            </w:pPr>
            <w:r w:rsidRPr="00BD7577">
              <w:rPr>
                <w:rStyle w:val="Bodytext1811pt"/>
                <w:rFonts w:ascii="Sylfaen" w:hAnsi="Sylfaen"/>
                <w:sz w:val="24"/>
                <w:szCs w:val="24"/>
              </w:rPr>
              <w:t>25°C / ՀԽ 60 %</w:t>
            </w:r>
          </w:p>
        </w:tc>
        <w:tc>
          <w:tcPr>
            <w:tcW w:w="1454" w:type="dxa"/>
            <w:tcBorders>
              <w:top w:val="single" w:sz="4" w:space="0" w:color="auto"/>
              <w:left w:val="single" w:sz="4" w:space="0" w:color="auto"/>
            </w:tcBorders>
            <w:shd w:val="clear" w:color="auto" w:fill="FFFFFF"/>
          </w:tcPr>
          <w:p w14:paraId="657298F0"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tcBorders>
            <w:shd w:val="clear" w:color="auto" w:fill="FFFFFF"/>
          </w:tcPr>
          <w:p w14:paraId="78621ED4" w14:textId="77777777" w:rsidR="008C76E0" w:rsidRPr="008C76E0" w:rsidRDefault="008C76E0" w:rsidP="008C76E0">
            <w:pPr>
              <w:pStyle w:val="Bodytext180"/>
              <w:shd w:val="clear" w:color="auto" w:fill="auto"/>
              <w:spacing w:before="0" w:after="160" w:line="360" w:lineRule="auto"/>
              <w:ind w:left="185" w:right="-1" w:firstLine="0"/>
              <w:rPr>
                <w:rFonts w:ascii="Sylfaen" w:hAnsi="Sylfaen"/>
                <w:b w:val="0"/>
                <w:sz w:val="24"/>
                <w:szCs w:val="24"/>
                <w:lang w:val="hy-AM"/>
              </w:rPr>
            </w:pPr>
            <w:r w:rsidRPr="00BD7577">
              <w:rPr>
                <w:rStyle w:val="Bodytext1811pt"/>
                <w:rFonts w:ascii="Sylfaen" w:hAnsi="Sylfaen"/>
                <w:sz w:val="24"/>
                <w:szCs w:val="24"/>
              </w:rPr>
              <w:t>արդյունաբերական մասշտաբը կամ փորձարարաարդյունաբերական մասշտաբը</w:t>
            </w:r>
          </w:p>
        </w:tc>
        <w:tc>
          <w:tcPr>
            <w:tcW w:w="2242" w:type="dxa"/>
            <w:tcBorders>
              <w:top w:val="single" w:sz="4" w:space="0" w:color="auto"/>
              <w:left w:val="single" w:sz="4" w:space="0" w:color="auto"/>
              <w:right w:val="single" w:sz="4" w:space="0" w:color="auto"/>
            </w:tcBorders>
            <w:shd w:val="clear" w:color="auto" w:fill="FFFFFF"/>
          </w:tcPr>
          <w:p w14:paraId="67459D94" w14:textId="77777777" w:rsidR="008C76E0" w:rsidRPr="008C76E0" w:rsidRDefault="008C76E0" w:rsidP="008C76E0">
            <w:pPr>
              <w:pStyle w:val="Bodytext180"/>
              <w:shd w:val="clear" w:color="auto" w:fill="auto"/>
              <w:spacing w:before="0" w:after="160" w:line="360" w:lineRule="auto"/>
              <w:ind w:left="185" w:right="-1" w:firstLine="0"/>
              <w:rPr>
                <w:rFonts w:ascii="Sylfaen" w:hAnsi="Sylfaen"/>
                <w:b w:val="0"/>
                <w:sz w:val="24"/>
                <w:szCs w:val="24"/>
                <w:lang w:val="hy-AM"/>
              </w:rPr>
            </w:pPr>
            <w:r w:rsidRPr="00BD7577">
              <w:rPr>
                <w:rStyle w:val="Bodytext1811pt"/>
                <w:rFonts w:ascii="Sylfaen" w:hAnsi="Sylfaen"/>
                <w:sz w:val="24"/>
                <w:szCs w:val="24"/>
              </w:rPr>
              <w:t>նախատեսված է իրացման համար, թե՝ ոչ</w:t>
            </w:r>
          </w:p>
        </w:tc>
      </w:tr>
      <w:tr w:rsidR="008C76E0" w:rsidRPr="00BD7577" w14:paraId="387BE783" w14:textId="77777777" w:rsidTr="008C76E0">
        <w:trPr>
          <w:jc w:val="center"/>
        </w:trPr>
        <w:tc>
          <w:tcPr>
            <w:tcW w:w="2669" w:type="dxa"/>
            <w:tcBorders>
              <w:top w:val="single" w:sz="4" w:space="0" w:color="auto"/>
              <w:left w:val="single" w:sz="4" w:space="0" w:color="auto"/>
            </w:tcBorders>
            <w:shd w:val="clear" w:color="auto" w:fill="FFFFFF"/>
          </w:tcPr>
          <w:p w14:paraId="4BABEB9D" w14:textId="77777777" w:rsidR="008C76E0" w:rsidRPr="00BD7577" w:rsidRDefault="008C76E0" w:rsidP="008C76E0">
            <w:pPr>
              <w:pStyle w:val="Bodytext180"/>
              <w:shd w:val="clear" w:color="auto" w:fill="auto"/>
              <w:spacing w:before="0" w:after="160" w:line="360" w:lineRule="auto"/>
              <w:ind w:left="129" w:right="-1" w:firstLine="0"/>
              <w:rPr>
                <w:rFonts w:ascii="Sylfaen" w:hAnsi="Sylfaen"/>
                <w:b w:val="0"/>
                <w:sz w:val="24"/>
                <w:szCs w:val="24"/>
              </w:rPr>
            </w:pPr>
            <w:r w:rsidRPr="00BD7577">
              <w:rPr>
                <w:rStyle w:val="Bodytext1811pt"/>
                <w:rFonts w:ascii="Sylfaen" w:hAnsi="Sylfaen"/>
                <w:sz w:val="24"/>
                <w:szCs w:val="24"/>
              </w:rPr>
              <w:t>40°C / ՀԽ 75 %</w:t>
            </w:r>
          </w:p>
        </w:tc>
        <w:tc>
          <w:tcPr>
            <w:tcW w:w="1454" w:type="dxa"/>
            <w:tcBorders>
              <w:top w:val="single" w:sz="4" w:space="0" w:color="auto"/>
              <w:left w:val="single" w:sz="4" w:space="0" w:color="auto"/>
            </w:tcBorders>
            <w:shd w:val="clear" w:color="auto" w:fill="FFFFFF"/>
          </w:tcPr>
          <w:p w14:paraId="1D7AB8AF"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tcBorders>
            <w:shd w:val="clear" w:color="auto" w:fill="FFFFFF"/>
          </w:tcPr>
          <w:p w14:paraId="080BD277" w14:textId="77777777" w:rsidR="008C76E0" w:rsidRPr="00BD7577" w:rsidRDefault="008C76E0" w:rsidP="008C76E0">
            <w:pPr>
              <w:ind w:right="-1"/>
              <w:rPr>
                <w:rFonts w:ascii="Sylfaen" w:hAnsi="Sylfaen"/>
                <w:sz w:val="24"/>
                <w:szCs w:val="24"/>
              </w:rPr>
            </w:pPr>
          </w:p>
        </w:tc>
        <w:tc>
          <w:tcPr>
            <w:tcW w:w="2242" w:type="dxa"/>
            <w:tcBorders>
              <w:top w:val="single" w:sz="4" w:space="0" w:color="auto"/>
              <w:left w:val="single" w:sz="4" w:space="0" w:color="auto"/>
              <w:right w:val="single" w:sz="4" w:space="0" w:color="auto"/>
            </w:tcBorders>
            <w:shd w:val="clear" w:color="auto" w:fill="FFFFFF"/>
          </w:tcPr>
          <w:p w14:paraId="4895DE3F" w14:textId="77777777" w:rsidR="008C76E0" w:rsidRPr="00BD7577" w:rsidRDefault="008C76E0" w:rsidP="008C76E0">
            <w:pPr>
              <w:ind w:right="-1"/>
              <w:rPr>
                <w:rFonts w:ascii="Sylfaen" w:hAnsi="Sylfaen"/>
                <w:sz w:val="24"/>
                <w:szCs w:val="24"/>
              </w:rPr>
            </w:pPr>
          </w:p>
        </w:tc>
      </w:tr>
      <w:tr w:rsidR="008C76E0" w:rsidRPr="00BD7577" w14:paraId="3C2F2394" w14:textId="77777777" w:rsidTr="008C76E0">
        <w:trPr>
          <w:jc w:val="center"/>
        </w:trPr>
        <w:tc>
          <w:tcPr>
            <w:tcW w:w="2669" w:type="dxa"/>
            <w:tcBorders>
              <w:top w:val="single" w:sz="4" w:space="0" w:color="auto"/>
              <w:left w:val="single" w:sz="4" w:space="0" w:color="auto"/>
              <w:bottom w:val="single" w:sz="4" w:space="0" w:color="auto"/>
            </w:tcBorders>
            <w:shd w:val="clear" w:color="auto" w:fill="FFFFFF"/>
          </w:tcPr>
          <w:p w14:paraId="046D5127" w14:textId="77777777" w:rsidR="008C76E0" w:rsidRPr="00BD7577" w:rsidRDefault="008C76E0" w:rsidP="008C76E0">
            <w:pPr>
              <w:ind w:left="129" w:right="-1"/>
              <w:rPr>
                <w:rFonts w:ascii="Sylfaen" w:hAnsi="Sylfaen"/>
                <w:sz w:val="24"/>
                <w:szCs w:val="24"/>
              </w:rPr>
            </w:pPr>
          </w:p>
        </w:tc>
        <w:tc>
          <w:tcPr>
            <w:tcW w:w="1454" w:type="dxa"/>
            <w:tcBorders>
              <w:top w:val="single" w:sz="4" w:space="0" w:color="auto"/>
              <w:left w:val="single" w:sz="4" w:space="0" w:color="auto"/>
              <w:bottom w:val="single" w:sz="4" w:space="0" w:color="auto"/>
            </w:tcBorders>
            <w:shd w:val="clear" w:color="auto" w:fill="FFFFFF"/>
          </w:tcPr>
          <w:p w14:paraId="70CF005C"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bottom w:val="single" w:sz="4" w:space="0" w:color="auto"/>
            </w:tcBorders>
            <w:shd w:val="clear" w:color="auto" w:fill="FFFFFF"/>
          </w:tcPr>
          <w:p w14:paraId="504DB64B" w14:textId="77777777" w:rsidR="008C76E0" w:rsidRPr="00BD7577" w:rsidRDefault="008C76E0" w:rsidP="008C76E0">
            <w:pPr>
              <w:ind w:right="-1"/>
              <w:rPr>
                <w:rFonts w:ascii="Sylfaen" w:hAnsi="Sylfaen"/>
                <w:sz w:val="24"/>
                <w:szCs w:val="24"/>
              </w:rPr>
            </w:pPr>
          </w:p>
        </w:tc>
        <w:tc>
          <w:tcPr>
            <w:tcW w:w="2242" w:type="dxa"/>
            <w:tcBorders>
              <w:top w:val="single" w:sz="4" w:space="0" w:color="auto"/>
              <w:left w:val="single" w:sz="4" w:space="0" w:color="auto"/>
              <w:bottom w:val="single" w:sz="4" w:space="0" w:color="auto"/>
              <w:right w:val="single" w:sz="4" w:space="0" w:color="auto"/>
            </w:tcBorders>
            <w:shd w:val="clear" w:color="auto" w:fill="FFFFFF"/>
          </w:tcPr>
          <w:p w14:paraId="5057323D" w14:textId="77777777" w:rsidR="008C76E0" w:rsidRPr="00BD7577" w:rsidRDefault="008C76E0" w:rsidP="008C76E0">
            <w:pPr>
              <w:ind w:right="-1"/>
              <w:rPr>
                <w:rFonts w:ascii="Sylfaen" w:hAnsi="Sylfaen"/>
                <w:sz w:val="24"/>
                <w:szCs w:val="24"/>
              </w:rPr>
            </w:pPr>
          </w:p>
        </w:tc>
      </w:tr>
    </w:tbl>
    <w:p w14:paraId="7774C14D" w14:textId="77777777" w:rsidR="008C76E0" w:rsidRPr="00BD7577" w:rsidRDefault="008C76E0" w:rsidP="00D72CF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3.7.2.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կայունությանը վերաբերող պարտավորությունները (բաժին S.7.2):</w:t>
      </w:r>
    </w:p>
    <w:p w14:paraId="55288D53"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FC287CA"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4E013AB"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5F654F" w14:textId="77777777" w:rsidR="008C76E0" w:rsidRPr="00BD7577" w:rsidRDefault="008C76E0" w:rsidP="00D72CF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3.7.3.</w:t>
      </w:r>
      <w:r w:rsidRPr="00BD7577">
        <w:rPr>
          <w:rFonts w:ascii="Sylfaen" w:hAnsi="Sylfaen"/>
          <w:sz w:val="24"/>
          <w:szCs w:val="24"/>
        </w:rPr>
        <w:tab/>
        <w:t xml:space="preserve">Կայունության վերաբերյալ փորձարկումների տվյալները </w:t>
      </w:r>
      <w:r w:rsidRPr="00A84E19">
        <w:rPr>
          <w:rFonts w:ascii="Sylfaen" w:hAnsi="Sylfaen"/>
          <w:sz w:val="24"/>
          <w:szCs w:val="24"/>
        </w:rPr>
        <w:br/>
      </w:r>
      <w:r w:rsidRPr="00BD7577">
        <w:rPr>
          <w:rFonts w:ascii="Sylfaen" w:hAnsi="Sylfaen"/>
          <w:sz w:val="24"/>
          <w:szCs w:val="24"/>
        </w:rPr>
        <w:t>(բաժին S.7.3):</w:t>
      </w:r>
    </w:p>
    <w:p w14:paraId="4DBE478A" w14:textId="77777777" w:rsidR="008C76E0" w:rsidRPr="00BD7577" w:rsidRDefault="008C76E0" w:rsidP="00D72CF4">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Կայունության փորձարկման այն տվյալները, որոնց վրա հիմնվում է S.7.1 բաժնի համառոտ ամփոփումն ու եզրակացությունը, ներառվում են դոսյեում։</w:t>
      </w:r>
    </w:p>
    <w:p w14:paraId="17CB49AF"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D67C2A"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663CEF"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596FC92C"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1C3C8966"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0CFB1982"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308582E3" w14:textId="77777777" w:rsidR="008C76E0" w:rsidRPr="00BD7577" w:rsidRDefault="008C76E0" w:rsidP="008C76E0">
            <w:pPr>
              <w:ind w:right="-1"/>
              <w:jc w:val="both"/>
              <w:rPr>
                <w:rFonts w:ascii="Sylfaen" w:hAnsi="Sylfaen"/>
                <w:sz w:val="24"/>
                <w:szCs w:val="24"/>
                <w:highlight w:val="yellow"/>
              </w:rPr>
            </w:pPr>
          </w:p>
        </w:tc>
      </w:tr>
      <w:tr w:rsidR="008C76E0" w:rsidRPr="00BD7577" w14:paraId="7484D65D"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180E37F1" w14:textId="77777777" w:rsidR="008C76E0" w:rsidRPr="00BD7577" w:rsidRDefault="008C76E0" w:rsidP="008C76E0">
            <w:pPr>
              <w:ind w:right="-1"/>
              <w:jc w:val="both"/>
              <w:rPr>
                <w:rFonts w:ascii="Sylfaen" w:hAnsi="Sylfaen"/>
                <w:sz w:val="24"/>
                <w:szCs w:val="24"/>
              </w:rPr>
            </w:pPr>
          </w:p>
        </w:tc>
      </w:tr>
    </w:tbl>
    <w:p w14:paraId="2720A85F"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4.</w:t>
      </w:r>
      <w:r w:rsidRPr="00BD7577">
        <w:rPr>
          <w:rFonts w:ascii="Sylfaen" w:hAnsi="Sylfaen"/>
          <w:sz w:val="24"/>
          <w:szCs w:val="24"/>
          <w:lang w:val="en-US"/>
        </w:rPr>
        <w:t xml:space="preserve"> </w:t>
      </w:r>
      <w:r w:rsidRPr="00BD7577">
        <w:rPr>
          <w:rFonts w:ascii="Sylfaen" w:hAnsi="Sylfaen"/>
          <w:sz w:val="24"/>
          <w:szCs w:val="24"/>
        </w:rPr>
        <w:t>Դեղապատրաստուկը (մոդուլ 3.2.P)</w:t>
      </w:r>
    </w:p>
    <w:p w14:paraId="2AE7FE48"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112EBB9"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E9CA55"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040C93" w14:textId="77777777" w:rsidR="008C76E0" w:rsidRPr="00BD7577" w:rsidRDefault="008C76E0" w:rsidP="004C0BC5">
      <w:pPr>
        <w:widowControl/>
        <w:spacing w:after="160" w:line="336" w:lineRule="auto"/>
        <w:jc w:val="both"/>
        <w:rPr>
          <w:rFonts w:ascii="Sylfaen" w:eastAsia="Times New Roman" w:hAnsi="Sylfaen" w:cs="Times New Roman"/>
          <w:sz w:val="24"/>
          <w:szCs w:val="24"/>
        </w:rPr>
      </w:pPr>
    </w:p>
    <w:p w14:paraId="5F633A3E" w14:textId="77777777" w:rsidR="008C76E0" w:rsidRPr="00BD7577" w:rsidRDefault="008C76E0" w:rsidP="004C0BC5">
      <w:pPr>
        <w:tabs>
          <w:tab w:val="left" w:pos="1418"/>
        </w:tabs>
        <w:spacing w:after="160" w:line="336" w:lineRule="auto"/>
        <w:ind w:left="567" w:right="566"/>
        <w:jc w:val="center"/>
        <w:rPr>
          <w:rFonts w:ascii="Sylfaen" w:hAnsi="Sylfaen"/>
          <w:sz w:val="24"/>
          <w:szCs w:val="24"/>
        </w:rPr>
      </w:pPr>
      <w:r w:rsidRPr="00BD7577">
        <w:rPr>
          <w:rFonts w:ascii="Sylfaen" w:hAnsi="Sylfaen"/>
          <w:sz w:val="24"/>
          <w:szCs w:val="24"/>
        </w:rPr>
        <w:t xml:space="preserve">4.1. Դեղապատրաստուկի նկարագրությունը </w:t>
      </w:r>
      <w:r w:rsidR="00C54D75">
        <w:rPr>
          <w:rFonts w:ascii="Sylfaen" w:hAnsi="Sylfaen"/>
          <w:sz w:val="24"/>
          <w:szCs w:val="24"/>
        </w:rPr>
        <w:t>և</w:t>
      </w:r>
      <w:r w:rsidRPr="00BD7577">
        <w:rPr>
          <w:rFonts w:ascii="Sylfaen" w:hAnsi="Sylfaen"/>
          <w:sz w:val="24"/>
          <w:szCs w:val="24"/>
        </w:rPr>
        <w:t xml:space="preserve"> բաղադրությունը </w:t>
      </w:r>
      <w:r w:rsidRPr="00BD7577">
        <w:rPr>
          <w:rFonts w:ascii="Sylfaen" w:hAnsi="Sylfaen"/>
          <w:sz w:val="24"/>
          <w:szCs w:val="24"/>
        </w:rPr>
        <w:br/>
        <w:t>(մոդուլ 3.2.P.1)</w:t>
      </w:r>
    </w:p>
    <w:p w14:paraId="7CBE4A5D" w14:textId="77777777" w:rsidR="008C76E0" w:rsidRPr="00BD7577" w:rsidRDefault="008C76E0" w:rsidP="004C0BC5">
      <w:pPr>
        <w:spacing w:after="160"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B37DCEE"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92355C7"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9E796C" w14:textId="77777777" w:rsidR="008C76E0" w:rsidRPr="00BD7577" w:rsidRDefault="008C76E0" w:rsidP="004C0BC5">
      <w:pPr>
        <w:tabs>
          <w:tab w:val="left" w:pos="1418"/>
        </w:tabs>
        <w:spacing w:after="160" w:line="336" w:lineRule="auto"/>
        <w:ind w:right="-1" w:firstLine="567"/>
        <w:jc w:val="both"/>
        <w:rPr>
          <w:rFonts w:ascii="Sylfaen" w:hAnsi="Sylfaen"/>
          <w:sz w:val="24"/>
          <w:szCs w:val="24"/>
        </w:rPr>
      </w:pPr>
      <w:r w:rsidRPr="00BD7577">
        <w:rPr>
          <w:rFonts w:ascii="Sylfaen" w:hAnsi="Sylfaen"/>
          <w:sz w:val="24"/>
          <w:szCs w:val="24"/>
        </w:rPr>
        <w:t>&lt;Դեղապատրաստուկի անվանումը&gt; բաղադրությունը ներկայացված է P.1-1 աղյուսակում։</w:t>
      </w:r>
    </w:p>
    <w:p w14:paraId="09A5250A" w14:textId="77777777" w:rsidR="008C76E0" w:rsidRPr="00E15E7D" w:rsidRDefault="008C76E0" w:rsidP="004C0BC5">
      <w:pPr>
        <w:widowControl/>
        <w:spacing w:after="160" w:line="336" w:lineRule="auto"/>
        <w:rPr>
          <w:rFonts w:ascii="Sylfaen" w:hAnsi="Sylfaen"/>
          <w:sz w:val="24"/>
          <w:szCs w:val="24"/>
        </w:rPr>
      </w:pPr>
    </w:p>
    <w:p w14:paraId="1F8AAD67" w14:textId="77777777" w:rsidR="008C76E0" w:rsidRPr="00DD61E4" w:rsidRDefault="008C76E0" w:rsidP="004C0BC5">
      <w:pPr>
        <w:tabs>
          <w:tab w:val="left" w:pos="1418"/>
        </w:tabs>
        <w:spacing w:after="160" w:line="336" w:lineRule="auto"/>
        <w:ind w:right="-1" w:firstLine="567"/>
        <w:jc w:val="right"/>
        <w:rPr>
          <w:rFonts w:ascii="Sylfaen" w:hAnsi="Sylfaen"/>
          <w:sz w:val="24"/>
          <w:szCs w:val="24"/>
        </w:rPr>
      </w:pPr>
      <w:r w:rsidRPr="00BD7577">
        <w:rPr>
          <w:rFonts w:ascii="Sylfaen" w:hAnsi="Sylfaen"/>
          <w:sz w:val="24"/>
          <w:szCs w:val="24"/>
        </w:rPr>
        <w:t>Աղյուսակ P.1-1</w:t>
      </w:r>
    </w:p>
    <w:p w14:paraId="262B07CF" w14:textId="77777777" w:rsidR="008C76E0" w:rsidRPr="00DD61E4" w:rsidRDefault="008C76E0" w:rsidP="004C0BC5">
      <w:pPr>
        <w:tabs>
          <w:tab w:val="left" w:pos="1418"/>
        </w:tabs>
        <w:spacing w:after="160" w:line="336" w:lineRule="auto"/>
        <w:ind w:right="-1" w:firstLine="567"/>
        <w:jc w:val="right"/>
        <w:rPr>
          <w:rFonts w:ascii="Sylfaen" w:hAnsi="Sylfaen"/>
          <w:sz w:val="24"/>
          <w:szCs w:val="24"/>
        </w:rPr>
      </w:pPr>
    </w:p>
    <w:p w14:paraId="5BD75D4D" w14:textId="77777777" w:rsidR="008C76E0" w:rsidRPr="00BD7577" w:rsidRDefault="008C76E0" w:rsidP="004C0BC5">
      <w:pPr>
        <w:spacing w:after="160" w:line="336" w:lineRule="auto"/>
        <w:ind w:right="-1"/>
        <w:jc w:val="center"/>
        <w:rPr>
          <w:rFonts w:ascii="Sylfaen" w:hAnsi="Sylfaen"/>
          <w:sz w:val="24"/>
          <w:szCs w:val="24"/>
        </w:rPr>
      </w:pPr>
      <w:r w:rsidRPr="00BD7577">
        <w:rPr>
          <w:rFonts w:ascii="Sylfaen" w:hAnsi="Sylfaen"/>
          <w:sz w:val="24"/>
          <w:szCs w:val="24"/>
        </w:rPr>
        <w:t xml:space="preserve">&lt;Դեղապատրաստուկի անվանումը&gt; </w:t>
      </w:r>
      <w:r w:rsidRPr="00DD61E4">
        <w:rPr>
          <w:rFonts w:ascii="Sylfaen" w:hAnsi="Sylfaen"/>
          <w:sz w:val="24"/>
          <w:szCs w:val="24"/>
        </w:rPr>
        <w:br/>
      </w:r>
      <w:r w:rsidRPr="00BD7577">
        <w:rPr>
          <w:rFonts w:ascii="Sylfaen" w:hAnsi="Sylfaen"/>
          <w:sz w:val="24"/>
          <w:szCs w:val="24"/>
        </w:rPr>
        <w:t>ամբողջական բաղադրությունը</w:t>
      </w:r>
    </w:p>
    <w:tbl>
      <w:tblPr>
        <w:tblOverlap w:val="never"/>
        <w:tblW w:w="9596" w:type="dxa"/>
        <w:jc w:val="center"/>
        <w:tblLayout w:type="fixed"/>
        <w:tblCellMar>
          <w:left w:w="10" w:type="dxa"/>
          <w:right w:w="10" w:type="dxa"/>
        </w:tblCellMar>
        <w:tblLook w:val="04A0" w:firstRow="1" w:lastRow="0" w:firstColumn="1" w:lastColumn="0" w:noHBand="0" w:noVBand="1"/>
      </w:tblPr>
      <w:tblGrid>
        <w:gridCol w:w="1714"/>
        <w:gridCol w:w="994"/>
        <w:gridCol w:w="2270"/>
        <w:gridCol w:w="2266"/>
        <w:gridCol w:w="2352"/>
      </w:tblGrid>
      <w:tr w:rsidR="008C76E0" w:rsidRPr="00BD7577" w14:paraId="00BB392C" w14:textId="77777777" w:rsidTr="008C76E0">
        <w:trPr>
          <w:jc w:val="center"/>
        </w:trPr>
        <w:tc>
          <w:tcPr>
            <w:tcW w:w="1714" w:type="dxa"/>
            <w:tcBorders>
              <w:top w:val="single" w:sz="4" w:space="0" w:color="auto"/>
              <w:left w:val="single" w:sz="4" w:space="0" w:color="auto"/>
            </w:tcBorders>
            <w:shd w:val="clear" w:color="auto" w:fill="FFFFFF"/>
          </w:tcPr>
          <w:p w14:paraId="7023294A" w14:textId="77777777" w:rsidR="008C76E0" w:rsidRPr="00BD7577" w:rsidRDefault="008C76E0" w:rsidP="008C76E0">
            <w:pPr>
              <w:pStyle w:val="Bodytext180"/>
              <w:shd w:val="clear" w:color="auto" w:fill="auto"/>
              <w:spacing w:before="0" w:after="120" w:line="240" w:lineRule="auto"/>
              <w:ind w:left="145" w:right="57" w:firstLine="0"/>
              <w:jc w:val="center"/>
              <w:rPr>
                <w:rFonts w:ascii="Sylfaen" w:hAnsi="Sylfaen"/>
                <w:b w:val="0"/>
                <w:sz w:val="24"/>
                <w:szCs w:val="24"/>
              </w:rPr>
            </w:pPr>
            <w:r w:rsidRPr="00BD7577">
              <w:rPr>
                <w:rStyle w:val="Bodytext1811pt"/>
                <w:rFonts w:ascii="Sylfaen" w:hAnsi="Sylfaen"/>
                <w:sz w:val="24"/>
                <w:szCs w:val="24"/>
              </w:rPr>
              <w:t>Բաղադրիչը</w:t>
            </w:r>
          </w:p>
        </w:tc>
        <w:tc>
          <w:tcPr>
            <w:tcW w:w="994" w:type="dxa"/>
            <w:tcBorders>
              <w:top w:val="single" w:sz="4" w:space="0" w:color="auto"/>
              <w:left w:val="single" w:sz="4" w:space="0" w:color="auto"/>
            </w:tcBorders>
            <w:shd w:val="clear" w:color="auto" w:fill="FFFFFF"/>
          </w:tcPr>
          <w:p w14:paraId="0FF3DF51"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Հղում ՆՓ-ին</w:t>
            </w:r>
          </w:p>
        </w:tc>
        <w:tc>
          <w:tcPr>
            <w:tcW w:w="2270" w:type="dxa"/>
            <w:tcBorders>
              <w:top w:val="single" w:sz="4" w:space="0" w:color="auto"/>
              <w:left w:val="single" w:sz="4" w:space="0" w:color="auto"/>
            </w:tcBorders>
            <w:shd w:val="clear" w:color="auto" w:fill="FFFFFF"/>
            <w:vAlign w:val="bottom"/>
          </w:tcPr>
          <w:p w14:paraId="19CADB67"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&lt;Անվանումը&gt; Քանակը (&lt;անվանումը&gt;)</w:t>
            </w:r>
          </w:p>
        </w:tc>
        <w:tc>
          <w:tcPr>
            <w:tcW w:w="2266" w:type="dxa"/>
            <w:tcBorders>
              <w:top w:val="single" w:sz="4" w:space="0" w:color="auto"/>
              <w:left w:val="single" w:sz="4" w:space="0" w:color="auto"/>
            </w:tcBorders>
            <w:shd w:val="clear" w:color="auto" w:fill="FFFFFF"/>
            <w:vAlign w:val="bottom"/>
          </w:tcPr>
          <w:p w14:paraId="164FC202"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&lt;Անվանումը&gt; Քանակը (&lt;անվանումը&gt;)</w:t>
            </w:r>
          </w:p>
        </w:tc>
        <w:tc>
          <w:tcPr>
            <w:tcW w:w="2352" w:type="dxa"/>
            <w:tcBorders>
              <w:top w:val="single" w:sz="4" w:space="0" w:color="auto"/>
              <w:left w:val="single" w:sz="4" w:space="0" w:color="auto"/>
              <w:right w:val="single" w:sz="4" w:space="0" w:color="auto"/>
            </w:tcBorders>
            <w:shd w:val="clear" w:color="auto" w:fill="FFFFFF"/>
          </w:tcPr>
          <w:p w14:paraId="0CD27410"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Գործառույթը</w:t>
            </w:r>
          </w:p>
        </w:tc>
      </w:tr>
      <w:tr w:rsidR="008C76E0" w:rsidRPr="00BD7577" w14:paraId="7825832A" w14:textId="77777777" w:rsidTr="008C76E0">
        <w:trPr>
          <w:jc w:val="center"/>
        </w:trPr>
        <w:tc>
          <w:tcPr>
            <w:tcW w:w="1714" w:type="dxa"/>
            <w:tcBorders>
              <w:top w:val="single" w:sz="4" w:space="0" w:color="auto"/>
              <w:left w:val="single" w:sz="4" w:space="0" w:color="auto"/>
            </w:tcBorders>
            <w:shd w:val="clear" w:color="auto" w:fill="FFFFFF"/>
          </w:tcPr>
          <w:p w14:paraId="298CF8AB"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202C8DFE"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68500E65"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624514F7"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vAlign w:val="bottom"/>
          </w:tcPr>
          <w:p w14:paraId="0F4228D7" w14:textId="77777777" w:rsidR="008C76E0" w:rsidRPr="00BD7577" w:rsidRDefault="008C76E0" w:rsidP="008C76E0">
            <w:pPr>
              <w:pStyle w:val="Bodytext180"/>
              <w:shd w:val="clear" w:color="auto" w:fill="auto"/>
              <w:spacing w:before="0" w:after="120" w:line="240" w:lineRule="auto"/>
              <w:ind w:left="97" w:right="109" w:firstLine="0"/>
              <w:jc w:val="both"/>
              <w:rPr>
                <w:rFonts w:ascii="Sylfaen" w:hAnsi="Sylfaen"/>
                <w:b w:val="0"/>
                <w:sz w:val="24"/>
                <w:szCs w:val="24"/>
              </w:rPr>
            </w:pPr>
            <w:r w:rsidRPr="00BD7577">
              <w:rPr>
                <w:rStyle w:val="Bodytext1811pt"/>
                <w:rFonts w:ascii="Sylfaen" w:hAnsi="Sylfaen"/>
                <w:sz w:val="24"/>
                <w:szCs w:val="24"/>
              </w:rPr>
              <w:t>ակտիվ նյութը</w:t>
            </w:r>
          </w:p>
        </w:tc>
      </w:tr>
      <w:tr w:rsidR="008C76E0" w:rsidRPr="00BD7577" w14:paraId="2BEB30AA" w14:textId="77777777" w:rsidTr="008C76E0">
        <w:trPr>
          <w:jc w:val="center"/>
        </w:trPr>
        <w:tc>
          <w:tcPr>
            <w:tcW w:w="1714" w:type="dxa"/>
            <w:tcBorders>
              <w:top w:val="single" w:sz="4" w:space="0" w:color="auto"/>
              <w:left w:val="single" w:sz="4" w:space="0" w:color="auto"/>
            </w:tcBorders>
            <w:shd w:val="clear" w:color="auto" w:fill="FFFFFF"/>
          </w:tcPr>
          <w:p w14:paraId="5225D1E6"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0FF25746"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5F0ACF6D"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3CC46EE0"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tcPr>
          <w:p w14:paraId="56DE5EE4" w14:textId="77777777" w:rsidR="008C76E0" w:rsidRPr="00BD7577" w:rsidRDefault="008C76E0" w:rsidP="008C76E0">
            <w:pPr>
              <w:spacing w:after="120" w:line="240" w:lineRule="auto"/>
              <w:ind w:right="-1"/>
              <w:jc w:val="both"/>
              <w:rPr>
                <w:rFonts w:ascii="Sylfaen" w:hAnsi="Sylfaen"/>
                <w:sz w:val="24"/>
                <w:szCs w:val="24"/>
              </w:rPr>
            </w:pPr>
          </w:p>
        </w:tc>
      </w:tr>
      <w:tr w:rsidR="008C76E0" w:rsidRPr="00BD7577" w14:paraId="71147F80" w14:textId="77777777" w:rsidTr="008C76E0">
        <w:trPr>
          <w:jc w:val="center"/>
        </w:trPr>
        <w:tc>
          <w:tcPr>
            <w:tcW w:w="1714" w:type="dxa"/>
            <w:tcBorders>
              <w:top w:val="single" w:sz="4" w:space="0" w:color="auto"/>
              <w:left w:val="single" w:sz="4" w:space="0" w:color="auto"/>
            </w:tcBorders>
            <w:shd w:val="clear" w:color="auto" w:fill="FFFFFF"/>
          </w:tcPr>
          <w:p w14:paraId="78B6A972"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128F6364"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21E4B93D"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5EA31EB1"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tcPr>
          <w:p w14:paraId="32DD5BB8" w14:textId="77777777" w:rsidR="008C76E0" w:rsidRPr="00BD7577" w:rsidRDefault="008C76E0" w:rsidP="008C76E0">
            <w:pPr>
              <w:spacing w:after="120" w:line="240" w:lineRule="auto"/>
              <w:ind w:right="-1"/>
              <w:jc w:val="both"/>
              <w:rPr>
                <w:rFonts w:ascii="Sylfaen" w:hAnsi="Sylfaen"/>
                <w:sz w:val="24"/>
                <w:szCs w:val="24"/>
              </w:rPr>
            </w:pPr>
          </w:p>
        </w:tc>
      </w:tr>
      <w:tr w:rsidR="008C76E0" w:rsidRPr="00BD7577" w14:paraId="1CFF6B96" w14:textId="77777777" w:rsidTr="008C76E0">
        <w:trPr>
          <w:jc w:val="center"/>
        </w:trPr>
        <w:tc>
          <w:tcPr>
            <w:tcW w:w="1714" w:type="dxa"/>
            <w:tcBorders>
              <w:top w:val="single" w:sz="4" w:space="0" w:color="auto"/>
              <w:left w:val="single" w:sz="4" w:space="0" w:color="auto"/>
              <w:bottom w:val="single" w:sz="4" w:space="0" w:color="auto"/>
            </w:tcBorders>
            <w:shd w:val="clear" w:color="auto" w:fill="FFFFFF"/>
          </w:tcPr>
          <w:p w14:paraId="3A6C53A7"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bottom w:val="single" w:sz="4" w:space="0" w:color="auto"/>
            </w:tcBorders>
            <w:shd w:val="clear" w:color="auto" w:fill="FFFFFF"/>
          </w:tcPr>
          <w:p w14:paraId="68D1F4C6"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bottom w:val="single" w:sz="4" w:space="0" w:color="auto"/>
            </w:tcBorders>
            <w:shd w:val="clear" w:color="auto" w:fill="FFFFFF"/>
          </w:tcPr>
          <w:p w14:paraId="59A8383B"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bottom w:val="single" w:sz="4" w:space="0" w:color="auto"/>
            </w:tcBorders>
            <w:shd w:val="clear" w:color="auto" w:fill="FFFFFF"/>
          </w:tcPr>
          <w:p w14:paraId="25820348"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07C49E74" w14:textId="77777777" w:rsidR="008C76E0" w:rsidRPr="00BD7577" w:rsidRDefault="008C76E0" w:rsidP="008C76E0">
            <w:pPr>
              <w:spacing w:after="120" w:line="240" w:lineRule="auto"/>
              <w:ind w:right="-1"/>
              <w:jc w:val="both"/>
              <w:rPr>
                <w:rFonts w:ascii="Sylfaen" w:hAnsi="Sylfaen"/>
                <w:sz w:val="24"/>
                <w:szCs w:val="24"/>
              </w:rPr>
            </w:pPr>
          </w:p>
        </w:tc>
      </w:tr>
    </w:tbl>
    <w:p w14:paraId="0DCF09C0" w14:textId="67682A12" w:rsidR="008C76E0" w:rsidRPr="008C76E0" w:rsidRDefault="008C76E0" w:rsidP="008C76E0">
      <w:pPr>
        <w:pStyle w:val="Tablecaption30"/>
        <w:shd w:val="clear" w:color="auto" w:fill="auto"/>
        <w:spacing w:after="160" w:line="360" w:lineRule="auto"/>
        <w:ind w:left="2268" w:right="-1" w:hanging="2268"/>
        <w:jc w:val="both"/>
        <w:rPr>
          <w:rFonts w:ascii="Sylfaen" w:hAnsi="Sylfaen"/>
          <w:sz w:val="24"/>
          <w:szCs w:val="24"/>
          <w:lang w:val="hy-AM"/>
        </w:rPr>
      </w:pPr>
      <w:r w:rsidRPr="008C76E0">
        <w:rPr>
          <w:rFonts w:ascii="Sylfaen" w:hAnsi="Sylfaen"/>
          <w:sz w:val="24"/>
          <w:szCs w:val="24"/>
          <w:lang w:val="hy-AM"/>
        </w:rPr>
        <w:lastRenderedPageBreak/>
        <w:t xml:space="preserve">Ծանոթագրություն: Դոզավորման սանդղակի գրանցման ժամանակ «&lt;Անվանում&gt; Քանակ (&lt;անվանում&gt;)» սյունակների թիվը համապատասխանում է գրանցման համար </w:t>
      </w:r>
      <w:r w:rsidR="0056496B">
        <w:rPr>
          <w:rFonts w:ascii="Sylfaen" w:hAnsi="Sylfaen"/>
          <w:sz w:val="24"/>
          <w:szCs w:val="24"/>
          <w:lang w:val="hy-AM"/>
        </w:rPr>
        <w:t>դիմում</w:t>
      </w:r>
      <w:r w:rsidRPr="008C76E0">
        <w:rPr>
          <w:rFonts w:ascii="Sylfaen" w:hAnsi="Sylfaen"/>
          <w:sz w:val="24"/>
          <w:szCs w:val="24"/>
          <w:lang w:val="hy-AM"/>
        </w:rPr>
        <w:t>ագրվող դոզավորումների թվին։</w:t>
      </w:r>
    </w:p>
    <w:tbl>
      <w:tblPr>
        <w:tblOverlap w:val="never"/>
        <w:tblW w:w="9055" w:type="dxa"/>
        <w:jc w:val="center"/>
        <w:tblLayout w:type="fixed"/>
        <w:tblCellMar>
          <w:left w:w="10" w:type="dxa"/>
          <w:right w:w="10" w:type="dxa"/>
        </w:tblCellMar>
        <w:tblLook w:val="04A0" w:firstRow="1" w:lastRow="0" w:firstColumn="1" w:lastColumn="0" w:noHBand="0" w:noVBand="1"/>
      </w:tblPr>
      <w:tblGrid>
        <w:gridCol w:w="9055"/>
      </w:tblGrid>
      <w:tr w:rsidR="008C76E0" w:rsidRPr="00BD7577" w14:paraId="092D0A4C" w14:textId="77777777" w:rsidTr="008C76E0">
        <w:trPr>
          <w:jc w:val="center"/>
        </w:trPr>
        <w:tc>
          <w:tcPr>
            <w:tcW w:w="9055" w:type="dxa"/>
            <w:tcBorders>
              <w:top w:val="single" w:sz="4" w:space="0" w:color="auto"/>
              <w:left w:val="single" w:sz="4" w:space="0" w:color="auto"/>
              <w:right w:val="single" w:sz="4" w:space="0" w:color="auto"/>
            </w:tcBorders>
            <w:shd w:val="clear" w:color="auto" w:fill="FFFFFF"/>
            <w:vAlign w:val="bottom"/>
          </w:tcPr>
          <w:p w14:paraId="5AB5BD53" w14:textId="77777777" w:rsidR="008C76E0" w:rsidRPr="00BD7577" w:rsidRDefault="008C76E0" w:rsidP="008C76E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7291804C" w14:textId="77777777" w:rsidTr="008C76E0">
        <w:trPr>
          <w:jc w:val="center"/>
        </w:trPr>
        <w:tc>
          <w:tcPr>
            <w:tcW w:w="9055" w:type="dxa"/>
            <w:tcBorders>
              <w:top w:val="single" w:sz="4" w:space="0" w:color="auto"/>
              <w:left w:val="single" w:sz="4" w:space="0" w:color="auto"/>
              <w:right w:val="single" w:sz="4" w:space="0" w:color="auto"/>
            </w:tcBorders>
            <w:shd w:val="clear" w:color="auto" w:fill="FFFFFF"/>
          </w:tcPr>
          <w:p w14:paraId="1FF0C3BA" w14:textId="77777777" w:rsidR="008C76E0" w:rsidRPr="00BD7577" w:rsidRDefault="008C76E0" w:rsidP="008C76E0">
            <w:pPr>
              <w:ind w:right="-1"/>
              <w:jc w:val="both"/>
              <w:rPr>
                <w:rFonts w:ascii="Sylfaen" w:hAnsi="Sylfaen"/>
                <w:sz w:val="24"/>
                <w:szCs w:val="24"/>
                <w:highlight w:val="yellow"/>
              </w:rPr>
            </w:pPr>
          </w:p>
        </w:tc>
      </w:tr>
      <w:tr w:rsidR="008C76E0" w:rsidRPr="00BD7577" w14:paraId="6FF085E5" w14:textId="77777777" w:rsidTr="008C76E0">
        <w:trPr>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tcPr>
          <w:p w14:paraId="52F3D99F" w14:textId="77777777" w:rsidR="008C76E0" w:rsidRPr="00BD7577" w:rsidRDefault="008C76E0" w:rsidP="008C76E0">
            <w:pPr>
              <w:ind w:right="-1"/>
              <w:jc w:val="both"/>
              <w:rPr>
                <w:rFonts w:ascii="Sylfaen" w:hAnsi="Sylfaen"/>
                <w:sz w:val="24"/>
                <w:szCs w:val="24"/>
              </w:rPr>
            </w:pPr>
          </w:p>
        </w:tc>
      </w:tr>
    </w:tbl>
    <w:p w14:paraId="794D99EC" w14:textId="77777777" w:rsidR="008C76E0" w:rsidRPr="00BD7577" w:rsidRDefault="008C76E0" w:rsidP="008C76E0">
      <w:pPr>
        <w:ind w:left="2268" w:right="-1" w:hanging="2268"/>
        <w:jc w:val="both"/>
        <w:rPr>
          <w:rFonts w:ascii="Sylfaen" w:hAnsi="Sylfaen"/>
          <w:sz w:val="24"/>
          <w:szCs w:val="24"/>
        </w:rPr>
      </w:pPr>
    </w:p>
    <w:p w14:paraId="3116FD21"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t>4.2. Դեղագործական մշակումը (մոդուլ 3.2.Р.2)</w:t>
      </w:r>
    </w:p>
    <w:p w14:paraId="59F9A158"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w:t>
      </w:r>
      <w:r w:rsidRPr="00BD7577">
        <w:rPr>
          <w:rFonts w:ascii="Sylfaen" w:hAnsi="Sylfaen"/>
          <w:sz w:val="24"/>
          <w:szCs w:val="24"/>
        </w:rPr>
        <w:tab/>
        <w:t>Դեղապատրաստուկի բաղադրիչները (բաժին Р.2.1).</w:t>
      </w:r>
    </w:p>
    <w:p w14:paraId="58AF9C50"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40C7FC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8DEF0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177FD7"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4.2.2.</w:t>
      </w:r>
      <w:r w:rsidRPr="00BD7577">
        <w:rPr>
          <w:rFonts w:ascii="Sylfaen" w:hAnsi="Sylfaen"/>
          <w:sz w:val="24"/>
          <w:szCs w:val="24"/>
        </w:rPr>
        <w:tab/>
        <w:t>Ակտիվ դեղագործական բաղադրամասը (բաժին Р.2.1.1)</w:t>
      </w:r>
    </w:p>
    <w:p w14:paraId="3E901999"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32C8C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4DCEC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02FA5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4.2.3.</w:t>
      </w:r>
      <w:r w:rsidRPr="00BD7577">
        <w:rPr>
          <w:rFonts w:ascii="Sylfaen" w:hAnsi="Sylfaen"/>
          <w:sz w:val="24"/>
          <w:szCs w:val="24"/>
        </w:rPr>
        <w:tab/>
        <w:t>Օժանդակ նյութերը (բաժին Р.2.1.2)։</w:t>
      </w:r>
    </w:p>
    <w:p w14:paraId="0D49D4A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4702C10"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7533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20AAA4"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4.2.4.</w:t>
      </w:r>
      <w:r w:rsidRPr="00BD7577">
        <w:rPr>
          <w:rFonts w:ascii="Sylfaen" w:hAnsi="Sylfaen"/>
          <w:sz w:val="24"/>
          <w:szCs w:val="24"/>
        </w:rPr>
        <w:tab/>
        <w:t>Դեղապատրաստուկը (բաժին P.2.2)։</w:t>
      </w:r>
    </w:p>
    <w:p w14:paraId="7B3F35D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302226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43EF597C"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048B221"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4.2.5.</w:t>
      </w:r>
      <w:r w:rsidRPr="00BD7577">
        <w:rPr>
          <w:rFonts w:ascii="Sylfaen" w:hAnsi="Sylfaen"/>
          <w:sz w:val="24"/>
          <w:szCs w:val="24"/>
        </w:rPr>
        <w:tab/>
        <w:t>Դեղաձ</w:t>
      </w:r>
      <w:r w:rsidR="00C54D75">
        <w:rPr>
          <w:rFonts w:ascii="Sylfaen" w:hAnsi="Sylfaen"/>
          <w:sz w:val="24"/>
          <w:szCs w:val="24"/>
        </w:rPr>
        <w:t>և</w:t>
      </w:r>
      <w:r w:rsidRPr="00BD7577">
        <w:rPr>
          <w:rFonts w:ascii="Sylfaen" w:hAnsi="Sylfaen"/>
          <w:sz w:val="24"/>
          <w:szCs w:val="24"/>
        </w:rPr>
        <w:t>ի մշակումը (բաժին P.2.2.1)։</w:t>
      </w:r>
    </w:p>
    <w:p w14:paraId="0FE66BC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C1E905"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B1526F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5852D93" w14:textId="77777777" w:rsidR="008C76E0" w:rsidRPr="00BD7577" w:rsidRDefault="008C76E0" w:rsidP="00D002A4">
      <w:pPr>
        <w:spacing w:after="160" w:line="360" w:lineRule="auto"/>
        <w:ind w:right="-1" w:firstLine="567"/>
        <w:jc w:val="both"/>
        <w:rPr>
          <w:rFonts w:ascii="Sylfaen" w:hAnsi="Sylfaen"/>
          <w:sz w:val="24"/>
          <w:szCs w:val="24"/>
        </w:rPr>
      </w:pPr>
      <w:r w:rsidRPr="00BD7577">
        <w:rPr>
          <w:rFonts w:ascii="Sylfaen" w:hAnsi="Sylfaen"/>
          <w:sz w:val="24"/>
          <w:szCs w:val="24"/>
        </w:rPr>
        <w:t>Կենսահամարժեքության հետազոտությունն ու ռեֆերենտ պատրաստուկը կամ դեղաձ</w:t>
      </w:r>
      <w:r w:rsidR="00C54D75">
        <w:rPr>
          <w:rFonts w:ascii="Sylfaen" w:hAnsi="Sylfaen"/>
          <w:sz w:val="24"/>
          <w:szCs w:val="24"/>
        </w:rPr>
        <w:t>և</w:t>
      </w:r>
      <w:r w:rsidRPr="00BD7577">
        <w:rPr>
          <w:rFonts w:ascii="Sylfaen" w:hAnsi="Sylfaen"/>
          <w:sz w:val="24"/>
          <w:szCs w:val="24"/>
        </w:rPr>
        <w:t>ի կլինիկական մշակումը</w:t>
      </w:r>
    </w:p>
    <w:p w14:paraId="61321154"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4.2.6.</w:t>
      </w:r>
      <w:r w:rsidRPr="00BD7577">
        <w:rPr>
          <w:rFonts w:ascii="Sylfaen" w:hAnsi="Sylfaen"/>
          <w:sz w:val="24"/>
          <w:szCs w:val="24"/>
        </w:rPr>
        <w:tab/>
        <w:t>Արտադրական ավելցուկները (բաժին P.2.2.2)։</w:t>
      </w:r>
    </w:p>
    <w:p w14:paraId="58CFB4CE"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358354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9FFC019"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7975D8"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4.2.7.</w:t>
      </w:r>
      <w:r w:rsidRPr="00BD7577">
        <w:rPr>
          <w:rFonts w:ascii="Sylfaen" w:hAnsi="Sylfaen"/>
          <w:sz w:val="24"/>
          <w:szCs w:val="24"/>
        </w:rPr>
        <w:tab/>
        <w:t xml:space="preserve">Ֆիզիկաքիմիական </w:t>
      </w:r>
      <w:r w:rsidR="00C54D75">
        <w:rPr>
          <w:rFonts w:ascii="Sylfaen" w:hAnsi="Sylfaen"/>
          <w:sz w:val="24"/>
          <w:szCs w:val="24"/>
        </w:rPr>
        <w:t>և</w:t>
      </w:r>
      <w:r w:rsidRPr="00BD7577">
        <w:rPr>
          <w:rFonts w:ascii="Sylfaen" w:hAnsi="Sylfaen"/>
          <w:sz w:val="24"/>
          <w:szCs w:val="24"/>
        </w:rPr>
        <w:t xml:space="preserve"> կենսաբանական հատկությունները (բաժին P.2.2.3)։</w:t>
      </w:r>
    </w:p>
    <w:p w14:paraId="25AAB57D"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10143F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899467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197CD"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4.2.8.</w:t>
      </w:r>
      <w:r w:rsidRPr="00BD7577">
        <w:rPr>
          <w:rFonts w:ascii="Sylfaen" w:hAnsi="Sylfaen"/>
          <w:sz w:val="24"/>
          <w:szCs w:val="24"/>
        </w:rPr>
        <w:tab/>
        <w:t>Արտադրական գործընթացի մշակումը (բաժին P.2.3)։</w:t>
      </w:r>
    </w:p>
    <w:p w14:paraId="7899795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D232E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4F80928"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842EAD"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4.2.9.</w:t>
      </w:r>
      <w:r w:rsidRPr="00BD7577">
        <w:rPr>
          <w:rFonts w:ascii="Sylfaen" w:hAnsi="Sylfaen"/>
          <w:sz w:val="24"/>
          <w:szCs w:val="24"/>
        </w:rPr>
        <w:tab/>
        <w:t>Փաթեթավորման (խցանափակման) համակարգը (բաժին P.2.4)։</w:t>
      </w:r>
    </w:p>
    <w:p w14:paraId="3BFF994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7A94C4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4E0452B"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CA426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4.2.10.</w:t>
      </w:r>
      <w:r w:rsidRPr="00BD7577">
        <w:rPr>
          <w:rFonts w:ascii="Sylfaen" w:hAnsi="Sylfaen"/>
          <w:sz w:val="24"/>
          <w:szCs w:val="24"/>
        </w:rPr>
        <w:tab/>
        <w:t>Միկրոկենսաբանական բնութագրերը (բաժին P.2.5)։</w:t>
      </w:r>
    </w:p>
    <w:p w14:paraId="3C61998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74C51B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E7F31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655467"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4.2.11.</w:t>
      </w:r>
      <w:r w:rsidRPr="00BD7577">
        <w:rPr>
          <w:rFonts w:ascii="Sylfaen" w:hAnsi="Sylfaen"/>
          <w:sz w:val="24"/>
          <w:szCs w:val="24"/>
        </w:rPr>
        <w:tab/>
        <w:t>Համատեղելիությունը (բաժին P.2.6)։</w:t>
      </w:r>
    </w:p>
    <w:p w14:paraId="1063E337"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31068C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8FA1A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38BAEEB2"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2C39994D"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7661A0F2"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766406B1"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2E494D83"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1A684C71" w14:textId="77777777" w:rsidR="008C76E0" w:rsidRPr="00BD7577" w:rsidRDefault="008C76E0" w:rsidP="00D002A4">
            <w:pPr>
              <w:spacing w:after="160" w:line="360" w:lineRule="auto"/>
              <w:ind w:right="-1"/>
              <w:jc w:val="both"/>
              <w:rPr>
                <w:rFonts w:ascii="Sylfaen" w:hAnsi="Sylfaen"/>
                <w:sz w:val="24"/>
                <w:szCs w:val="24"/>
              </w:rPr>
            </w:pPr>
          </w:p>
        </w:tc>
      </w:tr>
    </w:tbl>
    <w:p w14:paraId="4D2F78D9" w14:textId="77777777" w:rsidR="008C76E0" w:rsidRDefault="008C76E0" w:rsidP="00D002A4">
      <w:pPr>
        <w:spacing w:after="160" w:line="360" w:lineRule="auto"/>
        <w:ind w:left="567" w:right="566"/>
        <w:jc w:val="center"/>
        <w:rPr>
          <w:rFonts w:ascii="Sylfaen" w:hAnsi="Sylfaen"/>
          <w:sz w:val="24"/>
          <w:szCs w:val="24"/>
          <w:lang w:val="en-US"/>
        </w:rPr>
      </w:pPr>
    </w:p>
    <w:p w14:paraId="313C0A01"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t>4.3. Դեղապատրաստուկի արտադրության գործընթացը (մոդուլ 3.2.P.3)</w:t>
      </w:r>
    </w:p>
    <w:p w14:paraId="675894C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4.3.1.</w:t>
      </w:r>
      <w:r w:rsidRPr="00BD7577">
        <w:rPr>
          <w:rFonts w:ascii="Sylfaen" w:hAnsi="Sylfaen"/>
          <w:sz w:val="24"/>
          <w:szCs w:val="24"/>
        </w:rPr>
        <w:tab/>
        <w:t>Արտադրողները (բաժին P.3.1)։</w:t>
      </w:r>
    </w:p>
    <w:p w14:paraId="4C50EDB6"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7BC4146"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20F251"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FD101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4.3.2.</w:t>
      </w:r>
      <w:r w:rsidRPr="00BD7577">
        <w:rPr>
          <w:rFonts w:ascii="Sylfaen" w:hAnsi="Sylfaen"/>
          <w:sz w:val="24"/>
          <w:szCs w:val="24"/>
        </w:rPr>
        <w:tab/>
        <w:t>Սերիայի բաղադրությունը (արտադրական դեղագրությունը) (բաժին P.3.2):</w:t>
      </w:r>
    </w:p>
    <w:p w14:paraId="755F86E4"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C6C3A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204D9E97"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CC9B92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4.3.3.</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(բաժին Р.3.3)։</w:t>
      </w:r>
    </w:p>
    <w:p w14:paraId="41D0229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8CCFC5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AFA440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E102B31"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4.3.4.</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 (բաժին Р.3.4)։</w:t>
      </w:r>
    </w:p>
    <w:p w14:paraId="1D55B332"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BC84812"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D81E29C"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ADF4F1F" w14:textId="77777777" w:rsidR="00887430" w:rsidRPr="00E15E7D" w:rsidRDefault="00887430" w:rsidP="00D002A4">
      <w:pPr>
        <w:tabs>
          <w:tab w:val="left" w:pos="1701"/>
        </w:tabs>
        <w:spacing w:after="160" w:line="360" w:lineRule="auto"/>
        <w:ind w:right="-1" w:firstLine="567"/>
        <w:jc w:val="both"/>
        <w:rPr>
          <w:rFonts w:ascii="Sylfaen" w:hAnsi="Sylfaen"/>
          <w:sz w:val="24"/>
          <w:szCs w:val="24"/>
        </w:rPr>
      </w:pPr>
    </w:p>
    <w:p w14:paraId="33EB0093"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4.3.5.</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 (բաժին Р.3.5)։</w:t>
      </w:r>
    </w:p>
    <w:p w14:paraId="5981D69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12AB8F"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84C701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5E85ADEB"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47749505"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1837D15F"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496DE6B0"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1BCC4521"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3067DE6A" w14:textId="77777777" w:rsidR="008C76E0" w:rsidRPr="00BD7577" w:rsidRDefault="008C76E0" w:rsidP="00D002A4">
            <w:pPr>
              <w:spacing w:after="160" w:line="360" w:lineRule="auto"/>
              <w:ind w:right="-1"/>
              <w:jc w:val="both"/>
              <w:rPr>
                <w:rFonts w:ascii="Sylfaen" w:hAnsi="Sylfaen"/>
                <w:sz w:val="24"/>
                <w:szCs w:val="24"/>
              </w:rPr>
            </w:pPr>
          </w:p>
        </w:tc>
      </w:tr>
    </w:tbl>
    <w:p w14:paraId="0684B472" w14:textId="77777777" w:rsidR="004C0BC5" w:rsidRDefault="004C0BC5" w:rsidP="00D002A4">
      <w:pPr>
        <w:spacing w:after="160" w:line="360" w:lineRule="auto"/>
        <w:ind w:right="-1" w:firstLine="567"/>
        <w:jc w:val="both"/>
        <w:rPr>
          <w:rFonts w:ascii="Sylfaen" w:hAnsi="Sylfaen"/>
          <w:sz w:val="24"/>
          <w:szCs w:val="24"/>
          <w:lang w:val="en-US"/>
        </w:rPr>
      </w:pPr>
    </w:p>
    <w:p w14:paraId="2C0B2865" w14:textId="77777777" w:rsidR="004C0BC5" w:rsidRDefault="004C0BC5">
      <w:pPr>
        <w:widowControl/>
        <w:rPr>
          <w:rFonts w:ascii="Sylfaen" w:hAnsi="Sylfaen"/>
          <w:sz w:val="24"/>
          <w:szCs w:val="24"/>
          <w:lang w:val="en-US"/>
        </w:rPr>
      </w:pPr>
      <w:r>
        <w:rPr>
          <w:rFonts w:ascii="Sylfaen" w:hAnsi="Sylfaen"/>
          <w:sz w:val="24"/>
          <w:szCs w:val="24"/>
          <w:lang w:val="en-US"/>
        </w:rPr>
        <w:br w:type="page"/>
      </w:r>
    </w:p>
    <w:p w14:paraId="43198042"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lastRenderedPageBreak/>
        <w:t>4.4. Օժանդակ նյութերի որակի հսկողությունը (մոդուլ 3.2.Р.4)</w:t>
      </w:r>
    </w:p>
    <w:p w14:paraId="445A4E73"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4.4.1.</w:t>
      </w:r>
      <w:r w:rsidRPr="00BD7577">
        <w:rPr>
          <w:rFonts w:ascii="Sylfaen" w:hAnsi="Sylfaen"/>
          <w:sz w:val="24"/>
          <w:szCs w:val="24"/>
        </w:rPr>
        <w:tab/>
        <w:t>Մասնագիրը (բաժին Р.4.1)։</w:t>
      </w:r>
    </w:p>
    <w:p w14:paraId="57806FE3"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55136B2"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AC45B2"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FAA165"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4.4.2.</w:t>
      </w:r>
      <w:r w:rsidRPr="00BD7577">
        <w:rPr>
          <w:rFonts w:ascii="Sylfaen" w:hAnsi="Sylfaen"/>
          <w:sz w:val="24"/>
          <w:szCs w:val="24"/>
        </w:rPr>
        <w:tab/>
        <w:t>Վերլուծական մեթոդիկաները (բաժին Р.4.2)։</w:t>
      </w:r>
    </w:p>
    <w:p w14:paraId="480E7077"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FD57B9"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1B53E2"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96DF2B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4.4.3.</w:t>
      </w:r>
      <w:r w:rsidRPr="00BD7577">
        <w:rPr>
          <w:rFonts w:ascii="Sylfaen" w:hAnsi="Sylfaen"/>
          <w:sz w:val="24"/>
          <w:szCs w:val="24"/>
        </w:rPr>
        <w:tab/>
        <w:t>Վերլուծական մեթոդիկաների վալիդացումը (բաժինР.4.3)։</w:t>
      </w:r>
    </w:p>
    <w:p w14:paraId="5A057314"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E1CB83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D493D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C3861D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4.4.4.</w:t>
      </w:r>
      <w:r w:rsidRPr="00BD7577">
        <w:rPr>
          <w:rFonts w:ascii="Sylfaen" w:hAnsi="Sylfaen"/>
          <w:sz w:val="24"/>
          <w:szCs w:val="24"/>
        </w:rPr>
        <w:tab/>
        <w:t>Մասնագրերի հիմնավորումը (բաժին Р.4.4)։</w:t>
      </w:r>
    </w:p>
    <w:p w14:paraId="2A0F556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94CC68F"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6A29E1"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0D54C9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4.4.5.</w:t>
      </w:r>
      <w:r w:rsidRPr="00BD7577">
        <w:rPr>
          <w:rFonts w:ascii="Sylfaen" w:hAnsi="Sylfaen"/>
          <w:sz w:val="24"/>
          <w:szCs w:val="24"/>
        </w:rPr>
        <w:tab/>
        <w:t xml:space="preserve">Մարդկային </w:t>
      </w:r>
      <w:r w:rsidR="00C54D75">
        <w:rPr>
          <w:rFonts w:ascii="Sylfaen" w:hAnsi="Sylfaen"/>
          <w:sz w:val="24"/>
          <w:szCs w:val="24"/>
        </w:rPr>
        <w:t>և</w:t>
      </w:r>
      <w:r w:rsidRPr="00BD7577">
        <w:rPr>
          <w:rFonts w:ascii="Sylfaen" w:hAnsi="Sylfaen"/>
          <w:sz w:val="24"/>
          <w:szCs w:val="24"/>
        </w:rPr>
        <w:t xml:space="preserve"> կենդանական ծագման օժանդակ նյութերը </w:t>
      </w:r>
      <w:r w:rsidRPr="00A30AAA">
        <w:rPr>
          <w:rFonts w:ascii="Sylfaen" w:hAnsi="Sylfaen"/>
          <w:sz w:val="24"/>
          <w:szCs w:val="24"/>
        </w:rPr>
        <w:br/>
      </w:r>
      <w:r w:rsidRPr="00BD7577">
        <w:rPr>
          <w:rFonts w:ascii="Sylfaen" w:hAnsi="Sylfaen"/>
          <w:sz w:val="24"/>
          <w:szCs w:val="24"/>
        </w:rPr>
        <w:t>(բաժին Р.4.5)։</w:t>
      </w:r>
    </w:p>
    <w:p w14:paraId="71E925D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85E53C6"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C0874D"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61393E6"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lastRenderedPageBreak/>
        <w:t>4.4.6.</w:t>
      </w:r>
      <w:r w:rsidRPr="00BD7577">
        <w:rPr>
          <w:rFonts w:ascii="Sylfaen" w:hAnsi="Sylfaen"/>
          <w:sz w:val="24"/>
          <w:szCs w:val="24"/>
        </w:rPr>
        <w:tab/>
        <w:t>Նոր օժանդակ նյութերը (բաժին Р.4.6)։</w:t>
      </w:r>
    </w:p>
    <w:p w14:paraId="681DD35E"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B429DE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AFADB0"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2263A933"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5FA6F075"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2299949F"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645EC432"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6020C815"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78E76529" w14:textId="77777777" w:rsidR="008C76E0" w:rsidRPr="00BD7577" w:rsidRDefault="008C76E0" w:rsidP="00D002A4">
            <w:pPr>
              <w:spacing w:after="160" w:line="360" w:lineRule="auto"/>
              <w:ind w:right="-1"/>
              <w:jc w:val="both"/>
              <w:rPr>
                <w:rFonts w:ascii="Sylfaen" w:hAnsi="Sylfaen"/>
                <w:sz w:val="24"/>
                <w:szCs w:val="24"/>
              </w:rPr>
            </w:pPr>
          </w:p>
        </w:tc>
      </w:tr>
    </w:tbl>
    <w:p w14:paraId="64A8C6F0" w14:textId="77777777" w:rsidR="008C76E0" w:rsidRDefault="008C76E0" w:rsidP="00D002A4">
      <w:pPr>
        <w:tabs>
          <w:tab w:val="left" w:pos="1418"/>
        </w:tabs>
        <w:spacing w:after="160" w:line="360" w:lineRule="auto"/>
        <w:ind w:right="-1" w:firstLine="567"/>
        <w:jc w:val="both"/>
        <w:rPr>
          <w:rFonts w:ascii="Sylfaen" w:hAnsi="Sylfaen"/>
          <w:sz w:val="24"/>
          <w:szCs w:val="24"/>
          <w:lang w:val="en-US"/>
        </w:rPr>
      </w:pPr>
    </w:p>
    <w:p w14:paraId="39E4C1F3" w14:textId="77777777" w:rsidR="008C76E0" w:rsidRPr="00BD7577" w:rsidRDefault="008C76E0" w:rsidP="00D002A4">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t>4.5. Դեղապատրաստուկի որակի հսկողությունը (մոդուլ 3.2.P.5 )</w:t>
      </w:r>
    </w:p>
    <w:p w14:paraId="17F15C2D" w14:textId="77777777" w:rsidR="008C76E0" w:rsidRPr="00DD61E4"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4.5.1.</w:t>
      </w:r>
      <w:r w:rsidRPr="00BD7577">
        <w:rPr>
          <w:rFonts w:ascii="Sylfaen" w:hAnsi="Sylfaen"/>
          <w:sz w:val="24"/>
          <w:szCs w:val="24"/>
        </w:rPr>
        <w:tab/>
        <w:t xml:space="preserve">Մասնագրերը (բաժին P.5.1)։ </w:t>
      </w:r>
    </w:p>
    <w:p w14:paraId="2169D61C" w14:textId="77777777" w:rsidR="008C76E0" w:rsidRPr="00E15E7D" w:rsidRDefault="008C76E0" w:rsidP="00D002A4">
      <w:pPr>
        <w:widowControl/>
        <w:spacing w:after="160" w:line="360" w:lineRule="auto"/>
        <w:rPr>
          <w:rFonts w:ascii="Sylfaen" w:hAnsi="Sylfaen"/>
          <w:sz w:val="24"/>
          <w:szCs w:val="24"/>
        </w:rPr>
      </w:pPr>
    </w:p>
    <w:p w14:paraId="7447A6A4" w14:textId="77777777" w:rsidR="008C76E0" w:rsidRPr="00BD7577" w:rsidRDefault="008C76E0" w:rsidP="00D002A4">
      <w:pPr>
        <w:spacing w:after="160" w:line="360" w:lineRule="auto"/>
        <w:ind w:right="-1"/>
        <w:jc w:val="right"/>
        <w:rPr>
          <w:rFonts w:ascii="Sylfaen" w:hAnsi="Sylfaen"/>
          <w:sz w:val="24"/>
          <w:szCs w:val="24"/>
        </w:rPr>
      </w:pPr>
      <w:r w:rsidRPr="00BD7577">
        <w:rPr>
          <w:rFonts w:ascii="Sylfaen" w:hAnsi="Sylfaen"/>
          <w:sz w:val="24"/>
          <w:szCs w:val="24"/>
        </w:rPr>
        <w:t>Աղյուսակ P. 5-1</w:t>
      </w:r>
    </w:p>
    <w:p w14:paraId="7BD0E3CD" w14:textId="77777777" w:rsidR="008C76E0" w:rsidRPr="00BD7577" w:rsidRDefault="008C76E0" w:rsidP="008C76E0">
      <w:pPr>
        <w:ind w:right="-1"/>
        <w:jc w:val="right"/>
        <w:rPr>
          <w:rFonts w:ascii="Sylfaen" w:hAnsi="Sylfaen"/>
          <w:sz w:val="24"/>
          <w:szCs w:val="24"/>
        </w:rPr>
      </w:pPr>
    </w:p>
    <w:p w14:paraId="17C023FD"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 xml:space="preserve">Բացթողման </w:t>
      </w:r>
      <w:r w:rsidR="00C54D75">
        <w:rPr>
          <w:rFonts w:ascii="Sylfaen" w:hAnsi="Sylfaen"/>
          <w:sz w:val="24"/>
          <w:szCs w:val="24"/>
        </w:rPr>
        <w:t>և</w:t>
      </w:r>
      <w:r w:rsidRPr="00BD7577">
        <w:rPr>
          <w:rFonts w:ascii="Sylfaen" w:hAnsi="Sylfaen"/>
          <w:sz w:val="24"/>
          <w:szCs w:val="24"/>
        </w:rPr>
        <w:t xml:space="preserve"> պահպանման ժամկետը լրանալու մասնագրերը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2549"/>
        <w:gridCol w:w="4195"/>
      </w:tblGrid>
      <w:tr w:rsidR="008C76E0" w:rsidRPr="00BD7577" w14:paraId="54D2E893" w14:textId="77777777" w:rsidTr="008C76E0">
        <w:trPr>
          <w:jc w:val="center"/>
        </w:trPr>
        <w:tc>
          <w:tcPr>
            <w:tcW w:w="2770" w:type="dxa"/>
            <w:tcBorders>
              <w:top w:val="single" w:sz="4" w:space="0" w:color="auto"/>
              <w:left w:val="single" w:sz="4" w:space="0" w:color="auto"/>
            </w:tcBorders>
            <w:shd w:val="clear" w:color="auto" w:fill="FFFFFF"/>
            <w:vAlign w:val="bottom"/>
          </w:tcPr>
          <w:p w14:paraId="413165C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Որակի ցուցանիշը</w:t>
            </w:r>
          </w:p>
        </w:tc>
        <w:tc>
          <w:tcPr>
            <w:tcW w:w="2549" w:type="dxa"/>
            <w:tcBorders>
              <w:top w:val="single" w:sz="4" w:space="0" w:color="auto"/>
              <w:left w:val="single" w:sz="4" w:space="0" w:color="auto"/>
            </w:tcBorders>
            <w:shd w:val="clear" w:color="auto" w:fill="FFFFFF"/>
            <w:vAlign w:val="bottom"/>
          </w:tcPr>
          <w:p w14:paraId="1F1A0DA3"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Փորձարկման մեթոդը</w:t>
            </w:r>
          </w:p>
        </w:tc>
        <w:tc>
          <w:tcPr>
            <w:tcW w:w="4195" w:type="dxa"/>
            <w:tcBorders>
              <w:top w:val="single" w:sz="4" w:space="0" w:color="auto"/>
              <w:left w:val="single" w:sz="4" w:space="0" w:color="auto"/>
              <w:right w:val="single" w:sz="4" w:space="0" w:color="auto"/>
            </w:tcBorders>
            <w:shd w:val="clear" w:color="auto" w:fill="FFFFFF"/>
            <w:vAlign w:val="bottom"/>
          </w:tcPr>
          <w:p w14:paraId="4589DC3D"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Թույլատրելի նորմերը</w:t>
            </w:r>
          </w:p>
        </w:tc>
      </w:tr>
      <w:tr w:rsidR="008C76E0" w:rsidRPr="00BD7577" w14:paraId="7EBB5CAF" w14:textId="77777777" w:rsidTr="008C76E0">
        <w:trPr>
          <w:jc w:val="center"/>
        </w:trPr>
        <w:tc>
          <w:tcPr>
            <w:tcW w:w="2770" w:type="dxa"/>
            <w:tcBorders>
              <w:top w:val="single" w:sz="4" w:space="0" w:color="auto"/>
              <w:left w:val="single" w:sz="4" w:space="0" w:color="auto"/>
            </w:tcBorders>
            <w:shd w:val="clear" w:color="auto" w:fill="FFFFFF"/>
          </w:tcPr>
          <w:p w14:paraId="3A313621"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0CF66AF4"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6471D9BF" w14:textId="77777777" w:rsidR="008C76E0" w:rsidRPr="00BD7577" w:rsidRDefault="008C76E0" w:rsidP="008C76E0">
            <w:pPr>
              <w:spacing w:after="120" w:line="240" w:lineRule="auto"/>
              <w:jc w:val="both"/>
              <w:rPr>
                <w:rFonts w:ascii="Sylfaen" w:hAnsi="Sylfaen"/>
                <w:sz w:val="24"/>
                <w:szCs w:val="24"/>
              </w:rPr>
            </w:pPr>
          </w:p>
        </w:tc>
      </w:tr>
      <w:tr w:rsidR="008C76E0" w:rsidRPr="00BD7577" w14:paraId="35842A07" w14:textId="77777777" w:rsidTr="008C76E0">
        <w:trPr>
          <w:jc w:val="center"/>
        </w:trPr>
        <w:tc>
          <w:tcPr>
            <w:tcW w:w="2770" w:type="dxa"/>
            <w:tcBorders>
              <w:top w:val="single" w:sz="4" w:space="0" w:color="auto"/>
              <w:left w:val="single" w:sz="4" w:space="0" w:color="auto"/>
            </w:tcBorders>
            <w:shd w:val="clear" w:color="auto" w:fill="FFFFFF"/>
          </w:tcPr>
          <w:p w14:paraId="74DF9FC8"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42019F63"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534C69D0" w14:textId="77777777" w:rsidR="008C76E0" w:rsidRPr="00BD7577" w:rsidRDefault="008C76E0" w:rsidP="008C76E0">
            <w:pPr>
              <w:spacing w:after="120" w:line="240" w:lineRule="auto"/>
              <w:jc w:val="both"/>
              <w:rPr>
                <w:rFonts w:ascii="Sylfaen" w:hAnsi="Sylfaen"/>
                <w:sz w:val="24"/>
                <w:szCs w:val="24"/>
              </w:rPr>
            </w:pPr>
          </w:p>
        </w:tc>
      </w:tr>
      <w:tr w:rsidR="008C76E0" w:rsidRPr="00BD7577" w14:paraId="05862906" w14:textId="77777777" w:rsidTr="008C76E0">
        <w:trPr>
          <w:jc w:val="center"/>
        </w:trPr>
        <w:tc>
          <w:tcPr>
            <w:tcW w:w="2770" w:type="dxa"/>
            <w:tcBorders>
              <w:top w:val="single" w:sz="4" w:space="0" w:color="auto"/>
              <w:left w:val="single" w:sz="4" w:space="0" w:color="auto"/>
            </w:tcBorders>
            <w:shd w:val="clear" w:color="auto" w:fill="FFFFFF"/>
          </w:tcPr>
          <w:p w14:paraId="2A4D23BD"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6C60D14A"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5949F699"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D8FB194" w14:textId="77777777" w:rsidTr="008C76E0">
        <w:trPr>
          <w:jc w:val="center"/>
        </w:trPr>
        <w:tc>
          <w:tcPr>
            <w:tcW w:w="2770" w:type="dxa"/>
            <w:tcBorders>
              <w:top w:val="single" w:sz="4" w:space="0" w:color="auto"/>
              <w:left w:val="single" w:sz="4" w:space="0" w:color="auto"/>
            </w:tcBorders>
            <w:shd w:val="clear" w:color="auto" w:fill="FFFFFF"/>
          </w:tcPr>
          <w:p w14:paraId="06E06BB4"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6A90856C"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455B6071" w14:textId="77777777" w:rsidR="008C76E0" w:rsidRPr="00BD7577" w:rsidRDefault="008C76E0" w:rsidP="008C76E0">
            <w:pPr>
              <w:spacing w:after="120" w:line="240" w:lineRule="auto"/>
              <w:jc w:val="both"/>
              <w:rPr>
                <w:rFonts w:ascii="Sylfaen" w:hAnsi="Sylfaen"/>
                <w:sz w:val="24"/>
                <w:szCs w:val="24"/>
              </w:rPr>
            </w:pPr>
          </w:p>
        </w:tc>
      </w:tr>
      <w:tr w:rsidR="008C76E0" w:rsidRPr="00BD7577" w14:paraId="3EF56383" w14:textId="77777777" w:rsidTr="008C76E0">
        <w:trPr>
          <w:jc w:val="center"/>
        </w:trPr>
        <w:tc>
          <w:tcPr>
            <w:tcW w:w="2770" w:type="dxa"/>
            <w:tcBorders>
              <w:top w:val="single" w:sz="4" w:space="0" w:color="auto"/>
              <w:left w:val="single" w:sz="4" w:space="0" w:color="auto"/>
              <w:bottom w:val="single" w:sz="4" w:space="0" w:color="auto"/>
            </w:tcBorders>
            <w:shd w:val="clear" w:color="auto" w:fill="FFFFFF"/>
          </w:tcPr>
          <w:p w14:paraId="6C9C757F"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bottom w:val="single" w:sz="4" w:space="0" w:color="auto"/>
            </w:tcBorders>
            <w:shd w:val="clear" w:color="auto" w:fill="FFFFFF"/>
          </w:tcPr>
          <w:p w14:paraId="49547735"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FFFFFF"/>
          </w:tcPr>
          <w:p w14:paraId="486DFFA6" w14:textId="77777777" w:rsidR="008C76E0" w:rsidRPr="00BD7577" w:rsidRDefault="008C76E0" w:rsidP="008C76E0">
            <w:pPr>
              <w:spacing w:after="120" w:line="240" w:lineRule="auto"/>
              <w:jc w:val="both"/>
              <w:rPr>
                <w:rFonts w:ascii="Sylfaen" w:hAnsi="Sylfaen"/>
                <w:sz w:val="24"/>
                <w:szCs w:val="24"/>
              </w:rPr>
            </w:pPr>
          </w:p>
        </w:tc>
      </w:tr>
    </w:tbl>
    <w:p w14:paraId="66F77B1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4.5.2.</w:t>
      </w:r>
      <w:r w:rsidRPr="00BD7577">
        <w:rPr>
          <w:rFonts w:ascii="Sylfaen" w:hAnsi="Sylfaen"/>
          <w:sz w:val="24"/>
          <w:szCs w:val="24"/>
        </w:rPr>
        <w:tab/>
        <w:t>Վերլուծական մեթոդիկաները (բաժին P.5.2)։</w:t>
      </w:r>
    </w:p>
    <w:p w14:paraId="3F3B28A2"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B92968E"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1A6BF4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04934F"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lastRenderedPageBreak/>
        <w:t>4.5.3.</w:t>
      </w:r>
      <w:r w:rsidRPr="00BD7577">
        <w:rPr>
          <w:rFonts w:ascii="Sylfaen" w:hAnsi="Sylfaen"/>
          <w:sz w:val="24"/>
          <w:szCs w:val="24"/>
        </w:rPr>
        <w:tab/>
        <w:t>Վերլուծական մեթոդիկաների վալիդացումը (բաժին P.5.3)։</w:t>
      </w:r>
    </w:p>
    <w:p w14:paraId="6B93FDF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83A6E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A6DD97"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8F8C06" w14:textId="77777777" w:rsidR="008C76E0" w:rsidRPr="00E15E7D" w:rsidRDefault="008C76E0" w:rsidP="00D002A4">
      <w:pPr>
        <w:widowControl/>
        <w:spacing w:after="160" w:line="360" w:lineRule="auto"/>
        <w:rPr>
          <w:rFonts w:ascii="Sylfaen" w:eastAsia="Times New Roman" w:hAnsi="Sylfaen" w:cs="Times New Roman"/>
          <w:sz w:val="24"/>
          <w:szCs w:val="24"/>
        </w:rPr>
      </w:pPr>
    </w:p>
    <w:p w14:paraId="49FB956D"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Աղյուսակ P. 5-2</w:t>
      </w:r>
    </w:p>
    <w:p w14:paraId="53A0545F" w14:textId="77777777" w:rsidR="008C76E0" w:rsidRPr="00BD7577" w:rsidRDefault="008C76E0" w:rsidP="00D23305">
      <w:pPr>
        <w:spacing w:after="160" w:line="360" w:lineRule="auto"/>
        <w:ind w:right="-1"/>
        <w:jc w:val="right"/>
        <w:rPr>
          <w:rFonts w:ascii="Sylfaen" w:hAnsi="Sylfaen"/>
          <w:sz w:val="24"/>
          <w:szCs w:val="24"/>
        </w:rPr>
      </w:pPr>
    </w:p>
    <w:p w14:paraId="48D19388"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Վերլուծական մեթոդիկաների վալիդացման պարամետրերի </w:t>
      </w:r>
      <w:r w:rsidRPr="00A30AAA">
        <w:rPr>
          <w:rFonts w:ascii="Sylfaen" w:hAnsi="Sylfaen"/>
          <w:sz w:val="24"/>
          <w:szCs w:val="24"/>
        </w:rPr>
        <w:br/>
      </w:r>
      <w:r w:rsidRPr="00BD7577">
        <w:rPr>
          <w:rFonts w:ascii="Sylfaen" w:hAnsi="Sylfaen"/>
          <w:sz w:val="24"/>
          <w:szCs w:val="24"/>
        </w:rPr>
        <w:t>համառոտ ամփոփումը</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5357"/>
        <w:gridCol w:w="1056"/>
        <w:gridCol w:w="1056"/>
        <w:gridCol w:w="1056"/>
        <w:gridCol w:w="1061"/>
      </w:tblGrid>
      <w:tr w:rsidR="008C76E0" w:rsidRPr="00BD7577" w14:paraId="46E90CE8" w14:textId="77777777" w:rsidTr="008C76E0">
        <w:trPr>
          <w:jc w:val="center"/>
        </w:trPr>
        <w:tc>
          <w:tcPr>
            <w:tcW w:w="5357" w:type="dxa"/>
            <w:vMerge w:val="restart"/>
            <w:tcBorders>
              <w:top w:val="single" w:sz="4" w:space="0" w:color="auto"/>
              <w:left w:val="single" w:sz="4" w:space="0" w:color="auto"/>
            </w:tcBorders>
            <w:shd w:val="clear" w:color="auto" w:fill="FFFFFF"/>
          </w:tcPr>
          <w:p w14:paraId="2B15AC23" w14:textId="77777777" w:rsidR="008C76E0" w:rsidRPr="00BD7577" w:rsidRDefault="008C76E0" w:rsidP="008C76E0">
            <w:pPr>
              <w:spacing w:after="120" w:line="240" w:lineRule="auto"/>
              <w:jc w:val="both"/>
              <w:rPr>
                <w:rFonts w:ascii="Sylfaen" w:hAnsi="Sylfaen"/>
                <w:sz w:val="24"/>
                <w:szCs w:val="24"/>
              </w:rPr>
            </w:pPr>
          </w:p>
        </w:tc>
        <w:tc>
          <w:tcPr>
            <w:tcW w:w="4224" w:type="dxa"/>
            <w:gridSpan w:val="4"/>
            <w:tcBorders>
              <w:top w:val="single" w:sz="4" w:space="0" w:color="auto"/>
              <w:left w:val="single" w:sz="4" w:space="0" w:color="auto"/>
              <w:right w:val="single" w:sz="4" w:space="0" w:color="auto"/>
            </w:tcBorders>
            <w:shd w:val="clear" w:color="auto" w:fill="FFFFFF"/>
            <w:vAlign w:val="bottom"/>
          </w:tcPr>
          <w:p w14:paraId="79798B7C"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28BEB658" w14:textId="77777777" w:rsidTr="008C76E0">
        <w:trPr>
          <w:jc w:val="center"/>
        </w:trPr>
        <w:tc>
          <w:tcPr>
            <w:tcW w:w="5357" w:type="dxa"/>
            <w:vMerge/>
            <w:tcBorders>
              <w:left w:val="single" w:sz="4" w:space="0" w:color="auto"/>
            </w:tcBorders>
            <w:shd w:val="clear" w:color="auto" w:fill="FFFFFF"/>
          </w:tcPr>
          <w:p w14:paraId="75A0F9AB"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3B9709B6"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2C5C56DF"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6D7D74FD"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00FDEEC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2F35FA53" w14:textId="77777777" w:rsidTr="008C76E0">
        <w:trPr>
          <w:jc w:val="center"/>
        </w:trPr>
        <w:tc>
          <w:tcPr>
            <w:tcW w:w="5357" w:type="dxa"/>
            <w:tcBorders>
              <w:top w:val="single" w:sz="4" w:space="0" w:color="auto"/>
              <w:left w:val="single" w:sz="4" w:space="0" w:color="auto"/>
            </w:tcBorders>
            <w:shd w:val="clear" w:color="auto" w:fill="FFFFFF"/>
          </w:tcPr>
          <w:p w14:paraId="3766043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Ճշտությունը</w:t>
            </w:r>
          </w:p>
        </w:tc>
        <w:tc>
          <w:tcPr>
            <w:tcW w:w="1056" w:type="dxa"/>
            <w:tcBorders>
              <w:top w:val="single" w:sz="4" w:space="0" w:color="auto"/>
              <w:left w:val="single" w:sz="4" w:space="0" w:color="auto"/>
            </w:tcBorders>
            <w:shd w:val="clear" w:color="auto" w:fill="FFFFFF"/>
          </w:tcPr>
          <w:p w14:paraId="5FBCAAC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63F16385"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3E83D87B"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6314C77D" w14:textId="77777777" w:rsidR="008C76E0" w:rsidRPr="00BD7577" w:rsidRDefault="008C76E0" w:rsidP="008C76E0">
            <w:pPr>
              <w:spacing w:after="120" w:line="240" w:lineRule="auto"/>
              <w:jc w:val="both"/>
              <w:rPr>
                <w:rFonts w:ascii="Sylfaen" w:hAnsi="Sylfaen"/>
                <w:sz w:val="24"/>
                <w:szCs w:val="24"/>
              </w:rPr>
            </w:pPr>
          </w:p>
        </w:tc>
      </w:tr>
      <w:tr w:rsidR="008C76E0" w:rsidRPr="00BD7577" w14:paraId="42DE7AE6" w14:textId="77777777" w:rsidTr="008C76E0">
        <w:trPr>
          <w:jc w:val="center"/>
        </w:trPr>
        <w:tc>
          <w:tcPr>
            <w:tcW w:w="5357" w:type="dxa"/>
            <w:tcBorders>
              <w:top w:val="single" w:sz="4" w:space="0" w:color="auto"/>
              <w:left w:val="single" w:sz="4" w:space="0" w:color="auto"/>
            </w:tcBorders>
            <w:shd w:val="clear" w:color="auto" w:fill="FFFFFF"/>
          </w:tcPr>
          <w:p w14:paraId="44D11BEB"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Վերարտադրելիությունը՝</w:t>
            </w:r>
          </w:p>
          <w:p w14:paraId="2528D114"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կրկնելիությունը (զուգամիտությունը), միջլաբորատոր վերարտադրելիությունը</w:t>
            </w:r>
          </w:p>
        </w:tc>
        <w:tc>
          <w:tcPr>
            <w:tcW w:w="1056" w:type="dxa"/>
            <w:tcBorders>
              <w:top w:val="single" w:sz="4" w:space="0" w:color="auto"/>
              <w:left w:val="single" w:sz="4" w:space="0" w:color="auto"/>
            </w:tcBorders>
            <w:shd w:val="clear" w:color="auto" w:fill="FFFFFF"/>
          </w:tcPr>
          <w:p w14:paraId="29E9A36A"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032EE75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396E83B2"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5FBF243F"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8EA09B2"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6C1DA69D"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Սպեցիֆիկությունը</w:t>
            </w:r>
          </w:p>
        </w:tc>
        <w:tc>
          <w:tcPr>
            <w:tcW w:w="1056" w:type="dxa"/>
            <w:tcBorders>
              <w:top w:val="single" w:sz="4" w:space="0" w:color="auto"/>
              <w:left w:val="single" w:sz="4" w:space="0" w:color="auto"/>
              <w:bottom w:val="single" w:sz="4" w:space="0" w:color="auto"/>
            </w:tcBorders>
            <w:shd w:val="clear" w:color="auto" w:fill="FFFFFF"/>
          </w:tcPr>
          <w:p w14:paraId="488DC5C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01EA318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107BAD2A"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3AEEDE9" w14:textId="77777777" w:rsidR="008C76E0" w:rsidRPr="00BD7577" w:rsidRDefault="008C76E0" w:rsidP="008C76E0">
            <w:pPr>
              <w:spacing w:after="120" w:line="240" w:lineRule="auto"/>
              <w:jc w:val="both"/>
              <w:rPr>
                <w:rFonts w:ascii="Sylfaen" w:hAnsi="Sylfaen"/>
                <w:sz w:val="24"/>
                <w:szCs w:val="24"/>
              </w:rPr>
            </w:pPr>
          </w:p>
        </w:tc>
      </w:tr>
      <w:tr w:rsidR="008C76E0" w:rsidRPr="00BD7577" w14:paraId="6D22B08B" w14:textId="77777777" w:rsidTr="008C76E0">
        <w:trPr>
          <w:jc w:val="center"/>
        </w:trPr>
        <w:tc>
          <w:tcPr>
            <w:tcW w:w="5357" w:type="dxa"/>
            <w:vMerge w:val="restart"/>
            <w:tcBorders>
              <w:top w:val="single" w:sz="4" w:space="0" w:color="auto"/>
              <w:left w:val="single" w:sz="4" w:space="0" w:color="auto"/>
            </w:tcBorders>
            <w:shd w:val="clear" w:color="auto" w:fill="FFFFFF"/>
          </w:tcPr>
          <w:p w14:paraId="6582A37D" w14:textId="77777777" w:rsidR="008C76E0" w:rsidRPr="00BD7577" w:rsidRDefault="008C76E0" w:rsidP="008C76E0">
            <w:pPr>
              <w:spacing w:after="120" w:line="240" w:lineRule="auto"/>
              <w:ind w:left="106"/>
              <w:jc w:val="both"/>
              <w:rPr>
                <w:rFonts w:ascii="Sylfaen" w:hAnsi="Sylfaen"/>
                <w:sz w:val="24"/>
                <w:szCs w:val="24"/>
              </w:rPr>
            </w:pPr>
          </w:p>
        </w:tc>
        <w:tc>
          <w:tcPr>
            <w:tcW w:w="4229" w:type="dxa"/>
            <w:gridSpan w:val="4"/>
            <w:tcBorders>
              <w:top w:val="single" w:sz="4" w:space="0" w:color="auto"/>
              <w:left w:val="single" w:sz="4" w:space="0" w:color="auto"/>
              <w:right w:val="single" w:sz="4" w:space="0" w:color="auto"/>
            </w:tcBorders>
            <w:shd w:val="clear" w:color="auto" w:fill="FFFFFF"/>
            <w:vAlign w:val="bottom"/>
          </w:tcPr>
          <w:p w14:paraId="5FC6EA98"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3B57CF20" w14:textId="77777777" w:rsidTr="008C76E0">
        <w:trPr>
          <w:jc w:val="center"/>
        </w:trPr>
        <w:tc>
          <w:tcPr>
            <w:tcW w:w="5357" w:type="dxa"/>
            <w:vMerge/>
            <w:tcBorders>
              <w:left w:val="single" w:sz="4" w:space="0" w:color="auto"/>
            </w:tcBorders>
            <w:shd w:val="clear" w:color="auto" w:fill="FFFFFF"/>
          </w:tcPr>
          <w:p w14:paraId="66DBB0D7" w14:textId="77777777" w:rsidR="008C76E0" w:rsidRPr="00BD7577" w:rsidRDefault="008C76E0" w:rsidP="008C76E0">
            <w:pPr>
              <w:spacing w:after="120" w:line="240" w:lineRule="auto"/>
              <w:ind w:left="106"/>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151C1B20"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72494721"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03AB926"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7DD9987" w14:textId="77777777" w:rsidR="008C76E0" w:rsidRPr="00BD7577" w:rsidRDefault="008C76E0" w:rsidP="008C76E0">
            <w:pPr>
              <w:spacing w:after="120" w:line="240" w:lineRule="auto"/>
              <w:jc w:val="both"/>
              <w:rPr>
                <w:rFonts w:ascii="Sylfaen" w:hAnsi="Sylfaen"/>
                <w:sz w:val="24"/>
                <w:szCs w:val="24"/>
              </w:rPr>
            </w:pPr>
          </w:p>
        </w:tc>
      </w:tr>
      <w:tr w:rsidR="008C76E0" w:rsidRPr="00BD7577" w14:paraId="4BCF7A1E" w14:textId="77777777" w:rsidTr="008C76E0">
        <w:trPr>
          <w:jc w:val="center"/>
        </w:trPr>
        <w:tc>
          <w:tcPr>
            <w:tcW w:w="5357" w:type="dxa"/>
            <w:tcBorders>
              <w:top w:val="single" w:sz="4" w:space="0" w:color="auto"/>
              <w:left w:val="single" w:sz="4" w:space="0" w:color="auto"/>
            </w:tcBorders>
            <w:shd w:val="clear" w:color="auto" w:fill="FFFFFF"/>
          </w:tcPr>
          <w:p w14:paraId="32B1C2E3" w14:textId="2FDDA82C" w:rsidR="008C76E0" w:rsidRPr="00BD7577" w:rsidRDefault="0056496B" w:rsidP="008C76E0">
            <w:pPr>
              <w:pStyle w:val="Bodytext180"/>
              <w:shd w:val="clear" w:color="auto" w:fill="auto"/>
              <w:spacing w:before="0" w:after="120" w:line="240" w:lineRule="auto"/>
              <w:ind w:left="106" w:firstLine="0"/>
              <w:jc w:val="both"/>
              <w:rPr>
                <w:rFonts w:ascii="Sylfaen" w:hAnsi="Sylfaen"/>
                <w:b w:val="0"/>
                <w:sz w:val="24"/>
                <w:szCs w:val="24"/>
              </w:rPr>
            </w:pPr>
            <w:r>
              <w:rPr>
                <w:rStyle w:val="Bodytext1811pt"/>
                <w:rFonts w:ascii="Sylfaen" w:hAnsi="Sylfaen"/>
                <w:sz w:val="24"/>
                <w:szCs w:val="24"/>
              </w:rPr>
              <w:t>Դիմում</w:t>
            </w:r>
            <w:r w:rsidR="008C76E0" w:rsidRPr="00BD7577">
              <w:rPr>
                <w:rStyle w:val="Bodytext1811pt"/>
                <w:rFonts w:ascii="Sylfaen" w:hAnsi="Sylfaen"/>
                <w:sz w:val="24"/>
                <w:szCs w:val="24"/>
              </w:rPr>
              <w:t>նաբերման սահմանը</w:t>
            </w:r>
          </w:p>
        </w:tc>
        <w:tc>
          <w:tcPr>
            <w:tcW w:w="1056" w:type="dxa"/>
            <w:tcBorders>
              <w:top w:val="single" w:sz="4" w:space="0" w:color="auto"/>
              <w:left w:val="single" w:sz="4" w:space="0" w:color="auto"/>
            </w:tcBorders>
            <w:shd w:val="clear" w:color="auto" w:fill="FFFFFF"/>
          </w:tcPr>
          <w:p w14:paraId="688E4425"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34D93CCC"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CFE3388"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0F0B9E95"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C33062D" w14:textId="77777777" w:rsidTr="008C76E0">
        <w:trPr>
          <w:jc w:val="center"/>
        </w:trPr>
        <w:tc>
          <w:tcPr>
            <w:tcW w:w="5357" w:type="dxa"/>
            <w:tcBorders>
              <w:top w:val="single" w:sz="4" w:space="0" w:color="auto"/>
              <w:left w:val="single" w:sz="4" w:space="0" w:color="auto"/>
            </w:tcBorders>
            <w:shd w:val="clear" w:color="auto" w:fill="FFFFFF"/>
          </w:tcPr>
          <w:p w14:paraId="718CAF61"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Քանակական որոշման ստորին սահմանը</w:t>
            </w:r>
          </w:p>
        </w:tc>
        <w:tc>
          <w:tcPr>
            <w:tcW w:w="1056" w:type="dxa"/>
            <w:tcBorders>
              <w:top w:val="single" w:sz="4" w:space="0" w:color="auto"/>
              <w:left w:val="single" w:sz="4" w:space="0" w:color="auto"/>
            </w:tcBorders>
            <w:shd w:val="clear" w:color="auto" w:fill="FFFFFF"/>
          </w:tcPr>
          <w:p w14:paraId="3D311E50"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2064C97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5592A5DD"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75F1E6E0"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1E2E957" w14:textId="77777777" w:rsidTr="008C76E0">
        <w:trPr>
          <w:jc w:val="center"/>
        </w:trPr>
        <w:tc>
          <w:tcPr>
            <w:tcW w:w="5357" w:type="dxa"/>
            <w:tcBorders>
              <w:top w:val="single" w:sz="4" w:space="0" w:color="auto"/>
              <w:left w:val="single" w:sz="4" w:space="0" w:color="auto"/>
            </w:tcBorders>
            <w:shd w:val="clear" w:color="auto" w:fill="FFFFFF"/>
          </w:tcPr>
          <w:p w14:paraId="2C80CE4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Գծայնությունը</w:t>
            </w:r>
          </w:p>
        </w:tc>
        <w:tc>
          <w:tcPr>
            <w:tcW w:w="1056" w:type="dxa"/>
            <w:tcBorders>
              <w:top w:val="single" w:sz="4" w:space="0" w:color="auto"/>
              <w:left w:val="single" w:sz="4" w:space="0" w:color="auto"/>
            </w:tcBorders>
            <w:shd w:val="clear" w:color="auto" w:fill="FFFFFF"/>
          </w:tcPr>
          <w:p w14:paraId="64766324"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2CC644C1"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4D487070"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F0E47B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C0FDC5E" w14:textId="77777777" w:rsidTr="008C76E0">
        <w:trPr>
          <w:jc w:val="center"/>
        </w:trPr>
        <w:tc>
          <w:tcPr>
            <w:tcW w:w="5357" w:type="dxa"/>
            <w:tcBorders>
              <w:top w:val="single" w:sz="4" w:space="0" w:color="auto"/>
              <w:left w:val="single" w:sz="4" w:space="0" w:color="auto"/>
            </w:tcBorders>
            <w:shd w:val="clear" w:color="auto" w:fill="FFFFFF"/>
          </w:tcPr>
          <w:p w14:paraId="491E73C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Որոշվող պարունակությունների տիրույթը</w:t>
            </w:r>
          </w:p>
        </w:tc>
        <w:tc>
          <w:tcPr>
            <w:tcW w:w="1056" w:type="dxa"/>
            <w:tcBorders>
              <w:top w:val="single" w:sz="4" w:space="0" w:color="auto"/>
              <w:left w:val="single" w:sz="4" w:space="0" w:color="auto"/>
            </w:tcBorders>
            <w:shd w:val="clear" w:color="auto" w:fill="FFFFFF"/>
          </w:tcPr>
          <w:p w14:paraId="304BF2C8"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6CADAE8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5E0E7DDD"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CFF5FE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29ADBC27" w14:textId="77777777" w:rsidTr="008C76E0">
        <w:trPr>
          <w:jc w:val="center"/>
        </w:trPr>
        <w:tc>
          <w:tcPr>
            <w:tcW w:w="5357" w:type="dxa"/>
            <w:tcBorders>
              <w:top w:val="single" w:sz="4" w:space="0" w:color="auto"/>
              <w:left w:val="single" w:sz="4" w:space="0" w:color="auto"/>
            </w:tcBorders>
            <w:shd w:val="clear" w:color="auto" w:fill="FFFFFF"/>
          </w:tcPr>
          <w:p w14:paraId="2785D0E6"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Հաստատունությունը (դիմացկունությունը)</w:t>
            </w:r>
          </w:p>
        </w:tc>
        <w:tc>
          <w:tcPr>
            <w:tcW w:w="1056" w:type="dxa"/>
            <w:tcBorders>
              <w:top w:val="single" w:sz="4" w:space="0" w:color="auto"/>
              <w:left w:val="single" w:sz="4" w:space="0" w:color="auto"/>
            </w:tcBorders>
            <w:shd w:val="clear" w:color="auto" w:fill="FFFFFF"/>
          </w:tcPr>
          <w:p w14:paraId="53ABDDB9"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365D7B4"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7510D187"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214330A4"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64E531D"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0917DCF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Լուծույթի կայունությունը</w:t>
            </w:r>
          </w:p>
        </w:tc>
        <w:tc>
          <w:tcPr>
            <w:tcW w:w="1056" w:type="dxa"/>
            <w:tcBorders>
              <w:top w:val="single" w:sz="4" w:space="0" w:color="auto"/>
              <w:left w:val="single" w:sz="4" w:space="0" w:color="auto"/>
              <w:bottom w:val="single" w:sz="4" w:space="0" w:color="auto"/>
            </w:tcBorders>
            <w:shd w:val="clear" w:color="auto" w:fill="FFFFFF"/>
          </w:tcPr>
          <w:p w14:paraId="7384BD6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46640CA9"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07469839"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3A4A7A9B" w14:textId="77777777" w:rsidR="008C76E0" w:rsidRPr="00BD7577" w:rsidRDefault="008C76E0" w:rsidP="008C76E0">
            <w:pPr>
              <w:spacing w:after="120" w:line="240" w:lineRule="auto"/>
              <w:jc w:val="both"/>
              <w:rPr>
                <w:rFonts w:ascii="Sylfaen" w:hAnsi="Sylfaen"/>
                <w:sz w:val="24"/>
                <w:szCs w:val="24"/>
              </w:rPr>
            </w:pPr>
          </w:p>
        </w:tc>
      </w:tr>
    </w:tbl>
    <w:p w14:paraId="15D77254" w14:textId="77777777" w:rsidR="00887430" w:rsidRDefault="00887430" w:rsidP="008C76E0">
      <w:pPr>
        <w:ind w:left="2268" w:right="-1" w:hanging="2268"/>
        <w:jc w:val="both"/>
        <w:rPr>
          <w:rFonts w:ascii="Sylfaen" w:hAnsi="Sylfaen"/>
          <w:sz w:val="24"/>
          <w:szCs w:val="24"/>
          <w:lang w:val="en-US"/>
        </w:rPr>
      </w:pPr>
    </w:p>
    <w:p w14:paraId="0549BE7C" w14:textId="77777777" w:rsidR="008C76E0" w:rsidRPr="00BD7577" w:rsidRDefault="008C76E0" w:rsidP="00D23305">
      <w:pPr>
        <w:spacing w:after="160" w:line="360" w:lineRule="auto"/>
        <w:ind w:left="2268" w:hanging="2268"/>
        <w:jc w:val="both"/>
        <w:rPr>
          <w:rFonts w:ascii="Sylfaen" w:hAnsi="Sylfaen"/>
          <w:sz w:val="24"/>
          <w:szCs w:val="24"/>
        </w:rPr>
      </w:pPr>
      <w:r w:rsidRPr="00BD7577">
        <w:rPr>
          <w:rFonts w:ascii="Sylfaen" w:hAnsi="Sylfaen"/>
          <w:sz w:val="24"/>
          <w:szCs w:val="24"/>
        </w:rPr>
        <w:t xml:space="preserve">Ծանոթագրություն: «+» նշանը ցույց է տալիս, որ պարամետրի որոշումն իրականցվել է պահանջներին համապատասխան, «մինուս» նշանը՝ պարամետրի որոշում չի իրականացվել, «?» նշանը՝ </w:t>
      </w:r>
      <w:r w:rsidRPr="00BD7577">
        <w:rPr>
          <w:rFonts w:ascii="Sylfaen" w:hAnsi="Sylfaen"/>
          <w:sz w:val="24"/>
          <w:szCs w:val="24"/>
        </w:rPr>
        <w:lastRenderedPageBreak/>
        <w:t>հարցերի առկայությունը նախքան պարամետրի ընդունելիության գնահատումը։</w:t>
      </w:r>
    </w:p>
    <w:p w14:paraId="791D56D6" w14:textId="77777777" w:rsidR="008C76E0" w:rsidRPr="00BD7577" w:rsidRDefault="008C76E0" w:rsidP="00D23305">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4.5.4.</w:t>
      </w:r>
      <w:r w:rsidRPr="00BD7577">
        <w:rPr>
          <w:rFonts w:ascii="Sylfaen" w:hAnsi="Sylfaen"/>
          <w:sz w:val="24"/>
          <w:szCs w:val="24"/>
        </w:rPr>
        <w:tab/>
        <w:t>Սերիաների անալիզի արդյունքները (բաժին Р.5.4)։</w:t>
      </w:r>
    </w:p>
    <w:p w14:paraId="75994DF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520C0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A41AAC"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9FFFD1"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4.5.5.</w:t>
      </w:r>
      <w:r w:rsidRPr="00BD7577">
        <w:rPr>
          <w:rFonts w:ascii="Sylfaen" w:hAnsi="Sylfaen"/>
          <w:sz w:val="24"/>
          <w:szCs w:val="24"/>
        </w:rPr>
        <w:tab/>
        <w:t>Խառնուկների բնութագիրը (բաժին Р.5.5)։</w:t>
      </w:r>
    </w:p>
    <w:p w14:paraId="3E25CBC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B070C0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660D23"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12DD52"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4.5.6.</w:t>
      </w:r>
      <w:r w:rsidRPr="00BD7577">
        <w:rPr>
          <w:rFonts w:ascii="Sylfaen" w:hAnsi="Sylfaen"/>
          <w:sz w:val="24"/>
          <w:szCs w:val="24"/>
        </w:rPr>
        <w:tab/>
        <w:t>Մասնագրերի հիմնավորումը (բաժին Р.5.6)։</w:t>
      </w:r>
    </w:p>
    <w:p w14:paraId="24C151F5" w14:textId="77777777" w:rsidR="008C76E0" w:rsidRPr="00BD7577" w:rsidRDefault="008C76E0" w:rsidP="00D23305">
      <w:pPr>
        <w:tabs>
          <w:tab w:val="left" w:pos="1418"/>
        </w:tabs>
        <w:spacing w:after="160" w:line="360" w:lineRule="auto"/>
        <w:ind w:right="-1" w:firstLine="567"/>
        <w:jc w:val="both"/>
        <w:rPr>
          <w:rFonts w:ascii="Sylfaen" w:hAnsi="Sylfaen"/>
          <w:sz w:val="24"/>
          <w:szCs w:val="24"/>
          <w:highlight w:val="yellow"/>
        </w:rPr>
      </w:pPr>
    </w:p>
    <w:p w14:paraId="2771DC34"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lang w:bidi="ar-SA"/>
        </w:rPr>
        <w:t xml:space="preserve">4.6. </w:t>
      </w:r>
      <w:r w:rsidRPr="00BD7577">
        <w:rPr>
          <w:rFonts w:ascii="Sylfaen" w:hAnsi="Sylfaen" w:cs="TimesNewRomanPSMT"/>
          <w:sz w:val="24"/>
          <w:szCs w:val="24"/>
          <w:lang w:bidi="ar-SA"/>
        </w:rPr>
        <w:t xml:space="preserve">Ստանդարտ նմուշներ </w:t>
      </w:r>
      <w:r w:rsidR="00C54D75">
        <w:rPr>
          <w:rFonts w:ascii="Sylfaen" w:hAnsi="Sylfaen" w:cs="TimesNewRomanPSMT"/>
          <w:sz w:val="24"/>
          <w:szCs w:val="24"/>
          <w:lang w:bidi="ar-SA"/>
        </w:rPr>
        <w:t>և</w:t>
      </w:r>
      <w:r w:rsidRPr="00BD7577">
        <w:rPr>
          <w:rFonts w:ascii="Sylfaen" w:hAnsi="Sylfaen" w:cs="TimesNewRomanPSMT"/>
          <w:sz w:val="24"/>
          <w:szCs w:val="24"/>
          <w:lang w:bidi="ar-SA"/>
        </w:rPr>
        <w:t xml:space="preserve"> նյութեր </w:t>
      </w:r>
      <w:r w:rsidRPr="00BD7577">
        <w:rPr>
          <w:rFonts w:ascii="Sylfaen" w:hAnsi="Sylfaen"/>
          <w:sz w:val="24"/>
          <w:szCs w:val="24"/>
          <w:lang w:bidi="ar-SA"/>
        </w:rPr>
        <w:t>(</w:t>
      </w:r>
      <w:r w:rsidRPr="00BD7577">
        <w:rPr>
          <w:rFonts w:ascii="Sylfaen" w:hAnsi="Sylfaen" w:cs="TimesNewRomanPSMT"/>
          <w:sz w:val="24"/>
          <w:szCs w:val="24"/>
          <w:lang w:bidi="ar-SA"/>
        </w:rPr>
        <w:t xml:space="preserve">մոդուլ </w:t>
      </w:r>
      <w:r w:rsidRPr="00BD7577">
        <w:rPr>
          <w:rFonts w:ascii="Sylfaen" w:hAnsi="Sylfaen"/>
          <w:sz w:val="24"/>
          <w:szCs w:val="24"/>
          <w:lang w:bidi="ar-SA"/>
        </w:rPr>
        <w:t>3.2.P.6)</w:t>
      </w:r>
    </w:p>
    <w:tbl>
      <w:tblPr>
        <w:tblOverlap w:val="never"/>
        <w:tblW w:w="9590" w:type="dxa"/>
        <w:jc w:val="center"/>
        <w:tblLayout w:type="fixed"/>
        <w:tblCellMar>
          <w:left w:w="10" w:type="dxa"/>
          <w:right w:w="10" w:type="dxa"/>
        </w:tblCellMar>
        <w:tblLook w:val="04A0" w:firstRow="1" w:lastRow="0" w:firstColumn="1" w:lastColumn="0" w:noHBand="0" w:noVBand="1"/>
      </w:tblPr>
      <w:tblGrid>
        <w:gridCol w:w="9590"/>
      </w:tblGrid>
      <w:tr w:rsidR="008C76E0" w:rsidRPr="00BD7577" w14:paraId="29659A90" w14:textId="77777777" w:rsidTr="008C76E0">
        <w:trPr>
          <w:jc w:val="center"/>
        </w:trPr>
        <w:tc>
          <w:tcPr>
            <w:tcW w:w="9590" w:type="dxa"/>
            <w:tcBorders>
              <w:top w:val="single" w:sz="4" w:space="0" w:color="auto"/>
              <w:left w:val="single" w:sz="4" w:space="0" w:color="auto"/>
              <w:right w:val="single" w:sz="4" w:space="0" w:color="auto"/>
            </w:tcBorders>
            <w:shd w:val="clear" w:color="auto" w:fill="FFFFFF"/>
            <w:vAlign w:val="bottom"/>
          </w:tcPr>
          <w:p w14:paraId="56197335"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86CB75C" w14:textId="77777777" w:rsidTr="008C76E0">
        <w:trPr>
          <w:jc w:val="center"/>
        </w:trPr>
        <w:tc>
          <w:tcPr>
            <w:tcW w:w="9590" w:type="dxa"/>
            <w:tcBorders>
              <w:top w:val="single" w:sz="4" w:space="0" w:color="auto"/>
              <w:left w:val="single" w:sz="4" w:space="0" w:color="auto"/>
              <w:right w:val="single" w:sz="4" w:space="0" w:color="auto"/>
            </w:tcBorders>
            <w:shd w:val="clear" w:color="auto" w:fill="FFFFFF"/>
          </w:tcPr>
          <w:p w14:paraId="39E745C7" w14:textId="77777777" w:rsidR="008C76E0" w:rsidRPr="00BD7577" w:rsidRDefault="008C76E0" w:rsidP="00D23305">
            <w:pPr>
              <w:spacing w:after="160" w:line="360" w:lineRule="auto"/>
              <w:ind w:right="-1"/>
              <w:jc w:val="both"/>
              <w:rPr>
                <w:rFonts w:ascii="Sylfaen" w:hAnsi="Sylfaen"/>
                <w:sz w:val="24"/>
                <w:szCs w:val="24"/>
              </w:rPr>
            </w:pPr>
          </w:p>
        </w:tc>
      </w:tr>
      <w:tr w:rsidR="008C76E0" w:rsidRPr="00BD7577" w14:paraId="46074D10" w14:textId="77777777" w:rsidTr="008C76E0">
        <w:trPr>
          <w:jc w:val="center"/>
        </w:trPr>
        <w:tc>
          <w:tcPr>
            <w:tcW w:w="9590" w:type="dxa"/>
            <w:tcBorders>
              <w:top w:val="single" w:sz="4" w:space="0" w:color="auto"/>
              <w:left w:val="single" w:sz="4" w:space="0" w:color="auto"/>
              <w:bottom w:val="single" w:sz="4" w:space="0" w:color="auto"/>
              <w:right w:val="single" w:sz="4" w:space="0" w:color="auto"/>
            </w:tcBorders>
            <w:shd w:val="clear" w:color="auto" w:fill="FFFFFF"/>
          </w:tcPr>
          <w:p w14:paraId="7DC33CFA" w14:textId="77777777" w:rsidR="008C76E0" w:rsidRPr="00BD7577" w:rsidRDefault="008C76E0" w:rsidP="00D23305">
            <w:pPr>
              <w:spacing w:after="160" w:line="360" w:lineRule="auto"/>
              <w:ind w:right="-1"/>
              <w:jc w:val="both"/>
              <w:rPr>
                <w:rFonts w:ascii="Sylfaen" w:hAnsi="Sylfaen"/>
                <w:sz w:val="24"/>
                <w:szCs w:val="24"/>
              </w:rPr>
            </w:pPr>
          </w:p>
        </w:tc>
      </w:tr>
    </w:tbl>
    <w:p w14:paraId="21243D99" w14:textId="77777777" w:rsidR="008C76E0" w:rsidRPr="00BD7577" w:rsidRDefault="008C76E0" w:rsidP="00D23305">
      <w:pPr>
        <w:pStyle w:val="Tablecaption30"/>
        <w:shd w:val="clear" w:color="auto" w:fill="auto"/>
        <w:spacing w:after="160" w:line="360" w:lineRule="auto"/>
        <w:ind w:left="567" w:right="566"/>
        <w:jc w:val="center"/>
        <w:rPr>
          <w:rFonts w:ascii="Sylfaen" w:hAnsi="Sylfaen"/>
          <w:sz w:val="24"/>
          <w:szCs w:val="24"/>
        </w:rPr>
      </w:pPr>
    </w:p>
    <w:p w14:paraId="065BE7CF" w14:textId="77777777" w:rsidR="008C76E0" w:rsidRPr="00BD7577" w:rsidRDefault="008C76E0" w:rsidP="00D23305">
      <w:pPr>
        <w:pStyle w:val="Tablecaption30"/>
        <w:shd w:val="clear" w:color="auto" w:fill="auto"/>
        <w:spacing w:after="160" w:line="360" w:lineRule="auto"/>
        <w:ind w:left="567" w:right="566"/>
        <w:jc w:val="center"/>
        <w:rPr>
          <w:rFonts w:ascii="Sylfaen" w:hAnsi="Sylfaen"/>
          <w:sz w:val="24"/>
          <w:szCs w:val="24"/>
        </w:rPr>
      </w:pPr>
      <w:r w:rsidRPr="00BD7577">
        <w:rPr>
          <w:rFonts w:ascii="Sylfaen" w:hAnsi="Sylfaen"/>
          <w:sz w:val="24"/>
          <w:szCs w:val="24"/>
        </w:rPr>
        <w:t>4.7. Փաթեթավորման (խցանափակման) համակարգը (մոդուլ 3.2.Р.7)</w:t>
      </w:r>
    </w:p>
    <w:p w14:paraId="0ED89FC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767C3F"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89466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5E4B70" w14:textId="77777777" w:rsidR="008C76E0" w:rsidRPr="00BD7577" w:rsidRDefault="008C76E0" w:rsidP="00D23305">
      <w:pPr>
        <w:pStyle w:val="Tablecaption30"/>
        <w:shd w:val="clear" w:color="auto" w:fill="auto"/>
        <w:spacing w:after="160" w:line="360" w:lineRule="auto"/>
        <w:ind w:left="567" w:right="566"/>
        <w:jc w:val="both"/>
        <w:rPr>
          <w:rFonts w:ascii="Sylfaen" w:hAnsi="Sylfaen"/>
          <w:sz w:val="24"/>
          <w:szCs w:val="24"/>
        </w:rPr>
      </w:pPr>
    </w:p>
    <w:tbl>
      <w:tblPr>
        <w:tblOverlap w:val="never"/>
        <w:tblW w:w="9590" w:type="dxa"/>
        <w:jc w:val="center"/>
        <w:tblLayout w:type="fixed"/>
        <w:tblCellMar>
          <w:left w:w="10" w:type="dxa"/>
          <w:right w:w="10" w:type="dxa"/>
        </w:tblCellMar>
        <w:tblLook w:val="04A0" w:firstRow="1" w:lastRow="0" w:firstColumn="1" w:lastColumn="0" w:noHBand="0" w:noVBand="1"/>
      </w:tblPr>
      <w:tblGrid>
        <w:gridCol w:w="9590"/>
      </w:tblGrid>
      <w:tr w:rsidR="008C76E0" w:rsidRPr="00BD7577" w14:paraId="2BEEF108" w14:textId="77777777" w:rsidTr="008C76E0">
        <w:trPr>
          <w:jc w:val="center"/>
        </w:trPr>
        <w:tc>
          <w:tcPr>
            <w:tcW w:w="9590" w:type="dxa"/>
            <w:tcBorders>
              <w:top w:val="single" w:sz="4" w:space="0" w:color="auto"/>
              <w:left w:val="single" w:sz="4" w:space="0" w:color="auto"/>
              <w:right w:val="single" w:sz="4" w:space="0" w:color="auto"/>
            </w:tcBorders>
            <w:shd w:val="clear" w:color="auto" w:fill="FFFFFF"/>
            <w:vAlign w:val="bottom"/>
          </w:tcPr>
          <w:p w14:paraId="1480CAC0"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3888DD99" w14:textId="77777777" w:rsidTr="008C76E0">
        <w:trPr>
          <w:jc w:val="center"/>
        </w:trPr>
        <w:tc>
          <w:tcPr>
            <w:tcW w:w="9590" w:type="dxa"/>
            <w:tcBorders>
              <w:top w:val="single" w:sz="4" w:space="0" w:color="auto"/>
              <w:left w:val="single" w:sz="4" w:space="0" w:color="auto"/>
              <w:right w:val="single" w:sz="4" w:space="0" w:color="auto"/>
            </w:tcBorders>
            <w:shd w:val="clear" w:color="auto" w:fill="FFFFFF"/>
          </w:tcPr>
          <w:p w14:paraId="08A18C1D" w14:textId="77777777" w:rsidR="008C76E0" w:rsidRPr="00BD7577" w:rsidRDefault="008C76E0" w:rsidP="00D23305">
            <w:pPr>
              <w:spacing w:after="160" w:line="360" w:lineRule="auto"/>
              <w:ind w:right="-1"/>
              <w:jc w:val="both"/>
              <w:rPr>
                <w:rFonts w:ascii="Sylfaen" w:hAnsi="Sylfaen"/>
                <w:sz w:val="24"/>
                <w:szCs w:val="24"/>
              </w:rPr>
            </w:pPr>
          </w:p>
        </w:tc>
      </w:tr>
      <w:tr w:rsidR="008C76E0" w:rsidRPr="00BD7577" w14:paraId="159E6F6E" w14:textId="77777777" w:rsidTr="008C76E0">
        <w:trPr>
          <w:jc w:val="center"/>
        </w:trPr>
        <w:tc>
          <w:tcPr>
            <w:tcW w:w="9590" w:type="dxa"/>
            <w:tcBorders>
              <w:top w:val="single" w:sz="4" w:space="0" w:color="auto"/>
              <w:left w:val="single" w:sz="4" w:space="0" w:color="auto"/>
              <w:bottom w:val="single" w:sz="4" w:space="0" w:color="auto"/>
              <w:right w:val="single" w:sz="4" w:space="0" w:color="auto"/>
            </w:tcBorders>
            <w:shd w:val="clear" w:color="auto" w:fill="FFFFFF"/>
          </w:tcPr>
          <w:p w14:paraId="75A9FEBC" w14:textId="77777777" w:rsidR="008C76E0" w:rsidRPr="00BD7577" w:rsidRDefault="008C76E0" w:rsidP="00D23305">
            <w:pPr>
              <w:spacing w:after="160" w:line="360" w:lineRule="auto"/>
              <w:ind w:right="-1"/>
              <w:jc w:val="both"/>
              <w:rPr>
                <w:rFonts w:ascii="Sylfaen" w:hAnsi="Sylfaen"/>
                <w:sz w:val="24"/>
                <w:szCs w:val="24"/>
              </w:rPr>
            </w:pPr>
          </w:p>
        </w:tc>
      </w:tr>
    </w:tbl>
    <w:p w14:paraId="7A258F9F" w14:textId="77777777" w:rsidR="008C76E0" w:rsidRDefault="008C76E0" w:rsidP="00D23305">
      <w:pPr>
        <w:spacing w:after="160" w:line="360" w:lineRule="auto"/>
        <w:ind w:right="-1"/>
        <w:jc w:val="both"/>
        <w:rPr>
          <w:rFonts w:ascii="Sylfaen" w:hAnsi="Sylfaen"/>
          <w:sz w:val="24"/>
          <w:szCs w:val="24"/>
          <w:lang w:val="en-US"/>
        </w:rPr>
      </w:pPr>
    </w:p>
    <w:p w14:paraId="0E03BD9A" w14:textId="77777777" w:rsidR="008C76E0" w:rsidRPr="00BD7577" w:rsidRDefault="008C76E0" w:rsidP="00D23305">
      <w:pPr>
        <w:spacing w:after="160" w:line="360" w:lineRule="auto"/>
        <w:ind w:right="-1" w:firstLine="567"/>
        <w:jc w:val="center"/>
        <w:rPr>
          <w:rFonts w:ascii="Sylfaen" w:hAnsi="Sylfaen"/>
          <w:sz w:val="24"/>
          <w:szCs w:val="24"/>
        </w:rPr>
      </w:pPr>
      <w:r w:rsidRPr="00BD7577">
        <w:rPr>
          <w:rFonts w:ascii="Sylfaen" w:hAnsi="Sylfaen"/>
          <w:sz w:val="24"/>
          <w:szCs w:val="24"/>
        </w:rPr>
        <w:t>4.8. Կայունությունը (մոդուլ 3.2.Р.8)</w:t>
      </w:r>
    </w:p>
    <w:p w14:paraId="408D73B8"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 (բաժին՝ Р.8.1)։</w:t>
      </w:r>
    </w:p>
    <w:p w14:paraId="0D9D2B3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18FC0D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2E696A1"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2D8F1B" w14:textId="77777777" w:rsidR="008C76E0" w:rsidRPr="00BD7577" w:rsidRDefault="008C76E0" w:rsidP="00D23305">
      <w:pPr>
        <w:widowControl/>
        <w:spacing w:after="160" w:line="360" w:lineRule="auto"/>
        <w:jc w:val="both"/>
        <w:rPr>
          <w:rFonts w:ascii="Sylfaen" w:eastAsia="Times New Roman" w:hAnsi="Sylfaen" w:cs="Times New Roman"/>
          <w:sz w:val="24"/>
          <w:szCs w:val="24"/>
        </w:rPr>
      </w:pPr>
    </w:p>
    <w:p w14:paraId="45D7D8DF"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Աղյուսակ Р. 8-1</w:t>
      </w:r>
    </w:p>
    <w:p w14:paraId="04A7C998" w14:textId="77777777" w:rsidR="008C76E0" w:rsidRPr="00BD7577" w:rsidRDefault="008C76E0" w:rsidP="00D23305">
      <w:pPr>
        <w:spacing w:after="160" w:line="360" w:lineRule="auto"/>
        <w:ind w:right="-1"/>
        <w:rPr>
          <w:rFonts w:ascii="Sylfaen" w:hAnsi="Sylfaen"/>
          <w:sz w:val="24"/>
          <w:szCs w:val="24"/>
        </w:rPr>
      </w:pPr>
      <w:r w:rsidRPr="00BD7577">
        <w:rPr>
          <w:rFonts w:ascii="Sylfaen" w:hAnsi="Sylfaen"/>
          <w:sz w:val="24"/>
          <w:szCs w:val="24"/>
        </w:rPr>
        <w:t>Կայունության հիմնական փորձարկումները</w:t>
      </w:r>
    </w:p>
    <w:tbl>
      <w:tblPr>
        <w:tblOverlap w:val="never"/>
        <w:tblW w:w="10963" w:type="dxa"/>
        <w:jc w:val="center"/>
        <w:tblLayout w:type="fixed"/>
        <w:tblCellMar>
          <w:left w:w="10" w:type="dxa"/>
          <w:right w:w="10" w:type="dxa"/>
        </w:tblCellMar>
        <w:tblLook w:val="04A0" w:firstRow="1" w:lastRow="0" w:firstColumn="1" w:lastColumn="0" w:noHBand="0" w:noVBand="1"/>
      </w:tblPr>
      <w:tblGrid>
        <w:gridCol w:w="2807"/>
        <w:gridCol w:w="1454"/>
        <w:gridCol w:w="3801"/>
        <w:gridCol w:w="2901"/>
      </w:tblGrid>
      <w:tr w:rsidR="008C76E0" w:rsidRPr="00BD7577" w14:paraId="256A50EC" w14:textId="77777777" w:rsidTr="008C76E0">
        <w:trPr>
          <w:jc w:val="center"/>
        </w:trPr>
        <w:tc>
          <w:tcPr>
            <w:tcW w:w="2807" w:type="dxa"/>
            <w:tcBorders>
              <w:top w:val="single" w:sz="4" w:space="0" w:color="auto"/>
              <w:left w:val="single" w:sz="4" w:space="0" w:color="auto"/>
            </w:tcBorders>
            <w:shd w:val="clear" w:color="auto" w:fill="FFFFFF"/>
          </w:tcPr>
          <w:p w14:paraId="33ED72E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4"/>
                <w:szCs w:val="24"/>
                <w:lang w:val="hy-AM"/>
              </w:rPr>
            </w:pPr>
            <w:r w:rsidRPr="00BD7577">
              <w:rPr>
                <w:rStyle w:val="Bodytext1811pt"/>
                <w:rFonts w:ascii="Sylfaen" w:hAnsi="Sylfaen"/>
                <w:sz w:val="24"/>
                <w:szCs w:val="24"/>
              </w:rPr>
              <w:t>Ջերմաստիճանը, °C, հարաբերական խոնավությունը (ՀԽ), %</w:t>
            </w:r>
          </w:p>
        </w:tc>
        <w:tc>
          <w:tcPr>
            <w:tcW w:w="1454" w:type="dxa"/>
            <w:tcBorders>
              <w:top w:val="single" w:sz="4" w:space="0" w:color="auto"/>
              <w:left w:val="single" w:sz="4" w:space="0" w:color="auto"/>
            </w:tcBorders>
            <w:shd w:val="clear" w:color="auto" w:fill="FFFFFF"/>
          </w:tcPr>
          <w:p w14:paraId="375D177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295pt"/>
                <w:rFonts w:ascii="Sylfaen" w:hAnsi="Sylfaen"/>
                <w:spacing w:val="0"/>
                <w:sz w:val="24"/>
                <w:szCs w:val="24"/>
              </w:rPr>
              <w:t>п</w:t>
            </w:r>
            <w:r w:rsidRPr="00BD7577">
              <w:rPr>
                <w:rStyle w:val="Bodytext1811pt"/>
                <w:rFonts w:ascii="Sylfaen" w:hAnsi="Sylfaen"/>
                <w:sz w:val="24"/>
                <w:szCs w:val="24"/>
              </w:rPr>
              <w:t xml:space="preserve"> սերիաներ х ամիսներ</w:t>
            </w:r>
          </w:p>
        </w:tc>
        <w:tc>
          <w:tcPr>
            <w:tcW w:w="3801" w:type="dxa"/>
            <w:tcBorders>
              <w:top w:val="single" w:sz="4" w:space="0" w:color="auto"/>
              <w:left w:val="single" w:sz="4" w:space="0" w:color="auto"/>
            </w:tcBorders>
            <w:shd w:val="clear" w:color="auto" w:fill="FFFFFF"/>
          </w:tcPr>
          <w:p w14:paraId="09597E55" w14:textId="77777777" w:rsidR="008C76E0" w:rsidRPr="00BD7577" w:rsidRDefault="008C76E0" w:rsidP="008C76E0">
            <w:pPr>
              <w:pStyle w:val="Bodytext180"/>
              <w:shd w:val="clear" w:color="auto" w:fill="auto"/>
              <w:spacing w:before="0" w:after="120" w:line="240" w:lineRule="auto"/>
              <w:ind w:left="27" w:right="-1" w:firstLine="0"/>
              <w:jc w:val="center"/>
              <w:rPr>
                <w:rFonts w:ascii="Sylfaen" w:hAnsi="Sylfaen"/>
                <w:b w:val="0"/>
                <w:sz w:val="24"/>
                <w:szCs w:val="24"/>
              </w:rPr>
            </w:pPr>
            <w:r w:rsidRPr="00BD7577">
              <w:rPr>
                <w:rStyle w:val="Bodytext1811pt"/>
                <w:rFonts w:ascii="Sylfaen" w:hAnsi="Sylfaen"/>
                <w:sz w:val="24"/>
                <w:szCs w:val="24"/>
              </w:rPr>
              <w:t>Սերիայի չափը</w:t>
            </w:r>
          </w:p>
        </w:tc>
        <w:tc>
          <w:tcPr>
            <w:tcW w:w="2901" w:type="dxa"/>
            <w:tcBorders>
              <w:top w:val="single" w:sz="4" w:space="0" w:color="auto"/>
              <w:left w:val="single" w:sz="4" w:space="0" w:color="auto"/>
              <w:right w:val="single" w:sz="4" w:space="0" w:color="auto"/>
            </w:tcBorders>
            <w:shd w:val="clear" w:color="auto" w:fill="FFFFFF"/>
          </w:tcPr>
          <w:p w14:paraId="49503767" w14:textId="77777777" w:rsidR="008C76E0" w:rsidRPr="00BD7577" w:rsidRDefault="008C76E0" w:rsidP="008C76E0">
            <w:pPr>
              <w:pStyle w:val="Bodytext180"/>
              <w:shd w:val="clear" w:color="auto" w:fill="auto"/>
              <w:spacing w:before="0" w:after="120" w:line="240" w:lineRule="auto"/>
              <w:ind w:left="31" w:right="65" w:firstLine="0"/>
              <w:jc w:val="center"/>
              <w:rPr>
                <w:rFonts w:ascii="Sylfaen" w:hAnsi="Sylfaen"/>
                <w:b w:val="0"/>
                <w:sz w:val="24"/>
                <w:szCs w:val="24"/>
              </w:rPr>
            </w:pPr>
            <w:r w:rsidRPr="00BD7577">
              <w:rPr>
                <w:rStyle w:val="Bodytext1811pt"/>
                <w:rFonts w:ascii="Sylfaen" w:hAnsi="Sylfaen"/>
                <w:sz w:val="24"/>
                <w:szCs w:val="24"/>
              </w:rPr>
              <w:t>Փաթեթավորումը</w:t>
            </w:r>
          </w:p>
        </w:tc>
      </w:tr>
      <w:tr w:rsidR="008C76E0" w:rsidRPr="00BD7577" w14:paraId="59C89D13" w14:textId="77777777" w:rsidTr="008C76E0">
        <w:trPr>
          <w:jc w:val="center"/>
        </w:trPr>
        <w:tc>
          <w:tcPr>
            <w:tcW w:w="2807" w:type="dxa"/>
            <w:tcBorders>
              <w:top w:val="single" w:sz="4" w:space="0" w:color="auto"/>
              <w:left w:val="single" w:sz="4" w:space="0" w:color="auto"/>
            </w:tcBorders>
            <w:shd w:val="clear" w:color="auto" w:fill="FFFFFF"/>
          </w:tcPr>
          <w:p w14:paraId="7AAF33CA" w14:textId="77777777" w:rsidR="008C76E0" w:rsidRPr="00BD7577" w:rsidRDefault="008C76E0" w:rsidP="0074785B">
            <w:pPr>
              <w:pStyle w:val="Bodytext180"/>
              <w:shd w:val="clear" w:color="auto" w:fill="auto"/>
              <w:spacing w:before="0" w:after="120" w:line="240" w:lineRule="auto"/>
              <w:ind w:left="121" w:right="-1" w:firstLine="0"/>
              <w:rPr>
                <w:rFonts w:ascii="Sylfaen" w:hAnsi="Sylfaen"/>
                <w:b w:val="0"/>
                <w:sz w:val="24"/>
                <w:szCs w:val="24"/>
              </w:rPr>
            </w:pPr>
            <w:r w:rsidRPr="00BD7577">
              <w:rPr>
                <w:rStyle w:val="Bodytext1811pt"/>
                <w:rFonts w:ascii="Sylfaen" w:hAnsi="Sylfaen"/>
                <w:sz w:val="24"/>
                <w:szCs w:val="24"/>
              </w:rPr>
              <w:t>25°С/ՀԽ 60 %</w:t>
            </w:r>
          </w:p>
        </w:tc>
        <w:tc>
          <w:tcPr>
            <w:tcW w:w="1454" w:type="dxa"/>
            <w:tcBorders>
              <w:top w:val="single" w:sz="4" w:space="0" w:color="auto"/>
              <w:left w:val="single" w:sz="4" w:space="0" w:color="auto"/>
            </w:tcBorders>
            <w:shd w:val="clear" w:color="auto" w:fill="FFFFFF"/>
          </w:tcPr>
          <w:p w14:paraId="2E62C638"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tcBorders>
            <w:shd w:val="clear" w:color="auto" w:fill="FFFFFF"/>
          </w:tcPr>
          <w:p w14:paraId="1E5B134F" w14:textId="77777777" w:rsidR="008C76E0" w:rsidRPr="008C76E0" w:rsidRDefault="008C76E0" w:rsidP="008C76E0">
            <w:pPr>
              <w:pStyle w:val="Bodytext180"/>
              <w:shd w:val="clear" w:color="auto" w:fill="auto"/>
              <w:spacing w:before="0" w:after="120" w:line="240" w:lineRule="auto"/>
              <w:ind w:left="27" w:right="-1" w:firstLine="0"/>
              <w:rPr>
                <w:rFonts w:ascii="Sylfaen" w:hAnsi="Sylfaen"/>
                <w:b w:val="0"/>
                <w:sz w:val="24"/>
                <w:szCs w:val="24"/>
                <w:lang w:val="hy-AM"/>
              </w:rPr>
            </w:pPr>
            <w:r w:rsidRPr="00BD7577">
              <w:rPr>
                <w:rStyle w:val="Bodytext1811pt"/>
                <w:rFonts w:ascii="Sylfaen" w:hAnsi="Sylfaen"/>
                <w:sz w:val="24"/>
                <w:szCs w:val="24"/>
              </w:rPr>
              <w:t>արդյունաբերական մասշտաբը կամ փորձարարաարդյունաբերական մասշտաբը</w:t>
            </w:r>
          </w:p>
        </w:tc>
        <w:tc>
          <w:tcPr>
            <w:tcW w:w="2901" w:type="dxa"/>
            <w:tcBorders>
              <w:top w:val="single" w:sz="4" w:space="0" w:color="auto"/>
              <w:left w:val="single" w:sz="4" w:space="0" w:color="auto"/>
              <w:right w:val="single" w:sz="4" w:space="0" w:color="auto"/>
            </w:tcBorders>
            <w:shd w:val="clear" w:color="auto" w:fill="FFFFFF"/>
          </w:tcPr>
          <w:p w14:paraId="270083AF" w14:textId="77777777" w:rsidR="008C76E0" w:rsidRPr="008C76E0" w:rsidRDefault="008C76E0" w:rsidP="008C76E0">
            <w:pPr>
              <w:pStyle w:val="Bodytext180"/>
              <w:shd w:val="clear" w:color="auto" w:fill="auto"/>
              <w:spacing w:before="0" w:after="120" w:line="240" w:lineRule="auto"/>
              <w:ind w:left="31" w:right="65" w:firstLine="0"/>
              <w:rPr>
                <w:rFonts w:ascii="Sylfaen" w:hAnsi="Sylfaen"/>
                <w:b w:val="0"/>
                <w:sz w:val="24"/>
                <w:szCs w:val="24"/>
                <w:lang w:val="hy-AM"/>
              </w:rPr>
            </w:pPr>
            <w:r w:rsidRPr="00BD7577">
              <w:rPr>
                <w:rStyle w:val="Bodytext1811pt"/>
                <w:rFonts w:ascii="Sylfaen" w:hAnsi="Sylfaen"/>
                <w:sz w:val="24"/>
                <w:szCs w:val="24"/>
              </w:rPr>
              <w:t>նախատեսված է իրացման համար, թե՝ ոչ</w:t>
            </w:r>
          </w:p>
        </w:tc>
      </w:tr>
      <w:tr w:rsidR="008C76E0" w:rsidRPr="00BD7577" w14:paraId="42606905" w14:textId="77777777" w:rsidTr="008C76E0">
        <w:trPr>
          <w:jc w:val="center"/>
        </w:trPr>
        <w:tc>
          <w:tcPr>
            <w:tcW w:w="2807" w:type="dxa"/>
            <w:tcBorders>
              <w:top w:val="single" w:sz="4" w:space="0" w:color="auto"/>
              <w:left w:val="single" w:sz="4" w:space="0" w:color="auto"/>
            </w:tcBorders>
            <w:shd w:val="clear" w:color="auto" w:fill="FFFFFF"/>
          </w:tcPr>
          <w:p w14:paraId="003ECD34" w14:textId="77777777" w:rsidR="008C76E0" w:rsidRPr="00BD7577" w:rsidRDefault="0074785B" w:rsidP="0074785B">
            <w:pPr>
              <w:pStyle w:val="Bodytext180"/>
              <w:shd w:val="clear" w:color="auto" w:fill="auto"/>
              <w:spacing w:before="0" w:after="120" w:line="240" w:lineRule="auto"/>
              <w:ind w:left="121" w:right="-1" w:firstLine="0"/>
              <w:rPr>
                <w:rFonts w:ascii="Sylfaen" w:hAnsi="Sylfaen"/>
                <w:b w:val="0"/>
                <w:sz w:val="24"/>
                <w:szCs w:val="24"/>
              </w:rPr>
            </w:pPr>
            <w:r>
              <w:rPr>
                <w:rStyle w:val="Bodytext1811pt"/>
                <w:rFonts w:ascii="Sylfaen" w:hAnsi="Sylfaen"/>
                <w:sz w:val="24"/>
                <w:szCs w:val="24"/>
              </w:rPr>
              <w:t>40°</w:t>
            </w:r>
            <w:r w:rsidR="008C76E0" w:rsidRPr="00BD7577">
              <w:rPr>
                <w:rStyle w:val="Bodytext1811pt"/>
                <w:rFonts w:ascii="Sylfaen" w:hAnsi="Sylfaen"/>
                <w:sz w:val="24"/>
                <w:szCs w:val="24"/>
              </w:rPr>
              <w:t>/</w:t>
            </w:r>
            <w:r>
              <w:rPr>
                <w:rStyle w:val="Bodytext1811pt"/>
                <w:rFonts w:ascii="Sylfaen" w:hAnsi="Sylfaen"/>
                <w:sz w:val="24"/>
                <w:szCs w:val="24"/>
                <w:lang w:val="en-US"/>
              </w:rPr>
              <w:t xml:space="preserve"> </w:t>
            </w:r>
            <w:r w:rsidR="008C76E0" w:rsidRPr="00BD7577">
              <w:rPr>
                <w:rStyle w:val="Bodytext1811pt"/>
                <w:rFonts w:ascii="Sylfaen" w:hAnsi="Sylfaen"/>
                <w:sz w:val="24"/>
                <w:szCs w:val="24"/>
              </w:rPr>
              <w:t>ՀԽ 75 %</w:t>
            </w:r>
          </w:p>
        </w:tc>
        <w:tc>
          <w:tcPr>
            <w:tcW w:w="1454" w:type="dxa"/>
            <w:tcBorders>
              <w:top w:val="single" w:sz="4" w:space="0" w:color="auto"/>
              <w:left w:val="single" w:sz="4" w:space="0" w:color="auto"/>
            </w:tcBorders>
            <w:shd w:val="clear" w:color="auto" w:fill="FFFFFF"/>
          </w:tcPr>
          <w:p w14:paraId="0452FB91"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tcBorders>
            <w:shd w:val="clear" w:color="auto" w:fill="FFFFFF"/>
          </w:tcPr>
          <w:p w14:paraId="7E899B93" w14:textId="77777777" w:rsidR="008C76E0" w:rsidRPr="00BD7577" w:rsidRDefault="008C76E0" w:rsidP="008C76E0">
            <w:pPr>
              <w:spacing w:after="120" w:line="240" w:lineRule="auto"/>
              <w:ind w:left="27" w:right="-1"/>
              <w:rPr>
                <w:rFonts w:ascii="Sylfaen" w:hAnsi="Sylfaen"/>
                <w:sz w:val="24"/>
                <w:szCs w:val="24"/>
              </w:rPr>
            </w:pPr>
          </w:p>
        </w:tc>
        <w:tc>
          <w:tcPr>
            <w:tcW w:w="2901" w:type="dxa"/>
            <w:tcBorders>
              <w:top w:val="single" w:sz="4" w:space="0" w:color="auto"/>
              <w:left w:val="single" w:sz="4" w:space="0" w:color="auto"/>
              <w:right w:val="single" w:sz="4" w:space="0" w:color="auto"/>
            </w:tcBorders>
            <w:shd w:val="clear" w:color="auto" w:fill="FFFFFF"/>
          </w:tcPr>
          <w:p w14:paraId="002263EF" w14:textId="77777777" w:rsidR="008C76E0" w:rsidRPr="00BD7577" w:rsidRDefault="008C76E0" w:rsidP="008C76E0">
            <w:pPr>
              <w:spacing w:after="120" w:line="240" w:lineRule="auto"/>
              <w:ind w:left="31" w:right="65"/>
              <w:rPr>
                <w:rFonts w:ascii="Sylfaen" w:hAnsi="Sylfaen"/>
                <w:sz w:val="24"/>
                <w:szCs w:val="24"/>
              </w:rPr>
            </w:pPr>
          </w:p>
        </w:tc>
      </w:tr>
      <w:tr w:rsidR="008C76E0" w:rsidRPr="00BD7577" w14:paraId="7E55090C" w14:textId="77777777" w:rsidTr="008C76E0">
        <w:trPr>
          <w:jc w:val="center"/>
        </w:trPr>
        <w:tc>
          <w:tcPr>
            <w:tcW w:w="2807" w:type="dxa"/>
            <w:tcBorders>
              <w:top w:val="single" w:sz="4" w:space="0" w:color="auto"/>
              <w:left w:val="single" w:sz="4" w:space="0" w:color="auto"/>
              <w:bottom w:val="single" w:sz="4" w:space="0" w:color="auto"/>
            </w:tcBorders>
            <w:shd w:val="clear" w:color="auto" w:fill="FFFFFF"/>
          </w:tcPr>
          <w:p w14:paraId="07A9AA35" w14:textId="77777777" w:rsidR="008C76E0" w:rsidRPr="00BD7577" w:rsidRDefault="008C76E0" w:rsidP="008C76E0">
            <w:pPr>
              <w:spacing w:after="120" w:line="240" w:lineRule="auto"/>
              <w:ind w:right="-1"/>
              <w:rPr>
                <w:rFonts w:ascii="Sylfaen" w:hAnsi="Sylfaen"/>
                <w:sz w:val="24"/>
                <w:szCs w:val="24"/>
              </w:rPr>
            </w:pPr>
          </w:p>
        </w:tc>
        <w:tc>
          <w:tcPr>
            <w:tcW w:w="1454" w:type="dxa"/>
            <w:tcBorders>
              <w:top w:val="single" w:sz="4" w:space="0" w:color="auto"/>
              <w:left w:val="single" w:sz="4" w:space="0" w:color="auto"/>
              <w:bottom w:val="single" w:sz="4" w:space="0" w:color="auto"/>
            </w:tcBorders>
            <w:shd w:val="clear" w:color="auto" w:fill="FFFFFF"/>
          </w:tcPr>
          <w:p w14:paraId="12F35666"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bottom w:val="single" w:sz="4" w:space="0" w:color="auto"/>
            </w:tcBorders>
            <w:shd w:val="clear" w:color="auto" w:fill="FFFFFF"/>
          </w:tcPr>
          <w:p w14:paraId="1C4641CD" w14:textId="77777777" w:rsidR="008C76E0" w:rsidRPr="00BD7577" w:rsidRDefault="008C76E0" w:rsidP="008C76E0">
            <w:pPr>
              <w:spacing w:after="120" w:line="240" w:lineRule="auto"/>
              <w:ind w:left="27" w:right="-1"/>
              <w:rPr>
                <w:rFonts w:ascii="Sylfaen" w:hAnsi="Sylfaen"/>
                <w:sz w:val="24"/>
                <w:szCs w:val="24"/>
              </w:rPr>
            </w:pPr>
          </w:p>
        </w:tc>
        <w:tc>
          <w:tcPr>
            <w:tcW w:w="2901" w:type="dxa"/>
            <w:tcBorders>
              <w:top w:val="single" w:sz="4" w:space="0" w:color="auto"/>
              <w:left w:val="single" w:sz="4" w:space="0" w:color="auto"/>
              <w:bottom w:val="single" w:sz="4" w:space="0" w:color="auto"/>
              <w:right w:val="single" w:sz="4" w:space="0" w:color="auto"/>
            </w:tcBorders>
            <w:shd w:val="clear" w:color="auto" w:fill="FFFFFF"/>
          </w:tcPr>
          <w:p w14:paraId="4E571888" w14:textId="77777777" w:rsidR="008C76E0" w:rsidRPr="00BD7577" w:rsidRDefault="008C76E0" w:rsidP="008C76E0">
            <w:pPr>
              <w:spacing w:after="120" w:line="240" w:lineRule="auto"/>
              <w:ind w:left="31" w:right="65"/>
              <w:rPr>
                <w:rFonts w:ascii="Sylfaen" w:hAnsi="Sylfaen"/>
                <w:sz w:val="24"/>
                <w:szCs w:val="24"/>
              </w:rPr>
            </w:pPr>
          </w:p>
        </w:tc>
      </w:tr>
    </w:tbl>
    <w:p w14:paraId="1F4903ED" w14:textId="77777777" w:rsidR="008C76E0" w:rsidRPr="00BD7577" w:rsidRDefault="008C76E0" w:rsidP="008C76E0">
      <w:pPr>
        <w:ind w:right="-1"/>
        <w:jc w:val="both"/>
        <w:rPr>
          <w:rFonts w:ascii="Sylfaen" w:hAnsi="Sylfaen"/>
          <w:sz w:val="24"/>
          <w:szCs w:val="24"/>
        </w:rPr>
      </w:pPr>
    </w:p>
    <w:p w14:paraId="4F286A99"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 ուսումնասիրությանը վերաբերող պարտավորությունները </w:t>
      </w:r>
      <w:r w:rsidRPr="00C06C9D">
        <w:rPr>
          <w:rFonts w:ascii="Sylfaen" w:hAnsi="Sylfaen"/>
          <w:sz w:val="24"/>
          <w:szCs w:val="24"/>
        </w:rPr>
        <w:br/>
      </w:r>
      <w:r w:rsidRPr="00BD7577">
        <w:rPr>
          <w:rFonts w:ascii="Sylfaen" w:hAnsi="Sylfaen"/>
          <w:sz w:val="24"/>
          <w:szCs w:val="24"/>
        </w:rPr>
        <w:t>(բաժին P.8.2)։</w:t>
      </w:r>
    </w:p>
    <w:p w14:paraId="5C8E3EB4"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8087866"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57FFC84E"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AB43DB8"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4.8.3.</w:t>
      </w:r>
      <w:r w:rsidRPr="00BD7577">
        <w:rPr>
          <w:rFonts w:ascii="Sylfaen" w:hAnsi="Sylfaen"/>
          <w:sz w:val="24"/>
          <w:szCs w:val="24"/>
        </w:rPr>
        <w:tab/>
        <w:t>Կայունության փորձարկումների տվյալները (բաժին P.8.3)։</w:t>
      </w:r>
    </w:p>
    <w:p w14:paraId="3FB0661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D49DE5E"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5E49DB4"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E82EF69" w14:textId="77777777" w:rsidR="008C76E0" w:rsidRPr="00BD7577" w:rsidRDefault="008C76E0" w:rsidP="00D23305">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Կայունության փորձարկումների այն տվյալները, որոնց վրա հիմնվում է P.8.1 բաժնի համառոտ ամփոփումը </w:t>
      </w:r>
      <w:r w:rsidR="00C54D75">
        <w:rPr>
          <w:rFonts w:ascii="Sylfaen" w:hAnsi="Sylfaen"/>
          <w:sz w:val="24"/>
          <w:szCs w:val="24"/>
        </w:rPr>
        <w:t>և</w:t>
      </w:r>
      <w:r w:rsidRPr="00BD7577">
        <w:rPr>
          <w:rFonts w:ascii="Sylfaen" w:hAnsi="Sylfaen"/>
          <w:sz w:val="24"/>
          <w:szCs w:val="24"/>
        </w:rPr>
        <w:t xml:space="preserve"> եզրակացությունը, ներառվում են դոսյեում։</w:t>
      </w:r>
    </w:p>
    <w:p w14:paraId="30277400" w14:textId="36A1EE03"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4.8.4.</w:t>
      </w:r>
      <w:r w:rsidRPr="00BD7577">
        <w:rPr>
          <w:rFonts w:ascii="Sylfaen" w:hAnsi="Sylfaen"/>
          <w:sz w:val="24"/>
          <w:szCs w:val="24"/>
        </w:rPr>
        <w:tab/>
        <w:t xml:space="preserve">Դեղապատրաստուկի պիտանիության </w:t>
      </w:r>
      <w:r w:rsidR="001A5F1A">
        <w:rPr>
          <w:rFonts w:ascii="Sylfaen" w:hAnsi="Sylfaen"/>
          <w:sz w:val="24"/>
          <w:szCs w:val="24"/>
        </w:rPr>
        <w:t>հայտագրված</w:t>
      </w:r>
      <w:r w:rsidRPr="00BD7577">
        <w:rPr>
          <w:rFonts w:ascii="Sylfaen" w:hAnsi="Sylfaen"/>
          <w:sz w:val="24"/>
          <w:szCs w:val="24"/>
        </w:rPr>
        <w:t xml:space="preserve"> ժամկետի </w:t>
      </w:r>
      <w:r w:rsidR="00C54D75">
        <w:rPr>
          <w:rFonts w:ascii="Sylfaen" w:hAnsi="Sylfaen"/>
          <w:sz w:val="24"/>
          <w:szCs w:val="24"/>
        </w:rPr>
        <w:t>և</w:t>
      </w:r>
      <w:r w:rsidRPr="00BD7577">
        <w:rPr>
          <w:rFonts w:ascii="Sylfaen" w:hAnsi="Sylfaen"/>
          <w:sz w:val="24"/>
          <w:szCs w:val="24"/>
        </w:rPr>
        <w:t xml:space="preserve"> պահպանման պայմանների հաստատման վերաբերյալ ռեզյումեն</w:t>
      </w:r>
    </w:p>
    <w:p w14:paraId="7499EA5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FC0946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A0A0A43"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83" w:type="dxa"/>
        <w:jc w:val="center"/>
        <w:tblLayout w:type="fixed"/>
        <w:tblCellMar>
          <w:left w:w="10" w:type="dxa"/>
          <w:right w:w="10" w:type="dxa"/>
        </w:tblCellMar>
        <w:tblLook w:val="04A0" w:firstRow="1" w:lastRow="0" w:firstColumn="1" w:lastColumn="0" w:noHBand="0" w:noVBand="1"/>
      </w:tblPr>
      <w:tblGrid>
        <w:gridCol w:w="9183"/>
      </w:tblGrid>
      <w:tr w:rsidR="008C76E0" w:rsidRPr="00BD7577" w14:paraId="36C02412" w14:textId="77777777" w:rsidTr="008C76E0">
        <w:trPr>
          <w:jc w:val="center"/>
        </w:trPr>
        <w:tc>
          <w:tcPr>
            <w:tcW w:w="9183" w:type="dxa"/>
            <w:tcBorders>
              <w:top w:val="single" w:sz="4" w:space="0" w:color="auto"/>
              <w:left w:val="single" w:sz="4" w:space="0" w:color="auto"/>
              <w:right w:val="single" w:sz="4" w:space="0" w:color="auto"/>
            </w:tcBorders>
            <w:shd w:val="clear" w:color="auto" w:fill="FFFFFF"/>
            <w:vAlign w:val="bottom"/>
          </w:tcPr>
          <w:p w14:paraId="5E3873D2"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DFD08D1" w14:textId="77777777" w:rsidTr="008C76E0">
        <w:trPr>
          <w:jc w:val="center"/>
        </w:trPr>
        <w:tc>
          <w:tcPr>
            <w:tcW w:w="9183" w:type="dxa"/>
            <w:tcBorders>
              <w:top w:val="single" w:sz="4" w:space="0" w:color="auto"/>
              <w:left w:val="single" w:sz="4" w:space="0" w:color="auto"/>
              <w:right w:val="single" w:sz="4" w:space="0" w:color="auto"/>
            </w:tcBorders>
            <w:shd w:val="clear" w:color="auto" w:fill="FFFFFF"/>
          </w:tcPr>
          <w:p w14:paraId="043485C8" w14:textId="77777777" w:rsidR="008C76E0" w:rsidRPr="00BD7577" w:rsidRDefault="008C76E0" w:rsidP="00D23305">
            <w:pPr>
              <w:spacing w:after="160" w:line="360" w:lineRule="auto"/>
              <w:ind w:right="-1"/>
              <w:jc w:val="both"/>
              <w:rPr>
                <w:rFonts w:ascii="Sylfaen" w:hAnsi="Sylfaen"/>
                <w:sz w:val="24"/>
                <w:szCs w:val="24"/>
                <w:highlight w:val="yellow"/>
              </w:rPr>
            </w:pPr>
          </w:p>
        </w:tc>
      </w:tr>
      <w:tr w:rsidR="008C76E0" w:rsidRPr="00BD7577" w14:paraId="319FEDAA" w14:textId="77777777" w:rsidTr="008C76E0">
        <w:trPr>
          <w:jc w:val="center"/>
        </w:trPr>
        <w:tc>
          <w:tcPr>
            <w:tcW w:w="9183" w:type="dxa"/>
            <w:tcBorders>
              <w:top w:val="single" w:sz="4" w:space="0" w:color="auto"/>
              <w:left w:val="single" w:sz="4" w:space="0" w:color="auto"/>
              <w:bottom w:val="single" w:sz="4" w:space="0" w:color="auto"/>
              <w:right w:val="single" w:sz="4" w:space="0" w:color="auto"/>
            </w:tcBorders>
            <w:shd w:val="clear" w:color="auto" w:fill="FFFFFF"/>
          </w:tcPr>
          <w:p w14:paraId="1F483EDA" w14:textId="77777777" w:rsidR="008C76E0" w:rsidRPr="00BD7577" w:rsidRDefault="008C76E0" w:rsidP="00D23305">
            <w:pPr>
              <w:spacing w:after="160" w:line="360" w:lineRule="auto"/>
              <w:ind w:right="-1"/>
              <w:jc w:val="both"/>
              <w:rPr>
                <w:rFonts w:ascii="Sylfaen" w:hAnsi="Sylfaen"/>
                <w:sz w:val="24"/>
                <w:szCs w:val="24"/>
              </w:rPr>
            </w:pPr>
          </w:p>
        </w:tc>
      </w:tr>
    </w:tbl>
    <w:p w14:paraId="5F6D5CA3" w14:textId="77777777" w:rsidR="008C76E0" w:rsidRPr="00BD7577" w:rsidRDefault="008C76E0" w:rsidP="00D23305">
      <w:pPr>
        <w:spacing w:after="160" w:line="360" w:lineRule="auto"/>
        <w:ind w:right="-1" w:firstLine="567"/>
        <w:jc w:val="both"/>
        <w:rPr>
          <w:rFonts w:ascii="Sylfaen" w:hAnsi="Sylfaen"/>
          <w:sz w:val="24"/>
          <w:szCs w:val="24"/>
          <w:lang w:val="en-US"/>
        </w:rPr>
      </w:pPr>
    </w:p>
    <w:p w14:paraId="0187B6C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5. Լրացումները (մոդուլ 3.2.A)</w:t>
      </w:r>
    </w:p>
    <w:p w14:paraId="4E7CAB4A" w14:textId="77777777" w:rsidR="008C76E0" w:rsidRPr="00BD7577" w:rsidRDefault="008C76E0" w:rsidP="00D23305">
      <w:pPr>
        <w:spacing w:after="160" w:line="360" w:lineRule="auto"/>
        <w:ind w:right="-1"/>
        <w:jc w:val="center"/>
        <w:rPr>
          <w:rFonts w:ascii="Sylfaen" w:hAnsi="Sylfaen"/>
          <w:sz w:val="24"/>
          <w:szCs w:val="24"/>
          <w:lang w:val="en-US"/>
        </w:rPr>
      </w:pPr>
      <w:r w:rsidRPr="00BD7577">
        <w:rPr>
          <w:rFonts w:ascii="Sylfaen" w:hAnsi="Sylfaen"/>
          <w:sz w:val="24"/>
          <w:szCs w:val="24"/>
        </w:rPr>
        <w:t xml:space="preserve">5.1. Արտադրական տարածքները </w:t>
      </w:r>
      <w:r w:rsidR="00C54D75">
        <w:rPr>
          <w:rFonts w:ascii="Sylfaen" w:hAnsi="Sylfaen"/>
          <w:sz w:val="24"/>
          <w:szCs w:val="24"/>
        </w:rPr>
        <w:t>և</w:t>
      </w:r>
      <w:r w:rsidRPr="00BD7577">
        <w:rPr>
          <w:rFonts w:ascii="Sylfaen" w:hAnsi="Sylfaen"/>
          <w:sz w:val="24"/>
          <w:szCs w:val="24"/>
        </w:rPr>
        <w:t xml:space="preserve"> սարքավորումները</w:t>
      </w:r>
    </w:p>
    <w:p w14:paraId="1FC42767"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328607A"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09FBC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0D5B8F" w14:textId="77777777" w:rsidR="008C76E0" w:rsidRDefault="008C76E0" w:rsidP="00D23305">
      <w:pPr>
        <w:spacing w:after="160" w:line="360" w:lineRule="auto"/>
        <w:ind w:right="-1"/>
        <w:jc w:val="center"/>
        <w:rPr>
          <w:rFonts w:ascii="Sylfaen" w:hAnsi="Sylfaen"/>
          <w:sz w:val="24"/>
          <w:szCs w:val="24"/>
          <w:lang w:val="en-US"/>
        </w:rPr>
      </w:pPr>
    </w:p>
    <w:p w14:paraId="447E5B6F"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lastRenderedPageBreak/>
        <w:t>5.2. Կողմնակի ագենտների մասով անվտանգության գնահատումը</w:t>
      </w:r>
    </w:p>
    <w:p w14:paraId="3E868D09"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ADD78B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6C2A1E"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98987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5.3. Նոր օժանդակ նյութերը</w:t>
      </w:r>
    </w:p>
    <w:p w14:paraId="5E1EDA36"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0A62B8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E1833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7370EE" w14:textId="77777777" w:rsidR="008C76E0" w:rsidRDefault="008C76E0" w:rsidP="00D23305">
      <w:pPr>
        <w:spacing w:after="160" w:line="360" w:lineRule="auto"/>
        <w:ind w:right="-1"/>
        <w:jc w:val="center"/>
        <w:rPr>
          <w:rFonts w:ascii="Sylfaen" w:hAnsi="Sylfaen"/>
          <w:sz w:val="24"/>
          <w:szCs w:val="24"/>
          <w:lang w:val="en-US"/>
        </w:rPr>
      </w:pPr>
    </w:p>
    <w:p w14:paraId="1EC02AC9"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 Տարածաշրջանային տեղեկատվությունը</w:t>
      </w:r>
    </w:p>
    <w:p w14:paraId="4D363012"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DEEE38"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659F5B"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9F24B3" w14:textId="77777777" w:rsidR="008C76E0" w:rsidRDefault="008C76E0" w:rsidP="00D23305">
      <w:pPr>
        <w:spacing w:after="160" w:line="360" w:lineRule="auto"/>
        <w:ind w:left="567" w:right="566"/>
        <w:jc w:val="center"/>
        <w:rPr>
          <w:rFonts w:ascii="Sylfaen" w:hAnsi="Sylfaen"/>
          <w:sz w:val="24"/>
          <w:szCs w:val="24"/>
          <w:lang w:val="en-US"/>
        </w:rPr>
      </w:pPr>
    </w:p>
    <w:p w14:paraId="2A4FBB2C"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6.1. Դեղային արտադրատեսակի արտադրության գործընթացի վալիդացման սխեման</w:t>
      </w:r>
    </w:p>
    <w:p w14:paraId="4FCC6026"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E91717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CBBA086"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0A25E6" w14:textId="77777777" w:rsidR="008C76E0" w:rsidRPr="00DD61E4" w:rsidRDefault="008C76E0" w:rsidP="00D23305">
      <w:pPr>
        <w:spacing w:after="160" w:line="360" w:lineRule="auto"/>
        <w:ind w:right="-1"/>
        <w:jc w:val="center"/>
        <w:rPr>
          <w:rFonts w:ascii="Sylfaen" w:hAnsi="Sylfaen"/>
          <w:sz w:val="24"/>
          <w:szCs w:val="24"/>
        </w:rPr>
      </w:pPr>
    </w:p>
    <w:p w14:paraId="115CADA4"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6.2. Բժշկական ապրանքներին առնչվող հարցերը</w:t>
      </w:r>
    </w:p>
    <w:p w14:paraId="2B7E323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3582B7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888276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5C9CF1"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6.3. ՏՍԷ-ի փոխանցման ռիսկին առնչվող հարցերը</w:t>
      </w:r>
    </w:p>
    <w:p w14:paraId="7DFDB36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8D92954"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E132EFF"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FE97F3" w14:textId="77777777" w:rsidR="008C76E0" w:rsidRPr="00DD61E4" w:rsidRDefault="008C76E0" w:rsidP="00D23305">
      <w:pPr>
        <w:spacing w:after="160" w:line="360" w:lineRule="auto"/>
        <w:ind w:left="567" w:right="566"/>
        <w:jc w:val="center"/>
        <w:rPr>
          <w:rFonts w:ascii="Sylfaen" w:hAnsi="Sylfaen"/>
          <w:sz w:val="24"/>
          <w:szCs w:val="24"/>
        </w:rPr>
      </w:pPr>
    </w:p>
    <w:p w14:paraId="1217F84F"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7. Դեղապատրաստուկի ընդհանուր բնութագրի, բժշկական կիրառման հրահանգի (ներդիր թերթիկի) </w:t>
      </w:r>
      <w:r w:rsidR="00C54D75">
        <w:rPr>
          <w:rFonts w:ascii="Sylfaen" w:hAnsi="Sylfaen"/>
          <w:sz w:val="24"/>
          <w:szCs w:val="24"/>
        </w:rPr>
        <w:t>և</w:t>
      </w:r>
      <w:r w:rsidRPr="00BD7577">
        <w:rPr>
          <w:rFonts w:ascii="Sylfaen" w:hAnsi="Sylfaen"/>
          <w:sz w:val="24"/>
          <w:szCs w:val="24"/>
        </w:rPr>
        <w:t xml:space="preserve"> դեղապատրաստուկի փաթեթվածքի դիզայնի վերաբերյալ փորձագետի դիտողությունները</w:t>
      </w:r>
    </w:p>
    <w:p w14:paraId="3C9D969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4A5DE1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44FE27"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3D6FF0C" w14:textId="77777777" w:rsidR="008C76E0" w:rsidRPr="00DD61E4" w:rsidRDefault="008C76E0" w:rsidP="00D23305">
      <w:pPr>
        <w:spacing w:after="160" w:line="360" w:lineRule="auto"/>
        <w:ind w:left="567" w:right="566"/>
        <w:jc w:val="center"/>
        <w:rPr>
          <w:rFonts w:ascii="Sylfaen" w:hAnsi="Sylfaen"/>
          <w:sz w:val="24"/>
          <w:szCs w:val="24"/>
        </w:rPr>
      </w:pPr>
    </w:p>
    <w:p w14:paraId="1A036A3F"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8. Փորձագետի ընդհանուր եզրահանգումները՝ որակի վերաբերյալ</w:t>
      </w:r>
    </w:p>
    <w:p w14:paraId="100FA22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CD16B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0ECAB04"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2699810" w14:textId="77777777" w:rsidR="008C76E0" w:rsidRPr="00DD61E4" w:rsidRDefault="008C76E0" w:rsidP="00D23305">
      <w:pPr>
        <w:spacing w:after="160" w:line="360" w:lineRule="auto"/>
        <w:ind w:left="567" w:right="566"/>
        <w:jc w:val="center"/>
        <w:rPr>
          <w:rFonts w:ascii="Sylfaen" w:hAnsi="Sylfaen"/>
          <w:sz w:val="24"/>
          <w:szCs w:val="24"/>
        </w:rPr>
      </w:pPr>
    </w:p>
    <w:p w14:paraId="47FB6EF6"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 Անցկացված փորձաքննության շրջանակներում փորձագետի կողմից առաջադրված դիտողությունների ցանկը</w:t>
      </w:r>
    </w:p>
    <w:p w14:paraId="13DCA25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24CCEAE"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7A1B258"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143983D"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9.1. Որակի ասպեկտները</w:t>
      </w:r>
    </w:p>
    <w:p w14:paraId="19340D77"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CF555A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E33786"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D60817" w14:textId="77777777" w:rsidR="008C76E0" w:rsidRPr="00DD61E4" w:rsidRDefault="008C76E0" w:rsidP="00D23305">
      <w:pPr>
        <w:spacing w:after="160" w:line="360" w:lineRule="auto"/>
        <w:ind w:left="567" w:right="566"/>
        <w:jc w:val="center"/>
        <w:rPr>
          <w:rFonts w:ascii="Sylfaen" w:hAnsi="Sylfaen"/>
          <w:sz w:val="24"/>
          <w:szCs w:val="24"/>
        </w:rPr>
      </w:pPr>
    </w:p>
    <w:p w14:paraId="1301304D"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9.2. Կրիտիկական դիտողությունները</w:t>
      </w:r>
    </w:p>
    <w:p w14:paraId="2FA6BA9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4FEFD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7B00608"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E44A55" w14:textId="7B805710"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9.2.1.</w:t>
      </w:r>
      <w:r w:rsidRPr="00BD7577">
        <w:rPr>
          <w:rFonts w:ascii="Sylfaen" w:hAnsi="Sylfaen"/>
          <w:sz w:val="24"/>
          <w:szCs w:val="24"/>
        </w:rPr>
        <w:tab/>
        <w:t xml:space="preserve">Ակտիվ դեղագործական բաղադրամասը (դասվում է միայն </w:t>
      </w:r>
      <w:r w:rsidR="0056496B">
        <w:rPr>
          <w:rFonts w:ascii="Sylfaen" w:hAnsi="Sylfaen"/>
          <w:sz w:val="24"/>
          <w:szCs w:val="24"/>
        </w:rPr>
        <w:t>դիմումատու</w:t>
      </w:r>
      <w:r w:rsidRPr="00BD7577">
        <w:rPr>
          <w:rFonts w:ascii="Sylfaen" w:hAnsi="Sylfaen"/>
          <w:sz w:val="24"/>
          <w:szCs w:val="24"/>
        </w:rPr>
        <w:t>ի կողմից տրամադրվող լրացուցիչ տվյալների շարքին):</w:t>
      </w:r>
    </w:p>
    <w:p w14:paraId="4F04682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71CB918"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F5C382"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65A1A62" w14:textId="03E6945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9.2.2</w:t>
      </w:r>
      <w:r w:rsidRPr="00BD7577">
        <w:rPr>
          <w:rFonts w:ascii="Sylfaen" w:hAnsi="Sylfaen"/>
          <w:sz w:val="24"/>
          <w:szCs w:val="24"/>
        </w:rPr>
        <w:tab/>
        <w:t>Ակտիվ դեղագործական բաղադրամասը (</w:t>
      </w:r>
      <w:r w:rsidR="0056496B">
        <w:rPr>
          <w:rFonts w:ascii="Sylfaen" w:hAnsi="Sylfaen"/>
          <w:sz w:val="24"/>
          <w:szCs w:val="24"/>
        </w:rPr>
        <w:t>դիմում</w:t>
      </w:r>
      <w:r w:rsidRPr="00BD7577">
        <w:rPr>
          <w:rFonts w:ascii="Sylfaen" w:hAnsi="Sylfaen"/>
          <w:sz w:val="24"/>
          <w:szCs w:val="24"/>
        </w:rPr>
        <w:t>ի՝ ԱԴԲՄՖ-ի իրավատիրոջ կողմից տրամադրվող մասը)։</w:t>
      </w:r>
    </w:p>
    <w:p w14:paraId="69B2F85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1EF150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06701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06947F" w14:textId="77777777" w:rsidR="008C76E0" w:rsidRPr="00BD7577" w:rsidRDefault="008C76E0" w:rsidP="00D23305">
      <w:pPr>
        <w:spacing w:after="160" w:line="360" w:lineRule="auto"/>
        <w:ind w:left="2268" w:right="-1" w:hanging="2268"/>
        <w:jc w:val="both"/>
        <w:rPr>
          <w:rFonts w:ascii="Sylfaen" w:hAnsi="Sylfaen"/>
          <w:sz w:val="24"/>
          <w:szCs w:val="24"/>
        </w:rPr>
      </w:pPr>
      <w:r w:rsidRPr="00BD7577">
        <w:rPr>
          <w:rFonts w:ascii="Sylfaen" w:hAnsi="Sylfaen"/>
          <w:sz w:val="24"/>
          <w:szCs w:val="24"/>
        </w:rPr>
        <w:t xml:space="preserve">Ծանոթագրություն: ԱԴԲՄՖ-ն օգտագործելիս բնակչության առողջության համար հավանական լուրջ ռիսկի դեպքում, որն արտացոլվում է դրա փակ մասում, հարկ է նշել՝ </w:t>
      </w:r>
      <w:r w:rsidRPr="00BD7577">
        <w:rPr>
          <w:rStyle w:val="Bodytext295pt"/>
          <w:rFonts w:ascii="Sylfaen" w:eastAsiaTheme="minorHAnsi" w:hAnsi="Sylfaen"/>
          <w:b w:val="0"/>
          <w:spacing w:val="0"/>
          <w:sz w:val="24"/>
          <w:szCs w:val="24"/>
        </w:rPr>
        <w:t>&lt;</w:t>
      </w:r>
      <w:r w:rsidRPr="00BD7577">
        <w:rPr>
          <w:rFonts w:ascii="Sylfaen" w:hAnsi="Sylfaen"/>
          <w:sz w:val="24"/>
          <w:szCs w:val="24"/>
        </w:rPr>
        <w:t xml:space="preserve">բնակչության առողջության </w:t>
      </w:r>
      <w:r w:rsidRPr="00BD7577">
        <w:rPr>
          <w:rFonts w:ascii="Sylfaen" w:hAnsi="Sylfaen"/>
          <w:sz w:val="24"/>
          <w:szCs w:val="24"/>
        </w:rPr>
        <w:lastRenderedPageBreak/>
        <w:t>համար ԱԴԲՄՖ-ի փակ մասում ներկայացված հավանական լուրջ ռիսկի հարցի հետ կապված՝ հարկ է անդրադառնալ ԱԴԲՄՖ-ի կրիտիկական գնահատման վերաբերյալ առանձին փորձագիտական հաշվետվությանը&gt;։</w:t>
      </w:r>
    </w:p>
    <w:p w14:paraId="1D7B8ED3" w14:textId="77777777" w:rsidR="008C76E0" w:rsidRPr="00BD7577" w:rsidRDefault="008C76E0" w:rsidP="00D23305">
      <w:pPr>
        <w:tabs>
          <w:tab w:val="left" w:pos="1701"/>
        </w:tabs>
        <w:spacing w:after="160" w:line="360" w:lineRule="auto"/>
        <w:ind w:left="1701" w:right="-1" w:hanging="1134"/>
        <w:jc w:val="both"/>
        <w:rPr>
          <w:rFonts w:ascii="Sylfaen" w:hAnsi="Sylfaen"/>
          <w:sz w:val="24"/>
          <w:szCs w:val="24"/>
        </w:rPr>
      </w:pPr>
      <w:r w:rsidRPr="00BD7577">
        <w:rPr>
          <w:rFonts w:ascii="Sylfaen" w:hAnsi="Sylfaen"/>
          <w:sz w:val="24"/>
          <w:szCs w:val="24"/>
        </w:rPr>
        <w:t>9.2.3.</w:t>
      </w:r>
      <w:r w:rsidRPr="00BD7577">
        <w:rPr>
          <w:rFonts w:ascii="Sylfaen" w:hAnsi="Sylfaen"/>
          <w:sz w:val="24"/>
          <w:szCs w:val="24"/>
        </w:rPr>
        <w:tab/>
        <w:t>Դեղապատրաստուկը։</w:t>
      </w:r>
    </w:p>
    <w:p w14:paraId="2823017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1FB9FF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33FAD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E2A70C8"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9.3. Այլ դիտողություններ</w:t>
      </w:r>
    </w:p>
    <w:p w14:paraId="5D35735C" w14:textId="573965AF"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9.3.1.</w:t>
      </w:r>
      <w:r w:rsidRPr="00BD7577">
        <w:rPr>
          <w:rFonts w:ascii="Sylfaen" w:hAnsi="Sylfaen"/>
          <w:sz w:val="24"/>
          <w:szCs w:val="24"/>
        </w:rPr>
        <w:tab/>
        <w:t xml:space="preserve">Ակտիվ դեղագործական բաղադրամասը (դասվում է միայն </w:t>
      </w:r>
      <w:r w:rsidR="0056496B">
        <w:rPr>
          <w:rFonts w:ascii="Sylfaen" w:hAnsi="Sylfaen"/>
          <w:sz w:val="24"/>
          <w:szCs w:val="24"/>
        </w:rPr>
        <w:t>դիմումատու</w:t>
      </w:r>
      <w:r w:rsidRPr="00BD7577">
        <w:rPr>
          <w:rFonts w:ascii="Sylfaen" w:hAnsi="Sylfaen"/>
          <w:sz w:val="24"/>
          <w:szCs w:val="24"/>
        </w:rPr>
        <w:t>ի կողմից տրամադրվող լրացուցիչ տվյալների շարքին):</w:t>
      </w:r>
    </w:p>
    <w:p w14:paraId="66976DE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A6137A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EA1B71F"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CFB00D7" w14:textId="77777777" w:rsidR="008C76E0" w:rsidRPr="008C76E0" w:rsidRDefault="008C76E0" w:rsidP="00D23305">
      <w:pPr>
        <w:pStyle w:val="Bodytext70"/>
        <w:shd w:val="clear" w:color="auto" w:fill="auto"/>
        <w:spacing w:before="0" w:after="160" w:line="360" w:lineRule="auto"/>
        <w:ind w:left="2268" w:right="-1" w:hanging="2268"/>
        <w:rPr>
          <w:rFonts w:ascii="Sylfaen" w:hAnsi="Sylfaen"/>
          <w:b w:val="0"/>
          <w:i w:val="0"/>
          <w:sz w:val="24"/>
          <w:szCs w:val="24"/>
          <w:lang w:val="hy-AM"/>
        </w:rPr>
      </w:pPr>
      <w:r w:rsidRPr="00BD7577">
        <w:rPr>
          <w:rStyle w:val="Bodytext295pt"/>
          <w:rFonts w:ascii="Sylfaen" w:hAnsi="Sylfaen"/>
          <w:i w:val="0"/>
          <w:spacing w:val="0"/>
          <w:sz w:val="24"/>
          <w:szCs w:val="24"/>
        </w:rPr>
        <w:t xml:space="preserve">Ծանոթագրություն: Կիրառելիության դեպքում հարկ է նշել՝ </w:t>
      </w:r>
      <w:r w:rsidRPr="008C76E0">
        <w:rPr>
          <w:rFonts w:ascii="Sylfaen" w:hAnsi="Sylfaen"/>
          <w:b w:val="0"/>
          <w:sz w:val="24"/>
          <w:szCs w:val="24"/>
          <w:lang w:val="hy-AM"/>
        </w:rPr>
        <w:t>&lt;ԱԴԲՄՖ-ի փակ մասին վերաբերող այլ դիտողությունների հետ կապված՝ հարկ է անդրադառնալ ԱԴԲՄՖ-ի կրիտիկական գնահատման վերաբերյալ առանձին փորձագիտական հաշվետվությանը&gt;:</w:t>
      </w:r>
    </w:p>
    <w:p w14:paraId="445C3D7A" w14:textId="77777777" w:rsidR="008C76E0" w:rsidRPr="00BD7577" w:rsidRDefault="008C76E0" w:rsidP="00D23305">
      <w:pPr>
        <w:tabs>
          <w:tab w:val="left" w:pos="1701"/>
        </w:tabs>
        <w:spacing w:after="160" w:line="360" w:lineRule="auto"/>
        <w:ind w:right="-1" w:firstLine="567"/>
        <w:rPr>
          <w:rFonts w:ascii="Sylfaen" w:hAnsi="Sylfaen"/>
          <w:sz w:val="24"/>
          <w:szCs w:val="24"/>
        </w:rPr>
      </w:pPr>
      <w:r w:rsidRPr="00BD7577">
        <w:rPr>
          <w:rFonts w:ascii="Sylfaen" w:hAnsi="Sylfaen"/>
          <w:sz w:val="24"/>
          <w:szCs w:val="24"/>
        </w:rPr>
        <w:t>9.3.2.</w:t>
      </w:r>
      <w:r w:rsidRPr="00BD7577">
        <w:rPr>
          <w:rFonts w:ascii="Sylfaen" w:hAnsi="Sylfaen"/>
          <w:sz w:val="24"/>
          <w:szCs w:val="24"/>
        </w:rPr>
        <w:tab/>
        <w:t>Դեղապատրաստուկը։</w:t>
      </w:r>
    </w:p>
    <w:p w14:paraId="21AF5773"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BAA05B"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A6AB22"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001CA7" w14:textId="77777777" w:rsidR="00D23305" w:rsidRDefault="00D23305">
      <w:pPr>
        <w:widowControl/>
        <w:rPr>
          <w:rFonts w:ascii="Sylfaen" w:hAnsi="Sylfaen"/>
          <w:sz w:val="24"/>
          <w:szCs w:val="24"/>
        </w:rPr>
      </w:pPr>
      <w:r>
        <w:rPr>
          <w:rFonts w:ascii="Sylfaen" w:hAnsi="Sylfaen"/>
          <w:sz w:val="24"/>
          <w:szCs w:val="24"/>
        </w:rPr>
        <w:br w:type="page"/>
      </w:r>
    </w:p>
    <w:p w14:paraId="385822B0"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lastRenderedPageBreak/>
        <w:t>9.4. Հանձնարարականներ</w:t>
      </w:r>
    </w:p>
    <w:p w14:paraId="283782B2" w14:textId="77777777" w:rsidR="008C76E0" w:rsidRPr="00BD7577" w:rsidRDefault="008C76E0" w:rsidP="00D23305">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749DA87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F54300C"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C4285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F4C14E6"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4CABB7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8653BF"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C476A81"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ACD9F7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D6BA44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589D791"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41F89C1"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8F46DCF" w14:textId="77777777" w:rsidR="008C76E0" w:rsidRPr="00DD61E4" w:rsidRDefault="008C76E0" w:rsidP="00D23305">
      <w:pPr>
        <w:widowControl/>
        <w:spacing w:after="160" w:line="360" w:lineRule="auto"/>
        <w:rPr>
          <w:rFonts w:ascii="Sylfaen" w:eastAsia="Times New Roman" w:hAnsi="Sylfaen" w:cs="Times New Roman"/>
          <w:sz w:val="24"/>
          <w:szCs w:val="24"/>
        </w:rPr>
      </w:pPr>
    </w:p>
    <w:p w14:paraId="7425569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10. Լրացում 1 (անհրաժեշտության դեպքում)</w:t>
      </w:r>
    </w:p>
    <w:p w14:paraId="5778E2FC"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53A8B37D"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ՓՈՐՁԱԳԻՏԱԿԱՆ ՀԱՇՎԵՏՎՈՒԹՅՈՒՆ</w:t>
      </w:r>
    </w:p>
    <w:p w14:paraId="09FAA95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բաղադրամասի մաստեր-ֆայլի կրիտիկական գնահատման վերաբերյալ</w:t>
      </w:r>
    </w:p>
    <w:p w14:paraId="70401E4A" w14:textId="77777777" w:rsidR="008C76E0" w:rsidRPr="00BD7577" w:rsidRDefault="008C76E0" w:rsidP="00D23305">
      <w:pPr>
        <w:spacing w:after="160" w:line="360" w:lineRule="auto"/>
        <w:ind w:right="-1"/>
        <w:rPr>
          <w:rFonts w:ascii="Sylfaen" w:hAnsi="Sylfaen"/>
          <w:sz w:val="24"/>
          <w:szCs w:val="24"/>
        </w:rPr>
      </w:pPr>
    </w:p>
    <w:p w14:paraId="66D6DDFD"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{Ակտիվ դեղագործական բաղադրամասը}</w:t>
      </w:r>
    </w:p>
    <w:p w14:paraId="5C0F1C55"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{Ակտիվ դեղագործական բաղադրամաս արտադրողը}</w:t>
      </w:r>
    </w:p>
    <w:p w14:paraId="4ABED886" w14:textId="77777777" w:rsidR="008C76E0" w:rsidRPr="00BD7577" w:rsidRDefault="008C76E0" w:rsidP="00D23305">
      <w:pPr>
        <w:pStyle w:val="Bodytext70"/>
        <w:shd w:val="clear" w:color="auto" w:fill="auto"/>
        <w:spacing w:before="0" w:after="160" w:line="360" w:lineRule="auto"/>
        <w:ind w:right="-1" w:firstLine="567"/>
        <w:rPr>
          <w:rStyle w:val="Bodytext295pt"/>
          <w:rFonts w:ascii="Sylfaen" w:hAnsi="Sylfaen"/>
          <w:spacing w:val="0"/>
          <w:sz w:val="24"/>
          <w:szCs w:val="24"/>
        </w:rPr>
      </w:pPr>
      <w:r w:rsidRPr="008C76E0">
        <w:rPr>
          <w:rFonts w:ascii="Sylfaen" w:hAnsi="Sylfaen"/>
          <w:b w:val="0"/>
          <w:sz w:val="24"/>
          <w:szCs w:val="24"/>
          <w:lang w:val="hy-AM"/>
        </w:rPr>
        <w:lastRenderedPageBreak/>
        <w:t>{Գրանցման համարը}</w:t>
      </w:r>
      <w:r w:rsidRPr="00BD7577">
        <w:rPr>
          <w:rStyle w:val="Bodytext295pt"/>
          <w:rFonts w:ascii="Sylfaen" w:hAnsi="Sylfaen"/>
          <w:spacing w:val="0"/>
          <w:sz w:val="24"/>
          <w:szCs w:val="24"/>
        </w:rPr>
        <w:t xml:space="preserve"> (առկայության դեպքում)</w:t>
      </w:r>
    </w:p>
    <w:p w14:paraId="168558E2" w14:textId="7F905C56" w:rsidR="008C76E0" w:rsidRPr="008C76E0" w:rsidRDefault="008C76E0" w:rsidP="00D23305">
      <w:pPr>
        <w:pStyle w:val="Tablecaption40"/>
        <w:shd w:val="clear" w:color="auto" w:fill="auto"/>
        <w:spacing w:after="160" w:line="360" w:lineRule="auto"/>
        <w:ind w:right="-1" w:firstLine="567"/>
        <w:jc w:val="both"/>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 ամսաթիվը, ծառայողական մասի տարբերակի համարը) ամսաթիվը}</w:t>
      </w:r>
    </w:p>
    <w:p w14:paraId="14AFA587"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p>
    <w:p w14:paraId="316DF433" w14:textId="77777777" w:rsidR="008C76E0" w:rsidRPr="00BD7577" w:rsidRDefault="008C76E0" w:rsidP="00D23305">
      <w:pPr>
        <w:tabs>
          <w:tab w:val="left" w:pos="1701"/>
        </w:tabs>
        <w:spacing w:after="160" w:line="360" w:lineRule="auto"/>
        <w:ind w:firstLine="567"/>
        <w:jc w:val="center"/>
        <w:rPr>
          <w:rFonts w:ascii="Sylfaen" w:hAnsi="Sylfaen"/>
          <w:sz w:val="24"/>
          <w:szCs w:val="24"/>
        </w:rPr>
      </w:pPr>
      <w:r w:rsidRPr="00BD7577">
        <w:rPr>
          <w:rFonts w:ascii="Sylfaen" w:hAnsi="Sylfaen"/>
          <w:sz w:val="24"/>
          <w:szCs w:val="24"/>
        </w:rPr>
        <w:t>10.1.</w:t>
      </w:r>
      <w:r>
        <w:rPr>
          <w:rFonts w:ascii="Sylfaen" w:hAnsi="Sylfaen"/>
          <w:sz w:val="24"/>
          <w:szCs w:val="24"/>
          <w:lang w:val="en-US"/>
        </w:rPr>
        <w:t xml:space="preserve"> </w:t>
      </w:r>
      <w:r w:rsidRPr="00BD7577">
        <w:rPr>
          <w:rFonts w:ascii="Sylfaen" w:hAnsi="Sylfaen"/>
          <w:sz w:val="24"/>
          <w:szCs w:val="24"/>
        </w:rPr>
        <w:t>Վարչական տեղեկատվությունը</w:t>
      </w:r>
    </w:p>
    <w:tbl>
      <w:tblPr>
        <w:tblOverlap w:val="never"/>
        <w:tblW w:w="10609" w:type="dxa"/>
        <w:jc w:val="center"/>
        <w:tblLayout w:type="fixed"/>
        <w:tblCellMar>
          <w:left w:w="10" w:type="dxa"/>
          <w:right w:w="10" w:type="dxa"/>
        </w:tblCellMar>
        <w:tblLook w:val="04A0" w:firstRow="1" w:lastRow="0" w:firstColumn="1" w:lastColumn="0" w:noHBand="0" w:noVBand="1"/>
      </w:tblPr>
      <w:tblGrid>
        <w:gridCol w:w="6102"/>
        <w:gridCol w:w="4507"/>
      </w:tblGrid>
      <w:tr w:rsidR="008C76E0" w:rsidRPr="00BD7577" w14:paraId="28D7F92A" w14:textId="77777777" w:rsidTr="008C76E0">
        <w:trPr>
          <w:jc w:val="center"/>
        </w:trPr>
        <w:tc>
          <w:tcPr>
            <w:tcW w:w="6102" w:type="dxa"/>
            <w:tcBorders>
              <w:top w:val="single" w:sz="4" w:space="0" w:color="auto"/>
              <w:left w:val="single" w:sz="4" w:space="0" w:color="auto"/>
            </w:tcBorders>
            <w:shd w:val="clear" w:color="auto" w:fill="FFFFFF"/>
          </w:tcPr>
          <w:p w14:paraId="623E1F4B"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Նույնականացման համարը՝</w:t>
            </w:r>
          </w:p>
        </w:tc>
        <w:tc>
          <w:tcPr>
            <w:tcW w:w="4507" w:type="dxa"/>
            <w:tcBorders>
              <w:top w:val="single" w:sz="4" w:space="0" w:color="auto"/>
              <w:left w:val="single" w:sz="4" w:space="0" w:color="auto"/>
              <w:right w:val="single" w:sz="4" w:space="0" w:color="auto"/>
            </w:tcBorders>
            <w:shd w:val="clear" w:color="auto" w:fill="FFFFFF"/>
          </w:tcPr>
          <w:p w14:paraId="04436720" w14:textId="77777777" w:rsidR="008C76E0" w:rsidRPr="00BD7577" w:rsidRDefault="008C76E0" w:rsidP="008C76E0">
            <w:pPr>
              <w:spacing w:after="120" w:line="240" w:lineRule="auto"/>
              <w:ind w:left="186" w:right="-1"/>
              <w:jc w:val="both"/>
              <w:rPr>
                <w:rFonts w:ascii="Sylfaen" w:hAnsi="Sylfaen"/>
                <w:sz w:val="24"/>
                <w:szCs w:val="24"/>
              </w:rPr>
            </w:pPr>
          </w:p>
        </w:tc>
      </w:tr>
      <w:tr w:rsidR="008C76E0" w:rsidRPr="00BD7577" w14:paraId="13A216DE" w14:textId="77777777" w:rsidTr="008C76E0">
        <w:trPr>
          <w:jc w:val="center"/>
        </w:trPr>
        <w:tc>
          <w:tcPr>
            <w:tcW w:w="6102" w:type="dxa"/>
            <w:tcBorders>
              <w:top w:val="single" w:sz="4" w:space="0" w:color="auto"/>
              <w:left w:val="single" w:sz="4" w:space="0" w:color="auto"/>
            </w:tcBorders>
            <w:shd w:val="clear" w:color="auto" w:fill="FFFFFF"/>
          </w:tcPr>
          <w:p w14:paraId="007E7F20"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(ակտիվ դեղագործական բաղադրամասերի) միջազգային չարտոնագրված անվանումը (ՄՉԱ)(համընդհանուր անվանումը)՝</w:t>
            </w:r>
          </w:p>
        </w:tc>
        <w:tc>
          <w:tcPr>
            <w:tcW w:w="4507" w:type="dxa"/>
            <w:tcBorders>
              <w:top w:val="single" w:sz="4" w:space="0" w:color="auto"/>
              <w:left w:val="single" w:sz="4" w:space="0" w:color="auto"/>
              <w:right w:val="single" w:sz="4" w:space="0" w:color="auto"/>
            </w:tcBorders>
            <w:shd w:val="clear" w:color="auto" w:fill="FFFFFF"/>
          </w:tcPr>
          <w:p w14:paraId="0FDFB150" w14:textId="77777777" w:rsidR="008C76E0" w:rsidRPr="00BD7577" w:rsidRDefault="008C76E0" w:rsidP="008C76E0">
            <w:pPr>
              <w:spacing w:after="120" w:line="240" w:lineRule="auto"/>
              <w:ind w:left="186" w:right="119"/>
              <w:rPr>
                <w:rFonts w:ascii="Sylfaen" w:hAnsi="Sylfaen"/>
                <w:sz w:val="24"/>
                <w:szCs w:val="24"/>
              </w:rPr>
            </w:pPr>
          </w:p>
        </w:tc>
      </w:tr>
      <w:tr w:rsidR="008C76E0" w:rsidRPr="00BD7577" w14:paraId="31236216" w14:textId="77777777" w:rsidTr="008C76E0">
        <w:trPr>
          <w:jc w:val="center"/>
        </w:trPr>
        <w:tc>
          <w:tcPr>
            <w:tcW w:w="6102" w:type="dxa"/>
            <w:tcBorders>
              <w:top w:val="single" w:sz="4" w:space="0" w:color="auto"/>
              <w:left w:val="single" w:sz="4" w:space="0" w:color="auto"/>
            </w:tcBorders>
            <w:shd w:val="clear" w:color="auto" w:fill="FFFFFF"/>
          </w:tcPr>
          <w:p w14:paraId="4C540898"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ներքին ծածկագիրը (եթե կիրառվում է)՝</w:t>
            </w:r>
          </w:p>
        </w:tc>
        <w:tc>
          <w:tcPr>
            <w:tcW w:w="4507" w:type="dxa"/>
            <w:tcBorders>
              <w:top w:val="single" w:sz="4" w:space="0" w:color="auto"/>
              <w:left w:val="single" w:sz="4" w:space="0" w:color="auto"/>
              <w:right w:val="single" w:sz="4" w:space="0" w:color="auto"/>
            </w:tcBorders>
            <w:shd w:val="clear" w:color="auto" w:fill="FFFFFF"/>
          </w:tcPr>
          <w:p w14:paraId="4EDA8B6B" w14:textId="77777777" w:rsidR="008C76E0" w:rsidRPr="00BD7577" w:rsidRDefault="008C76E0" w:rsidP="008C76E0">
            <w:pPr>
              <w:spacing w:after="120" w:line="240" w:lineRule="auto"/>
              <w:ind w:left="186" w:right="119"/>
              <w:rPr>
                <w:rFonts w:ascii="Sylfaen" w:hAnsi="Sylfaen"/>
                <w:sz w:val="24"/>
                <w:szCs w:val="24"/>
              </w:rPr>
            </w:pPr>
          </w:p>
        </w:tc>
      </w:tr>
      <w:tr w:rsidR="008C76E0" w:rsidRPr="00BD7577" w14:paraId="454CBBF3" w14:textId="77777777" w:rsidTr="008C76E0">
        <w:trPr>
          <w:jc w:val="center"/>
        </w:trPr>
        <w:tc>
          <w:tcPr>
            <w:tcW w:w="6102" w:type="dxa"/>
            <w:tcBorders>
              <w:top w:val="single" w:sz="4" w:space="0" w:color="auto"/>
              <w:left w:val="single" w:sz="4" w:space="0" w:color="auto"/>
            </w:tcBorders>
            <w:shd w:val="clear" w:color="auto" w:fill="FFFFFF"/>
          </w:tcPr>
          <w:p w14:paraId="3576B425"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 xml:space="preserve">Ակտիվ դեղագործական բաղադրամասն արտադրողի արտադրական հարթակների անվանումներն ու հասցեները </w:t>
            </w:r>
          </w:p>
        </w:tc>
        <w:tc>
          <w:tcPr>
            <w:tcW w:w="4507" w:type="dxa"/>
            <w:tcBorders>
              <w:top w:val="single" w:sz="4" w:space="0" w:color="auto"/>
              <w:left w:val="single" w:sz="4" w:space="0" w:color="auto"/>
              <w:right w:val="single" w:sz="4" w:space="0" w:color="auto"/>
            </w:tcBorders>
            <w:shd w:val="clear" w:color="auto" w:fill="FFFFFF"/>
          </w:tcPr>
          <w:p w14:paraId="25E9B43A"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անվանումը՝</w:t>
            </w:r>
          </w:p>
          <w:p w14:paraId="11B3E52C"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հասցեն՝</w:t>
            </w:r>
          </w:p>
          <w:p w14:paraId="3D6B8321" w14:textId="77777777" w:rsidR="008C76E0" w:rsidRPr="00BD7577" w:rsidRDefault="008C76E0" w:rsidP="008C76E0">
            <w:pPr>
              <w:pStyle w:val="Bodytext180"/>
              <w:shd w:val="clear" w:color="auto" w:fill="auto"/>
              <w:spacing w:before="0" w:after="120" w:line="240" w:lineRule="auto"/>
              <w:ind w:left="186" w:right="119" w:firstLine="0"/>
              <w:rPr>
                <w:rStyle w:val="Bodytext295pt"/>
                <w:rFonts w:ascii="Sylfaen" w:hAnsi="Sylfaen"/>
                <w:spacing w:val="0"/>
                <w:sz w:val="24"/>
                <w:szCs w:val="24"/>
              </w:rPr>
            </w:pPr>
            <w:r w:rsidRPr="00BD7577">
              <w:rPr>
                <w:rStyle w:val="Bodytext295pt"/>
                <w:rFonts w:ascii="Sylfaen" w:hAnsi="Sylfaen"/>
                <w:spacing w:val="0"/>
                <w:sz w:val="24"/>
                <w:szCs w:val="24"/>
              </w:rPr>
              <w:t xml:space="preserve">կոնտակտային անձը՝ հեռախոսահամարը՝ </w:t>
            </w:r>
          </w:p>
          <w:p w14:paraId="60926107"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ֆաքսի համարը՝</w:t>
            </w:r>
          </w:p>
          <w:p w14:paraId="6AA133CA"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էլեկտրոնային փոստի հասցեն՝</w:t>
            </w:r>
          </w:p>
        </w:tc>
      </w:tr>
      <w:tr w:rsidR="008C76E0" w:rsidRPr="00BD7577" w14:paraId="7BF6DD83" w14:textId="77777777" w:rsidTr="008C76E0">
        <w:trPr>
          <w:jc w:val="center"/>
        </w:trPr>
        <w:tc>
          <w:tcPr>
            <w:tcW w:w="6102" w:type="dxa"/>
            <w:tcBorders>
              <w:top w:val="single" w:sz="4" w:space="0" w:color="auto"/>
              <w:left w:val="single" w:sz="4" w:space="0" w:color="auto"/>
              <w:bottom w:val="single" w:sz="4" w:space="0" w:color="auto"/>
            </w:tcBorders>
            <w:shd w:val="clear" w:color="auto" w:fill="FFFFFF"/>
          </w:tcPr>
          <w:p w14:paraId="2BD344E0"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մաստեր-ֆայլի գնահատման վերաբերյալ փորձագիտական հաշվետվության ամսաթիվը</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14:paraId="630618EB"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 xml:space="preserve">գրանցման ընթացակարգը (գրանցումը, փոփոխությունների կատարումը)՝ </w:t>
            </w:r>
          </w:p>
        </w:tc>
      </w:tr>
      <w:tr w:rsidR="008C76E0" w:rsidRPr="00BD7577" w14:paraId="6C7F2079" w14:textId="77777777" w:rsidTr="008C76E0">
        <w:trPr>
          <w:jc w:val="center"/>
        </w:trPr>
        <w:tc>
          <w:tcPr>
            <w:tcW w:w="6102" w:type="dxa"/>
            <w:tcBorders>
              <w:top w:val="single" w:sz="4" w:space="0" w:color="auto"/>
              <w:left w:val="single" w:sz="4" w:space="0" w:color="auto"/>
            </w:tcBorders>
            <w:shd w:val="clear" w:color="auto" w:fill="FFFFFF"/>
          </w:tcPr>
          <w:p w14:paraId="489CEB3E"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Առավելագույն օրական դեղաչափը</w:t>
            </w:r>
          </w:p>
        </w:tc>
        <w:tc>
          <w:tcPr>
            <w:tcW w:w="4507" w:type="dxa"/>
            <w:tcBorders>
              <w:top w:val="single" w:sz="4" w:space="0" w:color="auto"/>
              <w:left w:val="single" w:sz="4" w:space="0" w:color="auto"/>
              <w:right w:val="single" w:sz="4" w:space="0" w:color="auto"/>
            </w:tcBorders>
            <w:shd w:val="clear" w:color="auto" w:fill="FFFFFF"/>
          </w:tcPr>
          <w:p w14:paraId="46F97EB8" w14:textId="77777777" w:rsidR="008C76E0" w:rsidRPr="00BD7577" w:rsidRDefault="008C76E0" w:rsidP="008C76E0">
            <w:pPr>
              <w:pStyle w:val="Bodytext180"/>
              <w:shd w:val="clear" w:color="auto" w:fill="auto"/>
              <w:spacing w:before="0" w:after="120" w:line="240" w:lineRule="auto"/>
              <w:ind w:left="186" w:right="-1" w:firstLine="0"/>
              <w:rPr>
                <w:rFonts w:ascii="Sylfaen" w:hAnsi="Sylfaen"/>
                <w:b w:val="0"/>
                <w:sz w:val="24"/>
                <w:szCs w:val="24"/>
              </w:rPr>
            </w:pPr>
            <w:r w:rsidRPr="00BD7577">
              <w:rPr>
                <w:rStyle w:val="Bodytext295pt"/>
                <w:rFonts w:ascii="Sylfaen" w:hAnsi="Sylfaen"/>
                <w:spacing w:val="0"/>
                <w:sz w:val="24"/>
                <w:szCs w:val="24"/>
              </w:rPr>
              <w:t xml:space="preserve">(օրինակ՝ &lt; 1 գ, &lt; 10 գ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այլն)</w:t>
            </w:r>
          </w:p>
        </w:tc>
      </w:tr>
      <w:tr w:rsidR="008C76E0" w:rsidRPr="00BD7577" w14:paraId="2D11AF9E" w14:textId="77777777" w:rsidTr="008C76E0">
        <w:trPr>
          <w:jc w:val="center"/>
        </w:trPr>
        <w:tc>
          <w:tcPr>
            <w:tcW w:w="6102" w:type="dxa"/>
            <w:tcBorders>
              <w:top w:val="single" w:sz="4" w:space="0" w:color="auto"/>
              <w:left w:val="single" w:sz="4" w:space="0" w:color="auto"/>
            </w:tcBorders>
            <w:shd w:val="clear" w:color="auto" w:fill="FFFFFF"/>
          </w:tcPr>
          <w:p w14:paraId="640DB4AC"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Ներմուծման ուղիները</w:t>
            </w:r>
          </w:p>
        </w:tc>
        <w:tc>
          <w:tcPr>
            <w:tcW w:w="4507" w:type="dxa"/>
            <w:tcBorders>
              <w:top w:val="single" w:sz="4" w:space="0" w:color="auto"/>
              <w:left w:val="single" w:sz="4" w:space="0" w:color="auto"/>
              <w:right w:val="single" w:sz="4" w:space="0" w:color="auto"/>
            </w:tcBorders>
            <w:shd w:val="clear" w:color="auto" w:fill="FFFFFF"/>
          </w:tcPr>
          <w:p w14:paraId="7CD907EB" w14:textId="77777777" w:rsidR="008C76E0" w:rsidRPr="00BD7577" w:rsidRDefault="008C76E0" w:rsidP="008C76E0">
            <w:pPr>
              <w:spacing w:after="120" w:line="240" w:lineRule="auto"/>
              <w:ind w:left="186" w:right="-1"/>
              <w:rPr>
                <w:rFonts w:ascii="Sylfaen" w:hAnsi="Sylfaen"/>
                <w:sz w:val="24"/>
                <w:szCs w:val="24"/>
              </w:rPr>
            </w:pPr>
          </w:p>
        </w:tc>
      </w:tr>
      <w:tr w:rsidR="008C76E0" w:rsidRPr="00BD7577" w14:paraId="74D370F3" w14:textId="77777777" w:rsidTr="008C76E0">
        <w:trPr>
          <w:jc w:val="center"/>
        </w:trPr>
        <w:tc>
          <w:tcPr>
            <w:tcW w:w="6102" w:type="dxa"/>
            <w:tcBorders>
              <w:top w:val="single" w:sz="4" w:space="0" w:color="auto"/>
              <w:left w:val="single" w:sz="4" w:space="0" w:color="auto"/>
              <w:bottom w:val="single" w:sz="4" w:space="0" w:color="auto"/>
            </w:tcBorders>
            <w:shd w:val="clear" w:color="auto" w:fill="FFFFFF"/>
          </w:tcPr>
          <w:p w14:paraId="1A8B13F2"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Թիրախային խմբերը</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14:paraId="6488F2B2" w14:textId="77777777" w:rsidR="008C76E0" w:rsidRPr="00BD7577" w:rsidRDefault="008C76E0" w:rsidP="008C76E0">
            <w:pPr>
              <w:pStyle w:val="Bodytext180"/>
              <w:shd w:val="clear" w:color="auto" w:fill="auto"/>
              <w:spacing w:before="0" w:after="120" w:line="240" w:lineRule="auto"/>
              <w:ind w:left="186" w:right="-1" w:firstLine="0"/>
              <w:rPr>
                <w:rFonts w:ascii="Sylfaen" w:hAnsi="Sylfaen"/>
                <w:b w:val="0"/>
                <w:sz w:val="24"/>
                <w:szCs w:val="24"/>
              </w:rPr>
            </w:pPr>
            <w:r w:rsidRPr="00BD7577">
              <w:rPr>
                <w:rStyle w:val="Bodytext295pt"/>
                <w:rFonts w:ascii="Sylfaen" w:hAnsi="Sylfaen"/>
                <w:spacing w:val="0"/>
                <w:sz w:val="24"/>
                <w:szCs w:val="24"/>
              </w:rPr>
              <w:t>Նորածիններ, մանուկներ, երեխաներ, մեծահասակներ</w:t>
            </w:r>
          </w:p>
        </w:tc>
      </w:tr>
    </w:tbl>
    <w:p w14:paraId="6EA115C2" w14:textId="77777777" w:rsidR="008C76E0" w:rsidRPr="00BD7577" w:rsidRDefault="008C76E0" w:rsidP="008C76E0">
      <w:pPr>
        <w:tabs>
          <w:tab w:val="left" w:pos="3119"/>
        </w:tabs>
        <w:ind w:left="2693" w:right="-1" w:hanging="2694"/>
        <w:jc w:val="both"/>
        <w:rPr>
          <w:rFonts w:ascii="Sylfaen" w:hAnsi="Sylfaen"/>
          <w:sz w:val="24"/>
          <w:szCs w:val="24"/>
        </w:rPr>
      </w:pPr>
    </w:p>
    <w:p w14:paraId="34CC9A81" w14:textId="77777777" w:rsidR="008C76E0" w:rsidRPr="00BD7577" w:rsidRDefault="008C76E0" w:rsidP="0074785B">
      <w:pPr>
        <w:tabs>
          <w:tab w:val="left" w:pos="3119"/>
        </w:tabs>
        <w:spacing w:after="160" w:line="360" w:lineRule="auto"/>
        <w:ind w:left="2693" w:right="-1" w:hanging="2694"/>
        <w:jc w:val="both"/>
        <w:rPr>
          <w:rFonts w:ascii="Sylfaen" w:hAnsi="Sylfaen"/>
          <w:sz w:val="24"/>
          <w:szCs w:val="24"/>
        </w:rPr>
      </w:pPr>
      <w:r w:rsidRPr="00BD7577">
        <w:rPr>
          <w:rFonts w:ascii="Sylfaen" w:hAnsi="Sylfaen"/>
          <w:sz w:val="24"/>
          <w:szCs w:val="24"/>
        </w:rPr>
        <w:t>Ծանոթագրություններ: 1.</w:t>
      </w:r>
      <w:r w:rsidRPr="00BD7577">
        <w:rPr>
          <w:rFonts w:ascii="Sylfaen" w:hAnsi="Sylfaen"/>
          <w:sz w:val="24"/>
          <w:szCs w:val="24"/>
        </w:rPr>
        <w:tab/>
        <w:t>Հաշվետվության կառուցվածքը պետք է արտացոլի Մոդուլ 3.2.S-ի համապատասխան մասերը։</w:t>
      </w:r>
    </w:p>
    <w:p w14:paraId="2850176A" w14:textId="77777777" w:rsidR="008C76E0" w:rsidRPr="00BD7577" w:rsidRDefault="008C76E0" w:rsidP="0074785B">
      <w:pPr>
        <w:tabs>
          <w:tab w:val="left" w:pos="3119"/>
        </w:tabs>
        <w:spacing w:after="160" w:line="360" w:lineRule="auto"/>
        <w:ind w:left="2693" w:right="-1"/>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Ակտիվ դեղագործական բաղադրամասի յուրաքանչյուր մաստեր-ֆայլի (ԱԴԲՄՖ) համար կազմվում է առանձին փորձագիտական հաշվետվություն:</w:t>
      </w:r>
    </w:p>
    <w:p w14:paraId="239EFB1A" w14:textId="77777777" w:rsidR="008C76E0" w:rsidRPr="00BD7577" w:rsidRDefault="008C76E0" w:rsidP="0074785B">
      <w:pPr>
        <w:tabs>
          <w:tab w:val="left" w:pos="3119"/>
        </w:tabs>
        <w:spacing w:after="160" w:line="360" w:lineRule="auto"/>
        <w:ind w:left="2693" w:right="-1"/>
        <w:jc w:val="both"/>
        <w:rPr>
          <w:rFonts w:ascii="Sylfaen" w:hAnsi="Sylfaen"/>
          <w:sz w:val="24"/>
          <w:szCs w:val="24"/>
        </w:rPr>
      </w:pPr>
      <w:r w:rsidRPr="00BD7577">
        <w:rPr>
          <w:rFonts w:ascii="Sylfaen" w:hAnsi="Sylfaen"/>
          <w:sz w:val="24"/>
          <w:szCs w:val="24"/>
        </w:rPr>
        <w:lastRenderedPageBreak/>
        <w:t>3.</w:t>
      </w:r>
      <w:r w:rsidRPr="00BD7577">
        <w:rPr>
          <w:rFonts w:ascii="Sylfaen" w:hAnsi="Sylfaen"/>
          <w:sz w:val="24"/>
          <w:szCs w:val="24"/>
        </w:rPr>
        <w:tab/>
        <w:t>Տվյալ հաշվետվությունը չի ուղարկվում գրանցման հավաստագրի իրավատիրոջը, այլ միայն ԱԴԲ-ի համապատասխան արտադրողին/ԱԴԲՄՖ-ի իրավատիրոջը։</w:t>
      </w:r>
    </w:p>
    <w:p w14:paraId="2513D3C3" w14:textId="77777777" w:rsidR="008C76E0" w:rsidRPr="00BD7577" w:rsidRDefault="008C76E0" w:rsidP="0074785B">
      <w:pPr>
        <w:tabs>
          <w:tab w:val="left" w:pos="3119"/>
        </w:tabs>
        <w:spacing w:after="160" w:line="360" w:lineRule="auto"/>
        <w:ind w:left="2693"/>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Կոնկրետ դեղապատրաստուկների վերաբերյալ հասանելիության թույլտվությունները նկարագրվում են ուսումնասիրվող դեղապատրաստուկի որակի ասպեկտների կրիտիկական գնահատման վերաբերյալ փորձագիտական հաշվետվության մեջ։</w:t>
      </w:r>
    </w:p>
    <w:p w14:paraId="04AFA5FA" w14:textId="77777777" w:rsidR="008C76E0" w:rsidRPr="00BD7577" w:rsidRDefault="008C76E0" w:rsidP="0074785B">
      <w:pPr>
        <w:tabs>
          <w:tab w:val="left" w:pos="3119"/>
        </w:tabs>
        <w:spacing w:after="160" w:line="360" w:lineRule="auto"/>
        <w:ind w:left="2693"/>
        <w:jc w:val="both"/>
        <w:rPr>
          <w:rFonts w:ascii="Sylfaen" w:hAnsi="Sylfaen"/>
          <w:sz w:val="24"/>
          <w:szCs w:val="24"/>
        </w:rPr>
      </w:pPr>
    </w:p>
    <w:p w14:paraId="617F1BE5" w14:textId="29061669" w:rsidR="008C76E0" w:rsidRPr="00BD7577" w:rsidRDefault="008C76E0" w:rsidP="0074785B">
      <w:pPr>
        <w:tabs>
          <w:tab w:val="left" w:pos="1701"/>
        </w:tabs>
        <w:spacing w:after="160" w:line="360" w:lineRule="auto"/>
        <w:ind w:right="565" w:firstLine="567"/>
        <w:jc w:val="center"/>
        <w:rPr>
          <w:rFonts w:ascii="Sylfaen" w:hAnsi="Sylfaen"/>
          <w:sz w:val="24"/>
          <w:szCs w:val="24"/>
        </w:rPr>
      </w:pPr>
      <w:r>
        <w:rPr>
          <w:rFonts w:ascii="Sylfaen" w:hAnsi="Sylfaen"/>
          <w:sz w:val="24"/>
          <w:szCs w:val="24"/>
        </w:rPr>
        <w:t>10.2.</w:t>
      </w:r>
      <w:r w:rsidRPr="00C06C9D">
        <w:rPr>
          <w:rFonts w:ascii="Sylfaen" w:hAnsi="Sylfaen"/>
          <w:sz w:val="24"/>
          <w:szCs w:val="24"/>
        </w:rPr>
        <w:t xml:space="preserve"> </w:t>
      </w:r>
      <w:r w:rsidRPr="00BD7577">
        <w:rPr>
          <w:rFonts w:ascii="Sylfaen" w:hAnsi="Sylfaen"/>
          <w:sz w:val="24"/>
          <w:szCs w:val="24"/>
        </w:rPr>
        <w:t xml:space="preserve">ԱԴԲՄՖ-ի՝ </w:t>
      </w:r>
      <w:r w:rsidR="0056496B">
        <w:rPr>
          <w:rFonts w:ascii="Sylfaen" w:hAnsi="Sylfaen"/>
          <w:sz w:val="24"/>
          <w:szCs w:val="24"/>
        </w:rPr>
        <w:t>դիմումատու</w:t>
      </w:r>
      <w:r w:rsidRPr="00BD7577">
        <w:rPr>
          <w:rFonts w:ascii="Sylfaen" w:hAnsi="Sylfaen"/>
          <w:sz w:val="24"/>
          <w:szCs w:val="24"/>
        </w:rPr>
        <w:t xml:space="preserve">ին հասանելի մասին վերաբերող փորձագիտական հաշվետվությունը </w:t>
      </w:r>
      <w:r w:rsidR="00C54D75">
        <w:rPr>
          <w:rFonts w:ascii="Sylfaen" w:hAnsi="Sylfaen"/>
          <w:sz w:val="24"/>
          <w:szCs w:val="24"/>
        </w:rPr>
        <w:t>և</w:t>
      </w:r>
      <w:r w:rsidRPr="00BD7577">
        <w:rPr>
          <w:rFonts w:ascii="Sylfaen" w:hAnsi="Sylfaen"/>
          <w:sz w:val="24"/>
          <w:szCs w:val="24"/>
        </w:rPr>
        <w:t xml:space="preserve"> հարցերը</w:t>
      </w:r>
    </w:p>
    <w:p w14:paraId="645E033F" w14:textId="77777777" w:rsidR="008C76E0" w:rsidRPr="00BD7577" w:rsidRDefault="008C76E0" w:rsidP="00D91652">
      <w:pPr>
        <w:spacing w:after="160" w:line="336" w:lineRule="auto"/>
        <w:ind w:firstLine="567"/>
        <w:jc w:val="both"/>
        <w:rPr>
          <w:rFonts w:ascii="Sylfaen" w:hAnsi="Sylfaen"/>
          <w:sz w:val="24"/>
          <w:szCs w:val="24"/>
        </w:rPr>
      </w:pPr>
      <w:r w:rsidRPr="00BD7577">
        <w:rPr>
          <w:rFonts w:ascii="Sylfaen" w:hAnsi="Sylfaen"/>
          <w:sz w:val="24"/>
          <w:szCs w:val="24"/>
        </w:rPr>
        <w:t>Սույն հաշվետվությունը վերաբերում է բացառապես ԱԴԲՄՖ-ին։ Այնուամենայնիվ, այն անհրաժեշտ է միշտ դիտարկել այն դեղապատրաստուկի գրանցման դոսյեի կրիտիկական գնահատման վերաբերյալ փորձագիտական հաշվետվության (փորձագիտական հաշվետվությունների) հետ միասին, որին դա (դրանք) վերաբերում է (վերաբերում են)։</w:t>
      </w:r>
    </w:p>
    <w:p w14:paraId="05AF66AD" w14:textId="77777777" w:rsidR="008C76E0" w:rsidRPr="00BD7577" w:rsidRDefault="008C76E0" w:rsidP="00D91652">
      <w:pPr>
        <w:spacing w:after="160" w:line="336" w:lineRule="auto"/>
        <w:ind w:right="-1" w:firstLine="567"/>
        <w:jc w:val="both"/>
        <w:rPr>
          <w:rFonts w:ascii="Sylfaen" w:hAnsi="Sylfaen"/>
          <w:sz w:val="24"/>
          <w:szCs w:val="24"/>
        </w:rPr>
      </w:pPr>
      <w:r w:rsidRPr="00C06C9D">
        <w:rPr>
          <w:rFonts w:ascii="Sylfaen" w:hAnsi="Sylfaen"/>
          <w:spacing w:val="-4"/>
          <w:sz w:val="24"/>
          <w:szCs w:val="24"/>
        </w:rPr>
        <w:t>ԱԴԲՄՖ-ն ընդհանուր տեխնիկական փաստաթղթի ձ</w:t>
      </w:r>
      <w:r w:rsidR="00C54D75">
        <w:rPr>
          <w:rFonts w:ascii="Sylfaen" w:hAnsi="Sylfaen"/>
          <w:spacing w:val="-4"/>
          <w:sz w:val="24"/>
          <w:szCs w:val="24"/>
        </w:rPr>
        <w:t>և</w:t>
      </w:r>
      <w:r w:rsidRPr="00C06C9D">
        <w:rPr>
          <w:rFonts w:ascii="Sylfaen" w:hAnsi="Sylfaen"/>
          <w:spacing w:val="-4"/>
          <w:sz w:val="24"/>
          <w:szCs w:val="24"/>
        </w:rPr>
        <w:t>աչափով տրամադրվել է (ԱԴԲՄՖ-ի իրավատիրոջ</w:t>
      </w:r>
      <w:r w:rsidRPr="00BD7577">
        <w:rPr>
          <w:rFonts w:ascii="Sylfaen" w:hAnsi="Sylfaen"/>
          <w:sz w:val="24"/>
          <w:szCs w:val="24"/>
        </w:rPr>
        <w:t xml:space="preserve"> կողմից) (ԱԴԲ) հետ</w:t>
      </w:r>
      <w:r w:rsidR="00C54D75">
        <w:rPr>
          <w:rFonts w:ascii="Sylfaen" w:hAnsi="Sylfaen"/>
          <w:sz w:val="24"/>
          <w:szCs w:val="24"/>
        </w:rPr>
        <w:t>և</w:t>
      </w:r>
      <w:r w:rsidRPr="00BD7577">
        <w:rPr>
          <w:rFonts w:ascii="Sylfaen" w:hAnsi="Sylfaen"/>
          <w:sz w:val="24"/>
          <w:szCs w:val="24"/>
        </w:rPr>
        <w:t>յալի համար՝</w:t>
      </w:r>
    </w:p>
    <w:p w14:paraId="3502A5B5" w14:textId="4DEC3C6C" w:rsidR="008C76E0" w:rsidRPr="008C76E0" w:rsidRDefault="008C76E0" w:rsidP="00D91652">
      <w:pPr>
        <w:pStyle w:val="Bodytext70"/>
        <w:shd w:val="clear" w:color="auto" w:fill="auto"/>
        <w:spacing w:before="0" w:after="160" w:line="336" w:lineRule="auto"/>
        <w:ind w:right="-1"/>
        <w:jc w:val="center"/>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w:t>
      </w:r>
    </w:p>
    <w:p w14:paraId="419BE6B2" w14:textId="77777777" w:rsidR="008C76E0" w:rsidRPr="008C76E0" w:rsidRDefault="008C76E0" w:rsidP="00D91652">
      <w:pPr>
        <w:pStyle w:val="Bodytext70"/>
        <w:shd w:val="clear" w:color="auto" w:fill="auto"/>
        <w:spacing w:before="0" w:after="160" w:line="336" w:lineRule="auto"/>
        <w:ind w:right="-1"/>
        <w:jc w:val="center"/>
        <w:rPr>
          <w:rFonts w:ascii="Sylfaen" w:hAnsi="Sylfaen"/>
          <w:b w:val="0"/>
          <w:sz w:val="24"/>
          <w:szCs w:val="24"/>
          <w:lang w:val="hy-AM"/>
        </w:rPr>
      </w:pPr>
      <w:r w:rsidRPr="008C76E0">
        <w:rPr>
          <w:rFonts w:ascii="Sylfaen" w:hAnsi="Sylfaen"/>
          <w:b w:val="0"/>
          <w:sz w:val="24"/>
          <w:szCs w:val="24"/>
          <w:lang w:val="hy-AM"/>
        </w:rPr>
        <w:t>{Փակ մասի տարբերակի համարը}</w:t>
      </w:r>
    </w:p>
    <w:p w14:paraId="14EE219E" w14:textId="77777777" w:rsidR="008C76E0" w:rsidRPr="00E15E7D" w:rsidRDefault="008C76E0" w:rsidP="0074785B">
      <w:pPr>
        <w:widowControl/>
        <w:spacing w:after="160" w:line="360" w:lineRule="auto"/>
        <w:rPr>
          <w:rFonts w:ascii="Sylfaen" w:eastAsia="Times New Roman" w:hAnsi="Sylfaen" w:cs="Times New Roman"/>
          <w:sz w:val="24"/>
          <w:szCs w:val="24"/>
        </w:rPr>
      </w:pPr>
    </w:p>
    <w:p w14:paraId="0E8C73E8" w14:textId="77777777" w:rsidR="008C76E0" w:rsidRPr="00BD7577" w:rsidRDefault="008C76E0" w:rsidP="0074785B">
      <w:pPr>
        <w:tabs>
          <w:tab w:val="left" w:pos="1276"/>
        </w:tabs>
        <w:spacing w:after="160" w:line="360" w:lineRule="auto"/>
        <w:ind w:right="-1" w:firstLine="567"/>
        <w:jc w:val="center"/>
        <w:rPr>
          <w:rFonts w:ascii="Sylfaen" w:hAnsi="Sylfaen"/>
          <w:sz w:val="24"/>
          <w:szCs w:val="24"/>
        </w:rPr>
      </w:pPr>
      <w:r>
        <w:rPr>
          <w:rFonts w:ascii="Sylfaen" w:hAnsi="Sylfaen"/>
          <w:sz w:val="24"/>
          <w:szCs w:val="24"/>
        </w:rPr>
        <w:t>S.1</w:t>
      </w:r>
      <w:r w:rsidRPr="007106A3">
        <w:rPr>
          <w:rFonts w:ascii="Sylfaen" w:hAnsi="Sylfaen"/>
          <w:sz w:val="24"/>
          <w:szCs w:val="24"/>
        </w:rPr>
        <w:t xml:space="preserve"> </w:t>
      </w:r>
      <w:r w:rsidRPr="00BD7577">
        <w:rPr>
          <w:rFonts w:ascii="Sylfaen" w:hAnsi="Sylfaen"/>
          <w:sz w:val="24"/>
          <w:szCs w:val="24"/>
        </w:rPr>
        <w:t>Ընդհանուր տեղեկատվություն։</w:t>
      </w:r>
    </w:p>
    <w:p w14:paraId="3D474607" w14:textId="77777777" w:rsidR="008C76E0" w:rsidRPr="00BD7577" w:rsidRDefault="008C76E0" w:rsidP="0074785B">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72563D9A" w14:textId="77777777" w:rsidR="008C76E0" w:rsidRPr="00BD7577" w:rsidRDefault="008C76E0" w:rsidP="0074785B">
      <w:pPr>
        <w:spacing w:after="160" w:line="360"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1862C96" w14:textId="77777777" w:rsidR="008C76E0" w:rsidRPr="00BD7577" w:rsidRDefault="008C76E0" w:rsidP="0074785B">
      <w:pPr>
        <w:spacing w:after="160" w:line="360"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696935" w14:textId="77777777" w:rsidR="008C76E0" w:rsidRPr="00DD61E4" w:rsidRDefault="008C76E0" w:rsidP="00D23305">
      <w:pPr>
        <w:tabs>
          <w:tab w:val="left" w:pos="1134"/>
        </w:tabs>
        <w:spacing w:after="160" w:line="384" w:lineRule="auto"/>
        <w:ind w:right="-1" w:firstLine="567"/>
        <w:jc w:val="center"/>
        <w:rPr>
          <w:rFonts w:ascii="Sylfaen" w:hAnsi="Sylfaen"/>
          <w:sz w:val="24"/>
          <w:szCs w:val="24"/>
        </w:rPr>
      </w:pPr>
      <w:r>
        <w:rPr>
          <w:rFonts w:ascii="Sylfaen" w:hAnsi="Sylfaen"/>
          <w:sz w:val="24"/>
          <w:szCs w:val="24"/>
        </w:rPr>
        <w:lastRenderedPageBreak/>
        <w:t>S.2</w:t>
      </w:r>
      <w:r w:rsidRPr="007106A3">
        <w:rPr>
          <w:rFonts w:ascii="Sylfaen" w:hAnsi="Sylfaen"/>
          <w:sz w:val="24"/>
          <w:szCs w:val="24"/>
        </w:rPr>
        <w:t xml:space="preserve"> </w:t>
      </w:r>
      <w:r w:rsidRPr="00BD7577">
        <w:rPr>
          <w:rFonts w:ascii="Sylfaen" w:hAnsi="Sylfaen"/>
          <w:sz w:val="24"/>
          <w:szCs w:val="24"/>
        </w:rPr>
        <w:t>Արտադրությունը։</w:t>
      </w:r>
    </w:p>
    <w:p w14:paraId="3DF5F3B1"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S.2.1.</w:t>
      </w:r>
      <w:r w:rsidRPr="00BD7577">
        <w:rPr>
          <w:rFonts w:ascii="Sylfaen" w:hAnsi="Sylfaen"/>
          <w:sz w:val="24"/>
          <w:szCs w:val="24"/>
        </w:rPr>
        <w:tab/>
        <w:t>Արտադրողը (ԱԴԲ-ն արտադրողի անվանումն ու հասցեն)։</w:t>
      </w:r>
    </w:p>
    <w:p w14:paraId="1F92942F"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554BA278"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1A4B5CD"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DF5C01"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S.2.2.</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(համառոտ ամփոփումը)։</w:t>
      </w:r>
    </w:p>
    <w:p w14:paraId="31D966BC"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7C470200"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B24B3AF" w14:textId="77777777" w:rsidR="008C76E0" w:rsidRPr="00BD7577" w:rsidRDefault="008C76E0" w:rsidP="0074785B">
      <w:pPr>
        <w:spacing w:after="160" w:line="360"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A0E19D0" w14:textId="77777777" w:rsidR="008C76E0" w:rsidRPr="007106A3" w:rsidRDefault="008C76E0" w:rsidP="00D23305">
      <w:pPr>
        <w:tabs>
          <w:tab w:val="left" w:pos="1134"/>
        </w:tabs>
        <w:spacing w:after="160" w:line="384" w:lineRule="auto"/>
        <w:ind w:right="-1" w:firstLine="567"/>
        <w:jc w:val="center"/>
        <w:rPr>
          <w:rFonts w:ascii="Sylfaen" w:hAnsi="Sylfaen"/>
          <w:sz w:val="24"/>
          <w:szCs w:val="24"/>
        </w:rPr>
      </w:pPr>
    </w:p>
    <w:p w14:paraId="6A012736" w14:textId="77777777" w:rsidR="008C76E0" w:rsidRPr="00BD7577" w:rsidRDefault="008C76E0" w:rsidP="00D23305">
      <w:pPr>
        <w:tabs>
          <w:tab w:val="left" w:pos="1134"/>
        </w:tabs>
        <w:spacing w:after="160" w:line="384" w:lineRule="auto"/>
        <w:ind w:right="-1" w:firstLine="567"/>
        <w:jc w:val="center"/>
        <w:rPr>
          <w:rFonts w:ascii="Sylfaen" w:hAnsi="Sylfaen"/>
          <w:sz w:val="24"/>
          <w:szCs w:val="24"/>
        </w:rPr>
      </w:pPr>
      <w:r w:rsidRPr="00BD7577">
        <w:rPr>
          <w:rFonts w:ascii="Sylfaen" w:hAnsi="Sylfaen"/>
          <w:sz w:val="24"/>
          <w:szCs w:val="24"/>
        </w:rPr>
        <w:t>S.3.</w:t>
      </w:r>
      <w:r w:rsidRPr="00BD7577">
        <w:rPr>
          <w:rFonts w:ascii="Sylfaen" w:hAnsi="Sylfaen"/>
          <w:sz w:val="24"/>
          <w:szCs w:val="24"/>
        </w:rPr>
        <w:tab/>
        <w:t>Բնութագրերի նկարագրությունը։</w:t>
      </w:r>
    </w:p>
    <w:p w14:paraId="494A3CFA"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40120E0C"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FB1CA4A"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2AA29E3"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S.3.1.</w:t>
      </w:r>
      <w:r w:rsidRPr="00BD7577">
        <w:rPr>
          <w:rFonts w:ascii="Sylfaen" w:hAnsi="Sylfaen"/>
          <w:sz w:val="24"/>
          <w:szCs w:val="24"/>
        </w:rPr>
        <w:tab/>
        <w:t xml:space="preserve">Կառուցվածքի </w:t>
      </w:r>
      <w:r w:rsidR="00C54D75">
        <w:rPr>
          <w:rFonts w:ascii="Sylfaen" w:hAnsi="Sylfaen"/>
          <w:sz w:val="24"/>
          <w:szCs w:val="24"/>
        </w:rPr>
        <w:t>և</w:t>
      </w:r>
      <w:r w:rsidRPr="00BD7577">
        <w:rPr>
          <w:rFonts w:ascii="Sylfaen" w:hAnsi="Sylfaen"/>
          <w:sz w:val="24"/>
          <w:szCs w:val="24"/>
        </w:rPr>
        <w:t xml:space="preserve"> այլ բնութագրերի հաստատումը։ </w:t>
      </w:r>
    </w:p>
    <w:p w14:paraId="4515BB5D"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6DC1A6B7"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925A2B5"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3DFC6B4"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S.3.2.</w:t>
      </w:r>
      <w:r w:rsidRPr="00BD7577">
        <w:rPr>
          <w:rFonts w:ascii="Sylfaen" w:hAnsi="Sylfaen"/>
          <w:sz w:val="24"/>
          <w:szCs w:val="24"/>
        </w:rPr>
        <w:tab/>
        <w:t>Խառնուկները։</w:t>
      </w:r>
    </w:p>
    <w:p w14:paraId="6AD6D622" w14:textId="77777777" w:rsidR="008C76E0" w:rsidRPr="00BD7577" w:rsidRDefault="008C76E0" w:rsidP="0074785B">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4EE1C22C"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45E2FA82"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FB135FA"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3C708F1D" w14:textId="77777777" w:rsidR="008C76E0" w:rsidRPr="00BD7577" w:rsidRDefault="008C76E0" w:rsidP="00D23305">
      <w:pPr>
        <w:tabs>
          <w:tab w:val="left" w:pos="1134"/>
        </w:tabs>
        <w:spacing w:after="160" w:line="384" w:lineRule="auto"/>
        <w:ind w:right="-1" w:firstLine="567"/>
        <w:jc w:val="center"/>
        <w:rPr>
          <w:rFonts w:ascii="Sylfaen" w:hAnsi="Sylfaen"/>
          <w:sz w:val="24"/>
          <w:szCs w:val="24"/>
        </w:rPr>
      </w:pPr>
      <w:r w:rsidRPr="00BD7577">
        <w:rPr>
          <w:rFonts w:ascii="Sylfaen" w:hAnsi="Sylfaen"/>
          <w:sz w:val="24"/>
          <w:szCs w:val="24"/>
        </w:rPr>
        <w:t>S.4.</w:t>
      </w:r>
      <w:r w:rsidRPr="00BD7577">
        <w:rPr>
          <w:rFonts w:ascii="Sylfaen" w:hAnsi="Sylfaen"/>
          <w:sz w:val="24"/>
          <w:szCs w:val="24"/>
        </w:rPr>
        <w:tab/>
        <w:t>Որակի հսկողությունը։</w:t>
      </w:r>
    </w:p>
    <w:p w14:paraId="452F1677"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A7D9F49"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547503" w14:textId="77777777" w:rsidR="008C76E0" w:rsidRPr="00BD7577" w:rsidRDefault="008C76E0" w:rsidP="00D23305">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199E20"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S.4.1.</w:t>
      </w:r>
      <w:r w:rsidRPr="00BD7577">
        <w:rPr>
          <w:rFonts w:ascii="Sylfaen" w:hAnsi="Sylfaen"/>
          <w:sz w:val="24"/>
          <w:szCs w:val="24"/>
        </w:rPr>
        <w:tab/>
        <w:t>Մասնագիրը։</w:t>
      </w:r>
    </w:p>
    <w:p w14:paraId="48D407A5"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9361AE3"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B2370D" w14:textId="77777777" w:rsidR="008C76E0" w:rsidRPr="00BD7577" w:rsidRDefault="008C76E0" w:rsidP="00D23305">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F6DD96"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S.4.2.</w:t>
      </w:r>
      <w:r w:rsidRPr="00BD7577">
        <w:rPr>
          <w:rFonts w:ascii="Sylfaen" w:hAnsi="Sylfaen"/>
          <w:sz w:val="24"/>
          <w:szCs w:val="24"/>
        </w:rPr>
        <w:tab/>
        <w:t>Վերլուծական մեթոդիկաները։</w:t>
      </w:r>
    </w:p>
    <w:p w14:paraId="5F9FCB09"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03D08BD"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8506CA"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A623BD6"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S.4.3.</w:t>
      </w:r>
      <w:r w:rsidRPr="00BD7577">
        <w:rPr>
          <w:rFonts w:ascii="Sylfaen" w:hAnsi="Sylfaen"/>
          <w:sz w:val="24"/>
          <w:szCs w:val="24"/>
        </w:rPr>
        <w:tab/>
        <w:t xml:space="preserve">Վերլուծական մեթոդիկաների վալիդացումը։ </w:t>
      </w:r>
    </w:p>
    <w:p w14:paraId="059E7363"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BD4CFF"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F96A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841BA1"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S.4.4.</w:t>
      </w:r>
      <w:r w:rsidRPr="00BD7577">
        <w:rPr>
          <w:rFonts w:ascii="Sylfaen" w:hAnsi="Sylfaen"/>
          <w:sz w:val="24"/>
          <w:szCs w:val="24"/>
        </w:rPr>
        <w:tab/>
        <w:t>Սերիաների անալիզները։</w:t>
      </w:r>
    </w:p>
    <w:p w14:paraId="1424AC7C"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w:t>
      </w:r>
      <w:r w:rsidRPr="00DD61E4">
        <w:rPr>
          <w:rFonts w:ascii="Sylfaen" w:hAnsi="Sylfaen"/>
          <w:sz w:val="24"/>
          <w:szCs w:val="24"/>
        </w:rPr>
        <w:t>_____</w:t>
      </w:r>
      <w:r w:rsidRPr="00BD7577">
        <w:rPr>
          <w:rFonts w:ascii="Sylfaen" w:hAnsi="Sylfaen"/>
          <w:sz w:val="24"/>
          <w:szCs w:val="24"/>
        </w:rPr>
        <w:t>__</w:t>
      </w:r>
    </w:p>
    <w:p w14:paraId="5DF9BEFA"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w:t>
      </w:r>
    </w:p>
    <w:p w14:paraId="512063E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w:t>
      </w:r>
    </w:p>
    <w:p w14:paraId="62A62C2D"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S.4.5.</w:t>
      </w:r>
      <w:r w:rsidRPr="00BD7577">
        <w:rPr>
          <w:rFonts w:ascii="Sylfaen" w:hAnsi="Sylfaen"/>
          <w:sz w:val="24"/>
          <w:szCs w:val="24"/>
        </w:rPr>
        <w:tab/>
        <w:t>Մասնագրի հիմնավորումը։</w:t>
      </w:r>
    </w:p>
    <w:p w14:paraId="1BF99337"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09168CA"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6DF5FB"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828DE8"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298AAA2A"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S.5.</w:t>
      </w:r>
      <w:r w:rsidRPr="007106A3">
        <w:rPr>
          <w:rFonts w:ascii="Sylfaen" w:hAnsi="Sylfaen"/>
          <w:sz w:val="24"/>
          <w:szCs w:val="24"/>
        </w:rPr>
        <w:t xml:space="preserve"> </w:t>
      </w:r>
      <w:r w:rsidRPr="00BD7577">
        <w:rPr>
          <w:rFonts w:ascii="Sylfaen" w:hAnsi="Sylfaen"/>
          <w:sz w:val="24"/>
          <w:szCs w:val="24"/>
        </w:rPr>
        <w:t>Ստանդարտ նմուշները կամ նյութերը։</w:t>
      </w:r>
    </w:p>
    <w:p w14:paraId="47AEDF87"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AC228D2"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A4AD8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9A2A29C"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2F4510D7"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S.6.</w:t>
      </w:r>
      <w:r w:rsidRPr="007106A3">
        <w:rPr>
          <w:rFonts w:ascii="Sylfaen" w:hAnsi="Sylfaen"/>
          <w:sz w:val="24"/>
          <w:szCs w:val="24"/>
        </w:rPr>
        <w:t xml:space="preserve"> </w:t>
      </w:r>
      <w:r w:rsidRPr="00BD7577">
        <w:rPr>
          <w:rFonts w:ascii="Sylfaen" w:hAnsi="Sylfaen"/>
          <w:sz w:val="24"/>
          <w:szCs w:val="24"/>
        </w:rPr>
        <w:t>Փաթեթավորման (խցանափակման) համակարգը։</w:t>
      </w:r>
    </w:p>
    <w:p w14:paraId="07A3DD9A"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4791A16"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4EAA03A"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118991" w14:textId="77777777" w:rsidR="008C76E0" w:rsidRPr="007106A3" w:rsidRDefault="008C76E0" w:rsidP="0074785B">
      <w:pPr>
        <w:tabs>
          <w:tab w:val="left" w:pos="1134"/>
        </w:tabs>
        <w:spacing w:after="160" w:line="360" w:lineRule="auto"/>
        <w:ind w:right="-1" w:firstLine="567"/>
        <w:jc w:val="center"/>
        <w:rPr>
          <w:rFonts w:ascii="Sylfaen" w:hAnsi="Sylfaen"/>
          <w:sz w:val="24"/>
          <w:szCs w:val="24"/>
        </w:rPr>
      </w:pPr>
    </w:p>
    <w:p w14:paraId="33D757DE"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S.7.</w:t>
      </w:r>
      <w:r w:rsidRPr="007106A3">
        <w:rPr>
          <w:rFonts w:ascii="Sylfaen" w:hAnsi="Sylfaen"/>
          <w:sz w:val="24"/>
          <w:szCs w:val="24"/>
        </w:rPr>
        <w:t xml:space="preserve"> </w:t>
      </w:r>
      <w:r w:rsidRPr="00BD7577">
        <w:rPr>
          <w:rFonts w:ascii="Sylfaen" w:hAnsi="Sylfaen"/>
          <w:sz w:val="24"/>
          <w:szCs w:val="24"/>
        </w:rPr>
        <w:t>Կայունությունը։</w:t>
      </w:r>
    </w:p>
    <w:p w14:paraId="6752B178"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A6F2FEB"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8E36B8"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D5FD58"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S.7.1.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w:t>
      </w:r>
    </w:p>
    <w:p w14:paraId="24650445"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526182BD"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E164EE"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E9B0E3"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S.7.2.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կայունությանը վերաբերող պարտավորությունները։</w:t>
      </w:r>
    </w:p>
    <w:p w14:paraId="2633D7AD"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DE5BED9"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D74ABE"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B5B58E8" w14:textId="77777777" w:rsidR="008C76E0" w:rsidRPr="00BD7577" w:rsidRDefault="008C76E0" w:rsidP="0074785B">
      <w:pPr>
        <w:widowControl/>
        <w:tabs>
          <w:tab w:val="left" w:pos="1701"/>
        </w:tabs>
        <w:spacing w:after="160" w:line="360" w:lineRule="auto"/>
        <w:ind w:firstLine="567"/>
        <w:rPr>
          <w:rFonts w:ascii="Sylfaen" w:hAnsi="Sylfaen"/>
          <w:sz w:val="24"/>
          <w:szCs w:val="24"/>
        </w:rPr>
      </w:pPr>
      <w:r>
        <w:rPr>
          <w:rFonts w:ascii="Sylfaen" w:hAnsi="Sylfaen" w:cs="Times New Roman"/>
          <w:sz w:val="24"/>
          <w:szCs w:val="24"/>
          <w:lang w:bidi="ar-SA"/>
        </w:rPr>
        <w:t>S.7.3</w:t>
      </w:r>
      <w:r w:rsidRPr="00C8249C">
        <w:rPr>
          <w:rFonts w:ascii="Sylfaen" w:hAnsi="Sylfaen" w:cs="Times New Roman"/>
          <w:sz w:val="24"/>
          <w:szCs w:val="24"/>
          <w:lang w:bidi="ar-SA"/>
        </w:rPr>
        <w:tab/>
      </w:r>
      <w:r w:rsidRPr="00BD7577">
        <w:rPr>
          <w:rFonts w:ascii="Sylfaen" w:hAnsi="Sylfaen" w:cs="Times New Roman"/>
          <w:sz w:val="24"/>
          <w:szCs w:val="24"/>
          <w:lang w:bidi="ar-SA"/>
        </w:rPr>
        <w:t>Կայունության մասին փորձարկումների տվյալներ</w:t>
      </w:r>
    </w:p>
    <w:p w14:paraId="1A6E75C1" w14:textId="77777777" w:rsidR="008C76E0" w:rsidRPr="00E15E7D" w:rsidRDefault="008C76E0" w:rsidP="00D23305">
      <w:pPr>
        <w:widowControl/>
        <w:spacing w:after="160" w:line="360" w:lineRule="auto"/>
        <w:rPr>
          <w:rFonts w:ascii="Sylfaen" w:hAnsi="Sylfaen"/>
          <w:sz w:val="24"/>
          <w:szCs w:val="24"/>
        </w:rPr>
      </w:pPr>
    </w:p>
    <w:p w14:paraId="1AA82CCE" w14:textId="1D34FD09"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40CB9D73"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640A9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F7E79A"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7CCC1F" w14:textId="77777777" w:rsidR="008C76E0" w:rsidRPr="007106A3" w:rsidRDefault="008C76E0" w:rsidP="00D23305">
      <w:pPr>
        <w:widowControl/>
        <w:spacing w:after="160" w:line="360" w:lineRule="auto"/>
        <w:rPr>
          <w:rFonts w:ascii="Sylfaen" w:hAnsi="Sylfaen"/>
          <w:sz w:val="24"/>
          <w:szCs w:val="24"/>
        </w:rPr>
      </w:pPr>
    </w:p>
    <w:p w14:paraId="19AF9E8D" w14:textId="5843D178"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ԴԻՏՈՂՈՒԹՅՈՒՆՆԵՐԻ ՑԱՆԿԸ՝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0162402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1448D4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EBFC70"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1402366" w14:textId="77777777" w:rsidR="008C76E0" w:rsidRPr="00BD7577" w:rsidRDefault="008C76E0" w:rsidP="00D23305">
      <w:pPr>
        <w:spacing w:after="160" w:line="360" w:lineRule="auto"/>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249AE5E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735311"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446A632"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6278AB"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5DBC3447"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82E60E3"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4796D1"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71AC2A" w14:textId="77777777" w:rsidR="008C76E0" w:rsidRPr="00E15E7D" w:rsidRDefault="008C76E0" w:rsidP="00240DA3">
      <w:pPr>
        <w:widowControl/>
        <w:spacing w:after="160" w:line="240" w:lineRule="auto"/>
        <w:rPr>
          <w:rFonts w:ascii="Sylfaen" w:hAnsi="Sylfaen"/>
          <w:sz w:val="24"/>
          <w:szCs w:val="24"/>
        </w:rPr>
      </w:pPr>
    </w:p>
    <w:p w14:paraId="7AE691BC" w14:textId="77777777" w:rsidR="008C76E0" w:rsidRPr="00BD7577" w:rsidRDefault="008C76E0" w:rsidP="00240DA3">
      <w:pPr>
        <w:spacing w:after="160" w:line="240" w:lineRule="auto"/>
        <w:ind w:left="567" w:right="566"/>
        <w:jc w:val="center"/>
        <w:rPr>
          <w:rFonts w:ascii="Sylfaen" w:hAnsi="Sylfaen"/>
          <w:sz w:val="24"/>
          <w:szCs w:val="24"/>
        </w:rPr>
      </w:pPr>
      <w:r w:rsidRPr="00BD7577">
        <w:rPr>
          <w:rFonts w:ascii="Sylfaen" w:hAnsi="Sylfaen"/>
          <w:sz w:val="24"/>
          <w:szCs w:val="24"/>
        </w:rPr>
        <w:t>ՊԱՏԱՍԽԱՆՆԵՐԻ ԳՆԱՀԱՏՈՒՄԸ</w:t>
      </w:r>
    </w:p>
    <w:p w14:paraId="7A71C843" w14:textId="5602336D" w:rsidR="008C76E0" w:rsidRPr="00BD7577" w:rsidRDefault="0056496B" w:rsidP="00240DA3">
      <w:pPr>
        <w:spacing w:after="160" w:line="240" w:lineRule="auto"/>
        <w:ind w:left="567" w:right="566"/>
        <w:jc w:val="center"/>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ԱԴԲՄՖ-ի մասին վերաբերող դիտողությունների </w:t>
      </w:r>
      <w:r w:rsidR="008C76E0" w:rsidRPr="00BD7577">
        <w:rPr>
          <w:rFonts w:ascii="Sylfaen" w:hAnsi="Sylfaen"/>
          <w:sz w:val="24"/>
          <w:szCs w:val="24"/>
        </w:rPr>
        <w:br/>
        <w:t>ցանկին տրված</w:t>
      </w:r>
    </w:p>
    <w:p w14:paraId="7A1CB2FD" w14:textId="77777777" w:rsidR="008C76E0" w:rsidRPr="00DD61E4" w:rsidRDefault="008C76E0" w:rsidP="00240DA3">
      <w:pPr>
        <w:spacing w:after="160" w:line="240" w:lineRule="auto"/>
        <w:ind w:right="-1" w:firstLine="567"/>
        <w:rPr>
          <w:rFonts w:ascii="Sylfaen" w:hAnsi="Sylfaen"/>
          <w:sz w:val="24"/>
          <w:szCs w:val="24"/>
        </w:rPr>
      </w:pPr>
      <w:r w:rsidRPr="00BD7577">
        <w:rPr>
          <w:rFonts w:ascii="Sylfaen" w:hAnsi="Sylfaen"/>
          <w:sz w:val="24"/>
          <w:szCs w:val="24"/>
        </w:rPr>
        <w:t>Կրիտիկական դիտողություններ՝</w:t>
      </w:r>
    </w:p>
    <w:p w14:paraId="3A0B8F78" w14:textId="77777777" w:rsidR="008C76E0" w:rsidRPr="00DD61E4" w:rsidRDefault="008C76E0" w:rsidP="00240DA3">
      <w:pPr>
        <w:spacing w:after="160" w:line="240" w:lineRule="auto"/>
        <w:ind w:right="-1" w:firstLine="567"/>
        <w:rPr>
          <w:rFonts w:ascii="Sylfaen" w:hAnsi="Sylfaen"/>
          <w:sz w:val="24"/>
          <w:szCs w:val="24"/>
        </w:rPr>
      </w:pPr>
      <w:r w:rsidRPr="00BD7577">
        <w:rPr>
          <w:rFonts w:ascii="Sylfaen" w:hAnsi="Sylfaen"/>
          <w:sz w:val="24"/>
          <w:szCs w:val="24"/>
        </w:rPr>
        <w:t xml:space="preserve">Հարցը </w:t>
      </w:r>
      <w:r w:rsidRPr="00DD61E4">
        <w:rPr>
          <w:rFonts w:ascii="Sylfaen" w:hAnsi="Sylfaen"/>
          <w:sz w:val="24"/>
          <w:szCs w:val="24"/>
        </w:rPr>
        <w:t>______________________________________________________________________________________________________________________________________________________</w:t>
      </w:r>
    </w:p>
    <w:p w14:paraId="688BB64C" w14:textId="00F29742"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հարցի ռեզյումեն </w:t>
      </w:r>
    </w:p>
    <w:p w14:paraId="52DD7B4B"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CFC57D"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ED80CB2" w14:textId="4ABF7FB2"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պատասխանի գնահատումը </w:t>
      </w:r>
    </w:p>
    <w:p w14:paraId="216C0306"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7BCC868"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06125B5"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19F0681F"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6D73F29"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9ECFD3"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3997B9E1"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Հարցը </w:t>
      </w:r>
    </w:p>
    <w:p w14:paraId="0CC2B9B1"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55A83AF"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7A95E3" w14:textId="2AFBAED4"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հարցի ռեզյումեն </w:t>
      </w:r>
    </w:p>
    <w:p w14:paraId="25D4D99E"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1AD460E"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F65881D" w14:textId="75F7E021"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lastRenderedPageBreak/>
        <w:t>Դիմումատու</w:t>
      </w:r>
      <w:r w:rsidR="008C76E0" w:rsidRPr="00BD7577">
        <w:rPr>
          <w:rFonts w:ascii="Sylfaen" w:hAnsi="Sylfaen"/>
          <w:sz w:val="24"/>
          <w:szCs w:val="24"/>
        </w:rPr>
        <w:t xml:space="preserve">ի պատասխանի գնահատումը </w:t>
      </w:r>
    </w:p>
    <w:p w14:paraId="15239249"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0AFB484"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FACF60F"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69686993"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A71B38"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6CC25FC" w14:textId="77777777" w:rsidR="008C76E0" w:rsidRPr="007106A3" w:rsidRDefault="008C76E0" w:rsidP="00240DA3">
      <w:pPr>
        <w:widowControl/>
        <w:spacing w:after="160" w:line="240" w:lineRule="auto"/>
        <w:rPr>
          <w:rFonts w:ascii="Sylfaen" w:hAnsi="Sylfaen"/>
          <w:sz w:val="24"/>
          <w:szCs w:val="24"/>
        </w:rPr>
      </w:pPr>
    </w:p>
    <w:p w14:paraId="70DA0AF0" w14:textId="5BF9A2BC" w:rsidR="008C76E0" w:rsidRPr="00BD7577" w:rsidRDefault="008C76E0" w:rsidP="00240DA3">
      <w:pPr>
        <w:spacing w:after="160" w:line="240" w:lineRule="auto"/>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77E28395"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7DEE8A2"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D8F7248"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200F6C"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FFC5EDA"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FCFA903"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C93AD6E"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87150E4"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392574"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15E98D3"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19ADA6"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27685D"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DB6DF6" w14:textId="77777777" w:rsidR="008C76E0" w:rsidRPr="007106A3" w:rsidRDefault="008C76E0" w:rsidP="00240DA3">
      <w:pPr>
        <w:spacing w:after="160" w:line="240" w:lineRule="auto"/>
        <w:ind w:right="-1"/>
        <w:jc w:val="both"/>
        <w:rPr>
          <w:rFonts w:ascii="Sylfaen" w:hAnsi="Sylfaen"/>
          <w:sz w:val="24"/>
          <w:szCs w:val="24"/>
        </w:rPr>
      </w:pPr>
    </w:p>
    <w:p w14:paraId="3416365B" w14:textId="72A542CE" w:rsidR="008C76E0" w:rsidRPr="00BD7577" w:rsidRDefault="008C76E0" w:rsidP="00240DA3">
      <w:pPr>
        <w:spacing w:after="160" w:line="360" w:lineRule="auto"/>
        <w:ind w:left="567" w:right="567"/>
        <w:jc w:val="center"/>
        <w:rPr>
          <w:rFonts w:ascii="Sylfaen" w:hAnsi="Sylfaen"/>
          <w:sz w:val="24"/>
          <w:szCs w:val="24"/>
        </w:rPr>
      </w:pPr>
      <w:r>
        <w:rPr>
          <w:rFonts w:ascii="Sylfaen" w:hAnsi="Sylfaen"/>
          <w:sz w:val="24"/>
          <w:szCs w:val="24"/>
        </w:rPr>
        <w:t>10.3.</w:t>
      </w:r>
      <w:r w:rsidRPr="003D47D6">
        <w:rPr>
          <w:rFonts w:ascii="Sylfaen" w:hAnsi="Sylfaen"/>
          <w:sz w:val="24"/>
          <w:szCs w:val="24"/>
        </w:rPr>
        <w:t xml:space="preserve"> </w:t>
      </w:r>
      <w:r w:rsidRPr="00BD7577">
        <w:rPr>
          <w:rFonts w:ascii="Sylfaen" w:hAnsi="Sylfaen"/>
          <w:sz w:val="24"/>
          <w:szCs w:val="24"/>
        </w:rPr>
        <w:t xml:space="preserve">Փորձագիտական հաշվետվությունը </w:t>
      </w:r>
      <w:r w:rsidR="00C54D75">
        <w:rPr>
          <w:rFonts w:ascii="Sylfaen" w:hAnsi="Sylfaen"/>
          <w:sz w:val="24"/>
          <w:szCs w:val="24"/>
        </w:rPr>
        <w:t>և</w:t>
      </w:r>
      <w:r w:rsidRPr="00BD7577">
        <w:rPr>
          <w:rFonts w:ascii="Sylfaen" w:hAnsi="Sylfaen"/>
          <w:sz w:val="24"/>
          <w:szCs w:val="24"/>
        </w:rPr>
        <w:t xml:space="preserve"> ԱԴԲՄՖ-ի՝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համար փակ մասին վերաբերող հարցերը</w:t>
      </w:r>
    </w:p>
    <w:p w14:paraId="53301F8B" w14:textId="77777777" w:rsidR="008C76E0" w:rsidRPr="00BD7577" w:rsidRDefault="008C76E0" w:rsidP="008C76E0">
      <w:pPr>
        <w:spacing w:line="336" w:lineRule="auto"/>
        <w:ind w:left="567" w:right="567"/>
        <w:jc w:val="center"/>
        <w:rPr>
          <w:rFonts w:ascii="Sylfaen" w:hAnsi="Sylfaen"/>
          <w:sz w:val="24"/>
          <w:szCs w:val="24"/>
        </w:rPr>
      </w:pPr>
    </w:p>
    <w:p w14:paraId="7836F335" w14:textId="77777777" w:rsidR="008C76E0" w:rsidRPr="00BD7577" w:rsidRDefault="008C76E0" w:rsidP="00060EF9">
      <w:pPr>
        <w:spacing w:after="160" w:line="360" w:lineRule="auto"/>
        <w:ind w:left="567" w:right="567"/>
        <w:jc w:val="center"/>
        <w:rPr>
          <w:rFonts w:ascii="Sylfaen" w:hAnsi="Sylfaen"/>
          <w:sz w:val="24"/>
          <w:szCs w:val="24"/>
        </w:rPr>
      </w:pPr>
      <w:r w:rsidRPr="00BD7577">
        <w:rPr>
          <w:rFonts w:ascii="Sylfaen" w:hAnsi="Sylfaen"/>
          <w:sz w:val="24"/>
          <w:szCs w:val="24"/>
        </w:rPr>
        <w:t>ԳԱՂՏՆԻ Է</w:t>
      </w:r>
    </w:p>
    <w:p w14:paraId="6F1D1EAE" w14:textId="3EE6D9B9" w:rsidR="008C76E0" w:rsidRPr="00BD7577" w:rsidRDefault="008C76E0" w:rsidP="00060EF9">
      <w:pPr>
        <w:spacing w:after="160" w:line="360" w:lineRule="auto"/>
        <w:ind w:left="567" w:right="567"/>
        <w:jc w:val="center"/>
        <w:rPr>
          <w:rFonts w:ascii="Sylfaen" w:hAnsi="Sylfaen"/>
          <w:sz w:val="24"/>
          <w:szCs w:val="24"/>
        </w:rPr>
      </w:pPr>
      <w:r w:rsidRPr="00BD7577">
        <w:rPr>
          <w:rFonts w:ascii="Sylfaen" w:hAnsi="Sylfaen"/>
          <w:sz w:val="24"/>
          <w:szCs w:val="24"/>
        </w:rPr>
        <w:t xml:space="preserve">ՉԻ ԹՈՒՅԼԱՏՐՎՈՒՄ ԵԶՐԱԿԱՑՈՒԹՅԱՆ ՍՈՒՅՆ ԲԱԺԻՆԸ ՓՈԽԱՆՑԵԼ </w:t>
      </w:r>
      <w:r w:rsidR="0056496B">
        <w:rPr>
          <w:rFonts w:ascii="Sylfaen" w:hAnsi="Sylfaen"/>
          <w:sz w:val="24"/>
          <w:szCs w:val="24"/>
        </w:rPr>
        <w:t>Դիմումատու</w:t>
      </w:r>
      <w:r w:rsidRPr="00BD7577">
        <w:rPr>
          <w:rFonts w:ascii="Sylfaen" w:hAnsi="Sylfaen"/>
          <w:sz w:val="24"/>
          <w:szCs w:val="24"/>
        </w:rPr>
        <w:t>ԻՆ</w:t>
      </w:r>
    </w:p>
    <w:p w14:paraId="4B2EDEBD" w14:textId="77777777" w:rsidR="008C76E0" w:rsidRPr="008C76E0" w:rsidRDefault="008C76E0" w:rsidP="00060EF9">
      <w:pPr>
        <w:pStyle w:val="Bodytext70"/>
        <w:shd w:val="clear" w:color="auto" w:fill="auto"/>
        <w:spacing w:before="0" w:after="160" w:line="360" w:lineRule="auto"/>
        <w:ind w:left="567" w:right="567"/>
        <w:jc w:val="center"/>
        <w:rPr>
          <w:rFonts w:ascii="Sylfaen" w:hAnsi="Sylfaen"/>
          <w:b w:val="0"/>
          <w:sz w:val="24"/>
          <w:szCs w:val="24"/>
          <w:lang w:val="hy-AM"/>
        </w:rPr>
      </w:pPr>
      <w:r w:rsidRPr="008C76E0">
        <w:rPr>
          <w:rFonts w:ascii="Sylfaen" w:hAnsi="Sylfaen"/>
          <w:b w:val="0"/>
          <w:sz w:val="24"/>
          <w:szCs w:val="24"/>
          <w:lang w:val="hy-AM"/>
        </w:rPr>
        <w:lastRenderedPageBreak/>
        <w:t>{Գրանցման համարը}</w:t>
      </w:r>
      <w:r w:rsidRPr="00BD7577">
        <w:rPr>
          <w:rStyle w:val="Bodytext295pt"/>
          <w:rFonts w:ascii="Sylfaen" w:hAnsi="Sylfaen"/>
          <w:spacing w:val="0"/>
          <w:sz w:val="24"/>
          <w:szCs w:val="24"/>
        </w:rPr>
        <w:t xml:space="preserve"> (առկայության դեպքում)</w:t>
      </w:r>
    </w:p>
    <w:p w14:paraId="6023D74B" w14:textId="39216E5E" w:rsidR="008C76E0" w:rsidRPr="008C76E0" w:rsidRDefault="008C76E0" w:rsidP="00060EF9">
      <w:pPr>
        <w:pStyle w:val="Bodytext70"/>
        <w:shd w:val="clear" w:color="auto" w:fill="auto"/>
        <w:spacing w:before="0" w:after="160" w:line="360" w:lineRule="auto"/>
        <w:ind w:left="567" w:right="566"/>
        <w:jc w:val="center"/>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 ամսաթիվը, ծառայողական մասի տարբերակի համարը) ամսաթիվը}</w:t>
      </w:r>
    </w:p>
    <w:p w14:paraId="5A0741E5" w14:textId="77777777" w:rsidR="008C76E0" w:rsidRPr="00BD7577" w:rsidRDefault="008C76E0" w:rsidP="00060EF9">
      <w:pPr>
        <w:spacing w:after="160" w:line="360" w:lineRule="auto"/>
        <w:ind w:right="-1"/>
        <w:jc w:val="center"/>
        <w:rPr>
          <w:rFonts w:ascii="Sylfaen" w:hAnsi="Sylfaen"/>
          <w:sz w:val="24"/>
          <w:szCs w:val="24"/>
        </w:rPr>
      </w:pPr>
      <w:r w:rsidRPr="00BD7577">
        <w:rPr>
          <w:rFonts w:ascii="Sylfaen" w:hAnsi="Sylfaen"/>
          <w:sz w:val="24"/>
          <w:szCs w:val="24"/>
        </w:rPr>
        <w:t>10.4.</w:t>
      </w:r>
      <w:r>
        <w:rPr>
          <w:rFonts w:ascii="Sylfaen" w:hAnsi="Sylfaen"/>
          <w:sz w:val="24"/>
          <w:szCs w:val="24"/>
          <w:lang w:val="en-US"/>
        </w:rPr>
        <w:t xml:space="preserve"> </w:t>
      </w:r>
      <w:r w:rsidRPr="00BD7577">
        <w:rPr>
          <w:rFonts w:ascii="Sylfaen" w:hAnsi="Sylfaen"/>
          <w:sz w:val="24"/>
          <w:szCs w:val="24"/>
        </w:rPr>
        <w:t>Վարչական տեղեկատվությունը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45"/>
        <w:gridCol w:w="4502"/>
      </w:tblGrid>
      <w:tr w:rsidR="008C76E0" w:rsidRPr="00BD7577" w14:paraId="3F7A80D0" w14:textId="77777777" w:rsidTr="008C76E0">
        <w:trPr>
          <w:jc w:val="center"/>
        </w:trPr>
        <w:tc>
          <w:tcPr>
            <w:tcW w:w="5045" w:type="dxa"/>
            <w:tcBorders>
              <w:top w:val="single" w:sz="4" w:space="0" w:color="auto"/>
              <w:left w:val="single" w:sz="4" w:space="0" w:color="auto"/>
            </w:tcBorders>
            <w:shd w:val="clear" w:color="auto" w:fill="FFFFFF"/>
            <w:vAlign w:val="bottom"/>
          </w:tcPr>
          <w:p w14:paraId="6377CC60" w14:textId="77777777" w:rsidR="008C76E0" w:rsidRPr="00BD7577" w:rsidRDefault="008C76E0" w:rsidP="008C76E0">
            <w:pPr>
              <w:pStyle w:val="Bodytext180"/>
              <w:shd w:val="clear" w:color="auto" w:fill="auto"/>
              <w:spacing w:before="0" w:after="120" w:line="240" w:lineRule="auto"/>
              <w:ind w:left="85" w:right="119" w:firstLine="0"/>
              <w:jc w:val="both"/>
              <w:rPr>
                <w:rFonts w:ascii="Sylfaen" w:hAnsi="Sylfaen"/>
                <w:b w:val="0"/>
                <w:sz w:val="24"/>
                <w:szCs w:val="24"/>
              </w:rPr>
            </w:pPr>
            <w:r w:rsidRPr="00BD7577">
              <w:rPr>
                <w:rStyle w:val="Bodytext295pt"/>
                <w:rFonts w:ascii="Sylfaen" w:hAnsi="Sylfaen"/>
                <w:spacing w:val="0"/>
                <w:sz w:val="24"/>
                <w:szCs w:val="24"/>
              </w:rPr>
              <w:t>Նույնականացման համարը՝</w:t>
            </w:r>
          </w:p>
        </w:tc>
        <w:tc>
          <w:tcPr>
            <w:tcW w:w="4502" w:type="dxa"/>
            <w:tcBorders>
              <w:top w:val="single" w:sz="4" w:space="0" w:color="auto"/>
              <w:left w:val="single" w:sz="4" w:space="0" w:color="auto"/>
              <w:right w:val="single" w:sz="4" w:space="0" w:color="auto"/>
            </w:tcBorders>
            <w:shd w:val="clear" w:color="auto" w:fill="FFFFFF"/>
          </w:tcPr>
          <w:p w14:paraId="05E86515"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4EC12CFC" w14:textId="77777777" w:rsidTr="008C76E0">
        <w:trPr>
          <w:jc w:val="center"/>
        </w:trPr>
        <w:tc>
          <w:tcPr>
            <w:tcW w:w="5045" w:type="dxa"/>
            <w:tcBorders>
              <w:top w:val="single" w:sz="4" w:space="0" w:color="auto"/>
              <w:left w:val="single" w:sz="4" w:space="0" w:color="auto"/>
            </w:tcBorders>
            <w:shd w:val="clear" w:color="auto" w:fill="FFFFFF"/>
            <w:vAlign w:val="bottom"/>
          </w:tcPr>
          <w:p w14:paraId="59AC8F84"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(ակտիվ դեղագործական բաղադրամասերի) միջազգային չարտոնագրված անվանումը (ՄՉԱ)(համընդհանուր անվանումը)</w:t>
            </w:r>
          </w:p>
        </w:tc>
        <w:tc>
          <w:tcPr>
            <w:tcW w:w="4502" w:type="dxa"/>
            <w:tcBorders>
              <w:top w:val="single" w:sz="4" w:space="0" w:color="auto"/>
              <w:left w:val="single" w:sz="4" w:space="0" w:color="auto"/>
              <w:right w:val="single" w:sz="4" w:space="0" w:color="auto"/>
            </w:tcBorders>
            <w:shd w:val="clear" w:color="auto" w:fill="FFFFFF"/>
          </w:tcPr>
          <w:p w14:paraId="4C0AA0A1"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14FA61BC" w14:textId="77777777" w:rsidTr="008C76E0">
        <w:trPr>
          <w:jc w:val="center"/>
        </w:trPr>
        <w:tc>
          <w:tcPr>
            <w:tcW w:w="5045" w:type="dxa"/>
            <w:tcBorders>
              <w:top w:val="single" w:sz="4" w:space="0" w:color="auto"/>
              <w:left w:val="single" w:sz="4" w:space="0" w:color="auto"/>
            </w:tcBorders>
            <w:shd w:val="clear" w:color="auto" w:fill="FFFFFF"/>
            <w:vAlign w:val="bottom"/>
          </w:tcPr>
          <w:p w14:paraId="63E799FC"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ներքին ծածկագիրը (եթե կիրառվում է)՝</w:t>
            </w:r>
          </w:p>
        </w:tc>
        <w:tc>
          <w:tcPr>
            <w:tcW w:w="4502" w:type="dxa"/>
            <w:tcBorders>
              <w:top w:val="single" w:sz="4" w:space="0" w:color="auto"/>
              <w:left w:val="single" w:sz="4" w:space="0" w:color="auto"/>
              <w:right w:val="single" w:sz="4" w:space="0" w:color="auto"/>
            </w:tcBorders>
            <w:shd w:val="clear" w:color="auto" w:fill="FFFFFF"/>
          </w:tcPr>
          <w:p w14:paraId="470B3B9A"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44A665D2" w14:textId="77777777" w:rsidTr="008C76E0">
        <w:trPr>
          <w:jc w:val="center"/>
        </w:trPr>
        <w:tc>
          <w:tcPr>
            <w:tcW w:w="5045" w:type="dxa"/>
            <w:tcBorders>
              <w:top w:val="single" w:sz="4" w:space="0" w:color="auto"/>
              <w:left w:val="single" w:sz="4" w:space="0" w:color="auto"/>
            </w:tcBorders>
            <w:shd w:val="clear" w:color="auto" w:fill="FFFFFF"/>
          </w:tcPr>
          <w:p w14:paraId="64841427" w14:textId="77777777" w:rsidR="008C76E0" w:rsidRPr="008C76E0" w:rsidRDefault="008C76E0" w:rsidP="008C76E0">
            <w:pPr>
              <w:pStyle w:val="Bodytext180"/>
              <w:shd w:val="clear" w:color="auto" w:fill="auto"/>
              <w:spacing w:before="0" w:after="120" w:line="240" w:lineRule="auto"/>
              <w:ind w:left="85" w:right="119" w:firstLine="0"/>
              <w:jc w:val="both"/>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արտադրական հարթակների անվանումներն ու հասցեները</w:t>
            </w:r>
          </w:p>
        </w:tc>
        <w:tc>
          <w:tcPr>
            <w:tcW w:w="4502" w:type="dxa"/>
            <w:tcBorders>
              <w:top w:val="single" w:sz="4" w:space="0" w:color="auto"/>
              <w:left w:val="single" w:sz="4" w:space="0" w:color="auto"/>
              <w:right w:val="single" w:sz="4" w:space="0" w:color="auto"/>
            </w:tcBorders>
            <w:shd w:val="clear" w:color="auto" w:fill="FFFFFF"/>
            <w:vAlign w:val="bottom"/>
          </w:tcPr>
          <w:p w14:paraId="3A06187A"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անվանումը՝</w:t>
            </w:r>
          </w:p>
          <w:p w14:paraId="16E5C0E9"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հասցեն՝</w:t>
            </w:r>
          </w:p>
          <w:p w14:paraId="07267427" w14:textId="77777777" w:rsidR="008C76E0" w:rsidRPr="00BD7577" w:rsidRDefault="008C76E0" w:rsidP="008C76E0">
            <w:pPr>
              <w:pStyle w:val="Bodytext180"/>
              <w:shd w:val="clear" w:color="auto" w:fill="auto"/>
              <w:spacing w:before="0" w:after="120" w:line="240" w:lineRule="auto"/>
              <w:ind w:left="85" w:right="119" w:firstLine="0"/>
              <w:rPr>
                <w:rStyle w:val="Bodytext295pt"/>
                <w:rFonts w:ascii="Sylfaen" w:hAnsi="Sylfaen"/>
                <w:spacing w:val="0"/>
                <w:sz w:val="24"/>
                <w:szCs w:val="24"/>
              </w:rPr>
            </w:pPr>
            <w:r w:rsidRPr="00BD7577">
              <w:rPr>
                <w:rStyle w:val="Bodytext295pt"/>
                <w:rFonts w:ascii="Sylfaen" w:hAnsi="Sylfaen"/>
                <w:spacing w:val="0"/>
                <w:sz w:val="24"/>
                <w:szCs w:val="24"/>
              </w:rPr>
              <w:t xml:space="preserve">կոնտակտային անձը՝ հեռախոսահամարը՝ </w:t>
            </w:r>
          </w:p>
          <w:p w14:paraId="6942B6E9"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ֆաքսի համարը՝</w:t>
            </w:r>
          </w:p>
          <w:p w14:paraId="3F6FF212"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էլեկտրոնային փոստի հասցեն՝</w:t>
            </w:r>
          </w:p>
        </w:tc>
      </w:tr>
      <w:tr w:rsidR="008C76E0" w:rsidRPr="00BD7577" w14:paraId="7EFB16AE" w14:textId="77777777" w:rsidTr="008C76E0">
        <w:trPr>
          <w:jc w:val="center"/>
        </w:trPr>
        <w:tc>
          <w:tcPr>
            <w:tcW w:w="5045" w:type="dxa"/>
            <w:tcBorders>
              <w:top w:val="single" w:sz="4" w:space="0" w:color="auto"/>
              <w:left w:val="single" w:sz="4" w:space="0" w:color="auto"/>
              <w:bottom w:val="single" w:sz="4" w:space="0" w:color="auto"/>
            </w:tcBorders>
            <w:shd w:val="clear" w:color="auto" w:fill="FFFFFF"/>
            <w:vAlign w:val="bottom"/>
          </w:tcPr>
          <w:p w14:paraId="3E9CF57E"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մաստեր-ֆայլի գնահատման վերաբերյալ փորձագիտական հաշվետվության ամսաթիվը</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bottom"/>
          </w:tcPr>
          <w:p w14:paraId="2682B233"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 xml:space="preserve">Գրանցման ընթացակարգը (գրանցումը, փոփոխությունների կատարումը)՝ </w:t>
            </w:r>
          </w:p>
        </w:tc>
      </w:tr>
    </w:tbl>
    <w:p w14:paraId="01A20E58" w14:textId="77777777" w:rsidR="008C76E0" w:rsidRPr="00BD7577" w:rsidRDefault="008C76E0" w:rsidP="002A49BF">
      <w:pPr>
        <w:spacing w:after="160" w:line="360" w:lineRule="auto"/>
        <w:ind w:left="2268" w:right="-1" w:hanging="2268"/>
        <w:jc w:val="both"/>
        <w:rPr>
          <w:rFonts w:ascii="Sylfaen" w:hAnsi="Sylfaen"/>
          <w:sz w:val="24"/>
          <w:szCs w:val="24"/>
        </w:rPr>
      </w:pPr>
      <w:r w:rsidRPr="00BD7577">
        <w:rPr>
          <w:rFonts w:ascii="Sylfaen" w:hAnsi="Sylfaen"/>
          <w:sz w:val="24"/>
          <w:szCs w:val="24"/>
        </w:rPr>
        <w:t>Ծանոթագրություն: Հաշվետվության կառուցվածքը պետք է արտացոլի 3.2.S մոդուլի համապատասխան մասերը։</w:t>
      </w:r>
    </w:p>
    <w:p w14:paraId="410D06A2" w14:textId="77777777" w:rsidR="002A49BF" w:rsidRPr="00E15E7D" w:rsidRDefault="002A49BF" w:rsidP="002A49BF">
      <w:pPr>
        <w:spacing w:after="160" w:line="360" w:lineRule="auto"/>
        <w:jc w:val="center"/>
        <w:rPr>
          <w:rFonts w:ascii="Sylfaen" w:hAnsi="Sylfaen"/>
          <w:sz w:val="24"/>
          <w:szCs w:val="24"/>
        </w:rPr>
      </w:pPr>
    </w:p>
    <w:p w14:paraId="2BC44554" w14:textId="77777777" w:rsidR="008C76E0" w:rsidRPr="00BD7577" w:rsidRDefault="008C76E0" w:rsidP="002A49BF">
      <w:pPr>
        <w:spacing w:after="160" w:line="360" w:lineRule="auto"/>
        <w:jc w:val="center"/>
        <w:rPr>
          <w:rFonts w:ascii="Sylfaen" w:hAnsi="Sylfaen"/>
          <w:sz w:val="24"/>
          <w:szCs w:val="24"/>
        </w:rPr>
      </w:pPr>
      <w:r w:rsidRPr="00BD7577">
        <w:rPr>
          <w:rFonts w:ascii="Sylfaen" w:hAnsi="Sylfaen"/>
          <w:sz w:val="24"/>
          <w:szCs w:val="24"/>
        </w:rPr>
        <w:t>S.2. Արտադրությունը</w:t>
      </w:r>
    </w:p>
    <w:p w14:paraId="23A4699B"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S.2.1.</w:t>
      </w:r>
      <w:r w:rsidRPr="00BD7577">
        <w:rPr>
          <w:rFonts w:ascii="Sylfaen" w:hAnsi="Sylfaen"/>
          <w:sz w:val="24"/>
          <w:szCs w:val="24"/>
        </w:rPr>
        <w:tab/>
        <w:t xml:space="preserve">ԱԴԲ-ն արտադրողը (յուրաքանչյուր կողմի, ներառյալ՝ արտադրական շղթայում ներգրավված կապալային կազմակերպությունների անվանումը, հասցեն </w:t>
      </w:r>
      <w:r w:rsidR="00C54D75">
        <w:rPr>
          <w:rFonts w:ascii="Sylfaen" w:hAnsi="Sylfaen"/>
          <w:sz w:val="24"/>
          <w:szCs w:val="24"/>
        </w:rPr>
        <w:t>և</w:t>
      </w:r>
      <w:r w:rsidRPr="00BD7577">
        <w:rPr>
          <w:rFonts w:ascii="Sylfaen" w:hAnsi="Sylfaen"/>
          <w:sz w:val="24"/>
          <w:szCs w:val="24"/>
        </w:rPr>
        <w:t xml:space="preserve"> պատասխանատվությունը)։</w:t>
      </w:r>
    </w:p>
    <w:p w14:paraId="75741AB9"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322CFD"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59F48A19"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62D706"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S.2.2.</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(մանրամասն տեղեկատվություն)։</w:t>
      </w:r>
    </w:p>
    <w:p w14:paraId="0BDFC7EA"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3052178"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E1BAAF"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C386FD"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S.2.3.</w:t>
      </w:r>
      <w:r w:rsidRPr="00BD7577">
        <w:rPr>
          <w:rFonts w:ascii="Sylfaen" w:hAnsi="Sylfaen"/>
          <w:sz w:val="24"/>
          <w:szCs w:val="24"/>
        </w:rPr>
        <w:tab/>
        <w:t>Ելանյութերի որակի հսկողությունը։</w:t>
      </w:r>
    </w:p>
    <w:p w14:paraId="241E99B0"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4FABF7E"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2911458"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2C6706C"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S.2.4.</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w:t>
      </w:r>
    </w:p>
    <w:p w14:paraId="41D3D41F"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67D90E2"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A2C3652"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D2CCA52"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S.2.5.</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w:t>
      </w:r>
    </w:p>
    <w:p w14:paraId="5A5A8028"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CF36C99"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9A2345"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47C0F2" w14:textId="77777777" w:rsidR="008C76E0" w:rsidRPr="00BD7577" w:rsidRDefault="008C76E0" w:rsidP="002A49BF">
      <w:pPr>
        <w:pStyle w:val="CommentText"/>
        <w:tabs>
          <w:tab w:val="left" w:pos="1701"/>
        </w:tabs>
        <w:spacing w:after="160" w:line="360" w:lineRule="auto"/>
        <w:ind w:firstLine="567"/>
        <w:rPr>
          <w:rFonts w:ascii="Sylfaen" w:hAnsi="Sylfaen"/>
          <w:sz w:val="24"/>
          <w:szCs w:val="24"/>
        </w:rPr>
      </w:pPr>
      <w:r>
        <w:rPr>
          <w:rFonts w:ascii="Sylfaen" w:hAnsi="Sylfaen"/>
          <w:sz w:val="24"/>
          <w:szCs w:val="24"/>
        </w:rPr>
        <w:t>S.2.6.</w:t>
      </w:r>
      <w:r w:rsidRPr="007106A3">
        <w:rPr>
          <w:rFonts w:ascii="Sylfaen" w:hAnsi="Sylfaen"/>
          <w:sz w:val="24"/>
          <w:szCs w:val="24"/>
        </w:rPr>
        <w:tab/>
      </w:r>
      <w:r w:rsidRPr="00BD7577">
        <w:rPr>
          <w:rFonts w:ascii="Sylfaen" w:hAnsi="Sylfaen"/>
          <w:sz w:val="24"/>
          <w:szCs w:val="24"/>
        </w:rPr>
        <w:t>Արտադրական գործընթացի մշակումը</w:t>
      </w:r>
    </w:p>
    <w:p w14:paraId="08C1C435"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C90DE64"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CB055D8"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3DA0172" w14:textId="77777777" w:rsidR="008C76E0" w:rsidRPr="007106A3" w:rsidRDefault="008C76E0" w:rsidP="002A49BF">
      <w:pPr>
        <w:spacing w:after="160" w:line="360" w:lineRule="auto"/>
        <w:ind w:right="-1"/>
        <w:jc w:val="center"/>
        <w:rPr>
          <w:rFonts w:ascii="Sylfaen" w:hAnsi="Sylfaen"/>
          <w:sz w:val="24"/>
          <w:szCs w:val="24"/>
        </w:rPr>
      </w:pPr>
    </w:p>
    <w:p w14:paraId="5D76368F" w14:textId="77777777" w:rsidR="008C76E0" w:rsidRPr="00BD7577" w:rsidRDefault="008C76E0" w:rsidP="002A49BF">
      <w:pPr>
        <w:spacing w:after="160" w:line="360" w:lineRule="auto"/>
        <w:ind w:right="-1"/>
        <w:jc w:val="center"/>
        <w:rPr>
          <w:rFonts w:ascii="Sylfaen" w:hAnsi="Sylfaen"/>
          <w:sz w:val="24"/>
          <w:szCs w:val="24"/>
        </w:rPr>
      </w:pPr>
      <w:r w:rsidRPr="00BD7577">
        <w:rPr>
          <w:rFonts w:ascii="Sylfaen" w:hAnsi="Sylfaen"/>
          <w:sz w:val="24"/>
          <w:szCs w:val="24"/>
        </w:rPr>
        <w:t>S.3. Բնութագրերի նկարագրությունը</w:t>
      </w:r>
    </w:p>
    <w:p w14:paraId="1B1800BA"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E0A99B"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D73E1A"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765E62"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S.3.2.</w:t>
      </w:r>
      <w:r w:rsidRPr="00BD7577">
        <w:rPr>
          <w:rFonts w:ascii="Sylfaen" w:hAnsi="Sylfaen"/>
          <w:sz w:val="24"/>
          <w:szCs w:val="24"/>
        </w:rPr>
        <w:tab/>
        <w:t xml:space="preserve">Խառնուկները (Եվրասիական տնտեսական հանձնաժողովի կողմից հաստատված՝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թիվ 10 հավելվածին համապատասխան (եթե կիրառելի է))։</w:t>
      </w:r>
    </w:p>
    <w:p w14:paraId="7B0FDEF1"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E8C1CE"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FD839"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DF6DB1E" w14:textId="77777777" w:rsidR="008C76E0" w:rsidRPr="00BD7577" w:rsidRDefault="008C76E0" w:rsidP="002A49BF">
      <w:pPr>
        <w:spacing w:after="160" w:line="360" w:lineRule="auto"/>
        <w:ind w:right="-1" w:firstLine="567"/>
        <w:jc w:val="both"/>
        <w:rPr>
          <w:rFonts w:ascii="Sylfaen" w:hAnsi="Sylfaen"/>
          <w:sz w:val="24"/>
          <w:szCs w:val="24"/>
        </w:rPr>
      </w:pPr>
    </w:p>
    <w:p w14:paraId="02411AFE" w14:textId="77777777" w:rsidR="008C76E0" w:rsidRPr="00BD7577" w:rsidRDefault="008C76E0" w:rsidP="002A49BF">
      <w:pPr>
        <w:spacing w:after="160" w:line="360" w:lineRule="auto"/>
        <w:ind w:right="-1"/>
        <w:jc w:val="center"/>
        <w:rPr>
          <w:rFonts w:ascii="Sylfaen" w:hAnsi="Sylfaen"/>
          <w:sz w:val="24"/>
          <w:szCs w:val="24"/>
        </w:rPr>
      </w:pPr>
      <w:r w:rsidRPr="00BD7577">
        <w:rPr>
          <w:rFonts w:ascii="Sylfaen" w:hAnsi="Sylfaen"/>
          <w:sz w:val="24"/>
          <w:szCs w:val="24"/>
        </w:rPr>
        <w:t>S.4. Ակտիվ դեղագործական բաղադրիչի հսկողությունը</w:t>
      </w:r>
    </w:p>
    <w:p w14:paraId="16B536F3"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S.4.5.</w:t>
      </w:r>
      <w:r w:rsidRPr="00BD7577">
        <w:rPr>
          <w:rFonts w:ascii="Sylfaen" w:hAnsi="Sylfaen"/>
          <w:sz w:val="24"/>
          <w:szCs w:val="24"/>
        </w:rPr>
        <w:tab/>
        <w:t xml:space="preserve">Մասնագրի հիմնավորումը (Եվրասիական տնտեսական հանձնաժողովի կողմից հաստատված՝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թիվ 10 հավելվածին համապատասխան (եթե կիրառելի է))։</w:t>
      </w:r>
    </w:p>
    <w:p w14:paraId="4109D65B"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17135E1"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F2CC3E4"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363E2C9" w14:textId="77777777" w:rsidR="008C76E0" w:rsidRPr="00E15E7D" w:rsidRDefault="008C76E0" w:rsidP="008C76E0">
      <w:pPr>
        <w:widowControl/>
        <w:spacing w:line="336" w:lineRule="auto"/>
        <w:rPr>
          <w:rFonts w:ascii="Sylfaen" w:hAnsi="Sylfaen"/>
          <w:sz w:val="24"/>
          <w:szCs w:val="24"/>
        </w:rPr>
      </w:pPr>
    </w:p>
    <w:p w14:paraId="3A001482" w14:textId="77777777" w:rsidR="00D91652" w:rsidRPr="00E15E7D" w:rsidRDefault="00D91652" w:rsidP="008C76E0">
      <w:pPr>
        <w:widowControl/>
        <w:spacing w:line="336" w:lineRule="auto"/>
        <w:rPr>
          <w:rFonts w:ascii="Sylfaen" w:hAnsi="Sylfaen"/>
          <w:sz w:val="24"/>
          <w:szCs w:val="24"/>
        </w:rPr>
      </w:pPr>
    </w:p>
    <w:p w14:paraId="301F90C0" w14:textId="77777777" w:rsidR="008C76E0" w:rsidRPr="00BD7577" w:rsidRDefault="008C76E0" w:rsidP="008C76E0">
      <w:pPr>
        <w:spacing w:line="336" w:lineRule="auto"/>
        <w:ind w:left="567" w:right="566"/>
        <w:jc w:val="center"/>
        <w:rPr>
          <w:rFonts w:ascii="Sylfaen" w:hAnsi="Sylfaen"/>
          <w:sz w:val="24"/>
          <w:szCs w:val="24"/>
        </w:rPr>
      </w:pPr>
      <w:r w:rsidRPr="00BD7577">
        <w:rPr>
          <w:rFonts w:ascii="Sylfaen" w:hAnsi="Sylfaen"/>
          <w:sz w:val="24"/>
          <w:szCs w:val="24"/>
        </w:rPr>
        <w:lastRenderedPageBreak/>
        <w:t xml:space="preserve">ԸՆԴՀԱՆՈՒՐ ԵԶՐԱԿԱՑՈՒԹՅՈՒՆԸ՝ </w:t>
      </w:r>
      <w:r w:rsidRPr="00BD7577">
        <w:rPr>
          <w:rFonts w:ascii="Sylfaen" w:hAnsi="Sylfaen"/>
          <w:sz w:val="24"/>
          <w:szCs w:val="24"/>
        </w:rPr>
        <w:br/>
        <w:t>ԱԴԲՄՖ-ի փակ մասի վերաբերյալ</w:t>
      </w:r>
    </w:p>
    <w:p w14:paraId="4600E134"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CC5E5C" w14:textId="77777777" w:rsidR="008C76E0" w:rsidRPr="00BD7577" w:rsidRDefault="008C76E0" w:rsidP="008C76E0">
      <w:pPr>
        <w:spacing w:line="336"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D4CBA6C" w14:textId="77777777" w:rsidR="008C76E0" w:rsidRPr="00BD7577" w:rsidRDefault="008C76E0" w:rsidP="008C76E0">
      <w:pPr>
        <w:spacing w:line="336"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398BA9F" w14:textId="77777777" w:rsidR="008C76E0" w:rsidRPr="00DD61E4" w:rsidRDefault="008C76E0" w:rsidP="008C76E0">
      <w:pPr>
        <w:spacing w:line="336" w:lineRule="auto"/>
        <w:ind w:right="-1"/>
        <w:jc w:val="center"/>
        <w:rPr>
          <w:rFonts w:ascii="Sylfaen" w:hAnsi="Sylfaen"/>
          <w:sz w:val="24"/>
          <w:szCs w:val="24"/>
        </w:rPr>
      </w:pPr>
    </w:p>
    <w:p w14:paraId="153C2322" w14:textId="77777777" w:rsidR="008C76E0" w:rsidRPr="00BD7577" w:rsidRDefault="008C76E0" w:rsidP="008C76E0">
      <w:pPr>
        <w:spacing w:line="336" w:lineRule="auto"/>
        <w:ind w:right="-1"/>
        <w:jc w:val="center"/>
        <w:rPr>
          <w:rFonts w:ascii="Sylfaen" w:hAnsi="Sylfaen"/>
          <w:sz w:val="24"/>
          <w:szCs w:val="24"/>
        </w:rPr>
      </w:pPr>
      <w:r w:rsidRPr="00BD7577">
        <w:rPr>
          <w:rFonts w:ascii="Sylfaen" w:hAnsi="Sylfaen"/>
          <w:sz w:val="24"/>
          <w:szCs w:val="24"/>
        </w:rPr>
        <w:t xml:space="preserve">ԴԻՏՈՂՈՒԹՅՈՒՆՆԵՐԻ ՑԱՆԿԸ՝ </w:t>
      </w:r>
      <w:r w:rsidRPr="00BD7577">
        <w:rPr>
          <w:rFonts w:ascii="Sylfaen" w:hAnsi="Sylfaen"/>
          <w:sz w:val="24"/>
          <w:szCs w:val="24"/>
        </w:rPr>
        <w:br/>
        <w:t>ԱԴԲՄՖ-ի փակ մասի վերաբերյալ</w:t>
      </w:r>
    </w:p>
    <w:p w14:paraId="3F1C79C3"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780056" w14:textId="77777777" w:rsidR="008C76E0" w:rsidRPr="00BD7577" w:rsidRDefault="008C76E0" w:rsidP="008C76E0">
      <w:pPr>
        <w:spacing w:line="336"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B1BC8F" w14:textId="77777777" w:rsidR="008C76E0" w:rsidRPr="00BD7577" w:rsidRDefault="008C76E0" w:rsidP="008C76E0">
      <w:pPr>
        <w:spacing w:line="336"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9B8136" w14:textId="77777777" w:rsidR="008C76E0" w:rsidRPr="00BD7577" w:rsidRDefault="008C76E0" w:rsidP="008C76E0">
      <w:pPr>
        <w:spacing w:line="336" w:lineRule="auto"/>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21B89E21"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972397" w14:textId="77777777" w:rsidR="008C76E0" w:rsidRPr="00BD7577" w:rsidRDefault="008C76E0" w:rsidP="008C76E0">
      <w:pPr>
        <w:spacing w:line="377"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D3C43" w14:textId="77777777" w:rsidR="008C76E0" w:rsidRPr="00BD7577" w:rsidRDefault="008C76E0" w:rsidP="008C76E0">
      <w:pPr>
        <w:spacing w:line="377"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3D991A" w14:textId="77777777" w:rsidR="008C76E0" w:rsidRPr="00BD7577" w:rsidRDefault="008C76E0" w:rsidP="008C76E0">
      <w:pPr>
        <w:spacing w:line="377"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51274E37" w14:textId="77777777" w:rsidR="008C76E0" w:rsidRPr="00BD7577" w:rsidRDefault="008C76E0" w:rsidP="008C76E0">
      <w:pPr>
        <w:spacing w:line="377"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BF070AA" w14:textId="77777777" w:rsidR="008C76E0" w:rsidRPr="00BD7577" w:rsidRDefault="008C76E0" w:rsidP="008C76E0">
      <w:pPr>
        <w:spacing w:line="377"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1F1E0D" w14:textId="77777777" w:rsidR="008C76E0" w:rsidRPr="00BD7577" w:rsidRDefault="008C76E0" w:rsidP="008C76E0">
      <w:pPr>
        <w:spacing w:line="377"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D08899" w14:textId="77777777" w:rsidR="00D91652" w:rsidRDefault="00D91652">
      <w:pPr>
        <w:widowControl/>
        <w:rPr>
          <w:rFonts w:ascii="Sylfaen" w:hAnsi="Sylfaen"/>
          <w:sz w:val="24"/>
          <w:szCs w:val="24"/>
        </w:rPr>
      </w:pPr>
      <w:r>
        <w:rPr>
          <w:rFonts w:ascii="Sylfaen" w:hAnsi="Sylfaen"/>
          <w:sz w:val="24"/>
          <w:szCs w:val="24"/>
        </w:rPr>
        <w:br w:type="page"/>
      </w:r>
    </w:p>
    <w:p w14:paraId="21155869"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lastRenderedPageBreak/>
        <w:t>ՊԱՏԱՍԽԱՆՆԵՐԻ ԳՆԱՀԱՏՈՒՄԸ</w:t>
      </w:r>
    </w:p>
    <w:p w14:paraId="4AED843E"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ԱԴԲՄՖ-ի փակ մասի վերաբերյալ դիտողությունների ցանկին տրվող</w:t>
      </w:r>
    </w:p>
    <w:p w14:paraId="14F71F09"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676E4DF2"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Հարցը </w:t>
      </w:r>
    </w:p>
    <w:p w14:paraId="0DB1272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60383F7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E77D76"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ռեզյումեն </w:t>
      </w:r>
    </w:p>
    <w:p w14:paraId="13C511C7"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A47C714"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ACFE30"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գնահատումը </w:t>
      </w:r>
    </w:p>
    <w:p w14:paraId="4DA072EB"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F65886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2E8188"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342BF50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563F758"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14B0BA"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Այլ դիտողություններ՝</w:t>
      </w:r>
    </w:p>
    <w:p w14:paraId="2FCCAD88"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Հարցը </w:t>
      </w:r>
    </w:p>
    <w:p w14:paraId="5A2A0BB4"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A0FD54E"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76CDCD"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ռեզյումեն </w:t>
      </w:r>
    </w:p>
    <w:p w14:paraId="24C221B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6944737"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17CEBBC"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գնահատումը </w:t>
      </w:r>
    </w:p>
    <w:p w14:paraId="706C7492"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BC0E6C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6101D6"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lastRenderedPageBreak/>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5E90170D"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8D1434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F0F3822" w14:textId="77777777" w:rsidR="008C76E0" w:rsidRPr="00DD61E4" w:rsidRDefault="008C76E0" w:rsidP="008C76E0">
      <w:pPr>
        <w:ind w:right="-1" w:firstLine="567"/>
        <w:jc w:val="both"/>
        <w:rPr>
          <w:rFonts w:ascii="Sylfaen" w:hAnsi="Sylfaen"/>
          <w:sz w:val="24"/>
          <w:szCs w:val="24"/>
        </w:rPr>
      </w:pPr>
    </w:p>
    <w:p w14:paraId="35E970C8" w14:textId="77777777" w:rsidR="008C76E0" w:rsidRPr="00DD61E4" w:rsidRDefault="008C76E0" w:rsidP="008C76E0">
      <w:pPr>
        <w:ind w:right="-1" w:firstLine="567"/>
        <w:jc w:val="both"/>
        <w:rPr>
          <w:rFonts w:ascii="Sylfaen" w:hAnsi="Sylfaen"/>
          <w:sz w:val="24"/>
          <w:szCs w:val="24"/>
        </w:rPr>
      </w:pPr>
    </w:p>
    <w:p w14:paraId="57986905" w14:textId="77777777" w:rsidR="008C76E0" w:rsidRPr="00DD61E4" w:rsidRDefault="008C76E0" w:rsidP="008C76E0">
      <w:pPr>
        <w:ind w:right="-1" w:firstLine="567"/>
        <w:jc w:val="both"/>
        <w:rPr>
          <w:rFonts w:ascii="Sylfaen" w:hAnsi="Sylfaen"/>
          <w:sz w:val="24"/>
          <w:szCs w:val="24"/>
        </w:rPr>
      </w:pPr>
    </w:p>
    <w:p w14:paraId="0D01BFC8" w14:textId="77777777" w:rsidR="008C76E0" w:rsidRPr="00DD61E4" w:rsidRDefault="008C76E0" w:rsidP="008C76E0">
      <w:pPr>
        <w:ind w:right="-1" w:firstLine="567"/>
        <w:jc w:val="both"/>
        <w:rPr>
          <w:rFonts w:ascii="Sylfaen" w:hAnsi="Sylfaen"/>
          <w:sz w:val="24"/>
          <w:szCs w:val="24"/>
        </w:rPr>
      </w:pPr>
    </w:p>
    <w:p w14:paraId="172722C4" w14:textId="77777777" w:rsidR="008C76E0" w:rsidRPr="00DD61E4" w:rsidRDefault="008C76E0" w:rsidP="008C76E0">
      <w:pPr>
        <w:ind w:right="-1" w:firstLine="567"/>
        <w:jc w:val="both"/>
        <w:rPr>
          <w:rFonts w:ascii="Sylfaen" w:hAnsi="Sylfaen"/>
          <w:sz w:val="24"/>
          <w:szCs w:val="24"/>
        </w:rPr>
      </w:pPr>
    </w:p>
    <w:p w14:paraId="536D7B24" w14:textId="77777777" w:rsidR="008C76E0" w:rsidRPr="00DD61E4" w:rsidRDefault="008C76E0" w:rsidP="008C76E0">
      <w:pPr>
        <w:ind w:right="-1" w:firstLine="567"/>
        <w:jc w:val="both"/>
        <w:rPr>
          <w:rFonts w:ascii="Sylfaen" w:hAnsi="Sylfaen"/>
          <w:sz w:val="24"/>
          <w:szCs w:val="24"/>
        </w:rPr>
      </w:pPr>
    </w:p>
    <w:p w14:paraId="2A19E7ED" w14:textId="77777777" w:rsidR="008C76E0" w:rsidRPr="00DD61E4" w:rsidRDefault="008C76E0" w:rsidP="008C76E0">
      <w:pPr>
        <w:ind w:right="-1" w:firstLine="567"/>
        <w:jc w:val="both"/>
        <w:rPr>
          <w:rFonts w:ascii="Sylfaen" w:hAnsi="Sylfaen"/>
          <w:sz w:val="24"/>
          <w:szCs w:val="24"/>
        </w:rPr>
      </w:pPr>
    </w:p>
    <w:p w14:paraId="3EE32C64" w14:textId="77777777" w:rsidR="008C76E0" w:rsidRPr="00E15E7D" w:rsidRDefault="008C76E0" w:rsidP="008C76E0">
      <w:pPr>
        <w:ind w:right="-1" w:firstLine="567"/>
        <w:jc w:val="both"/>
        <w:rPr>
          <w:rFonts w:ascii="Sylfaen" w:hAnsi="Sylfaen"/>
          <w:sz w:val="24"/>
          <w:szCs w:val="24"/>
        </w:rPr>
      </w:pPr>
    </w:p>
    <w:p w14:paraId="2C2AC222" w14:textId="77777777" w:rsidR="002A49BF" w:rsidRPr="00E15E7D" w:rsidRDefault="002A49BF" w:rsidP="008C76E0">
      <w:pPr>
        <w:ind w:right="-1" w:firstLine="567"/>
        <w:jc w:val="both"/>
        <w:rPr>
          <w:rFonts w:ascii="Sylfaen" w:hAnsi="Sylfaen"/>
          <w:sz w:val="24"/>
          <w:szCs w:val="24"/>
        </w:rPr>
      </w:pPr>
    </w:p>
    <w:p w14:paraId="7F6668F7" w14:textId="77777777" w:rsidR="002A49BF" w:rsidRPr="00E15E7D" w:rsidRDefault="002A49BF" w:rsidP="008C76E0">
      <w:pPr>
        <w:ind w:right="-1" w:firstLine="567"/>
        <w:jc w:val="both"/>
        <w:rPr>
          <w:rFonts w:ascii="Sylfaen" w:hAnsi="Sylfaen"/>
          <w:sz w:val="24"/>
          <w:szCs w:val="24"/>
        </w:rPr>
      </w:pPr>
    </w:p>
    <w:p w14:paraId="16D5CB09" w14:textId="77777777" w:rsidR="002A49BF" w:rsidRPr="00E15E7D" w:rsidRDefault="002A49BF" w:rsidP="008C76E0">
      <w:pPr>
        <w:ind w:right="-1" w:firstLine="567"/>
        <w:jc w:val="both"/>
        <w:rPr>
          <w:rFonts w:ascii="Sylfaen" w:hAnsi="Sylfaen"/>
          <w:sz w:val="24"/>
          <w:szCs w:val="24"/>
        </w:rPr>
      </w:pPr>
    </w:p>
    <w:p w14:paraId="22DAE320" w14:textId="77777777" w:rsidR="002A49BF" w:rsidRPr="00E15E7D" w:rsidRDefault="002A49BF" w:rsidP="008C76E0">
      <w:pPr>
        <w:ind w:right="-1" w:firstLine="567"/>
        <w:jc w:val="both"/>
        <w:rPr>
          <w:rFonts w:ascii="Sylfaen" w:hAnsi="Sylfaen"/>
          <w:sz w:val="24"/>
          <w:szCs w:val="24"/>
        </w:rPr>
      </w:pPr>
    </w:p>
    <w:p w14:paraId="424807B6" w14:textId="77777777" w:rsidR="002A49BF" w:rsidRPr="00E15E7D" w:rsidRDefault="002A49BF" w:rsidP="008C76E0">
      <w:pPr>
        <w:ind w:right="-1" w:firstLine="567"/>
        <w:jc w:val="both"/>
        <w:rPr>
          <w:rFonts w:ascii="Sylfaen" w:hAnsi="Sylfaen"/>
          <w:sz w:val="24"/>
          <w:szCs w:val="24"/>
        </w:rPr>
      </w:pPr>
    </w:p>
    <w:p w14:paraId="605C96B9" w14:textId="77777777" w:rsidR="002A49BF" w:rsidRPr="00E15E7D" w:rsidRDefault="002A49BF" w:rsidP="008C76E0">
      <w:pPr>
        <w:ind w:right="-1" w:firstLine="567"/>
        <w:jc w:val="both"/>
        <w:rPr>
          <w:rFonts w:ascii="Sylfaen" w:hAnsi="Sylfaen"/>
          <w:sz w:val="24"/>
          <w:szCs w:val="24"/>
        </w:rPr>
      </w:pPr>
    </w:p>
    <w:p w14:paraId="5B0F2D98" w14:textId="77777777" w:rsidR="008C76E0" w:rsidRPr="00DD61E4" w:rsidRDefault="008C76E0" w:rsidP="008C76E0">
      <w:pPr>
        <w:ind w:right="-1" w:firstLine="567"/>
        <w:jc w:val="both"/>
        <w:rPr>
          <w:rFonts w:ascii="Sylfaen" w:hAnsi="Sylfaen"/>
          <w:sz w:val="24"/>
          <w:szCs w:val="24"/>
        </w:rPr>
      </w:pPr>
    </w:p>
    <w:p w14:paraId="7054F9C1" w14:textId="77777777" w:rsidR="008C76E0" w:rsidRPr="00DD61E4" w:rsidRDefault="008C76E0" w:rsidP="008C76E0">
      <w:pPr>
        <w:ind w:right="-1" w:firstLine="567"/>
        <w:jc w:val="both"/>
        <w:rPr>
          <w:rFonts w:ascii="Sylfaen" w:hAnsi="Sylfaen"/>
          <w:sz w:val="24"/>
          <w:szCs w:val="24"/>
        </w:rPr>
      </w:pPr>
    </w:p>
    <w:p w14:paraId="06FE63A4"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t>ԱԴԲՄՖ-ի փակ մասի վերաբերյալ</w:t>
      </w:r>
    </w:p>
    <w:p w14:paraId="68414E3C"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2C6354D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9B9F43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DC0DAB" w14:textId="77777777" w:rsidR="002A49BF" w:rsidRDefault="002A49BF">
      <w:pPr>
        <w:widowControl/>
        <w:rPr>
          <w:rFonts w:ascii="Sylfaen" w:hAnsi="Sylfaen"/>
          <w:sz w:val="24"/>
          <w:szCs w:val="24"/>
        </w:rPr>
      </w:pPr>
      <w:r>
        <w:rPr>
          <w:rFonts w:ascii="Sylfaen" w:hAnsi="Sylfaen"/>
          <w:sz w:val="24"/>
          <w:szCs w:val="24"/>
        </w:rPr>
        <w:br w:type="page"/>
      </w:r>
    </w:p>
    <w:p w14:paraId="2E0551D5" w14:textId="77777777" w:rsidR="008C76E0" w:rsidRPr="00BD7577" w:rsidRDefault="008C76E0" w:rsidP="00780BC1">
      <w:pPr>
        <w:spacing w:after="160" w:line="360" w:lineRule="auto"/>
        <w:ind w:right="-1"/>
        <w:jc w:val="center"/>
        <w:rPr>
          <w:rFonts w:ascii="Sylfaen" w:hAnsi="Sylfaen"/>
          <w:sz w:val="24"/>
          <w:szCs w:val="24"/>
        </w:rPr>
      </w:pPr>
      <w:r w:rsidRPr="00BD7577">
        <w:rPr>
          <w:rFonts w:ascii="Sylfaen" w:hAnsi="Sylfaen"/>
          <w:sz w:val="24"/>
          <w:szCs w:val="24"/>
        </w:rPr>
        <w:lastRenderedPageBreak/>
        <w:t>11. Լրացում 2</w:t>
      </w:r>
    </w:p>
    <w:p w14:paraId="1D2123D6" w14:textId="77777777" w:rsidR="008C76E0" w:rsidRPr="00BD7577" w:rsidRDefault="008C76E0" w:rsidP="00780BC1">
      <w:pPr>
        <w:spacing w:after="160" w:line="360" w:lineRule="auto"/>
        <w:ind w:left="567" w:right="566"/>
        <w:jc w:val="center"/>
        <w:rPr>
          <w:rFonts w:ascii="Sylfaen" w:hAnsi="Sylfaen"/>
          <w:sz w:val="24"/>
          <w:szCs w:val="24"/>
        </w:rPr>
      </w:pPr>
      <w:r w:rsidRPr="00BD7577">
        <w:rPr>
          <w:rFonts w:ascii="Sylfaen" w:hAnsi="Sylfaen"/>
          <w:sz w:val="24"/>
          <w:szCs w:val="24"/>
        </w:rPr>
        <w:t xml:space="preserve">Դիզայնի ոլորտը </w:t>
      </w:r>
      <w:r w:rsidR="00C54D75">
        <w:rPr>
          <w:rFonts w:ascii="Sylfaen" w:hAnsi="Sylfaen"/>
          <w:sz w:val="24"/>
          <w:szCs w:val="24"/>
        </w:rPr>
        <w:t>և</w:t>
      </w:r>
      <w:r w:rsidRPr="00BD7577">
        <w:rPr>
          <w:rFonts w:ascii="Sylfaen" w:hAnsi="Sylfaen"/>
          <w:sz w:val="24"/>
          <w:szCs w:val="24"/>
        </w:rPr>
        <w:t xml:space="preserve"> փոփոխությունների կառավարման արձանագրությունները (եթե կիրառելի է)</w:t>
      </w:r>
    </w:p>
    <w:p w14:paraId="1B6878D9" w14:textId="02A6515B" w:rsidR="008C76E0" w:rsidRPr="00BD7577" w:rsidRDefault="008C76E0" w:rsidP="00780BC1">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տվյալ բաժնում հարկ է համառոտ ընդհանրացնել տվյալ դեղապատրաստուկի՝ գրանցման դոսյեում համաձայնեցված </w:t>
      </w:r>
      <w:r w:rsidR="00C54D75">
        <w:rPr>
          <w:rFonts w:ascii="Sylfaen" w:hAnsi="Sylfaen"/>
          <w:sz w:val="24"/>
          <w:szCs w:val="24"/>
        </w:rPr>
        <w:t>և</w:t>
      </w:r>
      <w:r w:rsidRPr="00BD7577">
        <w:rPr>
          <w:rFonts w:ascii="Sylfaen" w:hAnsi="Sylfaen"/>
          <w:sz w:val="24"/>
          <w:szCs w:val="24"/>
        </w:rPr>
        <w:t xml:space="preserve"> հետգրանցումային էտապում դրանց ճկուն կառավարումը ապահովելու համար անհրաժեշտ դեղաձ</w:t>
      </w:r>
      <w:r w:rsidR="00C54D75">
        <w:rPr>
          <w:rFonts w:ascii="Sylfaen" w:hAnsi="Sylfaen"/>
          <w:sz w:val="24"/>
          <w:szCs w:val="24"/>
        </w:rPr>
        <w:t>և</w:t>
      </w:r>
      <w:r w:rsidRPr="00BD7577">
        <w:rPr>
          <w:rFonts w:ascii="Sylfaen" w:hAnsi="Sylfaen"/>
          <w:sz w:val="24"/>
          <w:szCs w:val="24"/>
        </w:rPr>
        <w:t xml:space="preserve">ի մշակման </w:t>
      </w:r>
      <w:r w:rsidR="00C54D75">
        <w:rPr>
          <w:rFonts w:ascii="Sylfaen" w:hAnsi="Sylfaen"/>
          <w:sz w:val="24"/>
          <w:szCs w:val="24"/>
        </w:rPr>
        <w:t>և</w:t>
      </w:r>
      <w:r w:rsidRPr="00BD7577">
        <w:rPr>
          <w:rFonts w:ascii="Sylfaen" w:hAnsi="Sylfaen"/>
          <w:sz w:val="24"/>
          <w:szCs w:val="24"/>
        </w:rPr>
        <w:t xml:space="preserve"> նախագծման, դրա որակի, անվտանգության </w:t>
      </w:r>
      <w:r w:rsidR="00C54D75">
        <w:rPr>
          <w:rFonts w:ascii="Sylfaen" w:hAnsi="Sylfaen"/>
          <w:sz w:val="24"/>
          <w:szCs w:val="24"/>
        </w:rPr>
        <w:t>և</w:t>
      </w:r>
      <w:r w:rsidRPr="00BD7577">
        <w:rPr>
          <w:rFonts w:ascii="Sylfaen" w:hAnsi="Sylfaen"/>
          <w:sz w:val="24"/>
          <w:szCs w:val="24"/>
        </w:rPr>
        <w:t xml:space="preserve"> արդյունավետության բոլոր ասպեկտները։ Հետագայում լրացումը կարող է օգտագործվել փորձագետների </w:t>
      </w:r>
      <w:r w:rsidR="00C54D75">
        <w:rPr>
          <w:rFonts w:ascii="Sylfaen" w:hAnsi="Sylfaen"/>
          <w:sz w:val="24"/>
          <w:szCs w:val="24"/>
        </w:rPr>
        <w:t>և</w:t>
      </w:r>
      <w:r w:rsidRPr="00BD7577">
        <w:rPr>
          <w:rFonts w:ascii="Sylfaen" w:hAnsi="Sylfaen"/>
          <w:sz w:val="24"/>
          <w:szCs w:val="24"/>
        </w:rPr>
        <w:t xml:space="preserve"> դեղագործական տեսուչների կողմից՝ որպես փոփոխություններ կատարելու հետգրանցումային </w:t>
      </w:r>
      <w:r w:rsidR="009F5829">
        <w:rPr>
          <w:rFonts w:ascii="Sylfaen" w:hAnsi="Sylfaen"/>
          <w:sz w:val="24"/>
          <w:szCs w:val="24"/>
        </w:rPr>
        <w:t>դիմումներ</w:t>
      </w:r>
      <w:r w:rsidRPr="00BD7577">
        <w:rPr>
          <w:rFonts w:ascii="Sylfaen" w:hAnsi="Sylfaen"/>
          <w:sz w:val="24"/>
          <w:szCs w:val="24"/>
        </w:rPr>
        <w:t>ի գնահատման հիմք։</w:t>
      </w:r>
    </w:p>
    <w:p w14:paraId="11F0E7D7" w14:textId="77777777" w:rsidR="008C76E0" w:rsidRPr="00BD7577" w:rsidRDefault="008C76E0" w:rsidP="00780BC1">
      <w:pPr>
        <w:spacing w:after="160" w:line="360" w:lineRule="auto"/>
        <w:ind w:right="-1"/>
        <w:rPr>
          <w:rFonts w:ascii="Sylfaen" w:hAnsi="Sylfaen"/>
          <w:sz w:val="24"/>
          <w:szCs w:val="24"/>
        </w:rPr>
      </w:pPr>
    </w:p>
    <w:p w14:paraId="61FACFC3" w14:textId="77777777" w:rsidR="008C76E0" w:rsidRPr="00BD7577" w:rsidRDefault="008C76E0" w:rsidP="00780BC1">
      <w:pPr>
        <w:spacing w:after="160" w:line="360" w:lineRule="auto"/>
        <w:ind w:right="-1"/>
        <w:jc w:val="center"/>
        <w:rPr>
          <w:rFonts w:ascii="Sylfaen" w:hAnsi="Sylfaen"/>
          <w:sz w:val="24"/>
          <w:szCs w:val="24"/>
        </w:rPr>
      </w:pPr>
      <w:r w:rsidRPr="00BD7577">
        <w:rPr>
          <w:rFonts w:ascii="Sylfaen" w:hAnsi="Sylfaen"/>
          <w:sz w:val="24"/>
          <w:szCs w:val="24"/>
        </w:rPr>
        <w:t>1. Ակտիվ դեղագործական բաղադրամասը</w:t>
      </w:r>
    </w:p>
    <w:p w14:paraId="6E014F91"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t>ԱԴԲ-ի դիզայնի ոլորտը։</w:t>
      </w:r>
    </w:p>
    <w:p w14:paraId="435664D0"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Դիզայնի ոլորտը (բնութագրերն ու դրանց փոփոխությունների համապատասխան տիրույթները) հարկ է ներկայացնել աղյուսակների ձ</w:t>
      </w:r>
      <w:r w:rsidR="00C54D75">
        <w:rPr>
          <w:rFonts w:ascii="Sylfaen" w:hAnsi="Sylfaen"/>
          <w:sz w:val="24"/>
          <w:szCs w:val="24"/>
        </w:rPr>
        <w:t>և</w:t>
      </w:r>
      <w:r w:rsidRPr="00BD7577">
        <w:rPr>
          <w:rFonts w:ascii="Sylfaen" w:hAnsi="Sylfaen"/>
          <w:sz w:val="24"/>
          <w:szCs w:val="24"/>
        </w:rPr>
        <w:t>աչափով։</w:t>
      </w:r>
    </w:p>
    <w:p w14:paraId="64665235"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ԱԴԲ-ի փոփոխությունների կառավարման արձանագրությունները։</w:t>
      </w:r>
    </w:p>
    <w:p w14:paraId="446CA281"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Հարկ է նկարագրել համաձայնեցված արձանագրության մեջ ներառված փոփոխությունները, ինչպես նա</w:t>
      </w:r>
      <w:r w:rsidR="00C54D75">
        <w:rPr>
          <w:rFonts w:ascii="Sylfaen" w:hAnsi="Sylfaen"/>
          <w:sz w:val="24"/>
          <w:szCs w:val="24"/>
        </w:rPr>
        <w:t>և</w:t>
      </w:r>
      <w:r w:rsidRPr="00BD7577">
        <w:rPr>
          <w:rFonts w:ascii="Sylfaen" w:hAnsi="Sylfaen"/>
          <w:sz w:val="24"/>
          <w:szCs w:val="24"/>
        </w:rPr>
        <w:t xml:space="preserve"> շեղումների համաձայնեցված սահմանների կատեգորիաները՝ փոփոխությունների ներդրման վերաբերյալ հաշվետվությունների համար։</w:t>
      </w:r>
    </w:p>
    <w:p w14:paraId="16A3143E" w14:textId="77777777" w:rsidR="008C76E0" w:rsidRPr="00BD7577" w:rsidRDefault="008C76E0" w:rsidP="00780BC1">
      <w:pPr>
        <w:spacing w:after="160" w:line="360" w:lineRule="auto"/>
        <w:rPr>
          <w:rFonts w:ascii="Sylfaen" w:hAnsi="Sylfaen"/>
          <w:sz w:val="24"/>
          <w:szCs w:val="24"/>
        </w:rPr>
      </w:pPr>
    </w:p>
    <w:p w14:paraId="094C5F26"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 Դեղապատրաստուկը</w:t>
      </w:r>
    </w:p>
    <w:p w14:paraId="51EAF95D"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2.1.</w:t>
      </w:r>
      <w:r w:rsidRPr="00BD7577">
        <w:rPr>
          <w:rFonts w:ascii="Sylfaen" w:hAnsi="Sylfaen"/>
          <w:sz w:val="24"/>
          <w:szCs w:val="24"/>
        </w:rPr>
        <w:tab/>
        <w:t>Դեղապատրաստուկի դիզայնի ոլորտը:</w:t>
      </w:r>
    </w:p>
    <w:p w14:paraId="3E6D4658"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Աղյուսակների ձ</w:t>
      </w:r>
      <w:r w:rsidR="00C54D75">
        <w:rPr>
          <w:rFonts w:ascii="Sylfaen" w:hAnsi="Sylfaen"/>
          <w:sz w:val="24"/>
          <w:szCs w:val="24"/>
        </w:rPr>
        <w:t>և</w:t>
      </w:r>
      <w:r w:rsidRPr="00BD7577">
        <w:rPr>
          <w:rFonts w:ascii="Sylfaen" w:hAnsi="Sylfaen"/>
          <w:sz w:val="24"/>
          <w:szCs w:val="24"/>
        </w:rPr>
        <w:t>աչափով դիզայնի ոլորտները (բնութագրերն ու դրանց փոփոխությունների համապատասխան տիրույթները) ներկայացնելը։</w:t>
      </w:r>
    </w:p>
    <w:p w14:paraId="0130647B"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lastRenderedPageBreak/>
        <w:t>2.2.</w:t>
      </w:r>
      <w:r w:rsidRPr="00BD7577">
        <w:rPr>
          <w:rFonts w:ascii="Sylfaen" w:hAnsi="Sylfaen"/>
          <w:sz w:val="24"/>
          <w:szCs w:val="24"/>
        </w:rPr>
        <w:tab/>
        <w:t>Դեղաապատրաստուկի մասով փոփոխությունների կառավարման արձանագրությունները։</w:t>
      </w:r>
    </w:p>
    <w:p w14:paraId="388B733D" w14:textId="0871BA31" w:rsidR="008C76E0" w:rsidRDefault="008C76E0" w:rsidP="00780BC1">
      <w:pPr>
        <w:spacing w:after="160" w:line="360" w:lineRule="auto"/>
        <w:ind w:right="-1" w:firstLine="567"/>
        <w:jc w:val="both"/>
        <w:rPr>
          <w:rFonts w:ascii="Sylfaen" w:hAnsi="Sylfaen"/>
          <w:sz w:val="24"/>
          <w:szCs w:val="24"/>
        </w:rPr>
      </w:pPr>
      <w:r w:rsidRPr="00BD7577">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BD7577">
        <w:rPr>
          <w:rFonts w:ascii="Sylfaen" w:hAnsi="Sylfaen"/>
          <w:sz w:val="24"/>
          <w:szCs w:val="24"/>
        </w:rPr>
        <w:t xml:space="preserve"> համաձայնեցված վարիացիաների կատեգորիաները՝ փոփոխությունների ներդրման վերաբերյալ հաշվետվությունների համար։</w:t>
      </w:r>
    </w:p>
    <w:p w14:paraId="4A170D86" w14:textId="77777777" w:rsidR="003B4F5C" w:rsidRPr="006F28F9" w:rsidRDefault="003B4F5C" w:rsidP="003B4F5C">
      <w:pPr>
        <w:rPr>
          <w:b/>
          <w:bCs/>
          <w:i/>
          <w:iCs/>
        </w:rPr>
      </w:pPr>
      <w:r w:rsidRPr="00CD4709">
        <w:rPr>
          <w:b/>
          <w:bCs/>
          <w:i/>
          <w:iCs/>
        </w:rPr>
        <w:t>(</w:t>
      </w:r>
      <w:r>
        <w:rPr>
          <w:b/>
          <w:bCs/>
          <w:i/>
          <w:iCs/>
        </w:rPr>
        <w:t xml:space="preserve">հավելվածը </w:t>
      </w:r>
      <w:r w:rsidRPr="00CD4709">
        <w:rPr>
          <w:b/>
          <w:bCs/>
          <w:i/>
          <w:iCs/>
        </w:rPr>
        <w:t>փոփ. 30.01.20 թիվ 9)</w:t>
      </w:r>
    </w:p>
    <w:p w14:paraId="0E00A718" w14:textId="77777777" w:rsidR="003B4F5C" w:rsidRPr="00BD7577" w:rsidRDefault="003B4F5C" w:rsidP="00780BC1">
      <w:pPr>
        <w:spacing w:after="160" w:line="360" w:lineRule="auto"/>
        <w:ind w:right="-1" w:firstLine="567"/>
        <w:jc w:val="both"/>
        <w:rPr>
          <w:rFonts w:ascii="Sylfaen" w:hAnsi="Sylfaen"/>
          <w:sz w:val="24"/>
          <w:szCs w:val="24"/>
        </w:rPr>
      </w:pPr>
    </w:p>
    <w:p w14:paraId="58D0B99C" w14:textId="77777777" w:rsidR="00D91652" w:rsidRPr="00E15E7D" w:rsidRDefault="00D91652" w:rsidP="008C76E0">
      <w:pPr>
        <w:rPr>
          <w:rFonts w:ascii="Sylfaen" w:eastAsia="Times New Roman" w:hAnsi="Sylfaen" w:cs="Times New Roman"/>
          <w:sz w:val="24"/>
          <w:szCs w:val="24"/>
        </w:rPr>
      </w:pPr>
    </w:p>
    <w:p w14:paraId="5A6D81CB" w14:textId="77777777" w:rsidR="00D91652" w:rsidRPr="00E15E7D" w:rsidRDefault="00D91652" w:rsidP="008C76E0">
      <w:pPr>
        <w:rPr>
          <w:rFonts w:ascii="Sylfaen" w:eastAsia="Times New Roman" w:hAnsi="Sylfaen" w:cs="Times New Roman"/>
          <w:sz w:val="24"/>
          <w:szCs w:val="24"/>
        </w:rPr>
        <w:sectPr w:rsidR="00D91652" w:rsidRPr="00E15E7D" w:rsidSect="00C31D56">
          <w:pgSz w:w="11907" w:h="16839" w:code="9"/>
          <w:pgMar w:top="1418" w:right="1418" w:bottom="1418" w:left="1418" w:header="709" w:footer="709" w:gutter="0"/>
          <w:pgNumType w:start="1"/>
          <w:cols w:space="708"/>
          <w:titlePg/>
          <w:docGrid w:linePitch="360"/>
        </w:sectPr>
      </w:pPr>
    </w:p>
    <w:p w14:paraId="361926B5" w14:textId="77777777" w:rsidR="008C76E0" w:rsidRPr="00BD7577" w:rsidRDefault="008C76E0" w:rsidP="00780BC1">
      <w:pPr>
        <w:spacing w:after="160" w:line="360" w:lineRule="auto"/>
        <w:ind w:left="4536" w:right="-1"/>
        <w:jc w:val="center"/>
        <w:rPr>
          <w:rFonts w:ascii="Sylfaen" w:hAnsi="Sylfaen"/>
          <w:sz w:val="24"/>
          <w:szCs w:val="24"/>
        </w:rPr>
      </w:pPr>
      <w:r w:rsidRPr="00BD7577">
        <w:rPr>
          <w:rFonts w:ascii="Sylfaen" w:hAnsi="Sylfaen"/>
          <w:sz w:val="24"/>
          <w:szCs w:val="24"/>
        </w:rPr>
        <w:lastRenderedPageBreak/>
        <w:t>ՀԱՎԵԼՎԱԾ ԹԻՎ 9</w:t>
      </w:r>
    </w:p>
    <w:p w14:paraId="7DEEBF0C" w14:textId="77777777" w:rsidR="008C76E0" w:rsidRPr="00BD7577" w:rsidRDefault="008C76E0" w:rsidP="00780BC1">
      <w:pPr>
        <w:spacing w:after="160" w:line="360" w:lineRule="auto"/>
        <w:ind w:left="4536"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4B2432A2" w14:textId="77777777" w:rsidR="008C76E0" w:rsidRPr="00BD7577" w:rsidRDefault="008C76E0" w:rsidP="00780BC1">
      <w:pPr>
        <w:spacing w:after="160" w:line="360" w:lineRule="auto"/>
        <w:ind w:right="-1"/>
        <w:jc w:val="center"/>
        <w:rPr>
          <w:rFonts w:ascii="Sylfaen" w:hAnsi="Sylfaen"/>
          <w:sz w:val="24"/>
          <w:szCs w:val="24"/>
        </w:rPr>
      </w:pPr>
    </w:p>
    <w:p w14:paraId="46B753AF" w14:textId="77777777" w:rsidR="008C76E0" w:rsidRPr="008C76E0" w:rsidRDefault="008C76E0" w:rsidP="00780BC1">
      <w:pPr>
        <w:pStyle w:val="Heading120"/>
        <w:shd w:val="clear" w:color="auto" w:fill="auto"/>
        <w:spacing w:before="0" w:after="160" w:line="360" w:lineRule="auto"/>
        <w:ind w:left="567" w:right="566"/>
        <w:outlineLvl w:val="9"/>
        <w:rPr>
          <w:rFonts w:ascii="Sylfaen" w:hAnsi="Sylfaen"/>
          <w:b w:val="0"/>
          <w:sz w:val="24"/>
          <w:szCs w:val="24"/>
          <w:lang w:val="hy-AM"/>
        </w:rPr>
      </w:pPr>
      <w:bookmarkStart w:id="3" w:name="bookmark3"/>
      <w:r w:rsidRPr="00FE7941">
        <w:rPr>
          <w:rStyle w:val="Heading12Spacing1pt"/>
          <w:rFonts w:ascii="Sylfaen" w:hAnsi="Sylfaen"/>
          <w:b/>
          <w:spacing w:val="0"/>
          <w:sz w:val="24"/>
          <w:szCs w:val="24"/>
        </w:rPr>
        <w:t>ՁԵՎ</w:t>
      </w:r>
      <w:bookmarkEnd w:id="3"/>
    </w:p>
    <w:p w14:paraId="02122A75" w14:textId="77777777" w:rsidR="008C76E0" w:rsidRPr="008C76E0" w:rsidRDefault="008C76E0" w:rsidP="00780BC1">
      <w:pPr>
        <w:pStyle w:val="Heading120"/>
        <w:shd w:val="clear" w:color="auto" w:fill="auto"/>
        <w:spacing w:before="0" w:after="160" w:line="360" w:lineRule="auto"/>
        <w:ind w:left="567" w:right="566"/>
        <w:outlineLvl w:val="9"/>
        <w:rPr>
          <w:rFonts w:ascii="Sylfaen" w:hAnsi="Sylfaen"/>
          <w:sz w:val="24"/>
          <w:szCs w:val="24"/>
          <w:lang w:val="hy-AM"/>
        </w:rPr>
      </w:pPr>
      <w:bookmarkStart w:id="4" w:name="bookmark4"/>
      <w:r w:rsidRPr="008C76E0">
        <w:rPr>
          <w:rFonts w:ascii="Sylfaen" w:hAnsi="Sylfaen"/>
          <w:sz w:val="24"/>
          <w:szCs w:val="24"/>
          <w:lang w:val="hy-AM"/>
        </w:rPr>
        <w:t>նոր ակտիվ դեղագործական բաղադրամասի կարգավիճակ տալու վերաբերյալ փորձագիտական հաշվետվության</w:t>
      </w:r>
      <w:bookmarkEnd w:id="4"/>
    </w:p>
    <w:p w14:paraId="0DF381BB" w14:textId="77777777" w:rsidR="008C76E0" w:rsidRPr="008C76E0" w:rsidRDefault="008C76E0" w:rsidP="00780BC1">
      <w:pPr>
        <w:pStyle w:val="Heading120"/>
        <w:shd w:val="clear" w:color="auto" w:fill="auto"/>
        <w:spacing w:before="0" w:after="160" w:line="360" w:lineRule="auto"/>
        <w:outlineLvl w:val="9"/>
        <w:rPr>
          <w:rFonts w:ascii="Sylfaen" w:hAnsi="Sylfaen"/>
          <w:sz w:val="24"/>
          <w:szCs w:val="24"/>
          <w:lang w:val="hy-AM"/>
        </w:rPr>
      </w:pPr>
    </w:p>
    <w:p w14:paraId="51C49164"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Լրացման վերաբերյալ ցուցումներ՝ տեքստի պատրաստի ձ</w:t>
      </w:r>
      <w:r w:rsidR="00C54D75">
        <w:rPr>
          <w:rFonts w:ascii="Sylfaen" w:hAnsi="Sylfaen"/>
          <w:sz w:val="24"/>
          <w:szCs w:val="24"/>
        </w:rPr>
        <w:t>և</w:t>
      </w:r>
      <w:r w:rsidRPr="00BD7577">
        <w:rPr>
          <w:rFonts w:ascii="Sylfaen" w:hAnsi="Sylfaen"/>
          <w:sz w:val="24"/>
          <w:szCs w:val="24"/>
        </w:rPr>
        <w:t>անմուշներն օգտագործելիս դրանք սույն ձ</w:t>
      </w:r>
      <w:r w:rsidR="00C54D75">
        <w:rPr>
          <w:rFonts w:ascii="Sylfaen" w:hAnsi="Sylfaen"/>
          <w:sz w:val="24"/>
          <w:szCs w:val="24"/>
        </w:rPr>
        <w:t>և</w:t>
      </w:r>
      <w:r w:rsidRPr="00BD7577">
        <w:rPr>
          <w:rFonts w:ascii="Sylfaen" w:hAnsi="Sylfaen"/>
          <w:sz w:val="24"/>
          <w:szCs w:val="24"/>
        </w:rPr>
        <w:t xml:space="preserve">ում առանձնացված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 ըստ նշված հատկության (պարամետրի) ներմուծելու միջոցով, ներկայացված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 եթե ձ</w:t>
      </w:r>
      <w:r w:rsidR="00C54D75">
        <w:rPr>
          <w:rFonts w:ascii="Sylfaen" w:hAnsi="Sylfaen"/>
          <w:sz w:val="24"/>
          <w:szCs w:val="24"/>
        </w:rPr>
        <w:t>և</w:t>
      </w:r>
      <w:r w:rsidRPr="00BD7577">
        <w:rPr>
          <w:rFonts w:ascii="Sylfaen" w:hAnsi="Sylfaen"/>
          <w:sz w:val="24"/>
          <w:szCs w:val="24"/>
        </w:rPr>
        <w:t>ի մեջ առաջարկվում է տեքստի պատրաստի հատվածների մի քանի տարբերակների ընտրություն, ապա ընտրության պայմանները ներկայացվում են քառակուսի փակագծերում [ ]՝ սովորական տառատեսակով։</w:t>
      </w:r>
    </w:p>
    <w:p w14:paraId="7D0A8B7B" w14:textId="77777777" w:rsidR="008C76E0" w:rsidRPr="00BD7577" w:rsidRDefault="008C76E0" w:rsidP="00780BC1">
      <w:pPr>
        <w:spacing w:after="160" w:line="360" w:lineRule="auto"/>
        <w:rPr>
          <w:rFonts w:ascii="Sylfaen" w:eastAsia="Times New Roman" w:hAnsi="Sylfaen" w:cs="Times New Roman"/>
          <w:sz w:val="24"/>
          <w:szCs w:val="24"/>
        </w:rPr>
      </w:pPr>
      <w:r w:rsidRPr="00BD7577">
        <w:rPr>
          <w:rFonts w:ascii="Sylfaen" w:hAnsi="Sylfaen"/>
          <w:sz w:val="24"/>
          <w:szCs w:val="24"/>
        </w:rPr>
        <w:br w:type="page"/>
      </w:r>
    </w:p>
    <w:p w14:paraId="1895EBF1"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(ձ</w:t>
      </w:r>
      <w:r w:rsidR="00C54D75">
        <w:rPr>
          <w:rFonts w:ascii="Sylfaen" w:hAnsi="Sylfaen"/>
          <w:sz w:val="24"/>
          <w:szCs w:val="24"/>
        </w:rPr>
        <w:t>և</w:t>
      </w:r>
      <w:r w:rsidRPr="00BD7577">
        <w:rPr>
          <w:rFonts w:ascii="Sylfaen" w:hAnsi="Sylfaen"/>
          <w:sz w:val="24"/>
          <w:szCs w:val="24"/>
        </w:rPr>
        <w:t>)</w:t>
      </w:r>
    </w:p>
    <w:p w14:paraId="4A893293"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ՓՈՐՁԱԳԻՏԱԿԱՆ ՀԱՇՎԵՏՎՈՒԹՅՈՒՆ</w:t>
      </w:r>
    </w:p>
    <w:p w14:paraId="0C6609D2" w14:textId="77777777" w:rsidR="008C76E0" w:rsidRPr="008C76E0" w:rsidRDefault="008C76E0" w:rsidP="00780BC1">
      <w:pPr>
        <w:pStyle w:val="Bodytext40"/>
        <w:shd w:val="clear" w:color="auto" w:fill="auto"/>
        <w:spacing w:before="0" w:after="160" w:line="360" w:lineRule="auto"/>
        <w:ind w:left="1701"/>
        <w:jc w:val="left"/>
        <w:rPr>
          <w:rFonts w:ascii="Sylfaen" w:hAnsi="Sylfaen"/>
          <w:b w:val="0"/>
          <w:sz w:val="24"/>
          <w:szCs w:val="24"/>
          <w:lang w:val="hy-AM"/>
        </w:rPr>
      </w:pPr>
      <w:r w:rsidRPr="008C76E0">
        <w:rPr>
          <w:rFonts w:ascii="Sylfaen" w:hAnsi="Sylfaen"/>
          <w:b w:val="0"/>
          <w:sz w:val="24"/>
          <w:szCs w:val="24"/>
          <w:lang w:val="hy-AM"/>
        </w:rPr>
        <w:t>բաղադրության մեջ մտնող ___________________________________</w:t>
      </w:r>
    </w:p>
    <w:p w14:paraId="41937DA7" w14:textId="77777777" w:rsidR="008C76E0" w:rsidRPr="008C76E0" w:rsidRDefault="008C76E0" w:rsidP="00780BC1">
      <w:pPr>
        <w:pStyle w:val="Bodytext40"/>
        <w:shd w:val="clear" w:color="auto" w:fill="auto"/>
        <w:spacing w:before="0" w:after="160" w:line="360" w:lineRule="auto"/>
        <w:ind w:left="4253"/>
        <w:rPr>
          <w:rFonts w:ascii="Sylfaen" w:hAnsi="Sylfaen"/>
          <w:b w:val="0"/>
          <w:sz w:val="24"/>
          <w:szCs w:val="24"/>
          <w:lang w:val="hy-AM"/>
        </w:rPr>
      </w:pPr>
      <w:r w:rsidRPr="008C76E0">
        <w:rPr>
          <w:rFonts w:ascii="Sylfaen" w:hAnsi="Sylfaen"/>
          <w:b w:val="0"/>
          <w:sz w:val="24"/>
          <w:szCs w:val="24"/>
          <w:lang w:val="hy-AM"/>
        </w:rPr>
        <w:t>(դեղապատրաստուկի անվանումը)</w:t>
      </w:r>
    </w:p>
    <w:p w14:paraId="52484AA1" w14:textId="77777777" w:rsidR="008C76E0" w:rsidRPr="008C76E0" w:rsidRDefault="008C76E0" w:rsidP="00780BC1">
      <w:pPr>
        <w:pStyle w:val="Bodytext4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նոր ակտիվ դեղագործական բաղադրամասի ՆԱԴԲ) —————————————</w:t>
      </w:r>
    </w:p>
    <w:p w14:paraId="3A63EFF6" w14:textId="77777777" w:rsidR="008C76E0" w:rsidRPr="00BD7577" w:rsidRDefault="008C76E0" w:rsidP="00780BC1">
      <w:pPr>
        <w:spacing w:after="160" w:line="360" w:lineRule="auto"/>
        <w:ind w:left="5670"/>
        <w:rPr>
          <w:rFonts w:ascii="Sylfaen" w:hAnsi="Sylfaen"/>
          <w:sz w:val="24"/>
          <w:szCs w:val="24"/>
        </w:rPr>
      </w:pPr>
      <w:r w:rsidRPr="00BD7577">
        <w:rPr>
          <w:rFonts w:ascii="Sylfaen" w:hAnsi="Sylfaen"/>
          <w:sz w:val="24"/>
          <w:szCs w:val="24"/>
        </w:rPr>
        <w:t>(ակտիվ դեղագործական բաղադրամասի անվանումը)</w:t>
      </w:r>
    </w:p>
    <w:p w14:paraId="26F9724E" w14:textId="77777777" w:rsidR="008C76E0" w:rsidRPr="008C76E0" w:rsidRDefault="008C76E0" w:rsidP="00780BC1">
      <w:pPr>
        <w:pStyle w:val="Bodytext4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կարգավիճակ տալու մասին</w:t>
      </w:r>
    </w:p>
    <w:p w14:paraId="4AA2EE2E" w14:textId="77777777" w:rsidR="008C76E0" w:rsidRPr="008C76E0" w:rsidRDefault="008C76E0" w:rsidP="008C76E0">
      <w:pPr>
        <w:pStyle w:val="Bodytext40"/>
        <w:shd w:val="clear" w:color="auto" w:fill="auto"/>
        <w:spacing w:before="0" w:after="160" w:line="360" w:lineRule="auto"/>
        <w:ind w:right="-1"/>
        <w:rPr>
          <w:rFonts w:ascii="Sylfaen" w:hAnsi="Sylfaen"/>
          <w:sz w:val="24"/>
          <w:szCs w:val="24"/>
          <w:lang w:val="hy-AM"/>
        </w:rPr>
      </w:pPr>
    </w:p>
    <w:tbl>
      <w:tblPr>
        <w:tblOverlap w:val="never"/>
        <w:tblW w:w="9630" w:type="dxa"/>
        <w:jc w:val="center"/>
        <w:tblLayout w:type="fixed"/>
        <w:tblCellMar>
          <w:left w:w="10" w:type="dxa"/>
          <w:right w:w="10" w:type="dxa"/>
        </w:tblCellMar>
        <w:tblLook w:val="04A0" w:firstRow="1" w:lastRow="0" w:firstColumn="1" w:lastColumn="0" w:noHBand="0" w:noVBand="1"/>
      </w:tblPr>
      <w:tblGrid>
        <w:gridCol w:w="5330"/>
        <w:gridCol w:w="4300"/>
      </w:tblGrid>
      <w:tr w:rsidR="008C76E0" w:rsidRPr="00BD7577" w14:paraId="6F5D1841" w14:textId="77777777" w:rsidTr="008C76E0">
        <w:trPr>
          <w:jc w:val="center"/>
        </w:trPr>
        <w:tc>
          <w:tcPr>
            <w:tcW w:w="5330" w:type="dxa"/>
            <w:tcBorders>
              <w:top w:val="single" w:sz="4" w:space="0" w:color="auto"/>
              <w:left w:val="single" w:sz="4" w:space="0" w:color="auto"/>
            </w:tcBorders>
            <w:shd w:val="clear" w:color="auto" w:fill="FFFFFF"/>
          </w:tcPr>
          <w:p w14:paraId="67983E5D"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Փորձագետը՝</w:t>
            </w:r>
          </w:p>
        </w:tc>
        <w:tc>
          <w:tcPr>
            <w:tcW w:w="4299" w:type="dxa"/>
            <w:tcBorders>
              <w:top w:val="single" w:sz="4" w:space="0" w:color="auto"/>
              <w:right w:val="single" w:sz="4" w:space="0" w:color="auto"/>
            </w:tcBorders>
            <w:shd w:val="clear" w:color="auto" w:fill="FFFFFF"/>
          </w:tcPr>
          <w:p w14:paraId="569D65F4"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1D094428" w14:textId="77777777" w:rsidTr="008C76E0">
        <w:trPr>
          <w:jc w:val="center"/>
        </w:trPr>
        <w:tc>
          <w:tcPr>
            <w:tcW w:w="5330" w:type="dxa"/>
            <w:tcBorders>
              <w:top w:val="single" w:sz="4" w:space="0" w:color="auto"/>
              <w:left w:val="single" w:sz="4" w:space="0" w:color="auto"/>
            </w:tcBorders>
            <w:shd w:val="clear" w:color="auto" w:fill="FFFFFF"/>
          </w:tcPr>
          <w:p w14:paraId="617874EA"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Ընթացակարգի սկիզբը՝</w:t>
            </w:r>
          </w:p>
        </w:tc>
        <w:tc>
          <w:tcPr>
            <w:tcW w:w="4299" w:type="dxa"/>
            <w:tcBorders>
              <w:top w:val="single" w:sz="4" w:space="0" w:color="auto"/>
              <w:right w:val="single" w:sz="4" w:space="0" w:color="auto"/>
            </w:tcBorders>
            <w:shd w:val="clear" w:color="auto" w:fill="FFFFFF"/>
          </w:tcPr>
          <w:p w14:paraId="652A2639"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74A37FC" w14:textId="77777777" w:rsidTr="008C76E0">
        <w:trPr>
          <w:jc w:val="center"/>
        </w:trPr>
        <w:tc>
          <w:tcPr>
            <w:tcW w:w="5330" w:type="dxa"/>
            <w:tcBorders>
              <w:top w:val="single" w:sz="4" w:space="0" w:color="auto"/>
              <w:left w:val="single" w:sz="4" w:space="0" w:color="auto"/>
            </w:tcBorders>
            <w:shd w:val="clear" w:color="auto" w:fill="FFFFFF"/>
          </w:tcPr>
          <w:p w14:paraId="07887825"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Սույն հաշվետվության ամսաթիվը՝</w:t>
            </w:r>
          </w:p>
        </w:tc>
        <w:tc>
          <w:tcPr>
            <w:tcW w:w="4299" w:type="dxa"/>
            <w:tcBorders>
              <w:top w:val="single" w:sz="4" w:space="0" w:color="auto"/>
              <w:right w:val="single" w:sz="4" w:space="0" w:color="auto"/>
            </w:tcBorders>
            <w:shd w:val="clear" w:color="auto" w:fill="FFFFFF"/>
          </w:tcPr>
          <w:p w14:paraId="1975CD1B"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9931C37" w14:textId="77777777" w:rsidTr="008C76E0">
        <w:trPr>
          <w:jc w:val="center"/>
        </w:trPr>
        <w:tc>
          <w:tcPr>
            <w:tcW w:w="5330" w:type="dxa"/>
            <w:tcBorders>
              <w:top w:val="single" w:sz="4" w:space="0" w:color="auto"/>
              <w:left w:val="single" w:sz="4" w:space="0" w:color="auto"/>
            </w:tcBorders>
            <w:shd w:val="clear" w:color="auto" w:fill="FFFFFF"/>
          </w:tcPr>
          <w:p w14:paraId="55529AB5"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Մեկնաբանությունների վերջնաժամկետը՝</w:t>
            </w:r>
          </w:p>
        </w:tc>
        <w:tc>
          <w:tcPr>
            <w:tcW w:w="4299" w:type="dxa"/>
            <w:tcBorders>
              <w:top w:val="single" w:sz="4" w:space="0" w:color="auto"/>
              <w:right w:val="single" w:sz="4" w:space="0" w:color="auto"/>
            </w:tcBorders>
            <w:shd w:val="clear" w:color="auto" w:fill="FFFFFF"/>
          </w:tcPr>
          <w:p w14:paraId="5D05FBA0"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76CA0F6" w14:textId="77777777" w:rsidTr="008C76E0">
        <w:trPr>
          <w:jc w:val="center"/>
        </w:trPr>
        <w:tc>
          <w:tcPr>
            <w:tcW w:w="9629" w:type="dxa"/>
            <w:gridSpan w:val="2"/>
            <w:tcBorders>
              <w:top w:val="single" w:sz="4" w:space="0" w:color="auto"/>
            </w:tcBorders>
            <w:shd w:val="clear" w:color="auto" w:fill="FFFFFF"/>
            <w:vAlign w:val="center"/>
          </w:tcPr>
          <w:p w14:paraId="2BAE43D2" w14:textId="77777777" w:rsidR="008C76E0" w:rsidRPr="00BD7577" w:rsidRDefault="008C76E0" w:rsidP="008C76E0">
            <w:pPr>
              <w:pStyle w:val="Bodytext180"/>
              <w:shd w:val="clear" w:color="auto" w:fill="auto"/>
              <w:spacing w:before="0" w:after="120" w:line="240" w:lineRule="auto"/>
              <w:ind w:left="130" w:right="79" w:firstLine="0"/>
              <w:jc w:val="center"/>
              <w:rPr>
                <w:rFonts w:ascii="Sylfaen" w:hAnsi="Sylfaen"/>
                <w:b w:val="0"/>
                <w:sz w:val="24"/>
                <w:szCs w:val="24"/>
              </w:rPr>
            </w:pPr>
            <w:r w:rsidRPr="00BD7577">
              <w:rPr>
                <w:rStyle w:val="Bodytext295pt"/>
                <w:rFonts w:ascii="Sylfaen" w:hAnsi="Sylfaen"/>
                <w:spacing w:val="0"/>
                <w:sz w:val="24"/>
                <w:szCs w:val="24"/>
              </w:rPr>
              <w:t>Վարչական տեղեկատվությունը</w:t>
            </w:r>
          </w:p>
        </w:tc>
      </w:tr>
      <w:tr w:rsidR="008C76E0" w:rsidRPr="00BD7577" w14:paraId="7A232B24" w14:textId="77777777" w:rsidTr="008C76E0">
        <w:trPr>
          <w:jc w:val="center"/>
        </w:trPr>
        <w:tc>
          <w:tcPr>
            <w:tcW w:w="5330" w:type="dxa"/>
            <w:tcBorders>
              <w:top w:val="single" w:sz="4" w:space="0" w:color="auto"/>
              <w:left w:val="single" w:sz="4" w:space="0" w:color="auto"/>
            </w:tcBorders>
            <w:shd w:val="clear" w:color="auto" w:fill="FFFFFF"/>
            <w:vAlign w:val="bottom"/>
          </w:tcPr>
          <w:p w14:paraId="7D67D6C1" w14:textId="63064BF1"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 xml:space="preserve">Գրանցման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նույնականացման համարը</w:t>
            </w:r>
          </w:p>
        </w:tc>
        <w:tc>
          <w:tcPr>
            <w:tcW w:w="4299" w:type="dxa"/>
            <w:tcBorders>
              <w:top w:val="single" w:sz="4" w:space="0" w:color="auto"/>
              <w:left w:val="single" w:sz="4" w:space="0" w:color="auto"/>
              <w:right w:val="single" w:sz="4" w:space="0" w:color="auto"/>
            </w:tcBorders>
            <w:shd w:val="clear" w:color="auto" w:fill="FFFFFF"/>
          </w:tcPr>
          <w:p w14:paraId="13A69EB4"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12F4B60" w14:textId="77777777" w:rsidTr="008C76E0">
        <w:trPr>
          <w:jc w:val="center"/>
        </w:trPr>
        <w:tc>
          <w:tcPr>
            <w:tcW w:w="5330" w:type="dxa"/>
            <w:tcBorders>
              <w:top w:val="single" w:sz="4" w:space="0" w:color="auto"/>
              <w:left w:val="single" w:sz="4" w:space="0" w:color="auto"/>
            </w:tcBorders>
            <w:shd w:val="clear" w:color="auto" w:fill="FFFFFF"/>
            <w:vAlign w:val="bottom"/>
          </w:tcPr>
          <w:p w14:paraId="323AF66B"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Դեղամիջոցի առ</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տրային անվանումը</w:t>
            </w:r>
          </w:p>
        </w:tc>
        <w:tc>
          <w:tcPr>
            <w:tcW w:w="4299" w:type="dxa"/>
            <w:tcBorders>
              <w:top w:val="single" w:sz="4" w:space="0" w:color="auto"/>
              <w:left w:val="single" w:sz="4" w:space="0" w:color="auto"/>
              <w:right w:val="single" w:sz="4" w:space="0" w:color="auto"/>
            </w:tcBorders>
            <w:shd w:val="clear" w:color="auto" w:fill="FFFFFF"/>
          </w:tcPr>
          <w:p w14:paraId="1B0C47E8"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216F20B6" w14:textId="77777777" w:rsidTr="008C76E0">
        <w:trPr>
          <w:jc w:val="center"/>
        </w:trPr>
        <w:tc>
          <w:tcPr>
            <w:tcW w:w="5330" w:type="dxa"/>
            <w:tcBorders>
              <w:top w:val="single" w:sz="4" w:space="0" w:color="auto"/>
              <w:left w:val="single" w:sz="4" w:space="0" w:color="auto"/>
            </w:tcBorders>
            <w:shd w:val="clear" w:color="auto" w:fill="FFFFFF"/>
            <w:vAlign w:val="bottom"/>
          </w:tcPr>
          <w:p w14:paraId="4E6B6F46"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Ակտիվ դեղագործական բաղադրամասը</w:t>
            </w:r>
          </w:p>
        </w:tc>
        <w:tc>
          <w:tcPr>
            <w:tcW w:w="4299" w:type="dxa"/>
            <w:tcBorders>
              <w:top w:val="single" w:sz="4" w:space="0" w:color="auto"/>
              <w:left w:val="single" w:sz="4" w:space="0" w:color="auto"/>
              <w:right w:val="single" w:sz="4" w:space="0" w:color="auto"/>
            </w:tcBorders>
            <w:shd w:val="clear" w:color="auto" w:fill="FFFFFF"/>
          </w:tcPr>
          <w:p w14:paraId="0A98C2A0"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00CA7EF5" w14:textId="77777777" w:rsidTr="008C76E0">
        <w:trPr>
          <w:jc w:val="center"/>
        </w:trPr>
        <w:tc>
          <w:tcPr>
            <w:tcW w:w="5330" w:type="dxa"/>
            <w:tcBorders>
              <w:top w:val="single" w:sz="4" w:space="0" w:color="auto"/>
              <w:left w:val="single" w:sz="4" w:space="0" w:color="auto"/>
            </w:tcBorders>
            <w:shd w:val="clear" w:color="auto" w:fill="FFFFFF"/>
            <w:vAlign w:val="bottom"/>
          </w:tcPr>
          <w:p w14:paraId="3F469C84"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միջազգային չարտոնագրված անվանումը (ՄՉԱ) կամ համընդհանուր անվանումը</w:t>
            </w:r>
          </w:p>
        </w:tc>
        <w:tc>
          <w:tcPr>
            <w:tcW w:w="4299" w:type="dxa"/>
            <w:tcBorders>
              <w:top w:val="single" w:sz="4" w:space="0" w:color="auto"/>
              <w:left w:val="single" w:sz="4" w:space="0" w:color="auto"/>
              <w:right w:val="single" w:sz="4" w:space="0" w:color="auto"/>
            </w:tcBorders>
            <w:shd w:val="clear" w:color="auto" w:fill="FFFFFF"/>
          </w:tcPr>
          <w:p w14:paraId="12EF48DA"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F68039D" w14:textId="77777777" w:rsidTr="008C76E0">
        <w:trPr>
          <w:jc w:val="center"/>
        </w:trPr>
        <w:tc>
          <w:tcPr>
            <w:tcW w:w="5330" w:type="dxa"/>
            <w:tcBorders>
              <w:top w:val="single" w:sz="4" w:space="0" w:color="auto"/>
              <w:left w:val="single" w:sz="4" w:space="0" w:color="auto"/>
            </w:tcBorders>
            <w:shd w:val="clear" w:color="auto" w:fill="FFFFFF"/>
            <w:vAlign w:val="bottom"/>
          </w:tcPr>
          <w:p w14:paraId="73753379" w14:textId="0B10F8F2" w:rsidR="008C76E0" w:rsidRPr="00BD7577" w:rsidRDefault="0056496B" w:rsidP="008C76E0">
            <w:pPr>
              <w:pStyle w:val="Bodytext180"/>
              <w:shd w:val="clear" w:color="auto" w:fill="auto"/>
              <w:spacing w:before="0" w:after="120" w:line="240" w:lineRule="auto"/>
              <w:ind w:left="130" w:right="79" w:firstLine="0"/>
              <w:jc w:val="both"/>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w:t>
            </w:r>
          </w:p>
        </w:tc>
        <w:tc>
          <w:tcPr>
            <w:tcW w:w="4299" w:type="dxa"/>
            <w:tcBorders>
              <w:top w:val="single" w:sz="4" w:space="0" w:color="auto"/>
              <w:left w:val="single" w:sz="4" w:space="0" w:color="auto"/>
              <w:right w:val="single" w:sz="4" w:space="0" w:color="auto"/>
            </w:tcBorders>
            <w:shd w:val="clear" w:color="auto" w:fill="FFFFFF"/>
          </w:tcPr>
          <w:p w14:paraId="7244AB2E"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39374840" w14:textId="77777777" w:rsidTr="008C76E0">
        <w:trPr>
          <w:jc w:val="center"/>
        </w:trPr>
        <w:tc>
          <w:tcPr>
            <w:tcW w:w="5330" w:type="dxa"/>
            <w:tcBorders>
              <w:top w:val="single" w:sz="4" w:space="0" w:color="auto"/>
              <w:left w:val="single" w:sz="4" w:space="0" w:color="auto"/>
            </w:tcBorders>
            <w:shd w:val="clear" w:color="auto" w:fill="FFFFFF"/>
            <w:vAlign w:val="bottom"/>
          </w:tcPr>
          <w:p w14:paraId="645F7A45" w14:textId="67FC861C"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 xml:space="preserve">Կիրառման </w:t>
            </w:r>
            <w:r w:rsidR="001A5F1A">
              <w:rPr>
                <w:rStyle w:val="Bodytext295pt"/>
                <w:rFonts w:ascii="Sylfaen" w:hAnsi="Sylfaen"/>
                <w:spacing w:val="0"/>
                <w:sz w:val="24"/>
                <w:szCs w:val="24"/>
              </w:rPr>
              <w:t>հայտագրված</w:t>
            </w:r>
            <w:r w:rsidRPr="00BD7577">
              <w:rPr>
                <w:rStyle w:val="Bodytext295pt"/>
                <w:rFonts w:ascii="Sylfaen" w:hAnsi="Sylfaen"/>
                <w:spacing w:val="0"/>
                <w:sz w:val="24"/>
                <w:szCs w:val="24"/>
              </w:rPr>
              <w:t xml:space="preserve"> ցուցումները</w:t>
            </w:r>
          </w:p>
        </w:tc>
        <w:tc>
          <w:tcPr>
            <w:tcW w:w="4299" w:type="dxa"/>
            <w:tcBorders>
              <w:top w:val="single" w:sz="4" w:space="0" w:color="auto"/>
              <w:left w:val="single" w:sz="4" w:space="0" w:color="auto"/>
              <w:right w:val="single" w:sz="4" w:space="0" w:color="auto"/>
            </w:tcBorders>
            <w:shd w:val="clear" w:color="auto" w:fill="FFFFFF"/>
          </w:tcPr>
          <w:p w14:paraId="3DE299E9"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CCECC63" w14:textId="77777777" w:rsidTr="008C76E0">
        <w:trPr>
          <w:jc w:val="center"/>
        </w:trPr>
        <w:tc>
          <w:tcPr>
            <w:tcW w:w="5330" w:type="dxa"/>
            <w:tcBorders>
              <w:top w:val="single" w:sz="4" w:space="0" w:color="auto"/>
              <w:left w:val="single" w:sz="4" w:space="0" w:color="auto"/>
            </w:tcBorders>
            <w:shd w:val="clear" w:color="auto" w:fill="FFFFFF"/>
            <w:vAlign w:val="bottom"/>
          </w:tcPr>
          <w:p w14:paraId="18DB9977"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(ԱԲՔ-ծածկագիրը)</w:t>
            </w:r>
          </w:p>
        </w:tc>
        <w:tc>
          <w:tcPr>
            <w:tcW w:w="4299" w:type="dxa"/>
            <w:tcBorders>
              <w:top w:val="single" w:sz="4" w:space="0" w:color="auto"/>
              <w:left w:val="single" w:sz="4" w:space="0" w:color="auto"/>
              <w:right w:val="single" w:sz="4" w:space="0" w:color="auto"/>
            </w:tcBorders>
            <w:shd w:val="clear" w:color="auto" w:fill="FFFFFF"/>
          </w:tcPr>
          <w:p w14:paraId="3B9B3862"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73B6E1D4" w14:textId="77777777" w:rsidTr="008C76E0">
        <w:trPr>
          <w:jc w:val="center"/>
        </w:trPr>
        <w:tc>
          <w:tcPr>
            <w:tcW w:w="5330" w:type="dxa"/>
            <w:tcBorders>
              <w:top w:val="single" w:sz="4" w:space="0" w:color="auto"/>
              <w:left w:val="single" w:sz="4" w:space="0" w:color="auto"/>
            </w:tcBorders>
            <w:shd w:val="clear" w:color="auto" w:fill="FFFFFF"/>
            <w:vAlign w:val="bottom"/>
          </w:tcPr>
          <w:p w14:paraId="3483C210"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դեղաչափերը</w:t>
            </w:r>
          </w:p>
        </w:tc>
        <w:tc>
          <w:tcPr>
            <w:tcW w:w="4299" w:type="dxa"/>
            <w:tcBorders>
              <w:top w:val="single" w:sz="4" w:space="0" w:color="auto"/>
              <w:left w:val="single" w:sz="4" w:space="0" w:color="auto"/>
              <w:right w:val="single" w:sz="4" w:space="0" w:color="auto"/>
            </w:tcBorders>
            <w:shd w:val="clear" w:color="auto" w:fill="FFFFFF"/>
          </w:tcPr>
          <w:p w14:paraId="3DB8C052"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38CB9D7" w14:textId="77777777" w:rsidTr="008C76E0">
        <w:trPr>
          <w:jc w:val="center"/>
        </w:trPr>
        <w:tc>
          <w:tcPr>
            <w:tcW w:w="5330" w:type="dxa"/>
            <w:tcBorders>
              <w:top w:val="single" w:sz="4" w:space="0" w:color="auto"/>
              <w:left w:val="single" w:sz="4" w:space="0" w:color="auto"/>
              <w:bottom w:val="single" w:sz="4" w:space="0" w:color="auto"/>
            </w:tcBorders>
            <w:shd w:val="clear" w:color="auto" w:fill="FFFFFF"/>
          </w:tcPr>
          <w:p w14:paraId="4A026C43"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 xml:space="preserve">Փորձագետների տվյալները (ներքին փորձագետ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անկախ փորձագետ)</w:t>
            </w:r>
          </w:p>
        </w:tc>
        <w:tc>
          <w:tcPr>
            <w:tcW w:w="4299" w:type="dxa"/>
            <w:tcBorders>
              <w:top w:val="single" w:sz="4" w:space="0" w:color="auto"/>
              <w:left w:val="single" w:sz="4" w:space="0" w:color="auto"/>
              <w:bottom w:val="single" w:sz="4" w:space="0" w:color="auto"/>
              <w:right w:val="single" w:sz="4" w:space="0" w:color="auto"/>
            </w:tcBorders>
            <w:shd w:val="clear" w:color="auto" w:fill="FFFFFF"/>
            <w:vAlign w:val="bottom"/>
          </w:tcPr>
          <w:p w14:paraId="5A00360F"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t xml:space="preserve">3-րդ մոդուլի փորձագետ՝ </w:t>
            </w:r>
          </w:p>
          <w:p w14:paraId="5526B09E"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48528F11"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224747B5"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lastRenderedPageBreak/>
              <w:t xml:space="preserve">4-րդ մոդուլի փորձագետ՝ </w:t>
            </w:r>
          </w:p>
          <w:p w14:paraId="2396BE00"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6903D845"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r w:rsidR="008C76E0" w:rsidRPr="00BD7577" w14:paraId="2295C4A5" w14:textId="77777777" w:rsidTr="008C76E0">
        <w:trPr>
          <w:jc w:val="center"/>
        </w:trPr>
        <w:tc>
          <w:tcPr>
            <w:tcW w:w="5330" w:type="dxa"/>
            <w:tcBorders>
              <w:top w:val="single" w:sz="4" w:space="0" w:color="auto"/>
              <w:left w:val="single" w:sz="4" w:space="0" w:color="auto"/>
              <w:bottom w:val="single" w:sz="4" w:space="0" w:color="auto"/>
            </w:tcBorders>
            <w:shd w:val="clear" w:color="auto" w:fill="FFFFFF"/>
          </w:tcPr>
          <w:p w14:paraId="58C240B9" w14:textId="77777777" w:rsidR="008C76E0" w:rsidRPr="00BD7577" w:rsidRDefault="008C76E0" w:rsidP="008C76E0">
            <w:pPr>
              <w:spacing w:after="120" w:line="240" w:lineRule="auto"/>
              <w:ind w:left="130" w:right="79"/>
              <w:jc w:val="both"/>
              <w:rPr>
                <w:rFonts w:ascii="Sylfaen" w:hAnsi="Sylfaen"/>
                <w:sz w:val="24"/>
                <w:szCs w:val="24"/>
              </w:rPr>
            </w:pPr>
          </w:p>
        </w:tc>
        <w:tc>
          <w:tcPr>
            <w:tcW w:w="4300" w:type="dxa"/>
            <w:tcBorders>
              <w:top w:val="single" w:sz="4" w:space="0" w:color="auto"/>
              <w:left w:val="single" w:sz="4" w:space="0" w:color="auto"/>
              <w:bottom w:val="single" w:sz="4" w:space="0" w:color="auto"/>
              <w:right w:val="single" w:sz="4" w:space="0" w:color="auto"/>
            </w:tcBorders>
            <w:shd w:val="clear" w:color="auto" w:fill="FFFFFF"/>
            <w:vAlign w:val="bottom"/>
          </w:tcPr>
          <w:p w14:paraId="2F39EE52"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t xml:space="preserve">5-րդ մոդուլի փորձագետ՝ </w:t>
            </w:r>
          </w:p>
          <w:p w14:paraId="5C7895F5"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191DAD80"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bl>
    <w:p w14:paraId="66A5A9CF" w14:textId="77777777" w:rsidR="008C76E0" w:rsidRPr="00BD7577" w:rsidRDefault="008C76E0" w:rsidP="008C76E0">
      <w:pPr>
        <w:ind w:right="-1"/>
        <w:rPr>
          <w:rFonts w:ascii="Sylfaen" w:hAnsi="Sylfaen"/>
          <w:sz w:val="24"/>
          <w:szCs w:val="24"/>
        </w:rPr>
      </w:pPr>
    </w:p>
    <w:p w14:paraId="7C70490E"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1. Հանձնարարական</w:t>
      </w:r>
    </w:p>
    <w:p w14:paraId="7AAF9CA3"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Տվյալների ամփոփման հիման վրա փորձագետը գտնում է, որ </w:t>
      </w:r>
      <w:r w:rsidRPr="007106A3">
        <w:rPr>
          <w:rFonts w:ascii="Sylfaen" w:hAnsi="Sylfaen"/>
          <w:i/>
          <w:sz w:val="24"/>
          <w:szCs w:val="24"/>
        </w:rPr>
        <w:t>&lt;Դեղապատրաստուկի անվանումը&gt;</w:t>
      </w:r>
      <w:r w:rsidRPr="00BD7577">
        <w:rPr>
          <w:rFonts w:ascii="Sylfaen" w:hAnsi="Sylfaen"/>
          <w:sz w:val="24"/>
          <w:szCs w:val="24"/>
        </w:rPr>
        <w:t xml:space="preserve"> դեղապատրաստուկի բաղադրության մեջ մտնող ակտիվ դեղագործական բաղադրամասը (ազդող նյութը)՝</w:t>
      </w:r>
      <w:r w:rsidRPr="00BD7577">
        <w:rPr>
          <w:rStyle w:val="Bodytext295pt"/>
          <w:rFonts w:ascii="Sylfaen" w:eastAsiaTheme="minorHAnsi" w:hAnsi="Sylfaen"/>
          <w:b w:val="0"/>
          <w:spacing w:val="0"/>
          <w:sz w:val="24"/>
          <w:szCs w:val="24"/>
        </w:rPr>
        <w:t xml:space="preserve"> </w:t>
      </w:r>
      <w:r w:rsidRPr="007106A3">
        <w:rPr>
          <w:rStyle w:val="Bodytext295pt"/>
          <w:rFonts w:ascii="Sylfaen" w:eastAsiaTheme="minorHAnsi" w:hAnsi="Sylfaen"/>
          <w:b w:val="0"/>
          <w:i/>
          <w:spacing w:val="0"/>
          <w:sz w:val="24"/>
          <w:szCs w:val="24"/>
        </w:rPr>
        <w:t>&lt;Ակտիվ դեղագործական բաղադրամասի անվանումը&gt;,</w:t>
      </w:r>
    </w:p>
    <w:p w14:paraId="3E19117A" w14:textId="61857060"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&lt;կարող է որակվել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գրանցվել է որպես &lt;ակտիվ դեղագործական բաղադրամաս&gt;, քանի որ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այն հատկություններով զգալիորեն տարբերվում է նախկինում գրանցված բաղադրամասից&gt;.</w:t>
      </w:r>
    </w:p>
    <w:p w14:paraId="62C03D53" w14:textId="295AC140"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&lt;կարող է որակվել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(աղ)}հետ համեմատած, որը նախկինում Միությունում գրանցված էր որպես {գրանցված դեղապատրաստուկի անվանումը}, &lt;պայմանով, որ Դիտողությունների ցանկում մանրամասն շարադրված դիտողություններին տրվել են բավարարող պատասխաններ&gt;.</w:t>
      </w:r>
    </w:p>
    <w:p w14:paraId="03FD885A" w14:textId="3D23AC64"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&lt;չի որակվում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w:t>
      </w:r>
      <w:r w:rsidRPr="008C76E0">
        <w:rPr>
          <w:rFonts w:ascii="Sylfaen" w:hAnsi="Sylfaen"/>
          <w:b w:val="0"/>
          <w:sz w:val="24"/>
          <w:szCs w:val="24"/>
          <w:lang w:val="hy-AM"/>
        </w:rPr>
        <w:lastRenderedPageBreak/>
        <w:t xml:space="preserve">գրանցվել է որպես {գրանցված դեղապատրաստուկի անվանումը}, քանի որ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այն հատկություններով զգալիորեն չի տարբերվում նախկինում գրանցված բաղադրամասից&gt;: Ակտիվ դեղագործական բաղադրամասի՝ որպես նոր ակտիվ դեղագործական բաղադրամաս որակմանը խոչընդոտող դիտողությունները մանրամասն շարադրված են Դիտողությունների ցանկում&gt;:</w:t>
      </w:r>
    </w:p>
    <w:p w14:paraId="30648717" w14:textId="77777777" w:rsidR="008C76E0" w:rsidRPr="00BD7577" w:rsidRDefault="008C76E0" w:rsidP="00780BC1">
      <w:pPr>
        <w:spacing w:after="160" w:line="360" w:lineRule="auto"/>
        <w:rPr>
          <w:rFonts w:ascii="Sylfaen" w:hAnsi="Sylfaen"/>
          <w:sz w:val="24"/>
          <w:szCs w:val="24"/>
        </w:rPr>
      </w:pPr>
    </w:p>
    <w:p w14:paraId="1B9F3F25"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 Ամփոփ ռեզյումե</w:t>
      </w:r>
    </w:p>
    <w:p w14:paraId="47463459" w14:textId="77777777" w:rsidR="008C76E0" w:rsidRPr="00BD7577" w:rsidRDefault="008C76E0" w:rsidP="00780BC1">
      <w:pPr>
        <w:spacing w:after="160" w:line="360" w:lineRule="auto"/>
        <w:jc w:val="center"/>
        <w:rPr>
          <w:rFonts w:ascii="Sylfaen" w:hAnsi="Sylfaen"/>
          <w:sz w:val="24"/>
          <w:szCs w:val="24"/>
        </w:rPr>
      </w:pPr>
    </w:p>
    <w:p w14:paraId="6B53263A"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2.1. Խնդրի ձ</w:t>
      </w:r>
      <w:r w:rsidR="00C54D75">
        <w:rPr>
          <w:rFonts w:ascii="Sylfaen" w:hAnsi="Sylfaen"/>
          <w:sz w:val="24"/>
          <w:szCs w:val="24"/>
        </w:rPr>
        <w:t>և</w:t>
      </w:r>
      <w:r w:rsidRPr="00BD7577">
        <w:rPr>
          <w:rFonts w:ascii="Sylfaen" w:hAnsi="Sylfaen"/>
          <w:sz w:val="24"/>
          <w:szCs w:val="24"/>
        </w:rPr>
        <w:t>ակերպումը</w:t>
      </w:r>
    </w:p>
    <w:p w14:paraId="6FEE6E7C" w14:textId="602F0C70"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Գրանցման </w:t>
      </w:r>
      <w:r w:rsidR="0056496B">
        <w:rPr>
          <w:rFonts w:ascii="Sylfaen" w:hAnsi="Sylfaen"/>
          <w:sz w:val="24"/>
          <w:szCs w:val="24"/>
        </w:rPr>
        <w:t>դիմում</w:t>
      </w:r>
      <w:r w:rsidRPr="00BD7577">
        <w:rPr>
          <w:rFonts w:ascii="Sylfaen" w:hAnsi="Sylfaen"/>
          <w:sz w:val="24"/>
          <w:szCs w:val="24"/>
        </w:rPr>
        <w:t xml:space="preserve">ը ընդունվել է քննության՝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կանոններին համապատասխան, </w:t>
      </w:r>
      <w:r w:rsidR="00C54D75">
        <w:rPr>
          <w:rFonts w:ascii="Sylfaen" w:hAnsi="Sylfaen"/>
          <w:sz w:val="24"/>
          <w:szCs w:val="24"/>
        </w:rPr>
        <w:t>և</w:t>
      </w:r>
      <w:r w:rsidRPr="00BD7577">
        <w:rPr>
          <w:rFonts w:ascii="Sylfaen" w:hAnsi="Sylfaen"/>
          <w:sz w:val="24"/>
          <w:szCs w:val="24"/>
        </w:rPr>
        <w:t xml:space="preserve"> ներառում է ակտիվ դեղագործական բաղադրամասը &lt;ակտիվ դեղագործական բաղադրամասի անվանումը&gt; նոր ակտիվ դեղագործական բաղադրամաս համարելու պատճառների հիմնավորումը </w:t>
      </w:r>
      <w:r w:rsidR="00C54D75">
        <w:rPr>
          <w:rFonts w:ascii="Sylfaen" w:hAnsi="Sylfaen"/>
          <w:sz w:val="24"/>
          <w:szCs w:val="24"/>
        </w:rPr>
        <w:t>և</w:t>
      </w:r>
      <w:r w:rsidRPr="00BD7577">
        <w:rPr>
          <w:rFonts w:ascii="Sylfaen" w:hAnsi="Sylfaen"/>
          <w:sz w:val="24"/>
          <w:szCs w:val="24"/>
        </w:rPr>
        <w:t xml:space="preserve"> վերլուծությունը։</w:t>
      </w:r>
    </w:p>
    <w:p w14:paraId="29118F26" w14:textId="1662FAF6" w:rsidR="008C76E0" w:rsidRPr="008C76E0" w:rsidRDefault="0056496B" w:rsidP="00780BC1">
      <w:pPr>
        <w:pStyle w:val="Bodytext70"/>
        <w:shd w:val="clear" w:color="auto" w:fill="auto"/>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 հարցում է կատարել վերոնշյալ դեղապատրաստուկի մեջ պարունակվող ակտիվ դեղագործական բաղադրամասը &lt;</w:t>
      </w:r>
      <w:r w:rsidR="008C76E0" w:rsidRPr="008C76E0">
        <w:rPr>
          <w:rFonts w:ascii="Sylfaen" w:hAnsi="Sylfaen"/>
          <w:b w:val="0"/>
          <w:sz w:val="24"/>
          <w:szCs w:val="24"/>
          <w:lang w:val="hy-AM"/>
        </w:rPr>
        <w:t>ակտիվ դեղագործական բաղադրամասի անվանումը</w:t>
      </w:r>
      <w:r w:rsidR="008C76E0" w:rsidRPr="00BD7577">
        <w:rPr>
          <w:rStyle w:val="Bodytext295pt"/>
          <w:rFonts w:ascii="Sylfaen" w:hAnsi="Sylfaen"/>
          <w:spacing w:val="0"/>
          <w:sz w:val="24"/>
          <w:szCs w:val="24"/>
        </w:rPr>
        <w:t>&gt;</w:t>
      </w:r>
      <w:r w:rsidR="008C76E0" w:rsidRPr="008C76E0">
        <w:rPr>
          <w:rFonts w:ascii="Sylfaen" w:hAnsi="Sylfaen"/>
          <w:b w:val="0"/>
          <w:sz w:val="24"/>
          <w:szCs w:val="24"/>
          <w:lang w:val="hy-AM"/>
        </w:rPr>
        <w:t>&lt;ինքնուրույն&gt;</w:t>
      </w:r>
      <w:r w:rsidR="008C76E0" w:rsidRPr="00BD7577">
        <w:rPr>
          <w:rStyle w:val="Bodytext295pt"/>
          <w:rFonts w:ascii="Sylfaen" w:hAnsi="Sylfaen"/>
          <w:spacing w:val="0"/>
          <w:sz w:val="24"/>
          <w:szCs w:val="24"/>
        </w:rPr>
        <w:t xml:space="preserve"> նոր ակտիվ դեղագործական բաղադրամաս համարելու վերաբերյալ՝ </w:t>
      </w:r>
      <w:r w:rsidR="008C76E0" w:rsidRPr="008C76E0">
        <w:rPr>
          <w:rFonts w:ascii="Sylfaen" w:hAnsi="Sylfaen"/>
          <w:b w:val="0"/>
          <w:sz w:val="24"/>
          <w:szCs w:val="24"/>
          <w:lang w:val="hy-AM"/>
        </w:rPr>
        <w:t>&lt;</w:t>
      </w:r>
      <w:r w:rsidR="005F6A31">
        <w:rPr>
          <w:rFonts w:ascii="Sylfaen" w:hAnsi="Sylfaen"/>
          <w:b w:val="0"/>
          <w:sz w:val="24"/>
          <w:szCs w:val="24"/>
          <w:lang w:val="hy-AM"/>
        </w:rPr>
        <w:t>հայտնի</w:t>
      </w:r>
      <w:r w:rsidR="008C76E0"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գրանցվել է որպես {գրանցված դեղապատրաստուկի անվանումը}, </w:t>
      </w:r>
      <w:r w:rsidR="00C54D75">
        <w:rPr>
          <w:rFonts w:ascii="Sylfaen" w:hAnsi="Sylfaen"/>
          <w:b w:val="0"/>
          <w:sz w:val="24"/>
          <w:szCs w:val="24"/>
          <w:lang w:val="hy-AM"/>
        </w:rPr>
        <w:t>և</w:t>
      </w:r>
      <w:r w:rsidR="008C76E0" w:rsidRPr="008C76E0">
        <w:rPr>
          <w:rFonts w:ascii="Sylfaen" w:hAnsi="Sylfaen"/>
          <w:b w:val="0"/>
          <w:sz w:val="24"/>
          <w:szCs w:val="24"/>
          <w:lang w:val="hy-AM"/>
        </w:rPr>
        <w:t xml:space="preserve"> </w:t>
      </w:r>
      <w:r w:rsidR="00745ADC">
        <w:rPr>
          <w:rFonts w:ascii="Sylfaen" w:hAnsi="Sylfaen"/>
          <w:b w:val="0"/>
          <w:sz w:val="24"/>
          <w:szCs w:val="24"/>
          <w:lang w:val="hy-AM"/>
        </w:rPr>
        <w:t>հայտնել</w:t>
      </w:r>
      <w:r w:rsidR="008C76E0" w:rsidRPr="008C76E0">
        <w:rPr>
          <w:rFonts w:ascii="Sylfaen" w:hAnsi="Sylfaen"/>
          <w:b w:val="0"/>
          <w:sz w:val="24"/>
          <w:szCs w:val="24"/>
          <w:lang w:val="hy-AM"/>
        </w:rPr>
        <w:t xml:space="preserve"> է, որ անվտանգության </w:t>
      </w:r>
      <w:r w:rsidR="00C54D75">
        <w:rPr>
          <w:rFonts w:ascii="Sylfaen" w:hAnsi="Sylfaen"/>
          <w:b w:val="0"/>
          <w:sz w:val="24"/>
          <w:szCs w:val="24"/>
          <w:lang w:val="hy-AM"/>
        </w:rPr>
        <w:t>և</w:t>
      </w:r>
      <w:r w:rsidR="008C76E0" w:rsidRPr="008C76E0">
        <w:rPr>
          <w:rFonts w:ascii="Sylfaen" w:hAnsi="Sylfaen"/>
          <w:b w:val="0"/>
          <w:sz w:val="24"/>
          <w:szCs w:val="24"/>
          <w:lang w:val="hy-AM"/>
        </w:rPr>
        <w:t xml:space="preserve"> արդյունավետության տեսանկյունից &lt;ակտիվ դեղագործական բաղադրամասը&gt; հատկություններով զգալիորեն տարբերվում է նախկինում գրանցված բաղադրամասից&gt;:</w:t>
      </w:r>
    </w:p>
    <w:p w14:paraId="21AD6146" w14:textId="77777777" w:rsidR="008C76E0" w:rsidRPr="00BD7577" w:rsidRDefault="008C76E0" w:rsidP="00780BC1">
      <w:pPr>
        <w:spacing w:after="160" w:line="384" w:lineRule="auto"/>
        <w:jc w:val="center"/>
        <w:rPr>
          <w:rFonts w:ascii="Sylfaen" w:hAnsi="Sylfaen"/>
          <w:sz w:val="24"/>
          <w:szCs w:val="24"/>
        </w:rPr>
      </w:pPr>
      <w:r w:rsidRPr="00BD7577">
        <w:rPr>
          <w:rFonts w:ascii="Sylfaen" w:hAnsi="Sylfaen"/>
          <w:sz w:val="24"/>
          <w:szCs w:val="24"/>
        </w:rPr>
        <w:t>3. Փորձագիտական գիտական գնահատումը</w:t>
      </w:r>
    </w:p>
    <w:p w14:paraId="13798450" w14:textId="77777777" w:rsidR="008C76E0" w:rsidRPr="00BD7577" w:rsidRDefault="008C76E0" w:rsidP="00780BC1">
      <w:pPr>
        <w:tabs>
          <w:tab w:val="left" w:pos="1134"/>
        </w:tabs>
        <w:spacing w:after="160" w:line="384" w:lineRule="auto"/>
        <w:ind w:firstLine="567"/>
        <w:rPr>
          <w:rFonts w:ascii="Sylfaen" w:hAnsi="Sylfaen"/>
          <w:sz w:val="24"/>
          <w:szCs w:val="24"/>
        </w:rPr>
      </w:pPr>
      <w:r w:rsidRPr="00BD7577">
        <w:rPr>
          <w:rFonts w:ascii="Sylfaen" w:hAnsi="Sylfaen"/>
          <w:sz w:val="24"/>
          <w:szCs w:val="24"/>
        </w:rPr>
        <w:t>3.1.</w:t>
      </w:r>
      <w:r w:rsidRPr="00BD7577">
        <w:rPr>
          <w:rFonts w:ascii="Sylfaen" w:hAnsi="Sylfaen"/>
          <w:sz w:val="24"/>
          <w:szCs w:val="24"/>
        </w:rPr>
        <w:tab/>
        <w:t>Որակի ասպեկտները</w:t>
      </w:r>
    </w:p>
    <w:p w14:paraId="37D5A849"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1AA5CD57"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5C34DC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8AEC70"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Որակի ասպեկտների վերաբերյալ վերլուծությունը</w:t>
      </w:r>
    </w:p>
    <w:p w14:paraId="3C9D39D0"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6BFB215"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31FC17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44D08F4" w14:textId="77777777" w:rsidR="008C76E0" w:rsidRPr="00BD7577" w:rsidRDefault="008C76E0" w:rsidP="00780BC1">
      <w:pPr>
        <w:tabs>
          <w:tab w:val="left" w:pos="7665"/>
        </w:tabs>
        <w:spacing w:after="160" w:line="384" w:lineRule="auto"/>
        <w:ind w:firstLine="567"/>
        <w:jc w:val="both"/>
        <w:rPr>
          <w:rFonts w:ascii="Sylfaen" w:hAnsi="Sylfaen"/>
          <w:sz w:val="24"/>
          <w:szCs w:val="24"/>
        </w:rPr>
      </w:pPr>
      <w:r w:rsidRPr="00BD7577">
        <w:rPr>
          <w:rFonts w:ascii="Sylfaen" w:hAnsi="Sylfaen"/>
          <w:sz w:val="24"/>
          <w:szCs w:val="24"/>
        </w:rPr>
        <w:t xml:space="preserve">Որակի ասպեկտների վերաբերյալ եզրակացությունները </w:t>
      </w:r>
    </w:p>
    <w:p w14:paraId="7A5D70F9"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DC3F5B8" w14:textId="77777777" w:rsidR="008C76E0" w:rsidRPr="00BD7577" w:rsidRDefault="008C76E0" w:rsidP="00780BC1">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B67807" w14:textId="77777777" w:rsidR="008C76E0" w:rsidRPr="00BD7577" w:rsidRDefault="008C76E0" w:rsidP="00780BC1">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027527A"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Նախակլինիկական ասպեկտները</w:t>
      </w:r>
    </w:p>
    <w:p w14:paraId="1F93D310"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514BDE5"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C5ACB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57EEC79"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Նախակլինիկական ասպեկտների վերաբերյալ վերլուծությունը</w:t>
      </w:r>
    </w:p>
    <w:p w14:paraId="3142C68F"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9C8254D"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4BF48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EFEA89"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Նախակլինիկական ասպեկտների վերաբերյալ եզրակացությունը</w:t>
      </w:r>
    </w:p>
    <w:p w14:paraId="49052BF0"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673696F" w14:textId="77777777" w:rsidR="008C76E0" w:rsidRPr="00BD7577" w:rsidRDefault="008C76E0" w:rsidP="00780BC1">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74A0B098" w14:textId="77777777" w:rsidR="008C76E0" w:rsidRPr="00BD7577" w:rsidRDefault="008C76E0" w:rsidP="00780BC1">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3A3BF4A"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3.2.</w:t>
      </w:r>
      <w:r w:rsidRPr="00BD7577">
        <w:rPr>
          <w:rFonts w:ascii="Sylfaen" w:hAnsi="Sylfaen"/>
          <w:sz w:val="24"/>
          <w:szCs w:val="24"/>
        </w:rPr>
        <w:tab/>
        <w:t>Կլինիկական ասպեկտները</w:t>
      </w:r>
    </w:p>
    <w:p w14:paraId="4BEE4E54"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03FBB32"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7FD15F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41D79D"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Կլինիկական ասպեկտների վերաբերյալ վերլուծությունը</w:t>
      </w:r>
    </w:p>
    <w:p w14:paraId="4FF9852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3276820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667A32"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6A801F"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Կլինիկական ասպեկտների վերաբերյալ եզրակացությունը</w:t>
      </w:r>
    </w:p>
    <w:p w14:paraId="6DC1E253"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2148BC8"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433FD0"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F3E555" w14:textId="77777777" w:rsidR="008C76E0" w:rsidRPr="00BD7577" w:rsidRDefault="008C76E0" w:rsidP="008C76E0">
      <w:pPr>
        <w:jc w:val="center"/>
        <w:rPr>
          <w:rFonts w:ascii="Sylfaen" w:hAnsi="Sylfaen"/>
          <w:sz w:val="24"/>
          <w:szCs w:val="24"/>
        </w:rPr>
      </w:pPr>
    </w:p>
    <w:p w14:paraId="0EB1AE65"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4. Ընդհանուր եզրակացությունը</w:t>
      </w:r>
    </w:p>
    <w:p w14:paraId="517C1B3A" w14:textId="7B200751"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[Եթե արվել է եզրակացություն, որ </w:t>
      </w:r>
      <w:r w:rsidR="0056496B">
        <w:rPr>
          <w:rFonts w:ascii="Sylfaen" w:hAnsi="Sylfaen"/>
          <w:sz w:val="24"/>
          <w:szCs w:val="24"/>
        </w:rPr>
        <w:t>դիմումատու</w:t>
      </w:r>
      <w:r w:rsidRPr="00BD7577">
        <w:rPr>
          <w:rFonts w:ascii="Sylfaen" w:hAnsi="Sylfaen"/>
          <w:sz w:val="24"/>
          <w:szCs w:val="24"/>
        </w:rPr>
        <w:t>ն պետք է ներկայացնի լրացուցիչ տեղեկություններ, ապա պետք է նշել հետ</w:t>
      </w:r>
      <w:r w:rsidR="00C54D75">
        <w:rPr>
          <w:rFonts w:ascii="Sylfaen" w:hAnsi="Sylfaen"/>
          <w:sz w:val="24"/>
          <w:szCs w:val="24"/>
        </w:rPr>
        <w:t>և</w:t>
      </w:r>
      <w:r w:rsidRPr="00BD7577">
        <w:rPr>
          <w:rFonts w:ascii="Sylfaen" w:hAnsi="Sylfaen"/>
          <w:sz w:val="24"/>
          <w:szCs w:val="24"/>
        </w:rPr>
        <w:t>յալը]</w:t>
      </w:r>
    </w:p>
    <w:p w14:paraId="212D654D" w14:textId="358A6DB0" w:rsidR="008C76E0" w:rsidRPr="00BD7577" w:rsidRDefault="008C76E0" w:rsidP="00780BC1">
      <w:pPr>
        <w:pStyle w:val="Bodytext70"/>
        <w:shd w:val="clear" w:color="auto" w:fill="auto"/>
        <w:spacing w:before="0" w:after="160" w:line="360" w:lineRule="auto"/>
        <w:ind w:firstLine="567"/>
        <w:rPr>
          <w:rStyle w:val="Bodytext295pt"/>
          <w:rFonts w:ascii="Sylfaen" w:hAnsi="Sylfaen"/>
          <w:spacing w:val="0"/>
          <w:sz w:val="24"/>
          <w:szCs w:val="24"/>
        </w:rPr>
      </w:pPr>
      <w:r w:rsidRPr="008C76E0">
        <w:rPr>
          <w:rFonts w:ascii="Sylfaen" w:hAnsi="Sylfaen"/>
          <w:b w:val="0"/>
          <w:sz w:val="24"/>
          <w:szCs w:val="24"/>
          <w:lang w:val="hy-AM"/>
        </w:rPr>
        <w:t xml:space="preserve">&lt;Ակտիվ դեղագործական 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w:t>
      </w:r>
      <w:r w:rsidR="0056496B">
        <w:rPr>
          <w:rFonts w:ascii="Sylfaen" w:hAnsi="Sylfaen"/>
          <w:b w:val="0"/>
          <w:sz w:val="24"/>
          <w:szCs w:val="24"/>
          <w:lang w:val="hy-AM"/>
        </w:rPr>
        <w:t>դիմումատու</w:t>
      </w:r>
      <w:r w:rsidRPr="008C76E0">
        <w:rPr>
          <w:rFonts w:ascii="Sylfaen" w:hAnsi="Sylfaen"/>
          <w:b w:val="0"/>
          <w:sz w:val="24"/>
          <w:szCs w:val="24"/>
          <w:lang w:val="hy-AM"/>
        </w:rPr>
        <w:t>ն պետք է տրամադրի լրացուցիչ հաստատում առ այն, որ &lt;ակտիվ դեղագործական բաղադրամասի անվանումը&gt; պետք է որակվի որպես նոր ակտիվ դեղագործական բաղադրամաս։ Դիտողությունների ցանկում շարադրված դիտողություններին անհրաժեշտ է տալ բավարարող պատասխաններ</w:t>
      </w:r>
      <w:r w:rsidRPr="00BD7577">
        <w:rPr>
          <w:rStyle w:val="Bodytext295pt"/>
          <w:rFonts w:ascii="Sylfaen" w:hAnsi="Sylfaen"/>
          <w:spacing w:val="0"/>
          <w:sz w:val="24"/>
          <w:szCs w:val="24"/>
        </w:rPr>
        <w:t>&gt;:</w:t>
      </w:r>
    </w:p>
    <w:p w14:paraId="6593FDA8" w14:textId="02DB02D6" w:rsidR="008C76E0" w:rsidRPr="008C76E0" w:rsidRDefault="008C76E0" w:rsidP="00780BC1">
      <w:pPr>
        <w:pStyle w:val="Bodytext70"/>
        <w:shd w:val="clear" w:color="auto" w:fill="auto"/>
        <w:tabs>
          <w:tab w:val="left" w:pos="1530"/>
        </w:tabs>
        <w:spacing w:before="0" w:after="160" w:line="360" w:lineRule="auto"/>
        <w:ind w:firstLine="567"/>
        <w:rPr>
          <w:rFonts w:ascii="Sylfaen" w:hAnsi="Sylfaen"/>
          <w:b w:val="0"/>
          <w:i w:val="0"/>
          <w:sz w:val="24"/>
          <w:szCs w:val="24"/>
          <w:lang w:val="hy-AM"/>
        </w:rPr>
      </w:pPr>
      <w:r w:rsidRPr="008C76E0">
        <w:rPr>
          <w:rFonts w:ascii="Sylfaen" w:hAnsi="Sylfaen"/>
          <w:b w:val="0"/>
          <w:i w:val="0"/>
          <w:sz w:val="24"/>
          <w:szCs w:val="24"/>
          <w:lang w:val="hy-AM"/>
        </w:rPr>
        <w:lastRenderedPageBreak/>
        <w:t xml:space="preserve">[Եթե արված եզրակացությունը չի ենթադրում </w:t>
      </w:r>
      <w:r w:rsidR="0056496B">
        <w:rPr>
          <w:rFonts w:ascii="Sylfaen" w:hAnsi="Sylfaen"/>
          <w:b w:val="0"/>
          <w:i w:val="0"/>
          <w:sz w:val="24"/>
          <w:szCs w:val="24"/>
          <w:lang w:val="hy-AM"/>
        </w:rPr>
        <w:t>դիմումատու</w:t>
      </w:r>
      <w:r w:rsidRPr="008C76E0">
        <w:rPr>
          <w:rFonts w:ascii="Sylfaen" w:hAnsi="Sylfaen"/>
          <w:b w:val="0"/>
          <w:i w:val="0"/>
          <w:sz w:val="24"/>
          <w:szCs w:val="24"/>
          <w:lang w:val="hy-AM"/>
        </w:rPr>
        <w:t xml:space="preserve">ի կողմից լրացուցիչ տեղեկությունների ներկայացում, </w:t>
      </w:r>
      <w:r w:rsidR="00C54D75">
        <w:rPr>
          <w:rFonts w:ascii="Sylfaen" w:hAnsi="Sylfaen"/>
          <w:b w:val="0"/>
          <w:i w:val="0"/>
          <w:sz w:val="24"/>
          <w:szCs w:val="24"/>
          <w:lang w:val="hy-AM"/>
        </w:rPr>
        <w:t>և</w:t>
      </w:r>
      <w:r w:rsidRPr="008C76E0">
        <w:rPr>
          <w:rFonts w:ascii="Sylfaen" w:hAnsi="Sylfaen"/>
          <w:b w:val="0"/>
          <w:i w:val="0"/>
          <w:sz w:val="24"/>
          <w:szCs w:val="24"/>
          <w:lang w:val="hy-AM"/>
        </w:rPr>
        <w:t xml:space="preserve"> </w:t>
      </w:r>
      <w:r w:rsidR="0056496B">
        <w:rPr>
          <w:rFonts w:ascii="Sylfaen" w:hAnsi="Sylfaen"/>
          <w:b w:val="0"/>
          <w:i w:val="0"/>
          <w:sz w:val="24"/>
          <w:szCs w:val="24"/>
          <w:lang w:val="hy-AM"/>
        </w:rPr>
        <w:t>դիմումատու</w:t>
      </w:r>
      <w:r w:rsidRPr="008C76E0">
        <w:rPr>
          <w:rFonts w:ascii="Sylfaen" w:hAnsi="Sylfaen"/>
          <w:b w:val="0"/>
          <w:i w:val="0"/>
          <w:sz w:val="24"/>
          <w:szCs w:val="24"/>
          <w:lang w:val="hy-AM"/>
        </w:rPr>
        <w:t>ն հաստատում է, որ միացությունը ինքնուրույն նոր ակտիվ դեղագործական բաղադրամաս է, ապա պետք է նշել հետ</w:t>
      </w:r>
      <w:r w:rsidR="00C54D75">
        <w:rPr>
          <w:rFonts w:ascii="Sylfaen" w:hAnsi="Sylfaen"/>
          <w:b w:val="0"/>
          <w:i w:val="0"/>
          <w:sz w:val="24"/>
          <w:szCs w:val="24"/>
          <w:lang w:val="hy-AM"/>
        </w:rPr>
        <w:t>և</w:t>
      </w:r>
      <w:r w:rsidRPr="008C76E0">
        <w:rPr>
          <w:rFonts w:ascii="Sylfaen" w:hAnsi="Sylfaen"/>
          <w:b w:val="0"/>
          <w:i w:val="0"/>
          <w:sz w:val="24"/>
          <w:szCs w:val="24"/>
          <w:lang w:val="hy-AM"/>
        </w:rPr>
        <w:t>յալը].</w:t>
      </w:r>
    </w:p>
    <w:p w14:paraId="79770931" w14:textId="77777777" w:rsidR="008C76E0" w:rsidRPr="008C76E0" w:rsidRDefault="008C76E0" w:rsidP="00780BC1">
      <w:pPr>
        <w:pStyle w:val="Bodytext70"/>
        <w:shd w:val="clear" w:color="auto" w:fill="auto"/>
        <w:spacing w:before="0" w:after="160" w:line="360" w:lineRule="auto"/>
        <w:ind w:firstLine="709"/>
        <w:rPr>
          <w:rFonts w:ascii="Sylfaen" w:hAnsi="Sylfaen"/>
          <w:b w:val="0"/>
          <w:sz w:val="24"/>
          <w:szCs w:val="24"/>
          <w:lang w:val="hy-AM"/>
        </w:rPr>
      </w:pPr>
      <w:r w:rsidRPr="008C76E0">
        <w:rPr>
          <w:rFonts w:ascii="Sylfaen" w:hAnsi="Sylfaen"/>
          <w:b w:val="0"/>
          <w:sz w:val="24"/>
          <w:szCs w:val="24"/>
          <w:lang w:val="hy-AM"/>
        </w:rPr>
        <w:t xml:space="preserve">&lt;Ակտիվ դեղագործականբաղադրամասի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&lt;ակտիվ դեղագործական բաղադրամասի անվանումը&gt; &lt;չի&gt; որակվում որպես նոր ակտիվ դեղագործական բաղադրամաս&gt;:</w:t>
      </w:r>
    </w:p>
    <w:p w14:paraId="66A8A3F8" w14:textId="4462F42E" w:rsidR="008C76E0" w:rsidRPr="00BD7577" w:rsidRDefault="008C76E0" w:rsidP="00780BC1">
      <w:pPr>
        <w:spacing w:after="160" w:line="360" w:lineRule="auto"/>
        <w:ind w:firstLine="709"/>
        <w:jc w:val="both"/>
        <w:rPr>
          <w:rFonts w:ascii="Sylfaen" w:hAnsi="Sylfaen"/>
          <w:sz w:val="24"/>
          <w:szCs w:val="24"/>
        </w:rPr>
      </w:pPr>
      <w:r w:rsidRPr="00BD7577">
        <w:rPr>
          <w:rFonts w:ascii="Sylfaen" w:hAnsi="Sylfaen"/>
          <w:sz w:val="24"/>
          <w:szCs w:val="24"/>
        </w:rPr>
        <w:t xml:space="preserve">[Եթե արված եզրակացությունը չի ենթադրում </w:t>
      </w:r>
      <w:r w:rsidR="0056496B">
        <w:rPr>
          <w:rFonts w:ascii="Sylfaen" w:hAnsi="Sylfaen"/>
          <w:sz w:val="24"/>
          <w:szCs w:val="24"/>
        </w:rPr>
        <w:t>դիմումատու</w:t>
      </w:r>
      <w:r w:rsidRPr="00BD7577">
        <w:rPr>
          <w:rFonts w:ascii="Sylfaen" w:hAnsi="Sylfaen"/>
          <w:sz w:val="24"/>
          <w:szCs w:val="24"/>
        </w:rPr>
        <w:t xml:space="preserve">ի կողմից լրացուցիչ տեղեկությունների ներկայացում,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 xml:space="preserve">ն հաստատում է, որ միացությունը նոր ակտիվ դեղագործական բաղադրամաս է նախկինում Եվրասիական տնտեսական միությունում գրանցված դեղապատրաստուկի քիմիական նյութի </w:t>
      </w:r>
      <w:r w:rsidR="00F350A1">
        <w:rPr>
          <w:rFonts w:ascii="Sylfaen" w:hAnsi="Sylfaen"/>
          <w:sz w:val="24"/>
          <w:szCs w:val="24"/>
        </w:rPr>
        <w:t>հայտ</w:t>
      </w:r>
      <w:r w:rsidRPr="00BD7577">
        <w:rPr>
          <w:rFonts w:ascii="Sylfaen" w:hAnsi="Sylfaen"/>
          <w:sz w:val="24"/>
          <w:szCs w:val="24"/>
        </w:rPr>
        <w:t>նի իզոմերի (իզոմերների խառնուրդի, համալիրի, ածանցյալի, աղի) հետ համեմատած, ապա պետք է նշել հետ</w:t>
      </w:r>
      <w:r w:rsidR="00C54D75">
        <w:rPr>
          <w:rFonts w:ascii="Sylfaen" w:hAnsi="Sylfaen"/>
          <w:sz w:val="24"/>
          <w:szCs w:val="24"/>
        </w:rPr>
        <w:t>և</w:t>
      </w:r>
      <w:r w:rsidRPr="00BD7577">
        <w:rPr>
          <w:rFonts w:ascii="Sylfaen" w:hAnsi="Sylfaen"/>
          <w:sz w:val="24"/>
          <w:szCs w:val="24"/>
        </w:rPr>
        <w:t>յալը].</w:t>
      </w:r>
    </w:p>
    <w:p w14:paraId="6EA75501" w14:textId="03C54796" w:rsidR="008C76E0" w:rsidRPr="008C76E0" w:rsidRDefault="008C76E0" w:rsidP="00780BC1">
      <w:pPr>
        <w:pStyle w:val="Bodytext70"/>
        <w:shd w:val="clear" w:color="auto" w:fill="auto"/>
        <w:spacing w:before="0" w:after="160" w:line="360" w:lineRule="auto"/>
        <w:ind w:firstLine="709"/>
        <w:rPr>
          <w:rFonts w:ascii="Sylfaen" w:hAnsi="Sylfaen"/>
          <w:b w:val="0"/>
          <w:sz w:val="24"/>
          <w:szCs w:val="24"/>
          <w:lang w:val="hy-AM"/>
        </w:rPr>
      </w:pPr>
      <w:r w:rsidRPr="008C76E0">
        <w:rPr>
          <w:rFonts w:ascii="Sylfaen" w:hAnsi="Sylfaen"/>
          <w:b w:val="0"/>
          <w:sz w:val="24"/>
          <w:szCs w:val="24"/>
          <w:lang w:val="hy-AM"/>
        </w:rPr>
        <w:t xml:space="preserve">&lt;Ակտիվ դեղագործական 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&lt;իզոմերը (իզոմերների խառնուրդը, համալիրը, ածանցյալը, աղը)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ՄՉԱ-ն (աղ)}՝ </w:t>
      </w:r>
      <w:r w:rsidR="005F6A31">
        <w:rPr>
          <w:rFonts w:ascii="Sylfaen" w:hAnsi="Sylfaen"/>
          <w:b w:val="0"/>
          <w:sz w:val="24"/>
          <w:szCs w:val="24"/>
          <w:lang w:val="hy-AM"/>
        </w:rPr>
        <w:t>հայտնի</w:t>
      </w:r>
      <w:r w:rsidRPr="008C76E0">
        <w:rPr>
          <w:rFonts w:ascii="Sylfaen" w:hAnsi="Sylfaen"/>
          <w:b w:val="0"/>
          <w:sz w:val="24"/>
          <w:szCs w:val="24"/>
          <w:lang w:val="hy-AM"/>
        </w:rPr>
        <w:t xml:space="preserve"> &lt;իզոմերի (իզոմերների խառնուրդի, համալիրի, ածանցյալի, աղի) {հավանության արժանացած ՄՉԱ (աղ)} հետ համեմատած &lt;չի&gt; որակվում որպես նոր ակտիվ դեղագործական բաղադրամաս,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հատկություններով &lt;տարբերվում&gt; է, զգալիորեն չի տարբերվում &gt; նախկինում գրանցված բաղադրամասից&gt;:</w:t>
      </w:r>
    </w:p>
    <w:p w14:paraId="2475077E" w14:textId="77777777" w:rsidR="00780BC1" w:rsidRDefault="00780BC1">
      <w:pPr>
        <w:widowControl/>
        <w:rPr>
          <w:rFonts w:ascii="Sylfaen" w:eastAsia="Times New Roman" w:hAnsi="Sylfaen" w:cs="Times New Roman"/>
          <w:bCs/>
          <w:iCs/>
          <w:sz w:val="24"/>
          <w:szCs w:val="24"/>
        </w:rPr>
      </w:pPr>
      <w:r>
        <w:rPr>
          <w:rFonts w:ascii="Sylfaen" w:eastAsia="Times New Roman" w:hAnsi="Sylfaen" w:cs="Times New Roman"/>
          <w:bCs/>
          <w:iCs/>
          <w:sz w:val="24"/>
          <w:szCs w:val="24"/>
        </w:rPr>
        <w:br w:type="page"/>
      </w:r>
    </w:p>
    <w:p w14:paraId="38AD37A1" w14:textId="77777777" w:rsidR="008C76E0" w:rsidRPr="008C76E0" w:rsidRDefault="008C76E0" w:rsidP="00780BC1">
      <w:pPr>
        <w:pStyle w:val="Bodytext70"/>
        <w:shd w:val="clear" w:color="auto" w:fill="auto"/>
        <w:tabs>
          <w:tab w:val="left" w:pos="1134"/>
        </w:tabs>
        <w:spacing w:before="0" w:after="160" w:line="360" w:lineRule="auto"/>
        <w:ind w:right="566" w:firstLine="567"/>
        <w:jc w:val="center"/>
        <w:rPr>
          <w:rFonts w:ascii="Sylfaen" w:hAnsi="Sylfaen"/>
          <w:b w:val="0"/>
          <w:i w:val="0"/>
          <w:sz w:val="24"/>
          <w:szCs w:val="24"/>
          <w:lang w:val="hy-AM"/>
        </w:rPr>
      </w:pPr>
      <w:r w:rsidRPr="008C76E0">
        <w:rPr>
          <w:rFonts w:ascii="Sylfaen" w:hAnsi="Sylfaen"/>
          <w:b w:val="0"/>
          <w:i w:val="0"/>
          <w:sz w:val="24"/>
          <w:szCs w:val="24"/>
          <w:lang w:val="hy-AM"/>
        </w:rPr>
        <w:lastRenderedPageBreak/>
        <w:t>5. Դիտողությունների ցանկը</w:t>
      </w:r>
    </w:p>
    <w:p w14:paraId="683BE092"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C232D02"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C829C1D"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9ABDE13"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61735B1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1795EB0"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83252A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D9A1D9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C6E4841"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DD6BF01"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26A579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4AF079B"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9C3B7A6"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4693C3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436D1F6"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2179A6"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D44A06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C9A997"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F7BE57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23A6690" w14:textId="2C7A79A1" w:rsidR="00780BC1" w:rsidRPr="003B4F5C" w:rsidRDefault="008C76E0" w:rsidP="003B4F5C">
      <w:pPr>
        <w:jc w:val="both"/>
        <w:rPr>
          <w:rFonts w:ascii="Sylfaen" w:eastAsia="MS Mincho" w:hAnsi="Sylfaen" w:cs="Times New Roman"/>
          <w:b/>
          <w:bCs/>
          <w:color w:val="00000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7D4515" w14:textId="77777777" w:rsidR="003B4F5C" w:rsidRPr="006F28F9" w:rsidRDefault="003B4F5C" w:rsidP="003B4F5C">
      <w:pPr>
        <w:rPr>
          <w:b/>
          <w:bCs/>
          <w:i/>
          <w:iCs/>
        </w:rPr>
      </w:pPr>
      <w:r w:rsidRPr="00CD4709">
        <w:rPr>
          <w:b/>
          <w:bCs/>
          <w:i/>
          <w:iCs/>
        </w:rPr>
        <w:t>(</w:t>
      </w:r>
      <w:r>
        <w:rPr>
          <w:b/>
          <w:bCs/>
          <w:i/>
          <w:iCs/>
        </w:rPr>
        <w:t xml:space="preserve">հավելվածը </w:t>
      </w:r>
      <w:r w:rsidRPr="00CD4709">
        <w:rPr>
          <w:b/>
          <w:bCs/>
          <w:i/>
          <w:iCs/>
        </w:rPr>
        <w:t>փոփ. 30.01.20 թիվ 9)</w:t>
      </w:r>
    </w:p>
    <w:p w14:paraId="2005C9B1" w14:textId="3E1D39AD" w:rsidR="003B4F5C" w:rsidRDefault="003B4F5C" w:rsidP="008C76E0">
      <w:pPr>
        <w:pStyle w:val="Bodytext70"/>
        <w:shd w:val="clear" w:color="auto" w:fill="auto"/>
        <w:spacing w:before="0" w:after="160" w:line="336" w:lineRule="auto"/>
        <w:ind w:left="4536"/>
        <w:jc w:val="center"/>
        <w:rPr>
          <w:rFonts w:ascii="Sylfaen" w:hAnsi="Sylfaen"/>
          <w:b w:val="0"/>
          <w:i w:val="0"/>
          <w:sz w:val="24"/>
          <w:szCs w:val="24"/>
          <w:lang w:val="hy-AM"/>
        </w:rPr>
        <w:sectPr w:rsidR="003B4F5C" w:rsidSect="00C31D56">
          <w:pgSz w:w="11907" w:h="16839" w:code="9"/>
          <w:pgMar w:top="1418" w:right="1418" w:bottom="1418" w:left="1418" w:header="709" w:footer="709" w:gutter="0"/>
          <w:pgNumType w:start="1"/>
          <w:cols w:space="708"/>
          <w:titlePg/>
          <w:docGrid w:linePitch="360"/>
        </w:sectPr>
      </w:pPr>
    </w:p>
    <w:p w14:paraId="19175482" w14:textId="77777777" w:rsidR="008C76E0" w:rsidRPr="008C76E0" w:rsidRDefault="008C76E0" w:rsidP="00007454">
      <w:pPr>
        <w:pStyle w:val="Bodytext70"/>
        <w:shd w:val="clear" w:color="auto" w:fill="auto"/>
        <w:spacing w:before="0" w:after="160" w:line="360" w:lineRule="auto"/>
        <w:ind w:left="4536"/>
        <w:jc w:val="center"/>
        <w:rPr>
          <w:rFonts w:ascii="Sylfaen" w:hAnsi="Sylfaen"/>
          <w:b w:val="0"/>
          <w:i w:val="0"/>
          <w:sz w:val="24"/>
          <w:szCs w:val="24"/>
          <w:lang w:val="hy-AM"/>
        </w:rPr>
      </w:pPr>
      <w:r w:rsidRPr="008C76E0">
        <w:rPr>
          <w:rFonts w:ascii="Sylfaen" w:hAnsi="Sylfaen"/>
          <w:b w:val="0"/>
          <w:i w:val="0"/>
          <w:sz w:val="24"/>
          <w:szCs w:val="24"/>
          <w:lang w:val="hy-AM"/>
        </w:rPr>
        <w:lastRenderedPageBreak/>
        <w:t>ՀԱՎԵԼՎԱԾ ԹԻՎ 10</w:t>
      </w:r>
    </w:p>
    <w:p w14:paraId="2F11C476" w14:textId="77777777" w:rsidR="008C76E0" w:rsidRPr="0093525B" w:rsidRDefault="008C76E0" w:rsidP="00007454">
      <w:pPr>
        <w:spacing w:after="160" w:line="360" w:lineRule="auto"/>
        <w:ind w:left="4536"/>
        <w:jc w:val="center"/>
        <w:rPr>
          <w:rFonts w:ascii="Sylfaen" w:hAnsi="Sylfaen"/>
          <w:sz w:val="24"/>
          <w:szCs w:val="24"/>
        </w:rPr>
      </w:pPr>
      <w:r w:rsidRPr="0093525B">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93525B">
        <w:rPr>
          <w:rFonts w:ascii="Sylfaen" w:hAnsi="Sylfaen"/>
          <w:sz w:val="24"/>
          <w:szCs w:val="24"/>
        </w:rPr>
        <w:t xml:space="preserve"> փորձաքննության կանոնների</w:t>
      </w:r>
    </w:p>
    <w:p w14:paraId="57AAB669" w14:textId="77777777" w:rsidR="008C76E0" w:rsidRPr="0093525B" w:rsidRDefault="008C76E0" w:rsidP="00007454">
      <w:pPr>
        <w:spacing w:after="160" w:line="360" w:lineRule="auto"/>
        <w:jc w:val="center"/>
        <w:rPr>
          <w:rFonts w:ascii="Sylfaen" w:hAnsi="Sylfaen"/>
          <w:sz w:val="24"/>
          <w:szCs w:val="24"/>
        </w:rPr>
      </w:pPr>
    </w:p>
    <w:p w14:paraId="4B24C84A" w14:textId="77777777" w:rsidR="008C76E0" w:rsidRPr="00E15E7D" w:rsidRDefault="008C76E0" w:rsidP="00007454">
      <w:pPr>
        <w:pStyle w:val="Bodytext130"/>
        <w:shd w:val="clear" w:color="auto" w:fill="auto"/>
        <w:spacing w:after="160" w:line="360" w:lineRule="auto"/>
        <w:ind w:left="567" w:right="566"/>
        <w:rPr>
          <w:lang w:val="hy-AM"/>
        </w:rPr>
      </w:pPr>
      <w:r w:rsidRPr="0093525B">
        <w:rPr>
          <w:rStyle w:val="Bodytext295pt"/>
          <w:rFonts w:ascii="Sylfaen" w:hAnsi="Sylfaen"/>
          <w:b/>
          <w:spacing w:val="0"/>
          <w:sz w:val="24"/>
          <w:szCs w:val="24"/>
        </w:rPr>
        <w:t>ԸՆԹԱՑԱԿԱՐԳԸ</w:t>
      </w:r>
    </w:p>
    <w:p w14:paraId="5D24992C" w14:textId="77777777" w:rsidR="008C76E0" w:rsidRPr="008C76E0" w:rsidRDefault="008C76E0" w:rsidP="00007454">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 xml:space="preserve">ակտիվ դեղագործական բաղադրամասի </w:t>
      </w:r>
      <w:r w:rsidRPr="008C76E0">
        <w:rPr>
          <w:rFonts w:ascii="Sylfaen" w:hAnsi="Sylfaen"/>
          <w:sz w:val="24"/>
          <w:szCs w:val="24"/>
          <w:lang w:val="hy-AM"/>
        </w:rPr>
        <w:br/>
        <w:t>մաստեր-ֆայլի հետ աշխատանքի</w:t>
      </w:r>
    </w:p>
    <w:p w14:paraId="6015021A" w14:textId="77777777" w:rsidR="008C76E0" w:rsidRPr="008C76E0" w:rsidRDefault="008C76E0" w:rsidP="00007454">
      <w:pPr>
        <w:pStyle w:val="Bodytext130"/>
        <w:shd w:val="clear" w:color="auto" w:fill="auto"/>
        <w:spacing w:after="160" w:line="360" w:lineRule="auto"/>
        <w:ind w:left="567" w:right="566"/>
        <w:rPr>
          <w:rFonts w:ascii="Sylfaen" w:hAnsi="Sylfaen"/>
          <w:sz w:val="24"/>
          <w:szCs w:val="24"/>
          <w:lang w:val="hy-AM"/>
        </w:rPr>
      </w:pPr>
    </w:p>
    <w:p w14:paraId="20FE8679"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I. Ներածություն</w:t>
      </w:r>
    </w:p>
    <w:p w14:paraId="5F79A06E" w14:textId="4877745B" w:rsidR="008C76E0" w:rsidRPr="00BD7577" w:rsidRDefault="008C76E0" w:rsidP="00DB2544">
      <w:pPr>
        <w:spacing w:after="160" w:line="336"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(այսուհետ՝ ԱԴԲՄՖ) ընթացակարգի հիմնական նպատակը ակտիվ դեղագործական բաղադրամաս արտադրողի (այսուհետ՝ ԱԴԲԱ) արժեքավոր գաղտնի մտավոր սեփականության կամ «նոու-հաու»-ի պաշտպանությունն է՝ մի</w:t>
      </w:r>
      <w:r w:rsidR="00C54D75">
        <w:rPr>
          <w:rFonts w:ascii="Sylfaen" w:hAnsi="Sylfaen"/>
          <w:sz w:val="24"/>
          <w:szCs w:val="24"/>
        </w:rPr>
        <w:t>և</w:t>
      </w:r>
      <w:r w:rsidRPr="00BD7577">
        <w:rPr>
          <w:rFonts w:ascii="Sylfaen" w:hAnsi="Sylfaen"/>
          <w:sz w:val="24"/>
          <w:szCs w:val="24"/>
        </w:rPr>
        <w:t xml:space="preserve">նույն ժամանակ </w:t>
      </w:r>
      <w:r w:rsidR="0056496B">
        <w:rPr>
          <w:rFonts w:ascii="Sylfaen" w:hAnsi="Sylfaen"/>
          <w:sz w:val="24"/>
          <w:szCs w:val="24"/>
        </w:rPr>
        <w:t>դիմումատու</w:t>
      </w:r>
      <w:r w:rsidRPr="00BD7577">
        <w:rPr>
          <w:rFonts w:ascii="Sylfaen" w:hAnsi="Sylfaen"/>
          <w:sz w:val="24"/>
          <w:szCs w:val="24"/>
        </w:rPr>
        <w:t>ին կամ գրանցման հավաստագրի (ԳՀ) իրավատիրոջը թույլ տալով ստանձնել դեղապատրաստուկի, ինչպես նա</w:t>
      </w:r>
      <w:r w:rsidR="00C54D75">
        <w:rPr>
          <w:rFonts w:ascii="Sylfaen" w:hAnsi="Sylfaen"/>
          <w:sz w:val="24"/>
          <w:szCs w:val="24"/>
        </w:rPr>
        <w:t>և</w:t>
      </w:r>
      <w:r w:rsidRPr="00BD7577">
        <w:rPr>
          <w:rFonts w:ascii="Sylfaen" w:hAnsi="Sylfaen"/>
          <w:sz w:val="24"/>
          <w:szCs w:val="24"/>
        </w:rPr>
        <w:t xml:space="preserve"> ակտիվ դեղագործական բաղադրամասի որակի </w:t>
      </w:r>
      <w:r w:rsidR="00C54D75">
        <w:rPr>
          <w:rFonts w:ascii="Sylfaen" w:hAnsi="Sylfaen"/>
          <w:sz w:val="24"/>
          <w:szCs w:val="24"/>
        </w:rPr>
        <w:t>և</w:t>
      </w:r>
      <w:r w:rsidRPr="00BD7577">
        <w:rPr>
          <w:rFonts w:ascii="Sylfaen" w:hAnsi="Sylfaen"/>
          <w:sz w:val="24"/>
          <w:szCs w:val="24"/>
        </w:rPr>
        <w:t xml:space="preserve"> որակի հսկողության համար ամբողջ պատասխանատվությունը։ Այս ընթացակարգի շնորհիվ Եվրասիական տնտեսական միության անդամ պետությունների (այսուհետ համապատասխանաբար՝ Միություն, անդամ պետություն) լիազորված մարմիններն ունեն լիարժեք հասանելիություն այն տեղեկություններին, որոնք անհրաժեշտ են ակտիվ դեղագործական բաղադրամասի՝ դեղապատրաստուկի բաղադրության մեջ կիրառվելու պիտանիության փորձաքննության համար։</w:t>
      </w:r>
    </w:p>
    <w:p w14:paraId="580C78F2" w14:textId="77777777" w:rsidR="008C76E0" w:rsidRPr="00BD7577" w:rsidRDefault="008C76E0" w:rsidP="00DB2544">
      <w:pPr>
        <w:spacing w:after="160" w:line="336" w:lineRule="auto"/>
        <w:jc w:val="both"/>
        <w:rPr>
          <w:rFonts w:ascii="Sylfaen" w:hAnsi="Sylfaen"/>
          <w:sz w:val="24"/>
          <w:szCs w:val="24"/>
        </w:rPr>
      </w:pPr>
    </w:p>
    <w:p w14:paraId="7188C5B6" w14:textId="77777777" w:rsidR="008C76E0" w:rsidRPr="00BD7577" w:rsidRDefault="008C76E0" w:rsidP="00DB2544">
      <w:pPr>
        <w:spacing w:after="160" w:line="336" w:lineRule="auto"/>
        <w:jc w:val="center"/>
        <w:rPr>
          <w:rFonts w:ascii="Sylfaen" w:hAnsi="Sylfaen"/>
          <w:sz w:val="24"/>
          <w:szCs w:val="24"/>
        </w:rPr>
      </w:pPr>
      <w:r w:rsidRPr="00BD7577">
        <w:rPr>
          <w:rFonts w:ascii="Sylfaen" w:hAnsi="Sylfaen"/>
          <w:sz w:val="24"/>
          <w:szCs w:val="24"/>
        </w:rPr>
        <w:t>II. Կիրառման ոլորտը</w:t>
      </w:r>
    </w:p>
    <w:p w14:paraId="2715C33E" w14:textId="022645F1"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Սույն հավելվածը նախատեսված է աջակցելու </w:t>
      </w:r>
      <w:r w:rsidR="0056496B">
        <w:rPr>
          <w:rFonts w:ascii="Sylfaen" w:hAnsi="Sylfaen"/>
          <w:sz w:val="24"/>
          <w:szCs w:val="24"/>
        </w:rPr>
        <w:t>դիմումատու</w:t>
      </w:r>
      <w:r w:rsidRPr="00BD7577">
        <w:rPr>
          <w:rFonts w:ascii="Sylfaen" w:hAnsi="Sylfaen"/>
          <w:sz w:val="24"/>
          <w:szCs w:val="24"/>
        </w:rPr>
        <w:t xml:space="preserve">ներին (ԳՀ-ի իրավատերերին) դեղապատրաստուկի գրանցման դոսյեի ակտիվ դեղագործական </w:t>
      </w:r>
      <w:r w:rsidRPr="00BD7577">
        <w:rPr>
          <w:rFonts w:ascii="Sylfaen" w:hAnsi="Sylfaen"/>
          <w:sz w:val="24"/>
          <w:szCs w:val="24"/>
        </w:rPr>
        <w:lastRenderedPageBreak/>
        <w:t>բաղադրամասի վերաբերյալ բաժինը կամ գրանցված դեղապատրաստուկի գրանցման դոսյեում փոփոխություններ կատարելու վերաբերյալ դոսյեն (փոփոխության դոսյեն) կազմելիս (բաժին 3.2.S)։ Այն նա</w:t>
      </w:r>
      <w:r w:rsidR="00C54D75">
        <w:rPr>
          <w:rFonts w:ascii="Sylfaen" w:hAnsi="Sylfaen"/>
          <w:sz w:val="24"/>
          <w:szCs w:val="24"/>
        </w:rPr>
        <w:t>և</w:t>
      </w:r>
      <w:r w:rsidRPr="00BD7577">
        <w:rPr>
          <w:rFonts w:ascii="Sylfaen" w:hAnsi="Sylfaen"/>
          <w:sz w:val="24"/>
          <w:szCs w:val="24"/>
        </w:rPr>
        <w:t xml:space="preserve"> ուղղված է աջակցելու ԱԴԲՄՖ-ի իրավատերերին ԱԴԲՄՖ-ն կազմելիս։</w:t>
      </w:r>
    </w:p>
    <w:p w14:paraId="08EFD933" w14:textId="77777777" w:rsidR="008C76E0" w:rsidRPr="00BD7577" w:rsidRDefault="008C76E0" w:rsidP="00007454">
      <w:pPr>
        <w:spacing w:after="160" w:line="360" w:lineRule="auto"/>
        <w:ind w:right="-1"/>
        <w:jc w:val="both"/>
        <w:rPr>
          <w:rFonts w:ascii="Sylfaen" w:hAnsi="Sylfaen"/>
          <w:sz w:val="24"/>
          <w:szCs w:val="24"/>
        </w:rPr>
      </w:pPr>
    </w:p>
    <w:p w14:paraId="746C2B6D"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 xml:space="preserve">III. Ակտիվ դեղագործական բաղադրամասի </w:t>
      </w:r>
      <w:r w:rsidRPr="00BD7577">
        <w:rPr>
          <w:rFonts w:ascii="Sylfaen" w:hAnsi="Sylfaen"/>
          <w:sz w:val="24"/>
          <w:szCs w:val="24"/>
        </w:rPr>
        <w:br/>
        <w:t>մաստեր-ֆայլի բովանդակությունը</w:t>
      </w:r>
    </w:p>
    <w:p w14:paraId="74CAF3C0"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ԱԴԲՄՖ-ն պետք է պարունակի գրանցման դոսյեի 3-րդ մոդուլի տարբեր վերնագրերով նշված մանրամասն գիտական տեղեկություններ՝ ընդհանուր տեխնիկական փաստաթղթի ձ</w:t>
      </w:r>
      <w:r w:rsidR="00C54D75">
        <w:rPr>
          <w:rFonts w:ascii="Sylfaen" w:hAnsi="Sylfaen"/>
          <w:sz w:val="24"/>
          <w:szCs w:val="24"/>
        </w:rPr>
        <w:t>և</w:t>
      </w:r>
      <w:r w:rsidRPr="00BD7577">
        <w:rPr>
          <w:rFonts w:ascii="Sylfaen" w:hAnsi="Sylfaen"/>
          <w:sz w:val="24"/>
          <w:szCs w:val="24"/>
        </w:rPr>
        <w:t>աչափով (աղյուսակ 1)։</w:t>
      </w:r>
    </w:p>
    <w:p w14:paraId="28F5F008" w14:textId="16967378"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գիտական տեղեկություններն անհրաժեշտ է ֆիզիկապես բաժանել երկու մասի, մասնավորապես՝ </w:t>
      </w:r>
      <w:r w:rsidR="0056496B">
        <w:rPr>
          <w:rFonts w:ascii="Sylfaen" w:hAnsi="Sylfaen"/>
          <w:sz w:val="24"/>
          <w:szCs w:val="24"/>
        </w:rPr>
        <w:t>դիմումատու</w:t>
      </w:r>
      <w:r w:rsidRPr="00BD7577">
        <w:rPr>
          <w:rFonts w:ascii="Sylfaen" w:hAnsi="Sylfaen"/>
          <w:sz w:val="24"/>
          <w:szCs w:val="24"/>
        </w:rPr>
        <w:t xml:space="preserve">ի մաս (այսուհետ՝ ՀՄ) </w:t>
      </w:r>
      <w:r w:rsidR="00C54D75">
        <w:rPr>
          <w:rFonts w:ascii="Sylfaen" w:hAnsi="Sylfaen"/>
          <w:sz w:val="24"/>
          <w:szCs w:val="24"/>
        </w:rPr>
        <w:t>և</w:t>
      </w:r>
      <w:r w:rsidRPr="00BD7577">
        <w:rPr>
          <w:rFonts w:ascii="Sylfaen" w:hAnsi="Sylfaen"/>
          <w:sz w:val="24"/>
          <w:szCs w:val="24"/>
        </w:rPr>
        <w:t xml:space="preserve"> փակ մաս (այսուհետ՝ ՓՄ)։ ՀՄ-ն պարունակում է տեղեկություններ, որոնք ԱԴԲՄՖ-ի իրավատերը </w:t>
      </w:r>
      <w:r w:rsidR="0056496B">
        <w:rPr>
          <w:rFonts w:ascii="Sylfaen" w:hAnsi="Sylfaen"/>
          <w:sz w:val="24"/>
          <w:szCs w:val="24"/>
        </w:rPr>
        <w:t>դիմումատու</w:t>
      </w:r>
      <w:r w:rsidRPr="00BD7577">
        <w:rPr>
          <w:rFonts w:ascii="Sylfaen" w:hAnsi="Sylfaen"/>
          <w:sz w:val="24"/>
          <w:szCs w:val="24"/>
        </w:rPr>
        <w:t xml:space="preserve">ի (ԳՀ իրավատիրոջ) համար գաղտնի չի համարում, մինչդեռ ՓՄ-ն պարունակում է տեղեկություններ, որոնք ԱԴԲՄՖ-ի իրավատերը համարում է գաղտնի (սույն հավելվածի թիվ 1 լրացում)։ Հարկ է նշել, որ ՀՄ-ն, այնուամենայնիվ, գաղտնի փաստաթուղթ է, </w:t>
      </w:r>
      <w:r w:rsidR="00C54D75">
        <w:rPr>
          <w:rFonts w:ascii="Sylfaen" w:hAnsi="Sylfaen"/>
          <w:sz w:val="24"/>
          <w:szCs w:val="24"/>
        </w:rPr>
        <w:t>և</w:t>
      </w:r>
      <w:r w:rsidRPr="00BD7577">
        <w:rPr>
          <w:rFonts w:ascii="Sylfaen" w:hAnsi="Sylfaen"/>
          <w:sz w:val="24"/>
          <w:szCs w:val="24"/>
        </w:rPr>
        <w:t xml:space="preserve"> այն, առանց ԱԴԲՄՖ-ի իրավատիրոջ գրավոր համաձայնության, երրորդ անձանց փոխանցել չի կարելի։ Բոլոր դեպքերում ՀՄ-ն պետք է պարունակի բավարար տեղեկություններ, որպեսզի </w:t>
      </w:r>
      <w:r w:rsidR="0056496B">
        <w:rPr>
          <w:rFonts w:ascii="Sylfaen" w:hAnsi="Sylfaen"/>
          <w:sz w:val="24"/>
          <w:szCs w:val="24"/>
        </w:rPr>
        <w:t>դիմումատու</w:t>
      </w:r>
      <w:r w:rsidRPr="00BD7577">
        <w:rPr>
          <w:rFonts w:ascii="Sylfaen" w:hAnsi="Sylfaen"/>
          <w:sz w:val="24"/>
          <w:szCs w:val="24"/>
        </w:rPr>
        <w:t>ն (ԳՀ-ի իրավատերը) կարողանա ստանձնել ակտիվ դեղագործական բաղադրամասի մասնագրի պիտանիության գնահատման ամբողջ պատասխանատվությունը, հսկի այդ ակտիվ դեղագործական բաղադրամասի որակը՝ այն որոշակի դեղապատրաստուկի արտադրության մեջ օգտագործելու նպատակով։</w:t>
      </w:r>
    </w:p>
    <w:p w14:paraId="7E06304E" w14:textId="1E05AFEC"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ՓՄ-ն կարող է պարունակել մնացած տեղեկությունները, ինչպիսիք են արտադրության առանձին փուլերի </w:t>
      </w:r>
      <w:r w:rsidR="00C54D75">
        <w:rPr>
          <w:rFonts w:ascii="Sylfaen" w:hAnsi="Sylfaen"/>
          <w:sz w:val="24"/>
          <w:szCs w:val="24"/>
        </w:rPr>
        <w:t>և</w:t>
      </w:r>
      <w:r w:rsidRPr="00BD7577">
        <w:rPr>
          <w:rFonts w:ascii="Sylfaen" w:hAnsi="Sylfaen"/>
          <w:sz w:val="24"/>
          <w:szCs w:val="24"/>
        </w:rPr>
        <w:t xml:space="preserve"> ակտիվ դեղագործական բաղադրամասի արտադրության ընթացքում որակի հսկողության մասին մանրամասն տեղեկությունները (ռեակցիաների ընթացքի պայմանները, ջերմաստիճանը, </w:t>
      </w:r>
      <w:r w:rsidRPr="00BD7577">
        <w:rPr>
          <w:rFonts w:ascii="Sylfaen" w:hAnsi="Sylfaen"/>
          <w:sz w:val="24"/>
          <w:szCs w:val="24"/>
        </w:rPr>
        <w:lastRenderedPageBreak/>
        <w:t xml:space="preserve">արտադրության կրիտիկական փուլերի տվյալների վալիդացումն ու գնահատումը)։ Անդամ պետությունների լիազորված մարմիններն իրավունք ունեն չհամաձայնելու այն բանի հետ, որ ԱԴԲՄՖ-ի որոշակի տեղեկություններ չեն փոխանցվել </w:t>
      </w:r>
      <w:r w:rsidR="0056496B">
        <w:rPr>
          <w:rFonts w:ascii="Sylfaen" w:hAnsi="Sylfaen"/>
          <w:sz w:val="24"/>
          <w:szCs w:val="24"/>
        </w:rPr>
        <w:t>դիմումատու</w:t>
      </w:r>
      <w:r w:rsidRPr="00BD7577">
        <w:rPr>
          <w:rFonts w:ascii="Sylfaen" w:hAnsi="Sylfaen"/>
          <w:sz w:val="24"/>
          <w:szCs w:val="24"/>
        </w:rPr>
        <w:t>ին (ԳՀ-ի իրավատիրոջը)։ Այդպիսի դեպքերում անդամ պետության լիազորված մարմիններն իրավունք ունեն ՀՄ-ի ուղղումներ պահանջելու։</w:t>
      </w:r>
    </w:p>
    <w:p w14:paraId="4E781287" w14:textId="77777777" w:rsidR="008C76E0" w:rsidRPr="00BD7577" w:rsidRDefault="008C76E0" w:rsidP="00007454">
      <w:pPr>
        <w:spacing w:after="160" w:line="360" w:lineRule="auto"/>
        <w:ind w:right="-1" w:firstLine="567"/>
        <w:jc w:val="both"/>
        <w:rPr>
          <w:rFonts w:ascii="Sylfaen" w:hAnsi="Sylfaen"/>
          <w:sz w:val="24"/>
          <w:szCs w:val="24"/>
        </w:rPr>
      </w:pPr>
      <w:r w:rsidRPr="002F33A8">
        <w:rPr>
          <w:rFonts w:ascii="Sylfaen" w:hAnsi="Sylfaen"/>
          <w:spacing w:val="-4"/>
          <w:sz w:val="24"/>
          <w:szCs w:val="24"/>
        </w:rPr>
        <w:t xml:space="preserve">Ի լրումն ՀՄ-ի </w:t>
      </w:r>
      <w:r w:rsidR="00C54D75">
        <w:rPr>
          <w:rFonts w:ascii="Sylfaen" w:hAnsi="Sylfaen"/>
          <w:spacing w:val="-4"/>
          <w:sz w:val="24"/>
          <w:szCs w:val="24"/>
        </w:rPr>
        <w:t>և</w:t>
      </w:r>
      <w:r w:rsidRPr="002F33A8">
        <w:rPr>
          <w:rFonts w:ascii="Sylfaen" w:hAnsi="Sylfaen"/>
          <w:spacing w:val="-4"/>
          <w:sz w:val="24"/>
          <w:szCs w:val="24"/>
        </w:rPr>
        <w:t xml:space="preserve"> ՓՄ-ի՝ ԱԴԲՄՖ-ն պետք է ունենա բովանդակություն, որակի վերաբերյալ առանձին ընդհանուր ռեզյումեներ՝ ՀՄ-ի </w:t>
      </w:r>
      <w:r w:rsidR="00C54D75">
        <w:rPr>
          <w:rFonts w:ascii="Sylfaen" w:hAnsi="Sylfaen"/>
          <w:spacing w:val="-4"/>
          <w:sz w:val="24"/>
          <w:szCs w:val="24"/>
        </w:rPr>
        <w:t>և</w:t>
      </w:r>
      <w:r w:rsidRPr="002F33A8">
        <w:rPr>
          <w:rFonts w:ascii="Sylfaen" w:hAnsi="Sylfaen"/>
          <w:spacing w:val="-4"/>
          <w:sz w:val="24"/>
          <w:szCs w:val="24"/>
        </w:rPr>
        <w:t xml:space="preserve"> ՓՄ-ի համար։ ՀՄ-ի </w:t>
      </w:r>
      <w:r w:rsidR="00C54D75">
        <w:rPr>
          <w:rFonts w:ascii="Sylfaen" w:hAnsi="Sylfaen"/>
          <w:spacing w:val="-4"/>
          <w:sz w:val="24"/>
          <w:szCs w:val="24"/>
        </w:rPr>
        <w:t>և</w:t>
      </w:r>
      <w:r w:rsidRPr="002F33A8">
        <w:rPr>
          <w:rFonts w:ascii="Sylfaen" w:hAnsi="Sylfaen"/>
          <w:spacing w:val="-4"/>
          <w:sz w:val="24"/>
          <w:szCs w:val="24"/>
        </w:rPr>
        <w:t xml:space="preserve"> ՓՄ-ի յուրաքանչյուր տարբերակ</w:t>
      </w:r>
      <w:r w:rsidRPr="00BD7577">
        <w:rPr>
          <w:rFonts w:ascii="Sylfaen" w:hAnsi="Sylfaen"/>
          <w:sz w:val="24"/>
          <w:szCs w:val="24"/>
        </w:rPr>
        <w:t xml:space="preserve"> պետք է ունենա տարբերակների եզակի </w:t>
      </w:r>
      <w:r w:rsidR="00C54D75">
        <w:rPr>
          <w:rFonts w:ascii="Sylfaen" w:hAnsi="Sylfaen"/>
          <w:sz w:val="24"/>
          <w:szCs w:val="24"/>
        </w:rPr>
        <w:t>և</w:t>
      </w:r>
      <w:r w:rsidRPr="00BD7577">
        <w:rPr>
          <w:rFonts w:ascii="Sylfaen" w:hAnsi="Sylfaen"/>
          <w:sz w:val="24"/>
          <w:szCs w:val="24"/>
        </w:rPr>
        <w:t xml:space="preserve"> անկախ հսկիչ համարներ։</w:t>
      </w:r>
    </w:p>
    <w:p w14:paraId="6F6B97FC" w14:textId="77777777" w:rsidR="008C76E0" w:rsidRPr="00BD7577" w:rsidRDefault="008C76E0" w:rsidP="00007454">
      <w:pPr>
        <w:spacing w:after="160" w:line="360" w:lineRule="auto"/>
        <w:ind w:right="-1" w:firstLine="567"/>
        <w:jc w:val="center"/>
        <w:rPr>
          <w:rFonts w:ascii="Sylfaen" w:hAnsi="Sylfaen"/>
          <w:sz w:val="24"/>
          <w:szCs w:val="24"/>
        </w:rPr>
      </w:pPr>
    </w:p>
    <w:p w14:paraId="0DB2A1AD"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 xml:space="preserve">IV. Ակտիվ դեղագործական բաղադրամասի մաստեր-ֆայլի </w:t>
      </w:r>
      <w:r w:rsidRPr="00BD7577">
        <w:rPr>
          <w:rFonts w:ascii="Sylfaen" w:hAnsi="Sylfaen"/>
          <w:sz w:val="24"/>
          <w:szCs w:val="24"/>
        </w:rPr>
        <w:br/>
        <w:t>ընթացակարգի օգտագործումը</w:t>
      </w:r>
    </w:p>
    <w:p w14:paraId="18F11888" w14:textId="77777777"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 xml:space="preserve">ԱԴԲՄՖ-ն թույլատրվում է ներկայացնել միայն որպես Միությունում դեղապատրաստուկի գրանցման կամ Միությունում գրանցված դեղապատրաստուկի գրանցման դոսյեում փոփոխություններ կատարելու հիմնավորում։ Ակտիվ դեղագործական բաղադրամասի որակի </w:t>
      </w:r>
      <w:r w:rsidR="00C54D75">
        <w:rPr>
          <w:rFonts w:ascii="Sylfaen" w:hAnsi="Sylfaen"/>
          <w:spacing w:val="-4"/>
          <w:sz w:val="24"/>
          <w:szCs w:val="24"/>
        </w:rPr>
        <w:t>և</w:t>
      </w:r>
      <w:r w:rsidRPr="002F33A8">
        <w:rPr>
          <w:rFonts w:ascii="Sylfaen" w:hAnsi="Sylfaen"/>
          <w:spacing w:val="-4"/>
          <w:sz w:val="24"/>
          <w:szCs w:val="24"/>
        </w:rPr>
        <w:t xml:space="preserve"> դա դեղապատրաստուկի բաղադրության մեջ օգտագործելու միջ</w:t>
      </w:r>
      <w:r w:rsidR="00C54D75">
        <w:rPr>
          <w:rFonts w:ascii="Sylfaen" w:hAnsi="Sylfaen"/>
          <w:spacing w:val="-4"/>
          <w:sz w:val="24"/>
          <w:szCs w:val="24"/>
        </w:rPr>
        <w:t>և</w:t>
      </w:r>
      <w:r w:rsidRPr="002F33A8">
        <w:rPr>
          <w:rFonts w:ascii="Sylfaen" w:hAnsi="Sylfaen"/>
          <w:spacing w:val="-4"/>
          <w:sz w:val="24"/>
          <w:szCs w:val="24"/>
        </w:rPr>
        <w:t xml:space="preserve"> կապն անհրաժեշտ է հիմնավորել գրանցման դոսյեում կամ փոփոխության դոսյեում։</w:t>
      </w:r>
    </w:p>
    <w:p w14:paraId="7446D319" w14:textId="485AC7A9" w:rsidR="008C76E0" w:rsidRPr="00BD7577" w:rsidRDefault="008C76E0" w:rsidP="00007454">
      <w:pPr>
        <w:spacing w:after="160" w:line="360" w:lineRule="auto"/>
        <w:ind w:right="-1" w:firstLine="567"/>
        <w:jc w:val="both"/>
        <w:rPr>
          <w:rFonts w:ascii="Sylfaen" w:hAnsi="Sylfaen"/>
          <w:sz w:val="24"/>
          <w:szCs w:val="24"/>
        </w:rPr>
      </w:pPr>
      <w:r w:rsidRPr="00324652">
        <w:rPr>
          <w:rFonts w:ascii="Sylfaen" w:hAnsi="Sylfaen"/>
          <w:sz w:val="24"/>
          <w:szCs w:val="24"/>
        </w:rPr>
        <w:t>Թե</w:t>
      </w:r>
      <w:r w:rsidR="00C54D75">
        <w:rPr>
          <w:rFonts w:ascii="Sylfaen" w:hAnsi="Sylfaen"/>
          <w:sz w:val="24"/>
          <w:szCs w:val="24"/>
        </w:rPr>
        <w:t>և</w:t>
      </w:r>
      <w:r w:rsidRPr="00324652">
        <w:rPr>
          <w:rFonts w:ascii="Sylfaen" w:hAnsi="Sylfaen"/>
          <w:sz w:val="24"/>
          <w:szCs w:val="24"/>
        </w:rPr>
        <w:t xml:space="preserve"> ԱԴԲՄՖ-ի ընթացակարգը մշակվել է ԱԴԲԱ-ի մտավոր սեփականությունը պաշտպանելու նպատակով, այն նա</w:t>
      </w:r>
      <w:r w:rsidR="00C54D75">
        <w:rPr>
          <w:rFonts w:ascii="Sylfaen" w:hAnsi="Sylfaen"/>
          <w:sz w:val="24"/>
          <w:szCs w:val="24"/>
        </w:rPr>
        <w:t>և</w:t>
      </w:r>
      <w:r w:rsidRPr="00324652">
        <w:rPr>
          <w:rFonts w:ascii="Sylfaen" w:hAnsi="Sylfaen"/>
          <w:sz w:val="24"/>
          <w:szCs w:val="24"/>
        </w:rPr>
        <w:t xml:space="preserve"> թույլատրվում է օգտագործել </w:t>
      </w:r>
      <w:r w:rsidR="0056496B">
        <w:rPr>
          <w:rFonts w:ascii="Sylfaen" w:hAnsi="Sylfaen"/>
          <w:sz w:val="24"/>
          <w:szCs w:val="24"/>
        </w:rPr>
        <w:t>դիմումատու</w:t>
      </w:r>
      <w:r w:rsidRPr="00324652">
        <w:rPr>
          <w:rFonts w:ascii="Sylfaen" w:hAnsi="Sylfaen"/>
          <w:sz w:val="24"/>
          <w:szCs w:val="24"/>
        </w:rPr>
        <w:t xml:space="preserve">ի (ԳՀ-ի իրավատիրոջ) </w:t>
      </w:r>
      <w:r w:rsidR="00C54D75">
        <w:rPr>
          <w:rFonts w:ascii="Sylfaen" w:hAnsi="Sylfaen"/>
          <w:sz w:val="24"/>
          <w:szCs w:val="24"/>
        </w:rPr>
        <w:t>և</w:t>
      </w:r>
      <w:r w:rsidRPr="00324652">
        <w:rPr>
          <w:rFonts w:ascii="Sylfaen" w:hAnsi="Sylfaen"/>
          <w:sz w:val="24"/>
          <w:szCs w:val="24"/>
        </w:rPr>
        <w:t xml:space="preserve"> ԱԴԲԱ-ի միջ</w:t>
      </w:r>
      <w:r w:rsidR="00C54D75">
        <w:rPr>
          <w:rFonts w:ascii="Sylfaen" w:hAnsi="Sylfaen"/>
          <w:sz w:val="24"/>
          <w:szCs w:val="24"/>
        </w:rPr>
        <w:t>և</w:t>
      </w:r>
      <w:r w:rsidRPr="00324652">
        <w:rPr>
          <w:rFonts w:ascii="Sylfaen" w:hAnsi="Sylfaen"/>
          <w:sz w:val="24"/>
          <w:szCs w:val="24"/>
        </w:rPr>
        <w:t xml:space="preserve"> գաղտնիության </w:t>
      </w:r>
      <w:r w:rsidRPr="00324652">
        <w:rPr>
          <w:rFonts w:ascii="Sylfaen" w:hAnsi="Sylfaen"/>
          <w:spacing w:val="-4"/>
          <w:sz w:val="24"/>
          <w:szCs w:val="24"/>
        </w:rPr>
        <w:t xml:space="preserve">բացակայության դեպքում (օրինակ՝ երբ </w:t>
      </w:r>
      <w:r w:rsidR="0056496B">
        <w:rPr>
          <w:rFonts w:ascii="Sylfaen" w:hAnsi="Sylfaen"/>
          <w:spacing w:val="-4"/>
          <w:sz w:val="24"/>
          <w:szCs w:val="24"/>
        </w:rPr>
        <w:t>դիմումատու</w:t>
      </w:r>
      <w:r w:rsidRPr="00324652">
        <w:rPr>
          <w:rFonts w:ascii="Sylfaen" w:hAnsi="Sylfaen"/>
          <w:spacing w:val="-4"/>
          <w:sz w:val="24"/>
          <w:szCs w:val="24"/>
        </w:rPr>
        <w:t>ն (ԳՀ-ի իրավատերը) ինքնուրույն սինթեզում է ակտիվ դեղագործական բաղադրամասը): ԱԴԲԱ-ն պետք է լինի ԱԴԲՄՖ-ի իրավատերը</w:t>
      </w:r>
      <w:r w:rsidRPr="00BD7577">
        <w:rPr>
          <w:rFonts w:ascii="Sylfaen" w:hAnsi="Sylfaen"/>
          <w:sz w:val="24"/>
          <w:szCs w:val="24"/>
        </w:rPr>
        <w:t>։</w:t>
      </w:r>
    </w:p>
    <w:p w14:paraId="5C1D610A" w14:textId="45670336"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ԱԴԲՄՖ-ի ընթացակարգն օգտագործվում է հետ</w:t>
      </w:r>
      <w:r w:rsidR="00C54D75">
        <w:rPr>
          <w:rFonts w:ascii="Sylfaen" w:hAnsi="Sylfaen"/>
          <w:sz w:val="24"/>
          <w:szCs w:val="24"/>
        </w:rPr>
        <w:t>և</w:t>
      </w:r>
      <w:r w:rsidRPr="00BD7577">
        <w:rPr>
          <w:rFonts w:ascii="Sylfaen" w:hAnsi="Sylfaen"/>
          <w:sz w:val="24"/>
          <w:szCs w:val="24"/>
        </w:rPr>
        <w:t xml:space="preserve">յալ ակտիվ դեղագործական բաղադրամասերի դեպքում, ներառյալ՝ դեղաբուսական հումքը (բուսական դեղագործական բաղադրամասերը)՝ նոր ակտիվ դեղագործական </w:t>
      </w:r>
      <w:r w:rsidRPr="00BD7577">
        <w:rPr>
          <w:rFonts w:ascii="Sylfaen" w:hAnsi="Sylfaen"/>
          <w:sz w:val="24"/>
          <w:szCs w:val="24"/>
        </w:rPr>
        <w:lastRenderedPageBreak/>
        <w:t xml:space="preserve">բաղադրամասերը. </w:t>
      </w:r>
      <w:r w:rsidR="005F6A31">
        <w:rPr>
          <w:rFonts w:ascii="Sylfaen" w:hAnsi="Sylfaen"/>
          <w:sz w:val="24"/>
          <w:szCs w:val="24"/>
        </w:rPr>
        <w:t>հայտնի</w:t>
      </w:r>
      <w:r w:rsidRPr="00BD7577">
        <w:rPr>
          <w:rFonts w:ascii="Sylfaen" w:hAnsi="Sylfaen"/>
          <w:sz w:val="24"/>
          <w:szCs w:val="24"/>
        </w:rPr>
        <w:t xml:space="preserve"> ակտիվ դեղագործական բաղադրամասեր, որոնք ներառված չեն Միության դեղագրքում կամ անդամ պետության դեղագրքում,</w:t>
      </w:r>
    </w:p>
    <w:p w14:paraId="6E209951"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դեղագրքային ակտիվ դեղագործական բաղադրամասեր, որոնք ներառված են Միության դեղագրքում կամ անդամ պետության դեղագրքում։</w:t>
      </w:r>
    </w:p>
    <w:p w14:paraId="73A6ACB6" w14:textId="77777777"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ԱԴԲՄՖ-ի ընթացակարգը չի թույլատրվում օգտագործել կենսաբանական ակտիվ դեղագործական բաղադրամասերի դեպքում (սույն հավելվածի թիվ 5 լրացում)։</w:t>
      </w:r>
    </w:p>
    <w:p w14:paraId="5C3CBEB9" w14:textId="70EA3AEC"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ԱԴԲՄՖ-ի իրավատերը կարող է ունենալ ԱԴԲՄՖ, ինչպես նա</w:t>
      </w:r>
      <w:r w:rsidR="00C54D75">
        <w:rPr>
          <w:rFonts w:ascii="Sylfaen" w:hAnsi="Sylfaen"/>
          <w:spacing w:val="4"/>
          <w:sz w:val="24"/>
          <w:szCs w:val="24"/>
        </w:rPr>
        <w:t>և</w:t>
      </w:r>
      <w:r w:rsidRPr="002F33A8">
        <w:rPr>
          <w:rFonts w:ascii="Sylfaen" w:hAnsi="Sylfaen"/>
          <w:spacing w:val="4"/>
          <w:sz w:val="24"/>
          <w:szCs w:val="24"/>
        </w:rPr>
        <w:t xml:space="preserve"> առանձին ակտիվ դեղագործական բաղադրամասի համար տրված СЕР սերտիֆիկատ։ Այնուամենայնիվ, ընդհանուր առմամբ անթույլատրելի է, որ </w:t>
      </w:r>
      <w:r w:rsidR="0056496B">
        <w:rPr>
          <w:rFonts w:ascii="Sylfaen" w:hAnsi="Sylfaen"/>
          <w:spacing w:val="4"/>
          <w:sz w:val="24"/>
          <w:szCs w:val="24"/>
        </w:rPr>
        <w:t>դիմումատու</w:t>
      </w:r>
      <w:r w:rsidRPr="002F33A8">
        <w:rPr>
          <w:rFonts w:ascii="Sylfaen" w:hAnsi="Sylfaen"/>
          <w:spacing w:val="4"/>
          <w:sz w:val="24"/>
          <w:szCs w:val="24"/>
        </w:rPr>
        <w:t xml:space="preserve">ն </w:t>
      </w:r>
      <w:r w:rsidRPr="002F33A8">
        <w:rPr>
          <w:rFonts w:ascii="Sylfaen" w:hAnsi="Sylfaen"/>
          <w:spacing w:val="4"/>
          <w:sz w:val="24"/>
          <w:szCs w:val="24"/>
        </w:rPr>
        <w:br/>
        <w:t xml:space="preserve">(ԳՀ-ի իրավատերը) </w:t>
      </w:r>
      <w:r w:rsidRPr="002F33A8">
        <w:rPr>
          <w:rFonts w:ascii="Sylfaen" w:hAnsi="Sylfaen"/>
          <w:spacing w:val="-4"/>
          <w:sz w:val="24"/>
          <w:szCs w:val="24"/>
        </w:rPr>
        <w:t>մեկ գրանցման դոսյեի (փոփոխության դոսյեի) մի</w:t>
      </w:r>
      <w:r w:rsidR="00C54D75">
        <w:rPr>
          <w:rFonts w:ascii="Sylfaen" w:hAnsi="Sylfaen"/>
          <w:spacing w:val="-4"/>
          <w:sz w:val="24"/>
          <w:szCs w:val="24"/>
        </w:rPr>
        <w:t>և</w:t>
      </w:r>
      <w:r w:rsidRPr="002F33A8">
        <w:rPr>
          <w:rFonts w:ascii="Sylfaen" w:hAnsi="Sylfaen"/>
          <w:spacing w:val="-4"/>
          <w:sz w:val="24"/>
          <w:szCs w:val="24"/>
        </w:rPr>
        <w:t xml:space="preserve">նույն ակտիվ դեղագործական բաղադրամասի դեպքում հղում կատարի </w:t>
      </w:r>
      <w:r w:rsidR="00C54D75">
        <w:rPr>
          <w:rFonts w:ascii="Sylfaen" w:hAnsi="Sylfaen"/>
          <w:spacing w:val="-4"/>
          <w:sz w:val="24"/>
          <w:szCs w:val="24"/>
        </w:rPr>
        <w:t>և</w:t>
      </w:r>
      <w:r w:rsidRPr="002F33A8">
        <w:rPr>
          <w:rFonts w:ascii="Sylfaen" w:hAnsi="Sylfaen"/>
          <w:spacing w:val="-4"/>
          <w:sz w:val="24"/>
          <w:szCs w:val="24"/>
        </w:rPr>
        <w:t xml:space="preserve">՛ ԱԴԲՄՖ-ին, </w:t>
      </w:r>
      <w:r w:rsidR="00C54D75">
        <w:rPr>
          <w:rFonts w:ascii="Sylfaen" w:hAnsi="Sylfaen"/>
          <w:spacing w:val="-4"/>
          <w:sz w:val="24"/>
          <w:szCs w:val="24"/>
        </w:rPr>
        <w:t>և</w:t>
      </w:r>
      <w:r w:rsidRPr="002F33A8">
        <w:rPr>
          <w:rFonts w:ascii="Sylfaen" w:hAnsi="Sylfaen"/>
          <w:spacing w:val="-4"/>
          <w:sz w:val="24"/>
          <w:szCs w:val="24"/>
        </w:rPr>
        <w:t>՛ СЕР-ին։ Եթե СЕР-ը պարունակում է ոչ բավարար տեղեկություններ (օրինակ՝ կայունության վերաբերյալ), ապա անդամ պետությունների լիազորված մարմիններն իրավունք ունեն պահանջելու դոսյեի մեջ լրացուցիչ տեղեկությունների ներառում։ Այդ դեպքում թույլատրվում է հղում կատարել ինչպես ԱԴԲՄՖ-ին, այնպես էլ СЕР-ին։</w:t>
      </w:r>
    </w:p>
    <w:p w14:paraId="216D9BBF"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անդամ պետությունների լիազորված մարմիններին պետք է թույլտվություն տա ԱԴԲՄՖ-ի տվյալների փորձաքննության համար՝ կոնկրետ գրանցման դոսյեի (փոփոխության դոսյե) հետ փոխկապակցվածությամբ՝ «Հասանելիության թույլտվության» ձ</w:t>
      </w:r>
      <w:r w:rsidR="00C54D75">
        <w:rPr>
          <w:rFonts w:ascii="Sylfaen" w:hAnsi="Sylfaen"/>
          <w:sz w:val="24"/>
          <w:szCs w:val="24"/>
        </w:rPr>
        <w:t>և</w:t>
      </w:r>
      <w:r w:rsidRPr="00BD7577">
        <w:rPr>
          <w:rFonts w:ascii="Sylfaen" w:hAnsi="Sylfaen"/>
          <w:sz w:val="24"/>
          <w:szCs w:val="24"/>
        </w:rPr>
        <w:t>ով (սույն հավելվածի թիվ 2 լրացում)։</w:t>
      </w:r>
    </w:p>
    <w:p w14:paraId="04FCAE61" w14:textId="01CED898"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իրավատերը </w:t>
      </w:r>
      <w:r w:rsidR="0056496B">
        <w:rPr>
          <w:rFonts w:ascii="Sylfaen" w:hAnsi="Sylfaen"/>
          <w:sz w:val="24"/>
          <w:szCs w:val="24"/>
        </w:rPr>
        <w:t>դիմումատու</w:t>
      </w:r>
      <w:r w:rsidRPr="00BD7577">
        <w:rPr>
          <w:rFonts w:ascii="Sylfaen" w:hAnsi="Sylfaen"/>
          <w:sz w:val="24"/>
          <w:szCs w:val="24"/>
        </w:rPr>
        <w:t>ին (ԳՀ-ի իրավատիրոջը) պետք է տրամադրի հետ</w:t>
      </w:r>
      <w:r w:rsidR="00C54D75">
        <w:rPr>
          <w:rFonts w:ascii="Sylfaen" w:hAnsi="Sylfaen"/>
          <w:sz w:val="24"/>
          <w:szCs w:val="24"/>
        </w:rPr>
        <w:t>և</w:t>
      </w:r>
      <w:r w:rsidRPr="00BD7577">
        <w:rPr>
          <w:rFonts w:ascii="Sylfaen" w:hAnsi="Sylfaen"/>
          <w:sz w:val="24"/>
          <w:szCs w:val="24"/>
        </w:rPr>
        <w:t>յալ փաստաթղթերը՝</w:t>
      </w:r>
    </w:p>
    <w:p w14:paraId="6CBA775B"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ՀՄ-ի վերջին տարբերակի պատճենը (</w:t>
      </w:r>
      <w:r w:rsidR="00C54D75">
        <w:rPr>
          <w:rFonts w:ascii="Sylfaen" w:hAnsi="Sylfaen"/>
          <w:sz w:val="24"/>
          <w:szCs w:val="24"/>
        </w:rPr>
        <w:t>և</w:t>
      </w:r>
      <w:r w:rsidRPr="00BD7577">
        <w:rPr>
          <w:rFonts w:ascii="Sylfaen" w:hAnsi="Sylfaen"/>
          <w:sz w:val="24"/>
          <w:szCs w:val="24"/>
        </w:rPr>
        <w:t>, եթե կիրառելի է, անդամ պետության լիազորված մարմնի՝ ՀՄ-ում տվյալների ոչ բավարար լինելու մասին ծանուցումը, եթե դրանք դեռ</w:t>
      </w:r>
      <w:r w:rsidR="00C54D75">
        <w:rPr>
          <w:rFonts w:ascii="Sylfaen" w:hAnsi="Sylfaen"/>
          <w:sz w:val="24"/>
          <w:szCs w:val="24"/>
        </w:rPr>
        <w:t>և</w:t>
      </w:r>
      <w:r w:rsidRPr="00BD7577">
        <w:rPr>
          <w:rFonts w:ascii="Sylfaen" w:hAnsi="Sylfaen"/>
          <w:sz w:val="24"/>
          <w:szCs w:val="24"/>
        </w:rPr>
        <w:t>ս չեն ներառվել ՀՄ-ում),</w:t>
      </w:r>
    </w:p>
    <w:p w14:paraId="4881E022"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ՀՄ-ի վերջին տարբերակի մասով որակի ընդհանուր ռեզյումեի պատճենը, հասանելիության թույլտվության պատճենը, եթե դիտարկվող դեղապատրաստուկի </w:t>
      </w:r>
      <w:r w:rsidRPr="00BD7577">
        <w:rPr>
          <w:rFonts w:ascii="Sylfaen" w:hAnsi="Sylfaen"/>
          <w:sz w:val="24"/>
          <w:szCs w:val="24"/>
        </w:rPr>
        <w:lastRenderedPageBreak/>
        <w:t>դեպքում այդպիսի թույլտվություն նախկինում չի փոխանցվել։</w:t>
      </w:r>
    </w:p>
    <w:p w14:paraId="39805EC7"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Բացի այդ, պարտադիր պահանջ է ԱԴԲՄՖ-ի իրավատիրոջ կողմից գրանցման (գրանցման դոսյեում փոփոխություններ կատարելու) ընթացակարգում ներգրավված անդամ պետությունների բոլոր լիազորված մարմիններ ներկայացնել՝</w:t>
      </w:r>
    </w:p>
    <w:p w14:paraId="0CC0DDC0"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ԱԴԲՄՖ-ն (</w:t>
      </w:r>
      <w:r w:rsidR="00C54D75">
        <w:rPr>
          <w:rFonts w:ascii="Sylfaen" w:hAnsi="Sylfaen"/>
          <w:sz w:val="24"/>
          <w:szCs w:val="24"/>
        </w:rPr>
        <w:t>և</w:t>
      </w:r>
      <w:r w:rsidRPr="00BD7577">
        <w:rPr>
          <w:rFonts w:ascii="Sylfaen" w:hAnsi="Sylfaen"/>
          <w:sz w:val="24"/>
          <w:szCs w:val="24"/>
        </w:rPr>
        <w:t>, եթե կիրառելի է, տվյալների ոչ բավարար լինելու մասին անդամ պետության լիազորված մարմնի ծանուցումներին տրված պատասխանները, եթե դրանք դեռ</w:t>
      </w:r>
      <w:r w:rsidR="00C54D75">
        <w:rPr>
          <w:rFonts w:ascii="Sylfaen" w:hAnsi="Sylfaen"/>
          <w:sz w:val="24"/>
          <w:szCs w:val="24"/>
        </w:rPr>
        <w:t>և</w:t>
      </w:r>
      <w:r w:rsidRPr="00BD7577">
        <w:rPr>
          <w:rFonts w:ascii="Sylfaen" w:hAnsi="Sylfaen"/>
          <w:sz w:val="24"/>
          <w:szCs w:val="24"/>
        </w:rPr>
        <w:t xml:space="preserve">ս չեն ներառվել ԱԴԲՄՖ-ում) ուղեգիր-նամակի </w:t>
      </w:r>
      <w:r w:rsidR="00C54D75">
        <w:rPr>
          <w:rFonts w:ascii="Sylfaen" w:hAnsi="Sylfaen"/>
          <w:sz w:val="24"/>
          <w:szCs w:val="24"/>
        </w:rPr>
        <w:t>և</w:t>
      </w:r>
      <w:r w:rsidRPr="00BD7577">
        <w:rPr>
          <w:rFonts w:ascii="Sylfaen" w:hAnsi="Sylfaen"/>
          <w:sz w:val="24"/>
          <w:szCs w:val="24"/>
        </w:rPr>
        <w:t xml:space="preserve"> վարչական տվյալների հետ միասին (սույն հավելվածի թիվ 3 լրացում)։ Այս պահանջը տարածվում է նա</w:t>
      </w:r>
      <w:r w:rsidR="00C54D75">
        <w:rPr>
          <w:rFonts w:ascii="Sylfaen" w:hAnsi="Sylfaen"/>
          <w:sz w:val="24"/>
          <w:szCs w:val="24"/>
        </w:rPr>
        <w:t>և</w:t>
      </w:r>
      <w:r w:rsidRPr="00BD7577">
        <w:rPr>
          <w:rFonts w:ascii="Sylfaen" w:hAnsi="Sylfaen"/>
          <w:sz w:val="24"/>
          <w:szCs w:val="24"/>
        </w:rPr>
        <w:t xml:space="preserve"> ԱԴԲՄՖ-ի իրավատիրոջ՝ անդամ պետության լիազորված մարմնի՝ տվյալների ոչ բավարար լինելու մասին ծանուցումներին տրված պատասխանների վրա,</w:t>
      </w:r>
    </w:p>
    <w:p w14:paraId="5E07BFFA"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հասանելիության թույլտվությունը, եթե դիտարկվող դեղապատրաստուկի դեպքում այդպիսի թույլտվություն նախկինում չի ներկայացվել։</w:t>
      </w:r>
    </w:p>
    <w:p w14:paraId="6A5CC09F"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ԱԴԲՄՖ-ն պետք է անդամ պետության լիազորված մարմին ներկայացնի մեկ անգամ։ ԱԴԲՄՖ-ի իրավատերը պետք է համաժամանակեցնի համապատասխան փաստաթղթերն անդամ պետության լիազորված մարմին ներկայացնելը գրանցման դոսյեն (փոփոխության դոսյեն) ներկայացնելու հետ՝ փաստաթղթերը պետք է տեղ հասնեն համապատասխան գրանցման դոսյեն (փոփոխության դոսյեն) ներկայացնելուց հետո մեկ ամսից ոչ շուտ կամ ուշ։</w:t>
      </w:r>
    </w:p>
    <w:p w14:paraId="035675B2" w14:textId="5FAB3AE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ընթացակարգն օգտագործելիս </w:t>
      </w:r>
      <w:r w:rsidR="0056496B">
        <w:rPr>
          <w:rFonts w:ascii="Sylfaen" w:hAnsi="Sylfaen"/>
          <w:sz w:val="24"/>
          <w:szCs w:val="24"/>
        </w:rPr>
        <w:t>դիմումատու</w:t>
      </w:r>
      <w:r w:rsidRPr="00BD7577">
        <w:rPr>
          <w:rFonts w:ascii="Sylfaen" w:hAnsi="Sylfaen"/>
          <w:sz w:val="24"/>
          <w:szCs w:val="24"/>
        </w:rPr>
        <w:t>ն (ԳՀ-ի իրավատերը) պետք է ռեֆերենտ</w:t>
      </w:r>
      <w:r w:rsidRPr="00BD7577" w:rsidDel="004F2F4D">
        <w:rPr>
          <w:rFonts w:ascii="Sylfaen" w:hAnsi="Sylfaen"/>
          <w:sz w:val="24"/>
          <w:szCs w:val="24"/>
        </w:rPr>
        <w:t xml:space="preserve"> </w:t>
      </w:r>
      <w:r w:rsidRPr="00BD7577">
        <w:rPr>
          <w:rFonts w:ascii="Sylfaen" w:hAnsi="Sylfaen"/>
          <w:sz w:val="24"/>
          <w:szCs w:val="24"/>
        </w:rPr>
        <w:t>պետության լիազորված մարմին ներկայացնի գրանցման դոսյեն կամ փոփոխության դոսյեն հասանելիության թույլտվության հետ միասին, եթե դիտարկվող դեղապատրաստուկի մասով այն նախկինում չի ներկայացվել հենց ԳՀ-ի իրավատիրոջ (</w:t>
      </w:r>
      <w:r w:rsidR="0056496B">
        <w:rPr>
          <w:rFonts w:ascii="Sylfaen" w:hAnsi="Sylfaen"/>
          <w:sz w:val="24"/>
          <w:szCs w:val="24"/>
        </w:rPr>
        <w:t>դիմումատու</w:t>
      </w:r>
      <w:r w:rsidRPr="00BD7577">
        <w:rPr>
          <w:rFonts w:ascii="Sylfaen" w:hAnsi="Sylfaen"/>
          <w:sz w:val="24"/>
          <w:szCs w:val="24"/>
        </w:rPr>
        <w:t>ի) կամ ԱԴԲՄՖ-ի իրավատիրոջ կողմից։</w:t>
      </w:r>
    </w:p>
    <w:p w14:paraId="26EDF0A7" w14:textId="77777777" w:rsidR="008C76E0" w:rsidRPr="00BD7577" w:rsidRDefault="008C76E0" w:rsidP="00007454">
      <w:pPr>
        <w:tabs>
          <w:tab w:val="left" w:pos="3261"/>
        </w:tabs>
        <w:spacing w:after="160" w:line="360" w:lineRule="auto"/>
        <w:ind w:firstLine="567"/>
        <w:jc w:val="both"/>
        <w:rPr>
          <w:rFonts w:ascii="Sylfaen" w:hAnsi="Sylfaen"/>
          <w:sz w:val="24"/>
          <w:szCs w:val="24"/>
        </w:rPr>
      </w:pPr>
      <w:r w:rsidRPr="00BD7577">
        <w:rPr>
          <w:rFonts w:ascii="Sylfaen" w:hAnsi="Sylfaen"/>
          <w:sz w:val="24"/>
          <w:szCs w:val="24"/>
        </w:rPr>
        <w:t>Եթե մի</w:t>
      </w:r>
      <w:r w:rsidR="00C54D75">
        <w:rPr>
          <w:rFonts w:ascii="Sylfaen" w:hAnsi="Sylfaen"/>
          <w:sz w:val="24"/>
          <w:szCs w:val="24"/>
        </w:rPr>
        <w:t>և</w:t>
      </w:r>
      <w:r w:rsidRPr="00BD7577">
        <w:rPr>
          <w:rFonts w:ascii="Sylfaen" w:hAnsi="Sylfaen"/>
          <w:sz w:val="24"/>
          <w:szCs w:val="24"/>
        </w:rPr>
        <w:t xml:space="preserve">նույն ակտիվ դեղագործական բաղադրամասն օգտագործվում է տարբեր դեղապատրաստուկների համար մի քանի դոսյեներում մեկ կամ ավելի անդամ պետություններում, ապա ԱԴԲՄՖ-ի իրավատերն անդամ պետության </w:t>
      </w:r>
      <w:r w:rsidRPr="00BD7577">
        <w:rPr>
          <w:rFonts w:ascii="Sylfaen" w:hAnsi="Sylfaen"/>
          <w:sz w:val="24"/>
          <w:szCs w:val="24"/>
        </w:rPr>
        <w:lastRenderedPageBreak/>
        <w:t xml:space="preserve">յուրաքանչյուր լիազորված մարմին պետք է ներկայացնի նույնական փաստաթղթեր։ Հետագայում անդամ պետությունների լիազորված մարմիններն իրավունք ունեն պահանջելու, որ մեկ գրանցման դոսյեի մասով կատարված ԱԴԲՄՖ-ի ցանկացած թարմացում կիրառվի մնացած դոսյեների մասով։ ԱԴԲՄՖ-ի իրավատիրոջ պարտականությունն է ԳՀ-ի շահագրգիռ իրավատերերին </w:t>
      </w:r>
      <w:r w:rsidR="00C54D75">
        <w:rPr>
          <w:rFonts w:ascii="Sylfaen" w:hAnsi="Sylfaen"/>
          <w:sz w:val="24"/>
          <w:szCs w:val="24"/>
        </w:rPr>
        <w:t>և</w:t>
      </w:r>
      <w:r w:rsidRPr="00BD7577">
        <w:rPr>
          <w:rFonts w:ascii="Sylfaen" w:hAnsi="Sylfaen"/>
          <w:sz w:val="24"/>
          <w:szCs w:val="24"/>
        </w:rPr>
        <w:t xml:space="preserve"> անդամ պետությունների լիազորված մարմիններին ծանուցել ՀՄ-ում </w:t>
      </w:r>
      <w:r w:rsidR="00C54D75">
        <w:rPr>
          <w:rFonts w:ascii="Sylfaen" w:hAnsi="Sylfaen"/>
          <w:sz w:val="24"/>
          <w:szCs w:val="24"/>
        </w:rPr>
        <w:t>և</w:t>
      </w:r>
      <w:r w:rsidRPr="00BD7577">
        <w:rPr>
          <w:rFonts w:ascii="Sylfaen" w:hAnsi="Sylfaen"/>
          <w:sz w:val="24"/>
          <w:szCs w:val="24"/>
        </w:rPr>
        <w:t xml:space="preserve"> (կամ) ՓՄ-ում կատարված ցանկացած փոփոխության մասին, որպեսզի ԳՀ-ի իրավատերերը կարողանան համապատասխան ձ</w:t>
      </w:r>
      <w:r w:rsidR="00C54D75">
        <w:rPr>
          <w:rFonts w:ascii="Sylfaen" w:hAnsi="Sylfaen"/>
          <w:sz w:val="24"/>
          <w:szCs w:val="24"/>
        </w:rPr>
        <w:t>և</w:t>
      </w:r>
      <w:r w:rsidRPr="00BD7577">
        <w:rPr>
          <w:rFonts w:ascii="Sylfaen" w:hAnsi="Sylfaen"/>
          <w:sz w:val="24"/>
          <w:szCs w:val="24"/>
        </w:rPr>
        <w:t>ով թարմացնել դեղապատրաստուկների շոշափված բոլոր գրանցման դոսյեները։</w:t>
      </w:r>
    </w:p>
    <w:p w14:paraId="1135F8FC" w14:textId="77777777" w:rsidR="008C76E0" w:rsidRPr="00BD7577" w:rsidRDefault="008C76E0" w:rsidP="00007454">
      <w:pPr>
        <w:tabs>
          <w:tab w:val="left" w:pos="3261"/>
        </w:tabs>
        <w:spacing w:after="160" w:line="360" w:lineRule="auto"/>
        <w:ind w:firstLine="567"/>
        <w:jc w:val="center"/>
        <w:rPr>
          <w:rFonts w:ascii="Sylfaen" w:hAnsi="Sylfaen"/>
          <w:sz w:val="24"/>
          <w:szCs w:val="24"/>
        </w:rPr>
      </w:pPr>
    </w:p>
    <w:p w14:paraId="5E9D8581"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V. Գրանցման դոսյեի բովանդակությունը՝ ակտիվ դեղագործական բաղադրամասի մաստեր-ֆայլի ընթացակարգն օգտագործելիս</w:t>
      </w:r>
    </w:p>
    <w:p w14:paraId="5C179B46" w14:textId="5648D2A5" w:rsidR="008C76E0" w:rsidRPr="00BD7577" w:rsidRDefault="0056496B" w:rsidP="00007454">
      <w:pPr>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ն (ԳՀ-ի իրավատերը) պատասխանատու է ակտիվ դեղագործական բաղադրամասի փաստացի արտադրության մասին բոլոր անհրաժեշտ տեղեկություններին իր հասանելիության առկայությունն ապահովելու համար։</w:t>
      </w:r>
    </w:p>
    <w:p w14:paraId="10ACBE79" w14:textId="70136B11"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Գրանցման դոսյեում միանշանակ անհրաժեշտ է ներկայացնել ակտիվ դեղագործական բաղադրամասի որակի հսկողության համար </w:t>
      </w:r>
      <w:r w:rsidR="0056496B">
        <w:rPr>
          <w:rFonts w:ascii="Sylfaen" w:hAnsi="Sylfaen"/>
          <w:sz w:val="24"/>
          <w:szCs w:val="24"/>
        </w:rPr>
        <w:t>դիմումատու</w:t>
      </w:r>
      <w:r w:rsidRPr="00BD7577">
        <w:rPr>
          <w:rFonts w:ascii="Sylfaen" w:hAnsi="Sylfaen"/>
          <w:sz w:val="24"/>
          <w:szCs w:val="24"/>
        </w:rPr>
        <w:t>ի (ԳՀ-ի իրավատիրոջ) կողմից օգտագործվող մասնագիրը (ԸՏՓ-ի ձ</w:t>
      </w:r>
      <w:r w:rsidR="00C54D75">
        <w:rPr>
          <w:rFonts w:ascii="Sylfaen" w:hAnsi="Sylfaen"/>
          <w:sz w:val="24"/>
          <w:szCs w:val="24"/>
        </w:rPr>
        <w:t>և</w:t>
      </w:r>
      <w:r w:rsidRPr="00BD7577">
        <w:rPr>
          <w:rFonts w:ascii="Sylfaen" w:hAnsi="Sylfaen"/>
          <w:sz w:val="24"/>
          <w:szCs w:val="24"/>
        </w:rPr>
        <w:t xml:space="preserve">աչափի բաժին 3.2.S.4.1 կամ 3.2.S.4.2)։ </w:t>
      </w:r>
      <w:r w:rsidR="0056496B">
        <w:rPr>
          <w:rFonts w:ascii="Sylfaen" w:hAnsi="Sylfaen"/>
          <w:sz w:val="24"/>
          <w:szCs w:val="24"/>
        </w:rPr>
        <w:t>Դիմում</w:t>
      </w:r>
      <w:r w:rsidRPr="00BD7577">
        <w:rPr>
          <w:rFonts w:ascii="Sylfaen" w:hAnsi="Sylfaen"/>
          <w:sz w:val="24"/>
          <w:szCs w:val="24"/>
        </w:rPr>
        <w:t>ատուն (ԳՀ-ի իրավատերը) պետք է գրանցման դոսյեում ներառի ՀՄ-ի պատճենը (ԸՏՓ-ի ձ</w:t>
      </w:r>
      <w:r w:rsidR="00C54D75">
        <w:rPr>
          <w:rFonts w:ascii="Sylfaen" w:hAnsi="Sylfaen"/>
          <w:sz w:val="24"/>
          <w:szCs w:val="24"/>
        </w:rPr>
        <w:t>և</w:t>
      </w:r>
      <w:r w:rsidRPr="00BD7577">
        <w:rPr>
          <w:rFonts w:ascii="Sylfaen" w:hAnsi="Sylfaen"/>
          <w:sz w:val="24"/>
          <w:szCs w:val="24"/>
        </w:rPr>
        <w:t xml:space="preserve">աչափի բաժին 3.2.S)։ Գրանցման դոսյեի ՀՄ-ի տարբերակը պետք է լինի ավելի թարմ </w:t>
      </w:r>
      <w:r w:rsidR="00C54D75">
        <w:rPr>
          <w:rFonts w:ascii="Sylfaen" w:hAnsi="Sylfaen"/>
          <w:sz w:val="24"/>
          <w:szCs w:val="24"/>
        </w:rPr>
        <w:t>և</w:t>
      </w:r>
      <w:r w:rsidRPr="00BD7577">
        <w:rPr>
          <w:rFonts w:ascii="Sylfaen" w:hAnsi="Sylfaen"/>
          <w:sz w:val="24"/>
          <w:szCs w:val="24"/>
        </w:rPr>
        <w:t xml:space="preserve"> ԱԴԲՄՖ-ի իրավատիրոջ կողմից անդամ պետության լիազորված մարմին որպես ԱԴԲՄՖ-ի մաս ներկայացված ՀՄ-ին նույնական։ </w:t>
      </w:r>
      <w:r w:rsidR="0056496B">
        <w:rPr>
          <w:rFonts w:ascii="Sylfaen" w:hAnsi="Sylfaen"/>
          <w:sz w:val="24"/>
          <w:szCs w:val="24"/>
        </w:rPr>
        <w:t>Դիմումատու</w:t>
      </w:r>
      <w:r w:rsidRPr="00BD7577">
        <w:rPr>
          <w:rFonts w:ascii="Sylfaen" w:hAnsi="Sylfaen"/>
          <w:sz w:val="24"/>
          <w:szCs w:val="24"/>
        </w:rPr>
        <w:t>ն (ԳՀ-ի իրավատերը) պետք է բոլոր անհրաժեշտ տեղեկությունները ՀՄ-ից տեղափոխի գրանցման դոսյեի՝ որակի ընդհանուր ռեզյումե (մոդուլ 2.3)։ Գրանցման դոսյեի որակի ընդհանուր ռեզյումեում անհրաժեշտ է լուսաբանել ԱԴԲՄՖ-ի այն բաժինները, որոնք սպեցիֆիկ են դիտարկվող դեղապատրաստուկի համար։</w:t>
      </w:r>
    </w:p>
    <w:p w14:paraId="4E13ECF7" w14:textId="60EAC320"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lastRenderedPageBreak/>
        <w:t xml:space="preserve">Մեկ մատակարարի դեպքում </w:t>
      </w:r>
      <w:r w:rsidR="00C54D75">
        <w:rPr>
          <w:rFonts w:ascii="Sylfaen" w:hAnsi="Sylfaen"/>
          <w:sz w:val="24"/>
          <w:szCs w:val="24"/>
        </w:rPr>
        <w:t>և</w:t>
      </w:r>
      <w:r w:rsidRPr="00BD7577">
        <w:rPr>
          <w:rFonts w:ascii="Sylfaen" w:hAnsi="Sylfaen"/>
          <w:sz w:val="24"/>
          <w:szCs w:val="24"/>
        </w:rPr>
        <w:t xml:space="preserve"> ԱԴԲՄՖ-ի կամ СЕР-ի ընթացակարգն օգտագործելիս </w:t>
      </w:r>
      <w:r w:rsidR="0056496B">
        <w:rPr>
          <w:rFonts w:ascii="Sylfaen" w:hAnsi="Sylfaen"/>
          <w:sz w:val="24"/>
          <w:szCs w:val="24"/>
        </w:rPr>
        <w:t>դիմումատու</w:t>
      </w:r>
      <w:r w:rsidRPr="00BD7577">
        <w:rPr>
          <w:rFonts w:ascii="Sylfaen" w:hAnsi="Sylfaen"/>
          <w:sz w:val="24"/>
          <w:szCs w:val="24"/>
        </w:rPr>
        <w:t xml:space="preserve">ի (ԳՀ-ի իրավատիրոջ) կողմից գրանցման դոսյեում ներառվող՝ ակտիվ դեղագործական բաղադրամասի մասնագիրը պետք է սկզբունքորեն նույնական լինի ԱԴԲՄՖ-ի կամ СЕР-ի իրավատիրոջ մասնագրին։ Սակայն </w:t>
      </w:r>
      <w:r w:rsidR="0056496B">
        <w:rPr>
          <w:rFonts w:ascii="Sylfaen" w:hAnsi="Sylfaen"/>
          <w:sz w:val="24"/>
          <w:szCs w:val="24"/>
        </w:rPr>
        <w:t>դիմումատու</w:t>
      </w:r>
      <w:r w:rsidRPr="00BD7577">
        <w:rPr>
          <w:rFonts w:ascii="Sylfaen" w:hAnsi="Sylfaen"/>
          <w:sz w:val="24"/>
          <w:szCs w:val="24"/>
        </w:rPr>
        <w:t xml:space="preserve">ն (ԳՀ-ի իրավատերը) պարտավոր չէ համաձայնել մասնագրի ավելորդ փորձարկումներին, մասնագրի չհիմնավորված խիստ շրջանակներին </w:t>
      </w:r>
      <w:r w:rsidR="00C54D75">
        <w:rPr>
          <w:rFonts w:ascii="Sylfaen" w:hAnsi="Sylfaen"/>
          <w:sz w:val="24"/>
          <w:szCs w:val="24"/>
        </w:rPr>
        <w:t>և</w:t>
      </w:r>
      <w:r w:rsidRPr="00BD7577">
        <w:rPr>
          <w:rFonts w:ascii="Sylfaen" w:hAnsi="Sylfaen"/>
          <w:sz w:val="24"/>
          <w:szCs w:val="24"/>
        </w:rPr>
        <w:t xml:space="preserve"> հնացած վերլուծական մեթոդիկաներին։</w:t>
      </w:r>
    </w:p>
    <w:p w14:paraId="6D76A4BB" w14:textId="588C8675"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Եթե </w:t>
      </w:r>
      <w:r w:rsidR="0056496B">
        <w:rPr>
          <w:rFonts w:ascii="Sylfaen" w:hAnsi="Sylfaen"/>
          <w:sz w:val="24"/>
          <w:szCs w:val="24"/>
        </w:rPr>
        <w:t>դիմումատու</w:t>
      </w:r>
      <w:r w:rsidRPr="00BD7577">
        <w:rPr>
          <w:rFonts w:ascii="Sylfaen" w:hAnsi="Sylfaen"/>
          <w:sz w:val="24"/>
          <w:szCs w:val="24"/>
        </w:rPr>
        <w:t xml:space="preserve">ն (ԳՀ-ի իրավատերը) օգտագործում է ԱԴԲՄՖ-ում նկարագրված վերլուծական մեթոդիկայից տարբեր մեթոդիկա, ապա երկու մեթոդիկաներն էլ անհրաժեշտ է վալիդացնել։ Մասնագրի տեխնիկական փորձարկումները, որոնք էական են դեղապատրաստուկի համար, բայց որոնք սովորաբար ԱԴԲՄՖ-ի մասնագրի մաս չեն կազմում (օրինակ՝ մասնիկների չափը), պետք է </w:t>
      </w:r>
      <w:r w:rsidR="0056496B">
        <w:rPr>
          <w:rFonts w:ascii="Sylfaen" w:hAnsi="Sylfaen"/>
          <w:sz w:val="24"/>
          <w:szCs w:val="24"/>
        </w:rPr>
        <w:t>դիմումատու</w:t>
      </w:r>
      <w:r w:rsidRPr="00BD7577">
        <w:rPr>
          <w:rFonts w:ascii="Sylfaen" w:hAnsi="Sylfaen"/>
          <w:sz w:val="24"/>
          <w:szCs w:val="24"/>
        </w:rPr>
        <w:t>ի (ԳՀ-ի իրավատիրոջ) մասնագրի մաս կազմեն։</w:t>
      </w:r>
    </w:p>
    <w:p w14:paraId="7B9A9470" w14:textId="3B84BD01"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Մի քանի մատակարարի առկայության դեպքում </w:t>
      </w:r>
      <w:r w:rsidR="0056496B">
        <w:rPr>
          <w:rFonts w:ascii="Sylfaen" w:hAnsi="Sylfaen"/>
          <w:sz w:val="24"/>
          <w:szCs w:val="24"/>
        </w:rPr>
        <w:t>դիմումատու</w:t>
      </w:r>
      <w:r w:rsidRPr="00BD7577">
        <w:rPr>
          <w:rFonts w:ascii="Sylfaen" w:hAnsi="Sylfaen"/>
          <w:sz w:val="24"/>
          <w:szCs w:val="24"/>
        </w:rPr>
        <w:t>ն (ԳՀ-ի իրավատերը) պետք է իր տրամադրության տակ ունենա միասնական ընդհանրացված մասնագիր, որը նույնական է յուրաքանչյուր մատակարարի համար։ Մասնագրում թույլատրվում է որակի մի</w:t>
      </w:r>
      <w:r w:rsidR="00C54D75">
        <w:rPr>
          <w:rFonts w:ascii="Sylfaen" w:hAnsi="Sylfaen"/>
          <w:sz w:val="24"/>
          <w:szCs w:val="24"/>
        </w:rPr>
        <w:t>և</w:t>
      </w:r>
      <w:r w:rsidRPr="00BD7577">
        <w:rPr>
          <w:rFonts w:ascii="Sylfaen" w:hAnsi="Sylfaen"/>
          <w:sz w:val="24"/>
          <w:szCs w:val="24"/>
        </w:rPr>
        <w:t xml:space="preserve">նույն ցուցանիշի համար նշել ընդունելիության </w:t>
      </w:r>
      <w:r w:rsidR="00C54D75">
        <w:rPr>
          <w:rFonts w:ascii="Sylfaen" w:hAnsi="Sylfaen"/>
          <w:sz w:val="24"/>
          <w:szCs w:val="24"/>
        </w:rPr>
        <w:t>և</w:t>
      </w:r>
      <w:r w:rsidRPr="00BD7577">
        <w:rPr>
          <w:rFonts w:ascii="Sylfaen" w:hAnsi="Sylfaen"/>
          <w:sz w:val="24"/>
          <w:szCs w:val="24"/>
        </w:rPr>
        <w:t xml:space="preserve"> (կամ) վերլուծական մեթոդիկայի մեկից ավելի չափանիշներ՝ «եթե ստուգվում է» նշումով (օրինակ՝ մնացորդային լուծիչների դեպքում)։</w:t>
      </w:r>
    </w:p>
    <w:p w14:paraId="743D8C4A" w14:textId="77777777" w:rsidR="008C76E0" w:rsidRPr="00905F38" w:rsidRDefault="008C76E0" w:rsidP="00007454">
      <w:pPr>
        <w:spacing w:after="160" w:line="360" w:lineRule="auto"/>
        <w:ind w:right="-1" w:firstLine="567"/>
        <w:jc w:val="both"/>
        <w:rPr>
          <w:rFonts w:ascii="Sylfaen" w:hAnsi="Sylfaen"/>
          <w:sz w:val="24"/>
          <w:szCs w:val="24"/>
        </w:rPr>
      </w:pPr>
    </w:p>
    <w:p w14:paraId="783BD99B" w14:textId="77777777" w:rsidR="008C76E0" w:rsidRDefault="008C76E0" w:rsidP="00007454">
      <w:pPr>
        <w:widowControl/>
        <w:spacing w:after="160" w:line="360" w:lineRule="auto"/>
        <w:rPr>
          <w:rFonts w:ascii="Sylfaen" w:hAnsi="Sylfaen"/>
          <w:sz w:val="24"/>
          <w:szCs w:val="24"/>
        </w:rPr>
      </w:pPr>
      <w:r>
        <w:rPr>
          <w:rFonts w:ascii="Sylfaen" w:hAnsi="Sylfaen"/>
          <w:sz w:val="24"/>
          <w:szCs w:val="24"/>
        </w:rPr>
        <w:br w:type="page"/>
      </w:r>
    </w:p>
    <w:p w14:paraId="2B1810B6"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lastRenderedPageBreak/>
        <w:t xml:space="preserve">VI. Ակտիվ դեղագործական բաղադրամասի մաստեր-ֆայլի </w:t>
      </w:r>
      <w:r w:rsidRPr="00BD7577">
        <w:rPr>
          <w:rFonts w:ascii="Sylfaen" w:hAnsi="Sylfaen"/>
          <w:sz w:val="24"/>
          <w:szCs w:val="24"/>
        </w:rPr>
        <w:br/>
        <w:t>փոփոխումն ու թարմացումը</w:t>
      </w:r>
    </w:p>
    <w:p w14:paraId="5545E444"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Դեղապատրաստուկների դեպքում ԱԴԲՄՖ-ի իրավատերերը պետք է ապահովեն իրենց ԱԴԲՄՖ-երի մշտական թարմացումը՝ փաստացի սինթեզման (արտադրության գործընթացի) մասով։ Որակի հսկողության մեթոդները պետք է համապատասխանեն գործող կարգավորիչ </w:t>
      </w:r>
      <w:r w:rsidR="00C54D75">
        <w:rPr>
          <w:rFonts w:ascii="Sylfaen" w:hAnsi="Sylfaen"/>
          <w:sz w:val="24"/>
          <w:szCs w:val="24"/>
        </w:rPr>
        <w:t>և</w:t>
      </w:r>
      <w:r w:rsidRPr="00BD7577">
        <w:rPr>
          <w:rFonts w:ascii="Sylfaen" w:hAnsi="Sylfaen"/>
          <w:sz w:val="24"/>
          <w:szCs w:val="24"/>
        </w:rPr>
        <w:t xml:space="preserve"> գիտական պահանջներին։</w:t>
      </w:r>
    </w:p>
    <w:p w14:paraId="7552EFD9" w14:textId="1C18CFD9" w:rsidR="008C76E0" w:rsidRPr="00BD7577" w:rsidRDefault="008C76E0" w:rsidP="00007454">
      <w:pPr>
        <w:spacing w:after="160" w:line="360" w:lineRule="auto"/>
        <w:ind w:right="-1" w:firstLine="567"/>
        <w:jc w:val="both"/>
        <w:rPr>
          <w:rFonts w:ascii="Sylfaen" w:hAnsi="Sylfaen"/>
          <w:sz w:val="24"/>
          <w:szCs w:val="24"/>
        </w:rPr>
      </w:pPr>
      <w:r w:rsidRPr="0063669A">
        <w:rPr>
          <w:rFonts w:ascii="Sylfaen" w:hAnsi="Sylfaen"/>
          <w:spacing w:val="-4"/>
          <w:sz w:val="24"/>
          <w:szCs w:val="24"/>
        </w:rPr>
        <w:t xml:space="preserve">ԱԴԲՄՖ-ի իրավատերերն իրավունք չունեն փոփոխելու իրենց ԱԴԲՄՖ-երի բովանդակությունը (օրինակ՝ արտադրության գործընթացը կամ մասնագիրը)՝ առանց յուրաքանչյուր </w:t>
      </w:r>
      <w:r w:rsidR="0056496B">
        <w:rPr>
          <w:rFonts w:ascii="Sylfaen" w:hAnsi="Sylfaen"/>
          <w:spacing w:val="-4"/>
          <w:sz w:val="24"/>
          <w:szCs w:val="24"/>
        </w:rPr>
        <w:t>դիմումատու</w:t>
      </w:r>
      <w:r w:rsidRPr="0063669A">
        <w:rPr>
          <w:rFonts w:ascii="Sylfaen" w:hAnsi="Sylfaen"/>
          <w:spacing w:val="-4"/>
          <w:sz w:val="24"/>
          <w:szCs w:val="24"/>
        </w:rPr>
        <w:t xml:space="preserve">ի (ԳՀ-ի իրավատիրոջը) </w:t>
      </w:r>
      <w:r w:rsidR="00C54D75">
        <w:rPr>
          <w:rFonts w:ascii="Sylfaen" w:hAnsi="Sylfaen"/>
          <w:spacing w:val="-4"/>
          <w:sz w:val="24"/>
          <w:szCs w:val="24"/>
        </w:rPr>
        <w:t>և</w:t>
      </w:r>
      <w:r w:rsidRPr="0063669A">
        <w:rPr>
          <w:rFonts w:ascii="Sylfaen" w:hAnsi="Sylfaen"/>
          <w:spacing w:val="-4"/>
          <w:sz w:val="24"/>
          <w:szCs w:val="24"/>
        </w:rPr>
        <w:t xml:space="preserve"> անդամ պետության յուրաքանչյուր լիազորված մարմնի ծանուցելու։ Այս պարտավորությունն ուժի մեջ է այնքան ժամանակ,</w:t>
      </w:r>
      <w:r w:rsidRPr="00BD7577">
        <w:rPr>
          <w:rFonts w:ascii="Sylfaen" w:hAnsi="Sylfaen"/>
          <w:sz w:val="24"/>
          <w:szCs w:val="24"/>
        </w:rPr>
        <w:t xml:space="preserve"> քանի դեռ ԱԴԲՄՖ-ի իրավատերը հետ չի կանչել հասանելիության թույլտվությունը (սույն հավելվածի թիվ 4 լրացում)։ ԱԴԲՄՖ-ի իրավատերերը պետք է բոլոր շահագրգիռ կողմերին տրամադրեն թարմացված ԱԴԲՄՖ-ն՝ նշելով տարբերակի ուղղված համարը։</w:t>
      </w:r>
    </w:p>
    <w:p w14:paraId="09C84E4C"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ԳՀ-ի իրավատերը պետք է անդամ պետության համապատասխան լիազորված մարմնին տեղեկացնի ԱԴԲՄՖ-ի յուրաքանչյուր փոփոխության մասին՝ փոփոխությունների կատարման համապատասխան ընթացակարգի միջոցով։ Անհրաժեշտ է ներկայացնել ուղեգիր-նամակ (սույն հավելվածի թիվ 3 լրացում)։</w:t>
      </w:r>
    </w:p>
    <w:p w14:paraId="647073D4"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Եթե ԱԴԲՄՖ-ի բովանդակությունն ընթացակարգային պատճառներով (այսինքն՝ գլխավորապես ընթացքի մեջ գտնվող փոխադարձ ճանաչման ընթացակարգերի հետ</w:t>
      </w:r>
      <w:r w:rsidR="00C54D75">
        <w:rPr>
          <w:rFonts w:ascii="Sylfaen" w:hAnsi="Sylfaen"/>
          <w:sz w:val="24"/>
          <w:szCs w:val="24"/>
        </w:rPr>
        <w:t>և</w:t>
      </w:r>
      <w:r w:rsidRPr="00BD7577">
        <w:rPr>
          <w:rFonts w:ascii="Sylfaen" w:hAnsi="Sylfaen"/>
          <w:sz w:val="24"/>
          <w:szCs w:val="24"/>
        </w:rPr>
        <w:t xml:space="preserve">անքով) անհնար է փոփոխել որոշակի ժամակահատվածի ընթացքում, ապա ԱԴԲՄՖ-ի իրավատերն ամեն դեպքում պետք է ԳՀ-ի իրավատիրոջը </w:t>
      </w:r>
      <w:r w:rsidR="00C54D75">
        <w:rPr>
          <w:rFonts w:ascii="Sylfaen" w:hAnsi="Sylfaen"/>
          <w:sz w:val="24"/>
          <w:szCs w:val="24"/>
        </w:rPr>
        <w:t>և</w:t>
      </w:r>
      <w:r w:rsidRPr="00BD7577">
        <w:rPr>
          <w:rFonts w:ascii="Sylfaen" w:hAnsi="Sylfaen"/>
          <w:sz w:val="24"/>
          <w:szCs w:val="24"/>
        </w:rPr>
        <w:t xml:space="preserve"> անդամ պետությունների լիազորված մարմիններ ներկայացնի վերոնշյալ տվյալները՝ մատնանշելով դրանք </w:t>
      </w:r>
      <w:r w:rsidR="00C54D75">
        <w:rPr>
          <w:rFonts w:ascii="Sylfaen" w:hAnsi="Sylfaen"/>
          <w:sz w:val="24"/>
          <w:szCs w:val="24"/>
        </w:rPr>
        <w:t>և</w:t>
      </w:r>
      <w:r w:rsidRPr="00BD7577">
        <w:rPr>
          <w:rFonts w:ascii="Sylfaen" w:hAnsi="Sylfaen"/>
          <w:sz w:val="24"/>
          <w:szCs w:val="24"/>
        </w:rPr>
        <w:t xml:space="preserve"> փոփոխություններ իրականացնելու համար ավելի ուշ ժամկետ պահանջելով։</w:t>
      </w:r>
    </w:p>
    <w:p w14:paraId="49186B06" w14:textId="50207FDB"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Դեղապատրաստուկի գրանցումը հաստատելիս ԳՀ-ի իրավատերերը պետք է </w:t>
      </w:r>
      <w:r w:rsidR="0085119E">
        <w:rPr>
          <w:rFonts w:ascii="Sylfaen" w:hAnsi="Sylfaen"/>
          <w:sz w:val="24"/>
          <w:szCs w:val="24"/>
        </w:rPr>
        <w:t>հայտարարագր</w:t>
      </w:r>
      <w:r w:rsidRPr="00BD7577">
        <w:rPr>
          <w:rFonts w:ascii="Sylfaen" w:hAnsi="Sylfaen"/>
          <w:sz w:val="24"/>
          <w:szCs w:val="24"/>
        </w:rPr>
        <w:t xml:space="preserve">են, որ դեղապատրաստուկի որակը՝ արտադրության </w:t>
      </w:r>
      <w:r w:rsidR="00C54D75">
        <w:rPr>
          <w:rFonts w:ascii="Sylfaen" w:hAnsi="Sylfaen"/>
          <w:sz w:val="24"/>
          <w:szCs w:val="24"/>
        </w:rPr>
        <w:t>և</w:t>
      </w:r>
      <w:r w:rsidRPr="00BD7577">
        <w:rPr>
          <w:rFonts w:ascii="Sylfaen" w:hAnsi="Sylfaen"/>
          <w:sz w:val="24"/>
          <w:szCs w:val="24"/>
        </w:rPr>
        <w:t xml:space="preserve"> հսկողության մեթոդների մասով, ենթարկվել է կանոնավոր թարմացման՝ տեխնիկական </w:t>
      </w:r>
      <w:r w:rsidR="00C54D75">
        <w:rPr>
          <w:rFonts w:ascii="Sylfaen" w:hAnsi="Sylfaen"/>
          <w:sz w:val="24"/>
          <w:szCs w:val="24"/>
        </w:rPr>
        <w:t>և</w:t>
      </w:r>
      <w:r w:rsidRPr="00BD7577">
        <w:rPr>
          <w:rFonts w:ascii="Sylfaen" w:hAnsi="Sylfaen"/>
          <w:sz w:val="24"/>
          <w:szCs w:val="24"/>
        </w:rPr>
        <w:t xml:space="preserve"> </w:t>
      </w:r>
      <w:r w:rsidRPr="00BD7577">
        <w:rPr>
          <w:rFonts w:ascii="Sylfaen" w:hAnsi="Sylfaen"/>
          <w:sz w:val="24"/>
          <w:szCs w:val="24"/>
        </w:rPr>
        <w:lastRenderedPageBreak/>
        <w:t xml:space="preserve">գիտական առաջընթացը հաշվի առնելու նպատակով փոփոխություններ կատարելու ընթացակարգի միջոցով, </w:t>
      </w:r>
      <w:r w:rsidR="00C54D75">
        <w:rPr>
          <w:rFonts w:ascii="Sylfaen" w:hAnsi="Sylfaen"/>
          <w:sz w:val="24"/>
          <w:szCs w:val="24"/>
        </w:rPr>
        <w:t>և</w:t>
      </w:r>
      <w:r w:rsidRPr="00BD7577">
        <w:rPr>
          <w:rFonts w:ascii="Sylfaen" w:hAnsi="Sylfaen"/>
          <w:sz w:val="24"/>
          <w:szCs w:val="24"/>
        </w:rPr>
        <w:t xml:space="preserve"> որ դեղապատրաստուկը համապատասխանում է Միության՝ դեղամիջոցների որակը կանոնակարգող գործող փաստաթղթերին։ Նրանք նա</w:t>
      </w:r>
      <w:r w:rsidR="00C54D75">
        <w:rPr>
          <w:rFonts w:ascii="Sylfaen" w:hAnsi="Sylfaen"/>
          <w:sz w:val="24"/>
          <w:szCs w:val="24"/>
        </w:rPr>
        <w:t>և</w:t>
      </w:r>
      <w:r w:rsidRPr="00BD7577">
        <w:rPr>
          <w:rFonts w:ascii="Sylfaen" w:hAnsi="Sylfaen"/>
          <w:sz w:val="24"/>
          <w:szCs w:val="24"/>
        </w:rPr>
        <w:t xml:space="preserve"> պետք է </w:t>
      </w:r>
      <w:r w:rsidR="0085119E">
        <w:rPr>
          <w:rFonts w:ascii="Sylfaen" w:hAnsi="Sylfaen"/>
          <w:sz w:val="24"/>
          <w:szCs w:val="24"/>
        </w:rPr>
        <w:t>հայտարարագր</w:t>
      </w:r>
      <w:r w:rsidRPr="00BD7577">
        <w:rPr>
          <w:rFonts w:ascii="Sylfaen" w:hAnsi="Sylfaen"/>
          <w:sz w:val="24"/>
          <w:szCs w:val="24"/>
        </w:rPr>
        <w:t>են, որ դեղապատրաստուկի վերաբերյալ ոչ մի տվյալ, բացառությամբ անդամ պետության լիազորված մարմնի կողմից թույլատրված տվյալների, չի փոփոխվել։</w:t>
      </w:r>
    </w:p>
    <w:p w14:paraId="48CEAB4F" w14:textId="6D66EDAD"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Այս առնչությամբ ԳՀ-ի իրավատերերը պետք է ԱԴԲՄՖ-ի իրենց իրավատերերի հետ համեմատեն վերոնշյալ </w:t>
      </w:r>
      <w:r w:rsidR="0085119E">
        <w:rPr>
          <w:rFonts w:ascii="Sylfaen" w:hAnsi="Sylfaen"/>
          <w:sz w:val="24"/>
          <w:szCs w:val="24"/>
        </w:rPr>
        <w:t>հայտարարագր</w:t>
      </w:r>
      <w:r w:rsidRPr="00BD7577">
        <w:rPr>
          <w:rFonts w:ascii="Sylfaen" w:hAnsi="Sylfaen"/>
          <w:sz w:val="24"/>
          <w:szCs w:val="24"/>
        </w:rPr>
        <w:t xml:space="preserve">ի ճշտությունը՝ ակտիվ դեղագործական բաղադրամասի վերաբերյալ տվյալների հետ կապված։ Եթե ԳՀ-ի իրավատերը </w:t>
      </w:r>
      <w:r w:rsidR="00C54D75">
        <w:rPr>
          <w:rFonts w:ascii="Sylfaen" w:hAnsi="Sylfaen"/>
          <w:sz w:val="24"/>
          <w:szCs w:val="24"/>
        </w:rPr>
        <w:t>և</w:t>
      </w:r>
      <w:r w:rsidRPr="00BD7577">
        <w:rPr>
          <w:rFonts w:ascii="Sylfaen" w:hAnsi="Sylfaen"/>
          <w:sz w:val="24"/>
          <w:szCs w:val="24"/>
        </w:rPr>
        <w:t xml:space="preserve"> անդամ պետության լիազորված մարմինը չեն ծանուցվել փոփոխությունների մասին, ապա անհրաժեշտ է առանց հապաղելու սկսել գրանցված դեղապատրաստուկի գրանցման դոսյեում փոփոխություններ կատարելու համապատասխան ընթացակարգը։</w:t>
      </w:r>
    </w:p>
    <w:p w14:paraId="3B8EBF48" w14:textId="77777777" w:rsidR="008C76E0" w:rsidRPr="00BD7577" w:rsidRDefault="008C76E0" w:rsidP="00007454">
      <w:pPr>
        <w:spacing w:after="160" w:line="360" w:lineRule="auto"/>
        <w:rPr>
          <w:rFonts w:ascii="Sylfaen" w:eastAsia="Times New Roman" w:hAnsi="Sylfaen" w:cs="Times New Roman"/>
          <w:sz w:val="24"/>
          <w:szCs w:val="24"/>
        </w:rPr>
      </w:pPr>
    </w:p>
    <w:p w14:paraId="6E4CEEDE" w14:textId="77777777" w:rsidR="008C76E0" w:rsidRPr="00BD7577" w:rsidRDefault="008C76E0" w:rsidP="00007454">
      <w:pPr>
        <w:spacing w:after="160" w:line="360" w:lineRule="auto"/>
        <w:ind w:right="-1"/>
        <w:jc w:val="right"/>
        <w:rPr>
          <w:rFonts w:ascii="Sylfaen" w:hAnsi="Sylfaen"/>
          <w:sz w:val="24"/>
          <w:szCs w:val="24"/>
        </w:rPr>
      </w:pPr>
      <w:r w:rsidRPr="00BD7577">
        <w:rPr>
          <w:rFonts w:ascii="Sylfaen" w:hAnsi="Sylfaen"/>
          <w:sz w:val="24"/>
          <w:szCs w:val="24"/>
        </w:rPr>
        <w:t xml:space="preserve">Լրացում թիվ 1 </w:t>
      </w:r>
    </w:p>
    <w:p w14:paraId="18749FF4" w14:textId="77777777" w:rsidR="008C76E0" w:rsidRPr="00BD7577" w:rsidRDefault="008C76E0" w:rsidP="00007454">
      <w:pPr>
        <w:spacing w:after="160" w:line="360" w:lineRule="auto"/>
        <w:ind w:right="-1"/>
        <w:rPr>
          <w:rFonts w:ascii="Sylfaen" w:hAnsi="Sylfaen"/>
          <w:sz w:val="24"/>
          <w:szCs w:val="24"/>
        </w:rPr>
      </w:pPr>
      <w:r w:rsidRPr="00BD7577">
        <w:rPr>
          <w:rFonts w:ascii="Sylfaen" w:hAnsi="Sylfaen"/>
          <w:sz w:val="24"/>
          <w:szCs w:val="24"/>
        </w:rPr>
        <w:t>ԱԴԲՄՖ-ի բովանդակության ամփոփումը</w:t>
      </w:r>
    </w:p>
    <w:p w14:paraId="4D291D4B" w14:textId="77777777" w:rsidR="008C76E0" w:rsidRPr="00BD7577" w:rsidRDefault="008C76E0" w:rsidP="00007454">
      <w:pPr>
        <w:pStyle w:val="Tablecaption30"/>
        <w:shd w:val="clear" w:color="auto" w:fill="auto"/>
        <w:spacing w:after="160" w:line="360" w:lineRule="auto"/>
        <w:ind w:right="-1"/>
        <w:jc w:val="right"/>
        <w:rPr>
          <w:rFonts w:ascii="Sylfaen" w:hAnsi="Sylfaen"/>
          <w:sz w:val="24"/>
          <w:szCs w:val="24"/>
        </w:rPr>
      </w:pPr>
      <w:r w:rsidRPr="00BD7577">
        <w:rPr>
          <w:rFonts w:ascii="Sylfaen" w:hAnsi="Sylfaen"/>
          <w:sz w:val="24"/>
          <w:szCs w:val="24"/>
        </w:rPr>
        <w:t>Աղյուսակ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5352"/>
        <w:gridCol w:w="1416"/>
        <w:gridCol w:w="1368"/>
      </w:tblGrid>
      <w:tr w:rsidR="008C76E0" w:rsidRPr="00BD7577" w14:paraId="1832F02A" w14:textId="77777777" w:rsidTr="008C76E0">
        <w:trPr>
          <w:jc w:val="center"/>
        </w:trPr>
        <w:tc>
          <w:tcPr>
            <w:tcW w:w="1382" w:type="dxa"/>
            <w:tcBorders>
              <w:top w:val="single" w:sz="4" w:space="0" w:color="auto"/>
              <w:left w:val="single" w:sz="4" w:space="0" w:color="auto"/>
            </w:tcBorders>
            <w:shd w:val="clear" w:color="auto" w:fill="FFFFFF"/>
            <w:vAlign w:val="bottom"/>
          </w:tcPr>
          <w:p w14:paraId="3D55B54A" w14:textId="77777777" w:rsidR="008C76E0" w:rsidRPr="00BD7577" w:rsidRDefault="008C76E0" w:rsidP="008C76E0">
            <w:pPr>
              <w:pStyle w:val="Bodytext180"/>
              <w:shd w:val="clear" w:color="auto" w:fill="auto"/>
              <w:spacing w:before="0" w:after="120" w:line="240" w:lineRule="auto"/>
              <w:ind w:left="72" w:right="-1" w:firstLine="0"/>
              <w:jc w:val="center"/>
              <w:rPr>
                <w:rFonts w:ascii="Sylfaen" w:hAnsi="Sylfaen"/>
                <w:b w:val="0"/>
                <w:sz w:val="24"/>
                <w:szCs w:val="24"/>
              </w:rPr>
            </w:pPr>
            <w:r w:rsidRPr="00BD7577">
              <w:rPr>
                <w:rStyle w:val="Bodytext1811pt"/>
                <w:rFonts w:ascii="Sylfaen" w:hAnsi="Sylfaen"/>
                <w:sz w:val="24"/>
                <w:szCs w:val="24"/>
              </w:rPr>
              <w:t>Դոսյեի մոդուլի մաս</w:t>
            </w:r>
          </w:p>
        </w:tc>
        <w:tc>
          <w:tcPr>
            <w:tcW w:w="5352" w:type="dxa"/>
            <w:tcBorders>
              <w:top w:val="single" w:sz="4" w:space="0" w:color="auto"/>
              <w:left w:val="single" w:sz="4" w:space="0" w:color="auto"/>
            </w:tcBorders>
            <w:shd w:val="clear" w:color="auto" w:fill="FFFFFF"/>
            <w:vAlign w:val="center"/>
          </w:tcPr>
          <w:p w14:paraId="1C18B911" w14:textId="77777777" w:rsidR="008C76E0" w:rsidRPr="00BD7577" w:rsidRDefault="008C76E0" w:rsidP="008C76E0">
            <w:pPr>
              <w:pStyle w:val="Bodytext180"/>
              <w:shd w:val="clear" w:color="auto" w:fill="auto"/>
              <w:spacing w:before="0" w:after="120" w:line="240" w:lineRule="auto"/>
              <w:ind w:left="108" w:right="121" w:firstLine="0"/>
              <w:jc w:val="center"/>
              <w:rPr>
                <w:rFonts w:ascii="Sylfaen" w:hAnsi="Sylfaen"/>
                <w:b w:val="0"/>
                <w:sz w:val="24"/>
                <w:szCs w:val="24"/>
              </w:rPr>
            </w:pPr>
            <w:r w:rsidRPr="00BD7577">
              <w:rPr>
                <w:rStyle w:val="Bodytext1811pt"/>
                <w:rFonts w:ascii="Sylfaen" w:hAnsi="Sylfaen"/>
                <w:sz w:val="24"/>
                <w:szCs w:val="24"/>
              </w:rPr>
              <w:t>ԸՏՓ-ի ձ</w:t>
            </w:r>
            <w:r w:rsidR="00C54D75">
              <w:rPr>
                <w:rStyle w:val="Bodytext1811pt"/>
                <w:rFonts w:ascii="Sylfaen" w:hAnsi="Sylfaen"/>
                <w:sz w:val="24"/>
                <w:szCs w:val="24"/>
              </w:rPr>
              <w:t>և</w:t>
            </w:r>
            <w:r w:rsidRPr="00BD7577">
              <w:rPr>
                <w:rStyle w:val="Bodytext1811pt"/>
                <w:rFonts w:ascii="Sylfaen" w:hAnsi="Sylfaen"/>
                <w:sz w:val="24"/>
                <w:szCs w:val="24"/>
              </w:rPr>
              <w:t>աչափ</w:t>
            </w:r>
          </w:p>
        </w:tc>
        <w:tc>
          <w:tcPr>
            <w:tcW w:w="1416" w:type="dxa"/>
            <w:tcBorders>
              <w:top w:val="single" w:sz="4" w:space="0" w:color="auto"/>
              <w:left w:val="single" w:sz="4" w:space="0" w:color="auto"/>
            </w:tcBorders>
            <w:shd w:val="clear" w:color="auto" w:fill="FFFFFF"/>
          </w:tcPr>
          <w:p w14:paraId="7B808B34" w14:textId="03B5F545" w:rsidR="008C76E0" w:rsidRPr="00BD7577" w:rsidRDefault="0056496B" w:rsidP="008C76E0">
            <w:pPr>
              <w:pStyle w:val="Bodytext180"/>
              <w:shd w:val="clear" w:color="auto" w:fill="auto"/>
              <w:spacing w:before="0" w:after="120" w:line="240" w:lineRule="auto"/>
              <w:ind w:right="-1" w:firstLine="0"/>
              <w:jc w:val="center"/>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w:t>
            </w:r>
          </w:p>
        </w:tc>
        <w:tc>
          <w:tcPr>
            <w:tcW w:w="1368" w:type="dxa"/>
            <w:tcBorders>
              <w:top w:val="single" w:sz="4" w:space="0" w:color="auto"/>
              <w:left w:val="single" w:sz="4" w:space="0" w:color="auto"/>
              <w:right w:val="single" w:sz="4" w:space="0" w:color="auto"/>
            </w:tcBorders>
            <w:shd w:val="clear" w:color="auto" w:fill="FFFFFF"/>
          </w:tcPr>
          <w:p w14:paraId="0D69356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Փակ մաս</w:t>
            </w:r>
          </w:p>
        </w:tc>
      </w:tr>
      <w:tr w:rsidR="008C76E0" w:rsidRPr="00BD7577" w14:paraId="2A1726A1" w14:textId="77777777" w:rsidTr="008C76E0">
        <w:trPr>
          <w:jc w:val="center"/>
        </w:trPr>
        <w:tc>
          <w:tcPr>
            <w:tcW w:w="1382" w:type="dxa"/>
            <w:tcBorders>
              <w:top w:val="single" w:sz="4" w:space="0" w:color="auto"/>
            </w:tcBorders>
            <w:shd w:val="clear" w:color="auto" w:fill="FFFFFF"/>
          </w:tcPr>
          <w:p w14:paraId="753427C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w:t>
            </w:r>
          </w:p>
        </w:tc>
        <w:tc>
          <w:tcPr>
            <w:tcW w:w="5352" w:type="dxa"/>
            <w:tcBorders>
              <w:top w:val="single" w:sz="4" w:space="0" w:color="auto"/>
            </w:tcBorders>
            <w:shd w:val="clear" w:color="auto" w:fill="FFFFFF"/>
          </w:tcPr>
          <w:p w14:paraId="6CE65FF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Ընդհանուր տեղեկությունները</w:t>
            </w:r>
          </w:p>
        </w:tc>
        <w:tc>
          <w:tcPr>
            <w:tcW w:w="1416" w:type="dxa"/>
            <w:tcBorders>
              <w:top w:val="single" w:sz="4" w:space="0" w:color="auto"/>
            </w:tcBorders>
            <w:shd w:val="clear" w:color="auto" w:fill="FFFFFF"/>
          </w:tcPr>
          <w:p w14:paraId="5CFD92B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tcBorders>
              <w:top w:val="single" w:sz="4" w:space="0" w:color="auto"/>
            </w:tcBorders>
            <w:shd w:val="clear" w:color="auto" w:fill="FFFFFF"/>
          </w:tcPr>
          <w:p w14:paraId="06F2C25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EBACB36" w14:textId="77777777" w:rsidTr="008C76E0">
        <w:trPr>
          <w:jc w:val="center"/>
        </w:trPr>
        <w:tc>
          <w:tcPr>
            <w:tcW w:w="1382" w:type="dxa"/>
            <w:shd w:val="clear" w:color="auto" w:fill="FFFFFF"/>
            <w:vAlign w:val="center"/>
          </w:tcPr>
          <w:p w14:paraId="5531B4D8"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3.2.S.1.1</w:t>
            </w:r>
          </w:p>
        </w:tc>
        <w:tc>
          <w:tcPr>
            <w:tcW w:w="5352" w:type="dxa"/>
            <w:shd w:val="clear" w:color="auto" w:fill="FFFFFF"/>
            <w:vAlign w:val="center"/>
          </w:tcPr>
          <w:p w14:paraId="6EF3B1CF"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Անվանացանկը</w:t>
            </w:r>
          </w:p>
        </w:tc>
        <w:tc>
          <w:tcPr>
            <w:tcW w:w="1416" w:type="dxa"/>
            <w:shd w:val="clear" w:color="auto" w:fill="FFFFFF"/>
          </w:tcPr>
          <w:p w14:paraId="15F94F4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1862509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4D6FA1B" w14:textId="77777777" w:rsidTr="008C76E0">
        <w:trPr>
          <w:jc w:val="center"/>
        </w:trPr>
        <w:tc>
          <w:tcPr>
            <w:tcW w:w="1382" w:type="dxa"/>
            <w:shd w:val="clear" w:color="auto" w:fill="FFFFFF"/>
            <w:vAlign w:val="center"/>
          </w:tcPr>
          <w:p w14:paraId="2F1290F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3.2.S.1.2</w:t>
            </w:r>
          </w:p>
        </w:tc>
        <w:tc>
          <w:tcPr>
            <w:tcW w:w="5352" w:type="dxa"/>
            <w:shd w:val="clear" w:color="auto" w:fill="FFFFFF"/>
            <w:vAlign w:val="center"/>
          </w:tcPr>
          <w:p w14:paraId="7651007D"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Կառուցվածքը</w:t>
            </w:r>
          </w:p>
        </w:tc>
        <w:tc>
          <w:tcPr>
            <w:tcW w:w="1416" w:type="dxa"/>
            <w:shd w:val="clear" w:color="auto" w:fill="FFFFFF"/>
          </w:tcPr>
          <w:p w14:paraId="1C8CBFA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5EA180C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4D9D840" w14:textId="77777777" w:rsidTr="008C76E0">
        <w:trPr>
          <w:jc w:val="center"/>
        </w:trPr>
        <w:tc>
          <w:tcPr>
            <w:tcW w:w="1382" w:type="dxa"/>
            <w:shd w:val="clear" w:color="auto" w:fill="FFFFFF"/>
            <w:vAlign w:val="center"/>
          </w:tcPr>
          <w:p w14:paraId="7645E281"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3.2.S.1.3</w:t>
            </w:r>
          </w:p>
        </w:tc>
        <w:tc>
          <w:tcPr>
            <w:tcW w:w="5352" w:type="dxa"/>
            <w:shd w:val="clear" w:color="auto" w:fill="FFFFFF"/>
            <w:vAlign w:val="center"/>
          </w:tcPr>
          <w:p w14:paraId="720F631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Ընդհանուր հատկությունները</w:t>
            </w:r>
          </w:p>
        </w:tc>
        <w:tc>
          <w:tcPr>
            <w:tcW w:w="1416" w:type="dxa"/>
            <w:shd w:val="clear" w:color="auto" w:fill="FFFFFF"/>
          </w:tcPr>
          <w:p w14:paraId="5358C59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0FA1FFAA"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773C3B0" w14:textId="77777777" w:rsidTr="008C76E0">
        <w:trPr>
          <w:jc w:val="center"/>
        </w:trPr>
        <w:tc>
          <w:tcPr>
            <w:tcW w:w="1382" w:type="dxa"/>
            <w:shd w:val="clear" w:color="auto" w:fill="FFFFFF"/>
            <w:vAlign w:val="center"/>
          </w:tcPr>
          <w:p w14:paraId="4449F1A2"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w:t>
            </w:r>
          </w:p>
        </w:tc>
        <w:tc>
          <w:tcPr>
            <w:tcW w:w="5352" w:type="dxa"/>
            <w:shd w:val="clear" w:color="auto" w:fill="FFFFFF"/>
            <w:vAlign w:val="center"/>
          </w:tcPr>
          <w:p w14:paraId="63C79A48"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Արտադրությունը</w:t>
            </w:r>
          </w:p>
        </w:tc>
        <w:tc>
          <w:tcPr>
            <w:tcW w:w="1416" w:type="dxa"/>
            <w:shd w:val="clear" w:color="auto" w:fill="FFFFFF"/>
          </w:tcPr>
          <w:p w14:paraId="7B76B27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13A9782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r>
      <w:tr w:rsidR="008C76E0" w:rsidRPr="00BD7577" w14:paraId="48E6BD39" w14:textId="77777777" w:rsidTr="008C76E0">
        <w:trPr>
          <w:jc w:val="center"/>
        </w:trPr>
        <w:tc>
          <w:tcPr>
            <w:tcW w:w="1382" w:type="dxa"/>
            <w:shd w:val="clear" w:color="auto" w:fill="FFFFFF"/>
          </w:tcPr>
          <w:p w14:paraId="5F272E5F"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3.2.S.2.1</w:t>
            </w:r>
          </w:p>
        </w:tc>
        <w:tc>
          <w:tcPr>
            <w:tcW w:w="5352" w:type="dxa"/>
            <w:shd w:val="clear" w:color="auto" w:fill="FFFFFF"/>
            <w:vAlign w:val="bottom"/>
          </w:tcPr>
          <w:p w14:paraId="7D2AE0E1" w14:textId="77777777" w:rsidR="008C76E0" w:rsidRPr="00DD61E4" w:rsidRDefault="008C76E0" w:rsidP="008C76E0">
            <w:pPr>
              <w:pStyle w:val="Bodytext180"/>
              <w:shd w:val="clear" w:color="auto" w:fill="auto"/>
              <w:spacing w:before="0" w:after="120" w:line="240" w:lineRule="auto"/>
              <w:ind w:left="108" w:right="121" w:firstLine="0"/>
              <w:rPr>
                <w:rStyle w:val="Bodytext1811pt"/>
                <w:rFonts w:ascii="Sylfaen" w:hAnsi="Sylfaen"/>
                <w:sz w:val="24"/>
                <w:szCs w:val="24"/>
              </w:rPr>
            </w:pPr>
            <w:r w:rsidRPr="00BD7577">
              <w:rPr>
                <w:rStyle w:val="Bodytext1811pt"/>
                <w:rFonts w:ascii="Sylfaen" w:hAnsi="Sylfaen"/>
                <w:sz w:val="24"/>
                <w:szCs w:val="24"/>
              </w:rPr>
              <w:t xml:space="preserve">Արտադրողները (ներառյալ՝ ակտիվ դեղագործական բաղադրամասի արտադրության մեջ ներգրավված բոլոր ընկերությունները, այդ թվում՝ որակի հսկողության (ներարտադրական </w:t>
            </w:r>
            <w:r w:rsidRPr="00BD7577">
              <w:rPr>
                <w:rStyle w:val="Bodytext1811pt"/>
                <w:rFonts w:ascii="Sylfaen" w:hAnsi="Sylfaen"/>
                <w:sz w:val="24"/>
                <w:szCs w:val="24"/>
              </w:rPr>
              <w:lastRenderedPageBreak/>
              <w:t xml:space="preserve">փորձարկումների) հարթակները, միջանկյալ արտադրանքներ արտադրողները, մանրացման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մանրէազերծման հարթակները)</w:t>
            </w:r>
          </w:p>
          <w:p w14:paraId="710206EE" w14:textId="77777777" w:rsidR="008C76E0" w:rsidRPr="00DD61E4" w:rsidRDefault="008C76E0" w:rsidP="008C76E0">
            <w:pPr>
              <w:pStyle w:val="Bodytext180"/>
              <w:shd w:val="clear" w:color="auto" w:fill="auto"/>
              <w:spacing w:before="0" w:after="120" w:line="240" w:lineRule="auto"/>
              <w:ind w:left="108" w:right="121" w:firstLine="0"/>
              <w:rPr>
                <w:rFonts w:ascii="Sylfaen" w:hAnsi="Sylfaen"/>
                <w:b w:val="0"/>
                <w:sz w:val="24"/>
                <w:szCs w:val="24"/>
              </w:rPr>
            </w:pPr>
          </w:p>
        </w:tc>
        <w:tc>
          <w:tcPr>
            <w:tcW w:w="1416" w:type="dxa"/>
            <w:shd w:val="clear" w:color="auto" w:fill="FFFFFF"/>
          </w:tcPr>
          <w:p w14:paraId="75D0C79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lastRenderedPageBreak/>
              <w:t>x</w:t>
            </w:r>
          </w:p>
        </w:tc>
        <w:tc>
          <w:tcPr>
            <w:tcW w:w="1368" w:type="dxa"/>
            <w:shd w:val="clear" w:color="auto" w:fill="FFFFFF"/>
          </w:tcPr>
          <w:p w14:paraId="658560F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F7369F1" w14:textId="77777777" w:rsidTr="008C76E0">
        <w:trPr>
          <w:jc w:val="center"/>
        </w:trPr>
        <w:tc>
          <w:tcPr>
            <w:tcW w:w="1382" w:type="dxa"/>
            <w:shd w:val="clear" w:color="auto" w:fill="FFFFFF"/>
          </w:tcPr>
          <w:p w14:paraId="56F6227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3.2.S.2.2</w:t>
            </w:r>
          </w:p>
        </w:tc>
        <w:tc>
          <w:tcPr>
            <w:tcW w:w="5352" w:type="dxa"/>
            <w:shd w:val="clear" w:color="auto" w:fill="FFFFFF"/>
            <w:vAlign w:val="center"/>
          </w:tcPr>
          <w:p w14:paraId="3B94817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Արտադրության գործընթացի </w:t>
            </w:r>
            <w:r w:rsidR="00C54D75">
              <w:rPr>
                <w:rStyle w:val="Bodytext1811pt"/>
                <w:rFonts w:ascii="Sylfaen" w:hAnsi="Sylfaen"/>
                <w:sz w:val="24"/>
                <w:szCs w:val="24"/>
              </w:rPr>
              <w:t>և</w:t>
            </w:r>
            <w:r w:rsidRPr="00BD7577">
              <w:rPr>
                <w:rStyle w:val="Bodytext1811pt"/>
                <w:rFonts w:ascii="Sylfaen" w:hAnsi="Sylfaen"/>
                <w:sz w:val="24"/>
                <w:szCs w:val="24"/>
              </w:rPr>
              <w:t xml:space="preserve"> դրա հսկողության նկարագրությունը</w:t>
            </w:r>
          </w:p>
        </w:tc>
        <w:tc>
          <w:tcPr>
            <w:tcW w:w="1416" w:type="dxa"/>
            <w:shd w:val="clear" w:color="auto" w:fill="FFFFFF"/>
          </w:tcPr>
          <w:p w14:paraId="4B36F34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1</w:t>
            </w:r>
          </w:p>
        </w:tc>
        <w:tc>
          <w:tcPr>
            <w:tcW w:w="1368" w:type="dxa"/>
            <w:shd w:val="clear" w:color="auto" w:fill="FFFFFF"/>
          </w:tcPr>
          <w:p w14:paraId="162047E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2</w:t>
            </w:r>
          </w:p>
        </w:tc>
      </w:tr>
      <w:tr w:rsidR="008C76E0" w:rsidRPr="00BD7577" w14:paraId="3E2A3AE1" w14:textId="77777777" w:rsidTr="008C76E0">
        <w:trPr>
          <w:jc w:val="center"/>
        </w:trPr>
        <w:tc>
          <w:tcPr>
            <w:tcW w:w="1382" w:type="dxa"/>
            <w:shd w:val="clear" w:color="auto" w:fill="FFFFFF"/>
            <w:vAlign w:val="center"/>
          </w:tcPr>
          <w:p w14:paraId="39B43A8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3.2.S.2.3</w:t>
            </w:r>
          </w:p>
        </w:tc>
        <w:tc>
          <w:tcPr>
            <w:tcW w:w="5352" w:type="dxa"/>
            <w:shd w:val="clear" w:color="auto" w:fill="FFFFFF"/>
            <w:vAlign w:val="center"/>
          </w:tcPr>
          <w:p w14:paraId="52358616"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Նյութերի հսկողությունը</w:t>
            </w:r>
          </w:p>
        </w:tc>
        <w:tc>
          <w:tcPr>
            <w:tcW w:w="1416" w:type="dxa"/>
            <w:shd w:val="clear" w:color="auto" w:fill="FFFFFF"/>
          </w:tcPr>
          <w:p w14:paraId="6A65D34E"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5F6844F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7ABB8E6A" w14:textId="77777777" w:rsidTr="008C76E0">
        <w:trPr>
          <w:jc w:val="center"/>
        </w:trPr>
        <w:tc>
          <w:tcPr>
            <w:tcW w:w="1382" w:type="dxa"/>
            <w:shd w:val="clear" w:color="auto" w:fill="FFFFFF"/>
          </w:tcPr>
          <w:p w14:paraId="75219557"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3.2.S.2.4</w:t>
            </w:r>
          </w:p>
        </w:tc>
        <w:tc>
          <w:tcPr>
            <w:tcW w:w="5352" w:type="dxa"/>
            <w:shd w:val="clear" w:color="auto" w:fill="FFFFFF"/>
          </w:tcPr>
          <w:p w14:paraId="246B0F0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Կրիտիկական փուլերի </w:t>
            </w:r>
            <w:r w:rsidR="00C54D75">
              <w:rPr>
                <w:rStyle w:val="Bodytext1811pt"/>
                <w:rFonts w:ascii="Sylfaen" w:hAnsi="Sylfaen"/>
                <w:sz w:val="24"/>
                <w:szCs w:val="24"/>
              </w:rPr>
              <w:t>և</w:t>
            </w:r>
            <w:r w:rsidRPr="00BD7577">
              <w:rPr>
                <w:rStyle w:val="Bodytext1811pt"/>
                <w:rFonts w:ascii="Sylfaen" w:hAnsi="Sylfaen"/>
                <w:sz w:val="24"/>
                <w:szCs w:val="24"/>
              </w:rPr>
              <w:t xml:space="preserve"> միջանկյալ արտադրանքների հսկողությունը</w:t>
            </w:r>
          </w:p>
        </w:tc>
        <w:tc>
          <w:tcPr>
            <w:tcW w:w="1416" w:type="dxa"/>
            <w:shd w:val="clear" w:color="auto" w:fill="FFFFFF"/>
          </w:tcPr>
          <w:p w14:paraId="3A2BA8D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3</w:t>
            </w:r>
          </w:p>
        </w:tc>
        <w:tc>
          <w:tcPr>
            <w:tcW w:w="1368" w:type="dxa"/>
            <w:shd w:val="clear" w:color="auto" w:fill="FFFFFF"/>
          </w:tcPr>
          <w:p w14:paraId="37F986F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4</w:t>
            </w:r>
          </w:p>
        </w:tc>
      </w:tr>
      <w:tr w:rsidR="008C76E0" w:rsidRPr="00BD7577" w14:paraId="65E5519D" w14:textId="77777777" w:rsidTr="008C76E0">
        <w:trPr>
          <w:jc w:val="center"/>
        </w:trPr>
        <w:tc>
          <w:tcPr>
            <w:tcW w:w="1382" w:type="dxa"/>
            <w:shd w:val="clear" w:color="auto" w:fill="FFFFFF"/>
            <w:vAlign w:val="center"/>
          </w:tcPr>
          <w:p w14:paraId="08536CC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3.2.S.2.5</w:t>
            </w:r>
          </w:p>
        </w:tc>
        <w:tc>
          <w:tcPr>
            <w:tcW w:w="5352" w:type="dxa"/>
            <w:shd w:val="clear" w:color="auto" w:fill="FFFFFF"/>
            <w:vAlign w:val="center"/>
          </w:tcPr>
          <w:p w14:paraId="0381A45B"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Գործընթացի վալիդացումը </w:t>
            </w:r>
            <w:r w:rsidR="00C54D75">
              <w:rPr>
                <w:rStyle w:val="Bodytext1811pt"/>
                <w:rFonts w:ascii="Sylfaen" w:hAnsi="Sylfaen"/>
                <w:sz w:val="24"/>
                <w:szCs w:val="24"/>
              </w:rPr>
              <w:t>և</w:t>
            </w:r>
            <w:r w:rsidRPr="00BD7577">
              <w:rPr>
                <w:rStyle w:val="Bodytext1811pt"/>
                <w:rFonts w:ascii="Sylfaen" w:hAnsi="Sylfaen"/>
                <w:sz w:val="24"/>
                <w:szCs w:val="24"/>
              </w:rPr>
              <w:t xml:space="preserve"> (կամ) գնահատումը</w:t>
            </w:r>
          </w:p>
        </w:tc>
        <w:tc>
          <w:tcPr>
            <w:tcW w:w="1416" w:type="dxa"/>
            <w:shd w:val="clear" w:color="auto" w:fill="FFFFFF"/>
          </w:tcPr>
          <w:p w14:paraId="1F8AED29"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2FB8F6E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475A55F4" w14:textId="77777777" w:rsidTr="008C76E0">
        <w:trPr>
          <w:jc w:val="center"/>
        </w:trPr>
        <w:tc>
          <w:tcPr>
            <w:tcW w:w="1382" w:type="dxa"/>
            <w:shd w:val="clear" w:color="auto" w:fill="FFFFFF"/>
            <w:vAlign w:val="center"/>
          </w:tcPr>
          <w:p w14:paraId="2978CF60"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3.2.S.2.6</w:t>
            </w:r>
          </w:p>
        </w:tc>
        <w:tc>
          <w:tcPr>
            <w:tcW w:w="5352" w:type="dxa"/>
            <w:shd w:val="clear" w:color="auto" w:fill="FFFFFF"/>
            <w:vAlign w:val="center"/>
          </w:tcPr>
          <w:p w14:paraId="1AB85977"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Արտադրական գործընթացի մշակումը</w:t>
            </w:r>
          </w:p>
        </w:tc>
        <w:tc>
          <w:tcPr>
            <w:tcW w:w="1416" w:type="dxa"/>
            <w:shd w:val="clear" w:color="auto" w:fill="FFFFFF"/>
          </w:tcPr>
          <w:p w14:paraId="2D4CD790"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77F6850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79545F94" w14:textId="77777777" w:rsidTr="008C76E0">
        <w:trPr>
          <w:jc w:val="center"/>
        </w:trPr>
        <w:tc>
          <w:tcPr>
            <w:tcW w:w="1382" w:type="dxa"/>
            <w:shd w:val="clear" w:color="auto" w:fill="FFFFFF"/>
            <w:vAlign w:val="center"/>
          </w:tcPr>
          <w:p w14:paraId="6FA04795"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w:t>
            </w:r>
          </w:p>
        </w:tc>
        <w:tc>
          <w:tcPr>
            <w:tcW w:w="5352" w:type="dxa"/>
            <w:shd w:val="clear" w:color="auto" w:fill="FFFFFF"/>
            <w:vAlign w:val="center"/>
          </w:tcPr>
          <w:p w14:paraId="72E70614"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Հատկությունների նկարագրությունը</w:t>
            </w:r>
          </w:p>
        </w:tc>
        <w:tc>
          <w:tcPr>
            <w:tcW w:w="1416" w:type="dxa"/>
            <w:shd w:val="clear" w:color="auto" w:fill="FFFFFF"/>
          </w:tcPr>
          <w:p w14:paraId="23E11D4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0E2D4247"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5981937" w14:textId="77777777" w:rsidTr="008C76E0">
        <w:trPr>
          <w:jc w:val="center"/>
        </w:trPr>
        <w:tc>
          <w:tcPr>
            <w:tcW w:w="1382" w:type="dxa"/>
            <w:shd w:val="clear" w:color="auto" w:fill="FFFFFF"/>
            <w:vAlign w:val="center"/>
          </w:tcPr>
          <w:p w14:paraId="34E39D0A"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3.2.S.3.1</w:t>
            </w:r>
          </w:p>
        </w:tc>
        <w:tc>
          <w:tcPr>
            <w:tcW w:w="5352" w:type="dxa"/>
            <w:shd w:val="clear" w:color="auto" w:fill="FFFFFF"/>
            <w:vAlign w:val="center"/>
          </w:tcPr>
          <w:p w14:paraId="1B0C4E3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Կառուցվածքի </w:t>
            </w:r>
            <w:r w:rsidR="00C54D75">
              <w:rPr>
                <w:rStyle w:val="Bodytext1811pt"/>
                <w:rFonts w:ascii="Sylfaen" w:hAnsi="Sylfaen"/>
                <w:sz w:val="24"/>
                <w:szCs w:val="24"/>
              </w:rPr>
              <w:t>և</w:t>
            </w:r>
            <w:r w:rsidRPr="00BD7577">
              <w:rPr>
                <w:rStyle w:val="Bodytext1811pt"/>
                <w:rFonts w:ascii="Sylfaen" w:hAnsi="Sylfaen"/>
                <w:sz w:val="24"/>
                <w:szCs w:val="24"/>
              </w:rPr>
              <w:t xml:space="preserve"> այլ բնութագրերի սահմանումը</w:t>
            </w:r>
          </w:p>
        </w:tc>
        <w:tc>
          <w:tcPr>
            <w:tcW w:w="1416" w:type="dxa"/>
            <w:shd w:val="clear" w:color="auto" w:fill="FFFFFF"/>
          </w:tcPr>
          <w:p w14:paraId="4222708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3E44846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5016D1C" w14:textId="77777777" w:rsidTr="008C76E0">
        <w:trPr>
          <w:jc w:val="center"/>
        </w:trPr>
        <w:tc>
          <w:tcPr>
            <w:tcW w:w="1382" w:type="dxa"/>
            <w:shd w:val="clear" w:color="auto" w:fill="FFFFFF"/>
          </w:tcPr>
          <w:p w14:paraId="170C3CDB"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3.2.S.3.2</w:t>
            </w:r>
          </w:p>
        </w:tc>
        <w:tc>
          <w:tcPr>
            <w:tcW w:w="5352" w:type="dxa"/>
            <w:shd w:val="clear" w:color="auto" w:fill="FFFFFF"/>
          </w:tcPr>
          <w:p w14:paraId="4B876A49"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Խառնուկները</w:t>
            </w:r>
          </w:p>
        </w:tc>
        <w:tc>
          <w:tcPr>
            <w:tcW w:w="1416" w:type="dxa"/>
            <w:shd w:val="clear" w:color="auto" w:fill="FFFFFF"/>
          </w:tcPr>
          <w:p w14:paraId="25054C5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574F371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5</w:t>
            </w:r>
          </w:p>
        </w:tc>
      </w:tr>
      <w:tr w:rsidR="008C76E0" w:rsidRPr="00BD7577" w14:paraId="5E363ED8" w14:textId="77777777" w:rsidTr="008C76E0">
        <w:trPr>
          <w:jc w:val="center"/>
        </w:trPr>
        <w:tc>
          <w:tcPr>
            <w:tcW w:w="1382" w:type="dxa"/>
            <w:shd w:val="clear" w:color="auto" w:fill="FFFFFF"/>
            <w:vAlign w:val="center"/>
          </w:tcPr>
          <w:p w14:paraId="72C39965"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w:t>
            </w:r>
          </w:p>
        </w:tc>
        <w:tc>
          <w:tcPr>
            <w:tcW w:w="5352" w:type="dxa"/>
            <w:shd w:val="clear" w:color="auto" w:fill="FFFFFF"/>
            <w:vAlign w:val="center"/>
          </w:tcPr>
          <w:p w14:paraId="54E0A9C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Դեղագործական բաղադրամասի որակի հսկողությունը</w:t>
            </w:r>
          </w:p>
        </w:tc>
        <w:tc>
          <w:tcPr>
            <w:tcW w:w="1416" w:type="dxa"/>
            <w:shd w:val="clear" w:color="auto" w:fill="FFFFFF"/>
          </w:tcPr>
          <w:p w14:paraId="49DF3640"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3311D1B"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B014E30" w14:textId="77777777" w:rsidTr="008C76E0">
        <w:trPr>
          <w:jc w:val="center"/>
        </w:trPr>
        <w:tc>
          <w:tcPr>
            <w:tcW w:w="1382" w:type="dxa"/>
            <w:shd w:val="clear" w:color="auto" w:fill="FFFFFF"/>
            <w:vAlign w:val="center"/>
          </w:tcPr>
          <w:p w14:paraId="6215BA7C"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3.2.S.4.1</w:t>
            </w:r>
          </w:p>
        </w:tc>
        <w:tc>
          <w:tcPr>
            <w:tcW w:w="5352" w:type="dxa"/>
            <w:shd w:val="clear" w:color="auto" w:fill="FFFFFF"/>
            <w:vAlign w:val="center"/>
          </w:tcPr>
          <w:p w14:paraId="76A014F7"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Մասնագիրը</w:t>
            </w:r>
          </w:p>
        </w:tc>
        <w:tc>
          <w:tcPr>
            <w:tcW w:w="1416" w:type="dxa"/>
            <w:shd w:val="clear" w:color="auto" w:fill="FFFFFF"/>
          </w:tcPr>
          <w:p w14:paraId="7651337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2430B0F4"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A053A85" w14:textId="77777777" w:rsidTr="008C76E0">
        <w:trPr>
          <w:jc w:val="center"/>
        </w:trPr>
        <w:tc>
          <w:tcPr>
            <w:tcW w:w="1382" w:type="dxa"/>
            <w:shd w:val="clear" w:color="auto" w:fill="FFFFFF"/>
            <w:vAlign w:val="center"/>
          </w:tcPr>
          <w:p w14:paraId="7C218790"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3.2.S.4.2</w:t>
            </w:r>
          </w:p>
        </w:tc>
        <w:tc>
          <w:tcPr>
            <w:tcW w:w="5352" w:type="dxa"/>
            <w:shd w:val="clear" w:color="auto" w:fill="FFFFFF"/>
            <w:vAlign w:val="center"/>
          </w:tcPr>
          <w:p w14:paraId="2D5A9088"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Վերլուծական մեթոդիկաները</w:t>
            </w:r>
          </w:p>
        </w:tc>
        <w:tc>
          <w:tcPr>
            <w:tcW w:w="1416" w:type="dxa"/>
            <w:shd w:val="clear" w:color="auto" w:fill="FFFFFF"/>
          </w:tcPr>
          <w:p w14:paraId="0667769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4A3C654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E009BE0" w14:textId="77777777" w:rsidTr="008C76E0">
        <w:trPr>
          <w:jc w:val="center"/>
        </w:trPr>
        <w:tc>
          <w:tcPr>
            <w:tcW w:w="1382" w:type="dxa"/>
            <w:shd w:val="clear" w:color="auto" w:fill="FFFFFF"/>
            <w:vAlign w:val="center"/>
          </w:tcPr>
          <w:p w14:paraId="05A2B3DF"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3.2.S.4.3</w:t>
            </w:r>
          </w:p>
        </w:tc>
        <w:tc>
          <w:tcPr>
            <w:tcW w:w="5352" w:type="dxa"/>
            <w:shd w:val="clear" w:color="auto" w:fill="FFFFFF"/>
            <w:vAlign w:val="center"/>
          </w:tcPr>
          <w:p w14:paraId="4DDB244A"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Վերլուծական մեթոդիկաների վալիդացումը</w:t>
            </w:r>
          </w:p>
        </w:tc>
        <w:tc>
          <w:tcPr>
            <w:tcW w:w="1416" w:type="dxa"/>
            <w:shd w:val="clear" w:color="auto" w:fill="FFFFFF"/>
          </w:tcPr>
          <w:p w14:paraId="6B0C002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466EA6C5"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A8BC1A5" w14:textId="77777777" w:rsidTr="008C76E0">
        <w:trPr>
          <w:jc w:val="center"/>
        </w:trPr>
        <w:tc>
          <w:tcPr>
            <w:tcW w:w="1382" w:type="dxa"/>
            <w:shd w:val="clear" w:color="auto" w:fill="FFFFFF"/>
            <w:vAlign w:val="center"/>
          </w:tcPr>
          <w:p w14:paraId="18689EB8"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3.2.S.4.4</w:t>
            </w:r>
          </w:p>
        </w:tc>
        <w:tc>
          <w:tcPr>
            <w:tcW w:w="5352" w:type="dxa"/>
            <w:shd w:val="clear" w:color="auto" w:fill="FFFFFF"/>
            <w:vAlign w:val="center"/>
          </w:tcPr>
          <w:p w14:paraId="009DB11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Սերիաների անալիզը</w:t>
            </w:r>
          </w:p>
        </w:tc>
        <w:tc>
          <w:tcPr>
            <w:tcW w:w="1416" w:type="dxa"/>
            <w:shd w:val="clear" w:color="auto" w:fill="FFFFFF"/>
          </w:tcPr>
          <w:p w14:paraId="3CA08F2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76A1DC4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139B1D" w14:textId="77777777" w:rsidTr="008C76E0">
        <w:trPr>
          <w:jc w:val="center"/>
        </w:trPr>
        <w:tc>
          <w:tcPr>
            <w:tcW w:w="1382" w:type="dxa"/>
            <w:shd w:val="clear" w:color="auto" w:fill="FFFFFF"/>
            <w:vAlign w:val="center"/>
          </w:tcPr>
          <w:p w14:paraId="1E909F8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3.2.S.4.5</w:t>
            </w:r>
          </w:p>
        </w:tc>
        <w:tc>
          <w:tcPr>
            <w:tcW w:w="5352" w:type="dxa"/>
            <w:shd w:val="clear" w:color="auto" w:fill="FFFFFF"/>
            <w:vAlign w:val="center"/>
          </w:tcPr>
          <w:p w14:paraId="2D45981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Մասնագրի հիմնավորումը</w:t>
            </w:r>
          </w:p>
        </w:tc>
        <w:tc>
          <w:tcPr>
            <w:tcW w:w="1416" w:type="dxa"/>
            <w:shd w:val="clear" w:color="auto" w:fill="FFFFFF"/>
          </w:tcPr>
          <w:p w14:paraId="61E7DF0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764E0D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6</w:t>
            </w:r>
          </w:p>
        </w:tc>
      </w:tr>
      <w:tr w:rsidR="008C76E0" w:rsidRPr="00BD7577" w14:paraId="02D9B111" w14:textId="77777777" w:rsidTr="008C76E0">
        <w:trPr>
          <w:jc w:val="center"/>
        </w:trPr>
        <w:tc>
          <w:tcPr>
            <w:tcW w:w="1382" w:type="dxa"/>
            <w:shd w:val="clear" w:color="auto" w:fill="FFFFFF"/>
            <w:vAlign w:val="center"/>
          </w:tcPr>
          <w:p w14:paraId="4F3261AE"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3.2.S.5</w:t>
            </w:r>
          </w:p>
        </w:tc>
        <w:tc>
          <w:tcPr>
            <w:tcW w:w="5352" w:type="dxa"/>
            <w:shd w:val="clear" w:color="auto" w:fill="FFFFFF"/>
            <w:vAlign w:val="center"/>
          </w:tcPr>
          <w:p w14:paraId="5ADA2840"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Ստանդարտ նմուշները </w:t>
            </w:r>
            <w:r w:rsidR="00C54D75">
              <w:rPr>
                <w:rStyle w:val="Bodytext1811pt"/>
                <w:rFonts w:ascii="Sylfaen" w:hAnsi="Sylfaen"/>
                <w:sz w:val="24"/>
                <w:szCs w:val="24"/>
              </w:rPr>
              <w:t>և</w:t>
            </w:r>
            <w:r w:rsidRPr="00BD7577">
              <w:rPr>
                <w:rStyle w:val="Bodytext1811pt"/>
                <w:rFonts w:ascii="Sylfaen" w:hAnsi="Sylfaen"/>
                <w:sz w:val="24"/>
                <w:szCs w:val="24"/>
              </w:rPr>
              <w:t xml:space="preserve"> նյութերը</w:t>
            </w:r>
          </w:p>
        </w:tc>
        <w:tc>
          <w:tcPr>
            <w:tcW w:w="1416" w:type="dxa"/>
            <w:shd w:val="clear" w:color="auto" w:fill="FFFFFF"/>
          </w:tcPr>
          <w:p w14:paraId="7E47097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06443CB5"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60E2CC" w14:textId="77777777" w:rsidTr="008C76E0">
        <w:trPr>
          <w:jc w:val="center"/>
        </w:trPr>
        <w:tc>
          <w:tcPr>
            <w:tcW w:w="1382" w:type="dxa"/>
            <w:shd w:val="clear" w:color="auto" w:fill="FFFFFF"/>
          </w:tcPr>
          <w:p w14:paraId="746A8D5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3.2.S.6</w:t>
            </w:r>
          </w:p>
        </w:tc>
        <w:tc>
          <w:tcPr>
            <w:tcW w:w="5352" w:type="dxa"/>
            <w:shd w:val="clear" w:color="auto" w:fill="FFFFFF"/>
          </w:tcPr>
          <w:p w14:paraId="36BC932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Փաթեթավորման-խցանափակման համակարգը</w:t>
            </w:r>
          </w:p>
        </w:tc>
        <w:tc>
          <w:tcPr>
            <w:tcW w:w="1416" w:type="dxa"/>
            <w:shd w:val="clear" w:color="auto" w:fill="FFFFFF"/>
          </w:tcPr>
          <w:p w14:paraId="7B671703"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3CEABCF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479BB9E4" w14:textId="77777777" w:rsidTr="008C76E0">
        <w:trPr>
          <w:jc w:val="center"/>
        </w:trPr>
        <w:tc>
          <w:tcPr>
            <w:tcW w:w="1382" w:type="dxa"/>
            <w:shd w:val="clear" w:color="auto" w:fill="FFFFFF"/>
            <w:vAlign w:val="center"/>
          </w:tcPr>
          <w:p w14:paraId="63E95804"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3.2.S.7</w:t>
            </w:r>
          </w:p>
        </w:tc>
        <w:tc>
          <w:tcPr>
            <w:tcW w:w="5352" w:type="dxa"/>
            <w:shd w:val="clear" w:color="auto" w:fill="FFFFFF"/>
            <w:vAlign w:val="center"/>
          </w:tcPr>
          <w:p w14:paraId="09E27C3B"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Կայունությունը</w:t>
            </w:r>
          </w:p>
        </w:tc>
        <w:tc>
          <w:tcPr>
            <w:tcW w:w="1416" w:type="dxa"/>
            <w:shd w:val="clear" w:color="auto" w:fill="FFFFFF"/>
          </w:tcPr>
          <w:p w14:paraId="50C490B1"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FEFA50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0D64E8" w14:textId="77777777" w:rsidTr="008C76E0">
        <w:trPr>
          <w:jc w:val="center"/>
        </w:trPr>
        <w:tc>
          <w:tcPr>
            <w:tcW w:w="1382" w:type="dxa"/>
            <w:shd w:val="clear" w:color="auto" w:fill="FFFFFF"/>
            <w:vAlign w:val="center"/>
          </w:tcPr>
          <w:p w14:paraId="3C373552" w14:textId="77777777" w:rsidR="008C76E0" w:rsidRPr="00BD7577" w:rsidRDefault="008C76E0" w:rsidP="008C76E0">
            <w:pPr>
              <w:pStyle w:val="Bodytext180"/>
              <w:shd w:val="clear" w:color="auto" w:fill="auto"/>
              <w:spacing w:before="0" w:after="120" w:line="240" w:lineRule="auto"/>
              <w:ind w:left="72" w:right="-1" w:firstLine="0"/>
              <w:jc w:val="both"/>
              <w:rPr>
                <w:rStyle w:val="Bodytext1811pt"/>
                <w:rFonts w:ascii="Sylfaen" w:hAnsi="Sylfaen"/>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.7.1</w:t>
            </w:r>
          </w:p>
        </w:tc>
        <w:tc>
          <w:tcPr>
            <w:tcW w:w="5352" w:type="dxa"/>
            <w:shd w:val="clear" w:color="auto" w:fill="FFFFFF"/>
            <w:vAlign w:val="center"/>
          </w:tcPr>
          <w:p w14:paraId="2D056E4C" w14:textId="77777777" w:rsidR="008C76E0" w:rsidRPr="00BD7577" w:rsidRDefault="008C76E0" w:rsidP="008C76E0">
            <w:pPr>
              <w:pStyle w:val="Tableofcontents120"/>
              <w:shd w:val="clear" w:color="auto" w:fill="auto"/>
              <w:spacing w:after="120" w:line="240" w:lineRule="auto"/>
              <w:ind w:left="108" w:right="121" w:firstLine="0"/>
              <w:jc w:val="left"/>
              <w:rPr>
                <w:rStyle w:val="Bodytext1811pt"/>
                <w:rFonts w:ascii="Sylfaen" w:hAnsi="Sylfaen"/>
                <w:sz w:val="24"/>
                <w:szCs w:val="24"/>
              </w:rPr>
            </w:pPr>
            <w:r w:rsidRPr="008C76E0">
              <w:rPr>
                <w:rFonts w:ascii="Sylfaen" w:hAnsi="Sylfaen"/>
                <w:b w:val="0"/>
                <w:sz w:val="24"/>
                <w:szCs w:val="24"/>
                <w:lang w:val="hy-AM"/>
              </w:rPr>
              <w:t xml:space="preserve">Կայունության վերաբերյալ ռեզյումեն </w:t>
            </w:r>
            <w:r w:rsidR="00C54D75">
              <w:rPr>
                <w:rFonts w:ascii="Sylfaen" w:hAnsi="Sylfaen"/>
                <w:b w:val="0"/>
                <w:sz w:val="24"/>
                <w:szCs w:val="24"/>
                <w:lang w:val="hy-AM"/>
              </w:rPr>
              <w:t>և</w:t>
            </w:r>
            <w:r w:rsidRPr="008C76E0">
              <w:rPr>
                <w:rFonts w:ascii="Sylfaen" w:hAnsi="Sylfaen"/>
                <w:b w:val="0"/>
                <w:sz w:val="24"/>
                <w:szCs w:val="24"/>
                <w:lang w:val="hy-AM"/>
              </w:rPr>
              <w:t xml:space="preserve"> եզրակացությունը </w:t>
            </w:r>
          </w:p>
        </w:tc>
        <w:tc>
          <w:tcPr>
            <w:tcW w:w="1416" w:type="dxa"/>
            <w:shd w:val="clear" w:color="auto" w:fill="FFFFFF"/>
          </w:tcPr>
          <w:p w14:paraId="4465157A" w14:textId="77777777" w:rsidR="008C76E0" w:rsidRPr="00BD7577" w:rsidRDefault="008C76E0" w:rsidP="008C76E0">
            <w:pPr>
              <w:pStyle w:val="Bodytext180"/>
              <w:shd w:val="clear" w:color="auto" w:fill="auto"/>
              <w:spacing w:before="0" w:after="120" w:line="240" w:lineRule="auto"/>
              <w:ind w:right="-1" w:firstLine="0"/>
              <w:jc w:val="center"/>
              <w:rPr>
                <w:rStyle w:val="Bodytext18BookmanOldStyle"/>
                <w:rFonts w:ascii="Sylfaen" w:hAnsi="Sylfaen"/>
                <w:sz w:val="24"/>
                <w:szCs w:val="24"/>
              </w:rPr>
            </w:pPr>
            <w:r w:rsidRPr="00BD7577">
              <w:rPr>
                <w:rFonts w:ascii="Sylfaen" w:hAnsi="Sylfaen"/>
                <w:b w:val="0"/>
                <w:sz w:val="24"/>
                <w:szCs w:val="24"/>
              </w:rPr>
              <w:t>х</w:t>
            </w:r>
          </w:p>
        </w:tc>
        <w:tc>
          <w:tcPr>
            <w:tcW w:w="1368" w:type="dxa"/>
            <w:shd w:val="clear" w:color="auto" w:fill="FFFFFF"/>
          </w:tcPr>
          <w:p w14:paraId="74F5C82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3C0891F" w14:textId="77777777" w:rsidTr="008C76E0">
        <w:trPr>
          <w:jc w:val="center"/>
        </w:trPr>
        <w:tc>
          <w:tcPr>
            <w:tcW w:w="1382" w:type="dxa"/>
            <w:shd w:val="clear" w:color="auto" w:fill="FFFFFF"/>
            <w:vAlign w:val="center"/>
          </w:tcPr>
          <w:p w14:paraId="60E4C3D0" w14:textId="77777777" w:rsidR="008C76E0" w:rsidRPr="00BD7577" w:rsidRDefault="008C76E0" w:rsidP="008C76E0">
            <w:pPr>
              <w:pStyle w:val="Bodytext180"/>
              <w:shd w:val="clear" w:color="auto" w:fill="auto"/>
              <w:spacing w:before="0" w:after="120" w:line="240" w:lineRule="auto"/>
              <w:ind w:left="72" w:right="-1" w:firstLine="0"/>
              <w:jc w:val="both"/>
              <w:rPr>
                <w:rStyle w:val="Bodytext1811pt"/>
                <w:rFonts w:ascii="Sylfaen" w:hAnsi="Sylfaen"/>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.7.2</w:t>
            </w:r>
          </w:p>
        </w:tc>
        <w:tc>
          <w:tcPr>
            <w:tcW w:w="5352" w:type="dxa"/>
            <w:shd w:val="clear" w:color="auto" w:fill="FFFFFF"/>
            <w:vAlign w:val="center"/>
          </w:tcPr>
          <w:p w14:paraId="4338F0DB" w14:textId="77777777" w:rsidR="008C76E0" w:rsidRPr="00BD7577" w:rsidRDefault="008C76E0" w:rsidP="008C76E0">
            <w:pPr>
              <w:pStyle w:val="Tableofcontents120"/>
              <w:shd w:val="clear" w:color="auto" w:fill="auto"/>
              <w:spacing w:after="120" w:line="240" w:lineRule="auto"/>
              <w:ind w:left="108" w:right="121" w:firstLine="0"/>
              <w:jc w:val="left"/>
              <w:rPr>
                <w:rStyle w:val="Bodytext1811pt"/>
                <w:rFonts w:ascii="Sylfaen" w:hAnsi="Sylfaen"/>
                <w:sz w:val="24"/>
                <w:szCs w:val="24"/>
              </w:rPr>
            </w:pPr>
            <w:r w:rsidRPr="008C76E0">
              <w:rPr>
                <w:rFonts w:ascii="Sylfaen" w:hAnsi="Sylfaen"/>
                <w:b w:val="0"/>
                <w:sz w:val="24"/>
                <w:szCs w:val="24"/>
                <w:lang w:val="hy-AM"/>
              </w:rPr>
              <w:t xml:space="preserve">Կայունության հետգրանցումային արձանագրությունը </w:t>
            </w:r>
            <w:r w:rsidR="00C54D75">
              <w:rPr>
                <w:rFonts w:ascii="Sylfaen" w:hAnsi="Sylfaen"/>
                <w:b w:val="0"/>
                <w:sz w:val="24"/>
                <w:szCs w:val="24"/>
                <w:lang w:val="hy-AM"/>
              </w:rPr>
              <w:t>և</w:t>
            </w:r>
            <w:r w:rsidRPr="008C76E0">
              <w:rPr>
                <w:rFonts w:ascii="Sylfaen" w:hAnsi="Sylfaen"/>
                <w:b w:val="0"/>
                <w:sz w:val="24"/>
                <w:szCs w:val="24"/>
                <w:lang w:val="hy-AM"/>
              </w:rPr>
              <w:t xml:space="preserve"> կայունության մասով պարտավորությունը</w:t>
            </w:r>
          </w:p>
        </w:tc>
        <w:tc>
          <w:tcPr>
            <w:tcW w:w="1416" w:type="dxa"/>
            <w:shd w:val="clear" w:color="auto" w:fill="FFFFFF"/>
          </w:tcPr>
          <w:p w14:paraId="7A7CE9C8" w14:textId="77777777" w:rsidR="008C76E0" w:rsidRPr="00BD7577" w:rsidRDefault="008C76E0" w:rsidP="008C76E0">
            <w:pPr>
              <w:pStyle w:val="Bodytext180"/>
              <w:shd w:val="clear" w:color="auto" w:fill="auto"/>
              <w:spacing w:before="0" w:after="120" w:line="240" w:lineRule="auto"/>
              <w:ind w:right="-1" w:firstLine="0"/>
              <w:jc w:val="center"/>
              <w:rPr>
                <w:rStyle w:val="Bodytext18BookmanOldStyle"/>
                <w:rFonts w:ascii="Sylfaen" w:hAnsi="Sylfaen"/>
                <w:sz w:val="24"/>
                <w:szCs w:val="24"/>
              </w:rPr>
            </w:pPr>
            <w:r w:rsidRPr="00BD7577">
              <w:rPr>
                <w:rStyle w:val="Bodytext18BookmanOldStyle"/>
                <w:rFonts w:ascii="Sylfaen" w:hAnsi="Sylfaen"/>
                <w:sz w:val="24"/>
                <w:szCs w:val="24"/>
              </w:rPr>
              <w:t>x</w:t>
            </w:r>
          </w:p>
        </w:tc>
        <w:tc>
          <w:tcPr>
            <w:tcW w:w="1368" w:type="dxa"/>
            <w:shd w:val="clear" w:color="auto" w:fill="FFFFFF"/>
          </w:tcPr>
          <w:p w14:paraId="252190E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370DDD2" w14:textId="77777777" w:rsidTr="008C76E0">
        <w:trPr>
          <w:jc w:val="center"/>
        </w:trPr>
        <w:tc>
          <w:tcPr>
            <w:tcW w:w="1382" w:type="dxa"/>
            <w:tcBorders>
              <w:bottom w:val="single" w:sz="4" w:space="0" w:color="auto"/>
            </w:tcBorders>
            <w:shd w:val="clear" w:color="auto" w:fill="FFFFFF"/>
            <w:vAlign w:val="center"/>
          </w:tcPr>
          <w:p w14:paraId="5C591B4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.7.3</w:t>
            </w:r>
          </w:p>
        </w:tc>
        <w:tc>
          <w:tcPr>
            <w:tcW w:w="5352" w:type="dxa"/>
            <w:tcBorders>
              <w:bottom w:val="single" w:sz="4" w:space="0" w:color="auto"/>
            </w:tcBorders>
            <w:shd w:val="clear" w:color="auto" w:fill="FFFFFF"/>
            <w:vAlign w:val="center"/>
          </w:tcPr>
          <w:p w14:paraId="6177D199" w14:textId="77777777" w:rsidR="008C76E0" w:rsidRPr="00BD7577" w:rsidRDefault="008C76E0" w:rsidP="008C76E0">
            <w:pPr>
              <w:pStyle w:val="Tableofcontents120"/>
              <w:shd w:val="clear" w:color="auto" w:fill="auto"/>
              <w:spacing w:after="120" w:line="240" w:lineRule="auto"/>
              <w:ind w:left="108" w:right="121" w:firstLine="0"/>
              <w:jc w:val="left"/>
              <w:rPr>
                <w:rFonts w:ascii="Sylfaen" w:hAnsi="Sylfaen"/>
                <w:b w:val="0"/>
                <w:sz w:val="24"/>
                <w:szCs w:val="24"/>
              </w:rPr>
            </w:pPr>
            <w:r w:rsidRPr="00BD7577">
              <w:rPr>
                <w:rFonts w:ascii="Sylfaen" w:hAnsi="Sylfaen"/>
                <w:b w:val="0"/>
                <w:sz w:val="24"/>
                <w:szCs w:val="24"/>
              </w:rPr>
              <w:t>Կայունության վերաբերյալ տվյալները</w:t>
            </w:r>
          </w:p>
        </w:tc>
        <w:tc>
          <w:tcPr>
            <w:tcW w:w="1416" w:type="dxa"/>
            <w:tcBorders>
              <w:bottom w:val="single" w:sz="4" w:space="0" w:color="auto"/>
            </w:tcBorders>
            <w:shd w:val="clear" w:color="auto" w:fill="FFFFFF"/>
          </w:tcPr>
          <w:p w14:paraId="4CB0C8E0" w14:textId="77777777" w:rsidR="008C76E0" w:rsidRPr="00BD7577" w:rsidRDefault="008C76E0" w:rsidP="008C76E0">
            <w:pPr>
              <w:pStyle w:val="Tableofcontents120"/>
              <w:shd w:val="clear" w:color="auto" w:fill="auto"/>
              <w:spacing w:after="120" w:line="240" w:lineRule="auto"/>
              <w:ind w:right="-1" w:firstLine="0"/>
              <w:jc w:val="center"/>
              <w:rPr>
                <w:rStyle w:val="Bodytext18BookmanOldStyle"/>
                <w:rFonts w:ascii="Sylfaen" w:hAnsi="Sylfaen"/>
                <w:sz w:val="24"/>
                <w:szCs w:val="24"/>
              </w:rPr>
            </w:pPr>
            <w:r w:rsidRPr="00BD7577">
              <w:rPr>
                <w:rFonts w:ascii="Sylfaen" w:hAnsi="Sylfaen"/>
                <w:b w:val="0"/>
                <w:sz w:val="24"/>
                <w:szCs w:val="24"/>
              </w:rPr>
              <w:t>х</w:t>
            </w:r>
          </w:p>
        </w:tc>
        <w:tc>
          <w:tcPr>
            <w:tcW w:w="1368" w:type="dxa"/>
            <w:tcBorders>
              <w:bottom w:val="single" w:sz="4" w:space="0" w:color="auto"/>
            </w:tcBorders>
            <w:shd w:val="clear" w:color="auto" w:fill="FFFFFF"/>
          </w:tcPr>
          <w:p w14:paraId="3517219A" w14:textId="77777777" w:rsidR="008C76E0" w:rsidRPr="00BD7577" w:rsidRDefault="008C76E0" w:rsidP="008C76E0">
            <w:pPr>
              <w:spacing w:after="120" w:line="240" w:lineRule="auto"/>
              <w:ind w:right="-1"/>
              <w:jc w:val="center"/>
              <w:rPr>
                <w:rFonts w:ascii="Sylfaen" w:hAnsi="Sylfaen"/>
                <w:sz w:val="24"/>
                <w:szCs w:val="24"/>
              </w:rPr>
            </w:pPr>
          </w:p>
        </w:tc>
      </w:tr>
    </w:tbl>
    <w:p w14:paraId="2BFAA911" w14:textId="77777777" w:rsidR="008C76E0" w:rsidRPr="00BD7577" w:rsidRDefault="008C76E0" w:rsidP="008C76E0">
      <w:pPr>
        <w:pStyle w:val="Tableofcontents120"/>
        <w:shd w:val="clear" w:color="auto" w:fill="auto"/>
        <w:spacing w:after="160" w:line="360" w:lineRule="auto"/>
        <w:ind w:right="-1" w:firstLine="0"/>
        <w:rPr>
          <w:rFonts w:ascii="Sylfaen" w:hAnsi="Sylfaen"/>
          <w:b w:val="0"/>
          <w:sz w:val="24"/>
          <w:szCs w:val="24"/>
        </w:rPr>
      </w:pPr>
    </w:p>
    <w:p w14:paraId="4A34BA9B" w14:textId="6875A845"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lastRenderedPageBreak/>
        <w:t>1.</w:t>
      </w:r>
      <w:r w:rsidRPr="00BD7577">
        <w:rPr>
          <w:rFonts w:ascii="Sylfaen" w:hAnsi="Sylfaen"/>
          <w:b w:val="0"/>
          <w:sz w:val="24"/>
          <w:szCs w:val="24"/>
        </w:rPr>
        <w:tab/>
        <w:t xml:space="preserve">Եթե փակ հատվածը պարունակում է մանրամասն տեղեկություններ, ապա բլոկ-սխեման </w:t>
      </w:r>
      <w:r w:rsidR="00C54D75">
        <w:rPr>
          <w:rFonts w:ascii="Sylfaen" w:hAnsi="Sylfaen"/>
          <w:b w:val="0"/>
          <w:sz w:val="24"/>
          <w:szCs w:val="24"/>
        </w:rPr>
        <w:t>և</w:t>
      </w:r>
      <w:r w:rsidRPr="00BD7577">
        <w:rPr>
          <w:rFonts w:ascii="Sylfaen" w:hAnsi="Sylfaen"/>
          <w:b w:val="0"/>
          <w:sz w:val="24"/>
          <w:szCs w:val="24"/>
        </w:rPr>
        <w:t xml:space="preserve"> համառոտ նկարագրությունը համարվում են բավարար։ Այնուամենայնիվ, </w:t>
      </w:r>
      <w:r w:rsidR="0056496B">
        <w:rPr>
          <w:rFonts w:ascii="Sylfaen" w:hAnsi="Sylfaen"/>
          <w:b w:val="0"/>
          <w:sz w:val="24"/>
          <w:szCs w:val="24"/>
        </w:rPr>
        <w:t>դիմումատու</w:t>
      </w:r>
      <w:r w:rsidRPr="00BD7577">
        <w:rPr>
          <w:rFonts w:ascii="Sylfaen" w:hAnsi="Sylfaen"/>
          <w:b w:val="0"/>
          <w:sz w:val="24"/>
          <w:szCs w:val="24"/>
        </w:rPr>
        <w:t xml:space="preserve">ի մասում կարող են պահանջվել մանրէազերծման գործընթացի վերաբերյալ վալիդացման ամբողջական տվյալները (դեղապատրաստուկի հետագա մանրէազերծման բացակայության </w:t>
      </w:r>
      <w:proofErr w:type="gramStart"/>
      <w:r w:rsidRPr="00BD7577">
        <w:rPr>
          <w:rFonts w:ascii="Sylfaen" w:hAnsi="Sylfaen"/>
          <w:b w:val="0"/>
          <w:sz w:val="24"/>
          <w:szCs w:val="24"/>
        </w:rPr>
        <w:t>դեպքում)։</w:t>
      </w:r>
      <w:proofErr w:type="gramEnd"/>
    </w:p>
    <w:p w14:paraId="63E7A672"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2.</w:t>
      </w:r>
      <w:r w:rsidRPr="00BD7577">
        <w:rPr>
          <w:rFonts w:ascii="Sylfaen" w:hAnsi="Sylfaen"/>
          <w:b w:val="0"/>
          <w:sz w:val="24"/>
          <w:szCs w:val="24"/>
        </w:rPr>
        <w:tab/>
        <w:t>Մանրամասն տեղեկությունները։</w:t>
      </w:r>
    </w:p>
    <w:p w14:paraId="48E950F6" w14:textId="206C4831"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3.</w:t>
      </w:r>
      <w:r w:rsidRPr="00BD7577">
        <w:rPr>
          <w:rFonts w:ascii="Sylfaen" w:hAnsi="Sylfaen"/>
          <w:b w:val="0"/>
          <w:sz w:val="24"/>
          <w:szCs w:val="24"/>
        </w:rPr>
        <w:tab/>
        <w:t>Այնքանով, որքանով այդ տեղեկություններն անհրաժեշտ են նա</w:t>
      </w:r>
      <w:r w:rsidR="00C54D75">
        <w:rPr>
          <w:rFonts w:ascii="Sylfaen" w:hAnsi="Sylfaen"/>
          <w:b w:val="0"/>
          <w:sz w:val="24"/>
          <w:szCs w:val="24"/>
        </w:rPr>
        <w:t>և</w:t>
      </w:r>
      <w:r w:rsidRPr="00BD7577">
        <w:rPr>
          <w:rFonts w:ascii="Sylfaen" w:hAnsi="Sylfaen"/>
          <w:b w:val="0"/>
          <w:sz w:val="24"/>
          <w:szCs w:val="24"/>
        </w:rPr>
        <w:t xml:space="preserve"> </w:t>
      </w:r>
      <w:r w:rsidR="0056496B">
        <w:rPr>
          <w:rFonts w:ascii="Sylfaen" w:hAnsi="Sylfaen"/>
          <w:b w:val="0"/>
          <w:sz w:val="24"/>
          <w:szCs w:val="24"/>
        </w:rPr>
        <w:t>դիմումատու</w:t>
      </w:r>
      <w:r w:rsidRPr="00BD7577">
        <w:rPr>
          <w:rFonts w:ascii="Sylfaen" w:hAnsi="Sylfaen"/>
          <w:b w:val="0"/>
          <w:sz w:val="24"/>
          <w:szCs w:val="24"/>
        </w:rPr>
        <w:t xml:space="preserve">ին (ԳՀ-ի </w:t>
      </w:r>
      <w:proofErr w:type="gramStart"/>
      <w:r w:rsidRPr="00BD7577">
        <w:rPr>
          <w:rFonts w:ascii="Sylfaen" w:hAnsi="Sylfaen"/>
          <w:b w:val="0"/>
          <w:sz w:val="24"/>
          <w:szCs w:val="24"/>
        </w:rPr>
        <w:t>իրավատիրոջը)։</w:t>
      </w:r>
      <w:proofErr w:type="gramEnd"/>
    </w:p>
    <w:p w14:paraId="39D3B646" w14:textId="0CC01358"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4.</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w:t>
      </w:r>
      <w:r w:rsidR="00C54D75">
        <w:rPr>
          <w:rFonts w:ascii="Sylfaen" w:hAnsi="Sylfaen"/>
          <w:b w:val="0"/>
          <w:sz w:val="24"/>
          <w:szCs w:val="24"/>
        </w:rPr>
        <w:t>և</w:t>
      </w:r>
      <w:r w:rsidRPr="00BD7577">
        <w:rPr>
          <w:rFonts w:ascii="Sylfaen" w:hAnsi="Sylfaen"/>
          <w:b w:val="0"/>
          <w:sz w:val="24"/>
          <w:szCs w:val="24"/>
        </w:rPr>
        <w:t xml:space="preserve"> այնքանով, որքանով այդ տեղեկություններն անհրաժեշտ չեն </w:t>
      </w:r>
      <w:r w:rsidR="0056496B">
        <w:rPr>
          <w:rFonts w:ascii="Sylfaen" w:hAnsi="Sylfaen"/>
          <w:b w:val="0"/>
          <w:sz w:val="24"/>
          <w:szCs w:val="24"/>
        </w:rPr>
        <w:t>դիմումատու</w:t>
      </w:r>
      <w:r w:rsidRPr="00BD7577">
        <w:rPr>
          <w:rFonts w:ascii="Sylfaen" w:hAnsi="Sylfaen"/>
          <w:b w:val="0"/>
          <w:sz w:val="24"/>
          <w:szCs w:val="24"/>
        </w:rPr>
        <w:t>ին (ԳՀ-ի իրավատիրոջը):</w:t>
      </w:r>
    </w:p>
    <w:p w14:paraId="0A046B28"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5.</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w:t>
      </w:r>
      <w:r w:rsidR="00C54D75">
        <w:rPr>
          <w:rFonts w:ascii="Sylfaen" w:hAnsi="Sylfaen"/>
          <w:b w:val="0"/>
          <w:sz w:val="24"/>
          <w:szCs w:val="24"/>
        </w:rPr>
        <w:t>և</w:t>
      </w:r>
      <w:r w:rsidRPr="00BD7577">
        <w:rPr>
          <w:rFonts w:ascii="Sylfaen" w:hAnsi="Sylfaen"/>
          <w:b w:val="0"/>
          <w:sz w:val="24"/>
          <w:szCs w:val="24"/>
        </w:rPr>
        <w:t xml:space="preserve"> այնքանով, որքանով ԱԴԲՄՖ-ի իրավատերը բավականաչափ հիմնավորում է, որ բացակայում է ակտիվ դեղագործական բաղադրամասի մեջ այդ խառնուկները հսկելու անհրաժեշտությունը։</w:t>
      </w:r>
    </w:p>
    <w:p w14:paraId="668F9B32"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6.</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նյութերի որակի հսկողությանը </w:t>
      </w:r>
      <w:r w:rsidR="00C54D75">
        <w:rPr>
          <w:rFonts w:ascii="Sylfaen" w:hAnsi="Sylfaen"/>
          <w:b w:val="0"/>
          <w:sz w:val="24"/>
          <w:szCs w:val="24"/>
        </w:rPr>
        <w:t>և</w:t>
      </w:r>
      <w:r w:rsidRPr="00BD7577">
        <w:rPr>
          <w:rFonts w:ascii="Sylfaen" w:hAnsi="Sylfaen"/>
          <w:b w:val="0"/>
          <w:sz w:val="24"/>
          <w:szCs w:val="24"/>
        </w:rPr>
        <w:t xml:space="preserve"> արտադրության գործընթացի վալիդացմանը։</w:t>
      </w:r>
    </w:p>
    <w:p w14:paraId="2E41B9D0" w14:textId="77777777" w:rsidR="008C76E0" w:rsidRDefault="008C76E0" w:rsidP="008C76E0">
      <w:pPr>
        <w:widowControl/>
        <w:rPr>
          <w:rFonts w:ascii="Sylfaen" w:eastAsia="Times New Roman" w:hAnsi="Sylfaen" w:cs="Times New Roman"/>
          <w:sz w:val="24"/>
          <w:szCs w:val="24"/>
        </w:rPr>
      </w:pPr>
      <w:r>
        <w:rPr>
          <w:rFonts w:ascii="Sylfaen" w:hAnsi="Sylfaen"/>
          <w:sz w:val="24"/>
          <w:szCs w:val="24"/>
        </w:rPr>
        <w:br w:type="page"/>
      </w:r>
    </w:p>
    <w:p w14:paraId="2A822293" w14:textId="77777777" w:rsidR="008C76E0" w:rsidRPr="00BD7577" w:rsidRDefault="008C76E0" w:rsidP="008C76E0">
      <w:pPr>
        <w:pStyle w:val="Tablecaption30"/>
        <w:shd w:val="clear" w:color="auto" w:fill="auto"/>
        <w:spacing w:after="160" w:line="360" w:lineRule="auto"/>
        <w:ind w:right="-1"/>
        <w:jc w:val="right"/>
        <w:rPr>
          <w:rFonts w:ascii="Sylfaen" w:hAnsi="Sylfaen"/>
          <w:sz w:val="24"/>
          <w:szCs w:val="24"/>
        </w:rPr>
      </w:pPr>
      <w:r w:rsidRPr="00BD7577">
        <w:rPr>
          <w:rFonts w:ascii="Sylfaen" w:hAnsi="Sylfaen"/>
          <w:sz w:val="24"/>
          <w:szCs w:val="24"/>
        </w:rPr>
        <w:lastRenderedPageBreak/>
        <w:t>Աղյուսակ 2</w:t>
      </w:r>
    </w:p>
    <w:tbl>
      <w:tblPr>
        <w:tblOverlap w:val="never"/>
        <w:tblW w:w="9933" w:type="dxa"/>
        <w:jc w:val="center"/>
        <w:tblLayout w:type="fixed"/>
        <w:tblCellMar>
          <w:left w:w="10" w:type="dxa"/>
          <w:right w:w="10" w:type="dxa"/>
        </w:tblCellMar>
        <w:tblLook w:val="04A0" w:firstRow="1" w:lastRow="0" w:firstColumn="1" w:lastColumn="0" w:noHBand="0" w:noVBand="1"/>
      </w:tblPr>
      <w:tblGrid>
        <w:gridCol w:w="1424"/>
        <w:gridCol w:w="6"/>
        <w:gridCol w:w="5453"/>
        <w:gridCol w:w="1608"/>
        <w:gridCol w:w="1435"/>
        <w:gridCol w:w="7"/>
      </w:tblGrid>
      <w:tr w:rsidR="008C76E0" w:rsidRPr="00BD7577" w14:paraId="44D04DDA" w14:textId="77777777" w:rsidTr="008C76E0">
        <w:trPr>
          <w:gridAfter w:val="1"/>
          <w:wAfter w:w="7" w:type="dxa"/>
          <w:trHeight w:val="273"/>
          <w:jc w:val="center"/>
        </w:trPr>
        <w:tc>
          <w:tcPr>
            <w:tcW w:w="1430" w:type="dxa"/>
            <w:gridSpan w:val="2"/>
            <w:tcBorders>
              <w:top w:val="single" w:sz="4" w:space="0" w:color="auto"/>
              <w:left w:val="single" w:sz="4" w:space="0" w:color="auto"/>
            </w:tcBorders>
            <w:shd w:val="clear" w:color="auto" w:fill="FFFFFF"/>
          </w:tcPr>
          <w:p w14:paraId="5D753C37" w14:textId="77777777" w:rsidR="008C76E0" w:rsidRPr="00BD7577" w:rsidRDefault="008C76E0" w:rsidP="008C76E0">
            <w:pPr>
              <w:pStyle w:val="Bodytext180"/>
              <w:shd w:val="clear" w:color="auto" w:fill="auto"/>
              <w:spacing w:before="0" w:after="120" w:line="240" w:lineRule="auto"/>
              <w:ind w:left="83" w:firstLine="0"/>
              <w:jc w:val="center"/>
              <w:rPr>
                <w:rFonts w:ascii="Sylfaen" w:hAnsi="Sylfaen"/>
                <w:b w:val="0"/>
                <w:sz w:val="24"/>
                <w:szCs w:val="24"/>
              </w:rPr>
            </w:pPr>
            <w:r w:rsidRPr="00BD7577">
              <w:rPr>
                <w:rStyle w:val="Bodytext1811pt"/>
                <w:rFonts w:ascii="Sylfaen" w:hAnsi="Sylfaen"/>
                <w:sz w:val="24"/>
                <w:szCs w:val="24"/>
              </w:rPr>
              <w:t>Դոսյեի մոդուլի մաս</w:t>
            </w:r>
          </w:p>
        </w:tc>
        <w:tc>
          <w:tcPr>
            <w:tcW w:w="5453" w:type="dxa"/>
            <w:tcBorders>
              <w:top w:val="single" w:sz="4" w:space="0" w:color="auto"/>
              <w:left w:val="single" w:sz="4" w:space="0" w:color="auto"/>
            </w:tcBorders>
            <w:shd w:val="clear" w:color="auto" w:fill="FFFFFF"/>
          </w:tcPr>
          <w:p w14:paraId="7593E983" w14:textId="77777777" w:rsidR="008C76E0" w:rsidRPr="00BD7577" w:rsidRDefault="008C76E0" w:rsidP="008C76E0">
            <w:pPr>
              <w:pStyle w:val="Bodytext180"/>
              <w:shd w:val="clear" w:color="auto" w:fill="auto"/>
              <w:spacing w:before="0" w:after="120" w:line="240" w:lineRule="auto"/>
              <w:ind w:left="77" w:firstLine="0"/>
              <w:jc w:val="center"/>
              <w:rPr>
                <w:rFonts w:ascii="Sylfaen" w:hAnsi="Sylfaen"/>
                <w:b w:val="0"/>
                <w:sz w:val="24"/>
                <w:szCs w:val="24"/>
              </w:rPr>
            </w:pPr>
            <w:r w:rsidRPr="00BD7577">
              <w:rPr>
                <w:rStyle w:val="Bodytext1811pt"/>
                <w:rFonts w:ascii="Sylfaen" w:hAnsi="Sylfaen"/>
                <w:sz w:val="24"/>
                <w:szCs w:val="24"/>
              </w:rPr>
              <w:t>ԸՏՓ-ի ձ</w:t>
            </w:r>
            <w:r w:rsidR="00C54D75">
              <w:rPr>
                <w:rStyle w:val="Bodytext1811pt"/>
                <w:rFonts w:ascii="Sylfaen" w:hAnsi="Sylfaen"/>
                <w:sz w:val="24"/>
                <w:szCs w:val="24"/>
              </w:rPr>
              <w:t>և</w:t>
            </w:r>
            <w:r w:rsidRPr="00BD7577">
              <w:rPr>
                <w:rStyle w:val="Bodytext1811pt"/>
                <w:rFonts w:ascii="Sylfaen" w:hAnsi="Sylfaen"/>
                <w:sz w:val="24"/>
                <w:szCs w:val="24"/>
              </w:rPr>
              <w:t>աչափ բուսական հումք (բուսական դեղագործական բաղադրամասեր)</w:t>
            </w:r>
          </w:p>
        </w:tc>
        <w:tc>
          <w:tcPr>
            <w:tcW w:w="1608" w:type="dxa"/>
            <w:tcBorders>
              <w:top w:val="single" w:sz="4" w:space="0" w:color="auto"/>
              <w:left w:val="single" w:sz="4" w:space="0" w:color="auto"/>
            </w:tcBorders>
            <w:shd w:val="clear" w:color="auto" w:fill="FFFFFF"/>
          </w:tcPr>
          <w:p w14:paraId="46723722" w14:textId="48105477" w:rsidR="008C76E0" w:rsidRPr="00BD7577" w:rsidRDefault="0056496B" w:rsidP="008C76E0">
            <w:pPr>
              <w:pStyle w:val="Bodytext180"/>
              <w:shd w:val="clear" w:color="auto" w:fill="auto"/>
              <w:spacing w:before="0" w:after="120" w:line="240" w:lineRule="auto"/>
              <w:ind w:firstLine="0"/>
              <w:jc w:val="center"/>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w:t>
            </w:r>
          </w:p>
        </w:tc>
        <w:tc>
          <w:tcPr>
            <w:tcW w:w="1435" w:type="dxa"/>
            <w:tcBorders>
              <w:top w:val="single" w:sz="4" w:space="0" w:color="auto"/>
              <w:left w:val="single" w:sz="4" w:space="0" w:color="auto"/>
              <w:right w:val="single" w:sz="4" w:space="0" w:color="auto"/>
            </w:tcBorders>
            <w:shd w:val="clear" w:color="auto" w:fill="FFFFFF"/>
          </w:tcPr>
          <w:p w14:paraId="26B9E69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Փակ մաս</w:t>
            </w:r>
          </w:p>
        </w:tc>
      </w:tr>
      <w:tr w:rsidR="008C76E0" w:rsidRPr="00BD7577" w14:paraId="7C060B70" w14:textId="77777777" w:rsidTr="008C76E0">
        <w:trPr>
          <w:gridAfter w:val="1"/>
          <w:wAfter w:w="7" w:type="dxa"/>
          <w:jc w:val="center"/>
        </w:trPr>
        <w:tc>
          <w:tcPr>
            <w:tcW w:w="1430" w:type="dxa"/>
            <w:gridSpan w:val="2"/>
            <w:tcBorders>
              <w:top w:val="single" w:sz="4" w:space="0" w:color="auto"/>
            </w:tcBorders>
            <w:shd w:val="clear" w:color="auto" w:fill="FFFFFF"/>
          </w:tcPr>
          <w:p w14:paraId="06478EF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3.2.С.1</w:t>
            </w:r>
          </w:p>
        </w:tc>
        <w:tc>
          <w:tcPr>
            <w:tcW w:w="5453" w:type="dxa"/>
            <w:tcBorders>
              <w:top w:val="single" w:sz="4" w:space="0" w:color="auto"/>
            </w:tcBorders>
            <w:shd w:val="clear" w:color="auto" w:fill="FFFFFF"/>
          </w:tcPr>
          <w:p w14:paraId="024493B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Ընդհանուր տեղեկությունները</w:t>
            </w:r>
          </w:p>
        </w:tc>
        <w:tc>
          <w:tcPr>
            <w:tcW w:w="1608" w:type="dxa"/>
            <w:tcBorders>
              <w:top w:val="single" w:sz="4" w:space="0" w:color="auto"/>
            </w:tcBorders>
            <w:shd w:val="clear" w:color="auto" w:fill="FFFFFF"/>
          </w:tcPr>
          <w:p w14:paraId="1BE3A23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435" w:type="dxa"/>
            <w:tcBorders>
              <w:top w:val="single" w:sz="4" w:space="0" w:color="auto"/>
            </w:tcBorders>
            <w:shd w:val="clear" w:color="auto" w:fill="FFFFFF"/>
          </w:tcPr>
          <w:p w14:paraId="06D3879B"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C0D1FC1" w14:textId="77777777" w:rsidTr="008C76E0">
        <w:trPr>
          <w:gridAfter w:val="1"/>
          <w:wAfter w:w="7" w:type="dxa"/>
          <w:jc w:val="center"/>
        </w:trPr>
        <w:tc>
          <w:tcPr>
            <w:tcW w:w="1430" w:type="dxa"/>
            <w:gridSpan w:val="2"/>
            <w:shd w:val="clear" w:color="auto" w:fill="FFFFFF"/>
          </w:tcPr>
          <w:p w14:paraId="0EF1C87E"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3.2.С.1.1</w:t>
            </w:r>
          </w:p>
        </w:tc>
        <w:tc>
          <w:tcPr>
            <w:tcW w:w="5453" w:type="dxa"/>
            <w:vMerge w:val="restart"/>
            <w:shd w:val="clear" w:color="auto" w:fill="FFFFFF"/>
            <w:vAlign w:val="bottom"/>
          </w:tcPr>
          <w:p w14:paraId="6CA5468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Անվանացանկը</w:t>
            </w:r>
          </w:p>
          <w:p w14:paraId="1B9001E3"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w:t>
            </w:r>
            <w:r w:rsidRPr="00BD7577">
              <w:rPr>
                <w:rStyle w:val="Bodytext1811pt"/>
                <w:rFonts w:ascii="Sylfaen" w:hAnsi="Sylfaen"/>
                <w:sz w:val="24"/>
                <w:szCs w:val="24"/>
              </w:rPr>
              <w:tab/>
              <w:t xml:space="preserve">Դեղաբուսական հումքի մանրացման միջոցով ստացված բուսական ծագման դեղագործական բաղադրամասը՝ բույսի բինոմինալ (երկանվանական) գիտական անվանումը (ցեղատեսակը, տեսակը, ենթատեսակը </w:t>
            </w:r>
            <w:r w:rsidR="00C54D75">
              <w:rPr>
                <w:rStyle w:val="Bodytext1811pt"/>
                <w:rFonts w:ascii="Sylfaen" w:hAnsi="Sylfaen"/>
                <w:sz w:val="24"/>
                <w:szCs w:val="24"/>
              </w:rPr>
              <w:t>և</w:t>
            </w:r>
            <w:r w:rsidRPr="00BD7577">
              <w:rPr>
                <w:rStyle w:val="Bodytext1811pt"/>
                <w:rFonts w:ascii="Sylfaen" w:hAnsi="Sylfaen"/>
                <w:sz w:val="24"/>
                <w:szCs w:val="24"/>
              </w:rPr>
              <w:t xml:space="preserve"> հեղինակը) </w:t>
            </w:r>
            <w:r w:rsidR="00C54D75">
              <w:rPr>
                <w:rStyle w:val="Bodytext1811pt"/>
                <w:rFonts w:ascii="Sylfaen" w:hAnsi="Sylfaen"/>
                <w:sz w:val="24"/>
                <w:szCs w:val="24"/>
              </w:rPr>
              <w:t>և</w:t>
            </w:r>
            <w:r w:rsidRPr="00BD7577">
              <w:rPr>
                <w:rStyle w:val="Bodytext1811pt"/>
                <w:rFonts w:ascii="Sylfaen" w:hAnsi="Sylfaen"/>
                <w:sz w:val="24"/>
                <w:szCs w:val="24"/>
              </w:rPr>
              <w:t xml:space="preserve"> քեմոտիպը (առկայության դեպքում), մորֆոլոգիական խումբը</w:t>
            </w:r>
          </w:p>
          <w:p w14:paraId="7EA52EB6"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դեղաբուսական հումքի անվանումը լատիներենով</w:t>
            </w:r>
          </w:p>
          <w:p w14:paraId="21FE06BD"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այլ անվանումներ (այլ դեղագրքերում նկարագրված հոմանիշներ)</w:t>
            </w:r>
          </w:p>
          <w:p w14:paraId="295535A3"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ծագման աղբյուրը (վայրի կամ մշակովի)</w:t>
            </w:r>
          </w:p>
          <w:p w14:paraId="44F771CD"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w:t>
            </w:r>
            <w:r w:rsidRPr="00BD7577">
              <w:rPr>
                <w:rStyle w:val="Bodytext1811pt"/>
                <w:rFonts w:ascii="Sylfaen" w:hAnsi="Sylfaen"/>
                <w:sz w:val="24"/>
                <w:szCs w:val="24"/>
              </w:rPr>
              <w:tab/>
              <w:t xml:space="preserve">Տարբեր միջոցներով (լուծամզում </w:t>
            </w:r>
            <w:r w:rsidR="00C54D75">
              <w:rPr>
                <w:rStyle w:val="Bodytext1811pt"/>
                <w:rFonts w:ascii="Sylfaen" w:hAnsi="Sylfaen"/>
                <w:sz w:val="24"/>
                <w:szCs w:val="24"/>
              </w:rPr>
              <w:t>և</w:t>
            </w:r>
            <w:r w:rsidRPr="00BD7577">
              <w:rPr>
                <w:rStyle w:val="Bodytext1811pt"/>
                <w:rFonts w:ascii="Sylfaen" w:hAnsi="Sylfaen"/>
                <w:sz w:val="24"/>
                <w:szCs w:val="24"/>
              </w:rPr>
              <w:t xml:space="preserve"> այլն) դեղաբուսական հումքի մշակումից հետո ստացված բուսական ծագման դեղագործական բաղադրամաս</w:t>
            </w:r>
          </w:p>
          <w:p w14:paraId="63D5992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բույսի բինոմինալ (երկանվանական) գիտական անվանումը (ցեղատեսակը, տեսակը, ենթատեսակը </w:t>
            </w:r>
            <w:r w:rsidR="00C54D75">
              <w:rPr>
                <w:rStyle w:val="Bodytext1811pt"/>
                <w:rFonts w:ascii="Sylfaen" w:hAnsi="Sylfaen"/>
                <w:sz w:val="24"/>
                <w:szCs w:val="24"/>
              </w:rPr>
              <w:t>և</w:t>
            </w:r>
            <w:r w:rsidRPr="00BD7577">
              <w:rPr>
                <w:rStyle w:val="Bodytext1811pt"/>
                <w:rFonts w:ascii="Sylfaen" w:hAnsi="Sylfaen"/>
                <w:sz w:val="24"/>
                <w:szCs w:val="24"/>
              </w:rPr>
              <w:t xml:space="preserve"> հեղինակը) </w:t>
            </w:r>
            <w:r w:rsidR="00C54D75">
              <w:rPr>
                <w:rStyle w:val="Bodytext1811pt"/>
                <w:rFonts w:ascii="Sylfaen" w:hAnsi="Sylfaen"/>
                <w:sz w:val="24"/>
                <w:szCs w:val="24"/>
              </w:rPr>
              <w:t>և</w:t>
            </w:r>
            <w:r w:rsidRPr="00BD7577">
              <w:rPr>
                <w:rStyle w:val="Bodytext1811pt"/>
                <w:rFonts w:ascii="Sylfaen" w:hAnsi="Sylfaen"/>
                <w:sz w:val="24"/>
                <w:szCs w:val="24"/>
              </w:rPr>
              <w:t xml:space="preserve"> քեմոտիպը (առկայության դեպքում)</w:t>
            </w:r>
          </w:p>
          <w:p w14:paraId="1461DC5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բույսերի մասերը</w:t>
            </w:r>
          </w:p>
          <w:p w14:paraId="094EC7A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ծագման դեղագործական բաղադրամասի անվանումը</w:t>
            </w:r>
          </w:p>
          <w:p w14:paraId="2E4E278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ծագման դեղագործական բաղադրամասում դեղաբուսական հումքի մասնաբաժինը</w:t>
            </w:r>
          </w:p>
          <w:p w14:paraId="074F92C2"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լուծամզվածքային լուծիչները</w:t>
            </w:r>
          </w:p>
          <w:p w14:paraId="12BDC3BE" w14:textId="77777777" w:rsidR="008C76E0" w:rsidRPr="00BD7577" w:rsidRDefault="008C76E0" w:rsidP="008C76E0">
            <w:pPr>
              <w:pStyle w:val="Bodytext180"/>
              <w:shd w:val="clear" w:color="auto" w:fill="auto"/>
              <w:spacing w:before="0" w:after="120" w:line="240" w:lineRule="auto"/>
              <w:ind w:left="77" w:right="-1" w:firstLine="0"/>
              <w:rPr>
                <w:rStyle w:val="Bodytext1811pt"/>
                <w:rFonts w:ascii="Sylfaen" w:hAnsi="Sylfaen"/>
                <w:sz w:val="24"/>
                <w:szCs w:val="24"/>
              </w:rPr>
            </w:pPr>
            <w:r w:rsidRPr="00BD7577">
              <w:rPr>
                <w:rStyle w:val="Bodytext1811pt"/>
                <w:rFonts w:ascii="Sylfaen" w:hAnsi="Sylfaen"/>
                <w:sz w:val="24"/>
                <w:szCs w:val="24"/>
              </w:rPr>
              <w:t>այլ անվանումներ (այլ դեղագրքերում նկարագրված հոմանիշներ)</w:t>
            </w:r>
          </w:p>
          <w:p w14:paraId="150B0A65"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ծագման աղբյուրը (վայրի կամ մշակովի)</w:t>
            </w:r>
          </w:p>
        </w:tc>
        <w:tc>
          <w:tcPr>
            <w:tcW w:w="1608" w:type="dxa"/>
            <w:shd w:val="clear" w:color="auto" w:fill="FFFFFF"/>
          </w:tcPr>
          <w:p w14:paraId="639A8B4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435" w:type="dxa"/>
            <w:shd w:val="clear" w:color="auto" w:fill="FFFFFF"/>
          </w:tcPr>
          <w:p w14:paraId="3ADDDA5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11ADD86" w14:textId="77777777" w:rsidTr="008C76E0">
        <w:trPr>
          <w:gridAfter w:val="1"/>
          <w:wAfter w:w="7" w:type="dxa"/>
          <w:jc w:val="center"/>
        </w:trPr>
        <w:tc>
          <w:tcPr>
            <w:tcW w:w="1430" w:type="dxa"/>
            <w:gridSpan w:val="2"/>
            <w:shd w:val="clear" w:color="auto" w:fill="FFFFFF"/>
          </w:tcPr>
          <w:p w14:paraId="4E881025" w14:textId="77777777" w:rsidR="008C76E0" w:rsidRPr="00BD7577" w:rsidRDefault="008C76E0" w:rsidP="008C76E0">
            <w:pPr>
              <w:spacing w:after="120" w:line="240" w:lineRule="auto"/>
              <w:ind w:left="83" w:right="-1"/>
              <w:jc w:val="both"/>
              <w:rPr>
                <w:rFonts w:ascii="Sylfaen" w:hAnsi="Sylfaen"/>
                <w:sz w:val="24"/>
                <w:szCs w:val="24"/>
              </w:rPr>
            </w:pPr>
          </w:p>
        </w:tc>
        <w:tc>
          <w:tcPr>
            <w:tcW w:w="5453" w:type="dxa"/>
            <w:vMerge/>
            <w:shd w:val="clear" w:color="auto" w:fill="FFFFFF"/>
          </w:tcPr>
          <w:p w14:paraId="54E03D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p>
        </w:tc>
        <w:tc>
          <w:tcPr>
            <w:tcW w:w="1608" w:type="dxa"/>
            <w:shd w:val="clear" w:color="auto" w:fill="FFFFFF"/>
          </w:tcPr>
          <w:p w14:paraId="39B64DD4"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21D485B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35947EB" w14:textId="77777777" w:rsidTr="008C76E0">
        <w:trPr>
          <w:gridAfter w:val="1"/>
          <w:wAfter w:w="7" w:type="dxa"/>
          <w:jc w:val="center"/>
        </w:trPr>
        <w:tc>
          <w:tcPr>
            <w:tcW w:w="1430" w:type="dxa"/>
            <w:gridSpan w:val="2"/>
            <w:shd w:val="clear" w:color="auto" w:fill="FFFFFF"/>
          </w:tcPr>
          <w:p w14:paraId="2EB15D4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lastRenderedPageBreak/>
              <w:t>3.2.C.1.2</w:t>
            </w:r>
          </w:p>
        </w:tc>
        <w:tc>
          <w:tcPr>
            <w:tcW w:w="5453" w:type="dxa"/>
            <w:shd w:val="clear" w:color="auto" w:fill="FFFFFF"/>
          </w:tcPr>
          <w:p w14:paraId="655479E2"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Կառուցվածքը</w:t>
            </w:r>
          </w:p>
          <w:p w14:paraId="74D4AE10"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Ֆիզիկական վիճակը</w:t>
            </w:r>
          </w:p>
          <w:p w14:paraId="1E268949" w14:textId="56F6F266" w:rsidR="008C76E0" w:rsidRPr="00BD7577" w:rsidRDefault="005F6A31" w:rsidP="008C76E0">
            <w:pPr>
              <w:pStyle w:val="Bodytext180"/>
              <w:shd w:val="clear" w:color="auto" w:fill="auto"/>
              <w:spacing w:before="0" w:after="120" w:line="240" w:lineRule="auto"/>
              <w:ind w:left="77" w:right="-1" w:firstLine="0"/>
              <w:rPr>
                <w:rFonts w:ascii="Sylfaen" w:hAnsi="Sylfaen"/>
                <w:b w:val="0"/>
                <w:sz w:val="24"/>
                <w:szCs w:val="24"/>
              </w:rPr>
            </w:pPr>
            <w:r>
              <w:rPr>
                <w:rStyle w:val="Bodytext1811pt"/>
                <w:rFonts w:ascii="Sylfaen" w:hAnsi="Sylfaen"/>
                <w:sz w:val="24"/>
                <w:szCs w:val="24"/>
              </w:rPr>
              <w:t>Հայտնի</w:t>
            </w:r>
            <w:r w:rsidR="008C76E0" w:rsidRPr="00BD7577">
              <w:rPr>
                <w:rStyle w:val="Bodytext1811pt"/>
                <w:rFonts w:ascii="Sylfaen" w:hAnsi="Sylfaen"/>
                <w:sz w:val="24"/>
                <w:szCs w:val="24"/>
              </w:rPr>
              <w:t xml:space="preserve"> թերապ</w:t>
            </w:r>
            <w:r w:rsidR="00C54D75">
              <w:rPr>
                <w:rStyle w:val="Bodytext1811pt"/>
                <w:rFonts w:ascii="Sylfaen" w:hAnsi="Sylfaen"/>
                <w:sz w:val="24"/>
                <w:szCs w:val="24"/>
              </w:rPr>
              <w:t>և</w:t>
            </w:r>
            <w:r w:rsidR="008C76E0" w:rsidRPr="00BD7577">
              <w:rPr>
                <w:rStyle w:val="Bodytext1811pt"/>
                <w:rFonts w:ascii="Sylfaen" w:hAnsi="Sylfaen"/>
                <w:sz w:val="24"/>
                <w:szCs w:val="24"/>
              </w:rPr>
              <w:t>տիկ ակտիվությամբ բաղադրիչների կամ մարկերների նկարագրությունը (մոլեկուլային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ը, հարաբերական մոլեկուլային զանգվածը, կառուցվածքային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ը, ներառյալ՝ հարաբերական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բացարձակ տարածական քիմիան, մոլեկուլային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ը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հարաբերական մոլեկուլային զանգվածը) </w:t>
            </w:r>
          </w:p>
          <w:p w14:paraId="476D778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Մյուս բաղադրիչները</w:t>
            </w:r>
          </w:p>
        </w:tc>
        <w:tc>
          <w:tcPr>
            <w:tcW w:w="1608" w:type="dxa"/>
            <w:shd w:val="clear" w:color="auto" w:fill="FFFFFF"/>
          </w:tcPr>
          <w:p w14:paraId="4D8F773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13DD7EE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5F091E0" w14:textId="77777777" w:rsidTr="008C76E0">
        <w:trPr>
          <w:gridAfter w:val="1"/>
          <w:wAfter w:w="7" w:type="dxa"/>
          <w:jc w:val="center"/>
        </w:trPr>
        <w:tc>
          <w:tcPr>
            <w:tcW w:w="1430" w:type="dxa"/>
            <w:gridSpan w:val="2"/>
            <w:shd w:val="clear" w:color="auto" w:fill="FFFFFF"/>
            <w:vAlign w:val="center"/>
          </w:tcPr>
          <w:p w14:paraId="0328D57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3.2.C.1.3</w:t>
            </w:r>
          </w:p>
        </w:tc>
        <w:tc>
          <w:tcPr>
            <w:tcW w:w="5453" w:type="dxa"/>
            <w:shd w:val="clear" w:color="auto" w:fill="FFFFFF"/>
            <w:vAlign w:val="bottom"/>
          </w:tcPr>
          <w:p w14:paraId="509220ED"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Ընդհանուր հատկությունները</w:t>
            </w:r>
          </w:p>
        </w:tc>
        <w:tc>
          <w:tcPr>
            <w:tcW w:w="1608" w:type="dxa"/>
            <w:shd w:val="clear" w:color="auto" w:fill="FFFFFF"/>
            <w:vAlign w:val="center"/>
          </w:tcPr>
          <w:p w14:paraId="1106171E"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31B19D6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F477546" w14:textId="77777777" w:rsidTr="008C76E0">
        <w:trPr>
          <w:gridAfter w:val="1"/>
          <w:wAfter w:w="7" w:type="dxa"/>
          <w:jc w:val="center"/>
        </w:trPr>
        <w:tc>
          <w:tcPr>
            <w:tcW w:w="1430" w:type="dxa"/>
            <w:gridSpan w:val="2"/>
            <w:shd w:val="clear" w:color="auto" w:fill="FFFFFF"/>
          </w:tcPr>
          <w:p w14:paraId="7918F1D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w:t>
            </w:r>
          </w:p>
        </w:tc>
        <w:tc>
          <w:tcPr>
            <w:tcW w:w="5453" w:type="dxa"/>
            <w:shd w:val="clear" w:color="auto" w:fill="FFFFFF"/>
            <w:vAlign w:val="bottom"/>
          </w:tcPr>
          <w:p w14:paraId="4D0309DE"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Արտադրողները՝</w:t>
            </w:r>
          </w:p>
          <w:p w14:paraId="089E633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հումք (անհրաժեշտ է ներկայացնել յուրաքանչյուր արտադրողի, ներառյալ՝ ենթակապալառուների,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հումքի արտադրության (հավաքման) </w:t>
            </w:r>
            <w:r w:rsidR="00C54D75">
              <w:rPr>
                <w:rStyle w:val="Bodytext1811pt"/>
                <w:rFonts w:ascii="Sylfaen" w:hAnsi="Sylfaen"/>
                <w:sz w:val="24"/>
                <w:szCs w:val="24"/>
              </w:rPr>
              <w:t>և</w:t>
            </w:r>
            <w:r w:rsidRPr="00BD7577">
              <w:rPr>
                <w:rStyle w:val="Bodytext1811pt"/>
                <w:rFonts w:ascii="Sylfaen" w:hAnsi="Sylfaen"/>
                <w:sz w:val="24"/>
                <w:szCs w:val="24"/>
              </w:rPr>
              <w:t xml:space="preserve"> հսկողության մեջ ներգրավված առաջարկվող յուրաքանչյուր արտադրական հարթակի անվանումը, հասցեն </w:t>
            </w:r>
            <w:r w:rsidR="00C54D75">
              <w:rPr>
                <w:rStyle w:val="Bodytext1811pt"/>
                <w:rFonts w:ascii="Sylfaen" w:hAnsi="Sylfaen"/>
                <w:sz w:val="24"/>
                <w:szCs w:val="24"/>
              </w:rPr>
              <w:t>և</w:t>
            </w:r>
            <w:r w:rsidRPr="00BD7577">
              <w:rPr>
                <w:rStyle w:val="Bodytext1811pt"/>
                <w:rFonts w:ascii="Sylfaen" w:hAnsi="Sylfaen"/>
                <w:sz w:val="24"/>
                <w:szCs w:val="24"/>
              </w:rPr>
              <w:t xml:space="preserve"> պատասխանատվությունը)</w:t>
            </w:r>
          </w:p>
          <w:p w14:paraId="3F50049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դեղագործական բաղադրամասեր (անհրաժեշտ է ներկայացնել յուրաքանչյուր արտադրողի, ներառյալ՝ ենթակապալառուների,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բաղադրամասի արտադրության </w:t>
            </w:r>
            <w:r w:rsidR="00C54D75">
              <w:rPr>
                <w:rStyle w:val="Bodytext1811pt"/>
                <w:rFonts w:ascii="Sylfaen" w:hAnsi="Sylfaen"/>
                <w:sz w:val="24"/>
                <w:szCs w:val="24"/>
              </w:rPr>
              <w:t>և</w:t>
            </w:r>
            <w:r w:rsidRPr="00BD7577">
              <w:rPr>
                <w:rStyle w:val="Bodytext1811pt"/>
                <w:rFonts w:ascii="Sylfaen" w:hAnsi="Sylfaen"/>
                <w:sz w:val="24"/>
                <w:szCs w:val="24"/>
              </w:rPr>
              <w:t xml:space="preserve"> հսկողության մեջ ներգրավված առաջարկվող յուրաքանչյուր արտադրական հարթակի անվանումը, հասցեն </w:t>
            </w:r>
            <w:r w:rsidR="00C54D75">
              <w:rPr>
                <w:rStyle w:val="Bodytext1811pt"/>
                <w:rFonts w:ascii="Sylfaen" w:hAnsi="Sylfaen"/>
                <w:sz w:val="24"/>
                <w:szCs w:val="24"/>
              </w:rPr>
              <w:t>և</w:t>
            </w:r>
            <w:r w:rsidRPr="00BD7577">
              <w:rPr>
                <w:rStyle w:val="Bodytext1811pt"/>
                <w:rFonts w:ascii="Sylfaen" w:hAnsi="Sylfaen"/>
                <w:sz w:val="24"/>
                <w:szCs w:val="24"/>
              </w:rPr>
              <w:t xml:space="preserve"> պատասխանատվությունը)</w:t>
            </w:r>
          </w:p>
        </w:tc>
        <w:tc>
          <w:tcPr>
            <w:tcW w:w="1608" w:type="dxa"/>
            <w:shd w:val="clear" w:color="auto" w:fill="FFFFFF"/>
          </w:tcPr>
          <w:p w14:paraId="7BCD4B7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0DD4943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20FD6626" w14:textId="77777777" w:rsidTr="008C76E0">
        <w:trPr>
          <w:gridAfter w:val="1"/>
          <w:wAfter w:w="7" w:type="dxa"/>
          <w:jc w:val="center"/>
        </w:trPr>
        <w:tc>
          <w:tcPr>
            <w:tcW w:w="1430" w:type="dxa"/>
            <w:gridSpan w:val="2"/>
            <w:shd w:val="clear" w:color="auto" w:fill="FFFFFF"/>
          </w:tcPr>
          <w:p w14:paraId="636AD01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3.2.C.2.2</w:t>
            </w:r>
          </w:p>
        </w:tc>
        <w:tc>
          <w:tcPr>
            <w:tcW w:w="5453" w:type="dxa"/>
            <w:shd w:val="clear" w:color="auto" w:fill="FFFFFF"/>
          </w:tcPr>
          <w:p w14:paraId="13BE4ED6"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Արտադրության գործընթացի </w:t>
            </w:r>
            <w:r w:rsidR="00C54D75">
              <w:rPr>
                <w:rStyle w:val="Bodytext1811pt"/>
                <w:rFonts w:ascii="Sylfaen" w:hAnsi="Sylfaen"/>
                <w:sz w:val="24"/>
                <w:szCs w:val="24"/>
              </w:rPr>
              <w:t>և</w:t>
            </w:r>
            <w:r w:rsidRPr="00BD7577">
              <w:rPr>
                <w:rStyle w:val="Bodytext1811pt"/>
                <w:rFonts w:ascii="Sylfaen" w:hAnsi="Sylfaen"/>
                <w:sz w:val="24"/>
                <w:szCs w:val="24"/>
              </w:rPr>
              <w:t xml:space="preserve"> դրա հսկողության նկարագրությունը՝</w:t>
            </w:r>
          </w:p>
          <w:p w14:paraId="06E335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հումք (անհրաժեշտ է ներկայացնել բույսերի արտադրությունն ու հավաքումը պատշաճ կերպով նկարագրող տեղեկություններ), ներառյալ՝ դեղաբույսի աշխարհագրական ծագումը</w:t>
            </w:r>
          </w:p>
          <w:p w14:paraId="559A36D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աճեցման, հավաքման, չորացման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պահպանման պայմանները, սերիայի չափը</w:t>
            </w:r>
          </w:p>
        </w:tc>
        <w:tc>
          <w:tcPr>
            <w:tcW w:w="1608" w:type="dxa"/>
            <w:shd w:val="clear" w:color="auto" w:fill="FFFFFF"/>
          </w:tcPr>
          <w:p w14:paraId="1836EED0"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բլոկ-սխեման</w:t>
            </w:r>
          </w:p>
        </w:tc>
        <w:tc>
          <w:tcPr>
            <w:tcW w:w="1435" w:type="dxa"/>
            <w:shd w:val="clear" w:color="auto" w:fill="FFFFFF"/>
          </w:tcPr>
          <w:p w14:paraId="0E745C1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մանրամասն տեղեկությունները</w:t>
            </w:r>
          </w:p>
        </w:tc>
      </w:tr>
      <w:tr w:rsidR="008C76E0" w:rsidRPr="00BD7577" w14:paraId="1C6A2C4D" w14:textId="77777777" w:rsidTr="008C76E0">
        <w:trPr>
          <w:gridAfter w:val="1"/>
          <w:wAfter w:w="7" w:type="dxa"/>
          <w:jc w:val="center"/>
        </w:trPr>
        <w:tc>
          <w:tcPr>
            <w:tcW w:w="1424" w:type="dxa"/>
            <w:shd w:val="clear" w:color="auto" w:fill="FFFFFF"/>
          </w:tcPr>
          <w:p w14:paraId="34449573" w14:textId="77777777" w:rsidR="008C76E0" w:rsidRPr="00BD7577" w:rsidRDefault="008C76E0" w:rsidP="008C76E0">
            <w:pPr>
              <w:spacing w:after="120" w:line="240" w:lineRule="auto"/>
              <w:ind w:left="83" w:right="-1"/>
              <w:jc w:val="both"/>
              <w:rPr>
                <w:rFonts w:ascii="Sylfaen" w:hAnsi="Sylfaen"/>
                <w:sz w:val="24"/>
                <w:szCs w:val="24"/>
              </w:rPr>
            </w:pPr>
          </w:p>
        </w:tc>
        <w:tc>
          <w:tcPr>
            <w:tcW w:w="5459" w:type="dxa"/>
            <w:gridSpan w:val="2"/>
            <w:shd w:val="clear" w:color="auto" w:fill="FFFFFF"/>
          </w:tcPr>
          <w:p w14:paraId="462627DB"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 xml:space="preserve">բուսական դեղագործական բաղադրամասեր (անհրաժեշտ է ներկայացնել բուսական </w:t>
            </w:r>
            <w:r w:rsidRPr="00BD7577">
              <w:rPr>
                <w:rStyle w:val="Bodytext1811pt"/>
                <w:rFonts w:ascii="Sylfaen" w:hAnsi="Sylfaen"/>
                <w:sz w:val="24"/>
                <w:szCs w:val="24"/>
              </w:rPr>
              <w:lastRenderedPageBreak/>
              <w:t>դեղագործական բաղադրամասի արտադրության գործընթացը պատշաճ կերպով նկարագրել թույլ տվող տեղեկություններ), ներառյալ՝</w:t>
            </w:r>
          </w:p>
          <w:p w14:paraId="40D3D68C"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մշակման նկարագրությունը (այդ թվում՝ բլոկ-սխեման)</w:t>
            </w:r>
          </w:p>
          <w:p w14:paraId="19DA9878"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լուծիչները, ռեակտիվները</w:t>
            </w:r>
          </w:p>
          <w:p w14:paraId="721804BD"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մաքրման փուլերը</w:t>
            </w:r>
          </w:p>
          <w:p w14:paraId="1E7ABC00"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սերիայի չափի ստանդարտացումը</w:t>
            </w:r>
          </w:p>
        </w:tc>
        <w:tc>
          <w:tcPr>
            <w:tcW w:w="1608" w:type="dxa"/>
            <w:shd w:val="clear" w:color="auto" w:fill="FFFFFF"/>
          </w:tcPr>
          <w:p w14:paraId="658B10DB"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23129EFE"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0627E92" w14:textId="77777777" w:rsidTr="008C76E0">
        <w:trPr>
          <w:gridAfter w:val="1"/>
          <w:wAfter w:w="7" w:type="dxa"/>
          <w:jc w:val="center"/>
        </w:trPr>
        <w:tc>
          <w:tcPr>
            <w:tcW w:w="1424" w:type="dxa"/>
            <w:shd w:val="clear" w:color="auto" w:fill="FFFFFF"/>
            <w:vAlign w:val="bottom"/>
          </w:tcPr>
          <w:p w14:paraId="30323807"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3.2.C.2.3</w:t>
            </w:r>
          </w:p>
        </w:tc>
        <w:tc>
          <w:tcPr>
            <w:tcW w:w="5459" w:type="dxa"/>
            <w:gridSpan w:val="2"/>
            <w:shd w:val="clear" w:color="auto" w:fill="FFFFFF"/>
            <w:vAlign w:val="bottom"/>
          </w:tcPr>
          <w:p w14:paraId="119C24E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Նյութերի հսկողությունը</w:t>
            </w:r>
          </w:p>
        </w:tc>
        <w:tc>
          <w:tcPr>
            <w:tcW w:w="1608" w:type="dxa"/>
            <w:shd w:val="clear" w:color="auto" w:fill="FFFFFF"/>
          </w:tcPr>
          <w:p w14:paraId="2E40B33F"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vAlign w:val="bottom"/>
          </w:tcPr>
          <w:p w14:paraId="03293EF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7D25AB0B" w14:textId="77777777" w:rsidTr="008C76E0">
        <w:trPr>
          <w:gridAfter w:val="1"/>
          <w:wAfter w:w="7" w:type="dxa"/>
          <w:jc w:val="center"/>
        </w:trPr>
        <w:tc>
          <w:tcPr>
            <w:tcW w:w="1424" w:type="dxa"/>
            <w:shd w:val="clear" w:color="auto" w:fill="FFFFFF"/>
          </w:tcPr>
          <w:p w14:paraId="3D9EA140"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3.2.C.2.4</w:t>
            </w:r>
          </w:p>
        </w:tc>
        <w:tc>
          <w:tcPr>
            <w:tcW w:w="5459" w:type="dxa"/>
            <w:gridSpan w:val="2"/>
            <w:shd w:val="clear" w:color="auto" w:fill="FFFFFF"/>
          </w:tcPr>
          <w:p w14:paraId="099CE88C"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Կրիտիկական փուլերի </w:t>
            </w:r>
            <w:r w:rsidR="00C54D75">
              <w:rPr>
                <w:rStyle w:val="Bodytext1811pt"/>
                <w:rFonts w:ascii="Sylfaen" w:hAnsi="Sylfaen"/>
                <w:sz w:val="24"/>
                <w:szCs w:val="24"/>
              </w:rPr>
              <w:t>և</w:t>
            </w:r>
            <w:r w:rsidRPr="00BD7577">
              <w:rPr>
                <w:rStyle w:val="Bodytext1811pt"/>
                <w:rFonts w:ascii="Sylfaen" w:hAnsi="Sylfaen"/>
                <w:sz w:val="24"/>
                <w:szCs w:val="24"/>
              </w:rPr>
              <w:t xml:space="preserve"> միջանկյալ արտադրանքների հսկողությունը</w:t>
            </w:r>
          </w:p>
        </w:tc>
        <w:tc>
          <w:tcPr>
            <w:tcW w:w="1608" w:type="dxa"/>
            <w:shd w:val="clear" w:color="auto" w:fill="FFFFFF"/>
            <w:vAlign w:val="bottom"/>
          </w:tcPr>
          <w:p w14:paraId="63920398" w14:textId="548EADFB"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եթե այն էական է նա</w:t>
            </w:r>
            <w:r w:rsidR="00C54D75">
              <w:rPr>
                <w:rStyle w:val="Bodytext1811pt"/>
                <w:rFonts w:ascii="Sylfaen" w:hAnsi="Sylfaen"/>
                <w:sz w:val="24"/>
                <w:szCs w:val="24"/>
              </w:rPr>
              <w:t>և</w:t>
            </w:r>
            <w:r w:rsidRPr="00BD7577">
              <w:rPr>
                <w:rStyle w:val="Bodytext1811pt"/>
                <w:rFonts w:ascii="Sylfaen" w:hAnsi="Sylfaen"/>
                <w:sz w:val="24"/>
                <w:szCs w:val="24"/>
              </w:rPr>
              <w:t xml:space="preserve"> ԳՀ-ի իրավատիրոջ (</w:t>
            </w:r>
            <w:r w:rsidR="0056496B">
              <w:rPr>
                <w:rStyle w:val="Bodytext1811pt"/>
                <w:rFonts w:ascii="Sylfaen" w:hAnsi="Sylfaen"/>
                <w:sz w:val="24"/>
                <w:szCs w:val="24"/>
              </w:rPr>
              <w:t>դիմումատու</w:t>
            </w:r>
            <w:r w:rsidRPr="00BD7577">
              <w:rPr>
                <w:rStyle w:val="Bodytext1811pt"/>
                <w:rFonts w:ascii="Sylfaen" w:hAnsi="Sylfaen"/>
                <w:sz w:val="24"/>
                <w:szCs w:val="24"/>
              </w:rPr>
              <w:t>ի) համար</w:t>
            </w:r>
          </w:p>
        </w:tc>
        <w:tc>
          <w:tcPr>
            <w:tcW w:w="1435" w:type="dxa"/>
            <w:shd w:val="clear" w:color="auto" w:fill="FFFFFF"/>
          </w:tcPr>
          <w:p w14:paraId="73A0DC05"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77527ADD" w14:textId="77777777" w:rsidTr="008C76E0">
        <w:trPr>
          <w:gridAfter w:val="1"/>
          <w:wAfter w:w="7" w:type="dxa"/>
          <w:jc w:val="center"/>
        </w:trPr>
        <w:tc>
          <w:tcPr>
            <w:tcW w:w="1424" w:type="dxa"/>
            <w:shd w:val="clear" w:color="auto" w:fill="FFFFFF"/>
          </w:tcPr>
          <w:p w14:paraId="291FAF52"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3.2.C.2.5</w:t>
            </w:r>
          </w:p>
        </w:tc>
        <w:tc>
          <w:tcPr>
            <w:tcW w:w="5459" w:type="dxa"/>
            <w:gridSpan w:val="2"/>
            <w:shd w:val="clear" w:color="auto" w:fill="FFFFFF"/>
          </w:tcPr>
          <w:p w14:paraId="3F95AD0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Գործընթացի վալիդացումը </w:t>
            </w:r>
            <w:r w:rsidR="00C54D75">
              <w:rPr>
                <w:rStyle w:val="Bodytext1811pt"/>
                <w:rFonts w:ascii="Sylfaen" w:hAnsi="Sylfaen"/>
                <w:sz w:val="24"/>
                <w:szCs w:val="24"/>
              </w:rPr>
              <w:t>և</w:t>
            </w:r>
            <w:r w:rsidRPr="00BD7577">
              <w:rPr>
                <w:rStyle w:val="Bodytext1811pt"/>
                <w:rFonts w:ascii="Sylfaen" w:hAnsi="Sylfaen"/>
                <w:sz w:val="24"/>
                <w:szCs w:val="24"/>
              </w:rPr>
              <w:t xml:space="preserve"> (կամ) վերլուծությունը</w:t>
            </w:r>
          </w:p>
        </w:tc>
        <w:tc>
          <w:tcPr>
            <w:tcW w:w="1608" w:type="dxa"/>
            <w:shd w:val="clear" w:color="auto" w:fill="FFFFFF"/>
          </w:tcPr>
          <w:p w14:paraId="6C1C20B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0E1FDC4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56819C97" w14:textId="77777777" w:rsidTr="008C76E0">
        <w:trPr>
          <w:gridAfter w:val="1"/>
          <w:wAfter w:w="7" w:type="dxa"/>
          <w:jc w:val="center"/>
        </w:trPr>
        <w:tc>
          <w:tcPr>
            <w:tcW w:w="1424" w:type="dxa"/>
            <w:shd w:val="clear" w:color="auto" w:fill="FFFFFF"/>
          </w:tcPr>
          <w:p w14:paraId="32405FC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3.2.C.2.6</w:t>
            </w:r>
          </w:p>
        </w:tc>
        <w:tc>
          <w:tcPr>
            <w:tcW w:w="5459" w:type="dxa"/>
            <w:gridSpan w:val="2"/>
            <w:shd w:val="clear" w:color="auto" w:fill="FFFFFF"/>
            <w:vAlign w:val="bottom"/>
          </w:tcPr>
          <w:p w14:paraId="6AA739EB"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Արտադրական գործընթացի մշակումը՝ անհրաժեշտ է ներկայացնել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մշակման վերաբերյալ համառոտ ռեզյումե (եթե կիրառելի է)՝ հաշվի առնելով ներմուծման </w:t>
            </w:r>
            <w:r w:rsidR="00C54D75">
              <w:rPr>
                <w:rStyle w:val="Bodytext1811pt"/>
                <w:rFonts w:ascii="Sylfaen" w:hAnsi="Sylfaen"/>
                <w:sz w:val="24"/>
                <w:szCs w:val="24"/>
              </w:rPr>
              <w:t>և</w:t>
            </w:r>
            <w:r w:rsidRPr="00BD7577">
              <w:rPr>
                <w:rStyle w:val="Bodytext1811pt"/>
                <w:rFonts w:ascii="Sylfaen" w:hAnsi="Sylfaen"/>
                <w:sz w:val="24"/>
                <w:szCs w:val="24"/>
              </w:rPr>
              <w:t xml:space="preserve"> կիրառման առաջարկվող եղանակը</w:t>
            </w:r>
          </w:p>
          <w:p w14:paraId="2C65EA6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անհրաժեշտ է վերլուծել օգտագործված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բուսաքիմիական կազմության համեմատման արդյունքները՝ հաշվի առնելով մատենագիտական տվյալները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С.1 բաժնում ներկայացված նկարագրությունները</w:t>
            </w:r>
          </w:p>
        </w:tc>
        <w:tc>
          <w:tcPr>
            <w:tcW w:w="1608" w:type="dxa"/>
            <w:shd w:val="clear" w:color="auto" w:fill="FFFFFF"/>
          </w:tcPr>
          <w:p w14:paraId="5CDE38D3"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5436D47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23558CD0" w14:textId="77777777" w:rsidTr="008C76E0">
        <w:trPr>
          <w:gridAfter w:val="1"/>
          <w:wAfter w:w="7" w:type="dxa"/>
          <w:jc w:val="center"/>
        </w:trPr>
        <w:tc>
          <w:tcPr>
            <w:tcW w:w="1424" w:type="dxa"/>
            <w:shd w:val="clear" w:color="auto" w:fill="FFFFFF"/>
          </w:tcPr>
          <w:p w14:paraId="45613202"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w:t>
            </w:r>
          </w:p>
        </w:tc>
        <w:tc>
          <w:tcPr>
            <w:tcW w:w="5459" w:type="dxa"/>
            <w:gridSpan w:val="2"/>
            <w:shd w:val="clear" w:color="auto" w:fill="FFFFFF"/>
          </w:tcPr>
          <w:p w14:paraId="3CC858CF"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Հատկությունների նկարագրությունը</w:t>
            </w:r>
          </w:p>
        </w:tc>
        <w:tc>
          <w:tcPr>
            <w:tcW w:w="1608" w:type="dxa"/>
            <w:shd w:val="clear" w:color="auto" w:fill="FFFFFF"/>
          </w:tcPr>
          <w:p w14:paraId="6D03CE1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46075BB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F83A4BA" w14:textId="77777777" w:rsidTr="008C76E0">
        <w:trPr>
          <w:gridAfter w:val="1"/>
          <w:wAfter w:w="7" w:type="dxa"/>
          <w:jc w:val="center"/>
        </w:trPr>
        <w:tc>
          <w:tcPr>
            <w:tcW w:w="1424" w:type="dxa"/>
            <w:shd w:val="clear" w:color="auto" w:fill="FFFFFF"/>
          </w:tcPr>
          <w:p w14:paraId="2407D68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3.2.C.3.1</w:t>
            </w:r>
          </w:p>
        </w:tc>
        <w:tc>
          <w:tcPr>
            <w:tcW w:w="5459" w:type="dxa"/>
            <w:gridSpan w:val="2"/>
            <w:shd w:val="clear" w:color="auto" w:fill="FFFFFF"/>
            <w:vAlign w:val="bottom"/>
          </w:tcPr>
          <w:p w14:paraId="5BBE30D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Կառուցվածքի </w:t>
            </w:r>
            <w:r w:rsidR="00C54D75">
              <w:rPr>
                <w:rStyle w:val="Bodytext1811pt"/>
                <w:rFonts w:ascii="Sylfaen" w:hAnsi="Sylfaen"/>
                <w:sz w:val="24"/>
                <w:szCs w:val="24"/>
              </w:rPr>
              <w:t>և</w:t>
            </w:r>
            <w:r w:rsidRPr="00BD7577">
              <w:rPr>
                <w:rStyle w:val="Bodytext1811pt"/>
                <w:rFonts w:ascii="Sylfaen" w:hAnsi="Sylfaen"/>
                <w:sz w:val="24"/>
                <w:szCs w:val="24"/>
              </w:rPr>
              <w:t xml:space="preserve"> այլ հատկությունների նկարագրությունը</w:t>
            </w:r>
          </w:p>
          <w:p w14:paraId="2A64979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բուսական հումքը (անհրաժեշտ է ներկայացնել տեղեկություններ՝ բուսաբանական, մակրոսկոպիկ, միկրոսկոպիկ, բուսաքիմիական հատկությունների </w:t>
            </w:r>
            <w:r w:rsidR="00C54D75">
              <w:rPr>
                <w:rStyle w:val="Bodytext1811pt"/>
                <w:rFonts w:ascii="Sylfaen" w:hAnsi="Sylfaen"/>
                <w:sz w:val="24"/>
                <w:szCs w:val="24"/>
              </w:rPr>
              <w:t>և</w:t>
            </w:r>
            <w:r w:rsidRPr="00BD7577">
              <w:rPr>
                <w:rStyle w:val="Bodytext1811pt"/>
                <w:rFonts w:ascii="Sylfaen" w:hAnsi="Sylfaen"/>
                <w:sz w:val="24"/>
                <w:szCs w:val="24"/>
              </w:rPr>
              <w:t xml:space="preserve"> կենսաբանական </w:t>
            </w:r>
            <w:r w:rsidRPr="00BD7577">
              <w:rPr>
                <w:rStyle w:val="Bodytext1811pt"/>
                <w:rFonts w:ascii="Sylfaen" w:hAnsi="Sylfaen"/>
                <w:sz w:val="24"/>
                <w:szCs w:val="24"/>
              </w:rPr>
              <w:lastRenderedPageBreak/>
              <w:t>հատկությունների վերաբերյալ (եթե պահանջվում է))</w:t>
            </w:r>
          </w:p>
          <w:p w14:paraId="7018AD35"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բուսական դեղագործական բաղադրամասերը (անհրաժեշտ է ներկայացնել տեղեկություններ՝ բուսաքիմիական </w:t>
            </w:r>
            <w:r w:rsidR="00C54D75">
              <w:rPr>
                <w:rStyle w:val="Bodytext1811pt"/>
                <w:rFonts w:ascii="Sylfaen" w:hAnsi="Sylfaen"/>
                <w:sz w:val="24"/>
                <w:szCs w:val="24"/>
              </w:rPr>
              <w:t>և</w:t>
            </w:r>
            <w:r w:rsidRPr="00BD7577">
              <w:rPr>
                <w:rStyle w:val="Bodytext1811pt"/>
                <w:rFonts w:ascii="Sylfaen" w:hAnsi="Sylfaen"/>
                <w:sz w:val="24"/>
                <w:szCs w:val="24"/>
              </w:rPr>
              <w:t xml:space="preserve"> ֆիզիկաքիմիական հատկությունների </w:t>
            </w:r>
            <w:r w:rsidR="00C54D75">
              <w:rPr>
                <w:rStyle w:val="Bodytext1811pt"/>
                <w:rFonts w:ascii="Sylfaen" w:hAnsi="Sylfaen"/>
                <w:sz w:val="24"/>
                <w:szCs w:val="24"/>
              </w:rPr>
              <w:t>և</w:t>
            </w:r>
            <w:r w:rsidRPr="00BD7577">
              <w:rPr>
                <w:rStyle w:val="Bodytext1811pt"/>
                <w:rFonts w:ascii="Sylfaen" w:hAnsi="Sylfaen"/>
                <w:sz w:val="24"/>
                <w:szCs w:val="24"/>
              </w:rPr>
              <w:t xml:space="preserve"> կենսաբանական ակտիվության վերաբերյալ (եթե պահանջվում է))</w:t>
            </w:r>
          </w:p>
        </w:tc>
        <w:tc>
          <w:tcPr>
            <w:tcW w:w="1608" w:type="dxa"/>
            <w:shd w:val="clear" w:color="auto" w:fill="FFFFFF"/>
          </w:tcPr>
          <w:p w14:paraId="7DB9C84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lastRenderedPageBreak/>
              <w:t>x</w:t>
            </w:r>
          </w:p>
        </w:tc>
        <w:tc>
          <w:tcPr>
            <w:tcW w:w="1435" w:type="dxa"/>
            <w:shd w:val="clear" w:color="auto" w:fill="FFFFFF"/>
          </w:tcPr>
          <w:p w14:paraId="5B456013"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4F11073" w14:textId="77777777" w:rsidTr="008C76E0">
        <w:trPr>
          <w:gridAfter w:val="1"/>
          <w:wAfter w:w="7" w:type="dxa"/>
          <w:jc w:val="center"/>
        </w:trPr>
        <w:tc>
          <w:tcPr>
            <w:tcW w:w="1424" w:type="dxa"/>
            <w:shd w:val="clear" w:color="auto" w:fill="FFFFFF"/>
            <w:vAlign w:val="bottom"/>
          </w:tcPr>
          <w:p w14:paraId="485335A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3.2.C.3.2</w:t>
            </w:r>
          </w:p>
        </w:tc>
        <w:tc>
          <w:tcPr>
            <w:tcW w:w="5459" w:type="dxa"/>
            <w:gridSpan w:val="2"/>
            <w:shd w:val="clear" w:color="auto" w:fill="FFFFFF"/>
            <w:vAlign w:val="bottom"/>
          </w:tcPr>
          <w:p w14:paraId="3B3E4FD0"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Խառնուկները</w:t>
            </w:r>
          </w:p>
        </w:tc>
        <w:tc>
          <w:tcPr>
            <w:tcW w:w="1608" w:type="dxa"/>
            <w:shd w:val="clear" w:color="auto" w:fill="FFFFFF"/>
            <w:vAlign w:val="bottom"/>
          </w:tcPr>
          <w:p w14:paraId="6088B9F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7853765F"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E19F4FA" w14:textId="77777777" w:rsidTr="008C76E0">
        <w:trPr>
          <w:jc w:val="center"/>
        </w:trPr>
        <w:tc>
          <w:tcPr>
            <w:tcW w:w="1424" w:type="dxa"/>
            <w:shd w:val="clear" w:color="auto" w:fill="FFFFFF"/>
          </w:tcPr>
          <w:p w14:paraId="1F10E206"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w:t>
            </w:r>
          </w:p>
        </w:tc>
        <w:tc>
          <w:tcPr>
            <w:tcW w:w="5459" w:type="dxa"/>
            <w:gridSpan w:val="2"/>
            <w:shd w:val="clear" w:color="auto" w:fill="FFFFFF"/>
          </w:tcPr>
          <w:p w14:paraId="65BBB64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Դեղագործական բաղադրամասի որակի հսկողությունը</w:t>
            </w:r>
          </w:p>
        </w:tc>
        <w:tc>
          <w:tcPr>
            <w:tcW w:w="1608" w:type="dxa"/>
            <w:shd w:val="clear" w:color="auto" w:fill="FFFFFF"/>
          </w:tcPr>
          <w:p w14:paraId="6D4CA12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2FD01DF4"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AC7EC01" w14:textId="77777777" w:rsidTr="008C76E0">
        <w:trPr>
          <w:jc w:val="center"/>
        </w:trPr>
        <w:tc>
          <w:tcPr>
            <w:tcW w:w="1424" w:type="dxa"/>
            <w:shd w:val="clear" w:color="auto" w:fill="FFFFFF"/>
            <w:vAlign w:val="center"/>
          </w:tcPr>
          <w:p w14:paraId="24D804C5"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3.2.C.4.1</w:t>
            </w:r>
          </w:p>
        </w:tc>
        <w:tc>
          <w:tcPr>
            <w:tcW w:w="5459" w:type="dxa"/>
            <w:gridSpan w:val="2"/>
            <w:shd w:val="clear" w:color="auto" w:fill="FFFFFF"/>
            <w:vAlign w:val="center"/>
          </w:tcPr>
          <w:p w14:paraId="0E3BCD44"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Մասնագիրը</w:t>
            </w:r>
          </w:p>
        </w:tc>
        <w:tc>
          <w:tcPr>
            <w:tcW w:w="1608" w:type="dxa"/>
            <w:shd w:val="clear" w:color="auto" w:fill="FFFFFF"/>
            <w:vAlign w:val="center"/>
          </w:tcPr>
          <w:p w14:paraId="273E590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1DEB668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8BD2DB0" w14:textId="77777777" w:rsidTr="008C76E0">
        <w:trPr>
          <w:jc w:val="center"/>
        </w:trPr>
        <w:tc>
          <w:tcPr>
            <w:tcW w:w="1424" w:type="dxa"/>
            <w:shd w:val="clear" w:color="auto" w:fill="FFFFFF"/>
            <w:vAlign w:val="center"/>
          </w:tcPr>
          <w:p w14:paraId="12B5C25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3.2.C.4.2</w:t>
            </w:r>
          </w:p>
        </w:tc>
        <w:tc>
          <w:tcPr>
            <w:tcW w:w="5459" w:type="dxa"/>
            <w:gridSpan w:val="2"/>
            <w:shd w:val="clear" w:color="auto" w:fill="FFFFFF"/>
            <w:vAlign w:val="center"/>
          </w:tcPr>
          <w:p w14:paraId="61ED9E0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Վերլուծական մեթոդիկաները</w:t>
            </w:r>
          </w:p>
        </w:tc>
        <w:tc>
          <w:tcPr>
            <w:tcW w:w="1608" w:type="dxa"/>
            <w:shd w:val="clear" w:color="auto" w:fill="FFFFFF"/>
            <w:vAlign w:val="center"/>
          </w:tcPr>
          <w:p w14:paraId="73D4809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3A56A32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54742B9" w14:textId="77777777" w:rsidTr="008C76E0">
        <w:trPr>
          <w:jc w:val="center"/>
        </w:trPr>
        <w:tc>
          <w:tcPr>
            <w:tcW w:w="1424" w:type="dxa"/>
            <w:shd w:val="clear" w:color="auto" w:fill="FFFFFF"/>
            <w:vAlign w:val="center"/>
          </w:tcPr>
          <w:p w14:paraId="7C8E86B6"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3.2.C.4.3</w:t>
            </w:r>
          </w:p>
        </w:tc>
        <w:tc>
          <w:tcPr>
            <w:tcW w:w="5459" w:type="dxa"/>
            <w:gridSpan w:val="2"/>
            <w:shd w:val="clear" w:color="auto" w:fill="FFFFFF"/>
            <w:vAlign w:val="center"/>
          </w:tcPr>
          <w:p w14:paraId="02D2E2C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Վերլուծական մեթոդիկաների վալիդացումը</w:t>
            </w:r>
          </w:p>
        </w:tc>
        <w:tc>
          <w:tcPr>
            <w:tcW w:w="1608" w:type="dxa"/>
            <w:shd w:val="clear" w:color="auto" w:fill="FFFFFF"/>
            <w:vAlign w:val="center"/>
          </w:tcPr>
          <w:p w14:paraId="6F531DC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62AB00B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28BBB69" w14:textId="77777777" w:rsidTr="008C76E0">
        <w:trPr>
          <w:jc w:val="center"/>
        </w:trPr>
        <w:tc>
          <w:tcPr>
            <w:tcW w:w="1424" w:type="dxa"/>
            <w:shd w:val="clear" w:color="auto" w:fill="FFFFFF"/>
            <w:vAlign w:val="bottom"/>
          </w:tcPr>
          <w:p w14:paraId="29D78FAC"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3.2.C.4.4</w:t>
            </w:r>
          </w:p>
        </w:tc>
        <w:tc>
          <w:tcPr>
            <w:tcW w:w="5459" w:type="dxa"/>
            <w:gridSpan w:val="2"/>
            <w:shd w:val="clear" w:color="auto" w:fill="FFFFFF"/>
            <w:vAlign w:val="bottom"/>
          </w:tcPr>
          <w:p w14:paraId="4DAF728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Սերիաների անալիզը</w:t>
            </w:r>
          </w:p>
        </w:tc>
        <w:tc>
          <w:tcPr>
            <w:tcW w:w="1608" w:type="dxa"/>
            <w:shd w:val="clear" w:color="auto" w:fill="FFFFFF"/>
            <w:vAlign w:val="bottom"/>
          </w:tcPr>
          <w:p w14:paraId="5EC8A17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51E753EE"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3AE482E" w14:textId="77777777" w:rsidTr="008C76E0">
        <w:trPr>
          <w:jc w:val="center"/>
        </w:trPr>
        <w:tc>
          <w:tcPr>
            <w:tcW w:w="1424" w:type="dxa"/>
            <w:shd w:val="clear" w:color="auto" w:fill="FFFFFF"/>
            <w:vAlign w:val="center"/>
          </w:tcPr>
          <w:p w14:paraId="35A17ED7"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3.2.C.4.5</w:t>
            </w:r>
          </w:p>
        </w:tc>
        <w:tc>
          <w:tcPr>
            <w:tcW w:w="5459" w:type="dxa"/>
            <w:gridSpan w:val="2"/>
            <w:shd w:val="clear" w:color="auto" w:fill="FFFFFF"/>
            <w:vAlign w:val="center"/>
          </w:tcPr>
          <w:p w14:paraId="0F8BD3D4"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Մասնագրի հիմնավորումը</w:t>
            </w:r>
          </w:p>
        </w:tc>
        <w:tc>
          <w:tcPr>
            <w:tcW w:w="1608" w:type="dxa"/>
            <w:shd w:val="clear" w:color="auto" w:fill="FFFFFF"/>
            <w:vAlign w:val="center"/>
          </w:tcPr>
          <w:p w14:paraId="024A17B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vAlign w:val="center"/>
          </w:tcPr>
          <w:p w14:paraId="6F7C03E5"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4B40AB05" w14:textId="77777777" w:rsidTr="008C76E0">
        <w:trPr>
          <w:jc w:val="center"/>
        </w:trPr>
        <w:tc>
          <w:tcPr>
            <w:tcW w:w="1424" w:type="dxa"/>
            <w:shd w:val="clear" w:color="auto" w:fill="FFFFFF"/>
            <w:vAlign w:val="center"/>
          </w:tcPr>
          <w:p w14:paraId="5013CAF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3.2.C.5</w:t>
            </w:r>
          </w:p>
        </w:tc>
        <w:tc>
          <w:tcPr>
            <w:tcW w:w="5459" w:type="dxa"/>
            <w:gridSpan w:val="2"/>
            <w:shd w:val="clear" w:color="auto" w:fill="FFFFFF"/>
            <w:vAlign w:val="center"/>
          </w:tcPr>
          <w:p w14:paraId="225EB07D"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Ստանդարտ նմուշները </w:t>
            </w:r>
            <w:r w:rsidR="00C54D75">
              <w:rPr>
                <w:rStyle w:val="Bodytext1811pt"/>
                <w:rFonts w:ascii="Sylfaen" w:hAnsi="Sylfaen"/>
                <w:sz w:val="24"/>
                <w:szCs w:val="24"/>
              </w:rPr>
              <w:t>և</w:t>
            </w:r>
            <w:r w:rsidRPr="00BD7577">
              <w:rPr>
                <w:rStyle w:val="Bodytext1811pt"/>
                <w:rFonts w:ascii="Sylfaen" w:hAnsi="Sylfaen"/>
                <w:sz w:val="24"/>
                <w:szCs w:val="24"/>
              </w:rPr>
              <w:t xml:space="preserve"> նյութերը</w:t>
            </w:r>
          </w:p>
        </w:tc>
        <w:tc>
          <w:tcPr>
            <w:tcW w:w="1608" w:type="dxa"/>
            <w:shd w:val="clear" w:color="auto" w:fill="FFFFFF"/>
            <w:vAlign w:val="center"/>
          </w:tcPr>
          <w:p w14:paraId="25A572D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573299B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4392B093" w14:textId="77777777" w:rsidTr="008C76E0">
        <w:trPr>
          <w:jc w:val="center"/>
        </w:trPr>
        <w:tc>
          <w:tcPr>
            <w:tcW w:w="1424" w:type="dxa"/>
            <w:shd w:val="clear" w:color="auto" w:fill="FFFFFF"/>
            <w:vAlign w:val="center"/>
          </w:tcPr>
          <w:p w14:paraId="0AEDC3F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3.2.C.6</w:t>
            </w:r>
          </w:p>
        </w:tc>
        <w:tc>
          <w:tcPr>
            <w:tcW w:w="5459" w:type="dxa"/>
            <w:gridSpan w:val="2"/>
            <w:shd w:val="clear" w:color="auto" w:fill="FFFFFF"/>
            <w:vAlign w:val="center"/>
          </w:tcPr>
          <w:p w14:paraId="5E83E32C"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Փաթեթավորման-խցանափակման համակարգը</w:t>
            </w:r>
          </w:p>
        </w:tc>
        <w:tc>
          <w:tcPr>
            <w:tcW w:w="1608" w:type="dxa"/>
            <w:shd w:val="clear" w:color="auto" w:fill="FFFFFF"/>
            <w:vAlign w:val="center"/>
          </w:tcPr>
          <w:p w14:paraId="04AF064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4990658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5B2DA7F" w14:textId="77777777" w:rsidTr="008C76E0">
        <w:trPr>
          <w:jc w:val="center"/>
        </w:trPr>
        <w:tc>
          <w:tcPr>
            <w:tcW w:w="1424" w:type="dxa"/>
            <w:shd w:val="clear" w:color="auto" w:fill="FFFFFF"/>
            <w:vAlign w:val="center"/>
          </w:tcPr>
          <w:p w14:paraId="6D8CBF6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w:t>
            </w:r>
          </w:p>
        </w:tc>
        <w:tc>
          <w:tcPr>
            <w:tcW w:w="5459" w:type="dxa"/>
            <w:gridSpan w:val="2"/>
            <w:shd w:val="clear" w:color="auto" w:fill="FFFFFF"/>
            <w:vAlign w:val="center"/>
          </w:tcPr>
          <w:p w14:paraId="4B97E7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Կայունությունը</w:t>
            </w:r>
          </w:p>
        </w:tc>
        <w:tc>
          <w:tcPr>
            <w:tcW w:w="1608" w:type="dxa"/>
            <w:shd w:val="clear" w:color="auto" w:fill="FFFFFF"/>
            <w:vAlign w:val="center"/>
          </w:tcPr>
          <w:p w14:paraId="1DAB2A9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4A8D318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BF4F68B" w14:textId="77777777" w:rsidTr="008C76E0">
        <w:trPr>
          <w:jc w:val="center"/>
        </w:trPr>
        <w:tc>
          <w:tcPr>
            <w:tcW w:w="1424" w:type="dxa"/>
            <w:shd w:val="clear" w:color="auto" w:fill="FFFFFF"/>
            <w:vAlign w:val="center"/>
          </w:tcPr>
          <w:p w14:paraId="5974FFAB"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3.2.C.7.1</w:t>
            </w:r>
          </w:p>
        </w:tc>
        <w:tc>
          <w:tcPr>
            <w:tcW w:w="5459" w:type="dxa"/>
            <w:gridSpan w:val="2"/>
            <w:shd w:val="clear" w:color="auto" w:fill="FFFFFF"/>
            <w:vAlign w:val="center"/>
          </w:tcPr>
          <w:p w14:paraId="7881328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Կայունության վերաբերյալ ռեզյումեն </w:t>
            </w:r>
            <w:r w:rsidR="00C54D75">
              <w:rPr>
                <w:rStyle w:val="Bodytext1811pt"/>
                <w:rFonts w:ascii="Sylfaen" w:hAnsi="Sylfaen"/>
                <w:sz w:val="24"/>
                <w:szCs w:val="24"/>
              </w:rPr>
              <w:t>և</w:t>
            </w:r>
            <w:r w:rsidRPr="00BD7577">
              <w:rPr>
                <w:rStyle w:val="Bodytext1811pt"/>
                <w:rFonts w:ascii="Sylfaen" w:hAnsi="Sylfaen"/>
                <w:sz w:val="24"/>
                <w:szCs w:val="24"/>
              </w:rPr>
              <w:t xml:space="preserve"> եզրակացությունը</w:t>
            </w:r>
          </w:p>
        </w:tc>
        <w:tc>
          <w:tcPr>
            <w:tcW w:w="1608" w:type="dxa"/>
            <w:shd w:val="clear" w:color="auto" w:fill="FFFFFF"/>
            <w:vAlign w:val="center"/>
          </w:tcPr>
          <w:p w14:paraId="0F7CB5C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3E5708AF"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1DF915E" w14:textId="77777777" w:rsidTr="008C76E0">
        <w:trPr>
          <w:jc w:val="center"/>
        </w:trPr>
        <w:tc>
          <w:tcPr>
            <w:tcW w:w="1424" w:type="dxa"/>
            <w:shd w:val="clear" w:color="auto" w:fill="FFFFFF"/>
            <w:vAlign w:val="center"/>
          </w:tcPr>
          <w:p w14:paraId="6FA30B95"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3.2.C.7.2</w:t>
            </w:r>
          </w:p>
        </w:tc>
        <w:tc>
          <w:tcPr>
            <w:tcW w:w="5459" w:type="dxa"/>
            <w:gridSpan w:val="2"/>
            <w:shd w:val="clear" w:color="auto" w:fill="FFFFFF"/>
            <w:vAlign w:val="bottom"/>
          </w:tcPr>
          <w:p w14:paraId="5D005235"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Կայունության հետգրանցումային արձանագրությունը </w:t>
            </w:r>
            <w:r w:rsidR="00C54D75">
              <w:rPr>
                <w:rStyle w:val="Bodytext1811pt"/>
                <w:rFonts w:ascii="Sylfaen" w:hAnsi="Sylfaen"/>
                <w:sz w:val="24"/>
                <w:szCs w:val="24"/>
              </w:rPr>
              <w:t>և</w:t>
            </w:r>
            <w:r w:rsidRPr="00BD7577">
              <w:rPr>
                <w:rStyle w:val="Bodytext1811pt"/>
                <w:rFonts w:ascii="Sylfaen" w:hAnsi="Sylfaen"/>
                <w:sz w:val="24"/>
                <w:szCs w:val="24"/>
              </w:rPr>
              <w:t xml:space="preserve"> կայունության մասով պարտավորությունը</w:t>
            </w:r>
          </w:p>
        </w:tc>
        <w:tc>
          <w:tcPr>
            <w:tcW w:w="1608" w:type="dxa"/>
            <w:shd w:val="clear" w:color="auto" w:fill="FFFFFF"/>
            <w:vAlign w:val="center"/>
          </w:tcPr>
          <w:p w14:paraId="705E977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77E6874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F17CB19" w14:textId="77777777" w:rsidTr="008C76E0">
        <w:trPr>
          <w:jc w:val="center"/>
        </w:trPr>
        <w:tc>
          <w:tcPr>
            <w:tcW w:w="1424" w:type="dxa"/>
            <w:shd w:val="clear" w:color="auto" w:fill="FFFFFF"/>
            <w:vAlign w:val="bottom"/>
          </w:tcPr>
          <w:p w14:paraId="58D8AB5F"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3.2.C.7.3</w:t>
            </w:r>
          </w:p>
        </w:tc>
        <w:tc>
          <w:tcPr>
            <w:tcW w:w="5459" w:type="dxa"/>
            <w:gridSpan w:val="2"/>
            <w:shd w:val="clear" w:color="auto" w:fill="FFFFFF"/>
            <w:vAlign w:val="bottom"/>
          </w:tcPr>
          <w:p w14:paraId="0B334EC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Կայունության վերաբերյալ տվյալները</w:t>
            </w:r>
          </w:p>
        </w:tc>
        <w:tc>
          <w:tcPr>
            <w:tcW w:w="1608" w:type="dxa"/>
            <w:shd w:val="clear" w:color="auto" w:fill="FFFFFF"/>
            <w:vAlign w:val="bottom"/>
          </w:tcPr>
          <w:p w14:paraId="4A61038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06D11B7A" w14:textId="77777777" w:rsidR="008C76E0" w:rsidRPr="00BD7577" w:rsidRDefault="008C76E0" w:rsidP="008C76E0">
            <w:pPr>
              <w:spacing w:after="120" w:line="240" w:lineRule="auto"/>
              <w:ind w:right="-1"/>
              <w:jc w:val="center"/>
              <w:rPr>
                <w:rFonts w:ascii="Sylfaen" w:hAnsi="Sylfaen"/>
                <w:sz w:val="24"/>
                <w:szCs w:val="24"/>
              </w:rPr>
            </w:pPr>
          </w:p>
        </w:tc>
      </w:tr>
    </w:tbl>
    <w:p w14:paraId="6ED74543" w14:textId="77777777" w:rsidR="008C76E0" w:rsidRPr="00BD7577" w:rsidRDefault="008C76E0" w:rsidP="008C76E0">
      <w:pPr>
        <w:ind w:right="-1"/>
        <w:jc w:val="both"/>
        <w:rPr>
          <w:rStyle w:val="Bodytext2Spacing2pt"/>
          <w:rFonts w:ascii="Sylfaen" w:eastAsia="MS Mincho" w:hAnsi="Sylfaen"/>
          <w:spacing w:val="0"/>
          <w:sz w:val="24"/>
          <w:szCs w:val="24"/>
        </w:rPr>
      </w:pPr>
      <w:r w:rsidRPr="00BD7577">
        <w:rPr>
          <w:rFonts w:ascii="Sylfaen" w:hAnsi="Sylfaen"/>
          <w:sz w:val="24"/>
          <w:szCs w:val="24"/>
        </w:rPr>
        <w:br w:type="page"/>
      </w:r>
    </w:p>
    <w:p w14:paraId="53890A9C"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Լրացում թիվ 2</w:t>
      </w:r>
    </w:p>
    <w:p w14:paraId="4B68D278" w14:textId="77777777" w:rsidR="008C76E0" w:rsidRPr="00BD7577" w:rsidRDefault="008C76E0" w:rsidP="008C76E0">
      <w:pPr>
        <w:ind w:right="-1"/>
        <w:jc w:val="right"/>
        <w:rPr>
          <w:rFonts w:ascii="Sylfaen" w:hAnsi="Sylfaen"/>
          <w:sz w:val="24"/>
          <w:szCs w:val="24"/>
        </w:rPr>
      </w:pPr>
    </w:p>
    <w:p w14:paraId="0F5F3098" w14:textId="77777777" w:rsidR="008C76E0" w:rsidRPr="00007454" w:rsidRDefault="008C76E0" w:rsidP="008C76E0">
      <w:pPr>
        <w:ind w:left="567" w:right="566"/>
        <w:jc w:val="center"/>
        <w:rPr>
          <w:rFonts w:ascii="Sylfaen" w:hAnsi="Sylfaen"/>
          <w:b/>
          <w:sz w:val="24"/>
          <w:szCs w:val="24"/>
        </w:rPr>
      </w:pPr>
      <w:r w:rsidRPr="00007454">
        <w:rPr>
          <w:rStyle w:val="Bodytext2Spacing2pt"/>
          <w:rFonts w:ascii="Sylfaen" w:eastAsiaTheme="minorHAnsi" w:hAnsi="Sylfaen"/>
          <w:b/>
          <w:spacing w:val="0"/>
          <w:sz w:val="24"/>
          <w:szCs w:val="24"/>
        </w:rPr>
        <w:t>ՁԵՎ</w:t>
      </w:r>
    </w:p>
    <w:p w14:paraId="51D7F961" w14:textId="77777777" w:rsidR="008C76E0" w:rsidRPr="008C76E0" w:rsidRDefault="008C76E0" w:rsidP="008C76E0">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ակտիվ դեղագործական բաղադրամասի մաստեր-ֆայլի փակ մասի հասանելիության թույլտվության</w:t>
      </w:r>
    </w:p>
    <w:p w14:paraId="6586E6FC"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03584F35" w14:textId="77777777" w:rsidR="008C76E0" w:rsidRPr="00BD7577" w:rsidRDefault="008C76E0" w:rsidP="008C76E0">
      <w:pPr>
        <w:ind w:right="-1"/>
        <w:jc w:val="right"/>
        <w:rPr>
          <w:rFonts w:ascii="Sylfaen" w:hAnsi="Sylfaen"/>
          <w:sz w:val="24"/>
          <w:szCs w:val="24"/>
        </w:rPr>
      </w:pPr>
    </w:p>
    <w:p w14:paraId="6DE348D1"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ՖԻՐՄԱՅԻՆ ՁԵՎԱԹՈՒՂԹ</w:t>
      </w:r>
    </w:p>
    <w:p w14:paraId="436D6C57"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7E22D88" w14:textId="77777777" w:rsidR="008C76E0" w:rsidRPr="00BD7577" w:rsidRDefault="008C76E0" w:rsidP="008C76E0">
      <w:pPr>
        <w:ind w:right="-1"/>
        <w:jc w:val="center"/>
        <w:rPr>
          <w:rFonts w:ascii="Sylfaen" w:hAnsi="Sylfaen"/>
          <w:sz w:val="24"/>
          <w:szCs w:val="24"/>
        </w:rPr>
      </w:pPr>
    </w:p>
    <w:p w14:paraId="1AF991C6"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{Անդամ պետության լիազորված մարմնի հասցեն}</w:t>
      </w:r>
    </w:p>
    <w:p w14:paraId="735A2AD3"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{Ամսաթիվը}</w:t>
      </w:r>
    </w:p>
    <w:p w14:paraId="6529CEF2"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Ակտիվ դեղագործական բաղադրամասի մաստեր-ֆայլի համարը՝</w:t>
      </w:r>
    </w:p>
    <w:p w14:paraId="0FF50224"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{ԱԴԲՄՖ-ի ծածկագրային համարը}</w:t>
      </w:r>
    </w:p>
    <w:p w14:paraId="455FEBF4" w14:textId="77777777" w:rsidR="008C76E0" w:rsidRPr="00BD7577" w:rsidRDefault="008C76E0" w:rsidP="008C76E0">
      <w:pPr>
        <w:ind w:right="-1"/>
        <w:rPr>
          <w:rFonts w:ascii="Sylfaen" w:hAnsi="Sylfaen"/>
          <w:sz w:val="24"/>
          <w:szCs w:val="24"/>
        </w:rPr>
      </w:pPr>
    </w:p>
    <w:p w14:paraId="0BEBD76B"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71B3ED4C"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անվանումը՝</w:t>
      </w:r>
    </w:p>
    <w:p w14:paraId="1EA37D1D" w14:textId="77777777" w:rsidR="008C76E0" w:rsidRPr="002F33A8" w:rsidRDefault="008C76E0" w:rsidP="00066EC8">
      <w:pPr>
        <w:spacing w:after="160" w:line="360" w:lineRule="auto"/>
        <w:ind w:firstLine="567"/>
        <w:jc w:val="both"/>
        <w:rPr>
          <w:rFonts w:ascii="Sylfaen" w:hAnsi="Sylfaen"/>
          <w:spacing w:val="-4"/>
          <w:sz w:val="24"/>
          <w:szCs w:val="24"/>
        </w:rPr>
      </w:pPr>
      <w:r w:rsidRPr="002F33A8">
        <w:rPr>
          <w:rFonts w:ascii="Sylfaen" w:hAnsi="Sylfaen"/>
          <w:spacing w:val="-4"/>
          <w:sz w:val="24"/>
          <w:szCs w:val="24"/>
        </w:rPr>
        <w:t>Ակտիվ դեղագործական բաղադրամասի ներքին ծածկագիրը (եթե կիրառելի է)՝</w:t>
      </w:r>
    </w:p>
    <w:p w14:paraId="010388CC"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իրավատերը՝ </w:t>
      </w:r>
      <w:r w:rsidRPr="002F33A8">
        <w:rPr>
          <w:rStyle w:val="Bodytext295pt"/>
          <w:rFonts w:ascii="Sylfaen" w:eastAsiaTheme="minorHAnsi" w:hAnsi="Sylfaen"/>
          <w:b w:val="0"/>
          <w:spacing w:val="0"/>
          <w:sz w:val="24"/>
          <w:szCs w:val="24"/>
        </w:rPr>
        <w:t>{անվանումն ու հասցեն</w:t>
      </w:r>
      <w:r w:rsidRPr="0063669A">
        <w:rPr>
          <w:rFonts w:ascii="Sylfaen" w:hAnsi="Sylfaen"/>
          <w:sz w:val="24"/>
          <w:szCs w:val="24"/>
        </w:rPr>
        <w:t>}</w:t>
      </w:r>
    </w:p>
    <w:p w14:paraId="7FA3A39E" w14:textId="4AE218C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սույնով թույլտվություն է տալիս {անդամ պետության լիազորված մարմնի անվանումը} հղում կատարել ակտիվ դեղագործական բաղադրամասի </w:t>
      </w:r>
      <w:r w:rsidRPr="00BD7577">
        <w:rPr>
          <w:rFonts w:ascii="Sylfaen" w:hAnsi="Sylfaen"/>
          <w:sz w:val="24"/>
          <w:szCs w:val="24"/>
        </w:rPr>
        <w:lastRenderedPageBreak/>
        <w:t xml:space="preserve">վերոնշյալ մաստեր-ֆայլին </w:t>
      </w:r>
      <w:r w:rsidR="00C54D75">
        <w:rPr>
          <w:rFonts w:ascii="Sylfaen" w:hAnsi="Sylfaen"/>
          <w:sz w:val="24"/>
          <w:szCs w:val="24"/>
        </w:rPr>
        <w:t>և</w:t>
      </w:r>
      <w:r w:rsidRPr="00BD7577">
        <w:rPr>
          <w:rFonts w:ascii="Sylfaen" w:hAnsi="Sylfaen"/>
          <w:sz w:val="24"/>
          <w:szCs w:val="24"/>
        </w:rPr>
        <w:t xml:space="preserve"> կատարել դրա փորձաքննություն՝ որպես հետագա գրանցման դոսյեների կամ Միությունում գրանցված դեղապատրաստուկի գրանցման դոսյեում փոփոխություններ կատարելու դոսյեի հիմնավորում (ներառել նոր ԱԴԲՄՖ-ն նոր ԱԴԲԱ-ից), որը ներկայացվել է </w:t>
      </w:r>
      <w:r w:rsidRPr="002F33A8">
        <w:rPr>
          <w:rStyle w:val="Bodytext295pt"/>
          <w:rFonts w:ascii="Sylfaen" w:eastAsiaTheme="minorHAnsi" w:hAnsi="Sylfaen"/>
          <w:b w:val="0"/>
          <w:spacing w:val="0"/>
          <w:sz w:val="24"/>
          <w:szCs w:val="24"/>
        </w:rPr>
        <w:t>{գրանցման հավաստագրի իրավատիրոջ (</w:t>
      </w:r>
      <w:r w:rsidR="0056496B">
        <w:rPr>
          <w:rStyle w:val="Bodytext295pt"/>
          <w:rFonts w:ascii="Sylfaen" w:eastAsiaTheme="minorHAnsi" w:hAnsi="Sylfaen"/>
          <w:b w:val="0"/>
          <w:spacing w:val="0"/>
          <w:sz w:val="24"/>
          <w:szCs w:val="24"/>
        </w:rPr>
        <w:t>դիմումատու</w:t>
      </w:r>
      <w:r w:rsidRPr="002F33A8">
        <w:rPr>
          <w:rStyle w:val="Bodytext295pt"/>
          <w:rFonts w:ascii="Sylfaen" w:eastAsiaTheme="minorHAnsi" w:hAnsi="Sylfaen"/>
          <w:b w:val="0"/>
          <w:spacing w:val="0"/>
          <w:sz w:val="24"/>
          <w:szCs w:val="24"/>
        </w:rPr>
        <w:t>ի) անվանումը} կողմից</w:t>
      </w:r>
      <w:r w:rsidRPr="002F33A8">
        <w:rPr>
          <w:rFonts w:ascii="Sylfaen" w:hAnsi="Sylfaen"/>
          <w:b/>
          <w:sz w:val="24"/>
          <w:szCs w:val="24"/>
        </w:rPr>
        <w:t xml:space="preserve"> </w:t>
      </w:r>
      <w:r w:rsidRPr="002F33A8">
        <w:rPr>
          <w:rStyle w:val="Bodytext295pt"/>
          <w:rFonts w:ascii="Sylfaen" w:eastAsiaTheme="minorHAnsi" w:hAnsi="Sylfaen"/>
          <w:b w:val="0"/>
          <w:spacing w:val="0"/>
          <w:sz w:val="24"/>
          <w:szCs w:val="24"/>
        </w:rPr>
        <w:t xml:space="preserve">{ներկայացնելու պլանավորվող </w:t>
      </w:r>
      <w:r w:rsidRPr="00BD7577">
        <w:rPr>
          <w:rFonts w:ascii="Sylfaen" w:hAnsi="Sylfaen"/>
          <w:sz w:val="24"/>
          <w:szCs w:val="24"/>
        </w:rPr>
        <w:t>ամսաթիվը</w:t>
      </w:r>
      <w:r w:rsidRPr="0063669A">
        <w:rPr>
          <w:rStyle w:val="Bodytext7NotItalic"/>
          <w:rFonts w:ascii="Sylfaen" w:eastAsiaTheme="minorHAnsi" w:hAnsi="Sylfaen"/>
          <w:b w:val="0"/>
          <w:sz w:val="24"/>
          <w:szCs w:val="24"/>
        </w:rPr>
        <w:t>}՝</w:t>
      </w:r>
    </w:p>
    <w:p w14:paraId="43C8D65E" w14:textId="4755069F"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դեղապատրաստուկի անվանումը (եթե ներկայացնելու պահին դեղապատրաստուկի առ</w:t>
      </w:r>
      <w:r w:rsidR="00C54D75">
        <w:rPr>
          <w:rFonts w:ascii="Sylfaen" w:hAnsi="Sylfaen" w:cs="Sylfaen"/>
          <w:b w:val="0"/>
          <w:sz w:val="24"/>
          <w:szCs w:val="24"/>
          <w:lang w:val="hy-AM"/>
        </w:rPr>
        <w:t>և</w:t>
      </w:r>
      <w:r w:rsidRPr="008C76E0">
        <w:rPr>
          <w:rFonts w:ascii="Sylfaen" w:hAnsi="Sylfaen"/>
          <w:b w:val="0"/>
          <w:sz w:val="24"/>
          <w:szCs w:val="24"/>
          <w:lang w:val="hy-AM"/>
        </w:rPr>
        <w:t xml:space="preserve">տրային անվանումը համաձայնեցված չէ, ապա հարկ է նշել «ՄՉԱ-ն </w:t>
      </w:r>
      <w:r w:rsidRPr="00BD7577">
        <w:rPr>
          <w:rStyle w:val="Bodytext295pt"/>
          <w:rFonts w:ascii="Sylfaen" w:hAnsi="Sylfaen"/>
          <w:spacing w:val="0"/>
          <w:sz w:val="24"/>
          <w:szCs w:val="24"/>
        </w:rPr>
        <w:t xml:space="preserve">+ </w:t>
      </w:r>
      <w:r w:rsidRPr="008C76E0">
        <w:rPr>
          <w:rFonts w:ascii="Sylfaen" w:hAnsi="Sylfaen"/>
          <w:b w:val="0"/>
          <w:sz w:val="24"/>
          <w:szCs w:val="24"/>
          <w:lang w:val="hy-AM"/>
        </w:rPr>
        <w:t xml:space="preserve">գրանցման հավաստագրի իրավատիրոջ անվանումը») </w:t>
      </w:r>
      <w:r w:rsidR="00C54D75">
        <w:rPr>
          <w:rFonts w:ascii="Sylfaen" w:hAnsi="Sylfaen"/>
          <w:b w:val="0"/>
          <w:sz w:val="24"/>
          <w:szCs w:val="24"/>
          <w:lang w:val="hy-AM"/>
        </w:rPr>
        <w:t>և</w:t>
      </w:r>
      <w:r w:rsidRPr="008C76E0">
        <w:rPr>
          <w:rFonts w:ascii="Sylfaen" w:hAnsi="Sylfaen"/>
          <w:b w:val="0"/>
          <w:sz w:val="24"/>
          <w:szCs w:val="24"/>
          <w:lang w:val="hy-AM"/>
        </w:rPr>
        <w:t xml:space="preserve"> գրանցման հավաստագրի համարը (եթե </w:t>
      </w:r>
      <w:r w:rsidR="005F6A31">
        <w:rPr>
          <w:rFonts w:ascii="Sylfaen" w:hAnsi="Sylfaen"/>
          <w:b w:val="0"/>
          <w:sz w:val="24"/>
          <w:szCs w:val="24"/>
          <w:lang w:val="hy-AM"/>
        </w:rPr>
        <w:t>հայտնի</w:t>
      </w:r>
      <w:r w:rsidRPr="008C76E0">
        <w:rPr>
          <w:rFonts w:ascii="Sylfaen" w:hAnsi="Sylfaen"/>
          <w:b w:val="0"/>
          <w:sz w:val="24"/>
          <w:szCs w:val="24"/>
          <w:lang w:val="hy-AM"/>
        </w:rPr>
        <w:t xml:space="preserve"> է)</w:t>
      </w:r>
      <w:r w:rsidRPr="008C76E0">
        <w:rPr>
          <w:rStyle w:val="Bodytext7NotItalic"/>
          <w:rFonts w:ascii="Sylfaen" w:hAnsi="Sylfaen"/>
          <w:sz w:val="24"/>
          <w:szCs w:val="24"/>
          <w:lang w:val="hy-AM"/>
        </w:rPr>
        <w:t>}</w:t>
      </w:r>
    </w:p>
    <w:p w14:paraId="0AD49DCE" w14:textId="6DB090FC"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կամ գրանցման հավաստագրի իրավատիրոջ անվանումը </w:t>
      </w:r>
      <w:r w:rsidRPr="008C76E0">
        <w:rPr>
          <w:rStyle w:val="Bodytext7NotItalic"/>
          <w:rFonts w:ascii="Sylfaen" w:hAnsi="Sylfaen"/>
          <w:sz w:val="24"/>
          <w:szCs w:val="24"/>
          <w:lang w:val="hy-AM"/>
        </w:rPr>
        <w:t>}</w:t>
      </w:r>
    </w:p>
    <w:p w14:paraId="19B6B085" w14:textId="6F8BDDC6"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պարտավորվում է ապահովել սերիաների որակի մշտականությունը </w:t>
      </w:r>
      <w:r w:rsidR="00C54D75">
        <w:rPr>
          <w:rFonts w:ascii="Sylfaen" w:hAnsi="Sylfaen"/>
          <w:sz w:val="24"/>
          <w:szCs w:val="24"/>
        </w:rPr>
        <w:t>և</w:t>
      </w:r>
      <w:r w:rsidRPr="00BD7577">
        <w:rPr>
          <w:rFonts w:ascii="Sylfaen" w:hAnsi="Sylfaen"/>
          <w:sz w:val="24"/>
          <w:szCs w:val="24"/>
        </w:rPr>
        <w:t xml:space="preserve"> ծանուցել </w:t>
      </w:r>
      <w:r w:rsidRPr="005A1ED7">
        <w:rPr>
          <w:rStyle w:val="Bodytext295pt"/>
          <w:rFonts w:ascii="Sylfaen" w:eastAsiaTheme="minorHAnsi" w:hAnsi="Sylfaen"/>
          <w:b w:val="0"/>
          <w:spacing w:val="0"/>
          <w:sz w:val="24"/>
          <w:szCs w:val="24"/>
        </w:rPr>
        <w:t>{գրանցման հավաստագրի իրավատիրոջ (</w:t>
      </w:r>
      <w:r w:rsidR="0056496B">
        <w:rPr>
          <w:rStyle w:val="Bodytext295pt"/>
          <w:rFonts w:ascii="Sylfaen" w:eastAsiaTheme="minorHAnsi" w:hAnsi="Sylfaen"/>
          <w:b w:val="0"/>
          <w:spacing w:val="0"/>
          <w:sz w:val="24"/>
          <w:szCs w:val="24"/>
        </w:rPr>
        <w:t>դիմումատու</w:t>
      </w:r>
      <w:r w:rsidRPr="005A1ED7">
        <w:rPr>
          <w:rStyle w:val="Bodytext295pt"/>
          <w:rFonts w:ascii="Sylfaen" w:eastAsiaTheme="minorHAnsi" w:hAnsi="Sylfaen"/>
          <w:b w:val="0"/>
          <w:spacing w:val="0"/>
          <w:sz w:val="24"/>
          <w:szCs w:val="24"/>
        </w:rPr>
        <w:t>ի) անվանումը}</w:t>
      </w:r>
      <w:r w:rsidRPr="00BD7577">
        <w:rPr>
          <w:rFonts w:ascii="Sylfaen" w:hAnsi="Sylfaen"/>
          <w:sz w:val="24"/>
          <w:szCs w:val="24"/>
        </w:rPr>
        <w:t xml:space="preserve"> </w:t>
      </w:r>
      <w:r w:rsidR="00C54D75">
        <w:rPr>
          <w:rFonts w:ascii="Sylfaen" w:hAnsi="Sylfaen"/>
          <w:sz w:val="24"/>
          <w:szCs w:val="24"/>
        </w:rPr>
        <w:t>և</w:t>
      </w:r>
      <w:r w:rsidRPr="00BD7577">
        <w:rPr>
          <w:rFonts w:ascii="Sylfaen" w:hAnsi="Sylfaen"/>
          <w:sz w:val="24"/>
          <w:szCs w:val="24"/>
        </w:rPr>
        <w:t xml:space="preserve"> անդամ պետության լիազորված մարմնին ակտիվ դեղագործական բաղադրամասի մաստեր-ֆայլի ցանկացած փոփոխության մասին։</w:t>
      </w:r>
    </w:p>
    <w:p w14:paraId="109E9923"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սույնով ծանուցվում </w:t>
      </w:r>
      <w:r w:rsidR="00C54D75">
        <w:rPr>
          <w:rFonts w:ascii="Sylfaen" w:hAnsi="Sylfaen"/>
          <w:sz w:val="24"/>
          <w:szCs w:val="24"/>
        </w:rPr>
        <w:t>և</w:t>
      </w:r>
      <w:r w:rsidRPr="00BD7577">
        <w:rPr>
          <w:rFonts w:ascii="Sylfaen" w:hAnsi="Sylfaen"/>
          <w:sz w:val="24"/>
          <w:szCs w:val="24"/>
        </w:rPr>
        <w:t xml:space="preserve"> ընդունում է, որ անդամ պետությունների լիազորված մարմինները կարող են փոխանակվել ակտիվ դեղագործական բաղադրամասի վերոնշյալ մաստեր-ֆայլի մասով փորձագիտական հաշվետվություններով։</w:t>
      </w:r>
    </w:p>
    <w:p w14:paraId="2F659DBF"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իրավատիրոջ ստորագրությունը</w:t>
      </w:r>
    </w:p>
    <w:p w14:paraId="68616D8B" w14:textId="77777777"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Անունն ու պաշտոնը</w:t>
      </w:r>
      <w:r w:rsidRPr="008C76E0">
        <w:rPr>
          <w:rStyle w:val="Bodytext7NotItalic"/>
          <w:rFonts w:ascii="Sylfaen" w:hAnsi="Sylfaen"/>
          <w:sz w:val="24"/>
          <w:szCs w:val="24"/>
          <w:lang w:val="hy-AM"/>
        </w:rPr>
        <w:t>}</w:t>
      </w:r>
    </w:p>
    <w:p w14:paraId="7CB4606F" w14:textId="77777777" w:rsidR="008C76E0" w:rsidRPr="008C76E0" w:rsidRDefault="008C76E0" w:rsidP="008C76E0">
      <w:pPr>
        <w:pStyle w:val="Bodytext70"/>
        <w:shd w:val="clear" w:color="auto" w:fill="auto"/>
        <w:spacing w:before="0" w:after="160" w:line="360" w:lineRule="auto"/>
        <w:ind w:right="-1" w:firstLine="567"/>
        <w:rPr>
          <w:rStyle w:val="Bodytext7NotItalic"/>
          <w:rFonts w:ascii="Sylfaen" w:eastAsia="MS Mincho" w:hAnsi="Sylfaen"/>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Ստորագրությունը</w:t>
      </w:r>
      <w:r w:rsidRPr="008C76E0">
        <w:rPr>
          <w:rStyle w:val="Bodytext7NotItalic"/>
          <w:rFonts w:ascii="Sylfaen" w:hAnsi="Sylfaen"/>
          <w:sz w:val="24"/>
          <w:szCs w:val="24"/>
          <w:lang w:val="hy-AM"/>
        </w:rPr>
        <w:t>}</w:t>
      </w:r>
    </w:p>
    <w:p w14:paraId="2EE47497" w14:textId="77777777" w:rsidR="008C76E0" w:rsidRDefault="008C76E0" w:rsidP="008C76E0">
      <w:pPr>
        <w:widowControl/>
        <w:rPr>
          <w:rFonts w:ascii="Sylfaen" w:eastAsia="Times New Roman" w:hAnsi="Sylfaen" w:cs="Times New Roman"/>
          <w:sz w:val="24"/>
          <w:szCs w:val="24"/>
        </w:rPr>
      </w:pPr>
      <w:r>
        <w:rPr>
          <w:rFonts w:ascii="Sylfaen" w:hAnsi="Sylfaen"/>
          <w:sz w:val="24"/>
          <w:szCs w:val="24"/>
        </w:rPr>
        <w:br w:type="page"/>
      </w:r>
    </w:p>
    <w:p w14:paraId="0D599ED9" w14:textId="77777777" w:rsidR="008C76E0" w:rsidRPr="008C76E0" w:rsidRDefault="008C76E0" w:rsidP="00207FF6">
      <w:pPr>
        <w:pStyle w:val="Headerorfooter0"/>
        <w:shd w:val="clear" w:color="auto" w:fill="auto"/>
        <w:spacing w:after="160" w:line="360" w:lineRule="auto"/>
        <w:ind w:right="-1"/>
        <w:jc w:val="right"/>
        <w:rPr>
          <w:rFonts w:ascii="Sylfaen" w:hAnsi="Sylfaen"/>
          <w:sz w:val="24"/>
          <w:szCs w:val="24"/>
          <w:lang w:val="hy-AM"/>
        </w:rPr>
      </w:pPr>
      <w:r w:rsidRPr="008C76E0">
        <w:rPr>
          <w:rFonts w:ascii="Sylfaen" w:hAnsi="Sylfaen"/>
          <w:sz w:val="24"/>
          <w:szCs w:val="24"/>
          <w:lang w:val="hy-AM"/>
        </w:rPr>
        <w:lastRenderedPageBreak/>
        <w:t xml:space="preserve">Լրացում թիվ 3 </w:t>
      </w:r>
    </w:p>
    <w:p w14:paraId="422FA414" w14:textId="77777777" w:rsidR="008C76E0" w:rsidRPr="00066EC8" w:rsidRDefault="008C76E0" w:rsidP="00207FF6">
      <w:pPr>
        <w:spacing w:after="160" w:line="360" w:lineRule="auto"/>
        <w:jc w:val="center"/>
        <w:rPr>
          <w:rFonts w:ascii="Sylfaen" w:hAnsi="Sylfaen"/>
          <w:b/>
          <w:sz w:val="24"/>
          <w:szCs w:val="24"/>
        </w:rPr>
      </w:pPr>
      <w:r w:rsidRPr="00066EC8">
        <w:rPr>
          <w:rStyle w:val="Bodytext2Spacing2pt"/>
          <w:rFonts w:ascii="Sylfaen" w:eastAsiaTheme="minorHAnsi" w:hAnsi="Sylfaen"/>
          <w:b/>
          <w:spacing w:val="0"/>
          <w:sz w:val="24"/>
          <w:szCs w:val="24"/>
        </w:rPr>
        <w:t>ՁԵՎ</w:t>
      </w:r>
    </w:p>
    <w:p w14:paraId="38B6646A" w14:textId="77777777" w:rsidR="008C76E0" w:rsidRPr="008C76E0" w:rsidRDefault="008C76E0" w:rsidP="00207FF6">
      <w:pPr>
        <w:pStyle w:val="Bodytext130"/>
        <w:shd w:val="clear" w:color="auto" w:fill="auto"/>
        <w:spacing w:after="160" w:line="360" w:lineRule="auto"/>
        <w:ind w:left="567" w:right="565"/>
        <w:rPr>
          <w:rStyle w:val="Heading13Bold"/>
          <w:rFonts w:ascii="Sylfaen" w:eastAsia="MS Mincho" w:hAnsi="Sylfaen"/>
          <w:b w:val="0"/>
          <w:sz w:val="24"/>
          <w:szCs w:val="24"/>
          <w:lang w:val="hy-AM"/>
        </w:rPr>
      </w:pPr>
      <w:r w:rsidRPr="008C76E0">
        <w:rPr>
          <w:rFonts w:ascii="Sylfaen" w:hAnsi="Sylfaen"/>
          <w:sz w:val="24"/>
          <w:szCs w:val="24"/>
          <w:lang w:val="hy-AM"/>
        </w:rPr>
        <w:t xml:space="preserve">ակտիվ դեղագործական բաղադրամասի մաստեր-ֆայլի (ԱԴԲՄՖ) մասով փաստաթղթերի վերաբերյալ վարչական տվյալներ ուղարկելու </w:t>
      </w:r>
      <w:r w:rsidRPr="008C76E0">
        <w:rPr>
          <w:rFonts w:ascii="Sylfaen" w:hAnsi="Sylfaen"/>
          <w:sz w:val="24"/>
          <w:szCs w:val="24"/>
          <w:lang w:val="hy-AM"/>
        </w:rPr>
        <w:br/>
        <w:t>մասին նամակի</w:t>
      </w:r>
      <w:bookmarkStart w:id="5" w:name="bookmark5"/>
      <w:bookmarkEnd w:id="5"/>
    </w:p>
    <w:p w14:paraId="4837057B"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p>
    <w:p w14:paraId="01DA2AC3"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Ենթակա է ԱԴԲՄՖ-ի, յուրաքանչյուր գրանցման դոսյեի (փոփոխությունների դոսյեի) հետ միաժամանակ ներկայացնելու՝ որպես մեկ միասնական փաստաթուղթ։</w:t>
      </w:r>
    </w:p>
    <w:p w14:paraId="29A71D9C" w14:textId="77777777" w:rsidR="008C76E0" w:rsidRPr="00BD7577" w:rsidRDefault="008C76E0" w:rsidP="00207FF6">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0B27A7F1"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ՖԻՐՄԱՅԻՆ ՁԵՎԱԹՈՒՂԹ</w:t>
      </w:r>
    </w:p>
    <w:p w14:paraId="0B6290DC"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F5C0643" w14:textId="77777777" w:rsidR="008C76E0" w:rsidRPr="00BD7577" w:rsidRDefault="008C76E0" w:rsidP="00207FF6">
      <w:pPr>
        <w:spacing w:after="160" w:line="360" w:lineRule="auto"/>
        <w:jc w:val="right"/>
        <w:rPr>
          <w:rFonts w:ascii="Sylfaen" w:hAnsi="Sylfaen"/>
          <w:sz w:val="24"/>
          <w:szCs w:val="24"/>
        </w:rPr>
      </w:pPr>
    </w:p>
    <w:p w14:paraId="686916F9" w14:textId="77777777" w:rsidR="008C76E0" w:rsidRPr="00BD7577" w:rsidRDefault="008C76E0" w:rsidP="00207FF6">
      <w:pPr>
        <w:pStyle w:val="Bodytext70"/>
        <w:shd w:val="clear" w:color="auto" w:fill="auto"/>
        <w:spacing w:before="0" w:after="160" w:line="360" w:lineRule="auto"/>
        <w:jc w:val="right"/>
        <w:rPr>
          <w:rStyle w:val="Bodytext295pt"/>
          <w:rFonts w:ascii="Sylfaen" w:hAnsi="Sylfaen"/>
          <w:spacing w:val="0"/>
          <w:sz w:val="24"/>
          <w:szCs w:val="24"/>
        </w:rPr>
      </w:pPr>
      <w:r w:rsidRPr="00BD7577">
        <w:rPr>
          <w:rStyle w:val="Bodytext295pt"/>
          <w:rFonts w:ascii="Sylfaen" w:hAnsi="Sylfaen"/>
          <w:spacing w:val="0"/>
          <w:sz w:val="24"/>
          <w:szCs w:val="24"/>
        </w:rPr>
        <w:t>Ումից՝ {</w:t>
      </w:r>
      <w:r w:rsidRPr="008C76E0">
        <w:rPr>
          <w:rFonts w:ascii="Sylfaen" w:hAnsi="Sylfaen"/>
          <w:b w:val="0"/>
          <w:sz w:val="24"/>
          <w:szCs w:val="24"/>
          <w:lang w:val="hy-AM"/>
        </w:rPr>
        <w:t>ԱԴԲՄՖ-ի իրավատիրոջ անվանումը</w:t>
      </w:r>
      <w:r w:rsidRPr="00BD7577">
        <w:rPr>
          <w:rStyle w:val="Bodytext295pt"/>
          <w:rFonts w:ascii="Sylfaen" w:hAnsi="Sylfaen"/>
          <w:spacing w:val="0"/>
          <w:sz w:val="24"/>
          <w:szCs w:val="24"/>
        </w:rPr>
        <w:t>}</w:t>
      </w:r>
    </w:p>
    <w:p w14:paraId="22A3381C" w14:textId="77777777" w:rsidR="008C76E0" w:rsidRPr="00BD7577" w:rsidRDefault="008C76E0" w:rsidP="00207FF6">
      <w:pPr>
        <w:pStyle w:val="Bodytext70"/>
        <w:shd w:val="clear" w:color="auto" w:fill="auto"/>
        <w:spacing w:before="0" w:after="160" w:line="360" w:lineRule="auto"/>
        <w:jc w:val="right"/>
        <w:rPr>
          <w:rStyle w:val="Bodytext295pt"/>
          <w:rFonts w:ascii="Sylfaen" w:hAnsi="Sylfaen"/>
          <w:spacing w:val="0"/>
          <w:sz w:val="24"/>
          <w:szCs w:val="24"/>
        </w:rPr>
      </w:pPr>
      <w:r w:rsidRPr="008C76E0">
        <w:rPr>
          <w:rStyle w:val="Bodytext7NotItalic"/>
          <w:rFonts w:ascii="Sylfaen" w:hAnsi="Sylfaen"/>
          <w:sz w:val="24"/>
          <w:szCs w:val="24"/>
          <w:lang w:val="hy-AM"/>
        </w:rPr>
        <w:t>{</w:t>
      </w:r>
      <w:r w:rsidRPr="008C76E0">
        <w:rPr>
          <w:rFonts w:ascii="Sylfaen" w:hAnsi="Sylfaen"/>
          <w:b w:val="0"/>
          <w:sz w:val="24"/>
          <w:szCs w:val="24"/>
          <w:lang w:val="hy-AM"/>
        </w:rPr>
        <w:t>ԱԴԲՄՖ-ի իրավատիրոջ հասցեն</w:t>
      </w:r>
      <w:r w:rsidRPr="00BD7577">
        <w:rPr>
          <w:rStyle w:val="Bodytext295pt"/>
          <w:rFonts w:ascii="Sylfaen" w:hAnsi="Sylfaen"/>
          <w:spacing w:val="0"/>
          <w:sz w:val="24"/>
          <w:szCs w:val="24"/>
        </w:rPr>
        <w:t>}</w:t>
      </w:r>
    </w:p>
    <w:p w14:paraId="6AAC41FE" w14:textId="77777777" w:rsidR="008C76E0" w:rsidRPr="008C76E0" w:rsidRDefault="008C76E0" w:rsidP="00207FF6">
      <w:pPr>
        <w:pStyle w:val="Bodytext70"/>
        <w:shd w:val="clear" w:color="auto" w:fill="auto"/>
        <w:spacing w:before="0" w:after="160" w:line="360" w:lineRule="auto"/>
        <w:jc w:val="right"/>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ԱԴԲՄՖ-ի իրավատիրոջ երկիրը</w:t>
      </w:r>
      <w:r w:rsidRPr="008C76E0">
        <w:rPr>
          <w:rStyle w:val="Bodytext7NotItalic"/>
          <w:rFonts w:ascii="Sylfaen" w:hAnsi="Sylfaen"/>
          <w:sz w:val="24"/>
          <w:szCs w:val="24"/>
          <w:lang w:val="hy-AM"/>
        </w:rPr>
        <w:t>}</w:t>
      </w:r>
    </w:p>
    <w:p w14:paraId="6D6C9379" w14:textId="77777777" w:rsidR="008C76E0" w:rsidRPr="008C76E0" w:rsidRDefault="008C76E0" w:rsidP="00207FF6">
      <w:pPr>
        <w:pStyle w:val="Bodytext70"/>
        <w:shd w:val="clear" w:color="auto" w:fill="auto"/>
        <w:spacing w:before="0" w:after="160" w:line="360" w:lineRule="auto"/>
        <w:jc w:val="right"/>
        <w:rPr>
          <w:rFonts w:ascii="Sylfaen" w:hAnsi="Sylfaen"/>
          <w:b w:val="0"/>
          <w:sz w:val="24"/>
          <w:szCs w:val="24"/>
          <w:lang w:val="hy-AM"/>
        </w:rPr>
      </w:pPr>
      <w:r w:rsidRPr="00BD7577">
        <w:rPr>
          <w:rStyle w:val="Bodytext295pt"/>
          <w:rFonts w:ascii="Sylfaen" w:hAnsi="Sylfaen"/>
          <w:spacing w:val="0"/>
          <w:sz w:val="24"/>
          <w:szCs w:val="24"/>
        </w:rPr>
        <w:t xml:space="preserve">Ում՝ </w:t>
      </w:r>
      <w:r w:rsidRPr="008C76E0">
        <w:rPr>
          <w:rStyle w:val="Bodytext7NotItalic"/>
          <w:rFonts w:ascii="Sylfaen" w:hAnsi="Sylfaen"/>
          <w:sz w:val="24"/>
          <w:szCs w:val="24"/>
          <w:lang w:val="hy-AM"/>
        </w:rPr>
        <w:t>{</w:t>
      </w:r>
      <w:r w:rsidRPr="008C76E0">
        <w:rPr>
          <w:rFonts w:ascii="Sylfaen" w:hAnsi="Sylfaen"/>
          <w:b w:val="0"/>
          <w:sz w:val="24"/>
          <w:szCs w:val="24"/>
          <w:lang w:val="hy-AM"/>
        </w:rPr>
        <w:t>անդամ պետության լիազորված մարմնի անվանումն ու հասցեն</w:t>
      </w:r>
      <w:r w:rsidRPr="00BD7577">
        <w:rPr>
          <w:rStyle w:val="Bodytext295pt"/>
          <w:rFonts w:ascii="Sylfaen" w:hAnsi="Sylfaen"/>
          <w:spacing w:val="0"/>
          <w:sz w:val="24"/>
          <w:szCs w:val="24"/>
        </w:rPr>
        <w:t>}</w:t>
      </w:r>
    </w:p>
    <w:p w14:paraId="79627FDD" w14:textId="77777777" w:rsidR="008C76E0" w:rsidRPr="008C76E0" w:rsidRDefault="008C76E0" w:rsidP="00207FF6">
      <w:pPr>
        <w:pStyle w:val="Bodytext70"/>
        <w:shd w:val="clear" w:color="auto" w:fill="auto"/>
        <w:spacing w:before="0" w:after="160" w:line="360" w:lineRule="auto"/>
        <w:jc w:val="right"/>
        <w:rPr>
          <w:rStyle w:val="Bodytext7NotItalic"/>
          <w:rFonts w:ascii="Sylfaen" w:hAnsi="Sylfaen"/>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ամսաթիվը</w:t>
      </w:r>
      <w:r w:rsidRPr="008C76E0">
        <w:rPr>
          <w:rStyle w:val="Bodytext7NotItalic"/>
          <w:rFonts w:ascii="Sylfaen" w:hAnsi="Sylfaen"/>
          <w:sz w:val="24"/>
          <w:szCs w:val="24"/>
          <w:lang w:val="hy-AM"/>
        </w:rPr>
        <w:t>} {</w:t>
      </w:r>
      <w:r w:rsidRPr="008C76E0">
        <w:rPr>
          <w:rFonts w:ascii="Sylfaen" w:hAnsi="Sylfaen"/>
          <w:b w:val="0"/>
          <w:sz w:val="24"/>
          <w:szCs w:val="24"/>
          <w:lang w:val="hy-AM"/>
        </w:rPr>
        <w:t>ելից համարը</w:t>
      </w:r>
      <w:r w:rsidRPr="008C76E0">
        <w:rPr>
          <w:rStyle w:val="Bodytext7NotItalic"/>
          <w:rFonts w:ascii="Sylfaen" w:hAnsi="Sylfaen"/>
          <w:sz w:val="24"/>
          <w:szCs w:val="24"/>
          <w:lang w:val="hy-AM"/>
        </w:rPr>
        <w:t>}</w:t>
      </w:r>
    </w:p>
    <w:p w14:paraId="52D04BAD" w14:textId="77777777" w:rsidR="008C76E0" w:rsidRPr="005A1ED7" w:rsidRDefault="008C76E0" w:rsidP="00207FF6">
      <w:pPr>
        <w:spacing w:after="160" w:line="360" w:lineRule="auto"/>
        <w:ind w:left="1418" w:hanging="1418"/>
        <w:jc w:val="both"/>
        <w:rPr>
          <w:rStyle w:val="Bodytext7NotItalic"/>
          <w:rFonts w:ascii="Sylfaen" w:eastAsiaTheme="minorHAnsi" w:hAnsi="Sylfaen"/>
          <w:b w:val="0"/>
          <w:bCs w:val="0"/>
          <w:sz w:val="24"/>
          <w:szCs w:val="24"/>
        </w:rPr>
      </w:pPr>
      <w:r w:rsidRPr="00BD7577">
        <w:rPr>
          <w:rFonts w:ascii="Sylfaen" w:hAnsi="Sylfaen"/>
          <w:sz w:val="24"/>
          <w:szCs w:val="24"/>
        </w:rPr>
        <w:t>Առարկան՝</w:t>
      </w:r>
      <w:r w:rsidRPr="00224B3B">
        <w:rPr>
          <w:rFonts w:ascii="Sylfaen" w:hAnsi="Sylfaen"/>
          <w:sz w:val="24"/>
          <w:szCs w:val="24"/>
        </w:rPr>
        <w:tab/>
      </w:r>
      <w:r w:rsidRPr="005A1ED7">
        <w:rPr>
          <w:rStyle w:val="Bodytext7NotItalic"/>
          <w:rFonts w:ascii="Sylfaen" w:eastAsiaTheme="minorHAnsi" w:hAnsi="Sylfaen"/>
          <w:b w:val="0"/>
          <w:sz w:val="24"/>
          <w:szCs w:val="24"/>
        </w:rPr>
        <w:t>{</w:t>
      </w:r>
      <w:r w:rsidRPr="005A1ED7">
        <w:rPr>
          <w:rFonts w:ascii="Sylfaen" w:hAnsi="Sylfaen"/>
          <w:sz w:val="24"/>
          <w:szCs w:val="24"/>
        </w:rPr>
        <w:t>ակ</w:t>
      </w:r>
      <w:r w:rsidRPr="00BD7577">
        <w:rPr>
          <w:rFonts w:ascii="Sylfaen" w:hAnsi="Sylfaen"/>
          <w:sz w:val="24"/>
          <w:szCs w:val="24"/>
        </w:rPr>
        <w:t>տիվ դեղագործական բաղադրամասի անվանումը</w:t>
      </w:r>
      <w:r w:rsidRPr="005A1ED7">
        <w:rPr>
          <w:rStyle w:val="Bodytext7NotItalic"/>
          <w:rFonts w:ascii="Sylfaen" w:eastAsiaTheme="minorHAnsi" w:hAnsi="Sylfaen"/>
          <w:b w:val="0"/>
          <w:sz w:val="24"/>
          <w:szCs w:val="24"/>
        </w:rPr>
        <w:t xml:space="preserve">} համար ԱԴԲՄՖ-ի վերաբերյալ փաստաթղթեր նեկայացնելը </w:t>
      </w:r>
    </w:p>
    <w:p w14:paraId="1BF41892" w14:textId="77777777" w:rsidR="008C76E0" w:rsidRPr="005A1ED7" w:rsidRDefault="008C76E0" w:rsidP="00207FF6">
      <w:pPr>
        <w:spacing w:after="160" w:line="360" w:lineRule="auto"/>
        <w:ind w:left="1418"/>
        <w:jc w:val="both"/>
        <w:rPr>
          <w:rFonts w:ascii="Sylfaen" w:hAnsi="Sylfaen"/>
          <w:b/>
          <w:sz w:val="24"/>
          <w:szCs w:val="24"/>
        </w:rPr>
      </w:pPr>
      <w:r w:rsidRPr="005A1ED7">
        <w:rPr>
          <w:rStyle w:val="Bodytext7NotItalic"/>
          <w:rFonts w:ascii="Sylfaen" w:eastAsiaTheme="minorHAnsi" w:hAnsi="Sylfaen"/>
          <w:b w:val="0"/>
          <w:i w:val="0"/>
          <w:sz w:val="24"/>
          <w:szCs w:val="24"/>
        </w:rPr>
        <w:t>{</w:t>
      </w:r>
      <w:r w:rsidRPr="005A1ED7">
        <w:rPr>
          <w:rStyle w:val="Bodytext295pt"/>
          <w:rFonts w:ascii="Sylfaen" w:eastAsiaTheme="minorHAnsi" w:hAnsi="Sylfaen"/>
          <w:b w:val="0"/>
          <w:spacing w:val="0"/>
          <w:sz w:val="24"/>
          <w:szCs w:val="24"/>
        </w:rPr>
        <w:t>ԱԴԲՄՖ-ի ծածկագրային համարը}</w:t>
      </w:r>
    </w:p>
    <w:p w14:paraId="7E5F6204"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2C403083" w14:textId="77777777" w:rsidR="008C76E0" w:rsidRPr="00BD7577" w:rsidRDefault="008C76E0" w:rsidP="00207FF6">
      <w:pPr>
        <w:spacing w:after="160" w:line="360" w:lineRule="auto"/>
        <w:jc w:val="center"/>
        <w:rPr>
          <w:rFonts w:ascii="Sylfaen" w:hAnsi="Sylfaen"/>
          <w:sz w:val="24"/>
          <w:szCs w:val="24"/>
        </w:rPr>
      </w:pPr>
      <w:r w:rsidRPr="00746E86">
        <w:rPr>
          <w:rFonts w:ascii="Sylfaen" w:hAnsi="Sylfaen"/>
          <w:sz w:val="24"/>
          <w:szCs w:val="24"/>
        </w:rPr>
        <w:lastRenderedPageBreak/>
        <w:t>Հարգելի ...</w:t>
      </w:r>
    </w:p>
    <w:p w14:paraId="3591CB36" w14:textId="77777777" w:rsidR="008C76E0" w:rsidRPr="00BA15D2" w:rsidRDefault="008C76E0" w:rsidP="00207FF6">
      <w:pPr>
        <w:spacing w:after="160" w:line="360" w:lineRule="auto"/>
        <w:ind w:firstLine="567"/>
        <w:jc w:val="both"/>
        <w:rPr>
          <w:rFonts w:ascii="Sylfaen" w:hAnsi="Sylfaen"/>
          <w:spacing w:val="-4"/>
          <w:sz w:val="24"/>
          <w:szCs w:val="24"/>
        </w:rPr>
      </w:pPr>
      <w:r w:rsidRPr="00BA15D2">
        <w:rPr>
          <w:rFonts w:ascii="Sylfaen" w:hAnsi="Sylfaen"/>
          <w:spacing w:val="-4"/>
          <w:sz w:val="24"/>
          <w:szCs w:val="24"/>
        </w:rPr>
        <w:t>Ակտիվ դեղագործական բաղադրամասի սույն մաստեր-ֆայլը ներկայացվում է հետ</w:t>
      </w:r>
      <w:r w:rsidR="00C54D75">
        <w:rPr>
          <w:rFonts w:ascii="Sylfaen" w:hAnsi="Sylfaen"/>
          <w:spacing w:val="-4"/>
          <w:sz w:val="24"/>
          <w:szCs w:val="24"/>
        </w:rPr>
        <w:t>և</w:t>
      </w:r>
      <w:r w:rsidRPr="00BA15D2">
        <w:rPr>
          <w:rFonts w:ascii="Sylfaen" w:hAnsi="Sylfaen"/>
          <w:spacing w:val="-4"/>
          <w:sz w:val="24"/>
          <w:szCs w:val="24"/>
        </w:rPr>
        <w:t>յալ դեղապատրաստուկի համար՝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9"/>
        <w:gridCol w:w="5122"/>
      </w:tblGrid>
      <w:tr w:rsidR="008C76E0" w:rsidRPr="00BD7577" w14:paraId="073AFA93" w14:textId="77777777" w:rsidTr="008C76E0">
        <w:trPr>
          <w:jc w:val="center"/>
        </w:trPr>
        <w:tc>
          <w:tcPr>
            <w:tcW w:w="4219" w:type="dxa"/>
            <w:tcBorders>
              <w:top w:val="single" w:sz="4" w:space="0" w:color="auto"/>
              <w:left w:val="single" w:sz="4" w:space="0" w:color="auto"/>
              <w:bottom w:val="single" w:sz="4" w:space="0" w:color="auto"/>
            </w:tcBorders>
            <w:shd w:val="clear" w:color="auto" w:fill="FFFFFF"/>
          </w:tcPr>
          <w:p w14:paraId="352DA43E" w14:textId="77777777"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Դեղապատրաստուկը</w:t>
            </w:r>
          </w:p>
          <w:p w14:paraId="3302BF42" w14:textId="77777777"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Ընթացակարգին տրված համարը (եթե կիրառելի է)</w:t>
            </w:r>
          </w:p>
          <w:p w14:paraId="0B700D90" w14:textId="2CD297E9"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 xml:space="preserve">Գրանցման դոսյեն կամ փոփոխության դոսյեն ներկայացնելու (ենթադրյալ) ամսաթիվը (եթե </w:t>
            </w:r>
            <w:r w:rsidR="005F6A31">
              <w:rPr>
                <w:rStyle w:val="Bodytext1811pt"/>
                <w:rFonts w:ascii="Sylfaen" w:hAnsi="Sylfaen"/>
                <w:sz w:val="24"/>
                <w:szCs w:val="24"/>
              </w:rPr>
              <w:t>հայտնի</w:t>
            </w:r>
            <w:r w:rsidRPr="00BD7577">
              <w:rPr>
                <w:rStyle w:val="Bodytext1811pt"/>
                <w:rFonts w:ascii="Sylfaen" w:hAnsi="Sylfaen"/>
                <w:sz w:val="24"/>
                <w:szCs w:val="24"/>
              </w:rPr>
              <w:t xml:space="preserve"> է)</w:t>
            </w:r>
          </w:p>
        </w:tc>
        <w:tc>
          <w:tcPr>
            <w:tcW w:w="5122" w:type="dxa"/>
            <w:tcBorders>
              <w:top w:val="single" w:sz="4" w:space="0" w:color="auto"/>
              <w:left w:val="single" w:sz="4" w:space="0" w:color="auto"/>
              <w:bottom w:val="single" w:sz="4" w:space="0" w:color="auto"/>
              <w:right w:val="single" w:sz="4" w:space="0" w:color="auto"/>
            </w:tcBorders>
            <w:shd w:val="clear" w:color="auto" w:fill="FFFFFF"/>
            <w:vAlign w:val="bottom"/>
          </w:tcPr>
          <w:p w14:paraId="64C504D5" w14:textId="77777777" w:rsidR="008C76E0" w:rsidRPr="008C76E0" w:rsidRDefault="008C76E0" w:rsidP="008C76E0">
            <w:pPr>
              <w:pStyle w:val="Bodytext180"/>
              <w:shd w:val="clear" w:color="auto" w:fill="auto"/>
              <w:spacing w:before="0" w:after="120" w:line="240" w:lineRule="auto"/>
              <w:ind w:left="159" w:right="124" w:firstLine="0"/>
              <w:rPr>
                <w:rFonts w:ascii="Sylfaen" w:hAnsi="Sylfaen"/>
                <w:b w:val="0"/>
                <w:sz w:val="24"/>
                <w:szCs w:val="24"/>
                <w:lang w:val="hy-AM"/>
              </w:rPr>
            </w:pPr>
            <w:r w:rsidRPr="005B58E6">
              <w:rPr>
                <w:rStyle w:val="Bodytext295pt"/>
                <w:rFonts w:ascii="Sylfaen" w:hAnsi="Sylfaen"/>
                <w:i/>
                <w:spacing w:val="0"/>
                <w:sz w:val="24"/>
                <w:szCs w:val="24"/>
              </w:rPr>
              <w:t xml:space="preserve">{դեղապատրաստուկի անվանումը </w:t>
            </w:r>
            <w:r w:rsidRPr="005B58E6">
              <w:rPr>
                <w:rStyle w:val="Bodytext1811pt"/>
                <w:rFonts w:ascii="Sylfaen" w:hAnsi="Sylfaen"/>
                <w:i/>
                <w:sz w:val="24"/>
                <w:szCs w:val="24"/>
              </w:rPr>
              <w:t>}</w:t>
            </w:r>
            <w:r w:rsidRPr="00BD7577">
              <w:rPr>
                <w:rStyle w:val="Bodytext1811pt"/>
                <w:rFonts w:ascii="Sylfaen" w:hAnsi="Sylfaen"/>
                <w:sz w:val="24"/>
                <w:szCs w:val="24"/>
              </w:rPr>
              <w:t xml:space="preserve"> </w:t>
            </w:r>
            <w:r w:rsidRPr="005B58E6">
              <w:rPr>
                <w:rStyle w:val="Bodytext1811pt"/>
                <w:rFonts w:ascii="Sylfaen" w:hAnsi="Sylfaen"/>
                <w:sz w:val="24"/>
                <w:szCs w:val="24"/>
              </w:rPr>
              <w:br/>
            </w:r>
            <w:r w:rsidRPr="00BD7577">
              <w:rPr>
                <w:rStyle w:val="Bodytext1811pt"/>
                <w:rFonts w:ascii="Sylfaen" w:hAnsi="Sylfaen"/>
                <w:sz w:val="24"/>
                <w:szCs w:val="24"/>
              </w:rPr>
              <w:t>(Եթե ներկայացնելու պահին դեղապատրաստուկի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 համաձայնեցված չէ, ապա հարկ է նշել «ՄՉԱ-ն + գրանցման հավաստագրի իրավատիրոջ անվանումը»)</w:t>
            </w:r>
          </w:p>
          <w:p w14:paraId="75575011" w14:textId="77777777" w:rsidR="008C76E0" w:rsidRPr="005B58E6" w:rsidRDefault="008C76E0" w:rsidP="008C76E0">
            <w:pPr>
              <w:pStyle w:val="Bodytext180"/>
              <w:shd w:val="clear" w:color="auto" w:fill="auto"/>
              <w:spacing w:before="0" w:after="120" w:line="240" w:lineRule="auto"/>
              <w:ind w:left="159" w:right="124" w:firstLine="0"/>
              <w:jc w:val="both"/>
              <w:rPr>
                <w:rFonts w:ascii="Sylfaen" w:hAnsi="Sylfaen"/>
                <w:b w:val="0"/>
                <w:i/>
                <w:sz w:val="24"/>
                <w:szCs w:val="24"/>
              </w:rPr>
            </w:pPr>
            <w:r w:rsidRPr="005B58E6">
              <w:rPr>
                <w:rStyle w:val="Bodytext295pt"/>
                <w:rFonts w:ascii="Sylfaen" w:hAnsi="Sylfaen"/>
                <w:i/>
                <w:spacing w:val="0"/>
                <w:sz w:val="24"/>
                <w:szCs w:val="24"/>
              </w:rPr>
              <w:t>{ընթացակարգի ծածկագիրը</w:t>
            </w:r>
            <w:r w:rsidRPr="005B58E6">
              <w:rPr>
                <w:rStyle w:val="Bodytext1811pt"/>
                <w:rFonts w:ascii="Sylfaen" w:hAnsi="Sylfaen"/>
                <w:i/>
                <w:sz w:val="24"/>
                <w:szCs w:val="24"/>
              </w:rPr>
              <w:t>}</w:t>
            </w:r>
          </w:p>
          <w:p w14:paraId="31A7A393" w14:textId="77777777" w:rsidR="008C76E0" w:rsidRPr="00BD7577" w:rsidRDefault="008C76E0" w:rsidP="008C76E0">
            <w:pPr>
              <w:pStyle w:val="Bodytext180"/>
              <w:shd w:val="clear" w:color="auto" w:fill="auto"/>
              <w:spacing w:before="0" w:after="120" w:line="240" w:lineRule="auto"/>
              <w:ind w:left="159" w:right="124" w:firstLine="0"/>
              <w:jc w:val="both"/>
              <w:rPr>
                <w:rFonts w:ascii="Sylfaen" w:hAnsi="Sylfaen"/>
                <w:b w:val="0"/>
                <w:sz w:val="24"/>
                <w:szCs w:val="24"/>
              </w:rPr>
            </w:pPr>
            <w:r w:rsidRPr="005B58E6">
              <w:rPr>
                <w:rStyle w:val="Bodytext295pt"/>
                <w:rFonts w:ascii="Sylfaen" w:hAnsi="Sylfaen"/>
                <w:i/>
                <w:spacing w:val="0"/>
                <w:sz w:val="24"/>
                <w:szCs w:val="24"/>
              </w:rPr>
              <w:t>{Ամսաթիվը}</w:t>
            </w:r>
          </w:p>
        </w:tc>
      </w:tr>
    </w:tbl>
    <w:p w14:paraId="7CAB8768" w14:textId="77777777" w:rsidR="008C76E0" w:rsidRPr="00BD7577" w:rsidRDefault="008C76E0" w:rsidP="008C76E0">
      <w:pPr>
        <w:ind w:right="-1"/>
        <w:jc w:val="both"/>
        <w:rPr>
          <w:rFonts w:ascii="Sylfaen" w:hAnsi="Sylfaen"/>
          <w:sz w:val="24"/>
          <w:szCs w:val="24"/>
        </w:rPr>
      </w:pPr>
    </w:p>
    <w:p w14:paraId="5B768ED9"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t>Ակտիվ դեղագործական բաղադրամասի մաստեր-ֆայլի (ԱԴԲՄՖ) մասով փաստաթղթերի վերաբերյալ վարչական տվյալները</w:t>
      </w:r>
    </w:p>
    <w:p w14:paraId="6E531497"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Սույն ուղեգիր-նամակը հարկ է օգտագործել փորձարկման ենթակա ակտիվ դեղագործական նյութի մաստեր-ֆայլի դեպքում՝ դեղապատրաստուկի գրանցման դոսյեի կամ փոփոխության մասով դոսյեի հետ համատեղ։ Անհրաժեշտ է լրացնել բոլոր տեղեկատվական դաշտերը։</w:t>
      </w:r>
    </w:p>
    <w:tbl>
      <w:tblPr>
        <w:tblOverlap w:val="never"/>
        <w:tblW w:w="9958" w:type="dxa"/>
        <w:jc w:val="center"/>
        <w:tblLayout w:type="fixed"/>
        <w:tblCellMar>
          <w:left w:w="10" w:type="dxa"/>
          <w:right w:w="10" w:type="dxa"/>
        </w:tblCellMar>
        <w:tblLook w:val="04A0" w:firstRow="1" w:lastRow="0" w:firstColumn="1" w:lastColumn="0" w:noHBand="0" w:noVBand="1"/>
      </w:tblPr>
      <w:tblGrid>
        <w:gridCol w:w="2073"/>
        <w:gridCol w:w="341"/>
        <w:gridCol w:w="1969"/>
        <w:gridCol w:w="150"/>
        <w:gridCol w:w="5425"/>
      </w:tblGrid>
      <w:tr w:rsidR="008C76E0" w:rsidRPr="00BD7577" w14:paraId="25A5A650" w14:textId="77777777" w:rsidTr="008C76E0">
        <w:trPr>
          <w:jc w:val="center"/>
        </w:trPr>
        <w:tc>
          <w:tcPr>
            <w:tcW w:w="4383" w:type="dxa"/>
            <w:gridSpan w:val="3"/>
            <w:tcBorders>
              <w:top w:val="single" w:sz="4" w:space="0" w:color="auto"/>
              <w:left w:val="single" w:sz="4" w:space="0" w:color="auto"/>
            </w:tcBorders>
            <w:shd w:val="clear" w:color="auto" w:fill="FFFFFF"/>
          </w:tcPr>
          <w:p w14:paraId="0449C511" w14:textId="77777777" w:rsidR="008C76E0" w:rsidRPr="008C76E0" w:rsidRDefault="008C76E0" w:rsidP="008C76E0">
            <w:pPr>
              <w:pStyle w:val="Bodytext180"/>
              <w:shd w:val="clear" w:color="auto" w:fill="auto"/>
              <w:spacing w:before="0" w:after="120" w:line="288" w:lineRule="auto"/>
              <w:ind w:left="120" w:firstLine="0"/>
              <w:rPr>
                <w:rFonts w:ascii="Sylfaen" w:hAnsi="Sylfaen"/>
                <w:b w:val="0"/>
                <w:sz w:val="24"/>
                <w:szCs w:val="24"/>
                <w:lang w:val="hy-AM"/>
              </w:rPr>
            </w:pPr>
            <w:r w:rsidRPr="00BD7577">
              <w:rPr>
                <w:rStyle w:val="Bodytext1811pt"/>
                <w:rFonts w:ascii="Sylfaen" w:hAnsi="Sylfaen"/>
                <w:sz w:val="24"/>
                <w:szCs w:val="24"/>
              </w:rPr>
              <w:t>Սույն փաստաթղթերը ուղարկվում են նա</w:t>
            </w:r>
            <w:r w:rsidR="00C54D75">
              <w:rPr>
                <w:rStyle w:val="Bodytext1811pt"/>
                <w:rFonts w:ascii="Sylfaen" w:hAnsi="Sylfaen"/>
                <w:sz w:val="24"/>
                <w:szCs w:val="24"/>
              </w:rPr>
              <w:t>և</w:t>
            </w:r>
            <w:r w:rsidRPr="00BD7577">
              <w:rPr>
                <w:rStyle w:val="Bodytext1811pt"/>
                <w:rFonts w:ascii="Sylfaen" w:hAnsi="Sylfaen"/>
                <w:sz w:val="24"/>
                <w:szCs w:val="24"/>
              </w:rPr>
              <w:t>՝</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1D19D958"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8C76E0">
              <w:rPr>
                <w:rFonts w:ascii="Sylfaen" w:hAnsi="Sylfaen"/>
                <w:b w:val="0"/>
                <w:sz w:val="24"/>
                <w:szCs w:val="24"/>
                <w:lang w:val="hy-AM"/>
              </w:rPr>
              <w:t xml:space="preserve">□ </w:t>
            </w:r>
            <w:r w:rsidRPr="00BD7577">
              <w:rPr>
                <w:rStyle w:val="Bodytext1811pt"/>
                <w:rFonts w:ascii="Sylfaen" w:hAnsi="Sylfaen"/>
                <w:sz w:val="24"/>
                <w:szCs w:val="24"/>
              </w:rPr>
              <w:t>ընթացակարգին մասնակցող բոլոր անդամ պետություններին</w:t>
            </w:r>
          </w:p>
          <w:p w14:paraId="03B3D958"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8C76E0">
              <w:rPr>
                <w:rFonts w:ascii="Sylfaen" w:hAnsi="Sylfaen"/>
                <w:b w:val="0"/>
                <w:sz w:val="24"/>
                <w:szCs w:val="24"/>
                <w:lang w:val="hy-AM"/>
              </w:rPr>
              <w:t xml:space="preserve">□ </w:t>
            </w:r>
            <w:r w:rsidRPr="00BD7577">
              <w:rPr>
                <w:rStyle w:val="Bodytext1811pt"/>
                <w:rFonts w:ascii="Sylfaen" w:hAnsi="Sylfaen"/>
                <w:sz w:val="24"/>
                <w:szCs w:val="24"/>
              </w:rPr>
              <w:t>բացառապես {ռեֆերենտ պետությանը}</w:t>
            </w:r>
          </w:p>
        </w:tc>
      </w:tr>
      <w:tr w:rsidR="008C76E0" w:rsidRPr="00BD7577" w14:paraId="3D0A2A79" w14:textId="77777777" w:rsidTr="008C76E0">
        <w:trPr>
          <w:jc w:val="center"/>
        </w:trPr>
        <w:tc>
          <w:tcPr>
            <w:tcW w:w="4383" w:type="dxa"/>
            <w:gridSpan w:val="3"/>
            <w:tcBorders>
              <w:top w:val="single" w:sz="4" w:space="0" w:color="auto"/>
              <w:left w:val="single" w:sz="4" w:space="0" w:color="auto"/>
            </w:tcBorders>
            <w:shd w:val="clear" w:color="auto" w:fill="FFFFFF"/>
          </w:tcPr>
          <w:p w14:paraId="5EEA1E62" w14:textId="77777777" w:rsidR="008C76E0" w:rsidRPr="00BD7577" w:rsidRDefault="008C76E0" w:rsidP="008C76E0">
            <w:pPr>
              <w:pStyle w:val="Bodytext180"/>
              <w:shd w:val="clear" w:color="auto" w:fill="auto"/>
              <w:spacing w:before="0" w:after="120" w:line="288" w:lineRule="auto"/>
              <w:ind w:left="120" w:right="147" w:firstLine="0"/>
              <w:rPr>
                <w:rFonts w:ascii="Sylfaen" w:hAnsi="Sylfaen"/>
                <w:b w:val="0"/>
                <w:sz w:val="24"/>
                <w:szCs w:val="24"/>
              </w:rPr>
            </w:pPr>
            <w:r w:rsidRPr="00BD7577">
              <w:rPr>
                <w:rStyle w:val="Bodytext1811pt"/>
                <w:rFonts w:ascii="Sylfaen" w:hAnsi="Sylfaen"/>
                <w:sz w:val="24"/>
                <w:szCs w:val="24"/>
              </w:rPr>
              <w:t>ԱԴԲՄՖ-ի ծածկագրային համարը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569C6ED7" w14:textId="77777777" w:rsidR="008C76E0" w:rsidRPr="00BD7577" w:rsidRDefault="008C76E0" w:rsidP="008C76E0">
            <w:pPr>
              <w:pStyle w:val="Bodytext180"/>
              <w:shd w:val="clear" w:color="auto" w:fill="auto"/>
              <w:spacing w:before="0" w:after="120" w:line="288" w:lineRule="auto"/>
              <w:ind w:left="116" w:right="49" w:firstLine="0"/>
              <w:rPr>
                <w:rFonts w:ascii="Sylfaen" w:hAnsi="Sylfaen"/>
                <w:b w:val="0"/>
                <w:sz w:val="24"/>
                <w:szCs w:val="24"/>
              </w:rPr>
            </w:pPr>
            <w:r w:rsidRPr="00BD7577">
              <w:rPr>
                <w:rStyle w:val="Bodytext295pt"/>
                <w:rFonts w:ascii="Sylfaen" w:hAnsi="Sylfaen"/>
                <w:spacing w:val="0"/>
                <w:sz w:val="24"/>
                <w:szCs w:val="24"/>
              </w:rPr>
              <w:t>{ԱԴԲՄՖ-ի ծածկագրային համարը}</w:t>
            </w:r>
          </w:p>
          <w:p w14:paraId="4A5514C2" w14:textId="77777777" w:rsidR="008C76E0" w:rsidRPr="00BD7577" w:rsidRDefault="008C76E0" w:rsidP="008C76E0">
            <w:pPr>
              <w:pStyle w:val="Bodytext180"/>
              <w:shd w:val="clear" w:color="auto" w:fill="auto"/>
              <w:spacing w:before="0" w:after="120" w:line="288" w:lineRule="auto"/>
              <w:ind w:left="116" w:right="49" w:firstLine="0"/>
              <w:rPr>
                <w:rFonts w:ascii="Sylfaen" w:hAnsi="Sylfaen"/>
                <w:b w:val="0"/>
                <w:sz w:val="24"/>
                <w:szCs w:val="24"/>
              </w:rPr>
            </w:pPr>
            <w:r w:rsidRPr="00BD7577">
              <w:rPr>
                <w:rStyle w:val="Bodytext1811pt"/>
                <w:rFonts w:ascii="Sylfaen" w:hAnsi="Sylfaen"/>
                <w:sz w:val="24"/>
                <w:szCs w:val="24"/>
              </w:rPr>
              <w:t>Հետ</w:t>
            </w:r>
            <w:r w:rsidR="00C54D75">
              <w:rPr>
                <w:rStyle w:val="Bodytext1811pt"/>
                <w:rFonts w:ascii="Sylfaen" w:hAnsi="Sylfaen"/>
                <w:sz w:val="24"/>
                <w:szCs w:val="24"/>
              </w:rPr>
              <w:t>և</w:t>
            </w:r>
            <w:r w:rsidRPr="00BD7577">
              <w:rPr>
                <w:rStyle w:val="Bodytext1811pt"/>
                <w:rFonts w:ascii="Sylfaen" w:hAnsi="Sylfaen"/>
                <w:sz w:val="24"/>
                <w:szCs w:val="24"/>
              </w:rPr>
              <w:t>յալ ձ</w:t>
            </w:r>
            <w:r w:rsidR="00C54D75">
              <w:rPr>
                <w:rStyle w:val="Bodytext1811pt"/>
                <w:rFonts w:ascii="Sylfaen" w:hAnsi="Sylfaen"/>
                <w:sz w:val="24"/>
                <w:szCs w:val="24"/>
              </w:rPr>
              <w:t>և</w:t>
            </w:r>
            <w:r w:rsidRPr="00BD7577">
              <w:rPr>
                <w:rStyle w:val="Bodytext1811pt"/>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tc>
      </w:tr>
      <w:tr w:rsidR="008C76E0" w:rsidRPr="00BD7577" w14:paraId="0ED6041D" w14:textId="77777777" w:rsidTr="008C76E0">
        <w:trPr>
          <w:jc w:val="center"/>
        </w:trPr>
        <w:tc>
          <w:tcPr>
            <w:tcW w:w="4383" w:type="dxa"/>
            <w:gridSpan w:val="3"/>
            <w:tcBorders>
              <w:top w:val="single" w:sz="4" w:space="0" w:color="auto"/>
              <w:left w:val="single" w:sz="4" w:space="0" w:color="auto"/>
            </w:tcBorders>
            <w:shd w:val="clear" w:color="auto" w:fill="FFFFFF"/>
          </w:tcPr>
          <w:p w14:paraId="4A0C2F2F" w14:textId="77777777" w:rsidR="008C76E0" w:rsidRPr="008C76E0" w:rsidRDefault="008C76E0" w:rsidP="008C76E0">
            <w:pPr>
              <w:pStyle w:val="Bodytext180"/>
              <w:shd w:val="clear" w:color="auto" w:fill="auto"/>
              <w:spacing w:before="0" w:after="120" w:line="288" w:lineRule="auto"/>
              <w:ind w:left="120" w:right="147" w:firstLine="0"/>
              <w:rPr>
                <w:rFonts w:ascii="Sylfaen" w:hAnsi="Sylfaen"/>
                <w:b w:val="0"/>
                <w:sz w:val="24"/>
                <w:szCs w:val="24"/>
                <w:lang w:val="hy-AM"/>
              </w:rPr>
            </w:pPr>
            <w:r w:rsidRPr="00BD7577">
              <w:rPr>
                <w:rStyle w:val="Bodytext1811pt"/>
                <w:rFonts w:ascii="Sylfaen" w:hAnsi="Sylfaen"/>
                <w:sz w:val="24"/>
                <w:szCs w:val="24"/>
              </w:rPr>
              <w:t>ԱԴԲՄՖ-ի իրավատիրոջ տարբերակը (փաստաթղթերի սույն ներկայացման մեջ ներառված)</w:t>
            </w:r>
          </w:p>
          <w:p w14:paraId="507B0600" w14:textId="77777777" w:rsidR="008C76E0" w:rsidRPr="008C76E0" w:rsidRDefault="008C76E0" w:rsidP="008C76E0">
            <w:pPr>
              <w:pStyle w:val="Bodytext180"/>
              <w:shd w:val="clear" w:color="auto" w:fill="auto"/>
              <w:spacing w:before="0" w:after="120" w:line="288" w:lineRule="auto"/>
              <w:ind w:left="120" w:right="147" w:firstLine="0"/>
              <w:rPr>
                <w:rFonts w:ascii="Sylfaen" w:hAnsi="Sylfaen"/>
                <w:b w:val="0"/>
                <w:sz w:val="24"/>
                <w:szCs w:val="24"/>
                <w:lang w:val="hy-AM"/>
              </w:rPr>
            </w:pPr>
          </w:p>
        </w:tc>
        <w:tc>
          <w:tcPr>
            <w:tcW w:w="5575" w:type="dxa"/>
            <w:gridSpan w:val="2"/>
            <w:tcBorders>
              <w:top w:val="single" w:sz="4" w:space="0" w:color="auto"/>
              <w:left w:val="single" w:sz="4" w:space="0" w:color="auto"/>
              <w:right w:val="single" w:sz="4" w:space="0" w:color="auto"/>
            </w:tcBorders>
            <w:shd w:val="clear" w:color="auto" w:fill="FFFFFF"/>
            <w:vAlign w:val="bottom"/>
          </w:tcPr>
          <w:p w14:paraId="1AA2055E" w14:textId="05EC2F85" w:rsidR="008C76E0" w:rsidRPr="008C76E0" w:rsidRDefault="0056496B" w:rsidP="008C76E0">
            <w:pPr>
              <w:pStyle w:val="Bodytext180"/>
              <w:shd w:val="clear" w:color="auto" w:fill="auto"/>
              <w:spacing w:before="0" w:after="120" w:line="288" w:lineRule="auto"/>
              <w:ind w:left="116" w:right="49" w:firstLine="0"/>
              <w:rPr>
                <w:rFonts w:ascii="Sylfaen" w:hAnsi="Sylfaen"/>
                <w:b w:val="0"/>
                <w:sz w:val="24"/>
                <w:szCs w:val="24"/>
                <w:lang w:val="hy-AM"/>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մասը՝</w:t>
            </w:r>
          </w:p>
          <w:p w14:paraId="54B4B90B"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BD7577">
              <w:rPr>
                <w:rStyle w:val="Bodytext1811pt"/>
                <w:rFonts w:ascii="Sylfaen" w:hAnsi="Sylfaen"/>
                <w:sz w:val="24"/>
                <w:szCs w:val="24"/>
              </w:rPr>
              <w:t>տարբերակը [տարբերակի համարը]/ամսաթիվը (օր-ամիս-տարի) փակ մասը՝</w:t>
            </w:r>
          </w:p>
          <w:p w14:paraId="342BC94B"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BD7577">
              <w:rPr>
                <w:rStyle w:val="Bodytext1811pt"/>
                <w:rFonts w:ascii="Sylfaen" w:hAnsi="Sylfaen"/>
                <w:sz w:val="24"/>
                <w:szCs w:val="24"/>
              </w:rPr>
              <w:t xml:space="preserve">տարբերակը [տարբերակի համարը]/ամսաթիվը </w:t>
            </w:r>
            <w:r w:rsidRPr="00BD7577">
              <w:rPr>
                <w:rStyle w:val="Bodytext1811pt"/>
                <w:rFonts w:ascii="Sylfaen" w:hAnsi="Sylfaen"/>
                <w:sz w:val="24"/>
                <w:szCs w:val="24"/>
              </w:rPr>
              <w:lastRenderedPageBreak/>
              <w:t>(օր-ամիս-տարի)</w:t>
            </w:r>
          </w:p>
        </w:tc>
      </w:tr>
      <w:tr w:rsidR="008C76E0" w:rsidRPr="00BD7577" w14:paraId="750AB724"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4368730C"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lastRenderedPageBreak/>
              <w:t>Դեղագործական բաղադրամասի անվանումը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19127B23"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{ՄՉԱ-ն, համընդհանուր անվանումը}</w:t>
            </w:r>
            <w:r w:rsidRPr="005B58E6">
              <w:rPr>
                <w:rStyle w:val="Bodytext1811pt"/>
                <w:rFonts w:ascii="Sylfaen" w:hAnsi="Sylfaen"/>
                <w:i/>
                <w:sz w:val="24"/>
                <w:szCs w:val="24"/>
              </w:rPr>
              <w:t xml:space="preserve"> </w:t>
            </w:r>
            <w:r w:rsidRPr="005B58E6">
              <w:rPr>
                <w:rStyle w:val="Bodytext1811pt"/>
                <w:rFonts w:ascii="Sylfaen" w:hAnsi="Sylfaen"/>
                <w:sz w:val="24"/>
                <w:szCs w:val="24"/>
              </w:rPr>
              <w:t>(+ աղ (ջրի պարունակությունը), եթե կիրառելի է)</w:t>
            </w:r>
          </w:p>
        </w:tc>
      </w:tr>
      <w:tr w:rsidR="008C76E0" w:rsidRPr="00BD7577" w14:paraId="5B0E54D6"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3720E095" w14:textId="77777777" w:rsidR="008C76E0" w:rsidRPr="008C76E0" w:rsidRDefault="008C76E0" w:rsidP="008C76E0">
            <w:pPr>
              <w:pStyle w:val="Bodytext180"/>
              <w:shd w:val="clear" w:color="auto" w:fill="auto"/>
              <w:spacing w:before="0" w:after="120" w:line="240" w:lineRule="auto"/>
              <w:ind w:left="120" w:firstLine="0"/>
              <w:rPr>
                <w:rFonts w:ascii="Sylfaen" w:hAnsi="Sylfaen"/>
                <w:b w:val="0"/>
                <w:sz w:val="24"/>
                <w:szCs w:val="24"/>
                <w:lang w:val="hy-AM"/>
              </w:rPr>
            </w:pPr>
            <w:r w:rsidRPr="00BD7577">
              <w:rPr>
                <w:rStyle w:val="Bodytext1811pt"/>
                <w:rFonts w:ascii="Sylfaen" w:hAnsi="Sylfaen"/>
                <w:sz w:val="24"/>
                <w:szCs w:val="24"/>
              </w:rPr>
              <w:t>Ակտիվ դեղագործական բաղադրամասն արտադրողի ԱԴԲ-ի ներքին ծածկագիրը (եթե կիրառելի է)՝</w:t>
            </w:r>
          </w:p>
        </w:tc>
        <w:tc>
          <w:tcPr>
            <w:tcW w:w="5575" w:type="dxa"/>
            <w:gridSpan w:val="2"/>
            <w:tcBorders>
              <w:top w:val="single" w:sz="4" w:space="0" w:color="auto"/>
              <w:left w:val="single" w:sz="4" w:space="0" w:color="auto"/>
              <w:right w:val="single" w:sz="4" w:space="0" w:color="auto"/>
            </w:tcBorders>
            <w:shd w:val="clear" w:color="auto" w:fill="FFFFFF"/>
          </w:tcPr>
          <w:p w14:paraId="03547B64"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{ԱԴԲ-ի ներքին ծածկագիրը}</w:t>
            </w:r>
          </w:p>
        </w:tc>
      </w:tr>
      <w:tr w:rsidR="008C76E0" w:rsidRPr="00BD7577" w14:paraId="1CD5AF3D" w14:textId="77777777" w:rsidTr="008C76E0">
        <w:trPr>
          <w:jc w:val="center"/>
        </w:trPr>
        <w:tc>
          <w:tcPr>
            <w:tcW w:w="4383" w:type="dxa"/>
            <w:gridSpan w:val="3"/>
            <w:tcBorders>
              <w:top w:val="single" w:sz="4" w:space="0" w:color="auto"/>
              <w:left w:val="single" w:sz="4" w:space="0" w:color="auto"/>
              <w:bottom w:val="single" w:sz="4" w:space="0" w:color="auto"/>
            </w:tcBorders>
            <w:shd w:val="clear" w:color="auto" w:fill="FFFFFF"/>
            <w:vAlign w:val="bottom"/>
          </w:tcPr>
          <w:p w14:paraId="4FD987B6"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Լրացուցիչ տեղեկությունները (եթե կիրառելի է, օրինակ՝ սինթեզի տարատեսակ եղանակները, դասը)</w:t>
            </w:r>
          </w:p>
          <w:p w14:paraId="67382629"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(Կիրառելի է, եթե ԱԴԲՄՖ-ի իրավատերը մի</w:t>
            </w:r>
            <w:r w:rsidR="00C54D75">
              <w:rPr>
                <w:rStyle w:val="Bodytext1811pt"/>
                <w:rFonts w:ascii="Sylfaen" w:hAnsi="Sylfaen"/>
                <w:sz w:val="24"/>
                <w:szCs w:val="24"/>
              </w:rPr>
              <w:t>և</w:t>
            </w:r>
            <w:r w:rsidRPr="00BD7577">
              <w:rPr>
                <w:rStyle w:val="Bodytext1811pt"/>
                <w:rFonts w:ascii="Sylfaen" w:hAnsi="Sylfaen"/>
                <w:sz w:val="24"/>
                <w:szCs w:val="24"/>
              </w:rPr>
              <w:t>նույն ակտիվ դեղագործական բաղադրամասի</w:t>
            </w:r>
          </w:p>
        </w:tc>
        <w:tc>
          <w:tcPr>
            <w:tcW w:w="5575" w:type="dxa"/>
            <w:gridSpan w:val="2"/>
            <w:tcBorders>
              <w:top w:val="single" w:sz="4" w:space="0" w:color="auto"/>
              <w:left w:val="single" w:sz="4" w:space="0" w:color="auto"/>
              <w:bottom w:val="single" w:sz="4" w:space="0" w:color="auto"/>
              <w:right w:val="single" w:sz="4" w:space="0" w:color="auto"/>
            </w:tcBorders>
            <w:shd w:val="clear" w:color="auto" w:fill="FFFFFF"/>
          </w:tcPr>
          <w:p w14:paraId="701CD2F3"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682355B3"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4CB06D7C"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հետ կապված իր տրամադրության տակ ունի մի քանի ԱԴԲՄՖ-ներ)</w:t>
            </w:r>
          </w:p>
        </w:tc>
        <w:tc>
          <w:tcPr>
            <w:tcW w:w="5575" w:type="dxa"/>
            <w:gridSpan w:val="2"/>
            <w:tcBorders>
              <w:top w:val="single" w:sz="4" w:space="0" w:color="auto"/>
              <w:left w:val="single" w:sz="4" w:space="0" w:color="auto"/>
              <w:right w:val="single" w:sz="4" w:space="0" w:color="auto"/>
            </w:tcBorders>
            <w:shd w:val="clear" w:color="auto" w:fill="FFFFFF"/>
          </w:tcPr>
          <w:p w14:paraId="2764FBF9"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2102EACC" w14:textId="77777777" w:rsidTr="008C76E0">
        <w:trPr>
          <w:jc w:val="center"/>
        </w:trPr>
        <w:tc>
          <w:tcPr>
            <w:tcW w:w="9958" w:type="dxa"/>
            <w:gridSpan w:val="5"/>
            <w:tcBorders>
              <w:top w:val="single" w:sz="4" w:space="0" w:color="auto"/>
            </w:tcBorders>
            <w:shd w:val="clear" w:color="auto" w:fill="FFFFFF"/>
          </w:tcPr>
          <w:p w14:paraId="2E9B907E"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0673B7F8" w14:textId="77777777" w:rsidTr="008C76E0">
        <w:trPr>
          <w:jc w:val="center"/>
        </w:trPr>
        <w:tc>
          <w:tcPr>
            <w:tcW w:w="4383" w:type="dxa"/>
            <w:gridSpan w:val="3"/>
            <w:tcBorders>
              <w:top w:val="single" w:sz="4" w:space="0" w:color="auto"/>
              <w:left w:val="single" w:sz="4" w:space="0" w:color="auto"/>
            </w:tcBorders>
            <w:shd w:val="clear" w:color="auto" w:fill="FFFFFF"/>
          </w:tcPr>
          <w:p w14:paraId="07F6505B"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ԱԴԲՄՖ-ի իրավատերը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0F756809"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{ԱԴԲՄՖ-ի իրավատիրոջ անվանումը}</w:t>
            </w:r>
          </w:p>
          <w:p w14:paraId="2624E4DB"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{ԱԴԲՄՖ-ի իրավատիրոջ լրիվ իրավաբանական հասցեն}</w:t>
            </w:r>
          </w:p>
          <w:p w14:paraId="706C7940"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{երկիրը}</w:t>
            </w:r>
          </w:p>
          <w:p w14:paraId="0C748856" w14:textId="77777777" w:rsidR="008C76E0" w:rsidRPr="00BD7577" w:rsidRDefault="008C76E0" w:rsidP="008C76E0">
            <w:pPr>
              <w:pStyle w:val="Bodytext180"/>
              <w:shd w:val="clear" w:color="auto" w:fill="auto"/>
              <w:spacing w:before="0" w:after="120" w:line="240" w:lineRule="auto"/>
              <w:ind w:left="116" w:right="49" w:firstLine="0"/>
              <w:rPr>
                <w:rStyle w:val="Bodytext1811pt"/>
                <w:rFonts w:ascii="Sylfaen" w:hAnsi="Sylfaen"/>
                <w:sz w:val="24"/>
                <w:szCs w:val="24"/>
              </w:rPr>
            </w:pPr>
            <w:r w:rsidRPr="00BD7577">
              <w:rPr>
                <w:rStyle w:val="Bodytext1811pt"/>
                <w:rFonts w:ascii="Sylfaen" w:hAnsi="Sylfaen"/>
                <w:sz w:val="24"/>
                <w:szCs w:val="24"/>
              </w:rPr>
              <w:t xml:space="preserve">Կոնտակտային անձի Ա.Ա.Հ.-ն՝ հեռախոսահամարը՝ </w:t>
            </w:r>
          </w:p>
          <w:p w14:paraId="6D9EF6EC"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էլեկտրոնային փոստի հասցեն՝</w:t>
            </w:r>
          </w:p>
        </w:tc>
      </w:tr>
      <w:tr w:rsidR="008C76E0" w:rsidRPr="00BD7577" w14:paraId="292DFBED" w14:textId="77777777" w:rsidTr="008C76E0">
        <w:trPr>
          <w:jc w:val="center"/>
        </w:trPr>
        <w:tc>
          <w:tcPr>
            <w:tcW w:w="4383" w:type="dxa"/>
            <w:gridSpan w:val="3"/>
            <w:tcBorders>
              <w:top w:val="single" w:sz="4" w:space="0" w:color="auto"/>
              <w:left w:val="single" w:sz="4" w:space="0" w:color="auto"/>
            </w:tcBorders>
            <w:shd w:val="clear" w:color="auto" w:fill="FFFFFF"/>
          </w:tcPr>
          <w:p w14:paraId="20655EDE"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 xml:space="preserve">Ակտիվ դեղագործական բաղադրամաս արտադրողը Արտադրական հարթակները (Դեղագործական բաղադրամասի արտադրության մեջ ներգրավված բոլոր ընկերությունները, այդ թվում՝ որակի հսկողության (ներարտադրական փորձարկումների) հարթակները, միջանկյալ արտադրանքներ արտադրողները, մանրացման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մանրէազերծման հարթակներն անհրաժեշտ է թվել առանձին սյունակներում):</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6BF51FD8"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{արտադրական հարթակների հասցեները}</w:t>
            </w:r>
          </w:p>
          <w:p w14:paraId="35D3A05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{երկիրը}</w:t>
            </w:r>
          </w:p>
          <w:p w14:paraId="12BA5790"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{ՏՀՈւՀ-ի համարը}</w:t>
            </w:r>
          </w:p>
          <w:p w14:paraId="11BDE6C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sz w:val="24"/>
                <w:szCs w:val="24"/>
                <w:lang w:val="hy-AM"/>
              </w:rPr>
            </w:pPr>
            <w:r w:rsidRPr="00BD7577">
              <w:rPr>
                <w:rStyle w:val="Bodytext1811pt"/>
                <w:rFonts w:ascii="Sylfaen" w:hAnsi="Sylfaen"/>
                <w:sz w:val="24"/>
                <w:szCs w:val="24"/>
              </w:rPr>
              <w:t>Բոլոր հարթակների համար անհրաժեշտ է ներկայացնել տվյալների համարակալման ունիվերսալ համակարգ (ՏՀՈւՀ), եթե դրանք գրանցված են։ ՏՀՈւՀ-ը մշակվել է Dun &amp; Bradstreet-ի (D&amp;B) կողմից. այն մեկ տնտեսավարող սուբյեկտին տալիս է եզակի թվային նույնացուցիչ։ Այն օգտագործվում է Միության սահմաններից դուրս գտնվող արտադրական հարթակների նույնականացումն արագացնելու համար</w:t>
            </w:r>
          </w:p>
          <w:p w14:paraId="3D4A8A3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{հարթակի GPS (WGS 84) կոորդինատները}</w:t>
            </w:r>
          </w:p>
          <w:p w14:paraId="6FA4ABAE" w14:textId="01DA75BE" w:rsidR="008C76E0" w:rsidRPr="008C76E0" w:rsidRDefault="008C76E0" w:rsidP="008C76E0">
            <w:pPr>
              <w:pStyle w:val="Bodytext180"/>
              <w:shd w:val="clear" w:color="auto" w:fill="auto"/>
              <w:spacing w:before="0" w:after="120" w:line="240" w:lineRule="auto"/>
              <w:ind w:left="116" w:right="49" w:firstLine="0"/>
              <w:rPr>
                <w:rFonts w:ascii="Sylfaen" w:hAnsi="Sylfaen"/>
                <w:b w:val="0"/>
                <w:sz w:val="24"/>
                <w:szCs w:val="24"/>
                <w:lang w:val="hy-AM"/>
              </w:rPr>
            </w:pPr>
            <w:r w:rsidRPr="00BD7577">
              <w:rPr>
                <w:rStyle w:val="Bodytext1811pt"/>
                <w:rFonts w:ascii="Sylfaen" w:hAnsi="Sylfaen"/>
                <w:sz w:val="24"/>
                <w:szCs w:val="24"/>
              </w:rPr>
              <w:t xml:space="preserve">Լայնությունը (Հ կամ Հ) ու երկայնությունը </w:t>
            </w:r>
            <w:r w:rsidRPr="00746E86">
              <w:rPr>
                <w:rStyle w:val="Bodytext1811pt"/>
                <w:rFonts w:ascii="Sylfaen" w:hAnsi="Sylfaen"/>
                <w:sz w:val="24"/>
                <w:szCs w:val="24"/>
              </w:rPr>
              <w:br/>
            </w:r>
            <w:r w:rsidRPr="00BD7577">
              <w:rPr>
                <w:rStyle w:val="Bodytext1811pt"/>
                <w:rFonts w:ascii="Sylfaen" w:hAnsi="Sylfaen"/>
                <w:sz w:val="24"/>
                <w:szCs w:val="24"/>
              </w:rPr>
              <w:lastRenderedPageBreak/>
              <w:t xml:space="preserve">(Ա կամ Ա) </w:t>
            </w:r>
            <w:r w:rsidR="0085119E">
              <w:rPr>
                <w:rStyle w:val="Bodytext1811pt"/>
                <w:rFonts w:ascii="Sylfaen" w:hAnsi="Sylfaen"/>
                <w:sz w:val="24"/>
                <w:szCs w:val="24"/>
              </w:rPr>
              <w:t>արտահայտվ</w:t>
            </w:r>
            <w:r w:rsidRPr="00BD7577">
              <w:rPr>
                <w:rStyle w:val="Bodytext1811pt"/>
                <w:rFonts w:ascii="Sylfaen" w:hAnsi="Sylfaen"/>
                <w:sz w:val="24"/>
                <w:szCs w:val="24"/>
              </w:rPr>
              <w:t>ում են աստիճաններով, րոպեներով, վայրկյաններով՝ ստորակետից հետո մինչ</w:t>
            </w:r>
            <w:r w:rsidR="00C54D75">
              <w:rPr>
                <w:rStyle w:val="Bodytext1811pt"/>
                <w:rFonts w:ascii="Sylfaen" w:hAnsi="Sylfaen"/>
                <w:sz w:val="24"/>
                <w:szCs w:val="24"/>
              </w:rPr>
              <w:t>և</w:t>
            </w:r>
            <w:r w:rsidRPr="00BD7577">
              <w:rPr>
                <w:rStyle w:val="Bodytext1811pt"/>
                <w:rFonts w:ascii="Sylfaen" w:hAnsi="Sylfaen"/>
                <w:sz w:val="24"/>
                <w:szCs w:val="24"/>
              </w:rPr>
              <w:t xml:space="preserve"> 1 նշանով (որպես այլընտրանք՝ այն թույլատրվում է նշել աստիճաններով՝ ստորակետից հետո առնվազն հինգ նշանով կամ աստիճաններով </w:t>
            </w:r>
            <w:r w:rsidR="00C54D75">
              <w:rPr>
                <w:rStyle w:val="Bodytext1811pt"/>
                <w:rFonts w:ascii="Sylfaen" w:hAnsi="Sylfaen"/>
                <w:sz w:val="24"/>
                <w:szCs w:val="24"/>
              </w:rPr>
              <w:t>և</w:t>
            </w:r>
            <w:r w:rsidRPr="00BD7577">
              <w:rPr>
                <w:rStyle w:val="Bodytext1811pt"/>
                <w:rFonts w:ascii="Sylfaen" w:hAnsi="Sylfaen"/>
                <w:sz w:val="24"/>
                <w:szCs w:val="24"/>
              </w:rPr>
              <w:t xml:space="preserve"> րոպեներով՝ ստորակետից հետո առնվազն երեք նշանով)։ Եթե գլխավոր մուտքը չէ, ապա հարկ է նշել տեղակայումը։</w:t>
            </w:r>
          </w:p>
          <w:p w14:paraId="1B5B144B" w14:textId="77777777" w:rsidR="008C76E0" w:rsidRPr="00BD7577" w:rsidRDefault="008C76E0" w:rsidP="008C76E0">
            <w:pPr>
              <w:pStyle w:val="Bodytext180"/>
              <w:shd w:val="clear" w:color="auto" w:fill="auto"/>
              <w:spacing w:before="0" w:after="120" w:line="240" w:lineRule="auto"/>
              <w:ind w:left="116" w:right="49" w:firstLine="0"/>
              <w:rPr>
                <w:rStyle w:val="Bodytext1811pt"/>
                <w:rFonts w:ascii="Sylfaen" w:hAnsi="Sylfaen"/>
                <w:sz w:val="24"/>
                <w:szCs w:val="24"/>
              </w:rPr>
            </w:pPr>
            <w:r w:rsidRPr="00BD7577">
              <w:rPr>
                <w:rStyle w:val="Bodytext1811pt"/>
                <w:rFonts w:ascii="Sylfaen" w:hAnsi="Sylfaen"/>
                <w:sz w:val="24"/>
                <w:szCs w:val="24"/>
              </w:rPr>
              <w:t xml:space="preserve">Կոնտակտային անձի Ա.Ա.Հ.-ն՝ հեռախոսահամարը՝ </w:t>
            </w:r>
          </w:p>
          <w:p w14:paraId="1026523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էլեկտրոնային փոստի հասցեն՝</w:t>
            </w:r>
          </w:p>
        </w:tc>
      </w:tr>
      <w:tr w:rsidR="008C76E0" w:rsidRPr="00BD7577" w14:paraId="340B3B1B" w14:textId="77777777" w:rsidTr="008C76E0">
        <w:trPr>
          <w:jc w:val="center"/>
        </w:trPr>
        <w:tc>
          <w:tcPr>
            <w:tcW w:w="9958" w:type="dxa"/>
            <w:gridSpan w:val="5"/>
            <w:tcBorders>
              <w:top w:val="single" w:sz="4" w:space="0" w:color="auto"/>
            </w:tcBorders>
            <w:shd w:val="clear" w:color="auto" w:fill="FFFFFF"/>
          </w:tcPr>
          <w:p w14:paraId="6426800C"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73876C6B" w14:textId="77777777" w:rsidTr="008C76E0">
        <w:trPr>
          <w:jc w:val="center"/>
        </w:trPr>
        <w:tc>
          <w:tcPr>
            <w:tcW w:w="2073" w:type="dxa"/>
            <w:tcBorders>
              <w:top w:val="single" w:sz="4" w:space="0" w:color="auto"/>
              <w:left w:val="single" w:sz="4" w:space="0" w:color="auto"/>
              <w:bottom w:val="single" w:sz="4" w:space="0" w:color="auto"/>
            </w:tcBorders>
            <w:shd w:val="clear" w:color="auto" w:fill="FFFFFF"/>
          </w:tcPr>
          <w:p w14:paraId="2DE7401E"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Փաստաթղթեր ներկայացնելու տեսակը</w:t>
            </w:r>
          </w:p>
        </w:tc>
        <w:tc>
          <w:tcPr>
            <w:tcW w:w="7885" w:type="dxa"/>
            <w:gridSpan w:val="4"/>
            <w:tcBorders>
              <w:top w:val="single" w:sz="4" w:space="0" w:color="auto"/>
              <w:bottom w:val="single" w:sz="4" w:space="0" w:color="auto"/>
              <w:right w:val="single" w:sz="4" w:space="0" w:color="auto"/>
            </w:tcBorders>
            <w:shd w:val="clear" w:color="auto" w:fill="FFFFFF"/>
            <w:vAlign w:val="bottom"/>
          </w:tcPr>
          <w:p w14:paraId="1B93996A"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փաստաթղթերի նոր ներկայացում</w:t>
            </w:r>
          </w:p>
          <w:p w14:paraId="08713B2C"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թարմացում</w:t>
            </w:r>
          </w:p>
          <w:p w14:paraId="7AF7BB48" w14:textId="61666011"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 xml:space="preserve">տվյալների ոչ բավարար լինելու վերաբերյալ ծանուցմանը տրված պատասխան (ինչպես </w:t>
            </w:r>
            <w:r w:rsidR="0056496B">
              <w:rPr>
                <w:rStyle w:val="Bodytext1811pt"/>
                <w:rFonts w:ascii="Sylfaen" w:hAnsi="Sylfaen"/>
                <w:sz w:val="24"/>
                <w:szCs w:val="24"/>
              </w:rPr>
              <w:t>դիմումատու</w:t>
            </w:r>
            <w:r w:rsidRPr="00BD7577">
              <w:rPr>
                <w:rStyle w:val="Bodytext1811pt"/>
                <w:rFonts w:ascii="Sylfaen" w:hAnsi="Sylfaen"/>
                <w:sz w:val="24"/>
                <w:szCs w:val="24"/>
              </w:rPr>
              <w:t>ի մասը, այնպես էլ փակ մասը, եթե կիրառելի է)</w:t>
            </w:r>
          </w:p>
          <w:p w14:paraId="0CD8B11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բացառապես վարչական փոփոխություններ (բոլոր դեպքերում արտադրական հարթակը չի փոխվում)</w:t>
            </w:r>
          </w:p>
          <w:p w14:paraId="700F9E64"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իրավատիրոջ փոփոխություն</w:t>
            </w:r>
          </w:p>
          <w:p w14:paraId="223C6202"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իրավատիրոջ անվանման (հասցեի) փոփոխություն</w:t>
            </w:r>
          </w:p>
          <w:p w14:paraId="0188ADFD"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դեղագործական բաղադրամասն արտադրողի անվանման (հասցեի) փոփոխություն</w:t>
            </w:r>
          </w:p>
        </w:tc>
      </w:tr>
      <w:tr w:rsidR="008C76E0" w:rsidRPr="00BD7577" w14:paraId="0B800380" w14:textId="77777777" w:rsidTr="008C76E0">
        <w:trPr>
          <w:jc w:val="center"/>
        </w:trPr>
        <w:tc>
          <w:tcPr>
            <w:tcW w:w="4533" w:type="dxa"/>
            <w:gridSpan w:val="4"/>
            <w:tcBorders>
              <w:top w:val="single" w:sz="4" w:space="0" w:color="auto"/>
              <w:left w:val="single" w:sz="4" w:space="0" w:color="auto"/>
            </w:tcBorders>
            <w:shd w:val="clear" w:color="auto" w:fill="FFFFFF"/>
          </w:tcPr>
          <w:p w14:paraId="2D5736D7"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Փաստաթղթեր ներկայացնելու տեսակը</w:t>
            </w:r>
          </w:p>
        </w:tc>
        <w:tc>
          <w:tcPr>
            <w:tcW w:w="5425" w:type="dxa"/>
            <w:tcBorders>
              <w:top w:val="single" w:sz="4" w:space="0" w:color="auto"/>
              <w:left w:val="single" w:sz="4" w:space="0" w:color="auto"/>
              <w:right w:val="single" w:sz="4" w:space="0" w:color="auto"/>
            </w:tcBorders>
            <w:shd w:val="clear" w:color="auto" w:fill="FFFFFF"/>
            <w:vAlign w:val="bottom"/>
          </w:tcPr>
          <w:p w14:paraId="05DF9FC4"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փաստաթղթերը թղթային տարբերակով ներկայացնելը</w:t>
            </w:r>
          </w:p>
          <w:p w14:paraId="6F00C485"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էլեկտրոնային ձ</w:t>
            </w:r>
            <w:r w:rsidR="00C54D75">
              <w:rPr>
                <w:rStyle w:val="Bodytext1811pt"/>
                <w:rFonts w:ascii="Sylfaen" w:hAnsi="Sylfaen"/>
                <w:sz w:val="24"/>
                <w:szCs w:val="24"/>
              </w:rPr>
              <w:t>և</w:t>
            </w:r>
            <w:r w:rsidRPr="00BD7577">
              <w:rPr>
                <w:rStyle w:val="Bodytext1811pt"/>
                <w:rFonts w:ascii="Sylfaen" w:hAnsi="Sylfaen"/>
                <w:sz w:val="24"/>
                <w:szCs w:val="24"/>
              </w:rPr>
              <w:t>աչափ (էլեկտրոնային ձ</w:t>
            </w:r>
            <w:r w:rsidR="00C54D75">
              <w:rPr>
                <w:rStyle w:val="Bodytext1811pt"/>
                <w:rFonts w:ascii="Sylfaen" w:hAnsi="Sylfaen"/>
                <w:sz w:val="24"/>
                <w:szCs w:val="24"/>
              </w:rPr>
              <w:t>և</w:t>
            </w:r>
            <w:r w:rsidRPr="00BD7577">
              <w:rPr>
                <w:rStyle w:val="Bodytext1811pt"/>
                <w:rFonts w:ascii="Sylfaen" w:hAnsi="Sylfaen"/>
                <w:sz w:val="24"/>
                <w:szCs w:val="24"/>
              </w:rPr>
              <w:t>աչափով ներկայացնելու դեպքում թղթային տարբերակներ չեն ընդունվում)</w:t>
            </w:r>
          </w:p>
        </w:tc>
      </w:tr>
      <w:tr w:rsidR="008C76E0" w:rsidRPr="00BD7577" w14:paraId="73218624" w14:textId="77777777" w:rsidTr="008C76E0">
        <w:trPr>
          <w:jc w:val="center"/>
        </w:trPr>
        <w:tc>
          <w:tcPr>
            <w:tcW w:w="4533" w:type="dxa"/>
            <w:gridSpan w:val="4"/>
            <w:tcBorders>
              <w:top w:val="single" w:sz="4" w:space="0" w:color="auto"/>
              <w:left w:val="single" w:sz="4" w:space="0" w:color="auto"/>
            </w:tcBorders>
            <w:shd w:val="clear" w:color="auto" w:fill="FFFFFF"/>
            <w:vAlign w:val="bottom"/>
          </w:tcPr>
          <w:p w14:paraId="49130F9B"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Թղթային տարբերակի հատորների թիվը</w:t>
            </w:r>
          </w:p>
        </w:tc>
        <w:tc>
          <w:tcPr>
            <w:tcW w:w="5425" w:type="dxa"/>
            <w:tcBorders>
              <w:top w:val="single" w:sz="4" w:space="0" w:color="auto"/>
              <w:left w:val="single" w:sz="4" w:space="0" w:color="auto"/>
              <w:right w:val="single" w:sz="4" w:space="0" w:color="auto"/>
            </w:tcBorders>
            <w:shd w:val="clear" w:color="auto" w:fill="FFFFFF"/>
            <w:vAlign w:val="bottom"/>
          </w:tcPr>
          <w:p w14:paraId="7B4A796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թղթային տարբերակի հատորների թիվը</w:t>
            </w:r>
          </w:p>
        </w:tc>
      </w:tr>
      <w:tr w:rsidR="008C76E0" w:rsidRPr="00BD7577" w14:paraId="7D9C43F4" w14:textId="77777777" w:rsidTr="008C76E0">
        <w:trPr>
          <w:jc w:val="center"/>
        </w:trPr>
        <w:tc>
          <w:tcPr>
            <w:tcW w:w="4533" w:type="dxa"/>
            <w:gridSpan w:val="4"/>
            <w:tcBorders>
              <w:top w:val="single" w:sz="4" w:space="0" w:color="auto"/>
              <w:left w:val="single" w:sz="4" w:space="0" w:color="auto"/>
            </w:tcBorders>
            <w:shd w:val="clear" w:color="auto" w:fill="FFFFFF"/>
            <w:vAlign w:val="bottom"/>
          </w:tcPr>
          <w:p w14:paraId="682405CB"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{Համարը}</w:t>
            </w:r>
          </w:p>
        </w:tc>
        <w:tc>
          <w:tcPr>
            <w:tcW w:w="5425" w:type="dxa"/>
            <w:tcBorders>
              <w:top w:val="single" w:sz="4" w:space="0" w:color="auto"/>
              <w:left w:val="single" w:sz="4" w:space="0" w:color="auto"/>
              <w:right w:val="single" w:sz="4" w:space="0" w:color="auto"/>
            </w:tcBorders>
            <w:shd w:val="clear" w:color="auto" w:fill="FFFFFF"/>
            <w:vAlign w:val="bottom"/>
          </w:tcPr>
          <w:p w14:paraId="48FF1A2E"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{Համարը}</w:t>
            </w:r>
          </w:p>
        </w:tc>
      </w:tr>
      <w:tr w:rsidR="008C76E0" w:rsidRPr="00BD7577" w14:paraId="50BEE656" w14:textId="77777777" w:rsidTr="008C76E0">
        <w:trPr>
          <w:jc w:val="center"/>
        </w:trPr>
        <w:tc>
          <w:tcPr>
            <w:tcW w:w="9958" w:type="dxa"/>
            <w:gridSpan w:val="5"/>
            <w:tcBorders>
              <w:top w:val="single" w:sz="4" w:space="0" w:color="auto"/>
            </w:tcBorders>
            <w:shd w:val="clear" w:color="auto" w:fill="FFFFFF"/>
          </w:tcPr>
          <w:p w14:paraId="6EE7E166"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3D29F4BE" w14:textId="77777777" w:rsidTr="008C76E0">
        <w:trPr>
          <w:jc w:val="center"/>
        </w:trPr>
        <w:tc>
          <w:tcPr>
            <w:tcW w:w="2414" w:type="dxa"/>
            <w:gridSpan w:val="2"/>
            <w:tcBorders>
              <w:top w:val="single" w:sz="4" w:space="0" w:color="auto"/>
              <w:left w:val="single" w:sz="4" w:space="0" w:color="auto"/>
              <w:bottom w:val="single" w:sz="4" w:space="0" w:color="auto"/>
            </w:tcBorders>
            <w:shd w:val="clear" w:color="auto" w:fill="FFFFFF"/>
          </w:tcPr>
          <w:p w14:paraId="46975AD1"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Ներկայացված փաստաթղթերը</w:t>
            </w:r>
          </w:p>
        </w:tc>
        <w:tc>
          <w:tcPr>
            <w:tcW w:w="75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783DB25"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հասանելիության թույլտվությունը (սույն հավելվածի թիվ 2 լրացմանը համապատասխան)</w:t>
            </w:r>
          </w:p>
          <w:p w14:paraId="587ADE66"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փորձագետի ռեզյումեի պատճենը</w:t>
            </w:r>
          </w:p>
          <w:p w14:paraId="7CB2E596"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որակի ընդհանուր ռեզյումեն</w:t>
            </w:r>
          </w:p>
          <w:p w14:paraId="761EB954"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lastRenderedPageBreak/>
              <w:t>փոփոխությունների աղյուսակը (ԱԴԲՄՖ-ի՝ Միության միասնական ռեեստրում կատարված թարմացումը ներկայացնելիս)</w:t>
            </w:r>
          </w:p>
          <w:p w14:paraId="13B8C5E0"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ակտիվ դեղագործական բաղադրամասի վերաբերյալ ԱԴԲՄՖ-ի իրավատիրոջ կողմից առաջարկվող մասնագրի պատճենը</w:t>
            </w:r>
          </w:p>
          <w:p w14:paraId="328BEDAE"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ԱԴԲՄՖ-ում տվյալների ոչ բավարար լինելու վերաբերյալ անդամ պետության լիազորված մարմնի կողմից ուղարկված ծանուցագրի պատճենը (միայն պատասխան փաստաթղթեր ներկայացնելիս)</w:t>
            </w:r>
          </w:p>
        </w:tc>
      </w:tr>
    </w:tbl>
    <w:p w14:paraId="0D9EF046" w14:textId="77777777" w:rsidR="008C76E0" w:rsidRPr="00BD7577" w:rsidRDefault="008C76E0" w:rsidP="008C76E0">
      <w:pPr>
        <w:ind w:right="-1"/>
        <w:jc w:val="both"/>
        <w:rPr>
          <w:rFonts w:ascii="Sylfaen" w:hAnsi="Sylfaen"/>
          <w:sz w:val="24"/>
          <w:szCs w:val="24"/>
        </w:rPr>
      </w:pPr>
    </w:p>
    <w:p w14:paraId="25745957"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t>ԱԴԲՄՖ-ի տարատեսակ տարբերակների միջ</w:t>
      </w:r>
      <w:r w:rsidR="00C54D75">
        <w:rPr>
          <w:rFonts w:ascii="Sylfaen" w:hAnsi="Sylfaen"/>
          <w:sz w:val="24"/>
          <w:szCs w:val="24"/>
        </w:rPr>
        <w:t>և</w:t>
      </w:r>
      <w:r w:rsidRPr="00BD7577">
        <w:rPr>
          <w:rFonts w:ascii="Sylfaen" w:hAnsi="Sylfaen"/>
          <w:sz w:val="24"/>
          <w:szCs w:val="24"/>
        </w:rPr>
        <w:t xml:space="preserve"> </w:t>
      </w:r>
      <w:r w:rsidRPr="00BA15D2">
        <w:rPr>
          <w:rFonts w:ascii="Sylfaen" w:hAnsi="Sylfaen"/>
          <w:sz w:val="24"/>
          <w:szCs w:val="24"/>
        </w:rPr>
        <w:br/>
      </w:r>
      <w:r w:rsidRPr="00BD7577">
        <w:rPr>
          <w:rFonts w:ascii="Sylfaen" w:hAnsi="Sylfaen"/>
          <w:sz w:val="24"/>
          <w:szCs w:val="24"/>
        </w:rPr>
        <w:t>փոփոխությունների աղյուսակը</w:t>
      </w:r>
    </w:p>
    <w:p w14:paraId="7B942303"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Տվյալ բաժինը լրացվում է միայն նախկինում ներկայացված ԱԴԲՄՖ-ն թարմացնելու դեպքում։</w:t>
      </w:r>
    </w:p>
    <w:p w14:paraId="7D102412"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Փոփոխությունների աղյուսակը հարկ է ներառել որպես հիմնական ուղեգիր-նամակին կից առանձին փաստաթուղթ։ ԱԴԲՄՖ-ի իրավատերը պետք է օգտագործի աղյուսակների հետ</w:t>
      </w:r>
      <w:r w:rsidR="00C54D75">
        <w:rPr>
          <w:rFonts w:ascii="Sylfaen" w:hAnsi="Sylfaen"/>
          <w:sz w:val="24"/>
          <w:szCs w:val="24"/>
        </w:rPr>
        <w:t>և</w:t>
      </w:r>
      <w:r w:rsidRPr="00BD7577">
        <w:rPr>
          <w:rFonts w:ascii="Sylfaen" w:hAnsi="Sylfaen"/>
          <w:sz w:val="24"/>
          <w:szCs w:val="24"/>
        </w:rPr>
        <w:t>յալ օրինակելի ձ</w:t>
      </w:r>
      <w:r w:rsidR="00C54D75">
        <w:rPr>
          <w:rFonts w:ascii="Sylfaen" w:hAnsi="Sylfaen"/>
          <w:sz w:val="24"/>
          <w:szCs w:val="24"/>
        </w:rPr>
        <w:t>և</w:t>
      </w:r>
      <w:r w:rsidRPr="00BD7577">
        <w:rPr>
          <w:rFonts w:ascii="Sylfaen" w:hAnsi="Sylfaen"/>
          <w:sz w:val="24"/>
          <w:szCs w:val="24"/>
        </w:rPr>
        <w:t>անմուշները։ Եթե</w:t>
      </w:r>
      <w:r w:rsidRPr="00BA15D2">
        <w:rPr>
          <w:rFonts w:ascii="Sylfaen" w:hAnsi="Sylfaen"/>
          <w:sz w:val="24"/>
          <w:szCs w:val="24"/>
        </w:rPr>
        <w:t> </w:t>
      </w:r>
      <w:r w:rsidRPr="00BD7577">
        <w:rPr>
          <w:rFonts w:ascii="Sylfaen" w:hAnsi="Sylfaen"/>
          <w:sz w:val="24"/>
          <w:szCs w:val="24"/>
        </w:rPr>
        <w:t>փոփոխությունները նախկինում հավանության են արժանացել անդամ պետության այլ լիազորված մարմնի կողմից, ապա ԱԴԲՄՖ-ի իրավատերը պետք է աղյուսակը ծանոթագրի ընթացակարգի համարով։</w:t>
      </w:r>
    </w:p>
    <w:p w14:paraId="6F44BBA6" w14:textId="77777777" w:rsidR="008C76E0" w:rsidRPr="00BD7577" w:rsidRDefault="008C76E0" w:rsidP="00207FF6">
      <w:pPr>
        <w:spacing w:after="160" w:line="360" w:lineRule="auto"/>
        <w:ind w:right="-1" w:firstLine="567"/>
        <w:jc w:val="both"/>
        <w:rPr>
          <w:rFonts w:ascii="Sylfaen" w:hAnsi="Sylfaen"/>
          <w:sz w:val="24"/>
          <w:szCs w:val="24"/>
        </w:rPr>
      </w:pPr>
      <w:r w:rsidRPr="00BD7577">
        <w:rPr>
          <w:rFonts w:ascii="Sylfaen" w:hAnsi="Sylfaen"/>
          <w:sz w:val="24"/>
          <w:szCs w:val="24"/>
        </w:rPr>
        <w:t>Փոփոխությունների աղյուսակի օրինակելի ձ</w:t>
      </w:r>
      <w:r w:rsidR="00C54D75">
        <w:rPr>
          <w:rFonts w:ascii="Sylfaen" w:hAnsi="Sylfaen"/>
          <w:sz w:val="24"/>
          <w:szCs w:val="24"/>
        </w:rPr>
        <w:t>և</w:t>
      </w:r>
      <w:r w:rsidRPr="00BD7577">
        <w:rPr>
          <w:rFonts w:ascii="Sylfaen" w:hAnsi="Sylfaen"/>
          <w:sz w:val="24"/>
          <w:szCs w:val="24"/>
        </w:rPr>
        <w:t>աչափ</w:t>
      </w:r>
    </w:p>
    <w:tbl>
      <w:tblPr>
        <w:tblOverlap w:val="never"/>
        <w:tblW w:w="9915" w:type="dxa"/>
        <w:jc w:val="center"/>
        <w:tblLayout w:type="fixed"/>
        <w:tblCellMar>
          <w:left w:w="10" w:type="dxa"/>
          <w:right w:w="10" w:type="dxa"/>
        </w:tblCellMar>
        <w:tblLook w:val="04A0" w:firstRow="1" w:lastRow="0" w:firstColumn="1" w:lastColumn="0" w:noHBand="0" w:noVBand="1"/>
      </w:tblPr>
      <w:tblGrid>
        <w:gridCol w:w="1742"/>
        <w:gridCol w:w="4075"/>
        <w:gridCol w:w="4098"/>
      </w:tblGrid>
      <w:tr w:rsidR="008C76E0" w:rsidRPr="00BD7577" w14:paraId="369E862F" w14:textId="77777777" w:rsidTr="008C76E0">
        <w:trPr>
          <w:jc w:val="center"/>
        </w:trPr>
        <w:tc>
          <w:tcPr>
            <w:tcW w:w="9915" w:type="dxa"/>
            <w:gridSpan w:val="3"/>
            <w:tcBorders>
              <w:top w:val="single" w:sz="4" w:space="0" w:color="auto"/>
              <w:left w:val="single" w:sz="4" w:space="0" w:color="auto"/>
              <w:right w:val="single" w:sz="4" w:space="0" w:color="auto"/>
            </w:tcBorders>
            <w:shd w:val="clear" w:color="auto" w:fill="FFFFFF"/>
            <w:vAlign w:val="bottom"/>
          </w:tcPr>
          <w:p w14:paraId="3ADFCBE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ՓՈՓՈԽՈՒԹՅՈՒՆՆԵՐԻ ԱՂՅՈՒՍԱԿ</w:t>
            </w:r>
          </w:p>
        </w:tc>
      </w:tr>
      <w:tr w:rsidR="008C76E0" w:rsidRPr="00BD7577" w14:paraId="3AC5B416" w14:textId="77777777" w:rsidTr="008C76E0">
        <w:trPr>
          <w:jc w:val="center"/>
        </w:trPr>
        <w:tc>
          <w:tcPr>
            <w:tcW w:w="1742" w:type="dxa"/>
            <w:tcBorders>
              <w:top w:val="single" w:sz="4" w:space="0" w:color="auto"/>
              <w:left w:val="single" w:sz="4" w:space="0" w:color="auto"/>
            </w:tcBorders>
            <w:shd w:val="clear" w:color="auto" w:fill="FFFFFF"/>
          </w:tcPr>
          <w:p w14:paraId="7A8E790F"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tcBorders>
            <w:shd w:val="clear" w:color="auto" w:fill="FFFFFF"/>
            <w:vAlign w:val="bottom"/>
          </w:tcPr>
          <w:p w14:paraId="46C7394C"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ԱՅԺՄ</w:t>
            </w:r>
          </w:p>
        </w:tc>
        <w:tc>
          <w:tcPr>
            <w:tcW w:w="4098" w:type="dxa"/>
            <w:tcBorders>
              <w:top w:val="single" w:sz="4" w:space="0" w:color="auto"/>
              <w:left w:val="single" w:sz="4" w:space="0" w:color="auto"/>
              <w:right w:val="single" w:sz="4" w:space="0" w:color="auto"/>
            </w:tcBorders>
            <w:shd w:val="clear" w:color="auto" w:fill="FFFFFF"/>
            <w:vAlign w:val="bottom"/>
          </w:tcPr>
          <w:p w14:paraId="63EDF46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ԱՌԱՋԱՐԿՎՈՒՄ Է</w:t>
            </w:r>
          </w:p>
        </w:tc>
      </w:tr>
      <w:tr w:rsidR="008C76E0" w:rsidRPr="00BD7577" w14:paraId="763EA909" w14:textId="77777777" w:rsidTr="008C76E0">
        <w:trPr>
          <w:jc w:val="center"/>
        </w:trPr>
        <w:tc>
          <w:tcPr>
            <w:tcW w:w="1742" w:type="dxa"/>
            <w:tcBorders>
              <w:top w:val="single" w:sz="4" w:space="0" w:color="auto"/>
              <w:left w:val="single" w:sz="4" w:space="0" w:color="auto"/>
            </w:tcBorders>
            <w:shd w:val="clear" w:color="auto" w:fill="FFFFFF"/>
          </w:tcPr>
          <w:p w14:paraId="4D9A9153"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tcBorders>
            <w:shd w:val="clear" w:color="auto" w:fill="FFFFFF"/>
            <w:vAlign w:val="bottom"/>
          </w:tcPr>
          <w:p w14:paraId="3DC5F51E"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ԱԴԲՄՖ-ի իրավատիրոջ ՓՄ-ի </w:t>
            </w:r>
            <w:r w:rsidR="00C54D75">
              <w:rPr>
                <w:rStyle w:val="Bodytext1811pt"/>
                <w:rFonts w:ascii="Sylfaen" w:hAnsi="Sylfaen"/>
                <w:sz w:val="24"/>
                <w:szCs w:val="24"/>
              </w:rPr>
              <w:t>և</w:t>
            </w:r>
            <w:r w:rsidRPr="00BD7577">
              <w:rPr>
                <w:rStyle w:val="Bodytext1811pt"/>
                <w:rFonts w:ascii="Sylfaen" w:hAnsi="Sylfaen"/>
                <w:sz w:val="24"/>
                <w:szCs w:val="24"/>
              </w:rPr>
              <w:t xml:space="preserve"> (կամ) ՀՄ-ի տարբերակի համարը [տարբերակի համարը]/ամսաթիվը (օր-ամիս-տարի)</w:t>
            </w:r>
          </w:p>
        </w:tc>
        <w:tc>
          <w:tcPr>
            <w:tcW w:w="4098" w:type="dxa"/>
            <w:tcBorders>
              <w:top w:val="single" w:sz="4" w:space="0" w:color="auto"/>
              <w:left w:val="single" w:sz="4" w:space="0" w:color="auto"/>
              <w:right w:val="single" w:sz="4" w:space="0" w:color="auto"/>
            </w:tcBorders>
            <w:shd w:val="clear" w:color="auto" w:fill="FFFFFF"/>
            <w:vAlign w:val="bottom"/>
          </w:tcPr>
          <w:p w14:paraId="6E59632D"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ԱԴԲՄՖ-ի իրավատիրոջ ՓՄ-ի </w:t>
            </w:r>
            <w:r w:rsidR="00C54D75">
              <w:rPr>
                <w:rStyle w:val="Bodytext1811pt"/>
                <w:rFonts w:ascii="Sylfaen" w:hAnsi="Sylfaen"/>
                <w:sz w:val="24"/>
                <w:szCs w:val="24"/>
              </w:rPr>
              <w:t>և</w:t>
            </w:r>
            <w:r w:rsidRPr="00BD7577">
              <w:rPr>
                <w:rStyle w:val="Bodytext1811pt"/>
                <w:rFonts w:ascii="Sylfaen" w:hAnsi="Sylfaen"/>
                <w:sz w:val="24"/>
                <w:szCs w:val="24"/>
              </w:rPr>
              <w:t xml:space="preserve"> (կամ) ՀՄ-ի տարբերակի համարը [տարբերակի համարը]/ամսաթիվը (օր-ամիս-տարի)</w:t>
            </w:r>
          </w:p>
        </w:tc>
      </w:tr>
      <w:tr w:rsidR="008C76E0" w:rsidRPr="00BD7577" w14:paraId="300C2D15" w14:textId="77777777" w:rsidTr="008C76E0">
        <w:trPr>
          <w:jc w:val="center"/>
        </w:trPr>
        <w:tc>
          <w:tcPr>
            <w:tcW w:w="1742" w:type="dxa"/>
            <w:tcBorders>
              <w:top w:val="single" w:sz="4" w:space="0" w:color="auto"/>
              <w:left w:val="single" w:sz="4" w:space="0" w:color="auto"/>
            </w:tcBorders>
            <w:shd w:val="clear" w:color="auto" w:fill="FFFFFF"/>
            <w:vAlign w:val="bottom"/>
          </w:tcPr>
          <w:p w14:paraId="5CE7A97E"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ԸՏՓ-ի բաժինը</w:t>
            </w:r>
          </w:p>
        </w:tc>
        <w:tc>
          <w:tcPr>
            <w:tcW w:w="4075" w:type="dxa"/>
            <w:tcBorders>
              <w:top w:val="single" w:sz="4" w:space="0" w:color="auto"/>
              <w:left w:val="single" w:sz="4" w:space="0" w:color="auto"/>
            </w:tcBorders>
            <w:shd w:val="clear" w:color="auto" w:fill="FFFFFF"/>
            <w:vAlign w:val="bottom"/>
          </w:tcPr>
          <w:p w14:paraId="3E5E1DEA"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Ընթացիկ իրավիճակը</w:t>
            </w:r>
          </w:p>
        </w:tc>
        <w:tc>
          <w:tcPr>
            <w:tcW w:w="4098" w:type="dxa"/>
            <w:tcBorders>
              <w:top w:val="single" w:sz="4" w:space="0" w:color="auto"/>
              <w:left w:val="single" w:sz="4" w:space="0" w:color="auto"/>
              <w:right w:val="single" w:sz="4" w:space="0" w:color="auto"/>
            </w:tcBorders>
            <w:shd w:val="clear" w:color="auto" w:fill="FFFFFF"/>
            <w:vAlign w:val="bottom"/>
          </w:tcPr>
          <w:p w14:paraId="3BAE7D5D"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Փոփոխության նկարագրությունը</w:t>
            </w:r>
          </w:p>
        </w:tc>
      </w:tr>
      <w:tr w:rsidR="008C76E0" w:rsidRPr="00BD7577" w14:paraId="7C29C204" w14:textId="77777777" w:rsidTr="008C76E0">
        <w:trPr>
          <w:jc w:val="center"/>
        </w:trPr>
        <w:tc>
          <w:tcPr>
            <w:tcW w:w="1742" w:type="dxa"/>
            <w:tcBorders>
              <w:top w:val="single" w:sz="4" w:space="0" w:color="auto"/>
              <w:left w:val="single" w:sz="4" w:space="0" w:color="auto"/>
              <w:bottom w:val="single" w:sz="4" w:space="0" w:color="auto"/>
            </w:tcBorders>
            <w:shd w:val="clear" w:color="auto" w:fill="FFFFFF"/>
          </w:tcPr>
          <w:p w14:paraId="5E2A3F5E"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bottom w:val="single" w:sz="4" w:space="0" w:color="auto"/>
            </w:tcBorders>
            <w:shd w:val="clear" w:color="auto" w:fill="FFFFFF"/>
          </w:tcPr>
          <w:p w14:paraId="15CDD098" w14:textId="77777777" w:rsidR="008C76E0" w:rsidRPr="00BD7577" w:rsidRDefault="008C76E0" w:rsidP="008C76E0">
            <w:pPr>
              <w:spacing w:after="120" w:line="240" w:lineRule="auto"/>
              <w:jc w:val="center"/>
              <w:rPr>
                <w:rFonts w:ascii="Sylfaen" w:hAnsi="Sylfaen"/>
                <w:sz w:val="24"/>
                <w:szCs w:val="24"/>
              </w:rPr>
            </w:pPr>
          </w:p>
        </w:tc>
        <w:tc>
          <w:tcPr>
            <w:tcW w:w="4098" w:type="dxa"/>
            <w:tcBorders>
              <w:top w:val="single" w:sz="4" w:space="0" w:color="auto"/>
              <w:left w:val="single" w:sz="4" w:space="0" w:color="auto"/>
              <w:bottom w:val="single" w:sz="4" w:space="0" w:color="auto"/>
              <w:right w:val="single" w:sz="4" w:space="0" w:color="auto"/>
            </w:tcBorders>
            <w:shd w:val="clear" w:color="auto" w:fill="FFFFFF"/>
          </w:tcPr>
          <w:p w14:paraId="13C809B9" w14:textId="77777777" w:rsidR="008C76E0" w:rsidRPr="00BD7577" w:rsidRDefault="008C76E0" w:rsidP="008C76E0">
            <w:pPr>
              <w:spacing w:after="120" w:line="240" w:lineRule="auto"/>
              <w:jc w:val="center"/>
              <w:rPr>
                <w:rFonts w:ascii="Sylfaen" w:hAnsi="Sylfaen"/>
                <w:sz w:val="24"/>
                <w:szCs w:val="24"/>
              </w:rPr>
            </w:pPr>
          </w:p>
        </w:tc>
      </w:tr>
    </w:tbl>
    <w:p w14:paraId="6904FC0D" w14:textId="77777777" w:rsidR="00207FF6" w:rsidRDefault="00207FF6" w:rsidP="008C76E0">
      <w:pPr>
        <w:ind w:left="567" w:right="566"/>
        <w:jc w:val="center"/>
        <w:rPr>
          <w:rFonts w:ascii="Sylfaen" w:hAnsi="Sylfaen"/>
          <w:sz w:val="24"/>
          <w:szCs w:val="24"/>
          <w:lang w:val="en-US"/>
        </w:rPr>
      </w:pPr>
    </w:p>
    <w:p w14:paraId="7F466E70" w14:textId="77777777" w:rsidR="00207FF6" w:rsidRDefault="00207FF6">
      <w:pPr>
        <w:widowControl/>
        <w:rPr>
          <w:rFonts w:ascii="Sylfaen" w:hAnsi="Sylfaen"/>
          <w:sz w:val="24"/>
          <w:szCs w:val="24"/>
          <w:lang w:val="en-US"/>
        </w:rPr>
      </w:pPr>
      <w:r>
        <w:rPr>
          <w:rFonts w:ascii="Sylfaen" w:hAnsi="Sylfaen"/>
          <w:sz w:val="24"/>
          <w:szCs w:val="24"/>
          <w:lang w:val="en-US"/>
        </w:rPr>
        <w:br w:type="page"/>
      </w:r>
    </w:p>
    <w:p w14:paraId="4C07B839"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lastRenderedPageBreak/>
        <w:t>Վարչական տեղեկություններ՝ այլ գրանցման դոսյեների վերաբերյալ</w:t>
      </w:r>
      <w:r w:rsidRPr="00626427">
        <w:rPr>
          <w:rFonts w:ascii="Sylfaen" w:hAnsi="Sylfaen"/>
          <w:sz w:val="24"/>
          <w:szCs w:val="24"/>
        </w:rPr>
        <w:t xml:space="preserve"> </w:t>
      </w:r>
      <w:r w:rsidRPr="00BD7577">
        <w:rPr>
          <w:rFonts w:ascii="Sylfaen" w:hAnsi="Sylfaen"/>
          <w:sz w:val="24"/>
          <w:szCs w:val="24"/>
        </w:rPr>
        <w:t xml:space="preserve">Նույն ԱԴԲՄՖ-ին հղում կատարող գրանցման այլ դոսյեներ </w:t>
      </w:r>
      <w:r w:rsidRPr="00BD7577">
        <w:rPr>
          <w:rFonts w:ascii="Sylfaen" w:hAnsi="Sylfaen"/>
          <w:sz w:val="24"/>
          <w:szCs w:val="24"/>
        </w:rPr>
        <w:br/>
        <w:t>(անկախ դրանց կարգավիճակից)</w:t>
      </w:r>
    </w:p>
    <w:tbl>
      <w:tblPr>
        <w:tblOverlap w:val="never"/>
        <w:tblW w:w="9498" w:type="dxa"/>
        <w:jc w:val="center"/>
        <w:tblLayout w:type="fixed"/>
        <w:tblCellMar>
          <w:left w:w="10" w:type="dxa"/>
          <w:right w:w="10" w:type="dxa"/>
        </w:tblCellMar>
        <w:tblLook w:val="04A0" w:firstRow="1" w:lastRow="0" w:firstColumn="1" w:lastColumn="0" w:noHBand="0" w:noVBand="1"/>
      </w:tblPr>
      <w:tblGrid>
        <w:gridCol w:w="8213"/>
        <w:gridCol w:w="1285"/>
      </w:tblGrid>
      <w:tr w:rsidR="008C76E0" w:rsidRPr="00BD7577" w14:paraId="1C6707CA" w14:textId="77777777" w:rsidTr="008C76E0">
        <w:trPr>
          <w:jc w:val="center"/>
        </w:trPr>
        <w:tc>
          <w:tcPr>
            <w:tcW w:w="8213" w:type="dxa"/>
            <w:vMerge w:val="restart"/>
            <w:tcBorders>
              <w:top w:val="single" w:sz="4" w:space="0" w:color="auto"/>
              <w:left w:val="single" w:sz="4" w:space="0" w:color="auto"/>
            </w:tcBorders>
            <w:shd w:val="clear" w:color="auto" w:fill="FFFFFF"/>
          </w:tcPr>
          <w:p w14:paraId="5F332E29" w14:textId="77777777" w:rsidR="008C76E0" w:rsidRPr="008C76E0" w:rsidRDefault="008C76E0" w:rsidP="00207FF6">
            <w:pPr>
              <w:pStyle w:val="Bodytext180"/>
              <w:shd w:val="clear" w:color="auto" w:fill="auto"/>
              <w:spacing w:before="0" w:after="160" w:line="360" w:lineRule="auto"/>
              <w:ind w:left="130" w:right="125" w:firstLine="0"/>
              <w:jc w:val="both"/>
              <w:rPr>
                <w:rFonts w:ascii="Sylfaen" w:hAnsi="Sylfaen"/>
                <w:b w:val="0"/>
                <w:sz w:val="24"/>
                <w:szCs w:val="24"/>
                <w:lang w:val="hy-AM"/>
              </w:rPr>
            </w:pPr>
            <w:r w:rsidRPr="00BD7577">
              <w:rPr>
                <w:rStyle w:val="Bodytext1811pt"/>
                <w:rFonts w:ascii="Sylfaen" w:hAnsi="Sylfaen"/>
                <w:sz w:val="24"/>
                <w:szCs w:val="24"/>
              </w:rPr>
              <w:t>ԱԴԲՄՖ-ն նախկինում ներկայացվել է անդամ պետության լիազորված մարմին</w:t>
            </w:r>
          </w:p>
        </w:tc>
        <w:tc>
          <w:tcPr>
            <w:tcW w:w="1285" w:type="dxa"/>
            <w:tcBorders>
              <w:top w:val="single" w:sz="4" w:space="0" w:color="auto"/>
              <w:left w:val="single" w:sz="4" w:space="0" w:color="auto"/>
              <w:right w:val="single" w:sz="4" w:space="0" w:color="auto"/>
            </w:tcBorders>
            <w:shd w:val="clear" w:color="auto" w:fill="FFFFFF"/>
            <w:vAlign w:val="bottom"/>
          </w:tcPr>
          <w:p w14:paraId="497EB15D" w14:textId="77777777" w:rsidR="008C76E0" w:rsidRPr="00BD7577" w:rsidRDefault="008C76E0" w:rsidP="00207FF6">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1811pt"/>
                <w:rFonts w:ascii="Sylfaen" w:hAnsi="Sylfaen"/>
                <w:sz w:val="24"/>
                <w:szCs w:val="24"/>
              </w:rPr>
              <w:t>Այո-□</w:t>
            </w:r>
          </w:p>
        </w:tc>
      </w:tr>
      <w:tr w:rsidR="008C76E0" w:rsidRPr="00BD7577" w14:paraId="06B7A495" w14:textId="77777777" w:rsidTr="008C76E0">
        <w:trPr>
          <w:jc w:val="center"/>
        </w:trPr>
        <w:tc>
          <w:tcPr>
            <w:tcW w:w="8213" w:type="dxa"/>
            <w:vMerge/>
            <w:tcBorders>
              <w:left w:val="single" w:sz="4" w:space="0" w:color="auto"/>
              <w:bottom w:val="single" w:sz="4" w:space="0" w:color="auto"/>
            </w:tcBorders>
            <w:shd w:val="clear" w:color="auto" w:fill="FFFFFF"/>
          </w:tcPr>
          <w:p w14:paraId="37A2A367" w14:textId="77777777" w:rsidR="008C76E0" w:rsidRPr="00BD7577" w:rsidRDefault="008C76E0" w:rsidP="00207FF6">
            <w:pPr>
              <w:spacing w:after="160" w:line="360" w:lineRule="auto"/>
              <w:ind w:right="-1"/>
              <w:jc w:val="both"/>
              <w:rPr>
                <w:rFonts w:ascii="Sylfaen" w:hAnsi="Sylfaen"/>
                <w:sz w:val="24"/>
                <w:szCs w:val="24"/>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bottom"/>
          </w:tcPr>
          <w:p w14:paraId="75638A25" w14:textId="77777777" w:rsidR="008C76E0" w:rsidRPr="00BD7577" w:rsidRDefault="008C76E0" w:rsidP="00207FF6">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1811pt"/>
                <w:rFonts w:ascii="Sylfaen" w:hAnsi="Sylfaen"/>
                <w:sz w:val="24"/>
                <w:szCs w:val="24"/>
              </w:rPr>
              <w:t>Ոչ-□</w:t>
            </w:r>
          </w:p>
        </w:tc>
      </w:tr>
    </w:tbl>
    <w:p w14:paraId="4E319469"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Եթե այո, ապա հարկ է ներկայացնել ԱԴԲՄՖ-ի մեջ ներառված տվյալներին համապատասխան արտադրված ակտիվ դեղագործական բաղադրամաս պարունակող բժշկական կիրառման դեղապատրաստուկների ցանկը։ Անհրաժեշտության դեպքում հարկ է օգտագործել լրացուցիչ թերթիկներ։ Անհրաժեշտ է ներառել ներկայացված 5 ամենաթարմ դեղապատրաստուկները կամ վերջին 2 տարվա ընթացքում ներկայացված բոլոր դեղապատրաստուկները՝ կախված այն բանից, թե որն է ավելի շատ։</w:t>
      </w:r>
    </w:p>
    <w:tbl>
      <w:tblPr>
        <w:tblOverlap w:val="never"/>
        <w:tblW w:w="9501" w:type="dxa"/>
        <w:jc w:val="center"/>
        <w:tblLayout w:type="fixed"/>
        <w:tblCellMar>
          <w:left w:w="10" w:type="dxa"/>
          <w:right w:w="10" w:type="dxa"/>
        </w:tblCellMar>
        <w:tblLook w:val="04A0" w:firstRow="1" w:lastRow="0" w:firstColumn="1" w:lastColumn="0" w:noHBand="0" w:noVBand="1"/>
      </w:tblPr>
      <w:tblGrid>
        <w:gridCol w:w="3686"/>
        <w:gridCol w:w="2309"/>
        <w:gridCol w:w="3506"/>
      </w:tblGrid>
      <w:tr w:rsidR="008C76E0" w:rsidRPr="00BD7577" w14:paraId="38FEF1D1" w14:textId="77777777" w:rsidTr="008C76E0">
        <w:trPr>
          <w:jc w:val="center"/>
        </w:trPr>
        <w:tc>
          <w:tcPr>
            <w:tcW w:w="3686" w:type="dxa"/>
            <w:tcBorders>
              <w:top w:val="single" w:sz="4" w:space="0" w:color="auto"/>
              <w:left w:val="single" w:sz="4" w:space="0" w:color="auto"/>
            </w:tcBorders>
            <w:shd w:val="clear" w:color="auto" w:fill="FFFFFF"/>
          </w:tcPr>
          <w:p w14:paraId="5F17676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Գրանցման ընթացակարգի ծածկագրային համարը</w:t>
            </w:r>
          </w:p>
        </w:tc>
        <w:tc>
          <w:tcPr>
            <w:tcW w:w="2309" w:type="dxa"/>
            <w:tcBorders>
              <w:top w:val="single" w:sz="4" w:space="0" w:color="auto"/>
              <w:left w:val="single" w:sz="4" w:space="0" w:color="auto"/>
            </w:tcBorders>
            <w:shd w:val="clear" w:color="auto" w:fill="FFFFFF"/>
          </w:tcPr>
          <w:p w14:paraId="1FE67312"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ԱԴԲՄՖ-ի համարը</w:t>
            </w:r>
          </w:p>
        </w:tc>
        <w:tc>
          <w:tcPr>
            <w:tcW w:w="3506" w:type="dxa"/>
            <w:tcBorders>
              <w:top w:val="single" w:sz="4" w:space="0" w:color="auto"/>
              <w:left w:val="single" w:sz="4" w:space="0" w:color="auto"/>
              <w:right w:val="single" w:sz="4" w:space="0" w:color="auto"/>
            </w:tcBorders>
            <w:shd w:val="clear" w:color="auto" w:fill="FFFFFF"/>
          </w:tcPr>
          <w:p w14:paraId="66D94A2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 xml:space="preserve">ԱԴԲՄՖ-ի իրավատիրոջ տարբերակի համարը </w:t>
            </w:r>
            <w:r w:rsidRPr="009721C8">
              <w:rPr>
                <w:rStyle w:val="Bodytext1811pt"/>
                <w:rFonts w:ascii="Sylfaen" w:hAnsi="Sylfaen"/>
                <w:sz w:val="24"/>
                <w:szCs w:val="24"/>
              </w:rPr>
              <w:br/>
            </w:r>
            <w:r w:rsidRPr="00BD7577">
              <w:rPr>
                <w:rStyle w:val="Bodytext1811pt"/>
                <w:rFonts w:ascii="Sylfaen" w:hAnsi="Sylfaen"/>
                <w:sz w:val="24"/>
                <w:szCs w:val="24"/>
              </w:rPr>
              <w:t xml:space="preserve">(ՓՄ-ն </w:t>
            </w:r>
            <w:r w:rsidR="00C54D75">
              <w:rPr>
                <w:rStyle w:val="Bodytext1811pt"/>
                <w:rFonts w:ascii="Sylfaen" w:hAnsi="Sylfaen"/>
                <w:sz w:val="24"/>
                <w:szCs w:val="24"/>
              </w:rPr>
              <w:t>և</w:t>
            </w:r>
            <w:r w:rsidRPr="00BD7577">
              <w:rPr>
                <w:rStyle w:val="Bodytext1811pt"/>
                <w:rFonts w:ascii="Sylfaen" w:hAnsi="Sylfaen"/>
                <w:sz w:val="24"/>
                <w:szCs w:val="24"/>
              </w:rPr>
              <w:t xml:space="preserve"> ՀՄ-ն)/ամսաթիվը</w:t>
            </w:r>
          </w:p>
        </w:tc>
      </w:tr>
      <w:tr w:rsidR="008C76E0" w:rsidRPr="00BD7577" w14:paraId="31953C50" w14:textId="77777777" w:rsidTr="008C76E0">
        <w:trPr>
          <w:jc w:val="center"/>
        </w:trPr>
        <w:tc>
          <w:tcPr>
            <w:tcW w:w="3686" w:type="dxa"/>
            <w:tcBorders>
              <w:top w:val="single" w:sz="4" w:space="0" w:color="auto"/>
              <w:left w:val="single" w:sz="4" w:space="0" w:color="auto"/>
            </w:tcBorders>
            <w:shd w:val="clear" w:color="auto" w:fill="FFFFFF"/>
          </w:tcPr>
          <w:p w14:paraId="278FC07C" w14:textId="77777777" w:rsidR="008C76E0" w:rsidRPr="00BD7577" w:rsidRDefault="008C76E0" w:rsidP="008C76E0">
            <w:pPr>
              <w:spacing w:after="120" w:line="240" w:lineRule="auto"/>
              <w:jc w:val="both"/>
              <w:rPr>
                <w:rFonts w:ascii="Sylfaen" w:hAnsi="Sylfaen"/>
                <w:sz w:val="24"/>
                <w:szCs w:val="24"/>
              </w:rPr>
            </w:pPr>
          </w:p>
        </w:tc>
        <w:tc>
          <w:tcPr>
            <w:tcW w:w="2309" w:type="dxa"/>
            <w:tcBorders>
              <w:top w:val="single" w:sz="4" w:space="0" w:color="auto"/>
              <w:left w:val="single" w:sz="4" w:space="0" w:color="auto"/>
            </w:tcBorders>
            <w:shd w:val="clear" w:color="auto" w:fill="FFFFFF"/>
          </w:tcPr>
          <w:p w14:paraId="50D81B8E" w14:textId="77777777" w:rsidR="008C76E0" w:rsidRPr="00BD7577" w:rsidRDefault="008C76E0" w:rsidP="008C76E0">
            <w:pPr>
              <w:spacing w:after="120" w:line="240" w:lineRule="auto"/>
              <w:jc w:val="both"/>
              <w:rPr>
                <w:rFonts w:ascii="Sylfaen" w:hAnsi="Sylfaen"/>
                <w:sz w:val="24"/>
                <w:szCs w:val="24"/>
              </w:rPr>
            </w:pPr>
          </w:p>
        </w:tc>
        <w:tc>
          <w:tcPr>
            <w:tcW w:w="3506" w:type="dxa"/>
            <w:tcBorders>
              <w:top w:val="single" w:sz="4" w:space="0" w:color="auto"/>
              <w:left w:val="single" w:sz="4" w:space="0" w:color="auto"/>
              <w:right w:val="single" w:sz="4" w:space="0" w:color="auto"/>
            </w:tcBorders>
            <w:shd w:val="clear" w:color="auto" w:fill="FFFFFF"/>
          </w:tcPr>
          <w:p w14:paraId="0DA5ED82" w14:textId="77777777" w:rsidR="008C76E0" w:rsidRPr="00BD7577" w:rsidRDefault="008C76E0" w:rsidP="008C76E0">
            <w:pPr>
              <w:spacing w:after="120" w:line="240" w:lineRule="auto"/>
              <w:jc w:val="both"/>
              <w:rPr>
                <w:rFonts w:ascii="Sylfaen" w:hAnsi="Sylfaen"/>
                <w:sz w:val="24"/>
                <w:szCs w:val="24"/>
              </w:rPr>
            </w:pPr>
          </w:p>
        </w:tc>
      </w:tr>
      <w:tr w:rsidR="008C76E0" w:rsidRPr="00BD7577" w14:paraId="6C0D6490" w14:textId="77777777" w:rsidTr="008C76E0">
        <w:trPr>
          <w:jc w:val="center"/>
        </w:trPr>
        <w:tc>
          <w:tcPr>
            <w:tcW w:w="3686" w:type="dxa"/>
            <w:tcBorders>
              <w:top w:val="single" w:sz="4" w:space="0" w:color="auto"/>
              <w:left w:val="single" w:sz="4" w:space="0" w:color="auto"/>
              <w:bottom w:val="single" w:sz="4" w:space="0" w:color="auto"/>
            </w:tcBorders>
            <w:shd w:val="clear" w:color="auto" w:fill="FFFFFF"/>
          </w:tcPr>
          <w:p w14:paraId="4537A9B8" w14:textId="77777777" w:rsidR="008C76E0" w:rsidRPr="00BD7577" w:rsidRDefault="008C76E0" w:rsidP="008C76E0">
            <w:pPr>
              <w:spacing w:after="120" w:line="240" w:lineRule="auto"/>
              <w:jc w:val="both"/>
              <w:rPr>
                <w:rFonts w:ascii="Sylfaen" w:hAnsi="Sylfaen"/>
                <w:sz w:val="24"/>
                <w:szCs w:val="24"/>
              </w:rPr>
            </w:pPr>
          </w:p>
        </w:tc>
        <w:tc>
          <w:tcPr>
            <w:tcW w:w="2309" w:type="dxa"/>
            <w:tcBorders>
              <w:top w:val="single" w:sz="4" w:space="0" w:color="auto"/>
              <w:left w:val="single" w:sz="4" w:space="0" w:color="auto"/>
              <w:bottom w:val="single" w:sz="4" w:space="0" w:color="auto"/>
            </w:tcBorders>
            <w:shd w:val="clear" w:color="auto" w:fill="FFFFFF"/>
          </w:tcPr>
          <w:p w14:paraId="0376DDD3" w14:textId="77777777" w:rsidR="008C76E0" w:rsidRPr="00BD7577" w:rsidRDefault="008C76E0" w:rsidP="008C76E0">
            <w:pPr>
              <w:spacing w:after="120" w:line="240" w:lineRule="auto"/>
              <w:jc w:val="both"/>
              <w:rPr>
                <w:rFonts w:ascii="Sylfaen" w:hAnsi="Sylfaen"/>
                <w:sz w:val="24"/>
                <w:szCs w:val="24"/>
              </w:rPr>
            </w:pPr>
          </w:p>
        </w:tc>
        <w:tc>
          <w:tcPr>
            <w:tcW w:w="3506" w:type="dxa"/>
            <w:tcBorders>
              <w:top w:val="single" w:sz="4" w:space="0" w:color="auto"/>
              <w:left w:val="single" w:sz="4" w:space="0" w:color="auto"/>
              <w:bottom w:val="single" w:sz="4" w:space="0" w:color="auto"/>
              <w:right w:val="single" w:sz="4" w:space="0" w:color="auto"/>
            </w:tcBorders>
            <w:shd w:val="clear" w:color="auto" w:fill="FFFFFF"/>
          </w:tcPr>
          <w:p w14:paraId="0228A34D" w14:textId="77777777" w:rsidR="008C76E0" w:rsidRPr="00BD7577" w:rsidRDefault="008C76E0" w:rsidP="008C76E0">
            <w:pPr>
              <w:spacing w:after="120" w:line="240" w:lineRule="auto"/>
              <w:jc w:val="both"/>
              <w:rPr>
                <w:rFonts w:ascii="Sylfaen" w:hAnsi="Sylfaen"/>
                <w:sz w:val="24"/>
                <w:szCs w:val="24"/>
              </w:rPr>
            </w:pPr>
          </w:p>
        </w:tc>
      </w:tr>
    </w:tbl>
    <w:p w14:paraId="58D7CCDE" w14:textId="77777777" w:rsidR="008C76E0" w:rsidRPr="00BD7577" w:rsidRDefault="008C76E0" w:rsidP="008C76E0">
      <w:pPr>
        <w:ind w:right="-1"/>
        <w:jc w:val="both"/>
        <w:rPr>
          <w:rFonts w:ascii="Sylfaen" w:hAnsi="Sylfaen"/>
          <w:sz w:val="24"/>
          <w:szCs w:val="24"/>
        </w:rPr>
      </w:pPr>
    </w:p>
    <w:p w14:paraId="69DB486C"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ավելի շատ տեղեկություններ ներկայացնելու իրավունք ունի։ Անդամ պետությունների լիազորված մարմինները տվյալ ԱԴԲՄՖ-ում շոշափված այլ դեղապատրաստուկների մասին տեղեկություններ պահանջելու իրավունք ունեն։</w:t>
      </w:r>
    </w:p>
    <w:p w14:paraId="1C764708" w14:textId="77777777" w:rsidR="008C76E0" w:rsidRPr="008C76E0" w:rsidRDefault="008C76E0" w:rsidP="00207FF6">
      <w:pPr>
        <w:pStyle w:val="Bodytext140"/>
        <w:shd w:val="clear" w:color="auto" w:fill="auto"/>
        <w:spacing w:before="0" w:after="160" w:line="360" w:lineRule="auto"/>
        <w:ind w:firstLine="567"/>
        <w:jc w:val="both"/>
        <w:rPr>
          <w:rFonts w:ascii="Sylfaen" w:hAnsi="Sylfaen"/>
          <w:sz w:val="24"/>
          <w:szCs w:val="24"/>
          <w:lang w:val="hy-AM"/>
        </w:rPr>
      </w:pPr>
      <w:r w:rsidRPr="008C76E0">
        <w:rPr>
          <w:rStyle w:val="Bodytext14NotItalic"/>
          <w:rFonts w:ascii="Sylfaen" w:hAnsi="Sylfaen"/>
          <w:i/>
          <w:sz w:val="24"/>
          <w:szCs w:val="24"/>
          <w:lang w:val="hy-AM"/>
        </w:rPr>
        <w:t>{</w:t>
      </w:r>
      <w:r w:rsidRPr="008C76E0">
        <w:rPr>
          <w:rFonts w:ascii="Sylfaen" w:hAnsi="Sylfaen"/>
          <w:sz w:val="24"/>
          <w:szCs w:val="24"/>
          <w:lang w:val="hy-AM"/>
        </w:rPr>
        <w:t>Լիազորված կոնտակտային անձի ստորագրությունը</w:t>
      </w:r>
      <w:r w:rsidRPr="009721C8">
        <w:rPr>
          <w:rStyle w:val="Bodytext295pt"/>
          <w:rFonts w:ascii="Sylfaen" w:hAnsi="Sylfaen"/>
          <w:b w:val="0"/>
          <w:spacing w:val="0"/>
          <w:sz w:val="24"/>
          <w:szCs w:val="24"/>
        </w:rPr>
        <w:t>}</w:t>
      </w:r>
    </w:p>
    <w:p w14:paraId="008FB1B0" w14:textId="77777777" w:rsidR="008C76E0" w:rsidRPr="009721C8" w:rsidRDefault="008C76E0" w:rsidP="00207FF6">
      <w:pPr>
        <w:pStyle w:val="Bodytext140"/>
        <w:shd w:val="clear" w:color="auto" w:fill="auto"/>
        <w:spacing w:before="0" w:after="160" w:line="360" w:lineRule="auto"/>
        <w:ind w:firstLine="567"/>
        <w:jc w:val="both"/>
        <w:rPr>
          <w:rStyle w:val="Bodytext295pt"/>
          <w:rFonts w:ascii="Sylfaen" w:hAnsi="Sylfaen"/>
          <w:b w:val="0"/>
          <w:spacing w:val="0"/>
          <w:sz w:val="24"/>
          <w:szCs w:val="24"/>
        </w:rPr>
      </w:pPr>
      <w:r w:rsidRPr="008C76E0">
        <w:rPr>
          <w:rStyle w:val="Bodytext14NotItalic"/>
          <w:rFonts w:ascii="Sylfaen" w:hAnsi="Sylfaen"/>
          <w:i/>
          <w:sz w:val="24"/>
          <w:szCs w:val="24"/>
          <w:lang w:val="hy-AM"/>
        </w:rPr>
        <w:t>{</w:t>
      </w:r>
      <w:r w:rsidRPr="008C76E0">
        <w:rPr>
          <w:rFonts w:ascii="Sylfaen" w:hAnsi="Sylfaen"/>
          <w:sz w:val="24"/>
          <w:szCs w:val="24"/>
          <w:lang w:val="hy-AM"/>
        </w:rPr>
        <w:t xml:space="preserve">Անունը, հասցեն </w:t>
      </w:r>
      <w:r w:rsidR="00C54D75">
        <w:rPr>
          <w:rFonts w:ascii="Sylfaen" w:hAnsi="Sylfaen"/>
          <w:sz w:val="24"/>
          <w:szCs w:val="24"/>
          <w:lang w:val="hy-AM"/>
        </w:rPr>
        <w:t>և</w:t>
      </w:r>
      <w:r w:rsidRPr="008C76E0">
        <w:rPr>
          <w:rFonts w:ascii="Sylfaen" w:hAnsi="Sylfaen"/>
          <w:sz w:val="24"/>
          <w:szCs w:val="24"/>
          <w:lang w:val="hy-AM"/>
        </w:rPr>
        <w:t xml:space="preserve"> պաշտոնը ընկերությունում</w:t>
      </w:r>
      <w:r w:rsidRPr="009721C8">
        <w:rPr>
          <w:rStyle w:val="Bodytext295pt"/>
          <w:rFonts w:ascii="Sylfaen" w:hAnsi="Sylfaen"/>
          <w:b w:val="0"/>
          <w:spacing w:val="0"/>
          <w:sz w:val="24"/>
          <w:szCs w:val="24"/>
        </w:rPr>
        <w:t>}</w:t>
      </w:r>
    </w:p>
    <w:p w14:paraId="23A04DC2" w14:textId="77777777" w:rsidR="008C76E0" w:rsidRPr="00BD7577" w:rsidRDefault="008C76E0" w:rsidP="008C76E0">
      <w:pPr>
        <w:ind w:right="-1"/>
        <w:jc w:val="both"/>
        <w:rPr>
          <w:rStyle w:val="Bodytext295pt"/>
          <w:rFonts w:ascii="Sylfaen" w:eastAsia="MS Mincho" w:hAnsi="Sylfaen"/>
          <w:b w:val="0"/>
          <w:i/>
          <w:iCs/>
          <w:spacing w:val="0"/>
          <w:sz w:val="24"/>
          <w:szCs w:val="24"/>
        </w:rPr>
      </w:pPr>
      <w:r w:rsidRPr="00BD7577">
        <w:rPr>
          <w:rFonts w:ascii="Sylfaen" w:hAnsi="Sylfaen"/>
          <w:sz w:val="24"/>
          <w:szCs w:val="24"/>
        </w:rPr>
        <w:br w:type="page"/>
      </w:r>
    </w:p>
    <w:p w14:paraId="57D3D462" w14:textId="77777777" w:rsidR="008C76E0" w:rsidRPr="00E84087" w:rsidRDefault="008C76E0" w:rsidP="00207FF6">
      <w:pPr>
        <w:pStyle w:val="Heading120"/>
        <w:shd w:val="clear" w:color="auto" w:fill="auto"/>
        <w:spacing w:before="0" w:after="160" w:line="360" w:lineRule="auto"/>
        <w:jc w:val="right"/>
        <w:outlineLvl w:val="9"/>
        <w:rPr>
          <w:rStyle w:val="Heading12Spacing2pt"/>
          <w:rFonts w:ascii="Sylfaen" w:hAnsi="Sylfaen"/>
          <w:spacing w:val="0"/>
          <w:sz w:val="24"/>
          <w:szCs w:val="24"/>
        </w:rPr>
      </w:pPr>
      <w:bookmarkStart w:id="6" w:name="bookmark6"/>
      <w:r w:rsidRPr="008C76E0">
        <w:rPr>
          <w:rFonts w:ascii="Sylfaen" w:hAnsi="Sylfaen"/>
          <w:b w:val="0"/>
          <w:sz w:val="24"/>
          <w:szCs w:val="24"/>
          <w:lang w:val="hy-AM"/>
        </w:rPr>
        <w:lastRenderedPageBreak/>
        <w:t xml:space="preserve">Լրացում թիվ 4 </w:t>
      </w:r>
    </w:p>
    <w:p w14:paraId="74878ED3" w14:textId="77777777" w:rsidR="008C76E0" w:rsidRPr="00207FF6" w:rsidRDefault="008C76E0" w:rsidP="00207FF6">
      <w:pPr>
        <w:pStyle w:val="Heading120"/>
        <w:shd w:val="clear" w:color="auto" w:fill="auto"/>
        <w:spacing w:before="0" w:after="160" w:line="360" w:lineRule="auto"/>
        <w:ind w:left="567" w:right="566"/>
        <w:outlineLvl w:val="9"/>
        <w:rPr>
          <w:rFonts w:ascii="Sylfaen" w:hAnsi="Sylfaen"/>
          <w:b w:val="0"/>
          <w:sz w:val="24"/>
          <w:szCs w:val="24"/>
          <w:lang w:val="hy-AM"/>
        </w:rPr>
      </w:pPr>
      <w:r w:rsidRPr="00207FF6">
        <w:rPr>
          <w:rStyle w:val="Heading12Spacing2pt"/>
          <w:rFonts w:ascii="Sylfaen" w:hAnsi="Sylfaen"/>
          <w:b/>
          <w:spacing w:val="0"/>
          <w:sz w:val="24"/>
          <w:szCs w:val="24"/>
        </w:rPr>
        <w:t>ՁԵՎ</w:t>
      </w:r>
      <w:bookmarkEnd w:id="6"/>
    </w:p>
    <w:p w14:paraId="0F7F274C" w14:textId="77777777" w:rsidR="008C76E0" w:rsidRPr="008C76E0" w:rsidRDefault="008C76E0" w:rsidP="00207FF6">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ակտիվ դեղագործական բաղադրամասի մաստեր-ֆայլի փակ մասի հասանելիության թույլտվությունը հետ կանչելու</w:t>
      </w:r>
    </w:p>
    <w:p w14:paraId="1C133ECA" w14:textId="77777777" w:rsidR="008C76E0" w:rsidRPr="00E84087" w:rsidRDefault="008C76E0" w:rsidP="00207FF6">
      <w:pPr>
        <w:spacing w:after="160" w:line="360" w:lineRule="auto"/>
        <w:ind w:right="-1"/>
        <w:jc w:val="right"/>
        <w:rPr>
          <w:rFonts w:ascii="Sylfaen" w:hAnsi="Sylfaen"/>
          <w:sz w:val="24"/>
          <w:szCs w:val="24"/>
        </w:rPr>
      </w:pPr>
      <w:r w:rsidRPr="00E84087">
        <w:rPr>
          <w:rFonts w:ascii="Sylfaen" w:hAnsi="Sylfaen"/>
          <w:sz w:val="24"/>
          <w:szCs w:val="24"/>
        </w:rPr>
        <w:t>(ձ</w:t>
      </w:r>
      <w:r w:rsidR="00C54D75">
        <w:rPr>
          <w:rFonts w:ascii="Sylfaen" w:hAnsi="Sylfaen"/>
          <w:sz w:val="24"/>
          <w:szCs w:val="24"/>
        </w:rPr>
        <w:t>և</w:t>
      </w:r>
      <w:r w:rsidRPr="00E84087">
        <w:rPr>
          <w:rFonts w:ascii="Sylfaen" w:hAnsi="Sylfaen"/>
          <w:sz w:val="24"/>
          <w:szCs w:val="24"/>
        </w:rPr>
        <w:t>)</w:t>
      </w:r>
    </w:p>
    <w:p w14:paraId="295C9D5B" w14:textId="77777777" w:rsidR="008C76E0" w:rsidRPr="00BD7577" w:rsidRDefault="008C76E0" w:rsidP="00207FF6">
      <w:pPr>
        <w:spacing w:after="160" w:line="360" w:lineRule="auto"/>
        <w:ind w:right="-1"/>
        <w:jc w:val="center"/>
        <w:rPr>
          <w:rFonts w:ascii="Sylfaen" w:hAnsi="Sylfaen"/>
          <w:sz w:val="24"/>
          <w:szCs w:val="24"/>
        </w:rPr>
      </w:pPr>
      <w:r w:rsidRPr="00E84087">
        <w:rPr>
          <w:rFonts w:ascii="Sylfaen" w:hAnsi="Sylfaen"/>
          <w:sz w:val="24"/>
          <w:szCs w:val="24"/>
        </w:rPr>
        <w:t>ՖԻՐՄԱՅԻՆ ՁԵՎԱԹՈՒՂԹ</w:t>
      </w:r>
    </w:p>
    <w:p w14:paraId="610D7AF5"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D32ED1B" w14:textId="77777777" w:rsidR="008C76E0" w:rsidRPr="00BD7577" w:rsidRDefault="008C76E0" w:rsidP="00207FF6">
      <w:pPr>
        <w:spacing w:after="160" w:line="360" w:lineRule="auto"/>
        <w:ind w:right="-1"/>
        <w:jc w:val="center"/>
        <w:rPr>
          <w:rFonts w:ascii="Sylfaen" w:hAnsi="Sylfaen"/>
          <w:sz w:val="24"/>
          <w:szCs w:val="24"/>
        </w:rPr>
      </w:pPr>
    </w:p>
    <w:p w14:paraId="05BF186D"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{Անդամ պետության լիազորված մարմնի հասցեն}</w:t>
      </w:r>
    </w:p>
    <w:p w14:paraId="0F18CB7E"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{Ամսաթիվը}</w:t>
      </w:r>
    </w:p>
    <w:p w14:paraId="45435599"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նյութի մաստեր-ֆայլի համարը՝</w:t>
      </w:r>
    </w:p>
    <w:p w14:paraId="4337AA98"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{ԱԴԲՄՖ-ի ծածկագրային համարը}</w:t>
      </w:r>
    </w:p>
    <w:p w14:paraId="49986528" w14:textId="77777777" w:rsidR="008C76E0" w:rsidRPr="00BD7577" w:rsidRDefault="008C76E0" w:rsidP="00207FF6">
      <w:pPr>
        <w:spacing w:after="160" w:line="360" w:lineRule="auto"/>
        <w:ind w:right="-1"/>
        <w:rPr>
          <w:rFonts w:ascii="Sylfaen" w:hAnsi="Sylfaen"/>
          <w:sz w:val="24"/>
          <w:szCs w:val="24"/>
        </w:rPr>
      </w:pPr>
    </w:p>
    <w:p w14:paraId="766D847F"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6280FB97"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անվանումը՝</w:t>
      </w:r>
    </w:p>
    <w:p w14:paraId="0940A8A6" w14:textId="77777777" w:rsidR="008C76E0" w:rsidRPr="00BA15D2" w:rsidRDefault="008C76E0" w:rsidP="00207FF6">
      <w:pPr>
        <w:spacing w:after="160" w:line="360" w:lineRule="auto"/>
        <w:ind w:firstLine="567"/>
        <w:jc w:val="both"/>
        <w:rPr>
          <w:rFonts w:ascii="Sylfaen" w:hAnsi="Sylfaen"/>
          <w:spacing w:val="-4"/>
          <w:sz w:val="24"/>
          <w:szCs w:val="24"/>
        </w:rPr>
      </w:pPr>
      <w:r w:rsidRPr="00BA15D2">
        <w:rPr>
          <w:rFonts w:ascii="Sylfaen" w:hAnsi="Sylfaen"/>
          <w:spacing w:val="-4"/>
          <w:sz w:val="24"/>
          <w:szCs w:val="24"/>
        </w:rPr>
        <w:t>Ակտիվ դեղագործական բաղադրամասի ներքին ծածկագիրը (եթե կիրառելի է)՝</w:t>
      </w:r>
    </w:p>
    <w:p w14:paraId="1092A526" w14:textId="77777777" w:rsidR="008C76E0" w:rsidRPr="00626427" w:rsidRDefault="008C76E0" w:rsidP="00207FF6">
      <w:pPr>
        <w:spacing w:after="160" w:line="360" w:lineRule="auto"/>
        <w:ind w:firstLine="567"/>
        <w:jc w:val="both"/>
        <w:rPr>
          <w:rFonts w:ascii="Sylfaen" w:hAnsi="Sylfaen"/>
          <w:b/>
          <w:sz w:val="24"/>
          <w:szCs w:val="24"/>
        </w:rPr>
      </w:pPr>
      <w:r w:rsidRPr="00BD7577">
        <w:rPr>
          <w:rFonts w:ascii="Sylfaen" w:hAnsi="Sylfaen"/>
          <w:sz w:val="24"/>
          <w:szCs w:val="24"/>
        </w:rPr>
        <w:t xml:space="preserve">Ակտիվ դեղագործական բաղադրամասի մաստեր-ֆայլի իրավատերը՝ </w:t>
      </w:r>
      <w:r w:rsidRPr="00626427">
        <w:rPr>
          <w:rStyle w:val="Bodytext295pt"/>
          <w:rFonts w:ascii="Sylfaen" w:eastAsiaTheme="minorHAnsi" w:hAnsi="Sylfaen"/>
          <w:b w:val="0"/>
          <w:spacing w:val="0"/>
          <w:sz w:val="24"/>
          <w:szCs w:val="24"/>
        </w:rPr>
        <w:t>{անվանումն ու հասցեն}։</w:t>
      </w:r>
    </w:p>
    <w:p w14:paraId="64D66929" w14:textId="52F1781C"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վերոնշյալ իրավատերը սույնով ծանուցում է {</w:t>
      </w:r>
      <w:r w:rsidRPr="00626427">
        <w:rPr>
          <w:rStyle w:val="Bodytext295pt"/>
          <w:rFonts w:ascii="Sylfaen" w:eastAsiaTheme="minorHAnsi" w:hAnsi="Sylfaen"/>
          <w:b w:val="0"/>
          <w:spacing w:val="0"/>
          <w:sz w:val="24"/>
          <w:szCs w:val="24"/>
        </w:rPr>
        <w:t>անդամ պետության լիազորված մարմնի անվանումը</w:t>
      </w:r>
      <w:r w:rsidRPr="00BD7577">
        <w:rPr>
          <w:rFonts w:ascii="Sylfaen" w:hAnsi="Sylfaen"/>
          <w:sz w:val="24"/>
          <w:szCs w:val="24"/>
        </w:rPr>
        <w:t>}, որ ինքն այլ</w:t>
      </w:r>
      <w:r w:rsidR="00C54D75">
        <w:rPr>
          <w:rFonts w:ascii="Sylfaen" w:hAnsi="Sylfaen"/>
          <w:sz w:val="24"/>
          <w:szCs w:val="24"/>
        </w:rPr>
        <w:t>և</w:t>
      </w:r>
      <w:r w:rsidRPr="00BD7577">
        <w:rPr>
          <w:rFonts w:ascii="Sylfaen" w:hAnsi="Sylfaen"/>
          <w:sz w:val="24"/>
          <w:szCs w:val="24"/>
        </w:rPr>
        <w:t xml:space="preserve">ս չի ցանկանում, որ ակտիվ դեղագործական բաղադրամասի վերոնշյալ մաստեր-ֆայլն օգտագործվի որպես </w:t>
      </w:r>
      <w:r w:rsidRPr="00626427">
        <w:rPr>
          <w:rStyle w:val="Bodytext295pt"/>
          <w:rFonts w:ascii="Sylfaen" w:eastAsiaTheme="minorHAnsi" w:hAnsi="Sylfaen"/>
          <w:b w:val="0"/>
          <w:spacing w:val="0"/>
          <w:sz w:val="24"/>
          <w:szCs w:val="24"/>
        </w:rPr>
        <w:t xml:space="preserve">{գրանցման </w:t>
      </w:r>
      <w:r w:rsidRPr="00626427">
        <w:rPr>
          <w:rStyle w:val="Bodytext295pt"/>
          <w:rFonts w:ascii="Sylfaen" w:eastAsiaTheme="minorHAnsi" w:hAnsi="Sylfaen"/>
          <w:b w:val="0"/>
          <w:spacing w:val="0"/>
          <w:sz w:val="24"/>
          <w:szCs w:val="24"/>
        </w:rPr>
        <w:lastRenderedPageBreak/>
        <w:t>հավաստագրի իրավատիրոջ (</w:t>
      </w:r>
      <w:r w:rsidR="0056496B">
        <w:rPr>
          <w:rStyle w:val="Bodytext295pt"/>
          <w:rFonts w:ascii="Sylfaen" w:eastAsiaTheme="minorHAnsi" w:hAnsi="Sylfaen"/>
          <w:b w:val="0"/>
          <w:spacing w:val="0"/>
          <w:sz w:val="24"/>
          <w:szCs w:val="24"/>
        </w:rPr>
        <w:t>դիմումատու</w:t>
      </w:r>
      <w:r w:rsidRPr="00626427">
        <w:rPr>
          <w:rStyle w:val="Bodytext295pt"/>
          <w:rFonts w:ascii="Sylfaen" w:eastAsiaTheme="minorHAnsi" w:hAnsi="Sylfaen"/>
          <w:b w:val="0"/>
          <w:spacing w:val="0"/>
          <w:sz w:val="24"/>
          <w:szCs w:val="24"/>
        </w:rPr>
        <w:t>ի) անվանումը}</w:t>
      </w:r>
      <w:r w:rsidRPr="00BD7577">
        <w:rPr>
          <w:rFonts w:ascii="Sylfaen" w:hAnsi="Sylfaen"/>
          <w:sz w:val="24"/>
          <w:szCs w:val="24"/>
        </w:rPr>
        <w:t xml:space="preserve"> պատկանող հաջորդ գրանցման դոսյեի հիմնավորում (ընդ որում, գրանցման հավաստագրերի տարբեր տիրապետողների (</w:t>
      </w:r>
      <w:r w:rsidR="0056496B">
        <w:rPr>
          <w:rFonts w:ascii="Sylfaen" w:hAnsi="Sylfaen"/>
          <w:sz w:val="24"/>
          <w:szCs w:val="24"/>
        </w:rPr>
        <w:t>դիմումատու</w:t>
      </w:r>
      <w:r w:rsidRPr="00BD7577">
        <w:rPr>
          <w:rFonts w:ascii="Sylfaen" w:hAnsi="Sylfaen"/>
          <w:sz w:val="24"/>
          <w:szCs w:val="24"/>
        </w:rPr>
        <w:t>ների) համար անհրաժեշտ է ներկայացնել թույլտվության առանձին հետկանչեր):</w:t>
      </w:r>
    </w:p>
    <w:tbl>
      <w:tblPr>
        <w:tblOverlap w:val="neve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50"/>
        <w:gridCol w:w="6082"/>
      </w:tblGrid>
      <w:tr w:rsidR="008C76E0" w:rsidRPr="00BD7577" w14:paraId="06B3FC13" w14:textId="77777777" w:rsidTr="008C76E0">
        <w:trPr>
          <w:trHeight w:val="2898"/>
          <w:jc w:val="center"/>
        </w:trPr>
        <w:tc>
          <w:tcPr>
            <w:tcW w:w="3250" w:type="dxa"/>
            <w:shd w:val="clear" w:color="auto" w:fill="FFFFFF"/>
          </w:tcPr>
          <w:p w14:paraId="108D393E" w14:textId="77777777" w:rsidR="008C76E0" w:rsidRPr="008C76E0" w:rsidRDefault="008C76E0" w:rsidP="008C76E0">
            <w:pPr>
              <w:pStyle w:val="Bodytext180"/>
              <w:shd w:val="clear" w:color="auto" w:fill="auto"/>
              <w:spacing w:before="0" w:after="120" w:line="240" w:lineRule="auto"/>
              <w:ind w:left="121" w:right="-1" w:firstLine="0"/>
              <w:rPr>
                <w:rFonts w:ascii="Sylfaen" w:hAnsi="Sylfaen"/>
                <w:b w:val="0"/>
                <w:sz w:val="24"/>
                <w:szCs w:val="24"/>
                <w:lang w:val="hy-AM"/>
              </w:rPr>
            </w:pPr>
            <w:r w:rsidRPr="00BD7577">
              <w:rPr>
                <w:rStyle w:val="Bodytext1811pt"/>
                <w:rFonts w:ascii="Sylfaen" w:hAnsi="Sylfaen"/>
                <w:sz w:val="24"/>
                <w:szCs w:val="24"/>
              </w:rPr>
              <w:t>Դեղապատրաստուկը</w:t>
            </w:r>
          </w:p>
          <w:p w14:paraId="14D9AFDB" w14:textId="77777777" w:rsidR="008C76E0" w:rsidRPr="008C76E0" w:rsidRDefault="008C76E0" w:rsidP="008C76E0">
            <w:pPr>
              <w:pStyle w:val="Bodytext180"/>
              <w:shd w:val="clear" w:color="auto" w:fill="auto"/>
              <w:spacing w:before="0" w:after="120" w:line="240" w:lineRule="auto"/>
              <w:ind w:left="121" w:right="-1" w:firstLine="0"/>
              <w:rPr>
                <w:rFonts w:ascii="Sylfaen" w:hAnsi="Sylfaen"/>
                <w:b w:val="0"/>
                <w:sz w:val="24"/>
                <w:szCs w:val="24"/>
                <w:lang w:val="hy-AM"/>
              </w:rPr>
            </w:pPr>
            <w:r w:rsidRPr="00BD7577">
              <w:rPr>
                <w:rStyle w:val="Bodytext1811pt"/>
                <w:rFonts w:ascii="Sylfaen" w:hAnsi="Sylfaen"/>
                <w:sz w:val="24"/>
                <w:szCs w:val="24"/>
              </w:rPr>
              <w:t>Ընթացակարգին տրված համարը (եթե կիրառելի է)</w:t>
            </w:r>
          </w:p>
        </w:tc>
        <w:tc>
          <w:tcPr>
            <w:tcW w:w="6082" w:type="dxa"/>
            <w:shd w:val="clear" w:color="auto" w:fill="FFFFFF"/>
          </w:tcPr>
          <w:p w14:paraId="7E3C1E1A" w14:textId="77777777" w:rsidR="008C76E0" w:rsidRPr="008C76E0" w:rsidRDefault="008C76E0" w:rsidP="008C76E0">
            <w:pPr>
              <w:pStyle w:val="Bodytext180"/>
              <w:shd w:val="clear" w:color="auto" w:fill="auto"/>
              <w:spacing w:before="0" w:after="120" w:line="240" w:lineRule="auto"/>
              <w:ind w:left="131" w:right="119" w:firstLine="0"/>
              <w:rPr>
                <w:rFonts w:ascii="Sylfaen" w:hAnsi="Sylfaen"/>
                <w:b w:val="0"/>
                <w:i/>
                <w:sz w:val="24"/>
                <w:szCs w:val="24"/>
                <w:lang w:val="hy-AM"/>
              </w:rPr>
            </w:pPr>
            <w:r w:rsidRPr="009721C8">
              <w:rPr>
                <w:rStyle w:val="Bodytext295pt"/>
                <w:rFonts w:ascii="Sylfaen" w:hAnsi="Sylfaen"/>
                <w:i/>
                <w:spacing w:val="0"/>
                <w:sz w:val="24"/>
                <w:szCs w:val="24"/>
              </w:rPr>
              <w:t>{դեղապատրաստուկի անվանումը}</w:t>
            </w:r>
          </w:p>
          <w:p w14:paraId="635BB877" w14:textId="77777777" w:rsidR="008C76E0" w:rsidRPr="00BD7577" w:rsidRDefault="008C76E0" w:rsidP="008C76E0">
            <w:pPr>
              <w:pStyle w:val="Bodytext180"/>
              <w:shd w:val="clear" w:color="auto" w:fill="auto"/>
              <w:spacing w:before="0" w:after="120" w:line="240" w:lineRule="auto"/>
              <w:ind w:left="131" w:right="119" w:firstLine="0"/>
              <w:rPr>
                <w:rStyle w:val="Bodytext1811pt"/>
                <w:rFonts w:ascii="Sylfaen" w:hAnsi="Sylfaen"/>
                <w:sz w:val="24"/>
                <w:szCs w:val="24"/>
              </w:rPr>
            </w:pPr>
            <w:r w:rsidRPr="00BD7577">
              <w:rPr>
                <w:rStyle w:val="Bodytext1811pt"/>
                <w:rFonts w:ascii="Sylfaen" w:hAnsi="Sylfaen"/>
                <w:sz w:val="24"/>
                <w:szCs w:val="24"/>
              </w:rPr>
              <w:t>եթե ներկայացման պահին դեղապատրաստուկը գրանցված չէ, կամ դեղապատրաստուկի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 համաձայնեցված չէ, ապա հարկ է նշել «ՄՉԱ-ն + գրանցման հավաստագրի իրավատիրոջ անվանումը»</w:t>
            </w:r>
          </w:p>
          <w:p w14:paraId="50C09228" w14:textId="77777777" w:rsidR="008C76E0" w:rsidRPr="008C76E0" w:rsidRDefault="008C76E0" w:rsidP="008C76E0">
            <w:pPr>
              <w:pStyle w:val="Bodytext180"/>
              <w:shd w:val="clear" w:color="auto" w:fill="auto"/>
              <w:spacing w:before="0" w:after="120" w:line="240" w:lineRule="auto"/>
              <w:ind w:left="131" w:right="119" w:firstLine="0"/>
              <w:rPr>
                <w:rFonts w:ascii="Sylfaen" w:hAnsi="Sylfaen"/>
                <w:b w:val="0"/>
                <w:i/>
                <w:sz w:val="24"/>
                <w:szCs w:val="24"/>
                <w:lang w:val="hy-AM"/>
              </w:rPr>
            </w:pPr>
            <w:r w:rsidRPr="009721C8">
              <w:rPr>
                <w:rStyle w:val="Bodytext295pt"/>
                <w:rFonts w:ascii="Sylfaen" w:hAnsi="Sylfaen"/>
                <w:i/>
                <w:spacing w:val="0"/>
                <w:sz w:val="24"/>
                <w:szCs w:val="24"/>
              </w:rPr>
              <w:t>{գրանցման հավաստագրի համարը կամ գրանցման ընթացակարգի ծածկագիրը}</w:t>
            </w:r>
          </w:p>
        </w:tc>
      </w:tr>
    </w:tbl>
    <w:p w14:paraId="41DA1BD3" w14:textId="77777777" w:rsidR="008C76E0" w:rsidRPr="00BD7577" w:rsidRDefault="008C76E0" w:rsidP="008C76E0">
      <w:pPr>
        <w:ind w:right="-1"/>
        <w:jc w:val="both"/>
        <w:rPr>
          <w:rFonts w:ascii="Sylfaen" w:hAnsi="Sylfaen"/>
          <w:sz w:val="24"/>
          <w:szCs w:val="24"/>
        </w:rPr>
      </w:pPr>
    </w:p>
    <w:p w14:paraId="676A4CF6" w14:textId="68B99048"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վերոնշյալ իրավատերը սույնով հաստատում է, որ մատակարարման մասով իրենց պայմանագրի պայմաններին համապատասխան ինքը [գրանցման հավաստագրի իրավատիրոջ (</w:t>
      </w:r>
      <w:r w:rsidR="0056496B">
        <w:rPr>
          <w:rFonts w:ascii="Sylfaen" w:hAnsi="Sylfaen"/>
          <w:sz w:val="24"/>
          <w:szCs w:val="24"/>
        </w:rPr>
        <w:t>դիմումատու</w:t>
      </w:r>
      <w:r w:rsidRPr="00BD7577">
        <w:rPr>
          <w:rFonts w:ascii="Sylfaen" w:hAnsi="Sylfaen"/>
          <w:sz w:val="24"/>
          <w:szCs w:val="24"/>
        </w:rPr>
        <w:t>ի) անվանումը] նախկինում ծանուցել է իր որոշման մասին։</w:t>
      </w:r>
    </w:p>
    <w:p w14:paraId="74175500" w14:textId="77777777" w:rsidR="008C76E0" w:rsidRPr="00BD7577" w:rsidRDefault="008C76E0" w:rsidP="00207FF6">
      <w:pPr>
        <w:tabs>
          <w:tab w:val="left" w:pos="1134"/>
        </w:tabs>
        <w:spacing w:after="160" w:line="360" w:lineRule="auto"/>
        <w:ind w:firstLine="567"/>
        <w:jc w:val="both"/>
        <w:rPr>
          <w:rFonts w:ascii="Sylfaen" w:hAnsi="Sylfaen"/>
          <w:sz w:val="24"/>
          <w:szCs w:val="24"/>
        </w:rPr>
      </w:pPr>
      <w:r>
        <w:rPr>
          <w:rFonts w:ascii="Sylfaen" w:hAnsi="Sylfaen"/>
          <w:sz w:val="24"/>
          <w:szCs w:val="24"/>
        </w:rPr>
        <w:t>□</w:t>
      </w:r>
      <w:r w:rsidRPr="009721C8">
        <w:rPr>
          <w:rFonts w:ascii="Sylfaen" w:hAnsi="Sylfaen"/>
          <w:sz w:val="24"/>
          <w:szCs w:val="24"/>
        </w:rPr>
        <w:tab/>
      </w:r>
      <w:r w:rsidRPr="00BD7577">
        <w:rPr>
          <w:rFonts w:ascii="Sylfaen" w:hAnsi="Sylfaen"/>
          <w:sz w:val="24"/>
          <w:szCs w:val="24"/>
        </w:rPr>
        <w:t>Ակտիվ դեղագործական բաղադրամասի վերոնշյալ մաստեր-ֆայլին համապատասխան արտադրված ակտիվ դեղագործական բաղադրամասը [մատակարարման պայմանագրի դադարեցման ամսաթվից] հետո այլ</w:t>
      </w:r>
      <w:r w:rsidR="00C54D75">
        <w:rPr>
          <w:rFonts w:ascii="Sylfaen" w:hAnsi="Sylfaen"/>
          <w:sz w:val="24"/>
          <w:szCs w:val="24"/>
        </w:rPr>
        <w:t>և</w:t>
      </w:r>
      <w:r w:rsidRPr="00BD7577">
        <w:rPr>
          <w:rFonts w:ascii="Sylfaen" w:hAnsi="Sylfaen"/>
          <w:sz w:val="24"/>
          <w:szCs w:val="24"/>
        </w:rPr>
        <w:t>ս չի մատակարարվելու,</w:t>
      </w:r>
    </w:p>
    <w:p w14:paraId="3E24E6D3" w14:textId="77777777" w:rsidR="008C76E0" w:rsidRPr="00BD7577" w:rsidRDefault="008C76E0" w:rsidP="00207FF6">
      <w:pPr>
        <w:tabs>
          <w:tab w:val="left" w:pos="1134"/>
        </w:tabs>
        <w:spacing w:after="160" w:line="360" w:lineRule="auto"/>
        <w:ind w:firstLine="567"/>
        <w:jc w:val="both"/>
        <w:rPr>
          <w:rFonts w:ascii="Sylfaen" w:hAnsi="Sylfaen"/>
          <w:sz w:val="24"/>
          <w:szCs w:val="24"/>
        </w:rPr>
      </w:pPr>
      <w:r>
        <w:rPr>
          <w:rFonts w:ascii="Sylfaen" w:hAnsi="Sylfaen"/>
          <w:sz w:val="24"/>
          <w:szCs w:val="24"/>
        </w:rPr>
        <w:t>□</w:t>
      </w:r>
      <w:r w:rsidRPr="009721C8">
        <w:rPr>
          <w:rFonts w:ascii="Sylfaen" w:hAnsi="Sylfaen"/>
          <w:sz w:val="24"/>
          <w:szCs w:val="24"/>
        </w:rPr>
        <w:tab/>
      </w:r>
      <w:r w:rsidRPr="00BD7577">
        <w:rPr>
          <w:rFonts w:ascii="Sylfaen" w:hAnsi="Sylfaen"/>
          <w:sz w:val="24"/>
          <w:szCs w:val="24"/>
        </w:rPr>
        <w:t>Ակտիվ դեղագործական բաղադրամասի մաստեր-ֆայլի փոխարինում համապատասխանության սերտիֆիկատով, [№ СЕР]։ Համապատասխանության սերտիֆիկատի պատճենը կցված է սույն նամակին:</w:t>
      </w:r>
    </w:p>
    <w:p w14:paraId="28B7F004"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իրավատիրոջ ստորագրությունը</w:t>
      </w:r>
    </w:p>
    <w:p w14:paraId="337F883E" w14:textId="77777777" w:rsidR="008C76E0" w:rsidRPr="008C76E0" w:rsidRDefault="008C76E0" w:rsidP="00207FF6">
      <w:pPr>
        <w:pStyle w:val="Bodytext70"/>
        <w:shd w:val="clear" w:color="auto" w:fill="auto"/>
        <w:spacing w:before="0" w:after="160" w:line="360" w:lineRule="auto"/>
        <w:ind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Անունն ու պաշտոնը</w:t>
      </w:r>
      <w:r w:rsidRPr="00BD7577">
        <w:rPr>
          <w:rStyle w:val="Bodytext295pt"/>
          <w:rFonts w:ascii="Sylfaen" w:hAnsi="Sylfaen"/>
          <w:spacing w:val="0"/>
          <w:sz w:val="24"/>
          <w:szCs w:val="24"/>
        </w:rPr>
        <w:t>}</w:t>
      </w:r>
    </w:p>
    <w:p w14:paraId="3E9A949B" w14:textId="77777777" w:rsidR="008C76E0" w:rsidRPr="00BD7577" w:rsidRDefault="008C76E0" w:rsidP="00207FF6">
      <w:pPr>
        <w:pStyle w:val="Bodytext70"/>
        <w:shd w:val="clear" w:color="auto" w:fill="auto"/>
        <w:spacing w:before="0" w:after="160" w:line="360" w:lineRule="auto"/>
        <w:ind w:firstLine="567"/>
        <w:rPr>
          <w:rStyle w:val="Bodytext295pt"/>
          <w:rFonts w:ascii="Sylfaen" w:eastAsia="MS Mincho" w:hAnsi="Sylfaen"/>
          <w:b/>
          <w:bCs/>
          <w:i w:val="0"/>
          <w:iCs w:val="0"/>
          <w:spacing w:val="0"/>
          <w:sz w:val="24"/>
          <w:szCs w:val="24"/>
        </w:rPr>
      </w:pPr>
      <w:r w:rsidRPr="008C76E0">
        <w:rPr>
          <w:rStyle w:val="Bodytext7NotItalic"/>
          <w:rFonts w:ascii="Sylfaen" w:hAnsi="Sylfaen"/>
          <w:sz w:val="24"/>
          <w:szCs w:val="24"/>
          <w:lang w:val="hy-AM"/>
        </w:rPr>
        <w:t>{</w:t>
      </w:r>
      <w:r w:rsidRPr="008C76E0">
        <w:rPr>
          <w:rFonts w:ascii="Sylfaen" w:hAnsi="Sylfaen"/>
          <w:b w:val="0"/>
          <w:sz w:val="24"/>
          <w:szCs w:val="24"/>
          <w:lang w:val="hy-AM"/>
        </w:rPr>
        <w:t>Ստորագրությունը</w:t>
      </w:r>
      <w:r w:rsidRPr="00BD7577">
        <w:rPr>
          <w:rStyle w:val="Bodytext295pt"/>
          <w:rFonts w:ascii="Sylfaen" w:hAnsi="Sylfaen"/>
          <w:spacing w:val="0"/>
          <w:sz w:val="24"/>
          <w:szCs w:val="24"/>
        </w:rPr>
        <w:t>}</w:t>
      </w:r>
      <w:r w:rsidRPr="008C76E0">
        <w:rPr>
          <w:rFonts w:ascii="Sylfaen" w:hAnsi="Sylfaen"/>
          <w:sz w:val="24"/>
          <w:szCs w:val="24"/>
          <w:lang w:val="hy-AM"/>
        </w:rPr>
        <w:br w:type="page"/>
      </w:r>
    </w:p>
    <w:p w14:paraId="4B43CF3B" w14:textId="77777777" w:rsidR="008C76E0" w:rsidRPr="00E15E7D" w:rsidRDefault="008C76E0" w:rsidP="00207FF6">
      <w:pPr>
        <w:pStyle w:val="Bodytext70"/>
        <w:shd w:val="clear" w:color="auto" w:fill="auto"/>
        <w:spacing w:before="0" w:after="160" w:line="360" w:lineRule="auto"/>
        <w:ind w:right="-1"/>
        <w:jc w:val="right"/>
        <w:rPr>
          <w:rFonts w:ascii="Sylfaen" w:hAnsi="Sylfaen"/>
          <w:b w:val="0"/>
          <w:i w:val="0"/>
          <w:sz w:val="24"/>
          <w:szCs w:val="24"/>
          <w:lang w:val="hy-AM"/>
        </w:rPr>
      </w:pPr>
      <w:r w:rsidRPr="008C76E0">
        <w:rPr>
          <w:rFonts w:ascii="Sylfaen" w:hAnsi="Sylfaen"/>
          <w:b w:val="0"/>
          <w:i w:val="0"/>
          <w:sz w:val="24"/>
          <w:szCs w:val="24"/>
          <w:lang w:val="hy-AM"/>
        </w:rPr>
        <w:lastRenderedPageBreak/>
        <w:t>Լրացում թիվ 5</w:t>
      </w:r>
    </w:p>
    <w:p w14:paraId="0371EADF" w14:textId="77777777" w:rsidR="00207FF6" w:rsidRPr="00E15E7D" w:rsidRDefault="00207FF6" w:rsidP="00207FF6">
      <w:pPr>
        <w:pStyle w:val="Bodytext70"/>
        <w:shd w:val="clear" w:color="auto" w:fill="auto"/>
        <w:spacing w:before="0" w:after="160" w:line="360" w:lineRule="auto"/>
        <w:ind w:right="-1"/>
        <w:jc w:val="right"/>
        <w:rPr>
          <w:rFonts w:ascii="Sylfaen" w:hAnsi="Sylfaen"/>
          <w:b w:val="0"/>
          <w:i w:val="0"/>
          <w:sz w:val="24"/>
          <w:szCs w:val="24"/>
          <w:lang w:val="hy-AM"/>
        </w:rPr>
      </w:pPr>
    </w:p>
    <w:p w14:paraId="444C17B9" w14:textId="77777777" w:rsidR="008C76E0" w:rsidRPr="008C76E0" w:rsidRDefault="008C76E0" w:rsidP="00207FF6">
      <w:pPr>
        <w:pStyle w:val="Bodytext70"/>
        <w:shd w:val="clear" w:color="auto" w:fill="auto"/>
        <w:spacing w:before="0" w:after="160" w:line="360" w:lineRule="auto"/>
        <w:ind w:left="567" w:right="566"/>
        <w:jc w:val="center"/>
        <w:rPr>
          <w:rFonts w:ascii="Sylfaen" w:hAnsi="Sylfaen"/>
          <w:i w:val="0"/>
          <w:sz w:val="24"/>
          <w:szCs w:val="24"/>
          <w:lang w:val="hy-AM"/>
        </w:rPr>
      </w:pPr>
      <w:r w:rsidRPr="008C76E0">
        <w:rPr>
          <w:rFonts w:ascii="Sylfaen" w:hAnsi="Sylfaen"/>
          <w:i w:val="0"/>
          <w:sz w:val="24"/>
          <w:szCs w:val="24"/>
          <w:lang w:val="hy-AM"/>
        </w:rPr>
        <w:t>Ակտիվ դեղագործական բաղադրամասի մաստեր-ֆայլի (ԱԴԲՄՖ) հայեցակարգի ոչ կիրառելի լինելը</w:t>
      </w:r>
    </w:p>
    <w:p w14:paraId="3636DC37" w14:textId="77777777" w:rsidR="008C76E0" w:rsidRPr="008C76E0" w:rsidRDefault="008C76E0" w:rsidP="00207FF6">
      <w:pPr>
        <w:pStyle w:val="Bodytext70"/>
        <w:shd w:val="clear" w:color="auto" w:fill="auto"/>
        <w:spacing w:before="0" w:after="160" w:line="360" w:lineRule="auto"/>
        <w:ind w:right="-1"/>
        <w:jc w:val="center"/>
        <w:rPr>
          <w:rFonts w:ascii="Sylfaen" w:hAnsi="Sylfaen"/>
          <w:i w:val="0"/>
          <w:sz w:val="24"/>
          <w:szCs w:val="24"/>
          <w:lang w:val="hy-AM"/>
        </w:rPr>
      </w:pPr>
    </w:p>
    <w:p w14:paraId="71AAF2CF" w14:textId="77777777" w:rsidR="008C76E0" w:rsidRPr="00BD7577" w:rsidRDefault="008C76E0" w:rsidP="00207FF6">
      <w:pPr>
        <w:numPr>
          <w:ilvl w:val="0"/>
          <w:numId w:val="4"/>
        </w:numPr>
        <w:tabs>
          <w:tab w:val="left" w:pos="1134"/>
        </w:tabs>
        <w:spacing w:after="160" w:line="360" w:lineRule="auto"/>
        <w:ind w:left="0" w:right="-1" w:firstLine="567"/>
        <w:jc w:val="both"/>
        <w:rPr>
          <w:rFonts w:ascii="Sylfaen" w:hAnsi="Sylfaen"/>
          <w:sz w:val="24"/>
          <w:szCs w:val="24"/>
        </w:rPr>
      </w:pPr>
      <w:r w:rsidRPr="00BD7577">
        <w:rPr>
          <w:rFonts w:ascii="Sylfaen" w:hAnsi="Sylfaen"/>
          <w:sz w:val="24"/>
          <w:szCs w:val="24"/>
        </w:rPr>
        <w:t>Ակտիվ դեղագործական նյութի մաստեր-ֆայլի (ԱԴԲՄՖ) հայեցակարգի ոչ կիրառելի լինելը կենսաբանական ակտիվ դեղագործական նյութերի դեպքում։</w:t>
      </w:r>
    </w:p>
    <w:p w14:paraId="4631DE51" w14:textId="2016D720"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ԳՀ-ի իրավատերերին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ներին խորհուրդ չի տրվում կիրառել ակտիվ դեղագործական բաղադրամասերի մաստեր-ֆայլերի (ԱԴԲՄՖ) հայեցակարգը կենսաբանական դեղապատրաստուկների դեպքում։</w:t>
      </w:r>
    </w:p>
    <w:p w14:paraId="022AB1A8" w14:textId="77777777"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Կենսաբանական դեղագործական բաղադրամասերի բնութագրերի սահմանումն ու որակի հաստատումը պահանջում է ոչ միայն ֆիզիկաքիմիական </w:t>
      </w:r>
      <w:r w:rsidR="00C54D75">
        <w:rPr>
          <w:rFonts w:ascii="Sylfaen" w:hAnsi="Sylfaen"/>
          <w:sz w:val="24"/>
          <w:szCs w:val="24"/>
        </w:rPr>
        <w:t>և</w:t>
      </w:r>
      <w:r w:rsidRPr="00BD7577">
        <w:rPr>
          <w:rFonts w:ascii="Sylfaen" w:hAnsi="Sylfaen"/>
          <w:sz w:val="24"/>
          <w:szCs w:val="24"/>
        </w:rPr>
        <w:t xml:space="preserve"> կենսաբանական փորձարկումների համակցության օգտագործում, այլ</w:t>
      </w:r>
      <w:r w:rsidR="00C54D75">
        <w:rPr>
          <w:rFonts w:ascii="Sylfaen" w:hAnsi="Sylfaen"/>
          <w:sz w:val="24"/>
          <w:szCs w:val="24"/>
        </w:rPr>
        <w:t>և</w:t>
      </w:r>
      <w:r w:rsidRPr="00BD7577">
        <w:rPr>
          <w:rFonts w:ascii="Sylfaen" w:hAnsi="Sylfaen"/>
          <w:sz w:val="24"/>
          <w:szCs w:val="24"/>
        </w:rPr>
        <w:t xml:space="preserve"> արտադրության գործընթացի խորը իմացություն </w:t>
      </w:r>
      <w:r w:rsidR="00C54D75">
        <w:rPr>
          <w:rFonts w:ascii="Sylfaen" w:hAnsi="Sylfaen"/>
          <w:sz w:val="24"/>
          <w:szCs w:val="24"/>
        </w:rPr>
        <w:t>և</w:t>
      </w:r>
      <w:r w:rsidRPr="00BD7577">
        <w:rPr>
          <w:rFonts w:ascii="Sylfaen" w:hAnsi="Sylfaen"/>
          <w:sz w:val="24"/>
          <w:szCs w:val="24"/>
        </w:rPr>
        <w:t xml:space="preserve"> վերջինիս հսկողություն։</w:t>
      </w:r>
    </w:p>
    <w:p w14:paraId="3AEE208C" w14:textId="061CCD80" w:rsidR="008C76E0" w:rsidRPr="00BD7577" w:rsidRDefault="008C76E0" w:rsidP="00207FF6">
      <w:pPr>
        <w:tabs>
          <w:tab w:val="left" w:pos="993"/>
        </w:tabs>
        <w:spacing w:after="160" w:line="360" w:lineRule="auto"/>
        <w:ind w:firstLine="567"/>
        <w:jc w:val="both"/>
        <w:rPr>
          <w:rFonts w:ascii="Sylfaen" w:hAnsi="Sylfaen"/>
          <w:sz w:val="24"/>
          <w:szCs w:val="24"/>
        </w:rPr>
      </w:pPr>
      <w:r w:rsidRPr="00BD7577">
        <w:rPr>
          <w:rFonts w:ascii="Sylfaen" w:hAnsi="Sylfaen"/>
          <w:sz w:val="24"/>
          <w:szCs w:val="24"/>
        </w:rPr>
        <w:t>Այս առնչությամբ կենսաբանական դեղապատրաստուկի ԳՀ-ի իրավատերը (</w:t>
      </w:r>
      <w:r w:rsidR="0056496B">
        <w:rPr>
          <w:rFonts w:ascii="Sylfaen" w:hAnsi="Sylfaen"/>
          <w:sz w:val="24"/>
          <w:szCs w:val="24"/>
        </w:rPr>
        <w:t>դիմումատու</w:t>
      </w:r>
      <w:r w:rsidRPr="00BD7577">
        <w:rPr>
          <w:rFonts w:ascii="Sylfaen" w:hAnsi="Sylfaen"/>
          <w:sz w:val="24"/>
          <w:szCs w:val="24"/>
        </w:rPr>
        <w:t xml:space="preserve">ն) կարող է չհամապատասխանել «դեղապատրաստուկի համար պատասխանատվությունն իր վրա վերցնելու» պահանջին՝ առանց ակտիվ դեղագործական բաղադրամասի որակի մասին այդ տվյալների լրիվ </w:t>
      </w:r>
      <w:r w:rsidR="00C54D75">
        <w:rPr>
          <w:rFonts w:ascii="Sylfaen" w:hAnsi="Sylfaen"/>
          <w:sz w:val="24"/>
          <w:szCs w:val="24"/>
        </w:rPr>
        <w:t>և</w:t>
      </w:r>
      <w:r w:rsidRPr="00BD7577">
        <w:rPr>
          <w:rFonts w:ascii="Sylfaen" w:hAnsi="Sylfaen"/>
          <w:sz w:val="24"/>
          <w:szCs w:val="24"/>
        </w:rPr>
        <w:t xml:space="preserve"> թափանցիկ հասանելիության առկայության։ ԱԴԲՄՖ-ի օգտագործումը կխոչընդոտի այդպիսի հասանելիությանը, </w:t>
      </w:r>
      <w:r w:rsidR="00C54D75">
        <w:rPr>
          <w:rFonts w:ascii="Sylfaen" w:hAnsi="Sylfaen"/>
          <w:sz w:val="24"/>
          <w:szCs w:val="24"/>
        </w:rPr>
        <w:t>և</w:t>
      </w:r>
      <w:r w:rsidRPr="00BD7577">
        <w:rPr>
          <w:rFonts w:ascii="Sylfaen" w:hAnsi="Sylfaen"/>
          <w:sz w:val="24"/>
          <w:szCs w:val="24"/>
        </w:rPr>
        <w:t xml:space="preserve"> այդ պատճառով այն չի թույլատրվում կենսաբանական ակտիվ դեղագործական բաղադրամասերի դեպքում։</w:t>
      </w:r>
    </w:p>
    <w:p w14:paraId="5C635C46" w14:textId="77777777" w:rsidR="008C76E0" w:rsidRPr="00BD7577" w:rsidRDefault="008C76E0" w:rsidP="00207FF6">
      <w:pPr>
        <w:tabs>
          <w:tab w:val="left" w:pos="993"/>
        </w:tabs>
        <w:spacing w:after="160" w:line="360" w:lineRule="auto"/>
        <w:ind w:firstLine="567"/>
        <w:jc w:val="both"/>
        <w:rPr>
          <w:rFonts w:ascii="Sylfaen" w:hAnsi="Sylfaen"/>
          <w:sz w:val="24"/>
          <w:szCs w:val="24"/>
        </w:rPr>
      </w:pPr>
      <w:r w:rsidRPr="00BD7577">
        <w:rPr>
          <w:rFonts w:ascii="Sylfaen" w:hAnsi="Sylfaen"/>
          <w:sz w:val="24"/>
          <w:szCs w:val="24"/>
        </w:rPr>
        <w:t>Բացի այդ, որոշակի դեղապատրաստուկների, ինչպիսիք են պատվաստանյութերը կամ բջջային թերապիայի համար նախատեսված դեղապատրաստուկները, բաղադրության մեջ մտնող ակտիվ դեղագործական նյութերը չեն տեղավորվում «լավ ուսումնասիրված» ակտիվ դեղագործական բաղադրամասի հայեցակարգի մեջ։</w:t>
      </w:r>
    </w:p>
    <w:p w14:paraId="6AD7C9DC" w14:textId="77777777" w:rsidR="008C76E0" w:rsidRPr="00BD7577" w:rsidRDefault="008C76E0" w:rsidP="00207FF6">
      <w:pPr>
        <w:numPr>
          <w:ilvl w:val="0"/>
          <w:numId w:val="4"/>
        </w:numPr>
        <w:tabs>
          <w:tab w:val="left" w:pos="1134"/>
        </w:tabs>
        <w:spacing w:after="160" w:line="360" w:lineRule="auto"/>
        <w:ind w:left="0" w:firstLine="567"/>
        <w:jc w:val="both"/>
        <w:rPr>
          <w:rFonts w:ascii="Sylfaen" w:hAnsi="Sylfaen"/>
          <w:sz w:val="24"/>
          <w:szCs w:val="24"/>
        </w:rPr>
      </w:pPr>
      <w:r w:rsidRPr="00BD7577">
        <w:rPr>
          <w:rFonts w:ascii="Sylfaen" w:hAnsi="Sylfaen"/>
          <w:sz w:val="24"/>
          <w:szCs w:val="24"/>
        </w:rPr>
        <w:lastRenderedPageBreak/>
        <w:t xml:space="preserve">Ակտիվ պատվաստանյութային հակածնի մաստեր-ֆայլի (ՊՀՄՖ) </w:t>
      </w:r>
      <w:r w:rsidR="00C54D75">
        <w:rPr>
          <w:rFonts w:ascii="Sylfaen" w:hAnsi="Sylfaen"/>
          <w:sz w:val="24"/>
          <w:szCs w:val="24"/>
        </w:rPr>
        <w:t>և</w:t>
      </w:r>
      <w:r w:rsidRPr="00BD7577">
        <w:rPr>
          <w:rFonts w:ascii="Sylfaen" w:hAnsi="Sylfaen"/>
          <w:sz w:val="24"/>
          <w:szCs w:val="24"/>
        </w:rPr>
        <w:t xml:space="preserve"> պլազմայի մաստեր-ֆայլի (ՊՄՖ) բաց </w:t>
      </w:r>
      <w:r w:rsidR="00C54D75">
        <w:rPr>
          <w:rFonts w:ascii="Sylfaen" w:hAnsi="Sylfaen"/>
          <w:sz w:val="24"/>
          <w:szCs w:val="24"/>
        </w:rPr>
        <w:t>և</w:t>
      </w:r>
      <w:r w:rsidRPr="00BD7577">
        <w:rPr>
          <w:rFonts w:ascii="Sylfaen" w:hAnsi="Sylfaen"/>
          <w:sz w:val="24"/>
          <w:szCs w:val="24"/>
        </w:rPr>
        <w:t xml:space="preserve"> փակ մասերի նկատմամբ ԱԴԲՄՖ-ի հայեցակարգի ոչ կիրառելի լինելը </w:t>
      </w:r>
    </w:p>
    <w:p w14:paraId="7367F45B" w14:textId="77777777"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Պատվաստանյութային հակածնի մաստեր-ֆայլում (ՊՀՄՖ) </w:t>
      </w:r>
      <w:r w:rsidR="00C54D75">
        <w:rPr>
          <w:rFonts w:ascii="Sylfaen" w:hAnsi="Sylfaen"/>
          <w:sz w:val="24"/>
          <w:szCs w:val="24"/>
        </w:rPr>
        <w:t>և</w:t>
      </w:r>
      <w:r w:rsidRPr="00BD7577">
        <w:rPr>
          <w:rFonts w:ascii="Sylfaen" w:hAnsi="Sylfaen"/>
          <w:sz w:val="24"/>
          <w:szCs w:val="24"/>
        </w:rPr>
        <w:t xml:space="preserve"> պլազմայի մաստեր-ֆայլում (ՊՄՖ) բաց (փակ) մասերի օգտագործումն օրենսդրությամբ չի ամրագրվում։ Բաց (ոչ գաղտնի) </w:t>
      </w:r>
      <w:r w:rsidR="00C54D75">
        <w:rPr>
          <w:rFonts w:ascii="Sylfaen" w:hAnsi="Sylfaen"/>
          <w:sz w:val="24"/>
          <w:szCs w:val="24"/>
        </w:rPr>
        <w:t>և</w:t>
      </w:r>
      <w:r w:rsidRPr="00BD7577">
        <w:rPr>
          <w:rFonts w:ascii="Sylfaen" w:hAnsi="Sylfaen"/>
          <w:sz w:val="24"/>
          <w:szCs w:val="24"/>
        </w:rPr>
        <w:t xml:space="preserve"> փակ (գաղտնի) մասերի հայեցակարգը բնորոշ է ակտիվ դեղագործական բաղադրամասի մաստեր-ֆայլին։</w:t>
      </w:r>
    </w:p>
    <w:p w14:paraId="76163593" w14:textId="36D1FB96"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ՊՀՄՖ-ի մասով օրենսդրությամբ նշվում է, որ ՊՀՄՖ-ի իրավատերը չի կարող տարբերվել դիտարկվող դեղապատրաստուկի ԳՀ-ի իրավատիրոջից (</w:t>
      </w:r>
      <w:r w:rsidR="0056496B">
        <w:rPr>
          <w:rFonts w:ascii="Sylfaen" w:hAnsi="Sylfaen"/>
          <w:sz w:val="24"/>
          <w:szCs w:val="24"/>
        </w:rPr>
        <w:t>դիմումատու</w:t>
      </w:r>
      <w:r w:rsidRPr="00BD7577">
        <w:rPr>
          <w:rFonts w:ascii="Sylfaen" w:hAnsi="Sylfaen"/>
          <w:sz w:val="24"/>
          <w:szCs w:val="24"/>
        </w:rPr>
        <w:t>ից), այդ պատճառով բացակայում են համակարգի «բաց (փակ)» մասերի օգտագործման հիմքերը։</w:t>
      </w:r>
    </w:p>
    <w:p w14:paraId="4D12459B" w14:textId="0D983D18"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ՊՄՖ-ի մասով օրենսդրությամբ նշվում է, որ եթե ԳՀ-ի իրավատերը (</w:t>
      </w:r>
      <w:r w:rsidR="0056496B">
        <w:rPr>
          <w:rFonts w:ascii="Sylfaen" w:hAnsi="Sylfaen"/>
          <w:sz w:val="24"/>
          <w:szCs w:val="24"/>
        </w:rPr>
        <w:t>դիմումատու</w:t>
      </w:r>
      <w:r w:rsidRPr="00BD7577">
        <w:rPr>
          <w:rFonts w:ascii="Sylfaen" w:hAnsi="Sylfaen"/>
          <w:sz w:val="24"/>
          <w:szCs w:val="24"/>
        </w:rPr>
        <w:t>ն) տարբերվում է ՊՄՖ-ի իրավատիրոջից, ապա անհրաժեշտ է ՊՄՖ-ն հանձնել ԳՀ-ի իրավատիրոջը (</w:t>
      </w:r>
      <w:r w:rsidR="0056496B">
        <w:rPr>
          <w:rFonts w:ascii="Sylfaen" w:hAnsi="Sylfaen"/>
          <w:sz w:val="24"/>
          <w:szCs w:val="24"/>
        </w:rPr>
        <w:t>դիմումատու</w:t>
      </w:r>
      <w:r w:rsidRPr="00BD7577">
        <w:rPr>
          <w:rFonts w:ascii="Sylfaen" w:hAnsi="Sylfaen"/>
          <w:sz w:val="24"/>
          <w:szCs w:val="24"/>
        </w:rPr>
        <w:t>ին)՝ այն անդամ պետության լիազորված մարմին ներկայացնելու համար։</w:t>
      </w:r>
    </w:p>
    <w:p w14:paraId="5105393A"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507151D1" w14:textId="77777777" w:rsidR="008C76E0" w:rsidRPr="00BD7577" w:rsidRDefault="008C76E0" w:rsidP="008C76E0">
      <w:pPr>
        <w:ind w:firstLine="567"/>
        <w:jc w:val="right"/>
        <w:rPr>
          <w:rFonts w:ascii="Sylfaen" w:hAnsi="Sylfaen"/>
          <w:sz w:val="24"/>
          <w:szCs w:val="24"/>
        </w:rPr>
      </w:pPr>
      <w:r w:rsidRPr="00BD7577">
        <w:rPr>
          <w:rFonts w:ascii="Sylfaen" w:hAnsi="Sylfaen"/>
          <w:sz w:val="24"/>
          <w:szCs w:val="24"/>
        </w:rPr>
        <w:lastRenderedPageBreak/>
        <w:t>Լրացում թիվ 6</w:t>
      </w:r>
    </w:p>
    <w:p w14:paraId="265CA069" w14:textId="77777777" w:rsidR="008C76E0" w:rsidRPr="00BD7577" w:rsidRDefault="008C76E0" w:rsidP="008C76E0">
      <w:pPr>
        <w:ind w:firstLine="567"/>
        <w:jc w:val="right"/>
        <w:rPr>
          <w:rFonts w:ascii="Sylfaen" w:hAnsi="Sylfaen"/>
          <w:sz w:val="24"/>
          <w:szCs w:val="24"/>
        </w:rPr>
      </w:pPr>
    </w:p>
    <w:p w14:paraId="4A829BAF" w14:textId="77777777" w:rsidR="008C76E0" w:rsidRPr="00BD7577" w:rsidRDefault="008C76E0" w:rsidP="004B393A">
      <w:pPr>
        <w:spacing w:after="160" w:line="360" w:lineRule="auto"/>
        <w:ind w:firstLine="567"/>
        <w:jc w:val="center"/>
        <w:rPr>
          <w:rFonts w:ascii="Sylfaen" w:hAnsi="Sylfaen"/>
          <w:sz w:val="24"/>
          <w:szCs w:val="24"/>
        </w:rPr>
      </w:pPr>
      <w:r w:rsidRPr="00BD7577">
        <w:rPr>
          <w:rFonts w:ascii="Sylfaen" w:hAnsi="Sylfaen"/>
          <w:sz w:val="24"/>
          <w:szCs w:val="24"/>
        </w:rPr>
        <w:t>Սահմանումները</w:t>
      </w:r>
    </w:p>
    <w:p w14:paraId="0F9B639E"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Սույն հավելվածի նպատակներով օգտագործվում են հետ</w:t>
      </w:r>
      <w:r w:rsidR="00C54D75">
        <w:rPr>
          <w:rFonts w:ascii="Sylfaen" w:hAnsi="Sylfaen"/>
          <w:sz w:val="24"/>
          <w:szCs w:val="24"/>
        </w:rPr>
        <w:t>և</w:t>
      </w:r>
      <w:r w:rsidRPr="00BD7577">
        <w:rPr>
          <w:rFonts w:ascii="Sylfaen" w:hAnsi="Sylfaen"/>
          <w:sz w:val="24"/>
          <w:szCs w:val="24"/>
        </w:rPr>
        <w:t xml:space="preserve">յալ հասկացությունները </w:t>
      </w:r>
      <w:r w:rsidR="00C54D75">
        <w:rPr>
          <w:rFonts w:ascii="Sylfaen" w:hAnsi="Sylfaen"/>
          <w:sz w:val="24"/>
          <w:szCs w:val="24"/>
        </w:rPr>
        <w:t>և</w:t>
      </w:r>
      <w:r w:rsidRPr="00BD7577">
        <w:rPr>
          <w:rFonts w:ascii="Sylfaen" w:hAnsi="Sylfaen"/>
          <w:sz w:val="24"/>
          <w:szCs w:val="24"/>
        </w:rPr>
        <w:t xml:space="preserve"> դրանց սահմանումները՝</w:t>
      </w:r>
    </w:p>
    <w:p w14:paraId="57494C1C"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 արտադրող»՝ ակտիվ դեղագործական բաղադրամասի արտադրության շղթայի մեջ մտնող կողմը, ներառյալ՝ դիստրիբյուտորները, վերափաթեթավորողները </w:t>
      </w:r>
      <w:r w:rsidR="00C54D75">
        <w:rPr>
          <w:rFonts w:ascii="Sylfaen" w:hAnsi="Sylfaen"/>
          <w:sz w:val="24"/>
          <w:szCs w:val="24"/>
        </w:rPr>
        <w:t>և</w:t>
      </w:r>
      <w:r w:rsidRPr="00BD7577">
        <w:rPr>
          <w:rFonts w:ascii="Sylfaen" w:hAnsi="Sylfaen"/>
          <w:sz w:val="24"/>
          <w:szCs w:val="24"/>
        </w:rPr>
        <w:t xml:space="preserve"> վերամակնշողները,</w:t>
      </w:r>
    </w:p>
    <w:p w14:paraId="31F9B25A"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իրավատեր»՝ ակտիվ դեղագործական բաղադրամասի մաստեր-ֆայլի համար միանձնյա պատասխանատվություն կրող ընկերությունը,</w:t>
      </w:r>
    </w:p>
    <w:p w14:paraId="533BFAEA"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«արտադրության շղթա»՝ արտադրության փուլերի հաջորդականությունը, որը ներկայացված է ակտիվ դեղագործական բաղադրամասի արտադրության </w:t>
      </w:r>
      <w:r w:rsidR="00C54D75">
        <w:rPr>
          <w:rFonts w:ascii="Sylfaen" w:hAnsi="Sylfaen"/>
          <w:sz w:val="24"/>
          <w:szCs w:val="24"/>
        </w:rPr>
        <w:t>և</w:t>
      </w:r>
      <w:r w:rsidRPr="00BD7577">
        <w:rPr>
          <w:rFonts w:ascii="Sylfaen" w:hAnsi="Sylfaen"/>
          <w:sz w:val="24"/>
          <w:szCs w:val="24"/>
        </w:rPr>
        <w:t xml:space="preserve"> բաշխման եղանակն առաջին ելանյութերից մինչ</w:t>
      </w:r>
      <w:r w:rsidR="00C54D75">
        <w:rPr>
          <w:rFonts w:ascii="Sylfaen" w:hAnsi="Sylfaen"/>
          <w:sz w:val="24"/>
          <w:szCs w:val="24"/>
        </w:rPr>
        <w:t>և</w:t>
      </w:r>
      <w:r w:rsidRPr="00BD7577">
        <w:rPr>
          <w:rFonts w:ascii="Sylfaen" w:hAnsi="Sylfaen"/>
          <w:sz w:val="24"/>
          <w:szCs w:val="24"/>
        </w:rPr>
        <w:t xml:space="preserve"> պատրաստի ակտիվ դեղագործական բաղադրամասը բացատրող բլոկ-սխեմայի կամ պատմողական տեքստի տեսքով,</w:t>
      </w:r>
    </w:p>
    <w:p w14:paraId="0A415EBE" w14:textId="3F96E7E7" w:rsidR="004B393A" w:rsidRDefault="008C76E0" w:rsidP="00364CB4">
      <w:pPr>
        <w:spacing w:after="160" w:line="360" w:lineRule="auto"/>
        <w:ind w:firstLine="567"/>
        <w:jc w:val="both"/>
        <w:rPr>
          <w:rFonts w:ascii="Sylfaen" w:hAnsi="Sylfaen"/>
          <w:sz w:val="24"/>
          <w:szCs w:val="24"/>
        </w:rPr>
      </w:pPr>
      <w:r w:rsidRPr="00BD7577">
        <w:rPr>
          <w:rFonts w:ascii="Sylfaen" w:hAnsi="Sylfaen"/>
          <w:sz w:val="24"/>
          <w:szCs w:val="24"/>
        </w:rPr>
        <w:t>«նոր դեղագործական բաղադրամաս»՝ ազդող նյութ, որը նախկինում չի գրանցվել անդամ պետությունում (</w:t>
      </w:r>
      <w:r w:rsidR="005F6A31">
        <w:rPr>
          <w:rFonts w:ascii="Sylfaen" w:hAnsi="Sylfaen"/>
          <w:sz w:val="24"/>
          <w:szCs w:val="24"/>
        </w:rPr>
        <w:t>հայտնի</w:t>
      </w:r>
      <w:r w:rsidRPr="00BD7577">
        <w:rPr>
          <w:rFonts w:ascii="Sylfaen" w:hAnsi="Sylfaen"/>
          <w:sz w:val="24"/>
          <w:szCs w:val="24"/>
        </w:rPr>
        <w:t xml:space="preserve"> է նա</w:t>
      </w:r>
      <w:r w:rsidR="00C54D75">
        <w:rPr>
          <w:rFonts w:ascii="Sylfaen" w:hAnsi="Sylfaen"/>
          <w:sz w:val="24"/>
          <w:szCs w:val="24"/>
        </w:rPr>
        <w:t>և</w:t>
      </w:r>
      <w:r w:rsidRPr="00BD7577">
        <w:rPr>
          <w:rFonts w:ascii="Sylfaen" w:hAnsi="Sylfaen"/>
          <w:sz w:val="24"/>
          <w:szCs w:val="24"/>
        </w:rPr>
        <w:t xml:space="preserve"> նոր մոլեկուլային կառուցվածք կամ նոր քիմիական նյութ անվամբ), որը կարող է իրենից ներկայացնել համալիր, նախկինում գրանցված ակտիվ դեղագործական բաղադրամասի սովորական եթեր կամ աղ, որը վերջինից տարբերվում է անվտանգության </w:t>
      </w:r>
      <w:r w:rsidR="00C54D75">
        <w:rPr>
          <w:rFonts w:ascii="Sylfaen" w:hAnsi="Sylfaen"/>
          <w:sz w:val="24"/>
          <w:szCs w:val="24"/>
        </w:rPr>
        <w:t>և</w:t>
      </w:r>
      <w:r w:rsidRPr="00BD7577">
        <w:rPr>
          <w:rFonts w:ascii="Sylfaen" w:hAnsi="Sylfaen"/>
          <w:sz w:val="24"/>
          <w:szCs w:val="24"/>
        </w:rPr>
        <w:t xml:space="preserve"> արդյունավետության տեսանկյունից։</w:t>
      </w:r>
    </w:p>
    <w:p w14:paraId="08DC6084" w14:textId="77777777" w:rsidR="00364CB4" w:rsidRPr="006F28F9" w:rsidRDefault="00364CB4" w:rsidP="00364CB4">
      <w:pPr>
        <w:rPr>
          <w:b/>
          <w:bCs/>
          <w:i/>
          <w:iCs/>
        </w:rPr>
      </w:pPr>
      <w:r w:rsidRPr="00CD4709">
        <w:rPr>
          <w:b/>
          <w:bCs/>
          <w:i/>
          <w:iCs/>
        </w:rPr>
        <w:t>(</w:t>
      </w:r>
      <w:r>
        <w:rPr>
          <w:b/>
          <w:bCs/>
          <w:i/>
          <w:iCs/>
        </w:rPr>
        <w:t xml:space="preserve">հավելվածը </w:t>
      </w:r>
      <w:r w:rsidRPr="00CD4709">
        <w:rPr>
          <w:b/>
          <w:bCs/>
          <w:i/>
          <w:iCs/>
        </w:rPr>
        <w:t>փոփ. 30.01.20 թիվ 9)</w:t>
      </w:r>
    </w:p>
    <w:p w14:paraId="40EC17A4" w14:textId="4CA25270" w:rsidR="00364CB4" w:rsidRDefault="00364CB4" w:rsidP="00207FF6">
      <w:pPr>
        <w:spacing w:after="160" w:line="360" w:lineRule="auto"/>
        <w:ind w:left="4536"/>
        <w:jc w:val="center"/>
        <w:rPr>
          <w:rFonts w:ascii="Sylfaen" w:hAnsi="Sylfaen"/>
          <w:sz w:val="24"/>
          <w:szCs w:val="24"/>
        </w:rPr>
        <w:sectPr w:rsidR="00364CB4" w:rsidSect="00C31D56">
          <w:pgSz w:w="11907" w:h="16839" w:code="9"/>
          <w:pgMar w:top="1418" w:right="1418" w:bottom="1418" w:left="1418" w:header="709" w:footer="709" w:gutter="0"/>
          <w:pgNumType w:start="1"/>
          <w:cols w:space="708"/>
          <w:titlePg/>
          <w:docGrid w:linePitch="360"/>
        </w:sectPr>
      </w:pPr>
    </w:p>
    <w:p w14:paraId="3C53C712" w14:textId="77777777" w:rsidR="008C76E0" w:rsidRPr="00BD7577" w:rsidRDefault="008C76E0" w:rsidP="00207FF6">
      <w:pPr>
        <w:spacing w:after="160" w:line="360" w:lineRule="auto"/>
        <w:ind w:left="4536"/>
        <w:jc w:val="center"/>
        <w:rPr>
          <w:rFonts w:ascii="Sylfaen" w:hAnsi="Sylfaen"/>
          <w:sz w:val="24"/>
          <w:szCs w:val="24"/>
        </w:rPr>
      </w:pPr>
      <w:r w:rsidRPr="00BD7577">
        <w:rPr>
          <w:rFonts w:ascii="Sylfaen" w:hAnsi="Sylfaen"/>
          <w:sz w:val="24"/>
          <w:szCs w:val="24"/>
        </w:rPr>
        <w:lastRenderedPageBreak/>
        <w:t>ՀԱՎԵԼՎԱԾ ԹԻՎ 11</w:t>
      </w:r>
    </w:p>
    <w:p w14:paraId="7508C4DE" w14:textId="77777777" w:rsidR="008C76E0" w:rsidRPr="00BD7577" w:rsidRDefault="008C76E0" w:rsidP="00207FF6">
      <w:pPr>
        <w:spacing w:after="160" w:line="360" w:lineRule="auto"/>
        <w:ind w:left="4536"/>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6C7575DA" w14:textId="77777777" w:rsidR="008C76E0" w:rsidRPr="00BD7577" w:rsidRDefault="008C76E0" w:rsidP="00207FF6">
      <w:pPr>
        <w:spacing w:after="160" w:line="360" w:lineRule="auto"/>
        <w:ind w:left="5103"/>
        <w:jc w:val="center"/>
        <w:rPr>
          <w:rFonts w:ascii="Sylfaen" w:hAnsi="Sylfaen"/>
          <w:sz w:val="24"/>
          <w:szCs w:val="24"/>
        </w:rPr>
      </w:pPr>
    </w:p>
    <w:p w14:paraId="71371A1D" w14:textId="77777777" w:rsidR="008C76E0" w:rsidRPr="00207FF6" w:rsidRDefault="008C76E0" w:rsidP="00207FF6">
      <w:pPr>
        <w:spacing w:after="160" w:line="360" w:lineRule="auto"/>
        <w:jc w:val="center"/>
        <w:rPr>
          <w:rFonts w:ascii="Sylfaen" w:hAnsi="Sylfaen"/>
          <w:b/>
          <w:sz w:val="24"/>
          <w:szCs w:val="24"/>
        </w:rPr>
      </w:pPr>
      <w:r w:rsidRPr="00207FF6">
        <w:rPr>
          <w:rStyle w:val="Bodytext2Spacing2pt"/>
          <w:rFonts w:ascii="Sylfaen" w:eastAsiaTheme="minorHAnsi" w:hAnsi="Sylfaen"/>
          <w:b/>
          <w:spacing w:val="0"/>
          <w:sz w:val="24"/>
          <w:szCs w:val="24"/>
        </w:rPr>
        <w:t>ՁԵՎ</w:t>
      </w:r>
    </w:p>
    <w:p w14:paraId="69F1B65B"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r w:rsidRPr="008C76E0">
        <w:rPr>
          <w:rFonts w:ascii="Sylfaen" w:hAnsi="Sylfaen"/>
          <w:sz w:val="24"/>
          <w:szCs w:val="24"/>
          <w:lang w:val="hy-AM"/>
        </w:rPr>
        <w:t>նախնական ամփոփ հաշվետվության</w:t>
      </w:r>
    </w:p>
    <w:p w14:paraId="78EDA995"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p>
    <w:p w14:paraId="508FA1E1"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Լրացնելու ցուցումներ. տեքստի պատրաստի ձ</w:t>
      </w:r>
      <w:r w:rsidR="00C54D75">
        <w:rPr>
          <w:rFonts w:ascii="Sylfaen" w:hAnsi="Sylfaen"/>
          <w:sz w:val="24"/>
          <w:szCs w:val="24"/>
        </w:rPr>
        <w:t>և</w:t>
      </w:r>
      <w:r w:rsidRPr="00BD7577">
        <w:rPr>
          <w:rFonts w:ascii="Sylfaen" w:hAnsi="Sylfaen"/>
          <w:sz w:val="24"/>
          <w:szCs w:val="24"/>
        </w:rPr>
        <w:t>անմուշներ օգտագործելիս դրանք սույն ձ</w:t>
      </w:r>
      <w:r w:rsidR="00C54D75">
        <w:rPr>
          <w:rFonts w:ascii="Sylfaen" w:hAnsi="Sylfaen"/>
          <w:sz w:val="24"/>
          <w:szCs w:val="24"/>
        </w:rPr>
        <w:t>և</w:t>
      </w:r>
      <w:r w:rsidRPr="00BD7577">
        <w:rPr>
          <w:rFonts w:ascii="Sylfaen" w:hAnsi="Sylfaen"/>
          <w:sz w:val="24"/>
          <w:szCs w:val="24"/>
        </w:rPr>
        <w:t xml:space="preserve">ում ընդգծված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ներկայացված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w:t>
      </w:r>
    </w:p>
    <w:p w14:paraId="31420C2E" w14:textId="77777777" w:rsidR="008C76E0" w:rsidRPr="00BD7577" w:rsidRDefault="008C76E0" w:rsidP="00207FF6">
      <w:pPr>
        <w:spacing w:after="160" w:line="360" w:lineRule="auto"/>
        <w:ind w:firstLine="567"/>
        <w:jc w:val="both"/>
        <w:rPr>
          <w:rFonts w:ascii="Sylfaen" w:hAnsi="Sylfaen"/>
          <w:sz w:val="24"/>
          <w:szCs w:val="24"/>
        </w:rPr>
      </w:pPr>
    </w:p>
    <w:p w14:paraId="4DDA1993" w14:textId="77777777" w:rsidR="008C76E0" w:rsidRPr="00BD7577" w:rsidRDefault="008C76E0" w:rsidP="00207FF6">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43140693" w14:textId="77777777" w:rsidR="008C76E0" w:rsidRPr="00BD7577" w:rsidRDefault="008C76E0" w:rsidP="00207FF6">
      <w:pPr>
        <w:spacing w:after="160" w:line="360" w:lineRule="auto"/>
        <w:jc w:val="right"/>
        <w:rPr>
          <w:rFonts w:ascii="Sylfaen" w:hAnsi="Sylfaen"/>
          <w:sz w:val="24"/>
          <w:szCs w:val="24"/>
        </w:rPr>
      </w:pPr>
    </w:p>
    <w:p w14:paraId="724D1E00"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ՆԱԽՆԱԿԱՆ ԱՄՓՈՓ ՀԱՇՎԵՏՎՈՒԹՅՈՒՆ</w:t>
      </w:r>
    </w:p>
    <w:p w14:paraId="1384D5B9"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դեղապատրաստուկի կրիտիկական գնահատման վերաբերյալ</w:t>
      </w:r>
    </w:p>
    <w:p w14:paraId="6A07C716" w14:textId="77777777" w:rsidR="008C76E0" w:rsidRPr="00BD7577" w:rsidRDefault="008C76E0" w:rsidP="00207FF6">
      <w:pPr>
        <w:spacing w:after="160" w:line="360" w:lineRule="auto"/>
        <w:jc w:val="center"/>
        <w:rPr>
          <w:rFonts w:ascii="Sylfaen" w:hAnsi="Sylfaen"/>
          <w:sz w:val="24"/>
          <w:szCs w:val="24"/>
        </w:rPr>
      </w:pPr>
    </w:p>
    <w:p w14:paraId="476D8FA0" w14:textId="77777777" w:rsidR="008C76E0" w:rsidRPr="008C76E0" w:rsidRDefault="008C76E0" w:rsidP="00207FF6">
      <w:pPr>
        <w:pStyle w:val="Bodytext7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&lt;Առ</w:t>
      </w:r>
      <w:r w:rsidR="00C54D75">
        <w:rPr>
          <w:rFonts w:ascii="Sylfaen" w:hAnsi="Sylfaen"/>
          <w:b w:val="0"/>
          <w:sz w:val="24"/>
          <w:szCs w:val="24"/>
          <w:lang w:val="hy-AM"/>
        </w:rPr>
        <w:t>և</w:t>
      </w:r>
      <w:r w:rsidRPr="008C76E0">
        <w:rPr>
          <w:rFonts w:ascii="Sylfaen" w:hAnsi="Sylfaen"/>
          <w:b w:val="0"/>
          <w:sz w:val="24"/>
          <w:szCs w:val="24"/>
          <w:lang w:val="hy-AM"/>
        </w:rPr>
        <w:t>տրային անվանումը&gt;</w:t>
      </w:r>
    </w:p>
    <w:p w14:paraId="512BD7E6" w14:textId="77777777" w:rsidR="008C76E0" w:rsidRPr="008C76E0" w:rsidRDefault="008C76E0" w:rsidP="00207FF6">
      <w:pPr>
        <w:pStyle w:val="Bodytext7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&lt;(Ազդող նյութը (նյութերը))&gt;</w:t>
      </w:r>
    </w:p>
    <w:p w14:paraId="1A06662D" w14:textId="6F013A88" w:rsidR="008C76E0" w:rsidRDefault="0056496B" w:rsidP="00207FF6">
      <w:pPr>
        <w:spacing w:after="160" w:line="360" w:lineRule="auto"/>
        <w:jc w:val="both"/>
        <w:rPr>
          <w:rFonts w:ascii="Sylfaen" w:hAnsi="Sylfaen"/>
          <w:sz w:val="24"/>
          <w:szCs w:val="24"/>
          <w:lang w:val="en-US"/>
        </w:rPr>
      </w:pPr>
      <w:r>
        <w:rPr>
          <w:rFonts w:ascii="Sylfaen" w:hAnsi="Sylfaen"/>
          <w:sz w:val="24"/>
          <w:szCs w:val="24"/>
        </w:rPr>
        <w:t>Դիմումատու</w:t>
      </w:r>
      <w:r w:rsidR="008C76E0" w:rsidRPr="00BD7577">
        <w:rPr>
          <w:rFonts w:ascii="Sylfaen" w:hAnsi="Sylfaen"/>
          <w:sz w:val="24"/>
          <w:szCs w:val="24"/>
        </w:rPr>
        <w:t>ն՝</w:t>
      </w:r>
    </w:p>
    <w:p w14:paraId="028A9B1A" w14:textId="77777777" w:rsidR="008C76E0" w:rsidRPr="00EF7B76" w:rsidRDefault="008C76E0" w:rsidP="008C76E0">
      <w:pPr>
        <w:jc w:val="both"/>
        <w:rPr>
          <w:rFonts w:ascii="Sylfaen" w:hAnsi="Sylfaen"/>
          <w:sz w:val="24"/>
          <w:szCs w:val="24"/>
          <w:lang w:val="en-US"/>
        </w:rPr>
      </w:pPr>
    </w:p>
    <w:tbl>
      <w:tblPr>
        <w:tblOverlap w:val="never"/>
        <w:tblW w:w="9715" w:type="dxa"/>
        <w:tblLayout w:type="fixed"/>
        <w:tblCellMar>
          <w:left w:w="10" w:type="dxa"/>
          <w:right w:w="10" w:type="dxa"/>
        </w:tblCellMar>
        <w:tblLook w:val="04A0" w:firstRow="1" w:lastRow="0" w:firstColumn="1" w:lastColumn="0" w:noHBand="0" w:noVBand="1"/>
      </w:tblPr>
      <w:tblGrid>
        <w:gridCol w:w="10"/>
        <w:gridCol w:w="5159"/>
        <w:gridCol w:w="4546"/>
      </w:tblGrid>
      <w:tr w:rsidR="008C76E0" w:rsidRPr="00BD7577" w14:paraId="0629B389" w14:textId="77777777" w:rsidTr="008C76E0">
        <w:trPr>
          <w:gridBefore w:val="1"/>
          <w:wBefore w:w="10" w:type="dxa"/>
        </w:trPr>
        <w:tc>
          <w:tcPr>
            <w:tcW w:w="5159" w:type="dxa"/>
            <w:tcBorders>
              <w:top w:val="single" w:sz="4" w:space="0" w:color="auto"/>
              <w:left w:val="single" w:sz="4" w:space="0" w:color="auto"/>
            </w:tcBorders>
            <w:shd w:val="clear" w:color="auto" w:fill="FFFFFF"/>
          </w:tcPr>
          <w:p w14:paraId="1A6CE441"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lastRenderedPageBreak/>
              <w:t>Ընթացակարգի սկիզբը՝</w:t>
            </w:r>
          </w:p>
        </w:tc>
        <w:tc>
          <w:tcPr>
            <w:tcW w:w="4542" w:type="dxa"/>
            <w:tcBorders>
              <w:top w:val="single" w:sz="4" w:space="0" w:color="auto"/>
              <w:left w:val="single" w:sz="4" w:space="0" w:color="auto"/>
              <w:right w:val="single" w:sz="4" w:space="0" w:color="auto"/>
            </w:tcBorders>
            <w:shd w:val="clear" w:color="auto" w:fill="FFFFFF"/>
          </w:tcPr>
          <w:p w14:paraId="5E7D40BE"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75D95A52" w14:textId="77777777" w:rsidTr="008C76E0">
        <w:trPr>
          <w:gridBefore w:val="1"/>
          <w:wBefore w:w="10" w:type="dxa"/>
        </w:trPr>
        <w:tc>
          <w:tcPr>
            <w:tcW w:w="5159" w:type="dxa"/>
            <w:tcBorders>
              <w:top w:val="single" w:sz="4" w:space="0" w:color="auto"/>
              <w:left w:val="single" w:sz="4" w:space="0" w:color="auto"/>
            </w:tcBorders>
            <w:shd w:val="clear" w:color="auto" w:fill="FFFFFF"/>
            <w:vAlign w:val="bottom"/>
          </w:tcPr>
          <w:p w14:paraId="08D94193"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t>Սույն հաշվետվությունը պատրաստելու ամսաթիվը՝</w:t>
            </w:r>
          </w:p>
        </w:tc>
        <w:tc>
          <w:tcPr>
            <w:tcW w:w="4542" w:type="dxa"/>
            <w:tcBorders>
              <w:top w:val="single" w:sz="4" w:space="0" w:color="auto"/>
              <w:left w:val="single" w:sz="4" w:space="0" w:color="auto"/>
              <w:right w:val="single" w:sz="4" w:space="0" w:color="auto"/>
            </w:tcBorders>
            <w:shd w:val="clear" w:color="auto" w:fill="FFFFFF"/>
          </w:tcPr>
          <w:p w14:paraId="11B55DBA"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1561130B" w14:textId="77777777" w:rsidTr="008C76E0">
        <w:trPr>
          <w:gridBefore w:val="1"/>
          <w:wBefore w:w="10" w:type="dxa"/>
        </w:trPr>
        <w:tc>
          <w:tcPr>
            <w:tcW w:w="5159" w:type="dxa"/>
            <w:tcBorders>
              <w:top w:val="single" w:sz="4" w:space="0" w:color="auto"/>
              <w:left w:val="single" w:sz="4" w:space="0" w:color="auto"/>
              <w:bottom w:val="single" w:sz="4" w:space="0" w:color="auto"/>
            </w:tcBorders>
            <w:shd w:val="clear" w:color="auto" w:fill="FFFFFF"/>
            <w:vAlign w:val="bottom"/>
          </w:tcPr>
          <w:p w14:paraId="2E6AED02"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t>Մեկնաբանությունների վերջնաժամկետը՝</w:t>
            </w:r>
          </w:p>
        </w:tc>
        <w:tc>
          <w:tcPr>
            <w:tcW w:w="4542" w:type="dxa"/>
            <w:tcBorders>
              <w:top w:val="single" w:sz="4" w:space="0" w:color="auto"/>
              <w:left w:val="single" w:sz="4" w:space="0" w:color="auto"/>
              <w:bottom w:val="single" w:sz="4" w:space="0" w:color="auto"/>
              <w:right w:val="single" w:sz="4" w:space="0" w:color="auto"/>
            </w:tcBorders>
            <w:shd w:val="clear" w:color="auto" w:fill="FFFFFF"/>
          </w:tcPr>
          <w:p w14:paraId="57132AE2"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35734978" w14:textId="77777777" w:rsidTr="008C76E0">
        <w:tc>
          <w:tcPr>
            <w:tcW w:w="9709" w:type="dxa"/>
            <w:gridSpan w:val="3"/>
            <w:shd w:val="clear" w:color="auto" w:fill="FFFFFF"/>
            <w:vAlign w:val="center"/>
          </w:tcPr>
          <w:p w14:paraId="482458E6" w14:textId="77777777" w:rsidR="008C76E0" w:rsidRPr="00BD7577" w:rsidRDefault="008C76E0" w:rsidP="008C76E0">
            <w:pPr>
              <w:pStyle w:val="Bodytext180"/>
              <w:shd w:val="clear" w:color="auto" w:fill="auto"/>
              <w:spacing w:before="0" w:after="120" w:line="240" w:lineRule="auto"/>
              <w:ind w:left="55" w:right="150" w:firstLine="0"/>
              <w:jc w:val="center"/>
              <w:rPr>
                <w:rFonts w:ascii="Sylfaen" w:hAnsi="Sylfaen"/>
                <w:b w:val="0"/>
                <w:sz w:val="24"/>
                <w:szCs w:val="24"/>
              </w:rPr>
            </w:pPr>
            <w:r w:rsidRPr="00BD7577">
              <w:rPr>
                <w:rStyle w:val="Bodytext295pt"/>
                <w:rFonts w:ascii="Sylfaen" w:hAnsi="Sylfaen"/>
                <w:spacing w:val="0"/>
                <w:sz w:val="24"/>
                <w:szCs w:val="24"/>
              </w:rPr>
              <w:t>I.Վարչական տեղեկատվությունը</w:t>
            </w:r>
          </w:p>
        </w:tc>
      </w:tr>
      <w:tr w:rsidR="008C76E0" w:rsidRPr="00BD7577" w14:paraId="304FE2C7" w14:textId="77777777" w:rsidTr="008C76E0">
        <w:tc>
          <w:tcPr>
            <w:tcW w:w="5169" w:type="dxa"/>
            <w:gridSpan w:val="2"/>
            <w:tcBorders>
              <w:top w:val="single" w:sz="4" w:space="0" w:color="auto"/>
              <w:left w:val="single" w:sz="4" w:space="0" w:color="auto"/>
            </w:tcBorders>
            <w:shd w:val="clear" w:color="auto" w:fill="FFFFFF"/>
            <w:vAlign w:val="bottom"/>
          </w:tcPr>
          <w:p w14:paraId="22D6593C" w14:textId="1D594D7F"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 xml:space="preserve">Գրանցման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նույնականացման համարը՝</w:t>
            </w:r>
          </w:p>
        </w:tc>
        <w:tc>
          <w:tcPr>
            <w:tcW w:w="4546" w:type="dxa"/>
            <w:tcBorders>
              <w:top w:val="single" w:sz="4" w:space="0" w:color="auto"/>
              <w:left w:val="single" w:sz="4" w:space="0" w:color="auto"/>
              <w:right w:val="single" w:sz="4" w:space="0" w:color="auto"/>
            </w:tcBorders>
            <w:shd w:val="clear" w:color="auto" w:fill="FFFFFF"/>
          </w:tcPr>
          <w:p w14:paraId="142A2811"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28450344" w14:textId="77777777" w:rsidTr="008C76E0">
        <w:tc>
          <w:tcPr>
            <w:tcW w:w="5169" w:type="dxa"/>
            <w:gridSpan w:val="2"/>
            <w:tcBorders>
              <w:top w:val="single" w:sz="4" w:space="0" w:color="auto"/>
              <w:left w:val="single" w:sz="4" w:space="0" w:color="auto"/>
            </w:tcBorders>
            <w:shd w:val="clear" w:color="auto" w:fill="FFFFFF"/>
            <w:vAlign w:val="bottom"/>
          </w:tcPr>
          <w:p w14:paraId="03BBB487"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Դեղամիջոցի առ</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տրային անվանումը՝</w:t>
            </w:r>
          </w:p>
        </w:tc>
        <w:tc>
          <w:tcPr>
            <w:tcW w:w="4546" w:type="dxa"/>
            <w:tcBorders>
              <w:top w:val="single" w:sz="4" w:space="0" w:color="auto"/>
              <w:left w:val="single" w:sz="4" w:space="0" w:color="auto"/>
              <w:right w:val="single" w:sz="4" w:space="0" w:color="auto"/>
            </w:tcBorders>
            <w:shd w:val="clear" w:color="auto" w:fill="FFFFFF"/>
          </w:tcPr>
          <w:p w14:paraId="5309566A"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0EEFEF79" w14:textId="77777777" w:rsidTr="008C76E0">
        <w:tc>
          <w:tcPr>
            <w:tcW w:w="5169" w:type="dxa"/>
            <w:gridSpan w:val="2"/>
            <w:tcBorders>
              <w:top w:val="single" w:sz="4" w:space="0" w:color="auto"/>
              <w:left w:val="single" w:sz="4" w:space="0" w:color="auto"/>
            </w:tcBorders>
            <w:shd w:val="clear" w:color="auto" w:fill="FFFFFF"/>
            <w:vAlign w:val="bottom"/>
          </w:tcPr>
          <w:p w14:paraId="7A9B0A9C"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Միջազգային չարտոնագրված անվանումը՝(ՄՉԱ) կամ ազդող նյութի (նյութերի) համընդհանուր անվանումը՝</w:t>
            </w:r>
          </w:p>
        </w:tc>
        <w:tc>
          <w:tcPr>
            <w:tcW w:w="4546" w:type="dxa"/>
            <w:tcBorders>
              <w:top w:val="single" w:sz="4" w:space="0" w:color="auto"/>
              <w:left w:val="single" w:sz="4" w:space="0" w:color="auto"/>
              <w:right w:val="single" w:sz="4" w:space="0" w:color="auto"/>
            </w:tcBorders>
            <w:shd w:val="clear" w:color="auto" w:fill="FFFFFF"/>
          </w:tcPr>
          <w:p w14:paraId="28F30ABE"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58DA1D51" w14:textId="77777777" w:rsidTr="008C76E0">
        <w:tc>
          <w:tcPr>
            <w:tcW w:w="5169" w:type="dxa"/>
            <w:gridSpan w:val="2"/>
            <w:tcBorders>
              <w:top w:val="single" w:sz="4" w:space="0" w:color="auto"/>
              <w:left w:val="single" w:sz="4" w:space="0" w:color="auto"/>
            </w:tcBorders>
            <w:shd w:val="clear" w:color="auto" w:fill="FFFFFF"/>
            <w:vAlign w:val="bottom"/>
          </w:tcPr>
          <w:p w14:paraId="25C29D45" w14:textId="40B51685" w:rsidR="008C76E0" w:rsidRPr="00BD7577" w:rsidRDefault="0056496B" w:rsidP="008C76E0">
            <w:pPr>
              <w:pStyle w:val="Bodytext180"/>
              <w:shd w:val="clear" w:color="auto" w:fill="auto"/>
              <w:spacing w:before="0" w:after="120" w:line="240" w:lineRule="auto"/>
              <w:ind w:left="55" w:right="150" w:firstLine="0"/>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w:t>
            </w:r>
          </w:p>
        </w:tc>
        <w:tc>
          <w:tcPr>
            <w:tcW w:w="4546" w:type="dxa"/>
            <w:tcBorders>
              <w:top w:val="single" w:sz="4" w:space="0" w:color="auto"/>
              <w:left w:val="single" w:sz="4" w:space="0" w:color="auto"/>
              <w:right w:val="single" w:sz="4" w:space="0" w:color="auto"/>
            </w:tcBorders>
            <w:shd w:val="clear" w:color="auto" w:fill="FFFFFF"/>
          </w:tcPr>
          <w:p w14:paraId="36182F44"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4D3076B5" w14:textId="77777777" w:rsidTr="008C76E0">
        <w:tc>
          <w:tcPr>
            <w:tcW w:w="5169" w:type="dxa"/>
            <w:gridSpan w:val="2"/>
            <w:tcBorders>
              <w:top w:val="single" w:sz="4" w:space="0" w:color="auto"/>
              <w:left w:val="single" w:sz="4" w:space="0" w:color="auto"/>
            </w:tcBorders>
            <w:shd w:val="clear" w:color="auto" w:fill="FFFFFF"/>
            <w:vAlign w:val="bottom"/>
          </w:tcPr>
          <w:p w14:paraId="42A38F8E" w14:textId="0B139EE5"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 xml:space="preserve">Կիրառման </w:t>
            </w:r>
            <w:r w:rsidR="001A5F1A">
              <w:rPr>
                <w:rStyle w:val="Bodytext295pt"/>
                <w:rFonts w:ascii="Sylfaen" w:hAnsi="Sylfaen"/>
                <w:spacing w:val="0"/>
                <w:sz w:val="24"/>
                <w:szCs w:val="24"/>
              </w:rPr>
              <w:t>հայտագրված</w:t>
            </w:r>
            <w:r w:rsidRPr="00BD7577">
              <w:rPr>
                <w:rStyle w:val="Bodytext295pt"/>
                <w:rFonts w:ascii="Sylfaen" w:hAnsi="Sylfaen"/>
                <w:spacing w:val="0"/>
                <w:sz w:val="24"/>
                <w:szCs w:val="24"/>
              </w:rPr>
              <w:t xml:space="preserve"> ցուցումները՝</w:t>
            </w:r>
          </w:p>
        </w:tc>
        <w:tc>
          <w:tcPr>
            <w:tcW w:w="4546" w:type="dxa"/>
            <w:tcBorders>
              <w:top w:val="single" w:sz="4" w:space="0" w:color="auto"/>
              <w:left w:val="single" w:sz="4" w:space="0" w:color="auto"/>
              <w:right w:val="single" w:sz="4" w:space="0" w:color="auto"/>
            </w:tcBorders>
            <w:shd w:val="clear" w:color="auto" w:fill="FFFFFF"/>
          </w:tcPr>
          <w:p w14:paraId="17C72057"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3D199A5B" w14:textId="77777777" w:rsidTr="008C76E0">
        <w:tc>
          <w:tcPr>
            <w:tcW w:w="5169" w:type="dxa"/>
            <w:gridSpan w:val="2"/>
            <w:tcBorders>
              <w:top w:val="single" w:sz="4" w:space="0" w:color="auto"/>
              <w:left w:val="single" w:sz="4" w:space="0" w:color="auto"/>
            </w:tcBorders>
            <w:shd w:val="clear" w:color="auto" w:fill="FFFFFF"/>
            <w:vAlign w:val="bottom"/>
          </w:tcPr>
          <w:p w14:paraId="5746D412"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(ԱԲՔ-ծածկագիրը)՝</w:t>
            </w:r>
          </w:p>
        </w:tc>
        <w:tc>
          <w:tcPr>
            <w:tcW w:w="4546" w:type="dxa"/>
            <w:tcBorders>
              <w:top w:val="single" w:sz="4" w:space="0" w:color="auto"/>
              <w:left w:val="single" w:sz="4" w:space="0" w:color="auto"/>
              <w:right w:val="single" w:sz="4" w:space="0" w:color="auto"/>
            </w:tcBorders>
            <w:shd w:val="clear" w:color="auto" w:fill="FFFFFF"/>
          </w:tcPr>
          <w:p w14:paraId="534299F8"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06CEE420" w14:textId="77777777" w:rsidTr="008C76E0">
        <w:tc>
          <w:tcPr>
            <w:tcW w:w="5169" w:type="dxa"/>
            <w:gridSpan w:val="2"/>
            <w:tcBorders>
              <w:top w:val="single" w:sz="4" w:space="0" w:color="auto"/>
              <w:left w:val="single" w:sz="4" w:space="0" w:color="auto"/>
            </w:tcBorders>
            <w:shd w:val="clear" w:color="auto" w:fill="FFFFFF"/>
            <w:vAlign w:val="bottom"/>
          </w:tcPr>
          <w:p w14:paraId="1A43780B"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դեղաչափը (դեղաչափերը)՝</w:t>
            </w:r>
          </w:p>
        </w:tc>
        <w:tc>
          <w:tcPr>
            <w:tcW w:w="4546" w:type="dxa"/>
            <w:tcBorders>
              <w:top w:val="single" w:sz="4" w:space="0" w:color="auto"/>
              <w:left w:val="single" w:sz="4" w:space="0" w:color="auto"/>
              <w:right w:val="single" w:sz="4" w:space="0" w:color="auto"/>
            </w:tcBorders>
            <w:shd w:val="clear" w:color="auto" w:fill="FFFFFF"/>
          </w:tcPr>
          <w:p w14:paraId="2960EF73"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18E4D421" w14:textId="77777777" w:rsidTr="008C76E0">
        <w:tc>
          <w:tcPr>
            <w:tcW w:w="5169" w:type="dxa"/>
            <w:gridSpan w:val="2"/>
            <w:tcBorders>
              <w:top w:val="single" w:sz="4" w:space="0" w:color="auto"/>
              <w:left w:val="single" w:sz="4" w:space="0" w:color="auto"/>
              <w:bottom w:val="single" w:sz="4" w:space="0" w:color="auto"/>
            </w:tcBorders>
            <w:shd w:val="clear" w:color="auto" w:fill="FFFFFF"/>
          </w:tcPr>
          <w:p w14:paraId="4A124ED4"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 xml:space="preserve">Զեկուցողի փորձագետների անունները (ներքին փորձագետ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անկախ փորձագետ)՝</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14:paraId="3B67057D"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3-րդ մոդուլի փորձագետ՝ Ա.Ա.Հ.-ն՝</w:t>
            </w:r>
          </w:p>
          <w:p w14:paraId="7A4A6A84"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13E54F8E"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4-րդ մոդուլի փորձագետ՝ Ա.Ա.Հ.-ն՝</w:t>
            </w:r>
          </w:p>
          <w:p w14:paraId="5F29A8F7"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5C43F647"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5-րդ մոդուլի փորձագետ՝ Ա.Ա.Հ.-ն՝</w:t>
            </w:r>
          </w:p>
          <w:p w14:paraId="364BE6DF"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r w:rsidR="008C76E0" w:rsidRPr="00BD7577" w14:paraId="2CE875F3" w14:textId="77777777" w:rsidTr="008C76E0">
        <w:tc>
          <w:tcPr>
            <w:tcW w:w="5169" w:type="dxa"/>
            <w:gridSpan w:val="2"/>
            <w:tcBorders>
              <w:top w:val="single" w:sz="4" w:space="0" w:color="auto"/>
              <w:left w:val="single" w:sz="4" w:space="0" w:color="auto"/>
              <w:bottom w:val="single" w:sz="4" w:space="0" w:color="auto"/>
            </w:tcBorders>
            <w:shd w:val="clear" w:color="auto" w:fill="FFFFFF"/>
            <w:vAlign w:val="bottom"/>
          </w:tcPr>
          <w:p w14:paraId="1DAAA4AC" w14:textId="306D66F4"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 xml:space="preserve">&lt;Միության Դեղամիջոցների գրանցման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փորձաքննության կանոններին համապատասխան՝ ես՝ փորձագետս, սույնով </w:t>
            </w:r>
            <w:r w:rsidR="00745ADC">
              <w:rPr>
                <w:rStyle w:val="Bodytext295pt"/>
                <w:rFonts w:ascii="Sylfaen" w:hAnsi="Sylfaen"/>
                <w:spacing w:val="0"/>
                <w:sz w:val="24"/>
                <w:szCs w:val="24"/>
              </w:rPr>
              <w:t>հայտա</w:t>
            </w:r>
            <w:r w:rsidRPr="00BD7577">
              <w:rPr>
                <w:rStyle w:val="Bodytext295pt"/>
                <w:rFonts w:ascii="Sylfaen" w:hAnsi="Sylfaen"/>
                <w:spacing w:val="0"/>
                <w:sz w:val="24"/>
                <w:szCs w:val="24"/>
              </w:rPr>
              <w:t>րարում եմ, որ ավարտել եմ իմ փորձագիտական հաշվետվությունն ավելի շուտ, քան 80 օրվա ընթացքում&gt;</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14:paraId="367C142E"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ամսաթիվը</w:t>
            </w:r>
          </w:p>
          <w:p w14:paraId="511EFD4E"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ստորագրությունը</w:t>
            </w:r>
          </w:p>
        </w:tc>
      </w:tr>
    </w:tbl>
    <w:p w14:paraId="6D01B23B" w14:textId="77777777" w:rsidR="008C76E0" w:rsidRPr="00BD7577" w:rsidRDefault="008C76E0" w:rsidP="008C76E0">
      <w:pPr>
        <w:spacing w:line="312" w:lineRule="auto"/>
        <w:ind w:firstLine="567"/>
        <w:jc w:val="both"/>
        <w:rPr>
          <w:rStyle w:val="Bodytext295pt"/>
          <w:rFonts w:ascii="Sylfaen" w:eastAsia="MS Mincho" w:hAnsi="Sylfaen"/>
          <w:b w:val="0"/>
          <w:spacing w:val="0"/>
          <w:sz w:val="24"/>
          <w:szCs w:val="24"/>
          <w:lang w:val="en-US"/>
        </w:rPr>
      </w:pPr>
      <w:r w:rsidRPr="00BD7577">
        <w:rPr>
          <w:rStyle w:val="Bodytext295pt"/>
          <w:rFonts w:ascii="Sylfaen" w:eastAsia="MS Mincho" w:hAnsi="Sylfaen"/>
          <w:b w:val="0"/>
          <w:spacing w:val="0"/>
          <w:sz w:val="24"/>
          <w:szCs w:val="24"/>
        </w:rPr>
        <w:t>Հապավումների ցանկը</w:t>
      </w:r>
    </w:p>
    <w:p w14:paraId="751F8228" w14:textId="77777777" w:rsidR="008C76E0" w:rsidRDefault="008C76E0" w:rsidP="008C76E0">
      <w:pPr>
        <w:spacing w:line="312"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lang w:val="en-US"/>
        </w:rPr>
        <w:t>______________________________________________________________________________________________________________________________________________________</w:t>
      </w:r>
    </w:p>
    <w:p w14:paraId="54D13B21" w14:textId="77777777" w:rsidR="008C76E0" w:rsidRPr="00BD7577" w:rsidRDefault="008C76E0" w:rsidP="004B393A">
      <w:pPr>
        <w:pStyle w:val="Headerorfooter0"/>
        <w:shd w:val="clear" w:color="auto" w:fill="auto"/>
        <w:spacing w:after="160" w:line="360" w:lineRule="auto"/>
        <w:ind w:right="-1"/>
        <w:jc w:val="center"/>
        <w:rPr>
          <w:rFonts w:ascii="Sylfaen" w:hAnsi="Sylfaen"/>
          <w:sz w:val="24"/>
          <w:szCs w:val="24"/>
        </w:rPr>
      </w:pPr>
      <w:r w:rsidRPr="00BD7577">
        <w:rPr>
          <w:rFonts w:ascii="Sylfaen" w:hAnsi="Sylfaen"/>
          <w:sz w:val="24"/>
          <w:szCs w:val="24"/>
        </w:rPr>
        <w:lastRenderedPageBreak/>
        <w:t>I. Հանձնարարական</w:t>
      </w:r>
    </w:p>
    <w:p w14:paraId="79D651E7" w14:textId="09388D42" w:rsidR="008C76E0" w:rsidRPr="00BD7577" w:rsidRDefault="008C76E0" w:rsidP="004B393A">
      <w:pPr>
        <w:pStyle w:val="Bodytext70"/>
        <w:shd w:val="clear" w:color="auto" w:fill="auto"/>
        <w:tabs>
          <w:tab w:val="left" w:pos="3402"/>
        </w:tabs>
        <w:spacing w:before="0" w:after="160" w:line="360" w:lineRule="auto"/>
        <w:ind w:firstLine="567"/>
        <w:rPr>
          <w:rFonts w:ascii="Sylfaen" w:hAnsi="Sylfaen"/>
          <w:b w:val="0"/>
          <w:sz w:val="24"/>
          <w:szCs w:val="24"/>
        </w:rPr>
      </w:pPr>
      <w:r w:rsidRPr="00EF7B76">
        <w:rPr>
          <w:rStyle w:val="Bodytext295pt"/>
          <w:rFonts w:ascii="Sylfaen" w:hAnsi="Sylfaen"/>
          <w:i w:val="0"/>
          <w:spacing w:val="-4"/>
          <w:sz w:val="24"/>
          <w:szCs w:val="24"/>
        </w:rPr>
        <w:t xml:space="preserve">Փորձագետները որակի, անվտանգության </w:t>
      </w:r>
      <w:r w:rsidR="00C54D75">
        <w:rPr>
          <w:rStyle w:val="Bodytext295pt"/>
          <w:rFonts w:ascii="Sylfaen" w:hAnsi="Sylfaen"/>
          <w:i w:val="0"/>
          <w:spacing w:val="-4"/>
          <w:sz w:val="24"/>
          <w:szCs w:val="24"/>
        </w:rPr>
        <w:t>և</w:t>
      </w:r>
      <w:r w:rsidRPr="00EF7B76">
        <w:rPr>
          <w:rStyle w:val="Bodytext295pt"/>
          <w:rFonts w:ascii="Sylfaen" w:hAnsi="Sylfaen"/>
          <w:i w:val="0"/>
          <w:spacing w:val="-4"/>
          <w:sz w:val="24"/>
          <w:szCs w:val="24"/>
        </w:rPr>
        <w:t xml:space="preserve"> արդյունավետության մասով գրանցման դոսյեի մոդուլների տվյալների փորձագիտական ամփոփման հիման վրա կարծում են, որ</w:t>
      </w:r>
      <w:r w:rsidRPr="00EF7B76">
        <w:rPr>
          <w:rStyle w:val="Bodytext295pt"/>
          <w:rFonts w:ascii="Sylfaen" w:hAnsi="Sylfaen"/>
          <w:spacing w:val="-4"/>
          <w:sz w:val="24"/>
          <w:szCs w:val="24"/>
        </w:rPr>
        <w:t xml:space="preserve"> &lt;</w:t>
      </w:r>
      <w:r w:rsidR="001A5F1A">
        <w:rPr>
          <w:rStyle w:val="Bodytext295pt"/>
          <w:rFonts w:ascii="Sylfaen" w:hAnsi="Sylfaen"/>
          <w:spacing w:val="-4"/>
          <w:sz w:val="24"/>
          <w:szCs w:val="24"/>
        </w:rPr>
        <w:t>հայտագրված</w:t>
      </w:r>
      <w:r w:rsidRPr="00EF7B76">
        <w:rPr>
          <w:rStyle w:val="Bodytext295pt"/>
          <w:rFonts w:ascii="Sylfaen" w:hAnsi="Sylfaen"/>
          <w:spacing w:val="-4"/>
          <w:sz w:val="24"/>
          <w:szCs w:val="24"/>
        </w:rPr>
        <w:t xml:space="preserve"> ցուցումները&gt; բուժման ժամանակ &lt;դեղապատրաստուկի անվանումը&gt; գրանցման </w:t>
      </w:r>
      <w:r w:rsidR="0056496B">
        <w:rPr>
          <w:rStyle w:val="Bodytext295pt"/>
          <w:rFonts w:ascii="Sylfaen" w:hAnsi="Sylfaen"/>
          <w:spacing w:val="-4"/>
          <w:sz w:val="24"/>
          <w:szCs w:val="24"/>
        </w:rPr>
        <w:t>դիմում</w:t>
      </w:r>
      <w:r w:rsidRPr="00EF7B76">
        <w:rPr>
          <w:rStyle w:val="Bodytext295pt"/>
          <w:rFonts w:ascii="Sylfaen" w:hAnsi="Sylfaen"/>
          <w:spacing w:val="-4"/>
          <w:sz w:val="24"/>
          <w:szCs w:val="24"/>
        </w:rPr>
        <w:t xml:space="preserve">ը </w:t>
      </w:r>
      <w:r w:rsidRPr="00EF7B76">
        <w:rPr>
          <w:rFonts w:ascii="Sylfaen" w:hAnsi="Sylfaen"/>
          <w:b w:val="0"/>
          <w:spacing w:val="-4"/>
          <w:sz w:val="24"/>
          <w:szCs w:val="24"/>
        </w:rPr>
        <w:t>&lt;կարող է հավանության արժանանալ՝ պայմանով, որ այլ դիտողությունների նախնական ցանկին (Բաժին V) տրվել են բավարարող պատասխաններ&gt;, &lt;արժանի չէ հավանության, քանի որ սահմանվել են կրիտիկական</w:t>
      </w:r>
      <w:r w:rsidRPr="00BD7577">
        <w:rPr>
          <w:rFonts w:ascii="Sylfaen" w:hAnsi="Sylfaen"/>
          <w:b w:val="0"/>
          <w:sz w:val="24"/>
          <w:szCs w:val="24"/>
        </w:rPr>
        <w:t xml:space="preserve"> դիտողություններ, որոնք ներկայումս գրանցման հավաստագիրն առաջարկելու հնարավորություն չեն ընձեռում&gt;։ Այդ հիմնական առարկությունների վերաբերյալ մանրամասն տեղեկատվությունը ներկայացված է հարցերի նախնական ցանկում (Բաժին V)։</w:t>
      </w:r>
    </w:p>
    <w:p w14:paraId="2E1100DB" w14:textId="77777777" w:rsidR="008C76E0" w:rsidRPr="00BD7577" w:rsidRDefault="008C76E0" w:rsidP="004B393A">
      <w:pPr>
        <w:pStyle w:val="Bodytext70"/>
        <w:shd w:val="clear" w:color="auto" w:fill="auto"/>
        <w:spacing w:before="0" w:after="160" w:line="360" w:lineRule="auto"/>
        <w:ind w:firstLine="567"/>
        <w:rPr>
          <w:rFonts w:ascii="Sylfaen" w:hAnsi="Sylfaen"/>
          <w:b w:val="0"/>
          <w:sz w:val="24"/>
          <w:szCs w:val="24"/>
        </w:rPr>
      </w:pPr>
      <w:r w:rsidRPr="00BD7577">
        <w:rPr>
          <w:rFonts w:ascii="Sylfaen" w:hAnsi="Sylfaen"/>
          <w:b w:val="0"/>
          <w:sz w:val="24"/>
          <w:szCs w:val="24"/>
        </w:rPr>
        <w:t>&lt;Քննադատական դիտողությունները, որոնք գրանցման հավաստագրի տրման առաջարկություն անելու հնարավորություններ չեն տալիս, վերաբերում են հետ</w:t>
      </w:r>
      <w:r w:rsidR="00C54D75">
        <w:rPr>
          <w:rFonts w:ascii="Sylfaen" w:hAnsi="Sylfaen"/>
          <w:b w:val="0"/>
          <w:sz w:val="24"/>
          <w:szCs w:val="24"/>
        </w:rPr>
        <w:t>և</w:t>
      </w:r>
      <w:r w:rsidRPr="00BD7577">
        <w:rPr>
          <w:rFonts w:ascii="Sylfaen" w:hAnsi="Sylfaen"/>
          <w:b w:val="0"/>
          <w:sz w:val="24"/>
          <w:szCs w:val="24"/>
        </w:rPr>
        <w:t>յալ հիմնական թերություններին՝ &lt;հակիրճ թվարկել եզրակացության VI բաժնի թերությունները&gt;&gt;:</w:t>
      </w:r>
    </w:p>
    <w:p w14:paraId="5D5AA7CD" w14:textId="77777777" w:rsidR="008C76E0" w:rsidRPr="00BD7577" w:rsidRDefault="008C76E0" w:rsidP="004B393A">
      <w:pPr>
        <w:pStyle w:val="Bodytext70"/>
        <w:shd w:val="clear" w:color="auto" w:fill="auto"/>
        <w:spacing w:before="0" w:after="160" w:line="360" w:lineRule="auto"/>
        <w:ind w:right="-1" w:firstLine="567"/>
        <w:rPr>
          <w:rFonts w:ascii="Sylfaen" w:hAnsi="Sylfaen"/>
          <w:b w:val="0"/>
          <w:sz w:val="24"/>
          <w:szCs w:val="24"/>
        </w:rPr>
      </w:pPr>
    </w:p>
    <w:p w14:paraId="79E43FEE"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 xml:space="preserve">Լրացուցիչ փորձագետների կողմից քննարկման համար </w:t>
      </w:r>
      <w:r w:rsidRPr="00BD7577">
        <w:rPr>
          <w:rFonts w:ascii="Sylfaen" w:hAnsi="Sylfaen"/>
          <w:sz w:val="24"/>
          <w:szCs w:val="24"/>
        </w:rPr>
        <w:br/>
        <w:t>նախատեսված հարցեր</w:t>
      </w:r>
    </w:p>
    <w:tbl>
      <w:tblPr>
        <w:tblOverlap w:val="never"/>
        <w:tblW w:w="9055" w:type="dxa"/>
        <w:jc w:val="center"/>
        <w:tblLayout w:type="fixed"/>
        <w:tblCellMar>
          <w:left w:w="10" w:type="dxa"/>
          <w:right w:w="10" w:type="dxa"/>
        </w:tblCellMar>
        <w:tblLook w:val="04A0" w:firstRow="1" w:lastRow="0" w:firstColumn="1" w:lastColumn="0" w:noHBand="0" w:noVBand="1"/>
      </w:tblPr>
      <w:tblGrid>
        <w:gridCol w:w="9055"/>
      </w:tblGrid>
      <w:tr w:rsidR="008C76E0" w:rsidRPr="00BD7577" w14:paraId="6D9D3AEF" w14:textId="77777777" w:rsidTr="008C76E0">
        <w:trPr>
          <w:jc w:val="center"/>
        </w:trPr>
        <w:tc>
          <w:tcPr>
            <w:tcW w:w="9055" w:type="dxa"/>
            <w:tcBorders>
              <w:top w:val="single" w:sz="4" w:space="0" w:color="auto"/>
              <w:left w:val="single" w:sz="4" w:space="0" w:color="auto"/>
              <w:right w:val="single" w:sz="4" w:space="0" w:color="auto"/>
            </w:tcBorders>
            <w:shd w:val="clear" w:color="auto" w:fill="FFFFFF"/>
            <w:vAlign w:val="bottom"/>
          </w:tcPr>
          <w:p w14:paraId="44759335" w14:textId="77777777" w:rsidR="008C76E0" w:rsidRPr="00BD7577" w:rsidRDefault="008C76E0" w:rsidP="008C76E0">
            <w:pPr>
              <w:pStyle w:val="Bodytext180"/>
              <w:shd w:val="clear" w:color="auto" w:fill="auto"/>
              <w:spacing w:before="0" w:after="160" w:line="360" w:lineRule="auto"/>
              <w:ind w:right="-1" w:firstLine="567"/>
              <w:jc w:val="both"/>
              <w:rPr>
                <w:rFonts w:ascii="Sylfaen" w:hAnsi="Sylfaen"/>
                <w:b w:val="0"/>
                <w:sz w:val="24"/>
                <w:szCs w:val="24"/>
              </w:rPr>
            </w:pPr>
            <w:r w:rsidRPr="00BD7577">
              <w:rPr>
                <w:rStyle w:val="Bodytext295pt"/>
                <w:rFonts w:ascii="Sylfaen" w:hAnsi="Sylfaen"/>
                <w:spacing w:val="0"/>
                <w:sz w:val="24"/>
                <w:szCs w:val="24"/>
              </w:rPr>
              <w:t>Ներկայացնել հարցերի ցանկը</w:t>
            </w:r>
          </w:p>
        </w:tc>
      </w:tr>
      <w:tr w:rsidR="008C76E0" w:rsidRPr="00BD7577" w14:paraId="209968D1" w14:textId="77777777" w:rsidTr="008C76E0">
        <w:trPr>
          <w:jc w:val="center"/>
        </w:trPr>
        <w:tc>
          <w:tcPr>
            <w:tcW w:w="9055" w:type="dxa"/>
            <w:tcBorders>
              <w:top w:val="single" w:sz="4" w:space="0" w:color="auto"/>
              <w:left w:val="single" w:sz="4" w:space="0" w:color="auto"/>
              <w:right w:val="single" w:sz="4" w:space="0" w:color="auto"/>
            </w:tcBorders>
            <w:shd w:val="clear" w:color="auto" w:fill="FFFFFF"/>
          </w:tcPr>
          <w:p w14:paraId="43EAC521" w14:textId="77777777" w:rsidR="008C76E0" w:rsidRPr="00BD7577" w:rsidRDefault="008C76E0" w:rsidP="008C76E0">
            <w:pPr>
              <w:ind w:right="-1" w:firstLine="567"/>
              <w:jc w:val="both"/>
              <w:rPr>
                <w:rFonts w:ascii="Sylfaen" w:hAnsi="Sylfaen"/>
                <w:sz w:val="24"/>
                <w:szCs w:val="24"/>
              </w:rPr>
            </w:pPr>
          </w:p>
        </w:tc>
      </w:tr>
      <w:tr w:rsidR="008C76E0" w:rsidRPr="00BD7577" w14:paraId="79F521D4" w14:textId="77777777" w:rsidTr="008C76E0">
        <w:trPr>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tcPr>
          <w:p w14:paraId="3856EDFF" w14:textId="77777777" w:rsidR="008C76E0" w:rsidRPr="00BD7577" w:rsidRDefault="008C76E0" w:rsidP="008C76E0">
            <w:pPr>
              <w:ind w:right="-1" w:firstLine="567"/>
              <w:jc w:val="both"/>
              <w:rPr>
                <w:rFonts w:ascii="Sylfaen" w:hAnsi="Sylfaen"/>
                <w:sz w:val="24"/>
                <w:szCs w:val="24"/>
              </w:rPr>
            </w:pPr>
          </w:p>
        </w:tc>
      </w:tr>
    </w:tbl>
    <w:p w14:paraId="4C1FCC2F" w14:textId="77777777" w:rsidR="008C76E0" w:rsidRPr="00BD7577" w:rsidRDefault="008C76E0" w:rsidP="00DB2544">
      <w:pPr>
        <w:spacing w:after="160" w:line="336" w:lineRule="auto"/>
        <w:ind w:firstLine="567"/>
        <w:jc w:val="both"/>
        <w:rPr>
          <w:rFonts w:ascii="Sylfaen" w:hAnsi="Sylfaen"/>
          <w:sz w:val="24"/>
          <w:szCs w:val="24"/>
          <w:lang w:val="en-US"/>
        </w:rPr>
      </w:pPr>
    </w:p>
    <w:p w14:paraId="7AE8FED0" w14:textId="77777777" w:rsidR="008C76E0" w:rsidRPr="00BD7577" w:rsidRDefault="008C76E0" w:rsidP="00DB2544">
      <w:pPr>
        <w:spacing w:after="160" w:line="336" w:lineRule="auto"/>
        <w:ind w:firstLine="567"/>
        <w:jc w:val="center"/>
        <w:rPr>
          <w:rFonts w:ascii="Sylfaen" w:hAnsi="Sylfaen"/>
          <w:sz w:val="24"/>
          <w:szCs w:val="24"/>
        </w:rPr>
      </w:pPr>
      <w:r w:rsidRPr="00BD7577">
        <w:rPr>
          <w:rFonts w:ascii="Sylfaen" w:hAnsi="Sylfaen"/>
          <w:sz w:val="24"/>
          <w:szCs w:val="24"/>
        </w:rPr>
        <w:t>Տեսչական ստուգում անցկացնելու հարցումներ</w:t>
      </w:r>
    </w:p>
    <w:p w14:paraId="5784664D" w14:textId="77777777" w:rsidR="008C76E0" w:rsidRPr="00BD7577" w:rsidRDefault="008C76E0" w:rsidP="00DB2544">
      <w:pPr>
        <w:spacing w:after="160" w:line="336" w:lineRule="auto"/>
        <w:ind w:firstLine="567"/>
        <w:jc w:val="both"/>
        <w:rPr>
          <w:rFonts w:ascii="Sylfaen" w:hAnsi="Sylfaen"/>
          <w:sz w:val="24"/>
          <w:szCs w:val="24"/>
        </w:rPr>
      </w:pPr>
      <w:r w:rsidRPr="00BD7577">
        <w:rPr>
          <w:rFonts w:ascii="Sylfaen" w:hAnsi="Sylfaen"/>
          <w:sz w:val="24"/>
          <w:szCs w:val="24"/>
        </w:rPr>
        <w:t xml:space="preserve">Եվրասիական տնտեսական հանձնաժողովի կողմից հաստատվող՝ Եվրասիական տնտեսական միության պատշաճ արտադրական գործունեության կանոնների (GMP) պահանջներին համապատասխանության տեսչական ստուգում (տեսչական ստուգումներ): </w:t>
      </w:r>
    </w:p>
    <w:p w14:paraId="0D5571D1" w14:textId="77777777" w:rsidR="008C76E0" w:rsidRPr="00BD7577" w:rsidRDefault="008C76E0" w:rsidP="004B393A">
      <w:pPr>
        <w:spacing w:after="160" w:line="360" w:lineRule="auto"/>
        <w:ind w:right="-1" w:firstLine="567"/>
        <w:jc w:val="both"/>
        <w:rPr>
          <w:rFonts w:ascii="Sylfaen" w:hAnsi="Sylfaen"/>
          <w:b/>
          <w:i/>
          <w:sz w:val="24"/>
          <w:szCs w:val="24"/>
        </w:rPr>
      </w:pPr>
      <w:r w:rsidRPr="00BD7577">
        <w:rPr>
          <w:rStyle w:val="Bodytext295pt"/>
          <w:rFonts w:ascii="Sylfaen" w:eastAsiaTheme="minorHAnsi" w:hAnsi="Sylfaen"/>
          <w:b w:val="0"/>
          <w:i/>
          <w:spacing w:val="0"/>
          <w:sz w:val="24"/>
          <w:szCs w:val="24"/>
        </w:rPr>
        <w:lastRenderedPageBreak/>
        <w:t>[GMP-ի պլանային տեսչական ստուգումների համար]</w:t>
      </w:r>
    </w:p>
    <w:p w14:paraId="21FC0A3D" w14:textId="51DBAEBB" w:rsidR="008C76E0" w:rsidRPr="008C76E0" w:rsidRDefault="008C76E0" w:rsidP="004B393A">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&lt;GMP-ի տեսչական ստուգման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արտադրական հարթակների համար՝ հաստատելու GMP-ին համապատասխանության դրանց կարգավիճակը՝ կապված հարթակի համապատասխանության հերթական սերտիֆիկատի գործողության ժամկետը լրանալու հետ: Այս տեսչական ստուգումների արդյունքները պահանջվում են </w:t>
      </w:r>
      <w:r w:rsidR="0056496B">
        <w:rPr>
          <w:rFonts w:ascii="Sylfaen" w:hAnsi="Sylfaen"/>
          <w:b w:val="0"/>
          <w:sz w:val="24"/>
          <w:szCs w:val="24"/>
          <w:lang w:val="hy-AM"/>
        </w:rPr>
        <w:t>դիմում</w:t>
      </w:r>
      <w:r w:rsidRPr="008C76E0">
        <w:rPr>
          <w:rFonts w:ascii="Sylfaen" w:hAnsi="Sylfaen"/>
          <w:b w:val="0"/>
          <w:sz w:val="24"/>
          <w:szCs w:val="24"/>
          <w:lang w:val="hy-AM"/>
        </w:rPr>
        <w:t xml:space="preserve">ի քննարկումն ավարտին հասցնելու համար </w:t>
      </w:r>
      <w:r w:rsidR="00C54D75">
        <w:rPr>
          <w:rFonts w:ascii="Sylfaen" w:hAnsi="Sylfaen"/>
          <w:b w:val="0"/>
          <w:sz w:val="24"/>
          <w:szCs w:val="24"/>
          <w:lang w:val="hy-AM"/>
        </w:rPr>
        <w:t>և</w:t>
      </w:r>
      <w:r w:rsidRPr="008C76E0">
        <w:rPr>
          <w:rFonts w:ascii="Sylfaen" w:hAnsi="Sylfaen"/>
          <w:b w:val="0"/>
          <w:sz w:val="24"/>
          <w:szCs w:val="24"/>
          <w:lang w:val="hy-AM"/>
        </w:rPr>
        <w:t xml:space="preserve"> անհրաժեշտ կլինեն 181-րդ օրը&gt;:</w:t>
      </w:r>
    </w:p>
    <w:p w14:paraId="5D21792F"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[GMP-ի նախաձեռնվող տեսչական ստուգումների համար]</w:t>
      </w:r>
    </w:p>
    <w:p w14:paraId="6832F4A9" w14:textId="4F855052"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&lt;GMP-ի տեսչական ստուգման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արտադրական հարթակների համար՝ հաստատելու GMP-ին համապատասխանության դրանց կարգավիճակը՝ համաձայն տեսչական ստուգում նշանակելու չափանիշների, որոնք շարադրված են Եվրասիական տնտեսական միության կողմից հաստատվող՝ Բժշկական կիրառման դեղամիջոցների գրանցման </w:t>
      </w:r>
      <w:r w:rsidR="00C54D75">
        <w:rPr>
          <w:rFonts w:ascii="Sylfaen" w:hAnsi="Sylfaen"/>
          <w:b w:val="0"/>
          <w:sz w:val="24"/>
          <w:szCs w:val="24"/>
          <w:lang w:val="hy-AM"/>
        </w:rPr>
        <w:t>և</w:t>
      </w:r>
      <w:r w:rsidRPr="008C76E0">
        <w:rPr>
          <w:rFonts w:ascii="Sylfaen" w:hAnsi="Sylfaen"/>
          <w:b w:val="0"/>
          <w:sz w:val="24"/>
          <w:szCs w:val="24"/>
          <w:lang w:val="hy-AM"/>
        </w:rPr>
        <w:t xml:space="preserve"> փորձաքննության կանոններում։ Այս տեսչական ստուգումների արդյունքները պահանջվում են </w:t>
      </w:r>
      <w:r w:rsidR="0056496B">
        <w:rPr>
          <w:rFonts w:ascii="Sylfaen" w:hAnsi="Sylfaen"/>
          <w:b w:val="0"/>
          <w:sz w:val="24"/>
          <w:szCs w:val="24"/>
          <w:lang w:val="hy-AM"/>
        </w:rPr>
        <w:t>դիմում</w:t>
      </w:r>
      <w:r w:rsidRPr="008C76E0">
        <w:rPr>
          <w:rFonts w:ascii="Sylfaen" w:hAnsi="Sylfaen"/>
          <w:b w:val="0"/>
          <w:sz w:val="24"/>
          <w:szCs w:val="24"/>
          <w:lang w:val="hy-AM"/>
        </w:rPr>
        <w:t xml:space="preserve">ի քննարկումն ավարտին հասցնելու համար </w:t>
      </w:r>
      <w:r w:rsidR="00C54D75">
        <w:rPr>
          <w:rFonts w:ascii="Sylfaen" w:hAnsi="Sylfaen"/>
          <w:b w:val="0"/>
          <w:sz w:val="24"/>
          <w:szCs w:val="24"/>
          <w:lang w:val="hy-AM"/>
        </w:rPr>
        <w:t>և</w:t>
      </w:r>
      <w:r w:rsidRPr="008C76E0">
        <w:rPr>
          <w:rFonts w:ascii="Sylfaen" w:hAnsi="Sylfaen"/>
          <w:b w:val="0"/>
          <w:sz w:val="24"/>
          <w:szCs w:val="24"/>
          <w:lang w:val="hy-AM"/>
        </w:rPr>
        <w:t xml:space="preserve"> անհրաժեշտ կլինեն 181-րդ օրը&gt;:</w:t>
      </w:r>
    </w:p>
    <w:p w14:paraId="05E0E984"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(GCP) կանոնների պահանջներին համապատասխանության տեսչական ստուգում (տեսչական ստուգումներ):</w:t>
      </w:r>
    </w:p>
    <w:p w14:paraId="206B1292"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&lt;GCP-ի տեսչական ստուգման վերաբերյալ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կլինիկական հետազոտությունների համար՝ &lt;նշել հետազոտությունների համարները&gt;՝ համաձայն տեսչական ստուգում նշանակելու չափանիշների, որոնք շարադրված են Եվրասիական տնտեսական միության կողմից հաստատվող՝ Բժշկական կիրառման դեղամիջոցների գրանցման </w:t>
      </w:r>
      <w:r w:rsidR="00C54D75">
        <w:rPr>
          <w:rFonts w:ascii="Sylfaen" w:hAnsi="Sylfaen"/>
          <w:b w:val="0"/>
          <w:sz w:val="24"/>
          <w:szCs w:val="24"/>
          <w:lang w:val="hy-AM"/>
        </w:rPr>
        <w:t>և</w:t>
      </w:r>
      <w:r w:rsidRPr="008C76E0">
        <w:rPr>
          <w:rFonts w:ascii="Sylfaen" w:hAnsi="Sylfaen"/>
          <w:b w:val="0"/>
          <w:sz w:val="24"/>
          <w:szCs w:val="24"/>
          <w:lang w:val="hy-AM"/>
        </w:rPr>
        <w:t xml:space="preserve"> փորձաքննության կանոններում։ Սույն տեսչական ստուգման արդյունքն ու դրա հիման վրա ստացված տվյալների վերաբերյալ դրական պատասխանները դիտողությունների ցանկի պատասխանների մի մասն են կազմում </w:t>
      </w:r>
      <w:r w:rsidR="00C54D75">
        <w:rPr>
          <w:rFonts w:ascii="Sylfaen" w:hAnsi="Sylfaen"/>
          <w:b w:val="0"/>
          <w:sz w:val="24"/>
          <w:szCs w:val="24"/>
          <w:lang w:val="hy-AM"/>
        </w:rPr>
        <w:t>և</w:t>
      </w:r>
      <w:r w:rsidRPr="008C76E0">
        <w:rPr>
          <w:rFonts w:ascii="Sylfaen" w:hAnsi="Sylfaen"/>
          <w:b w:val="0"/>
          <w:sz w:val="24"/>
          <w:szCs w:val="24"/>
          <w:lang w:val="hy-AM"/>
        </w:rPr>
        <w:t xml:space="preserve"> կներկայացվեն 121-րդ օրը&gt;:</w:t>
      </w:r>
    </w:p>
    <w:p w14:paraId="46B4258F"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lastRenderedPageBreak/>
        <w:t>&lt;Նոր ակտիվ նյութի կարգավիճակը&gt;</w:t>
      </w:r>
    </w:p>
    <w:p w14:paraId="0811B379"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Տվյալների ամփոփման հիման վրա՝ փորձագետները կարծում են, որ </w:t>
      </w:r>
      <w:r w:rsidRPr="007D546A">
        <w:rPr>
          <w:rStyle w:val="Bodytext295pt"/>
          <w:rFonts w:ascii="Sylfaen" w:eastAsiaTheme="minorHAnsi" w:hAnsi="Sylfaen"/>
          <w:b w:val="0"/>
          <w:spacing w:val="0"/>
          <w:sz w:val="24"/>
          <w:szCs w:val="24"/>
        </w:rPr>
        <w:t>&lt;նշել ակտիվ նյութի անվանումը&gt; ակտիվ նյութը,</w:t>
      </w:r>
      <w:r w:rsidRPr="00BD7577">
        <w:rPr>
          <w:rFonts w:ascii="Sylfaen" w:hAnsi="Sylfaen"/>
          <w:sz w:val="24"/>
          <w:szCs w:val="24"/>
        </w:rPr>
        <w:t xml:space="preserve"> որը պարունակվում է &lt;նշել դեղապատրաստուկի անվանումը&gt; դեղապատրաստուկի մեջ՝ </w:t>
      </w:r>
    </w:p>
    <w:p w14:paraId="2A1ED83D" w14:textId="79555FCD" w:rsidR="008C76E0" w:rsidRPr="008C76E0" w:rsidRDefault="008C76E0" w:rsidP="004B393A">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&lt;ենթակա է պահանջներին համապատասխանության ստուգման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քանի որ այն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առումով իր հատկություններով էապես տարբերվում է ավելի վաղ գրանցված նյութից&gt;.</w:t>
      </w:r>
    </w:p>
    <w:p w14:paraId="7C5A673C" w14:textId="23A5AC0B"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&lt;կարող է որակավորվել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պայմանով, որ դիտողությունների Ցանկում բերված դիտողություններին տրվել են բավարարող պատասխաններ&gt;.</w:t>
      </w:r>
    </w:p>
    <w:p w14:paraId="33376926" w14:textId="36ABBA4E"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&lt;չի որակավորվում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քանի որ այն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առումով իր հատկություններով էապես չի տարբերվում ավելի վաղ գրանցված նյութից&gt;:</w:t>
      </w:r>
    </w:p>
    <w:p w14:paraId="6FC9B67C" w14:textId="77777777" w:rsidR="008C76E0" w:rsidRPr="00BD7577" w:rsidRDefault="008C76E0" w:rsidP="004B393A">
      <w:pPr>
        <w:spacing w:after="160" w:line="360" w:lineRule="auto"/>
        <w:ind w:right="-1" w:firstLine="567"/>
        <w:jc w:val="both"/>
        <w:rPr>
          <w:rFonts w:ascii="Sylfaen" w:eastAsia="Times New Roman" w:hAnsi="Sylfaen" w:cs="Times New Roman"/>
          <w:bCs/>
          <w:i/>
          <w:iCs/>
          <w:sz w:val="24"/>
          <w:szCs w:val="24"/>
        </w:rPr>
      </w:pPr>
    </w:p>
    <w:p w14:paraId="286AB187" w14:textId="77777777" w:rsidR="008C76E0" w:rsidRPr="008C76E0" w:rsidRDefault="008C76E0" w:rsidP="004B393A">
      <w:pPr>
        <w:pStyle w:val="Bodytext70"/>
        <w:shd w:val="clear" w:color="auto" w:fill="auto"/>
        <w:spacing w:before="0" w:after="160" w:line="360" w:lineRule="auto"/>
        <w:ind w:right="-1" w:firstLine="567"/>
        <w:jc w:val="center"/>
        <w:rPr>
          <w:rFonts w:ascii="Sylfaen" w:hAnsi="Sylfaen" w:cs="TimesNewRomanPSMT"/>
          <w:b w:val="0"/>
          <w:i w:val="0"/>
          <w:sz w:val="24"/>
          <w:szCs w:val="24"/>
          <w:lang w:val="hy-AM"/>
        </w:rPr>
      </w:pPr>
      <w:r w:rsidRPr="008C76E0">
        <w:rPr>
          <w:rFonts w:ascii="Sylfaen" w:hAnsi="Sylfaen"/>
          <w:b w:val="0"/>
          <w:i w:val="0"/>
          <w:sz w:val="24"/>
          <w:szCs w:val="24"/>
          <w:lang w:val="hy-AM"/>
        </w:rPr>
        <w:t>II. Ամփոփիչ ռեզյումե</w:t>
      </w:r>
    </w:p>
    <w:p w14:paraId="202952E6" w14:textId="77777777" w:rsidR="008C76E0" w:rsidRPr="008C76E0" w:rsidRDefault="008C76E0" w:rsidP="004B393A">
      <w:pPr>
        <w:pStyle w:val="Bodytext70"/>
        <w:shd w:val="clear" w:color="auto" w:fill="auto"/>
        <w:tabs>
          <w:tab w:val="left" w:pos="1134"/>
        </w:tabs>
        <w:spacing w:before="0" w:after="160" w:line="360" w:lineRule="auto"/>
        <w:ind w:right="-1" w:firstLine="567"/>
        <w:rPr>
          <w:rFonts w:ascii="Sylfaen" w:hAnsi="Sylfaen"/>
          <w:b w:val="0"/>
          <w:i w:val="0"/>
          <w:sz w:val="24"/>
          <w:szCs w:val="24"/>
          <w:lang w:val="hy-AM"/>
        </w:rPr>
      </w:pPr>
      <w:r w:rsidRPr="008C76E0">
        <w:rPr>
          <w:rFonts w:ascii="Sylfaen" w:hAnsi="Sylfaen"/>
          <w:b w:val="0"/>
          <w:i w:val="0"/>
          <w:sz w:val="24"/>
          <w:szCs w:val="24"/>
          <w:lang w:val="hy-AM"/>
        </w:rPr>
        <w:t>1.</w:t>
      </w:r>
      <w:r w:rsidRPr="008C76E0">
        <w:rPr>
          <w:rFonts w:ascii="Sylfaen" w:hAnsi="Sylfaen"/>
          <w:b w:val="0"/>
          <w:i w:val="0"/>
          <w:sz w:val="24"/>
          <w:szCs w:val="24"/>
          <w:lang w:val="hy-AM"/>
        </w:rPr>
        <w:tab/>
        <w:t>Ներածություն:</w:t>
      </w:r>
    </w:p>
    <w:p w14:paraId="6C5E06A3"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Դեղապատարստուկի հակիրճ նկարագրությունը:</w:t>
      </w:r>
    </w:p>
    <w:p w14:paraId="6E31872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 xml:space="preserve">Դեղապատրաստուկի մշակման ծրագրի գնահատումը, </w:t>
      </w:r>
      <w:r w:rsidRPr="00BD7577">
        <w:rPr>
          <w:rFonts w:ascii="Sylfaen" w:hAnsi="Sylfaen"/>
          <w:sz w:val="24"/>
          <w:szCs w:val="24"/>
        </w:rPr>
        <w:lastRenderedPageBreak/>
        <w:t>դեղապատրաստուկների մշակման վերաբերյալ ձեռնարկներին համապատասխանությունը, գիտական խորհրդատվության առկայությունը:</w:t>
      </w:r>
    </w:p>
    <w:p w14:paraId="7D1C0C88"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Ընդհանուր մեկնաբանություններ՝ GMP-ի, GLP-ի, GCP-ի սկզբունքերի պահպանման վերաբերյալ:</w:t>
      </w:r>
    </w:p>
    <w:p w14:paraId="3819C45A" w14:textId="483F668D"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տիպը </w:t>
      </w:r>
      <w:r w:rsidR="00C54D75">
        <w:rPr>
          <w:rFonts w:ascii="Sylfaen" w:hAnsi="Sylfaen"/>
          <w:sz w:val="24"/>
          <w:szCs w:val="24"/>
        </w:rPr>
        <w:t>և</w:t>
      </w:r>
      <w:r w:rsidRPr="00BD7577">
        <w:rPr>
          <w:rFonts w:ascii="Sylfaen" w:hAnsi="Sylfaen"/>
          <w:sz w:val="24"/>
          <w:szCs w:val="24"/>
        </w:rPr>
        <w:t xml:space="preserve"> այլ մեկնաբանություններ՝ քննարկման ներկայացված դոսյեի վերաբերյալ՝</w:t>
      </w:r>
    </w:p>
    <w:p w14:paraId="4F8E8FC7"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գրանցման նորմատիվ իրավական ընթացակարգի տեսակը. գրանցման ընթացակարգի համար հատուկ հիմքերի կիրառման հնարավորությունը.</w:t>
      </w:r>
    </w:p>
    <w:p w14:paraId="2B2EB26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կենսանմանակ հասկացության կիրառումը.</w:t>
      </w:r>
    </w:p>
    <w:p w14:paraId="397E6BC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մանկաբուժական հետազոտությունների նշանակությունը:</w:t>
      </w:r>
    </w:p>
    <w:p w14:paraId="41F9E678" w14:textId="77777777" w:rsidR="008C76E0" w:rsidRPr="00BD7577" w:rsidRDefault="008C76E0" w:rsidP="004B393A">
      <w:pPr>
        <w:tabs>
          <w:tab w:val="left" w:pos="1418"/>
        </w:tabs>
        <w:spacing w:after="160" w:line="360" w:lineRule="auto"/>
        <w:ind w:firstLine="567"/>
        <w:jc w:val="both"/>
        <w:rPr>
          <w:rFonts w:ascii="Sylfaen" w:hAnsi="Sylfaen"/>
          <w:sz w:val="24"/>
          <w:szCs w:val="24"/>
        </w:rPr>
      </w:pPr>
    </w:p>
    <w:p w14:paraId="2B0B6B60" w14:textId="77777777" w:rsidR="008C76E0" w:rsidRPr="00DF60A0" w:rsidRDefault="008C76E0" w:rsidP="004B393A">
      <w:pPr>
        <w:tabs>
          <w:tab w:val="left" w:pos="1418"/>
        </w:tabs>
        <w:spacing w:after="160" w:line="360" w:lineRule="auto"/>
        <w:ind w:right="-1" w:firstLine="567"/>
        <w:jc w:val="center"/>
        <w:rPr>
          <w:rFonts w:ascii="Sylfaen" w:hAnsi="Sylfaen"/>
          <w:sz w:val="24"/>
          <w:szCs w:val="24"/>
        </w:rPr>
      </w:pPr>
      <w:r w:rsidRPr="00DF60A0">
        <w:rPr>
          <w:rFonts w:ascii="Sylfaen" w:hAnsi="Sylfaen"/>
          <w:sz w:val="24"/>
          <w:szCs w:val="24"/>
        </w:rPr>
        <w:t xml:space="preserve">III. Գիտական ակնարկ </w:t>
      </w:r>
      <w:r w:rsidR="00C54D75">
        <w:rPr>
          <w:rFonts w:ascii="Sylfaen" w:hAnsi="Sylfaen"/>
          <w:sz w:val="24"/>
          <w:szCs w:val="24"/>
        </w:rPr>
        <w:t>և</w:t>
      </w:r>
      <w:r w:rsidRPr="00DF60A0">
        <w:rPr>
          <w:rFonts w:ascii="Sylfaen" w:hAnsi="Sylfaen"/>
          <w:sz w:val="24"/>
          <w:szCs w:val="24"/>
        </w:rPr>
        <w:t xml:space="preserve"> քննարկում</w:t>
      </w:r>
    </w:p>
    <w:p w14:paraId="70231D49"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1.1.</w:t>
      </w:r>
      <w:r w:rsidRPr="00DF60A0">
        <w:rPr>
          <w:rFonts w:ascii="Sylfaen" w:hAnsi="Sylfaen"/>
          <w:sz w:val="24"/>
          <w:szCs w:val="24"/>
        </w:rPr>
        <w:tab/>
        <w:t>Ներածություն:</w:t>
      </w:r>
    </w:p>
    <w:p w14:paraId="0E276A71"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1.2.</w:t>
      </w:r>
      <w:r w:rsidRPr="00DF60A0">
        <w:rPr>
          <w:rFonts w:ascii="Sylfaen" w:hAnsi="Sylfaen"/>
          <w:sz w:val="24"/>
          <w:szCs w:val="24"/>
        </w:rPr>
        <w:tab/>
        <w:t>Որակի ասպեկտները:</w:t>
      </w:r>
    </w:p>
    <w:p w14:paraId="192B1A57"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1.3.</w:t>
      </w:r>
      <w:r w:rsidRPr="00DF60A0">
        <w:rPr>
          <w:rFonts w:ascii="Sylfaen" w:hAnsi="Sylfaen"/>
          <w:sz w:val="24"/>
          <w:szCs w:val="24"/>
        </w:rPr>
        <w:tab/>
        <w:t>Որակի վերաբերյալ ընդհանուր հարցերը:</w:t>
      </w:r>
    </w:p>
    <w:p w14:paraId="259E324E"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1.4.</w:t>
      </w:r>
      <w:r w:rsidRPr="00DF60A0">
        <w:rPr>
          <w:rFonts w:ascii="Sylfaen" w:hAnsi="Sylfaen"/>
          <w:sz w:val="24"/>
          <w:szCs w:val="24"/>
        </w:rPr>
        <w:tab/>
        <w:t>Ակտիվ դեղագործական բաղադրամասը (ԱԴԲ-ն):</w:t>
      </w:r>
    </w:p>
    <w:p w14:paraId="40FCA4BD" w14:textId="77777777" w:rsidR="008C76E0" w:rsidRPr="00DF60A0" w:rsidRDefault="008C76E0" w:rsidP="004B393A">
      <w:pPr>
        <w:tabs>
          <w:tab w:val="left" w:pos="1418"/>
          <w:tab w:val="left" w:pos="1701"/>
        </w:tabs>
        <w:spacing w:after="160" w:line="360" w:lineRule="auto"/>
        <w:ind w:right="-1" w:firstLine="567"/>
        <w:jc w:val="both"/>
        <w:rPr>
          <w:rFonts w:ascii="Sylfaen" w:hAnsi="Sylfaen"/>
          <w:sz w:val="24"/>
          <w:szCs w:val="24"/>
        </w:rPr>
      </w:pPr>
      <w:r w:rsidRPr="00DF60A0">
        <w:rPr>
          <w:rFonts w:ascii="Sylfaen" w:hAnsi="Sylfaen"/>
          <w:sz w:val="24"/>
          <w:szCs w:val="24"/>
        </w:rPr>
        <w:t>1.4.1.</w:t>
      </w:r>
      <w:r w:rsidRPr="00DF60A0">
        <w:rPr>
          <w:rFonts w:ascii="Sylfaen" w:hAnsi="Sylfaen"/>
          <w:sz w:val="24"/>
          <w:szCs w:val="24"/>
        </w:rPr>
        <w:tab/>
        <w:t>Ընդհանուր տեղեկատվություն:</w:t>
      </w:r>
    </w:p>
    <w:p w14:paraId="3748CEA9"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DF60A0">
        <w:rPr>
          <w:rFonts w:ascii="Sylfaen" w:hAnsi="Sylfaen"/>
          <w:sz w:val="24"/>
          <w:szCs w:val="24"/>
        </w:rPr>
        <w:t>1.4.2.</w:t>
      </w:r>
      <w:r w:rsidRPr="00DF60A0">
        <w:rPr>
          <w:rFonts w:ascii="Sylfaen" w:hAnsi="Sylfaen"/>
          <w:sz w:val="24"/>
          <w:szCs w:val="24"/>
        </w:rPr>
        <w:tab/>
        <w:t>Արտադրությունը, հատկությունների</w:t>
      </w:r>
      <w:r w:rsidRPr="00BD7577">
        <w:rPr>
          <w:rFonts w:ascii="Sylfaen" w:hAnsi="Sylfaen"/>
          <w:sz w:val="24"/>
          <w:szCs w:val="24"/>
        </w:rPr>
        <w:t xml:space="preserve"> նկարագրությունն ու հսկողության գործընթացը:</w:t>
      </w:r>
    </w:p>
    <w:p w14:paraId="7F2D07BA"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1.4.3.</w:t>
      </w:r>
      <w:r w:rsidRPr="00BD7577">
        <w:rPr>
          <w:rFonts w:ascii="Sylfaen" w:hAnsi="Sylfaen"/>
          <w:sz w:val="24"/>
          <w:szCs w:val="24"/>
        </w:rPr>
        <w:tab/>
        <w:t>Մասնագիրը։</w:t>
      </w:r>
    </w:p>
    <w:p w14:paraId="7D8E5EB5"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 xml:space="preserve">1.4.4. </w:t>
      </w:r>
      <w:r w:rsidRPr="00BD7577">
        <w:rPr>
          <w:rFonts w:ascii="Sylfaen" w:hAnsi="Sylfaen"/>
          <w:sz w:val="24"/>
          <w:szCs w:val="24"/>
        </w:rPr>
        <w:tab/>
        <w:t>Կայունությունը։</w:t>
      </w:r>
    </w:p>
    <w:p w14:paraId="59D43492"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1.4.5.</w:t>
      </w:r>
      <w:r w:rsidRPr="00BD7577">
        <w:rPr>
          <w:rFonts w:ascii="Sylfaen" w:hAnsi="Sylfaen"/>
          <w:sz w:val="24"/>
          <w:szCs w:val="24"/>
        </w:rPr>
        <w:tab/>
        <w:t xml:space="preserve">Համադրելիության հետազոտությունները՝ ԱԴԲ-ի համար: </w:t>
      </w:r>
    </w:p>
    <w:p w14:paraId="3CF1B7C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w:t>
      </w:r>
      <w:r w:rsidRPr="00BD7577">
        <w:rPr>
          <w:rFonts w:ascii="Sylfaen" w:hAnsi="Sylfaen"/>
          <w:sz w:val="24"/>
          <w:szCs w:val="24"/>
        </w:rPr>
        <w:tab/>
        <w:t>Դեղապատրաստուկը:</w:t>
      </w:r>
    </w:p>
    <w:p w14:paraId="2023447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1.5.1.</w:t>
      </w:r>
      <w:r w:rsidRPr="00BD7577">
        <w:rPr>
          <w:rFonts w:ascii="Sylfaen" w:hAnsi="Sylfaen"/>
          <w:sz w:val="24"/>
          <w:szCs w:val="24"/>
        </w:rPr>
        <w:tab/>
        <w:t xml:space="preserve">Դեղապատրաստուկի նկարագրությունը </w:t>
      </w:r>
      <w:r w:rsidR="00C54D75">
        <w:rPr>
          <w:rFonts w:ascii="Sylfaen" w:hAnsi="Sylfaen"/>
          <w:sz w:val="24"/>
          <w:szCs w:val="24"/>
        </w:rPr>
        <w:t>և</w:t>
      </w:r>
      <w:r w:rsidRPr="00BD7577">
        <w:rPr>
          <w:rFonts w:ascii="Sylfaen" w:hAnsi="Sylfaen"/>
          <w:sz w:val="24"/>
          <w:szCs w:val="24"/>
        </w:rPr>
        <w:t xml:space="preserve"> դեղագործական մշակումը:</w:t>
      </w:r>
    </w:p>
    <w:p w14:paraId="0406BC3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1.5.2.</w:t>
      </w:r>
      <w:r w:rsidRPr="00BD7577">
        <w:rPr>
          <w:rFonts w:ascii="Sylfaen" w:hAnsi="Sylfaen"/>
          <w:sz w:val="24"/>
          <w:szCs w:val="24"/>
        </w:rPr>
        <w:tab/>
        <w:t>Դեղապատրաստուկի արտադրությունն ու հսկողության գործընթացը:</w:t>
      </w:r>
    </w:p>
    <w:p w14:paraId="1170215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1.5.3.</w:t>
      </w:r>
      <w:r w:rsidRPr="00BD7577">
        <w:rPr>
          <w:rFonts w:ascii="Sylfaen" w:hAnsi="Sylfaen"/>
          <w:sz w:val="24"/>
          <w:szCs w:val="24"/>
        </w:rPr>
        <w:tab/>
        <w:t>Դեղապատրաստուկի մասնագիրը:</w:t>
      </w:r>
    </w:p>
    <w:p w14:paraId="15BAD9E6"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1.5.4.</w:t>
      </w:r>
      <w:r w:rsidRPr="00BD7577">
        <w:rPr>
          <w:rFonts w:ascii="Sylfaen" w:hAnsi="Sylfaen"/>
          <w:sz w:val="24"/>
          <w:szCs w:val="24"/>
        </w:rPr>
        <w:tab/>
        <w:t xml:space="preserve">Դեղապատրաստուկի պիտանիության ժամկետի </w:t>
      </w:r>
      <w:r w:rsidR="00C54D75">
        <w:rPr>
          <w:rFonts w:ascii="Sylfaen" w:hAnsi="Sylfaen"/>
          <w:sz w:val="24"/>
          <w:szCs w:val="24"/>
        </w:rPr>
        <w:t>և</w:t>
      </w:r>
      <w:r w:rsidRPr="00BD7577">
        <w:rPr>
          <w:rFonts w:ascii="Sylfaen" w:hAnsi="Sylfaen"/>
          <w:sz w:val="24"/>
          <w:szCs w:val="24"/>
        </w:rPr>
        <w:t xml:space="preserve"> պահպանման պայմանների հաստատումը՝ կայունության վերաբերյալ հետազոտությունների տվյալներով:</w:t>
      </w:r>
    </w:p>
    <w:p w14:paraId="3C460C3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1.5.5.</w:t>
      </w:r>
      <w:r w:rsidRPr="00BD7577">
        <w:rPr>
          <w:rFonts w:ascii="Sylfaen" w:hAnsi="Sylfaen"/>
          <w:sz w:val="24"/>
          <w:szCs w:val="24"/>
        </w:rPr>
        <w:tab/>
        <w:t xml:space="preserve">Համադրելիության հետազոտությունները՝ դեղապատրաստուկի համար: </w:t>
      </w:r>
    </w:p>
    <w:p w14:paraId="66508F7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1.5.6.</w:t>
      </w:r>
      <w:r w:rsidRPr="00BD7577">
        <w:rPr>
          <w:rFonts w:ascii="Sylfaen" w:hAnsi="Sylfaen"/>
          <w:sz w:val="24"/>
          <w:szCs w:val="24"/>
        </w:rPr>
        <w:tab/>
        <w:t>Ներմուծված վարակիչ ագենտները:</w:t>
      </w:r>
    </w:p>
    <w:p w14:paraId="3B9DE755"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1.5.7.</w:t>
      </w:r>
      <w:r w:rsidRPr="00BD7577">
        <w:rPr>
          <w:rFonts w:ascii="Sylfaen" w:hAnsi="Sylfaen"/>
          <w:sz w:val="24"/>
          <w:szCs w:val="24"/>
        </w:rPr>
        <w:tab/>
        <w:t>ԳՄՕ:</w:t>
      </w:r>
    </w:p>
    <w:p w14:paraId="33C08CC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1.6.</w:t>
      </w:r>
      <w:r w:rsidRPr="00BD7577">
        <w:rPr>
          <w:rFonts w:ascii="Sylfaen" w:hAnsi="Sylfaen"/>
          <w:sz w:val="24"/>
          <w:szCs w:val="24"/>
        </w:rPr>
        <w:tab/>
        <w:t xml:space="preserve">Քիմիական, դեղագործական </w:t>
      </w:r>
      <w:r w:rsidR="00C54D75">
        <w:rPr>
          <w:rFonts w:ascii="Sylfaen" w:hAnsi="Sylfaen"/>
          <w:sz w:val="24"/>
          <w:szCs w:val="24"/>
        </w:rPr>
        <w:t>և</w:t>
      </w:r>
      <w:r w:rsidRPr="00BD7577">
        <w:rPr>
          <w:rFonts w:ascii="Sylfaen" w:hAnsi="Sylfaen"/>
          <w:sz w:val="24"/>
          <w:szCs w:val="24"/>
        </w:rPr>
        <w:t xml:space="preserve"> կենսաբանական ասպեկտների քննարկումը:</w:t>
      </w:r>
    </w:p>
    <w:p w14:paraId="7CE6AE5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1.7.</w:t>
      </w:r>
      <w:r w:rsidRPr="00BD7577">
        <w:rPr>
          <w:rFonts w:ascii="Sylfaen" w:hAnsi="Sylfaen"/>
          <w:sz w:val="24"/>
          <w:szCs w:val="24"/>
        </w:rPr>
        <w:tab/>
        <w:t xml:space="preserve">Քիմիական, դեղագործական </w:t>
      </w:r>
      <w:r w:rsidR="00C54D75">
        <w:rPr>
          <w:rFonts w:ascii="Sylfaen" w:hAnsi="Sylfaen"/>
          <w:sz w:val="24"/>
          <w:szCs w:val="24"/>
        </w:rPr>
        <w:t>և</w:t>
      </w:r>
      <w:r w:rsidRPr="00BD7577">
        <w:rPr>
          <w:rFonts w:ascii="Sylfaen" w:hAnsi="Sylfaen"/>
          <w:sz w:val="24"/>
          <w:szCs w:val="24"/>
        </w:rPr>
        <w:t xml:space="preserve"> կենսաբանական ասպեկտների վերաբերյալ եզրակացությունը:</w:t>
      </w:r>
    </w:p>
    <w:p w14:paraId="38BC762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1.8.</w:t>
      </w:r>
      <w:r w:rsidRPr="00BD7577">
        <w:rPr>
          <w:rFonts w:ascii="Sylfaen" w:hAnsi="Sylfaen"/>
          <w:sz w:val="24"/>
          <w:szCs w:val="24"/>
        </w:rPr>
        <w:tab/>
        <w:t>Նախակլինիկական ասպեկտները:</w:t>
      </w:r>
    </w:p>
    <w:p w14:paraId="310DE248"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1.9.</w:t>
      </w:r>
      <w:r w:rsidRPr="00BD7577">
        <w:rPr>
          <w:rFonts w:ascii="Sylfaen" w:hAnsi="Sylfaen"/>
          <w:sz w:val="24"/>
          <w:szCs w:val="24"/>
        </w:rPr>
        <w:tab/>
        <w:t>Դեղաբանություն:</w:t>
      </w:r>
    </w:p>
    <w:p w14:paraId="7CAEA065"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1.10.</w:t>
      </w:r>
      <w:r w:rsidRPr="00BD7577">
        <w:rPr>
          <w:rFonts w:ascii="Sylfaen" w:hAnsi="Sylfaen"/>
          <w:sz w:val="24"/>
          <w:szCs w:val="24"/>
        </w:rPr>
        <w:tab/>
        <w:t>Դեղակինետիկա:</w:t>
      </w:r>
    </w:p>
    <w:p w14:paraId="524C446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1.11.</w:t>
      </w:r>
      <w:r w:rsidRPr="00BD7577">
        <w:rPr>
          <w:rFonts w:ascii="Sylfaen" w:hAnsi="Sylfaen"/>
          <w:sz w:val="24"/>
          <w:szCs w:val="24"/>
        </w:rPr>
        <w:tab/>
        <w:t>Թունաբանություն:</w:t>
      </w:r>
    </w:p>
    <w:p w14:paraId="52E89A5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1.12.</w:t>
      </w:r>
      <w:r w:rsidRPr="00BD7577">
        <w:rPr>
          <w:rFonts w:ascii="Sylfaen" w:hAnsi="Sylfaen"/>
          <w:sz w:val="24"/>
          <w:szCs w:val="24"/>
        </w:rPr>
        <w:tab/>
        <w:t>Նախակլինիկական ասպեկտների շուրջ քննարկումը:</w:t>
      </w:r>
    </w:p>
    <w:p w14:paraId="4076495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1.13.</w:t>
      </w:r>
      <w:r w:rsidRPr="00BD7577">
        <w:rPr>
          <w:rFonts w:ascii="Sylfaen" w:hAnsi="Sylfaen"/>
          <w:sz w:val="24"/>
          <w:szCs w:val="24"/>
        </w:rPr>
        <w:tab/>
        <w:t>Նախակլինիկական ասպեկտների մասով եզրակացությունը:</w:t>
      </w:r>
    </w:p>
    <w:p w14:paraId="14E92006"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1.14.</w:t>
      </w:r>
      <w:r w:rsidRPr="00BD7577">
        <w:rPr>
          <w:rFonts w:ascii="Sylfaen" w:hAnsi="Sylfaen"/>
          <w:sz w:val="24"/>
          <w:szCs w:val="24"/>
        </w:rPr>
        <w:tab/>
        <w:t>Կլինիկական ասպեկտները:</w:t>
      </w:r>
    </w:p>
    <w:p w14:paraId="4E7E323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Կլինիկական հետազոտությունների ամփոփումը՝ աղյուսակի տեսքով:</w:t>
      </w:r>
    </w:p>
    <w:p w14:paraId="5A5A208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1.15.</w:t>
      </w:r>
      <w:r w:rsidRPr="00BD7577">
        <w:rPr>
          <w:rFonts w:ascii="Sylfaen" w:hAnsi="Sylfaen"/>
          <w:sz w:val="24"/>
          <w:szCs w:val="24"/>
        </w:rPr>
        <w:tab/>
        <w:t>Դեղակինետիկա:</w:t>
      </w:r>
    </w:p>
    <w:p w14:paraId="4E9DE69B"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1.16.</w:t>
      </w:r>
      <w:r w:rsidRPr="00BD7577">
        <w:rPr>
          <w:rFonts w:ascii="Sylfaen" w:hAnsi="Sylfaen"/>
          <w:sz w:val="24"/>
          <w:szCs w:val="24"/>
        </w:rPr>
        <w:tab/>
        <w:t>Դեղադինամիկա:</w:t>
      </w:r>
    </w:p>
    <w:p w14:paraId="1AA497C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1.17.</w:t>
      </w:r>
      <w:r w:rsidRPr="00BD7577">
        <w:rPr>
          <w:rFonts w:ascii="Sylfaen" w:hAnsi="Sylfaen"/>
          <w:sz w:val="24"/>
          <w:szCs w:val="24"/>
        </w:rPr>
        <w:tab/>
        <w:t>Կլինիկական դեղաբանության շուրջ քննարկումը:</w:t>
      </w:r>
    </w:p>
    <w:p w14:paraId="3760AF5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1.18.</w:t>
      </w:r>
      <w:r w:rsidRPr="00BD7577">
        <w:rPr>
          <w:rFonts w:ascii="Sylfaen" w:hAnsi="Sylfaen"/>
          <w:sz w:val="24"/>
          <w:szCs w:val="24"/>
        </w:rPr>
        <w:tab/>
        <w:t>Կլինիկական դեղաբանության մասով եզրակացությունը:</w:t>
      </w:r>
    </w:p>
    <w:p w14:paraId="1332D5C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1.19.</w:t>
      </w:r>
      <w:r w:rsidRPr="00BD7577">
        <w:rPr>
          <w:rFonts w:ascii="Sylfaen" w:hAnsi="Sylfaen"/>
          <w:sz w:val="24"/>
          <w:szCs w:val="24"/>
        </w:rPr>
        <w:tab/>
        <w:t>Կլինիկական արդյունավետությունը՝</w:t>
      </w:r>
    </w:p>
    <w:p w14:paraId="2040DA5D"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Դեղաչափ-էֆեկտ կախվածության հետազոտություններն ու հիմնական կլինիկական հետազոտությունները:</w:t>
      </w:r>
    </w:p>
    <w:p w14:paraId="7305E0CC"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Արդյունավետության հիմնական արդյունքների համառոտ տեսությունը:</w:t>
      </w:r>
    </w:p>
    <w:p w14:paraId="438DE918" w14:textId="26D7D8CB"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Հաջորդ աղյուսակներում հակիրճ շարադրվում են հիմնական հետազոտությունների արդյունավետության արդյունքները, որոնք հիմք են հանդիսանում ներկայացված </w:t>
      </w:r>
      <w:r w:rsidR="0056496B">
        <w:rPr>
          <w:rFonts w:ascii="Sylfaen" w:hAnsi="Sylfaen"/>
          <w:sz w:val="24"/>
          <w:szCs w:val="24"/>
        </w:rPr>
        <w:t>դիմում</w:t>
      </w:r>
      <w:r w:rsidRPr="00BD7577">
        <w:rPr>
          <w:rFonts w:ascii="Sylfaen" w:hAnsi="Sylfaen"/>
          <w:sz w:val="24"/>
          <w:szCs w:val="24"/>
        </w:rPr>
        <w:t>ի համար: Այս ընդհանրացված արդյունքներն անհրաժեշտ է վերլուծել կլինիկական արդյունավետության քննարկման, ինչպես նա</w:t>
      </w:r>
      <w:r w:rsidR="00C54D75">
        <w:rPr>
          <w:rFonts w:ascii="Sylfaen" w:hAnsi="Sylfaen"/>
          <w:sz w:val="24"/>
          <w:szCs w:val="24"/>
        </w:rPr>
        <w:t>և</w:t>
      </w:r>
      <w:r w:rsidRPr="00BD7577">
        <w:rPr>
          <w:rFonts w:ascii="Sylfaen" w:hAnsi="Sylfaen"/>
          <w:sz w:val="24"/>
          <w:szCs w:val="24"/>
        </w:rPr>
        <w:t xml:space="preserve"> օգուտ-ռիսկ գնահատման հետ մեկտեղ (տե՛ս վերջին բաժինները):</w:t>
      </w:r>
    </w:p>
    <w:p w14:paraId="363428A4" w14:textId="77777777" w:rsidR="008C76E0" w:rsidRPr="00BD7577" w:rsidRDefault="008C76E0" w:rsidP="004B393A">
      <w:pPr>
        <w:spacing w:after="160" w:line="360" w:lineRule="auto"/>
        <w:ind w:firstLine="567"/>
        <w:jc w:val="both"/>
        <w:rPr>
          <w:rFonts w:ascii="Sylfaen" w:hAnsi="Sylfaen"/>
          <w:sz w:val="24"/>
          <w:szCs w:val="24"/>
        </w:rPr>
      </w:pPr>
    </w:p>
    <w:p w14:paraId="0A07FD23" w14:textId="77777777" w:rsidR="008C76E0" w:rsidRPr="00BD7577" w:rsidRDefault="008C76E0" w:rsidP="004B393A">
      <w:pPr>
        <w:spacing w:after="160" w:line="360" w:lineRule="auto"/>
        <w:ind w:right="-1" w:firstLine="567"/>
        <w:jc w:val="right"/>
        <w:rPr>
          <w:rFonts w:ascii="Sylfaen" w:hAnsi="Sylfaen"/>
          <w:sz w:val="24"/>
          <w:szCs w:val="24"/>
        </w:rPr>
      </w:pPr>
      <w:r w:rsidRPr="00BD7577">
        <w:rPr>
          <w:rFonts w:ascii="Sylfaen" w:hAnsi="Sylfaen"/>
          <w:sz w:val="24"/>
          <w:szCs w:val="24"/>
        </w:rPr>
        <w:t>Աղյուսակ {համար}:</w:t>
      </w:r>
    </w:p>
    <w:p w14:paraId="6F86EE38" w14:textId="77777777" w:rsidR="008C76E0" w:rsidRPr="00BD7577" w:rsidRDefault="008C76E0" w:rsidP="004B393A">
      <w:pPr>
        <w:spacing w:after="160" w:line="360" w:lineRule="auto"/>
        <w:ind w:left="567" w:right="567"/>
        <w:jc w:val="center"/>
        <w:rPr>
          <w:rFonts w:ascii="Sylfaen" w:hAnsi="Sylfaen"/>
          <w:sz w:val="24"/>
          <w:szCs w:val="24"/>
        </w:rPr>
      </w:pPr>
      <w:r w:rsidRPr="00BD7577">
        <w:rPr>
          <w:rFonts w:ascii="Sylfaen" w:hAnsi="Sylfaen"/>
          <w:sz w:val="24"/>
          <w:szCs w:val="24"/>
        </w:rPr>
        <w:t xml:space="preserve">Դեղապատրաստուկի արդյունավետության &lt;հետազոտություն&gt; հետազոտության հիմնական արդյունքների մասին </w:t>
      </w:r>
      <w:r w:rsidRPr="00BD7577">
        <w:rPr>
          <w:rFonts w:ascii="Sylfaen" w:hAnsi="Sylfaen"/>
          <w:sz w:val="24"/>
          <w:szCs w:val="24"/>
        </w:rPr>
        <w:br/>
        <w:t>համառոտ տեղեկատվություն</w:t>
      </w:r>
    </w:p>
    <w:tbl>
      <w:tblPr>
        <w:tblOverlap w:val="never"/>
        <w:tblW w:w="11163" w:type="dxa"/>
        <w:jc w:val="center"/>
        <w:tblLayout w:type="fixed"/>
        <w:tblCellMar>
          <w:left w:w="10" w:type="dxa"/>
          <w:right w:w="10" w:type="dxa"/>
        </w:tblCellMar>
        <w:tblLook w:val="04A0" w:firstRow="1" w:lastRow="0" w:firstColumn="1" w:lastColumn="0" w:noHBand="0" w:noVBand="1"/>
      </w:tblPr>
      <w:tblGrid>
        <w:gridCol w:w="2128"/>
        <w:gridCol w:w="87"/>
        <w:gridCol w:w="2330"/>
        <w:gridCol w:w="2247"/>
        <w:gridCol w:w="647"/>
        <w:gridCol w:w="1548"/>
        <w:gridCol w:w="2176"/>
      </w:tblGrid>
      <w:tr w:rsidR="008C76E0" w:rsidRPr="00DF2860" w14:paraId="5EF5E393" w14:textId="77777777" w:rsidTr="008C76E0">
        <w:trPr>
          <w:jc w:val="center"/>
        </w:trPr>
        <w:tc>
          <w:tcPr>
            <w:tcW w:w="11163" w:type="dxa"/>
            <w:gridSpan w:val="7"/>
            <w:tcBorders>
              <w:top w:val="single" w:sz="4" w:space="0" w:color="auto"/>
              <w:left w:val="single" w:sz="4" w:space="0" w:color="auto"/>
              <w:right w:val="single" w:sz="4" w:space="0" w:color="auto"/>
            </w:tcBorders>
            <w:shd w:val="clear" w:color="auto" w:fill="FFFFFF"/>
            <w:vAlign w:val="bottom"/>
          </w:tcPr>
          <w:p w14:paraId="266DD7A0" w14:textId="77777777" w:rsidR="008C76E0" w:rsidRPr="008C76E0" w:rsidRDefault="008C76E0" w:rsidP="008C76E0">
            <w:pPr>
              <w:pStyle w:val="Bodytext180"/>
              <w:shd w:val="clear" w:color="auto" w:fill="auto"/>
              <w:spacing w:before="0" w:after="120" w:line="240" w:lineRule="auto"/>
              <w:ind w:left="129" w:right="-1" w:firstLine="0"/>
              <w:jc w:val="center"/>
              <w:rPr>
                <w:rFonts w:ascii="Sylfaen" w:hAnsi="Sylfaen"/>
                <w:b w:val="0"/>
                <w:sz w:val="20"/>
                <w:szCs w:val="20"/>
                <w:lang w:val="hy-AM"/>
              </w:rPr>
            </w:pPr>
            <w:r w:rsidRPr="00DF2860">
              <w:rPr>
                <w:rStyle w:val="Bodytext1811pt"/>
                <w:rFonts w:ascii="Sylfaen" w:hAnsi="Sylfaen"/>
                <w:sz w:val="20"/>
                <w:szCs w:val="20"/>
              </w:rPr>
              <w:t>Անունը {ինչպես նշված է հետազոտություն անցկացնելու մասին հաշվետվության մեջ}</w:t>
            </w:r>
          </w:p>
        </w:tc>
      </w:tr>
      <w:tr w:rsidR="008C76E0" w:rsidRPr="00DF2860" w14:paraId="2D21E744" w14:textId="77777777" w:rsidTr="008C76E0">
        <w:trPr>
          <w:jc w:val="center"/>
        </w:trPr>
        <w:tc>
          <w:tcPr>
            <w:tcW w:w="2128" w:type="dxa"/>
            <w:tcBorders>
              <w:top w:val="single" w:sz="4" w:space="0" w:color="auto"/>
              <w:left w:val="single" w:sz="4" w:space="0" w:color="auto"/>
            </w:tcBorders>
            <w:shd w:val="clear" w:color="auto" w:fill="FFFFFF"/>
          </w:tcPr>
          <w:p w14:paraId="1A285F10"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Հետազոտության նույնականացման համարը</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19D3A86E" w14:textId="77777777" w:rsidR="008C76E0" w:rsidRPr="00DF2860" w:rsidRDefault="008C76E0" w:rsidP="008C76E0">
            <w:pPr>
              <w:pStyle w:val="Bodytext180"/>
              <w:shd w:val="clear" w:color="auto" w:fill="auto"/>
              <w:spacing w:before="0" w:after="120" w:line="240" w:lineRule="auto"/>
              <w:ind w:left="88" w:right="35" w:firstLine="0"/>
              <w:jc w:val="center"/>
              <w:rPr>
                <w:rFonts w:ascii="Sylfaen" w:hAnsi="Sylfaen"/>
                <w:b w:val="0"/>
                <w:i/>
                <w:sz w:val="20"/>
                <w:szCs w:val="20"/>
              </w:rPr>
            </w:pPr>
            <w:r w:rsidRPr="00DF2860">
              <w:rPr>
                <w:rStyle w:val="Bodytext295pt"/>
                <w:rFonts w:ascii="Sylfaen" w:hAnsi="Sylfaen"/>
                <w:i/>
                <w:spacing w:val="0"/>
                <w:sz w:val="20"/>
                <w:szCs w:val="20"/>
              </w:rPr>
              <w:t>&lt;ծածկագիր&gt;</w:t>
            </w:r>
          </w:p>
          <w:p w14:paraId="67F13F9A" w14:textId="77777777" w:rsidR="008C76E0" w:rsidRPr="00905F38" w:rsidRDefault="008C76E0" w:rsidP="008C76E0">
            <w:pPr>
              <w:pStyle w:val="Bodytext180"/>
              <w:shd w:val="clear" w:color="auto" w:fill="auto"/>
              <w:spacing w:before="0" w:after="120" w:line="240" w:lineRule="auto"/>
              <w:ind w:left="88" w:right="35" w:firstLine="0"/>
              <w:jc w:val="center"/>
              <w:rPr>
                <w:rFonts w:ascii="Sylfaen" w:hAnsi="Sylfaen"/>
                <w:b w:val="0"/>
                <w:i/>
                <w:sz w:val="20"/>
                <w:szCs w:val="20"/>
              </w:rPr>
            </w:pPr>
            <w:r w:rsidRPr="00DF2860">
              <w:rPr>
                <w:rStyle w:val="Bodytext295pt"/>
                <w:rFonts w:ascii="Sylfaen" w:hAnsi="Sylfaen"/>
                <w:i/>
                <w:spacing w:val="0"/>
                <w:sz w:val="20"/>
                <w:szCs w:val="20"/>
              </w:rPr>
              <w:t>{բոլոր այն ծածկագրերի ցանկը, որոնք սկսվում են արձանագրության համարից, որոնց հետ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ում են (առկայության դեպքում) կլինիկական հետազոտությունների Եվրոպական տվյալների բազայի համարը, պատահականորեն բաշխված կլինիկական հետազոտության միջազգային ստանդարտ համարը, </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այլ ծածկագրեր՝ հրատարակությանը խաչաձ</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հղում կատարելու համար}</w:t>
            </w:r>
          </w:p>
        </w:tc>
      </w:tr>
      <w:tr w:rsidR="008C76E0" w:rsidRPr="00DF2860" w14:paraId="2E0D047F" w14:textId="77777777" w:rsidTr="008C76E0">
        <w:trPr>
          <w:jc w:val="center"/>
        </w:trPr>
        <w:tc>
          <w:tcPr>
            <w:tcW w:w="2128" w:type="dxa"/>
            <w:vMerge w:val="restart"/>
            <w:tcBorders>
              <w:top w:val="single" w:sz="4" w:space="0" w:color="auto"/>
              <w:left w:val="single" w:sz="4" w:space="0" w:color="auto"/>
            </w:tcBorders>
            <w:shd w:val="clear" w:color="auto" w:fill="FFFFFF"/>
          </w:tcPr>
          <w:p w14:paraId="08B1D9E6"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Հետազոտության դիզայնը</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2A00F6E4" w14:textId="77777777" w:rsidR="008C76E0" w:rsidRPr="00DF2860" w:rsidRDefault="008C76E0" w:rsidP="008C76E0">
            <w:pPr>
              <w:pStyle w:val="Bodytext180"/>
              <w:shd w:val="clear" w:color="auto" w:fill="auto"/>
              <w:spacing w:before="0" w:after="120" w:line="240" w:lineRule="auto"/>
              <w:ind w:left="114" w:right="35"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w:t>
            </w:r>
          </w:p>
          <w:p w14:paraId="020C545C" w14:textId="77777777" w:rsidR="008C76E0" w:rsidRPr="00DF2860" w:rsidRDefault="008C76E0" w:rsidP="008C76E0">
            <w:pPr>
              <w:pStyle w:val="Bodytext180"/>
              <w:shd w:val="clear" w:color="auto" w:fill="auto"/>
              <w:spacing w:before="0" w:after="120" w:line="240" w:lineRule="auto"/>
              <w:ind w:left="114" w:right="35" w:firstLine="0"/>
              <w:jc w:val="center"/>
              <w:rPr>
                <w:rFonts w:ascii="Sylfaen" w:hAnsi="Sylfaen"/>
                <w:b w:val="0"/>
                <w:i/>
                <w:sz w:val="20"/>
                <w:szCs w:val="20"/>
              </w:rPr>
            </w:pPr>
            <w:r w:rsidRPr="00DF2860">
              <w:rPr>
                <w:rStyle w:val="Bodytext295pt"/>
                <w:rFonts w:ascii="Sylfaen" w:hAnsi="Sylfaen"/>
                <w:i/>
                <w:spacing w:val="0"/>
                <w:sz w:val="20"/>
                <w:szCs w:val="20"/>
              </w:rPr>
              <w:t>{նկարագրեք հետազոտության բովանդակային պլանի առանցքային տարրերը (խաչաձ</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զուգահեռ, գործոնային, դեղաչափի ավելացում նախատեսող, ֆիքսված դեղաչափի էֆեկտի վերլուծությամբ), այդ թվում՝ պատահական բաշխմամբ, «կույր», բաշխման քողարկմամբ հետազոտությունները, միա- (բազմա-) կենտրոն հետազոտություններ </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այլն}</w:t>
            </w:r>
          </w:p>
        </w:tc>
      </w:tr>
      <w:tr w:rsidR="008C76E0" w:rsidRPr="00DF2860" w14:paraId="56273310" w14:textId="77777777" w:rsidTr="008C76E0">
        <w:trPr>
          <w:jc w:val="center"/>
        </w:trPr>
        <w:tc>
          <w:tcPr>
            <w:tcW w:w="2128" w:type="dxa"/>
            <w:vMerge/>
            <w:tcBorders>
              <w:left w:val="single" w:sz="4" w:space="0" w:color="auto"/>
            </w:tcBorders>
            <w:shd w:val="clear" w:color="auto" w:fill="FFFFFF"/>
          </w:tcPr>
          <w:p w14:paraId="44724305"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vAlign w:val="bottom"/>
          </w:tcPr>
          <w:p w14:paraId="6E820136" w14:textId="77777777" w:rsidR="008C76E0" w:rsidRPr="00DF2860" w:rsidRDefault="008C76E0" w:rsidP="008C76E0">
            <w:pPr>
              <w:pStyle w:val="Bodytext180"/>
              <w:shd w:val="clear" w:color="auto" w:fill="auto"/>
              <w:spacing w:before="0" w:after="120" w:line="240" w:lineRule="auto"/>
              <w:ind w:left="130" w:right="28" w:firstLine="0"/>
              <w:jc w:val="center"/>
              <w:rPr>
                <w:rStyle w:val="Bodytext1811pt"/>
                <w:rFonts w:ascii="Sylfaen" w:hAnsi="Sylfaen"/>
                <w:sz w:val="20"/>
                <w:szCs w:val="20"/>
              </w:rPr>
            </w:pPr>
            <w:r w:rsidRPr="00DF2860">
              <w:rPr>
                <w:rStyle w:val="Bodytext1811pt"/>
                <w:rFonts w:ascii="Sylfaen" w:hAnsi="Sylfaen"/>
                <w:sz w:val="20"/>
                <w:szCs w:val="20"/>
              </w:rPr>
              <w:t>Հիմնական էտապի տ</w:t>
            </w:r>
            <w:r w:rsidR="00C54D75">
              <w:rPr>
                <w:rStyle w:val="Bodytext1811pt"/>
                <w:rFonts w:ascii="Sylfaen" w:hAnsi="Sylfaen"/>
                <w:sz w:val="20"/>
                <w:szCs w:val="20"/>
              </w:rPr>
              <w:t>և</w:t>
            </w:r>
            <w:r w:rsidRPr="00DF2860">
              <w:rPr>
                <w:rStyle w:val="Bodytext1811pt"/>
                <w:rFonts w:ascii="Sylfaen" w:hAnsi="Sylfaen"/>
                <w:sz w:val="20"/>
                <w:szCs w:val="20"/>
              </w:rPr>
              <w:t>ողությունը՝ Նախապատրաստական փուլի տ</w:t>
            </w:r>
            <w:r w:rsidR="00C54D75">
              <w:rPr>
                <w:rStyle w:val="Bodytext1811pt"/>
                <w:rFonts w:ascii="Sylfaen" w:hAnsi="Sylfaen"/>
                <w:sz w:val="20"/>
                <w:szCs w:val="20"/>
              </w:rPr>
              <w:t>և</w:t>
            </w:r>
            <w:r w:rsidRPr="00DF2860">
              <w:rPr>
                <w:rStyle w:val="Bodytext1811pt"/>
                <w:rFonts w:ascii="Sylfaen" w:hAnsi="Sylfaen"/>
                <w:sz w:val="20"/>
                <w:szCs w:val="20"/>
              </w:rPr>
              <w:t>ողությունը՝</w:t>
            </w:r>
          </w:p>
          <w:p w14:paraId="0C757220" w14:textId="77777777" w:rsidR="008C76E0" w:rsidRPr="00DF2860" w:rsidRDefault="008C76E0" w:rsidP="008C76E0">
            <w:pPr>
              <w:pStyle w:val="Bodytext180"/>
              <w:shd w:val="clear" w:color="auto" w:fill="auto"/>
              <w:spacing w:before="0" w:after="120" w:line="240" w:lineRule="auto"/>
              <w:ind w:left="130" w:right="28" w:firstLine="0"/>
              <w:jc w:val="center"/>
              <w:rPr>
                <w:rFonts w:ascii="Sylfaen" w:hAnsi="Sylfaen"/>
                <w:b w:val="0"/>
                <w:sz w:val="20"/>
                <w:szCs w:val="20"/>
              </w:rPr>
            </w:pPr>
            <w:r w:rsidRPr="00DF2860">
              <w:rPr>
                <w:rStyle w:val="Bodytext1811pt"/>
                <w:rFonts w:ascii="Sylfaen" w:hAnsi="Sylfaen"/>
                <w:sz w:val="20"/>
                <w:szCs w:val="20"/>
              </w:rPr>
              <w:lastRenderedPageBreak/>
              <w:t>Լրացուցիչ բուժման փուլի տ</w:t>
            </w:r>
            <w:r w:rsidR="00C54D75">
              <w:rPr>
                <w:rStyle w:val="Bodytext1811pt"/>
                <w:rFonts w:ascii="Sylfaen" w:hAnsi="Sylfaen"/>
                <w:sz w:val="20"/>
                <w:szCs w:val="20"/>
              </w:rPr>
              <w:t>և</w:t>
            </w:r>
            <w:r w:rsidRPr="00DF2860">
              <w:rPr>
                <w:rStyle w:val="Bodytext1811pt"/>
                <w:rFonts w:ascii="Sylfaen" w:hAnsi="Sylfaen"/>
                <w:sz w:val="20"/>
                <w:szCs w:val="20"/>
              </w:rPr>
              <w:t>ողությունը՝</w:t>
            </w:r>
          </w:p>
        </w:tc>
        <w:tc>
          <w:tcPr>
            <w:tcW w:w="4371" w:type="dxa"/>
            <w:gridSpan w:val="3"/>
            <w:tcBorders>
              <w:top w:val="single" w:sz="4" w:space="0" w:color="auto"/>
              <w:left w:val="single" w:sz="4" w:space="0" w:color="auto"/>
              <w:right w:val="single" w:sz="4" w:space="0" w:color="auto"/>
            </w:tcBorders>
            <w:shd w:val="clear" w:color="auto" w:fill="FFFFFF"/>
          </w:tcPr>
          <w:p w14:paraId="10A7F2B2"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lastRenderedPageBreak/>
              <w:t>&lt;ժամը&gt;</w:t>
            </w:r>
          </w:p>
          <w:p w14:paraId="16164B91" w14:textId="77777777" w:rsidR="008C76E0" w:rsidRPr="00DF2860" w:rsidRDefault="008C76E0" w:rsidP="008C76E0">
            <w:pPr>
              <w:pStyle w:val="Bodytext180"/>
              <w:shd w:val="clear" w:color="auto" w:fill="auto"/>
              <w:spacing w:before="0" w:after="120" w:line="240" w:lineRule="auto"/>
              <w:ind w:right="-1" w:firstLine="0"/>
              <w:jc w:val="center"/>
              <w:rPr>
                <w:rStyle w:val="Bodytext295pt"/>
                <w:rFonts w:ascii="Sylfaen" w:hAnsi="Sylfaen"/>
                <w:i/>
                <w:spacing w:val="0"/>
                <w:sz w:val="20"/>
                <w:szCs w:val="20"/>
              </w:rPr>
            </w:pPr>
            <w:r w:rsidRPr="00DF2860">
              <w:rPr>
                <w:rStyle w:val="Bodytext295pt"/>
                <w:rFonts w:ascii="Sylfaen" w:hAnsi="Sylfaen"/>
                <w:i/>
                <w:spacing w:val="0"/>
                <w:sz w:val="20"/>
                <w:szCs w:val="20"/>
              </w:rPr>
              <w:t>&lt;ժամանակը&gt; կիրառելի չէ&gt;</w:t>
            </w:r>
          </w:p>
          <w:p w14:paraId="705DB64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i/>
                <w:spacing w:val="0"/>
                <w:sz w:val="20"/>
                <w:szCs w:val="20"/>
              </w:rPr>
              <w:lastRenderedPageBreak/>
              <w:t>&lt;ժամանակը&gt; կիրառելի չէ&gt;</w:t>
            </w:r>
          </w:p>
        </w:tc>
      </w:tr>
      <w:tr w:rsidR="008C76E0" w:rsidRPr="00DF2860" w14:paraId="167FFF8F" w14:textId="77777777" w:rsidTr="008C76E0">
        <w:trPr>
          <w:jc w:val="center"/>
        </w:trPr>
        <w:tc>
          <w:tcPr>
            <w:tcW w:w="2128" w:type="dxa"/>
            <w:tcBorders>
              <w:top w:val="single" w:sz="4" w:space="0" w:color="auto"/>
              <w:left w:val="single" w:sz="4" w:space="0" w:color="auto"/>
            </w:tcBorders>
            <w:shd w:val="clear" w:color="auto" w:fill="FFFFFF"/>
          </w:tcPr>
          <w:p w14:paraId="38DEC228"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lastRenderedPageBreak/>
              <w:t>Վարկած</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54CB4E19" w14:textId="77777777" w:rsidR="008C76E0" w:rsidRPr="00DF2860" w:rsidRDefault="008C76E0" w:rsidP="008C76E0">
            <w:pPr>
              <w:pStyle w:val="Bodytext180"/>
              <w:shd w:val="clear" w:color="auto" w:fill="auto"/>
              <w:spacing w:before="0" w:after="120" w:line="240" w:lineRule="auto"/>
              <w:ind w:left="46" w:right="35" w:firstLine="18"/>
              <w:jc w:val="center"/>
              <w:rPr>
                <w:rFonts w:ascii="Sylfaen" w:hAnsi="Sylfaen"/>
                <w:b w:val="0"/>
                <w:i/>
                <w:sz w:val="20"/>
                <w:szCs w:val="20"/>
              </w:rPr>
            </w:pPr>
            <w:r w:rsidRPr="00DF2860">
              <w:rPr>
                <w:rStyle w:val="Bodytext295pt"/>
                <w:rFonts w:ascii="Sylfaen" w:hAnsi="Sylfaen"/>
                <w:i/>
                <w:spacing w:val="0"/>
                <w:sz w:val="20"/>
                <w:szCs w:val="20"/>
              </w:rPr>
              <w:t>&lt;Առավելությունների առկայությունը&gt; &lt;Համանմանությունը&gt; &lt;Ոչ պակաս արդյունավետությունը&gt; &lt;Ամփոփիչը՝ նշել&gt;</w:t>
            </w:r>
          </w:p>
        </w:tc>
      </w:tr>
      <w:tr w:rsidR="008C76E0" w:rsidRPr="00DF2860" w14:paraId="3E5D3A76" w14:textId="77777777" w:rsidTr="008C76E0">
        <w:trPr>
          <w:jc w:val="center"/>
        </w:trPr>
        <w:tc>
          <w:tcPr>
            <w:tcW w:w="2128" w:type="dxa"/>
            <w:vMerge w:val="restart"/>
            <w:tcBorders>
              <w:top w:val="single" w:sz="4" w:space="0" w:color="auto"/>
              <w:left w:val="single" w:sz="4" w:space="0" w:color="auto"/>
            </w:tcBorders>
            <w:shd w:val="clear" w:color="auto" w:fill="FFFFFF"/>
          </w:tcPr>
          <w:p w14:paraId="477BC8B2"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Բուժման խմբերը </w:t>
            </w:r>
            <w:r w:rsidRPr="00DF2860">
              <w:rPr>
                <w:rStyle w:val="Bodytext295pt"/>
                <w:rFonts w:ascii="Sylfaen" w:hAnsi="Sylfaen"/>
                <w:spacing w:val="0"/>
                <w:sz w:val="20"/>
                <w:szCs w:val="20"/>
              </w:rPr>
              <w:t>{ավելացրեք բուժման խմբերի նկարագրության համար անհրաժեշտ քանակությամբ տողեր}</w:t>
            </w:r>
          </w:p>
        </w:tc>
        <w:tc>
          <w:tcPr>
            <w:tcW w:w="4664" w:type="dxa"/>
            <w:gridSpan w:val="3"/>
            <w:tcBorders>
              <w:top w:val="single" w:sz="4" w:space="0" w:color="auto"/>
              <w:left w:val="single" w:sz="4" w:space="0" w:color="auto"/>
            </w:tcBorders>
            <w:shd w:val="clear" w:color="auto" w:fill="FFFFFF"/>
            <w:vAlign w:val="bottom"/>
          </w:tcPr>
          <w:p w14:paraId="72CF33E5" w14:textId="77777777" w:rsidR="008C76E0" w:rsidRPr="008C76E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lang w:val="hy-AM"/>
              </w:rPr>
            </w:pPr>
            <w:r w:rsidRPr="00DF2860">
              <w:rPr>
                <w:rStyle w:val="Bodytext295pt"/>
                <w:rFonts w:ascii="Sylfaen" w:hAnsi="Sylfaen"/>
                <w:i/>
                <w:spacing w:val="0"/>
                <w:sz w:val="20"/>
                <w:szCs w:val="20"/>
              </w:rPr>
              <w:t>&lt;խմբի ծածկագրված նշագիրը&gt;</w:t>
            </w:r>
          </w:p>
          <w:p w14:paraId="1206D33A" w14:textId="77777777" w:rsidR="008C76E0" w:rsidRPr="008C76E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lang w:val="hy-AM"/>
              </w:rPr>
            </w:pPr>
            <w:r w:rsidRPr="00DF2860">
              <w:rPr>
                <w:rStyle w:val="Bodytext295pt"/>
                <w:rFonts w:ascii="Sylfaen" w:hAnsi="Sylfaen"/>
                <w:i/>
                <w:spacing w:val="0"/>
                <w:sz w:val="20"/>
                <w:szCs w:val="20"/>
              </w:rPr>
              <w:t>{նշեք հապավումը՝արդյունքների նկարագրությամբ բաժնի աղյուսակում հետագա օգտագործման համար}</w:t>
            </w:r>
          </w:p>
        </w:tc>
        <w:tc>
          <w:tcPr>
            <w:tcW w:w="4371" w:type="dxa"/>
            <w:gridSpan w:val="3"/>
            <w:tcBorders>
              <w:top w:val="single" w:sz="4" w:space="0" w:color="auto"/>
              <w:left w:val="single" w:sz="4" w:space="0" w:color="auto"/>
              <w:right w:val="single" w:sz="4" w:space="0" w:color="auto"/>
            </w:tcBorders>
            <w:shd w:val="clear" w:color="auto" w:fill="FFFFFF"/>
          </w:tcPr>
          <w:p w14:paraId="2AE21570"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4AFDF544" w14:textId="77777777" w:rsidTr="008C76E0">
        <w:trPr>
          <w:jc w:val="center"/>
        </w:trPr>
        <w:tc>
          <w:tcPr>
            <w:tcW w:w="2128" w:type="dxa"/>
            <w:vMerge/>
            <w:tcBorders>
              <w:left w:val="single" w:sz="4" w:space="0" w:color="auto"/>
            </w:tcBorders>
            <w:shd w:val="clear" w:color="auto" w:fill="FFFFFF"/>
          </w:tcPr>
          <w:p w14:paraId="1998935E"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D5A301A" w14:textId="77777777" w:rsidR="008C76E0" w:rsidRPr="00DF286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w:t>
            </w:r>
          </w:p>
        </w:tc>
        <w:tc>
          <w:tcPr>
            <w:tcW w:w="4371" w:type="dxa"/>
            <w:gridSpan w:val="3"/>
            <w:tcBorders>
              <w:top w:val="single" w:sz="4" w:space="0" w:color="auto"/>
              <w:left w:val="single" w:sz="4" w:space="0" w:color="auto"/>
              <w:right w:val="single" w:sz="4" w:space="0" w:color="auto"/>
            </w:tcBorders>
            <w:shd w:val="clear" w:color="auto" w:fill="FFFFFF"/>
          </w:tcPr>
          <w:p w14:paraId="57F41CB3"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26B286CB" w14:textId="77777777" w:rsidTr="008C76E0">
        <w:trPr>
          <w:jc w:val="center"/>
        </w:trPr>
        <w:tc>
          <w:tcPr>
            <w:tcW w:w="2128" w:type="dxa"/>
            <w:vMerge w:val="restart"/>
            <w:tcBorders>
              <w:top w:val="single" w:sz="4" w:space="0" w:color="auto"/>
              <w:left w:val="single" w:sz="4" w:space="0" w:color="auto"/>
            </w:tcBorders>
            <w:shd w:val="clear" w:color="auto" w:fill="FFFFFF"/>
          </w:tcPr>
          <w:p w14:paraId="0BB6FD4F"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6207DBE" w14:textId="77777777" w:rsidR="008C76E0" w:rsidRPr="00DF2860" w:rsidRDefault="008C76E0" w:rsidP="008C76E0">
            <w:pPr>
              <w:pStyle w:val="Bodytext180"/>
              <w:shd w:val="clear" w:color="auto" w:fill="auto"/>
              <w:spacing w:before="0" w:after="120" w:line="240" w:lineRule="auto"/>
              <w:ind w:right="-1" w:firstLine="567"/>
              <w:jc w:val="center"/>
              <w:rPr>
                <w:rFonts w:ascii="Sylfaen" w:hAnsi="Sylfaen"/>
                <w:b w:val="0"/>
                <w:sz w:val="20"/>
                <w:szCs w:val="20"/>
              </w:rPr>
            </w:pPr>
          </w:p>
        </w:tc>
        <w:tc>
          <w:tcPr>
            <w:tcW w:w="4371" w:type="dxa"/>
            <w:gridSpan w:val="3"/>
            <w:tcBorders>
              <w:top w:val="single" w:sz="4" w:space="0" w:color="auto"/>
              <w:left w:val="single" w:sz="4" w:space="0" w:color="auto"/>
              <w:right w:val="single" w:sz="4" w:space="0" w:color="auto"/>
            </w:tcBorders>
            <w:shd w:val="clear" w:color="auto" w:fill="FFFFFF"/>
            <w:vAlign w:val="bottom"/>
          </w:tcPr>
          <w:p w14:paraId="2784A4C9"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sz w:val="20"/>
                <w:szCs w:val="20"/>
              </w:rPr>
            </w:pPr>
          </w:p>
        </w:tc>
      </w:tr>
      <w:tr w:rsidR="008C76E0" w:rsidRPr="00DF2860" w14:paraId="1F61AD6C" w14:textId="77777777" w:rsidTr="008C76E0">
        <w:trPr>
          <w:jc w:val="center"/>
        </w:trPr>
        <w:tc>
          <w:tcPr>
            <w:tcW w:w="2128" w:type="dxa"/>
            <w:vMerge/>
            <w:tcBorders>
              <w:left w:val="single" w:sz="4" w:space="0" w:color="auto"/>
            </w:tcBorders>
            <w:shd w:val="clear" w:color="auto" w:fill="FFFFFF"/>
          </w:tcPr>
          <w:p w14:paraId="29E9D012"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9E01078"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w:t>
            </w:r>
          </w:p>
        </w:tc>
        <w:tc>
          <w:tcPr>
            <w:tcW w:w="4371" w:type="dxa"/>
            <w:gridSpan w:val="3"/>
            <w:tcBorders>
              <w:top w:val="single" w:sz="4" w:space="0" w:color="auto"/>
              <w:left w:val="single" w:sz="4" w:space="0" w:color="auto"/>
              <w:right w:val="single" w:sz="4" w:space="0" w:color="auto"/>
            </w:tcBorders>
            <w:shd w:val="clear" w:color="auto" w:fill="FFFFFF"/>
            <w:vAlign w:val="bottom"/>
          </w:tcPr>
          <w:p w14:paraId="73E47B78"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7BD2F46F" w14:textId="77777777" w:rsidTr="008C76E0">
        <w:trPr>
          <w:jc w:val="center"/>
        </w:trPr>
        <w:tc>
          <w:tcPr>
            <w:tcW w:w="2128" w:type="dxa"/>
            <w:vMerge w:val="restart"/>
            <w:tcBorders>
              <w:top w:val="single" w:sz="4" w:space="0" w:color="auto"/>
              <w:left w:val="single" w:sz="4" w:space="0" w:color="auto"/>
            </w:tcBorders>
            <w:shd w:val="clear" w:color="auto" w:fill="FFFFFF"/>
          </w:tcPr>
          <w:p w14:paraId="0146C169"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Կլինիկական հետազոտության կետերը </w:t>
            </w:r>
            <w:r w:rsidRPr="00DF2860">
              <w:rPr>
                <w:rStyle w:val="Bodytext295pt"/>
                <w:rFonts w:ascii="Sylfaen" w:hAnsi="Sylfaen"/>
                <w:i/>
                <w:spacing w:val="0"/>
                <w:sz w:val="20"/>
                <w:szCs w:val="20"/>
              </w:rPr>
              <w:t>{ավելացրեք կլինիկական հետազոտության կետերի նկարագրության համար անհրաժեշտ քանակությամբ տողեր. որպես երկրորդային կլինիկական կետեր նշեք արդյունքների նկարագրությամբ բաժնում նշված առավել ակտուալ կետերը}</w:t>
            </w:r>
          </w:p>
        </w:tc>
        <w:tc>
          <w:tcPr>
            <w:tcW w:w="2417" w:type="dxa"/>
            <w:gridSpan w:val="2"/>
            <w:tcBorders>
              <w:top w:val="single" w:sz="4" w:space="0" w:color="auto"/>
              <w:left w:val="single" w:sz="4" w:space="0" w:color="auto"/>
            </w:tcBorders>
            <w:shd w:val="clear" w:color="auto" w:fill="FFFFFF"/>
          </w:tcPr>
          <w:p w14:paraId="12767CF7"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&lt;Համակցված&gt;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առաջնային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vAlign w:val="bottom"/>
          </w:tcPr>
          <w:p w14:paraId="66A4BC7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&lt;պայմանական</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նշագիրը&gt;</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{նշեք</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հապավումը՝</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արդյունքների</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նկարագրությամբ բաժնի աղյուսակում հետագա օգտագործման համար}</w:t>
            </w:r>
          </w:p>
        </w:tc>
        <w:tc>
          <w:tcPr>
            <w:tcW w:w="4371" w:type="dxa"/>
            <w:gridSpan w:val="3"/>
            <w:tcBorders>
              <w:top w:val="single" w:sz="4" w:space="0" w:color="auto"/>
              <w:left w:val="single" w:sz="4" w:space="0" w:color="auto"/>
              <w:right w:val="single" w:sz="4" w:space="0" w:color="auto"/>
            </w:tcBorders>
            <w:shd w:val="clear" w:color="auto" w:fill="FFFFFF"/>
          </w:tcPr>
          <w:p w14:paraId="58DEF111" w14:textId="77777777" w:rsidR="008C76E0" w:rsidRPr="008C76E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lang w:val="hy-AM"/>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7DB92721" w14:textId="77777777" w:rsidTr="008C76E0">
        <w:trPr>
          <w:jc w:val="center"/>
        </w:trPr>
        <w:tc>
          <w:tcPr>
            <w:tcW w:w="2128" w:type="dxa"/>
            <w:vMerge/>
            <w:tcBorders>
              <w:left w:val="single" w:sz="4" w:space="0" w:color="auto"/>
            </w:tcBorders>
            <w:shd w:val="clear" w:color="auto" w:fill="FFFFFF"/>
          </w:tcPr>
          <w:p w14:paraId="66F84FAA" w14:textId="77777777" w:rsidR="008C76E0" w:rsidRPr="00DF2860" w:rsidRDefault="008C76E0" w:rsidP="008C76E0">
            <w:pPr>
              <w:spacing w:after="120" w:line="240" w:lineRule="auto"/>
              <w:ind w:left="10" w:right="-1"/>
              <w:jc w:val="center"/>
              <w:rPr>
                <w:rFonts w:ascii="Sylfaen" w:hAnsi="Sylfaen"/>
                <w:sz w:val="20"/>
                <w:szCs w:val="20"/>
              </w:rPr>
            </w:pPr>
          </w:p>
        </w:tc>
        <w:tc>
          <w:tcPr>
            <w:tcW w:w="2417" w:type="dxa"/>
            <w:gridSpan w:val="2"/>
            <w:tcBorders>
              <w:top w:val="single" w:sz="4" w:space="0" w:color="auto"/>
              <w:left w:val="single" w:sz="4" w:space="0" w:color="auto"/>
            </w:tcBorders>
            <w:shd w:val="clear" w:color="auto" w:fill="FFFFFF"/>
          </w:tcPr>
          <w:p w14:paraId="5F152B03"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&lt;Երկրորդային&gt;</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&lt;այլ՝</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նշեք&gt;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tcPr>
          <w:p w14:paraId="4A1FEE67"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&lt;պայմանական</w:t>
            </w:r>
            <w:r w:rsidRPr="00DF2860">
              <w:rPr>
                <w:rFonts w:ascii="Sylfaen" w:hAnsi="Sylfaen"/>
                <w:b w:val="0"/>
                <w:i/>
                <w:sz w:val="20"/>
                <w:szCs w:val="20"/>
              </w:rPr>
              <w:t xml:space="preserve"> </w:t>
            </w:r>
            <w:r w:rsidRPr="00DF2860">
              <w:rPr>
                <w:rStyle w:val="Bodytext295pt"/>
                <w:rFonts w:ascii="Sylfaen" w:hAnsi="Sylfaen"/>
                <w:i/>
                <w:spacing w:val="0"/>
                <w:sz w:val="20"/>
                <w:szCs w:val="20"/>
              </w:rPr>
              <w:t>նշագիրը&gt;</w:t>
            </w:r>
          </w:p>
        </w:tc>
        <w:tc>
          <w:tcPr>
            <w:tcW w:w="4371" w:type="dxa"/>
            <w:gridSpan w:val="3"/>
            <w:tcBorders>
              <w:top w:val="single" w:sz="4" w:space="0" w:color="auto"/>
              <w:left w:val="single" w:sz="4" w:space="0" w:color="auto"/>
              <w:right w:val="single" w:sz="4" w:space="0" w:color="auto"/>
            </w:tcBorders>
            <w:shd w:val="clear" w:color="auto" w:fill="FFFFFF"/>
          </w:tcPr>
          <w:p w14:paraId="4609B6DD"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0DAE9499" w14:textId="77777777" w:rsidTr="008C76E0">
        <w:trPr>
          <w:jc w:val="center"/>
        </w:trPr>
        <w:tc>
          <w:tcPr>
            <w:tcW w:w="2128" w:type="dxa"/>
            <w:tcBorders>
              <w:top w:val="single" w:sz="4" w:space="0" w:color="auto"/>
              <w:left w:val="single" w:sz="4" w:space="0" w:color="auto"/>
            </w:tcBorders>
            <w:shd w:val="clear" w:color="auto" w:fill="FFFFFF"/>
          </w:tcPr>
          <w:p w14:paraId="431F1DF1" w14:textId="77777777" w:rsidR="008C76E0" w:rsidRPr="00DF2860" w:rsidRDefault="008C76E0" w:rsidP="008C76E0">
            <w:pPr>
              <w:spacing w:after="120" w:line="240" w:lineRule="auto"/>
              <w:ind w:left="10" w:right="-1"/>
              <w:jc w:val="center"/>
              <w:rPr>
                <w:rFonts w:ascii="Sylfaen" w:hAnsi="Sylfaen"/>
                <w:sz w:val="20"/>
                <w:szCs w:val="20"/>
              </w:rPr>
            </w:pPr>
          </w:p>
        </w:tc>
        <w:tc>
          <w:tcPr>
            <w:tcW w:w="2417" w:type="dxa"/>
            <w:gridSpan w:val="2"/>
            <w:tcBorders>
              <w:top w:val="single" w:sz="4" w:space="0" w:color="auto"/>
              <w:left w:val="single" w:sz="4" w:space="0" w:color="auto"/>
            </w:tcBorders>
            <w:shd w:val="clear" w:color="auto" w:fill="FFFFFF"/>
            <w:vAlign w:val="bottom"/>
          </w:tcPr>
          <w:p w14:paraId="1BCC714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&lt;Երկրորդային&gt;</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&lt;այլ՝</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նշեք&gt;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tcPr>
          <w:p w14:paraId="0D21A821"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&lt;պայմանական</w:t>
            </w:r>
            <w:r w:rsidRPr="00DF2860">
              <w:rPr>
                <w:rFonts w:ascii="Sylfaen" w:hAnsi="Sylfaen"/>
                <w:b w:val="0"/>
                <w:i/>
                <w:sz w:val="20"/>
                <w:szCs w:val="20"/>
              </w:rPr>
              <w:t xml:space="preserve"> </w:t>
            </w:r>
            <w:r w:rsidRPr="00DF2860">
              <w:rPr>
                <w:rStyle w:val="Bodytext295pt"/>
                <w:rFonts w:ascii="Sylfaen" w:hAnsi="Sylfaen"/>
                <w:i/>
                <w:spacing w:val="0"/>
                <w:sz w:val="20"/>
                <w:szCs w:val="20"/>
              </w:rPr>
              <w:t>նշագիրը&gt;</w:t>
            </w:r>
          </w:p>
        </w:tc>
        <w:tc>
          <w:tcPr>
            <w:tcW w:w="4371" w:type="dxa"/>
            <w:gridSpan w:val="3"/>
            <w:tcBorders>
              <w:top w:val="single" w:sz="4" w:space="0" w:color="auto"/>
              <w:left w:val="single" w:sz="4" w:space="0" w:color="auto"/>
              <w:right w:val="single" w:sz="4" w:space="0" w:color="auto"/>
            </w:tcBorders>
            <w:shd w:val="clear" w:color="auto" w:fill="FFFFFF"/>
          </w:tcPr>
          <w:p w14:paraId="5F3BA17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50B132CF" w14:textId="77777777" w:rsidTr="008C76E0">
        <w:trPr>
          <w:jc w:val="center"/>
        </w:trPr>
        <w:tc>
          <w:tcPr>
            <w:tcW w:w="2128" w:type="dxa"/>
            <w:tcBorders>
              <w:top w:val="single" w:sz="4" w:space="0" w:color="auto"/>
              <w:left w:val="single" w:sz="4" w:space="0" w:color="auto"/>
            </w:tcBorders>
            <w:shd w:val="clear" w:color="auto" w:fill="FFFFFF"/>
            <w:vAlign w:val="bottom"/>
          </w:tcPr>
          <w:p w14:paraId="7D876BCC"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Տվյալների բազայի փակումը</w:t>
            </w:r>
          </w:p>
        </w:tc>
        <w:tc>
          <w:tcPr>
            <w:tcW w:w="9035" w:type="dxa"/>
            <w:gridSpan w:val="6"/>
            <w:tcBorders>
              <w:top w:val="single" w:sz="4" w:space="0" w:color="auto"/>
              <w:left w:val="single" w:sz="4" w:space="0" w:color="auto"/>
              <w:right w:val="single" w:sz="4" w:space="0" w:color="auto"/>
            </w:tcBorders>
            <w:shd w:val="clear" w:color="auto" w:fill="FFFFFF"/>
          </w:tcPr>
          <w:p w14:paraId="4F3F767B"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1811pt"/>
                <w:rFonts w:ascii="Sylfaen" w:hAnsi="Sylfaen"/>
                <w:i/>
                <w:sz w:val="20"/>
                <w:szCs w:val="20"/>
              </w:rPr>
              <w:t>&lt;ամսաթիվը&gt;</w:t>
            </w:r>
          </w:p>
        </w:tc>
      </w:tr>
      <w:tr w:rsidR="008C76E0" w:rsidRPr="00DF2860" w14:paraId="2A3EA49D" w14:textId="77777777" w:rsidTr="008C76E0">
        <w:trPr>
          <w:jc w:val="center"/>
        </w:trPr>
        <w:tc>
          <w:tcPr>
            <w:tcW w:w="11163" w:type="dxa"/>
            <w:gridSpan w:val="7"/>
            <w:tcBorders>
              <w:top w:val="single" w:sz="4" w:space="0" w:color="auto"/>
              <w:left w:val="single" w:sz="4" w:space="0" w:color="auto"/>
              <w:right w:val="single" w:sz="4" w:space="0" w:color="auto"/>
            </w:tcBorders>
            <w:shd w:val="clear" w:color="auto" w:fill="FFFFFF"/>
            <w:vAlign w:val="bottom"/>
          </w:tcPr>
          <w:p w14:paraId="38F71F25"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Վերլուծություններ </w:t>
            </w:r>
            <w:r w:rsidR="00C54D75">
              <w:rPr>
                <w:rStyle w:val="Bodytext1811pt"/>
                <w:rFonts w:ascii="Sylfaen" w:hAnsi="Sylfaen"/>
                <w:sz w:val="20"/>
                <w:szCs w:val="20"/>
              </w:rPr>
              <w:t>և</w:t>
            </w:r>
            <w:r w:rsidRPr="00DF2860">
              <w:rPr>
                <w:rStyle w:val="Bodytext1811pt"/>
                <w:rFonts w:ascii="Sylfaen" w:hAnsi="Sylfaen"/>
                <w:sz w:val="20"/>
                <w:szCs w:val="20"/>
              </w:rPr>
              <w:t xml:space="preserve"> արդյունքներ</w:t>
            </w:r>
          </w:p>
          <w:p w14:paraId="7B729026"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{յուրաքանչյուր վերլուծության մասով առանձին ներկայացրեք այն արդյունքը, որը հետազոտության մասին հաշվետվության մեջ ներառման համար ակտուալ է համարվել. ամեն դեպքում, անհրաժեշտ է ներկայացնել տվյալներ՝ նախօրոք որոշված առաջնային վերլուծության վերաբերյալ}</w:t>
            </w:r>
          </w:p>
          <w:p w14:paraId="75110D78"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p>
        </w:tc>
      </w:tr>
      <w:tr w:rsidR="008C76E0" w:rsidRPr="00DF2860" w14:paraId="60ACE1AD" w14:textId="77777777" w:rsidTr="008C76E0">
        <w:trPr>
          <w:jc w:val="center"/>
        </w:trPr>
        <w:tc>
          <w:tcPr>
            <w:tcW w:w="2215" w:type="dxa"/>
            <w:gridSpan w:val="2"/>
            <w:tcBorders>
              <w:top w:val="single" w:sz="4" w:space="0" w:color="auto"/>
              <w:left w:val="single" w:sz="4" w:space="0" w:color="auto"/>
            </w:tcBorders>
            <w:shd w:val="clear" w:color="auto" w:fill="FFFFFF"/>
            <w:vAlign w:val="bottom"/>
          </w:tcPr>
          <w:p w14:paraId="403DE3CA"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Վերլուծության նկարագրությունը</w:t>
            </w:r>
          </w:p>
        </w:tc>
        <w:tc>
          <w:tcPr>
            <w:tcW w:w="8948" w:type="dxa"/>
            <w:gridSpan w:val="5"/>
            <w:tcBorders>
              <w:top w:val="single" w:sz="4" w:space="0" w:color="auto"/>
              <w:left w:val="single" w:sz="4" w:space="0" w:color="auto"/>
              <w:right w:val="single" w:sz="4" w:space="0" w:color="auto"/>
            </w:tcBorders>
            <w:shd w:val="clear" w:color="auto" w:fill="FFFFFF"/>
          </w:tcPr>
          <w:p w14:paraId="2158A48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Առաջնային վերլուծությունը</w:t>
            </w:r>
          </w:p>
        </w:tc>
      </w:tr>
      <w:tr w:rsidR="008C76E0" w:rsidRPr="00DF2860" w14:paraId="2AC21B65" w14:textId="77777777" w:rsidTr="008C76E0">
        <w:trPr>
          <w:jc w:val="center"/>
        </w:trPr>
        <w:tc>
          <w:tcPr>
            <w:tcW w:w="2215" w:type="dxa"/>
            <w:gridSpan w:val="2"/>
            <w:tcBorders>
              <w:top w:val="single" w:sz="4" w:space="0" w:color="auto"/>
              <w:left w:val="single" w:sz="4" w:space="0" w:color="auto"/>
            </w:tcBorders>
            <w:shd w:val="clear" w:color="auto" w:fill="FFFFFF"/>
            <w:vAlign w:val="bottom"/>
          </w:tcPr>
          <w:p w14:paraId="635A95BE"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Սուբյեկտների վերլուծության ենթարկվող խումբը </w:t>
            </w:r>
            <w:r w:rsidR="00C54D75">
              <w:rPr>
                <w:rStyle w:val="Bodytext1811pt"/>
                <w:rFonts w:ascii="Sylfaen" w:hAnsi="Sylfaen"/>
                <w:sz w:val="20"/>
                <w:szCs w:val="20"/>
              </w:rPr>
              <w:t>և</w:t>
            </w:r>
            <w:r w:rsidRPr="00DF2860">
              <w:rPr>
                <w:rStyle w:val="Bodytext1811pt"/>
                <w:rFonts w:ascii="Sylfaen" w:hAnsi="Sylfaen"/>
                <w:sz w:val="20"/>
                <w:szCs w:val="20"/>
              </w:rPr>
              <w:t xml:space="preserve"> </w:t>
            </w:r>
            <w:r w:rsidRPr="00DF2860">
              <w:rPr>
                <w:rStyle w:val="Bodytext1811pt"/>
                <w:rFonts w:ascii="Sylfaen" w:hAnsi="Sylfaen"/>
                <w:sz w:val="20"/>
                <w:szCs w:val="20"/>
              </w:rPr>
              <w:lastRenderedPageBreak/>
              <w:t>ժամանակային կետերի նկարագրությունը</w:t>
            </w:r>
          </w:p>
        </w:tc>
        <w:tc>
          <w:tcPr>
            <w:tcW w:w="8948" w:type="dxa"/>
            <w:gridSpan w:val="5"/>
            <w:tcBorders>
              <w:top w:val="single" w:sz="4" w:space="0" w:color="auto"/>
              <w:left w:val="single" w:sz="4" w:space="0" w:color="auto"/>
              <w:right w:val="single" w:sz="4" w:space="0" w:color="auto"/>
            </w:tcBorders>
            <w:shd w:val="clear" w:color="auto" w:fill="FFFFFF"/>
          </w:tcPr>
          <w:p w14:paraId="252F897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lastRenderedPageBreak/>
              <w:t>&lt;Ընտրանքային համակցություն «Բուժումը սկսած»&gt; պացիենտները, ովքեր ավարտել են հետազոտության մեջ իրենց մասնակցությունը՝ համաձայն արձանագրությանը&gt;</w:t>
            </w:r>
          </w:p>
          <w:p w14:paraId="2BB891B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lastRenderedPageBreak/>
              <w:t>&lt;այլ՝ նշել&gt;</w:t>
            </w:r>
          </w:p>
          <w:p w14:paraId="62BACEE7"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{կարող է պահանջվել բնակչության խմբի համառոտ նկարագրության ներառումը}</w:t>
            </w:r>
          </w:p>
          <w:p w14:paraId="33A06150"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&lt;ժամանակային կետը&gt;</w:t>
            </w:r>
          </w:p>
        </w:tc>
      </w:tr>
      <w:tr w:rsidR="008C76E0" w:rsidRPr="00DF2860" w14:paraId="0B5D0975" w14:textId="77777777" w:rsidTr="008C76E0">
        <w:trPr>
          <w:jc w:val="center"/>
        </w:trPr>
        <w:tc>
          <w:tcPr>
            <w:tcW w:w="2215" w:type="dxa"/>
            <w:gridSpan w:val="2"/>
            <w:tcBorders>
              <w:top w:val="single" w:sz="4" w:space="0" w:color="auto"/>
              <w:left w:val="single" w:sz="4" w:space="0" w:color="auto"/>
            </w:tcBorders>
            <w:shd w:val="clear" w:color="auto" w:fill="FFFFFF"/>
          </w:tcPr>
          <w:p w14:paraId="73A1C9A8"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lastRenderedPageBreak/>
              <w:t>Նկարագրական վիճակագրությունն ու գնահատման տարբերակայնությունը (վարիատիվությունը)</w:t>
            </w:r>
          </w:p>
        </w:tc>
        <w:tc>
          <w:tcPr>
            <w:tcW w:w="2330" w:type="dxa"/>
            <w:tcBorders>
              <w:top w:val="single" w:sz="4" w:space="0" w:color="auto"/>
              <w:left w:val="single" w:sz="4" w:space="0" w:color="auto"/>
            </w:tcBorders>
            <w:shd w:val="clear" w:color="auto" w:fill="FFFFFF"/>
          </w:tcPr>
          <w:p w14:paraId="20C21550"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Բուժման ենթակա խումբը</w:t>
            </w:r>
          </w:p>
        </w:tc>
        <w:tc>
          <w:tcPr>
            <w:tcW w:w="2247" w:type="dxa"/>
            <w:tcBorders>
              <w:top w:val="single" w:sz="4" w:space="0" w:color="auto"/>
              <w:left w:val="single" w:sz="4" w:space="0" w:color="auto"/>
            </w:tcBorders>
            <w:shd w:val="clear" w:color="auto" w:fill="FFFFFF"/>
            <w:vAlign w:val="bottom"/>
          </w:tcPr>
          <w:p w14:paraId="50B86B76"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 {համաձայն վերը բերված եզրութաբանության}</w:t>
            </w:r>
          </w:p>
        </w:tc>
        <w:tc>
          <w:tcPr>
            <w:tcW w:w="2195" w:type="dxa"/>
            <w:gridSpan w:val="2"/>
            <w:tcBorders>
              <w:top w:val="single" w:sz="4" w:space="0" w:color="auto"/>
              <w:left w:val="single" w:sz="4" w:space="0" w:color="auto"/>
            </w:tcBorders>
            <w:shd w:val="clear" w:color="auto" w:fill="FFFFFF"/>
            <w:vAlign w:val="bottom"/>
          </w:tcPr>
          <w:p w14:paraId="4DFF800F"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&lt;խմբի ծածկագրված նշագիրը&gt; {համաձայն վերը բերված եզրութաբանության}</w:t>
            </w:r>
          </w:p>
        </w:tc>
        <w:tc>
          <w:tcPr>
            <w:tcW w:w="2176" w:type="dxa"/>
            <w:tcBorders>
              <w:top w:val="single" w:sz="4" w:space="0" w:color="auto"/>
              <w:left w:val="single" w:sz="4" w:space="0" w:color="auto"/>
              <w:right w:val="single" w:sz="4" w:space="0" w:color="auto"/>
            </w:tcBorders>
            <w:shd w:val="clear" w:color="auto" w:fill="FFFFFF"/>
            <w:vAlign w:val="bottom"/>
          </w:tcPr>
          <w:p w14:paraId="5DE09265"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&lt;խմբի</w:t>
            </w:r>
            <w:r w:rsidRPr="00720CDC">
              <w:rPr>
                <w:rFonts w:ascii="Sylfaen" w:hAnsi="Sylfaen"/>
                <w:b w:val="0"/>
                <w:i/>
                <w:sz w:val="20"/>
                <w:szCs w:val="20"/>
              </w:rPr>
              <w:t xml:space="preserve"> </w:t>
            </w:r>
            <w:r w:rsidRPr="00720CDC">
              <w:rPr>
                <w:rStyle w:val="Bodytext295pt"/>
                <w:rFonts w:ascii="Sylfaen" w:hAnsi="Sylfaen"/>
                <w:i/>
                <w:spacing w:val="0"/>
                <w:sz w:val="20"/>
                <w:szCs w:val="20"/>
              </w:rPr>
              <w:t>ծածկագրված</w:t>
            </w:r>
            <w:r w:rsidRPr="00720CDC">
              <w:rPr>
                <w:rFonts w:ascii="Sylfaen" w:hAnsi="Sylfaen"/>
                <w:b w:val="0"/>
                <w:i/>
                <w:sz w:val="20"/>
                <w:szCs w:val="20"/>
              </w:rPr>
              <w:t xml:space="preserve"> </w:t>
            </w:r>
            <w:r w:rsidRPr="00720CDC">
              <w:rPr>
                <w:rStyle w:val="Bodytext295pt"/>
                <w:rFonts w:ascii="Sylfaen" w:hAnsi="Sylfaen"/>
                <w:i/>
                <w:spacing w:val="0"/>
                <w:sz w:val="20"/>
                <w:szCs w:val="20"/>
              </w:rPr>
              <w:t>նշագիրը&gt;</w:t>
            </w:r>
            <w:r w:rsidRPr="00720CDC">
              <w:rPr>
                <w:rFonts w:ascii="Sylfaen" w:hAnsi="Sylfaen"/>
                <w:b w:val="0"/>
                <w:i/>
                <w:sz w:val="20"/>
                <w:szCs w:val="20"/>
              </w:rPr>
              <w:t xml:space="preserve"> </w:t>
            </w:r>
            <w:r w:rsidRPr="00720CDC">
              <w:rPr>
                <w:rStyle w:val="Bodytext295pt"/>
                <w:rFonts w:ascii="Sylfaen" w:hAnsi="Sylfaen"/>
                <w:i/>
                <w:spacing w:val="0"/>
                <w:sz w:val="20"/>
                <w:szCs w:val="20"/>
              </w:rPr>
              <w:t>{համաձայն</w:t>
            </w:r>
            <w:r w:rsidRPr="00720CDC">
              <w:rPr>
                <w:rFonts w:ascii="Sylfaen" w:hAnsi="Sylfaen"/>
                <w:b w:val="0"/>
                <w:i/>
                <w:sz w:val="20"/>
                <w:szCs w:val="20"/>
              </w:rPr>
              <w:t xml:space="preserve"> </w:t>
            </w:r>
            <w:r w:rsidRPr="00720CDC">
              <w:rPr>
                <w:rStyle w:val="Bodytext295pt"/>
                <w:rFonts w:ascii="Sylfaen" w:hAnsi="Sylfaen"/>
                <w:i/>
                <w:spacing w:val="0"/>
                <w:sz w:val="20"/>
                <w:szCs w:val="20"/>
              </w:rPr>
              <w:t>վերը</w:t>
            </w:r>
            <w:r w:rsidRPr="00720CDC">
              <w:rPr>
                <w:rFonts w:ascii="Sylfaen" w:hAnsi="Sylfaen"/>
                <w:b w:val="0"/>
                <w:i/>
                <w:sz w:val="20"/>
                <w:szCs w:val="20"/>
              </w:rPr>
              <w:t xml:space="preserve"> </w:t>
            </w:r>
            <w:r w:rsidRPr="00720CDC">
              <w:rPr>
                <w:rStyle w:val="Bodytext295pt"/>
                <w:rFonts w:ascii="Sylfaen" w:hAnsi="Sylfaen"/>
                <w:i/>
                <w:spacing w:val="0"/>
                <w:sz w:val="20"/>
                <w:szCs w:val="20"/>
              </w:rPr>
              <w:t>բերված եզրութաբանության}</w:t>
            </w:r>
          </w:p>
        </w:tc>
      </w:tr>
      <w:tr w:rsidR="008C76E0" w:rsidRPr="00DF2860" w14:paraId="620E314A"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0B407C0A"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43E33764"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Սուբյեկտների քանակը</w:t>
            </w:r>
          </w:p>
        </w:tc>
        <w:tc>
          <w:tcPr>
            <w:tcW w:w="2247" w:type="dxa"/>
            <w:tcBorders>
              <w:top w:val="single" w:sz="4" w:space="0" w:color="auto"/>
              <w:left w:val="single" w:sz="4" w:space="0" w:color="auto"/>
            </w:tcBorders>
            <w:shd w:val="clear" w:color="auto" w:fill="FFFFFF"/>
            <w:vAlign w:val="bottom"/>
          </w:tcPr>
          <w:p w14:paraId="7ED0D42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&lt;n&gt;</w:t>
            </w:r>
          </w:p>
        </w:tc>
        <w:tc>
          <w:tcPr>
            <w:tcW w:w="2195" w:type="dxa"/>
            <w:gridSpan w:val="2"/>
            <w:tcBorders>
              <w:top w:val="single" w:sz="4" w:space="0" w:color="auto"/>
              <w:left w:val="single" w:sz="4" w:space="0" w:color="auto"/>
            </w:tcBorders>
            <w:shd w:val="clear" w:color="auto" w:fill="FFFFFF"/>
            <w:vAlign w:val="bottom"/>
          </w:tcPr>
          <w:p w14:paraId="2C682B1F"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&lt;n&gt;</w:t>
            </w:r>
          </w:p>
        </w:tc>
        <w:tc>
          <w:tcPr>
            <w:tcW w:w="2176" w:type="dxa"/>
            <w:tcBorders>
              <w:top w:val="single" w:sz="4" w:space="0" w:color="auto"/>
              <w:left w:val="single" w:sz="4" w:space="0" w:color="auto"/>
              <w:right w:val="single" w:sz="4" w:space="0" w:color="auto"/>
            </w:tcBorders>
            <w:shd w:val="clear" w:color="auto" w:fill="FFFFFF"/>
            <w:vAlign w:val="bottom"/>
          </w:tcPr>
          <w:p w14:paraId="334B126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&lt;n&gt;</w:t>
            </w:r>
          </w:p>
        </w:tc>
      </w:tr>
      <w:tr w:rsidR="008C76E0" w:rsidRPr="00DF2860" w14:paraId="36DC0B5A" w14:textId="77777777" w:rsidTr="008C76E0">
        <w:trPr>
          <w:jc w:val="center"/>
        </w:trPr>
        <w:tc>
          <w:tcPr>
            <w:tcW w:w="2215" w:type="dxa"/>
            <w:gridSpan w:val="2"/>
            <w:vMerge/>
            <w:tcBorders>
              <w:left w:val="single" w:sz="4" w:space="0" w:color="auto"/>
            </w:tcBorders>
            <w:shd w:val="clear" w:color="auto" w:fill="FFFFFF"/>
          </w:tcPr>
          <w:p w14:paraId="5585DA5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0B16427B"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&lt;կլինիկական հետազոտության կետը&gt; {պայմանական նշագիրը, ինչպես նշված է վեր</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ում} (&lt;վիճակագրություն&gt;) {օրինակ՝ ընտրանքի միջին, մեդիանային (միջնաթվային) արժեքը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այլն</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70011A5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tcPr>
          <w:p w14:paraId="755D25A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tcPr>
          <w:p w14:paraId="117B00D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317D5B4A" w14:textId="77777777" w:rsidTr="008C76E0">
        <w:trPr>
          <w:jc w:val="center"/>
        </w:trPr>
        <w:tc>
          <w:tcPr>
            <w:tcW w:w="2215" w:type="dxa"/>
            <w:gridSpan w:val="2"/>
            <w:vMerge/>
            <w:tcBorders>
              <w:left w:val="single" w:sz="4" w:space="0" w:color="auto"/>
            </w:tcBorders>
            <w:shd w:val="clear" w:color="auto" w:fill="FFFFFF"/>
          </w:tcPr>
          <w:p w14:paraId="32AC4DF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1737E78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&lt;վարիացիաների վիճակագրությունը&gt; {օրինակ՝ ստանդարտ շեղումը, վստահելի միջակայքը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այլն</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56B9137B" w14:textId="77777777" w:rsidR="008C76E0" w:rsidRPr="00720CDC" w:rsidRDefault="008C76E0" w:rsidP="008C76E0">
            <w:pPr>
              <w:pStyle w:val="Bodytext180"/>
              <w:shd w:val="clear" w:color="auto" w:fill="auto"/>
              <w:spacing w:before="0" w:after="120" w:line="240" w:lineRule="auto"/>
              <w:ind w:left="-14"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tcPr>
          <w:p w14:paraId="152D4ACD"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tcPr>
          <w:p w14:paraId="059B4A4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433E560E" w14:textId="77777777" w:rsidTr="008C76E0">
        <w:trPr>
          <w:jc w:val="center"/>
        </w:trPr>
        <w:tc>
          <w:tcPr>
            <w:tcW w:w="2215" w:type="dxa"/>
            <w:gridSpan w:val="2"/>
            <w:vMerge/>
            <w:tcBorders>
              <w:left w:val="single" w:sz="4" w:space="0" w:color="auto"/>
            </w:tcBorders>
            <w:shd w:val="clear" w:color="auto" w:fill="FFFFFF"/>
          </w:tcPr>
          <w:p w14:paraId="3123E307"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48C93F69"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 xml:space="preserve">&lt;կլինիկական հետազոտությունների կետը&gt; </w:t>
            </w:r>
            <w:r w:rsidRPr="00720CDC">
              <w:rPr>
                <w:rStyle w:val="Bodytext1811pt"/>
                <w:rFonts w:ascii="Sylfaen" w:hAnsi="Sylfaen"/>
                <w:i/>
                <w:sz w:val="20"/>
                <w:szCs w:val="20"/>
              </w:rPr>
              <w:t>(</w:t>
            </w:r>
            <w:r w:rsidRPr="00720CDC">
              <w:rPr>
                <w:rStyle w:val="Bodytext295pt"/>
                <w:rFonts w:ascii="Sylfaen" w:hAnsi="Sylfaen"/>
                <w:i/>
                <w:spacing w:val="0"/>
                <w:sz w:val="20"/>
                <w:szCs w:val="20"/>
              </w:rPr>
              <w:t>&lt;վիճակագրություն&gt;</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6B927E00"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tcPr>
          <w:p w14:paraId="6DF8C48D"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tcPr>
          <w:p w14:paraId="7B994D7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295E3B90" w14:textId="77777777" w:rsidTr="008C76E0">
        <w:trPr>
          <w:jc w:val="center"/>
        </w:trPr>
        <w:tc>
          <w:tcPr>
            <w:tcW w:w="2215" w:type="dxa"/>
            <w:gridSpan w:val="2"/>
            <w:vMerge/>
            <w:tcBorders>
              <w:left w:val="single" w:sz="4" w:space="0" w:color="auto"/>
            </w:tcBorders>
            <w:shd w:val="clear" w:color="auto" w:fill="FFFFFF"/>
          </w:tcPr>
          <w:p w14:paraId="49781FFE"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tcPr>
          <w:p w14:paraId="20702300"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1811pt"/>
                <w:rFonts w:ascii="Sylfaen" w:hAnsi="Sylfaen"/>
                <w:i/>
                <w:sz w:val="20"/>
                <w:szCs w:val="20"/>
              </w:rPr>
              <w:t>&lt;վարիացիաների վիճակագրությունը&gt;</w:t>
            </w:r>
          </w:p>
        </w:tc>
        <w:tc>
          <w:tcPr>
            <w:tcW w:w="2247" w:type="dxa"/>
            <w:tcBorders>
              <w:top w:val="single" w:sz="4" w:space="0" w:color="auto"/>
              <w:left w:val="single" w:sz="4" w:space="0" w:color="auto"/>
            </w:tcBorders>
            <w:shd w:val="clear" w:color="auto" w:fill="FFFFFF"/>
            <w:vAlign w:val="bottom"/>
          </w:tcPr>
          <w:p w14:paraId="08FB74A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vAlign w:val="bottom"/>
          </w:tcPr>
          <w:p w14:paraId="31B78A6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vAlign w:val="bottom"/>
          </w:tcPr>
          <w:p w14:paraId="694579CA" w14:textId="77777777" w:rsidR="008C76E0" w:rsidRPr="00720CDC" w:rsidRDefault="008C76E0" w:rsidP="008C76E0">
            <w:pPr>
              <w:pStyle w:val="Bodytext180"/>
              <w:shd w:val="clear" w:color="auto" w:fill="auto"/>
              <w:spacing w:before="0" w:after="120" w:line="240" w:lineRule="auto"/>
              <w:ind w:left="-4"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7D9C62E6" w14:textId="77777777" w:rsidTr="008C76E0">
        <w:trPr>
          <w:jc w:val="center"/>
        </w:trPr>
        <w:tc>
          <w:tcPr>
            <w:tcW w:w="2215" w:type="dxa"/>
            <w:gridSpan w:val="2"/>
            <w:vMerge/>
            <w:tcBorders>
              <w:left w:val="single" w:sz="4" w:space="0" w:color="auto"/>
            </w:tcBorders>
            <w:shd w:val="clear" w:color="auto" w:fill="FFFFFF"/>
          </w:tcPr>
          <w:p w14:paraId="1F1FBC7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1F8EAB3A"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&lt;կլինիկական հետազոտությունների կետը</w:t>
            </w:r>
          </w:p>
        </w:tc>
        <w:tc>
          <w:tcPr>
            <w:tcW w:w="2247" w:type="dxa"/>
            <w:tcBorders>
              <w:top w:val="single" w:sz="4" w:space="0" w:color="auto"/>
              <w:left w:val="single" w:sz="4" w:space="0" w:color="auto"/>
            </w:tcBorders>
            <w:shd w:val="clear" w:color="auto" w:fill="FFFFFF"/>
            <w:vAlign w:val="bottom"/>
          </w:tcPr>
          <w:p w14:paraId="3F4BA32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vAlign w:val="bottom"/>
          </w:tcPr>
          <w:p w14:paraId="53BF6CF4"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vAlign w:val="bottom"/>
          </w:tcPr>
          <w:p w14:paraId="71C3BFA7"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136F7670" w14:textId="77777777" w:rsidTr="008C76E0">
        <w:trPr>
          <w:jc w:val="center"/>
        </w:trPr>
        <w:tc>
          <w:tcPr>
            <w:tcW w:w="2215" w:type="dxa"/>
            <w:gridSpan w:val="2"/>
            <w:vMerge/>
            <w:tcBorders>
              <w:left w:val="single" w:sz="4" w:space="0" w:color="auto"/>
            </w:tcBorders>
            <w:shd w:val="clear" w:color="auto" w:fill="FFFFFF"/>
          </w:tcPr>
          <w:p w14:paraId="738B0DD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389F97F3"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(&lt;վիճակագրություն&gt;)</w:t>
            </w:r>
          </w:p>
          <w:p w14:paraId="5D9515D3"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&lt;վարիացիաների վիճակագրությունը&gt;</w:t>
            </w:r>
          </w:p>
        </w:tc>
        <w:tc>
          <w:tcPr>
            <w:tcW w:w="2247" w:type="dxa"/>
            <w:tcBorders>
              <w:top w:val="single" w:sz="4" w:space="0" w:color="auto"/>
              <w:left w:val="single" w:sz="4" w:space="0" w:color="auto"/>
            </w:tcBorders>
            <w:shd w:val="clear" w:color="auto" w:fill="FFFFFF"/>
          </w:tcPr>
          <w:p w14:paraId="3B73239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tcPr>
          <w:p w14:paraId="4B29D6F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tcPr>
          <w:p w14:paraId="1F296E0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66BB4B5F"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361F6361" w14:textId="77777777" w:rsidR="008C76E0" w:rsidRPr="008C76E0" w:rsidRDefault="008C76E0" w:rsidP="008C76E0">
            <w:pPr>
              <w:pStyle w:val="Bodytext180"/>
              <w:shd w:val="clear" w:color="auto" w:fill="auto"/>
              <w:spacing w:before="0" w:after="120" w:line="288" w:lineRule="auto"/>
              <w:ind w:left="10" w:firstLine="0"/>
              <w:jc w:val="center"/>
              <w:rPr>
                <w:rFonts w:ascii="Sylfaen" w:hAnsi="Sylfaen"/>
                <w:b w:val="0"/>
                <w:sz w:val="20"/>
                <w:szCs w:val="20"/>
                <w:lang w:val="hy-AM"/>
              </w:rPr>
            </w:pPr>
            <w:r w:rsidRPr="00DF2860">
              <w:rPr>
                <w:rStyle w:val="Bodytext1811pt"/>
                <w:rFonts w:ascii="Sylfaen" w:hAnsi="Sylfaen"/>
                <w:sz w:val="20"/>
                <w:szCs w:val="20"/>
              </w:rPr>
              <w:t xml:space="preserve">Էֆեկտի գնահատումը համեմատության ժամանակ </w:t>
            </w:r>
            <w:r w:rsidRPr="00DF2860">
              <w:rPr>
                <w:rStyle w:val="Bodytext295pt"/>
                <w:rFonts w:ascii="Sylfaen" w:hAnsi="Sylfaen"/>
                <w:spacing w:val="0"/>
                <w:sz w:val="20"/>
                <w:szCs w:val="20"/>
              </w:rPr>
              <w:t xml:space="preserve">{ավելացրեք անհրաժեշտ քանակով տողեր՝ փաստացի կատարված վիճակագրական վերլուծության </w:t>
            </w:r>
            <w:r w:rsidRPr="00DF2860">
              <w:rPr>
                <w:rStyle w:val="Bodytext295pt"/>
                <w:rFonts w:ascii="Sylfaen" w:hAnsi="Sylfaen"/>
                <w:spacing w:val="0"/>
                <w:sz w:val="20"/>
                <w:szCs w:val="20"/>
              </w:rPr>
              <w:lastRenderedPageBreak/>
              <w:t>նկարագրության համար}</w:t>
            </w:r>
          </w:p>
        </w:tc>
        <w:tc>
          <w:tcPr>
            <w:tcW w:w="2330" w:type="dxa"/>
            <w:vMerge w:val="restart"/>
            <w:tcBorders>
              <w:top w:val="single" w:sz="4" w:space="0" w:color="auto"/>
              <w:left w:val="single" w:sz="4" w:space="0" w:color="auto"/>
            </w:tcBorders>
            <w:shd w:val="clear" w:color="auto" w:fill="FFFFFF"/>
          </w:tcPr>
          <w:p w14:paraId="6D345F05" w14:textId="77777777" w:rsidR="008C76E0" w:rsidRPr="008C76E0" w:rsidRDefault="008C76E0" w:rsidP="008C76E0">
            <w:pPr>
              <w:pStyle w:val="Bodytext180"/>
              <w:shd w:val="clear" w:color="auto" w:fill="auto"/>
              <w:spacing w:before="0" w:after="120" w:line="288" w:lineRule="auto"/>
              <w:ind w:firstLine="0"/>
              <w:jc w:val="center"/>
              <w:rPr>
                <w:rFonts w:ascii="Sylfaen" w:hAnsi="Sylfaen"/>
                <w:b w:val="0"/>
                <w:i/>
                <w:sz w:val="20"/>
                <w:szCs w:val="20"/>
                <w:lang w:val="hy-AM"/>
              </w:rPr>
            </w:pPr>
            <w:r w:rsidRPr="00720CDC">
              <w:rPr>
                <w:rStyle w:val="Bodytext295pt"/>
                <w:rFonts w:ascii="Sylfaen" w:hAnsi="Sylfaen"/>
                <w:i/>
                <w:spacing w:val="0"/>
                <w:sz w:val="20"/>
                <w:szCs w:val="20"/>
              </w:rPr>
              <w:lastRenderedPageBreak/>
              <w:t xml:space="preserve">&lt;Համակցված&gt; </w:t>
            </w:r>
            <w:r w:rsidRPr="00720CDC">
              <w:rPr>
                <w:rStyle w:val="Bodytext1811pt"/>
                <w:rFonts w:ascii="Sylfaen" w:hAnsi="Sylfaen"/>
                <w:i/>
                <w:sz w:val="20"/>
                <w:szCs w:val="20"/>
              </w:rPr>
              <w:t>Կլինիկական հետազոտության առաջնային կետը</w:t>
            </w:r>
          </w:p>
        </w:tc>
        <w:tc>
          <w:tcPr>
            <w:tcW w:w="2894" w:type="dxa"/>
            <w:gridSpan w:val="2"/>
            <w:tcBorders>
              <w:top w:val="single" w:sz="4" w:space="0" w:color="auto"/>
              <w:left w:val="single" w:sz="4" w:space="0" w:color="auto"/>
            </w:tcBorders>
            <w:shd w:val="clear" w:color="auto" w:fill="FFFFFF"/>
          </w:tcPr>
          <w:p w14:paraId="0D2E3A68" w14:textId="77777777" w:rsidR="008C76E0" w:rsidRPr="00DF2860" w:rsidRDefault="008C76E0" w:rsidP="008C76E0">
            <w:pPr>
              <w:pStyle w:val="Bodytext180"/>
              <w:shd w:val="clear" w:color="auto" w:fill="auto"/>
              <w:spacing w:before="0" w:after="120" w:line="288" w:lineRule="auto"/>
              <w:ind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4183575C" w14:textId="77777777" w:rsidR="008C76E0" w:rsidRPr="00DF2860" w:rsidRDefault="008C76E0" w:rsidP="008C76E0">
            <w:pPr>
              <w:pStyle w:val="Bodytext180"/>
              <w:shd w:val="clear" w:color="auto" w:fill="auto"/>
              <w:spacing w:before="0" w:after="120" w:line="288" w:lineRule="auto"/>
              <w:ind w:firstLine="0"/>
              <w:jc w:val="center"/>
              <w:rPr>
                <w:rFonts w:ascii="Sylfaen" w:hAnsi="Sylfaen"/>
                <w:b w:val="0"/>
                <w:sz w:val="20"/>
                <w:szCs w:val="20"/>
              </w:rPr>
            </w:pPr>
            <w:r w:rsidRPr="00DF2860">
              <w:rPr>
                <w:rStyle w:val="Bodytext295pt"/>
                <w:rFonts w:ascii="Sylfaen" w:hAnsi="Sylfaen"/>
                <w:spacing w:val="0"/>
                <w:sz w:val="20"/>
                <w:szCs w:val="20"/>
              </w:rPr>
              <w:t>&lt;խմբի ծածկագրված նշագիրը&gt; {համաձայն վերը բերված եզրութաբանության}</w:t>
            </w:r>
          </w:p>
        </w:tc>
      </w:tr>
      <w:tr w:rsidR="008C76E0" w:rsidRPr="00DF2860" w14:paraId="4CDF89A9" w14:textId="77777777" w:rsidTr="008C76E0">
        <w:trPr>
          <w:jc w:val="center"/>
        </w:trPr>
        <w:tc>
          <w:tcPr>
            <w:tcW w:w="2215" w:type="dxa"/>
            <w:gridSpan w:val="2"/>
            <w:vMerge/>
            <w:tcBorders>
              <w:left w:val="single" w:sz="4" w:space="0" w:color="auto"/>
            </w:tcBorders>
            <w:shd w:val="clear" w:color="auto" w:fill="FFFFFF"/>
          </w:tcPr>
          <w:p w14:paraId="3A476B61" w14:textId="77777777" w:rsidR="008C76E0" w:rsidRPr="00DF2860" w:rsidRDefault="008C76E0" w:rsidP="008C76E0">
            <w:pPr>
              <w:spacing w:after="120" w:line="288" w:lineRule="auto"/>
              <w:ind w:left="10"/>
              <w:jc w:val="center"/>
              <w:rPr>
                <w:rFonts w:ascii="Sylfaen" w:hAnsi="Sylfaen"/>
                <w:sz w:val="20"/>
                <w:szCs w:val="20"/>
              </w:rPr>
            </w:pPr>
          </w:p>
        </w:tc>
        <w:tc>
          <w:tcPr>
            <w:tcW w:w="2330" w:type="dxa"/>
            <w:vMerge/>
            <w:tcBorders>
              <w:left w:val="single" w:sz="4" w:space="0" w:color="auto"/>
            </w:tcBorders>
            <w:shd w:val="clear" w:color="auto" w:fill="FFFFFF"/>
          </w:tcPr>
          <w:p w14:paraId="60EF4958" w14:textId="77777777" w:rsidR="008C76E0" w:rsidRPr="00720CDC" w:rsidRDefault="008C76E0" w:rsidP="008C76E0">
            <w:pPr>
              <w:spacing w:after="120" w:line="288" w:lineRule="auto"/>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56DD9E64" w14:textId="77777777" w:rsidR="008C76E0" w:rsidRPr="008C76E0" w:rsidRDefault="008C76E0" w:rsidP="008C76E0">
            <w:pPr>
              <w:pStyle w:val="Bodytext180"/>
              <w:shd w:val="clear" w:color="auto" w:fill="auto"/>
              <w:spacing w:before="0" w:after="120" w:line="288" w:lineRule="auto"/>
              <w:ind w:firstLine="0"/>
              <w:jc w:val="center"/>
              <w:rPr>
                <w:rFonts w:ascii="Sylfaen" w:hAnsi="Sylfaen"/>
                <w:b w:val="0"/>
                <w:i/>
                <w:sz w:val="20"/>
                <w:szCs w:val="20"/>
                <w:lang w:val="hy-AM"/>
              </w:rPr>
            </w:pPr>
            <w:r w:rsidRPr="0032101F">
              <w:rPr>
                <w:rStyle w:val="Bodytext295pt"/>
                <w:rFonts w:ascii="Sylfaen" w:hAnsi="Sylfaen"/>
                <w:i/>
                <w:spacing w:val="0"/>
                <w:sz w:val="20"/>
                <w:szCs w:val="20"/>
              </w:rPr>
              <w:t>&lt;նշանակալիության չափանիշը&gt; (օրինակ՝ խմբերի միջ</w:t>
            </w:r>
            <w:r w:rsidR="00C54D75">
              <w:rPr>
                <w:rStyle w:val="Bodytext295pt"/>
                <w:rFonts w:ascii="Sylfaen" w:hAnsi="Sylfaen"/>
                <w:i/>
                <w:spacing w:val="0"/>
                <w:sz w:val="20"/>
                <w:szCs w:val="20"/>
              </w:rPr>
              <w:t>և</w:t>
            </w:r>
            <w:r w:rsidRPr="0032101F">
              <w:rPr>
                <w:rStyle w:val="Bodytext295pt"/>
                <w:rFonts w:ascii="Sylfaen" w:hAnsi="Sylfaen"/>
                <w:i/>
                <w:spacing w:val="0"/>
                <w:sz w:val="20"/>
                <w:szCs w:val="20"/>
              </w:rPr>
              <w:t xml:space="preserve"> տարբերությունը)</w:t>
            </w:r>
            <w:r w:rsidRPr="008C76E0">
              <w:rPr>
                <w:rFonts w:ascii="Sylfaen" w:hAnsi="Sylfaen"/>
                <w:b w:val="0"/>
                <w:i/>
                <w:sz w:val="20"/>
                <w:szCs w:val="20"/>
                <w:lang w:val="hy-AM"/>
              </w:rPr>
              <w:t xml:space="preserve"> </w:t>
            </w:r>
          </w:p>
        </w:tc>
        <w:tc>
          <w:tcPr>
            <w:tcW w:w="3724" w:type="dxa"/>
            <w:gridSpan w:val="2"/>
            <w:tcBorders>
              <w:top w:val="single" w:sz="4" w:space="0" w:color="auto"/>
              <w:left w:val="single" w:sz="4" w:space="0" w:color="auto"/>
              <w:right w:val="single" w:sz="4" w:space="0" w:color="auto"/>
            </w:tcBorders>
            <w:shd w:val="clear" w:color="auto" w:fill="FFFFFF"/>
          </w:tcPr>
          <w:p w14:paraId="0F1251F9" w14:textId="77777777" w:rsidR="008C76E0" w:rsidRPr="0032101F" w:rsidRDefault="008C76E0" w:rsidP="008C76E0">
            <w:pPr>
              <w:pStyle w:val="Bodytext180"/>
              <w:shd w:val="clear" w:color="auto" w:fill="auto"/>
              <w:spacing w:before="0" w:after="120" w:line="288" w:lineRule="auto"/>
              <w:ind w:firstLine="0"/>
              <w:jc w:val="center"/>
              <w:rPr>
                <w:rFonts w:ascii="Sylfaen" w:hAnsi="Sylfaen"/>
                <w:b w:val="0"/>
                <w:i/>
                <w:sz w:val="20"/>
                <w:szCs w:val="20"/>
              </w:rPr>
            </w:pPr>
            <w:r w:rsidRPr="0032101F">
              <w:rPr>
                <w:rStyle w:val="Bodytext295pt"/>
                <w:rFonts w:ascii="Sylfaen" w:hAnsi="Sylfaen"/>
                <w:i/>
                <w:spacing w:val="0"/>
                <w:sz w:val="20"/>
                <w:szCs w:val="20"/>
              </w:rPr>
              <w:t>&lt;կետային գնահատումը&gt;</w:t>
            </w:r>
          </w:p>
        </w:tc>
      </w:tr>
      <w:tr w:rsidR="008C76E0" w:rsidRPr="00DF2860" w14:paraId="0254D26E" w14:textId="77777777" w:rsidTr="008C76E0">
        <w:trPr>
          <w:jc w:val="center"/>
        </w:trPr>
        <w:tc>
          <w:tcPr>
            <w:tcW w:w="2215" w:type="dxa"/>
            <w:gridSpan w:val="2"/>
            <w:vMerge/>
            <w:tcBorders>
              <w:left w:val="single" w:sz="4" w:space="0" w:color="auto"/>
            </w:tcBorders>
            <w:shd w:val="clear" w:color="auto" w:fill="FFFFFF"/>
          </w:tcPr>
          <w:p w14:paraId="36B0E7D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3BBA2B72"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70218B2E"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32101F">
              <w:rPr>
                <w:rStyle w:val="Bodytext295pt"/>
                <w:rFonts w:ascii="Sylfaen" w:hAnsi="Sylfaen"/>
                <w:i/>
                <w:spacing w:val="0"/>
                <w:sz w:val="20"/>
                <w:szCs w:val="20"/>
              </w:rPr>
              <w:t>&lt;վարիացիաների վիճակագրությունը&gt;</w:t>
            </w:r>
          </w:p>
          <w:p w14:paraId="51E54A9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32101F">
              <w:rPr>
                <w:rStyle w:val="Bodytext295pt"/>
                <w:rFonts w:ascii="Sylfaen" w:hAnsi="Sylfaen"/>
                <w:i/>
                <w:spacing w:val="0"/>
                <w:sz w:val="20"/>
                <w:szCs w:val="20"/>
              </w:rPr>
              <w:lastRenderedPageBreak/>
              <w:t xml:space="preserve">{օրինակ՝ վստահելի միջակայքը </w:t>
            </w:r>
            <w:r w:rsidR="00C54D75">
              <w:rPr>
                <w:rStyle w:val="Bodytext295pt"/>
                <w:rFonts w:ascii="Sylfaen" w:hAnsi="Sylfaen"/>
                <w:i/>
                <w:spacing w:val="0"/>
                <w:sz w:val="20"/>
                <w:szCs w:val="20"/>
              </w:rPr>
              <w:t>և</w:t>
            </w:r>
            <w:r w:rsidRPr="0032101F">
              <w:rPr>
                <w:rStyle w:val="Bodytext295pt"/>
                <w:rFonts w:ascii="Sylfaen" w:hAnsi="Sylfaen"/>
                <w:i/>
                <w:spacing w:val="0"/>
                <w:sz w:val="20"/>
                <w:szCs w:val="20"/>
              </w:rPr>
              <w:t xml:space="preserve"> այլն</w:t>
            </w:r>
            <w:r w:rsidRPr="0032101F">
              <w:rPr>
                <w:rStyle w:val="Bodytext1811pt"/>
                <w:rFonts w:ascii="Sylfaen" w:hAnsi="Sylfaen"/>
                <w:i/>
                <w:sz w:val="20"/>
                <w:szCs w:val="20"/>
              </w:rPr>
              <w:t>}</w:t>
            </w:r>
          </w:p>
        </w:tc>
        <w:tc>
          <w:tcPr>
            <w:tcW w:w="3724" w:type="dxa"/>
            <w:gridSpan w:val="2"/>
            <w:tcBorders>
              <w:top w:val="single" w:sz="4" w:space="0" w:color="auto"/>
              <w:left w:val="single" w:sz="4" w:space="0" w:color="auto"/>
              <w:right w:val="single" w:sz="4" w:space="0" w:color="auto"/>
            </w:tcBorders>
            <w:shd w:val="clear" w:color="auto" w:fill="FFFFFF"/>
          </w:tcPr>
          <w:p w14:paraId="646B4577"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lastRenderedPageBreak/>
              <w:t>&lt;վարիատիվությունը&gt;</w:t>
            </w:r>
          </w:p>
        </w:tc>
      </w:tr>
      <w:tr w:rsidR="008C76E0" w:rsidRPr="00DF2860" w14:paraId="5BA5E0BB" w14:textId="77777777" w:rsidTr="008C76E0">
        <w:trPr>
          <w:jc w:val="center"/>
        </w:trPr>
        <w:tc>
          <w:tcPr>
            <w:tcW w:w="2215" w:type="dxa"/>
            <w:gridSpan w:val="2"/>
            <w:vMerge/>
            <w:tcBorders>
              <w:left w:val="single" w:sz="4" w:space="0" w:color="auto"/>
            </w:tcBorders>
            <w:shd w:val="clear" w:color="auto" w:fill="FFFFFF"/>
          </w:tcPr>
          <w:p w14:paraId="0B19848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6CFDFC38"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66C1E49F"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 xml:space="preserve">P արժեքը </w:t>
            </w:r>
            <w:r w:rsidRPr="0032101F">
              <w:rPr>
                <w:rStyle w:val="Bodytext295pt"/>
                <w:rFonts w:ascii="Sylfaen" w:hAnsi="Sylfaen"/>
                <w:i/>
                <w:spacing w:val="0"/>
                <w:sz w:val="20"/>
                <w:szCs w:val="20"/>
              </w:rPr>
              <w:t>{նշե՛ք կիրառված վիճակագրական մեթոդը, օրինակ՝ ANOVA}</w:t>
            </w:r>
          </w:p>
        </w:tc>
        <w:tc>
          <w:tcPr>
            <w:tcW w:w="3724" w:type="dxa"/>
            <w:gridSpan w:val="2"/>
            <w:tcBorders>
              <w:top w:val="single" w:sz="4" w:space="0" w:color="auto"/>
              <w:left w:val="single" w:sz="4" w:space="0" w:color="auto"/>
              <w:right w:val="single" w:sz="4" w:space="0" w:color="auto"/>
            </w:tcBorders>
            <w:shd w:val="clear" w:color="auto" w:fill="FFFFFF"/>
          </w:tcPr>
          <w:p w14:paraId="376C953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r>
      <w:tr w:rsidR="008C76E0" w:rsidRPr="00DF2860" w14:paraId="42F778C1" w14:textId="77777777" w:rsidTr="008C76E0">
        <w:trPr>
          <w:jc w:val="center"/>
        </w:trPr>
        <w:tc>
          <w:tcPr>
            <w:tcW w:w="2215" w:type="dxa"/>
            <w:gridSpan w:val="2"/>
            <w:vMerge/>
            <w:tcBorders>
              <w:left w:val="single" w:sz="4" w:space="0" w:color="auto"/>
            </w:tcBorders>
            <w:shd w:val="clear" w:color="auto" w:fill="FFFFFF"/>
          </w:tcPr>
          <w:p w14:paraId="05AB602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val="restart"/>
            <w:tcBorders>
              <w:top w:val="single" w:sz="4" w:space="0" w:color="auto"/>
              <w:left w:val="single" w:sz="4" w:space="0" w:color="auto"/>
            </w:tcBorders>
            <w:shd w:val="clear" w:color="auto" w:fill="FFFFFF"/>
            <w:vAlign w:val="bottom"/>
          </w:tcPr>
          <w:p w14:paraId="1A9428BC"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1811pt"/>
                <w:rFonts w:ascii="Sylfaen" w:hAnsi="Sylfaen"/>
                <w:i/>
                <w:sz w:val="20"/>
                <w:szCs w:val="20"/>
              </w:rPr>
              <w:t>&lt;&lt;</w:t>
            </w:r>
            <w:r w:rsidRPr="00720CDC">
              <w:rPr>
                <w:rStyle w:val="Bodytext295pt"/>
                <w:rFonts w:ascii="Sylfaen" w:hAnsi="Sylfaen"/>
                <w:i/>
                <w:spacing w:val="0"/>
                <w:sz w:val="20"/>
                <w:szCs w:val="20"/>
              </w:rPr>
              <w:t xml:space="preserve">Համակցված&gt; Առաջնային&gt; &lt;Երկրորդային&gt; &lt;այլ՝ նշե՛ք&gt; </w:t>
            </w:r>
            <w:r w:rsidRPr="00720CDC">
              <w:rPr>
                <w:rStyle w:val="Bodytext1811pt"/>
                <w:rFonts w:ascii="Sylfaen" w:hAnsi="Sylfaen"/>
                <w:i/>
                <w:sz w:val="20"/>
                <w:szCs w:val="20"/>
              </w:rPr>
              <w:t>կլինիկական հետազոտության կետը</w:t>
            </w:r>
          </w:p>
        </w:tc>
        <w:tc>
          <w:tcPr>
            <w:tcW w:w="2894" w:type="dxa"/>
            <w:gridSpan w:val="2"/>
            <w:tcBorders>
              <w:top w:val="single" w:sz="4" w:space="0" w:color="auto"/>
              <w:left w:val="single" w:sz="4" w:space="0" w:color="auto"/>
            </w:tcBorders>
            <w:shd w:val="clear" w:color="auto" w:fill="FFFFFF"/>
          </w:tcPr>
          <w:p w14:paraId="40EB7E1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25518210"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&lt;խմբի ծածկագրված նշագիրը&gt;</w:t>
            </w:r>
          </w:p>
        </w:tc>
      </w:tr>
      <w:tr w:rsidR="008C76E0" w:rsidRPr="00DF2860" w14:paraId="4B8515CF" w14:textId="77777777" w:rsidTr="008C76E0">
        <w:trPr>
          <w:jc w:val="center"/>
        </w:trPr>
        <w:tc>
          <w:tcPr>
            <w:tcW w:w="2215" w:type="dxa"/>
            <w:gridSpan w:val="2"/>
            <w:vMerge/>
            <w:tcBorders>
              <w:left w:val="single" w:sz="4" w:space="0" w:color="auto"/>
            </w:tcBorders>
            <w:shd w:val="clear" w:color="auto" w:fill="FFFFFF"/>
          </w:tcPr>
          <w:p w14:paraId="2AE04EE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vAlign w:val="bottom"/>
          </w:tcPr>
          <w:p w14:paraId="7A3F654E"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6D1E516D"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c>
          <w:tcPr>
            <w:tcW w:w="3724" w:type="dxa"/>
            <w:gridSpan w:val="2"/>
            <w:tcBorders>
              <w:top w:val="single" w:sz="4" w:space="0" w:color="auto"/>
              <w:left w:val="single" w:sz="4" w:space="0" w:color="auto"/>
              <w:right w:val="single" w:sz="4" w:space="0" w:color="auto"/>
            </w:tcBorders>
            <w:shd w:val="clear" w:color="auto" w:fill="FFFFFF"/>
          </w:tcPr>
          <w:p w14:paraId="3F26B89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&lt;կետային գնահատումը&gt;</w:t>
            </w:r>
          </w:p>
        </w:tc>
      </w:tr>
      <w:tr w:rsidR="008C76E0" w:rsidRPr="00DF2860" w14:paraId="4AC3CC2A" w14:textId="77777777" w:rsidTr="008C76E0">
        <w:trPr>
          <w:jc w:val="center"/>
        </w:trPr>
        <w:tc>
          <w:tcPr>
            <w:tcW w:w="2215" w:type="dxa"/>
            <w:gridSpan w:val="2"/>
            <w:vMerge/>
            <w:tcBorders>
              <w:left w:val="single" w:sz="4" w:space="0" w:color="auto"/>
            </w:tcBorders>
            <w:shd w:val="clear" w:color="auto" w:fill="FFFFFF"/>
          </w:tcPr>
          <w:p w14:paraId="4BA2779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vAlign w:val="bottom"/>
          </w:tcPr>
          <w:p w14:paraId="32D1FFEB"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tcPr>
          <w:p w14:paraId="3D53B915"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&lt;վարիացիաների վիճակագրությունը&gt;</w:t>
            </w:r>
          </w:p>
        </w:tc>
        <w:tc>
          <w:tcPr>
            <w:tcW w:w="3724" w:type="dxa"/>
            <w:gridSpan w:val="2"/>
            <w:tcBorders>
              <w:top w:val="single" w:sz="4" w:space="0" w:color="auto"/>
              <w:left w:val="single" w:sz="4" w:space="0" w:color="auto"/>
              <w:right w:val="single" w:sz="4" w:space="0" w:color="auto"/>
            </w:tcBorders>
            <w:shd w:val="clear" w:color="auto" w:fill="FFFFFF"/>
          </w:tcPr>
          <w:p w14:paraId="4FF024E2"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&lt;վարիատիվությունը&gt;</w:t>
            </w:r>
          </w:p>
        </w:tc>
      </w:tr>
      <w:tr w:rsidR="008C76E0" w:rsidRPr="00DF2860" w14:paraId="066587D7" w14:textId="77777777" w:rsidTr="008C76E0">
        <w:trPr>
          <w:jc w:val="center"/>
        </w:trPr>
        <w:tc>
          <w:tcPr>
            <w:tcW w:w="2215" w:type="dxa"/>
            <w:gridSpan w:val="2"/>
            <w:tcBorders>
              <w:top w:val="single" w:sz="4" w:space="0" w:color="auto"/>
              <w:left w:val="single" w:sz="4" w:space="0" w:color="auto"/>
            </w:tcBorders>
            <w:shd w:val="clear" w:color="auto" w:fill="FFFFFF"/>
          </w:tcPr>
          <w:p w14:paraId="547C4DD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3FC2D7C5"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1811pt"/>
                <w:rFonts w:ascii="Sylfaen" w:hAnsi="Sylfaen"/>
                <w:i/>
                <w:sz w:val="20"/>
                <w:szCs w:val="20"/>
              </w:rPr>
              <w:t>{</w:t>
            </w:r>
            <w:r w:rsidRPr="00720CDC">
              <w:rPr>
                <w:rStyle w:val="Bodytext295pt"/>
                <w:rFonts w:ascii="Sylfaen" w:hAnsi="Sylfaen"/>
                <w:i/>
                <w:spacing w:val="0"/>
                <w:sz w:val="20"/>
                <w:szCs w:val="20"/>
              </w:rPr>
              <w:t>նշե՛ք կլինիկական հետազոտության կետը՝</w:t>
            </w:r>
          </w:p>
        </w:tc>
        <w:tc>
          <w:tcPr>
            <w:tcW w:w="2894" w:type="dxa"/>
            <w:gridSpan w:val="2"/>
            <w:tcBorders>
              <w:top w:val="single" w:sz="4" w:space="0" w:color="auto"/>
              <w:left w:val="single" w:sz="4" w:space="0" w:color="auto"/>
            </w:tcBorders>
            <w:shd w:val="clear" w:color="auto" w:fill="FFFFFF"/>
          </w:tcPr>
          <w:p w14:paraId="30DC6FEB"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c>
          <w:tcPr>
            <w:tcW w:w="3724" w:type="dxa"/>
            <w:gridSpan w:val="2"/>
            <w:tcBorders>
              <w:top w:val="single" w:sz="4" w:space="0" w:color="auto"/>
              <w:left w:val="single" w:sz="4" w:space="0" w:color="auto"/>
              <w:right w:val="single" w:sz="4" w:space="0" w:color="auto"/>
            </w:tcBorders>
            <w:shd w:val="clear" w:color="auto" w:fill="FFFFFF"/>
          </w:tcPr>
          <w:p w14:paraId="13BE4B90"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r>
      <w:tr w:rsidR="008C76E0" w:rsidRPr="00DF2860" w14:paraId="3744E72B"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00190340"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5A9E4DF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օգտվելով վերը նշված «Կլինիկական հետազոտության կետերը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սահմանումները» բաժնում նշված եզրութաբանությունից}</w:t>
            </w:r>
          </w:p>
        </w:tc>
        <w:tc>
          <w:tcPr>
            <w:tcW w:w="2894" w:type="dxa"/>
            <w:gridSpan w:val="2"/>
            <w:tcBorders>
              <w:top w:val="single" w:sz="4" w:space="0" w:color="auto"/>
              <w:left w:val="single" w:sz="4" w:space="0" w:color="auto"/>
            </w:tcBorders>
            <w:shd w:val="clear" w:color="auto" w:fill="FFFFFF"/>
          </w:tcPr>
          <w:p w14:paraId="06211064" w14:textId="77777777" w:rsidR="008C76E0" w:rsidRPr="00DF2860" w:rsidRDefault="008C76E0" w:rsidP="008C76E0">
            <w:pPr>
              <w:spacing w:after="120" w:line="240" w:lineRule="auto"/>
              <w:ind w:right="-1"/>
              <w:jc w:val="center"/>
              <w:rPr>
                <w:rFonts w:ascii="Sylfaen" w:hAnsi="Sylfaen"/>
                <w:sz w:val="20"/>
                <w:szCs w:val="20"/>
              </w:rPr>
            </w:pPr>
          </w:p>
        </w:tc>
        <w:tc>
          <w:tcPr>
            <w:tcW w:w="3724" w:type="dxa"/>
            <w:gridSpan w:val="2"/>
            <w:tcBorders>
              <w:top w:val="single" w:sz="4" w:space="0" w:color="auto"/>
              <w:left w:val="single" w:sz="4" w:space="0" w:color="auto"/>
              <w:right w:val="single" w:sz="4" w:space="0" w:color="auto"/>
            </w:tcBorders>
            <w:shd w:val="clear" w:color="auto" w:fill="FFFFFF"/>
          </w:tcPr>
          <w:p w14:paraId="3D7E746A" w14:textId="77777777" w:rsidR="008C76E0" w:rsidRPr="00DF2860" w:rsidRDefault="008C76E0" w:rsidP="008C76E0">
            <w:pPr>
              <w:spacing w:after="120" w:line="240" w:lineRule="auto"/>
              <w:ind w:right="-1"/>
              <w:jc w:val="center"/>
              <w:rPr>
                <w:rFonts w:ascii="Sylfaen" w:hAnsi="Sylfaen"/>
                <w:sz w:val="20"/>
                <w:szCs w:val="20"/>
              </w:rPr>
            </w:pPr>
          </w:p>
        </w:tc>
      </w:tr>
      <w:tr w:rsidR="008C76E0" w:rsidRPr="00DF2860" w14:paraId="6EB8CC08" w14:textId="77777777" w:rsidTr="008C76E0">
        <w:trPr>
          <w:jc w:val="center"/>
        </w:trPr>
        <w:tc>
          <w:tcPr>
            <w:tcW w:w="2215" w:type="dxa"/>
            <w:gridSpan w:val="2"/>
            <w:vMerge/>
            <w:tcBorders>
              <w:left w:val="single" w:sz="4" w:space="0" w:color="auto"/>
            </w:tcBorders>
            <w:shd w:val="clear" w:color="auto" w:fill="FFFFFF"/>
          </w:tcPr>
          <w:p w14:paraId="69651C3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val="restart"/>
            <w:tcBorders>
              <w:top w:val="single" w:sz="4" w:space="0" w:color="auto"/>
              <w:left w:val="single" w:sz="4" w:space="0" w:color="auto"/>
            </w:tcBorders>
            <w:shd w:val="clear" w:color="auto" w:fill="FFFFFF"/>
          </w:tcPr>
          <w:p w14:paraId="66F90BCD"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&lt;&lt;Համակցված&gt; Առաջնային&gt; &lt;Երկրորդային&gt; &lt;այլ՝ նշե՛ք&gt; </w:t>
            </w:r>
            <w:r w:rsidRPr="0032101F">
              <w:rPr>
                <w:rStyle w:val="Bodytext1811pt"/>
                <w:rFonts w:ascii="Sylfaen" w:hAnsi="Sylfaen"/>
                <w:sz w:val="20"/>
                <w:szCs w:val="20"/>
              </w:rPr>
              <w:t>կլինիկական հետազոտության կետը</w:t>
            </w:r>
          </w:p>
        </w:tc>
        <w:tc>
          <w:tcPr>
            <w:tcW w:w="2894" w:type="dxa"/>
            <w:gridSpan w:val="2"/>
            <w:tcBorders>
              <w:top w:val="single" w:sz="4" w:space="0" w:color="auto"/>
              <w:left w:val="single" w:sz="4" w:space="0" w:color="auto"/>
            </w:tcBorders>
            <w:shd w:val="clear" w:color="auto" w:fill="FFFFFF"/>
          </w:tcPr>
          <w:p w14:paraId="7B46A7C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609FD4EF"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&lt;խմբի ծածկագրված նշագիրը&gt;</w:t>
            </w:r>
          </w:p>
        </w:tc>
      </w:tr>
      <w:tr w:rsidR="008C76E0" w:rsidRPr="00DF2860" w14:paraId="4355941E" w14:textId="77777777" w:rsidTr="008C76E0">
        <w:trPr>
          <w:jc w:val="center"/>
        </w:trPr>
        <w:tc>
          <w:tcPr>
            <w:tcW w:w="2215" w:type="dxa"/>
            <w:gridSpan w:val="2"/>
            <w:vMerge/>
            <w:tcBorders>
              <w:left w:val="single" w:sz="4" w:space="0" w:color="auto"/>
            </w:tcBorders>
            <w:shd w:val="clear" w:color="auto" w:fill="FFFFFF"/>
          </w:tcPr>
          <w:p w14:paraId="42784EB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1C7157A5"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vAlign w:val="bottom"/>
          </w:tcPr>
          <w:p w14:paraId="433C0425"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c>
          <w:tcPr>
            <w:tcW w:w="3724" w:type="dxa"/>
            <w:gridSpan w:val="2"/>
            <w:tcBorders>
              <w:top w:val="single" w:sz="4" w:space="0" w:color="auto"/>
              <w:left w:val="single" w:sz="4" w:space="0" w:color="auto"/>
              <w:right w:val="single" w:sz="4" w:space="0" w:color="auto"/>
            </w:tcBorders>
            <w:shd w:val="clear" w:color="auto" w:fill="FFFFFF"/>
          </w:tcPr>
          <w:p w14:paraId="7077E9E9"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r>
      <w:tr w:rsidR="008C76E0" w:rsidRPr="00DF2860" w14:paraId="067B4284" w14:textId="77777777" w:rsidTr="008C76E0">
        <w:trPr>
          <w:jc w:val="center"/>
        </w:trPr>
        <w:tc>
          <w:tcPr>
            <w:tcW w:w="2215" w:type="dxa"/>
            <w:gridSpan w:val="2"/>
            <w:vMerge/>
            <w:tcBorders>
              <w:left w:val="single" w:sz="4" w:space="0" w:color="auto"/>
            </w:tcBorders>
            <w:shd w:val="clear" w:color="auto" w:fill="FFFFFF"/>
          </w:tcPr>
          <w:p w14:paraId="4520222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7CCA4704"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tcPr>
          <w:p w14:paraId="77136E65"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&lt;վարիացիաների վիճակագրությունը&gt;</w:t>
            </w:r>
          </w:p>
        </w:tc>
        <w:tc>
          <w:tcPr>
            <w:tcW w:w="3724" w:type="dxa"/>
            <w:gridSpan w:val="2"/>
            <w:tcBorders>
              <w:top w:val="single" w:sz="4" w:space="0" w:color="auto"/>
              <w:left w:val="single" w:sz="4" w:space="0" w:color="auto"/>
              <w:right w:val="single" w:sz="4" w:space="0" w:color="auto"/>
            </w:tcBorders>
            <w:shd w:val="clear" w:color="auto" w:fill="FFFFFF"/>
          </w:tcPr>
          <w:p w14:paraId="3F7F01F7"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Վարիացիաների վիճակագրությունը&gt;</w:t>
            </w:r>
          </w:p>
        </w:tc>
      </w:tr>
      <w:tr w:rsidR="008C76E0" w:rsidRPr="00DF2860" w14:paraId="38081A41" w14:textId="77777777" w:rsidTr="008C76E0">
        <w:trPr>
          <w:jc w:val="center"/>
        </w:trPr>
        <w:tc>
          <w:tcPr>
            <w:tcW w:w="2215" w:type="dxa"/>
            <w:gridSpan w:val="2"/>
            <w:vMerge/>
            <w:tcBorders>
              <w:left w:val="single" w:sz="4" w:space="0" w:color="auto"/>
            </w:tcBorders>
            <w:shd w:val="clear" w:color="auto" w:fill="FFFFFF"/>
          </w:tcPr>
          <w:p w14:paraId="41B37701"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1CE92BEB"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tcPr>
          <w:p w14:paraId="3846A5F2"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&lt;Р արժեքը&gt;</w:t>
            </w:r>
          </w:p>
        </w:tc>
        <w:tc>
          <w:tcPr>
            <w:tcW w:w="3724" w:type="dxa"/>
            <w:gridSpan w:val="2"/>
            <w:tcBorders>
              <w:top w:val="single" w:sz="4" w:space="0" w:color="auto"/>
              <w:left w:val="single" w:sz="4" w:space="0" w:color="auto"/>
              <w:right w:val="single" w:sz="4" w:space="0" w:color="auto"/>
            </w:tcBorders>
            <w:shd w:val="clear" w:color="auto" w:fill="FFFFFF"/>
          </w:tcPr>
          <w:p w14:paraId="09590B03"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&lt;Р արժեքը&gt;</w:t>
            </w:r>
          </w:p>
        </w:tc>
      </w:tr>
      <w:tr w:rsidR="008C76E0" w:rsidRPr="00DF2860" w14:paraId="4FD9485C" w14:textId="77777777" w:rsidTr="008C76E0">
        <w:trPr>
          <w:jc w:val="center"/>
        </w:trPr>
        <w:tc>
          <w:tcPr>
            <w:tcW w:w="2215" w:type="dxa"/>
            <w:gridSpan w:val="2"/>
            <w:tcBorders>
              <w:top w:val="single" w:sz="4" w:space="0" w:color="auto"/>
              <w:left w:val="single" w:sz="4" w:space="0" w:color="auto"/>
            </w:tcBorders>
            <w:shd w:val="clear" w:color="auto" w:fill="FFFFFF"/>
          </w:tcPr>
          <w:p w14:paraId="29E3F0E1"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Ծանոթագրություններ</w:t>
            </w:r>
          </w:p>
        </w:tc>
        <w:tc>
          <w:tcPr>
            <w:tcW w:w="8948" w:type="dxa"/>
            <w:gridSpan w:val="5"/>
            <w:tcBorders>
              <w:top w:val="single" w:sz="4" w:space="0" w:color="auto"/>
              <w:left w:val="single" w:sz="4" w:space="0" w:color="auto"/>
              <w:right w:val="single" w:sz="4" w:space="0" w:color="auto"/>
            </w:tcBorders>
            <w:shd w:val="clear" w:color="auto" w:fill="FFFFFF"/>
            <w:vAlign w:val="bottom"/>
          </w:tcPr>
          <w:p w14:paraId="289CA33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&lt;կամայական տեքստ&gt;</w:t>
            </w:r>
          </w:p>
          <w:p w14:paraId="1C2EF0D1"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{ի թիվս այլոց՝ դիտարկե՛ք հետ</w:t>
            </w:r>
            <w:r w:rsidR="00C54D75">
              <w:rPr>
                <w:rStyle w:val="Bodytext295pt"/>
                <w:rFonts w:ascii="Sylfaen" w:hAnsi="Sylfaen"/>
                <w:spacing w:val="0"/>
                <w:sz w:val="20"/>
                <w:szCs w:val="20"/>
              </w:rPr>
              <w:t>և</w:t>
            </w:r>
            <w:r w:rsidRPr="00DF2860">
              <w:rPr>
                <w:rStyle w:val="Bodytext295pt"/>
                <w:rFonts w:ascii="Sylfaen" w:hAnsi="Sylfaen"/>
                <w:spacing w:val="0"/>
                <w:sz w:val="20"/>
                <w:szCs w:val="20"/>
              </w:rPr>
              <w:t>յալ տեղեկատվությունը՝ հետազոտությունից դուրս գալու պատճառները, վերլուծության խիստ կար</w:t>
            </w:r>
            <w:r w:rsidR="00C54D75">
              <w:rPr>
                <w:rStyle w:val="Bodytext295pt"/>
                <w:rFonts w:ascii="Sylfaen" w:hAnsi="Sylfaen"/>
                <w:spacing w:val="0"/>
                <w:sz w:val="20"/>
                <w:szCs w:val="20"/>
              </w:rPr>
              <w:t>և</w:t>
            </w:r>
            <w:r w:rsidRPr="00DF2860">
              <w:rPr>
                <w:rStyle w:val="Bodytext295pt"/>
                <w:rFonts w:ascii="Sylfaen" w:hAnsi="Sylfaen"/>
                <w:spacing w:val="0"/>
                <w:sz w:val="20"/>
                <w:szCs w:val="20"/>
              </w:rPr>
              <w:t>որ արդյունքները}</w:t>
            </w:r>
          </w:p>
        </w:tc>
      </w:tr>
      <w:tr w:rsidR="008C76E0" w:rsidRPr="00DF2860" w14:paraId="4CBC28B0" w14:textId="77777777" w:rsidTr="008C76E0">
        <w:trPr>
          <w:jc w:val="center"/>
        </w:trPr>
        <w:tc>
          <w:tcPr>
            <w:tcW w:w="2215" w:type="dxa"/>
            <w:gridSpan w:val="2"/>
            <w:tcBorders>
              <w:top w:val="single" w:sz="4" w:space="0" w:color="auto"/>
              <w:left w:val="single" w:sz="4" w:space="0" w:color="auto"/>
            </w:tcBorders>
            <w:shd w:val="clear" w:color="auto" w:fill="FFFFFF"/>
          </w:tcPr>
          <w:p w14:paraId="5DB9C15E"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Վերլուծության նկարագրությունը</w:t>
            </w:r>
          </w:p>
          <w:p w14:paraId="3A3C2C15"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p>
        </w:tc>
        <w:tc>
          <w:tcPr>
            <w:tcW w:w="8948" w:type="dxa"/>
            <w:gridSpan w:val="5"/>
            <w:tcBorders>
              <w:top w:val="single" w:sz="4" w:space="0" w:color="auto"/>
              <w:left w:val="single" w:sz="4" w:space="0" w:color="auto"/>
              <w:right w:val="single" w:sz="4" w:space="0" w:color="auto"/>
            </w:tcBorders>
            <w:shd w:val="clear" w:color="auto" w:fill="FFFFFF"/>
            <w:vAlign w:val="bottom"/>
          </w:tcPr>
          <w:p w14:paraId="317401EA"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&lt;լրացուցիչ վերլուծություն&gt;</w:t>
            </w:r>
          </w:p>
          <w:p w14:paraId="4A7A3125" w14:textId="77777777" w:rsidR="008C76E0" w:rsidRPr="00DF2860" w:rsidRDefault="008C76E0" w:rsidP="008C76E0">
            <w:pPr>
              <w:pStyle w:val="Bodytext180"/>
              <w:shd w:val="clear" w:color="auto" w:fill="auto"/>
              <w:spacing w:before="0" w:after="120" w:line="240" w:lineRule="auto"/>
              <w:ind w:right="-1" w:firstLine="567"/>
              <w:jc w:val="center"/>
              <w:rPr>
                <w:rFonts w:ascii="Sylfaen" w:hAnsi="Sylfaen"/>
                <w:b w:val="0"/>
                <w:sz w:val="20"/>
                <w:szCs w:val="20"/>
              </w:rPr>
            </w:pPr>
            <w:r w:rsidRPr="00DF2860">
              <w:rPr>
                <w:rStyle w:val="Bodytext295pt"/>
                <w:rFonts w:ascii="Sylfaen" w:hAnsi="Sylfaen"/>
                <w:spacing w:val="0"/>
                <w:sz w:val="20"/>
                <w:szCs w:val="20"/>
              </w:rPr>
              <w:t>&lt;համակցված առաջնային վերլուծություն&gt; &lt;այլ՝ նշել&gt; {նա</w:t>
            </w:r>
            <w:r w:rsidR="00C54D75">
              <w:rPr>
                <w:rStyle w:val="Bodytext295pt"/>
                <w:rFonts w:ascii="Sylfaen" w:hAnsi="Sylfaen"/>
                <w:spacing w:val="0"/>
                <w:sz w:val="20"/>
                <w:szCs w:val="20"/>
              </w:rPr>
              <w:t>և</w:t>
            </w:r>
            <w:r w:rsidRPr="00DF2860">
              <w:rPr>
                <w:rStyle w:val="Bodytext295pt"/>
                <w:rFonts w:ascii="Sylfaen" w:hAnsi="Sylfaen"/>
                <w:spacing w:val="0"/>
                <w:sz w:val="20"/>
                <w:szCs w:val="20"/>
              </w:rPr>
              <w:t xml:space="preserve"> նշե՛ք, եթե վերլուծության անցկացումը պլանավորված է եղել}</w:t>
            </w:r>
          </w:p>
        </w:tc>
      </w:tr>
      <w:tr w:rsidR="008C76E0" w:rsidRPr="00DF2860" w14:paraId="08525D0E" w14:textId="77777777" w:rsidTr="008C76E0">
        <w:trPr>
          <w:jc w:val="center"/>
        </w:trPr>
        <w:tc>
          <w:tcPr>
            <w:tcW w:w="2215" w:type="dxa"/>
            <w:gridSpan w:val="2"/>
            <w:tcBorders>
              <w:top w:val="single" w:sz="4" w:space="0" w:color="auto"/>
              <w:left w:val="single" w:sz="4" w:space="0" w:color="auto"/>
              <w:bottom w:val="single" w:sz="4" w:space="0" w:color="auto"/>
            </w:tcBorders>
            <w:shd w:val="clear" w:color="auto" w:fill="FFFFFF"/>
            <w:vAlign w:val="bottom"/>
          </w:tcPr>
          <w:p w14:paraId="6971D661"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295pt"/>
                <w:rFonts w:ascii="Sylfaen" w:hAnsi="Sylfaen"/>
                <w:spacing w:val="0"/>
                <w:sz w:val="20"/>
                <w:szCs w:val="20"/>
              </w:rPr>
              <w:t>{կրկնե՛ք վերը նշված բաժինները յուրաքանչյուր ակտուալ վերլուծության առնչությամբ}</w:t>
            </w:r>
          </w:p>
        </w:tc>
        <w:tc>
          <w:tcPr>
            <w:tcW w:w="8948" w:type="dxa"/>
            <w:gridSpan w:val="5"/>
            <w:tcBorders>
              <w:top w:val="single" w:sz="4" w:space="0" w:color="auto"/>
              <w:left w:val="single" w:sz="4" w:space="0" w:color="auto"/>
              <w:bottom w:val="single" w:sz="4" w:space="0" w:color="auto"/>
              <w:right w:val="single" w:sz="4" w:space="0" w:color="auto"/>
            </w:tcBorders>
            <w:shd w:val="clear" w:color="auto" w:fill="FFFFFF"/>
          </w:tcPr>
          <w:p w14:paraId="4F3A3D66" w14:textId="77777777" w:rsidR="008C76E0" w:rsidRPr="00DF2860" w:rsidRDefault="008C76E0" w:rsidP="008C76E0">
            <w:pPr>
              <w:spacing w:after="120" w:line="240" w:lineRule="auto"/>
              <w:ind w:right="-1" w:firstLine="567"/>
              <w:jc w:val="center"/>
              <w:rPr>
                <w:rFonts w:ascii="Sylfaen" w:hAnsi="Sylfaen"/>
                <w:sz w:val="20"/>
                <w:szCs w:val="20"/>
              </w:rPr>
            </w:pPr>
          </w:p>
        </w:tc>
      </w:tr>
    </w:tbl>
    <w:p w14:paraId="5AC8A43F" w14:textId="77777777" w:rsidR="008C76E0" w:rsidRDefault="008C76E0" w:rsidP="008C76E0">
      <w:pPr>
        <w:widowControl/>
        <w:rPr>
          <w:rFonts w:ascii="Sylfaen" w:hAnsi="Sylfaen"/>
          <w:sz w:val="24"/>
          <w:szCs w:val="24"/>
        </w:rPr>
      </w:pPr>
      <w:r>
        <w:rPr>
          <w:rFonts w:ascii="Sylfaen" w:hAnsi="Sylfaen"/>
          <w:sz w:val="24"/>
          <w:szCs w:val="24"/>
        </w:rPr>
        <w:br w:type="page"/>
      </w:r>
    </w:p>
    <w:p w14:paraId="5E51EDA3" w14:textId="77777777" w:rsidR="008C76E0" w:rsidRPr="00BD7577" w:rsidRDefault="008C76E0" w:rsidP="004B393A">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lastRenderedPageBreak/>
        <w:t>Կլինիկական հետազոտությունները բնակչության հատուկ խմբերի մոտ:</w:t>
      </w:r>
    </w:p>
    <w:p w14:paraId="08165D8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Բոլոր հետազոտությունների մասով իրականացված վերլուծություն (ընդհանրացված վերլուծություններ </w:t>
      </w:r>
      <w:r w:rsidR="00C54D75">
        <w:rPr>
          <w:rFonts w:ascii="Sylfaen" w:hAnsi="Sylfaen"/>
          <w:sz w:val="24"/>
          <w:szCs w:val="24"/>
        </w:rPr>
        <w:t>և</w:t>
      </w:r>
      <w:r w:rsidRPr="00BD7577">
        <w:rPr>
          <w:rFonts w:ascii="Sylfaen" w:hAnsi="Sylfaen"/>
          <w:sz w:val="24"/>
          <w:szCs w:val="24"/>
        </w:rPr>
        <w:t xml:space="preserve"> մետա-վերլուծություն):</w:t>
      </w:r>
    </w:p>
    <w:p w14:paraId="5D0E0F27"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Օժանդակ հետազոտությունը:</w:t>
      </w:r>
    </w:p>
    <w:p w14:paraId="7F683D94"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1.20.</w:t>
      </w:r>
      <w:r w:rsidRPr="00BD7577">
        <w:rPr>
          <w:rFonts w:ascii="Sylfaen" w:hAnsi="Sylfaen"/>
          <w:sz w:val="24"/>
          <w:szCs w:val="24"/>
        </w:rPr>
        <w:tab/>
        <w:t>Կլինիկական արդյունավետության վերլուծութունը:</w:t>
      </w:r>
    </w:p>
    <w:p w14:paraId="5D0F64F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Կլինիկական հետազոտությունների բովանդակային պլանը </w:t>
      </w:r>
      <w:r w:rsidR="00C54D75">
        <w:rPr>
          <w:rFonts w:ascii="Sylfaen" w:hAnsi="Sylfaen"/>
          <w:sz w:val="24"/>
          <w:szCs w:val="24"/>
        </w:rPr>
        <w:t>և</w:t>
      </w:r>
      <w:r w:rsidRPr="00BD7577">
        <w:rPr>
          <w:rFonts w:ascii="Sylfaen" w:hAnsi="Sylfaen"/>
          <w:sz w:val="24"/>
          <w:szCs w:val="24"/>
        </w:rPr>
        <w:t xml:space="preserve"> անցկացումը:</w:t>
      </w:r>
    </w:p>
    <w:p w14:paraId="32A1C1B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Արդյունավետության վերաբերյալ տվյալները </w:t>
      </w:r>
      <w:r w:rsidR="00C54D75">
        <w:rPr>
          <w:rFonts w:ascii="Sylfaen" w:hAnsi="Sylfaen"/>
          <w:sz w:val="24"/>
          <w:szCs w:val="24"/>
        </w:rPr>
        <w:t>և</w:t>
      </w:r>
      <w:r w:rsidRPr="00BD7577">
        <w:rPr>
          <w:rFonts w:ascii="Sylfaen" w:hAnsi="Sylfaen"/>
          <w:sz w:val="24"/>
          <w:szCs w:val="24"/>
        </w:rPr>
        <w:t xml:space="preserve"> լրացուցիչ վերլուծությունները:</w:t>
      </w:r>
    </w:p>
    <w:p w14:paraId="029206E4"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1.21.</w:t>
      </w:r>
      <w:r w:rsidRPr="00BD7577">
        <w:rPr>
          <w:rFonts w:ascii="Sylfaen" w:hAnsi="Sylfaen"/>
          <w:sz w:val="24"/>
          <w:szCs w:val="24"/>
        </w:rPr>
        <w:tab/>
        <w:t>Կլինիկական արդյունավետության վերաբերյալ եզրահանգումը:</w:t>
      </w:r>
    </w:p>
    <w:p w14:paraId="371F1825"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1.22.</w:t>
      </w:r>
      <w:r w:rsidRPr="00BD7577">
        <w:rPr>
          <w:rFonts w:ascii="Sylfaen" w:hAnsi="Sylfaen"/>
          <w:sz w:val="24"/>
          <w:szCs w:val="24"/>
        </w:rPr>
        <w:tab/>
        <w:t>Կլինիկական անվտանգությունը:</w:t>
      </w:r>
    </w:p>
    <w:p w14:paraId="3EEE0994"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Պացիենտների վրա ազդեցությունը:</w:t>
      </w:r>
    </w:p>
    <w:p w14:paraId="4CF23DD8"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Անցանկալի եր</w:t>
      </w:r>
      <w:r w:rsidR="00C54D75">
        <w:rPr>
          <w:rFonts w:ascii="Sylfaen" w:hAnsi="Sylfaen"/>
          <w:sz w:val="24"/>
          <w:szCs w:val="24"/>
        </w:rPr>
        <w:t>և</w:t>
      </w:r>
      <w:r w:rsidRPr="00BD7577">
        <w:rPr>
          <w:rFonts w:ascii="Sylfaen" w:hAnsi="Sylfaen"/>
          <w:sz w:val="24"/>
          <w:szCs w:val="24"/>
        </w:rPr>
        <w:t>ույթները:</w:t>
      </w:r>
    </w:p>
    <w:p w14:paraId="043B6176"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Լուրջ անցանկալի եր</w:t>
      </w:r>
      <w:r w:rsidR="00C54D75">
        <w:rPr>
          <w:rFonts w:ascii="Sylfaen" w:hAnsi="Sylfaen"/>
          <w:sz w:val="24"/>
          <w:szCs w:val="24"/>
        </w:rPr>
        <w:t>և</w:t>
      </w:r>
      <w:r w:rsidRPr="00BD7577">
        <w:rPr>
          <w:rFonts w:ascii="Sylfaen" w:hAnsi="Sylfaen"/>
          <w:sz w:val="24"/>
          <w:szCs w:val="24"/>
        </w:rPr>
        <w:t xml:space="preserve">ույթները </w:t>
      </w:r>
      <w:r w:rsidR="00C54D75">
        <w:rPr>
          <w:rFonts w:ascii="Sylfaen" w:hAnsi="Sylfaen"/>
          <w:sz w:val="24"/>
          <w:szCs w:val="24"/>
        </w:rPr>
        <w:t>և</w:t>
      </w:r>
      <w:r w:rsidRPr="00BD7577">
        <w:rPr>
          <w:rFonts w:ascii="Sylfaen" w:hAnsi="Sylfaen"/>
          <w:sz w:val="24"/>
          <w:szCs w:val="24"/>
        </w:rPr>
        <w:t xml:space="preserve"> մահվան ելքով դեպքերը:</w:t>
      </w:r>
    </w:p>
    <w:p w14:paraId="7516A51C"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Լաբորատոր հետազոտությունների տվյալները:</w:t>
      </w:r>
    </w:p>
    <w:p w14:paraId="00C91AB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Բնակչության հատուկ խմբերի մոտ անվտանգությունը:</w:t>
      </w:r>
    </w:p>
    <w:p w14:paraId="3E117AA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Իմունաբանական եր</w:t>
      </w:r>
      <w:r w:rsidR="00C54D75">
        <w:rPr>
          <w:rFonts w:ascii="Sylfaen" w:hAnsi="Sylfaen"/>
          <w:sz w:val="24"/>
          <w:szCs w:val="24"/>
        </w:rPr>
        <w:t>և</w:t>
      </w:r>
      <w:r w:rsidRPr="00BD7577">
        <w:rPr>
          <w:rFonts w:ascii="Sylfaen" w:hAnsi="Sylfaen"/>
          <w:sz w:val="24"/>
          <w:szCs w:val="24"/>
        </w:rPr>
        <w:t>ույթները:</w:t>
      </w:r>
    </w:p>
    <w:p w14:paraId="3F9A17CE"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 xml:space="preserve">Միջդեղային փոխազդեցությունների </w:t>
      </w:r>
      <w:r w:rsidR="00C54D75">
        <w:rPr>
          <w:rFonts w:ascii="Sylfaen" w:hAnsi="Sylfaen"/>
          <w:sz w:val="24"/>
          <w:szCs w:val="24"/>
        </w:rPr>
        <w:t>և</w:t>
      </w:r>
      <w:r w:rsidRPr="00BD7577">
        <w:rPr>
          <w:rFonts w:ascii="Sylfaen" w:hAnsi="Sylfaen"/>
          <w:sz w:val="24"/>
          <w:szCs w:val="24"/>
        </w:rPr>
        <w:t xml:space="preserve"> այլ փոխազդեցությունների հետ կապված անվտանգությունը:</w:t>
      </w:r>
    </w:p>
    <w:p w14:paraId="15900A5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Լուրջ անցանկալի եր</w:t>
      </w:r>
      <w:r w:rsidR="00C54D75">
        <w:rPr>
          <w:rFonts w:ascii="Sylfaen" w:hAnsi="Sylfaen"/>
          <w:sz w:val="24"/>
          <w:szCs w:val="24"/>
        </w:rPr>
        <w:t>և</w:t>
      </w:r>
      <w:r w:rsidRPr="00BD7577">
        <w:rPr>
          <w:rFonts w:ascii="Sylfaen" w:hAnsi="Sylfaen"/>
          <w:sz w:val="24"/>
          <w:szCs w:val="24"/>
        </w:rPr>
        <w:t>ույթների պատճառով հետազոտության մեջ մասնակցության դադարեցումը:</w:t>
      </w:r>
    </w:p>
    <w:p w14:paraId="51E855AF"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1.23.</w:t>
      </w:r>
      <w:r w:rsidRPr="00BD7577">
        <w:rPr>
          <w:rFonts w:ascii="Sylfaen" w:hAnsi="Sylfaen"/>
          <w:sz w:val="24"/>
          <w:szCs w:val="24"/>
        </w:rPr>
        <w:tab/>
        <w:t>Կլինիկական անվտանգության շուրջ քննարկումը:</w:t>
      </w:r>
    </w:p>
    <w:p w14:paraId="592C045F"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1.24.</w:t>
      </w:r>
      <w:r w:rsidRPr="00BD7577">
        <w:rPr>
          <w:rFonts w:ascii="Sylfaen" w:hAnsi="Sylfaen"/>
          <w:sz w:val="24"/>
          <w:szCs w:val="24"/>
        </w:rPr>
        <w:tab/>
        <w:t>Կլինիկական անվտանգության մասով եզրակացությունը:</w:t>
      </w:r>
    </w:p>
    <w:p w14:paraId="08B09CA3" w14:textId="77777777" w:rsidR="008C76E0" w:rsidRPr="00905F38" w:rsidRDefault="008C76E0" w:rsidP="004B393A">
      <w:pPr>
        <w:spacing w:after="160" w:line="360" w:lineRule="auto"/>
        <w:ind w:right="-1" w:firstLine="567"/>
        <w:jc w:val="center"/>
        <w:rPr>
          <w:rFonts w:ascii="Sylfaen" w:hAnsi="Sylfaen"/>
          <w:sz w:val="24"/>
          <w:szCs w:val="24"/>
        </w:rPr>
      </w:pPr>
    </w:p>
    <w:p w14:paraId="7A75D0CF" w14:textId="77777777" w:rsidR="008C76E0" w:rsidRPr="00BD7577" w:rsidRDefault="008C76E0" w:rsidP="004B393A">
      <w:pPr>
        <w:spacing w:after="160" w:line="360" w:lineRule="auto"/>
        <w:ind w:right="-1" w:firstLine="567"/>
        <w:jc w:val="center"/>
        <w:rPr>
          <w:rFonts w:ascii="Sylfaen" w:hAnsi="Sylfaen"/>
          <w:sz w:val="24"/>
          <w:szCs w:val="24"/>
        </w:rPr>
      </w:pPr>
      <w:r w:rsidRPr="00BD7577">
        <w:rPr>
          <w:rFonts w:ascii="Sylfaen" w:hAnsi="Sylfaen"/>
          <w:sz w:val="24"/>
          <w:szCs w:val="24"/>
        </w:rPr>
        <w:t>IV. Դեղազգոնության համակարգը</w:t>
      </w:r>
    </w:p>
    <w:p w14:paraId="14D88CDD" w14:textId="79AD1DE1"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lastRenderedPageBreak/>
        <w:t xml:space="preserve">&lt;Փորձագետը համարում է, որ դեղազգոնության համակարգը, որը նկարագրված է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կողմից, բավարարում է պահանջները </w:t>
      </w:r>
      <w:r w:rsidR="00C54D75">
        <w:rPr>
          <w:rFonts w:ascii="Sylfaen" w:hAnsi="Sylfaen"/>
          <w:b w:val="0"/>
          <w:sz w:val="24"/>
          <w:szCs w:val="24"/>
          <w:lang w:val="hy-AM"/>
        </w:rPr>
        <w:t>և</w:t>
      </w:r>
      <w:r w:rsidRPr="008C76E0">
        <w:rPr>
          <w:rFonts w:ascii="Sylfaen" w:hAnsi="Sylfaen"/>
          <w:b w:val="0"/>
          <w:sz w:val="24"/>
          <w:szCs w:val="24"/>
          <w:lang w:val="hy-AM"/>
        </w:rPr>
        <w:t xml:space="preserve"> համապատասխան ապացույց է հանդիսանում առ այն, որ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ին տրամադրվում են դեղազգոնության համար պատասխանատու լիազորված անձի ծառայությունները, </w:t>
      </w:r>
      <w:r w:rsidR="00C54D75">
        <w:rPr>
          <w:rFonts w:ascii="Sylfaen" w:hAnsi="Sylfaen"/>
          <w:b w:val="0"/>
          <w:sz w:val="24"/>
          <w:szCs w:val="24"/>
          <w:lang w:val="hy-AM"/>
        </w:rPr>
        <w:t>և</w:t>
      </w:r>
      <w:r w:rsidRPr="008C76E0">
        <w:rPr>
          <w:rFonts w:ascii="Sylfaen" w:hAnsi="Sylfaen"/>
          <w:b w:val="0"/>
          <w:sz w:val="24"/>
          <w:szCs w:val="24"/>
          <w:lang w:val="hy-AM"/>
        </w:rPr>
        <w:t xml:space="preserve"> առկա են Եվրասիական տնտեսական միությունում կամ երրորդ երկրում առաջացող ցանկացած ենթադրյալ անցանկալի ռեակցիայի մասին ծանուցման համար անհրաժեշտ միջոցները&gt;:</w:t>
      </w:r>
    </w:p>
    <w:p w14:paraId="52A0B0E8" w14:textId="65602705"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&lt;Փորձագետը համարում է, որ դեղազգոնության համակարգը, որը նկարագրված է </w:t>
      </w:r>
      <w:r w:rsidR="0056496B">
        <w:rPr>
          <w:rFonts w:ascii="Sylfaen" w:hAnsi="Sylfaen"/>
          <w:b w:val="0"/>
          <w:sz w:val="24"/>
          <w:szCs w:val="24"/>
          <w:lang w:val="hy-AM"/>
        </w:rPr>
        <w:t>դիմումատու</w:t>
      </w:r>
      <w:r w:rsidRPr="008C76E0">
        <w:rPr>
          <w:rFonts w:ascii="Sylfaen" w:hAnsi="Sylfaen"/>
          <w:b w:val="0"/>
          <w:sz w:val="24"/>
          <w:szCs w:val="24"/>
          <w:lang w:val="hy-AM"/>
        </w:rPr>
        <w:t>ի կողմից, ունի հետ</w:t>
      </w:r>
      <w:r w:rsidR="00C54D75">
        <w:rPr>
          <w:rFonts w:ascii="Sylfaen" w:hAnsi="Sylfaen"/>
          <w:b w:val="0"/>
          <w:sz w:val="24"/>
          <w:szCs w:val="24"/>
          <w:lang w:val="hy-AM"/>
        </w:rPr>
        <w:t>և</w:t>
      </w:r>
      <w:r w:rsidRPr="008C76E0">
        <w:rPr>
          <w:rFonts w:ascii="Sylfaen" w:hAnsi="Sylfaen"/>
          <w:b w:val="0"/>
          <w:sz w:val="24"/>
          <w:szCs w:val="24"/>
          <w:lang w:val="hy-AM"/>
        </w:rPr>
        <w:t>յալ թերությունները՝ &lt;թերությունների ցանկը&gt;:</w:t>
      </w:r>
    </w:p>
    <w:p w14:paraId="79AF9E14" w14:textId="303DEAC6"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&lt;Հաշվի առնելով, որ թերությունները վերացվում են նախքան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պետք է ներկայացնի համոզիչ տվյալներ առ այն, որ դեղազգոնության համակարգը ընդունվել </w:t>
      </w:r>
      <w:r w:rsidR="00C54D75">
        <w:rPr>
          <w:rFonts w:ascii="Sylfaen" w:hAnsi="Sylfaen"/>
          <w:b w:val="0"/>
          <w:sz w:val="24"/>
          <w:szCs w:val="24"/>
          <w:lang w:val="hy-AM"/>
        </w:rPr>
        <w:t>և</w:t>
      </w:r>
      <w:r w:rsidRPr="008C76E0">
        <w:rPr>
          <w:rFonts w:ascii="Sylfaen" w:hAnsi="Sylfaen"/>
          <w:b w:val="0"/>
          <w:sz w:val="24"/>
          <w:szCs w:val="24"/>
          <w:lang w:val="hy-AM"/>
        </w:rPr>
        <w:t xml:space="preserve"> գործում է&gt;:</w:t>
      </w:r>
    </w:p>
    <w:p w14:paraId="61505163" w14:textId="77777777" w:rsidR="008C76E0" w:rsidRPr="008C76E0" w:rsidRDefault="008C76E0" w:rsidP="004B393A">
      <w:pPr>
        <w:pStyle w:val="Bodytext70"/>
        <w:shd w:val="clear" w:color="auto" w:fill="auto"/>
        <w:tabs>
          <w:tab w:val="left" w:pos="1418"/>
        </w:tabs>
        <w:spacing w:before="0" w:after="160" w:line="360" w:lineRule="auto"/>
        <w:ind w:right="-1"/>
        <w:rPr>
          <w:rFonts w:ascii="Sylfaen" w:hAnsi="Sylfaen"/>
          <w:b w:val="0"/>
          <w:sz w:val="24"/>
          <w:szCs w:val="24"/>
          <w:lang w:val="hy-AM"/>
        </w:rPr>
      </w:pPr>
    </w:p>
    <w:p w14:paraId="614F2100"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Ռիսկի կառավարման պլանը:</w:t>
      </w:r>
    </w:p>
    <w:p w14:paraId="33B1D54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 xml:space="preserve">Դեղազգոնության ոլորտում իրականացվող աշխատանքների համար պատասխանատու կազմակերպչական կառույցների (այսուհետ՝ ԴՈԱՊԿԿ), լիազորված փորձագիտական կազմակերպության մասնագետների կողմից քննարկման համար հարցերը </w:t>
      </w:r>
      <w:r w:rsidR="00C54D75">
        <w:rPr>
          <w:rFonts w:ascii="Sylfaen" w:hAnsi="Sylfaen"/>
          <w:sz w:val="24"/>
          <w:szCs w:val="24"/>
        </w:rPr>
        <w:t>և</w:t>
      </w:r>
      <w:r w:rsidRPr="00BD7577">
        <w:rPr>
          <w:rFonts w:ascii="Sylfaen" w:hAnsi="Sylfaen"/>
          <w:sz w:val="24"/>
          <w:szCs w:val="24"/>
        </w:rPr>
        <w:t xml:space="preserve"> (կամ) խնդիրները ՌԿՊ-ի գնահատման ժամանակ:</w:t>
      </w:r>
    </w:p>
    <w:p w14:paraId="484F6A7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Դեղամիջոցներ, որոնք ունակ են ունենալու էական ազդեցություն հազվադեպ, կյանքին սպառնացող կամ հաշմանդամության հանգեցնող հիվանդությունների դեպքում:</w:t>
      </w:r>
    </w:p>
    <w:p w14:paraId="29B546FB"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&lt;Ըստ լիազորված մարմնի եզրակացության (&lt;ամսաթիվը&gt; եզրակացությունը) դեպքերի հաճախականությունը &lt;նշել վիճակը&gt; կազմում է &lt;ներկայացնել </w:t>
      </w:r>
      <w:r w:rsidRPr="008C76E0">
        <w:rPr>
          <w:rFonts w:ascii="Sylfaen" w:hAnsi="Sylfaen"/>
          <w:b w:val="0"/>
          <w:sz w:val="24"/>
          <w:szCs w:val="24"/>
          <w:lang w:val="hy-AM"/>
        </w:rPr>
        <w:lastRenderedPageBreak/>
        <w:t>տարածվածությունը&gt; 10 000 մարդու հաշվով &lt;նշել Միության պետության անվանումը&gt;&gt;</w:t>
      </w:r>
    </w:p>
    <w:p w14:paraId="2A70D18B" w14:textId="77777777" w:rsidR="008C76E0" w:rsidRPr="008C76E0" w:rsidRDefault="008C76E0" w:rsidP="004B393A">
      <w:pPr>
        <w:pStyle w:val="Bodytext70"/>
        <w:shd w:val="clear" w:color="auto" w:fill="auto"/>
        <w:tabs>
          <w:tab w:val="left" w:pos="1418"/>
        </w:tabs>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&lt;տվյալներ չկան (Տ/Չ)&gt;:</w:t>
      </w:r>
    </w:p>
    <w:p w14:paraId="45238A7A"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Ռիսկ-օգուտ գնահատումը:</w:t>
      </w:r>
    </w:p>
    <w:p w14:paraId="7F844102"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Օգուտը:</w:t>
      </w:r>
    </w:p>
    <w:p w14:paraId="0FBEF000"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Դրական էֆեկտները:</w:t>
      </w:r>
    </w:p>
    <w:p w14:paraId="2B09F6A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Դրական էֆեկտների վերաբերյալ գիտելիքներում անորոշությունը:</w:t>
      </w:r>
    </w:p>
    <w:p w14:paraId="38486FE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Ռիսկը:</w:t>
      </w:r>
    </w:p>
    <w:p w14:paraId="4DF91DA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Վնասակար ներգործությունը:</w:t>
      </w:r>
    </w:p>
    <w:p w14:paraId="68F430E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Վնասակար ներգործության վերաբերյալ գիտելիքներում անորոշությունը:</w:t>
      </w:r>
    </w:p>
    <w:p w14:paraId="7B0479C2"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հարաբերակցությունը:</w:t>
      </w:r>
    </w:p>
    <w:p w14:paraId="75C00CF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Դրական ազդեցությունների </w:t>
      </w:r>
      <w:r w:rsidR="00C54D75">
        <w:rPr>
          <w:rFonts w:ascii="Sylfaen" w:hAnsi="Sylfaen"/>
          <w:sz w:val="24"/>
          <w:szCs w:val="24"/>
        </w:rPr>
        <w:t>և</w:t>
      </w:r>
      <w:r w:rsidRPr="00BD7577">
        <w:rPr>
          <w:rFonts w:ascii="Sylfaen" w:hAnsi="Sylfaen"/>
          <w:sz w:val="24"/>
          <w:szCs w:val="24"/>
        </w:rPr>
        <w:t xml:space="preserve"> վնասակար ներգործության կար</w:t>
      </w:r>
      <w:r w:rsidR="00C54D75">
        <w:rPr>
          <w:rFonts w:ascii="Sylfaen" w:hAnsi="Sylfaen"/>
          <w:sz w:val="24"/>
          <w:szCs w:val="24"/>
        </w:rPr>
        <w:t>և</w:t>
      </w:r>
      <w:r w:rsidRPr="00BD7577">
        <w:rPr>
          <w:rFonts w:ascii="Sylfaen" w:hAnsi="Sylfaen"/>
          <w:sz w:val="24"/>
          <w:szCs w:val="24"/>
        </w:rPr>
        <w:t>որությունը:</w:t>
      </w:r>
    </w:p>
    <w:p w14:paraId="63BF86D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հարաբերակցությունը:</w:t>
      </w:r>
    </w:p>
    <w:p w14:paraId="45A5288B"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գնահատման քննարկումը:</w:t>
      </w:r>
    </w:p>
    <w:p w14:paraId="6C11440B"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Եզրակացությունը:</w:t>
      </w:r>
    </w:p>
    <w:p w14:paraId="6D6C5B3F"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 xml:space="preserve">Օգուտ-ռիսկ ընդհանուր հարաբերակցությունը </w:t>
      </w:r>
      <w:r w:rsidRPr="008C76E0">
        <w:rPr>
          <w:rFonts w:ascii="Sylfaen" w:hAnsi="Sylfaen"/>
          <w:b w:val="0"/>
          <w:sz w:val="24"/>
          <w:szCs w:val="24"/>
          <w:lang w:val="hy-AM"/>
        </w:rPr>
        <w:t xml:space="preserve">&lt;նշել դեղամիջոցի անվանումը&gt; համար </w:t>
      </w:r>
      <w:r w:rsidRPr="00BD7577">
        <w:rPr>
          <w:rStyle w:val="Bodytext295pt"/>
          <w:rFonts w:ascii="Sylfaen" w:hAnsi="Sylfaen"/>
          <w:spacing w:val="0"/>
          <w:sz w:val="24"/>
          <w:szCs w:val="24"/>
        </w:rPr>
        <w:t xml:space="preserve">համարվում է </w:t>
      </w:r>
      <w:r w:rsidRPr="008C76E0">
        <w:rPr>
          <w:rFonts w:ascii="Sylfaen" w:hAnsi="Sylfaen"/>
          <w:b w:val="0"/>
          <w:sz w:val="24"/>
          <w:szCs w:val="24"/>
          <w:lang w:val="hy-AM"/>
        </w:rPr>
        <w:t>&lt;դրական&gt;</w:t>
      </w:r>
      <w:r w:rsidRPr="00BD7577">
        <w:rPr>
          <w:rStyle w:val="Bodytext295pt"/>
          <w:rFonts w:ascii="Sylfaen" w:hAnsi="Sylfaen"/>
          <w:spacing w:val="0"/>
          <w:sz w:val="24"/>
          <w:szCs w:val="24"/>
        </w:rPr>
        <w:t>,</w:t>
      </w:r>
    </w:p>
    <w:p w14:paraId="70F56676"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&lt;դրական՝ պայմանով, որ &lt;նշել հարաբերակցության դրական լինելը պահպանելու պայմանը</w:t>
      </w:r>
      <w:r w:rsidRPr="00BD7577">
        <w:rPr>
          <w:rStyle w:val="Bodytext295pt"/>
          <w:rFonts w:ascii="Sylfaen" w:hAnsi="Sylfaen"/>
          <w:spacing w:val="0"/>
          <w:sz w:val="24"/>
          <w:szCs w:val="24"/>
        </w:rPr>
        <w:t xml:space="preserve">&gt;&gt;. </w:t>
      </w:r>
      <w:r w:rsidRPr="008C76E0">
        <w:rPr>
          <w:rFonts w:ascii="Sylfaen" w:hAnsi="Sylfaen"/>
          <w:b w:val="0"/>
          <w:sz w:val="24"/>
          <w:szCs w:val="24"/>
          <w:lang w:val="hy-AM"/>
        </w:rPr>
        <w:t>&lt;բացասական&gt;:</w:t>
      </w:r>
    </w:p>
    <w:p w14:paraId="1168B056"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p>
    <w:p w14:paraId="78418345"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p>
    <w:p w14:paraId="0455D878" w14:textId="77777777" w:rsidR="008C76E0" w:rsidRPr="00BD7577" w:rsidRDefault="008C76E0" w:rsidP="004B393A">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t>V.Փորձագետի դիտողությունների ցանկը</w:t>
      </w:r>
    </w:p>
    <w:p w14:paraId="6C5E245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Մոդուլ 3 (Որակի ասպեկտները):</w:t>
      </w:r>
    </w:p>
    <w:p w14:paraId="72A633DD"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lastRenderedPageBreak/>
        <w:t>Քննադատական դիտողություններ՝</w:t>
      </w:r>
    </w:p>
    <w:p w14:paraId="6D20A017"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 դեղապատրաստուկ:</w:t>
      </w:r>
    </w:p>
    <w:p w14:paraId="17AA8779"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Այլ դիտողություններ՝</w:t>
      </w:r>
    </w:p>
    <w:p w14:paraId="041BDCD7"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 դեղապատրաստուկ:</w:t>
      </w:r>
    </w:p>
    <w:p w14:paraId="3BF3DA34"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Հանձնարարականներ:</w:t>
      </w:r>
    </w:p>
    <w:p w14:paraId="1506DC47"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Մոդուլ 4 (Նախակլինիկական ասպեկտները):</w:t>
      </w:r>
    </w:p>
    <w:p w14:paraId="433D4C09"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Քննադատական դիտողություններ՝ դեղաբանություն. դեղակինետիկա. Թունաբանություն:</w:t>
      </w:r>
    </w:p>
    <w:p w14:paraId="219AD09C"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Այլ դիտողություններ՝ դեղաբանություն. դեղակինետիկա. Թունաբանություն:</w:t>
      </w:r>
    </w:p>
    <w:p w14:paraId="4B41B442"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Հանձնարարականներ:</w:t>
      </w:r>
    </w:p>
    <w:p w14:paraId="32AD1BAC"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Մոդուլ 5 (Կլինիկական ասպեկտները):</w:t>
      </w:r>
    </w:p>
    <w:p w14:paraId="360B6B3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Քննադատական դիտողություններ՝ դեղակինետիկա. դեղադինամիկա. արդյունավետություն.</w:t>
      </w:r>
    </w:p>
    <w:p w14:paraId="6F1C7BE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անվտանգություն. դեղազգոնության համակարգ:</w:t>
      </w:r>
    </w:p>
    <w:p w14:paraId="32CB7C0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43630538"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դեղակինետիկա.</w:t>
      </w:r>
    </w:p>
    <w:p w14:paraId="48CC10E8"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դեղադինամիկա.</w:t>
      </w:r>
    </w:p>
    <w:p w14:paraId="57B16CC5"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արդյունավետություն.</w:t>
      </w:r>
    </w:p>
    <w:p w14:paraId="4CA6AF43"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անվտանգություն.</w:t>
      </w:r>
    </w:p>
    <w:p w14:paraId="319E742F"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դեղազգոնության համակարգ:</w:t>
      </w:r>
    </w:p>
    <w:p w14:paraId="26DBF68F"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Հանձնարարականներ:</w:t>
      </w:r>
    </w:p>
    <w:p w14:paraId="5F8E8A5D"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Նոր ակտիվ նյութի կարգավիճակը:</w:t>
      </w:r>
    </w:p>
    <w:p w14:paraId="7A5EF762"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 xml:space="preserve">VI. Գրանցման հավաստագրի տրամադրման </w:t>
      </w:r>
      <w:r w:rsidR="00C54D75">
        <w:rPr>
          <w:rFonts w:ascii="Sylfaen" w:hAnsi="Sylfaen"/>
          <w:sz w:val="24"/>
          <w:szCs w:val="24"/>
        </w:rPr>
        <w:t>և</w:t>
      </w:r>
      <w:r w:rsidRPr="00BD7577">
        <w:rPr>
          <w:rFonts w:ascii="Sylfaen" w:hAnsi="Sylfaen"/>
          <w:sz w:val="24"/>
          <w:szCs w:val="24"/>
        </w:rPr>
        <w:t xml:space="preserve"> ԴԸԲ-ն, ԲԿՀ-ն (ՆԹ-ն) </w:t>
      </w:r>
      <w:r w:rsidRPr="00BD7577">
        <w:rPr>
          <w:rFonts w:ascii="Sylfaen" w:hAnsi="Sylfaen"/>
          <w:sz w:val="24"/>
          <w:szCs w:val="24"/>
        </w:rPr>
        <w:lastRenderedPageBreak/>
        <w:t>հաստատելու համար առաջարկվող լրացուցիչ պայմանները</w:t>
      </w:r>
    </w:p>
    <w:p w14:paraId="2845767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Գրանցման հավաստագրի տրամադրման լրացուցիչ պայմանները:</w:t>
      </w:r>
    </w:p>
    <w:p w14:paraId="0BDF9E69"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Դեղապատրաստուկի ընդհանուր բնութագրի (ԴԸԲ) խմբագրությունը հաստատելու հնարավորությունը:</w:t>
      </w:r>
    </w:p>
    <w:p w14:paraId="1CCCE56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Մականշվածքը:</w:t>
      </w:r>
    </w:p>
    <w:p w14:paraId="7B8A8B2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 xml:space="preserve">4. Դեղամիջոցի բժշկական կիրառման հրահանգը (ներդիր թերթիկը) </w:t>
      </w:r>
      <w:r w:rsidRPr="00BD7577">
        <w:rPr>
          <w:rFonts w:ascii="Sylfaen" w:hAnsi="Sylfaen"/>
          <w:sz w:val="24"/>
          <w:szCs w:val="24"/>
        </w:rPr>
        <w:br/>
        <w:t>(ԲԿՀ (ՆԹ)):</w:t>
      </w:r>
    </w:p>
    <w:p w14:paraId="0D08F0A6"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t>Օգտագործողների թեստավորման գնահատումը (տե՛ս սույն հաշվետվության VII բաժինը):</w:t>
      </w:r>
    </w:p>
    <w:p w14:paraId="2B04BA7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p>
    <w:p w14:paraId="6F73315D"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VII. Օգտագործողների թեստավորման արդյունքների քննարկման համար փաստաթղթերի որակի ստուգման թերթ</w:t>
      </w:r>
    </w:p>
    <w:tbl>
      <w:tblPr>
        <w:tblOverlap w:val="never"/>
        <w:tblW w:w="9667" w:type="dxa"/>
        <w:jc w:val="center"/>
        <w:tblLayout w:type="fixed"/>
        <w:tblCellMar>
          <w:left w:w="10" w:type="dxa"/>
          <w:right w:w="10" w:type="dxa"/>
        </w:tblCellMar>
        <w:tblLook w:val="04A0" w:firstRow="1" w:lastRow="0" w:firstColumn="1" w:lastColumn="0" w:noHBand="0" w:noVBand="1"/>
      </w:tblPr>
      <w:tblGrid>
        <w:gridCol w:w="5787"/>
        <w:gridCol w:w="3880"/>
      </w:tblGrid>
      <w:tr w:rsidR="008C76E0" w:rsidRPr="00BD7577" w14:paraId="0B1A7571" w14:textId="77777777" w:rsidTr="008C76E0">
        <w:trPr>
          <w:jc w:val="center"/>
        </w:trPr>
        <w:tc>
          <w:tcPr>
            <w:tcW w:w="9667" w:type="dxa"/>
            <w:gridSpan w:val="2"/>
            <w:shd w:val="clear" w:color="auto" w:fill="FFFFFF"/>
          </w:tcPr>
          <w:p w14:paraId="3139A277" w14:textId="77777777" w:rsidR="008C76E0" w:rsidRPr="00BD7577" w:rsidRDefault="008C76E0" w:rsidP="008C76E0">
            <w:pPr>
              <w:pStyle w:val="Bodytext180"/>
              <w:shd w:val="clear" w:color="auto" w:fill="auto"/>
              <w:spacing w:before="0" w:after="120" w:line="240" w:lineRule="auto"/>
              <w:ind w:firstLine="567"/>
              <w:jc w:val="center"/>
              <w:rPr>
                <w:rFonts w:ascii="Sylfaen" w:hAnsi="Sylfaen"/>
                <w:b w:val="0"/>
                <w:sz w:val="24"/>
                <w:szCs w:val="24"/>
              </w:rPr>
            </w:pPr>
            <w:r w:rsidRPr="00BD7577">
              <w:rPr>
                <w:rStyle w:val="Bodytext295pt"/>
                <w:rFonts w:ascii="Sylfaen" w:hAnsi="Sylfaen"/>
                <w:spacing w:val="0"/>
                <w:sz w:val="24"/>
                <w:szCs w:val="24"/>
              </w:rPr>
              <w:t>1.Տեղեկություններ՝ արտադրատեսակի վերաբերյալ</w:t>
            </w:r>
          </w:p>
        </w:tc>
      </w:tr>
      <w:tr w:rsidR="008C76E0" w:rsidRPr="00BD7577" w14:paraId="3A83E3D4" w14:textId="77777777" w:rsidTr="008C76E0">
        <w:trPr>
          <w:jc w:val="center"/>
        </w:trPr>
        <w:tc>
          <w:tcPr>
            <w:tcW w:w="5787" w:type="dxa"/>
            <w:tcBorders>
              <w:top w:val="single" w:sz="4" w:space="0" w:color="auto"/>
              <w:left w:val="single" w:sz="4" w:space="0" w:color="auto"/>
            </w:tcBorders>
            <w:shd w:val="clear" w:color="auto" w:fill="FFFFFF"/>
          </w:tcPr>
          <w:p w14:paraId="11182B19"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Դեղապատրաստուկի անվանումը</w:t>
            </w:r>
          </w:p>
        </w:tc>
        <w:tc>
          <w:tcPr>
            <w:tcW w:w="3880" w:type="dxa"/>
            <w:tcBorders>
              <w:top w:val="single" w:sz="4" w:space="0" w:color="auto"/>
              <w:left w:val="single" w:sz="4" w:space="0" w:color="auto"/>
              <w:right w:val="single" w:sz="4" w:space="0" w:color="auto"/>
            </w:tcBorders>
            <w:shd w:val="clear" w:color="auto" w:fill="FFFFFF"/>
          </w:tcPr>
          <w:p w14:paraId="673A16A7"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7E66289" w14:textId="77777777" w:rsidTr="008C76E0">
        <w:trPr>
          <w:jc w:val="center"/>
        </w:trPr>
        <w:tc>
          <w:tcPr>
            <w:tcW w:w="5787" w:type="dxa"/>
            <w:tcBorders>
              <w:top w:val="single" w:sz="4" w:space="0" w:color="auto"/>
              <w:left w:val="single" w:sz="4" w:space="0" w:color="auto"/>
            </w:tcBorders>
            <w:shd w:val="clear" w:color="auto" w:fill="FFFFFF"/>
          </w:tcPr>
          <w:p w14:paraId="70C809B7" w14:textId="718092DD" w:rsidR="008C76E0" w:rsidRPr="00BD7577" w:rsidRDefault="0056496B" w:rsidP="008C76E0">
            <w:pPr>
              <w:pStyle w:val="Bodytext180"/>
              <w:shd w:val="clear" w:color="auto" w:fill="auto"/>
              <w:spacing w:before="0" w:after="120" w:line="240" w:lineRule="auto"/>
              <w:ind w:left="147" w:right="91" w:firstLine="5"/>
              <w:jc w:val="both"/>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 xml:space="preserve">ի անվանումը </w:t>
            </w:r>
            <w:r w:rsidR="00C54D75">
              <w:rPr>
                <w:rStyle w:val="Bodytext295pt"/>
                <w:rFonts w:ascii="Sylfaen" w:hAnsi="Sylfaen"/>
                <w:spacing w:val="0"/>
                <w:sz w:val="24"/>
                <w:szCs w:val="24"/>
              </w:rPr>
              <w:t>և</w:t>
            </w:r>
            <w:r w:rsidR="008C76E0" w:rsidRPr="00BD7577">
              <w:rPr>
                <w:rStyle w:val="Bodytext295pt"/>
                <w:rFonts w:ascii="Sylfaen" w:hAnsi="Sylfaen"/>
                <w:spacing w:val="0"/>
                <w:sz w:val="24"/>
                <w:szCs w:val="24"/>
              </w:rPr>
              <w:t xml:space="preserve"> հասցեն</w:t>
            </w:r>
          </w:p>
        </w:tc>
        <w:tc>
          <w:tcPr>
            <w:tcW w:w="3880" w:type="dxa"/>
            <w:tcBorders>
              <w:top w:val="single" w:sz="4" w:space="0" w:color="auto"/>
              <w:left w:val="single" w:sz="4" w:space="0" w:color="auto"/>
              <w:right w:val="single" w:sz="4" w:space="0" w:color="auto"/>
            </w:tcBorders>
            <w:shd w:val="clear" w:color="auto" w:fill="FFFFFF"/>
          </w:tcPr>
          <w:p w14:paraId="4529992E"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5BC8ADE8" w14:textId="77777777" w:rsidTr="008C76E0">
        <w:trPr>
          <w:jc w:val="center"/>
        </w:trPr>
        <w:tc>
          <w:tcPr>
            <w:tcW w:w="5787" w:type="dxa"/>
            <w:tcBorders>
              <w:top w:val="single" w:sz="4" w:space="0" w:color="auto"/>
              <w:left w:val="single" w:sz="4" w:space="0" w:color="auto"/>
            </w:tcBorders>
            <w:shd w:val="clear" w:color="auto" w:fill="FFFFFF"/>
            <w:vAlign w:val="bottom"/>
          </w:tcPr>
          <w:p w14:paraId="0C5F0008"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Օգտագործողների թեստավորում անցկացնող ընկերության անվանումը</w:t>
            </w:r>
          </w:p>
        </w:tc>
        <w:tc>
          <w:tcPr>
            <w:tcW w:w="3880" w:type="dxa"/>
            <w:tcBorders>
              <w:top w:val="single" w:sz="4" w:space="0" w:color="auto"/>
              <w:left w:val="single" w:sz="4" w:space="0" w:color="auto"/>
              <w:right w:val="single" w:sz="4" w:space="0" w:color="auto"/>
            </w:tcBorders>
            <w:shd w:val="clear" w:color="auto" w:fill="FFFFFF"/>
          </w:tcPr>
          <w:p w14:paraId="3390F9B7"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1AADFE8" w14:textId="77777777" w:rsidTr="008C76E0">
        <w:trPr>
          <w:jc w:val="center"/>
        </w:trPr>
        <w:tc>
          <w:tcPr>
            <w:tcW w:w="5787" w:type="dxa"/>
            <w:tcBorders>
              <w:top w:val="single" w:sz="4" w:space="0" w:color="auto"/>
              <w:left w:val="single" w:sz="4" w:space="0" w:color="auto"/>
            </w:tcBorders>
            <w:shd w:val="clear" w:color="auto" w:fill="FFFFFF"/>
            <w:vAlign w:val="bottom"/>
          </w:tcPr>
          <w:p w14:paraId="3CC4819C" w14:textId="643E60E0"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 xml:space="preserve">Գրանցման հավաստագիր ստանալու վերաբերյալ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տիպը</w:t>
            </w:r>
          </w:p>
        </w:tc>
        <w:tc>
          <w:tcPr>
            <w:tcW w:w="3880" w:type="dxa"/>
            <w:tcBorders>
              <w:top w:val="single" w:sz="4" w:space="0" w:color="auto"/>
              <w:left w:val="single" w:sz="4" w:space="0" w:color="auto"/>
              <w:right w:val="single" w:sz="4" w:space="0" w:color="auto"/>
            </w:tcBorders>
            <w:shd w:val="clear" w:color="auto" w:fill="FFFFFF"/>
          </w:tcPr>
          <w:p w14:paraId="59AD1FD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54B797AE" w14:textId="77777777" w:rsidTr="008C76E0">
        <w:trPr>
          <w:jc w:val="center"/>
        </w:trPr>
        <w:tc>
          <w:tcPr>
            <w:tcW w:w="5787" w:type="dxa"/>
            <w:tcBorders>
              <w:top w:val="single" w:sz="4" w:space="0" w:color="auto"/>
              <w:left w:val="single" w:sz="4" w:space="0" w:color="auto"/>
            </w:tcBorders>
            <w:shd w:val="clear" w:color="auto" w:fill="FFFFFF"/>
          </w:tcPr>
          <w:p w14:paraId="735CA397"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ՄՉԱ-ն</w:t>
            </w:r>
          </w:p>
        </w:tc>
        <w:tc>
          <w:tcPr>
            <w:tcW w:w="3880" w:type="dxa"/>
            <w:tcBorders>
              <w:top w:val="single" w:sz="4" w:space="0" w:color="auto"/>
              <w:left w:val="single" w:sz="4" w:space="0" w:color="auto"/>
              <w:right w:val="single" w:sz="4" w:space="0" w:color="auto"/>
            </w:tcBorders>
            <w:shd w:val="clear" w:color="auto" w:fill="FFFFFF"/>
          </w:tcPr>
          <w:p w14:paraId="43FCCFA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AFCD2D1" w14:textId="77777777" w:rsidTr="008C76E0">
        <w:trPr>
          <w:jc w:val="center"/>
        </w:trPr>
        <w:tc>
          <w:tcPr>
            <w:tcW w:w="5787" w:type="dxa"/>
            <w:tcBorders>
              <w:top w:val="single" w:sz="4" w:space="0" w:color="auto"/>
              <w:left w:val="single" w:sz="4" w:space="0" w:color="auto"/>
            </w:tcBorders>
            <w:shd w:val="clear" w:color="auto" w:fill="FFFFFF"/>
            <w:vAlign w:val="bottom"/>
          </w:tcPr>
          <w:p w14:paraId="2242CFC5"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 (ATХ) ծածկագիրը)</w:t>
            </w:r>
          </w:p>
        </w:tc>
        <w:tc>
          <w:tcPr>
            <w:tcW w:w="3880" w:type="dxa"/>
            <w:tcBorders>
              <w:top w:val="single" w:sz="4" w:space="0" w:color="auto"/>
              <w:left w:val="single" w:sz="4" w:space="0" w:color="auto"/>
              <w:right w:val="single" w:sz="4" w:space="0" w:color="auto"/>
            </w:tcBorders>
            <w:shd w:val="clear" w:color="auto" w:fill="FFFFFF"/>
          </w:tcPr>
          <w:p w14:paraId="78297F12"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7168047" w14:textId="77777777" w:rsidTr="008C76E0">
        <w:trPr>
          <w:jc w:val="center"/>
        </w:trPr>
        <w:tc>
          <w:tcPr>
            <w:tcW w:w="5787" w:type="dxa"/>
            <w:tcBorders>
              <w:top w:val="single" w:sz="4" w:space="0" w:color="auto"/>
              <w:left w:val="single" w:sz="4" w:space="0" w:color="auto"/>
            </w:tcBorders>
            <w:shd w:val="clear" w:color="auto" w:fill="FFFFFF"/>
          </w:tcPr>
          <w:p w14:paraId="003090BE"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ցուցումները</w:t>
            </w:r>
          </w:p>
        </w:tc>
        <w:tc>
          <w:tcPr>
            <w:tcW w:w="3880" w:type="dxa"/>
            <w:tcBorders>
              <w:top w:val="single" w:sz="4" w:space="0" w:color="auto"/>
              <w:left w:val="single" w:sz="4" w:space="0" w:color="auto"/>
              <w:right w:val="single" w:sz="4" w:space="0" w:color="auto"/>
            </w:tcBorders>
            <w:shd w:val="clear" w:color="auto" w:fill="FFFFFF"/>
          </w:tcPr>
          <w:p w14:paraId="622D836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7B2B4426" w14:textId="77777777" w:rsidTr="008C76E0">
        <w:trPr>
          <w:jc w:val="center"/>
        </w:trPr>
        <w:tc>
          <w:tcPr>
            <w:tcW w:w="5787" w:type="dxa"/>
            <w:tcBorders>
              <w:top w:val="single" w:sz="4" w:space="0" w:color="auto"/>
              <w:left w:val="single" w:sz="4" w:space="0" w:color="auto"/>
            </w:tcBorders>
            <w:shd w:val="clear" w:color="auto" w:fill="FFFFFF"/>
          </w:tcPr>
          <w:p w14:paraId="0543E9B4"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Հազվադեպ կիրառվող (որբ) պատրաստուկ</w:t>
            </w:r>
          </w:p>
        </w:tc>
        <w:tc>
          <w:tcPr>
            <w:tcW w:w="3880" w:type="dxa"/>
            <w:tcBorders>
              <w:top w:val="single" w:sz="4" w:space="0" w:color="auto"/>
              <w:left w:val="single" w:sz="4" w:space="0" w:color="auto"/>
              <w:right w:val="single" w:sz="4" w:space="0" w:color="auto"/>
            </w:tcBorders>
            <w:shd w:val="clear" w:color="auto" w:fill="FFFFFF"/>
          </w:tcPr>
          <w:p w14:paraId="196963ED"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43B197C3" w14:textId="77777777" w:rsidTr="008C76E0">
        <w:trPr>
          <w:jc w:val="center"/>
        </w:trPr>
        <w:tc>
          <w:tcPr>
            <w:tcW w:w="5787" w:type="dxa"/>
            <w:tcBorders>
              <w:top w:val="single" w:sz="4" w:space="0" w:color="auto"/>
              <w:left w:val="single" w:sz="4" w:space="0" w:color="auto"/>
              <w:bottom w:val="single" w:sz="4" w:space="0" w:color="auto"/>
            </w:tcBorders>
            <w:shd w:val="clear" w:color="auto" w:fill="FFFFFF"/>
          </w:tcPr>
          <w:p w14:paraId="45E269D4" w14:textId="77777777" w:rsidR="008C76E0" w:rsidRDefault="008C76E0" w:rsidP="008C76E0">
            <w:pPr>
              <w:pStyle w:val="Bodytext180"/>
              <w:shd w:val="clear" w:color="auto" w:fill="auto"/>
              <w:spacing w:before="0" w:after="120" w:line="240" w:lineRule="auto"/>
              <w:ind w:left="147" w:right="91" w:firstLine="5"/>
              <w:jc w:val="both"/>
              <w:rPr>
                <w:rStyle w:val="Bodytext295pt"/>
                <w:rFonts w:ascii="Sylfaen" w:hAnsi="Sylfaen"/>
                <w:spacing w:val="0"/>
                <w:sz w:val="24"/>
                <w:szCs w:val="24"/>
                <w:lang w:val="en-US"/>
              </w:rPr>
            </w:pPr>
            <w:r w:rsidRPr="00BD7577">
              <w:rPr>
                <w:rStyle w:val="Bodytext295pt"/>
                <w:rFonts w:ascii="Sylfaen" w:hAnsi="Sylfaen"/>
                <w:spacing w:val="0"/>
                <w:sz w:val="24"/>
                <w:szCs w:val="24"/>
              </w:rPr>
              <w:t>Փորձագետ</w:t>
            </w:r>
          </w:p>
          <w:p w14:paraId="1A02C5F5" w14:textId="77777777" w:rsidR="00DB2544" w:rsidRPr="00DB2544" w:rsidRDefault="00DB2544" w:rsidP="008C76E0">
            <w:pPr>
              <w:pStyle w:val="Bodytext180"/>
              <w:shd w:val="clear" w:color="auto" w:fill="auto"/>
              <w:spacing w:before="0" w:after="120" w:line="240" w:lineRule="auto"/>
              <w:ind w:left="147" w:right="91" w:firstLine="5"/>
              <w:jc w:val="both"/>
              <w:rPr>
                <w:rFonts w:ascii="Sylfaen" w:hAnsi="Sylfaen"/>
                <w:b w:val="0"/>
                <w:sz w:val="24"/>
                <w:szCs w:val="24"/>
              </w:rPr>
            </w:pPr>
          </w:p>
        </w:tc>
        <w:tc>
          <w:tcPr>
            <w:tcW w:w="3880" w:type="dxa"/>
            <w:tcBorders>
              <w:top w:val="single" w:sz="4" w:space="0" w:color="auto"/>
              <w:left w:val="single" w:sz="4" w:space="0" w:color="auto"/>
              <w:bottom w:val="single" w:sz="4" w:space="0" w:color="auto"/>
              <w:right w:val="single" w:sz="4" w:space="0" w:color="auto"/>
            </w:tcBorders>
            <w:shd w:val="clear" w:color="auto" w:fill="FFFFFF"/>
          </w:tcPr>
          <w:p w14:paraId="7770F69B"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D0FD606" w14:textId="77777777" w:rsidTr="008C76E0">
        <w:trPr>
          <w:jc w:val="center"/>
        </w:trPr>
        <w:tc>
          <w:tcPr>
            <w:tcW w:w="5787" w:type="dxa"/>
            <w:tcBorders>
              <w:top w:val="single" w:sz="4" w:space="0" w:color="auto"/>
            </w:tcBorders>
            <w:shd w:val="clear" w:color="auto" w:fill="FFFFFF"/>
            <w:vAlign w:val="bottom"/>
          </w:tcPr>
          <w:p w14:paraId="0F17ECA2"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Ներկայացվել է օգտագործողների թեստավորման ամբողջական հաշվետվությունը</w:t>
            </w:r>
          </w:p>
        </w:tc>
        <w:tc>
          <w:tcPr>
            <w:tcW w:w="3880" w:type="dxa"/>
            <w:tcBorders>
              <w:top w:val="single" w:sz="4" w:space="0" w:color="auto"/>
            </w:tcBorders>
            <w:shd w:val="clear" w:color="auto" w:fill="FFFFFF"/>
          </w:tcPr>
          <w:p w14:paraId="23DDBFB2"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2DBB1E67" w14:textId="77777777" w:rsidTr="008C76E0">
        <w:trPr>
          <w:jc w:val="center"/>
        </w:trPr>
        <w:tc>
          <w:tcPr>
            <w:tcW w:w="5787" w:type="dxa"/>
            <w:shd w:val="clear" w:color="auto" w:fill="FFFFFF"/>
            <w:vAlign w:val="center"/>
          </w:tcPr>
          <w:p w14:paraId="33926D29" w14:textId="77777777" w:rsidR="008C76E0" w:rsidRPr="00BD7577" w:rsidRDefault="008C76E0" w:rsidP="008C76E0">
            <w:pPr>
              <w:pStyle w:val="Bodytext180"/>
              <w:shd w:val="clear" w:color="auto" w:fill="auto"/>
              <w:spacing w:before="0" w:after="120" w:line="240" w:lineRule="auto"/>
              <w:ind w:right="91" w:firstLine="567"/>
              <w:jc w:val="both"/>
              <w:rPr>
                <w:rFonts w:ascii="Sylfaen" w:hAnsi="Sylfaen"/>
                <w:b w:val="0"/>
                <w:sz w:val="24"/>
                <w:szCs w:val="24"/>
              </w:rPr>
            </w:pPr>
            <w:r w:rsidRPr="00BD7577">
              <w:rPr>
                <w:rStyle w:val="Bodytext295pt"/>
                <w:rFonts w:ascii="Sylfaen" w:hAnsi="Sylfaen"/>
                <w:spacing w:val="0"/>
                <w:sz w:val="24"/>
                <w:szCs w:val="24"/>
              </w:rPr>
              <w:t xml:space="preserve">Ներկայացվել է ամփոփ հաշվետվությունը </w:t>
            </w:r>
          </w:p>
        </w:tc>
        <w:tc>
          <w:tcPr>
            <w:tcW w:w="3880" w:type="dxa"/>
            <w:shd w:val="clear" w:color="auto" w:fill="FFFFFF"/>
          </w:tcPr>
          <w:p w14:paraId="13729497"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7F35A534" w14:textId="77777777" w:rsidTr="008C76E0">
        <w:trPr>
          <w:jc w:val="center"/>
        </w:trPr>
        <w:tc>
          <w:tcPr>
            <w:tcW w:w="9667" w:type="dxa"/>
            <w:gridSpan w:val="2"/>
            <w:shd w:val="clear" w:color="auto" w:fill="FFFFFF"/>
            <w:vAlign w:val="center"/>
          </w:tcPr>
          <w:p w14:paraId="7E8A1C12" w14:textId="77777777" w:rsidR="008C76E0" w:rsidRPr="008C76E0" w:rsidRDefault="008C76E0" w:rsidP="008C76E0">
            <w:pPr>
              <w:pStyle w:val="Bodytext180"/>
              <w:shd w:val="clear" w:color="auto" w:fill="auto"/>
              <w:spacing w:before="0" w:after="120" w:line="240" w:lineRule="auto"/>
              <w:ind w:firstLine="567"/>
              <w:jc w:val="both"/>
              <w:rPr>
                <w:rFonts w:ascii="Sylfaen" w:hAnsi="Sylfaen"/>
                <w:b w:val="0"/>
                <w:sz w:val="24"/>
                <w:szCs w:val="24"/>
                <w:lang w:val="hy-AM"/>
              </w:rPr>
            </w:pPr>
            <w:r w:rsidRPr="00BD7577">
              <w:rPr>
                <w:rStyle w:val="Bodytext295pt"/>
                <w:rFonts w:ascii="Sylfaen" w:hAnsi="Sylfaen"/>
                <w:spacing w:val="0"/>
                <w:sz w:val="24"/>
                <w:szCs w:val="24"/>
              </w:rPr>
              <w:lastRenderedPageBreak/>
              <w:t>Հիմնավորումից ելնելով՝ կապակցող թեստավորման հիմքերը.</w:t>
            </w:r>
          </w:p>
          <w:p w14:paraId="1363E9C2"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լրացումներ՝ ներմուծման մի</w:t>
            </w:r>
            <w:r w:rsidR="00C54D75">
              <w:rPr>
                <w:rStyle w:val="Bodytext295pt"/>
                <w:rFonts w:ascii="Sylfaen" w:hAnsi="Sylfaen"/>
                <w:spacing w:val="0"/>
                <w:sz w:val="24"/>
                <w:szCs w:val="24"/>
              </w:rPr>
              <w:t>և</w:t>
            </w:r>
            <w:r w:rsidRPr="00BD7577">
              <w:rPr>
                <w:rStyle w:val="Bodytext295pt"/>
                <w:rFonts w:ascii="Sylfaen" w:hAnsi="Sylfaen"/>
                <w:spacing w:val="0"/>
                <w:sz w:val="24"/>
                <w:szCs w:val="24"/>
              </w:rPr>
              <w:t>նույն եղանակի համար</w:t>
            </w:r>
          </w:p>
          <w:p w14:paraId="7B0B7DD5"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հղում՝ նույն դասի դեղապատրաստուկի թեստին</w:t>
            </w:r>
          </w:p>
          <w:p w14:paraId="02E743BA"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հղում՝ անվտանգության հետ կապված մի</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նույն հարցերով թեստին </w:t>
            </w:r>
          </w:p>
          <w:p w14:paraId="7D1DE70C" w14:textId="77777777" w:rsidR="008C76E0" w:rsidRPr="00BD7577" w:rsidRDefault="008C76E0" w:rsidP="008C76E0">
            <w:pPr>
              <w:pStyle w:val="Bodytext180"/>
              <w:shd w:val="clear" w:color="auto" w:fill="auto"/>
              <w:spacing w:before="0" w:after="120" w:line="240" w:lineRule="auto"/>
              <w:ind w:left="573"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այլ</w:t>
            </w:r>
          </w:p>
        </w:tc>
      </w:tr>
      <w:tr w:rsidR="008C76E0" w:rsidRPr="00BD7577" w14:paraId="6032E633" w14:textId="77777777" w:rsidTr="008C76E0">
        <w:trPr>
          <w:jc w:val="center"/>
        </w:trPr>
        <w:tc>
          <w:tcPr>
            <w:tcW w:w="5787" w:type="dxa"/>
            <w:shd w:val="clear" w:color="auto" w:fill="FFFFFF"/>
            <w:vAlign w:val="bottom"/>
          </w:tcPr>
          <w:p w14:paraId="480FB7BF" w14:textId="77777777" w:rsidR="008C76E0" w:rsidRPr="00BD7577" w:rsidRDefault="008C76E0" w:rsidP="008C76E0">
            <w:pPr>
              <w:spacing w:after="120" w:line="240" w:lineRule="auto"/>
              <w:ind w:left="5" w:right="130" w:firstLine="5"/>
              <w:jc w:val="both"/>
              <w:rPr>
                <w:rFonts w:ascii="Sylfaen" w:hAnsi="Sylfaen"/>
                <w:b/>
                <w:sz w:val="24"/>
                <w:szCs w:val="24"/>
              </w:rPr>
            </w:pPr>
            <w:r w:rsidRPr="00BD7577">
              <w:rPr>
                <w:rStyle w:val="Bodytext295pt"/>
                <w:rFonts w:ascii="Sylfaen" w:eastAsiaTheme="minorHAnsi" w:hAnsi="Sylfaen"/>
                <w:b w:val="0"/>
                <w:spacing w:val="0"/>
                <w:sz w:val="24"/>
                <w:szCs w:val="24"/>
              </w:rPr>
              <w:t>Արդյո՞ք կապակցող թեստավորման հիմնավորումն ընդունելի է։ (Եթե չի ներկայացվել օգտագործողների թեստավորման ամբողջական հաշվետվություն կամ ամփոփ հաշվետվություն, ապա անհրաժեշտ է ներկայացնել</w:t>
            </w:r>
            <w:r w:rsidRPr="00BD7577">
              <w:rPr>
                <w:rFonts w:ascii="Sylfaen" w:hAnsi="Sylfaen"/>
                <w:b/>
                <w:sz w:val="24"/>
                <w:szCs w:val="24"/>
              </w:rPr>
              <w:t xml:space="preserve"> </w:t>
            </w:r>
            <w:r w:rsidRPr="00150F98">
              <w:rPr>
                <w:rFonts w:ascii="Sylfaen" w:hAnsi="Sylfaen"/>
                <w:sz w:val="24"/>
                <w:szCs w:val="24"/>
              </w:rPr>
              <w:t>հիմնավորում)</w:t>
            </w:r>
          </w:p>
          <w:p w14:paraId="1E08FDF8" w14:textId="77777777" w:rsidR="008C76E0" w:rsidRPr="008C76E0" w:rsidRDefault="008C76E0" w:rsidP="008C76E0">
            <w:pPr>
              <w:pStyle w:val="Bodytext180"/>
              <w:shd w:val="clear" w:color="auto" w:fill="auto"/>
              <w:spacing w:before="0" w:after="120" w:line="240" w:lineRule="auto"/>
              <w:ind w:left="5" w:firstLine="567"/>
              <w:jc w:val="both"/>
              <w:rPr>
                <w:rFonts w:ascii="Sylfaen" w:hAnsi="Sylfaen"/>
                <w:b w:val="0"/>
                <w:sz w:val="24"/>
                <w:szCs w:val="24"/>
                <w:lang w:val="hy-AM"/>
              </w:rPr>
            </w:pPr>
          </w:p>
        </w:tc>
        <w:tc>
          <w:tcPr>
            <w:tcW w:w="3880" w:type="dxa"/>
            <w:shd w:val="clear" w:color="auto" w:fill="FFFFFF"/>
          </w:tcPr>
          <w:p w14:paraId="5A03D5EE" w14:textId="77777777" w:rsidR="008C76E0" w:rsidRPr="00BD7577" w:rsidRDefault="008C76E0" w:rsidP="008C76E0">
            <w:pPr>
              <w:pStyle w:val="Bodytext180"/>
              <w:shd w:val="clear" w:color="auto" w:fill="auto"/>
              <w:spacing w:before="0" w:after="120" w:line="240" w:lineRule="auto"/>
              <w:ind w:firstLine="567"/>
              <w:jc w:val="both"/>
              <w:rPr>
                <w:rFonts w:ascii="Sylfaen" w:hAnsi="Sylfaen"/>
                <w:sz w:val="24"/>
                <w:szCs w:val="24"/>
              </w:rPr>
            </w:pPr>
            <w:r w:rsidRPr="00BD7577">
              <w:rPr>
                <w:rStyle w:val="Bodytext295pt"/>
                <w:rFonts w:ascii="Sylfaen" w:hAnsi="Sylfaen"/>
                <w:spacing w:val="0"/>
                <w:sz w:val="24"/>
                <w:szCs w:val="24"/>
              </w:rPr>
              <w:t>□ այո □ ոչ</w:t>
            </w:r>
          </w:p>
        </w:tc>
      </w:tr>
      <w:tr w:rsidR="008C76E0" w:rsidRPr="00BD7577" w14:paraId="7BCD95FC" w14:textId="77777777" w:rsidTr="008C76E0">
        <w:trPr>
          <w:jc w:val="center"/>
        </w:trPr>
        <w:tc>
          <w:tcPr>
            <w:tcW w:w="5787" w:type="dxa"/>
            <w:shd w:val="clear" w:color="auto" w:fill="FFFFFF"/>
            <w:vAlign w:val="bottom"/>
          </w:tcPr>
          <w:p w14:paraId="1BB60B18" w14:textId="77777777" w:rsidR="008C76E0" w:rsidRPr="00BD7577" w:rsidRDefault="008C76E0" w:rsidP="008C76E0">
            <w:pPr>
              <w:spacing w:after="120" w:line="240" w:lineRule="auto"/>
              <w:ind w:left="65"/>
              <w:jc w:val="both"/>
              <w:rPr>
                <w:rFonts w:ascii="Sylfaen" w:hAnsi="Sylfaen"/>
                <w:sz w:val="24"/>
                <w:szCs w:val="24"/>
              </w:rPr>
            </w:pPr>
            <w:r w:rsidRPr="00BD7577">
              <w:rPr>
                <w:rFonts w:ascii="Sylfaen" w:hAnsi="Sylfaen"/>
                <w:sz w:val="24"/>
                <w:szCs w:val="24"/>
              </w:rPr>
              <w:t xml:space="preserve">Արդյո՞ք հաշվետվություն չներկայացնելու հիմնավորումն ընդունելի է։ </w:t>
            </w:r>
          </w:p>
          <w:p w14:paraId="31D46605" w14:textId="77777777" w:rsidR="008C76E0" w:rsidRPr="00BD7577" w:rsidRDefault="008C76E0" w:rsidP="008C76E0">
            <w:pPr>
              <w:spacing w:after="120" w:line="240" w:lineRule="auto"/>
              <w:ind w:left="65"/>
              <w:jc w:val="both"/>
              <w:rPr>
                <w:rStyle w:val="Bodytext295pt"/>
                <w:rFonts w:ascii="Sylfaen" w:eastAsiaTheme="minorHAnsi" w:hAnsi="Sylfaen"/>
                <w:b w:val="0"/>
                <w:spacing w:val="0"/>
                <w:sz w:val="24"/>
                <w:szCs w:val="24"/>
              </w:rPr>
            </w:pPr>
            <w:r w:rsidRPr="00BD7577">
              <w:rPr>
                <w:rFonts w:ascii="Sylfaen" w:hAnsi="Sylfaen"/>
                <w:sz w:val="24"/>
                <w:szCs w:val="24"/>
              </w:rPr>
              <w:t>(Օրինակ՝ ներմուծումը միայն հիվանդանոցային պայմաններում, ներմուծումը միայն բժշկական ոլորտի մասնագետի կողմից, որակի ստուգման վերաբերյալ փաստաթղթերի ձ</w:t>
            </w:r>
            <w:r w:rsidR="00C54D75">
              <w:rPr>
                <w:rFonts w:ascii="Sylfaen" w:hAnsi="Sylfaen"/>
                <w:sz w:val="24"/>
                <w:szCs w:val="24"/>
              </w:rPr>
              <w:t>և</w:t>
            </w:r>
            <w:r w:rsidRPr="00BD7577">
              <w:rPr>
                <w:rFonts w:ascii="Sylfaen" w:hAnsi="Sylfaen"/>
                <w:sz w:val="24"/>
                <w:szCs w:val="24"/>
              </w:rPr>
              <w:t>անմուշներին համապատասխանությունը, տ</w:t>
            </w:r>
            <w:r w:rsidR="00C54D75">
              <w:rPr>
                <w:rFonts w:ascii="Sylfaen" w:hAnsi="Sylfaen"/>
                <w:sz w:val="24"/>
                <w:szCs w:val="24"/>
              </w:rPr>
              <w:t>և</w:t>
            </w:r>
            <w:r w:rsidRPr="00BD7577">
              <w:rPr>
                <w:rFonts w:ascii="Sylfaen" w:hAnsi="Sylfaen"/>
                <w:sz w:val="24"/>
                <w:szCs w:val="24"/>
              </w:rPr>
              <w:t>ական ժամանակի ընթացքում պատրաստուկի կիրառման ուսումնասիրությունը)</w:t>
            </w:r>
          </w:p>
        </w:tc>
        <w:tc>
          <w:tcPr>
            <w:tcW w:w="3880" w:type="dxa"/>
            <w:shd w:val="clear" w:color="auto" w:fill="FFFFFF"/>
          </w:tcPr>
          <w:p w14:paraId="3C5AA08A" w14:textId="77777777" w:rsidR="008C76E0" w:rsidRPr="00BD7577" w:rsidRDefault="008C76E0" w:rsidP="008C76E0">
            <w:pPr>
              <w:pStyle w:val="Bodytext180"/>
              <w:shd w:val="clear" w:color="auto" w:fill="auto"/>
              <w:spacing w:before="0" w:after="120" w:line="240" w:lineRule="auto"/>
              <w:ind w:firstLine="567"/>
              <w:jc w:val="both"/>
              <w:rPr>
                <w:rStyle w:val="Bodytext295pt"/>
                <w:rFonts w:ascii="Sylfaen" w:hAnsi="Sylfaen"/>
                <w:spacing w:val="0"/>
                <w:sz w:val="24"/>
                <w:szCs w:val="24"/>
              </w:rPr>
            </w:pPr>
            <w:r w:rsidRPr="00BD7577">
              <w:rPr>
                <w:rFonts w:ascii="Sylfaen" w:hAnsi="Sylfaen"/>
                <w:b w:val="0"/>
                <w:sz w:val="24"/>
                <w:szCs w:val="24"/>
              </w:rPr>
              <w:t>□ այո □ ոչ</w:t>
            </w:r>
          </w:p>
        </w:tc>
      </w:tr>
    </w:tbl>
    <w:p w14:paraId="18FFEC2B" w14:textId="77777777" w:rsidR="008C76E0" w:rsidRPr="00BD7577" w:rsidRDefault="008C76E0" w:rsidP="008C76E0">
      <w:pPr>
        <w:ind w:right="-1" w:firstLine="567"/>
        <w:jc w:val="both"/>
        <w:rPr>
          <w:rFonts w:ascii="Sylfaen" w:hAnsi="Sylfaen"/>
          <w:sz w:val="24"/>
          <w:szCs w:val="24"/>
        </w:rPr>
      </w:pPr>
    </w:p>
    <w:p w14:paraId="2D13FEC5" w14:textId="77777777"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150F98">
        <w:rPr>
          <w:rStyle w:val="Bodytext295pt"/>
          <w:rFonts w:ascii="Sylfaen" w:hAnsi="Sylfaen"/>
          <w:i w:val="0"/>
          <w:spacing w:val="0"/>
          <w:sz w:val="24"/>
          <w:szCs w:val="24"/>
        </w:rPr>
        <w:t>Պատճառները</w:t>
      </w:r>
      <w:r w:rsidRPr="00BD7577">
        <w:rPr>
          <w:rStyle w:val="Bodytext295pt"/>
          <w:rFonts w:ascii="Sylfaen" w:hAnsi="Sylfaen"/>
          <w:spacing w:val="0"/>
          <w:sz w:val="24"/>
          <w:szCs w:val="24"/>
        </w:rPr>
        <w:t xml:space="preserve"> </w:t>
      </w:r>
      <w:r w:rsidRPr="008C76E0">
        <w:rPr>
          <w:rFonts w:ascii="Sylfaen" w:hAnsi="Sylfaen"/>
          <w:b w:val="0"/>
          <w:sz w:val="24"/>
          <w:szCs w:val="24"/>
          <w:lang w:val="hy-AM"/>
        </w:rPr>
        <w:t>[(ամփոփ) հաշվետվության հիմնավորման ընդունելի լինելու կամ չլինելու վերաբերյալ փորձագետների կարծիքները՝ (ամփոփ) հաշվետվության հիմնավորման գնահատումը]</w:t>
      </w:r>
    </w:p>
    <w:p w14:paraId="73219A8A" w14:textId="77777777" w:rsidR="008C76E0" w:rsidRDefault="008C76E0" w:rsidP="008C76E0">
      <w:pPr>
        <w:pStyle w:val="Bodytext70"/>
        <w:shd w:val="clear" w:color="auto" w:fill="auto"/>
        <w:spacing w:before="0" w:after="160" w:line="360" w:lineRule="auto"/>
        <w:ind w:right="-1"/>
        <w:rPr>
          <w:rFonts w:ascii="Sylfaen" w:hAnsi="Sylfaen"/>
          <w:b w:val="0"/>
          <w:sz w:val="24"/>
          <w:szCs w:val="24"/>
        </w:rPr>
      </w:pPr>
      <w:r w:rsidRPr="00BD7577">
        <w:rPr>
          <w:rFonts w:ascii="Sylfaen" w:hAnsi="Sylfaen"/>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6885"/>
        <w:gridCol w:w="1616"/>
        <w:gridCol w:w="1675"/>
        <w:gridCol w:w="10"/>
      </w:tblGrid>
      <w:tr w:rsidR="008C76E0" w:rsidRPr="00BD7577" w14:paraId="0D133976" w14:textId="77777777" w:rsidTr="008C76E0">
        <w:trPr>
          <w:jc w:val="center"/>
        </w:trPr>
        <w:tc>
          <w:tcPr>
            <w:tcW w:w="10186" w:type="dxa"/>
            <w:gridSpan w:val="4"/>
            <w:shd w:val="clear" w:color="auto" w:fill="FFFFFF"/>
          </w:tcPr>
          <w:p w14:paraId="6B328B34" w14:textId="77777777" w:rsidR="008C76E0" w:rsidRPr="00BD7577" w:rsidRDefault="008C76E0" w:rsidP="008C76E0">
            <w:pPr>
              <w:tabs>
                <w:tab w:val="left" w:pos="1426"/>
              </w:tabs>
              <w:ind w:right="-1" w:firstLine="567"/>
              <w:jc w:val="center"/>
              <w:rPr>
                <w:rFonts w:ascii="Sylfaen" w:hAnsi="Sylfaen"/>
                <w:b/>
                <w:i/>
                <w:sz w:val="24"/>
                <w:szCs w:val="24"/>
              </w:rPr>
            </w:pPr>
            <w:r w:rsidRPr="00BD7577">
              <w:rPr>
                <w:rStyle w:val="Bodytext295pt"/>
                <w:rFonts w:ascii="Sylfaen" w:eastAsia="MS Mincho" w:hAnsi="Sylfaen"/>
                <w:b w:val="0"/>
                <w:spacing w:val="0"/>
                <w:sz w:val="24"/>
                <w:szCs w:val="24"/>
              </w:rPr>
              <w:t>1.Տեխնիկական գնահատումը</w:t>
            </w:r>
          </w:p>
        </w:tc>
      </w:tr>
      <w:tr w:rsidR="008C76E0" w:rsidRPr="00BD7577" w14:paraId="62B500A7" w14:textId="77777777" w:rsidTr="008C76E0">
        <w:trPr>
          <w:jc w:val="center"/>
        </w:trPr>
        <w:tc>
          <w:tcPr>
            <w:tcW w:w="8501" w:type="dxa"/>
            <w:gridSpan w:val="2"/>
            <w:shd w:val="clear" w:color="auto" w:fill="FFFFFF"/>
            <w:vAlign w:val="bottom"/>
          </w:tcPr>
          <w:p w14:paraId="3590292D" w14:textId="77777777" w:rsidR="008C76E0" w:rsidRPr="008C76E0" w:rsidRDefault="008C76E0" w:rsidP="008C76E0">
            <w:pPr>
              <w:pStyle w:val="Bodytext180"/>
              <w:shd w:val="clear" w:color="auto" w:fill="auto"/>
              <w:tabs>
                <w:tab w:val="left" w:pos="1129"/>
              </w:tabs>
              <w:spacing w:before="0" w:after="160" w:line="360" w:lineRule="auto"/>
              <w:ind w:right="-1" w:firstLine="567"/>
              <w:rPr>
                <w:rFonts w:ascii="Sylfaen" w:hAnsi="Sylfaen"/>
                <w:b w:val="0"/>
                <w:sz w:val="24"/>
                <w:szCs w:val="24"/>
                <w:lang w:val="hy-AM"/>
              </w:rPr>
            </w:pPr>
            <w:r w:rsidRPr="00BD7577">
              <w:rPr>
                <w:rStyle w:val="Bodytext295pt"/>
                <w:rFonts w:ascii="Sylfaen" w:hAnsi="Sylfaen"/>
                <w:spacing w:val="0"/>
                <w:sz w:val="24"/>
                <w:szCs w:val="24"/>
              </w:rPr>
              <w:t>1.1.</w:t>
            </w:r>
            <w:r w:rsidRPr="00150F98">
              <w:rPr>
                <w:rStyle w:val="Bodytext295pt"/>
                <w:rFonts w:ascii="Sylfaen" w:hAnsi="Sylfaen"/>
                <w:spacing w:val="0"/>
                <w:sz w:val="24"/>
                <w:szCs w:val="24"/>
              </w:rPr>
              <w:tab/>
            </w:r>
            <w:r w:rsidRPr="00BD7577">
              <w:rPr>
                <w:rStyle w:val="Bodytext295pt"/>
                <w:rFonts w:ascii="Sylfaen" w:hAnsi="Sylfaen"/>
                <w:spacing w:val="0"/>
                <w:sz w:val="24"/>
                <w:szCs w:val="24"/>
              </w:rPr>
              <w:t>Հավաքագրումը</w:t>
            </w:r>
          </w:p>
          <w:p w14:paraId="76887DDC" w14:textId="77777777" w:rsidR="008C76E0" w:rsidRPr="00BD7577" w:rsidRDefault="008C76E0" w:rsidP="008C76E0">
            <w:pPr>
              <w:pStyle w:val="Bodytext180"/>
              <w:shd w:val="clear" w:color="auto" w:fill="auto"/>
              <w:tabs>
                <w:tab w:val="left" w:pos="1412"/>
              </w:tabs>
              <w:spacing w:before="0" w:after="160" w:line="360" w:lineRule="auto"/>
              <w:ind w:left="164" w:right="208" w:hanging="30"/>
              <w:jc w:val="both"/>
              <w:rPr>
                <w:rFonts w:ascii="Sylfaen" w:hAnsi="Sylfaen"/>
                <w:b w:val="0"/>
                <w:i/>
                <w:sz w:val="24"/>
                <w:szCs w:val="24"/>
              </w:rPr>
            </w:pPr>
            <w:r w:rsidRPr="00BD7577">
              <w:rPr>
                <w:rStyle w:val="Bodytext295pt"/>
                <w:rFonts w:ascii="Sylfaen" w:hAnsi="Sylfaen"/>
                <w:spacing w:val="0"/>
                <w:sz w:val="24"/>
                <w:szCs w:val="24"/>
              </w:rPr>
              <w:lastRenderedPageBreak/>
              <w:t>Արդյո՞ք ընդունելի է հարցմանը մասնակցած պոպուլյացիան։ Մեկնաբանություններ (լրացուցիչ տեղեկատվություն)</w:t>
            </w:r>
          </w:p>
        </w:tc>
        <w:tc>
          <w:tcPr>
            <w:tcW w:w="1685" w:type="dxa"/>
            <w:gridSpan w:val="2"/>
            <w:shd w:val="clear" w:color="auto" w:fill="FFFFFF"/>
          </w:tcPr>
          <w:p w14:paraId="6D514AF1"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lastRenderedPageBreak/>
              <w:t>□ այո □ ոչ</w:t>
            </w:r>
          </w:p>
        </w:tc>
      </w:tr>
      <w:tr w:rsidR="008C76E0" w:rsidRPr="00BD7577" w14:paraId="19722EB2" w14:textId="77777777" w:rsidTr="008C76E0">
        <w:trPr>
          <w:jc w:val="center"/>
        </w:trPr>
        <w:tc>
          <w:tcPr>
            <w:tcW w:w="8501" w:type="dxa"/>
            <w:gridSpan w:val="2"/>
            <w:shd w:val="clear" w:color="auto" w:fill="FFFFFF"/>
            <w:vAlign w:val="center"/>
          </w:tcPr>
          <w:p w14:paraId="54E6DF4F" w14:textId="77777777" w:rsidR="008C76E0" w:rsidRPr="00BD7577" w:rsidRDefault="008C76E0" w:rsidP="008C76E0">
            <w:pPr>
              <w:pStyle w:val="Bodytext180"/>
              <w:shd w:val="clear" w:color="auto" w:fill="auto"/>
              <w:tabs>
                <w:tab w:val="left" w:pos="1141"/>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1.2.</w:t>
            </w:r>
            <w:r w:rsidRPr="00BD7577">
              <w:rPr>
                <w:rFonts w:ascii="Sylfaen" w:hAnsi="Sylfaen"/>
                <w:sz w:val="24"/>
                <w:szCs w:val="24"/>
              </w:rPr>
              <w:tab/>
            </w:r>
            <w:r w:rsidRPr="00BD7577">
              <w:rPr>
                <w:rStyle w:val="Bodytext295pt"/>
                <w:rFonts w:ascii="Sylfaen" w:hAnsi="Sylfaen"/>
                <w:spacing w:val="0"/>
                <w:sz w:val="24"/>
                <w:szCs w:val="24"/>
              </w:rPr>
              <w:t>Հարցաշար</w:t>
            </w:r>
          </w:p>
        </w:tc>
        <w:tc>
          <w:tcPr>
            <w:tcW w:w="1685" w:type="dxa"/>
            <w:gridSpan w:val="2"/>
            <w:shd w:val="clear" w:color="auto" w:fill="FFFFFF"/>
          </w:tcPr>
          <w:p w14:paraId="3811AEF8" w14:textId="77777777" w:rsidR="008C76E0" w:rsidRPr="00BD7577" w:rsidRDefault="008C76E0" w:rsidP="008C76E0">
            <w:pPr>
              <w:ind w:left="197" w:right="124" w:firstLine="12"/>
              <w:jc w:val="both"/>
              <w:rPr>
                <w:rFonts w:ascii="Sylfaen" w:hAnsi="Sylfaen"/>
                <w:sz w:val="24"/>
                <w:szCs w:val="24"/>
              </w:rPr>
            </w:pPr>
          </w:p>
        </w:tc>
      </w:tr>
      <w:tr w:rsidR="008C76E0" w:rsidRPr="00BD7577" w14:paraId="1706929F" w14:textId="77777777" w:rsidTr="008C76E0">
        <w:trPr>
          <w:jc w:val="center"/>
        </w:trPr>
        <w:tc>
          <w:tcPr>
            <w:tcW w:w="8501" w:type="dxa"/>
            <w:gridSpan w:val="2"/>
            <w:shd w:val="clear" w:color="auto" w:fill="FFFFFF"/>
            <w:vAlign w:val="center"/>
          </w:tcPr>
          <w:p w14:paraId="4C762AE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Արդյո՞ք հարցերի քանակը բավարար է: Արդյո՞ք հարցերը ներառում են ՆԹ-ի կար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որ ասպեկտները (անվտանգությունը)։</w:t>
            </w:r>
          </w:p>
        </w:tc>
        <w:tc>
          <w:tcPr>
            <w:tcW w:w="1685" w:type="dxa"/>
            <w:gridSpan w:val="2"/>
            <w:shd w:val="clear" w:color="auto" w:fill="FFFFFF"/>
            <w:vAlign w:val="center"/>
          </w:tcPr>
          <w:p w14:paraId="6C5870ED"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17F116DB"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7A18FD06" w14:textId="77777777" w:rsidTr="008C76E0">
        <w:trPr>
          <w:jc w:val="center"/>
        </w:trPr>
        <w:tc>
          <w:tcPr>
            <w:tcW w:w="8501" w:type="dxa"/>
            <w:gridSpan w:val="2"/>
            <w:shd w:val="clear" w:color="auto" w:fill="FFFFFF"/>
            <w:vAlign w:val="bottom"/>
          </w:tcPr>
          <w:p w14:paraId="7233A70A"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85" w:type="dxa"/>
            <w:gridSpan w:val="2"/>
            <w:shd w:val="clear" w:color="auto" w:fill="FFFFFF"/>
          </w:tcPr>
          <w:p w14:paraId="429C1D33" w14:textId="77777777" w:rsidR="008C76E0" w:rsidRPr="00BD7577" w:rsidRDefault="008C76E0" w:rsidP="008C76E0">
            <w:pPr>
              <w:ind w:left="197" w:right="124" w:firstLine="12"/>
              <w:jc w:val="both"/>
              <w:rPr>
                <w:rFonts w:ascii="Sylfaen" w:hAnsi="Sylfaen"/>
                <w:sz w:val="24"/>
                <w:szCs w:val="24"/>
              </w:rPr>
            </w:pPr>
          </w:p>
        </w:tc>
      </w:tr>
      <w:tr w:rsidR="008C76E0" w:rsidRPr="00BD7577" w14:paraId="79C29473" w14:textId="77777777" w:rsidTr="008C76E0">
        <w:trPr>
          <w:jc w:val="center"/>
        </w:trPr>
        <w:tc>
          <w:tcPr>
            <w:tcW w:w="8501" w:type="dxa"/>
            <w:gridSpan w:val="2"/>
            <w:shd w:val="clear" w:color="auto" w:fill="FFFFFF"/>
            <w:vAlign w:val="center"/>
          </w:tcPr>
          <w:p w14:paraId="2BAFC4AB"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1.3.</w:t>
            </w:r>
            <w:r w:rsidRPr="00BD7577">
              <w:rPr>
                <w:rFonts w:ascii="Sylfaen" w:hAnsi="Sylfaen"/>
                <w:sz w:val="24"/>
                <w:szCs w:val="24"/>
              </w:rPr>
              <w:tab/>
            </w:r>
            <w:r w:rsidRPr="00BD7577">
              <w:rPr>
                <w:rStyle w:val="Bodytext295pt"/>
                <w:rFonts w:ascii="Sylfaen" w:hAnsi="Sylfaen"/>
                <w:spacing w:val="0"/>
                <w:sz w:val="24"/>
                <w:szCs w:val="24"/>
              </w:rPr>
              <w:t>Ժամանակային ասպեկտները</w:t>
            </w:r>
          </w:p>
        </w:tc>
        <w:tc>
          <w:tcPr>
            <w:tcW w:w="1685" w:type="dxa"/>
            <w:gridSpan w:val="2"/>
            <w:shd w:val="clear" w:color="auto" w:fill="FFFFFF"/>
          </w:tcPr>
          <w:p w14:paraId="1118A6C5" w14:textId="77777777" w:rsidR="008C76E0" w:rsidRPr="00BD7577" w:rsidRDefault="008C76E0" w:rsidP="008C76E0">
            <w:pPr>
              <w:ind w:left="197" w:right="124" w:firstLine="12"/>
              <w:jc w:val="both"/>
              <w:rPr>
                <w:rFonts w:ascii="Sylfaen" w:hAnsi="Sylfaen"/>
                <w:sz w:val="24"/>
                <w:szCs w:val="24"/>
              </w:rPr>
            </w:pPr>
          </w:p>
        </w:tc>
      </w:tr>
      <w:tr w:rsidR="008C76E0" w:rsidRPr="00BD7577" w14:paraId="4C16FC9E" w14:textId="77777777" w:rsidTr="008C76E0">
        <w:trPr>
          <w:jc w:val="center"/>
        </w:trPr>
        <w:tc>
          <w:tcPr>
            <w:tcW w:w="8501" w:type="dxa"/>
            <w:gridSpan w:val="2"/>
            <w:shd w:val="clear" w:color="auto" w:fill="FFFFFF"/>
            <w:vAlign w:val="center"/>
          </w:tcPr>
          <w:p w14:paraId="38C60B8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Արդյո՞ք հարցերին պատասխանելու համար տրված ժամանակն ընդունելի է։ Արդյո՞ք հարցազրույցի տ</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ողությունն ընդունելի է։</w:t>
            </w:r>
          </w:p>
        </w:tc>
        <w:tc>
          <w:tcPr>
            <w:tcW w:w="1685" w:type="dxa"/>
            <w:gridSpan w:val="2"/>
            <w:shd w:val="clear" w:color="auto" w:fill="FFFFFF"/>
            <w:vAlign w:val="center"/>
          </w:tcPr>
          <w:p w14:paraId="20B4BE04"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50EA6AFB"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6B6DD273" w14:textId="77777777" w:rsidTr="008C76E0">
        <w:trPr>
          <w:jc w:val="center"/>
        </w:trPr>
        <w:tc>
          <w:tcPr>
            <w:tcW w:w="8501" w:type="dxa"/>
            <w:gridSpan w:val="2"/>
            <w:shd w:val="clear" w:color="auto" w:fill="FFFFFF"/>
            <w:vAlign w:val="bottom"/>
          </w:tcPr>
          <w:p w14:paraId="28E626A5" w14:textId="77777777" w:rsidR="008C76E0" w:rsidRPr="00BD7577" w:rsidRDefault="008C76E0" w:rsidP="008C76E0">
            <w:pPr>
              <w:pStyle w:val="Bodytext180"/>
              <w:shd w:val="clear" w:color="auto" w:fill="auto"/>
              <w:tabs>
                <w:tab w:val="left" w:pos="1141"/>
                <w:tab w:val="left" w:pos="1412"/>
              </w:tabs>
              <w:spacing w:before="0" w:after="160" w:line="360" w:lineRule="auto"/>
              <w:ind w:left="136" w:right="208" w:firstLine="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85" w:type="dxa"/>
            <w:gridSpan w:val="2"/>
            <w:shd w:val="clear" w:color="auto" w:fill="FFFFFF"/>
          </w:tcPr>
          <w:p w14:paraId="20655B57" w14:textId="77777777" w:rsidR="008C76E0" w:rsidRPr="00BD7577" w:rsidRDefault="008C76E0" w:rsidP="008C76E0">
            <w:pPr>
              <w:ind w:left="197" w:right="124" w:firstLine="12"/>
              <w:jc w:val="both"/>
              <w:rPr>
                <w:rFonts w:ascii="Sylfaen" w:hAnsi="Sylfaen"/>
                <w:sz w:val="24"/>
                <w:szCs w:val="24"/>
              </w:rPr>
            </w:pPr>
          </w:p>
        </w:tc>
      </w:tr>
      <w:tr w:rsidR="008C76E0" w:rsidRPr="00BD7577" w14:paraId="006B2132" w14:textId="77777777" w:rsidTr="008C76E0">
        <w:trPr>
          <w:gridAfter w:val="1"/>
          <w:wAfter w:w="10" w:type="dxa"/>
          <w:jc w:val="center"/>
        </w:trPr>
        <w:tc>
          <w:tcPr>
            <w:tcW w:w="8501" w:type="dxa"/>
            <w:gridSpan w:val="2"/>
            <w:shd w:val="clear" w:color="auto" w:fill="FFFFFF"/>
          </w:tcPr>
          <w:p w14:paraId="6F2F684E"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1.4.</w:t>
            </w:r>
            <w:r w:rsidRPr="00BD7577">
              <w:rPr>
                <w:rFonts w:ascii="Sylfaen" w:hAnsi="Sylfaen"/>
                <w:sz w:val="24"/>
                <w:szCs w:val="24"/>
              </w:rPr>
              <w:tab/>
            </w:r>
            <w:r w:rsidRPr="00BD7577">
              <w:rPr>
                <w:rStyle w:val="Bodytext295pt"/>
                <w:rFonts w:ascii="Sylfaen" w:hAnsi="Sylfaen"/>
                <w:spacing w:val="0"/>
                <w:sz w:val="24"/>
                <w:szCs w:val="24"/>
              </w:rPr>
              <w:t xml:space="preserve"> Ընթացակարգային ասպեկտները</w:t>
            </w:r>
          </w:p>
        </w:tc>
        <w:tc>
          <w:tcPr>
            <w:tcW w:w="1675" w:type="dxa"/>
            <w:shd w:val="clear" w:color="auto" w:fill="FFFFFF"/>
          </w:tcPr>
          <w:p w14:paraId="08C17326" w14:textId="77777777" w:rsidR="008C76E0" w:rsidRPr="00BD7577" w:rsidRDefault="008C76E0" w:rsidP="008C76E0">
            <w:pPr>
              <w:ind w:left="197" w:right="124" w:firstLine="12"/>
              <w:jc w:val="both"/>
              <w:rPr>
                <w:rFonts w:ascii="Sylfaen" w:hAnsi="Sylfaen"/>
                <w:sz w:val="24"/>
                <w:szCs w:val="24"/>
              </w:rPr>
            </w:pPr>
          </w:p>
        </w:tc>
      </w:tr>
      <w:tr w:rsidR="008C76E0" w:rsidRPr="00BD7577" w14:paraId="0A170681" w14:textId="77777777" w:rsidTr="008C76E0">
        <w:trPr>
          <w:gridAfter w:val="1"/>
          <w:wAfter w:w="10" w:type="dxa"/>
          <w:jc w:val="center"/>
        </w:trPr>
        <w:tc>
          <w:tcPr>
            <w:tcW w:w="8501" w:type="dxa"/>
            <w:gridSpan w:val="2"/>
            <w:shd w:val="clear" w:color="auto" w:fill="FFFFFF"/>
            <w:vAlign w:val="bottom"/>
          </w:tcPr>
          <w:p w14:paraId="28E52AF8"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 xml:space="preserve">Թեստավորման փուլերը, ներառյալ՝ փորձնական փուլը </w:t>
            </w:r>
          </w:p>
        </w:tc>
        <w:tc>
          <w:tcPr>
            <w:tcW w:w="1675" w:type="dxa"/>
            <w:shd w:val="clear" w:color="auto" w:fill="FFFFFF"/>
          </w:tcPr>
          <w:p w14:paraId="7AAE4196" w14:textId="77777777" w:rsidR="008C76E0" w:rsidRPr="00BD7577" w:rsidRDefault="008C76E0" w:rsidP="008C76E0">
            <w:pPr>
              <w:ind w:left="164" w:right="124" w:hanging="30"/>
              <w:jc w:val="both"/>
              <w:rPr>
                <w:rFonts w:ascii="Sylfaen" w:hAnsi="Sylfaen"/>
                <w:sz w:val="24"/>
                <w:szCs w:val="24"/>
              </w:rPr>
            </w:pPr>
          </w:p>
        </w:tc>
      </w:tr>
      <w:tr w:rsidR="008C76E0" w:rsidRPr="00BD7577" w14:paraId="1A2413AA" w14:textId="77777777" w:rsidTr="008C76E0">
        <w:trPr>
          <w:gridAfter w:val="1"/>
          <w:wAfter w:w="10" w:type="dxa"/>
          <w:jc w:val="center"/>
        </w:trPr>
        <w:tc>
          <w:tcPr>
            <w:tcW w:w="10176" w:type="dxa"/>
            <w:gridSpan w:val="3"/>
            <w:shd w:val="clear" w:color="auto" w:fill="FFFFFF"/>
            <w:vAlign w:val="bottom"/>
          </w:tcPr>
          <w:p w14:paraId="3061270E"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r>
      <w:tr w:rsidR="008C76E0" w:rsidRPr="00BD7577" w14:paraId="12C30D74" w14:textId="77777777" w:rsidTr="008C76E0">
        <w:trPr>
          <w:gridAfter w:val="1"/>
          <w:wAfter w:w="10" w:type="dxa"/>
          <w:jc w:val="center"/>
        </w:trPr>
        <w:tc>
          <w:tcPr>
            <w:tcW w:w="8501" w:type="dxa"/>
            <w:gridSpan w:val="2"/>
            <w:shd w:val="clear" w:color="auto" w:fill="FFFFFF"/>
            <w:vAlign w:val="center"/>
          </w:tcPr>
          <w:p w14:paraId="7513107C"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1.5.</w:t>
            </w:r>
            <w:r w:rsidRPr="00BD7577">
              <w:rPr>
                <w:rFonts w:ascii="Sylfaen" w:hAnsi="Sylfaen"/>
                <w:sz w:val="24"/>
                <w:szCs w:val="24"/>
              </w:rPr>
              <w:tab/>
            </w:r>
            <w:r w:rsidRPr="00BD7577">
              <w:rPr>
                <w:rStyle w:val="Bodytext295pt"/>
                <w:rFonts w:ascii="Sylfaen" w:hAnsi="Sylfaen"/>
                <w:spacing w:val="0"/>
                <w:sz w:val="24"/>
                <w:szCs w:val="24"/>
              </w:rPr>
              <w:t>Հարցազրույցի ասպեկտները</w:t>
            </w:r>
          </w:p>
        </w:tc>
        <w:tc>
          <w:tcPr>
            <w:tcW w:w="1675" w:type="dxa"/>
            <w:shd w:val="clear" w:color="auto" w:fill="FFFFFF"/>
          </w:tcPr>
          <w:p w14:paraId="776C59EF" w14:textId="77777777" w:rsidR="008C76E0" w:rsidRPr="00BD7577" w:rsidRDefault="008C76E0" w:rsidP="008C76E0">
            <w:pPr>
              <w:ind w:left="197" w:right="124" w:firstLine="12"/>
              <w:jc w:val="both"/>
              <w:rPr>
                <w:rFonts w:ascii="Sylfaen" w:hAnsi="Sylfaen"/>
                <w:sz w:val="24"/>
                <w:szCs w:val="24"/>
              </w:rPr>
            </w:pPr>
          </w:p>
        </w:tc>
      </w:tr>
      <w:tr w:rsidR="008C76E0" w:rsidRPr="00BD7577" w14:paraId="09F71920" w14:textId="77777777" w:rsidTr="008C76E0">
        <w:trPr>
          <w:gridAfter w:val="1"/>
          <w:wAfter w:w="10" w:type="dxa"/>
          <w:jc w:val="center"/>
        </w:trPr>
        <w:tc>
          <w:tcPr>
            <w:tcW w:w="8501" w:type="dxa"/>
            <w:gridSpan w:val="2"/>
            <w:shd w:val="clear" w:color="auto" w:fill="FFFFFF"/>
            <w:vAlign w:val="bottom"/>
          </w:tcPr>
          <w:p w14:paraId="5FE7D6B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հարցազրույցն անց է կացվել կառուցվածքային (կազմակերպված) եղանակով:</w:t>
            </w:r>
          </w:p>
        </w:tc>
        <w:tc>
          <w:tcPr>
            <w:tcW w:w="1675" w:type="dxa"/>
            <w:shd w:val="clear" w:color="auto" w:fill="FFFFFF"/>
            <w:vAlign w:val="bottom"/>
          </w:tcPr>
          <w:p w14:paraId="5C24C71A"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7B3A7F2C" w14:textId="77777777" w:rsidTr="008C76E0">
        <w:trPr>
          <w:gridAfter w:val="1"/>
          <w:wAfter w:w="10" w:type="dxa"/>
          <w:jc w:val="center"/>
        </w:trPr>
        <w:tc>
          <w:tcPr>
            <w:tcW w:w="8501" w:type="dxa"/>
            <w:gridSpan w:val="2"/>
            <w:shd w:val="clear" w:color="auto" w:fill="FFFFFF"/>
          </w:tcPr>
          <w:p w14:paraId="678B8A95"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6F506B8A" w14:textId="77777777" w:rsidR="008C76E0" w:rsidRPr="00BD7577" w:rsidRDefault="008C76E0" w:rsidP="008C76E0">
            <w:pPr>
              <w:ind w:left="197" w:right="124" w:firstLine="12"/>
              <w:jc w:val="both"/>
              <w:rPr>
                <w:rFonts w:ascii="Sylfaen" w:hAnsi="Sylfaen"/>
                <w:sz w:val="24"/>
                <w:szCs w:val="24"/>
              </w:rPr>
            </w:pPr>
          </w:p>
        </w:tc>
      </w:tr>
      <w:tr w:rsidR="008C76E0" w:rsidRPr="00BD7577" w14:paraId="085995E2" w14:textId="77777777" w:rsidTr="008C76E0">
        <w:trPr>
          <w:gridAfter w:val="1"/>
          <w:wAfter w:w="10" w:type="dxa"/>
          <w:jc w:val="center"/>
        </w:trPr>
        <w:tc>
          <w:tcPr>
            <w:tcW w:w="10176" w:type="dxa"/>
            <w:gridSpan w:val="3"/>
            <w:shd w:val="clear" w:color="auto" w:fill="FFFFFF"/>
            <w:vAlign w:val="center"/>
          </w:tcPr>
          <w:p w14:paraId="0E2DA683" w14:textId="77777777" w:rsidR="008C76E0" w:rsidRPr="002754BD" w:rsidRDefault="008C76E0" w:rsidP="008C76E0">
            <w:pPr>
              <w:tabs>
                <w:tab w:val="left" w:pos="1141"/>
                <w:tab w:val="left" w:pos="1412"/>
              </w:tabs>
              <w:ind w:left="24" w:right="208" w:firstLine="567"/>
              <w:jc w:val="center"/>
              <w:rPr>
                <w:rFonts w:ascii="Sylfaen" w:hAnsi="Sylfaen"/>
                <w:b/>
                <w:i/>
                <w:sz w:val="24"/>
                <w:szCs w:val="24"/>
              </w:rPr>
            </w:pPr>
            <w:r w:rsidRPr="002754BD">
              <w:rPr>
                <w:rStyle w:val="Bodytext295pt"/>
                <w:rFonts w:ascii="Sylfaen" w:eastAsia="MS Mincho" w:hAnsi="Sylfaen"/>
                <w:b w:val="0"/>
                <w:spacing w:val="0"/>
                <w:sz w:val="24"/>
                <w:szCs w:val="24"/>
              </w:rPr>
              <w:t>2.Պատասխանների գնահատումը</w:t>
            </w:r>
          </w:p>
        </w:tc>
      </w:tr>
      <w:tr w:rsidR="008C76E0" w:rsidRPr="00BD7577" w14:paraId="75DE8F51" w14:textId="77777777" w:rsidTr="008C76E0">
        <w:trPr>
          <w:gridAfter w:val="1"/>
          <w:wAfter w:w="10" w:type="dxa"/>
          <w:jc w:val="center"/>
        </w:trPr>
        <w:tc>
          <w:tcPr>
            <w:tcW w:w="8501" w:type="dxa"/>
            <w:gridSpan w:val="2"/>
            <w:shd w:val="clear" w:color="auto" w:fill="FFFFFF"/>
            <w:vAlign w:val="center"/>
          </w:tcPr>
          <w:p w14:paraId="6FD7AB9B"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2.1.</w:t>
            </w:r>
            <w:r w:rsidRPr="00BD7577">
              <w:rPr>
                <w:rFonts w:ascii="Sylfaen" w:hAnsi="Sylfaen"/>
                <w:sz w:val="24"/>
                <w:szCs w:val="24"/>
              </w:rPr>
              <w:tab/>
            </w:r>
            <w:r w:rsidRPr="00BD7577">
              <w:rPr>
                <w:rStyle w:val="Bodytext295pt"/>
                <w:rFonts w:ascii="Sylfaen" w:hAnsi="Sylfaen"/>
                <w:spacing w:val="0"/>
                <w:sz w:val="24"/>
                <w:szCs w:val="24"/>
              </w:rPr>
              <w:t>Գնահատման համակարգը</w:t>
            </w:r>
          </w:p>
        </w:tc>
        <w:tc>
          <w:tcPr>
            <w:tcW w:w="1675" w:type="dxa"/>
            <w:shd w:val="clear" w:color="auto" w:fill="FFFFFF"/>
          </w:tcPr>
          <w:p w14:paraId="3FDF5577" w14:textId="77777777" w:rsidR="008C76E0" w:rsidRPr="00BD7577" w:rsidRDefault="008C76E0" w:rsidP="008C76E0">
            <w:pPr>
              <w:ind w:left="197" w:right="124" w:firstLine="12"/>
              <w:jc w:val="both"/>
              <w:rPr>
                <w:rFonts w:ascii="Sylfaen" w:hAnsi="Sylfaen"/>
                <w:sz w:val="24"/>
                <w:szCs w:val="24"/>
              </w:rPr>
            </w:pPr>
          </w:p>
        </w:tc>
      </w:tr>
      <w:tr w:rsidR="008C76E0" w:rsidRPr="00BD7577" w14:paraId="79EEF9FF" w14:textId="77777777" w:rsidTr="008C76E0">
        <w:trPr>
          <w:gridAfter w:val="1"/>
          <w:wAfter w:w="10" w:type="dxa"/>
          <w:jc w:val="center"/>
        </w:trPr>
        <w:tc>
          <w:tcPr>
            <w:tcW w:w="8501" w:type="dxa"/>
            <w:gridSpan w:val="2"/>
            <w:shd w:val="clear" w:color="auto" w:fill="FFFFFF"/>
            <w:vAlign w:val="bottom"/>
          </w:tcPr>
          <w:p w14:paraId="762D1580"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պատասխանների որակական գնահատումն ընդունելի է:</w:t>
            </w:r>
          </w:p>
        </w:tc>
        <w:tc>
          <w:tcPr>
            <w:tcW w:w="1675" w:type="dxa"/>
            <w:shd w:val="clear" w:color="auto" w:fill="FFFFFF"/>
            <w:vAlign w:val="bottom"/>
          </w:tcPr>
          <w:p w14:paraId="3A9ED21A"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697A4867" w14:textId="77777777" w:rsidTr="008C76E0">
        <w:trPr>
          <w:gridAfter w:val="1"/>
          <w:wAfter w:w="10" w:type="dxa"/>
          <w:jc w:val="center"/>
        </w:trPr>
        <w:tc>
          <w:tcPr>
            <w:tcW w:w="8501" w:type="dxa"/>
            <w:gridSpan w:val="2"/>
            <w:shd w:val="clear" w:color="auto" w:fill="FFFFFF"/>
          </w:tcPr>
          <w:p w14:paraId="5FF9A192" w14:textId="77777777" w:rsidR="008C76E0" w:rsidRPr="008C76E0" w:rsidRDefault="008C76E0" w:rsidP="004B393A">
            <w:pPr>
              <w:pStyle w:val="Bodytext180"/>
              <w:shd w:val="clear" w:color="auto" w:fill="auto"/>
              <w:tabs>
                <w:tab w:val="left" w:pos="1141"/>
                <w:tab w:val="left" w:pos="1412"/>
              </w:tabs>
              <w:spacing w:before="0" w:after="160" w:line="336"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գնահատման մեթոդաբանությունը համապատասխանում է նվազագույն պահանջներին։</w:t>
            </w:r>
          </w:p>
        </w:tc>
        <w:tc>
          <w:tcPr>
            <w:tcW w:w="1675" w:type="dxa"/>
            <w:shd w:val="clear" w:color="auto" w:fill="FFFFFF"/>
          </w:tcPr>
          <w:p w14:paraId="06B85AA6"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35BCF9A" w14:textId="77777777" w:rsidTr="008C76E0">
        <w:trPr>
          <w:gridAfter w:val="1"/>
          <w:wAfter w:w="10" w:type="dxa"/>
          <w:jc w:val="center"/>
        </w:trPr>
        <w:tc>
          <w:tcPr>
            <w:tcW w:w="8501" w:type="dxa"/>
            <w:gridSpan w:val="2"/>
            <w:shd w:val="clear" w:color="auto" w:fill="FFFFFF"/>
            <w:vAlign w:val="bottom"/>
          </w:tcPr>
          <w:p w14:paraId="133876CE" w14:textId="77777777" w:rsidR="008C76E0" w:rsidRPr="00BD7577" w:rsidRDefault="008C76E0" w:rsidP="004B393A">
            <w:pPr>
              <w:pStyle w:val="Bodytext180"/>
              <w:shd w:val="clear" w:color="auto" w:fill="auto"/>
              <w:tabs>
                <w:tab w:val="left" w:pos="1141"/>
                <w:tab w:val="left" w:pos="1412"/>
              </w:tabs>
              <w:spacing w:before="0" w:after="160" w:line="384" w:lineRule="auto"/>
              <w:ind w:left="192" w:right="208" w:hanging="24"/>
              <w:jc w:val="both"/>
              <w:rPr>
                <w:rFonts w:ascii="Sylfaen" w:hAnsi="Sylfaen"/>
                <w:b w:val="0"/>
                <w:sz w:val="24"/>
                <w:szCs w:val="24"/>
              </w:rPr>
            </w:pPr>
            <w:r w:rsidRPr="00BD7577">
              <w:rPr>
                <w:rStyle w:val="Bodytext295pt"/>
                <w:rFonts w:ascii="Sylfaen" w:hAnsi="Sylfaen"/>
                <w:spacing w:val="0"/>
                <w:sz w:val="24"/>
                <w:szCs w:val="24"/>
              </w:rPr>
              <w:lastRenderedPageBreak/>
              <w:t>Մեկնաբանություններ (լրացուցիչ տեղեկատվություն)</w:t>
            </w:r>
          </w:p>
        </w:tc>
        <w:tc>
          <w:tcPr>
            <w:tcW w:w="1675" w:type="dxa"/>
            <w:shd w:val="clear" w:color="auto" w:fill="FFFFFF"/>
          </w:tcPr>
          <w:p w14:paraId="78327913"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347B0813" w14:textId="77777777" w:rsidTr="008C76E0">
        <w:trPr>
          <w:gridAfter w:val="1"/>
          <w:wAfter w:w="10" w:type="dxa"/>
          <w:jc w:val="center"/>
        </w:trPr>
        <w:tc>
          <w:tcPr>
            <w:tcW w:w="8501" w:type="dxa"/>
            <w:gridSpan w:val="2"/>
            <w:shd w:val="clear" w:color="auto" w:fill="FFFFFF"/>
            <w:vAlign w:val="center"/>
          </w:tcPr>
          <w:p w14:paraId="343830F8" w14:textId="77777777" w:rsidR="008C76E0" w:rsidRPr="00BD7577" w:rsidRDefault="008C76E0" w:rsidP="004B393A">
            <w:pPr>
              <w:pStyle w:val="Bodytext180"/>
              <w:shd w:val="clear" w:color="auto" w:fill="auto"/>
              <w:tabs>
                <w:tab w:val="left" w:pos="1141"/>
                <w:tab w:val="left" w:pos="1412"/>
              </w:tabs>
              <w:spacing w:before="0" w:after="160" w:line="384"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2.2.</w:t>
            </w:r>
            <w:r w:rsidRPr="00BD7577">
              <w:rPr>
                <w:rFonts w:ascii="Sylfaen" w:hAnsi="Sylfaen"/>
                <w:sz w:val="24"/>
                <w:szCs w:val="24"/>
              </w:rPr>
              <w:tab/>
            </w:r>
            <w:r w:rsidRPr="00BD7577">
              <w:rPr>
                <w:rStyle w:val="Bodytext295pt"/>
                <w:rFonts w:ascii="Sylfaen" w:hAnsi="Sylfaen"/>
                <w:spacing w:val="0"/>
                <w:sz w:val="24"/>
                <w:szCs w:val="24"/>
              </w:rPr>
              <w:t>Հարցերի վարկանշային համակարգը</w:t>
            </w:r>
          </w:p>
        </w:tc>
        <w:tc>
          <w:tcPr>
            <w:tcW w:w="1675" w:type="dxa"/>
            <w:shd w:val="clear" w:color="auto" w:fill="FFFFFF"/>
          </w:tcPr>
          <w:p w14:paraId="6ABB74C1"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554C5EF4" w14:textId="77777777" w:rsidTr="008C76E0">
        <w:trPr>
          <w:gridAfter w:val="1"/>
          <w:wAfter w:w="10" w:type="dxa"/>
          <w:jc w:val="center"/>
        </w:trPr>
        <w:tc>
          <w:tcPr>
            <w:tcW w:w="8501" w:type="dxa"/>
            <w:gridSpan w:val="2"/>
            <w:shd w:val="clear" w:color="auto" w:fill="FFFFFF"/>
            <w:vAlign w:val="bottom"/>
          </w:tcPr>
          <w:p w14:paraId="6EF19352"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10" w:hanging="30"/>
              <w:jc w:val="both"/>
              <w:rPr>
                <w:rFonts w:ascii="Sylfaen" w:hAnsi="Sylfaen"/>
                <w:b w:val="0"/>
                <w:i/>
                <w:sz w:val="24"/>
                <w:szCs w:val="24"/>
                <w:lang w:val="hy-AM"/>
              </w:rPr>
            </w:pPr>
            <w:r w:rsidRPr="00BD7577">
              <w:rPr>
                <w:rStyle w:val="Bodytext295pt"/>
                <w:rFonts w:ascii="Sylfaen" w:hAnsi="Sylfaen"/>
                <w:spacing w:val="0"/>
                <w:sz w:val="24"/>
                <w:szCs w:val="24"/>
              </w:rPr>
              <w:t>Արդյո՞ք պատասխանների քանակական գնահատումն ընդունելի է: Մեկնաբանություններ (լրացուցիչ տեղեկատվություն)</w:t>
            </w:r>
          </w:p>
        </w:tc>
        <w:tc>
          <w:tcPr>
            <w:tcW w:w="1675" w:type="dxa"/>
            <w:shd w:val="clear" w:color="auto" w:fill="FFFFFF"/>
          </w:tcPr>
          <w:p w14:paraId="44ADA980" w14:textId="77777777" w:rsidR="008C76E0" w:rsidRPr="00BD7577" w:rsidRDefault="008C76E0" w:rsidP="004B393A">
            <w:pPr>
              <w:pStyle w:val="Bodytext180"/>
              <w:shd w:val="clear" w:color="auto" w:fill="auto"/>
              <w:spacing w:before="0" w:after="160" w:line="360"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DA9362D" w14:textId="77777777" w:rsidTr="008C76E0">
        <w:trPr>
          <w:gridAfter w:val="1"/>
          <w:wAfter w:w="10" w:type="dxa"/>
          <w:jc w:val="center"/>
        </w:trPr>
        <w:tc>
          <w:tcPr>
            <w:tcW w:w="10176" w:type="dxa"/>
            <w:gridSpan w:val="3"/>
            <w:shd w:val="clear" w:color="auto" w:fill="FFFFFF"/>
            <w:vAlign w:val="center"/>
          </w:tcPr>
          <w:p w14:paraId="6DE38D1B" w14:textId="77777777" w:rsidR="008C76E0" w:rsidRPr="002754BD" w:rsidRDefault="008C76E0" w:rsidP="004B393A">
            <w:pPr>
              <w:tabs>
                <w:tab w:val="left" w:pos="1141"/>
                <w:tab w:val="left" w:pos="1412"/>
              </w:tabs>
              <w:spacing w:after="160" w:line="360" w:lineRule="auto"/>
              <w:ind w:left="24" w:right="210" w:firstLine="567"/>
              <w:jc w:val="center"/>
              <w:rPr>
                <w:rFonts w:ascii="Sylfaen" w:hAnsi="Sylfaen"/>
                <w:b/>
                <w:i/>
                <w:sz w:val="24"/>
                <w:szCs w:val="24"/>
              </w:rPr>
            </w:pPr>
            <w:r w:rsidRPr="002754BD">
              <w:rPr>
                <w:rStyle w:val="Bodytext295pt"/>
                <w:rFonts w:ascii="Sylfaen" w:eastAsia="MS Mincho" w:hAnsi="Sylfaen"/>
                <w:b w:val="0"/>
                <w:spacing w:val="0"/>
                <w:sz w:val="24"/>
                <w:szCs w:val="24"/>
              </w:rPr>
              <w:t>3. Տվյալների մշակումը</w:t>
            </w:r>
          </w:p>
        </w:tc>
      </w:tr>
      <w:tr w:rsidR="008C76E0" w:rsidRPr="00BD7577" w14:paraId="6F0F9849" w14:textId="77777777" w:rsidTr="008C76E0">
        <w:trPr>
          <w:gridAfter w:val="1"/>
          <w:wAfter w:w="10" w:type="dxa"/>
          <w:jc w:val="center"/>
        </w:trPr>
        <w:tc>
          <w:tcPr>
            <w:tcW w:w="8501" w:type="dxa"/>
            <w:gridSpan w:val="2"/>
            <w:shd w:val="clear" w:color="auto" w:fill="FFFFFF"/>
            <w:vAlign w:val="bottom"/>
          </w:tcPr>
          <w:p w14:paraId="6F902F71"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30"/>
              <w:jc w:val="both"/>
              <w:rPr>
                <w:rStyle w:val="Bodytext295pt"/>
                <w:rFonts w:ascii="Sylfaen" w:hAnsi="Sylfaen"/>
                <w:spacing w:val="0"/>
                <w:sz w:val="24"/>
                <w:szCs w:val="24"/>
              </w:rPr>
            </w:pPr>
            <w:r w:rsidRPr="00BD7577">
              <w:rPr>
                <w:rStyle w:val="Bodytext295pt"/>
                <w:rFonts w:ascii="Sylfaen" w:hAnsi="Sylfaen"/>
                <w:spacing w:val="0"/>
                <w:sz w:val="24"/>
                <w:szCs w:val="24"/>
              </w:rPr>
              <w:t>Արդյո՞ք տվյալները պատշաճ 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ով գրանցվում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փաստաթղթավորվում են: </w:t>
            </w:r>
          </w:p>
          <w:p w14:paraId="0978ECC1"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30"/>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7F1F4E66" w14:textId="77777777" w:rsidR="008C76E0" w:rsidRPr="00BD7577" w:rsidRDefault="008C76E0" w:rsidP="004B393A">
            <w:pPr>
              <w:pStyle w:val="Bodytext180"/>
              <w:shd w:val="clear" w:color="auto" w:fill="auto"/>
              <w:spacing w:before="0" w:after="160" w:line="360"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1E5B99AE" w14:textId="77777777" w:rsidTr="008C76E0">
        <w:trPr>
          <w:gridAfter w:val="1"/>
          <w:wAfter w:w="10" w:type="dxa"/>
          <w:jc w:val="center"/>
        </w:trPr>
        <w:tc>
          <w:tcPr>
            <w:tcW w:w="10176" w:type="dxa"/>
            <w:gridSpan w:val="3"/>
            <w:shd w:val="clear" w:color="auto" w:fill="FFFFFF"/>
            <w:vAlign w:val="center"/>
          </w:tcPr>
          <w:p w14:paraId="445224D3" w14:textId="77777777" w:rsidR="008C76E0" w:rsidRPr="002754BD" w:rsidRDefault="008C76E0" w:rsidP="004B393A">
            <w:pPr>
              <w:tabs>
                <w:tab w:val="left" w:pos="1141"/>
                <w:tab w:val="left" w:pos="1412"/>
              </w:tabs>
              <w:spacing w:after="160" w:line="360" w:lineRule="auto"/>
              <w:ind w:left="24" w:right="210" w:firstLine="567"/>
              <w:jc w:val="center"/>
              <w:rPr>
                <w:rFonts w:ascii="Sylfaen" w:hAnsi="Sylfaen"/>
                <w:b/>
                <w:i/>
                <w:sz w:val="24"/>
                <w:szCs w:val="24"/>
              </w:rPr>
            </w:pPr>
            <w:r w:rsidRPr="002754BD">
              <w:rPr>
                <w:rStyle w:val="Bodytext295pt"/>
                <w:rFonts w:ascii="Sylfaen" w:eastAsia="MS Mincho" w:hAnsi="Sylfaen"/>
                <w:b w:val="0"/>
                <w:spacing w:val="0"/>
                <w:sz w:val="24"/>
                <w:szCs w:val="24"/>
              </w:rPr>
              <w:t>4.Որակի ասպեկտները</w:t>
            </w:r>
          </w:p>
        </w:tc>
      </w:tr>
      <w:tr w:rsidR="008C76E0" w:rsidRPr="00BD7577" w14:paraId="6C0A8DBF" w14:textId="77777777" w:rsidTr="008C76E0">
        <w:trPr>
          <w:gridAfter w:val="1"/>
          <w:wAfter w:w="10" w:type="dxa"/>
          <w:jc w:val="center"/>
        </w:trPr>
        <w:tc>
          <w:tcPr>
            <w:tcW w:w="8501" w:type="dxa"/>
            <w:gridSpan w:val="2"/>
            <w:shd w:val="clear" w:color="auto" w:fill="FFFFFF"/>
            <w:vAlign w:val="center"/>
          </w:tcPr>
          <w:p w14:paraId="3B2378AF" w14:textId="77777777" w:rsidR="008C76E0" w:rsidRPr="008C76E0" w:rsidRDefault="008C76E0" w:rsidP="004B393A">
            <w:pPr>
              <w:pStyle w:val="Bodytext180"/>
              <w:shd w:val="clear" w:color="auto" w:fill="auto"/>
              <w:tabs>
                <w:tab w:val="left" w:pos="1141"/>
                <w:tab w:val="left" w:pos="1412"/>
              </w:tabs>
              <w:spacing w:before="0" w:after="160" w:line="384" w:lineRule="auto"/>
              <w:ind w:left="24" w:right="208" w:firstLine="567"/>
              <w:jc w:val="both"/>
              <w:rPr>
                <w:rFonts w:ascii="Sylfaen" w:hAnsi="Sylfaen"/>
                <w:b w:val="0"/>
                <w:sz w:val="24"/>
                <w:szCs w:val="24"/>
                <w:lang w:val="hy-AM"/>
              </w:rPr>
            </w:pPr>
            <w:r w:rsidRPr="00BD7577">
              <w:rPr>
                <w:rStyle w:val="Bodytext295pt"/>
                <w:rFonts w:ascii="Sylfaen" w:hAnsi="Sylfaen"/>
                <w:spacing w:val="0"/>
                <w:sz w:val="24"/>
                <w:szCs w:val="24"/>
              </w:rPr>
              <w:t>4.1.</w:t>
            </w:r>
            <w:r w:rsidRPr="008C76E0">
              <w:rPr>
                <w:rFonts w:ascii="Sylfaen" w:hAnsi="Sylfaen"/>
                <w:sz w:val="24"/>
                <w:szCs w:val="24"/>
                <w:lang w:val="hy-AM"/>
              </w:rPr>
              <w:tab/>
            </w:r>
            <w:r w:rsidRPr="00BD7577">
              <w:rPr>
                <w:rStyle w:val="Bodytext295pt"/>
                <w:rFonts w:ascii="Sylfaen" w:hAnsi="Sylfaen"/>
                <w:spacing w:val="0"/>
                <w:sz w:val="24"/>
                <w:szCs w:val="24"/>
              </w:rPr>
              <w:t>Ախտորոշման հետ կապված հարցերի գնահատումը</w:t>
            </w:r>
          </w:p>
        </w:tc>
        <w:tc>
          <w:tcPr>
            <w:tcW w:w="1675" w:type="dxa"/>
            <w:shd w:val="clear" w:color="auto" w:fill="FFFFFF"/>
          </w:tcPr>
          <w:p w14:paraId="5AD9AE8F"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08A71BAF" w14:textId="77777777" w:rsidTr="008C76E0">
        <w:trPr>
          <w:gridAfter w:val="1"/>
          <w:wAfter w:w="10" w:type="dxa"/>
          <w:jc w:val="center"/>
        </w:trPr>
        <w:tc>
          <w:tcPr>
            <w:tcW w:w="8501" w:type="dxa"/>
            <w:gridSpan w:val="2"/>
            <w:shd w:val="clear" w:color="auto" w:fill="FFFFFF"/>
          </w:tcPr>
          <w:p w14:paraId="6BECC482"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08" w:hanging="28"/>
              <w:jc w:val="both"/>
              <w:rPr>
                <w:rFonts w:ascii="Sylfaen" w:hAnsi="Sylfaen"/>
                <w:b w:val="0"/>
                <w:i/>
                <w:sz w:val="24"/>
                <w:szCs w:val="24"/>
                <w:lang w:val="hy-AM"/>
              </w:rPr>
            </w:pPr>
            <w:r w:rsidRPr="00BD7577">
              <w:rPr>
                <w:rStyle w:val="Bodytext295pt"/>
                <w:rFonts w:ascii="Sylfaen" w:hAnsi="Sylfaen"/>
                <w:spacing w:val="0"/>
                <w:sz w:val="24"/>
                <w:szCs w:val="24"/>
              </w:rPr>
              <w:t>Արդյո՞ք մեթոդաբանությունը համապատասխանում է Դեղապատրաստուկների բժշկական կիրառման հրահանգին և բժշկական կիրառման դեղապատրաստուկների ընդհանուր բնութագրին ներկայացվող պահանջների հավելվածին</w:t>
            </w:r>
            <w:r w:rsidRPr="00BD7577" w:rsidDel="00F77B02">
              <w:rPr>
                <w:rStyle w:val="Bodytext295pt"/>
                <w:rFonts w:ascii="Sylfaen" w:hAnsi="Sylfaen"/>
                <w:spacing w:val="0"/>
                <w:sz w:val="24"/>
                <w:szCs w:val="24"/>
              </w:rPr>
              <w:t xml:space="preserve"> </w:t>
            </w:r>
            <w:r w:rsidRPr="00BD7577">
              <w:rPr>
                <w:rStyle w:val="Bodytext295pt"/>
                <w:rFonts w:ascii="Sylfaen" w:hAnsi="Sylfaen"/>
                <w:spacing w:val="0"/>
                <w:sz w:val="24"/>
                <w:szCs w:val="24"/>
              </w:rPr>
              <w:t>։</w:t>
            </w:r>
          </w:p>
        </w:tc>
        <w:tc>
          <w:tcPr>
            <w:tcW w:w="1675" w:type="dxa"/>
            <w:shd w:val="clear" w:color="auto" w:fill="FFFFFF"/>
          </w:tcPr>
          <w:p w14:paraId="753B8D42"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7176E355" w14:textId="77777777" w:rsidTr="008C76E0">
        <w:trPr>
          <w:gridAfter w:val="1"/>
          <w:wAfter w:w="10" w:type="dxa"/>
          <w:jc w:val="center"/>
        </w:trPr>
        <w:tc>
          <w:tcPr>
            <w:tcW w:w="8501" w:type="dxa"/>
            <w:gridSpan w:val="2"/>
            <w:shd w:val="clear" w:color="auto" w:fill="FFFFFF"/>
            <w:vAlign w:val="bottom"/>
          </w:tcPr>
          <w:p w14:paraId="0DDDC20C"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10" w:hanging="28"/>
              <w:jc w:val="both"/>
              <w:rPr>
                <w:rFonts w:ascii="Sylfaen" w:hAnsi="Sylfaen"/>
                <w:b w:val="0"/>
                <w:i/>
                <w:sz w:val="24"/>
                <w:szCs w:val="24"/>
                <w:lang w:val="hy-AM"/>
              </w:rPr>
            </w:pPr>
            <w:r w:rsidRPr="00BD7577">
              <w:rPr>
                <w:rStyle w:val="Bodytext295pt"/>
                <w:rFonts w:ascii="Sylfaen" w:hAnsi="Sylfaen"/>
                <w:spacing w:val="0"/>
                <w:sz w:val="24"/>
                <w:szCs w:val="24"/>
              </w:rPr>
              <w:t>Ընդհանուր առմամբ, արդյո՞ք յուրաքանչյուր հարց համապատասխանում է ճիշտ պատասխանների 81 % չափանիշին:</w:t>
            </w:r>
          </w:p>
        </w:tc>
        <w:tc>
          <w:tcPr>
            <w:tcW w:w="1675" w:type="dxa"/>
            <w:shd w:val="clear" w:color="auto" w:fill="FFFFFF"/>
          </w:tcPr>
          <w:p w14:paraId="0F6A060D" w14:textId="77777777" w:rsidR="008C76E0" w:rsidRPr="00BD7577" w:rsidRDefault="008C76E0" w:rsidP="004B393A">
            <w:pPr>
              <w:pStyle w:val="Bodytext180"/>
              <w:shd w:val="clear" w:color="auto" w:fill="auto"/>
              <w:spacing w:before="0" w:after="160" w:line="384"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78781A1" w14:textId="77777777" w:rsidTr="008C76E0">
        <w:trPr>
          <w:gridAfter w:val="1"/>
          <w:wAfter w:w="10" w:type="dxa"/>
          <w:jc w:val="center"/>
        </w:trPr>
        <w:tc>
          <w:tcPr>
            <w:tcW w:w="8501" w:type="dxa"/>
            <w:gridSpan w:val="2"/>
            <w:shd w:val="clear" w:color="auto" w:fill="FFFFFF"/>
            <w:vAlign w:val="bottom"/>
          </w:tcPr>
          <w:p w14:paraId="78FC2012"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28"/>
              <w:jc w:val="both"/>
              <w:rPr>
                <w:rStyle w:val="Bodytext295pt"/>
                <w:rFonts w:ascii="Sylfaen" w:hAnsi="Sylfaen"/>
                <w:i/>
                <w:spacing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7B675DD4" w14:textId="77777777" w:rsidR="008C76E0" w:rsidRPr="00BD7577" w:rsidRDefault="008C76E0" w:rsidP="004B393A">
            <w:pPr>
              <w:pStyle w:val="Bodytext180"/>
              <w:shd w:val="clear" w:color="auto" w:fill="auto"/>
              <w:spacing w:before="0" w:after="160" w:line="384" w:lineRule="auto"/>
              <w:ind w:left="197" w:right="210" w:firstLine="12"/>
              <w:jc w:val="both"/>
              <w:rPr>
                <w:rStyle w:val="Bodytext295pt"/>
                <w:rFonts w:ascii="Sylfaen" w:hAnsi="Sylfaen"/>
                <w:i/>
                <w:spacing w:val="0"/>
                <w:sz w:val="24"/>
                <w:szCs w:val="24"/>
              </w:rPr>
            </w:pPr>
          </w:p>
        </w:tc>
      </w:tr>
      <w:tr w:rsidR="008C76E0" w:rsidRPr="00BD7577" w14:paraId="68D7F114" w14:textId="77777777" w:rsidTr="008C76E0">
        <w:trPr>
          <w:gridAfter w:val="1"/>
          <w:wAfter w:w="10" w:type="dxa"/>
          <w:jc w:val="center"/>
        </w:trPr>
        <w:tc>
          <w:tcPr>
            <w:tcW w:w="10176" w:type="dxa"/>
            <w:gridSpan w:val="3"/>
            <w:shd w:val="clear" w:color="auto" w:fill="FFFFFF"/>
          </w:tcPr>
          <w:p w14:paraId="3484E1D1" w14:textId="77777777" w:rsidR="008C76E0" w:rsidRPr="008C76E0" w:rsidRDefault="008C76E0" w:rsidP="004B393A">
            <w:pPr>
              <w:pStyle w:val="Bodytext180"/>
              <w:shd w:val="clear" w:color="auto" w:fill="auto"/>
              <w:tabs>
                <w:tab w:val="left" w:pos="1141"/>
                <w:tab w:val="left" w:pos="1412"/>
              </w:tabs>
              <w:spacing w:before="0" w:after="160" w:line="384" w:lineRule="auto"/>
              <w:ind w:left="24" w:right="210" w:firstLine="567"/>
              <w:jc w:val="both"/>
              <w:rPr>
                <w:rFonts w:ascii="Sylfaen" w:hAnsi="Sylfaen"/>
                <w:b w:val="0"/>
                <w:i/>
                <w:sz w:val="24"/>
                <w:szCs w:val="24"/>
                <w:lang w:val="hy-AM"/>
              </w:rPr>
            </w:pPr>
            <w:r w:rsidRPr="00BD7577">
              <w:rPr>
                <w:rStyle w:val="Bodytext295pt"/>
                <w:rFonts w:ascii="Sylfaen" w:hAnsi="Sylfaen"/>
                <w:spacing w:val="0"/>
                <w:sz w:val="24"/>
                <w:szCs w:val="24"/>
              </w:rPr>
              <w:t>4.2.</w:t>
            </w:r>
            <w:r w:rsidRPr="008C76E0">
              <w:rPr>
                <w:rFonts w:ascii="Sylfaen" w:hAnsi="Sylfaen"/>
                <w:i/>
                <w:sz w:val="24"/>
                <w:szCs w:val="24"/>
                <w:lang w:val="hy-AM"/>
              </w:rPr>
              <w:tab/>
            </w:r>
            <w:r w:rsidRPr="00BD7577">
              <w:rPr>
                <w:rStyle w:val="Bodytext295pt"/>
                <w:rFonts w:ascii="Sylfaen" w:hAnsi="Sylfaen"/>
                <w:spacing w:val="0"/>
                <w:sz w:val="24"/>
                <w:szCs w:val="24"/>
              </w:rPr>
              <w:t xml:space="preserve">Մանրակերտի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բովանդակային պլանի գնահատումը</w:t>
            </w:r>
          </w:p>
        </w:tc>
      </w:tr>
      <w:tr w:rsidR="008C76E0" w:rsidRPr="00BD7577" w14:paraId="517D94AC" w14:textId="77777777" w:rsidTr="008C76E0">
        <w:trPr>
          <w:gridAfter w:val="1"/>
          <w:wAfter w:w="10" w:type="dxa"/>
          <w:trHeight w:val="1050"/>
          <w:jc w:val="center"/>
        </w:trPr>
        <w:tc>
          <w:tcPr>
            <w:tcW w:w="8501" w:type="dxa"/>
            <w:gridSpan w:val="2"/>
            <w:vMerge w:val="restart"/>
            <w:shd w:val="clear" w:color="auto" w:fill="FFFFFF"/>
            <w:vAlign w:val="center"/>
          </w:tcPr>
          <w:p w14:paraId="3F488A85" w14:textId="77777777" w:rsidR="008C76E0" w:rsidRPr="008C76E0" w:rsidRDefault="008C76E0" w:rsidP="004B393A">
            <w:pPr>
              <w:pStyle w:val="Bodytext180"/>
              <w:shd w:val="clear" w:color="auto" w:fill="auto"/>
              <w:tabs>
                <w:tab w:val="left" w:pos="1141"/>
                <w:tab w:val="left" w:pos="1412"/>
              </w:tabs>
              <w:spacing w:before="0" w:after="160" w:line="384" w:lineRule="auto"/>
              <w:ind w:left="150" w:right="210" w:firstLine="0"/>
              <w:jc w:val="both"/>
              <w:rPr>
                <w:rFonts w:ascii="Sylfaen" w:hAnsi="Sylfaen"/>
                <w:b w:val="0"/>
                <w:sz w:val="24"/>
                <w:szCs w:val="24"/>
                <w:lang w:val="hy-AM"/>
              </w:rPr>
            </w:pPr>
            <w:r w:rsidRPr="00BD7577">
              <w:rPr>
                <w:rStyle w:val="Bodytext295pt"/>
                <w:rFonts w:ascii="Sylfaen" w:hAnsi="Sylfaen"/>
                <w:spacing w:val="0"/>
                <w:sz w:val="24"/>
                <w:szCs w:val="24"/>
              </w:rPr>
              <w:t>Արդյո՞ք պահպանվել են Դեղապատրաստուկների բժշկական կիրառման հրահանգին և բժշկական կիրառման դեղապատրաստուկների ընդհանուր բնութագրին ներկայացվող պահանջների հավելվածի բովանդակային պլանի ընդհանուր սկզբունքները։</w:t>
            </w:r>
          </w:p>
          <w:p w14:paraId="5CF6ECA0" w14:textId="77777777" w:rsidR="008C76E0" w:rsidRPr="008C76E0" w:rsidRDefault="008C76E0" w:rsidP="004B393A">
            <w:pPr>
              <w:pStyle w:val="Bodytext180"/>
              <w:shd w:val="clear" w:color="auto" w:fill="auto"/>
              <w:tabs>
                <w:tab w:val="left" w:pos="1141"/>
                <w:tab w:val="left" w:pos="1412"/>
              </w:tabs>
              <w:spacing w:before="0" w:after="160" w:line="384" w:lineRule="auto"/>
              <w:ind w:left="192" w:right="210" w:hanging="24"/>
              <w:jc w:val="both"/>
              <w:rPr>
                <w:rFonts w:ascii="Sylfaen" w:hAnsi="Sylfaen"/>
                <w:b w:val="0"/>
                <w:sz w:val="24"/>
                <w:szCs w:val="24"/>
                <w:lang w:val="hy-AM"/>
              </w:rPr>
            </w:pPr>
            <w:r w:rsidRPr="00BD7577">
              <w:rPr>
                <w:rStyle w:val="Bodytext295pt"/>
                <w:rFonts w:ascii="Sylfaen" w:hAnsi="Sylfaen"/>
                <w:spacing w:val="0"/>
                <w:sz w:val="24"/>
                <w:szCs w:val="24"/>
              </w:rPr>
              <w:t>Արդյո՞ք տեքստը շարադրված է պացիենտների համար հասկանալի լեզվով:</w:t>
            </w:r>
          </w:p>
        </w:tc>
        <w:tc>
          <w:tcPr>
            <w:tcW w:w="1675" w:type="dxa"/>
            <w:shd w:val="clear" w:color="auto" w:fill="FFFFFF"/>
            <w:vAlign w:val="bottom"/>
          </w:tcPr>
          <w:p w14:paraId="07E0ADF0"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6646BBF2" w14:textId="77777777" w:rsidTr="008C76E0">
        <w:trPr>
          <w:gridAfter w:val="1"/>
          <w:wAfter w:w="10" w:type="dxa"/>
          <w:trHeight w:val="450"/>
          <w:jc w:val="center"/>
        </w:trPr>
        <w:tc>
          <w:tcPr>
            <w:tcW w:w="8501" w:type="dxa"/>
            <w:gridSpan w:val="2"/>
            <w:vMerge/>
            <w:shd w:val="clear" w:color="auto" w:fill="FFFFFF"/>
            <w:vAlign w:val="center"/>
          </w:tcPr>
          <w:p w14:paraId="59BD6512" w14:textId="77777777" w:rsidR="008C76E0" w:rsidRPr="00BD7577" w:rsidRDefault="008C76E0" w:rsidP="004B393A">
            <w:pPr>
              <w:pStyle w:val="Bodytext180"/>
              <w:shd w:val="clear" w:color="auto" w:fill="auto"/>
              <w:tabs>
                <w:tab w:val="left" w:pos="1412"/>
              </w:tabs>
              <w:spacing w:before="0" w:after="160" w:line="384" w:lineRule="auto"/>
              <w:ind w:left="24" w:right="208" w:firstLine="567"/>
              <w:jc w:val="both"/>
              <w:rPr>
                <w:rStyle w:val="Bodytext295pt"/>
                <w:rFonts w:ascii="Sylfaen" w:hAnsi="Sylfaen"/>
                <w:i/>
                <w:spacing w:val="0"/>
                <w:sz w:val="24"/>
                <w:szCs w:val="24"/>
              </w:rPr>
            </w:pPr>
          </w:p>
        </w:tc>
        <w:tc>
          <w:tcPr>
            <w:tcW w:w="1675" w:type="dxa"/>
            <w:shd w:val="clear" w:color="auto" w:fill="FFFFFF"/>
          </w:tcPr>
          <w:p w14:paraId="51DB5488" w14:textId="77777777" w:rsidR="008C76E0" w:rsidRPr="00BD7577" w:rsidRDefault="008C76E0" w:rsidP="004B393A">
            <w:pPr>
              <w:pStyle w:val="Bodytext180"/>
              <w:spacing w:before="0" w:after="160" w:line="384" w:lineRule="auto"/>
              <w:ind w:left="197" w:right="124" w:firstLine="12"/>
              <w:jc w:val="both"/>
              <w:rPr>
                <w:rFonts w:ascii="Sylfaen" w:hAnsi="Sylfaen"/>
                <w:b w:val="0"/>
                <w:bCs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1EC766E9" w14:textId="77777777" w:rsidTr="008C76E0">
        <w:trPr>
          <w:gridAfter w:val="1"/>
          <w:wAfter w:w="10" w:type="dxa"/>
          <w:jc w:val="center"/>
        </w:trPr>
        <w:tc>
          <w:tcPr>
            <w:tcW w:w="8501" w:type="dxa"/>
            <w:gridSpan w:val="2"/>
            <w:shd w:val="clear" w:color="auto" w:fill="FFFFFF"/>
          </w:tcPr>
          <w:p w14:paraId="42A52B40" w14:textId="77777777" w:rsidR="008C76E0" w:rsidRPr="008C76E0"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lang w:val="hy-AM"/>
              </w:rPr>
            </w:pPr>
            <w:r w:rsidRPr="00BD7577">
              <w:rPr>
                <w:rStyle w:val="Bodytext295pt"/>
                <w:rFonts w:ascii="Sylfaen" w:hAnsi="Sylfaen"/>
                <w:spacing w:val="0"/>
                <w:sz w:val="24"/>
                <w:szCs w:val="24"/>
              </w:rPr>
              <w:lastRenderedPageBreak/>
              <w:t>Արդյո՞ք հեշտ է մանրակերտի օգնությամբ կողմնորոշվելը:</w:t>
            </w:r>
          </w:p>
        </w:tc>
        <w:tc>
          <w:tcPr>
            <w:tcW w:w="1675" w:type="dxa"/>
            <w:shd w:val="clear" w:color="auto" w:fill="FFFFFF"/>
          </w:tcPr>
          <w:p w14:paraId="55790526"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0C48DE9B" w14:textId="77777777" w:rsidTr="008C76E0">
        <w:trPr>
          <w:gridAfter w:val="1"/>
          <w:wAfter w:w="10" w:type="dxa"/>
          <w:jc w:val="center"/>
        </w:trPr>
        <w:tc>
          <w:tcPr>
            <w:tcW w:w="8501" w:type="dxa"/>
            <w:gridSpan w:val="2"/>
            <w:shd w:val="clear" w:color="auto" w:fill="FFFFFF"/>
          </w:tcPr>
          <w:p w14:paraId="62C3C5E5" w14:textId="77777777" w:rsidR="008C76E0" w:rsidRPr="008C76E0"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lang w:val="hy-AM"/>
              </w:rPr>
            </w:pPr>
            <w:r w:rsidRPr="00BD7577">
              <w:rPr>
                <w:rStyle w:val="Bodytext295pt"/>
                <w:rFonts w:ascii="Sylfaen" w:hAnsi="Sylfaen"/>
                <w:spacing w:val="0"/>
                <w:sz w:val="24"/>
                <w:szCs w:val="24"/>
              </w:rPr>
              <w:t>Արդյո՞ք սխեմաների կիրառումն ընդունելի է:</w:t>
            </w:r>
          </w:p>
        </w:tc>
        <w:tc>
          <w:tcPr>
            <w:tcW w:w="1675" w:type="dxa"/>
            <w:shd w:val="clear" w:color="auto" w:fill="FFFFFF"/>
          </w:tcPr>
          <w:p w14:paraId="0B8BC673"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5FD5B3F0" w14:textId="77777777" w:rsidTr="008C76E0">
        <w:trPr>
          <w:gridAfter w:val="1"/>
          <w:wAfter w:w="10" w:type="dxa"/>
          <w:jc w:val="center"/>
        </w:trPr>
        <w:tc>
          <w:tcPr>
            <w:tcW w:w="10176" w:type="dxa"/>
            <w:gridSpan w:val="3"/>
            <w:shd w:val="clear" w:color="auto" w:fill="FFFFFF"/>
            <w:vAlign w:val="bottom"/>
          </w:tcPr>
          <w:p w14:paraId="629095F5" w14:textId="77777777" w:rsidR="008C76E0" w:rsidRPr="00BD7577"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r>
      <w:tr w:rsidR="008C76E0" w:rsidRPr="00BD7577" w14:paraId="50C53C68" w14:textId="77777777" w:rsidTr="008C76E0">
        <w:trPr>
          <w:gridAfter w:val="1"/>
          <w:wAfter w:w="10" w:type="dxa"/>
          <w:jc w:val="center"/>
        </w:trPr>
        <w:tc>
          <w:tcPr>
            <w:tcW w:w="10176" w:type="dxa"/>
            <w:gridSpan w:val="3"/>
            <w:shd w:val="clear" w:color="auto" w:fill="FFFFFF"/>
            <w:vAlign w:val="center"/>
          </w:tcPr>
          <w:p w14:paraId="2464F985"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center"/>
              <w:rPr>
                <w:rFonts w:ascii="Sylfaen" w:hAnsi="Sylfaen"/>
                <w:b w:val="0"/>
                <w:i/>
                <w:sz w:val="24"/>
                <w:szCs w:val="24"/>
              </w:rPr>
            </w:pPr>
            <w:r w:rsidRPr="00BD7577">
              <w:rPr>
                <w:rStyle w:val="Bodytext295pt"/>
                <w:rFonts w:ascii="Sylfaen" w:hAnsi="Sylfaen"/>
                <w:spacing w:val="0"/>
                <w:sz w:val="24"/>
                <w:szCs w:val="24"/>
              </w:rPr>
              <w:t>5. Ախտորոշման (գնահատման) որակը</w:t>
            </w:r>
          </w:p>
        </w:tc>
      </w:tr>
      <w:tr w:rsidR="008C76E0" w:rsidRPr="00BD7577" w14:paraId="621615B6" w14:textId="77777777" w:rsidTr="008C76E0">
        <w:trPr>
          <w:gridAfter w:val="1"/>
          <w:wAfter w:w="10" w:type="dxa"/>
          <w:jc w:val="center"/>
        </w:trPr>
        <w:tc>
          <w:tcPr>
            <w:tcW w:w="6885" w:type="dxa"/>
            <w:shd w:val="clear" w:color="auto" w:fill="FFFFFF"/>
            <w:vAlign w:val="center"/>
          </w:tcPr>
          <w:p w14:paraId="39AB3A7F" w14:textId="0945726A" w:rsidR="008C76E0" w:rsidRPr="00BD7577" w:rsidRDefault="008C76E0" w:rsidP="008C76E0">
            <w:pPr>
              <w:pStyle w:val="Bodytext180"/>
              <w:shd w:val="clear" w:color="auto" w:fill="auto"/>
              <w:tabs>
                <w:tab w:val="left" w:pos="1412"/>
              </w:tabs>
              <w:spacing w:before="0" w:after="160" w:line="360" w:lineRule="auto"/>
              <w:ind w:left="206" w:right="208" w:hanging="24"/>
              <w:jc w:val="both"/>
              <w:rPr>
                <w:rStyle w:val="Bodytext295pt"/>
                <w:rFonts w:ascii="Sylfaen" w:hAnsi="Sylfaen"/>
                <w:i/>
                <w:spacing w:val="0"/>
                <w:sz w:val="24"/>
                <w:szCs w:val="24"/>
              </w:rPr>
            </w:pPr>
            <w:r w:rsidRPr="00BD7577">
              <w:rPr>
                <w:rStyle w:val="Bodytext295pt"/>
                <w:rFonts w:ascii="Sylfaen" w:hAnsi="Sylfaen"/>
                <w:spacing w:val="0"/>
                <w:sz w:val="24"/>
                <w:szCs w:val="24"/>
              </w:rPr>
              <w:t xml:space="preserve">Արդյո՞ք ՆԹ-ում </w:t>
            </w:r>
            <w:r w:rsidR="00FE4A71">
              <w:rPr>
                <w:rStyle w:val="Bodytext295pt"/>
                <w:rFonts w:ascii="Sylfaen" w:hAnsi="Sylfaen"/>
                <w:spacing w:val="0"/>
                <w:sz w:val="24"/>
                <w:szCs w:val="24"/>
              </w:rPr>
              <w:t xml:space="preserve">հայտնաբերվել </w:t>
            </w:r>
            <w:r w:rsidRPr="00BD7577">
              <w:rPr>
                <w:rStyle w:val="Bodytext295pt"/>
                <w:rFonts w:ascii="Sylfaen" w:hAnsi="Sylfaen"/>
                <w:spacing w:val="0"/>
                <w:sz w:val="24"/>
                <w:szCs w:val="24"/>
              </w:rPr>
              <w:t xml:space="preserve"> է որ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է թույլ կողմ: </w:t>
            </w:r>
          </w:p>
          <w:p w14:paraId="78EFF65F" w14:textId="77777777" w:rsidR="008C76E0" w:rsidRPr="008C76E0" w:rsidRDefault="008C76E0" w:rsidP="008C76E0">
            <w:pPr>
              <w:pStyle w:val="Bodytext180"/>
              <w:shd w:val="clear" w:color="auto" w:fill="auto"/>
              <w:tabs>
                <w:tab w:val="left" w:pos="1412"/>
              </w:tabs>
              <w:spacing w:before="0" w:after="160" w:line="360" w:lineRule="auto"/>
              <w:ind w:left="206" w:right="208" w:hanging="24"/>
              <w:jc w:val="both"/>
              <w:rPr>
                <w:rFonts w:ascii="Sylfaen" w:hAnsi="Sylfaen"/>
                <w:b w:val="0"/>
                <w:sz w:val="24"/>
                <w:szCs w:val="24"/>
                <w:lang w:val="hy-AM"/>
              </w:rPr>
            </w:pPr>
            <w:r w:rsidRPr="00BD7577">
              <w:rPr>
                <w:rStyle w:val="Bodytext295pt"/>
                <w:rFonts w:ascii="Sylfaen" w:hAnsi="Sylfaen"/>
                <w:spacing w:val="0"/>
                <w:sz w:val="24"/>
                <w:szCs w:val="24"/>
              </w:rPr>
              <w:t>Արդյո՞ք թույլ կողմերը պատշաճ 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ով վերացվել են:</w:t>
            </w:r>
          </w:p>
        </w:tc>
        <w:tc>
          <w:tcPr>
            <w:tcW w:w="3291" w:type="dxa"/>
            <w:gridSpan w:val="2"/>
            <w:shd w:val="clear" w:color="auto" w:fill="FFFFFF"/>
            <w:vAlign w:val="center"/>
          </w:tcPr>
          <w:p w14:paraId="28CB8B5B"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23ADEAD1"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5A38AF57" w14:textId="77777777" w:rsidTr="008C76E0">
        <w:trPr>
          <w:gridAfter w:val="1"/>
          <w:wAfter w:w="10" w:type="dxa"/>
          <w:jc w:val="center"/>
        </w:trPr>
        <w:tc>
          <w:tcPr>
            <w:tcW w:w="6885" w:type="dxa"/>
            <w:shd w:val="clear" w:color="auto" w:fill="FFFFFF"/>
            <w:vAlign w:val="bottom"/>
          </w:tcPr>
          <w:p w14:paraId="044BD364" w14:textId="77777777" w:rsidR="008C76E0" w:rsidRPr="00BD7577" w:rsidRDefault="008C76E0" w:rsidP="008C76E0">
            <w:pPr>
              <w:pStyle w:val="Bodytext180"/>
              <w:shd w:val="clear" w:color="auto" w:fill="auto"/>
              <w:tabs>
                <w:tab w:val="left" w:pos="1412"/>
              </w:tabs>
              <w:spacing w:before="0" w:after="160" w:line="360" w:lineRule="auto"/>
              <w:ind w:left="206" w:right="208" w:hanging="24"/>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3291" w:type="dxa"/>
            <w:gridSpan w:val="2"/>
            <w:shd w:val="clear" w:color="auto" w:fill="FFFFFF"/>
          </w:tcPr>
          <w:p w14:paraId="6BF968DC" w14:textId="77777777" w:rsidR="008C76E0" w:rsidRPr="00BD7577" w:rsidRDefault="008C76E0" w:rsidP="008C76E0">
            <w:pPr>
              <w:tabs>
                <w:tab w:val="left" w:pos="1412"/>
              </w:tabs>
              <w:ind w:left="24" w:right="208" w:firstLine="567"/>
              <w:jc w:val="both"/>
              <w:rPr>
                <w:rFonts w:ascii="Sylfaen" w:hAnsi="Sylfaen"/>
                <w:sz w:val="24"/>
                <w:szCs w:val="24"/>
              </w:rPr>
            </w:pPr>
          </w:p>
        </w:tc>
      </w:tr>
      <w:tr w:rsidR="008C76E0" w:rsidRPr="00BD7577" w14:paraId="0C813E5D" w14:textId="77777777" w:rsidTr="008C76E0">
        <w:trPr>
          <w:gridAfter w:val="1"/>
          <w:wAfter w:w="10" w:type="dxa"/>
          <w:jc w:val="center"/>
        </w:trPr>
        <w:tc>
          <w:tcPr>
            <w:tcW w:w="10176" w:type="dxa"/>
            <w:gridSpan w:val="3"/>
            <w:shd w:val="clear" w:color="auto" w:fill="FFFFFF"/>
            <w:vAlign w:val="center"/>
          </w:tcPr>
          <w:p w14:paraId="4BAB7A57" w14:textId="77777777" w:rsidR="008C76E0" w:rsidRPr="002754BD" w:rsidRDefault="008C76E0" w:rsidP="008C76E0">
            <w:pPr>
              <w:tabs>
                <w:tab w:val="left" w:pos="1412"/>
              </w:tabs>
              <w:ind w:left="24" w:right="208" w:firstLine="567"/>
              <w:jc w:val="center"/>
              <w:rPr>
                <w:rFonts w:ascii="Sylfaen" w:hAnsi="Sylfaen"/>
                <w:b/>
                <w:i/>
                <w:sz w:val="24"/>
                <w:szCs w:val="24"/>
              </w:rPr>
            </w:pPr>
            <w:r w:rsidRPr="002754BD">
              <w:rPr>
                <w:rStyle w:val="Bodytext295pt"/>
                <w:rFonts w:ascii="Sylfaen" w:eastAsia="MS Mincho" w:hAnsi="Sylfaen"/>
                <w:b w:val="0"/>
                <w:spacing w:val="0"/>
                <w:sz w:val="24"/>
                <w:szCs w:val="24"/>
              </w:rPr>
              <w:t>6.Եզրակացությունը</w:t>
            </w:r>
          </w:p>
        </w:tc>
      </w:tr>
      <w:tr w:rsidR="008C76E0" w:rsidRPr="00BD7577" w14:paraId="3EE37C90" w14:textId="77777777" w:rsidTr="008C76E0">
        <w:trPr>
          <w:gridAfter w:val="1"/>
          <w:wAfter w:w="10" w:type="dxa"/>
          <w:jc w:val="center"/>
        </w:trPr>
        <w:tc>
          <w:tcPr>
            <w:tcW w:w="6885" w:type="dxa"/>
            <w:shd w:val="clear" w:color="auto" w:fill="FFFFFF"/>
            <w:vAlign w:val="bottom"/>
          </w:tcPr>
          <w:p w14:paraId="554238B2"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Արդյո՞ք կատարվել են օգտագործողների թեստավորման գլխավոր խնդիրները։</w:t>
            </w:r>
          </w:p>
          <w:p w14:paraId="6885E65E" w14:textId="477EFE48"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 xml:space="preserve">Արդյո՞ք </w:t>
            </w:r>
            <w:r w:rsidR="0056496B">
              <w:rPr>
                <w:rStyle w:val="Bodytext295pt"/>
                <w:rFonts w:ascii="Sylfaen" w:hAnsi="Sylfaen"/>
                <w:spacing w:val="0"/>
                <w:sz w:val="24"/>
                <w:szCs w:val="24"/>
              </w:rPr>
              <w:t>դիմումատու</w:t>
            </w:r>
            <w:r w:rsidRPr="00BD7577">
              <w:rPr>
                <w:rStyle w:val="Bodytext295pt"/>
                <w:rFonts w:ascii="Sylfaen" w:hAnsi="Sylfaen"/>
                <w:spacing w:val="0"/>
                <w:sz w:val="24"/>
                <w:szCs w:val="24"/>
              </w:rPr>
              <w:t>ի եզրակացությունը ճիշտ է։</w:t>
            </w:r>
          </w:p>
          <w:p w14:paraId="73E39EF4"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Մեթոդաբանության վերաբերյալ ընդհանուր տպավորությունը:</w:t>
            </w:r>
          </w:p>
          <w:p w14:paraId="7E55EBAD"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Ներդիր թերթիկի կառուցվածքի վերաբերյալ ընդհանուր տպավորությունը:</w:t>
            </w:r>
          </w:p>
        </w:tc>
        <w:tc>
          <w:tcPr>
            <w:tcW w:w="3291" w:type="dxa"/>
            <w:gridSpan w:val="2"/>
            <w:shd w:val="clear" w:color="auto" w:fill="FFFFFF"/>
            <w:vAlign w:val="bottom"/>
          </w:tcPr>
          <w:p w14:paraId="413F418F"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այո □ ոչ</w:t>
            </w:r>
          </w:p>
          <w:p w14:paraId="32C2F294"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այո □ ոչ</w:t>
            </w:r>
          </w:p>
          <w:p w14:paraId="7BE0D341"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sz w:val="24"/>
                <w:szCs w:val="24"/>
                <w:lang w:val="hy-AM"/>
              </w:rPr>
              <w:t xml:space="preserve"> </w:t>
            </w:r>
            <w:r w:rsidRPr="00BD7577">
              <w:rPr>
                <w:rStyle w:val="Bodytext295pt"/>
                <w:rFonts w:ascii="Sylfaen" w:hAnsi="Sylfaen"/>
                <w:spacing w:val="0"/>
                <w:sz w:val="24"/>
                <w:szCs w:val="24"/>
              </w:rPr>
              <w:t>դրական</w:t>
            </w:r>
          </w:p>
          <w:p w14:paraId="7B156D5B"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sz w:val="24"/>
                <w:szCs w:val="24"/>
                <w:lang w:val="hy-AM"/>
              </w:rPr>
              <w:t xml:space="preserve"> </w:t>
            </w:r>
            <w:r w:rsidRPr="00BD7577">
              <w:rPr>
                <w:rStyle w:val="Bodytext295pt"/>
                <w:rFonts w:ascii="Sylfaen" w:hAnsi="Sylfaen"/>
                <w:spacing w:val="0"/>
                <w:sz w:val="24"/>
                <w:szCs w:val="24"/>
              </w:rPr>
              <w:t>բացասական</w:t>
            </w:r>
          </w:p>
          <w:p w14:paraId="001128EF"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b w:val="0"/>
                <w:sz w:val="24"/>
                <w:szCs w:val="24"/>
              </w:rPr>
              <w:t>□</w:t>
            </w:r>
            <w:r w:rsidRPr="00BD7577">
              <w:rPr>
                <w:rFonts w:ascii="Sylfaen" w:hAnsi="Sylfaen"/>
                <w:sz w:val="24"/>
                <w:szCs w:val="24"/>
              </w:rPr>
              <w:t xml:space="preserve"> </w:t>
            </w:r>
            <w:r w:rsidRPr="00BD7577">
              <w:rPr>
                <w:rStyle w:val="Bodytext295pt"/>
                <w:rFonts w:ascii="Sylfaen" w:hAnsi="Sylfaen"/>
                <w:spacing w:val="0"/>
                <w:sz w:val="24"/>
                <w:szCs w:val="24"/>
              </w:rPr>
              <w:t>դրական</w:t>
            </w:r>
          </w:p>
          <w:p w14:paraId="2D5C0974"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b w:val="0"/>
                <w:sz w:val="24"/>
                <w:szCs w:val="24"/>
              </w:rPr>
              <w:t>□</w:t>
            </w:r>
            <w:r w:rsidRPr="00BD7577">
              <w:rPr>
                <w:rFonts w:ascii="Sylfaen" w:hAnsi="Sylfaen"/>
                <w:sz w:val="24"/>
                <w:szCs w:val="24"/>
              </w:rPr>
              <w:t xml:space="preserve"> </w:t>
            </w:r>
            <w:r w:rsidRPr="00BD7577">
              <w:rPr>
                <w:rStyle w:val="Bodytext295pt"/>
                <w:rFonts w:ascii="Sylfaen" w:hAnsi="Sylfaen"/>
                <w:spacing w:val="0"/>
                <w:sz w:val="24"/>
                <w:szCs w:val="24"/>
              </w:rPr>
              <w:t>բացասական</w:t>
            </w:r>
          </w:p>
        </w:tc>
      </w:tr>
    </w:tbl>
    <w:p w14:paraId="66C3E1DC" w14:textId="77777777" w:rsidR="008C76E0" w:rsidRPr="002754BD" w:rsidRDefault="008C76E0" w:rsidP="008C76E0">
      <w:pPr>
        <w:widowControl/>
        <w:rPr>
          <w:rFonts w:ascii="Sylfaen" w:hAnsi="Sylfaen"/>
          <w:sz w:val="24"/>
          <w:szCs w:val="24"/>
          <w:lang w:val="en-US"/>
        </w:rPr>
      </w:pPr>
    </w:p>
    <w:tbl>
      <w:tblPr>
        <w:tblOverlap w:val="never"/>
        <w:tblW w:w="9576" w:type="dxa"/>
        <w:jc w:val="center"/>
        <w:tblLayout w:type="fixed"/>
        <w:tblCellMar>
          <w:left w:w="10" w:type="dxa"/>
          <w:right w:w="10" w:type="dxa"/>
        </w:tblCellMar>
        <w:tblLook w:val="04A0" w:firstRow="1" w:lastRow="0" w:firstColumn="1" w:lastColumn="0" w:noHBand="0" w:noVBand="1"/>
      </w:tblPr>
      <w:tblGrid>
        <w:gridCol w:w="9576"/>
      </w:tblGrid>
      <w:tr w:rsidR="008C76E0" w:rsidRPr="00BD7577" w14:paraId="7704FABF" w14:textId="77777777" w:rsidTr="008C76E0">
        <w:trPr>
          <w:jc w:val="center"/>
        </w:trPr>
        <w:tc>
          <w:tcPr>
            <w:tcW w:w="9576" w:type="dxa"/>
            <w:tcBorders>
              <w:top w:val="single" w:sz="4" w:space="0" w:color="auto"/>
              <w:left w:val="single" w:sz="4" w:space="0" w:color="auto"/>
              <w:right w:val="single" w:sz="4" w:space="0" w:color="auto"/>
            </w:tcBorders>
            <w:shd w:val="clear" w:color="auto" w:fill="FFFFFF"/>
            <w:vAlign w:val="bottom"/>
          </w:tcPr>
          <w:p w14:paraId="03BCA4A5" w14:textId="77777777" w:rsidR="008C76E0" w:rsidRPr="00BD7577" w:rsidRDefault="008C76E0" w:rsidP="008C76E0">
            <w:pPr>
              <w:pStyle w:val="Bodytext180"/>
              <w:shd w:val="clear" w:color="auto" w:fill="auto"/>
              <w:spacing w:before="0" w:after="160" w:line="360" w:lineRule="auto"/>
              <w:ind w:right="-1" w:firstLine="567"/>
              <w:jc w:val="both"/>
              <w:rPr>
                <w:rFonts w:ascii="Sylfaen" w:hAnsi="Sylfaen"/>
                <w:b w:val="0"/>
                <w:sz w:val="24"/>
                <w:szCs w:val="24"/>
              </w:rPr>
            </w:pPr>
            <w:r w:rsidRPr="00BD7577">
              <w:rPr>
                <w:rStyle w:val="Bodytext295pt"/>
                <w:rFonts w:ascii="Sylfaen" w:hAnsi="Sylfaen"/>
                <w:spacing w:val="0"/>
                <w:sz w:val="24"/>
                <w:szCs w:val="24"/>
              </w:rPr>
              <w:t>Եզրակացությունը (ռեզյումեն)</w:t>
            </w:r>
          </w:p>
        </w:tc>
      </w:tr>
      <w:tr w:rsidR="008C76E0" w:rsidRPr="00BD7577" w14:paraId="4A28D8B1" w14:textId="77777777" w:rsidTr="008C76E0">
        <w:trPr>
          <w:jc w:val="center"/>
        </w:trPr>
        <w:tc>
          <w:tcPr>
            <w:tcW w:w="9576" w:type="dxa"/>
            <w:tcBorders>
              <w:top w:val="single" w:sz="4" w:space="0" w:color="auto"/>
              <w:left w:val="single" w:sz="4" w:space="0" w:color="auto"/>
              <w:right w:val="single" w:sz="4" w:space="0" w:color="auto"/>
            </w:tcBorders>
            <w:shd w:val="clear" w:color="auto" w:fill="FFFFFF"/>
          </w:tcPr>
          <w:p w14:paraId="1514630E" w14:textId="77777777" w:rsidR="008C76E0" w:rsidRPr="00BD7577" w:rsidRDefault="008C76E0" w:rsidP="008C76E0">
            <w:pPr>
              <w:ind w:right="-1" w:firstLine="567"/>
              <w:jc w:val="both"/>
              <w:rPr>
                <w:rFonts w:ascii="Sylfaen" w:hAnsi="Sylfaen"/>
                <w:sz w:val="24"/>
                <w:szCs w:val="24"/>
              </w:rPr>
            </w:pPr>
          </w:p>
        </w:tc>
      </w:tr>
      <w:tr w:rsidR="008C76E0" w:rsidRPr="00BD7577" w14:paraId="5A380E1A" w14:textId="77777777" w:rsidTr="008C76E0">
        <w:trPr>
          <w:jc w:val="center"/>
        </w:trPr>
        <w:tc>
          <w:tcPr>
            <w:tcW w:w="9576" w:type="dxa"/>
            <w:tcBorders>
              <w:top w:val="single" w:sz="4" w:space="0" w:color="auto"/>
              <w:left w:val="single" w:sz="4" w:space="0" w:color="auto"/>
              <w:bottom w:val="single" w:sz="4" w:space="0" w:color="auto"/>
              <w:right w:val="single" w:sz="4" w:space="0" w:color="auto"/>
            </w:tcBorders>
            <w:shd w:val="clear" w:color="auto" w:fill="FFFFFF"/>
          </w:tcPr>
          <w:p w14:paraId="59F16618" w14:textId="77777777" w:rsidR="00364CB4" w:rsidRPr="00CD4709" w:rsidRDefault="00364CB4" w:rsidP="00364CB4">
            <w:pPr>
              <w:rPr>
                <w:b/>
                <w:bCs/>
                <w:i/>
                <w:iCs/>
                <w:lang w:val="en-US"/>
              </w:rPr>
            </w:pPr>
            <w:r w:rsidRPr="00CD4709">
              <w:rPr>
                <w:b/>
                <w:bCs/>
                <w:i/>
                <w:iCs/>
              </w:rPr>
              <w:t>(</w:t>
            </w:r>
            <w:r>
              <w:rPr>
                <w:b/>
                <w:bCs/>
                <w:i/>
                <w:iCs/>
              </w:rPr>
              <w:t xml:space="preserve">հավելվածը </w:t>
            </w:r>
            <w:r w:rsidRPr="00CD4709">
              <w:rPr>
                <w:b/>
                <w:bCs/>
                <w:i/>
                <w:iCs/>
              </w:rPr>
              <w:t>փոփ. 30.01.20 թիվ 9)</w:t>
            </w:r>
          </w:p>
          <w:p w14:paraId="1C0DD884" w14:textId="77777777" w:rsidR="008C76E0" w:rsidRPr="00BD7577" w:rsidRDefault="008C76E0" w:rsidP="008C76E0">
            <w:pPr>
              <w:ind w:right="-1" w:firstLine="567"/>
              <w:jc w:val="both"/>
              <w:rPr>
                <w:rFonts w:ascii="Sylfaen" w:hAnsi="Sylfaen"/>
                <w:sz w:val="24"/>
                <w:szCs w:val="24"/>
              </w:rPr>
            </w:pPr>
          </w:p>
        </w:tc>
      </w:tr>
    </w:tbl>
    <w:p w14:paraId="3381E698" w14:textId="77777777" w:rsidR="008C76E0" w:rsidRPr="00BD7577" w:rsidRDefault="008C76E0" w:rsidP="008C76E0">
      <w:pPr>
        <w:ind w:right="-1"/>
        <w:jc w:val="both"/>
        <w:rPr>
          <w:rFonts w:ascii="Sylfaen" w:eastAsia="Times New Roman" w:hAnsi="Sylfaen" w:cs="Times New Roman"/>
          <w:sz w:val="24"/>
          <w:szCs w:val="24"/>
        </w:rPr>
        <w:sectPr w:rsidR="008C76E0" w:rsidRPr="00BD7577" w:rsidSect="00C31D56">
          <w:pgSz w:w="11907" w:h="16839" w:code="9"/>
          <w:pgMar w:top="1418" w:right="1418" w:bottom="1418" w:left="1418" w:header="709" w:footer="709" w:gutter="0"/>
          <w:pgNumType w:start="1"/>
          <w:cols w:space="708"/>
          <w:titlePg/>
          <w:docGrid w:linePitch="360"/>
        </w:sectPr>
      </w:pPr>
    </w:p>
    <w:p w14:paraId="36DED53A" w14:textId="05F4C734" w:rsidR="00364CB4" w:rsidRDefault="00364CB4" w:rsidP="004B393A">
      <w:pPr>
        <w:spacing w:after="160" w:line="360" w:lineRule="auto"/>
        <w:ind w:left="4678" w:right="-1"/>
        <w:jc w:val="center"/>
        <w:rPr>
          <w:rFonts w:ascii="Sylfaen" w:hAnsi="Sylfaen"/>
          <w:sz w:val="24"/>
          <w:szCs w:val="24"/>
        </w:rPr>
      </w:pPr>
    </w:p>
    <w:p w14:paraId="1A8ACD44" w14:textId="77777777" w:rsidR="00364CB4" w:rsidRDefault="00364CB4" w:rsidP="004B393A">
      <w:pPr>
        <w:spacing w:after="160" w:line="360" w:lineRule="auto"/>
        <w:ind w:left="4678" w:right="-1"/>
        <w:jc w:val="center"/>
        <w:rPr>
          <w:rFonts w:ascii="Sylfaen" w:hAnsi="Sylfaen"/>
          <w:sz w:val="24"/>
          <w:szCs w:val="24"/>
        </w:rPr>
      </w:pPr>
    </w:p>
    <w:p w14:paraId="08D5A0E3" w14:textId="73F12A68" w:rsidR="00364CB4" w:rsidRDefault="00364CB4" w:rsidP="004B393A">
      <w:pPr>
        <w:spacing w:after="160" w:line="360" w:lineRule="auto"/>
        <w:ind w:left="4678" w:right="-1"/>
        <w:jc w:val="center"/>
        <w:rPr>
          <w:rFonts w:ascii="Sylfaen" w:hAnsi="Sylfaen"/>
          <w:sz w:val="24"/>
          <w:szCs w:val="24"/>
        </w:rPr>
      </w:pPr>
      <w:r>
        <w:rPr>
          <w:rFonts w:ascii="Sylfaen" w:hAnsi="Sylfaen"/>
          <w:sz w:val="24"/>
          <w:szCs w:val="24"/>
        </w:rPr>
        <w:t xml:space="preserve">  </w:t>
      </w:r>
    </w:p>
    <w:p w14:paraId="6418E326" w14:textId="77777777" w:rsidR="00364CB4" w:rsidRDefault="00364CB4" w:rsidP="004B393A">
      <w:pPr>
        <w:spacing w:after="160" w:line="360" w:lineRule="auto"/>
        <w:ind w:left="4678" w:right="-1"/>
        <w:jc w:val="center"/>
        <w:rPr>
          <w:rFonts w:ascii="Sylfaen" w:hAnsi="Sylfaen"/>
          <w:sz w:val="24"/>
          <w:szCs w:val="24"/>
        </w:rPr>
      </w:pPr>
    </w:p>
    <w:p w14:paraId="25455762" w14:textId="77777777" w:rsidR="00364CB4" w:rsidRDefault="00364CB4" w:rsidP="004B393A">
      <w:pPr>
        <w:spacing w:after="160" w:line="360" w:lineRule="auto"/>
        <w:ind w:left="4678" w:right="-1"/>
        <w:jc w:val="center"/>
        <w:rPr>
          <w:rFonts w:ascii="Sylfaen" w:hAnsi="Sylfaen"/>
          <w:sz w:val="24"/>
          <w:szCs w:val="24"/>
        </w:rPr>
      </w:pPr>
    </w:p>
    <w:p w14:paraId="19782552" w14:textId="1B4B67EE" w:rsidR="008C76E0" w:rsidRPr="00BD7577" w:rsidRDefault="008C76E0" w:rsidP="004B393A">
      <w:pPr>
        <w:spacing w:after="160" w:line="360" w:lineRule="auto"/>
        <w:ind w:left="4678" w:right="-1"/>
        <w:jc w:val="center"/>
        <w:rPr>
          <w:rFonts w:ascii="Sylfaen" w:hAnsi="Sylfaen"/>
          <w:sz w:val="24"/>
          <w:szCs w:val="24"/>
        </w:rPr>
      </w:pPr>
      <w:r w:rsidRPr="00BD7577">
        <w:rPr>
          <w:rFonts w:ascii="Sylfaen" w:hAnsi="Sylfaen"/>
          <w:sz w:val="24"/>
          <w:szCs w:val="24"/>
        </w:rPr>
        <w:t>ՀԱՎԵԼՎԱԾ ԹԻՎ 12</w:t>
      </w:r>
    </w:p>
    <w:p w14:paraId="313C74EF" w14:textId="77777777" w:rsidR="008C76E0" w:rsidRPr="00BD7577" w:rsidRDefault="008C76E0" w:rsidP="004B393A">
      <w:pPr>
        <w:spacing w:after="160" w:line="360" w:lineRule="auto"/>
        <w:ind w:left="4678"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775ECCDD" w14:textId="77777777" w:rsidR="008C76E0" w:rsidRPr="00BD7577" w:rsidRDefault="008C76E0" w:rsidP="004B393A">
      <w:pPr>
        <w:spacing w:after="160" w:line="360" w:lineRule="auto"/>
        <w:ind w:firstLine="567"/>
        <w:jc w:val="both"/>
        <w:rPr>
          <w:rFonts w:ascii="Sylfaen" w:hAnsi="Sylfaen"/>
          <w:sz w:val="24"/>
          <w:szCs w:val="24"/>
        </w:rPr>
      </w:pPr>
    </w:p>
    <w:p w14:paraId="0AE62489" w14:textId="77777777" w:rsidR="008C76E0" w:rsidRPr="008C76E0" w:rsidRDefault="008C76E0" w:rsidP="004B393A">
      <w:pPr>
        <w:pStyle w:val="Heading130"/>
        <w:shd w:val="clear" w:color="auto" w:fill="auto"/>
        <w:spacing w:before="0" w:after="160" w:line="360" w:lineRule="auto"/>
        <w:ind w:firstLine="567"/>
        <w:outlineLvl w:val="9"/>
        <w:rPr>
          <w:rFonts w:ascii="Sylfaen" w:hAnsi="Sylfaen"/>
          <w:b/>
          <w:sz w:val="24"/>
          <w:szCs w:val="24"/>
          <w:lang w:val="hy-AM"/>
        </w:rPr>
      </w:pPr>
      <w:bookmarkStart w:id="7" w:name="bookmark7"/>
      <w:r w:rsidRPr="008C76E0">
        <w:rPr>
          <w:rStyle w:val="Heading13Bold"/>
          <w:rFonts w:ascii="Sylfaen" w:hAnsi="Sylfaen"/>
          <w:b/>
          <w:sz w:val="24"/>
          <w:szCs w:val="24"/>
          <w:lang w:val="hy-AM"/>
        </w:rPr>
        <w:t>ՁԵՎ</w:t>
      </w:r>
      <w:bookmarkEnd w:id="7"/>
    </w:p>
    <w:p w14:paraId="3A146520" w14:textId="77777777" w:rsidR="008C76E0" w:rsidRPr="008C76E0" w:rsidRDefault="008C76E0" w:rsidP="004B393A">
      <w:pPr>
        <w:pStyle w:val="Bodytext130"/>
        <w:shd w:val="clear" w:color="auto" w:fill="auto"/>
        <w:spacing w:after="160" w:line="360" w:lineRule="auto"/>
        <w:ind w:right="-1" w:firstLine="567"/>
        <w:rPr>
          <w:rFonts w:ascii="Sylfaen" w:hAnsi="Sylfaen"/>
          <w:sz w:val="24"/>
          <w:szCs w:val="24"/>
          <w:lang w:val="hy-AM"/>
        </w:rPr>
      </w:pPr>
      <w:r w:rsidRPr="008C76E0">
        <w:rPr>
          <w:rFonts w:ascii="Sylfaen" w:hAnsi="Sylfaen"/>
          <w:sz w:val="24"/>
          <w:szCs w:val="24"/>
          <w:lang w:val="hy-AM"/>
        </w:rPr>
        <w:t>փորձարկումների արձանագրության</w:t>
      </w:r>
    </w:p>
    <w:p w14:paraId="3B784FCC" w14:textId="77777777" w:rsidR="008C76E0" w:rsidRPr="00BD7577" w:rsidRDefault="008C76E0" w:rsidP="004B393A">
      <w:pPr>
        <w:spacing w:after="160" w:line="360" w:lineRule="auto"/>
        <w:ind w:right="-1" w:firstLine="567"/>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119A106A"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747B09" w14:textId="77777777" w:rsidR="008C76E0" w:rsidRPr="008C76E0" w:rsidRDefault="008C76E0" w:rsidP="004B393A">
      <w:pPr>
        <w:pStyle w:val="Bodytext40"/>
        <w:shd w:val="clear" w:color="auto" w:fill="auto"/>
        <w:spacing w:before="0" w:after="160" w:line="360" w:lineRule="auto"/>
        <w:ind w:right="-2"/>
        <w:rPr>
          <w:rFonts w:ascii="Sylfaen" w:hAnsi="Sylfaen"/>
          <w:b w:val="0"/>
          <w:sz w:val="20"/>
          <w:szCs w:val="20"/>
          <w:lang w:val="hy-AM"/>
        </w:rPr>
      </w:pPr>
      <w:r w:rsidRPr="008C76E0">
        <w:rPr>
          <w:rFonts w:ascii="Sylfaen" w:hAnsi="Sylfaen"/>
          <w:b w:val="0"/>
          <w:sz w:val="20"/>
          <w:szCs w:val="20"/>
          <w:lang w:val="hy-AM"/>
        </w:rPr>
        <w:t>(Եվրասիական տնտեսական միության անդամ պետության լիազորված մարմնի անվանումը)</w:t>
      </w:r>
    </w:p>
    <w:p w14:paraId="35A101E1"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CD1E702" w14:textId="77777777" w:rsidR="008C76E0" w:rsidRPr="008C76E0" w:rsidRDefault="008C76E0" w:rsidP="004B393A">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0"/>
          <w:szCs w:val="20"/>
          <w:lang w:val="hy-AM"/>
        </w:rPr>
        <w:t>(փորձագիտական կազմակերպության կամ փորձարկման լաբորատորիայի անվանումը)</w:t>
      </w:r>
    </w:p>
    <w:p w14:paraId="1B982280"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cs="Sylfaen"/>
          <w:sz w:val="24"/>
          <w:szCs w:val="24"/>
        </w:rPr>
        <w:t>Փորձարկման</w:t>
      </w:r>
      <w:r w:rsidRPr="00BD7577">
        <w:rPr>
          <w:rFonts w:ascii="Sylfaen" w:hAnsi="Sylfaen"/>
          <w:sz w:val="24"/>
          <w:szCs w:val="24"/>
        </w:rPr>
        <w:t xml:space="preserve"> </w:t>
      </w:r>
      <w:r w:rsidRPr="00BD7577">
        <w:rPr>
          <w:rFonts w:ascii="Sylfaen" w:hAnsi="Sylfaen" w:cs="Sylfaen"/>
          <w:sz w:val="24"/>
          <w:szCs w:val="24"/>
        </w:rPr>
        <w:t>լաբորատորիայի</w:t>
      </w:r>
      <w:r w:rsidRPr="00BD7577">
        <w:rPr>
          <w:rFonts w:ascii="Sylfaen" w:hAnsi="Sylfaen"/>
          <w:sz w:val="24"/>
          <w:szCs w:val="24"/>
        </w:rPr>
        <w:t xml:space="preserve"> </w:t>
      </w:r>
      <w:r w:rsidRPr="00BD7577">
        <w:rPr>
          <w:rFonts w:ascii="Sylfaen" w:hAnsi="Sylfaen" w:cs="Sylfaen"/>
          <w:sz w:val="24"/>
          <w:szCs w:val="24"/>
        </w:rPr>
        <w:t>հավատարմագրման</w:t>
      </w:r>
      <w:r w:rsidRPr="00BD7577">
        <w:rPr>
          <w:rFonts w:ascii="Sylfaen" w:hAnsi="Sylfaen"/>
          <w:sz w:val="24"/>
          <w:szCs w:val="24"/>
        </w:rPr>
        <w:t xml:space="preserve"> </w:t>
      </w:r>
      <w:r w:rsidRPr="00BD7577">
        <w:rPr>
          <w:rFonts w:ascii="Sylfaen" w:hAnsi="Sylfaen" w:cs="Sylfaen"/>
          <w:sz w:val="24"/>
          <w:szCs w:val="24"/>
        </w:rPr>
        <w:t>վկայականը</w:t>
      </w:r>
      <w:r w:rsidRPr="00BD7577">
        <w:rPr>
          <w:rFonts w:ascii="Sylfaen" w:hAnsi="Sylfaen"/>
          <w:sz w:val="24"/>
          <w:szCs w:val="24"/>
        </w:rPr>
        <w:t xml:space="preserve"> ___________________________________________________________________________</w:t>
      </w:r>
    </w:p>
    <w:p w14:paraId="36705C32" w14:textId="77777777" w:rsidR="008C76E0" w:rsidRPr="008C76E0" w:rsidRDefault="008C76E0" w:rsidP="004B393A">
      <w:pPr>
        <w:pStyle w:val="Bodytext40"/>
        <w:shd w:val="clear" w:color="auto" w:fill="auto"/>
        <w:spacing w:before="0" w:after="160" w:line="360" w:lineRule="auto"/>
        <w:ind w:right="-1"/>
        <w:rPr>
          <w:rFonts w:ascii="Sylfaen" w:hAnsi="Sylfaen"/>
          <w:b w:val="0"/>
          <w:sz w:val="20"/>
          <w:szCs w:val="20"/>
          <w:lang w:val="hy-AM"/>
        </w:rPr>
      </w:pPr>
      <w:r w:rsidRPr="008C76E0">
        <w:rPr>
          <w:rFonts w:ascii="Sylfaen" w:hAnsi="Sylfaen"/>
          <w:b w:val="0"/>
          <w:sz w:val="20"/>
          <w:szCs w:val="20"/>
          <w:lang w:val="hy-AM"/>
        </w:rPr>
        <w:t>(համարը, գործողության ժամկետը)</w:t>
      </w:r>
    </w:p>
    <w:p w14:paraId="0F8DBFE3"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C071326" w14:textId="77777777" w:rsidR="008C76E0" w:rsidRPr="008C76E0" w:rsidRDefault="008C76E0" w:rsidP="004B393A">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0"/>
          <w:szCs w:val="20"/>
          <w:lang w:val="hy-AM"/>
        </w:rPr>
        <w:t>(փորձագիտական կազմակերպության (փորձարկման լաբորատորիայի) հասցեն, հեռախոսահամարը)</w:t>
      </w:r>
    </w:p>
    <w:p w14:paraId="46766EAC" w14:textId="77777777" w:rsidR="008C76E0" w:rsidRPr="008C76E0" w:rsidRDefault="008C76E0" w:rsidP="008C76E0">
      <w:pPr>
        <w:pStyle w:val="Bodytext40"/>
        <w:shd w:val="clear" w:color="auto" w:fill="auto"/>
        <w:spacing w:before="0" w:after="160" w:line="360" w:lineRule="auto"/>
        <w:ind w:firstLine="567"/>
        <w:rPr>
          <w:rFonts w:ascii="Sylfaen" w:hAnsi="Sylfaen"/>
          <w:b w:val="0"/>
          <w:sz w:val="24"/>
          <w:szCs w:val="24"/>
          <w:lang w:val="hy-AM"/>
        </w:rPr>
      </w:pPr>
    </w:p>
    <w:p w14:paraId="48809C78" w14:textId="77777777" w:rsidR="008C76E0" w:rsidRPr="00BD7577" w:rsidRDefault="008C76E0" w:rsidP="008C76E0">
      <w:pPr>
        <w:ind w:left="567" w:right="565"/>
        <w:jc w:val="both"/>
        <w:rPr>
          <w:rFonts w:ascii="Sylfaen" w:hAnsi="Sylfaen"/>
          <w:sz w:val="24"/>
          <w:szCs w:val="24"/>
        </w:rPr>
      </w:pPr>
      <w:r w:rsidRPr="00BD7577">
        <w:rPr>
          <w:rFonts w:ascii="Sylfaen" w:hAnsi="Sylfaen"/>
          <w:sz w:val="24"/>
          <w:szCs w:val="24"/>
        </w:rPr>
        <w:lastRenderedPageBreak/>
        <w:t xml:space="preserve">ՓՈՐՁԱՐԿՈՒՄՆԵՐԻ ԱՐՁԱՆԱԳՐՈՒԹՅՈՒՆ ԹԻՎ ______ ՕՕ.ԱԱ.ՏՏՏՏ </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5244"/>
        <w:gridCol w:w="4942"/>
      </w:tblGrid>
      <w:tr w:rsidR="008C76E0" w:rsidRPr="00BD7577" w14:paraId="0EFBB3DA"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08FF7539" w14:textId="5D1F5752" w:rsidR="008C76E0" w:rsidRPr="00BD7577" w:rsidRDefault="0056496B" w:rsidP="008C76E0">
            <w:pPr>
              <w:pStyle w:val="Bodytext180"/>
              <w:shd w:val="clear" w:color="auto" w:fill="auto"/>
              <w:spacing w:before="0" w:after="120" w:line="240" w:lineRule="auto"/>
              <w:ind w:left="106" w:firstLine="0"/>
              <w:jc w:val="both"/>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ն՝</w:t>
            </w:r>
          </w:p>
        </w:tc>
        <w:tc>
          <w:tcPr>
            <w:tcW w:w="4942" w:type="dxa"/>
            <w:tcBorders>
              <w:top w:val="single" w:sz="4" w:space="0" w:color="auto"/>
              <w:left w:val="single" w:sz="4" w:space="0" w:color="auto"/>
              <w:right w:val="single" w:sz="4" w:space="0" w:color="auto"/>
            </w:tcBorders>
            <w:shd w:val="clear" w:color="auto" w:fill="FFFFFF"/>
          </w:tcPr>
          <w:p w14:paraId="4B40C61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449B304" w14:textId="77777777" w:rsidTr="008C76E0">
        <w:trPr>
          <w:trHeight w:val="1041"/>
          <w:jc w:val="center"/>
        </w:trPr>
        <w:tc>
          <w:tcPr>
            <w:tcW w:w="5244" w:type="dxa"/>
            <w:tcBorders>
              <w:top w:val="single" w:sz="4" w:space="0" w:color="auto"/>
              <w:left w:val="single" w:sz="4" w:space="0" w:color="auto"/>
            </w:tcBorders>
            <w:shd w:val="clear" w:color="auto" w:fill="FFFFFF"/>
            <w:vAlign w:val="bottom"/>
          </w:tcPr>
          <w:p w14:paraId="692F69B7"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Փորձարկվող նյութի անվանումն ու տեսակը՝</w:t>
            </w:r>
          </w:p>
        </w:tc>
        <w:tc>
          <w:tcPr>
            <w:tcW w:w="4942" w:type="dxa"/>
            <w:tcBorders>
              <w:top w:val="single" w:sz="4" w:space="0" w:color="auto"/>
              <w:left w:val="single" w:sz="4" w:space="0" w:color="auto"/>
              <w:right w:val="single" w:sz="4" w:space="0" w:color="auto"/>
            </w:tcBorders>
            <w:shd w:val="clear" w:color="auto" w:fill="FFFFFF"/>
          </w:tcPr>
          <w:p w14:paraId="5AF7822C"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19618244" w14:textId="77777777" w:rsidTr="008C76E0">
        <w:trPr>
          <w:trHeight w:val="583"/>
          <w:jc w:val="center"/>
        </w:trPr>
        <w:tc>
          <w:tcPr>
            <w:tcW w:w="5244" w:type="dxa"/>
            <w:tcBorders>
              <w:top w:val="single" w:sz="4" w:space="0" w:color="auto"/>
              <w:left w:val="single" w:sz="4" w:space="0" w:color="auto"/>
            </w:tcBorders>
            <w:shd w:val="clear" w:color="auto" w:fill="FFFFFF"/>
            <w:vAlign w:val="bottom"/>
          </w:tcPr>
          <w:p w14:paraId="7A6582E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Փորձարկումների տեսակը՝</w:t>
            </w:r>
          </w:p>
        </w:tc>
        <w:tc>
          <w:tcPr>
            <w:tcW w:w="4942" w:type="dxa"/>
            <w:tcBorders>
              <w:top w:val="single" w:sz="4" w:space="0" w:color="auto"/>
              <w:left w:val="single" w:sz="4" w:space="0" w:color="auto"/>
              <w:right w:val="single" w:sz="4" w:space="0" w:color="auto"/>
            </w:tcBorders>
            <w:shd w:val="clear" w:color="auto" w:fill="FFFFFF"/>
          </w:tcPr>
          <w:p w14:paraId="235BF20C"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6539EE1" w14:textId="77777777" w:rsidTr="008C76E0">
        <w:trPr>
          <w:trHeight w:val="604"/>
          <w:jc w:val="center"/>
        </w:trPr>
        <w:tc>
          <w:tcPr>
            <w:tcW w:w="5244" w:type="dxa"/>
            <w:tcBorders>
              <w:top w:val="single" w:sz="4" w:space="0" w:color="auto"/>
              <w:left w:val="single" w:sz="4" w:space="0" w:color="auto"/>
            </w:tcBorders>
            <w:shd w:val="clear" w:color="auto" w:fill="FFFFFF"/>
          </w:tcPr>
          <w:p w14:paraId="4CCF1E41"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Հիմնավորումը՝</w:t>
            </w:r>
          </w:p>
        </w:tc>
        <w:tc>
          <w:tcPr>
            <w:tcW w:w="4942" w:type="dxa"/>
            <w:tcBorders>
              <w:top w:val="single" w:sz="4" w:space="0" w:color="auto"/>
              <w:left w:val="single" w:sz="4" w:space="0" w:color="auto"/>
              <w:right w:val="single" w:sz="4" w:space="0" w:color="auto"/>
            </w:tcBorders>
            <w:shd w:val="clear" w:color="auto" w:fill="FFFFFF"/>
          </w:tcPr>
          <w:p w14:paraId="40C87C41"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CEEF080"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310312B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Արտադրողը, երկիրը՝</w:t>
            </w:r>
          </w:p>
        </w:tc>
        <w:tc>
          <w:tcPr>
            <w:tcW w:w="4942" w:type="dxa"/>
            <w:tcBorders>
              <w:top w:val="single" w:sz="4" w:space="0" w:color="auto"/>
              <w:left w:val="single" w:sz="4" w:space="0" w:color="auto"/>
              <w:right w:val="single" w:sz="4" w:space="0" w:color="auto"/>
            </w:tcBorders>
            <w:shd w:val="clear" w:color="auto" w:fill="FFFFFF"/>
          </w:tcPr>
          <w:p w14:paraId="5DF14B9F"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261E7527"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458D1AE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Սերիան, խմբաքանակը՝</w:t>
            </w:r>
          </w:p>
        </w:tc>
        <w:tc>
          <w:tcPr>
            <w:tcW w:w="4942" w:type="dxa"/>
            <w:tcBorders>
              <w:top w:val="single" w:sz="4" w:space="0" w:color="auto"/>
              <w:left w:val="single" w:sz="4" w:space="0" w:color="auto"/>
              <w:right w:val="single" w:sz="4" w:space="0" w:color="auto"/>
            </w:tcBorders>
            <w:shd w:val="clear" w:color="auto" w:fill="FFFFFF"/>
          </w:tcPr>
          <w:p w14:paraId="514D861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339E4B78"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79812D9C"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Պիտանիության ժամկետը՝</w:t>
            </w:r>
          </w:p>
        </w:tc>
        <w:tc>
          <w:tcPr>
            <w:tcW w:w="4942" w:type="dxa"/>
            <w:tcBorders>
              <w:top w:val="single" w:sz="4" w:space="0" w:color="auto"/>
              <w:left w:val="single" w:sz="4" w:space="0" w:color="auto"/>
              <w:right w:val="single" w:sz="4" w:space="0" w:color="auto"/>
            </w:tcBorders>
            <w:shd w:val="clear" w:color="auto" w:fill="FFFFFF"/>
          </w:tcPr>
          <w:p w14:paraId="6BBFAEB5"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0E5DEE5"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5AC1FBDB"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Փորձանմուշները ստանալու ամսաթիվը՝</w:t>
            </w:r>
          </w:p>
        </w:tc>
        <w:tc>
          <w:tcPr>
            <w:tcW w:w="4942" w:type="dxa"/>
            <w:tcBorders>
              <w:top w:val="single" w:sz="4" w:space="0" w:color="auto"/>
              <w:left w:val="single" w:sz="4" w:space="0" w:color="auto"/>
              <w:right w:val="single" w:sz="4" w:space="0" w:color="auto"/>
            </w:tcBorders>
            <w:shd w:val="clear" w:color="auto" w:fill="FFFFFF"/>
          </w:tcPr>
          <w:p w14:paraId="5EE7E26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3976B5F5"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0DA4974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Ներկայացված փորձանմուշների քանակը՝</w:t>
            </w:r>
          </w:p>
        </w:tc>
        <w:tc>
          <w:tcPr>
            <w:tcW w:w="4942" w:type="dxa"/>
            <w:tcBorders>
              <w:top w:val="single" w:sz="4" w:space="0" w:color="auto"/>
              <w:left w:val="single" w:sz="4" w:space="0" w:color="auto"/>
              <w:right w:val="single" w:sz="4" w:space="0" w:color="auto"/>
            </w:tcBorders>
            <w:shd w:val="clear" w:color="auto" w:fill="FFFFFF"/>
          </w:tcPr>
          <w:p w14:paraId="7E4BB549"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94D249E"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1A2F409D"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Փորձարկումները սկսելու ամսաթիվը՝</w:t>
            </w:r>
          </w:p>
        </w:tc>
        <w:tc>
          <w:tcPr>
            <w:tcW w:w="4942" w:type="dxa"/>
            <w:tcBorders>
              <w:top w:val="single" w:sz="4" w:space="0" w:color="auto"/>
              <w:left w:val="single" w:sz="4" w:space="0" w:color="auto"/>
              <w:right w:val="single" w:sz="4" w:space="0" w:color="auto"/>
            </w:tcBorders>
            <w:shd w:val="clear" w:color="auto" w:fill="FFFFFF"/>
          </w:tcPr>
          <w:p w14:paraId="21CE7AE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48353D91"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6F82862E"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Փորձարկումներն ավարտելու ամսաթիվը՝</w:t>
            </w:r>
          </w:p>
        </w:tc>
        <w:tc>
          <w:tcPr>
            <w:tcW w:w="4942" w:type="dxa"/>
            <w:tcBorders>
              <w:top w:val="single" w:sz="4" w:space="0" w:color="auto"/>
              <w:left w:val="single" w:sz="4" w:space="0" w:color="auto"/>
              <w:right w:val="single" w:sz="4" w:space="0" w:color="auto"/>
            </w:tcBorders>
            <w:shd w:val="clear" w:color="auto" w:fill="FFFFFF"/>
          </w:tcPr>
          <w:p w14:paraId="7D62892B"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7D0FC1DC"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3D87C2C3"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 xml:space="preserve">Ջերմաստիճանը </w:t>
            </w:r>
            <w:r w:rsidR="00C54D75">
              <w:rPr>
                <w:rStyle w:val="Bodytext1811pt"/>
                <w:rFonts w:ascii="Sylfaen" w:hAnsi="Sylfaen"/>
                <w:sz w:val="24"/>
                <w:szCs w:val="24"/>
              </w:rPr>
              <w:t>և</w:t>
            </w:r>
            <w:r w:rsidRPr="00BD7577">
              <w:rPr>
                <w:rStyle w:val="Bodytext1811pt"/>
                <w:rFonts w:ascii="Sylfaen" w:hAnsi="Sylfaen"/>
                <w:sz w:val="24"/>
                <w:szCs w:val="24"/>
              </w:rPr>
              <w:t xml:space="preserve"> խոնավությունը՝</w:t>
            </w:r>
          </w:p>
        </w:tc>
        <w:tc>
          <w:tcPr>
            <w:tcW w:w="4942" w:type="dxa"/>
            <w:tcBorders>
              <w:top w:val="single" w:sz="4" w:space="0" w:color="auto"/>
              <w:left w:val="single" w:sz="4" w:space="0" w:color="auto"/>
              <w:right w:val="single" w:sz="4" w:space="0" w:color="auto"/>
            </w:tcBorders>
            <w:shd w:val="clear" w:color="auto" w:fill="FFFFFF"/>
          </w:tcPr>
          <w:p w14:paraId="1C47799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22E76367" w14:textId="77777777" w:rsidTr="008C76E0">
        <w:trPr>
          <w:trHeight w:val="625"/>
          <w:jc w:val="center"/>
        </w:trPr>
        <w:tc>
          <w:tcPr>
            <w:tcW w:w="5244" w:type="dxa"/>
            <w:tcBorders>
              <w:top w:val="single" w:sz="4" w:space="0" w:color="auto"/>
              <w:left w:val="single" w:sz="4" w:space="0" w:color="auto"/>
              <w:bottom w:val="single" w:sz="4" w:space="0" w:color="auto"/>
            </w:tcBorders>
            <w:shd w:val="clear" w:color="auto" w:fill="FFFFFF"/>
            <w:vAlign w:val="bottom"/>
          </w:tcPr>
          <w:p w14:paraId="608CFD5F"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Նյութի մասնագրի ծածկագիրը՝</w:t>
            </w:r>
          </w:p>
        </w:tc>
        <w:tc>
          <w:tcPr>
            <w:tcW w:w="4942" w:type="dxa"/>
            <w:tcBorders>
              <w:top w:val="single" w:sz="4" w:space="0" w:color="auto"/>
              <w:left w:val="single" w:sz="4" w:space="0" w:color="auto"/>
              <w:bottom w:val="single" w:sz="4" w:space="0" w:color="auto"/>
              <w:right w:val="single" w:sz="4" w:space="0" w:color="auto"/>
            </w:tcBorders>
            <w:shd w:val="clear" w:color="auto" w:fill="FFFFFF"/>
          </w:tcPr>
          <w:p w14:paraId="1BE10772" w14:textId="77777777" w:rsidR="008C76E0" w:rsidRPr="00BD7577" w:rsidRDefault="008C76E0" w:rsidP="008C76E0">
            <w:pPr>
              <w:spacing w:after="120" w:line="240" w:lineRule="auto"/>
              <w:ind w:firstLine="567"/>
              <w:jc w:val="both"/>
              <w:rPr>
                <w:rFonts w:ascii="Sylfaen" w:hAnsi="Sylfaen"/>
                <w:sz w:val="24"/>
                <w:szCs w:val="24"/>
              </w:rPr>
            </w:pPr>
          </w:p>
        </w:tc>
      </w:tr>
    </w:tbl>
    <w:p w14:paraId="21DD28BB" w14:textId="77777777" w:rsidR="008C76E0" w:rsidRPr="00BD7577" w:rsidRDefault="008C76E0" w:rsidP="008C76E0">
      <w:pPr>
        <w:ind w:right="-1" w:firstLine="567"/>
        <w:jc w:val="both"/>
        <w:rPr>
          <w:rFonts w:ascii="Sylfaen" w:hAnsi="Sylfaen"/>
          <w:sz w:val="24"/>
          <w:szCs w:val="24"/>
        </w:rPr>
      </w:pPr>
    </w:p>
    <w:tbl>
      <w:tblPr>
        <w:tblOverlap w:val="never"/>
        <w:tblW w:w="10162" w:type="dxa"/>
        <w:jc w:val="center"/>
        <w:tblLayout w:type="fixed"/>
        <w:tblCellMar>
          <w:left w:w="10" w:type="dxa"/>
          <w:right w:w="10" w:type="dxa"/>
        </w:tblCellMar>
        <w:tblLook w:val="04A0" w:firstRow="1" w:lastRow="0" w:firstColumn="1" w:lastColumn="0" w:noHBand="0" w:noVBand="1"/>
      </w:tblPr>
      <w:tblGrid>
        <w:gridCol w:w="1972"/>
        <w:gridCol w:w="1909"/>
        <w:gridCol w:w="2653"/>
        <w:gridCol w:w="3628"/>
      </w:tblGrid>
      <w:tr w:rsidR="008C76E0" w:rsidRPr="00BD7577" w14:paraId="3DDCD907" w14:textId="77777777" w:rsidTr="008C76E0">
        <w:trPr>
          <w:trHeight w:val="794"/>
          <w:jc w:val="center"/>
        </w:trPr>
        <w:tc>
          <w:tcPr>
            <w:tcW w:w="10162" w:type="dxa"/>
            <w:gridSpan w:val="4"/>
            <w:shd w:val="clear" w:color="auto" w:fill="FFFFFF"/>
          </w:tcPr>
          <w:p w14:paraId="3C705E42" w14:textId="77777777" w:rsidR="008C76E0" w:rsidRPr="00BD7577" w:rsidRDefault="008C76E0" w:rsidP="008C76E0">
            <w:pPr>
              <w:pStyle w:val="Bodytext180"/>
              <w:shd w:val="clear" w:color="auto" w:fill="auto"/>
              <w:spacing w:before="0" w:after="120" w:line="240" w:lineRule="auto"/>
              <w:ind w:firstLine="567"/>
              <w:jc w:val="center"/>
              <w:rPr>
                <w:rFonts w:ascii="Sylfaen" w:hAnsi="Sylfaen"/>
                <w:b w:val="0"/>
                <w:i/>
                <w:sz w:val="24"/>
                <w:szCs w:val="24"/>
              </w:rPr>
            </w:pPr>
            <w:r w:rsidRPr="00BD7577">
              <w:rPr>
                <w:rStyle w:val="Bodytext295pt"/>
                <w:rFonts w:ascii="Sylfaen" w:hAnsi="Sylfaen"/>
                <w:spacing w:val="0"/>
                <w:sz w:val="24"/>
                <w:szCs w:val="24"/>
              </w:rPr>
              <w:t>Փորձարկումների արդյունքները</w:t>
            </w:r>
          </w:p>
        </w:tc>
      </w:tr>
      <w:tr w:rsidR="008C76E0" w:rsidRPr="00BD7577" w14:paraId="09B0CDF9" w14:textId="77777777" w:rsidTr="008C76E0">
        <w:trPr>
          <w:trHeight w:val="2033"/>
          <w:jc w:val="center"/>
        </w:trPr>
        <w:tc>
          <w:tcPr>
            <w:tcW w:w="1972" w:type="dxa"/>
            <w:tcBorders>
              <w:top w:val="single" w:sz="4" w:space="0" w:color="auto"/>
              <w:left w:val="single" w:sz="4" w:space="0" w:color="auto"/>
            </w:tcBorders>
            <w:shd w:val="clear" w:color="auto" w:fill="FFFFFF"/>
          </w:tcPr>
          <w:p w14:paraId="5C7EAD38"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Ցուցանիշի անվանումը </w:t>
            </w:r>
            <w:r w:rsidR="00C54D75">
              <w:rPr>
                <w:rStyle w:val="Bodytext1811pt"/>
                <w:rFonts w:ascii="Sylfaen" w:hAnsi="Sylfaen"/>
                <w:sz w:val="24"/>
                <w:szCs w:val="24"/>
              </w:rPr>
              <w:t>և</w:t>
            </w:r>
            <w:r w:rsidRPr="00BD7577">
              <w:rPr>
                <w:rStyle w:val="Bodytext1811pt"/>
                <w:rFonts w:ascii="Sylfaen" w:hAnsi="Sylfaen"/>
                <w:sz w:val="24"/>
                <w:szCs w:val="24"/>
              </w:rPr>
              <w:t xml:space="preserve"> վերլուծական մեթոդիկայի ծածկագիրը</w:t>
            </w:r>
          </w:p>
        </w:tc>
        <w:tc>
          <w:tcPr>
            <w:tcW w:w="1909" w:type="dxa"/>
            <w:tcBorders>
              <w:top w:val="single" w:sz="4" w:space="0" w:color="auto"/>
              <w:left w:val="single" w:sz="4" w:space="0" w:color="auto"/>
            </w:tcBorders>
            <w:shd w:val="clear" w:color="auto" w:fill="FFFFFF"/>
          </w:tcPr>
          <w:p w14:paraId="02C828B8" w14:textId="77777777" w:rsidR="008C76E0" w:rsidRPr="00BD7577" w:rsidRDefault="008C76E0" w:rsidP="008C76E0">
            <w:pPr>
              <w:pStyle w:val="Bodytext180"/>
              <w:shd w:val="clear" w:color="auto" w:fill="auto"/>
              <w:spacing w:before="0" w:after="120" w:line="240" w:lineRule="auto"/>
              <w:ind w:hanging="9"/>
              <w:jc w:val="center"/>
              <w:rPr>
                <w:rFonts w:ascii="Sylfaen" w:hAnsi="Sylfaen"/>
                <w:b w:val="0"/>
                <w:sz w:val="24"/>
                <w:szCs w:val="24"/>
              </w:rPr>
            </w:pPr>
            <w:r w:rsidRPr="00BD7577">
              <w:rPr>
                <w:rStyle w:val="Bodytext1811pt"/>
                <w:rFonts w:ascii="Sylfaen" w:hAnsi="Sylfaen"/>
                <w:sz w:val="24"/>
                <w:szCs w:val="24"/>
              </w:rPr>
              <w:t>Նորմատիվ փաստաթղթերի պահանջները</w:t>
            </w:r>
          </w:p>
        </w:tc>
        <w:tc>
          <w:tcPr>
            <w:tcW w:w="2653" w:type="dxa"/>
            <w:tcBorders>
              <w:top w:val="single" w:sz="4" w:space="0" w:color="auto"/>
              <w:left w:val="single" w:sz="4" w:space="0" w:color="auto"/>
            </w:tcBorders>
            <w:shd w:val="clear" w:color="auto" w:fill="FFFFFF"/>
          </w:tcPr>
          <w:p w14:paraId="53CED97C" w14:textId="77777777" w:rsidR="008C76E0" w:rsidRPr="00BD7577" w:rsidRDefault="008C76E0" w:rsidP="008C76E0">
            <w:pPr>
              <w:pStyle w:val="Bodytext180"/>
              <w:shd w:val="clear" w:color="auto" w:fill="auto"/>
              <w:spacing w:before="0" w:after="120" w:line="240" w:lineRule="auto"/>
              <w:ind w:hanging="9"/>
              <w:jc w:val="center"/>
              <w:rPr>
                <w:rFonts w:ascii="Sylfaen" w:hAnsi="Sylfaen"/>
                <w:b w:val="0"/>
                <w:sz w:val="24"/>
                <w:szCs w:val="24"/>
              </w:rPr>
            </w:pPr>
            <w:r w:rsidRPr="00BD7577">
              <w:rPr>
                <w:rStyle w:val="Bodytext1811pt"/>
                <w:rFonts w:ascii="Sylfaen" w:hAnsi="Sylfaen"/>
                <w:sz w:val="24"/>
                <w:szCs w:val="24"/>
              </w:rPr>
              <w:t>Փաստացի ստացված արդյունքները</w:t>
            </w:r>
          </w:p>
        </w:tc>
        <w:tc>
          <w:tcPr>
            <w:tcW w:w="3628" w:type="dxa"/>
            <w:tcBorders>
              <w:top w:val="single" w:sz="4" w:space="0" w:color="auto"/>
              <w:left w:val="single" w:sz="4" w:space="0" w:color="auto"/>
              <w:right w:val="single" w:sz="4" w:space="0" w:color="auto"/>
            </w:tcBorders>
            <w:shd w:val="clear" w:color="auto" w:fill="FFFFFF"/>
          </w:tcPr>
          <w:p w14:paraId="417A3E32" w14:textId="77777777" w:rsidR="008C76E0" w:rsidRPr="00BD7577" w:rsidRDefault="008C76E0" w:rsidP="008C76E0">
            <w:pPr>
              <w:pStyle w:val="Bodytext180"/>
              <w:shd w:val="clear" w:color="auto" w:fill="auto"/>
              <w:spacing w:before="0" w:after="120" w:line="240" w:lineRule="auto"/>
              <w:ind w:hanging="8"/>
              <w:jc w:val="center"/>
              <w:rPr>
                <w:rFonts w:ascii="Sylfaen" w:hAnsi="Sylfaen"/>
                <w:b w:val="0"/>
                <w:sz w:val="24"/>
                <w:szCs w:val="24"/>
              </w:rPr>
            </w:pPr>
            <w:r w:rsidRPr="00BD7577">
              <w:rPr>
                <w:rStyle w:val="Bodytext1811pt"/>
                <w:rFonts w:ascii="Sylfaen" w:hAnsi="Sylfaen"/>
                <w:sz w:val="24"/>
                <w:szCs w:val="24"/>
              </w:rPr>
              <w:t>Համապատասխանության հետ կապված եզրահանգումը (համապատասխանում է կամ չի համապատասխանում)</w:t>
            </w:r>
          </w:p>
        </w:tc>
      </w:tr>
      <w:tr w:rsidR="008C76E0" w:rsidRPr="00BD7577" w14:paraId="595A09C4" w14:textId="77777777" w:rsidTr="008C76E0">
        <w:trPr>
          <w:trHeight w:val="765"/>
          <w:jc w:val="center"/>
        </w:trPr>
        <w:tc>
          <w:tcPr>
            <w:tcW w:w="1972" w:type="dxa"/>
            <w:tcBorders>
              <w:top w:val="single" w:sz="4" w:space="0" w:color="auto"/>
              <w:left w:val="single" w:sz="4" w:space="0" w:color="auto"/>
            </w:tcBorders>
            <w:shd w:val="clear" w:color="auto" w:fill="FFFFFF"/>
          </w:tcPr>
          <w:p w14:paraId="5EDA79B6"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tcBorders>
            <w:shd w:val="clear" w:color="auto" w:fill="FFFFFF"/>
          </w:tcPr>
          <w:p w14:paraId="7E7C140E"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tcBorders>
            <w:shd w:val="clear" w:color="auto" w:fill="FFFFFF"/>
          </w:tcPr>
          <w:p w14:paraId="791A4E39"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right w:val="single" w:sz="4" w:space="0" w:color="auto"/>
            </w:tcBorders>
            <w:shd w:val="clear" w:color="auto" w:fill="FFFFFF"/>
          </w:tcPr>
          <w:p w14:paraId="0137EBB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F4D6AF5" w14:textId="77777777" w:rsidTr="008C76E0">
        <w:trPr>
          <w:trHeight w:val="794"/>
          <w:jc w:val="center"/>
        </w:trPr>
        <w:tc>
          <w:tcPr>
            <w:tcW w:w="1972" w:type="dxa"/>
            <w:tcBorders>
              <w:top w:val="single" w:sz="4" w:space="0" w:color="auto"/>
              <w:left w:val="single" w:sz="4" w:space="0" w:color="auto"/>
            </w:tcBorders>
            <w:shd w:val="clear" w:color="auto" w:fill="FFFFFF"/>
          </w:tcPr>
          <w:p w14:paraId="6E3598F1"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tcBorders>
            <w:shd w:val="clear" w:color="auto" w:fill="FFFFFF"/>
          </w:tcPr>
          <w:p w14:paraId="19393AB5"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tcBorders>
            <w:shd w:val="clear" w:color="auto" w:fill="FFFFFF"/>
          </w:tcPr>
          <w:p w14:paraId="438DED9F"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right w:val="single" w:sz="4" w:space="0" w:color="auto"/>
            </w:tcBorders>
            <w:shd w:val="clear" w:color="auto" w:fill="FFFFFF"/>
          </w:tcPr>
          <w:p w14:paraId="36E1CB9F"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15ACD7A3" w14:textId="77777777" w:rsidTr="008C76E0">
        <w:trPr>
          <w:trHeight w:val="820"/>
          <w:jc w:val="center"/>
        </w:trPr>
        <w:tc>
          <w:tcPr>
            <w:tcW w:w="1972" w:type="dxa"/>
            <w:tcBorders>
              <w:top w:val="single" w:sz="4" w:space="0" w:color="auto"/>
              <w:left w:val="single" w:sz="4" w:space="0" w:color="auto"/>
              <w:bottom w:val="single" w:sz="4" w:space="0" w:color="auto"/>
            </w:tcBorders>
            <w:shd w:val="clear" w:color="auto" w:fill="FFFFFF"/>
          </w:tcPr>
          <w:p w14:paraId="280CE477"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bottom w:val="single" w:sz="4" w:space="0" w:color="auto"/>
            </w:tcBorders>
            <w:shd w:val="clear" w:color="auto" w:fill="FFFFFF"/>
          </w:tcPr>
          <w:p w14:paraId="11A56A32"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bottom w:val="single" w:sz="4" w:space="0" w:color="auto"/>
            </w:tcBorders>
            <w:shd w:val="clear" w:color="auto" w:fill="FFFFFF"/>
          </w:tcPr>
          <w:p w14:paraId="11E7C626"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bottom w:val="single" w:sz="4" w:space="0" w:color="auto"/>
              <w:right w:val="single" w:sz="4" w:space="0" w:color="auto"/>
            </w:tcBorders>
            <w:shd w:val="clear" w:color="auto" w:fill="FFFFFF"/>
          </w:tcPr>
          <w:p w14:paraId="03A96C4F" w14:textId="77777777" w:rsidR="008C76E0" w:rsidRPr="00BD7577" w:rsidRDefault="008C76E0" w:rsidP="008C76E0">
            <w:pPr>
              <w:spacing w:after="120" w:line="240" w:lineRule="auto"/>
              <w:ind w:firstLine="567"/>
              <w:jc w:val="both"/>
              <w:rPr>
                <w:rFonts w:ascii="Sylfaen" w:hAnsi="Sylfaen"/>
                <w:sz w:val="24"/>
                <w:szCs w:val="24"/>
              </w:rPr>
            </w:pPr>
          </w:p>
        </w:tc>
      </w:tr>
    </w:tbl>
    <w:p w14:paraId="22D93FE4" w14:textId="77777777" w:rsidR="008C76E0" w:rsidRDefault="008C76E0" w:rsidP="008C76E0">
      <w:pPr>
        <w:ind w:firstLine="567"/>
        <w:jc w:val="both"/>
        <w:rPr>
          <w:rFonts w:ascii="Sylfaen" w:hAnsi="Sylfaen"/>
          <w:sz w:val="24"/>
          <w:szCs w:val="24"/>
        </w:rPr>
      </w:pPr>
    </w:p>
    <w:p w14:paraId="0374BFBC" w14:textId="77777777" w:rsidR="008C76E0" w:rsidRDefault="008C76E0" w:rsidP="008C76E0">
      <w:pPr>
        <w:widowControl/>
        <w:rPr>
          <w:rFonts w:ascii="Sylfaen" w:hAnsi="Sylfaen"/>
          <w:sz w:val="24"/>
          <w:szCs w:val="24"/>
        </w:rPr>
      </w:pPr>
      <w:r>
        <w:rPr>
          <w:rFonts w:ascii="Sylfaen" w:hAnsi="Sylfaen"/>
          <w:sz w:val="24"/>
          <w:szCs w:val="24"/>
        </w:rPr>
        <w:br w:type="page"/>
      </w:r>
    </w:p>
    <w:p w14:paraId="30EC41BA" w14:textId="77777777" w:rsidR="008C76E0" w:rsidRPr="00BD7577" w:rsidRDefault="008C76E0" w:rsidP="004B393A">
      <w:pPr>
        <w:spacing w:after="160" w:line="360" w:lineRule="auto"/>
        <w:ind w:firstLine="567"/>
        <w:jc w:val="center"/>
        <w:rPr>
          <w:rFonts w:ascii="Sylfaen" w:hAnsi="Sylfaen"/>
          <w:sz w:val="24"/>
          <w:szCs w:val="24"/>
        </w:rPr>
      </w:pPr>
      <w:r w:rsidRPr="00BD7577">
        <w:rPr>
          <w:rFonts w:ascii="Sylfaen" w:hAnsi="Sylfaen"/>
          <w:sz w:val="24"/>
          <w:szCs w:val="24"/>
        </w:rPr>
        <w:lastRenderedPageBreak/>
        <w:t>Եզրակացությունը</w:t>
      </w:r>
    </w:p>
    <w:p w14:paraId="72A23969"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Ներկայացված փորձանմուշները համապատասխանում են (չեն համապատասխանում) նորմատիվ փաստաթղթերի պահանջներին:</w:t>
      </w:r>
    </w:p>
    <w:p w14:paraId="54815DDD"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Փորձարկումների արդյունքները չեն համապատասխանում նորմատիվ փաստաթղթերի պահանջներին հետ</w:t>
      </w:r>
      <w:r w:rsidR="00C54D75">
        <w:rPr>
          <w:rFonts w:ascii="Sylfaen" w:hAnsi="Sylfaen"/>
          <w:sz w:val="24"/>
          <w:szCs w:val="24"/>
        </w:rPr>
        <w:t>և</w:t>
      </w:r>
      <w:r w:rsidRPr="00BD7577">
        <w:rPr>
          <w:rFonts w:ascii="Sylfaen" w:hAnsi="Sylfaen"/>
          <w:sz w:val="24"/>
          <w:szCs w:val="24"/>
        </w:rPr>
        <w:t>յալ ցուցանիշների մասով՝</w:t>
      </w:r>
    </w:p>
    <w:p w14:paraId="01FAD6B5" w14:textId="77777777" w:rsidR="008C76E0" w:rsidRPr="00BD7577" w:rsidRDefault="008C76E0" w:rsidP="004B393A">
      <w:pPr>
        <w:pStyle w:val="Bodytext150"/>
        <w:shd w:val="clear" w:color="auto" w:fill="auto"/>
        <w:tabs>
          <w:tab w:val="left" w:pos="1418"/>
        </w:tabs>
        <w:spacing w:after="160" w:line="360" w:lineRule="auto"/>
        <w:ind w:firstLine="567"/>
        <w:jc w:val="both"/>
        <w:rPr>
          <w:rFonts w:ascii="Sylfaen" w:hAnsi="Sylfaen"/>
          <w:b w:val="0"/>
          <w:spacing w:val="0"/>
          <w:sz w:val="24"/>
          <w:szCs w:val="24"/>
        </w:rPr>
      </w:pPr>
      <w:r w:rsidRPr="00BD7577">
        <w:rPr>
          <w:rFonts w:ascii="Sylfaen" w:hAnsi="Sylfaen"/>
          <w:b w:val="0"/>
          <w:spacing w:val="0"/>
          <w:sz w:val="24"/>
          <w:szCs w:val="24"/>
        </w:rPr>
        <w:t>1.</w:t>
      </w:r>
      <w:r w:rsidRPr="00BD7577">
        <w:rPr>
          <w:rFonts w:ascii="Sylfaen" w:hAnsi="Sylfaen"/>
          <w:b w:val="0"/>
          <w:spacing w:val="0"/>
          <w:sz w:val="24"/>
          <w:szCs w:val="24"/>
        </w:rPr>
        <w:tab/>
        <w:t>...</w:t>
      </w:r>
    </w:p>
    <w:p w14:paraId="0F0B950E" w14:textId="77777777" w:rsidR="008C76E0" w:rsidRPr="00BD7577" w:rsidRDefault="008C76E0" w:rsidP="004B393A">
      <w:pPr>
        <w:pStyle w:val="Bodytext160"/>
        <w:shd w:val="clear" w:color="auto" w:fill="auto"/>
        <w:tabs>
          <w:tab w:val="left" w:pos="1418"/>
        </w:tabs>
        <w:spacing w:after="160" w:line="360" w:lineRule="auto"/>
        <w:ind w:firstLine="567"/>
        <w:jc w:val="both"/>
        <w:rPr>
          <w:rFonts w:ascii="Sylfaen" w:hAnsi="Sylfaen"/>
          <w:b w:val="0"/>
          <w:spacing w:val="0"/>
          <w:sz w:val="24"/>
          <w:szCs w:val="24"/>
        </w:rPr>
      </w:pPr>
      <w:r w:rsidRPr="00BD7577">
        <w:rPr>
          <w:rStyle w:val="Bodytext295pt"/>
          <w:rFonts w:ascii="Sylfaen" w:eastAsia="CordiaUPC" w:hAnsi="Sylfaen"/>
          <w:spacing w:val="0"/>
          <w:sz w:val="24"/>
          <w:szCs w:val="24"/>
        </w:rPr>
        <w:t>2</w:t>
      </w:r>
      <w:r w:rsidRPr="00BD7577">
        <w:rPr>
          <w:rFonts w:ascii="Sylfaen" w:hAnsi="Sylfaen"/>
          <w:b w:val="0"/>
          <w:spacing w:val="0"/>
          <w:sz w:val="24"/>
          <w:szCs w:val="24"/>
        </w:rPr>
        <w:t>.</w:t>
      </w:r>
      <w:r w:rsidRPr="00BD7577">
        <w:rPr>
          <w:rFonts w:ascii="Sylfaen" w:hAnsi="Sylfaen"/>
          <w:b w:val="0"/>
          <w:spacing w:val="0"/>
          <w:sz w:val="24"/>
          <w:szCs w:val="24"/>
        </w:rPr>
        <w:tab/>
        <w:t>...</w:t>
      </w:r>
    </w:p>
    <w:tbl>
      <w:tblPr>
        <w:tblOverlap w:val="never"/>
        <w:tblW w:w="10882" w:type="dxa"/>
        <w:jc w:val="center"/>
        <w:tblLayout w:type="fixed"/>
        <w:tblCellMar>
          <w:left w:w="10" w:type="dxa"/>
          <w:right w:w="10" w:type="dxa"/>
        </w:tblCellMar>
        <w:tblLook w:val="04A0" w:firstRow="1" w:lastRow="0" w:firstColumn="1" w:lastColumn="0" w:noHBand="0" w:noVBand="1"/>
      </w:tblPr>
      <w:tblGrid>
        <w:gridCol w:w="4565"/>
        <w:gridCol w:w="2590"/>
        <w:gridCol w:w="3727"/>
      </w:tblGrid>
      <w:tr w:rsidR="008C76E0" w:rsidRPr="00BD7577" w14:paraId="799FB52A" w14:textId="77777777" w:rsidTr="008C76E0">
        <w:trPr>
          <w:jc w:val="center"/>
        </w:trPr>
        <w:tc>
          <w:tcPr>
            <w:tcW w:w="4565" w:type="dxa"/>
            <w:shd w:val="clear" w:color="auto" w:fill="FFFFFF"/>
            <w:vAlign w:val="center"/>
          </w:tcPr>
          <w:p w14:paraId="4A61EF83" w14:textId="77777777" w:rsidR="008C76E0" w:rsidRPr="00BD7577" w:rsidRDefault="008C76E0" w:rsidP="008C76E0">
            <w:pPr>
              <w:pStyle w:val="Bodytext180"/>
              <w:shd w:val="clear" w:color="auto" w:fill="auto"/>
              <w:spacing w:before="0" w:after="120" w:line="240" w:lineRule="auto"/>
              <w:ind w:left="87" w:firstLine="0"/>
              <w:rPr>
                <w:rFonts w:ascii="Sylfaen" w:hAnsi="Sylfaen"/>
                <w:b w:val="0"/>
                <w:sz w:val="24"/>
                <w:szCs w:val="24"/>
              </w:rPr>
            </w:pPr>
            <w:r w:rsidRPr="00BD7577">
              <w:rPr>
                <w:rStyle w:val="Bodytext295pt"/>
                <w:rFonts w:ascii="Sylfaen" w:hAnsi="Sylfaen"/>
                <w:spacing w:val="0"/>
                <w:sz w:val="24"/>
                <w:szCs w:val="24"/>
              </w:rPr>
              <w:t>Փորձարկման կենտրոնի տնօրեն (փորձարկման լաբորատորիայի վարիչ)</w:t>
            </w:r>
          </w:p>
        </w:tc>
        <w:tc>
          <w:tcPr>
            <w:tcW w:w="2590" w:type="dxa"/>
            <w:shd w:val="clear" w:color="auto" w:fill="FFFFFF"/>
            <w:vAlign w:val="center"/>
          </w:tcPr>
          <w:p w14:paraId="2A2E52A0"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________</w:t>
            </w:r>
          </w:p>
          <w:p w14:paraId="4E249C64" w14:textId="77777777" w:rsidR="008C76E0" w:rsidRPr="00BD7577" w:rsidRDefault="008C76E0" w:rsidP="008C76E0">
            <w:pPr>
              <w:pStyle w:val="Bodytext180"/>
              <w:shd w:val="clear" w:color="auto" w:fill="auto"/>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6D90811E"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_____</w:t>
            </w:r>
          </w:p>
          <w:p w14:paraId="5BB63F1A"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sz w:val="24"/>
                <w:szCs w:val="24"/>
              </w:rPr>
            </w:pPr>
            <w:r w:rsidRPr="00BD7577">
              <w:rPr>
                <w:rStyle w:val="Bodytext295pt"/>
                <w:rFonts w:ascii="Sylfaen" w:hAnsi="Sylfaen"/>
                <w:spacing w:val="0"/>
                <w:sz w:val="24"/>
                <w:szCs w:val="24"/>
              </w:rPr>
              <w:t>(Ա.Ա.Հ.- ն)</w:t>
            </w:r>
          </w:p>
        </w:tc>
      </w:tr>
      <w:tr w:rsidR="008C76E0" w:rsidRPr="00BD7577" w14:paraId="752D573C" w14:textId="77777777" w:rsidTr="008C76E0">
        <w:trPr>
          <w:jc w:val="center"/>
        </w:trPr>
        <w:tc>
          <w:tcPr>
            <w:tcW w:w="4565" w:type="dxa"/>
            <w:shd w:val="clear" w:color="auto" w:fill="FFFFFF"/>
            <w:vAlign w:val="center"/>
          </w:tcPr>
          <w:p w14:paraId="7EF5FB99" w14:textId="77777777" w:rsidR="008C76E0" w:rsidRPr="00BD7577" w:rsidRDefault="008C76E0" w:rsidP="008C76E0">
            <w:pPr>
              <w:pStyle w:val="Bodytext180"/>
              <w:shd w:val="clear" w:color="auto" w:fill="auto"/>
              <w:spacing w:before="0" w:after="120" w:line="240" w:lineRule="auto"/>
              <w:ind w:left="87" w:firstLine="0"/>
              <w:rPr>
                <w:rFonts w:ascii="Sylfaen" w:hAnsi="Sylfaen"/>
                <w:b w:val="0"/>
                <w:sz w:val="24"/>
                <w:szCs w:val="24"/>
              </w:rPr>
            </w:pPr>
            <w:r w:rsidRPr="00BD7577">
              <w:rPr>
                <w:rStyle w:val="Bodytext295pt"/>
                <w:rFonts w:ascii="Sylfaen" w:hAnsi="Sylfaen"/>
                <w:spacing w:val="0"/>
                <w:sz w:val="24"/>
                <w:szCs w:val="24"/>
              </w:rPr>
              <w:t>Փորձարկման լաբորատորիայի մասնագետ</w:t>
            </w:r>
          </w:p>
        </w:tc>
        <w:tc>
          <w:tcPr>
            <w:tcW w:w="2590" w:type="dxa"/>
            <w:shd w:val="clear" w:color="auto" w:fill="FFFFFF"/>
            <w:vAlign w:val="center"/>
          </w:tcPr>
          <w:p w14:paraId="3DC219CA"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______</w:t>
            </w:r>
            <w:r w:rsidRPr="00BD7577">
              <w:rPr>
                <w:rStyle w:val="Bodytext295pt"/>
                <w:rFonts w:ascii="Sylfaen" w:hAnsi="Sylfaen"/>
                <w:spacing w:val="0"/>
                <w:sz w:val="24"/>
                <w:szCs w:val="24"/>
              </w:rPr>
              <w:t>____</w:t>
            </w:r>
          </w:p>
          <w:p w14:paraId="5A6421F0" w14:textId="77777777" w:rsidR="008C76E0" w:rsidRPr="00BD7577" w:rsidRDefault="008C76E0" w:rsidP="008C76E0">
            <w:pPr>
              <w:pStyle w:val="Bodytext180"/>
              <w:shd w:val="clear" w:color="auto" w:fill="auto"/>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4E76DFEF"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_____</w:t>
            </w:r>
            <w:r w:rsidRPr="00BD7577">
              <w:rPr>
                <w:rStyle w:val="Bodytext295pt"/>
                <w:rFonts w:ascii="Sylfaen" w:hAnsi="Sylfaen"/>
                <w:spacing w:val="0"/>
                <w:sz w:val="24"/>
                <w:szCs w:val="24"/>
                <w:lang w:val="en-US"/>
              </w:rPr>
              <w:t>_______</w:t>
            </w:r>
            <w:r w:rsidRPr="00BD7577">
              <w:rPr>
                <w:rStyle w:val="Bodytext295pt"/>
                <w:rFonts w:ascii="Sylfaen" w:hAnsi="Sylfaen"/>
                <w:spacing w:val="0"/>
                <w:sz w:val="24"/>
                <w:szCs w:val="24"/>
              </w:rPr>
              <w:t>____</w:t>
            </w:r>
          </w:p>
          <w:p w14:paraId="4179B54E"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sz w:val="24"/>
                <w:szCs w:val="24"/>
              </w:rPr>
            </w:pPr>
            <w:r w:rsidRPr="00BD7577">
              <w:rPr>
                <w:rStyle w:val="Bodytext295pt"/>
                <w:rFonts w:ascii="Sylfaen" w:hAnsi="Sylfaen"/>
                <w:spacing w:val="0"/>
                <w:sz w:val="24"/>
                <w:szCs w:val="24"/>
              </w:rPr>
              <w:t>(Ա.Ա.Հ.-ն)</w:t>
            </w:r>
          </w:p>
        </w:tc>
      </w:tr>
      <w:tr w:rsidR="008C76E0" w:rsidRPr="00BD7577" w14:paraId="43629FE0" w14:textId="77777777" w:rsidTr="008C76E0">
        <w:trPr>
          <w:trHeight w:val="900"/>
          <w:jc w:val="center"/>
        </w:trPr>
        <w:tc>
          <w:tcPr>
            <w:tcW w:w="4565" w:type="dxa"/>
            <w:shd w:val="clear" w:color="auto" w:fill="FFFFFF"/>
            <w:vAlign w:val="center"/>
          </w:tcPr>
          <w:p w14:paraId="67789A32" w14:textId="77777777" w:rsidR="008C76E0" w:rsidRPr="00BD7577" w:rsidRDefault="008C76E0" w:rsidP="008C76E0">
            <w:pPr>
              <w:spacing w:after="120" w:line="240" w:lineRule="auto"/>
              <w:ind w:left="87"/>
              <w:rPr>
                <w:rFonts w:ascii="Sylfaen" w:hAnsi="Sylfaen"/>
                <w:sz w:val="24"/>
                <w:szCs w:val="24"/>
              </w:rPr>
            </w:pPr>
          </w:p>
        </w:tc>
        <w:tc>
          <w:tcPr>
            <w:tcW w:w="2590" w:type="dxa"/>
            <w:shd w:val="clear" w:color="auto" w:fill="FFFFFF"/>
            <w:vAlign w:val="center"/>
          </w:tcPr>
          <w:p w14:paraId="18C064AE"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w:t>
            </w:r>
          </w:p>
          <w:p w14:paraId="27E32BFF" w14:textId="77777777" w:rsidR="008C76E0" w:rsidRPr="00BD7577" w:rsidRDefault="008C76E0" w:rsidP="008C76E0">
            <w:pPr>
              <w:pStyle w:val="Bodytext180"/>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511BA5BC"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____</w:t>
            </w:r>
            <w:r w:rsidRPr="00BD7577">
              <w:rPr>
                <w:rStyle w:val="Bodytext295pt"/>
                <w:rFonts w:ascii="Sylfaen" w:hAnsi="Sylfaen"/>
                <w:spacing w:val="0"/>
                <w:sz w:val="24"/>
                <w:szCs w:val="24"/>
              </w:rPr>
              <w:t>___</w:t>
            </w:r>
          </w:p>
          <w:p w14:paraId="2CB1FDCE"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bCs w:val="0"/>
                <w:sz w:val="24"/>
                <w:szCs w:val="24"/>
              </w:rPr>
            </w:pPr>
            <w:r w:rsidRPr="00BD7577">
              <w:rPr>
                <w:rStyle w:val="Bodytext295pt"/>
                <w:rFonts w:ascii="Sylfaen" w:hAnsi="Sylfaen"/>
                <w:spacing w:val="0"/>
                <w:sz w:val="24"/>
                <w:szCs w:val="24"/>
              </w:rPr>
              <w:t>(Ա.Ա.Հ.-ն)</w:t>
            </w:r>
          </w:p>
        </w:tc>
      </w:tr>
      <w:tr w:rsidR="008C76E0" w:rsidRPr="00BD7577" w14:paraId="34C05E96" w14:textId="77777777" w:rsidTr="008C76E0">
        <w:trPr>
          <w:trHeight w:val="855"/>
          <w:jc w:val="center"/>
        </w:trPr>
        <w:tc>
          <w:tcPr>
            <w:tcW w:w="4565" w:type="dxa"/>
            <w:shd w:val="clear" w:color="auto" w:fill="FFFFFF"/>
            <w:vAlign w:val="center"/>
          </w:tcPr>
          <w:p w14:paraId="399C3EA0" w14:textId="77777777" w:rsidR="008C76E0" w:rsidRPr="00BD7577" w:rsidRDefault="008C76E0" w:rsidP="008C76E0">
            <w:pPr>
              <w:spacing w:after="120" w:line="240" w:lineRule="auto"/>
              <w:ind w:left="87"/>
              <w:rPr>
                <w:rFonts w:ascii="Sylfaen" w:hAnsi="Sylfaen"/>
                <w:sz w:val="24"/>
                <w:szCs w:val="24"/>
              </w:rPr>
            </w:pPr>
          </w:p>
        </w:tc>
        <w:tc>
          <w:tcPr>
            <w:tcW w:w="2590" w:type="dxa"/>
            <w:shd w:val="clear" w:color="auto" w:fill="FFFFFF"/>
            <w:vAlign w:val="center"/>
          </w:tcPr>
          <w:p w14:paraId="3A1B4955"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w:t>
            </w:r>
          </w:p>
          <w:p w14:paraId="43D9071D" w14:textId="77777777" w:rsidR="008C76E0" w:rsidRPr="00BD7577" w:rsidRDefault="008C76E0" w:rsidP="008C76E0">
            <w:pPr>
              <w:pStyle w:val="Bodytext180"/>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77F2B714"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_______</w:t>
            </w:r>
            <w:r w:rsidRPr="00BD7577">
              <w:rPr>
                <w:rStyle w:val="Bodytext295pt"/>
                <w:rFonts w:ascii="Sylfaen" w:hAnsi="Sylfaen"/>
                <w:spacing w:val="0"/>
                <w:sz w:val="24"/>
                <w:szCs w:val="24"/>
                <w:lang w:val="en-US"/>
              </w:rPr>
              <w:t>_______</w:t>
            </w:r>
            <w:r w:rsidRPr="00BD7577">
              <w:rPr>
                <w:rStyle w:val="Bodytext295pt"/>
                <w:rFonts w:ascii="Sylfaen" w:hAnsi="Sylfaen"/>
                <w:spacing w:val="0"/>
                <w:sz w:val="24"/>
                <w:szCs w:val="24"/>
              </w:rPr>
              <w:t>__</w:t>
            </w:r>
          </w:p>
          <w:p w14:paraId="35666869" w14:textId="77777777" w:rsidR="008C76E0" w:rsidRPr="00BD7577" w:rsidRDefault="008C76E0" w:rsidP="008C76E0">
            <w:pPr>
              <w:pStyle w:val="Bodytext180"/>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(Ա.Ա.Հ.-ն)</w:t>
            </w:r>
          </w:p>
        </w:tc>
      </w:tr>
    </w:tbl>
    <w:p w14:paraId="52F95D2F" w14:textId="77777777" w:rsidR="008C76E0" w:rsidRPr="00BD7577" w:rsidRDefault="008C76E0" w:rsidP="008C76E0">
      <w:pPr>
        <w:ind w:right="-1" w:firstLine="567"/>
        <w:jc w:val="both"/>
        <w:rPr>
          <w:rFonts w:ascii="Sylfaen" w:hAnsi="Sylfaen"/>
          <w:sz w:val="24"/>
          <w:szCs w:val="24"/>
        </w:rPr>
      </w:pPr>
    </w:p>
    <w:p w14:paraId="4378B2DC" w14:textId="77777777" w:rsidR="008C76E0" w:rsidRPr="00BD7577" w:rsidRDefault="008C76E0" w:rsidP="00DB2544">
      <w:pPr>
        <w:spacing w:after="160" w:line="360" w:lineRule="auto"/>
        <w:ind w:firstLine="567"/>
        <w:jc w:val="both"/>
        <w:rPr>
          <w:rFonts w:ascii="Sylfaen" w:hAnsi="Sylfaen"/>
          <w:sz w:val="24"/>
          <w:szCs w:val="24"/>
        </w:rPr>
      </w:pPr>
      <w:r w:rsidRPr="00BD7577">
        <w:rPr>
          <w:rFonts w:ascii="Sylfaen" w:hAnsi="Sylfaen"/>
          <w:sz w:val="24"/>
          <w:szCs w:val="24"/>
        </w:rPr>
        <w:t>Փորձարկումների արդյունքները տարածվում են միայն փորձարկման ենթարկված փորձանմուշների վրա:</w:t>
      </w:r>
    </w:p>
    <w:p w14:paraId="08727326" w14:textId="77777777" w:rsidR="008C76E0" w:rsidRPr="00BD7577" w:rsidRDefault="008C76E0" w:rsidP="00DB2544">
      <w:pPr>
        <w:spacing w:after="160" w:line="360" w:lineRule="auto"/>
        <w:ind w:firstLine="567"/>
        <w:jc w:val="both"/>
        <w:rPr>
          <w:rFonts w:ascii="Sylfaen" w:hAnsi="Sylfaen"/>
          <w:sz w:val="24"/>
          <w:szCs w:val="24"/>
        </w:rPr>
      </w:pPr>
      <w:r w:rsidRPr="00BD7577">
        <w:rPr>
          <w:rFonts w:ascii="Sylfaen" w:hAnsi="Sylfaen"/>
          <w:sz w:val="24"/>
          <w:szCs w:val="24"/>
        </w:rPr>
        <w:t>Արձանագրության ամբողջական կամ մասնակի վերարտադրումը, առանց փորձարկման լաբորատորիայի (կենտրոնի) թույլտվության, արգելված է:</w:t>
      </w:r>
    </w:p>
    <w:p w14:paraId="29B82863" w14:textId="77777777" w:rsidR="008C76E0" w:rsidRPr="00905F38" w:rsidRDefault="008C76E0" w:rsidP="00DB2544">
      <w:pPr>
        <w:spacing w:after="160" w:line="360" w:lineRule="auto"/>
        <w:jc w:val="both"/>
        <w:rPr>
          <w:rFonts w:ascii="Sylfaen" w:eastAsia="Times New Roman" w:hAnsi="Sylfaen" w:cs="Times New Roman"/>
          <w:sz w:val="24"/>
          <w:szCs w:val="24"/>
        </w:rPr>
      </w:pPr>
    </w:p>
    <w:p w14:paraId="18F21E8E" w14:textId="77777777" w:rsidR="004B393A" w:rsidRDefault="004B393A" w:rsidP="008C76E0">
      <w:pPr>
        <w:ind w:left="4395" w:right="-1"/>
        <w:jc w:val="center"/>
        <w:rPr>
          <w:rFonts w:ascii="Sylfaen" w:hAnsi="Sylfaen"/>
          <w:sz w:val="24"/>
          <w:szCs w:val="24"/>
        </w:rPr>
        <w:sectPr w:rsidR="004B393A" w:rsidSect="00C31D56">
          <w:pgSz w:w="11907" w:h="16839" w:code="9"/>
          <w:pgMar w:top="1418" w:right="1418" w:bottom="1418" w:left="1418" w:header="709" w:footer="709" w:gutter="0"/>
          <w:pgNumType w:start="1"/>
          <w:cols w:space="708"/>
          <w:titlePg/>
          <w:docGrid w:linePitch="360"/>
        </w:sectPr>
      </w:pPr>
    </w:p>
    <w:p w14:paraId="1B8AF718" w14:textId="77777777" w:rsidR="008C76E0" w:rsidRPr="00BD7577" w:rsidRDefault="008C76E0" w:rsidP="004B393A">
      <w:pPr>
        <w:spacing w:after="160" w:line="360" w:lineRule="auto"/>
        <w:ind w:left="4395" w:right="-1"/>
        <w:jc w:val="center"/>
        <w:rPr>
          <w:rFonts w:ascii="Sylfaen" w:hAnsi="Sylfaen"/>
          <w:sz w:val="24"/>
          <w:szCs w:val="24"/>
        </w:rPr>
      </w:pPr>
      <w:r w:rsidRPr="00BD7577">
        <w:rPr>
          <w:rFonts w:ascii="Sylfaen" w:hAnsi="Sylfaen"/>
          <w:sz w:val="24"/>
          <w:szCs w:val="24"/>
        </w:rPr>
        <w:lastRenderedPageBreak/>
        <w:t>ՀԱՎԵԼՎԱԾ ԹԻՎ 13</w:t>
      </w:r>
    </w:p>
    <w:p w14:paraId="3D360E77" w14:textId="77777777" w:rsidR="008C76E0" w:rsidRPr="00BD7577" w:rsidRDefault="008C76E0" w:rsidP="004B393A">
      <w:pPr>
        <w:spacing w:after="160" w:line="360" w:lineRule="auto"/>
        <w:ind w:left="4395"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5DD5AE4A" w14:textId="77777777" w:rsidR="008C76E0" w:rsidRPr="00BD7577" w:rsidRDefault="008C76E0" w:rsidP="004B393A">
      <w:pPr>
        <w:spacing w:after="160" w:line="360" w:lineRule="auto"/>
        <w:ind w:right="-1" w:firstLine="567"/>
        <w:jc w:val="both"/>
        <w:rPr>
          <w:rFonts w:ascii="Sylfaen" w:hAnsi="Sylfaen"/>
          <w:sz w:val="24"/>
          <w:szCs w:val="24"/>
        </w:rPr>
      </w:pPr>
    </w:p>
    <w:p w14:paraId="698C3C86" w14:textId="77777777" w:rsidR="008C76E0" w:rsidRPr="008C76E0" w:rsidRDefault="008C76E0" w:rsidP="004B393A">
      <w:pPr>
        <w:pStyle w:val="Heading130"/>
        <w:shd w:val="clear" w:color="auto" w:fill="auto"/>
        <w:spacing w:before="0" w:after="160" w:line="360" w:lineRule="auto"/>
        <w:ind w:left="567" w:right="565"/>
        <w:outlineLvl w:val="9"/>
        <w:rPr>
          <w:rFonts w:ascii="Sylfaen" w:hAnsi="Sylfaen"/>
          <w:b/>
          <w:sz w:val="24"/>
          <w:szCs w:val="24"/>
          <w:lang w:val="hy-AM"/>
        </w:rPr>
      </w:pPr>
      <w:bookmarkStart w:id="8" w:name="bookmark8"/>
      <w:r w:rsidRPr="008C76E0">
        <w:rPr>
          <w:rStyle w:val="Heading13Bold"/>
          <w:rFonts w:ascii="Sylfaen" w:hAnsi="Sylfaen"/>
          <w:b/>
          <w:sz w:val="24"/>
          <w:szCs w:val="24"/>
          <w:lang w:val="hy-AM"/>
        </w:rPr>
        <w:t>ՑՈՒՑՈՒՄՆԵՐ</w:t>
      </w:r>
      <w:bookmarkEnd w:id="8"/>
    </w:p>
    <w:p w14:paraId="43FAD33F" w14:textId="77777777" w:rsidR="008C76E0" w:rsidRPr="008C76E0" w:rsidRDefault="008C76E0" w:rsidP="004B393A">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Նախակլինիկական (ոչ կլինիկական) հետազոտությունների արդյունքների գնահատման վերաբերյալ փորձագիտական հաշվետվություն կազմելու վերաբերյալ</w:t>
      </w:r>
    </w:p>
    <w:p w14:paraId="0886E750" w14:textId="77777777" w:rsidR="008C76E0" w:rsidRPr="008C76E0" w:rsidRDefault="008C76E0" w:rsidP="004B393A">
      <w:pPr>
        <w:pStyle w:val="Bodytext130"/>
        <w:shd w:val="clear" w:color="auto" w:fill="auto"/>
        <w:spacing w:after="160" w:line="360" w:lineRule="auto"/>
        <w:ind w:left="567" w:right="565"/>
        <w:rPr>
          <w:rFonts w:ascii="Sylfaen" w:hAnsi="Sylfaen"/>
          <w:b w:val="0"/>
          <w:sz w:val="24"/>
          <w:szCs w:val="24"/>
          <w:lang w:val="hy-AM"/>
        </w:rPr>
      </w:pPr>
    </w:p>
    <w:p w14:paraId="3A64B038"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I. Ընդհանուր դրույթներ</w:t>
      </w:r>
    </w:p>
    <w:p w14:paraId="43C92B1C"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Նախակլինիկական (ոչ կլինիկական) հետազոտությունների արդյունքների գնահատման վերաբերյալ փորձագիտական հաշվետվությունը (այսուհետ՝ հաշվետվություն) պետք է լինի բավականաչափ մանրամասնեցված, որպեսզի հնարավոր լինի անցկացնել դրա կրկնակի գնահատումը Եվրասիական տնտեսական միության անդամ պետությունների լիազորված մարմինների </w:t>
      </w:r>
      <w:r w:rsidR="00C54D75">
        <w:rPr>
          <w:rFonts w:ascii="Sylfaen" w:hAnsi="Sylfaen"/>
          <w:sz w:val="24"/>
          <w:szCs w:val="24"/>
        </w:rPr>
        <w:t>և</w:t>
      </w:r>
      <w:r w:rsidRPr="00BD7577">
        <w:rPr>
          <w:rFonts w:ascii="Sylfaen" w:hAnsi="Sylfaen"/>
          <w:sz w:val="24"/>
          <w:szCs w:val="24"/>
        </w:rPr>
        <w:t xml:space="preserve"> կազմակերպությունների այլ փորձագետների կողմից: </w:t>
      </w:r>
    </w:p>
    <w:p w14:paraId="1787B80D" w14:textId="5C7C480D"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Հաշվետվության մեջ պետք է նկարագրվեն հետազոտությունների առավել բնորոշ արդյունքները, մասնավորապես այնպիսիք, որոնք վերաբերում են թերություններին, ինչպես նա</w:t>
      </w:r>
      <w:r w:rsidR="00C54D75">
        <w:rPr>
          <w:rFonts w:ascii="Sylfaen" w:hAnsi="Sylfaen"/>
          <w:sz w:val="24"/>
          <w:szCs w:val="24"/>
        </w:rPr>
        <w:t>և</w:t>
      </w:r>
      <w:r w:rsidRPr="00BD7577">
        <w:rPr>
          <w:rFonts w:ascii="Sylfaen" w:hAnsi="Sylfaen"/>
          <w:sz w:val="24"/>
          <w:szCs w:val="24"/>
        </w:rPr>
        <w:t xml:space="preserve"> պետք է տրվեն հիմնավորված դիտողություններ, որոնք ներկայացվում են </w:t>
      </w:r>
      <w:r w:rsidR="0056496B">
        <w:rPr>
          <w:rFonts w:ascii="Sylfaen" w:hAnsi="Sylfaen"/>
          <w:sz w:val="24"/>
          <w:szCs w:val="24"/>
        </w:rPr>
        <w:t>դիմումատու</w:t>
      </w:r>
      <w:r w:rsidRPr="00BD7577">
        <w:rPr>
          <w:rFonts w:ascii="Sylfaen" w:hAnsi="Sylfaen"/>
          <w:sz w:val="24"/>
          <w:szCs w:val="24"/>
        </w:rPr>
        <w:t>ին: Տվյալ դիտողությունները պետք է նա</w:t>
      </w:r>
      <w:r w:rsidR="00C54D75">
        <w:rPr>
          <w:rFonts w:ascii="Sylfaen" w:hAnsi="Sylfaen"/>
          <w:sz w:val="24"/>
          <w:szCs w:val="24"/>
        </w:rPr>
        <w:t>և</w:t>
      </w:r>
      <w:r w:rsidRPr="00BD7577">
        <w:rPr>
          <w:rFonts w:ascii="Sylfaen" w:hAnsi="Sylfaen"/>
          <w:sz w:val="24"/>
          <w:szCs w:val="24"/>
        </w:rPr>
        <w:t xml:space="preserve"> թվարկվեն «Անվտանգության, որակի, արդյունավետության գնահատում» ամփոփ փորձագիտական հաշվետվության մեջ:</w:t>
      </w:r>
    </w:p>
    <w:p w14:paraId="4CAC8D42"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մեջ նշված տեղեկատվության աղբյուրների ճիշտ ներկայացման համար (այդ թվում՝ դոսյեի հատուկ բաժինները՝ ընդհանուր նկարագրություն, ամփոփ տեղեկատվություն, հետազոտությունների մասին </w:t>
      </w:r>
      <w:r w:rsidRPr="00BD7577">
        <w:rPr>
          <w:rFonts w:ascii="Sylfaen" w:hAnsi="Sylfaen"/>
          <w:sz w:val="24"/>
          <w:szCs w:val="24"/>
        </w:rPr>
        <w:lastRenderedPageBreak/>
        <w:t>հաշվետվություններ) անհրաժեշտ է օգտագործել խաչաձ</w:t>
      </w:r>
      <w:r w:rsidR="00C54D75">
        <w:rPr>
          <w:rFonts w:ascii="Sylfaen" w:hAnsi="Sylfaen"/>
          <w:sz w:val="24"/>
          <w:szCs w:val="24"/>
        </w:rPr>
        <w:t>և</w:t>
      </w:r>
      <w:r w:rsidRPr="00BD7577">
        <w:rPr>
          <w:rFonts w:ascii="Sylfaen" w:hAnsi="Sylfaen"/>
          <w:sz w:val="24"/>
          <w:szCs w:val="24"/>
        </w:rPr>
        <w:t xml:space="preserve"> հղումներ՝ դոսյեի փաստաթղթերին, հղումներ՝ օգտագործվող գրականությանը, </w:t>
      </w:r>
      <w:r w:rsidR="00C54D75">
        <w:rPr>
          <w:rFonts w:ascii="Sylfaen" w:hAnsi="Sylfaen"/>
          <w:sz w:val="24"/>
          <w:szCs w:val="24"/>
        </w:rPr>
        <w:t>և</w:t>
      </w:r>
      <w:r w:rsidRPr="00BD7577">
        <w:rPr>
          <w:rFonts w:ascii="Sylfaen" w:hAnsi="Sylfaen"/>
          <w:sz w:val="24"/>
          <w:szCs w:val="24"/>
        </w:rPr>
        <w:t xml:space="preserve"> այլ աղբյուրներ:</w:t>
      </w:r>
    </w:p>
    <w:p w14:paraId="12B40235"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Քննադատական գնահատականը (օրինակ՝ տվյալների հավաստիության </w:t>
      </w:r>
      <w:r w:rsidR="00C54D75">
        <w:rPr>
          <w:rFonts w:ascii="Sylfaen" w:hAnsi="Sylfaen"/>
          <w:sz w:val="24"/>
          <w:szCs w:val="24"/>
        </w:rPr>
        <w:t>և</w:t>
      </w:r>
      <w:r w:rsidRPr="00BD7577">
        <w:rPr>
          <w:rFonts w:ascii="Sylfaen" w:hAnsi="Sylfaen"/>
          <w:sz w:val="24"/>
          <w:szCs w:val="24"/>
        </w:rPr>
        <w:t xml:space="preserve"> մեկնաբանության վերաբերյալ դիտողությունները, եզրակացությունները) պետք է նշված լինի «Փորձագետի մեկնաբանություններ» ենթաբաժնում, որով ավարտվում է հաշվետվության բաժիններից յուրաքանչյուրը: Անհրաժեշտության դեպքում կարելի է կիրառել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ակերպումը՝ «Քննադատական դիտողություն—տե՛ս դիտողությունների առաջարկվող ցանկը»:</w:t>
      </w:r>
    </w:p>
    <w:p w14:paraId="1EC56DF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մեջ պետք է նշված լինի՝ արդյոք ստացված արդյունքներն ազդում են մարդու մոտ դեղապատրաստուկի կիրառման անվտանգության ապահովման վրա, </w:t>
      </w:r>
      <w:r w:rsidR="00C54D75">
        <w:rPr>
          <w:rFonts w:ascii="Sylfaen" w:hAnsi="Sylfaen"/>
          <w:sz w:val="24"/>
          <w:szCs w:val="24"/>
        </w:rPr>
        <w:t>և</w:t>
      </w:r>
      <w:r w:rsidRPr="00BD7577">
        <w:rPr>
          <w:rFonts w:ascii="Sylfaen" w:hAnsi="Sylfaen"/>
          <w:sz w:val="24"/>
          <w:szCs w:val="24"/>
        </w:rPr>
        <w:t xml:space="preserve"> արդյոք այդ հետ</w:t>
      </w:r>
      <w:r w:rsidR="00C54D75">
        <w:rPr>
          <w:rFonts w:ascii="Sylfaen" w:hAnsi="Sylfaen"/>
          <w:sz w:val="24"/>
          <w:szCs w:val="24"/>
        </w:rPr>
        <w:t>և</w:t>
      </w:r>
      <w:r w:rsidRPr="00BD7577">
        <w:rPr>
          <w:rFonts w:ascii="Sylfaen" w:hAnsi="Sylfaen"/>
          <w:sz w:val="24"/>
          <w:szCs w:val="24"/>
        </w:rPr>
        <w:t xml:space="preserve">անքները գնահատելու համար լրացուցիչ փորձաքննություն անցկացնելու անհրաժեշտություն կա (օրինակ՝ կան տվյալներ՝ քաղցկեղածին ազդեցության վերաբերյալ, սակայն հետազոտվող կենդանիների տեսակի </w:t>
      </w:r>
      <w:r w:rsidR="00C54D75">
        <w:rPr>
          <w:rFonts w:ascii="Sylfaen" w:hAnsi="Sylfaen"/>
          <w:sz w:val="24"/>
          <w:szCs w:val="24"/>
        </w:rPr>
        <w:t>և</w:t>
      </w:r>
      <w:r w:rsidRPr="00BD7577">
        <w:rPr>
          <w:rFonts w:ascii="Sylfaen" w:hAnsi="Sylfaen"/>
          <w:sz w:val="24"/>
          <w:szCs w:val="24"/>
        </w:rPr>
        <w:t xml:space="preserve"> մարդու մոտ ընկալիչները տարբեր են): </w:t>
      </w:r>
    </w:p>
    <w:p w14:paraId="1717835B"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Հաշվետվության մեջ նա</w:t>
      </w:r>
      <w:r w:rsidR="00C54D75">
        <w:rPr>
          <w:rFonts w:ascii="Sylfaen" w:hAnsi="Sylfaen"/>
          <w:sz w:val="24"/>
          <w:szCs w:val="24"/>
        </w:rPr>
        <w:t>և</w:t>
      </w:r>
      <w:r w:rsidRPr="00BD7577">
        <w:rPr>
          <w:rFonts w:ascii="Sylfaen" w:hAnsi="Sylfaen"/>
          <w:sz w:val="24"/>
          <w:szCs w:val="24"/>
        </w:rPr>
        <w:t xml:space="preserve"> պետք է նշվեն այն տվյալները, որոնք անհրաժեշտ է ներառել դեղապատրաստուկի ընդհանուր բնութագրում (այսուհետ՝ ԴՊԸԲ)։</w:t>
      </w:r>
    </w:p>
    <w:p w14:paraId="7C16F480" w14:textId="7892E540"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Գաղտնի հանդիսացող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 xml:space="preserve">ի համար չնախատեսված տեղեկություններին հղումները (օրինակ՝ հղումներ՝ այլ դեղապատրաստուկի գնահատման հաշվետվությանը) պետք է նշված լինեն որպես «Գաղտնի տեղեկատվություն» </w:t>
      </w:r>
      <w:r w:rsidR="00C54D75">
        <w:rPr>
          <w:rFonts w:ascii="Sylfaen" w:hAnsi="Sylfaen"/>
          <w:sz w:val="24"/>
          <w:szCs w:val="24"/>
        </w:rPr>
        <w:t>և</w:t>
      </w:r>
      <w:r w:rsidRPr="00BD7577">
        <w:rPr>
          <w:rFonts w:ascii="Sylfaen" w:hAnsi="Sylfaen"/>
          <w:sz w:val="24"/>
          <w:szCs w:val="24"/>
        </w:rPr>
        <w:t xml:space="preserve"> առանձնացվեն դեղին ֆոնով: Հաշվետվությունը </w:t>
      </w:r>
      <w:r w:rsidR="0056496B">
        <w:rPr>
          <w:rFonts w:ascii="Sylfaen" w:hAnsi="Sylfaen"/>
          <w:sz w:val="24"/>
          <w:szCs w:val="24"/>
        </w:rPr>
        <w:t>դիմումատու</w:t>
      </w:r>
      <w:r w:rsidRPr="00BD7577">
        <w:rPr>
          <w:rFonts w:ascii="Sylfaen" w:hAnsi="Sylfaen"/>
          <w:sz w:val="24"/>
          <w:szCs w:val="24"/>
        </w:rPr>
        <w:t>ին ուղարկելուց առաջ այս բաժինները պետք է դրանից բացառվեն:</w:t>
      </w:r>
    </w:p>
    <w:p w14:paraId="17AEC66B"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Հնարավորության դեպքում տեղեկատվությունը պետք է ներկայացվի աղյուսակների, գծապատկերների </w:t>
      </w:r>
      <w:r w:rsidR="00C54D75">
        <w:rPr>
          <w:rFonts w:ascii="Sylfaen" w:hAnsi="Sylfaen"/>
          <w:sz w:val="24"/>
          <w:szCs w:val="24"/>
        </w:rPr>
        <w:t>և</w:t>
      </w:r>
      <w:r w:rsidRPr="00BD7577">
        <w:rPr>
          <w:rFonts w:ascii="Sylfaen" w:hAnsi="Sylfaen"/>
          <w:sz w:val="24"/>
          <w:szCs w:val="24"/>
        </w:rPr>
        <w:t xml:space="preserve"> նկարների տեսքով, որոնց օրինակները բերված են 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(այսուհետ՝ Գրանցման կանոններ) թիվ 6 հավելվածում </w:t>
      </w:r>
      <w:r w:rsidR="00C54D75">
        <w:rPr>
          <w:rFonts w:ascii="Sylfaen" w:hAnsi="Sylfaen"/>
          <w:sz w:val="24"/>
          <w:szCs w:val="24"/>
        </w:rPr>
        <w:t>և</w:t>
      </w:r>
      <w:r w:rsidRPr="00BD7577">
        <w:rPr>
          <w:rFonts w:ascii="Sylfaen" w:hAnsi="Sylfaen"/>
          <w:sz w:val="24"/>
          <w:szCs w:val="24"/>
        </w:rPr>
        <w:t xml:space="preserve"> պետք է օգտագործվեն ըստ անհրաժեշտության: Դեղակինետիկայի </w:t>
      </w:r>
      <w:r w:rsidR="00C54D75">
        <w:rPr>
          <w:rFonts w:ascii="Sylfaen" w:hAnsi="Sylfaen"/>
          <w:sz w:val="24"/>
          <w:szCs w:val="24"/>
        </w:rPr>
        <w:t>և</w:t>
      </w:r>
      <w:r w:rsidRPr="00BD7577">
        <w:rPr>
          <w:rFonts w:ascii="Sylfaen" w:hAnsi="Sylfaen"/>
          <w:sz w:val="24"/>
          <w:szCs w:val="24"/>
        </w:rPr>
        <w:t xml:space="preserve"> տոքսիկոկինետիկայի մասով տվյալներ պարունակող աղյուսակներում պետք է նշված լինեն կենդանիների քանակն ու յուրաքանչյուր պարամետրի համար ստանդարտ շեղման </w:t>
      </w:r>
      <w:r w:rsidRPr="00BD7577">
        <w:rPr>
          <w:rFonts w:ascii="Sylfaen" w:hAnsi="Sylfaen"/>
          <w:sz w:val="24"/>
          <w:szCs w:val="24"/>
        </w:rPr>
        <w:lastRenderedPageBreak/>
        <w:t>նշանակությունը: Բազմակի ներմուծման դեպքում հետազոտությունների համար անհրաժեշտ է հստակեցնել տոքսիկոկինետիկական վերլուծության համար նմուշներ վերցնելու օրը: Թույլատրվում է գնահատման վերաբերյալ հաշվետվության մեջ ներառել պատրաստուկի դոսյեից աղյուսակներ: Ընդ որում, հարկ է բերել համապատասխան հղումներ:</w:t>
      </w:r>
    </w:p>
    <w:p w14:paraId="26FEAA59"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Գրանցման կանոնների թիվ 6 հավելվածով նախատեսված հաշվետվության ձ</w:t>
      </w:r>
      <w:r w:rsidR="00C54D75">
        <w:rPr>
          <w:rFonts w:ascii="Sylfaen" w:hAnsi="Sylfaen"/>
          <w:sz w:val="24"/>
          <w:szCs w:val="24"/>
        </w:rPr>
        <w:t>և</w:t>
      </w:r>
      <w:r w:rsidRPr="00BD7577">
        <w:rPr>
          <w:rFonts w:ascii="Sylfaen" w:hAnsi="Sylfaen"/>
          <w:sz w:val="24"/>
          <w:szCs w:val="24"/>
        </w:rPr>
        <w:t xml:space="preserve">անմուշում ավելացված են մի քանի էջեր, որոնք նախատեսված են հապավումների ցանկի </w:t>
      </w:r>
      <w:r w:rsidR="00C54D75">
        <w:rPr>
          <w:rFonts w:ascii="Sylfaen" w:hAnsi="Sylfaen"/>
          <w:sz w:val="24"/>
          <w:szCs w:val="24"/>
        </w:rPr>
        <w:t>և</w:t>
      </w:r>
      <w:r w:rsidRPr="00BD7577">
        <w:rPr>
          <w:rFonts w:ascii="Sylfaen" w:hAnsi="Sylfaen"/>
          <w:sz w:val="24"/>
          <w:szCs w:val="24"/>
        </w:rPr>
        <w:t xml:space="preserve"> գրականության ցանկի համար, որոնք հարկ է լրացնել ըստ անհրաժեշտության:</w:t>
      </w:r>
    </w:p>
    <w:p w14:paraId="12D9EA02"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Խորհուրդ է տրվում հաշվետվության հիմնական տեքստը տպագրել 11 չափի Times New Roman տառատեսակով: Հաշվետվության ծավալը՝ 7 թերթը, գերազանցելու դեպքում հարկ է այն գլխակարգել:</w:t>
      </w:r>
    </w:p>
    <w:p w14:paraId="4CF301C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Հաշվետվությունը նախապատրաստելիս փորձագետը նա</w:t>
      </w:r>
      <w:r w:rsidR="00C54D75">
        <w:rPr>
          <w:rFonts w:ascii="Sylfaen" w:hAnsi="Sylfaen"/>
          <w:sz w:val="24"/>
          <w:szCs w:val="24"/>
        </w:rPr>
        <w:t>և</w:t>
      </w:r>
      <w:r w:rsidRPr="00BD7577">
        <w:rPr>
          <w:rFonts w:ascii="Sylfaen" w:hAnsi="Sylfaen"/>
          <w:sz w:val="24"/>
          <w:szCs w:val="24"/>
        </w:rPr>
        <w:t xml:space="preserve"> կարող է օգտագործել Միության մարմինների՝ գրանցման դոսյեի կազմման վերաբերյալ ակտերը՝ ընդհանուր տեխնիկական փաստաթղթի ձ</w:t>
      </w:r>
      <w:r w:rsidR="00C54D75">
        <w:rPr>
          <w:rFonts w:ascii="Sylfaen" w:hAnsi="Sylfaen"/>
          <w:sz w:val="24"/>
          <w:szCs w:val="24"/>
        </w:rPr>
        <w:t>և</w:t>
      </w:r>
      <w:r w:rsidRPr="00BD7577">
        <w:rPr>
          <w:rFonts w:ascii="Sylfaen" w:hAnsi="Sylfaen"/>
          <w:sz w:val="24"/>
          <w:szCs w:val="24"/>
        </w:rPr>
        <w:t>աչափով:</w:t>
      </w:r>
    </w:p>
    <w:p w14:paraId="21971757"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Սույն ցուցումներում ուսումնասիրվում են հաշվետվության միայն այն բաժինները, որոնք պահանջում են պարզաբանումներ </w:t>
      </w:r>
      <w:r w:rsidR="00C54D75">
        <w:rPr>
          <w:rFonts w:ascii="Sylfaen" w:hAnsi="Sylfaen"/>
          <w:sz w:val="24"/>
          <w:szCs w:val="24"/>
        </w:rPr>
        <w:t>և</w:t>
      </w:r>
      <w:r w:rsidRPr="00BD7577">
        <w:rPr>
          <w:rFonts w:ascii="Sylfaen" w:hAnsi="Sylfaen"/>
          <w:sz w:val="24"/>
          <w:szCs w:val="24"/>
        </w:rPr>
        <w:t xml:space="preserve"> մեկնաբանություններ:</w:t>
      </w:r>
    </w:p>
    <w:p w14:paraId="3C67305C" w14:textId="77777777" w:rsidR="008C76E0" w:rsidRPr="00BD7577" w:rsidRDefault="008C76E0" w:rsidP="004B393A">
      <w:pPr>
        <w:spacing w:after="160" w:line="360" w:lineRule="auto"/>
        <w:ind w:firstLine="567"/>
        <w:jc w:val="both"/>
        <w:rPr>
          <w:rFonts w:ascii="Sylfaen" w:hAnsi="Sylfaen"/>
          <w:sz w:val="24"/>
          <w:szCs w:val="24"/>
        </w:rPr>
      </w:pPr>
    </w:p>
    <w:p w14:paraId="5DB70566"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II. Նախակլինիկական (ոչ կլինիկական) ասպեկտների փորձաքննությունը</w:t>
      </w:r>
    </w:p>
    <w:p w14:paraId="5156FAF0"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Ներածություն:</w:t>
      </w:r>
    </w:p>
    <w:p w14:paraId="10E59DB6" w14:textId="79094A7E"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մշակմանն առնչվող հարցերը:</w:t>
      </w:r>
    </w:p>
    <w:p w14:paraId="53DFFE65" w14:textId="4942B4C7" w:rsidR="008C76E0" w:rsidRPr="00BD7577" w:rsidRDefault="0056496B" w:rsidP="004B393A">
      <w:pPr>
        <w:tabs>
          <w:tab w:val="left" w:pos="1134"/>
        </w:tabs>
        <w:spacing w:after="160" w:line="360" w:lineRule="auto"/>
        <w:ind w:right="-1" w:firstLine="567"/>
        <w:jc w:val="both"/>
        <w:rPr>
          <w:rFonts w:ascii="Sylfaen" w:hAnsi="Sylfaen"/>
          <w:sz w:val="24"/>
          <w:szCs w:val="24"/>
        </w:rPr>
      </w:pPr>
      <w:r>
        <w:rPr>
          <w:rFonts w:ascii="Sylfaen" w:hAnsi="Sylfaen"/>
          <w:sz w:val="24"/>
          <w:szCs w:val="24"/>
        </w:rPr>
        <w:t>Դիմում</w:t>
      </w:r>
      <w:r w:rsidR="008C76E0" w:rsidRPr="00BD7577">
        <w:rPr>
          <w:rFonts w:ascii="Sylfaen" w:hAnsi="Sylfaen"/>
          <w:sz w:val="24"/>
          <w:szCs w:val="24"/>
        </w:rPr>
        <w:t>ի տեսակը:</w:t>
      </w:r>
    </w:p>
    <w:p w14:paraId="532F5A22" w14:textId="6A43004D"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Նշվում են գրանցման վկայական ստանալու </w:t>
      </w:r>
      <w:r w:rsidR="0056496B">
        <w:rPr>
          <w:rFonts w:ascii="Sylfaen" w:hAnsi="Sylfaen"/>
          <w:sz w:val="24"/>
          <w:szCs w:val="24"/>
        </w:rPr>
        <w:t>դիմում</w:t>
      </w:r>
      <w:r w:rsidRPr="00BD7577">
        <w:rPr>
          <w:rFonts w:ascii="Sylfaen" w:hAnsi="Sylfaen"/>
          <w:sz w:val="24"/>
          <w:szCs w:val="24"/>
        </w:rPr>
        <w:t xml:space="preserve">ի տեսակը (հղում՝ </w:t>
      </w:r>
      <w:r w:rsidR="0056496B">
        <w:rPr>
          <w:rFonts w:ascii="Sylfaen" w:hAnsi="Sylfaen"/>
          <w:sz w:val="24"/>
          <w:szCs w:val="24"/>
        </w:rPr>
        <w:t>դիմում</w:t>
      </w:r>
      <w:r w:rsidRPr="00BD7577">
        <w:rPr>
          <w:rFonts w:ascii="Sylfaen" w:hAnsi="Sylfaen"/>
          <w:sz w:val="24"/>
          <w:szCs w:val="24"/>
        </w:rPr>
        <w:t xml:space="preserve">ի իրավական հիմնավորմանը), օրինակ՝ օրիգինալ դեղապատրաստուկի </w:t>
      </w:r>
      <w:r w:rsidR="0056496B">
        <w:rPr>
          <w:rFonts w:ascii="Sylfaen" w:hAnsi="Sylfaen"/>
          <w:sz w:val="24"/>
          <w:szCs w:val="24"/>
        </w:rPr>
        <w:t>դիմում</w:t>
      </w:r>
      <w:r w:rsidRPr="00BD7577">
        <w:rPr>
          <w:rFonts w:ascii="Sylfaen" w:hAnsi="Sylfaen"/>
          <w:sz w:val="24"/>
          <w:szCs w:val="24"/>
        </w:rPr>
        <w:t xml:space="preserve">, սեփական </w:t>
      </w:r>
      <w:r w:rsidR="00C54D75">
        <w:rPr>
          <w:rFonts w:ascii="Sylfaen" w:hAnsi="Sylfaen"/>
          <w:sz w:val="24"/>
          <w:szCs w:val="24"/>
        </w:rPr>
        <w:t>և</w:t>
      </w:r>
      <w:r w:rsidRPr="00BD7577">
        <w:rPr>
          <w:rFonts w:ascii="Sylfaen" w:hAnsi="Sylfaen"/>
          <w:sz w:val="24"/>
          <w:szCs w:val="24"/>
        </w:rPr>
        <w:t xml:space="preserve"> կողմնակի տվյալների բանաքաղության վրա հիմնված </w:t>
      </w:r>
      <w:r w:rsidR="0056496B">
        <w:rPr>
          <w:rFonts w:ascii="Sylfaen" w:hAnsi="Sylfaen"/>
          <w:sz w:val="24"/>
          <w:szCs w:val="24"/>
        </w:rPr>
        <w:t>դիմում</w:t>
      </w:r>
      <w:r w:rsidRPr="00BD7577">
        <w:rPr>
          <w:rFonts w:ascii="Sylfaen" w:hAnsi="Sylfaen"/>
          <w:sz w:val="24"/>
          <w:szCs w:val="24"/>
        </w:rPr>
        <w:t xml:space="preserve">, </w:t>
      </w:r>
      <w:r w:rsidRPr="00BD7577">
        <w:rPr>
          <w:rFonts w:ascii="Sylfaen" w:hAnsi="Sylfaen"/>
          <w:sz w:val="24"/>
          <w:szCs w:val="24"/>
        </w:rPr>
        <w:lastRenderedPageBreak/>
        <w:t xml:space="preserve">համընդհանուր կիրառության վրա հիմնված </w:t>
      </w:r>
      <w:r w:rsidR="0056496B">
        <w:rPr>
          <w:rFonts w:ascii="Sylfaen" w:hAnsi="Sylfaen"/>
          <w:sz w:val="24"/>
          <w:szCs w:val="24"/>
        </w:rPr>
        <w:t>դիմում</w:t>
      </w:r>
      <w:r w:rsidRPr="00BD7577">
        <w:rPr>
          <w:rFonts w:ascii="Sylfaen" w:hAnsi="Sylfaen"/>
          <w:sz w:val="24"/>
          <w:szCs w:val="24"/>
        </w:rPr>
        <w:t xml:space="preserve">, կենսաբանական պատրաստուկի </w:t>
      </w:r>
      <w:r w:rsidR="0056496B">
        <w:rPr>
          <w:rFonts w:ascii="Sylfaen" w:hAnsi="Sylfaen"/>
          <w:sz w:val="24"/>
          <w:szCs w:val="24"/>
        </w:rPr>
        <w:t>դիմում</w:t>
      </w:r>
      <w:r w:rsidRPr="00BD7577">
        <w:rPr>
          <w:rFonts w:ascii="Sylfaen" w:hAnsi="Sylfaen"/>
          <w:sz w:val="24"/>
          <w:szCs w:val="24"/>
        </w:rPr>
        <w:t xml:space="preserve"> </w:t>
      </w:r>
      <w:r w:rsidR="00C54D75">
        <w:rPr>
          <w:rFonts w:ascii="Sylfaen" w:hAnsi="Sylfaen"/>
          <w:sz w:val="24"/>
          <w:szCs w:val="24"/>
        </w:rPr>
        <w:t>և</w:t>
      </w:r>
      <w:r w:rsidRPr="00BD7577">
        <w:rPr>
          <w:rFonts w:ascii="Sylfaen" w:hAnsi="Sylfaen"/>
          <w:sz w:val="24"/>
          <w:szCs w:val="24"/>
        </w:rPr>
        <w:t xml:space="preserve"> այլն, ինչպես նա</w:t>
      </w:r>
      <w:r w:rsidR="00C54D75">
        <w:rPr>
          <w:rFonts w:ascii="Sylfaen" w:hAnsi="Sylfaen"/>
          <w:sz w:val="24"/>
          <w:szCs w:val="24"/>
        </w:rPr>
        <w:t>և</w:t>
      </w:r>
      <w:r w:rsidRPr="00BD7577">
        <w:rPr>
          <w:rFonts w:ascii="Sylfaen" w:hAnsi="Sylfaen"/>
          <w:sz w:val="24"/>
          <w:szCs w:val="24"/>
        </w:rPr>
        <w:t xml:space="preserve"> որոշակի հետազոտություններից հրաժարվելու կամ օրիգինալ հետազոտությունները գրական աղբյուրներից վերցված տվյալներով փոխարինելու համար ընդունելի հիմնավորումների առկայությունը: Եթե որ</w:t>
      </w:r>
      <w:r w:rsidR="00C54D75">
        <w:rPr>
          <w:rFonts w:ascii="Sylfaen" w:hAnsi="Sylfaen"/>
          <w:sz w:val="24"/>
          <w:szCs w:val="24"/>
        </w:rPr>
        <w:t>և</w:t>
      </w:r>
      <w:r w:rsidRPr="00BD7577">
        <w:rPr>
          <w:rFonts w:ascii="Sylfaen" w:hAnsi="Sylfaen"/>
          <w:sz w:val="24"/>
          <w:szCs w:val="24"/>
        </w:rPr>
        <w:t>է հետազոտություն գոյություն ունի միայն հրապարակման ձ</w:t>
      </w:r>
      <w:r w:rsidR="00C54D75">
        <w:rPr>
          <w:rFonts w:ascii="Sylfaen" w:hAnsi="Sylfaen"/>
          <w:sz w:val="24"/>
          <w:szCs w:val="24"/>
        </w:rPr>
        <w:t>և</w:t>
      </w:r>
      <w:r w:rsidRPr="00BD7577">
        <w:rPr>
          <w:rFonts w:ascii="Sylfaen" w:hAnsi="Sylfaen"/>
          <w:sz w:val="24"/>
          <w:szCs w:val="24"/>
        </w:rPr>
        <w:t>ով, ապա կար</w:t>
      </w:r>
      <w:r w:rsidR="00C54D75">
        <w:rPr>
          <w:rFonts w:ascii="Sylfaen" w:hAnsi="Sylfaen"/>
          <w:sz w:val="24"/>
          <w:szCs w:val="24"/>
        </w:rPr>
        <w:t>և</w:t>
      </w:r>
      <w:r w:rsidRPr="00BD7577">
        <w:rPr>
          <w:rFonts w:ascii="Sylfaen" w:hAnsi="Sylfaen"/>
          <w:sz w:val="24"/>
          <w:szCs w:val="24"/>
        </w:rPr>
        <w:t>որ է ճշտել, թե արդյոք դրա որակը բավարար է առավել կրիտիկական տվյալների համակողմանի վերլուծություն անցկացնելու հնարավորության համար:</w:t>
      </w:r>
    </w:p>
    <w:p w14:paraId="5AA1A457"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յուրաքանչյուր հիմնական բաժին (4-րդ </w:t>
      </w:r>
      <w:r w:rsidR="00C54D75">
        <w:rPr>
          <w:rFonts w:ascii="Sylfaen" w:hAnsi="Sylfaen"/>
          <w:sz w:val="24"/>
          <w:szCs w:val="24"/>
        </w:rPr>
        <w:t>և</w:t>
      </w:r>
      <w:r w:rsidRPr="00BD7577">
        <w:rPr>
          <w:rFonts w:ascii="Sylfaen" w:hAnsi="Sylfaen"/>
          <w:sz w:val="24"/>
          <w:szCs w:val="24"/>
        </w:rPr>
        <w:t xml:space="preserve"> 5-րդ մոդուլներ) պետք է պարունակի Գրանցման կանոնների թիվ 1 հավելվածի պահանջներին համապատասխան ներկայացված տվյալներ: Յուրաքանչյուր բաժնում նկարագրվող հետազոտությունների տեսակները պետք է նշվեն պարբերությունների (կետերի, բաժինների) համարներին արված հղումներով, ինչպես նշված է Գրանցման կանոնների թիվ 1 հավելվածում: Հիմնական </w:t>
      </w:r>
      <w:r w:rsidR="00C54D75">
        <w:rPr>
          <w:rFonts w:ascii="Sylfaen" w:hAnsi="Sylfaen"/>
          <w:sz w:val="24"/>
          <w:szCs w:val="24"/>
        </w:rPr>
        <w:t>և</w:t>
      </w:r>
      <w:r w:rsidRPr="00BD7577">
        <w:rPr>
          <w:rFonts w:ascii="Sylfaen" w:hAnsi="Sylfaen"/>
          <w:sz w:val="24"/>
          <w:szCs w:val="24"/>
        </w:rPr>
        <w:t xml:space="preserve"> օժանդակ տվյալներն առանձնացնելուց հետո հետազոտությունների յուրաքանչյուր տարատեսակի մասով անհրաժեշտ է գնահատել, թե արդյոք հիմնական տվյալները ներկայացված են անցկացված նախակլինիկական (ոչ կլինիկական) </w:t>
      </w:r>
      <w:r w:rsidR="00C54D75">
        <w:rPr>
          <w:rFonts w:ascii="Sylfaen" w:hAnsi="Sylfaen"/>
          <w:sz w:val="24"/>
          <w:szCs w:val="24"/>
        </w:rPr>
        <w:t>և</w:t>
      </w:r>
      <w:r w:rsidRPr="00BD7577">
        <w:rPr>
          <w:rFonts w:ascii="Sylfaen" w:hAnsi="Sylfaen"/>
          <w:sz w:val="24"/>
          <w:szCs w:val="24"/>
        </w:rPr>
        <w:t xml:space="preserve"> կլինիկական հետազոտությունների վերաբերյալ սեփական հաշվետվություններով (բնօրինակ տվյալներ), մատենագիտական հղումներով, դրանց համակցություններով, թե այդպիսի տվյալները բացակայում են:</w:t>
      </w:r>
    </w:p>
    <w:p w14:paraId="062A7D38" w14:textId="7C2BDC7E"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Ներկայացված տվյալները պետք է գնահատվեն՝ հաշվի առնելով </w:t>
      </w:r>
      <w:r w:rsidR="0056496B">
        <w:rPr>
          <w:rFonts w:ascii="Sylfaen" w:hAnsi="Sylfaen"/>
          <w:sz w:val="24"/>
          <w:szCs w:val="24"/>
        </w:rPr>
        <w:t>դիմում</w:t>
      </w:r>
      <w:r w:rsidRPr="00BD7577">
        <w:rPr>
          <w:rFonts w:ascii="Sylfaen" w:hAnsi="Sylfaen"/>
          <w:sz w:val="24"/>
          <w:szCs w:val="24"/>
        </w:rPr>
        <w:t>ի տեսակը, այլ նորմատիվ պահանջներ, գործող մեթոդական հանձնարարականներն ու գիտական չափանիշները:</w:t>
      </w:r>
    </w:p>
    <w:p w14:paraId="2712782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Եթե տվյալների ներկայացման բնույթը տարբերվում է գոյութ</w:t>
      </w:r>
      <w:r>
        <w:rPr>
          <w:rFonts w:ascii="Sylfaen" w:hAnsi="Sylfaen"/>
          <w:sz w:val="24"/>
          <w:szCs w:val="24"/>
        </w:rPr>
        <w:t>յ</w:t>
      </w:r>
      <w:r w:rsidRPr="00BD7577">
        <w:rPr>
          <w:rFonts w:ascii="Sylfaen" w:hAnsi="Sylfaen"/>
          <w:sz w:val="24"/>
          <w:szCs w:val="24"/>
        </w:rPr>
        <w:t xml:space="preserve">ուն ունեցող պահանջներից, ապա անհրաժեշտ է անցկացնել այդպիսի շեղման հիմնավորումներից յուրաքանչյուրի ընդունելիության գնահատում: Մասնավորապես, հիմնավորման ենթակա են նախակլինիկական (կլինիկական) փորձարկումների կամ հետազոտությունների վերաբերյալ տեղեկությունների </w:t>
      </w:r>
      <w:r w:rsidRPr="00BD7577">
        <w:rPr>
          <w:rFonts w:ascii="Sylfaen" w:hAnsi="Sylfaen"/>
          <w:sz w:val="24"/>
          <w:szCs w:val="24"/>
        </w:rPr>
        <w:lastRenderedPageBreak/>
        <w:t>բացակայությունը, հիմնական հետազոտությունների վերաբերյալ տվյալներն ամբողջությամբ կամ մասնակիորեն փոխարինող մատենագիտական հղումների օգտագործումը:</w:t>
      </w:r>
    </w:p>
    <w:p w14:paraId="0A9758F7" w14:textId="4263C715"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Եթե </w:t>
      </w:r>
      <w:r w:rsidR="0056496B">
        <w:rPr>
          <w:rFonts w:ascii="Sylfaen" w:hAnsi="Sylfaen"/>
          <w:sz w:val="24"/>
          <w:szCs w:val="24"/>
        </w:rPr>
        <w:t>դիմումատու</w:t>
      </w:r>
      <w:r w:rsidRPr="00BD7577">
        <w:rPr>
          <w:rFonts w:ascii="Sylfaen" w:hAnsi="Sylfaen"/>
          <w:sz w:val="24"/>
          <w:szCs w:val="24"/>
        </w:rPr>
        <w:t xml:space="preserve">ն օգտագործում է տվյալներ գիտական հրապարակումներից, կամ նման տվյալները կիրառվում են փորձագետի հաշվետվության համատեքստում, ապա անհրաժեշտ է նշել յուրաքանչյուր հրապարակում հստակ նույնականացնելու հնարավորություն տվող հղումներ: Հարկ է դիտարկել գրականության ցանկ կազմելու հնարավորությունը, եթե հաշվետվության մեջ օգտագործվում են մեծ քանակությամբ հղումներ: </w:t>
      </w:r>
    </w:p>
    <w:p w14:paraId="6B3CC070"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Անհրաժեշտության դեպքում հարկավոր է ճշգրիտ ձ</w:t>
      </w:r>
      <w:r w:rsidR="00C54D75">
        <w:rPr>
          <w:rFonts w:ascii="Sylfaen" w:hAnsi="Sylfaen"/>
          <w:sz w:val="24"/>
          <w:szCs w:val="24"/>
        </w:rPr>
        <w:t>և</w:t>
      </w:r>
      <w:r w:rsidRPr="00BD7577">
        <w:rPr>
          <w:rFonts w:ascii="Sylfaen" w:hAnsi="Sylfaen"/>
          <w:sz w:val="24"/>
          <w:szCs w:val="24"/>
        </w:rPr>
        <w:t>ակերպել հրապարակման վերաբերյալ փորձագետի կարծիքը (օրինակ՝ եթե հոդվածն օգտագործվում է ոչ միայն որպես հղում տվյալներին, այլ նա</w:t>
      </w:r>
      <w:r w:rsidR="00C54D75">
        <w:rPr>
          <w:rFonts w:ascii="Sylfaen" w:hAnsi="Sylfaen"/>
          <w:sz w:val="24"/>
          <w:szCs w:val="24"/>
        </w:rPr>
        <w:t>և</w:t>
      </w:r>
      <w:r w:rsidRPr="00BD7577">
        <w:rPr>
          <w:rFonts w:ascii="Sylfaen" w:hAnsi="Sylfaen"/>
          <w:sz w:val="24"/>
          <w:szCs w:val="24"/>
        </w:rPr>
        <w:t xml:space="preserve"> քննարկման համատեքստում):</w:t>
      </w:r>
    </w:p>
    <w:p w14:paraId="14AF782F"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Աղյուսակում ներկայացված են հիմնավորումների </w:t>
      </w:r>
      <w:r w:rsidR="00C54D75">
        <w:rPr>
          <w:rFonts w:ascii="Sylfaen" w:hAnsi="Sylfaen"/>
          <w:sz w:val="24"/>
          <w:szCs w:val="24"/>
        </w:rPr>
        <w:t>և</w:t>
      </w:r>
      <w:r w:rsidRPr="00BD7577">
        <w:rPr>
          <w:rFonts w:ascii="Sylfaen" w:hAnsi="Sylfaen"/>
          <w:sz w:val="24"/>
          <w:szCs w:val="24"/>
        </w:rPr>
        <w:t xml:space="preserve"> դրանց փորձագիտական գնահատականների օրինակներ:</w:t>
      </w:r>
    </w:p>
    <w:tbl>
      <w:tblPr>
        <w:tblOverlap w:val="never"/>
        <w:tblW w:w="9380" w:type="dxa"/>
        <w:jc w:val="center"/>
        <w:tblLayout w:type="fixed"/>
        <w:tblCellMar>
          <w:left w:w="10" w:type="dxa"/>
          <w:right w:w="10" w:type="dxa"/>
        </w:tblCellMar>
        <w:tblLook w:val="04A0" w:firstRow="1" w:lastRow="0" w:firstColumn="1" w:lastColumn="0" w:noHBand="0" w:noVBand="1"/>
      </w:tblPr>
      <w:tblGrid>
        <w:gridCol w:w="4762"/>
        <w:gridCol w:w="4607"/>
        <w:gridCol w:w="11"/>
      </w:tblGrid>
      <w:tr w:rsidR="008C76E0" w:rsidRPr="00BD7577" w14:paraId="04FF2AD7" w14:textId="77777777" w:rsidTr="008C76E0">
        <w:trPr>
          <w:trHeight w:val="976"/>
          <w:jc w:val="center"/>
        </w:trPr>
        <w:tc>
          <w:tcPr>
            <w:tcW w:w="4762" w:type="dxa"/>
            <w:tcBorders>
              <w:top w:val="single" w:sz="4" w:space="0" w:color="auto"/>
              <w:left w:val="single" w:sz="4" w:space="0" w:color="auto"/>
            </w:tcBorders>
            <w:shd w:val="clear" w:color="auto" w:fill="FFFFFF"/>
            <w:vAlign w:val="center"/>
          </w:tcPr>
          <w:p w14:paraId="2AA26157" w14:textId="77777777" w:rsidR="008C76E0" w:rsidRPr="00BD7577" w:rsidRDefault="008C76E0" w:rsidP="008C76E0">
            <w:pPr>
              <w:pStyle w:val="Bodytext180"/>
              <w:shd w:val="clear" w:color="auto" w:fill="auto"/>
              <w:spacing w:before="0" w:after="120" w:line="240" w:lineRule="auto"/>
              <w:ind w:left="145" w:right="-1" w:firstLine="0"/>
              <w:jc w:val="center"/>
              <w:rPr>
                <w:rFonts w:ascii="Sylfaen" w:hAnsi="Sylfaen"/>
                <w:b w:val="0"/>
                <w:sz w:val="24"/>
                <w:szCs w:val="24"/>
              </w:rPr>
            </w:pPr>
            <w:r w:rsidRPr="00BD7577">
              <w:rPr>
                <w:rStyle w:val="Bodytext1811pt"/>
                <w:rFonts w:ascii="Sylfaen" w:hAnsi="Sylfaen"/>
                <w:sz w:val="24"/>
                <w:szCs w:val="24"/>
              </w:rPr>
              <w:t>Հիմնավորումը</w:t>
            </w:r>
          </w:p>
        </w:tc>
        <w:tc>
          <w:tcPr>
            <w:tcW w:w="4618" w:type="dxa"/>
            <w:gridSpan w:val="2"/>
            <w:tcBorders>
              <w:top w:val="single" w:sz="4" w:space="0" w:color="auto"/>
              <w:left w:val="single" w:sz="4" w:space="0" w:color="auto"/>
              <w:right w:val="single" w:sz="4" w:space="0" w:color="auto"/>
            </w:tcBorders>
            <w:shd w:val="clear" w:color="auto" w:fill="FFFFFF"/>
            <w:vAlign w:val="center"/>
          </w:tcPr>
          <w:p w14:paraId="327D1E46" w14:textId="77777777" w:rsidR="008C76E0" w:rsidRPr="00BD7577" w:rsidRDefault="008C76E0" w:rsidP="008C76E0">
            <w:pPr>
              <w:pStyle w:val="Bodytext180"/>
              <w:shd w:val="clear" w:color="auto" w:fill="auto"/>
              <w:spacing w:before="0" w:after="120" w:line="240" w:lineRule="auto"/>
              <w:ind w:left="129" w:right="119" w:firstLine="0"/>
              <w:jc w:val="center"/>
              <w:rPr>
                <w:rFonts w:ascii="Sylfaen" w:hAnsi="Sylfaen"/>
                <w:b w:val="0"/>
                <w:sz w:val="24"/>
                <w:szCs w:val="24"/>
              </w:rPr>
            </w:pPr>
            <w:r w:rsidRPr="00BD7577">
              <w:rPr>
                <w:rStyle w:val="Bodytext1811pt"/>
                <w:rFonts w:ascii="Sylfaen" w:hAnsi="Sylfaen"/>
                <w:sz w:val="24"/>
                <w:szCs w:val="24"/>
              </w:rPr>
              <w:t>Գնահատականը</w:t>
            </w:r>
          </w:p>
        </w:tc>
      </w:tr>
      <w:tr w:rsidR="008C76E0" w:rsidRPr="00BD7577" w14:paraId="67914411" w14:textId="77777777" w:rsidTr="008C76E0">
        <w:trPr>
          <w:jc w:val="center"/>
        </w:trPr>
        <w:tc>
          <w:tcPr>
            <w:tcW w:w="4762" w:type="dxa"/>
            <w:tcBorders>
              <w:top w:val="single" w:sz="4" w:space="0" w:color="auto"/>
              <w:left w:val="single" w:sz="4" w:space="0" w:color="auto"/>
            </w:tcBorders>
            <w:shd w:val="clear" w:color="auto" w:fill="FFFFFF"/>
          </w:tcPr>
          <w:p w14:paraId="4C1B318D"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Գրանցման կանոնների թիվ 1 հավելվածով նախատեսված են հատուկ բացառություններ՝ հետազոտությունները չիրականացնելու մասով</w:t>
            </w:r>
          </w:p>
        </w:tc>
        <w:tc>
          <w:tcPr>
            <w:tcW w:w="4618" w:type="dxa"/>
            <w:gridSpan w:val="2"/>
            <w:tcBorders>
              <w:top w:val="single" w:sz="4" w:space="0" w:color="auto"/>
              <w:left w:val="single" w:sz="4" w:space="0" w:color="auto"/>
              <w:right w:val="single" w:sz="4" w:space="0" w:color="auto"/>
            </w:tcBorders>
            <w:shd w:val="clear" w:color="auto" w:fill="FFFFFF"/>
          </w:tcPr>
          <w:p w14:paraId="4A48D7F2" w14:textId="333FB60E"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նշե՛ք տվյալ բացառություններն ու հաստատե՛ք այն պատճատները, որոնց դեպքում </w:t>
            </w:r>
            <w:r w:rsidR="0056496B">
              <w:rPr>
                <w:rStyle w:val="Bodytext1811pt"/>
                <w:rFonts w:ascii="Sylfaen" w:hAnsi="Sylfaen"/>
                <w:sz w:val="24"/>
                <w:szCs w:val="24"/>
              </w:rPr>
              <w:t>դիմում</w:t>
            </w:r>
            <w:r w:rsidRPr="00BD7577">
              <w:rPr>
                <w:rStyle w:val="Bodytext1811pt"/>
                <w:rFonts w:ascii="Sylfaen" w:hAnsi="Sylfaen"/>
                <w:sz w:val="24"/>
                <w:szCs w:val="24"/>
              </w:rPr>
              <w:t>ը բավարարում է այդ բացառություններով ներկայացված պայմանները</w:t>
            </w:r>
          </w:p>
        </w:tc>
      </w:tr>
      <w:tr w:rsidR="008C76E0" w:rsidRPr="00BD7577" w14:paraId="15706DFE" w14:textId="77777777" w:rsidTr="008C76E0">
        <w:trPr>
          <w:jc w:val="center"/>
        </w:trPr>
        <w:tc>
          <w:tcPr>
            <w:tcW w:w="4762" w:type="dxa"/>
            <w:tcBorders>
              <w:top w:val="single" w:sz="4" w:space="0" w:color="auto"/>
              <w:left w:val="single" w:sz="4" w:space="0" w:color="auto"/>
            </w:tcBorders>
            <w:shd w:val="clear" w:color="auto" w:fill="FFFFFF"/>
          </w:tcPr>
          <w:p w14:paraId="4AED2242"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 xml:space="preserve">Միության հանձնարարականներով կամ անդամ պետության մեթոդական ձեռնարկներով նախատեսված են հետազոտությունների մասնագիտական առանձնահատկություններ </w:t>
            </w:r>
          </w:p>
        </w:tc>
        <w:tc>
          <w:tcPr>
            <w:tcW w:w="4618" w:type="dxa"/>
            <w:gridSpan w:val="2"/>
            <w:tcBorders>
              <w:top w:val="single" w:sz="4" w:space="0" w:color="auto"/>
              <w:left w:val="single" w:sz="4" w:space="0" w:color="auto"/>
              <w:right w:val="single" w:sz="4" w:space="0" w:color="auto"/>
            </w:tcBorders>
            <w:shd w:val="clear" w:color="auto" w:fill="FFFFFF"/>
          </w:tcPr>
          <w:p w14:paraId="06480EE7" w14:textId="3852C13E"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նշե՛ք համապատասխան մեթոդական փաստաթղթերը </w:t>
            </w:r>
            <w:r w:rsidR="00C54D75">
              <w:rPr>
                <w:rStyle w:val="Bodytext1811pt"/>
                <w:rFonts w:ascii="Sylfaen" w:hAnsi="Sylfaen"/>
                <w:sz w:val="24"/>
                <w:szCs w:val="24"/>
              </w:rPr>
              <w:t>և</w:t>
            </w:r>
            <w:r w:rsidRPr="00BD7577">
              <w:rPr>
                <w:rStyle w:val="Bodytext1811pt"/>
                <w:rFonts w:ascii="Sylfaen" w:hAnsi="Sylfaen"/>
                <w:sz w:val="24"/>
                <w:szCs w:val="24"/>
              </w:rPr>
              <w:t xml:space="preserve"> ենթադրվող առանձնահատկությունները,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հաստատե՛ք այն պատճառները, որոնց դեպքում </w:t>
            </w:r>
            <w:r w:rsidR="0056496B">
              <w:rPr>
                <w:rStyle w:val="Bodytext1811pt"/>
                <w:rFonts w:ascii="Sylfaen" w:hAnsi="Sylfaen"/>
                <w:sz w:val="24"/>
                <w:szCs w:val="24"/>
              </w:rPr>
              <w:t>դիմում</w:t>
            </w:r>
            <w:r w:rsidRPr="00BD7577">
              <w:rPr>
                <w:rStyle w:val="Bodytext1811pt"/>
                <w:rFonts w:ascii="Sylfaen" w:hAnsi="Sylfaen"/>
                <w:sz w:val="24"/>
                <w:szCs w:val="24"/>
              </w:rPr>
              <w:t>ը բավարարում է այդ առանձնահատկություններով ներկայացված պայմանները</w:t>
            </w:r>
          </w:p>
        </w:tc>
      </w:tr>
      <w:tr w:rsidR="008C76E0" w:rsidRPr="00BD7577" w14:paraId="391C63A1" w14:textId="77777777" w:rsidTr="008C76E0">
        <w:trPr>
          <w:jc w:val="center"/>
        </w:trPr>
        <w:tc>
          <w:tcPr>
            <w:tcW w:w="4762" w:type="dxa"/>
            <w:tcBorders>
              <w:top w:val="single" w:sz="4" w:space="0" w:color="auto"/>
              <w:left w:val="single" w:sz="4" w:space="0" w:color="auto"/>
            </w:tcBorders>
            <w:shd w:val="clear" w:color="auto" w:fill="FFFFFF"/>
          </w:tcPr>
          <w:p w14:paraId="153853FC"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 xml:space="preserve">Հաշվի առնելով գիտական գիտելիքների մակարդակը՝ կլինիկական որոշ հետազոտությունների անցկացումը </w:t>
            </w:r>
            <w:r w:rsidRPr="00BD7577">
              <w:rPr>
                <w:rStyle w:val="Bodytext1811pt"/>
                <w:rFonts w:ascii="Sylfaen" w:hAnsi="Sylfaen"/>
                <w:sz w:val="24"/>
                <w:szCs w:val="24"/>
              </w:rPr>
              <w:lastRenderedPageBreak/>
              <w:t>համարվում է էթիկական նորմերին ոչ համապատասխան (Եվրասիական տնտեսական հանձնաժողովի կողմից հաստատվող՝ Եվրասիական տնտեսական միության պատշաճ կլինիկական գործունեության կանոններին, անդամ պետությունների՝ կենդանիների նկատմամբ մարդասիրական վերաբերմունքի վերաբերյալ օրենսդրությանը համապատասխան), կամ կենդանիների վրա կատարվող փորձարկումների որոշ տեսակների անցկացումը դիտարկվում է որպես ավելորդ՝ հաշվի առնելով այլընտրանքային գնահատումների օգտագործման հնարավորությունները (օրինակ՝ որոշ թունաբանական փորձարկումներ չեն համարվում անհրաժեշտ՝ հաշվի առնելով կլինիկական մեծ փորձը)</w:t>
            </w:r>
          </w:p>
        </w:tc>
        <w:tc>
          <w:tcPr>
            <w:tcW w:w="4618" w:type="dxa"/>
            <w:gridSpan w:val="2"/>
            <w:tcBorders>
              <w:top w:val="single" w:sz="4" w:space="0" w:color="auto"/>
              <w:left w:val="single" w:sz="4" w:space="0" w:color="auto"/>
              <w:right w:val="single" w:sz="4" w:space="0" w:color="auto"/>
            </w:tcBorders>
            <w:shd w:val="clear" w:color="auto" w:fill="FFFFFF"/>
          </w:tcPr>
          <w:p w14:paraId="2CFAB28E"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lastRenderedPageBreak/>
              <w:t xml:space="preserve">դիտարկե՛ք, թե ինչպիսի տվյալներն են հանդիսանում գիտական գիտելիքների հիմքը, այդպիսի տվյալների </w:t>
            </w:r>
            <w:r w:rsidRPr="00BD7577">
              <w:rPr>
                <w:rStyle w:val="Bodytext1811pt"/>
                <w:rFonts w:ascii="Sylfaen" w:hAnsi="Sylfaen"/>
                <w:sz w:val="24"/>
                <w:szCs w:val="24"/>
              </w:rPr>
              <w:lastRenderedPageBreak/>
              <w:t xml:space="preserve">նշանակությունն ու հուսալիությունը, </w:t>
            </w:r>
            <w:r w:rsidR="00C54D75">
              <w:rPr>
                <w:rStyle w:val="Bodytext1811pt"/>
                <w:rFonts w:ascii="Sylfaen" w:hAnsi="Sylfaen"/>
                <w:sz w:val="24"/>
                <w:szCs w:val="24"/>
              </w:rPr>
              <w:t>և</w:t>
            </w:r>
            <w:r w:rsidRPr="00BD7577">
              <w:rPr>
                <w:rStyle w:val="Bodytext1811pt"/>
                <w:rFonts w:ascii="Sylfaen" w:hAnsi="Sylfaen"/>
                <w:sz w:val="24"/>
                <w:szCs w:val="24"/>
              </w:rPr>
              <w:t xml:space="preserve"> գնահատե՛ք ցանկացած արտարկման հավաստիությունը</w:t>
            </w:r>
          </w:p>
          <w:p w14:paraId="28A0BA6B"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հիմնվելով այդ տվյալների վրա՝ գնահատե՛ք, թե արդյոք որոշակի փորձարկումների (թեստերի) կրկնակի անցկացումը (լրացուցիչ թեստերի անցկացումը) կհանգեցնի գիտական բազայի ընդլայնման, որն էական կլիներ օգուտ-ռիսկ հարաբերակցությունը գնահատելու </w:t>
            </w:r>
            <w:r w:rsidR="00C54D75">
              <w:rPr>
                <w:rStyle w:val="Bodytext1811pt"/>
                <w:rFonts w:ascii="Sylfaen" w:hAnsi="Sylfaen"/>
                <w:sz w:val="24"/>
                <w:szCs w:val="24"/>
              </w:rPr>
              <w:t>և</w:t>
            </w:r>
            <w:r w:rsidRPr="00BD7577">
              <w:rPr>
                <w:rStyle w:val="Bodytext1811pt"/>
                <w:rFonts w:ascii="Sylfaen" w:hAnsi="Sylfaen"/>
                <w:sz w:val="24"/>
                <w:szCs w:val="24"/>
              </w:rPr>
              <w:t xml:space="preserve"> պացիենտների ու բժիշկների համար պատշաճ տեղեկություններ ներկայացնելու համար. դիտարկե՛ք դեղապատրաստուկի մշակման ստանդարտ պլաններից բոլոր շեղումները՝ մասնավորապես կապված կենդանիների վրա կատարվող փորձարկումների անցկացման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կլինիկական հետազոտությունների անցկացման ժամանակի հետ, որոնք նկարագրված են նորմատիվ իրավական ակտերում </w:t>
            </w:r>
            <w:r w:rsidR="00C54D75">
              <w:rPr>
                <w:rStyle w:val="Bodytext1811pt"/>
                <w:rFonts w:ascii="Sylfaen" w:hAnsi="Sylfaen"/>
                <w:sz w:val="24"/>
                <w:szCs w:val="24"/>
              </w:rPr>
              <w:t>և</w:t>
            </w:r>
            <w:r w:rsidRPr="00BD7577">
              <w:rPr>
                <w:rStyle w:val="Bodytext1811pt"/>
                <w:rFonts w:ascii="Sylfaen" w:hAnsi="Sylfaen"/>
                <w:sz w:val="24"/>
                <w:szCs w:val="24"/>
              </w:rPr>
              <w:t xml:space="preserve"> հանձնարարականներում. վերլուծե՛ք նման շեղումների ազդեցությունն օգուտ-ռիսկ պրոֆիլի վերջնական գնահատման վրա</w:t>
            </w:r>
          </w:p>
        </w:tc>
      </w:tr>
      <w:tr w:rsidR="008C76E0" w:rsidRPr="00BD7577" w14:paraId="78F444EC" w14:textId="77777777" w:rsidTr="008C76E0">
        <w:trPr>
          <w:jc w:val="center"/>
        </w:trPr>
        <w:tc>
          <w:tcPr>
            <w:tcW w:w="4762" w:type="dxa"/>
            <w:tcBorders>
              <w:top w:val="single" w:sz="4" w:space="0" w:color="auto"/>
              <w:left w:val="single" w:sz="4" w:space="0" w:color="auto"/>
              <w:bottom w:val="single" w:sz="4" w:space="0" w:color="auto"/>
            </w:tcBorders>
            <w:shd w:val="clear" w:color="auto" w:fill="FFFFFF"/>
          </w:tcPr>
          <w:p w14:paraId="1126D947" w14:textId="13528C09" w:rsidR="008C76E0" w:rsidRPr="008C76E0" w:rsidRDefault="0056496B"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Pr>
                <w:rStyle w:val="Bodytext1811pt"/>
                <w:rFonts w:ascii="Sylfaen" w:hAnsi="Sylfaen"/>
                <w:sz w:val="24"/>
                <w:szCs w:val="24"/>
              </w:rPr>
              <w:lastRenderedPageBreak/>
              <w:t>Դիմումատու</w:t>
            </w:r>
            <w:r w:rsidR="008C76E0" w:rsidRPr="00BD7577">
              <w:rPr>
                <w:rStyle w:val="Bodytext1811pt"/>
                <w:rFonts w:ascii="Sylfaen" w:hAnsi="Sylfaen"/>
                <w:sz w:val="24"/>
                <w:szCs w:val="24"/>
              </w:rPr>
              <w:t xml:space="preserve">ն չի կարող պատրաստուկի արդյունավետության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անվտանգության վերաբերյալ ամբողջական տվյալներ ներկայացնել՝ բնականոն պայմաններում դրա օգտագործման ժամանակ (բացառիկ հանգամանքներ կամ պայմանական գրանցում)</w:t>
            </w:r>
          </w:p>
        </w:tc>
        <w:tc>
          <w:tcPr>
            <w:tcW w:w="4618" w:type="dxa"/>
            <w:gridSpan w:val="2"/>
            <w:tcBorders>
              <w:top w:val="single" w:sz="4" w:space="0" w:color="auto"/>
              <w:left w:val="single" w:sz="4" w:space="0" w:color="auto"/>
              <w:bottom w:val="single" w:sz="4" w:space="0" w:color="auto"/>
              <w:right w:val="single" w:sz="4" w:space="0" w:color="auto"/>
            </w:tcBorders>
            <w:shd w:val="clear" w:color="auto" w:fill="FFFFFF"/>
          </w:tcPr>
          <w:p w14:paraId="1A6A3EB4"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բացառիկ հանգամանքներում հնարավոր հաստատման վերաբերյալ եզրակացություն կազմելու համար փորձագետը պետք է գնահատի պատճառների հիմնավորվածությունը՝ համաձայն Գրանցման կանոնների «Հատուկ պայմաններ դեղապատրաստուկի գրանցման վերաբերյալ որոշում կայացնելիս» բաժնի</w:t>
            </w:r>
          </w:p>
        </w:tc>
      </w:tr>
      <w:tr w:rsidR="008C76E0" w:rsidRPr="00BD7577" w14:paraId="6A840AAC" w14:textId="77777777" w:rsidTr="008C76E0">
        <w:trPr>
          <w:gridAfter w:val="1"/>
          <w:wAfter w:w="11" w:type="dxa"/>
          <w:jc w:val="center"/>
        </w:trPr>
        <w:tc>
          <w:tcPr>
            <w:tcW w:w="4762" w:type="dxa"/>
            <w:tcBorders>
              <w:top w:val="single" w:sz="4" w:space="0" w:color="auto"/>
              <w:left w:val="single" w:sz="4" w:space="0" w:color="auto"/>
            </w:tcBorders>
            <w:shd w:val="clear" w:color="auto" w:fill="FFFFFF"/>
          </w:tcPr>
          <w:p w14:paraId="4E050127" w14:textId="77777777" w:rsidR="008C76E0" w:rsidRPr="00BD7577" w:rsidRDefault="008C76E0" w:rsidP="008C76E0">
            <w:pPr>
              <w:spacing w:after="120" w:line="240" w:lineRule="auto"/>
              <w:ind w:left="145" w:right="145"/>
              <w:jc w:val="both"/>
              <w:rPr>
                <w:rFonts w:ascii="Sylfaen" w:hAnsi="Sylfaen"/>
                <w:sz w:val="24"/>
                <w:szCs w:val="24"/>
              </w:rPr>
            </w:pPr>
          </w:p>
        </w:tc>
        <w:tc>
          <w:tcPr>
            <w:tcW w:w="4607" w:type="dxa"/>
            <w:tcBorders>
              <w:top w:val="single" w:sz="4" w:space="0" w:color="auto"/>
              <w:left w:val="single" w:sz="4" w:space="0" w:color="auto"/>
              <w:right w:val="single" w:sz="4" w:space="0" w:color="auto"/>
            </w:tcBorders>
            <w:shd w:val="clear" w:color="auto" w:fill="FFFFFF"/>
          </w:tcPr>
          <w:p w14:paraId="310A12E8" w14:textId="20675828" w:rsidR="008C76E0" w:rsidRPr="008C76E0" w:rsidRDefault="0056496B" w:rsidP="008C76E0">
            <w:pPr>
              <w:pStyle w:val="Bodytext180"/>
              <w:shd w:val="clear" w:color="auto" w:fill="auto"/>
              <w:spacing w:before="0" w:after="120" w:line="240" w:lineRule="auto"/>
              <w:ind w:left="130" w:right="119" w:firstLine="0"/>
              <w:jc w:val="both"/>
              <w:rPr>
                <w:rFonts w:ascii="Sylfaen" w:hAnsi="Sylfaen"/>
                <w:b w:val="0"/>
                <w:sz w:val="24"/>
                <w:szCs w:val="24"/>
                <w:lang w:val="hy-AM"/>
              </w:rPr>
            </w:pPr>
            <w:r>
              <w:rPr>
                <w:rStyle w:val="Bodytext1811pt"/>
                <w:rFonts w:ascii="Sylfaen" w:hAnsi="Sylfaen"/>
                <w:sz w:val="24"/>
                <w:szCs w:val="24"/>
              </w:rPr>
              <w:t>դիմում</w:t>
            </w:r>
            <w:r w:rsidR="008C76E0" w:rsidRPr="00BD7577">
              <w:rPr>
                <w:rStyle w:val="Bodytext1811pt"/>
                <w:rFonts w:ascii="Sylfaen" w:hAnsi="Sylfaen"/>
                <w:sz w:val="24"/>
                <w:szCs w:val="24"/>
              </w:rPr>
              <w:t xml:space="preserve">ը հաստատելու համար պայմանական գրանցման տարբերակում փորձագետը պետք է գնահատի պատճառների հիմնավորվածությունը՝ համաձայն Գրանցման կանոնների «Հատուկ </w:t>
            </w:r>
            <w:r w:rsidR="008C76E0" w:rsidRPr="00BD7577">
              <w:rPr>
                <w:rStyle w:val="Bodytext1811pt"/>
                <w:rFonts w:ascii="Sylfaen" w:hAnsi="Sylfaen"/>
                <w:sz w:val="24"/>
                <w:szCs w:val="24"/>
              </w:rPr>
              <w:lastRenderedPageBreak/>
              <w:t xml:space="preserve">պայմաններ դեղապատրաստուկի գրանցման վերաբերյալ որոշում կայացնելիս» բաժնի,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նշի </w:t>
            </w:r>
            <w:r>
              <w:rPr>
                <w:rStyle w:val="Bodytext1811pt"/>
                <w:rFonts w:ascii="Sylfaen" w:hAnsi="Sylfaen"/>
                <w:sz w:val="24"/>
                <w:szCs w:val="24"/>
              </w:rPr>
              <w:t>դիմում</w:t>
            </w:r>
            <w:r w:rsidR="008C76E0" w:rsidRPr="00BD7577">
              <w:rPr>
                <w:rStyle w:val="Bodytext1811pt"/>
                <w:rFonts w:ascii="Sylfaen" w:hAnsi="Sylfaen"/>
                <w:sz w:val="24"/>
                <w:szCs w:val="24"/>
              </w:rPr>
              <w:t xml:space="preserve">ի ամենամյա հաստատման անհրաժեշտությունը։ Պայմանական գրանցմամբ, որպես կանոն, չի նախատեսվում նախակլինիկական տեղեկատվությունը </w:t>
            </w:r>
            <w:r>
              <w:rPr>
                <w:rStyle w:val="Bodytext1811pt"/>
                <w:rFonts w:ascii="Sylfaen" w:hAnsi="Sylfaen"/>
                <w:sz w:val="24"/>
                <w:szCs w:val="24"/>
              </w:rPr>
              <w:t>դիմում</w:t>
            </w:r>
            <w:r w:rsidR="008C76E0" w:rsidRPr="00BD7577">
              <w:rPr>
                <w:rStyle w:val="Bodytext1811pt"/>
                <w:rFonts w:ascii="Sylfaen" w:hAnsi="Sylfaen"/>
                <w:sz w:val="24"/>
                <w:szCs w:val="24"/>
              </w:rPr>
              <w:t>ի մեջ ընդգրկելու պարտավորություն՝</w:t>
            </w:r>
          </w:p>
        </w:tc>
      </w:tr>
      <w:tr w:rsidR="008C76E0" w:rsidRPr="00BD7577" w14:paraId="1F801C85" w14:textId="77777777" w:rsidTr="008C76E0">
        <w:trPr>
          <w:gridAfter w:val="1"/>
          <w:wAfter w:w="11" w:type="dxa"/>
          <w:jc w:val="center"/>
        </w:trPr>
        <w:tc>
          <w:tcPr>
            <w:tcW w:w="4762" w:type="dxa"/>
            <w:tcBorders>
              <w:left w:val="single" w:sz="4" w:space="0" w:color="auto"/>
              <w:bottom w:val="single" w:sz="4" w:space="0" w:color="auto"/>
            </w:tcBorders>
            <w:shd w:val="clear" w:color="auto" w:fill="FFFFFF"/>
          </w:tcPr>
          <w:p w14:paraId="669A51C2" w14:textId="77777777" w:rsidR="008C76E0" w:rsidRPr="00BD7577" w:rsidRDefault="008C76E0" w:rsidP="008C76E0">
            <w:pPr>
              <w:spacing w:after="120" w:line="240" w:lineRule="auto"/>
              <w:ind w:left="145" w:right="145"/>
              <w:jc w:val="both"/>
              <w:rPr>
                <w:rFonts w:ascii="Sylfaen" w:hAnsi="Sylfaen"/>
                <w:sz w:val="24"/>
                <w:szCs w:val="24"/>
              </w:rPr>
            </w:pPr>
          </w:p>
        </w:tc>
        <w:tc>
          <w:tcPr>
            <w:tcW w:w="4607" w:type="dxa"/>
            <w:tcBorders>
              <w:left w:val="single" w:sz="4" w:space="0" w:color="auto"/>
              <w:bottom w:val="single" w:sz="4" w:space="0" w:color="auto"/>
              <w:right w:val="single" w:sz="4" w:space="0" w:color="auto"/>
            </w:tcBorders>
            <w:shd w:val="clear" w:color="auto" w:fill="FFFFFF"/>
          </w:tcPr>
          <w:p w14:paraId="493F612F"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բացառությամբ արտակարգ իրավիճակներով պայմանավորված գրանցման դեպքերի</w:t>
            </w:r>
          </w:p>
        </w:tc>
      </w:tr>
    </w:tbl>
    <w:p w14:paraId="10D2E8FF" w14:textId="77777777" w:rsidR="008C76E0" w:rsidRPr="00BD7577" w:rsidRDefault="008C76E0" w:rsidP="008C76E0">
      <w:pPr>
        <w:ind w:right="-1" w:firstLine="567"/>
        <w:jc w:val="both"/>
        <w:rPr>
          <w:rFonts w:ascii="Sylfaen" w:eastAsia="Times New Roman" w:hAnsi="Sylfaen" w:cs="Times New Roman"/>
          <w:sz w:val="24"/>
          <w:szCs w:val="24"/>
        </w:rPr>
      </w:pPr>
    </w:p>
    <w:p w14:paraId="0641277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Մշակման հարցերը:</w:t>
      </w:r>
    </w:p>
    <w:p w14:paraId="0C94269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Նկարագրվում է նախակլինիկական հետազոտությունների մշակման ծրագիրը՝ առաջարկվող կիրառման ցուցումների </w:t>
      </w:r>
      <w:r w:rsidR="00C54D75">
        <w:rPr>
          <w:rFonts w:ascii="Sylfaen" w:hAnsi="Sylfaen"/>
          <w:sz w:val="24"/>
          <w:szCs w:val="24"/>
        </w:rPr>
        <w:t>և</w:t>
      </w:r>
      <w:r w:rsidRPr="004B393A">
        <w:rPr>
          <w:rFonts w:ascii="Sylfaen" w:hAnsi="Sylfaen"/>
          <w:sz w:val="24"/>
          <w:szCs w:val="24"/>
        </w:rPr>
        <w:t xml:space="preserve"> դոզավորման ռեժիմի տեսանկյունից (նշվում է երեխաների մոտ կիրառման մասով ցուցումների առկայությունը): Նշվում է՝ արդյոք անցկացված հետազոտությունների ծավալը համապատասխանում է Միության հանձնարարականներին </w:t>
      </w:r>
      <w:r w:rsidR="00C54D75">
        <w:rPr>
          <w:rFonts w:ascii="Sylfaen" w:hAnsi="Sylfaen"/>
          <w:sz w:val="24"/>
          <w:szCs w:val="24"/>
        </w:rPr>
        <w:t>և</w:t>
      </w:r>
      <w:r w:rsidRPr="004B393A">
        <w:rPr>
          <w:rFonts w:ascii="Sylfaen" w:hAnsi="Sylfaen"/>
          <w:sz w:val="24"/>
          <w:szCs w:val="24"/>
        </w:rPr>
        <w:t xml:space="preserve"> անդամ պետության օրենսդրությամբ սահմանված մեթոդական ձեռնարկներին ու պահանջներին:</w:t>
      </w:r>
    </w:p>
    <w:p w14:paraId="2A98922C" w14:textId="17F54504"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Նշվում է՝ արդյոք </w:t>
      </w:r>
      <w:r w:rsidR="0056496B">
        <w:rPr>
          <w:rFonts w:ascii="Sylfaen" w:hAnsi="Sylfaen"/>
          <w:sz w:val="24"/>
          <w:szCs w:val="24"/>
        </w:rPr>
        <w:t>դիմումատու</w:t>
      </w:r>
      <w:r w:rsidRPr="004B393A">
        <w:rPr>
          <w:rFonts w:ascii="Sylfaen" w:hAnsi="Sylfaen"/>
          <w:sz w:val="24"/>
          <w:szCs w:val="24"/>
        </w:rPr>
        <w:t xml:space="preserve">ն պահանջում է արագացված կարգով գնահատման անցկացում </w:t>
      </w:r>
      <w:r w:rsidR="00C54D75">
        <w:rPr>
          <w:rFonts w:ascii="Sylfaen" w:hAnsi="Sylfaen"/>
          <w:sz w:val="24"/>
          <w:szCs w:val="24"/>
        </w:rPr>
        <w:t>և</w:t>
      </w:r>
      <w:r w:rsidRPr="004B393A">
        <w:rPr>
          <w:rFonts w:ascii="Sylfaen" w:hAnsi="Sylfaen"/>
          <w:sz w:val="24"/>
          <w:szCs w:val="24"/>
        </w:rPr>
        <w:t xml:space="preserve"> փորձաքննության անհրաժեշտ չափանիշների կատարում:</w:t>
      </w:r>
    </w:p>
    <w:p w14:paraId="3A2C616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Կենսանմանության հետազոտության համար անհրաժեշտ է նկարագրել, հիմնավորել </w:t>
      </w:r>
      <w:r w:rsidR="00C54D75">
        <w:rPr>
          <w:rFonts w:ascii="Sylfaen" w:hAnsi="Sylfaen"/>
          <w:sz w:val="24"/>
          <w:szCs w:val="24"/>
        </w:rPr>
        <w:t>և</w:t>
      </w:r>
      <w:r w:rsidRPr="004B393A">
        <w:rPr>
          <w:rFonts w:ascii="Sylfaen" w:hAnsi="Sylfaen"/>
          <w:sz w:val="24"/>
          <w:szCs w:val="24"/>
        </w:rPr>
        <w:t xml:space="preserve"> գնահատել ընկերության կողմից ընտրված մշակման ռազմավարությունը՝ հաշվի առնելով համապատասխան մեթոդական ձեռնարկները: Կենսահամանման (կենսանման) դեղապատրաստուկների դեպքում հարկ է կիրառել Միության իրավունքի մաս կազմող համապատասխան ակտեր: Անհրաժեշտ է մանրակրկիտ համեմատական վերլուծություն անցկացնել, որպեսզի ցույց տրվի, որ Միությունում արդեն գրանցված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պատրաստուկներն ունեն նման պրոֆիլներ՝ որակի, անվտանգության </w:t>
      </w:r>
      <w:r w:rsidR="00C54D75">
        <w:rPr>
          <w:rFonts w:ascii="Sylfaen" w:hAnsi="Sylfaen"/>
          <w:sz w:val="24"/>
          <w:szCs w:val="24"/>
        </w:rPr>
        <w:t>և</w:t>
      </w:r>
      <w:r w:rsidRPr="004B393A">
        <w:rPr>
          <w:rFonts w:ascii="Sylfaen" w:hAnsi="Sylfaen"/>
          <w:sz w:val="24"/>
          <w:szCs w:val="24"/>
        </w:rPr>
        <w:t xml:space="preserve"> արդյունավետության մասով: Հաշվետվության՝ որակի գնահատմանը վերաբերող </w:t>
      </w:r>
      <w:r w:rsidRPr="004B393A">
        <w:rPr>
          <w:rFonts w:ascii="Sylfaen" w:hAnsi="Sylfaen"/>
          <w:sz w:val="24"/>
          <w:szCs w:val="24"/>
        </w:rPr>
        <w:lastRenderedPageBreak/>
        <w:t>մասում անհրաժեշտ է աղյուսակի տեսքով ներկայացնել ռեֆերենտ պատրաստուկի վերաբերյալ մանրամասն տեղեկատվություն (անվանումը, դեղաչափը, դեղաձ</w:t>
      </w:r>
      <w:r w:rsidR="00C54D75">
        <w:rPr>
          <w:rFonts w:ascii="Sylfaen" w:hAnsi="Sylfaen"/>
          <w:sz w:val="24"/>
          <w:szCs w:val="24"/>
        </w:rPr>
        <w:t>և</w:t>
      </w:r>
      <w:r w:rsidRPr="004B393A">
        <w:rPr>
          <w:rFonts w:ascii="Sylfaen" w:hAnsi="Sylfaen"/>
          <w:sz w:val="24"/>
          <w:szCs w:val="24"/>
        </w:rPr>
        <w:t>ը, գրանցման հավաստագրի իրավատերը, Միությունում գրանցման ամսաթիվը), ինչպես նա</w:t>
      </w:r>
      <w:r w:rsidR="00C54D75">
        <w:rPr>
          <w:rFonts w:ascii="Sylfaen" w:hAnsi="Sylfaen"/>
          <w:sz w:val="24"/>
          <w:szCs w:val="24"/>
        </w:rPr>
        <w:t>և</w:t>
      </w:r>
      <w:r w:rsidRPr="004B393A">
        <w:rPr>
          <w:rFonts w:ascii="Sylfaen" w:hAnsi="Sylfaen"/>
          <w:sz w:val="24"/>
          <w:szCs w:val="24"/>
        </w:rPr>
        <w:t xml:space="preserve"> ամբողջական տեղեկություններ՝ պատրաստուկի սերիաների վերաբերյալ (սերիաների համարները, արտադրության երկիրը), որոնք կիրառվել են որակի ցուցանիշների, նախակլինիկական </w:t>
      </w:r>
      <w:r w:rsidR="00C54D75">
        <w:rPr>
          <w:rFonts w:ascii="Sylfaen" w:hAnsi="Sylfaen"/>
          <w:sz w:val="24"/>
          <w:szCs w:val="24"/>
        </w:rPr>
        <w:t>և</w:t>
      </w:r>
      <w:r w:rsidRPr="004B393A">
        <w:rPr>
          <w:rFonts w:ascii="Sylfaen" w:hAnsi="Sylfaen"/>
          <w:sz w:val="24"/>
          <w:szCs w:val="24"/>
        </w:rPr>
        <w:t xml:space="preserve"> կլինիկական տվյալների համեմատության ժամանակ:</w:t>
      </w:r>
    </w:p>
    <w:p w14:paraId="53A06CF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Նշվում է, թե արդյոք դեղապատրաստուկների փորձաքննություն իրականացնող լիազորված մարմինների </w:t>
      </w:r>
      <w:r w:rsidR="00C54D75">
        <w:rPr>
          <w:rFonts w:ascii="Sylfaen" w:hAnsi="Sylfaen"/>
          <w:sz w:val="24"/>
          <w:szCs w:val="24"/>
        </w:rPr>
        <w:t>և</w:t>
      </w:r>
      <w:r w:rsidRPr="004B393A">
        <w:rPr>
          <w:rFonts w:ascii="Sylfaen" w:hAnsi="Sylfaen"/>
          <w:sz w:val="24"/>
          <w:szCs w:val="24"/>
        </w:rPr>
        <w:t xml:space="preserve"> կազմակերպությունների հետ համաձայնեցվել է պատրաստուկի հետազոտության պլանը երեխաների մոտ (հետաձգմամբ </w:t>
      </w:r>
      <w:r w:rsidR="00C54D75">
        <w:rPr>
          <w:rFonts w:ascii="Sylfaen" w:hAnsi="Sylfaen"/>
          <w:sz w:val="24"/>
          <w:szCs w:val="24"/>
        </w:rPr>
        <w:t>և</w:t>
      </w:r>
      <w:r w:rsidRPr="004B393A">
        <w:rPr>
          <w:rFonts w:ascii="Sylfaen" w:hAnsi="Sylfaen"/>
          <w:sz w:val="24"/>
          <w:szCs w:val="24"/>
        </w:rPr>
        <w:t xml:space="preserve"> առանց դրա) կամ այդպիսի պլանից հրաժարվելը կոնկրետ պատրաստուկի համար (կամ այդ հրաժարումը տարածվում է դեղապատրաստուկների ամբողջ դասի վրա): Համառոտ նկարագրվում են երեխաների մոտ պատրաստուկի հետազոտության պլանին ներկայացվող պայմաններն ու հիմնական պահանջները՝ նախակլինիկական ասպեկտների մասով (ըստ հնարավորության), </w:t>
      </w:r>
      <w:r w:rsidR="00C54D75">
        <w:rPr>
          <w:rFonts w:ascii="Sylfaen" w:hAnsi="Sylfaen"/>
          <w:sz w:val="24"/>
          <w:szCs w:val="24"/>
        </w:rPr>
        <w:t>և</w:t>
      </w:r>
      <w:r w:rsidRPr="004B393A">
        <w:rPr>
          <w:rFonts w:ascii="Sylfaen" w:hAnsi="Sylfaen"/>
          <w:sz w:val="24"/>
          <w:szCs w:val="24"/>
        </w:rPr>
        <w:t xml:space="preserve"> ներկայացվում է նախակլինիկական հետազոտությունների ընթացիկ կարգավիճակի վերաբերյալ համապատասխան տեղեկատվություն (ավարտված հետազոտություններ, շարունակվող հետազոտություններ </w:t>
      </w:r>
      <w:r w:rsidR="00C54D75">
        <w:rPr>
          <w:rFonts w:ascii="Sylfaen" w:hAnsi="Sylfaen"/>
          <w:sz w:val="24"/>
          <w:szCs w:val="24"/>
        </w:rPr>
        <w:t>և</w:t>
      </w:r>
      <w:r w:rsidRPr="004B393A">
        <w:rPr>
          <w:rFonts w:ascii="Sylfaen" w:hAnsi="Sylfaen"/>
          <w:sz w:val="24"/>
          <w:szCs w:val="24"/>
        </w:rPr>
        <w:t xml:space="preserve"> այլն):</w:t>
      </w:r>
    </w:p>
    <w:p w14:paraId="4C818923" w14:textId="6A463453" w:rsidR="008C76E0" w:rsidRPr="004B393A" w:rsidRDefault="008C76E0" w:rsidP="004B393A">
      <w:pPr>
        <w:spacing w:after="160" w:line="336" w:lineRule="auto"/>
        <w:ind w:right="-1" w:firstLine="567"/>
        <w:jc w:val="both"/>
        <w:rPr>
          <w:rFonts w:ascii="Sylfaen" w:hAnsi="Sylfaen"/>
          <w:sz w:val="24"/>
          <w:szCs w:val="24"/>
        </w:rPr>
      </w:pPr>
      <w:r w:rsidRPr="004B393A">
        <w:rPr>
          <w:rFonts w:ascii="Sylfaen" w:hAnsi="Sylfaen"/>
          <w:sz w:val="24"/>
          <w:szCs w:val="24"/>
        </w:rPr>
        <w:t xml:space="preserve">Նշվում է, թե արդյոք </w:t>
      </w:r>
      <w:r w:rsidR="0056496B">
        <w:rPr>
          <w:rFonts w:ascii="Sylfaen" w:hAnsi="Sylfaen"/>
          <w:sz w:val="24"/>
          <w:szCs w:val="24"/>
        </w:rPr>
        <w:t>դիմումատու</w:t>
      </w:r>
      <w:r w:rsidRPr="004B393A">
        <w:rPr>
          <w:rFonts w:ascii="Sylfaen" w:hAnsi="Sylfaen"/>
          <w:sz w:val="24"/>
          <w:szCs w:val="24"/>
        </w:rPr>
        <w:t>ն ստացել է գիտական խորհրդատվություն կամ աջակցություն արձանագրությունը կազմելիս (եթե այո, ապա երբ), նշվում են նա</w:t>
      </w:r>
      <w:r w:rsidR="00C54D75">
        <w:rPr>
          <w:rFonts w:ascii="Sylfaen" w:hAnsi="Sylfaen"/>
          <w:sz w:val="24"/>
          <w:szCs w:val="24"/>
        </w:rPr>
        <w:t>և</w:t>
      </w:r>
      <w:r w:rsidRPr="004B393A">
        <w:rPr>
          <w:rFonts w:ascii="Sylfaen" w:hAnsi="Sylfaen"/>
          <w:sz w:val="24"/>
          <w:szCs w:val="24"/>
        </w:rPr>
        <w:t xml:space="preserve"> խնդրահարույց հարցերը՝ նկարագրելով, թե արդյոք </w:t>
      </w:r>
      <w:r w:rsidR="0056496B">
        <w:rPr>
          <w:rFonts w:ascii="Sylfaen" w:hAnsi="Sylfaen"/>
          <w:sz w:val="24"/>
          <w:szCs w:val="24"/>
        </w:rPr>
        <w:t>դիմումատու</w:t>
      </w:r>
      <w:r w:rsidRPr="004B393A">
        <w:rPr>
          <w:rFonts w:ascii="Sylfaen" w:hAnsi="Sylfaen"/>
          <w:sz w:val="24"/>
          <w:szCs w:val="24"/>
        </w:rPr>
        <w:t>ն օգտվել է ստացված հանձնարարականներից:</w:t>
      </w:r>
    </w:p>
    <w:p w14:paraId="2076E726" w14:textId="0E671B7C" w:rsidR="008C76E0" w:rsidRPr="004B393A" w:rsidRDefault="008C76E0" w:rsidP="004B393A">
      <w:pPr>
        <w:spacing w:after="160" w:line="336" w:lineRule="auto"/>
        <w:ind w:firstLine="567"/>
        <w:jc w:val="both"/>
        <w:rPr>
          <w:rFonts w:ascii="Sylfaen" w:hAnsi="Sylfaen"/>
          <w:sz w:val="24"/>
          <w:szCs w:val="24"/>
        </w:rPr>
      </w:pPr>
      <w:r w:rsidRPr="004B393A">
        <w:rPr>
          <w:rFonts w:ascii="Sylfaen" w:hAnsi="Sylfaen"/>
          <w:sz w:val="24"/>
          <w:szCs w:val="24"/>
        </w:rPr>
        <w:t xml:space="preserve">Նշվում է, թե արդյոք դեղապատրաստուկին շնորհվել է հազվադեպ հանդիպող (որբ) պատրաստուկի կարգավիճակ (եթե այո, ապա երբ): Անհրաժեշտության դեպքում </w:t>
      </w:r>
      <w:r w:rsidR="000F179C">
        <w:rPr>
          <w:rFonts w:ascii="Sylfaen" w:hAnsi="Sylfaen"/>
          <w:sz w:val="24"/>
          <w:szCs w:val="24"/>
        </w:rPr>
        <w:t>հայտարարությ</w:t>
      </w:r>
      <w:r w:rsidRPr="004B393A">
        <w:rPr>
          <w:rFonts w:ascii="Sylfaen" w:hAnsi="Sylfaen"/>
          <w:sz w:val="24"/>
          <w:szCs w:val="24"/>
        </w:rPr>
        <w:t>ուն է արվում ազդեցության նման մեխանիզմ ունեցող պատրաստուկների նկատմամբ սույն որոշման մասին:</w:t>
      </w:r>
    </w:p>
    <w:p w14:paraId="0C8E51B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Եթե հետազոտությունների համար մասամբ կիրառվել են շուկայում վաճառքի համար չնախատեսված պատրաստուկի սերիաներ, ապա այդ դեպքում </w:t>
      </w:r>
      <w:r w:rsidRPr="004B393A">
        <w:rPr>
          <w:rFonts w:ascii="Sylfaen" w:hAnsi="Sylfaen"/>
          <w:sz w:val="24"/>
          <w:szCs w:val="24"/>
        </w:rPr>
        <w:lastRenderedPageBreak/>
        <w:t>անհրաժեշտ է նոր խառնուկների (առկայության դեպքում) որակավորման գնահատում անցկացնել:</w:t>
      </w:r>
    </w:p>
    <w:p w14:paraId="4AE1495F"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1.2.</w:t>
      </w:r>
      <w:r w:rsidRPr="004B393A">
        <w:rPr>
          <w:rFonts w:ascii="Sylfaen" w:hAnsi="Sylfaen"/>
          <w:sz w:val="24"/>
          <w:szCs w:val="24"/>
        </w:rPr>
        <w:tab/>
        <w:t>Պատշաճ լաբորատոր գործունեության ասպեկտները:</w:t>
      </w:r>
    </w:p>
    <w:p w14:paraId="3FC89954" w14:textId="0704A65C"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ինչպես նա</w:t>
      </w:r>
      <w:r w:rsidR="00C54D75">
        <w:rPr>
          <w:rFonts w:ascii="Sylfaen" w:hAnsi="Sylfaen"/>
          <w:sz w:val="24"/>
          <w:szCs w:val="24"/>
        </w:rPr>
        <w:t>և</w:t>
      </w:r>
      <w:r w:rsidRPr="004B393A">
        <w:rPr>
          <w:rFonts w:ascii="Sylfaen" w:hAnsi="Sylfaen"/>
          <w:sz w:val="24"/>
          <w:szCs w:val="24"/>
        </w:rPr>
        <w:t xml:space="preserve"> «Անվտանգության, որակի, արդյունավետության գնահատում» ամփոփ փորձագիտական հաշվետվության մեջ պետք է նշված լինի Եվրասիական տնտեսական հանձնաժողովի կողմից հաստատվող՝ Եվրասիական տնտեսական միության պատշաճ լաբորատոր գործունեության կանոնների պահանջներին (այսուհետ՝ պատշաճ լաբորատոր գործունեության կանոններ) համապատասխանության մասին </w:t>
      </w:r>
      <w:r w:rsidR="0085119E">
        <w:rPr>
          <w:rFonts w:ascii="Sylfaen" w:hAnsi="Sylfaen"/>
          <w:sz w:val="24"/>
          <w:szCs w:val="24"/>
        </w:rPr>
        <w:t>հայտարարագր</w:t>
      </w:r>
      <w:r w:rsidRPr="004B393A">
        <w:rPr>
          <w:rFonts w:ascii="Sylfaen" w:hAnsi="Sylfaen"/>
          <w:sz w:val="24"/>
          <w:szCs w:val="24"/>
        </w:rPr>
        <w:t>ի առկայությունը:</w:t>
      </w:r>
    </w:p>
    <w:p w14:paraId="0DAF00DD" w14:textId="1EB20070"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բաժինը, մասնավորապես, նվիրված է հետ</w:t>
      </w:r>
      <w:r w:rsidR="00C54D75">
        <w:rPr>
          <w:rFonts w:ascii="Sylfaen" w:hAnsi="Sylfaen"/>
          <w:sz w:val="24"/>
          <w:szCs w:val="24"/>
        </w:rPr>
        <w:t>և</w:t>
      </w:r>
      <w:r w:rsidRPr="004B393A">
        <w:rPr>
          <w:rFonts w:ascii="Sylfaen" w:hAnsi="Sylfaen"/>
          <w:sz w:val="24"/>
          <w:szCs w:val="24"/>
        </w:rPr>
        <w:t xml:space="preserve">յալի նկարագրությանը՝ պատշաճ լաբորատոր գործունեության կանոններին համապատասխանության հետ կապված ցանկացած խնդիր, որն ի </w:t>
      </w:r>
      <w:r w:rsidR="00F350A1">
        <w:rPr>
          <w:rFonts w:ascii="Sylfaen" w:hAnsi="Sylfaen"/>
          <w:sz w:val="24"/>
          <w:szCs w:val="24"/>
        </w:rPr>
        <w:t>հայտ</w:t>
      </w:r>
      <w:r w:rsidRPr="004B393A">
        <w:rPr>
          <w:rFonts w:ascii="Sylfaen" w:hAnsi="Sylfaen"/>
          <w:sz w:val="24"/>
          <w:szCs w:val="24"/>
        </w:rPr>
        <w:t xml:space="preserve"> է եկել ներկայացված հաշվետվությունների գնահատման ընթացքում (տվյալների ճշտություն կամ արձանագրության պահանջներին համապատասխանություն).</w:t>
      </w:r>
    </w:p>
    <w:p w14:paraId="0DC0CD7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պատշաճ լաբորատոր գործունեության նորմերի պահպանումը վերահսկելու համար տեսչական ստուգում անցկացնելու անհրաժեշտության վերաբերյալ հարցի դիտարկում.</w:t>
      </w:r>
    </w:p>
    <w:p w14:paraId="38981EE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պատշաճ լաբորատոր գործունեության կանոնների պահանջներին համապատասխանության մասով տեսչական ստուգում անցկացնելու վերաբերյալ հարցման համար անհրաժեշտ է՝</w:t>
      </w:r>
    </w:p>
    <w:p w14:paraId="3EE5A23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դիմել անդամ պետության դեղագործական տեսչությանը. տեսչության հետ միասին որոշել տեսչական ստուգման անցկացման հետ առնչություն ունեցող հետազոտությունները, օբյեկտներն ու մասնահատուկ հարցերը կամ խնդիրները,</w:t>
      </w:r>
    </w:p>
    <w:p w14:paraId="0A8CD0D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նախապատրաստել տեսչական ստուգման վերաբերյալ պաշտոնական հարցում, որը ներկայացվում է տեսուչների քննարկմանը </w:t>
      </w:r>
      <w:r w:rsidR="00C54D75">
        <w:rPr>
          <w:rFonts w:ascii="Sylfaen" w:hAnsi="Sylfaen"/>
          <w:sz w:val="24"/>
          <w:szCs w:val="24"/>
        </w:rPr>
        <w:t>և</w:t>
      </w:r>
      <w:r w:rsidRPr="004B393A">
        <w:rPr>
          <w:rFonts w:ascii="Sylfaen" w:hAnsi="Sylfaen"/>
          <w:sz w:val="24"/>
          <w:szCs w:val="24"/>
        </w:rPr>
        <w:t xml:space="preserve"> հետագա համաձայնեցմանն անդամ պետությունների լիազորված փորձագիտական կազմակերպությունների հետ, որից հետո հարցումը հաստատվում է այդ </w:t>
      </w:r>
      <w:r w:rsidRPr="004B393A">
        <w:rPr>
          <w:rFonts w:ascii="Sylfaen" w:hAnsi="Sylfaen"/>
          <w:sz w:val="24"/>
          <w:szCs w:val="24"/>
        </w:rPr>
        <w:lastRenderedPageBreak/>
        <w:t xml:space="preserve">պետությունների լիազորված մարմինների կողմից </w:t>
      </w:r>
      <w:r w:rsidR="00C54D75">
        <w:rPr>
          <w:rFonts w:ascii="Sylfaen" w:hAnsi="Sylfaen"/>
          <w:sz w:val="24"/>
          <w:szCs w:val="24"/>
        </w:rPr>
        <w:t>և</w:t>
      </w:r>
      <w:r w:rsidRPr="004B393A">
        <w:rPr>
          <w:rFonts w:ascii="Sylfaen" w:hAnsi="Sylfaen"/>
          <w:sz w:val="24"/>
          <w:szCs w:val="24"/>
        </w:rPr>
        <w:t xml:space="preserve"> ներառվում է տեսչական ստուգումների պլանի մեջ (գրանցման գործընթացի ընդհանուր ժամկետի 90-րդ կամ 120-րդ օրացուցային օրը):</w:t>
      </w:r>
    </w:p>
    <w:p w14:paraId="57350FD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w:t>
      </w:r>
      <w:r w:rsidRPr="004B393A">
        <w:rPr>
          <w:rFonts w:ascii="Sylfaen" w:hAnsi="Sylfaen"/>
          <w:sz w:val="24"/>
          <w:szCs w:val="24"/>
        </w:rPr>
        <w:tab/>
        <w:t xml:space="preserve">Դեղաբանություն (2.6.2 </w:t>
      </w:r>
      <w:r w:rsidR="00C54D75">
        <w:rPr>
          <w:rFonts w:ascii="Sylfaen" w:hAnsi="Sylfaen"/>
          <w:sz w:val="24"/>
          <w:szCs w:val="24"/>
        </w:rPr>
        <w:t>և</w:t>
      </w:r>
      <w:r w:rsidRPr="004B393A">
        <w:rPr>
          <w:rFonts w:ascii="Sylfaen" w:hAnsi="Sylfaen"/>
          <w:sz w:val="24"/>
          <w:szCs w:val="24"/>
        </w:rPr>
        <w:t xml:space="preserve"> 4.2.1 մոդուլներ):</w:t>
      </w:r>
    </w:p>
    <w:p w14:paraId="29AE74D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Համառոտ նկարագրությունը</w:t>
      </w:r>
    </w:p>
    <w:p w14:paraId="24C62B7D" w14:textId="77777777" w:rsidR="008C76E0" w:rsidRPr="004B393A" w:rsidRDefault="008C76E0" w:rsidP="005A45A7">
      <w:pPr>
        <w:spacing w:after="160" w:line="384" w:lineRule="auto"/>
        <w:ind w:right="-1" w:firstLine="567"/>
        <w:jc w:val="both"/>
        <w:rPr>
          <w:rFonts w:ascii="Sylfaen" w:hAnsi="Sylfaen"/>
          <w:sz w:val="24"/>
          <w:szCs w:val="24"/>
        </w:rPr>
      </w:pPr>
      <w:r w:rsidRPr="004B393A">
        <w:rPr>
          <w:rFonts w:ascii="Sylfaen" w:hAnsi="Sylfaen"/>
          <w:sz w:val="24"/>
          <w:szCs w:val="24"/>
        </w:rPr>
        <w:t>Սույն բաժնում անհրաժեշտ է նկարագրել ազդող նյութը, դեղապատրաստուկի ներգործության մեխանիզմն ու մշակման հակիրճ հիմնավորումը՝ կիրառման համար առաջարկվող ցուցումներին համապատասխան:</w:t>
      </w:r>
    </w:p>
    <w:p w14:paraId="617F0EC9" w14:textId="77777777" w:rsidR="008C76E0" w:rsidRPr="004B393A" w:rsidRDefault="008C76E0" w:rsidP="005A45A7">
      <w:pPr>
        <w:spacing w:after="160" w:line="384" w:lineRule="auto"/>
        <w:ind w:firstLine="567"/>
        <w:jc w:val="both"/>
        <w:rPr>
          <w:rFonts w:ascii="Sylfaen" w:hAnsi="Sylfaen"/>
          <w:sz w:val="24"/>
          <w:szCs w:val="24"/>
        </w:rPr>
      </w:pPr>
      <w:r w:rsidRPr="004B393A">
        <w:rPr>
          <w:rFonts w:ascii="Sylfaen" w:hAnsi="Sylfaen"/>
          <w:sz w:val="24"/>
          <w:szCs w:val="24"/>
        </w:rPr>
        <w:t>Կենսահամանման (կենսանման) դեղապատրաստուկների համար սույն բաժնում անհրաժեշտ է արտացոլել հետազոտությունների համեմատական բնույթն ու նախակլինիկական մշակման ծրագրի հիմնավորումը: Բաժնի վերջում՝ «քննարկում» կետում, կարելի է վերլուծել հետազոտությունների արդյունքները:</w:t>
      </w:r>
    </w:p>
    <w:p w14:paraId="62670D9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Ֆիզիկաքիմիական հատկությունները</w:t>
      </w:r>
    </w:p>
    <w:p w14:paraId="268101CB" w14:textId="77777777" w:rsidR="008C76E0" w:rsidRPr="004B393A" w:rsidRDefault="008C76E0" w:rsidP="005A45A7">
      <w:pPr>
        <w:spacing w:after="160" w:line="384" w:lineRule="auto"/>
        <w:ind w:firstLine="567"/>
        <w:jc w:val="both"/>
        <w:rPr>
          <w:rFonts w:ascii="Sylfaen" w:hAnsi="Sylfaen"/>
          <w:sz w:val="24"/>
          <w:szCs w:val="24"/>
        </w:rPr>
      </w:pPr>
      <w:r w:rsidRPr="004B393A">
        <w:rPr>
          <w:rFonts w:ascii="Sylfaen" w:hAnsi="Sylfaen"/>
          <w:sz w:val="24"/>
          <w:szCs w:val="24"/>
        </w:rPr>
        <w:t>Աղյուսակի առաջարկվող ձ</w:t>
      </w:r>
      <w:r w:rsidR="00C54D75">
        <w:rPr>
          <w:rFonts w:ascii="Sylfaen" w:hAnsi="Sylfaen"/>
          <w:sz w:val="24"/>
          <w:szCs w:val="24"/>
        </w:rPr>
        <w:t>և</w:t>
      </w:r>
      <w:r w:rsidRPr="004B393A">
        <w:rPr>
          <w:rFonts w:ascii="Sylfaen" w:hAnsi="Sylfaen"/>
          <w:sz w:val="24"/>
          <w:szCs w:val="24"/>
        </w:rPr>
        <w:t xml:space="preserve">ը հարկ է լրացնել Գրանցման կանոնների թիվ 8 հավելվածին համապատասխան: Աղյուսակի առանձին դաշտերը լրացնելու անհնարինության դեպքում հարկ է այդ մասին նշում կատարել </w:t>
      </w:r>
      <w:r w:rsidR="00C54D75">
        <w:rPr>
          <w:rFonts w:ascii="Sylfaen" w:hAnsi="Sylfaen"/>
          <w:sz w:val="24"/>
          <w:szCs w:val="24"/>
        </w:rPr>
        <w:t>և</w:t>
      </w:r>
      <w:r w:rsidRPr="004B393A">
        <w:rPr>
          <w:rFonts w:ascii="Sylfaen" w:hAnsi="Sylfaen"/>
          <w:sz w:val="24"/>
          <w:szCs w:val="24"/>
        </w:rPr>
        <w:t xml:space="preserve"> գնահատել բացակայող տեղեկատվության կրիտիկականությունը:</w:t>
      </w:r>
    </w:p>
    <w:p w14:paraId="3E2E9B78" w14:textId="77777777" w:rsidR="008C76E0" w:rsidRPr="004B393A" w:rsidRDefault="008C76E0" w:rsidP="005A45A7">
      <w:pPr>
        <w:tabs>
          <w:tab w:val="left" w:pos="1134"/>
        </w:tabs>
        <w:spacing w:after="160" w:line="384" w:lineRule="auto"/>
        <w:ind w:right="-1" w:firstLine="567"/>
        <w:jc w:val="both"/>
        <w:rPr>
          <w:rFonts w:ascii="Sylfaen" w:hAnsi="Sylfaen"/>
          <w:sz w:val="24"/>
          <w:szCs w:val="24"/>
        </w:rPr>
      </w:pPr>
      <w:r w:rsidRPr="004B393A">
        <w:rPr>
          <w:rFonts w:ascii="Sylfaen" w:hAnsi="Sylfaen"/>
          <w:sz w:val="24"/>
          <w:szCs w:val="24"/>
        </w:rPr>
        <w:t>2.1.</w:t>
      </w:r>
      <w:r w:rsidRPr="004B393A">
        <w:rPr>
          <w:rFonts w:ascii="Sylfaen" w:hAnsi="Sylfaen"/>
          <w:sz w:val="24"/>
          <w:szCs w:val="24"/>
        </w:rPr>
        <w:tab/>
        <w:t>Առաջնային դեղադինամիկան:</w:t>
      </w:r>
    </w:p>
    <w:p w14:paraId="1D0F1274" w14:textId="77777777" w:rsidR="008C76E0" w:rsidRPr="004B393A" w:rsidRDefault="008C76E0" w:rsidP="005A45A7">
      <w:pPr>
        <w:tabs>
          <w:tab w:val="left" w:pos="1134"/>
        </w:tabs>
        <w:spacing w:after="160" w:line="384" w:lineRule="auto"/>
        <w:ind w:firstLine="567"/>
        <w:jc w:val="both"/>
        <w:rPr>
          <w:rFonts w:ascii="Sylfaen" w:hAnsi="Sylfaen"/>
          <w:sz w:val="24"/>
          <w:szCs w:val="24"/>
        </w:rPr>
      </w:pPr>
      <w:r w:rsidRPr="004B393A">
        <w:rPr>
          <w:rFonts w:ascii="Sylfaen" w:hAnsi="Sylfaen"/>
          <w:sz w:val="24"/>
          <w:szCs w:val="24"/>
        </w:rPr>
        <w:t>Սույն բաժնում նկարագրվում են ազդող նյութի գնահատման մասով դեղադինամիկ հետազոտությունները՝ կապված հիմնական (նպատակային) հիվանդության հետ՝ ելնելով կիրառման ենթադրվող ցուցումներից, ներառյալ՝ հետ</w:t>
      </w:r>
      <w:r w:rsidR="00C54D75">
        <w:rPr>
          <w:rFonts w:ascii="Sylfaen" w:hAnsi="Sylfaen"/>
          <w:sz w:val="24"/>
          <w:szCs w:val="24"/>
        </w:rPr>
        <w:t>և</w:t>
      </w:r>
      <w:r w:rsidRPr="004B393A">
        <w:rPr>
          <w:rFonts w:ascii="Sylfaen" w:hAnsi="Sylfaen"/>
          <w:sz w:val="24"/>
          <w:szCs w:val="24"/>
        </w:rPr>
        <w:t>յալ հարցերը՝</w:t>
      </w:r>
    </w:p>
    <w:p w14:paraId="6643A70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հայեցակարգի (in vitro </w:t>
      </w:r>
      <w:r w:rsidR="00C54D75">
        <w:rPr>
          <w:rFonts w:ascii="Sylfaen" w:hAnsi="Sylfaen"/>
          <w:sz w:val="24"/>
          <w:szCs w:val="24"/>
        </w:rPr>
        <w:t>և</w:t>
      </w:r>
      <w:r w:rsidRPr="004B393A">
        <w:rPr>
          <w:rFonts w:ascii="Sylfaen" w:hAnsi="Sylfaen"/>
          <w:sz w:val="24"/>
          <w:szCs w:val="24"/>
        </w:rPr>
        <w:t xml:space="preserve"> in vivo) հաստատումն ու գործողության մեխանիզմը. կիրառման համար առաջարկվող ցուցումներին համապատասխանող </w:t>
      </w:r>
      <w:r w:rsidR="00C54D75">
        <w:rPr>
          <w:rFonts w:ascii="Sylfaen" w:hAnsi="Sylfaen"/>
          <w:sz w:val="24"/>
          <w:szCs w:val="24"/>
        </w:rPr>
        <w:t>և</w:t>
      </w:r>
      <w:r w:rsidRPr="004B393A">
        <w:rPr>
          <w:rFonts w:ascii="Sylfaen" w:hAnsi="Sylfaen"/>
          <w:sz w:val="24"/>
          <w:szCs w:val="24"/>
        </w:rPr>
        <w:t xml:space="preserve"> միջտեսակային վերլուծության համար պիտանի կենդանական մոդելների </w:t>
      </w:r>
      <w:r w:rsidRPr="004B393A">
        <w:rPr>
          <w:rFonts w:ascii="Sylfaen" w:hAnsi="Sylfaen"/>
          <w:sz w:val="24"/>
          <w:szCs w:val="24"/>
        </w:rPr>
        <w:lastRenderedPageBreak/>
        <w:t>առկայությունը.</w:t>
      </w:r>
    </w:p>
    <w:p w14:paraId="4C6BD54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ակտիվությունը (օրինակ՝ ED</w:t>
      </w:r>
      <w:r w:rsidRPr="004B393A">
        <w:rPr>
          <w:rFonts w:ascii="Sylfaen" w:hAnsi="Sylfaen"/>
          <w:sz w:val="24"/>
          <w:szCs w:val="24"/>
          <w:vertAlign w:val="subscript"/>
        </w:rPr>
        <w:t>50</w:t>
      </w:r>
      <w:r w:rsidRPr="004B393A">
        <w:rPr>
          <w:rFonts w:ascii="Sylfaen" w:hAnsi="Sylfaen"/>
          <w:sz w:val="24"/>
          <w:szCs w:val="24"/>
        </w:rPr>
        <w:t>), ներառյալ՝ թունաբանական հետազոտություններում օգտագործվող կենդանիների տեսակները.</w:t>
      </w:r>
    </w:p>
    <w:p w14:paraId="5FE1791A"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նախնական դեղակինետիկ պարամետրերը (խտությունը պլազմայում) կենդանիների մասով (տվյալների առկայության դեպքում).</w:t>
      </w:r>
    </w:p>
    <w:p w14:paraId="67EFCDC2"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էֆեկտների տ</w:t>
      </w:r>
      <w:r w:rsidR="00C54D75">
        <w:rPr>
          <w:rFonts w:ascii="Sylfaen" w:hAnsi="Sylfaen"/>
          <w:sz w:val="24"/>
          <w:szCs w:val="24"/>
        </w:rPr>
        <w:t>և</w:t>
      </w:r>
      <w:r w:rsidRPr="004B393A">
        <w:rPr>
          <w:rFonts w:ascii="Sylfaen" w:hAnsi="Sylfaen"/>
          <w:sz w:val="24"/>
          <w:szCs w:val="24"/>
        </w:rPr>
        <w:t>ողությունը (դարձելիությունը), դիմադրողականության պրոֆիլները (հակաբորբոքային պատրաստուկներ).</w:t>
      </w:r>
    </w:p>
    <w:p w14:paraId="75B57A3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դեղաբանորեն ակտիվ մետաբոլիտները (հարաբերական ներդրումը դեղադինամիկայում).</w:t>
      </w:r>
    </w:p>
    <w:p w14:paraId="4E1EA20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իմունաբանական հատկությունները, ներառյալ՝ հակածնային սպեցիֆիկությունը՝ մոնոկլոնալ հակամարմինների համար:</w:t>
      </w:r>
    </w:p>
    <w:p w14:paraId="083A4E0C"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Հակամանրէային պատրաստուկների համար անհրաժեշտ է ներկայացնել ազդեցության մեխանիզմի, in vitro պայմաններում ակտիվության սպեկտրի նկարագրությունը, ներառյալ՝ «վայրի» շտամների բաշխումն ըստ նվազագույն ընկճող չափաբաժինների (մանրէների աճն ընկճող հակաբիոտիկի նվազագույն չափաբաժինը in vitro պայմաններում) արժեքների (տվյալների առկայության դեպքում), հետհակաբիոտիկային էֆեկտների </w:t>
      </w:r>
      <w:r w:rsidR="00C54D75">
        <w:rPr>
          <w:rFonts w:ascii="Sylfaen" w:hAnsi="Sylfaen"/>
          <w:sz w:val="24"/>
          <w:szCs w:val="24"/>
        </w:rPr>
        <w:t>և</w:t>
      </w:r>
      <w:r w:rsidRPr="004B393A">
        <w:rPr>
          <w:rFonts w:ascii="Sylfaen" w:hAnsi="Sylfaen"/>
          <w:sz w:val="24"/>
          <w:szCs w:val="24"/>
        </w:rPr>
        <w:t xml:space="preserve"> դիմադրողականության մեխանիզմի: Որպես օրինակ հարկ է ներկայացնել կենդանիների վրա մանրէների in vivo պայմաններում արդյունավետության վերաբերյալ տվյալները՝ դրանց տարբեր տեսակների առնչությամբ:</w:t>
      </w:r>
    </w:p>
    <w:p w14:paraId="3FD0C6A0"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բաժնում (ինչպես </w:t>
      </w:r>
      <w:r w:rsidR="00C54D75">
        <w:rPr>
          <w:rFonts w:ascii="Sylfaen" w:hAnsi="Sylfaen"/>
          <w:sz w:val="24"/>
          <w:szCs w:val="24"/>
        </w:rPr>
        <w:t>և</w:t>
      </w:r>
      <w:r w:rsidRPr="004B393A">
        <w:rPr>
          <w:rFonts w:ascii="Sylfaen" w:hAnsi="Sylfaen"/>
          <w:sz w:val="24"/>
          <w:szCs w:val="24"/>
        </w:rPr>
        <w:t xml:space="preserve"> </w:t>
      </w:r>
      <w:r w:rsidRPr="004B393A">
        <w:rPr>
          <w:rFonts w:ascii="Sylfaen" w:hAnsi="Sylfaen"/>
          <w:spacing w:val="-4"/>
          <w:sz w:val="24"/>
          <w:szCs w:val="24"/>
        </w:rPr>
        <w:t xml:space="preserve">դեղակինետիկային նվիրված բաժնում) կարելի է նկարագրել կենդանիների մասով որոշված դեղակինետիկ </w:t>
      </w:r>
      <w:r w:rsidR="00C54D75">
        <w:rPr>
          <w:rFonts w:ascii="Sylfaen" w:hAnsi="Sylfaen"/>
          <w:spacing w:val="-4"/>
          <w:sz w:val="24"/>
          <w:szCs w:val="24"/>
        </w:rPr>
        <w:t>և</w:t>
      </w:r>
      <w:r w:rsidRPr="004B393A">
        <w:rPr>
          <w:rFonts w:ascii="Sylfaen" w:hAnsi="Sylfaen"/>
          <w:spacing w:val="-4"/>
          <w:sz w:val="24"/>
          <w:szCs w:val="24"/>
        </w:rPr>
        <w:t xml:space="preserve"> դեղադինամիկ պարամետրերի միջ</w:t>
      </w:r>
      <w:r w:rsidR="00C54D75">
        <w:rPr>
          <w:rFonts w:ascii="Sylfaen" w:hAnsi="Sylfaen"/>
          <w:spacing w:val="-4"/>
          <w:sz w:val="24"/>
          <w:szCs w:val="24"/>
        </w:rPr>
        <w:t>և</w:t>
      </w:r>
      <w:r w:rsidRPr="004B393A">
        <w:rPr>
          <w:rFonts w:ascii="Sylfaen" w:hAnsi="Sylfaen"/>
          <w:spacing w:val="-4"/>
          <w:sz w:val="24"/>
          <w:szCs w:val="24"/>
        </w:rPr>
        <w:t xml:space="preserve"> փոխադարձ կապը: Կլինիկական տվյալներին նվիրված բաժնում պետք է ներկայացվեն այդ տեղեկություններին</w:t>
      </w:r>
      <w:r w:rsidRPr="004B393A">
        <w:rPr>
          <w:rFonts w:ascii="Sylfaen" w:hAnsi="Sylfaen"/>
          <w:sz w:val="24"/>
          <w:szCs w:val="24"/>
        </w:rPr>
        <w:t xml:space="preserve"> արված խաչաձ</w:t>
      </w:r>
      <w:r w:rsidR="00C54D75">
        <w:rPr>
          <w:rFonts w:ascii="Sylfaen" w:hAnsi="Sylfaen"/>
          <w:sz w:val="24"/>
          <w:szCs w:val="24"/>
        </w:rPr>
        <w:t>և</w:t>
      </w:r>
      <w:r w:rsidRPr="004B393A">
        <w:rPr>
          <w:rFonts w:ascii="Sylfaen" w:hAnsi="Sylfaen"/>
          <w:sz w:val="24"/>
          <w:szCs w:val="24"/>
        </w:rPr>
        <w:t xml:space="preserve"> հղումներ:</w:t>
      </w:r>
    </w:p>
    <w:p w14:paraId="4760BEAB"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Կենսահամանման (կենսանման) դեղապատրաստուկների համար՝</w:t>
      </w:r>
    </w:p>
    <w:p w14:paraId="657F781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Ընկալիչների հետ կապման ուսումնասիրման թեստերի կամ այնպիսի </w:t>
      </w:r>
      <w:r w:rsidRPr="004B393A">
        <w:rPr>
          <w:rFonts w:ascii="Sylfaen" w:hAnsi="Sylfaen"/>
          <w:sz w:val="24"/>
          <w:szCs w:val="24"/>
        </w:rPr>
        <w:lastRenderedPageBreak/>
        <w:t xml:space="preserve">թեստերի հավաքածու, որոնք իրականացվել են բջիջների վրա (որոնք կարող են հասանելի լինել կենսաբանական համակարգերի վրա պատրաստուկի որակի՝ ավելի վաղ անցկացված ուսումնասիրության արդյունքում) որպես համեմատական վերլուծության հիմնական տարր, որն անց է կացվում ռեակտիվության տարբերությունները գնահատելու </w:t>
      </w:r>
      <w:r w:rsidR="00C54D75">
        <w:rPr>
          <w:rFonts w:ascii="Sylfaen" w:hAnsi="Sylfaen"/>
          <w:sz w:val="24"/>
          <w:szCs w:val="24"/>
        </w:rPr>
        <w:t>և</w:t>
      </w:r>
      <w:r w:rsidRPr="004B393A">
        <w:rPr>
          <w:rFonts w:ascii="Sylfaen" w:hAnsi="Sylfaen"/>
          <w:sz w:val="24"/>
          <w:szCs w:val="24"/>
        </w:rPr>
        <w:t xml:space="preserve"> դրանց հավանական պատճառային գործոնը որոշելու նպատակով:</w:t>
      </w:r>
    </w:p>
    <w:p w14:paraId="662EFF9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վրա կատարվող հետազոտությունները պետք է պլանավորված լինեն այնպես, որ հնարավոր լինի ներկայացնել համեմատման պատրաստուկի </w:t>
      </w:r>
      <w:r w:rsidR="00C54D75">
        <w:rPr>
          <w:rFonts w:ascii="Sylfaen" w:hAnsi="Sylfaen"/>
          <w:sz w:val="24"/>
          <w:szCs w:val="24"/>
        </w:rPr>
        <w:t>և</w:t>
      </w:r>
      <w:r w:rsidRPr="004B393A">
        <w:rPr>
          <w:rFonts w:ascii="Sylfaen" w:hAnsi="Sylfaen"/>
          <w:sz w:val="24"/>
          <w:szCs w:val="24"/>
        </w:rPr>
        <w:t xml:space="preserve"> կենսահամանման պատրաստուկի համեմատության համար տեղեկությունների առավելագույն ծավալ, որը հետագայում կօգտագործվի կլինիկական հետազոտություններում:</w:t>
      </w:r>
    </w:p>
    <w:p w14:paraId="3411348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Այդպիսի հետազոտությունները պետք է անցկացվեն կենդանիների համապատասխան տեսակների վրա՝ առավել ժամանակակից տեխնոլոգիաների օգտագործմամբ:</w:t>
      </w:r>
    </w:p>
    <w:p w14:paraId="1318061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2.2.</w:t>
      </w:r>
      <w:r w:rsidRPr="004B393A">
        <w:rPr>
          <w:rFonts w:ascii="Sylfaen" w:hAnsi="Sylfaen"/>
          <w:sz w:val="24"/>
          <w:szCs w:val="24"/>
        </w:rPr>
        <w:tab/>
        <w:t>Երկրորդային դեղադինամիկան:</w:t>
      </w:r>
    </w:p>
    <w:p w14:paraId="1BAF6ACB"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Սույն բաժինը նվիրված է առաջնային թերապ</w:t>
      </w:r>
      <w:r w:rsidR="00C54D75">
        <w:rPr>
          <w:rFonts w:ascii="Sylfaen" w:hAnsi="Sylfaen"/>
          <w:sz w:val="24"/>
          <w:szCs w:val="24"/>
        </w:rPr>
        <w:t>և</w:t>
      </w:r>
      <w:r w:rsidRPr="004B393A">
        <w:rPr>
          <w:rFonts w:ascii="Sylfaen" w:hAnsi="Sylfaen"/>
          <w:sz w:val="24"/>
          <w:szCs w:val="24"/>
        </w:rPr>
        <w:t>տիկ ակտիվության հետ կապ չունեցող դեղաբանական էֆեկտների նկարագրությանը: Անհրաժեշտության դեպքում նշվում է ընկալիչների հետ փոխազդեցության արդյունքների սկրինինգի վերաբերյալ տեղեկատվություն:</w:t>
      </w:r>
    </w:p>
    <w:p w14:paraId="33A0A292" w14:textId="77777777" w:rsidR="008C76E0" w:rsidRPr="004B393A" w:rsidRDefault="008C76E0" w:rsidP="004B393A">
      <w:pPr>
        <w:tabs>
          <w:tab w:val="left" w:pos="1134"/>
          <w:tab w:val="left" w:pos="1418"/>
        </w:tabs>
        <w:spacing w:after="160" w:line="360" w:lineRule="auto"/>
        <w:ind w:firstLine="567"/>
        <w:jc w:val="both"/>
        <w:rPr>
          <w:rFonts w:ascii="Sylfaen" w:hAnsi="Sylfaen"/>
          <w:sz w:val="24"/>
          <w:szCs w:val="24"/>
        </w:rPr>
      </w:pPr>
      <w:r w:rsidRPr="004B393A">
        <w:rPr>
          <w:rFonts w:ascii="Sylfaen" w:hAnsi="Sylfaen"/>
          <w:sz w:val="24"/>
          <w:szCs w:val="24"/>
        </w:rPr>
        <w:t xml:space="preserve">Մոնոկլոնալ հակամարմինների համար տրվում է մանրամասն տեղեկատվություն իմունաբանական այն հատկությունների վերաբերյալ, որոնք տարբերվում են ենթադրվող հատկություններից, այդ թվում՝ կոմպլեմենտ կապող հատկությունների </w:t>
      </w:r>
      <w:r w:rsidR="00C54D75">
        <w:rPr>
          <w:rFonts w:ascii="Sylfaen" w:hAnsi="Sylfaen"/>
          <w:sz w:val="24"/>
          <w:szCs w:val="24"/>
        </w:rPr>
        <w:t>և</w:t>
      </w:r>
      <w:r w:rsidRPr="004B393A">
        <w:rPr>
          <w:rFonts w:ascii="Sylfaen" w:hAnsi="Sylfaen"/>
          <w:sz w:val="24"/>
          <w:szCs w:val="24"/>
        </w:rPr>
        <w:t xml:space="preserve"> ռեակտիվության ցանկացած չնախատեսված տեսակի </w:t>
      </w:r>
      <w:r w:rsidR="00C54D75">
        <w:rPr>
          <w:rFonts w:ascii="Sylfaen" w:hAnsi="Sylfaen"/>
          <w:sz w:val="24"/>
          <w:szCs w:val="24"/>
        </w:rPr>
        <w:t>և</w:t>
      </w:r>
      <w:r w:rsidRPr="004B393A">
        <w:rPr>
          <w:rFonts w:ascii="Sylfaen" w:hAnsi="Sylfaen"/>
          <w:sz w:val="24"/>
          <w:szCs w:val="24"/>
        </w:rPr>
        <w:t xml:space="preserve"> (կամ) տվյալ պատրաստուկի համար թիրախ հյուսվածքներից տարբեր մարդու հյուսվածքների մասով ցիտոտոկսիկության վերաբերյալ: Խաչաձ</w:t>
      </w:r>
      <w:r w:rsidR="00C54D75">
        <w:rPr>
          <w:rFonts w:ascii="Sylfaen" w:hAnsi="Sylfaen"/>
          <w:sz w:val="24"/>
          <w:szCs w:val="24"/>
        </w:rPr>
        <w:t>և</w:t>
      </w:r>
      <w:r w:rsidRPr="004B393A">
        <w:rPr>
          <w:rFonts w:ascii="Sylfaen" w:hAnsi="Sylfaen"/>
          <w:sz w:val="24"/>
          <w:szCs w:val="24"/>
        </w:rPr>
        <w:t xml:space="preserve"> ռեակտիվության նման հետազոտությունները կարող են անցկացվել մարդու տարբեր հյուսվածքների օգտագործմամբ: Նման հետազոտությունների վերաբերյալ տեղեկությունները ներկայացված են այս բաժնում:</w:t>
      </w:r>
    </w:p>
    <w:p w14:paraId="3489970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lastRenderedPageBreak/>
        <w:t>2.3.</w:t>
      </w:r>
      <w:r w:rsidRPr="004B393A">
        <w:rPr>
          <w:rFonts w:ascii="Sylfaen" w:hAnsi="Sylfaen"/>
          <w:sz w:val="24"/>
          <w:szCs w:val="24"/>
        </w:rPr>
        <w:tab/>
        <w:t>Դեղաբանական անվտանգությունը:</w:t>
      </w:r>
    </w:p>
    <w:p w14:paraId="1D74A9A9"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Սույն բաժնում ուսումնասիրվում են հետ</w:t>
      </w:r>
      <w:r w:rsidR="00C54D75">
        <w:rPr>
          <w:rFonts w:ascii="Sylfaen" w:hAnsi="Sylfaen"/>
          <w:sz w:val="24"/>
          <w:szCs w:val="24"/>
        </w:rPr>
        <w:t>և</w:t>
      </w:r>
      <w:r w:rsidRPr="004B393A">
        <w:rPr>
          <w:rFonts w:ascii="Sylfaen" w:hAnsi="Sylfaen"/>
          <w:sz w:val="24"/>
          <w:szCs w:val="24"/>
        </w:rPr>
        <w:t>յալ հարցերը՝</w:t>
      </w:r>
    </w:p>
    <w:p w14:paraId="1F9D8D5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w:t>
      </w:r>
      <w:r w:rsidRPr="004B393A">
        <w:rPr>
          <w:rFonts w:ascii="Sylfaen" w:hAnsi="Sylfaen"/>
          <w:sz w:val="24"/>
          <w:szCs w:val="24"/>
        </w:rPr>
        <w:tab/>
        <w:t>հիմնական թեստերի հավաքածուն (պատշաճ լաբորատոր գործունեության կանոններին համապատասխան)՝</w:t>
      </w:r>
    </w:p>
    <w:p w14:paraId="7A4501DF"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սրտանոթային համակարգը (ներառյալ՝ QT միջակայքի երկարաձգումը </w:t>
      </w:r>
      <w:r w:rsidRPr="004B393A">
        <w:rPr>
          <w:rStyle w:val="Bodytext295pt"/>
          <w:rFonts w:ascii="Sylfaen" w:eastAsiaTheme="minorHAnsi" w:hAnsi="Sylfaen"/>
          <w:b w:val="0"/>
          <w:spacing w:val="0"/>
          <w:sz w:val="24"/>
          <w:szCs w:val="24"/>
        </w:rPr>
        <w:t>in</w:t>
      </w:r>
      <w:r w:rsidRPr="004B393A">
        <w:rPr>
          <w:rFonts w:ascii="Sylfaen" w:hAnsi="Sylfaen"/>
          <w:sz w:val="24"/>
          <w:szCs w:val="24"/>
        </w:rPr>
        <w:t> </w:t>
      </w:r>
      <w:r w:rsidRPr="004B393A">
        <w:rPr>
          <w:rStyle w:val="Bodytext295pt"/>
          <w:rFonts w:ascii="Sylfaen" w:eastAsiaTheme="minorHAnsi" w:hAnsi="Sylfaen"/>
          <w:b w:val="0"/>
          <w:spacing w:val="0"/>
          <w:sz w:val="24"/>
          <w:szCs w:val="24"/>
        </w:rPr>
        <w:t>vitro</w:t>
      </w:r>
      <w:r w:rsidRPr="004B393A">
        <w:rPr>
          <w:rFonts w:ascii="Sylfaen" w:hAnsi="Sylfaen"/>
          <w:sz w:val="24"/>
          <w:szCs w:val="24"/>
        </w:rPr>
        <w:t xml:space="preserve"> կամ </w:t>
      </w:r>
      <w:r w:rsidRPr="004B393A">
        <w:rPr>
          <w:rStyle w:val="Bodytext295pt"/>
          <w:rFonts w:ascii="Sylfaen" w:eastAsiaTheme="minorHAnsi" w:hAnsi="Sylfaen"/>
          <w:b w:val="0"/>
          <w:spacing w:val="0"/>
          <w:sz w:val="24"/>
          <w:szCs w:val="24"/>
        </w:rPr>
        <w:t>in vivo հետազոտություններում).</w:t>
      </w:r>
    </w:p>
    <w:p w14:paraId="4465C71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կենտրոնական նյարդային համակարգը.</w:t>
      </w:r>
    </w:p>
    <w:p w14:paraId="0F93999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շնչառական համակարգը.</w:t>
      </w:r>
    </w:p>
    <w:p w14:paraId="2C7826B3" w14:textId="77777777" w:rsidR="008C76E0" w:rsidRPr="004B393A" w:rsidRDefault="008C76E0" w:rsidP="004B393A">
      <w:pPr>
        <w:tabs>
          <w:tab w:val="left" w:pos="1134"/>
        </w:tabs>
        <w:spacing w:after="160" w:line="360" w:lineRule="auto"/>
        <w:ind w:firstLine="567"/>
        <w:jc w:val="both"/>
        <w:rPr>
          <w:rFonts w:ascii="Sylfaen" w:hAnsi="Sylfaen"/>
          <w:spacing w:val="-4"/>
          <w:sz w:val="24"/>
          <w:szCs w:val="24"/>
        </w:rPr>
      </w:pPr>
      <w:r w:rsidRPr="004B393A">
        <w:rPr>
          <w:rFonts w:ascii="Sylfaen" w:hAnsi="Sylfaen"/>
          <w:sz w:val="24"/>
          <w:szCs w:val="24"/>
        </w:rPr>
        <w:t>բ)</w:t>
      </w:r>
      <w:r w:rsidRPr="004B393A">
        <w:rPr>
          <w:rFonts w:ascii="Sylfaen" w:hAnsi="Sylfaen"/>
          <w:sz w:val="24"/>
          <w:szCs w:val="24"/>
        </w:rPr>
        <w:tab/>
      </w:r>
      <w:r w:rsidRPr="004B393A">
        <w:rPr>
          <w:rFonts w:ascii="Sylfaen" w:hAnsi="Sylfaen"/>
          <w:spacing w:val="-4"/>
          <w:sz w:val="24"/>
          <w:szCs w:val="24"/>
        </w:rPr>
        <w:t xml:space="preserve">այլ թեստեր (օրինակ՝ երիկամների, աղեստամոքսային տրակտի </w:t>
      </w:r>
      <w:r w:rsidR="00C54D75">
        <w:rPr>
          <w:rStyle w:val="Bodytext210pt"/>
          <w:rFonts w:ascii="Sylfaen" w:eastAsiaTheme="minorHAnsi" w:hAnsi="Sylfaen"/>
          <w:spacing w:val="-4"/>
          <w:sz w:val="24"/>
          <w:szCs w:val="24"/>
        </w:rPr>
        <w:t>և</w:t>
      </w:r>
      <w:r w:rsidRPr="004B393A">
        <w:rPr>
          <w:rStyle w:val="Bodytext210pt"/>
          <w:rFonts w:ascii="Sylfaen" w:eastAsiaTheme="minorHAnsi" w:hAnsi="Sylfaen"/>
          <w:spacing w:val="-4"/>
          <w:sz w:val="24"/>
          <w:szCs w:val="24"/>
        </w:rPr>
        <w:t xml:space="preserve"> </w:t>
      </w:r>
      <w:r w:rsidRPr="004B393A">
        <w:rPr>
          <w:rFonts w:ascii="Sylfaen" w:hAnsi="Sylfaen"/>
          <w:spacing w:val="-4"/>
          <w:sz w:val="24"/>
          <w:szCs w:val="24"/>
        </w:rPr>
        <w:t>այլն):</w:t>
      </w:r>
    </w:p>
    <w:p w14:paraId="187169A3"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Կենսահամանման (կենսանման) պատրաստուկների համար, որպես կանոն, չի պահանջվում անցկացնել այլ ընթացիկ թունաբանական հետազոտություններ, օրինակ՝ դեղաբանական անվտանգության հետազոտություններ՝ բացի այն դեպքերից, երբ նման թեստերի անցկացումը պայմանավորված է բազմակի ներմուծման թունավորության հետազոտությունների արդյունքներով:</w:t>
      </w:r>
    </w:p>
    <w:p w14:paraId="51EE4611"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2.4.</w:t>
      </w:r>
      <w:r w:rsidRPr="004B393A">
        <w:rPr>
          <w:rFonts w:ascii="Sylfaen" w:hAnsi="Sylfaen"/>
          <w:sz w:val="24"/>
          <w:szCs w:val="24"/>
        </w:rPr>
        <w:tab/>
        <w:t>Դեղադինամիկ դեղային փոխազդեցությունները:</w:t>
      </w:r>
    </w:p>
    <w:p w14:paraId="3D02C854"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Պոտենցիալ դեղադինամիկ դեղային փոխազդեցությունները կարող են իրենց մեջ ներառել՝</w:t>
      </w:r>
    </w:p>
    <w:p w14:paraId="2ECC034D"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փոխազդեցություն ընկալիչների մակարդակով.</w:t>
      </w:r>
    </w:p>
    <w:p w14:paraId="63A77112"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պատրաստուկների հնարավոր համատեղ կիրառում կլինիկական գործունեության պայմաններում.</w:t>
      </w:r>
    </w:p>
    <w:p w14:paraId="29A9A00C"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հաղորդումներ՝ անցանկալի ռեակցիաների վերաբերյալ, որոնք ստացվել են դեղաբանական անվտանգության, դեղակինետիկայի (մետաբոլիզմի) կամ թունաբանության հետազոտության ընթացքում:</w:t>
      </w:r>
    </w:p>
    <w:p w14:paraId="6B6DC46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2.5.</w:t>
      </w:r>
      <w:r w:rsidRPr="004B393A">
        <w:rPr>
          <w:rFonts w:ascii="Sylfaen" w:hAnsi="Sylfaen"/>
          <w:sz w:val="24"/>
          <w:szCs w:val="24"/>
        </w:rPr>
        <w:tab/>
        <w:t>Փորձագետի ընդհանուր եզրակացությունը՝ դեղաբանության վերաբերյալ:</w:t>
      </w:r>
    </w:p>
    <w:p w14:paraId="6D14674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բաժնի բովանդակությունը կարող է ներառվել ամփոփ փորձագիտական </w:t>
      </w:r>
      <w:r w:rsidRPr="004B393A">
        <w:rPr>
          <w:rFonts w:ascii="Sylfaen" w:hAnsi="Sylfaen"/>
          <w:sz w:val="24"/>
          <w:szCs w:val="24"/>
        </w:rPr>
        <w:lastRenderedPageBreak/>
        <w:t>հաշվետվության՝ «Անվտանգության, որակի, արդյունավետության գնահատում» բաժնում:</w:t>
      </w:r>
    </w:p>
    <w:p w14:paraId="42CBE4B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Որպեսզի հաշվետվության վրա աշխատող անձինք ունենան բոլոր նշանակալի արդյունքներն ամբողջությամբ գնահատելու հնարավորութուն, անհրաժեշտ է սույն բաժինը կազմել հնարավորինս մանրամասն: </w:t>
      </w:r>
    </w:p>
    <w:p w14:paraId="23112D8C"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հակիրճ նկարագրել դեղաբանական հետազոտությունների հիմնական արդյունքները </w:t>
      </w:r>
      <w:r w:rsidR="00C54D75">
        <w:rPr>
          <w:rFonts w:ascii="Sylfaen" w:hAnsi="Sylfaen"/>
          <w:sz w:val="24"/>
          <w:szCs w:val="24"/>
        </w:rPr>
        <w:t>և</w:t>
      </w:r>
      <w:r w:rsidRPr="004B393A">
        <w:rPr>
          <w:rFonts w:ascii="Sylfaen" w:hAnsi="Sylfaen"/>
          <w:sz w:val="24"/>
          <w:szCs w:val="24"/>
        </w:rPr>
        <w:t xml:space="preserve"> վերլուծել ենթադրվող թերապ</w:t>
      </w:r>
      <w:r w:rsidR="00C54D75">
        <w:rPr>
          <w:rFonts w:ascii="Sylfaen" w:hAnsi="Sylfaen"/>
          <w:sz w:val="24"/>
          <w:szCs w:val="24"/>
        </w:rPr>
        <w:t>և</w:t>
      </w:r>
      <w:r w:rsidRPr="004B393A">
        <w:rPr>
          <w:rFonts w:ascii="Sylfaen" w:hAnsi="Sylfaen"/>
          <w:sz w:val="24"/>
          <w:szCs w:val="24"/>
        </w:rPr>
        <w:t>տիկ ցուցումների համար կիրառված մոդելների պիտանիությունը:</w:t>
      </w:r>
    </w:p>
    <w:p w14:paraId="650D262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Նա</w:t>
      </w:r>
      <w:r w:rsidR="00C54D75">
        <w:rPr>
          <w:rFonts w:ascii="Sylfaen" w:hAnsi="Sylfaen"/>
          <w:sz w:val="24"/>
          <w:szCs w:val="24"/>
        </w:rPr>
        <w:t>և</w:t>
      </w:r>
      <w:r w:rsidRPr="004B393A">
        <w:rPr>
          <w:rFonts w:ascii="Sylfaen" w:hAnsi="Sylfaen"/>
          <w:sz w:val="24"/>
          <w:szCs w:val="24"/>
        </w:rPr>
        <w:t xml:space="preserve"> հարկ է հակիրճ նշել դեղաբանական անվտանգության հետազոտությունների արդյունքները՝ ընդգծելով այն տվյալները, որոնք կարող են ուշադրություն հրավիրել մարդու մոտ հնարավոր անցանկալի ռեակցիաների վրա:</w:t>
      </w:r>
    </w:p>
    <w:p w14:paraId="447CAAC3" w14:textId="77777777" w:rsidR="008C76E0" w:rsidRPr="004B393A" w:rsidRDefault="008C76E0" w:rsidP="005A45A7">
      <w:pPr>
        <w:tabs>
          <w:tab w:val="left" w:pos="1134"/>
        </w:tabs>
        <w:spacing w:after="160" w:line="336" w:lineRule="auto"/>
        <w:ind w:right="-1" w:firstLine="567"/>
        <w:jc w:val="both"/>
        <w:rPr>
          <w:rFonts w:ascii="Sylfaen" w:hAnsi="Sylfaen"/>
          <w:sz w:val="24"/>
          <w:szCs w:val="24"/>
        </w:rPr>
      </w:pPr>
      <w:r w:rsidRPr="004B393A">
        <w:rPr>
          <w:rFonts w:ascii="Sylfaen" w:hAnsi="Sylfaen"/>
          <w:sz w:val="24"/>
          <w:szCs w:val="24"/>
        </w:rPr>
        <w:t>Որպես այլընտրանքային տարբերակ, սույն բաժնում կարող են ընդգրկվել միայն հիմնական եզրահանգումները, ընդսմին, պահանջվում է «Համառոտ նկարագրություն» բաժնի առանձին մշակում:</w:t>
      </w:r>
    </w:p>
    <w:p w14:paraId="7DAFCE75"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 xml:space="preserve">Հարկ է առանձնացնել պատրաստուկի ներկայացված դոսյեի «նախակլինիկական ամփոփում» բաժինները, որոնց հետ փորձագետը կամ համաձայն է, կամ ոչ, </w:t>
      </w:r>
      <w:r w:rsidR="00C54D75">
        <w:rPr>
          <w:rFonts w:ascii="Sylfaen" w:hAnsi="Sylfaen"/>
          <w:sz w:val="24"/>
          <w:szCs w:val="24"/>
        </w:rPr>
        <w:t>և</w:t>
      </w:r>
      <w:r w:rsidRPr="004B393A">
        <w:rPr>
          <w:rFonts w:ascii="Sylfaen" w:hAnsi="Sylfaen"/>
          <w:sz w:val="24"/>
          <w:szCs w:val="24"/>
        </w:rPr>
        <w:t xml:space="preserve"> տալ դրանցում գործածված ձ</w:t>
      </w:r>
      <w:r w:rsidR="00C54D75">
        <w:rPr>
          <w:rFonts w:ascii="Sylfaen" w:hAnsi="Sylfaen"/>
          <w:sz w:val="24"/>
          <w:szCs w:val="24"/>
        </w:rPr>
        <w:t>և</w:t>
      </w:r>
      <w:r w:rsidRPr="004B393A">
        <w:rPr>
          <w:rFonts w:ascii="Sylfaen" w:hAnsi="Sylfaen"/>
          <w:sz w:val="24"/>
          <w:szCs w:val="24"/>
        </w:rPr>
        <w:t xml:space="preserve">ակերպումների </w:t>
      </w:r>
      <w:r w:rsidR="00C54D75">
        <w:rPr>
          <w:rFonts w:ascii="Sylfaen" w:hAnsi="Sylfaen"/>
          <w:sz w:val="24"/>
          <w:szCs w:val="24"/>
        </w:rPr>
        <w:t>և</w:t>
      </w:r>
      <w:r w:rsidRPr="004B393A">
        <w:rPr>
          <w:rFonts w:ascii="Sylfaen" w:hAnsi="Sylfaen"/>
          <w:sz w:val="24"/>
          <w:szCs w:val="24"/>
        </w:rPr>
        <w:t xml:space="preserve"> ԴԸԲ-ի համար տեղեկությունների պիտանիության վերաբերյալ մեկնաբանություններ: Հարկ է ստուգել դոսյեում </w:t>
      </w:r>
      <w:r w:rsidR="00C54D75">
        <w:rPr>
          <w:rFonts w:ascii="Sylfaen" w:hAnsi="Sylfaen"/>
          <w:sz w:val="24"/>
          <w:szCs w:val="24"/>
        </w:rPr>
        <w:t>և</w:t>
      </w:r>
      <w:r w:rsidRPr="004B393A">
        <w:rPr>
          <w:rFonts w:ascii="Sylfaen" w:hAnsi="Sylfaen"/>
          <w:sz w:val="24"/>
          <w:szCs w:val="24"/>
        </w:rPr>
        <w:t xml:space="preserve"> ԴԸԲ-ում տեքստի համապատասխանությունը (մասնավորապես հաշվետվության 5.3՝ «Նախակլինիկական հետազոտությունների անվտանգության տվյալներ» բաժնում, ինչպես նա</w:t>
      </w:r>
      <w:r w:rsidR="00C54D75">
        <w:rPr>
          <w:rFonts w:ascii="Sylfaen" w:hAnsi="Sylfaen"/>
          <w:sz w:val="24"/>
          <w:szCs w:val="24"/>
        </w:rPr>
        <w:t>և</w:t>
      </w:r>
      <w:r w:rsidRPr="004B393A">
        <w:rPr>
          <w:rFonts w:ascii="Sylfaen" w:hAnsi="Sylfaen"/>
          <w:sz w:val="24"/>
          <w:szCs w:val="24"/>
        </w:rPr>
        <w:t xml:space="preserve"> հաշվետվության 4.3՝ «Հակացուցումներ», 4.5՝ «Դեղային փոխազդեցություններ», 4.6՝ «Հղիություն </w:t>
      </w:r>
      <w:r w:rsidR="00C54D75">
        <w:rPr>
          <w:rFonts w:ascii="Sylfaen" w:hAnsi="Sylfaen"/>
          <w:sz w:val="24"/>
          <w:szCs w:val="24"/>
        </w:rPr>
        <w:t>և</w:t>
      </w:r>
      <w:r w:rsidRPr="004B393A">
        <w:rPr>
          <w:rFonts w:ascii="Sylfaen" w:hAnsi="Sylfaen"/>
          <w:sz w:val="24"/>
          <w:szCs w:val="24"/>
        </w:rPr>
        <w:t xml:space="preserve"> կրծքով կերակրում», 5.1՝ «Դեղադինամիկ հատկություններ» բաժիններում), ինչպես նա</w:t>
      </w:r>
      <w:r w:rsidR="00C54D75">
        <w:rPr>
          <w:rFonts w:ascii="Sylfaen" w:hAnsi="Sylfaen"/>
          <w:sz w:val="24"/>
          <w:szCs w:val="24"/>
        </w:rPr>
        <w:t>և</w:t>
      </w:r>
      <w:r w:rsidRPr="004B393A">
        <w:rPr>
          <w:rFonts w:ascii="Sylfaen" w:hAnsi="Sylfaen"/>
          <w:sz w:val="24"/>
          <w:szCs w:val="24"/>
        </w:rPr>
        <w:t xml:space="preserve"> հավաստիանալ, որ ԴԸԲ-ում պարունակվող տեղեկատվությունն ամբողջությամբ հաստատված է գիտական փորձաքննության արդյունքներով:</w:t>
      </w:r>
    </w:p>
    <w:p w14:paraId="5C90539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w:t>
      </w:r>
      <w:r w:rsidRPr="004B393A">
        <w:rPr>
          <w:rFonts w:ascii="Sylfaen" w:hAnsi="Sylfaen"/>
          <w:sz w:val="24"/>
          <w:szCs w:val="24"/>
        </w:rPr>
        <w:tab/>
        <w:t xml:space="preserve">Դեղակինետիկա (2.6.4 </w:t>
      </w:r>
      <w:r w:rsidR="00C54D75">
        <w:rPr>
          <w:rFonts w:ascii="Sylfaen" w:hAnsi="Sylfaen"/>
          <w:sz w:val="24"/>
          <w:szCs w:val="24"/>
        </w:rPr>
        <w:t>և</w:t>
      </w:r>
      <w:r w:rsidRPr="004B393A">
        <w:rPr>
          <w:rFonts w:ascii="Sylfaen" w:hAnsi="Sylfaen"/>
          <w:sz w:val="24"/>
          <w:szCs w:val="24"/>
        </w:rPr>
        <w:t xml:space="preserve"> 4.2.2 մոդուլներ):</w:t>
      </w:r>
    </w:p>
    <w:p w14:paraId="27E4AAA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Դեղակինետիկ հետազոտություններ:</w:t>
      </w:r>
    </w:p>
    <w:p w14:paraId="0A73320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Սույն Բաժնում ներկայացվում է հետազոտությունների համառոտ </w:t>
      </w:r>
      <w:r w:rsidRPr="004B393A">
        <w:rPr>
          <w:rFonts w:ascii="Sylfaen" w:hAnsi="Sylfaen"/>
          <w:sz w:val="24"/>
          <w:szCs w:val="24"/>
        </w:rPr>
        <w:lastRenderedPageBreak/>
        <w:t>ամփոփումը: Տոքսիկոկինետիկ հետազոտությունների նկարագրությունը ներկայացվում է բազմակի ներմուծման դեպքում թունավորությանը նվիրված բաժնում:</w:t>
      </w:r>
    </w:p>
    <w:p w14:paraId="0053890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3.1.</w:t>
      </w:r>
      <w:r w:rsidRPr="004B393A">
        <w:rPr>
          <w:rFonts w:ascii="Sylfaen" w:hAnsi="Sylfaen"/>
          <w:sz w:val="24"/>
          <w:szCs w:val="24"/>
        </w:rPr>
        <w:tab/>
        <w:t>Հետազոտության մեթոդները:</w:t>
      </w:r>
    </w:p>
    <w:p w14:paraId="1FBC4110"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Հաշվետվությունը պետք է պարունակի հակիրճ դիտարկում՝ կենսավերլուծական մեթոդիկաների </w:t>
      </w:r>
      <w:r w:rsidR="00C54D75">
        <w:rPr>
          <w:rFonts w:ascii="Sylfaen" w:hAnsi="Sylfaen"/>
          <w:sz w:val="24"/>
          <w:szCs w:val="24"/>
        </w:rPr>
        <w:t>և</w:t>
      </w:r>
      <w:r w:rsidRPr="004B393A">
        <w:rPr>
          <w:rFonts w:ascii="Sylfaen" w:hAnsi="Sylfaen"/>
          <w:sz w:val="24"/>
          <w:szCs w:val="24"/>
        </w:rPr>
        <w:t xml:space="preserve"> դրանց վալիդացման վերաբերյալ: Տոքսիկոկինետիկ հետազոտությունների դեպքում մեթոդիկաները պետք է համապատասխանեն պատշաճ լաբորատոր գործունեության կանոնների պահանջներին:</w:t>
      </w:r>
    </w:p>
    <w:p w14:paraId="1418B7C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Անհրաժեշտ է խտությունները հստակ նշել չափման միավորներով (օրինակ՝ մոլ/լ կամ մգ/մլ) </w:t>
      </w:r>
      <w:r w:rsidR="00C54D75">
        <w:rPr>
          <w:rFonts w:ascii="Sylfaen" w:hAnsi="Sylfaen"/>
          <w:sz w:val="24"/>
          <w:szCs w:val="24"/>
        </w:rPr>
        <w:t>և</w:t>
      </w:r>
      <w:r w:rsidRPr="004B393A">
        <w:rPr>
          <w:rFonts w:ascii="Sylfaen" w:hAnsi="Sylfaen"/>
          <w:sz w:val="24"/>
          <w:szCs w:val="24"/>
        </w:rPr>
        <w:t xml:space="preserve"> հնարավորության դեպքում ներկայացնել նույն չափայնությամբ տվյալներ:</w:t>
      </w:r>
    </w:p>
    <w:p w14:paraId="134F925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Գնահատման ժամանակ փորձագետը պետք է ներկայացնի մեկնաբանություններ՝ նշված տեղեկատվության </w:t>
      </w:r>
      <w:r w:rsidR="00C54D75">
        <w:rPr>
          <w:rFonts w:ascii="Sylfaen" w:hAnsi="Sylfaen"/>
          <w:sz w:val="24"/>
          <w:szCs w:val="24"/>
        </w:rPr>
        <w:t>և</w:t>
      </w:r>
      <w:r w:rsidRPr="004B393A">
        <w:rPr>
          <w:rFonts w:ascii="Sylfaen" w:hAnsi="Sylfaen"/>
          <w:sz w:val="24"/>
          <w:szCs w:val="24"/>
        </w:rPr>
        <w:t xml:space="preserve"> հետազոտությունների միջ</w:t>
      </w:r>
      <w:r w:rsidR="00C54D75">
        <w:rPr>
          <w:rFonts w:ascii="Sylfaen" w:hAnsi="Sylfaen"/>
          <w:sz w:val="24"/>
          <w:szCs w:val="24"/>
        </w:rPr>
        <w:t>և</w:t>
      </w:r>
      <w:r w:rsidRPr="004B393A">
        <w:rPr>
          <w:rFonts w:ascii="Sylfaen" w:hAnsi="Sylfaen"/>
          <w:sz w:val="24"/>
          <w:szCs w:val="24"/>
        </w:rPr>
        <w:t xml:space="preserve"> ցանկացած անհամապատասխանության առկայության վերաբերյալ:</w:t>
      </w:r>
    </w:p>
    <w:p w14:paraId="6EAE7BF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3.2.</w:t>
      </w:r>
      <w:r w:rsidRPr="004B393A">
        <w:rPr>
          <w:rFonts w:ascii="Sylfaen" w:hAnsi="Sylfaen"/>
          <w:sz w:val="24"/>
          <w:szCs w:val="24"/>
        </w:rPr>
        <w:tab/>
        <w:t>Կլանումը:</w:t>
      </w:r>
    </w:p>
    <w:p w14:paraId="36D64A1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բաժնում դիտարկվող հարցերի ցանկը կարող է իր մեջ ներառել այդ թվում՝</w:t>
      </w:r>
    </w:p>
    <w:p w14:paraId="55E5E16C" w14:textId="0FFD3A6A"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եթե կիրառելի է, կլանման տեղի նկարագրությունը՝ ներքին ընդունման դեղաձ</w:t>
      </w:r>
      <w:r w:rsidR="00C54D75">
        <w:rPr>
          <w:rFonts w:ascii="Sylfaen" w:hAnsi="Sylfaen"/>
          <w:sz w:val="24"/>
          <w:szCs w:val="24"/>
        </w:rPr>
        <w:t>և</w:t>
      </w:r>
      <w:r w:rsidRPr="004B393A">
        <w:rPr>
          <w:rFonts w:ascii="Sylfaen" w:hAnsi="Sylfaen"/>
          <w:sz w:val="24"/>
          <w:szCs w:val="24"/>
        </w:rPr>
        <w:t xml:space="preserve">երի համար (որպես կանոն, </w:t>
      </w:r>
      <w:r w:rsidR="005F6A31">
        <w:rPr>
          <w:rFonts w:ascii="Sylfaen" w:hAnsi="Sylfaen"/>
          <w:sz w:val="24"/>
          <w:szCs w:val="24"/>
        </w:rPr>
        <w:t>հայտնի</w:t>
      </w:r>
      <w:r w:rsidRPr="004B393A">
        <w:rPr>
          <w:rFonts w:ascii="Sylfaen" w:hAnsi="Sylfaen"/>
          <w:sz w:val="24"/>
          <w:szCs w:val="24"/>
        </w:rPr>
        <w:t xml:space="preserve"> չէ, թե աղեստամոքսային տրակտի կոնկրետ որ հատվածներում է տեղի ունենում ներծծումը).</w:t>
      </w:r>
    </w:p>
    <w:p w14:paraId="6F05D07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կինետիկան՝ մեկանգամյա կամ բազմակի կիրառման դեպքում.</w:t>
      </w:r>
    </w:p>
    <w:p w14:paraId="4D1C269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դեղաչափերի կինետիկայի համամասնությունը.</w:t>
      </w:r>
    </w:p>
    <w:p w14:paraId="4C0197A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սեռային տարբերությունները (առկայության դեպքում).</w:t>
      </w:r>
    </w:p>
    <w:p w14:paraId="74245E0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միջտեսակային համեմատությունը (անհրաժեշտ է ներառել տվյալներ կենդանիների այն տեսակների մասին, որոնք օգտագործվում են թունաբանական </w:t>
      </w:r>
      <w:r w:rsidRPr="004B393A">
        <w:rPr>
          <w:rFonts w:ascii="Sylfaen" w:hAnsi="Sylfaen"/>
          <w:sz w:val="24"/>
          <w:szCs w:val="24"/>
        </w:rPr>
        <w:lastRenderedPageBreak/>
        <w:t xml:space="preserve">հետազոտություններում, </w:t>
      </w:r>
      <w:r w:rsidR="00C54D75">
        <w:rPr>
          <w:rFonts w:ascii="Sylfaen" w:hAnsi="Sylfaen"/>
          <w:sz w:val="24"/>
          <w:szCs w:val="24"/>
        </w:rPr>
        <w:t>և</w:t>
      </w:r>
      <w:r w:rsidRPr="004B393A">
        <w:rPr>
          <w:rFonts w:ascii="Sylfaen" w:hAnsi="Sylfaen"/>
          <w:sz w:val="24"/>
          <w:szCs w:val="24"/>
        </w:rPr>
        <w:t xml:space="preserve"> տեղեկատվություն՝ մարդու մոտ կիրառման վերաբերյալ).</w:t>
      </w:r>
    </w:p>
    <w:p w14:paraId="3238036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բացարձակ կենսամատչելիությունը.</w:t>
      </w:r>
    </w:p>
    <w:p w14:paraId="29E6ECD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չեզոքացնող հակամարմինների ձ</w:t>
      </w:r>
      <w:r w:rsidR="00C54D75">
        <w:rPr>
          <w:rFonts w:ascii="Sylfaen" w:hAnsi="Sylfaen"/>
          <w:sz w:val="24"/>
          <w:szCs w:val="24"/>
        </w:rPr>
        <w:t>և</w:t>
      </w:r>
      <w:r w:rsidRPr="004B393A">
        <w:rPr>
          <w:rFonts w:ascii="Sylfaen" w:hAnsi="Sylfaen"/>
          <w:sz w:val="24"/>
          <w:szCs w:val="24"/>
        </w:rPr>
        <w:t>ավորումը (կենսատեխնոլոգիական պատրաստուկների համար):</w:t>
      </w:r>
    </w:p>
    <w:p w14:paraId="1B19DCD0"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Խորհուրդ է տրվում տվյալները ներկայացնել աղյուսակային տեսքով, ներառյալ՝ կենդանիների տեսակների, դեղաչափերի, պատրաստուկի ներմուծման եղանակի, C</w:t>
      </w:r>
      <w:r w:rsidRPr="004B393A">
        <w:rPr>
          <w:rFonts w:ascii="Sylfaen" w:hAnsi="Sylfaen"/>
          <w:sz w:val="24"/>
          <w:szCs w:val="24"/>
          <w:vertAlign w:val="subscript"/>
        </w:rPr>
        <w:t>max</w:t>
      </w:r>
      <w:r w:rsidRPr="004B393A">
        <w:rPr>
          <w:rFonts w:ascii="Sylfaen" w:hAnsi="Sylfaen"/>
          <w:sz w:val="24"/>
          <w:szCs w:val="24"/>
        </w:rPr>
        <w:t>, t</w:t>
      </w:r>
      <w:r w:rsidRPr="004B393A">
        <w:rPr>
          <w:rFonts w:ascii="Sylfaen" w:hAnsi="Sylfaen"/>
          <w:sz w:val="24"/>
          <w:szCs w:val="24"/>
          <w:vertAlign w:val="subscript"/>
        </w:rPr>
        <w:t>max</w:t>
      </w:r>
      <w:r w:rsidRPr="004B393A">
        <w:rPr>
          <w:rFonts w:ascii="Sylfaen" w:hAnsi="Sylfaen"/>
          <w:sz w:val="24"/>
          <w:szCs w:val="24"/>
        </w:rPr>
        <w:t>, AUC, t</w:t>
      </w:r>
      <w:r w:rsidRPr="004B393A">
        <w:rPr>
          <w:rFonts w:ascii="Sylfaen" w:hAnsi="Sylfaen"/>
          <w:sz w:val="24"/>
          <w:szCs w:val="24"/>
          <w:vertAlign w:val="subscript"/>
        </w:rPr>
        <w:t>½</w:t>
      </w:r>
      <w:r w:rsidRPr="004B393A">
        <w:rPr>
          <w:rFonts w:ascii="Sylfaen" w:hAnsi="Sylfaen"/>
          <w:sz w:val="24"/>
          <w:szCs w:val="24"/>
        </w:rPr>
        <w:t>, V</w:t>
      </w:r>
      <w:r w:rsidRPr="004B393A">
        <w:rPr>
          <w:rFonts w:ascii="Sylfaen" w:hAnsi="Sylfaen"/>
          <w:sz w:val="24"/>
          <w:szCs w:val="24"/>
          <w:vertAlign w:val="subscript"/>
        </w:rPr>
        <w:t>d</w:t>
      </w:r>
      <w:r w:rsidRPr="004B393A">
        <w:rPr>
          <w:rFonts w:ascii="Sylfaen" w:hAnsi="Sylfaen"/>
          <w:sz w:val="24"/>
          <w:szCs w:val="24"/>
        </w:rPr>
        <w:t>, Cl</w:t>
      </w:r>
      <w:r w:rsidRPr="004B393A">
        <w:rPr>
          <w:rFonts w:ascii="Sylfaen" w:hAnsi="Sylfaen"/>
          <w:sz w:val="24"/>
          <w:szCs w:val="24"/>
          <w:vertAlign w:val="subscript"/>
        </w:rPr>
        <w:t>t</w:t>
      </w:r>
      <w:r w:rsidRPr="004B393A">
        <w:rPr>
          <w:rFonts w:ascii="Sylfaen" w:hAnsi="Sylfaen"/>
          <w:sz w:val="24"/>
          <w:szCs w:val="24"/>
        </w:rPr>
        <w:t xml:space="preserve"> </w:t>
      </w:r>
      <w:r w:rsidR="00C54D75">
        <w:rPr>
          <w:rFonts w:ascii="Sylfaen" w:hAnsi="Sylfaen"/>
          <w:sz w:val="24"/>
          <w:szCs w:val="24"/>
        </w:rPr>
        <w:t>և</w:t>
      </w:r>
      <w:r w:rsidRPr="004B393A">
        <w:rPr>
          <w:rFonts w:ascii="Sylfaen" w:hAnsi="Sylfaen"/>
          <w:sz w:val="24"/>
          <w:szCs w:val="24"/>
        </w:rPr>
        <w:t xml:space="preserve"> f% պարամետրերի վերաբերյալ տեղեկությունները (ինչպես ցույց է տրված Գրանցման կանոնների թիվ 6 հավելվածի տվյալ բաժնի աղյուսակի օրինակում): Եթե դեղակինետիկան գծային է, ապա բավարար կլինի նկարագրել խմբերից (դեղաչափերից) որ</w:t>
      </w:r>
      <w:r w:rsidR="00C54D75">
        <w:rPr>
          <w:rFonts w:ascii="Sylfaen" w:hAnsi="Sylfaen"/>
          <w:sz w:val="24"/>
          <w:szCs w:val="24"/>
        </w:rPr>
        <w:t>և</w:t>
      </w:r>
      <w:r w:rsidRPr="004B393A">
        <w:rPr>
          <w:rFonts w:ascii="Sylfaen" w:hAnsi="Sylfaen"/>
          <w:sz w:val="24"/>
          <w:szCs w:val="24"/>
        </w:rPr>
        <w:t>է մեկի վերաբերյալ տվյալները:</w:t>
      </w:r>
    </w:p>
    <w:p w14:paraId="4A38DB13"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3.3.</w:t>
      </w:r>
      <w:r w:rsidRPr="004B393A">
        <w:rPr>
          <w:rFonts w:ascii="Sylfaen" w:hAnsi="Sylfaen"/>
          <w:sz w:val="24"/>
          <w:szCs w:val="24"/>
        </w:rPr>
        <w:tab/>
        <w:t>Բաշխումը:</w:t>
      </w:r>
    </w:p>
    <w:p w14:paraId="023934A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բաժնում անհրաժեշտ է դիտարկել հետ</w:t>
      </w:r>
      <w:r w:rsidR="00C54D75">
        <w:rPr>
          <w:rFonts w:ascii="Sylfaen" w:hAnsi="Sylfaen"/>
          <w:sz w:val="24"/>
          <w:szCs w:val="24"/>
        </w:rPr>
        <w:t>և</w:t>
      </w:r>
      <w:r w:rsidRPr="004B393A">
        <w:rPr>
          <w:rFonts w:ascii="Sylfaen" w:hAnsi="Sylfaen"/>
          <w:sz w:val="24"/>
          <w:szCs w:val="24"/>
        </w:rPr>
        <w:t>յալ հարցերը՝</w:t>
      </w:r>
    </w:p>
    <w:p w14:paraId="67A4DE5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հյուսվածքներում բաշխման ուսումնասիրության վերաբերյալ հետազոտություններում կիրառվող մեթոդը (օրինակ՝ ավտոռադիոգրաֆիկ վերլուծություն).</w:t>
      </w:r>
    </w:p>
    <w:p w14:paraId="3AF20E3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տարբեր տեսակների մոտ սպիտակուցների հետ կապումը (ալբումինի </w:t>
      </w:r>
      <w:r w:rsidR="00C54D75">
        <w:rPr>
          <w:rFonts w:ascii="Sylfaen" w:hAnsi="Sylfaen"/>
          <w:sz w:val="24"/>
          <w:szCs w:val="24"/>
        </w:rPr>
        <w:t>և</w:t>
      </w:r>
      <w:r w:rsidRPr="004B393A">
        <w:rPr>
          <w:rFonts w:ascii="Sylfaen" w:hAnsi="Sylfaen"/>
          <w:sz w:val="24"/>
          <w:szCs w:val="24"/>
        </w:rPr>
        <w:t xml:space="preserve"> այլն) նյութի չկապված ֆրակցիայի գնահատմամբ, այդ թվում՝ մարդու մոտ.</w:t>
      </w:r>
    </w:p>
    <w:p w14:paraId="731737D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բաշխումն արյան ձ</w:t>
      </w:r>
      <w:r w:rsidR="00C54D75">
        <w:rPr>
          <w:rFonts w:ascii="Sylfaen" w:hAnsi="Sylfaen"/>
          <w:sz w:val="24"/>
          <w:szCs w:val="24"/>
        </w:rPr>
        <w:t>և</w:t>
      </w:r>
      <w:r w:rsidRPr="004B393A">
        <w:rPr>
          <w:rFonts w:ascii="Sylfaen" w:hAnsi="Sylfaen"/>
          <w:sz w:val="24"/>
          <w:szCs w:val="24"/>
        </w:rPr>
        <w:t>ավոր տարրերում (չի հանդիսանում հետազոտությունների մշտական պարտադիր տեսակ), եթե կիրառելի է.</w:t>
      </w:r>
    </w:p>
    <w:p w14:paraId="5CC5AB8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ընկերքի միջով ներթափանցման հետազոտությունը.</w:t>
      </w:r>
    </w:p>
    <w:p w14:paraId="265299C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կապումը մելանինի հետ (հատուկ հետազոտություն պիգմենտավորված առնետների վրա).</w:t>
      </w:r>
    </w:p>
    <w:p w14:paraId="49E286E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տվյալներ՝ կրծքի կաթով պատրաստուկի դուրսբերման վերաբերյալ (հարկ է </w:t>
      </w:r>
      <w:r w:rsidRPr="004B393A">
        <w:rPr>
          <w:rFonts w:ascii="Sylfaen" w:hAnsi="Sylfaen"/>
          <w:sz w:val="24"/>
          <w:szCs w:val="24"/>
        </w:rPr>
        <w:lastRenderedPageBreak/>
        <w:t>գնահատել առանձին):</w:t>
      </w:r>
    </w:p>
    <w:p w14:paraId="125DAEA0"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տեղեկություններ՝ հնարավոր օրգան-թիրախներում բաշխման աստիճանի վերաբերյալ՝ թունավորության </w:t>
      </w:r>
      <w:r w:rsidR="00C54D75">
        <w:rPr>
          <w:rFonts w:ascii="Sylfaen" w:hAnsi="Sylfaen"/>
          <w:sz w:val="24"/>
          <w:szCs w:val="24"/>
        </w:rPr>
        <w:t>և</w:t>
      </w:r>
      <w:r w:rsidRPr="004B393A">
        <w:rPr>
          <w:rFonts w:ascii="Sylfaen" w:hAnsi="Sylfaen"/>
          <w:sz w:val="24"/>
          <w:szCs w:val="24"/>
        </w:rPr>
        <w:t xml:space="preserve"> հյուսվածքներում պատրաստուկի կուտակման համատեքստում (ըստ հնարավորության) (մասնավորապես, այն հյուսվածքներում հյուսվածքասպեցիֆիկ անցանկալի ռեակցիաների առկայության դեպքում, որոնց մեջ նկատվում են կուտակումներ):</w:t>
      </w:r>
    </w:p>
    <w:p w14:paraId="2F00E2C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Անհրաժեշտ է մանրամասն դիտարկել պլազմայի սպիտակուցների հետ նյութի կապվելու վերաբերյալ հարցը: Հարկ է ներկայացնել տվյալներ՝ մարդու մոտ պատրաստուկի կիրառման վերաբերյալ, </w:t>
      </w:r>
      <w:r w:rsidR="00C54D75">
        <w:rPr>
          <w:rFonts w:ascii="Sylfaen" w:hAnsi="Sylfaen"/>
          <w:sz w:val="24"/>
          <w:szCs w:val="24"/>
        </w:rPr>
        <w:t>և</w:t>
      </w:r>
      <w:r w:rsidRPr="004B393A">
        <w:rPr>
          <w:rFonts w:ascii="Sylfaen" w:hAnsi="Sylfaen"/>
          <w:sz w:val="24"/>
          <w:szCs w:val="24"/>
        </w:rPr>
        <w:t xml:space="preserve"> անցկացնել միջտեսակային համեմատություն: Հարկ է գնահատել տարբեր տեսակների մոտ նյութի չկապված ֆրակցիայի խտությունների արժեքների համեմատության անհրաժեշտությունը:</w:t>
      </w:r>
    </w:p>
    <w:p w14:paraId="5008BE0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Մելանինի հետ կապվածությունը վկայող փաստերի առկայության դեպքում հարկ է քննարկել ֆոտոտոքսիկության գնահատման անհրաժեշտության հարցը (օրինակ՝ հաշվի առնելով լույսի կլանման աստիճանը), ԴՆԹ-ի հետ կապվածության հնարավորությունը:</w:t>
      </w:r>
    </w:p>
    <w:p w14:paraId="7A6F65FD"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Անհրաժեշտության դեպքում սույն բաժնում հարկ է նկարագրել ելքային պատրաստուկի բաշխման բնույթը՝ դրա մետաբոլիտների բաշխման հետ համեմատությամբ:</w:t>
      </w:r>
    </w:p>
    <w:p w14:paraId="1EA88B61" w14:textId="77777777" w:rsidR="008C76E0" w:rsidRPr="004B393A" w:rsidRDefault="008C76E0" w:rsidP="00CE376C">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3.4.</w:t>
      </w:r>
      <w:r w:rsidRPr="004B393A">
        <w:rPr>
          <w:rFonts w:ascii="Sylfaen" w:hAnsi="Sylfaen"/>
          <w:sz w:val="24"/>
          <w:szCs w:val="24"/>
        </w:rPr>
        <w:tab/>
        <w:t>Նյութափոխանակությունը:</w:t>
      </w:r>
    </w:p>
    <w:p w14:paraId="42F7D471"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Սույն բաժնում դիտարկվում է հետ</w:t>
      </w:r>
      <w:r w:rsidR="00C54D75">
        <w:rPr>
          <w:rFonts w:ascii="Sylfaen" w:hAnsi="Sylfaen"/>
          <w:sz w:val="24"/>
          <w:szCs w:val="24"/>
        </w:rPr>
        <w:t>և</w:t>
      </w:r>
      <w:r w:rsidRPr="004B393A">
        <w:rPr>
          <w:rFonts w:ascii="Sylfaen" w:hAnsi="Sylfaen"/>
          <w:sz w:val="24"/>
          <w:szCs w:val="24"/>
        </w:rPr>
        <w:t>յալ տեղեկատվությունը՝</w:t>
      </w:r>
    </w:p>
    <w:p w14:paraId="389DC27A"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մետաբոլիտների քիմիական կառուցվածքն ու պարունակությունը կենսաբանական միջավայրերում (աղյուսակի տեսքով).</w:t>
      </w:r>
    </w:p>
    <w:p w14:paraId="173A8A7B"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նյութափոխանակության հնարավոր ուղիները (դոսյեում առկայության դեպքում հարկ է այն լրացնել սխեմայով).</w:t>
      </w:r>
    </w:p>
    <w:p w14:paraId="3BDF411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նախահամակարգային նյութափոխանակությունը (աղեստամոքսային տրակտի (լյարդի) միջով առաջին անգամ անցման էֆեկտները).</w:t>
      </w:r>
    </w:p>
    <w:p w14:paraId="7ED0CFD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in vitro նյութափոխանակությունը, առաջին հերթին (միկրոսոմալային) Р</w:t>
      </w:r>
      <w:r w:rsidRPr="004B393A">
        <w:rPr>
          <w:rFonts w:ascii="Sylfaen" w:hAnsi="Sylfaen"/>
          <w:sz w:val="24"/>
          <w:szCs w:val="24"/>
          <w:vertAlign w:val="subscript"/>
        </w:rPr>
        <w:t xml:space="preserve">450 </w:t>
      </w:r>
      <w:r w:rsidRPr="004B393A">
        <w:rPr>
          <w:rFonts w:ascii="Sylfaen" w:hAnsi="Sylfaen"/>
          <w:sz w:val="24"/>
          <w:szCs w:val="24"/>
        </w:rPr>
        <w:lastRenderedPageBreak/>
        <w:t>ցիտոքրոմի հետազոտությունները՝ ազգակցությունը, իզոձ</w:t>
      </w:r>
      <w:r w:rsidR="00C54D75">
        <w:rPr>
          <w:rFonts w:ascii="Sylfaen" w:hAnsi="Sylfaen"/>
          <w:sz w:val="24"/>
          <w:szCs w:val="24"/>
        </w:rPr>
        <w:t>և</w:t>
      </w:r>
      <w:r w:rsidRPr="004B393A">
        <w:rPr>
          <w:rFonts w:ascii="Sylfaen" w:hAnsi="Sylfaen"/>
          <w:sz w:val="24"/>
          <w:szCs w:val="24"/>
        </w:rPr>
        <w:t>երի նկատմամբ սուբստրատի սպեցիֆիկությունը, արգելակիչ ակտիվության հետազոտությունը (դրական արդյունքի դեպքում արգելակման տիպը՝ դարձելի, անդարձելի), դեղային փոխազդեցությունը (կլինիկորեն նշանակալի փոխադարձ կապեր): Անհրաժեշտության դեպքում նկարագրվում են ոչ միկրոսոմալային օքսիդացման, վերականգնման, հիդրոլիզի ռեակցիաները.</w:t>
      </w:r>
    </w:p>
    <w:p w14:paraId="2BC3608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ֆերմենտների ինդուկցիան.</w:t>
      </w:r>
    </w:p>
    <w:p w14:paraId="015BC01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նյութափոխանակության երկրորդ փուլը ( կոնյուգացիան) (առաջին հերթին in vivo հետազոտություններում):</w:t>
      </w:r>
    </w:p>
    <w:p w14:paraId="37E4F50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համեմատել մարդու </w:t>
      </w:r>
      <w:r w:rsidR="00C54D75">
        <w:rPr>
          <w:rFonts w:ascii="Sylfaen" w:hAnsi="Sylfaen"/>
          <w:sz w:val="24"/>
          <w:szCs w:val="24"/>
        </w:rPr>
        <w:t>և</w:t>
      </w:r>
      <w:r w:rsidRPr="004B393A">
        <w:rPr>
          <w:rFonts w:ascii="Sylfaen" w:hAnsi="Sylfaen"/>
          <w:sz w:val="24"/>
          <w:szCs w:val="24"/>
        </w:rPr>
        <w:t xml:space="preserve"> կենդանիների մոտ նյութափոխանակության բնույթը:</w:t>
      </w:r>
    </w:p>
    <w:p w14:paraId="659973CC" w14:textId="5855420A"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Անհրաժեշտ է նշել՝ արդյոք առկա են տեսակին հատուկ մետաբոլիտներ հատկապես այն դեպքում, եթե պատրաստուկի անվտանգության հետազոտություններում օգտագործվող կենդանիները մարդկանց մոտ </w:t>
      </w:r>
      <w:r w:rsidR="0085119E">
        <w:rPr>
          <w:rFonts w:ascii="Sylfaen" w:hAnsi="Sylfaen"/>
          <w:sz w:val="24"/>
          <w:szCs w:val="24"/>
        </w:rPr>
        <w:t>հայտ</w:t>
      </w:r>
      <w:r w:rsidRPr="004B393A">
        <w:rPr>
          <w:rFonts w:ascii="Sylfaen" w:hAnsi="Sylfaen"/>
          <w:sz w:val="24"/>
          <w:szCs w:val="24"/>
        </w:rPr>
        <w:t>նաբերվող մետաբոլիտներ չեն ձ</w:t>
      </w:r>
      <w:r w:rsidR="00C54D75">
        <w:rPr>
          <w:rFonts w:ascii="Sylfaen" w:hAnsi="Sylfaen"/>
          <w:sz w:val="24"/>
          <w:szCs w:val="24"/>
        </w:rPr>
        <w:t>և</w:t>
      </w:r>
      <w:r w:rsidRPr="004B393A">
        <w:rPr>
          <w:rFonts w:ascii="Sylfaen" w:hAnsi="Sylfaen"/>
          <w:sz w:val="24"/>
          <w:szCs w:val="24"/>
        </w:rPr>
        <w:t>ավորում:</w:t>
      </w:r>
    </w:p>
    <w:p w14:paraId="4AFC456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Նշված տեղեկատվությունը համարվում է կենդանիների օգտագործվող մոդելների պիտանիության գնահատման կար</w:t>
      </w:r>
      <w:r w:rsidR="00C54D75">
        <w:rPr>
          <w:rFonts w:ascii="Sylfaen" w:hAnsi="Sylfaen"/>
          <w:sz w:val="24"/>
          <w:szCs w:val="24"/>
        </w:rPr>
        <w:t>և</w:t>
      </w:r>
      <w:r w:rsidRPr="004B393A">
        <w:rPr>
          <w:rFonts w:ascii="Sylfaen" w:hAnsi="Sylfaen"/>
          <w:sz w:val="24"/>
          <w:szCs w:val="24"/>
        </w:rPr>
        <w:t>որ մասը:</w:t>
      </w:r>
    </w:p>
    <w:p w14:paraId="4AFE8622"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3.5.</w:t>
      </w:r>
      <w:r w:rsidRPr="004B393A">
        <w:rPr>
          <w:rFonts w:ascii="Sylfaen" w:hAnsi="Sylfaen"/>
          <w:sz w:val="24"/>
          <w:szCs w:val="24"/>
        </w:rPr>
        <w:tab/>
        <w:t>Դուրսբերումը:</w:t>
      </w:r>
    </w:p>
    <w:p w14:paraId="216CB5C6"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Սույն բաժնում հարկ է հնարավորինս օգտագործել տվյալների աղյուսակային ներկայացումը: Նկարագրվում են պատրաստուկի դուրսբերման այն ուղիները, որոնք օրգանոսպեցիֆիկ թունավորության համար համարվում են նշանակալի:</w:t>
      </w:r>
    </w:p>
    <w:p w14:paraId="6286243A"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 xml:space="preserve">Կենդանիների </w:t>
      </w:r>
      <w:r w:rsidR="00C54D75">
        <w:rPr>
          <w:rFonts w:ascii="Sylfaen" w:hAnsi="Sylfaen"/>
          <w:sz w:val="24"/>
          <w:szCs w:val="24"/>
        </w:rPr>
        <w:t>և</w:t>
      </w:r>
      <w:r w:rsidRPr="004B393A">
        <w:rPr>
          <w:rFonts w:ascii="Sylfaen" w:hAnsi="Sylfaen"/>
          <w:sz w:val="24"/>
          <w:szCs w:val="24"/>
        </w:rPr>
        <w:t xml:space="preserve"> մարդու մոտ դուրսբերման եղանակների միջ</w:t>
      </w:r>
      <w:r w:rsidR="00C54D75">
        <w:rPr>
          <w:rFonts w:ascii="Sylfaen" w:hAnsi="Sylfaen"/>
          <w:sz w:val="24"/>
          <w:szCs w:val="24"/>
        </w:rPr>
        <w:t>և</w:t>
      </w:r>
      <w:r w:rsidRPr="004B393A">
        <w:rPr>
          <w:rFonts w:ascii="Sylfaen" w:hAnsi="Sylfaen"/>
          <w:sz w:val="24"/>
          <w:szCs w:val="24"/>
        </w:rPr>
        <w:t xml:space="preserve"> (այդ թվում՝ մետաբոլիտների) էական տարբերությունների առկայության դեպքում կենդանիների մոտ դուրսբերման ուղիները կարող են լինել պակաս կար</w:t>
      </w:r>
      <w:r w:rsidR="00C54D75">
        <w:rPr>
          <w:rFonts w:ascii="Sylfaen" w:hAnsi="Sylfaen"/>
          <w:sz w:val="24"/>
          <w:szCs w:val="24"/>
        </w:rPr>
        <w:t>և</w:t>
      </w:r>
      <w:r w:rsidRPr="004B393A">
        <w:rPr>
          <w:rFonts w:ascii="Sylfaen" w:hAnsi="Sylfaen"/>
          <w:sz w:val="24"/>
          <w:szCs w:val="24"/>
        </w:rPr>
        <w:t>որ թունավորության գնահատման համատեքստում՝ կապված մարդու մոտ դուրսբերման համար պատասխանատու համապատասխան օրգանի հետ:</w:t>
      </w:r>
    </w:p>
    <w:p w14:paraId="4F28A0D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lastRenderedPageBreak/>
        <w:t>Սույն բաժնում հարկ է նա</w:t>
      </w:r>
      <w:r w:rsidR="00C54D75">
        <w:rPr>
          <w:rFonts w:ascii="Sylfaen" w:hAnsi="Sylfaen"/>
          <w:sz w:val="24"/>
          <w:szCs w:val="24"/>
        </w:rPr>
        <w:t>և</w:t>
      </w:r>
      <w:r w:rsidRPr="004B393A">
        <w:rPr>
          <w:rFonts w:ascii="Sylfaen" w:hAnsi="Sylfaen"/>
          <w:sz w:val="24"/>
          <w:szCs w:val="24"/>
        </w:rPr>
        <w:t xml:space="preserve"> ներկայացնել տվյալներ </w:t>
      </w:r>
      <w:r w:rsidR="00C54D75">
        <w:rPr>
          <w:rFonts w:ascii="Sylfaen" w:hAnsi="Sylfaen"/>
          <w:sz w:val="24"/>
          <w:szCs w:val="24"/>
        </w:rPr>
        <w:t>և</w:t>
      </w:r>
      <w:r w:rsidRPr="004B393A">
        <w:rPr>
          <w:rFonts w:ascii="Sylfaen" w:hAnsi="Sylfaen"/>
          <w:sz w:val="24"/>
          <w:szCs w:val="24"/>
        </w:rPr>
        <w:t xml:space="preserve"> մեկնաբանություններ՝ նյութական հաշվեկշռի մասով:</w:t>
      </w:r>
    </w:p>
    <w:p w14:paraId="64AFDEF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3.6.</w:t>
      </w:r>
      <w:r w:rsidRPr="004B393A">
        <w:rPr>
          <w:rFonts w:ascii="Sylfaen" w:hAnsi="Sylfaen"/>
          <w:sz w:val="24"/>
          <w:szCs w:val="24"/>
        </w:rPr>
        <w:tab/>
        <w:t>Դեղակինետիկ դեղային փոխազդեցությունները:</w:t>
      </w:r>
    </w:p>
    <w:p w14:paraId="4A0917F9"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Հարկ է հիմնական ուշադրություն դարձնել այն դեղապատրաստուկների հետ փոխազդեցությանը, որոնք կլինիկական գործունեության մեջ կարող են պոտենցիալ կերպով օգտագործվել համակցված թերապիայում՝ հետազոտվող պատրաստուկի հետ:</w:t>
      </w:r>
    </w:p>
    <w:p w14:paraId="59E9836C"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3.7.</w:t>
      </w:r>
      <w:r w:rsidRPr="004B393A">
        <w:rPr>
          <w:rFonts w:ascii="Sylfaen" w:hAnsi="Sylfaen"/>
          <w:sz w:val="24"/>
          <w:szCs w:val="24"/>
        </w:rPr>
        <w:tab/>
        <w:t>Այլ դեղակինետիկ հետազոտություններ:</w:t>
      </w:r>
    </w:p>
    <w:p w14:paraId="6E63A983"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Անհրաժեշտության դեպքում հարկ է սույն բաժնում գործածել հետ</w:t>
      </w:r>
      <w:r w:rsidR="00C54D75">
        <w:rPr>
          <w:rFonts w:ascii="Sylfaen" w:hAnsi="Sylfaen"/>
          <w:sz w:val="24"/>
          <w:szCs w:val="24"/>
        </w:rPr>
        <w:t>և</w:t>
      </w:r>
      <w:r w:rsidRPr="004B393A">
        <w:rPr>
          <w:rFonts w:ascii="Sylfaen" w:hAnsi="Sylfaen"/>
          <w:sz w:val="24"/>
          <w:szCs w:val="24"/>
        </w:rPr>
        <w:t>յալ ենթավերնագրերը՝</w:t>
      </w:r>
    </w:p>
    <w:p w14:paraId="006AFA49"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կենդանիների մատղաշի վրա անցկացվող հետազոտություններ.</w:t>
      </w:r>
    </w:p>
    <w:p w14:paraId="23106104"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հղի կենդանիների վրա անցկացվող հետազոտություններ.</w:t>
      </w:r>
    </w:p>
    <w:p w14:paraId="4666AD85"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որոշակի հիվանդությամբ տառապող կենդանիների մոդելների օգտագործմամբ անցկացվող հետազոտություններ:</w:t>
      </w:r>
    </w:p>
    <w:p w14:paraId="6C1BAF34"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3.8.</w:t>
      </w:r>
      <w:r w:rsidRPr="004B393A">
        <w:rPr>
          <w:rFonts w:ascii="Sylfaen" w:hAnsi="Sylfaen"/>
          <w:sz w:val="24"/>
          <w:szCs w:val="24"/>
        </w:rPr>
        <w:tab/>
        <w:t>Փորձագետի ընդհանուր եզրակացությունը՝ դեղակինետիկայի վերաբերյալ:</w:t>
      </w:r>
    </w:p>
    <w:p w14:paraId="7D1D44F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բաժնի բովանդակությունը կարող է ներառվել «Անվտանգության, որակի, արդյունավետության գնահատում» ամփոփ փորձագիտական հաշվետվության մոդուլում:</w:t>
      </w:r>
    </w:p>
    <w:p w14:paraId="66EC9BB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Որպեսզի հաշվետվության վրա աշխատող անձինք ունենան օգուտ-ռիսկ հարաբերակցության պրոֆիլը գնահատելու հնարավորություն, անհրաժեշտ է սույն բաժնի վրա տարվող աշխատանքին վերաբերվել առանձնահատուկ ուշադրությամբ:</w:t>
      </w:r>
    </w:p>
    <w:p w14:paraId="1E1E946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իրականացնել առավել կար</w:t>
      </w:r>
      <w:r w:rsidR="00C54D75">
        <w:rPr>
          <w:rFonts w:ascii="Sylfaen" w:hAnsi="Sylfaen"/>
          <w:sz w:val="24"/>
          <w:szCs w:val="24"/>
        </w:rPr>
        <w:t>և</w:t>
      </w:r>
      <w:r w:rsidRPr="004B393A">
        <w:rPr>
          <w:rFonts w:ascii="Sylfaen" w:hAnsi="Sylfaen"/>
          <w:sz w:val="24"/>
          <w:szCs w:val="24"/>
        </w:rPr>
        <w:t xml:space="preserve">որ դեղակինետիկ բնութագրերի ընդհանուր ուսումնասիրություն, մեկնաբանել կենդանիների օգտագործված մոդելների պիտանիությունը մարդու մոտ դեղամիջոցի կիրառության </w:t>
      </w:r>
      <w:r w:rsidRPr="004B393A">
        <w:rPr>
          <w:rFonts w:ascii="Sylfaen" w:hAnsi="Sylfaen"/>
          <w:sz w:val="24"/>
          <w:szCs w:val="24"/>
        </w:rPr>
        <w:lastRenderedPageBreak/>
        <w:t>անվտանգության գնահատման համար թունավորության ուսումնասիրության ժամանակ՝ մասնավորապես նյութափոխանակության ուղիներում հնարավոր տարբերությունների առնչությամբ:</w:t>
      </w:r>
    </w:p>
    <w:p w14:paraId="1630BE04" w14:textId="77777777" w:rsidR="008C76E0" w:rsidRPr="004B393A" w:rsidRDefault="008C76E0" w:rsidP="004B393A">
      <w:pPr>
        <w:spacing w:after="160" w:line="360" w:lineRule="auto"/>
        <w:ind w:right="-1" w:firstLine="567"/>
        <w:jc w:val="both"/>
        <w:rPr>
          <w:rFonts w:ascii="Sylfaen" w:hAnsi="Sylfaen"/>
          <w:spacing w:val="-4"/>
          <w:sz w:val="24"/>
          <w:szCs w:val="24"/>
        </w:rPr>
      </w:pPr>
      <w:r w:rsidRPr="004B393A">
        <w:rPr>
          <w:rFonts w:ascii="Sylfaen" w:hAnsi="Sylfaen"/>
          <w:spacing w:val="-4"/>
          <w:sz w:val="24"/>
          <w:szCs w:val="24"/>
        </w:rPr>
        <w:t>Այլ կար</w:t>
      </w:r>
      <w:r w:rsidR="00C54D75">
        <w:rPr>
          <w:rFonts w:ascii="Sylfaen" w:hAnsi="Sylfaen"/>
          <w:spacing w:val="-4"/>
          <w:sz w:val="24"/>
          <w:szCs w:val="24"/>
        </w:rPr>
        <w:t>և</w:t>
      </w:r>
      <w:r w:rsidRPr="004B393A">
        <w:rPr>
          <w:rFonts w:ascii="Sylfaen" w:hAnsi="Sylfaen"/>
          <w:spacing w:val="-4"/>
          <w:sz w:val="24"/>
          <w:szCs w:val="24"/>
        </w:rPr>
        <w:t xml:space="preserve">որ ասպեկտների շարքին են դասվում այն էական տարբերությունները, որոնք առկա են կլանման (կենսամատչելիության), (միջանձնային) միջտեսակային փոփոխականության, էլիմինացման արագության </w:t>
      </w:r>
      <w:r w:rsidRPr="004B393A">
        <w:rPr>
          <w:rFonts w:ascii="Sylfaen" w:hAnsi="Sylfaen"/>
          <w:spacing w:val="-4"/>
          <w:sz w:val="24"/>
          <w:szCs w:val="24"/>
        </w:rPr>
        <w:br/>
        <w:t>(t</w:t>
      </w:r>
      <w:r w:rsidRPr="004B393A">
        <w:rPr>
          <w:rFonts w:ascii="Sylfaen" w:hAnsi="Sylfaen"/>
          <w:spacing w:val="-4"/>
          <w:sz w:val="24"/>
          <w:szCs w:val="24"/>
          <w:vertAlign w:val="subscript"/>
        </w:rPr>
        <w:t xml:space="preserve">½ </w:t>
      </w:r>
      <w:r w:rsidRPr="004B393A">
        <w:rPr>
          <w:rFonts w:ascii="Sylfaen" w:hAnsi="Sylfaen"/>
          <w:spacing w:val="-4"/>
          <w:sz w:val="24"/>
          <w:szCs w:val="24"/>
        </w:rPr>
        <w:t>-ի տարբեր արժեքները</w:t>
      </w:r>
      <w:r w:rsidRPr="004B393A">
        <w:rPr>
          <w:rStyle w:val="Bodytext295pt"/>
          <w:rFonts w:ascii="Sylfaen" w:eastAsiaTheme="minorHAnsi" w:hAnsi="Sylfaen"/>
          <w:b w:val="0"/>
          <w:spacing w:val="-4"/>
          <w:sz w:val="24"/>
          <w:szCs w:val="24"/>
        </w:rPr>
        <w:t>)</w:t>
      </w:r>
      <w:r w:rsidRPr="004B393A">
        <w:rPr>
          <w:rFonts w:ascii="Sylfaen" w:hAnsi="Sylfaen"/>
          <w:spacing w:val="-4"/>
          <w:sz w:val="24"/>
          <w:szCs w:val="24"/>
        </w:rPr>
        <w:t xml:space="preserve"> </w:t>
      </w:r>
      <w:r w:rsidR="00C54D75">
        <w:rPr>
          <w:rFonts w:ascii="Sylfaen" w:hAnsi="Sylfaen"/>
          <w:spacing w:val="-4"/>
          <w:sz w:val="24"/>
          <w:szCs w:val="24"/>
        </w:rPr>
        <w:t>և</w:t>
      </w:r>
      <w:r w:rsidRPr="004B393A">
        <w:rPr>
          <w:rFonts w:ascii="Sylfaen" w:hAnsi="Sylfaen"/>
          <w:spacing w:val="-4"/>
          <w:sz w:val="24"/>
          <w:szCs w:val="24"/>
        </w:rPr>
        <w:t xml:space="preserve"> այլ ցուցանիշներում:</w:t>
      </w:r>
    </w:p>
    <w:p w14:paraId="66F65D91" w14:textId="6DC73F19"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Ապա անհրաժեշտ է ուսումնասիրել այլ հարցեր, որոնք կար</w:t>
      </w:r>
      <w:r w:rsidR="00C54D75">
        <w:rPr>
          <w:rFonts w:ascii="Sylfaen" w:hAnsi="Sylfaen"/>
          <w:sz w:val="24"/>
          <w:szCs w:val="24"/>
        </w:rPr>
        <w:t>և</w:t>
      </w:r>
      <w:r w:rsidRPr="004B393A">
        <w:rPr>
          <w:rFonts w:ascii="Sylfaen" w:hAnsi="Sylfaen"/>
          <w:sz w:val="24"/>
          <w:szCs w:val="24"/>
        </w:rPr>
        <w:t xml:space="preserve">որ նշանակություն ունեն անվտանգության գնահատման համար, օրինակ՝ օրգան-թիրախներում բաշխման բնույթը, դուրսբերման ուղիները, դեղաբանորեն ակտիվ մետաբոլիտները: Նկարագրել </w:t>
      </w:r>
      <w:r w:rsidR="00003ABD">
        <w:rPr>
          <w:rFonts w:ascii="Sylfaen" w:hAnsi="Sylfaen"/>
          <w:sz w:val="24"/>
          <w:szCs w:val="24"/>
        </w:rPr>
        <w:t>հայտնաբերված</w:t>
      </w:r>
      <w:r w:rsidRPr="004B393A">
        <w:rPr>
          <w:rFonts w:ascii="Sylfaen" w:hAnsi="Sylfaen"/>
          <w:sz w:val="24"/>
          <w:szCs w:val="24"/>
        </w:rPr>
        <w:t xml:space="preserve"> միջտեսակային տարբերություններն ու անցկացնել համեմատություն հնարավոր կլինիկական իրադրության հետ։</w:t>
      </w:r>
    </w:p>
    <w:p w14:paraId="147073C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կարող են պարունակվել միայն հիմնական եզրահանգումներ, </w:t>
      </w:r>
      <w:r w:rsidR="00C54D75">
        <w:rPr>
          <w:rFonts w:ascii="Sylfaen" w:hAnsi="Sylfaen"/>
          <w:sz w:val="24"/>
          <w:szCs w:val="24"/>
        </w:rPr>
        <w:t>և</w:t>
      </w:r>
      <w:r w:rsidRPr="004B393A">
        <w:rPr>
          <w:rFonts w:ascii="Sylfaen" w:hAnsi="Sylfaen"/>
          <w:sz w:val="24"/>
          <w:szCs w:val="24"/>
        </w:rPr>
        <w:t xml:space="preserve"> այդ դեպքում «Անվտանգության, որակի, արդյունավետության գնահատում» ամփոփ փորձագիտական հաշվետվության բաժնի տեքստը պետք է մշակվի առանձին:</w:t>
      </w:r>
    </w:p>
    <w:p w14:paraId="39161C37"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pacing w:val="-4"/>
          <w:sz w:val="24"/>
          <w:szCs w:val="24"/>
        </w:rPr>
        <w:t xml:space="preserve">Հարկ է ստուգել դոսյեում </w:t>
      </w:r>
      <w:r w:rsidR="00C54D75">
        <w:rPr>
          <w:rFonts w:ascii="Sylfaen" w:hAnsi="Sylfaen"/>
          <w:spacing w:val="-4"/>
          <w:sz w:val="24"/>
          <w:szCs w:val="24"/>
        </w:rPr>
        <w:t>և</w:t>
      </w:r>
      <w:r w:rsidRPr="004B393A">
        <w:rPr>
          <w:rFonts w:ascii="Sylfaen" w:hAnsi="Sylfaen"/>
          <w:spacing w:val="-4"/>
          <w:sz w:val="24"/>
          <w:szCs w:val="24"/>
        </w:rPr>
        <w:t xml:space="preserve"> ԴԸԲ-ում տեքստի համապատասխանությունը (մասնավորապես՝ հաշվետվության 5.3՝ «Նախակլինիկական հետազոտությունների անվտանգության տվյալներ» բաժնում, ինչպես նա</w:t>
      </w:r>
      <w:r w:rsidR="00C54D75">
        <w:rPr>
          <w:rFonts w:ascii="Sylfaen" w:hAnsi="Sylfaen"/>
          <w:spacing w:val="-4"/>
          <w:sz w:val="24"/>
          <w:szCs w:val="24"/>
        </w:rPr>
        <w:t>և</w:t>
      </w:r>
      <w:r w:rsidRPr="004B393A">
        <w:rPr>
          <w:rFonts w:ascii="Sylfaen" w:hAnsi="Sylfaen"/>
          <w:spacing w:val="-4"/>
          <w:sz w:val="24"/>
          <w:szCs w:val="24"/>
        </w:rPr>
        <w:t xml:space="preserve"> հաշվետվության 5.2՝ «Դեղադինամիկ հատկություններ», 4.3՝ «Հակացուցումներ», 4.5՝ «Դեղային փոխազդեցություններ», 4.6՝ «Հղիություն </w:t>
      </w:r>
      <w:r w:rsidR="00C54D75">
        <w:rPr>
          <w:rFonts w:ascii="Sylfaen" w:hAnsi="Sylfaen"/>
          <w:spacing w:val="-4"/>
          <w:sz w:val="24"/>
          <w:szCs w:val="24"/>
        </w:rPr>
        <w:t>և</w:t>
      </w:r>
      <w:r w:rsidRPr="004B393A">
        <w:rPr>
          <w:rFonts w:ascii="Sylfaen" w:hAnsi="Sylfaen"/>
          <w:spacing w:val="-4"/>
          <w:sz w:val="24"/>
          <w:szCs w:val="24"/>
        </w:rPr>
        <w:t xml:space="preserve"> կրծքով կերակրում» բաժիններում), ինչպես նա</w:t>
      </w:r>
      <w:r w:rsidR="00C54D75">
        <w:rPr>
          <w:rFonts w:ascii="Sylfaen" w:hAnsi="Sylfaen"/>
          <w:spacing w:val="-4"/>
          <w:sz w:val="24"/>
          <w:szCs w:val="24"/>
        </w:rPr>
        <w:t>և</w:t>
      </w:r>
      <w:r w:rsidRPr="004B393A">
        <w:rPr>
          <w:rFonts w:ascii="Sylfaen" w:hAnsi="Sylfaen"/>
          <w:spacing w:val="-4"/>
          <w:sz w:val="24"/>
          <w:szCs w:val="24"/>
        </w:rPr>
        <w:t xml:space="preserve"> հավաստիանալ, որ ԴԸԲ-ում պարունակվող տեղեկատվությունն ամբողջությամբ հաստատված</w:t>
      </w:r>
      <w:r w:rsidRPr="004B393A">
        <w:rPr>
          <w:rFonts w:ascii="Sylfaen" w:hAnsi="Sylfaen"/>
          <w:sz w:val="24"/>
          <w:szCs w:val="24"/>
        </w:rPr>
        <w:t xml:space="preserve"> է գիտական փորձաքննության արդյունքներով:</w:t>
      </w:r>
    </w:p>
    <w:p w14:paraId="2045470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4.</w:t>
      </w:r>
      <w:r w:rsidRPr="004B393A">
        <w:rPr>
          <w:rFonts w:ascii="Sylfaen" w:hAnsi="Sylfaen"/>
          <w:sz w:val="24"/>
          <w:szCs w:val="24"/>
        </w:rPr>
        <w:tab/>
        <w:t xml:space="preserve">Թունաբանություն (2.6.6 </w:t>
      </w:r>
      <w:r w:rsidR="00C54D75">
        <w:rPr>
          <w:rFonts w:ascii="Sylfaen" w:hAnsi="Sylfaen"/>
          <w:sz w:val="24"/>
          <w:szCs w:val="24"/>
        </w:rPr>
        <w:t>և</w:t>
      </w:r>
      <w:r w:rsidRPr="004B393A">
        <w:rPr>
          <w:rFonts w:ascii="Sylfaen" w:hAnsi="Sylfaen"/>
          <w:sz w:val="24"/>
          <w:szCs w:val="24"/>
        </w:rPr>
        <w:t xml:space="preserve"> 4.3.3 մոդուլներ):</w:t>
      </w:r>
    </w:p>
    <w:p w14:paraId="1CC33B6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4.1.</w:t>
      </w:r>
      <w:r w:rsidRPr="004B393A">
        <w:rPr>
          <w:rFonts w:ascii="Sylfaen" w:hAnsi="Sylfaen"/>
          <w:sz w:val="24"/>
          <w:szCs w:val="24"/>
        </w:rPr>
        <w:tab/>
        <w:t>Թունավորությունը մեկանգամյա ներմուծման դեպքում:</w:t>
      </w:r>
    </w:p>
    <w:p w14:paraId="08CAA00F" w14:textId="1BA98E84"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բաժնում տեղեկատվությունն անհրաժեշտ է ընդգրկել պատշաճ </w:t>
      </w:r>
      <w:r w:rsidRPr="004B393A">
        <w:rPr>
          <w:rFonts w:ascii="Sylfaen" w:hAnsi="Sylfaen"/>
          <w:sz w:val="24"/>
          <w:szCs w:val="24"/>
        </w:rPr>
        <w:lastRenderedPageBreak/>
        <w:t xml:space="preserve">լաբորատոր գործունեության կանոններով սահմանված պահանջներին համապատասխան անցկացվող ստանդարտ հետազոտության համար նախատեսված հսկողության՝ 14 օրացուցային օր </w:t>
      </w:r>
      <w:r w:rsidR="00C54D75">
        <w:rPr>
          <w:rFonts w:ascii="Sylfaen" w:hAnsi="Sylfaen"/>
          <w:sz w:val="24"/>
          <w:szCs w:val="24"/>
        </w:rPr>
        <w:t>և</w:t>
      </w:r>
      <w:r w:rsidRPr="004B393A">
        <w:rPr>
          <w:rFonts w:ascii="Sylfaen" w:hAnsi="Sylfaen"/>
          <w:sz w:val="24"/>
          <w:szCs w:val="24"/>
        </w:rPr>
        <w:t xml:space="preserve"> ավելի տ</w:t>
      </w:r>
      <w:r w:rsidR="00C54D75">
        <w:rPr>
          <w:rFonts w:ascii="Sylfaen" w:hAnsi="Sylfaen"/>
          <w:sz w:val="24"/>
          <w:szCs w:val="24"/>
        </w:rPr>
        <w:t>և</w:t>
      </w:r>
      <w:r w:rsidRPr="004B393A">
        <w:rPr>
          <w:rFonts w:ascii="Sylfaen" w:hAnsi="Sylfaen"/>
          <w:sz w:val="24"/>
          <w:szCs w:val="24"/>
        </w:rPr>
        <w:t xml:space="preserve">ողությամբ </w:t>
      </w:r>
      <w:r w:rsidR="00C54D75">
        <w:rPr>
          <w:rFonts w:ascii="Sylfaen" w:hAnsi="Sylfaen"/>
          <w:sz w:val="24"/>
          <w:szCs w:val="24"/>
        </w:rPr>
        <w:t>և</w:t>
      </w:r>
      <w:r w:rsidRPr="004B393A">
        <w:rPr>
          <w:rFonts w:ascii="Sylfaen" w:hAnsi="Sylfaen"/>
          <w:sz w:val="24"/>
          <w:szCs w:val="24"/>
        </w:rPr>
        <w:t xml:space="preserve"> հակիրճ եզրակացություն կազմել այն մասին, թե արդյոք անցկացված հետազոտություններով </w:t>
      </w:r>
      <w:r w:rsidR="00FE4A71">
        <w:rPr>
          <w:rFonts w:ascii="Sylfaen" w:hAnsi="Sylfaen"/>
          <w:sz w:val="24"/>
          <w:szCs w:val="24"/>
        </w:rPr>
        <w:t xml:space="preserve">հայտնաբերվել </w:t>
      </w:r>
      <w:r w:rsidRPr="004B393A">
        <w:rPr>
          <w:rFonts w:ascii="Sylfaen" w:hAnsi="Sylfaen"/>
          <w:sz w:val="24"/>
          <w:szCs w:val="24"/>
        </w:rPr>
        <w:t xml:space="preserve"> են սուր թունավորության վառ </w:t>
      </w:r>
      <w:r w:rsidR="0085119E">
        <w:rPr>
          <w:rFonts w:ascii="Sylfaen" w:hAnsi="Sylfaen"/>
          <w:sz w:val="24"/>
          <w:szCs w:val="24"/>
        </w:rPr>
        <w:t>արտահայտվ</w:t>
      </w:r>
      <w:r w:rsidRPr="004B393A">
        <w:rPr>
          <w:rFonts w:ascii="Sylfaen" w:hAnsi="Sylfaen"/>
          <w:sz w:val="24"/>
          <w:szCs w:val="24"/>
        </w:rPr>
        <w:t>ած կամ թույլ ռեակցիաներ:</w:t>
      </w:r>
    </w:p>
    <w:p w14:paraId="606B176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Խորհուրդ է տրվում ներկայացնել տվյալներ՝ մահացու դեղաչափի կամ դիտարկվող առավելագույն ոչ մահացու դեղաչափի մոտավոր մակարդակի վերաբերյալ:</w:t>
      </w:r>
    </w:p>
    <w:p w14:paraId="076E5804"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սուր թունավորության կլինիկական նշանները (հակիրճ), մահացու ելքով դեպքերի բնույթն ու ժամանակը (մինչ</w:t>
      </w:r>
      <w:r w:rsidR="00C54D75">
        <w:rPr>
          <w:rFonts w:ascii="Sylfaen" w:hAnsi="Sylfaen"/>
          <w:sz w:val="24"/>
          <w:szCs w:val="24"/>
        </w:rPr>
        <w:t>և</w:t>
      </w:r>
      <w:r w:rsidRPr="004B393A">
        <w:rPr>
          <w:rFonts w:ascii="Sylfaen" w:hAnsi="Sylfaen"/>
          <w:sz w:val="24"/>
          <w:szCs w:val="24"/>
        </w:rPr>
        <w:t xml:space="preserve"> հսկողության ժամկետի ավարտը (այդ նույն օրը) կամ դրանից հետո):</w:t>
      </w:r>
    </w:p>
    <w:p w14:paraId="2F333366"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Ահրաժեշտության դեպքում ներկայացնել տեղեկություններ՝ օրգան-թիրախների, պաթոմորֆոլոգիական հետազոտությունների արդյունքների վերաբերյալ:</w:t>
      </w:r>
    </w:p>
    <w:p w14:paraId="5A478E6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4.2.</w:t>
      </w:r>
      <w:r w:rsidRPr="004B393A">
        <w:rPr>
          <w:rFonts w:ascii="Sylfaen" w:hAnsi="Sylfaen"/>
          <w:sz w:val="24"/>
          <w:szCs w:val="24"/>
        </w:rPr>
        <w:tab/>
        <w:t>Թունավորությունը բազմակի ներմուծման դեպքում:</w:t>
      </w:r>
    </w:p>
    <w:p w14:paraId="062E9754"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Հիմնական հետազոտությունների վերաբերյալ տեղեկատվությունը պետք է բաժանված լինի ըստ կենդանիների տեսակների </w:t>
      </w:r>
      <w:r w:rsidR="00C54D75">
        <w:rPr>
          <w:rFonts w:ascii="Sylfaen" w:hAnsi="Sylfaen"/>
          <w:sz w:val="24"/>
          <w:szCs w:val="24"/>
        </w:rPr>
        <w:t>և</w:t>
      </w:r>
      <w:r w:rsidRPr="004B393A">
        <w:rPr>
          <w:rFonts w:ascii="Sylfaen" w:hAnsi="Sylfaen"/>
          <w:sz w:val="24"/>
          <w:szCs w:val="24"/>
        </w:rPr>
        <w:t xml:space="preserve"> պատրաստուկի ներմուծման ուղիների: Անհրաժեշտ է մեկնաբանել հետազոտությունների ծրագրերի՝ պատշաճ լաբորատոր գործունեության կանոնների պահանջներին ընդհանուր համապատասխանությունը </w:t>
      </w:r>
      <w:r w:rsidR="00C54D75">
        <w:rPr>
          <w:rFonts w:ascii="Sylfaen" w:hAnsi="Sylfaen"/>
          <w:sz w:val="24"/>
          <w:szCs w:val="24"/>
        </w:rPr>
        <w:t>և</w:t>
      </w:r>
      <w:r w:rsidRPr="004B393A">
        <w:rPr>
          <w:rFonts w:ascii="Sylfaen" w:hAnsi="Sylfaen"/>
          <w:sz w:val="24"/>
          <w:szCs w:val="24"/>
        </w:rPr>
        <w:t xml:space="preserve"> դրանից շեղումների բոլոր տեղ գտած դեպքերը (օրինակ՝ հսկվող խմբի կենդանիների կոնտամինացիան):</w:t>
      </w:r>
    </w:p>
    <w:p w14:paraId="447034C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ներկայացնել հետազոտությունների պլանի հակիրճ նկարագիրը (կենդանիների տոհմաբանական գծերը, ներմուծման ուղին, դոզավորման ռեժիմները, կենդանիների քանակը (սեռը, խումբը), վերականգնման խմբերը (առկայության դեպքում), տոքսիկոկինետիկ հետազոտությունները, եթե այդպիսիք անցկացվում են):</w:t>
      </w:r>
    </w:p>
    <w:p w14:paraId="1FA67AA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Անհրաժեշտ է մանրամասն նկարագրել հետազոտությունների հիմնական արդյունքները, այդ թվում՝ մահվան ելքով դեպքերը, մարմնի զանգվածի դինամիկան, համապատասխան լաբորատոր տվյալները, օրգան-թիրախներում պաթոմորֆոլոգիական փոփոխությունները, փոփոխությունների կախվածությունը դեղաչափից, ռեակցիայի առաջացման ժամանակը, ռեակցիայի լրջության աստիճանը, թունավոր էֆեկտներում առկա տարբերություններն ու դրանց տ</w:t>
      </w:r>
      <w:r w:rsidR="00C54D75">
        <w:rPr>
          <w:rFonts w:ascii="Sylfaen" w:hAnsi="Sylfaen"/>
          <w:sz w:val="24"/>
          <w:szCs w:val="24"/>
        </w:rPr>
        <w:t>և</w:t>
      </w:r>
      <w:r w:rsidRPr="004B393A">
        <w:rPr>
          <w:rFonts w:ascii="Sylfaen" w:hAnsi="Sylfaen"/>
          <w:sz w:val="24"/>
          <w:szCs w:val="24"/>
        </w:rPr>
        <w:t xml:space="preserve">ողությունը՝ կախված կենդանիների տեսակից </w:t>
      </w:r>
      <w:r w:rsidR="00C54D75">
        <w:rPr>
          <w:rFonts w:ascii="Sylfaen" w:hAnsi="Sylfaen"/>
          <w:sz w:val="24"/>
          <w:szCs w:val="24"/>
        </w:rPr>
        <w:t>և</w:t>
      </w:r>
      <w:r w:rsidRPr="004B393A">
        <w:rPr>
          <w:rFonts w:ascii="Sylfaen" w:hAnsi="Sylfaen"/>
          <w:sz w:val="24"/>
          <w:szCs w:val="24"/>
        </w:rPr>
        <w:t xml:space="preserve"> սեռից:</w:t>
      </w:r>
    </w:p>
    <w:p w14:paraId="50BC653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Նշել ընդգծված անցանկալի ներգործության բացակայության մակարդակը (NOAEL) կենդանիների տարբեր տեսակների համար, եթե այդպիսին սահմանվել է, նկարագրել կենդանիների մոտ տվյալ դեղաչափի էքսպոզիցիայի </w:t>
      </w:r>
      <w:r w:rsidR="00C54D75">
        <w:rPr>
          <w:rFonts w:ascii="Sylfaen" w:hAnsi="Sylfaen"/>
          <w:sz w:val="24"/>
          <w:szCs w:val="24"/>
        </w:rPr>
        <w:t>և</w:t>
      </w:r>
      <w:r w:rsidRPr="004B393A">
        <w:rPr>
          <w:rFonts w:ascii="Sylfaen" w:hAnsi="Sylfaen"/>
          <w:sz w:val="24"/>
          <w:szCs w:val="24"/>
        </w:rPr>
        <w:t xml:space="preserve"> մարդու մոտ պատրաստուկի առաջարկվող առավելագույն դեղաչափի էքսպոզիցիայի (էքսպոզիցիայի վերին շեմի) միջ</w:t>
      </w:r>
      <w:r w:rsidR="00C54D75">
        <w:rPr>
          <w:rFonts w:ascii="Sylfaen" w:hAnsi="Sylfaen"/>
          <w:sz w:val="24"/>
          <w:szCs w:val="24"/>
        </w:rPr>
        <w:t>և</w:t>
      </w:r>
      <w:r w:rsidRPr="004B393A">
        <w:rPr>
          <w:rFonts w:ascii="Sylfaen" w:hAnsi="Sylfaen"/>
          <w:sz w:val="24"/>
          <w:szCs w:val="24"/>
        </w:rPr>
        <w:t xml:space="preserve"> փոխադարձ կապը:</w:t>
      </w:r>
    </w:p>
    <w:p w14:paraId="66847F58" w14:textId="74D5E532"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անհրաժեշտ է ներառել տվյալներ այն մասին՝ արդյոք վերականգնման խմբում ռեակցիաների դարձելիություն </w:t>
      </w:r>
      <w:r w:rsidR="00FE4A71">
        <w:rPr>
          <w:rFonts w:ascii="Sylfaen" w:hAnsi="Sylfaen"/>
          <w:sz w:val="24"/>
          <w:szCs w:val="24"/>
        </w:rPr>
        <w:t xml:space="preserve">հայտնաբերվել </w:t>
      </w:r>
      <w:r w:rsidRPr="004B393A">
        <w:rPr>
          <w:rFonts w:ascii="Sylfaen" w:hAnsi="Sylfaen"/>
          <w:sz w:val="24"/>
          <w:szCs w:val="24"/>
        </w:rPr>
        <w:t xml:space="preserve"> է, թե՝ ոչ:</w:t>
      </w:r>
    </w:p>
    <w:p w14:paraId="041636E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Հարկ է մեկնաբանել տոքսիկոկինետիկ պարամետրերի (գծայնութուն, կախվածություն սեռից, կուտակում) մասին տեղեկությունները:</w:t>
      </w:r>
    </w:p>
    <w:p w14:paraId="6345E169"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Նշված թեստերում ներկայացված տեղեկությունների զգալի ծավալի ընկալումը հեշտացնելու համար խորհուրդ է տրվում գործածել աղյուսակներ կամ նկարներ:</w:t>
      </w:r>
    </w:p>
    <w:p w14:paraId="0AE565A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նշել հետազոտությունների գլխավոր արդյունքները, հակիրճ նկարագրել պատրաստուկի ազդեցության մեխանիզմն ու դեղապատրաստուկի կլինիկական կիրառության համար էքսպոզիցիայի վերին շեմը:</w:t>
      </w:r>
    </w:p>
    <w:p w14:paraId="1D791F0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Կենսահամանման (կենսանման) պատրաստուկների համար, որպես կանոն, անցկացվում է տոքսիկության միայն մեկ հետազոտություն բազմակի ներմուծման դեպքում, ներառյալ՝ տոքսիկոկինետիկ պարամետրերի ուսումնասիրությունը: Տոքսիկոկինետիկ տվյալներն իրենց մեջ պարունակում են հակամարմինների տիտրերի, խաչաձ</w:t>
      </w:r>
      <w:r w:rsidR="00C54D75">
        <w:rPr>
          <w:rFonts w:ascii="Sylfaen" w:hAnsi="Sylfaen"/>
          <w:sz w:val="24"/>
          <w:szCs w:val="24"/>
        </w:rPr>
        <w:t>և</w:t>
      </w:r>
      <w:r w:rsidRPr="004B393A">
        <w:rPr>
          <w:rFonts w:ascii="Sylfaen" w:hAnsi="Sylfaen"/>
          <w:sz w:val="24"/>
          <w:szCs w:val="24"/>
        </w:rPr>
        <w:t xml:space="preserve"> ռեակտիվության </w:t>
      </w:r>
      <w:r w:rsidR="00C54D75">
        <w:rPr>
          <w:rFonts w:ascii="Sylfaen" w:hAnsi="Sylfaen"/>
          <w:sz w:val="24"/>
          <w:szCs w:val="24"/>
        </w:rPr>
        <w:t>և</w:t>
      </w:r>
      <w:r w:rsidRPr="004B393A">
        <w:rPr>
          <w:rFonts w:ascii="Sylfaen" w:hAnsi="Sylfaen"/>
          <w:sz w:val="24"/>
          <w:szCs w:val="24"/>
        </w:rPr>
        <w:t xml:space="preserve"> չեզոքացնող ունակության սահմանում:</w:t>
      </w:r>
    </w:p>
    <w:p w14:paraId="4AA7BF8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Նշված հետազոտությունները թույլ են տալիս որոշել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պատրաստուկի միջ</w:t>
      </w:r>
      <w:r w:rsidR="00C54D75">
        <w:rPr>
          <w:rFonts w:ascii="Sylfaen" w:hAnsi="Sylfaen"/>
          <w:sz w:val="24"/>
          <w:szCs w:val="24"/>
        </w:rPr>
        <w:t>և</w:t>
      </w:r>
      <w:r w:rsidRPr="004B393A">
        <w:rPr>
          <w:rFonts w:ascii="Sylfaen" w:hAnsi="Sylfaen"/>
          <w:sz w:val="24"/>
          <w:szCs w:val="24"/>
        </w:rPr>
        <w:t xml:space="preserve"> թունավոր </w:t>
      </w:r>
      <w:r w:rsidR="00C54D75">
        <w:rPr>
          <w:rFonts w:ascii="Sylfaen" w:hAnsi="Sylfaen"/>
          <w:sz w:val="24"/>
          <w:szCs w:val="24"/>
        </w:rPr>
        <w:t>և</w:t>
      </w:r>
      <w:r w:rsidRPr="004B393A">
        <w:rPr>
          <w:rFonts w:ascii="Sylfaen" w:hAnsi="Sylfaen"/>
          <w:sz w:val="24"/>
          <w:szCs w:val="24"/>
        </w:rPr>
        <w:t xml:space="preserve"> (կամ) իմունային պատասխանների նշանակալի տարբերությունները:</w:t>
      </w:r>
    </w:p>
    <w:p w14:paraId="206ABD0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Որպես կանոն, կենսահամանման (կենսանման) պատրաստուկների համար չի պահանջնում անցկացնել այլ ստանդարտ թունաբանական հետազոտություններ, ներառյալ՝ վերարտադրողական թունավորության, մուտագեն </w:t>
      </w:r>
      <w:r w:rsidR="00C54D75">
        <w:rPr>
          <w:rFonts w:ascii="Sylfaen" w:hAnsi="Sylfaen"/>
          <w:sz w:val="24"/>
          <w:szCs w:val="24"/>
        </w:rPr>
        <w:t>և</w:t>
      </w:r>
      <w:r w:rsidRPr="004B393A">
        <w:rPr>
          <w:rFonts w:ascii="Sylfaen" w:hAnsi="Sylfaen"/>
          <w:sz w:val="24"/>
          <w:szCs w:val="24"/>
        </w:rPr>
        <w:t xml:space="preserve"> քաղցկեղածին ազդեցության հետազոտությունները՝ բացառությամբ դեպքերի, երբ բազմակի ներմուծման դեպքում իրականացված թունավորության հետազոտության արդյունքներից ելնելով՝ առաջանում է այդպիսի հետազոտությունների անցկացման անհրաժեշտություն:</w:t>
      </w:r>
    </w:p>
    <w:p w14:paraId="39E1ED5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Տոքսիկոկինետիկա</w:t>
      </w:r>
    </w:p>
    <w:p w14:paraId="2B59EC02" w14:textId="77777777" w:rsidR="008C76E0" w:rsidRPr="004B393A" w:rsidRDefault="008C76E0" w:rsidP="00CE376C">
      <w:pPr>
        <w:spacing w:after="160" w:line="336" w:lineRule="auto"/>
        <w:ind w:right="-1" w:firstLine="567"/>
        <w:jc w:val="both"/>
        <w:rPr>
          <w:rFonts w:ascii="Sylfaen" w:hAnsi="Sylfaen"/>
          <w:sz w:val="24"/>
          <w:szCs w:val="24"/>
        </w:rPr>
      </w:pPr>
      <w:r w:rsidRPr="004B393A">
        <w:rPr>
          <w:rFonts w:ascii="Sylfaen" w:hAnsi="Sylfaen"/>
          <w:sz w:val="24"/>
          <w:szCs w:val="24"/>
        </w:rPr>
        <w:t>Սույն բաժնում պետք է նշված լինեն նա</w:t>
      </w:r>
      <w:r w:rsidR="00C54D75">
        <w:rPr>
          <w:rFonts w:ascii="Sylfaen" w:hAnsi="Sylfaen"/>
          <w:sz w:val="24"/>
          <w:szCs w:val="24"/>
        </w:rPr>
        <w:t>և</w:t>
      </w:r>
      <w:r w:rsidRPr="004B393A">
        <w:rPr>
          <w:rFonts w:ascii="Sylfaen" w:hAnsi="Sylfaen"/>
          <w:sz w:val="24"/>
          <w:szCs w:val="24"/>
        </w:rPr>
        <w:t xml:space="preserve"> կինետիկայի վերաբերյալ տվյալներ, որոնք ստացվել են հսկվող խմբի կենդանիների մոտ պլազմայի նմուշների վերլուծության հիման վրա:</w:t>
      </w:r>
    </w:p>
    <w:p w14:paraId="33BFC951" w14:textId="77777777" w:rsidR="008C76E0" w:rsidRPr="004B393A" w:rsidRDefault="008C76E0" w:rsidP="00CE376C">
      <w:pPr>
        <w:tabs>
          <w:tab w:val="left" w:pos="1134"/>
        </w:tabs>
        <w:spacing w:after="160" w:line="336" w:lineRule="auto"/>
        <w:ind w:right="-1" w:firstLine="567"/>
        <w:jc w:val="both"/>
        <w:rPr>
          <w:rFonts w:ascii="Sylfaen" w:hAnsi="Sylfaen"/>
          <w:sz w:val="24"/>
          <w:szCs w:val="24"/>
        </w:rPr>
      </w:pPr>
      <w:r w:rsidRPr="004B393A">
        <w:rPr>
          <w:rFonts w:ascii="Sylfaen" w:hAnsi="Sylfaen"/>
          <w:sz w:val="24"/>
          <w:szCs w:val="24"/>
        </w:rPr>
        <w:t>4.3.</w:t>
      </w:r>
      <w:r w:rsidRPr="004B393A">
        <w:rPr>
          <w:rFonts w:ascii="Sylfaen" w:hAnsi="Sylfaen"/>
          <w:sz w:val="24"/>
          <w:szCs w:val="24"/>
        </w:rPr>
        <w:tab/>
        <w:t>Գենոտոքսիկությունը։</w:t>
      </w:r>
    </w:p>
    <w:p w14:paraId="5F9AF1EE" w14:textId="77777777" w:rsidR="008C76E0" w:rsidRPr="004B393A" w:rsidRDefault="008C76E0" w:rsidP="00CE376C">
      <w:pPr>
        <w:spacing w:after="160" w:line="336" w:lineRule="auto"/>
        <w:ind w:right="-1" w:firstLine="567"/>
        <w:jc w:val="both"/>
        <w:rPr>
          <w:rFonts w:ascii="Sylfaen" w:hAnsi="Sylfaen"/>
          <w:sz w:val="24"/>
          <w:szCs w:val="24"/>
        </w:rPr>
      </w:pPr>
      <w:r w:rsidRPr="004B393A">
        <w:rPr>
          <w:rFonts w:ascii="Sylfaen" w:hAnsi="Sylfaen"/>
          <w:sz w:val="24"/>
          <w:szCs w:val="24"/>
        </w:rPr>
        <w:t>Անհրաժեշտ է հակիրճ նկարագրել անցկացված բոլոր հետազոտությունները:</w:t>
      </w:r>
    </w:p>
    <w:p w14:paraId="56401891"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 xml:space="preserve">Անհրաժեշտ է իրականացնել անցկացված թեստերի խմբավորում՝ համաձայն գենոտոքսիկության մակարդակի, այսինքն՝ մուտագեն ազդեցությանը (գեների մուտացիայի ինդուկցիային), in vitro քրոմոսոմային աբերացիաներին (կլաստոգենությանը), in vivo քրոմոսոմային աբերացիաներին (կլաստոգենությանը), ԴՆԹ-ի առաջնային վնասմանը </w:t>
      </w:r>
      <w:r w:rsidR="00C54D75">
        <w:rPr>
          <w:rFonts w:ascii="Sylfaen" w:hAnsi="Sylfaen"/>
          <w:sz w:val="24"/>
          <w:szCs w:val="24"/>
        </w:rPr>
        <w:t>և</w:t>
      </w:r>
      <w:r w:rsidRPr="004B393A">
        <w:rPr>
          <w:rFonts w:ascii="Sylfaen" w:hAnsi="Sylfaen"/>
          <w:sz w:val="24"/>
          <w:szCs w:val="24"/>
        </w:rPr>
        <w:t xml:space="preserve"> գենոտոքսիկ այլ էֆեկտներին համապատասխան:</w:t>
      </w:r>
    </w:p>
    <w:p w14:paraId="73FB5C19"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Խորհուրդ է տրվում հետազոտությունների արդյունքները ներկայացնել աղյուսակային տեսքով (ինչպես ցույց է տրված Գրանցման կանոնների թիվ 6 հավելվածի սույն բաժնի աղյուսակի օրինակում)՝ տեքստային մեկնաբանությունների ավելացմամբ (ըստ անհրաժեշտության):</w:t>
      </w:r>
    </w:p>
    <w:p w14:paraId="0D091AB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Եթե in vitro փորձարկումները նշանակալի արդյունքներ չեն տվել, ապա միայն աղյուսակային տվյալներ ներկայացնելը բավարար է:</w:t>
      </w:r>
    </w:p>
    <w:p w14:paraId="31531DE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lastRenderedPageBreak/>
        <w:t xml:space="preserve">Սույն բաժնում անհրաժեշտ է դիտարկել in vivo թեստերում օգտագործված կենդանիների տեսակների պիտանիության հարցը </w:t>
      </w:r>
      <w:r w:rsidR="00C54D75">
        <w:rPr>
          <w:rFonts w:ascii="Sylfaen" w:hAnsi="Sylfaen"/>
          <w:sz w:val="24"/>
          <w:szCs w:val="24"/>
        </w:rPr>
        <w:t>և</w:t>
      </w:r>
      <w:r w:rsidRPr="004B393A">
        <w:rPr>
          <w:rFonts w:ascii="Sylfaen" w:hAnsi="Sylfaen"/>
          <w:sz w:val="24"/>
          <w:szCs w:val="24"/>
        </w:rPr>
        <w:t xml:space="preserve"> այն համակարգերը, որոնք կիրառվում են in vitro փորձարկումներում նյութափոխանակության (օրինակ՝ S9-ֆրակցիայի) ուսումնասիրության համար՝ անցկացնելով դրանց համեմատություն մարդու մոտ նյութափոխանակության ուղիների հետ: </w:t>
      </w:r>
    </w:p>
    <w:p w14:paraId="5CAFC41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In vivo թեստերի համար միշտ անհրաժեշտ է նշել տեղեկություններ՝ էքսպոզիցիայի մակարդակի վերաբերյալ:</w:t>
      </w:r>
    </w:p>
    <w:p w14:paraId="5E02B2F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Հարցերը, որոնց հարկ է անդրադառնալ գենոտոքսիկության փորձարկումները գնահատելիս, իրենց մեջ ներառում են՝</w:t>
      </w:r>
    </w:p>
    <w:p w14:paraId="2899B82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w:t>
      </w:r>
      <w:r w:rsidRPr="004B393A">
        <w:rPr>
          <w:rFonts w:ascii="Sylfaen" w:hAnsi="Sylfaen"/>
          <w:sz w:val="24"/>
          <w:szCs w:val="24"/>
        </w:rPr>
        <w:tab/>
        <w:t>in vitro փորձարկումների դեպքում՝</w:t>
      </w:r>
    </w:p>
    <w:p w14:paraId="2C3A900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ի՞նչ շտամներ (բջիջներ) են օգտագործվել </w:t>
      </w:r>
      <w:r w:rsidR="00C54D75">
        <w:rPr>
          <w:rFonts w:ascii="Sylfaen" w:hAnsi="Sylfaen"/>
          <w:sz w:val="24"/>
          <w:szCs w:val="24"/>
        </w:rPr>
        <w:t>և</w:t>
      </w:r>
      <w:r w:rsidRPr="004B393A">
        <w:rPr>
          <w:rFonts w:ascii="Sylfaen" w:hAnsi="Sylfaen"/>
          <w:sz w:val="24"/>
          <w:szCs w:val="24"/>
        </w:rPr>
        <w:t xml:space="preserve"> վերջնական կետերը. կիրառվող խտությունների ընտրությունը.</w:t>
      </w:r>
    </w:p>
    <w:p w14:paraId="5DB3360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կայունությունը միջավայրում (խտության (քայքայման արգասիքների) հսկողությունը).</w:t>
      </w:r>
    </w:p>
    <w:p w14:paraId="3F2D79B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նյութափոխանակության ընթացքում փոխակերպվող համակարգը, դրական </w:t>
      </w:r>
      <w:r w:rsidR="00C54D75">
        <w:rPr>
          <w:rFonts w:ascii="Sylfaen" w:hAnsi="Sylfaen"/>
          <w:sz w:val="24"/>
          <w:szCs w:val="24"/>
        </w:rPr>
        <w:t>և</w:t>
      </w:r>
      <w:r w:rsidRPr="004B393A">
        <w:rPr>
          <w:rFonts w:ascii="Sylfaen" w:hAnsi="Sylfaen"/>
          <w:sz w:val="24"/>
          <w:szCs w:val="24"/>
        </w:rPr>
        <w:t xml:space="preserve"> բացասական հսկողությունը, թերապիայի տ</w:t>
      </w:r>
      <w:r w:rsidR="00C54D75">
        <w:rPr>
          <w:rFonts w:ascii="Sylfaen" w:hAnsi="Sylfaen"/>
          <w:sz w:val="24"/>
          <w:szCs w:val="24"/>
        </w:rPr>
        <w:t>և</w:t>
      </w:r>
      <w:r w:rsidRPr="004B393A">
        <w:rPr>
          <w:rFonts w:ascii="Sylfaen" w:hAnsi="Sylfaen"/>
          <w:sz w:val="24"/>
          <w:szCs w:val="24"/>
        </w:rPr>
        <w:t>ողությունը (նմուշառման ժամանակը), դրական պատասխանի չափանիշները, խտություն-պատասխան փոխադարձ կապը, վերարտադրողականությունը.</w:t>
      </w:r>
    </w:p>
    <w:p w14:paraId="4EA28DD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բջիջների ցիտոտոկսիկությունը (կենսակայունությունը).</w:t>
      </w:r>
    </w:p>
    <w:p w14:paraId="4D2915DA"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բ)</w:t>
      </w:r>
      <w:r w:rsidRPr="004B393A">
        <w:rPr>
          <w:rFonts w:ascii="Sylfaen" w:hAnsi="Sylfaen"/>
          <w:sz w:val="24"/>
          <w:szCs w:val="24"/>
        </w:rPr>
        <w:tab/>
        <w:t>in vivo փորձարկումների դեպքում՝</w:t>
      </w:r>
    </w:p>
    <w:p w14:paraId="3C38195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ի՞նչ շտամներ (կենդանիների տեսակներ, մոդելներ) են օգտագործվել, կենդանիների քանակն ու սեռը, դեղաչափերն ու էքսպոզիցիան.</w:t>
      </w:r>
    </w:p>
    <w:p w14:paraId="4F322EC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թունավորությամբ կամ կինետիկ պարամետրերով որոշված էքսպոզիցիան.</w:t>
      </w:r>
    </w:p>
    <w:p w14:paraId="533A276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w:t>
      </w:r>
      <w:r w:rsidR="00C54D75">
        <w:rPr>
          <w:rFonts w:ascii="Sylfaen" w:hAnsi="Sylfaen"/>
          <w:sz w:val="24"/>
          <w:szCs w:val="24"/>
        </w:rPr>
        <w:t>և</w:t>
      </w:r>
      <w:r w:rsidRPr="004B393A">
        <w:rPr>
          <w:rFonts w:ascii="Sylfaen" w:hAnsi="Sylfaen"/>
          <w:sz w:val="24"/>
          <w:szCs w:val="24"/>
        </w:rPr>
        <w:t xml:space="preserve"> մարդու նյութափոխանակության տարբերությունները. </w:t>
      </w:r>
    </w:p>
    <w:p w14:paraId="79070F8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թերապիայի տ</w:t>
      </w:r>
      <w:r w:rsidR="00C54D75">
        <w:rPr>
          <w:rFonts w:ascii="Sylfaen" w:hAnsi="Sylfaen"/>
          <w:sz w:val="24"/>
          <w:szCs w:val="24"/>
        </w:rPr>
        <w:t>և</w:t>
      </w:r>
      <w:r w:rsidRPr="004B393A">
        <w:rPr>
          <w:rFonts w:ascii="Sylfaen" w:hAnsi="Sylfaen"/>
          <w:sz w:val="24"/>
          <w:szCs w:val="24"/>
        </w:rPr>
        <w:t>ողությունը (նմուշառման ժամանակը).</w:t>
      </w:r>
    </w:p>
    <w:p w14:paraId="1EEACDB0" w14:textId="4A10C906"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գնահատման մասով </w:t>
      </w:r>
      <w:r w:rsidR="0056496B">
        <w:rPr>
          <w:rFonts w:ascii="Sylfaen" w:hAnsi="Sylfaen"/>
          <w:sz w:val="24"/>
          <w:szCs w:val="24"/>
        </w:rPr>
        <w:t>դիմումատու</w:t>
      </w:r>
      <w:r w:rsidRPr="004B393A">
        <w:rPr>
          <w:rFonts w:ascii="Sylfaen" w:hAnsi="Sylfaen"/>
          <w:sz w:val="24"/>
          <w:szCs w:val="24"/>
        </w:rPr>
        <w:t>ի կողմից առաջարկվող չափանիշները՝ որպես դրական պատասխան.</w:t>
      </w:r>
    </w:p>
    <w:p w14:paraId="30E19C4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դեղաչափ-ժամանակ-պատասխան կախվածությունը:</w:t>
      </w:r>
    </w:p>
    <w:p w14:paraId="5A35F4C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Գենոտոքսիկության թեստերի հավաքածուն հակիրճ նկարագրելու համար օգտագործվող ձ</w:t>
      </w:r>
      <w:r w:rsidR="00C54D75">
        <w:rPr>
          <w:rFonts w:ascii="Sylfaen" w:hAnsi="Sylfaen"/>
          <w:sz w:val="24"/>
          <w:szCs w:val="24"/>
        </w:rPr>
        <w:t>և</w:t>
      </w:r>
      <w:r w:rsidRPr="004B393A">
        <w:rPr>
          <w:rFonts w:ascii="Sylfaen" w:hAnsi="Sylfaen"/>
          <w:sz w:val="24"/>
          <w:szCs w:val="24"/>
        </w:rPr>
        <w:t>ակերպման օրինակը՝</w:t>
      </w:r>
    </w:p>
    <w:p w14:paraId="62FBBEE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«&lt;Х&gt; պատրաստուկի գենոտոքսիկության հետազոտությունն անց է կացվել բակտերիաների մոտ </w:t>
      </w:r>
      <w:r w:rsidR="00C54D75">
        <w:rPr>
          <w:rFonts w:ascii="Sylfaen" w:hAnsi="Sylfaen"/>
          <w:sz w:val="24"/>
          <w:szCs w:val="24"/>
        </w:rPr>
        <w:t>և</w:t>
      </w:r>
      <w:r w:rsidRPr="004B393A">
        <w:rPr>
          <w:rFonts w:ascii="Sylfaen" w:hAnsi="Sylfaen"/>
          <w:sz w:val="24"/>
          <w:szCs w:val="24"/>
        </w:rPr>
        <w:t xml:space="preserve"> կաթնասունների բջիջներում գենային մուտացիաները, ինչպես նա</w:t>
      </w:r>
      <w:r w:rsidR="00C54D75">
        <w:rPr>
          <w:rFonts w:ascii="Sylfaen" w:hAnsi="Sylfaen"/>
          <w:sz w:val="24"/>
          <w:szCs w:val="24"/>
        </w:rPr>
        <w:t>և</w:t>
      </w:r>
      <w:r w:rsidRPr="004B393A">
        <w:rPr>
          <w:rFonts w:ascii="Sylfaen" w:hAnsi="Sylfaen"/>
          <w:sz w:val="24"/>
          <w:szCs w:val="24"/>
        </w:rPr>
        <w:t xml:space="preserve"> in vitro </w:t>
      </w:r>
      <w:r w:rsidR="00C54D75">
        <w:rPr>
          <w:rFonts w:ascii="Sylfaen" w:hAnsi="Sylfaen"/>
          <w:sz w:val="24"/>
          <w:szCs w:val="24"/>
        </w:rPr>
        <w:t>և</w:t>
      </w:r>
      <w:r w:rsidRPr="004B393A">
        <w:rPr>
          <w:rFonts w:ascii="Sylfaen" w:hAnsi="Sylfaen"/>
          <w:sz w:val="24"/>
          <w:szCs w:val="24"/>
        </w:rPr>
        <w:t xml:space="preserve"> in vivo քրոմոսոմային աբերացիաներն ուսումնասիրելու եղանակով: Լրացուցիչ անց են կացվել ԴՆԹ-ի առաջնային վնասման </w:t>
      </w:r>
      <w:r w:rsidR="00C54D75">
        <w:rPr>
          <w:rFonts w:ascii="Sylfaen" w:hAnsi="Sylfaen"/>
          <w:sz w:val="24"/>
          <w:szCs w:val="24"/>
        </w:rPr>
        <w:t>և</w:t>
      </w:r>
      <w:r w:rsidRPr="004B393A">
        <w:rPr>
          <w:rFonts w:ascii="Sylfaen" w:hAnsi="Sylfaen"/>
          <w:sz w:val="24"/>
          <w:szCs w:val="24"/>
        </w:rPr>
        <w:t xml:space="preserve"> ուռուցքային բջիջների գոյացման in vitro թեստեր»:</w:t>
      </w:r>
    </w:p>
    <w:p w14:paraId="6ED834A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Փորձագիտական ամփոփագրի սույն բաժնում վերլուծության ենթակա ասպեկտներն են՝</w:t>
      </w:r>
    </w:p>
    <w:p w14:paraId="7768F17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in vitro կամ in vivo թեստերի դրական արդյունքները, </w:t>
      </w:r>
    </w:p>
    <w:p w14:paraId="1004336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ազդեցության մեխանիզմի նկարագրությունը՝ մուտագեն կամ կլաստոգեն.</w:t>
      </w:r>
    </w:p>
    <w:p w14:paraId="0C33DF4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հնարավո՞ր է արդյոք շեմային արժեքների որոշմամբ մոտեցման կիրառումը, </w:t>
      </w:r>
      <w:r w:rsidR="00C54D75">
        <w:rPr>
          <w:rFonts w:ascii="Sylfaen" w:hAnsi="Sylfaen"/>
          <w:sz w:val="24"/>
          <w:szCs w:val="24"/>
        </w:rPr>
        <w:t>և</w:t>
      </w:r>
      <w:r w:rsidRPr="004B393A">
        <w:rPr>
          <w:rFonts w:ascii="Sylfaen" w:hAnsi="Sylfaen"/>
          <w:sz w:val="24"/>
          <w:szCs w:val="24"/>
        </w:rPr>
        <w:t xml:space="preserve"> եթե նման մոտեցումը հնարավոր է, ապա որո՞նք են անվտանգ ներգործության սահմանները՝ հաշվի առնելով պատրաստուկի խտությունը պլազմայում (մարդու մոտ էքսպոզիցիան).</w:t>
      </w:r>
    </w:p>
    <w:p w14:paraId="3D09E590"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եզրակացություն՝ գենոտոքսիկ պոտենցիալի վերաբերյալ:</w:t>
      </w:r>
    </w:p>
    <w:p w14:paraId="3FB88A52"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4.4.</w:t>
      </w:r>
      <w:r w:rsidRPr="004B393A">
        <w:rPr>
          <w:rFonts w:ascii="Sylfaen" w:hAnsi="Sylfaen"/>
          <w:sz w:val="24"/>
          <w:szCs w:val="24"/>
        </w:rPr>
        <w:tab/>
        <w:t>Քաղցկեղածին ազդեցությունը:</w:t>
      </w:r>
    </w:p>
    <w:p w14:paraId="259F50C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4.4.1.</w:t>
      </w:r>
      <w:r w:rsidRPr="004B393A">
        <w:rPr>
          <w:rFonts w:ascii="Sylfaen" w:hAnsi="Sylfaen"/>
          <w:sz w:val="24"/>
          <w:szCs w:val="24"/>
        </w:rPr>
        <w:tab/>
        <w:t>Երկարաժամկետ հետազոտություններ:</w:t>
      </w:r>
    </w:p>
    <w:p w14:paraId="6BEB4FE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անցկացված հետազոտությունների հակիրճ նկարագրությունը, նախընտրելի է դա անել աղյուսակի տեսքով, համապատասխան ենթավերնագրի ներքո (օրինակ՝ երկարաժամկետ հետազոտություններ, կարճաժամկետ հետազոտություններ </w:t>
      </w:r>
      <w:r w:rsidR="00C54D75">
        <w:rPr>
          <w:rFonts w:ascii="Sylfaen" w:hAnsi="Sylfaen"/>
          <w:sz w:val="24"/>
          <w:szCs w:val="24"/>
        </w:rPr>
        <w:t>և</w:t>
      </w:r>
      <w:r w:rsidRPr="004B393A">
        <w:rPr>
          <w:rFonts w:ascii="Sylfaen" w:hAnsi="Sylfaen"/>
          <w:sz w:val="24"/>
          <w:szCs w:val="24"/>
        </w:rPr>
        <w:t xml:space="preserve"> այլն, ինչպես նշված է Գրանցման կանոնների թիվ 6 հավելվածի սույն բաժնի աղյուսակի օրինակում):</w:t>
      </w:r>
    </w:p>
    <w:p w14:paraId="3D64B6FE" w14:textId="7F217FD3"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Եթե պատրաստուկի քաղցկեղածին ազդեցության հետազոտություն չի անցկացվել, ապա անհրաժեշտ է անցկացնել </w:t>
      </w:r>
      <w:r w:rsidR="0056496B">
        <w:rPr>
          <w:rFonts w:ascii="Sylfaen" w:hAnsi="Sylfaen"/>
          <w:sz w:val="24"/>
          <w:szCs w:val="24"/>
        </w:rPr>
        <w:t>դիմումատու</w:t>
      </w:r>
      <w:r w:rsidRPr="004B393A">
        <w:rPr>
          <w:rFonts w:ascii="Sylfaen" w:hAnsi="Sylfaen"/>
          <w:sz w:val="24"/>
          <w:szCs w:val="24"/>
        </w:rPr>
        <w:t xml:space="preserve">ի՝ այդպիսի հետազոտությունների կատարված չլինելու առնչությամբ հիմնավորման վերլուծություն: </w:t>
      </w:r>
    </w:p>
    <w:p w14:paraId="5BCD0E1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հակիրճ անդրադառնալ հետազոտությունների արդյունքներին, ներառյալ՝ նեոպլաստիկ փոփոխությունների </w:t>
      </w:r>
      <w:r w:rsidR="00C54D75">
        <w:rPr>
          <w:rFonts w:ascii="Sylfaen" w:hAnsi="Sylfaen"/>
          <w:sz w:val="24"/>
          <w:szCs w:val="24"/>
        </w:rPr>
        <w:t>և</w:t>
      </w:r>
      <w:r w:rsidRPr="004B393A">
        <w:rPr>
          <w:rFonts w:ascii="Sylfaen" w:hAnsi="Sylfaen"/>
          <w:sz w:val="24"/>
          <w:szCs w:val="24"/>
        </w:rPr>
        <w:t xml:space="preserve"> անհրաժեշտության դեպքում՝ նեոպլաստիկ փոփոխություններին չվերաբերող նշանակալի փոփոխությունների վերաբերյալ տվյալները: Ոչ նեոպլաստիկ փոփոխությունների նկարագրությունը պետք է ուղեկցվի բազմակի ներմուծման դեպքում թունավորության հետազոտությունների ընթացքում տեղի ունեցած հսկողությանն արված հղումներով: Խորհուրդ է տրվում արդյունքները ներկայացնել աղյուսակի տեսքով (ինչպես նշված է Գրանցման կանոնների թիվ 6 հավելվածի սույն բաժնի աղյուսակի օրինակում):</w:t>
      </w:r>
    </w:p>
    <w:p w14:paraId="64A307DC" w14:textId="77777777"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Սույն բաժնում մանրամասնեցում պահանջող ասպեկտները՝ կենդանիների տոհմաբանական գիծն ու սեռը, խմբերի (հսկվող խմբերի) թիվը, կենդանիների թիվը յուրաքանչյուր խմբում, պատրաստուկի ներմուծման ուղին, ներմուծման (էքսպոզիցիայի) տ</w:t>
      </w:r>
      <w:r w:rsidR="00C54D75">
        <w:rPr>
          <w:rFonts w:ascii="Sylfaen" w:hAnsi="Sylfaen"/>
          <w:sz w:val="24"/>
          <w:szCs w:val="24"/>
        </w:rPr>
        <w:t>և</w:t>
      </w:r>
      <w:r w:rsidRPr="004B393A">
        <w:rPr>
          <w:rFonts w:ascii="Sylfaen" w:hAnsi="Sylfaen"/>
          <w:sz w:val="24"/>
          <w:szCs w:val="24"/>
        </w:rPr>
        <w:t>ողությունը, ընդհանուր զարգացումը (մարմնի քաշը հավաքելը, սննդի գործածումը), կենսակայունության մակարդակը հետազոտության ավարտին, տոքսիկոկինետիկ պարամետրերը (աղյուսակի տեսքով ՝ նմուշառման օրը, AUC): Ստուգիչ նմուշներ վերցնելը.</w:t>
      </w:r>
    </w:p>
    <w:p w14:paraId="5D716BE5" w14:textId="7D289C21"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 xml:space="preserve">օրգանները, որոնցում ուռուցքային բջիջներ են </w:t>
      </w:r>
      <w:r w:rsidR="00FE4A71">
        <w:rPr>
          <w:rFonts w:ascii="Sylfaen" w:hAnsi="Sylfaen"/>
          <w:sz w:val="24"/>
          <w:szCs w:val="24"/>
        </w:rPr>
        <w:t xml:space="preserve">հայտնաբերվել </w:t>
      </w:r>
      <w:r w:rsidRPr="004B393A">
        <w:rPr>
          <w:rFonts w:ascii="Sylfaen" w:hAnsi="Sylfaen"/>
          <w:sz w:val="24"/>
          <w:szCs w:val="24"/>
        </w:rPr>
        <w:t>, տիպը (բարորակ կամ չարորակ), տարածվածության աստիճանը, նախաուռուցքային վիճակները, ուռուցքների տիպերի նկարագրությունը, օգտագործված վիճակագրական մեթոդները.</w:t>
      </w:r>
    </w:p>
    <w:p w14:paraId="63451C6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թունավոր ռեակցիաները, որոնք չեն նկատվել ավելի կարճ տ</w:t>
      </w:r>
      <w:r w:rsidR="00C54D75">
        <w:rPr>
          <w:rFonts w:ascii="Sylfaen" w:hAnsi="Sylfaen"/>
          <w:sz w:val="24"/>
          <w:szCs w:val="24"/>
        </w:rPr>
        <w:t>և</w:t>
      </w:r>
      <w:r w:rsidRPr="004B393A">
        <w:rPr>
          <w:rFonts w:ascii="Sylfaen" w:hAnsi="Sylfaen"/>
          <w:sz w:val="24"/>
          <w:szCs w:val="24"/>
        </w:rPr>
        <w:t>ողությամբ հետազոտությունների ընթացքում:</w:t>
      </w:r>
    </w:p>
    <w:p w14:paraId="6D5EE6E4"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4.4.2.</w:t>
      </w:r>
      <w:r w:rsidRPr="004B393A">
        <w:rPr>
          <w:rFonts w:ascii="Sylfaen" w:hAnsi="Sylfaen"/>
          <w:sz w:val="24"/>
          <w:szCs w:val="24"/>
        </w:rPr>
        <w:tab/>
        <w:t xml:space="preserve">Կարճաժամկետ </w:t>
      </w:r>
      <w:r w:rsidR="00C54D75">
        <w:rPr>
          <w:rFonts w:ascii="Sylfaen" w:hAnsi="Sylfaen"/>
          <w:sz w:val="24"/>
          <w:szCs w:val="24"/>
        </w:rPr>
        <w:t>և</w:t>
      </w:r>
      <w:r w:rsidRPr="004B393A">
        <w:rPr>
          <w:rFonts w:ascii="Sylfaen" w:hAnsi="Sylfaen"/>
          <w:sz w:val="24"/>
          <w:szCs w:val="24"/>
        </w:rPr>
        <w:t xml:space="preserve"> միջնաժամկետ հետազոտություններ:</w:t>
      </w:r>
    </w:p>
    <w:p w14:paraId="6CCCAC5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Հարկ է նկարագրել նոր (ոչ դասական) մոդելներ՝</w:t>
      </w:r>
    </w:p>
    <w:p w14:paraId="02FD6F9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մոդելի տեսակն ու դրա օգտագործման հիմնավորումը.</w:t>
      </w:r>
    </w:p>
    <w:p w14:paraId="4FAE947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արդյո՞ք գենոտոքսիկությունը հետազոտության առարկա է.</w:t>
      </w:r>
    </w:p>
    <w:p w14:paraId="7781DA2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կենդանիների քանակն ու (էքսպոզիցիայի) ներմուծման տ</w:t>
      </w:r>
      <w:r w:rsidR="00C54D75">
        <w:rPr>
          <w:rFonts w:ascii="Sylfaen" w:hAnsi="Sylfaen"/>
          <w:sz w:val="24"/>
          <w:szCs w:val="24"/>
        </w:rPr>
        <w:t>և</w:t>
      </w:r>
      <w:r w:rsidRPr="004B393A">
        <w:rPr>
          <w:rFonts w:ascii="Sylfaen" w:hAnsi="Sylfaen"/>
          <w:sz w:val="24"/>
          <w:szCs w:val="24"/>
        </w:rPr>
        <w:t>ողությունը.</w:t>
      </w:r>
    </w:p>
    <w:p w14:paraId="4B9A8A2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դրական հսկողության </w:t>
      </w:r>
      <w:r w:rsidR="00C54D75">
        <w:rPr>
          <w:rFonts w:ascii="Sylfaen" w:hAnsi="Sylfaen"/>
          <w:sz w:val="24"/>
          <w:szCs w:val="24"/>
        </w:rPr>
        <w:t>և</w:t>
      </w:r>
      <w:r w:rsidRPr="004B393A">
        <w:rPr>
          <w:rFonts w:ascii="Sylfaen" w:hAnsi="Sylfaen"/>
          <w:sz w:val="24"/>
          <w:szCs w:val="24"/>
        </w:rPr>
        <w:t xml:space="preserve"> դրա պատասխանի գնահատականի օգտագործումը.</w:t>
      </w:r>
    </w:p>
    <w:p w14:paraId="02B36D7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ստուգիչ նյութերի օգտագործումը համեմատության համար (համապատասխան դեպքերում).</w:t>
      </w:r>
    </w:p>
    <w:p w14:paraId="387B198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ուռուցքների առավել նշանակալի տիպերի վիճակագրական վերլուծությունը:</w:t>
      </w:r>
    </w:p>
    <w:p w14:paraId="658F9C8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4.4.3.</w:t>
      </w:r>
      <w:r w:rsidRPr="004B393A">
        <w:rPr>
          <w:rFonts w:ascii="Sylfaen" w:hAnsi="Sylfaen"/>
          <w:sz w:val="24"/>
          <w:szCs w:val="24"/>
        </w:rPr>
        <w:tab/>
        <w:t>Այլ հետազոտություններ:</w:t>
      </w:r>
    </w:p>
    <w:p w14:paraId="5174A5E8"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Հետազոտությունների այլ տիպերի (եթե այդպիսիք անցկացվել են) նկարագրությունը, օրինակ՝ ներգործության մեխանիզմի հետազոտությունները, որոնք ուղղված են պատրաստուկի կամ դրա մետաբոլիտների ուռուցքածին էֆեկտի բացատրությանը:</w:t>
      </w:r>
    </w:p>
    <w:p w14:paraId="030D9E5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4.5.</w:t>
      </w:r>
      <w:r w:rsidRPr="004B393A">
        <w:rPr>
          <w:rFonts w:ascii="Sylfaen" w:hAnsi="Sylfaen"/>
          <w:sz w:val="24"/>
          <w:szCs w:val="24"/>
        </w:rPr>
        <w:tab/>
        <w:t xml:space="preserve">Վերարտադրողական </w:t>
      </w:r>
      <w:r w:rsidR="00C54D75">
        <w:rPr>
          <w:rFonts w:ascii="Sylfaen" w:hAnsi="Sylfaen"/>
          <w:sz w:val="24"/>
          <w:szCs w:val="24"/>
        </w:rPr>
        <w:t>և</w:t>
      </w:r>
      <w:r w:rsidRPr="004B393A">
        <w:rPr>
          <w:rFonts w:ascii="Sylfaen" w:hAnsi="Sylfaen"/>
          <w:sz w:val="24"/>
          <w:szCs w:val="24"/>
        </w:rPr>
        <w:t xml:space="preserve"> օնտոգենետիկ թունավորությունը:</w:t>
      </w:r>
    </w:p>
    <w:p w14:paraId="3C7FEFA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4.5.1.</w:t>
      </w:r>
      <w:r w:rsidRPr="004B393A">
        <w:rPr>
          <w:rFonts w:ascii="Sylfaen" w:hAnsi="Sylfaen"/>
          <w:sz w:val="24"/>
          <w:szCs w:val="24"/>
        </w:rPr>
        <w:tab/>
        <w:t xml:space="preserve">Հարկ է ներկայացնել անցկացված հետազոտությունների հակիրճ նկարագրությունը, նախընտրելի է դա անել աղյուսակի տեսքով (ինչպես ցույց է տրված Բժշկական կիրառման դեղամիջոցների գրանցման </w:t>
      </w:r>
      <w:r w:rsidR="00C54D75">
        <w:rPr>
          <w:rFonts w:ascii="Sylfaen" w:hAnsi="Sylfaen"/>
          <w:sz w:val="24"/>
          <w:szCs w:val="24"/>
        </w:rPr>
        <w:t>և</w:t>
      </w:r>
      <w:r w:rsidRPr="004B393A">
        <w:rPr>
          <w:rFonts w:ascii="Sylfaen" w:hAnsi="Sylfaen"/>
          <w:sz w:val="24"/>
          <w:szCs w:val="24"/>
        </w:rPr>
        <w:t xml:space="preserve"> փորձաքննության կանոնների թիվ 6 հավելվածի տվյալ բաժնի աղյուսակի օրինակում), ներառյալ՝ դեղաչափի ընտրությամբ հետազոտությունները:</w:t>
      </w:r>
    </w:p>
    <w:p w14:paraId="131AC70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4.5.2.</w:t>
      </w:r>
      <w:r w:rsidRPr="004B393A">
        <w:rPr>
          <w:rFonts w:ascii="Sylfaen" w:hAnsi="Sylfaen"/>
          <w:sz w:val="24"/>
          <w:szCs w:val="24"/>
        </w:rPr>
        <w:tab/>
        <w:t>Հարկ է ներկայացնել մեկնաբանություններ՝ տվյալ խմբում յուրաքանչյուր հիմնական հետազոտության՝ պատշաճ լաբորատոր գործունեության կանոններին համապատասխանության վերաբերյալ: Եթե աղյուսակում եղած տեղեկատվությունը բավարար չէ որոշակի հետազոտություն մանրամասն նկարագրելու համար, ապա անհրաժեշտ է այն փաստացի տվյալների տեսքով ներկայացնել ստոր</w:t>
      </w:r>
      <w:r w:rsidR="00C54D75">
        <w:rPr>
          <w:rFonts w:ascii="Sylfaen" w:hAnsi="Sylfaen"/>
          <w:sz w:val="24"/>
          <w:szCs w:val="24"/>
        </w:rPr>
        <w:t>և</w:t>
      </w:r>
      <w:r w:rsidRPr="004B393A">
        <w:rPr>
          <w:rFonts w:ascii="Sylfaen" w:hAnsi="Sylfaen"/>
          <w:sz w:val="24"/>
          <w:szCs w:val="24"/>
        </w:rPr>
        <w:t>՝ համապատասխան ենթավերնագրի ներքո:</w:t>
      </w:r>
    </w:p>
    <w:p w14:paraId="0551EF60"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lastRenderedPageBreak/>
        <w:t>4.5.3.</w:t>
      </w:r>
      <w:r w:rsidRPr="004B393A">
        <w:rPr>
          <w:rFonts w:ascii="Sylfaen" w:hAnsi="Sylfaen"/>
          <w:sz w:val="24"/>
          <w:szCs w:val="24"/>
        </w:rPr>
        <w:tab/>
        <w:t>Անհրաժեշտ է դիտարկել դեղապատրաստուկի դոսյեի այլ բաժիններում խաչաձ</w:t>
      </w:r>
      <w:r w:rsidR="00C54D75">
        <w:rPr>
          <w:rFonts w:ascii="Sylfaen" w:hAnsi="Sylfaen"/>
          <w:sz w:val="24"/>
          <w:szCs w:val="24"/>
        </w:rPr>
        <w:t>և</w:t>
      </w:r>
      <w:r w:rsidRPr="004B393A">
        <w:rPr>
          <w:rFonts w:ascii="Sylfaen" w:hAnsi="Sylfaen"/>
          <w:sz w:val="24"/>
          <w:szCs w:val="24"/>
        </w:rPr>
        <w:t xml:space="preserve"> հղումների կամ փաստացի տեղեկությունների տեսքով հիշատակված վերարտադրողական թունավորության ռեակցիաների հետ առնչություն ունեցող տեղեկատվությունը: Որպես օրինակ կարելի է վերլուծել բազմակի ներմուծման դեպքում թունավոր ազդեցության արդյունքում վերարտադրողական օրգանների պաթոմորֆոլոգիան, ներզատական համակարգի ազդեցությունները, դեղակինետիկ </w:t>
      </w:r>
      <w:r w:rsidR="00C54D75">
        <w:rPr>
          <w:rFonts w:ascii="Sylfaen" w:hAnsi="Sylfaen"/>
          <w:sz w:val="24"/>
          <w:szCs w:val="24"/>
        </w:rPr>
        <w:t>և</w:t>
      </w:r>
      <w:r w:rsidRPr="004B393A">
        <w:rPr>
          <w:rFonts w:ascii="Sylfaen" w:hAnsi="Sylfaen"/>
          <w:sz w:val="24"/>
          <w:szCs w:val="24"/>
        </w:rPr>
        <w:t xml:space="preserve"> դեղադինամիկ ցուցանիշները:</w:t>
      </w:r>
    </w:p>
    <w:p w14:paraId="3358E03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4.5.4</w:t>
      </w:r>
      <w:r w:rsidRPr="004B393A">
        <w:rPr>
          <w:rFonts w:ascii="Sylfaen" w:hAnsi="Sylfaen"/>
          <w:sz w:val="24"/>
          <w:szCs w:val="24"/>
        </w:rPr>
        <w:tab/>
        <w:t xml:space="preserve">Հետազոտություններ, որոնցում պատրաստուկը ներմուծվում է ոչ սեռահասուն առանձնյակներին, </w:t>
      </w:r>
      <w:r w:rsidR="00C54D75">
        <w:rPr>
          <w:rFonts w:ascii="Sylfaen" w:hAnsi="Sylfaen"/>
          <w:sz w:val="24"/>
          <w:szCs w:val="24"/>
        </w:rPr>
        <w:t>և</w:t>
      </w:r>
      <w:r w:rsidRPr="004B393A">
        <w:rPr>
          <w:rFonts w:ascii="Sylfaen" w:hAnsi="Sylfaen"/>
          <w:sz w:val="24"/>
          <w:szCs w:val="24"/>
        </w:rPr>
        <w:t xml:space="preserve"> (կամ) անցկացվում է դրանց զարգացման հետագա գնահատում:</w:t>
      </w:r>
    </w:p>
    <w:p w14:paraId="739E432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Վերարտադրողական թունավորության վերաբերյալ եզրահանգումները:</w:t>
      </w:r>
    </w:p>
    <w:p w14:paraId="1982BFE1" w14:textId="77777777"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 xml:space="preserve">Հարկ է վերլուծել կիրառվող թեստ-համակարգերի համապատասխանությունը (օրինակ՝ կենդանիների տեսակները (տոհմաբանական գծերը))՝ օգտագործելով նյութափոխանակության ցուցանիշների, դեղակինետիկ </w:t>
      </w:r>
      <w:r w:rsidR="00C54D75">
        <w:rPr>
          <w:rFonts w:ascii="Sylfaen" w:hAnsi="Sylfaen"/>
          <w:sz w:val="24"/>
          <w:szCs w:val="24"/>
        </w:rPr>
        <w:t>և</w:t>
      </w:r>
      <w:r w:rsidRPr="004B393A">
        <w:rPr>
          <w:rFonts w:ascii="Sylfaen" w:hAnsi="Sylfaen"/>
          <w:sz w:val="24"/>
          <w:szCs w:val="24"/>
        </w:rPr>
        <w:t xml:space="preserve"> դեղադինամիկ պարամետրերի համեմատությունը կամ այլ սկզբունք: </w:t>
      </w:r>
    </w:p>
    <w:p w14:paraId="4807E1B2"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 xml:space="preserve">Անհրաժեշտ է նշել պատրաստուկի էքսպոզիցիայի գնահատականը </w:t>
      </w:r>
      <w:r w:rsidR="00C54D75">
        <w:rPr>
          <w:rFonts w:ascii="Sylfaen" w:hAnsi="Sylfaen"/>
          <w:sz w:val="24"/>
          <w:szCs w:val="24"/>
        </w:rPr>
        <w:t>և</w:t>
      </w:r>
      <w:r w:rsidRPr="004B393A">
        <w:rPr>
          <w:rFonts w:ascii="Sylfaen" w:hAnsi="Sylfaen"/>
          <w:sz w:val="24"/>
          <w:szCs w:val="24"/>
        </w:rPr>
        <w:t xml:space="preserve"> հղի </w:t>
      </w:r>
      <w:r w:rsidR="00C54D75">
        <w:rPr>
          <w:rFonts w:ascii="Sylfaen" w:hAnsi="Sylfaen"/>
          <w:sz w:val="24"/>
          <w:szCs w:val="24"/>
        </w:rPr>
        <w:t>և</w:t>
      </w:r>
      <w:r w:rsidRPr="004B393A">
        <w:rPr>
          <w:rFonts w:ascii="Sylfaen" w:hAnsi="Sylfaen"/>
          <w:sz w:val="24"/>
          <w:szCs w:val="24"/>
        </w:rPr>
        <w:t xml:space="preserve"> (կամ) կերակրող կենդանիների, ինչպես նա</w:t>
      </w:r>
      <w:r w:rsidR="00C54D75">
        <w:rPr>
          <w:rFonts w:ascii="Sylfaen" w:hAnsi="Sylfaen"/>
          <w:sz w:val="24"/>
          <w:szCs w:val="24"/>
        </w:rPr>
        <w:t>և</w:t>
      </w:r>
      <w:r w:rsidRPr="004B393A">
        <w:rPr>
          <w:rFonts w:ascii="Sylfaen" w:hAnsi="Sylfaen"/>
          <w:sz w:val="24"/>
          <w:szCs w:val="24"/>
        </w:rPr>
        <w:t xml:space="preserve"> սերնդի մոտ դրա բաշխման բնույթը (ներառյալ՝ կրծքի կաթի հետ դուրսբերման վերաբերյալ տվյալները):</w:t>
      </w:r>
    </w:p>
    <w:p w14:paraId="716A4406"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 xml:space="preserve">Հարկ է անցկացնել հետազոտությունների յուրաքանչյուր սպեցիֆիկ ասպեկտի քննադատական գնահատում </w:t>
      </w:r>
      <w:r w:rsidR="00C54D75">
        <w:rPr>
          <w:rFonts w:ascii="Sylfaen" w:hAnsi="Sylfaen"/>
          <w:sz w:val="24"/>
          <w:szCs w:val="24"/>
        </w:rPr>
        <w:t>և</w:t>
      </w:r>
      <w:r w:rsidRPr="004B393A">
        <w:rPr>
          <w:rFonts w:ascii="Sylfaen" w:hAnsi="Sylfaen"/>
          <w:sz w:val="24"/>
          <w:szCs w:val="24"/>
        </w:rPr>
        <w:t xml:space="preserve"> հակիրճ եզրահանգումներ անել նշանակալի արդյունքների առնչությամբ:</w:t>
      </w:r>
    </w:p>
    <w:p w14:paraId="14C09CA2"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Հարկ է վերլուծել էքսպոզիցիայի շեմերն ու գնահատել այդ տվյալների կլինիկական նշանակությունը:</w:t>
      </w:r>
    </w:p>
    <w:p w14:paraId="3C45AF7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ներկայացնել սեփական հիմնավորված հանձնարարականներ՝ այդ տեղեկատվությունը ԴԸԲ-ում ընդգրկելու համար:</w:t>
      </w:r>
    </w:p>
    <w:p w14:paraId="58696669"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4.6.</w:t>
      </w:r>
      <w:r w:rsidRPr="004B393A">
        <w:rPr>
          <w:rFonts w:ascii="Sylfaen" w:hAnsi="Sylfaen"/>
          <w:sz w:val="24"/>
          <w:szCs w:val="24"/>
        </w:rPr>
        <w:tab/>
        <w:t>Տեղային տանելիությունը։</w:t>
      </w:r>
    </w:p>
    <w:p w14:paraId="5E8A9F7C"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Հարկ է հակիրճ նկարագրել՝ արդյոք պատրաստուկը գրգռիչ ազդեցություն ունեցել է դրա ներմուծման տեղում: Ըստ անհրաժեշտության (ենթամաշկային ներմուծման դեպքում)՝ այս բաժնում հարկ է ներառել տեղեկատվություն՝ զգայունացնող ազդեցության մասով հետազոտությունների մասին (կրկնելով այն հաշվետվության 4.7.1 բաժնում): </w:t>
      </w:r>
    </w:p>
    <w:p w14:paraId="071553FB"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4.7.</w:t>
      </w:r>
      <w:r w:rsidRPr="004B393A">
        <w:rPr>
          <w:rFonts w:ascii="Sylfaen" w:hAnsi="Sylfaen"/>
          <w:sz w:val="24"/>
          <w:szCs w:val="24"/>
        </w:rPr>
        <w:tab/>
        <w:t>Թունավորության այլ հետազոտություններ:</w:t>
      </w:r>
    </w:p>
    <w:p w14:paraId="5843884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նշել անցկացված մյուս բոլոր հետազոտությունների առկայությունը </w:t>
      </w:r>
      <w:r w:rsidR="00C54D75">
        <w:rPr>
          <w:rFonts w:ascii="Sylfaen" w:hAnsi="Sylfaen"/>
          <w:sz w:val="24"/>
          <w:szCs w:val="24"/>
        </w:rPr>
        <w:t>և</w:t>
      </w:r>
      <w:r w:rsidRPr="004B393A">
        <w:rPr>
          <w:rFonts w:ascii="Sylfaen" w:hAnsi="Sylfaen"/>
          <w:sz w:val="24"/>
          <w:szCs w:val="24"/>
        </w:rPr>
        <w:t xml:space="preserve"> քննարկել ստացված արդյունքները:</w:t>
      </w:r>
    </w:p>
    <w:p w14:paraId="31D0835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4.7.1.</w:t>
      </w:r>
      <w:r w:rsidRPr="004B393A">
        <w:rPr>
          <w:rFonts w:ascii="Sylfaen" w:hAnsi="Sylfaen"/>
          <w:sz w:val="24"/>
          <w:szCs w:val="24"/>
        </w:rPr>
        <w:tab/>
        <w:t>Հակածնությունը:</w:t>
      </w:r>
    </w:p>
    <w:p w14:paraId="274C194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հակամարմինների ձ</w:t>
      </w:r>
      <w:r w:rsidR="00C54D75">
        <w:rPr>
          <w:rFonts w:ascii="Sylfaen" w:hAnsi="Sylfaen"/>
          <w:sz w:val="24"/>
          <w:szCs w:val="24"/>
        </w:rPr>
        <w:t>և</w:t>
      </w:r>
      <w:r w:rsidRPr="004B393A">
        <w:rPr>
          <w:rFonts w:ascii="Sylfaen" w:hAnsi="Sylfaen"/>
          <w:sz w:val="24"/>
          <w:szCs w:val="24"/>
        </w:rPr>
        <w:t xml:space="preserve">ավորման դեպքերը, զգայունացման ռեակցիաները (փորձարկումներ ծովախոզերի վրա, եթե դա ընդունելի է): Կենսահամանման (կենսանման) պատրաստուկների օգտագործման մասնավոր դեպքում անհրաժեշտ է հատուկ ուշադրություն դարձնել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պատրաստուկների իմունոգենության տարբերությունների գնահատմանը: Այստեղ հարկ է դիտարկել բոլոր հնարավոր հետ</w:t>
      </w:r>
      <w:r w:rsidR="00C54D75">
        <w:rPr>
          <w:rFonts w:ascii="Sylfaen" w:hAnsi="Sylfaen"/>
          <w:sz w:val="24"/>
          <w:szCs w:val="24"/>
        </w:rPr>
        <w:t>և</w:t>
      </w:r>
      <w:r w:rsidRPr="004B393A">
        <w:rPr>
          <w:rFonts w:ascii="Sylfaen" w:hAnsi="Sylfaen"/>
          <w:sz w:val="24"/>
          <w:szCs w:val="24"/>
        </w:rPr>
        <w:t xml:space="preserve">անքները կլինիկական արդյունավետության </w:t>
      </w:r>
      <w:r w:rsidR="00C54D75">
        <w:rPr>
          <w:rFonts w:ascii="Sylfaen" w:hAnsi="Sylfaen"/>
          <w:sz w:val="24"/>
          <w:szCs w:val="24"/>
        </w:rPr>
        <w:t>և</w:t>
      </w:r>
      <w:r w:rsidRPr="004B393A">
        <w:rPr>
          <w:rFonts w:ascii="Sylfaen" w:hAnsi="Sylfaen"/>
          <w:sz w:val="24"/>
          <w:szCs w:val="24"/>
        </w:rPr>
        <w:t xml:space="preserve"> անվտանգության համար՝ հաշվի առնելով փորձագետների կարծիքները՝ որակի գնահատման (3-րդ մոդուլի) </w:t>
      </w:r>
      <w:r w:rsidR="00C54D75">
        <w:rPr>
          <w:rFonts w:ascii="Sylfaen" w:hAnsi="Sylfaen"/>
          <w:sz w:val="24"/>
          <w:szCs w:val="24"/>
        </w:rPr>
        <w:t>և</w:t>
      </w:r>
      <w:r w:rsidRPr="004B393A">
        <w:rPr>
          <w:rFonts w:ascii="Sylfaen" w:hAnsi="Sylfaen"/>
          <w:sz w:val="24"/>
          <w:szCs w:val="24"/>
        </w:rPr>
        <w:t xml:space="preserve"> գրանցման դոսյեի կլինիկական մասի (5-րդ մոդուլի) վերաբերյալ: </w:t>
      </w:r>
    </w:p>
    <w:p w14:paraId="2D7326E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4.7.2.</w:t>
      </w:r>
      <w:r w:rsidRPr="004B393A">
        <w:rPr>
          <w:rFonts w:ascii="Sylfaen" w:hAnsi="Sylfaen"/>
          <w:sz w:val="24"/>
          <w:szCs w:val="24"/>
        </w:rPr>
        <w:tab/>
        <w:t>Իմունոտոքսիկությունը:</w:t>
      </w:r>
    </w:p>
    <w:p w14:paraId="35A8C297"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դիտարկվում են իմունոտոքսիկության մասով անցկացված սպեցիֆիկ հետազոտությունները (բազմակի ներմուծման դեպքում թունավորության հետազոտությունների արդյունքների հետ փոխկապակցված) հատկապես այն դեպքերում, երբ առկա են տվյալներ՝ դրա հնարավոր կլինիկական դրս</w:t>
      </w:r>
      <w:r w:rsidR="00C54D75">
        <w:rPr>
          <w:rFonts w:ascii="Sylfaen" w:hAnsi="Sylfaen"/>
          <w:sz w:val="24"/>
          <w:szCs w:val="24"/>
        </w:rPr>
        <w:t>և</w:t>
      </w:r>
      <w:r w:rsidRPr="004B393A">
        <w:rPr>
          <w:rFonts w:ascii="Sylfaen" w:hAnsi="Sylfaen"/>
          <w:sz w:val="24"/>
          <w:szCs w:val="24"/>
        </w:rPr>
        <w:t>որումների վերաբերյալ:</w:t>
      </w:r>
    </w:p>
    <w:p w14:paraId="263DDDB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Այդպիսի հետազոտությունների շարքին կարող են դասվել բջջային մակեր</w:t>
      </w:r>
      <w:r w:rsidR="00C54D75">
        <w:rPr>
          <w:rFonts w:ascii="Sylfaen" w:hAnsi="Sylfaen"/>
          <w:sz w:val="24"/>
          <w:szCs w:val="24"/>
        </w:rPr>
        <w:t>և</w:t>
      </w:r>
      <w:r w:rsidRPr="004B393A">
        <w:rPr>
          <w:rFonts w:ascii="Sylfaen" w:hAnsi="Sylfaen"/>
          <w:sz w:val="24"/>
          <w:szCs w:val="24"/>
        </w:rPr>
        <w:t xml:space="preserve">ույթի մարկերների օգտագործմամբ փորձարկումները (իմունոհիստոքիմիա կամ հոսքային ցիտոմետրիա), ֆունկցիոնալ թեստերը (ոչխարի էրիթրոցիտների </w:t>
      </w:r>
      <w:r w:rsidRPr="004B393A">
        <w:rPr>
          <w:rFonts w:ascii="Sylfaen" w:hAnsi="Sylfaen"/>
          <w:sz w:val="24"/>
          <w:szCs w:val="24"/>
        </w:rPr>
        <w:lastRenderedPageBreak/>
        <w:t>նկատմամբ առաջնային հակամարմինների ձ</w:t>
      </w:r>
      <w:r w:rsidR="00C54D75">
        <w:rPr>
          <w:rFonts w:ascii="Sylfaen" w:hAnsi="Sylfaen"/>
          <w:sz w:val="24"/>
          <w:szCs w:val="24"/>
        </w:rPr>
        <w:t>և</w:t>
      </w:r>
      <w:r w:rsidRPr="004B393A">
        <w:rPr>
          <w:rFonts w:ascii="Sylfaen" w:hAnsi="Sylfaen"/>
          <w:sz w:val="24"/>
          <w:szCs w:val="24"/>
        </w:rPr>
        <w:t xml:space="preserve">ավորում, բնական բջիջ-քիլլերների ակտիվություն, մակրոֆագերի ֆունկցիա, դանդաղեցված տիպի գերզգայունություն, կրող օրգանիզմի դիմադրողականության թեստեր, կոմպլեմենտի ակտիվացում </w:t>
      </w:r>
      <w:r w:rsidR="00C54D75">
        <w:rPr>
          <w:rFonts w:ascii="Sylfaen" w:hAnsi="Sylfaen"/>
          <w:sz w:val="24"/>
          <w:szCs w:val="24"/>
        </w:rPr>
        <w:t>և</w:t>
      </w:r>
      <w:r w:rsidRPr="004B393A">
        <w:rPr>
          <w:rFonts w:ascii="Sylfaen" w:hAnsi="Sylfaen"/>
          <w:sz w:val="24"/>
          <w:szCs w:val="24"/>
        </w:rPr>
        <w:t xml:space="preserve"> այլն):</w:t>
      </w:r>
    </w:p>
    <w:p w14:paraId="2E6EAA0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Գնահատում անցկացնելու համար փորձագետը կարող է օգտվել բազմակի ներմուծման դեպքում թունավորության հետազոտության վերաբերյալ համապատասխան ձեռնարկներից:</w:t>
      </w:r>
    </w:p>
    <w:p w14:paraId="667E1A3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հարկ է ներկայացնել տվյալներ մարդու մոտ նկատվող իմունիտետի ընկճման, աուտոիմուն պոտենցիալի, գերզգայունության ռեակցիաների վերաբերյալ:</w:t>
      </w:r>
    </w:p>
    <w:p w14:paraId="0EBFE4D5"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t>4.7.3.</w:t>
      </w:r>
      <w:r w:rsidRPr="004B393A">
        <w:rPr>
          <w:rFonts w:ascii="Sylfaen" w:hAnsi="Sylfaen"/>
          <w:sz w:val="24"/>
          <w:szCs w:val="24"/>
        </w:rPr>
        <w:tab/>
        <w:t>Կախվածությունը:</w:t>
      </w:r>
    </w:p>
    <w:p w14:paraId="72BA6BBC"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t>Սույն բաժնում նկարագրվում են դեղային կախվածության տարբեր տեսակներ, որոնք նկատվում են դեղադինամիկ հետազոտություններում (մոդելներում) (սովորաբար չեն իրականացվում ընթացիկ թունաբանական հետազոտություններում):</w:t>
      </w:r>
    </w:p>
    <w:p w14:paraId="74C3F983"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4.7.4.</w:t>
      </w:r>
      <w:r w:rsidRPr="004B393A">
        <w:rPr>
          <w:rFonts w:ascii="Sylfaen" w:hAnsi="Sylfaen"/>
          <w:sz w:val="24"/>
          <w:szCs w:val="24"/>
        </w:rPr>
        <w:tab/>
        <w:t>Մետաբոլիտներ:</w:t>
      </w:r>
    </w:p>
    <w:p w14:paraId="1D481E4A"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մարդու մոտ այն հիմնական մետաբոլիտների (կամ իզոմերների) սպեցիֆիկ հետազոտությունները, որոնք կենդանիների օրգանիզմում առկա են ոչ բավարար չափով:</w:t>
      </w:r>
    </w:p>
    <w:p w14:paraId="72BEAE8F"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4.7.5.</w:t>
      </w:r>
      <w:r w:rsidRPr="004B393A">
        <w:rPr>
          <w:rFonts w:ascii="Sylfaen" w:hAnsi="Sylfaen"/>
          <w:sz w:val="24"/>
          <w:szCs w:val="24"/>
        </w:rPr>
        <w:tab/>
        <w:t>Խառնուկների հետազոտություններ:</w:t>
      </w:r>
    </w:p>
    <w:p w14:paraId="183B8E33"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խառնուկների որակավորման հետազոտությունները՝ հետազոտություններ մեկանգամյա կամ բազմակի ներմուծման դեպքում, գենոտոքսիկության, վերարտադրողական տոքսիկության հետազոտություններ: Բաժինը կազմելիս փորձագետը կարող է օգտագործել համապատասխան ձեռնարկներ:</w:t>
      </w:r>
    </w:p>
    <w:p w14:paraId="3FCB03E2"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4.7.6.</w:t>
      </w:r>
      <w:r w:rsidRPr="004B393A">
        <w:rPr>
          <w:rFonts w:ascii="Sylfaen" w:hAnsi="Sylfaen"/>
          <w:sz w:val="24"/>
          <w:szCs w:val="24"/>
        </w:rPr>
        <w:tab/>
        <w:t>Այլ հետազոտություններ:</w:t>
      </w:r>
    </w:p>
    <w:p w14:paraId="6A60C845"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lastRenderedPageBreak/>
        <w:t>Հաշվետվության մեջ ներառվում են նա</w:t>
      </w:r>
      <w:r w:rsidR="00C54D75">
        <w:rPr>
          <w:rFonts w:ascii="Sylfaen" w:hAnsi="Sylfaen"/>
          <w:sz w:val="24"/>
          <w:szCs w:val="24"/>
        </w:rPr>
        <w:t>և</w:t>
      </w:r>
      <w:r w:rsidRPr="004B393A">
        <w:rPr>
          <w:rFonts w:ascii="Sylfaen" w:hAnsi="Sylfaen"/>
          <w:sz w:val="24"/>
          <w:szCs w:val="24"/>
        </w:rPr>
        <w:t xml:space="preserve"> հետ</w:t>
      </w:r>
      <w:r w:rsidR="00C54D75">
        <w:rPr>
          <w:rFonts w:ascii="Sylfaen" w:hAnsi="Sylfaen"/>
          <w:sz w:val="24"/>
          <w:szCs w:val="24"/>
        </w:rPr>
        <w:t>և</w:t>
      </w:r>
      <w:r w:rsidRPr="004B393A">
        <w:rPr>
          <w:rFonts w:ascii="Sylfaen" w:hAnsi="Sylfaen"/>
          <w:sz w:val="24"/>
          <w:szCs w:val="24"/>
        </w:rPr>
        <w:t>յալ հետազոտությունները (ըստ անհրաժեշտության)՝</w:t>
      </w:r>
    </w:p>
    <w:p w14:paraId="1DEFF0B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Ֆոտոտոքսիկություն. ներառում է մաշկային (աչքի) ֆոտոտոքսիկության, ֆոտոզգայունացման, ֆոտոգենոտոքսիկության </w:t>
      </w:r>
      <w:r w:rsidR="00C54D75">
        <w:rPr>
          <w:rFonts w:ascii="Sylfaen" w:hAnsi="Sylfaen"/>
          <w:sz w:val="24"/>
          <w:szCs w:val="24"/>
        </w:rPr>
        <w:t>և</w:t>
      </w:r>
      <w:r w:rsidRPr="004B393A">
        <w:rPr>
          <w:rFonts w:ascii="Sylfaen" w:hAnsi="Sylfaen"/>
          <w:sz w:val="24"/>
          <w:szCs w:val="24"/>
        </w:rPr>
        <w:t xml:space="preserve"> ֆոտոքաղցկեղածնության վերաբերյալ տեղեկատվություն: Այդպիսի հետազոտությունների հնարավոր անհրաժեշտությունը կախված է ֆոտոկլանումից (քայքայումից), էքսպոզիցիայից (կիրառության եղանակը) (ենթամաշկային ներմուծում, աչքերի մեջ ներկաթեցում) (բաժինը կազմելիս փորձագետը կարող է օգտագործել համապատասխան ձեռնարկներ).</w:t>
      </w:r>
    </w:p>
    <w:p w14:paraId="18F324D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մոլեկուլյար թունաբանություն՝</w:t>
      </w:r>
    </w:p>
    <w:p w14:paraId="42D8AC4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ռեակտիվունակ մետաբոլիտներ (կովալենտային կապով in vitro միացումը սպիտակուցների, ճարպերի, նուկլեինաթթուների հետ): Հնարավոր հետ</w:t>
      </w:r>
      <w:r w:rsidR="00C54D75">
        <w:rPr>
          <w:rFonts w:ascii="Sylfaen" w:hAnsi="Sylfaen"/>
          <w:sz w:val="24"/>
          <w:szCs w:val="24"/>
        </w:rPr>
        <w:t>և</w:t>
      </w:r>
      <w:r w:rsidRPr="004B393A">
        <w:rPr>
          <w:rFonts w:ascii="Sylfaen" w:hAnsi="Sylfaen"/>
          <w:sz w:val="24"/>
          <w:szCs w:val="24"/>
        </w:rPr>
        <w:t>անքներ իդիոսինկրազիայի (բարձր զգայնության) ռեակցիաների կամ աուտոիմուն հիվանդությունների տեսքով.</w:t>
      </w:r>
    </w:p>
    <w:p w14:paraId="0D55589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ազդեցության մեխանիզմի այլ հետազոտություններ (միտոքոնդրիումային թունավորություն, քիմիական ակտիվություն հեմոգլոբինի նկատմամբ </w:t>
      </w:r>
      <w:r w:rsidR="00C54D75">
        <w:rPr>
          <w:rFonts w:ascii="Sylfaen" w:hAnsi="Sylfaen"/>
          <w:sz w:val="24"/>
          <w:szCs w:val="24"/>
        </w:rPr>
        <w:t>և</w:t>
      </w:r>
      <w:r w:rsidRPr="004B393A">
        <w:rPr>
          <w:rFonts w:ascii="Sylfaen" w:hAnsi="Sylfaen"/>
          <w:sz w:val="24"/>
          <w:szCs w:val="24"/>
        </w:rPr>
        <w:t xml:space="preserve"> այլն).</w:t>
      </w:r>
    </w:p>
    <w:p w14:paraId="1E35437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պրոտեոմիկայի, գենոմիկայի </w:t>
      </w:r>
      <w:r w:rsidR="00C54D75">
        <w:rPr>
          <w:rFonts w:ascii="Sylfaen" w:hAnsi="Sylfaen"/>
          <w:sz w:val="24"/>
          <w:szCs w:val="24"/>
        </w:rPr>
        <w:t>և</w:t>
      </w:r>
      <w:r w:rsidRPr="004B393A">
        <w:rPr>
          <w:rFonts w:ascii="Sylfaen" w:hAnsi="Sylfaen"/>
          <w:sz w:val="24"/>
          <w:szCs w:val="24"/>
        </w:rPr>
        <w:t xml:space="preserve"> մոլեկուլյար կենսաբանության այլ բաժինների ոլորտներում հետազոտությունների տվյալներ:</w:t>
      </w:r>
    </w:p>
    <w:p w14:paraId="7C69400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4.8.</w:t>
      </w:r>
      <w:r w:rsidRPr="004B393A">
        <w:rPr>
          <w:rFonts w:ascii="Sylfaen" w:hAnsi="Sylfaen"/>
          <w:sz w:val="24"/>
          <w:szCs w:val="24"/>
        </w:rPr>
        <w:tab/>
        <w:t>Գնահատման գծով փորձագետի ընդհանուր եզրակացությունը՝ թունավորության վերաբերյալ:</w:t>
      </w:r>
    </w:p>
    <w:p w14:paraId="6CCA680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բաժնի բովանդակությունը կարող է ներառվել «Անվտանգության, որակի, արդյունավետության գնահատում» ամփոփ փորձագիտական հաշվետվության մոդուլում:</w:t>
      </w:r>
    </w:p>
    <w:p w14:paraId="2C055E0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Օգուտ-ռիսկ հարաբերակցության պրոֆիլի առավել ամբողջական գնահատման համար անհրաժեշտ է անցկացնել տեղեկությունների մանրակրկիտ վերլուծություն </w:t>
      </w:r>
      <w:r w:rsidR="00C54D75">
        <w:rPr>
          <w:rFonts w:ascii="Sylfaen" w:hAnsi="Sylfaen"/>
          <w:sz w:val="24"/>
          <w:szCs w:val="24"/>
        </w:rPr>
        <w:t>և</w:t>
      </w:r>
      <w:r w:rsidRPr="004B393A">
        <w:rPr>
          <w:rFonts w:ascii="Sylfaen" w:hAnsi="Sylfaen"/>
          <w:sz w:val="24"/>
          <w:szCs w:val="24"/>
        </w:rPr>
        <w:t xml:space="preserve"> տվյալ բաժինը կազմել հնարավորինս մանրակրկիտ:</w:t>
      </w:r>
    </w:p>
    <w:p w14:paraId="64F641F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Անհրաժեշտ է անցկացնել համապատասխան ձեռնարկներում նշված թունաբանական հետազոտությունների ծրագրից կամ պատշաճ լաբորատոր գործունեության պահանջներից բոլոր շեղումների կամ պահանջվող հետազոտությունների բացակայության վերլուծություն:</w:t>
      </w:r>
    </w:p>
    <w:p w14:paraId="564E46E6" w14:textId="4F01E0FC"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Եթե </w:t>
      </w:r>
      <w:r w:rsidR="0056496B">
        <w:rPr>
          <w:rFonts w:ascii="Sylfaen" w:hAnsi="Sylfaen"/>
          <w:sz w:val="24"/>
          <w:szCs w:val="24"/>
        </w:rPr>
        <w:t>դիմում</w:t>
      </w:r>
      <w:r w:rsidRPr="004B393A">
        <w:rPr>
          <w:rFonts w:ascii="Sylfaen" w:hAnsi="Sylfaen"/>
          <w:sz w:val="24"/>
          <w:szCs w:val="24"/>
        </w:rPr>
        <w:t>ը հիմնված է մատենագիտական այնպիսի տվյալների վրա, որոնք օգտագործվում են որպես հաստատող տեղեկատվություն, ապա կար</w:t>
      </w:r>
      <w:r w:rsidR="00C54D75">
        <w:rPr>
          <w:rFonts w:ascii="Sylfaen" w:hAnsi="Sylfaen"/>
          <w:sz w:val="24"/>
          <w:szCs w:val="24"/>
        </w:rPr>
        <w:t>և</w:t>
      </w:r>
      <w:r w:rsidRPr="004B393A">
        <w:rPr>
          <w:rFonts w:ascii="Sylfaen" w:hAnsi="Sylfaen"/>
          <w:sz w:val="24"/>
          <w:szCs w:val="24"/>
        </w:rPr>
        <w:t xml:space="preserve">որ է անդրադառնալ դրան: </w:t>
      </w:r>
    </w:p>
    <w:p w14:paraId="1402C40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Հարկ է գնահատել հետազոտություններում օգտագործված կենդանիների տեսակների (փորձարկումների համակարգերի), հետազոտությունների տ</w:t>
      </w:r>
      <w:r w:rsidR="00C54D75">
        <w:rPr>
          <w:rFonts w:ascii="Sylfaen" w:hAnsi="Sylfaen"/>
          <w:sz w:val="24"/>
          <w:szCs w:val="24"/>
        </w:rPr>
        <w:t>և</w:t>
      </w:r>
      <w:r w:rsidRPr="004B393A">
        <w:rPr>
          <w:rFonts w:ascii="Sylfaen" w:hAnsi="Sylfaen"/>
          <w:sz w:val="24"/>
          <w:szCs w:val="24"/>
        </w:rPr>
        <w:t>ողության, դեղաչափերի (խտությունների) ընտրության հիմնավորվածությունը:</w:t>
      </w:r>
    </w:p>
    <w:p w14:paraId="49278F58" w14:textId="680BFEA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ամփոփել նկատվող էֆեկտները, ինչպես նա</w:t>
      </w:r>
      <w:r w:rsidR="00C54D75">
        <w:rPr>
          <w:rFonts w:ascii="Sylfaen" w:hAnsi="Sylfaen"/>
          <w:sz w:val="24"/>
          <w:szCs w:val="24"/>
        </w:rPr>
        <w:t>և</w:t>
      </w:r>
      <w:r w:rsidRPr="004B393A">
        <w:rPr>
          <w:rFonts w:ascii="Sylfaen" w:hAnsi="Sylfaen"/>
          <w:sz w:val="24"/>
          <w:szCs w:val="24"/>
        </w:rPr>
        <w:t xml:space="preserve"> մարդու համար այդ էֆեկտների պոտենցիալ նշանակությանը վերաբերող ձ</w:t>
      </w:r>
      <w:r w:rsidR="00C54D75">
        <w:rPr>
          <w:rFonts w:ascii="Sylfaen" w:hAnsi="Sylfaen"/>
          <w:sz w:val="24"/>
          <w:szCs w:val="24"/>
        </w:rPr>
        <w:t>և</w:t>
      </w:r>
      <w:r w:rsidRPr="004B393A">
        <w:rPr>
          <w:rFonts w:ascii="Sylfaen" w:hAnsi="Sylfaen"/>
          <w:sz w:val="24"/>
          <w:szCs w:val="24"/>
        </w:rPr>
        <w:t xml:space="preserve">ակերպումները, որոնք առաջարկվել են </w:t>
      </w:r>
      <w:r w:rsidR="0056496B">
        <w:rPr>
          <w:rFonts w:ascii="Sylfaen" w:hAnsi="Sylfaen"/>
          <w:sz w:val="24"/>
          <w:szCs w:val="24"/>
        </w:rPr>
        <w:t>դիմումատու</w:t>
      </w:r>
      <w:r w:rsidRPr="004B393A">
        <w:rPr>
          <w:rFonts w:ascii="Sylfaen" w:hAnsi="Sylfaen"/>
          <w:sz w:val="24"/>
          <w:szCs w:val="24"/>
        </w:rPr>
        <w:t xml:space="preserve">ի կողմից, </w:t>
      </w:r>
      <w:r w:rsidR="00C54D75">
        <w:rPr>
          <w:rFonts w:ascii="Sylfaen" w:hAnsi="Sylfaen"/>
          <w:sz w:val="24"/>
          <w:szCs w:val="24"/>
        </w:rPr>
        <w:t>և</w:t>
      </w:r>
      <w:r w:rsidRPr="004B393A">
        <w:rPr>
          <w:rFonts w:ascii="Sylfaen" w:hAnsi="Sylfaen"/>
          <w:sz w:val="24"/>
          <w:szCs w:val="24"/>
        </w:rPr>
        <w:t xml:space="preserve"> հնարավորության դեպքում կազմել տվյալ հարցի վերաբերյալ սեփական եզրակացությունը:</w:t>
      </w:r>
    </w:p>
    <w:p w14:paraId="0DB3096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տվյալներ՝ քիրալության, ազդող նյութի (աղ, եթեր, հիդրատ </w:t>
      </w:r>
      <w:r w:rsidR="00C54D75">
        <w:rPr>
          <w:rFonts w:ascii="Sylfaen" w:hAnsi="Sylfaen"/>
          <w:sz w:val="24"/>
          <w:szCs w:val="24"/>
        </w:rPr>
        <w:t>և</w:t>
      </w:r>
      <w:r w:rsidRPr="004B393A">
        <w:rPr>
          <w:rFonts w:ascii="Sylfaen" w:hAnsi="Sylfaen"/>
          <w:sz w:val="24"/>
          <w:szCs w:val="24"/>
        </w:rPr>
        <w:t xml:space="preserve"> այլն) մոլեկուլի մոդիֆիկացիայի </w:t>
      </w:r>
      <w:r w:rsidR="00C54D75">
        <w:rPr>
          <w:rFonts w:ascii="Sylfaen" w:hAnsi="Sylfaen"/>
          <w:sz w:val="24"/>
          <w:szCs w:val="24"/>
        </w:rPr>
        <w:t>և</w:t>
      </w:r>
      <w:r w:rsidRPr="004B393A">
        <w:rPr>
          <w:rFonts w:ascii="Sylfaen" w:hAnsi="Sylfaen"/>
          <w:sz w:val="24"/>
          <w:szCs w:val="24"/>
        </w:rPr>
        <w:t xml:space="preserve"> նախակլինիկական հետազոտություններում օգտագործված նյութի մեջ առկա խառնուկների պրոֆիլի </w:t>
      </w:r>
      <w:r w:rsidR="00C54D75">
        <w:rPr>
          <w:rFonts w:ascii="Sylfaen" w:hAnsi="Sylfaen"/>
          <w:sz w:val="24"/>
          <w:szCs w:val="24"/>
        </w:rPr>
        <w:t>և</w:t>
      </w:r>
      <w:r w:rsidRPr="004B393A">
        <w:rPr>
          <w:rFonts w:ascii="Sylfaen" w:hAnsi="Sylfaen"/>
          <w:sz w:val="24"/>
          <w:szCs w:val="24"/>
        </w:rPr>
        <w:t xml:space="preserve"> այն պատրաստուկի տարբերությունների հնարավոր հետ</w:t>
      </w:r>
      <w:r w:rsidR="00C54D75">
        <w:rPr>
          <w:rFonts w:ascii="Sylfaen" w:hAnsi="Sylfaen"/>
          <w:sz w:val="24"/>
          <w:szCs w:val="24"/>
        </w:rPr>
        <w:t>և</w:t>
      </w:r>
      <w:r w:rsidRPr="004B393A">
        <w:rPr>
          <w:rFonts w:ascii="Sylfaen" w:hAnsi="Sylfaen"/>
          <w:sz w:val="24"/>
          <w:szCs w:val="24"/>
        </w:rPr>
        <w:t>անքների վերաբերյալ, որը գտնվելու է դեղագործական շուկայում:</w:t>
      </w:r>
    </w:p>
    <w:p w14:paraId="287C4D2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դիտարկել նյութափոխանակության </w:t>
      </w:r>
      <w:r w:rsidR="00C54D75">
        <w:rPr>
          <w:rFonts w:ascii="Sylfaen" w:hAnsi="Sylfaen"/>
          <w:sz w:val="24"/>
          <w:szCs w:val="24"/>
        </w:rPr>
        <w:t>և</w:t>
      </w:r>
      <w:r w:rsidRPr="004B393A">
        <w:rPr>
          <w:rFonts w:ascii="Sylfaen" w:hAnsi="Sylfaen"/>
          <w:sz w:val="24"/>
          <w:szCs w:val="24"/>
        </w:rPr>
        <w:t xml:space="preserve"> մարդու ու կենդանիների մոտ համակարգային ներգործության (AUC, С</w:t>
      </w:r>
      <w:r w:rsidRPr="004B393A">
        <w:rPr>
          <w:rFonts w:ascii="Sylfaen" w:hAnsi="Sylfaen"/>
          <w:sz w:val="24"/>
          <w:szCs w:val="24"/>
          <w:vertAlign w:val="subscript"/>
        </w:rPr>
        <w:t>max</w:t>
      </w:r>
      <w:r w:rsidRPr="004B393A">
        <w:rPr>
          <w:rFonts w:ascii="Sylfaen" w:hAnsi="Sylfaen"/>
          <w:sz w:val="24"/>
          <w:szCs w:val="24"/>
        </w:rPr>
        <w:t>, այլ պարամետրեր) միջտեսակային համեմատական հետազոտությունները, ինչպես նա</w:t>
      </w:r>
      <w:r w:rsidR="00C54D75">
        <w:rPr>
          <w:rFonts w:ascii="Sylfaen" w:hAnsi="Sylfaen"/>
          <w:sz w:val="24"/>
          <w:szCs w:val="24"/>
        </w:rPr>
        <w:t>և</w:t>
      </w:r>
      <w:r w:rsidRPr="004B393A">
        <w:rPr>
          <w:rFonts w:ascii="Sylfaen" w:hAnsi="Sylfaen"/>
          <w:sz w:val="24"/>
          <w:szCs w:val="24"/>
        </w:rPr>
        <w:t xml:space="preserve"> քննարկել այդ հետազոտությունների սահմանափակումներն ու կիրառելիությունը՝ մարդու մոտ հնարավոր անցանկալի ռեակցիաները կանխատեսելու համար:</w:t>
      </w:r>
    </w:p>
    <w:p w14:paraId="43A85C0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նշել թունաբանական հետազոտություններում օգտագործված կենդանիների տեսակների պիտանիությունը՝ դեղագործության տեսանկյունից պոտենցիալ միջտեսակային տարբերությունների համատեքստում:</w:t>
      </w:r>
    </w:p>
    <w:p w14:paraId="2CDF85B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Հատուկ ուշադրություն է պետք դարձնել գենոտոքսիկության հետազոտությունների, քաղցկեղածին ազդեցության, վերարտադրողական </w:t>
      </w:r>
      <w:r w:rsidR="00C54D75">
        <w:rPr>
          <w:rFonts w:ascii="Sylfaen" w:hAnsi="Sylfaen"/>
          <w:sz w:val="24"/>
          <w:szCs w:val="24"/>
        </w:rPr>
        <w:t>և</w:t>
      </w:r>
      <w:r w:rsidRPr="004B393A">
        <w:rPr>
          <w:rFonts w:ascii="Sylfaen" w:hAnsi="Sylfaen"/>
          <w:sz w:val="24"/>
          <w:szCs w:val="24"/>
        </w:rPr>
        <w:t xml:space="preserve"> օնտոգենետիկ թունավորության արդյունքներին: Դրական գենոտոքսիկ էֆեկտների առկայության դեպքում հարկ է վերլուծել ուռուցքների առաջացման </w:t>
      </w:r>
      <w:r w:rsidR="00C54D75">
        <w:rPr>
          <w:rFonts w:ascii="Sylfaen" w:hAnsi="Sylfaen"/>
          <w:sz w:val="24"/>
          <w:szCs w:val="24"/>
        </w:rPr>
        <w:t>և</w:t>
      </w:r>
      <w:r w:rsidRPr="004B393A">
        <w:rPr>
          <w:rFonts w:ascii="Sylfaen" w:hAnsi="Sylfaen"/>
          <w:sz w:val="24"/>
          <w:szCs w:val="24"/>
        </w:rPr>
        <w:t xml:space="preserve"> (կամ) վերարտադրողական ֆունկցիայի (օնտոգենեզ) վրա պատրաստուկի ազդեցության վերաբերյալ տվյալները, մարդու համար այդ տեղեկատվության պոտենցիալ նշանակությունը </w:t>
      </w:r>
      <w:r w:rsidR="00C54D75">
        <w:rPr>
          <w:rFonts w:ascii="Sylfaen" w:hAnsi="Sylfaen"/>
          <w:sz w:val="24"/>
          <w:szCs w:val="24"/>
        </w:rPr>
        <w:t>և</w:t>
      </w:r>
      <w:r w:rsidRPr="004B393A">
        <w:rPr>
          <w:rFonts w:ascii="Sylfaen" w:hAnsi="Sylfaen"/>
          <w:sz w:val="24"/>
          <w:szCs w:val="24"/>
        </w:rPr>
        <w:t xml:space="preserve"> հնարավորության դեպքում անել համապատասխան եզրահանգում:</w:t>
      </w:r>
    </w:p>
    <w:p w14:paraId="161952B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Ինչ վերաբերում է քաղցկեղածին պոտենցիալին, անհրաժեշտ է ուշադրություն դարձնել հետ</w:t>
      </w:r>
      <w:r w:rsidR="00C54D75">
        <w:rPr>
          <w:rFonts w:ascii="Sylfaen" w:hAnsi="Sylfaen"/>
          <w:sz w:val="24"/>
          <w:szCs w:val="24"/>
        </w:rPr>
        <w:t>և</w:t>
      </w:r>
      <w:r w:rsidRPr="004B393A">
        <w:rPr>
          <w:rFonts w:ascii="Sylfaen" w:hAnsi="Sylfaen"/>
          <w:sz w:val="24"/>
          <w:szCs w:val="24"/>
        </w:rPr>
        <w:t xml:space="preserve">յալին. ուռուցքների աճի կենսաբանական նշանակությունը, անցած ժամանակահատվածների տվյալները, կապը դեղաբանական էֆեկտի հետ, դեղաչափից կախված էֆեկտները, տեսակասպեցիֆիկ տարբերությունները, ազդեցության մեխանիզմի հետազոտությունները, կապը գենոտոքսիկության հետ, մարդու </w:t>
      </w:r>
      <w:r w:rsidR="00C54D75">
        <w:rPr>
          <w:rFonts w:ascii="Sylfaen" w:hAnsi="Sylfaen"/>
          <w:sz w:val="24"/>
          <w:szCs w:val="24"/>
        </w:rPr>
        <w:t>և</w:t>
      </w:r>
      <w:r w:rsidRPr="004B393A">
        <w:rPr>
          <w:rFonts w:ascii="Sylfaen" w:hAnsi="Sylfaen"/>
          <w:sz w:val="24"/>
          <w:szCs w:val="24"/>
        </w:rPr>
        <w:t xml:space="preserve"> կենդանիների մոտ էքսպոզիցիայի համեմատությունը </w:t>
      </w:r>
      <w:r w:rsidR="00C54D75">
        <w:rPr>
          <w:rFonts w:ascii="Sylfaen" w:hAnsi="Sylfaen"/>
          <w:sz w:val="24"/>
          <w:szCs w:val="24"/>
        </w:rPr>
        <w:t>և</w:t>
      </w:r>
      <w:r w:rsidRPr="004B393A">
        <w:rPr>
          <w:rFonts w:ascii="Sylfaen" w:hAnsi="Sylfaen"/>
          <w:sz w:val="24"/>
          <w:szCs w:val="24"/>
        </w:rPr>
        <w:t xml:space="preserve"> այլն:</w:t>
      </w:r>
    </w:p>
    <w:p w14:paraId="6485ECE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Որպես տարբերակ սույն բաժնում փորձագետի կողմից կարող են ներկայացվել միայն հիմնական եզրահանգումներ, </w:t>
      </w:r>
      <w:r w:rsidR="00C54D75">
        <w:rPr>
          <w:rFonts w:ascii="Sylfaen" w:hAnsi="Sylfaen"/>
          <w:sz w:val="24"/>
          <w:szCs w:val="24"/>
        </w:rPr>
        <w:t>և</w:t>
      </w:r>
      <w:r w:rsidRPr="004B393A">
        <w:rPr>
          <w:rFonts w:ascii="Sylfaen" w:hAnsi="Sylfaen"/>
          <w:sz w:val="24"/>
          <w:szCs w:val="24"/>
        </w:rPr>
        <w:t xml:space="preserve"> այդ դեպքում «Անվտանգության, որակի, արդյունավետության գնահատում» ամփոփ փորձագիտական հաշվետվության մոդուլի տեքստը պետք է մշակվի առանձին:</w:t>
      </w:r>
    </w:p>
    <w:p w14:paraId="00DF026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հատուկ ընդգծել այն դեպքերը, երբ պահանջվում է լրացուցիչ փորձաքննության անցկացում՝ մարդու կողմից պատրաստուկի կիրառության հնարավոր հետ</w:t>
      </w:r>
      <w:r w:rsidR="00C54D75">
        <w:rPr>
          <w:rFonts w:ascii="Sylfaen" w:hAnsi="Sylfaen"/>
          <w:sz w:val="24"/>
          <w:szCs w:val="24"/>
        </w:rPr>
        <w:t>և</w:t>
      </w:r>
      <w:r w:rsidRPr="004B393A">
        <w:rPr>
          <w:rFonts w:ascii="Sylfaen" w:hAnsi="Sylfaen"/>
          <w:sz w:val="24"/>
          <w:szCs w:val="24"/>
        </w:rPr>
        <w:t>անքները գնահատելու համար: Այս խմբին է պատկանում ոչ սեռահասուն առանձնյակների հետ առնչվող հետազոտություններով ստացված տվյալների հիման վրա մանկաբուժության ոլորտում մասնագետ-փորձագետների եզրակացությունը ստանալու անհրաժեշտության հարցը:</w:t>
      </w:r>
    </w:p>
    <w:p w14:paraId="066C467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ներկայացնել մեկնաբանություններ՝ ԴԸԲ-ի համար ձ</w:t>
      </w:r>
      <w:r w:rsidR="00C54D75">
        <w:rPr>
          <w:rFonts w:ascii="Sylfaen" w:hAnsi="Sylfaen"/>
          <w:sz w:val="24"/>
          <w:szCs w:val="24"/>
        </w:rPr>
        <w:t>և</w:t>
      </w:r>
      <w:r w:rsidRPr="004B393A">
        <w:rPr>
          <w:rFonts w:ascii="Sylfaen" w:hAnsi="Sylfaen"/>
          <w:sz w:val="24"/>
          <w:szCs w:val="24"/>
        </w:rPr>
        <w:t xml:space="preserve">ակերպումների պիտանիության վերաբերյալ: Ստուգել դոսյեում </w:t>
      </w:r>
      <w:r w:rsidR="00C54D75">
        <w:rPr>
          <w:rFonts w:ascii="Sylfaen" w:hAnsi="Sylfaen"/>
          <w:sz w:val="24"/>
          <w:szCs w:val="24"/>
        </w:rPr>
        <w:t>և</w:t>
      </w:r>
      <w:r w:rsidRPr="004B393A">
        <w:rPr>
          <w:rFonts w:ascii="Sylfaen" w:hAnsi="Sylfaen"/>
          <w:sz w:val="24"/>
          <w:szCs w:val="24"/>
        </w:rPr>
        <w:t xml:space="preserve"> ԴԸԲ-ում տեքստի համապատասխանությունը (մասնավորապես՝ 5.3՝ «Նախակլինիկական հետազոտությունների անվտանգության տվյալներ» բաժնում, ինչպես նա</w:t>
      </w:r>
      <w:r w:rsidR="00C54D75">
        <w:rPr>
          <w:rFonts w:ascii="Sylfaen" w:hAnsi="Sylfaen"/>
          <w:sz w:val="24"/>
          <w:szCs w:val="24"/>
        </w:rPr>
        <w:t>և</w:t>
      </w:r>
      <w:r w:rsidRPr="004B393A">
        <w:rPr>
          <w:rFonts w:ascii="Sylfaen" w:hAnsi="Sylfaen"/>
          <w:sz w:val="24"/>
          <w:szCs w:val="24"/>
        </w:rPr>
        <w:t xml:space="preserve"> 4.3՝ </w:t>
      </w:r>
      <w:r w:rsidRPr="004B393A">
        <w:rPr>
          <w:rFonts w:ascii="Sylfaen" w:hAnsi="Sylfaen"/>
          <w:sz w:val="24"/>
          <w:szCs w:val="24"/>
        </w:rPr>
        <w:lastRenderedPageBreak/>
        <w:t xml:space="preserve">«Հակացուցումներ», 4.5՝ «Դեղային փոխազդեցություններ», 4.6՝ «Հղիություն </w:t>
      </w:r>
      <w:r w:rsidR="00C54D75">
        <w:rPr>
          <w:rFonts w:ascii="Sylfaen" w:hAnsi="Sylfaen"/>
          <w:sz w:val="24"/>
          <w:szCs w:val="24"/>
        </w:rPr>
        <w:t>և</w:t>
      </w:r>
      <w:r w:rsidRPr="004B393A">
        <w:rPr>
          <w:rFonts w:ascii="Sylfaen" w:hAnsi="Sylfaen"/>
          <w:sz w:val="24"/>
          <w:szCs w:val="24"/>
        </w:rPr>
        <w:t xml:space="preserve"> կրծքով կերակրում») բաժիններում, ինչպես նա</w:t>
      </w:r>
      <w:r w:rsidR="00C54D75">
        <w:rPr>
          <w:rFonts w:ascii="Sylfaen" w:hAnsi="Sylfaen"/>
          <w:sz w:val="24"/>
          <w:szCs w:val="24"/>
        </w:rPr>
        <w:t>և</w:t>
      </w:r>
      <w:r w:rsidRPr="004B393A">
        <w:rPr>
          <w:rFonts w:ascii="Sylfaen" w:hAnsi="Sylfaen"/>
          <w:sz w:val="24"/>
          <w:szCs w:val="24"/>
        </w:rPr>
        <w:t xml:space="preserve"> հավաստիանալ, որ ԴԸԲ-ում պարունակվող տեղեկատվությունն ամբողջությամբ հաստատված է գիտական փորձաքննության արդյունքներով:</w:t>
      </w:r>
    </w:p>
    <w:p w14:paraId="02D838A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Կենսահամանման (կենսանման) դեղապատրաստուկների համար անհրաժեշտ է վերլուծել ոչ միայն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պատրաստուկի թերապ</w:t>
      </w:r>
      <w:r w:rsidR="00C54D75">
        <w:rPr>
          <w:rFonts w:ascii="Sylfaen" w:hAnsi="Sylfaen"/>
          <w:sz w:val="24"/>
          <w:szCs w:val="24"/>
        </w:rPr>
        <w:t>և</w:t>
      </w:r>
      <w:r w:rsidRPr="004B393A">
        <w:rPr>
          <w:rFonts w:ascii="Sylfaen" w:hAnsi="Sylfaen"/>
          <w:sz w:val="24"/>
          <w:szCs w:val="24"/>
        </w:rPr>
        <w:t>տիկ պատասխանն ինքնին (per se), այլ</w:t>
      </w:r>
      <w:r w:rsidR="00C54D75">
        <w:rPr>
          <w:rFonts w:ascii="Sylfaen" w:hAnsi="Sylfaen"/>
          <w:sz w:val="24"/>
          <w:szCs w:val="24"/>
        </w:rPr>
        <w:t>և</w:t>
      </w:r>
      <w:r w:rsidRPr="004B393A">
        <w:rPr>
          <w:rFonts w:ascii="Sylfaen" w:hAnsi="Sylfaen"/>
          <w:sz w:val="24"/>
          <w:szCs w:val="24"/>
        </w:rPr>
        <w:t xml:space="preserve"> դրա համանմանությունը (տարբերությունը):</w:t>
      </w:r>
    </w:p>
    <w:p w14:paraId="3C01E91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6.</w:t>
      </w:r>
      <w:r w:rsidRPr="004B393A">
        <w:rPr>
          <w:rFonts w:ascii="Sylfaen" w:hAnsi="Sylfaen"/>
          <w:sz w:val="24"/>
          <w:szCs w:val="24"/>
        </w:rPr>
        <w:tab/>
        <w:t>Փորձագետի կողմից անցկացված փորձաքննության շրջանակներում բերված դիտողությունների ցանկը:</w:t>
      </w:r>
    </w:p>
    <w:p w14:paraId="3058EFEE" w14:textId="09E4F94E"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Քննադատական դիտողությունների առկայությունը դեղապատրաստուկի գրանցման </w:t>
      </w:r>
      <w:r w:rsidR="0056496B">
        <w:rPr>
          <w:rFonts w:ascii="Sylfaen" w:hAnsi="Sylfaen"/>
          <w:sz w:val="24"/>
          <w:szCs w:val="24"/>
        </w:rPr>
        <w:t>դիմում</w:t>
      </w:r>
      <w:r w:rsidRPr="004B393A">
        <w:rPr>
          <w:rFonts w:ascii="Sylfaen" w:hAnsi="Sylfaen"/>
          <w:sz w:val="24"/>
          <w:szCs w:val="24"/>
        </w:rPr>
        <w:t xml:space="preserve">ի հաստատման վերաբերյալ առաջարկությունը դարձնում է անհնար: Մեկ քննադատական դիտողությունը տեսականորեն կարող է ներառել մեկից ավելի հարցեր, այդ իսկ պատճառով հարկավոր է օգտագործել պարբերություններ </w:t>
      </w:r>
      <w:r w:rsidR="00C54D75">
        <w:rPr>
          <w:rFonts w:ascii="Sylfaen" w:hAnsi="Sylfaen"/>
          <w:sz w:val="24"/>
          <w:szCs w:val="24"/>
        </w:rPr>
        <w:t>և</w:t>
      </w:r>
      <w:r w:rsidRPr="004B393A">
        <w:rPr>
          <w:rFonts w:ascii="Sylfaen" w:hAnsi="Sylfaen"/>
          <w:sz w:val="24"/>
          <w:szCs w:val="24"/>
        </w:rPr>
        <w:t xml:space="preserve"> ենթավերնագրեր: Կար</w:t>
      </w:r>
      <w:r w:rsidR="00C54D75">
        <w:rPr>
          <w:rFonts w:ascii="Sylfaen" w:hAnsi="Sylfaen"/>
          <w:sz w:val="24"/>
          <w:szCs w:val="24"/>
        </w:rPr>
        <w:t>և</w:t>
      </w:r>
      <w:r w:rsidRPr="004B393A">
        <w:rPr>
          <w:rFonts w:ascii="Sylfaen" w:hAnsi="Sylfaen"/>
          <w:sz w:val="24"/>
          <w:szCs w:val="24"/>
        </w:rPr>
        <w:t xml:space="preserve">որ է, որ քննադատական դիտողությունը լինի հասկանալի </w:t>
      </w:r>
      <w:r w:rsidR="00C54D75">
        <w:rPr>
          <w:rFonts w:ascii="Sylfaen" w:hAnsi="Sylfaen"/>
          <w:sz w:val="24"/>
          <w:szCs w:val="24"/>
        </w:rPr>
        <w:t>և</w:t>
      </w:r>
      <w:r w:rsidRPr="004B393A">
        <w:rPr>
          <w:rFonts w:ascii="Sylfaen" w:hAnsi="Sylfaen"/>
          <w:sz w:val="24"/>
          <w:szCs w:val="24"/>
        </w:rPr>
        <w:t xml:space="preserve"> տրամաբանական: Դրա համար կարող են պահանջվել մանրամասն մեկնաբանություններ՝ համապատասխան ակտերին </w:t>
      </w:r>
      <w:r w:rsidR="00C54D75">
        <w:rPr>
          <w:rFonts w:ascii="Sylfaen" w:hAnsi="Sylfaen"/>
          <w:sz w:val="24"/>
          <w:szCs w:val="24"/>
        </w:rPr>
        <w:t>և</w:t>
      </w:r>
      <w:r w:rsidRPr="004B393A">
        <w:rPr>
          <w:rFonts w:ascii="Sylfaen" w:hAnsi="Sylfaen"/>
          <w:sz w:val="24"/>
          <w:szCs w:val="24"/>
        </w:rPr>
        <w:t xml:space="preserve"> հանձնարարականներին (ձեռնարկներին) արված հղումներով:</w:t>
      </w:r>
    </w:p>
    <w:p w14:paraId="5EF9562D" w14:textId="26242E9D"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Լավագույն դեպքում դիտողությունը պետք է ներառի </w:t>
      </w:r>
      <w:r w:rsidR="0056496B">
        <w:rPr>
          <w:rFonts w:ascii="Sylfaen" w:hAnsi="Sylfaen"/>
          <w:sz w:val="24"/>
          <w:szCs w:val="24"/>
        </w:rPr>
        <w:t>դիմումատու</w:t>
      </w:r>
      <w:r w:rsidRPr="004B393A">
        <w:rPr>
          <w:rFonts w:ascii="Sylfaen" w:hAnsi="Sylfaen"/>
          <w:sz w:val="24"/>
          <w:szCs w:val="24"/>
        </w:rPr>
        <w:t>ից ակնկալվող պատասխանի (միջոցների) վերաբերյալ պարզաբանումներ:</w:t>
      </w:r>
    </w:p>
    <w:p w14:paraId="1E6BD896" w14:textId="7D81BAEC"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«Այլ դիտողություններ» բաժինը կարող է ազդել գրանցման հավաստագիրը ստանալու առաջարկվող պայմանների </w:t>
      </w:r>
      <w:r w:rsidR="00C54D75">
        <w:rPr>
          <w:rFonts w:ascii="Sylfaen" w:hAnsi="Sylfaen"/>
          <w:sz w:val="24"/>
          <w:szCs w:val="24"/>
        </w:rPr>
        <w:t>և</w:t>
      </w:r>
      <w:r w:rsidRPr="004B393A">
        <w:rPr>
          <w:rFonts w:ascii="Sylfaen" w:hAnsi="Sylfaen"/>
          <w:sz w:val="24"/>
          <w:szCs w:val="24"/>
        </w:rPr>
        <w:t xml:space="preserve"> դեղապատրաստուկի մասին տեղեկատվության բովանդակության վրա: Այս խնդրահարույց հարցերը պետք է լուծվեն </w:t>
      </w:r>
      <w:r w:rsidR="0056496B">
        <w:rPr>
          <w:rFonts w:ascii="Sylfaen" w:hAnsi="Sylfaen"/>
          <w:sz w:val="24"/>
          <w:szCs w:val="24"/>
        </w:rPr>
        <w:t>դիմում</w:t>
      </w:r>
      <w:r w:rsidRPr="004B393A">
        <w:rPr>
          <w:rFonts w:ascii="Sylfaen" w:hAnsi="Sylfaen"/>
          <w:sz w:val="24"/>
          <w:szCs w:val="24"/>
        </w:rPr>
        <w:t xml:space="preserve">ի հաստատումից առաջ, հակառակ դեպքում </w:t>
      </w:r>
      <w:r w:rsidR="0056496B">
        <w:rPr>
          <w:rFonts w:ascii="Sylfaen" w:hAnsi="Sylfaen"/>
          <w:sz w:val="24"/>
          <w:szCs w:val="24"/>
        </w:rPr>
        <w:t>դիմում</w:t>
      </w:r>
      <w:r w:rsidRPr="004B393A">
        <w:rPr>
          <w:rFonts w:ascii="Sylfaen" w:hAnsi="Sylfaen"/>
          <w:sz w:val="24"/>
          <w:szCs w:val="24"/>
        </w:rPr>
        <w:t>ը կարող է մերժվել:</w:t>
      </w:r>
    </w:p>
    <w:p w14:paraId="2A60BCF9"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Դիտողությունների տվյալ ցանկն անհրաժեշտ է պատճենել «Անվտանգության, որակի </w:t>
      </w:r>
      <w:r w:rsidR="00C54D75">
        <w:rPr>
          <w:rFonts w:ascii="Sylfaen" w:hAnsi="Sylfaen"/>
          <w:sz w:val="24"/>
          <w:szCs w:val="24"/>
        </w:rPr>
        <w:t>և</w:t>
      </w:r>
      <w:r w:rsidRPr="004B393A">
        <w:rPr>
          <w:rFonts w:ascii="Sylfaen" w:hAnsi="Sylfaen"/>
          <w:sz w:val="24"/>
          <w:szCs w:val="24"/>
        </w:rPr>
        <w:t xml:space="preserve"> արդյունավետության գնահատում» ամփոփ փորձագիտական </w:t>
      </w:r>
      <w:r w:rsidRPr="004B393A">
        <w:rPr>
          <w:rFonts w:ascii="Sylfaen" w:hAnsi="Sylfaen"/>
          <w:sz w:val="24"/>
          <w:szCs w:val="24"/>
        </w:rPr>
        <w:lastRenderedPageBreak/>
        <w:t>հաշվետվություն մոդուլում:</w:t>
      </w:r>
    </w:p>
    <w:p w14:paraId="5C3E6510"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«Հանձնարարականներ» բաժինը պարունակում է փորձագետի այն դիտողությունները (պայմանները), որոնք չեն խոչընդոտում դեղապատրաստուկի գրանցմանը, որոնք կարող են հաշվի առնվել պատրաստուկի գրանցումից հետո </w:t>
      </w:r>
      <w:r w:rsidR="00C54D75">
        <w:rPr>
          <w:rFonts w:ascii="Sylfaen" w:hAnsi="Sylfaen"/>
          <w:sz w:val="24"/>
          <w:szCs w:val="24"/>
        </w:rPr>
        <w:t>և</w:t>
      </w:r>
      <w:r w:rsidRPr="004B393A">
        <w:rPr>
          <w:rFonts w:ascii="Sylfaen" w:hAnsi="Sylfaen"/>
          <w:sz w:val="24"/>
          <w:szCs w:val="24"/>
        </w:rPr>
        <w:t xml:space="preserve"> ներառվել (փոփոխվել) փոփոխությունների կատարման ընթացակարգի շրջանակներում:</w:t>
      </w:r>
    </w:p>
    <w:p w14:paraId="60B7F10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7.</w:t>
      </w:r>
      <w:r w:rsidRPr="004B393A">
        <w:rPr>
          <w:rFonts w:ascii="Sylfaen" w:hAnsi="Sylfaen"/>
          <w:sz w:val="24"/>
          <w:szCs w:val="24"/>
        </w:rPr>
        <w:tab/>
        <w:t>Փորձագետի կողմից առաջարկվող պայմանները:</w:t>
      </w:r>
    </w:p>
    <w:p w14:paraId="0BA667B2"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Սույն բաժնում դիտարկվող հարցերը պետք է վերլուծության ենթարկվեն ամփոփ փորձագիտական հաշվետվության՝ «Անվտանգության, որակի, արդյունավետության գնահատում» մոդուլի համապատասխան բաժնում (օրինակ՝ մեկնաբանություններ՝ դեղապատրաստուկի վերաբերյալ տեղեկությունների առնչությամբ):</w:t>
      </w:r>
    </w:p>
    <w:p w14:paraId="63CD2F01" w14:textId="6F534F64" w:rsidR="00D91652" w:rsidRDefault="008C76E0" w:rsidP="00364CB4">
      <w:pPr>
        <w:spacing w:after="160" w:line="360" w:lineRule="auto"/>
        <w:ind w:firstLine="567"/>
        <w:rPr>
          <w:rFonts w:ascii="Sylfaen" w:eastAsia="Times New Roman" w:hAnsi="Sylfaen" w:cs="Times New Roman"/>
          <w:sz w:val="24"/>
          <w:szCs w:val="24"/>
        </w:rPr>
      </w:pPr>
      <w:r w:rsidRPr="004B393A">
        <w:rPr>
          <w:rFonts w:ascii="Sylfaen" w:eastAsia="Times New Roman" w:hAnsi="Sylfaen" w:cs="Times New Roman"/>
          <w:bCs/>
          <w:color w:val="000000"/>
          <w:sz w:val="24"/>
          <w:szCs w:val="24"/>
          <w:shd w:val="clear" w:color="auto" w:fill="FFFFFF"/>
        </w:rPr>
        <w:t>Այս բաժնում նա</w:t>
      </w:r>
      <w:r w:rsidR="00C54D75">
        <w:rPr>
          <w:rFonts w:ascii="Sylfaen" w:eastAsia="Times New Roman" w:hAnsi="Sylfaen" w:cs="Times New Roman"/>
          <w:bCs/>
          <w:color w:val="000000"/>
          <w:sz w:val="24"/>
          <w:szCs w:val="24"/>
          <w:shd w:val="clear" w:color="auto" w:fill="FFFFFF"/>
        </w:rPr>
        <w:t>և</w:t>
      </w:r>
      <w:r w:rsidRPr="004B393A">
        <w:rPr>
          <w:rFonts w:ascii="Sylfaen" w:eastAsia="Times New Roman" w:hAnsi="Sylfaen" w:cs="Times New Roman"/>
          <w:bCs/>
          <w:color w:val="000000"/>
          <w:sz w:val="24"/>
          <w:szCs w:val="24"/>
          <w:shd w:val="clear" w:color="auto" w:fill="FFFFFF"/>
        </w:rPr>
        <w:t xml:space="preserve"> կարելի է տալ ավելի ընդհանուր բնույթի մեկնաբանություններ</w:t>
      </w:r>
      <w:r w:rsidRPr="004B393A">
        <w:rPr>
          <w:rFonts w:ascii="Sylfaen" w:hAnsi="Sylfaen"/>
          <w:sz w:val="24"/>
          <w:szCs w:val="24"/>
        </w:rPr>
        <w:t>:</w:t>
      </w:r>
    </w:p>
    <w:p w14:paraId="51912230" w14:textId="77777777" w:rsidR="00364CB4" w:rsidRPr="006F28F9" w:rsidRDefault="00364CB4" w:rsidP="00364CB4">
      <w:pPr>
        <w:rPr>
          <w:b/>
          <w:bCs/>
          <w:i/>
          <w:iCs/>
        </w:rPr>
      </w:pPr>
      <w:r w:rsidRPr="00CD4709">
        <w:rPr>
          <w:b/>
          <w:bCs/>
          <w:i/>
          <w:iCs/>
        </w:rPr>
        <w:t>(</w:t>
      </w:r>
      <w:r>
        <w:rPr>
          <w:b/>
          <w:bCs/>
          <w:i/>
          <w:iCs/>
        </w:rPr>
        <w:t xml:space="preserve">հավելվածը </w:t>
      </w:r>
      <w:r w:rsidRPr="00CD4709">
        <w:rPr>
          <w:b/>
          <w:bCs/>
          <w:i/>
          <w:iCs/>
        </w:rPr>
        <w:t>փոփ. 30.01.20 թիվ 9)</w:t>
      </w:r>
    </w:p>
    <w:p w14:paraId="2BE9F7E1" w14:textId="132093A7" w:rsidR="00364CB4" w:rsidRPr="00E15E7D" w:rsidRDefault="00364CB4" w:rsidP="008C76E0">
      <w:pPr>
        <w:widowControl/>
        <w:ind w:firstLine="567"/>
        <w:rPr>
          <w:rFonts w:ascii="Sylfaen" w:eastAsia="Times New Roman" w:hAnsi="Sylfaen" w:cs="Times New Roman"/>
          <w:sz w:val="24"/>
          <w:szCs w:val="24"/>
        </w:rPr>
        <w:sectPr w:rsidR="00364CB4" w:rsidRPr="00E15E7D" w:rsidSect="00C31D56">
          <w:headerReference w:type="even" r:id="rId22"/>
          <w:headerReference w:type="default" r:id="rId23"/>
          <w:pgSz w:w="11906" w:h="16838" w:code="9"/>
          <w:pgMar w:top="1418" w:right="1418" w:bottom="1418" w:left="1418" w:header="709" w:footer="709" w:gutter="0"/>
          <w:pgNumType w:start="1"/>
          <w:cols w:space="708"/>
          <w:titlePg/>
          <w:docGrid w:linePitch="360"/>
        </w:sectPr>
      </w:pPr>
    </w:p>
    <w:p w14:paraId="49D72CE2" w14:textId="77777777" w:rsidR="008C76E0" w:rsidRPr="00132EF0" w:rsidRDefault="008C76E0" w:rsidP="00132EF0">
      <w:pPr>
        <w:spacing w:after="160" w:line="360" w:lineRule="auto"/>
        <w:ind w:left="4678" w:right="-1"/>
        <w:jc w:val="center"/>
        <w:rPr>
          <w:rFonts w:ascii="Sylfaen" w:hAnsi="Sylfaen"/>
          <w:sz w:val="24"/>
          <w:szCs w:val="24"/>
        </w:rPr>
      </w:pPr>
      <w:r w:rsidRPr="00132EF0">
        <w:rPr>
          <w:rFonts w:ascii="Sylfaen" w:hAnsi="Sylfaen"/>
          <w:sz w:val="24"/>
          <w:szCs w:val="24"/>
        </w:rPr>
        <w:lastRenderedPageBreak/>
        <w:t>ՀԱՎԵԼՎԱԾ ԹԻՎ 14</w:t>
      </w:r>
    </w:p>
    <w:p w14:paraId="5EE1B224" w14:textId="77777777" w:rsidR="008C76E0" w:rsidRPr="00132EF0" w:rsidRDefault="008C76E0" w:rsidP="00132EF0">
      <w:pPr>
        <w:spacing w:after="160" w:line="360" w:lineRule="auto"/>
        <w:ind w:left="4678" w:right="-1"/>
        <w:jc w:val="center"/>
        <w:rPr>
          <w:rFonts w:ascii="Sylfaen" w:hAnsi="Sylfaen"/>
          <w:sz w:val="24"/>
          <w:szCs w:val="24"/>
        </w:rPr>
      </w:pPr>
      <w:r w:rsidRPr="00132EF0">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w:t>
      </w:r>
    </w:p>
    <w:p w14:paraId="137BF954" w14:textId="77777777" w:rsidR="008C76E0" w:rsidRPr="00132EF0" w:rsidRDefault="008C76E0" w:rsidP="00132EF0">
      <w:pPr>
        <w:spacing w:after="160" w:line="360" w:lineRule="auto"/>
        <w:ind w:left="5103"/>
        <w:jc w:val="center"/>
        <w:rPr>
          <w:rFonts w:ascii="Sylfaen" w:hAnsi="Sylfaen"/>
          <w:sz w:val="24"/>
          <w:szCs w:val="24"/>
        </w:rPr>
      </w:pPr>
    </w:p>
    <w:p w14:paraId="1618D4B9" w14:textId="77777777" w:rsidR="008C76E0" w:rsidRPr="00132EF0" w:rsidRDefault="008C76E0" w:rsidP="00132EF0">
      <w:pPr>
        <w:pStyle w:val="Heading130"/>
        <w:shd w:val="clear" w:color="auto" w:fill="auto"/>
        <w:spacing w:before="0" w:after="160" w:line="360" w:lineRule="auto"/>
        <w:ind w:left="567" w:right="565"/>
        <w:outlineLvl w:val="9"/>
        <w:rPr>
          <w:rFonts w:ascii="Sylfaen" w:hAnsi="Sylfaen"/>
          <w:b/>
          <w:sz w:val="24"/>
          <w:szCs w:val="24"/>
          <w:lang w:val="hy-AM"/>
        </w:rPr>
      </w:pPr>
      <w:bookmarkStart w:id="9" w:name="bookmark9"/>
      <w:r w:rsidRPr="00132EF0">
        <w:rPr>
          <w:rStyle w:val="Heading13Spacing2pt"/>
          <w:rFonts w:ascii="Sylfaen" w:hAnsi="Sylfaen"/>
          <w:b/>
          <w:sz w:val="24"/>
          <w:szCs w:val="24"/>
          <w:lang w:val="hy-AM"/>
        </w:rPr>
        <w:t>ՑՈՒՑՈՒՄՆԵՐ</w:t>
      </w:r>
      <w:bookmarkEnd w:id="9"/>
    </w:p>
    <w:p w14:paraId="51A58271" w14:textId="77777777" w:rsidR="008C76E0" w:rsidRPr="00132EF0" w:rsidRDefault="008C76E0" w:rsidP="00132EF0">
      <w:pPr>
        <w:spacing w:after="160" w:line="360" w:lineRule="auto"/>
        <w:ind w:left="567" w:right="565"/>
        <w:jc w:val="center"/>
        <w:rPr>
          <w:rFonts w:ascii="Sylfaen" w:hAnsi="Sylfaen"/>
          <w:b/>
          <w:sz w:val="24"/>
          <w:szCs w:val="24"/>
        </w:rPr>
      </w:pPr>
      <w:r w:rsidRPr="00132EF0">
        <w:rPr>
          <w:rFonts w:ascii="Sylfaen" w:hAnsi="Sylfaen"/>
          <w:b/>
          <w:sz w:val="24"/>
          <w:szCs w:val="24"/>
        </w:rPr>
        <w:t>դեղապատրաստուկի որակի ասպեկտների կրիտիկական գնահատման մասին փորձագիտական հաշվետվության կազմման</w:t>
      </w:r>
    </w:p>
    <w:p w14:paraId="5589FC98" w14:textId="77777777" w:rsidR="008C76E0" w:rsidRPr="00132EF0" w:rsidRDefault="008C76E0" w:rsidP="00132EF0">
      <w:pPr>
        <w:spacing w:after="160" w:line="360" w:lineRule="auto"/>
        <w:ind w:left="567" w:right="567"/>
        <w:jc w:val="center"/>
        <w:rPr>
          <w:rFonts w:ascii="Sylfaen" w:hAnsi="Sylfaen"/>
          <w:sz w:val="24"/>
          <w:szCs w:val="24"/>
        </w:rPr>
      </w:pPr>
    </w:p>
    <w:p w14:paraId="29AC415D"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I. Ընդհանուր ցուցումներ</w:t>
      </w:r>
    </w:p>
    <w:p w14:paraId="5054671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Սույն ցուցումներում դիտարկվում են հաշվետվության միայն այն բաժինները, որոնք պահանջում են պարզաբանումներ </w:t>
      </w:r>
      <w:r w:rsidR="00C54D75">
        <w:rPr>
          <w:rFonts w:ascii="Sylfaen" w:hAnsi="Sylfaen"/>
          <w:sz w:val="24"/>
          <w:szCs w:val="24"/>
        </w:rPr>
        <w:t>և</w:t>
      </w:r>
      <w:r w:rsidRPr="00132EF0">
        <w:rPr>
          <w:rFonts w:ascii="Sylfaen" w:hAnsi="Sylfaen"/>
          <w:sz w:val="24"/>
          <w:szCs w:val="24"/>
        </w:rPr>
        <w:t xml:space="preserve"> մեկնաբանություններ:</w:t>
      </w:r>
    </w:p>
    <w:p w14:paraId="51031905"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Հաշվետվության վրա աշխատելիս անհրաժեշտ է հաշվի առնել հետ</w:t>
      </w:r>
      <w:r w:rsidR="00C54D75">
        <w:rPr>
          <w:rFonts w:ascii="Sylfaen" w:hAnsi="Sylfaen"/>
          <w:sz w:val="24"/>
          <w:szCs w:val="24"/>
        </w:rPr>
        <w:t>և</w:t>
      </w:r>
      <w:r w:rsidRPr="00132EF0">
        <w:rPr>
          <w:rFonts w:ascii="Sylfaen" w:hAnsi="Sylfaen"/>
          <w:sz w:val="24"/>
          <w:szCs w:val="24"/>
        </w:rPr>
        <w:t>յալ ասպեկտները.</w:t>
      </w:r>
    </w:p>
    <w:p w14:paraId="7EE3BBD7" w14:textId="77777777" w:rsidR="008C76E0" w:rsidRPr="00132EF0" w:rsidRDefault="008C76E0" w:rsidP="00132EF0">
      <w:pPr>
        <w:spacing w:after="160" w:line="384" w:lineRule="auto"/>
        <w:ind w:firstLine="567"/>
        <w:jc w:val="both"/>
        <w:rPr>
          <w:rFonts w:ascii="Sylfaen" w:hAnsi="Sylfaen"/>
          <w:sz w:val="24"/>
          <w:szCs w:val="24"/>
        </w:rPr>
      </w:pPr>
      <w:r w:rsidRPr="00132EF0">
        <w:rPr>
          <w:rFonts w:ascii="Sylfaen" w:hAnsi="Sylfaen"/>
          <w:sz w:val="24"/>
          <w:szCs w:val="24"/>
        </w:rPr>
        <w:t xml:space="preserve">Հաշվետվությունը պետք է լինի բավականաչափ մանրամասնեցված՝ Եվրասիական տնտեսական միության անդամ պետությունների (այսուհետ համապատասխանաբար՝ Միություն, անդամ պետություններ) լիազորված մարմինների </w:t>
      </w:r>
      <w:r w:rsidR="00C54D75">
        <w:rPr>
          <w:rFonts w:ascii="Sylfaen" w:hAnsi="Sylfaen"/>
          <w:sz w:val="24"/>
          <w:szCs w:val="24"/>
        </w:rPr>
        <w:t>և</w:t>
      </w:r>
      <w:r w:rsidRPr="00132EF0">
        <w:rPr>
          <w:rFonts w:ascii="Sylfaen" w:hAnsi="Sylfaen"/>
          <w:sz w:val="24"/>
          <w:szCs w:val="24"/>
        </w:rPr>
        <w:t xml:space="preserve"> կազմակերպությունների այլ փորձագետների կողմից դրա կրկնակի գնահատման հնարավորության համար:</w:t>
      </w:r>
    </w:p>
    <w:p w14:paraId="01AA1DF2" w14:textId="56C44F67" w:rsidR="008C76E0" w:rsidRPr="00132EF0" w:rsidRDefault="008C76E0" w:rsidP="00132EF0">
      <w:pPr>
        <w:spacing w:after="160" w:line="384" w:lineRule="auto"/>
        <w:ind w:firstLine="567"/>
        <w:jc w:val="both"/>
        <w:rPr>
          <w:rFonts w:ascii="Sylfaen" w:hAnsi="Sylfaen"/>
          <w:sz w:val="24"/>
          <w:szCs w:val="24"/>
        </w:rPr>
      </w:pPr>
      <w:r w:rsidRPr="00132EF0">
        <w:rPr>
          <w:rFonts w:ascii="Sylfaen" w:hAnsi="Sylfaen"/>
          <w:sz w:val="24"/>
          <w:szCs w:val="24"/>
        </w:rPr>
        <w:t>Հաշվետվության մեջ պետք է նկարագրվեն որակի առավել բնորոշ, հատկապես թերություններին վերաբերող ասպեկտները, ինչպես նա</w:t>
      </w:r>
      <w:r w:rsidR="00C54D75">
        <w:rPr>
          <w:rFonts w:ascii="Sylfaen" w:hAnsi="Sylfaen"/>
          <w:sz w:val="24"/>
          <w:szCs w:val="24"/>
        </w:rPr>
        <w:t>և</w:t>
      </w:r>
      <w:r w:rsidRPr="00132EF0">
        <w:rPr>
          <w:rFonts w:ascii="Sylfaen" w:hAnsi="Sylfaen"/>
          <w:sz w:val="24"/>
          <w:szCs w:val="24"/>
        </w:rPr>
        <w:t xml:space="preserve"> պետք է արվեն </w:t>
      </w:r>
      <w:r w:rsidR="0056496B">
        <w:rPr>
          <w:rFonts w:ascii="Sylfaen" w:hAnsi="Sylfaen"/>
          <w:sz w:val="24"/>
          <w:szCs w:val="24"/>
        </w:rPr>
        <w:t>դիմումատու</w:t>
      </w:r>
      <w:r w:rsidRPr="00132EF0">
        <w:rPr>
          <w:rFonts w:ascii="Sylfaen" w:hAnsi="Sylfaen"/>
          <w:sz w:val="24"/>
          <w:szCs w:val="24"/>
        </w:rPr>
        <w:t>ին ներկայացվող հիմնավորված դիտողություններ: Տվյալ դիտողությունները պետք է նա</w:t>
      </w:r>
      <w:r w:rsidR="00C54D75">
        <w:rPr>
          <w:rFonts w:ascii="Sylfaen" w:hAnsi="Sylfaen"/>
          <w:sz w:val="24"/>
          <w:szCs w:val="24"/>
        </w:rPr>
        <w:t>և</w:t>
      </w:r>
      <w:r w:rsidRPr="00132EF0">
        <w:rPr>
          <w:rFonts w:ascii="Sylfaen" w:hAnsi="Sylfaen"/>
          <w:sz w:val="24"/>
          <w:szCs w:val="24"/>
        </w:rPr>
        <w:t xml:space="preserve"> թվարկվեն «Անվտանգության, որակի, արդյունավետության գնահատում» ամփոփ փորձագիտական հաշվետվության մոդուլում: </w:t>
      </w:r>
    </w:p>
    <w:p w14:paraId="764B83AF"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lastRenderedPageBreak/>
        <w:t>Հաշվետվության մեջ նշված տեղեկատվության աղբյուրները (այդ թվում՝ դոսյեի սպեցիֆիկ բաժինները՝ ընդհանուր նկարագրությունը, ամփոփ տեղեկատվությունը, հետազոտությունների մասին հաշվետվությունները) ճիշտ ներկայացնելու համար անհրաժեշտ է օգտագործել խաչաձ</w:t>
      </w:r>
      <w:r w:rsidR="00C54D75">
        <w:rPr>
          <w:rFonts w:ascii="Sylfaen" w:hAnsi="Sylfaen"/>
          <w:sz w:val="24"/>
          <w:szCs w:val="24"/>
        </w:rPr>
        <w:t>և</w:t>
      </w:r>
      <w:r w:rsidRPr="00132EF0">
        <w:rPr>
          <w:rFonts w:ascii="Sylfaen" w:hAnsi="Sylfaen"/>
          <w:sz w:val="24"/>
          <w:szCs w:val="24"/>
        </w:rPr>
        <w:t xml:space="preserve"> հղումներ դոսյեի փաստաթղթերին, հղումներ գրականությանը </w:t>
      </w:r>
      <w:r w:rsidR="00C54D75">
        <w:rPr>
          <w:rFonts w:ascii="Sylfaen" w:hAnsi="Sylfaen"/>
          <w:sz w:val="24"/>
          <w:szCs w:val="24"/>
        </w:rPr>
        <w:t>և</w:t>
      </w:r>
      <w:r w:rsidRPr="00132EF0">
        <w:rPr>
          <w:rFonts w:ascii="Sylfaen" w:hAnsi="Sylfaen"/>
          <w:sz w:val="24"/>
          <w:szCs w:val="24"/>
        </w:rPr>
        <w:t xml:space="preserve"> այլ աղբյուրների:</w:t>
      </w:r>
    </w:p>
    <w:p w14:paraId="4A07C84F"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Հաշվետվության մեջ նա</w:t>
      </w:r>
      <w:r w:rsidR="00C54D75">
        <w:rPr>
          <w:rFonts w:ascii="Sylfaen" w:hAnsi="Sylfaen"/>
          <w:sz w:val="24"/>
          <w:szCs w:val="24"/>
        </w:rPr>
        <w:t>և</w:t>
      </w:r>
      <w:r w:rsidRPr="00132EF0">
        <w:rPr>
          <w:rFonts w:ascii="Sylfaen" w:hAnsi="Sylfaen"/>
          <w:sz w:val="24"/>
          <w:szCs w:val="24"/>
        </w:rPr>
        <w:t xml:space="preserve"> պետք է հատուկ ձ</w:t>
      </w:r>
      <w:r w:rsidR="00C54D75">
        <w:rPr>
          <w:rFonts w:ascii="Sylfaen" w:hAnsi="Sylfaen"/>
          <w:sz w:val="24"/>
          <w:szCs w:val="24"/>
        </w:rPr>
        <w:t>և</w:t>
      </w:r>
      <w:r w:rsidRPr="00132EF0">
        <w:rPr>
          <w:rFonts w:ascii="Sylfaen" w:hAnsi="Sylfaen"/>
          <w:sz w:val="24"/>
          <w:szCs w:val="24"/>
        </w:rPr>
        <w:t>ով ընդգծվեն այն տվյալները, որոնք անհրաժեշտ է ներառել դեղապատրաստուկի ընդհանուր բնութագրում (այսուհետ՝ ԴԸԲ)։</w:t>
      </w:r>
    </w:p>
    <w:p w14:paraId="279C6E1F" w14:textId="2626E778"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Հնարավորության դեպքում տեղեկատվությունը պետք է ներկայացվի աղյուսակների, գծապատկերների </w:t>
      </w:r>
      <w:r w:rsidR="00C54D75">
        <w:rPr>
          <w:rFonts w:ascii="Sylfaen" w:hAnsi="Sylfaen"/>
          <w:sz w:val="24"/>
          <w:szCs w:val="24"/>
        </w:rPr>
        <w:t>և</w:t>
      </w:r>
      <w:r w:rsidRPr="00132EF0">
        <w:rPr>
          <w:rFonts w:ascii="Sylfaen" w:hAnsi="Sylfaen"/>
          <w:sz w:val="24"/>
          <w:szCs w:val="24"/>
        </w:rPr>
        <w:t xml:space="preserve"> նկարների տեսքով, որոնց օրինակները բերված են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8 հավելվածում: Թույլատրվում է հաշվետվության մեջ ներառել պատրաստուկի դոսյեից աղյուսակներ: Ընդ որում, հարկ է բերել համապատասխան հղումներ: Նյութի ընկալումը դյուրացնելու համար կարող են սահմանափակ քանակությամբ ներառվել </w:t>
      </w:r>
      <w:r w:rsidR="0056496B">
        <w:rPr>
          <w:rFonts w:ascii="Sylfaen" w:hAnsi="Sylfaen"/>
          <w:sz w:val="24"/>
          <w:szCs w:val="24"/>
        </w:rPr>
        <w:t>դիմումատու</w:t>
      </w:r>
      <w:r w:rsidRPr="00132EF0">
        <w:rPr>
          <w:rFonts w:ascii="Sylfaen" w:hAnsi="Sylfaen"/>
          <w:sz w:val="24"/>
          <w:szCs w:val="24"/>
        </w:rPr>
        <w:t xml:space="preserve">ի այնպիսի տվյալներ, ինչպիսիք են բլոկ-սխեմաները, մասնագրերը </w:t>
      </w:r>
      <w:r w:rsidR="00C54D75">
        <w:rPr>
          <w:rFonts w:ascii="Sylfaen" w:hAnsi="Sylfaen"/>
          <w:sz w:val="24"/>
          <w:szCs w:val="24"/>
        </w:rPr>
        <w:t>և</w:t>
      </w:r>
      <w:r w:rsidRPr="00132EF0">
        <w:rPr>
          <w:rFonts w:ascii="Sylfaen" w:hAnsi="Sylfaen"/>
          <w:sz w:val="24"/>
          <w:szCs w:val="24"/>
        </w:rPr>
        <w:t xml:space="preserve"> այլն:</w:t>
      </w:r>
    </w:p>
    <w:p w14:paraId="3739528F"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8 հավելվածի հաշվետվության ձ</w:t>
      </w:r>
      <w:r w:rsidR="00C54D75">
        <w:rPr>
          <w:rFonts w:ascii="Sylfaen" w:hAnsi="Sylfaen"/>
          <w:sz w:val="24"/>
          <w:szCs w:val="24"/>
        </w:rPr>
        <w:t>և</w:t>
      </w:r>
      <w:r w:rsidRPr="00132EF0">
        <w:rPr>
          <w:rFonts w:ascii="Sylfaen" w:hAnsi="Sylfaen"/>
          <w:sz w:val="24"/>
          <w:szCs w:val="24"/>
        </w:rPr>
        <w:t xml:space="preserve">անմուշում ավելացված են մի քանի առանձին էջեր, որոնք նախատեսված են հապավումների ցանկի </w:t>
      </w:r>
      <w:r w:rsidR="00C54D75">
        <w:rPr>
          <w:rFonts w:ascii="Sylfaen" w:hAnsi="Sylfaen"/>
          <w:sz w:val="24"/>
          <w:szCs w:val="24"/>
        </w:rPr>
        <w:t>և</w:t>
      </w:r>
      <w:r w:rsidRPr="00132EF0">
        <w:rPr>
          <w:rFonts w:ascii="Sylfaen" w:hAnsi="Sylfaen"/>
          <w:sz w:val="24"/>
          <w:szCs w:val="24"/>
        </w:rPr>
        <w:t xml:space="preserve"> գրականության ցանկի համար, այդ էջերը անհրաժեշտության դեպքում հարկ է լրացնել:</w:t>
      </w:r>
    </w:p>
    <w:p w14:paraId="2D2113BD"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Որպես հիմնական տեքստի տառատեսակ խորհուրդ է տրվում օգտագործել Times New Roman տառաշարը, տպատառի չափսը՝ 11 կետաչափից ոչ պակաս: Հաշվետվության ծավալի՝ 7 թերթի գերազանցման դեպքում հարկ է այն գլխակարգել՝ փորձագիտական հաշվետվության տեքստում հեշտությամբ կողմնորոշվելու համար:</w:t>
      </w:r>
    </w:p>
    <w:p w14:paraId="68FF00B1"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 xml:space="preserve">II. Կրիտիկական գնահատական </w:t>
      </w:r>
      <w:r w:rsidR="00C54D75">
        <w:rPr>
          <w:rFonts w:ascii="Sylfaen" w:hAnsi="Sylfaen"/>
          <w:sz w:val="24"/>
          <w:szCs w:val="24"/>
        </w:rPr>
        <w:t>և</w:t>
      </w:r>
      <w:r w:rsidRPr="00132EF0">
        <w:rPr>
          <w:rFonts w:ascii="Sylfaen" w:hAnsi="Sylfaen"/>
          <w:sz w:val="24"/>
          <w:szCs w:val="24"/>
        </w:rPr>
        <w:t xml:space="preserve"> որակի փորձաքննություն</w:t>
      </w:r>
    </w:p>
    <w:p w14:paraId="19CA67A3"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lastRenderedPageBreak/>
        <w:t>Ստոր</w:t>
      </w:r>
      <w:r w:rsidR="00C54D75">
        <w:rPr>
          <w:rFonts w:ascii="Sylfaen" w:hAnsi="Sylfaen"/>
          <w:sz w:val="24"/>
          <w:szCs w:val="24"/>
        </w:rPr>
        <w:t>և</w:t>
      </w:r>
      <w:r w:rsidRPr="00132EF0">
        <w:rPr>
          <w:rFonts w:ascii="Sylfaen" w:hAnsi="Sylfaen"/>
          <w:sz w:val="24"/>
          <w:szCs w:val="24"/>
        </w:rPr>
        <w:t xml:space="preserve"> բերված՝ որակի կրիտիկական գնահատականի մասին հաշվետվության կառուցվածքը հիմնականում, բացի մի քանի բաժիններից, օրինակ՝ «Ներածություն» բաժնից, համապատասխանում է գրանցման դոսյեի կառուցվածքին՝ արտադրանքի մասին իրազեկող տեղեկատվություն ներկայացնելու համար:</w:t>
      </w:r>
    </w:p>
    <w:p w14:paraId="04F689D2" w14:textId="7BB030B2"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Չնայած նշված ձեռնարկը կիրառելի է ինչպես նոր, այնպես էլ </w:t>
      </w:r>
      <w:r w:rsidR="005F6A31">
        <w:rPr>
          <w:rFonts w:ascii="Sylfaen" w:hAnsi="Sylfaen"/>
          <w:sz w:val="24"/>
          <w:szCs w:val="24"/>
        </w:rPr>
        <w:t>հայտնի</w:t>
      </w:r>
      <w:r w:rsidRPr="00132EF0">
        <w:rPr>
          <w:rFonts w:ascii="Sylfaen" w:hAnsi="Sylfaen"/>
          <w:sz w:val="24"/>
          <w:szCs w:val="24"/>
        </w:rPr>
        <w:t xml:space="preserve"> ակտիվ քիմիական բաղադրամասերի </w:t>
      </w:r>
      <w:r w:rsidR="00C54D75">
        <w:rPr>
          <w:rFonts w:ascii="Sylfaen" w:hAnsi="Sylfaen"/>
          <w:sz w:val="24"/>
          <w:szCs w:val="24"/>
        </w:rPr>
        <w:t>և</w:t>
      </w:r>
      <w:r w:rsidRPr="00132EF0">
        <w:rPr>
          <w:rFonts w:ascii="Sylfaen" w:hAnsi="Sylfaen"/>
          <w:sz w:val="24"/>
          <w:szCs w:val="24"/>
        </w:rPr>
        <w:t xml:space="preserve"> կենսատեխնոլոգիական (կենսաբանական) արտադրանքի համար, որոշ դեպքերում բերվում են որոշակի լրացուցիչ ցուցումներ՝ կա՛մ նոր քիմիական բաղադրամասերի, կա՛մ կենսատեխնոլոգիական (կենսաբանական) արտադրանքի համար:</w:t>
      </w:r>
    </w:p>
    <w:p w14:paraId="0111FA36" w14:textId="0DFF9FC5"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Նա</w:t>
      </w:r>
      <w:r w:rsidR="00C54D75">
        <w:rPr>
          <w:rFonts w:ascii="Sylfaen" w:hAnsi="Sylfaen"/>
          <w:sz w:val="24"/>
          <w:szCs w:val="24"/>
        </w:rPr>
        <w:t>և</w:t>
      </w:r>
      <w:r w:rsidRPr="00132EF0">
        <w:rPr>
          <w:rFonts w:ascii="Sylfaen" w:hAnsi="Sylfaen"/>
          <w:sz w:val="24"/>
          <w:szCs w:val="24"/>
        </w:rPr>
        <w:t xml:space="preserve"> հարկ է ծանոթանալ </w:t>
      </w:r>
      <w:r w:rsidR="0056496B">
        <w:rPr>
          <w:rFonts w:ascii="Sylfaen" w:hAnsi="Sylfaen"/>
          <w:sz w:val="24"/>
          <w:szCs w:val="24"/>
        </w:rPr>
        <w:t>դիմումատու</w:t>
      </w:r>
      <w:r w:rsidRPr="00132EF0">
        <w:rPr>
          <w:rFonts w:ascii="Sylfaen" w:hAnsi="Sylfaen"/>
          <w:sz w:val="24"/>
          <w:szCs w:val="24"/>
        </w:rPr>
        <w:t>ի համար՝ գրանցման դոսյեի կազմման մասով հանձնարարականներին ոչ այնքան սույն փաստաթղթում տվյալ հրահանգների կիրառման, որքան փորձագետների ուշադրությունը գրանցման դոսյեում հատուկ չնկարագրված որոշ լրացուցիչ ասպեկտների վրա հրավիրելու համար: Անհրաժեշտ է ուշադրություն դարձնել այն փաստին, որ պարզության համար ստոր</w:t>
      </w:r>
      <w:r w:rsidR="00C54D75">
        <w:rPr>
          <w:rFonts w:ascii="Sylfaen" w:hAnsi="Sylfaen"/>
          <w:sz w:val="24"/>
          <w:szCs w:val="24"/>
        </w:rPr>
        <w:t>և</w:t>
      </w:r>
      <w:r w:rsidRPr="00132EF0">
        <w:rPr>
          <w:rFonts w:ascii="Sylfaen" w:hAnsi="Sylfaen"/>
          <w:sz w:val="24"/>
          <w:szCs w:val="24"/>
        </w:rPr>
        <w:t xml:space="preserve"> ներկայացված հաշվետվության կառուցվածքում բերվում են միայն գրանցման դոսյեի «հիմնական» վերնագրերը: Փորձագետները կարող են ավելացնել որոշ վերնագրեր՝ կախված արտադրանքի առանձնահատկություններից: </w:t>
      </w:r>
    </w:p>
    <w:p w14:paraId="29B89095" w14:textId="7A39D74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Գաղտնի </w:t>
      </w:r>
      <w:r w:rsidR="00C54D75">
        <w:rPr>
          <w:rFonts w:ascii="Sylfaen" w:hAnsi="Sylfaen"/>
          <w:sz w:val="24"/>
          <w:szCs w:val="24"/>
        </w:rPr>
        <w:t>և</w:t>
      </w:r>
      <w:r w:rsidRPr="00132EF0">
        <w:rPr>
          <w:rFonts w:ascii="Sylfaen" w:hAnsi="Sylfaen"/>
          <w:sz w:val="24"/>
          <w:szCs w:val="24"/>
        </w:rPr>
        <w:t xml:space="preserve"> </w:t>
      </w:r>
      <w:r w:rsidR="0056496B">
        <w:rPr>
          <w:rFonts w:ascii="Sylfaen" w:hAnsi="Sylfaen"/>
          <w:sz w:val="24"/>
          <w:szCs w:val="24"/>
        </w:rPr>
        <w:t>դիմումատու</w:t>
      </w:r>
      <w:r w:rsidRPr="00132EF0">
        <w:rPr>
          <w:rFonts w:ascii="Sylfaen" w:hAnsi="Sylfaen"/>
          <w:sz w:val="24"/>
          <w:szCs w:val="24"/>
        </w:rPr>
        <w:t xml:space="preserve">ին՝ ի գիտություն չնախատեսված տեղեկատվությանը արված հղումները (օրինակ՝ հղումներ այլ դեղապատրաստուկի գնահատման հաշվետվությանը) պետք է հստակ նշված լինեն որպես «Գաղտնի տեղեկատվություն» </w:t>
      </w:r>
      <w:r w:rsidR="00C54D75">
        <w:rPr>
          <w:rFonts w:ascii="Sylfaen" w:hAnsi="Sylfaen"/>
          <w:sz w:val="24"/>
          <w:szCs w:val="24"/>
        </w:rPr>
        <w:t>և</w:t>
      </w:r>
      <w:r w:rsidRPr="00132EF0">
        <w:rPr>
          <w:rFonts w:ascii="Sylfaen" w:hAnsi="Sylfaen"/>
          <w:sz w:val="24"/>
          <w:szCs w:val="24"/>
        </w:rPr>
        <w:t xml:space="preserve"> առանձնացվեն դեղին ֆոնով: </w:t>
      </w:r>
      <w:r w:rsidR="0056496B">
        <w:rPr>
          <w:rFonts w:ascii="Sylfaen" w:hAnsi="Sylfaen"/>
          <w:sz w:val="24"/>
          <w:szCs w:val="24"/>
        </w:rPr>
        <w:t>Դիմումատու</w:t>
      </w:r>
      <w:r w:rsidRPr="00132EF0">
        <w:rPr>
          <w:rFonts w:ascii="Sylfaen" w:hAnsi="Sylfaen"/>
          <w:sz w:val="24"/>
          <w:szCs w:val="24"/>
        </w:rPr>
        <w:t>ին ուղարկելուց առաջ այս բաժինները պետք է հաշվետվությունից հանվեն:</w:t>
      </w:r>
    </w:p>
    <w:p w14:paraId="288F68FE"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Որակի կրիտիկական գնահատականի մասին սույն հաշվետվությունը պետք է իրենից ներկայացնի ինքնուրույն փաստաթուղթ, ինչը իրագործելի է հետ</w:t>
      </w:r>
      <w:r w:rsidR="00C54D75">
        <w:rPr>
          <w:rFonts w:ascii="Sylfaen" w:hAnsi="Sylfaen"/>
          <w:sz w:val="24"/>
          <w:szCs w:val="24"/>
        </w:rPr>
        <w:t>և</w:t>
      </w:r>
      <w:r w:rsidRPr="00132EF0">
        <w:rPr>
          <w:rFonts w:ascii="Sylfaen" w:hAnsi="Sylfaen"/>
          <w:sz w:val="24"/>
          <w:szCs w:val="24"/>
        </w:rPr>
        <w:t>յալ եղանակներով՝</w:t>
      </w:r>
    </w:p>
    <w:p w14:paraId="20BB947B" w14:textId="07A1BFAA" w:rsidR="008C76E0" w:rsidRPr="00132EF0" w:rsidRDefault="0056496B" w:rsidP="00132EF0">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132EF0">
        <w:rPr>
          <w:rFonts w:ascii="Sylfaen" w:hAnsi="Sylfaen"/>
          <w:sz w:val="24"/>
          <w:szCs w:val="24"/>
        </w:rPr>
        <w:t>ի դոսյեից վերցված տվյալների ներկայացմամբ կամ պատճենմամբ, որին հետ</w:t>
      </w:r>
      <w:r w:rsidR="00C54D75">
        <w:rPr>
          <w:rFonts w:ascii="Sylfaen" w:hAnsi="Sylfaen"/>
          <w:sz w:val="24"/>
          <w:szCs w:val="24"/>
        </w:rPr>
        <w:t>և</w:t>
      </w:r>
      <w:r w:rsidR="008C76E0" w:rsidRPr="00132EF0">
        <w:rPr>
          <w:rFonts w:ascii="Sylfaen" w:hAnsi="Sylfaen"/>
          <w:sz w:val="24"/>
          <w:szCs w:val="24"/>
        </w:rPr>
        <w:t xml:space="preserve">ում է փորձագետի կողմից այդ տվյալների մասով </w:t>
      </w:r>
      <w:r w:rsidR="008C76E0" w:rsidRPr="00132EF0">
        <w:rPr>
          <w:rFonts w:ascii="Sylfaen" w:hAnsi="Sylfaen"/>
          <w:sz w:val="24"/>
          <w:szCs w:val="24"/>
        </w:rPr>
        <w:lastRenderedPageBreak/>
        <w:t xml:space="preserve">սեփական կրիտիկական գնահատականը, մասնավորապես, անվտանգության (արդյունավետության) հարցերի մասով, </w:t>
      </w:r>
      <w:r w:rsidR="00C54D75">
        <w:rPr>
          <w:rFonts w:ascii="Sylfaen" w:hAnsi="Sylfaen"/>
          <w:sz w:val="24"/>
          <w:szCs w:val="24"/>
        </w:rPr>
        <w:t>և</w:t>
      </w:r>
      <w:r w:rsidR="008C76E0" w:rsidRPr="00132EF0">
        <w:rPr>
          <w:rFonts w:ascii="Sylfaen" w:hAnsi="Sylfaen"/>
          <w:sz w:val="24"/>
          <w:szCs w:val="24"/>
        </w:rPr>
        <w:t xml:space="preserve"> ուշադրությունը ս</w:t>
      </w:r>
      <w:r w:rsidR="00C54D75">
        <w:rPr>
          <w:rFonts w:ascii="Sylfaen" w:hAnsi="Sylfaen"/>
          <w:sz w:val="24"/>
          <w:szCs w:val="24"/>
        </w:rPr>
        <w:t>և</w:t>
      </w:r>
      <w:r w:rsidR="008C76E0" w:rsidRPr="00132EF0">
        <w:rPr>
          <w:rFonts w:ascii="Sylfaen" w:hAnsi="Sylfaen"/>
          <w:sz w:val="24"/>
          <w:szCs w:val="24"/>
        </w:rPr>
        <w:t>եռելով որոշ ուղենշային փաստաթղթերի պահանջներին համապատասխանության վրա: Նման դեպքերում շփոթությունից խուսափելու համար մեկնաբանությունները ներառվում են «Փորձագետի մեկնաբանություններ» համապատասխան վերնագրի ներքո.</w:t>
      </w:r>
    </w:p>
    <w:p w14:paraId="573BF75B" w14:textId="09905766"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հաշվետվության մեջ հիմնականում շարադրելով փորձագետի սեփական տեսակետները՝ հղումներ կատարելով </w:t>
      </w:r>
      <w:r w:rsidR="0056496B">
        <w:rPr>
          <w:rFonts w:ascii="Sylfaen" w:hAnsi="Sylfaen"/>
          <w:sz w:val="24"/>
          <w:szCs w:val="24"/>
        </w:rPr>
        <w:t>դիմումատու</w:t>
      </w:r>
      <w:r w:rsidRPr="00132EF0">
        <w:rPr>
          <w:rFonts w:ascii="Sylfaen" w:hAnsi="Sylfaen"/>
          <w:sz w:val="24"/>
          <w:szCs w:val="24"/>
        </w:rPr>
        <w:t xml:space="preserve">ի տվյալներին </w:t>
      </w:r>
      <w:r w:rsidR="00C54D75">
        <w:rPr>
          <w:rFonts w:ascii="Sylfaen" w:hAnsi="Sylfaen"/>
          <w:sz w:val="24"/>
          <w:szCs w:val="24"/>
        </w:rPr>
        <w:t>և</w:t>
      </w:r>
      <w:r w:rsidRPr="00132EF0">
        <w:rPr>
          <w:rFonts w:ascii="Sylfaen" w:hAnsi="Sylfaen"/>
          <w:sz w:val="24"/>
          <w:szCs w:val="24"/>
        </w:rPr>
        <w:t xml:space="preserve"> (կամ) Որակի ընդհանուր ռեզյումեին: Այդ դեպքում փորձագետի եզրակացությունը ենթակա է ընթերցման կից ներկայացված Որակի ընդհանուր ռեզյումեի հետ միասին: Ընդ որում, փորձագետի մեկնաբանությունների համար լրացուցիչ վերնագրերի անհրաժեշտություն չկա:</w:t>
      </w:r>
    </w:p>
    <w:p w14:paraId="328D36E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Եզրակացություն կազմելիս փորձագետը նա</w:t>
      </w:r>
      <w:r w:rsidR="00C54D75">
        <w:rPr>
          <w:rFonts w:ascii="Sylfaen" w:hAnsi="Sylfaen"/>
          <w:sz w:val="24"/>
          <w:szCs w:val="24"/>
        </w:rPr>
        <w:t>և</w:t>
      </w:r>
      <w:r w:rsidRPr="00132EF0">
        <w:rPr>
          <w:rFonts w:ascii="Sylfaen" w:hAnsi="Sylfaen"/>
          <w:sz w:val="24"/>
          <w:szCs w:val="24"/>
        </w:rPr>
        <w:t xml:space="preserve"> կարող է օգտվել համապատասխան ձեռնարկներից </w:t>
      </w:r>
      <w:r w:rsidR="00C54D75">
        <w:rPr>
          <w:rFonts w:ascii="Sylfaen" w:hAnsi="Sylfaen"/>
          <w:sz w:val="24"/>
          <w:szCs w:val="24"/>
        </w:rPr>
        <w:t>և</w:t>
      </w:r>
      <w:r w:rsidRPr="00132EF0">
        <w:rPr>
          <w:rFonts w:ascii="Sylfaen" w:hAnsi="Sylfaen"/>
          <w:sz w:val="24"/>
          <w:szCs w:val="24"/>
        </w:rPr>
        <w:t xml:space="preserve"> հանձնարարականներից: </w:t>
      </w:r>
    </w:p>
    <w:p w14:paraId="6E7F75EF"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Փորձագետը, որպես կանոն, որակին վերաբերող հարցերը պետք է զուգադրի դիտարկվող դեղապատրաստուկի արդյունավետության </w:t>
      </w:r>
      <w:r w:rsidR="00C54D75">
        <w:rPr>
          <w:rFonts w:ascii="Sylfaen" w:hAnsi="Sylfaen"/>
          <w:sz w:val="24"/>
          <w:szCs w:val="24"/>
        </w:rPr>
        <w:t>և</w:t>
      </w:r>
      <w:r w:rsidRPr="00132EF0">
        <w:rPr>
          <w:rFonts w:ascii="Sylfaen" w:hAnsi="Sylfaen"/>
          <w:sz w:val="24"/>
          <w:szCs w:val="24"/>
        </w:rPr>
        <w:t xml:space="preserve"> անվտանգության հետ: Նա</w:t>
      </w:r>
      <w:r w:rsidR="00C54D75">
        <w:rPr>
          <w:rFonts w:ascii="Sylfaen" w:hAnsi="Sylfaen"/>
          <w:sz w:val="24"/>
          <w:szCs w:val="24"/>
        </w:rPr>
        <w:t>և</w:t>
      </w:r>
      <w:r w:rsidRPr="00132EF0">
        <w:rPr>
          <w:rFonts w:ascii="Sylfaen" w:hAnsi="Sylfaen"/>
          <w:sz w:val="24"/>
          <w:szCs w:val="24"/>
        </w:rPr>
        <w:t xml:space="preserve"> հարկ է լուսաբանել այն հարցերը, որոնք առաջացել են գիտական գնահատման արդյունքներով (ստոր</w:t>
      </w:r>
      <w:r w:rsidR="00C54D75">
        <w:rPr>
          <w:rFonts w:ascii="Sylfaen" w:hAnsi="Sylfaen"/>
          <w:sz w:val="24"/>
          <w:szCs w:val="24"/>
        </w:rPr>
        <w:t>և</w:t>
      </w:r>
      <w:r w:rsidRPr="00132EF0">
        <w:rPr>
          <w:rFonts w:ascii="Sylfaen" w:hAnsi="Sylfaen"/>
          <w:sz w:val="24"/>
          <w:szCs w:val="24"/>
        </w:rPr>
        <w:t xml:space="preserve"> նկարագրված) </w:t>
      </w:r>
      <w:r w:rsidR="00C54D75">
        <w:rPr>
          <w:rFonts w:ascii="Sylfaen" w:hAnsi="Sylfaen"/>
          <w:sz w:val="24"/>
          <w:szCs w:val="24"/>
        </w:rPr>
        <w:t>և</w:t>
      </w:r>
      <w:r w:rsidRPr="00132EF0">
        <w:rPr>
          <w:rFonts w:ascii="Sylfaen" w:hAnsi="Sylfaen"/>
          <w:sz w:val="24"/>
          <w:szCs w:val="24"/>
        </w:rPr>
        <w:t xml:space="preserve"> վերաբերում են պատրաստուկի մասին տեղեկատվությանը (ԴԸԲ-ի, մականշվածքի </w:t>
      </w:r>
      <w:r w:rsidR="00C54D75">
        <w:rPr>
          <w:rFonts w:ascii="Sylfaen" w:hAnsi="Sylfaen"/>
          <w:sz w:val="24"/>
          <w:szCs w:val="24"/>
        </w:rPr>
        <w:t>և</w:t>
      </w:r>
      <w:r w:rsidRPr="00132EF0">
        <w:rPr>
          <w:rFonts w:ascii="Sylfaen" w:hAnsi="Sylfaen"/>
          <w:sz w:val="24"/>
          <w:szCs w:val="24"/>
        </w:rPr>
        <w:t xml:space="preserve"> բժշկական կիրառման հրահանգի (ներդիր թերթիկի) մասով դիտողություններ):</w:t>
      </w:r>
    </w:p>
    <w:p w14:paraId="2ADC3901" w14:textId="053705D2"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Կենսահամանման (կենսանման) դեղապատրաստուկի գրանցման համար </w:t>
      </w:r>
      <w:r w:rsidR="0056496B">
        <w:rPr>
          <w:rFonts w:ascii="Sylfaen" w:hAnsi="Sylfaen"/>
          <w:sz w:val="24"/>
          <w:szCs w:val="24"/>
        </w:rPr>
        <w:t>դիմում</w:t>
      </w:r>
      <w:r w:rsidRPr="00132EF0">
        <w:rPr>
          <w:rFonts w:ascii="Sylfaen" w:hAnsi="Sylfaen"/>
          <w:sz w:val="24"/>
          <w:szCs w:val="24"/>
        </w:rPr>
        <w:t xml:space="preserve"> ներկայացնելիս անհրաժեշտ է ներկայացնել ծավալուն համադրական գնահատական՝ կենսահամանման (կենսանման) դեղապատրաստուկի </w:t>
      </w:r>
      <w:r w:rsidR="00C54D75">
        <w:rPr>
          <w:rFonts w:ascii="Sylfaen" w:hAnsi="Sylfaen"/>
          <w:sz w:val="24"/>
          <w:szCs w:val="24"/>
        </w:rPr>
        <w:t>և</w:t>
      </w:r>
      <w:r w:rsidRPr="00132EF0">
        <w:rPr>
          <w:rFonts w:ascii="Sylfaen" w:hAnsi="Sylfaen"/>
          <w:sz w:val="24"/>
          <w:szCs w:val="24"/>
        </w:rPr>
        <w:t xml:space="preserve"> Միությունում արդեն գրանցված ռեֆերենտ պատրաստուկների՝ որակի, անվտանգության </w:t>
      </w:r>
      <w:r w:rsidR="00C54D75">
        <w:rPr>
          <w:rFonts w:ascii="Sylfaen" w:hAnsi="Sylfaen"/>
          <w:sz w:val="24"/>
          <w:szCs w:val="24"/>
        </w:rPr>
        <w:t>և</w:t>
      </w:r>
      <w:r w:rsidRPr="00132EF0">
        <w:rPr>
          <w:rFonts w:ascii="Sylfaen" w:hAnsi="Sylfaen"/>
          <w:sz w:val="24"/>
          <w:szCs w:val="24"/>
        </w:rPr>
        <w:t xml:space="preserve"> արդյունավետության առումով նման բնութագրեր ունենալը հաստատելու համար:</w:t>
      </w:r>
    </w:p>
    <w:p w14:paraId="5D83937C"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Ռեֆերենտ պատրաստուկի դեղաչափի, դեղաձ</w:t>
      </w:r>
      <w:r w:rsidR="00C54D75">
        <w:rPr>
          <w:rFonts w:ascii="Sylfaen" w:hAnsi="Sylfaen"/>
          <w:sz w:val="24"/>
          <w:szCs w:val="24"/>
        </w:rPr>
        <w:t>և</w:t>
      </w:r>
      <w:r w:rsidRPr="00132EF0">
        <w:rPr>
          <w:rFonts w:ascii="Sylfaen" w:hAnsi="Sylfaen"/>
          <w:sz w:val="24"/>
          <w:szCs w:val="24"/>
        </w:rPr>
        <w:t xml:space="preserve">ի (անվանումը), գրանցման հավաստագրի իրավատիրոջ, գրանցման հավաստագրի տրամադրման ամսաթվի մասին մանրամասն տեղեկատվությունը պետք է ստուգվի գրանցման դոսյեի </w:t>
      </w:r>
      <w:r w:rsidRPr="00132EF0">
        <w:rPr>
          <w:rFonts w:ascii="Sylfaen" w:hAnsi="Sylfaen"/>
          <w:sz w:val="24"/>
          <w:szCs w:val="24"/>
        </w:rPr>
        <w:lastRenderedPageBreak/>
        <w:t xml:space="preserve">վալիդացման (լրակազմության գնահատման) փուլում: Ի լրումն տվյալ տեղեկատվության՝ փորձագետի կողմից հաստատվում են սերիաների համարները </w:t>
      </w:r>
      <w:r w:rsidR="00C54D75">
        <w:rPr>
          <w:rFonts w:ascii="Sylfaen" w:hAnsi="Sylfaen"/>
          <w:sz w:val="24"/>
          <w:szCs w:val="24"/>
        </w:rPr>
        <w:t>և</w:t>
      </w:r>
      <w:r w:rsidRPr="00132EF0">
        <w:rPr>
          <w:rFonts w:ascii="Sylfaen" w:hAnsi="Sylfaen"/>
          <w:sz w:val="24"/>
          <w:szCs w:val="24"/>
        </w:rPr>
        <w:t xml:space="preserve"> համադրական գնահատման ժամանակ (որակային հատկանիշների, նախակլինիկական </w:t>
      </w:r>
      <w:r w:rsidR="00C54D75">
        <w:rPr>
          <w:rFonts w:ascii="Sylfaen" w:hAnsi="Sylfaen"/>
          <w:sz w:val="24"/>
          <w:szCs w:val="24"/>
        </w:rPr>
        <w:t>և</w:t>
      </w:r>
      <w:r w:rsidRPr="00132EF0">
        <w:rPr>
          <w:rFonts w:ascii="Sylfaen" w:hAnsi="Sylfaen"/>
          <w:sz w:val="24"/>
          <w:szCs w:val="24"/>
        </w:rPr>
        <w:t xml:space="preserve"> կլինիկական հետազոտությունների տվյալների գնահատում) օգտագործվող դեղապատրաստուկի սերիաների ծագման երկրի մասին տեղեկությունները՝ դրանք այնուհետ</w:t>
      </w:r>
      <w:r w:rsidR="00C54D75">
        <w:rPr>
          <w:rFonts w:ascii="Sylfaen" w:hAnsi="Sylfaen"/>
          <w:sz w:val="24"/>
          <w:szCs w:val="24"/>
        </w:rPr>
        <w:t>և</w:t>
      </w:r>
      <w:r w:rsidRPr="00132EF0">
        <w:rPr>
          <w:rFonts w:ascii="Sylfaen" w:hAnsi="Sylfaen"/>
          <w:sz w:val="24"/>
          <w:szCs w:val="24"/>
        </w:rPr>
        <w:t xml:space="preserve"> աղյուսակային ձ</w:t>
      </w:r>
      <w:r w:rsidR="00C54D75">
        <w:rPr>
          <w:rFonts w:ascii="Sylfaen" w:hAnsi="Sylfaen"/>
          <w:sz w:val="24"/>
          <w:szCs w:val="24"/>
        </w:rPr>
        <w:t>և</w:t>
      </w:r>
      <w:r w:rsidRPr="00132EF0">
        <w:rPr>
          <w:rFonts w:ascii="Sylfaen" w:hAnsi="Sylfaen"/>
          <w:sz w:val="24"/>
          <w:szCs w:val="24"/>
        </w:rPr>
        <w:t xml:space="preserve">ով ներկայացնելով պատրաստուկի որակին վերաբերող բաժնում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4՝ «Ստանդարտ նմուշներ </w:t>
      </w:r>
      <w:r w:rsidR="00C54D75">
        <w:rPr>
          <w:rFonts w:ascii="Sylfaen" w:hAnsi="Sylfaen"/>
          <w:sz w:val="24"/>
          <w:szCs w:val="24"/>
        </w:rPr>
        <w:t>և</w:t>
      </w:r>
      <w:r w:rsidRPr="00132EF0">
        <w:rPr>
          <w:rFonts w:ascii="Sylfaen" w:hAnsi="Sylfaen"/>
          <w:sz w:val="24"/>
          <w:szCs w:val="24"/>
        </w:rPr>
        <w:t xml:space="preserve"> նյութեր» հավելված, ԸՏՓ-ի մոդուլ 3.2.Р.6):</w:t>
      </w:r>
    </w:p>
    <w:p w14:paraId="1BBDD7C3"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Կենսահամանման (կենսանման) դեղապատրաստուկների գրանցման դոսյեի փորձաքննության ժամանակ հարկ է առաջնորդվել Միության ձեռնարկներում </w:t>
      </w:r>
      <w:r w:rsidR="00C54D75">
        <w:rPr>
          <w:rFonts w:ascii="Sylfaen" w:hAnsi="Sylfaen"/>
          <w:sz w:val="24"/>
          <w:szCs w:val="24"/>
        </w:rPr>
        <w:t>և</w:t>
      </w:r>
      <w:r w:rsidRPr="00132EF0">
        <w:rPr>
          <w:rFonts w:ascii="Sylfaen" w:hAnsi="Sylfaen"/>
          <w:sz w:val="24"/>
          <w:szCs w:val="24"/>
        </w:rPr>
        <w:t xml:space="preserve"> անդամ պետությունների համապատասխան ազգային ձեռնարկներում շարադրված պահանջներով: Բացի վերը նշվածներից՝ ընդունելի լինելու դեպքում կարող են կիրառվել կենսատեխնոլոգիական դեղապատրաստուկների վերաբերյալ այլ համապատասխան ձեռնարկներ:</w:t>
      </w:r>
    </w:p>
    <w:p w14:paraId="5D0B13E7" w14:textId="1676F743"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Կենսահամանման (կենսանման) դեղապատրաստուկի բնութագրերի համեմատական գնահատականի արդյունքները գրանցման դոսյեի լրացուցիչ տարրեր են ԸՏՓ-ի ձ</w:t>
      </w:r>
      <w:r w:rsidR="00C54D75">
        <w:rPr>
          <w:rFonts w:ascii="Sylfaen" w:hAnsi="Sylfaen"/>
          <w:sz w:val="24"/>
          <w:szCs w:val="24"/>
        </w:rPr>
        <w:t>և</w:t>
      </w:r>
      <w:r w:rsidRPr="00132EF0">
        <w:rPr>
          <w:rFonts w:ascii="Sylfaen" w:hAnsi="Sylfaen"/>
          <w:sz w:val="24"/>
          <w:szCs w:val="24"/>
        </w:rPr>
        <w:t xml:space="preserve">աչափով, որն ընդունելի լինելու դեպքում կատարվում է </w:t>
      </w:r>
      <w:r w:rsidR="0056496B">
        <w:rPr>
          <w:rFonts w:ascii="Sylfaen" w:hAnsi="Sylfaen"/>
          <w:sz w:val="24"/>
          <w:szCs w:val="24"/>
        </w:rPr>
        <w:t>դիմումատու</w:t>
      </w:r>
      <w:r w:rsidRPr="00132EF0">
        <w:rPr>
          <w:rFonts w:ascii="Sylfaen" w:hAnsi="Sylfaen"/>
          <w:sz w:val="24"/>
          <w:szCs w:val="24"/>
        </w:rPr>
        <w:t xml:space="preserve">ի կողմից ներկայացված համեմատական տվյալներ պարունակող առանձին բաժինների հիման վրա: Ընդ որում, եզրակացության հիման վրա «Անվտանգության, որակի, արդյունավետության գնահատում» ամփոփ փորձագիտական հաշվետվության մոդուլում պետք է սահմանվեն՝ արդյոք հաստատվել է համադրելիությունն ինչպես ակտիվ դեղագործական բաղադրամասի, այնպես էլ դեղապատրաստուկի համար: </w:t>
      </w:r>
    </w:p>
    <w:p w14:paraId="0D076A60" w14:textId="77777777" w:rsidR="008C76E0" w:rsidRPr="00132EF0" w:rsidRDefault="008C76E0" w:rsidP="00132EF0">
      <w:pPr>
        <w:spacing w:after="160" w:line="360" w:lineRule="auto"/>
        <w:ind w:left="567" w:right="565"/>
        <w:jc w:val="center"/>
        <w:outlineLvl w:val="0"/>
        <w:rPr>
          <w:rFonts w:ascii="Sylfaen" w:hAnsi="Sylfaen"/>
          <w:sz w:val="24"/>
          <w:szCs w:val="24"/>
        </w:rPr>
      </w:pPr>
      <w:r w:rsidRPr="00132EF0">
        <w:rPr>
          <w:rFonts w:ascii="Sylfaen" w:hAnsi="Sylfaen"/>
          <w:sz w:val="24"/>
          <w:szCs w:val="24"/>
        </w:rPr>
        <w:t>1.Նախքան գրանցման հավաստագիր տրամադրելը դեղագործական արտադրության տեսչական ստուգում անցկացնելու հարցումը</w:t>
      </w:r>
    </w:p>
    <w:p w14:paraId="7088961A" w14:textId="789E925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Եթե փորձաքննության ընթացակարգի անցկացման ժամանակ </w:t>
      </w:r>
      <w:r w:rsidR="0056496B">
        <w:rPr>
          <w:rFonts w:ascii="Sylfaen" w:hAnsi="Sylfaen"/>
          <w:sz w:val="24"/>
          <w:szCs w:val="24"/>
        </w:rPr>
        <w:lastRenderedPageBreak/>
        <w:t>դիմում</w:t>
      </w:r>
      <w:r w:rsidRPr="00132EF0">
        <w:rPr>
          <w:rFonts w:ascii="Sylfaen" w:hAnsi="Sylfaen"/>
          <w:sz w:val="24"/>
          <w:szCs w:val="24"/>
        </w:rPr>
        <w:t xml:space="preserve">նաբերվում են այնպիսի փաստեր, որոնք կասկածի են ենթարկում դեղապատրաստուկի արտադրության վերաբերյալ գրանցման դոսյեում ներկայացված տեղեկությունների հավաստիությունը, </w:t>
      </w:r>
      <w:r w:rsidR="00C54D75">
        <w:rPr>
          <w:rFonts w:ascii="Sylfaen" w:hAnsi="Sylfaen"/>
          <w:sz w:val="24"/>
          <w:szCs w:val="24"/>
        </w:rPr>
        <w:t>և</w:t>
      </w:r>
      <w:r w:rsidRPr="00132EF0">
        <w:rPr>
          <w:rFonts w:ascii="Sylfaen" w:hAnsi="Sylfaen"/>
          <w:sz w:val="24"/>
          <w:szCs w:val="24"/>
        </w:rPr>
        <w:t xml:space="preserve"> որոնց համար պահանջվում է անցկացնել արտադրության տեսչական ստուգում, գրանցման դոսյեի գնահատման փուլում համապատասխան լիազորված մարմինը պետք է հնարավորինս կարճ ժամկետներում ծանուցվի այդ մասին: Քանի որ տեսչական ստուգում կազմակերպելու համար պահանջվում է ժամանակ, անհրաժեշտ է նման գործողություն ձեռնարկել մինչ</w:t>
      </w:r>
      <w:r w:rsidR="00C54D75">
        <w:rPr>
          <w:rFonts w:ascii="Sylfaen" w:hAnsi="Sylfaen"/>
          <w:sz w:val="24"/>
          <w:szCs w:val="24"/>
        </w:rPr>
        <w:t>և</w:t>
      </w:r>
      <w:r w:rsidRPr="00132EF0">
        <w:rPr>
          <w:rFonts w:ascii="Sylfaen" w:hAnsi="Sylfaen"/>
          <w:sz w:val="24"/>
          <w:szCs w:val="24"/>
        </w:rPr>
        <w:t xml:space="preserve"> գրանցման հավաստագրի տրամադրումը: Համապատասխան լիազորված մարմինը պետք է հնարավորության դեպքում,ծանուցված լինի նախքան գրանցման դոսյեի կրիտիկական գնահատականի մասին հաշվետվության նախապատրաստումը, ընդ որում, տվյալ հարցումը հետագայում պետք է նշվի հաշվետվության համապատասխան մասում: Հարկ է ընդգծել, որ հարցումներ կարող են ներկայացվել գրանցման դոսյեի՝ որակի ասպեկտներին վերաբերող մոդուլների ցանկացած բաժնի փորձաքննության արդյունքների հիման վրա: Հարցման հիմքերը պետք է համառոտ նկարագրվեն ինչպես պատշաճ արտադրական գործունեության կանոններին ընդհանուր համապատասխանության ստուգման </w:t>
      </w:r>
      <w:r w:rsidR="00C54D75">
        <w:rPr>
          <w:rFonts w:ascii="Sylfaen" w:hAnsi="Sylfaen"/>
          <w:sz w:val="24"/>
          <w:szCs w:val="24"/>
        </w:rPr>
        <w:t>և</w:t>
      </w:r>
      <w:r w:rsidRPr="00132EF0">
        <w:rPr>
          <w:rFonts w:ascii="Sylfaen" w:hAnsi="Sylfaen"/>
          <w:sz w:val="24"/>
          <w:szCs w:val="24"/>
        </w:rPr>
        <w:t xml:space="preserve"> (կամ) արտադրական պրոցեսի գնահատման տեսչական ստուգման մասով, այնպես էլ համապատասխան բաժնում կոնկրետ արտադրանքի որակի մասով </w:t>
      </w:r>
      <w:r w:rsidR="00C54D75">
        <w:rPr>
          <w:rFonts w:ascii="Sylfaen" w:hAnsi="Sylfaen"/>
          <w:sz w:val="24"/>
          <w:szCs w:val="24"/>
        </w:rPr>
        <w:t>և</w:t>
      </w:r>
      <w:r w:rsidRPr="00132EF0">
        <w:rPr>
          <w:rFonts w:ascii="Sylfaen" w:hAnsi="Sylfaen"/>
          <w:sz w:val="24"/>
          <w:szCs w:val="24"/>
        </w:rPr>
        <w:t xml:space="preserve"> առավել մանրամասն՝ հաշվետվության՝ ստոր</w:t>
      </w:r>
      <w:r w:rsidR="00C54D75">
        <w:rPr>
          <w:rFonts w:ascii="Sylfaen" w:hAnsi="Sylfaen"/>
          <w:sz w:val="24"/>
          <w:szCs w:val="24"/>
        </w:rPr>
        <w:t>և</w:t>
      </w:r>
      <w:r w:rsidRPr="00132EF0">
        <w:rPr>
          <w:rFonts w:ascii="Sylfaen" w:hAnsi="Sylfaen"/>
          <w:sz w:val="24"/>
          <w:szCs w:val="24"/>
        </w:rPr>
        <w:t xml:space="preserve"> բերված համապատասխան բաժնում, օրինակ՝ S.2, Р.3: </w:t>
      </w:r>
    </w:p>
    <w:p w14:paraId="42F34A3F" w14:textId="77777777" w:rsidR="008C76E0" w:rsidRPr="00132EF0" w:rsidRDefault="008C76E0" w:rsidP="00132EF0">
      <w:pPr>
        <w:spacing w:after="160" w:line="360" w:lineRule="auto"/>
        <w:ind w:right="-1" w:firstLine="567"/>
        <w:jc w:val="center"/>
        <w:rPr>
          <w:rFonts w:ascii="Sylfaen" w:hAnsi="Sylfaen"/>
          <w:sz w:val="24"/>
          <w:szCs w:val="24"/>
        </w:rPr>
      </w:pPr>
    </w:p>
    <w:p w14:paraId="0A7434D2"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Ակտիվ դեղագործական բաղադրամասի արտադրությունը</w:t>
      </w:r>
    </w:p>
    <w:p w14:paraId="271B1F47"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Դեղապատրաստուկների արտադրության մեջ օգտագործվող ակտիվ դեղագործական բաղադրամասերի արտադրությունը պետք է համապատասխանի Եվրասիական տնտեսական հանձնաժողովի կողմից հաստատվող՝ Եվրասիական տնտեսական միության պատշաճ արտադրական գործունեության կանոնների պահանջներին: Ակտիվ դեղագործական բաղադրամասեր արտադրողների կողմից պատշաճ արտադրական գործունեության կանոնների պահպանման ապահովումը </w:t>
      </w:r>
      <w:r w:rsidRPr="00132EF0">
        <w:rPr>
          <w:rFonts w:ascii="Sylfaen" w:hAnsi="Sylfaen"/>
          <w:sz w:val="24"/>
          <w:szCs w:val="24"/>
        </w:rPr>
        <w:lastRenderedPageBreak/>
        <w:t>դեղագործական արտադրության լիցենզիայի իրավատերերի պարտավորությունն է, որոնք ակտիվ դեղագործական բաղադրամասերն օգտագործում են որպես ելանյութ: Փորձագետի մոտ ակտիվ դեղագործական բաղադրամասի որակի առնչությամբ հիմնավորված կասկածների հետ կապված հարցերի առաջացման դեպքում թույլատրվում է պահանջ ներկայացնել տվյալ ակտիվ դեղագործական բաղադրամասի արտադրական հարթակի տեսչական ստուգում անցկացնելու համար:</w:t>
      </w:r>
    </w:p>
    <w:p w14:paraId="568BA91A"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Տեսչական ստուգումները ձեռնարկվում են ինքնաբերաբար կենսաբանական բաղադրամասերի դեպքում կամ եթե ակտիվ մանրէազերծ դեղագործական բաղադրամասերի արտադրության մեջ առկա է մանրէազերծման փուլ, երբ չկա որ</w:t>
      </w:r>
      <w:r w:rsidR="00C54D75">
        <w:rPr>
          <w:rFonts w:ascii="Sylfaen" w:hAnsi="Sylfaen"/>
          <w:sz w:val="24"/>
          <w:szCs w:val="24"/>
        </w:rPr>
        <w:t>և</w:t>
      </w:r>
      <w:r w:rsidRPr="00132EF0">
        <w:rPr>
          <w:rFonts w:ascii="Sylfaen" w:hAnsi="Sylfaen"/>
          <w:sz w:val="24"/>
          <w:szCs w:val="24"/>
        </w:rPr>
        <w:t xml:space="preserve">է ապացույց առ այն, որ հարթակը լիազորված մարմնի կողմից անցել է պլանային տեսչական ստուգումներ: </w:t>
      </w:r>
    </w:p>
    <w:p w14:paraId="46E34122" w14:textId="77777777" w:rsidR="008C76E0" w:rsidRPr="00132EF0" w:rsidRDefault="008C76E0" w:rsidP="00132EF0">
      <w:pPr>
        <w:spacing w:after="160" w:line="360" w:lineRule="auto"/>
        <w:ind w:right="-1" w:firstLine="567"/>
        <w:jc w:val="center"/>
        <w:rPr>
          <w:rFonts w:ascii="Sylfaen" w:hAnsi="Sylfaen"/>
          <w:sz w:val="24"/>
          <w:szCs w:val="24"/>
        </w:rPr>
      </w:pPr>
    </w:p>
    <w:p w14:paraId="17468467"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Դեղապատրաստուկի արտադրությունը</w:t>
      </w:r>
    </w:p>
    <w:p w14:paraId="07522F19"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Արտադրական հարթակը դեղամիջոցներ արտադրողի տարածքային առումով առանձնացված համալիրն է, որը նախատեսված է դեղամիջոցների արտադրության ամբողջ պրոցեսի կամ դրա առանձին փուլի, այդ թվում՝ միջանկյալ </w:t>
      </w:r>
      <w:r w:rsidR="00C54D75">
        <w:rPr>
          <w:rFonts w:ascii="Sylfaen" w:hAnsi="Sylfaen"/>
          <w:sz w:val="24"/>
          <w:szCs w:val="24"/>
        </w:rPr>
        <w:t>և</w:t>
      </w:r>
      <w:r w:rsidRPr="00132EF0">
        <w:rPr>
          <w:rFonts w:ascii="Sylfaen" w:hAnsi="Sylfaen"/>
          <w:sz w:val="24"/>
          <w:szCs w:val="24"/>
        </w:rPr>
        <w:t xml:space="preserve"> որակի հսկողության փուլերի կատարման համար: Փորձագետի մոտ դեղապատրաստուկի որակի վերաբերյալ հիմնավորված կասկածների հետ կապված հարցերի առաջացման դեպքում թույլատրվում է պահանջ ներկայացնել տվյալ պատրաստուկի արտադրական հարթակի տեսչական ստուգում անցկացնելու համար:</w:t>
      </w:r>
    </w:p>
    <w:p w14:paraId="76E59717" w14:textId="77777777" w:rsidR="00132EF0" w:rsidRDefault="00132EF0">
      <w:pPr>
        <w:widowControl/>
        <w:rPr>
          <w:rFonts w:ascii="Sylfaen" w:hAnsi="Sylfaen"/>
          <w:sz w:val="24"/>
          <w:szCs w:val="24"/>
        </w:rPr>
      </w:pPr>
      <w:r>
        <w:rPr>
          <w:rFonts w:ascii="Sylfaen" w:hAnsi="Sylfaen"/>
          <w:sz w:val="24"/>
          <w:szCs w:val="24"/>
        </w:rPr>
        <w:br w:type="page"/>
      </w:r>
    </w:p>
    <w:p w14:paraId="60E2325B" w14:textId="77777777" w:rsidR="008C76E0" w:rsidRPr="00132EF0" w:rsidRDefault="008C76E0" w:rsidP="00132EF0">
      <w:pPr>
        <w:spacing w:after="160" w:line="360" w:lineRule="auto"/>
        <w:ind w:right="-1"/>
        <w:jc w:val="center"/>
        <w:rPr>
          <w:rFonts w:ascii="Sylfaen" w:hAnsi="Sylfaen"/>
          <w:sz w:val="24"/>
          <w:szCs w:val="24"/>
        </w:rPr>
      </w:pPr>
      <w:r w:rsidRPr="00132EF0">
        <w:rPr>
          <w:rFonts w:ascii="Sylfaen" w:hAnsi="Sylfaen"/>
          <w:sz w:val="24"/>
          <w:szCs w:val="24"/>
        </w:rPr>
        <w:lastRenderedPageBreak/>
        <w:t>Փորձարկումներ</w:t>
      </w:r>
    </w:p>
    <w:p w14:paraId="60B2C791"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կանոններին համապատասխան լաբորատոր հետազոտություններ անցկացնելիս փորձագետը որոշում է հետազոտվող նմուշների տիպերը (ակտիվ դեղագործական բաղադրամաս, չբաժնեծրարված դեղապատրաստուկ, դեղապատրաստուկ), թվարկում է կատարման ենթակա փորձարկումները, նմուշների քանակը, սերիաների քանակը, ընտրում է լաբորատորիա (լաբորատորիաներ)՝ նշված փորձարկումներն անցկացնելու համար:</w:t>
      </w:r>
    </w:p>
    <w:p w14:paraId="459EDED7" w14:textId="77777777" w:rsidR="008C76E0" w:rsidRPr="00132EF0" w:rsidRDefault="008C76E0" w:rsidP="00132EF0">
      <w:pPr>
        <w:spacing w:after="160" w:line="336" w:lineRule="auto"/>
        <w:ind w:right="-1" w:firstLine="567"/>
        <w:jc w:val="center"/>
        <w:rPr>
          <w:rFonts w:ascii="Sylfaen" w:hAnsi="Sylfaen"/>
          <w:sz w:val="24"/>
          <w:szCs w:val="24"/>
        </w:rPr>
      </w:pPr>
    </w:p>
    <w:p w14:paraId="7AD7BDC9" w14:textId="77777777" w:rsidR="008C76E0" w:rsidRPr="00132EF0" w:rsidRDefault="008C76E0" w:rsidP="00132EF0">
      <w:pPr>
        <w:spacing w:after="160" w:line="336" w:lineRule="auto"/>
        <w:ind w:right="-1"/>
        <w:jc w:val="center"/>
        <w:outlineLvl w:val="0"/>
        <w:rPr>
          <w:rFonts w:ascii="Sylfaen" w:hAnsi="Sylfaen"/>
          <w:sz w:val="24"/>
          <w:szCs w:val="24"/>
        </w:rPr>
      </w:pPr>
      <w:r w:rsidRPr="00132EF0">
        <w:rPr>
          <w:rFonts w:ascii="Sylfaen" w:hAnsi="Sylfaen"/>
          <w:sz w:val="24"/>
          <w:szCs w:val="24"/>
        </w:rPr>
        <w:t>2. Ներածություն</w:t>
      </w:r>
    </w:p>
    <w:p w14:paraId="4198C680" w14:textId="77777777" w:rsidR="008C76E0" w:rsidRPr="00132EF0" w:rsidRDefault="008C76E0" w:rsidP="00132EF0">
      <w:pPr>
        <w:spacing w:after="160" w:line="336" w:lineRule="auto"/>
        <w:ind w:right="-1" w:firstLine="567"/>
        <w:jc w:val="center"/>
        <w:rPr>
          <w:rFonts w:ascii="Sylfaen" w:hAnsi="Sylfaen"/>
          <w:sz w:val="24"/>
          <w:szCs w:val="24"/>
        </w:rPr>
      </w:pPr>
      <w:r w:rsidRPr="00132EF0">
        <w:rPr>
          <w:rFonts w:ascii="Sylfaen" w:hAnsi="Sylfaen"/>
          <w:sz w:val="24"/>
          <w:szCs w:val="24"/>
        </w:rPr>
        <w:t>Ընդհանուր տեղեկություններ՝ դեղապատրաստուկի մասին:</w:t>
      </w:r>
    </w:p>
    <w:p w14:paraId="1D03E75B" w14:textId="77777777" w:rsidR="008C76E0" w:rsidRPr="00132EF0" w:rsidRDefault="008C76E0" w:rsidP="00132EF0">
      <w:pPr>
        <w:spacing w:after="160" w:line="336" w:lineRule="auto"/>
        <w:ind w:right="-1" w:firstLine="567"/>
        <w:jc w:val="both"/>
        <w:rPr>
          <w:rFonts w:ascii="Sylfaen" w:hAnsi="Sylfaen"/>
          <w:sz w:val="24"/>
          <w:szCs w:val="24"/>
        </w:rPr>
      </w:pPr>
      <w:r w:rsidRPr="00132EF0">
        <w:rPr>
          <w:rFonts w:ascii="Sylfaen" w:hAnsi="Sylfaen"/>
          <w:sz w:val="24"/>
          <w:szCs w:val="24"/>
        </w:rPr>
        <w:t>Դեղապատրաստուկի մասին ընդհանուր տեղեկությունները ներառում են հետ</w:t>
      </w:r>
      <w:r w:rsidR="00C54D75">
        <w:rPr>
          <w:rFonts w:ascii="Sylfaen" w:hAnsi="Sylfaen"/>
          <w:sz w:val="24"/>
          <w:szCs w:val="24"/>
        </w:rPr>
        <w:t>և</w:t>
      </w:r>
      <w:r w:rsidRPr="00132EF0">
        <w:rPr>
          <w:rFonts w:ascii="Sylfaen" w:hAnsi="Sylfaen"/>
          <w:sz w:val="24"/>
          <w:szCs w:val="24"/>
        </w:rPr>
        <w:t>յալը՝</w:t>
      </w:r>
    </w:p>
    <w:p w14:paraId="39CF5325" w14:textId="5D750777" w:rsidR="008C76E0" w:rsidRPr="00132EF0" w:rsidRDefault="008C76E0" w:rsidP="00132EF0">
      <w:pPr>
        <w:spacing w:after="160" w:line="336" w:lineRule="auto"/>
        <w:ind w:firstLine="567"/>
        <w:jc w:val="both"/>
        <w:rPr>
          <w:rFonts w:ascii="Sylfaen" w:hAnsi="Sylfaen"/>
          <w:sz w:val="24"/>
          <w:szCs w:val="24"/>
        </w:rPr>
      </w:pPr>
      <w:r w:rsidRPr="00132EF0">
        <w:rPr>
          <w:rFonts w:ascii="Sylfaen" w:hAnsi="Sylfaen"/>
          <w:sz w:val="24"/>
          <w:szCs w:val="24"/>
        </w:rPr>
        <w:t xml:space="preserve">դեղապատրաստուկի տիպի համառոտ նկարագրությունը (ակտիվ դեղագործական բաղադրամասը (օրինակ՝ նոր քիմիական միացություն, </w:t>
      </w:r>
      <w:r w:rsidR="005F6A31">
        <w:rPr>
          <w:rFonts w:ascii="Sylfaen" w:hAnsi="Sylfaen"/>
          <w:sz w:val="24"/>
          <w:szCs w:val="24"/>
        </w:rPr>
        <w:t>հայտնի</w:t>
      </w:r>
      <w:r w:rsidRPr="00132EF0">
        <w:rPr>
          <w:rFonts w:ascii="Sylfaen" w:hAnsi="Sylfaen"/>
          <w:sz w:val="24"/>
          <w:szCs w:val="24"/>
        </w:rPr>
        <w:t xml:space="preserve"> քիմիական միացություն, կենսատեխնոլոգիական (կենսաբանական) սուբստանցիա), ռադիոդեղագործական պատրաստուկ, բուսական դեղապատրաստուկ), դեղաձ</w:t>
      </w:r>
      <w:r w:rsidR="00C54D75">
        <w:rPr>
          <w:rFonts w:ascii="Sylfaen" w:hAnsi="Sylfaen"/>
          <w:sz w:val="24"/>
          <w:szCs w:val="24"/>
        </w:rPr>
        <w:t>և</w:t>
      </w:r>
      <w:r w:rsidRPr="00132EF0">
        <w:rPr>
          <w:rFonts w:ascii="Sylfaen" w:hAnsi="Sylfaen"/>
          <w:sz w:val="24"/>
          <w:szCs w:val="24"/>
        </w:rPr>
        <w:t>ը, փաթեթվածքը): Հարկ է հատուկ նշում կատարել, եթե տվյալ դեղապատրաստուկը նախատեսված է երեխաների օգտագործման համար,</w:t>
      </w:r>
    </w:p>
    <w:p w14:paraId="61B5780C" w14:textId="77777777" w:rsidR="008C76E0" w:rsidRPr="00132EF0" w:rsidRDefault="008C76E0" w:rsidP="00132EF0">
      <w:pPr>
        <w:spacing w:after="160" w:line="336" w:lineRule="auto"/>
        <w:ind w:right="-1" w:firstLine="567"/>
        <w:jc w:val="both"/>
        <w:rPr>
          <w:rFonts w:ascii="Sylfaen" w:hAnsi="Sylfaen"/>
          <w:sz w:val="24"/>
          <w:szCs w:val="24"/>
        </w:rPr>
      </w:pPr>
      <w:r w:rsidRPr="00132EF0">
        <w:rPr>
          <w:rFonts w:ascii="Sylfaen" w:hAnsi="Sylfaen"/>
          <w:sz w:val="24"/>
          <w:szCs w:val="24"/>
        </w:rPr>
        <w:t>«որբ» դեղապատրաստուկի (ՈԴՊ) կարգավիճակի նշումը կիրառելիության դեպքում,</w:t>
      </w:r>
    </w:p>
    <w:p w14:paraId="09CB5AC0" w14:textId="77777777" w:rsidR="008C76E0" w:rsidRPr="00132EF0" w:rsidRDefault="008C76E0" w:rsidP="00132EF0">
      <w:pPr>
        <w:spacing w:after="160" w:line="336" w:lineRule="auto"/>
        <w:ind w:firstLine="567"/>
        <w:jc w:val="both"/>
        <w:rPr>
          <w:rFonts w:ascii="Sylfaen" w:hAnsi="Sylfaen"/>
          <w:sz w:val="24"/>
          <w:szCs w:val="24"/>
        </w:rPr>
      </w:pPr>
      <w:r w:rsidRPr="00132EF0">
        <w:rPr>
          <w:rFonts w:ascii="Sylfaen" w:hAnsi="Sylfaen"/>
          <w:sz w:val="24"/>
          <w:szCs w:val="24"/>
        </w:rPr>
        <w:t>ցուցումները, բնակչության թիրախային խումբը, դոզավորման ռեժիմը (հաշվի առնելով դեղապատրաստուկի, օրինակ՝ բաժանելի դեղահաբերի՝ դոզավորման պահանջվող ռեժիմ ապահովելու ունակությունը), ներմուծման ուղին (ներմուծման ուղու առանձնահատկությունների դեպքում՝ ներմուծման համար նախատեսված սարքը),</w:t>
      </w:r>
    </w:p>
    <w:p w14:paraId="59652AED"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lastRenderedPageBreak/>
        <w:t xml:space="preserve">տվյալ դեղանյութի </w:t>
      </w:r>
      <w:r w:rsidR="00C54D75">
        <w:rPr>
          <w:rFonts w:ascii="Sylfaen" w:hAnsi="Sylfaen"/>
          <w:sz w:val="24"/>
          <w:szCs w:val="24"/>
        </w:rPr>
        <w:t>և</w:t>
      </w:r>
      <w:r w:rsidRPr="00132EF0">
        <w:rPr>
          <w:rFonts w:ascii="Sylfaen" w:hAnsi="Sylfaen"/>
          <w:sz w:val="24"/>
          <w:szCs w:val="24"/>
        </w:rPr>
        <w:t xml:space="preserve"> մի</w:t>
      </w:r>
      <w:r w:rsidR="00C54D75">
        <w:rPr>
          <w:rFonts w:ascii="Sylfaen" w:hAnsi="Sylfaen"/>
          <w:sz w:val="24"/>
          <w:szCs w:val="24"/>
        </w:rPr>
        <w:t>և</w:t>
      </w:r>
      <w:r w:rsidRPr="00132EF0">
        <w:rPr>
          <w:rFonts w:ascii="Sylfaen" w:hAnsi="Sylfaen"/>
          <w:sz w:val="24"/>
          <w:szCs w:val="24"/>
        </w:rPr>
        <w:t>նույն թերապ</w:t>
      </w:r>
      <w:r w:rsidR="00C54D75">
        <w:rPr>
          <w:rFonts w:ascii="Sylfaen" w:hAnsi="Sylfaen"/>
          <w:sz w:val="24"/>
          <w:szCs w:val="24"/>
        </w:rPr>
        <w:t>և</w:t>
      </w:r>
      <w:r w:rsidRPr="00132EF0">
        <w:rPr>
          <w:rFonts w:ascii="Sylfaen" w:hAnsi="Sylfaen"/>
          <w:sz w:val="24"/>
          <w:szCs w:val="24"/>
        </w:rPr>
        <w:t>տիկ դասին պատկանող այլ նյութերի միջ</w:t>
      </w:r>
      <w:r w:rsidR="00C54D75">
        <w:rPr>
          <w:rFonts w:ascii="Sylfaen" w:hAnsi="Sylfaen"/>
          <w:sz w:val="24"/>
          <w:szCs w:val="24"/>
        </w:rPr>
        <w:t>և</w:t>
      </w:r>
      <w:r w:rsidRPr="00132EF0">
        <w:rPr>
          <w:rFonts w:ascii="Sylfaen" w:hAnsi="Sylfaen"/>
          <w:sz w:val="24"/>
          <w:szCs w:val="24"/>
        </w:rPr>
        <w:t xml:space="preserve"> փոխկապակցվածության մասին տեղեկություններ,</w:t>
      </w:r>
    </w:p>
    <w:p w14:paraId="192CA24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դեղապատրաստուկի պատրաստումը կիրառումից առաջ (օրինակ՝ ռադիոդեղագործական պատրաստուկը, լիոֆիլիզատը),</w:t>
      </w:r>
    </w:p>
    <w:p w14:paraId="6059A7D9"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դեղապատրաստուկի այլ առանձնահատկություններ, օրինակ՝ մատակարարման կամ ներմուծման համակարգերը, կիրառման համար նախատեսված սարքերը </w:t>
      </w:r>
      <w:r w:rsidR="00C54D75">
        <w:rPr>
          <w:rFonts w:ascii="Sylfaen" w:hAnsi="Sylfaen"/>
          <w:sz w:val="24"/>
          <w:szCs w:val="24"/>
        </w:rPr>
        <w:t>և</w:t>
      </w:r>
      <w:r w:rsidRPr="00132EF0">
        <w:rPr>
          <w:rFonts w:ascii="Sylfaen" w:hAnsi="Sylfaen"/>
          <w:sz w:val="24"/>
          <w:szCs w:val="24"/>
        </w:rPr>
        <w:t xml:space="preserve"> այլն,</w:t>
      </w:r>
    </w:p>
    <w:p w14:paraId="6A8922EB" w14:textId="2AC205F8"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միմյանց հետ կապված կամ փոխկախյալ </w:t>
      </w:r>
      <w:r w:rsidR="009F5829">
        <w:rPr>
          <w:rFonts w:ascii="Sylfaen" w:hAnsi="Sylfaen"/>
          <w:sz w:val="24"/>
          <w:szCs w:val="24"/>
        </w:rPr>
        <w:t>դիմումներ</w:t>
      </w:r>
      <w:r w:rsidRPr="00132EF0">
        <w:rPr>
          <w:rFonts w:ascii="Sylfaen" w:hAnsi="Sylfaen"/>
          <w:sz w:val="24"/>
          <w:szCs w:val="24"/>
        </w:rPr>
        <w:t xml:space="preserve"> (օրինակ՝ այն դեղապատրաստուկի գրանցման </w:t>
      </w:r>
      <w:r w:rsidR="0056496B">
        <w:rPr>
          <w:rFonts w:ascii="Sylfaen" w:hAnsi="Sylfaen"/>
          <w:sz w:val="24"/>
          <w:szCs w:val="24"/>
        </w:rPr>
        <w:t>դիմում</w:t>
      </w:r>
      <w:r w:rsidRPr="00132EF0">
        <w:rPr>
          <w:rFonts w:ascii="Sylfaen" w:hAnsi="Sylfaen"/>
          <w:sz w:val="24"/>
          <w:szCs w:val="24"/>
        </w:rPr>
        <w:t xml:space="preserve">ը, որի ազդող նյութը տվյալ </w:t>
      </w:r>
      <w:r w:rsidR="0056496B">
        <w:rPr>
          <w:rFonts w:ascii="Sylfaen" w:hAnsi="Sylfaen"/>
          <w:sz w:val="24"/>
          <w:szCs w:val="24"/>
        </w:rPr>
        <w:t>դիմումատու</w:t>
      </w:r>
      <w:r w:rsidRPr="00132EF0">
        <w:rPr>
          <w:rFonts w:ascii="Sylfaen" w:hAnsi="Sylfaen"/>
          <w:sz w:val="24"/>
          <w:szCs w:val="24"/>
        </w:rPr>
        <w:t>ի կողմից նախկինում գրանցված նախադեղի մետաբոլիտ է, դեղապատրաստուկ, որը նախատեսված է տեսականու սանդղակի ընդլայնման համար):</w:t>
      </w:r>
    </w:p>
    <w:p w14:paraId="2A0D919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Ստոր</w:t>
      </w:r>
      <w:r w:rsidR="00C54D75">
        <w:rPr>
          <w:rFonts w:ascii="Sylfaen" w:hAnsi="Sylfaen"/>
          <w:sz w:val="24"/>
          <w:szCs w:val="24"/>
        </w:rPr>
        <w:t>և</w:t>
      </w:r>
      <w:r w:rsidRPr="00132EF0">
        <w:rPr>
          <w:rFonts w:ascii="Sylfaen" w:hAnsi="Sylfaen"/>
          <w:sz w:val="24"/>
          <w:szCs w:val="24"/>
        </w:rPr>
        <w:t xml:space="preserve"> ներկայացված տեղեկատվությունը նախատեսված է դեղապատրաստուկի հիմնական կրիտիկական առանձնահատկությունների հակիրճ ռեզյումե կազմելու համար: Ներկայացվող տեղեկատվության ծավալը կախված է կոնկրետ պատրաստուկի հատկություններից: Նա</w:t>
      </w:r>
      <w:r w:rsidR="00C54D75">
        <w:rPr>
          <w:rFonts w:ascii="Sylfaen" w:hAnsi="Sylfaen"/>
          <w:sz w:val="24"/>
          <w:szCs w:val="24"/>
        </w:rPr>
        <w:t>և</w:t>
      </w:r>
      <w:r w:rsidRPr="00132EF0">
        <w:rPr>
          <w:rFonts w:ascii="Sylfaen" w:hAnsi="Sylfaen"/>
          <w:sz w:val="24"/>
          <w:szCs w:val="24"/>
        </w:rPr>
        <w:t xml:space="preserve"> հարկ է ներկայացնել կլինիկական կիրառման արդյունքների մասով ռեզյումե: </w:t>
      </w:r>
    </w:p>
    <w:p w14:paraId="65968612" w14:textId="77777777" w:rsidR="008C76E0" w:rsidRPr="003B2786" w:rsidRDefault="008C76E0" w:rsidP="008C76E0">
      <w:pPr>
        <w:ind w:right="-1" w:firstLine="567"/>
        <w:jc w:val="center"/>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20"/>
        <w:gridCol w:w="2429"/>
      </w:tblGrid>
      <w:tr w:rsidR="008C76E0" w:rsidRPr="003B2786" w14:paraId="2EDA4CB6" w14:textId="77777777" w:rsidTr="008C76E0">
        <w:trPr>
          <w:trHeight w:val="534"/>
          <w:jc w:val="center"/>
        </w:trPr>
        <w:tc>
          <w:tcPr>
            <w:tcW w:w="7720" w:type="dxa"/>
            <w:tcBorders>
              <w:top w:val="single" w:sz="4" w:space="0" w:color="auto"/>
              <w:left w:val="single" w:sz="4" w:space="0" w:color="auto"/>
            </w:tcBorders>
            <w:shd w:val="clear" w:color="auto" w:fill="FFFFFF"/>
          </w:tcPr>
          <w:p w14:paraId="5AA2604A"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Անվանումը</w:t>
            </w:r>
          </w:p>
        </w:tc>
        <w:tc>
          <w:tcPr>
            <w:tcW w:w="2429" w:type="dxa"/>
            <w:tcBorders>
              <w:top w:val="single" w:sz="4" w:space="0" w:color="auto"/>
              <w:left w:val="single" w:sz="4" w:space="0" w:color="auto"/>
              <w:right w:val="single" w:sz="4" w:space="0" w:color="auto"/>
            </w:tcBorders>
            <w:shd w:val="clear" w:color="auto" w:fill="FFFFFF"/>
          </w:tcPr>
          <w:p w14:paraId="2254EB79"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1797B77" w14:textId="77777777" w:rsidTr="008C76E0">
        <w:trPr>
          <w:trHeight w:val="534"/>
          <w:jc w:val="center"/>
        </w:trPr>
        <w:tc>
          <w:tcPr>
            <w:tcW w:w="7720" w:type="dxa"/>
            <w:tcBorders>
              <w:top w:val="single" w:sz="4" w:space="0" w:color="auto"/>
              <w:left w:val="single" w:sz="4" w:space="0" w:color="auto"/>
            </w:tcBorders>
            <w:shd w:val="clear" w:color="auto" w:fill="FFFFFF"/>
          </w:tcPr>
          <w:p w14:paraId="07BDAE19"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Դեղաձ</w:t>
            </w:r>
            <w:r w:rsidR="00C54D75">
              <w:rPr>
                <w:rStyle w:val="Bodytext1811pt"/>
                <w:rFonts w:ascii="Sylfaen" w:hAnsi="Sylfaen"/>
                <w:sz w:val="24"/>
                <w:szCs w:val="24"/>
              </w:rPr>
              <w:t>և</w:t>
            </w:r>
            <w:r w:rsidRPr="003B2786">
              <w:rPr>
                <w:rStyle w:val="Bodytext1811pt"/>
                <w:rFonts w:ascii="Sylfaen" w:hAnsi="Sylfaen"/>
                <w:sz w:val="24"/>
                <w:szCs w:val="24"/>
              </w:rPr>
              <w:t xml:space="preserve">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դեղաչափը (կոնցենտրացիան)</w:t>
            </w:r>
          </w:p>
        </w:tc>
        <w:tc>
          <w:tcPr>
            <w:tcW w:w="2429" w:type="dxa"/>
            <w:tcBorders>
              <w:top w:val="single" w:sz="4" w:space="0" w:color="auto"/>
              <w:left w:val="single" w:sz="4" w:space="0" w:color="auto"/>
              <w:right w:val="single" w:sz="4" w:space="0" w:color="auto"/>
            </w:tcBorders>
            <w:shd w:val="clear" w:color="auto" w:fill="FFFFFF"/>
          </w:tcPr>
          <w:p w14:paraId="12CCAF9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1AA8922" w14:textId="77777777" w:rsidTr="008C76E0">
        <w:trPr>
          <w:trHeight w:val="534"/>
          <w:jc w:val="center"/>
        </w:trPr>
        <w:tc>
          <w:tcPr>
            <w:tcW w:w="7720" w:type="dxa"/>
            <w:tcBorders>
              <w:top w:val="single" w:sz="4" w:space="0" w:color="auto"/>
              <w:left w:val="single" w:sz="4" w:space="0" w:color="auto"/>
            </w:tcBorders>
            <w:shd w:val="clear" w:color="auto" w:fill="FFFFFF"/>
          </w:tcPr>
          <w:p w14:paraId="3C8259E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Գրանցման ընթացակարգը</w:t>
            </w:r>
          </w:p>
        </w:tc>
        <w:tc>
          <w:tcPr>
            <w:tcW w:w="2429" w:type="dxa"/>
            <w:tcBorders>
              <w:top w:val="single" w:sz="4" w:space="0" w:color="auto"/>
              <w:left w:val="single" w:sz="4" w:space="0" w:color="auto"/>
              <w:right w:val="single" w:sz="4" w:space="0" w:color="auto"/>
            </w:tcBorders>
            <w:shd w:val="clear" w:color="auto" w:fill="FFFFFF"/>
          </w:tcPr>
          <w:p w14:paraId="6FBEB17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394621CB" w14:textId="77777777" w:rsidTr="008C76E0">
        <w:trPr>
          <w:trHeight w:val="545"/>
          <w:jc w:val="center"/>
        </w:trPr>
        <w:tc>
          <w:tcPr>
            <w:tcW w:w="7720" w:type="dxa"/>
            <w:tcBorders>
              <w:top w:val="single" w:sz="4" w:space="0" w:color="auto"/>
              <w:left w:val="single" w:sz="4" w:space="0" w:color="auto"/>
            </w:tcBorders>
            <w:shd w:val="clear" w:color="auto" w:fill="FFFFFF"/>
          </w:tcPr>
          <w:p w14:paraId="065B96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Թերապ</w:t>
            </w:r>
            <w:r w:rsidR="00C54D75">
              <w:rPr>
                <w:rStyle w:val="Bodytext1811pt"/>
                <w:rFonts w:ascii="Sylfaen" w:hAnsi="Sylfaen"/>
                <w:sz w:val="24"/>
                <w:szCs w:val="24"/>
              </w:rPr>
              <w:t>և</w:t>
            </w:r>
            <w:r w:rsidRPr="003B2786">
              <w:rPr>
                <w:rStyle w:val="Bodytext1811pt"/>
                <w:rFonts w:ascii="Sylfaen" w:hAnsi="Sylfaen"/>
                <w:sz w:val="24"/>
                <w:szCs w:val="24"/>
              </w:rPr>
              <w:t>տիկ դասը կամ ցուցումը</w:t>
            </w:r>
          </w:p>
        </w:tc>
        <w:tc>
          <w:tcPr>
            <w:tcW w:w="2429" w:type="dxa"/>
            <w:tcBorders>
              <w:top w:val="single" w:sz="4" w:space="0" w:color="auto"/>
              <w:left w:val="single" w:sz="4" w:space="0" w:color="auto"/>
              <w:right w:val="single" w:sz="4" w:space="0" w:color="auto"/>
            </w:tcBorders>
            <w:shd w:val="clear" w:color="auto" w:fill="FFFFFF"/>
          </w:tcPr>
          <w:p w14:paraId="02B01C9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94A9479" w14:textId="77777777" w:rsidTr="008C76E0">
        <w:trPr>
          <w:trHeight w:val="545"/>
          <w:jc w:val="center"/>
        </w:trPr>
        <w:tc>
          <w:tcPr>
            <w:tcW w:w="7720" w:type="dxa"/>
            <w:tcBorders>
              <w:top w:val="single" w:sz="4" w:space="0" w:color="auto"/>
              <w:left w:val="single" w:sz="4" w:space="0" w:color="auto"/>
              <w:bottom w:val="single" w:sz="4" w:space="0" w:color="auto"/>
            </w:tcBorders>
            <w:shd w:val="clear" w:color="auto" w:fill="FFFFFF"/>
          </w:tcPr>
          <w:p w14:paraId="528B3BD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Դեղաչափերի առաջարկվող ընդգրկույթը</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14:paraId="4284BCC4" w14:textId="77777777" w:rsidR="008C76E0" w:rsidRPr="003B2786" w:rsidRDefault="008C76E0" w:rsidP="008C76E0">
            <w:pPr>
              <w:spacing w:after="120" w:line="240" w:lineRule="auto"/>
              <w:jc w:val="both"/>
              <w:rPr>
                <w:rFonts w:ascii="Sylfaen" w:hAnsi="Sylfaen"/>
                <w:sz w:val="24"/>
                <w:szCs w:val="24"/>
              </w:rPr>
            </w:pPr>
          </w:p>
        </w:tc>
      </w:tr>
    </w:tbl>
    <w:p w14:paraId="3D2EEE07" w14:textId="77777777" w:rsidR="00473371" w:rsidRDefault="00473371" w:rsidP="00132EF0">
      <w:pPr>
        <w:spacing w:after="160" w:line="360" w:lineRule="auto"/>
        <w:ind w:right="-1"/>
        <w:jc w:val="center"/>
        <w:outlineLvl w:val="0"/>
        <w:rPr>
          <w:rFonts w:ascii="Sylfaen" w:hAnsi="Sylfaen"/>
          <w:sz w:val="24"/>
          <w:szCs w:val="24"/>
        </w:rPr>
      </w:pPr>
    </w:p>
    <w:p w14:paraId="4C6E56FD" w14:textId="77777777" w:rsidR="00473371" w:rsidRDefault="00473371">
      <w:pPr>
        <w:widowControl/>
        <w:rPr>
          <w:rFonts w:ascii="Sylfaen" w:hAnsi="Sylfaen"/>
          <w:sz w:val="24"/>
          <w:szCs w:val="24"/>
        </w:rPr>
      </w:pPr>
      <w:r>
        <w:rPr>
          <w:rFonts w:ascii="Sylfaen" w:hAnsi="Sylfaen"/>
          <w:sz w:val="24"/>
          <w:szCs w:val="24"/>
        </w:rPr>
        <w:br w:type="page"/>
      </w:r>
    </w:p>
    <w:p w14:paraId="400BF696" w14:textId="77777777" w:rsidR="008C76E0" w:rsidRPr="003B2786" w:rsidRDefault="008C76E0" w:rsidP="00132EF0">
      <w:pPr>
        <w:spacing w:after="160" w:line="360" w:lineRule="auto"/>
        <w:ind w:left="567" w:right="565"/>
        <w:jc w:val="center"/>
        <w:outlineLvl w:val="0"/>
        <w:rPr>
          <w:rFonts w:ascii="Sylfaen" w:hAnsi="Sylfaen"/>
          <w:sz w:val="24"/>
          <w:szCs w:val="24"/>
        </w:rPr>
      </w:pPr>
      <w:r w:rsidRPr="003B2786">
        <w:rPr>
          <w:rFonts w:ascii="Sylfaen" w:hAnsi="Sylfaen"/>
          <w:sz w:val="24"/>
          <w:szCs w:val="24"/>
        </w:rPr>
        <w:lastRenderedPageBreak/>
        <w:t>3. Ակտիվ դեղագործական</w:t>
      </w:r>
      <w:r>
        <w:rPr>
          <w:rFonts w:ascii="Sylfaen" w:hAnsi="Sylfaen"/>
          <w:sz w:val="24"/>
          <w:szCs w:val="24"/>
        </w:rPr>
        <w:br/>
      </w:r>
      <w:r w:rsidRPr="003B2786">
        <w:rPr>
          <w:rFonts w:ascii="Sylfaen" w:hAnsi="Sylfaen"/>
          <w:sz w:val="24"/>
          <w:szCs w:val="24"/>
        </w:rPr>
        <w:t xml:space="preserve"> բաղադրամաս (ԱԴԲ, մոդուլ 3.2.S)</w:t>
      </w:r>
    </w:p>
    <w:p w14:paraId="25FFA7B1"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որ ակտիվ դեղագործական բաղադրամասի մասին տեղեկատվությունն ընդգրկված է ակտիվ դեղագործական բաղադրամասի մաստեր-ֆայլի փակ մասում (ԱԴԲՄՖ): Փակ բաժնի փորձաքննության արդյունքները դիտողությունների առանձին ցանկի հետ միասին ենթակա են արտացոլման առանձին փորձագիտական հաշվետվությունում՝ որպես սույն փորձագիտական հաշվետվության հավելված (տե՛ս,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8 հավելվածը): ԱԴԲՄՖ-ին ներկայացվող պահանջները չեն տարածվում կենսաբանական դեղապատրաստուկների վրա:</w:t>
      </w:r>
    </w:p>
    <w:p w14:paraId="5BD10AEA" w14:textId="77777777" w:rsidR="008C76E0" w:rsidRPr="003B2786" w:rsidRDefault="008C76E0" w:rsidP="00132EF0">
      <w:pPr>
        <w:tabs>
          <w:tab w:val="left" w:pos="1134"/>
        </w:tabs>
        <w:spacing w:after="160" w:line="360" w:lineRule="auto"/>
        <w:ind w:firstLine="567"/>
        <w:jc w:val="both"/>
        <w:outlineLvl w:val="0"/>
        <w:rPr>
          <w:rFonts w:ascii="Sylfaen" w:hAnsi="Sylfaen"/>
          <w:sz w:val="24"/>
          <w:szCs w:val="24"/>
        </w:rPr>
      </w:pPr>
      <w:r w:rsidRPr="003B2786">
        <w:rPr>
          <w:rFonts w:ascii="Sylfaen" w:hAnsi="Sylfaen"/>
          <w:sz w:val="24"/>
          <w:szCs w:val="24"/>
        </w:rPr>
        <w:t>3.1.</w:t>
      </w:r>
      <w:r w:rsidRPr="003B2786">
        <w:rPr>
          <w:rFonts w:ascii="Sylfaen" w:hAnsi="Sylfaen"/>
          <w:sz w:val="24"/>
          <w:szCs w:val="24"/>
        </w:rPr>
        <w:tab/>
        <w:t xml:space="preserve">Ընդհանուր տեղեկատվություն՝ ելանյութերի </w:t>
      </w:r>
      <w:r w:rsidR="00C54D75">
        <w:rPr>
          <w:rFonts w:ascii="Sylfaen" w:hAnsi="Sylfaen"/>
          <w:sz w:val="24"/>
          <w:szCs w:val="24"/>
        </w:rPr>
        <w:t>և</w:t>
      </w:r>
      <w:r w:rsidRPr="003B2786">
        <w:rPr>
          <w:rFonts w:ascii="Sylfaen" w:hAnsi="Sylfaen"/>
          <w:sz w:val="24"/>
          <w:szCs w:val="24"/>
        </w:rPr>
        <w:t xml:space="preserve"> հումքի մասին (մոդուլ 3.2.S.1):</w:t>
      </w:r>
    </w:p>
    <w:p w14:paraId="7D9C962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Տվյալ վերնագրի ներքո արտացոլվում են այն տեղեկությունները, որոնք նշված են ստոր</w:t>
      </w:r>
      <w:r w:rsidR="00C54D75">
        <w:rPr>
          <w:rFonts w:ascii="Sylfaen" w:hAnsi="Sylfaen"/>
          <w:sz w:val="24"/>
          <w:szCs w:val="24"/>
        </w:rPr>
        <w:t>և</w:t>
      </w:r>
      <w:r w:rsidRPr="003B2786">
        <w:rPr>
          <w:rFonts w:ascii="Sylfaen" w:hAnsi="Sylfaen"/>
          <w:sz w:val="24"/>
          <w:szCs w:val="24"/>
        </w:rPr>
        <w:t xml:space="preserve"> բերված բաժիններում:</w:t>
      </w:r>
    </w:p>
    <w:p w14:paraId="7B38A277"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 1.1.</w:t>
      </w:r>
      <w:r w:rsidRPr="003B2786">
        <w:rPr>
          <w:rFonts w:ascii="Sylfaen" w:hAnsi="Sylfaen"/>
          <w:sz w:val="24"/>
          <w:szCs w:val="24"/>
        </w:rPr>
        <w:tab/>
        <w:t>ԱԴԲ-ի անվանման մասին տեղեկատվություն:</w:t>
      </w:r>
    </w:p>
    <w:p w14:paraId="46BDA2D8"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Նշվում է քիմիական անվանումը (եթե այն կիրառելի է): Հաստատվում է, թե արդյոք պատրաստուկն ունի առաջադրված միջազգային չարտոնագրված անվանում, առաջարկված միջազգային չարտոնագրված անվանում, համընդհանուր անվանում </w:t>
      </w:r>
      <w:r w:rsidR="00C54D75">
        <w:rPr>
          <w:rFonts w:ascii="Sylfaen" w:hAnsi="Sylfaen"/>
          <w:sz w:val="24"/>
          <w:szCs w:val="24"/>
        </w:rPr>
        <w:t>և</w:t>
      </w:r>
      <w:r w:rsidRPr="003B2786">
        <w:rPr>
          <w:rFonts w:ascii="Sylfaen" w:hAnsi="Sylfaen"/>
          <w:sz w:val="24"/>
          <w:szCs w:val="24"/>
        </w:rPr>
        <w:t xml:space="preserve"> այլն:</w:t>
      </w:r>
    </w:p>
    <w:p w14:paraId="741D1CCB" w14:textId="77777777" w:rsidR="008C76E0" w:rsidRPr="003B2786" w:rsidRDefault="008C76E0" w:rsidP="00473371">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S. 1.2.</w:t>
      </w:r>
      <w:r w:rsidRPr="003B2786">
        <w:rPr>
          <w:rFonts w:ascii="Sylfaen" w:hAnsi="Sylfaen"/>
          <w:sz w:val="24"/>
          <w:szCs w:val="24"/>
        </w:rPr>
        <w:tab/>
        <w:t>ԱԴԲ-ի կառուցվածքը:</w:t>
      </w:r>
    </w:p>
    <w:p w14:paraId="1BE6A045" w14:textId="77777777" w:rsidR="008C76E0" w:rsidRPr="003B2786" w:rsidRDefault="008C76E0" w:rsidP="00473371">
      <w:pPr>
        <w:tabs>
          <w:tab w:val="left" w:pos="1418"/>
        </w:tabs>
        <w:spacing w:after="160" w:line="336" w:lineRule="auto"/>
        <w:ind w:firstLine="567"/>
        <w:jc w:val="both"/>
        <w:rPr>
          <w:rFonts w:ascii="Sylfaen" w:hAnsi="Sylfaen"/>
          <w:sz w:val="24"/>
          <w:szCs w:val="24"/>
        </w:rPr>
      </w:pPr>
      <w:r w:rsidRPr="003B2786">
        <w:rPr>
          <w:rFonts w:ascii="Sylfaen" w:hAnsi="Sylfaen"/>
          <w:sz w:val="24"/>
          <w:szCs w:val="24"/>
        </w:rPr>
        <w:t xml:space="preserve">Տեղեկություններ են բերվում այն ակտիվ նյութի </w:t>
      </w:r>
      <w:r w:rsidR="00C54D75">
        <w:rPr>
          <w:rFonts w:ascii="Sylfaen" w:hAnsi="Sylfaen"/>
          <w:sz w:val="24"/>
          <w:szCs w:val="24"/>
        </w:rPr>
        <w:t>և</w:t>
      </w:r>
      <w:r w:rsidRPr="003B2786">
        <w:rPr>
          <w:rFonts w:ascii="Sylfaen" w:hAnsi="Sylfaen"/>
          <w:sz w:val="24"/>
          <w:szCs w:val="24"/>
        </w:rPr>
        <w:t xml:space="preserve"> միացությունների կառուցվածքի մասին, որոնք ունեն համանման բնութագրեր կամ կառուցվածք:</w:t>
      </w:r>
    </w:p>
    <w:p w14:paraId="799F28BE" w14:textId="77777777" w:rsidR="008C76E0" w:rsidRPr="003B2786" w:rsidRDefault="008C76E0" w:rsidP="00473371">
      <w:pPr>
        <w:tabs>
          <w:tab w:val="left" w:pos="1701"/>
        </w:tabs>
        <w:spacing w:after="160" w:line="336" w:lineRule="auto"/>
        <w:ind w:firstLine="567"/>
        <w:jc w:val="both"/>
        <w:outlineLvl w:val="0"/>
        <w:rPr>
          <w:rFonts w:ascii="Sylfaen" w:hAnsi="Sylfaen"/>
          <w:sz w:val="24"/>
          <w:szCs w:val="24"/>
        </w:rPr>
      </w:pPr>
      <w:r w:rsidRPr="003B2786">
        <w:rPr>
          <w:rFonts w:ascii="Sylfaen" w:hAnsi="Sylfaen"/>
          <w:sz w:val="24"/>
          <w:szCs w:val="24"/>
        </w:rPr>
        <w:t>S.I.3.</w:t>
      </w:r>
      <w:r w:rsidRPr="003B2786">
        <w:rPr>
          <w:rFonts w:ascii="Sylfaen" w:hAnsi="Sylfaen"/>
          <w:sz w:val="24"/>
          <w:szCs w:val="24"/>
        </w:rPr>
        <w:tab/>
        <w:t>ԱԴԲ-ի ընդհանուր հատկությունները:</w:t>
      </w:r>
    </w:p>
    <w:p w14:paraId="69EAEB45" w14:textId="0D3627CD"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Նշվում են (եթե դա կիրառելի է) կլինիկական գործունեության համար կար</w:t>
      </w:r>
      <w:r w:rsidR="00C54D75">
        <w:rPr>
          <w:rFonts w:ascii="Sylfaen" w:hAnsi="Sylfaen"/>
          <w:sz w:val="24"/>
          <w:szCs w:val="24"/>
        </w:rPr>
        <w:t>և</w:t>
      </w:r>
      <w:r w:rsidRPr="003B2786">
        <w:rPr>
          <w:rFonts w:ascii="Sylfaen" w:hAnsi="Sylfaen"/>
          <w:sz w:val="24"/>
          <w:szCs w:val="24"/>
        </w:rPr>
        <w:t xml:space="preserve">որ հատկությունները՝ </w:t>
      </w:r>
      <w:r w:rsidR="005F6A31">
        <w:rPr>
          <w:rFonts w:ascii="Sylfaen" w:hAnsi="Sylfaen"/>
          <w:sz w:val="24"/>
          <w:szCs w:val="24"/>
        </w:rPr>
        <w:t>արտահայտե</w:t>
      </w:r>
      <w:r w:rsidRPr="003B2786">
        <w:rPr>
          <w:rFonts w:ascii="Sylfaen" w:hAnsi="Sylfaen"/>
          <w:sz w:val="24"/>
          <w:szCs w:val="24"/>
        </w:rPr>
        <w:t xml:space="preserve">լով դրանք այնպիսի բնութագրերով, ինչպիսիք են </w:t>
      </w:r>
      <w:r w:rsidRPr="003B2786">
        <w:rPr>
          <w:rFonts w:ascii="Sylfaen" w:hAnsi="Sylfaen"/>
          <w:sz w:val="24"/>
          <w:szCs w:val="24"/>
        </w:rPr>
        <w:lastRenderedPageBreak/>
        <w:t>рКа-ն (թույլ էլեկտրոլիտի դիսոցման հաստատուն), լուծելիությունը, բազմաձ</w:t>
      </w:r>
      <w:r w:rsidR="00C54D75">
        <w:rPr>
          <w:rFonts w:ascii="Sylfaen" w:hAnsi="Sylfaen"/>
          <w:sz w:val="24"/>
          <w:szCs w:val="24"/>
        </w:rPr>
        <w:t>և</w:t>
      </w:r>
      <w:r w:rsidRPr="003B2786">
        <w:rPr>
          <w:rFonts w:ascii="Sylfaen" w:hAnsi="Sylfaen"/>
          <w:sz w:val="24"/>
          <w:szCs w:val="24"/>
        </w:rPr>
        <w:t xml:space="preserve">ությունը, իզոմերիան, մասնիկների բաշխումն ըստ չափերի </w:t>
      </w:r>
      <w:r w:rsidR="00C54D75">
        <w:rPr>
          <w:rFonts w:ascii="Sylfaen" w:hAnsi="Sylfaen"/>
          <w:sz w:val="24"/>
          <w:szCs w:val="24"/>
        </w:rPr>
        <w:t>և</w:t>
      </w:r>
      <w:r w:rsidRPr="003B2786">
        <w:rPr>
          <w:rFonts w:ascii="Sylfaen" w:hAnsi="Sylfaen"/>
          <w:sz w:val="24"/>
          <w:szCs w:val="24"/>
        </w:rPr>
        <w:t xml:space="preserve"> այլն:</w:t>
      </w:r>
    </w:p>
    <w:p w14:paraId="7450A5C8"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Կենսատեխնոլոգիական (կենսաբանական) սուբստանցիաների համար S.1 կետում հարկ է ներառել ակտիվ նյութի նկարագրությունը: Անհրաժեշտ է բերել մոլեկուլի անվանումը </w:t>
      </w:r>
      <w:r w:rsidR="00C54D75">
        <w:rPr>
          <w:rFonts w:ascii="Sylfaen" w:hAnsi="Sylfaen"/>
          <w:sz w:val="24"/>
          <w:szCs w:val="24"/>
        </w:rPr>
        <w:t>և</w:t>
      </w:r>
      <w:r w:rsidRPr="003B2786">
        <w:rPr>
          <w:rFonts w:ascii="Sylfaen" w:hAnsi="Sylfaen"/>
          <w:sz w:val="24"/>
          <w:szCs w:val="24"/>
        </w:rPr>
        <w:t xml:space="preserve"> նկարագրությունը: Նկարագրությունը պետք է ներառի այնպիսի հատկություններ, ինչպիսիք են գլիկոզիլացումը/հետտրանսլյացիոն մոդիֆիկացիաները, կառուցվածքի մոդիֆիկացիաները (ամինաթթվային փոխարինիչ, ՊԷԳ-ավորում), մոլեկուլի չափսը: Ընդունելի լինելու դեպքում հարկ է բերել տեղեկատվություն՝ երկրորդային </w:t>
      </w:r>
      <w:r w:rsidR="00C54D75">
        <w:rPr>
          <w:rFonts w:ascii="Sylfaen" w:hAnsi="Sylfaen"/>
          <w:sz w:val="24"/>
          <w:szCs w:val="24"/>
        </w:rPr>
        <w:t>և</w:t>
      </w:r>
      <w:r w:rsidRPr="003B2786">
        <w:rPr>
          <w:rFonts w:ascii="Sylfaen" w:hAnsi="Sylfaen"/>
          <w:sz w:val="24"/>
          <w:szCs w:val="24"/>
        </w:rPr>
        <w:t xml:space="preserve"> երրորդային կառուցվածքների մասին: Առանձնացվում </w:t>
      </w:r>
      <w:r w:rsidR="00C54D75">
        <w:rPr>
          <w:rFonts w:ascii="Sylfaen" w:hAnsi="Sylfaen"/>
          <w:sz w:val="24"/>
          <w:szCs w:val="24"/>
        </w:rPr>
        <w:t>և</w:t>
      </w:r>
      <w:r w:rsidRPr="003B2786">
        <w:rPr>
          <w:rFonts w:ascii="Sylfaen" w:hAnsi="Sylfaen"/>
          <w:sz w:val="24"/>
          <w:szCs w:val="24"/>
        </w:rPr>
        <w:t xml:space="preserve"> դիտարկվում են ազդեցության մեխանիզմի համար էական՝ կառուցվածքի տարրերը:</w:t>
      </w:r>
    </w:p>
    <w:p w14:paraId="54F4E330"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Հարկ է որոշել այն հարցերը, որոնք պատշաճ կերպով արտացոլված չեն դոսյեում </w:t>
      </w:r>
      <w:r w:rsidR="00C54D75">
        <w:rPr>
          <w:rFonts w:ascii="Sylfaen" w:hAnsi="Sylfaen"/>
          <w:sz w:val="24"/>
          <w:szCs w:val="24"/>
        </w:rPr>
        <w:t>և</w:t>
      </w:r>
      <w:r w:rsidRPr="003B2786">
        <w:rPr>
          <w:rFonts w:ascii="Sylfaen" w:hAnsi="Sylfaen"/>
          <w:sz w:val="24"/>
          <w:szCs w:val="24"/>
        </w:rPr>
        <w:t xml:space="preserve"> ենթակա են դիտարկման Դիտողությունների ցանկում (անհրաժեշտության դեպքում հղում կատարելով հարցի համարին): Որոշվում են կրիտիկական դիտողությունները: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1"/>
        <w:gridCol w:w="6279"/>
      </w:tblGrid>
      <w:tr w:rsidR="008C76E0" w:rsidRPr="003B2786" w14:paraId="1D029EA2" w14:textId="77777777" w:rsidTr="008C76E0">
        <w:trPr>
          <w:trHeight w:val="2832"/>
        </w:trPr>
        <w:tc>
          <w:tcPr>
            <w:tcW w:w="2796" w:type="dxa"/>
            <w:vMerge w:val="restart"/>
          </w:tcPr>
          <w:p w14:paraId="51BC9A41" w14:textId="77777777" w:rsidR="008C76E0" w:rsidRPr="003B2786" w:rsidRDefault="008C76E0" w:rsidP="008C76E0">
            <w:pPr>
              <w:spacing w:after="160" w:line="360" w:lineRule="auto"/>
              <w:ind w:right="-1"/>
              <w:jc w:val="both"/>
              <w:rPr>
                <w:rFonts w:ascii="Sylfaen" w:hAnsi="Sylfaen"/>
                <w:sz w:val="24"/>
                <w:szCs w:val="24"/>
                <w:lang w:val="en-US"/>
              </w:rPr>
            </w:pPr>
            <w:r w:rsidRPr="003B2786">
              <w:rPr>
                <w:rFonts w:ascii="Sylfaen" w:hAnsi="Sylfaen"/>
                <w:sz w:val="24"/>
                <w:szCs w:val="24"/>
              </w:rPr>
              <w:t>Ծանոթագրություններ.</w:t>
            </w:r>
          </w:p>
        </w:tc>
        <w:tc>
          <w:tcPr>
            <w:tcW w:w="6490" w:type="dxa"/>
          </w:tcPr>
          <w:p w14:paraId="4B768615" w14:textId="77777777" w:rsidR="008C76E0" w:rsidRPr="003B2786" w:rsidRDefault="008C76E0" w:rsidP="008C76E0">
            <w:pPr>
              <w:tabs>
                <w:tab w:val="left" w:pos="606"/>
              </w:tabs>
              <w:spacing w:after="160" w:line="360" w:lineRule="auto"/>
              <w:ind w:right="-1"/>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Հարկ է նշել, թե արդյոք ներկայացված են Եվրոպական դեղագրքի մենագրությանը համապատասխանության սերտիֆիկատը (СЕР) կամ ԱԴԲՄՖ-ն կամ ակտիվ դեղագործական բաղադրամասի մասին ամբողջական տեղեկատվությունը:</w:t>
            </w:r>
          </w:p>
        </w:tc>
      </w:tr>
      <w:tr w:rsidR="008C76E0" w:rsidRPr="003B2786" w14:paraId="0BA256CD" w14:textId="77777777" w:rsidTr="008C76E0">
        <w:trPr>
          <w:trHeight w:val="2934"/>
        </w:trPr>
        <w:tc>
          <w:tcPr>
            <w:tcW w:w="2796" w:type="dxa"/>
            <w:vMerge/>
          </w:tcPr>
          <w:p w14:paraId="088C7FE0" w14:textId="77777777" w:rsidR="008C76E0" w:rsidRPr="003B2786" w:rsidRDefault="008C76E0" w:rsidP="008C76E0">
            <w:pPr>
              <w:spacing w:after="160" w:line="360" w:lineRule="auto"/>
              <w:ind w:right="-1"/>
              <w:jc w:val="both"/>
              <w:rPr>
                <w:rFonts w:ascii="Sylfaen" w:hAnsi="Sylfaen"/>
                <w:sz w:val="24"/>
                <w:szCs w:val="24"/>
                <w:lang w:val="en-US"/>
              </w:rPr>
            </w:pPr>
          </w:p>
        </w:tc>
        <w:tc>
          <w:tcPr>
            <w:tcW w:w="6490" w:type="dxa"/>
          </w:tcPr>
          <w:p w14:paraId="111271BF" w14:textId="77777777" w:rsidR="008C76E0" w:rsidRPr="003B2786" w:rsidRDefault="008C76E0" w:rsidP="008C76E0">
            <w:pPr>
              <w:tabs>
                <w:tab w:val="left" w:pos="606"/>
              </w:tabs>
              <w:spacing w:after="160" w:line="360" w:lineRule="auto"/>
              <w:ind w:right="-1"/>
              <w:jc w:val="both"/>
              <w:rPr>
                <w:rFonts w:ascii="Sylfaen" w:hAnsi="Sylfaen"/>
                <w:sz w:val="24"/>
                <w:szCs w:val="24"/>
                <w:lang w:val="en-US"/>
              </w:rPr>
            </w:pPr>
            <w:r w:rsidRPr="003B2786">
              <w:rPr>
                <w:rFonts w:ascii="Sylfaen" w:hAnsi="Sylfaen"/>
                <w:sz w:val="24"/>
                <w:szCs w:val="24"/>
              </w:rPr>
              <w:t>2.</w:t>
            </w:r>
            <w:r w:rsidRPr="003B2786">
              <w:rPr>
                <w:rFonts w:ascii="Sylfaen" w:hAnsi="Sylfaen"/>
                <w:sz w:val="24"/>
                <w:szCs w:val="24"/>
              </w:rPr>
              <w:tab/>
              <w:t>ԱԴԲՄՖ-ն օգտագործելիս հարկ է նշել, որ դրա փորձաքննության արդյունքները ներկայացվում են ԱԴԲՄՖ-ի կրիտիկական գնահատականի վերաբերյալ առանձին փորձագիտական հաշվետվությամբ՝ փաստաթղթի փակ մասի գաղտնի հավելվածով:</w:t>
            </w:r>
          </w:p>
        </w:tc>
      </w:tr>
      <w:tr w:rsidR="008C76E0" w:rsidRPr="003B2786" w14:paraId="3B52DA62" w14:textId="77777777" w:rsidTr="008C76E0">
        <w:trPr>
          <w:trHeight w:val="1798"/>
        </w:trPr>
        <w:tc>
          <w:tcPr>
            <w:tcW w:w="2796" w:type="dxa"/>
            <w:vMerge/>
          </w:tcPr>
          <w:p w14:paraId="6DE8A29A" w14:textId="77777777" w:rsidR="008C76E0" w:rsidRPr="003B2786" w:rsidRDefault="008C76E0" w:rsidP="008C76E0">
            <w:pPr>
              <w:spacing w:after="160" w:line="360" w:lineRule="auto"/>
              <w:ind w:right="-1"/>
              <w:jc w:val="both"/>
              <w:rPr>
                <w:rFonts w:ascii="Sylfaen" w:hAnsi="Sylfaen"/>
                <w:sz w:val="24"/>
                <w:szCs w:val="24"/>
                <w:lang w:val="en-US"/>
              </w:rPr>
            </w:pPr>
          </w:p>
        </w:tc>
        <w:tc>
          <w:tcPr>
            <w:tcW w:w="6490" w:type="dxa"/>
          </w:tcPr>
          <w:p w14:paraId="10B2EDA0" w14:textId="77777777"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Դոսյեում մի քանի ԱԴԲՄՖ-ների մասով տեղեկությունների առկայության դեպքում յուրաքանչյուր ԱԴԲՄՖ-ի համար ներկայացվում է առանձին հաշվետվություն:</w:t>
            </w:r>
          </w:p>
        </w:tc>
      </w:tr>
      <w:tr w:rsidR="008C76E0" w:rsidRPr="003B2786" w14:paraId="79942236" w14:textId="77777777" w:rsidTr="008C76E0">
        <w:trPr>
          <w:trHeight w:val="141"/>
        </w:trPr>
        <w:tc>
          <w:tcPr>
            <w:tcW w:w="2796" w:type="dxa"/>
            <w:vMerge/>
          </w:tcPr>
          <w:p w14:paraId="7490B179" w14:textId="77777777" w:rsidR="008C76E0" w:rsidRPr="006E0DA4" w:rsidRDefault="008C76E0" w:rsidP="008C76E0">
            <w:pPr>
              <w:spacing w:after="160" w:line="360" w:lineRule="auto"/>
              <w:ind w:right="-1"/>
              <w:jc w:val="both"/>
              <w:rPr>
                <w:rFonts w:ascii="Sylfaen" w:hAnsi="Sylfaen"/>
                <w:sz w:val="24"/>
                <w:szCs w:val="24"/>
              </w:rPr>
            </w:pPr>
          </w:p>
        </w:tc>
        <w:tc>
          <w:tcPr>
            <w:tcW w:w="6490" w:type="dxa"/>
          </w:tcPr>
          <w:p w14:paraId="6DF560EC" w14:textId="77777777"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Դիտարկվող դեղապատրաստուկի մասով անհրաժեշտ է բերել տեղեկություններ՝ գաղտնի տեղեկատվությանը հասանելիությունը թույլատրելու վերաբերյալ:</w:t>
            </w:r>
          </w:p>
        </w:tc>
      </w:tr>
      <w:tr w:rsidR="008C76E0" w:rsidRPr="003B2786" w14:paraId="7D435006" w14:textId="77777777" w:rsidTr="008C76E0">
        <w:trPr>
          <w:trHeight w:val="141"/>
        </w:trPr>
        <w:tc>
          <w:tcPr>
            <w:tcW w:w="2796" w:type="dxa"/>
            <w:vMerge/>
          </w:tcPr>
          <w:p w14:paraId="42F161C9"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414132B6" w14:textId="23D15D94"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 xml:space="preserve">СЕР-ը </w:t>
            </w:r>
            <w:r w:rsidR="00C54D75">
              <w:rPr>
                <w:rFonts w:ascii="Sylfaen" w:hAnsi="Sylfaen"/>
                <w:sz w:val="24"/>
                <w:szCs w:val="24"/>
              </w:rPr>
              <w:t>և</w:t>
            </w:r>
            <w:r w:rsidRPr="003B2786">
              <w:rPr>
                <w:rFonts w:ascii="Sylfaen" w:hAnsi="Sylfaen"/>
                <w:sz w:val="24"/>
                <w:szCs w:val="24"/>
              </w:rPr>
              <w:t xml:space="preserve"> ԱԴԲՄՖ-ն օգտագործելիս անհրաժեշտ է լրացնել միայն հաշվետվության 3.4 «Ակտիվ դեղագործական բաղադրամասի որակի հսկողություն» </w:t>
            </w:r>
            <w:r w:rsidR="00C54D75">
              <w:rPr>
                <w:rFonts w:ascii="Sylfaen" w:hAnsi="Sylfaen"/>
                <w:sz w:val="24"/>
                <w:szCs w:val="24"/>
              </w:rPr>
              <w:t>և</w:t>
            </w:r>
            <w:r w:rsidRPr="003B2786">
              <w:rPr>
                <w:rFonts w:ascii="Sylfaen" w:hAnsi="Sylfaen"/>
                <w:sz w:val="24"/>
                <w:szCs w:val="24"/>
              </w:rPr>
              <w:t xml:space="preserve"> 3.5 «Ստանդարտ նմուշներ կամ նյութեր» բաժինները, որոնք կապված են դեղապատրաստուկի արտադրության հետ, եթե </w:t>
            </w:r>
            <w:r w:rsidR="0056496B">
              <w:rPr>
                <w:rFonts w:ascii="Sylfaen" w:hAnsi="Sylfaen"/>
                <w:sz w:val="24"/>
                <w:szCs w:val="24"/>
              </w:rPr>
              <w:t>դիմումատու</w:t>
            </w:r>
            <w:r w:rsidRPr="003B2786">
              <w:rPr>
                <w:rFonts w:ascii="Sylfaen" w:hAnsi="Sylfaen"/>
                <w:sz w:val="24"/>
                <w:szCs w:val="24"/>
              </w:rPr>
              <w:t>ն չի տրամադրել լրացուցիչ տվյալներ, մասնավորապես՝ 3.2.S.7 բաժնին համապատասխան, կրկնակի փորձարկման ավելի երկարատ</w:t>
            </w:r>
            <w:r w:rsidR="00C54D75">
              <w:rPr>
                <w:rFonts w:ascii="Sylfaen" w:hAnsi="Sylfaen"/>
                <w:sz w:val="24"/>
                <w:szCs w:val="24"/>
              </w:rPr>
              <w:t>և</w:t>
            </w:r>
            <w:r w:rsidRPr="003B2786">
              <w:rPr>
                <w:rFonts w:ascii="Sylfaen" w:hAnsi="Sylfaen"/>
                <w:sz w:val="24"/>
                <w:szCs w:val="24"/>
              </w:rPr>
              <w:t xml:space="preserve"> ժամանակահատվածի հաստատման համար կայունության մասին տվյալներ:</w:t>
            </w:r>
          </w:p>
        </w:tc>
      </w:tr>
      <w:tr w:rsidR="008C76E0" w:rsidRPr="003B2786" w14:paraId="565C55AE" w14:textId="77777777" w:rsidTr="008C76E0">
        <w:trPr>
          <w:trHeight w:val="141"/>
        </w:trPr>
        <w:tc>
          <w:tcPr>
            <w:tcW w:w="2796" w:type="dxa"/>
            <w:vMerge/>
          </w:tcPr>
          <w:p w14:paraId="1A61E334"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38560075" w14:textId="3B633978"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 xml:space="preserve">ԱԴԲՄՖ հաշվետվությունների փակ մասի վերաբերյալ հարցերը ուղարկվում են ոչ թե </w:t>
            </w:r>
            <w:r w:rsidR="0056496B">
              <w:rPr>
                <w:rFonts w:ascii="Sylfaen" w:hAnsi="Sylfaen"/>
                <w:sz w:val="24"/>
                <w:szCs w:val="24"/>
              </w:rPr>
              <w:t>դիմումատու</w:t>
            </w:r>
            <w:r w:rsidRPr="003B2786">
              <w:rPr>
                <w:rFonts w:ascii="Sylfaen" w:hAnsi="Sylfaen"/>
                <w:sz w:val="24"/>
                <w:szCs w:val="24"/>
              </w:rPr>
              <w:t>ին, այլ միայն ակտիվ դեղագործական բաղադրամասի համապատասխան արտադրողին (ԱԴԲՄՖ-ի իրավատիրոջը):</w:t>
            </w:r>
          </w:p>
        </w:tc>
      </w:tr>
      <w:tr w:rsidR="008C76E0" w:rsidRPr="003B2786" w14:paraId="33F6F50D" w14:textId="77777777" w:rsidTr="008C76E0">
        <w:trPr>
          <w:trHeight w:val="141"/>
        </w:trPr>
        <w:tc>
          <w:tcPr>
            <w:tcW w:w="2796" w:type="dxa"/>
            <w:vMerge/>
          </w:tcPr>
          <w:p w14:paraId="2F4FD17F"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2424D473" w14:textId="6EEEF865"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 xml:space="preserve">СЕР-ը </w:t>
            </w:r>
            <w:r w:rsidR="00C54D75">
              <w:rPr>
                <w:rFonts w:ascii="Sylfaen" w:hAnsi="Sylfaen"/>
                <w:sz w:val="24"/>
                <w:szCs w:val="24"/>
              </w:rPr>
              <w:t>և</w:t>
            </w:r>
            <w:r w:rsidRPr="003B2786">
              <w:rPr>
                <w:rFonts w:ascii="Sylfaen" w:hAnsi="Sylfaen"/>
                <w:sz w:val="24"/>
                <w:szCs w:val="24"/>
              </w:rPr>
              <w:t xml:space="preserve"> ԱԴԲՄՖ-ն օգտագործելիս հարկ է ճշտել աղբյուրը (</w:t>
            </w:r>
            <w:r w:rsidR="0056496B">
              <w:rPr>
                <w:rFonts w:ascii="Sylfaen" w:hAnsi="Sylfaen"/>
                <w:sz w:val="24"/>
                <w:szCs w:val="24"/>
              </w:rPr>
              <w:t>դիմումատու</w:t>
            </w:r>
            <w:r w:rsidRPr="003B2786">
              <w:rPr>
                <w:rFonts w:ascii="Sylfaen" w:hAnsi="Sylfaen"/>
                <w:sz w:val="24"/>
                <w:szCs w:val="24"/>
              </w:rPr>
              <w:t xml:space="preserve">ն, ԱԴԲՄՖ-ի իրավատերը կամ СЕР-ի իրավատերը) </w:t>
            </w:r>
            <w:r w:rsidR="00C54D75">
              <w:rPr>
                <w:rFonts w:ascii="Sylfaen" w:hAnsi="Sylfaen"/>
                <w:sz w:val="24"/>
                <w:szCs w:val="24"/>
              </w:rPr>
              <w:t>և</w:t>
            </w:r>
            <w:r w:rsidRPr="003B2786">
              <w:rPr>
                <w:rFonts w:ascii="Sylfaen" w:hAnsi="Sylfaen"/>
                <w:sz w:val="24"/>
                <w:szCs w:val="24"/>
              </w:rPr>
              <w:t xml:space="preserve"> կրիտիկական գնահատականի մասին հաշվետվություն կազմելու համար տեղեկությունների մանրամասնեցման մակարդակը:</w:t>
            </w:r>
          </w:p>
        </w:tc>
      </w:tr>
      <w:tr w:rsidR="008C76E0" w:rsidRPr="003B2786" w14:paraId="21C548BD" w14:textId="77777777" w:rsidTr="008C76E0">
        <w:trPr>
          <w:trHeight w:val="4814"/>
        </w:trPr>
        <w:tc>
          <w:tcPr>
            <w:tcW w:w="2796" w:type="dxa"/>
            <w:vMerge/>
          </w:tcPr>
          <w:p w14:paraId="2423D32F" w14:textId="77777777" w:rsidR="008C76E0" w:rsidRPr="00C84ACF" w:rsidRDefault="008C76E0" w:rsidP="008C76E0">
            <w:pPr>
              <w:spacing w:after="160" w:line="360" w:lineRule="auto"/>
              <w:jc w:val="both"/>
              <w:rPr>
                <w:rFonts w:ascii="Sylfaen" w:hAnsi="Sylfaen"/>
                <w:sz w:val="24"/>
                <w:szCs w:val="24"/>
              </w:rPr>
            </w:pPr>
          </w:p>
        </w:tc>
        <w:tc>
          <w:tcPr>
            <w:tcW w:w="6490" w:type="dxa"/>
          </w:tcPr>
          <w:p w14:paraId="0D69754A" w14:textId="1A1C868C" w:rsidR="008C76E0" w:rsidRPr="003B2786" w:rsidRDefault="008C76E0" w:rsidP="008C76E0">
            <w:pPr>
              <w:tabs>
                <w:tab w:val="left" w:pos="606"/>
              </w:tabs>
              <w:spacing w:after="160" w:line="360" w:lineRule="auto"/>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Ակտիվ դեղագործական բաղադրամասի որակի գնահատումը սույն հաշվետվության մեջ պետք է նա</w:t>
            </w:r>
            <w:r w:rsidR="00C54D75">
              <w:rPr>
                <w:rFonts w:ascii="Sylfaen" w:hAnsi="Sylfaen"/>
                <w:sz w:val="24"/>
                <w:szCs w:val="24"/>
              </w:rPr>
              <w:t>և</w:t>
            </w:r>
            <w:r w:rsidRPr="003B2786">
              <w:rPr>
                <w:rFonts w:ascii="Sylfaen" w:hAnsi="Sylfaen"/>
                <w:sz w:val="24"/>
                <w:szCs w:val="24"/>
              </w:rPr>
              <w:t xml:space="preserve"> արտացոլի </w:t>
            </w:r>
            <w:r w:rsidR="0056496B">
              <w:rPr>
                <w:rFonts w:ascii="Sylfaen" w:hAnsi="Sylfaen"/>
                <w:sz w:val="24"/>
                <w:szCs w:val="24"/>
              </w:rPr>
              <w:t>դիմումատու</w:t>
            </w:r>
            <w:r w:rsidRPr="003B2786">
              <w:rPr>
                <w:rFonts w:ascii="Sylfaen" w:hAnsi="Sylfaen"/>
                <w:sz w:val="24"/>
                <w:szCs w:val="24"/>
              </w:rPr>
              <w:t xml:space="preserve">ի կողմից ներկայացված լրացուցիչ տեղեկատվությունը, որը ներառված չէ ԱԴԲՄՖ-ի իրավատիրոջ կողմից ներկայացվող փաստաթղթի բաց մասում: Եթե </w:t>
            </w:r>
            <w:r w:rsidR="0056496B">
              <w:rPr>
                <w:rFonts w:ascii="Sylfaen" w:hAnsi="Sylfaen"/>
                <w:sz w:val="24"/>
                <w:szCs w:val="24"/>
              </w:rPr>
              <w:t>դիմումատու</w:t>
            </w:r>
            <w:r w:rsidRPr="003B2786">
              <w:rPr>
                <w:rFonts w:ascii="Sylfaen" w:hAnsi="Sylfaen"/>
                <w:sz w:val="24"/>
                <w:szCs w:val="24"/>
              </w:rPr>
              <w:t>ն ակտիվ դեղագործական բաղադրամասի մասին ներկայացնում է ամբողջական տեղեկատվություն, հաշվետվության մեջ պետք է ներառվի այդ տեղեկատվության գնահատականը:</w:t>
            </w:r>
          </w:p>
        </w:tc>
      </w:tr>
    </w:tbl>
    <w:p w14:paraId="28843E9F" w14:textId="77777777" w:rsidR="008C76E0" w:rsidRPr="003B2786" w:rsidRDefault="008C76E0" w:rsidP="008C76E0">
      <w:pPr>
        <w:ind w:left="1560"/>
        <w:jc w:val="both"/>
        <w:rPr>
          <w:rFonts w:ascii="Sylfaen" w:hAnsi="Sylfaen"/>
          <w:sz w:val="24"/>
          <w:szCs w:val="24"/>
        </w:rPr>
      </w:pPr>
    </w:p>
    <w:tbl>
      <w:tblPr>
        <w:tblOverlap w:val="never"/>
        <w:tblW w:w="9433" w:type="dxa"/>
        <w:jc w:val="center"/>
        <w:tblLayout w:type="fixed"/>
        <w:tblCellMar>
          <w:left w:w="10" w:type="dxa"/>
          <w:right w:w="10" w:type="dxa"/>
        </w:tblCellMar>
        <w:tblLook w:val="04A0" w:firstRow="1" w:lastRow="0" w:firstColumn="1" w:lastColumn="0" w:noHBand="0" w:noVBand="1"/>
      </w:tblPr>
      <w:tblGrid>
        <w:gridCol w:w="6684"/>
        <w:gridCol w:w="2749"/>
      </w:tblGrid>
      <w:tr w:rsidR="008C76E0" w:rsidRPr="003B2786" w14:paraId="1B4C9D4E" w14:textId="77777777" w:rsidTr="008C76E0">
        <w:trPr>
          <w:trHeight w:val="456"/>
          <w:jc w:val="center"/>
        </w:trPr>
        <w:tc>
          <w:tcPr>
            <w:tcW w:w="9433" w:type="dxa"/>
            <w:gridSpan w:val="2"/>
            <w:shd w:val="clear" w:color="auto" w:fill="FFFFFF"/>
          </w:tcPr>
          <w:p w14:paraId="746329EF"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Տեղեկատվություն ԱԴԲ-ի անվանման մասին (մոդուլ S.1.1)</w:t>
            </w:r>
          </w:p>
        </w:tc>
      </w:tr>
      <w:tr w:rsidR="008C76E0" w:rsidRPr="003B2786" w14:paraId="568E48B7" w14:textId="77777777" w:rsidTr="008C76E0">
        <w:trPr>
          <w:trHeight w:val="456"/>
          <w:jc w:val="center"/>
        </w:trPr>
        <w:tc>
          <w:tcPr>
            <w:tcW w:w="6684" w:type="dxa"/>
            <w:tcBorders>
              <w:top w:val="single" w:sz="4" w:space="0" w:color="auto"/>
              <w:left w:val="single" w:sz="4" w:space="0" w:color="auto"/>
            </w:tcBorders>
            <w:shd w:val="clear" w:color="auto" w:fill="FFFFFF"/>
          </w:tcPr>
          <w:p w14:paraId="653B66F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Միջազգային չարտոնագրված անվանումը (ՄՉԱ)</w:t>
            </w:r>
          </w:p>
        </w:tc>
        <w:tc>
          <w:tcPr>
            <w:tcW w:w="2749" w:type="dxa"/>
            <w:tcBorders>
              <w:top w:val="single" w:sz="4" w:space="0" w:color="auto"/>
              <w:right w:val="single" w:sz="4" w:space="0" w:color="auto"/>
            </w:tcBorders>
            <w:shd w:val="clear" w:color="auto" w:fill="FFFFFF"/>
          </w:tcPr>
          <w:p w14:paraId="32EA035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F800EDD" w14:textId="77777777" w:rsidTr="008C76E0">
        <w:trPr>
          <w:trHeight w:val="456"/>
          <w:jc w:val="center"/>
        </w:trPr>
        <w:tc>
          <w:tcPr>
            <w:tcW w:w="6684" w:type="dxa"/>
            <w:tcBorders>
              <w:top w:val="single" w:sz="4" w:space="0" w:color="auto"/>
              <w:left w:val="single" w:sz="4" w:space="0" w:color="auto"/>
            </w:tcBorders>
            <w:shd w:val="clear" w:color="auto" w:fill="FFFFFF"/>
          </w:tcPr>
          <w:p w14:paraId="2B886BD9"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Քիմիական անվանումը</w:t>
            </w:r>
          </w:p>
        </w:tc>
        <w:tc>
          <w:tcPr>
            <w:tcW w:w="2749" w:type="dxa"/>
            <w:tcBorders>
              <w:top w:val="single" w:sz="4" w:space="0" w:color="auto"/>
              <w:right w:val="single" w:sz="4" w:space="0" w:color="auto"/>
            </w:tcBorders>
            <w:shd w:val="clear" w:color="auto" w:fill="FFFFFF"/>
          </w:tcPr>
          <w:p w14:paraId="2B9E35B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43E8EE0" w14:textId="77777777" w:rsidTr="008C76E0">
        <w:trPr>
          <w:trHeight w:val="443"/>
          <w:jc w:val="center"/>
        </w:trPr>
        <w:tc>
          <w:tcPr>
            <w:tcW w:w="6684" w:type="dxa"/>
            <w:tcBorders>
              <w:top w:val="single" w:sz="4" w:space="0" w:color="auto"/>
              <w:left w:val="single" w:sz="4" w:space="0" w:color="auto"/>
            </w:tcBorders>
            <w:shd w:val="clear" w:color="auto" w:fill="FFFFFF"/>
          </w:tcPr>
          <w:p w14:paraId="1EC71C83"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Այլ անվանում (եթե կիրառելի է)</w:t>
            </w:r>
          </w:p>
        </w:tc>
        <w:tc>
          <w:tcPr>
            <w:tcW w:w="2749" w:type="dxa"/>
            <w:tcBorders>
              <w:top w:val="single" w:sz="4" w:space="0" w:color="auto"/>
              <w:right w:val="single" w:sz="4" w:space="0" w:color="auto"/>
            </w:tcBorders>
            <w:shd w:val="clear" w:color="auto" w:fill="FFFFFF"/>
          </w:tcPr>
          <w:p w14:paraId="579D9A8A"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7168E0A" w14:textId="77777777" w:rsidTr="008C76E0">
        <w:trPr>
          <w:trHeight w:val="443"/>
          <w:jc w:val="center"/>
        </w:trPr>
        <w:tc>
          <w:tcPr>
            <w:tcW w:w="6684" w:type="dxa"/>
            <w:tcBorders>
              <w:top w:val="single" w:sz="4" w:space="0" w:color="auto"/>
              <w:left w:val="single" w:sz="4" w:space="0" w:color="auto"/>
            </w:tcBorders>
            <w:shd w:val="clear" w:color="auto" w:fill="FFFFFF"/>
          </w:tcPr>
          <w:p w14:paraId="7EFC130B"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 xml:space="preserve">Անվանումն ըստ IUPAC անվանացանկի </w:t>
            </w:r>
          </w:p>
        </w:tc>
        <w:tc>
          <w:tcPr>
            <w:tcW w:w="2749" w:type="dxa"/>
            <w:tcBorders>
              <w:top w:val="single" w:sz="4" w:space="0" w:color="auto"/>
              <w:right w:val="single" w:sz="4" w:space="0" w:color="auto"/>
            </w:tcBorders>
            <w:shd w:val="clear" w:color="auto" w:fill="FFFFFF"/>
          </w:tcPr>
          <w:p w14:paraId="27738DE0"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701ACA9" w14:textId="77777777" w:rsidTr="008C76E0">
        <w:trPr>
          <w:trHeight w:val="456"/>
          <w:jc w:val="center"/>
        </w:trPr>
        <w:tc>
          <w:tcPr>
            <w:tcW w:w="6684" w:type="dxa"/>
            <w:tcBorders>
              <w:top w:val="single" w:sz="4" w:space="0" w:color="auto"/>
              <w:left w:val="single" w:sz="4" w:space="0" w:color="auto"/>
            </w:tcBorders>
            <w:shd w:val="clear" w:color="auto" w:fill="FFFFFF"/>
          </w:tcPr>
          <w:p w14:paraId="5753C9E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САS-համարը</w:t>
            </w:r>
          </w:p>
        </w:tc>
        <w:tc>
          <w:tcPr>
            <w:tcW w:w="2749" w:type="dxa"/>
            <w:tcBorders>
              <w:top w:val="single" w:sz="4" w:space="0" w:color="auto"/>
              <w:right w:val="single" w:sz="4" w:space="0" w:color="auto"/>
            </w:tcBorders>
            <w:shd w:val="clear" w:color="auto" w:fill="FFFFFF"/>
          </w:tcPr>
          <w:p w14:paraId="4476A76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70A93E6" w14:textId="77777777" w:rsidTr="008C76E0">
        <w:trPr>
          <w:trHeight w:val="456"/>
          <w:jc w:val="center"/>
        </w:trPr>
        <w:tc>
          <w:tcPr>
            <w:tcW w:w="6684" w:type="dxa"/>
            <w:tcBorders>
              <w:top w:val="single" w:sz="4" w:space="0" w:color="auto"/>
              <w:left w:val="single" w:sz="4" w:space="0" w:color="auto"/>
            </w:tcBorders>
            <w:shd w:val="clear" w:color="auto" w:fill="FFFFFF"/>
          </w:tcPr>
          <w:p w14:paraId="36497B61"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Լաբորատոր ծածկագիրը</w:t>
            </w:r>
          </w:p>
        </w:tc>
        <w:tc>
          <w:tcPr>
            <w:tcW w:w="2749" w:type="dxa"/>
            <w:tcBorders>
              <w:top w:val="single" w:sz="4" w:space="0" w:color="auto"/>
              <w:right w:val="single" w:sz="4" w:space="0" w:color="auto"/>
            </w:tcBorders>
            <w:shd w:val="clear" w:color="auto" w:fill="FFFFFF"/>
          </w:tcPr>
          <w:p w14:paraId="3C0F039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625BECF" w14:textId="77777777" w:rsidTr="008C76E0">
        <w:trPr>
          <w:trHeight w:val="456"/>
          <w:jc w:val="center"/>
        </w:trPr>
        <w:tc>
          <w:tcPr>
            <w:tcW w:w="6684" w:type="dxa"/>
            <w:tcBorders>
              <w:top w:val="single" w:sz="4" w:space="0" w:color="auto"/>
              <w:left w:val="single" w:sz="4" w:space="0" w:color="auto"/>
            </w:tcBorders>
            <w:shd w:val="clear" w:color="auto" w:fill="FFFFFF"/>
          </w:tcPr>
          <w:p w14:paraId="5BD8AD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Մոլեկուլային բանաձ</w:t>
            </w:r>
            <w:r w:rsidR="00C54D75">
              <w:rPr>
                <w:rStyle w:val="Bodytext1811pt"/>
                <w:rFonts w:ascii="Sylfaen" w:hAnsi="Sylfaen"/>
                <w:sz w:val="24"/>
                <w:szCs w:val="24"/>
              </w:rPr>
              <w:t>և</w:t>
            </w:r>
            <w:r w:rsidRPr="003B2786">
              <w:rPr>
                <w:rStyle w:val="Bodytext1811pt"/>
                <w:rFonts w:ascii="Sylfaen" w:hAnsi="Sylfaen"/>
                <w:sz w:val="24"/>
                <w:szCs w:val="24"/>
              </w:rPr>
              <w:t>ը</w:t>
            </w:r>
          </w:p>
        </w:tc>
        <w:tc>
          <w:tcPr>
            <w:tcW w:w="2749" w:type="dxa"/>
            <w:tcBorders>
              <w:top w:val="single" w:sz="4" w:space="0" w:color="auto"/>
              <w:right w:val="single" w:sz="4" w:space="0" w:color="auto"/>
            </w:tcBorders>
            <w:shd w:val="clear" w:color="auto" w:fill="FFFFFF"/>
          </w:tcPr>
          <w:p w14:paraId="228BBED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4EF76E4" w14:textId="77777777" w:rsidTr="008C76E0">
        <w:trPr>
          <w:trHeight w:val="443"/>
          <w:jc w:val="center"/>
        </w:trPr>
        <w:tc>
          <w:tcPr>
            <w:tcW w:w="6684" w:type="dxa"/>
            <w:tcBorders>
              <w:top w:val="single" w:sz="4" w:space="0" w:color="auto"/>
              <w:left w:val="single" w:sz="4" w:space="0" w:color="auto"/>
            </w:tcBorders>
            <w:shd w:val="clear" w:color="auto" w:fill="FFFFFF"/>
          </w:tcPr>
          <w:p w14:paraId="5115F094"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Հարաբերական մոլեկուլային զանգվածը</w:t>
            </w:r>
          </w:p>
        </w:tc>
        <w:tc>
          <w:tcPr>
            <w:tcW w:w="2749" w:type="dxa"/>
            <w:tcBorders>
              <w:top w:val="single" w:sz="4" w:space="0" w:color="auto"/>
              <w:right w:val="single" w:sz="4" w:space="0" w:color="auto"/>
            </w:tcBorders>
            <w:shd w:val="clear" w:color="auto" w:fill="FFFFFF"/>
          </w:tcPr>
          <w:p w14:paraId="51BB2E6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72496DB" w14:textId="77777777" w:rsidTr="008C76E0">
        <w:trPr>
          <w:trHeight w:val="899"/>
          <w:jc w:val="center"/>
        </w:trPr>
        <w:tc>
          <w:tcPr>
            <w:tcW w:w="9433" w:type="dxa"/>
            <w:gridSpan w:val="2"/>
            <w:tcBorders>
              <w:top w:val="single" w:sz="4" w:space="0" w:color="auto"/>
            </w:tcBorders>
            <w:shd w:val="clear" w:color="auto" w:fill="FFFFFF"/>
            <w:vAlign w:val="center"/>
          </w:tcPr>
          <w:p w14:paraId="41B0C406"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ԱԴԲ-ի կառուցվածքը (մոդուլ S.1.2)՝</w:t>
            </w:r>
          </w:p>
          <w:p w14:paraId="355CE0B0"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ԱԴԲ-ի ընդհանուր հատկությունները (մոդուլ S.1.3)</w:t>
            </w:r>
          </w:p>
        </w:tc>
      </w:tr>
      <w:tr w:rsidR="008C76E0" w:rsidRPr="003B2786" w14:paraId="646C7C94" w14:textId="77777777" w:rsidTr="008C76E0">
        <w:trPr>
          <w:trHeight w:val="640"/>
          <w:jc w:val="center"/>
        </w:trPr>
        <w:tc>
          <w:tcPr>
            <w:tcW w:w="6684" w:type="dxa"/>
            <w:tcBorders>
              <w:top w:val="single" w:sz="4" w:space="0" w:color="auto"/>
              <w:left w:val="single" w:sz="4" w:space="0" w:color="auto"/>
            </w:tcBorders>
            <w:shd w:val="clear" w:color="auto" w:fill="FFFFFF"/>
          </w:tcPr>
          <w:p w14:paraId="61BC1E02"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Ֆիզիկական բնութագրերը</w:t>
            </w:r>
          </w:p>
        </w:tc>
        <w:tc>
          <w:tcPr>
            <w:tcW w:w="2749" w:type="dxa"/>
            <w:tcBorders>
              <w:top w:val="single" w:sz="4" w:space="0" w:color="auto"/>
              <w:left w:val="single" w:sz="4" w:space="0" w:color="auto"/>
              <w:right w:val="single" w:sz="4" w:space="0" w:color="auto"/>
            </w:tcBorders>
            <w:shd w:val="clear" w:color="auto" w:fill="FFFFFF"/>
          </w:tcPr>
          <w:p w14:paraId="08D8136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39176A9" w14:textId="77777777" w:rsidTr="008C76E0">
        <w:trPr>
          <w:trHeight w:val="641"/>
          <w:jc w:val="center"/>
        </w:trPr>
        <w:tc>
          <w:tcPr>
            <w:tcW w:w="6684" w:type="dxa"/>
            <w:tcBorders>
              <w:top w:val="single" w:sz="4" w:space="0" w:color="auto"/>
              <w:left w:val="single" w:sz="4" w:space="0" w:color="auto"/>
            </w:tcBorders>
            <w:shd w:val="clear" w:color="auto" w:fill="FFFFFF"/>
          </w:tcPr>
          <w:p w14:paraId="30F41BC6"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Լուծելիությունը</w:t>
            </w:r>
          </w:p>
        </w:tc>
        <w:tc>
          <w:tcPr>
            <w:tcW w:w="2749" w:type="dxa"/>
            <w:tcBorders>
              <w:top w:val="single" w:sz="4" w:space="0" w:color="auto"/>
              <w:left w:val="single" w:sz="4" w:space="0" w:color="auto"/>
              <w:right w:val="single" w:sz="4" w:space="0" w:color="auto"/>
            </w:tcBorders>
            <w:shd w:val="clear" w:color="auto" w:fill="FFFFFF"/>
          </w:tcPr>
          <w:p w14:paraId="1FDA44E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F9C6C4D" w14:textId="77777777" w:rsidTr="008C76E0">
        <w:trPr>
          <w:trHeight w:val="669"/>
          <w:jc w:val="center"/>
        </w:trPr>
        <w:tc>
          <w:tcPr>
            <w:tcW w:w="6684" w:type="dxa"/>
            <w:tcBorders>
              <w:top w:val="single" w:sz="4" w:space="0" w:color="auto"/>
              <w:left w:val="single" w:sz="4" w:space="0" w:color="auto"/>
            </w:tcBorders>
            <w:shd w:val="clear" w:color="auto" w:fill="FFFFFF"/>
          </w:tcPr>
          <w:p w14:paraId="4E81DBBA"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рКа-ի արժեքը (եթե հնարավոր է)</w:t>
            </w:r>
          </w:p>
        </w:tc>
        <w:tc>
          <w:tcPr>
            <w:tcW w:w="2749" w:type="dxa"/>
            <w:tcBorders>
              <w:top w:val="single" w:sz="4" w:space="0" w:color="auto"/>
              <w:left w:val="single" w:sz="4" w:space="0" w:color="auto"/>
              <w:right w:val="single" w:sz="4" w:space="0" w:color="auto"/>
            </w:tcBorders>
            <w:shd w:val="clear" w:color="auto" w:fill="FFFFFF"/>
          </w:tcPr>
          <w:p w14:paraId="66D7607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D8C789D" w14:textId="77777777" w:rsidTr="008C76E0">
        <w:trPr>
          <w:trHeight w:val="456"/>
          <w:jc w:val="center"/>
        </w:trPr>
        <w:tc>
          <w:tcPr>
            <w:tcW w:w="6684" w:type="dxa"/>
            <w:tcBorders>
              <w:top w:val="single" w:sz="4" w:space="0" w:color="auto"/>
              <w:left w:val="single" w:sz="4" w:space="0" w:color="auto"/>
            </w:tcBorders>
            <w:shd w:val="clear" w:color="auto" w:fill="FFFFFF"/>
          </w:tcPr>
          <w:p w14:paraId="5EF3B337"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рН լուծույթի արժեքը (եթե հնարավոր է)</w:t>
            </w:r>
          </w:p>
        </w:tc>
        <w:tc>
          <w:tcPr>
            <w:tcW w:w="2749" w:type="dxa"/>
            <w:tcBorders>
              <w:top w:val="single" w:sz="4" w:space="0" w:color="auto"/>
              <w:left w:val="single" w:sz="4" w:space="0" w:color="auto"/>
              <w:right w:val="single" w:sz="4" w:space="0" w:color="auto"/>
            </w:tcBorders>
            <w:shd w:val="clear" w:color="auto" w:fill="FFFFFF"/>
          </w:tcPr>
          <w:p w14:paraId="462F3EE4"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A5B0812" w14:textId="77777777" w:rsidTr="008C76E0">
        <w:trPr>
          <w:trHeight w:val="565"/>
          <w:jc w:val="center"/>
        </w:trPr>
        <w:tc>
          <w:tcPr>
            <w:tcW w:w="6684" w:type="dxa"/>
            <w:tcBorders>
              <w:top w:val="single" w:sz="4" w:space="0" w:color="auto"/>
              <w:left w:val="single" w:sz="4" w:space="0" w:color="auto"/>
            </w:tcBorders>
            <w:shd w:val="clear" w:color="auto" w:fill="FFFFFF"/>
          </w:tcPr>
          <w:p w14:paraId="30FBD2F6"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lastRenderedPageBreak/>
              <w:t>Հալման ջերմաստիճանը (պինդ նյութերի դեպքում)</w:t>
            </w:r>
          </w:p>
        </w:tc>
        <w:tc>
          <w:tcPr>
            <w:tcW w:w="2749" w:type="dxa"/>
            <w:tcBorders>
              <w:top w:val="single" w:sz="4" w:space="0" w:color="auto"/>
              <w:left w:val="single" w:sz="4" w:space="0" w:color="auto"/>
              <w:right w:val="single" w:sz="4" w:space="0" w:color="auto"/>
            </w:tcBorders>
            <w:shd w:val="clear" w:color="auto" w:fill="FFFFFF"/>
          </w:tcPr>
          <w:p w14:paraId="47D8FC7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F859DB9" w14:textId="77777777" w:rsidTr="008C76E0">
        <w:trPr>
          <w:trHeight w:val="456"/>
          <w:jc w:val="center"/>
        </w:trPr>
        <w:tc>
          <w:tcPr>
            <w:tcW w:w="6684" w:type="dxa"/>
            <w:tcBorders>
              <w:top w:val="single" w:sz="4" w:space="0" w:color="auto"/>
              <w:left w:val="single" w:sz="4" w:space="0" w:color="auto"/>
            </w:tcBorders>
            <w:shd w:val="clear" w:color="auto" w:fill="FFFFFF"/>
          </w:tcPr>
          <w:p w14:paraId="4151916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Տեղաբաշխման գործակիցը</w:t>
            </w:r>
          </w:p>
        </w:tc>
        <w:tc>
          <w:tcPr>
            <w:tcW w:w="2749" w:type="dxa"/>
            <w:tcBorders>
              <w:top w:val="single" w:sz="4" w:space="0" w:color="auto"/>
              <w:left w:val="single" w:sz="4" w:space="0" w:color="auto"/>
              <w:right w:val="single" w:sz="4" w:space="0" w:color="auto"/>
            </w:tcBorders>
            <w:shd w:val="clear" w:color="auto" w:fill="FFFFFF"/>
          </w:tcPr>
          <w:p w14:paraId="7142ECD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4C11399" w14:textId="77777777" w:rsidTr="008C76E0">
        <w:trPr>
          <w:trHeight w:val="443"/>
          <w:jc w:val="center"/>
        </w:trPr>
        <w:tc>
          <w:tcPr>
            <w:tcW w:w="6684" w:type="dxa"/>
            <w:tcBorders>
              <w:top w:val="single" w:sz="4" w:space="0" w:color="auto"/>
              <w:left w:val="single" w:sz="4" w:space="0" w:color="auto"/>
            </w:tcBorders>
            <w:shd w:val="clear" w:color="auto" w:fill="FFFFFF"/>
          </w:tcPr>
          <w:p w14:paraId="340087F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Հիգրոսկոպիկությունը</w:t>
            </w:r>
          </w:p>
        </w:tc>
        <w:tc>
          <w:tcPr>
            <w:tcW w:w="2749" w:type="dxa"/>
            <w:tcBorders>
              <w:top w:val="single" w:sz="4" w:space="0" w:color="auto"/>
              <w:left w:val="single" w:sz="4" w:space="0" w:color="auto"/>
              <w:right w:val="single" w:sz="4" w:space="0" w:color="auto"/>
            </w:tcBorders>
            <w:shd w:val="clear" w:color="auto" w:fill="FFFFFF"/>
          </w:tcPr>
          <w:p w14:paraId="136CECB2"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59F3130" w14:textId="77777777" w:rsidTr="008C76E0">
        <w:trPr>
          <w:trHeight w:val="443"/>
          <w:jc w:val="center"/>
        </w:trPr>
        <w:tc>
          <w:tcPr>
            <w:tcW w:w="6684" w:type="dxa"/>
            <w:tcBorders>
              <w:top w:val="single" w:sz="4" w:space="0" w:color="auto"/>
              <w:left w:val="single" w:sz="4" w:space="0" w:color="auto"/>
            </w:tcBorders>
            <w:shd w:val="clear" w:color="auto" w:fill="FFFFFF"/>
          </w:tcPr>
          <w:p w14:paraId="0E19B17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Տարածական քիմիան</w:t>
            </w:r>
          </w:p>
        </w:tc>
        <w:tc>
          <w:tcPr>
            <w:tcW w:w="2749" w:type="dxa"/>
            <w:tcBorders>
              <w:top w:val="single" w:sz="4" w:space="0" w:color="auto"/>
              <w:left w:val="single" w:sz="4" w:space="0" w:color="auto"/>
              <w:right w:val="single" w:sz="4" w:space="0" w:color="auto"/>
            </w:tcBorders>
            <w:shd w:val="clear" w:color="auto" w:fill="FFFFFF"/>
          </w:tcPr>
          <w:p w14:paraId="0ABB119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9027627" w14:textId="77777777" w:rsidTr="008C76E0">
        <w:trPr>
          <w:trHeight w:val="456"/>
          <w:jc w:val="center"/>
        </w:trPr>
        <w:tc>
          <w:tcPr>
            <w:tcW w:w="6684" w:type="dxa"/>
            <w:tcBorders>
              <w:top w:val="single" w:sz="4" w:space="0" w:color="auto"/>
              <w:left w:val="single" w:sz="4" w:space="0" w:color="auto"/>
            </w:tcBorders>
            <w:shd w:val="clear" w:color="auto" w:fill="FFFFFF"/>
          </w:tcPr>
          <w:p w14:paraId="072EDC0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Բազմաձ</w:t>
            </w:r>
            <w:r w:rsidR="00C54D75">
              <w:rPr>
                <w:rStyle w:val="Bodytext1811pt"/>
                <w:rFonts w:ascii="Sylfaen" w:hAnsi="Sylfaen"/>
                <w:sz w:val="24"/>
                <w:szCs w:val="24"/>
              </w:rPr>
              <w:t>և</w:t>
            </w:r>
            <w:r w:rsidRPr="003B2786">
              <w:rPr>
                <w:rStyle w:val="Bodytext1811pt"/>
                <w:rFonts w:ascii="Sylfaen" w:hAnsi="Sylfaen"/>
                <w:sz w:val="24"/>
                <w:szCs w:val="24"/>
              </w:rPr>
              <w:t>ությունը</w:t>
            </w:r>
          </w:p>
        </w:tc>
        <w:tc>
          <w:tcPr>
            <w:tcW w:w="2749" w:type="dxa"/>
            <w:tcBorders>
              <w:top w:val="single" w:sz="4" w:space="0" w:color="auto"/>
              <w:left w:val="single" w:sz="4" w:space="0" w:color="auto"/>
              <w:right w:val="single" w:sz="4" w:space="0" w:color="auto"/>
            </w:tcBorders>
            <w:shd w:val="clear" w:color="auto" w:fill="FFFFFF"/>
          </w:tcPr>
          <w:p w14:paraId="2BBBA700"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5C9640F" w14:textId="77777777" w:rsidTr="008C76E0">
        <w:trPr>
          <w:trHeight w:val="469"/>
          <w:jc w:val="center"/>
        </w:trPr>
        <w:tc>
          <w:tcPr>
            <w:tcW w:w="6684" w:type="dxa"/>
            <w:tcBorders>
              <w:top w:val="single" w:sz="4" w:space="0" w:color="auto"/>
              <w:left w:val="single" w:sz="4" w:space="0" w:color="auto"/>
              <w:bottom w:val="single" w:sz="4" w:space="0" w:color="auto"/>
            </w:tcBorders>
            <w:shd w:val="clear" w:color="auto" w:fill="FFFFFF"/>
          </w:tcPr>
          <w:p w14:paraId="4E7B9720"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Բյուրեղայնության աստիճանը (պինդ նյութերի դեպքում)</w:t>
            </w:r>
          </w:p>
        </w:tc>
        <w:tc>
          <w:tcPr>
            <w:tcW w:w="2749" w:type="dxa"/>
            <w:tcBorders>
              <w:top w:val="single" w:sz="4" w:space="0" w:color="auto"/>
              <w:left w:val="single" w:sz="4" w:space="0" w:color="auto"/>
              <w:bottom w:val="single" w:sz="4" w:space="0" w:color="auto"/>
              <w:right w:val="single" w:sz="4" w:space="0" w:color="auto"/>
            </w:tcBorders>
            <w:shd w:val="clear" w:color="auto" w:fill="FFFFFF"/>
          </w:tcPr>
          <w:p w14:paraId="7661821C" w14:textId="77777777" w:rsidR="008C76E0" w:rsidRPr="003B2786" w:rsidRDefault="008C76E0" w:rsidP="008C76E0">
            <w:pPr>
              <w:spacing w:after="120" w:line="240" w:lineRule="auto"/>
              <w:jc w:val="both"/>
              <w:rPr>
                <w:rFonts w:ascii="Sylfaen" w:hAnsi="Sylfaen"/>
                <w:sz w:val="24"/>
                <w:szCs w:val="24"/>
              </w:rPr>
            </w:pPr>
          </w:p>
        </w:tc>
      </w:tr>
    </w:tbl>
    <w:p w14:paraId="6A105EE6" w14:textId="77777777" w:rsidR="008C76E0" w:rsidRDefault="008C76E0" w:rsidP="008C76E0">
      <w:pPr>
        <w:ind w:left="567" w:right="565"/>
        <w:jc w:val="center"/>
        <w:outlineLvl w:val="0"/>
        <w:rPr>
          <w:rFonts w:ascii="Sylfaen" w:hAnsi="Sylfaen"/>
          <w:sz w:val="24"/>
          <w:szCs w:val="24"/>
        </w:rPr>
      </w:pPr>
    </w:p>
    <w:p w14:paraId="11159A63" w14:textId="77777777" w:rsidR="008C76E0" w:rsidRPr="003B2786" w:rsidRDefault="008C76E0" w:rsidP="00473371">
      <w:pPr>
        <w:tabs>
          <w:tab w:val="left" w:pos="1134"/>
        </w:tabs>
        <w:spacing w:after="160" w:line="360" w:lineRule="auto"/>
        <w:ind w:right="565" w:firstLine="567"/>
        <w:jc w:val="both"/>
        <w:outlineLvl w:val="0"/>
        <w:rPr>
          <w:rFonts w:ascii="Sylfaen" w:hAnsi="Sylfaen"/>
          <w:sz w:val="24"/>
          <w:szCs w:val="24"/>
        </w:rPr>
      </w:pPr>
      <w:r w:rsidRPr="003B2786">
        <w:rPr>
          <w:rFonts w:ascii="Sylfaen" w:hAnsi="Sylfaen"/>
          <w:sz w:val="24"/>
          <w:szCs w:val="24"/>
        </w:rPr>
        <w:t>3.2.</w:t>
      </w:r>
      <w:r>
        <w:rPr>
          <w:rFonts w:ascii="Sylfaen" w:hAnsi="Sylfaen"/>
          <w:sz w:val="24"/>
          <w:szCs w:val="24"/>
        </w:rPr>
        <w:tab/>
      </w:r>
      <w:r w:rsidRPr="003B2786">
        <w:rPr>
          <w:rFonts w:ascii="Sylfaen" w:hAnsi="Sylfaen"/>
          <w:sz w:val="24"/>
          <w:szCs w:val="24"/>
        </w:rPr>
        <w:t>ԱԴԲ-ի արտադրության պրոցեսը (մոդուլ 3.2.S.2)</w:t>
      </w:r>
    </w:p>
    <w:p w14:paraId="04D092F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այն տեղեկությունները, որոնք նշված են հետ</w:t>
      </w:r>
      <w:r w:rsidR="00C54D75">
        <w:rPr>
          <w:rFonts w:ascii="Sylfaen" w:hAnsi="Sylfaen"/>
          <w:sz w:val="24"/>
          <w:szCs w:val="24"/>
        </w:rPr>
        <w:t>և</w:t>
      </w:r>
      <w:r w:rsidRPr="003B2786">
        <w:rPr>
          <w:rFonts w:ascii="Sylfaen" w:hAnsi="Sylfaen"/>
          <w:sz w:val="24"/>
          <w:szCs w:val="24"/>
        </w:rPr>
        <w:t>յալ բաժիններում.</w:t>
      </w:r>
    </w:p>
    <w:p w14:paraId="50A3071D"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 (արտադրողներ)։</w:t>
      </w:r>
    </w:p>
    <w:p w14:paraId="1954C744"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646D4C79"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501BB6D1"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5241493D"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2DA396C8"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պրոցեսի մշակումը:</w:t>
      </w:r>
    </w:p>
    <w:p w14:paraId="77DC4687" w14:textId="07AC0322"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588A9B02"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Արտադրողները:</w:t>
      </w:r>
    </w:p>
    <w:p w14:paraId="5869803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նշել արտադրողի անվանումն ու երկիրը (ինչպես նա</w:t>
      </w:r>
      <w:r w:rsidR="00C54D75">
        <w:rPr>
          <w:rFonts w:ascii="Sylfaen" w:hAnsi="Sylfaen"/>
          <w:sz w:val="24"/>
          <w:szCs w:val="24"/>
        </w:rPr>
        <w:t>և</w:t>
      </w:r>
      <w:r w:rsidRPr="003B2786">
        <w:rPr>
          <w:rFonts w:ascii="Sylfaen" w:hAnsi="Sylfaen"/>
          <w:sz w:val="24"/>
          <w:szCs w:val="24"/>
        </w:rPr>
        <w:t xml:space="preserve"> գործարանի անվանումը, եթե կիրառելի է):</w:t>
      </w:r>
    </w:p>
    <w:p w14:paraId="62683AF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53ABA53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Բերվում է քիմիական սինթեզի սխեման, տեխնոլոգիական պրոցեսի սխեման (հնարավորության դեպքում նախընտրելի է հավելվածում ներկայացնելու փոխարեն տվյալ սխեման ներառել հաշվետվության մեջ)՝ նշելով կրիտիկական փուլերը:</w:t>
      </w:r>
    </w:p>
    <w:p w14:paraId="7AED4C39" w14:textId="7D1A455C"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Նա</w:t>
      </w:r>
      <w:r w:rsidR="00C54D75">
        <w:rPr>
          <w:rFonts w:ascii="Sylfaen" w:hAnsi="Sylfaen"/>
          <w:sz w:val="24"/>
          <w:szCs w:val="24"/>
        </w:rPr>
        <w:t>և</w:t>
      </w:r>
      <w:r w:rsidRPr="003B2786">
        <w:rPr>
          <w:rFonts w:ascii="Sylfaen" w:hAnsi="Sylfaen"/>
          <w:sz w:val="24"/>
          <w:szCs w:val="24"/>
        </w:rPr>
        <w:t xml:space="preserve"> նշվում է արդյունաբերական սերիայի </w:t>
      </w:r>
      <w:r w:rsidR="001A5F1A">
        <w:rPr>
          <w:rFonts w:ascii="Sylfaen" w:hAnsi="Sylfaen"/>
          <w:sz w:val="24"/>
          <w:szCs w:val="24"/>
        </w:rPr>
        <w:t>հայտագրված</w:t>
      </w:r>
      <w:r w:rsidRPr="003B2786">
        <w:rPr>
          <w:rFonts w:ascii="Sylfaen" w:hAnsi="Sylfaen"/>
          <w:sz w:val="24"/>
          <w:szCs w:val="24"/>
        </w:rPr>
        <w:t xml:space="preserve"> չափը:</w:t>
      </w:r>
    </w:p>
    <w:p w14:paraId="7C92177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Այլընտրանքային պրոցեսներ՝ ներառվում են մեկնաբանություններ այդ պրոցեսների առկայության դեպքում:</w:t>
      </w:r>
    </w:p>
    <w:p w14:paraId="0B9B650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Վերամշակում՝ ներառվում են մեկնաբանություններ այդ պրոցեսի առկայության դեպքում (օրինակ՝ թե որ էտապում կարող է տեղի ունենալ տվյալ պրոցեսը):</w:t>
      </w:r>
    </w:p>
    <w:p w14:paraId="637FC94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Կատալիզատորներ </w:t>
      </w:r>
      <w:r w:rsidR="00C54D75">
        <w:rPr>
          <w:rFonts w:ascii="Sylfaen" w:hAnsi="Sylfaen"/>
          <w:sz w:val="24"/>
          <w:szCs w:val="24"/>
        </w:rPr>
        <w:t>և</w:t>
      </w:r>
      <w:r w:rsidRPr="003B2786">
        <w:rPr>
          <w:rFonts w:ascii="Sylfaen" w:hAnsi="Sylfaen"/>
          <w:sz w:val="24"/>
          <w:szCs w:val="24"/>
        </w:rPr>
        <w:t xml:space="preserve"> լուծիչներ՝ գրանցման դոսյեում համապատասխան տեղեկությունների բացակայության դեպքում ներառվում են մեկնաբանություններ, եթե այդ տեղեկությունները ընդգրկված են ԱԴԲՄՖ-ի փակ մասում: </w:t>
      </w:r>
    </w:p>
    <w:p w14:paraId="3859C625"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67133E00"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Ներառվում են առաջարկված մասնագրերի՝ սահմանված պահանջներին համապատասխանության աստիճանի վերաբերյալ մեկնաբանություններ՝ հատուկ ուշադրություն դարձնելով բոլոր այն խառնուկների (այդ թվում՝ լուծիչների) պարունակության հսկողությանը, որոնք կարող են ազդել ակտիվ բաղադրամասի որակի վրա, հատկապես, եթե դրանում առկա խառնուկները չեն հսկվում: Ներկայացվում են մեկնաբանություններ՝ կենսաբանական ծագման բաղադրամասերի վերաբերյալ:</w:t>
      </w:r>
    </w:p>
    <w:p w14:paraId="683E678E"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3D179F7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Քննարկվում է հաստատված պահանջներին տեխնոլոգիական պրոցեսների հսկողության առաջարկվող միջոցների համապատասխանության աստիճանը:</w:t>
      </w:r>
    </w:p>
    <w:p w14:paraId="4E4D226C"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002E57B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Համառոտ շարադրվում են տվյալները </w:t>
      </w:r>
      <w:r w:rsidR="00C54D75">
        <w:rPr>
          <w:rFonts w:ascii="Sylfaen" w:hAnsi="Sylfaen"/>
          <w:sz w:val="24"/>
          <w:szCs w:val="24"/>
        </w:rPr>
        <w:t>և</w:t>
      </w:r>
      <w:r w:rsidRPr="003B2786">
        <w:rPr>
          <w:rFonts w:ascii="Sylfaen" w:hAnsi="Sylfaen"/>
          <w:sz w:val="24"/>
          <w:szCs w:val="24"/>
        </w:rPr>
        <w:t xml:space="preserve"> արդյունքները:</w:t>
      </w:r>
    </w:p>
    <w:p w14:paraId="0CE6B53C"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գործընթացի մշակումը:</w:t>
      </w:r>
    </w:p>
    <w:p w14:paraId="09C37E6B"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Համառոտ շարադրվում են տվյալներն ու արդյունքները՝ հղում կատարելով նախակլինիկական (կլինիկական) հետազոտություններում օգտագործված նյութերին, եթե կիրառելի է:</w:t>
      </w:r>
    </w:p>
    <w:p w14:paraId="2BD5728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Նշվում է, թե արդյոք առաջարկվում է դիզայնի ոլորտը (նախագծային դաշտը), (այսինքն՝ որակի ցուցանիշների թույլատրելի հավաքակազմի </w:t>
      </w:r>
      <w:r w:rsidR="00C54D75">
        <w:rPr>
          <w:rFonts w:ascii="Sylfaen" w:hAnsi="Sylfaen"/>
          <w:sz w:val="24"/>
          <w:szCs w:val="24"/>
        </w:rPr>
        <w:t>և</w:t>
      </w:r>
      <w:r w:rsidRPr="003B2786">
        <w:rPr>
          <w:rFonts w:ascii="Sylfaen" w:hAnsi="Sylfaen"/>
          <w:sz w:val="24"/>
          <w:szCs w:val="24"/>
        </w:rPr>
        <w:t xml:space="preserve"> դեղապատրաստուկի բաղադրության, տեխնոլոգիական պրոցեսների ազդեցության ներքո՝ այդ ցուցանիշների փոփոխությունների սահմանների, պահպանման պրոցեսի ընթացքում ֆիզիկական գործոնների ազդեցությունների՝ ռիսկի գնահատման </w:t>
      </w:r>
      <w:r w:rsidR="00C54D75">
        <w:rPr>
          <w:rFonts w:ascii="Sylfaen" w:hAnsi="Sylfaen"/>
          <w:sz w:val="24"/>
          <w:szCs w:val="24"/>
        </w:rPr>
        <w:t>և</w:t>
      </w:r>
      <w:r w:rsidRPr="003B2786">
        <w:rPr>
          <w:rFonts w:ascii="Sylfaen" w:hAnsi="Sylfaen"/>
          <w:sz w:val="24"/>
          <w:szCs w:val="24"/>
        </w:rPr>
        <w:t xml:space="preserve"> վերլուծության վիճակագրական մեթոդների վրա հիմնված հիմնավորումը: Դիզայնի ոլորտի (նախագծային դաշտի) օգտագործումը թույլ է տալիս որոշել դեղապատրաստուկի որակը, այն սահմանել այդ դեղապատրաստուկի մշակման պահին </w:t>
      </w:r>
      <w:r w:rsidR="00C54D75">
        <w:rPr>
          <w:rFonts w:ascii="Sylfaen" w:hAnsi="Sylfaen"/>
          <w:sz w:val="24"/>
          <w:szCs w:val="24"/>
        </w:rPr>
        <w:t>և</w:t>
      </w:r>
      <w:r w:rsidRPr="003B2786">
        <w:rPr>
          <w:rFonts w:ascii="Sylfaen" w:hAnsi="Sylfaen"/>
          <w:sz w:val="24"/>
          <w:szCs w:val="24"/>
        </w:rPr>
        <w:t xml:space="preserve"> կատարել հիմնավորված շտկում կենսական պարբերաշրջանի մշակման </w:t>
      </w:r>
      <w:r w:rsidR="00C54D75">
        <w:rPr>
          <w:rFonts w:ascii="Sylfaen" w:hAnsi="Sylfaen"/>
          <w:sz w:val="24"/>
          <w:szCs w:val="24"/>
        </w:rPr>
        <w:t>և</w:t>
      </w:r>
      <w:r w:rsidRPr="003B2786">
        <w:rPr>
          <w:rFonts w:ascii="Sylfaen" w:hAnsi="Sylfaen"/>
          <w:sz w:val="24"/>
          <w:szCs w:val="24"/>
        </w:rPr>
        <w:t xml:space="preserve"> կառավարման ընթացքում դրա բաղադրության </w:t>
      </w:r>
      <w:r w:rsidR="00C54D75">
        <w:rPr>
          <w:rFonts w:ascii="Sylfaen" w:hAnsi="Sylfaen"/>
          <w:sz w:val="24"/>
          <w:szCs w:val="24"/>
        </w:rPr>
        <w:t>և</w:t>
      </w:r>
      <w:r w:rsidRPr="003B2786">
        <w:rPr>
          <w:rFonts w:ascii="Sylfaen" w:hAnsi="Sylfaen"/>
          <w:sz w:val="24"/>
          <w:szCs w:val="24"/>
        </w:rPr>
        <w:t xml:space="preserve"> արտադրության պրոցեսների փոփոխության դեպքում). Նշվում է, թե արդյոք սահմանված է բազմագործոնային կախվածություն՝ պրոցեսի մուտքային տվյալների (նյութերի հատկությունների </w:t>
      </w:r>
      <w:r w:rsidR="00C54D75">
        <w:rPr>
          <w:rFonts w:ascii="Sylfaen" w:hAnsi="Sylfaen"/>
          <w:sz w:val="24"/>
          <w:szCs w:val="24"/>
        </w:rPr>
        <w:t>և</w:t>
      </w:r>
      <w:r w:rsidRPr="003B2786">
        <w:rPr>
          <w:rFonts w:ascii="Sylfaen" w:hAnsi="Sylfaen"/>
          <w:sz w:val="24"/>
          <w:szCs w:val="24"/>
        </w:rPr>
        <w:t xml:space="preserve"> պրոցեսի պարամետրերի) </w:t>
      </w:r>
      <w:r w:rsidR="00C54D75">
        <w:rPr>
          <w:rFonts w:ascii="Sylfaen" w:hAnsi="Sylfaen"/>
          <w:sz w:val="24"/>
          <w:szCs w:val="24"/>
        </w:rPr>
        <w:t>և</w:t>
      </w:r>
      <w:r w:rsidRPr="003B2786">
        <w:rPr>
          <w:rFonts w:ascii="Sylfaen" w:hAnsi="Sylfaen"/>
          <w:sz w:val="24"/>
          <w:szCs w:val="24"/>
        </w:rPr>
        <w:t xml:space="preserve"> ակտիվ բաղադրամասի որակի կրիտիկական ցուցանիշների միջ</w:t>
      </w:r>
      <w:r w:rsidR="00C54D75">
        <w:rPr>
          <w:rFonts w:ascii="Sylfaen" w:hAnsi="Sylfaen"/>
          <w:sz w:val="24"/>
          <w:szCs w:val="24"/>
        </w:rPr>
        <w:t>և</w:t>
      </w:r>
      <w:r w:rsidRPr="003B2786">
        <w:rPr>
          <w:rFonts w:ascii="Sylfaen" w:hAnsi="Sylfaen"/>
          <w:sz w:val="24"/>
          <w:szCs w:val="24"/>
        </w:rPr>
        <w:t>: Դիզայնի ոլորտի առաջարկման դեպքում (տե՛ս սույն փաստաթղթի թիվ 3 հավելվածը):</w:t>
      </w:r>
    </w:p>
    <w:p w14:paraId="3697814F" w14:textId="0C64F15C"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Ընդհանուր առմամբ, փորձագետից պահանջվում է ներկայացնել կրիտիկական դիտողություններ՝ սինթեզի նկարագրության համարժեքության, նյութերի որակի, միջանկյալ արտադրանքի հսկողության </w:t>
      </w:r>
      <w:r w:rsidR="00C54D75">
        <w:rPr>
          <w:rFonts w:ascii="Sylfaen" w:hAnsi="Sylfaen"/>
          <w:sz w:val="24"/>
          <w:szCs w:val="24"/>
        </w:rPr>
        <w:t>և</w:t>
      </w:r>
      <w:r w:rsidRPr="003B2786">
        <w:rPr>
          <w:rFonts w:ascii="Sylfaen" w:hAnsi="Sylfaen"/>
          <w:sz w:val="24"/>
          <w:szCs w:val="24"/>
        </w:rPr>
        <w:t xml:space="preserve"> արտադրական պրոցեսի վերարտադրելիության մասով՝ </w:t>
      </w:r>
      <w:r w:rsidR="0056496B">
        <w:rPr>
          <w:rFonts w:ascii="Sylfaen" w:hAnsi="Sylfaen"/>
          <w:sz w:val="24"/>
          <w:szCs w:val="24"/>
        </w:rPr>
        <w:t>դիմում</w:t>
      </w:r>
      <w:r w:rsidRPr="003B2786">
        <w:rPr>
          <w:rFonts w:ascii="Sylfaen" w:hAnsi="Sylfaen"/>
          <w:sz w:val="24"/>
          <w:szCs w:val="24"/>
        </w:rPr>
        <w:t xml:space="preserve">նաբերելով գրանցման դոսյեում բավարար չափով չլուսաբանված </w:t>
      </w:r>
      <w:r w:rsidR="00C54D75">
        <w:rPr>
          <w:rFonts w:ascii="Sylfaen" w:hAnsi="Sylfaen"/>
          <w:sz w:val="24"/>
          <w:szCs w:val="24"/>
        </w:rPr>
        <w:t>և</w:t>
      </w:r>
      <w:r w:rsidRPr="003B2786">
        <w:rPr>
          <w:rFonts w:ascii="Sylfaen" w:hAnsi="Sylfaen"/>
          <w:sz w:val="24"/>
          <w:szCs w:val="24"/>
        </w:rPr>
        <w:t xml:space="preserve"> Դիտողությունների ցանկում լուծման սպասող խնդիրները (անհրաժեշտության դեպքում՝ հղում կատարելով համարին): Անհրաժեշտ է առանձնացնել կրիտիկական դիտողությունները:</w:t>
      </w:r>
    </w:p>
    <w:p w14:paraId="6D488598" w14:textId="77777777" w:rsidR="008C76E0" w:rsidRPr="003B2786" w:rsidRDefault="008C76E0" w:rsidP="00473371">
      <w:pPr>
        <w:spacing w:after="160" w:line="360" w:lineRule="auto"/>
        <w:ind w:right="-1" w:firstLine="567"/>
        <w:jc w:val="both"/>
        <w:rPr>
          <w:rFonts w:ascii="Sylfaen" w:hAnsi="Sylfaen"/>
          <w:sz w:val="24"/>
          <w:szCs w:val="24"/>
        </w:rPr>
      </w:pPr>
    </w:p>
    <w:p w14:paraId="123A0684"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Կենսատեխնոլոգիական պատրաստուկներ</w:t>
      </w:r>
    </w:p>
    <w:p w14:paraId="5718B7D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Արտադրողները:</w:t>
      </w:r>
    </w:p>
    <w:p w14:paraId="6A5099CD" w14:textId="4966BEA1"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Բերվում է արտադրողների ցուցակ: Տվյալ ցուցակից հարկ է առանձնացնել այն արտադրողներին, որոնց մոտ ի </w:t>
      </w:r>
      <w:r w:rsidR="009B6AA0">
        <w:rPr>
          <w:rFonts w:ascii="Sylfaen" w:hAnsi="Sylfaen"/>
          <w:sz w:val="24"/>
          <w:szCs w:val="24"/>
        </w:rPr>
        <w:t>հայտ</w:t>
      </w:r>
      <w:r w:rsidRPr="003B2786">
        <w:rPr>
          <w:rFonts w:ascii="Sylfaen" w:hAnsi="Sylfaen"/>
          <w:sz w:val="24"/>
          <w:szCs w:val="24"/>
        </w:rPr>
        <w:t xml:space="preserve"> են բերվում որակի ցուցանիշների համադրելիության հետ կապված խնդիրներ կամ որակի հետ կապված այլ </w:t>
      </w:r>
      <w:r w:rsidRPr="003B2786">
        <w:rPr>
          <w:rFonts w:ascii="Sylfaen" w:hAnsi="Sylfaen"/>
          <w:sz w:val="24"/>
          <w:szCs w:val="24"/>
        </w:rPr>
        <w:lastRenderedPageBreak/>
        <w:t>խնդիրներ: Հարկ է առանձնացնել Եվրասիական տնտեսական հանձնաժողովի կողմից հաստատվող` Եվրասիական տնտեսական միության արտադրական գործունեության պատշաճ կանոններին համապատասխանության հետ կապված հնարավոր խնդիրները (օրինակ՝ արտադրական հարթակների միջ</w:t>
      </w:r>
      <w:r w:rsidR="00C54D75">
        <w:rPr>
          <w:rFonts w:ascii="Sylfaen" w:hAnsi="Sylfaen"/>
          <w:sz w:val="24"/>
          <w:szCs w:val="24"/>
        </w:rPr>
        <w:t>և</w:t>
      </w:r>
      <w:r w:rsidRPr="003B2786">
        <w:rPr>
          <w:rFonts w:ascii="Sylfaen" w:hAnsi="Sylfaen"/>
          <w:sz w:val="24"/>
          <w:szCs w:val="24"/>
        </w:rPr>
        <w:t xml:space="preserve"> փոխադրումը </w:t>
      </w:r>
      <w:r w:rsidR="00C54D75">
        <w:rPr>
          <w:rFonts w:ascii="Sylfaen" w:hAnsi="Sylfaen"/>
          <w:sz w:val="24"/>
          <w:szCs w:val="24"/>
        </w:rPr>
        <w:t>և</w:t>
      </w:r>
      <w:r w:rsidRPr="003B2786">
        <w:rPr>
          <w:rFonts w:ascii="Sylfaen" w:hAnsi="Sylfaen"/>
          <w:sz w:val="24"/>
          <w:szCs w:val="24"/>
        </w:rPr>
        <w:t xml:space="preserve"> այլն):</w:t>
      </w:r>
    </w:p>
    <w:p w14:paraId="3129354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14ECA1A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Ներկայացվում է արտադրական պրոցեսի </w:t>
      </w:r>
      <w:r w:rsidR="00C54D75">
        <w:rPr>
          <w:rFonts w:ascii="Sylfaen" w:hAnsi="Sylfaen"/>
          <w:sz w:val="24"/>
          <w:szCs w:val="24"/>
        </w:rPr>
        <w:t>և</w:t>
      </w:r>
      <w:r w:rsidRPr="003B2786">
        <w:rPr>
          <w:rFonts w:ascii="Sylfaen" w:hAnsi="Sylfaen"/>
          <w:sz w:val="24"/>
          <w:szCs w:val="24"/>
        </w:rPr>
        <w:t xml:space="preserve"> ներարտադրական հսկողության համառոտ նկարագրությունը (հատկապես, արտադրանքի անվտանգության ապահովման մասով, օրինակ՝ կողմնակի ագենտների, հետադարձ տրանսկրիպտազայի ֆերմենտի առկայության մասով փորձարկումը), առանձնացվում են արտադրանքի վերամշակման պրոցեսները:</w:t>
      </w:r>
    </w:p>
    <w:p w14:paraId="55036A5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Ներկայացվում են համառոտ տեղեկություններ՝ ծառայության ժամկետների </w:t>
      </w:r>
      <w:r w:rsidR="00C54D75">
        <w:rPr>
          <w:rFonts w:ascii="Sylfaen" w:hAnsi="Sylfaen"/>
          <w:sz w:val="24"/>
          <w:szCs w:val="24"/>
        </w:rPr>
        <w:t>և</w:t>
      </w:r>
      <w:r w:rsidRPr="003B2786">
        <w:rPr>
          <w:rFonts w:ascii="Sylfaen" w:hAnsi="Sylfaen"/>
          <w:sz w:val="24"/>
          <w:szCs w:val="24"/>
        </w:rPr>
        <w:t xml:space="preserve"> արտադրանքի մաքրման պրոցեսում օգտագործվող քրոմատոգրաֆիական սյունակների ռեգեներացման ընթացակարգի մասին, գնահատվում է արտադրանքի անվտանգության վրա ցանկացած ազդեցություն:</w:t>
      </w:r>
    </w:p>
    <w:p w14:paraId="7F13C5E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գնահատական է տրվում սահմանված պահանջներին՝ մշակման, շարունակականության </w:t>
      </w:r>
      <w:r w:rsidR="00C54D75">
        <w:rPr>
          <w:rFonts w:ascii="Sylfaen" w:hAnsi="Sylfaen"/>
          <w:sz w:val="24"/>
          <w:szCs w:val="24"/>
        </w:rPr>
        <w:t>և</w:t>
      </w:r>
      <w:r w:rsidRPr="003B2786">
        <w:rPr>
          <w:rFonts w:ascii="Sylfaen" w:hAnsi="Sylfaen"/>
          <w:sz w:val="24"/>
          <w:szCs w:val="24"/>
        </w:rPr>
        <w:t xml:space="preserve"> հսկողության համապասխանության աստիճանին: </w:t>
      </w:r>
    </w:p>
    <w:p w14:paraId="349B11A5"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Կենսահամանման (կենսանման) դեղապատրաստուկի դեպքում հարկ է ուշադրություն դարձնել ռեֆերենտ պատրաստուկի արտադրության պրոցեսից այն էական տարբերություններին, որոնք կարող են ազդել որակի ցուցանիշների վրա:</w:t>
      </w:r>
    </w:p>
    <w:p w14:paraId="3C00B6BE"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026F5BA9"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Բերվում է գենետիկ մշակման մասին տեղեկատվություն, այդ թվում՝ գենի ծագումը, գեների կառուցվածքի նկարագրությունը, գենի կառուցվածքի հիմնավորումը, գենետիկ կայունության մասին տեղեկություններ (նշվում է ռեկոմբինանտ գենի վիճակը </w:t>
      </w:r>
      <w:r w:rsidR="00C54D75">
        <w:rPr>
          <w:rFonts w:ascii="Sylfaen" w:hAnsi="Sylfaen"/>
          <w:sz w:val="24"/>
          <w:szCs w:val="24"/>
        </w:rPr>
        <w:t>և</w:t>
      </w:r>
      <w:r w:rsidRPr="003B2786">
        <w:rPr>
          <w:rFonts w:ascii="Sylfaen" w:hAnsi="Sylfaen"/>
          <w:sz w:val="24"/>
          <w:szCs w:val="24"/>
        </w:rPr>
        <w:t xml:space="preserve"> պատճենների թիվը):</w:t>
      </w:r>
    </w:p>
    <w:p w14:paraId="051C248F"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lastRenderedPageBreak/>
        <w:t xml:space="preserve">Բերվում է շտամ-պրոդուցենտների նկարագրությունը (գենետիկորեն նույնական բջիջների գծեր) (տիպը, ծագումը) նկարագրությունը, ստեղծման պատմությունը, այդ թվում՝ նույնականացման տվյալները: Ուշադրություն է դարձվում ցանկացած հարցի վրա, որը կապված է մշակման պրոցեսում օգտագործվող </w:t>
      </w:r>
      <w:r w:rsidR="00C54D75">
        <w:rPr>
          <w:rFonts w:ascii="Sylfaen" w:hAnsi="Sylfaen"/>
          <w:sz w:val="24"/>
          <w:szCs w:val="24"/>
        </w:rPr>
        <w:t>և</w:t>
      </w:r>
      <w:r w:rsidRPr="003B2786">
        <w:rPr>
          <w:rFonts w:ascii="Sylfaen" w:hAnsi="Sylfaen"/>
          <w:sz w:val="24"/>
          <w:szCs w:val="24"/>
        </w:rPr>
        <w:t xml:space="preserve"> արտադրանքի անվտանգության վրա ազդելու ունակ բաղադրիչների հետ (օրինակ՝ կենսաբանական ծագման ռեագենտները):</w:t>
      </w:r>
    </w:p>
    <w:p w14:paraId="23B3445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Բջիջների բանկեր՝ նշվում է բջիջների գլխավոր (աշխատանքային) բանկի ձ</w:t>
      </w:r>
      <w:r w:rsidR="00C54D75">
        <w:rPr>
          <w:rFonts w:ascii="Sylfaen" w:hAnsi="Sylfaen"/>
          <w:sz w:val="24"/>
          <w:szCs w:val="24"/>
        </w:rPr>
        <w:t>և</w:t>
      </w:r>
      <w:r w:rsidRPr="003B2786">
        <w:rPr>
          <w:rFonts w:ascii="Sylfaen" w:hAnsi="Sylfaen"/>
          <w:sz w:val="24"/>
          <w:szCs w:val="24"/>
        </w:rPr>
        <w:t xml:space="preserve">ավորումը, անցկացված փորձարկումների բավարար լինելը, բջիջների բանկերի կայունությունը, գենոտիպային </w:t>
      </w:r>
      <w:r w:rsidR="00C54D75">
        <w:rPr>
          <w:rFonts w:ascii="Sylfaen" w:hAnsi="Sylfaen"/>
          <w:sz w:val="24"/>
          <w:szCs w:val="24"/>
        </w:rPr>
        <w:t>և</w:t>
      </w:r>
      <w:r w:rsidRPr="003B2786">
        <w:rPr>
          <w:rFonts w:ascii="Sylfaen" w:hAnsi="Sylfaen"/>
          <w:sz w:val="24"/>
          <w:szCs w:val="24"/>
        </w:rPr>
        <w:t xml:space="preserve"> ֆենոտիպային հատկությունների նկարագրությունը, բջիջների ապագա աշխատանքային բանկի ձ</w:t>
      </w:r>
      <w:r w:rsidR="00C54D75">
        <w:rPr>
          <w:rFonts w:ascii="Sylfaen" w:hAnsi="Sylfaen"/>
          <w:sz w:val="24"/>
          <w:szCs w:val="24"/>
        </w:rPr>
        <w:t>և</w:t>
      </w:r>
      <w:r w:rsidRPr="003B2786">
        <w:rPr>
          <w:rFonts w:ascii="Sylfaen" w:hAnsi="Sylfaen"/>
          <w:sz w:val="24"/>
          <w:szCs w:val="24"/>
        </w:rPr>
        <w:t>ավորման արձանագրությունը:</w:t>
      </w:r>
    </w:p>
    <w:p w14:paraId="2F51858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Ակտիվ բաղադրամասի (օրինակ`սյունակներ՝ միակլոնային հակամարմինների </w:t>
      </w:r>
      <w:r w:rsidR="00C54D75">
        <w:rPr>
          <w:rFonts w:ascii="Sylfaen" w:hAnsi="Sylfaen"/>
          <w:sz w:val="24"/>
          <w:szCs w:val="24"/>
        </w:rPr>
        <w:t>և</w:t>
      </w:r>
      <w:r w:rsidRPr="003B2786">
        <w:rPr>
          <w:rFonts w:ascii="Sylfaen" w:hAnsi="Sylfaen"/>
          <w:sz w:val="24"/>
          <w:szCs w:val="24"/>
        </w:rPr>
        <w:t xml:space="preserve"> արյան (պլազմայի) ածանցյալների մաքրման համար) արտադրության մեջ օգտագործվող կենսաբանական նյութերի համար անցկացվում է նյութերի աղբյուրի, արտադրության, հատկությունների </w:t>
      </w:r>
      <w:r w:rsidR="00C54D75">
        <w:rPr>
          <w:rFonts w:ascii="Sylfaen" w:hAnsi="Sylfaen"/>
          <w:sz w:val="24"/>
          <w:szCs w:val="24"/>
        </w:rPr>
        <w:t>և</w:t>
      </w:r>
      <w:r w:rsidRPr="003B2786">
        <w:rPr>
          <w:rFonts w:ascii="Sylfaen" w:hAnsi="Sylfaen"/>
          <w:sz w:val="24"/>
          <w:szCs w:val="24"/>
        </w:rPr>
        <w:t xml:space="preserve"> որակի որոշման գնահատում: Ակտիվ բաղադրամասի արտադրության մեջ օգտագործվող կենսաբանական նյութերի համար (օրինակ`արյան (պլազմայի) այնպիսի ածանցյալի, ինչպիսին է մարդու ալբումինը) անցկացվում է աղբյուրի, արտադրության, որոշման </w:t>
      </w:r>
      <w:r w:rsidR="00C54D75">
        <w:rPr>
          <w:rFonts w:ascii="Sylfaen" w:hAnsi="Sylfaen"/>
          <w:sz w:val="24"/>
          <w:szCs w:val="24"/>
        </w:rPr>
        <w:t>և</w:t>
      </w:r>
      <w:r w:rsidRPr="003B2786">
        <w:rPr>
          <w:rFonts w:ascii="Sylfaen" w:hAnsi="Sylfaen"/>
          <w:sz w:val="24"/>
          <w:szCs w:val="24"/>
        </w:rPr>
        <w:t xml:space="preserve"> հսկողության գնահատում: Պլազմայից ստացվող արտադրանքի, օրինակ՝ մարդու ալբումինի համար, հարկ է ընդգծել դրա համապատասխանությունը Միությունում կիրառվող ձեռնարկների </w:t>
      </w:r>
      <w:r w:rsidR="00C54D75">
        <w:rPr>
          <w:rFonts w:ascii="Sylfaen" w:hAnsi="Sylfaen"/>
          <w:sz w:val="24"/>
          <w:szCs w:val="24"/>
        </w:rPr>
        <w:t>և</w:t>
      </w:r>
      <w:r w:rsidRPr="003B2786">
        <w:rPr>
          <w:rFonts w:ascii="Sylfaen" w:hAnsi="Sylfaen"/>
          <w:sz w:val="24"/>
          <w:szCs w:val="24"/>
        </w:rPr>
        <w:t xml:space="preserve"> հանձնարարականների, այդ թվում՝ դոնորների մասին տեղեկությունների պահանջներին, ինչպես նա</w:t>
      </w:r>
      <w:r w:rsidR="00C54D75">
        <w:rPr>
          <w:rFonts w:ascii="Sylfaen" w:hAnsi="Sylfaen"/>
          <w:sz w:val="24"/>
          <w:szCs w:val="24"/>
        </w:rPr>
        <w:t>և</w:t>
      </w:r>
      <w:r w:rsidRPr="003B2786">
        <w:rPr>
          <w:rFonts w:ascii="Sylfaen" w:hAnsi="Sylfaen"/>
          <w:sz w:val="24"/>
          <w:szCs w:val="24"/>
        </w:rPr>
        <w:t xml:space="preserve"> որակին </w:t>
      </w:r>
      <w:r w:rsidR="00C54D75">
        <w:rPr>
          <w:rFonts w:ascii="Sylfaen" w:hAnsi="Sylfaen"/>
          <w:sz w:val="24"/>
          <w:szCs w:val="24"/>
        </w:rPr>
        <w:t>և</w:t>
      </w:r>
      <w:r w:rsidRPr="003B2786">
        <w:rPr>
          <w:rFonts w:ascii="Sylfaen" w:hAnsi="Sylfaen"/>
          <w:sz w:val="24"/>
          <w:szCs w:val="24"/>
        </w:rPr>
        <w:t xml:space="preserve"> մասնագրերին ներկայացվող պահանջներին:</w:t>
      </w:r>
    </w:p>
    <w:p w14:paraId="657C650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Հղում է կատարվում գրանցման դոսյեի А2 բաժնին՝ նյութերին առնչվող կողմնակի ագենտների (վիրուսային անվտանգության) մասով, առանձնացվում է փոխանցվող սպունգանման էնցեֆալոպաթիայի (ՓՍԷ) հարուցիչների մասով ռիսկի գնահատման հետ կապված ցանկացած հարց: </w:t>
      </w:r>
    </w:p>
    <w:p w14:paraId="703C524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552CA39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Բնութագրվում է դոսյեում ներկայացված արտադրության տեխնոլոգիական պրոցեսի ավարտը (կուլտիվացման չափանիշները, սերիայի որոշումը):</w:t>
      </w:r>
    </w:p>
    <w:p w14:paraId="2C8D9EC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Հսկողության կետերում մասնագրերի համար առաջարկվող միջակայքերը </w:t>
      </w:r>
      <w:r w:rsidR="00C54D75">
        <w:rPr>
          <w:rFonts w:ascii="Sylfaen" w:hAnsi="Sylfaen"/>
          <w:sz w:val="24"/>
          <w:szCs w:val="24"/>
        </w:rPr>
        <w:t>և</w:t>
      </w:r>
      <w:r w:rsidRPr="003B2786">
        <w:rPr>
          <w:rFonts w:ascii="Sylfaen" w:hAnsi="Sylfaen"/>
          <w:sz w:val="24"/>
          <w:szCs w:val="24"/>
        </w:rPr>
        <w:t xml:space="preserve"> պրոցեսի վալիդացման արդյունքների մասով ներարտադրական հսկողության ցուցանիշների թույլատրելի նորմերը:</w:t>
      </w:r>
    </w:p>
    <w:p w14:paraId="5010B22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բերել միջանկյալ արտադրանքի պահպանման պայմանների (պահպանման ժամկետի) նկարագրությունը: </w:t>
      </w:r>
    </w:p>
    <w:p w14:paraId="2B8F39B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Հարկ է առանձնացնել արտադրության այն բոլոր փուլերը, որոնք ուղղված են (վալիդացված են) վիրուսների վերացմանը (ապաակտիվացմանը) (օրինակ՝ pH-ի ցածր արժեքով միջավայրում մշակումը):</w:t>
      </w:r>
    </w:p>
    <w:p w14:paraId="30A505A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45D5D285" w14:textId="08DF2B83"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գնահատել արտադրական պրոցեսի վալիդացման համարժեքությունը, նշել ստուգվող պարամետրերը </w:t>
      </w:r>
      <w:r w:rsidR="00C54D75">
        <w:rPr>
          <w:rFonts w:ascii="Sylfaen" w:hAnsi="Sylfaen"/>
          <w:sz w:val="24"/>
          <w:szCs w:val="24"/>
        </w:rPr>
        <w:t>և</w:t>
      </w:r>
      <w:r w:rsidRPr="003B2786">
        <w:rPr>
          <w:rFonts w:ascii="Sylfaen" w:hAnsi="Sylfaen"/>
          <w:sz w:val="24"/>
          <w:szCs w:val="24"/>
        </w:rPr>
        <w:t xml:space="preserve"> դրանց նշանակությունը՝ գրանցման համար </w:t>
      </w:r>
      <w:r w:rsidR="001A5F1A">
        <w:rPr>
          <w:rFonts w:ascii="Sylfaen" w:hAnsi="Sylfaen"/>
          <w:sz w:val="24"/>
          <w:szCs w:val="24"/>
        </w:rPr>
        <w:t>հայտագրված</w:t>
      </w:r>
      <w:r w:rsidRPr="003B2786">
        <w:rPr>
          <w:rFonts w:ascii="Sylfaen" w:hAnsi="Sylfaen"/>
          <w:sz w:val="24"/>
          <w:szCs w:val="24"/>
        </w:rPr>
        <w:t xml:space="preserve"> պատրաստուկի համար:</w:t>
      </w:r>
    </w:p>
    <w:p w14:paraId="36FA1A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հաշվի առնել, որ վերամշակումը պետք է ներառվի միայն հատուկ կարգով կամ պետք է ամբողջովին բացառվի:</w:t>
      </w:r>
    </w:p>
    <w:p w14:paraId="33E1EB5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հղում բերել գրանցման դոսյեի А2 բաժնին՝ նյութերին առնչվող կողմնակի ագենտների (վիրուսային անվտանգության) մասով:</w:t>
      </w:r>
    </w:p>
    <w:p w14:paraId="7D0DE7B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գնահատել տեխնոլոգիական </w:t>
      </w:r>
      <w:r w:rsidR="00C54D75">
        <w:rPr>
          <w:rFonts w:ascii="Sylfaen" w:hAnsi="Sylfaen"/>
          <w:sz w:val="24"/>
          <w:szCs w:val="24"/>
        </w:rPr>
        <w:t>և</w:t>
      </w:r>
      <w:r w:rsidRPr="003B2786">
        <w:rPr>
          <w:rFonts w:ascii="Sylfaen" w:hAnsi="Sylfaen"/>
          <w:sz w:val="24"/>
          <w:szCs w:val="24"/>
        </w:rPr>
        <w:t xml:space="preserve"> հարակից խառնուկների հեռացման ընթացակարգերի համարժեքությունը:</w:t>
      </w:r>
    </w:p>
    <w:p w14:paraId="197EDDB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գործընթացի մշակումը:</w:t>
      </w:r>
    </w:p>
    <w:p w14:paraId="330BF8D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վերլուծել արտադրական պրոցեսի մշակման պատմությունը </w:t>
      </w:r>
      <w:r w:rsidR="00C54D75">
        <w:rPr>
          <w:rFonts w:ascii="Sylfaen" w:hAnsi="Sylfaen"/>
          <w:sz w:val="24"/>
          <w:szCs w:val="24"/>
        </w:rPr>
        <w:t>և</w:t>
      </w:r>
      <w:r w:rsidRPr="003B2786">
        <w:rPr>
          <w:rFonts w:ascii="Sylfaen" w:hAnsi="Sylfaen"/>
          <w:sz w:val="24"/>
          <w:szCs w:val="24"/>
        </w:rPr>
        <w:t xml:space="preserve"> մեկնաբանություններ կատարել արտադրանքի (օրինակ՝ արդյունաբերական սերիաների համեմատությամբ կլինիկական փորձարկումների համար օգտագործվող արտադրանքի սերիաների </w:t>
      </w:r>
      <w:r w:rsidR="00C54D75">
        <w:rPr>
          <w:rFonts w:ascii="Sylfaen" w:hAnsi="Sylfaen"/>
          <w:sz w:val="24"/>
          <w:szCs w:val="24"/>
        </w:rPr>
        <w:t>և</w:t>
      </w:r>
      <w:r w:rsidRPr="003B2786">
        <w:rPr>
          <w:rFonts w:ascii="Sylfaen" w:hAnsi="Sylfaen"/>
          <w:sz w:val="24"/>
          <w:szCs w:val="24"/>
        </w:rPr>
        <w:t xml:space="preserve"> այլն) որակի համադրելիության վրա՝ </w:t>
      </w:r>
      <w:r w:rsidRPr="003B2786">
        <w:rPr>
          <w:rFonts w:ascii="Sylfaen" w:hAnsi="Sylfaen"/>
          <w:sz w:val="24"/>
          <w:szCs w:val="24"/>
        </w:rPr>
        <w:lastRenderedPageBreak/>
        <w:t>դրա ազդեցության վերաբերյալ գրանցման դոսյեի S.4.4 կետին հղում կատարելով:</w:t>
      </w:r>
    </w:p>
    <w:p w14:paraId="6D57122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նկարագրել որակի վրա ազդեցության հետ կապված փոփոխությունները </w:t>
      </w:r>
      <w:r w:rsidR="00C54D75">
        <w:rPr>
          <w:rFonts w:ascii="Sylfaen" w:hAnsi="Sylfaen"/>
          <w:sz w:val="24"/>
          <w:szCs w:val="24"/>
        </w:rPr>
        <w:t>և</w:t>
      </w:r>
      <w:r w:rsidRPr="003B2786">
        <w:rPr>
          <w:rFonts w:ascii="Sylfaen" w:hAnsi="Sylfaen"/>
          <w:sz w:val="24"/>
          <w:szCs w:val="24"/>
        </w:rPr>
        <w:t xml:space="preserve"> դրանց առաջացման պատճառները (հիմնավորումը):</w:t>
      </w:r>
    </w:p>
    <w:p w14:paraId="406009C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կրիտիկական գնահատական տալ փոփոխությունների նշանակալիությանը:</w:t>
      </w:r>
    </w:p>
    <w:p w14:paraId="3F65011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3.3.</w:t>
      </w:r>
      <w:r>
        <w:rPr>
          <w:rFonts w:ascii="Sylfaen" w:hAnsi="Sylfaen"/>
          <w:sz w:val="24"/>
          <w:szCs w:val="24"/>
        </w:rPr>
        <w:tab/>
      </w:r>
      <w:r w:rsidRPr="003B2786">
        <w:rPr>
          <w:rFonts w:ascii="Sylfaen" w:hAnsi="Sylfaen"/>
          <w:sz w:val="24"/>
          <w:szCs w:val="24"/>
        </w:rPr>
        <w:t>ԱԴԲ-ի բնութագրերի նկարագրությունը (մոդուլ 3.2.S.3)</w:t>
      </w:r>
    </w:p>
    <w:p w14:paraId="20E8E193"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հետ</w:t>
      </w:r>
      <w:r w:rsidR="00C54D75">
        <w:rPr>
          <w:rFonts w:ascii="Sylfaen" w:hAnsi="Sylfaen"/>
          <w:sz w:val="24"/>
          <w:szCs w:val="24"/>
        </w:rPr>
        <w:t>և</w:t>
      </w:r>
      <w:r w:rsidRPr="003B2786">
        <w:rPr>
          <w:rFonts w:ascii="Sylfaen" w:hAnsi="Sylfaen"/>
          <w:sz w:val="24"/>
          <w:szCs w:val="24"/>
        </w:rPr>
        <w:t>յալ բաժիններում նշված տեղեկությունները.</w:t>
      </w:r>
    </w:p>
    <w:p w14:paraId="212279A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 xml:space="preserve">Կառուցվածքի </w:t>
      </w:r>
      <w:r w:rsidR="00C54D75">
        <w:rPr>
          <w:rFonts w:ascii="Sylfaen" w:hAnsi="Sylfaen"/>
          <w:sz w:val="24"/>
          <w:szCs w:val="24"/>
        </w:rPr>
        <w:t>և</w:t>
      </w:r>
      <w:r w:rsidRPr="003B2786">
        <w:rPr>
          <w:rFonts w:ascii="Sylfaen" w:hAnsi="Sylfaen"/>
          <w:sz w:val="24"/>
          <w:szCs w:val="24"/>
        </w:rPr>
        <w:t xml:space="preserve"> այլ բնութագրերի հաստատում:</w:t>
      </w:r>
    </w:p>
    <w:p w14:paraId="42A2C14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Խառնուկներ։</w:t>
      </w:r>
    </w:p>
    <w:p w14:paraId="78DEB6E8" w14:textId="77777777" w:rsidR="008C76E0" w:rsidRPr="003B2786" w:rsidRDefault="008C76E0" w:rsidP="00473371">
      <w:pPr>
        <w:tabs>
          <w:tab w:val="left" w:pos="1418"/>
        </w:tabs>
        <w:spacing w:after="160" w:line="360" w:lineRule="auto"/>
        <w:ind w:right="-1" w:firstLine="567"/>
        <w:jc w:val="center"/>
        <w:rPr>
          <w:rFonts w:ascii="Sylfaen" w:hAnsi="Sylfaen"/>
          <w:sz w:val="24"/>
          <w:szCs w:val="24"/>
        </w:rPr>
      </w:pPr>
    </w:p>
    <w:p w14:paraId="131BDFDD" w14:textId="53810DEA"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w:t>
      </w:r>
    </w:p>
    <w:p w14:paraId="2F67E53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 xml:space="preserve">Կառուցվածքի </w:t>
      </w:r>
      <w:r w:rsidR="00C54D75">
        <w:rPr>
          <w:rFonts w:ascii="Sylfaen" w:hAnsi="Sylfaen"/>
          <w:sz w:val="24"/>
          <w:szCs w:val="24"/>
        </w:rPr>
        <w:t>և</w:t>
      </w:r>
      <w:r w:rsidRPr="003B2786">
        <w:rPr>
          <w:rFonts w:ascii="Sylfaen" w:hAnsi="Sylfaen"/>
          <w:sz w:val="24"/>
          <w:szCs w:val="24"/>
        </w:rPr>
        <w:t xml:space="preserve"> այլ բնութագրերի հաստատում:</w:t>
      </w:r>
    </w:p>
    <w:p w14:paraId="3FD2720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Տվյալ մասում հարկ է բերել այն մեթոդների համառոտ նկարագրությունը, որոնք օգտագործվում են ակտիվ բաղադրամասի կառուցվածքի </w:t>
      </w:r>
      <w:r w:rsidR="00C54D75">
        <w:rPr>
          <w:rFonts w:ascii="Sylfaen" w:hAnsi="Sylfaen"/>
          <w:sz w:val="24"/>
          <w:szCs w:val="24"/>
        </w:rPr>
        <w:t>և</w:t>
      </w:r>
      <w:r w:rsidRPr="003B2786">
        <w:rPr>
          <w:rFonts w:ascii="Sylfaen" w:hAnsi="Sylfaen"/>
          <w:sz w:val="24"/>
          <w:szCs w:val="24"/>
        </w:rPr>
        <w:t xml:space="preserve"> հատկությունների, օրինակ՝ քիրալության, բազմաձ</w:t>
      </w:r>
      <w:r w:rsidR="00C54D75">
        <w:rPr>
          <w:rFonts w:ascii="Sylfaen" w:hAnsi="Sylfaen"/>
          <w:sz w:val="24"/>
          <w:szCs w:val="24"/>
        </w:rPr>
        <w:t>և</w:t>
      </w:r>
      <w:r w:rsidRPr="003B2786">
        <w:rPr>
          <w:rFonts w:ascii="Sylfaen" w:hAnsi="Sylfaen"/>
          <w:sz w:val="24"/>
          <w:szCs w:val="24"/>
        </w:rPr>
        <w:t xml:space="preserve">ության </w:t>
      </w:r>
      <w:r w:rsidR="00C54D75">
        <w:rPr>
          <w:rFonts w:ascii="Sylfaen" w:hAnsi="Sylfaen"/>
          <w:sz w:val="24"/>
          <w:szCs w:val="24"/>
        </w:rPr>
        <w:t>և</w:t>
      </w:r>
      <w:r w:rsidRPr="003B2786">
        <w:rPr>
          <w:rFonts w:ascii="Sylfaen" w:hAnsi="Sylfaen"/>
          <w:sz w:val="24"/>
          <w:szCs w:val="24"/>
        </w:rPr>
        <w:t xml:space="preserve"> այլ հատկությունների որոշման համար:</w:t>
      </w:r>
    </w:p>
    <w:p w14:paraId="076E90E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Ռադիոդեղագործական պատրաստուկների դեպքում պետք է հստակ որոշել, թե որպես ինչ է անհրաժեշտ դիտարկել ակտիվ նյութը՝ ոչ նշակիր լիգանդ, ռադիոակտիվ նյութ, թե մեկ այլ փոխադրիչ մոլեկուլի համար ռադիոակտիվ ցուցիչ (ինդիկատոր): (Վերջին դեպքում տեղեկատվությունը սովորաբար ներառվում է այդպիսի կրող-նյութի վերաբերյալ դոսյեում):</w:t>
      </w:r>
    </w:p>
    <w:p w14:paraId="37BAA80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Որպես կանոն, անհրաժեշտ է կառուցվածքների որոշման համար օգտագործվող մեթոդների համարժեքության կրիտիկական գնահատական տալ:</w:t>
      </w:r>
    </w:p>
    <w:p w14:paraId="0ECC8C1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Խառնուկները։</w:t>
      </w:r>
    </w:p>
    <w:p w14:paraId="5826A0F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Հարկ է օգտագործել դեղապատրաստուկի գրանցման դոսյեի՝ «Որակի վերաբերյալ ամփոփ տեղեկատվություն» մասի տեքստը խառնուկների վերաբերյալ՝ ներառյալ տեխնոլոգիական խառնուկները, քայքայման արգասիքները, լուծիչներն ու ռեագենտները </w:t>
      </w:r>
      <w:r w:rsidR="00C54D75">
        <w:rPr>
          <w:rFonts w:ascii="Sylfaen" w:hAnsi="Sylfaen"/>
          <w:sz w:val="24"/>
          <w:szCs w:val="24"/>
        </w:rPr>
        <w:t>և</w:t>
      </w:r>
      <w:r w:rsidRPr="003B2786">
        <w:rPr>
          <w:rFonts w:ascii="Sylfaen" w:hAnsi="Sylfaen"/>
          <w:sz w:val="24"/>
          <w:szCs w:val="24"/>
        </w:rPr>
        <w:t xml:space="preserve"> այլն, համապատասխան տվյալների համառոտ ամփոփագիր կազմելու համար՝ հղում կատարելով կայունության վերաբերյալ տվյալներին </w:t>
      </w:r>
      <w:r w:rsidR="00C54D75">
        <w:rPr>
          <w:rFonts w:ascii="Sylfaen" w:hAnsi="Sylfaen"/>
          <w:sz w:val="24"/>
          <w:szCs w:val="24"/>
        </w:rPr>
        <w:t>և</w:t>
      </w:r>
      <w:r w:rsidRPr="003B2786">
        <w:rPr>
          <w:rFonts w:ascii="Sylfaen" w:hAnsi="Sylfaen"/>
          <w:sz w:val="24"/>
          <w:szCs w:val="24"/>
        </w:rPr>
        <w:t xml:space="preserve"> գրանցման դոսյեի S.4. բաժնում պարունակվող տեղեկություններին:</w:t>
      </w:r>
    </w:p>
    <w:p w14:paraId="5CF9614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համար նա</w:t>
      </w:r>
      <w:r w:rsidR="00C54D75">
        <w:rPr>
          <w:rFonts w:ascii="Sylfaen" w:hAnsi="Sylfaen"/>
          <w:sz w:val="24"/>
          <w:szCs w:val="24"/>
        </w:rPr>
        <w:t>և</w:t>
      </w:r>
      <w:r w:rsidRPr="003B2786">
        <w:rPr>
          <w:rFonts w:ascii="Sylfaen" w:hAnsi="Sylfaen"/>
          <w:sz w:val="24"/>
          <w:szCs w:val="24"/>
        </w:rPr>
        <w:t xml:space="preserve"> հարկ է նշել ռադիոքիմիական </w:t>
      </w:r>
      <w:r w:rsidR="00C54D75">
        <w:rPr>
          <w:rFonts w:ascii="Sylfaen" w:hAnsi="Sylfaen"/>
          <w:sz w:val="24"/>
          <w:szCs w:val="24"/>
        </w:rPr>
        <w:t>և</w:t>
      </w:r>
      <w:r w:rsidRPr="003B2786">
        <w:rPr>
          <w:rFonts w:ascii="Sylfaen" w:hAnsi="Sylfaen"/>
          <w:sz w:val="24"/>
          <w:szCs w:val="24"/>
        </w:rPr>
        <w:t xml:space="preserve"> ռադիոնուկլիդային մաքրությունը:</w:t>
      </w:r>
    </w:p>
    <w:p w14:paraId="6615697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Հնարավորության դեպքում հարկ է որոշել ակտիվ դեղագործական բաղադրամասի տեխնոլոգիական խառնուկների </w:t>
      </w:r>
      <w:r w:rsidR="00C54D75">
        <w:rPr>
          <w:rFonts w:ascii="Sylfaen" w:hAnsi="Sylfaen"/>
          <w:sz w:val="24"/>
          <w:szCs w:val="24"/>
        </w:rPr>
        <w:t>և</w:t>
      </w:r>
      <w:r w:rsidRPr="003B2786">
        <w:rPr>
          <w:rFonts w:ascii="Sylfaen" w:hAnsi="Sylfaen"/>
          <w:sz w:val="24"/>
          <w:szCs w:val="24"/>
        </w:rPr>
        <w:t xml:space="preserve"> քայքայման արգասիքների միջ</w:t>
      </w:r>
      <w:r w:rsidR="00C54D75">
        <w:rPr>
          <w:rFonts w:ascii="Sylfaen" w:hAnsi="Sylfaen"/>
          <w:sz w:val="24"/>
          <w:szCs w:val="24"/>
        </w:rPr>
        <w:t>և</w:t>
      </w:r>
      <w:r w:rsidRPr="003B2786">
        <w:rPr>
          <w:rFonts w:ascii="Sylfaen" w:hAnsi="Sylfaen"/>
          <w:sz w:val="24"/>
          <w:szCs w:val="24"/>
        </w:rPr>
        <w:t xml:space="preserve"> տարբերությունները:</w:t>
      </w:r>
    </w:p>
    <w:p w14:paraId="5E7C969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եզրակացություն անել խառնուկների հսկողության </w:t>
      </w:r>
      <w:r w:rsidR="00C54D75">
        <w:rPr>
          <w:rFonts w:ascii="Sylfaen" w:hAnsi="Sylfaen"/>
          <w:sz w:val="24"/>
          <w:szCs w:val="24"/>
        </w:rPr>
        <w:t>և</w:t>
      </w:r>
      <w:r w:rsidRPr="003B2786">
        <w:rPr>
          <w:rFonts w:ascii="Sylfaen" w:hAnsi="Sylfaen"/>
          <w:sz w:val="24"/>
          <w:szCs w:val="24"/>
        </w:rPr>
        <w:t xml:space="preserve"> որակավորման նկատմամբ արտադրողի մոտեցման կիրառելիություն մասին՝ հատկապես հաշվի առնելով նախակլինիկական (թունաբանական)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արդյունքները:</w:t>
      </w:r>
    </w:p>
    <w:p w14:paraId="6CA9B87B" w14:textId="77777777" w:rsidR="008C76E0" w:rsidRPr="003B2786" w:rsidRDefault="008C76E0" w:rsidP="00473371">
      <w:pPr>
        <w:spacing w:after="160" w:line="360" w:lineRule="auto"/>
        <w:ind w:firstLine="567"/>
        <w:jc w:val="both"/>
        <w:rPr>
          <w:rFonts w:ascii="Sylfaen" w:hAnsi="Sylfaen"/>
          <w:sz w:val="24"/>
          <w:szCs w:val="24"/>
        </w:rPr>
      </w:pPr>
    </w:p>
    <w:p w14:paraId="4617252B" w14:textId="77777777" w:rsidR="008C76E0" w:rsidRPr="003B2786" w:rsidRDefault="008C76E0" w:rsidP="00473371">
      <w:pPr>
        <w:spacing w:after="160" w:line="360" w:lineRule="auto"/>
        <w:jc w:val="center"/>
        <w:rPr>
          <w:rFonts w:ascii="Sylfaen" w:hAnsi="Sylfaen"/>
          <w:sz w:val="24"/>
          <w:szCs w:val="24"/>
        </w:rPr>
      </w:pPr>
      <w:r w:rsidRPr="003B2786">
        <w:rPr>
          <w:rFonts w:ascii="Sylfaen" w:hAnsi="Sylfaen"/>
          <w:sz w:val="24"/>
          <w:szCs w:val="24"/>
        </w:rPr>
        <w:t>Կենսատեխնոլոգիական պատրաստուկներ</w:t>
      </w:r>
    </w:p>
    <w:p w14:paraId="00F9BE6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դեղապատրաստուկի համար որակի համեմատական գնահատականի հիմնական մասը բնութագրերի համեմատությունն է: Անհրաժեշտ է դիտարկել (վերլուծել) ռեֆերենտ պատրաստուկի համապատասխան ցուցանիշների նկատմամբ խառնուկների կառուցվածքային նույնականությունը </w:t>
      </w:r>
      <w:r w:rsidR="00C54D75">
        <w:rPr>
          <w:rFonts w:ascii="Sylfaen" w:hAnsi="Sylfaen"/>
          <w:sz w:val="24"/>
          <w:szCs w:val="24"/>
        </w:rPr>
        <w:t>և</w:t>
      </w:r>
      <w:r w:rsidRPr="003B2786">
        <w:rPr>
          <w:rFonts w:ascii="Sylfaen" w:hAnsi="Sylfaen"/>
          <w:sz w:val="24"/>
          <w:szCs w:val="24"/>
        </w:rPr>
        <w:t xml:space="preserve"> պրոֆիլը: </w:t>
      </w:r>
    </w:p>
    <w:p w14:paraId="080A892E"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կետը ներառում է հետ</w:t>
      </w:r>
      <w:r w:rsidR="00C54D75">
        <w:rPr>
          <w:rFonts w:ascii="Sylfaen" w:hAnsi="Sylfaen"/>
          <w:sz w:val="24"/>
          <w:szCs w:val="24"/>
        </w:rPr>
        <w:t>և</w:t>
      </w:r>
      <w:r w:rsidRPr="003B2786">
        <w:rPr>
          <w:rFonts w:ascii="Sylfaen" w:hAnsi="Sylfaen"/>
          <w:sz w:val="24"/>
          <w:szCs w:val="24"/>
        </w:rPr>
        <w:t>յալ տեղեկությունները՝</w:t>
      </w:r>
    </w:p>
    <w:p w14:paraId="173D64A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ֆիզիկաքիմիական հատկությունները,</w:t>
      </w:r>
    </w:p>
    <w:p w14:paraId="294C4AA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բաղադրության, ֆիզիկական հատկությունների </w:t>
      </w:r>
      <w:r w:rsidR="00C54D75">
        <w:rPr>
          <w:rFonts w:ascii="Sylfaen" w:hAnsi="Sylfaen"/>
          <w:sz w:val="24"/>
          <w:szCs w:val="24"/>
        </w:rPr>
        <w:t>և</w:t>
      </w:r>
      <w:r w:rsidRPr="003B2786">
        <w:rPr>
          <w:rFonts w:ascii="Sylfaen" w:hAnsi="Sylfaen"/>
          <w:sz w:val="24"/>
          <w:szCs w:val="24"/>
        </w:rPr>
        <w:t xml:space="preserve"> առաջնային կառուցվածքի, ավելի բարձր կարգի կառուցվածքների մասին տեղեկատվության որոշումը,</w:t>
      </w:r>
    </w:p>
    <w:p w14:paraId="6ED9C0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անհամասեռության պրոֆիլը (հարակից միացությունների մասով) </w:t>
      </w:r>
      <w:r w:rsidR="00C54D75">
        <w:rPr>
          <w:rFonts w:ascii="Sylfaen" w:hAnsi="Sylfaen"/>
          <w:sz w:val="24"/>
          <w:szCs w:val="24"/>
        </w:rPr>
        <w:t>և</w:t>
      </w:r>
      <w:r w:rsidRPr="003B2786">
        <w:rPr>
          <w:rFonts w:ascii="Sylfaen" w:hAnsi="Sylfaen"/>
          <w:sz w:val="24"/>
          <w:szCs w:val="24"/>
        </w:rPr>
        <w:t xml:space="preserve"> դրա կենսաբանական ակտիվության համասեռության հաստատումը:</w:t>
      </w:r>
    </w:p>
    <w:p w14:paraId="32C5600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Պետք է հաստատվի կենսաբանական ակտիվության քանակական որոշման մեթոդիկայի վալիդությունը:</w:t>
      </w:r>
    </w:p>
    <w:p w14:paraId="5901EAF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Պետք է համահարաբերակցություն հաստատվի կենսաբանական ակտիվության քանակական որոշման արդյունքների </w:t>
      </w:r>
      <w:r w:rsidR="00C54D75">
        <w:rPr>
          <w:rFonts w:ascii="Sylfaen" w:hAnsi="Sylfaen"/>
          <w:sz w:val="24"/>
          <w:szCs w:val="24"/>
        </w:rPr>
        <w:t>և</w:t>
      </w:r>
      <w:r w:rsidRPr="003B2786">
        <w:rPr>
          <w:rFonts w:ascii="Sylfaen" w:hAnsi="Sylfaen"/>
          <w:sz w:val="24"/>
          <w:szCs w:val="24"/>
        </w:rPr>
        <w:t xml:space="preserve"> կլինիկական պատասխանի միջ</w:t>
      </w:r>
      <w:r w:rsidR="00C54D75">
        <w:rPr>
          <w:rFonts w:ascii="Sylfaen" w:hAnsi="Sylfaen"/>
          <w:sz w:val="24"/>
          <w:szCs w:val="24"/>
        </w:rPr>
        <w:t>և</w:t>
      </w:r>
      <w:r w:rsidRPr="003B2786">
        <w:rPr>
          <w:rFonts w:ascii="Sylfaen" w:hAnsi="Sylfaen"/>
          <w:sz w:val="24"/>
          <w:szCs w:val="24"/>
        </w:rPr>
        <w:t xml:space="preserve">: </w:t>
      </w:r>
    </w:p>
    <w:p w14:paraId="399F302A" w14:textId="3F28A331"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Ակտիվության (միավորներով </w:t>
      </w:r>
      <w:r w:rsidR="0085119E">
        <w:rPr>
          <w:rFonts w:ascii="Sylfaen" w:hAnsi="Sylfaen"/>
          <w:sz w:val="24"/>
          <w:szCs w:val="24"/>
        </w:rPr>
        <w:t>արտահայտվ</w:t>
      </w:r>
      <w:r w:rsidRPr="003B2786">
        <w:rPr>
          <w:rFonts w:ascii="Sylfaen" w:hAnsi="Sylfaen"/>
          <w:sz w:val="24"/>
          <w:szCs w:val="24"/>
        </w:rPr>
        <w:t xml:space="preserve">ած) բնութագրման դեպքում կենսաբանական ակտիվության քանակական որոշման արդյունքները պետք է </w:t>
      </w:r>
      <w:r w:rsidR="0085119E">
        <w:rPr>
          <w:rFonts w:ascii="Sylfaen" w:hAnsi="Sylfaen"/>
          <w:sz w:val="24"/>
          <w:szCs w:val="24"/>
        </w:rPr>
        <w:t>արտահայտվ</w:t>
      </w:r>
      <w:r w:rsidRPr="003B2786">
        <w:rPr>
          <w:rFonts w:ascii="Sylfaen" w:hAnsi="Sylfaen"/>
          <w:sz w:val="24"/>
          <w:szCs w:val="24"/>
        </w:rPr>
        <w:t>են ակտիվության միավորներով, որոնք ստանդարտացված են միջազգային, ազգային կամ սեփական ստանդարտ նյութի օգտագործման միջոցով:</w:t>
      </w:r>
    </w:p>
    <w:p w14:paraId="2B078477" w14:textId="24AFB0E0"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Կենսաբանական ակտիվության քանակական որոշման միայն ֆիզիկաքիմիական մեթոդների օգտագործման դեպքում արդյունքները պետք է </w:t>
      </w:r>
      <w:r w:rsidR="0085119E">
        <w:rPr>
          <w:rFonts w:ascii="Sylfaen" w:hAnsi="Sylfaen"/>
          <w:sz w:val="24"/>
          <w:szCs w:val="24"/>
        </w:rPr>
        <w:t>արտահայտվ</w:t>
      </w:r>
      <w:r w:rsidRPr="003B2786">
        <w:rPr>
          <w:rFonts w:ascii="Sylfaen" w:hAnsi="Sylfaen"/>
          <w:sz w:val="24"/>
          <w:szCs w:val="24"/>
        </w:rPr>
        <w:t>են որպես իմունոքիմիական ակտիվություն զանգվածի միավորի վրա:</w:t>
      </w:r>
    </w:p>
    <w:p w14:paraId="5A718E7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արտադրանքն իրենից հակամարմին է ներկայացնում, ապա դրա իմունոլոգիական հատկությունները պետք է բնութագրվեն ամբողջությամբ:</w:t>
      </w:r>
    </w:p>
    <w:p w14:paraId="51733E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Սպիտակուցների իմունոքիմիական հատկությունները կարող են ծառայել որպես դրանց իսկության, համասեռության կամ մաքրության ցուցանիշներ կամ օգտագործվել սպիտակուցների քանակական վերլուծության համար:</w:t>
      </w:r>
    </w:p>
    <w:p w14:paraId="4D3C2013" w14:textId="2BEFA121"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Քանակական պարունակությունը: Ֆիզիկաքիմիական մեթոդով սպիտակուցի քանակական որոշման դեպքում դրա պարունակությունն </w:t>
      </w:r>
      <w:r w:rsidR="0085119E">
        <w:rPr>
          <w:rFonts w:ascii="Sylfaen" w:hAnsi="Sylfaen"/>
          <w:sz w:val="24"/>
          <w:szCs w:val="24"/>
        </w:rPr>
        <w:t>արտահայտվ</w:t>
      </w:r>
      <w:r w:rsidRPr="003B2786">
        <w:rPr>
          <w:rFonts w:ascii="Sylfaen" w:hAnsi="Sylfaen"/>
          <w:sz w:val="24"/>
          <w:szCs w:val="24"/>
        </w:rPr>
        <w:t xml:space="preserve">ում է զանգվածի միավորներով: </w:t>
      </w:r>
    </w:p>
    <w:p w14:paraId="16A7533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Մաքրությունը (այդ թվում՝ հարակից միացությունների): ԱԴԲ-ն կարող է ներկայացվել մի քանի մոլեկուլյար միացություններով կամ տարբերակներով, որոնք դիտարկվում են որպես հարակից միացություններ. տվյալ դեպքում անհրաժեշտ է որոշել արտադրանքի բաղադրության մեջ մտնող հարակից միացությունների ընդունելիության անհատական կամ ընդհանուր չափանիշները:</w:t>
      </w:r>
    </w:p>
    <w:p w14:paraId="2C2F53EC"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S.3.2.</w:t>
      </w:r>
      <w:r w:rsidRPr="003B2786">
        <w:rPr>
          <w:rFonts w:ascii="Sylfaen" w:hAnsi="Sylfaen"/>
          <w:sz w:val="24"/>
          <w:szCs w:val="24"/>
        </w:rPr>
        <w:tab/>
        <w:t>կետում (խառնուկներ) անցկացվում է գրանցման դոսյեի վերլուծություն՝ ելնելով հետ</w:t>
      </w:r>
      <w:r w:rsidR="00C54D75">
        <w:rPr>
          <w:rFonts w:ascii="Sylfaen" w:hAnsi="Sylfaen"/>
          <w:sz w:val="24"/>
          <w:szCs w:val="24"/>
        </w:rPr>
        <w:t>և</w:t>
      </w:r>
      <w:r w:rsidRPr="003B2786">
        <w:rPr>
          <w:rFonts w:ascii="Sylfaen" w:hAnsi="Sylfaen"/>
          <w:sz w:val="24"/>
          <w:szCs w:val="24"/>
        </w:rPr>
        <w:t>յալ նախադրյալներից.</w:t>
      </w:r>
    </w:p>
    <w:p w14:paraId="2EB3456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Խառնուկները պետք է առավելագույնս հնարավոր չափով բնութագրվեն, </w:t>
      </w:r>
      <w:r w:rsidR="00C54D75">
        <w:rPr>
          <w:rFonts w:ascii="Sylfaen" w:hAnsi="Sylfaen"/>
          <w:sz w:val="24"/>
          <w:szCs w:val="24"/>
        </w:rPr>
        <w:t>և</w:t>
      </w:r>
      <w:r w:rsidRPr="003B2786">
        <w:rPr>
          <w:rFonts w:ascii="Sylfaen" w:hAnsi="Sylfaen"/>
          <w:sz w:val="24"/>
          <w:szCs w:val="24"/>
        </w:rPr>
        <w:t xml:space="preserve"> հնարավորության դեպքում պետք է անցկացվի դրանց կենսաբանական ակտիվության գնահատում:</w:t>
      </w:r>
    </w:p>
    <w:p w14:paraId="2E7A2A8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Խառնուկների (անհատական </w:t>
      </w:r>
      <w:r w:rsidR="00C54D75">
        <w:rPr>
          <w:rFonts w:ascii="Sylfaen" w:hAnsi="Sylfaen"/>
          <w:sz w:val="24"/>
          <w:szCs w:val="24"/>
        </w:rPr>
        <w:t>և</w:t>
      </w:r>
      <w:r w:rsidRPr="003B2786">
        <w:rPr>
          <w:rFonts w:ascii="Sylfaen" w:hAnsi="Sylfaen"/>
          <w:sz w:val="24"/>
          <w:szCs w:val="24"/>
        </w:rPr>
        <w:t xml:space="preserve"> (կամ) ընդհանուր) համար ընդունելիության չափանիշները պետք է հիմնված լինեն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հետազոտություններում </w:t>
      </w:r>
      <w:r w:rsidR="00C54D75">
        <w:rPr>
          <w:rFonts w:ascii="Sylfaen" w:hAnsi="Sylfaen"/>
          <w:sz w:val="24"/>
          <w:szCs w:val="24"/>
        </w:rPr>
        <w:t>և</w:t>
      </w:r>
      <w:r w:rsidRPr="003B2786">
        <w:rPr>
          <w:rFonts w:ascii="Sylfaen" w:hAnsi="Sylfaen"/>
          <w:sz w:val="24"/>
          <w:szCs w:val="24"/>
        </w:rPr>
        <w:t xml:space="preserve"> համասեռ արտադրական պրոցեսի պայմաններում օգտագործված սերիաների տվյալների վրա:</w:t>
      </w:r>
    </w:p>
    <w:p w14:paraId="1FBE5A0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Տեխնոլոգիական խառնուկներ: Տեխնոլոգիական խառնուկները ներառում են խառնուկներ, որոնք առաջանում են արտադրական պրոցեսում, այսինքն՝ դրանք բջջային սուբստրատներն են (օրինակ՝ ընդունող բջջի սպիտակուցներ, ընդունող բջջի ԴՆԹ), բջջային կուլտուրայի գործոններ (օրինակ՝ աճի գործոններ, հակաբիոտիկներ կամ միջավայրի բաղադրիչներ), կամ առաջանում են հետագա մշակման ընթացքում:</w:t>
      </w:r>
    </w:p>
    <w:p w14:paraId="6490A857"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Հարակից խառնուկները: Հարակից խառնուկները (օրինակ՝ պրեկուրսորները, որոշակի քայքայման արգասիքներ) արտադրության </w:t>
      </w:r>
      <w:r w:rsidR="00C54D75">
        <w:rPr>
          <w:rFonts w:ascii="Sylfaen" w:hAnsi="Sylfaen"/>
          <w:sz w:val="24"/>
          <w:szCs w:val="24"/>
        </w:rPr>
        <w:t>և</w:t>
      </w:r>
      <w:r w:rsidRPr="003B2786">
        <w:rPr>
          <w:rFonts w:ascii="Sylfaen" w:hAnsi="Sylfaen"/>
          <w:sz w:val="24"/>
          <w:szCs w:val="24"/>
        </w:rPr>
        <w:t xml:space="preserve"> (կամ) պահպանման պրոցեսում առաջացող մոլեկուլյար կառուցվածքների տարբերակներ են, որոնք ակտիվության, արդյունավետության </w:t>
      </w:r>
      <w:r w:rsidR="00C54D75">
        <w:rPr>
          <w:rFonts w:ascii="Sylfaen" w:hAnsi="Sylfaen"/>
          <w:sz w:val="24"/>
          <w:szCs w:val="24"/>
        </w:rPr>
        <w:t>և</w:t>
      </w:r>
      <w:r w:rsidRPr="003B2786">
        <w:rPr>
          <w:rFonts w:ascii="Sylfaen" w:hAnsi="Sylfaen"/>
          <w:sz w:val="24"/>
          <w:szCs w:val="24"/>
        </w:rPr>
        <w:t xml:space="preserve"> անվտանգության չափանիշներով չունեն վերջնական արտադրանքի հետ համադրելի հատկություններ:</w:t>
      </w:r>
    </w:p>
    <w:p w14:paraId="1C96FDBB" w14:textId="77777777" w:rsidR="00473371" w:rsidRDefault="00473371">
      <w:pPr>
        <w:widowControl/>
        <w:rPr>
          <w:rFonts w:ascii="Sylfaen" w:hAnsi="Sylfaen"/>
          <w:sz w:val="24"/>
          <w:szCs w:val="24"/>
        </w:rPr>
      </w:pPr>
      <w:r>
        <w:rPr>
          <w:rFonts w:ascii="Sylfaen" w:hAnsi="Sylfaen"/>
          <w:sz w:val="24"/>
          <w:szCs w:val="24"/>
        </w:rPr>
        <w:br w:type="page"/>
      </w:r>
    </w:p>
    <w:p w14:paraId="6790A68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Ծանոթագրություն. Կոնտամինանտներ՝ չկանխամտածված ներմուծված նյութեր, որոնք նախատեսված չեն արտադրության մեջ օգտագործման համար </w:t>
      </w:r>
      <w:r w:rsidR="00C54D75">
        <w:rPr>
          <w:rFonts w:ascii="Sylfaen" w:hAnsi="Sylfaen"/>
          <w:sz w:val="24"/>
          <w:szCs w:val="24"/>
        </w:rPr>
        <w:t>և</w:t>
      </w:r>
      <w:r w:rsidRPr="003B2786">
        <w:rPr>
          <w:rFonts w:ascii="Sylfaen" w:hAnsi="Sylfaen"/>
          <w:sz w:val="24"/>
          <w:szCs w:val="24"/>
        </w:rPr>
        <w:t xml:space="preserve"> դիտարկման ենթակա են գրանցման դոսյեի մոդուլի А.2. հավելվածում նշված փորձաքննության շրջանակներում:</w:t>
      </w:r>
    </w:p>
    <w:p w14:paraId="335180B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Համադրելիության գնահատականը:</w:t>
      </w:r>
    </w:p>
    <w:p w14:paraId="58C3564D" w14:textId="77777777" w:rsidR="008C76E0" w:rsidRPr="003B2786" w:rsidRDefault="008C76E0" w:rsidP="00473371">
      <w:pPr>
        <w:tabs>
          <w:tab w:val="left" w:pos="1134"/>
        </w:tabs>
        <w:spacing w:after="160" w:line="360" w:lineRule="auto"/>
        <w:ind w:right="565" w:firstLine="567"/>
        <w:jc w:val="both"/>
        <w:outlineLvl w:val="0"/>
        <w:rPr>
          <w:rFonts w:ascii="Sylfaen" w:hAnsi="Sylfaen"/>
          <w:sz w:val="24"/>
          <w:szCs w:val="24"/>
        </w:rPr>
      </w:pPr>
      <w:r w:rsidRPr="003B2786">
        <w:rPr>
          <w:rFonts w:ascii="Sylfaen" w:hAnsi="Sylfaen"/>
          <w:sz w:val="24"/>
          <w:szCs w:val="24"/>
        </w:rPr>
        <w:t>3.4.</w:t>
      </w:r>
      <w:r>
        <w:rPr>
          <w:rFonts w:ascii="Sylfaen" w:hAnsi="Sylfaen"/>
          <w:sz w:val="24"/>
          <w:szCs w:val="24"/>
        </w:rPr>
        <w:tab/>
      </w:r>
      <w:r w:rsidRPr="003B2786">
        <w:rPr>
          <w:rFonts w:ascii="Sylfaen" w:hAnsi="Sylfaen"/>
          <w:sz w:val="24"/>
          <w:szCs w:val="24"/>
        </w:rPr>
        <w:t>Ակտիվ դեղագործական բաղադրամասի որակի հսկողությունը (մոդուլ 3.2.S.4)</w:t>
      </w:r>
    </w:p>
    <w:p w14:paraId="58D2AACD"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հետ</w:t>
      </w:r>
      <w:r w:rsidR="00C54D75">
        <w:rPr>
          <w:rFonts w:ascii="Sylfaen" w:hAnsi="Sylfaen"/>
          <w:sz w:val="24"/>
          <w:szCs w:val="24"/>
        </w:rPr>
        <w:t>և</w:t>
      </w:r>
      <w:r w:rsidRPr="003B2786">
        <w:rPr>
          <w:rFonts w:ascii="Sylfaen" w:hAnsi="Sylfaen"/>
          <w:sz w:val="24"/>
          <w:szCs w:val="24"/>
        </w:rPr>
        <w:t>յալ բաժիններում նշված տեղեկությունների ուսումնասիրության արդյունքները՝</w:t>
      </w:r>
    </w:p>
    <w:p w14:paraId="24EF6AB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S.4.1.</w:t>
      </w:r>
      <w:r w:rsidRPr="003B2786">
        <w:rPr>
          <w:rFonts w:ascii="Sylfaen" w:hAnsi="Sylfaen"/>
          <w:sz w:val="24"/>
          <w:szCs w:val="24"/>
        </w:rPr>
        <w:tab/>
        <w:t>Մասնագիրը։</w:t>
      </w:r>
    </w:p>
    <w:p w14:paraId="0FDDCC1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S.4.2.</w:t>
      </w:r>
      <w:r w:rsidRPr="003B2786">
        <w:rPr>
          <w:rFonts w:ascii="Sylfaen" w:hAnsi="Sylfaen"/>
          <w:sz w:val="24"/>
          <w:szCs w:val="24"/>
        </w:rPr>
        <w:tab/>
        <w:t>Վերլուծական մեթոդիկաները։</w:t>
      </w:r>
    </w:p>
    <w:p w14:paraId="4AEA7CF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Վերլուծական մեթոդիկաների վալիդացումը։</w:t>
      </w:r>
    </w:p>
    <w:p w14:paraId="20CA0DC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Սերիաների վերլուծությունները (սերիաների վերլուծության արդյունքները):</w:t>
      </w:r>
    </w:p>
    <w:p w14:paraId="027FDF5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Մասնագրի հիմնավորումը։</w:t>
      </w:r>
    </w:p>
    <w:p w14:paraId="7EA7E817" w14:textId="23C47BEB"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0A7FB23F"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S.4.1.</w:t>
      </w:r>
      <w:r w:rsidRPr="003B2786">
        <w:rPr>
          <w:rFonts w:ascii="Sylfaen" w:hAnsi="Sylfaen"/>
          <w:sz w:val="24"/>
          <w:szCs w:val="24"/>
        </w:rPr>
        <w:tab/>
        <w:t>Մասնագիրը։</w:t>
      </w:r>
    </w:p>
    <w:p w14:paraId="5FE5D70D"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Հարկ է զետեղել աղյուսակ` մասնագրի տվյալներով: Ներկայացնել համահավաք մասնագիր այն դեպքում, երբ ակտիվ նյութը ստացվել է տարբեր աղբյուրներից </w:t>
      </w:r>
      <w:r w:rsidR="00C54D75">
        <w:rPr>
          <w:rFonts w:ascii="Sylfaen" w:hAnsi="Sylfaen"/>
          <w:sz w:val="24"/>
          <w:szCs w:val="24"/>
        </w:rPr>
        <w:t>և</w:t>
      </w:r>
      <w:r w:rsidRPr="003B2786">
        <w:rPr>
          <w:rFonts w:ascii="Sylfaen" w:hAnsi="Sylfaen"/>
          <w:sz w:val="24"/>
          <w:szCs w:val="24"/>
        </w:rPr>
        <w:t xml:space="preserve"> ունի տարբեր մասնագրեր: </w:t>
      </w:r>
    </w:p>
    <w:p w14:paraId="0F780875"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S.4.2.</w:t>
      </w:r>
      <w:r w:rsidRPr="003B2786">
        <w:rPr>
          <w:rFonts w:ascii="Sylfaen" w:hAnsi="Sylfaen"/>
          <w:sz w:val="24"/>
          <w:szCs w:val="24"/>
        </w:rPr>
        <w:tab/>
        <w:t>Վերլուծական մեթոդիկաները։</w:t>
      </w:r>
    </w:p>
    <w:p w14:paraId="0AE93837"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Եթե դրանք ներկայացված են վերը բերված աղյուսակում, բավարար է հղում կատարել մեթոդիկային:</w:t>
      </w:r>
    </w:p>
    <w:p w14:paraId="301E42F0"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Վերլուծական մեթոդիկաների վալիդացումը։</w:t>
      </w:r>
    </w:p>
    <w:p w14:paraId="13FACA6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Հարկ է հաստատել Միության ձեռնարկների կամ այլ համապատասխան ձեռնարկների պահանջներին համապատասխանությունը՝ նշելով շեղումները:</w:t>
      </w:r>
    </w:p>
    <w:p w14:paraId="17349E41"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Գնահատվում է մեթոդիկաների համարժեքությունը՝ ԱԴԲ-ի որակի ընթացիկ հսկողության համար:</w:t>
      </w:r>
    </w:p>
    <w:p w14:paraId="58A7D13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Սերիաների վերլուծություններ (սերիաների վերլուծության արդյունքները) (նշել սերիաների թիվը)։</w:t>
      </w:r>
    </w:p>
    <w:p w14:paraId="3913291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նշել սերիայից սերիա՝ արտադրանքի միատիպությունը </w:t>
      </w:r>
      <w:r w:rsidR="00C54D75">
        <w:rPr>
          <w:rFonts w:ascii="Sylfaen" w:hAnsi="Sylfaen"/>
          <w:sz w:val="24"/>
          <w:szCs w:val="24"/>
        </w:rPr>
        <w:t>և</w:t>
      </w:r>
      <w:r w:rsidRPr="003B2786">
        <w:rPr>
          <w:rFonts w:ascii="Sylfaen" w:hAnsi="Sylfaen"/>
          <w:sz w:val="24"/>
          <w:szCs w:val="24"/>
        </w:rPr>
        <w:t xml:space="preserve"> համասեռությունը: Նշել, թե արդյոք ներկայացված արդյունքներն ապացուցում են, որ պրոցեսը հսկողության տակ է:</w:t>
      </w:r>
    </w:p>
    <w:p w14:paraId="2F1D2576"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Մասնագրի հիմնավորումը։</w:t>
      </w:r>
    </w:p>
    <w:p w14:paraId="0C32F73D" w14:textId="00AAF35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գնահատել </w:t>
      </w:r>
      <w:r w:rsidR="0056496B">
        <w:rPr>
          <w:rFonts w:ascii="Sylfaen" w:hAnsi="Sylfaen"/>
          <w:sz w:val="24"/>
          <w:szCs w:val="24"/>
        </w:rPr>
        <w:t>դիմումատու</w:t>
      </w:r>
      <w:r w:rsidRPr="003B2786">
        <w:rPr>
          <w:rFonts w:ascii="Sylfaen" w:hAnsi="Sylfaen"/>
          <w:sz w:val="24"/>
          <w:szCs w:val="24"/>
        </w:rPr>
        <w:t>ի կողմից առաջարկված՝ մասնագրի հիմնավորման համարժեքությունը՝ հաշվի առնելով պատրաստի արտադրանքում ԱԴԲ-ի ենթադրյալ կիրառումը:</w:t>
      </w:r>
    </w:p>
    <w:p w14:paraId="1A438AB2" w14:textId="4C6B1E92"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Եթե արտադրողն առաջարկում է բացթողման փորձարկումներ անցկացնել իրական ժամանակի ռեժիմում, հարկ է ընդգծել, թե որքանով է դա հաստատվում արտադրանքի </w:t>
      </w:r>
      <w:r w:rsidR="00C54D75">
        <w:rPr>
          <w:rFonts w:ascii="Sylfaen" w:hAnsi="Sylfaen"/>
          <w:sz w:val="24"/>
          <w:szCs w:val="24"/>
        </w:rPr>
        <w:t>և</w:t>
      </w:r>
      <w:r w:rsidRPr="003B2786">
        <w:rPr>
          <w:rFonts w:ascii="Sylfaen" w:hAnsi="Sylfaen"/>
          <w:sz w:val="24"/>
          <w:szCs w:val="24"/>
        </w:rPr>
        <w:t xml:space="preserve"> արտադրական պրոցեսի առանձնահատկությունների խորը ըմբռնմամբ: Այս դեպքում հարկ է նա</w:t>
      </w:r>
      <w:r w:rsidR="00C54D75">
        <w:rPr>
          <w:rFonts w:ascii="Sylfaen" w:hAnsi="Sylfaen"/>
          <w:sz w:val="24"/>
          <w:szCs w:val="24"/>
        </w:rPr>
        <w:t>և</w:t>
      </w:r>
      <w:r w:rsidRPr="003B2786">
        <w:rPr>
          <w:rFonts w:ascii="Sylfaen" w:hAnsi="Sylfaen"/>
          <w:sz w:val="24"/>
          <w:szCs w:val="24"/>
        </w:rPr>
        <w:t xml:space="preserve"> նշել, թե արդյոք </w:t>
      </w:r>
      <w:r w:rsidR="0056496B">
        <w:rPr>
          <w:rFonts w:ascii="Sylfaen" w:hAnsi="Sylfaen"/>
          <w:sz w:val="24"/>
          <w:szCs w:val="24"/>
        </w:rPr>
        <w:t>դիմումատու</w:t>
      </w:r>
      <w:r w:rsidRPr="003B2786">
        <w:rPr>
          <w:rFonts w:ascii="Sylfaen" w:hAnsi="Sylfaen"/>
          <w:sz w:val="24"/>
          <w:szCs w:val="24"/>
        </w:rPr>
        <w:t xml:space="preserve">ի կողմից ներդրվել է պրոցեսի այն կրիտիկական պարամետրերի </w:t>
      </w:r>
      <w:r w:rsidR="00C54D75">
        <w:rPr>
          <w:rFonts w:ascii="Sylfaen" w:hAnsi="Sylfaen"/>
          <w:sz w:val="24"/>
          <w:szCs w:val="24"/>
        </w:rPr>
        <w:t>և</w:t>
      </w:r>
      <w:r w:rsidRPr="003B2786">
        <w:rPr>
          <w:rFonts w:ascii="Sylfaen" w:hAnsi="Sylfaen"/>
          <w:sz w:val="24"/>
          <w:szCs w:val="24"/>
        </w:rPr>
        <w:t xml:space="preserve"> նյութերի այն կրիտիկական ցուցանիշների պատշաճ հսկողությունը, որոնցով հիմնավորվում է բացթողման փորձարկումների ռեժիմը: Հարկ է նշել, թե արդյոք գնահատվել է բացթողման սովորական ռեժիմով </w:t>
      </w:r>
      <w:r w:rsidR="00C54D75">
        <w:rPr>
          <w:rFonts w:ascii="Sylfaen" w:hAnsi="Sylfaen"/>
          <w:sz w:val="24"/>
          <w:szCs w:val="24"/>
        </w:rPr>
        <w:t>և</w:t>
      </w:r>
      <w:r w:rsidRPr="003B2786">
        <w:rPr>
          <w:rFonts w:ascii="Sylfaen" w:hAnsi="Sylfaen"/>
          <w:sz w:val="24"/>
          <w:szCs w:val="24"/>
        </w:rPr>
        <w:t xml:space="preserve"> իրական ժամանակի ռեժիմով կատարված՝ արտադրանքի սերիայի փորձարկումների արդյունքների վրա շրջակա միջավայրի գործոնների ազդեցությունը: Անհրաժեշտ է նշել, թե արդյոք կիրառվում է այն սխեման, որով նախատեսվում է բացթողման սովորական ռեժիմով </w:t>
      </w:r>
      <w:r w:rsidR="00C54D75">
        <w:rPr>
          <w:rFonts w:ascii="Sylfaen" w:hAnsi="Sylfaen"/>
          <w:sz w:val="24"/>
          <w:szCs w:val="24"/>
        </w:rPr>
        <w:t>և</w:t>
      </w:r>
      <w:r w:rsidRPr="003B2786">
        <w:rPr>
          <w:rFonts w:ascii="Sylfaen" w:hAnsi="Sylfaen"/>
          <w:sz w:val="24"/>
          <w:szCs w:val="24"/>
        </w:rPr>
        <w:t xml:space="preserve"> իրական ժամանակի ռեժիմով բավարար քանակությամբ սերիաների հետ կատարված՝ արտադրանքի սերիայի փորձարկումների արդյունքների համեմատությունը: Շատ փոփոխականներով մոդելների օգտագործման դեպքում ԱԴԲ-ի որակի </w:t>
      </w:r>
      <w:r w:rsidRPr="003B2786">
        <w:rPr>
          <w:rFonts w:ascii="Sylfaen" w:hAnsi="Sylfaen"/>
          <w:sz w:val="24"/>
          <w:szCs w:val="24"/>
        </w:rPr>
        <w:lastRenderedPageBreak/>
        <w:t>ցուցանիշների կանխատեսման կամ պրոցեսի առցանց մոնիթորինգի համար հարկ է անդրադառնալ որակի ասպեկտների գնահատման մասին փորձագիտական հաշվետվության թիվ 3 հավելվածին:</w:t>
      </w:r>
    </w:p>
    <w:p w14:paraId="2C2C9699" w14:textId="77777777" w:rsidR="008C76E0" w:rsidRPr="003B2786" w:rsidRDefault="008C76E0" w:rsidP="00473371">
      <w:pPr>
        <w:spacing w:after="160" w:line="360" w:lineRule="auto"/>
        <w:ind w:firstLine="567"/>
        <w:jc w:val="both"/>
        <w:rPr>
          <w:rFonts w:ascii="Sylfaen" w:hAnsi="Sylfaen"/>
          <w:sz w:val="24"/>
          <w:szCs w:val="24"/>
        </w:rPr>
      </w:pPr>
    </w:p>
    <w:p w14:paraId="459A2D72" w14:textId="77777777" w:rsidR="008C76E0" w:rsidRPr="003B2786" w:rsidRDefault="008C76E0" w:rsidP="00473371">
      <w:pPr>
        <w:spacing w:after="160" w:line="360" w:lineRule="auto"/>
        <w:ind w:firstLine="567"/>
        <w:jc w:val="center"/>
        <w:rPr>
          <w:rFonts w:ascii="Sylfaen" w:hAnsi="Sylfaen"/>
          <w:sz w:val="24"/>
          <w:szCs w:val="24"/>
        </w:rPr>
      </w:pPr>
      <w:r w:rsidRPr="003B2786">
        <w:rPr>
          <w:rFonts w:ascii="Sylfaen" w:hAnsi="Sylfaen"/>
          <w:sz w:val="24"/>
          <w:szCs w:val="24"/>
        </w:rPr>
        <w:t>Կենսատեխնոլոգիական դեղապատրոստուկներ</w:t>
      </w:r>
    </w:p>
    <w:p w14:paraId="46CE3B4A"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S.4.1.</w:t>
      </w:r>
      <w:r>
        <w:rPr>
          <w:rFonts w:ascii="Sylfaen" w:hAnsi="Sylfaen"/>
          <w:sz w:val="24"/>
          <w:szCs w:val="24"/>
        </w:rPr>
        <w:tab/>
      </w:r>
      <w:r w:rsidRPr="003B2786">
        <w:rPr>
          <w:rFonts w:ascii="Sylfaen" w:hAnsi="Sylfaen"/>
          <w:sz w:val="24"/>
          <w:szCs w:val="24"/>
        </w:rPr>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70C56DA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Արտաքին տեսքը </w:t>
      </w:r>
      <w:r w:rsidR="00C54D75">
        <w:rPr>
          <w:rFonts w:ascii="Sylfaen" w:hAnsi="Sylfaen"/>
          <w:sz w:val="24"/>
          <w:szCs w:val="24"/>
        </w:rPr>
        <w:t>և</w:t>
      </w:r>
      <w:r w:rsidRPr="003B2786">
        <w:rPr>
          <w:rFonts w:ascii="Sylfaen" w:hAnsi="Sylfaen"/>
          <w:sz w:val="24"/>
          <w:szCs w:val="24"/>
        </w:rPr>
        <w:t xml:space="preserve"> նկարագրությունը։ Անհրաժեշտ է տալ որակական գնահատական՝ ԱԴԲ-ի ֆիզիկական (ագրեգատային) վիճակի (օրինակ՝ պինդ, հեղուկ վիճակ) </w:t>
      </w:r>
      <w:r w:rsidR="00C54D75">
        <w:rPr>
          <w:rFonts w:ascii="Sylfaen" w:hAnsi="Sylfaen"/>
          <w:sz w:val="24"/>
          <w:szCs w:val="24"/>
        </w:rPr>
        <w:t>և</w:t>
      </w:r>
      <w:r w:rsidRPr="003B2786">
        <w:rPr>
          <w:rFonts w:ascii="Sylfaen" w:hAnsi="Sylfaen"/>
          <w:sz w:val="24"/>
          <w:szCs w:val="24"/>
        </w:rPr>
        <w:t xml:space="preserve"> գույնի նկարագրությամբ: </w:t>
      </w:r>
    </w:p>
    <w:p w14:paraId="610CB5D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Իսկությունը: Իսկության փորձարկումները պետք է բնութագրվեն ԱԴԲ-ի նկատմամբ բարձր սպեցիֆիկությամբ </w:t>
      </w:r>
      <w:r w:rsidR="00C54D75">
        <w:rPr>
          <w:rFonts w:ascii="Sylfaen" w:hAnsi="Sylfaen"/>
          <w:sz w:val="24"/>
          <w:szCs w:val="24"/>
        </w:rPr>
        <w:t>և</w:t>
      </w:r>
      <w:r w:rsidRPr="003B2786">
        <w:rPr>
          <w:rFonts w:ascii="Sylfaen" w:hAnsi="Sylfaen"/>
          <w:sz w:val="24"/>
          <w:szCs w:val="24"/>
        </w:rPr>
        <w:t xml:space="preserve"> պետք է հիմնված լինեն մոլեկուլյար կառուցվածքների </w:t>
      </w:r>
      <w:r w:rsidR="00C54D75">
        <w:rPr>
          <w:rFonts w:ascii="Sylfaen" w:hAnsi="Sylfaen"/>
          <w:sz w:val="24"/>
          <w:szCs w:val="24"/>
        </w:rPr>
        <w:t>և</w:t>
      </w:r>
      <w:r w:rsidRPr="003B2786">
        <w:rPr>
          <w:rFonts w:ascii="Sylfaen" w:hAnsi="Sylfaen"/>
          <w:sz w:val="24"/>
          <w:szCs w:val="24"/>
        </w:rPr>
        <w:t xml:space="preserve"> (կամ) այլ սպեցիֆիկ հատկությունների յուրահատուկ բնութագրերի վրա: Իսկությունը որոշելու համար կարող է պահանջվել փորձարկումների ավելի քան մեկ մեթոդի անցկացում (ֆիզիկաքիմիական, կենսաբանական </w:t>
      </w:r>
      <w:r w:rsidR="00C54D75">
        <w:rPr>
          <w:rFonts w:ascii="Sylfaen" w:hAnsi="Sylfaen"/>
          <w:sz w:val="24"/>
          <w:szCs w:val="24"/>
        </w:rPr>
        <w:t>և</w:t>
      </w:r>
      <w:r w:rsidRPr="003B2786">
        <w:rPr>
          <w:rFonts w:ascii="Sylfaen" w:hAnsi="Sylfaen"/>
          <w:sz w:val="24"/>
          <w:szCs w:val="24"/>
        </w:rPr>
        <w:t xml:space="preserve"> (կամ) իմունաքիմիական)։</w:t>
      </w:r>
    </w:p>
    <w:p w14:paraId="3FA839C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Մաքրությունը </w:t>
      </w:r>
      <w:r w:rsidR="00C54D75">
        <w:rPr>
          <w:rFonts w:ascii="Sylfaen" w:hAnsi="Sylfaen"/>
          <w:sz w:val="24"/>
          <w:szCs w:val="24"/>
        </w:rPr>
        <w:t>և</w:t>
      </w:r>
      <w:r w:rsidRPr="003B2786">
        <w:rPr>
          <w:rFonts w:ascii="Sylfaen" w:hAnsi="Sylfaen"/>
          <w:sz w:val="24"/>
          <w:szCs w:val="24"/>
        </w:rPr>
        <w:t xml:space="preserve"> խառնուկները: Քանի որ դժվար է որոշել կենսատեխնոլոգիական </w:t>
      </w:r>
      <w:r w:rsidR="00C54D75">
        <w:rPr>
          <w:rFonts w:ascii="Sylfaen" w:hAnsi="Sylfaen"/>
          <w:sz w:val="24"/>
          <w:szCs w:val="24"/>
        </w:rPr>
        <w:t>և</w:t>
      </w:r>
      <w:r w:rsidRPr="003B2786">
        <w:rPr>
          <w:rFonts w:ascii="Sylfaen" w:hAnsi="Sylfaen"/>
          <w:sz w:val="24"/>
          <w:szCs w:val="24"/>
        </w:rPr>
        <w:t xml:space="preserve"> կենսաբանական արտադրանքի բացարձակ մաքրությունը, արդյունքները հաճախ կախված են լինում ընտրված մեթոդից: Այդ իսկ պատճառով ԱԴԲ-ի մաքրությունը սովորաբար գնահատվում է մի քանի տարբեր մեթոդներով: Վերլուծական մեթոդիկաների ընտրության </w:t>
      </w:r>
      <w:r w:rsidR="00C54D75">
        <w:rPr>
          <w:rFonts w:ascii="Sylfaen" w:hAnsi="Sylfaen"/>
          <w:sz w:val="24"/>
          <w:szCs w:val="24"/>
        </w:rPr>
        <w:t>և</w:t>
      </w:r>
      <w:r w:rsidRPr="003B2786">
        <w:rPr>
          <w:rFonts w:ascii="Sylfaen" w:hAnsi="Sylfaen"/>
          <w:sz w:val="24"/>
          <w:szCs w:val="24"/>
        </w:rPr>
        <w:t xml:space="preserve"> օպտիմիզացման գնահատման դեպքում փորձագետին անհրաժեշտ է կենտրոնանալ ցանկալի արտադրանքը հարակից միացություններից </w:t>
      </w:r>
      <w:r w:rsidR="00C54D75">
        <w:rPr>
          <w:rFonts w:ascii="Sylfaen" w:hAnsi="Sylfaen"/>
          <w:sz w:val="24"/>
          <w:szCs w:val="24"/>
        </w:rPr>
        <w:t>և</w:t>
      </w:r>
      <w:r w:rsidRPr="003B2786">
        <w:rPr>
          <w:rFonts w:ascii="Sylfaen" w:hAnsi="Sylfaen"/>
          <w:sz w:val="24"/>
          <w:szCs w:val="24"/>
        </w:rPr>
        <w:t xml:space="preserve"> խառնուկներից բաժանելու մասով արդյունքի հասնելու վրա: Այդ արտադրանքում պարունակվող խառնուկները բաժանվում են հարակիցների </w:t>
      </w:r>
      <w:r w:rsidR="00C54D75">
        <w:rPr>
          <w:rFonts w:ascii="Sylfaen" w:hAnsi="Sylfaen"/>
          <w:sz w:val="24"/>
          <w:szCs w:val="24"/>
        </w:rPr>
        <w:t>և</w:t>
      </w:r>
      <w:r w:rsidRPr="003B2786">
        <w:rPr>
          <w:rFonts w:ascii="Sylfaen" w:hAnsi="Sylfaen"/>
          <w:sz w:val="24"/>
          <w:szCs w:val="24"/>
        </w:rPr>
        <w:t xml:space="preserve"> տեխնոլոգիականների:</w:t>
      </w:r>
    </w:p>
    <w:p w14:paraId="33BDE7EE" w14:textId="1757D604"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Ակտիվությունը: Հարկ է համոզվել, որ մասնագրում ներառվում է կենսատեխնոլոգիական կամ կենսաբանական ԱԴԲ-ի </w:t>
      </w:r>
      <w:r w:rsidR="00C54D75">
        <w:rPr>
          <w:rFonts w:ascii="Sylfaen" w:hAnsi="Sylfaen"/>
          <w:sz w:val="24"/>
          <w:szCs w:val="24"/>
        </w:rPr>
        <w:t>և</w:t>
      </w:r>
      <w:r w:rsidRPr="003B2786">
        <w:rPr>
          <w:rFonts w:ascii="Sylfaen" w:hAnsi="Sylfaen"/>
          <w:sz w:val="24"/>
          <w:szCs w:val="24"/>
        </w:rPr>
        <w:t xml:space="preserve"> (կամ) </w:t>
      </w:r>
      <w:r w:rsidRPr="003B2786">
        <w:rPr>
          <w:rFonts w:ascii="Sylfaen" w:hAnsi="Sylfaen"/>
          <w:sz w:val="24"/>
          <w:szCs w:val="24"/>
        </w:rPr>
        <w:lastRenderedPageBreak/>
        <w:t xml:space="preserve">դեղապատրաստուկի ակտիվության քանակական որոշման համապատասխան վալիդացված մեթոդիկան: </w:t>
      </w:r>
      <w:r w:rsidR="0056496B">
        <w:rPr>
          <w:rFonts w:ascii="Sylfaen" w:hAnsi="Sylfaen"/>
          <w:sz w:val="24"/>
          <w:szCs w:val="24"/>
        </w:rPr>
        <w:t>Դիմումատու</w:t>
      </w:r>
      <w:r w:rsidRPr="003B2786">
        <w:rPr>
          <w:rFonts w:ascii="Sylfaen" w:hAnsi="Sylfaen"/>
          <w:sz w:val="24"/>
          <w:szCs w:val="24"/>
        </w:rPr>
        <w:t xml:space="preserve">ի կողմից դեղապատրաստուկի ակտիվության քանակական որոշման համապատասխան մեթոդիկայի օգտագործման դեպքում ԱԴԲ-ի քանակական որոշման էտապում այլընտրանքային մեթոդի (ֆիզիկաքիմիական </w:t>
      </w:r>
      <w:r w:rsidR="00C54D75">
        <w:rPr>
          <w:rFonts w:ascii="Sylfaen" w:hAnsi="Sylfaen"/>
          <w:sz w:val="24"/>
          <w:szCs w:val="24"/>
        </w:rPr>
        <w:t>և</w:t>
      </w:r>
      <w:r w:rsidRPr="003B2786">
        <w:rPr>
          <w:rFonts w:ascii="Sylfaen" w:hAnsi="Sylfaen"/>
          <w:sz w:val="24"/>
          <w:szCs w:val="24"/>
        </w:rPr>
        <w:t xml:space="preserve"> (կամ) կենսաբանական) կիրառումը կարող է բավարար լինել: Առանձին դեպքերում սպեցիֆիկ ակտիվության չափումը կարող է ծառայել որպես հավելյալ արժեքավոր տեղեկատվության աղբյուր:</w:t>
      </w:r>
    </w:p>
    <w:p w14:paraId="17775E5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Քանակական պարունակությունը: ԱԴԲ-ի քանակական պարունակությունը, որը հիմնված է սպիտակուցի (զանգվածի) պարունակության որոշման վրա, պետք է որոշվի քանակական որոշման համապատասխան մեթոդի օգնությամբ: Քանակական որոշման համար կարող են չպահանջվել ստանդարտ նմուշներ կամ նյութեր:</w:t>
      </w:r>
    </w:p>
    <w:p w14:paraId="596C0BD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արտադրվող արտադրանքը գնահատվում է ակտիվության միավորներով, այլընտրանքային մեթոդով քանակական որոշում կարող է չանցկացվել:</w:t>
      </w:r>
    </w:p>
    <w:p w14:paraId="21104E0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ԱԴԲ-ի մասնագիրը պետք է ներառվի փորձագիտական հաշվետվության կազմում կամ պետք է կցվի որպես հավելված:</w:t>
      </w:r>
    </w:p>
    <w:p w14:paraId="098EC24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44C0062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Վերլուծական մեթոդիկաների վալիդացման համարժեքության փորձագիտական գնահատականը:</w:t>
      </w:r>
    </w:p>
    <w:p w14:paraId="15B97A7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079AD3D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Սերիայից սերիա՝ ԱԴԲ-ի համասեռության մասին տեղեկատվություն:</w:t>
      </w:r>
    </w:p>
    <w:p w14:paraId="59BE691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գնահատել, թե ինչպես է հաստատվել հետերոգենության պրոֆիլի հաստատունությունը (օրինակ՝ գլիկոձ</w:t>
      </w:r>
      <w:r w:rsidR="00C54D75">
        <w:rPr>
          <w:rFonts w:ascii="Sylfaen" w:hAnsi="Sylfaen"/>
          <w:sz w:val="24"/>
          <w:szCs w:val="24"/>
        </w:rPr>
        <w:t>և</w:t>
      </w:r>
      <w:r w:rsidRPr="003B2786">
        <w:rPr>
          <w:rFonts w:ascii="Sylfaen" w:hAnsi="Sylfaen"/>
          <w:sz w:val="24"/>
          <w:szCs w:val="24"/>
        </w:rPr>
        <w:t>, իզոձ</w:t>
      </w:r>
      <w:r w:rsidR="00C54D75">
        <w:rPr>
          <w:rFonts w:ascii="Sylfaen" w:hAnsi="Sylfaen"/>
          <w:sz w:val="24"/>
          <w:szCs w:val="24"/>
        </w:rPr>
        <w:t>և</w:t>
      </w:r>
      <w:r w:rsidRPr="003B2786">
        <w:rPr>
          <w:rFonts w:ascii="Sylfaen" w:hAnsi="Sylfaen"/>
          <w:sz w:val="24"/>
          <w:szCs w:val="24"/>
        </w:rPr>
        <w:t>):</w:t>
      </w:r>
    </w:p>
    <w:p w14:paraId="78D2DD8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վերլուծել տարբերությունները, եթե այդպիսիք առկա են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համար նախատեսված ԱԴԲ-ի սերիաների խառնուկների պարունակության մեջ </w:t>
      </w:r>
      <w:r w:rsidR="00C54D75">
        <w:rPr>
          <w:rFonts w:ascii="Sylfaen" w:hAnsi="Sylfaen"/>
          <w:sz w:val="24"/>
          <w:szCs w:val="24"/>
        </w:rPr>
        <w:t>և</w:t>
      </w:r>
      <w:r w:rsidRPr="003B2786">
        <w:rPr>
          <w:rFonts w:ascii="Sylfaen" w:hAnsi="Sylfaen"/>
          <w:sz w:val="24"/>
          <w:szCs w:val="24"/>
        </w:rPr>
        <w:t xml:space="preserve"> արդյունաբերական </w:t>
      </w:r>
      <w:r w:rsidRPr="003B2786">
        <w:rPr>
          <w:rFonts w:ascii="Sylfaen" w:hAnsi="Sylfaen"/>
          <w:sz w:val="24"/>
          <w:szCs w:val="24"/>
        </w:rPr>
        <w:lastRenderedPageBreak/>
        <w:t>սերիաներում:</w:t>
      </w:r>
    </w:p>
    <w:p w14:paraId="4C89E1D5"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60A9750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Ընդունելիության չափանիշների թույլատրելի ընդգրկույթի որոշման հիմքում ընկած՝ ներկայացվող հիմնավորման նկարագրությունը՝ հաշվի առնելով արտադրության </w:t>
      </w:r>
      <w:r w:rsidR="00C54D75">
        <w:rPr>
          <w:rFonts w:ascii="Sylfaen" w:hAnsi="Sylfaen"/>
          <w:sz w:val="24"/>
          <w:szCs w:val="24"/>
        </w:rPr>
        <w:t>և</w:t>
      </w:r>
      <w:r w:rsidRPr="003B2786">
        <w:rPr>
          <w:rFonts w:ascii="Sylfaen" w:hAnsi="Sylfaen"/>
          <w:sz w:val="24"/>
          <w:szCs w:val="24"/>
        </w:rPr>
        <w:t xml:space="preserve"> մաքրման ամբողջական պրոցեսը, ինչպես նա</w:t>
      </w:r>
      <w:r w:rsidR="00C54D75">
        <w:rPr>
          <w:rFonts w:ascii="Sylfaen" w:hAnsi="Sylfaen"/>
          <w:sz w:val="24"/>
          <w:szCs w:val="24"/>
        </w:rPr>
        <w:t>և</w:t>
      </w:r>
      <w:r w:rsidRPr="003B2786">
        <w:rPr>
          <w:rFonts w:ascii="Sylfaen" w:hAnsi="Sylfaen"/>
          <w:sz w:val="24"/>
          <w:szCs w:val="24"/>
        </w:rPr>
        <w:t xml:space="preserve"> օգտագործված վերլուծական մեթոդիկաները: Ընդունելիության չափանիշները պետք է հաստատվեն </w:t>
      </w:r>
      <w:r w:rsidR="00C54D75">
        <w:rPr>
          <w:rFonts w:ascii="Sylfaen" w:hAnsi="Sylfaen"/>
          <w:sz w:val="24"/>
          <w:szCs w:val="24"/>
        </w:rPr>
        <w:t>և</w:t>
      </w:r>
      <w:r w:rsidRPr="003B2786">
        <w:rPr>
          <w:rFonts w:ascii="Sylfaen" w:hAnsi="Sylfaen"/>
          <w:sz w:val="24"/>
          <w:szCs w:val="24"/>
        </w:rPr>
        <w:t xml:space="preserve"> հիմնավորվեն նախակլինիկական </w:t>
      </w:r>
      <w:r w:rsidR="00C54D75">
        <w:rPr>
          <w:rFonts w:ascii="Sylfaen" w:hAnsi="Sylfaen"/>
          <w:sz w:val="24"/>
          <w:szCs w:val="24"/>
        </w:rPr>
        <w:t>և</w:t>
      </w:r>
      <w:r w:rsidRPr="003B2786">
        <w:rPr>
          <w:rFonts w:ascii="Sylfaen" w:hAnsi="Sylfaen"/>
          <w:sz w:val="24"/>
          <w:szCs w:val="24"/>
        </w:rPr>
        <w:t xml:space="preserve"> (կամ) կլինիկական հետազոտություններում օգտագործված սերիաների տվյալների, արտադրական պրոցեսի շարունակականությունը հաստատելու համար օգտագործված սերիաների տվյալների, ինչպես նա</w:t>
      </w:r>
      <w:r w:rsidR="00C54D75">
        <w:rPr>
          <w:rFonts w:ascii="Sylfaen" w:hAnsi="Sylfaen"/>
          <w:sz w:val="24"/>
          <w:szCs w:val="24"/>
        </w:rPr>
        <w:t>և</w:t>
      </w:r>
      <w:r w:rsidRPr="003B2786">
        <w:rPr>
          <w:rFonts w:ascii="Sylfaen" w:hAnsi="Sylfaen"/>
          <w:sz w:val="24"/>
          <w:szCs w:val="24"/>
        </w:rPr>
        <w:t xml:space="preserve"> կայունության փորձարկումների տվյալների </w:t>
      </w:r>
      <w:r w:rsidR="00C54D75">
        <w:rPr>
          <w:rFonts w:ascii="Sylfaen" w:hAnsi="Sylfaen"/>
          <w:sz w:val="24"/>
          <w:szCs w:val="24"/>
        </w:rPr>
        <w:t>և</w:t>
      </w:r>
      <w:r w:rsidRPr="003B2786">
        <w:rPr>
          <w:rFonts w:ascii="Sylfaen" w:hAnsi="Sylfaen"/>
          <w:sz w:val="24"/>
          <w:szCs w:val="24"/>
        </w:rPr>
        <w:t xml:space="preserve"> մշակման վերաբերյալ համապատասխան տվյալների հիման վրա:</w:t>
      </w:r>
    </w:p>
    <w:p w14:paraId="5FFB86C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Որոշ դեպքերում առավել նպատակահարմար </w:t>
      </w:r>
      <w:r w:rsidR="00C54D75">
        <w:rPr>
          <w:rFonts w:ascii="Sylfaen" w:hAnsi="Sylfaen"/>
          <w:sz w:val="24"/>
          <w:szCs w:val="24"/>
        </w:rPr>
        <w:t>և</w:t>
      </w:r>
      <w:r w:rsidRPr="003B2786">
        <w:rPr>
          <w:rFonts w:ascii="Sylfaen" w:hAnsi="Sylfaen"/>
          <w:sz w:val="24"/>
          <w:szCs w:val="24"/>
        </w:rPr>
        <w:t xml:space="preserve"> ընդունելի է փորձարկումներ անցկացնել ոչ թե պատրաստի ԱԴԲ-ների կամ ԴՊ-ների վրա, այլ արտադրության փուլերում: Այդպիսի դեպքերում փորձարկումների արդյունքները պետք է դիտարկվեն որպես ներարտադրական պրոցեսի ընդունելիության չափանիշներ </w:t>
      </w:r>
      <w:r w:rsidR="00C54D75">
        <w:rPr>
          <w:rFonts w:ascii="Sylfaen" w:hAnsi="Sylfaen"/>
          <w:sz w:val="24"/>
          <w:szCs w:val="24"/>
        </w:rPr>
        <w:t>և</w:t>
      </w:r>
      <w:r w:rsidRPr="003B2786">
        <w:rPr>
          <w:rFonts w:ascii="Sylfaen" w:hAnsi="Sylfaen"/>
          <w:sz w:val="24"/>
          <w:szCs w:val="24"/>
        </w:rPr>
        <w:t xml:space="preserve"> ներառվեն ԱԴԲ-ի կամ ԴՊ-ի մասնագրում՝ Միության կամ տարածաշրջանային լիազորված մարմինների պահանջներին համապատասխան:</w:t>
      </w:r>
    </w:p>
    <w:p w14:paraId="4F6E5616" w14:textId="3E8A2669"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որոշի, թե արդյոք </w:t>
      </w:r>
      <w:r w:rsidR="0056496B">
        <w:rPr>
          <w:rFonts w:ascii="Sylfaen" w:hAnsi="Sylfaen"/>
          <w:sz w:val="24"/>
          <w:szCs w:val="24"/>
        </w:rPr>
        <w:t>դիմումատու</w:t>
      </w:r>
      <w:r w:rsidRPr="003B2786">
        <w:rPr>
          <w:rFonts w:ascii="Sylfaen" w:hAnsi="Sylfaen"/>
          <w:sz w:val="24"/>
          <w:szCs w:val="24"/>
        </w:rPr>
        <w:t xml:space="preserve">ն մշակման էտապում օգտագործված մեթոդների ամբողջ ծավալից ընտրել է մեթոդների համապատասխան համալիր, որը պետք է կիրառվի ԱԴԲ-ի հատկորոշման ցուցանիշների ընթացիկ հսկողության </w:t>
      </w:r>
      <w:r w:rsidR="00C54D75">
        <w:rPr>
          <w:rFonts w:ascii="Sylfaen" w:hAnsi="Sylfaen"/>
          <w:sz w:val="24"/>
          <w:szCs w:val="24"/>
        </w:rPr>
        <w:t>և</w:t>
      </w:r>
      <w:r w:rsidRPr="003B2786">
        <w:rPr>
          <w:rFonts w:ascii="Sylfaen" w:hAnsi="Sylfaen"/>
          <w:sz w:val="24"/>
          <w:szCs w:val="24"/>
        </w:rPr>
        <w:t xml:space="preserve"> արտադրանքի բնութագրերի որոշման համար: </w:t>
      </w:r>
    </w:p>
    <w:p w14:paraId="56E96302" w14:textId="77777777" w:rsidR="008C76E0"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3.5.</w:t>
      </w:r>
      <w:r>
        <w:rPr>
          <w:rFonts w:ascii="Sylfaen" w:hAnsi="Sylfaen"/>
          <w:sz w:val="24"/>
          <w:szCs w:val="24"/>
        </w:rPr>
        <w:tab/>
      </w:r>
      <w:r w:rsidRPr="003B2786">
        <w:rPr>
          <w:rFonts w:ascii="Sylfaen" w:hAnsi="Sylfaen"/>
          <w:sz w:val="24"/>
          <w:szCs w:val="24"/>
        </w:rPr>
        <w:t>Ստանդարտ նմուշները կամ նյութերը (մոդուլ 3.2.S.5)</w:t>
      </w:r>
    </w:p>
    <w:p w14:paraId="52881579"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p>
    <w:p w14:paraId="49ACA351" w14:textId="77777777" w:rsidR="00473371" w:rsidRDefault="00473371">
      <w:pPr>
        <w:widowControl/>
        <w:rPr>
          <w:rFonts w:ascii="Sylfaen" w:hAnsi="Sylfaen"/>
          <w:sz w:val="24"/>
          <w:szCs w:val="24"/>
        </w:rPr>
      </w:pPr>
      <w:r>
        <w:rPr>
          <w:rFonts w:ascii="Sylfaen" w:hAnsi="Sylfaen"/>
          <w:sz w:val="24"/>
          <w:szCs w:val="24"/>
        </w:rPr>
        <w:br w:type="page"/>
      </w:r>
    </w:p>
    <w:p w14:paraId="7F022487" w14:textId="0392926B"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lastRenderedPageBreak/>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104041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Նշել, թե արդյոք հասանելի են հիմնական դեղագրքերի ստանդարտ նմուշները՝ Եվրասիական տնտեսական հանձնաժողովի կողմից հաստատվող՝ Եվրասիական տնտեսական միության անդամ պետությունների դեղագրքերի ներդաշնակեցման հայեցակարգին համապատասխան:</w:t>
      </w:r>
    </w:p>
    <w:p w14:paraId="0C1EED3B" w14:textId="77777777" w:rsidR="008C76E0" w:rsidRPr="003B2786" w:rsidRDefault="008C76E0" w:rsidP="00473371">
      <w:pPr>
        <w:spacing w:after="160" w:line="360" w:lineRule="auto"/>
        <w:ind w:firstLine="567"/>
        <w:jc w:val="both"/>
        <w:rPr>
          <w:rFonts w:ascii="Sylfaen" w:hAnsi="Sylfaen"/>
          <w:sz w:val="24"/>
          <w:szCs w:val="24"/>
        </w:rPr>
      </w:pPr>
    </w:p>
    <w:p w14:paraId="197F965A"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Կենսատեխնոլոգիական պատրաստուկներ</w:t>
      </w:r>
    </w:p>
    <w:p w14:paraId="4EB7AAB9" w14:textId="732DEDFF"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Նոր մոլեկուլյար նյութերի գրանցման վերաբերյալ </w:t>
      </w:r>
      <w:r w:rsidR="009F5829">
        <w:rPr>
          <w:rFonts w:ascii="Sylfaen" w:hAnsi="Sylfaen"/>
          <w:sz w:val="24"/>
          <w:szCs w:val="24"/>
        </w:rPr>
        <w:t>դիմումներ</w:t>
      </w:r>
      <w:r w:rsidRPr="003B2786">
        <w:rPr>
          <w:rFonts w:ascii="Sylfaen" w:hAnsi="Sylfaen"/>
          <w:sz w:val="24"/>
          <w:szCs w:val="24"/>
        </w:rPr>
        <w:t>ի ներկայացման առումով կիրառվող միջազգային կամ ազգային ստանդարտ նմուշի առկայությունը քիչ հավանական է:</w:t>
      </w:r>
    </w:p>
    <w:p w14:paraId="771D659A" w14:textId="1F0A9D9E" w:rsidR="008C76E0" w:rsidRPr="003B2786" w:rsidRDefault="0056496B" w:rsidP="00473371">
      <w:pPr>
        <w:spacing w:after="160" w:line="360" w:lineRule="auto"/>
        <w:ind w:right="-1" w:firstLine="567"/>
        <w:jc w:val="both"/>
        <w:rPr>
          <w:rFonts w:ascii="Sylfaen" w:hAnsi="Sylfaen"/>
          <w:sz w:val="24"/>
          <w:szCs w:val="24"/>
        </w:rPr>
      </w:pPr>
      <w:r>
        <w:rPr>
          <w:rFonts w:ascii="Sylfaen" w:hAnsi="Sylfaen"/>
          <w:sz w:val="24"/>
          <w:szCs w:val="24"/>
        </w:rPr>
        <w:t>Դիմում</w:t>
      </w:r>
      <w:r w:rsidR="008C76E0" w:rsidRPr="003B2786">
        <w:rPr>
          <w:rFonts w:ascii="Sylfaen" w:hAnsi="Sylfaen"/>
          <w:sz w:val="24"/>
          <w:szCs w:val="24"/>
        </w:rPr>
        <w:t xml:space="preserve"> ներկայացնելու պահին արտադրողը պետք է համապատասխան ձ</w:t>
      </w:r>
      <w:r w:rsidR="00C54D75">
        <w:rPr>
          <w:rFonts w:ascii="Sylfaen" w:hAnsi="Sylfaen"/>
          <w:sz w:val="24"/>
          <w:szCs w:val="24"/>
        </w:rPr>
        <w:t>և</w:t>
      </w:r>
      <w:r w:rsidR="008C76E0" w:rsidRPr="003B2786">
        <w:rPr>
          <w:rFonts w:ascii="Sylfaen" w:hAnsi="Sylfaen"/>
          <w:sz w:val="24"/>
          <w:szCs w:val="24"/>
        </w:rPr>
        <w:t xml:space="preserve">ով հաստատի բնութագրված ներքին ստանդարտ ելանյութերը՝ ներկայացուցչական արտադրական ընտրանք հանդիսացող </w:t>
      </w:r>
      <w:r w:rsidR="00C54D75">
        <w:rPr>
          <w:rFonts w:ascii="Sylfaen" w:hAnsi="Sylfaen"/>
          <w:sz w:val="24"/>
          <w:szCs w:val="24"/>
        </w:rPr>
        <w:t>և</w:t>
      </w:r>
      <w:r w:rsidR="008C76E0" w:rsidRPr="003B2786">
        <w:rPr>
          <w:rFonts w:ascii="Sylfaen" w:hAnsi="Sylfaen"/>
          <w:sz w:val="24"/>
          <w:szCs w:val="24"/>
        </w:rPr>
        <w:t xml:space="preserve"> կլինիկական հետազոտություններում օգտագործված սերիաների հիման վրա: Ելքային արտադրանքի սերիաները փորձարկելիս օգտագործված սեփական աշխատանքային ստանդարտ նյութերը ենթակա են ստանդարտացման (ատեստավորման)՝ տվյալ ստանդարտ ելանյութի օգտագործմամբ:</w:t>
      </w:r>
    </w:p>
    <w:p w14:paraId="3DCFC27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Միջազգային կամ ազգային ստանդարտի առկայության կամ կիրառման նպատակահարմարության դեպքում ստանդարտ նյութերի ստանդարտացումը (ատեստավորումը) հարկ է անցկացնել տվյալ ստանդարտների օգտագործմամբ: Թեպետ կենսաբանական վերլուծությունների </w:t>
      </w:r>
      <w:r w:rsidR="00C54D75">
        <w:rPr>
          <w:rFonts w:ascii="Sylfaen" w:hAnsi="Sylfaen"/>
          <w:sz w:val="24"/>
          <w:szCs w:val="24"/>
        </w:rPr>
        <w:t>և</w:t>
      </w:r>
      <w:r w:rsidRPr="003B2786">
        <w:rPr>
          <w:rFonts w:ascii="Sylfaen" w:hAnsi="Sylfaen"/>
          <w:sz w:val="24"/>
          <w:szCs w:val="24"/>
        </w:rPr>
        <w:t xml:space="preserve"> ֆիզիկաքիմիական փորձարկումների համար առավել նախընտրելի է օգտագործել մի</w:t>
      </w:r>
      <w:r w:rsidR="00C54D75">
        <w:rPr>
          <w:rFonts w:ascii="Sylfaen" w:hAnsi="Sylfaen"/>
          <w:sz w:val="24"/>
          <w:szCs w:val="24"/>
        </w:rPr>
        <w:t>և</w:t>
      </w:r>
      <w:r w:rsidRPr="003B2786">
        <w:rPr>
          <w:rFonts w:ascii="Sylfaen" w:hAnsi="Sylfaen"/>
          <w:sz w:val="24"/>
          <w:szCs w:val="24"/>
        </w:rPr>
        <w:t xml:space="preserve">նույն ստանդարտ նյութը, որոշ դեպքերում կարող է պահանջվել տարբեր ստանդարտ նյութերի կիրառում: </w:t>
      </w:r>
    </w:p>
    <w:p w14:paraId="6663993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Բացի այդ, հարակից միացությունների, հարակից խառնուկների </w:t>
      </w:r>
      <w:r w:rsidR="00C54D75">
        <w:rPr>
          <w:rFonts w:ascii="Sylfaen" w:hAnsi="Sylfaen"/>
          <w:sz w:val="24"/>
          <w:szCs w:val="24"/>
        </w:rPr>
        <w:t>և</w:t>
      </w:r>
      <w:r w:rsidRPr="003B2786">
        <w:rPr>
          <w:rFonts w:ascii="Sylfaen" w:hAnsi="Sylfaen"/>
          <w:sz w:val="24"/>
          <w:szCs w:val="24"/>
        </w:rPr>
        <w:t xml:space="preserve"> տեխնոլոգիական խառնուկների որոշման համար կարող են պահանջվել տարբեր ստանդարտ նյութեր:</w:t>
      </w:r>
    </w:p>
    <w:p w14:paraId="15F96185"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Կիրառելի դեպքերում կարող է պահանջվել, որ գրանցման դոսյեում ներառվի ստանդարտ նյութերի արտադրության </w:t>
      </w:r>
      <w:r w:rsidR="00C54D75">
        <w:rPr>
          <w:rFonts w:ascii="Sylfaen" w:hAnsi="Sylfaen"/>
          <w:sz w:val="24"/>
          <w:szCs w:val="24"/>
        </w:rPr>
        <w:t>և</w:t>
      </w:r>
      <w:r w:rsidRPr="003B2786">
        <w:rPr>
          <w:rFonts w:ascii="Sylfaen" w:hAnsi="Sylfaen"/>
          <w:sz w:val="24"/>
          <w:szCs w:val="24"/>
        </w:rPr>
        <w:t xml:space="preserve"> (կամ) մաքրման պրոցեսի նկարագրությունը: Նա</w:t>
      </w:r>
      <w:r w:rsidR="00C54D75">
        <w:rPr>
          <w:rFonts w:ascii="Sylfaen" w:hAnsi="Sylfaen"/>
          <w:sz w:val="24"/>
          <w:szCs w:val="24"/>
        </w:rPr>
        <w:t>և</w:t>
      </w:r>
      <w:r w:rsidRPr="003B2786">
        <w:rPr>
          <w:rFonts w:ascii="Sylfaen" w:hAnsi="Sylfaen"/>
          <w:sz w:val="24"/>
          <w:szCs w:val="24"/>
        </w:rPr>
        <w:t xml:space="preserve"> անհրաժեշտ է ներկայացնել բնութագրերի, պահպանման պայմանների </w:t>
      </w:r>
      <w:r w:rsidR="00C54D75">
        <w:rPr>
          <w:rFonts w:ascii="Sylfaen" w:hAnsi="Sylfaen"/>
          <w:sz w:val="24"/>
          <w:szCs w:val="24"/>
        </w:rPr>
        <w:t>և</w:t>
      </w:r>
      <w:r w:rsidRPr="003B2786">
        <w:rPr>
          <w:rFonts w:ascii="Sylfaen" w:hAnsi="Sylfaen"/>
          <w:sz w:val="24"/>
          <w:szCs w:val="24"/>
        </w:rPr>
        <w:t xml:space="preserve"> բաղադրության վերաբերյալ ստանդարտ նյութերի կայունությունն ապահովող փաստաթղթեր:</w:t>
      </w:r>
    </w:p>
    <w:p w14:paraId="1B1EE7F0"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Կենսանման դեղամիջոցի համար անհրաժեշտ է ներկայացնել ակտիվ դեղագործական բաղադրամասի (ԱԴԲ) հատկությունների համադրելիության հետազոտության արդյունքները: Համապատասխան դեպքերում անհրաժեշտ է հաստատել 3.2.Р.6 բաժնում նշված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ԱԴԲ-ն:</w:t>
      </w:r>
    </w:p>
    <w:p w14:paraId="0BB493A5" w14:textId="77777777" w:rsidR="008C76E0" w:rsidRPr="003B2786" w:rsidRDefault="008C76E0" w:rsidP="00473371">
      <w:pPr>
        <w:tabs>
          <w:tab w:val="left" w:pos="1134"/>
        </w:tabs>
        <w:spacing w:after="160" w:line="384" w:lineRule="auto"/>
        <w:ind w:firstLine="567"/>
        <w:jc w:val="both"/>
        <w:outlineLvl w:val="0"/>
        <w:rPr>
          <w:rFonts w:ascii="Sylfaen" w:hAnsi="Sylfaen"/>
          <w:sz w:val="24"/>
          <w:szCs w:val="24"/>
        </w:rPr>
      </w:pPr>
      <w:r w:rsidRPr="003B2786">
        <w:rPr>
          <w:rFonts w:ascii="Sylfaen" w:hAnsi="Sylfaen"/>
          <w:sz w:val="24"/>
          <w:szCs w:val="24"/>
        </w:rPr>
        <w:t>3.6.</w:t>
      </w:r>
      <w:r>
        <w:rPr>
          <w:rFonts w:ascii="Sylfaen" w:hAnsi="Sylfaen"/>
          <w:sz w:val="24"/>
          <w:szCs w:val="24"/>
        </w:rPr>
        <w:tab/>
      </w:r>
      <w:r w:rsidRPr="003B2786">
        <w:rPr>
          <w:rFonts w:ascii="Sylfaen" w:hAnsi="Sylfaen"/>
          <w:sz w:val="24"/>
          <w:szCs w:val="24"/>
        </w:rPr>
        <w:t>Փաթեթավորման (խցանափակման) համակարգը (մոդուլ 3.2.S.6)</w:t>
      </w:r>
    </w:p>
    <w:p w14:paraId="2990CFEC"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Հարկ է գնահատել կոնտեյների ընտրության </w:t>
      </w:r>
      <w:r w:rsidR="00C54D75">
        <w:rPr>
          <w:rFonts w:ascii="Sylfaen" w:hAnsi="Sylfaen"/>
          <w:sz w:val="24"/>
          <w:szCs w:val="24"/>
        </w:rPr>
        <w:t>և</w:t>
      </w:r>
      <w:r w:rsidRPr="003B2786">
        <w:rPr>
          <w:rFonts w:ascii="Sylfaen" w:hAnsi="Sylfaen"/>
          <w:sz w:val="24"/>
          <w:szCs w:val="24"/>
        </w:rPr>
        <w:t xml:space="preserve"> խցանափակման եղանակի հիմնավորվածությունը՝ հաշվի առնելով ԱԴԲ-ի ֆիզիկական (քիմիական) հատկանիշները:</w:t>
      </w:r>
    </w:p>
    <w:p w14:paraId="3385664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Տվյալ պարամետրի կար</w:t>
      </w:r>
      <w:r w:rsidR="00C54D75">
        <w:rPr>
          <w:rFonts w:ascii="Sylfaen" w:hAnsi="Sylfaen"/>
          <w:sz w:val="24"/>
          <w:szCs w:val="24"/>
        </w:rPr>
        <w:t>և</w:t>
      </w:r>
      <w:r w:rsidRPr="003B2786">
        <w:rPr>
          <w:rFonts w:ascii="Sylfaen" w:hAnsi="Sylfaen"/>
          <w:sz w:val="24"/>
          <w:szCs w:val="24"/>
        </w:rPr>
        <w:t>որության դեպքում հարկ է գնահատել, թե արդյոք տվյալ ընտրությամբ ապահովվում է մանրէային կոնտամինացիայից պատշաճ պաշտպանությունը:</w:t>
      </w:r>
    </w:p>
    <w:p w14:paraId="1FB28273"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Անհրաժեշտ է հաստատել, որ ընթացիկ պահպանման համար առաջարկվող կոնտեյներները համընկնում են այն կոնտեյներների հետ, որոնք օգտագործվել են կրկնակի փորձարկումների առաջարկվող ժամանակահատվածի հիմնավորմանն ուղղված կայունության հետազոտություններում (բաժին S.7):</w:t>
      </w:r>
    </w:p>
    <w:p w14:paraId="1E432D87" w14:textId="77777777" w:rsidR="008C76E0" w:rsidRPr="003B2786" w:rsidRDefault="008C76E0" w:rsidP="00473371">
      <w:pPr>
        <w:tabs>
          <w:tab w:val="left" w:pos="1134"/>
        </w:tabs>
        <w:spacing w:after="160" w:line="384" w:lineRule="auto"/>
        <w:ind w:firstLine="567"/>
        <w:jc w:val="both"/>
        <w:outlineLvl w:val="0"/>
        <w:rPr>
          <w:rFonts w:ascii="Sylfaen" w:hAnsi="Sylfaen"/>
          <w:sz w:val="24"/>
          <w:szCs w:val="24"/>
        </w:rPr>
      </w:pPr>
      <w:r w:rsidRPr="003B2786">
        <w:rPr>
          <w:rFonts w:ascii="Sylfaen" w:hAnsi="Sylfaen"/>
          <w:sz w:val="24"/>
          <w:szCs w:val="24"/>
        </w:rPr>
        <w:t>3.7.</w:t>
      </w:r>
      <w:r>
        <w:rPr>
          <w:rFonts w:ascii="Sylfaen" w:hAnsi="Sylfaen"/>
          <w:sz w:val="24"/>
          <w:szCs w:val="24"/>
        </w:rPr>
        <w:tab/>
      </w:r>
      <w:r w:rsidRPr="003B2786">
        <w:rPr>
          <w:rFonts w:ascii="Sylfaen" w:hAnsi="Sylfaen"/>
          <w:sz w:val="24"/>
          <w:szCs w:val="24"/>
        </w:rPr>
        <w:t>Կայունությունը (մոդուլ 3.2.S.7)</w:t>
      </w:r>
    </w:p>
    <w:p w14:paraId="12364CEB"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Տվյալ բաժնում հարկ է արտացոլել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ուսումնասիրության արդյունքները՝</w:t>
      </w:r>
    </w:p>
    <w:p w14:paraId="483181AD" w14:textId="77777777" w:rsidR="008C76E0" w:rsidRPr="003B2786" w:rsidRDefault="008C76E0" w:rsidP="00473371">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S.7.1.</w:t>
      </w:r>
      <w:r w:rsidRPr="003B2786">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w:t>
      </w:r>
    </w:p>
    <w:p w14:paraId="2E48AD6E" w14:textId="77777777" w:rsidR="008C76E0" w:rsidRPr="003B2786" w:rsidRDefault="008C76E0" w:rsidP="00473371">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lastRenderedPageBreak/>
        <w:t>S.7.2.</w:t>
      </w:r>
      <w:r w:rsidRPr="003B2786">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3B2786">
        <w:rPr>
          <w:rFonts w:ascii="Sylfaen" w:hAnsi="Sylfaen"/>
          <w:sz w:val="24"/>
          <w:szCs w:val="24"/>
        </w:rPr>
        <w:t xml:space="preserve"> կայունությանը վերաբերող պարտականությունները,</w:t>
      </w:r>
    </w:p>
    <w:p w14:paraId="353217C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S.7.3.</w:t>
      </w:r>
      <w:r w:rsidRPr="003B2786">
        <w:rPr>
          <w:rFonts w:ascii="Sylfaen" w:hAnsi="Sylfaen"/>
          <w:sz w:val="24"/>
          <w:szCs w:val="24"/>
        </w:rPr>
        <w:tab/>
        <w:t>Կայունության վերաբերյալ փորձարկումների տվյալները:</w:t>
      </w:r>
    </w:p>
    <w:p w14:paraId="5DC7C7D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թե արդյոք հետազոտություններն անցկացվել են Միության գործող ձեռնարկներին կամ Միջազգային ներդաշնակեցման համաժողովի (ICH) կողմից կիրառվող ձեռնարկներին համապատասխան: Անհրաժեշտ է ընդգծել շեղումների առկայությունը </w:t>
      </w:r>
      <w:r w:rsidR="00C54D75">
        <w:rPr>
          <w:rFonts w:ascii="Sylfaen" w:hAnsi="Sylfaen"/>
          <w:sz w:val="24"/>
          <w:szCs w:val="24"/>
        </w:rPr>
        <w:t>և</w:t>
      </w:r>
      <w:r w:rsidRPr="003B2786">
        <w:rPr>
          <w:rFonts w:ascii="Sylfaen" w:hAnsi="Sylfaen"/>
          <w:sz w:val="24"/>
          <w:szCs w:val="24"/>
        </w:rPr>
        <w:t xml:space="preserve"> դրանց հիմնավորվածությունը:</w:t>
      </w:r>
    </w:p>
    <w:p w14:paraId="544AA86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 հարկ է հղումներ բերել արտադրության մեջ ցանկացած տարբերությանը, ինչպես նա</w:t>
      </w:r>
      <w:r w:rsidR="00C54D75">
        <w:rPr>
          <w:rFonts w:ascii="Sylfaen" w:hAnsi="Sylfaen"/>
          <w:sz w:val="24"/>
          <w:szCs w:val="24"/>
        </w:rPr>
        <w:t>և</w:t>
      </w:r>
      <w:r w:rsidRPr="003B2786">
        <w:rPr>
          <w:rFonts w:ascii="Sylfaen" w:hAnsi="Sylfaen"/>
          <w:sz w:val="24"/>
          <w:szCs w:val="24"/>
        </w:rPr>
        <w:t xml:space="preserve"> ներկայացնել օգտագործված պրոցեսների նկարագրությունը՝ մեկնաբանություններ կատարելով այն մասին, թե արդյոք դրանք էական ազդեցություն են թողնում կայունության պրոֆիլի վրա:</w:t>
      </w:r>
    </w:p>
    <w:p w14:paraId="4F2B1F5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կայունության հետգրանցումային փորձարկումների ծրագրի բավարար լինելը, մասնավորապես՝ որոշված պարամետրերի մասով:</w:t>
      </w:r>
    </w:p>
    <w:p w14:paraId="445EB8C8" w14:textId="0C1FF510"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համոզվել, որ վերլուծական մեթոդիկաների արդյունքները ծառայում են որպես կայունության հուսալի ցուցանիշ (տե՛ս, կետ S.4): Պետք է ընտրվեն այնպիսի վերլուծական մեթոդիկաներ, որոնք հավաստիորեն վկայում են կայունության մասին </w:t>
      </w:r>
      <w:r w:rsidR="00C54D75">
        <w:rPr>
          <w:rFonts w:ascii="Sylfaen" w:hAnsi="Sylfaen"/>
          <w:sz w:val="24"/>
          <w:szCs w:val="24"/>
        </w:rPr>
        <w:t>և</w:t>
      </w:r>
      <w:r w:rsidRPr="003B2786">
        <w:rPr>
          <w:rFonts w:ascii="Sylfaen" w:hAnsi="Sylfaen"/>
          <w:sz w:val="24"/>
          <w:szCs w:val="24"/>
        </w:rPr>
        <w:t xml:space="preserve"> թույլ են տալիս ի </w:t>
      </w:r>
      <w:r w:rsidR="009B6AA0">
        <w:rPr>
          <w:rFonts w:ascii="Sylfaen" w:hAnsi="Sylfaen"/>
          <w:sz w:val="24"/>
          <w:szCs w:val="24"/>
        </w:rPr>
        <w:t>հայտ</w:t>
      </w:r>
      <w:r w:rsidRPr="003B2786">
        <w:rPr>
          <w:rFonts w:ascii="Sylfaen" w:hAnsi="Sylfaen"/>
          <w:sz w:val="24"/>
          <w:szCs w:val="24"/>
        </w:rPr>
        <w:t xml:space="preserve"> բերել ԱԴԲ-ի որակի ցուցանիշների էական փոփոխությունները:</w:t>
      </w:r>
    </w:p>
    <w:p w14:paraId="00E39884" w14:textId="2B2B8C2D"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Մասնավորապես, նոր կամ </w:t>
      </w:r>
      <w:r w:rsidR="005F6A31">
        <w:rPr>
          <w:rFonts w:ascii="Sylfaen" w:hAnsi="Sylfaen"/>
          <w:sz w:val="24"/>
          <w:szCs w:val="24"/>
        </w:rPr>
        <w:t>հայտնի</w:t>
      </w:r>
      <w:r w:rsidRPr="003B2786">
        <w:rPr>
          <w:rFonts w:ascii="Sylfaen" w:hAnsi="Sylfaen"/>
          <w:sz w:val="24"/>
          <w:szCs w:val="24"/>
        </w:rPr>
        <w:t xml:space="preserve"> քիմիական ակտիվ նյութերի դեպքում հարկ է համոզվել, որ կայունության հետազոտության ընթացքում օգտագործված կոնտեյներները համընկնում են ընթացիկ պահպանման համար առաջարկված կոնտեյներների հետ (տե՛ս, բաժին S.6), </w:t>
      </w:r>
      <w:r w:rsidR="00C54D75">
        <w:rPr>
          <w:rFonts w:ascii="Sylfaen" w:hAnsi="Sylfaen"/>
          <w:sz w:val="24"/>
          <w:szCs w:val="24"/>
        </w:rPr>
        <w:t>և</w:t>
      </w:r>
      <w:r w:rsidRPr="003B2786">
        <w:rPr>
          <w:rFonts w:ascii="Sylfaen" w:hAnsi="Sylfaen"/>
          <w:sz w:val="24"/>
          <w:szCs w:val="24"/>
        </w:rPr>
        <w:t xml:space="preserve"> հարկ է դա արտացոլել փորձագիտական հաշվետվության մեջ:</w:t>
      </w:r>
    </w:p>
    <w:p w14:paraId="365EBAD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Կրկնակի փորձարկումների համար առաջարկվող ժամանակահատվածի հիմնավորվածության մասին վերջնական եզրահանգումը:</w:t>
      </w:r>
    </w:p>
    <w:p w14:paraId="6B32E7D4"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lastRenderedPageBreak/>
        <w:t>4. Դեղապատրաստուկը (մոդուլ 3.2.Р)</w:t>
      </w:r>
    </w:p>
    <w:p w14:paraId="1AF4A2E2" w14:textId="77777777" w:rsidR="008C76E0" w:rsidRPr="003B2786" w:rsidRDefault="008C76E0" w:rsidP="00473371">
      <w:pPr>
        <w:tabs>
          <w:tab w:val="left" w:pos="1134"/>
        </w:tabs>
        <w:spacing w:after="160" w:line="360" w:lineRule="auto"/>
        <w:ind w:firstLine="567"/>
        <w:outlineLvl w:val="0"/>
        <w:rPr>
          <w:rFonts w:ascii="Sylfaen" w:hAnsi="Sylfaen"/>
          <w:sz w:val="24"/>
          <w:szCs w:val="24"/>
        </w:rPr>
      </w:pPr>
      <w:r w:rsidRPr="003B2786">
        <w:rPr>
          <w:rFonts w:ascii="Sylfaen" w:hAnsi="Sylfaen"/>
          <w:sz w:val="24"/>
          <w:szCs w:val="24"/>
        </w:rPr>
        <w:t>4.1.</w:t>
      </w:r>
      <w:r w:rsidRPr="003B2786">
        <w:rPr>
          <w:rFonts w:ascii="Sylfaen" w:hAnsi="Sylfaen"/>
          <w:sz w:val="24"/>
          <w:szCs w:val="24"/>
        </w:rPr>
        <w:tab/>
        <w:t>Դեղապատրաստուկի նկարագրությունն ու բաղադրությունը (մոդուլ 3.2.Р.1)</w:t>
      </w:r>
    </w:p>
    <w:p w14:paraId="36197D1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Դեղապատրաստուկի բացթողման ձ</w:t>
      </w:r>
      <w:r w:rsidR="00C54D75">
        <w:rPr>
          <w:rFonts w:ascii="Sylfaen" w:hAnsi="Sylfaen"/>
          <w:sz w:val="24"/>
          <w:szCs w:val="24"/>
        </w:rPr>
        <w:t>և</w:t>
      </w:r>
      <w:r w:rsidRPr="003B2786">
        <w:rPr>
          <w:rFonts w:ascii="Sylfaen" w:hAnsi="Sylfaen"/>
          <w:sz w:val="24"/>
          <w:szCs w:val="24"/>
        </w:rPr>
        <w:t xml:space="preserve">ը, այդ թվում՝ ջրիկացուցիչները (լուծիչները), բժշկական արտադրատեսակները </w:t>
      </w:r>
      <w:r w:rsidR="00C54D75">
        <w:rPr>
          <w:rFonts w:ascii="Sylfaen" w:hAnsi="Sylfaen"/>
          <w:sz w:val="24"/>
          <w:szCs w:val="24"/>
        </w:rPr>
        <w:t>և</w:t>
      </w:r>
      <w:r w:rsidRPr="003B2786">
        <w:rPr>
          <w:rFonts w:ascii="Sylfaen" w:hAnsi="Sylfaen"/>
          <w:sz w:val="24"/>
          <w:szCs w:val="24"/>
        </w:rPr>
        <w:t xml:space="preserve"> այլն պետք է հստակ նշված լինեն փորձագիտական հաշվետվության մեջ:</w:t>
      </w:r>
    </w:p>
    <w:p w14:paraId="0AE1802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դեղապատրաստուկի բացթողման ձ</w:t>
      </w:r>
      <w:r w:rsidR="00C54D75">
        <w:rPr>
          <w:rFonts w:ascii="Sylfaen" w:hAnsi="Sylfaen"/>
          <w:sz w:val="24"/>
          <w:szCs w:val="24"/>
        </w:rPr>
        <w:t>և</w:t>
      </w:r>
      <w:r w:rsidRPr="003B2786">
        <w:rPr>
          <w:rFonts w:ascii="Sylfaen" w:hAnsi="Sylfaen"/>
          <w:sz w:val="24"/>
          <w:szCs w:val="24"/>
        </w:rPr>
        <w:t xml:space="preserve">ում ներառված է բժշկական արտադրատեսակ, հարկ է փորձագիտական հաշվետվության 3.2.R բաժնում հղում կատարել այդ արտադրատեսակի մասին տեղեկատվության առկայությանը: Անհրաժեշտ է ընդգծել Միության շուկայում բժշկական արտադրատեսակների գրանցման առկայությունը </w:t>
      </w:r>
      <w:r w:rsidR="00C54D75">
        <w:rPr>
          <w:rFonts w:ascii="Sylfaen" w:hAnsi="Sylfaen"/>
          <w:sz w:val="24"/>
          <w:szCs w:val="24"/>
        </w:rPr>
        <w:t>և</w:t>
      </w:r>
      <w:r w:rsidRPr="003B2786">
        <w:rPr>
          <w:rFonts w:ascii="Sylfaen" w:hAnsi="Sylfaen"/>
          <w:sz w:val="24"/>
          <w:szCs w:val="24"/>
        </w:rPr>
        <w:t xml:space="preserve"> (կամ) բժշկական արտադրատեսակների վրա Միության շուկայում բժշկական արտադրատեսակների շրջանառության հատուկ նշանի առկայությունը՝ Միության շուկայում բժշկական արտադրատեսակների շրջանառության հատուկ նշանի մասին պահանջներին համապատասխան, ինչպես նա</w:t>
      </w:r>
      <w:r w:rsidR="00C54D75">
        <w:rPr>
          <w:rFonts w:ascii="Sylfaen" w:hAnsi="Sylfaen"/>
          <w:sz w:val="24"/>
          <w:szCs w:val="24"/>
        </w:rPr>
        <w:t>և</w:t>
      </w:r>
      <w:r w:rsidRPr="003B2786">
        <w:rPr>
          <w:rFonts w:ascii="Sylfaen" w:hAnsi="Sylfaen"/>
          <w:sz w:val="24"/>
          <w:szCs w:val="24"/>
        </w:rPr>
        <w:t xml:space="preserve"> հավաստիանալ, որ Միության շրջանակներում բժշկական արտադրատեսակների շրջանառության հատուկ նշանը համապատասխանում է արտադրատեսակի նշանակությանը:</w:t>
      </w:r>
    </w:p>
    <w:p w14:paraId="07FF127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հատուկ ուշադրություն դարձնել փաթեթավորման </w:t>
      </w:r>
      <w:r w:rsidR="00C54D75">
        <w:rPr>
          <w:rFonts w:ascii="Sylfaen" w:hAnsi="Sylfaen"/>
          <w:sz w:val="24"/>
          <w:szCs w:val="24"/>
        </w:rPr>
        <w:t>և</w:t>
      </w:r>
      <w:r w:rsidRPr="003B2786">
        <w:rPr>
          <w:rFonts w:ascii="Sylfaen" w:hAnsi="Sylfaen"/>
          <w:sz w:val="24"/>
          <w:szCs w:val="24"/>
        </w:rPr>
        <w:t xml:space="preserve"> խցանափակման համակարգի բնութագրերին, հատկապես՝ փխրուն (անկայուն) կամ մանրէազերծ պատրաստուկների մասով:</w:t>
      </w:r>
    </w:p>
    <w:p w14:paraId="5F7544F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Կենսանման դեղապատրաստուկի մասով հարկ է ուշադրություն դարձնել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բաղադրության հետ էական տարբերությունների վրա:</w:t>
      </w:r>
    </w:p>
    <w:p w14:paraId="30E28AD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4.2.</w:t>
      </w:r>
      <w:r>
        <w:rPr>
          <w:rFonts w:ascii="Sylfaen" w:hAnsi="Sylfaen"/>
          <w:sz w:val="24"/>
          <w:szCs w:val="24"/>
        </w:rPr>
        <w:tab/>
      </w:r>
      <w:r w:rsidRPr="003B2786">
        <w:rPr>
          <w:rFonts w:ascii="Sylfaen" w:hAnsi="Sylfaen"/>
          <w:sz w:val="24"/>
          <w:szCs w:val="24"/>
        </w:rPr>
        <w:t>Դեղագործական մշակումը (մոդուլ 3.2.Р.2)</w:t>
      </w:r>
    </w:p>
    <w:p w14:paraId="7DF6652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70926DD7"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Р.2.1.</w:t>
      </w:r>
      <w:r w:rsidRPr="003B2786">
        <w:rPr>
          <w:rFonts w:ascii="Sylfaen" w:hAnsi="Sylfaen"/>
          <w:sz w:val="24"/>
          <w:szCs w:val="24"/>
        </w:rPr>
        <w:tab/>
        <w:t>Դեղապատրաստուկի բաղադրիչները:</w:t>
      </w:r>
    </w:p>
    <w:p w14:paraId="3C8CBCA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Р.2.1.1.</w:t>
      </w:r>
      <w:r w:rsidRPr="003B2786">
        <w:rPr>
          <w:rFonts w:ascii="Sylfaen" w:hAnsi="Sylfaen"/>
          <w:sz w:val="24"/>
          <w:szCs w:val="24"/>
        </w:rPr>
        <w:tab/>
        <w:t>Ակտիվ դեղագործական բաղադրամասը:</w:t>
      </w:r>
    </w:p>
    <w:p w14:paraId="7E2D392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Р.2.1.2.</w:t>
      </w:r>
      <w:r w:rsidRPr="003B2786">
        <w:rPr>
          <w:rFonts w:ascii="Sylfaen" w:hAnsi="Sylfaen"/>
          <w:sz w:val="24"/>
          <w:szCs w:val="24"/>
        </w:rPr>
        <w:tab/>
        <w:t>Օժանդակ նյութերը:</w:t>
      </w:r>
    </w:p>
    <w:p w14:paraId="27F5ECF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w:t>
      </w:r>
      <w:r w:rsidRPr="003B2786">
        <w:rPr>
          <w:rFonts w:ascii="Sylfaen" w:hAnsi="Sylfaen"/>
          <w:sz w:val="24"/>
          <w:szCs w:val="24"/>
        </w:rPr>
        <w:tab/>
        <w:t>Դեղապատրաստուկը:</w:t>
      </w:r>
    </w:p>
    <w:p w14:paraId="208FFC3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Р.2.2.1.</w:t>
      </w:r>
      <w:r w:rsidRPr="003B2786">
        <w:rPr>
          <w:rFonts w:ascii="Sylfaen" w:hAnsi="Sylfaen"/>
          <w:sz w:val="24"/>
          <w:szCs w:val="24"/>
        </w:rPr>
        <w:tab/>
        <w:t>Դեղաձ</w:t>
      </w:r>
      <w:r w:rsidR="00C54D75">
        <w:rPr>
          <w:rFonts w:ascii="Sylfaen" w:hAnsi="Sylfaen"/>
          <w:sz w:val="24"/>
          <w:szCs w:val="24"/>
        </w:rPr>
        <w:t>և</w:t>
      </w:r>
      <w:r w:rsidRPr="003B2786">
        <w:rPr>
          <w:rFonts w:ascii="Sylfaen" w:hAnsi="Sylfaen"/>
          <w:sz w:val="24"/>
          <w:szCs w:val="24"/>
        </w:rPr>
        <w:t>ի մշակումը:</w:t>
      </w:r>
    </w:p>
    <w:p w14:paraId="4ECBD74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Р.2.2.2.</w:t>
      </w:r>
      <w:r w:rsidRPr="003B2786">
        <w:rPr>
          <w:rFonts w:ascii="Sylfaen" w:hAnsi="Sylfaen"/>
          <w:sz w:val="24"/>
          <w:szCs w:val="24"/>
        </w:rPr>
        <w:tab/>
        <w:t>Արտադրական ավելցուկները:</w:t>
      </w:r>
    </w:p>
    <w:p w14:paraId="7D0F481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Р.2.2.3.</w:t>
      </w:r>
      <w:r w:rsidRPr="003B2786">
        <w:rPr>
          <w:rFonts w:ascii="Sylfaen" w:hAnsi="Sylfaen"/>
          <w:sz w:val="24"/>
          <w:szCs w:val="24"/>
        </w:rPr>
        <w:tab/>
        <w:t xml:space="preserve">Ֆիզիկաքիմիական </w:t>
      </w:r>
      <w:r w:rsidR="00C54D75">
        <w:rPr>
          <w:rFonts w:ascii="Sylfaen" w:hAnsi="Sylfaen"/>
          <w:sz w:val="24"/>
          <w:szCs w:val="24"/>
        </w:rPr>
        <w:t>և</w:t>
      </w:r>
      <w:r w:rsidRPr="003B2786">
        <w:rPr>
          <w:rFonts w:ascii="Sylfaen" w:hAnsi="Sylfaen"/>
          <w:sz w:val="24"/>
          <w:szCs w:val="24"/>
        </w:rPr>
        <w:t xml:space="preserve"> կենսաբանական հատկությունները:</w:t>
      </w:r>
    </w:p>
    <w:p w14:paraId="4E4E61A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Р.2.3.</w:t>
      </w:r>
      <w:r w:rsidRPr="003B2786">
        <w:rPr>
          <w:rFonts w:ascii="Sylfaen" w:hAnsi="Sylfaen"/>
          <w:sz w:val="24"/>
          <w:szCs w:val="24"/>
        </w:rPr>
        <w:tab/>
        <w:t>Արտադրական պրոցեսի մշակումը:</w:t>
      </w:r>
    </w:p>
    <w:p w14:paraId="3004BA0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Р.2.4.</w:t>
      </w:r>
      <w:r w:rsidRPr="003B2786">
        <w:rPr>
          <w:rFonts w:ascii="Sylfaen" w:hAnsi="Sylfaen"/>
          <w:sz w:val="24"/>
          <w:szCs w:val="24"/>
        </w:rPr>
        <w:tab/>
        <w:t>Փաթեթավորման (խցանափակման) համակարգը:</w:t>
      </w:r>
    </w:p>
    <w:p w14:paraId="406081A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Р.2.5.</w:t>
      </w:r>
      <w:r w:rsidRPr="003B2786">
        <w:rPr>
          <w:rFonts w:ascii="Sylfaen" w:hAnsi="Sylfaen"/>
          <w:sz w:val="24"/>
          <w:szCs w:val="24"/>
        </w:rPr>
        <w:tab/>
        <w:t>Միկրոկենսաբանական բնութագրերը:</w:t>
      </w:r>
    </w:p>
    <w:p w14:paraId="515A632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Р.2.6.</w:t>
      </w:r>
      <w:r w:rsidRPr="003B2786">
        <w:rPr>
          <w:rFonts w:ascii="Sylfaen" w:hAnsi="Sylfaen"/>
          <w:sz w:val="24"/>
          <w:szCs w:val="24"/>
        </w:rPr>
        <w:tab/>
        <w:t>Համատեղելիությունը:</w:t>
      </w:r>
    </w:p>
    <w:p w14:paraId="139A51DE" w14:textId="77777777" w:rsidR="008C76E0" w:rsidRPr="003B2786" w:rsidRDefault="008C76E0" w:rsidP="00473371">
      <w:pPr>
        <w:spacing w:after="160" w:line="360" w:lineRule="auto"/>
        <w:ind w:firstLine="567"/>
        <w:jc w:val="center"/>
        <w:rPr>
          <w:rFonts w:ascii="Sylfaen" w:hAnsi="Sylfaen"/>
          <w:sz w:val="24"/>
          <w:szCs w:val="24"/>
        </w:rPr>
      </w:pPr>
    </w:p>
    <w:p w14:paraId="224379CE"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Դեղապատրաստուկի բաղադրիչները</w:t>
      </w:r>
    </w:p>
    <w:p w14:paraId="11A4AA9B" w14:textId="246F5546"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ԱԴԲ-ի համար հարկ է նշել, թե արդյոք </w:t>
      </w:r>
      <w:r w:rsidR="0056496B">
        <w:rPr>
          <w:rFonts w:ascii="Sylfaen" w:hAnsi="Sylfaen"/>
          <w:sz w:val="24"/>
          <w:szCs w:val="24"/>
        </w:rPr>
        <w:t>դիմումատու</w:t>
      </w:r>
      <w:r w:rsidRPr="003B2786">
        <w:rPr>
          <w:rFonts w:ascii="Sylfaen" w:hAnsi="Sylfaen"/>
          <w:sz w:val="24"/>
          <w:szCs w:val="24"/>
        </w:rPr>
        <w:t xml:space="preserve">ի կողմից որոշված են պացիենտի համար կլինիկորեն նշանակալի ֆիզիկաքիմիական հատկությունները: </w:t>
      </w:r>
    </w:p>
    <w:p w14:paraId="7531BCD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 հատկությունները պատշաճ կերպով արտացոլված են մասնագրում </w:t>
      </w:r>
      <w:r w:rsidR="00C54D75">
        <w:rPr>
          <w:rFonts w:ascii="Sylfaen" w:hAnsi="Sylfaen"/>
          <w:sz w:val="24"/>
          <w:szCs w:val="24"/>
        </w:rPr>
        <w:t>և</w:t>
      </w:r>
      <w:r w:rsidRPr="003B2786">
        <w:rPr>
          <w:rFonts w:ascii="Sylfaen" w:hAnsi="Sylfaen"/>
          <w:sz w:val="24"/>
          <w:szCs w:val="24"/>
        </w:rPr>
        <w:t xml:space="preserve"> արդյոք պատշաճ հսկողություն է իրականացվում դրանց նկատմամբ:</w:t>
      </w:r>
    </w:p>
    <w:p w14:paraId="1025AD31" w14:textId="1ED22155"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թե ինչի հիման վրա է </w:t>
      </w:r>
      <w:r w:rsidR="0056496B">
        <w:rPr>
          <w:rFonts w:ascii="Sylfaen" w:hAnsi="Sylfaen"/>
          <w:sz w:val="24"/>
          <w:szCs w:val="24"/>
        </w:rPr>
        <w:t>դիմումատու</w:t>
      </w:r>
      <w:r w:rsidRPr="003B2786">
        <w:rPr>
          <w:rFonts w:ascii="Sylfaen" w:hAnsi="Sylfaen"/>
          <w:sz w:val="24"/>
          <w:szCs w:val="24"/>
        </w:rPr>
        <w:t>ն որոշել արժեքների թույլատրելի նորմերը:</w:t>
      </w:r>
    </w:p>
    <w:p w14:paraId="1071EFAB"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Նշել ԱԴԲ-ի որակի այն ցուցանիշները, որոնք կարող են ազդել դեղապատրաստուկի որակի կրիտիկական ցուցանիշների վրա: Այդ ցուցանիշները կարող են որոշվել փորձառական (էմպիրիկ) կամ համակարգված գնահատման եղանակով՝ ռիսկերի գնահատման մեթոդների </w:t>
      </w:r>
      <w:r w:rsidR="00C54D75">
        <w:rPr>
          <w:rFonts w:ascii="Sylfaen" w:hAnsi="Sylfaen"/>
          <w:sz w:val="24"/>
          <w:szCs w:val="24"/>
        </w:rPr>
        <w:t>և</w:t>
      </w:r>
      <w:r w:rsidRPr="003B2786">
        <w:rPr>
          <w:rFonts w:ascii="Sylfaen" w:hAnsi="Sylfaen"/>
          <w:sz w:val="24"/>
          <w:szCs w:val="24"/>
        </w:rPr>
        <w:t xml:space="preserve"> վիճակագրության հիման վրա պլանավորված փորձարկումների կիրառման օգնությամբ: Համակարգված գնահատման դեպքում տե՛ս սույն փաստաթղթի թիվ 3 հավելվածը:</w:t>
      </w:r>
    </w:p>
    <w:p w14:paraId="7E0435C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Որոշել հնարավոր կրիտիկական պարամետրերը հսկողությունից հանելու հիմնավորման ընդունելիությունը:</w:t>
      </w:r>
    </w:p>
    <w:p w14:paraId="02911301" w14:textId="77777777" w:rsidR="008C76E0"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հիմնավորված է կենդանական կամ մարդկային ծագման նյութերի օգտագործումը:</w:t>
      </w:r>
    </w:p>
    <w:p w14:paraId="1292C7E3" w14:textId="77777777" w:rsidR="008C76E0" w:rsidRPr="003B2786" w:rsidRDefault="008C76E0" w:rsidP="00473371">
      <w:pPr>
        <w:spacing w:after="160" w:line="360" w:lineRule="auto"/>
        <w:ind w:right="-1" w:firstLine="567"/>
        <w:jc w:val="both"/>
        <w:rPr>
          <w:rFonts w:ascii="Sylfaen" w:hAnsi="Sylfaen"/>
          <w:sz w:val="24"/>
          <w:szCs w:val="24"/>
        </w:rPr>
      </w:pPr>
    </w:p>
    <w:p w14:paraId="240AFDA0"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Օժանդակ նյութեր</w:t>
      </w:r>
    </w:p>
    <w:p w14:paraId="54B0A96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դեղապատրաստուկի հատկությունների վրա ազդեցության առումով առկա են կար</w:t>
      </w:r>
      <w:r w:rsidR="00C54D75">
        <w:rPr>
          <w:rFonts w:ascii="Sylfaen" w:hAnsi="Sylfaen"/>
          <w:sz w:val="24"/>
          <w:szCs w:val="24"/>
        </w:rPr>
        <w:t>և</w:t>
      </w:r>
      <w:r w:rsidRPr="003B2786">
        <w:rPr>
          <w:rFonts w:ascii="Sylfaen" w:hAnsi="Sylfaen"/>
          <w:sz w:val="24"/>
          <w:szCs w:val="24"/>
        </w:rPr>
        <w:t>որ, նոր կամ ոչ ստանդարտ օժանդակ նյութեր:</w:t>
      </w:r>
    </w:p>
    <w:p w14:paraId="185FE329" w14:textId="2EA749DA"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նշել </w:t>
      </w:r>
      <w:r w:rsidR="0056496B">
        <w:rPr>
          <w:rFonts w:ascii="Sylfaen" w:hAnsi="Sylfaen"/>
          <w:sz w:val="24"/>
          <w:szCs w:val="24"/>
        </w:rPr>
        <w:t>դիմումատու</w:t>
      </w:r>
      <w:r w:rsidRPr="003B2786">
        <w:rPr>
          <w:rFonts w:ascii="Sylfaen" w:hAnsi="Sylfaen"/>
          <w:sz w:val="24"/>
          <w:szCs w:val="24"/>
        </w:rPr>
        <w:t xml:space="preserve">ի կողմից առանցքային օժանդակ նյութերի ընտրությունը </w:t>
      </w:r>
      <w:r w:rsidR="00C54D75">
        <w:rPr>
          <w:rFonts w:ascii="Sylfaen" w:hAnsi="Sylfaen"/>
          <w:sz w:val="24"/>
          <w:szCs w:val="24"/>
        </w:rPr>
        <w:t>և</w:t>
      </w:r>
      <w:r w:rsidRPr="003B2786">
        <w:rPr>
          <w:rFonts w:ascii="Sylfaen" w:hAnsi="Sylfaen"/>
          <w:sz w:val="24"/>
          <w:szCs w:val="24"/>
        </w:rPr>
        <w:t xml:space="preserve"> դրանց գործառույթները, օրինակ, որոնք ազդում են ձերբազատման, ձերբազատման տեղի կամ ԱԴԲ-ի դեղակինետիկայի վրա: Որոշ դեպքերում (օրինակ՝ ուլտրաձայնային հետազոտությունների անցկացման համար գազի դիսպերսիա), երբ դեղաձ</w:t>
      </w:r>
      <w:r w:rsidR="00C54D75">
        <w:rPr>
          <w:rFonts w:ascii="Sylfaen" w:hAnsi="Sylfaen"/>
          <w:sz w:val="24"/>
          <w:szCs w:val="24"/>
        </w:rPr>
        <w:t>և</w:t>
      </w:r>
      <w:r w:rsidRPr="003B2786">
        <w:rPr>
          <w:rFonts w:ascii="Sylfaen" w:hAnsi="Sylfaen"/>
          <w:sz w:val="24"/>
          <w:szCs w:val="24"/>
        </w:rPr>
        <w:t>ի ամբողջ համալիրով կամ համակարգով որոշվում է պատրաստուկի կլինիկական արդյունավետությունը, դրանք ենթակա են մանրակրկիտ ուսումնասիրության:</w:t>
      </w:r>
    </w:p>
    <w:p w14:paraId="319A505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հիմնավորված է օգտագործված օժանդակ նյութերի (կոնսերվանտներ, բուֆերային լուծույթներ </w:t>
      </w:r>
      <w:r w:rsidR="00C54D75">
        <w:rPr>
          <w:rFonts w:ascii="Sylfaen" w:hAnsi="Sylfaen"/>
          <w:sz w:val="24"/>
          <w:szCs w:val="24"/>
        </w:rPr>
        <w:t>և</w:t>
      </w:r>
      <w:r w:rsidRPr="003B2786">
        <w:rPr>
          <w:rFonts w:ascii="Sylfaen" w:hAnsi="Sylfaen"/>
          <w:sz w:val="24"/>
          <w:szCs w:val="24"/>
        </w:rPr>
        <w:t xml:space="preserve"> այլն) քանակը:</w:t>
      </w:r>
    </w:p>
    <w:p w14:paraId="08091F8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ԱԴԲ-ի որակի այն ցուցանիշները, որոնք կարող են ազդել դեղապատրաստուկի որակի կրիտիկական ցուցանիշների վրա: Այդ ցուցանիշները կարող են որոշվել փորձառական կամ համակարգված գնահատման եղանակով՝ ռիսկերի գնահատման մեթոդների </w:t>
      </w:r>
      <w:r w:rsidR="00C54D75">
        <w:rPr>
          <w:rFonts w:ascii="Sylfaen" w:hAnsi="Sylfaen"/>
          <w:sz w:val="24"/>
          <w:szCs w:val="24"/>
        </w:rPr>
        <w:t>և</w:t>
      </w:r>
      <w:r w:rsidRPr="003B2786">
        <w:rPr>
          <w:rFonts w:ascii="Sylfaen" w:hAnsi="Sylfaen"/>
          <w:sz w:val="24"/>
          <w:szCs w:val="24"/>
        </w:rPr>
        <w:t xml:space="preserve"> վիճակագրության հիման վրա պլանավորված փորձարկումների կիրառման օգնությամբ: Համակարգված գնահատման դեպքում (սույն փաստաթղթի թիվ 3 հավելված):</w:t>
      </w:r>
    </w:p>
    <w:p w14:paraId="610A620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Նա</w:t>
      </w:r>
      <w:r w:rsidR="00C54D75">
        <w:rPr>
          <w:rFonts w:ascii="Sylfaen" w:hAnsi="Sylfaen"/>
          <w:sz w:val="24"/>
          <w:szCs w:val="24"/>
        </w:rPr>
        <w:t>և</w:t>
      </w:r>
      <w:r w:rsidRPr="003B2786">
        <w:rPr>
          <w:rFonts w:ascii="Sylfaen" w:hAnsi="Sylfaen"/>
          <w:sz w:val="24"/>
          <w:szCs w:val="24"/>
        </w:rPr>
        <w:t xml:space="preserve"> հարկ է հաշվի առնել այն տեղեկությունները, որոնք պարունակվում են սույն հաշվետվության 4-րդ բաժնում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4 հավելված, մոդուլ 3.2.A.3՝ «Նոր օժանդակ </w:t>
      </w:r>
      <w:r w:rsidRPr="003B2786">
        <w:rPr>
          <w:rFonts w:ascii="Sylfaen" w:hAnsi="Sylfaen"/>
          <w:sz w:val="24"/>
          <w:szCs w:val="24"/>
        </w:rPr>
        <w:lastRenderedPageBreak/>
        <w:t xml:space="preserve">նյութեր»), որտեղ բերված է հենց այդ օժանդակ նյութի առավել մանրամասն գնահատականը: Հարկ է ուշադրություն դարձնել այն հանգամանքին, որ Միության շրջանակներում կամ անդամ պետությունների տարածքում գրանցված դեղապատրաստուկներում չպարունակվող նոր օժանդակ նյութերը կարող են դիտարկվել որպես նոր ԱԴԲ-ներ, ինչը հանգեցնում է համապատասխան տվյալները, այսինքն՝ արտադրության </w:t>
      </w:r>
      <w:r w:rsidR="00C54D75">
        <w:rPr>
          <w:rFonts w:ascii="Sylfaen" w:hAnsi="Sylfaen"/>
          <w:sz w:val="24"/>
          <w:szCs w:val="24"/>
        </w:rPr>
        <w:t>և</w:t>
      </w:r>
      <w:r w:rsidRPr="003B2786">
        <w:rPr>
          <w:rFonts w:ascii="Sylfaen" w:hAnsi="Sylfaen"/>
          <w:sz w:val="24"/>
          <w:szCs w:val="24"/>
        </w:rPr>
        <w:t xml:space="preserve"> հսկողության նկարագրության, թունաբանական հետազոտություններին արված հղումների ներկայացման </w:t>
      </w:r>
      <w:r w:rsidR="00C54D75">
        <w:rPr>
          <w:rFonts w:ascii="Sylfaen" w:hAnsi="Sylfaen"/>
          <w:sz w:val="24"/>
          <w:szCs w:val="24"/>
        </w:rPr>
        <w:t>և</w:t>
      </w:r>
      <w:r w:rsidRPr="003B2786">
        <w:rPr>
          <w:rFonts w:ascii="Sylfaen" w:hAnsi="Sylfaen"/>
          <w:sz w:val="24"/>
          <w:szCs w:val="24"/>
        </w:rPr>
        <w:t xml:space="preserve"> այլնի մասով տվյալները ամբողջ ծավալով ներկայացնելու պահանջների կիրառմանը:</w:t>
      </w:r>
    </w:p>
    <w:p w14:paraId="66601317" w14:textId="77777777" w:rsidR="008C76E0" w:rsidRPr="003B2786" w:rsidRDefault="008C76E0" w:rsidP="00473371">
      <w:pPr>
        <w:spacing w:after="160" w:line="360" w:lineRule="auto"/>
        <w:ind w:right="-1" w:firstLine="567"/>
        <w:jc w:val="center"/>
        <w:rPr>
          <w:rFonts w:ascii="Sylfaen" w:hAnsi="Sylfaen"/>
          <w:sz w:val="24"/>
          <w:szCs w:val="24"/>
        </w:rPr>
      </w:pPr>
    </w:p>
    <w:p w14:paraId="0EC9440F"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Դեղապատրաստուկ</w:t>
      </w:r>
    </w:p>
    <w:p w14:paraId="5A4499BC" w14:textId="01EED570"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Դեղաձ</w:t>
      </w:r>
      <w:r w:rsidR="00C54D75">
        <w:rPr>
          <w:rFonts w:ascii="Sylfaen" w:hAnsi="Sylfaen"/>
          <w:sz w:val="24"/>
          <w:szCs w:val="24"/>
        </w:rPr>
        <w:t>և</w:t>
      </w:r>
      <w:r w:rsidRPr="003B2786">
        <w:rPr>
          <w:rFonts w:ascii="Sylfaen" w:hAnsi="Sylfaen"/>
          <w:sz w:val="24"/>
          <w:szCs w:val="24"/>
        </w:rPr>
        <w:t xml:space="preserve">ի մշակումը. գնահատել պատրաստուկի՝ </w:t>
      </w:r>
      <w:r w:rsidR="0056496B">
        <w:rPr>
          <w:rFonts w:ascii="Sylfaen" w:hAnsi="Sylfaen"/>
          <w:sz w:val="24"/>
          <w:szCs w:val="24"/>
        </w:rPr>
        <w:t>դիմումատու</w:t>
      </w:r>
      <w:r w:rsidRPr="003B2786">
        <w:rPr>
          <w:rFonts w:ascii="Sylfaen" w:hAnsi="Sylfaen"/>
          <w:sz w:val="24"/>
          <w:szCs w:val="24"/>
        </w:rPr>
        <w:t xml:space="preserve">ի կողմից ներկայացված նպատակային պրոֆիլը, այսինքն՝ որակական այն բնութագրերի ցանկը, որոնք պատրաստուկը պետք է ունենա </w:t>
      </w:r>
      <w:r w:rsidR="001A5F1A">
        <w:rPr>
          <w:rFonts w:ascii="Sylfaen" w:hAnsi="Sylfaen"/>
          <w:sz w:val="24"/>
          <w:szCs w:val="24"/>
        </w:rPr>
        <w:t>հայտագրված</w:t>
      </w:r>
      <w:r w:rsidRPr="003B2786">
        <w:rPr>
          <w:rFonts w:ascii="Sylfaen" w:hAnsi="Sylfaen"/>
          <w:sz w:val="24"/>
          <w:szCs w:val="24"/>
        </w:rPr>
        <w:t xml:space="preserve"> որակի ապահովման համար՝ հաշվի առնելով անվտանգությունն ու արդյունավետությունը: Նշել, թե արդյոք դեղաձ</w:t>
      </w:r>
      <w:r w:rsidR="00C54D75">
        <w:rPr>
          <w:rFonts w:ascii="Sylfaen" w:hAnsi="Sylfaen"/>
          <w:sz w:val="24"/>
          <w:szCs w:val="24"/>
        </w:rPr>
        <w:t>և</w:t>
      </w:r>
      <w:r w:rsidRPr="003B2786">
        <w:rPr>
          <w:rFonts w:ascii="Sylfaen" w:hAnsi="Sylfaen"/>
          <w:sz w:val="24"/>
          <w:szCs w:val="24"/>
        </w:rPr>
        <w:t xml:space="preserve">ի մշակումը հաստատվել է կլինիկական հետազոտություններով: Եթե գրանցման համար </w:t>
      </w:r>
      <w:r w:rsidR="001A5F1A">
        <w:rPr>
          <w:rFonts w:ascii="Sylfaen" w:hAnsi="Sylfaen"/>
          <w:sz w:val="24"/>
          <w:szCs w:val="24"/>
        </w:rPr>
        <w:t>հայտագրված</w:t>
      </w:r>
      <w:r w:rsidRPr="003B2786">
        <w:rPr>
          <w:rFonts w:ascii="Sylfaen" w:hAnsi="Sylfaen"/>
          <w:sz w:val="24"/>
          <w:szCs w:val="24"/>
        </w:rPr>
        <w:t xml:space="preserve"> դեղապատրաստուկի </w:t>
      </w:r>
      <w:r w:rsidR="00C54D75">
        <w:rPr>
          <w:rFonts w:ascii="Sylfaen" w:hAnsi="Sylfaen"/>
          <w:sz w:val="24"/>
          <w:szCs w:val="24"/>
        </w:rPr>
        <w:t>և</w:t>
      </w:r>
      <w:r w:rsidRPr="003B2786">
        <w:rPr>
          <w:rFonts w:ascii="Sylfaen" w:hAnsi="Sylfaen"/>
          <w:sz w:val="24"/>
          <w:szCs w:val="24"/>
        </w:rPr>
        <w:t xml:space="preserve"> կլինիկական հետազոտություններում օգտագործված պատրաստուկի բաղադրությունները տարբերվում են, անհրաժեշտ է գնահատել դրանց կենսահամարժեքությունը: Հարկ է մեկնաբանել դեղապատրաստուկի որակական բնութագրերում հնարավոր տարբերությունները (օրինակ՝ խառնուկների </w:t>
      </w:r>
      <w:r w:rsidR="00C54D75">
        <w:rPr>
          <w:rFonts w:ascii="Sylfaen" w:hAnsi="Sylfaen"/>
          <w:sz w:val="24"/>
          <w:szCs w:val="24"/>
        </w:rPr>
        <w:t>և</w:t>
      </w:r>
      <w:r w:rsidRPr="003B2786">
        <w:rPr>
          <w:rFonts w:ascii="Sylfaen" w:hAnsi="Sylfaen"/>
          <w:sz w:val="24"/>
          <w:szCs w:val="24"/>
        </w:rPr>
        <w:t xml:space="preserve"> լուծելիության պրոֆիլները)՝ դեղաչափերի մեջ տարբերությունների առկայության կամ դեղաձ</w:t>
      </w:r>
      <w:r w:rsidR="00C54D75">
        <w:rPr>
          <w:rFonts w:ascii="Sylfaen" w:hAnsi="Sylfaen"/>
          <w:sz w:val="24"/>
          <w:szCs w:val="24"/>
        </w:rPr>
        <w:t>և</w:t>
      </w:r>
      <w:r w:rsidRPr="003B2786">
        <w:rPr>
          <w:rFonts w:ascii="Sylfaen" w:hAnsi="Sylfaen"/>
          <w:sz w:val="24"/>
          <w:szCs w:val="24"/>
        </w:rPr>
        <w:t xml:space="preserve">երի դեղաչափման սանդղակի ընդլայնման դեպքում: Անհրաժեշտ է մեկնաբանել լուծելիության փորձարկումների մեթոդիկայի մշակումը, փոփոխությունների նկարագրումը, որակյալ </w:t>
      </w:r>
      <w:r w:rsidR="00C54D75">
        <w:rPr>
          <w:rFonts w:ascii="Sylfaen" w:hAnsi="Sylfaen"/>
          <w:sz w:val="24"/>
          <w:szCs w:val="24"/>
        </w:rPr>
        <w:t>և</w:t>
      </w:r>
      <w:r w:rsidRPr="003B2786">
        <w:rPr>
          <w:rFonts w:ascii="Sylfaen" w:hAnsi="Sylfaen"/>
          <w:sz w:val="24"/>
          <w:szCs w:val="24"/>
        </w:rPr>
        <w:t xml:space="preserve"> անորակ դեղապատրաստուկի միջ</w:t>
      </w:r>
      <w:r w:rsidR="00C54D75">
        <w:rPr>
          <w:rFonts w:ascii="Sylfaen" w:hAnsi="Sylfaen"/>
          <w:sz w:val="24"/>
          <w:szCs w:val="24"/>
        </w:rPr>
        <w:t>և</w:t>
      </w:r>
      <w:r w:rsidRPr="003B2786">
        <w:rPr>
          <w:rFonts w:ascii="Sylfaen" w:hAnsi="Sylfaen"/>
          <w:sz w:val="24"/>
          <w:szCs w:val="24"/>
        </w:rPr>
        <w:t xml:space="preserve"> տարբերություններ ի </w:t>
      </w:r>
      <w:r w:rsidR="009B6AA0">
        <w:rPr>
          <w:rFonts w:ascii="Sylfaen" w:hAnsi="Sylfaen"/>
          <w:sz w:val="24"/>
          <w:szCs w:val="24"/>
        </w:rPr>
        <w:t>հայտ</w:t>
      </w:r>
      <w:r w:rsidRPr="003B2786">
        <w:rPr>
          <w:rFonts w:ascii="Sylfaen" w:hAnsi="Sylfaen"/>
          <w:sz w:val="24"/>
          <w:szCs w:val="24"/>
        </w:rPr>
        <w:t xml:space="preserve"> բերելու` մեթոդիկայի հնարավորության հաստատումը (մեթոդիկայի տարբերակիչ հատկություններ): Կիրառելիության դեպքում հարկ է նշել</w:t>
      </w:r>
      <w:r w:rsidRPr="003B2786">
        <w:rPr>
          <w:rFonts w:ascii="Sylfaen" w:hAnsi="Sylfaen"/>
          <w:b/>
          <w:sz w:val="24"/>
          <w:szCs w:val="24"/>
        </w:rPr>
        <w:t xml:space="preserve"> </w:t>
      </w:r>
      <w:r w:rsidRPr="003B2786">
        <w:rPr>
          <w:rFonts w:ascii="Sylfaen" w:hAnsi="Sylfaen"/>
          <w:sz w:val="24"/>
          <w:szCs w:val="24"/>
        </w:rPr>
        <w:t>in vitro-in vivo</w:t>
      </w:r>
      <w:r w:rsidRPr="003B2786">
        <w:rPr>
          <w:rFonts w:ascii="Sylfaen" w:hAnsi="Sylfaen"/>
          <w:b/>
          <w:sz w:val="24"/>
          <w:szCs w:val="24"/>
        </w:rPr>
        <w:t xml:space="preserve"> </w:t>
      </w:r>
      <w:r w:rsidRPr="003B2786">
        <w:rPr>
          <w:rFonts w:ascii="Sylfaen" w:hAnsi="Sylfaen"/>
          <w:sz w:val="24"/>
          <w:szCs w:val="24"/>
        </w:rPr>
        <w:t xml:space="preserve">համահարաբերակցությունը որոշելու մասով հետազոտությունների արդյունքները: Համապատասխան դեպքերում հարկ է հատուկ ուշադրություն </w:t>
      </w:r>
      <w:r w:rsidRPr="003B2786">
        <w:rPr>
          <w:rFonts w:ascii="Sylfaen" w:hAnsi="Sylfaen"/>
          <w:sz w:val="24"/>
          <w:szCs w:val="24"/>
        </w:rPr>
        <w:lastRenderedPageBreak/>
        <w:t xml:space="preserve">դարձնել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համար դեղապատրաստուկի ավելի վաղ մշակված բաղադրություններին </w:t>
      </w:r>
      <w:r w:rsidR="00C54D75">
        <w:rPr>
          <w:rFonts w:ascii="Sylfaen" w:hAnsi="Sylfaen"/>
          <w:sz w:val="24"/>
          <w:szCs w:val="24"/>
        </w:rPr>
        <w:t>և</w:t>
      </w:r>
      <w:r w:rsidRPr="003B2786">
        <w:rPr>
          <w:rFonts w:ascii="Sylfaen" w:hAnsi="Sylfaen"/>
          <w:sz w:val="24"/>
          <w:szCs w:val="24"/>
        </w:rPr>
        <w:t xml:space="preserve"> մեկնաբանել տվյալ հետազոտություններից ստացված արդյունքները: Կիրառելիության դեպքում անհրաժեշտ է բերել մանկական դեղաձ</w:t>
      </w:r>
      <w:r w:rsidR="00C54D75">
        <w:rPr>
          <w:rFonts w:ascii="Sylfaen" w:hAnsi="Sylfaen"/>
          <w:sz w:val="24"/>
          <w:szCs w:val="24"/>
        </w:rPr>
        <w:t>և</w:t>
      </w:r>
      <w:r w:rsidRPr="003B2786">
        <w:rPr>
          <w:rFonts w:ascii="Sylfaen" w:hAnsi="Sylfaen"/>
          <w:sz w:val="24"/>
          <w:szCs w:val="24"/>
        </w:rPr>
        <w:t>ի մշակման մասին լրացուցիչ տեղեկություններ, այդ թվում՝ տեղեկություններ՝ թիրախային տարիքային խմբի մասին, եթե այդպիսի մշակում անց է կացվել:</w:t>
      </w:r>
    </w:p>
    <w:p w14:paraId="14CABA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Արտադրական ավելցուկները: Անհրաժեշտ է գնահատել ավելցուկների հիմնավորվածությունը:</w:t>
      </w:r>
    </w:p>
    <w:p w14:paraId="4062C93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Ֆիզիկաքիմիական </w:t>
      </w:r>
      <w:r w:rsidR="00C54D75">
        <w:rPr>
          <w:rFonts w:ascii="Sylfaen" w:hAnsi="Sylfaen"/>
          <w:sz w:val="24"/>
          <w:szCs w:val="24"/>
        </w:rPr>
        <w:t>և</w:t>
      </w:r>
      <w:r w:rsidRPr="003B2786">
        <w:rPr>
          <w:rFonts w:ascii="Sylfaen" w:hAnsi="Sylfaen"/>
          <w:sz w:val="24"/>
          <w:szCs w:val="24"/>
        </w:rPr>
        <w:t xml:space="preserve"> կենսաբանական հատկությունները: Անհրաժեշտ է գնահատել որակի կրիտիկական ցուցանիշների սահմանման </w:t>
      </w:r>
      <w:r w:rsidR="00C54D75">
        <w:rPr>
          <w:rFonts w:ascii="Sylfaen" w:hAnsi="Sylfaen"/>
          <w:sz w:val="24"/>
          <w:szCs w:val="24"/>
        </w:rPr>
        <w:t>և</w:t>
      </w:r>
      <w:r w:rsidRPr="003B2786">
        <w:rPr>
          <w:rFonts w:ascii="Sylfaen" w:hAnsi="Sylfaen"/>
          <w:sz w:val="24"/>
          <w:szCs w:val="24"/>
        </w:rPr>
        <w:t xml:space="preserve"> հսկողության ճշգրտությունը:</w:t>
      </w:r>
    </w:p>
    <w:p w14:paraId="28CD828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հաշվի առնել, որ գրանցման դոսյեի 3-րդ մոդուլում բերված է պատրաստուկի հատկության վրա ազդող պարամետրերի համապատասխան ցանկը (եթե կիրառելի է): Օրինակ՝ դեղահաբերի համար կարող է պահանջվել մասնիկների չափսերի (դիսպերսության) </w:t>
      </w:r>
      <w:r w:rsidR="00C54D75">
        <w:rPr>
          <w:rFonts w:ascii="Sylfaen" w:hAnsi="Sylfaen"/>
          <w:sz w:val="24"/>
          <w:szCs w:val="24"/>
        </w:rPr>
        <w:t>և</w:t>
      </w:r>
      <w:r w:rsidRPr="003B2786">
        <w:rPr>
          <w:rFonts w:ascii="Sylfaen" w:hAnsi="Sylfaen"/>
          <w:sz w:val="24"/>
          <w:szCs w:val="24"/>
        </w:rPr>
        <w:t xml:space="preserve"> ջրում ցածր լուծելիությամբ ԱԴԲ-ի բազմաձ</w:t>
      </w:r>
      <w:r w:rsidR="00C54D75">
        <w:rPr>
          <w:rFonts w:ascii="Sylfaen" w:hAnsi="Sylfaen"/>
          <w:sz w:val="24"/>
          <w:szCs w:val="24"/>
        </w:rPr>
        <w:t>և</w:t>
      </w:r>
      <w:r w:rsidRPr="003B2786">
        <w:rPr>
          <w:rFonts w:ascii="Sylfaen" w:hAnsi="Sylfaen"/>
          <w:sz w:val="24"/>
          <w:szCs w:val="24"/>
        </w:rPr>
        <w:t xml:space="preserve">ության գնահատականը՝ լուծելիության </w:t>
      </w:r>
      <w:r w:rsidR="00C54D75">
        <w:rPr>
          <w:rFonts w:ascii="Sylfaen" w:hAnsi="Sylfaen"/>
          <w:sz w:val="24"/>
          <w:szCs w:val="24"/>
        </w:rPr>
        <w:t>և</w:t>
      </w:r>
      <w:r w:rsidRPr="003B2786">
        <w:rPr>
          <w:rFonts w:ascii="Sylfaen" w:hAnsi="Sylfaen"/>
          <w:sz w:val="24"/>
          <w:szCs w:val="24"/>
        </w:rPr>
        <w:t xml:space="preserve"> կենսամատչելիության վրա դրանց ազդեցության տեսանկյունից: Տվյալ օրինակում լուծելիության պրոֆիլը՝ կախված pH-ից, նույնպես կարող է լուծելիության փորձարկման մեթոդաբանության ընտրության վրա ազդող նշանակալի բազային տեղեկատվություն լինել:</w:t>
      </w:r>
    </w:p>
    <w:p w14:paraId="6F15E03E" w14:textId="77777777" w:rsidR="008C76E0" w:rsidRPr="003B2786" w:rsidRDefault="008C76E0" w:rsidP="00473371">
      <w:pPr>
        <w:spacing w:after="160" w:line="360" w:lineRule="auto"/>
        <w:ind w:firstLine="567"/>
        <w:jc w:val="both"/>
        <w:rPr>
          <w:rFonts w:ascii="Sylfaen" w:hAnsi="Sylfaen"/>
          <w:sz w:val="24"/>
          <w:szCs w:val="24"/>
        </w:rPr>
      </w:pPr>
    </w:p>
    <w:p w14:paraId="35488AE2"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Արտադրական պրոցեսի մշակումը:</w:t>
      </w:r>
    </w:p>
    <w:p w14:paraId="3B04CA5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պատրաստուկի արտադրության պրոցեսում ֆիզիկաքիմիական հատկությունները փոփոխվում են (օրինակ՝ բազմաձ</w:t>
      </w:r>
      <w:r w:rsidR="00C54D75">
        <w:rPr>
          <w:rFonts w:ascii="Sylfaen" w:hAnsi="Sylfaen"/>
          <w:sz w:val="24"/>
          <w:szCs w:val="24"/>
        </w:rPr>
        <w:t>և</w:t>
      </w:r>
      <w:r w:rsidRPr="003B2786">
        <w:rPr>
          <w:rFonts w:ascii="Sylfaen" w:hAnsi="Sylfaen"/>
          <w:sz w:val="24"/>
          <w:szCs w:val="24"/>
        </w:rPr>
        <w:t>ությունը), հարկ է համոզվել ԱԴԲ-ի հետ անցկացված հետազոտությունների արդյունքների վալիդության մեջ:</w:t>
      </w:r>
    </w:p>
    <w:p w14:paraId="41D3DF1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արտացոլել արտադրության պրոցեսի ընտրության հիմնավորվածությունը: Անհրաժեշտ է արտացոլել, թե արդյոք սահմանված են պրոցեսի այն կրիտիկական պարամետրերը, որոնք նշանակալի են դրա հետագա </w:t>
      </w:r>
      <w:r w:rsidRPr="003B2786">
        <w:rPr>
          <w:rFonts w:ascii="Sylfaen" w:hAnsi="Sylfaen"/>
          <w:sz w:val="24"/>
          <w:szCs w:val="24"/>
        </w:rPr>
        <w:lastRenderedPageBreak/>
        <w:t xml:space="preserve">վալիդացման համար: Անհրաժեշտ է արտացոլել, թե արդյոք սահմանված են կլինիկական հետազոտություններում գրանցվող </w:t>
      </w:r>
      <w:r w:rsidR="00C54D75">
        <w:rPr>
          <w:rFonts w:ascii="Sylfaen" w:hAnsi="Sylfaen"/>
          <w:sz w:val="24"/>
          <w:szCs w:val="24"/>
        </w:rPr>
        <w:t>և</w:t>
      </w:r>
      <w:r w:rsidRPr="003B2786">
        <w:rPr>
          <w:rFonts w:ascii="Sylfaen" w:hAnsi="Sylfaen"/>
          <w:sz w:val="24"/>
          <w:szCs w:val="24"/>
        </w:rPr>
        <w:t xml:space="preserve"> օգտագործվող դեղապատրաստուկի արտադրության պրոցեսների մեջ այն տարբերությունները, որոնք նշանակալի են դրա հետագա վալիդացման համար: Անհրաժեշտ է գնահատել, թե արդյոք արտադրության պրոցեսը փոխհատուցում է նյութերի որակի ցուցանիշների փոփոխականությունը:</w:t>
      </w:r>
    </w:p>
    <w:p w14:paraId="78238ED6"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Հարկ է փորձառական կամ համակարգված գնահատականի հիման վրա իրականացնել պրոցեսի կրիտիկական պարամետրերի նույնականացում՝ օգտագործելով ռիսկի գնահատման մեթոդաբանությունը </w:t>
      </w:r>
      <w:r w:rsidR="00C54D75">
        <w:rPr>
          <w:rFonts w:ascii="Sylfaen" w:hAnsi="Sylfaen"/>
          <w:sz w:val="24"/>
          <w:szCs w:val="24"/>
        </w:rPr>
        <w:t>և</w:t>
      </w:r>
      <w:r w:rsidRPr="003B2786">
        <w:rPr>
          <w:rFonts w:ascii="Sylfaen" w:hAnsi="Sylfaen"/>
          <w:sz w:val="24"/>
          <w:szCs w:val="24"/>
        </w:rPr>
        <w:t xml:space="preserve"> վիճակագրական մոդելավորումը: Վերջին դեպքում հարկ է առաջնորդվել մաթեմատիկական վիճակագրության համապատասխան ուղեցույցներով:</w:t>
      </w:r>
    </w:p>
    <w:p w14:paraId="072B9B23"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Փաթեթավորման </w:t>
      </w:r>
      <w:r w:rsidR="00C54D75">
        <w:rPr>
          <w:rFonts w:ascii="Sylfaen" w:hAnsi="Sylfaen"/>
          <w:sz w:val="24"/>
          <w:szCs w:val="24"/>
        </w:rPr>
        <w:t>և</w:t>
      </w:r>
      <w:r w:rsidRPr="003B2786">
        <w:rPr>
          <w:rFonts w:ascii="Sylfaen" w:hAnsi="Sylfaen"/>
          <w:sz w:val="24"/>
          <w:szCs w:val="24"/>
        </w:rPr>
        <w:t xml:space="preserve"> խցանափակման համակարգը:</w:t>
      </w:r>
    </w:p>
    <w:p w14:paraId="2EEB36B4"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փաթեթավորման </w:t>
      </w:r>
      <w:r w:rsidR="00C54D75">
        <w:rPr>
          <w:rFonts w:ascii="Sylfaen" w:hAnsi="Sylfaen"/>
          <w:sz w:val="24"/>
          <w:szCs w:val="24"/>
        </w:rPr>
        <w:t>և</w:t>
      </w:r>
      <w:r w:rsidRPr="003B2786">
        <w:rPr>
          <w:rFonts w:ascii="Sylfaen" w:hAnsi="Sylfaen"/>
          <w:sz w:val="24"/>
          <w:szCs w:val="24"/>
        </w:rPr>
        <w:t xml:space="preserve"> խցանափակման համար նյութերի ընտրությունն ապահովում է պատրաստուկի կայունությունը </w:t>
      </w:r>
      <w:r w:rsidR="00C54D75">
        <w:rPr>
          <w:rFonts w:ascii="Sylfaen" w:hAnsi="Sylfaen"/>
          <w:sz w:val="24"/>
          <w:szCs w:val="24"/>
        </w:rPr>
        <w:t>և</w:t>
      </w:r>
      <w:r w:rsidRPr="003B2786">
        <w:rPr>
          <w:rFonts w:ascii="Sylfaen" w:hAnsi="Sylfaen"/>
          <w:sz w:val="24"/>
          <w:szCs w:val="24"/>
        </w:rPr>
        <w:t xml:space="preserve"> պացիենտների թիրախային պոպուլյացիայի շրջանակում կիրառումը (օրինակ՝ տարեց անձանց մոտ, երեխաներից պաշտպանության գործառույթի առկայությունը):</w:t>
      </w:r>
    </w:p>
    <w:p w14:paraId="109E5895"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փաթեթվածքի </w:t>
      </w:r>
      <w:r w:rsidR="00C54D75">
        <w:rPr>
          <w:rFonts w:ascii="Sylfaen" w:hAnsi="Sylfaen"/>
          <w:sz w:val="24"/>
          <w:szCs w:val="24"/>
        </w:rPr>
        <w:t>և</w:t>
      </w:r>
      <w:r w:rsidRPr="003B2786">
        <w:rPr>
          <w:rFonts w:ascii="Sylfaen" w:hAnsi="Sylfaen"/>
          <w:sz w:val="24"/>
          <w:szCs w:val="24"/>
        </w:rPr>
        <w:t xml:space="preserve"> խցանափակման տեխնիկական այն հատկությունները, որոնց հաշվին ապահովվում է պացիենտների կողմից, օրինակ՝ քթի ցողաշիթերի (սփրեյների), ներշնչակների, նախապես լցված ներարկիչների օգտագործման հարմարությունը: </w:t>
      </w:r>
    </w:p>
    <w:p w14:paraId="25B900A8" w14:textId="77777777" w:rsidR="008C76E0" w:rsidRPr="003B2786" w:rsidRDefault="008C76E0" w:rsidP="002A6A4C">
      <w:pPr>
        <w:spacing w:after="160" w:line="336" w:lineRule="auto"/>
        <w:ind w:right="-1" w:firstLine="567"/>
        <w:jc w:val="both"/>
        <w:rPr>
          <w:rFonts w:ascii="Sylfaen" w:hAnsi="Sylfaen"/>
          <w:sz w:val="24"/>
          <w:szCs w:val="24"/>
        </w:rPr>
      </w:pPr>
      <w:r w:rsidRPr="003B2786">
        <w:rPr>
          <w:rFonts w:ascii="Sylfaen" w:hAnsi="Sylfaen"/>
          <w:sz w:val="24"/>
          <w:szCs w:val="24"/>
        </w:rPr>
        <w:t xml:space="preserve">Միկրոկենսաբանական </w:t>
      </w:r>
      <w:r w:rsidR="00C54D75">
        <w:rPr>
          <w:rFonts w:ascii="Sylfaen" w:hAnsi="Sylfaen"/>
          <w:sz w:val="24"/>
          <w:szCs w:val="24"/>
        </w:rPr>
        <w:t>և</w:t>
      </w:r>
      <w:r w:rsidRPr="003B2786">
        <w:rPr>
          <w:rFonts w:ascii="Sylfaen" w:hAnsi="Sylfaen"/>
          <w:sz w:val="24"/>
          <w:szCs w:val="24"/>
        </w:rPr>
        <w:t xml:space="preserve"> այլ բնութագրեր. անհրաժեշտ է արտացոլել, թե արդյոք հիմնավորված է հատուկ օժանդակ նյութերի, օրինակ՝ կոնսերվանտների </w:t>
      </w:r>
      <w:r w:rsidR="00C54D75">
        <w:rPr>
          <w:rFonts w:ascii="Sylfaen" w:hAnsi="Sylfaen"/>
          <w:sz w:val="24"/>
          <w:szCs w:val="24"/>
        </w:rPr>
        <w:t>և</w:t>
      </w:r>
      <w:r w:rsidRPr="003B2786">
        <w:rPr>
          <w:rFonts w:ascii="Sylfaen" w:hAnsi="Sylfaen"/>
          <w:sz w:val="24"/>
          <w:szCs w:val="24"/>
        </w:rPr>
        <w:t xml:space="preserve"> հակաօքսիդիչների օգտագործումը՝ հաշվի առնելով դրանց կոնցենտրացիաներն (պարունակությունը) ու հատկությունները:</w:t>
      </w:r>
    </w:p>
    <w:p w14:paraId="455AED2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Համատեղելիությունը:</w:t>
      </w:r>
    </w:p>
    <w:p w14:paraId="4C49770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բժշկական կիրառման հրահանգում </w:t>
      </w:r>
      <w:r w:rsidR="00C54D75">
        <w:rPr>
          <w:rFonts w:ascii="Sylfaen" w:hAnsi="Sylfaen"/>
          <w:sz w:val="24"/>
          <w:szCs w:val="24"/>
        </w:rPr>
        <w:t>և</w:t>
      </w:r>
      <w:r w:rsidRPr="003B2786">
        <w:rPr>
          <w:rFonts w:ascii="Sylfaen" w:hAnsi="Sylfaen"/>
          <w:sz w:val="24"/>
          <w:szCs w:val="24"/>
        </w:rPr>
        <w:t xml:space="preserve"> ԴԸԲ-ում </w:t>
      </w:r>
      <w:r w:rsidRPr="003B2786">
        <w:rPr>
          <w:rFonts w:ascii="Sylfaen" w:hAnsi="Sylfaen"/>
          <w:sz w:val="24"/>
          <w:szCs w:val="24"/>
        </w:rPr>
        <w:lastRenderedPageBreak/>
        <w:t xml:space="preserve">դեղագործական համատեղելիության </w:t>
      </w:r>
      <w:r w:rsidR="00C54D75">
        <w:rPr>
          <w:rFonts w:ascii="Sylfaen" w:hAnsi="Sylfaen"/>
          <w:sz w:val="24"/>
          <w:szCs w:val="24"/>
        </w:rPr>
        <w:t>և</w:t>
      </w:r>
      <w:r w:rsidRPr="003B2786">
        <w:rPr>
          <w:rFonts w:ascii="Sylfaen" w:hAnsi="Sylfaen"/>
          <w:sz w:val="24"/>
          <w:szCs w:val="24"/>
        </w:rPr>
        <w:t xml:space="preserve"> անհամատեղելիության մասով շարադրված տվյալների համապատասխանությունը անցկացված փաստացի հետազոտություններին:</w:t>
      </w:r>
    </w:p>
    <w:p w14:paraId="3968B478"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4.3.</w:t>
      </w:r>
      <w:r>
        <w:rPr>
          <w:rFonts w:ascii="Sylfaen" w:hAnsi="Sylfaen"/>
          <w:sz w:val="24"/>
          <w:szCs w:val="24"/>
        </w:rPr>
        <w:tab/>
      </w:r>
      <w:r w:rsidRPr="003B2786">
        <w:rPr>
          <w:rFonts w:ascii="Sylfaen" w:hAnsi="Sylfaen"/>
          <w:sz w:val="24"/>
          <w:szCs w:val="24"/>
        </w:rPr>
        <w:t>Դեղապատրաստուկի արտադրության պրոցեսը (մոդուլ 3.2.P.3)</w:t>
      </w:r>
    </w:p>
    <w:p w14:paraId="00E0206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3148143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Р.3.1.</w:t>
      </w:r>
      <w:r w:rsidRPr="003B2786">
        <w:rPr>
          <w:rFonts w:ascii="Sylfaen" w:hAnsi="Sylfaen"/>
          <w:sz w:val="24"/>
          <w:szCs w:val="24"/>
        </w:rPr>
        <w:tab/>
        <w:t>Արտադրողը (արտադրողները)։</w:t>
      </w:r>
    </w:p>
    <w:p w14:paraId="353B708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Р.3.2.</w:t>
      </w:r>
      <w:r w:rsidRPr="003B2786">
        <w:rPr>
          <w:rFonts w:ascii="Sylfaen" w:hAnsi="Sylfaen"/>
          <w:sz w:val="24"/>
          <w:szCs w:val="24"/>
        </w:rPr>
        <w:tab/>
        <w:t>Սերիայի բանաձ</w:t>
      </w:r>
      <w:r w:rsidR="00C54D75">
        <w:rPr>
          <w:rFonts w:ascii="Sylfaen" w:hAnsi="Sylfaen"/>
          <w:sz w:val="24"/>
          <w:szCs w:val="24"/>
        </w:rPr>
        <w:t>և</w:t>
      </w:r>
      <w:r w:rsidRPr="003B2786">
        <w:rPr>
          <w:rFonts w:ascii="Sylfaen" w:hAnsi="Sylfaen"/>
          <w:sz w:val="24"/>
          <w:szCs w:val="24"/>
        </w:rPr>
        <w:t>ը (արտադրական բաղադրագիրը):</w:t>
      </w:r>
    </w:p>
    <w:p w14:paraId="44597A8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Р.3.3.</w:t>
      </w:r>
      <w:r w:rsidRPr="003B2786">
        <w:rPr>
          <w:rFonts w:ascii="Sylfaen" w:hAnsi="Sylfaen"/>
          <w:sz w:val="24"/>
          <w:szCs w:val="24"/>
        </w:rPr>
        <w:tab/>
        <w:t>Արտադրական պրոցեսի նկարագրությունն ու հսկողությունը:</w:t>
      </w:r>
    </w:p>
    <w:p w14:paraId="37BF1A39"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Р.3.4.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395DD845"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Р.3.5.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603EA78E"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Անհրաժեշտ է նշել յուրաքանչյուր արտադրողի, այդ թվում՝ արտադրությանը </w:t>
      </w:r>
      <w:r w:rsidR="00C54D75">
        <w:rPr>
          <w:rFonts w:ascii="Sylfaen" w:hAnsi="Sylfaen"/>
          <w:sz w:val="24"/>
          <w:szCs w:val="24"/>
        </w:rPr>
        <w:t>և</w:t>
      </w:r>
      <w:r w:rsidRPr="003B2786">
        <w:rPr>
          <w:rFonts w:ascii="Sylfaen" w:hAnsi="Sylfaen"/>
          <w:sz w:val="24"/>
          <w:szCs w:val="24"/>
        </w:rPr>
        <w:t xml:space="preserve"> փորձարկումների անցկացմանը մասնակցող՝ առաջարկվող յուրաքանչյուր արտադրական հարթակի կամ օբյեկտի կապալառուների (պայմանագրային արտադրությունների) անվանումը, հասցեն ու պարտավորությունները:</w:t>
      </w:r>
    </w:p>
    <w:p w14:paraId="5EAEE048"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Արտադրության պրոցեսի </w:t>
      </w:r>
      <w:r w:rsidR="00C54D75">
        <w:rPr>
          <w:rFonts w:ascii="Sylfaen" w:hAnsi="Sylfaen"/>
          <w:sz w:val="24"/>
          <w:szCs w:val="24"/>
        </w:rPr>
        <w:t>և</w:t>
      </w:r>
      <w:r w:rsidRPr="003B2786">
        <w:rPr>
          <w:rFonts w:ascii="Sylfaen" w:hAnsi="Sylfaen"/>
          <w:sz w:val="24"/>
          <w:szCs w:val="24"/>
        </w:rPr>
        <w:t xml:space="preserve"> դրա հսկողության նկարագրությունը՝ բլոկ-սխեման (նախընտրելի է այն ներառել հաշվետվության հիմնական մասում, հավելվածի տեսքով առդնելու փոխարեն)՝ նշելով կրիտիկական փուլերը:</w:t>
      </w:r>
    </w:p>
    <w:p w14:paraId="75DF00FF" w14:textId="4DF93215"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նախատեսել է նյութերի որակի կրիտիկական ցուցանիշների </w:t>
      </w:r>
      <w:r w:rsidR="00C54D75">
        <w:rPr>
          <w:rFonts w:ascii="Sylfaen" w:hAnsi="Sylfaen"/>
          <w:sz w:val="24"/>
          <w:szCs w:val="24"/>
        </w:rPr>
        <w:t>և</w:t>
      </w:r>
      <w:r w:rsidRPr="003B2786">
        <w:rPr>
          <w:rFonts w:ascii="Sylfaen" w:hAnsi="Sylfaen"/>
          <w:sz w:val="24"/>
          <w:szCs w:val="24"/>
        </w:rPr>
        <w:t xml:space="preserve"> պրոցեսի կրիտիկական պարամետրերի մոնիթորինգ իրական ժամանակի ռեժիմում: Անհրաժեշտ է գնահատել, արդյոք հսկողության միջոցները նվազեցնում են դեղաձ</w:t>
      </w:r>
      <w:r w:rsidR="00C54D75">
        <w:rPr>
          <w:rFonts w:ascii="Sylfaen" w:hAnsi="Sylfaen"/>
          <w:sz w:val="24"/>
          <w:szCs w:val="24"/>
        </w:rPr>
        <w:t>և</w:t>
      </w:r>
      <w:r w:rsidRPr="003B2786">
        <w:rPr>
          <w:rFonts w:ascii="Sylfaen" w:hAnsi="Sylfaen"/>
          <w:sz w:val="24"/>
          <w:szCs w:val="24"/>
        </w:rPr>
        <w:t xml:space="preserve">ի մշակման </w:t>
      </w:r>
      <w:r w:rsidR="00C54D75">
        <w:rPr>
          <w:rFonts w:ascii="Sylfaen" w:hAnsi="Sylfaen"/>
          <w:sz w:val="24"/>
          <w:szCs w:val="24"/>
        </w:rPr>
        <w:t>և</w:t>
      </w:r>
      <w:r w:rsidRPr="003B2786">
        <w:rPr>
          <w:rFonts w:ascii="Sylfaen" w:hAnsi="Sylfaen"/>
          <w:sz w:val="24"/>
          <w:szCs w:val="24"/>
        </w:rPr>
        <w:t xml:space="preserve"> արտադրության պրոցեսի ընթացքում ի </w:t>
      </w:r>
      <w:r w:rsidR="009B6AA0">
        <w:rPr>
          <w:rFonts w:ascii="Sylfaen" w:hAnsi="Sylfaen"/>
          <w:sz w:val="24"/>
          <w:szCs w:val="24"/>
        </w:rPr>
        <w:t>հայտ</w:t>
      </w:r>
      <w:r w:rsidRPr="003B2786">
        <w:rPr>
          <w:rFonts w:ascii="Sylfaen" w:hAnsi="Sylfaen"/>
          <w:sz w:val="24"/>
          <w:szCs w:val="24"/>
        </w:rPr>
        <w:t xml:space="preserve"> բերած ռիսկերը:</w:t>
      </w:r>
    </w:p>
    <w:p w14:paraId="0736247C" w14:textId="3827401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նախատեսված են հետադարձ կապի միջոցներ, որոնք թույլ են տալիս ճշգրտել արտադրության պրոցեսի պայմանները՝ </w:t>
      </w:r>
      <w:r w:rsidR="00003ABD">
        <w:rPr>
          <w:rFonts w:ascii="Sylfaen" w:hAnsi="Sylfaen"/>
          <w:sz w:val="24"/>
          <w:szCs w:val="24"/>
        </w:rPr>
        <w:t>հայտնաբերված</w:t>
      </w:r>
      <w:r w:rsidRPr="003B2786">
        <w:rPr>
          <w:rFonts w:ascii="Sylfaen" w:hAnsi="Sylfaen"/>
          <w:sz w:val="24"/>
          <w:szCs w:val="24"/>
        </w:rPr>
        <w:t xml:space="preserve"> փոփոխականության փոխհատուցման նպատակով:</w:t>
      </w:r>
    </w:p>
    <w:p w14:paraId="4322679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Անհրաժեշտ է նշել, թե արդյոք առաջարկվում է նախագծային դաշտ (դիզայնի ոլորտ): Անհրաժեշտ է նշել, թե արդյոք սահմանված է որակի կրիտիկական ցուցանիշների՝ մուտքային տեխնոլոգիական պարամետրերից (նյութերի որակի </w:t>
      </w:r>
      <w:r w:rsidR="00C54D75">
        <w:rPr>
          <w:rFonts w:ascii="Sylfaen" w:hAnsi="Sylfaen"/>
          <w:sz w:val="24"/>
          <w:szCs w:val="24"/>
        </w:rPr>
        <w:t>և</w:t>
      </w:r>
      <w:r w:rsidRPr="003B2786">
        <w:rPr>
          <w:rFonts w:ascii="Sylfaen" w:hAnsi="Sylfaen"/>
          <w:sz w:val="24"/>
          <w:szCs w:val="24"/>
        </w:rPr>
        <w:t xml:space="preserve"> արտադրության պրոցեսի պարամետրերի ցուցանիշներից) կախվածությունը բազմաչափ մոդելի շրջանակում: Եթե առաջարկվել է նախագծային դաշտ, հարկ է անդրադառնալ սույն փաստաթղթի թիվ 3 հավելվածին:</w:t>
      </w:r>
    </w:p>
    <w:p w14:paraId="19EDBF3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pacing w:val="-6"/>
          <w:sz w:val="24"/>
          <w:szCs w:val="24"/>
        </w:rPr>
        <w:t>Եթե դեղապատրաստուկը բաղկացած է օժանդակ նյութերից զերծ</w:t>
      </w:r>
      <w:r w:rsidRPr="003B2786">
        <w:rPr>
          <w:rFonts w:ascii="Sylfaen" w:hAnsi="Sylfaen"/>
          <w:sz w:val="24"/>
          <w:szCs w:val="24"/>
        </w:rPr>
        <w:t xml:space="preserve"> ԱԴԲ-ներից, այն արտադրողների </w:t>
      </w:r>
      <w:r w:rsidR="00C54D75">
        <w:rPr>
          <w:rFonts w:ascii="Sylfaen" w:hAnsi="Sylfaen"/>
          <w:sz w:val="24"/>
          <w:szCs w:val="24"/>
        </w:rPr>
        <w:t>և</w:t>
      </w:r>
      <w:r w:rsidRPr="003B2786">
        <w:rPr>
          <w:rFonts w:ascii="Sylfaen" w:hAnsi="Sylfaen"/>
          <w:sz w:val="24"/>
          <w:szCs w:val="24"/>
        </w:rPr>
        <w:t xml:space="preserve"> նրանց լիցենզավորման մասին տեղեկությունները </w:t>
      </w:r>
      <w:r w:rsidR="00C54D75">
        <w:rPr>
          <w:rFonts w:ascii="Sylfaen" w:hAnsi="Sylfaen"/>
          <w:sz w:val="24"/>
          <w:szCs w:val="24"/>
        </w:rPr>
        <w:t>և</w:t>
      </w:r>
      <w:r w:rsidRPr="003B2786">
        <w:rPr>
          <w:rFonts w:ascii="Sylfaen" w:hAnsi="Sylfaen"/>
          <w:sz w:val="24"/>
          <w:szCs w:val="24"/>
        </w:rPr>
        <w:t>ս հարկ է նշել տվյալ բաժնում:</w:t>
      </w:r>
    </w:p>
    <w:p w14:paraId="50CD57E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առաջարկվել են մի քանի տարբեր չափերի արդյունաբերական սերիաներ կամ սերիաների խառնում կամ ենթասերիաների օգտագործում, անհրաժեշտ է գնահատել դրանց ընդունելիությունը: Անհրաժեշտ է գնահատել այն սերիաների չափերը, որոնց վերաբերյալ ներկայացվել են տվյալներ:</w:t>
      </w:r>
    </w:p>
    <w:p w14:paraId="70B21839"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Անհրաժեշտ է որոշել այն մասնագիտացված պրոցեսների առկայությունը, որոնց համար կարող է պահանջվել տեսչական ստուգում (տե՛ս սույն հաշվետվության նախաբանը):</w:t>
      </w:r>
    </w:p>
    <w:p w14:paraId="7B5844B4"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համոզվել, որ մեկ տեխնոլոգիական փուլից մյուսին անցնելու ժամանակը, պահպանման </w:t>
      </w:r>
      <w:r w:rsidR="00C54D75">
        <w:rPr>
          <w:rFonts w:ascii="Sylfaen" w:hAnsi="Sylfaen"/>
          <w:sz w:val="24"/>
          <w:szCs w:val="24"/>
        </w:rPr>
        <w:t>և</w:t>
      </w:r>
      <w:r w:rsidRPr="003B2786">
        <w:rPr>
          <w:rFonts w:ascii="Sylfaen" w:hAnsi="Sylfaen"/>
          <w:sz w:val="24"/>
          <w:szCs w:val="24"/>
        </w:rPr>
        <w:t xml:space="preserve"> (կամ) փոխադրման պայմանները հիմնավորված </w:t>
      </w:r>
      <w:r w:rsidR="00C54D75">
        <w:rPr>
          <w:rFonts w:ascii="Sylfaen" w:hAnsi="Sylfaen"/>
          <w:sz w:val="24"/>
          <w:szCs w:val="24"/>
        </w:rPr>
        <w:t>և</w:t>
      </w:r>
      <w:r w:rsidRPr="003B2786">
        <w:rPr>
          <w:rFonts w:ascii="Sylfaen" w:hAnsi="Sylfaen"/>
          <w:sz w:val="24"/>
          <w:szCs w:val="24"/>
        </w:rPr>
        <w:t xml:space="preserve"> վալիդացված են:</w:t>
      </w:r>
    </w:p>
    <w:p w14:paraId="0450B34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Տվյալ բաժնում հարկ է գնահատել պրոցեսի վալիդացման մասին տեղեկությունները դոսյեում ներառելու անհրաժեշտությունը (այսինքն՝ արդյոք գրանցումից առաջ տվյալ տեղեկությունները ներկայացնելն անհրաժեշտ է): Այս տեղեկությունները, որպես կանոն, պահանջվում են ոչ ստանդարտ մեթոդների (պրոցեսների) օգտագործման դեպքում: Ստանդարտ պրոցեսների մասով անհրաժեշտ է գնահատել գրանցման դոսյեի 3.2.R բաժնում ներառված արտադրության պրոցեսի վալիդացման սխեման:</w:t>
      </w:r>
    </w:p>
    <w:p w14:paraId="26FAE823"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Արտադրության պրոցեսի շարունակական ստուգում առաջարկվելու դեպքում անհրաժեշտ է գնահատել մշակման գծով բավարար տվյալների </w:t>
      </w:r>
      <w:r w:rsidR="00C54D75">
        <w:rPr>
          <w:rFonts w:ascii="Sylfaen" w:hAnsi="Sylfaen"/>
          <w:sz w:val="24"/>
          <w:szCs w:val="24"/>
        </w:rPr>
        <w:t>և</w:t>
      </w:r>
      <w:r w:rsidRPr="003B2786">
        <w:rPr>
          <w:rFonts w:ascii="Sylfaen" w:hAnsi="Sylfaen"/>
          <w:sz w:val="24"/>
          <w:szCs w:val="24"/>
        </w:rPr>
        <w:t xml:space="preserve"> հսկողության </w:t>
      </w:r>
      <w:r w:rsidRPr="003B2786">
        <w:rPr>
          <w:rFonts w:ascii="Sylfaen" w:hAnsi="Sylfaen"/>
          <w:sz w:val="24"/>
          <w:szCs w:val="24"/>
        </w:rPr>
        <w:lastRenderedPageBreak/>
        <w:t xml:space="preserve">ռազմավարության բավարար աստիճանի առկայությունը, որոնք թույլ են տալիս իրական ժամանակում արտադրության պրոցեսի կրիտիկական պարամետրերի </w:t>
      </w:r>
      <w:r w:rsidR="00C54D75">
        <w:rPr>
          <w:rFonts w:ascii="Sylfaen" w:hAnsi="Sylfaen"/>
          <w:sz w:val="24"/>
          <w:szCs w:val="24"/>
        </w:rPr>
        <w:t>և</w:t>
      </w:r>
      <w:r w:rsidRPr="003B2786">
        <w:rPr>
          <w:rFonts w:ascii="Sylfaen" w:hAnsi="Sylfaen"/>
          <w:sz w:val="24"/>
          <w:szCs w:val="24"/>
        </w:rPr>
        <w:t xml:space="preserve"> նյութերի որակի կրիտիկական ցուցանիշների մոնիթորինգ իրականացնել:</w:t>
      </w:r>
    </w:p>
    <w:p w14:paraId="02A860C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անհրաժեշտ է լիարժեք գնահատել </w:t>
      </w:r>
      <w:r w:rsidR="00C54D75">
        <w:rPr>
          <w:rFonts w:ascii="Sylfaen" w:hAnsi="Sylfaen"/>
          <w:sz w:val="24"/>
          <w:szCs w:val="24"/>
        </w:rPr>
        <w:t>և</w:t>
      </w:r>
      <w:r w:rsidRPr="003B2786">
        <w:rPr>
          <w:rFonts w:ascii="Sylfaen" w:hAnsi="Sylfaen"/>
          <w:sz w:val="24"/>
          <w:szCs w:val="24"/>
        </w:rPr>
        <w:t xml:space="preserve"> մեկնաբանել ըստ պարամետրերի բացթողման բոլոր հարցումները՝ առդնելով GMP (ՊԱԳ) տեսուչների մեկնաբանությունները (եթե կիրառելի է)՝ հաշվի առնելով Միության համապատասխան ձեռնարկը:</w:t>
      </w:r>
    </w:p>
    <w:p w14:paraId="109598D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Կիրառելի դեպքերում կարող է պահանջվել կողմնակի ագենտների փոխանցման տեսանկյունից պատրաստուկի անվտանգության գնահատում, որը հարկ է ներառել А.2 հավելվածի մեջ: Տվյալ գնահատականն առավել կիրառելի է կենսատեխնոլոգիական (կենսաբանական) պատրաստուկների նկատմամբ:</w:t>
      </w:r>
    </w:p>
    <w:p w14:paraId="5616700A" w14:textId="77777777" w:rsidR="008C76E0" w:rsidRPr="003B2786" w:rsidRDefault="008C76E0" w:rsidP="00473371">
      <w:pPr>
        <w:spacing w:after="160" w:line="360" w:lineRule="auto"/>
        <w:ind w:right="-1" w:firstLine="567"/>
        <w:jc w:val="both"/>
        <w:outlineLvl w:val="0"/>
        <w:rPr>
          <w:rFonts w:ascii="Sylfaen" w:hAnsi="Sylfaen"/>
          <w:sz w:val="24"/>
          <w:szCs w:val="24"/>
        </w:rPr>
      </w:pPr>
      <w:r w:rsidRPr="003B2786">
        <w:rPr>
          <w:rFonts w:ascii="Sylfaen" w:hAnsi="Sylfaen"/>
          <w:sz w:val="24"/>
          <w:szCs w:val="24"/>
        </w:rPr>
        <w:t>4.4.</w:t>
      </w:r>
      <w:r>
        <w:rPr>
          <w:rFonts w:ascii="Sylfaen" w:hAnsi="Sylfaen"/>
          <w:sz w:val="24"/>
          <w:szCs w:val="24"/>
        </w:rPr>
        <w:tab/>
      </w:r>
      <w:r w:rsidRPr="003B2786">
        <w:rPr>
          <w:rFonts w:ascii="Sylfaen" w:hAnsi="Sylfaen"/>
          <w:sz w:val="24"/>
          <w:szCs w:val="24"/>
        </w:rPr>
        <w:t>Օժանդակ նյութերի որակի հսկողությունը (մոդուլ 3.2.Р.4)</w:t>
      </w:r>
    </w:p>
    <w:p w14:paraId="35D515F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4AB9430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Р.4.1.</w:t>
      </w:r>
      <w:r w:rsidRPr="003B2786">
        <w:rPr>
          <w:rFonts w:ascii="Sylfaen" w:hAnsi="Sylfaen"/>
          <w:sz w:val="24"/>
          <w:szCs w:val="24"/>
        </w:rPr>
        <w:tab/>
        <w:t>Մասնագիրը։</w:t>
      </w:r>
    </w:p>
    <w:p w14:paraId="404D659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Р.4.2.</w:t>
      </w:r>
      <w:r w:rsidRPr="003B2786">
        <w:rPr>
          <w:rFonts w:ascii="Sylfaen" w:hAnsi="Sylfaen"/>
          <w:sz w:val="24"/>
          <w:szCs w:val="24"/>
        </w:rPr>
        <w:tab/>
        <w:t>Վերլուծական մեթոդիկաները։</w:t>
      </w:r>
    </w:p>
    <w:p w14:paraId="744044D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Р.4.3.</w:t>
      </w:r>
      <w:r w:rsidRPr="003B2786">
        <w:rPr>
          <w:rFonts w:ascii="Sylfaen" w:hAnsi="Sylfaen"/>
          <w:sz w:val="24"/>
          <w:szCs w:val="24"/>
        </w:rPr>
        <w:tab/>
        <w:t>Վերլուծական մեթոդիկաների վալիդացումը։</w:t>
      </w:r>
    </w:p>
    <w:p w14:paraId="609D381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Р.4.4.</w:t>
      </w:r>
      <w:r w:rsidRPr="003B2786">
        <w:rPr>
          <w:rFonts w:ascii="Sylfaen" w:hAnsi="Sylfaen"/>
          <w:sz w:val="24"/>
          <w:szCs w:val="24"/>
        </w:rPr>
        <w:tab/>
        <w:t>Մասնագրերի հիմնավորումը:</w:t>
      </w:r>
    </w:p>
    <w:p w14:paraId="0A7E3B8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Р.4.5.</w:t>
      </w:r>
      <w:r w:rsidRPr="003B2786">
        <w:rPr>
          <w:rFonts w:ascii="Sylfaen" w:hAnsi="Sylfaen"/>
          <w:sz w:val="24"/>
          <w:szCs w:val="24"/>
        </w:rPr>
        <w:tab/>
        <w:t>Մարդկային կամ կենդանական ծագման օժանդակ նյութերը:</w:t>
      </w:r>
    </w:p>
    <w:p w14:paraId="27BF5E9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Р.4.6.</w:t>
      </w:r>
      <w:r w:rsidRPr="003B2786">
        <w:rPr>
          <w:rFonts w:ascii="Sylfaen" w:hAnsi="Sylfaen"/>
          <w:sz w:val="24"/>
          <w:szCs w:val="24"/>
        </w:rPr>
        <w:tab/>
        <w:t>Նոր օժանդակ նյութերը:</w:t>
      </w:r>
    </w:p>
    <w:p w14:paraId="739CED4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Միության դեղագրքի հոդվածի առկայության ժամանակ դեպքերի մեծամասնության պարագայում բավարար է բերել համառոտ բնութագիր:</w:t>
      </w:r>
    </w:p>
    <w:p w14:paraId="66475A2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Միության դեղագրքի հոդվածի բացակայության ժամանակ անհրաժեշտ է գնահատել առաջարկվող մասնագրի հիմնավորվածությունը:</w:t>
      </w:r>
    </w:p>
    <w:p w14:paraId="5A5ADEE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մասնագրերը </w:t>
      </w:r>
      <w:r w:rsidR="00C54D75">
        <w:rPr>
          <w:rFonts w:ascii="Sylfaen" w:hAnsi="Sylfaen"/>
          <w:sz w:val="24"/>
          <w:szCs w:val="24"/>
        </w:rPr>
        <w:t>և</w:t>
      </w:r>
      <w:r w:rsidRPr="003B2786">
        <w:rPr>
          <w:rFonts w:ascii="Sylfaen" w:hAnsi="Sylfaen"/>
          <w:sz w:val="24"/>
          <w:szCs w:val="24"/>
        </w:rPr>
        <w:t xml:space="preserve"> փորձարկումները </w:t>
      </w:r>
      <w:r w:rsidRPr="003B2786">
        <w:rPr>
          <w:rFonts w:ascii="Sylfaen" w:hAnsi="Sylfaen"/>
          <w:sz w:val="24"/>
          <w:szCs w:val="24"/>
        </w:rPr>
        <w:lastRenderedPageBreak/>
        <w:t xml:space="preserve">պատշաճ կերպով արտացոլում են պատրաստուկի դեղագործական-տեխնոլոգիական հատկությունները: Այն առավել մեծ չափով կիրառելի է մատակարարման նոր համակարգերի համար, որոնց որոշ բաղադրիչներ ունեն հատուկ գործառույթ </w:t>
      </w:r>
      <w:r w:rsidR="00C54D75">
        <w:rPr>
          <w:rFonts w:ascii="Sylfaen" w:hAnsi="Sylfaen"/>
          <w:sz w:val="24"/>
          <w:szCs w:val="24"/>
        </w:rPr>
        <w:t>և</w:t>
      </w:r>
      <w:r w:rsidRPr="003B2786">
        <w:rPr>
          <w:rFonts w:ascii="Sylfaen" w:hAnsi="Sylfaen"/>
          <w:sz w:val="24"/>
          <w:szCs w:val="24"/>
        </w:rPr>
        <w:t xml:space="preserve"> պահանջում են առավել մանրամասն նկարագրություն </w:t>
      </w:r>
      <w:r w:rsidR="00C54D75">
        <w:rPr>
          <w:rFonts w:ascii="Sylfaen" w:hAnsi="Sylfaen"/>
          <w:sz w:val="24"/>
          <w:szCs w:val="24"/>
        </w:rPr>
        <w:t>և</w:t>
      </w:r>
      <w:r w:rsidRPr="003B2786">
        <w:rPr>
          <w:rFonts w:ascii="Sylfaen" w:hAnsi="Sylfaen"/>
          <w:sz w:val="24"/>
          <w:szCs w:val="24"/>
        </w:rPr>
        <w:t xml:space="preserve"> հսկողություն, հատկապես՝ դեղագործական-տեխնոլոգիական հատկությունների փորձարկումների մասով:</w:t>
      </w:r>
    </w:p>
    <w:p w14:paraId="6B259E4D"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արտադրության մեջ օգտագործվող կենսաբանական նյութերի մասով (օրինակ` արյան կամ պլազմայի այնպիսի ածանցյալի, ինչպիսին մարդու ալբումինն է) անհրաժեշտ է գնահատել աղբյուրը, արտադրությունը, հատկությունների նկարագրությունը </w:t>
      </w:r>
      <w:r w:rsidR="00C54D75">
        <w:rPr>
          <w:rFonts w:ascii="Sylfaen" w:hAnsi="Sylfaen"/>
          <w:sz w:val="24"/>
          <w:szCs w:val="24"/>
        </w:rPr>
        <w:t>և</w:t>
      </w:r>
      <w:r w:rsidRPr="003B2786">
        <w:rPr>
          <w:rFonts w:ascii="Sylfaen" w:hAnsi="Sylfaen"/>
          <w:sz w:val="24"/>
          <w:szCs w:val="24"/>
        </w:rPr>
        <w:t xml:space="preserve"> հսկողությունը: Դեղապատրաստուկների արտադրության մեջ պլազմայից ստացված պատրաստուկների, օրինակ՝ մարդու ալբումինի յուրաքանչյուր օգտագործման դեպքում դրանք պետք է համապատասխանեն Միության ձեռնարկի՝ պլազմայից ստացված դեղապատրաստուկներին ներկայացվող պահանջներին </w:t>
      </w:r>
      <w:r w:rsidR="00C54D75">
        <w:rPr>
          <w:rFonts w:ascii="Sylfaen" w:hAnsi="Sylfaen"/>
          <w:sz w:val="24"/>
          <w:szCs w:val="24"/>
        </w:rPr>
        <w:t>և</w:t>
      </w:r>
      <w:r w:rsidRPr="003B2786">
        <w:rPr>
          <w:rFonts w:ascii="Sylfaen" w:hAnsi="Sylfaen"/>
          <w:sz w:val="24"/>
          <w:szCs w:val="24"/>
        </w:rPr>
        <w:t xml:space="preserve"> ինչպես ալբումինի դեղապատրաստուկների դեպքում, պետք է ունենան փաստաթղթեր՝ ներառելով դոնացիայի ծագումը, որակը </w:t>
      </w:r>
      <w:r w:rsidR="00C54D75">
        <w:rPr>
          <w:rFonts w:ascii="Sylfaen" w:hAnsi="Sylfaen"/>
          <w:sz w:val="24"/>
          <w:szCs w:val="24"/>
        </w:rPr>
        <w:t>և</w:t>
      </w:r>
      <w:r w:rsidRPr="003B2786">
        <w:rPr>
          <w:rFonts w:ascii="Sylfaen" w:hAnsi="Sylfaen"/>
          <w:sz w:val="24"/>
          <w:szCs w:val="24"/>
        </w:rPr>
        <w:t xml:space="preserve"> մասնագրերը:</w:t>
      </w:r>
    </w:p>
    <w:p w14:paraId="1D36E92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հղում բերել գրանցման դոսյեի՝ օժանդակ նյութերի կողմնակի ագենտներին (վիրուսային անվտանգությանը) վերաբերող А2 բաժնին, անհրաժեշտ է պատասխանել այն բոլոր հարցերին, որոնք կապված են փոխանցվող սպունգանման էնցեֆալոպաթիայի (ՓՍԷ) փոխանցման ռիսկի հետ:</w:t>
      </w:r>
    </w:p>
    <w:p w14:paraId="5E9A8C4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թե արդյոք պատրաստուկի բաղադրության մեջ առկա են օժանդակ նյութեր, որոնք կարելի է գնահատել որպես սկզբունքորեն նոր կամ դեղագործական շուկայի համար, ընդհանուր առմամբ, ոչ ստանդարտ նյութեր (դեղապատրաստուկի հատկությունների վրա ազդելու մասով), </w:t>
      </w:r>
      <w:r w:rsidR="00C54D75">
        <w:rPr>
          <w:rFonts w:ascii="Sylfaen" w:hAnsi="Sylfaen"/>
          <w:sz w:val="24"/>
          <w:szCs w:val="24"/>
        </w:rPr>
        <w:t>և</w:t>
      </w:r>
      <w:r w:rsidRPr="003B2786">
        <w:rPr>
          <w:rFonts w:ascii="Sylfaen" w:hAnsi="Sylfaen"/>
          <w:sz w:val="24"/>
          <w:szCs w:val="24"/>
        </w:rPr>
        <w:t xml:space="preserve"> այդպիսի նոր օժանդակ նյութերի՝ արտադրության մասով մանրամասն գնահատականի </w:t>
      </w:r>
      <w:r w:rsidR="00C54D75">
        <w:rPr>
          <w:rFonts w:ascii="Sylfaen" w:hAnsi="Sylfaen"/>
          <w:sz w:val="24"/>
          <w:szCs w:val="24"/>
        </w:rPr>
        <w:t>և</w:t>
      </w:r>
      <w:r w:rsidRPr="003B2786">
        <w:rPr>
          <w:rFonts w:ascii="Sylfaen" w:hAnsi="Sylfaen"/>
          <w:sz w:val="24"/>
          <w:szCs w:val="24"/>
        </w:rPr>
        <w:t xml:space="preserve"> թունաբանական գնահատականի արդյունքները պետք է արտացոլված լինեն առանձին-առանձին:</w:t>
      </w:r>
    </w:p>
    <w:p w14:paraId="6A03575A" w14:textId="77777777" w:rsidR="008C76E0" w:rsidRPr="003B2786" w:rsidRDefault="008C76E0" w:rsidP="00473371">
      <w:pPr>
        <w:spacing w:after="160" w:line="360" w:lineRule="auto"/>
        <w:ind w:right="565" w:firstLine="567"/>
        <w:jc w:val="both"/>
        <w:outlineLvl w:val="0"/>
        <w:rPr>
          <w:rFonts w:ascii="Sylfaen" w:hAnsi="Sylfaen"/>
          <w:sz w:val="24"/>
          <w:szCs w:val="24"/>
        </w:rPr>
      </w:pPr>
      <w:r w:rsidRPr="003B2786">
        <w:rPr>
          <w:rFonts w:ascii="Sylfaen" w:hAnsi="Sylfaen"/>
          <w:sz w:val="24"/>
          <w:szCs w:val="24"/>
        </w:rPr>
        <w:t>4.5.</w:t>
      </w:r>
      <w:r>
        <w:rPr>
          <w:rFonts w:ascii="Sylfaen" w:hAnsi="Sylfaen"/>
          <w:sz w:val="24"/>
          <w:szCs w:val="24"/>
        </w:rPr>
        <w:tab/>
      </w:r>
      <w:r w:rsidRPr="003B2786">
        <w:rPr>
          <w:rFonts w:ascii="Sylfaen" w:hAnsi="Sylfaen"/>
          <w:sz w:val="24"/>
          <w:szCs w:val="24"/>
        </w:rPr>
        <w:t>Դեղապատրաստուկի որակի հսկողությունը (մոդուլ 3.2.Р.5)</w:t>
      </w:r>
    </w:p>
    <w:p w14:paraId="1D3B0B5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7D2DB9F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Р.5.1.</w:t>
      </w:r>
      <w:r w:rsidRPr="003B2786">
        <w:rPr>
          <w:rFonts w:ascii="Sylfaen" w:hAnsi="Sylfaen"/>
          <w:sz w:val="24"/>
          <w:szCs w:val="24"/>
        </w:rPr>
        <w:tab/>
        <w:t>Մասնագրերը։</w:t>
      </w:r>
    </w:p>
    <w:p w14:paraId="5E43A0D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Р.5.2.</w:t>
      </w:r>
      <w:r w:rsidRPr="003B2786">
        <w:rPr>
          <w:rFonts w:ascii="Sylfaen" w:hAnsi="Sylfaen"/>
          <w:sz w:val="24"/>
          <w:szCs w:val="24"/>
        </w:rPr>
        <w:tab/>
        <w:t>Վերլուծական մեթոդիկաները։</w:t>
      </w:r>
    </w:p>
    <w:p w14:paraId="637DC11A"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Р.5.3.</w:t>
      </w:r>
      <w:r w:rsidRPr="003B2786">
        <w:rPr>
          <w:rFonts w:ascii="Sylfaen" w:hAnsi="Sylfaen"/>
          <w:sz w:val="24"/>
          <w:szCs w:val="24"/>
        </w:rPr>
        <w:tab/>
        <w:t>Վերլուծական մեթոդիկաների վալիդացումը։</w:t>
      </w:r>
    </w:p>
    <w:p w14:paraId="6A65E55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Р.5.4.</w:t>
      </w:r>
      <w:r w:rsidRPr="003B2786">
        <w:rPr>
          <w:rFonts w:ascii="Sylfaen" w:hAnsi="Sylfaen"/>
          <w:sz w:val="24"/>
          <w:szCs w:val="24"/>
        </w:rPr>
        <w:tab/>
        <w:t>Սերիաների վերլուծության արդյունքները:</w:t>
      </w:r>
    </w:p>
    <w:p w14:paraId="621C7E8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Р.5.5.</w:t>
      </w:r>
      <w:r w:rsidRPr="003B2786">
        <w:rPr>
          <w:rFonts w:ascii="Sylfaen" w:hAnsi="Sylfaen"/>
          <w:sz w:val="24"/>
          <w:szCs w:val="24"/>
        </w:rPr>
        <w:tab/>
        <w:t>Խառնուկների բնութագրերը:</w:t>
      </w:r>
    </w:p>
    <w:p w14:paraId="7A2F73F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Р.5.6.</w:t>
      </w:r>
      <w:r w:rsidRPr="003B2786">
        <w:rPr>
          <w:rFonts w:ascii="Sylfaen" w:hAnsi="Sylfaen"/>
          <w:sz w:val="24"/>
          <w:szCs w:val="24"/>
        </w:rPr>
        <w:tab/>
        <w:t>Մասնագրերի հիմնավորումները:</w:t>
      </w:r>
    </w:p>
    <w:p w14:paraId="0980799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Մասնագիրը. անհրաժեշտ է աղյուսակային տեսքով ներկայացնել բացթողման մասնագրերը </w:t>
      </w:r>
      <w:r w:rsidR="00C54D75">
        <w:rPr>
          <w:rFonts w:ascii="Sylfaen" w:hAnsi="Sylfaen"/>
          <w:sz w:val="24"/>
          <w:szCs w:val="24"/>
        </w:rPr>
        <w:t>և</w:t>
      </w:r>
      <w:r w:rsidRPr="003B2786">
        <w:rPr>
          <w:rFonts w:ascii="Sylfaen" w:hAnsi="Sylfaen"/>
          <w:sz w:val="24"/>
          <w:szCs w:val="24"/>
        </w:rPr>
        <w:t xml:space="preserve"> մինչ</w:t>
      </w:r>
      <w:r w:rsidR="00C54D75">
        <w:rPr>
          <w:rFonts w:ascii="Sylfaen" w:hAnsi="Sylfaen"/>
          <w:sz w:val="24"/>
          <w:szCs w:val="24"/>
        </w:rPr>
        <w:t>և</w:t>
      </w:r>
      <w:r w:rsidRPr="003B2786">
        <w:rPr>
          <w:rFonts w:ascii="Sylfaen" w:hAnsi="Sylfaen"/>
          <w:sz w:val="24"/>
          <w:szCs w:val="24"/>
        </w:rPr>
        <w:t xml:space="preserve"> պիտանելիության ժամկետի (պահպանության ժամկետի) ավարտը գործող մասնագրերը՝ դրանք մեկը մյուսի հետ համեմատելով </w:t>
      </w:r>
      <w:r w:rsidR="00C54D75">
        <w:rPr>
          <w:rFonts w:ascii="Sylfaen" w:hAnsi="Sylfaen"/>
          <w:sz w:val="24"/>
          <w:szCs w:val="24"/>
        </w:rPr>
        <w:t>և</w:t>
      </w:r>
      <w:r w:rsidRPr="003B2786">
        <w:rPr>
          <w:rFonts w:ascii="Sylfaen" w:hAnsi="Sylfaen"/>
          <w:sz w:val="24"/>
          <w:szCs w:val="24"/>
        </w:rPr>
        <w:t xml:space="preserve"> օգտագործված մեթոդին արված համառոտ հղումով:</w:t>
      </w:r>
    </w:p>
    <w:p w14:paraId="20C45105" w14:textId="75F99163"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Եթե առաջարկված է բացթողում ըստ պարամետրերի՝ իրական ժամանակի ռեժիմում հսկողությամբ, պետք է նշել, թե արդյոք </w:t>
      </w:r>
      <w:r w:rsidR="0056496B">
        <w:rPr>
          <w:rFonts w:ascii="Sylfaen" w:hAnsi="Sylfaen"/>
          <w:sz w:val="24"/>
          <w:szCs w:val="24"/>
        </w:rPr>
        <w:t>դիմումատու</w:t>
      </w:r>
      <w:r w:rsidRPr="003B2786">
        <w:rPr>
          <w:rFonts w:ascii="Sylfaen" w:hAnsi="Sylfaen"/>
          <w:sz w:val="24"/>
          <w:szCs w:val="24"/>
        </w:rPr>
        <w:t xml:space="preserve">ն հաստատել է պատրաստուկի բնութագրերի </w:t>
      </w:r>
      <w:r w:rsidR="00C54D75">
        <w:rPr>
          <w:rFonts w:ascii="Sylfaen" w:hAnsi="Sylfaen"/>
          <w:sz w:val="24"/>
          <w:szCs w:val="24"/>
        </w:rPr>
        <w:t>և</w:t>
      </w:r>
      <w:r w:rsidRPr="003B2786">
        <w:rPr>
          <w:rFonts w:ascii="Sylfaen" w:hAnsi="Sylfaen"/>
          <w:sz w:val="24"/>
          <w:szCs w:val="24"/>
        </w:rPr>
        <w:t xml:space="preserve"> դրա արտադրության պրոցեսի խորը ըմբռնումը: 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նախատեսել է արտադրության պրոցեսի այնպիսի կրիտիկական պարամետրերի </w:t>
      </w:r>
      <w:r w:rsidR="00C54D75">
        <w:rPr>
          <w:rFonts w:ascii="Sylfaen" w:hAnsi="Sylfaen"/>
          <w:sz w:val="24"/>
          <w:szCs w:val="24"/>
        </w:rPr>
        <w:t>և</w:t>
      </w:r>
      <w:r w:rsidRPr="003B2786">
        <w:rPr>
          <w:rFonts w:ascii="Sylfaen" w:hAnsi="Sylfaen"/>
          <w:sz w:val="24"/>
          <w:szCs w:val="24"/>
        </w:rPr>
        <w:t xml:space="preserve"> նյութերի որակի այնպիսի կրիտիկական ցուցանիշների պատշաճ հսկողություն, որոնցով կհիմնավորվեր իրական ժամանակի ռեժիմում հսկողությամբ ըստ պարամետրերի բացթողումը: Անհրաժեշտ է գնահատել, թե արդյոք </w:t>
      </w:r>
      <w:r w:rsidR="0056496B">
        <w:rPr>
          <w:rFonts w:ascii="Sylfaen" w:hAnsi="Sylfaen"/>
          <w:sz w:val="24"/>
          <w:szCs w:val="24"/>
        </w:rPr>
        <w:t>դիմումատու</w:t>
      </w:r>
      <w:r w:rsidRPr="003B2786">
        <w:rPr>
          <w:rFonts w:ascii="Sylfaen" w:hAnsi="Sylfaen"/>
          <w:sz w:val="24"/>
          <w:szCs w:val="24"/>
        </w:rPr>
        <w:t xml:space="preserve">ի կողմից հաշվի են առնվել արտադրական միջավայրի գործոնները վերջնական արտադրանքի փորձարկման ժամանակ ստացված սերիաների </w:t>
      </w:r>
      <w:r w:rsidR="00C54D75">
        <w:rPr>
          <w:rFonts w:ascii="Sylfaen" w:hAnsi="Sylfaen"/>
          <w:sz w:val="24"/>
          <w:szCs w:val="24"/>
        </w:rPr>
        <w:t>և</w:t>
      </w:r>
      <w:r w:rsidRPr="003B2786">
        <w:rPr>
          <w:rFonts w:ascii="Sylfaen" w:hAnsi="Sylfaen"/>
          <w:sz w:val="24"/>
          <w:szCs w:val="24"/>
        </w:rPr>
        <w:t xml:space="preserve"> իրական ժամանակում փորձարկումների ժամանակ ստացված սերիաների վերլուծության արդյունքների համեմատություն անցկացնելիս: Անհրաժեշտ է նշել, թե արդյոք ներառված է տարվա ընթացքում իրական ժամանակի ռեժիմում պատրաստի պատրաստուկի հսկողությամբ՝ ըստ պարամետրերի բացթողման արդյունքների </w:t>
      </w:r>
      <w:r w:rsidR="00C54D75">
        <w:rPr>
          <w:rFonts w:ascii="Sylfaen" w:hAnsi="Sylfaen"/>
          <w:sz w:val="24"/>
          <w:szCs w:val="24"/>
        </w:rPr>
        <w:t>և</w:t>
      </w:r>
      <w:r w:rsidRPr="003B2786">
        <w:rPr>
          <w:rFonts w:ascii="Sylfaen" w:hAnsi="Sylfaen"/>
          <w:sz w:val="24"/>
          <w:szCs w:val="24"/>
        </w:rPr>
        <w:t xml:space="preserve"> իրական ժամանակի ռեժիմում բավարար թվով սերիաների հսկողությամբ՝ ըստ պարամետրերի բացթողման </w:t>
      </w:r>
      <w:r w:rsidRPr="003B2786">
        <w:rPr>
          <w:rFonts w:ascii="Sylfaen" w:hAnsi="Sylfaen"/>
          <w:sz w:val="24"/>
          <w:szCs w:val="24"/>
        </w:rPr>
        <w:lastRenderedPageBreak/>
        <w:t>արդյունքների համեմատումը նախատեսող սխեմա: Եթե դեղապատրաստուկի որակի ցուցանիշների կանխատեսման կամ արտադրության պրոցեսի «հոսքագծում» մոնիթորինգի նպատակով օգտագործվել են բազմաչափ մոդելներ, հարկ է անդրադառնալ սույն փաստաթղթի թիվ 3 հավելվածին:</w:t>
      </w:r>
    </w:p>
    <w:p w14:paraId="2665002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Մասնագրման ռեզյումեն, կար</w:t>
      </w:r>
      <w:r w:rsidR="00C54D75">
        <w:rPr>
          <w:rFonts w:ascii="Sylfaen" w:hAnsi="Sylfaen"/>
          <w:sz w:val="24"/>
          <w:szCs w:val="24"/>
        </w:rPr>
        <w:t>և</w:t>
      </w:r>
      <w:r w:rsidRPr="003B2786">
        <w:rPr>
          <w:rFonts w:ascii="Sylfaen" w:hAnsi="Sylfaen"/>
          <w:sz w:val="24"/>
          <w:szCs w:val="24"/>
        </w:rPr>
        <w:t>որ փորձարկումները, որոնք հատկապես առնչվում են կենսամատչելիությանը կամ արդյունավետությանը (օրինակ՝ լուծելիությունը, մասնիկների չափսերը, բազմաձ</w:t>
      </w:r>
      <w:r w:rsidR="00C54D75">
        <w:rPr>
          <w:rFonts w:ascii="Sylfaen" w:hAnsi="Sylfaen"/>
          <w:sz w:val="24"/>
          <w:szCs w:val="24"/>
        </w:rPr>
        <w:t>և</w:t>
      </w:r>
      <w:r w:rsidRPr="003B2786">
        <w:rPr>
          <w:rFonts w:ascii="Sylfaen" w:hAnsi="Sylfaen"/>
          <w:sz w:val="24"/>
          <w:szCs w:val="24"/>
        </w:rPr>
        <w:t xml:space="preserve">ությունը, եթե կիրառելի է) </w:t>
      </w:r>
      <w:r w:rsidR="00C54D75">
        <w:rPr>
          <w:rFonts w:ascii="Sylfaen" w:hAnsi="Sylfaen"/>
          <w:sz w:val="24"/>
          <w:szCs w:val="24"/>
        </w:rPr>
        <w:t>և</w:t>
      </w:r>
      <w:r w:rsidRPr="003B2786">
        <w:rPr>
          <w:rFonts w:ascii="Sylfaen" w:hAnsi="Sylfaen"/>
          <w:sz w:val="24"/>
          <w:szCs w:val="24"/>
        </w:rPr>
        <w:t xml:space="preserve"> անվտանգությանը (խառնուկները, մանրէազերծությունը, պիրոգենները կամ բակտերիալ էնդոտոքսինները </w:t>
      </w:r>
      <w:r w:rsidR="00C54D75">
        <w:rPr>
          <w:rFonts w:ascii="Sylfaen" w:hAnsi="Sylfaen"/>
          <w:sz w:val="24"/>
          <w:szCs w:val="24"/>
        </w:rPr>
        <w:t>և</w:t>
      </w:r>
      <w:r w:rsidRPr="003B2786">
        <w:rPr>
          <w:rFonts w:ascii="Sylfaen" w:hAnsi="Sylfaen"/>
          <w:sz w:val="24"/>
          <w:szCs w:val="24"/>
        </w:rPr>
        <w:t xml:space="preserve"> այլն՝ մանրէազերծ պատրաստուկների համար): Հարկ է գնահատել բացթողման մասնագրի ընդհանուր նշանակալիությունը՝ հաշվի առնելով արտադրության մեթոդը </w:t>
      </w:r>
      <w:r w:rsidR="00C54D75">
        <w:rPr>
          <w:rFonts w:ascii="Sylfaen" w:hAnsi="Sylfaen"/>
          <w:sz w:val="24"/>
          <w:szCs w:val="24"/>
        </w:rPr>
        <w:t>և</w:t>
      </w:r>
      <w:r w:rsidRPr="003B2786">
        <w:rPr>
          <w:rFonts w:ascii="Sylfaen" w:hAnsi="Sylfaen"/>
          <w:sz w:val="24"/>
          <w:szCs w:val="24"/>
        </w:rPr>
        <w:t xml:space="preserve"> կլինիկական կիրառումը, ներմուծման եղանակները </w:t>
      </w:r>
      <w:r w:rsidR="00C54D75">
        <w:rPr>
          <w:rFonts w:ascii="Sylfaen" w:hAnsi="Sylfaen"/>
          <w:sz w:val="24"/>
          <w:szCs w:val="24"/>
        </w:rPr>
        <w:t>և</w:t>
      </w:r>
      <w:r w:rsidRPr="003B2786">
        <w:rPr>
          <w:rFonts w:ascii="Sylfaen" w:hAnsi="Sylfaen"/>
          <w:sz w:val="24"/>
          <w:szCs w:val="24"/>
        </w:rPr>
        <w:t xml:space="preserve"> այլն:</w:t>
      </w:r>
    </w:p>
    <w:p w14:paraId="0BC317F5" w14:textId="77777777" w:rsidR="008C76E0" w:rsidRPr="003B2786" w:rsidRDefault="008C76E0" w:rsidP="00473371">
      <w:pPr>
        <w:spacing w:after="160" w:line="384" w:lineRule="auto"/>
        <w:ind w:firstLine="567"/>
        <w:jc w:val="both"/>
        <w:rPr>
          <w:rFonts w:ascii="Sylfaen" w:hAnsi="Sylfaen"/>
          <w:sz w:val="24"/>
          <w:szCs w:val="24"/>
        </w:rPr>
      </w:pPr>
      <w:r w:rsidRPr="00C0450A">
        <w:rPr>
          <w:rFonts w:ascii="Sylfaen" w:hAnsi="Sylfaen"/>
          <w:spacing w:val="-6"/>
          <w:sz w:val="24"/>
          <w:szCs w:val="24"/>
        </w:rPr>
        <w:t xml:space="preserve">Վերլուծական մեթոդիկաների վալիդացումը. անհրաժեշտ է գնահատել Միության համապատասախան ձեռնարկի պահանջներին </w:t>
      </w:r>
      <w:r w:rsidRPr="003B2786">
        <w:rPr>
          <w:rFonts w:ascii="Sylfaen" w:hAnsi="Sylfaen"/>
          <w:sz w:val="24"/>
          <w:szCs w:val="24"/>
        </w:rPr>
        <w:t>համապատասխանությունը՝ նշելով շեղումները, եթե այդպիսիք առկա են: Տվյալ բաժնում (Р.5) անհրաժեշտ է գնահատել բոլոր վերլուծական մեթոդիկաները, որոնք նկարագրված են ինչպես բացթողման, այնպես էլ պիտանելիության ժամկետի մասնագրում:</w:t>
      </w:r>
    </w:p>
    <w:p w14:paraId="567AD24B"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Անհրաժեշտ է համոզվել, որ դեղապատրաստուկի վերաբերյալ մասնագրում խառնուկների փորձարկումների օբյեկտ են համարվում քայքայման այն արգասիքները, որոնք առաջացել են արտադրության, ինչպես նա</w:t>
      </w:r>
      <w:r w:rsidR="00C54D75">
        <w:rPr>
          <w:rFonts w:ascii="Sylfaen" w:hAnsi="Sylfaen"/>
          <w:sz w:val="24"/>
          <w:szCs w:val="24"/>
        </w:rPr>
        <w:t>և</w:t>
      </w:r>
      <w:r w:rsidRPr="003B2786">
        <w:rPr>
          <w:rFonts w:ascii="Sylfaen" w:hAnsi="Sylfaen"/>
          <w:sz w:val="24"/>
          <w:szCs w:val="24"/>
        </w:rPr>
        <w:t xml:space="preserve"> պահպանման ընթացքում, իսկ դեղագործական նյութից առաջ եկող ոչ տեխնոլոգիական խառնուկները, եթե դրանք ենթակա են դեղագործական բաղադրամասի մակարդակով հսկողության, </w:t>
      </w:r>
      <w:r w:rsidR="00C54D75">
        <w:rPr>
          <w:rFonts w:ascii="Sylfaen" w:hAnsi="Sylfaen"/>
          <w:sz w:val="24"/>
          <w:szCs w:val="24"/>
        </w:rPr>
        <w:t>և</w:t>
      </w:r>
      <w:r w:rsidRPr="003B2786">
        <w:rPr>
          <w:rFonts w:ascii="Sylfaen" w:hAnsi="Sylfaen"/>
          <w:sz w:val="24"/>
          <w:szCs w:val="24"/>
        </w:rPr>
        <w:t xml:space="preserve"> դրանց պրոֆիլը դեղապատրաստուկի պահպանման ժամանակ չի փոփոխվում:</w:t>
      </w:r>
    </w:p>
    <w:p w14:paraId="40E25B3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Սերիաների վերլուծության արձանագրությունները (n = </w:t>
      </w:r>
      <w:r w:rsidRPr="003B2786">
        <w:rPr>
          <w:rStyle w:val="Bodytext295pt"/>
          <w:rFonts w:ascii="Sylfaen" w:eastAsiaTheme="minorHAnsi" w:hAnsi="Sylfaen"/>
          <w:b w:val="0"/>
          <w:sz w:val="24"/>
          <w:szCs w:val="24"/>
        </w:rPr>
        <w:t>«նշել քանակը»)</w:t>
      </w:r>
      <w:r w:rsidRPr="003B2786">
        <w:rPr>
          <w:rFonts w:ascii="Sylfaen" w:hAnsi="Sylfaen"/>
          <w:b/>
          <w:sz w:val="24"/>
          <w:szCs w:val="24"/>
        </w:rPr>
        <w:t>՝</w:t>
      </w:r>
    </w:p>
    <w:p w14:paraId="46D324C0"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ստացված արդյունքներով հաստատվում են դեղապատրաստուկի միատիպությունը </w:t>
      </w:r>
      <w:r w:rsidR="00C54D75">
        <w:rPr>
          <w:rFonts w:ascii="Sylfaen" w:hAnsi="Sylfaen"/>
          <w:sz w:val="24"/>
          <w:szCs w:val="24"/>
        </w:rPr>
        <w:t>և</w:t>
      </w:r>
      <w:r w:rsidRPr="003B2786">
        <w:rPr>
          <w:rFonts w:ascii="Sylfaen" w:hAnsi="Sylfaen"/>
          <w:sz w:val="24"/>
          <w:szCs w:val="24"/>
        </w:rPr>
        <w:t xml:space="preserve"> համասեռությունը: Անհրաժեշտ է </w:t>
      </w:r>
      <w:r w:rsidRPr="003B2786">
        <w:rPr>
          <w:rFonts w:ascii="Sylfaen" w:hAnsi="Sylfaen"/>
          <w:sz w:val="24"/>
          <w:szCs w:val="24"/>
        </w:rPr>
        <w:lastRenderedPageBreak/>
        <w:t>գնահատել, թե արդյոք արտադրության պրոցեսները վերահսկելի են:</w:t>
      </w:r>
    </w:p>
    <w:p w14:paraId="2D35C1AD"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դեպքում անհրաժեշտ է գնահատել «սառը» վերականգնվող հավաքածուների ռադիոքիմիական մաքրությունը, եթե կիրառելի է:</w:t>
      </w:r>
    </w:p>
    <w:p w14:paraId="0253E13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Կենսատեխնոլոգիական դեղապատրաստուկների դեպքում ԱԴԲ-ի մասնագրում նկարագրված կրիտիկական տարրերը շատ դեպքերում կիրառելի են նա</w:t>
      </w:r>
      <w:r w:rsidR="00C54D75">
        <w:rPr>
          <w:rFonts w:ascii="Sylfaen" w:hAnsi="Sylfaen"/>
          <w:sz w:val="24"/>
          <w:szCs w:val="24"/>
        </w:rPr>
        <w:t>և</w:t>
      </w:r>
      <w:r w:rsidRPr="003B2786">
        <w:rPr>
          <w:rFonts w:ascii="Sylfaen" w:hAnsi="Sylfaen"/>
          <w:sz w:val="24"/>
          <w:szCs w:val="24"/>
        </w:rPr>
        <w:t xml:space="preserve"> դեղապատրաստուկի համար:</w:t>
      </w:r>
    </w:p>
    <w:p w14:paraId="66F3CCE0" w14:textId="77777777" w:rsidR="008C76E0" w:rsidRPr="003B2786" w:rsidRDefault="008C76E0" w:rsidP="00473371">
      <w:pPr>
        <w:spacing w:after="160" w:line="384" w:lineRule="auto"/>
        <w:ind w:right="-1" w:firstLine="567"/>
        <w:jc w:val="both"/>
        <w:rPr>
          <w:rFonts w:ascii="Sylfaen" w:hAnsi="Sylfaen" w:cs="TimesNewRomanPSMT"/>
          <w:sz w:val="24"/>
          <w:szCs w:val="24"/>
        </w:rPr>
      </w:pPr>
      <w:r>
        <w:rPr>
          <w:rFonts w:ascii="Sylfaen" w:hAnsi="Sylfaen"/>
          <w:sz w:val="24"/>
          <w:szCs w:val="24"/>
        </w:rPr>
        <w:t>4.6.</w:t>
      </w:r>
      <w:r>
        <w:rPr>
          <w:rFonts w:ascii="Sylfaen" w:hAnsi="Sylfaen"/>
          <w:sz w:val="24"/>
          <w:szCs w:val="24"/>
        </w:rPr>
        <w:tab/>
      </w:r>
      <w:r w:rsidRPr="003B2786">
        <w:rPr>
          <w:rFonts w:ascii="Sylfaen" w:hAnsi="Sylfaen"/>
          <w:sz w:val="24"/>
          <w:szCs w:val="24"/>
        </w:rPr>
        <w:t xml:space="preserve">Ստանդարտ նմուշները </w:t>
      </w:r>
      <w:r w:rsidR="00C54D75">
        <w:rPr>
          <w:rFonts w:ascii="Sylfaen" w:hAnsi="Sylfaen"/>
          <w:sz w:val="24"/>
          <w:szCs w:val="24"/>
        </w:rPr>
        <w:t>և</w:t>
      </w:r>
      <w:r w:rsidRPr="003B2786">
        <w:rPr>
          <w:rFonts w:ascii="Sylfaen" w:hAnsi="Sylfaen"/>
          <w:sz w:val="24"/>
          <w:szCs w:val="24"/>
        </w:rPr>
        <w:t xml:space="preserve"> նյութերը (մոդուլ 3.2.P.6)</w:t>
      </w:r>
    </w:p>
    <w:p w14:paraId="32079BAC"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Կիրառելիության դեպքում բաժինը լրացվում է՝ հաշվի առնելով գրանցման դոսյեի S.5 մոդուլում ներառված տեղեկատվությունը:</w:t>
      </w:r>
    </w:p>
    <w:p w14:paraId="68EBEE59" w14:textId="77777777" w:rsidR="00473371" w:rsidRPr="00E15E7D" w:rsidRDefault="00473371">
      <w:pPr>
        <w:widowControl/>
        <w:rPr>
          <w:rFonts w:ascii="Sylfaen" w:hAnsi="Sylfaen"/>
          <w:sz w:val="24"/>
          <w:szCs w:val="24"/>
        </w:rPr>
      </w:pPr>
    </w:p>
    <w:p w14:paraId="3E23B681" w14:textId="584C72BF"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7B1D5B7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Նշել, թե արդյոք հասանելի են հիմնական դեղագրքերի ստանդարտ նմուշները՝ Եվրասիական տնտեսական հանձնաժողովի կողմից հաստատվող՝ Եվրասիական տնտեսական միության անդամ պետությունների դեղագրքերի ներդաշնակեցման հայեցակարգին համապատասխան:</w:t>
      </w:r>
    </w:p>
    <w:p w14:paraId="304AAD9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Կենսաբանական դեղապատրաստուկի մասով անհրաժեշտ է աղյուսակային տեսքով ներկայացնել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մասին հետ</w:t>
      </w:r>
      <w:r w:rsidR="00C54D75">
        <w:rPr>
          <w:rFonts w:ascii="Sylfaen" w:hAnsi="Sylfaen"/>
          <w:sz w:val="24"/>
          <w:szCs w:val="24"/>
        </w:rPr>
        <w:t>և</w:t>
      </w:r>
      <w:r w:rsidRPr="003B2786">
        <w:rPr>
          <w:rFonts w:ascii="Sylfaen" w:hAnsi="Sylfaen"/>
          <w:sz w:val="24"/>
          <w:szCs w:val="24"/>
        </w:rPr>
        <w:t>յալ տեղեկությունները՝ անվանումը, դոզավորումը, դեղաձ</w:t>
      </w:r>
      <w:r w:rsidR="00C54D75">
        <w:rPr>
          <w:rFonts w:ascii="Sylfaen" w:hAnsi="Sylfaen"/>
          <w:sz w:val="24"/>
          <w:szCs w:val="24"/>
        </w:rPr>
        <w:t>և</w:t>
      </w:r>
      <w:r w:rsidRPr="003B2786">
        <w:rPr>
          <w:rFonts w:ascii="Sylfaen" w:hAnsi="Sylfaen"/>
          <w:sz w:val="24"/>
          <w:szCs w:val="24"/>
        </w:rPr>
        <w:t xml:space="preserve">ը, գրանցման հավաստագրի իրավատերը, համադրելիության հետազոտություններում օգտագործված սերիաների համարները </w:t>
      </w:r>
      <w:r w:rsidR="00C54D75">
        <w:rPr>
          <w:rFonts w:ascii="Sylfaen" w:hAnsi="Sylfaen"/>
          <w:sz w:val="24"/>
          <w:szCs w:val="24"/>
        </w:rPr>
        <w:t>և</w:t>
      </w:r>
      <w:r w:rsidRPr="003B2786">
        <w:rPr>
          <w:rFonts w:ascii="Sylfaen" w:hAnsi="Sylfaen"/>
          <w:sz w:val="24"/>
          <w:szCs w:val="24"/>
        </w:rPr>
        <w:t xml:space="preserve"> ծագման երկիրը (ռեֆերենտ</w:t>
      </w:r>
      <w:r w:rsidRPr="003B2786" w:rsidDel="008C67E8">
        <w:rPr>
          <w:rFonts w:ascii="Sylfaen" w:hAnsi="Sylfaen"/>
          <w:sz w:val="24"/>
          <w:szCs w:val="24"/>
        </w:rPr>
        <w:t xml:space="preserve"> </w:t>
      </w:r>
      <w:r w:rsidRPr="003B2786">
        <w:rPr>
          <w:rFonts w:ascii="Sylfaen" w:hAnsi="Sylfaen"/>
          <w:sz w:val="24"/>
          <w:szCs w:val="24"/>
        </w:rPr>
        <w:t>դեղապատրաստուկը պետք է արտադրված լինի լավ կարգավորվող դեղագործական շուկայով երկրներում):</w:t>
      </w:r>
    </w:p>
    <w:p w14:paraId="3BF226BD" w14:textId="77777777" w:rsidR="008C76E0" w:rsidRPr="003B2786" w:rsidRDefault="008C76E0" w:rsidP="00473371">
      <w:pPr>
        <w:spacing w:after="160" w:line="360" w:lineRule="auto"/>
        <w:ind w:firstLine="567"/>
        <w:jc w:val="both"/>
        <w:outlineLvl w:val="0"/>
        <w:rPr>
          <w:rFonts w:ascii="Sylfaen" w:hAnsi="Sylfaen"/>
          <w:sz w:val="24"/>
          <w:szCs w:val="24"/>
        </w:rPr>
      </w:pPr>
      <w:r w:rsidRPr="003B2786">
        <w:rPr>
          <w:rFonts w:ascii="Sylfaen" w:hAnsi="Sylfaen"/>
          <w:sz w:val="24"/>
          <w:szCs w:val="24"/>
        </w:rPr>
        <w:t>4.7.</w:t>
      </w:r>
      <w:r>
        <w:rPr>
          <w:rFonts w:ascii="Sylfaen" w:hAnsi="Sylfaen"/>
          <w:sz w:val="24"/>
          <w:szCs w:val="24"/>
        </w:rPr>
        <w:tab/>
      </w:r>
      <w:r w:rsidRPr="003B2786">
        <w:rPr>
          <w:rFonts w:ascii="Sylfaen" w:hAnsi="Sylfaen"/>
          <w:sz w:val="24"/>
          <w:szCs w:val="24"/>
        </w:rPr>
        <w:t>Փաթեթավորման (խցանափակման) համակարգը (մոդուլ 3.2.Р.7)</w:t>
      </w:r>
    </w:p>
    <w:p w14:paraId="53C4F2E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գնահատել կոնտեյների </w:t>
      </w:r>
      <w:r w:rsidR="00C54D75">
        <w:rPr>
          <w:rFonts w:ascii="Sylfaen" w:hAnsi="Sylfaen"/>
          <w:sz w:val="24"/>
          <w:szCs w:val="24"/>
        </w:rPr>
        <w:t>և</w:t>
      </w:r>
      <w:r w:rsidRPr="003B2786">
        <w:rPr>
          <w:rFonts w:ascii="Sylfaen" w:hAnsi="Sylfaen"/>
          <w:sz w:val="24"/>
          <w:szCs w:val="24"/>
        </w:rPr>
        <w:t xml:space="preserve"> խցանափակման ընտրության հիմնավորումը՝ հաշվի առնելով դեղապատրաստուկի ֆիզիկական </w:t>
      </w:r>
      <w:r w:rsidR="00C54D75">
        <w:rPr>
          <w:rFonts w:ascii="Sylfaen" w:hAnsi="Sylfaen"/>
          <w:sz w:val="24"/>
          <w:szCs w:val="24"/>
        </w:rPr>
        <w:t>և</w:t>
      </w:r>
      <w:r w:rsidRPr="003B2786">
        <w:rPr>
          <w:rFonts w:ascii="Sylfaen" w:hAnsi="Sylfaen"/>
          <w:sz w:val="24"/>
          <w:szCs w:val="24"/>
        </w:rPr>
        <w:t xml:space="preserve"> քիմիական </w:t>
      </w:r>
      <w:r w:rsidRPr="003B2786">
        <w:rPr>
          <w:rFonts w:ascii="Sylfaen" w:hAnsi="Sylfaen"/>
          <w:sz w:val="24"/>
          <w:szCs w:val="24"/>
        </w:rPr>
        <w:lastRenderedPageBreak/>
        <w:t>հատկությունները:</w:t>
      </w:r>
    </w:p>
    <w:p w14:paraId="45A87F3C"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մանրէային կոնտամինացիայից բավարար պաշտպանություն ապահովելու՝ փաթեթավորման </w:t>
      </w:r>
      <w:r w:rsidR="00C54D75">
        <w:rPr>
          <w:rFonts w:ascii="Sylfaen" w:hAnsi="Sylfaen"/>
          <w:sz w:val="24"/>
          <w:szCs w:val="24"/>
        </w:rPr>
        <w:t>և</w:t>
      </w:r>
      <w:r w:rsidRPr="003B2786">
        <w:rPr>
          <w:rFonts w:ascii="Sylfaen" w:hAnsi="Sylfaen"/>
          <w:sz w:val="24"/>
          <w:szCs w:val="24"/>
        </w:rPr>
        <w:t xml:space="preserve"> խցանափակման հնարավորությունը:</w:t>
      </w:r>
    </w:p>
    <w:p w14:paraId="6C25F46A"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Անհրաժեշտ է համոզվել, որ ընթացիկ պահպանման համար առաջարկվող կոնտեյներները համընկնում են պիտանելիության ժամկետի հիմնավորման համար անցկացված՝ կայունության հետազոտություններում օգտագործված կոնտեյներների հետ (գրանցման դոսյեի 3.2.Р.8 բաժին):</w:t>
      </w:r>
    </w:p>
    <w:p w14:paraId="071E7BA0" w14:textId="77777777" w:rsidR="008C76E0" w:rsidRPr="003B2786" w:rsidRDefault="008C76E0" w:rsidP="00473371">
      <w:pPr>
        <w:spacing w:after="160" w:line="336" w:lineRule="auto"/>
        <w:ind w:right="-1" w:firstLine="567"/>
        <w:jc w:val="both"/>
        <w:rPr>
          <w:rFonts w:ascii="Sylfaen" w:hAnsi="Sylfaen"/>
          <w:sz w:val="24"/>
          <w:szCs w:val="24"/>
        </w:rPr>
      </w:pPr>
    </w:p>
    <w:p w14:paraId="37795901" w14:textId="77777777" w:rsidR="008C76E0" w:rsidRPr="003B2786" w:rsidRDefault="008C76E0" w:rsidP="00473371">
      <w:pPr>
        <w:spacing w:after="160" w:line="336" w:lineRule="auto"/>
        <w:ind w:right="-1"/>
        <w:jc w:val="center"/>
        <w:outlineLvl w:val="0"/>
        <w:rPr>
          <w:rFonts w:ascii="Sylfaen" w:hAnsi="Sylfaen"/>
          <w:sz w:val="24"/>
          <w:szCs w:val="24"/>
        </w:rPr>
      </w:pPr>
      <w:r w:rsidRPr="003B2786">
        <w:rPr>
          <w:rFonts w:ascii="Sylfaen" w:hAnsi="Sylfaen"/>
          <w:sz w:val="24"/>
          <w:szCs w:val="24"/>
        </w:rPr>
        <w:t>4.8. Կայունությունը (մոդուլ 3.2.Р.8)</w:t>
      </w:r>
    </w:p>
    <w:p w14:paraId="455857D3" w14:textId="77777777"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692E190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Р.8.1.</w:t>
      </w:r>
      <w:r w:rsidRPr="003B2786">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w:t>
      </w:r>
    </w:p>
    <w:p w14:paraId="288350E0" w14:textId="77777777" w:rsidR="008C76E0" w:rsidRPr="003B2786" w:rsidRDefault="008C76E0" w:rsidP="001F0952">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Р.8.2.</w:t>
      </w:r>
      <w:r w:rsidRPr="003B2786">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3B2786">
        <w:rPr>
          <w:rFonts w:ascii="Sylfaen" w:hAnsi="Sylfaen"/>
          <w:sz w:val="24"/>
          <w:szCs w:val="24"/>
        </w:rPr>
        <w:t xml:space="preserve"> կայունության ուսումնասիրության մասով պարտավորությունները:</w:t>
      </w:r>
    </w:p>
    <w:p w14:paraId="50C27CB6" w14:textId="77777777" w:rsidR="008C76E0" w:rsidRPr="003B2786" w:rsidRDefault="008C76E0" w:rsidP="001F0952">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Р.8.3.</w:t>
      </w:r>
      <w:r w:rsidRPr="003B2786">
        <w:rPr>
          <w:rFonts w:ascii="Sylfaen" w:hAnsi="Sylfaen"/>
          <w:sz w:val="24"/>
          <w:szCs w:val="24"/>
        </w:rPr>
        <w:tab/>
        <w:t>Կայունության փորձարկումների տվյալները:</w:t>
      </w:r>
    </w:p>
    <w:p w14:paraId="50373C11"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Հարկ է նշել, թե արդյոք հետազոտություններն անցկացվել են Միության գործող ձեռնարկներին համապատասխան: Անհրաժեշտ է ընդգծել շեղումների առկայությունը </w:t>
      </w:r>
      <w:r w:rsidR="00C54D75">
        <w:rPr>
          <w:rFonts w:ascii="Sylfaen" w:hAnsi="Sylfaen"/>
          <w:sz w:val="24"/>
          <w:szCs w:val="24"/>
        </w:rPr>
        <w:t>և</w:t>
      </w:r>
      <w:r w:rsidRPr="003B2786">
        <w:rPr>
          <w:rFonts w:ascii="Sylfaen" w:hAnsi="Sylfaen"/>
          <w:sz w:val="24"/>
          <w:szCs w:val="24"/>
        </w:rPr>
        <w:t xml:space="preserve"> դրանց հիմնավորվածությունը:</w:t>
      </w:r>
    </w:p>
    <w:p w14:paraId="72082BD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մեկնաբանել կայունության հետգրանցումային փորձարկումների ծրագրի բավարար լինելը մասնավորապես որոշվող պարամետրերի մասով: Անհրաժեշտ է գնահատել ծայրահեղ տարբերակների (բրեքեթինգի) հետազոտության </w:t>
      </w:r>
      <w:r w:rsidR="00C54D75">
        <w:rPr>
          <w:rFonts w:ascii="Sylfaen" w:hAnsi="Sylfaen"/>
          <w:sz w:val="24"/>
          <w:szCs w:val="24"/>
        </w:rPr>
        <w:t>և</w:t>
      </w:r>
      <w:r w:rsidRPr="003B2786">
        <w:rPr>
          <w:rFonts w:ascii="Sylfaen" w:hAnsi="Sylfaen"/>
          <w:sz w:val="24"/>
          <w:szCs w:val="24"/>
        </w:rPr>
        <w:t xml:space="preserve"> մատրիցային մեթոդի (խմբավորման կամ մատրիցավորման մեթոդի) ընդունելիությունը:</w:t>
      </w:r>
    </w:p>
    <w:p w14:paraId="3E87DFB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օգտագործված մեթոդիկաները համապատասխանում են Р.5-ում նկարագրված մեթոդիկաներին: Անհրաժեշտ է </w:t>
      </w:r>
      <w:r w:rsidRPr="003B2786">
        <w:rPr>
          <w:rFonts w:ascii="Sylfaen" w:hAnsi="Sylfaen"/>
          <w:sz w:val="24"/>
          <w:szCs w:val="24"/>
        </w:rPr>
        <w:lastRenderedPageBreak/>
        <w:t xml:space="preserve">համոզվել, որ դրանք վալիդացված են </w:t>
      </w:r>
      <w:r w:rsidR="00C54D75">
        <w:rPr>
          <w:rFonts w:ascii="Sylfaen" w:hAnsi="Sylfaen"/>
          <w:sz w:val="24"/>
          <w:szCs w:val="24"/>
        </w:rPr>
        <w:t>և</w:t>
      </w:r>
      <w:r w:rsidRPr="003B2786">
        <w:rPr>
          <w:rFonts w:ascii="Sylfaen" w:hAnsi="Sylfaen"/>
          <w:sz w:val="24"/>
          <w:szCs w:val="24"/>
        </w:rPr>
        <w:t xml:space="preserve"> թույլ են տալիս գնահատել դեղապատրաստուկի կայունությունը:</w:t>
      </w:r>
    </w:p>
    <w:p w14:paraId="7D9EDAF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համոզվել, որ կայունության հետազոտություններում օգտագործված կոնտեյներները համընկնում են ընթացիկ պահպանման համար առաջարկված կոնտեյներների հետ:</w:t>
      </w:r>
    </w:p>
    <w:p w14:paraId="5243A50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ուշադրություն դարձնել այն հանգամանքին, որ ԱԴԲ-ում որակավորված խառնուկները միշտ չէ, որ ներառում են քայքայման արգասիքներ, որոնք առաջանում են դեղապատրաստուկում կամ դրա արտադրության պրոցեսում: Բացի այդ, պահպանման ընթացքում կարող են փոփոխվել նա</w:t>
      </w:r>
      <w:r w:rsidR="00C54D75">
        <w:rPr>
          <w:rFonts w:ascii="Sylfaen" w:hAnsi="Sylfaen"/>
          <w:sz w:val="24"/>
          <w:szCs w:val="24"/>
        </w:rPr>
        <w:t>և</w:t>
      </w:r>
      <w:r w:rsidRPr="003B2786">
        <w:rPr>
          <w:rFonts w:ascii="Sylfaen" w:hAnsi="Sylfaen"/>
          <w:sz w:val="24"/>
          <w:szCs w:val="24"/>
        </w:rPr>
        <w:t xml:space="preserve"> պատրաստուկի այլ բնութագրեր, ինչը պահանջում է հիմնավորման գնահատում՝ հաշվի առնելով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արդյունքները:</w:t>
      </w:r>
    </w:p>
    <w:p w14:paraId="081FC3DC" w14:textId="77777777" w:rsidR="008C76E0" w:rsidRDefault="008C76E0" w:rsidP="00473371">
      <w:pPr>
        <w:spacing w:after="160" w:line="360" w:lineRule="auto"/>
        <w:ind w:firstLine="567"/>
        <w:jc w:val="both"/>
        <w:outlineLvl w:val="0"/>
        <w:rPr>
          <w:rFonts w:ascii="Sylfaen" w:hAnsi="Sylfaen"/>
          <w:sz w:val="24"/>
          <w:szCs w:val="24"/>
        </w:rPr>
      </w:pPr>
      <w:r w:rsidRPr="003B2786">
        <w:rPr>
          <w:rFonts w:ascii="Sylfaen" w:hAnsi="Sylfaen"/>
          <w:sz w:val="24"/>
          <w:szCs w:val="24"/>
        </w:rPr>
        <w:t xml:space="preserve">Անհրաժեշտ է համոզվել առաջարկվող պիտանելիության ժամկետի բավարար լինելու </w:t>
      </w:r>
      <w:r w:rsidR="00C54D75">
        <w:rPr>
          <w:rFonts w:ascii="Sylfaen" w:hAnsi="Sylfaen"/>
          <w:sz w:val="24"/>
          <w:szCs w:val="24"/>
        </w:rPr>
        <w:t>և</w:t>
      </w:r>
      <w:r w:rsidRPr="003B2786">
        <w:rPr>
          <w:rFonts w:ascii="Sylfaen" w:hAnsi="Sylfaen"/>
          <w:sz w:val="24"/>
          <w:szCs w:val="24"/>
        </w:rPr>
        <w:t xml:space="preserve"> պահպանման պայմանների ընդունելիության մեջ:</w:t>
      </w:r>
    </w:p>
    <w:p w14:paraId="45A9841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Կիրառման համար պատրաստ դեղապատրաստուկի կայունությունը:</w:t>
      </w:r>
    </w:p>
    <w:p w14:paraId="133E71C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Նա</w:t>
      </w:r>
      <w:r w:rsidR="00C54D75">
        <w:rPr>
          <w:rFonts w:ascii="Sylfaen" w:hAnsi="Sylfaen"/>
          <w:sz w:val="24"/>
          <w:szCs w:val="24"/>
        </w:rPr>
        <w:t>և</w:t>
      </w:r>
      <w:r w:rsidRPr="003B2786">
        <w:rPr>
          <w:rFonts w:ascii="Sylfaen" w:hAnsi="Sylfaen"/>
          <w:sz w:val="24"/>
          <w:szCs w:val="24"/>
        </w:rPr>
        <w:t xml:space="preserve"> անհրաժեշտ է գնահատել կայունությունը՝ բացելուց հետո </w:t>
      </w:r>
      <w:r w:rsidR="00C54D75">
        <w:rPr>
          <w:rFonts w:ascii="Sylfaen" w:hAnsi="Sylfaen"/>
          <w:sz w:val="24"/>
          <w:szCs w:val="24"/>
        </w:rPr>
        <w:t>և</w:t>
      </w:r>
      <w:r w:rsidRPr="003B2786">
        <w:rPr>
          <w:rFonts w:ascii="Sylfaen" w:hAnsi="Sylfaen"/>
          <w:sz w:val="24"/>
          <w:szCs w:val="24"/>
        </w:rPr>
        <w:t xml:space="preserve"> կիրառման ընթացքում, օրինակ՝ նոսրացման համար խտանյութերի համար պահանջվում է գնահատել կայունությունը նոսրացումից հետո </w:t>
      </w:r>
      <w:r w:rsidR="00C54D75">
        <w:rPr>
          <w:rFonts w:ascii="Sylfaen" w:hAnsi="Sylfaen"/>
          <w:sz w:val="24"/>
          <w:szCs w:val="24"/>
        </w:rPr>
        <w:t>և</w:t>
      </w:r>
      <w:r w:rsidRPr="003B2786">
        <w:rPr>
          <w:rFonts w:ascii="Sylfaen" w:hAnsi="Sylfaen"/>
          <w:sz w:val="24"/>
          <w:szCs w:val="24"/>
        </w:rPr>
        <w:t xml:space="preserve"> ներմուծման ընթացքում, ներմուծման համար նախատեսված հասանելի բժշկական արտադրատեսակների հետ համատեղելիությունը </w:t>
      </w:r>
      <w:r w:rsidR="00C54D75">
        <w:rPr>
          <w:rFonts w:ascii="Sylfaen" w:hAnsi="Sylfaen"/>
          <w:sz w:val="24"/>
          <w:szCs w:val="24"/>
        </w:rPr>
        <w:t>և</w:t>
      </w:r>
      <w:r w:rsidRPr="003B2786">
        <w:rPr>
          <w:rFonts w:ascii="Sylfaen" w:hAnsi="Sylfaen"/>
          <w:sz w:val="24"/>
          <w:szCs w:val="24"/>
        </w:rPr>
        <w:t xml:space="preserve"> այլն: Հարկ է գնահատել կիրառության համար պատրաստ դեղապատրաստուկի պիտանելիության ժամկետի </w:t>
      </w:r>
      <w:r w:rsidR="00C54D75">
        <w:rPr>
          <w:rFonts w:ascii="Sylfaen" w:hAnsi="Sylfaen"/>
          <w:sz w:val="24"/>
          <w:szCs w:val="24"/>
        </w:rPr>
        <w:t>և</w:t>
      </w:r>
      <w:r w:rsidRPr="003B2786">
        <w:rPr>
          <w:rFonts w:ascii="Sylfaen" w:hAnsi="Sylfaen"/>
          <w:sz w:val="24"/>
          <w:szCs w:val="24"/>
        </w:rPr>
        <w:t xml:space="preserve"> պահպանման պայմանների որոշման անհրաժեշտությունը: Անհրաժեշտ է գնահատել մշակողի հանձնարարականների համապատասխանությունը Միության գործող ձեռնարկներին: Դրանց անհամապատասխանության դեպքում անհրաժեշտ է գնահատել շեղումների հիմնավորվածությունը:</w:t>
      </w:r>
    </w:p>
    <w:p w14:paraId="5D9EC07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Ռադիոդեղագործական պատրաստուկների համար տվյալ բաժնում թույլատրվում է բերել օգտագործողների կողմից «սառը» հավաքածուների </w:t>
      </w:r>
      <w:r w:rsidRPr="003B2786">
        <w:rPr>
          <w:rFonts w:ascii="Sylfaen" w:hAnsi="Sylfaen"/>
          <w:sz w:val="24"/>
          <w:szCs w:val="24"/>
        </w:rPr>
        <w:lastRenderedPageBreak/>
        <w:t>վերականգնման մեթոդների գնահատականը, ինչպես նա</w:t>
      </w:r>
      <w:r w:rsidR="00C54D75">
        <w:rPr>
          <w:rFonts w:ascii="Sylfaen" w:hAnsi="Sylfaen"/>
          <w:sz w:val="24"/>
          <w:szCs w:val="24"/>
        </w:rPr>
        <w:t>և</w:t>
      </w:r>
      <w:r w:rsidRPr="003B2786">
        <w:rPr>
          <w:rFonts w:ascii="Sylfaen" w:hAnsi="Sylfaen"/>
          <w:sz w:val="24"/>
          <w:szCs w:val="24"/>
        </w:rPr>
        <w:t xml:space="preserve"> վերականգնումից հետո՝ դրանց կայունության գնահատականը:</w:t>
      </w:r>
    </w:p>
    <w:p w14:paraId="2E49AC42" w14:textId="77777777" w:rsidR="008C76E0" w:rsidRPr="003B2786" w:rsidRDefault="008C76E0" w:rsidP="00473371">
      <w:pPr>
        <w:spacing w:after="160" w:line="360" w:lineRule="auto"/>
        <w:ind w:right="-1" w:firstLine="567"/>
        <w:rPr>
          <w:rFonts w:ascii="Sylfaen" w:hAnsi="Sylfaen"/>
          <w:sz w:val="24"/>
          <w:szCs w:val="24"/>
        </w:rPr>
      </w:pPr>
      <w:r w:rsidRPr="003B2786">
        <w:rPr>
          <w:rFonts w:ascii="Sylfaen" w:hAnsi="Sylfaen"/>
          <w:sz w:val="24"/>
          <w:szCs w:val="24"/>
        </w:rPr>
        <w:t>Ընդհանուր տեղեկություններ:</w:t>
      </w:r>
    </w:p>
    <w:p w14:paraId="5B62277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ԴԸԲ-ում </w:t>
      </w:r>
      <w:r w:rsidR="00C54D75">
        <w:rPr>
          <w:rFonts w:ascii="Sylfaen" w:hAnsi="Sylfaen"/>
          <w:sz w:val="24"/>
          <w:szCs w:val="24"/>
        </w:rPr>
        <w:t>և</w:t>
      </w:r>
      <w:r w:rsidRPr="003B2786">
        <w:rPr>
          <w:rFonts w:ascii="Sylfaen" w:hAnsi="Sylfaen"/>
          <w:sz w:val="24"/>
          <w:szCs w:val="24"/>
        </w:rPr>
        <w:t xml:space="preserve"> ներդիր թերթիկում վերը նշվածն ամբողջությամբ արտացոլված է պատշաճ կերպով: Անհրաժեշտ է եզրակացություն անել ԴԸԲ-ում նշված բոլոր պիտանելիության ժամկետների </w:t>
      </w:r>
      <w:r w:rsidR="00C54D75">
        <w:rPr>
          <w:rFonts w:ascii="Sylfaen" w:hAnsi="Sylfaen"/>
          <w:sz w:val="24"/>
          <w:szCs w:val="24"/>
        </w:rPr>
        <w:t>և</w:t>
      </w:r>
      <w:r w:rsidRPr="003B2786">
        <w:rPr>
          <w:rFonts w:ascii="Sylfaen" w:hAnsi="Sylfaen"/>
          <w:sz w:val="24"/>
          <w:szCs w:val="24"/>
        </w:rPr>
        <w:t xml:space="preserve"> պահպանման պայմանների հիմնավորվածության մասին:</w:t>
      </w:r>
    </w:p>
    <w:p w14:paraId="5F909848" w14:textId="77777777" w:rsidR="008C76E0" w:rsidRPr="003B2786" w:rsidRDefault="008C76E0" w:rsidP="00473371">
      <w:pPr>
        <w:spacing w:after="160" w:line="360" w:lineRule="auto"/>
        <w:ind w:right="-1" w:firstLine="567"/>
        <w:jc w:val="both"/>
        <w:rPr>
          <w:rFonts w:ascii="Sylfaen" w:hAnsi="Sylfaen"/>
          <w:sz w:val="24"/>
          <w:szCs w:val="24"/>
        </w:rPr>
      </w:pPr>
    </w:p>
    <w:p w14:paraId="492EE7C2"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5. Հավելվածները (Մոդուլ 3.2.А)</w:t>
      </w:r>
    </w:p>
    <w:p w14:paraId="277DE302"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А. 1.</w:t>
      </w:r>
      <w:r w:rsidRPr="003B2786">
        <w:rPr>
          <w:rFonts w:ascii="Sylfaen" w:hAnsi="Sylfaen"/>
          <w:sz w:val="24"/>
          <w:szCs w:val="24"/>
        </w:rPr>
        <w:tab/>
        <w:t xml:space="preserve">Արտադրական տարածքները </w:t>
      </w:r>
      <w:r w:rsidR="00C54D75">
        <w:rPr>
          <w:rFonts w:ascii="Sylfaen" w:hAnsi="Sylfaen"/>
          <w:sz w:val="24"/>
          <w:szCs w:val="24"/>
        </w:rPr>
        <w:t>և</w:t>
      </w:r>
      <w:r w:rsidRPr="003B2786">
        <w:rPr>
          <w:rFonts w:ascii="Sylfaen" w:hAnsi="Sylfaen"/>
          <w:sz w:val="24"/>
          <w:szCs w:val="24"/>
        </w:rPr>
        <w:t xml:space="preserve"> սարքավորումները:</w:t>
      </w:r>
    </w:p>
    <w:p w14:paraId="237A7BED"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А.2.</w:t>
      </w:r>
      <w:r w:rsidRPr="003B2786">
        <w:rPr>
          <w:rFonts w:ascii="Sylfaen" w:hAnsi="Sylfaen"/>
          <w:sz w:val="24"/>
          <w:szCs w:val="24"/>
        </w:rPr>
        <w:tab/>
        <w:t>Կողմնակի ագենտների մասով անվտանգության գնահատականը:</w:t>
      </w:r>
    </w:p>
    <w:p w14:paraId="2CF0EF6B"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А.2.1.</w:t>
      </w:r>
      <w:r w:rsidRPr="003B2786">
        <w:rPr>
          <w:rFonts w:ascii="Sylfaen" w:hAnsi="Sylfaen"/>
          <w:sz w:val="24"/>
          <w:szCs w:val="24"/>
        </w:rPr>
        <w:tab/>
        <w:t>Ոչ վիրուսային կողմնակի նյութեր:</w:t>
      </w:r>
    </w:p>
    <w:p w14:paraId="321D97D1"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А.2.1.1.</w:t>
      </w:r>
      <w:r w:rsidRPr="003B2786">
        <w:rPr>
          <w:rFonts w:ascii="Sylfaen" w:hAnsi="Sylfaen"/>
          <w:sz w:val="24"/>
          <w:szCs w:val="24"/>
        </w:rPr>
        <w:tab/>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հսկողությունը:</w:t>
      </w:r>
    </w:p>
    <w:p w14:paraId="3455EC64"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А.2.1.2.</w:t>
      </w:r>
      <w:r w:rsidRPr="003B2786">
        <w:rPr>
          <w:rFonts w:ascii="Sylfaen" w:hAnsi="Sylfaen"/>
          <w:sz w:val="24"/>
          <w:szCs w:val="24"/>
        </w:rPr>
        <w:tab/>
        <w:t>Կենդանիների փոխանցվող սպունգանման էնցեֆալոպաթիայով կոնտամինացիայի ռիսկը:</w:t>
      </w:r>
    </w:p>
    <w:p w14:paraId="5F5A8C65" w14:textId="77777777" w:rsidR="008C76E0" w:rsidRPr="003B2786" w:rsidRDefault="008C76E0" w:rsidP="001F0952">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պարունակության հսկողությունը:</w:t>
      </w:r>
    </w:p>
    <w:p w14:paraId="2FC8F741"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Անհրաժեշտ է ներկայացնել խաչաձ</w:t>
      </w:r>
      <w:r w:rsidR="00C54D75">
        <w:rPr>
          <w:rFonts w:ascii="Sylfaen" w:hAnsi="Sylfaen"/>
          <w:sz w:val="24"/>
          <w:szCs w:val="24"/>
        </w:rPr>
        <w:t>և</w:t>
      </w:r>
      <w:r w:rsidRPr="003B2786">
        <w:rPr>
          <w:rFonts w:ascii="Sylfaen" w:hAnsi="Sylfaen"/>
          <w:sz w:val="24"/>
          <w:szCs w:val="24"/>
        </w:rPr>
        <w:t xml:space="preserve"> հղումներ փորձագիտական հաշվետվության մյուս մասերին (արտադրության պրոցեսը </w:t>
      </w:r>
      <w:r w:rsidR="00C54D75">
        <w:rPr>
          <w:rFonts w:ascii="Sylfaen" w:hAnsi="Sylfaen"/>
          <w:sz w:val="24"/>
          <w:szCs w:val="24"/>
        </w:rPr>
        <w:t>և</w:t>
      </w:r>
      <w:r w:rsidRPr="003B2786">
        <w:rPr>
          <w:rFonts w:ascii="Sylfaen" w:hAnsi="Sylfaen"/>
          <w:sz w:val="24"/>
          <w:szCs w:val="24"/>
        </w:rPr>
        <w:t xml:space="preserve"> այլն):</w:t>
      </w:r>
    </w:p>
    <w:p w14:paraId="4BC2360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պարունակության փորձարկումների համար ոչ դեղագրքային մեթոդների օգտագործման դեպքում անհրաժեշտ է անցկացնել դրանց գնահատումը:</w:t>
      </w:r>
    </w:p>
    <w:p w14:paraId="74A08ED3"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որոշ ռեակտիվների կամ նյութերի մասով առաջացել են մանրէազերծության հետ կապված խնդիրներ, անհրաժեշտ է մանրամասն գնահատում անցկացնել:</w:t>
      </w:r>
    </w:p>
    <w:p w14:paraId="4E942964" w14:textId="77777777" w:rsidR="008C76E0" w:rsidRPr="003B2786" w:rsidRDefault="008C76E0" w:rsidP="0047337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1.2.</w:t>
      </w:r>
      <w:r w:rsidRPr="003B2786">
        <w:rPr>
          <w:rFonts w:ascii="Sylfaen" w:hAnsi="Sylfaen"/>
          <w:sz w:val="24"/>
          <w:szCs w:val="24"/>
        </w:rPr>
        <w:tab/>
        <w:t>Կենդանիների փոխանցվող սպունգանման էնցեֆալոպաթիայի փոխանցման ռիսկը:</w:t>
      </w:r>
    </w:p>
    <w:p w14:paraId="2504BB2B" w14:textId="252203E3"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սպունգանման էնցեֆալոպաթիայի հարուցիչների փոխանցման ռիսկի նվազեցման ձեռնարկում հիշատակված նյութերը թվարկել Միության դեղագրքի համաձայն (տե՛ս, աղյուսակ А-ն) </w:t>
      </w:r>
      <w:r w:rsidR="00C54D75">
        <w:rPr>
          <w:rFonts w:ascii="Sylfaen" w:hAnsi="Sylfaen"/>
          <w:sz w:val="24"/>
          <w:szCs w:val="24"/>
        </w:rPr>
        <w:t>և</w:t>
      </w:r>
      <w:r w:rsidRPr="003B2786">
        <w:rPr>
          <w:rFonts w:ascii="Sylfaen" w:hAnsi="Sylfaen"/>
          <w:sz w:val="24"/>
          <w:szCs w:val="24"/>
        </w:rPr>
        <w:t xml:space="preserve"> գնահատել </w:t>
      </w:r>
      <w:r w:rsidR="0056496B">
        <w:rPr>
          <w:rFonts w:ascii="Sylfaen" w:hAnsi="Sylfaen"/>
          <w:sz w:val="24"/>
          <w:szCs w:val="24"/>
        </w:rPr>
        <w:t>դիմումատու</w:t>
      </w:r>
      <w:r w:rsidRPr="003B2786">
        <w:rPr>
          <w:rFonts w:ascii="Sylfaen" w:hAnsi="Sylfaen"/>
          <w:sz w:val="24"/>
          <w:szCs w:val="24"/>
        </w:rPr>
        <w:t>ի կողմից ՓՍԷ ագենտների հսկողությանը ներկայացվող պահանջների պահպանումը (СЕР-սերտիֆիկատ կամ գիտական փաստաթղթեր): Նպատակահարմար է առավել կար</w:t>
      </w:r>
      <w:r w:rsidR="00C54D75">
        <w:rPr>
          <w:rFonts w:ascii="Sylfaen" w:hAnsi="Sylfaen"/>
          <w:sz w:val="24"/>
          <w:szCs w:val="24"/>
        </w:rPr>
        <w:t>և</w:t>
      </w:r>
      <w:r w:rsidRPr="003B2786">
        <w:rPr>
          <w:rFonts w:ascii="Sylfaen" w:hAnsi="Sylfaen"/>
          <w:sz w:val="24"/>
          <w:szCs w:val="24"/>
        </w:rPr>
        <w:t>որ տեղեկատվության ռեզյումեն ներկայացնել աղյուսակային տեսքով:</w:t>
      </w:r>
    </w:p>
    <w:p w14:paraId="418D324B" w14:textId="77777777"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Անհրաժեշտ է Միության դեղագրքի համաձայն գնահատել կենդանիների սպունգանման էնցեֆալոպաթիայի հարուցիչների փոխանցման ռիսկի նվազեցման ձեռնարկի պահանջներին համապատասխանությունը հաստատող փաստաթղթերը, եթե կիրառելի է:</w:t>
      </w:r>
    </w:p>
    <w:p w14:paraId="60CF40A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Եզրակացությունը:</w:t>
      </w:r>
    </w:p>
    <w:p w14:paraId="09EF7B7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А.2.2.</w:t>
      </w:r>
      <w:r w:rsidRPr="003B2786">
        <w:rPr>
          <w:rFonts w:ascii="Sylfaen" w:hAnsi="Sylfaen"/>
          <w:sz w:val="24"/>
          <w:szCs w:val="24"/>
        </w:rPr>
        <w:tab/>
        <w:t>Կողմնակի վիրուսներ:</w:t>
      </w:r>
    </w:p>
    <w:p w14:paraId="435F69CE"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Կենսաբանական ծագման նյութերի առկայությունը սահմանելու դեպքում հարկ է կատարել հետ</w:t>
      </w:r>
      <w:r w:rsidR="00C54D75">
        <w:rPr>
          <w:rFonts w:ascii="Sylfaen" w:hAnsi="Sylfaen"/>
          <w:sz w:val="24"/>
          <w:szCs w:val="24"/>
        </w:rPr>
        <w:t>և</w:t>
      </w:r>
      <w:r w:rsidRPr="003B2786">
        <w:rPr>
          <w:rFonts w:ascii="Sylfaen" w:hAnsi="Sylfaen"/>
          <w:sz w:val="24"/>
          <w:szCs w:val="24"/>
        </w:rPr>
        <w:t>յալ ասպեկտների վերլուծությունը:</w:t>
      </w:r>
    </w:p>
    <w:p w14:paraId="3E6ACFD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Փորձագիտական հաշվետվությունը. հնարավոր վիրուսային կոնտամինացիայի տեսանկյունից, նյութերի բնութագրերի ռեզյումեի հետ միասին պետք է պարունակի դեղապատրաստուկի արտադրության պրոցեսում օգտագործված կամ դրանց հետ առնչվող կենսաբանական ծագման նյութերի համառոտ նկարագրությունը կամ ցանկը: Անհրաժեշտ է ուշադրություն դարձնել արտադրության մեջ ուղղակի կամ անուղղակի կերպով օգտագործված բջջային սուբստրատների, ռեակտիվների (օրինակ՝ աֆինային քրոմատոգրաֆիայի համար նյութեր), ինչպես նա</w:t>
      </w:r>
      <w:r w:rsidR="00C54D75">
        <w:rPr>
          <w:rFonts w:ascii="Sylfaen" w:hAnsi="Sylfaen"/>
          <w:sz w:val="24"/>
          <w:szCs w:val="24"/>
        </w:rPr>
        <w:t>և</w:t>
      </w:r>
      <w:r w:rsidRPr="003B2786">
        <w:rPr>
          <w:rFonts w:ascii="Sylfaen" w:hAnsi="Sylfaen"/>
          <w:sz w:val="24"/>
          <w:szCs w:val="24"/>
        </w:rPr>
        <w:t xml:space="preserve"> օժանդակ նյութերի վրա: Որոշ տվյալներ կարող են պարունակվել գրանցման դոսյեի 3.2.S.2.3՝ «Նյութերի որակի հսկողություն» բաժնում </w:t>
      </w:r>
      <w:r w:rsidR="00C54D75">
        <w:rPr>
          <w:rFonts w:ascii="Sylfaen" w:hAnsi="Sylfaen"/>
          <w:sz w:val="24"/>
          <w:szCs w:val="24"/>
        </w:rPr>
        <w:t>և</w:t>
      </w:r>
      <w:r w:rsidRPr="003B2786">
        <w:rPr>
          <w:rFonts w:ascii="Sylfaen" w:hAnsi="Sylfaen"/>
          <w:sz w:val="24"/>
          <w:szCs w:val="24"/>
        </w:rPr>
        <w:t xml:space="preserve"> 3.2.Р.4.5՝ «Մարդկային կամ կենդանական ծագման օժանդակ նյութեր» բաժնում:</w:t>
      </w:r>
    </w:p>
    <w:p w14:paraId="22B33F72"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 xml:space="preserve">Ելանյութերի </w:t>
      </w:r>
      <w:r w:rsidR="00C54D75">
        <w:rPr>
          <w:rFonts w:ascii="Sylfaen" w:hAnsi="Sylfaen"/>
          <w:sz w:val="24"/>
          <w:szCs w:val="24"/>
        </w:rPr>
        <w:t>և</w:t>
      </w:r>
      <w:r w:rsidRPr="003B2786">
        <w:rPr>
          <w:rFonts w:ascii="Sylfaen" w:hAnsi="Sylfaen"/>
          <w:sz w:val="24"/>
          <w:szCs w:val="24"/>
        </w:rPr>
        <w:t xml:space="preserve"> հումքի փորձարկումը:</w:t>
      </w:r>
    </w:p>
    <w:p w14:paraId="5195CCEF" w14:textId="77777777" w:rsidR="008C76E0" w:rsidRPr="003B2786" w:rsidRDefault="008C76E0" w:rsidP="001F0952">
      <w:pPr>
        <w:spacing w:after="160" w:line="336" w:lineRule="auto"/>
        <w:ind w:right="-1" w:firstLine="567"/>
        <w:jc w:val="both"/>
        <w:rPr>
          <w:rFonts w:ascii="Sylfaen" w:hAnsi="Sylfaen"/>
          <w:sz w:val="24"/>
          <w:szCs w:val="24"/>
        </w:rPr>
      </w:pPr>
      <w:r w:rsidRPr="003B2786">
        <w:rPr>
          <w:rFonts w:ascii="Sylfaen" w:hAnsi="Sylfaen"/>
          <w:sz w:val="24"/>
          <w:szCs w:val="24"/>
        </w:rPr>
        <w:lastRenderedPageBreak/>
        <w:t xml:space="preserve">Բջջային գծերի բնութագիրը: Անցկացված փորձարկումների արդյունքներն անհրաժեշտ է գրանցել աղյուսակում: Աղյուսակը պետք է արտացոլի, թե ինչպիսի փորձարկումներ են անցկացվել </w:t>
      </w:r>
      <w:r w:rsidR="00C54D75">
        <w:rPr>
          <w:rFonts w:ascii="Sylfaen" w:hAnsi="Sylfaen"/>
          <w:sz w:val="24"/>
          <w:szCs w:val="24"/>
        </w:rPr>
        <w:t>և</w:t>
      </w:r>
      <w:r w:rsidRPr="003B2786">
        <w:rPr>
          <w:rFonts w:ascii="Sylfaen" w:hAnsi="Sylfaen"/>
          <w:sz w:val="24"/>
          <w:szCs w:val="24"/>
        </w:rPr>
        <w:t xml:space="preserve"> ինչ բջիջների վրա (բջիջների գլխավոր բանկ, բջիջների աշխատանքային բանկ, հետարտադրական բջիջներ): Անհրաժեշտ է նշել կողմնակի վիրուսների մասով in vitro հետազոտությունների համար օգտագործված բջջային գծերը, մկների </w:t>
      </w:r>
      <w:r w:rsidR="00C54D75">
        <w:rPr>
          <w:rFonts w:ascii="Sylfaen" w:hAnsi="Sylfaen"/>
          <w:sz w:val="24"/>
          <w:szCs w:val="24"/>
        </w:rPr>
        <w:t>և</w:t>
      </w:r>
      <w:r w:rsidRPr="003B2786">
        <w:rPr>
          <w:rFonts w:ascii="Sylfaen" w:hAnsi="Sylfaen"/>
          <w:sz w:val="24"/>
          <w:szCs w:val="24"/>
        </w:rPr>
        <w:t xml:space="preserve"> գերմանամկների հակամարմինների արտադրանքի փորձարկումների համար մանրամասն նկարագրություն չի պահանջվում, in vivo հետազոտությունների արդյունքները նկարագրելիս անհրաժեշտ է նշել կենդանիների տեսակները, </w:t>
      </w:r>
      <w:r w:rsidR="00C54D75">
        <w:rPr>
          <w:rFonts w:ascii="Sylfaen" w:hAnsi="Sylfaen"/>
          <w:sz w:val="24"/>
          <w:szCs w:val="24"/>
        </w:rPr>
        <w:t>և</w:t>
      </w:r>
      <w:r w:rsidRPr="003B2786">
        <w:rPr>
          <w:rFonts w:ascii="Sylfaen" w:hAnsi="Sylfaen"/>
          <w:sz w:val="24"/>
          <w:szCs w:val="24"/>
        </w:rPr>
        <w:t xml:space="preserve"> եթե նշանակալի է, ներմուծման ուղին: Անհրաժեշտ է նշել, թե արդյոք կողմնակի վիրուսների առկայության մասով ուսումնասիրվել են չմշակված, չբաժնեծրարված պատրաստուկի երեք սերիաներ: </w:t>
      </w:r>
    </w:p>
    <w:p w14:paraId="7AE3C277"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Պլազմայի ածանցյալների դեպքում անհրաժեշտ է հղում բերել պլազմայի մաստեր-ֆայլին կամ դրանում պարունակվող տվյալների փորձաքննության արդյունքներին:</w:t>
      </w:r>
    </w:p>
    <w:p w14:paraId="0EA840AD"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Փորձագիտական հաշվետվության մեջ անհրաժեշտ է լուսաբանել դոնորների, դոնորային հյուսվածքների </w:t>
      </w:r>
      <w:r w:rsidR="00C54D75">
        <w:rPr>
          <w:rFonts w:ascii="Sylfaen" w:hAnsi="Sylfaen"/>
          <w:sz w:val="24"/>
          <w:szCs w:val="24"/>
        </w:rPr>
        <w:t>և</w:t>
      </w:r>
      <w:r w:rsidRPr="003B2786">
        <w:rPr>
          <w:rFonts w:ascii="Sylfaen" w:hAnsi="Sylfaen"/>
          <w:sz w:val="24"/>
          <w:szCs w:val="24"/>
        </w:rPr>
        <w:t xml:space="preserve"> բջիջների բանկերի նկատմամբ հսկողության միջոցները (մարդու հյուսվածքներից ստացված պատրաստուկների մասով):</w:t>
      </w:r>
    </w:p>
    <w:p w14:paraId="67C5E09F"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Պատվաստանյութերի դեպքում անհրաժեշտ է նշել, թե արդյոք անցկացվել են Միության դեղագրքով </w:t>
      </w:r>
      <w:r w:rsidR="00C54D75">
        <w:rPr>
          <w:rFonts w:ascii="Sylfaen" w:hAnsi="Sylfaen"/>
          <w:sz w:val="24"/>
          <w:szCs w:val="24"/>
        </w:rPr>
        <w:t>և</w:t>
      </w:r>
      <w:r w:rsidRPr="003B2786">
        <w:rPr>
          <w:rFonts w:ascii="Sylfaen" w:hAnsi="Sylfaen"/>
          <w:sz w:val="24"/>
          <w:szCs w:val="24"/>
        </w:rPr>
        <w:t xml:space="preserve"> ԱՀԿ-ի հանձնարարականներով նախատեսված բոլոր փորձարկումները </w:t>
      </w:r>
      <w:r w:rsidR="00C54D75">
        <w:rPr>
          <w:rFonts w:ascii="Sylfaen" w:hAnsi="Sylfaen"/>
          <w:sz w:val="24"/>
          <w:szCs w:val="24"/>
        </w:rPr>
        <w:t>և</w:t>
      </w:r>
      <w:r w:rsidRPr="003B2786">
        <w:rPr>
          <w:rFonts w:ascii="Sylfaen" w:hAnsi="Sylfaen"/>
          <w:sz w:val="24"/>
          <w:szCs w:val="24"/>
        </w:rPr>
        <w:t xml:space="preserve"> ստուգիչ միջոցառումները՝ սպեցիֆիկ </w:t>
      </w:r>
      <w:r w:rsidR="00C54D75">
        <w:rPr>
          <w:rFonts w:ascii="Sylfaen" w:hAnsi="Sylfaen"/>
          <w:sz w:val="24"/>
          <w:szCs w:val="24"/>
        </w:rPr>
        <w:t>և</w:t>
      </w:r>
      <w:r w:rsidRPr="003B2786">
        <w:rPr>
          <w:rFonts w:ascii="Sylfaen" w:hAnsi="Sylfaen"/>
          <w:sz w:val="24"/>
          <w:szCs w:val="24"/>
        </w:rPr>
        <w:t xml:space="preserve"> ոչ սպեցիֆիկ կողմնակի ագենտներով կոնտամինացիան չթույլատրելու նպատակով:</w:t>
      </w:r>
    </w:p>
    <w:p w14:paraId="2D47214F" w14:textId="6C5B6F6C"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2.1 կետում ներկայացված տեղեկատվության հիման վրա անհրաժեշտ է գնահատել, թե արդյոք </w:t>
      </w:r>
      <w:r w:rsidR="0056496B">
        <w:rPr>
          <w:rFonts w:ascii="Sylfaen" w:hAnsi="Sylfaen"/>
          <w:sz w:val="24"/>
          <w:szCs w:val="24"/>
        </w:rPr>
        <w:t>դիմումատու</w:t>
      </w:r>
      <w:r w:rsidRPr="003B2786">
        <w:rPr>
          <w:rFonts w:ascii="Sylfaen" w:hAnsi="Sylfaen"/>
          <w:sz w:val="24"/>
          <w:szCs w:val="24"/>
        </w:rPr>
        <w:t>ն վիրուսային կոնտամինացիայի մասով պատշաճ ուսումնասիրություն է անցկացրել:</w:t>
      </w:r>
    </w:p>
    <w:p w14:paraId="1CD59C9B"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2.3.</w:t>
      </w:r>
      <w:r w:rsidRPr="003B2786">
        <w:rPr>
          <w:rFonts w:ascii="Sylfaen" w:hAnsi="Sylfaen"/>
          <w:sz w:val="24"/>
          <w:szCs w:val="24"/>
        </w:rPr>
        <w:tab/>
        <w:t>Չմշակված, չբաժնեծրարված արտադրանքի ընթացիկ փորձարկումները (եթե կիրառելի է):</w:t>
      </w:r>
    </w:p>
    <w:p w14:paraId="49E5B60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Բջիջներից ստացված պատրաստուկների դեպքում անհրաժեշտ է նշել, թե արդյոք պահանջվում է չմշակված, չբաժնեծրարված արտադրանքի ընթացիկ փորձարկումների անցկացում: Անհրաժեշտ է գնահատել փորձարկումների ռեժիմի </w:t>
      </w:r>
      <w:r w:rsidRPr="003B2786">
        <w:rPr>
          <w:rFonts w:ascii="Sylfaen" w:hAnsi="Sylfaen"/>
          <w:sz w:val="24"/>
          <w:szCs w:val="24"/>
        </w:rPr>
        <w:lastRenderedPageBreak/>
        <w:t>ընդունելիությունն ու բավարար լինելը:</w:t>
      </w:r>
    </w:p>
    <w:p w14:paraId="0C8534F0" w14:textId="2A5B8EE4"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Pr>
          <w:rFonts w:ascii="Sylfaen" w:hAnsi="Sylfaen"/>
          <w:sz w:val="24"/>
          <w:szCs w:val="24"/>
        </w:rPr>
        <w:t>.</w:t>
      </w:r>
      <w:r>
        <w:rPr>
          <w:rFonts w:ascii="Sylfaen" w:hAnsi="Sylfaen"/>
          <w:sz w:val="24"/>
          <w:szCs w:val="24"/>
        </w:rPr>
        <w:tab/>
      </w:r>
      <w:r w:rsidRPr="003B2786">
        <w:rPr>
          <w:rFonts w:ascii="Sylfaen" w:hAnsi="Sylfaen"/>
          <w:sz w:val="24"/>
          <w:szCs w:val="24"/>
        </w:rPr>
        <w:t xml:space="preserve">կետում ներկայացված տեղեկատվության հիման վրա անհրաժեշտ է գնահատել, թե արդյոք </w:t>
      </w:r>
      <w:r w:rsidR="0056496B">
        <w:rPr>
          <w:rFonts w:ascii="Sylfaen" w:hAnsi="Sylfaen"/>
          <w:sz w:val="24"/>
          <w:szCs w:val="24"/>
        </w:rPr>
        <w:t>դիմումատու</w:t>
      </w:r>
      <w:r w:rsidRPr="003B2786">
        <w:rPr>
          <w:rFonts w:ascii="Sylfaen" w:hAnsi="Sylfaen"/>
          <w:sz w:val="24"/>
          <w:szCs w:val="24"/>
        </w:rPr>
        <w:t>ն մշակել է ընթացիկ փորձարկումների պատշաճ ռազմավարություն:</w:t>
      </w:r>
    </w:p>
    <w:p w14:paraId="6D4CA17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2.4.</w:t>
      </w:r>
      <w:r w:rsidRPr="003B2786">
        <w:rPr>
          <w:rFonts w:ascii="Sylfaen" w:hAnsi="Sylfaen"/>
          <w:sz w:val="24"/>
          <w:szCs w:val="24"/>
        </w:rPr>
        <w:tab/>
        <w:t>Մաքրված, չբաժնեծրարված արտադրանքի փորձարկումները (եթե</w:t>
      </w:r>
      <w:r>
        <w:rPr>
          <w:rFonts w:ascii="Sylfaen" w:hAnsi="Sylfaen"/>
          <w:sz w:val="24"/>
          <w:szCs w:val="24"/>
        </w:rPr>
        <w:t> </w:t>
      </w:r>
      <w:r w:rsidRPr="003B2786">
        <w:rPr>
          <w:rFonts w:ascii="Sylfaen" w:hAnsi="Sylfaen"/>
          <w:sz w:val="24"/>
          <w:szCs w:val="24"/>
        </w:rPr>
        <w:t>կիրառելի է):</w:t>
      </w:r>
    </w:p>
    <w:p w14:paraId="2FDB60F8" w14:textId="3FF61607" w:rsidR="008C76E0" w:rsidRPr="003B2786" w:rsidRDefault="008C76E0" w:rsidP="001F0952">
      <w:pPr>
        <w:tabs>
          <w:tab w:val="left" w:pos="1418"/>
        </w:tabs>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ներկայացրել է մաքրված, չբաժնեծրարված արտադրանքի ընթացիկ </w:t>
      </w:r>
      <w:r w:rsidR="00C54D75">
        <w:rPr>
          <w:rFonts w:ascii="Sylfaen" w:hAnsi="Sylfaen"/>
          <w:sz w:val="24"/>
          <w:szCs w:val="24"/>
        </w:rPr>
        <w:t>և</w:t>
      </w:r>
      <w:r w:rsidRPr="003B2786">
        <w:rPr>
          <w:rFonts w:ascii="Sylfaen" w:hAnsi="Sylfaen"/>
          <w:sz w:val="24"/>
          <w:szCs w:val="24"/>
        </w:rPr>
        <w:t xml:space="preserve"> ոչ ընթացիկ հսկողության բավարար չափով հիմնավորված ռեժիմ: </w:t>
      </w:r>
    </w:p>
    <w:p w14:paraId="0E23E4FC" w14:textId="77777777" w:rsidR="008C76E0" w:rsidRPr="003B2786" w:rsidRDefault="008C76E0" w:rsidP="001F0952">
      <w:pPr>
        <w:tabs>
          <w:tab w:val="left" w:pos="1134"/>
        </w:tabs>
        <w:spacing w:after="160" w:line="384" w:lineRule="auto"/>
        <w:ind w:right="-1" w:firstLine="567"/>
        <w:jc w:val="both"/>
        <w:rPr>
          <w:rFonts w:ascii="Sylfaen" w:hAnsi="Sylfaen"/>
          <w:sz w:val="24"/>
          <w:szCs w:val="24"/>
        </w:rPr>
      </w:pPr>
      <w:r w:rsidRPr="003B2786">
        <w:rPr>
          <w:rFonts w:ascii="Sylfaen" w:hAnsi="Sylfaen"/>
          <w:sz w:val="24"/>
          <w:szCs w:val="24"/>
        </w:rPr>
        <w:t>2.5.</w:t>
      </w:r>
      <w:r w:rsidRPr="003B2786">
        <w:rPr>
          <w:rFonts w:ascii="Sylfaen" w:hAnsi="Sylfaen"/>
          <w:sz w:val="24"/>
          <w:szCs w:val="24"/>
        </w:rPr>
        <w:tab/>
        <w:t>Վիրուսներից մաքրման հետազոտությունները՝</w:t>
      </w:r>
    </w:p>
    <w:p w14:paraId="121457B0" w14:textId="77777777" w:rsidR="008C76E0" w:rsidRPr="003B2786" w:rsidRDefault="008C76E0" w:rsidP="001F0952">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Անհրաժեշտ է բերել հետազոտության բովանդակային պլանի վերաբերյալ ընդհանուր տեղեկություններ:</w:t>
      </w:r>
    </w:p>
    <w:p w14:paraId="3174C0FF"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Հարկ է գնահատել պատրաստուկի՝ վիրուսներից մաքրման անհրաժեշտությունը:</w:t>
      </w:r>
    </w:p>
    <w:p w14:paraId="671CCA1B"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գնահատել վիրուսներից մաքրման համար արտադրության պրոցեսի փուլերի ճշգրտությունը </w:t>
      </w:r>
      <w:r w:rsidR="00C54D75">
        <w:rPr>
          <w:rFonts w:ascii="Sylfaen" w:hAnsi="Sylfaen"/>
          <w:sz w:val="24"/>
          <w:szCs w:val="24"/>
        </w:rPr>
        <w:t>և</w:t>
      </w:r>
      <w:r w:rsidRPr="003B2786">
        <w:rPr>
          <w:rFonts w:ascii="Sylfaen" w:hAnsi="Sylfaen"/>
          <w:sz w:val="24"/>
          <w:szCs w:val="24"/>
        </w:rPr>
        <w:t xml:space="preserve"> բավարարությունը:</w:t>
      </w:r>
    </w:p>
    <w:p w14:paraId="568254FC"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Անհրաժեշտ է գնահատել վիրուսների ընտրության ճշգրտությունը:</w:t>
      </w:r>
    </w:p>
    <w:p w14:paraId="610325F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գնահատել անցկացված հետազոտությունների համապատասխանությունը Միության համապատասխան ձեռնարկների հանձնարարականներին:</w:t>
      </w:r>
    </w:p>
    <w:p w14:paraId="50D3FCB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2.5.1</w:t>
      </w:r>
      <w:r w:rsidRPr="003B2786">
        <w:rPr>
          <w:rFonts w:ascii="Sylfaen" w:hAnsi="Sylfaen"/>
          <w:sz w:val="24"/>
          <w:szCs w:val="24"/>
        </w:rPr>
        <w:tab/>
        <w:t>Արտադրության տարբեր փուլերին համապատասխան՝ ուսումնասիրության ենթարկված վալիդացման հետազոտությունների գնահատումը:</w:t>
      </w:r>
    </w:p>
    <w:p w14:paraId="6F9415E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1)</w:t>
      </w:r>
      <w:r w:rsidRPr="003B2786">
        <w:rPr>
          <w:rFonts w:ascii="Sylfaen" w:hAnsi="Sylfaen"/>
          <w:sz w:val="24"/>
          <w:szCs w:val="24"/>
        </w:rPr>
        <w:tab/>
        <w:t>Անհրաժեշտ է գնահատել լաբորատոր պայմաններում արտադրության արդյունաբերական պրոցեսի վերարտադրելիության աստիճանը:</w:t>
      </w:r>
    </w:p>
    <w:p w14:paraId="1F1A56E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Անհրաժեշտ է գնահատել, թե արդյոք համեմատվել են արտադրության պրոցեսի կար</w:t>
      </w:r>
      <w:r w:rsidR="00C54D75">
        <w:rPr>
          <w:rFonts w:ascii="Sylfaen" w:hAnsi="Sylfaen"/>
          <w:sz w:val="24"/>
          <w:szCs w:val="24"/>
        </w:rPr>
        <w:t>և</w:t>
      </w:r>
      <w:r w:rsidRPr="003B2786">
        <w:rPr>
          <w:rFonts w:ascii="Sylfaen" w:hAnsi="Sylfaen"/>
          <w:sz w:val="24"/>
          <w:szCs w:val="24"/>
        </w:rPr>
        <w:t xml:space="preserve">որ պարամետրերը </w:t>
      </w:r>
      <w:r w:rsidR="00C54D75">
        <w:rPr>
          <w:rFonts w:ascii="Sylfaen" w:hAnsi="Sylfaen"/>
          <w:sz w:val="24"/>
          <w:szCs w:val="24"/>
        </w:rPr>
        <w:t>և</w:t>
      </w:r>
      <w:r w:rsidRPr="003B2786">
        <w:rPr>
          <w:rFonts w:ascii="Sylfaen" w:hAnsi="Sylfaen"/>
          <w:sz w:val="24"/>
          <w:szCs w:val="24"/>
        </w:rPr>
        <w:t xml:space="preserve"> արդյոք դրանք պատշաճ կերպով վերականգնվել են ապախոշորացնելիս (արտադրության պրոցեսի մասշտաբի փոքրացում մինչ</w:t>
      </w:r>
      <w:r w:rsidR="00C54D75">
        <w:rPr>
          <w:rFonts w:ascii="Sylfaen" w:hAnsi="Sylfaen"/>
          <w:sz w:val="24"/>
          <w:szCs w:val="24"/>
        </w:rPr>
        <w:t>և</w:t>
      </w:r>
      <w:r w:rsidRPr="003B2786">
        <w:rPr>
          <w:rFonts w:ascii="Sylfaen" w:hAnsi="Sylfaen"/>
          <w:sz w:val="24"/>
          <w:szCs w:val="24"/>
        </w:rPr>
        <w:t xml:space="preserve"> լաբորատորայինը):</w:t>
      </w:r>
    </w:p>
    <w:p w14:paraId="5084B71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գնահատել, թե արդյոք ապախոշորացումը հաստատվել է օգտագործված միջանկյալ արտադրանքի կամ ֆրակցիաների վերլուծության արդյունքներով:</w:t>
      </w:r>
    </w:p>
    <w:p w14:paraId="0E7162D3" w14:textId="77777777" w:rsidR="008C76E0" w:rsidRPr="00815736" w:rsidRDefault="008C76E0" w:rsidP="00473371">
      <w:pPr>
        <w:spacing w:after="160" w:line="360" w:lineRule="auto"/>
        <w:ind w:firstLine="567"/>
        <w:jc w:val="both"/>
        <w:rPr>
          <w:rFonts w:ascii="Sylfaen" w:hAnsi="Sylfaen"/>
          <w:spacing w:val="-6"/>
          <w:sz w:val="24"/>
          <w:szCs w:val="24"/>
        </w:rPr>
      </w:pPr>
      <w:r w:rsidRPr="00815736">
        <w:rPr>
          <w:rFonts w:ascii="Sylfaen" w:hAnsi="Sylfaen"/>
          <w:spacing w:val="-6"/>
          <w:sz w:val="24"/>
          <w:szCs w:val="24"/>
        </w:rPr>
        <w:t>Քրոմատոգրաֆիական փուլերն օգտագործելիս անհրաժեշտ է գնահատել պարամետրերի համադրելիությունը (շերտի բարձրությունը, բեռնվածքը, մշակման, բեռնման բոլոր փուլերում հոսքի արագությունը, էլյուցիայի պրոֆիլները):</w:t>
      </w:r>
    </w:p>
    <w:p w14:paraId="2EE8EE3A"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Անհրաժեշտ է գնահատել, թե արդյոք անցկացվում է վիրուսների առկայության մասով՝ հետէլյուցիոն (լվացման) ֆրակցիայի ստուգում, ինչպես նա</w:t>
      </w:r>
      <w:r w:rsidR="00C54D75">
        <w:rPr>
          <w:rFonts w:ascii="Sylfaen" w:hAnsi="Sylfaen"/>
          <w:sz w:val="24"/>
          <w:szCs w:val="24"/>
        </w:rPr>
        <w:t>և</w:t>
      </w:r>
      <w:r w:rsidRPr="003B2786">
        <w:rPr>
          <w:rFonts w:ascii="Sylfaen" w:hAnsi="Sylfaen"/>
          <w:sz w:val="24"/>
          <w:szCs w:val="24"/>
        </w:rPr>
        <w:t xml:space="preserve"> մեծ քանակությամբ աղի պարունակությամբ ֆրակցիայի ստուգում, եթե կիրառելի է: Անհրաժեշտ է նշել, թե արդյոք յուրաքանչյուր քրոմատոգրաֆիական պարբերաշրջանի համար ներկայացվել են պարամետրերը:</w:t>
      </w:r>
    </w:p>
    <w:p w14:paraId="3907FC0A" w14:textId="77777777" w:rsidR="008C76E0" w:rsidRPr="00E15E7D"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առաջարկվում է սյունակների կրկնակի օգտագործում, անհրաժեշտ է նշել, թե արդյոք ռեգեներացման </w:t>
      </w:r>
      <w:r w:rsidR="00C54D75">
        <w:rPr>
          <w:rFonts w:ascii="Sylfaen" w:hAnsi="Sylfaen"/>
          <w:sz w:val="24"/>
          <w:szCs w:val="24"/>
        </w:rPr>
        <w:t>և</w:t>
      </w:r>
      <w:r w:rsidRPr="003B2786">
        <w:rPr>
          <w:rFonts w:ascii="Sylfaen" w:hAnsi="Sylfaen"/>
          <w:sz w:val="24"/>
          <w:szCs w:val="24"/>
        </w:rPr>
        <w:t xml:space="preserve"> սյունակների կրկնակի օգտագործման պայմանները նկարագրված </w:t>
      </w:r>
      <w:r w:rsidR="00C54D75">
        <w:rPr>
          <w:rFonts w:ascii="Sylfaen" w:hAnsi="Sylfaen"/>
          <w:sz w:val="24"/>
          <w:szCs w:val="24"/>
        </w:rPr>
        <w:t>և</w:t>
      </w:r>
      <w:r w:rsidRPr="003B2786">
        <w:rPr>
          <w:rFonts w:ascii="Sylfaen" w:hAnsi="Sylfaen"/>
          <w:sz w:val="24"/>
          <w:szCs w:val="24"/>
        </w:rPr>
        <w:t xml:space="preserve"> վալիդացված են</w:t>
      </w:r>
      <w:r w:rsidR="001F0952">
        <w:rPr>
          <w:rFonts w:ascii="Sylfaen" w:hAnsi="Sylfaen"/>
          <w:sz w:val="24"/>
          <w:szCs w:val="24"/>
        </w:rPr>
        <w:t>:</w:t>
      </w:r>
    </w:p>
    <w:p w14:paraId="025CE4BA"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Եթե նախատեսված են ֆիլտրացման փուլեր, անհրաժեշտ է նշել, թե արդյոք պարամետրերը (ֆիլտրացնող մակեր</w:t>
      </w:r>
      <w:r w:rsidR="00C54D75">
        <w:rPr>
          <w:rFonts w:ascii="Sylfaen" w:hAnsi="Sylfaen"/>
          <w:sz w:val="24"/>
          <w:szCs w:val="24"/>
        </w:rPr>
        <w:t>և</w:t>
      </w:r>
      <w:r w:rsidRPr="003B2786">
        <w:rPr>
          <w:rFonts w:ascii="Sylfaen" w:hAnsi="Sylfaen"/>
          <w:sz w:val="24"/>
          <w:szCs w:val="24"/>
        </w:rPr>
        <w:t xml:space="preserve">ույթի, հոսքի կամ ճնշման </w:t>
      </w:r>
      <w:r w:rsidR="00C54D75">
        <w:rPr>
          <w:rFonts w:ascii="Sylfaen" w:hAnsi="Sylfaen"/>
          <w:sz w:val="24"/>
          <w:szCs w:val="24"/>
        </w:rPr>
        <w:t>և</w:t>
      </w:r>
      <w:r w:rsidRPr="003B2786">
        <w:rPr>
          <w:rFonts w:ascii="Sylfaen" w:hAnsi="Sylfaen"/>
          <w:sz w:val="24"/>
          <w:szCs w:val="24"/>
        </w:rPr>
        <w:t xml:space="preserve"> (կամ) տրանսմեմբրանային ճնշման արագության նկատմամբ ծավալի հարաբերակցությունը) նույնական են արտադրության արդյունաբերական պրոցեսի պարամետրերի հետ: Անհրաժեշտ է գնահատել, թե արդյոք մաքրման հետազոտությունները բավարար չափով արտացոլում են արտադրության ընթացքում ֆիլտրացման պրոցեսի տարբեր փուլերը (ֆիլտրացում </w:t>
      </w:r>
      <w:r w:rsidR="00C54D75">
        <w:rPr>
          <w:rFonts w:ascii="Sylfaen" w:hAnsi="Sylfaen"/>
          <w:sz w:val="24"/>
          <w:szCs w:val="24"/>
        </w:rPr>
        <w:t>և</w:t>
      </w:r>
      <w:r w:rsidRPr="003B2786">
        <w:rPr>
          <w:rFonts w:ascii="Sylfaen" w:hAnsi="Sylfaen"/>
          <w:sz w:val="24"/>
          <w:szCs w:val="24"/>
        </w:rPr>
        <w:t xml:space="preserve"> (կամ) ուլտրաֆիլտրացում կամ պատրաստուկի լվացում), ինչպես նա</w:t>
      </w:r>
      <w:r w:rsidR="00C54D75">
        <w:rPr>
          <w:rFonts w:ascii="Sylfaen" w:hAnsi="Sylfaen"/>
          <w:sz w:val="24"/>
          <w:szCs w:val="24"/>
        </w:rPr>
        <w:t>և</w:t>
      </w:r>
      <w:r w:rsidRPr="003B2786">
        <w:rPr>
          <w:rFonts w:ascii="Sylfaen" w:hAnsi="Sylfaen"/>
          <w:sz w:val="24"/>
          <w:szCs w:val="24"/>
        </w:rPr>
        <w:t xml:space="preserve"> այդ փուլերի ուսումնասիրության բավարար լինելը:</w:t>
      </w:r>
    </w:p>
    <w:p w14:paraId="40BF65E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Անհրաժեշտ է թվարկել թերությունները:</w:t>
      </w:r>
    </w:p>
    <w:p w14:paraId="09B5EAFA"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2)</w:t>
      </w:r>
      <w:r w:rsidRPr="003B2786">
        <w:rPr>
          <w:rFonts w:ascii="Sylfaen" w:hAnsi="Sylfaen"/>
          <w:sz w:val="24"/>
          <w:szCs w:val="24"/>
        </w:rPr>
        <w:tab/>
        <w:t>Անհրաժեշտ է գնահատել վիրուսներից մաքրման փորձերի արդյունքների համոզիչ լինելը:</w:t>
      </w:r>
    </w:p>
    <w:p w14:paraId="230433F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որոշել, թե արդյոք ստուգվել է ուսումնասիրվող նյութի ցիտոտոքսիկության հնարավորությունը, ինչպես նա</w:t>
      </w:r>
      <w:r w:rsidR="00C54D75">
        <w:rPr>
          <w:rFonts w:ascii="Sylfaen" w:hAnsi="Sylfaen"/>
          <w:sz w:val="24"/>
          <w:szCs w:val="24"/>
        </w:rPr>
        <w:t>և</w:t>
      </w:r>
      <w:r w:rsidRPr="003B2786">
        <w:rPr>
          <w:rFonts w:ascii="Sylfaen" w:hAnsi="Sylfaen"/>
          <w:sz w:val="24"/>
          <w:szCs w:val="24"/>
        </w:rPr>
        <w:t xml:space="preserve"> որոշել վիրուսների հետ կապված փորձարկումների արդյունքների վրա աղավաղող ազդեցությունը:</w:t>
      </w:r>
    </w:p>
    <w:p w14:paraId="73496416" w14:textId="1288DF82"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ֆիլտրացիոն պրոցեսները գնահատվել են </w:t>
      </w:r>
      <w:r w:rsidR="0056496B">
        <w:rPr>
          <w:rFonts w:ascii="Sylfaen" w:hAnsi="Sylfaen"/>
          <w:sz w:val="24"/>
          <w:szCs w:val="24"/>
        </w:rPr>
        <w:t>դիմումատու</w:t>
      </w:r>
      <w:r w:rsidRPr="003B2786">
        <w:rPr>
          <w:rFonts w:ascii="Sylfaen" w:hAnsi="Sylfaen"/>
          <w:sz w:val="24"/>
          <w:szCs w:val="24"/>
        </w:rPr>
        <w:t xml:space="preserve">ի կողմից, անհրաժեշտ է որոշել, թե արդյոք </w:t>
      </w:r>
      <w:r w:rsidR="0056496B">
        <w:rPr>
          <w:rFonts w:ascii="Sylfaen" w:hAnsi="Sylfaen"/>
          <w:sz w:val="24"/>
          <w:szCs w:val="24"/>
        </w:rPr>
        <w:t>դիմումատու</w:t>
      </w:r>
      <w:r w:rsidRPr="003B2786">
        <w:rPr>
          <w:rFonts w:ascii="Sylfaen" w:hAnsi="Sylfaen"/>
          <w:sz w:val="24"/>
          <w:szCs w:val="24"/>
        </w:rPr>
        <w:t xml:space="preserve">ն անցկացրել է վիրուսային ագրեգատների հետ կապված փորձարկումներ </w:t>
      </w:r>
      <w:r w:rsidR="00C54D75">
        <w:rPr>
          <w:rFonts w:ascii="Sylfaen" w:hAnsi="Sylfaen"/>
          <w:sz w:val="24"/>
          <w:szCs w:val="24"/>
        </w:rPr>
        <w:t>և</w:t>
      </w:r>
      <w:r w:rsidRPr="003B2786">
        <w:rPr>
          <w:rFonts w:ascii="Sylfaen" w:hAnsi="Sylfaen"/>
          <w:sz w:val="24"/>
          <w:szCs w:val="24"/>
        </w:rPr>
        <w:t xml:space="preserve"> արդյոք դրանց որոշման համար օգտագործվել են համապատասխան մեթոդիկաներ:</w:t>
      </w:r>
    </w:p>
    <w:p w14:paraId="6191A164" w14:textId="77777777"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ներկայացված են առաջնային տվյալները </w:t>
      </w:r>
      <w:r w:rsidR="00C54D75">
        <w:rPr>
          <w:rFonts w:ascii="Sylfaen" w:hAnsi="Sylfaen"/>
          <w:sz w:val="24"/>
          <w:szCs w:val="24"/>
        </w:rPr>
        <w:t>և</w:t>
      </w:r>
      <w:r w:rsidRPr="003B2786">
        <w:rPr>
          <w:rFonts w:ascii="Sylfaen" w:hAnsi="Sylfaen"/>
          <w:sz w:val="24"/>
          <w:szCs w:val="24"/>
        </w:rPr>
        <w:t xml:space="preserve"> արդյոք դրանք հաշվի են առնվել վիրուսային ծանրաբեռնվածության պարունակության կրճատման գործոնները հաշվարկելիս: </w:t>
      </w:r>
    </w:p>
    <w:p w14:paraId="2AE96DD8" w14:textId="77777777"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Անհրաժեշտ է թվարկել թերությունները:</w:t>
      </w:r>
    </w:p>
    <w:p w14:paraId="5827BC40" w14:textId="02456AAD" w:rsidR="008C76E0" w:rsidRPr="003B2786" w:rsidRDefault="008C76E0" w:rsidP="001F0952">
      <w:pPr>
        <w:tabs>
          <w:tab w:val="left" w:pos="1134"/>
        </w:tabs>
        <w:spacing w:after="160" w:line="384" w:lineRule="auto"/>
        <w:ind w:right="-1" w:firstLine="567"/>
        <w:jc w:val="both"/>
        <w:outlineLvl w:val="0"/>
        <w:rPr>
          <w:rFonts w:ascii="Sylfaen" w:hAnsi="Sylfaen"/>
          <w:sz w:val="24"/>
          <w:szCs w:val="24"/>
        </w:rPr>
      </w:pPr>
      <w:r w:rsidRPr="003B2786">
        <w:rPr>
          <w:rFonts w:ascii="Sylfaen" w:hAnsi="Sylfaen"/>
          <w:sz w:val="24"/>
          <w:szCs w:val="24"/>
        </w:rPr>
        <w:t>3)</w:t>
      </w:r>
      <w:r w:rsidRPr="003B2786">
        <w:rPr>
          <w:rFonts w:ascii="Sylfaen" w:hAnsi="Sylfaen"/>
          <w:sz w:val="24"/>
          <w:szCs w:val="24"/>
        </w:rPr>
        <w:tab/>
        <w:t xml:space="preserve">Վիրուսային ծանրաբեռնվածության պարունակության կրճատման </w:t>
      </w:r>
      <w:r w:rsidR="001A5F1A">
        <w:rPr>
          <w:rFonts w:ascii="Sylfaen" w:hAnsi="Sylfaen"/>
          <w:sz w:val="24"/>
          <w:szCs w:val="24"/>
        </w:rPr>
        <w:t>հայտագրված</w:t>
      </w:r>
      <w:r w:rsidRPr="003B2786">
        <w:rPr>
          <w:rFonts w:ascii="Sylfaen" w:hAnsi="Sylfaen"/>
          <w:sz w:val="24"/>
          <w:szCs w:val="24"/>
        </w:rPr>
        <w:t xml:space="preserve"> գործոնների գնահատումը (R</w:t>
      </w:r>
      <w:r w:rsidRPr="003B2786">
        <w:rPr>
          <w:rFonts w:ascii="Sylfaen" w:hAnsi="Sylfaen"/>
          <w:sz w:val="24"/>
          <w:szCs w:val="24"/>
          <w:vertAlign w:val="subscript"/>
        </w:rPr>
        <w:t>f</w:t>
      </w:r>
      <w:r w:rsidRPr="003B2786">
        <w:rPr>
          <w:rFonts w:ascii="Sylfaen" w:hAnsi="Sylfaen"/>
          <w:sz w:val="24"/>
          <w:szCs w:val="24"/>
        </w:rPr>
        <w:t>):</w:t>
      </w:r>
    </w:p>
    <w:p w14:paraId="076DD9B7" w14:textId="52671308"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որքանով են համոզիչ </w:t>
      </w:r>
      <w:r w:rsidR="001A5F1A">
        <w:rPr>
          <w:rFonts w:ascii="Sylfaen" w:hAnsi="Sylfaen"/>
          <w:sz w:val="24"/>
          <w:szCs w:val="24"/>
        </w:rPr>
        <w:t>հայտագրված</w:t>
      </w:r>
      <w:r w:rsidRPr="003B2786">
        <w:rPr>
          <w:rFonts w:ascii="Sylfaen" w:hAnsi="Sylfaen"/>
          <w:sz w:val="24"/>
          <w:szCs w:val="24"/>
        </w:rPr>
        <w:t xml:space="preserve"> R</w:t>
      </w:r>
      <w:r w:rsidRPr="003B2786">
        <w:rPr>
          <w:rFonts w:ascii="Sylfaen" w:hAnsi="Sylfaen"/>
          <w:sz w:val="24"/>
          <w:szCs w:val="24"/>
          <w:vertAlign w:val="subscript"/>
        </w:rPr>
        <w:t xml:space="preserve">f </w:t>
      </w:r>
      <w:r w:rsidRPr="003B2786">
        <w:rPr>
          <w:rFonts w:ascii="Sylfaen" w:hAnsi="Sylfaen"/>
          <w:sz w:val="24"/>
          <w:szCs w:val="24"/>
        </w:rPr>
        <w:t xml:space="preserve">արժեքները, </w:t>
      </w:r>
      <w:r w:rsidR="00C54D75">
        <w:rPr>
          <w:rFonts w:ascii="Sylfaen" w:hAnsi="Sylfaen"/>
          <w:sz w:val="24"/>
          <w:szCs w:val="24"/>
        </w:rPr>
        <w:t>և</w:t>
      </w:r>
      <w:r w:rsidRPr="003B2786">
        <w:rPr>
          <w:rFonts w:ascii="Sylfaen" w:hAnsi="Sylfaen"/>
          <w:sz w:val="24"/>
          <w:szCs w:val="24"/>
        </w:rPr>
        <w:t xml:space="preserve"> արդյոք դրանք հաստատվել են փորձարկումների արդյունքներով:</w:t>
      </w:r>
    </w:p>
    <w:p w14:paraId="1C45FBA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ներկայացնել վիրուսային ծանրաբեռնվածության պարունակության կրճատման գործոններ պարունակող աղյուսակ (ճշգրտված արժեքները, եթե պահանջվում է):</w:t>
      </w:r>
    </w:p>
    <w:p w14:paraId="43D3012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թե արդյոք ուսումնասիրվել է արտադրական փուլի կայունությունը (արտադրական պրոցեսի կար</w:t>
      </w:r>
      <w:r w:rsidR="00C54D75">
        <w:rPr>
          <w:rFonts w:ascii="Sylfaen" w:hAnsi="Sylfaen"/>
          <w:sz w:val="24"/>
          <w:szCs w:val="24"/>
        </w:rPr>
        <w:t>և</w:t>
      </w:r>
      <w:r w:rsidRPr="003B2786">
        <w:rPr>
          <w:rFonts w:ascii="Sylfaen" w:hAnsi="Sylfaen"/>
          <w:sz w:val="24"/>
          <w:szCs w:val="24"/>
        </w:rPr>
        <w:t>որ պարամետրերի ազդեցությունը):</w:t>
      </w:r>
    </w:p>
    <w:p w14:paraId="10E09282"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հաստատվել է, որ վիրուսներից մաքրման վալիդացված փուլերը ունակ են վերացնելու էապես ավելի մեծ թվով </w:t>
      </w:r>
      <w:r w:rsidRPr="003B2786">
        <w:rPr>
          <w:rFonts w:ascii="Sylfaen" w:hAnsi="Sylfaen"/>
          <w:sz w:val="24"/>
          <w:szCs w:val="24"/>
        </w:rPr>
        <w:lastRenderedPageBreak/>
        <w:t xml:space="preserve">վիրուսներ, քան դրանք հնարավոր է, որ պարունակվեն չմաքրված, չբաժնեծրարված արտադրանքում, որն ըստ քանակի համարժեք է դեղապատրաստուկի մեկ դեղաչափին: </w:t>
      </w:r>
    </w:p>
    <w:p w14:paraId="12614E6F"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А.2.2.5</w:t>
      </w:r>
      <w:r w:rsidRPr="003B2786">
        <w:rPr>
          <w:rFonts w:ascii="Sylfaen" w:eastAsia="MS Mincho" w:hAnsi="MS Mincho" w:cs="MS Mincho"/>
          <w:sz w:val="24"/>
          <w:szCs w:val="24"/>
        </w:rPr>
        <w:t>․</w:t>
      </w:r>
      <w:r w:rsidRPr="003B2786">
        <w:rPr>
          <w:rFonts w:ascii="Sylfaen" w:eastAsia="MS Mincho" w:hAnsi="Sylfaen" w:cs="MS Mincho"/>
          <w:sz w:val="24"/>
          <w:szCs w:val="24"/>
        </w:rPr>
        <w:tab/>
      </w:r>
      <w:r w:rsidRPr="003B2786">
        <w:rPr>
          <w:rFonts w:ascii="Sylfaen" w:hAnsi="Sylfaen"/>
          <w:sz w:val="24"/>
          <w:szCs w:val="24"/>
        </w:rPr>
        <w:t>բաժնի ռեզյումե:</w:t>
      </w:r>
    </w:p>
    <w:p w14:paraId="3A0ABD8F"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ներկայացնել ամբողջ պրոցեսի վիրուսային ծանրաբեռնվածության պարունակության կրճատման գործոնների աղյուսակը (ճշգրտված արժեքները, եթե պահանջվում է):</w:t>
      </w:r>
    </w:p>
    <w:p w14:paraId="4916EA7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ներկայացնել գնահատման արդյունքների ռեզյումեն:</w:t>
      </w:r>
    </w:p>
    <w:p w14:paraId="0F2ED1EC"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А.2.3.</w:t>
      </w:r>
      <w:r w:rsidRPr="003B2786">
        <w:rPr>
          <w:rFonts w:ascii="Sylfaen" w:hAnsi="Sylfaen"/>
          <w:sz w:val="24"/>
          <w:szCs w:val="24"/>
        </w:rPr>
        <w:tab/>
        <w:t>5.2 կետի եզրակացությունը:</w:t>
      </w:r>
    </w:p>
    <w:p w14:paraId="1237FEAA"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ներկայացնել ամփոփիչ ռեզյումե </w:t>
      </w:r>
      <w:r w:rsidR="00C54D75">
        <w:rPr>
          <w:rFonts w:ascii="Sylfaen" w:hAnsi="Sylfaen"/>
          <w:sz w:val="24"/>
          <w:szCs w:val="24"/>
        </w:rPr>
        <w:t>և</w:t>
      </w:r>
      <w:r w:rsidRPr="003B2786">
        <w:rPr>
          <w:rFonts w:ascii="Sylfaen" w:hAnsi="Sylfaen"/>
          <w:sz w:val="24"/>
          <w:szCs w:val="24"/>
        </w:rPr>
        <w:t xml:space="preserve"> եզրակացություն՝</w:t>
      </w:r>
    </w:p>
    <w:p w14:paraId="09316E8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մանրէազերծության (միկոպլազմային, բակտերային, սնկային),</w:t>
      </w:r>
    </w:p>
    <w:p w14:paraId="48697E9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ՓՍԷ-ի մասով անվտանգության,</w:t>
      </w:r>
    </w:p>
    <w:p w14:paraId="122B43E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վիրուսային անվտանգության վերաբերյալ:</w:t>
      </w:r>
    </w:p>
    <w:p w14:paraId="20D79F00" w14:textId="77777777" w:rsidR="008C76E0" w:rsidRPr="003B2786" w:rsidRDefault="008C76E0" w:rsidP="00473371">
      <w:pPr>
        <w:spacing w:after="160" w:line="360" w:lineRule="auto"/>
        <w:ind w:right="-1" w:firstLine="567"/>
        <w:jc w:val="both"/>
        <w:rPr>
          <w:rFonts w:ascii="Sylfaen" w:hAnsi="Sylfaen"/>
          <w:sz w:val="24"/>
          <w:szCs w:val="24"/>
        </w:rPr>
      </w:pPr>
    </w:p>
    <w:p w14:paraId="0AFB867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А.3.</w:t>
      </w:r>
      <w:r>
        <w:rPr>
          <w:rFonts w:ascii="Sylfaen" w:hAnsi="Sylfaen"/>
          <w:sz w:val="24"/>
          <w:szCs w:val="24"/>
        </w:rPr>
        <w:tab/>
      </w:r>
      <w:r w:rsidRPr="003B2786">
        <w:rPr>
          <w:rFonts w:ascii="Sylfaen" w:hAnsi="Sylfaen"/>
          <w:sz w:val="24"/>
          <w:szCs w:val="24"/>
        </w:rPr>
        <w:t>Նոր օժանդակ նյութեր</w:t>
      </w:r>
    </w:p>
    <w:p w14:paraId="6E613C7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ուշադրություն դարձնել այն հանգամանքին, որ Միության շրջանակներում կամ Միության անդամ պետությունների տարածքում գրանցված դեղապատրաստուկներում չպարունակվող նոր օժանդակ նյութերը կարող են դիտարկվել որպես նոր ԱԴԲ-ներ, ինչը հանգեցնում է համապատասխան տվյալները, այսինքն՝ արտադրության </w:t>
      </w:r>
      <w:r w:rsidR="00C54D75">
        <w:rPr>
          <w:rFonts w:ascii="Sylfaen" w:hAnsi="Sylfaen"/>
          <w:sz w:val="24"/>
          <w:szCs w:val="24"/>
        </w:rPr>
        <w:t>և</w:t>
      </w:r>
      <w:r w:rsidRPr="003B2786">
        <w:rPr>
          <w:rFonts w:ascii="Sylfaen" w:hAnsi="Sylfaen"/>
          <w:sz w:val="24"/>
          <w:szCs w:val="24"/>
        </w:rPr>
        <w:t xml:space="preserve"> հսկողության նկարագրության, թունաբանական հետազոտություններին արված հղումների ներկայացման </w:t>
      </w:r>
      <w:r w:rsidR="00C54D75">
        <w:rPr>
          <w:rFonts w:ascii="Sylfaen" w:hAnsi="Sylfaen"/>
          <w:sz w:val="24"/>
          <w:szCs w:val="24"/>
        </w:rPr>
        <w:t>և</w:t>
      </w:r>
      <w:r w:rsidRPr="003B2786">
        <w:rPr>
          <w:rFonts w:ascii="Sylfaen" w:hAnsi="Sylfaen"/>
          <w:sz w:val="24"/>
          <w:szCs w:val="24"/>
        </w:rPr>
        <w:t xml:space="preserve"> այլնի մասով տվյալները ամբողջ ծավալով ներկայացնելու պահանջների կիրառմանը: Տվյալ բաժնում անհրաժեշտ է գնահատել այդպիսի նոր օժանդակ նյութերի մանրամասն ուսումնասիրության արդյունքները:</w:t>
      </w:r>
    </w:p>
    <w:p w14:paraId="2358BF60" w14:textId="77777777" w:rsidR="008C76E0" w:rsidRPr="003B2786" w:rsidRDefault="008C76E0" w:rsidP="00473371">
      <w:pPr>
        <w:spacing w:after="160" w:line="360" w:lineRule="auto"/>
        <w:ind w:right="-1" w:firstLine="567"/>
        <w:jc w:val="both"/>
        <w:rPr>
          <w:rFonts w:ascii="Sylfaen" w:hAnsi="Sylfaen"/>
          <w:sz w:val="24"/>
          <w:szCs w:val="24"/>
        </w:rPr>
      </w:pPr>
    </w:p>
    <w:p w14:paraId="1EB29753"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lastRenderedPageBreak/>
        <w:t>6. Տարածաշրջանային տեղեկատվություն</w:t>
      </w:r>
    </w:p>
    <w:p w14:paraId="44640FA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արտադրության պրոցեսի վալիդացման սխեման:</w:t>
      </w:r>
    </w:p>
    <w:p w14:paraId="4DB8BAC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Բժշկական արտադրատեսակներին առնչվող հարցերը:</w:t>
      </w:r>
    </w:p>
    <w:p w14:paraId="42E33B77"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դեղապատրաստուկի բացթողման ձ</w:t>
      </w:r>
      <w:r w:rsidR="00C54D75">
        <w:rPr>
          <w:rFonts w:ascii="Sylfaen" w:hAnsi="Sylfaen"/>
          <w:sz w:val="24"/>
          <w:szCs w:val="24"/>
        </w:rPr>
        <w:t>և</w:t>
      </w:r>
      <w:r w:rsidRPr="003B2786">
        <w:rPr>
          <w:rFonts w:ascii="Sylfaen" w:hAnsi="Sylfaen"/>
          <w:sz w:val="24"/>
          <w:szCs w:val="24"/>
        </w:rPr>
        <w:t xml:space="preserve">ը ներառում է բժշկական արտադրատեսակներ հանդիսացող բաղադրիչներ (օրինակ՝ ասեղներ, կաթետերներ (փողաձողեր) </w:t>
      </w:r>
      <w:r w:rsidR="00C54D75">
        <w:rPr>
          <w:rFonts w:ascii="Sylfaen" w:hAnsi="Sylfaen"/>
          <w:sz w:val="24"/>
          <w:szCs w:val="24"/>
        </w:rPr>
        <w:t>և</w:t>
      </w:r>
      <w:r w:rsidRPr="003B2786">
        <w:rPr>
          <w:rFonts w:ascii="Sylfaen" w:hAnsi="Sylfaen"/>
          <w:sz w:val="24"/>
          <w:szCs w:val="24"/>
        </w:rPr>
        <w:t xml:space="preserve"> այլն), անհրաժեշտ է արտացոլել բժշկական արտադրատեսակի գրանցման մասին տեղեկությունները: Հակառակ դեպքում որպես մեկ միասնական ամբողջություն դիտարկվող դեղապատրաստուկի փորձաքննությունն ավարտելու նպատակով դեղամիջոցների շրջանառության ոլորտում լիազորված մարմինը պետք է դիմի բժշկական արտադրատեսակների շրջանառության ոլորտում լիազորված մարմնին, որպեսզի անհրաժեշտության դեպքում համոզվի Միության օրենսդրության պահանջներին այդպիսի բժշկական արտադրատեսակի համապատասխանության մեջ: Բացի այդ, այնպիսի դեպքերում, երբ արտադրատեսակը բարդ կառուցվածք ունի </w:t>
      </w:r>
      <w:r w:rsidR="00C54D75">
        <w:rPr>
          <w:rFonts w:ascii="Sylfaen" w:hAnsi="Sylfaen"/>
          <w:sz w:val="24"/>
          <w:szCs w:val="24"/>
        </w:rPr>
        <w:t>և</w:t>
      </w:r>
      <w:r w:rsidRPr="003B2786">
        <w:rPr>
          <w:rFonts w:ascii="Sylfaen" w:hAnsi="Sylfaen"/>
          <w:sz w:val="24"/>
          <w:szCs w:val="24"/>
        </w:rPr>
        <w:t xml:space="preserve"> իրենից կարող է ներկայացնել մատակարարման համալիր համակարգ (օրինակ՝ բացթողման ձ</w:t>
      </w:r>
      <w:r w:rsidR="00C54D75">
        <w:rPr>
          <w:rFonts w:ascii="Sylfaen" w:hAnsi="Sylfaen"/>
          <w:sz w:val="24"/>
          <w:szCs w:val="24"/>
        </w:rPr>
        <w:t>և</w:t>
      </w:r>
      <w:r w:rsidRPr="003B2786">
        <w:rPr>
          <w:rFonts w:ascii="Sylfaen" w:hAnsi="Sylfaen"/>
          <w:sz w:val="24"/>
          <w:szCs w:val="24"/>
        </w:rPr>
        <w:t>ում ներառված՝ մատակարարման տրանսդերմալ իոնոֆորետիկ համակարգը), նա</w:t>
      </w:r>
      <w:r w:rsidR="00C54D75">
        <w:rPr>
          <w:rFonts w:ascii="Sylfaen" w:hAnsi="Sylfaen"/>
          <w:sz w:val="24"/>
          <w:szCs w:val="24"/>
        </w:rPr>
        <w:t>և</w:t>
      </w:r>
      <w:r w:rsidRPr="003B2786">
        <w:rPr>
          <w:rFonts w:ascii="Sylfaen" w:hAnsi="Sylfaen"/>
          <w:sz w:val="24"/>
          <w:szCs w:val="24"/>
        </w:rPr>
        <w:t xml:space="preserve"> պահանջվում է բժշկական արտադրատեսակի վերաբերյալ փորձագիտական հաշվետվություն՝ ամբողջական դեղապատրաստուկի կլինիկական բնութագրերի տեսանկյունից:</w:t>
      </w:r>
    </w:p>
    <w:p w14:paraId="226D1AC6" w14:textId="77777777" w:rsidR="008C76E0" w:rsidRPr="003B2786" w:rsidRDefault="008C76E0" w:rsidP="00473371">
      <w:pPr>
        <w:spacing w:after="160" w:line="360" w:lineRule="auto"/>
        <w:jc w:val="center"/>
        <w:rPr>
          <w:rFonts w:ascii="Sylfaen" w:hAnsi="Sylfaen"/>
          <w:sz w:val="24"/>
          <w:szCs w:val="24"/>
        </w:rPr>
      </w:pPr>
    </w:p>
    <w:p w14:paraId="4EA8EFE7"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ՓՍԷ-ի փոխանցման ռիսկին առնչվող հարցերը:</w:t>
      </w:r>
    </w:p>
    <w:p w14:paraId="42083FD1" w14:textId="77777777" w:rsidR="008C76E0" w:rsidRPr="003B2786" w:rsidRDefault="008C76E0" w:rsidP="00473371">
      <w:pPr>
        <w:spacing w:after="160" w:line="360" w:lineRule="auto"/>
        <w:ind w:right="-1"/>
        <w:jc w:val="center"/>
        <w:rPr>
          <w:rFonts w:ascii="Sylfaen" w:hAnsi="Sylfaen"/>
          <w:sz w:val="24"/>
          <w:szCs w:val="24"/>
        </w:rPr>
      </w:pPr>
    </w:p>
    <w:p w14:paraId="51851907"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7. Փորձագետի դիտողությունները՝ դեղապատրաստուկի ընդհանուր բնութագրի, բժշկական կիրառման հրահանգի (ներդիր թերթիկի) </w:t>
      </w:r>
      <w:r w:rsidR="00C54D75">
        <w:rPr>
          <w:rFonts w:ascii="Sylfaen" w:hAnsi="Sylfaen"/>
          <w:sz w:val="24"/>
          <w:szCs w:val="24"/>
        </w:rPr>
        <w:t>և</w:t>
      </w:r>
      <w:r w:rsidRPr="003B2786">
        <w:rPr>
          <w:rFonts w:ascii="Sylfaen" w:hAnsi="Sylfaen"/>
          <w:sz w:val="24"/>
          <w:szCs w:val="24"/>
        </w:rPr>
        <w:t xml:space="preserve"> դեղապատրաստուկի մականշվածքի հետ կապված</w:t>
      </w:r>
    </w:p>
    <w:p w14:paraId="7A1E1527"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8. Փորձագետի ընդհանուր եզրակացությունը որակի վերաբերյալ:</w:t>
      </w:r>
    </w:p>
    <w:p w14:paraId="6F1E83C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բաժնի պարունակությունը կարելի է կրկնել փորձագիտական </w:t>
      </w:r>
      <w:r w:rsidRPr="003B2786">
        <w:rPr>
          <w:rFonts w:ascii="Sylfaen" w:hAnsi="Sylfaen"/>
          <w:sz w:val="24"/>
          <w:szCs w:val="24"/>
        </w:rPr>
        <w:lastRenderedPageBreak/>
        <w:t>հաշվետվության «Ամփոփիչ մոդուլում»:</w:t>
      </w:r>
    </w:p>
    <w:p w14:paraId="00B2915C"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ինքնուրույն </w:t>
      </w:r>
      <w:r w:rsidR="00C54D75">
        <w:rPr>
          <w:rFonts w:ascii="Sylfaen" w:hAnsi="Sylfaen"/>
          <w:sz w:val="24"/>
          <w:szCs w:val="24"/>
        </w:rPr>
        <w:t>և</w:t>
      </w:r>
      <w:r w:rsidRPr="003B2786">
        <w:rPr>
          <w:rFonts w:ascii="Sylfaen" w:hAnsi="Sylfaen"/>
          <w:sz w:val="24"/>
          <w:szCs w:val="24"/>
        </w:rPr>
        <w:t xml:space="preserve"> նպատակային մշակում, որպեսզի հաշվետվությունն օգտագործողը կարողանա համակողմանիորեն գնահատել փորձաքննության արդյունքները՝ օգուտ-ռիսկ հարաբերակցության լիարժեք գնահատման նպատակով:</w:t>
      </w:r>
    </w:p>
    <w:p w14:paraId="5D7F3A1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Օգուտ-ռիսկ հարաբերակցության վրա ազդող որակի ասպեկտների համար անհրաժեշտ է նշել որակի այն բոլոր ասպեկտները (ինչպես ԱԴԲ-ի, այնպես էլ դեղապատրաստուկի), որոնք կարող են ազդել օգուտ-ռիսկ հարաբերակցության վրա: </w:t>
      </w:r>
    </w:p>
    <w:p w14:paraId="74E4124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Կիրառելիության դեպքում անհրաժեշտ է բերել մանկական դեղաձ</w:t>
      </w:r>
      <w:r w:rsidR="00C54D75">
        <w:rPr>
          <w:rFonts w:ascii="Sylfaen" w:hAnsi="Sylfaen"/>
          <w:sz w:val="24"/>
          <w:szCs w:val="24"/>
        </w:rPr>
        <w:t>և</w:t>
      </w:r>
      <w:r w:rsidRPr="003B2786">
        <w:rPr>
          <w:rFonts w:ascii="Sylfaen" w:hAnsi="Sylfaen"/>
          <w:sz w:val="24"/>
          <w:szCs w:val="24"/>
        </w:rPr>
        <w:t>ի մշակման մասին լրացուցիչ տեղեկություններ, այդ թվում՝ տեղեկություններ՝ թիրախային տարիքային խմբի մասին, եթե այդպիսի խումբ կազմվել է:</w:t>
      </w:r>
    </w:p>
    <w:p w14:paraId="6C9EA44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Որպես այլընտրանք, տվյալ բաժնում թույլատրվում է նշել միայն հիմնական եզրահանգումները, </w:t>
      </w:r>
      <w:r w:rsidR="00C54D75">
        <w:rPr>
          <w:rFonts w:ascii="Sylfaen" w:hAnsi="Sylfaen"/>
          <w:sz w:val="24"/>
          <w:szCs w:val="24"/>
        </w:rPr>
        <w:t>և</w:t>
      </w:r>
      <w:r w:rsidRPr="003B2786">
        <w:rPr>
          <w:rFonts w:ascii="Sylfaen" w:hAnsi="Sylfaen"/>
          <w:sz w:val="24"/>
          <w:szCs w:val="24"/>
        </w:rPr>
        <w:t xml:space="preserve"> այս դեպքում «Ամփոփիչ մոդուլի» տեքստը պետք է մշակել առանձին:</w:t>
      </w:r>
    </w:p>
    <w:p w14:paraId="1D12354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pacing w:val="-6"/>
          <w:sz w:val="24"/>
          <w:szCs w:val="24"/>
        </w:rPr>
        <w:t>Անհրաժեշտ է առանձնացնել գրանցման դոսյեի որակի ընդհանուր ռեզյումեի բոլոր այն բաժինները (մոդուլ 2.3), որոնց հետ փորձագետը համաձայն է կամ համաձայն չէ: Մանկական դեղաձ</w:t>
      </w:r>
      <w:r w:rsidR="00C54D75">
        <w:rPr>
          <w:rFonts w:ascii="Sylfaen" w:hAnsi="Sylfaen"/>
          <w:spacing w:val="-6"/>
          <w:sz w:val="24"/>
          <w:szCs w:val="24"/>
        </w:rPr>
        <w:t>և</w:t>
      </w:r>
      <w:r w:rsidRPr="003B2786">
        <w:rPr>
          <w:rFonts w:ascii="Sylfaen" w:hAnsi="Sylfaen"/>
          <w:spacing w:val="-6"/>
          <w:sz w:val="24"/>
          <w:szCs w:val="24"/>
        </w:rPr>
        <w:t>ի դեպքում անհրաժեշտ է նշել, թե արդյոք պահանջվում է մանկաբուժության մեջ կիրառման համար դեղապատրաստուկների փորձաքննություն իրականացնող ազգային լիազորված մարմինների կամ կազմակերպությունների</w:t>
      </w:r>
      <w:r w:rsidRPr="003B2786">
        <w:rPr>
          <w:rFonts w:ascii="Sylfaen" w:hAnsi="Sylfaen"/>
          <w:sz w:val="24"/>
          <w:szCs w:val="24"/>
        </w:rPr>
        <w:t xml:space="preserve"> փորձագետների առանձին եզրակացությունը: </w:t>
      </w:r>
    </w:p>
    <w:p w14:paraId="5E91CE43" w14:textId="77777777" w:rsidR="008C76E0" w:rsidRPr="003B2786" w:rsidRDefault="008C76E0" w:rsidP="00473371">
      <w:pPr>
        <w:spacing w:after="160" w:line="360" w:lineRule="auto"/>
        <w:ind w:right="-1" w:firstLine="567"/>
        <w:jc w:val="center"/>
        <w:rPr>
          <w:rFonts w:ascii="Sylfaen" w:hAnsi="Sylfaen"/>
          <w:sz w:val="24"/>
          <w:szCs w:val="24"/>
        </w:rPr>
      </w:pPr>
    </w:p>
    <w:p w14:paraId="1AA2BD67"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9. Փորձագետի դիտողությունների ցանկը</w:t>
      </w:r>
    </w:p>
    <w:p w14:paraId="7048E2D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դասակարգումը.</w:t>
      </w:r>
    </w:p>
    <w:p w14:paraId="37327A4A" w14:textId="77777777"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«կրիտիկական դիտողություններ». այդպիսի դիտողություններն անհնարին են դարձնում դեղապատրաստուկի գրանցումը: Մեկ կրիտիկական դիտողությունը </w:t>
      </w:r>
      <w:r w:rsidRPr="003B2786">
        <w:rPr>
          <w:rFonts w:ascii="Sylfaen" w:hAnsi="Sylfaen"/>
          <w:sz w:val="24"/>
          <w:szCs w:val="24"/>
        </w:rPr>
        <w:lastRenderedPageBreak/>
        <w:t xml:space="preserve">տեսականորեն կարող է ներառել մի քանի հարցեր, այդ դեպքում հարկավոր է օգտագործել չհամարակալված ցուցակներ </w:t>
      </w:r>
      <w:r w:rsidR="00C54D75">
        <w:rPr>
          <w:rFonts w:ascii="Sylfaen" w:hAnsi="Sylfaen"/>
          <w:sz w:val="24"/>
          <w:szCs w:val="24"/>
        </w:rPr>
        <w:t>և</w:t>
      </w:r>
      <w:r w:rsidRPr="003B2786">
        <w:rPr>
          <w:rFonts w:ascii="Sylfaen" w:hAnsi="Sylfaen"/>
          <w:sz w:val="24"/>
          <w:szCs w:val="24"/>
        </w:rPr>
        <w:t xml:space="preserve"> ենթավերնագրեր: Կրիտիկական դիտողությունը պետք է հասկանալի </w:t>
      </w:r>
      <w:r w:rsidR="00C54D75">
        <w:rPr>
          <w:rFonts w:ascii="Sylfaen" w:hAnsi="Sylfaen"/>
          <w:sz w:val="24"/>
          <w:szCs w:val="24"/>
        </w:rPr>
        <w:t>և</w:t>
      </w:r>
      <w:r w:rsidRPr="003B2786">
        <w:rPr>
          <w:rFonts w:ascii="Sylfaen" w:hAnsi="Sylfaen"/>
          <w:sz w:val="24"/>
          <w:szCs w:val="24"/>
        </w:rPr>
        <w:t xml:space="preserve"> հստակ շարադրված լինի: Դրա համար կարող են պահանջվել մանրամասն մեկնաբանություններ՝ Միության համապատասխան նորմատիվ իրավական ակտերին </w:t>
      </w:r>
      <w:r w:rsidR="00C54D75">
        <w:rPr>
          <w:rFonts w:ascii="Sylfaen" w:hAnsi="Sylfaen"/>
          <w:sz w:val="24"/>
          <w:szCs w:val="24"/>
        </w:rPr>
        <w:t>և</w:t>
      </w:r>
      <w:r w:rsidRPr="003B2786">
        <w:rPr>
          <w:rFonts w:ascii="Sylfaen" w:hAnsi="Sylfaen"/>
          <w:sz w:val="24"/>
          <w:szCs w:val="24"/>
        </w:rPr>
        <w:t xml:space="preserve"> հանձնարարականներին (ձեռնարկներին) արված հղումներով:</w:t>
      </w:r>
    </w:p>
    <w:p w14:paraId="268A4738" w14:textId="39814426"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Հնարավորության դեպքում դիտողությունը պետք է ներառի </w:t>
      </w:r>
      <w:r w:rsidR="0056496B">
        <w:rPr>
          <w:rFonts w:ascii="Sylfaen" w:hAnsi="Sylfaen"/>
          <w:sz w:val="24"/>
          <w:szCs w:val="24"/>
        </w:rPr>
        <w:t>դիմումատու</w:t>
      </w:r>
      <w:r w:rsidRPr="003B2786">
        <w:rPr>
          <w:rFonts w:ascii="Sylfaen" w:hAnsi="Sylfaen"/>
          <w:sz w:val="24"/>
          <w:szCs w:val="24"/>
        </w:rPr>
        <w:t xml:space="preserve">ից ակնկալվող պատասխանի </w:t>
      </w:r>
      <w:r w:rsidR="00C54D75">
        <w:rPr>
          <w:rFonts w:ascii="Sylfaen" w:hAnsi="Sylfaen"/>
          <w:sz w:val="24"/>
          <w:szCs w:val="24"/>
        </w:rPr>
        <w:t>և</w:t>
      </w:r>
      <w:r w:rsidRPr="003B2786">
        <w:rPr>
          <w:rFonts w:ascii="Sylfaen" w:hAnsi="Sylfaen"/>
          <w:sz w:val="24"/>
          <w:szCs w:val="24"/>
        </w:rPr>
        <w:t xml:space="preserve"> (կամ) միջոցառումների վերաբերյալ պարզաբանումներ,</w:t>
      </w:r>
    </w:p>
    <w:p w14:paraId="21DAFD1F" w14:textId="00061359"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«ոչ էական (այլ) դիտողություններ». այդպիսի դիտողությունները կարող են ազդել </w:t>
      </w:r>
      <w:r w:rsidR="0056496B">
        <w:rPr>
          <w:rFonts w:ascii="Sylfaen" w:hAnsi="Sylfaen"/>
          <w:sz w:val="24"/>
          <w:szCs w:val="24"/>
        </w:rPr>
        <w:t>դիմումատու</w:t>
      </w:r>
      <w:r w:rsidRPr="003B2786">
        <w:rPr>
          <w:rFonts w:ascii="Sylfaen" w:hAnsi="Sylfaen"/>
          <w:sz w:val="24"/>
          <w:szCs w:val="24"/>
        </w:rPr>
        <w:t xml:space="preserve">ի կողմից առաջարկված գրանցման պայմանների </w:t>
      </w:r>
      <w:r w:rsidR="00C54D75">
        <w:rPr>
          <w:rFonts w:ascii="Sylfaen" w:hAnsi="Sylfaen"/>
          <w:sz w:val="24"/>
          <w:szCs w:val="24"/>
        </w:rPr>
        <w:t>և</w:t>
      </w:r>
      <w:r w:rsidRPr="003B2786">
        <w:rPr>
          <w:rFonts w:ascii="Sylfaen" w:hAnsi="Sylfaen"/>
          <w:sz w:val="24"/>
          <w:szCs w:val="24"/>
        </w:rPr>
        <w:t xml:space="preserve"> դեղապատրաստուկի վերաբերյալ տեղեկատվության վրա (օրինակ՝ ԴԸԲ, ներդիր թերթիկ, մականշվածք): Ոչ էական (այլ) դիտողություններով վերհանված թերություններն անհրաժեշտ է վերացնել մինչ</w:t>
      </w:r>
      <w:r w:rsidR="00C54D75">
        <w:rPr>
          <w:rFonts w:ascii="Sylfaen" w:hAnsi="Sylfaen"/>
          <w:sz w:val="24"/>
          <w:szCs w:val="24"/>
        </w:rPr>
        <w:t>և</w:t>
      </w:r>
      <w:r w:rsidRPr="003B2786">
        <w:rPr>
          <w:rFonts w:ascii="Sylfaen" w:hAnsi="Sylfaen"/>
          <w:sz w:val="24"/>
          <w:szCs w:val="24"/>
        </w:rPr>
        <w:t xml:space="preserve"> գրանցման հավաստագիր ստանալը, հակառակ դեպքում գրանցումը կարող է մերժվել:</w:t>
      </w:r>
    </w:p>
    <w:p w14:paraId="692D569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Առարկությունների </w:t>
      </w:r>
      <w:r w:rsidR="00C54D75">
        <w:rPr>
          <w:rFonts w:ascii="Sylfaen" w:hAnsi="Sylfaen"/>
          <w:sz w:val="24"/>
          <w:szCs w:val="24"/>
        </w:rPr>
        <w:t>և</w:t>
      </w:r>
      <w:r w:rsidRPr="003B2786">
        <w:rPr>
          <w:rFonts w:ascii="Sylfaen" w:hAnsi="Sylfaen"/>
          <w:sz w:val="24"/>
          <w:szCs w:val="24"/>
        </w:rPr>
        <w:t xml:space="preserve"> հանձնարարականների բանաքաղման նպատակով դիտողությունների ցանկը կազմելիս հարկ է օգտագործել փորձագիտական հաշվետվության ենթավերնագրերն ու վերնագրերը:</w:t>
      </w:r>
    </w:p>
    <w:p w14:paraId="0B5EDD6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տվյալ ցանկն անհրաժեշտ է կրկնել փորձագիտական հաշվետվության «Ամփոփիչ մոդուլում»:</w:t>
      </w:r>
    </w:p>
    <w:p w14:paraId="515FB0DF" w14:textId="77777777" w:rsidR="008C76E0" w:rsidRPr="003B2786" w:rsidRDefault="008C76E0" w:rsidP="00473371">
      <w:pPr>
        <w:spacing w:after="160" w:line="360" w:lineRule="auto"/>
        <w:ind w:firstLine="567"/>
        <w:jc w:val="both"/>
        <w:rPr>
          <w:rFonts w:ascii="Sylfaen" w:hAnsi="Sylfaen"/>
          <w:sz w:val="24"/>
          <w:szCs w:val="24"/>
        </w:rPr>
      </w:pPr>
    </w:p>
    <w:p w14:paraId="5F1144A9"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Որակի ասպեկտները</w:t>
      </w:r>
    </w:p>
    <w:p w14:paraId="3483E59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Կրիտիկական դիտողությունները:</w:t>
      </w:r>
    </w:p>
    <w:p w14:paraId="430B44F8" w14:textId="7BDD683C"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ԱԴԲ-ն (միայն </w:t>
      </w:r>
      <w:r w:rsidR="0056496B">
        <w:rPr>
          <w:rFonts w:ascii="Sylfaen" w:hAnsi="Sylfaen"/>
          <w:sz w:val="24"/>
          <w:szCs w:val="24"/>
        </w:rPr>
        <w:t>դիմումատու</w:t>
      </w:r>
      <w:r w:rsidRPr="003B2786">
        <w:rPr>
          <w:rFonts w:ascii="Sylfaen" w:hAnsi="Sylfaen"/>
          <w:sz w:val="24"/>
          <w:szCs w:val="24"/>
        </w:rPr>
        <w:t>ի կողմից ներկայացված լրացուցիչ տվյալների մասով):</w:t>
      </w:r>
    </w:p>
    <w:p w14:paraId="2261AEA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ԱԴԲ-ն (ԱԴԲՄՖ-ի իրավատիրոջ կողմից ներկայացված մաստեր-ֆայլի մասը)</w:t>
      </w:r>
    </w:p>
    <w:p w14:paraId="1875AD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Ծանոթագրություններ.</w:t>
      </w:r>
    </w:p>
    <w:p w14:paraId="758F2015" w14:textId="2F082CEE" w:rsidR="008C76E0" w:rsidRPr="003B2786" w:rsidRDefault="008C76E0" w:rsidP="009C4732">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 xml:space="preserve">ԱԴԲՄՖ-ի օգտագործման </w:t>
      </w:r>
      <w:r w:rsidR="00C54D75">
        <w:rPr>
          <w:rFonts w:ascii="Sylfaen" w:hAnsi="Sylfaen"/>
          <w:sz w:val="24"/>
          <w:szCs w:val="24"/>
        </w:rPr>
        <w:t>և</w:t>
      </w:r>
      <w:r w:rsidRPr="003B2786">
        <w:rPr>
          <w:rFonts w:ascii="Sylfaen" w:hAnsi="Sylfaen"/>
          <w:sz w:val="24"/>
          <w:szCs w:val="24"/>
        </w:rPr>
        <w:t xml:space="preserve"> ԱԴԲՄՖ-ի փակ մասի փորձաքննության արդյունքների հիման վրա՝ հանրային առողջության համար հավանական լուրջ ռիսկերի </w:t>
      </w:r>
      <w:r w:rsidR="009B6AA0">
        <w:rPr>
          <w:rFonts w:ascii="Sylfaen" w:hAnsi="Sylfaen"/>
          <w:sz w:val="24"/>
          <w:szCs w:val="24"/>
        </w:rPr>
        <w:t>հայտ</w:t>
      </w:r>
      <w:r w:rsidRPr="003B2786">
        <w:rPr>
          <w:rFonts w:ascii="Sylfaen" w:hAnsi="Sylfaen"/>
          <w:sz w:val="24"/>
          <w:szCs w:val="24"/>
        </w:rPr>
        <w:t>նաբերման դեպքում անհրաժեշտ է կատարել հետ</w:t>
      </w:r>
      <w:r w:rsidR="00C54D75">
        <w:rPr>
          <w:rFonts w:ascii="Sylfaen" w:hAnsi="Sylfaen"/>
          <w:sz w:val="24"/>
          <w:szCs w:val="24"/>
        </w:rPr>
        <w:t>և</w:t>
      </w:r>
      <w:r w:rsidRPr="003B2786">
        <w:rPr>
          <w:rFonts w:ascii="Sylfaen" w:hAnsi="Sylfaen"/>
          <w:sz w:val="24"/>
          <w:szCs w:val="24"/>
        </w:rPr>
        <w:t xml:space="preserve">յալ նշումը՝ «ԱԴԲՄՖ-ի փակ մասում </w:t>
      </w:r>
      <w:r w:rsidR="00003ABD">
        <w:rPr>
          <w:rFonts w:ascii="Sylfaen" w:hAnsi="Sylfaen"/>
          <w:sz w:val="24"/>
          <w:szCs w:val="24"/>
        </w:rPr>
        <w:t>հայտնաբերված</w:t>
      </w:r>
      <w:r w:rsidRPr="003B2786">
        <w:rPr>
          <w:rFonts w:ascii="Sylfaen" w:hAnsi="Sylfaen"/>
          <w:sz w:val="24"/>
          <w:szCs w:val="24"/>
        </w:rPr>
        <w:t>՝ հանրային առողջության համար հավանական լուրջ ռիսկերի մասին տեղեկատվությունը բերվում է ԱԴԲՄՖ-ի առանձին փորձագիտական հաշվետվությունում»:</w:t>
      </w:r>
    </w:p>
    <w:p w14:paraId="0ECEB221" w14:textId="77777777" w:rsidR="008C76E0" w:rsidRPr="003B2786" w:rsidRDefault="008C76E0" w:rsidP="001F0952">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 xml:space="preserve">Անհրաժեշտ է ԱԴԲՄՖ-ի փակ մասում բերել լրացուցիչ կրիտիկական դիտողություններ՝ դրանց առկայության դեպքում: Դրանք մանրամասն կուսումնասիրվեն որակի ասպեկտների կրիտիկական գնահատման վերաբերյալ փորձագիտական հաշվետվության հիմնական մասի հավելվածում (տե՛ս Եվրասիական տնտեսական միության շրջանակներում դեղապատրաստուկների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8 հավելվածը):</w:t>
      </w:r>
    </w:p>
    <w:p w14:paraId="2A94501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Դեղապատրաստուկը:</w:t>
      </w:r>
    </w:p>
    <w:p w14:paraId="16D058DF"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Այլ դիտողություններ</w:t>
      </w:r>
    </w:p>
    <w:p w14:paraId="51EE1B6F" w14:textId="04B3B3E5"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ԱԴԲ-ն (միայն </w:t>
      </w:r>
      <w:r w:rsidR="0056496B">
        <w:rPr>
          <w:rFonts w:ascii="Sylfaen" w:hAnsi="Sylfaen"/>
          <w:sz w:val="24"/>
          <w:szCs w:val="24"/>
        </w:rPr>
        <w:t>դիմումատու</w:t>
      </w:r>
      <w:r w:rsidRPr="003B2786">
        <w:rPr>
          <w:rFonts w:ascii="Sylfaen" w:hAnsi="Sylfaen"/>
          <w:sz w:val="24"/>
          <w:szCs w:val="24"/>
        </w:rPr>
        <w:t>ի կողմից ներկայացված լրացուցիչ տվյալների մասով):</w:t>
      </w:r>
    </w:p>
    <w:p w14:paraId="369F428C"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ԱԴԲՄՖ-ի փակ մասում բերել լրացուցիչ կրիտիկական դիտողություններ՝ դրանց առկայության դեպքում: Դրանք մանրամասն կուսումնասիրվեն որակի ասպեկտների կրիտիկական գնահատման վերաբերյալ փորձագիտական հաշվետվության հիմնական մասի հավելվածում: </w:t>
      </w:r>
    </w:p>
    <w:p w14:paraId="16C8CAC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Ծանոթագրություն (եթե կիրառելի է)։ Նշել հետ</w:t>
      </w:r>
      <w:r w:rsidR="00C54D75">
        <w:rPr>
          <w:rFonts w:ascii="Sylfaen" w:hAnsi="Sylfaen"/>
          <w:sz w:val="24"/>
          <w:szCs w:val="24"/>
        </w:rPr>
        <w:t>և</w:t>
      </w:r>
      <w:r w:rsidRPr="003B2786">
        <w:rPr>
          <w:rFonts w:ascii="Sylfaen" w:hAnsi="Sylfaen"/>
          <w:sz w:val="24"/>
          <w:szCs w:val="24"/>
        </w:rPr>
        <w:t>յալը՝ «ԱԴԲՄՖ-ի փակ մասի այլ դիտողությունների մասին տեղեկատվությունը բերվել է ԱԴԲՄՖ-ի կրիտիկական գնահատականի վերաբերյալ առանձին փորձագիտական հաշվետվությունում»:</w:t>
      </w:r>
    </w:p>
    <w:p w14:paraId="3019016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Դեղապատրաստուկը:</w:t>
      </w:r>
    </w:p>
    <w:p w14:paraId="4A587C1A" w14:textId="77777777" w:rsidR="008C76E0" w:rsidRPr="003B2786" w:rsidRDefault="008C76E0" w:rsidP="00473371">
      <w:pPr>
        <w:spacing w:after="160" w:line="360" w:lineRule="auto"/>
        <w:ind w:firstLine="567"/>
        <w:jc w:val="center"/>
        <w:rPr>
          <w:rFonts w:ascii="Sylfaen" w:hAnsi="Sylfaen"/>
          <w:sz w:val="24"/>
          <w:szCs w:val="24"/>
        </w:rPr>
      </w:pPr>
    </w:p>
    <w:p w14:paraId="3F9DD28D"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Հանձնարարականները</w:t>
      </w:r>
    </w:p>
    <w:p w14:paraId="24A354A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Բաժինը պարունակում է փորձագետի այն դիտողությունները (պայմանները), որոնք չեն խոչընդոտում դեղապատրաստուկի գրանցմանը, կարող են հաշվի առնվել պատրաստուկի գրանցումից հետո </w:t>
      </w:r>
      <w:r w:rsidR="00C54D75">
        <w:rPr>
          <w:rFonts w:ascii="Sylfaen" w:hAnsi="Sylfaen"/>
          <w:sz w:val="24"/>
          <w:szCs w:val="24"/>
        </w:rPr>
        <w:t>և</w:t>
      </w:r>
      <w:r w:rsidRPr="003B2786">
        <w:rPr>
          <w:rFonts w:ascii="Sylfaen" w:hAnsi="Sylfaen"/>
          <w:sz w:val="24"/>
          <w:szCs w:val="24"/>
        </w:rPr>
        <w:t xml:space="preserve"> ներառվել են (փոփոխվել են) փոփոխությունների կատարման ընթացակարգի շրջանակներում:</w:t>
      </w:r>
    </w:p>
    <w:p w14:paraId="28F32D96"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10. Թիվ 1 հավելված (եթե կիրառելի է)</w:t>
      </w:r>
    </w:p>
    <w:p w14:paraId="14289FB2" w14:textId="77777777" w:rsidR="008C76E0" w:rsidRPr="003B2786" w:rsidRDefault="008C76E0" w:rsidP="00473371">
      <w:pPr>
        <w:spacing w:after="160" w:line="360" w:lineRule="auto"/>
        <w:ind w:right="-1" w:firstLine="567"/>
        <w:jc w:val="both"/>
        <w:outlineLvl w:val="0"/>
        <w:rPr>
          <w:rFonts w:ascii="Sylfaen" w:hAnsi="Sylfaen"/>
          <w:sz w:val="24"/>
          <w:szCs w:val="24"/>
        </w:rPr>
      </w:pPr>
      <w:r w:rsidRPr="003B2786">
        <w:rPr>
          <w:rFonts w:ascii="Sylfaen" w:hAnsi="Sylfaen"/>
          <w:sz w:val="24"/>
          <w:szCs w:val="24"/>
        </w:rPr>
        <w:t>ԱԴԲՄՖ</w:t>
      </w:r>
    </w:p>
    <w:p w14:paraId="75833F1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Կրիտիկական գնահատման վերաբերյալ փորձագիտական հաշվետվությունն առանձին փաստաթղթում:</w:t>
      </w:r>
    </w:p>
    <w:p w14:paraId="47181D83" w14:textId="77777777" w:rsidR="008C76E0" w:rsidRPr="003B2786" w:rsidRDefault="008C76E0" w:rsidP="00473371">
      <w:pPr>
        <w:spacing w:after="160" w:line="360" w:lineRule="auto"/>
        <w:ind w:firstLine="567"/>
        <w:jc w:val="center"/>
        <w:rPr>
          <w:rFonts w:ascii="Sylfaen" w:hAnsi="Sylfaen"/>
          <w:sz w:val="24"/>
          <w:szCs w:val="24"/>
        </w:rPr>
      </w:pPr>
    </w:p>
    <w:p w14:paraId="03310170"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11. Թիվ 2 հավելված: Նախագծային դաշտը (դիզայնի ոլորտը) </w:t>
      </w:r>
      <w:r w:rsidR="00C54D75">
        <w:rPr>
          <w:rFonts w:ascii="Sylfaen" w:hAnsi="Sylfaen"/>
          <w:sz w:val="24"/>
          <w:szCs w:val="24"/>
        </w:rPr>
        <w:t>և</w:t>
      </w:r>
      <w:r w:rsidRPr="003B2786">
        <w:rPr>
          <w:rFonts w:ascii="Sylfaen" w:hAnsi="Sylfaen"/>
          <w:sz w:val="24"/>
          <w:szCs w:val="24"/>
        </w:rPr>
        <w:t xml:space="preserve"> փոփոխությունների կառավարման արձանագրությունները </w:t>
      </w:r>
      <w:r w:rsidRPr="003B2786">
        <w:rPr>
          <w:rFonts w:ascii="Sylfaen" w:hAnsi="Sylfaen"/>
          <w:sz w:val="24"/>
          <w:szCs w:val="24"/>
        </w:rPr>
        <w:br/>
        <w:t>(եթե կիրառելի է)</w:t>
      </w:r>
    </w:p>
    <w:p w14:paraId="0A10C6CF" w14:textId="77777777" w:rsidR="008C76E0" w:rsidRPr="003B2786" w:rsidRDefault="008C76E0" w:rsidP="009C4732">
      <w:pPr>
        <w:spacing w:after="160" w:line="336" w:lineRule="auto"/>
        <w:ind w:right="-1" w:firstLine="567"/>
        <w:jc w:val="both"/>
        <w:rPr>
          <w:rFonts w:ascii="Sylfaen" w:hAnsi="Sylfaen"/>
          <w:sz w:val="24"/>
          <w:szCs w:val="24"/>
        </w:rPr>
      </w:pPr>
      <w:r w:rsidRPr="003B2786">
        <w:rPr>
          <w:rFonts w:ascii="Sylfaen" w:hAnsi="Sylfaen"/>
          <w:sz w:val="24"/>
          <w:szCs w:val="24"/>
        </w:rPr>
        <w:t xml:space="preserve">Սույն հավելվածի նպատակն է լուսաբանել այն հարցերը, որոնք պետք է արտացոլվեն Միության համապատասխան ձեռնարկների համատեքստում օգտագործվող՝ ռիսկերի </w:t>
      </w:r>
      <w:r w:rsidR="00C54D75">
        <w:rPr>
          <w:rFonts w:ascii="Sylfaen" w:hAnsi="Sylfaen"/>
          <w:sz w:val="24"/>
          <w:szCs w:val="24"/>
        </w:rPr>
        <w:t>և</w:t>
      </w:r>
      <w:r w:rsidRPr="003B2786">
        <w:rPr>
          <w:rFonts w:ascii="Sylfaen" w:hAnsi="Sylfaen"/>
          <w:sz w:val="24"/>
          <w:szCs w:val="24"/>
        </w:rPr>
        <w:t xml:space="preserve"> վիճակագրական գործիքների գնահատման մեթոդների վերլուծության գնահատման մասին հաշվետվության մեջ: Փորձագետներին առաջարկվում է ծանոթանալ տվյալ հավելվածի բովանդակությանը՝ հաշվի առնելով Միության այդ բոլոր ձեռնարկները:</w:t>
      </w:r>
    </w:p>
    <w:p w14:paraId="40A7B19E" w14:textId="77777777" w:rsidR="008C76E0" w:rsidRPr="003B2786" w:rsidRDefault="008C76E0" w:rsidP="009C4732">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Ռիսկերի գնահատման մեթոդաբանություն</w:t>
      </w:r>
    </w:p>
    <w:p w14:paraId="7C55D0A1" w14:textId="77777777" w:rsidR="008C76E0" w:rsidRPr="003B2786" w:rsidRDefault="008C76E0" w:rsidP="009C4732">
      <w:pPr>
        <w:tabs>
          <w:tab w:val="left" w:pos="1418"/>
        </w:tabs>
        <w:spacing w:after="160" w:line="336" w:lineRule="auto"/>
        <w:ind w:firstLine="567"/>
        <w:jc w:val="both"/>
        <w:rPr>
          <w:rFonts w:ascii="Sylfaen" w:hAnsi="Sylfaen"/>
          <w:sz w:val="24"/>
          <w:szCs w:val="24"/>
        </w:rPr>
      </w:pPr>
      <w:r w:rsidRPr="003B2786">
        <w:rPr>
          <w:rFonts w:ascii="Sylfaen" w:hAnsi="Sylfaen"/>
          <w:sz w:val="24"/>
          <w:szCs w:val="24"/>
        </w:rPr>
        <w:t xml:space="preserve">Ռիսկերի գնահատման գործիքները կարող են օգտագործվել շատ իրավիճակներում: Օրինակ՝ դրանք կարելի է օգտագործել նյութերի որակի ցուցանիշների </w:t>
      </w:r>
      <w:r w:rsidR="00C54D75">
        <w:rPr>
          <w:rFonts w:ascii="Sylfaen" w:hAnsi="Sylfaen"/>
          <w:sz w:val="24"/>
          <w:szCs w:val="24"/>
        </w:rPr>
        <w:t>և</w:t>
      </w:r>
      <w:r w:rsidRPr="003B2786">
        <w:rPr>
          <w:rFonts w:ascii="Sylfaen" w:hAnsi="Sylfaen"/>
          <w:sz w:val="24"/>
          <w:szCs w:val="24"/>
        </w:rPr>
        <w:t xml:space="preserve"> (կամ) պրոցեսի պարամետրերի գնահատման </w:t>
      </w:r>
      <w:r w:rsidR="00C54D75">
        <w:rPr>
          <w:rFonts w:ascii="Sylfaen" w:hAnsi="Sylfaen"/>
          <w:sz w:val="24"/>
          <w:szCs w:val="24"/>
        </w:rPr>
        <w:t>և</w:t>
      </w:r>
      <w:r w:rsidRPr="003B2786">
        <w:rPr>
          <w:rFonts w:ascii="Sylfaen" w:hAnsi="Sylfaen"/>
          <w:sz w:val="24"/>
          <w:szCs w:val="24"/>
        </w:rPr>
        <w:t xml:space="preserve"> ընտրության համար, որոնք պետք է գտնվեն թույլատրելի նորմերի սահմաններում՝ </w:t>
      </w:r>
      <w:r w:rsidRPr="003B2786">
        <w:rPr>
          <w:rFonts w:ascii="Sylfaen" w:hAnsi="Sylfaen"/>
          <w:sz w:val="24"/>
          <w:szCs w:val="24"/>
        </w:rPr>
        <w:lastRenderedPageBreak/>
        <w:t>դեղապատրաստուկի պահանջվող որակն ապահովելու համար: Այդպիսի գործիքներ կարող են նա</w:t>
      </w:r>
      <w:r w:rsidR="00C54D75">
        <w:rPr>
          <w:rFonts w:ascii="Sylfaen" w:hAnsi="Sylfaen"/>
          <w:sz w:val="24"/>
          <w:szCs w:val="24"/>
        </w:rPr>
        <w:t>և</w:t>
      </w:r>
      <w:r w:rsidRPr="003B2786">
        <w:rPr>
          <w:rFonts w:ascii="Sylfaen" w:hAnsi="Sylfaen"/>
          <w:sz w:val="24"/>
          <w:szCs w:val="24"/>
        </w:rPr>
        <w:t xml:space="preserve"> օգտագործվել պրոցեսի այնպիսի պարամետրերի ընտրության համար, որոնք, ելնելով ավելի վաղ ստացված փորձից </w:t>
      </w:r>
      <w:r w:rsidR="00C54D75">
        <w:rPr>
          <w:rFonts w:ascii="Sylfaen" w:hAnsi="Sylfaen"/>
          <w:sz w:val="24"/>
          <w:szCs w:val="24"/>
        </w:rPr>
        <w:t>և</w:t>
      </w:r>
      <w:r w:rsidRPr="003B2786">
        <w:rPr>
          <w:rFonts w:ascii="Sylfaen" w:hAnsi="Sylfaen"/>
          <w:sz w:val="24"/>
          <w:szCs w:val="24"/>
        </w:rPr>
        <w:t xml:space="preserve"> փորձագիտական տվյալներից, հնարավոր է, որ ազդեն դեղապատրաստուկի որակի վրա:</w:t>
      </w:r>
    </w:p>
    <w:p w14:paraId="0331A408" w14:textId="77777777" w:rsidR="008C76E0" w:rsidRPr="003B2786" w:rsidRDefault="008C76E0" w:rsidP="009C4732">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ներկայացված են որակի բոլոր կրիտիկական ցուցանիշների </w:t>
      </w:r>
      <w:r w:rsidR="00C54D75">
        <w:rPr>
          <w:rFonts w:ascii="Sylfaen" w:hAnsi="Sylfaen"/>
          <w:sz w:val="24"/>
          <w:szCs w:val="24"/>
        </w:rPr>
        <w:t>և</w:t>
      </w:r>
      <w:r w:rsidRPr="003B2786">
        <w:rPr>
          <w:rFonts w:ascii="Sylfaen" w:hAnsi="Sylfaen"/>
          <w:sz w:val="24"/>
          <w:szCs w:val="24"/>
        </w:rPr>
        <w:t xml:space="preserve"> պրոցեսի պարամետրերի վերաբերյալ համառոտ տվյալները, որոնք, ելնելով ավելի վաղ ստացված փորձից </w:t>
      </w:r>
      <w:r w:rsidR="00C54D75">
        <w:rPr>
          <w:rFonts w:ascii="Sylfaen" w:hAnsi="Sylfaen"/>
          <w:sz w:val="24"/>
          <w:szCs w:val="24"/>
        </w:rPr>
        <w:t>և</w:t>
      </w:r>
      <w:r w:rsidRPr="003B2786">
        <w:rPr>
          <w:rFonts w:ascii="Sylfaen" w:hAnsi="Sylfaen"/>
          <w:sz w:val="24"/>
          <w:szCs w:val="24"/>
        </w:rPr>
        <w:t xml:space="preserve"> (կամ) փորձագիտական տվյալներից, կարող են ազդել դեղապատրաստուկի որակի վրա:</w:t>
      </w:r>
    </w:p>
    <w:p w14:paraId="226E7DF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Խափանումների պատճառների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 xml:space="preserve">անքների վերլուծության մասով անհրաժեշտ է գնահատել՝ </w:t>
      </w:r>
    </w:p>
    <w:p w14:paraId="03E3CD12" w14:textId="7F11C23B"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ռիսկի բոլոր նշանակալի գործոններն են ներառվել: Օրինակ, դեղապատրաստուկի համար ռիսկի </w:t>
      </w:r>
      <w:r w:rsidR="009B6AA0">
        <w:rPr>
          <w:rFonts w:ascii="Sylfaen" w:hAnsi="Sylfaen"/>
          <w:sz w:val="24"/>
          <w:szCs w:val="24"/>
        </w:rPr>
        <w:t>հայտ</w:t>
      </w:r>
      <w:r w:rsidRPr="003B2786">
        <w:rPr>
          <w:rFonts w:ascii="Sylfaen" w:hAnsi="Sylfaen"/>
          <w:sz w:val="24"/>
          <w:szCs w:val="24"/>
        </w:rPr>
        <w:t xml:space="preserve">նի գործոնները (օրինակ՝ քայքայումը, լուծելիությունը </w:t>
      </w:r>
      <w:r w:rsidR="00C54D75">
        <w:rPr>
          <w:rFonts w:ascii="Sylfaen" w:hAnsi="Sylfaen"/>
          <w:sz w:val="24"/>
          <w:szCs w:val="24"/>
        </w:rPr>
        <w:t>և</w:t>
      </w:r>
      <w:r w:rsidRPr="003B2786">
        <w:rPr>
          <w:rFonts w:ascii="Sylfaen" w:hAnsi="Sylfaen"/>
          <w:sz w:val="24"/>
          <w:szCs w:val="24"/>
        </w:rPr>
        <w:t xml:space="preserve"> այլն),</w:t>
      </w:r>
    </w:p>
    <w:p w14:paraId="553EEF9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հաշվի է առնված առանձին գործողությունների </w:t>
      </w:r>
      <w:r w:rsidR="00C54D75">
        <w:rPr>
          <w:rFonts w:ascii="Sylfaen" w:hAnsi="Sylfaen"/>
          <w:sz w:val="24"/>
          <w:szCs w:val="24"/>
        </w:rPr>
        <w:t>և</w:t>
      </w:r>
      <w:r w:rsidRPr="003B2786">
        <w:rPr>
          <w:rFonts w:ascii="Sylfaen" w:hAnsi="Sylfaen"/>
          <w:sz w:val="24"/>
          <w:szCs w:val="24"/>
        </w:rPr>
        <w:t xml:space="preserve"> նյութերի հատկությունների արդյունավետությունը,</w:t>
      </w:r>
    </w:p>
    <w:p w14:paraId="6A79B18B" w14:textId="5F67ACE9"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ն բացատրել է, թե ինչպես է կատարվում ռիսկերի դասակարգումն ու հաշվառումը,</w:t>
      </w:r>
    </w:p>
    <w:p w14:paraId="599D04DA" w14:textId="5D5A7406"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ն հիմնավորել է սահմանային արժեք սահմանելու կարգը, որպեսզի ընտրի, թե որ պարամետրերն են հետագայում ենթակա վերլուծության,</w:t>
      </w:r>
    </w:p>
    <w:p w14:paraId="77CFF37D" w14:textId="77777777" w:rsidR="008C76E0" w:rsidRPr="003B2786" w:rsidRDefault="008C76E0" w:rsidP="00473371">
      <w:pPr>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արդյոք դուք համաձայն եք ռիսկերի դասակարգման առաջարկվող սխեմայի հետ,</w:t>
      </w:r>
    </w:p>
    <w:p w14:paraId="7FBCE98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համապատասխանում է արդյոք խափանումների պատճառների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անքների վերլուծության արդյունքը ժամանակակից գիտական գիտելիքներին: Եթե ոչ, արդյոք հիմնավորված է այդպիսի արդյունքի ընդունելիությունը,</w:t>
      </w:r>
    </w:p>
    <w:p w14:paraId="0D571E09" w14:textId="7545E909"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003ABD">
        <w:rPr>
          <w:rFonts w:ascii="Sylfaen" w:hAnsi="Sylfaen"/>
          <w:sz w:val="24"/>
          <w:szCs w:val="24"/>
        </w:rPr>
        <w:t>հայտնաբերված</w:t>
      </w:r>
      <w:r w:rsidRPr="003B2786">
        <w:rPr>
          <w:rFonts w:ascii="Sylfaen" w:hAnsi="Sylfaen"/>
          <w:sz w:val="24"/>
          <w:szCs w:val="24"/>
        </w:rPr>
        <w:t xml:space="preserve"> ռիսկերը կառավարվում են ըստ նախագծային դաշտի (դիզայնի ոլորտի) կամ հսկողության առաջարկվող ռազմավարության:</w:t>
      </w:r>
    </w:p>
    <w:p w14:paraId="6227F1D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Նախագծմանն առնչվող գիտափորձերը:</w:t>
      </w:r>
    </w:p>
    <w:p w14:paraId="3175DC9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Նախագծմանն առնչվող գիտափորձերն իրենցից ներկայացնում են փորձարարական գործունեության իրականացման ռազմավարություն, որի շրջանակներում միաժամանակ տարատեսակվում են ուսումնասիրվող բոլոր գործոնները՝ մանրամասն կազմված մաթեմատիկական արձանագրություններին համապատասխան: Նպատակն է պլանավորել ռեպրեզենտատիվ </w:t>
      </w:r>
      <w:r w:rsidR="00C54D75">
        <w:rPr>
          <w:rFonts w:ascii="Sylfaen" w:hAnsi="Sylfaen"/>
          <w:sz w:val="24"/>
          <w:szCs w:val="24"/>
        </w:rPr>
        <w:t>և</w:t>
      </w:r>
      <w:r w:rsidRPr="003B2786">
        <w:rPr>
          <w:rFonts w:ascii="Sylfaen" w:hAnsi="Sylfaen"/>
          <w:sz w:val="24"/>
          <w:szCs w:val="24"/>
        </w:rPr>
        <w:t xml:space="preserve"> տեղեկատվական գիտափորձեր, որոնք թույլ կտան նվազագույն փորձերի միջոցով ստանալ առավելագույն տեղեկատվություն: Փորձարարական գործունեության իրականացման շրջանակներում ուսումնասիրության ենթակա գործոնները հիմնվում են ռիսկերի գնահատականի վրա: Մշակման վաղ էտապներում կատարված փորձարարական գործունեության վիճակագրական ամբողջական գնահատականը (օրինակ՝ սկրինինգի համար), անհրաժեշտ միջոց չի համարվում: Գործոնների </w:t>
      </w:r>
      <w:r w:rsidR="00C54D75">
        <w:rPr>
          <w:rFonts w:ascii="Sylfaen" w:hAnsi="Sylfaen"/>
          <w:sz w:val="24"/>
          <w:szCs w:val="24"/>
        </w:rPr>
        <w:t>և</w:t>
      </w:r>
      <w:r w:rsidRPr="003B2786">
        <w:rPr>
          <w:rFonts w:ascii="Sylfaen" w:hAnsi="Sylfaen"/>
          <w:sz w:val="24"/>
          <w:szCs w:val="24"/>
        </w:rPr>
        <w:t xml:space="preserve"> ուսումնասիրված մակարդակների, ինչպես նա</w:t>
      </w:r>
      <w:r w:rsidR="00C54D75">
        <w:rPr>
          <w:rFonts w:ascii="Sylfaen" w:hAnsi="Sylfaen"/>
          <w:sz w:val="24"/>
          <w:szCs w:val="24"/>
        </w:rPr>
        <w:t>և</w:t>
      </w:r>
      <w:r w:rsidRPr="003B2786">
        <w:rPr>
          <w:rFonts w:ascii="Sylfaen" w:hAnsi="Sylfaen"/>
          <w:sz w:val="24"/>
          <w:szCs w:val="24"/>
        </w:rPr>
        <w:t xml:space="preserve"> եզրակացությունների բառային նկարագրությունը միանգամայն բավարար է համարվում:</w:t>
      </w:r>
    </w:p>
    <w:p w14:paraId="119D312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Սակայն որակի կրիտիկական ցուցանիշների, պրոցեսի </w:t>
      </w:r>
      <w:r w:rsidR="00C54D75">
        <w:rPr>
          <w:rFonts w:ascii="Sylfaen" w:hAnsi="Sylfaen"/>
          <w:sz w:val="24"/>
          <w:szCs w:val="24"/>
        </w:rPr>
        <w:t>և</w:t>
      </w:r>
      <w:r w:rsidRPr="003B2786">
        <w:rPr>
          <w:rFonts w:ascii="Sylfaen" w:hAnsi="Sylfaen"/>
          <w:sz w:val="24"/>
          <w:szCs w:val="24"/>
        </w:rPr>
        <w:t xml:space="preserve"> (կամ) նախագծային դաշտի (դիզայնի ոլորտի) կրիտիկական պարամետրերի սահմանմանն ուղղված՝ նախագծմանն առնչվող գիտափորձերի դեպքում պետք է ուսումնասիրվեն հետ</w:t>
      </w:r>
      <w:r w:rsidR="00C54D75">
        <w:rPr>
          <w:rFonts w:ascii="Sylfaen" w:hAnsi="Sylfaen"/>
          <w:sz w:val="24"/>
          <w:szCs w:val="24"/>
        </w:rPr>
        <w:t>և</w:t>
      </w:r>
      <w:r w:rsidRPr="003B2786">
        <w:rPr>
          <w:rFonts w:ascii="Sylfaen" w:hAnsi="Sylfaen"/>
          <w:sz w:val="24"/>
          <w:szCs w:val="24"/>
        </w:rPr>
        <w:t>յալ տվյալները՝</w:t>
      </w:r>
    </w:p>
    <w:p w14:paraId="56736EE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օգտագործված՝ նախագծմանն առնչվող գիտափորձի տարատեսակը </w:t>
      </w:r>
      <w:r w:rsidR="00C54D75">
        <w:rPr>
          <w:rFonts w:ascii="Sylfaen" w:hAnsi="Sylfaen"/>
          <w:sz w:val="24"/>
          <w:szCs w:val="24"/>
        </w:rPr>
        <w:t>և</w:t>
      </w:r>
      <w:r w:rsidRPr="003B2786">
        <w:rPr>
          <w:rFonts w:ascii="Sylfaen" w:hAnsi="Sylfaen"/>
          <w:sz w:val="24"/>
          <w:szCs w:val="24"/>
        </w:rPr>
        <w:t xml:space="preserve"> դրա պիտանելիության հիմնավորումը (օրինակ՝ որոշ սկրինինգային սխեմաներ հարմար չեն, քանի որ թույլ չեն տալիս որոշել փոխազդեցությունը): Պետք է նշվի նախագծմանն առնչվող գիտափորձ արժանահավատությունը (փորձարարական սխալն այն պատասխաններում եղած տարբերությունների համեմատ, որոնք պետք է արտացոլվեն),</w:t>
      </w:r>
    </w:p>
    <w:p w14:paraId="25723D3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ուսումնասիրվող գործոնները </w:t>
      </w:r>
      <w:r w:rsidR="00C54D75">
        <w:rPr>
          <w:rFonts w:ascii="Sylfaen" w:hAnsi="Sylfaen"/>
          <w:sz w:val="24"/>
          <w:szCs w:val="24"/>
        </w:rPr>
        <w:t>և</w:t>
      </w:r>
      <w:r w:rsidRPr="003B2786">
        <w:rPr>
          <w:rFonts w:ascii="Sylfaen" w:hAnsi="Sylfaen"/>
          <w:sz w:val="24"/>
          <w:szCs w:val="24"/>
        </w:rPr>
        <w:t xml:space="preserve"> դրանց ընդգրկույթները (հնարավորության դեպքում՝ աղյուսակային ձ</w:t>
      </w:r>
      <w:r w:rsidR="00C54D75">
        <w:rPr>
          <w:rFonts w:ascii="Sylfaen" w:hAnsi="Sylfaen"/>
          <w:sz w:val="24"/>
          <w:szCs w:val="24"/>
        </w:rPr>
        <w:t>և</w:t>
      </w:r>
      <w:r w:rsidRPr="003B2786">
        <w:rPr>
          <w:rFonts w:ascii="Sylfaen" w:hAnsi="Sylfaen"/>
          <w:sz w:val="24"/>
          <w:szCs w:val="24"/>
        </w:rPr>
        <w:t>աչափով),</w:t>
      </w:r>
    </w:p>
    <w:p w14:paraId="2AA2D0F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պլանավորված փորձերի ցանկը՝ հետազոտության խմբաքանակի ու համարի </w:t>
      </w:r>
      <w:r w:rsidR="00C54D75">
        <w:rPr>
          <w:rFonts w:ascii="Sylfaen" w:hAnsi="Sylfaen"/>
          <w:sz w:val="24"/>
          <w:szCs w:val="24"/>
        </w:rPr>
        <w:t>և</w:t>
      </w:r>
      <w:r w:rsidRPr="003B2786">
        <w:rPr>
          <w:rFonts w:ascii="Sylfaen" w:hAnsi="Sylfaen"/>
          <w:sz w:val="24"/>
          <w:szCs w:val="24"/>
        </w:rPr>
        <w:t xml:space="preserve"> յուրաքանչյուր փորձում արտադրանքի խմբաքանակի չափի հստակ նշումով: </w:t>
      </w:r>
      <w:r w:rsidRPr="003B2786">
        <w:rPr>
          <w:rFonts w:ascii="Sylfaen" w:hAnsi="Sylfaen"/>
          <w:sz w:val="24"/>
          <w:szCs w:val="24"/>
        </w:rPr>
        <w:lastRenderedPageBreak/>
        <w:t>Անհրաժեշտ է նշել կրկնակի փորձերի քանակը,</w:t>
      </w:r>
    </w:p>
    <w:p w14:paraId="4336EB0B" w14:textId="77777777" w:rsidR="008C76E0" w:rsidRPr="003B2786" w:rsidRDefault="008C76E0" w:rsidP="00473371">
      <w:pPr>
        <w:spacing w:after="160" w:line="360" w:lineRule="auto"/>
        <w:ind w:right="-1" w:firstLine="567"/>
        <w:jc w:val="both"/>
        <w:rPr>
          <w:rFonts w:ascii="Sylfaen" w:hAnsi="Sylfaen"/>
          <w:spacing w:val="-6"/>
          <w:sz w:val="24"/>
          <w:szCs w:val="24"/>
        </w:rPr>
      </w:pPr>
      <w:r w:rsidRPr="003B2786">
        <w:rPr>
          <w:rFonts w:ascii="Sylfaen" w:hAnsi="Sylfaen"/>
          <w:spacing w:val="-6"/>
          <w:sz w:val="24"/>
          <w:szCs w:val="24"/>
        </w:rPr>
        <w:t xml:space="preserve">տվյալների գնահատման համար օգտագործվող վերլուծական մեթոդներին հղումը </w:t>
      </w:r>
      <w:r w:rsidR="00C54D75">
        <w:rPr>
          <w:rFonts w:ascii="Sylfaen" w:hAnsi="Sylfaen"/>
          <w:spacing w:val="-6"/>
          <w:sz w:val="24"/>
          <w:szCs w:val="24"/>
        </w:rPr>
        <w:t>և</w:t>
      </w:r>
      <w:r w:rsidRPr="003B2786">
        <w:rPr>
          <w:rFonts w:ascii="Sylfaen" w:hAnsi="Sylfaen"/>
          <w:spacing w:val="-6"/>
          <w:sz w:val="24"/>
          <w:szCs w:val="24"/>
        </w:rPr>
        <w:t xml:space="preserve"> ենթադրյալ օգտագործման համար դրանց պիտանելիության ցուցադրումը,</w:t>
      </w:r>
    </w:p>
    <w:p w14:paraId="2CE3ED00" w14:textId="77777777" w:rsidR="008C76E0" w:rsidRPr="003B2786" w:rsidRDefault="008C76E0" w:rsidP="00015767">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ներկայացնել վիճակագրական արդյունքներ (օրինակ՝ Պարետոյի դիագրամները կամ ազդեցությունների </w:t>
      </w:r>
      <w:r w:rsidR="00C54D75">
        <w:rPr>
          <w:rFonts w:ascii="Sylfaen" w:hAnsi="Sylfaen"/>
          <w:sz w:val="24"/>
          <w:szCs w:val="24"/>
        </w:rPr>
        <w:t>և</w:t>
      </w:r>
      <w:r w:rsidRPr="003B2786">
        <w:rPr>
          <w:rFonts w:ascii="Sylfaen" w:hAnsi="Sylfaen"/>
          <w:sz w:val="24"/>
          <w:szCs w:val="24"/>
        </w:rPr>
        <w:t xml:space="preserve"> փոխազդեցությունների մասշտաբների պարզ ցանկը), որոնք արտացոլում են հետազոտության ժամանակ գործոնների հարաբերական նշանակալիությունը, ինչպես նա</w:t>
      </w:r>
      <w:r w:rsidR="00C54D75">
        <w:rPr>
          <w:rFonts w:ascii="Sylfaen" w:hAnsi="Sylfaen"/>
          <w:sz w:val="24"/>
          <w:szCs w:val="24"/>
        </w:rPr>
        <w:t>և</w:t>
      </w:r>
      <w:r w:rsidRPr="003B2786">
        <w:rPr>
          <w:rFonts w:ascii="Sylfaen" w:hAnsi="Sylfaen"/>
          <w:sz w:val="24"/>
          <w:szCs w:val="24"/>
        </w:rPr>
        <w:t xml:space="preserve"> դրանց միջ</w:t>
      </w:r>
      <w:r w:rsidR="00C54D75">
        <w:rPr>
          <w:rFonts w:ascii="Sylfaen" w:hAnsi="Sylfaen"/>
          <w:sz w:val="24"/>
          <w:szCs w:val="24"/>
        </w:rPr>
        <w:t>և</w:t>
      </w:r>
      <w:r w:rsidRPr="003B2786">
        <w:rPr>
          <w:rFonts w:ascii="Sylfaen" w:hAnsi="Sylfaen"/>
          <w:sz w:val="24"/>
          <w:szCs w:val="24"/>
        </w:rPr>
        <w:t xml:space="preserve"> փոխազդեցությունը (ըստ կիրառելիության):</w:t>
      </w:r>
    </w:p>
    <w:p w14:paraId="3F07D0F9" w14:textId="77777777" w:rsidR="008C76E0" w:rsidRPr="003B2786" w:rsidRDefault="008C76E0" w:rsidP="00015767">
      <w:pPr>
        <w:spacing w:after="160" w:line="336" w:lineRule="auto"/>
        <w:ind w:firstLine="567"/>
        <w:jc w:val="both"/>
        <w:rPr>
          <w:rFonts w:ascii="Sylfaen" w:hAnsi="Sylfaen"/>
          <w:sz w:val="24"/>
          <w:szCs w:val="24"/>
        </w:rPr>
      </w:pPr>
      <w:r w:rsidRPr="003B2786">
        <w:rPr>
          <w:rFonts w:ascii="Sylfaen" w:hAnsi="Sylfaen"/>
          <w:sz w:val="24"/>
          <w:szCs w:val="24"/>
        </w:rPr>
        <w:t xml:space="preserve">Համոզվեք, որ փորձարարական հետազոտության հիման վրա արված կանխատեսումները մասշտաբների (սարքավորում) հարաբերակցություններում համադրելի են հետազոտվող ընդգրկույթների </w:t>
      </w:r>
      <w:r w:rsidR="00C54D75">
        <w:rPr>
          <w:rFonts w:ascii="Sylfaen" w:hAnsi="Sylfaen"/>
          <w:sz w:val="24"/>
          <w:szCs w:val="24"/>
        </w:rPr>
        <w:t>և</w:t>
      </w:r>
      <w:r w:rsidRPr="003B2786">
        <w:rPr>
          <w:rFonts w:ascii="Sylfaen" w:hAnsi="Sylfaen"/>
          <w:sz w:val="24"/>
          <w:szCs w:val="24"/>
        </w:rPr>
        <w:t xml:space="preserve"> տարբերությունների հետ: </w:t>
      </w:r>
    </w:p>
    <w:p w14:paraId="29E8AE3C" w14:textId="77777777" w:rsidR="008C76E0" w:rsidRPr="003B2786" w:rsidRDefault="008C76E0" w:rsidP="00015767">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Տվյալների բազմապարամետրային վերլուծություն (MVDA)՝ պրոցեսների բազմապարամետրային վիճակագրական վերահսկողության համար (MSPC):</w:t>
      </w:r>
    </w:p>
    <w:p w14:paraId="5E70FC1A" w14:textId="32957804"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Տվյալների բազմապարամետրային վերլուծությունը (MVDA), այդ թվում՝ հիմնական բաղադրիչների վերլուծությունը (РСА) </w:t>
      </w:r>
      <w:r w:rsidR="00C54D75">
        <w:rPr>
          <w:rFonts w:ascii="Sylfaen" w:hAnsi="Sylfaen"/>
          <w:sz w:val="24"/>
          <w:szCs w:val="24"/>
        </w:rPr>
        <w:t>և</w:t>
      </w:r>
      <w:r w:rsidRPr="003B2786">
        <w:rPr>
          <w:rFonts w:ascii="Sylfaen" w:hAnsi="Sylfaen"/>
          <w:sz w:val="24"/>
          <w:szCs w:val="24"/>
        </w:rPr>
        <w:t xml:space="preserve"> մասնակի ամենափոքր քառակուսիների հիման վրա վերլուծությունը (PLS) կարող են օգտագործվել դեղագործական պրոցեսների մոդելավորման համար: Հիմնական բաղադրիչների վերլուծությունը հաճախ օգտագործվում է տվյալների ամփոփման համար, օրինակ՝ դիտարկված տվյալների համախմբում խմբերի </w:t>
      </w:r>
      <w:r w:rsidR="00C54D75">
        <w:rPr>
          <w:rFonts w:ascii="Sylfaen" w:hAnsi="Sylfaen"/>
          <w:sz w:val="24"/>
          <w:szCs w:val="24"/>
        </w:rPr>
        <w:t>և</w:t>
      </w:r>
      <w:r w:rsidRPr="003B2786">
        <w:rPr>
          <w:rFonts w:ascii="Sylfaen" w:hAnsi="Sylfaen"/>
          <w:sz w:val="24"/>
          <w:szCs w:val="24"/>
        </w:rPr>
        <w:t xml:space="preserve"> միտումների </w:t>
      </w:r>
      <w:r w:rsidR="009B6AA0">
        <w:rPr>
          <w:rFonts w:ascii="Sylfaen" w:hAnsi="Sylfaen"/>
          <w:sz w:val="24"/>
          <w:szCs w:val="24"/>
        </w:rPr>
        <w:t>հայտ</w:t>
      </w:r>
      <w:r w:rsidRPr="003B2786">
        <w:rPr>
          <w:rFonts w:ascii="Sylfaen" w:hAnsi="Sylfaen"/>
          <w:sz w:val="24"/>
          <w:szCs w:val="24"/>
        </w:rPr>
        <w:t xml:space="preserve">նաբերման, փոփոխականների </w:t>
      </w:r>
      <w:r w:rsidR="00C54D75">
        <w:rPr>
          <w:rFonts w:ascii="Sylfaen" w:hAnsi="Sylfaen"/>
          <w:sz w:val="24"/>
          <w:szCs w:val="24"/>
        </w:rPr>
        <w:t>և</w:t>
      </w:r>
      <w:r w:rsidRPr="003B2786">
        <w:rPr>
          <w:rFonts w:ascii="Sylfaen" w:hAnsi="Sylfaen"/>
          <w:sz w:val="24"/>
          <w:szCs w:val="24"/>
        </w:rPr>
        <w:t xml:space="preserve"> դիտարկումների ու փոփոխականների փոխկապակցվածության գնահատման համար: Մինչդեռ մասնակի ամենափոքր քառակուսիների վրա հիմնված վերլուծությունն օգտագործվում է ելքի </w:t>
      </w:r>
      <w:r w:rsidR="00C54D75">
        <w:rPr>
          <w:rFonts w:ascii="Sylfaen" w:hAnsi="Sylfaen"/>
          <w:sz w:val="24"/>
          <w:szCs w:val="24"/>
        </w:rPr>
        <w:t>և</w:t>
      </w:r>
      <w:r w:rsidRPr="003B2786">
        <w:rPr>
          <w:rFonts w:ascii="Sylfaen" w:hAnsi="Sylfaen"/>
          <w:sz w:val="24"/>
          <w:szCs w:val="24"/>
        </w:rPr>
        <w:t xml:space="preserve"> մուտքի փոփոխականների միջ</w:t>
      </w:r>
      <w:r w:rsidR="00C54D75">
        <w:rPr>
          <w:rFonts w:ascii="Sylfaen" w:hAnsi="Sylfaen"/>
          <w:sz w:val="24"/>
          <w:szCs w:val="24"/>
        </w:rPr>
        <w:t>և</w:t>
      </w:r>
      <w:r w:rsidRPr="003B2786">
        <w:rPr>
          <w:rFonts w:ascii="Sylfaen" w:hAnsi="Sylfaen"/>
          <w:sz w:val="24"/>
          <w:szCs w:val="24"/>
        </w:rPr>
        <w:t xml:space="preserve"> կապ սահմանելու համար՝ մեկ կամ մի քանի բաղադրիչների կանխատեսման նպատակով: Հարցերը, որոնք պետք է հաշվի առնվեն պրոցեսների բազմապարամետրային վիճակագրական վերահսկողության համար՝ տվյալների բազմապարամետրային վերլուծության մոդելն օգտագործելիս, ներառում են հետ</w:t>
      </w:r>
      <w:r w:rsidR="00C54D75">
        <w:rPr>
          <w:rFonts w:ascii="Sylfaen" w:hAnsi="Sylfaen"/>
          <w:sz w:val="24"/>
          <w:szCs w:val="24"/>
        </w:rPr>
        <w:t>և</w:t>
      </w:r>
      <w:r w:rsidRPr="003B2786">
        <w:rPr>
          <w:rFonts w:ascii="Sylfaen" w:hAnsi="Sylfaen"/>
          <w:sz w:val="24"/>
          <w:szCs w:val="24"/>
        </w:rPr>
        <w:t xml:space="preserve">յալը՝ </w:t>
      </w:r>
    </w:p>
    <w:p w14:paraId="2F84562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սպեկտրային վերլուծության համար փորձանմուշների </w:t>
      </w:r>
      <w:r w:rsidRPr="003B2786">
        <w:rPr>
          <w:rFonts w:ascii="Sylfaen" w:hAnsi="Sylfaen"/>
          <w:sz w:val="24"/>
          <w:szCs w:val="24"/>
        </w:rPr>
        <w:lastRenderedPageBreak/>
        <w:t xml:space="preserve">պատրաստման մեթոդը </w:t>
      </w:r>
      <w:r w:rsidR="00C54D75">
        <w:rPr>
          <w:rFonts w:ascii="Sylfaen" w:hAnsi="Sylfaen"/>
          <w:sz w:val="24"/>
          <w:szCs w:val="24"/>
        </w:rPr>
        <w:t>և</w:t>
      </w:r>
      <w:r w:rsidRPr="003B2786">
        <w:rPr>
          <w:rFonts w:ascii="Sylfaen" w:hAnsi="Sylfaen"/>
          <w:sz w:val="24"/>
          <w:szCs w:val="24"/>
        </w:rPr>
        <w:t xml:space="preserve"> նմուշների վերլուծության համար օգտագործվող չափանմուշային վերլուծության մեթոդը համապատասխանում են նպատակային նշանակությանը: Առցանց հսկողության կամ արտադրական հոսքագծում հսկողության համար, որտեղ չկա ընտրանք, ինչպիսին է ընտրանքի կրկնելիությունը </w:t>
      </w:r>
      <w:r w:rsidR="00C54D75">
        <w:rPr>
          <w:rFonts w:ascii="Sylfaen" w:hAnsi="Sylfaen"/>
          <w:sz w:val="24"/>
          <w:szCs w:val="24"/>
        </w:rPr>
        <w:t>և</w:t>
      </w:r>
      <w:r w:rsidRPr="003B2786">
        <w:rPr>
          <w:rFonts w:ascii="Sylfaen" w:hAnsi="Sylfaen"/>
          <w:sz w:val="24"/>
          <w:szCs w:val="24"/>
        </w:rPr>
        <w:t xml:space="preserve"> վերարտադրելիությունը վերլուծական մեթոդիկայի հետ զուգակցությամբ,</w:t>
      </w:r>
    </w:p>
    <w:p w14:paraId="02E9CE7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վալիդացման (նախապատրաստման) տվյալների համախմբերը </w:t>
      </w:r>
      <w:r w:rsidR="00C54D75">
        <w:rPr>
          <w:rFonts w:ascii="Sylfaen" w:hAnsi="Sylfaen"/>
          <w:sz w:val="24"/>
          <w:szCs w:val="24"/>
        </w:rPr>
        <w:t>և</w:t>
      </w:r>
      <w:r w:rsidRPr="003B2786">
        <w:rPr>
          <w:rFonts w:ascii="Sylfaen" w:hAnsi="Sylfaen"/>
          <w:sz w:val="24"/>
          <w:szCs w:val="24"/>
        </w:rPr>
        <w:t xml:space="preserve"> (փորձարկումների) ստուգաճշտումը վկայում են պրոցեսի կանխատեսելի փոփոխականության մասին: Արդյոք ցուցադրված է մոդելի կիրառելիությունը՝ նախագծային պարամետրերի տարածությամբ թույլատրվող փոփոխությունների ամբողջ ընդրկույթի սահմաններում: Դա արտացոլելու բարդության դեպքում կարող են օգտագործվել ռիսկի գնահատման արդյունքները: Ռիսկի բոլոր կար</w:t>
      </w:r>
      <w:r w:rsidR="00C54D75">
        <w:rPr>
          <w:rFonts w:ascii="Sylfaen" w:hAnsi="Sylfaen"/>
          <w:sz w:val="24"/>
          <w:szCs w:val="24"/>
        </w:rPr>
        <w:t>և</w:t>
      </w:r>
      <w:r w:rsidRPr="003B2786">
        <w:rPr>
          <w:rFonts w:ascii="Sylfaen" w:hAnsi="Sylfaen"/>
          <w:sz w:val="24"/>
          <w:szCs w:val="24"/>
        </w:rPr>
        <w:t xml:space="preserve">որ գործոնների ազդեցությունը պետք է ստուգվի, </w:t>
      </w:r>
      <w:r w:rsidR="00C54D75">
        <w:rPr>
          <w:rFonts w:ascii="Sylfaen" w:hAnsi="Sylfaen"/>
          <w:sz w:val="24"/>
          <w:szCs w:val="24"/>
        </w:rPr>
        <w:t>և</w:t>
      </w:r>
      <w:r w:rsidRPr="003B2786">
        <w:rPr>
          <w:rFonts w:ascii="Sylfaen" w:hAnsi="Sylfaen"/>
          <w:sz w:val="24"/>
          <w:szCs w:val="24"/>
        </w:rPr>
        <w:t xml:space="preserve"> դրանք պետք է ներառվեն ստուգաճշտման, վալիդացման </w:t>
      </w:r>
      <w:r w:rsidR="00C54D75">
        <w:rPr>
          <w:rFonts w:ascii="Sylfaen" w:hAnsi="Sylfaen"/>
          <w:sz w:val="24"/>
          <w:szCs w:val="24"/>
        </w:rPr>
        <w:t>և</w:t>
      </w:r>
      <w:r w:rsidRPr="003B2786">
        <w:rPr>
          <w:rFonts w:ascii="Sylfaen" w:hAnsi="Sylfaen"/>
          <w:sz w:val="24"/>
          <w:szCs w:val="24"/>
        </w:rPr>
        <w:t xml:space="preserve"> փորձարկումների ծրագրերում,</w:t>
      </w:r>
    </w:p>
    <w:p w14:paraId="5EA18856" w14:textId="5EDC3B6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ստուգաճշտման (փորձարկումների) ծրագրերի փոփոխականությունը հավաստիորեն </w:t>
      </w:r>
      <w:r w:rsidR="005F6A31">
        <w:rPr>
          <w:rFonts w:ascii="Sylfaen" w:hAnsi="Sylfaen"/>
          <w:sz w:val="24"/>
          <w:szCs w:val="24"/>
        </w:rPr>
        <w:t>արտահայտում</w:t>
      </w:r>
      <w:r w:rsidRPr="003B2786">
        <w:rPr>
          <w:rFonts w:ascii="Sylfaen" w:hAnsi="Sylfaen"/>
          <w:sz w:val="24"/>
          <w:szCs w:val="24"/>
        </w:rPr>
        <w:t xml:space="preserve"> է վալիդացման (նախապատրաստման) փոփոխվող պարամետրերի մեծ մասը,</w:t>
      </w:r>
    </w:p>
    <w:p w14:paraId="75F8296D" w14:textId="40681A8B"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տվյալների ելքային համախմբում </w:t>
      </w:r>
      <w:r w:rsidR="00FE4A71">
        <w:rPr>
          <w:rFonts w:ascii="Sylfaen" w:hAnsi="Sylfaen"/>
          <w:sz w:val="24"/>
          <w:szCs w:val="24"/>
        </w:rPr>
        <w:t xml:space="preserve">հայտնաբերվել </w:t>
      </w:r>
      <w:r w:rsidRPr="003B2786">
        <w:rPr>
          <w:rFonts w:ascii="Sylfaen" w:hAnsi="Sylfaen"/>
          <w:sz w:val="24"/>
          <w:szCs w:val="24"/>
        </w:rPr>
        <w:t xml:space="preserve"> են կտրուկ տարբերվող նշանակություններ, </w:t>
      </w:r>
      <w:r w:rsidR="00C54D75">
        <w:rPr>
          <w:rFonts w:ascii="Sylfaen" w:hAnsi="Sylfaen"/>
          <w:sz w:val="24"/>
          <w:szCs w:val="24"/>
        </w:rPr>
        <w:t>և</w:t>
      </w:r>
      <w:r w:rsidRPr="003B2786">
        <w:rPr>
          <w:rFonts w:ascii="Sylfaen" w:hAnsi="Sylfaen"/>
          <w:sz w:val="24"/>
          <w:szCs w:val="24"/>
        </w:rPr>
        <w:t xml:space="preserve"> եթե այո, արդյոք իրապես հիմնավորված է այդ տվյալների օգտագործումից հրաժարվելը: Ուշադրություն դարձրեք, որ եթե մոդելի մշակման համար օգտագործվող տվյալների համախումբը ձ</w:t>
      </w:r>
      <w:r w:rsidR="00C54D75">
        <w:rPr>
          <w:rFonts w:ascii="Sylfaen" w:hAnsi="Sylfaen"/>
          <w:sz w:val="24"/>
          <w:szCs w:val="24"/>
        </w:rPr>
        <w:t>և</w:t>
      </w:r>
      <w:r w:rsidRPr="003B2786">
        <w:rPr>
          <w:rFonts w:ascii="Sylfaen" w:hAnsi="Sylfaen"/>
          <w:sz w:val="24"/>
          <w:szCs w:val="24"/>
        </w:rPr>
        <w:t>ավորվում է փորձարարական տվյալների հիման վրա, տվյալների օգտագործումից հրաժարվելը կարող է հետահայաց տվյալների համեմատ ավելի մեծ ազդեցություն ունենալ մոդելի կանխատեսող ունակության վրա,</w:t>
      </w:r>
    </w:p>
    <w:p w14:paraId="4C5A37C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տվյալների նախնական մշակմանն առնչվող տեղեկատվությունը (առկայության դեպքում) պատշաճ կերպով է նկարագրված </w:t>
      </w:r>
      <w:r w:rsidR="00C54D75">
        <w:rPr>
          <w:rFonts w:ascii="Sylfaen" w:hAnsi="Sylfaen"/>
          <w:sz w:val="24"/>
          <w:szCs w:val="24"/>
        </w:rPr>
        <w:t>և</w:t>
      </w:r>
      <w:r w:rsidRPr="003B2786">
        <w:rPr>
          <w:rFonts w:ascii="Sylfaen" w:hAnsi="Sylfaen"/>
          <w:sz w:val="24"/>
          <w:szCs w:val="24"/>
        </w:rPr>
        <w:t xml:space="preserve"> արդյոք հետ</w:t>
      </w:r>
      <w:r w:rsidR="00C54D75">
        <w:rPr>
          <w:rFonts w:ascii="Sylfaen" w:hAnsi="Sylfaen"/>
          <w:sz w:val="24"/>
          <w:szCs w:val="24"/>
        </w:rPr>
        <w:t>և</w:t>
      </w:r>
      <w:r w:rsidRPr="003B2786">
        <w:rPr>
          <w:rFonts w:ascii="Sylfaen" w:hAnsi="Sylfaen"/>
          <w:sz w:val="24"/>
          <w:szCs w:val="24"/>
        </w:rPr>
        <w:t xml:space="preserve">ողականորեն է կիրառվում տվյալների այն բոլոր համախմբերի համար, որոնք օգտագործվում են մոդելի ստեղծման, օպտիմիզացման </w:t>
      </w:r>
      <w:r w:rsidR="00C54D75">
        <w:rPr>
          <w:rFonts w:ascii="Sylfaen" w:hAnsi="Sylfaen"/>
          <w:sz w:val="24"/>
          <w:szCs w:val="24"/>
        </w:rPr>
        <w:t>և</w:t>
      </w:r>
      <w:r w:rsidRPr="003B2786">
        <w:rPr>
          <w:rFonts w:ascii="Sylfaen" w:hAnsi="Sylfaen"/>
          <w:sz w:val="24"/>
          <w:szCs w:val="24"/>
        </w:rPr>
        <w:t xml:space="preserve"> վալիդացման համար,</w:t>
      </w:r>
    </w:p>
    <w:p w14:paraId="3C1BA16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արդյոք պատշաճ կերպով են նկարագրված մոդելավորման մեթոդները՝ տվյալների բազմապարամետրային վերլուծության հիման վրա, այդ թվում՝ ընտրված ալգորիթմի ընտրության համառոտ հիմնավորումը,</w:t>
      </w:r>
    </w:p>
    <w:p w14:paraId="0B0B651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դուք համաձայն եք մոդելներում ներառված փոփոխականների ընտրության հետ: Համեմատեք ռիսկի գնահատման արդյունքների հետ: Արդյոք առկա են մոդելում չներառված վարիացիաների համապատասխան աղբյուրները, </w:t>
      </w:r>
      <w:r w:rsidR="00C54D75">
        <w:rPr>
          <w:rFonts w:ascii="Sylfaen" w:hAnsi="Sylfaen"/>
          <w:sz w:val="24"/>
          <w:szCs w:val="24"/>
        </w:rPr>
        <w:t>և</w:t>
      </w:r>
      <w:r w:rsidRPr="003B2786">
        <w:rPr>
          <w:rFonts w:ascii="Sylfaen" w:hAnsi="Sylfaen"/>
          <w:sz w:val="24"/>
          <w:szCs w:val="24"/>
        </w:rPr>
        <w:t xml:space="preserve"> եթե այո, արդյոք տվյալ գործողությունը հիմնավորված է, </w:t>
      </w:r>
    </w:p>
    <w:p w14:paraId="4F316B62" w14:textId="4740AAD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PLS-մոդելների դեպքում՝ արդյոք PLS-մոդելը համապատասխանում է նպատակային նշանակությանը: Արդյոք մոդելի բարդության մակարդակն ամենաօպտիմալ տարբերակն է: Ծանոթագրություն՝ PLS-մոդելի բարդությունը սովորաբար համապատասխանում է PLS-ի (գաղտնի) գործոնների քանակին, որոնք հանգեցնում են ամենացածր մակարդակի խաչաձ</w:t>
      </w:r>
      <w:r w:rsidR="00C54D75">
        <w:rPr>
          <w:rFonts w:ascii="Sylfaen" w:hAnsi="Sylfaen"/>
          <w:sz w:val="24"/>
          <w:szCs w:val="24"/>
        </w:rPr>
        <w:t>և</w:t>
      </w:r>
      <w:r w:rsidRPr="003B2786">
        <w:rPr>
          <w:rFonts w:ascii="Sylfaen" w:hAnsi="Sylfaen"/>
          <w:sz w:val="24"/>
          <w:szCs w:val="24"/>
        </w:rPr>
        <w:t xml:space="preserve"> վալիդացման միջին քառակուսային շեղման: Մոդելի բարդությունը (մոդելի կառուցման համար օգտագործվող PLS գործոնների քանակը) պետք է ցուցադրվի գծապատկերով, որն </w:t>
      </w:r>
      <w:r w:rsidR="005F6A31">
        <w:rPr>
          <w:rFonts w:ascii="Sylfaen" w:hAnsi="Sylfaen"/>
          <w:sz w:val="24"/>
          <w:szCs w:val="24"/>
        </w:rPr>
        <w:t>արտահայտում</w:t>
      </w:r>
      <w:r w:rsidRPr="003B2786">
        <w:rPr>
          <w:rFonts w:ascii="Sylfaen" w:hAnsi="Sylfaen"/>
          <w:sz w:val="24"/>
          <w:szCs w:val="24"/>
        </w:rPr>
        <w:t xml:space="preserve"> է յուրաքանչյուր փոփոխականի ռեգրեսիայի գործակիցները,</w:t>
      </w:r>
    </w:p>
    <w:p w14:paraId="35F1748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կարող են արդյոք մոդելում փոփոխականների բաժնային հարաբերակցությունները (բարձր/ցածր) բացատրվել գոյություն ունեցող գիտական գիտելիքներով կամ այդպիսի փոփոխականների </w:t>
      </w:r>
      <w:r w:rsidR="00C54D75">
        <w:rPr>
          <w:rFonts w:ascii="Sylfaen" w:hAnsi="Sylfaen"/>
          <w:sz w:val="24"/>
          <w:szCs w:val="24"/>
        </w:rPr>
        <w:t>և</w:t>
      </w:r>
      <w:r w:rsidRPr="003B2786">
        <w:rPr>
          <w:rFonts w:ascii="Sylfaen" w:hAnsi="Sylfaen"/>
          <w:sz w:val="24"/>
          <w:szCs w:val="24"/>
        </w:rPr>
        <w:t xml:space="preserve"> (կամ) արտադրական պրոցեսի հիմնավորմամբ, </w:t>
      </w:r>
    </w:p>
    <w:p w14:paraId="0B0F53E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վիճակագրորեն գնահատվել է MVDA-մոդելը՝ պիտանելիության </w:t>
      </w:r>
      <w:r w:rsidR="00C54D75">
        <w:rPr>
          <w:rFonts w:ascii="Sylfaen" w:hAnsi="Sylfaen"/>
          <w:sz w:val="24"/>
          <w:szCs w:val="24"/>
        </w:rPr>
        <w:t>և</w:t>
      </w:r>
      <w:r w:rsidRPr="003B2786">
        <w:rPr>
          <w:rFonts w:ascii="Sylfaen" w:hAnsi="Sylfaen"/>
          <w:sz w:val="24"/>
          <w:szCs w:val="24"/>
        </w:rPr>
        <w:t xml:space="preserve"> կանխատեսման ունակության մասով: Կանխատեսման ստանդարտ սխալը պետք է դիտարկվի չափանմուշային վերլուծական մեթոդի հետ ճշգրիտ համեմատության մեջ,</w:t>
      </w:r>
    </w:p>
    <w:p w14:paraId="661292F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արտադրանքի ամբողջ կենսական պարբերաշրջանի համար առաջարկվել է մոդելի ստուգման սխեմա: Արդյոք որոշվել է, թե ինչ չափանիշներ կծառայեն որպես մոդելի թարմացման անհրաժեշտությունը պայմանավորող գործոններ, </w:t>
      </w:r>
      <w:r w:rsidR="00C54D75">
        <w:rPr>
          <w:rFonts w:ascii="Sylfaen" w:hAnsi="Sylfaen"/>
          <w:sz w:val="24"/>
          <w:szCs w:val="24"/>
        </w:rPr>
        <w:t>և</w:t>
      </w:r>
      <w:r w:rsidRPr="003B2786">
        <w:rPr>
          <w:rFonts w:ascii="Sylfaen" w:hAnsi="Sylfaen"/>
          <w:sz w:val="24"/>
          <w:szCs w:val="24"/>
        </w:rPr>
        <w:t xml:space="preserve"> արդյոք այդ չափանիշները համարժեք են:</w:t>
      </w:r>
    </w:p>
    <w:p w14:paraId="719DFE73" w14:textId="77777777" w:rsidR="008C76E0" w:rsidRPr="003B2786" w:rsidRDefault="008C76E0" w:rsidP="0047337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4.</w:t>
      </w:r>
      <w:r w:rsidRPr="003B2786">
        <w:rPr>
          <w:rFonts w:ascii="Sylfaen" w:hAnsi="Sylfaen"/>
          <w:sz w:val="24"/>
          <w:szCs w:val="24"/>
        </w:rPr>
        <w:tab/>
        <w:t>Նախագծային պարամետրերի տարածությունը (DS):</w:t>
      </w:r>
    </w:p>
    <w:p w14:paraId="55377C5C"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Նախագծային պարամետրերի տարածությունն առաջարկելիս դիտարկման ենթակա ասպեկտները ներառում են հետ</w:t>
      </w:r>
      <w:r w:rsidR="00C54D75">
        <w:rPr>
          <w:rFonts w:ascii="Sylfaen" w:hAnsi="Sylfaen"/>
          <w:sz w:val="24"/>
          <w:szCs w:val="24"/>
        </w:rPr>
        <w:t>և</w:t>
      </w:r>
      <w:r w:rsidRPr="003B2786">
        <w:rPr>
          <w:rFonts w:ascii="Sylfaen" w:hAnsi="Sylfaen"/>
          <w:sz w:val="24"/>
          <w:szCs w:val="24"/>
        </w:rPr>
        <w:t>յալը՝</w:t>
      </w:r>
    </w:p>
    <w:p w14:paraId="4CAAB58E" w14:textId="18832D82"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ներկայացրել է նախագծային պարամետրերի առաջարկվող տարածության կիրառելիությունը հաստատող բավարար տվյալներ (ռիսկերի գնահատական, փորձարարական տվյալներ, վիճակագրորեն գնահատված </w:t>
      </w:r>
      <w:r w:rsidR="00C54D75">
        <w:rPr>
          <w:rFonts w:ascii="Sylfaen" w:hAnsi="Sylfaen"/>
          <w:sz w:val="24"/>
          <w:szCs w:val="24"/>
        </w:rPr>
        <w:t>և</w:t>
      </w:r>
      <w:r w:rsidRPr="003B2786">
        <w:rPr>
          <w:rFonts w:ascii="Sylfaen" w:hAnsi="Sylfaen"/>
          <w:sz w:val="24"/>
          <w:szCs w:val="24"/>
        </w:rPr>
        <w:t xml:space="preserve"> ամբողջությամբ ստուգված մոդելներ),</w:t>
      </w:r>
    </w:p>
    <w:p w14:paraId="4C03E426" w14:textId="21D7452D"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լաբորատորիայում կամ փորձարարական հիմունքներով նախագծային պարամետրերի տարածության մշակման մեջ՝ արդյոք </w:t>
      </w:r>
      <w:r w:rsidR="0056496B">
        <w:rPr>
          <w:rFonts w:ascii="Sylfaen" w:hAnsi="Sylfaen"/>
          <w:sz w:val="24"/>
          <w:szCs w:val="24"/>
        </w:rPr>
        <w:t>դիմումատու</w:t>
      </w:r>
      <w:r w:rsidRPr="003B2786">
        <w:rPr>
          <w:rFonts w:ascii="Sylfaen" w:hAnsi="Sylfaen"/>
          <w:sz w:val="24"/>
          <w:szCs w:val="24"/>
        </w:rPr>
        <w:t xml:space="preserve">ն, մասշտաբավորման գործակիցների կիրառման կամ անկախ փորձերի միջոցով ցուցադրել է արդյունաբերական մասշտաբում օգտագործման համար դրա կիրառելիությունը, կամ արդյոք պարամետրերի՝ մասշտաբից կախված չլինելը ցուցադրվել է այլ կերպ: Մասշտաբավորման գործակիցները կարող են օգտագործվել տարբեր աղբյուրներից կամ անցյալի փորձի արդյունքում ստացված տվյալների հիման վրա: Արդյոք </w:t>
      </w:r>
      <w:r w:rsidR="0056496B">
        <w:rPr>
          <w:rFonts w:ascii="Sylfaen" w:hAnsi="Sylfaen"/>
          <w:sz w:val="24"/>
          <w:szCs w:val="24"/>
        </w:rPr>
        <w:t>դիմումատու</w:t>
      </w:r>
      <w:r w:rsidRPr="003B2786">
        <w:rPr>
          <w:rFonts w:ascii="Sylfaen" w:hAnsi="Sylfaen"/>
          <w:sz w:val="24"/>
          <w:szCs w:val="24"/>
        </w:rPr>
        <w:t xml:space="preserve">ն դիտարկել է արտադրության մասշտաբների ընդլայնման շրջանակներում հնարավոր ռիսկերը </w:t>
      </w:r>
      <w:r w:rsidR="00C54D75">
        <w:rPr>
          <w:rFonts w:ascii="Sylfaen" w:hAnsi="Sylfaen"/>
          <w:sz w:val="24"/>
          <w:szCs w:val="24"/>
        </w:rPr>
        <w:t>և</w:t>
      </w:r>
      <w:r w:rsidRPr="003B2786">
        <w:rPr>
          <w:rFonts w:ascii="Sylfaen" w:hAnsi="Sylfaen"/>
          <w:sz w:val="24"/>
          <w:szCs w:val="24"/>
        </w:rPr>
        <w:t xml:space="preserve"> արդյոք օգտագործվում է այդպիսի ռիսկերի կառավարման համար նախատեսված վերահսկողության ռազմավարությունը,</w:t>
      </w:r>
    </w:p>
    <w:p w14:paraId="4C545E4B" w14:textId="54622BFD"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նախագծային պարամետրերի տարածությունը մշակելիս հաշվի է առել որակի բոլոր կրիտիկական ասպեկտները (տե՛ս փորձարարական գործունեության ռիսկերի </w:t>
      </w:r>
      <w:r w:rsidR="00C54D75">
        <w:rPr>
          <w:rFonts w:ascii="Sylfaen" w:hAnsi="Sylfaen"/>
          <w:sz w:val="24"/>
          <w:szCs w:val="24"/>
        </w:rPr>
        <w:t>և</w:t>
      </w:r>
      <w:r w:rsidRPr="003B2786">
        <w:rPr>
          <w:rFonts w:ascii="Sylfaen" w:hAnsi="Sylfaen"/>
          <w:sz w:val="24"/>
          <w:szCs w:val="24"/>
        </w:rPr>
        <w:t xml:space="preserve"> արդյունքների գնահատականը), </w:t>
      </w:r>
    </w:p>
    <w:p w14:paraId="5BB250F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վերահսկողության ռազմավարությունը նախագծային պարամետրերի առաջարկվող տարածության հարցում որպես լրացուցիչ օժանդակող գործոն է ծառայում, </w:t>
      </w:r>
    </w:p>
    <w:p w14:paraId="62D80464" w14:textId="482F7F64" w:rsidR="008C76E0" w:rsidRPr="00E15E7D"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բոլոր կրիտիկական պարամետրերն են </w:t>
      </w:r>
      <w:r w:rsidR="00FE4A71">
        <w:rPr>
          <w:rFonts w:ascii="Sylfaen" w:hAnsi="Sylfaen"/>
          <w:sz w:val="24"/>
          <w:szCs w:val="24"/>
        </w:rPr>
        <w:t xml:space="preserve">հայտնաբերվել </w:t>
      </w:r>
      <w:r w:rsidRPr="003B2786">
        <w:rPr>
          <w:rFonts w:ascii="Sylfaen" w:hAnsi="Sylfaen"/>
          <w:sz w:val="24"/>
          <w:szCs w:val="24"/>
        </w:rPr>
        <w:t xml:space="preserve"> նախագծային պարամետրերի տարածության իրականացման շրջանակներում: Եթե ոչ, արդյոք այդ առումով առկա է համապատասխան հիմնավորում:</w:t>
      </w:r>
    </w:p>
    <w:p w14:paraId="142D5E2D" w14:textId="77777777" w:rsidR="008E1F21" w:rsidRPr="00E15E7D" w:rsidRDefault="008E1F21">
      <w:pPr>
        <w:widowControl/>
        <w:rPr>
          <w:rFonts w:ascii="Sylfaen" w:hAnsi="Sylfaen"/>
          <w:sz w:val="24"/>
          <w:szCs w:val="24"/>
        </w:rPr>
      </w:pPr>
    </w:p>
    <w:p w14:paraId="2B82A2C4"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12. Թիվ 3 հավելված. Դիզայնի ոլորտը </w:t>
      </w:r>
      <w:r w:rsidR="00C54D75">
        <w:rPr>
          <w:rFonts w:ascii="Sylfaen" w:hAnsi="Sylfaen"/>
          <w:sz w:val="24"/>
          <w:szCs w:val="24"/>
        </w:rPr>
        <w:t>և</w:t>
      </w:r>
      <w:r w:rsidRPr="003B2786">
        <w:rPr>
          <w:rFonts w:ascii="Sylfaen" w:hAnsi="Sylfaen"/>
          <w:sz w:val="24"/>
          <w:szCs w:val="24"/>
        </w:rPr>
        <w:t xml:space="preserve"> փոփոխությունների կառավարման արձանագրությունները (եթե կիրառելի է)</w:t>
      </w:r>
    </w:p>
    <w:p w14:paraId="4DAAF871" w14:textId="47359135"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հավելվածն իրենից ներկայացնում է հաշվետվության հիմնական բաժնից արված քաղվածք, որի նպատակն է դոսյեում համաձայնեցված բոլոր այն ասպեկտների համառոտ ամփոփումը, որոնք անհրաժեշտ են կարգավորիչ գործունեության հետգրանցումային ճկունությունն ապահովելու համար: Հավելվածը փոփոխություններ կատարելու հետգրանցումային </w:t>
      </w:r>
      <w:r w:rsidR="0056496B">
        <w:rPr>
          <w:rFonts w:ascii="Sylfaen" w:hAnsi="Sylfaen"/>
          <w:sz w:val="24"/>
          <w:szCs w:val="24"/>
        </w:rPr>
        <w:t>դիմում</w:t>
      </w:r>
      <w:r w:rsidR="005A46D4">
        <w:rPr>
          <w:rFonts w:ascii="Sylfaen" w:hAnsi="Sylfaen"/>
          <w:sz w:val="24"/>
          <w:szCs w:val="24"/>
        </w:rPr>
        <w:t>ն</w:t>
      </w:r>
      <w:r w:rsidRPr="003B2786">
        <w:rPr>
          <w:rFonts w:ascii="Sylfaen" w:hAnsi="Sylfaen"/>
          <w:sz w:val="24"/>
          <w:szCs w:val="24"/>
        </w:rPr>
        <w:t>երի գնահատման համար որպես հիմք կարող է օգտագործվել տեսուչների կողմից:</w:t>
      </w:r>
    </w:p>
    <w:p w14:paraId="3309EC94" w14:textId="77777777" w:rsidR="008C76E0" w:rsidRPr="003B2786" w:rsidRDefault="008C76E0" w:rsidP="00473371">
      <w:pPr>
        <w:spacing w:after="160" w:line="360" w:lineRule="auto"/>
        <w:ind w:firstLine="567"/>
        <w:jc w:val="center"/>
        <w:rPr>
          <w:rFonts w:ascii="Sylfaen" w:hAnsi="Sylfaen"/>
          <w:sz w:val="24"/>
          <w:szCs w:val="24"/>
        </w:rPr>
      </w:pPr>
    </w:p>
    <w:p w14:paraId="1EC5C854" w14:textId="77777777" w:rsidR="008C76E0" w:rsidRPr="003B2786" w:rsidRDefault="008C76E0" w:rsidP="00473371">
      <w:pPr>
        <w:spacing w:after="160" w:line="360" w:lineRule="auto"/>
        <w:ind w:right="-1"/>
        <w:jc w:val="center"/>
        <w:outlineLvl w:val="0"/>
        <w:rPr>
          <w:rFonts w:ascii="Sylfaen" w:hAnsi="Sylfaen"/>
          <w:sz w:val="24"/>
          <w:szCs w:val="24"/>
        </w:rPr>
      </w:pPr>
      <w:r w:rsidRPr="003B2786">
        <w:rPr>
          <w:rFonts w:ascii="Sylfaen" w:hAnsi="Sylfaen"/>
          <w:sz w:val="24"/>
          <w:szCs w:val="24"/>
        </w:rPr>
        <w:t>1. Ակտիվ դեղագործական բաղադրամասը</w:t>
      </w:r>
    </w:p>
    <w:p w14:paraId="24A2FAD6"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 xml:space="preserve">ԱԴԲ-ի համար դիզայնի ոլորտը: </w:t>
      </w:r>
    </w:p>
    <w:p w14:paraId="1B7D9FB0"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Դիզայնի ոլորտի ներկայացումը (բնութագրերը </w:t>
      </w:r>
      <w:r w:rsidR="00C54D75">
        <w:rPr>
          <w:rFonts w:ascii="Sylfaen" w:hAnsi="Sylfaen"/>
          <w:sz w:val="24"/>
          <w:szCs w:val="24"/>
        </w:rPr>
        <w:t>և</w:t>
      </w:r>
      <w:r w:rsidRPr="003B2786">
        <w:rPr>
          <w:rFonts w:ascii="Sylfaen" w:hAnsi="Sylfaen"/>
          <w:sz w:val="24"/>
          <w:szCs w:val="24"/>
        </w:rPr>
        <w:t xml:space="preserve"> դրանց փոփոխությունների համապատասխան ընդգրկույթները)՝ աղյուսակային ձ</w:t>
      </w:r>
      <w:r w:rsidR="00C54D75">
        <w:rPr>
          <w:rFonts w:ascii="Sylfaen" w:hAnsi="Sylfaen"/>
          <w:sz w:val="24"/>
          <w:szCs w:val="24"/>
        </w:rPr>
        <w:t>և</w:t>
      </w:r>
      <w:r w:rsidRPr="003B2786">
        <w:rPr>
          <w:rFonts w:ascii="Sylfaen" w:hAnsi="Sylfaen"/>
          <w:sz w:val="24"/>
          <w:szCs w:val="24"/>
        </w:rPr>
        <w:t>աչափով:</w:t>
      </w:r>
    </w:p>
    <w:p w14:paraId="3D63E267" w14:textId="77777777" w:rsidR="008C76E0" w:rsidRPr="00C317F8" w:rsidRDefault="008C76E0" w:rsidP="00473371">
      <w:pPr>
        <w:tabs>
          <w:tab w:val="left" w:pos="1134"/>
        </w:tabs>
        <w:spacing w:after="160" w:line="360" w:lineRule="auto"/>
        <w:ind w:right="-1" w:firstLine="567"/>
        <w:jc w:val="both"/>
        <w:rPr>
          <w:rFonts w:ascii="Sylfaen" w:hAnsi="Sylfaen"/>
          <w:spacing w:val="-6"/>
          <w:sz w:val="24"/>
          <w:szCs w:val="24"/>
        </w:rPr>
      </w:pPr>
      <w:r w:rsidRPr="003B2786">
        <w:rPr>
          <w:rFonts w:ascii="Sylfaen" w:hAnsi="Sylfaen"/>
          <w:sz w:val="24"/>
          <w:szCs w:val="24"/>
        </w:rPr>
        <w:t>1.2.</w:t>
      </w:r>
      <w:r w:rsidRPr="003B2786">
        <w:rPr>
          <w:rFonts w:ascii="Sylfaen" w:hAnsi="Sylfaen"/>
          <w:sz w:val="24"/>
          <w:szCs w:val="24"/>
        </w:rPr>
        <w:tab/>
      </w:r>
      <w:r w:rsidRPr="00C317F8">
        <w:rPr>
          <w:rFonts w:ascii="Sylfaen" w:hAnsi="Sylfaen"/>
          <w:spacing w:val="-6"/>
          <w:sz w:val="24"/>
          <w:szCs w:val="24"/>
        </w:rPr>
        <w:t>Փոփոխությունների կառավարման արձանագրությունները՝ ԱԴԲ-ի համար:</w:t>
      </w:r>
    </w:p>
    <w:p w14:paraId="3BF15D7D"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3B2786">
        <w:rPr>
          <w:rFonts w:ascii="Sylfaen" w:hAnsi="Sylfaen"/>
          <w:sz w:val="24"/>
          <w:szCs w:val="24"/>
        </w:rPr>
        <w:t xml:space="preserve"> փոփոխությունների ներդրման հաշվետվության համար՝ համաձայնեցված վարիացիաների կատեգորիաները:</w:t>
      </w:r>
    </w:p>
    <w:p w14:paraId="359C569C" w14:textId="77777777" w:rsidR="008C76E0" w:rsidRPr="003B2786" w:rsidRDefault="008C76E0" w:rsidP="00473371">
      <w:pPr>
        <w:tabs>
          <w:tab w:val="left" w:pos="1134"/>
        </w:tabs>
        <w:spacing w:after="160" w:line="360" w:lineRule="auto"/>
        <w:ind w:firstLine="567"/>
        <w:jc w:val="center"/>
        <w:rPr>
          <w:rFonts w:ascii="Sylfaen" w:hAnsi="Sylfaen"/>
          <w:sz w:val="24"/>
          <w:szCs w:val="24"/>
        </w:rPr>
      </w:pPr>
    </w:p>
    <w:p w14:paraId="49B35C1D" w14:textId="77777777" w:rsidR="008C76E0" w:rsidRPr="003B2786" w:rsidRDefault="008C76E0" w:rsidP="00473371">
      <w:pPr>
        <w:spacing w:after="160" w:line="360" w:lineRule="auto"/>
        <w:ind w:right="-1"/>
        <w:jc w:val="center"/>
        <w:outlineLvl w:val="0"/>
        <w:rPr>
          <w:rFonts w:ascii="Sylfaen" w:hAnsi="Sylfaen"/>
          <w:sz w:val="24"/>
          <w:szCs w:val="24"/>
        </w:rPr>
      </w:pPr>
      <w:r w:rsidRPr="003B2786">
        <w:rPr>
          <w:rFonts w:ascii="Sylfaen" w:hAnsi="Sylfaen"/>
          <w:sz w:val="24"/>
          <w:szCs w:val="24"/>
        </w:rPr>
        <w:t>2. Դեղապատրաստուկը</w:t>
      </w:r>
    </w:p>
    <w:p w14:paraId="00E19C4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Դեղապատրաստուկի դիզայնի ոլորտը:</w:t>
      </w:r>
    </w:p>
    <w:p w14:paraId="6A351E2A"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Դիզայնի ոլորտի ներկայացումը (բնութագրերը </w:t>
      </w:r>
      <w:r w:rsidR="00C54D75">
        <w:rPr>
          <w:rFonts w:ascii="Sylfaen" w:hAnsi="Sylfaen"/>
          <w:sz w:val="24"/>
          <w:szCs w:val="24"/>
        </w:rPr>
        <w:t>և</w:t>
      </w:r>
      <w:r w:rsidRPr="003B2786">
        <w:rPr>
          <w:rFonts w:ascii="Sylfaen" w:hAnsi="Sylfaen"/>
          <w:sz w:val="24"/>
          <w:szCs w:val="24"/>
        </w:rPr>
        <w:t xml:space="preserve"> դրանց փոփոխությունների համապատասխան ընդգրկույթները)՝ աղյուսակային ձ</w:t>
      </w:r>
      <w:r w:rsidR="00C54D75">
        <w:rPr>
          <w:rFonts w:ascii="Sylfaen" w:hAnsi="Sylfaen"/>
          <w:sz w:val="24"/>
          <w:szCs w:val="24"/>
        </w:rPr>
        <w:t>և</w:t>
      </w:r>
      <w:r w:rsidRPr="003B2786">
        <w:rPr>
          <w:rFonts w:ascii="Sylfaen" w:hAnsi="Sylfaen"/>
          <w:sz w:val="24"/>
          <w:szCs w:val="24"/>
        </w:rPr>
        <w:t>աչափով:</w:t>
      </w:r>
    </w:p>
    <w:p w14:paraId="12D33151"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 xml:space="preserve">Դեղապատրաստուկի համար փոփոխությունների կառավարման արձանագրությունները: </w:t>
      </w:r>
    </w:p>
    <w:p w14:paraId="4B179943" w14:textId="77777777" w:rsidR="008C76E0" w:rsidRDefault="008C76E0" w:rsidP="00473371">
      <w:pPr>
        <w:pBdr>
          <w:bottom w:val="single" w:sz="6" w:space="1" w:color="auto"/>
        </w:pBdr>
        <w:spacing w:after="160" w:line="360" w:lineRule="auto"/>
        <w:ind w:right="-1" w:firstLine="567"/>
        <w:jc w:val="both"/>
        <w:rPr>
          <w:rFonts w:ascii="Sylfaen" w:hAnsi="Sylfaen"/>
          <w:sz w:val="24"/>
          <w:szCs w:val="24"/>
        </w:rPr>
      </w:pPr>
      <w:r w:rsidRPr="003B2786">
        <w:rPr>
          <w:rFonts w:ascii="Sylfaen" w:hAnsi="Sylfaen"/>
          <w:sz w:val="24"/>
          <w:szCs w:val="24"/>
        </w:rPr>
        <w:lastRenderedPageBreak/>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3B2786">
        <w:rPr>
          <w:rFonts w:ascii="Sylfaen" w:hAnsi="Sylfaen"/>
          <w:sz w:val="24"/>
          <w:szCs w:val="24"/>
        </w:rPr>
        <w:t xml:space="preserve"> փոփոխությունների ներդրման հաշվետվության համար՝ համաձայնեցված վարիացիաների կատեգորիաները:</w:t>
      </w:r>
    </w:p>
    <w:p w14:paraId="250FE5F9" w14:textId="77777777" w:rsidR="00512DAB" w:rsidRPr="006F28F9" w:rsidRDefault="00512DAB" w:rsidP="00512DAB">
      <w:pPr>
        <w:rPr>
          <w:b/>
          <w:bCs/>
          <w:i/>
          <w:iCs/>
        </w:rPr>
      </w:pPr>
      <w:r w:rsidRPr="00CD4709">
        <w:rPr>
          <w:b/>
          <w:bCs/>
          <w:i/>
          <w:iCs/>
        </w:rPr>
        <w:t>(</w:t>
      </w:r>
      <w:r>
        <w:rPr>
          <w:b/>
          <w:bCs/>
          <w:i/>
          <w:iCs/>
        </w:rPr>
        <w:t xml:space="preserve">հավելվածը </w:t>
      </w:r>
      <w:r w:rsidRPr="00CD4709">
        <w:rPr>
          <w:b/>
          <w:bCs/>
          <w:i/>
          <w:iCs/>
        </w:rPr>
        <w:t>փոփ. 30.01.20 թիվ 9)</w:t>
      </w:r>
    </w:p>
    <w:p w14:paraId="06D1434F" w14:textId="77777777" w:rsidR="00512DAB" w:rsidRDefault="00512DAB" w:rsidP="008C76E0">
      <w:pPr>
        <w:ind w:right="-1" w:firstLine="567"/>
        <w:jc w:val="center"/>
        <w:rPr>
          <w:rFonts w:ascii="Sylfaen" w:hAnsi="Sylfaen"/>
          <w:sz w:val="24"/>
          <w:szCs w:val="24"/>
        </w:rPr>
      </w:pPr>
    </w:p>
    <w:p w14:paraId="60B00BC5" w14:textId="77777777" w:rsidR="00015767" w:rsidRPr="00E15E7D" w:rsidRDefault="00015767" w:rsidP="008C76E0">
      <w:pPr>
        <w:ind w:right="-1" w:firstLine="567"/>
        <w:jc w:val="both"/>
        <w:rPr>
          <w:rFonts w:ascii="Sylfaen" w:hAnsi="Sylfaen"/>
          <w:sz w:val="24"/>
          <w:szCs w:val="24"/>
        </w:rPr>
      </w:pPr>
    </w:p>
    <w:p w14:paraId="5CC06A51" w14:textId="77777777" w:rsidR="00015767" w:rsidRPr="00E15E7D" w:rsidRDefault="00015767" w:rsidP="008C76E0">
      <w:pPr>
        <w:ind w:right="-1" w:firstLine="567"/>
        <w:jc w:val="both"/>
        <w:rPr>
          <w:rFonts w:ascii="Sylfaen" w:hAnsi="Sylfaen"/>
          <w:sz w:val="24"/>
          <w:szCs w:val="24"/>
        </w:rPr>
        <w:sectPr w:rsidR="00015767" w:rsidRPr="00E15E7D" w:rsidSect="00C31D56">
          <w:pgSz w:w="11906" w:h="16838" w:code="9"/>
          <w:pgMar w:top="1418" w:right="1418" w:bottom="1418" w:left="1418" w:header="709" w:footer="709" w:gutter="0"/>
          <w:pgNumType w:start="1"/>
          <w:cols w:space="708"/>
          <w:titlePg/>
          <w:docGrid w:linePitch="360"/>
        </w:sectPr>
      </w:pPr>
    </w:p>
    <w:p w14:paraId="5CBB98E4" w14:textId="77777777" w:rsidR="008C76E0" w:rsidRPr="003B2786" w:rsidRDefault="008C76E0" w:rsidP="008E1F21">
      <w:pPr>
        <w:spacing w:after="160" w:line="360" w:lineRule="auto"/>
        <w:ind w:left="4536" w:right="-1"/>
        <w:jc w:val="center"/>
        <w:rPr>
          <w:rFonts w:ascii="Sylfaen" w:hAnsi="Sylfaen"/>
          <w:sz w:val="24"/>
          <w:szCs w:val="24"/>
        </w:rPr>
      </w:pPr>
      <w:r w:rsidRPr="003B2786">
        <w:rPr>
          <w:rFonts w:ascii="Sylfaen" w:hAnsi="Sylfaen"/>
          <w:sz w:val="24"/>
          <w:szCs w:val="24"/>
        </w:rPr>
        <w:lastRenderedPageBreak/>
        <w:t>ՀԱՎԵԼՎԱԾ ԹԻՎ 15</w:t>
      </w:r>
    </w:p>
    <w:p w14:paraId="23E53926" w14:textId="77777777" w:rsidR="008C76E0" w:rsidRPr="003B2786" w:rsidRDefault="008C76E0" w:rsidP="008E1F21">
      <w:pPr>
        <w:spacing w:after="160" w:line="360" w:lineRule="auto"/>
        <w:ind w:left="4536" w:right="-1"/>
        <w:jc w:val="center"/>
        <w:rPr>
          <w:rFonts w:ascii="Sylfaen" w:hAnsi="Sylfaen"/>
          <w:sz w:val="24"/>
          <w:szCs w:val="24"/>
        </w:rPr>
      </w:pPr>
      <w:r w:rsidRPr="003B2786">
        <w:rPr>
          <w:rFonts w:ascii="Sylfaen" w:hAnsi="Sylfaen"/>
          <w:sz w:val="24"/>
          <w:szCs w:val="24"/>
        </w:rPr>
        <w:t xml:space="preserve">Բժշկական կիրառման դեղապատրաստուկների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2BCE23DF" w14:textId="77777777" w:rsidR="008C76E0" w:rsidRPr="003B2786" w:rsidRDefault="008C76E0" w:rsidP="008E1F21">
      <w:pPr>
        <w:spacing w:after="160" w:line="360" w:lineRule="auto"/>
        <w:ind w:right="-1"/>
        <w:jc w:val="center"/>
        <w:rPr>
          <w:rFonts w:ascii="Sylfaen" w:hAnsi="Sylfaen"/>
          <w:sz w:val="24"/>
          <w:szCs w:val="24"/>
        </w:rPr>
      </w:pPr>
    </w:p>
    <w:p w14:paraId="1E42FD47" w14:textId="77777777" w:rsidR="008C76E0" w:rsidRPr="008C76E0" w:rsidRDefault="008C76E0" w:rsidP="008E1F21">
      <w:pPr>
        <w:pStyle w:val="Heading10"/>
        <w:shd w:val="clear" w:color="auto" w:fill="auto"/>
        <w:spacing w:before="0" w:after="160" w:line="360" w:lineRule="auto"/>
        <w:ind w:left="567" w:right="706"/>
        <w:outlineLvl w:val="9"/>
        <w:rPr>
          <w:rFonts w:ascii="Sylfaen" w:hAnsi="Sylfaen"/>
          <w:b w:val="0"/>
          <w:sz w:val="24"/>
          <w:szCs w:val="24"/>
          <w:lang w:val="hy-AM"/>
        </w:rPr>
      </w:pPr>
      <w:bookmarkStart w:id="10" w:name="bookmark10"/>
      <w:r w:rsidRPr="00F07160">
        <w:rPr>
          <w:rStyle w:val="Heading1Spacing2pt"/>
          <w:rFonts w:ascii="Sylfaen" w:hAnsi="Sylfaen"/>
          <w:b/>
          <w:spacing w:val="0"/>
          <w:sz w:val="24"/>
          <w:szCs w:val="24"/>
        </w:rPr>
        <w:t>ՑՈՒՑՈՒՄՆԵՐ</w:t>
      </w:r>
      <w:bookmarkEnd w:id="10"/>
    </w:p>
    <w:p w14:paraId="0AFB496A" w14:textId="77777777" w:rsidR="008C76E0" w:rsidRPr="008C76E0" w:rsidRDefault="008C76E0" w:rsidP="008E1F21">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 xml:space="preserve">կլինիկական հետազոտությունների գնահատման վերաբերյալ փորձագիտական հաշվետվություն </w:t>
      </w:r>
      <w:bookmarkStart w:id="11" w:name="bookmark11"/>
      <w:r w:rsidRPr="008C76E0">
        <w:rPr>
          <w:rFonts w:ascii="Sylfaen" w:hAnsi="Sylfaen"/>
          <w:sz w:val="24"/>
          <w:szCs w:val="24"/>
          <w:lang w:val="hy-AM"/>
        </w:rPr>
        <w:t>կազմելու</w:t>
      </w:r>
      <w:bookmarkEnd w:id="11"/>
    </w:p>
    <w:p w14:paraId="653C18F5" w14:textId="77777777" w:rsidR="008C76E0" w:rsidRPr="008C76E0" w:rsidRDefault="008C76E0" w:rsidP="008E1F21">
      <w:pPr>
        <w:pStyle w:val="Bodytext130"/>
        <w:shd w:val="clear" w:color="auto" w:fill="auto"/>
        <w:spacing w:after="160" w:line="360" w:lineRule="auto"/>
        <w:ind w:left="567" w:right="706"/>
        <w:rPr>
          <w:rFonts w:ascii="Sylfaen" w:hAnsi="Sylfaen"/>
          <w:sz w:val="24"/>
          <w:szCs w:val="24"/>
          <w:lang w:val="hy-AM"/>
        </w:rPr>
      </w:pPr>
    </w:p>
    <w:p w14:paraId="4D966AB6" w14:textId="77777777" w:rsidR="008C76E0" w:rsidRPr="003B2786" w:rsidRDefault="008C76E0" w:rsidP="008E1F21">
      <w:pPr>
        <w:spacing w:after="160" w:line="360" w:lineRule="auto"/>
        <w:ind w:left="567" w:right="706"/>
        <w:jc w:val="center"/>
        <w:rPr>
          <w:rFonts w:ascii="Sylfaen" w:hAnsi="Sylfaen"/>
          <w:sz w:val="24"/>
          <w:szCs w:val="24"/>
        </w:rPr>
      </w:pPr>
      <w:r w:rsidRPr="003B2786">
        <w:rPr>
          <w:rFonts w:ascii="Sylfaen" w:hAnsi="Sylfaen"/>
          <w:sz w:val="24"/>
          <w:szCs w:val="24"/>
        </w:rPr>
        <w:t>I. Ընդհանուր ցուցումներ</w:t>
      </w:r>
    </w:p>
    <w:p w14:paraId="1E889DB0"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Փորձագետի՝ կլինիկական հետազոտությունների գնահատման վերաբերյալ հաշվետվության (այսուհետ՝ հաշվետվություն) վրա աշխատելիս անհրաժեշտ է հաշվի առնել հետ</w:t>
      </w:r>
      <w:r w:rsidR="00C54D75">
        <w:rPr>
          <w:rFonts w:ascii="Sylfaen" w:hAnsi="Sylfaen"/>
          <w:sz w:val="24"/>
          <w:szCs w:val="24"/>
        </w:rPr>
        <w:t>և</w:t>
      </w:r>
      <w:r w:rsidRPr="003B2786">
        <w:rPr>
          <w:rFonts w:ascii="Sylfaen" w:hAnsi="Sylfaen"/>
          <w:sz w:val="24"/>
          <w:szCs w:val="24"/>
        </w:rPr>
        <w:t>յալ ասպեկտները՝</w:t>
      </w:r>
    </w:p>
    <w:p w14:paraId="7A162D0B"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z w:val="24"/>
          <w:szCs w:val="24"/>
        </w:rPr>
        <w:t xml:space="preserve">հաշվետվությունը պետք է լինի բավականչափ մանրամասնեցված՝ Եվրասիական տնտեսական միության անդամ պետությունների (այսուհետ համապատասխանաբար՝ Միություն, անդամ պետություններ) լիազորված մարմինների </w:t>
      </w:r>
      <w:r w:rsidR="00C54D75">
        <w:rPr>
          <w:rFonts w:ascii="Sylfaen" w:hAnsi="Sylfaen"/>
          <w:sz w:val="24"/>
          <w:szCs w:val="24"/>
        </w:rPr>
        <w:t>և</w:t>
      </w:r>
      <w:r w:rsidRPr="003B2786">
        <w:rPr>
          <w:rFonts w:ascii="Sylfaen" w:hAnsi="Sylfaen"/>
          <w:sz w:val="24"/>
          <w:szCs w:val="24"/>
        </w:rPr>
        <w:t xml:space="preserve"> կազմակերպությունների այլ փորձագետների կողմից դրա կրկնակի գնահատում կատարելու հնարավորության համար,</w:t>
      </w:r>
    </w:p>
    <w:p w14:paraId="3FCB0378"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pacing w:val="-6"/>
          <w:sz w:val="24"/>
          <w:szCs w:val="24"/>
        </w:rPr>
        <w:t xml:space="preserve">խորհուրդ է տրվում օգտագործել աղյուսակներ (գրաֆիկներ, պատկերներ). օրինակները, որոնք անհրաժեշտության դեպքում կարելի է օգտագործել, բերված են համաձայն Եվրասիական տնտեսական հանձնաժողովի կողմից հաստատվող՝ Բժշկական կիրառման դեղապատրաստուկների գրանցման </w:t>
      </w:r>
      <w:r w:rsidR="00C54D75">
        <w:rPr>
          <w:rFonts w:ascii="Sylfaen" w:hAnsi="Sylfaen"/>
          <w:spacing w:val="-6"/>
          <w:sz w:val="24"/>
          <w:szCs w:val="24"/>
        </w:rPr>
        <w:t>և</w:t>
      </w:r>
      <w:r w:rsidRPr="003B2786">
        <w:rPr>
          <w:rFonts w:ascii="Sylfaen" w:hAnsi="Sylfaen"/>
          <w:spacing w:val="-6"/>
          <w:sz w:val="24"/>
          <w:szCs w:val="24"/>
        </w:rPr>
        <w:t xml:space="preserve"> փորձաքննության կանոնների (այսուհետ՝ Կանոններ) թիվ 7 հավելվածի ձ</w:t>
      </w:r>
      <w:r w:rsidR="00C54D75">
        <w:rPr>
          <w:rFonts w:ascii="Sylfaen" w:hAnsi="Sylfaen"/>
          <w:spacing w:val="-6"/>
          <w:sz w:val="24"/>
          <w:szCs w:val="24"/>
        </w:rPr>
        <w:t>և</w:t>
      </w:r>
      <w:r w:rsidRPr="003B2786">
        <w:rPr>
          <w:rFonts w:ascii="Sylfaen" w:hAnsi="Sylfaen"/>
          <w:spacing w:val="-6"/>
          <w:sz w:val="24"/>
          <w:szCs w:val="24"/>
        </w:rPr>
        <w:t>ի: Հաշվետվության մեջ կարելի է ներառել</w:t>
      </w:r>
      <w:r w:rsidRPr="003B2786">
        <w:rPr>
          <w:rFonts w:ascii="Sylfaen" w:hAnsi="Sylfaen"/>
          <w:sz w:val="24"/>
          <w:szCs w:val="24"/>
        </w:rPr>
        <w:t xml:space="preserve"> նա</w:t>
      </w:r>
      <w:r w:rsidR="00C54D75">
        <w:rPr>
          <w:rFonts w:ascii="Sylfaen" w:hAnsi="Sylfaen"/>
          <w:sz w:val="24"/>
          <w:szCs w:val="24"/>
        </w:rPr>
        <w:t>և</w:t>
      </w:r>
      <w:r w:rsidRPr="003B2786">
        <w:rPr>
          <w:rFonts w:ascii="Sylfaen" w:hAnsi="Sylfaen"/>
          <w:sz w:val="24"/>
          <w:szCs w:val="24"/>
        </w:rPr>
        <w:t xml:space="preserve"> դոսյեից վերցված աղյուսակներ: Ընդ որում, հարկավոր է համապատասխան տողատակի ծանոթագրություններ կատարել,</w:t>
      </w:r>
    </w:p>
    <w:p w14:paraId="6A50F1D3"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հաշվետվության մեջ ներկայացված ցանկացած տեղեկատվության աղբյուրը, օրինակ՝ դոսյեի կոնկրետ մասերը (օրինակ՝ հետազոտությունների ամփոփագիր, ռեզյումե, արձանագրություններ) հստակ նշելու համար հաշվետվության տեքստում անհրաժեշտ է օգտագործել խաչաձ</w:t>
      </w:r>
      <w:r w:rsidR="00C54D75">
        <w:rPr>
          <w:rFonts w:ascii="Sylfaen" w:hAnsi="Sylfaen"/>
          <w:sz w:val="24"/>
          <w:szCs w:val="24"/>
        </w:rPr>
        <w:t>և</w:t>
      </w:r>
      <w:r w:rsidRPr="003B2786">
        <w:rPr>
          <w:rFonts w:ascii="Sylfaen" w:hAnsi="Sylfaen"/>
          <w:sz w:val="24"/>
          <w:szCs w:val="24"/>
        </w:rPr>
        <w:t xml:space="preserve"> հղումներ, հղումներ՝ օգտագործված գրականությանը կամ այլ աղբյուրներին, </w:t>
      </w:r>
    </w:p>
    <w:p w14:paraId="3E5A26AF" w14:textId="05FCFF41"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հղումներ՝ գաղտնի </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 իմացության համար չնախատեսված տեղեկատվությանը (օրինակ՝ հղումներ՝ այլ դեղապատրաստուկի գնահատման մասին հաշվետվությանը), պետք է հստակ նշված լինեն որպես «Գաղտնի տեղեկատվություն» </w:t>
      </w:r>
      <w:r w:rsidR="00C54D75">
        <w:rPr>
          <w:rFonts w:ascii="Sylfaen" w:hAnsi="Sylfaen"/>
          <w:sz w:val="24"/>
          <w:szCs w:val="24"/>
        </w:rPr>
        <w:t>և</w:t>
      </w:r>
      <w:r w:rsidRPr="003B2786">
        <w:rPr>
          <w:rFonts w:ascii="Sylfaen" w:hAnsi="Sylfaen"/>
          <w:sz w:val="24"/>
          <w:szCs w:val="24"/>
        </w:rPr>
        <w:t xml:space="preserve"> առանձնացվեն դեղին ֆոնով: Այս բաժինները պետք է հանվեն հաշվետվությունից նախքան այն </w:t>
      </w:r>
      <w:r w:rsidR="0056496B">
        <w:rPr>
          <w:rFonts w:ascii="Sylfaen" w:hAnsi="Sylfaen"/>
          <w:sz w:val="24"/>
          <w:szCs w:val="24"/>
        </w:rPr>
        <w:t>դիմումատու</w:t>
      </w:r>
      <w:r w:rsidRPr="003B2786">
        <w:rPr>
          <w:rFonts w:ascii="Sylfaen" w:hAnsi="Sylfaen"/>
          <w:sz w:val="24"/>
          <w:szCs w:val="24"/>
        </w:rPr>
        <w:t xml:space="preserve">ին ուղարկելը, </w:t>
      </w:r>
    </w:p>
    <w:p w14:paraId="238AEB2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հապավումների </w:t>
      </w:r>
      <w:r w:rsidR="00C54D75">
        <w:rPr>
          <w:rFonts w:ascii="Sylfaen" w:hAnsi="Sylfaen"/>
          <w:sz w:val="24"/>
          <w:szCs w:val="24"/>
        </w:rPr>
        <w:t>և</w:t>
      </w:r>
      <w:r w:rsidRPr="003B2786">
        <w:rPr>
          <w:rFonts w:ascii="Sylfaen" w:hAnsi="Sylfaen"/>
          <w:sz w:val="24"/>
          <w:szCs w:val="24"/>
        </w:rPr>
        <w:t xml:space="preserve"> հղումների ցանկը ներառելու համար հաշվետվության ձ</w:t>
      </w:r>
      <w:r w:rsidR="00C54D75">
        <w:rPr>
          <w:rFonts w:ascii="Sylfaen" w:hAnsi="Sylfaen"/>
          <w:sz w:val="24"/>
          <w:szCs w:val="24"/>
        </w:rPr>
        <w:t>և</w:t>
      </w:r>
      <w:r w:rsidRPr="003B2786">
        <w:rPr>
          <w:rFonts w:ascii="Sylfaen" w:hAnsi="Sylfaen"/>
          <w:sz w:val="24"/>
          <w:szCs w:val="24"/>
        </w:rPr>
        <w:t>անմուշին ավելացվել է առանձին էջ, որը լրացվում է ըստ անհրաժեշտության,</w:t>
      </w:r>
    </w:p>
    <w:p w14:paraId="236C205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հիմնական տեքստը կազմելու համար առաջարկվող տառատեսակը՝ Times New Roman, տառաչափ 11,</w:t>
      </w:r>
    </w:p>
    <w:p w14:paraId="062290E4"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հաշվետվությունը կազմելիս հարկավոր է առաջնորդվել դեղապատրաստուկների արդյունավետության </w:t>
      </w:r>
      <w:r w:rsidR="00C54D75">
        <w:rPr>
          <w:rFonts w:ascii="Sylfaen" w:hAnsi="Sylfaen"/>
          <w:sz w:val="24"/>
          <w:szCs w:val="24"/>
        </w:rPr>
        <w:t>և</w:t>
      </w:r>
      <w:r w:rsidRPr="003B2786">
        <w:rPr>
          <w:rFonts w:ascii="Sylfaen" w:hAnsi="Sylfaen"/>
          <w:sz w:val="24"/>
          <w:szCs w:val="24"/>
        </w:rPr>
        <w:t xml:space="preserve"> անվտանգության գնահատման վերաբերյալ կիրառելի այլ փաստաթղթերով:</w:t>
      </w:r>
    </w:p>
    <w:p w14:paraId="771D2D07" w14:textId="77777777" w:rsidR="008C76E0" w:rsidRPr="003B2786" w:rsidRDefault="008C76E0" w:rsidP="008E1F21">
      <w:pPr>
        <w:spacing w:after="160" w:line="360" w:lineRule="auto"/>
        <w:ind w:left="567" w:right="565"/>
        <w:jc w:val="both"/>
        <w:rPr>
          <w:rFonts w:ascii="Sylfaen" w:hAnsi="Sylfaen"/>
          <w:sz w:val="24"/>
          <w:szCs w:val="24"/>
        </w:rPr>
      </w:pPr>
    </w:p>
    <w:p w14:paraId="35555A35" w14:textId="77777777" w:rsidR="008C76E0" w:rsidRPr="003B2786" w:rsidRDefault="008C76E0" w:rsidP="008E1F21">
      <w:pPr>
        <w:spacing w:after="160" w:line="360" w:lineRule="auto"/>
        <w:ind w:left="567" w:right="565"/>
        <w:jc w:val="center"/>
        <w:rPr>
          <w:rFonts w:ascii="Sylfaen" w:hAnsi="Sylfaen"/>
          <w:sz w:val="24"/>
          <w:szCs w:val="24"/>
        </w:rPr>
      </w:pPr>
      <w:r w:rsidRPr="003B2786">
        <w:rPr>
          <w:rFonts w:ascii="Sylfaen" w:hAnsi="Sylfaen"/>
          <w:sz w:val="24"/>
          <w:szCs w:val="24"/>
        </w:rPr>
        <w:t>II. Կլինիկական ասպեկտների կրիտիկական գնահատում</w:t>
      </w:r>
    </w:p>
    <w:p w14:paraId="2672760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Հաշվետվության յուրաքանչյուր բաժնում պետք է համառոտ շարադրվեն գրանցման դոսյեի 5-րդ մոդուլում ներկայացված տվյալները՝ հաշվի առնելով գրանցման դոսյեի 4-րդ մոդուլի փոխկապակցված հարցերը:</w:t>
      </w:r>
    </w:p>
    <w:p w14:paraId="10279F8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յուրաքանչյուր հիմնական բաժին պետք է պարունակի Կանոնների թիվ 1 հավելվածին համապատասխան ներկայացված տվյալներ: Յուրաքանչյուր բաժնում նկարագրվող հետազոտությունների տեսակները պետք է նշվեն պարբերությունների (կետերի, բաժինների) բոլոր համարներով, ինչպես նշված է Կանոնների թիվ 1 հավելվածում: Հիմնական </w:t>
      </w:r>
      <w:r w:rsidR="00C54D75">
        <w:rPr>
          <w:rFonts w:ascii="Sylfaen" w:hAnsi="Sylfaen"/>
          <w:sz w:val="24"/>
          <w:szCs w:val="24"/>
        </w:rPr>
        <w:t>և</w:t>
      </w:r>
      <w:r w:rsidRPr="003B2786">
        <w:rPr>
          <w:rFonts w:ascii="Sylfaen" w:hAnsi="Sylfaen"/>
          <w:sz w:val="24"/>
          <w:szCs w:val="24"/>
        </w:rPr>
        <w:t xml:space="preserve"> օժանդակ արդյունքներն </w:t>
      </w:r>
      <w:r w:rsidRPr="003B2786">
        <w:rPr>
          <w:rFonts w:ascii="Sylfaen" w:hAnsi="Sylfaen"/>
          <w:sz w:val="24"/>
          <w:szCs w:val="24"/>
        </w:rPr>
        <w:lastRenderedPageBreak/>
        <w:t>առանձնացնելուց հետո հետազոտությունների յուրաքանչյուր տարատեսակի մասով անհրաժեշտ է գնահատել՝ արդյոք հիմնական արդյունքները ներկայացված են անցկացված կլինիկական հետազոտությունների վերաբերյալ սեփական հաշվետվություններով («սկզբնական տվյալներ»), մատենագիտական հղումներով, դրանց համակցություններով, թե այդպիսի տվյալները բացակայում են:</w:t>
      </w:r>
    </w:p>
    <w:p w14:paraId="5B209AFE" w14:textId="02469AA8"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Եթե </w:t>
      </w:r>
      <w:r w:rsidR="0056496B">
        <w:rPr>
          <w:rFonts w:ascii="Sylfaen" w:hAnsi="Sylfaen"/>
          <w:sz w:val="24"/>
          <w:szCs w:val="24"/>
        </w:rPr>
        <w:t>դիմումատու</w:t>
      </w:r>
      <w:r w:rsidRPr="003B2786">
        <w:rPr>
          <w:rFonts w:ascii="Sylfaen" w:hAnsi="Sylfaen"/>
          <w:sz w:val="24"/>
          <w:szCs w:val="24"/>
        </w:rPr>
        <w:t>ն օգտագործում է տվյալներ գիտական հրապարակումներից, կամ այդպիսի տվյալները կիրառվում են հաշվետվության համատեքստում, ապա անհրաժեշտ է նշել հղումներ, որոնք թույլ են տալիս հստակ նույնականացնել յուրաքանչյուր հրապարակում: Հարկ է դիտարկել գրականության ցանկ կազմելու հնարավորությունը, եթե հաշվետվության մեջ օգտագործվում են մեծ թվով հղումներ: Անհրաժեշտության դեպքում հարկավոր է ճշգրիտ ձ</w:t>
      </w:r>
      <w:r w:rsidR="00C54D75">
        <w:rPr>
          <w:rFonts w:ascii="Sylfaen" w:hAnsi="Sylfaen"/>
          <w:sz w:val="24"/>
          <w:szCs w:val="24"/>
        </w:rPr>
        <w:t>և</w:t>
      </w:r>
      <w:r w:rsidRPr="003B2786">
        <w:rPr>
          <w:rFonts w:ascii="Sylfaen" w:hAnsi="Sylfaen"/>
          <w:sz w:val="24"/>
          <w:szCs w:val="24"/>
        </w:rPr>
        <w:t>ակերպել հրապարակման վերաբերյալ փորձագետի կարծիքը (օրինակ՝ եթե հոդվածն օգտագործվում է ոչ միայն որպես հղում տվյալներին, այլ նա</w:t>
      </w:r>
      <w:r w:rsidR="00C54D75">
        <w:rPr>
          <w:rFonts w:ascii="Sylfaen" w:hAnsi="Sylfaen"/>
          <w:sz w:val="24"/>
          <w:szCs w:val="24"/>
        </w:rPr>
        <w:t>և</w:t>
      </w:r>
      <w:r w:rsidRPr="003B2786">
        <w:rPr>
          <w:rFonts w:ascii="Sylfaen" w:hAnsi="Sylfaen"/>
          <w:sz w:val="24"/>
          <w:szCs w:val="24"/>
        </w:rPr>
        <w:t xml:space="preserve"> քննարկման համատեքստում):</w:t>
      </w:r>
    </w:p>
    <w:p w14:paraId="0CE6FA03"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z w:val="24"/>
          <w:szCs w:val="24"/>
        </w:rPr>
        <w:t>Հարկավոր է գնահատել որ</w:t>
      </w:r>
      <w:r w:rsidR="00C54D75">
        <w:rPr>
          <w:rFonts w:ascii="Sylfaen" w:hAnsi="Sylfaen"/>
          <w:sz w:val="24"/>
          <w:szCs w:val="24"/>
        </w:rPr>
        <w:t>և</w:t>
      </w:r>
      <w:r w:rsidRPr="003B2786">
        <w:rPr>
          <w:rFonts w:ascii="Sylfaen" w:hAnsi="Sylfaen"/>
          <w:sz w:val="24"/>
          <w:szCs w:val="24"/>
        </w:rPr>
        <w:t>է պահանջի չհամապատասխանելու հիմնավորումների ընդունելիության աստիճանը: Մասնավորապես, պետք է հիմնավորվի նախակլինիկական (կլինիկական) հետազոտությունների որոշակի տվյալների բացակայությունը կամ հիմնական հետազոտությունների սկզբնական տվյալները իրենցով մասնակի կամ ամբողջապես փոխարինող մատենագիտական հղումների օգտագործումը: Հետագա ցուցումները տե՛ս «Անվտանգության, որակի, արդյունավետության գնահատում» մեթոդական փաստաթղթում (ձ</w:t>
      </w:r>
      <w:r w:rsidR="00C54D75">
        <w:rPr>
          <w:rFonts w:ascii="Sylfaen" w:hAnsi="Sylfaen"/>
          <w:sz w:val="24"/>
          <w:szCs w:val="24"/>
        </w:rPr>
        <w:t>և</w:t>
      </w:r>
      <w:r w:rsidRPr="003B2786">
        <w:rPr>
          <w:rFonts w:ascii="Sylfaen" w:hAnsi="Sylfaen"/>
          <w:sz w:val="24"/>
          <w:szCs w:val="24"/>
        </w:rPr>
        <w:t>անմուշում):</w:t>
      </w:r>
    </w:p>
    <w:p w14:paraId="1412029C" w14:textId="77777777" w:rsidR="008C76E0" w:rsidRPr="003B2786" w:rsidRDefault="008C76E0" w:rsidP="009C58BE">
      <w:pPr>
        <w:spacing w:after="160" w:line="384" w:lineRule="auto"/>
        <w:ind w:firstLine="567"/>
        <w:jc w:val="center"/>
        <w:rPr>
          <w:rFonts w:ascii="Sylfaen" w:hAnsi="Sylfaen"/>
          <w:sz w:val="24"/>
          <w:szCs w:val="24"/>
        </w:rPr>
      </w:pPr>
    </w:p>
    <w:p w14:paraId="11FAD305" w14:textId="77777777" w:rsidR="008C76E0" w:rsidRPr="003B2786" w:rsidRDefault="008C76E0" w:rsidP="008E1F21">
      <w:pPr>
        <w:tabs>
          <w:tab w:val="left" w:pos="1418"/>
        </w:tabs>
        <w:spacing w:after="160" w:line="360" w:lineRule="auto"/>
        <w:ind w:firstLine="567"/>
        <w:jc w:val="center"/>
        <w:rPr>
          <w:rFonts w:ascii="Sylfaen" w:hAnsi="Sylfaen"/>
          <w:sz w:val="24"/>
          <w:szCs w:val="24"/>
        </w:rPr>
      </w:pPr>
      <w:r w:rsidRPr="003B2786">
        <w:rPr>
          <w:rFonts w:ascii="Sylfaen" w:hAnsi="Sylfaen"/>
          <w:sz w:val="24"/>
          <w:szCs w:val="24"/>
        </w:rPr>
        <w:t>1. Ներածություն:</w:t>
      </w:r>
    </w:p>
    <w:p w14:paraId="5E7E3112" w14:textId="6B43D806" w:rsidR="008C76E0" w:rsidRPr="003B2786" w:rsidRDefault="008C76E0" w:rsidP="008E1F2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r>
      <w:r w:rsidR="0056496B">
        <w:rPr>
          <w:rFonts w:ascii="Sylfaen" w:hAnsi="Sylfaen"/>
          <w:sz w:val="24"/>
          <w:szCs w:val="24"/>
        </w:rPr>
        <w:t>Դիմում</w:t>
      </w:r>
      <w:r w:rsidRPr="003B2786">
        <w:rPr>
          <w:rFonts w:ascii="Sylfaen" w:hAnsi="Sylfaen"/>
          <w:sz w:val="24"/>
          <w:szCs w:val="24"/>
        </w:rPr>
        <w:t xml:space="preserve">ի տեսակը </w:t>
      </w:r>
      <w:r w:rsidR="00C54D75">
        <w:rPr>
          <w:rFonts w:ascii="Sylfaen" w:hAnsi="Sylfaen"/>
          <w:sz w:val="24"/>
          <w:szCs w:val="24"/>
        </w:rPr>
        <w:t>և</w:t>
      </w:r>
      <w:r w:rsidRPr="003B2786">
        <w:rPr>
          <w:rFonts w:ascii="Sylfaen" w:hAnsi="Sylfaen"/>
          <w:sz w:val="24"/>
          <w:szCs w:val="24"/>
        </w:rPr>
        <w:t xml:space="preserve"> մշակման ասպեկտները:</w:t>
      </w:r>
    </w:p>
    <w:p w14:paraId="2A2D599B" w14:textId="74147DD9"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1.1.1.</w:t>
      </w:r>
      <w:r w:rsidRPr="003B2786">
        <w:rPr>
          <w:rFonts w:ascii="Sylfaen" w:hAnsi="Sylfaen"/>
          <w:sz w:val="24"/>
          <w:szCs w:val="24"/>
        </w:rPr>
        <w:tab/>
      </w:r>
      <w:r w:rsidR="0056496B">
        <w:rPr>
          <w:rFonts w:ascii="Sylfaen" w:hAnsi="Sylfaen"/>
          <w:sz w:val="24"/>
          <w:szCs w:val="24"/>
        </w:rPr>
        <w:t>Դիմում</w:t>
      </w:r>
      <w:r w:rsidRPr="003B2786">
        <w:rPr>
          <w:rFonts w:ascii="Sylfaen" w:hAnsi="Sylfaen"/>
          <w:sz w:val="24"/>
          <w:szCs w:val="24"/>
        </w:rPr>
        <w:t>ի տեսակը:</w:t>
      </w:r>
    </w:p>
    <w:p w14:paraId="28D34F86" w14:textId="5C3DAF92"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Նշե՛ք գրանցման </w:t>
      </w:r>
      <w:r w:rsidR="0056496B">
        <w:rPr>
          <w:rFonts w:ascii="Sylfaen" w:hAnsi="Sylfaen"/>
          <w:sz w:val="24"/>
          <w:szCs w:val="24"/>
        </w:rPr>
        <w:t>դիմում</w:t>
      </w:r>
      <w:r w:rsidRPr="003B2786">
        <w:rPr>
          <w:rFonts w:ascii="Sylfaen" w:hAnsi="Sylfaen"/>
          <w:sz w:val="24"/>
          <w:szCs w:val="24"/>
        </w:rPr>
        <w:t xml:space="preserve">ի տեսակը (հղում </w:t>
      </w:r>
      <w:r w:rsidR="0056496B">
        <w:rPr>
          <w:rFonts w:ascii="Sylfaen" w:hAnsi="Sylfaen"/>
          <w:sz w:val="24"/>
          <w:szCs w:val="24"/>
        </w:rPr>
        <w:t>դիմում</w:t>
      </w:r>
      <w:r w:rsidRPr="003B2786">
        <w:rPr>
          <w:rFonts w:ascii="Sylfaen" w:hAnsi="Sylfaen"/>
          <w:sz w:val="24"/>
          <w:szCs w:val="24"/>
        </w:rPr>
        <w:t xml:space="preserve">ի իրավական </w:t>
      </w:r>
      <w:r w:rsidRPr="003B2786">
        <w:rPr>
          <w:rFonts w:ascii="Sylfaen" w:hAnsi="Sylfaen"/>
          <w:sz w:val="24"/>
          <w:szCs w:val="24"/>
        </w:rPr>
        <w:lastRenderedPageBreak/>
        <w:t xml:space="preserve">հիմնավորմանը), օրինակ՝ օրիգինալ դեղապատրաստուկի </w:t>
      </w:r>
      <w:r w:rsidR="0056496B">
        <w:rPr>
          <w:rFonts w:ascii="Sylfaen" w:hAnsi="Sylfaen"/>
          <w:sz w:val="24"/>
          <w:szCs w:val="24"/>
        </w:rPr>
        <w:t>դիմում</w:t>
      </w:r>
      <w:r w:rsidRPr="003B2786">
        <w:rPr>
          <w:rFonts w:ascii="Sylfaen" w:hAnsi="Sylfaen"/>
          <w:sz w:val="24"/>
          <w:szCs w:val="24"/>
        </w:rPr>
        <w:t xml:space="preserve">, սեփական </w:t>
      </w:r>
      <w:r w:rsidR="00C54D75">
        <w:rPr>
          <w:rFonts w:ascii="Sylfaen" w:hAnsi="Sylfaen"/>
          <w:sz w:val="24"/>
          <w:szCs w:val="24"/>
        </w:rPr>
        <w:t>և</w:t>
      </w:r>
      <w:r w:rsidRPr="003B2786">
        <w:rPr>
          <w:rFonts w:ascii="Sylfaen" w:hAnsi="Sylfaen"/>
          <w:sz w:val="24"/>
          <w:szCs w:val="24"/>
        </w:rPr>
        <w:t xml:space="preserve"> կողմնակի տվյալների բանաքաղության վրա հիմնված </w:t>
      </w:r>
      <w:r w:rsidR="0056496B">
        <w:rPr>
          <w:rFonts w:ascii="Sylfaen" w:hAnsi="Sylfaen"/>
          <w:sz w:val="24"/>
          <w:szCs w:val="24"/>
        </w:rPr>
        <w:t>դիմում</w:t>
      </w:r>
      <w:r w:rsidRPr="003B2786">
        <w:rPr>
          <w:rFonts w:ascii="Sylfaen" w:hAnsi="Sylfaen"/>
          <w:sz w:val="24"/>
          <w:szCs w:val="24"/>
        </w:rPr>
        <w:t xml:space="preserve">, համընդհանուր կիրառման վրա հիմնված </w:t>
      </w:r>
      <w:r w:rsidR="0056496B">
        <w:rPr>
          <w:rFonts w:ascii="Sylfaen" w:hAnsi="Sylfaen"/>
          <w:sz w:val="24"/>
          <w:szCs w:val="24"/>
        </w:rPr>
        <w:t>դիմում</w:t>
      </w:r>
      <w:r w:rsidRPr="003B2786">
        <w:rPr>
          <w:rFonts w:ascii="Sylfaen" w:hAnsi="Sylfaen"/>
          <w:sz w:val="24"/>
          <w:szCs w:val="24"/>
        </w:rPr>
        <w:t xml:space="preserve">, կենսաբանական պատրաստուկի </w:t>
      </w:r>
      <w:r w:rsidR="0056496B">
        <w:rPr>
          <w:rFonts w:ascii="Sylfaen" w:hAnsi="Sylfaen"/>
          <w:sz w:val="24"/>
          <w:szCs w:val="24"/>
        </w:rPr>
        <w:t>դիմում</w:t>
      </w:r>
      <w:r w:rsidRPr="003B2786">
        <w:rPr>
          <w:rFonts w:ascii="Sylfaen" w:hAnsi="Sylfaen"/>
          <w:sz w:val="24"/>
          <w:szCs w:val="24"/>
        </w:rPr>
        <w:t xml:space="preserve"> </w:t>
      </w:r>
      <w:r w:rsidR="00C54D75">
        <w:rPr>
          <w:rFonts w:ascii="Sylfaen" w:hAnsi="Sylfaen"/>
          <w:sz w:val="24"/>
          <w:szCs w:val="24"/>
        </w:rPr>
        <w:t>և</w:t>
      </w:r>
      <w:r w:rsidRPr="003B2786">
        <w:rPr>
          <w:rFonts w:ascii="Sylfaen" w:hAnsi="Sylfaen"/>
          <w:sz w:val="24"/>
          <w:szCs w:val="24"/>
        </w:rPr>
        <w:t xml:space="preserve"> այլն, ինչպես նա</w:t>
      </w:r>
      <w:r w:rsidR="00C54D75">
        <w:rPr>
          <w:rFonts w:ascii="Sylfaen" w:hAnsi="Sylfaen"/>
          <w:sz w:val="24"/>
          <w:szCs w:val="24"/>
        </w:rPr>
        <w:t>և</w:t>
      </w:r>
      <w:r w:rsidRPr="003B2786">
        <w:rPr>
          <w:rFonts w:ascii="Sylfaen" w:hAnsi="Sylfaen"/>
          <w:sz w:val="24"/>
          <w:szCs w:val="24"/>
        </w:rPr>
        <w:t xml:space="preserve"> ճշտե՛ք որոշակի հետազոտություններից հրաժարվելու կամ օրիգինալ հետազոտությունները գրական աղբյուրներից ստացված տվյալներով փոխարինելու համար ընդունելի հիմնավորումների առկայությունը: Եթե որ</w:t>
      </w:r>
      <w:r w:rsidR="00C54D75">
        <w:rPr>
          <w:rFonts w:ascii="Sylfaen" w:hAnsi="Sylfaen"/>
          <w:sz w:val="24"/>
          <w:szCs w:val="24"/>
        </w:rPr>
        <w:t>և</w:t>
      </w:r>
      <w:r w:rsidRPr="003B2786">
        <w:rPr>
          <w:rFonts w:ascii="Sylfaen" w:hAnsi="Sylfaen"/>
          <w:sz w:val="24"/>
          <w:szCs w:val="24"/>
        </w:rPr>
        <w:t>է հետազոտություն գոյություն ունի միայն հրապարակման ձ</w:t>
      </w:r>
      <w:r w:rsidR="00C54D75">
        <w:rPr>
          <w:rFonts w:ascii="Sylfaen" w:hAnsi="Sylfaen"/>
          <w:sz w:val="24"/>
          <w:szCs w:val="24"/>
        </w:rPr>
        <w:t>և</w:t>
      </w:r>
      <w:r w:rsidRPr="003B2786">
        <w:rPr>
          <w:rFonts w:ascii="Sylfaen" w:hAnsi="Sylfaen"/>
          <w:sz w:val="24"/>
          <w:szCs w:val="24"/>
        </w:rPr>
        <w:t>ով, ապա կար</w:t>
      </w:r>
      <w:r w:rsidR="00C54D75">
        <w:rPr>
          <w:rFonts w:ascii="Sylfaen" w:hAnsi="Sylfaen"/>
          <w:sz w:val="24"/>
          <w:szCs w:val="24"/>
        </w:rPr>
        <w:t>և</w:t>
      </w:r>
      <w:r w:rsidRPr="003B2786">
        <w:rPr>
          <w:rFonts w:ascii="Sylfaen" w:hAnsi="Sylfaen"/>
          <w:sz w:val="24"/>
          <w:szCs w:val="24"/>
        </w:rPr>
        <w:t>որ է ճշտել, թե արդյոք այն ունի բավարար որակ առավել կրիտիկական տվյալների համակողմանի վերլուծություն անցկացնելու հնարավորության համար:</w:t>
      </w:r>
    </w:p>
    <w:p w14:paraId="4D9E94B5" w14:textId="16A66A6C"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Հարկավոր է նշել նա</w:t>
      </w:r>
      <w:r w:rsidR="00C54D75">
        <w:rPr>
          <w:rFonts w:ascii="Sylfaen" w:hAnsi="Sylfaen"/>
          <w:sz w:val="24"/>
          <w:szCs w:val="24"/>
        </w:rPr>
        <w:t>և</w:t>
      </w:r>
      <w:r w:rsidRPr="003B2786">
        <w:rPr>
          <w:rFonts w:ascii="Sylfaen" w:hAnsi="Sylfaen"/>
          <w:sz w:val="24"/>
          <w:szCs w:val="24"/>
        </w:rPr>
        <w:t xml:space="preserve">, որ գրանցման </w:t>
      </w:r>
      <w:r w:rsidR="0056496B">
        <w:rPr>
          <w:rFonts w:ascii="Sylfaen" w:hAnsi="Sylfaen"/>
          <w:sz w:val="24"/>
          <w:szCs w:val="24"/>
        </w:rPr>
        <w:t>դիմում</w:t>
      </w:r>
      <w:r w:rsidRPr="003B2786">
        <w:rPr>
          <w:rFonts w:ascii="Sylfaen" w:hAnsi="Sylfaen"/>
          <w:sz w:val="24"/>
          <w:szCs w:val="24"/>
        </w:rPr>
        <w:t xml:space="preserve"> ներկայացնելիս </w:t>
      </w:r>
      <w:r w:rsidR="0056496B">
        <w:rPr>
          <w:rFonts w:ascii="Sylfaen" w:hAnsi="Sylfaen"/>
          <w:sz w:val="24"/>
          <w:szCs w:val="24"/>
        </w:rPr>
        <w:t>դիմումատու</w:t>
      </w:r>
      <w:r w:rsidRPr="003B2786">
        <w:rPr>
          <w:rFonts w:ascii="Sylfaen" w:hAnsi="Sylfaen"/>
          <w:sz w:val="24"/>
          <w:szCs w:val="24"/>
        </w:rPr>
        <w:t xml:space="preserve">ն, հատուկ պայմաններ ներկայացնելով կամ բացառիկ դեպքի չափորոշչի կիրառումը հաշվի առնելով, գրանցում է պահանջել (կամ նշել, որ գրանցման այդպիսի տարբերակներն առաջարկվում են հենց փորձագետի կողմից): </w:t>
      </w:r>
      <w:r w:rsidR="0056496B">
        <w:rPr>
          <w:rFonts w:ascii="Sylfaen" w:hAnsi="Sylfaen"/>
          <w:sz w:val="24"/>
          <w:szCs w:val="24"/>
        </w:rPr>
        <w:t>Դիմում</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գրանցման դոսյեի՝ կիրառվող չափորոշիչներին համապատասխանելու վերաբերյալ եզրակացությունը սույն հաշվետվության անքակտելի մասն է:</w:t>
      </w:r>
    </w:p>
    <w:p w14:paraId="57BBB31A" w14:textId="0AA34812" w:rsidR="008C76E0" w:rsidRPr="003B2786" w:rsidRDefault="008C76E0" w:rsidP="00F97BCA">
      <w:pPr>
        <w:spacing w:after="160" w:line="336" w:lineRule="auto"/>
        <w:ind w:firstLine="567"/>
        <w:jc w:val="both"/>
        <w:rPr>
          <w:rFonts w:ascii="Sylfaen" w:hAnsi="Sylfaen"/>
          <w:sz w:val="24"/>
          <w:szCs w:val="24"/>
        </w:rPr>
      </w:pPr>
      <w:r w:rsidRPr="003B2786">
        <w:rPr>
          <w:rFonts w:ascii="Sylfaen" w:hAnsi="Sylfaen"/>
          <w:sz w:val="24"/>
          <w:szCs w:val="24"/>
        </w:rPr>
        <w:t xml:space="preserve">Պայմանական գրանցման մասով փորձագետը պետք է գնահատի </w:t>
      </w:r>
      <w:r w:rsidR="0056496B">
        <w:rPr>
          <w:rFonts w:ascii="Sylfaen" w:hAnsi="Sylfaen"/>
          <w:sz w:val="24"/>
          <w:szCs w:val="24"/>
        </w:rPr>
        <w:t>դիմումատու</w:t>
      </w:r>
      <w:r w:rsidRPr="003B2786">
        <w:rPr>
          <w:rFonts w:ascii="Sylfaen" w:hAnsi="Sylfaen"/>
          <w:sz w:val="24"/>
          <w:szCs w:val="24"/>
        </w:rPr>
        <w:t>ի կողմից առաջարկված հիմքերի հիմնավորվածության աստիճանը՝ Կանոններին համապատասխան: Հարկավոր է ուշադրություն դարձնել հետ</w:t>
      </w:r>
      <w:r w:rsidR="00C54D75">
        <w:rPr>
          <w:rFonts w:ascii="Sylfaen" w:hAnsi="Sylfaen"/>
          <w:sz w:val="24"/>
          <w:szCs w:val="24"/>
        </w:rPr>
        <w:t>և</w:t>
      </w:r>
      <w:r w:rsidRPr="003B2786">
        <w:rPr>
          <w:rFonts w:ascii="Sylfaen" w:hAnsi="Sylfaen"/>
          <w:sz w:val="24"/>
          <w:szCs w:val="24"/>
        </w:rPr>
        <w:t xml:space="preserve">յալին՝ դեղապատրաստուկի կիրառմանը լուրջ (կյանքին սպառնացող) հիվանդության բուժման համար, դրա կիրառմանը կյանքին սպառնացող </w:t>
      </w:r>
      <w:r w:rsidR="00C54D75">
        <w:rPr>
          <w:rFonts w:ascii="Sylfaen" w:hAnsi="Sylfaen"/>
          <w:sz w:val="24"/>
          <w:szCs w:val="24"/>
        </w:rPr>
        <w:t>և</w:t>
      </w:r>
      <w:r w:rsidRPr="003B2786">
        <w:rPr>
          <w:rFonts w:ascii="Sylfaen" w:hAnsi="Sylfaen"/>
          <w:sz w:val="24"/>
          <w:szCs w:val="24"/>
        </w:rPr>
        <w:t xml:space="preserve"> անհետաձգելի օգնություն պահանջող հիվանդությունների դեպքում, դեղապատրաստուկն ունի ընդգծված ազդեցություն կյանքին սպառնացող (հաշմանդամության հանգեցնող) հազվադեպ հիվանդությունների դեպքում </w:t>
      </w:r>
      <w:r w:rsidR="00C54D75">
        <w:rPr>
          <w:rFonts w:ascii="Sylfaen" w:hAnsi="Sylfaen"/>
          <w:sz w:val="24"/>
          <w:szCs w:val="24"/>
        </w:rPr>
        <w:t>և</w:t>
      </w:r>
      <w:r w:rsidRPr="003B2786">
        <w:rPr>
          <w:rFonts w:ascii="Sylfaen" w:hAnsi="Sylfaen"/>
          <w:sz w:val="24"/>
          <w:szCs w:val="24"/>
        </w:rPr>
        <w:t xml:space="preserve"> ունի օգուտ-ռիսկ դրական հարաբերակցություն: Ընդ որում, հարկավոր է հաշվի առնել բժշկական անհրաժեշտությունը </w:t>
      </w:r>
      <w:r w:rsidR="00C54D75">
        <w:rPr>
          <w:rFonts w:ascii="Sylfaen" w:hAnsi="Sylfaen"/>
          <w:sz w:val="24"/>
          <w:szCs w:val="24"/>
        </w:rPr>
        <w:t>և</w:t>
      </w:r>
      <w:r w:rsidRPr="003B2786">
        <w:rPr>
          <w:rFonts w:ascii="Sylfaen" w:hAnsi="Sylfaen"/>
          <w:sz w:val="24"/>
          <w:szCs w:val="24"/>
        </w:rPr>
        <w:t xml:space="preserve"> այն փաստը, թե արդյոք տվյալ դեղապատրաստուկի լայն կիրառման փաստը կգերազանցի առկա ռիսկերը: Պայմանական գրանցումը թույլատրվում է մինչ հաջորդ հետագա հետազոտությունների արդյունքները ստանալը օգուտ-ռիսկ հարաբերակցության դրական գնահատականի պայմանով:</w:t>
      </w:r>
    </w:p>
    <w:p w14:paraId="56D2D3F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մեկնաբանել դեղապատրաստուկի գրանցումից հետո այդպիսի </w:t>
      </w:r>
      <w:r w:rsidRPr="003B2786">
        <w:rPr>
          <w:rFonts w:ascii="Sylfaen" w:hAnsi="Sylfaen"/>
          <w:sz w:val="24"/>
          <w:szCs w:val="24"/>
        </w:rPr>
        <w:lastRenderedPageBreak/>
        <w:t>հետազոտություններ անցկացնելու նպատակահարմարությունը:</w:t>
      </w:r>
    </w:p>
    <w:p w14:paraId="711BB886" w14:textId="79F7E1F5"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Բացառիկ դեպքերում գրանցման հնարավորությունը դիտարկելիս փորձագետը պետք է գնահատի </w:t>
      </w:r>
      <w:r w:rsidR="0056496B">
        <w:rPr>
          <w:rFonts w:ascii="Sylfaen" w:hAnsi="Sylfaen"/>
          <w:sz w:val="24"/>
          <w:szCs w:val="24"/>
        </w:rPr>
        <w:t>դիմումատու</w:t>
      </w:r>
      <w:r w:rsidRPr="003B2786">
        <w:rPr>
          <w:rFonts w:ascii="Sylfaen" w:hAnsi="Sylfaen"/>
          <w:sz w:val="24"/>
          <w:szCs w:val="24"/>
        </w:rPr>
        <w:t xml:space="preserve">ի կողմից ներկայացված հիմքերի հիմնավորվածությունը: Բացառիկ դեպքերում գրանցման թույլտվություն տալը չի նախատեսում արդյունավետության </w:t>
      </w:r>
      <w:r w:rsidR="00C54D75">
        <w:rPr>
          <w:rFonts w:ascii="Sylfaen" w:hAnsi="Sylfaen"/>
          <w:sz w:val="24"/>
          <w:szCs w:val="24"/>
        </w:rPr>
        <w:t>և</w:t>
      </w:r>
      <w:r w:rsidRPr="003B2786">
        <w:rPr>
          <w:rFonts w:ascii="Sylfaen" w:hAnsi="Sylfaen"/>
          <w:sz w:val="24"/>
          <w:szCs w:val="24"/>
        </w:rPr>
        <w:t xml:space="preserve"> անվտանգության վերաբերյալ </w:t>
      </w:r>
      <w:r w:rsidR="0056496B">
        <w:rPr>
          <w:rFonts w:ascii="Sylfaen" w:hAnsi="Sylfaen"/>
          <w:sz w:val="24"/>
          <w:szCs w:val="24"/>
        </w:rPr>
        <w:t>դիմումատու</w:t>
      </w:r>
      <w:r w:rsidRPr="003B2786">
        <w:rPr>
          <w:rFonts w:ascii="Sylfaen" w:hAnsi="Sylfaen"/>
          <w:sz w:val="24"/>
          <w:szCs w:val="24"/>
        </w:rPr>
        <w:t xml:space="preserve">ի կողմից սպառիչ տվյալներ պարտադիր ներկայացնելու հնարավորություն: Այդ իսկ պատճառով հարկավոր է մեկնաբանել սույն </w:t>
      </w:r>
      <w:r w:rsidR="0056496B">
        <w:rPr>
          <w:rFonts w:ascii="Sylfaen" w:hAnsi="Sylfaen"/>
          <w:sz w:val="24"/>
          <w:szCs w:val="24"/>
        </w:rPr>
        <w:t>դիմում</w:t>
      </w:r>
      <w:r w:rsidRPr="003B2786">
        <w:rPr>
          <w:rFonts w:ascii="Sylfaen" w:hAnsi="Sylfaen"/>
          <w:sz w:val="24"/>
          <w:szCs w:val="24"/>
        </w:rPr>
        <w:t>ի կար</w:t>
      </w:r>
      <w:r w:rsidR="00C54D75">
        <w:rPr>
          <w:rFonts w:ascii="Sylfaen" w:hAnsi="Sylfaen"/>
          <w:sz w:val="24"/>
          <w:szCs w:val="24"/>
        </w:rPr>
        <w:t>և</w:t>
      </w:r>
      <w:r w:rsidRPr="003B2786">
        <w:rPr>
          <w:rFonts w:ascii="Sylfaen" w:hAnsi="Sylfaen"/>
          <w:sz w:val="24"/>
          <w:szCs w:val="24"/>
        </w:rPr>
        <w:t xml:space="preserve">որ ասպեկտները (հիվանդության հազվադեպություն, էթիկական ասպեկտներ, պատրաստուկի գիտական ուսումասիրվածության փուլ) </w:t>
      </w:r>
      <w:r w:rsidR="00C54D75">
        <w:rPr>
          <w:rFonts w:ascii="Sylfaen" w:hAnsi="Sylfaen"/>
          <w:sz w:val="24"/>
          <w:szCs w:val="24"/>
        </w:rPr>
        <w:t>և</w:t>
      </w:r>
      <w:r w:rsidRPr="003B2786">
        <w:rPr>
          <w:rFonts w:ascii="Sylfaen" w:hAnsi="Sylfaen"/>
          <w:sz w:val="24"/>
          <w:szCs w:val="24"/>
        </w:rPr>
        <w:t xml:space="preserve"> կոնկրետ պարտավորությունների (գործընթացների) տեսակները, որոնց կատարումը կարող է պահանջվել գրանցման հավաստագրի իրավատիրոջից հետգրանցումային ժամանակահատվածում:</w:t>
      </w:r>
    </w:p>
    <w:p w14:paraId="4F82D32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1.1.2.</w:t>
      </w:r>
      <w:r w:rsidRPr="003B2786">
        <w:rPr>
          <w:rFonts w:ascii="Sylfaen" w:hAnsi="Sylfaen"/>
          <w:sz w:val="24"/>
          <w:szCs w:val="24"/>
        </w:rPr>
        <w:tab/>
        <w:t>Կենսահամանման (կենսանման) դեղապատրաստուկներ:</w:t>
      </w:r>
    </w:p>
    <w:p w14:paraId="68EC782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«Կենսահամատեղելիության հետազոտության» առանձին դեպքերում փորձագետից կարող է պահանջվել նկարագրել ընկերության կողմից ընտրված մշակման ռազմավարությունը՝ դրա վերլուծությամբ </w:t>
      </w:r>
      <w:r w:rsidR="00C54D75">
        <w:rPr>
          <w:rFonts w:ascii="Sylfaen" w:hAnsi="Sylfaen"/>
          <w:sz w:val="24"/>
          <w:szCs w:val="24"/>
        </w:rPr>
        <w:t>և</w:t>
      </w:r>
      <w:r w:rsidRPr="003B2786">
        <w:rPr>
          <w:rFonts w:ascii="Sylfaen" w:hAnsi="Sylfaen"/>
          <w:sz w:val="24"/>
          <w:szCs w:val="24"/>
        </w:rPr>
        <w:t xml:space="preserve"> հիմնավորվածության գնահատմամբ՝ հաշվի առնելով Եվրասիական տնտեսական հանձնաժողովի կողմից հաստատվող՝ Եվրասիական տնտեսական միության շրջանակներում Կենսաբանական դեղամիջոցների հետազոտության կանոնները:</w:t>
      </w:r>
    </w:p>
    <w:p w14:paraId="52C983D2"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դեղապատրաստուկների գրանցման դոսյեների փորձաքննության մասով հարկավոր է առաջնորդվել Կանոնների թիվ 1 հավելվածով </w:t>
      </w:r>
      <w:r w:rsidR="00C54D75">
        <w:rPr>
          <w:rFonts w:ascii="Sylfaen" w:hAnsi="Sylfaen"/>
          <w:sz w:val="24"/>
          <w:szCs w:val="24"/>
        </w:rPr>
        <w:t>և</w:t>
      </w:r>
      <w:r w:rsidRPr="003B2786">
        <w:rPr>
          <w:rFonts w:ascii="Sylfaen" w:hAnsi="Sylfaen"/>
          <w:sz w:val="24"/>
          <w:szCs w:val="24"/>
        </w:rPr>
        <w:t xml:space="preserve"> Եվրասիական տնտեսական հանձնաժողովի կողմից հաստատվող՝ Եվրասիական տնտեսական միության շրջանակներում Կենսաբանական դեղամիջոցների հետազոտության կանոններով:</w:t>
      </w:r>
    </w:p>
    <w:p w14:paraId="17D2F67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ուշադրություն դարձնել դեղապատրաստուկի </w:t>
      </w:r>
      <w:r w:rsidR="00C54D75">
        <w:rPr>
          <w:rFonts w:ascii="Sylfaen" w:hAnsi="Sylfaen"/>
          <w:sz w:val="24"/>
          <w:szCs w:val="24"/>
        </w:rPr>
        <w:t>և</w:t>
      </w:r>
      <w:r w:rsidRPr="003B2786">
        <w:rPr>
          <w:rFonts w:ascii="Sylfaen" w:hAnsi="Sylfaen"/>
          <w:sz w:val="24"/>
          <w:szCs w:val="24"/>
        </w:rPr>
        <w:t xml:space="preserve"> ակտիվ դեղագործական բաղադրամասի որակի ասպեկտներին (գրանցման դոսյեի 3-րդ մոդուլ): Անհրաժեշտ է ներկայացնել ծավալուն համեմատական գնահատական, որպեսզի հաստատվի, որ կիրառման համար արդեն թույլատրված կենսահամանման </w:t>
      </w:r>
      <w:r w:rsidR="00C54D75">
        <w:rPr>
          <w:rFonts w:ascii="Sylfaen" w:hAnsi="Sylfaen"/>
          <w:sz w:val="24"/>
          <w:szCs w:val="24"/>
        </w:rPr>
        <w:t>և</w:t>
      </w:r>
      <w:r w:rsidRPr="003B2786">
        <w:rPr>
          <w:rFonts w:ascii="Sylfaen" w:hAnsi="Sylfaen"/>
          <w:sz w:val="24"/>
          <w:szCs w:val="24"/>
        </w:rPr>
        <w:t xml:space="preserve"> ռեֆերենտ պատրաստուկներն ունեն որակի, անվտանգության </w:t>
      </w:r>
      <w:r w:rsidR="00C54D75">
        <w:rPr>
          <w:rFonts w:ascii="Sylfaen" w:hAnsi="Sylfaen"/>
          <w:sz w:val="24"/>
          <w:szCs w:val="24"/>
        </w:rPr>
        <w:lastRenderedPageBreak/>
        <w:t>և</w:t>
      </w:r>
      <w:r w:rsidRPr="003B2786">
        <w:rPr>
          <w:rFonts w:ascii="Sylfaen" w:hAnsi="Sylfaen"/>
          <w:sz w:val="24"/>
          <w:szCs w:val="24"/>
        </w:rPr>
        <w:t xml:space="preserve"> արդյունավետության համանման բնութագրեր:</w:t>
      </w:r>
    </w:p>
    <w:p w14:paraId="134611A5"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Գրանցված ռեֆերենտ պատրաստուկում ԱԴԲ-ի խտության (պարունակության) վերաբերյալ աղյուսակի տեսքով մանրամասն տեղեկատվությունը (դրա առ</w:t>
      </w:r>
      <w:r w:rsidR="00C54D75">
        <w:rPr>
          <w:rFonts w:ascii="Sylfaen" w:hAnsi="Sylfaen"/>
          <w:sz w:val="24"/>
          <w:szCs w:val="24"/>
        </w:rPr>
        <w:t>և</w:t>
      </w:r>
      <w:r w:rsidRPr="003B2786">
        <w:rPr>
          <w:rFonts w:ascii="Sylfaen" w:hAnsi="Sylfaen"/>
          <w:sz w:val="24"/>
          <w:szCs w:val="24"/>
        </w:rPr>
        <w:t>տրային անվանման, դեղաձ</w:t>
      </w:r>
      <w:r w:rsidR="00C54D75">
        <w:rPr>
          <w:rFonts w:ascii="Sylfaen" w:hAnsi="Sylfaen"/>
          <w:sz w:val="24"/>
          <w:szCs w:val="24"/>
        </w:rPr>
        <w:t>և</w:t>
      </w:r>
      <w:r w:rsidRPr="003B2786">
        <w:rPr>
          <w:rFonts w:ascii="Sylfaen" w:hAnsi="Sylfaen"/>
          <w:sz w:val="24"/>
          <w:szCs w:val="24"/>
        </w:rPr>
        <w:t>ի, գրանցման հավաստագրի իրավատիրոջ, Միությունում գրանցման հավաստագրի տրամադրման ամսաթվի նշմամբ), ինչպես նա</w:t>
      </w:r>
      <w:r w:rsidR="00C54D75">
        <w:rPr>
          <w:rFonts w:ascii="Sylfaen" w:hAnsi="Sylfaen"/>
          <w:sz w:val="24"/>
          <w:szCs w:val="24"/>
        </w:rPr>
        <w:t>և</w:t>
      </w:r>
      <w:r w:rsidRPr="003B2786">
        <w:rPr>
          <w:rFonts w:ascii="Sylfaen" w:hAnsi="Sylfaen"/>
          <w:sz w:val="24"/>
          <w:szCs w:val="24"/>
        </w:rPr>
        <w:t xml:space="preserve"> մանրամասն տեղեկատվությունը (օրինակ՝ սերիայի համար </w:t>
      </w:r>
      <w:r w:rsidR="00C54D75">
        <w:rPr>
          <w:rFonts w:ascii="Sylfaen" w:hAnsi="Sylfaen"/>
          <w:sz w:val="24"/>
          <w:szCs w:val="24"/>
        </w:rPr>
        <w:t>և</w:t>
      </w:r>
      <w:r w:rsidRPr="003B2786">
        <w:rPr>
          <w:rFonts w:ascii="Sylfaen" w:hAnsi="Sylfaen"/>
          <w:sz w:val="24"/>
          <w:szCs w:val="24"/>
        </w:rPr>
        <w:t xml:space="preserve"> արտադրության երկիր) այն դեղապատրաստուկի սերիայի վերաբերյալ, որն օգտագործվում է համեմատական գնահատման ժամանակ (որակի մասնագրի հիմնական ցուցանիշներ,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տվյալներ), կարող են վերլուծվել փորձագետի կողմից՝ հիմնված որակի ասպեկտների վերաբերյալ փորձագիտական հաշվետվությունից ստացված տեղեկատվության վրա (գրանցման դոսյեի 3-րդ մոդուլի գնահատում): </w:t>
      </w:r>
    </w:p>
    <w:p w14:paraId="021F955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1.1.3.</w:t>
      </w:r>
      <w:r w:rsidRPr="003B2786">
        <w:rPr>
          <w:rFonts w:ascii="Sylfaen" w:hAnsi="Sylfaen"/>
          <w:sz w:val="24"/>
          <w:szCs w:val="24"/>
        </w:rPr>
        <w:tab/>
        <w:t>Մշակման ասպեկտները:</w:t>
      </w:r>
    </w:p>
    <w:p w14:paraId="10B05557"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Նկարագրե՛ք կլինիկական հետազոտությունների մշակման ծրագիրը առաջարկվող կիրառման ցուցումների </w:t>
      </w:r>
      <w:r w:rsidR="00C54D75">
        <w:rPr>
          <w:rFonts w:ascii="Sylfaen" w:hAnsi="Sylfaen"/>
          <w:sz w:val="24"/>
          <w:szCs w:val="24"/>
        </w:rPr>
        <w:t>և</w:t>
      </w:r>
      <w:r w:rsidRPr="003B2786">
        <w:rPr>
          <w:rFonts w:ascii="Sylfaen" w:hAnsi="Sylfaen"/>
          <w:sz w:val="24"/>
          <w:szCs w:val="24"/>
        </w:rPr>
        <w:t xml:space="preserve"> դոզավորման ռեժիմի տեսանկյունից (նշե՛ք, թե արդյոք գոյություն ունեն երեխաների շրջանում կիրառման ցուցումներ): Նշե՛ք, թե արդյոք անցկացված հետազոտությունների ծավալը համապատասխանում է Միության հանձնարարականներին </w:t>
      </w:r>
      <w:r w:rsidR="00C54D75">
        <w:rPr>
          <w:rFonts w:ascii="Sylfaen" w:hAnsi="Sylfaen"/>
          <w:sz w:val="24"/>
          <w:szCs w:val="24"/>
        </w:rPr>
        <w:t>և</w:t>
      </w:r>
      <w:r w:rsidRPr="003B2786">
        <w:rPr>
          <w:rFonts w:ascii="Sylfaen" w:hAnsi="Sylfaen"/>
          <w:sz w:val="24"/>
          <w:szCs w:val="24"/>
        </w:rPr>
        <w:t xml:space="preserve"> անդամ պետության օրենսդրության պահանջներին:</w:t>
      </w:r>
    </w:p>
    <w:p w14:paraId="57C6A952"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թե արդյոք դեղապատրաստուկների փորձաքննություն իրականացնող ազգային լիազորված մարմինների </w:t>
      </w:r>
      <w:r w:rsidR="00C54D75">
        <w:rPr>
          <w:rFonts w:ascii="Sylfaen" w:hAnsi="Sylfaen"/>
          <w:sz w:val="24"/>
          <w:szCs w:val="24"/>
        </w:rPr>
        <w:t>և</w:t>
      </w:r>
      <w:r w:rsidRPr="003B2786">
        <w:rPr>
          <w:rFonts w:ascii="Sylfaen" w:hAnsi="Sylfaen"/>
          <w:sz w:val="24"/>
          <w:szCs w:val="24"/>
        </w:rPr>
        <w:t xml:space="preserve"> կազմակերպությունների հետ համաձայնեցվել է երեխաների շրջանում պատրաստուկի հետազոտության պլանը (ինչպես հետաձգմամբ, այնպես էլ առանց դրա) կամ կոնկրետ պատրաստուկի համար այդ պլանը մերժելը (կամ այդ մերժումը տարածվո՞ւմ է դեղերի ամբողջ դասի վրա): Համառոտ նկարագրե՛ք նախակլինիկական հետազոտությունների մասով երեխաների շրջանում պատրաստուկի հետազոտության պլանին ներկայացվող պայմաններն ու հիմնական պահանջները (այնտեղ, որտեղ դա հնարավոր է)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 xml:space="preserve">ներկայացրե՛ք կլինիկական հետազոտությունների ընթացիկ կարգավիճակի վերաբերյալ համապատասխան տեղեկատվություն (ավարտված հետազոտություններ, շարունակվող հետազոտություններ </w:t>
      </w:r>
      <w:r w:rsidR="00C54D75">
        <w:rPr>
          <w:rFonts w:ascii="Sylfaen" w:hAnsi="Sylfaen"/>
          <w:sz w:val="24"/>
          <w:szCs w:val="24"/>
        </w:rPr>
        <w:t>և</w:t>
      </w:r>
      <w:r w:rsidRPr="003B2786">
        <w:rPr>
          <w:rFonts w:ascii="Sylfaen" w:hAnsi="Sylfaen"/>
          <w:sz w:val="24"/>
          <w:szCs w:val="24"/>
        </w:rPr>
        <w:t xml:space="preserve"> այլն):</w:t>
      </w:r>
    </w:p>
    <w:p w14:paraId="7B5AA0E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Նշե՛ք, թե արդյոք անց է կացվել կլինիկական մշակում՝ բնակչության այլ հատուկ խմբերի համար, օրինակ՝ հաշվի առնելով տարիքային աստիճանավորումը, սեռային </w:t>
      </w:r>
      <w:r w:rsidR="00C54D75">
        <w:rPr>
          <w:rFonts w:ascii="Sylfaen" w:hAnsi="Sylfaen"/>
          <w:sz w:val="24"/>
          <w:szCs w:val="24"/>
        </w:rPr>
        <w:t>և</w:t>
      </w:r>
      <w:r w:rsidRPr="003B2786">
        <w:rPr>
          <w:rFonts w:ascii="Sylfaen" w:hAnsi="Sylfaen"/>
          <w:sz w:val="24"/>
          <w:szCs w:val="24"/>
        </w:rPr>
        <w:t xml:space="preserve"> էթնիկ պատկանելիությունը: Անհրաժեշտության դեպքում նշե՛ք հետազոտությունների մեջ ներգրավված առողջ կամավորների (պացիենտների) (տղամարդկանց, կանանց) թիվը </w:t>
      </w:r>
      <w:r w:rsidR="00C54D75">
        <w:rPr>
          <w:rFonts w:ascii="Sylfaen" w:hAnsi="Sylfaen"/>
          <w:sz w:val="24"/>
          <w:szCs w:val="24"/>
        </w:rPr>
        <w:t>և</w:t>
      </w:r>
      <w:r w:rsidRPr="003B2786">
        <w:rPr>
          <w:rFonts w:ascii="Sylfaen" w:hAnsi="Sylfaen"/>
          <w:sz w:val="24"/>
          <w:szCs w:val="24"/>
        </w:rPr>
        <w:t xml:space="preserve"> բնութագրերը (անհրաժեշտության դեպքում տե՛ս բաժին 3.1-ը՝ հաշվետվության մեջ ավելի ծավալուն այնպիսի աղյուսակ ներառելու վերաբերյալ մանրամասն տեղեկատվություն ստանալու համար, որը պետք է համապատասխանի գրանցման դոսյեի 2.7.3.1 աղյուսակին):</w:t>
      </w:r>
    </w:p>
    <w:p w14:paraId="5EDBB042" w14:textId="4943C050" w:rsidR="008C76E0" w:rsidRPr="003B2786" w:rsidRDefault="005A46D4" w:rsidP="008E1F21">
      <w:pPr>
        <w:spacing w:after="160" w:line="360" w:lineRule="auto"/>
        <w:ind w:right="-1" w:firstLine="567"/>
        <w:jc w:val="both"/>
        <w:rPr>
          <w:rFonts w:ascii="Sylfaen" w:hAnsi="Sylfaen"/>
          <w:sz w:val="24"/>
          <w:szCs w:val="24"/>
        </w:rPr>
      </w:pPr>
      <w:r>
        <w:rPr>
          <w:rFonts w:ascii="Sylfaen" w:hAnsi="Sylfaen"/>
          <w:sz w:val="24"/>
          <w:szCs w:val="24"/>
        </w:rPr>
        <w:t>Հայտ</w:t>
      </w:r>
      <w:r w:rsidR="008C76E0" w:rsidRPr="003B2786">
        <w:rPr>
          <w:rFonts w:ascii="Sylfaen" w:hAnsi="Sylfaen"/>
          <w:sz w:val="24"/>
          <w:szCs w:val="24"/>
        </w:rPr>
        <w:t xml:space="preserve">նե՛ք, թե արդյոք </w:t>
      </w:r>
      <w:r w:rsidR="0056496B">
        <w:rPr>
          <w:rFonts w:ascii="Sylfaen" w:hAnsi="Sylfaen"/>
          <w:sz w:val="24"/>
          <w:szCs w:val="24"/>
        </w:rPr>
        <w:t>դիմումատու</w:t>
      </w:r>
      <w:r w:rsidR="008C76E0" w:rsidRPr="003B2786">
        <w:rPr>
          <w:rFonts w:ascii="Sylfaen" w:hAnsi="Sylfaen"/>
          <w:sz w:val="24"/>
          <w:szCs w:val="24"/>
        </w:rPr>
        <w:t xml:space="preserve">ն ստացել է գիտական խորհրդատվություն կամ աջակցություն արձանագրությունը կազմելիս (եթե այո, ապա երբ), նկարագրե՛ք խնդրահարույց հարցերը </w:t>
      </w:r>
      <w:r w:rsidR="00C54D75">
        <w:rPr>
          <w:rFonts w:ascii="Sylfaen" w:hAnsi="Sylfaen"/>
          <w:sz w:val="24"/>
          <w:szCs w:val="24"/>
        </w:rPr>
        <w:t>և</w:t>
      </w:r>
      <w:r w:rsidR="008C76E0" w:rsidRPr="003B2786">
        <w:rPr>
          <w:rFonts w:ascii="Sylfaen" w:hAnsi="Sylfaen"/>
          <w:sz w:val="24"/>
          <w:szCs w:val="24"/>
        </w:rPr>
        <w:t xml:space="preserve"> նշե՛ք, թե արդյոք </w:t>
      </w:r>
      <w:r w:rsidR="0056496B">
        <w:rPr>
          <w:rFonts w:ascii="Sylfaen" w:hAnsi="Sylfaen"/>
          <w:sz w:val="24"/>
          <w:szCs w:val="24"/>
        </w:rPr>
        <w:t>դիմումատու</w:t>
      </w:r>
      <w:r w:rsidR="008C76E0" w:rsidRPr="003B2786">
        <w:rPr>
          <w:rFonts w:ascii="Sylfaen" w:hAnsi="Sylfaen"/>
          <w:sz w:val="24"/>
          <w:szCs w:val="24"/>
        </w:rPr>
        <w:t>ն օգտագործել է ստացված հանձնարարականները:</w:t>
      </w:r>
    </w:p>
    <w:p w14:paraId="2D05B503" w14:textId="347EED65"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Նշե՛ք, թե արդյոք դեղին տրվել է հազվադեպ կիրառվող («որբ») պատրաստուկի կարգավիճակ (եթե այո, ապա երբ): Անհրաժեշտության դեպքում </w:t>
      </w:r>
      <w:r w:rsidR="005A46D4">
        <w:rPr>
          <w:rFonts w:ascii="Sylfaen" w:hAnsi="Sylfaen"/>
          <w:sz w:val="24"/>
          <w:szCs w:val="24"/>
        </w:rPr>
        <w:t>հայտ</w:t>
      </w:r>
      <w:r w:rsidRPr="003B2786">
        <w:rPr>
          <w:rFonts w:ascii="Sylfaen" w:hAnsi="Sylfaen"/>
          <w:sz w:val="24"/>
          <w:szCs w:val="24"/>
        </w:rPr>
        <w:t>նե՛ք ազդեցության նման մեխանիզմ ունեցող պատրաստուկների մասով սույն որոշման մասին:</w:t>
      </w:r>
    </w:p>
    <w:p w14:paraId="4EFDF02F" w14:textId="77777777" w:rsidR="008C76E0" w:rsidRPr="003B2786" w:rsidRDefault="008C76E0" w:rsidP="00F97BCA">
      <w:pPr>
        <w:spacing w:after="160" w:line="384" w:lineRule="auto"/>
        <w:ind w:firstLine="567"/>
        <w:jc w:val="both"/>
        <w:rPr>
          <w:rFonts w:ascii="Sylfaen" w:hAnsi="Sylfaen"/>
          <w:sz w:val="24"/>
          <w:szCs w:val="24"/>
        </w:rPr>
      </w:pPr>
      <w:r w:rsidRPr="003B2786">
        <w:rPr>
          <w:rFonts w:ascii="Sylfaen" w:hAnsi="Sylfaen"/>
          <w:sz w:val="24"/>
          <w:szCs w:val="24"/>
        </w:rPr>
        <w:t>Դեղապատրաստուկի մշակման վերաբերյալ ներկայացված տվյալները բացառիկ դեպքերում կարող են սահմանափակվել պայմանական գրանցման կամ գրանցման նկատմամբ կիրառվող չափորոշիչներով: Այդ չափորոշիչներին համապատասխանության գնահատումը պետք է հաշվետվության պարտադիր մասը կազմի:</w:t>
      </w:r>
    </w:p>
    <w:p w14:paraId="7EF40879" w14:textId="77777777" w:rsidR="008C76E0" w:rsidRPr="003B2786" w:rsidRDefault="008C76E0" w:rsidP="00F97BCA">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 xml:space="preserve">Եվրասիական տնտեսական հանձնաժողովի կողմից հաստատվող՝ Եվրասիական տնտեսական միության Պատշաճ կլինիկական գործունեության </w:t>
      </w:r>
      <w:r w:rsidRPr="003B2786">
        <w:rPr>
          <w:rFonts w:ascii="Sylfaen" w:hAnsi="Sylfaen"/>
          <w:sz w:val="24"/>
          <w:szCs w:val="24"/>
        </w:rPr>
        <w:lastRenderedPageBreak/>
        <w:t>կանոնների պահպանումը:</w:t>
      </w:r>
    </w:p>
    <w:p w14:paraId="72F5FC25"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տվյալ բաժնում </w:t>
      </w:r>
      <w:r w:rsidR="00C54D75">
        <w:rPr>
          <w:rFonts w:ascii="Sylfaen" w:hAnsi="Sylfaen"/>
          <w:sz w:val="24"/>
          <w:szCs w:val="24"/>
        </w:rPr>
        <w:t>և</w:t>
      </w:r>
      <w:r w:rsidRPr="003B2786">
        <w:rPr>
          <w:rFonts w:ascii="Sylfaen" w:hAnsi="Sylfaen"/>
          <w:sz w:val="24"/>
          <w:szCs w:val="24"/>
        </w:rPr>
        <w:t xml:space="preserve"> բաժին 3.1-ում, ինչպես նա</w:t>
      </w:r>
      <w:r w:rsidR="00C54D75">
        <w:rPr>
          <w:rFonts w:ascii="Sylfaen" w:hAnsi="Sylfaen"/>
          <w:sz w:val="24"/>
          <w:szCs w:val="24"/>
        </w:rPr>
        <w:t>և</w:t>
      </w:r>
      <w:r w:rsidRPr="003B2786">
        <w:rPr>
          <w:rFonts w:ascii="Sylfaen" w:hAnsi="Sylfaen"/>
          <w:sz w:val="24"/>
          <w:szCs w:val="24"/>
        </w:rPr>
        <w:t xml:space="preserve"> «Ընդհանուր նկարագրություն» մոդուլում անհրաժեշտ է արտացոլել Եվրասիական տնտեսական հանձնաժողովի կողմից հաստատվող՝ Եվրասիական տնտեսական միության Պատշաճ կլինիկական գործունեության կանոնների պահանջներին համապատասխանության հարցերը:</w:t>
      </w:r>
    </w:p>
    <w:p w14:paraId="61D710C0"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անհրաժեշտ է դիտարկել՝</w:t>
      </w:r>
    </w:p>
    <w:p w14:paraId="12AA7297"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բոլոր կասկածները, որոնք առաջացել են Եվրասիական տնտեսական հանձնաժողովի կողմից հաստատվող՝ Եվրասիական տնտեսական միության Պատշաճ կլինիկական գործունեության կանոնների պահպանման վերաբերյալ փորձաքննություն անցկացնելու ընթացքում, </w:t>
      </w:r>
      <w:r w:rsidR="00C54D75">
        <w:rPr>
          <w:rFonts w:ascii="Sylfaen" w:hAnsi="Sylfaen"/>
          <w:sz w:val="24"/>
          <w:szCs w:val="24"/>
        </w:rPr>
        <w:t>և</w:t>
      </w:r>
      <w:r w:rsidRPr="003B2786">
        <w:rPr>
          <w:rFonts w:ascii="Sylfaen" w:hAnsi="Sylfaen"/>
          <w:sz w:val="24"/>
          <w:szCs w:val="24"/>
        </w:rPr>
        <w:t xml:space="preserve"> դրանց հետ կապված կարգավորող </w:t>
      </w:r>
      <w:r w:rsidR="00C54D75">
        <w:rPr>
          <w:rFonts w:ascii="Sylfaen" w:hAnsi="Sylfaen"/>
          <w:sz w:val="24"/>
          <w:szCs w:val="24"/>
        </w:rPr>
        <w:t>և</w:t>
      </w:r>
      <w:r w:rsidRPr="003B2786">
        <w:rPr>
          <w:rFonts w:ascii="Sylfaen" w:hAnsi="Sylfaen"/>
          <w:sz w:val="24"/>
          <w:szCs w:val="24"/>
        </w:rPr>
        <w:t xml:space="preserve"> էթիկական պահանջների (ճիշտ տվյալներ, արձանագրության պահպանում </w:t>
      </w:r>
      <w:r w:rsidR="00C54D75">
        <w:rPr>
          <w:rFonts w:ascii="Sylfaen" w:hAnsi="Sylfaen"/>
          <w:sz w:val="24"/>
          <w:szCs w:val="24"/>
        </w:rPr>
        <w:t>և</w:t>
      </w:r>
      <w:r w:rsidRPr="003B2786">
        <w:rPr>
          <w:rFonts w:ascii="Sylfaen" w:hAnsi="Sylfaen"/>
          <w:sz w:val="24"/>
          <w:szCs w:val="24"/>
        </w:rPr>
        <w:t xml:space="preserve"> էթիկական ասպեկտների պահպանում) հետ,</w:t>
      </w:r>
    </w:p>
    <w:p w14:paraId="2FFAC05B" w14:textId="5CF33EAC"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կլինիկական հետազոտությունների՝ Եվրասիական տնտեսական հանձնաժողովի կողմից հաստատվող՝ Եվրասիական տնտեսական միության Պատշաճ կլինիկական գործունեության կանոններով նախատեսված էթիկական չափորոշիչների պահպանման</w:t>
      </w:r>
      <w:r w:rsidR="005A46D4">
        <w:rPr>
          <w:rFonts w:ascii="Sylfaen" w:hAnsi="Sylfaen"/>
          <w:sz w:val="24"/>
          <w:szCs w:val="24"/>
        </w:rPr>
        <w:t>հայտարարագիր</w:t>
      </w:r>
      <w:r w:rsidRPr="003B2786">
        <w:rPr>
          <w:rFonts w:ascii="Sylfaen" w:hAnsi="Sylfaen"/>
          <w:sz w:val="24"/>
          <w:szCs w:val="24"/>
        </w:rPr>
        <w:t>ը կամ դրա համարժեքը,</w:t>
      </w:r>
    </w:p>
    <w:p w14:paraId="41B2310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կանոններին համապատասխանության մասով տեսչական ստուգում անցկացնելու նպատակահարմարությունը՝ ելնելով Կանոններում ներկայացված ցուցումներից:</w:t>
      </w:r>
    </w:p>
    <w:p w14:paraId="6C10E9A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Տեսչական ստուգում անցկացնելու անհրաժեշտության վերաբերյալ որոշումը կայացվում է Կանոններում ներկայացված կրիտիկական գործոնների համակցության հիման վրա՝ հաշվի առնելով ողջ գրանցման դոսյեի գնահատականը: Կրիտիկական գործոնների ցանկը սպառիչ չէ, յուրաքանչյուր գործոնի նշանակալիությունը Եվրասիական տնտեսական հանձնաժողովի կողմից հաստատվող՝ Եվրասիական տնտեսական միության Պատշաճ կլինիկական </w:t>
      </w:r>
      <w:r w:rsidRPr="003B2786">
        <w:rPr>
          <w:rFonts w:ascii="Sylfaen" w:hAnsi="Sylfaen"/>
          <w:sz w:val="24"/>
          <w:szCs w:val="24"/>
        </w:rPr>
        <w:lastRenderedPageBreak/>
        <w:t>գործունեության կանոններին համապատասխանության արտապլանային տեսչական ստուգում անցկացնելու վերաբերյալ որոշում կայացնելու մասով կարող է էականորեն տարբերվել՝ կախված մի շարք գործոններից:</w:t>
      </w:r>
    </w:p>
    <w:p w14:paraId="5FE0D0BC"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կանոնների պահանջներին համապատասխանության մասով տեսչական ստուգում անցկացնելու վերաբերյալ հարցման համար անհրաժեշտ է՝</w:t>
      </w:r>
    </w:p>
    <w:p w14:paraId="4EB49C2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դիմել ազգային դեղագործական տեսչություն,</w:t>
      </w:r>
    </w:p>
    <w:p w14:paraId="01D6840B"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տեսչության հետ միասին որոշել տեսչական ստուգում անցկացնելու հետ առնչություն ունեցող հետազոտությունները, օբյեկտներն ու սպեցիֆիկ հարցերը կամ խնդիրները,</w:t>
      </w:r>
    </w:p>
    <w:p w14:paraId="1D945C9C"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պատրաստել տեսչական ստուգում անցկացնելու վերաբերյալ պաշտոնական հարցում, որը ներկայացվում է տեսուչների քննությանը </w:t>
      </w:r>
      <w:r w:rsidR="00C54D75">
        <w:rPr>
          <w:rFonts w:ascii="Sylfaen" w:hAnsi="Sylfaen"/>
          <w:sz w:val="24"/>
          <w:szCs w:val="24"/>
        </w:rPr>
        <w:t>և</w:t>
      </w:r>
      <w:r w:rsidRPr="003B2786">
        <w:rPr>
          <w:rFonts w:ascii="Sylfaen" w:hAnsi="Sylfaen"/>
          <w:sz w:val="24"/>
          <w:szCs w:val="24"/>
        </w:rPr>
        <w:t xml:space="preserve"> անդամ պետությունների լիազորված տեսչական կազմակերպությունների հետ հետագա համաձայնեցմանը, որից հետո հարցումը հաստատվում է լիազորված մարմինների կողմից </w:t>
      </w:r>
      <w:r w:rsidR="00C54D75">
        <w:rPr>
          <w:rFonts w:ascii="Sylfaen" w:hAnsi="Sylfaen"/>
          <w:sz w:val="24"/>
          <w:szCs w:val="24"/>
        </w:rPr>
        <w:t>և</w:t>
      </w:r>
      <w:r w:rsidRPr="003B2786">
        <w:rPr>
          <w:rFonts w:ascii="Sylfaen" w:hAnsi="Sylfaen"/>
          <w:sz w:val="24"/>
          <w:szCs w:val="24"/>
        </w:rPr>
        <w:t xml:space="preserve"> ներառվում է տեսչական ստուգումների պլանի մեջ (90 կամ 120 օր): </w:t>
      </w:r>
    </w:p>
    <w:p w14:paraId="5FB1928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Տեսչական ստուգում անցկացնելու անհրաժեշտությունը պայմանավորող գործոնների վերաբերյալ մանրամասն տեղեկատվությունը բերված է Կանոններում </w:t>
      </w:r>
      <w:r w:rsidR="00C54D75">
        <w:rPr>
          <w:rFonts w:ascii="Sylfaen" w:hAnsi="Sylfaen"/>
          <w:sz w:val="24"/>
          <w:szCs w:val="24"/>
        </w:rPr>
        <w:t>և</w:t>
      </w:r>
      <w:r w:rsidRPr="003B2786">
        <w:rPr>
          <w:rFonts w:ascii="Sylfaen" w:hAnsi="Sylfaen"/>
          <w:sz w:val="24"/>
          <w:szCs w:val="24"/>
        </w:rPr>
        <w:t xml:space="preserve"> Եվրասիական տնտեսական միության Դեղագործական տեսչական ստուգումների անցկացման կանոններում:</w:t>
      </w:r>
    </w:p>
    <w:p w14:paraId="3A4E5ACC"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Հազվադեպ կիրառվող («որբ») դեղապատրաստուկների դասին պատկանելու վերաբերյալ տվյալները:</w:t>
      </w:r>
    </w:p>
    <w:p w14:paraId="6AFE0838"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Հարկավոր է նշել, եթե կապված պատրաստուկի կիրառման ցուցումների հետ դրան կարող է տրվել հազվադեպ կիրառվող («որբ») պատրաստուկի կարգավիճակ: Հարկավոր է նշել որպես այդպիսին դրա կիրառման ցուցումները </w:t>
      </w:r>
      <w:r w:rsidR="00C54D75">
        <w:rPr>
          <w:rFonts w:ascii="Sylfaen" w:hAnsi="Sylfaen"/>
          <w:sz w:val="24"/>
          <w:szCs w:val="24"/>
        </w:rPr>
        <w:t>և</w:t>
      </w:r>
      <w:r w:rsidRPr="003B2786">
        <w:rPr>
          <w:rFonts w:ascii="Sylfaen" w:hAnsi="Sylfaen"/>
          <w:sz w:val="24"/>
          <w:szCs w:val="24"/>
        </w:rPr>
        <w:t xml:space="preserve"> տվյալ պատրաստուկով բուժման ենթակա հիվանդության տարածվածությունը (ըստ անդամ պետությունների պաշտոնական վիճակագրության տվյալների կամ անդամ </w:t>
      </w:r>
      <w:r w:rsidRPr="003B2786">
        <w:rPr>
          <w:rFonts w:ascii="Sylfaen" w:hAnsi="Sylfaen"/>
          <w:sz w:val="24"/>
          <w:szCs w:val="24"/>
        </w:rPr>
        <w:lastRenderedPageBreak/>
        <w:t>պետություններում հաստատված հազվադեպ հանդիպող («որբ») հիվանդությունների պաշտոնական ցանկերի):</w:t>
      </w:r>
    </w:p>
    <w:p w14:paraId="2E8E2A7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Համապատասխան դեպքերում հարկավոր է բերել սույն ձ</w:t>
      </w:r>
      <w:r w:rsidR="00C54D75">
        <w:rPr>
          <w:rFonts w:ascii="Sylfaen" w:hAnsi="Sylfaen"/>
          <w:sz w:val="24"/>
          <w:szCs w:val="24"/>
        </w:rPr>
        <w:t>և</w:t>
      </w:r>
      <w:r w:rsidRPr="003B2786">
        <w:rPr>
          <w:rFonts w:ascii="Sylfaen" w:hAnsi="Sylfaen"/>
          <w:sz w:val="24"/>
          <w:szCs w:val="24"/>
        </w:rPr>
        <w:t xml:space="preserve">ակերպումը՝ «Համաձայն տվյալների (նշել աղբյուրը)՝ </w:t>
      </w:r>
    </w:p>
    <w:p w14:paraId="1EFF836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հիվանդության (նշել հիվանդությունը) տարածվածությունը անդամ պետությունում (նշել պետությունը) կազմում է (թիվը) 10 000 մարդու հաշվով»:</w:t>
      </w:r>
    </w:p>
    <w:p w14:paraId="4B5FCE8B" w14:textId="079D0ABC" w:rsidR="008C76E0" w:rsidRPr="003B2786" w:rsidRDefault="008C76E0" w:rsidP="008E1F2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հատուկ ուշադրություն դարձնի հազվադեպ կիրառվող («որբ») պատրաստուկի </w:t>
      </w:r>
      <w:r w:rsidR="0056496B">
        <w:rPr>
          <w:rFonts w:ascii="Sylfaen" w:hAnsi="Sylfaen"/>
          <w:sz w:val="24"/>
          <w:szCs w:val="24"/>
        </w:rPr>
        <w:t>դիմում</w:t>
      </w:r>
      <w:r w:rsidRPr="003B2786">
        <w:rPr>
          <w:rFonts w:ascii="Sylfaen" w:hAnsi="Sylfaen"/>
          <w:sz w:val="24"/>
          <w:szCs w:val="24"/>
        </w:rPr>
        <w:t xml:space="preserve">ի վերլուծությանը՝ հաշվի առնելով հիվանդության հազվադեպության աստիճանը </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 կողմից առաջարկվող կիրառման ցուցումները: </w:t>
      </w:r>
    </w:p>
    <w:p w14:paraId="35838E14" w14:textId="77777777" w:rsidR="008C76E0" w:rsidRPr="003B2786" w:rsidRDefault="008C76E0" w:rsidP="008E1F21">
      <w:pPr>
        <w:tabs>
          <w:tab w:val="left" w:pos="1418"/>
        </w:tabs>
        <w:spacing w:after="160" w:line="360" w:lineRule="auto"/>
        <w:ind w:right="-1" w:firstLine="567"/>
        <w:jc w:val="center"/>
        <w:rPr>
          <w:rFonts w:ascii="Sylfaen" w:hAnsi="Sylfaen"/>
          <w:sz w:val="24"/>
          <w:szCs w:val="24"/>
        </w:rPr>
      </w:pPr>
    </w:p>
    <w:p w14:paraId="12EE581B" w14:textId="77777777" w:rsidR="008C76E0" w:rsidRPr="003B2786" w:rsidRDefault="008C76E0" w:rsidP="008E1F21">
      <w:pPr>
        <w:tabs>
          <w:tab w:val="left" w:pos="1418"/>
        </w:tabs>
        <w:spacing w:after="160" w:line="360" w:lineRule="auto"/>
        <w:ind w:right="-1" w:firstLine="567"/>
        <w:jc w:val="center"/>
        <w:rPr>
          <w:rFonts w:ascii="Sylfaen" w:hAnsi="Sylfaen"/>
          <w:sz w:val="24"/>
          <w:szCs w:val="24"/>
        </w:rPr>
      </w:pPr>
      <w:r w:rsidRPr="003B2786">
        <w:rPr>
          <w:rFonts w:ascii="Sylfaen" w:hAnsi="Sylfaen"/>
          <w:sz w:val="24"/>
          <w:szCs w:val="24"/>
        </w:rPr>
        <w:t>2. Կլինիկական դեղաբանություն:</w:t>
      </w:r>
    </w:p>
    <w:p w14:paraId="5CB6B82F"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Դեղակինետիկա:</w:t>
      </w:r>
    </w:p>
    <w:p w14:paraId="68C4BBA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w:t>
      </w:r>
      <w:r w:rsidRPr="003B2786">
        <w:rPr>
          <w:rFonts w:ascii="Sylfaen" w:hAnsi="Sylfaen"/>
          <w:sz w:val="24"/>
          <w:szCs w:val="24"/>
        </w:rPr>
        <w:tab/>
        <w:t>Ներածություն:</w:t>
      </w:r>
    </w:p>
    <w:p w14:paraId="5E5F50E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Անհրաժեշտ է ներկայացնել համառոտ տեղեկատու տեղեկատվություն՝ հետազոտության բովանդակային պլանի (օրինակ՝ խաչաձ</w:t>
      </w:r>
      <w:r w:rsidR="00C54D75">
        <w:rPr>
          <w:rFonts w:ascii="Sylfaen" w:hAnsi="Sylfaen"/>
          <w:sz w:val="24"/>
          <w:szCs w:val="24"/>
        </w:rPr>
        <w:t>և</w:t>
      </w:r>
      <w:r w:rsidRPr="003B2786">
        <w:rPr>
          <w:rFonts w:ascii="Sylfaen" w:hAnsi="Sylfaen"/>
          <w:sz w:val="24"/>
          <w:szCs w:val="24"/>
        </w:rPr>
        <w:t xml:space="preserve"> կլնիկական հետազոտություն (դեղակինետիկայի հետազոտություն) բնակչության կոնկրետ խմբի շրջանում), տարբեր հետազոտությունների մեջ ներգրավված պացիենտների (առողջ կամավորների) թվի </w:t>
      </w:r>
      <w:r w:rsidR="00C54D75">
        <w:rPr>
          <w:rFonts w:ascii="Sylfaen" w:hAnsi="Sylfaen"/>
          <w:sz w:val="24"/>
          <w:szCs w:val="24"/>
        </w:rPr>
        <w:t>և</w:t>
      </w:r>
      <w:r w:rsidRPr="003B2786">
        <w:rPr>
          <w:rFonts w:ascii="Sylfaen" w:hAnsi="Sylfaen"/>
          <w:sz w:val="24"/>
          <w:szCs w:val="24"/>
        </w:rPr>
        <w:t xml:space="preserve"> բնութագրերի վերաբերյալ՝ օգտագործվող վալիդացված կենսավերլուծական մեթոդիկաների համառոտ նկարագրությամբ: Որպես կանոն, գնահատելիս օգտագործվում են առողջ կամավորների, ինչպես նա</w:t>
      </w:r>
      <w:r w:rsidR="00C54D75">
        <w:rPr>
          <w:rFonts w:ascii="Sylfaen" w:hAnsi="Sylfaen"/>
          <w:sz w:val="24"/>
          <w:szCs w:val="24"/>
        </w:rPr>
        <w:t>և</w:t>
      </w:r>
      <w:r w:rsidRPr="003B2786">
        <w:rPr>
          <w:rFonts w:ascii="Sylfaen" w:hAnsi="Sylfaen"/>
          <w:sz w:val="24"/>
          <w:szCs w:val="24"/>
        </w:rPr>
        <w:t xml:space="preserve"> պացիենտների շրջանում դեղակինետիկայի տվյալները:</w:t>
      </w:r>
    </w:p>
    <w:p w14:paraId="09AE9A76"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Մեկնաբանե՛ք տվյալ կոնկրետ պատրաստուկի նկատմամբ պահանջները (օրինակ՝ նոր քիմիական միացության մասով՝ դեղակինետիկայի վերաբերյալ փաստաթղթերի ամբողջական փաթեթը), ինչպես նա</w:t>
      </w:r>
      <w:r w:rsidR="00C54D75">
        <w:rPr>
          <w:rFonts w:ascii="Sylfaen" w:hAnsi="Sylfaen"/>
          <w:sz w:val="24"/>
          <w:szCs w:val="24"/>
        </w:rPr>
        <w:t>և</w:t>
      </w:r>
      <w:r w:rsidRPr="003B2786">
        <w:rPr>
          <w:rFonts w:ascii="Sylfaen" w:hAnsi="Sylfaen"/>
          <w:sz w:val="24"/>
          <w:szCs w:val="24"/>
        </w:rPr>
        <w:t xml:space="preserve"> կլինիկական ամփոփագրի որակը (մասնագետի եզրակացությունը 2-րդ մոդուլում է) </w:t>
      </w:r>
      <w:r w:rsidR="00C54D75">
        <w:rPr>
          <w:rFonts w:ascii="Sylfaen" w:hAnsi="Sylfaen"/>
          <w:sz w:val="24"/>
          <w:szCs w:val="24"/>
        </w:rPr>
        <w:t>և</w:t>
      </w:r>
      <w:r w:rsidRPr="003B2786">
        <w:rPr>
          <w:rFonts w:ascii="Sylfaen" w:hAnsi="Sylfaen"/>
          <w:sz w:val="24"/>
          <w:szCs w:val="24"/>
        </w:rPr>
        <w:t xml:space="preserve"> դեղապատրաստուկի </w:t>
      </w:r>
      <w:r w:rsidRPr="003B2786">
        <w:rPr>
          <w:rFonts w:ascii="Sylfaen" w:hAnsi="Sylfaen"/>
          <w:sz w:val="24"/>
          <w:szCs w:val="24"/>
        </w:rPr>
        <w:lastRenderedPageBreak/>
        <w:t>դեղակինետիկ հետազոտությունների համապատասխանությունը Եվրասիական տնտեսական հանձնաժողովի կողմից հաստատվող՝ Եվրասիական տնտեսական միության Պատշաճ կլինիկական գործունեության կանոններին:</w:t>
      </w:r>
    </w:p>
    <w:p w14:paraId="0A6868BA"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Մասնավորապես, հարկավոր է նշել երեխաների (ինչպես նա</w:t>
      </w:r>
      <w:r w:rsidR="00C54D75">
        <w:rPr>
          <w:rFonts w:ascii="Sylfaen" w:hAnsi="Sylfaen"/>
          <w:sz w:val="24"/>
          <w:szCs w:val="24"/>
        </w:rPr>
        <w:t>և</w:t>
      </w:r>
      <w:r w:rsidRPr="003B2786">
        <w:rPr>
          <w:rFonts w:ascii="Sylfaen" w:hAnsi="Sylfaen"/>
          <w:sz w:val="24"/>
          <w:szCs w:val="24"/>
        </w:rPr>
        <w:t xml:space="preserve"> բնակչության հատուկ խմբերի) շրջանում պատրաստուկի դեղակինետիկ հետազոտության արդյունքների առկայությունը:</w:t>
      </w:r>
    </w:p>
    <w:p w14:paraId="62866276"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յուրաքանչյուր բաժին </w:t>
      </w:r>
      <w:r w:rsidR="00C54D75">
        <w:rPr>
          <w:rFonts w:ascii="Sylfaen" w:hAnsi="Sylfaen"/>
          <w:sz w:val="24"/>
          <w:szCs w:val="24"/>
        </w:rPr>
        <w:t>և</w:t>
      </w:r>
      <w:r w:rsidRPr="003B2786">
        <w:rPr>
          <w:rFonts w:ascii="Sylfaen" w:hAnsi="Sylfaen"/>
          <w:sz w:val="24"/>
          <w:szCs w:val="24"/>
        </w:rPr>
        <w:t xml:space="preserve"> ենթաբաժին պետք է պարունակի 2 կետ՝</w:t>
      </w:r>
    </w:p>
    <w:p w14:paraId="587C403A"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r>
      <w:r w:rsidRPr="003B2786">
        <w:rPr>
          <w:rFonts w:ascii="Sylfaen" w:hAnsi="Sylfaen"/>
          <w:spacing w:val="-6"/>
          <w:sz w:val="24"/>
          <w:szCs w:val="24"/>
        </w:rPr>
        <w:t>հետազոտության փորձարարական արդյունքները (ԳԴ-ի 5.3.1, 5.3.2, 5.3.3 մոդուլների համապատասխան ենթաբաժինների տվյալները, ինչպես նա</w:t>
      </w:r>
      <w:r w:rsidR="00C54D75">
        <w:rPr>
          <w:rFonts w:ascii="Sylfaen" w:hAnsi="Sylfaen"/>
          <w:spacing w:val="-6"/>
          <w:sz w:val="24"/>
          <w:szCs w:val="24"/>
        </w:rPr>
        <w:t>և</w:t>
      </w:r>
      <w:r w:rsidRPr="003B2786">
        <w:rPr>
          <w:rFonts w:ascii="Sylfaen" w:hAnsi="Sylfaen"/>
          <w:spacing w:val="-6"/>
          <w:sz w:val="24"/>
          <w:szCs w:val="24"/>
        </w:rPr>
        <w:t xml:space="preserve"> 5.3.4 մոդուլում պարունակվող ՖԿ/ՖԴ հետազոտությունների տվյալները), նախընտրելի է աղյուսակի տեսքով</w:t>
      </w:r>
      <w:r w:rsidRPr="003B2786">
        <w:rPr>
          <w:rFonts w:ascii="Sylfaen" w:hAnsi="Sylfaen"/>
          <w:sz w:val="24"/>
          <w:szCs w:val="24"/>
        </w:rPr>
        <w:t xml:space="preserve"> (կլինիկական հետազոտությունների ամփոփագրերին (2.7 մոդուլ), առանձին հաշվետվություններին կամ 2-րդ մոդուլի աղյուսակին հղմամբ), </w:t>
      </w:r>
    </w:p>
    <w:p w14:paraId="31B8D879" w14:textId="77777777" w:rsidR="008C76E0" w:rsidRPr="003B2786" w:rsidRDefault="008C76E0" w:rsidP="00F97BCA">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 xml:space="preserve">փորձագետի դիտողությունները՝ դրանց անհրաժեշտության դեպքում: </w:t>
      </w:r>
    </w:p>
    <w:p w14:paraId="1B5566E9"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Պատրաստուկի հետազոտված տարբեր դեղակինետիկ պարամետրերը սույն բաժնում կարող են ներառվել մեկ ընդհանուր ամփոփ աղյուսակում: Պատրաստուկի տարբեր դեղակինետիկ պարամետրերի վերաբերյալ մեկնաբանությունները կարող են պարունակել խաչաձ</w:t>
      </w:r>
      <w:r w:rsidR="00C54D75">
        <w:rPr>
          <w:rFonts w:ascii="Sylfaen" w:hAnsi="Sylfaen"/>
          <w:sz w:val="24"/>
          <w:szCs w:val="24"/>
        </w:rPr>
        <w:t>և</w:t>
      </w:r>
      <w:r w:rsidRPr="003B2786">
        <w:rPr>
          <w:rFonts w:ascii="Sylfaen" w:hAnsi="Sylfaen"/>
          <w:sz w:val="24"/>
          <w:szCs w:val="24"/>
        </w:rPr>
        <w:t xml:space="preserve"> հղումներ տվյալ աղյուսակին:</w:t>
      </w:r>
    </w:p>
    <w:p w14:paraId="3659C107"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Կախված հավելվածի տեսակից՝ «Դեղակինետիկա» բաժնի ենթավերնագրերը կարող են հանվել կամ փոփոխվել՝ կախված հանգամանքներից:</w:t>
      </w:r>
    </w:p>
    <w:p w14:paraId="2C4EEEDA"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դեղապատրաստուկների գրանցման դոսյեների փորձաքննության մասով հարկավոր է առաջնորդվել Կանոնների թիվ 1 հավելվածով </w:t>
      </w:r>
      <w:r w:rsidR="00C54D75">
        <w:rPr>
          <w:rFonts w:ascii="Sylfaen" w:hAnsi="Sylfaen"/>
          <w:sz w:val="24"/>
          <w:szCs w:val="24"/>
        </w:rPr>
        <w:t>և</w:t>
      </w:r>
      <w:r w:rsidRPr="003B2786">
        <w:rPr>
          <w:rFonts w:ascii="Sylfaen" w:hAnsi="Sylfaen"/>
          <w:sz w:val="24"/>
          <w:szCs w:val="24"/>
        </w:rPr>
        <w:t xml:space="preserve"> Եվրասիական տնտեսական հանձնաժողովի կողմից հաստատվող՝ Կենսաբանական դեղամիջոցների հետազոտության կանոններով:</w:t>
      </w:r>
    </w:p>
    <w:p w14:paraId="6B2DFBB5"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համադրելիության գնահատումը փուլային ընթացակարգ է, որը </w:t>
      </w:r>
      <w:r w:rsidRPr="003B2786">
        <w:rPr>
          <w:rFonts w:ascii="Sylfaen" w:hAnsi="Sylfaen"/>
          <w:sz w:val="24"/>
          <w:szCs w:val="24"/>
        </w:rPr>
        <w:lastRenderedPageBreak/>
        <w:t xml:space="preserve">պետք է սկսվի դեղակինետիկայի (ՖԿ-ի) </w:t>
      </w:r>
      <w:r w:rsidR="00C54D75">
        <w:rPr>
          <w:rFonts w:ascii="Sylfaen" w:hAnsi="Sylfaen"/>
          <w:sz w:val="24"/>
          <w:szCs w:val="24"/>
        </w:rPr>
        <w:t>և</w:t>
      </w:r>
      <w:r w:rsidRPr="003B2786">
        <w:rPr>
          <w:rFonts w:ascii="Sylfaen" w:hAnsi="Sylfaen"/>
          <w:sz w:val="24"/>
          <w:szCs w:val="24"/>
        </w:rPr>
        <w:t xml:space="preserve"> դեղադինամիկայի (ՖԴ-ի) համեմատական հետազոտություններից </w:t>
      </w:r>
      <w:r w:rsidR="00C54D75">
        <w:rPr>
          <w:rFonts w:ascii="Sylfaen" w:hAnsi="Sylfaen"/>
          <w:sz w:val="24"/>
          <w:szCs w:val="24"/>
        </w:rPr>
        <w:t>և</w:t>
      </w:r>
      <w:r w:rsidRPr="003B2786">
        <w:rPr>
          <w:rFonts w:ascii="Sylfaen" w:hAnsi="Sylfaen"/>
          <w:sz w:val="24"/>
          <w:szCs w:val="24"/>
        </w:rPr>
        <w:t xml:space="preserve"> ավարտվի արդյունավետության համեմատական կլինիկական հետազոտություններով՝ Միության տարածքում գրանցված ընտրված ռեֆերենտ</w:t>
      </w:r>
      <w:r w:rsidRPr="003B2786" w:rsidDel="008C67E8">
        <w:rPr>
          <w:rFonts w:ascii="Sylfaen" w:hAnsi="Sylfaen"/>
          <w:sz w:val="24"/>
          <w:szCs w:val="24"/>
        </w:rPr>
        <w:t xml:space="preserve"> </w:t>
      </w:r>
      <w:r w:rsidRPr="003B2786">
        <w:rPr>
          <w:rFonts w:ascii="Sylfaen" w:hAnsi="Sylfaen"/>
          <w:sz w:val="24"/>
          <w:szCs w:val="24"/>
        </w:rPr>
        <w:t xml:space="preserve">դեղապատրաստուկի օգտագործմամբ: </w:t>
      </w:r>
    </w:p>
    <w:p w14:paraId="5E1E38C7"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Որոշակի դեպքերում (օրինակ՝ օրիգինալ պատրաստուկի լրացուցիչ դեղաձ</w:t>
      </w:r>
      <w:r w:rsidR="00C54D75">
        <w:rPr>
          <w:rFonts w:ascii="Sylfaen" w:hAnsi="Sylfaen"/>
          <w:sz w:val="24"/>
          <w:szCs w:val="24"/>
        </w:rPr>
        <w:t>և</w:t>
      </w:r>
      <w:r w:rsidRPr="003B2786">
        <w:rPr>
          <w:rFonts w:ascii="Sylfaen" w:hAnsi="Sylfaen"/>
          <w:sz w:val="24"/>
          <w:szCs w:val="24"/>
        </w:rPr>
        <w:t>ը գրանցելիս) բավական կլինի ներկայացնել պատրաստուկների ՖԿ/ՖԴ-ի հետազոտության տվյալները՝ դրանց թերապ</w:t>
      </w:r>
      <w:r w:rsidR="00C54D75">
        <w:rPr>
          <w:rFonts w:ascii="Sylfaen" w:hAnsi="Sylfaen"/>
          <w:sz w:val="24"/>
          <w:szCs w:val="24"/>
        </w:rPr>
        <w:t>և</w:t>
      </w:r>
      <w:r w:rsidRPr="003B2786">
        <w:rPr>
          <w:rFonts w:ascii="Sylfaen" w:hAnsi="Sylfaen"/>
          <w:sz w:val="24"/>
          <w:szCs w:val="24"/>
        </w:rPr>
        <w:t>տիկ կենսահամարժեքությունը հաստատելու համար:</w:t>
      </w:r>
    </w:p>
    <w:p w14:paraId="48750508"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w:t>
      </w:r>
      <w:r w:rsidRPr="003B2786">
        <w:rPr>
          <w:rFonts w:ascii="Sylfaen" w:hAnsi="Sylfaen"/>
          <w:sz w:val="24"/>
          <w:szCs w:val="24"/>
        </w:rPr>
        <w:tab/>
        <w:t>Մեթոդները:</w:t>
      </w:r>
    </w:p>
    <w:p w14:paraId="4C4EDC79"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2.1.2.1.</w:t>
      </w:r>
      <w:r w:rsidRPr="003B2786">
        <w:rPr>
          <w:rFonts w:ascii="Sylfaen" w:hAnsi="Sylfaen"/>
          <w:sz w:val="24"/>
          <w:szCs w:val="24"/>
        </w:rPr>
        <w:tab/>
        <w:t>Վերլուծական մեթոդներն ու մեթոդիկաները:</w:t>
      </w:r>
    </w:p>
    <w:p w14:paraId="086CDC4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Օգտագործվող վերլուծական մեթոդների համառոտ նկարագրությունը՝ շեշտը դնելով վերլուծության վալիդացման արդյունավետության </w:t>
      </w:r>
      <w:r w:rsidR="00C54D75">
        <w:rPr>
          <w:rFonts w:ascii="Sylfaen" w:hAnsi="Sylfaen"/>
          <w:sz w:val="24"/>
          <w:szCs w:val="24"/>
        </w:rPr>
        <w:t>և</w:t>
      </w:r>
      <w:r w:rsidRPr="003B2786">
        <w:rPr>
          <w:rFonts w:ascii="Sylfaen" w:hAnsi="Sylfaen"/>
          <w:sz w:val="24"/>
          <w:szCs w:val="24"/>
        </w:rPr>
        <w:t xml:space="preserve"> որակի հսկողության բնութագրերի վրա:</w:t>
      </w:r>
    </w:p>
    <w:p w14:paraId="534AA2B2"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2.1.2.2.</w:t>
      </w:r>
      <w:r w:rsidRPr="003B2786">
        <w:rPr>
          <w:rFonts w:ascii="Sylfaen" w:hAnsi="Sylfaen"/>
          <w:sz w:val="24"/>
          <w:szCs w:val="24"/>
        </w:rPr>
        <w:tab/>
        <w:t>Դեղակինետիկ տվյալների վերլուծությունը:</w:t>
      </w:r>
    </w:p>
    <w:p w14:paraId="715074E2"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Դեղակինետիկայի վերլուծության մեթոդների համառոտ նկարագրությունը: </w:t>
      </w:r>
    </w:p>
    <w:p w14:paraId="36A0E35C"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2.1.2.3.</w:t>
      </w:r>
      <w:r w:rsidRPr="003B2786">
        <w:rPr>
          <w:rFonts w:ascii="Sylfaen" w:hAnsi="Sylfaen"/>
          <w:sz w:val="24"/>
          <w:szCs w:val="24"/>
        </w:rPr>
        <w:tab/>
        <w:t>Վիճակագրական վերլուծությունը:</w:t>
      </w:r>
    </w:p>
    <w:p w14:paraId="553F1191"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Վիճակագրական վերլուծության մեթոդների համառոտ նկարագրությունը:</w:t>
      </w:r>
    </w:p>
    <w:p w14:paraId="6F91DD03"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2.1.3.</w:t>
      </w:r>
      <w:r w:rsidRPr="003B2786">
        <w:rPr>
          <w:rFonts w:ascii="Sylfaen" w:hAnsi="Sylfaen"/>
          <w:sz w:val="24"/>
          <w:szCs w:val="24"/>
        </w:rPr>
        <w:tab/>
        <w:t>Կլանումը:</w:t>
      </w:r>
    </w:p>
    <w:p w14:paraId="49D8A729" w14:textId="77777777" w:rsidR="008C76E0" w:rsidRPr="003B2786" w:rsidRDefault="008C76E0" w:rsidP="008E1F21">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Գրանցման դոսյեի 5.3.1-5.3.3 մոդուլներում (անհրաժեշտության դեպքում, որտեղ կիրառելի է) հարկավոր է աղյուսակի տեսքով արտացոլել հետազոտությունների տվյալները (օրինակ՝ ներծծման արագությունը </w:t>
      </w:r>
      <w:r w:rsidR="00C54D75">
        <w:rPr>
          <w:rFonts w:ascii="Sylfaen" w:hAnsi="Sylfaen"/>
          <w:sz w:val="24"/>
          <w:szCs w:val="24"/>
        </w:rPr>
        <w:t>և</w:t>
      </w:r>
      <w:r w:rsidRPr="003B2786">
        <w:rPr>
          <w:rFonts w:ascii="Sylfaen" w:hAnsi="Sylfaen"/>
          <w:sz w:val="24"/>
          <w:szCs w:val="24"/>
        </w:rPr>
        <w:t xml:space="preserve"> աստիճանը, ակտիվ փոխադրող սպիտակուցների մասնակցությունը ներծծման գործընթացին): </w:t>
      </w:r>
    </w:p>
    <w:p w14:paraId="1791BF77"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2.1.3.1.</w:t>
      </w:r>
      <w:r w:rsidRPr="003B2786">
        <w:rPr>
          <w:rFonts w:ascii="Sylfaen" w:hAnsi="Sylfaen"/>
          <w:sz w:val="24"/>
          <w:szCs w:val="24"/>
        </w:rPr>
        <w:tab/>
        <w:t>Կենսամատչելիությունը:</w:t>
      </w:r>
    </w:p>
    <w:p w14:paraId="4D6AFD77" w14:textId="77777777" w:rsidR="008C76E0" w:rsidRPr="003B2786" w:rsidRDefault="008C76E0" w:rsidP="008E1F21">
      <w:pPr>
        <w:tabs>
          <w:tab w:val="left" w:pos="1560"/>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Գրանցման դոսյեի 5.3.1.1 մոդուլի տվյալներն արտացոլում են կենսադեղագործական հետազոտությունների վերաբերյալ հաշվետվությունների </w:t>
      </w:r>
      <w:r w:rsidRPr="003B2786">
        <w:rPr>
          <w:rFonts w:ascii="Sylfaen" w:hAnsi="Sylfaen"/>
          <w:sz w:val="24"/>
          <w:szCs w:val="24"/>
        </w:rPr>
        <w:lastRenderedPageBreak/>
        <w:t xml:space="preserve">տվյալները: Բացարձակ </w:t>
      </w:r>
      <w:r w:rsidR="00C54D75">
        <w:rPr>
          <w:rFonts w:ascii="Sylfaen" w:hAnsi="Sylfaen"/>
          <w:sz w:val="24"/>
          <w:szCs w:val="24"/>
        </w:rPr>
        <w:t>և</w:t>
      </w:r>
      <w:r w:rsidRPr="003B2786">
        <w:rPr>
          <w:rFonts w:ascii="Sylfaen" w:hAnsi="Sylfaen"/>
          <w:sz w:val="24"/>
          <w:szCs w:val="24"/>
        </w:rPr>
        <w:t xml:space="preserve"> հարաբերական կենսամատչելիություն:</w:t>
      </w:r>
    </w:p>
    <w:p w14:paraId="1C8A91C7" w14:textId="77777777" w:rsidR="008C76E0" w:rsidRPr="003B2786" w:rsidRDefault="008C76E0" w:rsidP="008E1F21">
      <w:pPr>
        <w:tabs>
          <w:tab w:val="left" w:pos="1560"/>
          <w:tab w:val="left" w:pos="1701"/>
        </w:tabs>
        <w:spacing w:after="160" w:line="360" w:lineRule="auto"/>
        <w:ind w:firstLine="567"/>
        <w:jc w:val="both"/>
        <w:rPr>
          <w:rFonts w:ascii="Sylfaen" w:hAnsi="Sylfaen"/>
          <w:sz w:val="24"/>
          <w:szCs w:val="24"/>
        </w:rPr>
      </w:pPr>
      <w:r w:rsidRPr="003B2786">
        <w:rPr>
          <w:rFonts w:ascii="Sylfaen" w:hAnsi="Sylfaen"/>
          <w:sz w:val="24"/>
          <w:szCs w:val="24"/>
        </w:rPr>
        <w:t>Փորձագետի մեկնաբանությունը՝ գնահատման վերաբերյալ:</w:t>
      </w:r>
    </w:p>
    <w:p w14:paraId="0B074714"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2.1.3.2.</w:t>
      </w:r>
      <w:r w:rsidRPr="003B2786">
        <w:rPr>
          <w:rFonts w:ascii="Sylfaen" w:hAnsi="Sylfaen"/>
          <w:sz w:val="24"/>
          <w:szCs w:val="24"/>
        </w:rPr>
        <w:tab/>
        <w:t>Կենսահամարժեքությունը:</w:t>
      </w:r>
    </w:p>
    <w:p w14:paraId="313E7E31"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Կլինիկական հետազոտություններում օգտագործվող դեղաձ</w:t>
      </w:r>
      <w:r w:rsidR="00C54D75">
        <w:rPr>
          <w:rFonts w:ascii="Sylfaen" w:hAnsi="Sylfaen"/>
          <w:sz w:val="24"/>
          <w:szCs w:val="24"/>
        </w:rPr>
        <w:t>և</w:t>
      </w:r>
      <w:r w:rsidRPr="003B2786">
        <w:rPr>
          <w:rFonts w:ascii="Sylfaen" w:hAnsi="Sylfaen"/>
          <w:sz w:val="24"/>
          <w:szCs w:val="24"/>
        </w:rPr>
        <w:t xml:space="preserve">երի կենսահամարժեքության </w:t>
      </w:r>
      <w:r w:rsidR="00C54D75">
        <w:rPr>
          <w:rFonts w:ascii="Sylfaen" w:hAnsi="Sylfaen"/>
          <w:sz w:val="24"/>
          <w:szCs w:val="24"/>
        </w:rPr>
        <w:t>և</w:t>
      </w:r>
      <w:r w:rsidRPr="003B2786">
        <w:rPr>
          <w:rFonts w:ascii="Sylfaen" w:hAnsi="Sylfaen"/>
          <w:sz w:val="24"/>
          <w:szCs w:val="24"/>
        </w:rPr>
        <w:t xml:space="preserve"> շուկայում իրացման ենթակա վերջնական դեղաձ</w:t>
      </w:r>
      <w:r w:rsidR="00C54D75">
        <w:rPr>
          <w:rFonts w:ascii="Sylfaen" w:hAnsi="Sylfaen"/>
          <w:sz w:val="24"/>
          <w:szCs w:val="24"/>
        </w:rPr>
        <w:t>և</w:t>
      </w:r>
      <w:r w:rsidRPr="003B2786">
        <w:rPr>
          <w:rFonts w:ascii="Sylfaen" w:hAnsi="Sylfaen"/>
          <w:sz w:val="24"/>
          <w:szCs w:val="24"/>
        </w:rPr>
        <w:t xml:space="preserve">ի հետազոտությունների տվյալները: </w:t>
      </w:r>
    </w:p>
    <w:p w14:paraId="457BF2EB" w14:textId="77777777" w:rsidR="008C76E0" w:rsidRPr="003B2786" w:rsidRDefault="008C76E0" w:rsidP="00262653">
      <w:pPr>
        <w:tabs>
          <w:tab w:val="left" w:pos="1560"/>
        </w:tabs>
        <w:spacing w:after="160" w:line="384" w:lineRule="auto"/>
        <w:ind w:right="-1" w:firstLine="567"/>
        <w:jc w:val="both"/>
        <w:rPr>
          <w:rFonts w:ascii="Sylfaen" w:hAnsi="Sylfaen"/>
          <w:sz w:val="24"/>
          <w:szCs w:val="24"/>
        </w:rPr>
      </w:pPr>
      <w:r w:rsidRPr="003B2786">
        <w:rPr>
          <w:rFonts w:ascii="Sylfaen" w:hAnsi="Sylfaen"/>
          <w:sz w:val="24"/>
          <w:szCs w:val="24"/>
        </w:rPr>
        <w:t xml:space="preserve">Հարկավոր է հղում կատարել մշակման փուլում արտադրական փոփոխությունների </w:t>
      </w:r>
      <w:r w:rsidR="00C54D75">
        <w:rPr>
          <w:rFonts w:ascii="Sylfaen" w:hAnsi="Sylfaen"/>
          <w:sz w:val="24"/>
          <w:szCs w:val="24"/>
        </w:rPr>
        <w:t>և</w:t>
      </w:r>
      <w:r w:rsidRPr="003B2786">
        <w:rPr>
          <w:rFonts w:ascii="Sylfaen" w:hAnsi="Sylfaen"/>
          <w:sz w:val="24"/>
          <w:szCs w:val="24"/>
        </w:rPr>
        <w:t xml:space="preserve"> կլինիկական փորձարկումների համար նախատեսված դեղաձ</w:t>
      </w:r>
      <w:r w:rsidR="00C54D75">
        <w:rPr>
          <w:rFonts w:ascii="Sylfaen" w:hAnsi="Sylfaen"/>
          <w:sz w:val="24"/>
          <w:szCs w:val="24"/>
        </w:rPr>
        <w:t>և</w:t>
      </w:r>
      <w:r w:rsidRPr="003B2786">
        <w:rPr>
          <w:rFonts w:ascii="Sylfaen" w:hAnsi="Sylfaen"/>
          <w:sz w:val="24"/>
          <w:szCs w:val="24"/>
        </w:rPr>
        <w:t xml:space="preserve">երի </w:t>
      </w:r>
      <w:r w:rsidR="00C54D75">
        <w:rPr>
          <w:rFonts w:ascii="Sylfaen" w:hAnsi="Sylfaen"/>
          <w:sz w:val="24"/>
          <w:szCs w:val="24"/>
        </w:rPr>
        <w:t>և</w:t>
      </w:r>
      <w:r w:rsidRPr="003B2786">
        <w:rPr>
          <w:rFonts w:ascii="Sylfaen" w:hAnsi="Sylfaen"/>
          <w:sz w:val="24"/>
          <w:szCs w:val="24"/>
        </w:rPr>
        <w:t xml:space="preserve"> շուկայում իրացման համար նախատեսված պատրաստի արտադրանքի միջ</w:t>
      </w:r>
      <w:r w:rsidR="00C54D75">
        <w:rPr>
          <w:rFonts w:ascii="Sylfaen" w:hAnsi="Sylfaen"/>
          <w:sz w:val="24"/>
          <w:szCs w:val="24"/>
        </w:rPr>
        <w:t>և</w:t>
      </w:r>
      <w:r w:rsidRPr="003B2786">
        <w:rPr>
          <w:rFonts w:ascii="Sylfaen" w:hAnsi="Sylfaen"/>
          <w:sz w:val="24"/>
          <w:szCs w:val="24"/>
        </w:rPr>
        <w:t xml:space="preserve"> փոփոխությունների հիմնավորման վերաբերյալ համարժեքության վերլուծության համար անցկացված կենսահամարժեքության հետազոտություններին:</w:t>
      </w:r>
    </w:p>
    <w:p w14:paraId="3F230866"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Կենսաբանական կամ կենսատեխնոլոգիական պատրաստուկների մասով սույն բաժնում պետք է նա</w:t>
      </w:r>
      <w:r w:rsidR="00C54D75">
        <w:rPr>
          <w:rFonts w:ascii="Sylfaen" w:hAnsi="Sylfaen"/>
          <w:sz w:val="24"/>
          <w:szCs w:val="24"/>
        </w:rPr>
        <w:t>և</w:t>
      </w:r>
      <w:r w:rsidRPr="003B2786">
        <w:rPr>
          <w:rFonts w:ascii="Sylfaen" w:hAnsi="Sylfaen"/>
          <w:sz w:val="24"/>
          <w:szCs w:val="24"/>
        </w:rPr>
        <w:t xml:space="preserve"> պարունակվեն խաչաձ</w:t>
      </w:r>
      <w:r w:rsidR="00C54D75">
        <w:rPr>
          <w:rFonts w:ascii="Sylfaen" w:hAnsi="Sylfaen"/>
          <w:sz w:val="24"/>
          <w:szCs w:val="24"/>
        </w:rPr>
        <w:t>և</w:t>
      </w:r>
      <w:r w:rsidRPr="003B2786">
        <w:rPr>
          <w:rFonts w:ascii="Sylfaen" w:hAnsi="Sylfaen"/>
          <w:sz w:val="24"/>
          <w:szCs w:val="24"/>
        </w:rPr>
        <w:t xml:space="preserve"> հղումներ նախակլինիկական </w:t>
      </w:r>
      <w:r w:rsidR="00C54D75">
        <w:rPr>
          <w:rFonts w:ascii="Sylfaen" w:hAnsi="Sylfaen"/>
          <w:sz w:val="24"/>
          <w:szCs w:val="24"/>
        </w:rPr>
        <w:t>և</w:t>
      </w:r>
      <w:r w:rsidRPr="003B2786">
        <w:rPr>
          <w:rFonts w:ascii="Sylfaen" w:hAnsi="Sylfaen"/>
          <w:sz w:val="24"/>
          <w:szCs w:val="24"/>
        </w:rPr>
        <w:t xml:space="preserve"> գործառնական վերլուծության տվյալներին: </w:t>
      </w:r>
    </w:p>
    <w:p w14:paraId="3E060187"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 xml:space="preserve">ՖԿ-ի՝ կենսաբանորեն համանման դեղամիջոցի </w:t>
      </w:r>
      <w:r w:rsidR="00C54D75">
        <w:rPr>
          <w:rFonts w:ascii="Sylfaen" w:hAnsi="Sylfaen"/>
          <w:sz w:val="24"/>
          <w:szCs w:val="24"/>
        </w:rPr>
        <w:t>և</w:t>
      </w:r>
      <w:r w:rsidRPr="003B2786">
        <w:rPr>
          <w:rFonts w:ascii="Sylfaen" w:hAnsi="Sylfaen"/>
          <w:sz w:val="24"/>
          <w:szCs w:val="24"/>
        </w:rPr>
        <w:t xml:space="preserve"> չափանմուշային պատրաստուկի ՖԿ-ների առանցքային պարամետրերի համարժեքության աստիճանի մասին վկայող համեմատական հետազոտություններն ընդհանուր համեմատական գնահատման անքակտելի մասն են:</w:t>
      </w:r>
    </w:p>
    <w:p w14:paraId="07757508"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Պետք է նշվի (կլինիկական փորձարկումներում օգտագործված) պատրաստուկի անունը՝ Միության տարածքում պատրաստուկի իրացման թույլտվության վերաբերյալ պարզաբանմամբ:</w:t>
      </w:r>
    </w:p>
    <w:p w14:paraId="40177758"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2.1.4.</w:t>
      </w:r>
      <w:r w:rsidRPr="003B2786">
        <w:rPr>
          <w:rFonts w:ascii="Sylfaen" w:hAnsi="Sylfaen"/>
          <w:sz w:val="24"/>
          <w:szCs w:val="24"/>
        </w:rPr>
        <w:tab/>
        <w:t>Բաշխումը:</w:t>
      </w:r>
    </w:p>
    <w:p w14:paraId="5F4A30BA"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Բաշխման ծավալը, սպիտակուցների հետ կապակցման տվյալները՝ լաբորատոր </w:t>
      </w:r>
      <w:r w:rsidR="00C54D75">
        <w:rPr>
          <w:rFonts w:ascii="Sylfaen" w:hAnsi="Sylfaen"/>
          <w:sz w:val="24"/>
          <w:szCs w:val="24"/>
        </w:rPr>
        <w:t>և</w:t>
      </w:r>
      <w:r w:rsidRPr="003B2786">
        <w:rPr>
          <w:rFonts w:ascii="Sylfaen" w:hAnsi="Sylfaen"/>
          <w:sz w:val="24"/>
          <w:szCs w:val="24"/>
        </w:rPr>
        <w:t xml:space="preserve"> բնականոն պայմաններում անալիզի դեպքում, տեղեկություններ՝ </w:t>
      </w:r>
      <w:r w:rsidRPr="003B2786">
        <w:rPr>
          <w:rFonts w:ascii="Sylfaen" w:hAnsi="Sylfaen"/>
          <w:sz w:val="24"/>
          <w:szCs w:val="24"/>
        </w:rPr>
        <w:lastRenderedPageBreak/>
        <w:t>հյուսվածքներում բաշխման վերաբերյալ, ինչպես նա</w:t>
      </w:r>
      <w:r w:rsidR="00C54D75">
        <w:rPr>
          <w:rFonts w:ascii="Sylfaen" w:hAnsi="Sylfaen"/>
          <w:sz w:val="24"/>
          <w:szCs w:val="24"/>
        </w:rPr>
        <w:t>և</w:t>
      </w:r>
      <w:r w:rsidRPr="003B2786">
        <w:rPr>
          <w:rFonts w:ascii="Sylfaen" w:hAnsi="Sylfaen"/>
          <w:sz w:val="24"/>
          <w:szCs w:val="24"/>
        </w:rPr>
        <w:t xml:space="preserve"> էրիթրոցիտների քանակի հաշվարկի տվյալները:</w:t>
      </w:r>
    </w:p>
    <w:p w14:paraId="3C3C2D88"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w:t>
      </w:r>
      <w:r w:rsidRPr="003B2786">
        <w:rPr>
          <w:rFonts w:ascii="Sylfaen" w:hAnsi="Sylfaen"/>
          <w:sz w:val="24"/>
          <w:szCs w:val="24"/>
        </w:rPr>
        <w:tab/>
        <w:t>Վերացումը:</w:t>
      </w:r>
    </w:p>
    <w:p w14:paraId="6BAB8BB3"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Օրգանիզմից դուրսբերման ճանապարհը (նյութափոխանակություն, դուրսբերում՝ ռենալ (երիկամային) կամ բիլիար (լեղատար) ուղիներով), կլիրենսը, կիսատրոհման ժամանակահատվածը:</w:t>
      </w:r>
    </w:p>
    <w:p w14:paraId="2F1B554E"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2.1.5.1.</w:t>
      </w:r>
      <w:r w:rsidRPr="003B2786">
        <w:rPr>
          <w:rFonts w:ascii="Sylfaen" w:hAnsi="Sylfaen"/>
          <w:sz w:val="24"/>
          <w:szCs w:val="24"/>
        </w:rPr>
        <w:tab/>
        <w:t>Արտազատումը:</w:t>
      </w:r>
    </w:p>
    <w:p w14:paraId="46A44DCE"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Օրգանիզմից արգասիքի արտազատման ուղիները: Օրգանիզմից անփոփոխ տեսքով արտազատվող արգասիքի մասնաբաժինը: Ակտիվ փոխադրող սպիտակուցների մասնակցությունը երիկամային ճանապարհով արգասիքներն արտազատելիս:</w:t>
      </w:r>
    </w:p>
    <w:p w14:paraId="2849A1B8"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2.1.5.2.</w:t>
      </w:r>
      <w:r w:rsidRPr="003B2786">
        <w:rPr>
          <w:rFonts w:ascii="Sylfaen" w:hAnsi="Sylfaen"/>
          <w:sz w:val="24"/>
          <w:szCs w:val="24"/>
        </w:rPr>
        <w:tab/>
        <w:t>Մետաբոլիզմը:</w:t>
      </w:r>
    </w:p>
    <w:p w14:paraId="2BCDC711"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Մետաբոլիտների նույնականացումը, մետաբոլիզմի աստիճանը, մետաբոլիզմի ուղիները, մետաբոլիզմին մասնակցող ֆերմենտները: Մետաբոլիտների մասնակցությունը դեղի ազդեցությանը: Լաբորատոր </w:t>
      </w:r>
      <w:r w:rsidR="00C54D75">
        <w:rPr>
          <w:rFonts w:ascii="Sylfaen" w:hAnsi="Sylfaen"/>
          <w:sz w:val="24"/>
          <w:szCs w:val="24"/>
        </w:rPr>
        <w:t>և</w:t>
      </w:r>
      <w:r w:rsidRPr="003B2786">
        <w:rPr>
          <w:rFonts w:ascii="Sylfaen" w:hAnsi="Sylfaen"/>
          <w:sz w:val="24"/>
          <w:szCs w:val="24"/>
        </w:rPr>
        <w:t xml:space="preserve"> բնական պայմաններում հետազոտությունների տվյալները:</w:t>
      </w:r>
    </w:p>
    <w:p w14:paraId="105AABFF"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2.1.5.3.</w:t>
      </w:r>
      <w:r w:rsidRPr="003B2786">
        <w:rPr>
          <w:rFonts w:ascii="Sylfaen" w:hAnsi="Sylfaen"/>
          <w:sz w:val="24"/>
          <w:szCs w:val="24"/>
        </w:rPr>
        <w:tab/>
        <w:t>Փոխադարձ փոխակերպումները:</w:t>
      </w:r>
    </w:p>
    <w:p w14:paraId="018520CB"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Արդի քիրալային նյութերի առումով:</w:t>
      </w:r>
    </w:p>
    <w:p w14:paraId="6B47C656"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2.1.5.4.</w:t>
      </w:r>
      <w:r w:rsidRPr="003B2786">
        <w:rPr>
          <w:rFonts w:ascii="Sylfaen" w:hAnsi="Sylfaen"/>
          <w:sz w:val="24"/>
          <w:szCs w:val="24"/>
        </w:rPr>
        <w:tab/>
        <w:t>Մետաբոլիտների դեղակինետիկան:</w:t>
      </w:r>
    </w:p>
    <w:p w14:paraId="3B90D318"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Ակտիվ մետաբոլիտների </w:t>
      </w:r>
      <w:r w:rsidR="00C54D75">
        <w:rPr>
          <w:rFonts w:ascii="Sylfaen" w:hAnsi="Sylfaen"/>
          <w:sz w:val="24"/>
          <w:szCs w:val="24"/>
        </w:rPr>
        <w:t>և</w:t>
      </w:r>
      <w:r w:rsidRPr="003B2786">
        <w:rPr>
          <w:rFonts w:ascii="Sylfaen" w:hAnsi="Sylfaen"/>
          <w:sz w:val="24"/>
          <w:szCs w:val="24"/>
        </w:rPr>
        <w:t xml:space="preserve"> առկայության դեպքում՝ ոչ ակտիվ մետաբոլիտների դեղակինետիկային վերաբերող տեղեկատվություն:</w:t>
      </w:r>
    </w:p>
    <w:p w14:paraId="3DFF1CDB"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2.1.5.5.</w:t>
      </w:r>
      <w:r w:rsidRPr="003B2786">
        <w:rPr>
          <w:rFonts w:ascii="Sylfaen" w:hAnsi="Sylfaen"/>
          <w:sz w:val="24"/>
          <w:szCs w:val="24"/>
        </w:rPr>
        <w:tab/>
        <w:t>Հնարավոր գենետիկական պոլիմորֆիզմի հետ</w:t>
      </w:r>
      <w:r w:rsidR="00C54D75">
        <w:rPr>
          <w:rFonts w:ascii="Sylfaen" w:hAnsi="Sylfaen"/>
          <w:sz w:val="24"/>
          <w:szCs w:val="24"/>
        </w:rPr>
        <w:t>և</w:t>
      </w:r>
      <w:r w:rsidRPr="003B2786">
        <w:rPr>
          <w:rFonts w:ascii="Sylfaen" w:hAnsi="Sylfaen"/>
          <w:sz w:val="24"/>
          <w:szCs w:val="24"/>
        </w:rPr>
        <w:t>անքները:</w:t>
      </w:r>
    </w:p>
    <w:p w14:paraId="7F02CEED"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Հետ</w:t>
      </w:r>
      <w:r w:rsidR="00C54D75">
        <w:rPr>
          <w:rFonts w:ascii="Sylfaen" w:hAnsi="Sylfaen"/>
          <w:sz w:val="24"/>
          <w:szCs w:val="24"/>
        </w:rPr>
        <w:t>և</w:t>
      </w:r>
      <w:r w:rsidRPr="003B2786">
        <w:rPr>
          <w:rFonts w:ascii="Sylfaen" w:hAnsi="Sylfaen"/>
          <w:sz w:val="24"/>
          <w:szCs w:val="24"/>
        </w:rPr>
        <w:t>անքների գնահատումը, եթե նյութափոխանակությանը մասնակցում են</w:t>
      </w:r>
    </w:p>
    <w:p w14:paraId="29C96458"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ֆերմենտների պոլիմորֆ ձ</w:t>
      </w:r>
      <w:r w:rsidR="00C54D75">
        <w:rPr>
          <w:rFonts w:ascii="Sylfaen" w:hAnsi="Sylfaen"/>
          <w:sz w:val="24"/>
          <w:szCs w:val="24"/>
        </w:rPr>
        <w:t>և</w:t>
      </w:r>
      <w:r w:rsidRPr="003B2786">
        <w:rPr>
          <w:rFonts w:ascii="Sylfaen" w:hAnsi="Sylfaen"/>
          <w:sz w:val="24"/>
          <w:szCs w:val="24"/>
        </w:rPr>
        <w:t xml:space="preserve">երը (օրինակ՝ CYP2D6-ի, CYP2C19-ի, </w:t>
      </w:r>
      <w:r>
        <w:rPr>
          <w:rFonts w:ascii="Sylfaen" w:hAnsi="Sylfaen"/>
          <w:sz w:val="24"/>
          <w:szCs w:val="24"/>
        </w:rPr>
        <w:br/>
      </w:r>
      <w:r w:rsidRPr="003B2786">
        <w:rPr>
          <w:rFonts w:ascii="Sylfaen" w:hAnsi="Sylfaen"/>
          <w:sz w:val="24"/>
          <w:szCs w:val="24"/>
        </w:rPr>
        <w:t xml:space="preserve">N-ացետիլի): </w:t>
      </w:r>
    </w:p>
    <w:p w14:paraId="2E1B3C64"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2.1.6.</w:t>
      </w:r>
      <w:r w:rsidRPr="003B2786">
        <w:rPr>
          <w:rFonts w:ascii="Sylfaen" w:hAnsi="Sylfaen"/>
          <w:sz w:val="24"/>
          <w:szCs w:val="24"/>
        </w:rPr>
        <w:tab/>
        <w:t xml:space="preserve">Դեղաչափերի համամասնությունը </w:t>
      </w:r>
      <w:r w:rsidR="00C54D75">
        <w:rPr>
          <w:rFonts w:ascii="Sylfaen" w:hAnsi="Sylfaen"/>
          <w:sz w:val="24"/>
          <w:szCs w:val="24"/>
        </w:rPr>
        <w:t>և</w:t>
      </w:r>
      <w:r w:rsidRPr="003B2786">
        <w:rPr>
          <w:rFonts w:ascii="Sylfaen" w:hAnsi="Sylfaen"/>
          <w:sz w:val="24"/>
          <w:szCs w:val="24"/>
        </w:rPr>
        <w:t xml:space="preserve"> ժամանակավոր կախվածությունը:</w:t>
      </w:r>
    </w:p>
    <w:p w14:paraId="65E8998C"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2.1.6.1.</w:t>
      </w:r>
      <w:r w:rsidRPr="003B2786">
        <w:rPr>
          <w:rFonts w:ascii="Sylfaen" w:hAnsi="Sylfaen"/>
          <w:sz w:val="24"/>
          <w:szCs w:val="24"/>
        </w:rPr>
        <w:tab/>
        <w:t>Դեղաչափի համամասնությունը:</w:t>
      </w:r>
    </w:p>
    <w:p w14:paraId="27578C2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Դեղաչափի համամասնությունը դեղաչափի մեկանգամյա ներմուծումից հետո </w:t>
      </w:r>
      <w:r w:rsidR="00C54D75">
        <w:rPr>
          <w:rFonts w:ascii="Sylfaen" w:hAnsi="Sylfaen"/>
          <w:sz w:val="24"/>
          <w:szCs w:val="24"/>
        </w:rPr>
        <w:t>և</w:t>
      </w:r>
      <w:r w:rsidRPr="003B2786">
        <w:rPr>
          <w:rFonts w:ascii="Sylfaen" w:hAnsi="Sylfaen"/>
          <w:sz w:val="24"/>
          <w:szCs w:val="24"/>
        </w:rPr>
        <w:t xml:space="preserve"> հավասարակշիռ խտությունում:</w:t>
      </w:r>
    </w:p>
    <w:p w14:paraId="64A90E35"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2.1.6.2.</w:t>
      </w:r>
      <w:r w:rsidRPr="003B2786">
        <w:rPr>
          <w:rFonts w:ascii="Sylfaen" w:hAnsi="Sylfaen"/>
          <w:sz w:val="24"/>
          <w:szCs w:val="24"/>
        </w:rPr>
        <w:tab/>
        <w:t>Ժամանակավոր կախվածությունը:</w:t>
      </w:r>
    </w:p>
    <w:p w14:paraId="4492F71F"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Համակարգային ազդեցությունը թերապ</w:t>
      </w:r>
      <w:r w:rsidR="00C54D75">
        <w:rPr>
          <w:rFonts w:ascii="Sylfaen" w:hAnsi="Sylfaen"/>
          <w:sz w:val="24"/>
          <w:szCs w:val="24"/>
        </w:rPr>
        <w:t>և</w:t>
      </w:r>
      <w:r w:rsidRPr="003B2786">
        <w:rPr>
          <w:rFonts w:ascii="Sylfaen" w:hAnsi="Sylfaen"/>
          <w:sz w:val="24"/>
          <w:szCs w:val="24"/>
        </w:rPr>
        <w:t xml:space="preserve">տիկ դեղաչափի մեկանգամյա </w:t>
      </w:r>
      <w:r w:rsidR="00C54D75">
        <w:rPr>
          <w:rFonts w:ascii="Sylfaen" w:hAnsi="Sylfaen"/>
          <w:sz w:val="24"/>
          <w:szCs w:val="24"/>
        </w:rPr>
        <w:t>և</w:t>
      </w:r>
      <w:r w:rsidRPr="003B2786">
        <w:rPr>
          <w:rFonts w:ascii="Sylfaen" w:hAnsi="Sylfaen"/>
          <w:sz w:val="24"/>
          <w:szCs w:val="24"/>
        </w:rPr>
        <w:t xml:space="preserve"> բազմակի ներմուծումից հետո </w:t>
      </w:r>
      <w:r w:rsidR="00C54D75">
        <w:rPr>
          <w:rFonts w:ascii="Sylfaen" w:hAnsi="Sylfaen"/>
          <w:sz w:val="24"/>
          <w:szCs w:val="24"/>
        </w:rPr>
        <w:t>և</w:t>
      </w:r>
      <w:r w:rsidRPr="003B2786">
        <w:rPr>
          <w:rFonts w:ascii="Sylfaen" w:hAnsi="Sylfaen"/>
          <w:sz w:val="24"/>
          <w:szCs w:val="24"/>
        </w:rPr>
        <w:t xml:space="preserve"> ժամանակավոր կախվածության գնահատումը:</w:t>
      </w:r>
    </w:p>
    <w:p w14:paraId="551F415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2.1.7.</w:t>
      </w:r>
      <w:r w:rsidRPr="003B2786">
        <w:rPr>
          <w:rFonts w:ascii="Sylfaen" w:hAnsi="Sylfaen"/>
          <w:sz w:val="24"/>
          <w:szCs w:val="24"/>
        </w:rPr>
        <w:tab/>
        <w:t xml:space="preserve">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փոփոխականությունը:</w:t>
      </w:r>
    </w:p>
    <w:p w14:paraId="2B1B9C93"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Դեղակինետիկայի պարամետրերի 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փոփոխականության տվյալները (նախընտրելի է բնակչության թիրախային խմբի շրջանում): 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փոփոխականության տվյալները կարելի է վերցնել բնակչության շրջանում դեղակինետիկայի վերլուծությունների ամփոփ արդյունքներից:</w:t>
      </w:r>
    </w:p>
    <w:p w14:paraId="5D527CA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2.1.8.</w:t>
      </w:r>
      <w:r w:rsidRPr="003B2786">
        <w:rPr>
          <w:rFonts w:ascii="Sylfaen" w:hAnsi="Sylfaen"/>
          <w:sz w:val="24"/>
          <w:szCs w:val="24"/>
        </w:rPr>
        <w:tab/>
        <w:t>Դեղակինետիկան թիրախային պոպուլյացիայի շրջանում:</w:t>
      </w:r>
    </w:p>
    <w:p w14:paraId="408611C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Ելակետային միացության </w:t>
      </w:r>
      <w:r w:rsidR="00C54D75">
        <w:rPr>
          <w:rFonts w:ascii="Sylfaen" w:hAnsi="Sylfaen"/>
          <w:sz w:val="24"/>
          <w:szCs w:val="24"/>
        </w:rPr>
        <w:t>և</w:t>
      </w:r>
      <w:r w:rsidRPr="003B2786">
        <w:rPr>
          <w:rFonts w:ascii="Sylfaen" w:hAnsi="Sylfaen"/>
          <w:sz w:val="24"/>
          <w:szCs w:val="24"/>
        </w:rPr>
        <w:t xml:space="preserve"> բնակչության թիրախային խմբի շրջանում ակտիվ մետաբոլիտների ՖԿ-ի վերաբերյալ հասանելի տվյալներ՝ հատուկ ուշադրություն դարձնելով առողջ կամավորների շրջանում տարբերությունների, այդ թվում՝ պացիենտների շրջանում փոփոխականության վրա: Բնակչության շրջանում պատրաստուկի ՖԿ-ի տվյալները, եթե այդպիսիք կան: </w:t>
      </w:r>
    </w:p>
    <w:p w14:paraId="7264CEB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Կախված տեղեկատվության ծավալից՝ բովանդակության մեջ կարող են ներառվել մի քանի ենթավերնագրեր:</w:t>
      </w:r>
    </w:p>
    <w:p w14:paraId="205B3101"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Եթե ՖԿ-ի տվյալները հիմնականում ստացվել են բնակչության թիրախային խմբի, այլ ոչ թե առողջ կամավորների շրջանում հետազոտության ժամանակ, տվյալ բաժինն անհրաժեշտ է հանել, իսկ բնակչության թիրախային խմբի շրջանում պատրաստուկի դեղակինետիկայի վերաբերյալ տվյալներն անհրաժեշտ է </w:t>
      </w:r>
      <w:r w:rsidRPr="003B2786">
        <w:rPr>
          <w:rFonts w:ascii="Sylfaen" w:hAnsi="Sylfaen"/>
          <w:sz w:val="24"/>
          <w:szCs w:val="24"/>
        </w:rPr>
        <w:lastRenderedPageBreak/>
        <w:t>ներկայացնել վեր</w:t>
      </w:r>
      <w:r w:rsidR="00C54D75">
        <w:rPr>
          <w:rFonts w:ascii="Sylfaen" w:hAnsi="Sylfaen"/>
          <w:sz w:val="24"/>
          <w:szCs w:val="24"/>
        </w:rPr>
        <w:t>և</w:t>
      </w:r>
      <w:r w:rsidRPr="003B2786">
        <w:rPr>
          <w:rFonts w:ascii="Sylfaen" w:hAnsi="Sylfaen"/>
          <w:sz w:val="24"/>
          <w:szCs w:val="24"/>
        </w:rPr>
        <w:t>ում:</w:t>
      </w:r>
    </w:p>
    <w:p w14:paraId="6573A3D7"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2.1.9.</w:t>
      </w:r>
      <w:r w:rsidRPr="003B2786">
        <w:rPr>
          <w:rFonts w:ascii="Sylfaen" w:hAnsi="Sylfaen"/>
          <w:sz w:val="24"/>
          <w:szCs w:val="24"/>
        </w:rPr>
        <w:tab/>
        <w:t>Բնակչության հատուկ խմբերը:</w:t>
      </w:r>
    </w:p>
    <w:p w14:paraId="20615CF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Պետք է վերլուծել բնակչության հատուկ խմբերի շրջանում ելակետային դեղամիջոցի </w:t>
      </w:r>
      <w:r w:rsidR="00C54D75">
        <w:rPr>
          <w:rFonts w:ascii="Sylfaen" w:hAnsi="Sylfaen"/>
          <w:sz w:val="24"/>
          <w:szCs w:val="24"/>
        </w:rPr>
        <w:t>և</w:t>
      </w:r>
      <w:r w:rsidRPr="003B2786">
        <w:rPr>
          <w:rFonts w:ascii="Sylfaen" w:hAnsi="Sylfaen"/>
          <w:sz w:val="24"/>
          <w:szCs w:val="24"/>
        </w:rPr>
        <w:t xml:space="preserve"> ակտիվ մետաբոլիտների ՖԿ-ի հասանելի տվյալները:</w:t>
      </w:r>
    </w:p>
    <w:p w14:paraId="5237BB0E"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դոսյեի՝ ՖԿ-ի ներքին գործոնի հետազոտության վերաբերյալ հաշվետվության 5.3.3.3 մոդուլից, ինչպես նա</w:t>
      </w:r>
      <w:r w:rsidR="00C54D75">
        <w:rPr>
          <w:rFonts w:ascii="Sylfaen" w:hAnsi="Sylfaen"/>
          <w:sz w:val="24"/>
          <w:szCs w:val="24"/>
        </w:rPr>
        <w:t>և</w:t>
      </w:r>
      <w:r w:rsidRPr="003B2786">
        <w:rPr>
          <w:rFonts w:ascii="Sylfaen" w:hAnsi="Sylfaen"/>
          <w:sz w:val="24"/>
          <w:szCs w:val="24"/>
        </w:rPr>
        <w:t xml:space="preserve"> գրանցման դոսյեի՝ բնակչության շրջանում ՖԿ-ի հետազոտության վերաբերյալ հաշվետվության 5.3.3.5 մոդուլից (տվյալները պետք է ներկայացվեն նախորդ բաժինների նման </w:t>
      </w:r>
      <w:r w:rsidR="00C54D75">
        <w:rPr>
          <w:rFonts w:ascii="Sylfaen" w:hAnsi="Sylfaen"/>
          <w:sz w:val="24"/>
          <w:szCs w:val="24"/>
        </w:rPr>
        <w:t>և</w:t>
      </w:r>
      <w:r w:rsidRPr="003B2786">
        <w:rPr>
          <w:rFonts w:ascii="Sylfaen" w:hAnsi="Sylfaen"/>
          <w:sz w:val="24"/>
          <w:szCs w:val="24"/>
        </w:rPr>
        <w:t xml:space="preserve"> կարող են ներառվել մեկ ընդհանուր ամփոփ աղյուսակում):</w:t>
      </w:r>
    </w:p>
    <w:p w14:paraId="3F0FEDB0" w14:textId="24733680"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Այստեղ կարող են արտացոլվել տարբեր հետազոտությունների տվյալների ամփոփիչ վերլուծության արդյունքները, որոնք կարող են նպաստել դեղակինետիկայի տարբերությունները հասկանալուն՝ նշելով հնարավոր հետ</w:t>
      </w:r>
      <w:r w:rsidR="00C54D75">
        <w:rPr>
          <w:rFonts w:ascii="Sylfaen" w:hAnsi="Sylfaen"/>
          <w:sz w:val="24"/>
          <w:szCs w:val="24"/>
        </w:rPr>
        <w:t>և</w:t>
      </w:r>
      <w:r w:rsidRPr="003B2786">
        <w:rPr>
          <w:rFonts w:ascii="Sylfaen" w:hAnsi="Sylfaen"/>
          <w:sz w:val="24"/>
          <w:szCs w:val="24"/>
        </w:rPr>
        <w:t xml:space="preserve">անքների մասին </w:t>
      </w:r>
      <w:r w:rsidR="0011179D">
        <w:rPr>
          <w:rFonts w:ascii="Sylfaen" w:hAnsi="Sylfaen"/>
          <w:sz w:val="24"/>
          <w:szCs w:val="24"/>
        </w:rPr>
        <w:t>հայտարարություններ</w:t>
      </w:r>
      <w:r w:rsidRPr="003B2786">
        <w:rPr>
          <w:rFonts w:ascii="Sylfaen" w:hAnsi="Sylfaen"/>
          <w:sz w:val="24"/>
          <w:szCs w:val="24"/>
        </w:rPr>
        <w:t xml:space="preserve">ը: Տվյալ փոփոխությունները կարող են կապված լինել արտաքին կամ ներքին գործոնների հետ, ինչպիսիք են տարիքը, սեռը, ռասան, ծխելը, մետաբոլիկ պոլիմորֆիզմը, երիկամների ֆունկցիաները </w:t>
      </w:r>
      <w:r w:rsidR="00C54D75">
        <w:rPr>
          <w:rFonts w:ascii="Sylfaen" w:hAnsi="Sylfaen"/>
          <w:sz w:val="24"/>
          <w:szCs w:val="24"/>
        </w:rPr>
        <w:t>և</w:t>
      </w:r>
      <w:r w:rsidRPr="003B2786">
        <w:rPr>
          <w:rFonts w:ascii="Sylfaen" w:hAnsi="Sylfaen"/>
          <w:sz w:val="24"/>
          <w:szCs w:val="24"/>
        </w:rPr>
        <w:t xml:space="preserve"> երիկամային անբավարարությունը: Մետաբոլիկ պոլիմորֆիզմի հետ կապված տարբերակները պետք է նկարագրել </w:t>
      </w:r>
      <w:r w:rsidR="00C54D75">
        <w:rPr>
          <w:rFonts w:ascii="Sylfaen" w:hAnsi="Sylfaen"/>
          <w:sz w:val="24"/>
          <w:szCs w:val="24"/>
        </w:rPr>
        <w:t>և</w:t>
      </w:r>
      <w:r w:rsidRPr="003B2786">
        <w:rPr>
          <w:rFonts w:ascii="Sylfaen" w:hAnsi="Sylfaen"/>
          <w:sz w:val="24"/>
          <w:szCs w:val="24"/>
        </w:rPr>
        <w:t xml:space="preserve"> մեկնաբանել վեր</w:t>
      </w:r>
      <w:r w:rsidR="00C54D75">
        <w:rPr>
          <w:rFonts w:ascii="Sylfaen" w:hAnsi="Sylfaen"/>
          <w:sz w:val="24"/>
          <w:szCs w:val="24"/>
        </w:rPr>
        <w:t>և</w:t>
      </w:r>
      <w:r w:rsidRPr="003B2786">
        <w:rPr>
          <w:rFonts w:ascii="Sylfaen" w:hAnsi="Sylfaen"/>
          <w:sz w:val="24"/>
          <w:szCs w:val="24"/>
        </w:rPr>
        <w:t xml:space="preserve">ում՝ «Օրգանիզմից դուրսբերումը» կետում: Կախված հանգամանքներից՝ մանկական բնակչության մասով կարող են ներառվել մոդելավորման </w:t>
      </w:r>
      <w:r w:rsidR="00C54D75">
        <w:rPr>
          <w:rFonts w:ascii="Sylfaen" w:hAnsi="Sylfaen"/>
          <w:sz w:val="24"/>
          <w:szCs w:val="24"/>
        </w:rPr>
        <w:t>և</w:t>
      </w:r>
      <w:r w:rsidRPr="003B2786">
        <w:rPr>
          <w:rFonts w:ascii="Sylfaen" w:hAnsi="Sylfaen"/>
          <w:sz w:val="24"/>
          <w:szCs w:val="24"/>
        </w:rPr>
        <w:t xml:space="preserve"> սիմուլյացիայի տվյալները:</w:t>
      </w:r>
    </w:p>
    <w:p w14:paraId="611E5E77" w14:textId="77777777" w:rsidR="008C76E0" w:rsidRPr="003B2786" w:rsidRDefault="008C76E0" w:rsidP="00262653">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2.1.9.1.</w:t>
      </w:r>
      <w:r w:rsidRPr="003B2786">
        <w:rPr>
          <w:rFonts w:ascii="Sylfaen" w:hAnsi="Sylfaen"/>
          <w:sz w:val="24"/>
          <w:szCs w:val="24"/>
        </w:rPr>
        <w:tab/>
        <w:t>Տարեց մարդիկ:</w:t>
      </w:r>
    </w:p>
    <w:p w14:paraId="651AD9CA" w14:textId="1C989330"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 xml:space="preserve">Եթե նշված տվյալները հնարավոր չէ վերցնել </w:t>
      </w:r>
      <w:r w:rsidR="0056496B">
        <w:rPr>
          <w:rFonts w:ascii="Sylfaen" w:hAnsi="Sylfaen"/>
          <w:sz w:val="24"/>
          <w:szCs w:val="24"/>
        </w:rPr>
        <w:t>դիմում</w:t>
      </w:r>
      <w:r w:rsidRPr="003B2786">
        <w:rPr>
          <w:rFonts w:ascii="Sylfaen" w:hAnsi="Sylfaen"/>
          <w:sz w:val="24"/>
          <w:szCs w:val="24"/>
        </w:rPr>
        <w:t xml:space="preserve">ի նյութերից կամ </w:t>
      </w:r>
      <w:r w:rsidR="0056496B">
        <w:rPr>
          <w:rFonts w:ascii="Sylfaen" w:hAnsi="Sylfaen"/>
          <w:sz w:val="24"/>
          <w:szCs w:val="24"/>
        </w:rPr>
        <w:t>դիմումատու</w:t>
      </w:r>
      <w:r w:rsidRPr="003B2786">
        <w:rPr>
          <w:rFonts w:ascii="Sylfaen" w:hAnsi="Sylfaen"/>
          <w:sz w:val="24"/>
          <w:szCs w:val="24"/>
        </w:rPr>
        <w:t xml:space="preserve">ի կողմից </w:t>
      </w:r>
      <w:r w:rsidR="00003ABD">
        <w:rPr>
          <w:rFonts w:ascii="Sylfaen" w:hAnsi="Sylfaen"/>
          <w:sz w:val="24"/>
          <w:szCs w:val="24"/>
        </w:rPr>
        <w:t>հայտ</w:t>
      </w:r>
      <w:r w:rsidRPr="003B2786">
        <w:rPr>
          <w:rFonts w:ascii="Sylfaen" w:hAnsi="Sylfaen"/>
          <w:sz w:val="24"/>
          <w:szCs w:val="24"/>
        </w:rPr>
        <w:t xml:space="preserve">նած տարբեր տարիքային շեմերի դեպքում, ապա 120-րդ օրը ներկայացվող հաշվետվության հարցերի ցանկում առաջարկվում է ավելացնել հարցի տեսքով աղյուսակ: </w:t>
      </w:r>
    </w:p>
    <w:p w14:paraId="5221FD10"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Եթե հիվանդությունը տարածված է տարեց անձանց շրջանում, ապա պետք է ներկայացնել տարեց անձանց շրջանում ՖԿ-ի հետազոտությունների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պատահական ընտրանքի վերահսկվող կլինիկական հետազոտությունների որ</w:t>
      </w:r>
      <w:r w:rsidR="00C54D75">
        <w:rPr>
          <w:rFonts w:ascii="Sylfaen" w:hAnsi="Sylfaen"/>
          <w:sz w:val="24"/>
          <w:szCs w:val="24"/>
        </w:rPr>
        <w:t>և</w:t>
      </w:r>
      <w:r w:rsidRPr="003B2786">
        <w:rPr>
          <w:rFonts w:ascii="Sylfaen" w:hAnsi="Sylfaen"/>
          <w:sz w:val="24"/>
          <w:szCs w:val="24"/>
        </w:rPr>
        <w:t xml:space="preserve">է կոնկրետ տվյալ կամ հաստատել այդպիսի հետազոտություններ չանցկացնելու փաստը: </w:t>
      </w:r>
    </w:p>
    <w:p w14:paraId="7CF6311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Տարեց մարդկանց շրջանում ՖԿ-ի փոփոխության հավանականության դեպքում, օրինակ՝ կապված երիկամների ֆունկցիայի խանգարման հետ, հարկավոր է մեկնաբանել դեղաչափը ճշտելու անհրաժեշտությունը: </w:t>
      </w:r>
    </w:p>
    <w:p w14:paraId="0BC731B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2.1.9.2.</w:t>
      </w:r>
      <w:r w:rsidRPr="003B2786">
        <w:rPr>
          <w:rFonts w:ascii="Sylfaen" w:hAnsi="Sylfaen"/>
          <w:sz w:val="24"/>
          <w:szCs w:val="24"/>
        </w:rPr>
        <w:tab/>
        <w:t>Երեխաները:</w:t>
      </w:r>
    </w:p>
    <w:p w14:paraId="73CB80B6"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Ներկայացվում են փորձագետի ընդհանուր մեկնաբանությունները՝ բնակչության առանձին խմբերի շրջանում դեղակինետիկայի վերաբերյալ:</w:t>
      </w:r>
    </w:p>
    <w:p w14:paraId="6115C5A5"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Նշվում է, թե արդյոք բավարար չափով է նկարագրված ելակետային պատրաստուկի </w:t>
      </w:r>
      <w:r w:rsidR="00C54D75">
        <w:rPr>
          <w:rFonts w:ascii="Sylfaen" w:hAnsi="Sylfaen"/>
          <w:sz w:val="24"/>
          <w:szCs w:val="24"/>
        </w:rPr>
        <w:t>և</w:t>
      </w:r>
      <w:r w:rsidRPr="003B2786">
        <w:rPr>
          <w:rFonts w:ascii="Sylfaen" w:hAnsi="Sylfaen"/>
          <w:sz w:val="24"/>
          <w:szCs w:val="24"/>
        </w:rPr>
        <w:t xml:space="preserve"> ակտիվ մետաբոլիտների դեղակինետիկան բնակչության հատուկ խմբերի շրջանում:</w:t>
      </w:r>
    </w:p>
    <w:p w14:paraId="1B4C2AC7"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Արդյո՞ք բժշկական կիրառման դեղապատրաստուկի ընդհանուր բնութագրում ներառված է բավականաչափ տեղեկատվություն՝ բնակչության հատուկ խմբերի շրջանում դեղակինետիկայի վերաբերյալ, </w:t>
      </w:r>
      <w:r w:rsidR="00C54D75">
        <w:rPr>
          <w:rFonts w:ascii="Sylfaen" w:hAnsi="Sylfaen"/>
          <w:sz w:val="24"/>
          <w:szCs w:val="24"/>
        </w:rPr>
        <w:t>և</w:t>
      </w:r>
      <w:r w:rsidRPr="003B2786">
        <w:rPr>
          <w:rFonts w:ascii="Sylfaen" w:hAnsi="Sylfaen"/>
          <w:sz w:val="24"/>
          <w:szCs w:val="24"/>
        </w:rPr>
        <w:t xml:space="preserve"> արդյոք արտացոլված է տեղեկատվության հնարավոր բացակայությունը (սահմանափակումներ, նախազգուշական միջոցներ, դեղաչափի ճշտումներ): </w:t>
      </w:r>
    </w:p>
    <w:p w14:paraId="5411D3FB"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Կար</w:t>
      </w:r>
      <w:r w:rsidR="00C54D75">
        <w:rPr>
          <w:rFonts w:ascii="Sylfaen" w:hAnsi="Sylfaen"/>
          <w:sz w:val="24"/>
          <w:szCs w:val="24"/>
        </w:rPr>
        <w:t>և</w:t>
      </w:r>
      <w:r w:rsidRPr="003B2786">
        <w:rPr>
          <w:rFonts w:ascii="Sylfaen" w:hAnsi="Sylfaen"/>
          <w:sz w:val="24"/>
          <w:szCs w:val="24"/>
        </w:rPr>
        <w:t xml:space="preserve">որ է հաշվի առնել ՖԿ/ՖԴ հարաբերակցությունը բնակչության հատուկ խմբերի համար սահմանափակումների, նախազգուշական միջոցների, դեղաչափի ճշտման անհրաժեշտությունը գնահատելիս: Անհրաժեշտ է հաշվի առնել խտություն-ազդեցություն </w:t>
      </w:r>
      <w:r w:rsidR="00C54D75">
        <w:rPr>
          <w:rFonts w:ascii="Sylfaen" w:hAnsi="Sylfaen"/>
          <w:sz w:val="24"/>
          <w:szCs w:val="24"/>
        </w:rPr>
        <w:t>և</w:t>
      </w:r>
      <w:r w:rsidRPr="003B2786">
        <w:rPr>
          <w:rFonts w:ascii="Sylfaen" w:hAnsi="Sylfaen"/>
          <w:sz w:val="24"/>
          <w:szCs w:val="24"/>
        </w:rPr>
        <w:t xml:space="preserve"> խտություն-անցանկալի ազդեցություն հարաբերակցությունները:</w:t>
      </w:r>
    </w:p>
    <w:p w14:paraId="4AFE2D28" w14:textId="77777777" w:rsidR="008C76E0" w:rsidRPr="003B2786" w:rsidRDefault="008C76E0" w:rsidP="00262653">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2.1.10.</w:t>
      </w:r>
      <w:r w:rsidRPr="003B2786">
        <w:rPr>
          <w:rFonts w:ascii="Sylfaen" w:hAnsi="Sylfaen"/>
          <w:sz w:val="24"/>
          <w:szCs w:val="24"/>
        </w:rPr>
        <w:tab/>
        <w:t>Փոխազդեցությունները:</w:t>
      </w:r>
    </w:p>
    <w:p w14:paraId="141743BB"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Հետազոտության արդյունքների կրիտիկական ներկայացումը:</w:t>
      </w:r>
    </w:p>
    <w:p w14:paraId="5B8E1B7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Տվյալների առկայության դեպքում պետք է ներկայացնել դեղերի </w:t>
      </w:r>
      <w:r w:rsidRPr="003B2786">
        <w:rPr>
          <w:rFonts w:ascii="Sylfaen" w:hAnsi="Sylfaen"/>
          <w:sz w:val="24"/>
          <w:szCs w:val="24"/>
        </w:rPr>
        <w:lastRenderedPageBreak/>
        <w:t xml:space="preserve">փոխազդեցությունների վերաբերյալ մեկնաբանություններ (տվյալները պետք է ներկայացվեն նախորդ բաժինների նման </w:t>
      </w:r>
      <w:r w:rsidR="00C54D75">
        <w:rPr>
          <w:rFonts w:ascii="Sylfaen" w:hAnsi="Sylfaen"/>
          <w:sz w:val="24"/>
          <w:szCs w:val="24"/>
        </w:rPr>
        <w:t>և</w:t>
      </w:r>
      <w:r w:rsidRPr="003B2786">
        <w:rPr>
          <w:rFonts w:ascii="Sylfaen" w:hAnsi="Sylfaen"/>
          <w:sz w:val="24"/>
          <w:szCs w:val="24"/>
        </w:rPr>
        <w:t xml:space="preserve"> կարող են ներառվել մեկ ընդհանուր ամփոփ աղյուսակում):</w:t>
      </w:r>
    </w:p>
    <w:p w14:paraId="75C1CAAC"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2.1.10.1.</w:t>
      </w:r>
      <w:r w:rsidRPr="003B2786">
        <w:rPr>
          <w:rFonts w:ascii="Sylfaen" w:hAnsi="Sylfaen"/>
          <w:sz w:val="24"/>
          <w:szCs w:val="24"/>
        </w:rPr>
        <w:tab/>
        <w:t>Լաբորատոր պայմաններում:</w:t>
      </w:r>
    </w:p>
    <w:p w14:paraId="26892C23"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հավաստագրի 5.3.2՝ Մարդկային ծագման կենսանյութերի օգտագործմամբ հետազոտություններ լաբորատոր պայմաններում մոդուլից:</w:t>
      </w:r>
    </w:p>
    <w:p w14:paraId="776EF3BB"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2.1.10.2.</w:t>
      </w:r>
      <w:r w:rsidRPr="003B2786">
        <w:rPr>
          <w:rFonts w:ascii="Sylfaen" w:hAnsi="Sylfaen"/>
          <w:sz w:val="24"/>
          <w:szCs w:val="24"/>
        </w:rPr>
        <w:tab/>
        <w:t>Բնական պայմաններում:</w:t>
      </w:r>
    </w:p>
    <w:p w14:paraId="768955E6"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հավաստագրի 5.3.3.4՝ ՖԿ-ի ներքին գործոնի հետազոտության վերաբերյալ հաշվետվություն մոդուլից:</w:t>
      </w:r>
    </w:p>
    <w:p w14:paraId="0DB15A42" w14:textId="77777777" w:rsidR="008C76E0" w:rsidRPr="003B2786" w:rsidRDefault="008C76E0" w:rsidP="008E1F21">
      <w:pPr>
        <w:pStyle w:val="ListParagraph"/>
        <w:numPr>
          <w:ilvl w:val="3"/>
          <w:numId w:val="4"/>
        </w:numPr>
        <w:tabs>
          <w:tab w:val="left" w:pos="1701"/>
        </w:tabs>
        <w:spacing w:after="160" w:line="360" w:lineRule="auto"/>
        <w:ind w:left="0" w:firstLine="567"/>
        <w:contextualSpacing w:val="0"/>
        <w:jc w:val="both"/>
        <w:rPr>
          <w:rFonts w:ascii="Sylfaen" w:hAnsi="Sylfaen"/>
          <w:sz w:val="24"/>
          <w:szCs w:val="24"/>
        </w:rPr>
      </w:pPr>
      <w:r w:rsidRPr="003B2786">
        <w:rPr>
          <w:rFonts w:ascii="Sylfaen" w:hAnsi="Sylfaen" w:cs="Arial"/>
          <w:sz w:val="24"/>
          <w:szCs w:val="24"/>
        </w:rPr>
        <w:t>Փորձագետի</w:t>
      </w:r>
      <w:r w:rsidRPr="003B2786">
        <w:rPr>
          <w:rFonts w:ascii="Sylfaen" w:hAnsi="Sylfaen"/>
          <w:sz w:val="24"/>
          <w:szCs w:val="24"/>
        </w:rPr>
        <w:t xml:space="preserve"> ընդհանուր մեկնաբանությունները՝ փոխազդեցության ասպեկտների վերաբերյալ:</w:t>
      </w:r>
    </w:p>
    <w:p w14:paraId="67E059A2"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Փոխազդեցության անցկացված հետազոտություններին վերաբերող մեկնաբանությունները:</w:t>
      </w:r>
    </w:p>
    <w:p w14:paraId="24DB9CE1"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Արդյո՞ք անցկացված հետազոտություններից համապատասխան եզրահանգումներ են արվել:</w:t>
      </w:r>
    </w:p>
    <w:p w14:paraId="181E355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Դեղամիջոցի համառոտ բնութագրում ներառված փոխազդեցությունների մասին տեղեկատվության վերաբերյալ մեկնաբանություններ (սահմանափակումներ, նախազգուշական միջոցներ, դեղաչափի ճշտում): Կար</w:t>
      </w:r>
      <w:r w:rsidR="00C54D75">
        <w:rPr>
          <w:rFonts w:ascii="Sylfaen" w:hAnsi="Sylfaen"/>
          <w:sz w:val="24"/>
          <w:szCs w:val="24"/>
        </w:rPr>
        <w:t>և</w:t>
      </w:r>
      <w:r w:rsidRPr="003B2786">
        <w:rPr>
          <w:rFonts w:ascii="Sylfaen" w:hAnsi="Sylfaen"/>
          <w:sz w:val="24"/>
          <w:szCs w:val="24"/>
        </w:rPr>
        <w:t xml:space="preserve">որ է հաշվի առնել ՖԿ/ՖԴ հարաբերակցությունն այլ դեղամիջոցների հետ համատեղ նշանակման դեպքում՝ սահմանափակումները, նախազգուշական միջոցները, դեղաչափի ճշտման անհրաժեշտությունը գնահատելիս: Անհրաժեշտ է հաշվի առնել խտություն-ազդեցություն </w:t>
      </w:r>
      <w:r w:rsidR="00C54D75">
        <w:rPr>
          <w:rFonts w:ascii="Sylfaen" w:hAnsi="Sylfaen"/>
          <w:sz w:val="24"/>
          <w:szCs w:val="24"/>
        </w:rPr>
        <w:t>և</w:t>
      </w:r>
      <w:r w:rsidRPr="003B2786">
        <w:rPr>
          <w:rFonts w:ascii="Sylfaen" w:hAnsi="Sylfaen"/>
          <w:sz w:val="24"/>
          <w:szCs w:val="24"/>
        </w:rPr>
        <w:t xml:space="preserve"> խտություն-անցանկալի ազդեցություն հարաբերակցությունները:</w:t>
      </w:r>
    </w:p>
    <w:p w14:paraId="59F0F6A9" w14:textId="7DF97C4B"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Հնարավոր այն փոխազդեցությունների </w:t>
      </w:r>
      <w:r w:rsidR="009B6AA0">
        <w:rPr>
          <w:rFonts w:ascii="Sylfaen" w:hAnsi="Sylfaen"/>
          <w:sz w:val="24"/>
          <w:szCs w:val="24"/>
        </w:rPr>
        <w:t>հայտն</w:t>
      </w:r>
      <w:r w:rsidRPr="003B2786">
        <w:rPr>
          <w:rFonts w:ascii="Sylfaen" w:hAnsi="Sylfaen"/>
          <w:sz w:val="24"/>
          <w:szCs w:val="24"/>
        </w:rPr>
        <w:t xml:space="preserve">աբերումը, օրինակ՝ ֆերմենտների (փոխանցողների) արգելակումը կամ ինդուկցիան (մակածումը), </w:t>
      </w:r>
      <w:r w:rsidRPr="003B2786">
        <w:rPr>
          <w:rFonts w:ascii="Sylfaen" w:hAnsi="Sylfaen"/>
          <w:sz w:val="24"/>
          <w:szCs w:val="24"/>
        </w:rPr>
        <w:lastRenderedPageBreak/>
        <w:t>որոնք չեն ուսումնասիրվել լաբորատոր կամ բնական պայմաններում փոխազդեցության հետազոտություններում:</w:t>
      </w:r>
    </w:p>
    <w:p w14:paraId="0C33AA1C" w14:textId="0A45F254"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Ներծծման մակարդակում չուսումնասիրված հնարավոր փոխազդեցությունների </w:t>
      </w:r>
      <w:r w:rsidR="009B6AA0">
        <w:rPr>
          <w:rFonts w:ascii="Sylfaen" w:hAnsi="Sylfaen"/>
          <w:sz w:val="24"/>
          <w:szCs w:val="24"/>
        </w:rPr>
        <w:t>հայտնաբերում</w:t>
      </w:r>
      <w:r w:rsidRPr="003B2786">
        <w:rPr>
          <w:rFonts w:ascii="Sylfaen" w:hAnsi="Sylfaen"/>
          <w:sz w:val="24"/>
          <w:szCs w:val="24"/>
        </w:rPr>
        <w:t>:</w:t>
      </w:r>
    </w:p>
    <w:p w14:paraId="35119930"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2.1.11.</w:t>
      </w:r>
      <w:r w:rsidRPr="003B2786">
        <w:rPr>
          <w:rFonts w:ascii="Sylfaen" w:hAnsi="Sylfaen"/>
          <w:sz w:val="24"/>
          <w:szCs w:val="24"/>
        </w:rPr>
        <w:tab/>
        <w:t>Անվտանգության գնահատման համար նշանակալի ազդեցությունը:</w:t>
      </w:r>
    </w:p>
    <w:p w14:paraId="7F2E95E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Ընդհանրացրե՛ք հավասարակշիռ խտության պայմաններում թիրախային պոպուլյացիայի շրջանում, ինչպես նա</w:t>
      </w:r>
      <w:r w:rsidR="00C54D75">
        <w:rPr>
          <w:rFonts w:ascii="Sylfaen" w:hAnsi="Sylfaen"/>
          <w:sz w:val="24"/>
          <w:szCs w:val="24"/>
        </w:rPr>
        <w:t>և</w:t>
      </w:r>
      <w:r w:rsidRPr="003B2786">
        <w:rPr>
          <w:rFonts w:ascii="Sylfaen" w:hAnsi="Sylfaen"/>
          <w:sz w:val="24"/>
          <w:szCs w:val="24"/>
        </w:rPr>
        <w:t xml:space="preserve"> անվտանգության մակարդակի նախակլինիկական գնահատման մեջ հետագայում օգտագործելու համար անվտանգության բարձր մակարդակ ունեցող բնակչության որոշակի խմբերի շրջանում անվտանգության պլանավորվող մակարդակի տվյալները:</w:t>
      </w:r>
    </w:p>
    <w:p w14:paraId="393AE750"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2.1.12.</w:t>
      </w:r>
      <w:r w:rsidRPr="003B2786">
        <w:rPr>
          <w:rFonts w:ascii="Sylfaen" w:hAnsi="Sylfaen"/>
          <w:sz w:val="24"/>
          <w:szCs w:val="24"/>
        </w:rPr>
        <w:tab/>
        <w:t>Փորձագետի ընդհանուր եզրակացությունը՝ դեղակինետիկայի վերաբերյալ:</w:t>
      </w:r>
    </w:p>
    <w:p w14:paraId="23C8BAB6"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Այս կետի բովանդակությունը կարող է տեղափոխվել «Անվտանգության, որակի, արդյունավետության գնահատում» փորձագիտական մոդուլ:</w:t>
      </w:r>
    </w:p>
    <w:p w14:paraId="66AF9901"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առանձին </w:t>
      </w:r>
      <w:r w:rsidR="00C54D75">
        <w:rPr>
          <w:rFonts w:ascii="Sylfaen" w:hAnsi="Sylfaen"/>
          <w:sz w:val="24"/>
          <w:szCs w:val="24"/>
        </w:rPr>
        <w:t>և</w:t>
      </w:r>
      <w:r w:rsidRPr="003B2786">
        <w:rPr>
          <w:rFonts w:ascii="Sylfaen" w:hAnsi="Sylfaen"/>
          <w:sz w:val="24"/>
          <w:szCs w:val="24"/>
        </w:rPr>
        <w:t xml:space="preserve"> խորացված վերլուծության անցկացում՝ պատրաստուկի օգուտ-ռիսկ հարաբերակցությունն առավել պատշաճ գնահատելու համար համապատասխան տվյալներին փորձագետի համակողմանի հասանելիությունն ապահովելու նպատակով:</w:t>
      </w:r>
    </w:p>
    <w:p w14:paraId="798DA0BD" w14:textId="16B0EE16"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Այս բաժնում գնահատման մասով փորձագետը պետք է առանձնացնի զեկույցի տարբեր բաժիններում նկարագրված կար</w:t>
      </w:r>
      <w:r w:rsidR="00C54D75">
        <w:rPr>
          <w:rFonts w:ascii="Sylfaen" w:hAnsi="Sylfaen"/>
          <w:sz w:val="24"/>
          <w:szCs w:val="24"/>
        </w:rPr>
        <w:t>և</w:t>
      </w:r>
      <w:r w:rsidRPr="003B2786">
        <w:rPr>
          <w:rFonts w:ascii="Sylfaen" w:hAnsi="Sylfaen"/>
          <w:sz w:val="24"/>
          <w:szCs w:val="24"/>
        </w:rPr>
        <w:t>որագույն հարցերը (ներծծում, բաշխում, օրգանիզմից դուրսբերում), ինչպես նա</w:t>
      </w:r>
      <w:r w:rsidR="00C54D75">
        <w:rPr>
          <w:rFonts w:ascii="Sylfaen" w:hAnsi="Sylfaen"/>
          <w:sz w:val="24"/>
          <w:szCs w:val="24"/>
        </w:rPr>
        <w:t>և</w:t>
      </w:r>
      <w:r w:rsidRPr="003B2786">
        <w:rPr>
          <w:rFonts w:ascii="Sylfaen" w:hAnsi="Sylfaen"/>
          <w:sz w:val="24"/>
          <w:szCs w:val="24"/>
        </w:rPr>
        <w:t xml:space="preserve"> եզրակացություն ներկայացնի դեղակինետիկ փաստաթղթերի որակի վերաբերյալ՝ հատուկ ուշադրություն դարձնելով </w:t>
      </w:r>
      <w:r w:rsidR="00003ABD">
        <w:rPr>
          <w:rFonts w:ascii="Sylfaen" w:hAnsi="Sylfaen"/>
          <w:sz w:val="24"/>
          <w:szCs w:val="24"/>
        </w:rPr>
        <w:t>հայտնաբերված</w:t>
      </w:r>
      <w:r w:rsidRPr="003B2786">
        <w:rPr>
          <w:rFonts w:ascii="Sylfaen" w:hAnsi="Sylfaen"/>
          <w:sz w:val="24"/>
          <w:szCs w:val="24"/>
        </w:rPr>
        <w:t xml:space="preserve"> թերություններին: </w:t>
      </w:r>
    </w:p>
    <w:p w14:paraId="495C69A5" w14:textId="2C647D4B"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Բացի այդ, տվյալ բաժնում դեղապատրաստուկի համառոտ բնութագրի մեջ պետք է բերվի դեղակինետիկ տեղեկատվության շարադրանքի բնույթի գնահատումը, </w:t>
      </w:r>
      <w:r w:rsidR="00C54D75">
        <w:rPr>
          <w:rFonts w:ascii="Sylfaen" w:hAnsi="Sylfaen"/>
          <w:sz w:val="24"/>
          <w:szCs w:val="24"/>
        </w:rPr>
        <w:t>և</w:t>
      </w:r>
      <w:r w:rsidRPr="003B2786">
        <w:rPr>
          <w:rFonts w:ascii="Sylfaen" w:hAnsi="Sylfaen"/>
          <w:sz w:val="24"/>
          <w:szCs w:val="24"/>
        </w:rPr>
        <w:t xml:space="preserve"> հատկապես պետք է պարունակվեն պատշաճ հիմնավորմամբ </w:t>
      </w:r>
      <w:r w:rsidR="0011179D">
        <w:rPr>
          <w:rFonts w:ascii="Sylfaen" w:hAnsi="Sylfaen"/>
          <w:sz w:val="24"/>
          <w:szCs w:val="24"/>
        </w:rPr>
        <w:lastRenderedPageBreak/>
        <w:t>հայտարարություններ</w:t>
      </w:r>
      <w:r w:rsidRPr="003B2786">
        <w:rPr>
          <w:rFonts w:ascii="Sylfaen" w:hAnsi="Sylfaen"/>
          <w:sz w:val="24"/>
          <w:szCs w:val="24"/>
        </w:rPr>
        <w:t xml:space="preserve">՝ ներկայացված դեղապատրաստուկի համառոտ բնութագրի համապատասխան բաժիններում: Գնահատման մասով փորձագետը պետք է մեկնաբանի բավականաչափ տեղեկատվության </w:t>
      </w:r>
      <w:r w:rsidR="00C54D75">
        <w:rPr>
          <w:rFonts w:ascii="Sylfaen" w:hAnsi="Sylfaen"/>
          <w:sz w:val="24"/>
          <w:szCs w:val="24"/>
        </w:rPr>
        <w:t>և</w:t>
      </w:r>
      <w:r w:rsidRPr="003B2786">
        <w:rPr>
          <w:rFonts w:ascii="Sylfaen" w:hAnsi="Sylfaen"/>
          <w:sz w:val="24"/>
          <w:szCs w:val="24"/>
        </w:rPr>
        <w:t xml:space="preserve"> (կամ) դեղապատրաստուկի ընդհանուր բնութագրում նախազգուշական միջոցների (սահմանափակումների) վերաբերյալ տեղեկությունների առկայությունը կամ բացակայությունը պացիենտների որոշակի խմբերի վերաբերյալ տեղեկատվության (երիկամային (լյարդի) անբավարարություն, երեխաներ, տարեց մարդիկ </w:t>
      </w:r>
      <w:r w:rsidR="00C54D75">
        <w:rPr>
          <w:rFonts w:ascii="Sylfaen" w:hAnsi="Sylfaen"/>
          <w:sz w:val="24"/>
          <w:szCs w:val="24"/>
        </w:rPr>
        <w:t>և</w:t>
      </w:r>
      <w:r w:rsidRPr="003B2786">
        <w:rPr>
          <w:rFonts w:ascii="Sylfaen" w:hAnsi="Sylfaen"/>
          <w:sz w:val="24"/>
          <w:szCs w:val="24"/>
        </w:rPr>
        <w:t xml:space="preserve"> այլն) բացակայության դեպքում:</w:t>
      </w:r>
    </w:p>
    <w:p w14:paraId="794DC9DC"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Որպես այլընտրանք այս բաժնում կարելի է ուղղակի ձ</w:t>
      </w:r>
      <w:r w:rsidR="00C54D75">
        <w:rPr>
          <w:rFonts w:ascii="Sylfaen" w:hAnsi="Sylfaen"/>
          <w:sz w:val="24"/>
          <w:szCs w:val="24"/>
        </w:rPr>
        <w:t>և</w:t>
      </w:r>
      <w:r w:rsidRPr="003B2786">
        <w:rPr>
          <w:rFonts w:ascii="Sylfaen" w:hAnsi="Sylfaen"/>
          <w:sz w:val="24"/>
          <w:szCs w:val="24"/>
        </w:rPr>
        <w:t xml:space="preserve">ակերպել հիմնական եզրահանգումները, </w:t>
      </w:r>
      <w:r w:rsidR="00C54D75">
        <w:rPr>
          <w:rFonts w:ascii="Sylfaen" w:hAnsi="Sylfaen"/>
          <w:sz w:val="24"/>
          <w:szCs w:val="24"/>
        </w:rPr>
        <w:t>և</w:t>
      </w:r>
      <w:r w:rsidRPr="003B2786">
        <w:rPr>
          <w:rFonts w:ascii="Sylfaen" w:hAnsi="Sylfaen"/>
          <w:sz w:val="24"/>
          <w:szCs w:val="24"/>
        </w:rPr>
        <w:t xml:space="preserve"> այդ դեպքում «Ամփոփիչ մոդուլի» տեքստն անհրաժեշտ կլինի մշակել առանձին:</w:t>
      </w:r>
    </w:p>
    <w:p w14:paraId="384604D8"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Ներկայացված դոսյեի մեջ առանձնացրե՛ք «Կլինիկական ամփոփում» բաժնի բովանդակության հետ համապատասխանության (անհամապատասխանության) ցանկացած ոլորտ:</w:t>
      </w:r>
    </w:p>
    <w:p w14:paraId="71349920"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Դեղադինամիկան:</w:t>
      </w:r>
    </w:p>
    <w:p w14:paraId="09E3457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w:t>
      </w:r>
      <w:r w:rsidRPr="003B2786">
        <w:rPr>
          <w:rFonts w:ascii="Sylfaen" w:hAnsi="Sylfaen"/>
          <w:sz w:val="24"/>
          <w:szCs w:val="24"/>
        </w:rPr>
        <w:tab/>
        <w:t>Ներածությունը:</w:t>
      </w:r>
    </w:p>
    <w:p w14:paraId="6EED460A"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Համառոտ տեղեկություններ՝ անցկացված հետազոտությունների վերաբերյալ, առողջ կամավորների (պացիենտների) բնութագիրը, հետազոտության կառուցվածքը </w:t>
      </w:r>
      <w:r w:rsidR="00C54D75">
        <w:rPr>
          <w:rFonts w:ascii="Sylfaen" w:hAnsi="Sylfaen"/>
          <w:sz w:val="24"/>
          <w:szCs w:val="24"/>
        </w:rPr>
        <w:t>և</w:t>
      </w:r>
      <w:r w:rsidRPr="003B2786">
        <w:rPr>
          <w:rFonts w:ascii="Sylfaen" w:hAnsi="Sylfaen"/>
          <w:sz w:val="24"/>
          <w:szCs w:val="24"/>
        </w:rPr>
        <w:t xml:space="preserve"> կլինիկական արդյունավետության կետերի վերաբերյալ տեղեկություններ: </w:t>
      </w:r>
    </w:p>
    <w:p w14:paraId="1FA4DCFB" w14:textId="37464DA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pacing w:val="6"/>
          <w:sz w:val="24"/>
          <w:szCs w:val="24"/>
        </w:rPr>
        <w:t xml:space="preserve">Կենսահամանման (կենսանման) պատրաստուկների մասով պետք է կատարել հետազոտվող </w:t>
      </w:r>
      <w:r w:rsidR="00C54D75">
        <w:rPr>
          <w:rFonts w:ascii="Sylfaen" w:hAnsi="Sylfaen"/>
          <w:spacing w:val="6"/>
          <w:sz w:val="24"/>
          <w:szCs w:val="24"/>
        </w:rPr>
        <w:t>և</w:t>
      </w:r>
      <w:r w:rsidRPr="003B2786">
        <w:rPr>
          <w:rFonts w:ascii="Sylfaen" w:hAnsi="Sylfaen"/>
          <w:spacing w:val="6"/>
          <w:sz w:val="24"/>
          <w:szCs w:val="24"/>
        </w:rPr>
        <w:t xml:space="preserve"> չափանմուշային պատրաստուկի դեղադինամիկ ազդեցության համեմատական գնահատում բնակչության այն խմբերի շրջանում, որոնց բնութագրերը թույլ են տալիս լավագույնս</w:t>
      </w:r>
      <w:r w:rsidR="00F82B65">
        <w:rPr>
          <w:rFonts w:ascii="Sylfaen" w:hAnsi="Sylfaen"/>
          <w:spacing w:val="6"/>
          <w:sz w:val="24"/>
          <w:szCs w:val="24"/>
        </w:rPr>
        <w:t xml:space="preserve"> հայտնաբերել </w:t>
      </w:r>
      <w:r w:rsidRPr="003B2786">
        <w:rPr>
          <w:rFonts w:ascii="Sylfaen" w:hAnsi="Sylfaen"/>
          <w:spacing w:val="6"/>
          <w:sz w:val="24"/>
          <w:szCs w:val="24"/>
        </w:rPr>
        <w:t xml:space="preserve">տարբերությունները: Անհրաժեշտ է բերել հետազոտությունների կառուցվածքի </w:t>
      </w:r>
      <w:r w:rsidR="00C54D75">
        <w:rPr>
          <w:rFonts w:ascii="Sylfaen" w:hAnsi="Sylfaen"/>
          <w:spacing w:val="6"/>
          <w:sz w:val="24"/>
          <w:szCs w:val="24"/>
        </w:rPr>
        <w:t>և</w:t>
      </w:r>
      <w:r w:rsidRPr="003B2786">
        <w:rPr>
          <w:rFonts w:ascii="Sylfaen" w:hAnsi="Sylfaen"/>
          <w:spacing w:val="6"/>
          <w:sz w:val="24"/>
          <w:szCs w:val="24"/>
        </w:rPr>
        <w:t xml:space="preserve"> տ</w:t>
      </w:r>
      <w:r w:rsidR="00C54D75">
        <w:rPr>
          <w:rFonts w:ascii="Sylfaen" w:hAnsi="Sylfaen"/>
          <w:spacing w:val="6"/>
          <w:sz w:val="24"/>
          <w:szCs w:val="24"/>
        </w:rPr>
        <w:t>և</w:t>
      </w:r>
      <w:r w:rsidRPr="003B2786">
        <w:rPr>
          <w:rFonts w:ascii="Sylfaen" w:hAnsi="Sylfaen"/>
          <w:spacing w:val="6"/>
          <w:sz w:val="24"/>
          <w:szCs w:val="24"/>
        </w:rPr>
        <w:t xml:space="preserve">ողության հիմնավորումը: ՖԿ/ՖԴ-ի համակցված հետազոտությունները կարող են լինել օգտագործված միջոցի քանակի </w:t>
      </w:r>
      <w:r w:rsidR="00C54D75">
        <w:rPr>
          <w:rFonts w:ascii="Sylfaen" w:hAnsi="Sylfaen"/>
          <w:spacing w:val="6"/>
          <w:sz w:val="24"/>
          <w:szCs w:val="24"/>
        </w:rPr>
        <w:t>և</w:t>
      </w:r>
      <w:r w:rsidRPr="003B2786">
        <w:rPr>
          <w:rFonts w:ascii="Sylfaen" w:hAnsi="Sylfaen"/>
          <w:spacing w:val="6"/>
          <w:sz w:val="24"/>
          <w:szCs w:val="24"/>
        </w:rPr>
        <w:t xml:space="preserve"> ազդեցության</w:t>
      </w:r>
      <w:r w:rsidRPr="003B2786">
        <w:rPr>
          <w:rFonts w:ascii="Sylfaen" w:hAnsi="Sylfaen"/>
          <w:sz w:val="24"/>
          <w:szCs w:val="24"/>
        </w:rPr>
        <w:t xml:space="preserve"> միջ</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 xml:space="preserve">փոխկապակցվածության վերաբերյալ անհրաժեշտ տեղեկատվության աղբյուր: Ընտրված դեղաչափի ցուցանիշները պետք է արտացոլվեն «դեղաչափ-ազդեցության» կորի ուռուցիկ մասում: Կարող են օգտակար լինել 1-ից ավելի դեղաչափի օգտագործմամբ հետազոտությունների տվյալները: Եթե ՖԿ/ՖԴ-ի հետազոտություններն օգտագործվում են կենսաբանական դեղապատրաստուկների նմանությունը ապացուցելու նպատակով, ապա անհրաժեշտ է պարտադիր հետազոտել դեղաչափերի թույլատրելի տիրույթը, որպեսզի ցույց տրվի անալիզի զգայունությունը: ՖԿ-ի </w:t>
      </w:r>
      <w:r w:rsidR="00C54D75">
        <w:rPr>
          <w:rFonts w:ascii="Sylfaen" w:hAnsi="Sylfaen"/>
          <w:sz w:val="24"/>
          <w:szCs w:val="24"/>
        </w:rPr>
        <w:t>և</w:t>
      </w:r>
      <w:r w:rsidRPr="003B2786">
        <w:rPr>
          <w:rFonts w:ascii="Sylfaen" w:hAnsi="Sylfaen"/>
          <w:sz w:val="24"/>
          <w:szCs w:val="24"/>
        </w:rPr>
        <w:t xml:space="preserve"> ՖԴ-ի պարամետրերի համարժեքությունը որոշող սահմանները պետք է որոշվեն </w:t>
      </w:r>
      <w:r w:rsidR="00C54D75">
        <w:rPr>
          <w:rFonts w:ascii="Sylfaen" w:hAnsi="Sylfaen"/>
          <w:sz w:val="24"/>
          <w:szCs w:val="24"/>
        </w:rPr>
        <w:t>և</w:t>
      </w:r>
      <w:r w:rsidRPr="003B2786">
        <w:rPr>
          <w:rFonts w:ascii="Sylfaen" w:hAnsi="Sylfaen"/>
          <w:sz w:val="24"/>
          <w:szCs w:val="24"/>
        </w:rPr>
        <w:t xml:space="preserve"> հիմնավորվեն նախապես:</w:t>
      </w:r>
    </w:p>
    <w:p w14:paraId="12BE39AA"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2.2.2.</w:t>
      </w:r>
      <w:r w:rsidRPr="003B2786">
        <w:rPr>
          <w:rFonts w:ascii="Sylfaen" w:hAnsi="Sylfaen"/>
          <w:sz w:val="24"/>
          <w:szCs w:val="24"/>
        </w:rPr>
        <w:tab/>
        <w:t>Ազդեցության մեխանիզմը:</w:t>
      </w:r>
    </w:p>
    <w:p w14:paraId="26B6F63E"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Կարելի է նկարագրել դեղադինամիկ ազդեցության ռեժիմը կլինիկական տեսակետից ցանկալի առաջնային ֆիզիոլոգիական (թերապ</w:t>
      </w:r>
      <w:r w:rsidR="00C54D75">
        <w:rPr>
          <w:rFonts w:ascii="Sylfaen" w:hAnsi="Sylfaen"/>
          <w:sz w:val="24"/>
          <w:szCs w:val="24"/>
        </w:rPr>
        <w:t>և</w:t>
      </w:r>
      <w:r w:rsidRPr="003B2786">
        <w:rPr>
          <w:rFonts w:ascii="Sylfaen" w:hAnsi="Sylfaen"/>
          <w:sz w:val="24"/>
          <w:szCs w:val="24"/>
        </w:rPr>
        <w:t>տիկ) ազդեցությունների նկատմամբ (առաջնային դեղադինամիկ ազդեցություն): Տվյալ բաժնում կամ ստորին բաժիններում նույնպես կարելի է մեկնաբանել ՖԴ-ի ընտրված կենսանշիչների (բիոմարկերների) արդիականությունը:</w:t>
      </w:r>
    </w:p>
    <w:p w14:paraId="541166F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Բացի այդ, հաշվի առնելով հետազոտվող նյութի բնույթը՝ անհրաժեշտ է մեկնաբանել պատրաստուկի հնարավոր երկրորդային դեղադինամիկ ազդեցությունները:</w:t>
      </w:r>
    </w:p>
    <w:p w14:paraId="3AA6EACA"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2.2.3.</w:t>
      </w:r>
      <w:r w:rsidRPr="003B2786">
        <w:rPr>
          <w:rFonts w:ascii="Sylfaen" w:hAnsi="Sylfaen"/>
          <w:sz w:val="24"/>
          <w:szCs w:val="24"/>
        </w:rPr>
        <w:tab/>
        <w:t>Առաջնային դեղաբանությունը:</w:t>
      </w:r>
    </w:p>
    <w:p w14:paraId="308A2CE9"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Անհրաժեշտ է անցկացնել օգտագործվող կենսանշիչների արդիականության կրիտիկական գնահատում:</w:t>
      </w:r>
    </w:p>
    <w:p w14:paraId="3FE9C53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Հարկավոր է նա</w:t>
      </w:r>
      <w:r w:rsidR="00C54D75">
        <w:rPr>
          <w:rFonts w:ascii="Sylfaen" w:hAnsi="Sylfaen"/>
          <w:sz w:val="24"/>
          <w:szCs w:val="24"/>
        </w:rPr>
        <w:t>և</w:t>
      </w:r>
      <w:r w:rsidRPr="003B2786">
        <w:rPr>
          <w:rFonts w:ascii="Sylfaen" w:hAnsi="Sylfaen"/>
          <w:sz w:val="24"/>
          <w:szCs w:val="24"/>
        </w:rPr>
        <w:t xml:space="preserve"> բերել ազդեցության մեխանիզմի, «դեղաչափ-ազդեցություն» կախվածության, այդ թվում՝ պատրաստուկի ազդեցության ժամանակահատվածի նկարագրությունը, ինչպես նա</w:t>
      </w:r>
      <w:r w:rsidR="00C54D75">
        <w:rPr>
          <w:rFonts w:ascii="Sylfaen" w:hAnsi="Sylfaen"/>
          <w:sz w:val="24"/>
          <w:szCs w:val="24"/>
        </w:rPr>
        <w:t>և</w:t>
      </w:r>
      <w:r w:rsidRPr="003B2786">
        <w:rPr>
          <w:rFonts w:ascii="Sylfaen" w:hAnsi="Sylfaen"/>
          <w:sz w:val="24"/>
          <w:szCs w:val="24"/>
        </w:rPr>
        <w:t xml:space="preserve"> դոզավորման ռեժիմի հիմնավորումը:</w:t>
      </w:r>
    </w:p>
    <w:p w14:paraId="063F3E93"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Հատկապես կար</w:t>
      </w:r>
      <w:r w:rsidR="00C54D75">
        <w:rPr>
          <w:rFonts w:ascii="Sylfaen" w:hAnsi="Sylfaen"/>
          <w:sz w:val="24"/>
          <w:szCs w:val="24"/>
        </w:rPr>
        <w:t>և</w:t>
      </w:r>
      <w:r w:rsidRPr="003B2786">
        <w:rPr>
          <w:rFonts w:ascii="Sylfaen" w:hAnsi="Sylfaen"/>
          <w:sz w:val="24"/>
          <w:szCs w:val="24"/>
        </w:rPr>
        <w:t>որ է բերել դեղաչափերի որոշման մասով սկզբնական հետազոտությունների նկարագրությունը:</w:t>
      </w:r>
    </w:p>
    <w:p w14:paraId="43504958"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Վերոնշյալ տեղեկատվության շարադրման նպատակը դոզավորումը բարձրացնելու դեպքում, արդյունավետության </w:t>
      </w:r>
      <w:r w:rsidR="00C54D75">
        <w:rPr>
          <w:rFonts w:ascii="Sylfaen" w:hAnsi="Sylfaen"/>
          <w:sz w:val="24"/>
          <w:szCs w:val="24"/>
        </w:rPr>
        <w:t>և</w:t>
      </w:r>
      <w:r w:rsidRPr="003B2786">
        <w:rPr>
          <w:rFonts w:ascii="Sylfaen" w:hAnsi="Sylfaen"/>
          <w:sz w:val="24"/>
          <w:szCs w:val="24"/>
        </w:rPr>
        <w:t xml:space="preserve"> տանելիության պարամետրերի հիման վրա, «դեղաչափ-ազդեցություն» կախվածությունը հաստատող հետազոտությունների համար դեղաչափի ընտրության նկարագրությունն է: Նպատակը թերապ</w:t>
      </w:r>
      <w:r w:rsidR="00C54D75">
        <w:rPr>
          <w:rFonts w:ascii="Sylfaen" w:hAnsi="Sylfaen"/>
          <w:sz w:val="24"/>
          <w:szCs w:val="24"/>
        </w:rPr>
        <w:t>և</w:t>
      </w:r>
      <w:r w:rsidRPr="003B2786">
        <w:rPr>
          <w:rFonts w:ascii="Sylfaen" w:hAnsi="Sylfaen"/>
          <w:sz w:val="24"/>
          <w:szCs w:val="24"/>
        </w:rPr>
        <w:t xml:space="preserve">տիկ տիրույթի նախնական ուսումնասիրությունը </w:t>
      </w:r>
      <w:r w:rsidR="00C54D75">
        <w:rPr>
          <w:rFonts w:ascii="Sylfaen" w:hAnsi="Sylfaen"/>
          <w:sz w:val="24"/>
          <w:szCs w:val="24"/>
        </w:rPr>
        <w:t>և</w:t>
      </w:r>
      <w:r w:rsidRPr="003B2786">
        <w:rPr>
          <w:rFonts w:ascii="Sylfaen" w:hAnsi="Sylfaen"/>
          <w:sz w:val="24"/>
          <w:szCs w:val="24"/>
        </w:rPr>
        <w:t xml:space="preserve"> պատրաստուկի դեղաչափի նկատմամբ ռեակցիայի որոշումն է:</w:t>
      </w:r>
    </w:p>
    <w:p w14:paraId="7A1A9ACB"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Նկարագրե՛ք պատրաստուկի նկատմամբ ՖԴ ռեակցիաների որ</w:t>
      </w:r>
      <w:r w:rsidR="00C54D75">
        <w:rPr>
          <w:rFonts w:ascii="Sylfaen" w:hAnsi="Sylfaen"/>
          <w:sz w:val="24"/>
          <w:szCs w:val="24"/>
        </w:rPr>
        <w:t>և</w:t>
      </w:r>
      <w:r w:rsidRPr="003B2786">
        <w:rPr>
          <w:rFonts w:ascii="Sylfaen" w:hAnsi="Sylfaen"/>
          <w:sz w:val="24"/>
          <w:szCs w:val="24"/>
        </w:rPr>
        <w:t>է գենետիկ տարբերություն, ինչպես նա</w:t>
      </w:r>
      <w:r w:rsidR="00C54D75">
        <w:rPr>
          <w:rFonts w:ascii="Sylfaen" w:hAnsi="Sylfaen"/>
          <w:sz w:val="24"/>
          <w:szCs w:val="24"/>
        </w:rPr>
        <w:t>և</w:t>
      </w:r>
      <w:r w:rsidRPr="003B2786">
        <w:rPr>
          <w:rFonts w:ascii="Sylfaen" w:hAnsi="Sylfaen"/>
          <w:sz w:val="24"/>
          <w:szCs w:val="24"/>
        </w:rPr>
        <w:t xml:space="preserve"> երեխաների շրջանում հնարավոր տարբերությունները (օրինակ՝ հասունացման հետ</w:t>
      </w:r>
      <w:r w:rsidR="00C54D75">
        <w:rPr>
          <w:rFonts w:ascii="Sylfaen" w:hAnsi="Sylfaen"/>
          <w:sz w:val="24"/>
          <w:szCs w:val="24"/>
        </w:rPr>
        <w:t>և</w:t>
      </w:r>
      <w:r w:rsidRPr="003B2786">
        <w:rPr>
          <w:rFonts w:ascii="Sylfaen" w:hAnsi="Sylfaen"/>
          <w:sz w:val="24"/>
          <w:szCs w:val="24"/>
        </w:rPr>
        <w:t>անքով):</w:t>
      </w:r>
    </w:p>
    <w:p w14:paraId="69B1582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կարող են նկարագրվել հատուկ հետազոտությունների (օրինակ՝ իմունոգենության հետազոտությունների </w:t>
      </w:r>
      <w:r w:rsidR="00C54D75">
        <w:rPr>
          <w:rFonts w:ascii="Sylfaen" w:hAnsi="Sylfaen"/>
          <w:sz w:val="24"/>
          <w:szCs w:val="24"/>
        </w:rPr>
        <w:t>և</w:t>
      </w:r>
      <w:r w:rsidRPr="003B2786">
        <w:rPr>
          <w:rFonts w:ascii="Sylfaen" w:hAnsi="Sylfaen"/>
          <w:sz w:val="24"/>
          <w:szCs w:val="24"/>
        </w:rPr>
        <w:t xml:space="preserve"> մանրէաբանական հետազոտությունների) արդյունքները:</w:t>
      </w:r>
    </w:p>
    <w:p w14:paraId="5390AF0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2.2.4.</w:t>
      </w:r>
      <w:r w:rsidRPr="003B2786">
        <w:rPr>
          <w:rFonts w:ascii="Sylfaen" w:hAnsi="Sylfaen"/>
          <w:sz w:val="24"/>
          <w:szCs w:val="24"/>
        </w:rPr>
        <w:tab/>
        <w:t>Երկրորդային դեղաբանությունը:</w:t>
      </w:r>
    </w:p>
    <w:p w14:paraId="70989DD3"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Ուսումնասիրե՛ք երկրորդային դեղաբանության ցուցանիշները (կիրառման ցուցումների մասով): Կլինիկական արդյունավետության դինամիկ վերջնակետերով համապատասխան հետազոտությունների անցկացման շրջանակներում առողջ կամավորների շրջանում երկրորդային դեղաբանության նկատմամբ տանելիության ընդհանուր բնութագրերը, օրինակ՝ զարկերակային ճնշումը 24-ժամյա ժամանակահատվածում, կենսաքիմիական ցուցանիշները, վիրուսային ծանրաբեռնվածության մակարդակը, ԷՍԳ-ն, ԷԷԳ-ն </w:t>
      </w:r>
      <w:r w:rsidR="00C54D75">
        <w:rPr>
          <w:rFonts w:ascii="Sylfaen" w:hAnsi="Sylfaen"/>
          <w:sz w:val="24"/>
          <w:szCs w:val="24"/>
        </w:rPr>
        <w:t>և</w:t>
      </w:r>
      <w:r w:rsidRPr="003B2786">
        <w:rPr>
          <w:rFonts w:ascii="Sylfaen" w:hAnsi="Sylfaen"/>
          <w:sz w:val="24"/>
          <w:szCs w:val="24"/>
        </w:rPr>
        <w:t xml:space="preserve"> այլն: </w:t>
      </w:r>
    </w:p>
    <w:p w14:paraId="29EB9D84" w14:textId="77777777" w:rsidR="008C76E0" w:rsidRPr="003B2786" w:rsidRDefault="008C76E0" w:rsidP="00262653">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2.2.5.</w:t>
      </w:r>
      <w:r w:rsidRPr="003B2786">
        <w:rPr>
          <w:rFonts w:ascii="Sylfaen" w:hAnsi="Sylfaen"/>
          <w:sz w:val="24"/>
          <w:szCs w:val="24"/>
        </w:rPr>
        <w:tab/>
        <w:t xml:space="preserve">Պլազմայում խտության </w:t>
      </w:r>
      <w:r w:rsidR="00C54D75">
        <w:rPr>
          <w:rFonts w:ascii="Sylfaen" w:hAnsi="Sylfaen"/>
          <w:sz w:val="24"/>
          <w:szCs w:val="24"/>
        </w:rPr>
        <w:t>և</w:t>
      </w:r>
      <w:r w:rsidRPr="003B2786">
        <w:rPr>
          <w:rFonts w:ascii="Sylfaen" w:hAnsi="Sylfaen"/>
          <w:sz w:val="24"/>
          <w:szCs w:val="24"/>
        </w:rPr>
        <w:t xml:space="preserve"> ազդեցության միջ</w:t>
      </w:r>
      <w:r w:rsidR="00C54D75">
        <w:rPr>
          <w:rFonts w:ascii="Sylfaen" w:hAnsi="Sylfaen"/>
          <w:sz w:val="24"/>
          <w:szCs w:val="24"/>
        </w:rPr>
        <w:t>և</w:t>
      </w:r>
      <w:r w:rsidRPr="003B2786">
        <w:rPr>
          <w:rFonts w:ascii="Sylfaen" w:hAnsi="Sylfaen"/>
          <w:sz w:val="24"/>
          <w:szCs w:val="24"/>
        </w:rPr>
        <w:t xml:space="preserve"> փոխկապակցվածությունը:</w:t>
      </w:r>
    </w:p>
    <w:p w14:paraId="4F06A027" w14:textId="77777777" w:rsidR="008C76E0" w:rsidRPr="003B2786" w:rsidRDefault="008C76E0" w:rsidP="00262653">
      <w:pPr>
        <w:spacing w:after="160" w:line="384" w:lineRule="auto"/>
        <w:ind w:right="-1" w:firstLine="567"/>
        <w:jc w:val="both"/>
        <w:rPr>
          <w:rFonts w:ascii="Sylfaen" w:hAnsi="Sylfaen"/>
          <w:sz w:val="24"/>
          <w:szCs w:val="24"/>
        </w:rPr>
      </w:pPr>
      <w:r w:rsidRPr="003B2786">
        <w:rPr>
          <w:rFonts w:ascii="Sylfaen" w:hAnsi="Sylfaen"/>
          <w:sz w:val="24"/>
          <w:szCs w:val="24"/>
        </w:rPr>
        <w:t xml:space="preserve">Գրանցման դոսյեի 5.3.4 մոդուլից ստացված տվյալները առողջ կամավորների </w:t>
      </w:r>
      <w:r w:rsidR="00C54D75">
        <w:rPr>
          <w:rFonts w:ascii="Sylfaen" w:hAnsi="Sylfaen"/>
          <w:sz w:val="24"/>
          <w:szCs w:val="24"/>
        </w:rPr>
        <w:t>և</w:t>
      </w:r>
      <w:r w:rsidRPr="003B2786">
        <w:rPr>
          <w:rFonts w:ascii="Sylfaen" w:hAnsi="Sylfaen"/>
          <w:sz w:val="24"/>
          <w:szCs w:val="24"/>
        </w:rPr>
        <w:t xml:space="preserve"> պացիենտների շրջանում ՖԿ/ՖԴ-ի վերաբերյալ:</w:t>
      </w:r>
    </w:p>
    <w:p w14:paraId="4C3AD1C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«Խտությունը պլազմայում-ազդեցություն» հարաբերակցության ցուցանիշը՝ բաժանած «դեղաչափ-ազդեցություն» հարաբերակցության ցուցանիշի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 xml:space="preserve">«ազդեցություն-խտություն» հարաբերակցության ցուցանիշի՝ հատուկ ուշադրություն դարձնելով ազդեցության սկզբին </w:t>
      </w:r>
      <w:r w:rsidR="00C54D75">
        <w:rPr>
          <w:rFonts w:ascii="Sylfaen" w:hAnsi="Sylfaen"/>
          <w:sz w:val="24"/>
          <w:szCs w:val="24"/>
        </w:rPr>
        <w:t>և</w:t>
      </w:r>
      <w:r w:rsidRPr="003B2786">
        <w:rPr>
          <w:rFonts w:ascii="Sylfaen" w:hAnsi="Sylfaen"/>
          <w:sz w:val="24"/>
          <w:szCs w:val="24"/>
        </w:rPr>
        <w:t xml:space="preserve"> ավարտին:</w:t>
      </w:r>
    </w:p>
    <w:p w14:paraId="078EC8CA"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Առկայության դեպքում ՖԴ-ի հետ առնչություն ունեցող ՖԿ-ի տվյալները նույնպես կարող են նկարագրվել այստեղ՝ ՖԿ/ՖԴ-ում փոփոխությունների աղբյուրների վերաբերյալ տեղեկատվություն հաղորդելու նպատակով:</w:t>
      </w:r>
    </w:p>
    <w:p w14:paraId="0BB9ACC7" w14:textId="0B713268"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Դեղաչափի (խտության, ազդեցության) հարաբերակցության ցուցանիշները բնակչության դեղակինետիկ սքրինինգից հետո, օրինակ, նույնպես կարող են նկարագրվել «Կլինիկական արդյունավետություն, «դեղաչափ-ազդեցություն» կախվածության հետազոտություններ» բաժնում, եթե արդյունքները հիմնավորում են արդյունավետության </w:t>
      </w:r>
      <w:r w:rsidR="00C54D75">
        <w:rPr>
          <w:rFonts w:ascii="Sylfaen" w:hAnsi="Sylfaen"/>
          <w:sz w:val="24"/>
          <w:szCs w:val="24"/>
        </w:rPr>
        <w:t>և</w:t>
      </w:r>
      <w:r w:rsidRPr="003B2786">
        <w:rPr>
          <w:rFonts w:ascii="Sylfaen" w:hAnsi="Sylfaen"/>
          <w:sz w:val="24"/>
          <w:szCs w:val="24"/>
        </w:rPr>
        <w:t xml:space="preserve"> անվտանգության վերաբերյալ </w:t>
      </w:r>
      <w:r w:rsidR="00F82B65">
        <w:rPr>
          <w:rFonts w:ascii="Sylfaen" w:hAnsi="Sylfaen"/>
          <w:sz w:val="24"/>
          <w:szCs w:val="24"/>
        </w:rPr>
        <w:t>հայտարարություն</w:t>
      </w:r>
      <w:r w:rsidRPr="003B2786">
        <w:rPr>
          <w:rFonts w:ascii="Sylfaen" w:hAnsi="Sylfaen"/>
          <w:sz w:val="24"/>
          <w:szCs w:val="24"/>
        </w:rPr>
        <w:t>:</w:t>
      </w:r>
    </w:p>
    <w:p w14:paraId="6D25F507"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Սկզբունքորեն տվյալ բաժնում </w:t>
      </w:r>
      <w:r w:rsidR="00C54D75">
        <w:rPr>
          <w:rFonts w:ascii="Sylfaen" w:hAnsi="Sylfaen"/>
          <w:sz w:val="24"/>
          <w:szCs w:val="24"/>
        </w:rPr>
        <w:t>և</w:t>
      </w:r>
      <w:r w:rsidRPr="003B2786">
        <w:rPr>
          <w:rFonts w:ascii="Sylfaen" w:hAnsi="Sylfaen"/>
          <w:sz w:val="24"/>
          <w:szCs w:val="24"/>
        </w:rPr>
        <w:t xml:space="preserve"> «Դեղակինետիկա» բաժնում կարելի է արտացոլել տարբեր հետազոտությունների տվյալների ամփոփիչ վերլուծության արդյունքները, որոնք կարող են հեշտացնել պատրաստուկի ՖԿ/ՖԴ-ի տարբերությունները հասկանալը: </w:t>
      </w:r>
    </w:p>
    <w:p w14:paraId="64360A39" w14:textId="77777777" w:rsidR="008C76E0" w:rsidRPr="003B2786" w:rsidRDefault="008C76E0" w:rsidP="00262653">
      <w:pPr>
        <w:spacing w:after="160" w:line="336" w:lineRule="auto"/>
        <w:ind w:right="-1" w:firstLine="567"/>
        <w:jc w:val="both"/>
        <w:rPr>
          <w:rFonts w:ascii="Sylfaen" w:hAnsi="Sylfaen"/>
          <w:sz w:val="24"/>
          <w:szCs w:val="24"/>
        </w:rPr>
      </w:pPr>
      <w:r w:rsidRPr="003B2786">
        <w:rPr>
          <w:rFonts w:ascii="Sylfaen" w:hAnsi="Sylfaen"/>
          <w:sz w:val="24"/>
          <w:szCs w:val="24"/>
        </w:rPr>
        <w:t>Անհրաժեշտ է կատարել օգտագործվող կենսանշիչների ընտրության կրիտիկական գնահատում:</w:t>
      </w:r>
    </w:p>
    <w:p w14:paraId="08331024" w14:textId="77777777" w:rsidR="008C76E0" w:rsidRPr="003B2786" w:rsidRDefault="008C76E0" w:rsidP="00262653">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2.2.8.</w:t>
      </w:r>
      <w:r w:rsidRPr="003B2786">
        <w:rPr>
          <w:rFonts w:ascii="Sylfaen" w:hAnsi="Sylfaen"/>
          <w:sz w:val="24"/>
          <w:szCs w:val="24"/>
        </w:rPr>
        <w:tab/>
        <w:t>Փորձագետի ընդհանուր եզրակացությունը՝ դեղադինամիկայի վերաբերյալ:</w:t>
      </w:r>
    </w:p>
    <w:p w14:paraId="29FEE9FB"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Այս կետի բովանդակությունը կարող է տեղափոխվել հաշվետվության «Ամփոփիչ մոդուլ»:</w:t>
      </w:r>
    </w:p>
    <w:p w14:paraId="3362FECD"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առանձին </w:t>
      </w:r>
      <w:r w:rsidR="00C54D75">
        <w:rPr>
          <w:rFonts w:ascii="Sylfaen" w:hAnsi="Sylfaen"/>
          <w:sz w:val="24"/>
          <w:szCs w:val="24"/>
        </w:rPr>
        <w:t>և</w:t>
      </w:r>
      <w:r w:rsidRPr="003B2786">
        <w:rPr>
          <w:rFonts w:ascii="Sylfaen" w:hAnsi="Sylfaen"/>
          <w:sz w:val="24"/>
          <w:szCs w:val="24"/>
        </w:rPr>
        <w:t xml:space="preserve"> խորացված վերլուծության անցկացում՝ պատրաստուկի օգուտ-ռիսկ հարաբերակցությունն առավել պատշաճ գնահատելու համար համապատասխան տվյալներին համակողմանի հասանելիությունն ապահովելու նպատակով:</w:t>
      </w:r>
    </w:p>
    <w:p w14:paraId="77D5D649" w14:textId="019A474D"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Այս բաժնում գնահատման մասով փորձագետը պետք է առանձնացնի զեկույցի տարբեր բաժիններում նկարագրված կար</w:t>
      </w:r>
      <w:r w:rsidR="00C54D75">
        <w:rPr>
          <w:rFonts w:ascii="Sylfaen" w:hAnsi="Sylfaen"/>
          <w:sz w:val="24"/>
          <w:szCs w:val="24"/>
        </w:rPr>
        <w:t>և</w:t>
      </w:r>
      <w:r w:rsidRPr="003B2786">
        <w:rPr>
          <w:rFonts w:ascii="Sylfaen" w:hAnsi="Sylfaen"/>
          <w:sz w:val="24"/>
          <w:szCs w:val="24"/>
        </w:rPr>
        <w:t>որագույն հարցերը (ներծծում, բաշխում, օրգանիզմից դուրսբերում), ինչպես նա</w:t>
      </w:r>
      <w:r w:rsidR="00C54D75">
        <w:rPr>
          <w:rFonts w:ascii="Sylfaen" w:hAnsi="Sylfaen"/>
          <w:sz w:val="24"/>
          <w:szCs w:val="24"/>
        </w:rPr>
        <w:t>և</w:t>
      </w:r>
      <w:r w:rsidRPr="003B2786">
        <w:rPr>
          <w:rFonts w:ascii="Sylfaen" w:hAnsi="Sylfaen"/>
          <w:sz w:val="24"/>
          <w:szCs w:val="24"/>
        </w:rPr>
        <w:t xml:space="preserve"> եզրակացություն ներկայացնի դեղադինամիկայի մասով փաստաթղթերի որակի վերաբերյալ՝ հատուկ </w:t>
      </w:r>
      <w:r w:rsidRPr="003B2786">
        <w:rPr>
          <w:rFonts w:ascii="Sylfaen" w:hAnsi="Sylfaen"/>
          <w:sz w:val="24"/>
          <w:szCs w:val="24"/>
        </w:rPr>
        <w:lastRenderedPageBreak/>
        <w:t xml:space="preserve">ուշադրություն դարձնելով </w:t>
      </w:r>
      <w:r w:rsidR="00003ABD">
        <w:rPr>
          <w:rFonts w:ascii="Sylfaen" w:hAnsi="Sylfaen"/>
          <w:sz w:val="24"/>
          <w:szCs w:val="24"/>
        </w:rPr>
        <w:t>հայտնաբերված</w:t>
      </w:r>
      <w:r w:rsidRPr="003B2786">
        <w:rPr>
          <w:rFonts w:ascii="Sylfaen" w:hAnsi="Sylfaen"/>
          <w:sz w:val="24"/>
          <w:szCs w:val="24"/>
        </w:rPr>
        <w:t xml:space="preserve"> թերություններին:</w:t>
      </w:r>
    </w:p>
    <w:p w14:paraId="618AAA3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Որպես այլընտրանք, այս բաժնում կարելի է ուղղակի ձ</w:t>
      </w:r>
      <w:r w:rsidR="00C54D75">
        <w:rPr>
          <w:rFonts w:ascii="Sylfaen" w:hAnsi="Sylfaen"/>
          <w:sz w:val="24"/>
          <w:szCs w:val="24"/>
        </w:rPr>
        <w:t>և</w:t>
      </w:r>
      <w:r w:rsidRPr="003B2786">
        <w:rPr>
          <w:rFonts w:ascii="Sylfaen" w:hAnsi="Sylfaen"/>
          <w:sz w:val="24"/>
          <w:szCs w:val="24"/>
        </w:rPr>
        <w:t xml:space="preserve">ակերպել հիմնական եզրահանգումները, </w:t>
      </w:r>
      <w:r w:rsidR="00C54D75">
        <w:rPr>
          <w:rFonts w:ascii="Sylfaen" w:hAnsi="Sylfaen"/>
          <w:sz w:val="24"/>
          <w:szCs w:val="24"/>
        </w:rPr>
        <w:t>և</w:t>
      </w:r>
      <w:r w:rsidRPr="003B2786">
        <w:rPr>
          <w:rFonts w:ascii="Sylfaen" w:hAnsi="Sylfaen"/>
          <w:sz w:val="24"/>
          <w:szCs w:val="24"/>
        </w:rPr>
        <w:t xml:space="preserve"> այդ դեպքում «Անվտանգության, որակի, արդյունավետության գնահատում» մոդուլի տեքստն անհրաժեշտ կլինի մշակել առանձին:</w:t>
      </w:r>
    </w:p>
    <w:p w14:paraId="1FB148B7"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Ներկայացված դոսյեում առանձնացրե՛ք «Կլինիկական ամփոփում» բաժնի բովանդակության հետ համապատասխանության (անհամապատասխանության) ցանկացած ոլորտ </w:t>
      </w:r>
      <w:r w:rsidR="00C54D75">
        <w:rPr>
          <w:rFonts w:ascii="Sylfaen" w:hAnsi="Sylfaen"/>
          <w:sz w:val="24"/>
          <w:szCs w:val="24"/>
        </w:rPr>
        <w:t>և</w:t>
      </w:r>
      <w:r w:rsidRPr="003B2786">
        <w:rPr>
          <w:rFonts w:ascii="Sylfaen" w:hAnsi="Sylfaen"/>
          <w:sz w:val="24"/>
          <w:szCs w:val="24"/>
        </w:rPr>
        <w:t xml:space="preserve"> մեկնաբանե՛ք բժշկական կիրառման դեղամիջոցի ընդհանուր բնութագրի կիրառելիությունը:</w:t>
      </w:r>
    </w:p>
    <w:p w14:paraId="6F3F5F8E"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p>
    <w:p w14:paraId="6D41CAF0" w14:textId="77777777" w:rsidR="008C76E0" w:rsidRPr="003B2786" w:rsidRDefault="008C76E0" w:rsidP="00262653">
      <w:pPr>
        <w:spacing w:after="160" w:line="360" w:lineRule="auto"/>
        <w:ind w:right="-1" w:firstLine="567"/>
        <w:jc w:val="center"/>
        <w:rPr>
          <w:rFonts w:ascii="Sylfaen" w:hAnsi="Sylfaen"/>
          <w:sz w:val="24"/>
          <w:szCs w:val="24"/>
        </w:rPr>
      </w:pPr>
      <w:r w:rsidRPr="003B2786">
        <w:rPr>
          <w:rFonts w:ascii="Sylfaen" w:hAnsi="Sylfaen"/>
          <w:sz w:val="24"/>
          <w:szCs w:val="24"/>
        </w:rPr>
        <w:t>3. Կլինիկական արդյունավետությունը:</w:t>
      </w:r>
    </w:p>
    <w:p w14:paraId="101338E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3.1.</w:t>
      </w:r>
      <w:r w:rsidRPr="003B2786">
        <w:rPr>
          <w:rFonts w:ascii="Sylfaen" w:hAnsi="Sylfaen"/>
          <w:sz w:val="24"/>
          <w:szCs w:val="24"/>
        </w:rPr>
        <w:tab/>
        <w:t>Ընդհանուր ձեռնարկը:</w:t>
      </w:r>
    </w:p>
    <w:p w14:paraId="4C799B34" w14:textId="77777777" w:rsidR="008C76E0" w:rsidRPr="003B2786" w:rsidRDefault="008C76E0" w:rsidP="007467C7">
      <w:pPr>
        <w:spacing w:after="160" w:line="336" w:lineRule="auto"/>
        <w:ind w:firstLine="567"/>
        <w:jc w:val="both"/>
        <w:rPr>
          <w:rFonts w:ascii="Sylfaen" w:hAnsi="Sylfaen"/>
          <w:sz w:val="24"/>
          <w:szCs w:val="24"/>
        </w:rPr>
      </w:pPr>
      <w:r w:rsidRPr="003B2786">
        <w:rPr>
          <w:rFonts w:ascii="Sylfaen" w:hAnsi="Sylfaen"/>
          <w:sz w:val="24"/>
          <w:szCs w:val="24"/>
        </w:rPr>
        <w:t xml:space="preserve">Հաշվետվությունը պետք է պարունակի ռեֆերենտ պետության </w:t>
      </w:r>
      <w:r w:rsidR="00C54D75">
        <w:rPr>
          <w:rFonts w:ascii="Sylfaen" w:hAnsi="Sylfaen"/>
          <w:sz w:val="24"/>
          <w:szCs w:val="24"/>
        </w:rPr>
        <w:t>և</w:t>
      </w:r>
      <w:r w:rsidRPr="003B2786">
        <w:rPr>
          <w:rFonts w:ascii="Sylfaen" w:hAnsi="Sylfaen"/>
          <w:sz w:val="24"/>
          <w:szCs w:val="24"/>
        </w:rPr>
        <w:t xml:space="preserve"> ճանաչման պետության լիազորված փորձագիտական կազմակերպության այլ փորձագետների կողմից կրկնակի գնահատման համար բավարար ծավալով մանրամասն տեղեկություններ:</w:t>
      </w:r>
    </w:p>
    <w:p w14:paraId="7043EBB6" w14:textId="6736C935" w:rsidR="008C76E0" w:rsidRPr="003B2786" w:rsidRDefault="008C76E0" w:rsidP="007467C7">
      <w:pPr>
        <w:spacing w:after="160" w:line="336" w:lineRule="auto"/>
        <w:ind w:firstLine="567"/>
        <w:jc w:val="both"/>
        <w:rPr>
          <w:rFonts w:ascii="Sylfaen" w:hAnsi="Sylfaen"/>
          <w:sz w:val="24"/>
          <w:szCs w:val="24"/>
        </w:rPr>
      </w:pPr>
      <w:r w:rsidRPr="003B2786">
        <w:rPr>
          <w:rFonts w:ascii="Sylfaen" w:hAnsi="Sylfaen"/>
          <w:sz w:val="24"/>
          <w:szCs w:val="24"/>
        </w:rPr>
        <w:t>Թե</w:t>
      </w:r>
      <w:r w:rsidR="00C54D75">
        <w:rPr>
          <w:rFonts w:ascii="Sylfaen" w:hAnsi="Sylfaen"/>
          <w:sz w:val="24"/>
          <w:szCs w:val="24"/>
        </w:rPr>
        <w:t>և</w:t>
      </w:r>
      <w:r w:rsidRPr="003B2786">
        <w:rPr>
          <w:rFonts w:ascii="Sylfaen" w:hAnsi="Sylfaen"/>
          <w:sz w:val="24"/>
          <w:szCs w:val="24"/>
        </w:rPr>
        <w:t xml:space="preserve"> սույն հաշվետվությունը պետք է ներառի անհրաժեշտ տեղեկություններ, որոնք թույլ են տալիս հասկանալ գրանցման դոսյեի բովանդակությունը, առաջարկվում է ուշադրությունը կենտրոնացնել </w:t>
      </w:r>
      <w:r w:rsidR="0056496B">
        <w:rPr>
          <w:rFonts w:ascii="Sylfaen" w:hAnsi="Sylfaen"/>
          <w:sz w:val="24"/>
          <w:szCs w:val="24"/>
        </w:rPr>
        <w:t>դիմումատու</w:t>
      </w:r>
      <w:r w:rsidRPr="003B2786">
        <w:rPr>
          <w:rFonts w:ascii="Sylfaen" w:hAnsi="Sylfaen"/>
          <w:sz w:val="24"/>
          <w:szCs w:val="24"/>
        </w:rPr>
        <w:t xml:space="preserve">ի համար հարցերը մշակելու հիմք հանդիսացող թերությունների վերաբերյալ էական եզրահանգումների </w:t>
      </w:r>
      <w:r w:rsidR="00C54D75">
        <w:rPr>
          <w:rFonts w:ascii="Sylfaen" w:hAnsi="Sylfaen"/>
          <w:sz w:val="24"/>
          <w:szCs w:val="24"/>
        </w:rPr>
        <w:t>և</w:t>
      </w:r>
      <w:r w:rsidRPr="003B2786">
        <w:rPr>
          <w:rFonts w:ascii="Sylfaen" w:hAnsi="Sylfaen"/>
          <w:sz w:val="24"/>
          <w:szCs w:val="24"/>
        </w:rPr>
        <w:t xml:space="preserve"> տեղեկությունների վրա՝ օգուտ-ռիսկ հարաբերակցության հետագա ուսումնասիրության </w:t>
      </w:r>
      <w:r w:rsidR="00C54D75">
        <w:rPr>
          <w:rFonts w:ascii="Sylfaen" w:hAnsi="Sylfaen"/>
          <w:sz w:val="24"/>
          <w:szCs w:val="24"/>
        </w:rPr>
        <w:t>և</w:t>
      </w:r>
      <w:r w:rsidRPr="003B2786">
        <w:rPr>
          <w:rFonts w:ascii="Sylfaen" w:hAnsi="Sylfaen"/>
          <w:sz w:val="24"/>
          <w:szCs w:val="24"/>
        </w:rPr>
        <w:t xml:space="preserve"> Եվրասիական տնտեսական հանձնաժողովին կից Փորձագիտական կոմիտեի կողմից հանձնարարականների մշակման համար արդյունքների քննարկմամբ (մեկնաբանությամբ):</w:t>
      </w:r>
    </w:p>
    <w:p w14:paraId="78B68C71" w14:textId="7BC9F325"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Գրանցման դոսյեում </w:t>
      </w:r>
      <w:r w:rsidR="0056496B">
        <w:rPr>
          <w:rFonts w:ascii="Sylfaen" w:hAnsi="Sylfaen"/>
          <w:sz w:val="24"/>
          <w:szCs w:val="24"/>
        </w:rPr>
        <w:t>դիմումատու</w:t>
      </w:r>
      <w:r w:rsidRPr="003B2786">
        <w:rPr>
          <w:rFonts w:ascii="Sylfaen" w:hAnsi="Sylfaen"/>
          <w:sz w:val="24"/>
          <w:szCs w:val="24"/>
        </w:rPr>
        <w:t xml:space="preserve">ի դոսյեից («Ամփոփում» </w:t>
      </w:r>
      <w:r w:rsidR="00C54D75">
        <w:rPr>
          <w:rFonts w:ascii="Sylfaen" w:hAnsi="Sylfaen"/>
          <w:sz w:val="24"/>
          <w:szCs w:val="24"/>
        </w:rPr>
        <w:t>և</w:t>
      </w:r>
      <w:r w:rsidRPr="003B2786">
        <w:rPr>
          <w:rFonts w:ascii="Sylfaen" w:hAnsi="Sylfaen"/>
          <w:sz w:val="24"/>
          <w:szCs w:val="24"/>
        </w:rPr>
        <w:t xml:space="preserve"> «Համառոտ ամփոփ տեղեկատվություն» մասեր) չկանոնակարգված պատճենումն անթույլատրելի է:</w:t>
      </w:r>
    </w:p>
    <w:p w14:paraId="0E36B77A"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Այսպիսով, անհրաժեշտ է հետ</w:t>
      </w:r>
      <w:r w:rsidR="00C54D75">
        <w:rPr>
          <w:rFonts w:ascii="Sylfaen" w:hAnsi="Sylfaen"/>
          <w:sz w:val="24"/>
          <w:szCs w:val="24"/>
        </w:rPr>
        <w:t>և</w:t>
      </w:r>
      <w:r w:rsidRPr="003B2786">
        <w:rPr>
          <w:rFonts w:ascii="Sylfaen" w:hAnsi="Sylfaen"/>
          <w:sz w:val="24"/>
          <w:szCs w:val="24"/>
        </w:rPr>
        <w:t xml:space="preserve">ել առանձին հետազոտությունների համառոտ </w:t>
      </w:r>
      <w:r w:rsidRPr="003B2786">
        <w:rPr>
          <w:rFonts w:ascii="Sylfaen" w:hAnsi="Sylfaen"/>
          <w:sz w:val="24"/>
          <w:szCs w:val="24"/>
        </w:rPr>
        <w:lastRenderedPageBreak/>
        <w:t xml:space="preserve">նկարագրությանը (դրական </w:t>
      </w:r>
      <w:r w:rsidR="00C54D75">
        <w:rPr>
          <w:rFonts w:ascii="Sylfaen" w:hAnsi="Sylfaen"/>
          <w:sz w:val="24"/>
          <w:szCs w:val="24"/>
        </w:rPr>
        <w:t>և</w:t>
      </w:r>
      <w:r w:rsidRPr="003B2786">
        <w:rPr>
          <w:rFonts w:ascii="Sylfaen" w:hAnsi="Sylfaen"/>
          <w:sz w:val="24"/>
          <w:szCs w:val="24"/>
        </w:rPr>
        <w:t xml:space="preserve"> բացասական եզրահանգումները հավասարակշռված ներկայացնելու համար):</w:t>
      </w:r>
    </w:p>
    <w:p w14:paraId="6429708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սահմանազատել (նա</w:t>
      </w:r>
      <w:r w:rsidR="00C54D75">
        <w:rPr>
          <w:rFonts w:ascii="Sylfaen" w:hAnsi="Sylfaen"/>
          <w:sz w:val="24"/>
          <w:szCs w:val="24"/>
        </w:rPr>
        <w:t>և</w:t>
      </w:r>
      <w:r w:rsidRPr="003B2786">
        <w:rPr>
          <w:rFonts w:ascii="Sylfaen" w:hAnsi="Sylfaen"/>
          <w:sz w:val="24"/>
          <w:szCs w:val="24"/>
        </w:rPr>
        <w:t xml:space="preserve"> մեկնաբանություններում) բազային կլինիկական հետազոտությունները </w:t>
      </w:r>
      <w:r w:rsidR="00C54D75">
        <w:rPr>
          <w:rFonts w:ascii="Sylfaen" w:hAnsi="Sylfaen"/>
          <w:sz w:val="24"/>
          <w:szCs w:val="24"/>
        </w:rPr>
        <w:t>և</w:t>
      </w:r>
      <w:r w:rsidRPr="003B2786">
        <w:rPr>
          <w:rFonts w:ascii="Sylfaen" w:hAnsi="Sylfaen"/>
          <w:sz w:val="24"/>
          <w:szCs w:val="24"/>
        </w:rPr>
        <w:t xml:space="preserve"> լրացուցիչ փորձարկումները՝ ելնելով յուրաքանչյուր առանձին հետազոտության նշանակալիության վերաբերյալ եզրակացությունից (հարկավոր է թվարկել բոլոր հետազոտությունները՝ հնարավորության դեպքում հղում կատարելով ամփոփ տվյալների աղյուսակներին):</w:t>
      </w:r>
    </w:p>
    <w:p w14:paraId="24CDCCA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Նախընտրելի է աղյուսակների (գրաֆիկների, պատկերների) (բայց ոչ ծավալուն տեքստային նկարագրությունների) օգտագործումը:</w:t>
      </w:r>
    </w:p>
    <w:p w14:paraId="0630B03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ներկայացված տվյալների </w:t>
      </w:r>
      <w:r w:rsidR="00C54D75">
        <w:rPr>
          <w:rFonts w:ascii="Sylfaen" w:hAnsi="Sylfaen"/>
          <w:sz w:val="24"/>
          <w:szCs w:val="24"/>
        </w:rPr>
        <w:t>և</w:t>
      </w:r>
      <w:r w:rsidRPr="003B2786">
        <w:rPr>
          <w:rFonts w:ascii="Sylfaen" w:hAnsi="Sylfaen"/>
          <w:sz w:val="24"/>
          <w:szCs w:val="24"/>
        </w:rPr>
        <w:t xml:space="preserve"> գնահատման մասով փորձագետի մեկնաբանության հստակ բաժանումը:</w:t>
      </w:r>
    </w:p>
    <w:p w14:paraId="14E59C8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գնահատումը (օրինակ՝ արդյունքների կիրառելիության վերաբերյալ մեկնաբանությունները </w:t>
      </w:r>
      <w:r w:rsidR="00C54D75">
        <w:rPr>
          <w:rFonts w:ascii="Sylfaen" w:hAnsi="Sylfaen"/>
          <w:sz w:val="24"/>
          <w:szCs w:val="24"/>
        </w:rPr>
        <w:t>և</w:t>
      </w:r>
      <w:r w:rsidRPr="003B2786">
        <w:rPr>
          <w:rFonts w:ascii="Sylfaen" w:hAnsi="Sylfaen"/>
          <w:sz w:val="24"/>
          <w:szCs w:val="24"/>
        </w:rPr>
        <w:t xml:space="preserve"> տվյալների մեկնաբանությունները, եզրահանգումները) պետք է ներկայացվի «Գնահատման մասով փորձագետի մեկնաբանությունները» բաժնի յուրաքանչյուր ենթաբաժնի վերջում: «Լուրջ նկատողություն» բառակապակցությունը (տե՛ս հարցերի առաջարկված ցանկը) կարող է օգտագործվել հարցերի ցանկին խաչաձ</w:t>
      </w:r>
      <w:r w:rsidR="00C54D75">
        <w:rPr>
          <w:rFonts w:ascii="Sylfaen" w:hAnsi="Sylfaen"/>
          <w:sz w:val="24"/>
          <w:szCs w:val="24"/>
        </w:rPr>
        <w:t>և</w:t>
      </w:r>
      <w:r w:rsidRPr="003B2786">
        <w:rPr>
          <w:rFonts w:ascii="Sylfaen" w:hAnsi="Sylfaen"/>
          <w:sz w:val="24"/>
          <w:szCs w:val="24"/>
        </w:rPr>
        <w:t xml:space="preserve"> հղումների անհրաժեշտության դեպքում:</w:t>
      </w:r>
    </w:p>
    <w:p w14:paraId="47B3B44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մեջ հարկավոր է նշել լրացուցիչ փորձաքննություն անցկացնելու անհրաժեշտությունը (օրինակ՝ որոշ չլուծված կլինիկական հարցերի լուծման համար հանդիպում գիտական խորհրդատուների խմբի հետ կամ դեղազգոնության հարցերի հետագա գնահատման անհրաժեշտություն): </w:t>
      </w:r>
    </w:p>
    <w:p w14:paraId="5416CBB9"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Հաշվետվության մեջ պետք է ընդգծվեն դեղամիջոցի համառոտ բնութագրում արտացոլման ենթակա եզրահանգումները:</w:t>
      </w:r>
    </w:p>
    <w:p w14:paraId="09925532"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3.2.</w:t>
      </w:r>
      <w:r w:rsidRPr="003B2786">
        <w:rPr>
          <w:rFonts w:ascii="Sylfaen" w:hAnsi="Sylfaen"/>
          <w:sz w:val="24"/>
          <w:szCs w:val="24"/>
        </w:rPr>
        <w:tab/>
        <w:t>Ներածությունը:</w:t>
      </w:r>
    </w:p>
    <w:p w14:paraId="4DDB2299" w14:textId="7FA1854E"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Օգտագործե՛ք համառոտ ներածական՝ ներկայացված տվյալների ընդհանուր </w:t>
      </w:r>
      <w:r w:rsidRPr="003B2786">
        <w:rPr>
          <w:rFonts w:ascii="Sylfaen" w:hAnsi="Sylfaen"/>
          <w:sz w:val="24"/>
          <w:szCs w:val="24"/>
        </w:rPr>
        <w:lastRenderedPageBreak/>
        <w:t xml:space="preserve">առանձնահատկությունների </w:t>
      </w:r>
      <w:r w:rsidR="00C54D75">
        <w:rPr>
          <w:rFonts w:ascii="Sylfaen" w:hAnsi="Sylfaen"/>
          <w:sz w:val="24"/>
          <w:szCs w:val="24"/>
        </w:rPr>
        <w:t>և</w:t>
      </w:r>
      <w:r w:rsidRPr="003B2786">
        <w:rPr>
          <w:rFonts w:ascii="Sylfaen" w:hAnsi="Sylfaen"/>
          <w:sz w:val="24"/>
          <w:szCs w:val="24"/>
        </w:rPr>
        <w:t xml:space="preserve"> կիրառման </w:t>
      </w:r>
      <w:r w:rsidR="001A5F1A">
        <w:rPr>
          <w:rFonts w:ascii="Sylfaen" w:hAnsi="Sylfaen"/>
          <w:sz w:val="24"/>
          <w:szCs w:val="24"/>
        </w:rPr>
        <w:t>հայտագրված</w:t>
      </w:r>
      <w:r w:rsidRPr="003B2786">
        <w:rPr>
          <w:rFonts w:ascii="Sylfaen" w:hAnsi="Sylfaen"/>
          <w:sz w:val="24"/>
          <w:szCs w:val="24"/>
        </w:rPr>
        <w:t xml:space="preserve"> ցուցման վերաբերյալ:</w:t>
      </w:r>
    </w:p>
    <w:p w14:paraId="6ACB33B4"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Ներածության մեջ պետք է ներառվի համապատասխան կլինիկական հետազոտությունների աղյուսակային ամփոփումը, հետազոտության համարը, հետազոտության բովանդակային պլանը </w:t>
      </w:r>
      <w:r w:rsidR="00C54D75">
        <w:rPr>
          <w:rFonts w:ascii="Sylfaen" w:hAnsi="Sylfaen"/>
          <w:sz w:val="24"/>
          <w:szCs w:val="24"/>
        </w:rPr>
        <w:t>և</w:t>
      </w:r>
      <w:r w:rsidRPr="003B2786">
        <w:rPr>
          <w:rFonts w:ascii="Sylfaen" w:hAnsi="Sylfaen"/>
          <w:sz w:val="24"/>
          <w:szCs w:val="24"/>
        </w:rPr>
        <w:t xml:space="preserve"> բուժման խմբերում պացիենտների թիվը, բուժման խմբերի ելակետային բնութագրերը (օրինակ՝ տարիք, սեռ </w:t>
      </w:r>
      <w:r w:rsidR="00C54D75">
        <w:rPr>
          <w:rFonts w:ascii="Sylfaen" w:hAnsi="Sylfaen"/>
          <w:sz w:val="24"/>
          <w:szCs w:val="24"/>
        </w:rPr>
        <w:t>և</w:t>
      </w:r>
      <w:r w:rsidRPr="003B2786">
        <w:rPr>
          <w:rFonts w:ascii="Sylfaen" w:hAnsi="Sylfaen"/>
          <w:sz w:val="24"/>
          <w:szCs w:val="24"/>
        </w:rPr>
        <w:t xml:space="preserve"> հիվանդության ծանրություն), արդյունավետության պարամետրերը </w:t>
      </w:r>
      <w:r w:rsidR="00C54D75">
        <w:rPr>
          <w:rFonts w:ascii="Sylfaen" w:hAnsi="Sylfaen"/>
          <w:sz w:val="24"/>
          <w:szCs w:val="24"/>
        </w:rPr>
        <w:t>և</w:t>
      </w:r>
      <w:r w:rsidRPr="003B2786">
        <w:rPr>
          <w:rFonts w:ascii="Sylfaen" w:hAnsi="Sylfaen"/>
          <w:sz w:val="24"/>
          <w:szCs w:val="24"/>
        </w:rPr>
        <w:t xml:space="preserve"> արդյունավետության արդյունքները: Տվյալ աղյուսակը պետք է կազմվի գրանցման դոսյեի 2.7.3.1 աղյուսակին համապատասխան՝ կիրառելիության դեպքում:</w:t>
      </w:r>
    </w:p>
    <w:p w14:paraId="108B5E5B"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Կիրառման ցուցումների մասով պետք է նկարագրվի հետազոտության փորձը բնակչության հատուկ խմբերի շրջանում՝ ի լրումն 3.3 բաժնում նշվածի:</w:t>
      </w:r>
    </w:p>
    <w:p w14:paraId="4DAF7424" w14:textId="49DAA3E2"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Եթե կիրառելի է, պետք է ներկայացվեն տեղեկություններ՝ կլինիկական արդյունավետության մասով գիտական առաջարկությունների վերաբերյալ (</w:t>
      </w:r>
      <w:r w:rsidR="001A5F1A">
        <w:rPr>
          <w:rFonts w:ascii="Sylfaen" w:hAnsi="Sylfaen"/>
          <w:sz w:val="24"/>
          <w:szCs w:val="24"/>
        </w:rPr>
        <w:t>հայտագրված</w:t>
      </w:r>
      <w:r w:rsidRPr="003B2786">
        <w:rPr>
          <w:rFonts w:ascii="Sylfaen" w:hAnsi="Sylfaen"/>
          <w:sz w:val="24"/>
          <w:szCs w:val="24"/>
        </w:rPr>
        <w:t xml:space="preserve"> </w:t>
      </w:r>
      <w:r w:rsidR="00C54D75">
        <w:rPr>
          <w:rFonts w:ascii="Sylfaen" w:hAnsi="Sylfaen"/>
          <w:sz w:val="24"/>
          <w:szCs w:val="24"/>
        </w:rPr>
        <w:t>և</w:t>
      </w:r>
      <w:r w:rsidRPr="003B2786">
        <w:rPr>
          <w:rFonts w:ascii="Sylfaen" w:hAnsi="Sylfaen"/>
          <w:sz w:val="24"/>
          <w:szCs w:val="24"/>
        </w:rPr>
        <w:t xml:space="preserve"> ներկայացված առաջարկությունների մանրամասն տվյալներով</w:t>
      </w:r>
      <w:r w:rsidR="007467C7" w:rsidRPr="007467C7">
        <w:rPr>
          <w:rFonts w:ascii="Sylfaen" w:hAnsi="Sylfaen"/>
          <w:sz w:val="24"/>
          <w:szCs w:val="24"/>
        </w:rPr>
        <w:t> </w:t>
      </w:r>
      <w:r w:rsidRPr="003B2786">
        <w:rPr>
          <w:rFonts w:ascii="Sylfaen" w:hAnsi="Sylfaen"/>
          <w:sz w:val="24"/>
          <w:szCs w:val="24"/>
        </w:rPr>
        <w:t>կետ):</w:t>
      </w:r>
    </w:p>
    <w:p w14:paraId="5F0773ED"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Ներածության մեջ պետք է ներառվի Միության պատշաճ կլինիկական գործունեության կանոնների պահպանման վերջնական գնահատում</w:t>
      </w:r>
    </w:p>
    <w:p w14:paraId="3BF725B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(ենթակա է ընդգրկման 1.2՝ «Պատշաճ կլինիկական գործունեության ասպեկտներ» կետում </w:t>
      </w:r>
      <w:r w:rsidR="00C54D75">
        <w:rPr>
          <w:rFonts w:ascii="Sylfaen" w:hAnsi="Sylfaen"/>
          <w:sz w:val="24"/>
          <w:szCs w:val="24"/>
        </w:rPr>
        <w:t>և</w:t>
      </w:r>
      <w:r w:rsidRPr="003B2786">
        <w:rPr>
          <w:rFonts w:ascii="Sylfaen" w:hAnsi="Sylfaen"/>
          <w:sz w:val="24"/>
          <w:szCs w:val="24"/>
        </w:rPr>
        <w:t xml:space="preserve"> «Ամփոփիչ մոդուլ»-ում),</w:t>
      </w:r>
    </w:p>
    <w:p w14:paraId="136D9B92"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3.3.</w:t>
      </w:r>
      <w:r w:rsidRPr="003B2786">
        <w:rPr>
          <w:rFonts w:ascii="Sylfaen" w:hAnsi="Sylfaen"/>
          <w:sz w:val="24"/>
          <w:szCs w:val="24"/>
        </w:rPr>
        <w:tab/>
        <w:t xml:space="preserve">«Դեղաչափ-ազդեցություն» կախվածության հետազոտությունները </w:t>
      </w:r>
      <w:r w:rsidR="00C54D75">
        <w:rPr>
          <w:rFonts w:ascii="Sylfaen" w:hAnsi="Sylfaen"/>
          <w:sz w:val="24"/>
          <w:szCs w:val="24"/>
        </w:rPr>
        <w:t>և</w:t>
      </w:r>
      <w:r w:rsidRPr="003B2786">
        <w:rPr>
          <w:rFonts w:ascii="Sylfaen" w:hAnsi="Sylfaen"/>
          <w:sz w:val="24"/>
          <w:szCs w:val="24"/>
        </w:rPr>
        <w:t xml:space="preserve"> հիմնական կլինիկական հետազոտությունները:</w:t>
      </w:r>
    </w:p>
    <w:p w14:paraId="6EF5E037"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Հիմնական հետազոտությունների անցկացման համար պատրաստուկի դեղաչափի ընտրության հիմնավորմանը պետք է տրվի գնահատական: Այստեղ կարող են ներկայացվել մանրամասն տեղեկություններ կամ հղում՝ «Կլինիկական դեղաբանություն» բաժնին:</w:t>
      </w:r>
    </w:p>
    <w:p w14:paraId="69A7965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Համառոտ նկարագրություն (եթե ներկայացված չէ այլ տեղում)՝ հաշվի առնելով (անհրաժեշտության դեպքում) հետազոտվող դեղաչափերի ներմուծման ռեժիմը, մեծությունները, տիրույթը, կլինիկական արդյունավետության սուռոգատ </w:t>
      </w:r>
      <w:r w:rsidRPr="003B2786">
        <w:rPr>
          <w:rFonts w:ascii="Sylfaen" w:hAnsi="Sylfaen"/>
          <w:sz w:val="24"/>
          <w:szCs w:val="24"/>
        </w:rPr>
        <w:lastRenderedPageBreak/>
        <w:t xml:space="preserve">կետերի ընտրության հիմնավորումը </w:t>
      </w:r>
      <w:r w:rsidR="00C54D75">
        <w:rPr>
          <w:rFonts w:ascii="Sylfaen" w:hAnsi="Sylfaen"/>
          <w:sz w:val="24"/>
          <w:szCs w:val="24"/>
        </w:rPr>
        <w:t>և</w:t>
      </w:r>
      <w:r w:rsidRPr="003B2786">
        <w:rPr>
          <w:rFonts w:ascii="Sylfaen" w:hAnsi="Sylfaen"/>
          <w:sz w:val="24"/>
          <w:szCs w:val="24"/>
        </w:rPr>
        <w:t xml:space="preserve"> արդյունքները, որոնք արտացոլում են ազդեցությունը՝ արդյունավետության վերաբերյալ նախնական տվյալների, դոզավորման մեծության (ռեժիմի) վերաբերյալ առաջարկությունների վրա:</w:t>
      </w:r>
    </w:p>
    <w:p w14:paraId="5D3E707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Պետք է ներկայացնել ՖԿ/ՖԴ-ի վերլուծության առավել համապատասխան մեթոդների նկարագրությունը </w:t>
      </w:r>
      <w:r w:rsidR="00C54D75">
        <w:rPr>
          <w:rFonts w:ascii="Sylfaen" w:hAnsi="Sylfaen"/>
          <w:sz w:val="24"/>
          <w:szCs w:val="24"/>
        </w:rPr>
        <w:t>և</w:t>
      </w:r>
      <w:r w:rsidRPr="003B2786">
        <w:rPr>
          <w:rFonts w:ascii="Sylfaen" w:hAnsi="Sylfaen"/>
          <w:sz w:val="24"/>
          <w:szCs w:val="24"/>
        </w:rPr>
        <w:t xml:space="preserve"> դրանց արդյունքները, ինչպես նա</w:t>
      </w:r>
      <w:r w:rsidR="00C54D75">
        <w:rPr>
          <w:rFonts w:ascii="Sylfaen" w:hAnsi="Sylfaen"/>
          <w:sz w:val="24"/>
          <w:szCs w:val="24"/>
        </w:rPr>
        <w:t>և</w:t>
      </w:r>
      <w:r w:rsidRPr="003B2786">
        <w:rPr>
          <w:rFonts w:ascii="Sylfaen" w:hAnsi="Sylfaen"/>
          <w:sz w:val="24"/>
          <w:szCs w:val="24"/>
        </w:rPr>
        <w:t xml:space="preserve"> բնակչության շրջանում ՖԿ-ի վերաբերյալ տվյալներ՝ մանրամասն տեղեկատվություն ստանալու համար համապատասխան բաժիններին հղումների նշմամբ: </w:t>
      </w:r>
    </w:p>
    <w:p w14:paraId="3F6DC40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3.4.</w:t>
      </w:r>
      <w:r w:rsidRPr="003B2786">
        <w:rPr>
          <w:rFonts w:ascii="Sylfaen" w:hAnsi="Sylfaen"/>
          <w:sz w:val="24"/>
          <w:szCs w:val="24"/>
        </w:rPr>
        <w:tab/>
        <w:t>Հիմնական հետազոտությունները:</w:t>
      </w:r>
    </w:p>
    <w:p w14:paraId="7104F90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Տեքստում նույնականացվող յուրաքանչյուր հետազոտության վերաբերյալ (օրինակ՝ ըստ արձանագրության համարի) անհրաժեշտ է ներկայացնել </w:t>
      </w:r>
      <w:r w:rsidR="00C54D75">
        <w:rPr>
          <w:rFonts w:ascii="Sylfaen" w:hAnsi="Sylfaen"/>
          <w:sz w:val="24"/>
          <w:szCs w:val="24"/>
        </w:rPr>
        <w:t>և</w:t>
      </w:r>
      <w:r w:rsidRPr="003B2786">
        <w:rPr>
          <w:rFonts w:ascii="Sylfaen" w:hAnsi="Sylfaen"/>
          <w:sz w:val="24"/>
          <w:szCs w:val="24"/>
        </w:rPr>
        <w:t xml:space="preserve"> մեկնաբանել համապատասխան մեթոդները </w:t>
      </w:r>
      <w:r w:rsidR="00C54D75">
        <w:rPr>
          <w:rFonts w:ascii="Sylfaen" w:hAnsi="Sylfaen"/>
          <w:sz w:val="24"/>
          <w:szCs w:val="24"/>
        </w:rPr>
        <w:t>և</w:t>
      </w:r>
      <w:r w:rsidRPr="003B2786">
        <w:rPr>
          <w:rFonts w:ascii="Sylfaen" w:hAnsi="Sylfaen"/>
          <w:sz w:val="24"/>
          <w:szCs w:val="24"/>
        </w:rPr>
        <w:t xml:space="preserve"> արդյունքները: Առաջարկվում է ներառել աղյուսակների բովանդակության մեջ: </w:t>
      </w:r>
    </w:p>
    <w:p w14:paraId="66D1A6B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Փորձարկումների մեթոդների նկարագրության, արդյունքների </w:t>
      </w:r>
      <w:r w:rsidR="00C54D75">
        <w:rPr>
          <w:rFonts w:ascii="Sylfaen" w:hAnsi="Sylfaen"/>
          <w:sz w:val="24"/>
          <w:szCs w:val="24"/>
        </w:rPr>
        <w:t>և</w:t>
      </w:r>
      <w:r w:rsidRPr="003B2786">
        <w:rPr>
          <w:rFonts w:ascii="Sylfaen" w:hAnsi="Sylfaen"/>
          <w:sz w:val="24"/>
          <w:szCs w:val="24"/>
        </w:rPr>
        <w:t xml:space="preserve"> մեկնաբանության վերաբերյալ մանրամասն հարցաթերթիկը ներկայացված է ձ</w:t>
      </w:r>
      <w:r w:rsidR="00C54D75">
        <w:rPr>
          <w:rFonts w:ascii="Sylfaen" w:hAnsi="Sylfaen"/>
          <w:sz w:val="24"/>
          <w:szCs w:val="24"/>
        </w:rPr>
        <w:t>և</w:t>
      </w:r>
      <w:r w:rsidRPr="003B2786">
        <w:rPr>
          <w:rFonts w:ascii="Sylfaen" w:hAnsi="Sylfaen"/>
          <w:sz w:val="24"/>
          <w:szCs w:val="24"/>
        </w:rPr>
        <w:t xml:space="preserve">անմուշում: Տվյալ հարցաթերթիկը պարտադիր չէ, այն ծառայում է որպես հաշվետվության մեջ ներառվելիք ենթադրյալ հարցերի կարգավորված ցանկի աղբյուր: Յուրաքանչյուր հարցի արդիականությունը </w:t>
      </w:r>
      <w:r w:rsidR="00C54D75">
        <w:rPr>
          <w:rFonts w:ascii="Sylfaen" w:hAnsi="Sylfaen"/>
          <w:sz w:val="24"/>
          <w:szCs w:val="24"/>
        </w:rPr>
        <w:t>և</w:t>
      </w:r>
      <w:r w:rsidRPr="003B2786">
        <w:rPr>
          <w:rFonts w:ascii="Sylfaen" w:hAnsi="Sylfaen"/>
          <w:sz w:val="24"/>
          <w:szCs w:val="24"/>
        </w:rPr>
        <w:t xml:space="preserve"> (անհրաժեշտության դեպքում) տեղեկությունների մանրամասնեցման պահանջվող մակարդակը հարկավոր է ուսումնասիրել անհատական կարգով:</w:t>
      </w:r>
    </w:p>
    <w:p w14:paraId="13F6281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հարկավոր է բովանդակության մեջ ներառել կրիտիկական դիտողություններ: </w:t>
      </w:r>
    </w:p>
    <w:p w14:paraId="656C606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նույնականացումը </w:t>
      </w:r>
      <w:r w:rsidR="00C54D75">
        <w:rPr>
          <w:rFonts w:ascii="Sylfaen" w:hAnsi="Sylfaen"/>
          <w:sz w:val="24"/>
          <w:szCs w:val="24"/>
        </w:rPr>
        <w:t>և</w:t>
      </w:r>
      <w:r w:rsidRPr="003B2786">
        <w:rPr>
          <w:rFonts w:ascii="Sylfaen" w:hAnsi="Sylfaen"/>
          <w:sz w:val="24"/>
          <w:szCs w:val="24"/>
        </w:rPr>
        <w:t xml:space="preserve"> նկարագրությունը:</w:t>
      </w:r>
    </w:p>
    <w:p w14:paraId="09BC3BA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Հարկավոր է նշել հետազոտության համարը </w:t>
      </w:r>
      <w:r w:rsidR="00C54D75">
        <w:rPr>
          <w:rFonts w:ascii="Sylfaen" w:hAnsi="Sylfaen"/>
          <w:sz w:val="24"/>
          <w:szCs w:val="24"/>
        </w:rPr>
        <w:t>և</w:t>
      </w:r>
      <w:r w:rsidRPr="003B2786">
        <w:rPr>
          <w:rFonts w:ascii="Sylfaen" w:hAnsi="Sylfaen"/>
          <w:sz w:val="24"/>
          <w:szCs w:val="24"/>
        </w:rPr>
        <w:t xml:space="preserve"> անվանումը: Հենց այստեղ էլ պետք է նշվի ըստ բուժման խմբերի մասնակիցների բաշխման կարգը (օրինակ՝ պատահական բաշխում, պատահական ընտրանք, կամ պատահական ընտրանքի բաժանում):</w:t>
      </w:r>
    </w:p>
    <w:p w14:paraId="1549010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Մեթոդների վերաբերյալ տեղեկությունները </w:t>
      </w:r>
      <w:r w:rsidR="00C54D75">
        <w:rPr>
          <w:rFonts w:ascii="Sylfaen" w:hAnsi="Sylfaen"/>
          <w:sz w:val="24"/>
          <w:szCs w:val="24"/>
        </w:rPr>
        <w:t>և</w:t>
      </w:r>
      <w:r w:rsidRPr="003B2786">
        <w:rPr>
          <w:rFonts w:ascii="Sylfaen" w:hAnsi="Sylfaen"/>
          <w:sz w:val="24"/>
          <w:szCs w:val="24"/>
        </w:rPr>
        <w:t xml:space="preserve"> արդյունքները կարող են </w:t>
      </w:r>
      <w:r w:rsidRPr="003B2786">
        <w:rPr>
          <w:rFonts w:ascii="Sylfaen" w:hAnsi="Sylfaen"/>
          <w:sz w:val="24"/>
          <w:szCs w:val="24"/>
        </w:rPr>
        <w:lastRenderedPageBreak/>
        <w:t xml:space="preserve">ներկայացվել համատեղ կամ յուրաքանչյուր փորձարկման համար առանձին (կախված հետազոտությունների տեսակից </w:t>
      </w:r>
      <w:r w:rsidR="00C54D75">
        <w:rPr>
          <w:rFonts w:ascii="Sylfaen" w:hAnsi="Sylfaen"/>
          <w:sz w:val="24"/>
          <w:szCs w:val="24"/>
        </w:rPr>
        <w:t>և</w:t>
      </w:r>
      <w:r w:rsidRPr="003B2786">
        <w:rPr>
          <w:rFonts w:ascii="Sylfaen" w:hAnsi="Sylfaen"/>
          <w:sz w:val="24"/>
          <w:szCs w:val="24"/>
        </w:rPr>
        <w:t xml:space="preserve"> նման բնութագրերից):</w:t>
      </w:r>
    </w:p>
    <w:p w14:paraId="2CBA674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w:t>
      </w:r>
      <w:r w:rsidRPr="003B2786">
        <w:rPr>
          <w:rFonts w:ascii="Sylfaen" w:hAnsi="Sylfaen"/>
          <w:sz w:val="24"/>
          <w:szCs w:val="24"/>
        </w:rPr>
        <w:tab/>
        <w:t>Մեթոդները:</w:t>
      </w:r>
    </w:p>
    <w:p w14:paraId="0619E06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Յուրաքանչյուր կոնկրետ դեպքի համար անհրաժեշտ է հետ</w:t>
      </w:r>
      <w:r w:rsidR="00C54D75">
        <w:rPr>
          <w:rFonts w:ascii="Sylfaen" w:hAnsi="Sylfaen"/>
          <w:sz w:val="24"/>
          <w:szCs w:val="24"/>
        </w:rPr>
        <w:t>և</w:t>
      </w:r>
      <w:r w:rsidRPr="003B2786">
        <w:rPr>
          <w:rFonts w:ascii="Sylfaen" w:hAnsi="Sylfaen"/>
          <w:sz w:val="24"/>
          <w:szCs w:val="24"/>
        </w:rPr>
        <w:t>ել առավել կար</w:t>
      </w:r>
      <w:r w:rsidR="00C54D75">
        <w:rPr>
          <w:rFonts w:ascii="Sylfaen" w:hAnsi="Sylfaen"/>
          <w:sz w:val="24"/>
          <w:szCs w:val="24"/>
        </w:rPr>
        <w:t>և</w:t>
      </w:r>
      <w:r w:rsidRPr="003B2786">
        <w:rPr>
          <w:rFonts w:ascii="Sylfaen" w:hAnsi="Sylfaen"/>
          <w:sz w:val="24"/>
          <w:szCs w:val="24"/>
        </w:rPr>
        <w:t>որ կետերին (տե՛ս մակնշված ցանկը):</w:t>
      </w:r>
    </w:p>
    <w:p w14:paraId="29C354D8"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3.4.1.1.</w:t>
      </w:r>
      <w:r w:rsidRPr="003B2786">
        <w:rPr>
          <w:rFonts w:ascii="Sylfaen" w:hAnsi="Sylfaen"/>
          <w:sz w:val="24"/>
          <w:szCs w:val="24"/>
        </w:rPr>
        <w:tab/>
        <w:t>Հետազոտության մասնակիցները:</w:t>
      </w:r>
    </w:p>
    <w:p w14:paraId="459AB27E"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Ներառելու (չներառելու) չափորոշիչները, վայրերը (օրինակ՝ տարածաշրջանները, որտեղ տեղակայված են եղել մասնակիցների հավաքագրման վայրերը) </w:t>
      </w:r>
      <w:r w:rsidR="00C54D75">
        <w:rPr>
          <w:rFonts w:ascii="Sylfaen" w:hAnsi="Sylfaen"/>
          <w:sz w:val="24"/>
          <w:szCs w:val="24"/>
        </w:rPr>
        <w:t>և</w:t>
      </w:r>
      <w:r w:rsidRPr="003B2786">
        <w:rPr>
          <w:rFonts w:ascii="Sylfaen" w:hAnsi="Sylfaen"/>
          <w:sz w:val="24"/>
          <w:szCs w:val="24"/>
        </w:rPr>
        <w:t xml:space="preserve"> պայմանները (մասնակիցների հավաքագրման վայրերի տեսակը, օրինակ՝ հիվանդանոցի (բաժանմունքի) տեսակը), որտեղ կատարվել է տվյալների հավաքագրումը:</w:t>
      </w:r>
    </w:p>
    <w:p w14:paraId="5ABE655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3.4.1.2.</w:t>
      </w:r>
      <w:r w:rsidRPr="003B2786">
        <w:rPr>
          <w:rFonts w:ascii="Sylfaen" w:hAnsi="Sylfaen"/>
          <w:sz w:val="24"/>
          <w:szCs w:val="24"/>
        </w:rPr>
        <w:tab/>
        <w:t>Բուժումը:</w:t>
      </w:r>
    </w:p>
    <w:p w14:paraId="55418A3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Բաժնում պետք է յուրաքանչյուր խմբի համար ներկայացվի մանրամասն տեղեկատվություն՝ բուժման (կամ այլ միջամտությունների), ինչպես նա</w:t>
      </w:r>
      <w:r w:rsidR="00C54D75">
        <w:rPr>
          <w:rFonts w:ascii="Sylfaen" w:hAnsi="Sylfaen"/>
          <w:sz w:val="24"/>
          <w:szCs w:val="24"/>
        </w:rPr>
        <w:t>և</w:t>
      </w:r>
      <w:r w:rsidRPr="003B2786">
        <w:rPr>
          <w:rFonts w:ascii="Sylfaen" w:hAnsi="Sylfaen"/>
          <w:sz w:val="24"/>
          <w:szCs w:val="24"/>
        </w:rPr>
        <w:t xml:space="preserve"> պատրաստուկի ներմուծման կարգի </w:t>
      </w:r>
      <w:r w:rsidR="00C54D75">
        <w:rPr>
          <w:rFonts w:ascii="Sylfaen" w:hAnsi="Sylfaen"/>
          <w:sz w:val="24"/>
          <w:szCs w:val="24"/>
        </w:rPr>
        <w:t>և</w:t>
      </w:r>
      <w:r w:rsidRPr="003B2786">
        <w:rPr>
          <w:rFonts w:ascii="Sylfaen" w:hAnsi="Sylfaen"/>
          <w:sz w:val="24"/>
          <w:szCs w:val="24"/>
        </w:rPr>
        <w:t xml:space="preserve"> ժամի վերաբերյալ:</w:t>
      </w:r>
    </w:p>
    <w:p w14:paraId="4E609695"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3.4.1.3.</w:t>
      </w:r>
      <w:r w:rsidRPr="003B2786">
        <w:rPr>
          <w:rFonts w:ascii="Sylfaen" w:hAnsi="Sylfaen"/>
          <w:sz w:val="24"/>
          <w:szCs w:val="24"/>
        </w:rPr>
        <w:tab/>
        <w:t>Նպատակները:</w:t>
      </w:r>
    </w:p>
    <w:p w14:paraId="6A7D9ED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Կոնկրետ նպատակները </w:t>
      </w:r>
      <w:r w:rsidR="00C54D75">
        <w:rPr>
          <w:rFonts w:ascii="Sylfaen" w:hAnsi="Sylfaen"/>
          <w:sz w:val="24"/>
          <w:szCs w:val="24"/>
        </w:rPr>
        <w:t>և</w:t>
      </w:r>
      <w:r w:rsidRPr="003B2786">
        <w:rPr>
          <w:rFonts w:ascii="Sylfaen" w:hAnsi="Sylfaen"/>
          <w:sz w:val="24"/>
          <w:szCs w:val="24"/>
        </w:rPr>
        <w:t xml:space="preserve"> հիպոթեզները, նշվում է վիճակագրական հիպոթեզը (օրինակ՝ կլինիկական արդյունավետության առաջնային կետ(եր)ի համար առավելությունը, համարժեքությունը կամ ոչ պակաս արդյունավետությունը </w:t>
      </w:r>
      <w:r w:rsidR="00C54D75">
        <w:rPr>
          <w:rFonts w:ascii="Sylfaen" w:hAnsi="Sylfaen"/>
          <w:sz w:val="24"/>
          <w:szCs w:val="24"/>
        </w:rPr>
        <w:t>և</w:t>
      </w:r>
      <w:r w:rsidRPr="003B2786">
        <w:rPr>
          <w:rFonts w:ascii="Sylfaen" w:hAnsi="Sylfaen"/>
          <w:sz w:val="24"/>
          <w:szCs w:val="24"/>
        </w:rPr>
        <w:t xml:space="preserve"> ազդեցության ակնկալվող ծավալի հավանականության կամ թույլատրելի սխալի ցուցանիշի որ</w:t>
      </w:r>
      <w:r w:rsidR="00C54D75">
        <w:rPr>
          <w:rFonts w:ascii="Sylfaen" w:hAnsi="Sylfaen"/>
          <w:sz w:val="24"/>
          <w:szCs w:val="24"/>
        </w:rPr>
        <w:t>և</w:t>
      </w:r>
      <w:r w:rsidRPr="003B2786">
        <w:rPr>
          <w:rFonts w:ascii="Sylfaen" w:hAnsi="Sylfaen"/>
          <w:sz w:val="24"/>
          <w:szCs w:val="24"/>
        </w:rPr>
        <w:t>է հիմնավորում):</w:t>
      </w:r>
    </w:p>
    <w:p w14:paraId="70441165"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3.4.1.4.</w:t>
      </w:r>
      <w:r w:rsidRPr="003B2786">
        <w:rPr>
          <w:rFonts w:ascii="Sylfaen" w:hAnsi="Sylfaen"/>
          <w:sz w:val="24"/>
          <w:szCs w:val="24"/>
        </w:rPr>
        <w:tab/>
        <w:t>Կլինիկական արդյունավետության արդյունքները (կետերը):</w:t>
      </w:r>
    </w:p>
    <w:p w14:paraId="7E5C47B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Բաժնում պետք է լինեն հստակ սահմանված առաջնային </w:t>
      </w:r>
      <w:r w:rsidR="00C54D75">
        <w:rPr>
          <w:rFonts w:ascii="Sylfaen" w:hAnsi="Sylfaen"/>
          <w:sz w:val="24"/>
          <w:szCs w:val="24"/>
        </w:rPr>
        <w:t>և</w:t>
      </w:r>
      <w:r w:rsidRPr="003B2786">
        <w:rPr>
          <w:rFonts w:ascii="Sylfaen" w:hAnsi="Sylfaen"/>
          <w:sz w:val="24"/>
          <w:szCs w:val="24"/>
        </w:rPr>
        <w:t xml:space="preserve"> երկրորդային ելքային ցուցանիշներ </w:t>
      </w:r>
      <w:r w:rsidR="00C54D75">
        <w:rPr>
          <w:rFonts w:ascii="Sylfaen" w:hAnsi="Sylfaen"/>
          <w:sz w:val="24"/>
          <w:szCs w:val="24"/>
        </w:rPr>
        <w:t>և</w:t>
      </w:r>
      <w:r w:rsidRPr="003B2786">
        <w:rPr>
          <w:rFonts w:ascii="Sylfaen" w:hAnsi="Sylfaen"/>
          <w:sz w:val="24"/>
          <w:szCs w:val="24"/>
        </w:rPr>
        <w:t xml:space="preserve"> կիրառելիության դեպքում՝ չափումների որակը բարձրացնելու համար օգտագործվող ցանկացած մեթոդ (օրինակ՝ բազմակի դիտարկումներ, գնահատման մասով փորձագետների վերապատրաստում, </w:t>
      </w:r>
      <w:r w:rsidRPr="003B2786">
        <w:rPr>
          <w:rFonts w:ascii="Sylfaen" w:hAnsi="Sylfaen"/>
          <w:sz w:val="24"/>
          <w:szCs w:val="24"/>
        </w:rPr>
        <w:lastRenderedPageBreak/>
        <w:t>կենտրոնացված (անկախ) ամփոփումներ):</w:t>
      </w:r>
    </w:p>
    <w:p w14:paraId="3538841C" w14:textId="4852978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կենտրոնացե՛ք կլինիկական արդյունավետության առավել կար</w:t>
      </w:r>
      <w:r w:rsidR="00C54D75">
        <w:rPr>
          <w:rFonts w:ascii="Sylfaen" w:hAnsi="Sylfaen"/>
          <w:sz w:val="24"/>
          <w:szCs w:val="24"/>
        </w:rPr>
        <w:t>և</w:t>
      </w:r>
      <w:r w:rsidRPr="003B2786">
        <w:rPr>
          <w:rFonts w:ascii="Sylfaen" w:hAnsi="Sylfaen"/>
          <w:sz w:val="24"/>
          <w:szCs w:val="24"/>
        </w:rPr>
        <w:t xml:space="preserve">որ երկրորդային կետերի վրա: Կիրառելիության դեպքում շարադրե՛ք </w:t>
      </w:r>
      <w:r w:rsidR="0056496B">
        <w:rPr>
          <w:rFonts w:ascii="Sylfaen" w:hAnsi="Sylfaen"/>
          <w:sz w:val="24"/>
          <w:szCs w:val="24"/>
        </w:rPr>
        <w:t>դիմումատու</w:t>
      </w:r>
      <w:r w:rsidRPr="003B2786">
        <w:rPr>
          <w:rFonts w:ascii="Sylfaen" w:hAnsi="Sylfaen"/>
          <w:sz w:val="24"/>
          <w:szCs w:val="24"/>
        </w:rPr>
        <w:t>ի կողմից ներկայացված հիմնավորումները՝ հօգուտ կլինիկական արդյունավետության որ</w:t>
      </w:r>
      <w:r w:rsidR="00C54D75">
        <w:rPr>
          <w:rFonts w:ascii="Sylfaen" w:hAnsi="Sylfaen"/>
          <w:sz w:val="24"/>
          <w:szCs w:val="24"/>
        </w:rPr>
        <w:t>և</w:t>
      </w:r>
      <w:r w:rsidRPr="003B2786">
        <w:rPr>
          <w:rFonts w:ascii="Sylfaen" w:hAnsi="Sylfaen"/>
          <w:sz w:val="24"/>
          <w:szCs w:val="24"/>
        </w:rPr>
        <w:t>է սուռոգատ կետի ընտրության:</w:t>
      </w:r>
    </w:p>
    <w:p w14:paraId="54310268"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կլինիկական արդյունավետության ցանկացած սուռոգատ կետի ընտրության հիմնավորվածությունը:</w:t>
      </w:r>
    </w:p>
    <w:p w14:paraId="7736409F" w14:textId="77777777" w:rsidR="008C76E0" w:rsidRPr="003B2786" w:rsidRDefault="008C76E0" w:rsidP="00262653">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Կլինիկական արդյունավետության վերոնշյալ կետերի կլինիկական նշանակալիության վերաբերյալ անհրաժեշտ է ներկայացնել համառոտ մեկնաբանություններ:</w:t>
      </w:r>
    </w:p>
    <w:p w14:paraId="775A02BA"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3.4.1.5.</w:t>
      </w:r>
      <w:r w:rsidRPr="003B2786">
        <w:rPr>
          <w:rFonts w:ascii="Sylfaen" w:hAnsi="Sylfaen"/>
          <w:sz w:val="24"/>
          <w:szCs w:val="24"/>
        </w:rPr>
        <w:tab/>
        <w:t>Ընտրանքի չափը:</w:t>
      </w:r>
    </w:p>
    <w:p w14:paraId="53279A39"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ներկայացնել ընտրանքի չափը որոշելու կարգը </w:t>
      </w:r>
      <w:r w:rsidR="00C54D75">
        <w:rPr>
          <w:rFonts w:ascii="Sylfaen" w:hAnsi="Sylfaen"/>
          <w:sz w:val="24"/>
          <w:szCs w:val="24"/>
        </w:rPr>
        <w:t>և</w:t>
      </w:r>
      <w:r w:rsidRPr="003B2786">
        <w:rPr>
          <w:rFonts w:ascii="Sylfaen" w:hAnsi="Sylfaen"/>
          <w:sz w:val="24"/>
          <w:szCs w:val="24"/>
        </w:rPr>
        <w:t xml:space="preserve"> կիրառելիության դեպքում՝ ցանկացած միջանկյալ վերլուծության </w:t>
      </w:r>
      <w:r w:rsidR="00C54D75">
        <w:rPr>
          <w:rFonts w:ascii="Sylfaen" w:hAnsi="Sylfaen"/>
          <w:sz w:val="24"/>
          <w:szCs w:val="24"/>
        </w:rPr>
        <w:t>և</w:t>
      </w:r>
      <w:r w:rsidRPr="003B2786">
        <w:rPr>
          <w:rFonts w:ascii="Sylfaen" w:hAnsi="Sylfaen"/>
          <w:sz w:val="24"/>
          <w:szCs w:val="24"/>
        </w:rPr>
        <w:t xml:space="preserve"> դրա դադարեցման կանոնների նկարագրությունը:</w:t>
      </w:r>
    </w:p>
    <w:p w14:paraId="315451E7"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3.4.1.6.</w:t>
      </w:r>
      <w:r w:rsidRPr="003B2786">
        <w:rPr>
          <w:rFonts w:ascii="Sylfaen" w:hAnsi="Sylfaen"/>
          <w:sz w:val="24"/>
          <w:szCs w:val="24"/>
        </w:rPr>
        <w:tab/>
        <w:t>Պատահական ընտրանք:</w:t>
      </w:r>
    </w:p>
    <w:p w14:paraId="0AD6D28E"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Պատահական ընտրանքով բաշխման հետ</w:t>
      </w:r>
      <w:r w:rsidR="00C54D75">
        <w:rPr>
          <w:rFonts w:ascii="Sylfaen" w:hAnsi="Sylfaen"/>
          <w:sz w:val="24"/>
          <w:szCs w:val="24"/>
        </w:rPr>
        <w:t>և</w:t>
      </w:r>
      <w:r w:rsidRPr="003B2786">
        <w:rPr>
          <w:rFonts w:ascii="Sylfaen" w:hAnsi="Sylfaen"/>
          <w:sz w:val="24"/>
          <w:szCs w:val="24"/>
        </w:rPr>
        <w:t xml:space="preserve">ողականությունն ապահովելու համար օգտագործվող մեթոդները </w:t>
      </w:r>
      <w:r w:rsidR="00C54D75">
        <w:rPr>
          <w:rFonts w:ascii="Sylfaen" w:hAnsi="Sylfaen"/>
          <w:sz w:val="24"/>
          <w:szCs w:val="24"/>
        </w:rPr>
        <w:t>և</w:t>
      </w:r>
      <w:r w:rsidRPr="003B2786">
        <w:rPr>
          <w:rFonts w:ascii="Sylfaen" w:hAnsi="Sylfaen"/>
          <w:sz w:val="24"/>
          <w:szCs w:val="24"/>
        </w:rPr>
        <w:t xml:space="preserve"> դրա իրագործման համար ստրատիֆիկացման չափորոշիչները:</w:t>
      </w:r>
    </w:p>
    <w:p w14:paraId="6E583792"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3.4.1.7.</w:t>
      </w:r>
      <w:r w:rsidRPr="003B2786">
        <w:rPr>
          <w:rFonts w:ascii="Sylfaen" w:hAnsi="Sylfaen"/>
          <w:sz w:val="24"/>
          <w:szCs w:val="24"/>
        </w:rPr>
        <w:tab/>
        <w:t>Տվյալների անանունության ապահովումը («կուրացումը»):</w:t>
      </w:r>
    </w:p>
    <w:p w14:paraId="4958DFC3"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 xml:space="preserve">Անկախ հետազոտությանը մասնակցելուց՝ միջամտությունն ապահոված անձինք </w:t>
      </w:r>
      <w:r w:rsidR="00C54D75">
        <w:rPr>
          <w:rFonts w:ascii="Sylfaen" w:hAnsi="Sylfaen"/>
          <w:sz w:val="24"/>
          <w:szCs w:val="24"/>
        </w:rPr>
        <w:t>և</w:t>
      </w:r>
      <w:r w:rsidRPr="003B2786">
        <w:rPr>
          <w:rFonts w:ascii="Sylfaen" w:hAnsi="Sylfaen"/>
          <w:sz w:val="24"/>
          <w:szCs w:val="24"/>
        </w:rPr>
        <w:t xml:space="preserve"> ելքը գնահատած անձինք իմացել են խմբային բաշխման մասին: Եթե ոչ, ապա ինչպե՞ս է գնահատվել «կուրացման» հաջողությունը:</w:t>
      </w:r>
    </w:p>
    <w:p w14:paraId="718D2244"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3.4.1.8.</w:t>
      </w:r>
      <w:r w:rsidRPr="003B2786">
        <w:rPr>
          <w:rFonts w:ascii="Sylfaen" w:hAnsi="Sylfaen"/>
          <w:sz w:val="24"/>
          <w:szCs w:val="24"/>
        </w:rPr>
        <w:tab/>
        <w:t>Վիճակագրական մեթոդները:</w:t>
      </w:r>
    </w:p>
    <w:p w14:paraId="4E68702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Խմբերի՝ ըստ կլինիկական արդյունավետության առաջնային կետերի համեմատության համար օգտագործվող վիճակագրական մեթոդները (ներառյալ՝ </w:t>
      </w:r>
      <w:r w:rsidRPr="003B2786">
        <w:rPr>
          <w:rFonts w:ascii="Sylfaen" w:hAnsi="Sylfaen"/>
          <w:sz w:val="24"/>
          <w:szCs w:val="24"/>
        </w:rPr>
        <w:lastRenderedPageBreak/>
        <w:t xml:space="preserve">հիմնական վերլուծության համար բնակչության խմբերի որոշումը, սխալների հավանականությունը, բազմաքանակության ճշտումը, օգտագործվող վիճակագրական մեթոդների հակիրճ նկարագրությունը, միջանկյալ վերլուծությունները), լրացուցիչ վերլուծությունների մեթոդները (օրինակ՝ ենթախմբերի վերլուծությունը </w:t>
      </w:r>
      <w:r w:rsidR="00C54D75">
        <w:rPr>
          <w:rFonts w:ascii="Sylfaen" w:hAnsi="Sylfaen"/>
          <w:sz w:val="24"/>
          <w:szCs w:val="24"/>
        </w:rPr>
        <w:t>և</w:t>
      </w:r>
      <w:r w:rsidRPr="003B2786">
        <w:rPr>
          <w:rFonts w:ascii="Sylfaen" w:hAnsi="Sylfaen"/>
          <w:sz w:val="24"/>
          <w:szCs w:val="24"/>
        </w:rPr>
        <w:t xml:space="preserve"> ճշտված վերլուծությունները):</w:t>
      </w:r>
    </w:p>
    <w:p w14:paraId="17A3864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Վիճակագրական վերլուծության պլանի ընդունելիությունը:</w:t>
      </w:r>
    </w:p>
    <w:p w14:paraId="7762F9C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Վիճակագրական վերլուծության նախապես տրված պլանից որ</w:t>
      </w:r>
      <w:r w:rsidR="00C54D75">
        <w:rPr>
          <w:rFonts w:ascii="Sylfaen" w:hAnsi="Sylfaen"/>
          <w:sz w:val="24"/>
          <w:szCs w:val="24"/>
        </w:rPr>
        <w:t>և</w:t>
      </w:r>
      <w:r w:rsidRPr="003B2786">
        <w:rPr>
          <w:rFonts w:ascii="Sylfaen" w:hAnsi="Sylfaen"/>
          <w:sz w:val="24"/>
          <w:szCs w:val="24"/>
        </w:rPr>
        <w:t>է շեղում անհրաժեշտ է մեկնաբանել:</w:t>
      </w:r>
    </w:p>
    <w:p w14:paraId="2B162D87"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w:t>
      </w:r>
      <w:r w:rsidRPr="003B2786">
        <w:rPr>
          <w:rFonts w:ascii="Sylfaen" w:hAnsi="Sylfaen"/>
          <w:sz w:val="24"/>
          <w:szCs w:val="24"/>
        </w:rPr>
        <w:tab/>
        <w:t>Արդյունքները:</w:t>
      </w:r>
    </w:p>
    <w:p w14:paraId="0CDD57D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Յուրաքանչյուր կոնկրետ դեպքի համար անհրաժեշտ է հետ</w:t>
      </w:r>
      <w:r w:rsidR="00C54D75">
        <w:rPr>
          <w:rFonts w:ascii="Sylfaen" w:hAnsi="Sylfaen"/>
          <w:sz w:val="24"/>
          <w:szCs w:val="24"/>
        </w:rPr>
        <w:t>և</w:t>
      </w:r>
      <w:r w:rsidRPr="003B2786">
        <w:rPr>
          <w:rFonts w:ascii="Sylfaen" w:hAnsi="Sylfaen"/>
          <w:sz w:val="24"/>
          <w:szCs w:val="24"/>
        </w:rPr>
        <w:t>ել առավել կար</w:t>
      </w:r>
      <w:r w:rsidR="00C54D75">
        <w:rPr>
          <w:rFonts w:ascii="Sylfaen" w:hAnsi="Sylfaen"/>
          <w:sz w:val="24"/>
          <w:szCs w:val="24"/>
        </w:rPr>
        <w:t>և</w:t>
      </w:r>
      <w:r w:rsidRPr="003B2786">
        <w:rPr>
          <w:rFonts w:ascii="Sylfaen" w:hAnsi="Sylfaen"/>
          <w:sz w:val="24"/>
          <w:szCs w:val="24"/>
        </w:rPr>
        <w:t>որ կետերին (տե՛ս մակնշված ցանկը):</w:t>
      </w:r>
    </w:p>
    <w:p w14:paraId="22802EC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3.4.2.1.</w:t>
      </w:r>
      <w:r w:rsidRPr="003B2786">
        <w:rPr>
          <w:rFonts w:ascii="Sylfaen" w:hAnsi="Sylfaen"/>
          <w:sz w:val="24"/>
          <w:szCs w:val="24"/>
        </w:rPr>
        <w:tab/>
        <w:t xml:space="preserve">Հետազոտության մեջ մասնակիցների բաշխման սխեման </w:t>
      </w:r>
    </w:p>
    <w:p w14:paraId="2A901177" w14:textId="77777777" w:rsidR="008C76E0" w:rsidRPr="003B2786" w:rsidRDefault="008C76E0" w:rsidP="0092500F">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նկարագրել մասնակիցների կողմից հետազոտության բոլոր փուլերն անցնելու կարգը (հնարավորության դեպքում օգտագործել ստոր</w:t>
      </w:r>
      <w:r w:rsidR="00C54D75">
        <w:rPr>
          <w:rFonts w:ascii="Sylfaen" w:hAnsi="Sylfaen"/>
          <w:sz w:val="24"/>
          <w:szCs w:val="24"/>
        </w:rPr>
        <w:t>և</w:t>
      </w:r>
      <w:r w:rsidRPr="003B2786">
        <w:rPr>
          <w:rFonts w:ascii="Sylfaen" w:hAnsi="Sylfaen"/>
          <w:sz w:val="24"/>
          <w:szCs w:val="24"/>
        </w:rPr>
        <w:t xml:space="preserve"> նշված դիագրամը (կամ որպես այլընտրանք օգտագործել աղյուսակը)):</w:t>
      </w:r>
    </w:p>
    <w:p w14:paraId="73FAD566" w14:textId="77777777" w:rsidR="008C76E0" w:rsidRPr="003B2786" w:rsidRDefault="008C76E0" w:rsidP="0092500F">
      <w:pPr>
        <w:spacing w:after="160" w:line="384" w:lineRule="auto"/>
        <w:ind w:right="-1" w:firstLine="567"/>
        <w:jc w:val="both"/>
        <w:rPr>
          <w:rFonts w:ascii="Sylfaen" w:hAnsi="Sylfaen"/>
          <w:sz w:val="24"/>
          <w:szCs w:val="24"/>
        </w:rPr>
      </w:pPr>
      <w:r w:rsidRPr="003B2786">
        <w:rPr>
          <w:rFonts w:ascii="Sylfaen" w:hAnsi="Sylfaen"/>
          <w:sz w:val="24"/>
          <w:szCs w:val="24"/>
        </w:rPr>
        <w:t xml:space="preserve">Մասնավորապես, յուրաքանչյուր խմբի համար անհրաժեշտ է նշել խմբերում պատահական կարգով բաշխված մասնակիցների թիվը, որոնք ստացել են նշանակված բուժումը, կատարել են հետազոտության արձանագրության պահանջները </w:t>
      </w:r>
      <w:r w:rsidR="00C54D75">
        <w:rPr>
          <w:rFonts w:ascii="Sylfaen" w:hAnsi="Sylfaen"/>
          <w:sz w:val="24"/>
          <w:szCs w:val="24"/>
        </w:rPr>
        <w:t>և</w:t>
      </w:r>
      <w:r w:rsidRPr="003B2786">
        <w:rPr>
          <w:rFonts w:ascii="Sylfaen" w:hAnsi="Sylfaen"/>
          <w:sz w:val="24"/>
          <w:szCs w:val="24"/>
        </w:rPr>
        <w:t xml:space="preserve"> հանձնել առաջնային ելքի որոշման անալիզներ, օրինակ՝</w:t>
      </w:r>
    </w:p>
    <w:p w14:paraId="78D99BB8"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հետազոտության մեջ ներառելը (սքրինինգ անցած սուբյեկտների թիվը, պատահական ընտրանքի սուբյեկտների թիվը, հետազոտությունից հանված սուբյեկտների թիվը՝ նշելով հետազոտությանը մասնակցելու համար սուբյեկտների հավաքագրման պատճառը, ամսաթիվը, ժամանակահատվածները),</w:t>
      </w:r>
    </w:p>
    <w:p w14:paraId="4F37D0D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բաշխումը (ըստ ազդեցության խմբերի՝ պատահական ընտրանքի սուբյեկտների թիվը, նշանակված բուժումն սկսած սուբյեկտների թիվը, նշանակված բուժումը չսկսած սուբյեկտների թիվը՝ նշելով պատճառները),</w:t>
      </w:r>
    </w:p>
    <w:p w14:paraId="2B5295DA"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հսկողությունը բուժումն անցնելուց հետո (ըստ ազդեցության խմբերի՝ բուժումն անցնելուց հետո հսկողություն չանցած սուբյեկտների թիվը՝ նշելով պատճառները, բուժումն ընդհատելու դեպքերի քանակն ըստ արձանագրության, հսկողության ժամանակահատվածը), </w:t>
      </w:r>
    </w:p>
    <w:p w14:paraId="1A4BA151"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վերլուծությունը (կլինիկական արդյունավետության առաջնային կետերը որոշելու վերլուծության խմբում ընդգրկված սուբյեկտների թիվը, հանված սուբյեկտների թիվը՝ նշելով պատճառները):</w:t>
      </w:r>
    </w:p>
    <w:p w14:paraId="6278611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ներկայացնել պլանավորված հետազոտությունների արձանագրությունից շեղումների վերաբերյալ տեղեկություններ՝ նշելով պատճառները:</w:t>
      </w:r>
    </w:p>
    <w:p w14:paraId="3F317FD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բուժումից ազատվելու </w:t>
      </w:r>
      <w:r w:rsidR="00C54D75">
        <w:rPr>
          <w:rFonts w:ascii="Sylfaen" w:hAnsi="Sylfaen"/>
          <w:sz w:val="24"/>
          <w:szCs w:val="24"/>
        </w:rPr>
        <w:t>և</w:t>
      </w:r>
      <w:r w:rsidRPr="003B2786">
        <w:rPr>
          <w:rFonts w:ascii="Sylfaen" w:hAnsi="Sylfaen"/>
          <w:sz w:val="24"/>
          <w:szCs w:val="24"/>
        </w:rPr>
        <w:t xml:space="preserve"> հետազոտությունից վաղ դուրս գալու չափորոշիչների նկարագրությունը, եթե այդ տեղեկությունները կնպաստեն արդյունքների մեկնաբանությունը հասկանալուն:</w:t>
      </w:r>
    </w:p>
    <w:p w14:paraId="6901C50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3.4.2.2.</w:t>
      </w:r>
      <w:r w:rsidRPr="003B2786">
        <w:rPr>
          <w:rFonts w:ascii="Sylfaen" w:hAnsi="Sylfaen"/>
          <w:sz w:val="24"/>
          <w:szCs w:val="24"/>
        </w:rPr>
        <w:tab/>
        <w:t>Մանակիցների հավաքագրումը:</w:t>
      </w:r>
    </w:p>
    <w:p w14:paraId="03EF7AC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Հավաքագրման </w:t>
      </w:r>
      <w:r w:rsidR="00C54D75">
        <w:rPr>
          <w:rFonts w:ascii="Sylfaen" w:hAnsi="Sylfaen"/>
          <w:sz w:val="24"/>
          <w:szCs w:val="24"/>
        </w:rPr>
        <w:t>և</w:t>
      </w:r>
      <w:r w:rsidRPr="003B2786">
        <w:rPr>
          <w:rFonts w:ascii="Sylfaen" w:hAnsi="Sylfaen"/>
          <w:sz w:val="24"/>
          <w:szCs w:val="24"/>
        </w:rPr>
        <w:t xml:space="preserve"> բուժումն անցկացնելուց հետո հսկողության ամսաթվերը:</w:t>
      </w:r>
    </w:p>
    <w:p w14:paraId="1546D03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3.4.2.3.</w:t>
      </w:r>
      <w:r w:rsidRPr="003B2786">
        <w:rPr>
          <w:rFonts w:ascii="Sylfaen" w:hAnsi="Sylfaen"/>
          <w:sz w:val="24"/>
          <w:szCs w:val="24"/>
        </w:rPr>
        <w:tab/>
        <w:t>Հետազոտության անցկացումը:</w:t>
      </w:r>
    </w:p>
    <w:p w14:paraId="58AF456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արձանագրությունում էական փոփոխություններ են մտցվել (եթե դա նկարագրված չէ վիճակագրական վերլուծության բաժնում): Կիրառելիության դեպքում անհրաժեշտ է ներկայացնել արձանագրության </w:t>
      </w:r>
      <w:r w:rsidR="00C54D75">
        <w:rPr>
          <w:rFonts w:ascii="Sylfaen" w:hAnsi="Sylfaen"/>
          <w:sz w:val="24"/>
          <w:szCs w:val="24"/>
        </w:rPr>
        <w:t>և</w:t>
      </w:r>
      <w:r w:rsidRPr="003B2786">
        <w:rPr>
          <w:rFonts w:ascii="Sylfaen" w:hAnsi="Sylfaen"/>
          <w:sz w:val="24"/>
          <w:szCs w:val="24"/>
        </w:rPr>
        <w:t xml:space="preserve"> Միության պատշաճ կլինիկական գործունեության կանոնների պահպանման մասով ստուգման արդյունքների վերաբերյալ տեղեկություններ:</w:t>
      </w:r>
    </w:p>
    <w:p w14:paraId="570604FD"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3.4.2.4.</w:t>
      </w:r>
      <w:r w:rsidRPr="003B2786">
        <w:rPr>
          <w:rFonts w:ascii="Sylfaen" w:hAnsi="Sylfaen"/>
          <w:sz w:val="24"/>
          <w:szCs w:val="24"/>
        </w:rPr>
        <w:tab/>
        <w:t>Ելակետային տվյալներ:</w:t>
      </w:r>
    </w:p>
    <w:p w14:paraId="1CFA3AD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Յուրաքանչյուր խմբի ժողովրդագրական </w:t>
      </w:r>
      <w:r w:rsidR="00C54D75">
        <w:rPr>
          <w:rFonts w:ascii="Sylfaen" w:hAnsi="Sylfaen"/>
          <w:sz w:val="24"/>
          <w:szCs w:val="24"/>
        </w:rPr>
        <w:t>և</w:t>
      </w:r>
      <w:r w:rsidRPr="003B2786">
        <w:rPr>
          <w:rFonts w:ascii="Sylfaen" w:hAnsi="Sylfaen"/>
          <w:sz w:val="24"/>
          <w:szCs w:val="24"/>
        </w:rPr>
        <w:t xml:space="preserve"> կլինիկական ելակետային բնութագրերը:</w:t>
      </w:r>
    </w:p>
    <w:p w14:paraId="46AF6D1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Մասնավորապես, ըստ ազդեցության բոլոր խմբերի՝ անհրաժեշտ է ներկայացնել բնութագրերի անհամաչափության մասին վկայող տեղեկություններ: </w:t>
      </w:r>
    </w:p>
    <w:p w14:paraId="52FA082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lastRenderedPageBreak/>
        <w:t>Անհրաժեշտ է մեկնաբանել, թե ինչպես են բնակչության հետազոտվող խմբի բնութագրերն արտացոլում պատրաստուկի կիրառման ենթադրյալ ցուցումը (կամ հետաձգել մեկնաբանությունները մինչ դրանք ընդհանուր եզրահանգումների մեջ ներառելը):</w:t>
      </w:r>
    </w:p>
    <w:p w14:paraId="5D172AAA"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ազդեցության խմբերի միջ</w:t>
      </w:r>
      <w:r w:rsidR="00C54D75">
        <w:rPr>
          <w:rFonts w:ascii="Sylfaen" w:hAnsi="Sylfaen"/>
          <w:sz w:val="24"/>
          <w:szCs w:val="24"/>
        </w:rPr>
        <w:t>և</w:t>
      </w:r>
      <w:r w:rsidRPr="003B2786">
        <w:rPr>
          <w:rFonts w:ascii="Sylfaen" w:hAnsi="Sylfaen"/>
          <w:sz w:val="24"/>
          <w:szCs w:val="24"/>
        </w:rPr>
        <w:t xml:space="preserve"> նմանությունները </w:t>
      </w:r>
      <w:r w:rsidR="00C54D75">
        <w:rPr>
          <w:rFonts w:ascii="Sylfaen" w:hAnsi="Sylfaen"/>
          <w:sz w:val="24"/>
          <w:szCs w:val="24"/>
        </w:rPr>
        <w:t>և</w:t>
      </w:r>
      <w:r w:rsidRPr="003B2786">
        <w:rPr>
          <w:rFonts w:ascii="Sylfaen" w:hAnsi="Sylfaen"/>
          <w:sz w:val="24"/>
          <w:szCs w:val="24"/>
        </w:rPr>
        <w:t xml:space="preserve"> տարբերությունները (եթե կիրառելի է):</w:t>
      </w:r>
    </w:p>
    <w:p w14:paraId="5CCC909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ներկայացվում են բուժման նկատմամբ մասնակիցների հակվածության վերաբերյալ մեկնաբանություններ:</w:t>
      </w:r>
    </w:p>
    <w:p w14:paraId="2ED348E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3.4.2.5.</w:t>
      </w:r>
      <w:r w:rsidRPr="003B2786">
        <w:rPr>
          <w:rFonts w:ascii="Sylfaen" w:hAnsi="Sylfaen"/>
          <w:sz w:val="24"/>
          <w:szCs w:val="24"/>
        </w:rPr>
        <w:tab/>
        <w:t>Վերլուծված ընտրանքը:</w:t>
      </w:r>
    </w:p>
    <w:p w14:paraId="7AA14053" w14:textId="5E7E94D8"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յուրաքանչյուր վերլուծության մեջ ներառված մասնակիցների թիվը (</w:t>
      </w:r>
      <w:r w:rsidR="0056496B">
        <w:rPr>
          <w:rFonts w:ascii="Sylfaen" w:hAnsi="Sylfaen"/>
          <w:sz w:val="24"/>
          <w:szCs w:val="24"/>
        </w:rPr>
        <w:t>դիմում</w:t>
      </w:r>
      <w:r w:rsidRPr="003B2786">
        <w:rPr>
          <w:rFonts w:ascii="Sylfaen" w:hAnsi="Sylfaen"/>
          <w:sz w:val="24"/>
          <w:szCs w:val="24"/>
        </w:rPr>
        <w:t>արարը) յուրաքանչյուր խմբում, ինչպես նա</w:t>
      </w:r>
      <w:r w:rsidR="00C54D75">
        <w:rPr>
          <w:rFonts w:ascii="Sylfaen" w:hAnsi="Sylfaen"/>
          <w:sz w:val="24"/>
          <w:szCs w:val="24"/>
        </w:rPr>
        <w:t>և</w:t>
      </w:r>
      <w:r w:rsidRPr="003B2786">
        <w:rPr>
          <w:rFonts w:ascii="Sylfaen" w:hAnsi="Sylfaen"/>
          <w:sz w:val="24"/>
          <w:szCs w:val="24"/>
        </w:rPr>
        <w:t>՝ արդյոք վերլուծությանը մասնակցելը պայմանավորված է եղել «բուժման նկատմամբ հակվածությամբ»: Հնարավորության դեպքում արդյունքները ներկայացվում են բացարձակ թվերով (օրինակ՝ 10/20, բայց ոչ 50%):</w:t>
      </w:r>
    </w:p>
    <w:p w14:paraId="172DB202"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3.4.2.6.</w:t>
      </w:r>
      <w:r w:rsidRPr="003B2786">
        <w:rPr>
          <w:rFonts w:ascii="Sylfaen" w:hAnsi="Sylfaen"/>
          <w:sz w:val="24"/>
          <w:szCs w:val="24"/>
        </w:rPr>
        <w:tab/>
        <w:t>Ելքերն ու գնահատումը:</w:t>
      </w:r>
    </w:p>
    <w:p w14:paraId="4F12A1F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ներկայացնել յուրաքանչյուր խմբի սուբյեկտների շրջանում յուրաքանչյուր առաջնային </w:t>
      </w:r>
      <w:r w:rsidR="00C54D75">
        <w:rPr>
          <w:rFonts w:ascii="Sylfaen" w:hAnsi="Sylfaen"/>
          <w:sz w:val="24"/>
          <w:szCs w:val="24"/>
        </w:rPr>
        <w:t>և</w:t>
      </w:r>
      <w:r w:rsidRPr="003B2786">
        <w:rPr>
          <w:rFonts w:ascii="Sylfaen" w:hAnsi="Sylfaen"/>
          <w:sz w:val="24"/>
          <w:szCs w:val="24"/>
        </w:rPr>
        <w:t xml:space="preserve"> երկրորդային ելքի վերաբերյալ արդյունքների համառոտ ամփոփում՝ հաշվարկային ճշգրտությամբ (օրինակ՝ 95% CI): </w:t>
      </w:r>
    </w:p>
    <w:p w14:paraId="18DC2CC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նկարագրել դիտվող ազդեցության կլինիկական նշանակությունը, քանի որ դա կարող է հատկապես կար</w:t>
      </w:r>
      <w:r w:rsidR="00C54D75">
        <w:rPr>
          <w:rFonts w:ascii="Sylfaen" w:hAnsi="Sylfaen"/>
          <w:sz w:val="24"/>
          <w:szCs w:val="24"/>
        </w:rPr>
        <w:t>և</w:t>
      </w:r>
      <w:r w:rsidRPr="003B2786">
        <w:rPr>
          <w:rFonts w:ascii="Sylfaen" w:hAnsi="Sylfaen"/>
          <w:sz w:val="24"/>
          <w:szCs w:val="24"/>
        </w:rPr>
        <w:t>որ լինել օգուտ-ռիսկ հարաբերության գնահատման համար:</w:t>
      </w:r>
    </w:p>
    <w:p w14:paraId="51AF13BA"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3.4.2.7.</w:t>
      </w:r>
      <w:r w:rsidRPr="003B2786">
        <w:rPr>
          <w:rFonts w:ascii="Sylfaen" w:hAnsi="Sylfaen"/>
          <w:sz w:val="24"/>
          <w:szCs w:val="24"/>
        </w:rPr>
        <w:tab/>
        <w:t>Լրացուցիչ վերլուծությունները:</w:t>
      </w:r>
    </w:p>
    <w:p w14:paraId="4494B85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մեկնաբանել անցկացված մի շարք վերլուծությունների վերաբերյալ ներկայացված տեղեկությունները՝ ներառյալ ենթախմբային վերլուծությունը </w:t>
      </w:r>
      <w:r w:rsidR="00C54D75">
        <w:rPr>
          <w:rFonts w:ascii="Sylfaen" w:hAnsi="Sylfaen"/>
          <w:sz w:val="24"/>
          <w:szCs w:val="24"/>
        </w:rPr>
        <w:t>և</w:t>
      </w:r>
      <w:r w:rsidRPr="003B2786">
        <w:rPr>
          <w:rFonts w:ascii="Sylfaen" w:hAnsi="Sylfaen"/>
          <w:sz w:val="24"/>
          <w:szCs w:val="24"/>
        </w:rPr>
        <w:t xml:space="preserve"> շտկված վերլուծությունները, ինչպես նա</w:t>
      </w:r>
      <w:r w:rsidR="00C54D75">
        <w:rPr>
          <w:rFonts w:ascii="Sylfaen" w:hAnsi="Sylfaen"/>
          <w:sz w:val="24"/>
          <w:szCs w:val="24"/>
        </w:rPr>
        <w:t>և</w:t>
      </w:r>
      <w:r w:rsidRPr="003B2786">
        <w:rPr>
          <w:rFonts w:ascii="Sylfaen" w:hAnsi="Sylfaen"/>
          <w:sz w:val="24"/>
          <w:szCs w:val="24"/>
        </w:rPr>
        <w:t xml:space="preserve"> ծրագրված </w:t>
      </w:r>
      <w:r w:rsidR="00C54D75">
        <w:rPr>
          <w:rFonts w:ascii="Sylfaen" w:hAnsi="Sylfaen"/>
          <w:sz w:val="24"/>
          <w:szCs w:val="24"/>
        </w:rPr>
        <w:t>և</w:t>
      </w:r>
      <w:r w:rsidRPr="003B2786">
        <w:rPr>
          <w:rFonts w:ascii="Sylfaen" w:hAnsi="Sylfaen"/>
          <w:sz w:val="24"/>
          <w:szCs w:val="24"/>
        </w:rPr>
        <w:t xml:space="preserve"> ամփոփիչ վերլուծությունները (ստացված արդյունքների վերաբերյալ ենթախմբային </w:t>
      </w:r>
      <w:r w:rsidRPr="003B2786">
        <w:rPr>
          <w:rFonts w:ascii="Sylfaen" w:hAnsi="Sylfaen"/>
          <w:sz w:val="24"/>
          <w:szCs w:val="24"/>
        </w:rPr>
        <w:lastRenderedPageBreak/>
        <w:t xml:space="preserve">վերլուծությունները </w:t>
      </w:r>
      <w:r w:rsidR="00C54D75">
        <w:rPr>
          <w:rFonts w:ascii="Sylfaen" w:hAnsi="Sylfaen"/>
          <w:sz w:val="24"/>
          <w:szCs w:val="24"/>
        </w:rPr>
        <w:t>և</w:t>
      </w:r>
      <w:r w:rsidRPr="003B2786">
        <w:rPr>
          <w:rFonts w:ascii="Sylfaen" w:hAnsi="Sylfaen"/>
          <w:sz w:val="24"/>
          <w:szCs w:val="24"/>
        </w:rPr>
        <w:t xml:space="preserve"> այլ վերլուծություններ):</w:t>
      </w:r>
    </w:p>
    <w:p w14:paraId="186FA49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Կարող է պահանջվել վերլուծության ընտրության հիմնավորումների շարադրում:</w:t>
      </w:r>
    </w:p>
    <w:p w14:paraId="0E08F771"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3.4.2.8.</w:t>
      </w:r>
      <w:r w:rsidRPr="003B2786">
        <w:rPr>
          <w:rFonts w:ascii="Sylfaen" w:hAnsi="Sylfaen"/>
          <w:sz w:val="24"/>
          <w:szCs w:val="24"/>
        </w:rPr>
        <w:tab/>
        <w:t>Արդյունավետության հիմնական արդյունքների համառոտ ամփոփումը:</w:t>
      </w:r>
    </w:p>
    <w:p w14:paraId="09095656"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Հարկավոր է ընդհանրացնել (աղյուսակային ձ</w:t>
      </w:r>
      <w:r w:rsidR="00C54D75">
        <w:rPr>
          <w:rFonts w:ascii="Sylfaen" w:hAnsi="Sylfaen"/>
          <w:sz w:val="24"/>
          <w:szCs w:val="24"/>
        </w:rPr>
        <w:t>և</w:t>
      </w:r>
      <w:r w:rsidRPr="003B2786">
        <w:rPr>
          <w:rFonts w:ascii="Sylfaen" w:hAnsi="Sylfaen"/>
          <w:sz w:val="24"/>
          <w:szCs w:val="24"/>
        </w:rPr>
        <w:t>ով) արդյունավետության հիմնական հետազոտության արդյունքներն արտացոլող առավել արդիական տեղեկատվությունը: Տվյալ ընդհանրացված տեղեկությունները պետք է հարմարեցվեն արդյունավետության վերաբերյալ եզրակացություն կազմելու համար անդամ պետությունների լիազորված փորձագիտական կազմակերպությունների կողմից օգտագործված տվյալների ամբողջությանը: Այսպիսով, կար</w:t>
      </w:r>
      <w:r w:rsidR="00C54D75">
        <w:rPr>
          <w:rFonts w:ascii="Sylfaen" w:hAnsi="Sylfaen"/>
          <w:sz w:val="24"/>
          <w:szCs w:val="24"/>
        </w:rPr>
        <w:t>և</w:t>
      </w:r>
      <w:r w:rsidRPr="003B2786">
        <w:rPr>
          <w:rFonts w:ascii="Sylfaen" w:hAnsi="Sylfaen"/>
          <w:sz w:val="24"/>
          <w:szCs w:val="24"/>
        </w:rPr>
        <w:t xml:space="preserve">որ է արտացոլել առավել նշանակալից համարվող վերլուծության արդյունքները (նախընտրելի է ընդհանուր ընտրանքի </w:t>
      </w:r>
      <w:r w:rsidR="00C54D75">
        <w:rPr>
          <w:rFonts w:ascii="Sylfaen" w:hAnsi="Sylfaen"/>
          <w:sz w:val="24"/>
          <w:szCs w:val="24"/>
        </w:rPr>
        <w:t>և</w:t>
      </w:r>
      <w:r w:rsidRPr="003B2786">
        <w:rPr>
          <w:rFonts w:ascii="Sylfaen" w:hAnsi="Sylfaen"/>
          <w:sz w:val="24"/>
          <w:szCs w:val="24"/>
        </w:rPr>
        <w:t xml:space="preserve"> համաձայն արձանագրության՝ հետազոտության մեջ իրենց մասնակցությունն ավարտած պացիենտների խմբի վերլուծությունը, սակայն հնարավոր է նա</w:t>
      </w:r>
      <w:r w:rsidR="00C54D75">
        <w:rPr>
          <w:rFonts w:ascii="Sylfaen" w:hAnsi="Sylfaen"/>
          <w:sz w:val="24"/>
          <w:szCs w:val="24"/>
        </w:rPr>
        <w:t>և</w:t>
      </w:r>
      <w:r w:rsidRPr="003B2786">
        <w:rPr>
          <w:rFonts w:ascii="Sylfaen" w:hAnsi="Sylfaen"/>
          <w:sz w:val="24"/>
          <w:szCs w:val="24"/>
        </w:rPr>
        <w:t xml:space="preserve"> կլինիկորեն սահմանված ենթախմբային վերլուծություն (նախապես ծրագրված վերլուծություն կամ վերլուծություն՝ ըստ արդյունքների, </w:t>
      </w:r>
      <w:r w:rsidR="00C54D75">
        <w:rPr>
          <w:rFonts w:ascii="Sylfaen" w:hAnsi="Sylfaen"/>
          <w:sz w:val="24"/>
          <w:szCs w:val="24"/>
        </w:rPr>
        <w:t>և</w:t>
      </w:r>
      <w:r w:rsidRPr="003B2786">
        <w:rPr>
          <w:rFonts w:ascii="Sylfaen" w:hAnsi="Sylfaen"/>
          <w:sz w:val="24"/>
          <w:szCs w:val="24"/>
        </w:rPr>
        <w:t xml:space="preserve"> այլն)): Նախապես ծրագրված առաջնային վերլուծության տվյալները պետք է ամեն դեպքում ներկայացվեն:</w:t>
      </w:r>
    </w:p>
    <w:p w14:paraId="4641E221"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Կոնկրետ հետազոտությունների տվյալներն արտացոլելու համար անհրաժեշտ է օգտագործել ստանդարտ ձ</w:t>
      </w:r>
      <w:r w:rsidR="00C54D75">
        <w:rPr>
          <w:rFonts w:ascii="Sylfaen" w:hAnsi="Sylfaen"/>
          <w:sz w:val="24"/>
          <w:szCs w:val="24"/>
        </w:rPr>
        <w:t>և</w:t>
      </w:r>
      <w:r w:rsidRPr="003B2786">
        <w:rPr>
          <w:rFonts w:ascii="Sylfaen" w:hAnsi="Sylfaen"/>
          <w:sz w:val="24"/>
          <w:szCs w:val="24"/>
        </w:rPr>
        <w:t>ի հետ</w:t>
      </w:r>
      <w:r w:rsidR="00C54D75">
        <w:rPr>
          <w:rFonts w:ascii="Sylfaen" w:hAnsi="Sylfaen"/>
          <w:sz w:val="24"/>
          <w:szCs w:val="24"/>
        </w:rPr>
        <w:t>և</w:t>
      </w:r>
      <w:r w:rsidRPr="003B2786">
        <w:rPr>
          <w:rFonts w:ascii="Sylfaen" w:hAnsi="Sylfaen"/>
          <w:sz w:val="24"/>
          <w:szCs w:val="24"/>
        </w:rPr>
        <w:t xml:space="preserve">յալ աղյուսակը: Մանրամասնեցման մակարդակը պետք է ապահովի հետագա մեկնաբանության </w:t>
      </w:r>
      <w:r w:rsidR="00C54D75">
        <w:rPr>
          <w:rFonts w:ascii="Sylfaen" w:hAnsi="Sylfaen"/>
          <w:sz w:val="24"/>
          <w:szCs w:val="24"/>
        </w:rPr>
        <w:t>և</w:t>
      </w:r>
      <w:r w:rsidRPr="003B2786">
        <w:rPr>
          <w:rFonts w:ascii="Sylfaen" w:hAnsi="Sylfaen"/>
          <w:sz w:val="24"/>
          <w:szCs w:val="24"/>
        </w:rPr>
        <w:t xml:space="preserve"> պատրաստուկի օգուտի վերաբերյալ եզրակացության, ինչպես նա</w:t>
      </w:r>
      <w:r w:rsidR="00C54D75">
        <w:rPr>
          <w:rFonts w:ascii="Sylfaen" w:hAnsi="Sylfaen"/>
          <w:sz w:val="24"/>
          <w:szCs w:val="24"/>
        </w:rPr>
        <w:t>և</w:t>
      </w:r>
      <w:r w:rsidRPr="003B2786">
        <w:rPr>
          <w:rFonts w:ascii="Sylfaen" w:hAnsi="Sylfaen"/>
          <w:sz w:val="24"/>
          <w:szCs w:val="24"/>
        </w:rPr>
        <w:t xml:space="preserve"> օգուտ-ռիսկ հարաբերակցության ամփոփման համար տվյալների օգտագործման հնարավորությունը: Բուժման խմբերի տվյալները, ինչպես նա</w:t>
      </w:r>
      <w:r w:rsidR="00C54D75">
        <w:rPr>
          <w:rFonts w:ascii="Sylfaen" w:hAnsi="Sylfaen"/>
          <w:sz w:val="24"/>
          <w:szCs w:val="24"/>
        </w:rPr>
        <w:t>և</w:t>
      </w:r>
      <w:r w:rsidRPr="003B2786">
        <w:rPr>
          <w:rFonts w:ascii="Sylfaen" w:hAnsi="Sylfaen"/>
          <w:sz w:val="24"/>
          <w:szCs w:val="24"/>
        </w:rPr>
        <w:t xml:space="preserve"> տարբեր սուբյեկտների ամբողջության վերաբերյալ տեղեկությունները, որոնք ենթակա են վերլուծության, պետք է ներկայացվեն առանձին վանդակներով (օրինակ՝ արձանագրության համաձայն՝ հետազոտության մեջ մասնակցությունն ավարտած </w:t>
      </w:r>
      <w:r w:rsidRPr="003B2786">
        <w:rPr>
          <w:rFonts w:ascii="Sylfaen" w:hAnsi="Sylfaen"/>
          <w:sz w:val="24"/>
          <w:szCs w:val="24"/>
        </w:rPr>
        <w:lastRenderedPageBreak/>
        <w:t xml:space="preserve">պացիենտների ընդհանուր ընտրանքը </w:t>
      </w:r>
      <w:r w:rsidR="00C54D75">
        <w:rPr>
          <w:rFonts w:ascii="Sylfaen" w:hAnsi="Sylfaen"/>
          <w:sz w:val="24"/>
          <w:szCs w:val="24"/>
        </w:rPr>
        <w:t>և</w:t>
      </w:r>
      <w:r w:rsidRPr="003B2786">
        <w:rPr>
          <w:rFonts w:ascii="Sylfaen" w:hAnsi="Sylfaen"/>
          <w:sz w:val="24"/>
          <w:szCs w:val="24"/>
        </w:rPr>
        <w:t xml:space="preserve"> խումբը): Հեռացման պատճառները պետք է ընդհանրացվեն:</w:t>
      </w:r>
    </w:p>
    <w:p w14:paraId="688CF15D"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 xml:space="preserve">Տարբեր հիմնական փորձարկումների տվյալները պետք է ներկայացվեն առանձին աղյուսակներով: Բացի տվյալ աղյուսակներից՝ այս բաժնում լրացուցիչ տեքստի ներառում չի նախատեսվում: Տվյալ փորձարկումների մանրամասն նկարագրությունը՝ բովանդակային պլանի կառուցվածքի </w:t>
      </w:r>
      <w:r w:rsidR="00C54D75">
        <w:rPr>
          <w:rFonts w:ascii="Sylfaen" w:hAnsi="Sylfaen"/>
          <w:sz w:val="24"/>
          <w:szCs w:val="24"/>
        </w:rPr>
        <w:t>և</w:t>
      </w:r>
      <w:r w:rsidRPr="003B2786">
        <w:rPr>
          <w:rFonts w:ascii="Sylfaen" w:hAnsi="Sylfaen"/>
          <w:sz w:val="24"/>
          <w:szCs w:val="24"/>
        </w:rPr>
        <w:t xml:space="preserve"> հարաբերակցությունների հաշվարկի վերաբերյալ կոնկրետ տեղեկատվությամբ, ներկայացվում է մյուս բաժիններում: Անվտանգության վերաբերյալ տվյալները ենթակա են արտացոլման «Կլինիկական անվտանգություն» բաժնում:</w:t>
      </w:r>
    </w:p>
    <w:p w14:paraId="021473C6"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3.5.</w:t>
      </w:r>
      <w:r w:rsidRPr="003B2786">
        <w:rPr>
          <w:rFonts w:ascii="Sylfaen" w:hAnsi="Sylfaen"/>
          <w:sz w:val="24"/>
          <w:szCs w:val="24"/>
        </w:rPr>
        <w:tab/>
        <w:t>Կլինիկական հետազոտությունները բնակչության հատուկ խմբերի շրջանում:</w:t>
      </w:r>
    </w:p>
    <w:p w14:paraId="65AA377D"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 xml:space="preserve">Տվյալ բաժնում հարկավոր է նկարագրել հատուկ հետազոտությունները (օրինակ՝ երեխաների, տարեց մարդկանց </w:t>
      </w:r>
      <w:r w:rsidR="00C54D75">
        <w:rPr>
          <w:rFonts w:ascii="Sylfaen" w:hAnsi="Sylfaen"/>
          <w:sz w:val="24"/>
          <w:szCs w:val="24"/>
        </w:rPr>
        <w:t>և</w:t>
      </w:r>
      <w:r w:rsidRPr="003B2786">
        <w:rPr>
          <w:rFonts w:ascii="Sylfaen" w:hAnsi="Sylfaen"/>
          <w:sz w:val="24"/>
          <w:szCs w:val="24"/>
        </w:rPr>
        <w:t xml:space="preserve"> երիկամային կամ լյարդի անբավարարությամբ տառապող սուբյեկտների շրջանում): Տվյալ հետազոտություններն անհրաժեշտ է նկարագրել հիմնական հետազոտությունների վերաբերյալ առաջարկությունների համաձայն՝ ներառյալ դեղաչափերի ճշտման վերաբերյալ նկատառումները: </w:t>
      </w:r>
    </w:p>
    <w:p w14:paraId="4E1F97F8"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3.6.</w:t>
      </w:r>
      <w:r w:rsidRPr="003B2786">
        <w:rPr>
          <w:rFonts w:ascii="Sylfaen" w:hAnsi="Sylfaen"/>
          <w:sz w:val="24"/>
          <w:szCs w:val="24"/>
        </w:rPr>
        <w:tab/>
        <w:t xml:space="preserve">Փորձարկումների անցկացման շրջանակներում կատարվող վերլուծությունը (ամփոփ վերլուծություն </w:t>
      </w:r>
      <w:r w:rsidR="00C54D75">
        <w:rPr>
          <w:rFonts w:ascii="Sylfaen" w:hAnsi="Sylfaen"/>
          <w:sz w:val="24"/>
          <w:szCs w:val="24"/>
        </w:rPr>
        <w:t>և</w:t>
      </w:r>
      <w:r w:rsidRPr="003B2786">
        <w:rPr>
          <w:rFonts w:ascii="Sylfaen" w:hAnsi="Sylfaen"/>
          <w:sz w:val="24"/>
          <w:szCs w:val="24"/>
        </w:rPr>
        <w:t xml:space="preserve"> մետա-վերլուծություն):</w:t>
      </w:r>
    </w:p>
    <w:p w14:paraId="2D15E29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պետք է նշել տվյալ վերլուծությունների չափորոշիչները՝ ներառյալ ամփոփիչ վերլուծությունը տվյալների ողջ բազայով՝ հաշվի առնելով ազդեցության տարբեր մոդիֆիկատորները (սեռը, տարիքը, պատրատուկի ազդեցությունն ուղեկցող հիվանդությունների վրա, ծխելը </w:t>
      </w:r>
      <w:r w:rsidR="00C54D75">
        <w:rPr>
          <w:rFonts w:ascii="Sylfaen" w:hAnsi="Sylfaen"/>
          <w:sz w:val="24"/>
          <w:szCs w:val="24"/>
        </w:rPr>
        <w:t>և</w:t>
      </w:r>
      <w:r w:rsidRPr="003B2786">
        <w:rPr>
          <w:rFonts w:ascii="Sylfaen" w:hAnsi="Sylfaen"/>
          <w:sz w:val="24"/>
          <w:szCs w:val="24"/>
        </w:rPr>
        <w:t xml:space="preserve"> այլն):</w:t>
      </w:r>
    </w:p>
    <w:p w14:paraId="3BA3222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Կարող է նա</w:t>
      </w:r>
      <w:r w:rsidR="00C54D75">
        <w:rPr>
          <w:rFonts w:ascii="Sylfaen" w:hAnsi="Sylfaen"/>
          <w:sz w:val="24"/>
          <w:szCs w:val="24"/>
        </w:rPr>
        <w:t>և</w:t>
      </w:r>
      <w:r w:rsidRPr="003B2786">
        <w:rPr>
          <w:rFonts w:ascii="Sylfaen" w:hAnsi="Sylfaen"/>
          <w:sz w:val="24"/>
          <w:szCs w:val="24"/>
        </w:rPr>
        <w:t xml:space="preserve"> պահանջվել բնակչության հատուկ խմբերի շրջանում «դեղաչափ-ազդեցություն» հարաբերակցության ամփոփում (քաշը, կրեատինինի կլիրենսը </w:t>
      </w:r>
      <w:r w:rsidR="00C54D75">
        <w:rPr>
          <w:rFonts w:ascii="Sylfaen" w:hAnsi="Sylfaen"/>
          <w:sz w:val="24"/>
          <w:szCs w:val="24"/>
        </w:rPr>
        <w:t>և</w:t>
      </w:r>
      <w:r w:rsidRPr="003B2786">
        <w:rPr>
          <w:rFonts w:ascii="Sylfaen" w:hAnsi="Sylfaen"/>
          <w:sz w:val="24"/>
          <w:szCs w:val="24"/>
        </w:rPr>
        <w:t xml:space="preserve"> այլն):</w:t>
      </w:r>
    </w:p>
    <w:p w14:paraId="7C624E2A"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3.7.</w:t>
      </w:r>
      <w:r w:rsidRPr="003B2786">
        <w:rPr>
          <w:rFonts w:ascii="Sylfaen" w:hAnsi="Sylfaen"/>
          <w:sz w:val="24"/>
          <w:szCs w:val="24"/>
        </w:rPr>
        <w:tab/>
        <w:t>Լրացուցիչ հետազոտությունները:</w:t>
      </w:r>
    </w:p>
    <w:p w14:paraId="625DA83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Լրացուցիչ հետազոտությունները ենթակա են համառոտ ամփոփման՝ կումուլյատիվ մոտեցման կիրառմամբ: Կենսադեղագործական պատրաստուկների վերաբերյալ հարկավոր է նշել հակամարմինների առաջացումը </w:t>
      </w:r>
      <w:r w:rsidR="00C54D75">
        <w:rPr>
          <w:rFonts w:ascii="Sylfaen" w:hAnsi="Sylfaen"/>
          <w:sz w:val="24"/>
          <w:szCs w:val="24"/>
        </w:rPr>
        <w:t>և</w:t>
      </w:r>
      <w:r w:rsidRPr="003B2786">
        <w:rPr>
          <w:rFonts w:ascii="Sylfaen" w:hAnsi="Sylfaen"/>
          <w:sz w:val="24"/>
          <w:szCs w:val="24"/>
        </w:rPr>
        <w:t xml:space="preserve"> համապատասխան ազդեցությունն արդյունավետության վրա (օրինակ՝ տեղեկություններ՝ չեզոքացնող հակամարմինների վերաբերյալ):</w:t>
      </w:r>
    </w:p>
    <w:p w14:paraId="3E0AB1FA"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3.8.</w:t>
      </w:r>
      <w:r w:rsidRPr="003B2786">
        <w:rPr>
          <w:rFonts w:ascii="Sylfaen" w:hAnsi="Sylfaen"/>
          <w:sz w:val="24"/>
          <w:szCs w:val="24"/>
        </w:rPr>
        <w:tab/>
        <w:t>Փորձագետի ընդհանուր եզրակացությունը՝ կլինիկական արդյունավետության գնահատման վերաբերյալ:</w:t>
      </w:r>
    </w:p>
    <w:p w14:paraId="3B5A8A8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3.8.1.</w:t>
      </w:r>
      <w:r w:rsidRPr="003B2786">
        <w:rPr>
          <w:rFonts w:ascii="Sylfaen" w:hAnsi="Sylfaen"/>
          <w:sz w:val="24"/>
          <w:szCs w:val="24"/>
        </w:rPr>
        <w:tab/>
        <w:t>Կլինիկական արդյունավետության վերաբերյալ եզրահանգումները:</w:t>
      </w:r>
    </w:p>
    <w:p w14:paraId="1B822F0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Արդյունքների քննարկումը հաճախ կրիտիկական գնահատման հաշվետվության առավել կար</w:t>
      </w:r>
      <w:r w:rsidR="00C54D75">
        <w:rPr>
          <w:rFonts w:ascii="Sylfaen" w:hAnsi="Sylfaen"/>
          <w:sz w:val="24"/>
          <w:szCs w:val="24"/>
        </w:rPr>
        <w:t>և</w:t>
      </w:r>
      <w:r w:rsidRPr="003B2786">
        <w:rPr>
          <w:rFonts w:ascii="Sylfaen" w:hAnsi="Sylfaen"/>
          <w:sz w:val="24"/>
          <w:szCs w:val="24"/>
        </w:rPr>
        <w:t xml:space="preserve">որ մասն է: Կառուցվածքի տեսանկյունից եզրահանգումների քննարկումը պետք է սկզբունքորեն համապատասխանի արդյունքների շարադրման վերը նկարագրված սխեմային: </w:t>
      </w:r>
    </w:p>
    <w:p w14:paraId="6C53A172" w14:textId="22FC5F83"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շարադրանքի առավելագույն ճշգրտությունը </w:t>
      </w:r>
      <w:r w:rsidR="00C54D75">
        <w:rPr>
          <w:rFonts w:ascii="Sylfaen" w:hAnsi="Sylfaen"/>
          <w:sz w:val="24"/>
          <w:szCs w:val="24"/>
        </w:rPr>
        <w:t>և</w:t>
      </w:r>
      <w:r w:rsidRPr="003B2786">
        <w:rPr>
          <w:rFonts w:ascii="Sylfaen" w:hAnsi="Sylfaen"/>
          <w:sz w:val="24"/>
          <w:szCs w:val="24"/>
        </w:rPr>
        <w:t xml:space="preserve"> համառոտությունը (արդյունքների քննարկումը հաճախ բնութագրվում է ընդարձակ արտա</w:t>
      </w:r>
      <w:r w:rsidR="00F82B65">
        <w:rPr>
          <w:rFonts w:ascii="Sylfaen" w:hAnsi="Sylfaen"/>
          <w:sz w:val="24"/>
          <w:szCs w:val="24"/>
        </w:rPr>
        <w:t>հայտ</w:t>
      </w:r>
      <w:r w:rsidRPr="003B2786">
        <w:rPr>
          <w:rFonts w:ascii="Sylfaen" w:hAnsi="Sylfaen"/>
          <w:sz w:val="24"/>
          <w:szCs w:val="24"/>
        </w:rPr>
        <w:t xml:space="preserve">ություններով </w:t>
      </w:r>
      <w:r w:rsidR="00C54D75">
        <w:rPr>
          <w:rFonts w:ascii="Sylfaen" w:hAnsi="Sylfaen"/>
          <w:sz w:val="24"/>
          <w:szCs w:val="24"/>
        </w:rPr>
        <w:t>և</w:t>
      </w:r>
      <w:r w:rsidRPr="003B2786">
        <w:rPr>
          <w:rFonts w:ascii="Sylfaen" w:hAnsi="Sylfaen"/>
          <w:sz w:val="24"/>
          <w:szCs w:val="24"/>
        </w:rPr>
        <w:t xml:space="preserve"> բազմաբառությամբ, սակայն տվյալների իրական իմաստը չի հասցվում կարդացողին): </w:t>
      </w:r>
    </w:p>
    <w:p w14:paraId="5F657432"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Յուրաքանչյուր բաժնի վերաբերյալ արդյունքները քննարկելիս քննության են ենթակա հետ</w:t>
      </w:r>
      <w:r w:rsidR="00C54D75">
        <w:rPr>
          <w:rFonts w:ascii="Sylfaen" w:hAnsi="Sylfaen"/>
          <w:sz w:val="24"/>
          <w:szCs w:val="24"/>
        </w:rPr>
        <w:t>և</w:t>
      </w:r>
      <w:r w:rsidRPr="003B2786">
        <w:rPr>
          <w:rFonts w:ascii="Sylfaen" w:hAnsi="Sylfaen"/>
          <w:sz w:val="24"/>
          <w:szCs w:val="24"/>
        </w:rPr>
        <w:t>յալ հարցերը՝</w:t>
      </w:r>
    </w:p>
    <w:p w14:paraId="52277DA7"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առավել կար</w:t>
      </w:r>
      <w:r w:rsidR="00C54D75">
        <w:rPr>
          <w:rFonts w:ascii="Sylfaen" w:hAnsi="Sylfaen"/>
          <w:sz w:val="24"/>
          <w:szCs w:val="24"/>
        </w:rPr>
        <w:t>և</w:t>
      </w:r>
      <w:r w:rsidRPr="003B2786">
        <w:rPr>
          <w:rFonts w:ascii="Sylfaen" w:hAnsi="Sylfaen"/>
          <w:sz w:val="24"/>
          <w:szCs w:val="24"/>
        </w:rPr>
        <w:t xml:space="preserve">որ եզրահանգումները </w:t>
      </w:r>
      <w:r w:rsidR="00C54D75">
        <w:rPr>
          <w:rFonts w:ascii="Sylfaen" w:hAnsi="Sylfaen"/>
          <w:sz w:val="24"/>
          <w:szCs w:val="24"/>
        </w:rPr>
        <w:t>և</w:t>
      </w:r>
      <w:r w:rsidRPr="003B2786">
        <w:rPr>
          <w:rFonts w:ascii="Sylfaen" w:hAnsi="Sylfaen"/>
          <w:sz w:val="24"/>
          <w:szCs w:val="24"/>
        </w:rPr>
        <w:t xml:space="preserve"> վեր</w:t>
      </w:r>
      <w:r w:rsidR="00C54D75">
        <w:rPr>
          <w:rFonts w:ascii="Sylfaen" w:hAnsi="Sylfaen"/>
          <w:sz w:val="24"/>
          <w:szCs w:val="24"/>
        </w:rPr>
        <w:t>և</w:t>
      </w:r>
      <w:r w:rsidRPr="003B2786">
        <w:rPr>
          <w:rFonts w:ascii="Sylfaen" w:hAnsi="Sylfaen"/>
          <w:sz w:val="24"/>
          <w:szCs w:val="24"/>
        </w:rPr>
        <w:t>ում նկարագրված թերությունները (արդյունքների վերաշարադրում չի թույլատրվում), արդյունքների համաձայնեցվածության ամփոփումը, յուրաքանչյուր եզրակացության առկա փաստարկների ընդհանրացումը,</w:t>
      </w:r>
    </w:p>
    <w:p w14:paraId="500C413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ներկայացված տվյալների համապատասխանությունը (անհամապատասխանությունը) նախատեսված պահանջներին (իրավական հիմքը, ղեկավար սկզբունքները, գիտական առաջարկությունները),</w:t>
      </w:r>
    </w:p>
    <w:p w14:paraId="012DC04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ծագած հիմնական հարցերը, ինչ ծավալով դրանք պետք է լուծվեն, </w:t>
      </w:r>
    </w:p>
    <w:p w14:paraId="5335541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հանձնաժողովին կից Փորձագիտական կոմիտեի քննությանը ենթակա կար</w:t>
      </w:r>
      <w:r w:rsidR="00C54D75">
        <w:rPr>
          <w:rFonts w:ascii="Sylfaen" w:hAnsi="Sylfaen"/>
          <w:sz w:val="24"/>
          <w:szCs w:val="24"/>
        </w:rPr>
        <w:t>և</w:t>
      </w:r>
      <w:r w:rsidRPr="003B2786">
        <w:rPr>
          <w:rFonts w:ascii="Sylfaen" w:hAnsi="Sylfaen"/>
          <w:sz w:val="24"/>
          <w:szCs w:val="24"/>
        </w:rPr>
        <w:t>որ հարցերը:</w:t>
      </w:r>
    </w:p>
    <w:p w14:paraId="3FE774A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w:t>
      </w:r>
      <w:r w:rsidR="00C54D75">
        <w:rPr>
          <w:rFonts w:ascii="Sylfaen" w:hAnsi="Sylfaen"/>
          <w:sz w:val="24"/>
          <w:szCs w:val="24"/>
        </w:rPr>
        <w:t>և</w:t>
      </w:r>
      <w:r w:rsidRPr="003B2786">
        <w:rPr>
          <w:rFonts w:ascii="Sylfaen" w:hAnsi="Sylfaen"/>
          <w:sz w:val="24"/>
          <w:szCs w:val="24"/>
        </w:rPr>
        <w:t xml:space="preserve">՛ բովանդակային պլանը, </w:t>
      </w:r>
      <w:r w:rsidR="00C54D75">
        <w:rPr>
          <w:rFonts w:ascii="Sylfaen" w:hAnsi="Sylfaen"/>
          <w:sz w:val="24"/>
          <w:szCs w:val="24"/>
        </w:rPr>
        <w:t>և</w:t>
      </w:r>
      <w:r w:rsidRPr="003B2786">
        <w:rPr>
          <w:rFonts w:ascii="Sylfaen" w:hAnsi="Sylfaen"/>
          <w:sz w:val="24"/>
          <w:szCs w:val="24"/>
        </w:rPr>
        <w:t>՛ արդյունքները ենթակա են կրիտիկական ամփոփման: Անհրաժեշտ է ներկայացնել միանշանակ եզրակացություն՝ առանցքային տարրերի վերաբերյալ (օրինակ՝ կոմպարատորների (համեմատիչների), կլինիկական արդյունավետության կետերի ընտրությունը, ինչպես նա</w:t>
      </w:r>
      <w:r w:rsidR="00C54D75">
        <w:rPr>
          <w:rFonts w:ascii="Sylfaen" w:hAnsi="Sylfaen"/>
          <w:sz w:val="24"/>
          <w:szCs w:val="24"/>
        </w:rPr>
        <w:t>և</w:t>
      </w:r>
      <w:r w:rsidRPr="003B2786">
        <w:rPr>
          <w:rFonts w:ascii="Sylfaen" w:hAnsi="Sylfaen"/>
          <w:sz w:val="24"/>
          <w:szCs w:val="24"/>
        </w:rPr>
        <w:t xml:space="preserve"> տվյալների պակասի վերաբերյալ): Հաջորդիվ բերվում է արդյունքների այդպիսի քննարկման շրջանակներում քննության ենթակա հնարավոր ասպեկտների ընտրությունը:</w:t>
      </w:r>
    </w:p>
    <w:p w14:paraId="2D724956"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3.8.2.</w:t>
      </w:r>
      <w:r w:rsidRPr="003B2786">
        <w:rPr>
          <w:rFonts w:ascii="Sylfaen" w:hAnsi="Sylfaen"/>
          <w:sz w:val="24"/>
          <w:szCs w:val="24"/>
        </w:rPr>
        <w:tab/>
        <w:t xml:space="preserve">Կլինիկական հետազոտությունների բովանդակային պլանը </w:t>
      </w:r>
      <w:r w:rsidR="00C54D75">
        <w:rPr>
          <w:rFonts w:ascii="Sylfaen" w:hAnsi="Sylfaen"/>
          <w:sz w:val="24"/>
          <w:szCs w:val="24"/>
        </w:rPr>
        <w:t>և</w:t>
      </w:r>
      <w:r w:rsidRPr="003B2786">
        <w:rPr>
          <w:rFonts w:ascii="Sylfaen" w:hAnsi="Sylfaen"/>
          <w:sz w:val="24"/>
          <w:szCs w:val="24"/>
        </w:rPr>
        <w:t xml:space="preserve"> անցկացումը:</w:t>
      </w:r>
    </w:p>
    <w:p w14:paraId="147443F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հետազոտությունների բովանդակային պլանը համապատասխանում</w:t>
      </w:r>
      <w:r>
        <w:rPr>
          <w:rFonts w:ascii="Sylfaen" w:hAnsi="Sylfaen"/>
          <w:sz w:val="24"/>
          <w:szCs w:val="24"/>
        </w:rPr>
        <w:t> </w:t>
      </w:r>
      <w:r w:rsidRPr="003B2786">
        <w:rPr>
          <w:rFonts w:ascii="Sylfaen" w:hAnsi="Sylfaen"/>
          <w:sz w:val="24"/>
          <w:szCs w:val="24"/>
        </w:rPr>
        <w:t xml:space="preserve">է նախատեսված պահանջներին (ակտիվ պատրաստուկի միջոցով վերահսկվող ազդեցության պատահական ընտրանքի հետազոտություններ </w:t>
      </w:r>
      <w:r w:rsidR="00C54D75">
        <w:rPr>
          <w:rFonts w:ascii="Sylfaen" w:hAnsi="Sylfaen"/>
          <w:sz w:val="24"/>
          <w:szCs w:val="24"/>
        </w:rPr>
        <w:t>և</w:t>
      </w:r>
      <w:r w:rsidRPr="003B2786">
        <w:rPr>
          <w:rFonts w:ascii="Sylfaen" w:hAnsi="Sylfaen"/>
          <w:sz w:val="24"/>
          <w:szCs w:val="24"/>
        </w:rPr>
        <w:t xml:space="preserve"> վերահսկվող ազդեցությամբ պլացեբոյի հետազոտություններ): Եթե ոչ, ապա ինչպիսի՞ք են հիմնավորումները, </w:t>
      </w:r>
      <w:r w:rsidR="00C54D75">
        <w:rPr>
          <w:rFonts w:ascii="Sylfaen" w:hAnsi="Sylfaen"/>
          <w:sz w:val="24"/>
          <w:szCs w:val="24"/>
        </w:rPr>
        <w:t>և</w:t>
      </w:r>
      <w:r w:rsidRPr="003B2786">
        <w:rPr>
          <w:rFonts w:ascii="Sylfaen" w:hAnsi="Sylfaen"/>
          <w:sz w:val="24"/>
          <w:szCs w:val="24"/>
        </w:rPr>
        <w:t xml:space="preserve"> արդյո՞ք դրանք ընդունելի են: </w:t>
      </w:r>
    </w:p>
    <w:p w14:paraId="4B5FCE1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հիվանդների հետազոտվող խումբն ընտրվել է պատշաճ կերպով (ներգրավելու (չներգրավելու) չափորոշիչների վերաբերյալ մեկնաբանություններ): </w:t>
      </w:r>
    </w:p>
    <w:p w14:paraId="357147A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կիրառելի է ռեֆերենտ պատրաստուկը: Համեմատման ակտիվ պատրաստուկի օգտագործման դեպքում անհրաժեշտ է մեկնաբանել արդիականությունը՝ կապված Միությունում հաստատված բուժման տարբերակների հետ:</w:t>
      </w:r>
    </w:p>
    <w:p w14:paraId="55D5C31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Ինչպիսի՞ն է կլինիկական արդյունավետության կետերի ընտրության նպատակահարմարության կրիտիկական գնահատականը, ինչպես նա</w:t>
      </w:r>
      <w:r w:rsidR="00C54D75">
        <w:rPr>
          <w:rFonts w:ascii="Sylfaen" w:hAnsi="Sylfaen"/>
          <w:sz w:val="24"/>
          <w:szCs w:val="24"/>
        </w:rPr>
        <w:t>և</w:t>
      </w:r>
      <w:r w:rsidRPr="003B2786">
        <w:rPr>
          <w:rFonts w:ascii="Sylfaen" w:hAnsi="Sylfaen"/>
          <w:sz w:val="24"/>
          <w:szCs w:val="24"/>
        </w:rPr>
        <w:t xml:space="preserve"> հետազոտության տ</w:t>
      </w:r>
      <w:r w:rsidR="00C54D75">
        <w:rPr>
          <w:rFonts w:ascii="Sylfaen" w:hAnsi="Sylfaen"/>
          <w:sz w:val="24"/>
          <w:szCs w:val="24"/>
        </w:rPr>
        <w:t>և</w:t>
      </w:r>
      <w:r w:rsidRPr="003B2786">
        <w:rPr>
          <w:rFonts w:ascii="Sylfaen" w:hAnsi="Sylfaen"/>
          <w:sz w:val="24"/>
          <w:szCs w:val="24"/>
        </w:rPr>
        <w:t xml:space="preserve">ողությունը՝ հաշվի առնելով կարգավորող ձեռնարկը </w:t>
      </w:r>
      <w:r w:rsidRPr="003B2786">
        <w:rPr>
          <w:rFonts w:ascii="Sylfaen" w:hAnsi="Sylfaen"/>
          <w:sz w:val="24"/>
          <w:szCs w:val="24"/>
        </w:rPr>
        <w:lastRenderedPageBreak/>
        <w:t xml:space="preserve">(գիտական առաջարկությունները): Բավակա՞ն է արդյոք սուռոգատ մարկերների (նշիչների) տեղեկատվականությունը կլինիկական արդյունավետության ֆիքսված կետերի փոխարինման համար: Ինչպիսի՞ն է համակցված վերջնակետի </w:t>
      </w:r>
      <w:r w:rsidR="00C54D75">
        <w:rPr>
          <w:rFonts w:ascii="Sylfaen" w:hAnsi="Sylfaen"/>
          <w:sz w:val="24"/>
          <w:szCs w:val="24"/>
        </w:rPr>
        <w:t>և</w:t>
      </w:r>
      <w:r w:rsidRPr="003B2786">
        <w:rPr>
          <w:rFonts w:ascii="Sylfaen" w:hAnsi="Sylfaen"/>
          <w:sz w:val="24"/>
          <w:szCs w:val="24"/>
        </w:rPr>
        <w:t xml:space="preserve"> դրա կիրառման ոլորտների ընդունելիությունը:</w:t>
      </w:r>
    </w:p>
    <w:p w14:paraId="04A9BD12"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 xml:space="preserve">Կախված հանգամանքներից՝ մեթոդների կիրառելիությունը, դրանց կիրառման, հիմնական հետազոտությունների արդյունքների վերլուծության </w:t>
      </w:r>
      <w:r w:rsidR="00C54D75">
        <w:rPr>
          <w:rFonts w:ascii="Sylfaen" w:hAnsi="Sylfaen"/>
          <w:sz w:val="24"/>
          <w:szCs w:val="24"/>
        </w:rPr>
        <w:t>և</w:t>
      </w:r>
      <w:r w:rsidRPr="003B2786">
        <w:rPr>
          <w:rFonts w:ascii="Sylfaen" w:hAnsi="Sylfaen"/>
          <w:sz w:val="24"/>
          <w:szCs w:val="24"/>
        </w:rPr>
        <w:t xml:space="preserve"> ներկայացման նպատակահարմարությունը: Անհրաժեշտ է մեկնաբանել հետազոտության բովանդակային պլանի հետ կապված հատուկ խնդիրները:</w:t>
      </w:r>
    </w:p>
    <w:p w14:paraId="7EC7171B"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Արդյո՞ք բովանդակային պլանը համապատասխանում է օրենսդրության պահանջներին, գործող ղեկավար սկզբունքներին, գիտական առաջարկություններին:</w:t>
      </w:r>
    </w:p>
    <w:p w14:paraId="36CE5029" w14:textId="77777777" w:rsidR="008C76E0" w:rsidRPr="003B2786" w:rsidRDefault="008C76E0" w:rsidP="0092500F">
      <w:pPr>
        <w:spacing w:after="160" w:line="336" w:lineRule="auto"/>
        <w:ind w:right="-1" w:firstLine="567"/>
        <w:jc w:val="both"/>
        <w:rPr>
          <w:rFonts w:ascii="Sylfaen" w:hAnsi="Sylfaen"/>
          <w:sz w:val="24"/>
          <w:szCs w:val="24"/>
        </w:rPr>
      </w:pPr>
      <w:r w:rsidRPr="003B2786">
        <w:rPr>
          <w:rFonts w:ascii="Sylfaen" w:hAnsi="Sylfaen"/>
          <w:sz w:val="24"/>
          <w:szCs w:val="24"/>
        </w:rPr>
        <w:t>Ինչպիսի՞ն են Միության պատշաճ կլինիկական գործունեության կանոնների պահպանման մասով ցանկացած տեսչական ստուգման հետ</w:t>
      </w:r>
      <w:r w:rsidR="00C54D75">
        <w:rPr>
          <w:rFonts w:ascii="Sylfaen" w:hAnsi="Sylfaen"/>
          <w:sz w:val="24"/>
          <w:szCs w:val="24"/>
        </w:rPr>
        <w:t>և</w:t>
      </w:r>
      <w:r w:rsidRPr="003B2786">
        <w:rPr>
          <w:rFonts w:ascii="Sylfaen" w:hAnsi="Sylfaen"/>
          <w:sz w:val="24"/>
          <w:szCs w:val="24"/>
        </w:rPr>
        <w:t xml:space="preserve">անքները: </w:t>
      </w:r>
    </w:p>
    <w:p w14:paraId="23E5F75C" w14:textId="77777777" w:rsidR="008C76E0" w:rsidRPr="003B2786" w:rsidRDefault="008C76E0" w:rsidP="0092500F">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3.8.3.</w:t>
      </w:r>
      <w:r w:rsidRPr="003B2786">
        <w:rPr>
          <w:rFonts w:ascii="Sylfaen" w:hAnsi="Sylfaen"/>
          <w:sz w:val="24"/>
          <w:szCs w:val="24"/>
        </w:rPr>
        <w:tab/>
        <w:t xml:space="preserve">Արդյունավետության վերաբերյալ տվյալները </w:t>
      </w:r>
      <w:r w:rsidR="00C54D75">
        <w:rPr>
          <w:rFonts w:ascii="Sylfaen" w:hAnsi="Sylfaen"/>
          <w:sz w:val="24"/>
          <w:szCs w:val="24"/>
        </w:rPr>
        <w:t>և</w:t>
      </w:r>
      <w:r w:rsidRPr="003B2786">
        <w:rPr>
          <w:rFonts w:ascii="Sylfaen" w:hAnsi="Sylfaen"/>
          <w:sz w:val="24"/>
          <w:szCs w:val="24"/>
        </w:rPr>
        <w:t xml:space="preserve"> լրացուցիչ վերլուծությունները:</w:t>
      </w:r>
    </w:p>
    <w:p w14:paraId="484F3C51"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 xml:space="preserve">Ազդեցության մեծությունը </w:t>
      </w:r>
      <w:r w:rsidR="00C54D75">
        <w:rPr>
          <w:rFonts w:ascii="Sylfaen" w:hAnsi="Sylfaen"/>
          <w:sz w:val="24"/>
          <w:szCs w:val="24"/>
        </w:rPr>
        <w:t>և</w:t>
      </w:r>
      <w:r w:rsidRPr="003B2786">
        <w:rPr>
          <w:rFonts w:ascii="Sylfaen" w:hAnsi="Sylfaen"/>
          <w:sz w:val="24"/>
          <w:szCs w:val="24"/>
        </w:rPr>
        <w:t xml:space="preserve"> կլինիկական նշանակալիությունը: Պետք է նկարագրվի դիտվող ազդեցության կլինիկական նշանակալիությունը, քանի որ դա կարող է հատկապես կար</w:t>
      </w:r>
      <w:r w:rsidR="00C54D75">
        <w:rPr>
          <w:rFonts w:ascii="Sylfaen" w:hAnsi="Sylfaen"/>
          <w:sz w:val="24"/>
          <w:szCs w:val="24"/>
        </w:rPr>
        <w:t>և</w:t>
      </w:r>
      <w:r w:rsidRPr="003B2786">
        <w:rPr>
          <w:rFonts w:ascii="Sylfaen" w:hAnsi="Sylfaen"/>
          <w:sz w:val="24"/>
          <w:szCs w:val="24"/>
        </w:rPr>
        <w:t>որ լինել օգուտ-ռիսկ հարաբերակցության ամփոփման համար:</w:t>
      </w:r>
    </w:p>
    <w:p w14:paraId="22C9DC9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Ինչպիսի՞ք են հիմնական եզրահանգումները (կամ անորորշությունները): Ինչպիսի՞ առանցքային եզրահանգումներ (կամ անորորշություններ) պետք է մտնեն օգուտ-ռիսկ հարաբերակցության ամփոփման մեջ:</w:t>
      </w:r>
    </w:p>
    <w:p w14:paraId="3520A603" w14:textId="6C8879EA"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Փորձնական արդյունքների ընդհանրացման հնարավորությունը (համապատասխանության աստիճանը): Արդյո՞ք արդյունքները հաստատում են կիրառման </w:t>
      </w:r>
      <w:r w:rsidR="001A5F1A">
        <w:rPr>
          <w:rFonts w:ascii="Sylfaen" w:hAnsi="Sylfaen"/>
          <w:sz w:val="24"/>
          <w:szCs w:val="24"/>
        </w:rPr>
        <w:t>հայտագրված</w:t>
      </w:r>
      <w:r w:rsidRPr="003B2786">
        <w:rPr>
          <w:rFonts w:ascii="Sylfaen" w:hAnsi="Sylfaen"/>
          <w:sz w:val="24"/>
          <w:szCs w:val="24"/>
        </w:rPr>
        <w:t xml:space="preserve"> ցուցումները:</w:t>
      </w:r>
    </w:p>
    <w:p w14:paraId="408D7F0E"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Արդյո՞ք պահանջվում է որ</w:t>
      </w:r>
      <w:r w:rsidR="00C54D75">
        <w:rPr>
          <w:rFonts w:ascii="Sylfaen" w:hAnsi="Sylfaen"/>
          <w:sz w:val="24"/>
          <w:szCs w:val="24"/>
        </w:rPr>
        <w:t>և</w:t>
      </w:r>
      <w:r w:rsidRPr="003B2786">
        <w:rPr>
          <w:rFonts w:ascii="Sylfaen" w:hAnsi="Sylfaen"/>
          <w:sz w:val="24"/>
          <w:szCs w:val="24"/>
        </w:rPr>
        <w:t xml:space="preserve">է լրացուցիչ վերլուծության անցկացում, </w:t>
      </w:r>
      <w:r w:rsidR="00C54D75">
        <w:rPr>
          <w:rFonts w:ascii="Sylfaen" w:hAnsi="Sylfaen"/>
          <w:sz w:val="24"/>
          <w:szCs w:val="24"/>
        </w:rPr>
        <w:t>և</w:t>
      </w:r>
      <w:r w:rsidRPr="003B2786">
        <w:rPr>
          <w:rFonts w:ascii="Sylfaen" w:hAnsi="Sylfaen"/>
          <w:sz w:val="24"/>
          <w:szCs w:val="24"/>
        </w:rPr>
        <w:t xml:space="preserve"> ինչպիսի՞ք են դրա անցկացման վերաբերյալ հարցման պատճառները: </w:t>
      </w:r>
    </w:p>
    <w:p w14:paraId="0F501E3F"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lastRenderedPageBreak/>
        <w:t>Եթե ենթախմբերի վերլուծությունների տվյալներն ունեն հատուկ նշանակություն՝ արդյունավետության ընդհանուր գնահատման համար, ապա դա պետք է բացատրվի:</w:t>
      </w:r>
    </w:p>
    <w:p w14:paraId="0FA5086B"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 xml:space="preserve">Ինչպիսի՞ հիմնական հարցեր են բարձրացվել գնահատման ընթացքում (լուրջ առարկություններ </w:t>
      </w:r>
      <w:r w:rsidR="00C54D75">
        <w:rPr>
          <w:rFonts w:ascii="Sylfaen" w:hAnsi="Sylfaen"/>
          <w:sz w:val="24"/>
          <w:szCs w:val="24"/>
        </w:rPr>
        <w:t>և</w:t>
      </w:r>
      <w:r w:rsidRPr="003B2786">
        <w:rPr>
          <w:rFonts w:ascii="Sylfaen" w:hAnsi="Sylfaen"/>
          <w:sz w:val="24"/>
          <w:szCs w:val="24"/>
        </w:rPr>
        <w:t xml:space="preserve"> այլ խնդրահարույց հարցեր):</w:t>
      </w:r>
    </w:p>
    <w:p w14:paraId="4940A6D2"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Անհրաժեշտ է մեկնաբանել որոշակի հետազոտություններ անցկացնելուց հրաժարվելու կամ սկզբնական հետազոտությունները գիտական աղբյուրներից ստացված տեղեկություններով փոխարինելու որ</w:t>
      </w:r>
      <w:r w:rsidR="00C54D75">
        <w:rPr>
          <w:rFonts w:ascii="Sylfaen" w:hAnsi="Sylfaen"/>
          <w:sz w:val="24"/>
          <w:szCs w:val="24"/>
        </w:rPr>
        <w:t>և</w:t>
      </w:r>
      <w:r w:rsidRPr="003B2786">
        <w:rPr>
          <w:rFonts w:ascii="Sylfaen" w:hAnsi="Sylfaen"/>
          <w:sz w:val="24"/>
          <w:szCs w:val="24"/>
        </w:rPr>
        <w:t>է հիմնավորում:</w:t>
      </w:r>
    </w:p>
    <w:p w14:paraId="504C97BC" w14:textId="7FC5B1F5"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նշել պացիենտների որոշակի խմբերի (երեխաներ, տարեց մարդիկ, մանկածնության ունակ կանայք </w:t>
      </w:r>
      <w:r w:rsidR="00C54D75">
        <w:rPr>
          <w:rFonts w:ascii="Sylfaen" w:hAnsi="Sylfaen"/>
          <w:sz w:val="24"/>
          <w:szCs w:val="24"/>
        </w:rPr>
        <w:t>և</w:t>
      </w:r>
      <w:r w:rsidRPr="003B2786">
        <w:rPr>
          <w:rFonts w:ascii="Sylfaen" w:hAnsi="Sylfaen"/>
          <w:sz w:val="24"/>
          <w:szCs w:val="24"/>
        </w:rPr>
        <w:t xml:space="preserve"> այլն) վերաբերյալ տեղեկատվության անբավարարությունը՝ բժշկական կիրառման դեղապատրաստուկի ընդհանուր բնութագրի 4.4 բաժնի </w:t>
      </w:r>
      <w:r w:rsidR="00F82B65">
        <w:rPr>
          <w:rFonts w:ascii="Sylfaen" w:hAnsi="Sylfaen"/>
          <w:sz w:val="24"/>
          <w:szCs w:val="24"/>
        </w:rPr>
        <w:t>հայտարարություն</w:t>
      </w:r>
      <w:r w:rsidRPr="003B2786">
        <w:rPr>
          <w:rFonts w:ascii="Sylfaen" w:hAnsi="Sylfaen"/>
          <w:sz w:val="24"/>
          <w:szCs w:val="24"/>
        </w:rPr>
        <w:t xml:space="preserve"> հաստատելու համար, </w:t>
      </w:r>
      <w:r w:rsidR="00C54D75">
        <w:rPr>
          <w:rFonts w:ascii="Sylfaen" w:hAnsi="Sylfaen"/>
          <w:sz w:val="24"/>
          <w:szCs w:val="24"/>
        </w:rPr>
        <w:t>և</w:t>
      </w:r>
      <w:r w:rsidRPr="003B2786">
        <w:rPr>
          <w:rFonts w:ascii="Sylfaen" w:hAnsi="Sylfaen"/>
          <w:sz w:val="24"/>
          <w:szCs w:val="24"/>
        </w:rPr>
        <w:t xml:space="preserve"> նա</w:t>
      </w:r>
      <w:r w:rsidR="00C54D75">
        <w:rPr>
          <w:rFonts w:ascii="Sylfaen" w:hAnsi="Sylfaen"/>
          <w:sz w:val="24"/>
          <w:szCs w:val="24"/>
        </w:rPr>
        <w:t>և</w:t>
      </w:r>
      <w:r w:rsidRPr="003B2786">
        <w:rPr>
          <w:rFonts w:ascii="Sylfaen" w:hAnsi="Sylfaen"/>
          <w:sz w:val="24"/>
          <w:szCs w:val="24"/>
        </w:rPr>
        <w:t xml:space="preserve"> տվյալ տեղեկություններն ընդհանուր եզրակացության մեջ ընդգծել՝ լիազորված փորձագիտական կազմակերպության կողմից հետագա հետազոտություն անցկացնելու առաջարկի դեպքում:</w:t>
      </w:r>
    </w:p>
    <w:p w14:paraId="2565F226" w14:textId="77777777"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Ինչպիսի՞ տվյալներ են հաստատում երեխաների շրջանում կիրառման հնարավորությունը:</w:t>
      </w:r>
    </w:p>
    <w:p w14:paraId="53075007" w14:textId="77777777"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անհրաժեշտ է նշել հետազոտության ստացված արդյունքների համեմատական բնութագիրն ընտրված չափանմուշային դեղապատրաստուկի հետ:</w:t>
      </w:r>
    </w:p>
    <w:p w14:paraId="5A960D89"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Ինչպիսի՞ եզրահանգումներ (կամ տեղեկատվության բացակայության վերաբերյալ տեղեկություններ) են արտացոլված բժշկական կիրառման դեղապատրաստուկի ընդհանուր բնութագրում: Անհրաժեշտ է հավաստիանալ տվյալների (հատկապես՝ 5.1 բաժնի տվյալների)՝ բժշկական կիրառման դեղապատրաստուկի ընդհանուր բնութագրում նշված տեղեկությունների հետ համապատասխանության մեջ </w:t>
      </w:r>
      <w:r w:rsidR="00C54D75">
        <w:rPr>
          <w:rFonts w:ascii="Sylfaen" w:hAnsi="Sylfaen"/>
          <w:sz w:val="24"/>
          <w:szCs w:val="24"/>
        </w:rPr>
        <w:t>և</w:t>
      </w:r>
      <w:r w:rsidRPr="003B2786">
        <w:rPr>
          <w:rFonts w:ascii="Sylfaen" w:hAnsi="Sylfaen"/>
          <w:sz w:val="24"/>
          <w:szCs w:val="24"/>
        </w:rPr>
        <w:t xml:space="preserve"> նրանում, որ բժշկական կիրառման դեղապատրաստուկի ընդհանուր բնութագրի ողջ տեղեկատվությունն անցել է պատշաճ փորձաքննություն </w:t>
      </w:r>
      <w:r w:rsidR="00C54D75">
        <w:rPr>
          <w:rFonts w:ascii="Sylfaen" w:hAnsi="Sylfaen"/>
          <w:sz w:val="24"/>
          <w:szCs w:val="24"/>
        </w:rPr>
        <w:t>և</w:t>
      </w:r>
      <w:r w:rsidRPr="003B2786">
        <w:rPr>
          <w:rFonts w:ascii="Sylfaen" w:hAnsi="Sylfaen"/>
          <w:sz w:val="24"/>
          <w:szCs w:val="24"/>
        </w:rPr>
        <w:t xml:space="preserve"> գիտական վերլուծություն: </w:t>
      </w:r>
    </w:p>
    <w:p w14:paraId="49921750"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Անհրաժեշտ է նշել գրանցման հավաստագիրը տրամադրելուց հետո հաստատման ենթակա որ</w:t>
      </w:r>
      <w:r w:rsidR="00C54D75">
        <w:rPr>
          <w:rFonts w:ascii="Sylfaen" w:hAnsi="Sylfaen"/>
          <w:sz w:val="24"/>
          <w:szCs w:val="24"/>
        </w:rPr>
        <w:t>և</w:t>
      </w:r>
      <w:r w:rsidRPr="003B2786">
        <w:rPr>
          <w:rFonts w:ascii="Sylfaen" w:hAnsi="Sylfaen"/>
          <w:sz w:val="24"/>
          <w:szCs w:val="24"/>
        </w:rPr>
        <w:t xml:space="preserve">է չհաստատված տվյալի առկայությունը, </w:t>
      </w:r>
      <w:r w:rsidR="00C54D75">
        <w:rPr>
          <w:rFonts w:ascii="Sylfaen" w:hAnsi="Sylfaen"/>
          <w:sz w:val="24"/>
          <w:szCs w:val="24"/>
        </w:rPr>
        <w:t>և</w:t>
      </w:r>
      <w:r w:rsidRPr="003B2786">
        <w:rPr>
          <w:rFonts w:ascii="Sylfaen" w:hAnsi="Sylfaen"/>
          <w:sz w:val="24"/>
          <w:szCs w:val="24"/>
        </w:rPr>
        <w:t xml:space="preserve"> արդյո՞ք դա արտացոլվել է բժշկական կիրառման դեղապատրաստուկի ընդհանուր բնութագրում:</w:t>
      </w:r>
    </w:p>
    <w:p w14:paraId="04952A0A"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3.8.4.</w:t>
      </w:r>
      <w:r w:rsidRPr="003B2786">
        <w:rPr>
          <w:rFonts w:ascii="Sylfaen" w:hAnsi="Sylfaen"/>
          <w:sz w:val="24"/>
          <w:szCs w:val="24"/>
        </w:rPr>
        <w:tab/>
        <w:t>Կլինիկական արդյունավետության վերաբերյալ եզրահանգումները:</w:t>
      </w:r>
    </w:p>
    <w:p w14:paraId="697A6A2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Տվյալ բաժնում պետք է ներկայացվեն համառոտ եզրահանգումներ, որոնք կարելի է անել կլինիկական արդյունավետության հետազոտության վերաբերյալ փաստաթղթերի ուսումնասիրման հիման վրա:</w:t>
      </w:r>
    </w:p>
    <w:p w14:paraId="1847D7BA" w14:textId="77777777" w:rsidR="008C76E0" w:rsidRPr="003B2786" w:rsidRDefault="008C76E0" w:rsidP="00262653">
      <w:pPr>
        <w:tabs>
          <w:tab w:val="left" w:pos="1560"/>
        </w:tabs>
        <w:spacing w:after="160" w:line="360" w:lineRule="auto"/>
        <w:ind w:firstLine="567"/>
        <w:jc w:val="both"/>
        <w:rPr>
          <w:rFonts w:ascii="Sylfaen" w:hAnsi="Sylfaen"/>
          <w:sz w:val="24"/>
          <w:szCs w:val="24"/>
        </w:rPr>
      </w:pPr>
    </w:p>
    <w:p w14:paraId="172BC7D3" w14:textId="77777777" w:rsidR="008C76E0" w:rsidRPr="003B2786" w:rsidRDefault="008C76E0" w:rsidP="00262653">
      <w:pPr>
        <w:spacing w:after="160" w:line="360" w:lineRule="auto"/>
        <w:ind w:right="-1" w:firstLine="567"/>
        <w:jc w:val="center"/>
        <w:rPr>
          <w:rFonts w:ascii="Sylfaen" w:hAnsi="Sylfaen"/>
          <w:sz w:val="24"/>
          <w:szCs w:val="24"/>
        </w:rPr>
      </w:pPr>
      <w:r w:rsidRPr="003B2786">
        <w:rPr>
          <w:rFonts w:ascii="Sylfaen" w:hAnsi="Sylfaen"/>
          <w:sz w:val="24"/>
          <w:szCs w:val="24"/>
        </w:rPr>
        <w:t>4. Կլինիկական անվտանգությունը:</w:t>
      </w:r>
    </w:p>
    <w:p w14:paraId="059DA78C"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Անվտանգության վերաբերյալ տեղեկությունները պետք է ներառեն տվյալ հետազոտությանը մասնակցած բոլոր պացիենտների վերաբերյալ տվյալներն ամբողջ ծավալով, </w:t>
      </w:r>
      <w:r w:rsidR="00C54D75">
        <w:rPr>
          <w:rFonts w:ascii="Sylfaen" w:hAnsi="Sylfaen"/>
          <w:sz w:val="24"/>
          <w:szCs w:val="24"/>
        </w:rPr>
        <w:t>և</w:t>
      </w:r>
      <w:r w:rsidRPr="003B2786">
        <w:rPr>
          <w:rFonts w:ascii="Sylfaen" w:hAnsi="Sylfaen"/>
          <w:sz w:val="24"/>
          <w:szCs w:val="24"/>
        </w:rPr>
        <w:t xml:space="preserve"> այդ տվյալները պետք է ներկայացվեն որպես միասնական վերլուծության արդյունքներ: Դրա հետ մեկտեղ պետք է նկարագրել </w:t>
      </w:r>
      <w:r w:rsidR="00C54D75">
        <w:rPr>
          <w:rFonts w:ascii="Sylfaen" w:hAnsi="Sylfaen"/>
          <w:sz w:val="24"/>
          <w:szCs w:val="24"/>
        </w:rPr>
        <w:t>և</w:t>
      </w:r>
      <w:r w:rsidRPr="003B2786">
        <w:rPr>
          <w:rFonts w:ascii="Sylfaen" w:hAnsi="Sylfaen"/>
          <w:sz w:val="24"/>
          <w:szCs w:val="24"/>
        </w:rPr>
        <w:t xml:space="preserve"> բացատրություն տալ կլինիկական անվտանգության հետազոտման հետ կապված սպեցիֆիկ առանձնահատկություններին:</w:t>
      </w:r>
    </w:p>
    <w:p w14:paraId="0C315AB0" w14:textId="2ADDB41A"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նախակլինիկական հետազոտությունների ժամանակ </w:t>
      </w:r>
      <w:r w:rsidR="00003ABD">
        <w:rPr>
          <w:rFonts w:ascii="Sylfaen" w:hAnsi="Sylfaen"/>
          <w:sz w:val="24"/>
          <w:szCs w:val="24"/>
        </w:rPr>
        <w:t>հայտնաբերված</w:t>
      </w:r>
      <w:r w:rsidRPr="003B2786">
        <w:rPr>
          <w:rFonts w:ascii="Sylfaen" w:hAnsi="Sylfaen"/>
          <w:sz w:val="24"/>
          <w:szCs w:val="24"/>
        </w:rPr>
        <w:t xml:space="preserve"> խնդրահարույց հարցերը, որոնք կարող են բացասաբար ազդել մարդու կողմից պատրաստուկի կիրառման վրա (օրինակ՝ թունավորությունը, կենդանիների օրգանիզմում չառաջացող, սակայն մարդու օրգանիզմում արտադրվող մետաբոլիտները), ինչպես նա</w:t>
      </w:r>
      <w:r w:rsidR="00C54D75">
        <w:rPr>
          <w:rFonts w:ascii="Sylfaen" w:hAnsi="Sylfaen"/>
          <w:sz w:val="24"/>
          <w:szCs w:val="24"/>
        </w:rPr>
        <w:t>և</w:t>
      </w:r>
      <w:r w:rsidRPr="003B2786">
        <w:rPr>
          <w:rFonts w:ascii="Sylfaen" w:hAnsi="Sylfaen"/>
          <w:sz w:val="24"/>
          <w:szCs w:val="24"/>
        </w:rPr>
        <w:t xml:space="preserve"> նման հարցերը դեղադինամիկ հետազոտությունների ժամանակ:</w:t>
      </w:r>
    </w:p>
    <w:p w14:paraId="5C70C796"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4.1.</w:t>
      </w:r>
      <w:r w:rsidRPr="003B2786">
        <w:rPr>
          <w:rFonts w:ascii="Sylfaen" w:hAnsi="Sylfaen"/>
          <w:sz w:val="24"/>
          <w:szCs w:val="24"/>
        </w:rPr>
        <w:tab/>
        <w:t>Ներածությունը:</w:t>
      </w:r>
    </w:p>
    <w:p w14:paraId="6DA5A16D"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Ներկայացված տվյալների ընդհանուր առանձնահատկությունների վերաբերյալ համառոտ ներածական:</w:t>
      </w:r>
    </w:p>
    <w:p w14:paraId="062ECDE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անվտանգության գնահատման արդյունքների մեջ </w:t>
      </w:r>
      <w:r w:rsidRPr="003B2786">
        <w:rPr>
          <w:rFonts w:ascii="Sylfaen" w:hAnsi="Sylfaen"/>
          <w:sz w:val="24"/>
          <w:szCs w:val="24"/>
        </w:rPr>
        <w:lastRenderedPageBreak/>
        <w:t xml:space="preserve">կենսահամանման-կենսանման պատրաստուկների վերաբերյալ պետք է առանձնացվեն չափանմուշային պատրաստուկի </w:t>
      </w:r>
      <w:r w:rsidR="00C54D75">
        <w:rPr>
          <w:rFonts w:ascii="Sylfaen" w:hAnsi="Sylfaen"/>
          <w:sz w:val="24"/>
          <w:szCs w:val="24"/>
        </w:rPr>
        <w:t>և</w:t>
      </w:r>
      <w:r w:rsidRPr="003B2786">
        <w:rPr>
          <w:rFonts w:ascii="Sylfaen" w:hAnsi="Sylfaen"/>
          <w:sz w:val="24"/>
          <w:szCs w:val="24"/>
        </w:rPr>
        <w:t xml:space="preserve"> կենսահամանման-կենսանման պատրաստուկի անվտանգության պրոֆիլների միջ</w:t>
      </w:r>
      <w:r w:rsidR="00C54D75">
        <w:rPr>
          <w:rFonts w:ascii="Sylfaen" w:hAnsi="Sylfaen"/>
          <w:sz w:val="24"/>
          <w:szCs w:val="24"/>
        </w:rPr>
        <w:t>և</w:t>
      </w:r>
      <w:r w:rsidRPr="003B2786">
        <w:rPr>
          <w:rFonts w:ascii="Sylfaen" w:hAnsi="Sylfaen"/>
          <w:sz w:val="24"/>
          <w:szCs w:val="24"/>
        </w:rPr>
        <w:t xml:space="preserve"> պոտենցիալ նշանակություն ունեցող ցանկացած կլինիկական տարբերություն: </w:t>
      </w:r>
    </w:p>
    <w:p w14:paraId="4C9EFCB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Հատուկ ուշադրություն պետք է դարձնել իմունոգենության ասպեկտներին (օրինակ՝ հակամարմինների արտադրմանը </w:t>
      </w:r>
      <w:r w:rsidR="00C54D75">
        <w:rPr>
          <w:rFonts w:ascii="Sylfaen" w:hAnsi="Sylfaen"/>
          <w:sz w:val="24"/>
          <w:szCs w:val="24"/>
        </w:rPr>
        <w:t>և</w:t>
      </w:r>
      <w:r w:rsidRPr="003B2786">
        <w:rPr>
          <w:rFonts w:ascii="Sylfaen" w:hAnsi="Sylfaen"/>
          <w:sz w:val="24"/>
          <w:szCs w:val="24"/>
        </w:rPr>
        <w:t xml:space="preserve"> բնութագրերին): Բացի այդ, պետք է ուսումնասիրվի վաճառքի թույլտվություն տրամադրելուց հետո հետմարկետինգային հսկողության կամ դեղազգոնության շրջանակներում մոնիթորինգի ցանկացած արդյունք (տե՛ս Եվրասիական տնտեսական հանձնաժողովի կողմից հաստատվող՝ Եվրասիական տնտեսական միության շրջանակներում Կենսաբանական դեղամիջոցների հետազոտության կանոնները):</w:t>
      </w:r>
    </w:p>
    <w:p w14:paraId="0A5145AF"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4.2.</w:t>
      </w:r>
      <w:r w:rsidRPr="003B2786">
        <w:rPr>
          <w:rFonts w:ascii="Sylfaen" w:hAnsi="Sylfaen"/>
          <w:sz w:val="24"/>
          <w:szCs w:val="24"/>
        </w:rPr>
        <w:tab/>
        <w:t>Դեղանյութի ազդեցությունը պացիենտի վրա:</w:t>
      </w:r>
    </w:p>
    <w:p w14:paraId="6AEAF83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թվարկել կլինիկական հետազոտությունները, որոնց արդյունքները վկայում են դեղապատրաստուկի անվտանգության մասին (առաջարկվում է օգտագործել ամփոփ աղյուսակներ): </w:t>
      </w:r>
    </w:p>
    <w:p w14:paraId="5340D47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Պետք է նշվի տվյալների հավաքագրման ավարտի ամսաթիվը:</w:t>
      </w:r>
    </w:p>
    <w:p w14:paraId="79245A9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մեջ ներառված պացիենտների </w:t>
      </w:r>
      <w:r w:rsidR="00C54D75">
        <w:rPr>
          <w:rFonts w:ascii="Sylfaen" w:hAnsi="Sylfaen"/>
          <w:sz w:val="24"/>
          <w:szCs w:val="24"/>
        </w:rPr>
        <w:t>և</w:t>
      </w:r>
      <w:r w:rsidRPr="003B2786">
        <w:rPr>
          <w:rFonts w:ascii="Sylfaen" w:hAnsi="Sylfaen"/>
          <w:sz w:val="24"/>
          <w:szCs w:val="24"/>
        </w:rPr>
        <w:t xml:space="preserve"> առողջ փորձարկվողների թիվը </w:t>
      </w:r>
      <w:r w:rsidR="00C54D75">
        <w:rPr>
          <w:rFonts w:ascii="Sylfaen" w:hAnsi="Sylfaen"/>
          <w:sz w:val="24"/>
          <w:szCs w:val="24"/>
        </w:rPr>
        <w:t>և</w:t>
      </w:r>
      <w:r w:rsidRPr="003B2786">
        <w:rPr>
          <w:rFonts w:ascii="Sylfaen" w:hAnsi="Sylfaen"/>
          <w:sz w:val="24"/>
          <w:szCs w:val="24"/>
        </w:rPr>
        <w:t xml:space="preserve"> բնութագրերը (տարիք, հետազոտության փուլ (հիվանդության ծանրություն)) </w:t>
      </w:r>
      <w:r w:rsidR="00C54D75">
        <w:rPr>
          <w:rFonts w:ascii="Sylfaen" w:hAnsi="Sylfaen"/>
          <w:sz w:val="24"/>
          <w:szCs w:val="24"/>
        </w:rPr>
        <w:t>և</w:t>
      </w:r>
      <w:r w:rsidRPr="003B2786">
        <w:rPr>
          <w:rFonts w:ascii="Sylfaen" w:hAnsi="Sylfaen"/>
          <w:sz w:val="24"/>
          <w:szCs w:val="24"/>
        </w:rPr>
        <w:t xml:space="preserve"> առողջ փորձարկվողներինը (տվյալները կարող են ներառվել ամփոփ աղյուսակում): Տվյալների բազայի չափը 6-րդ </w:t>
      </w:r>
      <w:r w:rsidR="00C54D75">
        <w:rPr>
          <w:rFonts w:ascii="Sylfaen" w:hAnsi="Sylfaen"/>
          <w:sz w:val="24"/>
          <w:szCs w:val="24"/>
        </w:rPr>
        <w:t>և</w:t>
      </w:r>
      <w:r w:rsidRPr="003B2786">
        <w:rPr>
          <w:rFonts w:ascii="Sylfaen" w:hAnsi="Sylfaen"/>
          <w:sz w:val="24"/>
          <w:szCs w:val="24"/>
        </w:rPr>
        <w:t xml:space="preserve"> 12-րդ ամիսների դրությամբ, եթե խոսքը գնում է երկարատ</w:t>
      </w:r>
      <w:r w:rsidR="00C54D75">
        <w:rPr>
          <w:rFonts w:ascii="Sylfaen" w:hAnsi="Sylfaen"/>
          <w:sz w:val="24"/>
          <w:szCs w:val="24"/>
        </w:rPr>
        <w:t>և</w:t>
      </w:r>
      <w:r w:rsidRPr="003B2786">
        <w:rPr>
          <w:rFonts w:ascii="Sylfaen" w:hAnsi="Sylfaen"/>
          <w:sz w:val="24"/>
          <w:szCs w:val="24"/>
        </w:rPr>
        <w:t xml:space="preserve"> բուժման մասին:</w:t>
      </w:r>
    </w:p>
    <w:p w14:paraId="02B4EA0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Մասնավորապես, ըստ օգտագործման չափի </w:t>
      </w:r>
      <w:r w:rsidR="00C54D75">
        <w:rPr>
          <w:rFonts w:ascii="Sylfaen" w:hAnsi="Sylfaen"/>
          <w:sz w:val="24"/>
          <w:szCs w:val="24"/>
        </w:rPr>
        <w:t>և</w:t>
      </w:r>
      <w:r w:rsidRPr="003B2786">
        <w:rPr>
          <w:rFonts w:ascii="Sylfaen" w:hAnsi="Sylfaen"/>
          <w:sz w:val="24"/>
          <w:szCs w:val="24"/>
        </w:rPr>
        <w:t xml:space="preserve"> անհրաժեշտության դեպքում անհրաժեշտ է ըստ տարիքային խմբերի նշել անվտանգության մասով տվյալների բազան հիվանդ երեխաների շրջանում կիրառման դեպքում: </w:t>
      </w:r>
    </w:p>
    <w:p w14:paraId="718353A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Ընդհանուր առմամբ դա վերաբերում է տվյալներին, որոնք ստացվել են բուժման չընդհատվող ծրագրով հետազոտության 6-րդ </w:t>
      </w:r>
      <w:r w:rsidR="00C54D75">
        <w:rPr>
          <w:rFonts w:ascii="Sylfaen" w:hAnsi="Sylfaen"/>
          <w:sz w:val="24"/>
          <w:szCs w:val="24"/>
        </w:rPr>
        <w:t>և</w:t>
      </w:r>
      <w:r w:rsidRPr="003B2786">
        <w:rPr>
          <w:rFonts w:ascii="Sylfaen" w:hAnsi="Sylfaen"/>
          <w:sz w:val="24"/>
          <w:szCs w:val="24"/>
        </w:rPr>
        <w:t xml:space="preserve"> 12-րդ ամիսների դրությամբ, կամ ընդհատումներով բուժման ծրագրով հետազոտության </w:t>
      </w:r>
      <w:r w:rsidRPr="003B2786">
        <w:rPr>
          <w:rFonts w:ascii="Sylfaen" w:hAnsi="Sylfaen"/>
          <w:sz w:val="24"/>
          <w:szCs w:val="24"/>
        </w:rPr>
        <w:lastRenderedPageBreak/>
        <w:t xml:space="preserve">տվյալներին: </w:t>
      </w:r>
    </w:p>
    <w:p w14:paraId="562E1015"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12 ամիսը գերազանցող ժամանակահատվածում անհրաժեշտ է ներկայացնել բուժման վերաբերյալ ցանկացած տեղեկատվություն:</w:t>
      </w:r>
    </w:p>
    <w:p w14:paraId="402BC65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Սուբյեկտների առաջարկվող թիրախային խմբի մասով անվտանգության վերաբերյալ տվյալների բազայում անհրաժեշտ է կատարել ցանկացած սահմանափակման ամփոփում: </w:t>
      </w:r>
    </w:p>
    <w:p w14:paraId="6A64500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4.3.</w:t>
      </w:r>
      <w:r w:rsidRPr="003B2786">
        <w:rPr>
          <w:rFonts w:ascii="Sylfaen" w:hAnsi="Sylfaen"/>
          <w:sz w:val="24"/>
          <w:szCs w:val="24"/>
        </w:rPr>
        <w:tab/>
        <w:t>Անցանկալի եր</w:t>
      </w:r>
      <w:r w:rsidR="00C54D75">
        <w:rPr>
          <w:rFonts w:ascii="Sylfaen" w:hAnsi="Sylfaen"/>
          <w:sz w:val="24"/>
          <w:szCs w:val="24"/>
        </w:rPr>
        <w:t>և</w:t>
      </w:r>
      <w:r w:rsidRPr="003B2786">
        <w:rPr>
          <w:rFonts w:ascii="Sylfaen" w:hAnsi="Sylfaen"/>
          <w:sz w:val="24"/>
          <w:szCs w:val="24"/>
        </w:rPr>
        <w:t>ույթները:</w:t>
      </w:r>
    </w:p>
    <w:p w14:paraId="255F936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Արդյունքները՝ ներառյալ բոլոր անցանկալի կողմնակի եր</w:t>
      </w:r>
      <w:r w:rsidR="00C54D75">
        <w:rPr>
          <w:rFonts w:ascii="Sylfaen" w:hAnsi="Sylfaen"/>
          <w:sz w:val="24"/>
          <w:szCs w:val="24"/>
        </w:rPr>
        <w:t>և</w:t>
      </w:r>
      <w:r w:rsidRPr="003B2786">
        <w:rPr>
          <w:rFonts w:ascii="Sylfaen" w:hAnsi="Sylfaen"/>
          <w:sz w:val="24"/>
          <w:szCs w:val="24"/>
        </w:rPr>
        <w:t>ույթների ծանրության աստիճանի վերաբերյալ տվյալները պետք է ներկայացվեն օրգան- համակարգերի դասակարգմանը (SOC) (նախընտրելի եզրույթներ) համապատասխան: Անհրաժեշտ է ամփոփ աղյուսակի տվյալները ներկայացնել գրանցման դոսյեում ներառված համանման աղյուսակում (2.7.4.3)՝ վիճակագրական վերլուծության հետ միասին:</w:t>
      </w:r>
    </w:p>
    <w:p w14:paraId="5EA7D03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Բոլոր դեպքերում անհրաժեշտ է ներկայացնել անցանկալի եր</w:t>
      </w:r>
      <w:r w:rsidR="00C54D75">
        <w:rPr>
          <w:rFonts w:ascii="Sylfaen" w:hAnsi="Sylfaen"/>
          <w:sz w:val="24"/>
          <w:szCs w:val="24"/>
        </w:rPr>
        <w:t>և</w:t>
      </w:r>
      <w:r w:rsidRPr="003B2786">
        <w:rPr>
          <w:rFonts w:ascii="Sylfaen" w:hAnsi="Sylfaen"/>
          <w:sz w:val="24"/>
          <w:szCs w:val="24"/>
        </w:rPr>
        <w:t xml:space="preserve">ույթների </w:t>
      </w:r>
      <w:r w:rsidR="00C54D75">
        <w:rPr>
          <w:rFonts w:ascii="Sylfaen" w:hAnsi="Sylfaen"/>
          <w:sz w:val="24"/>
          <w:szCs w:val="24"/>
        </w:rPr>
        <w:t>և</w:t>
      </w:r>
      <w:r w:rsidRPr="003B2786">
        <w:rPr>
          <w:rFonts w:ascii="Sylfaen" w:hAnsi="Sylfaen"/>
          <w:sz w:val="24"/>
          <w:szCs w:val="24"/>
        </w:rPr>
        <w:t xml:space="preserve"> ռեակցիաների (նշելով պատճառահետ</w:t>
      </w:r>
      <w:r w:rsidR="00C54D75">
        <w:rPr>
          <w:rFonts w:ascii="Sylfaen" w:hAnsi="Sylfaen"/>
          <w:sz w:val="24"/>
          <w:szCs w:val="24"/>
        </w:rPr>
        <w:t>և</w:t>
      </w:r>
      <w:r w:rsidRPr="003B2786">
        <w:rPr>
          <w:rFonts w:ascii="Sylfaen" w:hAnsi="Sylfaen"/>
          <w:sz w:val="24"/>
          <w:szCs w:val="24"/>
        </w:rPr>
        <w:t xml:space="preserve">անքային կապը) </w:t>
      </w:r>
      <w:r w:rsidR="00C54D75">
        <w:rPr>
          <w:rFonts w:ascii="Sylfaen" w:hAnsi="Sylfaen"/>
          <w:sz w:val="24"/>
          <w:szCs w:val="24"/>
        </w:rPr>
        <w:t>և</w:t>
      </w:r>
      <w:r w:rsidRPr="003B2786">
        <w:rPr>
          <w:rFonts w:ascii="Sylfaen" w:hAnsi="Sylfaen"/>
          <w:sz w:val="24"/>
          <w:szCs w:val="24"/>
        </w:rPr>
        <w:t xml:space="preserve"> այլ փոփոխականների միջ</w:t>
      </w:r>
      <w:r w:rsidR="00C54D75">
        <w:rPr>
          <w:rFonts w:ascii="Sylfaen" w:hAnsi="Sylfaen"/>
          <w:sz w:val="24"/>
          <w:szCs w:val="24"/>
        </w:rPr>
        <w:t>և</w:t>
      </w:r>
      <w:r w:rsidRPr="003B2786">
        <w:rPr>
          <w:rFonts w:ascii="Sylfaen" w:hAnsi="Sylfaen"/>
          <w:sz w:val="24"/>
          <w:szCs w:val="24"/>
        </w:rPr>
        <w:t xml:space="preserve"> հարաբերության ամփոփման տվյալները: </w:t>
      </w:r>
    </w:p>
    <w:p w14:paraId="66EB54A6"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Այդպիսի փոփոխականներ կարող են լինել հետ</w:t>
      </w:r>
      <w:r w:rsidR="00C54D75">
        <w:rPr>
          <w:rFonts w:ascii="Sylfaen" w:hAnsi="Sylfaen"/>
          <w:sz w:val="24"/>
          <w:szCs w:val="24"/>
        </w:rPr>
        <w:t>և</w:t>
      </w:r>
      <w:r w:rsidRPr="003B2786">
        <w:rPr>
          <w:rFonts w:ascii="Sylfaen" w:hAnsi="Sylfaen"/>
          <w:sz w:val="24"/>
          <w:szCs w:val="24"/>
        </w:rPr>
        <w:t>յալները՝</w:t>
      </w:r>
    </w:p>
    <w:p w14:paraId="6D1B448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բուժման տ</w:t>
      </w:r>
      <w:r w:rsidR="00C54D75">
        <w:rPr>
          <w:rFonts w:ascii="Sylfaen" w:hAnsi="Sylfaen"/>
          <w:sz w:val="24"/>
          <w:szCs w:val="24"/>
        </w:rPr>
        <w:t>և</w:t>
      </w:r>
      <w:r w:rsidRPr="003B2786">
        <w:rPr>
          <w:rFonts w:ascii="Sylfaen" w:hAnsi="Sylfaen"/>
          <w:sz w:val="24"/>
          <w:szCs w:val="24"/>
        </w:rPr>
        <w:t>ողությունը,</w:t>
      </w:r>
    </w:p>
    <w:p w14:paraId="4A20381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դոզավորման ռեժիմը </w:t>
      </w:r>
      <w:r w:rsidR="00C54D75">
        <w:rPr>
          <w:rFonts w:ascii="Sylfaen" w:hAnsi="Sylfaen"/>
          <w:sz w:val="24"/>
          <w:szCs w:val="24"/>
        </w:rPr>
        <w:t>և</w:t>
      </w:r>
      <w:r w:rsidRPr="003B2786">
        <w:rPr>
          <w:rFonts w:ascii="Sylfaen" w:hAnsi="Sylfaen"/>
          <w:sz w:val="24"/>
          <w:szCs w:val="24"/>
        </w:rPr>
        <w:t xml:space="preserve"> ժամանակահատվածները,</w:t>
      </w:r>
    </w:p>
    <w:p w14:paraId="5115D1B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ընդհանուր թունավորությունը </w:t>
      </w:r>
      <w:r w:rsidR="00C54D75">
        <w:rPr>
          <w:rFonts w:ascii="Sylfaen" w:hAnsi="Sylfaen"/>
          <w:sz w:val="24"/>
          <w:szCs w:val="24"/>
        </w:rPr>
        <w:t>և</w:t>
      </w:r>
      <w:r w:rsidRPr="003B2786">
        <w:rPr>
          <w:rFonts w:ascii="Sylfaen" w:hAnsi="Sylfaen"/>
          <w:sz w:val="24"/>
          <w:szCs w:val="24"/>
        </w:rPr>
        <w:t xml:space="preserve"> ներմուծված դեղաչափով պայմանավորված թունավորությունը, </w:t>
      </w:r>
    </w:p>
    <w:p w14:paraId="4D1ADB6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ուղեկցող դեղապատրաստուկները:</w:t>
      </w:r>
    </w:p>
    <w:p w14:paraId="1A60DA2A" w14:textId="77777777" w:rsidR="008C76E0" w:rsidRPr="00B46DD3" w:rsidRDefault="008C76E0" w:rsidP="00262653">
      <w:pPr>
        <w:spacing w:after="160" w:line="360" w:lineRule="auto"/>
        <w:ind w:right="-1" w:firstLine="567"/>
        <w:jc w:val="both"/>
        <w:rPr>
          <w:rFonts w:ascii="Sylfaen" w:hAnsi="Sylfaen"/>
          <w:spacing w:val="-6"/>
          <w:sz w:val="24"/>
          <w:szCs w:val="24"/>
        </w:rPr>
      </w:pPr>
      <w:r w:rsidRPr="00B46DD3">
        <w:rPr>
          <w:rFonts w:ascii="Sylfaen" w:hAnsi="Sylfaen"/>
          <w:spacing w:val="-6"/>
          <w:sz w:val="24"/>
          <w:szCs w:val="24"/>
        </w:rPr>
        <w:t>Եր</w:t>
      </w:r>
      <w:r w:rsidR="00C54D75">
        <w:rPr>
          <w:rFonts w:ascii="Sylfaen" w:hAnsi="Sylfaen"/>
          <w:spacing w:val="-6"/>
          <w:sz w:val="24"/>
          <w:szCs w:val="24"/>
        </w:rPr>
        <w:t>և</w:t>
      </w:r>
      <w:r w:rsidRPr="00B46DD3">
        <w:rPr>
          <w:rFonts w:ascii="Sylfaen" w:hAnsi="Sylfaen"/>
          <w:spacing w:val="-6"/>
          <w:sz w:val="24"/>
          <w:szCs w:val="24"/>
        </w:rPr>
        <w:t xml:space="preserve">ույթի դարձելիության </w:t>
      </w:r>
      <w:r w:rsidR="00C54D75">
        <w:rPr>
          <w:rFonts w:ascii="Sylfaen" w:hAnsi="Sylfaen"/>
          <w:spacing w:val="-6"/>
          <w:sz w:val="24"/>
          <w:szCs w:val="24"/>
        </w:rPr>
        <w:t>և</w:t>
      </w:r>
      <w:r w:rsidRPr="00B46DD3">
        <w:rPr>
          <w:rFonts w:ascii="Sylfaen" w:hAnsi="Sylfaen"/>
          <w:spacing w:val="-6"/>
          <w:sz w:val="24"/>
          <w:szCs w:val="24"/>
        </w:rPr>
        <w:t xml:space="preserve"> նախակլինիկական տվյալների հաստատման վերաբերյալ մեկնաբանությունները ներկայացվում են անհրաժեշտության դեպքում:</w:t>
      </w:r>
    </w:p>
    <w:p w14:paraId="109E308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նշել արտադրության (որակի) արդիական ասպեկտների հետ </w:t>
      </w:r>
      <w:r w:rsidRPr="003B2786">
        <w:rPr>
          <w:rFonts w:ascii="Sylfaen" w:hAnsi="Sylfaen"/>
          <w:sz w:val="24"/>
          <w:szCs w:val="24"/>
        </w:rPr>
        <w:lastRenderedPageBreak/>
        <w:t>հնարավոր կապը (օրինակ՝ հակածին միացությունների մասով):</w:t>
      </w:r>
    </w:p>
    <w:p w14:paraId="1FB7CE5C"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գրանցման դոսյեի փորձաքննության դեպքում, նույնիսկ արդյունավետության տվյալների համադրելիության վկայությունների առկայության դեպքում կենսահամանման-կենսանման պատրաստուկի մոտ կարող է դիտվել անվտանգության տարբերվող պրոֆիլ (անցանկալի ռեակցիաների բնույթի, լրջության աստիճանի կամ զարգացման հաճախակիության տեսանկյունից): Պետք է ստացվեն մի շարք պացիենտների շրջանում անվտանգության հետազոտության նախագրանցումային տվյալները, ինչպես նա</w:t>
      </w:r>
      <w:r w:rsidR="00C54D75">
        <w:rPr>
          <w:rFonts w:ascii="Sylfaen" w:hAnsi="Sylfaen"/>
          <w:sz w:val="24"/>
          <w:szCs w:val="24"/>
        </w:rPr>
        <w:t>և</w:t>
      </w:r>
      <w:r w:rsidRPr="003B2786">
        <w:rPr>
          <w:rFonts w:ascii="Sylfaen" w:hAnsi="Sylfaen"/>
          <w:sz w:val="24"/>
          <w:szCs w:val="24"/>
        </w:rPr>
        <w:t xml:space="preserve"> շարունակական բուժմամբ հետազոտության տվյալները, որոնք բավական են հետազոտվող </w:t>
      </w:r>
      <w:r w:rsidR="00C54D75">
        <w:rPr>
          <w:rFonts w:ascii="Sylfaen" w:hAnsi="Sylfaen"/>
          <w:sz w:val="24"/>
          <w:szCs w:val="24"/>
        </w:rPr>
        <w:t>և</w:t>
      </w:r>
      <w:r w:rsidRPr="003B2786">
        <w:rPr>
          <w:rFonts w:ascii="Sylfaen" w:hAnsi="Sylfaen"/>
          <w:sz w:val="24"/>
          <w:szCs w:val="24"/>
        </w:rPr>
        <w:t xml:space="preserve"> չափանմուշային պատրաստուկների անցանկալի եր</w:t>
      </w:r>
      <w:r w:rsidR="00C54D75">
        <w:rPr>
          <w:rFonts w:ascii="Sylfaen" w:hAnsi="Sylfaen"/>
          <w:sz w:val="24"/>
          <w:szCs w:val="24"/>
        </w:rPr>
        <w:t>և</w:t>
      </w:r>
      <w:r w:rsidRPr="003B2786">
        <w:rPr>
          <w:rFonts w:ascii="Sylfaen" w:hAnsi="Sylfaen"/>
          <w:sz w:val="24"/>
          <w:szCs w:val="24"/>
        </w:rPr>
        <w:t xml:space="preserve">ույթների պրոֆիլների համադրելիության ամփոփման համար: Հարկավոր է հատուկ ուշադրություն դարձնել տիպերի, ծանրության աստիճանների </w:t>
      </w:r>
      <w:r w:rsidR="00C54D75">
        <w:rPr>
          <w:rFonts w:ascii="Sylfaen" w:hAnsi="Sylfaen"/>
          <w:sz w:val="24"/>
          <w:szCs w:val="24"/>
        </w:rPr>
        <w:t>և</w:t>
      </w:r>
      <w:r w:rsidRPr="003B2786">
        <w:rPr>
          <w:rFonts w:ascii="Sylfaen" w:hAnsi="Sylfaen"/>
          <w:sz w:val="24"/>
          <w:szCs w:val="24"/>
        </w:rPr>
        <w:t xml:space="preserve"> ընդհանուր կողմնակի այն ռեակցիների առաջացման հաճախակիության համեմատությանը, որոնք դիտվել են կենսահամանման-կենսանման պատրաստուկը </w:t>
      </w:r>
      <w:r w:rsidR="00C54D75">
        <w:rPr>
          <w:rFonts w:ascii="Sylfaen" w:hAnsi="Sylfaen"/>
          <w:sz w:val="24"/>
          <w:szCs w:val="24"/>
        </w:rPr>
        <w:t>և</w:t>
      </w:r>
      <w:r w:rsidRPr="003B2786">
        <w:rPr>
          <w:rFonts w:ascii="Sylfaen" w:hAnsi="Sylfaen"/>
          <w:sz w:val="24"/>
          <w:szCs w:val="24"/>
        </w:rPr>
        <w:t xml:space="preserve"> չափանմուշային դեղապատրաստուկը կիրառելիս: </w:t>
      </w:r>
    </w:p>
    <w:p w14:paraId="69745ECF"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4.4.</w:t>
      </w:r>
      <w:r w:rsidRPr="003B2786">
        <w:rPr>
          <w:rFonts w:ascii="Sylfaen" w:hAnsi="Sylfaen"/>
          <w:sz w:val="24"/>
          <w:szCs w:val="24"/>
        </w:rPr>
        <w:tab/>
        <w:t>Լուրջ անցանկալի եր</w:t>
      </w:r>
      <w:r w:rsidR="00C54D75">
        <w:rPr>
          <w:rFonts w:ascii="Sylfaen" w:hAnsi="Sylfaen"/>
          <w:sz w:val="24"/>
          <w:szCs w:val="24"/>
        </w:rPr>
        <w:t>և</w:t>
      </w:r>
      <w:r w:rsidRPr="003B2786">
        <w:rPr>
          <w:rFonts w:ascii="Sylfaen" w:hAnsi="Sylfaen"/>
          <w:sz w:val="24"/>
          <w:szCs w:val="24"/>
        </w:rPr>
        <w:t xml:space="preserve">ույթները </w:t>
      </w:r>
      <w:r w:rsidR="00C54D75">
        <w:rPr>
          <w:rFonts w:ascii="Sylfaen" w:hAnsi="Sylfaen"/>
          <w:sz w:val="24"/>
          <w:szCs w:val="24"/>
        </w:rPr>
        <w:t>և</w:t>
      </w:r>
      <w:r w:rsidRPr="003B2786">
        <w:rPr>
          <w:rFonts w:ascii="Sylfaen" w:hAnsi="Sylfaen"/>
          <w:sz w:val="24"/>
          <w:szCs w:val="24"/>
        </w:rPr>
        <w:t xml:space="preserve"> մահացու ելքը:</w:t>
      </w:r>
    </w:p>
    <w:p w14:paraId="30661EA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Անվտանգության ընդհանուր պրոֆիլի ամփոփումից հետո անհրաժեշտ է անցկացնել լուրջ անցանկալի եր</w:t>
      </w:r>
      <w:r w:rsidR="00C54D75">
        <w:rPr>
          <w:rFonts w:ascii="Sylfaen" w:hAnsi="Sylfaen"/>
          <w:sz w:val="24"/>
          <w:szCs w:val="24"/>
        </w:rPr>
        <w:t>և</w:t>
      </w:r>
      <w:r w:rsidRPr="003B2786">
        <w:rPr>
          <w:rFonts w:ascii="Sylfaen" w:hAnsi="Sylfaen"/>
          <w:sz w:val="24"/>
          <w:szCs w:val="24"/>
        </w:rPr>
        <w:t>ույթների առանձին վերլուծություն:</w:t>
      </w:r>
    </w:p>
    <w:p w14:paraId="58B3361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Արդյունքները պետք է ներկայացվեն օրգան- համակարգերի դասակարգմանը (SOC) (նախընտրելի եզրույթներ) համապատասխան՝ ներառյալ անցանկալի եր</w:t>
      </w:r>
      <w:r w:rsidR="00C54D75">
        <w:rPr>
          <w:rFonts w:ascii="Sylfaen" w:hAnsi="Sylfaen"/>
          <w:sz w:val="24"/>
          <w:szCs w:val="24"/>
        </w:rPr>
        <w:t>և</w:t>
      </w:r>
      <w:r w:rsidRPr="003B2786">
        <w:rPr>
          <w:rFonts w:ascii="Sylfaen" w:hAnsi="Sylfaen"/>
          <w:sz w:val="24"/>
          <w:szCs w:val="24"/>
        </w:rPr>
        <w:t xml:space="preserve">ույթների ծանրության աստիճանի վերաբերյալ տվյալները: Անհրաժեշտ է ամփոփ աղյուսակի տվյալները ներկայացնել գրանցման դոսյեում ներառված համանման աղյուսակի մեջ (2.7.4.3 </w:t>
      </w:r>
      <w:r w:rsidR="00C54D75">
        <w:rPr>
          <w:rFonts w:ascii="Sylfaen" w:hAnsi="Sylfaen"/>
          <w:sz w:val="24"/>
          <w:szCs w:val="24"/>
        </w:rPr>
        <w:t>և</w:t>
      </w:r>
      <w:r w:rsidRPr="003B2786">
        <w:rPr>
          <w:rFonts w:ascii="Sylfaen" w:hAnsi="Sylfaen"/>
          <w:sz w:val="24"/>
          <w:szCs w:val="24"/>
        </w:rPr>
        <w:t xml:space="preserve"> 2.7.4.6):</w:t>
      </w:r>
    </w:p>
    <w:p w14:paraId="6E2E5A5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Բոլոր դեպքերում անհրաժեշտ է անցկացնել լուրջ անցանկալի եր</w:t>
      </w:r>
      <w:r w:rsidR="00C54D75">
        <w:rPr>
          <w:rFonts w:ascii="Sylfaen" w:hAnsi="Sylfaen"/>
          <w:sz w:val="24"/>
          <w:szCs w:val="24"/>
        </w:rPr>
        <w:t>և</w:t>
      </w:r>
      <w:r w:rsidRPr="003B2786">
        <w:rPr>
          <w:rFonts w:ascii="Sylfaen" w:hAnsi="Sylfaen"/>
          <w:sz w:val="24"/>
          <w:szCs w:val="24"/>
        </w:rPr>
        <w:t xml:space="preserve">ույթների (մահվան ելքով դեպքերի) </w:t>
      </w:r>
      <w:r w:rsidR="00C54D75">
        <w:rPr>
          <w:rFonts w:ascii="Sylfaen" w:hAnsi="Sylfaen"/>
          <w:sz w:val="24"/>
          <w:szCs w:val="24"/>
        </w:rPr>
        <w:t>և</w:t>
      </w:r>
      <w:r w:rsidRPr="003B2786">
        <w:rPr>
          <w:rFonts w:ascii="Sylfaen" w:hAnsi="Sylfaen"/>
          <w:sz w:val="24"/>
          <w:szCs w:val="24"/>
        </w:rPr>
        <w:t xml:space="preserve"> այլ փոփոխականների միջ</w:t>
      </w:r>
      <w:r w:rsidR="00C54D75">
        <w:rPr>
          <w:rFonts w:ascii="Sylfaen" w:hAnsi="Sylfaen"/>
          <w:sz w:val="24"/>
          <w:szCs w:val="24"/>
        </w:rPr>
        <w:t>և</w:t>
      </w:r>
      <w:r w:rsidRPr="003B2786">
        <w:rPr>
          <w:rFonts w:ascii="Sylfaen" w:hAnsi="Sylfaen"/>
          <w:sz w:val="24"/>
          <w:szCs w:val="24"/>
        </w:rPr>
        <w:t xml:space="preserve"> հարաբերությունների ամփոփում:</w:t>
      </w:r>
    </w:p>
    <w:p w14:paraId="034C4A25"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Այդպիսի փոփոխականներ կարող են լինել հետ</w:t>
      </w:r>
      <w:r w:rsidR="00C54D75">
        <w:rPr>
          <w:rFonts w:ascii="Sylfaen" w:hAnsi="Sylfaen"/>
          <w:sz w:val="24"/>
          <w:szCs w:val="24"/>
        </w:rPr>
        <w:t>և</w:t>
      </w:r>
      <w:r w:rsidRPr="003B2786">
        <w:rPr>
          <w:rFonts w:ascii="Sylfaen" w:hAnsi="Sylfaen"/>
          <w:sz w:val="24"/>
          <w:szCs w:val="24"/>
        </w:rPr>
        <w:t>յալները՝</w:t>
      </w:r>
    </w:p>
    <w:p w14:paraId="20C52A36"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lastRenderedPageBreak/>
        <w:t>բուժման տ</w:t>
      </w:r>
      <w:r w:rsidR="00C54D75">
        <w:rPr>
          <w:rFonts w:ascii="Sylfaen" w:hAnsi="Sylfaen"/>
          <w:sz w:val="24"/>
          <w:szCs w:val="24"/>
        </w:rPr>
        <w:t>և</w:t>
      </w:r>
      <w:r w:rsidRPr="003B2786">
        <w:rPr>
          <w:rFonts w:ascii="Sylfaen" w:hAnsi="Sylfaen"/>
          <w:sz w:val="24"/>
          <w:szCs w:val="24"/>
        </w:rPr>
        <w:t>ողությունը,</w:t>
      </w:r>
    </w:p>
    <w:p w14:paraId="46F11902"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դոզավորման ռեժիմը </w:t>
      </w:r>
      <w:r w:rsidR="00C54D75">
        <w:rPr>
          <w:rFonts w:ascii="Sylfaen" w:hAnsi="Sylfaen"/>
          <w:sz w:val="24"/>
          <w:szCs w:val="24"/>
        </w:rPr>
        <w:t>և</w:t>
      </w:r>
      <w:r w:rsidRPr="003B2786">
        <w:rPr>
          <w:rFonts w:ascii="Sylfaen" w:hAnsi="Sylfaen"/>
          <w:sz w:val="24"/>
          <w:szCs w:val="24"/>
        </w:rPr>
        <w:t xml:space="preserve"> ժամանակահատվածները,</w:t>
      </w:r>
    </w:p>
    <w:p w14:paraId="2A5945D5"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ընդհանուր թունավորությունը </w:t>
      </w:r>
      <w:r w:rsidR="00C54D75">
        <w:rPr>
          <w:rFonts w:ascii="Sylfaen" w:hAnsi="Sylfaen"/>
          <w:sz w:val="24"/>
          <w:szCs w:val="24"/>
        </w:rPr>
        <w:t>և</w:t>
      </w:r>
      <w:r w:rsidRPr="003B2786">
        <w:rPr>
          <w:rFonts w:ascii="Sylfaen" w:hAnsi="Sylfaen"/>
          <w:sz w:val="24"/>
          <w:szCs w:val="24"/>
        </w:rPr>
        <w:t xml:space="preserve"> ներմուծված դոզայով պայմանավորված թունավորությունը,</w:t>
      </w:r>
    </w:p>
    <w:p w14:paraId="3DD8C9A1"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ուղեկցող դեղապատրաստուկները՝ անհրաժեշտության դեպքում,</w:t>
      </w:r>
    </w:p>
    <w:p w14:paraId="40BC09B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եր</w:t>
      </w:r>
      <w:r w:rsidR="00C54D75">
        <w:rPr>
          <w:rFonts w:ascii="Sylfaen" w:hAnsi="Sylfaen"/>
          <w:sz w:val="24"/>
          <w:szCs w:val="24"/>
        </w:rPr>
        <w:t>և</w:t>
      </w:r>
      <w:r w:rsidRPr="003B2786">
        <w:rPr>
          <w:rFonts w:ascii="Sylfaen" w:hAnsi="Sylfaen"/>
          <w:sz w:val="24"/>
          <w:szCs w:val="24"/>
        </w:rPr>
        <w:t>ույթի (բացառությամբ մահվան ելքի) դարձելիությունը (ելքը):</w:t>
      </w:r>
    </w:p>
    <w:p w14:paraId="08CE9937"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4.5.</w:t>
      </w:r>
      <w:r w:rsidRPr="003B2786">
        <w:rPr>
          <w:rFonts w:ascii="Sylfaen" w:hAnsi="Sylfaen"/>
          <w:sz w:val="24"/>
          <w:szCs w:val="24"/>
        </w:rPr>
        <w:tab/>
        <w:t>Լաբորատոր հետազոտությունների տվյալները:</w:t>
      </w:r>
    </w:p>
    <w:p w14:paraId="78D888A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Եթե հիվանդությունը հաճախ է հանդիպում տարեց հասակում, պետք է ներկայացվի անվտանգության մասին տեղեկատվություն՝ հատուկ տարեց մարդկանց վերաբերյալ, կամ էլ ընդգծվի դրա բացակայության փաստը:</w:t>
      </w:r>
    </w:p>
    <w:p w14:paraId="25FE646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Տարեց մարդկանց վերաբերյալ տվյալները գնահատելիս հարկավոր է դիտարկել ոչ միայն հետազոտության մեջ ներառված պացիենտների թիվը, այլ նա</w:t>
      </w:r>
      <w:r w:rsidR="00C54D75">
        <w:rPr>
          <w:rFonts w:ascii="Sylfaen" w:hAnsi="Sylfaen"/>
          <w:sz w:val="24"/>
          <w:szCs w:val="24"/>
        </w:rPr>
        <w:t>և</w:t>
      </w:r>
      <w:r w:rsidRPr="003B2786">
        <w:rPr>
          <w:rFonts w:ascii="Sylfaen" w:hAnsi="Sylfaen"/>
          <w:sz w:val="24"/>
          <w:szCs w:val="24"/>
        </w:rPr>
        <w:t xml:space="preserve"> օգուտ-ռիսկ հարաբերակցության ամփոփման արդյունքները, քանի որ պետք</w:t>
      </w:r>
      <w:r w:rsidRPr="003B2786">
        <w:rPr>
          <w:rFonts w:ascii="Sylfaen" w:hAnsi="Sylfaen"/>
          <w:b/>
          <w:sz w:val="24"/>
          <w:szCs w:val="24"/>
        </w:rPr>
        <w:t> </w:t>
      </w:r>
      <w:r w:rsidRPr="003B2786">
        <w:rPr>
          <w:rFonts w:ascii="Sylfaen" w:hAnsi="Sylfaen"/>
          <w:sz w:val="24"/>
          <w:szCs w:val="24"/>
        </w:rPr>
        <w:t xml:space="preserve">է ուշադրություն դարձնել կոնկրետ հավանական ռիսկերին (օրինակ՝ ազդեցությունը մտավոր գործունեության, սրտանոթային համակարգի, երիկամների </w:t>
      </w:r>
      <w:r w:rsidR="00C54D75">
        <w:rPr>
          <w:rFonts w:ascii="Sylfaen" w:hAnsi="Sylfaen"/>
          <w:sz w:val="24"/>
          <w:szCs w:val="24"/>
        </w:rPr>
        <w:t>և</w:t>
      </w:r>
      <w:r w:rsidRPr="003B2786">
        <w:rPr>
          <w:rFonts w:ascii="Sylfaen" w:hAnsi="Sylfaen"/>
          <w:sz w:val="24"/>
          <w:szCs w:val="24"/>
        </w:rPr>
        <w:t xml:space="preserve"> լյարդի ֆունկցիաների վրա): Օգուտ-ռիսկ հարաբերակցությունը ամփոփելիս հարկավոր է ուշադրություն դարձնել տարեց մարդկանց շրջանում ուղեկցող հիվանդությունների տարածվածությանը </w:t>
      </w:r>
      <w:r w:rsidR="00C54D75">
        <w:rPr>
          <w:rFonts w:ascii="Sylfaen" w:hAnsi="Sylfaen"/>
          <w:sz w:val="24"/>
          <w:szCs w:val="24"/>
        </w:rPr>
        <w:t>և</w:t>
      </w:r>
      <w:r w:rsidRPr="003B2786">
        <w:rPr>
          <w:rFonts w:ascii="Sylfaen" w:hAnsi="Sylfaen"/>
          <w:sz w:val="24"/>
          <w:szCs w:val="24"/>
        </w:rPr>
        <w:t xml:space="preserve"> ծանրությանը, հարկավոր է նա</w:t>
      </w:r>
      <w:r w:rsidR="00C54D75">
        <w:rPr>
          <w:rFonts w:ascii="Sylfaen" w:hAnsi="Sylfaen"/>
          <w:sz w:val="24"/>
          <w:szCs w:val="24"/>
        </w:rPr>
        <w:t>և</w:t>
      </w:r>
      <w:r w:rsidRPr="003B2786">
        <w:rPr>
          <w:rFonts w:ascii="Sylfaen" w:hAnsi="Sylfaen"/>
          <w:sz w:val="24"/>
          <w:szCs w:val="24"/>
        </w:rPr>
        <w:t xml:space="preserve"> կատարել զուգահեռ դեղաթերապիայի վերաբերյալ առկա տեղեկատվության ամփոփում, հատկապես եթե գոյություն ունի այլ դեղապատրաստուկների միաժամանակյա ներմուծման ֆոնին անբարենպաստ եր</w:t>
      </w:r>
      <w:r w:rsidR="00C54D75">
        <w:rPr>
          <w:rFonts w:ascii="Sylfaen" w:hAnsi="Sylfaen"/>
          <w:sz w:val="24"/>
          <w:szCs w:val="24"/>
        </w:rPr>
        <w:t>և</w:t>
      </w:r>
      <w:r w:rsidRPr="003B2786">
        <w:rPr>
          <w:rFonts w:ascii="Sylfaen" w:hAnsi="Sylfaen"/>
          <w:sz w:val="24"/>
          <w:szCs w:val="24"/>
        </w:rPr>
        <w:t xml:space="preserve">ույթների ազդեցության ուժեղացման հավանականություն: </w:t>
      </w:r>
    </w:p>
    <w:p w14:paraId="2B5F7EA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Խորհուրդ է տրվում լրացնել անցանկալի եր</w:t>
      </w:r>
      <w:r w:rsidR="00C54D75">
        <w:rPr>
          <w:rFonts w:ascii="Sylfaen" w:hAnsi="Sylfaen"/>
          <w:sz w:val="24"/>
          <w:szCs w:val="24"/>
        </w:rPr>
        <w:t>և</w:t>
      </w:r>
      <w:r w:rsidRPr="003B2786">
        <w:rPr>
          <w:rFonts w:ascii="Sylfaen" w:hAnsi="Sylfaen"/>
          <w:sz w:val="24"/>
          <w:szCs w:val="24"/>
        </w:rPr>
        <w:t xml:space="preserve">ույթների վերաբերյալ տեղեկությունների ամփոփ աղյուսակը, ինչպես նշված է սույն Կանոնների թիվ 7 հավելվածի համապատասխան բաժնում: Եթե տվյալ աղյուսակը կազմել հնարավոր չէ, խորհուրդ է տրվում կրիտիկական գնահատման 120-րդ օրը կազմվող հարցերի ցանկում ավելացնել հարցի տեսքով աղյուսակ: </w:t>
      </w:r>
    </w:p>
    <w:p w14:paraId="098A39A4" w14:textId="7696C202"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Սույն բաժնում արված ցանկացած </w:t>
      </w:r>
      <w:r w:rsidR="000F179C">
        <w:rPr>
          <w:rFonts w:ascii="Sylfaen" w:hAnsi="Sylfaen"/>
          <w:sz w:val="24"/>
          <w:szCs w:val="24"/>
        </w:rPr>
        <w:t>հայտարարությ</w:t>
      </w:r>
      <w:r w:rsidRPr="003B2786">
        <w:rPr>
          <w:rFonts w:ascii="Sylfaen" w:hAnsi="Sylfaen"/>
          <w:sz w:val="24"/>
          <w:szCs w:val="24"/>
        </w:rPr>
        <w:t xml:space="preserve">ուն պետք է արտացոլվի դեղագործական պատրաստուկի վերաբերյալ տեղեկատվության մեջ: </w:t>
      </w:r>
    </w:p>
    <w:p w14:paraId="16D1F6D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pacing w:val="-6"/>
          <w:sz w:val="24"/>
          <w:szCs w:val="24"/>
        </w:rPr>
        <w:t>Անհրաժեշտ է մուտքագրել (պլացեբոյով վերահսկվող ազդեցության (</w:t>
      </w:r>
      <w:r w:rsidRPr="003B2786">
        <w:rPr>
          <w:rFonts w:ascii="Sylfaen" w:hAnsi="Sylfaen"/>
          <w:sz w:val="24"/>
          <w:szCs w:val="24"/>
        </w:rPr>
        <w:t xml:space="preserve">ռեֆերենտ </w:t>
      </w:r>
      <w:r w:rsidRPr="003B2786">
        <w:rPr>
          <w:rFonts w:ascii="Sylfaen" w:hAnsi="Sylfaen"/>
          <w:spacing w:val="-6"/>
          <w:sz w:val="24"/>
          <w:szCs w:val="24"/>
        </w:rPr>
        <w:t>պատրաստուկով վերահսկվող ազդեցության) տվյալների հետ համեմատության մեջ) կլինիկապես նշանակալի շեղումները (օրինակ՝ պացիենտների 10%-ի մոտ հեմոգլոբինի մակարդակի նվազեցումը</w:t>
      </w:r>
      <w:r w:rsidRPr="003B2786">
        <w:rPr>
          <w:rFonts w:ascii="Sylfaen" w:hAnsi="Sylfaen"/>
          <w:sz w:val="24"/>
          <w:szCs w:val="24"/>
        </w:rPr>
        <w:t xml:space="preserve"> 2 գ/դլ-ով 20-շաբաթյա ներգործության ընթացքում):</w:t>
      </w:r>
    </w:p>
    <w:p w14:paraId="0FF63FD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Պետք է նշվի վերադարձը ցուցանիշների նորմալ մակարդակին: Տվյալ տեղեկատվությունը կարող է ներառվել աղյուսակի մեջ:</w:t>
      </w:r>
    </w:p>
    <w:p w14:paraId="74FAD58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Այն պացիենտների մասին տեղեկությունները, որոնց շրջանում գրանցվել է ստանդարտ շեղումը 3 անգամ գերազանցող շեղումներ, պետք է նշվեն առանձին: </w:t>
      </w:r>
    </w:p>
    <w:p w14:paraId="55DE29AE" w14:textId="77777777" w:rsidR="008C76E0" w:rsidRPr="003B2786" w:rsidRDefault="008C76E0" w:rsidP="0092500F">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4.6.</w:t>
      </w:r>
      <w:r w:rsidRPr="003B2786">
        <w:rPr>
          <w:rFonts w:ascii="Sylfaen" w:hAnsi="Sylfaen"/>
          <w:sz w:val="24"/>
          <w:szCs w:val="24"/>
        </w:rPr>
        <w:tab/>
        <w:t>Պատրաստուկի կիրառման անվտանգությունը բնակչության հատուկ խմբերի շրջանում:</w:t>
      </w:r>
    </w:p>
    <w:p w14:paraId="46F1D473" w14:textId="5172BFCE"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արդյունքներով ստացված առկա ողջ տեղեկատվության համառոտ ռեզյումեն՝ բժշկական կիրառման դեղապատրաստուկի ընդհանուր բնութագրում շարադրված կոնկրետ </w:t>
      </w:r>
      <w:r w:rsidR="0011179D">
        <w:rPr>
          <w:rFonts w:ascii="Sylfaen" w:hAnsi="Sylfaen"/>
          <w:sz w:val="24"/>
          <w:szCs w:val="24"/>
        </w:rPr>
        <w:t>հայտարարություններ</w:t>
      </w:r>
      <w:r w:rsidRPr="003B2786">
        <w:rPr>
          <w:rFonts w:ascii="Sylfaen" w:hAnsi="Sylfaen"/>
          <w:sz w:val="24"/>
          <w:szCs w:val="24"/>
        </w:rPr>
        <w:t xml:space="preserve">ը հիմնավորելու համար (օրինակ՝ գենդերային տարբերությունները, հղի կանանց շրջանում կիրառման ռիսկը, ակնկալվող կամ դիտվող ազդեցությունը երեխաների (համապատասխան տարիքային խմբերում), տարեց մարդկանց շրջանում </w:t>
      </w:r>
      <w:r w:rsidR="00C54D75">
        <w:rPr>
          <w:rFonts w:ascii="Sylfaen" w:hAnsi="Sylfaen"/>
          <w:sz w:val="24"/>
          <w:szCs w:val="24"/>
        </w:rPr>
        <w:t>և</w:t>
      </w:r>
      <w:r w:rsidRPr="003B2786">
        <w:rPr>
          <w:rFonts w:ascii="Sylfaen" w:hAnsi="Sylfaen"/>
          <w:sz w:val="24"/>
          <w:szCs w:val="24"/>
        </w:rPr>
        <w:t xml:space="preserve"> այլն):</w:t>
      </w:r>
    </w:p>
    <w:p w14:paraId="46700A42"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ակերպումը պետք է լինի համառոտ, իսկ հիմնական տեղեկատվության շրջանակներից դուրս եկող մանրամասն տեղեկություններն անհրաժեշտ է նշել միայն կրիտիկական գնահատման համար դրանց արդիականության դեպքում:</w:t>
      </w:r>
    </w:p>
    <w:p w14:paraId="53464E95"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4.7.</w:t>
      </w:r>
      <w:r w:rsidRPr="003B2786">
        <w:rPr>
          <w:rFonts w:ascii="Sylfaen" w:hAnsi="Sylfaen"/>
          <w:sz w:val="24"/>
          <w:szCs w:val="24"/>
        </w:rPr>
        <w:tab/>
        <w:t>Իմունաբանական եր</w:t>
      </w:r>
      <w:r w:rsidR="00C54D75">
        <w:rPr>
          <w:rFonts w:ascii="Sylfaen" w:hAnsi="Sylfaen"/>
          <w:sz w:val="24"/>
          <w:szCs w:val="24"/>
        </w:rPr>
        <w:t>և</w:t>
      </w:r>
      <w:r w:rsidRPr="003B2786">
        <w:rPr>
          <w:rFonts w:ascii="Sylfaen" w:hAnsi="Sylfaen"/>
          <w:sz w:val="24"/>
          <w:szCs w:val="24"/>
        </w:rPr>
        <w:t>ույթները:</w:t>
      </w:r>
    </w:p>
    <w:p w14:paraId="4B41845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Անվտանգության ամփոփման համատեքստում հարկավոր է ընդգծել հակամարմինների առաջացումը (օրինակ՝ չեզոքացնող հակամարմիններ, աուտոհակամարմիններ, տեսակային հակամարմիններ (օրինակ՝ НАМА (մարդու հակամկնային հակամարմիններ) НАНА (հումանիզացված հակամարմնի համար </w:t>
      </w:r>
      <w:r w:rsidRPr="003B2786">
        <w:rPr>
          <w:rFonts w:ascii="Sylfaen" w:hAnsi="Sylfaen"/>
          <w:sz w:val="24"/>
          <w:szCs w:val="24"/>
        </w:rPr>
        <w:lastRenderedPageBreak/>
        <w:t>մարդկային իմունոգլոբուլին)) մոնոկլոնալ հակամարմինների արտադրման դեպքում: Անհրաժեշտ է մեկնաբանել վերլուծության արդիականությունը (օգտակարությունը):</w:t>
      </w:r>
    </w:p>
    <w:p w14:paraId="2B7EF21F"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4.8.</w:t>
      </w:r>
      <w:r w:rsidRPr="003B2786">
        <w:rPr>
          <w:rFonts w:ascii="Sylfaen" w:hAnsi="Sylfaen"/>
          <w:sz w:val="24"/>
          <w:szCs w:val="24"/>
        </w:rPr>
        <w:tab/>
        <w:t xml:space="preserve">Անվտանգությունը դեղային </w:t>
      </w:r>
      <w:r w:rsidR="00C54D75">
        <w:rPr>
          <w:rFonts w:ascii="Sylfaen" w:hAnsi="Sylfaen"/>
          <w:sz w:val="24"/>
          <w:szCs w:val="24"/>
        </w:rPr>
        <w:t>և</w:t>
      </w:r>
      <w:r w:rsidRPr="003B2786">
        <w:rPr>
          <w:rFonts w:ascii="Sylfaen" w:hAnsi="Sylfaen"/>
          <w:sz w:val="24"/>
          <w:szCs w:val="24"/>
        </w:rPr>
        <w:t xml:space="preserve"> այլ փոխազդեցությունների ժամանակ:</w:t>
      </w:r>
    </w:p>
    <w:p w14:paraId="401B540C"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 xml:space="preserve">Այս բաժնում պետք է նշվեն դեղակինետիկ </w:t>
      </w:r>
      <w:r w:rsidR="00C54D75">
        <w:rPr>
          <w:rFonts w:ascii="Sylfaen" w:hAnsi="Sylfaen"/>
          <w:sz w:val="24"/>
          <w:szCs w:val="24"/>
        </w:rPr>
        <w:t>և</w:t>
      </w:r>
      <w:r w:rsidRPr="003B2786">
        <w:rPr>
          <w:rFonts w:ascii="Sylfaen" w:hAnsi="Sylfaen"/>
          <w:sz w:val="24"/>
          <w:szCs w:val="24"/>
        </w:rPr>
        <w:t xml:space="preserve"> դեղադինամիկ փոխազդեցության՝ անվտանգությանն անմիջականորեն առնչվող տվյալները: Պետք է նա</w:t>
      </w:r>
      <w:r w:rsidR="00C54D75">
        <w:rPr>
          <w:rFonts w:ascii="Sylfaen" w:hAnsi="Sylfaen"/>
          <w:sz w:val="24"/>
          <w:szCs w:val="24"/>
        </w:rPr>
        <w:t>և</w:t>
      </w:r>
      <w:r w:rsidRPr="003B2786">
        <w:rPr>
          <w:rFonts w:ascii="Sylfaen" w:hAnsi="Sylfaen"/>
          <w:sz w:val="24"/>
          <w:szCs w:val="24"/>
        </w:rPr>
        <w:t xml:space="preserve"> քննվեն անվտանգության համապատասխան կլինիկական հետազոտությունների տվյալներն այլ պատրաստուկների միաժամանակյա կիրառման դեպքում:</w:t>
      </w:r>
    </w:p>
    <w:p w14:paraId="73742074" w14:textId="77777777" w:rsidR="008C76E0" w:rsidRPr="003B2786" w:rsidRDefault="008C76E0" w:rsidP="002C4B5D">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4.9.</w:t>
      </w:r>
      <w:r w:rsidRPr="003B2786">
        <w:rPr>
          <w:rFonts w:ascii="Sylfaen" w:hAnsi="Sylfaen"/>
          <w:sz w:val="24"/>
          <w:szCs w:val="24"/>
        </w:rPr>
        <w:tab/>
        <w:t>Անցանկալի եր</w:t>
      </w:r>
      <w:r w:rsidR="00C54D75">
        <w:rPr>
          <w:rFonts w:ascii="Sylfaen" w:hAnsi="Sylfaen"/>
          <w:sz w:val="24"/>
          <w:szCs w:val="24"/>
        </w:rPr>
        <w:t>և</w:t>
      </w:r>
      <w:r w:rsidRPr="003B2786">
        <w:rPr>
          <w:rFonts w:ascii="Sylfaen" w:hAnsi="Sylfaen"/>
          <w:sz w:val="24"/>
          <w:szCs w:val="24"/>
        </w:rPr>
        <w:t>ույթների պատճառով հետազոտությունից դուրս գալը:</w:t>
      </w:r>
    </w:p>
    <w:p w14:paraId="490E0903"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Համառոտ տվյալներ՝ գրանցման դոսյեի աղյուսակին (2.7.4.5) խաչաձ</w:t>
      </w:r>
      <w:r w:rsidR="00C54D75">
        <w:rPr>
          <w:rFonts w:ascii="Sylfaen" w:hAnsi="Sylfaen"/>
          <w:sz w:val="24"/>
          <w:szCs w:val="24"/>
        </w:rPr>
        <w:t>և</w:t>
      </w:r>
      <w:r w:rsidRPr="003B2786">
        <w:rPr>
          <w:rFonts w:ascii="Sylfaen" w:hAnsi="Sylfaen"/>
          <w:sz w:val="24"/>
          <w:szCs w:val="24"/>
        </w:rPr>
        <w:t xml:space="preserve"> հղումների հնարավոր նշմամբ:</w:t>
      </w:r>
    </w:p>
    <w:p w14:paraId="3A7C9022" w14:textId="77777777" w:rsidR="008C76E0" w:rsidRPr="003B2786" w:rsidRDefault="008C76E0" w:rsidP="002C4B5D">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4.10.</w:t>
      </w:r>
      <w:r w:rsidRPr="003B2786">
        <w:rPr>
          <w:rFonts w:ascii="Sylfaen" w:hAnsi="Sylfaen"/>
          <w:sz w:val="24"/>
          <w:szCs w:val="24"/>
        </w:rPr>
        <w:tab/>
        <w:t>Հետազոտությունները պատրաստուկի՝ շուկա դուրս գալուց հետո:</w:t>
      </w:r>
    </w:p>
    <w:p w14:paraId="57B22C3C"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Պետք է ընդգծվի պատրաստուկի՝ շուկա դուրս գալուց հետո հետազոտությունների վերաբերյալ նոր տեղեկատվությունը:</w:t>
      </w:r>
    </w:p>
    <w:p w14:paraId="6957E95D" w14:textId="77777777" w:rsidR="008C76E0" w:rsidRPr="003B2786" w:rsidRDefault="008C76E0" w:rsidP="002C4B5D">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Փորձագետի ընդհանուր եզրակացությունը՝ կլինիկական անվտանգության գնահատման վերաբերյալ:</w:t>
      </w:r>
    </w:p>
    <w:p w14:paraId="6CA08061" w14:textId="77777777" w:rsidR="008C76E0" w:rsidRPr="003B2786" w:rsidRDefault="008C76E0" w:rsidP="002C4B5D">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4.11.1.</w:t>
      </w:r>
      <w:r w:rsidRPr="003B2786">
        <w:rPr>
          <w:rFonts w:ascii="Sylfaen" w:hAnsi="Sylfaen"/>
          <w:sz w:val="24"/>
          <w:szCs w:val="24"/>
        </w:rPr>
        <w:tab/>
        <w:t>Կլինիկական արդյունավետության վերաբերյալ եզրահանգումները:</w:t>
      </w:r>
    </w:p>
    <w:p w14:paraId="646A032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Արդյունքների քննարկումը հաճախ կրիտիկական գնահատման մասով հաշվետվության առավել կար</w:t>
      </w:r>
      <w:r w:rsidR="00C54D75">
        <w:rPr>
          <w:rFonts w:ascii="Sylfaen" w:hAnsi="Sylfaen"/>
          <w:sz w:val="24"/>
          <w:szCs w:val="24"/>
        </w:rPr>
        <w:t>և</w:t>
      </w:r>
      <w:r w:rsidRPr="003B2786">
        <w:rPr>
          <w:rFonts w:ascii="Sylfaen" w:hAnsi="Sylfaen"/>
          <w:sz w:val="24"/>
          <w:szCs w:val="24"/>
        </w:rPr>
        <w:t>որ մասն է: Կառուցվածքի տեսանկյունից եզրահանգումների քննարկումը պետք է սկզբունքորեն համապատասխանի արդյունքների շարադրման վերը նկարագրված սխեմային:</w:t>
      </w:r>
    </w:p>
    <w:p w14:paraId="520790A9" w14:textId="58CD2B12"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շարադրանքի առավելագույն ճշգրտությունը </w:t>
      </w:r>
      <w:r w:rsidR="00C54D75">
        <w:rPr>
          <w:rFonts w:ascii="Sylfaen" w:hAnsi="Sylfaen"/>
          <w:sz w:val="24"/>
          <w:szCs w:val="24"/>
        </w:rPr>
        <w:t>և</w:t>
      </w:r>
      <w:r w:rsidRPr="003B2786">
        <w:rPr>
          <w:rFonts w:ascii="Sylfaen" w:hAnsi="Sylfaen"/>
          <w:sz w:val="24"/>
          <w:szCs w:val="24"/>
        </w:rPr>
        <w:t xml:space="preserve"> համառոտությունը (արդյունքների քննարկումը հաճախ բնութագրվում է ընդարձակ արտա</w:t>
      </w:r>
      <w:r w:rsidR="00877348">
        <w:rPr>
          <w:rFonts w:ascii="Sylfaen" w:hAnsi="Sylfaen"/>
          <w:sz w:val="24"/>
          <w:szCs w:val="24"/>
        </w:rPr>
        <w:t>հայտ</w:t>
      </w:r>
      <w:r w:rsidRPr="003B2786">
        <w:rPr>
          <w:rFonts w:ascii="Sylfaen" w:hAnsi="Sylfaen"/>
          <w:sz w:val="24"/>
          <w:szCs w:val="24"/>
        </w:rPr>
        <w:t xml:space="preserve">ություններով </w:t>
      </w:r>
      <w:r w:rsidR="00C54D75">
        <w:rPr>
          <w:rFonts w:ascii="Sylfaen" w:hAnsi="Sylfaen"/>
          <w:sz w:val="24"/>
          <w:szCs w:val="24"/>
        </w:rPr>
        <w:t>և</w:t>
      </w:r>
      <w:r w:rsidRPr="003B2786">
        <w:rPr>
          <w:rFonts w:ascii="Sylfaen" w:hAnsi="Sylfaen"/>
          <w:sz w:val="24"/>
          <w:szCs w:val="24"/>
        </w:rPr>
        <w:t xml:space="preserve"> բազմաբառությամբ, սակայն տվյալների իրական իմաստը չի հասցվում կարդացողին):</w:t>
      </w:r>
    </w:p>
    <w:p w14:paraId="074584A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Յուրաքանչյուր բաժնի վերաբերյալ արդյունքները քննարկելիս դիտարկման են ենթակա հետ</w:t>
      </w:r>
      <w:r w:rsidR="00C54D75">
        <w:rPr>
          <w:rFonts w:ascii="Sylfaen" w:hAnsi="Sylfaen"/>
          <w:sz w:val="24"/>
          <w:szCs w:val="24"/>
        </w:rPr>
        <w:t>և</w:t>
      </w:r>
      <w:r w:rsidRPr="003B2786">
        <w:rPr>
          <w:rFonts w:ascii="Sylfaen" w:hAnsi="Sylfaen"/>
          <w:sz w:val="24"/>
          <w:szCs w:val="24"/>
        </w:rPr>
        <w:t>յալ հարցերը՝</w:t>
      </w:r>
    </w:p>
    <w:p w14:paraId="10FECBAB"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lastRenderedPageBreak/>
        <w:t>վեր</w:t>
      </w:r>
      <w:r w:rsidR="00C54D75">
        <w:rPr>
          <w:rFonts w:ascii="Sylfaen" w:hAnsi="Sylfaen"/>
          <w:sz w:val="24"/>
          <w:szCs w:val="24"/>
        </w:rPr>
        <w:t>և</w:t>
      </w:r>
      <w:r w:rsidRPr="003B2786">
        <w:rPr>
          <w:rFonts w:ascii="Sylfaen" w:hAnsi="Sylfaen"/>
          <w:sz w:val="24"/>
          <w:szCs w:val="24"/>
        </w:rPr>
        <w:t>ում շարադրված առավել կար</w:t>
      </w:r>
      <w:r w:rsidR="00C54D75">
        <w:rPr>
          <w:rFonts w:ascii="Sylfaen" w:hAnsi="Sylfaen"/>
          <w:sz w:val="24"/>
          <w:szCs w:val="24"/>
        </w:rPr>
        <w:t>և</w:t>
      </w:r>
      <w:r w:rsidRPr="003B2786">
        <w:rPr>
          <w:rFonts w:ascii="Sylfaen" w:hAnsi="Sylfaen"/>
          <w:sz w:val="24"/>
          <w:szCs w:val="24"/>
        </w:rPr>
        <w:t xml:space="preserve">որ եզրահանգումները </w:t>
      </w:r>
      <w:r w:rsidR="00C54D75">
        <w:rPr>
          <w:rFonts w:ascii="Sylfaen" w:hAnsi="Sylfaen"/>
          <w:sz w:val="24"/>
          <w:szCs w:val="24"/>
        </w:rPr>
        <w:t>և</w:t>
      </w:r>
      <w:r w:rsidRPr="003B2786">
        <w:rPr>
          <w:rFonts w:ascii="Sylfaen" w:hAnsi="Sylfaen"/>
          <w:sz w:val="24"/>
          <w:szCs w:val="24"/>
        </w:rPr>
        <w:t xml:space="preserve"> թերությունները (արդյունքների վերաշարադրում չի թույլատրվում): Անհրաժեշտ է ներկայացնել արդյունքների համաձայնեցվածության ամփոփումը </w:t>
      </w:r>
      <w:r w:rsidR="00C54D75">
        <w:rPr>
          <w:rFonts w:ascii="Sylfaen" w:hAnsi="Sylfaen"/>
          <w:sz w:val="24"/>
          <w:szCs w:val="24"/>
        </w:rPr>
        <w:t>և</w:t>
      </w:r>
      <w:r w:rsidRPr="003B2786">
        <w:rPr>
          <w:rFonts w:ascii="Sylfaen" w:hAnsi="Sylfaen"/>
          <w:sz w:val="24"/>
          <w:szCs w:val="24"/>
        </w:rPr>
        <w:t xml:space="preserve"> ընդհանրացնել յուրաքանչյուր եզրակացության առկա եզրահանգումները,</w:t>
      </w:r>
    </w:p>
    <w:p w14:paraId="19D8202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ներկայացված տվյալների համապատասխանությունը (անհամապատասխանությունը) առկա պահանջներին, </w:t>
      </w:r>
    </w:p>
    <w:p w14:paraId="135691D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ծագած հիմնական հարցերը, </w:t>
      </w:r>
      <w:r w:rsidR="00C54D75">
        <w:rPr>
          <w:rFonts w:ascii="Sylfaen" w:hAnsi="Sylfaen"/>
          <w:sz w:val="24"/>
          <w:szCs w:val="24"/>
        </w:rPr>
        <w:t>և</w:t>
      </w:r>
      <w:r w:rsidRPr="003B2786">
        <w:rPr>
          <w:rFonts w:ascii="Sylfaen" w:hAnsi="Sylfaen"/>
          <w:sz w:val="24"/>
          <w:szCs w:val="24"/>
        </w:rPr>
        <w:t xml:space="preserve"> ինչ ծավալով դրանք պետք է լուծվեն,</w:t>
      </w:r>
    </w:p>
    <w:p w14:paraId="7B25FA36"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քննարկման ենթակա կար</w:t>
      </w:r>
      <w:r w:rsidR="00C54D75">
        <w:rPr>
          <w:rFonts w:ascii="Sylfaen" w:hAnsi="Sylfaen"/>
          <w:sz w:val="24"/>
          <w:szCs w:val="24"/>
        </w:rPr>
        <w:t>և</w:t>
      </w:r>
      <w:r w:rsidRPr="003B2786">
        <w:rPr>
          <w:rFonts w:ascii="Sylfaen" w:hAnsi="Sylfaen"/>
          <w:sz w:val="24"/>
          <w:szCs w:val="24"/>
        </w:rPr>
        <w:t xml:space="preserve">որ հարցերը, որոնք ենթակա են անդամ պետության լիազորված փորձագիտական կազմակերպության փորձագետների ընդլայնված կազմի կողմից քննման, </w:t>
      </w:r>
    </w:p>
    <w:p w14:paraId="7AFCD54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ինչպիսի տեղեկատվություն պետք է արտացոլվի բժշկական կիրառման դեղապատրաստուկի ընդհանուր բնութագրում </w:t>
      </w:r>
      <w:r w:rsidR="00C54D75">
        <w:rPr>
          <w:rFonts w:ascii="Sylfaen" w:hAnsi="Sylfaen"/>
          <w:sz w:val="24"/>
          <w:szCs w:val="24"/>
        </w:rPr>
        <w:t>և</w:t>
      </w:r>
      <w:r w:rsidRPr="003B2786">
        <w:rPr>
          <w:rFonts w:ascii="Sylfaen" w:hAnsi="Sylfaen"/>
          <w:sz w:val="24"/>
          <w:szCs w:val="24"/>
        </w:rPr>
        <w:t xml:space="preserve"> եզրակացությունում,</w:t>
      </w:r>
    </w:p>
    <w:p w14:paraId="508F5278"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ինչպիսի առանցքային եզրահանգումներ (կամ անորորշություններ) պետք է մտնեն օգուտ-ռիսկ հարաբերակցության ամփոփման մեջ:</w:t>
      </w:r>
    </w:p>
    <w:p w14:paraId="255BB6AA" w14:textId="77777777" w:rsidR="008C76E0" w:rsidRPr="003B2786" w:rsidRDefault="008C76E0" w:rsidP="002C4B5D">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4.11.1.1.</w:t>
      </w:r>
      <w:r w:rsidRPr="003B2786">
        <w:rPr>
          <w:rFonts w:ascii="Sylfaen" w:hAnsi="Sylfaen"/>
          <w:sz w:val="24"/>
          <w:szCs w:val="24"/>
        </w:rPr>
        <w:tab/>
        <w:t>Քննարկման համար կոնկրետ հարցեր:</w:t>
      </w:r>
    </w:p>
    <w:p w14:paraId="4A7B4EE8" w14:textId="77777777" w:rsidR="008C76E0" w:rsidRPr="003B2786" w:rsidRDefault="008C76E0" w:rsidP="002C4B5D">
      <w:pPr>
        <w:spacing w:after="160" w:line="360" w:lineRule="auto"/>
        <w:ind w:firstLine="567"/>
        <w:jc w:val="both"/>
        <w:rPr>
          <w:rFonts w:ascii="Sylfaen" w:hAnsi="Sylfaen"/>
          <w:sz w:val="24"/>
          <w:szCs w:val="24"/>
        </w:rPr>
      </w:pPr>
      <w:r w:rsidRPr="003B2786">
        <w:rPr>
          <w:rFonts w:ascii="Sylfaen" w:hAnsi="Sylfaen"/>
          <w:sz w:val="24"/>
          <w:szCs w:val="24"/>
        </w:rPr>
        <w:t>Դեղապատրաստուկի ազդեցությունը պացիենտի վրա` բնակչության առաջարկվող թիրախային խմբի վերաբերյալ անվտանգության մասով տվյալների բազայում որ</w:t>
      </w:r>
      <w:r w:rsidR="00C54D75">
        <w:rPr>
          <w:rFonts w:ascii="Sylfaen" w:hAnsi="Sylfaen"/>
          <w:sz w:val="24"/>
          <w:szCs w:val="24"/>
        </w:rPr>
        <w:t>և</w:t>
      </w:r>
      <w:r w:rsidRPr="003B2786">
        <w:rPr>
          <w:rFonts w:ascii="Sylfaen" w:hAnsi="Sylfaen"/>
          <w:sz w:val="24"/>
          <w:szCs w:val="24"/>
        </w:rPr>
        <w:t>է սահմանափակման նկարագրություն:</w:t>
      </w:r>
    </w:p>
    <w:p w14:paraId="778EE82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Ինչպիսի եզրահանգումներ (կամ տեղեկատվության բացակայության վերաբերյալ տեղեկություններ) են արտացոլված բժշկական կիրառման դեղապատրաստուկի ընդհանուր բնութագրում: Անհրաժեշտ է համոզվել բժշկական կիրառման դեղապատրաստուկի համառոտ բնութագրում նշված տեղեկություններին տվյալների համապատասխանության մեջ (օրինակ՝ կախված հանգամանքներից՝ 4.3 «Հակացուցումներ», 4.4 «Հատուկ նշումներ», 4.7 «Ազդեցությունն ավտոմեքենա վարելու </w:t>
      </w:r>
      <w:r w:rsidR="00C54D75">
        <w:rPr>
          <w:rFonts w:ascii="Sylfaen" w:hAnsi="Sylfaen"/>
          <w:sz w:val="24"/>
          <w:szCs w:val="24"/>
        </w:rPr>
        <w:t>և</w:t>
      </w:r>
      <w:r w:rsidRPr="003B2786">
        <w:rPr>
          <w:rFonts w:ascii="Sylfaen" w:hAnsi="Sylfaen"/>
          <w:sz w:val="24"/>
          <w:szCs w:val="24"/>
        </w:rPr>
        <w:t xml:space="preserve"> մեխանիկական միջոցներ օգտագործելու ունակության վրա», 4.8 «Անցանկալի ազդեցությունները», 4.9 «Գերդոզավորումը» </w:t>
      </w:r>
      <w:r w:rsidRPr="003B2786">
        <w:rPr>
          <w:rFonts w:ascii="Sylfaen" w:hAnsi="Sylfaen"/>
          <w:sz w:val="24"/>
          <w:szCs w:val="24"/>
        </w:rPr>
        <w:lastRenderedPageBreak/>
        <w:t xml:space="preserve">բաժինները) </w:t>
      </w:r>
      <w:r w:rsidR="00C54D75">
        <w:rPr>
          <w:rFonts w:ascii="Sylfaen" w:hAnsi="Sylfaen"/>
          <w:sz w:val="24"/>
          <w:szCs w:val="24"/>
        </w:rPr>
        <w:t>և</w:t>
      </w:r>
      <w:r w:rsidRPr="003B2786">
        <w:rPr>
          <w:rFonts w:ascii="Sylfaen" w:hAnsi="Sylfaen"/>
          <w:sz w:val="24"/>
          <w:szCs w:val="24"/>
        </w:rPr>
        <w:t xml:space="preserve"> այդ թվում, որ բժշկական կիրառման դեղապատրաստուկի համառոտ բնութագրի ողջ տեղեկատվությունը ենթարկվել է պատշաճ փորձաքննության </w:t>
      </w:r>
      <w:r w:rsidR="00C54D75">
        <w:rPr>
          <w:rFonts w:ascii="Sylfaen" w:hAnsi="Sylfaen"/>
          <w:sz w:val="24"/>
          <w:szCs w:val="24"/>
        </w:rPr>
        <w:t>և</w:t>
      </w:r>
      <w:r w:rsidRPr="003B2786">
        <w:rPr>
          <w:rFonts w:ascii="Sylfaen" w:hAnsi="Sylfaen"/>
          <w:sz w:val="24"/>
          <w:szCs w:val="24"/>
        </w:rPr>
        <w:t xml:space="preserve"> գիտական վերլուծության:</w:t>
      </w:r>
    </w:p>
    <w:p w14:paraId="406C2FA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Դեղապատրաստուկի անվտանգության պրոֆիլի </w:t>
      </w:r>
      <w:r w:rsidR="00C54D75">
        <w:rPr>
          <w:rFonts w:ascii="Sylfaen" w:hAnsi="Sylfaen"/>
          <w:sz w:val="24"/>
          <w:szCs w:val="24"/>
        </w:rPr>
        <w:t>և</w:t>
      </w:r>
      <w:r w:rsidRPr="003B2786">
        <w:rPr>
          <w:rFonts w:ascii="Sylfaen" w:hAnsi="Sylfaen"/>
          <w:sz w:val="24"/>
          <w:szCs w:val="24"/>
        </w:rPr>
        <w:t xml:space="preserve"> անվտանգության ուսումնասիրված աստիճանի նկարագրությունը:</w:t>
      </w:r>
    </w:p>
    <w:p w14:paraId="116BEDDC" w14:textId="7711CE49"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պրոֆիլի համապատասխանությունը հետազոտությունների նախակլինիկական փուլում կանխատեսված անվտանգության պրոֆիլին </w:t>
      </w:r>
      <w:r w:rsidR="00C54D75">
        <w:rPr>
          <w:rFonts w:ascii="Sylfaen" w:hAnsi="Sylfaen"/>
          <w:sz w:val="24"/>
          <w:szCs w:val="24"/>
        </w:rPr>
        <w:t>և</w:t>
      </w:r>
      <w:r w:rsidRPr="003B2786">
        <w:rPr>
          <w:rFonts w:ascii="Sylfaen" w:hAnsi="Sylfaen"/>
          <w:sz w:val="24"/>
          <w:szCs w:val="24"/>
        </w:rPr>
        <w:t xml:space="preserve"> ազդեցությունների </w:t>
      </w:r>
      <w:r w:rsidR="005F6A31">
        <w:rPr>
          <w:rFonts w:ascii="Sylfaen" w:hAnsi="Sylfaen"/>
          <w:sz w:val="24"/>
          <w:szCs w:val="24"/>
        </w:rPr>
        <w:t>հայտնի</w:t>
      </w:r>
      <w:r w:rsidRPr="003B2786">
        <w:rPr>
          <w:rFonts w:ascii="Sylfaen" w:hAnsi="Sylfaen"/>
          <w:sz w:val="24"/>
          <w:szCs w:val="24"/>
        </w:rPr>
        <w:t xml:space="preserve"> դասերին:</w:t>
      </w:r>
    </w:p>
    <w:p w14:paraId="7490D78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Կիրառելի դեպքերում անհրաժեշտ է նկարագրել անվտանգության համապատասխան ասպեկտները, որոնք սպեցիֆիկ են երեխաների շրջանում պատրաստուկն ըստ տարիքային խմբերի կիրառելու համար ՝ այդ տվյալների </w:t>
      </w:r>
      <w:r w:rsidR="00C54D75">
        <w:rPr>
          <w:rFonts w:ascii="Sylfaen" w:hAnsi="Sylfaen"/>
          <w:sz w:val="24"/>
          <w:szCs w:val="24"/>
        </w:rPr>
        <w:t>և</w:t>
      </w:r>
      <w:r w:rsidRPr="003B2786">
        <w:rPr>
          <w:rFonts w:ascii="Sylfaen" w:hAnsi="Sylfaen"/>
          <w:sz w:val="24"/>
          <w:szCs w:val="24"/>
        </w:rPr>
        <w:t xml:space="preserve"> դեղապատրաստուկի համառոտ բնութագրում ներկայացված առաջարկությունների փոխկապակցվածության նշմամբ: Արդյոք առկա են որ</w:t>
      </w:r>
      <w:r w:rsidR="00C54D75">
        <w:rPr>
          <w:rFonts w:ascii="Sylfaen" w:hAnsi="Sylfaen"/>
          <w:sz w:val="24"/>
          <w:szCs w:val="24"/>
        </w:rPr>
        <w:t>և</w:t>
      </w:r>
      <w:r w:rsidRPr="003B2786">
        <w:rPr>
          <w:rFonts w:ascii="Sylfaen" w:hAnsi="Sylfaen"/>
          <w:sz w:val="24"/>
          <w:szCs w:val="24"/>
        </w:rPr>
        <w:t xml:space="preserve">է կոնկրետ (լուրջ) անցանկալի կողմնակի ռեակցիաներ </w:t>
      </w:r>
      <w:r w:rsidR="00C54D75">
        <w:rPr>
          <w:rFonts w:ascii="Sylfaen" w:hAnsi="Sylfaen"/>
          <w:sz w:val="24"/>
          <w:szCs w:val="24"/>
        </w:rPr>
        <w:t>և</w:t>
      </w:r>
      <w:r w:rsidRPr="003B2786">
        <w:rPr>
          <w:rFonts w:ascii="Sylfaen" w:hAnsi="Sylfaen"/>
          <w:sz w:val="24"/>
          <w:szCs w:val="24"/>
        </w:rPr>
        <w:t xml:space="preserve"> (կամ) մոնիթորինգի նկատմամբ պահանջներ:</w:t>
      </w:r>
    </w:p>
    <w:p w14:paraId="73A84DB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Արդյոք երկարաժամկետ հետազոտության տվյալները բավարար են: Արդյոք առկա են գրանցման հավաստագիրը տրամադրելուց հետո հաստատման ենթակա որ</w:t>
      </w:r>
      <w:r w:rsidR="00C54D75">
        <w:rPr>
          <w:rFonts w:ascii="Sylfaen" w:hAnsi="Sylfaen"/>
          <w:sz w:val="24"/>
          <w:szCs w:val="24"/>
        </w:rPr>
        <w:t>և</w:t>
      </w:r>
      <w:r w:rsidRPr="003B2786">
        <w:rPr>
          <w:rFonts w:ascii="Sylfaen" w:hAnsi="Sylfaen"/>
          <w:sz w:val="24"/>
          <w:szCs w:val="24"/>
        </w:rPr>
        <w:t xml:space="preserve">է չհաստատված տվյալներ, </w:t>
      </w:r>
      <w:r w:rsidR="00C54D75">
        <w:rPr>
          <w:rFonts w:ascii="Sylfaen" w:hAnsi="Sylfaen"/>
          <w:sz w:val="24"/>
          <w:szCs w:val="24"/>
        </w:rPr>
        <w:t>և</w:t>
      </w:r>
      <w:r w:rsidRPr="003B2786">
        <w:rPr>
          <w:rFonts w:ascii="Sylfaen" w:hAnsi="Sylfaen"/>
          <w:sz w:val="24"/>
          <w:szCs w:val="24"/>
        </w:rPr>
        <w:t xml:space="preserve"> արդյոք դա արտացոլված է բժշկական կիրառման դեղապատրաստուկի ընդհանուր բնութագրում: Արդյոք կա լրացուցիչ հետազոտությունների (հսկողական միջոցառումների) անցկացման անհրաժեշտություն գրանցման հավաստագիրը տրամադրելուց հետո:</w:t>
      </w:r>
    </w:p>
    <w:p w14:paraId="1ABB892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միանշանակ անհրաժեշտ է արտացոլել հետազոտության ստացված տվյալներն ընտրված չափանմուշային դեղապատրաստուկի հետ համեմատելու բնութագիրը:</w:t>
      </w:r>
    </w:p>
    <w:p w14:paraId="2789853F"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4.11.2.</w:t>
      </w:r>
      <w:r w:rsidRPr="003B2786">
        <w:rPr>
          <w:rFonts w:ascii="Sylfaen" w:hAnsi="Sylfaen"/>
          <w:sz w:val="24"/>
          <w:szCs w:val="24"/>
        </w:rPr>
        <w:tab/>
        <w:t>Կլինիկական անվտանգության վերաբերյալ եզրահանգումները:</w:t>
      </w:r>
    </w:p>
    <w:p w14:paraId="61C980D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պետք է ներկայացվեն հակիրճ եզրահանգումներ, որոնք հնարավոր է անել կլինիկական անվտանգության վերաբերյալ փաստաթղթերի </w:t>
      </w:r>
      <w:r w:rsidRPr="003B2786">
        <w:rPr>
          <w:rFonts w:ascii="Sylfaen" w:hAnsi="Sylfaen"/>
          <w:sz w:val="24"/>
          <w:szCs w:val="24"/>
        </w:rPr>
        <w:lastRenderedPageBreak/>
        <w:t xml:space="preserve">քննման հիման վրա (օրինակ՝ դեղամիջոցի նկատմամբ առավել հաճախակի հանդիպող անբարենպաստ ռեակցիաները </w:t>
      </w:r>
      <w:r w:rsidR="00C54D75">
        <w:rPr>
          <w:rFonts w:ascii="Sylfaen" w:hAnsi="Sylfaen"/>
          <w:sz w:val="24"/>
          <w:szCs w:val="24"/>
        </w:rPr>
        <w:t>և</w:t>
      </w:r>
      <w:r w:rsidRPr="003B2786">
        <w:rPr>
          <w:rFonts w:ascii="Sylfaen" w:hAnsi="Sylfaen"/>
          <w:sz w:val="24"/>
          <w:szCs w:val="24"/>
        </w:rPr>
        <w:t xml:space="preserve"> անվտանգությանը վերաբերող այլ էական հարցեր):</w:t>
      </w:r>
    </w:p>
    <w:p w14:paraId="0A600EAC"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Դեղազգոնությունը:</w:t>
      </w:r>
    </w:p>
    <w:p w14:paraId="221FA52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5.1.</w:t>
      </w:r>
      <w:r w:rsidRPr="003B2786">
        <w:rPr>
          <w:rFonts w:ascii="Sylfaen" w:hAnsi="Sylfaen"/>
          <w:sz w:val="24"/>
          <w:szCs w:val="24"/>
        </w:rPr>
        <w:tab/>
        <w:t>Դեղազգոնության համակարգը:</w:t>
      </w:r>
    </w:p>
    <w:p w14:paraId="33101D7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Գրանցման հավաստագրի ապագա իրավատերը պետք է ապահովի դեղազգոնության համակարգի առկայությունը </w:t>
      </w:r>
      <w:r w:rsidR="00C54D75">
        <w:rPr>
          <w:rFonts w:ascii="Sylfaen" w:hAnsi="Sylfaen"/>
          <w:sz w:val="24"/>
          <w:szCs w:val="24"/>
        </w:rPr>
        <w:t>և</w:t>
      </w:r>
      <w:r w:rsidRPr="003B2786">
        <w:rPr>
          <w:rFonts w:ascii="Sylfaen" w:hAnsi="Sylfaen"/>
          <w:sz w:val="24"/>
          <w:szCs w:val="24"/>
        </w:rPr>
        <w:t xml:space="preserve"> պատշաճ աշխատանքը մինչ արտադրանքի շուկայահանումը </w:t>
      </w:r>
      <w:r w:rsidR="00C54D75">
        <w:rPr>
          <w:rFonts w:ascii="Sylfaen" w:hAnsi="Sylfaen"/>
          <w:sz w:val="24"/>
          <w:szCs w:val="24"/>
        </w:rPr>
        <w:t>և</w:t>
      </w:r>
      <w:r w:rsidRPr="003B2786">
        <w:rPr>
          <w:rFonts w:ascii="Sylfaen" w:hAnsi="Sylfaen"/>
          <w:sz w:val="24"/>
          <w:szCs w:val="24"/>
        </w:rPr>
        <w:t xml:space="preserve"> դրա վաճառքի ողջ ժամանակահատվածում: </w:t>
      </w:r>
    </w:p>
    <w:p w14:paraId="0C464215" w14:textId="133B8CBB" w:rsidR="008C76E0" w:rsidRPr="003B2786" w:rsidRDefault="0056496B" w:rsidP="002C4B5D">
      <w:pPr>
        <w:spacing w:after="160" w:line="384"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ներկայացնում է փաստաթղթեր, որոնցում ներկայացված է դեղազգոնության համակարգի մանրամասն նկարագրությունը, </w:t>
      </w:r>
      <w:r w:rsidR="00C54D75">
        <w:rPr>
          <w:rFonts w:ascii="Sylfaen" w:hAnsi="Sylfaen"/>
          <w:sz w:val="24"/>
          <w:szCs w:val="24"/>
        </w:rPr>
        <w:t>և</w:t>
      </w:r>
      <w:r w:rsidR="008C76E0" w:rsidRPr="003B2786">
        <w:rPr>
          <w:rFonts w:ascii="Sylfaen" w:hAnsi="Sylfaen"/>
          <w:sz w:val="24"/>
          <w:szCs w:val="24"/>
        </w:rPr>
        <w:t xml:space="preserve"> </w:t>
      </w:r>
      <w:r>
        <w:rPr>
          <w:rFonts w:ascii="Sylfaen" w:hAnsi="Sylfaen"/>
          <w:sz w:val="24"/>
          <w:szCs w:val="24"/>
        </w:rPr>
        <w:t>դիմումատու</w:t>
      </w:r>
      <w:r w:rsidR="008C76E0" w:rsidRPr="003B2786">
        <w:rPr>
          <w:rFonts w:ascii="Sylfaen" w:hAnsi="Sylfaen"/>
          <w:sz w:val="24"/>
          <w:szCs w:val="24"/>
        </w:rPr>
        <w:t xml:space="preserve">ի </w:t>
      </w:r>
      <w:r w:rsidR="00C54D75">
        <w:rPr>
          <w:rFonts w:ascii="Sylfaen" w:hAnsi="Sylfaen"/>
          <w:sz w:val="24"/>
          <w:szCs w:val="24"/>
        </w:rPr>
        <w:t>և</w:t>
      </w:r>
      <w:r w:rsidR="008C76E0" w:rsidRPr="003B2786">
        <w:rPr>
          <w:rFonts w:ascii="Sylfaen" w:hAnsi="Sylfaen"/>
          <w:sz w:val="24"/>
          <w:szCs w:val="24"/>
        </w:rPr>
        <w:t xml:space="preserve"> դեղազգոնության մասով որակավորված մասնագետի կողմից ստորագրված </w:t>
      </w:r>
      <w:r>
        <w:rPr>
          <w:rFonts w:ascii="Sylfaen" w:hAnsi="Sylfaen"/>
          <w:sz w:val="24"/>
          <w:szCs w:val="24"/>
        </w:rPr>
        <w:t>դիմում</w:t>
      </w:r>
      <w:r w:rsidR="008C76E0" w:rsidRPr="003B2786">
        <w:rPr>
          <w:rFonts w:ascii="Sylfaen" w:hAnsi="Sylfaen"/>
          <w:sz w:val="24"/>
          <w:szCs w:val="24"/>
        </w:rPr>
        <w:t xml:space="preserve">՝ նշելով, որ </w:t>
      </w:r>
      <w:r>
        <w:rPr>
          <w:rFonts w:ascii="Sylfaen" w:hAnsi="Sylfaen"/>
          <w:sz w:val="24"/>
          <w:szCs w:val="24"/>
        </w:rPr>
        <w:t>դիմումատու</w:t>
      </w:r>
      <w:r w:rsidR="008C76E0" w:rsidRPr="003B2786">
        <w:rPr>
          <w:rFonts w:ascii="Sylfaen" w:hAnsi="Sylfaen"/>
          <w:sz w:val="24"/>
          <w:szCs w:val="24"/>
        </w:rPr>
        <w:t xml:space="preserve">ն օգտվում է դեղազգոնության համար պատասխանատու որակավորված մասնագետի ծառայություններից </w:t>
      </w:r>
      <w:r w:rsidR="00C54D75">
        <w:rPr>
          <w:rFonts w:ascii="Sylfaen" w:hAnsi="Sylfaen"/>
          <w:sz w:val="24"/>
          <w:szCs w:val="24"/>
        </w:rPr>
        <w:t>և</w:t>
      </w:r>
      <w:r w:rsidR="008C76E0" w:rsidRPr="003B2786">
        <w:rPr>
          <w:rFonts w:ascii="Sylfaen" w:hAnsi="Sylfaen"/>
          <w:sz w:val="24"/>
          <w:szCs w:val="24"/>
        </w:rPr>
        <w:t xml:space="preserve"> իր տրամադրության տակ ունի անհրաժեշտ միջոցներ՝ որ</w:t>
      </w:r>
      <w:r w:rsidR="00C54D75">
        <w:rPr>
          <w:rFonts w:ascii="Sylfaen" w:hAnsi="Sylfaen"/>
          <w:sz w:val="24"/>
          <w:szCs w:val="24"/>
        </w:rPr>
        <w:t>և</w:t>
      </w:r>
      <w:r w:rsidR="008C76E0" w:rsidRPr="003B2786">
        <w:rPr>
          <w:rFonts w:ascii="Sylfaen" w:hAnsi="Sylfaen"/>
          <w:sz w:val="24"/>
          <w:szCs w:val="24"/>
        </w:rPr>
        <w:t xml:space="preserve">է անցանկալի ռեակցիաների մասին ծանուցելու համար, որոնք կարող են </w:t>
      </w:r>
      <w:r w:rsidR="00FE4A71">
        <w:rPr>
          <w:rFonts w:ascii="Sylfaen" w:hAnsi="Sylfaen"/>
          <w:sz w:val="24"/>
          <w:szCs w:val="24"/>
        </w:rPr>
        <w:t xml:space="preserve">հայտնաբերվել </w:t>
      </w:r>
      <w:r w:rsidR="008C76E0" w:rsidRPr="003B2786">
        <w:rPr>
          <w:rFonts w:ascii="Sylfaen" w:hAnsi="Sylfaen"/>
          <w:sz w:val="24"/>
          <w:szCs w:val="24"/>
        </w:rPr>
        <w:t xml:space="preserve"> կա՛մ անդամ պետություններում, կա՛մ երրորդ երկրներում:</w:t>
      </w:r>
    </w:p>
    <w:p w14:paraId="7E61E4C9" w14:textId="77777777" w:rsidR="008C76E0" w:rsidRPr="003B2786" w:rsidRDefault="008C76E0" w:rsidP="002C4B5D">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5.1.1.</w:t>
      </w:r>
      <w:r w:rsidRPr="003B2786">
        <w:rPr>
          <w:rFonts w:ascii="Sylfaen" w:hAnsi="Sylfaen"/>
          <w:sz w:val="24"/>
          <w:szCs w:val="24"/>
        </w:rPr>
        <w:tab/>
        <w:t>Գնահատման մասով փորձագետի կողմից քննարկման ենթակա առանցքային հարցերը:</w:t>
      </w:r>
    </w:p>
    <w:p w14:paraId="0C92E5F7"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ներկայացված են համակարգի՝ Միության պատշաճ դեղազգոնության գործունեության կանոնների մեջ նշված տարբեր տարրերը </w:t>
      </w:r>
      <w:r w:rsidR="00C54D75">
        <w:rPr>
          <w:rFonts w:ascii="Sylfaen" w:hAnsi="Sylfaen"/>
          <w:sz w:val="24"/>
          <w:szCs w:val="24"/>
        </w:rPr>
        <w:t>և</w:t>
      </w:r>
      <w:r w:rsidRPr="003B2786">
        <w:rPr>
          <w:rFonts w:ascii="Sylfaen" w:hAnsi="Sylfaen"/>
          <w:sz w:val="24"/>
          <w:szCs w:val="24"/>
        </w:rPr>
        <w:t xml:space="preserve"> եթե ոչ, ապա որքանո՞վ է հիմնավորված դրանց բացակայությունը: Արդյո՞ք համակարգի բացակայող տարրերը կամ տարրերը, որոնք նշված են որպես ներդրման համար պլանավորված (ենթակա ներդրման մինչ արտադրանքի շուկայահանումը), քննվել են պատշաճ կարգով, </w:t>
      </w:r>
      <w:r w:rsidR="00C54D75">
        <w:rPr>
          <w:rFonts w:ascii="Sylfaen" w:hAnsi="Sylfaen"/>
          <w:sz w:val="24"/>
          <w:szCs w:val="24"/>
        </w:rPr>
        <w:t>և</w:t>
      </w:r>
      <w:r w:rsidRPr="003B2786">
        <w:rPr>
          <w:rFonts w:ascii="Sylfaen" w:hAnsi="Sylfaen"/>
          <w:sz w:val="24"/>
          <w:szCs w:val="24"/>
        </w:rPr>
        <w:t xml:space="preserve"> արդյո՞ք դրանք ենթակա են հետագա հսկողական միջոցառումների օբյեկտների ցանկում ներառման (որքանով են իրական տվյալ պարտավորությունները):</w:t>
      </w:r>
    </w:p>
    <w:p w14:paraId="7A8CDA6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Արդյո՞ք տվյալ արտադրանքը առաջին արտադրանքն է, որն ընկերությունը պլանավորում է շուկայահանել, </w:t>
      </w:r>
      <w:r w:rsidR="00C54D75">
        <w:rPr>
          <w:rFonts w:ascii="Sylfaen" w:hAnsi="Sylfaen"/>
          <w:sz w:val="24"/>
          <w:szCs w:val="24"/>
        </w:rPr>
        <w:t>և</w:t>
      </w:r>
      <w:r w:rsidRPr="003B2786">
        <w:rPr>
          <w:rFonts w:ascii="Sylfaen" w:hAnsi="Sylfaen"/>
          <w:sz w:val="24"/>
          <w:szCs w:val="24"/>
        </w:rPr>
        <w:t xml:space="preserve"> ինչպիսի՞ն է դրա պատրաստ լինելու աստիճանը: Եթե դա առաջին արտադրանքը չէ, արդյոք առկա են տեղեկություններ, որոնք վերաբերում են անվտանգության վերաբերյալ անհատական հաշվետվություններում կամ այլ պատրաստուկների կիրառման անվտանության վերաբերյալ պարբերական հաշվետվություններում անհրաժեշտ նորմերը պահպանելու խնդրահարույց հարցերին (այլ կերպ ասած՝ արդյոք ընկերության կողմից կիրառվող համակարգում առկա են ոչ պատշաճ գործունեության նշաններ): </w:t>
      </w:r>
    </w:p>
    <w:p w14:paraId="08A422B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առկա են դեղազգոնության համակարգի նախորդ տեսչական ստուգումների՝ մասնավորապես խնդիրների առկայության մասին վկայող տվյալները, կամ այդ տվյալները բացակայում են (որպես կանոն, դա կիրառելի է մոտ ապագայի համար, սակայն ժամանակի ընթացքում կորցնում է իր արդիականությունը):</w:t>
      </w:r>
    </w:p>
    <w:p w14:paraId="1BD4E3C2"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Կարելի՞ է արդյոք դեղազգոնության նկարագրված համակարգի մասին դատել որպես համակարգ, որն ունակ է տվյալ պատրաստուկի մասով կատարել անվտանգության վերաբերյալ հաշվետվությունների կանխատեսվող ծավալի մշակում, թե այն թվում է «չափազանց փոքրամասշտաբ»՝ նման մշակում ապահովելու համար: Արդյո՞ք պատրաստուկը գրանցման հավաստագրի իրավատիրոջ նախորդ պատրաստուկների համեմատ բնութագրվում է օգուտ-ռիսկ հարաբերակցության ավելի բարձր ցուցանիշով:</w:t>
      </w:r>
    </w:p>
    <w:p w14:paraId="5132471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ընկերության գործունեության կազմակերպումը ներառում է ենթակապալառուների </w:t>
      </w:r>
      <w:r w:rsidR="00C54D75">
        <w:rPr>
          <w:rFonts w:ascii="Sylfaen" w:hAnsi="Sylfaen"/>
          <w:sz w:val="24"/>
          <w:szCs w:val="24"/>
        </w:rPr>
        <w:t>և</w:t>
      </w:r>
      <w:r w:rsidRPr="003B2786">
        <w:rPr>
          <w:rFonts w:ascii="Sylfaen" w:hAnsi="Sylfaen"/>
          <w:sz w:val="24"/>
          <w:szCs w:val="24"/>
        </w:rPr>
        <w:t xml:space="preserve"> լիցենզավորման գծով գործընկերների </w:t>
      </w:r>
      <w:r w:rsidR="00C54D75">
        <w:rPr>
          <w:rFonts w:ascii="Sylfaen" w:hAnsi="Sylfaen"/>
          <w:sz w:val="24"/>
          <w:szCs w:val="24"/>
        </w:rPr>
        <w:t>և</w:t>
      </w:r>
      <w:r w:rsidRPr="003B2786">
        <w:rPr>
          <w:rFonts w:ascii="Sylfaen" w:hAnsi="Sylfaen"/>
          <w:sz w:val="24"/>
          <w:szCs w:val="24"/>
        </w:rPr>
        <w:t xml:space="preserve"> այլնի բարդ համալիր, այսինքն՝ բազմաթիվ ստորաբաժանումներով համակարգ (հաճախ դրանք կազմակերպչական գործընթացի ամենաթույլ կողմերն են):</w:t>
      </w:r>
    </w:p>
    <w:p w14:paraId="10DD3CD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ընկերությունը վերջերս ենթարկվել է միաձուլման:</w:t>
      </w:r>
    </w:p>
    <w:p w14:paraId="127463B2"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լիցենզիոն գործունեությունը բնութագրվում է պատրաստուկի բարձր սպեցիֆիկությամբ (ինչը ենթադրում է ստուգումների բացակայություն, նույնիսկ եթե խոսքը գնում է լավ կազմակերպված ընկերությունների </w:t>
      </w:r>
      <w:r w:rsidRPr="003B2786">
        <w:rPr>
          <w:rFonts w:ascii="Sylfaen" w:hAnsi="Sylfaen"/>
          <w:sz w:val="24"/>
          <w:szCs w:val="24"/>
        </w:rPr>
        <w:lastRenderedPageBreak/>
        <w:t>(ենթակապալառուների) մասին):</w:t>
      </w:r>
    </w:p>
    <w:p w14:paraId="162157BE"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տվյալ տեղեկատվությունը գոյություն ունեցող համակարգի նկարագրություն է, թե համակարգի, որի ներդնումը պլանավորվում է պատրաստուկը շուկայում իրացնելու համար թույլտվություն տալիս (դա, ամենայն հավանականությամբ, կիրառելի կլինի առաջին կամ բոլորովին նոր արտադրանքների կամ էլ տարբեր լիցենզիոն համաձայնագրերի նկատմամբ):</w:t>
      </w:r>
    </w:p>
    <w:p w14:paraId="182FD0B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տվյալ նկարագրությունը զգալի փոփոխություն է գոյություն ունեցող համակարգում:</w:t>
      </w:r>
    </w:p>
    <w:p w14:paraId="7D66DB4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ենթակապալառուների շրջանում կազմակերպվել է որակավորված մասնագետի աշխատանքը: Եթե այո, ապա կա՞ն արդյոք ինչ-որ նշաններ, որ տվյալ ենթակապալառուն ազդում է դեղազգոնության համակարգի վրա:</w:t>
      </w:r>
    </w:p>
    <w:p w14:paraId="6DF690EC" w14:textId="53F03FF0"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Կա՞ արդյոք այլ տեղեկատվություն, որը կասկածի տակ է դնում նկարագրված համակարգի համապատասխանությունն առկա պահանջներին (օրինակ՝ այլ մարմիններից ստացված տեղեկատվություն, կոնկրետ ենթակապալառուի, ծրագրային ապահովման հետ կապված </w:t>
      </w:r>
      <w:r w:rsidR="005F6A31">
        <w:rPr>
          <w:rFonts w:ascii="Sylfaen" w:hAnsi="Sylfaen"/>
          <w:sz w:val="24"/>
          <w:szCs w:val="24"/>
        </w:rPr>
        <w:t>հայտնի</w:t>
      </w:r>
      <w:r w:rsidRPr="003B2786">
        <w:rPr>
          <w:rFonts w:ascii="Sylfaen" w:hAnsi="Sylfaen"/>
          <w:sz w:val="24"/>
          <w:szCs w:val="24"/>
        </w:rPr>
        <w:t xml:space="preserve"> խնդիրներ </w:t>
      </w:r>
      <w:r w:rsidR="00C54D75">
        <w:rPr>
          <w:rFonts w:ascii="Sylfaen" w:hAnsi="Sylfaen"/>
          <w:sz w:val="24"/>
          <w:szCs w:val="24"/>
        </w:rPr>
        <w:t>և</w:t>
      </w:r>
      <w:r w:rsidRPr="003B2786">
        <w:rPr>
          <w:rFonts w:ascii="Sylfaen" w:hAnsi="Sylfaen"/>
          <w:sz w:val="24"/>
          <w:szCs w:val="24"/>
        </w:rPr>
        <w:t xml:space="preserve"> այլն):</w:t>
      </w:r>
    </w:p>
    <w:p w14:paraId="2722AA0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պատրաստուկը շուկա բաց թողնելուց անմիջապես հետո առաջարկվել է դեղազգոնության համակարգի տեսչական ստուգում՝ նշված անհամապատասխանություններից մի քանիսը վերացնելու նպատակով: </w:t>
      </w:r>
    </w:p>
    <w:p w14:paraId="77E228A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Առաջացող այլ հարցեր:</w:t>
      </w:r>
    </w:p>
    <w:p w14:paraId="3A3EABDE" w14:textId="3C55F095"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Հաշվետվության բովանդակության մեջ կարող են ներառվել հետ</w:t>
      </w:r>
      <w:r w:rsidR="00C54D75">
        <w:rPr>
          <w:rFonts w:ascii="Sylfaen" w:hAnsi="Sylfaen"/>
          <w:sz w:val="24"/>
          <w:szCs w:val="24"/>
        </w:rPr>
        <w:t>և</w:t>
      </w:r>
      <w:r w:rsidRPr="003B2786">
        <w:rPr>
          <w:rFonts w:ascii="Sylfaen" w:hAnsi="Sylfaen"/>
          <w:sz w:val="24"/>
          <w:szCs w:val="24"/>
        </w:rPr>
        <w:t xml:space="preserve">յալ </w:t>
      </w:r>
      <w:r w:rsidR="009F5829">
        <w:rPr>
          <w:rFonts w:ascii="Sylfaen" w:hAnsi="Sylfaen"/>
          <w:sz w:val="24"/>
          <w:szCs w:val="24"/>
        </w:rPr>
        <w:t>դիմումներ</w:t>
      </w:r>
      <w:r w:rsidRPr="003B2786">
        <w:rPr>
          <w:rFonts w:ascii="Sylfaen" w:hAnsi="Sylfaen"/>
          <w:sz w:val="24"/>
          <w:szCs w:val="24"/>
        </w:rPr>
        <w:t>ը՝</w:t>
      </w:r>
    </w:p>
    <w:p w14:paraId="115440CA" w14:textId="487F1721" w:rsidR="008C76E0" w:rsidRPr="003B2786" w:rsidRDefault="0056496B" w:rsidP="00262653">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ներկայացրել է փաստաթղթեր, որոնցում շարադրված է դեղազգոնության համակարգի մանրամասն նկարագրությունը: Դեղազգոնության </w:t>
      </w:r>
      <w:r>
        <w:rPr>
          <w:rFonts w:ascii="Sylfaen" w:hAnsi="Sylfaen"/>
          <w:sz w:val="24"/>
          <w:szCs w:val="24"/>
        </w:rPr>
        <w:t>դիմում</w:t>
      </w:r>
      <w:r w:rsidR="008C76E0" w:rsidRPr="003B2786">
        <w:rPr>
          <w:rFonts w:ascii="Sylfaen" w:hAnsi="Sylfaen"/>
          <w:sz w:val="24"/>
          <w:szCs w:val="24"/>
        </w:rPr>
        <w:t xml:space="preserve">՝ ստորագրված </w:t>
      </w:r>
      <w:r>
        <w:rPr>
          <w:rFonts w:ascii="Sylfaen" w:hAnsi="Sylfaen"/>
          <w:sz w:val="24"/>
          <w:szCs w:val="24"/>
        </w:rPr>
        <w:t>դիմումատու</w:t>
      </w:r>
      <w:r w:rsidR="008C76E0" w:rsidRPr="003B2786">
        <w:rPr>
          <w:rFonts w:ascii="Sylfaen" w:hAnsi="Sylfaen"/>
          <w:sz w:val="24"/>
          <w:szCs w:val="24"/>
        </w:rPr>
        <w:t xml:space="preserve">ի </w:t>
      </w:r>
      <w:r w:rsidR="00C54D75">
        <w:rPr>
          <w:rFonts w:ascii="Sylfaen" w:hAnsi="Sylfaen"/>
          <w:sz w:val="24"/>
          <w:szCs w:val="24"/>
        </w:rPr>
        <w:t>և</w:t>
      </w:r>
      <w:r w:rsidR="008C76E0" w:rsidRPr="003B2786">
        <w:rPr>
          <w:rFonts w:ascii="Sylfaen" w:hAnsi="Sylfaen"/>
          <w:sz w:val="24"/>
          <w:szCs w:val="24"/>
        </w:rPr>
        <w:t xml:space="preserve"> լիազորված անձի կողմից, ընդ որում, դրանում նշված է, որ </w:t>
      </w:r>
      <w:r>
        <w:rPr>
          <w:rFonts w:ascii="Sylfaen" w:hAnsi="Sylfaen"/>
          <w:sz w:val="24"/>
          <w:szCs w:val="24"/>
        </w:rPr>
        <w:t>դիմումատու</w:t>
      </w:r>
      <w:r w:rsidR="008C76E0" w:rsidRPr="003B2786">
        <w:rPr>
          <w:rFonts w:ascii="Sylfaen" w:hAnsi="Sylfaen"/>
          <w:sz w:val="24"/>
          <w:szCs w:val="24"/>
        </w:rPr>
        <w:t xml:space="preserve">ին տրամադրվում են դեղազգոնության համար պատասխանատու լիազորված անձի ծառայությունները, </w:t>
      </w:r>
      <w:r w:rsidR="00C54D75">
        <w:rPr>
          <w:rFonts w:ascii="Sylfaen" w:hAnsi="Sylfaen"/>
          <w:sz w:val="24"/>
          <w:szCs w:val="24"/>
        </w:rPr>
        <w:t>և</w:t>
      </w:r>
      <w:r w:rsidR="008C76E0" w:rsidRPr="003B2786">
        <w:rPr>
          <w:rFonts w:ascii="Sylfaen" w:hAnsi="Sylfaen"/>
          <w:sz w:val="24"/>
          <w:szCs w:val="24"/>
        </w:rPr>
        <w:t xml:space="preserve"> տրամադրվել են անհրաժեշտ միջոցներ՝ անդամ պետություններում կամ երրորդ երկրում առաջացող </w:t>
      </w:r>
      <w:r w:rsidR="008C76E0" w:rsidRPr="003B2786">
        <w:rPr>
          <w:rFonts w:ascii="Sylfaen" w:hAnsi="Sylfaen"/>
          <w:sz w:val="24"/>
          <w:szCs w:val="24"/>
        </w:rPr>
        <w:lastRenderedPageBreak/>
        <w:t>ցանկացած անցանկալի ռեակցիայի մասին ծանուցելու համար,</w:t>
      </w:r>
    </w:p>
    <w:p w14:paraId="68463064" w14:textId="7EE814E8"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3B2786">
        <w:rPr>
          <w:rFonts w:ascii="Sylfaen" w:hAnsi="Sylfaen"/>
          <w:sz w:val="24"/>
          <w:szCs w:val="24"/>
        </w:rPr>
        <w:t xml:space="preserve">ի կողմից, բավարարում է պահանջներին </w:t>
      </w:r>
      <w:r w:rsidR="00C54D75">
        <w:rPr>
          <w:rFonts w:ascii="Sylfaen" w:hAnsi="Sylfaen"/>
          <w:sz w:val="24"/>
          <w:szCs w:val="24"/>
        </w:rPr>
        <w:t>և</w:t>
      </w:r>
      <w:r w:rsidRPr="003B2786">
        <w:rPr>
          <w:rFonts w:ascii="Sylfaen" w:hAnsi="Sylfaen"/>
          <w:sz w:val="24"/>
          <w:szCs w:val="24"/>
        </w:rPr>
        <w:t xml:space="preserve"> համապատասխան ապացույց է առ այն, որ </w:t>
      </w:r>
      <w:r w:rsidR="0056496B">
        <w:rPr>
          <w:rFonts w:ascii="Sylfaen" w:hAnsi="Sylfaen"/>
          <w:sz w:val="24"/>
          <w:szCs w:val="24"/>
        </w:rPr>
        <w:t>դիմումատու</w:t>
      </w:r>
      <w:r w:rsidRPr="003B2786">
        <w:rPr>
          <w:rFonts w:ascii="Sylfaen" w:hAnsi="Sylfaen"/>
          <w:sz w:val="24"/>
          <w:szCs w:val="24"/>
        </w:rPr>
        <w:t xml:space="preserve">ին տրամադրվում են դեղազգոնության համար պատասխանատու լիազորված անձի ծառայությունները, </w:t>
      </w:r>
      <w:r w:rsidR="00C54D75">
        <w:rPr>
          <w:rFonts w:ascii="Sylfaen" w:hAnsi="Sylfaen"/>
          <w:sz w:val="24"/>
          <w:szCs w:val="24"/>
        </w:rPr>
        <w:t>և</w:t>
      </w:r>
      <w:r w:rsidRPr="003B2786">
        <w:rPr>
          <w:rFonts w:ascii="Sylfaen" w:hAnsi="Sylfaen"/>
          <w:sz w:val="24"/>
          <w:szCs w:val="24"/>
        </w:rPr>
        <w:t xml:space="preserve"> առկա են անհրաժեշտ միջոցներ՝ անդամ պետություններում կամ երրորդ երկրում առաջացող ցանկացած ենթադրյալ անցանկալի ռեակցիայի մասին ծանուցելու համար: Եթե դեղազգոնության համակարգի նկարագրության մեջ կան չլուծված հարցեր, որոնք պետք է լուծել </w:t>
      </w:r>
      <w:r w:rsidR="00C54D75">
        <w:rPr>
          <w:rFonts w:ascii="Sylfaen" w:hAnsi="Sylfaen"/>
          <w:sz w:val="24"/>
          <w:szCs w:val="24"/>
        </w:rPr>
        <w:t>և</w:t>
      </w:r>
      <w:r w:rsidRPr="003B2786">
        <w:rPr>
          <w:rFonts w:ascii="Sylfaen" w:hAnsi="Sylfaen"/>
          <w:sz w:val="24"/>
          <w:szCs w:val="24"/>
        </w:rPr>
        <w:t xml:space="preserve"> կատարել մինչ դեղապատրաստուկը շուկայում իրացնելու համար բաց թողնելը, ապա դրանք պետք է հարցերի ցանկում նշվեն որպես հարցեր </w:t>
      </w:r>
      <w:r w:rsidR="00C54D75">
        <w:rPr>
          <w:rFonts w:ascii="Sylfaen" w:hAnsi="Sylfaen"/>
          <w:sz w:val="24"/>
          <w:szCs w:val="24"/>
        </w:rPr>
        <w:t>և</w:t>
      </w:r>
      <w:r w:rsidRPr="003B2786">
        <w:rPr>
          <w:rFonts w:ascii="Sylfaen" w:hAnsi="Sylfaen"/>
          <w:sz w:val="24"/>
          <w:szCs w:val="24"/>
        </w:rPr>
        <w:t xml:space="preserve"> (կամ) որպես հետագա հսկողական միջոցառումներ «Անվտանգության, որակի </w:t>
      </w:r>
      <w:r w:rsidR="00C54D75">
        <w:rPr>
          <w:rFonts w:ascii="Sylfaen" w:hAnsi="Sylfaen"/>
          <w:sz w:val="24"/>
          <w:szCs w:val="24"/>
        </w:rPr>
        <w:t>և</w:t>
      </w:r>
      <w:r w:rsidRPr="003B2786">
        <w:rPr>
          <w:rFonts w:ascii="Sylfaen" w:hAnsi="Sylfaen"/>
          <w:sz w:val="24"/>
          <w:szCs w:val="24"/>
        </w:rPr>
        <w:t xml:space="preserve"> արդյունավետության գնահատում» ամփոփ փորձագիտական հաշվետվության մոդուլում: Դեղազգոնության համակարգի նկարագրության մեջ թերություններ </w:t>
      </w:r>
      <w:r w:rsidR="0056496B">
        <w:rPr>
          <w:rFonts w:ascii="Sylfaen" w:hAnsi="Sylfaen"/>
          <w:sz w:val="24"/>
          <w:szCs w:val="24"/>
        </w:rPr>
        <w:t>դիմում</w:t>
      </w:r>
      <w:r w:rsidRPr="003B2786">
        <w:rPr>
          <w:rFonts w:ascii="Sylfaen" w:hAnsi="Sylfaen"/>
          <w:sz w:val="24"/>
          <w:szCs w:val="24"/>
        </w:rPr>
        <w:t xml:space="preserve">նաբերելիս կամ որակավորված մասնագետի </w:t>
      </w:r>
      <w:r w:rsidR="00C54D75">
        <w:rPr>
          <w:rFonts w:ascii="Sylfaen" w:hAnsi="Sylfaen"/>
          <w:sz w:val="24"/>
          <w:szCs w:val="24"/>
        </w:rPr>
        <w:t>և</w:t>
      </w:r>
      <w:r w:rsidRPr="003B2786">
        <w:rPr>
          <w:rFonts w:ascii="Sylfaen" w:hAnsi="Sylfaen"/>
          <w:sz w:val="24"/>
          <w:szCs w:val="24"/>
        </w:rPr>
        <w:t xml:space="preserve"> կողմնակի ռեակցիաների մասին հաղորդելու միջոցների բացակայության դեպքում, կախված թերությունների լրջությունից, հաշվետվության մեջ պետք է ներառվի հետ</w:t>
      </w:r>
      <w:r w:rsidR="00C54D75">
        <w:rPr>
          <w:rFonts w:ascii="Sylfaen" w:hAnsi="Sylfaen"/>
          <w:sz w:val="24"/>
          <w:szCs w:val="24"/>
        </w:rPr>
        <w:t>և</w:t>
      </w:r>
      <w:r w:rsidRPr="003B2786">
        <w:rPr>
          <w:rFonts w:ascii="Sylfaen" w:hAnsi="Sylfaen"/>
          <w:sz w:val="24"/>
          <w:szCs w:val="24"/>
        </w:rPr>
        <w:t>յալ կետերից մեկը՝</w:t>
      </w:r>
    </w:p>
    <w:p w14:paraId="67BB5035" w14:textId="5146B9D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փորձագետը համարում է, որ </w:t>
      </w:r>
      <w:r w:rsidR="0056496B">
        <w:rPr>
          <w:rFonts w:ascii="Sylfaen" w:hAnsi="Sylfaen"/>
          <w:sz w:val="24"/>
          <w:szCs w:val="24"/>
        </w:rPr>
        <w:t>դիմումատու</w:t>
      </w:r>
      <w:r w:rsidRPr="003B2786">
        <w:rPr>
          <w:rFonts w:ascii="Sylfaen" w:hAnsi="Sylfaen"/>
          <w:sz w:val="24"/>
          <w:szCs w:val="24"/>
        </w:rPr>
        <w:t>ի կողմից նկարագրված դեղազգոնության համակարգն ունի հետ</w:t>
      </w:r>
      <w:r w:rsidR="00C54D75">
        <w:rPr>
          <w:rFonts w:ascii="Sylfaen" w:hAnsi="Sylfaen"/>
          <w:sz w:val="24"/>
          <w:szCs w:val="24"/>
        </w:rPr>
        <w:t>և</w:t>
      </w:r>
      <w:r w:rsidRPr="003B2786">
        <w:rPr>
          <w:rFonts w:ascii="Sylfaen" w:hAnsi="Sylfaen"/>
          <w:sz w:val="24"/>
          <w:szCs w:val="24"/>
        </w:rPr>
        <w:t>յալ թերությունները, այսուհետ՝ թերությունների ցանկ,</w:t>
      </w:r>
    </w:p>
    <w:p w14:paraId="1800DFF7" w14:textId="0C514843"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հաշվի առնելով, որ թերությունները վերացվում են նախքան </w:t>
      </w:r>
      <w:r w:rsidR="0056496B">
        <w:rPr>
          <w:rFonts w:ascii="Sylfaen" w:hAnsi="Sylfaen"/>
          <w:sz w:val="24"/>
          <w:szCs w:val="24"/>
        </w:rPr>
        <w:t>դիմումատու</w:t>
      </w:r>
      <w:r w:rsidRPr="003B2786">
        <w:rPr>
          <w:rFonts w:ascii="Sylfaen" w:hAnsi="Sylfaen"/>
          <w:sz w:val="24"/>
          <w:szCs w:val="24"/>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sz w:val="24"/>
          <w:szCs w:val="24"/>
        </w:rPr>
        <w:t>դիմումատու</w:t>
      </w:r>
      <w:r w:rsidRPr="003B2786">
        <w:rPr>
          <w:rFonts w:ascii="Sylfaen" w:hAnsi="Sylfaen"/>
          <w:sz w:val="24"/>
          <w:szCs w:val="24"/>
        </w:rPr>
        <w:t xml:space="preserve">ն պետք է ներկայացնի համոզիչ տվյալներ առ այն, որ դեղազգոնության համակարգը ընդունված է </w:t>
      </w:r>
      <w:r w:rsidR="00C54D75">
        <w:rPr>
          <w:rFonts w:ascii="Sylfaen" w:hAnsi="Sylfaen"/>
          <w:sz w:val="24"/>
          <w:szCs w:val="24"/>
        </w:rPr>
        <w:t>և</w:t>
      </w:r>
      <w:r w:rsidRPr="003B2786">
        <w:rPr>
          <w:rFonts w:ascii="Sylfaen" w:hAnsi="Sylfaen"/>
          <w:sz w:val="24"/>
          <w:szCs w:val="24"/>
        </w:rPr>
        <w:t xml:space="preserve"> գործում է:</w:t>
      </w:r>
    </w:p>
    <w:p w14:paraId="749CD0FB"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5.2.</w:t>
      </w:r>
      <w:r w:rsidRPr="003B2786">
        <w:rPr>
          <w:rFonts w:ascii="Sylfaen" w:hAnsi="Sylfaen"/>
          <w:sz w:val="24"/>
          <w:szCs w:val="24"/>
        </w:rPr>
        <w:tab/>
        <w:t>Ռիսկերի կառավարման պլանը:</w:t>
      </w:r>
    </w:p>
    <w:p w14:paraId="3F0A2D9C" w14:textId="4F6E61C4"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80-րդ օրը կատարի </w:t>
      </w:r>
      <w:r w:rsidR="0056496B">
        <w:rPr>
          <w:rFonts w:ascii="Sylfaen" w:hAnsi="Sylfaen"/>
          <w:sz w:val="24"/>
          <w:szCs w:val="24"/>
        </w:rPr>
        <w:t>դիմում</w:t>
      </w:r>
      <w:r w:rsidRPr="003B2786">
        <w:rPr>
          <w:rFonts w:ascii="Sylfaen" w:hAnsi="Sylfaen"/>
          <w:sz w:val="24"/>
          <w:szCs w:val="24"/>
        </w:rPr>
        <w:t xml:space="preserve">ի առաջին ընդհանուր </w:t>
      </w:r>
      <w:r w:rsidRPr="003B2786">
        <w:rPr>
          <w:rFonts w:ascii="Sylfaen" w:hAnsi="Sylfaen"/>
          <w:sz w:val="24"/>
          <w:szCs w:val="24"/>
        </w:rPr>
        <w:lastRenderedPageBreak/>
        <w:t>գնահատումը՝ ռիսկերի կառավարման պլանում որ</w:t>
      </w:r>
      <w:r w:rsidR="00C54D75">
        <w:rPr>
          <w:rFonts w:ascii="Sylfaen" w:hAnsi="Sylfaen"/>
          <w:sz w:val="24"/>
          <w:szCs w:val="24"/>
        </w:rPr>
        <w:t>և</w:t>
      </w:r>
      <w:r w:rsidRPr="003B2786">
        <w:rPr>
          <w:rFonts w:ascii="Sylfaen" w:hAnsi="Sylfaen"/>
          <w:sz w:val="24"/>
          <w:szCs w:val="24"/>
        </w:rPr>
        <w:t xml:space="preserve">է լուրջ խնդրահարույց հարց </w:t>
      </w:r>
      <w:r w:rsidR="0056496B">
        <w:rPr>
          <w:rFonts w:ascii="Sylfaen" w:hAnsi="Sylfaen"/>
          <w:sz w:val="24"/>
          <w:szCs w:val="24"/>
        </w:rPr>
        <w:t>դիմում</w:t>
      </w:r>
      <w:r w:rsidRPr="003B2786">
        <w:rPr>
          <w:rFonts w:ascii="Sylfaen" w:hAnsi="Sylfaen"/>
          <w:sz w:val="24"/>
          <w:szCs w:val="24"/>
        </w:rPr>
        <w:t xml:space="preserve">նաբերելու համար: Օգնություն ցուցաբերելու </w:t>
      </w:r>
      <w:r w:rsidR="00C54D75">
        <w:rPr>
          <w:rFonts w:ascii="Sylfaen" w:hAnsi="Sylfaen"/>
          <w:sz w:val="24"/>
          <w:szCs w:val="24"/>
        </w:rPr>
        <w:t>և</w:t>
      </w:r>
      <w:r w:rsidRPr="003B2786">
        <w:rPr>
          <w:rFonts w:ascii="Sylfaen" w:hAnsi="Sylfaen"/>
          <w:sz w:val="24"/>
          <w:szCs w:val="24"/>
        </w:rPr>
        <w:t xml:space="preserve"> առաջարկություններ ներկայացնելու համար փորձագետին կարող է հատկացվել դեղազգոնության բնագավառի մասնագետ (դոսյեի կրիտիկական գնահատման գործընթացում սահմանված որ</w:t>
      </w:r>
      <w:r w:rsidR="00C54D75">
        <w:rPr>
          <w:rFonts w:ascii="Sylfaen" w:hAnsi="Sylfaen"/>
          <w:sz w:val="24"/>
          <w:szCs w:val="24"/>
        </w:rPr>
        <w:t>և</w:t>
      </w:r>
      <w:r w:rsidRPr="003B2786">
        <w:rPr>
          <w:rFonts w:ascii="Sylfaen" w:hAnsi="Sylfaen"/>
          <w:sz w:val="24"/>
          <w:szCs w:val="24"/>
        </w:rPr>
        <w:t xml:space="preserve">է կոնկրետ հարց </w:t>
      </w:r>
      <w:r w:rsidR="00C54D75">
        <w:rPr>
          <w:rFonts w:ascii="Sylfaen" w:hAnsi="Sylfaen"/>
          <w:sz w:val="24"/>
          <w:szCs w:val="24"/>
        </w:rPr>
        <w:t>և</w:t>
      </w:r>
      <w:r w:rsidRPr="003B2786">
        <w:rPr>
          <w:rFonts w:ascii="Sylfaen" w:hAnsi="Sylfaen"/>
          <w:sz w:val="24"/>
          <w:szCs w:val="24"/>
        </w:rPr>
        <w:t xml:space="preserve"> խնդիր, որը կարող է ազդել ռիսկերի կառավարման պլանի վրա): Այստեղ մտնում են նախակլինիկական անվտանգության վերաբերյալ որոշակի եզրահանգումները, կլինիկական դեղաբանության մասով դոսյեի անբավարարությունը, կլինիկական փորձարկումների տվյալներից </w:t>
      </w:r>
      <w:r w:rsidR="00003ABD">
        <w:rPr>
          <w:rFonts w:ascii="Sylfaen" w:hAnsi="Sylfaen"/>
          <w:sz w:val="24"/>
          <w:szCs w:val="24"/>
        </w:rPr>
        <w:t>հայտնաբերված</w:t>
      </w:r>
      <w:r w:rsidRPr="003B2786">
        <w:rPr>
          <w:rFonts w:ascii="Sylfaen" w:hAnsi="Sylfaen"/>
          <w:sz w:val="24"/>
          <w:szCs w:val="24"/>
        </w:rPr>
        <w:t xml:space="preserve"> անվտանգության հնարավոր ռիսկերը </w:t>
      </w:r>
      <w:r w:rsidR="00C54D75">
        <w:rPr>
          <w:rFonts w:ascii="Sylfaen" w:hAnsi="Sylfaen"/>
          <w:sz w:val="24"/>
          <w:szCs w:val="24"/>
        </w:rPr>
        <w:t>և</w:t>
      </w:r>
      <w:r w:rsidRPr="003B2786">
        <w:rPr>
          <w:rFonts w:ascii="Sylfaen" w:hAnsi="Sylfaen"/>
          <w:sz w:val="24"/>
          <w:szCs w:val="24"/>
        </w:rPr>
        <w:t xml:space="preserve"> այլն: Այս փուլում հատկապես կար</w:t>
      </w:r>
      <w:r w:rsidR="00C54D75">
        <w:rPr>
          <w:rFonts w:ascii="Sylfaen" w:hAnsi="Sylfaen"/>
          <w:sz w:val="24"/>
          <w:szCs w:val="24"/>
        </w:rPr>
        <w:t>և</w:t>
      </w:r>
      <w:r w:rsidRPr="003B2786">
        <w:rPr>
          <w:rFonts w:ascii="Sylfaen" w:hAnsi="Sylfaen"/>
          <w:sz w:val="24"/>
          <w:szCs w:val="24"/>
        </w:rPr>
        <w:t>որ է անվտանգության խնդիրները (կար</w:t>
      </w:r>
      <w:r w:rsidR="00C54D75">
        <w:rPr>
          <w:rFonts w:ascii="Sylfaen" w:hAnsi="Sylfaen"/>
          <w:sz w:val="24"/>
          <w:szCs w:val="24"/>
        </w:rPr>
        <w:t>և</w:t>
      </w:r>
      <w:r w:rsidRPr="003B2786">
        <w:rPr>
          <w:rFonts w:ascii="Sylfaen" w:hAnsi="Sylfaen"/>
          <w:sz w:val="24"/>
          <w:szCs w:val="24"/>
        </w:rPr>
        <w:t xml:space="preserve">որ </w:t>
      </w:r>
      <w:r w:rsidR="00003ABD">
        <w:rPr>
          <w:rFonts w:ascii="Sylfaen" w:hAnsi="Sylfaen"/>
          <w:sz w:val="24"/>
          <w:szCs w:val="24"/>
        </w:rPr>
        <w:t>հայտնաբերված</w:t>
      </w:r>
      <w:r w:rsidRPr="003B2786">
        <w:rPr>
          <w:rFonts w:ascii="Sylfaen" w:hAnsi="Sylfaen"/>
          <w:sz w:val="24"/>
          <w:szCs w:val="24"/>
        </w:rPr>
        <w:t xml:space="preserve"> ռիսկերը, կար</w:t>
      </w:r>
      <w:r w:rsidR="00C54D75">
        <w:rPr>
          <w:rFonts w:ascii="Sylfaen" w:hAnsi="Sylfaen"/>
          <w:sz w:val="24"/>
          <w:szCs w:val="24"/>
        </w:rPr>
        <w:t>և</w:t>
      </w:r>
      <w:r w:rsidRPr="003B2786">
        <w:rPr>
          <w:rFonts w:ascii="Sylfaen" w:hAnsi="Sylfaen"/>
          <w:sz w:val="24"/>
          <w:szCs w:val="24"/>
        </w:rPr>
        <w:t>որ հավանական ռիսկերը, կար</w:t>
      </w:r>
      <w:r w:rsidR="00C54D75">
        <w:rPr>
          <w:rFonts w:ascii="Sylfaen" w:hAnsi="Sylfaen"/>
          <w:sz w:val="24"/>
          <w:szCs w:val="24"/>
        </w:rPr>
        <w:t>և</w:t>
      </w:r>
      <w:r w:rsidRPr="003B2786">
        <w:rPr>
          <w:rFonts w:ascii="Sylfaen" w:hAnsi="Sylfaen"/>
          <w:sz w:val="24"/>
          <w:szCs w:val="24"/>
        </w:rPr>
        <w:t xml:space="preserve">որ պակասող տեղեկատվությունը) նույնականացնելը: Սա առավել </w:t>
      </w:r>
      <w:r w:rsidR="00C54D75">
        <w:rPr>
          <w:rFonts w:ascii="Sylfaen" w:hAnsi="Sylfaen"/>
          <w:sz w:val="24"/>
          <w:szCs w:val="24"/>
        </w:rPr>
        <w:t>և</w:t>
      </w:r>
      <w:r w:rsidRPr="003B2786">
        <w:rPr>
          <w:rFonts w:ascii="Sylfaen" w:hAnsi="Sylfaen"/>
          <w:sz w:val="24"/>
          <w:szCs w:val="24"/>
        </w:rPr>
        <w:t>ս կար</w:t>
      </w:r>
      <w:r w:rsidR="00C54D75">
        <w:rPr>
          <w:rFonts w:ascii="Sylfaen" w:hAnsi="Sylfaen"/>
          <w:sz w:val="24"/>
          <w:szCs w:val="24"/>
        </w:rPr>
        <w:t>և</w:t>
      </w:r>
      <w:r w:rsidRPr="003B2786">
        <w:rPr>
          <w:rFonts w:ascii="Sylfaen" w:hAnsi="Sylfaen"/>
          <w:sz w:val="24"/>
          <w:szCs w:val="24"/>
        </w:rPr>
        <w:t xml:space="preserve">որ է, եթե տվյալ հարցերը դոսյեում չեն նկարագրվել </w:t>
      </w:r>
      <w:r w:rsidR="0056496B">
        <w:rPr>
          <w:rFonts w:ascii="Sylfaen" w:hAnsi="Sylfaen"/>
          <w:sz w:val="24"/>
          <w:szCs w:val="24"/>
        </w:rPr>
        <w:t>դիմումատու</w:t>
      </w:r>
      <w:r w:rsidRPr="003B2786">
        <w:rPr>
          <w:rFonts w:ascii="Sylfaen" w:hAnsi="Sylfaen"/>
          <w:sz w:val="24"/>
          <w:szCs w:val="24"/>
        </w:rPr>
        <w:t xml:space="preserve">ի կողմից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աբար հազիվ թե արտացոլվեն ռիսկերի կառավարման պլանում:</w:t>
      </w:r>
    </w:p>
    <w:p w14:paraId="0484A067" w14:textId="1DE9E316"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Ստացված առաջարկությունները ներառվում են գրանցման </w:t>
      </w:r>
      <w:r w:rsidR="0056496B">
        <w:rPr>
          <w:rFonts w:ascii="Sylfaen" w:hAnsi="Sylfaen"/>
          <w:sz w:val="24"/>
          <w:szCs w:val="24"/>
        </w:rPr>
        <w:t>դիմում</w:t>
      </w:r>
      <w:r w:rsidRPr="003B2786">
        <w:rPr>
          <w:rFonts w:ascii="Sylfaen" w:hAnsi="Sylfaen"/>
          <w:sz w:val="24"/>
          <w:szCs w:val="24"/>
        </w:rPr>
        <w:t xml:space="preserve"> ներկայացնելուց հետո ներկայացվող հարցերի ցանկի նախագծում: Կար</w:t>
      </w:r>
      <w:r w:rsidR="00C54D75">
        <w:rPr>
          <w:rFonts w:ascii="Sylfaen" w:hAnsi="Sylfaen"/>
          <w:sz w:val="24"/>
          <w:szCs w:val="24"/>
        </w:rPr>
        <w:t>և</w:t>
      </w:r>
      <w:r w:rsidRPr="003B2786">
        <w:rPr>
          <w:rFonts w:ascii="Sylfaen" w:hAnsi="Sylfaen"/>
          <w:sz w:val="24"/>
          <w:szCs w:val="24"/>
        </w:rPr>
        <w:t>որ է նշել, որ տվյալ առաջարկությունները կարող են պարունակել ռիսկերի կառավարման պլանի մասով առաջարկվող հարցեր, որոնք ենթակա են հարցերի ցանկում ավելացման:</w:t>
      </w:r>
    </w:p>
    <w:p w14:paraId="6F0A4404" w14:textId="08413168"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թվարկել հարցերը </w:t>
      </w:r>
      <w:r w:rsidR="00C54D75">
        <w:rPr>
          <w:rFonts w:ascii="Sylfaen" w:hAnsi="Sylfaen"/>
          <w:sz w:val="24"/>
          <w:szCs w:val="24"/>
        </w:rPr>
        <w:t>և</w:t>
      </w:r>
      <w:r w:rsidRPr="003B2786">
        <w:rPr>
          <w:rFonts w:ascii="Sylfaen" w:hAnsi="Sylfaen"/>
          <w:sz w:val="24"/>
          <w:szCs w:val="24"/>
        </w:rPr>
        <w:t xml:space="preserve"> խնդիրները, որոնք </w:t>
      </w:r>
      <w:r w:rsidR="00FE4A71">
        <w:rPr>
          <w:rFonts w:ascii="Sylfaen" w:hAnsi="Sylfaen"/>
          <w:sz w:val="24"/>
          <w:szCs w:val="24"/>
        </w:rPr>
        <w:t xml:space="preserve">հայտնաբերվել </w:t>
      </w:r>
      <w:r w:rsidRPr="003B2786">
        <w:rPr>
          <w:rFonts w:ascii="Sylfaen" w:hAnsi="Sylfaen"/>
          <w:sz w:val="24"/>
          <w:szCs w:val="24"/>
        </w:rPr>
        <w:t xml:space="preserve"> են </w:t>
      </w:r>
      <w:r w:rsidR="0056496B">
        <w:rPr>
          <w:rFonts w:ascii="Sylfaen" w:hAnsi="Sylfaen"/>
          <w:sz w:val="24"/>
          <w:szCs w:val="24"/>
        </w:rPr>
        <w:t>դիմում</w:t>
      </w:r>
      <w:r w:rsidRPr="003B2786">
        <w:rPr>
          <w:rFonts w:ascii="Sylfaen" w:hAnsi="Sylfaen"/>
          <w:sz w:val="24"/>
          <w:szCs w:val="24"/>
        </w:rPr>
        <w:t xml:space="preserve">ի ընդհանուր գնահատման գործընթացում </w:t>
      </w:r>
      <w:r w:rsidR="00C54D75">
        <w:rPr>
          <w:rFonts w:ascii="Sylfaen" w:hAnsi="Sylfaen"/>
          <w:sz w:val="24"/>
          <w:szCs w:val="24"/>
        </w:rPr>
        <w:t>և</w:t>
      </w:r>
      <w:r w:rsidRPr="003B2786">
        <w:rPr>
          <w:rFonts w:ascii="Sylfaen" w:hAnsi="Sylfaen"/>
          <w:sz w:val="24"/>
          <w:szCs w:val="24"/>
        </w:rPr>
        <w:t xml:space="preserve"> ենթակա են քննման ռիսկերի կառավարման պլանը գնահատելիս:</w:t>
      </w:r>
    </w:p>
    <w:p w14:paraId="77E03AEC"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Օգտագործված գրականության ցանկը:</w:t>
      </w:r>
    </w:p>
    <w:p w14:paraId="7041581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Փորձագետի կողմից առաջարկված հարցերի ցանկը:</w:t>
      </w:r>
    </w:p>
    <w:p w14:paraId="15DE051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7.1.</w:t>
      </w:r>
      <w:r w:rsidRPr="003B2786">
        <w:rPr>
          <w:rFonts w:ascii="Sylfaen" w:hAnsi="Sylfaen"/>
          <w:sz w:val="24"/>
          <w:szCs w:val="24"/>
        </w:rPr>
        <w:tab/>
        <w:t>Դիտողությունների դասակարգումը՝</w:t>
      </w:r>
    </w:p>
    <w:p w14:paraId="0174F708" w14:textId="2C25817A"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դիտողություններ»՝ դիտողություններ, որոնք անհնարին են դարձնում դեղապատրաստուկի գրանցումը: Մեկ կրիտիկական դիտողությունը </w:t>
      </w:r>
      <w:r w:rsidRPr="003B2786">
        <w:rPr>
          <w:rFonts w:ascii="Sylfaen" w:hAnsi="Sylfaen"/>
          <w:sz w:val="24"/>
          <w:szCs w:val="24"/>
        </w:rPr>
        <w:lastRenderedPageBreak/>
        <w:t xml:space="preserve">տեսականորեն կարող է ներառել մի քանի հարցեր. այդ դեպքում հարկավոր է օգտագործել չհամարակալված ցանկեր </w:t>
      </w:r>
      <w:r w:rsidR="00C54D75">
        <w:rPr>
          <w:rFonts w:ascii="Sylfaen" w:hAnsi="Sylfaen"/>
          <w:sz w:val="24"/>
          <w:szCs w:val="24"/>
        </w:rPr>
        <w:t>և</w:t>
      </w:r>
      <w:r w:rsidRPr="003B2786">
        <w:rPr>
          <w:rFonts w:ascii="Sylfaen" w:hAnsi="Sylfaen"/>
          <w:sz w:val="24"/>
          <w:szCs w:val="24"/>
        </w:rPr>
        <w:t xml:space="preserve"> ենթավերնագրեր: Կրիտիկական դիտողությունը պետք է հասկանալի </w:t>
      </w:r>
      <w:r w:rsidR="00C54D75">
        <w:rPr>
          <w:rFonts w:ascii="Sylfaen" w:hAnsi="Sylfaen"/>
          <w:sz w:val="24"/>
          <w:szCs w:val="24"/>
        </w:rPr>
        <w:t>և</w:t>
      </w:r>
      <w:r w:rsidRPr="003B2786">
        <w:rPr>
          <w:rFonts w:ascii="Sylfaen" w:hAnsi="Sylfaen"/>
          <w:sz w:val="24"/>
          <w:szCs w:val="24"/>
        </w:rPr>
        <w:t xml:space="preserve"> հստակ շարադրված լինի: Դրա համար կարող են պահանջվել մանրամասն մեկնաբանություններ՝ համապատասխան նորմատիվ իրավական ակտերին </w:t>
      </w:r>
      <w:r w:rsidR="00C54D75">
        <w:rPr>
          <w:rFonts w:ascii="Sylfaen" w:hAnsi="Sylfaen"/>
          <w:sz w:val="24"/>
          <w:szCs w:val="24"/>
        </w:rPr>
        <w:t>և</w:t>
      </w:r>
      <w:r w:rsidRPr="003B2786">
        <w:rPr>
          <w:rFonts w:ascii="Sylfaen" w:hAnsi="Sylfaen"/>
          <w:sz w:val="24"/>
          <w:szCs w:val="24"/>
        </w:rPr>
        <w:t xml:space="preserve"> հանձնարարականներին (ձեռնարկներին) հղումներով: Հնարավորության դեպքում դիտողությունը պետք է ներառի </w:t>
      </w:r>
      <w:r w:rsidR="0056496B">
        <w:rPr>
          <w:rFonts w:ascii="Sylfaen" w:hAnsi="Sylfaen"/>
          <w:sz w:val="24"/>
          <w:szCs w:val="24"/>
        </w:rPr>
        <w:t>դիմումատու</w:t>
      </w:r>
      <w:r w:rsidRPr="003B2786">
        <w:rPr>
          <w:rFonts w:ascii="Sylfaen" w:hAnsi="Sylfaen"/>
          <w:sz w:val="24"/>
          <w:szCs w:val="24"/>
        </w:rPr>
        <w:t>ից ակնկալվող պատասխանի (միջոցների) վերաբերյալ պարզաբանումներ,</w:t>
      </w:r>
    </w:p>
    <w:p w14:paraId="7F359491" w14:textId="2A579983"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«այլ դիտողություններ»՝ դիտողություններ, որոնք կարող են ազդել </w:t>
      </w:r>
      <w:r w:rsidR="0056496B">
        <w:rPr>
          <w:rFonts w:ascii="Sylfaen" w:hAnsi="Sylfaen"/>
          <w:sz w:val="24"/>
          <w:szCs w:val="24"/>
        </w:rPr>
        <w:t>դիմումատու</w:t>
      </w:r>
      <w:r w:rsidRPr="003B2786">
        <w:rPr>
          <w:rFonts w:ascii="Sylfaen" w:hAnsi="Sylfaen"/>
          <w:sz w:val="24"/>
          <w:szCs w:val="24"/>
        </w:rPr>
        <w:t xml:space="preserve">ի կողմից առաջարկված գրանցման պայմանների </w:t>
      </w:r>
      <w:r w:rsidR="00C54D75">
        <w:rPr>
          <w:rFonts w:ascii="Sylfaen" w:hAnsi="Sylfaen"/>
          <w:sz w:val="24"/>
          <w:szCs w:val="24"/>
        </w:rPr>
        <w:t>և</w:t>
      </w:r>
      <w:r w:rsidRPr="003B2786">
        <w:rPr>
          <w:rFonts w:ascii="Sylfaen" w:hAnsi="Sylfaen"/>
          <w:sz w:val="24"/>
          <w:szCs w:val="24"/>
        </w:rPr>
        <w:t xml:space="preserve"> դեղապատրաստուկի վերաբերյալ տեղեկատվության վրա (բժշկական կիրառման դեղապատրաստուկի ընդհանուր բնութագիր, ներդիր թերթիկ, մականշվածք): Այլ դիտողություններ անհրաժեշտ է վերացնել նախագրանցումային փուլում, հակառակ դեպքում գրանցումը կարող է մերժվել:</w:t>
      </w:r>
    </w:p>
    <w:p w14:paraId="4591746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Շահագրգիռ խմբերի առարկությունների </w:t>
      </w:r>
      <w:r w:rsidR="00C54D75">
        <w:rPr>
          <w:rFonts w:ascii="Sylfaen" w:hAnsi="Sylfaen"/>
          <w:sz w:val="24"/>
          <w:szCs w:val="24"/>
        </w:rPr>
        <w:t>և</w:t>
      </w:r>
      <w:r w:rsidRPr="003B2786">
        <w:rPr>
          <w:rFonts w:ascii="Sylfaen" w:hAnsi="Sylfaen"/>
          <w:sz w:val="24"/>
          <w:szCs w:val="24"/>
        </w:rPr>
        <w:t xml:space="preserve"> հանձնարարականների բանաքաղման նպատակով ցանկը կազմելիս, ընդհանուր առմամբ, անհրաժեշտ է օգտագործել ենթավերնագրեր: </w:t>
      </w:r>
    </w:p>
    <w:p w14:paraId="782AED2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ցանկն անհրաժեշտ է երկտակել փորձագիտական հաշվետվության «Ամփոփիչ մոդուլում»,</w:t>
      </w:r>
    </w:p>
    <w:p w14:paraId="21D7EBC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«առաջարկություններ»՝ առաջարկություններ, որոնք պարունակում են փորձագետի դիտողությունները (պայմանները), որոնք չեն խոչընդոտում դեղապատրաստուկի գրանցմանը </w:t>
      </w:r>
      <w:r w:rsidR="00C54D75">
        <w:rPr>
          <w:rFonts w:ascii="Sylfaen" w:hAnsi="Sylfaen"/>
          <w:sz w:val="24"/>
          <w:szCs w:val="24"/>
        </w:rPr>
        <w:t>և</w:t>
      </w:r>
      <w:r w:rsidRPr="003B2786">
        <w:rPr>
          <w:rFonts w:ascii="Sylfaen" w:hAnsi="Sylfaen"/>
          <w:sz w:val="24"/>
          <w:szCs w:val="24"/>
        </w:rPr>
        <w:t xml:space="preserve"> կարող են հաշվի առնվել պատրաստուկի գրանցումից հետո, ներառվել (փոփոխվել) փոփոխությունների կատարման ընթացակարգի շրջանակներում:</w:t>
      </w:r>
    </w:p>
    <w:p w14:paraId="737DBEA8" w14:textId="5727DD51"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 xml:space="preserve">Փորձագետի կողմից առաջարկվող պայմանները, որոնք պետք է կատարել </w:t>
      </w:r>
      <w:r w:rsidR="0056496B">
        <w:rPr>
          <w:rFonts w:ascii="Sylfaen" w:hAnsi="Sylfaen"/>
          <w:sz w:val="24"/>
          <w:szCs w:val="24"/>
        </w:rPr>
        <w:t>դիմումատու</w:t>
      </w:r>
      <w:r w:rsidRPr="003B2786">
        <w:rPr>
          <w:rFonts w:ascii="Sylfaen" w:hAnsi="Sylfaen"/>
          <w:sz w:val="24"/>
          <w:szCs w:val="24"/>
        </w:rPr>
        <w:t xml:space="preserve">ի կողմից գրանցման հավաստագիրը ստանալուց </w:t>
      </w:r>
      <w:r w:rsidR="00C54D75">
        <w:rPr>
          <w:rFonts w:ascii="Sylfaen" w:hAnsi="Sylfaen"/>
          <w:sz w:val="24"/>
          <w:szCs w:val="24"/>
        </w:rPr>
        <w:t>և</w:t>
      </w:r>
      <w:r w:rsidRPr="003B2786">
        <w:rPr>
          <w:rFonts w:ascii="Sylfaen" w:hAnsi="Sylfaen"/>
          <w:sz w:val="24"/>
          <w:szCs w:val="24"/>
        </w:rPr>
        <w:t xml:space="preserve"> բժշկական կիրառման դեղապատրաստուկի ընդհանուր բնութագիրը հաստատելուց հետո՝</w:t>
      </w:r>
    </w:p>
    <w:p w14:paraId="3A08332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տվյալ բաժնում պարունակվող տեղեկությունները նույնպես պետք է հատուկ ուսումնասիրվեն ամփոփիչ փորձագիտական հաշվետվության «Անվտանգության, որակի, արդյունավետության գնահատում» մոդուլի համապատասխան բաժնում (օրինակ՝ կոնկրետ դիտողություններ՝ արտադրանքի վերաբերյալ տեղեկատվության մասով):</w:t>
      </w:r>
    </w:p>
    <w:p w14:paraId="679F76BF" w14:textId="69F49BF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«Խորհրդատվություններ օգտագործողների հետ»՝ դեղապատրաստուկի բժշկական կիրառման հրահանգի ընթեռնելիության հետ կապված՝ </w:t>
      </w:r>
      <w:r w:rsidR="0056496B">
        <w:rPr>
          <w:rFonts w:ascii="Sylfaen" w:hAnsi="Sylfaen"/>
          <w:sz w:val="24"/>
          <w:szCs w:val="24"/>
        </w:rPr>
        <w:t>դիմումատու</w:t>
      </w:r>
      <w:r w:rsidRPr="003B2786">
        <w:rPr>
          <w:rFonts w:ascii="Sylfaen" w:hAnsi="Sylfaen"/>
          <w:sz w:val="24"/>
          <w:szCs w:val="24"/>
        </w:rPr>
        <w:t xml:space="preserve">ն պետք է ներկայացնի դեղապատրաստուկի բժշկական կիրառման հրահանգի ընթեռնելիության մասով պացիենտների թիրախային խմբերի մասնակցությամբ անցկացված գնահատման արդյունքները (տե՛ս «Խորհրդատվություններ օգտագործողների հետ»), կամ հիմնավորի նման խորհրդատվություններ անցկացնելուց հրաժարվելը («օգտագործողների հետ խորհրդատվության» պահանջների վերաբերյալ լրացուցիչ տեղեկատվություն ստանալու, դրա արդյունքները ներկայացնելու </w:t>
      </w:r>
      <w:r w:rsidR="00C54D75">
        <w:rPr>
          <w:rFonts w:ascii="Sylfaen" w:hAnsi="Sylfaen"/>
          <w:sz w:val="24"/>
          <w:szCs w:val="24"/>
        </w:rPr>
        <w:t>և</w:t>
      </w:r>
      <w:r w:rsidRPr="003B2786">
        <w:rPr>
          <w:rFonts w:ascii="Sylfaen" w:hAnsi="Sylfaen"/>
          <w:sz w:val="24"/>
          <w:szCs w:val="24"/>
        </w:rPr>
        <w:t xml:space="preserve"> գնահատելու համար տե՛ս Միության մարմինների համապատասխան ակտերը):</w:t>
      </w:r>
    </w:p>
    <w:p w14:paraId="6B9B68D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Բոլոր դեպքերում անհրաժեշտ է սահմանել </w:t>
      </w:r>
      <w:r w:rsidR="00C54D75">
        <w:rPr>
          <w:rFonts w:ascii="Sylfaen" w:hAnsi="Sylfaen"/>
          <w:sz w:val="24"/>
          <w:szCs w:val="24"/>
        </w:rPr>
        <w:t>և</w:t>
      </w:r>
      <w:r w:rsidRPr="003B2786">
        <w:rPr>
          <w:rFonts w:ascii="Sylfaen" w:hAnsi="Sylfaen"/>
          <w:sz w:val="24"/>
          <w:szCs w:val="24"/>
        </w:rPr>
        <w:t xml:space="preserve"> նշել (տե՛ս «Ամփոփում»), թե արդյոք փաստացի անցկացվել կամ նախատեսվել են «խորհրդատվություններ օգտագործողների հետ» դեղամիջոցի բժշկական կիրառման հրահանգի ընթեռնելիության վերաբերյալ, կամ էլ սահմանել </w:t>
      </w:r>
      <w:r w:rsidR="00C54D75">
        <w:rPr>
          <w:rFonts w:ascii="Sylfaen" w:hAnsi="Sylfaen"/>
          <w:sz w:val="24"/>
          <w:szCs w:val="24"/>
        </w:rPr>
        <w:t>և</w:t>
      </w:r>
      <w:r w:rsidRPr="003B2786">
        <w:rPr>
          <w:rFonts w:ascii="Sylfaen" w:hAnsi="Sylfaen"/>
          <w:sz w:val="24"/>
          <w:szCs w:val="24"/>
        </w:rPr>
        <w:t xml:space="preserve"> նշել այդպիսի խորհրդատվություններ անցկացնելուց հրաժարվելու հիմնավորվածությունը:</w:t>
      </w:r>
    </w:p>
    <w:p w14:paraId="44119F5A" w14:textId="59302D94"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բժշկական կիրառման հրահանգի ընթեռնելիության վերաբերյալ «օգտագործողների հետ խորհրդատվություն» անցկացնելու </w:t>
      </w:r>
      <w:r w:rsidR="00C54D75">
        <w:rPr>
          <w:rFonts w:ascii="Sylfaen" w:hAnsi="Sylfaen"/>
          <w:sz w:val="24"/>
          <w:szCs w:val="24"/>
        </w:rPr>
        <w:t>և</w:t>
      </w:r>
      <w:r w:rsidRPr="003B2786">
        <w:rPr>
          <w:rFonts w:ascii="Sylfaen" w:hAnsi="Sylfaen"/>
          <w:sz w:val="24"/>
          <w:szCs w:val="24"/>
        </w:rPr>
        <w:t xml:space="preserve"> դրա արդյունքները </w:t>
      </w:r>
      <w:r w:rsidR="0056496B">
        <w:rPr>
          <w:rFonts w:ascii="Sylfaen" w:hAnsi="Sylfaen"/>
          <w:sz w:val="24"/>
          <w:szCs w:val="24"/>
        </w:rPr>
        <w:t>դիմում</w:t>
      </w:r>
      <w:r w:rsidRPr="003B2786">
        <w:rPr>
          <w:rFonts w:ascii="Sylfaen" w:hAnsi="Sylfaen"/>
          <w:sz w:val="24"/>
          <w:szCs w:val="24"/>
        </w:rPr>
        <w:t>ի մեջ ներառելու դեպքում փորձագետները պետք է գնահատում անցկացնելու մասին իրենց հաշվետվություններում, ինչպես նա</w:t>
      </w:r>
      <w:r w:rsidR="00C54D75">
        <w:rPr>
          <w:rFonts w:ascii="Sylfaen" w:hAnsi="Sylfaen"/>
          <w:sz w:val="24"/>
          <w:szCs w:val="24"/>
        </w:rPr>
        <w:t>և</w:t>
      </w:r>
      <w:r w:rsidRPr="003B2786">
        <w:rPr>
          <w:rFonts w:ascii="Sylfaen" w:hAnsi="Sylfaen"/>
          <w:sz w:val="24"/>
          <w:szCs w:val="24"/>
        </w:rPr>
        <w:t xml:space="preserve"> բժշկական կիրառման հրահանգի ընդհանուր ընթեռնելիության վերաբերյալ եզրակացության մեջ ներառեն «օգտագործողների հետ խորհրդատվության» արդյունքների գնահատումը: </w:t>
      </w:r>
    </w:p>
    <w:p w14:paraId="731B0FCA" w14:textId="77777777" w:rsidR="008C76E0"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Ցանկացած հնարավոր անհամապատասխանություն կամ դիտողություն </w:t>
      </w:r>
      <w:r w:rsidRPr="003B2786">
        <w:rPr>
          <w:rFonts w:ascii="Sylfaen" w:hAnsi="Sylfaen"/>
          <w:sz w:val="24"/>
          <w:szCs w:val="24"/>
        </w:rPr>
        <w:lastRenderedPageBreak/>
        <w:t>(հարց) պետք է ներառվի հարցերի ցանկում:</w:t>
      </w:r>
    </w:p>
    <w:p w14:paraId="7039BF40" w14:textId="77777777" w:rsidR="008C76E0" w:rsidRDefault="008C76E0" w:rsidP="00262653">
      <w:pPr>
        <w:pBdr>
          <w:bottom w:val="single" w:sz="6" w:space="1" w:color="auto"/>
        </w:pBdr>
        <w:spacing w:after="160" w:line="360" w:lineRule="auto"/>
        <w:ind w:firstLine="567"/>
        <w:jc w:val="both"/>
        <w:rPr>
          <w:rFonts w:ascii="Sylfaen" w:hAnsi="Sylfaen"/>
          <w:sz w:val="24"/>
          <w:szCs w:val="24"/>
        </w:rPr>
      </w:pPr>
    </w:p>
    <w:p w14:paraId="33924157" w14:textId="77777777" w:rsidR="00023CB3" w:rsidRPr="006F28F9" w:rsidRDefault="00023CB3" w:rsidP="00023CB3">
      <w:pPr>
        <w:rPr>
          <w:b/>
          <w:bCs/>
          <w:i/>
          <w:iCs/>
        </w:rPr>
      </w:pPr>
      <w:r w:rsidRPr="00CD4709">
        <w:rPr>
          <w:b/>
          <w:bCs/>
          <w:i/>
          <w:iCs/>
        </w:rPr>
        <w:t>(</w:t>
      </w:r>
      <w:r>
        <w:rPr>
          <w:b/>
          <w:bCs/>
          <w:i/>
          <w:iCs/>
        </w:rPr>
        <w:t xml:space="preserve">հավելվածը </w:t>
      </w:r>
      <w:r w:rsidRPr="00CD4709">
        <w:rPr>
          <w:b/>
          <w:bCs/>
          <w:i/>
          <w:iCs/>
        </w:rPr>
        <w:t>փոփ. 30.01.20 թիվ 9)</w:t>
      </w:r>
    </w:p>
    <w:p w14:paraId="35A26F3D" w14:textId="77777777" w:rsidR="00023CB3" w:rsidRPr="003B2786" w:rsidRDefault="00023CB3" w:rsidP="008C76E0">
      <w:pPr>
        <w:ind w:firstLine="567"/>
        <w:jc w:val="center"/>
        <w:rPr>
          <w:rFonts w:ascii="Sylfaen" w:eastAsia="Times New Roman" w:hAnsi="Sylfaen" w:cs="Times New Roman"/>
          <w:sz w:val="24"/>
          <w:szCs w:val="24"/>
        </w:rPr>
      </w:pPr>
    </w:p>
    <w:p w14:paraId="0CD208FF" w14:textId="77777777" w:rsidR="002C4B5D" w:rsidRPr="00E15E7D" w:rsidRDefault="002C4B5D" w:rsidP="008C76E0">
      <w:pPr>
        <w:jc w:val="center"/>
        <w:rPr>
          <w:rFonts w:ascii="Sylfaen" w:hAnsi="Sylfaen"/>
          <w:sz w:val="24"/>
          <w:szCs w:val="24"/>
        </w:rPr>
      </w:pPr>
    </w:p>
    <w:p w14:paraId="70AFC885" w14:textId="77777777" w:rsidR="009211E1" w:rsidRPr="00E15E7D" w:rsidRDefault="009211E1" w:rsidP="008C76E0">
      <w:pPr>
        <w:jc w:val="center"/>
        <w:rPr>
          <w:rFonts w:ascii="Sylfaen" w:hAnsi="Sylfaen"/>
          <w:sz w:val="24"/>
          <w:szCs w:val="24"/>
        </w:rPr>
        <w:sectPr w:rsidR="009211E1" w:rsidRPr="00E15E7D" w:rsidSect="00C31D56">
          <w:pgSz w:w="11906" w:h="16838" w:code="9"/>
          <w:pgMar w:top="1418" w:right="1418" w:bottom="1418" w:left="1418" w:header="709" w:footer="709" w:gutter="0"/>
          <w:pgNumType w:start="1"/>
          <w:cols w:space="708"/>
          <w:titlePg/>
          <w:docGrid w:linePitch="360"/>
        </w:sectPr>
      </w:pPr>
    </w:p>
    <w:p w14:paraId="22AC84C3" w14:textId="77777777" w:rsidR="008C76E0" w:rsidRPr="003B2786" w:rsidRDefault="008C76E0" w:rsidP="00B70A34">
      <w:pPr>
        <w:spacing w:after="160" w:line="360" w:lineRule="auto"/>
        <w:ind w:left="4111" w:right="-1"/>
        <w:jc w:val="center"/>
        <w:outlineLvl w:val="0"/>
        <w:rPr>
          <w:rFonts w:ascii="Sylfaen" w:hAnsi="Sylfaen"/>
          <w:sz w:val="24"/>
          <w:szCs w:val="24"/>
        </w:rPr>
      </w:pPr>
      <w:r w:rsidRPr="003B2786">
        <w:rPr>
          <w:rFonts w:ascii="Sylfaen" w:hAnsi="Sylfaen"/>
          <w:sz w:val="24"/>
          <w:szCs w:val="24"/>
        </w:rPr>
        <w:lastRenderedPageBreak/>
        <w:t>ՀԱՎԵԼՎԱԾ ԹԻՎ 16</w:t>
      </w:r>
    </w:p>
    <w:p w14:paraId="4F6DFCCA" w14:textId="77777777" w:rsidR="008C76E0" w:rsidRPr="003B2786" w:rsidRDefault="008C76E0" w:rsidP="00B70A34">
      <w:pPr>
        <w:spacing w:after="160" w:line="360" w:lineRule="auto"/>
        <w:ind w:left="4111" w:right="-1"/>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4987A3F4" w14:textId="77777777" w:rsidR="008C76E0" w:rsidRPr="003B2786" w:rsidRDefault="008C76E0" w:rsidP="00B70A34">
      <w:pPr>
        <w:spacing w:after="160" w:line="360" w:lineRule="auto"/>
        <w:ind w:left="5103" w:right="-1"/>
        <w:rPr>
          <w:rFonts w:ascii="Sylfaen" w:hAnsi="Sylfaen"/>
          <w:sz w:val="24"/>
          <w:szCs w:val="24"/>
        </w:rPr>
      </w:pPr>
    </w:p>
    <w:p w14:paraId="73A9A7EC" w14:textId="77777777" w:rsidR="008C76E0" w:rsidRPr="000237F1" w:rsidRDefault="008C76E0" w:rsidP="00B70A34">
      <w:pPr>
        <w:spacing w:after="160" w:line="360" w:lineRule="auto"/>
        <w:ind w:right="-1"/>
        <w:jc w:val="center"/>
        <w:outlineLvl w:val="0"/>
        <w:rPr>
          <w:rFonts w:ascii="Sylfaen" w:hAnsi="Sylfaen"/>
          <w:b/>
          <w:sz w:val="24"/>
          <w:szCs w:val="24"/>
        </w:rPr>
      </w:pPr>
      <w:r w:rsidRPr="000237F1">
        <w:rPr>
          <w:rFonts w:ascii="Sylfaen" w:hAnsi="Sylfaen"/>
          <w:b/>
          <w:sz w:val="24"/>
          <w:szCs w:val="24"/>
        </w:rPr>
        <w:t>ՁԵՎ</w:t>
      </w:r>
    </w:p>
    <w:p w14:paraId="4E9BF23C" w14:textId="77777777" w:rsidR="008C76E0" w:rsidRPr="008C76E0" w:rsidRDefault="008C76E0" w:rsidP="00B70A34">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 xml:space="preserve">անվտանգության, արդյունավետության </w:t>
      </w:r>
      <w:r w:rsidR="00C54D75">
        <w:rPr>
          <w:rFonts w:ascii="Sylfaen" w:hAnsi="Sylfaen"/>
          <w:sz w:val="24"/>
          <w:szCs w:val="24"/>
          <w:lang w:val="hy-AM"/>
        </w:rPr>
        <w:t>և</w:t>
      </w:r>
      <w:r w:rsidRPr="008C76E0">
        <w:rPr>
          <w:rFonts w:ascii="Sylfaen" w:hAnsi="Sylfaen"/>
          <w:sz w:val="24"/>
          <w:szCs w:val="24"/>
          <w:lang w:val="hy-AM"/>
        </w:rPr>
        <w:t xml:space="preserve"> որակի գնահատման վերաբերյալ փորձագիտական հաշվետվության</w:t>
      </w:r>
    </w:p>
    <w:p w14:paraId="4FA8B80B" w14:textId="77777777" w:rsidR="008C76E0" w:rsidRPr="003B2786" w:rsidRDefault="008C76E0" w:rsidP="00B70A34">
      <w:pPr>
        <w:spacing w:after="160" w:line="360" w:lineRule="auto"/>
        <w:ind w:left="567" w:right="565"/>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16A96C71" w14:textId="77777777" w:rsidR="008C76E0" w:rsidRPr="003B2786" w:rsidRDefault="008C76E0" w:rsidP="00B70A34">
      <w:pPr>
        <w:spacing w:after="160" w:line="360" w:lineRule="auto"/>
        <w:ind w:left="567" w:right="565"/>
        <w:jc w:val="center"/>
        <w:rPr>
          <w:rFonts w:ascii="Sylfaen" w:hAnsi="Sylfaen"/>
          <w:sz w:val="24"/>
          <w:szCs w:val="24"/>
        </w:rPr>
      </w:pPr>
      <w:r w:rsidRPr="003B2786">
        <w:rPr>
          <w:rFonts w:ascii="Sylfaen" w:hAnsi="Sylfaen"/>
          <w:sz w:val="24"/>
          <w:szCs w:val="24"/>
        </w:rPr>
        <w:t xml:space="preserve">Անվտանգության, արդյունավետության </w:t>
      </w:r>
      <w:r w:rsidR="00C54D75">
        <w:rPr>
          <w:rFonts w:ascii="Sylfaen" w:hAnsi="Sylfaen"/>
          <w:sz w:val="24"/>
          <w:szCs w:val="24"/>
        </w:rPr>
        <w:t>և</w:t>
      </w:r>
      <w:r w:rsidRPr="003B2786">
        <w:rPr>
          <w:rFonts w:ascii="Sylfaen" w:hAnsi="Sylfaen"/>
          <w:sz w:val="24"/>
          <w:szCs w:val="24"/>
        </w:rPr>
        <w:t xml:space="preserve"> որակի գնահատման վերաբերյալ փորձագիտական հաշվետվություն</w:t>
      </w:r>
    </w:p>
    <w:p w14:paraId="7CB1FAD9" w14:textId="77777777" w:rsidR="008C76E0" w:rsidRPr="003B2786" w:rsidRDefault="008C76E0" w:rsidP="00B70A34">
      <w:pPr>
        <w:spacing w:after="160" w:line="360" w:lineRule="auto"/>
        <w:ind w:left="567" w:right="565"/>
        <w:jc w:val="center"/>
        <w:rPr>
          <w:rFonts w:ascii="Sylfaen" w:hAnsi="Sylfaen"/>
          <w:sz w:val="24"/>
          <w:szCs w:val="24"/>
        </w:rPr>
      </w:pPr>
    </w:p>
    <w:p w14:paraId="52F141D4" w14:textId="77777777" w:rsidR="008C76E0" w:rsidRPr="003B2786" w:rsidRDefault="008C76E0" w:rsidP="00B70A34">
      <w:pPr>
        <w:spacing w:after="160" w:line="360" w:lineRule="auto"/>
        <w:ind w:right="-1"/>
        <w:jc w:val="center"/>
        <w:rPr>
          <w:rFonts w:ascii="Sylfaen" w:hAnsi="Sylfaen"/>
          <w:sz w:val="24"/>
          <w:szCs w:val="24"/>
        </w:rPr>
      </w:pPr>
      <w:r w:rsidRPr="003B2786">
        <w:rPr>
          <w:rFonts w:ascii="Sylfaen" w:hAnsi="Sylfaen"/>
          <w:sz w:val="24"/>
          <w:szCs w:val="24"/>
        </w:rPr>
        <w:t>ԱՄՓՈՓԱԳԻՐ</w:t>
      </w:r>
    </w:p>
    <w:p w14:paraId="0C774A8B" w14:textId="77777777" w:rsidR="008C76E0" w:rsidRPr="003B2786" w:rsidRDefault="008C76E0" w:rsidP="00B70A34">
      <w:pPr>
        <w:spacing w:after="160" w:line="360" w:lineRule="auto"/>
        <w:ind w:right="-1"/>
        <w:jc w:val="center"/>
        <w:rPr>
          <w:rFonts w:ascii="Sylfaen" w:hAnsi="Sylfaen"/>
          <w:sz w:val="24"/>
          <w:szCs w:val="24"/>
        </w:rPr>
      </w:pPr>
      <w:r w:rsidRPr="003B2786">
        <w:rPr>
          <w:rFonts w:ascii="Sylfaen" w:hAnsi="Sylfaen"/>
          <w:sz w:val="24"/>
          <w:szCs w:val="24"/>
        </w:rPr>
        <w:t>[Առ</w:t>
      </w:r>
      <w:r w:rsidR="00C54D75">
        <w:rPr>
          <w:rFonts w:ascii="Sylfaen" w:hAnsi="Sylfaen"/>
          <w:sz w:val="24"/>
          <w:szCs w:val="24"/>
        </w:rPr>
        <w:t>և</w:t>
      </w:r>
      <w:r w:rsidRPr="003B2786">
        <w:rPr>
          <w:rFonts w:ascii="Sylfaen" w:hAnsi="Sylfaen"/>
          <w:sz w:val="24"/>
          <w:szCs w:val="24"/>
        </w:rPr>
        <w:t>տրային անվանումը]</w:t>
      </w:r>
    </w:p>
    <w:p w14:paraId="577378E2" w14:textId="77777777" w:rsidR="008C76E0" w:rsidRPr="003B2786" w:rsidRDefault="008C76E0" w:rsidP="00B70A34">
      <w:pPr>
        <w:spacing w:after="160" w:line="360" w:lineRule="auto"/>
        <w:jc w:val="center"/>
        <w:rPr>
          <w:rFonts w:ascii="Sylfaen" w:hAnsi="Sylfaen"/>
          <w:sz w:val="24"/>
          <w:szCs w:val="24"/>
        </w:rPr>
      </w:pPr>
      <w:r w:rsidRPr="003B2786">
        <w:rPr>
          <w:rFonts w:ascii="Sylfaen" w:hAnsi="Sylfaen"/>
          <w:sz w:val="24"/>
          <w:szCs w:val="24"/>
        </w:rPr>
        <w:t>____________________________</w:t>
      </w:r>
    </w:p>
    <w:p w14:paraId="03F14D66" w14:textId="77777777" w:rsidR="008C76E0" w:rsidRPr="008C76E0" w:rsidRDefault="008C76E0" w:rsidP="00B70A34">
      <w:pPr>
        <w:pStyle w:val="Bodytext70"/>
        <w:shd w:val="clear" w:color="auto" w:fill="auto"/>
        <w:spacing w:before="0" w:after="160" w:line="360" w:lineRule="auto"/>
        <w:jc w:val="center"/>
        <w:rPr>
          <w:rFonts w:ascii="Sylfaen" w:hAnsi="Sylfaen"/>
          <w:b w:val="0"/>
          <w:sz w:val="20"/>
          <w:szCs w:val="20"/>
          <w:lang w:val="hy-AM"/>
        </w:rPr>
      </w:pPr>
      <w:r w:rsidRPr="008C76E0">
        <w:rPr>
          <w:rFonts w:ascii="Sylfaen" w:hAnsi="Sylfaen"/>
          <w:b w:val="0"/>
          <w:sz w:val="20"/>
          <w:szCs w:val="20"/>
          <w:lang w:val="hy-AM"/>
        </w:rPr>
        <w:t>(Ակտիվ նյութը)</w:t>
      </w:r>
    </w:p>
    <w:p w14:paraId="5B32E69E" w14:textId="77777777" w:rsidR="008C76E0" w:rsidRPr="008C76E0" w:rsidRDefault="008C76E0" w:rsidP="00B70A34">
      <w:pPr>
        <w:pStyle w:val="Bodytext70"/>
        <w:shd w:val="clear" w:color="auto" w:fill="auto"/>
        <w:spacing w:before="0" w:after="160" w:line="360" w:lineRule="auto"/>
        <w:jc w:val="center"/>
        <w:rPr>
          <w:rFonts w:ascii="Sylfaen" w:hAnsi="Sylfaen"/>
          <w:b w:val="0"/>
          <w:sz w:val="20"/>
          <w:szCs w:val="20"/>
          <w:lang w:val="hy-AM"/>
        </w:rPr>
      </w:pPr>
    </w:p>
    <w:p w14:paraId="4AC62DD0" w14:textId="77777777" w:rsidR="008C76E0" w:rsidRPr="008C76E0" w:rsidRDefault="008C76E0" w:rsidP="00B70A34">
      <w:pPr>
        <w:pStyle w:val="Bodytext70"/>
        <w:shd w:val="clear" w:color="auto" w:fill="auto"/>
        <w:spacing w:before="0" w:after="160" w:line="360" w:lineRule="auto"/>
        <w:ind w:right="-1"/>
        <w:jc w:val="center"/>
        <w:rPr>
          <w:rFonts w:ascii="Sylfaen" w:hAnsi="Sylfaen"/>
          <w:b w:val="0"/>
          <w:sz w:val="24"/>
          <w:szCs w:val="24"/>
          <w:lang w:val="hy-AM"/>
        </w:rPr>
      </w:pPr>
      <w:r w:rsidRPr="008C76E0">
        <w:rPr>
          <w:rFonts w:ascii="Sylfaen" w:hAnsi="Sylfaen"/>
          <w:b w:val="0"/>
          <w:sz w:val="24"/>
          <w:szCs w:val="24"/>
          <w:lang w:val="hy-AM"/>
        </w:rPr>
        <w:t>_______________________________</w:t>
      </w:r>
    </w:p>
    <w:p w14:paraId="2FD86C6A" w14:textId="5552C7B6" w:rsidR="008C76E0" w:rsidRPr="003B2786" w:rsidRDefault="0056496B" w:rsidP="00B70A34">
      <w:pPr>
        <w:spacing w:after="160" w:line="360" w:lineRule="auto"/>
        <w:ind w:left="2694" w:right="-1"/>
        <w:rPr>
          <w:rFonts w:ascii="Sylfaen" w:hAnsi="Sylfaen"/>
          <w:sz w:val="24"/>
          <w:szCs w:val="24"/>
        </w:rPr>
      </w:pPr>
      <w:r>
        <w:rPr>
          <w:rFonts w:ascii="Sylfaen" w:hAnsi="Sylfaen"/>
          <w:sz w:val="24"/>
          <w:szCs w:val="24"/>
        </w:rPr>
        <w:t>Դիմում</w:t>
      </w:r>
      <w:r w:rsidR="008C76E0" w:rsidRPr="003B2786">
        <w:rPr>
          <w:rFonts w:ascii="Sylfaen" w:hAnsi="Sylfaen"/>
          <w:sz w:val="24"/>
          <w:szCs w:val="24"/>
        </w:rPr>
        <w:t xml:space="preserve"> թիվ ________ ամսաթիվ ____________</w:t>
      </w:r>
    </w:p>
    <w:p w14:paraId="1CC3EEE9" w14:textId="2D233AF8" w:rsidR="008C76E0" w:rsidRPr="003B2786" w:rsidRDefault="0056496B" w:rsidP="00B70A34">
      <w:pPr>
        <w:spacing w:after="160" w:line="360" w:lineRule="auto"/>
        <w:ind w:left="2694" w:right="-1"/>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 _______________</w:t>
      </w:r>
    </w:p>
    <w:p w14:paraId="23B1104D" w14:textId="77777777" w:rsidR="008C76E0" w:rsidRPr="003B2786" w:rsidRDefault="008C76E0" w:rsidP="00B70A34">
      <w:pPr>
        <w:spacing w:after="160" w:line="360" w:lineRule="auto"/>
        <w:ind w:left="2694" w:right="-1"/>
        <w:rPr>
          <w:rFonts w:ascii="Sylfaen" w:hAnsi="Sylfaen"/>
          <w:sz w:val="24"/>
          <w:szCs w:val="24"/>
        </w:rPr>
      </w:pPr>
      <w:r w:rsidRPr="003B2786">
        <w:rPr>
          <w:rFonts w:ascii="Sylfaen" w:hAnsi="Sylfaen"/>
          <w:sz w:val="24"/>
          <w:szCs w:val="24"/>
        </w:rPr>
        <w:t>Հաշվետվության ամսաթիվը ___________</w:t>
      </w:r>
    </w:p>
    <w:p w14:paraId="5ACB2187" w14:textId="77777777" w:rsidR="008C76E0" w:rsidRPr="003B2786" w:rsidRDefault="008C76E0" w:rsidP="00B70A34">
      <w:pPr>
        <w:spacing w:after="160" w:line="360" w:lineRule="auto"/>
        <w:ind w:left="2694" w:right="-1"/>
        <w:rPr>
          <w:rFonts w:ascii="Sylfaen" w:hAnsi="Sylfaen"/>
          <w:sz w:val="24"/>
          <w:szCs w:val="24"/>
        </w:rPr>
      </w:pPr>
    </w:p>
    <w:p w14:paraId="3DD223CA" w14:textId="77777777" w:rsidR="009211E1" w:rsidRDefault="009211E1" w:rsidP="00B70A34">
      <w:pPr>
        <w:widowControl/>
        <w:spacing w:after="160" w:line="360" w:lineRule="auto"/>
        <w:rPr>
          <w:rFonts w:ascii="Sylfaen" w:eastAsia="Times New Roman" w:hAnsi="Sylfaen" w:cs="Times New Roman"/>
          <w:sz w:val="24"/>
          <w:szCs w:val="24"/>
        </w:rPr>
        <w:sectPr w:rsidR="009211E1" w:rsidSect="00C31D56">
          <w:footerReference w:type="default" r:id="rId24"/>
          <w:footerReference w:type="first" r:id="rId25"/>
          <w:pgSz w:w="11906" w:h="16838" w:code="9"/>
          <w:pgMar w:top="1418" w:right="1418" w:bottom="1418" w:left="1418" w:header="709" w:footer="709" w:gutter="0"/>
          <w:pgNumType w:start="1"/>
          <w:cols w:space="708"/>
          <w:titlePg/>
          <w:docGrid w:linePitch="360"/>
        </w:sectPr>
      </w:pPr>
    </w:p>
    <w:tbl>
      <w:tblPr>
        <w:tblOverlap w:val="never"/>
        <w:tblW w:w="9788" w:type="dxa"/>
        <w:jc w:val="center"/>
        <w:tblLayout w:type="fixed"/>
        <w:tblCellMar>
          <w:left w:w="10" w:type="dxa"/>
          <w:right w:w="10" w:type="dxa"/>
        </w:tblCellMar>
        <w:tblLook w:val="04A0" w:firstRow="1" w:lastRow="0" w:firstColumn="1" w:lastColumn="0" w:noHBand="0" w:noVBand="1"/>
      </w:tblPr>
      <w:tblGrid>
        <w:gridCol w:w="688"/>
        <w:gridCol w:w="8526"/>
        <w:gridCol w:w="574"/>
      </w:tblGrid>
      <w:tr w:rsidR="008C76E0" w:rsidRPr="003B2786" w14:paraId="12C5057A" w14:textId="77777777" w:rsidTr="008C76E0">
        <w:trPr>
          <w:trHeight w:val="420"/>
          <w:jc w:val="center"/>
        </w:trPr>
        <w:tc>
          <w:tcPr>
            <w:tcW w:w="9214" w:type="dxa"/>
            <w:gridSpan w:val="2"/>
            <w:shd w:val="clear" w:color="auto" w:fill="FFFFFF"/>
          </w:tcPr>
          <w:p w14:paraId="41B3DDDD" w14:textId="77777777" w:rsidR="008C76E0" w:rsidRPr="00FA2E29"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FA2E29">
              <w:rPr>
                <w:rStyle w:val="Bodytext295pt"/>
                <w:rFonts w:ascii="Sylfaen" w:hAnsi="Sylfaen"/>
                <w:sz w:val="24"/>
                <w:szCs w:val="24"/>
              </w:rPr>
              <w:lastRenderedPageBreak/>
              <w:t>ԲՈՎԱՆԴԱԿՈՒԹՅՈՒՆ</w:t>
            </w:r>
          </w:p>
        </w:tc>
        <w:tc>
          <w:tcPr>
            <w:tcW w:w="574" w:type="dxa"/>
            <w:shd w:val="clear" w:color="auto" w:fill="FFFFFF"/>
          </w:tcPr>
          <w:p w14:paraId="2C534D30" w14:textId="77777777" w:rsidR="008C76E0" w:rsidRPr="003B2786" w:rsidRDefault="008C76E0" w:rsidP="008C76E0">
            <w:pPr>
              <w:spacing w:after="120" w:line="240" w:lineRule="auto"/>
              <w:ind w:right="-19"/>
              <w:jc w:val="center"/>
              <w:rPr>
                <w:rFonts w:ascii="Sylfaen" w:hAnsi="Sylfaen"/>
                <w:b/>
                <w:sz w:val="24"/>
                <w:szCs w:val="24"/>
                <w:highlight w:val="yellow"/>
              </w:rPr>
            </w:pPr>
          </w:p>
        </w:tc>
      </w:tr>
      <w:tr w:rsidR="008C76E0" w:rsidRPr="003B2786" w14:paraId="7652D390" w14:textId="77777777" w:rsidTr="008C76E0">
        <w:trPr>
          <w:trHeight w:val="753"/>
          <w:jc w:val="center"/>
        </w:trPr>
        <w:tc>
          <w:tcPr>
            <w:tcW w:w="688" w:type="dxa"/>
            <w:shd w:val="clear" w:color="auto" w:fill="FFFFFF"/>
            <w:vAlign w:val="bottom"/>
          </w:tcPr>
          <w:p w14:paraId="2B6FE766"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w:t>
            </w:r>
          </w:p>
        </w:tc>
        <w:tc>
          <w:tcPr>
            <w:tcW w:w="8526" w:type="dxa"/>
            <w:shd w:val="clear" w:color="auto" w:fill="FFFFFF"/>
            <w:vAlign w:val="bottom"/>
          </w:tcPr>
          <w:p w14:paraId="7F0CF1DE"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Հանձնարարական</w:t>
            </w:r>
          </w:p>
        </w:tc>
        <w:tc>
          <w:tcPr>
            <w:tcW w:w="574" w:type="dxa"/>
            <w:shd w:val="clear" w:color="auto" w:fill="FFFFFF"/>
            <w:vAlign w:val="bottom"/>
          </w:tcPr>
          <w:p w14:paraId="2EA7CC3C"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6F988D9F" w14:textId="77777777" w:rsidTr="008C76E0">
        <w:trPr>
          <w:trHeight w:val="567"/>
          <w:jc w:val="center"/>
        </w:trPr>
        <w:tc>
          <w:tcPr>
            <w:tcW w:w="688" w:type="dxa"/>
            <w:shd w:val="clear" w:color="auto" w:fill="FFFFFF"/>
            <w:vAlign w:val="bottom"/>
          </w:tcPr>
          <w:p w14:paraId="628B3D3D"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w:t>
            </w:r>
          </w:p>
        </w:tc>
        <w:tc>
          <w:tcPr>
            <w:tcW w:w="8526" w:type="dxa"/>
            <w:shd w:val="clear" w:color="auto" w:fill="FFFFFF"/>
            <w:vAlign w:val="bottom"/>
          </w:tcPr>
          <w:p w14:paraId="12B925CE"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Բացատրագիր</w:t>
            </w:r>
          </w:p>
        </w:tc>
        <w:tc>
          <w:tcPr>
            <w:tcW w:w="574" w:type="dxa"/>
            <w:shd w:val="clear" w:color="auto" w:fill="FFFFFF"/>
            <w:vAlign w:val="bottom"/>
          </w:tcPr>
          <w:p w14:paraId="63EBFEBD" w14:textId="77777777" w:rsidR="008C76E0" w:rsidRPr="00FA2E29" w:rsidRDefault="009211E1" w:rsidP="009211E1">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014BD4C7" w14:textId="77777777" w:rsidTr="008C76E0">
        <w:trPr>
          <w:trHeight w:val="553"/>
          <w:jc w:val="center"/>
        </w:trPr>
        <w:tc>
          <w:tcPr>
            <w:tcW w:w="688" w:type="dxa"/>
            <w:shd w:val="clear" w:color="auto" w:fill="FFFFFF"/>
          </w:tcPr>
          <w:p w14:paraId="4A7DFB5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 1.</w:t>
            </w:r>
          </w:p>
        </w:tc>
        <w:tc>
          <w:tcPr>
            <w:tcW w:w="8526" w:type="dxa"/>
            <w:shd w:val="clear" w:color="auto" w:fill="FFFFFF"/>
          </w:tcPr>
          <w:p w14:paraId="5E20AFC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Խնդիրների առաջադրում</w:t>
            </w:r>
          </w:p>
        </w:tc>
        <w:tc>
          <w:tcPr>
            <w:tcW w:w="574" w:type="dxa"/>
            <w:shd w:val="clear" w:color="auto" w:fill="FFFFFF"/>
          </w:tcPr>
          <w:p w14:paraId="2704E181"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011B8608" w14:textId="77777777" w:rsidTr="008C76E0">
        <w:trPr>
          <w:trHeight w:val="567"/>
          <w:jc w:val="center"/>
        </w:trPr>
        <w:tc>
          <w:tcPr>
            <w:tcW w:w="688" w:type="dxa"/>
            <w:shd w:val="clear" w:color="auto" w:fill="FFFFFF"/>
          </w:tcPr>
          <w:p w14:paraId="552E91A3"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II.2.</w:t>
            </w:r>
          </w:p>
        </w:tc>
        <w:tc>
          <w:tcPr>
            <w:tcW w:w="8526" w:type="dxa"/>
            <w:shd w:val="clear" w:color="auto" w:fill="FFFFFF"/>
          </w:tcPr>
          <w:p w14:paraId="7695EEA8"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Պատրաստուկի մասին</w:t>
            </w:r>
          </w:p>
        </w:tc>
        <w:tc>
          <w:tcPr>
            <w:tcW w:w="574" w:type="dxa"/>
            <w:shd w:val="clear" w:color="auto" w:fill="FFFFFF"/>
          </w:tcPr>
          <w:p w14:paraId="70F1A388"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3CF792E6" w14:textId="77777777" w:rsidTr="008C76E0">
        <w:trPr>
          <w:trHeight w:val="529"/>
          <w:jc w:val="center"/>
        </w:trPr>
        <w:tc>
          <w:tcPr>
            <w:tcW w:w="688" w:type="dxa"/>
            <w:shd w:val="clear" w:color="auto" w:fill="FFFFFF"/>
          </w:tcPr>
          <w:p w14:paraId="17F18A7F"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II.З.</w:t>
            </w:r>
          </w:p>
        </w:tc>
        <w:tc>
          <w:tcPr>
            <w:tcW w:w="8526" w:type="dxa"/>
            <w:shd w:val="clear" w:color="auto" w:fill="FFFFFF"/>
          </w:tcPr>
          <w:p w14:paraId="285AD659"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Ներկայացված դոսյեի վերաբերյալ ընդհանուր դիտողություններ</w:t>
            </w:r>
          </w:p>
        </w:tc>
        <w:tc>
          <w:tcPr>
            <w:tcW w:w="574" w:type="dxa"/>
            <w:shd w:val="clear" w:color="auto" w:fill="FFFFFF"/>
          </w:tcPr>
          <w:p w14:paraId="3FDDD9C1"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34216F23" w14:textId="77777777" w:rsidTr="008C76E0">
        <w:trPr>
          <w:trHeight w:val="1836"/>
          <w:jc w:val="center"/>
        </w:trPr>
        <w:tc>
          <w:tcPr>
            <w:tcW w:w="688" w:type="dxa"/>
            <w:shd w:val="clear" w:color="auto" w:fill="FFFFFF"/>
          </w:tcPr>
          <w:p w14:paraId="00CB522F"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II.4.</w:t>
            </w:r>
          </w:p>
        </w:tc>
        <w:tc>
          <w:tcPr>
            <w:tcW w:w="8526" w:type="dxa"/>
            <w:shd w:val="clear" w:color="auto" w:fill="FFFFFF"/>
          </w:tcPr>
          <w:p w14:paraId="131C7346"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 xml:space="preserve">Պատշաճ արտադրական գործունեության (GMP), պատշաճ լաբորատոր գործունեության (GLP), պատշաճ կլինիկական գործունեության (GCP) պահանջների կատարման </w:t>
            </w:r>
            <w:r w:rsidR="00C54D75">
              <w:rPr>
                <w:rStyle w:val="Bodytext295pt"/>
                <w:rFonts w:ascii="Sylfaen" w:hAnsi="Sylfaen"/>
                <w:sz w:val="24"/>
                <w:szCs w:val="24"/>
              </w:rPr>
              <w:t>և</w:t>
            </w:r>
            <w:r w:rsidRPr="00FA2E29">
              <w:rPr>
                <w:rStyle w:val="Bodytext295pt"/>
                <w:rFonts w:ascii="Sylfaen" w:hAnsi="Sylfaen"/>
                <w:sz w:val="24"/>
                <w:szCs w:val="24"/>
              </w:rPr>
              <w:t xml:space="preserve"> էթիկայի համաձայնեցված սկզբունքների պահպանման վերաբերյալ ընդհանուր դիտողություններ</w:t>
            </w:r>
          </w:p>
        </w:tc>
        <w:tc>
          <w:tcPr>
            <w:tcW w:w="574" w:type="dxa"/>
            <w:shd w:val="clear" w:color="auto" w:fill="FFFFFF"/>
          </w:tcPr>
          <w:p w14:paraId="457EFFA0" w14:textId="77777777" w:rsidR="008C76E0" w:rsidRPr="00FA2E29" w:rsidRDefault="009211E1" w:rsidP="008C76E0">
            <w:pPr>
              <w:spacing w:after="120" w:line="240" w:lineRule="auto"/>
              <w:ind w:right="-19"/>
              <w:jc w:val="center"/>
              <w:rPr>
                <w:rFonts w:ascii="Sylfaen" w:hAnsi="Sylfaen"/>
                <w:sz w:val="24"/>
                <w:szCs w:val="24"/>
                <w:lang w:val="en-US"/>
              </w:rPr>
            </w:pPr>
            <w:r w:rsidRPr="00FA2E29">
              <w:rPr>
                <w:rFonts w:ascii="Sylfaen" w:hAnsi="Sylfaen"/>
                <w:sz w:val="24"/>
                <w:szCs w:val="24"/>
                <w:lang w:val="en-US"/>
              </w:rPr>
              <w:t>5</w:t>
            </w:r>
          </w:p>
        </w:tc>
      </w:tr>
      <w:tr w:rsidR="008C76E0" w:rsidRPr="003B2786" w14:paraId="35E22463" w14:textId="77777777" w:rsidTr="008C76E0">
        <w:trPr>
          <w:trHeight w:val="567"/>
          <w:jc w:val="center"/>
        </w:trPr>
        <w:tc>
          <w:tcPr>
            <w:tcW w:w="688" w:type="dxa"/>
            <w:shd w:val="clear" w:color="auto" w:fill="FFFFFF"/>
          </w:tcPr>
          <w:p w14:paraId="01B150F5"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III.</w:t>
            </w:r>
          </w:p>
        </w:tc>
        <w:tc>
          <w:tcPr>
            <w:tcW w:w="8526" w:type="dxa"/>
            <w:shd w:val="clear" w:color="auto" w:fill="FFFFFF"/>
          </w:tcPr>
          <w:p w14:paraId="0A7B862C"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 xml:space="preserve">Գիտական ակնարկ </w:t>
            </w:r>
            <w:r w:rsidR="00C54D75">
              <w:rPr>
                <w:rStyle w:val="Bodytext295pt"/>
                <w:rFonts w:ascii="Sylfaen" w:hAnsi="Sylfaen"/>
                <w:sz w:val="24"/>
                <w:szCs w:val="24"/>
              </w:rPr>
              <w:t>և</w:t>
            </w:r>
            <w:r w:rsidRPr="00FA2E29">
              <w:rPr>
                <w:rStyle w:val="Bodytext295pt"/>
                <w:rFonts w:ascii="Sylfaen" w:hAnsi="Sylfaen"/>
                <w:sz w:val="24"/>
                <w:szCs w:val="24"/>
              </w:rPr>
              <w:t xml:space="preserve"> քննարկում</w:t>
            </w:r>
          </w:p>
        </w:tc>
        <w:tc>
          <w:tcPr>
            <w:tcW w:w="574" w:type="dxa"/>
            <w:shd w:val="clear" w:color="auto" w:fill="FFFFFF"/>
            <w:vAlign w:val="bottom"/>
          </w:tcPr>
          <w:p w14:paraId="3FD6FE2F"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Fonts w:ascii="Sylfaen" w:hAnsi="Sylfaen"/>
                <w:b w:val="0"/>
                <w:sz w:val="24"/>
                <w:szCs w:val="24"/>
              </w:rPr>
              <w:t>6</w:t>
            </w:r>
          </w:p>
        </w:tc>
      </w:tr>
      <w:tr w:rsidR="008C76E0" w:rsidRPr="003B2786" w14:paraId="4CC393A3" w14:textId="77777777" w:rsidTr="008C76E0">
        <w:trPr>
          <w:trHeight w:val="567"/>
          <w:jc w:val="center"/>
        </w:trPr>
        <w:tc>
          <w:tcPr>
            <w:tcW w:w="688" w:type="dxa"/>
            <w:shd w:val="clear" w:color="auto" w:fill="FFFFFF"/>
          </w:tcPr>
          <w:p w14:paraId="3F9AB3E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III.1.</w:t>
            </w:r>
          </w:p>
        </w:tc>
        <w:tc>
          <w:tcPr>
            <w:tcW w:w="8526" w:type="dxa"/>
            <w:shd w:val="clear" w:color="auto" w:fill="FFFFFF"/>
          </w:tcPr>
          <w:p w14:paraId="2CF522ED"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Որակի ասպեկտները</w:t>
            </w:r>
          </w:p>
        </w:tc>
        <w:tc>
          <w:tcPr>
            <w:tcW w:w="574" w:type="dxa"/>
            <w:shd w:val="clear" w:color="auto" w:fill="FFFFFF"/>
          </w:tcPr>
          <w:p w14:paraId="5349AECB"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7</w:t>
            </w:r>
          </w:p>
        </w:tc>
      </w:tr>
      <w:tr w:rsidR="008C76E0" w:rsidRPr="003B2786" w14:paraId="10139B9C" w14:textId="77777777" w:rsidTr="008C76E0">
        <w:trPr>
          <w:trHeight w:val="567"/>
          <w:jc w:val="center"/>
        </w:trPr>
        <w:tc>
          <w:tcPr>
            <w:tcW w:w="688" w:type="dxa"/>
            <w:shd w:val="clear" w:color="auto" w:fill="FFFFFF"/>
          </w:tcPr>
          <w:p w14:paraId="0603B1A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III.2.</w:t>
            </w:r>
          </w:p>
        </w:tc>
        <w:tc>
          <w:tcPr>
            <w:tcW w:w="8526" w:type="dxa"/>
            <w:shd w:val="clear" w:color="auto" w:fill="FFFFFF"/>
          </w:tcPr>
          <w:p w14:paraId="56C31A8D"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Նախակլինիկական ասպեկտները</w:t>
            </w:r>
          </w:p>
        </w:tc>
        <w:tc>
          <w:tcPr>
            <w:tcW w:w="574" w:type="dxa"/>
            <w:shd w:val="clear" w:color="auto" w:fill="FFFFFF"/>
            <w:vAlign w:val="bottom"/>
          </w:tcPr>
          <w:p w14:paraId="15DE669F"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9</w:t>
            </w:r>
          </w:p>
        </w:tc>
      </w:tr>
      <w:tr w:rsidR="008C76E0" w:rsidRPr="003B2786" w14:paraId="52E432DD" w14:textId="77777777" w:rsidTr="008C76E0">
        <w:trPr>
          <w:trHeight w:val="553"/>
          <w:jc w:val="center"/>
        </w:trPr>
        <w:tc>
          <w:tcPr>
            <w:tcW w:w="688" w:type="dxa"/>
            <w:shd w:val="clear" w:color="auto" w:fill="FFFFFF"/>
          </w:tcPr>
          <w:p w14:paraId="5B456BD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Ш.З.</w:t>
            </w:r>
          </w:p>
        </w:tc>
        <w:tc>
          <w:tcPr>
            <w:tcW w:w="8526" w:type="dxa"/>
            <w:shd w:val="clear" w:color="auto" w:fill="FFFFFF"/>
          </w:tcPr>
          <w:p w14:paraId="1146EB7A"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Կլինիկական ասպեկտները</w:t>
            </w:r>
          </w:p>
        </w:tc>
        <w:tc>
          <w:tcPr>
            <w:tcW w:w="574" w:type="dxa"/>
            <w:shd w:val="clear" w:color="auto" w:fill="FFFFFF"/>
            <w:vAlign w:val="bottom"/>
          </w:tcPr>
          <w:p w14:paraId="68C46F06"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9</w:t>
            </w:r>
          </w:p>
        </w:tc>
      </w:tr>
      <w:tr w:rsidR="008C76E0" w:rsidRPr="003B2786" w14:paraId="6C54649A" w14:textId="77777777" w:rsidTr="008C76E0">
        <w:trPr>
          <w:trHeight w:val="567"/>
          <w:jc w:val="center"/>
        </w:trPr>
        <w:tc>
          <w:tcPr>
            <w:tcW w:w="688" w:type="dxa"/>
            <w:shd w:val="clear" w:color="auto" w:fill="FFFFFF"/>
          </w:tcPr>
          <w:p w14:paraId="1780218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IV.</w:t>
            </w:r>
          </w:p>
        </w:tc>
        <w:tc>
          <w:tcPr>
            <w:tcW w:w="8526" w:type="dxa"/>
            <w:shd w:val="clear" w:color="auto" w:fill="FFFFFF"/>
          </w:tcPr>
          <w:p w14:paraId="2992F855"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Օգուտ </w:t>
            </w:r>
            <w:r w:rsidR="00C54D75">
              <w:rPr>
                <w:rStyle w:val="Bodytext295pt"/>
                <w:rFonts w:ascii="Sylfaen" w:hAnsi="Sylfaen"/>
                <w:sz w:val="24"/>
                <w:szCs w:val="24"/>
              </w:rPr>
              <w:t>և</w:t>
            </w:r>
            <w:r w:rsidRPr="00FA2E29">
              <w:rPr>
                <w:rStyle w:val="Bodytext295pt"/>
                <w:rFonts w:ascii="Sylfaen" w:hAnsi="Sylfaen"/>
                <w:sz w:val="24"/>
                <w:szCs w:val="24"/>
              </w:rPr>
              <w:t xml:space="preserve"> ռիսկ հարաբերակցության գնահատումը</w:t>
            </w:r>
          </w:p>
        </w:tc>
        <w:tc>
          <w:tcPr>
            <w:tcW w:w="574" w:type="dxa"/>
            <w:shd w:val="clear" w:color="auto" w:fill="FFFFFF"/>
            <w:vAlign w:val="bottom"/>
          </w:tcPr>
          <w:p w14:paraId="064DA8E1"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11</w:t>
            </w:r>
          </w:p>
        </w:tc>
      </w:tr>
      <w:tr w:rsidR="008C76E0" w:rsidRPr="003B2786" w14:paraId="17C6BC69" w14:textId="77777777" w:rsidTr="008C76E0">
        <w:trPr>
          <w:trHeight w:val="985"/>
          <w:jc w:val="center"/>
        </w:trPr>
        <w:tc>
          <w:tcPr>
            <w:tcW w:w="688" w:type="dxa"/>
            <w:shd w:val="clear" w:color="auto" w:fill="FFFFFF"/>
          </w:tcPr>
          <w:p w14:paraId="7CA44FDE"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w:t>
            </w:r>
          </w:p>
        </w:tc>
        <w:tc>
          <w:tcPr>
            <w:tcW w:w="8526" w:type="dxa"/>
            <w:shd w:val="clear" w:color="auto" w:fill="FFFFFF"/>
          </w:tcPr>
          <w:p w14:paraId="4698F574"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Գրանցման հավաստագրի տրամադրման առաջարկվող պայմանները </w:t>
            </w:r>
            <w:r w:rsidR="00C54D75">
              <w:rPr>
                <w:rStyle w:val="Bodytext295pt"/>
                <w:rFonts w:ascii="Sylfaen" w:hAnsi="Sylfaen"/>
                <w:sz w:val="24"/>
                <w:szCs w:val="24"/>
              </w:rPr>
              <w:t>և</w:t>
            </w:r>
            <w:r w:rsidRPr="00FA2E29">
              <w:rPr>
                <w:rStyle w:val="Bodytext295pt"/>
                <w:rFonts w:ascii="Sylfaen" w:hAnsi="Sylfaen"/>
                <w:sz w:val="24"/>
                <w:szCs w:val="24"/>
              </w:rPr>
              <w:t xml:space="preserve"> պատրաստուկի վերաբերյալ տեղեկատվությունը</w:t>
            </w:r>
          </w:p>
        </w:tc>
        <w:tc>
          <w:tcPr>
            <w:tcW w:w="574" w:type="dxa"/>
            <w:shd w:val="clear" w:color="auto" w:fill="FFFFFF"/>
            <w:vAlign w:val="center"/>
          </w:tcPr>
          <w:p w14:paraId="750D3C14"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13</w:t>
            </w:r>
          </w:p>
        </w:tc>
      </w:tr>
      <w:tr w:rsidR="008C76E0" w:rsidRPr="003B2786" w14:paraId="42CD3AE7" w14:textId="77777777" w:rsidTr="008C76E0">
        <w:trPr>
          <w:trHeight w:val="567"/>
          <w:jc w:val="center"/>
        </w:trPr>
        <w:tc>
          <w:tcPr>
            <w:tcW w:w="688" w:type="dxa"/>
            <w:shd w:val="clear" w:color="auto" w:fill="FFFFFF"/>
          </w:tcPr>
          <w:p w14:paraId="3E36C669"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V.1.</w:t>
            </w:r>
          </w:p>
        </w:tc>
        <w:tc>
          <w:tcPr>
            <w:tcW w:w="8526" w:type="dxa"/>
            <w:shd w:val="clear" w:color="auto" w:fill="FFFFFF"/>
          </w:tcPr>
          <w:p w14:paraId="566681CF"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Գրանցման հավաստագրի տրամադրման պայմանները</w:t>
            </w:r>
          </w:p>
        </w:tc>
        <w:tc>
          <w:tcPr>
            <w:tcW w:w="574" w:type="dxa"/>
            <w:shd w:val="clear" w:color="auto" w:fill="FFFFFF"/>
            <w:vAlign w:val="bottom"/>
          </w:tcPr>
          <w:p w14:paraId="358ECFF8"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13</w:t>
            </w:r>
          </w:p>
        </w:tc>
      </w:tr>
      <w:tr w:rsidR="008C76E0" w:rsidRPr="003B2786" w14:paraId="57A4E760" w14:textId="77777777" w:rsidTr="008C76E0">
        <w:trPr>
          <w:trHeight w:val="567"/>
          <w:jc w:val="center"/>
        </w:trPr>
        <w:tc>
          <w:tcPr>
            <w:tcW w:w="688" w:type="dxa"/>
            <w:shd w:val="clear" w:color="auto" w:fill="FFFFFF"/>
          </w:tcPr>
          <w:p w14:paraId="565999A4"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V.2.</w:t>
            </w:r>
          </w:p>
        </w:tc>
        <w:tc>
          <w:tcPr>
            <w:tcW w:w="8526" w:type="dxa"/>
            <w:shd w:val="clear" w:color="auto" w:fill="FFFFFF"/>
          </w:tcPr>
          <w:p w14:paraId="46680DBB"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Դեղապատրաստուկի ընդհանուր բնութագիրը</w:t>
            </w:r>
          </w:p>
        </w:tc>
        <w:tc>
          <w:tcPr>
            <w:tcW w:w="574" w:type="dxa"/>
            <w:shd w:val="clear" w:color="auto" w:fill="FFFFFF"/>
            <w:vAlign w:val="bottom"/>
          </w:tcPr>
          <w:p w14:paraId="20E3A104"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8C76E0" w:rsidRPr="003B2786" w14:paraId="2CCC4BC3" w14:textId="77777777" w:rsidTr="008C76E0">
        <w:trPr>
          <w:trHeight w:val="567"/>
          <w:jc w:val="center"/>
        </w:trPr>
        <w:tc>
          <w:tcPr>
            <w:tcW w:w="688" w:type="dxa"/>
            <w:shd w:val="clear" w:color="auto" w:fill="FFFFFF"/>
          </w:tcPr>
          <w:p w14:paraId="6C4D2E4E"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V.3.</w:t>
            </w:r>
          </w:p>
        </w:tc>
        <w:tc>
          <w:tcPr>
            <w:tcW w:w="8526" w:type="dxa"/>
            <w:shd w:val="clear" w:color="auto" w:fill="FFFFFF"/>
          </w:tcPr>
          <w:p w14:paraId="67F65DC5"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Ներդիր թերթիկը </w:t>
            </w:r>
            <w:r w:rsidR="00C54D75">
              <w:rPr>
                <w:rStyle w:val="Bodytext295pt"/>
                <w:rFonts w:ascii="Sylfaen" w:hAnsi="Sylfaen"/>
                <w:sz w:val="24"/>
                <w:szCs w:val="24"/>
              </w:rPr>
              <w:t>և</w:t>
            </w:r>
            <w:r w:rsidRPr="00FA2E29">
              <w:rPr>
                <w:rStyle w:val="Bodytext295pt"/>
                <w:rFonts w:ascii="Sylfaen" w:hAnsi="Sylfaen"/>
                <w:sz w:val="24"/>
                <w:szCs w:val="24"/>
              </w:rPr>
              <w:t xml:space="preserve"> օգտատերերի թեստավորումը</w:t>
            </w:r>
          </w:p>
        </w:tc>
        <w:tc>
          <w:tcPr>
            <w:tcW w:w="574" w:type="dxa"/>
            <w:shd w:val="clear" w:color="auto" w:fill="FFFFFF"/>
            <w:vAlign w:val="bottom"/>
          </w:tcPr>
          <w:p w14:paraId="71783D15"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8C76E0" w:rsidRPr="003B2786" w14:paraId="1ACE7FDF" w14:textId="77777777" w:rsidTr="008C76E0">
        <w:trPr>
          <w:trHeight w:val="567"/>
          <w:jc w:val="center"/>
        </w:trPr>
        <w:tc>
          <w:tcPr>
            <w:tcW w:w="688" w:type="dxa"/>
            <w:shd w:val="clear" w:color="auto" w:fill="FFFFFF"/>
          </w:tcPr>
          <w:p w14:paraId="34833881"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V.4.</w:t>
            </w:r>
          </w:p>
        </w:tc>
        <w:tc>
          <w:tcPr>
            <w:tcW w:w="8526" w:type="dxa"/>
            <w:shd w:val="clear" w:color="auto" w:fill="FFFFFF"/>
          </w:tcPr>
          <w:p w14:paraId="291B7D5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Մակնշումը</w:t>
            </w:r>
          </w:p>
        </w:tc>
        <w:tc>
          <w:tcPr>
            <w:tcW w:w="574" w:type="dxa"/>
            <w:shd w:val="clear" w:color="auto" w:fill="FFFFFF"/>
            <w:vAlign w:val="bottom"/>
          </w:tcPr>
          <w:p w14:paraId="1EA4293B"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FA2E29" w:rsidRPr="003B2786" w14:paraId="5F5D5C42" w14:textId="77777777" w:rsidTr="008C76E0">
        <w:trPr>
          <w:trHeight w:val="1403"/>
          <w:jc w:val="center"/>
        </w:trPr>
        <w:tc>
          <w:tcPr>
            <w:tcW w:w="688" w:type="dxa"/>
            <w:shd w:val="clear" w:color="auto" w:fill="FFFFFF"/>
          </w:tcPr>
          <w:p w14:paraId="7F0C53C4" w14:textId="77777777" w:rsidR="00FA2E29" w:rsidRPr="00FA2E29" w:rsidRDefault="00FA2E29"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VI.</w:t>
            </w:r>
          </w:p>
        </w:tc>
        <w:tc>
          <w:tcPr>
            <w:tcW w:w="8526" w:type="dxa"/>
            <w:vMerge w:val="restart"/>
            <w:shd w:val="clear" w:color="auto" w:fill="FFFFFF"/>
          </w:tcPr>
          <w:p w14:paraId="16F68A88" w14:textId="77777777" w:rsidR="00FA2E29" w:rsidRPr="00FA2E29" w:rsidRDefault="00FA2E29" w:rsidP="00FA2E29">
            <w:pPr>
              <w:pStyle w:val="Bodytext180"/>
              <w:shd w:val="clear" w:color="auto" w:fill="auto"/>
              <w:spacing w:before="0" w:after="120" w:line="240" w:lineRule="auto"/>
              <w:ind w:firstLine="0"/>
              <w:jc w:val="both"/>
              <w:outlineLvl w:val="0"/>
              <w:rPr>
                <w:rFonts w:ascii="Sylfaen" w:hAnsi="Sylfaen"/>
                <w:b w:val="0"/>
                <w:sz w:val="24"/>
                <w:szCs w:val="24"/>
                <w:lang w:val="hy-AM"/>
              </w:rPr>
            </w:pPr>
            <w:r w:rsidRPr="00FA2E29">
              <w:rPr>
                <w:rStyle w:val="Bodytext295pt"/>
                <w:rFonts w:ascii="Sylfaen" w:hAnsi="Sylfaen"/>
                <w:sz w:val="24"/>
                <w:szCs w:val="24"/>
              </w:rPr>
              <w:t xml:space="preserve">Հավելված. Օգտատերերի թեստավորման արդյունքների վերլուծության համար նախատեսված փաստաթղթերի </w:t>
            </w:r>
            <w:r w:rsidR="00C54D75">
              <w:rPr>
                <w:rStyle w:val="Bodytext295pt"/>
                <w:rFonts w:ascii="Sylfaen" w:hAnsi="Sylfaen"/>
                <w:sz w:val="24"/>
                <w:szCs w:val="24"/>
              </w:rPr>
              <w:t>և</w:t>
            </w:r>
            <w:r w:rsidRPr="00FA2E29">
              <w:rPr>
                <w:rStyle w:val="Bodytext295pt"/>
                <w:rFonts w:ascii="Sylfaen" w:hAnsi="Sylfaen"/>
                <w:sz w:val="24"/>
                <w:szCs w:val="24"/>
              </w:rPr>
              <w:t xml:space="preserve"> ստուգաթերթերի որակի ստուգման վերաբերյալ ուղեցույցը: Գրանցման հավաստագրի տրամադրման պայմանները</w:t>
            </w:r>
          </w:p>
        </w:tc>
        <w:tc>
          <w:tcPr>
            <w:tcW w:w="574" w:type="dxa"/>
            <w:vMerge w:val="restart"/>
            <w:shd w:val="clear" w:color="auto" w:fill="FFFFFF"/>
          </w:tcPr>
          <w:p w14:paraId="0B2D2E7E" w14:textId="77777777" w:rsidR="00FA2E29" w:rsidRPr="00FA2E29" w:rsidRDefault="00FA2E29" w:rsidP="008C76E0">
            <w:pPr>
              <w:spacing w:after="120" w:line="240" w:lineRule="auto"/>
              <w:ind w:right="-19"/>
              <w:jc w:val="center"/>
              <w:rPr>
                <w:rFonts w:ascii="Sylfaen" w:hAnsi="Sylfaen"/>
                <w:sz w:val="24"/>
                <w:szCs w:val="24"/>
                <w:lang w:val="en-US"/>
              </w:rPr>
            </w:pPr>
            <w:r w:rsidRPr="00FA2E29">
              <w:rPr>
                <w:rFonts w:ascii="Sylfaen" w:hAnsi="Sylfaen"/>
                <w:sz w:val="24"/>
                <w:szCs w:val="24"/>
                <w:lang w:val="en-US"/>
              </w:rPr>
              <w:t>14</w:t>
            </w:r>
          </w:p>
        </w:tc>
      </w:tr>
      <w:tr w:rsidR="00FA2E29" w:rsidRPr="003B2786" w14:paraId="6D6476B5" w14:textId="77777777" w:rsidTr="008C76E0">
        <w:trPr>
          <w:trHeight w:val="567"/>
          <w:jc w:val="center"/>
        </w:trPr>
        <w:tc>
          <w:tcPr>
            <w:tcW w:w="688" w:type="dxa"/>
            <w:shd w:val="clear" w:color="auto" w:fill="FFFFFF"/>
          </w:tcPr>
          <w:p w14:paraId="1BA92A91" w14:textId="77777777" w:rsidR="00FA2E29" w:rsidRPr="003B2786" w:rsidRDefault="00FA2E29" w:rsidP="008C76E0">
            <w:pPr>
              <w:spacing w:after="120" w:line="240" w:lineRule="auto"/>
              <w:jc w:val="both"/>
              <w:rPr>
                <w:rFonts w:ascii="Sylfaen" w:hAnsi="Sylfaen"/>
                <w:sz w:val="24"/>
                <w:szCs w:val="24"/>
                <w:highlight w:val="yellow"/>
              </w:rPr>
            </w:pPr>
          </w:p>
        </w:tc>
        <w:tc>
          <w:tcPr>
            <w:tcW w:w="8526" w:type="dxa"/>
            <w:vMerge/>
            <w:shd w:val="clear" w:color="auto" w:fill="FFFFFF"/>
          </w:tcPr>
          <w:p w14:paraId="43D2C74E" w14:textId="77777777" w:rsidR="00FA2E29" w:rsidRPr="003B2786" w:rsidRDefault="00FA2E29" w:rsidP="008C76E0">
            <w:pPr>
              <w:pStyle w:val="Bodytext180"/>
              <w:shd w:val="clear" w:color="auto" w:fill="auto"/>
              <w:spacing w:before="0" w:after="120" w:line="240" w:lineRule="auto"/>
              <w:ind w:firstLine="0"/>
              <w:jc w:val="both"/>
              <w:rPr>
                <w:rFonts w:ascii="Sylfaen" w:hAnsi="Sylfaen"/>
                <w:b w:val="0"/>
                <w:sz w:val="24"/>
                <w:szCs w:val="24"/>
                <w:highlight w:val="yellow"/>
              </w:rPr>
            </w:pPr>
          </w:p>
        </w:tc>
        <w:tc>
          <w:tcPr>
            <w:tcW w:w="574" w:type="dxa"/>
            <w:vMerge/>
            <w:shd w:val="clear" w:color="auto" w:fill="FFFFFF"/>
            <w:vAlign w:val="bottom"/>
          </w:tcPr>
          <w:p w14:paraId="0834D1E2" w14:textId="77777777" w:rsidR="00FA2E29" w:rsidRPr="003B2786" w:rsidRDefault="00FA2E29" w:rsidP="008C76E0">
            <w:pPr>
              <w:pStyle w:val="Bodytext180"/>
              <w:shd w:val="clear" w:color="auto" w:fill="auto"/>
              <w:spacing w:before="0" w:after="120" w:line="240" w:lineRule="auto"/>
              <w:ind w:right="-19" w:firstLine="0"/>
              <w:jc w:val="center"/>
              <w:rPr>
                <w:rFonts w:ascii="Sylfaen" w:hAnsi="Sylfaen"/>
                <w:b w:val="0"/>
                <w:sz w:val="24"/>
                <w:szCs w:val="24"/>
              </w:rPr>
            </w:pPr>
          </w:p>
        </w:tc>
      </w:tr>
    </w:tbl>
    <w:p w14:paraId="422AF304" w14:textId="77777777" w:rsidR="008C76E0" w:rsidRPr="003B2786" w:rsidRDefault="008C76E0" w:rsidP="008C76E0">
      <w:pPr>
        <w:ind w:right="-1"/>
        <w:jc w:val="both"/>
        <w:rPr>
          <w:rFonts w:ascii="Sylfaen" w:hAnsi="Sylfaen"/>
          <w:sz w:val="24"/>
          <w:szCs w:val="24"/>
        </w:rPr>
      </w:pPr>
    </w:p>
    <w:tbl>
      <w:tblPr>
        <w:tblOverlap w:val="never"/>
        <w:tblW w:w="10120" w:type="dxa"/>
        <w:jc w:val="center"/>
        <w:tblLayout w:type="fixed"/>
        <w:tblCellMar>
          <w:left w:w="10" w:type="dxa"/>
          <w:right w:w="10" w:type="dxa"/>
        </w:tblCellMar>
        <w:tblLook w:val="04A0" w:firstRow="1" w:lastRow="0" w:firstColumn="1" w:lastColumn="0" w:noHBand="0" w:noVBand="1"/>
      </w:tblPr>
      <w:tblGrid>
        <w:gridCol w:w="5927"/>
        <w:gridCol w:w="4193"/>
      </w:tblGrid>
      <w:tr w:rsidR="008C76E0" w:rsidRPr="003B2786" w14:paraId="65B94F12" w14:textId="77777777" w:rsidTr="009211E1">
        <w:trPr>
          <w:trHeight w:val="763"/>
          <w:jc w:val="center"/>
        </w:trPr>
        <w:tc>
          <w:tcPr>
            <w:tcW w:w="10120" w:type="dxa"/>
            <w:gridSpan w:val="2"/>
            <w:shd w:val="clear" w:color="auto" w:fill="FFFFFF"/>
            <w:vAlign w:val="center"/>
          </w:tcPr>
          <w:p w14:paraId="04B9C4A3"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lastRenderedPageBreak/>
              <w:t>ՏԻՏՂՈՍԱԹԵՐԹ</w:t>
            </w:r>
          </w:p>
        </w:tc>
      </w:tr>
      <w:tr w:rsidR="008C76E0" w:rsidRPr="003B2786" w14:paraId="3F7DABDA" w14:textId="77777777" w:rsidTr="009211E1">
        <w:trPr>
          <w:jc w:val="center"/>
        </w:trPr>
        <w:tc>
          <w:tcPr>
            <w:tcW w:w="5927" w:type="dxa"/>
            <w:tcBorders>
              <w:top w:val="single" w:sz="4" w:space="0" w:color="auto"/>
              <w:left w:val="single" w:sz="4" w:space="0" w:color="auto"/>
            </w:tcBorders>
            <w:shd w:val="clear" w:color="auto" w:fill="FFFFFF"/>
          </w:tcPr>
          <w:p w14:paraId="111B45AD" w14:textId="77777777" w:rsidR="008C76E0" w:rsidRPr="003B2786" w:rsidRDefault="008C76E0" w:rsidP="008C76E0">
            <w:pPr>
              <w:pStyle w:val="Bodytext180"/>
              <w:shd w:val="clear" w:color="auto" w:fill="auto"/>
              <w:spacing w:before="0" w:line="240" w:lineRule="auto"/>
              <w:ind w:left="104" w:firstLine="0"/>
              <w:rPr>
                <w:rFonts w:ascii="Sylfaen" w:hAnsi="Sylfaen"/>
                <w:b w:val="0"/>
                <w:sz w:val="24"/>
                <w:szCs w:val="24"/>
              </w:rPr>
            </w:pPr>
            <w:r w:rsidRPr="003B2786">
              <w:rPr>
                <w:rStyle w:val="Bodytext1811pt"/>
                <w:rFonts w:ascii="Sylfaen" w:hAnsi="Sylfaen"/>
                <w:sz w:val="24"/>
                <w:szCs w:val="24"/>
              </w:rPr>
              <w:t>Առ</w:t>
            </w:r>
            <w:r w:rsidR="00C54D75">
              <w:rPr>
                <w:rStyle w:val="Bodytext1811pt"/>
                <w:rFonts w:ascii="Sylfaen" w:hAnsi="Sylfaen"/>
                <w:sz w:val="24"/>
                <w:szCs w:val="24"/>
              </w:rPr>
              <w:t>և</w:t>
            </w:r>
            <w:r w:rsidRPr="003B2786">
              <w:rPr>
                <w:rStyle w:val="Bodytext1811pt"/>
                <w:rFonts w:ascii="Sylfaen" w:hAnsi="Sylfaen"/>
                <w:sz w:val="24"/>
                <w:szCs w:val="24"/>
              </w:rPr>
              <w:t>տրային անվանումը ռեֆերենտ պետությունում</w:t>
            </w:r>
          </w:p>
        </w:tc>
        <w:tc>
          <w:tcPr>
            <w:tcW w:w="4193" w:type="dxa"/>
            <w:tcBorders>
              <w:top w:val="single" w:sz="4" w:space="0" w:color="auto"/>
              <w:left w:val="single" w:sz="4" w:space="0" w:color="auto"/>
              <w:right w:val="single" w:sz="4" w:space="0" w:color="auto"/>
            </w:tcBorders>
            <w:shd w:val="clear" w:color="auto" w:fill="FFFFFF"/>
          </w:tcPr>
          <w:p w14:paraId="5E4CB30C" w14:textId="77777777" w:rsidR="008C76E0" w:rsidRPr="003B2786" w:rsidRDefault="008C76E0" w:rsidP="008C76E0">
            <w:pPr>
              <w:spacing w:after="120" w:line="240" w:lineRule="auto"/>
              <w:rPr>
                <w:rFonts w:ascii="Sylfaen" w:hAnsi="Sylfaen"/>
                <w:sz w:val="24"/>
                <w:szCs w:val="24"/>
              </w:rPr>
            </w:pPr>
          </w:p>
        </w:tc>
      </w:tr>
      <w:tr w:rsidR="008C76E0" w:rsidRPr="003B2786" w14:paraId="2C9CD1F3" w14:textId="77777777" w:rsidTr="009211E1">
        <w:trPr>
          <w:jc w:val="center"/>
        </w:trPr>
        <w:tc>
          <w:tcPr>
            <w:tcW w:w="5927" w:type="dxa"/>
            <w:tcBorders>
              <w:top w:val="single" w:sz="4" w:space="0" w:color="auto"/>
              <w:left w:val="single" w:sz="4" w:space="0" w:color="auto"/>
            </w:tcBorders>
            <w:shd w:val="clear" w:color="auto" w:fill="FFFFFF"/>
          </w:tcPr>
          <w:p w14:paraId="53369187"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Ակտիվ նյութի ՄՉԱ (կամ համընդհանուր անվանումը)</w:t>
            </w:r>
          </w:p>
        </w:tc>
        <w:tc>
          <w:tcPr>
            <w:tcW w:w="4193" w:type="dxa"/>
            <w:tcBorders>
              <w:top w:val="single" w:sz="4" w:space="0" w:color="auto"/>
              <w:left w:val="single" w:sz="4" w:space="0" w:color="auto"/>
              <w:right w:val="single" w:sz="4" w:space="0" w:color="auto"/>
            </w:tcBorders>
            <w:shd w:val="clear" w:color="auto" w:fill="FFFFFF"/>
          </w:tcPr>
          <w:p w14:paraId="6F79BEE2" w14:textId="77777777" w:rsidR="008C76E0" w:rsidRPr="003B2786" w:rsidRDefault="008C76E0" w:rsidP="008C76E0">
            <w:pPr>
              <w:spacing w:after="120" w:line="240" w:lineRule="auto"/>
              <w:rPr>
                <w:rFonts w:ascii="Sylfaen" w:hAnsi="Sylfaen"/>
                <w:sz w:val="24"/>
                <w:szCs w:val="24"/>
              </w:rPr>
            </w:pPr>
          </w:p>
        </w:tc>
      </w:tr>
      <w:tr w:rsidR="008C76E0" w:rsidRPr="003B2786" w14:paraId="5068B33A" w14:textId="77777777" w:rsidTr="009211E1">
        <w:trPr>
          <w:jc w:val="center"/>
        </w:trPr>
        <w:tc>
          <w:tcPr>
            <w:tcW w:w="5927" w:type="dxa"/>
            <w:tcBorders>
              <w:top w:val="single" w:sz="4" w:space="0" w:color="auto"/>
              <w:left w:val="single" w:sz="4" w:space="0" w:color="auto"/>
            </w:tcBorders>
            <w:shd w:val="clear" w:color="auto" w:fill="FFFFFF"/>
          </w:tcPr>
          <w:p w14:paraId="172F15D8"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Դեղաթերապ</w:t>
            </w:r>
            <w:r w:rsidR="00C54D75">
              <w:rPr>
                <w:rStyle w:val="Bodytext1811pt"/>
                <w:rFonts w:ascii="Sylfaen" w:hAnsi="Sylfaen"/>
                <w:sz w:val="24"/>
                <w:szCs w:val="24"/>
              </w:rPr>
              <w:t>և</w:t>
            </w:r>
            <w:r w:rsidRPr="003B2786">
              <w:rPr>
                <w:rStyle w:val="Bodytext1811pt"/>
                <w:rFonts w:ascii="Sylfaen" w:hAnsi="Sylfaen"/>
                <w:sz w:val="24"/>
                <w:szCs w:val="24"/>
              </w:rPr>
              <w:t>տիկ խումբը (ԱԲՔ (ATХ) ծածկագիրը)</w:t>
            </w:r>
          </w:p>
        </w:tc>
        <w:tc>
          <w:tcPr>
            <w:tcW w:w="4193" w:type="dxa"/>
            <w:tcBorders>
              <w:top w:val="single" w:sz="4" w:space="0" w:color="auto"/>
              <w:left w:val="single" w:sz="4" w:space="0" w:color="auto"/>
              <w:right w:val="single" w:sz="4" w:space="0" w:color="auto"/>
            </w:tcBorders>
            <w:shd w:val="clear" w:color="auto" w:fill="FFFFFF"/>
          </w:tcPr>
          <w:p w14:paraId="0465CCA6" w14:textId="77777777" w:rsidR="008C76E0" w:rsidRPr="003B2786" w:rsidRDefault="008C76E0" w:rsidP="008C76E0">
            <w:pPr>
              <w:spacing w:after="120" w:line="240" w:lineRule="auto"/>
              <w:rPr>
                <w:rFonts w:ascii="Sylfaen" w:hAnsi="Sylfaen"/>
                <w:sz w:val="24"/>
                <w:szCs w:val="24"/>
              </w:rPr>
            </w:pPr>
          </w:p>
        </w:tc>
      </w:tr>
      <w:tr w:rsidR="008C76E0" w:rsidRPr="003B2786" w14:paraId="0B1B53D6" w14:textId="77777777" w:rsidTr="009211E1">
        <w:trPr>
          <w:jc w:val="center"/>
        </w:trPr>
        <w:tc>
          <w:tcPr>
            <w:tcW w:w="5927" w:type="dxa"/>
            <w:tcBorders>
              <w:top w:val="single" w:sz="4" w:space="0" w:color="auto"/>
              <w:left w:val="single" w:sz="4" w:space="0" w:color="auto"/>
            </w:tcBorders>
            <w:shd w:val="clear" w:color="auto" w:fill="FFFFFF"/>
          </w:tcPr>
          <w:p w14:paraId="5BB09761"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Բացթողման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w:t>
            </w:r>
            <w:r w:rsidR="00C54D75">
              <w:rPr>
                <w:rStyle w:val="Bodytext1811pt"/>
                <w:rFonts w:ascii="Sylfaen" w:hAnsi="Sylfaen"/>
                <w:sz w:val="24"/>
                <w:szCs w:val="24"/>
              </w:rPr>
              <w:t>և</w:t>
            </w:r>
            <w:r w:rsidRPr="003B2786">
              <w:rPr>
                <w:rStyle w:val="Bodytext1811pt"/>
                <w:rFonts w:ascii="Sylfaen" w:hAnsi="Sylfaen"/>
                <w:sz w:val="24"/>
                <w:szCs w:val="24"/>
              </w:rPr>
              <w:t xml:space="preserve"> դոզան (դոզաները)</w:t>
            </w:r>
          </w:p>
        </w:tc>
        <w:tc>
          <w:tcPr>
            <w:tcW w:w="4193" w:type="dxa"/>
            <w:tcBorders>
              <w:top w:val="single" w:sz="4" w:space="0" w:color="auto"/>
              <w:left w:val="single" w:sz="4" w:space="0" w:color="auto"/>
              <w:right w:val="single" w:sz="4" w:space="0" w:color="auto"/>
            </w:tcBorders>
            <w:shd w:val="clear" w:color="auto" w:fill="FFFFFF"/>
          </w:tcPr>
          <w:p w14:paraId="20AC3FE1" w14:textId="77777777" w:rsidR="008C76E0" w:rsidRPr="003B2786" w:rsidRDefault="008C76E0" w:rsidP="008C76E0">
            <w:pPr>
              <w:spacing w:after="120" w:line="240" w:lineRule="auto"/>
              <w:rPr>
                <w:rFonts w:ascii="Sylfaen" w:hAnsi="Sylfaen"/>
                <w:sz w:val="24"/>
                <w:szCs w:val="24"/>
              </w:rPr>
            </w:pPr>
          </w:p>
        </w:tc>
      </w:tr>
      <w:tr w:rsidR="008C76E0" w:rsidRPr="003B2786" w14:paraId="658139E1" w14:textId="77777777" w:rsidTr="009211E1">
        <w:trPr>
          <w:jc w:val="center"/>
        </w:trPr>
        <w:tc>
          <w:tcPr>
            <w:tcW w:w="5927" w:type="dxa"/>
            <w:tcBorders>
              <w:top w:val="single" w:sz="4" w:space="0" w:color="auto"/>
              <w:left w:val="single" w:sz="4" w:space="0" w:color="auto"/>
            </w:tcBorders>
            <w:shd w:val="clear" w:color="auto" w:fill="FFFFFF"/>
          </w:tcPr>
          <w:p w14:paraId="326BFBF4"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Գրանցման համարը</w:t>
            </w:r>
          </w:p>
        </w:tc>
        <w:tc>
          <w:tcPr>
            <w:tcW w:w="4193" w:type="dxa"/>
            <w:tcBorders>
              <w:top w:val="single" w:sz="4" w:space="0" w:color="auto"/>
              <w:left w:val="single" w:sz="4" w:space="0" w:color="auto"/>
              <w:right w:val="single" w:sz="4" w:space="0" w:color="auto"/>
            </w:tcBorders>
            <w:shd w:val="clear" w:color="auto" w:fill="FFFFFF"/>
          </w:tcPr>
          <w:p w14:paraId="73AD96DB" w14:textId="77777777" w:rsidR="008C76E0" w:rsidRPr="003B2786" w:rsidRDefault="008C76E0" w:rsidP="008C76E0">
            <w:pPr>
              <w:spacing w:after="120" w:line="240" w:lineRule="auto"/>
              <w:rPr>
                <w:rFonts w:ascii="Sylfaen" w:hAnsi="Sylfaen"/>
                <w:sz w:val="24"/>
                <w:szCs w:val="24"/>
              </w:rPr>
            </w:pPr>
          </w:p>
        </w:tc>
      </w:tr>
      <w:tr w:rsidR="008C76E0" w:rsidRPr="003B2786" w14:paraId="64F81117" w14:textId="77777777" w:rsidTr="009211E1">
        <w:trPr>
          <w:jc w:val="center"/>
        </w:trPr>
        <w:tc>
          <w:tcPr>
            <w:tcW w:w="5927" w:type="dxa"/>
            <w:tcBorders>
              <w:top w:val="single" w:sz="4" w:space="0" w:color="auto"/>
              <w:left w:val="single" w:sz="4" w:space="0" w:color="auto"/>
            </w:tcBorders>
            <w:shd w:val="clear" w:color="auto" w:fill="FFFFFF"/>
          </w:tcPr>
          <w:p w14:paraId="2996635A"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Ռեֆերենտ պետությունը</w:t>
            </w:r>
          </w:p>
        </w:tc>
        <w:tc>
          <w:tcPr>
            <w:tcW w:w="4193" w:type="dxa"/>
            <w:tcBorders>
              <w:top w:val="single" w:sz="4" w:space="0" w:color="auto"/>
              <w:left w:val="single" w:sz="4" w:space="0" w:color="auto"/>
              <w:right w:val="single" w:sz="4" w:space="0" w:color="auto"/>
            </w:tcBorders>
            <w:shd w:val="clear" w:color="auto" w:fill="FFFFFF"/>
          </w:tcPr>
          <w:p w14:paraId="096E3BC8" w14:textId="77777777" w:rsidR="008C76E0" w:rsidRPr="003B2786" w:rsidRDefault="008C76E0" w:rsidP="008C76E0">
            <w:pPr>
              <w:spacing w:after="120" w:line="240" w:lineRule="auto"/>
              <w:rPr>
                <w:rFonts w:ascii="Sylfaen" w:hAnsi="Sylfaen"/>
                <w:sz w:val="24"/>
                <w:szCs w:val="24"/>
              </w:rPr>
            </w:pPr>
          </w:p>
        </w:tc>
      </w:tr>
      <w:tr w:rsidR="008C76E0" w:rsidRPr="003B2786" w14:paraId="5F4C5818" w14:textId="77777777" w:rsidTr="009211E1">
        <w:trPr>
          <w:jc w:val="center"/>
        </w:trPr>
        <w:tc>
          <w:tcPr>
            <w:tcW w:w="5927" w:type="dxa"/>
            <w:tcBorders>
              <w:top w:val="single" w:sz="4" w:space="0" w:color="auto"/>
              <w:left w:val="single" w:sz="4" w:space="0" w:color="auto"/>
            </w:tcBorders>
            <w:shd w:val="clear" w:color="auto" w:fill="FFFFFF"/>
          </w:tcPr>
          <w:p w14:paraId="1BB48A5B"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Ճանաչման պետությունը</w:t>
            </w:r>
          </w:p>
        </w:tc>
        <w:tc>
          <w:tcPr>
            <w:tcW w:w="4193" w:type="dxa"/>
            <w:tcBorders>
              <w:top w:val="single" w:sz="4" w:space="0" w:color="auto"/>
              <w:left w:val="single" w:sz="4" w:space="0" w:color="auto"/>
              <w:right w:val="single" w:sz="4" w:space="0" w:color="auto"/>
            </w:tcBorders>
            <w:shd w:val="clear" w:color="auto" w:fill="FFFFFF"/>
          </w:tcPr>
          <w:p w14:paraId="782C8738" w14:textId="77777777" w:rsidR="008C76E0" w:rsidRPr="003B2786" w:rsidRDefault="008C76E0" w:rsidP="008C76E0">
            <w:pPr>
              <w:spacing w:after="120" w:line="240" w:lineRule="auto"/>
              <w:rPr>
                <w:rFonts w:ascii="Sylfaen" w:hAnsi="Sylfaen"/>
                <w:sz w:val="24"/>
                <w:szCs w:val="24"/>
              </w:rPr>
            </w:pPr>
          </w:p>
        </w:tc>
      </w:tr>
      <w:tr w:rsidR="008C76E0" w:rsidRPr="003B2786" w14:paraId="3E738DA6" w14:textId="77777777" w:rsidTr="009211E1">
        <w:trPr>
          <w:jc w:val="center"/>
        </w:trPr>
        <w:tc>
          <w:tcPr>
            <w:tcW w:w="5927" w:type="dxa"/>
            <w:tcBorders>
              <w:top w:val="single" w:sz="4" w:space="0" w:color="auto"/>
              <w:left w:val="single" w:sz="4" w:space="0" w:color="auto"/>
            </w:tcBorders>
            <w:shd w:val="clear" w:color="auto" w:fill="FFFFFF"/>
          </w:tcPr>
          <w:p w14:paraId="0EDC682A"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 xml:space="preserve">Գրանցման հավաստագրի տիրապետողի (իրավատիրոջ)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ճանաչման պետություններում</w:t>
            </w:r>
          </w:p>
        </w:tc>
        <w:tc>
          <w:tcPr>
            <w:tcW w:w="4193" w:type="dxa"/>
            <w:tcBorders>
              <w:top w:val="single" w:sz="4" w:space="0" w:color="auto"/>
              <w:left w:val="single" w:sz="4" w:space="0" w:color="auto"/>
              <w:right w:val="single" w:sz="4" w:space="0" w:color="auto"/>
            </w:tcBorders>
            <w:shd w:val="clear" w:color="auto" w:fill="FFFFFF"/>
          </w:tcPr>
          <w:p w14:paraId="3894C5C3" w14:textId="77777777" w:rsidR="008C76E0" w:rsidRPr="003B2786" w:rsidRDefault="008C76E0" w:rsidP="008C76E0">
            <w:pPr>
              <w:spacing w:after="120" w:line="240" w:lineRule="auto"/>
              <w:rPr>
                <w:rFonts w:ascii="Sylfaen" w:hAnsi="Sylfaen"/>
                <w:sz w:val="24"/>
                <w:szCs w:val="24"/>
              </w:rPr>
            </w:pPr>
          </w:p>
        </w:tc>
      </w:tr>
      <w:tr w:rsidR="008C76E0" w:rsidRPr="003B2786" w14:paraId="2D154276" w14:textId="77777777" w:rsidTr="009211E1">
        <w:trPr>
          <w:jc w:val="center"/>
        </w:trPr>
        <w:tc>
          <w:tcPr>
            <w:tcW w:w="5927" w:type="dxa"/>
            <w:tcBorders>
              <w:top w:val="single" w:sz="4" w:space="0" w:color="auto"/>
              <w:left w:val="single" w:sz="4" w:space="0" w:color="auto"/>
            </w:tcBorders>
            <w:shd w:val="clear" w:color="auto" w:fill="FFFFFF"/>
          </w:tcPr>
          <w:p w14:paraId="720E01E7"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Բացթողման դոզավորված ձ</w:t>
            </w:r>
            <w:r w:rsidR="00C54D75">
              <w:rPr>
                <w:rStyle w:val="Bodytext1811pt"/>
                <w:rFonts w:ascii="Sylfaen" w:hAnsi="Sylfaen"/>
                <w:sz w:val="24"/>
                <w:szCs w:val="24"/>
              </w:rPr>
              <w:t>և</w:t>
            </w:r>
            <w:r w:rsidRPr="003B2786">
              <w:rPr>
                <w:rStyle w:val="Bodytext1811pt"/>
                <w:rFonts w:ascii="Sylfaen" w:hAnsi="Sylfaen"/>
                <w:sz w:val="24"/>
                <w:szCs w:val="24"/>
              </w:rPr>
              <w:t xml:space="preserve">ն արտադրողի (արտադրողների)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w:t>
            </w:r>
          </w:p>
        </w:tc>
        <w:tc>
          <w:tcPr>
            <w:tcW w:w="4193" w:type="dxa"/>
            <w:tcBorders>
              <w:top w:val="single" w:sz="4" w:space="0" w:color="auto"/>
              <w:left w:val="single" w:sz="4" w:space="0" w:color="auto"/>
              <w:right w:val="single" w:sz="4" w:space="0" w:color="auto"/>
            </w:tcBorders>
            <w:shd w:val="clear" w:color="auto" w:fill="FFFFFF"/>
          </w:tcPr>
          <w:p w14:paraId="1E6BEAA3" w14:textId="77777777" w:rsidR="008C76E0" w:rsidRPr="003B2786" w:rsidRDefault="008C76E0" w:rsidP="008C76E0">
            <w:pPr>
              <w:spacing w:after="120" w:line="240" w:lineRule="auto"/>
              <w:rPr>
                <w:rFonts w:ascii="Sylfaen" w:hAnsi="Sylfaen"/>
                <w:sz w:val="24"/>
                <w:szCs w:val="24"/>
              </w:rPr>
            </w:pPr>
          </w:p>
        </w:tc>
      </w:tr>
      <w:tr w:rsidR="008C76E0" w:rsidRPr="003B2786" w14:paraId="14F90708" w14:textId="77777777" w:rsidTr="009211E1">
        <w:trPr>
          <w:jc w:val="center"/>
        </w:trPr>
        <w:tc>
          <w:tcPr>
            <w:tcW w:w="5927" w:type="dxa"/>
            <w:tcBorders>
              <w:left w:val="single" w:sz="4" w:space="0" w:color="auto"/>
            </w:tcBorders>
            <w:shd w:val="clear" w:color="auto" w:fill="FFFFFF"/>
          </w:tcPr>
          <w:p w14:paraId="23A37B24"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 xml:space="preserve">Եվրասիական տնտեսական միության տարածքում սերիան շրջանառության մեջ դնելու համար պատասխանատու արտադրողի (արտադրողների)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w:t>
            </w:r>
          </w:p>
        </w:tc>
        <w:tc>
          <w:tcPr>
            <w:tcW w:w="4193" w:type="dxa"/>
            <w:tcBorders>
              <w:left w:val="single" w:sz="4" w:space="0" w:color="auto"/>
              <w:right w:val="single" w:sz="4" w:space="0" w:color="auto"/>
            </w:tcBorders>
            <w:shd w:val="clear" w:color="auto" w:fill="FFFFFF"/>
          </w:tcPr>
          <w:p w14:paraId="51B7D87D" w14:textId="77777777" w:rsidR="008C76E0" w:rsidRPr="003B2786" w:rsidRDefault="008C76E0" w:rsidP="008C76E0">
            <w:pPr>
              <w:spacing w:after="120" w:line="240" w:lineRule="auto"/>
              <w:rPr>
                <w:rFonts w:ascii="Sylfaen" w:hAnsi="Sylfaen"/>
                <w:sz w:val="24"/>
                <w:szCs w:val="24"/>
              </w:rPr>
            </w:pPr>
          </w:p>
        </w:tc>
      </w:tr>
      <w:tr w:rsidR="008C76E0" w:rsidRPr="003B2786" w14:paraId="2B667D06" w14:textId="77777777" w:rsidTr="009211E1">
        <w:trPr>
          <w:jc w:val="center"/>
        </w:trPr>
        <w:tc>
          <w:tcPr>
            <w:tcW w:w="5927" w:type="dxa"/>
            <w:tcBorders>
              <w:top w:val="single" w:sz="4" w:space="0" w:color="auto"/>
              <w:left w:val="single" w:sz="4" w:space="0" w:color="auto"/>
            </w:tcBorders>
            <w:shd w:val="clear" w:color="auto" w:fill="FFFFFF"/>
          </w:tcPr>
          <w:p w14:paraId="308F8CA8"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Առաջին գրանցման հավաստագրի ամսաթիվը</w:t>
            </w:r>
          </w:p>
        </w:tc>
        <w:tc>
          <w:tcPr>
            <w:tcW w:w="4193" w:type="dxa"/>
            <w:tcBorders>
              <w:top w:val="single" w:sz="4" w:space="0" w:color="auto"/>
              <w:left w:val="single" w:sz="4" w:space="0" w:color="auto"/>
              <w:right w:val="single" w:sz="4" w:space="0" w:color="auto"/>
            </w:tcBorders>
            <w:shd w:val="clear" w:color="auto" w:fill="FFFFFF"/>
          </w:tcPr>
          <w:p w14:paraId="0E13DF34" w14:textId="77777777" w:rsidR="008C76E0" w:rsidRPr="003B2786" w:rsidRDefault="008C76E0" w:rsidP="008C76E0">
            <w:pPr>
              <w:spacing w:after="120" w:line="240" w:lineRule="auto"/>
              <w:rPr>
                <w:rFonts w:ascii="Sylfaen" w:hAnsi="Sylfaen"/>
                <w:sz w:val="24"/>
                <w:szCs w:val="24"/>
              </w:rPr>
            </w:pPr>
          </w:p>
        </w:tc>
      </w:tr>
      <w:tr w:rsidR="008C76E0" w:rsidRPr="003B2786" w14:paraId="0D6F06AE" w14:textId="77777777" w:rsidTr="009211E1">
        <w:trPr>
          <w:jc w:val="center"/>
        </w:trPr>
        <w:tc>
          <w:tcPr>
            <w:tcW w:w="5927" w:type="dxa"/>
            <w:tcBorders>
              <w:top w:val="single" w:sz="4" w:space="0" w:color="auto"/>
              <w:left w:val="single" w:sz="4" w:space="0" w:color="auto"/>
            </w:tcBorders>
            <w:shd w:val="clear" w:color="auto" w:fill="FFFFFF"/>
          </w:tcPr>
          <w:p w14:paraId="15D70C53"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Գրանցման հավաստագրի համարը (համարները) ճանաչման պետություններում</w:t>
            </w:r>
          </w:p>
        </w:tc>
        <w:tc>
          <w:tcPr>
            <w:tcW w:w="4193" w:type="dxa"/>
            <w:tcBorders>
              <w:top w:val="single" w:sz="4" w:space="0" w:color="auto"/>
              <w:left w:val="single" w:sz="4" w:space="0" w:color="auto"/>
              <w:right w:val="single" w:sz="4" w:space="0" w:color="auto"/>
            </w:tcBorders>
            <w:shd w:val="clear" w:color="auto" w:fill="FFFFFF"/>
          </w:tcPr>
          <w:p w14:paraId="76008804" w14:textId="77777777" w:rsidR="008C76E0" w:rsidRPr="003B2786" w:rsidRDefault="008C76E0" w:rsidP="008C76E0">
            <w:pPr>
              <w:spacing w:after="120" w:line="240" w:lineRule="auto"/>
              <w:rPr>
                <w:rFonts w:ascii="Sylfaen" w:hAnsi="Sylfaen"/>
                <w:sz w:val="24"/>
                <w:szCs w:val="24"/>
              </w:rPr>
            </w:pPr>
          </w:p>
        </w:tc>
      </w:tr>
      <w:tr w:rsidR="008C76E0" w:rsidRPr="003B2786" w14:paraId="7719E2C9" w14:textId="77777777" w:rsidTr="009211E1">
        <w:trPr>
          <w:jc w:val="center"/>
        </w:trPr>
        <w:tc>
          <w:tcPr>
            <w:tcW w:w="5927" w:type="dxa"/>
            <w:tcBorders>
              <w:top w:val="single" w:sz="4" w:space="0" w:color="auto"/>
              <w:left w:val="single" w:sz="4" w:space="0" w:color="auto"/>
            </w:tcBorders>
            <w:shd w:val="clear" w:color="auto" w:fill="FFFFFF"/>
          </w:tcPr>
          <w:p w14:paraId="775FF32F"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 xml:space="preserve">Կոնտակտային անձը ճանաչման պետությունում </w:t>
            </w:r>
          </w:p>
        </w:tc>
        <w:tc>
          <w:tcPr>
            <w:tcW w:w="4193" w:type="dxa"/>
            <w:tcBorders>
              <w:top w:val="single" w:sz="4" w:space="0" w:color="auto"/>
              <w:left w:val="single" w:sz="4" w:space="0" w:color="auto"/>
              <w:right w:val="single" w:sz="4" w:space="0" w:color="auto"/>
            </w:tcBorders>
            <w:shd w:val="clear" w:color="auto" w:fill="FFFFFF"/>
          </w:tcPr>
          <w:p w14:paraId="37015832"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Ա.Ա.Հ.</w:t>
            </w:r>
          </w:p>
          <w:p w14:paraId="49A15566"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Հեռ.՝</w:t>
            </w:r>
          </w:p>
          <w:p w14:paraId="4D55FEB9"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Էլ. փոստ՝</w:t>
            </w:r>
          </w:p>
        </w:tc>
      </w:tr>
      <w:tr w:rsidR="008C76E0" w:rsidRPr="003B2786" w14:paraId="7FD264F3" w14:textId="77777777" w:rsidTr="009211E1">
        <w:trPr>
          <w:jc w:val="center"/>
        </w:trPr>
        <w:tc>
          <w:tcPr>
            <w:tcW w:w="5927" w:type="dxa"/>
            <w:tcBorders>
              <w:top w:val="single" w:sz="4" w:space="0" w:color="auto"/>
              <w:left w:val="single" w:sz="4" w:space="0" w:color="auto"/>
              <w:bottom w:val="single" w:sz="4" w:space="0" w:color="auto"/>
            </w:tcBorders>
            <w:shd w:val="clear" w:color="auto" w:fill="FFFFFF"/>
          </w:tcPr>
          <w:p w14:paraId="371E2238"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Գնահատում անցկացնող փորձագետների Ա.Ա.Հ.-ն</w:t>
            </w:r>
          </w:p>
        </w:tc>
        <w:tc>
          <w:tcPr>
            <w:tcW w:w="4193" w:type="dxa"/>
            <w:tcBorders>
              <w:top w:val="single" w:sz="4" w:space="0" w:color="auto"/>
              <w:left w:val="single" w:sz="4" w:space="0" w:color="auto"/>
              <w:bottom w:val="single" w:sz="4" w:space="0" w:color="auto"/>
              <w:right w:val="single" w:sz="4" w:space="0" w:color="auto"/>
            </w:tcBorders>
            <w:shd w:val="clear" w:color="auto" w:fill="FFFFFF"/>
          </w:tcPr>
          <w:p w14:paraId="1A13991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Որակ՝</w:t>
            </w:r>
          </w:p>
          <w:p w14:paraId="7CE49331"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Ա.Ա.Հ.</w:t>
            </w:r>
          </w:p>
          <w:p w14:paraId="67EFB37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71C4AF0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p w14:paraId="217B6E5F"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Նախակլինիկական գնահատում՝ Ա.Ա.Հ.</w:t>
            </w:r>
          </w:p>
          <w:p w14:paraId="1745E94A"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701366E4"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p w14:paraId="335F1CB5" w14:textId="77777777" w:rsidR="008C76E0" w:rsidRPr="003B2786" w:rsidRDefault="008C76E0" w:rsidP="008C76E0">
            <w:pPr>
              <w:pStyle w:val="Bodytext180"/>
              <w:shd w:val="clear" w:color="auto" w:fill="auto"/>
              <w:spacing w:before="0" w:line="240" w:lineRule="auto"/>
              <w:ind w:left="102" w:firstLine="0"/>
              <w:rPr>
                <w:rStyle w:val="Bodytext1811pt"/>
                <w:rFonts w:ascii="Sylfaen" w:hAnsi="Sylfaen"/>
                <w:sz w:val="24"/>
                <w:szCs w:val="24"/>
              </w:rPr>
            </w:pPr>
            <w:r w:rsidRPr="003B2786">
              <w:rPr>
                <w:rStyle w:val="Bodytext1811pt"/>
                <w:rFonts w:ascii="Sylfaen" w:hAnsi="Sylfaen"/>
                <w:sz w:val="24"/>
                <w:szCs w:val="24"/>
              </w:rPr>
              <w:t xml:space="preserve">Կլինիկական գնահատում՝ </w:t>
            </w:r>
          </w:p>
          <w:p w14:paraId="62DD2A89"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Ա.Ա.Հ.</w:t>
            </w:r>
          </w:p>
          <w:p w14:paraId="59B5C15B"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2CC79601"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tc>
      </w:tr>
    </w:tbl>
    <w:p w14:paraId="4577AE25" w14:textId="77777777" w:rsidR="008C76E0" w:rsidRPr="003B2786" w:rsidRDefault="008C76E0" w:rsidP="008C76E0">
      <w:pPr>
        <w:rPr>
          <w:rFonts w:ascii="Sylfaen" w:hAnsi="Sylfaen"/>
          <w:sz w:val="24"/>
          <w:szCs w:val="24"/>
        </w:rPr>
      </w:pPr>
      <w:r w:rsidRPr="003B2786">
        <w:rPr>
          <w:rFonts w:ascii="Sylfaen" w:hAnsi="Sylfaen"/>
          <w:sz w:val="24"/>
          <w:szCs w:val="24"/>
        </w:rPr>
        <w:br w:type="page"/>
      </w:r>
    </w:p>
    <w:p w14:paraId="1B60A2A0" w14:textId="77777777" w:rsidR="008C76E0" w:rsidRPr="003B2786" w:rsidRDefault="008C76E0" w:rsidP="00390DAC">
      <w:pPr>
        <w:tabs>
          <w:tab w:val="left" w:pos="1134"/>
        </w:tabs>
        <w:spacing w:after="160" w:line="360" w:lineRule="auto"/>
        <w:ind w:right="-1" w:firstLine="567"/>
        <w:rPr>
          <w:rFonts w:ascii="Sylfaen" w:hAnsi="Sylfaen"/>
          <w:sz w:val="24"/>
          <w:szCs w:val="24"/>
        </w:rPr>
      </w:pPr>
      <w:r w:rsidRPr="003B2786">
        <w:rPr>
          <w:rFonts w:ascii="Sylfaen" w:hAnsi="Sylfaen"/>
          <w:sz w:val="24"/>
          <w:szCs w:val="24"/>
        </w:rPr>
        <w:lastRenderedPageBreak/>
        <w:t>I.</w:t>
      </w:r>
      <w:r w:rsidRPr="003B2786">
        <w:rPr>
          <w:rFonts w:ascii="Sylfaen" w:hAnsi="Sylfaen"/>
          <w:sz w:val="24"/>
          <w:szCs w:val="24"/>
        </w:rPr>
        <w:tab/>
        <w:t>Հանձնարարական</w:t>
      </w:r>
    </w:p>
    <w:p w14:paraId="654B9E27" w14:textId="4D2CD86A" w:rsidR="008C76E0" w:rsidRPr="003B2786" w:rsidRDefault="008C76E0" w:rsidP="00390DAC">
      <w:pPr>
        <w:tabs>
          <w:tab w:val="left" w:pos="851"/>
        </w:tabs>
        <w:spacing w:after="160" w:line="360" w:lineRule="auto"/>
        <w:ind w:right="-1" w:firstLine="567"/>
        <w:jc w:val="both"/>
        <w:rPr>
          <w:rFonts w:ascii="Sylfaen" w:hAnsi="Sylfaen"/>
          <w:sz w:val="24"/>
          <w:szCs w:val="24"/>
        </w:rPr>
      </w:pPr>
      <w:r w:rsidRPr="003B2786">
        <w:rPr>
          <w:rFonts w:ascii="Sylfaen" w:hAnsi="Sylfaen"/>
          <w:sz w:val="24"/>
          <w:szCs w:val="24"/>
        </w:rPr>
        <w:t xml:space="preserve">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վերաբերյալ տվյալների վերլուծության հիման վրա` ճանաչման պետությունը հնարավոր է համարել &lt;ցուցումը&gt; բուժման համար &lt;դեղապատրաստուկի անվանումը&gt; վերաբերյալ </w:t>
      </w:r>
      <w:r w:rsidR="0056496B">
        <w:rPr>
          <w:rFonts w:ascii="Sylfaen" w:hAnsi="Sylfaen"/>
          <w:sz w:val="24"/>
          <w:szCs w:val="24"/>
        </w:rPr>
        <w:t>դիմում</w:t>
      </w:r>
      <w:r w:rsidRPr="003B2786">
        <w:rPr>
          <w:rFonts w:ascii="Sylfaen" w:hAnsi="Sylfaen"/>
          <w:sz w:val="24"/>
          <w:szCs w:val="24"/>
        </w:rPr>
        <w:t>ի հաստատումը: Երկրում դեղապատրաստուկի իրացման համար գրանցման հավաստագիրը տրվել է &lt;ամսաթիվը&gt;:</w:t>
      </w:r>
    </w:p>
    <w:p w14:paraId="20FF29B1" w14:textId="77777777" w:rsidR="008C76E0" w:rsidRPr="003B2786" w:rsidRDefault="008C76E0" w:rsidP="00390DAC">
      <w:pPr>
        <w:pStyle w:val="Bodytext180"/>
        <w:shd w:val="clear" w:color="auto" w:fill="auto"/>
        <w:tabs>
          <w:tab w:val="left" w:pos="1134"/>
        </w:tabs>
        <w:spacing w:before="0" w:after="160" w:line="360" w:lineRule="auto"/>
        <w:ind w:right="-1" w:firstLine="567"/>
        <w:jc w:val="both"/>
        <w:rPr>
          <w:rStyle w:val="Bodytext295pt"/>
          <w:rFonts w:ascii="Sylfaen" w:hAnsi="Sylfaen"/>
          <w:i/>
          <w:sz w:val="24"/>
          <w:szCs w:val="24"/>
        </w:rPr>
      </w:pPr>
      <w:r w:rsidRPr="003B2786">
        <w:rPr>
          <w:rStyle w:val="Bodytext295pt"/>
          <w:rFonts w:ascii="Sylfaen" w:hAnsi="Sylfaen"/>
          <w:sz w:val="24"/>
          <w:szCs w:val="24"/>
        </w:rPr>
        <w:t>II.</w:t>
      </w:r>
      <w:r w:rsidRPr="003B2786">
        <w:rPr>
          <w:rStyle w:val="Bodytext295pt"/>
          <w:rFonts w:ascii="Sylfaen" w:hAnsi="Sylfaen"/>
          <w:sz w:val="24"/>
          <w:szCs w:val="24"/>
        </w:rPr>
        <w:tab/>
        <w:t xml:space="preserve">Բացատրագիր </w:t>
      </w:r>
    </w:p>
    <w:p w14:paraId="77EF37E0" w14:textId="77777777" w:rsidR="008C76E0" w:rsidRPr="003B2786" w:rsidRDefault="008C76E0" w:rsidP="00390DAC">
      <w:pPr>
        <w:tabs>
          <w:tab w:val="left" w:pos="1134"/>
        </w:tabs>
        <w:spacing w:after="160" w:line="360" w:lineRule="auto"/>
        <w:ind w:firstLine="567"/>
        <w:rPr>
          <w:rStyle w:val="Bodytext295pt"/>
          <w:rFonts w:ascii="Sylfaen" w:eastAsia="MS Mincho" w:hAnsi="Sylfaen"/>
          <w:b w:val="0"/>
          <w:i/>
          <w:sz w:val="24"/>
          <w:szCs w:val="24"/>
        </w:rPr>
      </w:pPr>
      <w:r w:rsidRPr="003B2786">
        <w:rPr>
          <w:rStyle w:val="Bodytext295pt"/>
          <w:rFonts w:ascii="Sylfaen" w:eastAsia="MS Mincho" w:hAnsi="Sylfaen"/>
          <w:b w:val="0"/>
          <w:sz w:val="24"/>
          <w:szCs w:val="24"/>
        </w:rPr>
        <w:t>II.1.</w:t>
      </w:r>
      <w:r w:rsidRPr="003B2786">
        <w:rPr>
          <w:rStyle w:val="Bodytext295pt"/>
          <w:rFonts w:ascii="Sylfaen" w:eastAsia="MS Mincho" w:hAnsi="Sylfaen"/>
          <w:b w:val="0"/>
          <w:sz w:val="24"/>
          <w:szCs w:val="24"/>
        </w:rPr>
        <w:tab/>
        <w:t>Խնդիրների առաջադրում</w:t>
      </w:r>
    </w:p>
    <w:tbl>
      <w:tblPr>
        <w:tblOverlap w:val="never"/>
        <w:tblW w:w="9015"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015"/>
      </w:tblGrid>
      <w:tr w:rsidR="008C76E0" w:rsidRPr="003B2786" w14:paraId="00C9214A" w14:textId="77777777" w:rsidTr="008C76E0">
        <w:trPr>
          <w:trHeight w:val="1791"/>
          <w:jc w:val="center"/>
        </w:trPr>
        <w:tc>
          <w:tcPr>
            <w:tcW w:w="9015" w:type="dxa"/>
            <w:shd w:val="clear" w:color="auto" w:fill="FFFFFF"/>
            <w:vAlign w:val="bottom"/>
          </w:tcPr>
          <w:p w14:paraId="2F3F7EA4" w14:textId="77777777" w:rsidR="008C76E0" w:rsidRPr="008C76E0" w:rsidRDefault="008C76E0" w:rsidP="00390DAC">
            <w:pPr>
              <w:pStyle w:val="Bodytext180"/>
              <w:shd w:val="clear" w:color="auto" w:fill="auto"/>
              <w:tabs>
                <w:tab w:val="left" w:pos="851"/>
              </w:tabs>
              <w:spacing w:before="0" w:after="160" w:line="360" w:lineRule="auto"/>
              <w:ind w:right="-1" w:firstLine="536"/>
              <w:jc w:val="both"/>
              <w:rPr>
                <w:rFonts w:ascii="Sylfaen" w:hAnsi="Sylfaen"/>
                <w:sz w:val="24"/>
                <w:szCs w:val="24"/>
                <w:lang w:val="hy-AM"/>
              </w:rPr>
            </w:pPr>
            <w:r w:rsidRPr="003B2786">
              <w:rPr>
                <w:rStyle w:val="Bodytext1811pt"/>
                <w:rFonts w:ascii="Sylfaen" w:hAnsi="Sylfaen"/>
                <w:spacing w:val="-2"/>
                <w:sz w:val="24"/>
                <w:szCs w:val="24"/>
              </w:rPr>
              <w:t>Դեղապատրաստուկի վերաբերյալ հիմնավորում. համաճարակաբանությունը</w:t>
            </w:r>
            <w:r w:rsidRPr="003B2786">
              <w:rPr>
                <w:rStyle w:val="Bodytext1811pt"/>
                <w:rFonts w:ascii="Sylfaen" w:hAnsi="Sylfaen"/>
                <w:sz w:val="24"/>
                <w:szCs w:val="24"/>
              </w:rPr>
              <w:t xml:space="preserve">, հիվանդության ընթացքի առանձնահատկությունները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ընթացիկ թերապիան:</w:t>
            </w:r>
          </w:p>
          <w:p w14:paraId="31EA3391" w14:textId="1D120FD8" w:rsidR="008C76E0" w:rsidRPr="008C76E0" w:rsidRDefault="008C76E0" w:rsidP="00390DAC">
            <w:pPr>
              <w:pStyle w:val="Bodytext180"/>
              <w:shd w:val="clear" w:color="auto" w:fill="auto"/>
              <w:tabs>
                <w:tab w:val="left" w:pos="851"/>
              </w:tabs>
              <w:spacing w:before="0" w:after="160" w:line="360" w:lineRule="auto"/>
              <w:ind w:firstLine="555"/>
              <w:jc w:val="both"/>
              <w:rPr>
                <w:rFonts w:ascii="Sylfaen" w:hAnsi="Sylfaen"/>
                <w:i/>
                <w:spacing w:val="-10"/>
                <w:sz w:val="24"/>
                <w:szCs w:val="24"/>
                <w:lang w:val="hy-AM"/>
              </w:rPr>
            </w:pPr>
            <w:r w:rsidRPr="003B2786">
              <w:rPr>
                <w:rStyle w:val="Bodytext295pt"/>
                <w:rFonts w:ascii="Sylfaen" w:hAnsi="Sylfaen"/>
                <w:i/>
                <w:sz w:val="24"/>
                <w:szCs w:val="24"/>
              </w:rPr>
              <w:t xml:space="preserve">Ծանոթագրություն. տվյալ բաժինը կիրառելի չէ ջեներիկի համար </w:t>
            </w:r>
            <w:r w:rsidR="009F5829">
              <w:rPr>
                <w:rStyle w:val="Bodytext295pt"/>
                <w:rFonts w:ascii="Sylfaen" w:hAnsi="Sylfaen"/>
                <w:i/>
                <w:sz w:val="24"/>
                <w:szCs w:val="24"/>
              </w:rPr>
              <w:t>դիմումներ</w:t>
            </w:r>
            <w:r w:rsidRPr="003B2786">
              <w:rPr>
                <w:rStyle w:val="Bodytext295pt"/>
                <w:rFonts w:ascii="Sylfaen" w:hAnsi="Sylfaen"/>
                <w:i/>
                <w:sz w:val="24"/>
                <w:szCs w:val="24"/>
              </w:rPr>
              <w:t>ի նկատմամբ:</w:t>
            </w:r>
          </w:p>
        </w:tc>
      </w:tr>
    </w:tbl>
    <w:p w14:paraId="3F0EBEAB" w14:textId="77777777" w:rsidR="008C76E0" w:rsidRPr="003B2786" w:rsidRDefault="008C76E0" w:rsidP="00390DAC">
      <w:pPr>
        <w:tabs>
          <w:tab w:val="left" w:pos="1134"/>
        </w:tabs>
        <w:spacing w:after="160" w:line="360" w:lineRule="auto"/>
        <w:ind w:firstLine="567"/>
        <w:rPr>
          <w:rStyle w:val="Bodytext295pt"/>
          <w:rFonts w:ascii="Sylfaen" w:eastAsia="MS Mincho" w:hAnsi="Sylfaen"/>
          <w:b w:val="0"/>
          <w:i/>
          <w:sz w:val="24"/>
          <w:szCs w:val="24"/>
        </w:rPr>
      </w:pPr>
      <w:r w:rsidRPr="003B2786">
        <w:rPr>
          <w:rStyle w:val="Bodytext295pt"/>
          <w:rFonts w:ascii="Sylfaen" w:eastAsia="MS Mincho" w:hAnsi="Sylfaen"/>
          <w:b w:val="0"/>
          <w:sz w:val="24"/>
          <w:szCs w:val="24"/>
        </w:rPr>
        <w:t>II.2.</w:t>
      </w:r>
      <w:r w:rsidRPr="003B2786">
        <w:rPr>
          <w:rStyle w:val="Bodytext295pt"/>
          <w:rFonts w:ascii="Sylfaen" w:eastAsia="MS Mincho" w:hAnsi="Sylfaen"/>
          <w:b w:val="0"/>
          <w:sz w:val="24"/>
          <w:szCs w:val="24"/>
        </w:rPr>
        <w:tab/>
        <w:t>Պատրաստուկի մասին</w:t>
      </w:r>
    </w:p>
    <w:tbl>
      <w:tblPr>
        <w:tblOverlap w:val="never"/>
        <w:tblW w:w="9000"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000"/>
      </w:tblGrid>
      <w:tr w:rsidR="008C76E0" w:rsidRPr="003B2786" w14:paraId="1F3FB30E" w14:textId="77777777" w:rsidTr="008C76E0">
        <w:trPr>
          <w:trHeight w:val="2981"/>
          <w:jc w:val="center"/>
        </w:trPr>
        <w:tc>
          <w:tcPr>
            <w:tcW w:w="9000" w:type="dxa"/>
            <w:shd w:val="clear" w:color="auto" w:fill="FFFFFF"/>
            <w:vAlign w:val="bottom"/>
          </w:tcPr>
          <w:p w14:paraId="33B57519"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Ազդեցության մեխանիզմը:</w:t>
            </w:r>
          </w:p>
          <w:p w14:paraId="535A1041"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Դեղաբանական դասակարգումը:</w:t>
            </w:r>
          </w:p>
          <w:p w14:paraId="412E7517" w14:textId="45A5BEFA"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Կիրառման վերաբերյալ </w:t>
            </w:r>
            <w:r w:rsidR="001A5F1A">
              <w:rPr>
                <w:rStyle w:val="Bodytext1811pt"/>
                <w:rFonts w:ascii="Sylfaen" w:hAnsi="Sylfaen"/>
                <w:sz w:val="24"/>
                <w:szCs w:val="24"/>
              </w:rPr>
              <w:t>հայտագրված</w:t>
            </w:r>
            <w:r w:rsidRPr="003B2786">
              <w:rPr>
                <w:rStyle w:val="Bodytext1811pt"/>
                <w:rFonts w:ascii="Sylfaen" w:hAnsi="Sylfaen"/>
                <w:sz w:val="24"/>
                <w:szCs w:val="24"/>
              </w:rPr>
              <w:t xml:space="preserve"> ցուցումները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8C76E0">
              <w:rPr>
                <w:rFonts w:ascii="Sylfaen" w:hAnsi="Sylfaen"/>
                <w:b w:val="0"/>
                <w:sz w:val="24"/>
                <w:szCs w:val="24"/>
                <w:lang w:val="hy-AM"/>
              </w:rPr>
              <w:t>հանձնարարականները</w:t>
            </w:r>
            <w:r w:rsidRPr="008C76E0">
              <w:rPr>
                <w:rFonts w:ascii="Sylfaen" w:hAnsi="Sylfaen"/>
                <w:sz w:val="24"/>
                <w:szCs w:val="24"/>
                <w:lang w:val="hy-AM"/>
              </w:rPr>
              <w:t xml:space="preserve"> </w:t>
            </w:r>
            <w:r w:rsidRPr="003B2786">
              <w:rPr>
                <w:rStyle w:val="Bodytext1811pt"/>
                <w:rFonts w:ascii="Sylfaen" w:hAnsi="Sylfaen"/>
                <w:sz w:val="24"/>
                <w:szCs w:val="24"/>
              </w:rPr>
              <w:t>(այդ թվում՝ հնարավոր ռիսկերի կառավարման ռազմավարությունը) ու դոզան:</w:t>
            </w:r>
          </w:p>
          <w:p w14:paraId="2E4EC747"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Հատուկ դեղաբանական ասպեկտները (առկայության դեպքում) (օրինակ՝ ներմուծման նոր եղանակ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tc>
      </w:tr>
    </w:tbl>
    <w:p w14:paraId="69C4E5C4" w14:textId="77777777" w:rsidR="008C76E0" w:rsidRPr="003B2786" w:rsidRDefault="008C76E0" w:rsidP="00B02202">
      <w:pPr>
        <w:tabs>
          <w:tab w:val="left" w:pos="1134"/>
        </w:tabs>
        <w:spacing w:after="160" w:line="336" w:lineRule="auto"/>
        <w:ind w:firstLine="567"/>
        <w:rPr>
          <w:rFonts w:ascii="Sylfaen" w:hAnsi="Sylfaen"/>
          <w:b/>
          <w:sz w:val="24"/>
          <w:szCs w:val="24"/>
        </w:rPr>
      </w:pPr>
      <w:r w:rsidRPr="003B2786">
        <w:rPr>
          <w:rStyle w:val="Bodytext295pt"/>
          <w:rFonts w:ascii="Sylfaen" w:eastAsia="MS Mincho" w:hAnsi="Sylfaen"/>
          <w:b w:val="0"/>
          <w:sz w:val="24"/>
          <w:szCs w:val="24"/>
        </w:rPr>
        <w:t>II.3.</w:t>
      </w:r>
      <w:r w:rsidRPr="003B2786">
        <w:rPr>
          <w:rStyle w:val="Bodytext295pt"/>
          <w:rFonts w:ascii="Sylfaen" w:eastAsia="MS Mincho" w:hAnsi="Sylfaen"/>
          <w:b w:val="0"/>
          <w:sz w:val="24"/>
          <w:szCs w:val="24"/>
        </w:rPr>
        <w:tab/>
        <w:t>Ներկայացված դոսյեի վերաբերյալ ընդհանուր դիտողություններ</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52"/>
      </w:tblGrid>
      <w:tr w:rsidR="008C76E0" w:rsidRPr="003B2786" w14:paraId="2E028792" w14:textId="77777777" w:rsidTr="008C76E0">
        <w:tc>
          <w:tcPr>
            <w:tcW w:w="9072" w:type="dxa"/>
          </w:tcPr>
          <w:p w14:paraId="41AF8D8F" w14:textId="7E83BCDF" w:rsidR="008C76E0" w:rsidRPr="008C76E0" w:rsidRDefault="008C76E0" w:rsidP="00B02202">
            <w:pPr>
              <w:pStyle w:val="Bodytext180"/>
              <w:shd w:val="clear" w:color="auto" w:fill="auto"/>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Նշե՛ք գրանցման հավաստագիր ստանալու համար </w:t>
            </w:r>
            <w:r w:rsidR="0056496B">
              <w:rPr>
                <w:rStyle w:val="Bodytext1811pt"/>
                <w:rFonts w:ascii="Sylfaen" w:hAnsi="Sylfaen"/>
                <w:sz w:val="24"/>
                <w:szCs w:val="24"/>
              </w:rPr>
              <w:t>դիմում</w:t>
            </w:r>
            <w:r w:rsidRPr="003B2786">
              <w:rPr>
                <w:rStyle w:val="Bodytext1811pt"/>
                <w:rFonts w:ascii="Sylfaen" w:hAnsi="Sylfaen"/>
                <w:sz w:val="24"/>
                <w:szCs w:val="24"/>
              </w:rPr>
              <w:t xml:space="preserve">ի տեսակը, ներառյալ՝ </w:t>
            </w:r>
            <w:r w:rsidR="0056496B">
              <w:rPr>
                <w:rStyle w:val="Bodytext1811pt"/>
                <w:rFonts w:ascii="Sylfaen" w:hAnsi="Sylfaen"/>
                <w:sz w:val="24"/>
                <w:szCs w:val="24"/>
              </w:rPr>
              <w:t>դիմում</w:t>
            </w:r>
            <w:r w:rsidRPr="003B2786">
              <w:rPr>
                <w:rStyle w:val="Bodytext1811pt"/>
                <w:rFonts w:ascii="Sylfaen" w:hAnsi="Sylfaen"/>
                <w:sz w:val="24"/>
                <w:szCs w:val="24"/>
              </w:rPr>
              <w:t>ի իրավական հիմքին արված հղումը:</w:t>
            </w:r>
          </w:p>
          <w:p w14:paraId="06D67C5F" w14:textId="77777777" w:rsidR="008C76E0" w:rsidRPr="008C76E0" w:rsidRDefault="008C76E0" w:rsidP="00B02202">
            <w:pPr>
              <w:pStyle w:val="Bodytext180"/>
              <w:shd w:val="clear" w:color="auto" w:fill="auto"/>
              <w:spacing w:before="0" w:after="160" w:line="336" w:lineRule="auto"/>
              <w:ind w:firstLine="539"/>
              <w:jc w:val="both"/>
              <w:rPr>
                <w:rFonts w:ascii="Sylfaen" w:hAnsi="Sylfaen"/>
                <w:b w:val="0"/>
                <w:spacing w:val="-6"/>
                <w:sz w:val="24"/>
                <w:szCs w:val="24"/>
                <w:lang w:val="hy-AM"/>
              </w:rPr>
            </w:pPr>
            <w:r w:rsidRPr="003B2786">
              <w:rPr>
                <w:rStyle w:val="Bodytext1811pt"/>
                <w:rFonts w:ascii="Sylfaen" w:hAnsi="Sylfaen"/>
                <w:spacing w:val="-6"/>
                <w:sz w:val="24"/>
                <w:szCs w:val="24"/>
              </w:rPr>
              <w:t>Եթե նպատակահարմար է, մասնավորեցրե՛ք դոսյեի առանցքային ասպեկտները:</w:t>
            </w:r>
          </w:p>
          <w:p w14:paraId="6D6DFEAF" w14:textId="77777777" w:rsidR="008C76E0" w:rsidRPr="008C76E0" w:rsidRDefault="008C76E0" w:rsidP="00390DAC">
            <w:pPr>
              <w:pStyle w:val="Bodytext180"/>
              <w:shd w:val="clear" w:color="auto" w:fill="auto"/>
              <w:spacing w:before="0" w:after="160" w:line="360" w:lineRule="auto"/>
              <w:ind w:firstLine="536"/>
              <w:jc w:val="both"/>
              <w:rPr>
                <w:rFonts w:ascii="Sylfaen" w:hAnsi="Sylfaen"/>
                <w:b w:val="0"/>
                <w:sz w:val="24"/>
                <w:szCs w:val="24"/>
                <w:lang w:val="hy-AM"/>
              </w:rPr>
            </w:pPr>
            <w:r w:rsidRPr="003B2786">
              <w:rPr>
                <w:rStyle w:val="Bodytext1811pt"/>
                <w:rFonts w:ascii="Sylfaen" w:hAnsi="Sylfaen"/>
                <w:sz w:val="24"/>
                <w:szCs w:val="24"/>
              </w:rPr>
              <w:t>Նշե՛ք՝ արդյոք ակտիվ նյութը համարվում է նոր, թե՝ ոչ:</w:t>
            </w:r>
          </w:p>
          <w:p w14:paraId="2FD065ED" w14:textId="050381D5" w:rsidR="008C76E0" w:rsidRPr="008C76E0" w:rsidRDefault="008C76E0" w:rsidP="00B02202">
            <w:pPr>
              <w:pStyle w:val="Bodytext180"/>
              <w:shd w:val="clear" w:color="auto" w:fill="auto"/>
              <w:spacing w:before="0" w:after="160" w:line="384" w:lineRule="auto"/>
              <w:ind w:firstLine="536"/>
              <w:jc w:val="both"/>
              <w:rPr>
                <w:rFonts w:ascii="Sylfaen" w:hAnsi="Sylfaen"/>
                <w:b w:val="0"/>
                <w:sz w:val="24"/>
                <w:szCs w:val="24"/>
                <w:lang w:val="hy-AM"/>
              </w:rPr>
            </w:pPr>
            <w:r w:rsidRPr="003B2786">
              <w:rPr>
                <w:rStyle w:val="Bodytext1811pt"/>
                <w:rFonts w:ascii="Sylfaen" w:hAnsi="Sylfaen"/>
                <w:sz w:val="24"/>
                <w:szCs w:val="24"/>
              </w:rPr>
              <w:lastRenderedPageBreak/>
              <w:t xml:space="preserve">Եվրասիական տնտեսական միության տարածքում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 14.4 </w:t>
            </w:r>
            <w:r w:rsidR="00C54D75">
              <w:rPr>
                <w:rStyle w:val="Bodytext1811pt"/>
                <w:rFonts w:ascii="Sylfaen" w:hAnsi="Sylfaen"/>
                <w:sz w:val="24"/>
                <w:szCs w:val="24"/>
              </w:rPr>
              <w:t>և</w:t>
            </w:r>
            <w:r w:rsidRPr="003B2786">
              <w:rPr>
                <w:rStyle w:val="Bodytext1811pt"/>
                <w:rFonts w:ascii="Sylfaen" w:hAnsi="Sylfaen"/>
                <w:sz w:val="24"/>
                <w:szCs w:val="24"/>
              </w:rPr>
              <w:t xml:space="preserve"> 15.2 բաժինների (պարզեցված դոսյե) հիման վրա ներկայացվող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ի համար. տվյալ բաժնում անհրաժեշտ է ներկայացնել 1.5.1 մոդուլի փաստաթուղթն այն հիմքերի </w:t>
            </w:r>
            <w:r w:rsidR="00C54D75">
              <w:rPr>
                <w:rStyle w:val="Bodytext1811pt"/>
                <w:rFonts w:ascii="Sylfaen" w:hAnsi="Sylfaen"/>
                <w:sz w:val="24"/>
                <w:szCs w:val="24"/>
              </w:rPr>
              <w:t>և</w:t>
            </w:r>
            <w:r w:rsidRPr="003B2786">
              <w:rPr>
                <w:rStyle w:val="Bodytext1811pt"/>
                <w:rFonts w:ascii="Sylfaen" w:hAnsi="Sylfaen"/>
                <w:sz w:val="24"/>
                <w:szCs w:val="24"/>
              </w:rPr>
              <w:t xml:space="preserve"> փաստերի հակիրճ նկարագրությամբ, որոնք օգտագործվում են դեղապատրաստուկի բաղադրության մեջ մտնող նյութերի կիրառության լավ ուսումնասիրված լինելու, անվտանգության ընդունելի մակարդակ </w:t>
            </w:r>
            <w:r w:rsidR="00C54D75">
              <w:rPr>
                <w:rStyle w:val="Bodytext1811pt"/>
                <w:rFonts w:ascii="Sylfaen" w:hAnsi="Sylfaen"/>
                <w:sz w:val="24"/>
                <w:szCs w:val="24"/>
              </w:rPr>
              <w:t>և</w:t>
            </w:r>
            <w:r w:rsidRPr="003B2786">
              <w:rPr>
                <w:rStyle w:val="Bodytext1811pt"/>
                <w:rFonts w:ascii="Sylfaen" w:hAnsi="Sylfaen"/>
                <w:sz w:val="24"/>
                <w:szCs w:val="24"/>
              </w:rPr>
              <w:t xml:space="preserve"> ճանաչված արդյունավետություն ունենալու հանգամանքը ցույց տալու համար: Անհրաժեշտ</w:t>
            </w:r>
            <w:r w:rsidR="005A381A" w:rsidRPr="005A381A">
              <w:rPr>
                <w:rStyle w:val="Bodytext1811pt"/>
                <w:rFonts w:ascii="Sylfaen" w:hAnsi="Sylfaen"/>
                <w:sz w:val="24"/>
                <w:szCs w:val="24"/>
              </w:rPr>
              <w:t> </w:t>
            </w:r>
            <w:r w:rsidRPr="003B2786">
              <w:rPr>
                <w:rStyle w:val="Bodytext1811pt"/>
                <w:rFonts w:ascii="Sylfaen" w:hAnsi="Sylfaen"/>
                <w:sz w:val="24"/>
                <w:szCs w:val="24"/>
              </w:rPr>
              <w:t>է բերել երկրում սովորաբար անցկացվող որոշ հետազոտություններից հրաժարվելու հանգամանքի թույլատրելիության հստակ գիտական հիմնավորում:</w:t>
            </w:r>
          </w:p>
          <w:p w14:paraId="68E313BB" w14:textId="5C33B07E" w:rsidR="008C76E0" w:rsidRPr="008C76E0" w:rsidRDefault="008C76E0" w:rsidP="00B02202">
            <w:pPr>
              <w:pStyle w:val="Bodytext180"/>
              <w:shd w:val="clear" w:color="auto" w:fill="auto"/>
              <w:spacing w:before="0" w:after="160" w:line="384" w:lineRule="auto"/>
              <w:ind w:firstLine="536"/>
              <w:jc w:val="both"/>
              <w:rPr>
                <w:rFonts w:ascii="Sylfaen" w:hAnsi="Sylfaen"/>
                <w:b w:val="0"/>
                <w:sz w:val="24"/>
                <w:szCs w:val="24"/>
                <w:lang w:val="hy-AM"/>
              </w:rPr>
            </w:pPr>
            <w:r w:rsidRPr="003B2786">
              <w:rPr>
                <w:rStyle w:val="Bodytext1811pt"/>
                <w:rFonts w:ascii="Sylfaen" w:hAnsi="Sylfaen"/>
                <w:sz w:val="24"/>
                <w:szCs w:val="24"/>
              </w:rPr>
              <w:t xml:space="preserve">Վերարտադրված դեղապատրաստուկների համար ներկայացվող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ի համար. տվյալ բաժնում անհրաժեշտ է ներկայացնել 1.5.2 մոդուլի փաստաթուղթն այն հիմքերի </w:t>
            </w:r>
            <w:r w:rsidR="00C54D75">
              <w:rPr>
                <w:rStyle w:val="Bodytext1811pt"/>
                <w:rFonts w:ascii="Sylfaen" w:hAnsi="Sylfaen"/>
                <w:sz w:val="24"/>
                <w:szCs w:val="24"/>
              </w:rPr>
              <w:t>և</w:t>
            </w:r>
            <w:r w:rsidRPr="003B2786">
              <w:rPr>
                <w:rStyle w:val="Bodytext1811pt"/>
                <w:rFonts w:ascii="Sylfaen" w:hAnsi="Sylfaen"/>
                <w:sz w:val="24"/>
                <w:szCs w:val="24"/>
              </w:rPr>
              <w:t xml:space="preserve"> փաստերի հակիրճ նկարագրությամբ, որոնք օգտագործվում են դեղապատրաստուկի՝ գրանցված օրիգինալ պատրաստուկին գործնականում համարժեք լինելու հանգամանքը ցույց տալու համար:</w:t>
            </w:r>
          </w:p>
          <w:p w14:paraId="6A78D695" w14:textId="1C463D2E" w:rsidR="008C76E0" w:rsidRPr="008C76E0" w:rsidRDefault="008C76E0" w:rsidP="00B02202">
            <w:pPr>
              <w:pStyle w:val="Bodytext180"/>
              <w:shd w:val="clear" w:color="auto" w:fill="auto"/>
              <w:spacing w:before="0" w:after="160" w:line="384" w:lineRule="auto"/>
              <w:ind w:firstLine="548"/>
              <w:jc w:val="both"/>
              <w:rPr>
                <w:rFonts w:ascii="Sylfaen" w:hAnsi="Sylfaen"/>
                <w:b w:val="0"/>
                <w:sz w:val="24"/>
                <w:szCs w:val="24"/>
                <w:lang w:val="hy-AM"/>
              </w:rPr>
            </w:pPr>
            <w:r w:rsidRPr="003B2786">
              <w:rPr>
                <w:rStyle w:val="Bodytext1811pt"/>
                <w:rFonts w:ascii="Sylfaen" w:hAnsi="Sylfaen"/>
                <w:sz w:val="24"/>
                <w:szCs w:val="24"/>
              </w:rPr>
              <w:t xml:space="preserve">Նշե՛ք՝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ն ներկայացրել է ռիսկերի կառավարման  պլանը (կիրառելիության դեպքում):</w:t>
            </w:r>
          </w:p>
          <w:p w14:paraId="38CCF051" w14:textId="77777777" w:rsidR="008C76E0" w:rsidRPr="008C76E0" w:rsidRDefault="008C76E0" w:rsidP="00B02202">
            <w:pPr>
              <w:pStyle w:val="Bodytext180"/>
              <w:shd w:val="clear" w:color="auto" w:fill="auto"/>
              <w:spacing w:before="0" w:after="160" w:line="360" w:lineRule="auto"/>
              <w:ind w:firstLine="550"/>
              <w:jc w:val="both"/>
              <w:rPr>
                <w:rFonts w:ascii="Sylfaen" w:hAnsi="Sylfaen"/>
                <w:b w:val="0"/>
                <w:sz w:val="24"/>
                <w:szCs w:val="24"/>
                <w:lang w:val="hy-AM"/>
              </w:rPr>
            </w:pPr>
            <w:r w:rsidRPr="003B2786">
              <w:rPr>
                <w:rStyle w:val="Bodytext1811pt"/>
                <w:rFonts w:ascii="Sylfaen" w:hAnsi="Sylfaen"/>
                <w:sz w:val="24"/>
                <w:szCs w:val="24"/>
              </w:rPr>
              <w:t xml:space="preserve">Ներկայացրե՛ք պատրաստուկի կլինիկական մշակման ծրագիրը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 մեկնաբանություններ կատարեք կիրառման ու դոզայի վերաբերյալ առաջարկված ցուցումների տեսանկյունից (կիրառելիության դեպքում):</w:t>
            </w:r>
          </w:p>
          <w:p w14:paraId="292C1344" w14:textId="6A5BA6D5" w:rsidR="008C76E0" w:rsidRPr="008C76E0" w:rsidRDefault="008C76E0" w:rsidP="00B02202">
            <w:pPr>
              <w:pStyle w:val="Bodytext180"/>
              <w:shd w:val="clear" w:color="auto" w:fill="auto"/>
              <w:spacing w:before="0" w:after="160" w:line="360" w:lineRule="auto"/>
              <w:ind w:firstLine="550"/>
              <w:jc w:val="both"/>
              <w:rPr>
                <w:rFonts w:ascii="Sylfaen" w:hAnsi="Sylfaen"/>
                <w:b w:val="0"/>
                <w:sz w:val="24"/>
                <w:szCs w:val="24"/>
                <w:lang w:val="hy-AM"/>
              </w:rPr>
            </w:pPr>
            <w:r w:rsidRPr="003B2786">
              <w:rPr>
                <w:rStyle w:val="Bodytext1811pt"/>
                <w:rFonts w:ascii="Sylfaen" w:hAnsi="Sylfaen"/>
                <w:sz w:val="24"/>
                <w:szCs w:val="24"/>
              </w:rPr>
              <w:t>Նշե՛ք՝ անցկացվել է արդյոք գիտական խորհրդատվություն (եթե այո, ապա</w:t>
            </w:r>
            <w:r w:rsidR="009E569B" w:rsidRPr="009E569B">
              <w:rPr>
                <w:rStyle w:val="Bodytext1811pt"/>
                <w:rFonts w:ascii="Sylfaen" w:hAnsi="Sylfaen"/>
                <w:sz w:val="24"/>
                <w:szCs w:val="24"/>
              </w:rPr>
              <w:t> </w:t>
            </w:r>
            <w:r w:rsidRPr="003B2786">
              <w:rPr>
                <w:rStyle w:val="Bodytext1811pt"/>
                <w:rFonts w:ascii="Sylfaen" w:hAnsi="Sylfaen"/>
                <w:sz w:val="24"/>
                <w:szCs w:val="24"/>
              </w:rPr>
              <w:t>ե՞րբ),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կատարել է իրեն տրված հանձնարարականները: </w:t>
            </w:r>
          </w:p>
          <w:p w14:paraId="1AEBE841" w14:textId="286736FF" w:rsidR="008C76E0" w:rsidRPr="008C76E0" w:rsidRDefault="008C76E0" w:rsidP="00390DAC">
            <w:pPr>
              <w:pStyle w:val="Bodytext180"/>
              <w:shd w:val="clear" w:color="auto" w:fill="auto"/>
              <w:spacing w:before="0" w:after="160" w:line="360" w:lineRule="auto"/>
              <w:ind w:firstLine="548"/>
              <w:jc w:val="both"/>
              <w:rPr>
                <w:rFonts w:ascii="Sylfaen" w:hAnsi="Sylfaen"/>
                <w:b w:val="0"/>
                <w:sz w:val="24"/>
                <w:szCs w:val="24"/>
                <w:lang w:val="hy-AM"/>
              </w:rPr>
            </w:pPr>
            <w:r w:rsidRPr="003B2786">
              <w:rPr>
                <w:rStyle w:val="Bodytext1811pt"/>
                <w:rFonts w:ascii="Sylfaen" w:hAnsi="Sylfaen"/>
                <w:sz w:val="24"/>
                <w:szCs w:val="24"/>
              </w:rPr>
              <w:t xml:space="preserve">Նշե՛ք՝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կատարել է Եվրասիական տնտեսական </w:t>
            </w:r>
            <w:r w:rsidRPr="003B2786">
              <w:rPr>
                <w:rStyle w:val="Bodytext1811pt"/>
                <w:rFonts w:ascii="Sylfaen" w:hAnsi="Sylfaen"/>
                <w:sz w:val="24"/>
                <w:szCs w:val="24"/>
              </w:rPr>
              <w:lastRenderedPageBreak/>
              <w:t>միության (այսուհետ՝ ԵԱՏՄ) մարմինների ակտերի պահանջները:</w:t>
            </w:r>
          </w:p>
          <w:p w14:paraId="6739C334" w14:textId="77777777" w:rsidR="008C76E0" w:rsidRPr="008C76E0" w:rsidRDefault="008C76E0" w:rsidP="00390DAC">
            <w:pPr>
              <w:pStyle w:val="Bodytext180"/>
              <w:shd w:val="clear" w:color="auto" w:fill="auto"/>
              <w:spacing w:before="0" w:after="160" w:line="360" w:lineRule="auto"/>
              <w:ind w:firstLine="548"/>
              <w:jc w:val="both"/>
              <w:rPr>
                <w:rFonts w:ascii="Sylfaen" w:hAnsi="Sylfaen"/>
                <w:sz w:val="24"/>
                <w:szCs w:val="24"/>
                <w:lang w:val="hy-AM"/>
              </w:rPr>
            </w:pPr>
            <w:r w:rsidRPr="003B2786">
              <w:rPr>
                <w:rStyle w:val="Bodytext1811pt"/>
                <w:rFonts w:ascii="Sylfaen" w:hAnsi="Sylfaen"/>
                <w:sz w:val="24"/>
                <w:szCs w:val="24"/>
              </w:rPr>
              <w:t>Նշե՛ք մանկաբուժության ոլորտում,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այլ հատուկ պոպուլյացիաներում (տարեց մարդիկ, տղամարդիկ, կանայք, էթնիկ փոքրամասնություններ) առկայությունը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դրանցում կիրառությունը մշակելու անհրաժեշտությունը:</w:t>
            </w:r>
          </w:p>
        </w:tc>
      </w:tr>
    </w:tbl>
    <w:p w14:paraId="3217B22C" w14:textId="77777777" w:rsidR="008C76E0" w:rsidRPr="003B2786" w:rsidRDefault="008C76E0" w:rsidP="00390DAC">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II.4.</w:t>
      </w:r>
      <w:r w:rsidRPr="003B2786">
        <w:rPr>
          <w:rFonts w:ascii="Sylfaen" w:hAnsi="Sylfaen"/>
          <w:sz w:val="24"/>
          <w:szCs w:val="24"/>
        </w:rPr>
        <w:tab/>
        <w:t xml:space="preserve">Պատշաճ արտադրական գործունեության (GMP), պատշաճ լաբորատոր գործունեության (GLP), պատշաճ կլինիկական գործունեության (GCP) պահանջների կատարման </w:t>
      </w:r>
      <w:r w:rsidR="00C54D75">
        <w:rPr>
          <w:rFonts w:ascii="Sylfaen" w:hAnsi="Sylfaen"/>
          <w:sz w:val="24"/>
          <w:szCs w:val="24"/>
        </w:rPr>
        <w:t>և</w:t>
      </w:r>
      <w:r w:rsidRPr="003B2786">
        <w:rPr>
          <w:rFonts w:ascii="Sylfaen" w:hAnsi="Sylfaen"/>
          <w:sz w:val="24"/>
          <w:szCs w:val="24"/>
        </w:rPr>
        <w:t xml:space="preserve"> համաձայնեցված էթնիկ սկզբունքների պահպանման վերաբերյալ ընդհանուր դիտողությունները</w:t>
      </w:r>
    </w:p>
    <w:p w14:paraId="521B1C6C" w14:textId="77777777" w:rsidR="008C76E0" w:rsidRPr="008C76E0" w:rsidRDefault="008C76E0" w:rsidP="00390DAC">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«Ճանաչման պետության կողմից հաստատվել է տվյալ պատրաստուկի մասով պատշաճ արտադրական գործունեության (GMP) ընդունված ստանդարտների պահպանումը` դրա արտադրության </w:t>
      </w:r>
      <w:r w:rsidR="00C54D75">
        <w:rPr>
          <w:rFonts w:ascii="Sylfaen" w:hAnsi="Sylfaen"/>
          <w:b w:val="0"/>
          <w:sz w:val="24"/>
          <w:szCs w:val="24"/>
          <w:lang w:val="hy-AM"/>
        </w:rPr>
        <w:t>և</w:t>
      </w:r>
      <w:r w:rsidRPr="008C76E0">
        <w:rPr>
          <w:rFonts w:ascii="Sylfaen" w:hAnsi="Sylfaen"/>
          <w:b w:val="0"/>
          <w:sz w:val="24"/>
          <w:szCs w:val="24"/>
          <w:lang w:val="hy-AM"/>
        </w:rPr>
        <w:t xml:space="preserve"> փաթեթավորման համար պատասխանատու բոլոր տեղամասերում՝ «բացառությամբ ... Անհրաժեշտ է տեսչական ստուգում անցկացնել տվյալ տեղամասում, քանի որ</w:t>
      </w:r>
      <w:r w:rsidRPr="003B2786">
        <w:rPr>
          <w:rStyle w:val="Bodytext295pt"/>
          <w:rFonts w:ascii="Sylfaen" w:hAnsi="Sylfaen"/>
          <w:sz w:val="24"/>
          <w:szCs w:val="24"/>
        </w:rPr>
        <w:t>»՝</w:t>
      </w:r>
    </w:p>
    <w:p w14:paraId="751E3E49"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«Ճանաչման ... պետությունների տարածքում արտադրամասերի համար ընդունվել են արտադրության թույլտվությունների գործող պատճենները, որոնք տրվել են իրավասու տեսչական մարմինների կողմից՝ ի հաստատումն այդ տեղամասերում GMP-ի ընդունված ստանդարտների պահպանման»,</w:t>
      </w:r>
    </w:p>
    <w:p w14:paraId="24487BAB"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արտադրամասերի համար ընդունվել են բավարար տեսչական ստուգումների հաշվետվությունների արդյունքներով GMP-ին համապատասխանության գործող սերտիֆիկատների, շտկող գործողությունների արդյունքներով անհամապատասխանությունների վերացման վերաբերյալ կամ իրավասու տեսչական մարմինների (կամ այն երկրների, որոնց հետ Միությունը համաձայնագիր է կնքել իրենց տարածքներում փոխադարձ ճանաչման մասին) կողմից ուղարկված տեղեկատվության փոխանակման վերաբերյալ նամակների օրինակները՝ ի հաստատումն այդպիսի արտադրամասերում GMP -ի ընդունված  ստանդարտների պահպանման»:</w:t>
      </w:r>
    </w:p>
    <w:tbl>
      <w:tblPr>
        <w:tblOverlap w:val="never"/>
        <w:tblW w:w="9576" w:type="dxa"/>
        <w:jc w:val="center"/>
        <w:tblLayout w:type="fixed"/>
        <w:tblCellMar>
          <w:left w:w="10" w:type="dxa"/>
          <w:right w:w="10" w:type="dxa"/>
        </w:tblCellMar>
        <w:tblLook w:val="04A0" w:firstRow="1" w:lastRow="0" w:firstColumn="1" w:lastColumn="0" w:noHBand="0" w:noVBand="1"/>
      </w:tblPr>
      <w:tblGrid>
        <w:gridCol w:w="9576"/>
      </w:tblGrid>
      <w:tr w:rsidR="008C76E0" w:rsidRPr="003B2786" w14:paraId="719185C8" w14:textId="77777777" w:rsidTr="008C76E0">
        <w:trPr>
          <w:jc w:val="center"/>
        </w:trPr>
        <w:tc>
          <w:tcPr>
            <w:tcW w:w="9576" w:type="dxa"/>
            <w:tcBorders>
              <w:top w:val="single" w:sz="4" w:space="0" w:color="auto"/>
              <w:left w:val="single" w:sz="4" w:space="0" w:color="auto"/>
              <w:right w:val="single" w:sz="4" w:space="0" w:color="auto"/>
            </w:tcBorders>
            <w:shd w:val="clear" w:color="auto" w:fill="FFFFFF"/>
          </w:tcPr>
          <w:p w14:paraId="0BBD206C"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lastRenderedPageBreak/>
              <w:t>Նշե՛ք այն, ինչ նպատակահարմար է՝ նախնական գնահատման մոդուլների դրույթներին համապատասխան:</w:t>
            </w:r>
          </w:p>
        </w:tc>
      </w:tr>
      <w:tr w:rsidR="008C76E0" w:rsidRPr="003B2786" w14:paraId="2BA5815E" w14:textId="77777777" w:rsidTr="008C76E0">
        <w:trPr>
          <w:trHeight w:val="1685"/>
          <w:jc w:val="center"/>
        </w:trPr>
        <w:tc>
          <w:tcPr>
            <w:tcW w:w="9576" w:type="dxa"/>
            <w:tcBorders>
              <w:left w:val="single" w:sz="4" w:space="0" w:color="auto"/>
              <w:right w:val="single" w:sz="4" w:space="0" w:color="auto"/>
            </w:tcBorders>
            <w:shd w:val="clear" w:color="auto" w:fill="FFFFFF"/>
            <w:vAlign w:val="center"/>
          </w:tcPr>
          <w:p w14:paraId="76C62C7C"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Հարկ է առանձին նշել, թե արդյոք անհրաժեշտություն կա որ</w:t>
            </w:r>
            <w:r w:rsidR="00C54D75">
              <w:rPr>
                <w:rStyle w:val="Bodytext1811pt"/>
                <w:rFonts w:ascii="Sylfaen" w:hAnsi="Sylfaen"/>
                <w:sz w:val="24"/>
                <w:szCs w:val="24"/>
              </w:rPr>
              <w:t>և</w:t>
            </w:r>
            <w:r w:rsidRPr="003B2786">
              <w:rPr>
                <w:rStyle w:val="Bodytext1811pt"/>
                <w:rFonts w:ascii="Sylfaen" w:hAnsi="Sylfaen"/>
                <w:sz w:val="24"/>
                <w:szCs w:val="24"/>
              </w:rPr>
              <w:t xml:space="preserve">է տեսչական ստուգում անցկացնելու (եթե այո, ապա՝ պատշաճ արտադրական գործունեության, պատշաճ լաբորատոր գործունեության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պատշաճ կլինիկական գործունեության հատկապես ո՞ր մասով):</w:t>
            </w:r>
          </w:p>
        </w:tc>
      </w:tr>
      <w:tr w:rsidR="008C76E0" w:rsidRPr="003B2786" w14:paraId="2383072D" w14:textId="77777777" w:rsidTr="008C76E0">
        <w:trPr>
          <w:trHeight w:val="2143"/>
          <w:jc w:val="center"/>
        </w:trPr>
        <w:tc>
          <w:tcPr>
            <w:tcW w:w="9576" w:type="dxa"/>
            <w:tcBorders>
              <w:left w:val="single" w:sz="4" w:space="0" w:color="auto"/>
              <w:right w:val="single" w:sz="4" w:space="0" w:color="auto"/>
            </w:tcBorders>
            <w:shd w:val="clear" w:color="auto" w:fill="FFFFFF"/>
            <w:vAlign w:val="center"/>
          </w:tcPr>
          <w:p w14:paraId="0760B16B"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Մեկ կամ ավելի տեսչական ստուգում անցկացնելու անհրաժեշտության դեպքում որակի, նախակլինիկական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կլինիկական փորձարկումների վերաբերյալ համապատասխան հաշվետվություններում ներկայացրե՛ք Պատշաճ արտադրական գործունեության, Պատշաճ լաբորատոր գործունեության կամ Պատշաճ կլինիկական գործունեության վերաբերյալ բաժիններում մանրամասն տեղեկատվությանն արված հղումը:</w:t>
            </w:r>
          </w:p>
        </w:tc>
      </w:tr>
      <w:tr w:rsidR="008C76E0" w:rsidRPr="003B2786" w14:paraId="2E0A99ED" w14:textId="77777777" w:rsidTr="008C76E0">
        <w:trPr>
          <w:trHeight w:val="1014"/>
          <w:jc w:val="center"/>
        </w:trPr>
        <w:tc>
          <w:tcPr>
            <w:tcW w:w="9576" w:type="dxa"/>
            <w:tcBorders>
              <w:left w:val="single" w:sz="4" w:space="0" w:color="auto"/>
              <w:right w:val="single" w:sz="4" w:space="0" w:color="auto"/>
            </w:tcBorders>
            <w:shd w:val="clear" w:color="auto" w:fill="FFFFFF"/>
            <w:vAlign w:val="bottom"/>
          </w:tcPr>
          <w:p w14:paraId="74B710C0"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Տեսչական ստուգումներ անցկացնելու կարիքն անհրաժեշտ է նշել սույն փաստաթղթի III </w:t>
            </w:r>
            <w:r w:rsidR="00C54D75">
              <w:rPr>
                <w:rStyle w:val="Bodytext1811pt"/>
                <w:rFonts w:ascii="Sylfaen" w:hAnsi="Sylfaen"/>
                <w:sz w:val="24"/>
                <w:szCs w:val="24"/>
              </w:rPr>
              <w:t>և</w:t>
            </w:r>
            <w:r w:rsidRPr="003B2786">
              <w:rPr>
                <w:rStyle w:val="Bodytext1811pt"/>
                <w:rFonts w:ascii="Sylfaen" w:hAnsi="Sylfaen"/>
                <w:sz w:val="24"/>
                <w:szCs w:val="24"/>
              </w:rPr>
              <w:t xml:space="preserve"> V բաժինների համապատասխան մասերում:</w:t>
            </w:r>
          </w:p>
        </w:tc>
      </w:tr>
      <w:tr w:rsidR="008C76E0" w:rsidRPr="003B2786" w14:paraId="467959A8" w14:textId="77777777" w:rsidTr="008C76E0">
        <w:trPr>
          <w:jc w:val="center"/>
        </w:trPr>
        <w:tc>
          <w:tcPr>
            <w:tcW w:w="9576" w:type="dxa"/>
            <w:tcBorders>
              <w:top w:val="single" w:sz="4" w:space="0" w:color="auto"/>
            </w:tcBorders>
            <w:shd w:val="clear" w:color="auto" w:fill="FFFFFF"/>
            <w:vAlign w:val="center"/>
          </w:tcPr>
          <w:p w14:paraId="67BFDC75" w14:textId="77777777" w:rsidR="008C76E0" w:rsidRPr="008C76E0" w:rsidRDefault="008C76E0" w:rsidP="00390DAC">
            <w:pPr>
              <w:pStyle w:val="Bodytext180"/>
              <w:shd w:val="clear" w:color="auto" w:fill="auto"/>
              <w:spacing w:before="0" w:after="160" w:line="360" w:lineRule="auto"/>
              <w:ind w:left="45" w:right="74" w:firstLine="482"/>
              <w:jc w:val="both"/>
              <w:rPr>
                <w:rFonts w:ascii="Sylfaen" w:hAnsi="Sylfaen"/>
                <w:b w:val="0"/>
                <w:i/>
                <w:sz w:val="24"/>
                <w:szCs w:val="24"/>
                <w:lang w:val="hy-AM"/>
              </w:rPr>
            </w:pPr>
            <w:r w:rsidRPr="003B2786">
              <w:rPr>
                <w:rStyle w:val="Bodytext295pt"/>
                <w:rFonts w:ascii="Sylfaen" w:hAnsi="Sylfaen"/>
                <w:sz w:val="24"/>
                <w:szCs w:val="24"/>
              </w:rPr>
              <w:t>III.</w:t>
            </w:r>
            <w:r w:rsidRPr="003B2786">
              <w:rPr>
                <w:rStyle w:val="Bodytext295pt"/>
                <w:rFonts w:ascii="Sylfaen" w:hAnsi="Sylfaen"/>
                <w:sz w:val="24"/>
                <w:szCs w:val="24"/>
              </w:rPr>
              <w:tab/>
              <w:t xml:space="preserve">Գիտական ակնարկ </w:t>
            </w:r>
            <w:r w:rsidR="00C54D75">
              <w:rPr>
                <w:rStyle w:val="Bodytext295pt"/>
                <w:rFonts w:ascii="Sylfaen" w:hAnsi="Sylfaen"/>
                <w:sz w:val="24"/>
                <w:szCs w:val="24"/>
              </w:rPr>
              <w:t>և</w:t>
            </w:r>
            <w:r w:rsidRPr="003B2786">
              <w:rPr>
                <w:rStyle w:val="Bodytext295pt"/>
                <w:rFonts w:ascii="Sylfaen" w:hAnsi="Sylfaen"/>
                <w:sz w:val="24"/>
                <w:szCs w:val="24"/>
              </w:rPr>
              <w:t xml:space="preserve"> քննարկում</w:t>
            </w:r>
          </w:p>
        </w:tc>
      </w:tr>
      <w:tr w:rsidR="008C76E0" w:rsidRPr="003B2786" w14:paraId="711A7D74" w14:textId="77777777" w:rsidTr="008C76E0">
        <w:trPr>
          <w:trHeight w:val="2570"/>
          <w:jc w:val="center"/>
        </w:trPr>
        <w:tc>
          <w:tcPr>
            <w:tcW w:w="9576" w:type="dxa"/>
            <w:tcBorders>
              <w:top w:val="single" w:sz="4" w:space="0" w:color="auto"/>
              <w:left w:val="single" w:sz="4" w:space="0" w:color="auto"/>
              <w:right w:val="single" w:sz="4" w:space="0" w:color="auto"/>
            </w:tcBorders>
            <w:shd w:val="clear" w:color="auto" w:fill="FFFFFF"/>
          </w:tcPr>
          <w:p w14:paraId="3871641D"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Տվյալ բաժնում կարող է օգտագործվել թիվ 6-8 հավելվածներով նախատեսված «... գնահատման փորձագետների ընդհանուր եզրակացությունները» պարբերություններից վերցված տեղեկատվությունը: Համապատասխան պարբերությունները ներկայացված են թիվ 6-8 հավելվածների համապատասխան մասերի վերջում: Գնահատման փորձագետը կարող է հետագայում իր հայեցողությամբ պատճենել </w:t>
            </w:r>
            <w:r w:rsidR="00C54D75">
              <w:rPr>
                <w:rStyle w:val="Bodytext1811pt"/>
                <w:rFonts w:ascii="Sylfaen" w:hAnsi="Sylfaen"/>
                <w:sz w:val="24"/>
                <w:szCs w:val="24"/>
              </w:rPr>
              <w:t>և</w:t>
            </w:r>
            <w:r w:rsidRPr="003B2786">
              <w:rPr>
                <w:rStyle w:val="Bodytext1811pt"/>
                <w:rFonts w:ascii="Sylfaen" w:hAnsi="Sylfaen"/>
                <w:sz w:val="24"/>
                <w:szCs w:val="24"/>
              </w:rPr>
              <w:t xml:space="preserve"> ավելացնել կամ ներգրել այդ պարբերությունները համապատասխան վերնագրերի ներքո:</w:t>
            </w:r>
          </w:p>
        </w:tc>
      </w:tr>
      <w:tr w:rsidR="008C76E0" w:rsidRPr="003B2786" w14:paraId="17C1B556" w14:textId="77777777" w:rsidTr="008C76E0">
        <w:trPr>
          <w:trHeight w:val="1895"/>
          <w:jc w:val="center"/>
        </w:trPr>
        <w:tc>
          <w:tcPr>
            <w:tcW w:w="9576" w:type="dxa"/>
            <w:tcBorders>
              <w:left w:val="single" w:sz="4" w:space="0" w:color="auto"/>
              <w:right w:val="single" w:sz="4" w:space="0" w:color="auto"/>
            </w:tcBorders>
            <w:shd w:val="clear" w:color="auto" w:fill="FFFFFF"/>
            <w:vAlign w:val="center"/>
          </w:tcPr>
          <w:p w14:paraId="204BD1F0" w14:textId="4152FFEF"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Ցանկացած դեպքում անհրաժեշտ է հստակ առանձնացնել նախնական գնահատման յուրաքանչյուր մասի առնչությամբ կատարված բոլոր կար</w:t>
            </w:r>
            <w:r w:rsidR="00C54D75">
              <w:rPr>
                <w:rStyle w:val="Bodytext1811pt"/>
                <w:rFonts w:ascii="Sylfaen" w:hAnsi="Sylfaen"/>
                <w:sz w:val="24"/>
                <w:szCs w:val="24"/>
              </w:rPr>
              <w:t>և</w:t>
            </w:r>
            <w:r w:rsidRPr="003B2786">
              <w:rPr>
                <w:rStyle w:val="Bodytext1811pt"/>
                <w:rFonts w:ascii="Sylfaen" w:hAnsi="Sylfaen"/>
                <w:sz w:val="24"/>
                <w:szCs w:val="24"/>
              </w:rPr>
              <w:t>որ բացա</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ումները, դիտարկել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հիմքերը, ճանաչման պետության </w:t>
            </w:r>
            <w:r w:rsidRPr="008C76E0">
              <w:rPr>
                <w:rFonts w:ascii="Sylfaen" w:hAnsi="Sylfaen"/>
                <w:b w:val="0"/>
                <w:sz w:val="24"/>
                <w:szCs w:val="24"/>
                <w:lang w:val="hy-AM"/>
              </w:rPr>
              <w:t>հանձնարարականները</w:t>
            </w:r>
            <w:r w:rsidRPr="003B2786">
              <w:rPr>
                <w:rStyle w:val="Bodytext1811pt"/>
                <w:rFonts w:ascii="Sylfaen" w:hAnsi="Sylfaen"/>
                <w:sz w:val="24"/>
                <w:szCs w:val="24"/>
              </w:rPr>
              <w:t>,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ին առաջադրված հարցերը:</w:t>
            </w:r>
          </w:p>
        </w:tc>
      </w:tr>
      <w:tr w:rsidR="008C76E0" w:rsidRPr="003B2786" w14:paraId="788EF00D" w14:textId="77777777" w:rsidTr="008C76E0">
        <w:trPr>
          <w:trHeight w:val="1335"/>
          <w:jc w:val="center"/>
        </w:trPr>
        <w:tc>
          <w:tcPr>
            <w:tcW w:w="9576" w:type="dxa"/>
            <w:tcBorders>
              <w:left w:val="single" w:sz="4" w:space="0" w:color="auto"/>
              <w:right w:val="single" w:sz="4" w:space="0" w:color="auto"/>
            </w:tcBorders>
            <w:shd w:val="clear" w:color="auto" w:fill="FFFFFF"/>
            <w:vAlign w:val="center"/>
          </w:tcPr>
          <w:p w14:paraId="7D567337"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lastRenderedPageBreak/>
              <w:t>Անհրաժեշտ է բավականին մանրամասն շարադրել տվյալ գլուխը՝ դեղապատրաստուկի գնահատման վերաբերյալ հրապարակային հաշվետվություն կազմելու նպատակով այն հետագայում օգտագործելու համար:</w:t>
            </w:r>
          </w:p>
        </w:tc>
      </w:tr>
      <w:tr w:rsidR="008C76E0" w:rsidRPr="003B2786" w14:paraId="61F2EF1B" w14:textId="77777777" w:rsidTr="008C76E0">
        <w:trPr>
          <w:trHeight w:val="3850"/>
          <w:jc w:val="center"/>
        </w:trPr>
        <w:tc>
          <w:tcPr>
            <w:tcW w:w="9576" w:type="dxa"/>
            <w:tcBorders>
              <w:left w:val="single" w:sz="4" w:space="0" w:color="auto"/>
              <w:right w:val="single" w:sz="4" w:space="0" w:color="auto"/>
            </w:tcBorders>
            <w:shd w:val="clear" w:color="auto" w:fill="FFFFFF"/>
            <w:vAlign w:val="bottom"/>
          </w:tcPr>
          <w:p w14:paraId="1E9C124B" w14:textId="09AA6F6F"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Վերարտադրված դեղամիջոցների </w:t>
            </w:r>
            <w:r w:rsidR="009F5829">
              <w:rPr>
                <w:rStyle w:val="Bodytext1811pt"/>
                <w:rFonts w:ascii="Sylfaen" w:hAnsi="Sylfaen"/>
                <w:sz w:val="24"/>
                <w:szCs w:val="24"/>
              </w:rPr>
              <w:t>դիմումներ</w:t>
            </w:r>
            <w:r w:rsidRPr="003B2786">
              <w:rPr>
                <w:rStyle w:val="Bodytext1811pt"/>
                <w:rFonts w:ascii="Sylfaen" w:hAnsi="Sylfaen"/>
                <w:sz w:val="24"/>
                <w:szCs w:val="24"/>
              </w:rPr>
              <w:t>ի համար.</w:t>
            </w:r>
          </w:p>
          <w:p w14:paraId="64768C8E"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Ռեֆերենտ պատրաստուկ օգտագործվելու դեպքում ռեֆերենտ պետությունն անհրաժեշտ է, որ հստակ նշի, թե արդյոք տվյալ պատրաստուկի կիրառության վերաբերյալ հիմնավորումը հիմնված է սեփական նյութերի, թե Միության այլ անդամ պետության (այսուհետ՝ անդամ պետություն) հարցմամբ ներկայացված տվյալների վրա:</w:t>
            </w:r>
          </w:p>
          <w:p w14:paraId="32FAFE1A"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Եթե վերարտադրված դեղապատրաստուկի ընդհանուր բնութագիրը տարբերվում է օրիգինալ պատրաստուկի համառոտ բնութագրից, ապա գնահատման վերաբերյալ հաշվետվությունը պետք է ներառի համապատասխան փոփոխությունները հիմնավորող տվյալներ:</w:t>
            </w:r>
          </w:p>
        </w:tc>
      </w:tr>
      <w:tr w:rsidR="008C76E0" w:rsidRPr="003B2786" w14:paraId="0597288F" w14:textId="77777777" w:rsidTr="008C76E0">
        <w:trPr>
          <w:jc w:val="center"/>
        </w:trPr>
        <w:tc>
          <w:tcPr>
            <w:tcW w:w="9576" w:type="dxa"/>
            <w:tcBorders>
              <w:left w:val="single" w:sz="4" w:space="0" w:color="auto"/>
              <w:bottom w:val="single" w:sz="4" w:space="0" w:color="auto"/>
              <w:right w:val="single" w:sz="4" w:space="0" w:color="auto"/>
            </w:tcBorders>
            <w:shd w:val="clear" w:color="auto" w:fill="FFFFFF"/>
            <w:vAlign w:val="bottom"/>
          </w:tcPr>
          <w:p w14:paraId="3FCBB979" w14:textId="77777777" w:rsidR="008C76E0" w:rsidRPr="003B2786" w:rsidRDefault="008C76E0" w:rsidP="00390DAC">
            <w:pPr>
              <w:pStyle w:val="Bodytext80"/>
              <w:shd w:val="clear" w:color="auto" w:fill="auto"/>
              <w:spacing w:before="0" w:after="160" w:line="360" w:lineRule="auto"/>
              <w:ind w:left="45" w:right="74" w:firstLine="527"/>
              <w:jc w:val="both"/>
              <w:rPr>
                <w:rStyle w:val="Bodytext1811pt"/>
                <w:rFonts w:ascii="Sylfaen" w:hAnsi="Sylfaen"/>
                <w:sz w:val="24"/>
                <w:szCs w:val="24"/>
              </w:rPr>
            </w:pPr>
            <w:r w:rsidRPr="008C76E0">
              <w:rPr>
                <w:rStyle w:val="Bodytext8Exact"/>
                <w:rFonts w:ascii="Sylfaen" w:hAnsi="Sylfaen"/>
                <w:sz w:val="24"/>
                <w:szCs w:val="24"/>
                <w:lang w:val="hy-AM"/>
              </w:rPr>
              <w:t>Եթե ռեֆերենտ դեղապատրաստուկի ընդհանուր բնութագիրը հաստատվել է Միությունում, ապա այլ բան նշված չլինելու դեպքում դեղապատրաստուկի այդ ընդհանուր բնութագիրն անհրաժեշտ է օգտագործել մի</w:t>
            </w:r>
            <w:r w:rsidR="00C54D75">
              <w:rPr>
                <w:rStyle w:val="Bodytext8Exact"/>
                <w:rFonts w:ascii="Sylfaen" w:hAnsi="Sylfaen"/>
                <w:sz w:val="24"/>
                <w:szCs w:val="24"/>
                <w:lang w:val="hy-AM"/>
              </w:rPr>
              <w:t>և</w:t>
            </w:r>
            <w:r w:rsidRPr="008C76E0">
              <w:rPr>
                <w:rStyle w:val="Bodytext8Exact"/>
                <w:rFonts w:ascii="Sylfaen" w:hAnsi="Sylfaen"/>
                <w:sz w:val="24"/>
                <w:szCs w:val="24"/>
                <w:lang w:val="hy-AM"/>
              </w:rPr>
              <w:t>նույն ակտիվ նյութն ու բացթողման ձ</w:t>
            </w:r>
            <w:r w:rsidR="00C54D75">
              <w:rPr>
                <w:rStyle w:val="Bodytext8Exact"/>
                <w:rFonts w:ascii="Sylfaen" w:hAnsi="Sylfaen"/>
                <w:sz w:val="24"/>
                <w:szCs w:val="24"/>
                <w:lang w:val="hy-AM"/>
              </w:rPr>
              <w:t>և</w:t>
            </w:r>
            <w:r w:rsidRPr="008C76E0">
              <w:rPr>
                <w:rStyle w:val="Bodytext8Exact"/>
                <w:rFonts w:ascii="Sylfaen" w:hAnsi="Sylfaen"/>
                <w:sz w:val="24"/>
                <w:szCs w:val="24"/>
                <w:lang w:val="hy-AM"/>
              </w:rPr>
              <w:t>ն ունեցող դեղապատրաստուկների համար:</w:t>
            </w:r>
          </w:p>
        </w:tc>
      </w:tr>
    </w:tbl>
    <w:p w14:paraId="12FBA203" w14:textId="77777777" w:rsidR="008C76E0" w:rsidRPr="003B2786" w:rsidRDefault="008C76E0" w:rsidP="00390DAC">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III.1.</w:t>
      </w:r>
      <w:r w:rsidRPr="003B2786">
        <w:rPr>
          <w:rFonts w:ascii="Sylfaen" w:hAnsi="Sylfaen"/>
          <w:sz w:val="24"/>
          <w:szCs w:val="24"/>
        </w:rPr>
        <w:tab/>
        <w:t xml:space="preserve">Որակի ասպեկտները </w:t>
      </w:r>
    </w:p>
    <w:p w14:paraId="5A82F912"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Դեղանյութը</w:t>
      </w:r>
    </w:p>
    <w:p w14:paraId="6D9A1947" w14:textId="77777777"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 xml:space="preserve">««Դեղապատրաստուկի անվանումը» մասով քիմիադեղագործական փաստաթղթերը </w:t>
      </w:r>
      <w:r w:rsidR="00C54D75">
        <w:rPr>
          <w:rFonts w:ascii="Sylfaen" w:hAnsi="Sylfaen"/>
          <w:b w:val="0"/>
          <w:sz w:val="24"/>
          <w:szCs w:val="24"/>
          <w:lang w:val="hy-AM"/>
        </w:rPr>
        <w:t>և</w:t>
      </w:r>
      <w:r w:rsidRPr="008C76E0">
        <w:rPr>
          <w:rFonts w:ascii="Sylfaen" w:hAnsi="Sylfaen"/>
          <w:b w:val="0"/>
          <w:sz w:val="24"/>
          <w:szCs w:val="24"/>
          <w:lang w:val="hy-AM"/>
        </w:rPr>
        <w:t xml:space="preserve"> որակի վերաբերյալ ընդհանուր ռեզյումեն գործող նորմատիվ պահանջների տեսանկյունից ունեն ընդունելի որակ»:</w:t>
      </w:r>
    </w:p>
    <w:p w14:paraId="4BC8AEA8" w14:textId="77777777"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 xml:space="preserve">«Դեղապատրաստուկի ստուգիչ թեստերը </w:t>
      </w:r>
      <w:r w:rsidR="00C54D75">
        <w:rPr>
          <w:rFonts w:ascii="Sylfaen" w:hAnsi="Sylfaen"/>
          <w:b w:val="0"/>
          <w:sz w:val="24"/>
          <w:szCs w:val="24"/>
          <w:lang w:val="hy-AM"/>
        </w:rPr>
        <w:t>և</w:t>
      </w:r>
      <w:r w:rsidRPr="008C76E0">
        <w:rPr>
          <w:rFonts w:ascii="Sylfaen" w:hAnsi="Sylfaen"/>
          <w:b w:val="0"/>
          <w:sz w:val="24"/>
          <w:szCs w:val="24"/>
          <w:lang w:val="hy-AM"/>
        </w:rPr>
        <w:t xml:space="preserve"> մասնագրերը կազմված են պատշաճ ձ</w:t>
      </w:r>
      <w:r w:rsidR="00C54D75">
        <w:rPr>
          <w:rFonts w:ascii="Sylfaen" w:hAnsi="Sylfaen"/>
          <w:b w:val="0"/>
          <w:sz w:val="24"/>
          <w:szCs w:val="24"/>
          <w:lang w:val="hy-AM"/>
        </w:rPr>
        <w:t>և</w:t>
      </w:r>
      <w:r w:rsidRPr="008C76E0">
        <w:rPr>
          <w:rFonts w:ascii="Sylfaen" w:hAnsi="Sylfaen"/>
          <w:b w:val="0"/>
          <w:sz w:val="24"/>
          <w:szCs w:val="24"/>
          <w:lang w:val="hy-AM"/>
        </w:rPr>
        <w:t>ով»:</w:t>
      </w:r>
    </w:p>
    <w:p w14:paraId="6CE1323A" w14:textId="75C2C97C"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«Դեղանյութի մասով անցկացվել են կայունության փորձարկումներ: Որ</w:t>
      </w:r>
      <w:r w:rsidR="00C54D75">
        <w:rPr>
          <w:rFonts w:ascii="Sylfaen" w:hAnsi="Sylfaen"/>
          <w:b w:val="0"/>
          <w:sz w:val="24"/>
          <w:szCs w:val="24"/>
          <w:lang w:val="hy-AM"/>
        </w:rPr>
        <w:t>և</w:t>
      </w:r>
      <w:r w:rsidRPr="008C76E0">
        <w:rPr>
          <w:rFonts w:ascii="Sylfaen" w:hAnsi="Sylfaen"/>
          <w:b w:val="0"/>
          <w:sz w:val="24"/>
          <w:szCs w:val="24"/>
          <w:lang w:val="hy-AM"/>
        </w:rPr>
        <w:t xml:space="preserve">է պարամետրի զգալի փոփոխություններ չեն </w:t>
      </w:r>
      <w:r w:rsidR="00FE4A71">
        <w:rPr>
          <w:rFonts w:ascii="Sylfaen" w:hAnsi="Sylfaen"/>
          <w:b w:val="0"/>
          <w:sz w:val="24"/>
          <w:szCs w:val="24"/>
          <w:lang w:val="hy-AM"/>
        </w:rPr>
        <w:t xml:space="preserve">հայտնաբերվել </w:t>
      </w:r>
      <w:r w:rsidRPr="008C76E0">
        <w:rPr>
          <w:rFonts w:ascii="Sylfaen" w:hAnsi="Sylfaen"/>
          <w:b w:val="0"/>
          <w:sz w:val="24"/>
          <w:szCs w:val="24"/>
          <w:lang w:val="hy-AM"/>
        </w:rPr>
        <w:t xml:space="preserve">: Կրկնակի փորձարկումներ անցկացնելու առաջարկվող ժամկետը </w:t>
      </w:r>
      <w:r w:rsidRPr="003B2786">
        <w:rPr>
          <w:rStyle w:val="Bodytext295pt"/>
          <w:rFonts w:ascii="Sylfaen" w:hAnsi="Sylfaen"/>
          <w:sz w:val="24"/>
          <w:szCs w:val="24"/>
        </w:rPr>
        <w:t xml:space="preserve">«...» </w:t>
      </w:r>
      <w:r w:rsidRPr="008C76E0">
        <w:rPr>
          <w:rFonts w:ascii="Sylfaen" w:hAnsi="Sylfaen"/>
          <w:b w:val="0"/>
          <w:sz w:val="24"/>
          <w:szCs w:val="24"/>
          <w:lang w:val="hy-AM"/>
        </w:rPr>
        <w:t>հիմնավորված է»:</w:t>
      </w:r>
    </w:p>
    <w:p w14:paraId="1650DB0D"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lastRenderedPageBreak/>
        <w:t>Դեղապատրաստուկը</w:t>
      </w:r>
    </w:p>
    <w:p w14:paraId="36F03E7E"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«Նկարագրված է պատրաստուկի մշակումը, հիմնավորված է օժանդակ նյութերի ընտրությունը </w:t>
      </w:r>
      <w:r w:rsidR="00C54D75">
        <w:rPr>
          <w:rFonts w:ascii="Sylfaen" w:hAnsi="Sylfaen"/>
          <w:b w:val="0"/>
          <w:sz w:val="24"/>
          <w:szCs w:val="24"/>
          <w:lang w:val="hy-AM"/>
        </w:rPr>
        <w:t>և</w:t>
      </w:r>
      <w:r w:rsidRPr="008C76E0">
        <w:rPr>
          <w:rFonts w:ascii="Sylfaen" w:hAnsi="Sylfaen"/>
          <w:b w:val="0"/>
          <w:sz w:val="24"/>
          <w:szCs w:val="24"/>
          <w:lang w:val="hy-AM"/>
        </w:rPr>
        <w:t xml:space="preserve"> պարզաբանվել են դրանց ֆունկցիաները»:</w:t>
      </w:r>
    </w:p>
    <w:p w14:paraId="399A272A"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«Պատրաստուկի մասնագրերն ընդգրկում են տվյալ դեղապատրաստուկի համար նախատեսված համապատասխան պարամետրերը: Ներկայացվել է վերլուծական մեթոդիկաների վալիդացումը: Անցկացվել է խմբաքանակների վերլուծություն՝ ըստ «համարը» սերիաների: Խմբաքանակի վերլուծության արդյունքների համաձայն՝ պատրաստի պատրաստուկները համապատասխանում են առաջարկված մասնագրերի պահանջներին»:</w:t>
      </w:r>
    </w:p>
    <w:p w14:paraId="69DD435B"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«Կայունության փորձարկումների ընթացքում պայմանները համապատասխանում են Ներդաշնակեցման միջազգային համաժողովի (ICH)՝ կայունության փորձարկումների անցկացման կանոններին: Դեղանյութի ստուգիչ թեստերը </w:t>
      </w:r>
      <w:r w:rsidR="00C54D75">
        <w:rPr>
          <w:rFonts w:ascii="Sylfaen" w:hAnsi="Sylfaen"/>
          <w:b w:val="0"/>
          <w:sz w:val="24"/>
          <w:szCs w:val="24"/>
          <w:lang w:val="hy-AM"/>
        </w:rPr>
        <w:t>և</w:t>
      </w:r>
      <w:r w:rsidRPr="008C76E0">
        <w:rPr>
          <w:rFonts w:ascii="Sylfaen" w:hAnsi="Sylfaen"/>
          <w:b w:val="0"/>
          <w:sz w:val="24"/>
          <w:szCs w:val="24"/>
          <w:lang w:val="hy-AM"/>
        </w:rPr>
        <w:t xml:space="preserve"> մասնագրերը կազմված են պատշաճ ձ</w:t>
      </w:r>
      <w:r w:rsidR="00C54D75">
        <w:rPr>
          <w:rFonts w:ascii="Sylfaen" w:hAnsi="Sylfaen"/>
          <w:b w:val="0"/>
          <w:sz w:val="24"/>
          <w:szCs w:val="24"/>
          <w:lang w:val="hy-AM"/>
        </w:rPr>
        <w:t>և</w:t>
      </w:r>
      <w:r w:rsidRPr="008C76E0">
        <w:rPr>
          <w:rFonts w:ascii="Sylfaen" w:hAnsi="Sylfaen"/>
          <w:b w:val="0"/>
          <w:sz w:val="24"/>
          <w:szCs w:val="24"/>
          <w:lang w:val="hy-AM"/>
        </w:rPr>
        <w:t>ով»:</w:t>
      </w:r>
    </w:p>
    <w:p w14:paraId="686DF6BD"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Դեղապատրաստուկի համար «նշել պահպանման պայմանները» դեպքում «քանակը» ամիսների ընթացքում պահպանման առաջարկվող ժամկետը համարվում է ընդունելի»:</w:t>
      </w:r>
    </w:p>
    <w:tbl>
      <w:tblPr>
        <w:tblOverlap w:val="never"/>
        <w:tblW w:w="9619" w:type="dxa"/>
        <w:jc w:val="center"/>
        <w:tblLayout w:type="fixed"/>
        <w:tblCellMar>
          <w:left w:w="10" w:type="dxa"/>
          <w:right w:w="10" w:type="dxa"/>
        </w:tblCellMar>
        <w:tblLook w:val="04A0" w:firstRow="1" w:lastRow="0" w:firstColumn="1" w:lastColumn="0" w:noHBand="0" w:noVBand="1"/>
      </w:tblPr>
      <w:tblGrid>
        <w:gridCol w:w="9619"/>
      </w:tblGrid>
      <w:tr w:rsidR="008C76E0" w:rsidRPr="003B2786" w14:paraId="09E6A188" w14:textId="77777777" w:rsidTr="008C76E0">
        <w:trPr>
          <w:jc w:val="center"/>
        </w:trPr>
        <w:tc>
          <w:tcPr>
            <w:tcW w:w="9619" w:type="dxa"/>
            <w:tcBorders>
              <w:top w:val="single" w:sz="4" w:space="0" w:color="auto"/>
              <w:left w:val="single" w:sz="4" w:space="0" w:color="auto"/>
              <w:bottom w:val="single" w:sz="4" w:space="0" w:color="auto"/>
              <w:right w:val="single" w:sz="4" w:space="0" w:color="auto"/>
            </w:tcBorders>
            <w:shd w:val="clear" w:color="auto" w:fill="FFFFFF"/>
            <w:vAlign w:val="bottom"/>
          </w:tcPr>
          <w:p w14:paraId="5D9F9417"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Նշե՛ք այն, ինչ նպատակահարմար է՝ նախնական գնահատման մոդուլների դրույթներին համապատասխան:</w:t>
            </w:r>
          </w:p>
          <w:p w14:paraId="4E01119E"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Կարելի է ավելացնել հետ</w:t>
            </w:r>
            <w:r w:rsidR="00C54D75">
              <w:rPr>
                <w:rStyle w:val="Bodytext1811pt"/>
                <w:rFonts w:ascii="Sylfaen" w:hAnsi="Sylfaen"/>
                <w:sz w:val="24"/>
                <w:szCs w:val="24"/>
              </w:rPr>
              <w:t>և</w:t>
            </w:r>
            <w:r w:rsidRPr="003B2786">
              <w:rPr>
                <w:rStyle w:val="Bodytext1811pt"/>
                <w:rFonts w:ascii="Sylfaen" w:hAnsi="Sylfaen"/>
                <w:sz w:val="24"/>
                <w:szCs w:val="24"/>
              </w:rPr>
              <w:t>յալ տեղեկատվությունը.</w:t>
            </w:r>
          </w:p>
          <w:p w14:paraId="1A0DBD62" w14:textId="77777777" w:rsidR="008C76E0" w:rsidRPr="008C76E0" w:rsidRDefault="008C76E0" w:rsidP="00390DAC">
            <w:pPr>
              <w:pStyle w:val="Bodytext180"/>
              <w:shd w:val="clear" w:color="auto" w:fill="auto"/>
              <w:tabs>
                <w:tab w:val="left" w:pos="1107"/>
              </w:tabs>
              <w:spacing w:before="0" w:after="160" w:line="360" w:lineRule="auto"/>
              <w:ind w:left="110" w:right="40" w:firstLine="426"/>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լուծելիության մասով փորձարկումների արդյունքների վերաբերյալ ընդհանուր տեղեկատվությունը,</w:t>
            </w:r>
          </w:p>
          <w:p w14:paraId="1C270A0F" w14:textId="654CCDF8" w:rsidR="008C76E0" w:rsidRPr="003B2786" w:rsidRDefault="008C76E0" w:rsidP="00390DAC">
            <w:pPr>
              <w:pStyle w:val="Bodytext180"/>
              <w:shd w:val="clear" w:color="auto" w:fill="auto"/>
              <w:tabs>
                <w:tab w:val="left" w:pos="1107"/>
              </w:tabs>
              <w:spacing w:before="0" w:after="160" w:line="360" w:lineRule="auto"/>
              <w:ind w:left="110" w:right="40" w:firstLine="426"/>
              <w:jc w:val="both"/>
              <w:rPr>
                <w:rStyle w:val="Bodytext1811pt"/>
                <w:rFonts w:ascii="Sylfaen" w:hAnsi="Sylfaen"/>
                <w:sz w:val="24"/>
                <w:szCs w:val="24"/>
              </w:rPr>
            </w:pPr>
            <w:r w:rsidRPr="008C76E0">
              <w:rPr>
                <w:rFonts w:ascii="Sylfaen" w:hAnsi="Sylfaen"/>
                <w:b w:val="0"/>
                <w:sz w:val="24"/>
                <w:szCs w:val="24"/>
                <w:lang w:val="hy-AM"/>
              </w:rPr>
              <w:t>-</w:t>
            </w:r>
            <w:r w:rsidRPr="008C76E0">
              <w:rPr>
                <w:rFonts w:ascii="Sylfaen" w:hAnsi="Sylfaen"/>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ն այն մասին, որ օգտագործված ակտիվ բաղադրիչները </w:t>
            </w:r>
            <w:r w:rsidR="00C54D75">
              <w:rPr>
                <w:rStyle w:val="Bodytext1811pt"/>
                <w:rFonts w:ascii="Sylfaen" w:hAnsi="Sylfaen"/>
                <w:sz w:val="24"/>
                <w:szCs w:val="24"/>
              </w:rPr>
              <w:t>և</w:t>
            </w:r>
            <w:r w:rsidRPr="003B2786">
              <w:rPr>
                <w:rStyle w:val="Bodytext1811pt"/>
                <w:rFonts w:ascii="Sylfaen" w:hAnsi="Sylfaen"/>
                <w:sz w:val="24"/>
                <w:szCs w:val="24"/>
              </w:rPr>
              <w:t xml:space="preserve"> օժանդակ նյութերը քաջ </w:t>
            </w:r>
            <w:r w:rsidR="005F6A31">
              <w:rPr>
                <w:rStyle w:val="Bodytext1811pt"/>
                <w:rFonts w:ascii="Sylfaen" w:hAnsi="Sylfaen"/>
                <w:sz w:val="24"/>
                <w:szCs w:val="24"/>
              </w:rPr>
              <w:t>հայտնի</w:t>
            </w:r>
            <w:r w:rsidRPr="003B2786">
              <w:rPr>
                <w:rStyle w:val="Bodytext1811pt"/>
                <w:rFonts w:ascii="Sylfaen" w:hAnsi="Sylfaen"/>
                <w:sz w:val="24"/>
                <w:szCs w:val="24"/>
              </w:rPr>
              <w:t xml:space="preserve"> են </w:t>
            </w:r>
            <w:r w:rsidR="00C54D75">
              <w:rPr>
                <w:rStyle w:val="Bodytext1811pt"/>
                <w:rFonts w:ascii="Sylfaen" w:hAnsi="Sylfaen"/>
                <w:sz w:val="24"/>
                <w:szCs w:val="24"/>
              </w:rPr>
              <w:t>և</w:t>
            </w:r>
            <w:r w:rsidRPr="003B2786">
              <w:rPr>
                <w:rStyle w:val="Bodytext1811pt"/>
                <w:rFonts w:ascii="Sylfaen" w:hAnsi="Sylfaen"/>
                <w:sz w:val="24"/>
                <w:szCs w:val="24"/>
              </w:rPr>
              <w:t xml:space="preserve"> ունեն դեղագրքային պատշաճ որակ, </w:t>
            </w:r>
          </w:p>
          <w:p w14:paraId="20B9906E" w14:textId="05F6B0FD" w:rsidR="008C76E0" w:rsidRPr="008C76E0" w:rsidRDefault="008C76E0" w:rsidP="00390DAC">
            <w:pPr>
              <w:pStyle w:val="Bodytext180"/>
              <w:shd w:val="clear" w:color="auto" w:fill="auto"/>
              <w:tabs>
                <w:tab w:val="left" w:pos="1107"/>
              </w:tabs>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w:t>
            </w:r>
            <w:r w:rsidRPr="003B2786">
              <w:rPr>
                <w:rStyle w:val="Bodytext1811pt"/>
                <w:rFonts w:ascii="Sylfaen" w:hAnsi="Sylfaen"/>
                <w:sz w:val="24"/>
                <w:szCs w:val="24"/>
              </w:rPr>
              <w:tab/>
              <w:t xml:space="preserve">Դեղամիջոցների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առողջապահության (EDQM) որակի հարցերով Եվրոպայի ղեկավարության կողմից տրված ակտիվ նյութի կայունության հավաստագրի մասին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0B9A8011" w14:textId="77777777" w:rsidTr="008C76E0">
        <w:trPr>
          <w:jc w:val="center"/>
        </w:trPr>
        <w:tc>
          <w:tcPr>
            <w:tcW w:w="9619" w:type="dxa"/>
            <w:tcBorders>
              <w:top w:val="single" w:sz="4" w:space="0" w:color="auto"/>
            </w:tcBorders>
            <w:shd w:val="clear" w:color="auto" w:fill="FFFFFF"/>
            <w:vAlign w:val="bottom"/>
          </w:tcPr>
          <w:p w14:paraId="6FCFA283" w14:textId="77777777" w:rsidR="008C76E0" w:rsidRPr="003B2786" w:rsidRDefault="008C76E0" w:rsidP="00390DAC">
            <w:pPr>
              <w:pStyle w:val="Bodytext180"/>
              <w:shd w:val="clear" w:color="auto" w:fill="auto"/>
              <w:spacing w:before="0" w:after="160" w:line="360" w:lineRule="auto"/>
              <w:ind w:left="108" w:right="40" w:firstLine="425"/>
              <w:jc w:val="both"/>
              <w:rPr>
                <w:rFonts w:ascii="Sylfaen" w:hAnsi="Sylfaen"/>
                <w:b w:val="0"/>
                <w:bCs w:val="0"/>
                <w:i/>
                <w:iCs/>
                <w:color w:val="000000"/>
                <w:sz w:val="24"/>
                <w:szCs w:val="24"/>
                <w:shd w:val="clear" w:color="auto" w:fill="FFFFFF"/>
              </w:rPr>
            </w:pPr>
            <w:r w:rsidRPr="003B2786">
              <w:rPr>
                <w:rStyle w:val="Bodytext295pt"/>
                <w:rFonts w:ascii="Sylfaen" w:hAnsi="Sylfaen"/>
                <w:sz w:val="24"/>
                <w:szCs w:val="24"/>
              </w:rPr>
              <w:lastRenderedPageBreak/>
              <w:t>III.2.</w:t>
            </w:r>
            <w:r w:rsidRPr="003B2786">
              <w:rPr>
                <w:rStyle w:val="Bodytext295pt"/>
                <w:rFonts w:ascii="Sylfaen" w:hAnsi="Sylfaen"/>
                <w:sz w:val="24"/>
                <w:szCs w:val="24"/>
                <w:lang w:val="en-US"/>
              </w:rPr>
              <w:tab/>
            </w:r>
            <w:r w:rsidRPr="003B2786">
              <w:rPr>
                <w:rStyle w:val="Bodytext295pt"/>
                <w:rFonts w:ascii="Sylfaen" w:hAnsi="Sylfaen"/>
                <w:sz w:val="24"/>
                <w:szCs w:val="24"/>
              </w:rPr>
              <w:t>Նախակլինիկական ասպեկտները</w:t>
            </w:r>
          </w:p>
        </w:tc>
      </w:tr>
      <w:tr w:rsidR="008C76E0" w:rsidRPr="003B2786" w14:paraId="60A73207" w14:textId="77777777" w:rsidTr="008C76E0">
        <w:trPr>
          <w:jc w:val="center"/>
        </w:trPr>
        <w:tc>
          <w:tcPr>
            <w:tcW w:w="9619" w:type="dxa"/>
            <w:tcBorders>
              <w:top w:val="single" w:sz="4" w:space="0" w:color="auto"/>
              <w:left w:val="single" w:sz="4" w:space="0" w:color="auto"/>
              <w:right w:val="single" w:sz="4" w:space="0" w:color="auto"/>
            </w:tcBorders>
            <w:shd w:val="clear" w:color="auto" w:fill="FFFFFF"/>
          </w:tcPr>
          <w:p w14:paraId="412FC50C" w14:textId="4352FC99"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Վերարտադրված պատրաստուկի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ում խոսքը, որպես կանոն, առկա նյութերի մասին է: Նախակլինիկական գնահատում անցկացնելիս անհրաժեշտ</w:t>
            </w:r>
            <w:r>
              <w:rPr>
                <w:rStyle w:val="Bodytext1811pt"/>
                <w:rFonts w:ascii="Sylfaen" w:hAnsi="Sylfaen"/>
                <w:sz w:val="24"/>
                <w:szCs w:val="24"/>
              </w:rPr>
              <w:t> </w:t>
            </w:r>
            <w:r w:rsidRPr="003B2786">
              <w:rPr>
                <w:rStyle w:val="Bodytext1811pt"/>
                <w:rFonts w:ascii="Sylfaen" w:hAnsi="Sylfaen"/>
                <w:sz w:val="24"/>
                <w:szCs w:val="24"/>
              </w:rPr>
              <w:t>է ուշադրությունը կենտրոնացնել նոր տեղեկատվության վրա: Թույլատրվում է նախակլինիկական գնահատում չանցկացնել միայն այն դեպքերում, երբ պատրաստուկը կարելի է դասել թե՛ ռեֆերենտ պետությունում, թե՛ ճանաչման պետությունում լավ ուսումնասիրված կատեգորիայի շարքին,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նախակլինիկական հետազոտությունների արդյունքների վերաբերյալ նոր տվյալների բացակայության դեպքում: Սակայն ԴՊԸԲ-ի վրա ազդելու ունակ նախակլինիկական հետազոտությունների նոր տվյալների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գալու ժամանակ (օրինակ՝ հղիության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կրծքով կերակրման, QT միջակայքի նկատմամբ </w:t>
            </w:r>
            <w:r w:rsidR="00C54D75">
              <w:rPr>
                <w:rStyle w:val="Bodytext1811pt"/>
                <w:rFonts w:ascii="Sylfaen" w:hAnsi="Sylfaen"/>
                <w:sz w:val="24"/>
                <w:szCs w:val="24"/>
              </w:rPr>
              <w:t>և</w:t>
            </w:r>
            <w:r w:rsidRPr="003B2786">
              <w:rPr>
                <w:rStyle w:val="Bodytext1811pt"/>
                <w:rFonts w:ascii="Sylfaen" w:hAnsi="Sylfaen"/>
                <w:sz w:val="24"/>
                <w:szCs w:val="24"/>
              </w:rPr>
              <w:t xml:space="preserve"> այլն) պետք է անցկացնել նոր նախակլինիկական գնահատում:</w:t>
            </w:r>
          </w:p>
        </w:tc>
      </w:tr>
      <w:tr w:rsidR="008C76E0" w:rsidRPr="003B2786" w14:paraId="21F20077" w14:textId="77777777" w:rsidTr="008C76E0">
        <w:trPr>
          <w:jc w:val="center"/>
        </w:trPr>
        <w:tc>
          <w:tcPr>
            <w:tcW w:w="9619" w:type="dxa"/>
            <w:tcBorders>
              <w:left w:val="single" w:sz="4" w:space="0" w:color="auto"/>
              <w:right w:val="single" w:sz="4" w:space="0" w:color="auto"/>
            </w:tcBorders>
            <w:shd w:val="clear" w:color="auto" w:fill="FFFFFF"/>
            <w:vAlign w:val="bottom"/>
          </w:tcPr>
          <w:p w14:paraId="09371A20" w14:textId="32D6DB5E"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«Մատենագիտական»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 «ոչ ամբողջական դոյսեի» </w:t>
            </w:r>
            <w:r w:rsidR="009F5829">
              <w:rPr>
                <w:rStyle w:val="Bodytext1811pt"/>
                <w:rFonts w:ascii="Sylfaen" w:hAnsi="Sylfaen"/>
                <w:sz w:val="24"/>
                <w:szCs w:val="24"/>
              </w:rPr>
              <w:t>դիմումներ</w:t>
            </w:r>
            <w:r w:rsidRPr="003B2786">
              <w:rPr>
                <w:rStyle w:val="Bodytext1811pt"/>
                <w:rFonts w:ascii="Sylfaen" w:hAnsi="Sylfaen"/>
                <w:sz w:val="24"/>
                <w:szCs w:val="24"/>
              </w:rPr>
              <w:t>: Այստեղ անհրաժեշտ է ուսումնասիրել նախակլինիկական հետազոտությունների տվյալները: Գնահատման վերաբերյալ հաշվետվության մեջ անհրաժեշտ է նշել, թե արդյոք ներկայացված հետազոտությունները (գրական հրապարակումները) որ</w:t>
            </w:r>
            <w:r w:rsidR="00C54D75">
              <w:rPr>
                <w:rStyle w:val="Bodytext1811pt"/>
                <w:rFonts w:ascii="Sylfaen" w:hAnsi="Sylfaen"/>
                <w:sz w:val="24"/>
                <w:szCs w:val="24"/>
              </w:rPr>
              <w:t>և</w:t>
            </w:r>
            <w:r w:rsidRPr="003B2786">
              <w:rPr>
                <w:rStyle w:val="Bodytext1811pt"/>
                <w:rFonts w:ascii="Sylfaen" w:hAnsi="Sylfaen"/>
                <w:sz w:val="24"/>
                <w:szCs w:val="24"/>
              </w:rPr>
              <w:t>է նշանակություն ունեն դեղապատրաստուկի համար: Եթե որոշ հետազոտություններ չեն անցկացվել, ապա անհրաժեշտ է ներկայացնել այդ հետազոտություններից հրաժարվելու հստակ գիտական հիմնավորումը՝ ելնելով թիվ 1 հավելվածով նախատեսված «լավ ուսումնասիրված բժշկական կիրառման» չափանիշներից:</w:t>
            </w:r>
          </w:p>
        </w:tc>
      </w:tr>
      <w:tr w:rsidR="008C76E0" w:rsidRPr="003B2786" w14:paraId="4E93D7E0" w14:textId="77777777" w:rsidTr="008C76E0">
        <w:trPr>
          <w:trHeight w:val="738"/>
          <w:jc w:val="center"/>
        </w:trPr>
        <w:tc>
          <w:tcPr>
            <w:tcW w:w="9619" w:type="dxa"/>
            <w:tcBorders>
              <w:top w:val="single" w:sz="4" w:space="0" w:color="auto"/>
            </w:tcBorders>
            <w:shd w:val="clear" w:color="auto" w:fill="FFFFFF"/>
            <w:vAlign w:val="bottom"/>
          </w:tcPr>
          <w:p w14:paraId="5C08899B"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Դեղաբանություն</w:t>
            </w:r>
          </w:p>
        </w:tc>
      </w:tr>
      <w:tr w:rsidR="008C76E0" w:rsidRPr="003B2786" w14:paraId="1DE81192" w14:textId="77777777" w:rsidTr="008C76E0">
        <w:trPr>
          <w:trHeight w:val="636"/>
          <w:jc w:val="center"/>
        </w:trPr>
        <w:tc>
          <w:tcPr>
            <w:tcW w:w="9619" w:type="dxa"/>
            <w:shd w:val="clear" w:color="auto" w:fill="FFFFFF"/>
            <w:vAlign w:val="center"/>
          </w:tcPr>
          <w:p w14:paraId="18CD7AAE"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Դեղակինետիկա</w:t>
            </w:r>
          </w:p>
        </w:tc>
      </w:tr>
      <w:tr w:rsidR="008C76E0" w:rsidRPr="003B2786" w14:paraId="1A789373" w14:textId="77777777" w:rsidTr="008C76E0">
        <w:trPr>
          <w:trHeight w:val="818"/>
          <w:jc w:val="center"/>
        </w:trPr>
        <w:tc>
          <w:tcPr>
            <w:tcW w:w="9619" w:type="dxa"/>
            <w:shd w:val="clear" w:color="auto" w:fill="FFFFFF"/>
            <w:vAlign w:val="center"/>
          </w:tcPr>
          <w:p w14:paraId="6AF6D5E5"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Տոքսիկոլոգիա</w:t>
            </w:r>
          </w:p>
        </w:tc>
      </w:tr>
      <w:tr w:rsidR="008C76E0" w:rsidRPr="003B2786" w14:paraId="65151A12" w14:textId="77777777" w:rsidTr="008C76E0">
        <w:trPr>
          <w:jc w:val="center"/>
        </w:trPr>
        <w:tc>
          <w:tcPr>
            <w:tcW w:w="9619" w:type="dxa"/>
            <w:shd w:val="clear" w:color="auto" w:fill="FFFFFF"/>
          </w:tcPr>
          <w:p w14:paraId="1EBD73ED" w14:textId="77777777" w:rsidR="008C76E0" w:rsidRPr="003B2786" w:rsidRDefault="008C76E0" w:rsidP="00390DAC">
            <w:pPr>
              <w:pStyle w:val="Bodytext180"/>
              <w:shd w:val="clear" w:color="auto" w:fill="auto"/>
              <w:spacing w:before="0" w:after="160" w:line="360" w:lineRule="auto"/>
              <w:ind w:right="40" w:firstLine="537"/>
              <w:jc w:val="both"/>
              <w:rPr>
                <w:rFonts w:ascii="Sylfaen" w:hAnsi="Sylfaen"/>
                <w:i/>
                <w:sz w:val="24"/>
                <w:szCs w:val="24"/>
              </w:rPr>
            </w:pPr>
            <w:r w:rsidRPr="003B2786">
              <w:rPr>
                <w:rStyle w:val="Bodytext295pt"/>
                <w:rFonts w:ascii="Sylfaen" w:hAnsi="Sylfaen"/>
                <w:sz w:val="24"/>
                <w:szCs w:val="24"/>
              </w:rPr>
              <w:t>III.3.</w:t>
            </w:r>
            <w:r w:rsidRPr="003B2786">
              <w:rPr>
                <w:rStyle w:val="Bodytext295pt"/>
                <w:rFonts w:ascii="Sylfaen" w:hAnsi="Sylfaen"/>
                <w:sz w:val="24"/>
                <w:szCs w:val="24"/>
                <w:lang w:val="en-US"/>
              </w:rPr>
              <w:tab/>
            </w:r>
            <w:r w:rsidRPr="003B2786">
              <w:rPr>
                <w:rStyle w:val="Bodytext295pt"/>
                <w:rFonts w:ascii="Sylfaen" w:hAnsi="Sylfaen"/>
                <w:sz w:val="24"/>
                <w:szCs w:val="24"/>
              </w:rPr>
              <w:t>Կլինիկական ասպեկտները</w:t>
            </w:r>
          </w:p>
        </w:tc>
      </w:tr>
      <w:tr w:rsidR="008C76E0" w:rsidRPr="003B2786" w14:paraId="024381C3" w14:textId="77777777" w:rsidTr="008C76E0">
        <w:trPr>
          <w:jc w:val="center"/>
        </w:trPr>
        <w:tc>
          <w:tcPr>
            <w:tcW w:w="9619" w:type="dxa"/>
            <w:tcBorders>
              <w:top w:val="single" w:sz="4" w:space="0" w:color="auto"/>
              <w:left w:val="single" w:sz="4" w:space="0" w:color="auto"/>
              <w:right w:val="single" w:sz="4" w:space="0" w:color="auto"/>
            </w:tcBorders>
            <w:shd w:val="clear" w:color="auto" w:fill="FFFFFF"/>
          </w:tcPr>
          <w:p w14:paraId="75960F9C" w14:textId="19F502DF"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Վերարտադրված պատրաստուկների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w:t>
            </w:r>
          </w:p>
          <w:p w14:paraId="18E1C32B"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Համակարգային ազդեցության դեղամիջոցների համար տվյալ բաժնում պետք է </w:t>
            </w:r>
            <w:r w:rsidRPr="003B2786">
              <w:rPr>
                <w:rStyle w:val="Bodytext1811pt"/>
                <w:rFonts w:ascii="Sylfaen" w:hAnsi="Sylfaen"/>
                <w:sz w:val="24"/>
                <w:szCs w:val="24"/>
              </w:rPr>
              <w:lastRenderedPageBreak/>
              <w:t>լուսաբանել կենսահամարժեքության հետազոտությունների անցկացման անհրաժեշտությունը կամ ներկայացնել այդ հետազոտությունների նշանակության բացակայության կամ անհրաժեշտության համապատասխան հիմնավորումը: Այստեղ պետք է ընդհանրացնել այդ հետազոտությունների գնահատման վերաբերյալ եզրակացությունները,</w:t>
            </w:r>
          </w:p>
          <w:p w14:paraId="280906E3" w14:textId="19E16EE6"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գաղտնի հավելվածում (</w:t>
            </w:r>
            <w:r w:rsidR="0056496B">
              <w:rPr>
                <w:rStyle w:val="Bodytext1811pt"/>
                <w:rFonts w:ascii="Sylfaen" w:hAnsi="Sylfaen"/>
                <w:sz w:val="24"/>
                <w:szCs w:val="24"/>
              </w:rPr>
              <w:t>դիմումատու</w:t>
            </w:r>
            <w:r w:rsidRPr="003B2786">
              <w:rPr>
                <w:rStyle w:val="Bodytext1811pt"/>
                <w:rFonts w:ascii="Sylfaen" w:hAnsi="Sylfaen"/>
                <w:sz w:val="24"/>
                <w:szCs w:val="24"/>
              </w:rPr>
              <w:t>ի համար բացա</w:t>
            </w:r>
            <w:r w:rsidR="0056496B">
              <w:rPr>
                <w:rStyle w:val="Bodytext1811pt"/>
                <w:rFonts w:ascii="Sylfaen" w:hAnsi="Sylfaen"/>
                <w:sz w:val="24"/>
                <w:szCs w:val="24"/>
              </w:rPr>
              <w:t>դիմում</w:t>
            </w:r>
            <w:r w:rsidRPr="003B2786">
              <w:rPr>
                <w:rStyle w:val="Bodytext1811pt"/>
                <w:rFonts w:ascii="Sylfaen" w:hAnsi="Sylfaen"/>
                <w:sz w:val="24"/>
                <w:szCs w:val="24"/>
              </w:rPr>
              <w:t xml:space="preserve">ման ենթակա չէ) անհրաժեշտ է նշել կենսահամարժեքության հետազոտություններում օգտագործված ռեֆերենտ պատրաստուկի ամբողջական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մասնագիրը, որպեսզի շահագրգիռ անդամ պետությունները կարողանան համեմատություն անցկացնել իրենց տարածքում իրացման համար թույլատրված պատրաստուկների վերաբերյալ տվյալների հետ:</w:t>
            </w:r>
          </w:p>
          <w:p w14:paraId="7D5A0A21"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Այստեղ անհրաժեշտ է ներկայացնել ռեֆերենտ պատրաստուկի օգտագործման հիմնավորումը:</w:t>
            </w:r>
          </w:p>
        </w:tc>
      </w:tr>
      <w:tr w:rsidR="008C76E0" w:rsidRPr="003B2786" w14:paraId="6099D7A5" w14:textId="77777777" w:rsidTr="008C76E0">
        <w:trPr>
          <w:jc w:val="center"/>
        </w:trPr>
        <w:tc>
          <w:tcPr>
            <w:tcW w:w="9619" w:type="dxa"/>
            <w:tcBorders>
              <w:left w:val="single" w:sz="4" w:space="0" w:color="auto"/>
              <w:bottom w:val="single" w:sz="4" w:space="0" w:color="auto"/>
              <w:right w:val="single" w:sz="4" w:space="0" w:color="auto"/>
            </w:tcBorders>
            <w:shd w:val="clear" w:color="auto" w:fill="FFFFFF"/>
            <w:vAlign w:val="bottom"/>
          </w:tcPr>
          <w:p w14:paraId="72D5CD5C" w14:textId="77777777" w:rsidR="008C76E0" w:rsidRPr="003B2786" w:rsidRDefault="008C76E0" w:rsidP="00390DAC">
            <w:pPr>
              <w:pStyle w:val="Bodytext180"/>
              <w:shd w:val="clear" w:color="auto" w:fill="auto"/>
              <w:spacing w:before="0" w:after="160" w:line="360" w:lineRule="auto"/>
              <w:ind w:left="110" w:right="40" w:firstLine="426"/>
              <w:jc w:val="both"/>
              <w:rPr>
                <w:rStyle w:val="Bodytext1811pt"/>
                <w:rFonts w:ascii="Sylfaen" w:hAnsi="Sylfaen"/>
                <w:sz w:val="24"/>
                <w:szCs w:val="24"/>
              </w:rPr>
            </w:pPr>
            <w:r w:rsidRPr="003B2786">
              <w:rPr>
                <w:rStyle w:val="Bodytext1811pt"/>
                <w:rFonts w:ascii="Sylfaen" w:hAnsi="Sylfaen"/>
                <w:sz w:val="24"/>
                <w:szCs w:val="24"/>
              </w:rPr>
              <w:lastRenderedPageBreak/>
              <w:t>Եթե ԴՊԸԲ-ն տարբերվում է համեմատության համար օգտագործվող օրիգինալ պատրաստուկից, ապա գնահատման վերաբերյալ հաշվետվությունը պետք է ներառի համապատասխան փոփոխությունները հիմնավորող տվյալները:</w:t>
            </w:r>
          </w:p>
          <w:p w14:paraId="0F34331F" w14:textId="56B776C3"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«Մատենագիտական»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 «ոչ ամբողջական դոսյեի» </w:t>
            </w:r>
            <w:r w:rsidR="009F5829">
              <w:rPr>
                <w:rStyle w:val="Bodytext1811pt"/>
                <w:rFonts w:ascii="Sylfaen" w:hAnsi="Sylfaen"/>
                <w:sz w:val="24"/>
                <w:szCs w:val="24"/>
              </w:rPr>
              <w:t>դիմումներ</w:t>
            </w:r>
            <w:r w:rsidRPr="003B2786">
              <w:rPr>
                <w:rStyle w:val="Bodytext1811pt"/>
                <w:rFonts w:ascii="Sylfaen" w:hAnsi="Sylfaen"/>
                <w:sz w:val="24"/>
                <w:szCs w:val="24"/>
              </w:rPr>
              <w:t>: Այստեղ անհրաժեշտ է ուսումնասիրել կլինիկական հետազոտությունների տվյալները:</w:t>
            </w:r>
          </w:p>
        </w:tc>
      </w:tr>
    </w:tbl>
    <w:p w14:paraId="08F2B54E" w14:textId="77777777" w:rsidR="008C76E0" w:rsidRPr="003B2786" w:rsidRDefault="008C76E0" w:rsidP="00390DAC">
      <w:pPr>
        <w:spacing w:after="160" w:line="360" w:lineRule="auto"/>
        <w:ind w:right="-1"/>
        <w:jc w:val="both"/>
        <w:rPr>
          <w:rFonts w:ascii="Sylfaen" w:hAnsi="Sylfaen"/>
          <w:sz w:val="24"/>
          <w:szCs w:val="24"/>
        </w:rPr>
      </w:pPr>
    </w:p>
    <w:p w14:paraId="62221513"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Դեղակինետիկա </w:t>
      </w:r>
    </w:p>
    <w:p w14:paraId="508F6C64"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Դեղադինամիկա </w:t>
      </w:r>
    </w:p>
    <w:p w14:paraId="293E272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արդյունավետություն </w:t>
      </w:r>
    </w:p>
    <w:p w14:paraId="5070A915"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անվտանգություն </w:t>
      </w:r>
    </w:p>
    <w:p w14:paraId="0D13610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Դեղազգոնության համակարգ</w:t>
      </w:r>
    </w:p>
    <w:p w14:paraId="3B7DE737" w14:textId="4011CACA"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(գրանցման հավաստագրի ենթադրյալ ապագա տիրապետողը) ներկայացրել է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(գրանցման հավաստագրի </w:t>
      </w:r>
      <w:r w:rsidRPr="008C76E0">
        <w:rPr>
          <w:rFonts w:ascii="Sylfaen" w:hAnsi="Sylfaen"/>
          <w:b w:val="0"/>
          <w:sz w:val="24"/>
          <w:szCs w:val="24"/>
          <w:lang w:val="hy-AM"/>
        </w:rPr>
        <w:lastRenderedPageBreak/>
        <w:t xml:space="preserve">ենթադրյալ ապագա տիրապետողի) դեղազգոնության համակարգի վերաբերյալ բացատրագիրը (IA/&lt;Х&gt; տիպի փոփոխություն): </w:t>
      </w:r>
      <w:r w:rsidRPr="003B2786">
        <w:rPr>
          <w:rStyle w:val="Bodytext1811pt"/>
          <w:rFonts w:ascii="Sylfaen" w:hAnsi="Sylfaen"/>
          <w:sz w:val="24"/>
          <w:szCs w:val="24"/>
        </w:rPr>
        <w:t>Ռեֆերենտ</w:t>
      </w:r>
      <w:r w:rsidRPr="008C76E0">
        <w:rPr>
          <w:rFonts w:ascii="Sylfaen" w:hAnsi="Sylfaen"/>
          <w:b w:val="0"/>
          <w:sz w:val="24"/>
          <w:szCs w:val="24"/>
          <w:lang w:val="hy-AM"/>
        </w:rPr>
        <w:t xml:space="preserve"> պետությունը բացատրագիրն ընդունելի է համարում, եթե դեղազգոնության համակարգի վերաբերյալ դոսյեն լիովին համապատասխանում է դեղազգոնության պատշաճ գործունեության վերաբերյալ մոդուլով նախատեսված պահանջներին»:</w:t>
      </w:r>
    </w:p>
    <w:p w14:paraId="681C001F"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Ռիսկերի կառավարման պլանը</w:t>
      </w:r>
    </w:p>
    <w:p w14:paraId="153D889F"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Ավելացրե՛ք դեղազգոնության </w:t>
      </w:r>
      <w:r w:rsidR="00C54D75">
        <w:rPr>
          <w:rFonts w:ascii="Sylfaen" w:hAnsi="Sylfaen"/>
          <w:sz w:val="24"/>
          <w:szCs w:val="24"/>
        </w:rPr>
        <w:t>և</w:t>
      </w:r>
      <w:r w:rsidRPr="003B2786">
        <w:rPr>
          <w:rFonts w:ascii="Sylfaen" w:hAnsi="Sylfaen"/>
          <w:sz w:val="24"/>
          <w:szCs w:val="24"/>
        </w:rPr>
        <w:t xml:space="preserve"> վտանգավոր գործոնների հետ կապված ռիսկերի նվազեցման ոլորտում առաջարկվող միջոցառումների ամփոփիչ աղյուսակը (աղյուսակները):</w:t>
      </w:r>
    </w:p>
    <w:p w14:paraId="74AEE9B1"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«Հաստատվել է ռիսկերի կառավարման պլանը»</w:t>
      </w:r>
    </w:p>
    <w:p w14:paraId="7548126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Եթե ռիսկերի կառավարման պլանը ներկայացվել է ավելի վաղ օգտագործված ձ</w:t>
      </w:r>
      <w:r w:rsidR="00C54D75">
        <w:rPr>
          <w:rFonts w:ascii="Sylfaen" w:hAnsi="Sylfaen"/>
          <w:sz w:val="24"/>
          <w:szCs w:val="24"/>
        </w:rPr>
        <w:t>և</w:t>
      </w:r>
      <w:r w:rsidRPr="003B2786">
        <w:rPr>
          <w:rFonts w:ascii="Sylfaen" w:hAnsi="Sylfaen"/>
          <w:sz w:val="24"/>
          <w:szCs w:val="24"/>
        </w:rPr>
        <w:t>աչափով, ապա այն պետք է ներկայացնել նոր ձ</w:t>
      </w:r>
      <w:r w:rsidR="00C54D75">
        <w:rPr>
          <w:rFonts w:ascii="Sylfaen" w:hAnsi="Sylfaen"/>
          <w:sz w:val="24"/>
          <w:szCs w:val="24"/>
        </w:rPr>
        <w:t>և</w:t>
      </w:r>
      <w:r w:rsidRPr="003B2786">
        <w:rPr>
          <w:rFonts w:ascii="Sylfaen" w:hAnsi="Sylfaen"/>
          <w:sz w:val="24"/>
          <w:szCs w:val="24"/>
        </w:rPr>
        <w:t>աչափով գործընթացի 60-րդ օրը՝ դեղապատրաստուկի նկատմամբ անցանկալի ռեակցիաների վերաբերյալ տվյալների հետ համատեղ:</w:t>
      </w:r>
    </w:p>
    <w:p w14:paraId="68F6D0DB"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Դեղամիջոցի անվտանգության վերաբերյալ պարբերաբար թարմացվող հաշվետվությունը</w:t>
      </w:r>
    </w:p>
    <w:p w14:paraId="5FB760DC"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«Գրանցման հավաստագրի տիրապետողը պետք է տվյալ պատրաստուկի համար անվտանգության վերաբերյալ պարբերաբար թարմացվող առաջին հաշվետվությունը ներկայացնի դրա գրանցումից հետո</w:t>
      </w:r>
      <w:r w:rsidRPr="008C76E0">
        <w:rPr>
          <w:rFonts w:ascii="Sylfaen" w:hAnsi="Sylfaen"/>
          <w:sz w:val="24"/>
          <w:szCs w:val="24"/>
          <w:lang w:val="hy-AM"/>
        </w:rPr>
        <w:t xml:space="preserve">՝ </w:t>
      </w:r>
      <w:r w:rsidRPr="008C76E0">
        <w:rPr>
          <w:rStyle w:val="Bodytext7Spacing1pt"/>
          <w:rFonts w:ascii="Sylfaen" w:hAnsi="Sylfaen"/>
          <w:sz w:val="24"/>
          <w:szCs w:val="24"/>
          <w:lang w:val="hy-AM"/>
        </w:rPr>
        <w:t>{хх}</w:t>
      </w:r>
      <w:r w:rsidRPr="008C76E0">
        <w:rPr>
          <w:rFonts w:ascii="Sylfaen" w:hAnsi="Sylfaen"/>
          <w:b w:val="0"/>
          <w:sz w:val="24"/>
          <w:szCs w:val="24"/>
          <w:lang w:val="hy-AM"/>
        </w:rPr>
        <w:t xml:space="preserve"> ամսվա ընթացքում</w:t>
      </w:r>
      <w:r w:rsidRPr="008C76E0">
        <w:rPr>
          <w:rFonts w:ascii="Sylfaen" w:hAnsi="Sylfaen"/>
          <w:sz w:val="24"/>
          <w:szCs w:val="24"/>
          <w:lang w:val="hy-AM"/>
        </w:rPr>
        <w:t>:</w:t>
      </w:r>
    </w:p>
    <w:p w14:paraId="190BC911" w14:textId="77777777" w:rsidR="008C76E0" w:rsidRPr="008C76E0" w:rsidRDefault="008C76E0" w:rsidP="00390DAC">
      <w:pPr>
        <w:pStyle w:val="Bodytext140"/>
        <w:shd w:val="clear" w:color="auto" w:fill="auto"/>
        <w:spacing w:before="0" w:after="160" w:line="360" w:lineRule="auto"/>
        <w:ind w:right="-1" w:firstLine="567"/>
        <w:jc w:val="both"/>
        <w:rPr>
          <w:rFonts w:ascii="Sylfaen" w:hAnsi="Sylfaen"/>
          <w:sz w:val="24"/>
          <w:szCs w:val="24"/>
          <w:lang w:val="hy-AM"/>
        </w:rPr>
      </w:pPr>
      <w:r w:rsidRPr="008C76E0">
        <w:rPr>
          <w:rFonts w:ascii="Sylfaen" w:hAnsi="Sylfaen"/>
          <w:sz w:val="24"/>
          <w:szCs w:val="24"/>
          <w:lang w:val="hy-AM"/>
        </w:rPr>
        <w:t>Գրանցման հավաստագրի տիրապետողը հետագայում պետք է ներկայացնի տվյալ պատրաստուկի համար անվտանգության վերաբերյալ պարբերաբար թարմացվող հաշվետվություններ»:</w:t>
      </w:r>
    </w:p>
    <w:p w14:paraId="742D4F4A" w14:textId="77777777" w:rsidR="008C76E0" w:rsidRPr="003B2786" w:rsidRDefault="008C76E0" w:rsidP="00390DAC">
      <w:pPr>
        <w:tabs>
          <w:tab w:val="left" w:pos="851"/>
        </w:tabs>
        <w:spacing w:after="160" w:line="360" w:lineRule="auto"/>
        <w:ind w:right="-1"/>
        <w:jc w:val="both"/>
        <w:rPr>
          <w:rFonts w:ascii="Sylfaen" w:hAnsi="Sylfaen"/>
          <w:sz w:val="24"/>
          <w:szCs w:val="24"/>
        </w:rPr>
      </w:pPr>
      <w:r w:rsidRPr="003B2786">
        <w:rPr>
          <w:rFonts w:ascii="Sylfaen" w:hAnsi="Sylfaen"/>
          <w:sz w:val="24"/>
          <w:szCs w:val="24"/>
        </w:rPr>
        <w:t>IV.</w:t>
      </w:r>
      <w:r w:rsidRPr="003B2786">
        <w:rPr>
          <w:rFonts w:ascii="Sylfaen" w:hAnsi="Sylfaen"/>
          <w:sz w:val="24"/>
          <w:szCs w:val="24"/>
        </w:rPr>
        <w:tab/>
        <w:t xml:space="preserve">Օգուտ </w:t>
      </w:r>
      <w:r w:rsidR="00C54D75">
        <w:rPr>
          <w:rFonts w:ascii="Sylfaen" w:hAnsi="Sylfaen"/>
          <w:sz w:val="24"/>
          <w:szCs w:val="24"/>
        </w:rPr>
        <w:t>և</w:t>
      </w:r>
      <w:r w:rsidRPr="003B2786">
        <w:rPr>
          <w:rFonts w:ascii="Sylfaen" w:hAnsi="Sylfaen"/>
          <w:sz w:val="24"/>
          <w:szCs w:val="24"/>
        </w:rPr>
        <w:t xml:space="preserve"> ռիսկ հարաբերակցության գնահատումը</w:t>
      </w:r>
    </w:p>
    <w:tbl>
      <w:tblPr>
        <w:tblOverlap w:val="never"/>
        <w:tblW w:w="9678" w:type="dxa"/>
        <w:jc w:val="center"/>
        <w:tblLayout w:type="fixed"/>
        <w:tblCellMar>
          <w:left w:w="10" w:type="dxa"/>
          <w:right w:w="10" w:type="dxa"/>
        </w:tblCellMar>
        <w:tblLook w:val="04A0" w:firstRow="1" w:lastRow="0" w:firstColumn="1" w:lastColumn="0" w:noHBand="0" w:noVBand="1"/>
      </w:tblPr>
      <w:tblGrid>
        <w:gridCol w:w="9678"/>
      </w:tblGrid>
      <w:tr w:rsidR="008C76E0" w:rsidRPr="003B2786" w14:paraId="1FB67B79" w14:textId="77777777" w:rsidTr="008C76E0">
        <w:trPr>
          <w:trHeight w:val="1604"/>
          <w:jc w:val="center"/>
        </w:trPr>
        <w:tc>
          <w:tcPr>
            <w:tcW w:w="9678" w:type="dxa"/>
            <w:tcBorders>
              <w:top w:val="single" w:sz="4" w:space="0" w:color="auto"/>
              <w:left w:val="single" w:sz="4" w:space="0" w:color="auto"/>
              <w:right w:val="single" w:sz="4" w:space="0" w:color="auto"/>
            </w:tcBorders>
            <w:shd w:val="clear" w:color="auto" w:fill="FFFFFF"/>
          </w:tcPr>
          <w:p w14:paraId="0947B9FB" w14:textId="77777777" w:rsidR="008C76E0" w:rsidRPr="008C76E0" w:rsidRDefault="008C76E0" w:rsidP="002509A3">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t xml:space="preserve">Ընդհանրացրե՛ք գնահատման վերաբերյալ հիմնական եզրակացությունները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հարցերը (մանրամասն տեղեկատվությունը պետք է համապատասխանաբար ներկայացվի որակի, արդյունավետության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անվտանգության վերաբերյալ հիմնական </w:t>
            </w:r>
            <w:r w:rsidRPr="003B2786">
              <w:rPr>
                <w:rStyle w:val="Bodytext1811pt"/>
                <w:rFonts w:ascii="Sylfaen" w:hAnsi="Sylfaen"/>
                <w:sz w:val="24"/>
                <w:szCs w:val="24"/>
              </w:rPr>
              <w:lastRenderedPageBreak/>
              <w:t xml:space="preserve">բաժիններում): Որոշակի պոպուլյացիաների համար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հարաբերակցությունը դիտարկելիս ինտեգրե՛ք այդ ասպեկտները:</w:t>
            </w:r>
          </w:p>
        </w:tc>
      </w:tr>
      <w:tr w:rsidR="008C76E0" w:rsidRPr="003B2786" w14:paraId="6D80026F" w14:textId="77777777" w:rsidTr="008C76E0">
        <w:trPr>
          <w:trHeight w:val="1600"/>
          <w:jc w:val="center"/>
        </w:trPr>
        <w:tc>
          <w:tcPr>
            <w:tcW w:w="9678" w:type="dxa"/>
            <w:tcBorders>
              <w:left w:val="single" w:sz="4" w:space="0" w:color="auto"/>
              <w:right w:val="single" w:sz="4" w:space="0" w:color="auto"/>
            </w:tcBorders>
            <w:shd w:val="clear" w:color="auto" w:fill="FFFFFF"/>
          </w:tcPr>
          <w:p w14:paraId="36AB87A8" w14:textId="77777777" w:rsidR="008C76E0" w:rsidRPr="008C76E0" w:rsidRDefault="008C76E0" w:rsidP="00390DAC">
            <w:pPr>
              <w:pStyle w:val="Bodytext180"/>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lastRenderedPageBreak/>
              <w:t xml:space="preserve">Ընդգրկե՛ք նախակլինիկական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կլինիկական անվտանգության վերաբերյալ տվյալները գրանցումից հետո հետգրանցումային ժամանակահատվածում սահմանված պարտավորությունների մեջ,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դիտարկե՛ք ռիսկերի կառավարման ցանկացած ասպեկտ, որը կարող է ազդեցություն ունենալ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վրա:</w:t>
            </w:r>
          </w:p>
        </w:tc>
      </w:tr>
      <w:tr w:rsidR="008C76E0" w:rsidRPr="003B2786" w14:paraId="504C027D" w14:textId="77777777" w:rsidTr="008C76E0">
        <w:trPr>
          <w:trHeight w:val="1027"/>
          <w:jc w:val="center"/>
        </w:trPr>
        <w:tc>
          <w:tcPr>
            <w:tcW w:w="9678" w:type="dxa"/>
            <w:tcBorders>
              <w:left w:val="single" w:sz="4" w:space="0" w:color="auto"/>
              <w:right w:val="single" w:sz="4" w:space="0" w:color="auto"/>
            </w:tcBorders>
            <w:shd w:val="clear" w:color="auto" w:fill="FFFFFF"/>
          </w:tcPr>
          <w:p w14:paraId="62EA4453" w14:textId="77777777" w:rsidR="008C76E0" w:rsidRPr="008C76E0" w:rsidRDefault="008C76E0" w:rsidP="00B02202">
            <w:pPr>
              <w:pStyle w:val="Bodytext180"/>
              <w:shd w:val="clear" w:color="auto" w:fill="auto"/>
              <w:spacing w:before="0" w:after="160" w:line="384" w:lineRule="auto"/>
              <w:ind w:left="56" w:right="96" w:firstLine="522"/>
              <w:rPr>
                <w:rFonts w:ascii="Sylfaen" w:hAnsi="Sylfaen"/>
                <w:b w:val="0"/>
                <w:sz w:val="24"/>
                <w:szCs w:val="24"/>
                <w:lang w:val="hy-AM"/>
              </w:rPr>
            </w:pPr>
            <w:r w:rsidRPr="003B2786">
              <w:rPr>
                <w:rStyle w:val="Bodytext1811pt"/>
                <w:rFonts w:ascii="Sylfaen" w:hAnsi="Sylfaen"/>
                <w:sz w:val="24"/>
                <w:szCs w:val="24"/>
              </w:rPr>
              <w:t xml:space="preserve">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մեջ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ընդգրկել հետ</w:t>
            </w:r>
            <w:r w:rsidR="00C54D75">
              <w:rPr>
                <w:rStyle w:val="Bodytext1811pt"/>
                <w:rFonts w:ascii="Sylfaen" w:hAnsi="Sylfaen"/>
                <w:sz w:val="24"/>
                <w:szCs w:val="24"/>
              </w:rPr>
              <w:t>և</w:t>
            </w:r>
            <w:r w:rsidRPr="003B2786">
              <w:rPr>
                <w:rStyle w:val="Bodytext1811pt"/>
                <w:rFonts w:ascii="Sylfaen" w:hAnsi="Sylfaen"/>
                <w:sz w:val="24"/>
                <w:szCs w:val="24"/>
              </w:rPr>
              <w:t>յալ ասպեկտները՝ կիրառելիության դեպքում (վերցված են գրանցման դոսյեից՝ ընդհանուր տեխնիկական փաստաթղթի ձ</w:t>
            </w:r>
            <w:r w:rsidR="00C54D75">
              <w:rPr>
                <w:rStyle w:val="Bodytext1811pt"/>
                <w:rFonts w:ascii="Sylfaen" w:hAnsi="Sylfaen"/>
                <w:sz w:val="24"/>
                <w:szCs w:val="24"/>
              </w:rPr>
              <w:t>և</w:t>
            </w:r>
            <w:r w:rsidRPr="003B2786">
              <w:rPr>
                <w:rStyle w:val="Bodytext1811pt"/>
                <w:rFonts w:ascii="Sylfaen" w:hAnsi="Sylfaen"/>
                <w:sz w:val="24"/>
                <w:szCs w:val="24"/>
              </w:rPr>
              <w:t>աչափով).</w:t>
            </w:r>
          </w:p>
        </w:tc>
      </w:tr>
      <w:tr w:rsidR="008C76E0" w:rsidRPr="003B2786" w14:paraId="4B0650BE" w14:textId="77777777" w:rsidTr="008C76E0">
        <w:trPr>
          <w:trHeight w:val="1209"/>
          <w:jc w:val="center"/>
        </w:trPr>
        <w:tc>
          <w:tcPr>
            <w:tcW w:w="9678" w:type="dxa"/>
            <w:tcBorders>
              <w:left w:val="single" w:sz="4" w:space="0" w:color="auto"/>
              <w:right w:val="single" w:sz="4" w:space="0" w:color="auto"/>
            </w:tcBorders>
            <w:shd w:val="clear" w:color="auto" w:fill="FFFFFF"/>
          </w:tcPr>
          <w:p w14:paraId="0F084330" w14:textId="77777777" w:rsidR="008C76E0" w:rsidRPr="008C76E0" w:rsidRDefault="008C76E0" w:rsidP="00B02202">
            <w:pPr>
              <w:pStyle w:val="Bodytext180"/>
              <w:shd w:val="clear" w:color="auto" w:fill="auto"/>
              <w:tabs>
                <w:tab w:val="left" w:pos="1140"/>
              </w:tabs>
              <w:spacing w:before="0" w:after="160" w:line="384" w:lineRule="auto"/>
              <w:ind w:left="1089" w:right="96" w:hanging="511"/>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Եվրասիական տնտեսական հանձնաժողովի </w:t>
            </w:r>
            <w:r w:rsidR="00C54D75">
              <w:rPr>
                <w:rStyle w:val="Bodytext1811pt"/>
                <w:rFonts w:ascii="Sylfaen" w:hAnsi="Sylfaen"/>
                <w:sz w:val="24"/>
                <w:szCs w:val="24"/>
              </w:rPr>
              <w:t>և</w:t>
            </w:r>
            <w:r w:rsidRPr="003B2786">
              <w:rPr>
                <w:rStyle w:val="Bodytext1811pt"/>
                <w:rFonts w:ascii="Sylfaen" w:hAnsi="Sylfaen"/>
                <w:sz w:val="24"/>
                <w:szCs w:val="24"/>
              </w:rPr>
              <w:t xml:space="preserve"> Եվրասիական տնտեսական հանձնաժողովին կից Փորձագիտական կոմիտեի ուղեցուցային փաստաթղթերի պահանջի կատարում:</w:t>
            </w:r>
          </w:p>
        </w:tc>
      </w:tr>
      <w:tr w:rsidR="008C76E0" w:rsidRPr="003B2786" w14:paraId="1AD84F8B" w14:textId="77777777" w:rsidTr="008C76E0">
        <w:trPr>
          <w:jc w:val="center"/>
        </w:trPr>
        <w:tc>
          <w:tcPr>
            <w:tcW w:w="9678" w:type="dxa"/>
            <w:tcBorders>
              <w:left w:val="single" w:sz="4" w:space="0" w:color="auto"/>
              <w:right w:val="single" w:sz="4" w:space="0" w:color="auto"/>
            </w:tcBorders>
            <w:shd w:val="clear" w:color="auto" w:fill="FFFFFF"/>
          </w:tcPr>
          <w:p w14:paraId="4C546DBA" w14:textId="77777777"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Օպտիմալ դոզայի </w:t>
            </w:r>
            <w:r w:rsidR="00C54D75">
              <w:rPr>
                <w:rStyle w:val="Bodytext1811pt"/>
                <w:rFonts w:ascii="Sylfaen" w:hAnsi="Sylfaen"/>
                <w:sz w:val="24"/>
                <w:szCs w:val="24"/>
              </w:rPr>
              <w:t>և</w:t>
            </w:r>
            <w:r w:rsidRPr="003B2786">
              <w:rPr>
                <w:rStyle w:val="Bodytext1811pt"/>
                <w:rFonts w:ascii="Sylfaen" w:hAnsi="Sylfaen"/>
                <w:sz w:val="24"/>
                <w:szCs w:val="24"/>
              </w:rPr>
              <w:t xml:space="preserve"> դոզավորման ռեժիմի տիրույթը:</w:t>
            </w:r>
          </w:p>
          <w:p w14:paraId="5E025734" w14:textId="77777777"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Ենթապոպուլյացիաներում արդյունավետությունը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անվտանգությունը (օրինակ՝ որոշակի տարիքի, սեռի, ռասայական պատկանելիության, օրգանների աշխատանքի աստիճանով, հիվանդության ծանրությամբ </w:t>
            </w:r>
            <w:r w:rsidR="00C54D75">
              <w:rPr>
                <w:rStyle w:val="Bodytext1811pt"/>
                <w:rFonts w:ascii="Sylfaen" w:hAnsi="Sylfaen"/>
                <w:sz w:val="24"/>
                <w:szCs w:val="24"/>
              </w:rPr>
              <w:t>և</w:t>
            </w:r>
            <w:r w:rsidRPr="003B2786">
              <w:rPr>
                <w:rStyle w:val="Bodytext1811pt"/>
                <w:rFonts w:ascii="Sylfaen" w:hAnsi="Sylfaen"/>
                <w:sz w:val="24"/>
                <w:szCs w:val="24"/>
              </w:rPr>
              <w:t xml:space="preserve"> գենետիկական բազմաձ</w:t>
            </w:r>
            <w:r w:rsidR="00C54D75">
              <w:rPr>
                <w:rStyle w:val="Bodytext1811pt"/>
                <w:rFonts w:ascii="Sylfaen" w:hAnsi="Sylfaen"/>
                <w:sz w:val="24"/>
                <w:szCs w:val="24"/>
              </w:rPr>
              <w:t>և</w:t>
            </w:r>
            <w:r w:rsidRPr="003B2786">
              <w:rPr>
                <w:rStyle w:val="Bodytext1811pt"/>
                <w:rFonts w:ascii="Sylfaen" w:hAnsi="Sylfaen"/>
                <w:sz w:val="24"/>
                <w:szCs w:val="24"/>
              </w:rPr>
              <w:t>ությամբ պացիենտների համար):</w:t>
            </w:r>
          </w:p>
        </w:tc>
      </w:tr>
      <w:tr w:rsidR="008C76E0" w:rsidRPr="003B2786" w14:paraId="5137AD09" w14:textId="77777777" w:rsidTr="008C76E0">
        <w:trPr>
          <w:jc w:val="center"/>
        </w:trPr>
        <w:tc>
          <w:tcPr>
            <w:tcW w:w="9678" w:type="dxa"/>
            <w:tcBorders>
              <w:left w:val="single" w:sz="4" w:space="0" w:color="auto"/>
              <w:right w:val="single" w:sz="4" w:space="0" w:color="auto"/>
            </w:tcBorders>
            <w:shd w:val="clear" w:color="auto" w:fill="FFFFFF"/>
          </w:tcPr>
          <w:p w14:paraId="77703F51" w14:textId="190C07A5"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Դեղերի փոխազդեցության </w:t>
            </w:r>
            <w:r w:rsidR="005F6A31">
              <w:rPr>
                <w:rStyle w:val="Bodytext1811pt"/>
                <w:rFonts w:ascii="Sylfaen" w:hAnsi="Sylfaen"/>
                <w:sz w:val="24"/>
                <w:szCs w:val="24"/>
              </w:rPr>
              <w:t>հայտնի</w:t>
            </w:r>
            <w:r w:rsidRPr="003B2786">
              <w:rPr>
                <w:rStyle w:val="Bodytext1811pt"/>
                <w:rFonts w:ascii="Sylfaen" w:hAnsi="Sylfaen"/>
                <w:sz w:val="24"/>
                <w:szCs w:val="24"/>
              </w:rPr>
              <w:t xml:space="preserve"> </w:t>
            </w:r>
            <w:r w:rsidR="00C54D75">
              <w:rPr>
                <w:rStyle w:val="Bodytext1811pt"/>
                <w:rFonts w:ascii="Sylfaen" w:hAnsi="Sylfaen"/>
                <w:sz w:val="24"/>
                <w:szCs w:val="24"/>
              </w:rPr>
              <w:t>և</w:t>
            </w:r>
            <w:r w:rsidRPr="003B2786">
              <w:rPr>
                <w:rStyle w:val="Bodytext1811pt"/>
                <w:rFonts w:ascii="Sylfaen" w:hAnsi="Sylfaen"/>
                <w:sz w:val="24"/>
                <w:szCs w:val="24"/>
              </w:rPr>
              <w:t xml:space="preserve"> հնարավոր մեխանիզմները:</w:t>
            </w:r>
          </w:p>
          <w:p w14:paraId="2839ECA1" w14:textId="77777777" w:rsidR="008C76E0" w:rsidRPr="008C76E0" w:rsidRDefault="008C76E0" w:rsidP="00B02202">
            <w:pPr>
              <w:pStyle w:val="Bodytext180"/>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Անվտանգության «ազդանշաններ», որոնք կապված են, օրինակ՝ քաղցկեղածին ազդեցության, տերատոգեն ազդեցության, QT միջակայքի երկարացման կամ հեպատոտոքսիկության վերաբերյալ կասկածների հետ:</w:t>
            </w:r>
          </w:p>
        </w:tc>
      </w:tr>
      <w:tr w:rsidR="008C76E0" w:rsidRPr="003B2786" w14:paraId="7EBF6E62" w14:textId="77777777" w:rsidTr="008C76E0">
        <w:trPr>
          <w:jc w:val="center"/>
        </w:trPr>
        <w:tc>
          <w:tcPr>
            <w:tcW w:w="9678" w:type="dxa"/>
            <w:tcBorders>
              <w:left w:val="single" w:sz="4" w:space="0" w:color="auto"/>
              <w:right w:val="single" w:sz="4" w:space="0" w:color="auto"/>
            </w:tcBorders>
            <w:shd w:val="clear" w:color="auto" w:fill="FFFFFF"/>
            <w:vAlign w:val="bottom"/>
          </w:tcPr>
          <w:p w14:paraId="5FF61639"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Արդյունավետ ազդեցության համար փոխնակ վերջնակետերի օգտագործումն այն դեպքում, երբ թունավորությունը լուրջ է:</w:t>
            </w:r>
          </w:p>
        </w:tc>
      </w:tr>
      <w:tr w:rsidR="008C76E0" w:rsidRPr="003B2786" w14:paraId="27650860" w14:textId="77777777" w:rsidTr="008C76E0">
        <w:trPr>
          <w:trHeight w:val="2048"/>
          <w:jc w:val="center"/>
        </w:trPr>
        <w:tc>
          <w:tcPr>
            <w:tcW w:w="9678" w:type="dxa"/>
            <w:tcBorders>
              <w:left w:val="single" w:sz="4" w:space="0" w:color="auto"/>
              <w:right w:val="single" w:sz="4" w:space="0" w:color="auto"/>
            </w:tcBorders>
            <w:shd w:val="clear" w:color="auto" w:fill="FFFFFF"/>
          </w:tcPr>
          <w:p w14:paraId="10FA921A"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Դեղազգոնության պլանում անվտանգության վերաբերյալ բոլոր հարցերի ուսումնասիրության ստուգումը (այն ներկայացված լինելու դեպքում):</w:t>
            </w:r>
          </w:p>
          <w:p w14:paraId="77C3A384"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Պատրաստուկի անվտանգ </w:t>
            </w:r>
            <w:r w:rsidR="00C54D75">
              <w:rPr>
                <w:rStyle w:val="Bodytext1811pt"/>
                <w:rFonts w:ascii="Sylfaen" w:hAnsi="Sylfaen"/>
                <w:sz w:val="24"/>
                <w:szCs w:val="24"/>
              </w:rPr>
              <w:t>և</w:t>
            </w:r>
            <w:r w:rsidRPr="003B2786">
              <w:rPr>
                <w:rStyle w:val="Bodytext1811pt"/>
                <w:rFonts w:ascii="Sylfaen" w:hAnsi="Sylfaen"/>
                <w:sz w:val="24"/>
                <w:szCs w:val="24"/>
              </w:rPr>
              <w:t xml:space="preserve"> (կամ) արդյունավետ կիրառումը հնարավոր դժվարություններ է ենթադրում կառավարման նկատմամբ հատուկ բժշկական փորձաքննություն կամ պացիենտների ուսուցում նախատեսող մոտեցումներ ընտրելիս:</w:t>
            </w:r>
          </w:p>
        </w:tc>
      </w:tr>
      <w:tr w:rsidR="008C76E0" w:rsidRPr="003B2786" w14:paraId="77340B92" w14:textId="77777777" w:rsidTr="008C76E0">
        <w:trPr>
          <w:jc w:val="center"/>
        </w:trPr>
        <w:tc>
          <w:tcPr>
            <w:tcW w:w="9678" w:type="dxa"/>
            <w:tcBorders>
              <w:left w:val="single" w:sz="4" w:space="0" w:color="auto"/>
              <w:right w:val="single" w:sz="4" w:space="0" w:color="auto"/>
            </w:tcBorders>
            <w:shd w:val="clear" w:color="auto" w:fill="FFFFFF"/>
          </w:tcPr>
          <w:p w14:paraId="69FF0372"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9.</w:t>
            </w:r>
            <w:r w:rsidRPr="003B2786">
              <w:rPr>
                <w:rStyle w:val="Bodytext1811pt"/>
                <w:rFonts w:ascii="Sylfaen" w:hAnsi="Sylfaen"/>
                <w:sz w:val="24"/>
                <w:szCs w:val="24"/>
              </w:rPr>
              <w:tab/>
              <w:t>Գրանցման հավաստագրի տրամադրման պայմաններում պատրաստուկի վերաբերյալ տեղեկատվության, հետագա հսկողական միջոցառումների կազմում կամ ռիսկերի կառավարման պլանում ռիսկերն ու անորոշությունները հաշվի առնելու հանգամանքի ստուգում:</w:t>
            </w:r>
          </w:p>
        </w:tc>
      </w:tr>
      <w:tr w:rsidR="008C76E0" w:rsidRPr="003B2786" w14:paraId="5B51D138" w14:textId="77777777" w:rsidTr="008C76E0">
        <w:trPr>
          <w:jc w:val="center"/>
        </w:trPr>
        <w:tc>
          <w:tcPr>
            <w:tcW w:w="9678" w:type="dxa"/>
            <w:tcBorders>
              <w:left w:val="single" w:sz="4" w:space="0" w:color="auto"/>
              <w:right w:val="single" w:sz="4" w:space="0" w:color="auto"/>
            </w:tcBorders>
            <w:shd w:val="clear" w:color="auto" w:fill="FFFFFF"/>
          </w:tcPr>
          <w:p w14:paraId="22ACD41B"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10.</w:t>
            </w:r>
            <w:r w:rsidRPr="003B2786">
              <w:rPr>
                <w:rStyle w:val="Bodytext1811pt"/>
                <w:rFonts w:ascii="Sylfaen" w:hAnsi="Sylfaen"/>
                <w:sz w:val="24"/>
                <w:szCs w:val="24"/>
              </w:rPr>
              <w:tab/>
              <w:t xml:space="preserve">Բուժման պատշաճ, ճանաչված սխեմայի (եթե այդպիսին առկա է) համեմատությամբ պատրաստուկի կիրառությունից ստացված օգուտի </w:t>
            </w:r>
            <w:r w:rsidR="00C54D75">
              <w:rPr>
                <w:rStyle w:val="Bodytext1811pt"/>
                <w:rFonts w:ascii="Sylfaen" w:hAnsi="Sylfaen"/>
                <w:sz w:val="24"/>
                <w:szCs w:val="24"/>
              </w:rPr>
              <w:t>և</w:t>
            </w:r>
            <w:r w:rsidRPr="003B2786">
              <w:rPr>
                <w:rStyle w:val="Bodytext1811pt"/>
                <w:rFonts w:ascii="Sylfaen" w:hAnsi="Sylfaen"/>
                <w:sz w:val="24"/>
                <w:szCs w:val="24"/>
              </w:rPr>
              <w:t xml:space="preserve"> ռիսկի հարաբերակցության բնութագրման համար բավարար տեղեկատվության առկայության ստուգում: Ենթակա է համապատասխան կարգով ուսումնասիրության:</w:t>
            </w:r>
          </w:p>
        </w:tc>
      </w:tr>
      <w:tr w:rsidR="008C76E0" w:rsidRPr="003B2786" w14:paraId="25D3B5DB" w14:textId="77777777" w:rsidTr="008C76E0">
        <w:trPr>
          <w:jc w:val="center"/>
        </w:trPr>
        <w:tc>
          <w:tcPr>
            <w:tcW w:w="9678" w:type="dxa"/>
            <w:tcBorders>
              <w:left w:val="single" w:sz="4" w:space="0" w:color="auto"/>
              <w:right w:val="single" w:sz="4" w:space="0" w:color="auto"/>
            </w:tcBorders>
            <w:shd w:val="clear" w:color="auto" w:fill="FFFFFF"/>
            <w:vAlign w:val="bottom"/>
          </w:tcPr>
          <w:p w14:paraId="6CD44122" w14:textId="77777777" w:rsidR="008C76E0" w:rsidRPr="008C76E0" w:rsidRDefault="008C76E0" w:rsidP="00390DAC">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t>Բացի այդ, անհրաժեշտ է ուսումնասիրել երեխաների վերաբերյալ տվյալները կամ զարգացման ցանկացած պլան՝ կապված մանկաբուժության ոլորտում կիրառման հետ:</w:t>
            </w:r>
          </w:p>
        </w:tc>
      </w:tr>
      <w:tr w:rsidR="008C76E0" w:rsidRPr="003B2786" w14:paraId="4A2676CD" w14:textId="77777777" w:rsidTr="008C76E0">
        <w:trPr>
          <w:trHeight w:val="1293"/>
          <w:jc w:val="center"/>
        </w:trPr>
        <w:tc>
          <w:tcPr>
            <w:tcW w:w="9678" w:type="dxa"/>
            <w:tcBorders>
              <w:left w:val="single" w:sz="4" w:space="0" w:color="auto"/>
              <w:bottom w:val="single" w:sz="4" w:space="0" w:color="auto"/>
              <w:right w:val="single" w:sz="4" w:space="0" w:color="auto"/>
            </w:tcBorders>
            <w:shd w:val="clear" w:color="auto" w:fill="FFFFFF"/>
          </w:tcPr>
          <w:p w14:paraId="45F459D1" w14:textId="25AC99B5" w:rsidR="008C76E0" w:rsidRPr="008C76E0" w:rsidRDefault="008C76E0" w:rsidP="00390DAC">
            <w:pPr>
              <w:pStyle w:val="Bodytext180"/>
              <w:shd w:val="clear" w:color="auto" w:fill="auto"/>
              <w:spacing w:before="0" w:after="160" w:line="360" w:lineRule="auto"/>
              <w:ind w:left="56" w:right="97" w:firstLine="522"/>
              <w:rPr>
                <w:rFonts w:ascii="Sylfaen" w:hAnsi="Sylfaen"/>
                <w:b w:val="0"/>
                <w:sz w:val="24"/>
                <w:szCs w:val="24"/>
                <w:lang w:val="hy-AM"/>
              </w:rPr>
            </w:pPr>
            <w:r w:rsidRPr="003B2786">
              <w:rPr>
                <w:rStyle w:val="Bodytext1811pt"/>
                <w:rFonts w:ascii="Sylfaen" w:hAnsi="Sylfaen"/>
                <w:sz w:val="24"/>
                <w:szCs w:val="24"/>
              </w:rPr>
              <w:t xml:space="preserve">Տեղին լինելու դեպքում տվյալ բաժնում անհրաժեշտ է ներառել վերարտադրված պատրաստուկի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 xml:space="preserve">ի համար կենսահամարժեքության գնահատման տեղեկատվությունը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 Անհրաժեշտ է պարզաբանել ռեֆերենտ պատրաստուկի ընտրությունը:</w:t>
            </w:r>
          </w:p>
        </w:tc>
      </w:tr>
      <w:tr w:rsidR="008C76E0" w:rsidRPr="003B2786" w14:paraId="786D3475" w14:textId="77777777" w:rsidTr="008C76E0">
        <w:trPr>
          <w:trHeight w:val="794"/>
          <w:jc w:val="center"/>
        </w:trPr>
        <w:tc>
          <w:tcPr>
            <w:tcW w:w="9678" w:type="dxa"/>
            <w:tcBorders>
              <w:top w:val="single" w:sz="4" w:space="0" w:color="auto"/>
            </w:tcBorders>
            <w:shd w:val="clear" w:color="auto" w:fill="FFFFFF"/>
          </w:tcPr>
          <w:p w14:paraId="40A86213" w14:textId="77777777" w:rsidR="008C76E0" w:rsidRPr="00B02202" w:rsidRDefault="008C76E0" w:rsidP="00390DAC">
            <w:pPr>
              <w:pStyle w:val="Bodytext180"/>
              <w:shd w:val="clear" w:color="auto" w:fill="auto"/>
              <w:spacing w:before="0" w:after="160" w:line="360" w:lineRule="auto"/>
              <w:ind w:left="57" w:right="96" w:firstLine="521"/>
              <w:jc w:val="both"/>
              <w:rPr>
                <w:rStyle w:val="Bodytext295pt"/>
                <w:rFonts w:ascii="Sylfaen" w:hAnsi="Sylfaen"/>
                <w:sz w:val="24"/>
                <w:szCs w:val="24"/>
              </w:rPr>
            </w:pPr>
            <w:r w:rsidRPr="003B2786">
              <w:rPr>
                <w:rStyle w:val="Bodytext295pt"/>
                <w:rFonts w:ascii="Sylfaen" w:hAnsi="Sylfaen"/>
                <w:sz w:val="24"/>
                <w:szCs w:val="24"/>
              </w:rPr>
              <w:t>V.</w:t>
            </w:r>
            <w:r w:rsidRPr="003B2786">
              <w:rPr>
                <w:rStyle w:val="Bodytext295pt"/>
                <w:rFonts w:ascii="Sylfaen" w:hAnsi="Sylfaen"/>
                <w:sz w:val="24"/>
                <w:szCs w:val="24"/>
              </w:rPr>
              <w:tab/>
              <w:t xml:space="preserve">Գրանցման հավաստագրի տրամադրման առաջարկվող պայմանները </w:t>
            </w:r>
            <w:r w:rsidR="00C54D75">
              <w:rPr>
                <w:rStyle w:val="Bodytext295pt"/>
                <w:rFonts w:ascii="Sylfaen" w:hAnsi="Sylfaen"/>
                <w:sz w:val="24"/>
                <w:szCs w:val="24"/>
              </w:rPr>
              <w:t>և</w:t>
            </w:r>
            <w:r w:rsidRPr="003B2786">
              <w:rPr>
                <w:rStyle w:val="Bodytext295pt"/>
                <w:rFonts w:ascii="Sylfaen" w:hAnsi="Sylfaen"/>
                <w:sz w:val="24"/>
                <w:szCs w:val="24"/>
              </w:rPr>
              <w:t xml:space="preserve"> պատրաստուկի վերաբերյալ </w:t>
            </w:r>
            <w:r w:rsidR="00B02202">
              <w:rPr>
                <w:rStyle w:val="Bodytext295pt"/>
                <w:rFonts w:ascii="Sylfaen" w:hAnsi="Sylfaen"/>
                <w:sz w:val="24"/>
                <w:szCs w:val="24"/>
              </w:rPr>
              <w:t>տեղեկատվությունը՝</w:t>
            </w:r>
          </w:p>
          <w:p w14:paraId="16C7574F" w14:textId="77777777" w:rsidR="00B02202" w:rsidRPr="00B02202" w:rsidRDefault="00B02202" w:rsidP="00390DAC">
            <w:pPr>
              <w:pStyle w:val="Bodytext180"/>
              <w:shd w:val="clear" w:color="auto" w:fill="auto"/>
              <w:spacing w:before="0" w:after="160" w:line="360" w:lineRule="auto"/>
              <w:ind w:left="57" w:right="96" w:firstLine="521"/>
              <w:jc w:val="both"/>
              <w:rPr>
                <w:rFonts w:ascii="Sylfaen" w:hAnsi="Sylfaen"/>
                <w:i/>
                <w:sz w:val="24"/>
                <w:szCs w:val="24"/>
                <w:lang w:val="hy-AM"/>
              </w:rPr>
            </w:pPr>
          </w:p>
        </w:tc>
      </w:tr>
      <w:tr w:rsidR="008C76E0" w:rsidRPr="003B2786" w14:paraId="75A8580C" w14:textId="77777777" w:rsidTr="008C76E0">
        <w:trPr>
          <w:jc w:val="center"/>
        </w:trPr>
        <w:tc>
          <w:tcPr>
            <w:tcW w:w="9678" w:type="dxa"/>
            <w:shd w:val="clear" w:color="auto" w:fill="FFFFFF"/>
            <w:vAlign w:val="center"/>
          </w:tcPr>
          <w:p w14:paraId="108266A4" w14:textId="77777777" w:rsidR="008C76E0" w:rsidRPr="008C76E0" w:rsidRDefault="008C76E0" w:rsidP="00390DAC">
            <w:pPr>
              <w:pStyle w:val="Bodytext180"/>
              <w:shd w:val="clear" w:color="auto" w:fill="auto"/>
              <w:spacing w:before="0" w:after="160" w:line="360" w:lineRule="auto"/>
              <w:ind w:left="57" w:right="96" w:firstLine="521"/>
              <w:jc w:val="both"/>
              <w:rPr>
                <w:rFonts w:ascii="Sylfaen" w:hAnsi="Sylfaen"/>
                <w:i/>
                <w:sz w:val="24"/>
                <w:szCs w:val="24"/>
                <w:lang w:val="hy-AM"/>
              </w:rPr>
            </w:pPr>
            <w:r w:rsidRPr="003B2786">
              <w:rPr>
                <w:rStyle w:val="Bodytext295pt"/>
                <w:rFonts w:ascii="Sylfaen" w:hAnsi="Sylfaen"/>
                <w:sz w:val="24"/>
                <w:szCs w:val="24"/>
              </w:rPr>
              <w:t>V.1.</w:t>
            </w:r>
            <w:r w:rsidRPr="003B2786">
              <w:rPr>
                <w:rStyle w:val="Bodytext295pt"/>
                <w:rFonts w:ascii="Sylfaen" w:hAnsi="Sylfaen"/>
                <w:sz w:val="24"/>
                <w:szCs w:val="24"/>
              </w:rPr>
              <w:tab/>
              <w:t>Գրանցման հավաստագրի տրամադրման պայմանները</w:t>
            </w:r>
          </w:p>
        </w:tc>
      </w:tr>
      <w:tr w:rsidR="008C76E0" w:rsidRPr="003B2786" w14:paraId="743D36A4" w14:textId="77777777" w:rsidTr="008C76E0">
        <w:trPr>
          <w:trHeight w:val="454"/>
          <w:jc w:val="center"/>
        </w:trPr>
        <w:tc>
          <w:tcPr>
            <w:tcW w:w="9678" w:type="dxa"/>
            <w:shd w:val="clear" w:color="auto" w:fill="FFFFFF"/>
            <w:vAlign w:val="bottom"/>
          </w:tcPr>
          <w:p w14:paraId="5646C695" w14:textId="77777777" w:rsidR="008C76E0" w:rsidRPr="003B2786" w:rsidRDefault="008C76E0" w:rsidP="00390DAC">
            <w:pPr>
              <w:pStyle w:val="Bodytext180"/>
              <w:shd w:val="clear" w:color="auto" w:fill="auto"/>
              <w:spacing w:before="0" w:after="160" w:line="360" w:lineRule="auto"/>
              <w:ind w:left="57" w:right="96" w:firstLine="521"/>
              <w:jc w:val="both"/>
              <w:rPr>
                <w:rFonts w:ascii="Sylfaen" w:hAnsi="Sylfaen"/>
                <w:i/>
                <w:sz w:val="24"/>
                <w:szCs w:val="24"/>
              </w:rPr>
            </w:pPr>
            <w:r w:rsidRPr="003B2786">
              <w:rPr>
                <w:rStyle w:val="Bodytext295pt"/>
                <w:rFonts w:ascii="Sylfaen" w:hAnsi="Sylfaen"/>
                <w:sz w:val="24"/>
                <w:szCs w:val="24"/>
              </w:rPr>
              <w:t>Իրավական կարգավիճակը</w:t>
            </w:r>
          </w:p>
        </w:tc>
      </w:tr>
      <w:tr w:rsidR="008C76E0" w:rsidRPr="003B2786" w14:paraId="4768DBD2" w14:textId="77777777" w:rsidTr="008C76E0">
        <w:trPr>
          <w:jc w:val="center"/>
        </w:trPr>
        <w:tc>
          <w:tcPr>
            <w:tcW w:w="9678" w:type="dxa"/>
            <w:tcBorders>
              <w:top w:val="single" w:sz="4" w:space="0" w:color="auto"/>
              <w:left w:val="single" w:sz="4" w:space="0" w:color="auto"/>
              <w:right w:val="single" w:sz="4" w:space="0" w:color="auto"/>
            </w:tcBorders>
            <w:shd w:val="clear" w:color="auto" w:fill="FFFFFF"/>
            <w:vAlign w:val="bottom"/>
          </w:tcPr>
          <w:p w14:paraId="6B661CB9" w14:textId="77777777" w:rsidR="008C76E0" w:rsidRPr="008C76E0" w:rsidRDefault="008C76E0" w:rsidP="00390DAC">
            <w:pPr>
              <w:pStyle w:val="Bodytext180"/>
              <w:shd w:val="clear" w:color="auto" w:fill="auto"/>
              <w:spacing w:before="0" w:after="160" w:line="360" w:lineRule="auto"/>
              <w:ind w:left="56" w:right="97" w:firstLine="0"/>
              <w:jc w:val="both"/>
              <w:rPr>
                <w:rFonts w:ascii="Sylfaen" w:hAnsi="Sylfaen"/>
                <w:b w:val="0"/>
                <w:i/>
                <w:sz w:val="24"/>
                <w:szCs w:val="24"/>
                <w:lang w:val="hy-AM"/>
              </w:rPr>
            </w:pPr>
            <w:r w:rsidRPr="003B2786">
              <w:rPr>
                <w:rStyle w:val="Bodytext295pt"/>
                <w:rFonts w:ascii="Sylfaen" w:hAnsi="Sylfaen"/>
                <w:sz w:val="24"/>
                <w:szCs w:val="24"/>
              </w:rPr>
              <w:lastRenderedPageBreak/>
              <w:t xml:space="preserve">Անհրաժեշտ է </w:t>
            </w:r>
            <w:r w:rsidRPr="003B2786">
              <w:rPr>
                <w:rStyle w:val="Bodytext1811pt"/>
                <w:rFonts w:ascii="Sylfaen" w:hAnsi="Sylfaen"/>
                <w:sz w:val="24"/>
                <w:szCs w:val="24"/>
              </w:rPr>
              <w:t>ռեֆերենտ</w:t>
            </w:r>
            <w:r w:rsidRPr="003B2786">
              <w:rPr>
                <w:rStyle w:val="Bodytext295pt"/>
                <w:rFonts w:ascii="Sylfaen" w:hAnsi="Sylfaen"/>
                <w:sz w:val="24"/>
                <w:szCs w:val="24"/>
              </w:rPr>
              <w:t xml:space="preserve"> պետության՝ դեղապատրաստուկի բացթողման առաջարկվող կարգի վերաբերյալ եզրակացությունը:</w:t>
            </w:r>
          </w:p>
        </w:tc>
      </w:tr>
      <w:tr w:rsidR="008C76E0" w:rsidRPr="003B2786" w14:paraId="6BB41F2E" w14:textId="77777777" w:rsidTr="008C76E0">
        <w:trPr>
          <w:trHeight w:val="693"/>
          <w:jc w:val="center"/>
        </w:trPr>
        <w:tc>
          <w:tcPr>
            <w:tcW w:w="9678" w:type="dxa"/>
            <w:tcBorders>
              <w:top w:val="single" w:sz="4" w:space="0" w:color="auto"/>
            </w:tcBorders>
            <w:shd w:val="clear" w:color="auto" w:fill="FFFFFF"/>
            <w:vAlign w:val="center"/>
          </w:tcPr>
          <w:p w14:paraId="1CC5CF73" w14:textId="77777777" w:rsidR="008C76E0" w:rsidRPr="003B2786"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Հետագա հսկողության միջոցները</w:t>
            </w:r>
          </w:p>
        </w:tc>
      </w:tr>
      <w:tr w:rsidR="008C76E0" w:rsidRPr="003B2786" w14:paraId="0DC57978" w14:textId="77777777" w:rsidTr="008C76E0">
        <w:trPr>
          <w:jc w:val="center"/>
        </w:trPr>
        <w:tc>
          <w:tcPr>
            <w:tcW w:w="9678" w:type="dxa"/>
            <w:shd w:val="clear" w:color="auto" w:fill="FFFFFF"/>
            <w:vAlign w:val="center"/>
          </w:tcPr>
          <w:p w14:paraId="781D0E96" w14:textId="77777777" w:rsidR="008C76E0" w:rsidRPr="003B2786"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Հատուկ պարտավորությունները</w:t>
            </w:r>
          </w:p>
        </w:tc>
      </w:tr>
      <w:tr w:rsidR="008C76E0" w:rsidRPr="003B2786" w14:paraId="67533865" w14:textId="77777777" w:rsidTr="008C76E0">
        <w:trPr>
          <w:jc w:val="center"/>
        </w:trPr>
        <w:tc>
          <w:tcPr>
            <w:tcW w:w="9678" w:type="dxa"/>
            <w:shd w:val="clear" w:color="auto" w:fill="FFFFFF"/>
            <w:vAlign w:val="center"/>
          </w:tcPr>
          <w:p w14:paraId="6BD1B680" w14:textId="77777777" w:rsidR="008C76E0" w:rsidRPr="008C76E0"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lang w:val="hy-AM"/>
              </w:rPr>
            </w:pPr>
            <w:r w:rsidRPr="003B2786">
              <w:rPr>
                <w:rStyle w:val="Bodytext295pt"/>
                <w:rFonts w:ascii="Sylfaen" w:hAnsi="Sylfaen"/>
                <w:sz w:val="24"/>
                <w:szCs w:val="24"/>
              </w:rPr>
              <w:t>Սույն բաժնում անհրաժեշտ է նշել գրանցման հավաստագրի տրամադրման պայմանները (կիրառելիության դեպքում).</w:t>
            </w:r>
          </w:p>
        </w:tc>
      </w:tr>
      <w:tr w:rsidR="008C76E0" w:rsidRPr="003B2786" w14:paraId="779E91D4" w14:textId="77777777" w:rsidTr="008C76E0">
        <w:trPr>
          <w:jc w:val="center"/>
        </w:trPr>
        <w:tc>
          <w:tcPr>
            <w:tcW w:w="9678" w:type="dxa"/>
            <w:shd w:val="clear" w:color="auto" w:fill="FFFFFF"/>
          </w:tcPr>
          <w:p w14:paraId="7EA76A1B" w14:textId="77777777" w:rsidR="008C76E0" w:rsidRPr="003B2786"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V.2.</w:t>
            </w:r>
            <w:r w:rsidRPr="003B2786">
              <w:rPr>
                <w:rStyle w:val="Bodytext295pt"/>
                <w:rFonts w:ascii="Sylfaen" w:hAnsi="Sylfaen"/>
                <w:sz w:val="24"/>
                <w:szCs w:val="24"/>
              </w:rPr>
              <w:tab/>
              <w:t>Դեղապատրաստուկի ընդհանուր բնութագիրը</w:t>
            </w:r>
          </w:p>
        </w:tc>
      </w:tr>
      <w:tr w:rsidR="008C76E0" w:rsidRPr="003B2786" w14:paraId="4B741C78" w14:textId="77777777" w:rsidTr="008C76E0">
        <w:trPr>
          <w:jc w:val="center"/>
        </w:trPr>
        <w:tc>
          <w:tcPr>
            <w:tcW w:w="9678" w:type="dxa"/>
            <w:shd w:val="clear" w:color="auto" w:fill="FFFFFF"/>
          </w:tcPr>
          <w:p w14:paraId="194D7452" w14:textId="77777777" w:rsidR="008C76E0" w:rsidRPr="008C76E0"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b w:val="0"/>
                <w:i/>
                <w:sz w:val="24"/>
                <w:szCs w:val="24"/>
                <w:lang w:val="hy-AM"/>
              </w:rPr>
            </w:pPr>
            <w:r w:rsidRPr="003B2786">
              <w:rPr>
                <w:rStyle w:val="Bodytext295pt"/>
                <w:rFonts w:ascii="Sylfaen" w:hAnsi="Sylfaen"/>
                <w:sz w:val="24"/>
                <w:szCs w:val="24"/>
              </w:rPr>
              <w:t>V.3.</w:t>
            </w:r>
            <w:r w:rsidRPr="003B2786">
              <w:rPr>
                <w:rStyle w:val="Bodytext295pt"/>
                <w:rFonts w:ascii="Sylfaen" w:hAnsi="Sylfaen"/>
                <w:sz w:val="24"/>
                <w:szCs w:val="24"/>
              </w:rPr>
              <w:tab/>
              <w:t xml:space="preserve">Ներդիր թերթիկը </w:t>
            </w:r>
            <w:r w:rsidR="00C54D75">
              <w:rPr>
                <w:rStyle w:val="Bodytext295pt"/>
                <w:rFonts w:ascii="Sylfaen" w:hAnsi="Sylfaen"/>
                <w:sz w:val="24"/>
                <w:szCs w:val="24"/>
              </w:rPr>
              <w:t>և</w:t>
            </w:r>
            <w:r w:rsidRPr="003B2786">
              <w:rPr>
                <w:rStyle w:val="Bodytext295pt"/>
                <w:rFonts w:ascii="Sylfaen" w:hAnsi="Sylfaen"/>
                <w:sz w:val="24"/>
                <w:szCs w:val="24"/>
              </w:rPr>
              <w:t xml:space="preserve"> օգտատերերի թեստավորումը</w:t>
            </w:r>
          </w:p>
        </w:tc>
      </w:tr>
      <w:tr w:rsidR="008C76E0" w:rsidRPr="003B2786" w14:paraId="64B36643" w14:textId="77777777" w:rsidTr="008C76E0">
        <w:trPr>
          <w:jc w:val="center"/>
        </w:trPr>
        <w:tc>
          <w:tcPr>
            <w:tcW w:w="9678" w:type="dxa"/>
            <w:shd w:val="clear" w:color="auto" w:fill="FFFFFF"/>
            <w:vAlign w:val="center"/>
          </w:tcPr>
          <w:p w14:paraId="407507A7" w14:textId="77777777" w:rsidR="008C76E0" w:rsidRPr="003B2786" w:rsidRDefault="008C76E0" w:rsidP="00390DAC">
            <w:pPr>
              <w:pStyle w:val="Bodytext180"/>
              <w:shd w:val="clear" w:color="auto" w:fill="auto"/>
              <w:tabs>
                <w:tab w:val="left" w:pos="1712"/>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V.3.1.</w:t>
            </w:r>
            <w:r w:rsidRPr="003B2786">
              <w:rPr>
                <w:rStyle w:val="Bodytext295pt"/>
                <w:rFonts w:ascii="Sylfaen" w:hAnsi="Sylfaen"/>
                <w:sz w:val="24"/>
                <w:szCs w:val="24"/>
              </w:rPr>
              <w:tab/>
              <w:t>Ներդիր թերթիկը</w:t>
            </w:r>
          </w:p>
        </w:tc>
      </w:tr>
      <w:tr w:rsidR="008C76E0" w:rsidRPr="003B2786" w14:paraId="75CFFB98" w14:textId="77777777" w:rsidTr="008C76E0">
        <w:trPr>
          <w:jc w:val="center"/>
        </w:trPr>
        <w:tc>
          <w:tcPr>
            <w:tcW w:w="9678" w:type="dxa"/>
            <w:shd w:val="clear" w:color="auto" w:fill="FFFFFF"/>
            <w:vAlign w:val="center"/>
          </w:tcPr>
          <w:p w14:paraId="5166F4F3" w14:textId="77777777" w:rsidR="008C76E0" w:rsidRPr="003B2786" w:rsidRDefault="008C76E0" w:rsidP="00390DAC">
            <w:pPr>
              <w:pStyle w:val="Bodytext180"/>
              <w:shd w:val="clear" w:color="auto" w:fill="auto"/>
              <w:tabs>
                <w:tab w:val="left" w:pos="1712"/>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V.3.2.</w:t>
            </w:r>
            <w:r w:rsidRPr="003B2786">
              <w:rPr>
                <w:rStyle w:val="Bodytext295pt"/>
                <w:rFonts w:ascii="Sylfaen" w:hAnsi="Sylfaen"/>
                <w:sz w:val="24"/>
                <w:szCs w:val="24"/>
              </w:rPr>
              <w:tab/>
              <w:t>Օգտատերերի թեստավորման գնահատումը</w:t>
            </w:r>
          </w:p>
        </w:tc>
      </w:tr>
      <w:tr w:rsidR="008C76E0" w:rsidRPr="003B2786" w14:paraId="18557E27" w14:textId="77777777" w:rsidTr="008C76E0">
        <w:trPr>
          <w:jc w:val="center"/>
        </w:trPr>
        <w:tc>
          <w:tcPr>
            <w:tcW w:w="9678" w:type="dxa"/>
            <w:tcBorders>
              <w:top w:val="single" w:sz="4" w:space="0" w:color="auto"/>
              <w:left w:val="single" w:sz="4" w:space="0" w:color="auto"/>
              <w:right w:val="single" w:sz="4" w:space="0" w:color="auto"/>
            </w:tcBorders>
            <w:shd w:val="clear" w:color="auto" w:fill="FFFFFF"/>
            <w:vAlign w:val="bottom"/>
          </w:tcPr>
          <w:p w14:paraId="46F3F6F2" w14:textId="77777777" w:rsidR="008C76E0" w:rsidRPr="008C76E0" w:rsidRDefault="008C76E0" w:rsidP="00390DAC">
            <w:pPr>
              <w:pStyle w:val="Bodytext180"/>
              <w:shd w:val="clear" w:color="auto" w:fill="auto"/>
              <w:spacing w:before="0" w:after="160" w:line="360" w:lineRule="auto"/>
              <w:ind w:left="57" w:right="96" w:firstLine="522"/>
              <w:jc w:val="both"/>
              <w:rPr>
                <w:rFonts w:ascii="Sylfaen" w:hAnsi="Sylfaen"/>
                <w:b w:val="0"/>
                <w:sz w:val="24"/>
                <w:szCs w:val="24"/>
                <w:lang w:val="hy-AM"/>
              </w:rPr>
            </w:pPr>
            <w:r w:rsidRPr="003B2786">
              <w:rPr>
                <w:rStyle w:val="Bodytext1811pt"/>
                <w:rFonts w:ascii="Sylfaen" w:hAnsi="Sylfaen"/>
                <w:sz w:val="24"/>
                <w:szCs w:val="24"/>
              </w:rPr>
              <w:t xml:space="preserve">Ռեֆերենտ պետությունում անհրաժեշտ է ներառել օգտատերերի թեստավորման գնահատումը (առկայության դեպքում)՝ օգտատերերի թեստավորման արդյունքների վերլուծության համար կիրառելով </w:t>
            </w:r>
            <w:r w:rsidRPr="003B2786">
              <w:rPr>
                <w:rStyle w:val="Bodytext295pt"/>
                <w:rFonts w:ascii="Sylfaen" w:hAnsi="Sylfaen"/>
                <w:sz w:val="24"/>
                <w:szCs w:val="24"/>
              </w:rPr>
              <w:t xml:space="preserve">Դեղապատրաստուկների բժշկական կիրառման հրահանգին </w:t>
            </w:r>
            <w:r w:rsidR="00C54D75">
              <w:rPr>
                <w:rStyle w:val="Bodytext295pt"/>
                <w:rFonts w:ascii="Sylfaen" w:hAnsi="Sylfaen"/>
                <w:sz w:val="24"/>
                <w:szCs w:val="24"/>
              </w:rPr>
              <w:t>և</w:t>
            </w:r>
            <w:r w:rsidRPr="003B2786">
              <w:rPr>
                <w:rStyle w:val="Bodytext295pt"/>
                <w:rFonts w:ascii="Sylfaen" w:hAnsi="Sylfaen"/>
                <w:sz w:val="24"/>
                <w:szCs w:val="24"/>
              </w:rPr>
              <w:t xml:space="preserve"> բժշկական կիրառման դեղապատրաստուկների ընդհանուր բնութագրին </w:t>
            </w:r>
            <w:r w:rsidRPr="003B2786">
              <w:rPr>
                <w:rStyle w:val="Bodytext1811pt"/>
                <w:rFonts w:ascii="Sylfaen" w:hAnsi="Sylfaen"/>
                <w:sz w:val="24"/>
                <w:szCs w:val="24"/>
              </w:rPr>
              <w:t xml:space="preserve">ու ստուգաթերթին </w:t>
            </w:r>
            <w:r w:rsidRPr="003B2786">
              <w:rPr>
                <w:rStyle w:val="Bodytext295pt"/>
                <w:rFonts w:ascii="Sylfaen" w:hAnsi="Sylfaen"/>
                <w:sz w:val="24"/>
                <w:szCs w:val="24"/>
              </w:rPr>
              <w:t>ներկայացվող պահանջների հավելվածը</w:t>
            </w:r>
            <w:r w:rsidRPr="003B2786">
              <w:rPr>
                <w:rStyle w:val="Bodytext1811pt"/>
                <w:rFonts w:ascii="Sylfaen" w:hAnsi="Sylfaen"/>
                <w:sz w:val="24"/>
                <w:szCs w:val="24"/>
              </w:rPr>
              <w:t>: Հակառակ դեպքում անհրաժեշտ է նշել, թե արդյոք նախատեսված է օգտատերերի թեստավորումը, կամ ներկայացնել դրա բացակայության ընդունելի լինելու հիմնավորումը:</w:t>
            </w:r>
          </w:p>
        </w:tc>
      </w:tr>
      <w:tr w:rsidR="008C76E0" w:rsidRPr="003B2786" w14:paraId="701C70E8" w14:textId="77777777" w:rsidTr="008C76E0">
        <w:trPr>
          <w:jc w:val="center"/>
        </w:trPr>
        <w:tc>
          <w:tcPr>
            <w:tcW w:w="9678" w:type="dxa"/>
            <w:tcBorders>
              <w:top w:val="single" w:sz="4" w:space="0" w:color="auto"/>
            </w:tcBorders>
            <w:shd w:val="clear" w:color="auto" w:fill="FFFFFF"/>
            <w:vAlign w:val="center"/>
          </w:tcPr>
          <w:p w14:paraId="22D568A6" w14:textId="082825BA" w:rsidR="008C76E0" w:rsidRPr="008C76E0" w:rsidRDefault="008C76E0" w:rsidP="00390DAC">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295pt"/>
                <w:rFonts w:ascii="Sylfaen" w:hAnsi="Sylfaen"/>
                <w:sz w:val="24"/>
                <w:szCs w:val="24"/>
              </w:rPr>
              <w:t xml:space="preserve">«Օգտատերերի թեստավորման գնահատումը ներկայացված է օգտատերերի թեստավորման արդյունքների վերլուծության համար փաստաթղթերի </w:t>
            </w:r>
            <w:r w:rsidR="00C54D75">
              <w:rPr>
                <w:rStyle w:val="Bodytext295pt"/>
                <w:rFonts w:ascii="Sylfaen" w:hAnsi="Sylfaen"/>
                <w:sz w:val="24"/>
                <w:szCs w:val="24"/>
              </w:rPr>
              <w:t>և</w:t>
            </w:r>
            <w:r w:rsidRPr="003B2786">
              <w:rPr>
                <w:rStyle w:val="Bodytext295pt"/>
                <w:rFonts w:ascii="Sylfaen" w:hAnsi="Sylfaen"/>
                <w:sz w:val="24"/>
                <w:szCs w:val="24"/>
              </w:rPr>
              <w:t xml:space="preserve"> ստուգաթերթի որակի ստուգման վերաբերյալ կից ներկայացվող ուղեցույցում». կամ «Կարող է հաստատվել գրանցման հավաստագրի գործողության դադարեցման ժամանակահատվածի ընթացքում բժշկական կիրառման ցուցումների դյուրընթեռնելիության մասով թեստ անցկացնելու </w:t>
            </w:r>
            <w:r w:rsidR="0056496B">
              <w:rPr>
                <w:rStyle w:val="Bodytext295pt"/>
                <w:rFonts w:ascii="Sylfaen" w:hAnsi="Sylfaen"/>
                <w:sz w:val="24"/>
                <w:szCs w:val="24"/>
              </w:rPr>
              <w:t>դիմումատու</w:t>
            </w:r>
            <w:r w:rsidRPr="003B2786">
              <w:rPr>
                <w:rStyle w:val="Bodytext295pt"/>
                <w:rFonts w:ascii="Sylfaen" w:hAnsi="Sylfaen"/>
                <w:sz w:val="24"/>
                <w:szCs w:val="24"/>
              </w:rPr>
              <w:t>ի պարտավորությունը»:</w:t>
            </w:r>
          </w:p>
        </w:tc>
      </w:tr>
      <w:tr w:rsidR="008C76E0" w:rsidRPr="003B2786" w14:paraId="27A3EA13" w14:textId="77777777" w:rsidTr="008C76E0">
        <w:trPr>
          <w:trHeight w:val="317"/>
          <w:jc w:val="center"/>
        </w:trPr>
        <w:tc>
          <w:tcPr>
            <w:tcW w:w="9678" w:type="dxa"/>
            <w:shd w:val="clear" w:color="auto" w:fill="FFFFFF"/>
            <w:vAlign w:val="bottom"/>
          </w:tcPr>
          <w:p w14:paraId="0E2474DD" w14:textId="77777777" w:rsidR="008C76E0" w:rsidRPr="003B2786"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i/>
                <w:sz w:val="24"/>
                <w:szCs w:val="24"/>
              </w:rPr>
            </w:pPr>
            <w:r w:rsidRPr="003B2786">
              <w:rPr>
                <w:rStyle w:val="Bodytext295pt"/>
                <w:rFonts w:ascii="Sylfaen" w:hAnsi="Sylfaen"/>
                <w:sz w:val="24"/>
                <w:szCs w:val="24"/>
              </w:rPr>
              <w:t>V.4.</w:t>
            </w:r>
            <w:r w:rsidRPr="003B2786">
              <w:rPr>
                <w:rStyle w:val="Bodytext295pt"/>
                <w:rFonts w:ascii="Sylfaen" w:hAnsi="Sylfaen"/>
                <w:sz w:val="24"/>
                <w:szCs w:val="24"/>
              </w:rPr>
              <w:tab/>
              <w:t>Մակնշումը</w:t>
            </w:r>
          </w:p>
        </w:tc>
      </w:tr>
    </w:tbl>
    <w:p w14:paraId="56579FAF" w14:textId="77777777" w:rsidR="008C76E0" w:rsidRPr="003B2786" w:rsidRDefault="008C76E0" w:rsidP="00390DAC">
      <w:pPr>
        <w:tabs>
          <w:tab w:val="left" w:pos="1134"/>
        </w:tabs>
        <w:spacing w:after="160" w:line="360" w:lineRule="auto"/>
        <w:ind w:left="56" w:right="-1" w:firstLine="511"/>
        <w:jc w:val="both"/>
        <w:rPr>
          <w:rFonts w:ascii="Sylfaen" w:hAnsi="Sylfaen"/>
          <w:sz w:val="24"/>
          <w:szCs w:val="24"/>
        </w:rPr>
      </w:pPr>
      <w:r w:rsidRPr="003B2786">
        <w:rPr>
          <w:rFonts w:ascii="Sylfaen" w:hAnsi="Sylfaen"/>
          <w:sz w:val="24"/>
          <w:szCs w:val="24"/>
        </w:rPr>
        <w:t>VI.</w:t>
      </w:r>
      <w:r w:rsidRPr="003B2786">
        <w:rPr>
          <w:rFonts w:ascii="Sylfaen" w:hAnsi="Sylfaen"/>
          <w:sz w:val="24"/>
          <w:szCs w:val="24"/>
        </w:rPr>
        <w:tab/>
        <w:t xml:space="preserve">Հավելված. Օգտատերերի թեստավորման արդյունքների վերլուծության </w:t>
      </w:r>
      <w:r w:rsidRPr="003B2786">
        <w:rPr>
          <w:rFonts w:ascii="Sylfaen" w:hAnsi="Sylfaen"/>
          <w:sz w:val="24"/>
          <w:szCs w:val="24"/>
        </w:rPr>
        <w:lastRenderedPageBreak/>
        <w:t xml:space="preserve">համար փաստաթղթերի </w:t>
      </w:r>
      <w:r w:rsidR="00C54D75">
        <w:rPr>
          <w:rFonts w:ascii="Sylfaen" w:hAnsi="Sylfaen"/>
          <w:sz w:val="24"/>
          <w:szCs w:val="24"/>
        </w:rPr>
        <w:t>և</w:t>
      </w:r>
      <w:r w:rsidRPr="003B2786">
        <w:rPr>
          <w:rFonts w:ascii="Sylfaen" w:hAnsi="Sylfaen"/>
          <w:sz w:val="24"/>
          <w:szCs w:val="24"/>
        </w:rPr>
        <w:t xml:space="preserve"> ստուգաթերթերի որակի ստուգման վերաբերյալ ուղեցույց</w:t>
      </w:r>
    </w:p>
    <w:p w14:paraId="7A95F308"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Սույն ուղեցույցը մշակվել է ընթեռնելիության թեստավորման մեթոդի վրա հիմնված օգտատերերի թեստավորման հաշվետվությունների գնահատման կարգի վերաբերյալ գործնական տեղեկատվություն ներկայացնելու նպատակով: Սա չի բացառում վերոնշյալից տարբերվող այլ մեթոդների վրա հիմնված օգտատերերի թեստավորման հաշվետվությունների ներկայացումը </w:t>
      </w:r>
      <w:r w:rsidR="00C54D75">
        <w:rPr>
          <w:rFonts w:ascii="Sylfaen" w:hAnsi="Sylfaen"/>
          <w:b w:val="0"/>
          <w:sz w:val="24"/>
          <w:szCs w:val="24"/>
          <w:lang w:val="hy-AM"/>
        </w:rPr>
        <w:t>և</w:t>
      </w:r>
      <w:r w:rsidRPr="008C76E0">
        <w:rPr>
          <w:rFonts w:ascii="Sylfaen" w:hAnsi="Sylfaen"/>
          <w:b w:val="0"/>
          <w:sz w:val="24"/>
          <w:szCs w:val="24"/>
          <w:lang w:val="hy-AM"/>
        </w:rPr>
        <w:t xml:space="preserve"> գնահատումը:</w:t>
      </w:r>
    </w:p>
    <w:tbl>
      <w:tblPr>
        <w:tblOverlap w:val="never"/>
        <w:tblW w:w="9629" w:type="dxa"/>
        <w:jc w:val="center"/>
        <w:tblLayout w:type="fixed"/>
        <w:tblCellMar>
          <w:left w:w="10" w:type="dxa"/>
          <w:right w:w="10" w:type="dxa"/>
        </w:tblCellMar>
        <w:tblLook w:val="04A0" w:firstRow="1" w:lastRow="0" w:firstColumn="1" w:lastColumn="0" w:noHBand="0" w:noVBand="1"/>
      </w:tblPr>
      <w:tblGrid>
        <w:gridCol w:w="4656"/>
        <w:gridCol w:w="4973"/>
      </w:tblGrid>
      <w:tr w:rsidR="008C76E0" w:rsidRPr="003B2786" w14:paraId="4CEE2A55" w14:textId="77777777" w:rsidTr="008C76E0">
        <w:trPr>
          <w:trHeight w:val="665"/>
          <w:jc w:val="center"/>
        </w:trPr>
        <w:tc>
          <w:tcPr>
            <w:tcW w:w="9629" w:type="dxa"/>
            <w:gridSpan w:val="2"/>
            <w:shd w:val="clear" w:color="auto" w:fill="FFFFFF"/>
          </w:tcPr>
          <w:p w14:paraId="659980C6" w14:textId="77777777" w:rsidR="008C76E0" w:rsidRPr="003B2786" w:rsidRDefault="008C76E0" w:rsidP="00390DAC">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ՊԱՏՐԱՍՏՈՒԿԻ ՄԱՍԻՆ ՏԵՂԵԿԱՏՎՈՒԹՅՈՒՆԸ</w:t>
            </w:r>
          </w:p>
        </w:tc>
      </w:tr>
      <w:tr w:rsidR="008C76E0" w:rsidRPr="003B2786" w14:paraId="122D2367" w14:textId="77777777" w:rsidTr="008C76E0">
        <w:trPr>
          <w:jc w:val="center"/>
        </w:trPr>
        <w:tc>
          <w:tcPr>
            <w:tcW w:w="4656" w:type="dxa"/>
            <w:tcBorders>
              <w:top w:val="single" w:sz="4" w:space="0" w:color="auto"/>
              <w:left w:val="single" w:sz="4" w:space="0" w:color="auto"/>
            </w:tcBorders>
            <w:shd w:val="clear" w:color="auto" w:fill="FFFFFF"/>
            <w:vAlign w:val="bottom"/>
          </w:tcPr>
          <w:p w14:paraId="67DAE920"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Դեղապատրաստուկի անվանումը</w:t>
            </w:r>
          </w:p>
        </w:tc>
        <w:tc>
          <w:tcPr>
            <w:tcW w:w="4973" w:type="dxa"/>
            <w:tcBorders>
              <w:top w:val="single" w:sz="4" w:space="0" w:color="auto"/>
              <w:left w:val="single" w:sz="4" w:space="0" w:color="auto"/>
              <w:right w:val="single" w:sz="4" w:space="0" w:color="auto"/>
            </w:tcBorders>
            <w:shd w:val="clear" w:color="auto" w:fill="FFFFFF"/>
          </w:tcPr>
          <w:p w14:paraId="542E6031" w14:textId="77777777" w:rsidR="008C76E0" w:rsidRPr="003B2786" w:rsidRDefault="008C76E0" w:rsidP="00390DAC">
            <w:pPr>
              <w:spacing w:after="160" w:line="360" w:lineRule="auto"/>
              <w:jc w:val="both"/>
              <w:rPr>
                <w:rFonts w:ascii="Sylfaen" w:hAnsi="Sylfaen"/>
                <w:sz w:val="24"/>
                <w:szCs w:val="24"/>
              </w:rPr>
            </w:pPr>
          </w:p>
        </w:tc>
      </w:tr>
      <w:tr w:rsidR="008C76E0" w:rsidRPr="003B2786" w14:paraId="2EA8F3DC" w14:textId="77777777" w:rsidTr="008C76E0">
        <w:trPr>
          <w:jc w:val="center"/>
        </w:trPr>
        <w:tc>
          <w:tcPr>
            <w:tcW w:w="4656" w:type="dxa"/>
            <w:tcBorders>
              <w:top w:val="single" w:sz="4" w:space="0" w:color="auto"/>
              <w:left w:val="single" w:sz="4" w:space="0" w:color="auto"/>
            </w:tcBorders>
            <w:shd w:val="clear" w:color="auto" w:fill="FFFFFF"/>
            <w:vAlign w:val="bottom"/>
          </w:tcPr>
          <w:p w14:paraId="68B3D399" w14:textId="227FE889" w:rsidR="008C76E0" w:rsidRPr="003B2786" w:rsidRDefault="0056496B" w:rsidP="00390DAC">
            <w:pPr>
              <w:pStyle w:val="Bodytext180"/>
              <w:shd w:val="clear" w:color="auto" w:fill="auto"/>
              <w:spacing w:before="0" w:after="160" w:line="360" w:lineRule="auto"/>
              <w:ind w:left="128" w:firstLine="0"/>
              <w:rPr>
                <w:rFonts w:ascii="Sylfaen" w:hAnsi="Sylfaen"/>
                <w:b w:val="0"/>
                <w:sz w:val="24"/>
                <w:szCs w:val="24"/>
              </w:rPr>
            </w:pPr>
            <w:r>
              <w:rPr>
                <w:rStyle w:val="Bodytext295pt"/>
                <w:rFonts w:ascii="Sylfaen" w:hAnsi="Sylfaen"/>
                <w:sz w:val="24"/>
                <w:szCs w:val="24"/>
              </w:rPr>
              <w:t>Դիմումատու</w:t>
            </w:r>
            <w:r w:rsidR="008C76E0" w:rsidRPr="003B2786">
              <w:rPr>
                <w:rStyle w:val="Bodytext295pt"/>
                <w:rFonts w:ascii="Sylfaen" w:hAnsi="Sylfaen"/>
                <w:sz w:val="24"/>
                <w:szCs w:val="24"/>
              </w:rPr>
              <w:t xml:space="preserve">ի անվանումը </w:t>
            </w:r>
            <w:r w:rsidR="00C54D75">
              <w:rPr>
                <w:rStyle w:val="Bodytext295pt"/>
                <w:rFonts w:ascii="Sylfaen" w:hAnsi="Sylfaen"/>
                <w:sz w:val="24"/>
                <w:szCs w:val="24"/>
              </w:rPr>
              <w:t>և</w:t>
            </w:r>
            <w:r w:rsidR="008C76E0" w:rsidRPr="003B2786">
              <w:rPr>
                <w:rStyle w:val="Bodytext295pt"/>
                <w:rFonts w:ascii="Sylfaen" w:hAnsi="Sylfaen"/>
                <w:sz w:val="24"/>
                <w:szCs w:val="24"/>
              </w:rPr>
              <w:t xml:space="preserve"> հասցեն</w:t>
            </w:r>
          </w:p>
        </w:tc>
        <w:tc>
          <w:tcPr>
            <w:tcW w:w="4973" w:type="dxa"/>
            <w:tcBorders>
              <w:top w:val="single" w:sz="4" w:space="0" w:color="auto"/>
              <w:left w:val="single" w:sz="4" w:space="0" w:color="auto"/>
              <w:right w:val="single" w:sz="4" w:space="0" w:color="auto"/>
            </w:tcBorders>
            <w:shd w:val="clear" w:color="auto" w:fill="FFFFFF"/>
          </w:tcPr>
          <w:p w14:paraId="55C982BA" w14:textId="77777777" w:rsidR="008C76E0" w:rsidRPr="003B2786" w:rsidRDefault="008C76E0" w:rsidP="00390DAC">
            <w:pPr>
              <w:spacing w:after="160" w:line="360" w:lineRule="auto"/>
              <w:jc w:val="both"/>
              <w:rPr>
                <w:rFonts w:ascii="Sylfaen" w:hAnsi="Sylfaen"/>
                <w:sz w:val="24"/>
                <w:szCs w:val="24"/>
              </w:rPr>
            </w:pPr>
          </w:p>
        </w:tc>
      </w:tr>
      <w:tr w:rsidR="008C76E0" w:rsidRPr="003B2786" w14:paraId="5CF8E5DE" w14:textId="77777777" w:rsidTr="008C76E0">
        <w:trPr>
          <w:jc w:val="center"/>
        </w:trPr>
        <w:tc>
          <w:tcPr>
            <w:tcW w:w="4656" w:type="dxa"/>
            <w:tcBorders>
              <w:top w:val="single" w:sz="4" w:space="0" w:color="auto"/>
              <w:left w:val="single" w:sz="4" w:space="0" w:color="auto"/>
            </w:tcBorders>
            <w:shd w:val="clear" w:color="auto" w:fill="FFFFFF"/>
            <w:vAlign w:val="bottom"/>
          </w:tcPr>
          <w:p w14:paraId="22A0140B" w14:textId="77777777"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Օգտատերերի թեստավորում անցկացնող ընկերության անվանումը</w:t>
            </w:r>
          </w:p>
        </w:tc>
        <w:tc>
          <w:tcPr>
            <w:tcW w:w="4973" w:type="dxa"/>
            <w:tcBorders>
              <w:top w:val="single" w:sz="4" w:space="0" w:color="auto"/>
              <w:left w:val="single" w:sz="4" w:space="0" w:color="auto"/>
              <w:right w:val="single" w:sz="4" w:space="0" w:color="auto"/>
            </w:tcBorders>
            <w:shd w:val="clear" w:color="auto" w:fill="FFFFFF"/>
          </w:tcPr>
          <w:p w14:paraId="722DAAA8" w14:textId="77777777" w:rsidR="008C76E0" w:rsidRPr="003B2786" w:rsidRDefault="008C76E0" w:rsidP="00390DAC">
            <w:pPr>
              <w:spacing w:after="160" w:line="360" w:lineRule="auto"/>
              <w:jc w:val="both"/>
              <w:rPr>
                <w:rFonts w:ascii="Sylfaen" w:hAnsi="Sylfaen"/>
                <w:sz w:val="24"/>
                <w:szCs w:val="24"/>
              </w:rPr>
            </w:pPr>
          </w:p>
        </w:tc>
      </w:tr>
      <w:tr w:rsidR="008C76E0" w:rsidRPr="003B2786" w14:paraId="60AE7235" w14:textId="77777777" w:rsidTr="008C76E0">
        <w:trPr>
          <w:jc w:val="center"/>
        </w:trPr>
        <w:tc>
          <w:tcPr>
            <w:tcW w:w="4656" w:type="dxa"/>
            <w:tcBorders>
              <w:top w:val="single" w:sz="4" w:space="0" w:color="auto"/>
              <w:left w:val="single" w:sz="4" w:space="0" w:color="auto"/>
            </w:tcBorders>
            <w:shd w:val="clear" w:color="auto" w:fill="FFFFFF"/>
            <w:vAlign w:val="bottom"/>
          </w:tcPr>
          <w:p w14:paraId="539752C9" w14:textId="0D29F0A6"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 xml:space="preserve">Գրանցման հավաստագիր ստանալու </w:t>
            </w:r>
            <w:r w:rsidR="0056496B">
              <w:rPr>
                <w:rStyle w:val="Bodytext295pt"/>
                <w:rFonts w:ascii="Sylfaen" w:hAnsi="Sylfaen"/>
                <w:sz w:val="24"/>
                <w:szCs w:val="24"/>
              </w:rPr>
              <w:t>դիմում</w:t>
            </w:r>
            <w:r w:rsidRPr="003B2786">
              <w:rPr>
                <w:rStyle w:val="Bodytext295pt"/>
                <w:rFonts w:ascii="Sylfaen" w:hAnsi="Sylfaen"/>
                <w:sz w:val="24"/>
                <w:szCs w:val="24"/>
              </w:rPr>
              <w:t>ի տիպը</w:t>
            </w:r>
          </w:p>
        </w:tc>
        <w:tc>
          <w:tcPr>
            <w:tcW w:w="4973" w:type="dxa"/>
            <w:tcBorders>
              <w:top w:val="single" w:sz="4" w:space="0" w:color="auto"/>
              <w:left w:val="single" w:sz="4" w:space="0" w:color="auto"/>
              <w:right w:val="single" w:sz="4" w:space="0" w:color="auto"/>
            </w:tcBorders>
            <w:shd w:val="clear" w:color="auto" w:fill="FFFFFF"/>
          </w:tcPr>
          <w:p w14:paraId="6F4FBA64" w14:textId="77777777" w:rsidR="008C76E0" w:rsidRPr="003B2786" w:rsidRDefault="008C76E0" w:rsidP="00390DAC">
            <w:pPr>
              <w:spacing w:after="160" w:line="360" w:lineRule="auto"/>
              <w:jc w:val="both"/>
              <w:rPr>
                <w:rFonts w:ascii="Sylfaen" w:hAnsi="Sylfaen"/>
                <w:sz w:val="24"/>
                <w:szCs w:val="24"/>
              </w:rPr>
            </w:pPr>
          </w:p>
        </w:tc>
      </w:tr>
      <w:tr w:rsidR="008C76E0" w:rsidRPr="003B2786" w14:paraId="02A04181" w14:textId="77777777" w:rsidTr="008C76E0">
        <w:trPr>
          <w:jc w:val="center"/>
        </w:trPr>
        <w:tc>
          <w:tcPr>
            <w:tcW w:w="4656" w:type="dxa"/>
            <w:tcBorders>
              <w:top w:val="single" w:sz="4" w:space="0" w:color="auto"/>
              <w:left w:val="single" w:sz="4" w:space="0" w:color="auto"/>
            </w:tcBorders>
            <w:shd w:val="clear" w:color="auto" w:fill="FFFFFF"/>
            <w:vAlign w:val="bottom"/>
          </w:tcPr>
          <w:p w14:paraId="1F603A0A"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ՄՉԱ</w:t>
            </w:r>
          </w:p>
        </w:tc>
        <w:tc>
          <w:tcPr>
            <w:tcW w:w="4973" w:type="dxa"/>
            <w:tcBorders>
              <w:top w:val="single" w:sz="4" w:space="0" w:color="auto"/>
              <w:left w:val="single" w:sz="4" w:space="0" w:color="auto"/>
              <w:right w:val="single" w:sz="4" w:space="0" w:color="auto"/>
            </w:tcBorders>
            <w:shd w:val="clear" w:color="auto" w:fill="FFFFFF"/>
          </w:tcPr>
          <w:p w14:paraId="499F62DB" w14:textId="77777777" w:rsidR="008C76E0" w:rsidRPr="003B2786" w:rsidRDefault="008C76E0" w:rsidP="00390DAC">
            <w:pPr>
              <w:spacing w:after="160" w:line="360" w:lineRule="auto"/>
              <w:jc w:val="both"/>
              <w:rPr>
                <w:rFonts w:ascii="Sylfaen" w:hAnsi="Sylfaen"/>
                <w:sz w:val="24"/>
                <w:szCs w:val="24"/>
              </w:rPr>
            </w:pPr>
          </w:p>
        </w:tc>
      </w:tr>
      <w:tr w:rsidR="008C76E0" w:rsidRPr="003B2786" w14:paraId="6918130D" w14:textId="77777777" w:rsidTr="008C76E0">
        <w:trPr>
          <w:jc w:val="center"/>
        </w:trPr>
        <w:tc>
          <w:tcPr>
            <w:tcW w:w="4656" w:type="dxa"/>
            <w:tcBorders>
              <w:top w:val="single" w:sz="4" w:space="0" w:color="auto"/>
              <w:left w:val="single" w:sz="4" w:space="0" w:color="auto"/>
            </w:tcBorders>
            <w:shd w:val="clear" w:color="auto" w:fill="FFFFFF"/>
            <w:vAlign w:val="bottom"/>
          </w:tcPr>
          <w:p w14:paraId="58FDB273" w14:textId="77777777"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Դեղաթերապ</w:t>
            </w:r>
            <w:r w:rsidR="00C54D75">
              <w:rPr>
                <w:rStyle w:val="Bodytext295pt"/>
                <w:rFonts w:ascii="Sylfaen" w:hAnsi="Sylfaen"/>
                <w:sz w:val="24"/>
                <w:szCs w:val="24"/>
              </w:rPr>
              <w:t>և</w:t>
            </w:r>
            <w:r w:rsidRPr="003B2786">
              <w:rPr>
                <w:rStyle w:val="Bodytext295pt"/>
                <w:rFonts w:ascii="Sylfaen" w:hAnsi="Sylfaen"/>
                <w:sz w:val="24"/>
                <w:szCs w:val="24"/>
              </w:rPr>
              <w:t>տիկ խումբը (ԱԲՔ (ATХ) ծածկագիրը)</w:t>
            </w:r>
          </w:p>
        </w:tc>
        <w:tc>
          <w:tcPr>
            <w:tcW w:w="4973" w:type="dxa"/>
            <w:tcBorders>
              <w:top w:val="single" w:sz="4" w:space="0" w:color="auto"/>
              <w:left w:val="single" w:sz="4" w:space="0" w:color="auto"/>
              <w:right w:val="single" w:sz="4" w:space="0" w:color="auto"/>
            </w:tcBorders>
            <w:shd w:val="clear" w:color="auto" w:fill="FFFFFF"/>
          </w:tcPr>
          <w:p w14:paraId="17B3D5A7" w14:textId="77777777" w:rsidR="008C76E0" w:rsidRPr="003B2786" w:rsidRDefault="008C76E0" w:rsidP="00390DAC">
            <w:pPr>
              <w:spacing w:after="160" w:line="360" w:lineRule="auto"/>
              <w:jc w:val="both"/>
              <w:rPr>
                <w:rFonts w:ascii="Sylfaen" w:hAnsi="Sylfaen"/>
                <w:sz w:val="24"/>
                <w:szCs w:val="24"/>
              </w:rPr>
            </w:pPr>
          </w:p>
        </w:tc>
      </w:tr>
      <w:tr w:rsidR="008C76E0" w:rsidRPr="003B2786" w14:paraId="7027D56C" w14:textId="77777777" w:rsidTr="008C76E0">
        <w:trPr>
          <w:jc w:val="center"/>
        </w:trPr>
        <w:tc>
          <w:tcPr>
            <w:tcW w:w="4656" w:type="dxa"/>
            <w:tcBorders>
              <w:top w:val="single" w:sz="4" w:space="0" w:color="auto"/>
              <w:left w:val="single" w:sz="4" w:space="0" w:color="auto"/>
              <w:bottom w:val="single" w:sz="4" w:space="0" w:color="auto"/>
            </w:tcBorders>
            <w:shd w:val="clear" w:color="auto" w:fill="FFFFFF"/>
            <w:vAlign w:val="bottom"/>
          </w:tcPr>
          <w:p w14:paraId="5B9FBA14"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Թերապ</w:t>
            </w:r>
            <w:r w:rsidR="00C54D75">
              <w:rPr>
                <w:rStyle w:val="Bodytext295pt"/>
                <w:rFonts w:ascii="Sylfaen" w:hAnsi="Sylfaen"/>
                <w:sz w:val="24"/>
                <w:szCs w:val="24"/>
              </w:rPr>
              <w:t>և</w:t>
            </w:r>
            <w:r w:rsidRPr="003B2786">
              <w:rPr>
                <w:rStyle w:val="Bodytext295pt"/>
                <w:rFonts w:ascii="Sylfaen" w:hAnsi="Sylfaen"/>
                <w:sz w:val="24"/>
                <w:szCs w:val="24"/>
              </w:rPr>
              <w:t>տիկ ցուցումները</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14:paraId="19B281BC" w14:textId="77777777" w:rsidR="008C76E0" w:rsidRPr="003B2786" w:rsidRDefault="008C76E0" w:rsidP="00390DAC">
            <w:pPr>
              <w:spacing w:after="160" w:line="360" w:lineRule="auto"/>
              <w:jc w:val="both"/>
              <w:rPr>
                <w:rFonts w:ascii="Sylfaen" w:hAnsi="Sylfaen"/>
                <w:sz w:val="24"/>
                <w:szCs w:val="24"/>
              </w:rPr>
            </w:pPr>
          </w:p>
        </w:tc>
      </w:tr>
    </w:tbl>
    <w:p w14:paraId="43337F0E"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10"/>
        <w:gridCol w:w="2266"/>
      </w:tblGrid>
      <w:tr w:rsidR="008C76E0" w:rsidRPr="003B2786" w14:paraId="2C7448A3" w14:textId="77777777" w:rsidTr="008C76E0">
        <w:trPr>
          <w:jc w:val="center"/>
        </w:trPr>
        <w:tc>
          <w:tcPr>
            <w:tcW w:w="7310" w:type="dxa"/>
            <w:shd w:val="clear" w:color="auto" w:fill="FFFFFF"/>
            <w:vAlign w:val="bottom"/>
          </w:tcPr>
          <w:p w14:paraId="299E0871" w14:textId="77777777" w:rsidR="008C76E0" w:rsidRPr="008C76E0" w:rsidRDefault="008C76E0" w:rsidP="00390DAC">
            <w:pPr>
              <w:pStyle w:val="Bodytext180"/>
              <w:shd w:val="clear" w:color="auto" w:fill="auto"/>
              <w:spacing w:before="0" w:after="160" w:line="360" w:lineRule="auto"/>
              <w:ind w:right="-1" w:firstLine="527"/>
              <w:jc w:val="both"/>
              <w:rPr>
                <w:rFonts w:ascii="Sylfaen" w:hAnsi="Sylfaen"/>
                <w:b w:val="0"/>
                <w:i/>
                <w:sz w:val="24"/>
                <w:szCs w:val="24"/>
                <w:lang w:val="hy-AM"/>
              </w:rPr>
            </w:pPr>
            <w:r w:rsidRPr="003B2786">
              <w:rPr>
                <w:rStyle w:val="Bodytext295pt"/>
                <w:rFonts w:ascii="Sylfaen" w:hAnsi="Sylfaen"/>
                <w:sz w:val="24"/>
                <w:szCs w:val="24"/>
              </w:rPr>
              <w:t>Ներկայացվել է օգտատերերի թեստավորման ամբողջական հաշվետվությունը</w:t>
            </w:r>
          </w:p>
        </w:tc>
        <w:tc>
          <w:tcPr>
            <w:tcW w:w="2266" w:type="dxa"/>
            <w:shd w:val="clear" w:color="auto" w:fill="FFFFFF"/>
          </w:tcPr>
          <w:p w14:paraId="2EB68E0D" w14:textId="77777777" w:rsidR="008C76E0" w:rsidRPr="003B2786" w:rsidRDefault="008C76E0" w:rsidP="00390DAC">
            <w:pPr>
              <w:pStyle w:val="Bodytext180"/>
              <w:shd w:val="clear" w:color="auto" w:fill="auto"/>
              <w:spacing w:before="0" w:after="160" w:line="360" w:lineRule="auto"/>
              <w:ind w:right="-1" w:firstLine="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28FF4242" w14:textId="77777777" w:rsidTr="008C76E0">
        <w:trPr>
          <w:jc w:val="center"/>
        </w:trPr>
        <w:tc>
          <w:tcPr>
            <w:tcW w:w="7310" w:type="dxa"/>
            <w:shd w:val="clear" w:color="auto" w:fill="FFFFFF"/>
          </w:tcPr>
          <w:p w14:paraId="04136CBC" w14:textId="77777777" w:rsidR="008C76E0" w:rsidRPr="003B2786" w:rsidRDefault="008C76E0" w:rsidP="00390DAC">
            <w:pPr>
              <w:pStyle w:val="Bodytext180"/>
              <w:shd w:val="clear" w:color="auto" w:fill="auto"/>
              <w:spacing w:before="0" w:after="160" w:line="360" w:lineRule="auto"/>
              <w:ind w:right="-1" w:firstLine="527"/>
              <w:jc w:val="both"/>
              <w:rPr>
                <w:rFonts w:ascii="Sylfaen" w:hAnsi="Sylfaen"/>
                <w:b w:val="0"/>
                <w:i/>
                <w:sz w:val="24"/>
                <w:szCs w:val="24"/>
              </w:rPr>
            </w:pPr>
            <w:r w:rsidRPr="003B2786">
              <w:rPr>
                <w:rStyle w:val="Bodytext295pt"/>
                <w:rFonts w:ascii="Sylfaen" w:hAnsi="Sylfaen"/>
                <w:sz w:val="24"/>
                <w:szCs w:val="24"/>
              </w:rPr>
              <w:t>Ներկայացվել է ամփոփ հաշվետվությունը</w:t>
            </w:r>
          </w:p>
        </w:tc>
        <w:tc>
          <w:tcPr>
            <w:tcW w:w="2266" w:type="dxa"/>
            <w:shd w:val="clear" w:color="auto" w:fill="FFFFFF"/>
          </w:tcPr>
          <w:p w14:paraId="783F21C4" w14:textId="77777777" w:rsidR="008C76E0" w:rsidRPr="003B2786" w:rsidRDefault="008C76E0" w:rsidP="00390DAC">
            <w:pPr>
              <w:pStyle w:val="Bodytext180"/>
              <w:shd w:val="clear" w:color="auto" w:fill="auto"/>
              <w:spacing w:before="0" w:after="160" w:line="360" w:lineRule="auto"/>
              <w:ind w:right="-1" w:firstLine="0"/>
              <w:jc w:val="both"/>
              <w:rPr>
                <w:rFonts w:ascii="Sylfaen" w:hAnsi="Sylfaen"/>
                <w:b w:val="0"/>
                <w:i/>
                <w:sz w:val="24"/>
                <w:szCs w:val="24"/>
              </w:rPr>
            </w:pPr>
            <w:r w:rsidRPr="003B2786">
              <w:rPr>
                <w:rStyle w:val="Bodytext295pt"/>
                <w:rFonts w:ascii="Sylfaen" w:hAnsi="Sylfaen"/>
                <w:sz w:val="24"/>
                <w:szCs w:val="24"/>
              </w:rPr>
              <w:t>□ այո □ ոչ</w:t>
            </w:r>
          </w:p>
        </w:tc>
      </w:tr>
    </w:tbl>
    <w:p w14:paraId="639DA0BC"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Ամփոփ հաշվետվության դեպքում բազմակի օժանդակ հետազոտությունները սկզբունքորեն անընդունելի են:</w:t>
      </w:r>
    </w:p>
    <w:p w14:paraId="312C466E"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Սակայն մեկ պատրաստուկի համար թույլատրվում է օժանդակ հետազոտությունների 3 գործընթաց (օրինակ՝ առաջինը՝ գիտական բովանդակության մասով, երկրորդը՝ արտադրատեսակի մասով </w:t>
      </w:r>
      <w:r w:rsidR="00C54D75">
        <w:rPr>
          <w:rFonts w:ascii="Sylfaen" w:hAnsi="Sylfaen"/>
          <w:sz w:val="24"/>
          <w:szCs w:val="24"/>
        </w:rPr>
        <w:t>և</w:t>
      </w:r>
      <w:r w:rsidRPr="003B2786">
        <w:rPr>
          <w:rFonts w:ascii="Sylfaen" w:hAnsi="Sylfaen"/>
          <w:sz w:val="24"/>
          <w:szCs w:val="24"/>
        </w:rPr>
        <w:t xml:space="preserve"> վերջինը՝ ներդիր թերթիկի կազմման մանրակերտի մասով):</w:t>
      </w:r>
    </w:p>
    <w:p w14:paraId="0A96C6A7" w14:textId="77777777" w:rsidR="008C76E0" w:rsidRPr="003B2786" w:rsidRDefault="008C76E0" w:rsidP="00390DAC">
      <w:pPr>
        <w:spacing w:after="160" w:line="360" w:lineRule="auto"/>
        <w:ind w:left="567" w:right="-1"/>
        <w:jc w:val="both"/>
        <w:rPr>
          <w:rFonts w:ascii="Sylfaen" w:hAnsi="Sylfaen"/>
          <w:sz w:val="24"/>
          <w:szCs w:val="24"/>
        </w:rPr>
      </w:pPr>
      <w:r w:rsidRPr="003B2786">
        <w:rPr>
          <w:rFonts w:ascii="Sylfaen" w:hAnsi="Sylfaen"/>
          <w:sz w:val="24"/>
          <w:szCs w:val="24"/>
        </w:rPr>
        <w:t>Հիմնավորումից ելնելով՝ կապող թեստավորման հիմքերը.</w:t>
      </w:r>
    </w:p>
    <w:p w14:paraId="554F9C3B"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ներմուծման մի</w:t>
      </w:r>
      <w:r w:rsidR="00C54D75">
        <w:rPr>
          <w:rFonts w:ascii="Sylfaen" w:hAnsi="Sylfaen"/>
          <w:sz w:val="24"/>
          <w:szCs w:val="24"/>
        </w:rPr>
        <w:t>և</w:t>
      </w:r>
      <w:r w:rsidRPr="003B2786">
        <w:rPr>
          <w:rFonts w:ascii="Sylfaen" w:hAnsi="Sylfaen"/>
          <w:sz w:val="24"/>
          <w:szCs w:val="24"/>
        </w:rPr>
        <w:t>նույն եղանակի համար լրացումներ</w:t>
      </w:r>
    </w:p>
    <w:p w14:paraId="6A2959AC"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մի</w:t>
      </w:r>
      <w:r w:rsidR="00C54D75">
        <w:rPr>
          <w:rFonts w:ascii="Sylfaen" w:hAnsi="Sylfaen"/>
          <w:sz w:val="24"/>
          <w:szCs w:val="24"/>
        </w:rPr>
        <w:t>և</w:t>
      </w:r>
      <w:r w:rsidRPr="003B2786">
        <w:rPr>
          <w:rFonts w:ascii="Sylfaen" w:hAnsi="Sylfaen"/>
          <w:sz w:val="24"/>
          <w:szCs w:val="24"/>
        </w:rPr>
        <w:t>նույն դասի դեղապատրաստուկի թեստին հղում</w:t>
      </w:r>
    </w:p>
    <w:p w14:paraId="4F621E4F"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անվտանգության հետ կապված մի</w:t>
      </w:r>
      <w:r w:rsidR="00C54D75">
        <w:rPr>
          <w:rFonts w:ascii="Sylfaen" w:hAnsi="Sylfaen"/>
          <w:sz w:val="24"/>
          <w:szCs w:val="24"/>
        </w:rPr>
        <w:t>և</w:t>
      </w:r>
      <w:r w:rsidRPr="003B2786">
        <w:rPr>
          <w:rFonts w:ascii="Sylfaen" w:hAnsi="Sylfaen"/>
          <w:sz w:val="24"/>
          <w:szCs w:val="24"/>
        </w:rPr>
        <w:t>նույն հարցերով թեստին հղում</w:t>
      </w:r>
    </w:p>
    <w:p w14:paraId="02319C16" w14:textId="77777777" w:rsidR="008C76E0" w:rsidRPr="003B2786" w:rsidRDefault="008C76E0" w:rsidP="00390DAC">
      <w:pPr>
        <w:tabs>
          <w:tab w:val="left" w:pos="1134"/>
        </w:tabs>
        <w:spacing w:after="160" w:line="360" w:lineRule="auto"/>
        <w:ind w:left="567" w:right="-1"/>
        <w:jc w:val="both"/>
        <w:rPr>
          <w:rStyle w:val="Bodytext295pt"/>
          <w:rFonts w:ascii="Sylfaen" w:eastAsiaTheme="minorHAnsi" w:hAnsi="Sylfaen"/>
          <w:b w:val="0"/>
          <w:sz w:val="24"/>
          <w:szCs w:val="24"/>
        </w:rPr>
      </w:pPr>
      <w:r w:rsidRPr="003B2786">
        <w:rPr>
          <w:rStyle w:val="Bodytext295pt"/>
          <w:rFonts w:ascii="Sylfaen" w:eastAsiaTheme="minorHAnsi" w:hAnsi="Sylfaen"/>
          <w:sz w:val="24"/>
          <w:szCs w:val="24"/>
        </w:rPr>
        <w:t>□</w:t>
      </w:r>
      <w:r w:rsidRPr="003B2786">
        <w:rPr>
          <w:rStyle w:val="Bodytext295pt"/>
          <w:rFonts w:ascii="Sylfaen" w:eastAsiaTheme="minorHAnsi" w:hAnsi="Sylfaen"/>
          <w:sz w:val="24"/>
          <w:szCs w:val="24"/>
        </w:rPr>
        <w:tab/>
      </w:r>
      <w:r w:rsidRPr="003B2786">
        <w:rPr>
          <w:rStyle w:val="Bodytext295pt"/>
          <w:rFonts w:ascii="Sylfaen" w:eastAsiaTheme="minorHAnsi" w:hAnsi="Sylfaen"/>
          <w:b w:val="0"/>
          <w:sz w:val="24"/>
          <w:szCs w:val="24"/>
        </w:rPr>
        <w:t xml:space="preserve">այլ </w:t>
      </w:r>
      <w:r w:rsidRPr="003B2786">
        <w:rPr>
          <w:rStyle w:val="Bodytext295pt"/>
          <w:rFonts w:ascii="Sylfaen" w:eastAsiaTheme="minorHAnsi" w:hAnsi="Sylfaen"/>
          <w:sz w:val="24"/>
          <w:szCs w:val="24"/>
        </w:rPr>
        <w:t>__________________________________________________________</w:t>
      </w:r>
    </w:p>
    <w:tbl>
      <w:tblPr>
        <w:tblOverlap w:val="never"/>
        <w:tblW w:w="9648" w:type="dxa"/>
        <w:jc w:val="center"/>
        <w:tblLayout w:type="fixed"/>
        <w:tblCellMar>
          <w:left w:w="10" w:type="dxa"/>
          <w:right w:w="10" w:type="dxa"/>
        </w:tblCellMar>
        <w:tblLook w:val="04A0" w:firstRow="1" w:lastRow="0" w:firstColumn="1" w:lastColumn="0" w:noHBand="0" w:noVBand="1"/>
      </w:tblPr>
      <w:tblGrid>
        <w:gridCol w:w="7930"/>
        <w:gridCol w:w="1718"/>
      </w:tblGrid>
      <w:tr w:rsidR="008C76E0" w:rsidRPr="003B2786" w14:paraId="1E8E424E" w14:textId="77777777" w:rsidTr="008C76E0">
        <w:trPr>
          <w:jc w:val="center"/>
        </w:trPr>
        <w:tc>
          <w:tcPr>
            <w:tcW w:w="7930" w:type="dxa"/>
            <w:shd w:val="clear" w:color="auto" w:fill="FFFFFF"/>
          </w:tcPr>
          <w:p w14:paraId="443DB43C"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Արդյո՞ք կապող թեստավորման հիմնավորումն ընդունելի է: (Եթե չի ներկայացվել օգտատերերի թեստավորման ամբողջական հաշվետվություն կամ ամփոփ հաշվետվություն, ապա անհրաժեշտ է ներկայացնել հիմնավորումը:)</w:t>
            </w:r>
          </w:p>
        </w:tc>
        <w:tc>
          <w:tcPr>
            <w:tcW w:w="1718" w:type="dxa"/>
            <w:shd w:val="clear" w:color="auto" w:fill="FFFFFF"/>
          </w:tcPr>
          <w:p w14:paraId="0E383D24" w14:textId="77777777" w:rsidR="008C76E0" w:rsidRPr="003B2786" w:rsidRDefault="008C76E0" w:rsidP="00390DAC">
            <w:pPr>
              <w:pStyle w:val="Bodytext180"/>
              <w:shd w:val="clear" w:color="auto" w:fill="auto"/>
              <w:spacing w:before="0" w:after="160" w:line="360" w:lineRule="auto"/>
              <w:ind w:left="-5" w:right="-1" w:firstLine="568"/>
              <w:rPr>
                <w:rFonts w:ascii="Sylfaen" w:hAnsi="Sylfaen"/>
                <w:b w:val="0"/>
                <w:sz w:val="24"/>
                <w:szCs w:val="24"/>
              </w:rPr>
            </w:pPr>
            <w:r w:rsidRPr="003B2786">
              <w:rPr>
                <w:rStyle w:val="Bodytext295pt"/>
                <w:rFonts w:ascii="Sylfaen" w:hAnsi="Sylfaen"/>
                <w:sz w:val="24"/>
                <w:szCs w:val="24"/>
              </w:rPr>
              <w:t>□ այո □ ոչ</w:t>
            </w:r>
          </w:p>
        </w:tc>
      </w:tr>
      <w:tr w:rsidR="008C76E0" w:rsidRPr="003B2786" w14:paraId="63309566" w14:textId="77777777" w:rsidTr="008C76E0">
        <w:trPr>
          <w:jc w:val="center"/>
        </w:trPr>
        <w:tc>
          <w:tcPr>
            <w:tcW w:w="7930" w:type="dxa"/>
            <w:shd w:val="clear" w:color="auto" w:fill="FFFFFF"/>
          </w:tcPr>
          <w:p w14:paraId="529274F7"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Արդյո՞ք հաշվետվություն չներկայացնելու հիմնավորումն ընդունելի է: (Օգտատերերի թեստավորման բացակայության ընդունելի հիմնավորում չհամարվող պատճառների օրինակները ներկայացված են ստոր</w:t>
            </w:r>
            <w:r w:rsidR="00C54D75">
              <w:rPr>
                <w:rStyle w:val="Bodytext295pt"/>
                <w:rFonts w:ascii="Sylfaen" w:hAnsi="Sylfaen"/>
                <w:sz w:val="24"/>
                <w:szCs w:val="24"/>
              </w:rPr>
              <w:t>և</w:t>
            </w:r>
            <w:r w:rsidRPr="003B2786">
              <w:rPr>
                <w:rStyle w:val="Bodytext295pt"/>
                <w:rFonts w:ascii="Sylfaen" w:hAnsi="Sylfaen"/>
                <w:sz w:val="24"/>
                <w:szCs w:val="24"/>
              </w:rPr>
              <w:t>.</w:t>
            </w:r>
          </w:p>
        </w:tc>
        <w:tc>
          <w:tcPr>
            <w:tcW w:w="1718" w:type="dxa"/>
            <w:shd w:val="clear" w:color="auto" w:fill="FFFFFF"/>
          </w:tcPr>
          <w:p w14:paraId="579DFE46" w14:textId="77777777" w:rsidR="008C76E0" w:rsidRPr="003B2786" w:rsidRDefault="008C76E0" w:rsidP="00390DAC">
            <w:pPr>
              <w:pStyle w:val="Bodytext180"/>
              <w:shd w:val="clear" w:color="auto" w:fill="auto"/>
              <w:spacing w:before="0" w:after="160" w:line="360" w:lineRule="auto"/>
              <w:ind w:left="-5" w:right="-1" w:firstLine="568"/>
              <w:rPr>
                <w:rFonts w:ascii="Sylfaen" w:hAnsi="Sylfaen"/>
                <w:b w:val="0"/>
                <w:sz w:val="24"/>
                <w:szCs w:val="24"/>
              </w:rPr>
            </w:pPr>
            <w:r w:rsidRPr="003B2786">
              <w:rPr>
                <w:rStyle w:val="Bodytext295pt"/>
                <w:rFonts w:ascii="Sylfaen" w:hAnsi="Sylfaen"/>
                <w:sz w:val="24"/>
                <w:szCs w:val="24"/>
              </w:rPr>
              <w:t>□ այո □ ոչ</w:t>
            </w:r>
          </w:p>
        </w:tc>
      </w:tr>
      <w:tr w:rsidR="008C76E0" w:rsidRPr="003B2786" w14:paraId="0FB58A89" w14:textId="77777777" w:rsidTr="008C76E0">
        <w:trPr>
          <w:jc w:val="center"/>
        </w:trPr>
        <w:tc>
          <w:tcPr>
            <w:tcW w:w="9648" w:type="dxa"/>
            <w:gridSpan w:val="2"/>
            <w:shd w:val="clear" w:color="auto" w:fill="FFFFFF"/>
          </w:tcPr>
          <w:p w14:paraId="59E05F51"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ներմուծում միայն հիվանդանոցային պայմաններում, ներմուծում միայն բժշկական ոլորտի մասնագետի կողմից, որակի ստուգման վերաբերյալ փաստաթղթերի ձ</w:t>
            </w:r>
            <w:r w:rsidR="00C54D75">
              <w:rPr>
                <w:rStyle w:val="Bodytext295pt"/>
                <w:rFonts w:ascii="Sylfaen" w:hAnsi="Sylfaen"/>
                <w:sz w:val="24"/>
                <w:szCs w:val="24"/>
              </w:rPr>
              <w:t>և</w:t>
            </w:r>
            <w:r w:rsidRPr="003B2786">
              <w:rPr>
                <w:rStyle w:val="Bodytext295pt"/>
                <w:rFonts w:ascii="Sylfaen" w:hAnsi="Sylfaen"/>
                <w:sz w:val="24"/>
                <w:szCs w:val="24"/>
              </w:rPr>
              <w:t>անմուշներին համապատասխանություն, տ</w:t>
            </w:r>
            <w:r w:rsidR="00C54D75">
              <w:rPr>
                <w:rStyle w:val="Bodytext295pt"/>
                <w:rFonts w:ascii="Sylfaen" w:hAnsi="Sylfaen"/>
                <w:sz w:val="24"/>
                <w:szCs w:val="24"/>
              </w:rPr>
              <w:t>և</w:t>
            </w:r>
            <w:r w:rsidRPr="003B2786">
              <w:rPr>
                <w:rStyle w:val="Bodytext295pt"/>
                <w:rFonts w:ascii="Sylfaen" w:hAnsi="Sylfaen"/>
                <w:sz w:val="24"/>
                <w:szCs w:val="24"/>
              </w:rPr>
              <w:t>ական ժամանակ պատրաստուկի կիրառության ուսումնասիրություն:</w:t>
            </w:r>
          </w:p>
        </w:tc>
      </w:tr>
    </w:tbl>
    <w:p w14:paraId="429050A8" w14:textId="77777777" w:rsidR="008C76E0" w:rsidRPr="008C76E0" w:rsidRDefault="008C76E0" w:rsidP="00390DAC">
      <w:pPr>
        <w:pStyle w:val="Tablecaption40"/>
        <w:shd w:val="clear" w:color="auto" w:fill="auto"/>
        <w:spacing w:after="160" w:line="360" w:lineRule="auto"/>
        <w:ind w:right="-1" w:firstLine="567"/>
        <w:jc w:val="both"/>
        <w:rPr>
          <w:rFonts w:ascii="Sylfaen" w:hAnsi="Sylfaen"/>
          <w:b w:val="0"/>
          <w:sz w:val="24"/>
          <w:szCs w:val="24"/>
          <w:lang w:val="hy-AM"/>
        </w:rPr>
      </w:pPr>
      <w:r w:rsidRPr="00D06AA6">
        <w:rPr>
          <w:rStyle w:val="Bodytext295pt"/>
          <w:rFonts w:ascii="Sylfaen" w:hAnsi="Sylfaen"/>
          <w:i w:val="0"/>
          <w:sz w:val="24"/>
          <w:szCs w:val="24"/>
        </w:rPr>
        <w:t xml:space="preserve">Պատճառները </w:t>
      </w:r>
      <w:r w:rsidRPr="008C76E0">
        <w:rPr>
          <w:rFonts w:ascii="Sylfaen" w:hAnsi="Sylfaen"/>
          <w:b w:val="0"/>
          <w:sz w:val="24"/>
          <w:szCs w:val="24"/>
          <w:lang w:val="hy-AM"/>
        </w:rPr>
        <w:t>[ամփոփ հաշվետվության ընդունելի լինելու կամ չլինելու վերաբերյալ փորձագետների կարծիքները՝ հիմնավորման (ամփոփ հաշվետվության) գնահատումը]</w:t>
      </w:r>
    </w:p>
    <w:p w14:paraId="35732149" w14:textId="77777777" w:rsidR="008C76E0" w:rsidRPr="003B2786" w:rsidRDefault="008C76E0" w:rsidP="00390DAC">
      <w:pPr>
        <w:spacing w:after="160" w:line="360" w:lineRule="auto"/>
        <w:jc w:val="center"/>
        <w:rPr>
          <w:rFonts w:ascii="Sylfaen" w:hAnsi="Sylfaen"/>
          <w:spacing w:val="-26"/>
          <w:sz w:val="24"/>
          <w:szCs w:val="24"/>
          <w:lang w:val="en-US"/>
        </w:rPr>
      </w:pPr>
      <w:r w:rsidRPr="003B2786">
        <w:rPr>
          <w:rFonts w:ascii="Sylfaen" w:hAnsi="Sylfaen"/>
          <w:spacing w:val="-26"/>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B2786">
        <w:rPr>
          <w:rFonts w:ascii="Sylfaen" w:hAnsi="Sylfaen"/>
          <w:spacing w:val="-26"/>
          <w:sz w:val="24"/>
          <w:szCs w:val="24"/>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D0C8B6" w14:textId="77777777" w:rsidR="008C76E0" w:rsidRPr="003B2786" w:rsidRDefault="008C76E0" w:rsidP="00390DAC">
      <w:pPr>
        <w:spacing w:after="160" w:line="360" w:lineRule="auto"/>
        <w:jc w:val="both"/>
        <w:rPr>
          <w:rFonts w:ascii="Sylfaen" w:hAnsi="Sylfaen"/>
          <w:spacing w:val="-26"/>
          <w:sz w:val="24"/>
          <w:szCs w:val="24"/>
          <w:lang w:val="en-US"/>
        </w:rPr>
      </w:pPr>
    </w:p>
    <w:tbl>
      <w:tblPr>
        <w:tblOverlap w:val="never"/>
        <w:tblW w:w="9581" w:type="dxa"/>
        <w:jc w:val="center"/>
        <w:tblLayout w:type="fixed"/>
        <w:tblCellMar>
          <w:left w:w="10" w:type="dxa"/>
          <w:right w:w="10" w:type="dxa"/>
        </w:tblCellMar>
        <w:tblLook w:val="04A0" w:firstRow="1" w:lastRow="0" w:firstColumn="1" w:lastColumn="0" w:noHBand="0" w:noVBand="1"/>
      </w:tblPr>
      <w:tblGrid>
        <w:gridCol w:w="7426"/>
        <w:gridCol w:w="467"/>
        <w:gridCol w:w="57"/>
        <w:gridCol w:w="1621"/>
        <w:gridCol w:w="10"/>
      </w:tblGrid>
      <w:tr w:rsidR="008C76E0" w:rsidRPr="003B2786" w14:paraId="63877223" w14:textId="77777777" w:rsidTr="008C76E0">
        <w:trPr>
          <w:jc w:val="center"/>
        </w:trPr>
        <w:tc>
          <w:tcPr>
            <w:tcW w:w="9581" w:type="dxa"/>
            <w:gridSpan w:val="5"/>
            <w:shd w:val="clear" w:color="auto" w:fill="FFFFFF"/>
            <w:vAlign w:val="bottom"/>
          </w:tcPr>
          <w:p w14:paraId="10B0A3C5" w14:textId="77777777" w:rsidR="008C76E0" w:rsidRPr="003B2786" w:rsidRDefault="008C76E0" w:rsidP="00390DAC">
            <w:pPr>
              <w:pStyle w:val="Bodytext180"/>
              <w:shd w:val="clear" w:color="auto" w:fill="auto"/>
              <w:tabs>
                <w:tab w:val="left" w:pos="846"/>
              </w:tabs>
              <w:spacing w:before="0" w:after="160" w:line="360" w:lineRule="auto"/>
              <w:ind w:left="63" w:right="137" w:firstLine="0"/>
              <w:jc w:val="center"/>
              <w:rPr>
                <w:rFonts w:ascii="Sylfaen" w:hAnsi="Sylfaen"/>
                <w:b w:val="0"/>
                <w:i/>
                <w:sz w:val="24"/>
                <w:szCs w:val="24"/>
              </w:rPr>
            </w:pPr>
            <w:r w:rsidRPr="003B2786">
              <w:rPr>
                <w:rStyle w:val="Bodytext295pt"/>
                <w:rFonts w:ascii="Sylfaen" w:hAnsi="Sylfaen"/>
                <w:sz w:val="24"/>
                <w:szCs w:val="24"/>
              </w:rPr>
              <w:t>1.ՏԵԽՆԻԿԱԿԱՆ ԳՆԱՀԱՏՈՒՄԸ</w:t>
            </w:r>
          </w:p>
        </w:tc>
      </w:tr>
      <w:tr w:rsidR="008C76E0" w:rsidRPr="003B2786" w14:paraId="57CC3973" w14:textId="77777777" w:rsidTr="008C76E0">
        <w:trPr>
          <w:jc w:val="center"/>
        </w:trPr>
        <w:tc>
          <w:tcPr>
            <w:tcW w:w="9581" w:type="dxa"/>
            <w:gridSpan w:val="5"/>
            <w:shd w:val="clear" w:color="auto" w:fill="FFFFFF"/>
            <w:vAlign w:val="bottom"/>
          </w:tcPr>
          <w:p w14:paraId="5E32A40C"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rPr>
            </w:pPr>
            <w:r w:rsidRPr="003B2786">
              <w:rPr>
                <w:rStyle w:val="Bodytext295pt"/>
                <w:rFonts w:ascii="Sylfaen" w:hAnsi="Sylfaen"/>
                <w:sz w:val="24"/>
                <w:szCs w:val="24"/>
              </w:rPr>
              <w:t>1.1.</w:t>
            </w:r>
            <w:r w:rsidRPr="003B2786">
              <w:rPr>
                <w:rStyle w:val="Bodytext295pt"/>
                <w:rFonts w:ascii="Sylfaen" w:hAnsi="Sylfaen"/>
                <w:sz w:val="24"/>
                <w:szCs w:val="24"/>
              </w:rPr>
              <w:tab/>
              <w:t>Հավաքագրումը</w:t>
            </w:r>
          </w:p>
        </w:tc>
      </w:tr>
      <w:tr w:rsidR="008C76E0" w:rsidRPr="003B2786" w14:paraId="55B01491" w14:textId="77777777" w:rsidTr="008C76E0">
        <w:trPr>
          <w:jc w:val="center"/>
        </w:trPr>
        <w:tc>
          <w:tcPr>
            <w:tcW w:w="7893" w:type="dxa"/>
            <w:gridSpan w:val="2"/>
            <w:shd w:val="clear" w:color="auto" w:fill="FFFFFF"/>
            <w:vAlign w:val="bottom"/>
          </w:tcPr>
          <w:p w14:paraId="50C4C97E" w14:textId="77777777" w:rsidR="008C76E0" w:rsidRPr="008C76E0"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lang w:val="hy-AM"/>
              </w:rPr>
            </w:pPr>
            <w:r w:rsidRPr="003B2786">
              <w:rPr>
                <w:rStyle w:val="Bodytext295pt"/>
                <w:rFonts w:ascii="Sylfaen" w:hAnsi="Sylfaen"/>
                <w:sz w:val="24"/>
                <w:szCs w:val="24"/>
              </w:rPr>
              <w:t xml:space="preserve">Արդյո՞ք ընդունելի է հարցմանը մասնակցած պոպուլյացիան: </w:t>
            </w:r>
          </w:p>
        </w:tc>
        <w:tc>
          <w:tcPr>
            <w:tcW w:w="1688" w:type="dxa"/>
            <w:gridSpan w:val="3"/>
            <w:shd w:val="clear" w:color="auto" w:fill="FFFFFF"/>
            <w:vAlign w:val="bottom"/>
          </w:tcPr>
          <w:p w14:paraId="2872C303"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4DD6AD28" w14:textId="77777777" w:rsidTr="008C76E0">
        <w:trPr>
          <w:jc w:val="center"/>
        </w:trPr>
        <w:tc>
          <w:tcPr>
            <w:tcW w:w="9581" w:type="dxa"/>
            <w:gridSpan w:val="5"/>
            <w:shd w:val="clear" w:color="auto" w:fill="FFFFFF"/>
            <w:vAlign w:val="center"/>
          </w:tcPr>
          <w:p w14:paraId="5F11EDA5"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w:t>
            </w:r>
            <w:r>
              <w:rPr>
                <w:rStyle w:val="Bodytext295pt"/>
                <w:rFonts w:ascii="Sylfaen" w:hAnsi="Sylfaen"/>
                <w:spacing w:val="-6"/>
                <w:sz w:val="24"/>
                <w:szCs w:val="24"/>
              </w:rPr>
              <w:t>ություն) ___________________</w:t>
            </w:r>
            <w:r w:rsidRPr="003B2786">
              <w:rPr>
                <w:rStyle w:val="Bodytext295pt"/>
                <w:rFonts w:ascii="Sylfaen" w:hAnsi="Sylfaen"/>
                <w:spacing w:val="-6"/>
                <w:sz w:val="24"/>
                <w:szCs w:val="24"/>
              </w:rPr>
              <w:t>_________</w:t>
            </w:r>
          </w:p>
        </w:tc>
      </w:tr>
      <w:tr w:rsidR="008C76E0" w:rsidRPr="003B2786" w14:paraId="5F2C726D" w14:textId="77777777" w:rsidTr="008C76E0">
        <w:trPr>
          <w:jc w:val="center"/>
        </w:trPr>
        <w:tc>
          <w:tcPr>
            <w:tcW w:w="9581"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3FBDA5AF" w14:textId="77777777" w:rsidR="008C76E0" w:rsidRPr="008C76E0" w:rsidRDefault="008C76E0" w:rsidP="00390DAC">
            <w:pPr>
              <w:pStyle w:val="Bodytext180"/>
              <w:shd w:val="clear" w:color="auto" w:fill="auto"/>
              <w:spacing w:before="0" w:after="160" w:line="360" w:lineRule="auto"/>
              <w:ind w:left="62" w:right="136" w:firstLine="0"/>
              <w:jc w:val="center"/>
              <w:rPr>
                <w:rFonts w:ascii="Sylfaen" w:hAnsi="Sylfaen"/>
                <w:sz w:val="24"/>
                <w:szCs w:val="24"/>
                <w:lang w:val="hy-AM"/>
              </w:rPr>
            </w:pPr>
            <w:r w:rsidRPr="003B2786">
              <w:rPr>
                <w:rStyle w:val="Bodytext1811pt"/>
                <w:rFonts w:ascii="Sylfaen" w:hAnsi="Sylfaen"/>
                <w:sz w:val="24"/>
                <w:szCs w:val="24"/>
              </w:rPr>
              <w:t>Հավաքագրման հետ կապված կանոնները</w:t>
            </w:r>
          </w:p>
          <w:p w14:paraId="6989EF5B" w14:textId="77777777" w:rsidR="008C76E0" w:rsidRPr="00E15E7D" w:rsidRDefault="008C76E0" w:rsidP="00390DAC">
            <w:pPr>
              <w:pStyle w:val="Bodytext180"/>
              <w:shd w:val="clear" w:color="auto" w:fill="auto"/>
              <w:spacing w:before="0" w:after="160" w:line="360" w:lineRule="auto"/>
              <w:ind w:left="62" w:right="136" w:firstLine="529"/>
              <w:jc w:val="both"/>
              <w:rPr>
                <w:rStyle w:val="Bodytext1811pt"/>
                <w:rFonts w:ascii="Sylfaen" w:hAnsi="Sylfaen"/>
                <w:sz w:val="24"/>
                <w:szCs w:val="24"/>
              </w:rPr>
            </w:pPr>
            <w:r w:rsidRPr="003B2786">
              <w:rPr>
                <w:rStyle w:val="Bodytext1811pt"/>
                <w:rFonts w:ascii="Sylfaen" w:hAnsi="Sylfaen"/>
                <w:sz w:val="24"/>
                <w:szCs w:val="24"/>
              </w:rPr>
              <w:t>Հավաքագրման մեթոդները գնահատելիս անհրաժեշտ է հաշվ</w:t>
            </w:r>
            <w:r w:rsidR="002509A3">
              <w:rPr>
                <w:rStyle w:val="Bodytext1811pt"/>
                <w:rFonts w:ascii="Sylfaen" w:hAnsi="Sylfaen"/>
                <w:sz w:val="24"/>
                <w:szCs w:val="24"/>
              </w:rPr>
              <w:t>ի առնել հետ</w:t>
            </w:r>
            <w:r w:rsidR="00C54D75">
              <w:rPr>
                <w:rStyle w:val="Bodytext1811pt"/>
                <w:rFonts w:ascii="Sylfaen" w:hAnsi="Sylfaen"/>
                <w:sz w:val="24"/>
                <w:szCs w:val="24"/>
              </w:rPr>
              <w:t>և</w:t>
            </w:r>
            <w:r w:rsidR="002509A3">
              <w:rPr>
                <w:rStyle w:val="Bodytext1811pt"/>
                <w:rFonts w:ascii="Sylfaen" w:hAnsi="Sylfaen"/>
                <w:sz w:val="24"/>
                <w:szCs w:val="24"/>
              </w:rPr>
              <w:t>յալ հանգամանքները.</w:t>
            </w:r>
          </w:p>
          <w:p w14:paraId="6BB06C85" w14:textId="67E5FFA5" w:rsidR="008C76E0" w:rsidRPr="008C76E0" w:rsidRDefault="008C76E0" w:rsidP="00390DAC">
            <w:pPr>
              <w:pStyle w:val="Bodytext180"/>
              <w:shd w:val="clear" w:color="auto" w:fill="auto"/>
              <w:spacing w:before="0" w:after="160" w:line="360" w:lineRule="auto"/>
              <w:ind w:left="62" w:right="136" w:firstLine="529"/>
              <w:jc w:val="both"/>
              <w:rPr>
                <w:rFonts w:ascii="Sylfaen" w:hAnsi="Sylfaen"/>
                <w:i/>
                <w:sz w:val="24"/>
                <w:szCs w:val="24"/>
                <w:lang w:val="hy-AM"/>
              </w:rPr>
            </w:pPr>
            <w:r w:rsidRPr="003B2786">
              <w:rPr>
                <w:rStyle w:val="Bodytext295pt"/>
                <w:rFonts w:ascii="Sylfaen" w:hAnsi="Sylfaen"/>
                <w:i/>
                <w:sz w:val="24"/>
                <w:szCs w:val="24"/>
              </w:rPr>
              <w:t>արդյո՞ք լավ է սահմանված հավաքագրման մեթոդը: Արդյո՞ք ակն</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 է, որ թեստն անցնող անձանց խումբը կազմելիս լուրջ մոտեցում է ցուցաբերվել (օրինակ՝ այնպիսի պարամետրերի տեսանկյունից, ինչպիսիք են սեռը, տարիքը, կրթությունը, դեղապատրաստուկների հետ կապված փորձը, գանգատների վերաբերյալ առկա տեղեկատվությունը </w:t>
            </w:r>
            <w:r w:rsidR="00C54D75">
              <w:rPr>
                <w:rStyle w:val="Bodytext295pt"/>
                <w:rFonts w:ascii="Sylfaen" w:hAnsi="Sylfaen"/>
                <w:i/>
                <w:sz w:val="24"/>
                <w:szCs w:val="24"/>
              </w:rPr>
              <w:t>և</w:t>
            </w:r>
            <w:r w:rsidRPr="003B2786">
              <w:rPr>
                <w:rStyle w:val="Bodytext295pt"/>
                <w:rFonts w:ascii="Sylfaen" w:hAnsi="Sylfaen"/>
                <w:i/>
                <w:sz w:val="24"/>
                <w:szCs w:val="24"/>
              </w:rPr>
              <w:t xml:space="preserve"> այլն),</w:t>
            </w:r>
          </w:p>
          <w:p w14:paraId="6A400AD2"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i/>
                <w:sz w:val="24"/>
                <w:szCs w:val="24"/>
                <w:lang w:val="hy-AM"/>
              </w:rPr>
            </w:pPr>
            <w:r w:rsidRPr="003B2786">
              <w:rPr>
                <w:rStyle w:val="Bodytext295pt"/>
                <w:rFonts w:ascii="Sylfaen" w:hAnsi="Sylfaen"/>
                <w:i/>
                <w:sz w:val="24"/>
                <w:szCs w:val="24"/>
              </w:rPr>
              <w:t>ինչպե՞ս է անցկացվել թեստն անցնող անձանց խմբի հավաքագրումը. «պարզամիտ» օգտատերեր կամ պացիենտներ, պացիենտներ կամ հիվանդներին խնամող մասնագետներ,</w:t>
            </w:r>
          </w:p>
          <w:p w14:paraId="35EC18B2" w14:textId="77777777" w:rsidR="008C76E0" w:rsidRPr="003B2786" w:rsidRDefault="008C76E0" w:rsidP="00390DAC">
            <w:pPr>
              <w:pStyle w:val="Bodytext180"/>
              <w:shd w:val="clear" w:color="auto" w:fill="auto"/>
              <w:spacing w:before="0" w:after="160" w:line="360" w:lineRule="auto"/>
              <w:ind w:left="62" w:right="136" w:firstLine="529"/>
              <w:jc w:val="both"/>
              <w:rPr>
                <w:rStyle w:val="Bodytext295pt"/>
                <w:rFonts w:ascii="Sylfaen" w:hAnsi="Sylfaen"/>
                <w:bCs/>
                <w:i/>
                <w:sz w:val="24"/>
                <w:szCs w:val="24"/>
              </w:rPr>
            </w:pPr>
            <w:r w:rsidRPr="003B2786">
              <w:rPr>
                <w:rStyle w:val="Bodytext295pt"/>
                <w:rFonts w:ascii="Sylfaen" w:hAnsi="Sylfaen"/>
                <w:i/>
                <w:sz w:val="24"/>
                <w:szCs w:val="24"/>
              </w:rPr>
              <w:t>արդյո՞ք պարզ է թեստավորման թեստին (փուլերին) մասնակցած մարդկանց թիվը,</w:t>
            </w:r>
          </w:p>
          <w:p w14:paraId="3D7C288D"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sz w:val="24"/>
                <w:szCs w:val="24"/>
                <w:lang w:val="hy-AM"/>
              </w:rPr>
            </w:pPr>
            <w:r w:rsidRPr="003B2786">
              <w:rPr>
                <w:rStyle w:val="Bodytext295pt"/>
                <w:rFonts w:ascii="Sylfaen" w:hAnsi="Sylfaen"/>
                <w:i/>
                <w:sz w:val="24"/>
                <w:szCs w:val="24"/>
              </w:rPr>
              <w:t>մարդկանց թիվը բավարար է (բժշկական կիրառման ուղեցույցը (ներդիր թերթիկը) (այսուհետ՝ ԲԿՈՒ (ՆԹ)) անհրաժեշտ է թեստավորել առնվազն 2 փուլով՝ յուրաքանչյուրի դեպքում 10 անձի մասնակցությամբ):</w:t>
            </w:r>
          </w:p>
        </w:tc>
      </w:tr>
      <w:tr w:rsidR="008C76E0" w:rsidRPr="003B2786" w14:paraId="6272BDE6" w14:textId="77777777" w:rsidTr="008C76E0">
        <w:trPr>
          <w:jc w:val="center"/>
        </w:trPr>
        <w:tc>
          <w:tcPr>
            <w:tcW w:w="7426" w:type="dxa"/>
            <w:tcBorders>
              <w:top w:val="single" w:sz="4" w:space="0" w:color="auto"/>
            </w:tcBorders>
            <w:shd w:val="clear" w:color="auto" w:fill="FFFFFF"/>
            <w:vAlign w:val="center"/>
          </w:tcPr>
          <w:p w14:paraId="472EAB32" w14:textId="77777777" w:rsidR="008C76E0" w:rsidRPr="003B2786" w:rsidRDefault="008C76E0" w:rsidP="00390DAC">
            <w:pPr>
              <w:pStyle w:val="Bodytext180"/>
              <w:shd w:val="clear" w:color="auto" w:fill="auto"/>
              <w:tabs>
                <w:tab w:val="left" w:pos="833"/>
              </w:tabs>
              <w:spacing w:before="0" w:after="160" w:line="360" w:lineRule="auto"/>
              <w:ind w:left="62" w:right="136" w:firstLine="0"/>
              <w:jc w:val="both"/>
              <w:rPr>
                <w:rFonts w:ascii="Sylfaen" w:hAnsi="Sylfaen"/>
                <w:sz w:val="24"/>
                <w:szCs w:val="24"/>
              </w:rPr>
            </w:pPr>
            <w:r w:rsidRPr="003B2786">
              <w:rPr>
                <w:rStyle w:val="Bodytext295pt"/>
                <w:rFonts w:ascii="Sylfaen" w:hAnsi="Sylfaen"/>
                <w:sz w:val="24"/>
                <w:szCs w:val="24"/>
              </w:rPr>
              <w:t>1.2.</w:t>
            </w:r>
            <w:r w:rsidRPr="003B2786">
              <w:rPr>
                <w:rStyle w:val="Bodytext295pt"/>
                <w:rFonts w:ascii="Sylfaen" w:hAnsi="Sylfaen"/>
                <w:sz w:val="24"/>
                <w:szCs w:val="24"/>
              </w:rPr>
              <w:tab/>
              <w:t>Հարցաշարը</w:t>
            </w:r>
          </w:p>
        </w:tc>
        <w:tc>
          <w:tcPr>
            <w:tcW w:w="2155" w:type="dxa"/>
            <w:gridSpan w:val="4"/>
            <w:tcBorders>
              <w:top w:val="single" w:sz="4" w:space="0" w:color="auto"/>
            </w:tcBorders>
            <w:shd w:val="clear" w:color="auto" w:fill="FFFFFF"/>
          </w:tcPr>
          <w:p w14:paraId="646A70B5" w14:textId="77777777" w:rsidR="008C76E0" w:rsidRPr="003B2786" w:rsidRDefault="008C76E0" w:rsidP="00390DAC">
            <w:pPr>
              <w:spacing w:after="160" w:line="360" w:lineRule="auto"/>
              <w:ind w:left="62" w:right="136"/>
              <w:jc w:val="both"/>
              <w:rPr>
                <w:rFonts w:ascii="Sylfaen" w:hAnsi="Sylfaen"/>
                <w:sz w:val="24"/>
                <w:szCs w:val="24"/>
              </w:rPr>
            </w:pPr>
          </w:p>
        </w:tc>
      </w:tr>
      <w:tr w:rsidR="008C76E0" w:rsidRPr="003B2786" w14:paraId="3CFA3285" w14:textId="77777777" w:rsidTr="008C76E0">
        <w:trPr>
          <w:jc w:val="center"/>
        </w:trPr>
        <w:tc>
          <w:tcPr>
            <w:tcW w:w="7426" w:type="dxa"/>
            <w:shd w:val="clear" w:color="auto" w:fill="FFFFFF"/>
            <w:vAlign w:val="bottom"/>
          </w:tcPr>
          <w:p w14:paraId="66EBFAD7"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lang w:val="hy-AM"/>
              </w:rPr>
            </w:pPr>
            <w:r w:rsidRPr="003B2786">
              <w:rPr>
                <w:rStyle w:val="Bodytext295pt"/>
                <w:rFonts w:ascii="Sylfaen" w:hAnsi="Sylfaen"/>
                <w:sz w:val="24"/>
                <w:szCs w:val="24"/>
              </w:rPr>
              <w:t>Արդյո՞ք _______ հարցերի թիվը բավարար է:</w:t>
            </w:r>
          </w:p>
        </w:tc>
        <w:tc>
          <w:tcPr>
            <w:tcW w:w="2155" w:type="dxa"/>
            <w:gridSpan w:val="4"/>
            <w:shd w:val="clear" w:color="auto" w:fill="FFFFFF"/>
            <w:vAlign w:val="bottom"/>
          </w:tcPr>
          <w:p w14:paraId="06030597"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79C081F2" w14:textId="77777777" w:rsidTr="008C76E0">
        <w:trPr>
          <w:jc w:val="center"/>
        </w:trPr>
        <w:tc>
          <w:tcPr>
            <w:tcW w:w="7426" w:type="dxa"/>
            <w:shd w:val="clear" w:color="auto" w:fill="FFFFFF"/>
          </w:tcPr>
          <w:p w14:paraId="6570E8CA"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lang w:val="hy-AM"/>
              </w:rPr>
            </w:pPr>
            <w:r w:rsidRPr="003B2786">
              <w:rPr>
                <w:rStyle w:val="Bodytext295pt"/>
                <w:rFonts w:ascii="Sylfaen" w:hAnsi="Sylfaen"/>
                <w:sz w:val="24"/>
                <w:szCs w:val="24"/>
              </w:rPr>
              <w:lastRenderedPageBreak/>
              <w:t>Արդյո՞ք հարցերը ներառում են դեղանյութի կար</w:t>
            </w:r>
            <w:r w:rsidR="00C54D75">
              <w:rPr>
                <w:rStyle w:val="Bodytext295pt"/>
                <w:rFonts w:ascii="Sylfaen" w:hAnsi="Sylfaen"/>
                <w:sz w:val="24"/>
                <w:szCs w:val="24"/>
              </w:rPr>
              <w:t>և</w:t>
            </w:r>
            <w:r w:rsidRPr="003B2786">
              <w:rPr>
                <w:rStyle w:val="Bodytext295pt"/>
                <w:rFonts w:ascii="Sylfaen" w:hAnsi="Sylfaen"/>
                <w:sz w:val="24"/>
                <w:szCs w:val="24"/>
              </w:rPr>
              <w:t>որ ասպեկտները (անվտանգությունը):</w:t>
            </w:r>
          </w:p>
        </w:tc>
        <w:tc>
          <w:tcPr>
            <w:tcW w:w="2155" w:type="dxa"/>
            <w:gridSpan w:val="4"/>
            <w:shd w:val="clear" w:color="auto" w:fill="FFFFFF"/>
            <w:vAlign w:val="bottom"/>
          </w:tcPr>
          <w:p w14:paraId="379F6A5F"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F6EF04E" w14:textId="77777777" w:rsidTr="008C76E0">
        <w:trPr>
          <w:gridAfter w:val="1"/>
          <w:wAfter w:w="10" w:type="dxa"/>
          <w:jc w:val="center"/>
        </w:trPr>
        <w:tc>
          <w:tcPr>
            <w:tcW w:w="9571" w:type="dxa"/>
            <w:gridSpan w:val="4"/>
            <w:shd w:val="clear" w:color="auto" w:fill="FFFFFF"/>
          </w:tcPr>
          <w:p w14:paraId="69460D09"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տեղեկատվությո</w:t>
            </w:r>
            <w:r>
              <w:rPr>
                <w:rStyle w:val="Bodytext295pt"/>
                <w:rFonts w:ascii="Sylfaen" w:hAnsi="Sylfaen"/>
                <w:spacing w:val="-6"/>
                <w:sz w:val="24"/>
                <w:szCs w:val="24"/>
              </w:rPr>
              <w:t>ւն) _____________________</w:t>
            </w:r>
            <w:r w:rsidRPr="003B2786">
              <w:rPr>
                <w:rStyle w:val="Bodytext295pt"/>
                <w:rFonts w:ascii="Sylfaen" w:hAnsi="Sylfaen"/>
                <w:spacing w:val="-6"/>
                <w:sz w:val="24"/>
                <w:szCs w:val="24"/>
              </w:rPr>
              <w:t>_____</w:t>
            </w:r>
          </w:p>
        </w:tc>
      </w:tr>
      <w:tr w:rsidR="008C76E0" w:rsidRPr="003B2786" w14:paraId="5C87C4BC" w14:textId="77777777" w:rsidTr="008C76E0">
        <w:trPr>
          <w:gridAfter w:val="1"/>
          <w:wAfter w:w="10" w:type="dxa"/>
          <w:jc w:val="center"/>
        </w:trPr>
        <w:tc>
          <w:tcPr>
            <w:tcW w:w="9571" w:type="dxa"/>
            <w:gridSpan w:val="4"/>
            <w:tcBorders>
              <w:top w:val="single" w:sz="4" w:space="0" w:color="auto"/>
              <w:left w:val="single" w:sz="4" w:space="0" w:color="auto"/>
              <w:right w:val="single" w:sz="4" w:space="0" w:color="auto"/>
            </w:tcBorders>
            <w:shd w:val="clear" w:color="auto" w:fill="FFFFFF"/>
            <w:vAlign w:val="bottom"/>
          </w:tcPr>
          <w:p w14:paraId="1E05B89B" w14:textId="77777777" w:rsidR="008C76E0" w:rsidRPr="003B2786" w:rsidRDefault="008C76E0" w:rsidP="00390DAC">
            <w:pPr>
              <w:pStyle w:val="Bodytext180"/>
              <w:shd w:val="clear" w:color="auto" w:fill="auto"/>
              <w:spacing w:before="0" w:after="160" w:line="360" w:lineRule="auto"/>
              <w:ind w:left="62" w:right="136" w:firstLine="0"/>
              <w:jc w:val="center"/>
              <w:rPr>
                <w:rFonts w:ascii="Sylfaen" w:hAnsi="Sylfaen"/>
                <w:b w:val="0"/>
                <w:sz w:val="24"/>
                <w:szCs w:val="24"/>
              </w:rPr>
            </w:pPr>
            <w:r w:rsidRPr="003B2786">
              <w:rPr>
                <w:rStyle w:val="Bodytext1811pt"/>
                <w:rFonts w:ascii="Sylfaen" w:hAnsi="Sylfaen"/>
                <w:sz w:val="24"/>
                <w:szCs w:val="24"/>
              </w:rPr>
              <w:t>Հարցաշարի հետ կապված կանոնները</w:t>
            </w:r>
          </w:p>
        </w:tc>
      </w:tr>
      <w:tr w:rsidR="008C76E0" w:rsidRPr="003B2786" w14:paraId="2F91723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5F934380"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sz w:val="24"/>
                <w:szCs w:val="24"/>
                <w:lang w:val="hy-AM"/>
              </w:rPr>
            </w:pPr>
            <w:r w:rsidRPr="003B2786">
              <w:rPr>
                <w:rStyle w:val="Bodytext1811pt"/>
                <w:rFonts w:ascii="Sylfaen" w:hAnsi="Sylfaen"/>
                <w:sz w:val="24"/>
                <w:szCs w:val="24"/>
              </w:rPr>
              <w:t>Հարցաշարը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tc>
      </w:tr>
      <w:tr w:rsidR="008C76E0" w:rsidRPr="003B2786" w14:paraId="3E54037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79D7BDAF" w14:textId="05882C8F"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 xml:space="preserve">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ներկայացրել է անվտանգ կիրառման վերաբերյալ հիմնական տեղեկատվությունը, արդյո՞ք հարցերը ներառում են հիմնական տեղեկատվությունը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հետ</w:t>
            </w:r>
            <w:r w:rsidR="00C54D75">
              <w:rPr>
                <w:rStyle w:val="Bodytext1811pt"/>
                <w:rFonts w:ascii="Sylfaen" w:hAnsi="Sylfaen"/>
                <w:sz w:val="24"/>
                <w:szCs w:val="24"/>
              </w:rPr>
              <w:t>և</w:t>
            </w:r>
            <w:r w:rsidRPr="003B2786">
              <w:rPr>
                <w:rStyle w:val="Bodytext1811pt"/>
                <w:rFonts w:ascii="Sylfaen" w:hAnsi="Sylfaen"/>
                <w:sz w:val="24"/>
                <w:szCs w:val="24"/>
              </w:rPr>
              <w:t>յալ ասպեկտները. ներդիր թերթիկի վերաբերյալ ընդհանուր տպավորությունը,</w:t>
            </w:r>
          </w:p>
          <w:p w14:paraId="6494DFA1"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 xml:space="preserve">ԲԿՈՒ-ի (ՆԹ-ի) «ախտորոշիչ» մասը (այսինքն՝ ԲԿՈՒ-ի (ՆԹ-ի) յուրաքանչյուր մասում մասնակցի՝ որոշակի տեղեկատվություն արագ </w:t>
            </w:r>
            <w:r w:rsidR="00C54D75">
              <w:rPr>
                <w:rStyle w:val="Bodytext1811pt"/>
                <w:rFonts w:ascii="Sylfaen" w:hAnsi="Sylfaen"/>
                <w:sz w:val="24"/>
                <w:szCs w:val="24"/>
              </w:rPr>
              <w:t>և</w:t>
            </w:r>
            <w:r w:rsidRPr="003B2786">
              <w:rPr>
                <w:rStyle w:val="Bodytext1811pt"/>
                <w:rFonts w:ascii="Sylfaen" w:hAnsi="Sylfaen"/>
                <w:sz w:val="24"/>
                <w:szCs w:val="24"/>
              </w:rPr>
              <w:t xml:space="preserve"> հեշտ գտնելու կարողության,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այդ տեղեկատվությունը ճիշտ հասկանալու կարողության ստուգմանն ուղղված հարցեր. հարցաշարում հիմնական ուշադրությունը պետք է կենտրոնացնել դեղապատրաստուկի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ճիշտ կիրառման,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մասնակիցների կողմից անվտանգ կիրառումն ապահովելու վերաբերյալ տեղեկատվությունը հասկանալու վրա, այսինքն՝ պետք է ապահովել անվտանգության վերաբերյալ առանցքային հարցերի ուսումնասիրությունը),</w:t>
            </w:r>
          </w:p>
        </w:tc>
      </w:tr>
      <w:tr w:rsidR="008C76E0" w:rsidRPr="003B2786" w14:paraId="400762DD"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vAlign w:val="bottom"/>
          </w:tcPr>
          <w:p w14:paraId="38160695" w14:textId="77777777" w:rsidR="008C76E0" w:rsidRPr="008C76E0" w:rsidRDefault="008C76E0" w:rsidP="00390DAC">
            <w:pPr>
              <w:pStyle w:val="Bodytext180"/>
              <w:numPr>
                <w:ilvl w:val="0"/>
                <w:numId w:val="9"/>
              </w:numPr>
              <w:shd w:val="clear" w:color="auto" w:fill="auto"/>
              <w:spacing w:before="0" w:after="160" w:line="360" w:lineRule="auto"/>
              <w:ind w:left="62" w:right="136"/>
              <w:jc w:val="both"/>
              <w:rPr>
                <w:rFonts w:ascii="Sylfaen" w:hAnsi="Sylfaen"/>
                <w:b w:val="0"/>
                <w:sz w:val="24"/>
                <w:szCs w:val="24"/>
                <w:lang w:val="hy-AM"/>
              </w:rPr>
            </w:pPr>
            <w:r w:rsidRPr="003B2786">
              <w:rPr>
                <w:rStyle w:val="Bodytext1811pt"/>
                <w:rFonts w:ascii="Sylfaen" w:hAnsi="Sylfaen"/>
                <w:sz w:val="24"/>
                <w:szCs w:val="24"/>
              </w:rPr>
              <w:t xml:space="preserve">ԲԿՈՒ-ի (ՆԹ-ի) բովանդակային պլանը </w:t>
            </w:r>
            <w:r w:rsidR="00C54D75">
              <w:rPr>
                <w:rStyle w:val="Bodytext1811pt"/>
                <w:rFonts w:ascii="Sylfaen" w:hAnsi="Sylfaen"/>
                <w:sz w:val="24"/>
                <w:szCs w:val="24"/>
              </w:rPr>
              <w:t>և</w:t>
            </w:r>
            <w:r w:rsidRPr="003B2786">
              <w:rPr>
                <w:rStyle w:val="Bodytext1811pt"/>
                <w:rFonts w:ascii="Sylfaen" w:hAnsi="Sylfaen"/>
                <w:sz w:val="24"/>
                <w:szCs w:val="24"/>
              </w:rPr>
              <w:t xml:space="preserve"> մանրակերտը,</w:t>
            </w:r>
          </w:p>
        </w:tc>
      </w:tr>
      <w:tr w:rsidR="008C76E0" w:rsidRPr="003B2786" w14:paraId="21D7E88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76687EDD"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հարցերի քանակը բավարար է, (չափազանց քիչ կամ չափազանց շատ, օրինակ՝ 12-15),</w:t>
            </w:r>
          </w:p>
        </w:tc>
      </w:tr>
      <w:tr w:rsidR="008C76E0" w:rsidRPr="003B2786" w14:paraId="794CAEE1"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vAlign w:val="bottom"/>
          </w:tcPr>
          <w:p w14:paraId="73009A2C"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հարցերում դիտարկվում է «շարադրման» ասպեկտները, կարո՞ղ են արդյոք ռեսպոնդենտները հեշտությամբ հասկանալ իրենց ընթերցած տեքստը,</w:t>
            </w:r>
          </w:p>
          <w:p w14:paraId="792771FB" w14:textId="30E26125"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հարցերը ենթադրում են ծավալուն կամ կանխորոշված պատասխան: Ռեսպոնդենտներին հարցում անելիս հարկ է խուսափել ակն</w:t>
            </w:r>
            <w:r w:rsidR="0056496B">
              <w:rPr>
                <w:rStyle w:val="Bodytext1811pt"/>
                <w:rFonts w:ascii="Sylfaen" w:hAnsi="Sylfaen"/>
                <w:sz w:val="24"/>
                <w:szCs w:val="24"/>
              </w:rPr>
              <w:t>դիմում</w:t>
            </w:r>
            <w:r w:rsidRPr="003B2786">
              <w:rPr>
                <w:rStyle w:val="Bodytext1811pt"/>
                <w:rFonts w:ascii="Sylfaen" w:hAnsi="Sylfaen"/>
                <w:sz w:val="24"/>
                <w:szCs w:val="24"/>
              </w:rPr>
              <w:t xml:space="preserve"> պատասխաններով փակ հարցերից, որոնք մեծացնում են դրական արդյունքներ ստանալու հավանականությունը: Պացիենտների կողմից ԲԿՈՒ-ի (ՆԹ-ի) </w:t>
            </w:r>
            <w:r w:rsidRPr="003B2786">
              <w:rPr>
                <w:rStyle w:val="Bodytext1811pt"/>
                <w:rFonts w:ascii="Sylfaen" w:hAnsi="Sylfaen"/>
                <w:sz w:val="24"/>
                <w:szCs w:val="24"/>
              </w:rPr>
              <w:lastRenderedPageBreak/>
              <w:t xml:space="preserve">օգտագործումը ցուցադրելու համար անհրաժեշտ է </w:t>
            </w:r>
          </w:p>
        </w:tc>
      </w:tr>
      <w:tr w:rsidR="008C76E0" w:rsidRPr="003B2786" w14:paraId="14321CFE" w14:textId="77777777" w:rsidTr="008C76E0">
        <w:trPr>
          <w:gridAfter w:val="1"/>
          <w:wAfter w:w="10" w:type="dxa"/>
          <w:jc w:val="center"/>
        </w:trPr>
        <w:tc>
          <w:tcPr>
            <w:tcW w:w="9571" w:type="dxa"/>
            <w:gridSpan w:val="4"/>
            <w:tcBorders>
              <w:left w:val="single" w:sz="4" w:space="0" w:color="auto"/>
              <w:bottom w:val="single" w:sz="4" w:space="0" w:color="auto"/>
              <w:right w:val="single" w:sz="4" w:space="0" w:color="auto"/>
            </w:tcBorders>
            <w:shd w:val="clear" w:color="auto" w:fill="FFFFFF"/>
          </w:tcPr>
          <w:p w14:paraId="0DDDE1F5"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lastRenderedPageBreak/>
              <w:t xml:space="preserve">օգտագործել բաց հարցեր, որոնք հուշող չեն </w:t>
            </w:r>
            <w:r w:rsidR="00C54D75">
              <w:rPr>
                <w:rStyle w:val="Bodytext1811pt"/>
                <w:rFonts w:ascii="Sylfaen" w:hAnsi="Sylfaen"/>
                <w:sz w:val="24"/>
                <w:szCs w:val="24"/>
              </w:rPr>
              <w:t>և</w:t>
            </w:r>
            <w:r w:rsidRPr="003B2786">
              <w:rPr>
                <w:rStyle w:val="Bodytext1811pt"/>
                <w:rFonts w:ascii="Sylfaen" w:hAnsi="Sylfaen"/>
                <w:sz w:val="24"/>
                <w:szCs w:val="24"/>
              </w:rPr>
              <w:t xml:space="preserve"> ունեն պատահական դասավորվածություն:  Հարկ է խուսափել ինքնագնահատման տարր ենթադրող հարցերից (օրինակ՝ «ըստ Ձեզ», «արդյո՞ք հասկանալի է X պարբերությունը»): Անհրաժեշտ է օգտագործել ծավալուն պատասխան պահանջող հարցեր (օրինակ՝ «որո՞նք են տվյալ դեղապատրաստուկը կիրառելիս կողմնակի ազդեցությունները»):</w:t>
            </w:r>
          </w:p>
        </w:tc>
      </w:tr>
      <w:tr w:rsidR="008C76E0" w:rsidRPr="003B2786" w14:paraId="459E72C1" w14:textId="77777777" w:rsidTr="008C76E0">
        <w:trPr>
          <w:gridAfter w:val="1"/>
          <w:wAfter w:w="10" w:type="dxa"/>
          <w:jc w:val="center"/>
        </w:trPr>
        <w:tc>
          <w:tcPr>
            <w:tcW w:w="9571" w:type="dxa"/>
            <w:gridSpan w:val="4"/>
            <w:tcBorders>
              <w:top w:val="single" w:sz="4" w:space="0" w:color="auto"/>
            </w:tcBorders>
            <w:shd w:val="clear" w:color="auto" w:fill="FFFFFF"/>
            <w:vAlign w:val="center"/>
          </w:tcPr>
          <w:p w14:paraId="618EFD76" w14:textId="77777777" w:rsidR="008C76E0" w:rsidRPr="003B2786" w:rsidRDefault="008C76E0" w:rsidP="00390DAC">
            <w:pPr>
              <w:pStyle w:val="Bodytext180"/>
              <w:shd w:val="clear" w:color="auto" w:fill="auto"/>
              <w:tabs>
                <w:tab w:val="left" w:pos="859"/>
              </w:tabs>
              <w:spacing w:before="0" w:after="160" w:line="360" w:lineRule="auto"/>
              <w:ind w:left="63" w:right="137" w:firstLine="0"/>
              <w:jc w:val="both"/>
              <w:rPr>
                <w:rFonts w:ascii="Sylfaen" w:hAnsi="Sylfaen"/>
                <w:b w:val="0"/>
                <w:i/>
                <w:sz w:val="24"/>
                <w:szCs w:val="24"/>
              </w:rPr>
            </w:pPr>
            <w:r w:rsidRPr="003B2786">
              <w:rPr>
                <w:rStyle w:val="Bodytext295pt"/>
                <w:rFonts w:ascii="Sylfaen" w:hAnsi="Sylfaen"/>
                <w:sz w:val="24"/>
                <w:szCs w:val="24"/>
              </w:rPr>
              <w:t>1.3.</w:t>
            </w:r>
            <w:r w:rsidRPr="003B2786">
              <w:rPr>
                <w:rStyle w:val="Bodytext295pt"/>
                <w:rFonts w:ascii="Sylfaen" w:hAnsi="Sylfaen"/>
                <w:sz w:val="24"/>
                <w:szCs w:val="24"/>
              </w:rPr>
              <w:tab/>
              <w:t>Ժամանակային ասպեկտները</w:t>
            </w:r>
          </w:p>
        </w:tc>
      </w:tr>
      <w:tr w:rsidR="008C76E0" w:rsidRPr="003B2786" w14:paraId="1C5ABDA3" w14:textId="77777777" w:rsidTr="008C76E0">
        <w:trPr>
          <w:gridAfter w:val="1"/>
          <w:wAfter w:w="10" w:type="dxa"/>
          <w:jc w:val="center"/>
        </w:trPr>
        <w:tc>
          <w:tcPr>
            <w:tcW w:w="7950" w:type="dxa"/>
            <w:gridSpan w:val="3"/>
            <w:shd w:val="clear" w:color="auto" w:fill="FFFFFF"/>
            <w:vAlign w:val="center"/>
          </w:tcPr>
          <w:p w14:paraId="6AA53C9D" w14:textId="77777777" w:rsidR="008C76E0" w:rsidRPr="008C76E0" w:rsidRDefault="008C76E0" w:rsidP="00390DAC">
            <w:pPr>
              <w:pStyle w:val="Bodytext180"/>
              <w:shd w:val="clear" w:color="auto" w:fill="auto"/>
              <w:spacing w:before="0" w:after="160" w:line="360" w:lineRule="auto"/>
              <w:ind w:left="63" w:right="137" w:firstLine="0"/>
              <w:jc w:val="both"/>
              <w:rPr>
                <w:rFonts w:ascii="Sylfaen" w:hAnsi="Sylfaen"/>
                <w:b w:val="0"/>
                <w:i/>
                <w:sz w:val="24"/>
                <w:szCs w:val="24"/>
                <w:lang w:val="hy-AM"/>
              </w:rPr>
            </w:pPr>
            <w:r w:rsidRPr="003B2786">
              <w:rPr>
                <w:rStyle w:val="Bodytext295pt"/>
                <w:rFonts w:ascii="Sylfaen" w:hAnsi="Sylfaen"/>
                <w:sz w:val="24"/>
                <w:szCs w:val="24"/>
              </w:rPr>
              <w:t>Արդյո՞ք հարցերին պատասխանելու համար տրված ժամանակն ընդունելի է: Արդյո՞ք հարցազրույցի տ</w:t>
            </w:r>
            <w:r w:rsidR="00C54D75">
              <w:rPr>
                <w:rStyle w:val="Bodytext295pt"/>
                <w:rFonts w:ascii="Sylfaen" w:hAnsi="Sylfaen"/>
                <w:sz w:val="24"/>
                <w:szCs w:val="24"/>
              </w:rPr>
              <w:t>և</w:t>
            </w:r>
            <w:r w:rsidRPr="003B2786">
              <w:rPr>
                <w:rStyle w:val="Bodytext295pt"/>
                <w:rFonts w:ascii="Sylfaen" w:hAnsi="Sylfaen"/>
                <w:sz w:val="24"/>
                <w:szCs w:val="24"/>
              </w:rPr>
              <w:t xml:space="preserve">ողությունն ընդունելի է: </w:t>
            </w:r>
          </w:p>
        </w:tc>
        <w:tc>
          <w:tcPr>
            <w:tcW w:w="1621" w:type="dxa"/>
            <w:shd w:val="clear" w:color="auto" w:fill="FFFFFF"/>
            <w:vAlign w:val="center"/>
          </w:tcPr>
          <w:p w14:paraId="60133F74" w14:textId="77777777" w:rsidR="008C76E0" w:rsidRPr="003B2786" w:rsidRDefault="008C76E0" w:rsidP="00390DAC">
            <w:pPr>
              <w:pStyle w:val="Bodytext180"/>
              <w:shd w:val="clear" w:color="auto" w:fill="auto"/>
              <w:spacing w:before="0" w:after="160" w:line="360" w:lineRule="auto"/>
              <w:ind w:left="63" w:right="137" w:firstLine="0"/>
              <w:jc w:val="both"/>
              <w:rPr>
                <w:rStyle w:val="Bodytext295pt"/>
                <w:rFonts w:ascii="Sylfaen" w:hAnsi="Sylfaen"/>
                <w:i/>
                <w:sz w:val="24"/>
                <w:szCs w:val="24"/>
              </w:rPr>
            </w:pPr>
            <w:r w:rsidRPr="003B2786">
              <w:rPr>
                <w:rStyle w:val="Bodytext295pt"/>
                <w:rFonts w:ascii="Sylfaen" w:hAnsi="Sylfaen"/>
                <w:sz w:val="24"/>
                <w:szCs w:val="24"/>
              </w:rPr>
              <w:t>□ այո □ ոչ</w:t>
            </w:r>
          </w:p>
          <w:p w14:paraId="5D763EF9" w14:textId="77777777" w:rsidR="008C76E0" w:rsidRPr="003B2786" w:rsidRDefault="008C76E0" w:rsidP="00390DAC">
            <w:pPr>
              <w:pStyle w:val="Bodytext180"/>
              <w:shd w:val="clear" w:color="auto" w:fill="auto"/>
              <w:spacing w:before="0" w:after="160" w:line="360" w:lineRule="auto"/>
              <w:ind w:left="63" w:right="137" w:firstLine="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EDAB516" w14:textId="77777777" w:rsidTr="008C76E0">
        <w:trPr>
          <w:gridAfter w:val="1"/>
          <w:wAfter w:w="10" w:type="dxa"/>
          <w:jc w:val="center"/>
        </w:trPr>
        <w:tc>
          <w:tcPr>
            <w:tcW w:w="9571" w:type="dxa"/>
            <w:gridSpan w:val="4"/>
            <w:shd w:val="clear" w:color="auto" w:fill="FFFFFF"/>
            <w:vAlign w:val="bottom"/>
          </w:tcPr>
          <w:p w14:paraId="6029CE42" w14:textId="77777777" w:rsidR="008C76E0" w:rsidRPr="003B2786" w:rsidRDefault="008C76E0" w:rsidP="00390DAC">
            <w:pPr>
              <w:pStyle w:val="Bodytext180"/>
              <w:shd w:val="clear" w:color="auto" w:fill="auto"/>
              <w:spacing w:before="0" w:after="160" w:line="360" w:lineRule="auto"/>
              <w:ind w:left="63" w:right="137" w:firstLine="0"/>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տեղեկատվություն) ________________________________</w:t>
            </w:r>
          </w:p>
        </w:tc>
      </w:tr>
    </w:tbl>
    <w:p w14:paraId="6761D12D" w14:textId="77777777" w:rsidR="008C76E0" w:rsidRPr="003B2786" w:rsidRDefault="008C76E0" w:rsidP="00390DAC">
      <w:pPr>
        <w:spacing w:after="160" w:line="360" w:lineRule="auto"/>
        <w:ind w:right="-1"/>
        <w:jc w:val="both"/>
        <w:rPr>
          <w:rFonts w:ascii="Sylfaen" w:hAnsi="Sylfaen"/>
          <w:sz w:val="24"/>
          <w:szCs w:val="24"/>
        </w:rPr>
      </w:pPr>
    </w:p>
    <w:tbl>
      <w:tblPr>
        <w:tblW w:w="9621" w:type="dxa"/>
        <w:tblInd w:w="-176" w:type="dxa"/>
        <w:tblLook w:val="04A0" w:firstRow="1" w:lastRow="0" w:firstColumn="1" w:lastColumn="0" w:noHBand="0" w:noVBand="1"/>
      </w:tblPr>
      <w:tblGrid>
        <w:gridCol w:w="9621"/>
      </w:tblGrid>
      <w:tr w:rsidR="008C76E0" w:rsidRPr="003B2786" w14:paraId="36D78C3C" w14:textId="77777777" w:rsidTr="008C76E0">
        <w:tc>
          <w:tcPr>
            <w:tcW w:w="9621" w:type="dxa"/>
            <w:tcBorders>
              <w:top w:val="single" w:sz="4" w:space="0" w:color="auto"/>
              <w:left w:val="single" w:sz="4" w:space="0" w:color="auto"/>
              <w:bottom w:val="single" w:sz="4" w:space="0" w:color="auto"/>
              <w:right w:val="single" w:sz="4" w:space="0" w:color="auto"/>
            </w:tcBorders>
          </w:tcPr>
          <w:p w14:paraId="2EA2906D" w14:textId="77777777" w:rsidR="008C76E0" w:rsidRPr="008C76E0" w:rsidRDefault="008C76E0" w:rsidP="00390DAC">
            <w:pPr>
              <w:pStyle w:val="Bodytext8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Ժամանակային ասպեկտների հետ կապված կանոնները</w:t>
            </w:r>
          </w:p>
          <w:p w14:paraId="2D8B80B6" w14:textId="77777777" w:rsidR="008C76E0" w:rsidRPr="008C76E0" w:rsidRDefault="008C76E0" w:rsidP="00390DAC">
            <w:pPr>
              <w:pStyle w:val="Bodytext80"/>
              <w:shd w:val="clear" w:color="auto" w:fill="auto"/>
              <w:spacing w:before="0" w:after="160" w:line="360" w:lineRule="auto"/>
              <w:ind w:firstLine="708"/>
              <w:jc w:val="both"/>
              <w:rPr>
                <w:rFonts w:ascii="Sylfaen" w:hAnsi="Sylfaen"/>
                <w:b w:val="0"/>
                <w:sz w:val="24"/>
                <w:szCs w:val="24"/>
                <w:lang w:val="hy-AM"/>
              </w:rPr>
            </w:pPr>
            <w:r w:rsidRPr="008C76E0">
              <w:rPr>
                <w:rFonts w:ascii="Sylfaen" w:hAnsi="Sylfaen"/>
                <w:b w:val="0"/>
                <w:sz w:val="24"/>
                <w:szCs w:val="24"/>
                <w:lang w:val="hy-AM"/>
              </w:rPr>
              <w:t>Ժամանակային ասպեկտները գնահատելիս անհրաժեշտ է հաշվի առնել հետ</w:t>
            </w:r>
            <w:r w:rsidR="00C54D75">
              <w:rPr>
                <w:rFonts w:ascii="Sylfaen" w:hAnsi="Sylfaen"/>
                <w:b w:val="0"/>
                <w:sz w:val="24"/>
                <w:szCs w:val="24"/>
                <w:lang w:val="hy-AM"/>
              </w:rPr>
              <w:t>և</w:t>
            </w:r>
            <w:r w:rsidRPr="008C76E0">
              <w:rPr>
                <w:rFonts w:ascii="Sylfaen" w:hAnsi="Sylfaen"/>
                <w:b w:val="0"/>
                <w:sz w:val="24"/>
                <w:szCs w:val="24"/>
                <w:lang w:val="hy-AM"/>
              </w:rPr>
              <w:t xml:space="preserve">յալ հանգամանքները. </w:t>
            </w:r>
          </w:p>
          <w:p w14:paraId="5BD59B29" w14:textId="77777777" w:rsidR="008C76E0" w:rsidRPr="008C76E0" w:rsidRDefault="008C76E0" w:rsidP="00390DAC">
            <w:pPr>
              <w:pStyle w:val="Bodytext80"/>
              <w:shd w:val="clear" w:color="auto" w:fill="auto"/>
              <w:spacing w:before="0" w:after="160" w:line="360" w:lineRule="auto"/>
              <w:ind w:firstLine="708"/>
              <w:jc w:val="both"/>
              <w:rPr>
                <w:rFonts w:ascii="Sylfaen" w:hAnsi="Sylfaen"/>
                <w:i/>
                <w:sz w:val="24"/>
                <w:szCs w:val="24"/>
                <w:lang w:val="hy-AM"/>
              </w:rPr>
            </w:pPr>
            <w:r w:rsidRPr="003B2786">
              <w:rPr>
                <w:rStyle w:val="Bodytext295pt"/>
                <w:rFonts w:ascii="Sylfaen" w:hAnsi="Sylfaen"/>
                <w:i/>
                <w:sz w:val="24"/>
                <w:szCs w:val="24"/>
              </w:rPr>
              <w:t>արդյո՞ք պարզ է, որքա՞ն է տ</w:t>
            </w:r>
            <w:r w:rsidR="00C54D75">
              <w:rPr>
                <w:rStyle w:val="Bodytext295pt"/>
                <w:rFonts w:ascii="Sylfaen" w:hAnsi="Sylfaen"/>
                <w:i/>
                <w:sz w:val="24"/>
                <w:szCs w:val="24"/>
              </w:rPr>
              <w:t>և</w:t>
            </w:r>
            <w:r w:rsidRPr="003B2786">
              <w:rPr>
                <w:rStyle w:val="Bodytext295pt"/>
                <w:rFonts w:ascii="Sylfaen" w:hAnsi="Sylfaen"/>
                <w:i/>
                <w:sz w:val="24"/>
                <w:szCs w:val="24"/>
              </w:rPr>
              <w:t>ել թեստը,</w:t>
            </w:r>
          </w:p>
          <w:p w14:paraId="2CAE53F4" w14:textId="77777777" w:rsidR="008C76E0" w:rsidRPr="008C76E0" w:rsidRDefault="008C76E0" w:rsidP="00390DAC">
            <w:pPr>
              <w:pStyle w:val="Bodytext90"/>
              <w:shd w:val="clear" w:color="auto" w:fill="auto"/>
              <w:spacing w:after="160" w:line="360" w:lineRule="auto"/>
              <w:ind w:firstLine="708"/>
              <w:rPr>
                <w:rFonts w:ascii="Sylfaen" w:hAnsi="Sylfaen"/>
                <w:sz w:val="24"/>
                <w:szCs w:val="24"/>
                <w:lang w:val="hy-AM"/>
              </w:rPr>
            </w:pPr>
            <w:r w:rsidRPr="008C76E0">
              <w:rPr>
                <w:rFonts w:ascii="Sylfaen" w:hAnsi="Sylfaen"/>
                <w:b w:val="0"/>
                <w:sz w:val="24"/>
                <w:szCs w:val="24"/>
                <w:lang w:val="hy-AM"/>
              </w:rPr>
              <w:t>արդյո՞ք հարցերին պատասխանելու համար ռեսպոնդենտներին տրված ժամանակը համապատասխան է: Որքա՞ն է տ</w:t>
            </w:r>
            <w:r w:rsidR="00C54D75">
              <w:rPr>
                <w:rFonts w:ascii="Sylfaen" w:hAnsi="Sylfaen"/>
                <w:b w:val="0"/>
                <w:sz w:val="24"/>
                <w:szCs w:val="24"/>
                <w:lang w:val="hy-AM"/>
              </w:rPr>
              <w:t>և</w:t>
            </w:r>
            <w:r w:rsidRPr="008C76E0">
              <w:rPr>
                <w:rFonts w:ascii="Sylfaen" w:hAnsi="Sylfaen"/>
                <w:b w:val="0"/>
                <w:sz w:val="24"/>
                <w:szCs w:val="24"/>
                <w:lang w:val="hy-AM"/>
              </w:rPr>
              <w:t>ել հարցազրույցը: [Մասնակիցներին հոգնեցնելուց խուսափելու համար անհրաժեշտ է թեստը մշակել այնպես, որ նրա տ</w:t>
            </w:r>
            <w:r w:rsidR="00C54D75">
              <w:rPr>
                <w:rFonts w:ascii="Sylfaen" w:hAnsi="Sylfaen"/>
                <w:b w:val="0"/>
                <w:sz w:val="24"/>
                <w:szCs w:val="24"/>
                <w:lang w:val="hy-AM"/>
              </w:rPr>
              <w:t>և</w:t>
            </w:r>
            <w:r w:rsidRPr="008C76E0">
              <w:rPr>
                <w:rFonts w:ascii="Sylfaen" w:hAnsi="Sylfaen"/>
                <w:b w:val="0"/>
                <w:sz w:val="24"/>
                <w:szCs w:val="24"/>
                <w:lang w:val="hy-AM"/>
              </w:rPr>
              <w:t>ողությունը չգերազանցի 45 րոպեն:]</w:t>
            </w:r>
          </w:p>
        </w:tc>
      </w:tr>
    </w:tbl>
    <w:p w14:paraId="062BB669" w14:textId="77777777" w:rsidR="008C76E0" w:rsidRPr="003B2786" w:rsidRDefault="008C76E0" w:rsidP="00390DAC">
      <w:pPr>
        <w:tabs>
          <w:tab w:val="left" w:pos="1134"/>
          <w:tab w:val="left" w:pos="4906"/>
        </w:tabs>
        <w:spacing w:after="160" w:line="360" w:lineRule="auto"/>
        <w:ind w:right="-1" w:firstLine="567"/>
        <w:jc w:val="both"/>
        <w:outlineLvl w:val="0"/>
        <w:rPr>
          <w:rFonts w:ascii="Sylfaen" w:hAnsi="Sylfaen"/>
          <w:sz w:val="24"/>
          <w:szCs w:val="24"/>
        </w:rPr>
      </w:pPr>
      <w:r w:rsidRPr="003B2786">
        <w:rPr>
          <w:rFonts w:ascii="Sylfaen" w:hAnsi="Sylfaen"/>
          <w:sz w:val="24"/>
          <w:szCs w:val="24"/>
        </w:rPr>
        <w:t>1.4.</w:t>
      </w:r>
      <w:r w:rsidRPr="003B2786">
        <w:rPr>
          <w:rFonts w:ascii="Sylfaen" w:hAnsi="Sylfaen"/>
          <w:sz w:val="24"/>
          <w:szCs w:val="24"/>
        </w:rPr>
        <w:tab/>
        <w:t>Պրոցեդուրային ասպեկտները</w:t>
      </w:r>
      <w:r>
        <w:rPr>
          <w:rFonts w:ascii="Sylfaen" w:hAnsi="Sylfaen"/>
          <w:sz w:val="24"/>
          <w:szCs w:val="24"/>
        </w:rPr>
        <w:tab/>
      </w:r>
    </w:p>
    <w:p w14:paraId="5601A11A" w14:textId="77777777" w:rsidR="008C76E0" w:rsidRPr="003B2786" w:rsidRDefault="008C76E0" w:rsidP="00390DAC">
      <w:pPr>
        <w:tabs>
          <w:tab w:val="left" w:pos="1134"/>
        </w:tabs>
        <w:spacing w:after="160" w:line="360" w:lineRule="auto"/>
        <w:ind w:right="-1" w:firstLine="567"/>
        <w:jc w:val="both"/>
        <w:rPr>
          <w:rFonts w:ascii="Sylfaen" w:hAnsi="Sylfaen"/>
          <w:spacing w:val="-8"/>
          <w:sz w:val="24"/>
          <w:szCs w:val="24"/>
        </w:rPr>
      </w:pPr>
      <w:r w:rsidRPr="003B2786">
        <w:rPr>
          <w:rFonts w:ascii="Sylfaen" w:hAnsi="Sylfaen"/>
          <w:spacing w:val="-8"/>
          <w:sz w:val="24"/>
          <w:szCs w:val="24"/>
        </w:rPr>
        <w:t>Թեստավորման փուլերը, ներառյալ՝ փորձնական փուլը</w:t>
      </w:r>
      <w:r>
        <w:rPr>
          <w:rFonts w:ascii="Sylfaen" w:hAnsi="Sylfaen"/>
          <w:spacing w:val="-8"/>
          <w:sz w:val="24"/>
          <w:szCs w:val="24"/>
        </w:rPr>
        <w:t xml:space="preserve"> _______</w:t>
      </w:r>
      <w:r w:rsidRPr="003B2786">
        <w:rPr>
          <w:rFonts w:ascii="Sylfaen" w:hAnsi="Sylfaen"/>
          <w:spacing w:val="-8"/>
          <w:sz w:val="24"/>
          <w:szCs w:val="24"/>
        </w:rPr>
        <w:t>_______________</w:t>
      </w:r>
    </w:p>
    <w:p w14:paraId="178E3CD0" w14:textId="77777777" w:rsidR="008C76E0" w:rsidRPr="003B2786" w:rsidRDefault="008C76E0" w:rsidP="00390DAC">
      <w:pPr>
        <w:spacing w:after="160" w:line="360" w:lineRule="auto"/>
        <w:ind w:right="-1" w:firstLine="567"/>
        <w:jc w:val="both"/>
        <w:rPr>
          <w:rFonts w:ascii="Sylfaen" w:hAnsi="Sylfaen"/>
          <w:spacing w:val="-8"/>
          <w:sz w:val="24"/>
          <w:szCs w:val="24"/>
        </w:rPr>
      </w:pPr>
      <w:r w:rsidRPr="003B2786">
        <w:rPr>
          <w:rFonts w:ascii="Sylfaen" w:hAnsi="Sylfaen"/>
          <w:spacing w:val="-8"/>
          <w:sz w:val="24"/>
          <w:szCs w:val="24"/>
        </w:rPr>
        <w:t>Մեկնաբանություններ (լրացուցիչ տեղեկատվություն</w:t>
      </w:r>
      <w:r>
        <w:rPr>
          <w:rFonts w:ascii="Sylfaen" w:hAnsi="Sylfaen"/>
          <w:spacing w:val="-8"/>
          <w:sz w:val="24"/>
          <w:szCs w:val="24"/>
        </w:rPr>
        <w:t>) _</w:t>
      </w:r>
      <w:r w:rsidRPr="003B2786">
        <w:rPr>
          <w:rFonts w:ascii="Sylfaen" w:hAnsi="Sylfaen"/>
          <w:spacing w:val="-8"/>
          <w:sz w:val="24"/>
          <w:szCs w:val="24"/>
        </w:rPr>
        <w:t>____________________</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8C76E0" w:rsidRPr="003B2786" w14:paraId="102360DC" w14:textId="77777777" w:rsidTr="005C0EAA">
        <w:tc>
          <w:tcPr>
            <w:tcW w:w="9286" w:type="dxa"/>
          </w:tcPr>
          <w:p w14:paraId="46BFAD49" w14:textId="77777777" w:rsidR="008C76E0" w:rsidRPr="003B2786" w:rsidRDefault="008C76E0" w:rsidP="00390DAC">
            <w:pPr>
              <w:pStyle w:val="Bodytext90"/>
              <w:shd w:val="clear" w:color="auto" w:fill="auto"/>
              <w:spacing w:after="160" w:line="360" w:lineRule="auto"/>
              <w:jc w:val="center"/>
              <w:rPr>
                <w:rStyle w:val="Bodytext295pt"/>
                <w:rFonts w:ascii="Sylfaen" w:hAnsi="Sylfaen"/>
                <w:sz w:val="24"/>
                <w:szCs w:val="24"/>
              </w:rPr>
            </w:pPr>
            <w:r w:rsidRPr="003B2786">
              <w:rPr>
                <w:rStyle w:val="Bodytext295pt"/>
                <w:rFonts w:ascii="Sylfaen" w:hAnsi="Sylfaen"/>
                <w:sz w:val="24"/>
                <w:szCs w:val="24"/>
              </w:rPr>
              <w:t>Պրոցեդուրային ասպեկտների հետ կապված կանոնները</w:t>
            </w:r>
          </w:p>
          <w:p w14:paraId="4267AC6D" w14:textId="77777777" w:rsidR="008C76E0" w:rsidRPr="003B2786" w:rsidRDefault="008C76E0" w:rsidP="00390DAC">
            <w:pPr>
              <w:pStyle w:val="Bodytext90"/>
              <w:shd w:val="clear" w:color="auto" w:fill="auto"/>
              <w:spacing w:after="160" w:line="360" w:lineRule="auto"/>
              <w:ind w:firstLine="567"/>
              <w:rPr>
                <w:rStyle w:val="Bodytext295pt"/>
                <w:rFonts w:ascii="Sylfaen" w:hAnsi="Sylfaen"/>
                <w:sz w:val="24"/>
                <w:szCs w:val="24"/>
              </w:rPr>
            </w:pPr>
            <w:r w:rsidRPr="003B2786">
              <w:rPr>
                <w:rStyle w:val="Bodytext295pt"/>
                <w:rFonts w:ascii="Sylfaen" w:hAnsi="Sylfaen"/>
                <w:sz w:val="24"/>
                <w:szCs w:val="24"/>
              </w:rPr>
              <w:t>Պրոցեդուրային ասպեկտները գնահատելիս անհրաժեշտ է հաշվի առնել հետ</w:t>
            </w:r>
            <w:r w:rsidR="00C54D75">
              <w:rPr>
                <w:rStyle w:val="Bodytext295pt"/>
                <w:rFonts w:ascii="Sylfaen" w:hAnsi="Sylfaen"/>
                <w:sz w:val="24"/>
                <w:szCs w:val="24"/>
              </w:rPr>
              <w:t>և</w:t>
            </w:r>
            <w:r w:rsidRPr="003B2786">
              <w:rPr>
                <w:rStyle w:val="Bodytext295pt"/>
                <w:rFonts w:ascii="Sylfaen" w:hAnsi="Sylfaen"/>
                <w:sz w:val="24"/>
                <w:szCs w:val="24"/>
              </w:rPr>
              <w:t xml:space="preserve">յալ </w:t>
            </w:r>
            <w:r w:rsidRPr="003B2786">
              <w:rPr>
                <w:rStyle w:val="Bodytext295pt"/>
                <w:rFonts w:ascii="Sylfaen" w:hAnsi="Sylfaen"/>
                <w:sz w:val="24"/>
                <w:szCs w:val="24"/>
              </w:rPr>
              <w:lastRenderedPageBreak/>
              <w:t xml:space="preserve">հանգամանքները. </w:t>
            </w:r>
          </w:p>
          <w:p w14:paraId="1E4EA273"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արդյո՞ք թեստը բաղկացած է տարբեր փուլերից: (Անհրաժեշտ է նվազագույնը երկու փուլ՝ յուրաքանչյուրում 10 անձի մասնակցությամբ, քանի որ սա ինտերակտիվ գործընթաց է, հաջողության հասնելու չափանիշները կատարելու համար հնարավոր է պահանջվի անցկացնել ավելի շատ փուլեր, նախապես կարելի է անցկացնել փորձնական թեստ (3-6 անձի մասնակցությամբ)՝ համոզվելու համար, որ հարցերը հասկանալի են, </w:t>
            </w:r>
            <w:r w:rsidR="00C54D75">
              <w:rPr>
                <w:rFonts w:ascii="Sylfaen" w:hAnsi="Sylfaen"/>
                <w:b w:val="0"/>
                <w:sz w:val="24"/>
                <w:szCs w:val="24"/>
                <w:lang w:val="hy-AM"/>
              </w:rPr>
              <w:t>և</w:t>
            </w:r>
            <w:r w:rsidRPr="008C76E0">
              <w:rPr>
                <w:rFonts w:ascii="Sylfaen" w:hAnsi="Sylfaen"/>
                <w:b w:val="0"/>
                <w:sz w:val="24"/>
                <w:szCs w:val="24"/>
                <w:lang w:val="hy-AM"/>
              </w:rPr>
              <w:t xml:space="preserve"> մինչ</w:t>
            </w:r>
            <w:r w:rsidR="00C54D75">
              <w:rPr>
                <w:rFonts w:ascii="Sylfaen" w:hAnsi="Sylfaen"/>
                <w:b w:val="0"/>
                <w:sz w:val="24"/>
                <w:szCs w:val="24"/>
                <w:lang w:val="hy-AM"/>
              </w:rPr>
              <w:t>և</w:t>
            </w:r>
            <w:r w:rsidRPr="008C76E0">
              <w:rPr>
                <w:rFonts w:ascii="Sylfaen" w:hAnsi="Sylfaen"/>
                <w:b w:val="0"/>
                <w:sz w:val="24"/>
                <w:szCs w:val="24"/>
                <w:lang w:val="hy-AM"/>
              </w:rPr>
              <w:t xml:space="preserve"> թեստավորման սկիզբը վերացվել են հիմնական անհամապատասխանությունները: ԲԿՈՒ-ում (ՆԹ-ում) փոփոխություններ կատարելուց հետո անհրաժեշտ է փորձարկել 10 անձի մասնակցությամբ: Սակայն առանձին դեպքերում թեստավորման մեկ փուլը նույնպես կարող է համարվել բավարար </w:t>
            </w:r>
            <w:r w:rsidR="00C54D75">
              <w:rPr>
                <w:rFonts w:ascii="Sylfaen" w:hAnsi="Sylfaen"/>
                <w:b w:val="0"/>
                <w:sz w:val="24"/>
                <w:szCs w:val="24"/>
                <w:lang w:val="hy-AM"/>
              </w:rPr>
              <w:t>և</w:t>
            </w:r>
            <w:r w:rsidRPr="008C76E0">
              <w:rPr>
                <w:rFonts w:ascii="Sylfaen" w:hAnsi="Sylfaen"/>
                <w:b w:val="0"/>
                <w:sz w:val="24"/>
                <w:szCs w:val="24"/>
                <w:lang w:val="hy-AM"/>
              </w:rPr>
              <w:t xml:space="preserve"> ընդունելի):</w:t>
            </w:r>
          </w:p>
          <w:p w14:paraId="49BAC8E1" w14:textId="77777777" w:rsidR="008C76E0" w:rsidRPr="008C76E0" w:rsidRDefault="008C76E0" w:rsidP="00390DAC">
            <w:pPr>
              <w:pStyle w:val="Bodytext80"/>
              <w:shd w:val="clear" w:color="auto" w:fill="auto"/>
              <w:spacing w:before="0" w:after="160" w:line="360" w:lineRule="auto"/>
              <w:ind w:firstLine="567"/>
              <w:jc w:val="both"/>
              <w:rPr>
                <w:rFonts w:ascii="Sylfaen" w:hAnsi="Sylfaen"/>
                <w:b w:val="0"/>
                <w:sz w:val="24"/>
                <w:szCs w:val="24"/>
                <w:u w:val="single"/>
                <w:lang w:val="hy-AM"/>
              </w:rPr>
            </w:pPr>
            <w:r w:rsidRPr="008C76E0">
              <w:rPr>
                <w:rFonts w:ascii="Sylfaen" w:hAnsi="Sylfaen"/>
                <w:b w:val="0"/>
                <w:sz w:val="24"/>
                <w:szCs w:val="24"/>
                <w:u w:val="single"/>
                <w:lang w:val="hy-AM"/>
              </w:rPr>
              <w:t xml:space="preserve">Վերը նկարագրված մեթոդի համար թեստավորման բավարար արդյունք է այն իրավիճակը, երբ գրագետ չափահաս մարդկանց 90 </w:t>
            </w:r>
            <w:r w:rsidRPr="003B2786">
              <w:rPr>
                <w:rStyle w:val="Bodytext295pt"/>
                <w:rFonts w:ascii="Sylfaen" w:hAnsi="Sylfaen"/>
                <w:sz w:val="24"/>
                <w:szCs w:val="24"/>
                <w:u w:val="single"/>
              </w:rPr>
              <w:t>%-ը</w:t>
            </w:r>
            <w:r w:rsidRPr="008C76E0">
              <w:rPr>
                <w:rFonts w:ascii="Sylfaen" w:hAnsi="Sylfaen"/>
                <w:b w:val="0"/>
                <w:sz w:val="24"/>
                <w:szCs w:val="24"/>
                <w:u w:val="single"/>
                <w:lang w:val="hy-AM"/>
              </w:rPr>
              <w:t xml:space="preserve"> կարող են ԲԿՈՒ-ում (ՆԹ-ում) գտնել պահանջված տեղեկատվությունը, ընդ որում, նրանց 90 </w:t>
            </w:r>
            <w:r w:rsidRPr="003B2786">
              <w:rPr>
                <w:rStyle w:val="Bodytext295pt"/>
                <w:rFonts w:ascii="Sylfaen" w:hAnsi="Sylfaen"/>
                <w:sz w:val="24"/>
                <w:szCs w:val="24"/>
                <w:u w:val="single"/>
              </w:rPr>
              <w:t>%-ը</w:t>
            </w:r>
            <w:r w:rsidRPr="008C76E0">
              <w:rPr>
                <w:rFonts w:ascii="Sylfaen" w:hAnsi="Sylfaen"/>
                <w:b w:val="0"/>
                <w:sz w:val="24"/>
                <w:szCs w:val="24"/>
                <w:u w:val="single"/>
                <w:lang w:val="hy-AM"/>
              </w:rPr>
              <w:t xml:space="preserve">  կարող է ցուցաբերել այդ տեղեկատվությունը հասկանալու կարողություն, այսինքն՝ մասնակիցների առնվազն 81 %-ը յուրաքանչյուր հարցին տալիս է ճիշտ պատասխան.</w:t>
            </w:r>
          </w:p>
          <w:p w14:paraId="1DB934EF"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առավելագույն մակարդակի ընթեռնելիություն ապահովելու համար թեստավորման փուլերի միջ</w:t>
            </w:r>
            <w:r w:rsidR="00C54D75">
              <w:rPr>
                <w:rFonts w:ascii="Sylfaen" w:hAnsi="Sylfaen"/>
                <w:b w:val="0"/>
                <w:sz w:val="24"/>
                <w:szCs w:val="24"/>
                <w:lang w:val="hy-AM"/>
              </w:rPr>
              <w:t>և</w:t>
            </w:r>
            <w:r w:rsidRPr="008C76E0">
              <w:rPr>
                <w:rFonts w:ascii="Sylfaen" w:hAnsi="Sylfaen"/>
                <w:b w:val="0"/>
                <w:sz w:val="24"/>
                <w:szCs w:val="24"/>
                <w:lang w:val="hy-AM"/>
              </w:rPr>
              <w:t xml:space="preserve"> ընկած ժամանակահատվածում արդյո՞ք օգտագործվում են փոփոխություններ կատարելու փուլեր.</w:t>
            </w:r>
          </w:p>
          <w:p w14:paraId="65307C74"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հարցազրուցավարներն արդյո՞ք օգտագործում են սցենարներ կամ անմիջական ցուցադրություն (օրինակ՝ թեստավորման արդյունավետությունը բարձրացնելու համար՝ նպատակահարմար լինելու դեպքում):</w:t>
            </w:r>
          </w:p>
        </w:tc>
      </w:tr>
    </w:tbl>
    <w:p w14:paraId="38478EEC"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52" w:type="dxa"/>
        <w:jc w:val="center"/>
        <w:tblLayout w:type="fixed"/>
        <w:tblCellMar>
          <w:left w:w="10" w:type="dxa"/>
          <w:right w:w="10" w:type="dxa"/>
        </w:tblCellMar>
        <w:tblLook w:val="04A0" w:firstRow="1" w:lastRow="0" w:firstColumn="1" w:lastColumn="0" w:noHBand="0" w:noVBand="1"/>
      </w:tblPr>
      <w:tblGrid>
        <w:gridCol w:w="7930"/>
        <w:gridCol w:w="1622"/>
      </w:tblGrid>
      <w:tr w:rsidR="008C76E0" w:rsidRPr="003B2786" w14:paraId="15F2BED3" w14:textId="77777777" w:rsidTr="008C76E0">
        <w:trPr>
          <w:jc w:val="center"/>
        </w:trPr>
        <w:tc>
          <w:tcPr>
            <w:tcW w:w="9552" w:type="dxa"/>
            <w:gridSpan w:val="2"/>
            <w:shd w:val="clear" w:color="auto" w:fill="FFFFFF"/>
          </w:tcPr>
          <w:p w14:paraId="2C42B3A6" w14:textId="77777777" w:rsidR="008C76E0" w:rsidRPr="003B2786"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rPr>
            </w:pPr>
            <w:r w:rsidRPr="003B2786">
              <w:rPr>
                <w:rStyle w:val="Bodytext295pt"/>
                <w:rFonts w:ascii="Sylfaen" w:hAnsi="Sylfaen"/>
                <w:sz w:val="24"/>
                <w:szCs w:val="24"/>
              </w:rPr>
              <w:t>1.5.</w:t>
            </w:r>
            <w:r w:rsidRPr="003B2786">
              <w:rPr>
                <w:rStyle w:val="Bodytext295pt"/>
                <w:rFonts w:ascii="Sylfaen" w:hAnsi="Sylfaen"/>
                <w:sz w:val="24"/>
                <w:szCs w:val="24"/>
              </w:rPr>
              <w:tab/>
              <w:t>Հարցազրույցի ասպեկտները</w:t>
            </w:r>
          </w:p>
        </w:tc>
      </w:tr>
      <w:tr w:rsidR="008C76E0" w:rsidRPr="003B2786" w14:paraId="72113309" w14:textId="77777777" w:rsidTr="008C76E0">
        <w:trPr>
          <w:trHeight w:val="1419"/>
          <w:jc w:val="center"/>
        </w:trPr>
        <w:tc>
          <w:tcPr>
            <w:tcW w:w="7930" w:type="dxa"/>
            <w:shd w:val="clear" w:color="auto" w:fill="FFFFFF"/>
            <w:vAlign w:val="center"/>
          </w:tcPr>
          <w:p w14:paraId="1C8F5E20" w14:textId="77777777" w:rsidR="008C76E0" w:rsidRPr="008C76E0"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lang w:val="hy-AM"/>
              </w:rPr>
            </w:pPr>
            <w:r w:rsidRPr="003B2786">
              <w:rPr>
                <w:rStyle w:val="Bodytext295pt"/>
                <w:rFonts w:ascii="Sylfaen" w:hAnsi="Sylfaen"/>
                <w:sz w:val="24"/>
                <w:szCs w:val="24"/>
              </w:rPr>
              <w:lastRenderedPageBreak/>
              <w:t>Արդյո՞ք հարցազրույցն անցկացվել է կառուցվածքավորված եղանակով (կազմակերպված):</w:t>
            </w:r>
          </w:p>
        </w:tc>
        <w:tc>
          <w:tcPr>
            <w:tcW w:w="1622" w:type="dxa"/>
            <w:shd w:val="clear" w:color="auto" w:fill="FFFFFF"/>
            <w:vAlign w:val="center"/>
          </w:tcPr>
          <w:p w14:paraId="431AB150" w14:textId="77777777" w:rsidR="008C76E0" w:rsidRPr="003B2786"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5CB3D628" w14:textId="77777777" w:rsidTr="008C76E0">
        <w:trPr>
          <w:jc w:val="center"/>
        </w:trPr>
        <w:tc>
          <w:tcPr>
            <w:tcW w:w="9552" w:type="dxa"/>
            <w:gridSpan w:val="2"/>
            <w:shd w:val="clear" w:color="auto" w:fill="FFFFFF"/>
            <w:vAlign w:val="center"/>
          </w:tcPr>
          <w:p w14:paraId="18DFCC78" w14:textId="77777777" w:rsidR="008C76E0" w:rsidRPr="003B2786" w:rsidRDefault="008C76E0" w:rsidP="00390DAC">
            <w:pPr>
              <w:pStyle w:val="Bodytext180"/>
              <w:shd w:val="clear" w:color="auto" w:fill="auto"/>
              <w:tabs>
                <w:tab w:val="left" w:pos="1113"/>
              </w:tabs>
              <w:spacing w:before="0" w:after="160" w:line="360" w:lineRule="auto"/>
              <w:ind w:left="77" w:right="62" w:firstLine="438"/>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w:t>
            </w:r>
            <w:r>
              <w:rPr>
                <w:rStyle w:val="Bodytext295pt"/>
                <w:rFonts w:ascii="Sylfaen" w:hAnsi="Sylfaen"/>
                <w:spacing w:val="-6"/>
                <w:sz w:val="24"/>
                <w:szCs w:val="24"/>
              </w:rPr>
              <w:t>եղեկատվություն) _________</w:t>
            </w:r>
            <w:r w:rsidRPr="003B2786">
              <w:rPr>
                <w:rStyle w:val="Bodytext295pt"/>
                <w:rFonts w:ascii="Sylfaen" w:hAnsi="Sylfaen"/>
                <w:spacing w:val="-6"/>
                <w:sz w:val="24"/>
                <w:szCs w:val="24"/>
              </w:rPr>
              <w:t>_______</w:t>
            </w:r>
            <w:r w:rsidRPr="003B2786">
              <w:rPr>
                <w:rStyle w:val="Bodytext295pt"/>
                <w:rFonts w:ascii="Sylfaen" w:hAnsi="Sylfaen"/>
                <w:spacing w:val="-6"/>
                <w:sz w:val="24"/>
                <w:szCs w:val="24"/>
                <w:lang w:val="en-US"/>
              </w:rPr>
              <w:t>__</w:t>
            </w:r>
            <w:r w:rsidRPr="003B2786">
              <w:rPr>
                <w:rStyle w:val="Bodytext295pt"/>
                <w:rFonts w:ascii="Sylfaen" w:hAnsi="Sylfaen"/>
                <w:spacing w:val="-6"/>
                <w:sz w:val="24"/>
                <w:szCs w:val="24"/>
              </w:rPr>
              <w:t>________</w:t>
            </w:r>
          </w:p>
        </w:tc>
      </w:tr>
      <w:tr w:rsidR="008C76E0" w:rsidRPr="003B2786" w14:paraId="404C4DF5" w14:textId="77777777" w:rsidTr="008C76E0">
        <w:trPr>
          <w:jc w:val="center"/>
        </w:trPr>
        <w:tc>
          <w:tcPr>
            <w:tcW w:w="9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A2BB011" w14:textId="77777777" w:rsidR="008C76E0" w:rsidRPr="003B2786" w:rsidRDefault="008C76E0" w:rsidP="00390DAC">
            <w:pPr>
              <w:pStyle w:val="Bodytext180"/>
              <w:shd w:val="clear" w:color="auto" w:fill="auto"/>
              <w:spacing w:before="0" w:after="160" w:line="360" w:lineRule="auto"/>
              <w:ind w:left="77" w:right="62" w:firstLine="0"/>
              <w:jc w:val="center"/>
              <w:rPr>
                <w:rStyle w:val="Bodytext1811pt"/>
                <w:rFonts w:ascii="Sylfaen" w:hAnsi="Sylfaen"/>
                <w:sz w:val="24"/>
                <w:szCs w:val="24"/>
              </w:rPr>
            </w:pPr>
            <w:r w:rsidRPr="003B2786">
              <w:rPr>
                <w:rStyle w:val="Bodytext1811pt"/>
                <w:rFonts w:ascii="Sylfaen" w:hAnsi="Sylfaen"/>
                <w:sz w:val="24"/>
                <w:szCs w:val="24"/>
              </w:rPr>
              <w:t>Հարցազրույցի ասպեկտների հետ կապված կանոնները</w:t>
            </w:r>
          </w:p>
          <w:p w14:paraId="790E7FD2" w14:textId="77777777" w:rsidR="008C76E0" w:rsidRPr="005C0EAA" w:rsidRDefault="008C76E0" w:rsidP="00390DAC">
            <w:pPr>
              <w:pStyle w:val="Bodytext180"/>
              <w:shd w:val="clear" w:color="auto" w:fill="auto"/>
              <w:spacing w:before="0" w:after="160" w:line="360" w:lineRule="auto"/>
              <w:ind w:left="79" w:right="62" w:firstLine="516"/>
              <w:jc w:val="both"/>
              <w:rPr>
                <w:rStyle w:val="Bodytext1811pt"/>
                <w:rFonts w:ascii="Sylfaen" w:hAnsi="Sylfaen"/>
                <w:sz w:val="24"/>
                <w:szCs w:val="24"/>
              </w:rPr>
            </w:pPr>
            <w:r w:rsidRPr="003B2786">
              <w:rPr>
                <w:rStyle w:val="Bodytext1811pt"/>
                <w:rFonts w:ascii="Sylfaen" w:hAnsi="Sylfaen"/>
                <w:sz w:val="24"/>
                <w:szCs w:val="24"/>
              </w:rPr>
              <w:t>Հարցազրույցի ասպեկտները գնահատելիս անհրաժեշտ է հաշվի առն</w:t>
            </w:r>
            <w:r w:rsidR="005C0EAA">
              <w:rPr>
                <w:rStyle w:val="Bodytext1811pt"/>
                <w:rFonts w:ascii="Sylfaen" w:hAnsi="Sylfaen"/>
                <w:sz w:val="24"/>
                <w:szCs w:val="24"/>
              </w:rPr>
              <w:t>ել հետ</w:t>
            </w:r>
            <w:r w:rsidR="00C54D75">
              <w:rPr>
                <w:rStyle w:val="Bodytext1811pt"/>
                <w:rFonts w:ascii="Sylfaen" w:hAnsi="Sylfaen"/>
                <w:sz w:val="24"/>
                <w:szCs w:val="24"/>
              </w:rPr>
              <w:t>և</w:t>
            </w:r>
            <w:r w:rsidR="005C0EAA">
              <w:rPr>
                <w:rStyle w:val="Bodytext1811pt"/>
                <w:rFonts w:ascii="Sylfaen" w:hAnsi="Sylfaen"/>
                <w:sz w:val="24"/>
                <w:szCs w:val="24"/>
              </w:rPr>
              <w:t>յալ հանգամանքները.</w:t>
            </w:r>
          </w:p>
          <w:p w14:paraId="3C4AA109" w14:textId="77777777" w:rsidR="008C76E0" w:rsidRPr="003B2786" w:rsidRDefault="008C76E0" w:rsidP="00390DAC">
            <w:pPr>
              <w:pStyle w:val="Bodytext180"/>
              <w:shd w:val="clear" w:color="auto" w:fill="auto"/>
              <w:spacing w:before="0" w:after="160" w:line="360" w:lineRule="auto"/>
              <w:ind w:left="79" w:right="62" w:firstLine="516"/>
              <w:jc w:val="both"/>
              <w:rPr>
                <w:rStyle w:val="Bodytext295pt"/>
                <w:rFonts w:ascii="Sylfaen" w:hAnsi="Sylfaen"/>
                <w:bCs/>
                <w:i/>
                <w:sz w:val="24"/>
                <w:szCs w:val="24"/>
              </w:rPr>
            </w:pPr>
            <w:r w:rsidRPr="003B2786">
              <w:rPr>
                <w:rStyle w:val="Bodytext295pt"/>
                <w:rFonts w:ascii="Sylfaen" w:hAnsi="Sylfaen"/>
                <w:i/>
                <w:sz w:val="24"/>
                <w:szCs w:val="24"/>
              </w:rPr>
              <w:t xml:space="preserve">թեստն անցկացնող անձին (անձանց) տրվել է (են) հստակ ցուցումներ (օրինակ՝ այն հանգամանքի հետ կապված, թե ինչպե՞ս սպառողների թեստավորումից ստանալ շատ տեղեկատվություն, արդյո՞ք թույլատրելի կամ անթույլատրելի է օգնություն ցուցաբերելը </w:t>
            </w:r>
            <w:r w:rsidR="00C54D75">
              <w:rPr>
                <w:rStyle w:val="Bodytext295pt"/>
                <w:rFonts w:ascii="Sylfaen" w:hAnsi="Sylfaen"/>
                <w:i/>
                <w:sz w:val="24"/>
                <w:szCs w:val="24"/>
              </w:rPr>
              <w:t>և</w:t>
            </w:r>
            <w:r w:rsidRPr="003B2786">
              <w:rPr>
                <w:rStyle w:val="Bodytext295pt"/>
                <w:rFonts w:ascii="Sylfaen" w:hAnsi="Sylfaen"/>
                <w:i/>
                <w:sz w:val="24"/>
                <w:szCs w:val="24"/>
              </w:rPr>
              <w:t xml:space="preserve"> այլն).</w:t>
            </w:r>
          </w:p>
          <w:p w14:paraId="1610B8F4" w14:textId="77777777" w:rsidR="008C76E0" w:rsidRPr="008C76E0" w:rsidRDefault="008C76E0" w:rsidP="00390DAC">
            <w:pPr>
              <w:pStyle w:val="Bodytext180"/>
              <w:shd w:val="clear" w:color="auto" w:fill="auto"/>
              <w:spacing w:before="0" w:after="160" w:line="360" w:lineRule="auto"/>
              <w:ind w:left="79" w:right="62" w:firstLine="516"/>
              <w:jc w:val="both"/>
              <w:rPr>
                <w:rFonts w:ascii="Sylfaen" w:hAnsi="Sylfaen"/>
                <w:i/>
                <w:sz w:val="24"/>
                <w:szCs w:val="24"/>
                <w:lang w:val="hy-AM"/>
              </w:rPr>
            </w:pPr>
            <w:r w:rsidRPr="003B2786">
              <w:rPr>
                <w:rStyle w:val="Bodytext295pt"/>
                <w:rFonts w:ascii="Sylfaen" w:hAnsi="Sylfaen"/>
                <w:i/>
                <w:sz w:val="24"/>
                <w:szCs w:val="24"/>
              </w:rPr>
              <w:t>արդյո՞ք հարցազրույց անցկացնող անձանց թույլատրվում է ռեսպոնդենտներին ցույց տալ, թե ներդիր թերթիկում որտեղ կարելի է գտնել բժշկական պատրաստուկի վերաբերյալ անհրաժեշտ տեղեկատվությունը.</w:t>
            </w:r>
          </w:p>
          <w:p w14:paraId="1A942496" w14:textId="77777777" w:rsidR="008C76E0" w:rsidRPr="008C76E0" w:rsidRDefault="008C76E0" w:rsidP="00390DAC">
            <w:pPr>
              <w:pStyle w:val="Bodytext180"/>
              <w:shd w:val="clear" w:color="auto" w:fill="auto"/>
              <w:spacing w:before="0" w:after="160" w:line="360" w:lineRule="auto"/>
              <w:ind w:left="79" w:right="62" w:firstLine="516"/>
              <w:jc w:val="both"/>
              <w:rPr>
                <w:rFonts w:ascii="Sylfaen" w:hAnsi="Sylfaen"/>
                <w:sz w:val="24"/>
                <w:szCs w:val="24"/>
                <w:lang w:val="hy-AM"/>
              </w:rPr>
            </w:pPr>
            <w:r w:rsidRPr="003B2786">
              <w:rPr>
                <w:rStyle w:val="Bodytext295pt"/>
                <w:rFonts w:ascii="Sylfaen" w:hAnsi="Sylfaen"/>
                <w:i/>
                <w:sz w:val="24"/>
                <w:szCs w:val="24"/>
              </w:rPr>
              <w:t>արդյո՞ք նրանք ռեսպոնդենտներին առաջարկում են պատասխանել իրենց բառերով՝ չապավինելով հիշողությանը:</w:t>
            </w:r>
          </w:p>
        </w:tc>
      </w:tr>
    </w:tbl>
    <w:p w14:paraId="4A578413"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60" w:type="dxa"/>
        <w:jc w:val="center"/>
        <w:tblLayout w:type="fixed"/>
        <w:tblCellMar>
          <w:left w:w="10" w:type="dxa"/>
          <w:right w:w="10" w:type="dxa"/>
        </w:tblCellMar>
        <w:tblLook w:val="04A0" w:firstRow="1" w:lastRow="0" w:firstColumn="1" w:lastColumn="0" w:noHBand="0" w:noVBand="1"/>
      </w:tblPr>
      <w:tblGrid>
        <w:gridCol w:w="7659"/>
        <w:gridCol w:w="1901"/>
      </w:tblGrid>
      <w:tr w:rsidR="008C76E0" w:rsidRPr="003B2786" w14:paraId="3A4E65E3" w14:textId="77777777" w:rsidTr="008C76E0">
        <w:trPr>
          <w:jc w:val="center"/>
        </w:trPr>
        <w:tc>
          <w:tcPr>
            <w:tcW w:w="9560" w:type="dxa"/>
            <w:gridSpan w:val="2"/>
            <w:shd w:val="clear" w:color="auto" w:fill="FFFFFF"/>
          </w:tcPr>
          <w:p w14:paraId="1A729F1A"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2.</w:t>
            </w:r>
            <w:r w:rsidRPr="003B2786">
              <w:rPr>
                <w:rStyle w:val="Bodytext295pt"/>
                <w:rFonts w:ascii="Sylfaen" w:hAnsi="Sylfaen"/>
                <w:sz w:val="24"/>
                <w:szCs w:val="24"/>
              </w:rPr>
              <w:tab/>
              <w:t>Պատասխանների գնահատումը</w:t>
            </w:r>
          </w:p>
        </w:tc>
      </w:tr>
      <w:tr w:rsidR="008C76E0" w:rsidRPr="003B2786" w14:paraId="72E0F8A0" w14:textId="77777777" w:rsidTr="008C76E0">
        <w:trPr>
          <w:jc w:val="center"/>
        </w:trPr>
        <w:tc>
          <w:tcPr>
            <w:tcW w:w="9560" w:type="dxa"/>
            <w:gridSpan w:val="2"/>
            <w:shd w:val="clear" w:color="auto" w:fill="FFFFFF"/>
            <w:vAlign w:val="center"/>
          </w:tcPr>
          <w:p w14:paraId="6CA78D34"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2.1</w:t>
            </w:r>
            <w:r w:rsidRPr="003B2786">
              <w:rPr>
                <w:rStyle w:val="Bodytext295pt"/>
                <w:rFonts w:ascii="Sylfaen" w:hAnsi="Sylfaen"/>
                <w:sz w:val="24"/>
                <w:szCs w:val="24"/>
                <w:lang w:val="en-US"/>
              </w:rPr>
              <w:t>.</w:t>
            </w:r>
            <w:r w:rsidRPr="003B2786">
              <w:rPr>
                <w:rStyle w:val="Bodytext295pt"/>
                <w:rFonts w:ascii="Sylfaen" w:hAnsi="Sylfaen"/>
                <w:sz w:val="24"/>
                <w:szCs w:val="24"/>
                <w:lang w:val="en-US"/>
              </w:rPr>
              <w:tab/>
            </w:r>
            <w:r w:rsidRPr="003B2786">
              <w:rPr>
                <w:rStyle w:val="Bodytext295pt"/>
                <w:rFonts w:ascii="Sylfaen" w:hAnsi="Sylfaen"/>
                <w:sz w:val="24"/>
                <w:szCs w:val="24"/>
              </w:rPr>
              <w:t>Գնահատման համակարգը</w:t>
            </w:r>
          </w:p>
        </w:tc>
      </w:tr>
      <w:tr w:rsidR="008C76E0" w:rsidRPr="003B2786" w14:paraId="4380D4B3" w14:textId="77777777" w:rsidTr="008C76E0">
        <w:trPr>
          <w:jc w:val="center"/>
        </w:trPr>
        <w:tc>
          <w:tcPr>
            <w:tcW w:w="7659" w:type="dxa"/>
            <w:shd w:val="clear" w:color="auto" w:fill="FFFFFF"/>
            <w:vAlign w:val="bottom"/>
          </w:tcPr>
          <w:p w14:paraId="3BAF1254" w14:textId="77777777" w:rsidR="008C76E0" w:rsidRPr="008C76E0"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lang w:val="hy-AM"/>
              </w:rPr>
            </w:pPr>
            <w:r w:rsidRPr="003B2786">
              <w:rPr>
                <w:rStyle w:val="Bodytext295pt"/>
                <w:rFonts w:ascii="Sylfaen" w:hAnsi="Sylfaen"/>
                <w:sz w:val="24"/>
                <w:szCs w:val="24"/>
              </w:rPr>
              <w:t>Արդյո՞ք որակական գնահատումն ընդունելի է:</w:t>
            </w:r>
          </w:p>
        </w:tc>
        <w:tc>
          <w:tcPr>
            <w:tcW w:w="1901" w:type="dxa"/>
            <w:shd w:val="clear" w:color="auto" w:fill="FFFFFF"/>
            <w:vAlign w:val="bottom"/>
          </w:tcPr>
          <w:p w14:paraId="465EF243"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7F9E7423" w14:textId="77777777" w:rsidTr="008C76E0">
        <w:trPr>
          <w:jc w:val="center"/>
        </w:trPr>
        <w:tc>
          <w:tcPr>
            <w:tcW w:w="7659" w:type="dxa"/>
            <w:shd w:val="clear" w:color="auto" w:fill="FFFFFF"/>
          </w:tcPr>
          <w:p w14:paraId="406CA122" w14:textId="77777777" w:rsidR="008C76E0" w:rsidRPr="008C76E0"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lang w:val="hy-AM"/>
              </w:rPr>
            </w:pPr>
            <w:r w:rsidRPr="003B2786">
              <w:rPr>
                <w:rStyle w:val="Bodytext295pt"/>
                <w:rFonts w:ascii="Sylfaen" w:hAnsi="Sylfaen"/>
                <w:sz w:val="24"/>
                <w:szCs w:val="24"/>
              </w:rPr>
              <w:t>Արդյո՞ք գնահատման մեթոդաբանությունը համապատասխանում է նվազագույն պահանջներին:</w:t>
            </w:r>
          </w:p>
        </w:tc>
        <w:tc>
          <w:tcPr>
            <w:tcW w:w="1901" w:type="dxa"/>
            <w:shd w:val="clear" w:color="auto" w:fill="FFFFFF"/>
          </w:tcPr>
          <w:p w14:paraId="226E617B"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5F095A99" w14:textId="77777777" w:rsidTr="008C76E0">
        <w:trPr>
          <w:jc w:val="center"/>
        </w:trPr>
        <w:tc>
          <w:tcPr>
            <w:tcW w:w="9560" w:type="dxa"/>
            <w:gridSpan w:val="2"/>
            <w:shd w:val="clear" w:color="auto" w:fill="FFFFFF"/>
          </w:tcPr>
          <w:p w14:paraId="7CDA555A"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pacing w:val="-8"/>
                <w:sz w:val="24"/>
                <w:szCs w:val="24"/>
              </w:rPr>
            </w:pPr>
            <w:r w:rsidRPr="003B2786">
              <w:rPr>
                <w:rStyle w:val="Bodytext295pt"/>
                <w:rFonts w:ascii="Sylfaen" w:hAnsi="Sylfaen"/>
                <w:spacing w:val="-8"/>
                <w:sz w:val="24"/>
                <w:szCs w:val="24"/>
              </w:rPr>
              <w:t>Մեկնաբանություններ (լրացուցիչ տեղեկ</w:t>
            </w:r>
            <w:r>
              <w:rPr>
                <w:rStyle w:val="Bodytext295pt"/>
                <w:rFonts w:ascii="Sylfaen" w:hAnsi="Sylfaen"/>
                <w:spacing w:val="-8"/>
                <w:sz w:val="24"/>
                <w:szCs w:val="24"/>
              </w:rPr>
              <w:t>ատվություն) __________</w:t>
            </w:r>
            <w:r w:rsidRPr="003B2786">
              <w:rPr>
                <w:rStyle w:val="Bodytext295pt"/>
                <w:rFonts w:ascii="Sylfaen" w:hAnsi="Sylfaen"/>
                <w:spacing w:val="-8"/>
                <w:sz w:val="24"/>
                <w:szCs w:val="24"/>
              </w:rPr>
              <w:t>______________</w:t>
            </w:r>
          </w:p>
        </w:tc>
      </w:tr>
    </w:tbl>
    <w:p w14:paraId="04E597FF"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627"/>
        <w:gridCol w:w="1939"/>
      </w:tblGrid>
      <w:tr w:rsidR="008C76E0" w:rsidRPr="003B2786" w14:paraId="07CFC1C5" w14:textId="77777777" w:rsidTr="008C76E0">
        <w:trPr>
          <w:trHeight w:val="5057"/>
          <w:jc w:val="center"/>
        </w:trPr>
        <w:tc>
          <w:tcPr>
            <w:tcW w:w="9566" w:type="dxa"/>
            <w:gridSpan w:val="2"/>
            <w:tcBorders>
              <w:top w:val="single" w:sz="4" w:space="0" w:color="auto"/>
              <w:left w:val="single" w:sz="4" w:space="0" w:color="auto"/>
              <w:right w:val="single" w:sz="4" w:space="0" w:color="auto"/>
            </w:tcBorders>
            <w:shd w:val="clear" w:color="auto" w:fill="FFFFFF"/>
            <w:vAlign w:val="center"/>
          </w:tcPr>
          <w:p w14:paraId="7704C123" w14:textId="77777777" w:rsidR="008C76E0" w:rsidRPr="003B2786" w:rsidRDefault="008C76E0" w:rsidP="00390DAC">
            <w:pPr>
              <w:pStyle w:val="Bodytext180"/>
              <w:shd w:val="clear" w:color="auto" w:fill="auto"/>
              <w:spacing w:before="0" w:after="160" w:line="360" w:lineRule="auto"/>
              <w:ind w:right="27" w:firstLine="0"/>
              <w:jc w:val="center"/>
              <w:rPr>
                <w:rStyle w:val="Bodytext1811pt"/>
                <w:rFonts w:ascii="Sylfaen" w:hAnsi="Sylfaen"/>
                <w:sz w:val="24"/>
                <w:szCs w:val="24"/>
              </w:rPr>
            </w:pPr>
            <w:r w:rsidRPr="003B2786">
              <w:rPr>
                <w:rStyle w:val="Bodytext1811pt"/>
                <w:rFonts w:ascii="Sylfaen" w:hAnsi="Sylfaen"/>
                <w:sz w:val="24"/>
                <w:szCs w:val="24"/>
              </w:rPr>
              <w:lastRenderedPageBreak/>
              <w:t>Գնահատման համակարգի հետ կապված կանոնները</w:t>
            </w:r>
          </w:p>
          <w:p w14:paraId="0C726211" w14:textId="77777777" w:rsidR="008C76E0" w:rsidRPr="008C76E0" w:rsidRDefault="008C76E0" w:rsidP="00390DAC">
            <w:pPr>
              <w:pStyle w:val="Bodytext180"/>
              <w:shd w:val="clear" w:color="auto" w:fill="auto"/>
              <w:spacing w:before="0" w:after="160" w:line="360" w:lineRule="auto"/>
              <w:ind w:right="27" w:firstLine="522"/>
              <w:rPr>
                <w:rFonts w:ascii="Sylfaen" w:hAnsi="Sylfaen"/>
                <w:b w:val="0"/>
                <w:sz w:val="24"/>
                <w:szCs w:val="24"/>
                <w:lang w:val="hy-AM"/>
              </w:rPr>
            </w:pPr>
            <w:r w:rsidRPr="003B2786">
              <w:rPr>
                <w:rStyle w:val="Bodytext1811pt"/>
                <w:rFonts w:ascii="Sylfaen" w:hAnsi="Sylfaen"/>
                <w:sz w:val="24"/>
                <w:szCs w:val="24"/>
              </w:rPr>
              <w:t>Գնահատման համակարգը վերլուծելիս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1B28CD84" w14:textId="77777777" w:rsidR="008C76E0" w:rsidRPr="008C76E0" w:rsidRDefault="002E713A"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008C76E0" w:rsidRPr="003B2786">
              <w:rPr>
                <w:rStyle w:val="Bodytext1811pt"/>
                <w:rFonts w:ascii="Sylfaen" w:hAnsi="Sylfaen"/>
                <w:i/>
                <w:sz w:val="24"/>
                <w:szCs w:val="24"/>
              </w:rPr>
              <w:tab/>
            </w:r>
            <w:r w:rsidR="008C76E0" w:rsidRPr="003B2786">
              <w:rPr>
                <w:rStyle w:val="Bodytext295pt"/>
                <w:rFonts w:ascii="Sylfaen" w:hAnsi="Sylfaen"/>
                <w:i/>
                <w:sz w:val="24"/>
                <w:szCs w:val="24"/>
              </w:rPr>
              <w:t>գնահատումը հիմնված է 3 հիմնական ոլորտները ներառող ստուգաթերթի վրա. ռեսպոնդենտները կարողացել են՝</w:t>
            </w:r>
          </w:p>
          <w:p w14:paraId="0761024B" w14:textId="77777777" w:rsidR="008C76E0" w:rsidRPr="008C76E0" w:rsidRDefault="008C76E0"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Pr="003B2786">
              <w:rPr>
                <w:rStyle w:val="Bodytext295pt"/>
                <w:rFonts w:ascii="Sylfaen" w:hAnsi="Sylfaen"/>
                <w:i/>
                <w:sz w:val="24"/>
                <w:szCs w:val="24"/>
              </w:rPr>
              <w:tab/>
              <w:t>գտնել տեղեկատվությունը (օրինակ՝ ռեսպոնդենտը կարող է հեշտությամբ գտնել դոզայի վերաբերյալ տեղեկատվությունը),</w:t>
            </w:r>
          </w:p>
          <w:p w14:paraId="2FA1B9B5" w14:textId="77777777" w:rsidR="008C76E0" w:rsidRPr="008C76E0" w:rsidRDefault="008C76E0"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Pr="003B2786">
              <w:rPr>
                <w:rStyle w:val="Bodytext295pt"/>
                <w:rFonts w:ascii="Sylfaen" w:hAnsi="Sylfaen"/>
                <w:i/>
                <w:sz w:val="24"/>
                <w:szCs w:val="24"/>
              </w:rPr>
              <w:tab/>
              <w:t xml:space="preserve">հասկանալ տեղեկատվությունը (օրինակ՝ ռեսպոնդենտը կարող է իր բառերով պատմել, թե ինչպիսին պետք է լինի ճիշտ դոզան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ինչպես պետք է ընդունել պատրաստուկը),</w:t>
            </w:r>
          </w:p>
          <w:p w14:paraId="6A5E3303" w14:textId="0AE95AD2" w:rsidR="008C76E0" w:rsidRPr="003B2786" w:rsidRDefault="008C76E0" w:rsidP="00390DAC">
            <w:pPr>
              <w:pStyle w:val="Bodytext180"/>
              <w:shd w:val="clear" w:color="auto" w:fill="auto"/>
              <w:tabs>
                <w:tab w:val="left" w:pos="1089"/>
              </w:tabs>
              <w:spacing w:before="0" w:after="160" w:line="360" w:lineRule="auto"/>
              <w:ind w:right="27" w:firstLine="522"/>
              <w:rPr>
                <w:rStyle w:val="Bodytext295pt"/>
                <w:rFonts w:ascii="Sylfaen" w:hAnsi="Sylfaen"/>
                <w:i/>
                <w:sz w:val="24"/>
                <w:szCs w:val="24"/>
              </w:rPr>
            </w:pPr>
            <w:r w:rsidRPr="003B2786">
              <w:rPr>
                <w:rStyle w:val="Bodytext295pt"/>
                <w:rFonts w:ascii="Sylfaen" w:hAnsi="Sylfaen"/>
                <w:i/>
                <w:sz w:val="24"/>
                <w:szCs w:val="24"/>
              </w:rPr>
              <w:t>=&gt;</w:t>
            </w:r>
            <w:r w:rsidRPr="003B2786">
              <w:rPr>
                <w:rStyle w:val="Bodytext295pt"/>
                <w:rFonts w:ascii="Sylfaen" w:hAnsi="Sylfaen"/>
                <w:i/>
                <w:sz w:val="24"/>
                <w:szCs w:val="24"/>
              </w:rPr>
              <w:tab/>
              <w:t xml:space="preserve">կիրառել տեղեկատվությունը (օրինակ՝ «պատկերացրեք, որ Դուք </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նվել եք X իրավիճակում, </w:t>
            </w:r>
            <w:r w:rsidR="00C54D75">
              <w:rPr>
                <w:rStyle w:val="Bodytext295pt"/>
                <w:rFonts w:ascii="Sylfaen" w:hAnsi="Sylfaen"/>
                <w:i/>
                <w:sz w:val="24"/>
                <w:szCs w:val="24"/>
              </w:rPr>
              <w:t>և</w:t>
            </w:r>
            <w:r w:rsidRPr="003B2786">
              <w:rPr>
                <w:rStyle w:val="Bodytext295pt"/>
                <w:rFonts w:ascii="Sylfaen" w:hAnsi="Sylfaen"/>
                <w:i/>
                <w:sz w:val="24"/>
                <w:szCs w:val="24"/>
              </w:rPr>
              <w:t xml:space="preserve"> տեղի է ունեցել Y, ի՞նչ պետք է անեք»):</w:t>
            </w:r>
          </w:p>
          <w:p w14:paraId="3AD7E743" w14:textId="77777777" w:rsidR="008C76E0" w:rsidRPr="008C76E0" w:rsidRDefault="008C76E0" w:rsidP="00390DAC">
            <w:pPr>
              <w:pStyle w:val="Bodytext180"/>
              <w:shd w:val="clear" w:color="auto" w:fill="auto"/>
              <w:spacing w:before="0" w:after="160" w:line="360" w:lineRule="auto"/>
              <w:ind w:right="27" w:firstLine="522"/>
              <w:rPr>
                <w:rFonts w:ascii="Sylfaen" w:hAnsi="Sylfaen"/>
                <w:b w:val="0"/>
                <w:sz w:val="24"/>
                <w:szCs w:val="24"/>
                <w:lang w:val="hy-AM"/>
              </w:rPr>
            </w:pPr>
          </w:p>
        </w:tc>
      </w:tr>
      <w:tr w:rsidR="008C76E0" w:rsidRPr="003B2786" w14:paraId="42092390" w14:textId="77777777" w:rsidTr="008C76E0">
        <w:trPr>
          <w:jc w:val="center"/>
        </w:trPr>
        <w:tc>
          <w:tcPr>
            <w:tcW w:w="9566" w:type="dxa"/>
            <w:gridSpan w:val="2"/>
            <w:tcBorders>
              <w:top w:val="single" w:sz="4" w:space="0" w:color="auto"/>
            </w:tcBorders>
            <w:shd w:val="clear" w:color="auto" w:fill="FFFFFF"/>
            <w:vAlign w:val="bottom"/>
          </w:tcPr>
          <w:p w14:paraId="48496088" w14:textId="77777777" w:rsidR="008C76E0" w:rsidRPr="003B2786" w:rsidRDefault="008C76E0" w:rsidP="00390DAC">
            <w:pPr>
              <w:pStyle w:val="Bodytext180"/>
              <w:shd w:val="clear" w:color="auto" w:fill="auto"/>
              <w:tabs>
                <w:tab w:val="left" w:pos="1089"/>
              </w:tabs>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2.2.</w:t>
            </w:r>
            <w:r w:rsidRPr="003B2786">
              <w:rPr>
                <w:rStyle w:val="Bodytext295pt"/>
                <w:rFonts w:ascii="Sylfaen" w:hAnsi="Sylfaen"/>
                <w:sz w:val="24"/>
                <w:szCs w:val="24"/>
              </w:rPr>
              <w:tab/>
              <w:t>Հարցերի վարկանիշի համակարգը</w:t>
            </w:r>
          </w:p>
        </w:tc>
      </w:tr>
      <w:tr w:rsidR="008C76E0" w:rsidRPr="003B2786" w14:paraId="14A7C257" w14:textId="77777777" w:rsidTr="008C76E0">
        <w:trPr>
          <w:jc w:val="center"/>
        </w:trPr>
        <w:tc>
          <w:tcPr>
            <w:tcW w:w="7627" w:type="dxa"/>
            <w:shd w:val="clear" w:color="auto" w:fill="FFFFFF"/>
            <w:vAlign w:val="center"/>
          </w:tcPr>
          <w:p w14:paraId="73A62333" w14:textId="77777777" w:rsidR="008C76E0" w:rsidRPr="008C76E0" w:rsidRDefault="008C76E0" w:rsidP="00390DAC">
            <w:pPr>
              <w:pStyle w:val="Bodytext180"/>
              <w:shd w:val="clear" w:color="auto" w:fill="auto"/>
              <w:spacing w:before="0" w:after="160" w:line="360" w:lineRule="auto"/>
              <w:ind w:firstLine="590"/>
              <w:jc w:val="both"/>
              <w:rPr>
                <w:rFonts w:ascii="Sylfaen" w:hAnsi="Sylfaen"/>
                <w:b w:val="0"/>
                <w:i/>
                <w:sz w:val="24"/>
                <w:szCs w:val="24"/>
                <w:lang w:val="hy-AM"/>
              </w:rPr>
            </w:pPr>
            <w:r w:rsidRPr="003B2786">
              <w:rPr>
                <w:rStyle w:val="Bodytext295pt"/>
                <w:rFonts w:ascii="Sylfaen" w:hAnsi="Sylfaen"/>
                <w:sz w:val="24"/>
                <w:szCs w:val="24"/>
              </w:rPr>
              <w:t>Արդյո՞ք ընդունելի է պատասխանների քանակական գնահատումը:</w:t>
            </w:r>
          </w:p>
        </w:tc>
        <w:tc>
          <w:tcPr>
            <w:tcW w:w="1939" w:type="dxa"/>
            <w:shd w:val="clear" w:color="auto" w:fill="FFFFFF"/>
            <w:vAlign w:val="center"/>
          </w:tcPr>
          <w:p w14:paraId="47A15E34" w14:textId="77777777" w:rsidR="008C76E0" w:rsidRPr="003B2786" w:rsidRDefault="008C76E0" w:rsidP="00390DAC">
            <w:pPr>
              <w:pStyle w:val="Bodytext180"/>
              <w:shd w:val="clear" w:color="auto" w:fill="auto"/>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17F574F2" w14:textId="77777777" w:rsidTr="008C76E0">
        <w:trPr>
          <w:jc w:val="center"/>
        </w:trPr>
        <w:tc>
          <w:tcPr>
            <w:tcW w:w="9566" w:type="dxa"/>
            <w:gridSpan w:val="2"/>
            <w:shd w:val="clear" w:color="auto" w:fill="FFFFFF"/>
            <w:vAlign w:val="bottom"/>
          </w:tcPr>
          <w:p w14:paraId="02D74818" w14:textId="77777777" w:rsidR="008C76E0" w:rsidRPr="003B2786" w:rsidRDefault="008C76E0" w:rsidP="00390DAC">
            <w:pPr>
              <w:pStyle w:val="Bodytext180"/>
              <w:shd w:val="clear" w:color="auto" w:fill="auto"/>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Մեկնաբանություններ (լրացուցիչ տեղեկատվություն)</w:t>
            </w:r>
          </w:p>
        </w:tc>
      </w:tr>
    </w:tbl>
    <w:p w14:paraId="3E94328C"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609" w:type="dxa"/>
        <w:jc w:val="center"/>
        <w:tblLayout w:type="fixed"/>
        <w:tblCellMar>
          <w:left w:w="10" w:type="dxa"/>
          <w:right w:w="10" w:type="dxa"/>
        </w:tblCellMar>
        <w:tblLook w:val="04A0" w:firstRow="1" w:lastRow="0" w:firstColumn="1" w:lastColumn="0" w:noHBand="0" w:noVBand="1"/>
      </w:tblPr>
      <w:tblGrid>
        <w:gridCol w:w="7783"/>
        <w:gridCol w:w="1826"/>
      </w:tblGrid>
      <w:tr w:rsidR="008C76E0" w:rsidRPr="003B2786" w14:paraId="416C0A9C" w14:textId="77777777" w:rsidTr="008C76E0">
        <w:trPr>
          <w:trHeight w:val="2471"/>
          <w:jc w:val="center"/>
        </w:trPr>
        <w:tc>
          <w:tcPr>
            <w:tcW w:w="9609" w:type="dxa"/>
            <w:gridSpan w:val="2"/>
            <w:tcBorders>
              <w:top w:val="single" w:sz="4" w:space="0" w:color="auto"/>
              <w:left w:val="single" w:sz="4" w:space="0" w:color="auto"/>
              <w:right w:val="single" w:sz="4" w:space="0" w:color="auto"/>
            </w:tcBorders>
            <w:shd w:val="clear" w:color="auto" w:fill="FFFFFF"/>
          </w:tcPr>
          <w:p w14:paraId="5663EC0A" w14:textId="77777777" w:rsidR="008C76E0" w:rsidRPr="003B2786" w:rsidRDefault="008C76E0" w:rsidP="00390DAC">
            <w:pPr>
              <w:pStyle w:val="Bodytext180"/>
              <w:shd w:val="clear" w:color="auto" w:fill="auto"/>
              <w:spacing w:before="0" w:after="160" w:line="360" w:lineRule="auto"/>
              <w:ind w:firstLine="544"/>
              <w:jc w:val="center"/>
              <w:rPr>
                <w:rStyle w:val="Bodytext1811pt"/>
                <w:rFonts w:ascii="Sylfaen" w:hAnsi="Sylfaen"/>
                <w:sz w:val="24"/>
                <w:szCs w:val="24"/>
              </w:rPr>
            </w:pPr>
            <w:r w:rsidRPr="003B2786">
              <w:rPr>
                <w:rStyle w:val="Bodytext1811pt"/>
                <w:rFonts w:ascii="Sylfaen" w:hAnsi="Sylfaen"/>
                <w:sz w:val="24"/>
                <w:szCs w:val="24"/>
              </w:rPr>
              <w:t>Հարցերի վարկանիշի համակարգի հետ կապված կանոնները</w:t>
            </w:r>
          </w:p>
          <w:p w14:paraId="52632AE7" w14:textId="77777777" w:rsidR="008C76E0" w:rsidRPr="008C76E0" w:rsidRDefault="008C76E0" w:rsidP="00390DAC">
            <w:pPr>
              <w:pStyle w:val="Bodytext180"/>
              <w:shd w:val="clear" w:color="auto" w:fill="auto"/>
              <w:spacing w:before="0" w:after="160" w:line="360" w:lineRule="auto"/>
              <w:ind w:firstLine="544"/>
              <w:jc w:val="both"/>
              <w:rPr>
                <w:rFonts w:ascii="Sylfaen" w:hAnsi="Sylfaen"/>
                <w:b w:val="0"/>
                <w:sz w:val="24"/>
                <w:szCs w:val="24"/>
                <w:lang w:val="hy-AM"/>
              </w:rPr>
            </w:pPr>
            <w:r w:rsidRPr="003B2786">
              <w:rPr>
                <w:rStyle w:val="Bodytext1811pt"/>
                <w:rFonts w:ascii="Sylfaen" w:hAnsi="Sylfaen"/>
                <w:sz w:val="24"/>
                <w:szCs w:val="24"/>
              </w:rPr>
              <w:t>Հարցերի վարկանիշի համակարգը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4171AFA4" w14:textId="77777777" w:rsidR="008C76E0" w:rsidRPr="008C76E0" w:rsidRDefault="008C76E0" w:rsidP="00390DAC">
            <w:pPr>
              <w:pStyle w:val="Bodytext180"/>
              <w:shd w:val="clear" w:color="auto" w:fill="auto"/>
              <w:spacing w:before="0" w:after="160" w:line="360" w:lineRule="auto"/>
              <w:ind w:firstLine="544"/>
              <w:jc w:val="both"/>
              <w:rPr>
                <w:rFonts w:ascii="Sylfaen" w:hAnsi="Sylfaen"/>
                <w:sz w:val="24"/>
                <w:szCs w:val="24"/>
                <w:lang w:val="hy-AM"/>
              </w:rPr>
            </w:pPr>
            <w:r w:rsidRPr="003B2786">
              <w:rPr>
                <w:rStyle w:val="Bodytext295pt"/>
                <w:rFonts w:ascii="Sylfaen" w:hAnsi="Sylfaen"/>
                <w:spacing w:val="-6"/>
                <w:sz w:val="24"/>
                <w:szCs w:val="24"/>
              </w:rPr>
              <w:t>Ինչպե՞ս են գնահատվում պատասխանները: Օրինակ՝ 1= չկա պատասխան, 2= սխալ պատասխան, 3= թերի պատասխան, 4</w:t>
            </w:r>
            <w:r w:rsidRPr="003B2786">
              <w:rPr>
                <w:rStyle w:val="Bodytext1811pt"/>
                <w:rFonts w:ascii="Sylfaen" w:hAnsi="Sylfaen"/>
                <w:spacing w:val="-6"/>
                <w:sz w:val="24"/>
                <w:szCs w:val="24"/>
              </w:rPr>
              <w:t xml:space="preserve">= </w:t>
            </w:r>
            <w:r w:rsidRPr="003B2786">
              <w:rPr>
                <w:rStyle w:val="Bodytext295pt"/>
                <w:rFonts w:ascii="Sylfaen" w:hAnsi="Sylfaen"/>
                <w:spacing w:val="-6"/>
                <w:sz w:val="24"/>
                <w:szCs w:val="24"/>
              </w:rPr>
              <w:t xml:space="preserve">բազմանշանակ պատասխան, 5= ամբողջական </w:t>
            </w:r>
            <w:r w:rsidR="00C54D75">
              <w:rPr>
                <w:rStyle w:val="Bodytext295pt"/>
                <w:rFonts w:ascii="Sylfaen" w:hAnsi="Sylfaen"/>
                <w:spacing w:val="-6"/>
                <w:sz w:val="24"/>
                <w:szCs w:val="24"/>
              </w:rPr>
              <w:t>և</w:t>
            </w:r>
            <w:r w:rsidRPr="003B2786">
              <w:rPr>
                <w:rStyle w:val="Bodytext295pt"/>
                <w:rFonts w:ascii="Sylfaen" w:hAnsi="Sylfaen"/>
                <w:spacing w:val="-6"/>
                <w:sz w:val="24"/>
                <w:szCs w:val="24"/>
              </w:rPr>
              <w:t xml:space="preserve"> ճիշտ պատասխան</w:t>
            </w:r>
            <w:r w:rsidRPr="003B2786">
              <w:rPr>
                <w:rStyle w:val="Bodytext295pt"/>
                <w:rFonts w:ascii="Sylfaen" w:hAnsi="Sylfaen"/>
                <w:sz w:val="24"/>
                <w:szCs w:val="24"/>
              </w:rPr>
              <w:t>:</w:t>
            </w:r>
          </w:p>
        </w:tc>
      </w:tr>
      <w:tr w:rsidR="008C76E0" w:rsidRPr="003B2786" w14:paraId="6C2D2103" w14:textId="77777777" w:rsidTr="008C76E0">
        <w:trPr>
          <w:trHeight w:val="692"/>
          <w:jc w:val="center"/>
        </w:trPr>
        <w:tc>
          <w:tcPr>
            <w:tcW w:w="9609" w:type="dxa"/>
            <w:gridSpan w:val="2"/>
            <w:tcBorders>
              <w:top w:val="single" w:sz="4" w:space="0" w:color="auto"/>
            </w:tcBorders>
            <w:shd w:val="clear" w:color="auto" w:fill="FFFFFF"/>
            <w:vAlign w:val="center"/>
          </w:tcPr>
          <w:p w14:paraId="68DFC8F4" w14:textId="77777777" w:rsidR="008C76E0" w:rsidRPr="003B2786" w:rsidRDefault="008C76E0" w:rsidP="002E713A">
            <w:pPr>
              <w:pStyle w:val="Bodytext180"/>
              <w:shd w:val="clear" w:color="auto" w:fill="auto"/>
              <w:tabs>
                <w:tab w:val="left" w:pos="1129"/>
              </w:tabs>
              <w:spacing w:before="0" w:after="160" w:line="360" w:lineRule="auto"/>
              <w:ind w:right="-1" w:firstLine="544"/>
              <w:jc w:val="both"/>
              <w:rPr>
                <w:rFonts w:ascii="Sylfaen" w:hAnsi="Sylfaen"/>
                <w:b w:val="0"/>
                <w:i/>
                <w:sz w:val="24"/>
                <w:szCs w:val="24"/>
              </w:rPr>
            </w:pPr>
            <w:r w:rsidRPr="003B2786">
              <w:rPr>
                <w:rStyle w:val="Bodytext295pt"/>
                <w:rFonts w:ascii="Sylfaen" w:hAnsi="Sylfaen"/>
                <w:sz w:val="24"/>
                <w:szCs w:val="24"/>
              </w:rPr>
              <w:t>3.</w:t>
            </w:r>
            <w:r w:rsidRPr="003B2786">
              <w:rPr>
                <w:rStyle w:val="Bodytext295pt"/>
                <w:rFonts w:ascii="Sylfaen" w:hAnsi="Sylfaen"/>
                <w:sz w:val="24"/>
                <w:szCs w:val="24"/>
              </w:rPr>
              <w:tab/>
              <w:t>Տվյալների մշակումը</w:t>
            </w:r>
          </w:p>
        </w:tc>
      </w:tr>
      <w:tr w:rsidR="008C76E0" w:rsidRPr="003B2786" w14:paraId="28B47757" w14:textId="77777777" w:rsidTr="008C76E0">
        <w:trPr>
          <w:trHeight w:val="1219"/>
          <w:jc w:val="center"/>
        </w:trPr>
        <w:tc>
          <w:tcPr>
            <w:tcW w:w="7783" w:type="dxa"/>
            <w:shd w:val="clear" w:color="auto" w:fill="FFFFFF"/>
            <w:vAlign w:val="center"/>
          </w:tcPr>
          <w:p w14:paraId="1A587145" w14:textId="77777777" w:rsidR="008C76E0" w:rsidRPr="008C76E0" w:rsidRDefault="008C76E0" w:rsidP="00390DAC">
            <w:pPr>
              <w:pStyle w:val="Bodytext180"/>
              <w:shd w:val="clear" w:color="auto" w:fill="auto"/>
              <w:spacing w:before="0" w:after="160" w:line="360" w:lineRule="auto"/>
              <w:ind w:right="-1" w:firstLine="544"/>
              <w:jc w:val="both"/>
              <w:rPr>
                <w:rFonts w:ascii="Sylfaen" w:hAnsi="Sylfaen"/>
                <w:b w:val="0"/>
                <w:i/>
                <w:sz w:val="24"/>
                <w:szCs w:val="24"/>
                <w:lang w:val="hy-AM"/>
              </w:rPr>
            </w:pPr>
            <w:r w:rsidRPr="003B2786">
              <w:rPr>
                <w:rStyle w:val="Bodytext295pt"/>
                <w:rFonts w:ascii="Sylfaen" w:hAnsi="Sylfaen"/>
                <w:sz w:val="24"/>
                <w:szCs w:val="24"/>
              </w:rPr>
              <w:lastRenderedPageBreak/>
              <w:t>Արդյո՞ք տվյալները պատշաճ ձ</w:t>
            </w:r>
            <w:r w:rsidR="00C54D75">
              <w:rPr>
                <w:rStyle w:val="Bodytext295pt"/>
                <w:rFonts w:ascii="Sylfaen" w:hAnsi="Sylfaen"/>
                <w:sz w:val="24"/>
                <w:szCs w:val="24"/>
              </w:rPr>
              <w:t>և</w:t>
            </w:r>
            <w:r w:rsidRPr="003B2786">
              <w:rPr>
                <w:rStyle w:val="Bodytext295pt"/>
                <w:rFonts w:ascii="Sylfaen" w:hAnsi="Sylfaen"/>
                <w:sz w:val="24"/>
                <w:szCs w:val="24"/>
              </w:rPr>
              <w:t xml:space="preserve">ով գրանցվում </w:t>
            </w:r>
            <w:r w:rsidR="00C54D75">
              <w:rPr>
                <w:rStyle w:val="Bodytext295pt"/>
                <w:rFonts w:ascii="Sylfaen" w:hAnsi="Sylfaen"/>
                <w:sz w:val="24"/>
                <w:szCs w:val="24"/>
              </w:rPr>
              <w:t>և</w:t>
            </w:r>
            <w:r w:rsidRPr="003B2786">
              <w:rPr>
                <w:rStyle w:val="Bodytext295pt"/>
                <w:rFonts w:ascii="Sylfaen" w:hAnsi="Sylfaen"/>
                <w:sz w:val="24"/>
                <w:szCs w:val="24"/>
              </w:rPr>
              <w:t xml:space="preserve"> փաստաթղթավորվում են:</w:t>
            </w:r>
          </w:p>
        </w:tc>
        <w:tc>
          <w:tcPr>
            <w:tcW w:w="1826" w:type="dxa"/>
            <w:shd w:val="clear" w:color="auto" w:fill="FFFFFF"/>
          </w:tcPr>
          <w:p w14:paraId="4DFE1D3C" w14:textId="77777777" w:rsidR="008C76E0" w:rsidRPr="003B2786" w:rsidRDefault="008C76E0" w:rsidP="00390DAC">
            <w:pPr>
              <w:pStyle w:val="Bodytext180"/>
              <w:shd w:val="clear" w:color="auto" w:fill="auto"/>
              <w:spacing w:before="0" w:after="160" w:line="360" w:lineRule="auto"/>
              <w:ind w:right="-1" w:firstLine="544"/>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44C118BA" w14:textId="77777777" w:rsidTr="008C76E0">
        <w:trPr>
          <w:trHeight w:val="1154"/>
          <w:jc w:val="center"/>
        </w:trPr>
        <w:tc>
          <w:tcPr>
            <w:tcW w:w="9609" w:type="dxa"/>
            <w:gridSpan w:val="2"/>
            <w:tcBorders>
              <w:bottom w:val="single" w:sz="4" w:space="0" w:color="auto"/>
            </w:tcBorders>
            <w:shd w:val="clear" w:color="auto" w:fill="FFFFFF"/>
          </w:tcPr>
          <w:p w14:paraId="2E5317B4" w14:textId="77777777" w:rsidR="008C76E0" w:rsidRPr="003B2786" w:rsidRDefault="008C76E0" w:rsidP="00390DAC">
            <w:pPr>
              <w:pStyle w:val="Bodytext180"/>
              <w:shd w:val="clear" w:color="auto" w:fill="auto"/>
              <w:spacing w:before="0" w:after="160" w:line="360" w:lineRule="auto"/>
              <w:ind w:right="-1" w:firstLine="544"/>
              <w:jc w:val="center"/>
              <w:rPr>
                <w:rFonts w:ascii="Sylfaen" w:hAnsi="Sylfaen"/>
                <w:b w:val="0"/>
                <w:bCs w:val="0"/>
                <w:iCs/>
                <w:color w:val="000000"/>
                <w:spacing w:val="-6"/>
                <w:sz w:val="24"/>
                <w:szCs w:val="24"/>
                <w:shd w:val="clear" w:color="auto" w:fill="FFFFFF"/>
              </w:rPr>
            </w:pPr>
            <w:r w:rsidRPr="003B2786">
              <w:rPr>
                <w:rStyle w:val="Bodytext295pt"/>
                <w:rFonts w:ascii="Sylfaen" w:hAnsi="Sylfaen"/>
                <w:spacing w:val="-6"/>
                <w:sz w:val="24"/>
                <w:szCs w:val="24"/>
              </w:rPr>
              <w:t>Մեկնաբանություններ (լրացո</w:t>
            </w:r>
            <w:r>
              <w:rPr>
                <w:rStyle w:val="Bodytext295pt"/>
                <w:rFonts w:ascii="Sylfaen" w:hAnsi="Sylfaen"/>
                <w:spacing w:val="-6"/>
                <w:sz w:val="24"/>
                <w:szCs w:val="24"/>
              </w:rPr>
              <w:t>ւցիչ տեղեկատվություն) ____</w:t>
            </w:r>
            <w:r w:rsidRPr="003B2786">
              <w:rPr>
                <w:rStyle w:val="Bodytext295pt"/>
                <w:rFonts w:ascii="Sylfaen" w:hAnsi="Sylfaen"/>
                <w:spacing w:val="-6"/>
                <w:sz w:val="24"/>
                <w:szCs w:val="24"/>
              </w:rPr>
              <w:t>________________________</w:t>
            </w:r>
          </w:p>
        </w:tc>
      </w:tr>
      <w:tr w:rsidR="008C76E0" w:rsidRPr="003B2786" w14:paraId="74B7B193" w14:textId="77777777" w:rsidTr="008C76E0">
        <w:trPr>
          <w:trHeight w:val="478"/>
          <w:jc w:val="center"/>
        </w:trPr>
        <w:tc>
          <w:tcPr>
            <w:tcW w:w="9609" w:type="dxa"/>
            <w:gridSpan w:val="2"/>
            <w:tcBorders>
              <w:top w:val="single" w:sz="4" w:space="0" w:color="auto"/>
              <w:left w:val="single" w:sz="4" w:space="0" w:color="auto"/>
              <w:right w:val="single" w:sz="4" w:space="0" w:color="auto"/>
            </w:tcBorders>
            <w:shd w:val="clear" w:color="auto" w:fill="FFFFFF"/>
          </w:tcPr>
          <w:p w14:paraId="3EDE6439" w14:textId="77777777" w:rsidR="008C76E0" w:rsidRPr="008C76E0" w:rsidRDefault="008C76E0" w:rsidP="00390DAC">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1811pt"/>
                <w:rFonts w:ascii="Sylfaen" w:hAnsi="Sylfaen"/>
                <w:sz w:val="24"/>
                <w:szCs w:val="24"/>
              </w:rPr>
              <w:t>Տվյալների մշակման հետ կապված կանոնները</w:t>
            </w:r>
          </w:p>
        </w:tc>
      </w:tr>
      <w:tr w:rsidR="008C76E0" w:rsidRPr="003B2786" w14:paraId="54A9F5F2" w14:textId="77777777" w:rsidTr="008C76E0">
        <w:trPr>
          <w:trHeight w:val="4247"/>
          <w:jc w:val="center"/>
        </w:trPr>
        <w:tc>
          <w:tcPr>
            <w:tcW w:w="9609" w:type="dxa"/>
            <w:gridSpan w:val="2"/>
            <w:tcBorders>
              <w:left w:val="single" w:sz="4" w:space="0" w:color="auto"/>
              <w:bottom w:val="single" w:sz="4" w:space="0" w:color="auto"/>
              <w:right w:val="single" w:sz="4" w:space="0" w:color="auto"/>
            </w:tcBorders>
            <w:shd w:val="clear" w:color="auto" w:fill="FFFFFF"/>
          </w:tcPr>
          <w:p w14:paraId="4624508F" w14:textId="77777777" w:rsidR="008C76E0" w:rsidRPr="003B2786" w:rsidRDefault="008C76E0" w:rsidP="00390DAC">
            <w:pPr>
              <w:pStyle w:val="Bodytext180"/>
              <w:shd w:val="clear" w:color="auto" w:fill="auto"/>
              <w:spacing w:before="0" w:after="160" w:line="360" w:lineRule="auto"/>
              <w:ind w:firstLine="543"/>
              <w:jc w:val="both"/>
              <w:rPr>
                <w:rStyle w:val="Bodytext1811pt"/>
                <w:rFonts w:ascii="Sylfaen" w:hAnsi="Sylfaen"/>
                <w:sz w:val="24"/>
                <w:szCs w:val="24"/>
              </w:rPr>
            </w:pPr>
            <w:r w:rsidRPr="003B2786">
              <w:rPr>
                <w:rStyle w:val="Bodytext1811pt"/>
                <w:rFonts w:ascii="Sylfaen" w:hAnsi="Sylfaen"/>
                <w:sz w:val="24"/>
                <w:szCs w:val="24"/>
              </w:rPr>
              <w:t>Տվյալների մշակումը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հանգամանքները. </w:t>
            </w:r>
          </w:p>
          <w:p w14:paraId="7A335709"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տվյալների գրանցումն իրականացվում է հասկանալի ձ</w:t>
            </w:r>
            <w:r w:rsidR="00C54D75">
              <w:rPr>
                <w:rStyle w:val="Bodytext295pt"/>
                <w:rFonts w:ascii="Sylfaen" w:hAnsi="Sylfaen"/>
                <w:i/>
                <w:sz w:val="24"/>
                <w:szCs w:val="24"/>
              </w:rPr>
              <w:t>և</w:t>
            </w:r>
            <w:r w:rsidRPr="003B2786">
              <w:rPr>
                <w:rStyle w:val="Bodytext295pt"/>
                <w:rFonts w:ascii="Sylfaen" w:hAnsi="Sylfaen"/>
                <w:i/>
                <w:sz w:val="24"/>
                <w:szCs w:val="24"/>
              </w:rPr>
              <w:t>ով,</w:t>
            </w:r>
          </w:p>
          <w:p w14:paraId="1E9EF35A"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տվյալների գրանցման եղանակը գոհացուցիչ է,</w:t>
            </w:r>
          </w:p>
          <w:p w14:paraId="52EA7991"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տվյալները մշակվել են բավարար չափով (օրինակ՝ հասկանալի՞ է, թե ինչպես են բանավոր պատասխանները վերափոխվել պատասխանների տարբեր կատեգորիաների),</w:t>
            </w:r>
          </w:p>
          <w:p w14:paraId="0846A086"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փորձագետին ներկայացվել են պացիենտների թեստավորման ընթացքում (թեստավորման տարբեր փուլերում) օգտագործված ներդիր թերթիկները,</w:t>
            </w:r>
          </w:p>
          <w:p w14:paraId="1888D6ED" w14:textId="77777777" w:rsidR="008C76E0" w:rsidRPr="008C76E0" w:rsidRDefault="008C76E0" w:rsidP="00390DAC">
            <w:pPr>
              <w:pStyle w:val="Bodytext180"/>
              <w:shd w:val="clear" w:color="auto" w:fill="auto"/>
              <w:spacing w:before="0" w:after="160" w:line="360" w:lineRule="auto"/>
              <w:ind w:firstLine="543"/>
              <w:jc w:val="both"/>
              <w:rPr>
                <w:rFonts w:ascii="Sylfaen" w:hAnsi="Sylfaen"/>
                <w:b w:val="0"/>
                <w:sz w:val="24"/>
                <w:szCs w:val="24"/>
                <w:lang w:val="hy-AM"/>
              </w:rPr>
            </w:pPr>
            <w:r w:rsidRPr="003B2786">
              <w:rPr>
                <w:rStyle w:val="Bodytext295pt"/>
                <w:rFonts w:ascii="Sylfaen" w:hAnsi="Sylfaen"/>
                <w:i/>
                <w:sz w:val="24"/>
                <w:szCs w:val="24"/>
              </w:rPr>
              <w:t xml:space="preserve">պարզաբանվել (հիմնավորվել) են ԲԿՈՒ-ում (ՆԹ-ում) կատարված փոփոխությունները:  Պարզ է, թե թեստի մասնակիցների դիտողություններից որոնք չեն արժանացել ուշադրության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ինչու:</w:t>
            </w:r>
          </w:p>
        </w:tc>
      </w:tr>
    </w:tbl>
    <w:p w14:paraId="174D396E"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71" w:type="dxa"/>
        <w:jc w:val="center"/>
        <w:tblLayout w:type="fixed"/>
        <w:tblCellMar>
          <w:left w:w="10" w:type="dxa"/>
          <w:right w:w="10" w:type="dxa"/>
        </w:tblCellMar>
        <w:tblLook w:val="04A0" w:firstRow="1" w:lastRow="0" w:firstColumn="1" w:lastColumn="0" w:noHBand="0" w:noVBand="1"/>
      </w:tblPr>
      <w:tblGrid>
        <w:gridCol w:w="7752"/>
        <w:gridCol w:w="1819"/>
      </w:tblGrid>
      <w:tr w:rsidR="008C76E0" w:rsidRPr="003B2786" w14:paraId="2200707D" w14:textId="77777777" w:rsidTr="008C76E0">
        <w:trPr>
          <w:jc w:val="center"/>
        </w:trPr>
        <w:tc>
          <w:tcPr>
            <w:tcW w:w="9571" w:type="dxa"/>
            <w:gridSpan w:val="2"/>
            <w:shd w:val="clear" w:color="auto" w:fill="FFFFFF"/>
            <w:vAlign w:val="bottom"/>
          </w:tcPr>
          <w:p w14:paraId="08A0F5C0"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center"/>
              <w:rPr>
                <w:rFonts w:ascii="Sylfaen" w:hAnsi="Sylfaen"/>
                <w:b w:val="0"/>
                <w:sz w:val="24"/>
                <w:szCs w:val="24"/>
              </w:rPr>
            </w:pPr>
            <w:r w:rsidRPr="003B2786">
              <w:rPr>
                <w:rStyle w:val="Bodytext295pt"/>
                <w:rFonts w:ascii="Sylfaen" w:hAnsi="Sylfaen"/>
                <w:sz w:val="24"/>
                <w:szCs w:val="24"/>
              </w:rPr>
              <w:t>4.</w:t>
            </w:r>
            <w:r w:rsidRPr="003B2786">
              <w:rPr>
                <w:rStyle w:val="Bodytext295pt"/>
                <w:rFonts w:ascii="Sylfaen" w:hAnsi="Sylfaen"/>
                <w:sz w:val="24"/>
                <w:szCs w:val="24"/>
              </w:rPr>
              <w:tab/>
              <w:t>Որակի ասպեկտները</w:t>
            </w:r>
          </w:p>
        </w:tc>
      </w:tr>
      <w:tr w:rsidR="008C76E0" w:rsidRPr="003B2786" w14:paraId="35F590A1" w14:textId="77777777" w:rsidTr="008C76E0">
        <w:trPr>
          <w:jc w:val="center"/>
        </w:trPr>
        <w:tc>
          <w:tcPr>
            <w:tcW w:w="9571" w:type="dxa"/>
            <w:gridSpan w:val="2"/>
            <w:shd w:val="clear" w:color="auto" w:fill="FFFFFF"/>
            <w:vAlign w:val="bottom"/>
          </w:tcPr>
          <w:p w14:paraId="05E8258F" w14:textId="77777777" w:rsidR="008C76E0" w:rsidRPr="003B2786" w:rsidRDefault="008C76E0" w:rsidP="00390DAC">
            <w:pPr>
              <w:pStyle w:val="Bodytext180"/>
              <w:shd w:val="clear" w:color="auto" w:fill="auto"/>
              <w:tabs>
                <w:tab w:val="left" w:pos="1092"/>
              </w:tabs>
              <w:spacing w:before="0" w:after="160" w:line="360" w:lineRule="auto"/>
              <w:ind w:right="44" w:firstLine="525"/>
              <w:jc w:val="both"/>
              <w:rPr>
                <w:rFonts w:ascii="Sylfaen" w:hAnsi="Sylfaen"/>
                <w:b w:val="0"/>
                <w:sz w:val="24"/>
                <w:szCs w:val="24"/>
              </w:rPr>
            </w:pPr>
            <w:r w:rsidRPr="003B2786">
              <w:rPr>
                <w:rStyle w:val="Bodytext295pt"/>
                <w:rFonts w:ascii="Sylfaen" w:hAnsi="Sylfaen"/>
                <w:sz w:val="24"/>
                <w:szCs w:val="24"/>
              </w:rPr>
              <w:t>4.1.</w:t>
            </w:r>
            <w:r w:rsidRPr="003B2786">
              <w:rPr>
                <w:rStyle w:val="Bodytext295pt"/>
                <w:rFonts w:ascii="Sylfaen" w:hAnsi="Sylfaen"/>
                <w:sz w:val="24"/>
                <w:szCs w:val="24"/>
                <w:lang w:val="en-US"/>
              </w:rPr>
              <w:tab/>
            </w:r>
            <w:r w:rsidRPr="003B2786">
              <w:rPr>
                <w:rStyle w:val="Bodytext295pt"/>
                <w:rFonts w:ascii="Sylfaen" w:hAnsi="Sylfaen"/>
                <w:sz w:val="24"/>
                <w:szCs w:val="24"/>
              </w:rPr>
              <w:t>Ախտորոշիչ հարցերի գնահատումը</w:t>
            </w:r>
          </w:p>
        </w:tc>
      </w:tr>
      <w:tr w:rsidR="008C76E0" w:rsidRPr="003B2786" w14:paraId="18C683D5" w14:textId="77777777" w:rsidTr="008C76E0">
        <w:trPr>
          <w:jc w:val="center"/>
        </w:trPr>
        <w:tc>
          <w:tcPr>
            <w:tcW w:w="7752" w:type="dxa"/>
            <w:shd w:val="clear" w:color="auto" w:fill="FFFFFF"/>
            <w:vAlign w:val="bottom"/>
          </w:tcPr>
          <w:p w14:paraId="28BA3460" w14:textId="77777777" w:rsidR="008C76E0" w:rsidRPr="00E15E7D" w:rsidRDefault="008C76E0" w:rsidP="00F63625">
            <w:pPr>
              <w:spacing w:after="160" w:line="360" w:lineRule="auto"/>
              <w:ind w:firstLine="525"/>
              <w:jc w:val="both"/>
              <w:rPr>
                <w:rStyle w:val="Bodytext295pt"/>
                <w:rFonts w:ascii="Sylfaen" w:eastAsiaTheme="minorHAnsi" w:hAnsi="Sylfaen"/>
                <w:sz w:val="24"/>
                <w:szCs w:val="24"/>
              </w:rPr>
            </w:pPr>
            <w:r w:rsidRPr="003D4CBB">
              <w:rPr>
                <w:rStyle w:val="Bodytext295pt"/>
                <w:rFonts w:ascii="Sylfaen" w:eastAsiaTheme="minorHAnsi" w:hAnsi="Sylfaen"/>
                <w:b w:val="0"/>
                <w:sz w:val="24"/>
                <w:szCs w:val="24"/>
              </w:rPr>
              <w:t>Արդյո՞ք մեթոդաբանությունը համապատասխանում է</w:t>
            </w:r>
            <w:r w:rsidRPr="003B2786">
              <w:rPr>
                <w:rStyle w:val="Bodytext295pt"/>
                <w:rFonts w:ascii="Sylfaen" w:eastAsiaTheme="minorHAnsi" w:hAnsi="Sylfaen"/>
                <w:sz w:val="24"/>
                <w:szCs w:val="24"/>
              </w:rPr>
              <w:t xml:space="preserve"> </w:t>
            </w:r>
            <w:r w:rsidRPr="003B2786">
              <w:rPr>
                <w:rStyle w:val="Bodytext295pt"/>
                <w:rFonts w:ascii="Sylfaen" w:eastAsiaTheme="minorHAnsi" w:hAnsi="Sylfaen"/>
                <w:b w:val="0"/>
                <w:bCs w:val="0"/>
                <w:sz w:val="24"/>
                <w:szCs w:val="24"/>
              </w:rPr>
              <w:t xml:space="preserve">Դեղապատրաստուկների բժշկական կիրառման հրահանգին </w:t>
            </w:r>
            <w:r w:rsidR="00C54D75">
              <w:rPr>
                <w:rStyle w:val="Bodytext295pt"/>
                <w:rFonts w:ascii="Sylfaen" w:eastAsiaTheme="minorHAnsi" w:hAnsi="Sylfaen"/>
                <w:b w:val="0"/>
                <w:bCs w:val="0"/>
                <w:sz w:val="24"/>
                <w:szCs w:val="24"/>
              </w:rPr>
              <w:t>և</w:t>
            </w:r>
            <w:r w:rsidRPr="003B2786">
              <w:rPr>
                <w:rStyle w:val="Bodytext295pt"/>
                <w:rFonts w:ascii="Sylfaen" w:eastAsiaTheme="minorHAnsi" w:hAnsi="Sylfaen"/>
                <w:b w:val="0"/>
                <w:bCs w:val="0"/>
                <w:sz w:val="24"/>
                <w:szCs w:val="24"/>
              </w:rPr>
              <w:t xml:space="preserve"> բժշկական կիրառման դեղապատրաստուկների ընդհանուր բնութագրին ներկայացվող պահանջների հավելվածին</w:t>
            </w:r>
            <w:r w:rsidRPr="003B2786">
              <w:rPr>
                <w:rStyle w:val="Bodytext295pt"/>
                <w:rFonts w:ascii="Sylfaen" w:eastAsiaTheme="minorHAnsi" w:hAnsi="Sylfaen"/>
                <w:sz w:val="24"/>
                <w:szCs w:val="24"/>
              </w:rPr>
              <w:t>:</w:t>
            </w:r>
          </w:p>
          <w:p w14:paraId="0A781015" w14:textId="77777777" w:rsidR="002E713A" w:rsidRPr="00E15E7D" w:rsidRDefault="002E713A" w:rsidP="00390DAC">
            <w:pPr>
              <w:spacing w:after="160" w:line="360" w:lineRule="auto"/>
              <w:ind w:firstLine="525"/>
              <w:rPr>
                <w:rFonts w:ascii="Sylfaen" w:hAnsi="Sylfaen"/>
                <w:sz w:val="24"/>
                <w:szCs w:val="24"/>
              </w:rPr>
            </w:pPr>
          </w:p>
        </w:tc>
        <w:tc>
          <w:tcPr>
            <w:tcW w:w="1819" w:type="dxa"/>
            <w:shd w:val="clear" w:color="auto" w:fill="FFFFFF"/>
            <w:vAlign w:val="bottom"/>
          </w:tcPr>
          <w:p w14:paraId="3B0DBADD" w14:textId="77777777" w:rsidR="008C76E0" w:rsidRPr="002E713A"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314C9D32" w14:textId="77777777" w:rsidTr="008C76E0">
        <w:trPr>
          <w:jc w:val="center"/>
        </w:trPr>
        <w:tc>
          <w:tcPr>
            <w:tcW w:w="7752" w:type="dxa"/>
            <w:shd w:val="clear" w:color="auto" w:fill="FFFFFF"/>
          </w:tcPr>
          <w:p w14:paraId="12BC4A2A" w14:textId="77777777" w:rsidR="008C76E0" w:rsidRPr="008C76E0"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z w:val="24"/>
                <w:szCs w:val="24"/>
                <w:lang w:val="hy-AM"/>
              </w:rPr>
            </w:pPr>
            <w:r w:rsidRPr="003B2786">
              <w:rPr>
                <w:rStyle w:val="Bodytext295pt"/>
                <w:rFonts w:ascii="Sylfaen" w:hAnsi="Sylfaen"/>
                <w:sz w:val="24"/>
                <w:szCs w:val="24"/>
              </w:rPr>
              <w:lastRenderedPageBreak/>
              <w:t>Ընդհանուր առմամբ, յուրաքանչյուր պատասխան համապատասխանո՞ւմ է ճիշտ պատասխանների 81 % չափանիշին:</w:t>
            </w:r>
          </w:p>
        </w:tc>
        <w:tc>
          <w:tcPr>
            <w:tcW w:w="1819" w:type="dxa"/>
            <w:shd w:val="clear" w:color="auto" w:fill="FFFFFF"/>
            <w:vAlign w:val="bottom"/>
          </w:tcPr>
          <w:p w14:paraId="5C75E12F"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5ACB607D" w14:textId="77777777" w:rsidTr="008C76E0">
        <w:trPr>
          <w:jc w:val="center"/>
        </w:trPr>
        <w:tc>
          <w:tcPr>
            <w:tcW w:w="9571" w:type="dxa"/>
            <w:gridSpan w:val="2"/>
            <w:shd w:val="clear" w:color="auto" w:fill="FFFFFF"/>
          </w:tcPr>
          <w:p w14:paraId="633747D3" w14:textId="77777777" w:rsidR="008C76E0" w:rsidRPr="003B2786"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pacing w:val="-6"/>
                <w:sz w:val="24"/>
                <w:szCs w:val="24"/>
              </w:rPr>
            </w:pPr>
            <w:r w:rsidRPr="003B2786">
              <w:rPr>
                <w:rStyle w:val="Bodytext295pt"/>
                <w:rFonts w:ascii="Sylfaen" w:hAnsi="Sylfaen"/>
                <w:spacing w:val="-6"/>
                <w:sz w:val="24"/>
                <w:szCs w:val="24"/>
              </w:rPr>
              <w:t>Մեկնաբանություններ (լրացուցիչ տեղեկատվությ</w:t>
            </w:r>
            <w:r>
              <w:rPr>
                <w:rStyle w:val="Bodytext295pt"/>
                <w:rFonts w:ascii="Sylfaen" w:hAnsi="Sylfaen"/>
                <w:spacing w:val="-6"/>
                <w:sz w:val="24"/>
                <w:szCs w:val="24"/>
              </w:rPr>
              <w:t>ուն) _____________</w:t>
            </w:r>
            <w:r w:rsidRPr="003B2786">
              <w:rPr>
                <w:rStyle w:val="Bodytext295pt"/>
                <w:rFonts w:ascii="Sylfaen" w:hAnsi="Sylfaen"/>
                <w:spacing w:val="-6"/>
                <w:sz w:val="24"/>
                <w:szCs w:val="24"/>
              </w:rPr>
              <w:t>______</w:t>
            </w:r>
          </w:p>
        </w:tc>
      </w:tr>
      <w:tr w:rsidR="008C76E0" w:rsidRPr="003B2786" w14:paraId="35B4A47E" w14:textId="77777777" w:rsidTr="008C76E0">
        <w:trPr>
          <w:jc w:val="center"/>
        </w:trPr>
        <w:tc>
          <w:tcPr>
            <w:tcW w:w="9571" w:type="dxa"/>
            <w:gridSpan w:val="2"/>
            <w:shd w:val="clear" w:color="auto" w:fill="FFFFFF"/>
            <w:vAlign w:val="center"/>
          </w:tcPr>
          <w:p w14:paraId="47417865" w14:textId="77777777" w:rsidR="008C76E0" w:rsidRPr="008C76E0" w:rsidRDefault="008C76E0" w:rsidP="00390DAC">
            <w:pPr>
              <w:pStyle w:val="Bodytext180"/>
              <w:shd w:val="clear" w:color="auto" w:fill="auto"/>
              <w:tabs>
                <w:tab w:val="left" w:pos="1092"/>
              </w:tabs>
              <w:spacing w:before="0" w:after="160" w:line="360" w:lineRule="auto"/>
              <w:ind w:right="44" w:firstLine="525"/>
              <w:jc w:val="both"/>
              <w:rPr>
                <w:rFonts w:ascii="Sylfaen" w:hAnsi="Sylfaen"/>
                <w:b w:val="0"/>
                <w:sz w:val="24"/>
                <w:szCs w:val="24"/>
                <w:lang w:val="hy-AM"/>
              </w:rPr>
            </w:pPr>
            <w:r w:rsidRPr="003B2786">
              <w:rPr>
                <w:rStyle w:val="Bodytext295pt"/>
                <w:rFonts w:ascii="Sylfaen" w:hAnsi="Sylfaen"/>
                <w:sz w:val="24"/>
                <w:szCs w:val="24"/>
              </w:rPr>
              <w:t>4.2.</w:t>
            </w:r>
            <w:r w:rsidRPr="003B2786">
              <w:rPr>
                <w:rStyle w:val="Bodytext295pt"/>
                <w:rFonts w:ascii="Sylfaen" w:hAnsi="Sylfaen"/>
                <w:sz w:val="24"/>
                <w:szCs w:val="24"/>
              </w:rPr>
              <w:tab/>
              <w:t xml:space="preserve">Մանրակերտի </w:t>
            </w:r>
            <w:r w:rsidR="00C54D75">
              <w:rPr>
                <w:rStyle w:val="Bodytext295pt"/>
                <w:rFonts w:ascii="Sylfaen" w:hAnsi="Sylfaen"/>
                <w:sz w:val="24"/>
                <w:szCs w:val="24"/>
              </w:rPr>
              <w:t>և</w:t>
            </w:r>
            <w:r w:rsidRPr="003B2786">
              <w:rPr>
                <w:rStyle w:val="Bodytext295pt"/>
                <w:rFonts w:ascii="Sylfaen" w:hAnsi="Sylfaen"/>
                <w:sz w:val="24"/>
                <w:szCs w:val="24"/>
              </w:rPr>
              <w:t xml:space="preserve"> բովանդակային պլանի գնահատումը</w:t>
            </w:r>
          </w:p>
        </w:tc>
      </w:tr>
      <w:tr w:rsidR="008C76E0" w:rsidRPr="003B2786" w14:paraId="01551D9A" w14:textId="77777777" w:rsidTr="008C76E0">
        <w:trPr>
          <w:jc w:val="center"/>
        </w:trPr>
        <w:tc>
          <w:tcPr>
            <w:tcW w:w="7752" w:type="dxa"/>
            <w:shd w:val="clear" w:color="auto" w:fill="FFFFFF"/>
            <w:vAlign w:val="bottom"/>
          </w:tcPr>
          <w:p w14:paraId="6E173B87" w14:textId="77777777" w:rsidR="008C76E0" w:rsidRPr="008C76E0"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z w:val="24"/>
                <w:szCs w:val="24"/>
                <w:lang w:val="hy-AM"/>
              </w:rPr>
            </w:pPr>
            <w:r w:rsidRPr="003B2786">
              <w:rPr>
                <w:rStyle w:val="Bodytext295pt"/>
                <w:rFonts w:ascii="Sylfaen" w:hAnsi="Sylfaen"/>
                <w:spacing w:val="-6"/>
                <w:sz w:val="24"/>
                <w:szCs w:val="24"/>
              </w:rPr>
              <w:t xml:space="preserve">Արդյո՞ք պահպանվել են Դեղապատրաստուկների բժշկական կիրառման հրահանգին </w:t>
            </w:r>
            <w:r w:rsidR="00C54D75">
              <w:rPr>
                <w:rStyle w:val="Bodytext295pt"/>
                <w:rFonts w:ascii="Sylfaen" w:hAnsi="Sylfaen"/>
                <w:spacing w:val="-6"/>
                <w:sz w:val="24"/>
                <w:szCs w:val="24"/>
              </w:rPr>
              <w:t>և</w:t>
            </w:r>
            <w:r w:rsidRPr="003B2786">
              <w:rPr>
                <w:rStyle w:val="Bodytext295pt"/>
                <w:rFonts w:ascii="Sylfaen" w:hAnsi="Sylfaen"/>
                <w:spacing w:val="-6"/>
                <w:sz w:val="24"/>
                <w:szCs w:val="24"/>
              </w:rPr>
              <w:t xml:space="preserve"> բժշկական կիրառման դեղապատրաստուկների ընդհանուր բնութագրին ներկայացվող պահանջների հավելվածում նշված բովանդակային պլանի ընդհանուր</w:t>
            </w:r>
            <w:r w:rsidRPr="003B2786">
              <w:rPr>
                <w:rStyle w:val="Bodytext295pt"/>
                <w:rFonts w:ascii="Sylfaen" w:hAnsi="Sylfaen"/>
                <w:sz w:val="24"/>
                <w:szCs w:val="24"/>
              </w:rPr>
              <w:t xml:space="preserve"> սկզբունքները:</w:t>
            </w:r>
          </w:p>
        </w:tc>
        <w:tc>
          <w:tcPr>
            <w:tcW w:w="1819" w:type="dxa"/>
            <w:shd w:val="clear" w:color="auto" w:fill="FFFFFF"/>
            <w:vAlign w:val="bottom"/>
          </w:tcPr>
          <w:p w14:paraId="0C53AE5F"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1CA8964C" w14:textId="77777777" w:rsidTr="008C76E0">
        <w:trPr>
          <w:jc w:val="center"/>
        </w:trPr>
        <w:tc>
          <w:tcPr>
            <w:tcW w:w="7752" w:type="dxa"/>
            <w:shd w:val="clear" w:color="auto" w:fill="FFFFFF"/>
            <w:vAlign w:val="bottom"/>
          </w:tcPr>
          <w:p w14:paraId="395D3B11"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տեքստը շարադրված է պացիենտներին հասկանալի լեզվով:</w:t>
            </w:r>
          </w:p>
        </w:tc>
        <w:tc>
          <w:tcPr>
            <w:tcW w:w="1819" w:type="dxa"/>
            <w:shd w:val="clear" w:color="auto" w:fill="FFFFFF"/>
            <w:vAlign w:val="bottom"/>
          </w:tcPr>
          <w:p w14:paraId="48AFD5C4"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73FA2BAD" w14:textId="77777777" w:rsidTr="008C76E0">
        <w:trPr>
          <w:jc w:val="center"/>
        </w:trPr>
        <w:tc>
          <w:tcPr>
            <w:tcW w:w="7752" w:type="dxa"/>
            <w:shd w:val="clear" w:color="auto" w:fill="FFFFFF"/>
            <w:vAlign w:val="bottom"/>
          </w:tcPr>
          <w:p w14:paraId="0A9AB023"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հեշտ է կողմնորոշվել մանրակերտի միջոցով:</w:t>
            </w:r>
          </w:p>
        </w:tc>
        <w:tc>
          <w:tcPr>
            <w:tcW w:w="1819" w:type="dxa"/>
            <w:shd w:val="clear" w:color="auto" w:fill="FFFFFF"/>
            <w:vAlign w:val="bottom"/>
          </w:tcPr>
          <w:p w14:paraId="6B63EFFA"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13AC2F41" w14:textId="77777777" w:rsidTr="008C76E0">
        <w:trPr>
          <w:jc w:val="center"/>
        </w:trPr>
        <w:tc>
          <w:tcPr>
            <w:tcW w:w="7752" w:type="dxa"/>
            <w:shd w:val="clear" w:color="auto" w:fill="FFFFFF"/>
          </w:tcPr>
          <w:p w14:paraId="5F6A6E60"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ընդունելի է սխեմաների կիրառումը:</w:t>
            </w:r>
          </w:p>
        </w:tc>
        <w:tc>
          <w:tcPr>
            <w:tcW w:w="1819" w:type="dxa"/>
            <w:shd w:val="clear" w:color="auto" w:fill="FFFFFF"/>
          </w:tcPr>
          <w:p w14:paraId="111953B0"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67490A64" w14:textId="77777777" w:rsidTr="008C76E0">
        <w:trPr>
          <w:jc w:val="center"/>
        </w:trPr>
        <w:tc>
          <w:tcPr>
            <w:tcW w:w="9571" w:type="dxa"/>
            <w:gridSpan w:val="2"/>
            <w:shd w:val="clear" w:color="auto" w:fill="FFFFFF"/>
            <w:vAlign w:val="center"/>
          </w:tcPr>
          <w:p w14:paraId="4F9D7973" w14:textId="77777777" w:rsidR="008C76E0" w:rsidRPr="00CB552F"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pacing w:val="-4"/>
                <w:sz w:val="24"/>
                <w:szCs w:val="24"/>
              </w:rPr>
            </w:pPr>
            <w:r w:rsidRPr="003B2786">
              <w:rPr>
                <w:rStyle w:val="Bodytext295pt"/>
                <w:rFonts w:ascii="Sylfaen" w:hAnsi="Sylfaen"/>
                <w:spacing w:val="-4"/>
                <w:sz w:val="24"/>
                <w:szCs w:val="24"/>
              </w:rPr>
              <w:t>Մեկնաբանություններ (լրացուցիչ տեղեկատվությ</w:t>
            </w:r>
            <w:r w:rsidR="00CB552F">
              <w:rPr>
                <w:rStyle w:val="Bodytext295pt"/>
                <w:rFonts w:ascii="Sylfaen" w:hAnsi="Sylfaen"/>
                <w:spacing w:val="-4"/>
                <w:sz w:val="24"/>
                <w:szCs w:val="24"/>
              </w:rPr>
              <w:t>ուն)</w:t>
            </w:r>
            <w:r w:rsidRPr="003B2786">
              <w:rPr>
                <w:rStyle w:val="Bodytext295pt"/>
                <w:rFonts w:ascii="Sylfaen" w:hAnsi="Sylfaen"/>
                <w:spacing w:val="-4"/>
                <w:sz w:val="24"/>
                <w:szCs w:val="24"/>
              </w:rPr>
              <w:t>_____________________________</w:t>
            </w:r>
          </w:p>
        </w:tc>
      </w:tr>
    </w:tbl>
    <w:p w14:paraId="78208175"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81" w:type="dxa"/>
        <w:jc w:val="center"/>
        <w:tblLayout w:type="fixed"/>
        <w:tblCellMar>
          <w:left w:w="10" w:type="dxa"/>
          <w:right w:w="10" w:type="dxa"/>
        </w:tblCellMar>
        <w:tblLook w:val="04A0" w:firstRow="1" w:lastRow="0" w:firstColumn="1" w:lastColumn="0" w:noHBand="0" w:noVBand="1"/>
      </w:tblPr>
      <w:tblGrid>
        <w:gridCol w:w="9581"/>
      </w:tblGrid>
      <w:tr w:rsidR="008C76E0" w:rsidRPr="003B2786" w14:paraId="093AF03B" w14:textId="77777777" w:rsidTr="008C76E0">
        <w:trPr>
          <w:jc w:val="center"/>
        </w:trPr>
        <w:tc>
          <w:tcPr>
            <w:tcW w:w="9581" w:type="dxa"/>
            <w:tcBorders>
              <w:top w:val="single" w:sz="4" w:space="0" w:color="auto"/>
              <w:left w:val="single" w:sz="4" w:space="0" w:color="auto"/>
              <w:right w:val="single" w:sz="4" w:space="0" w:color="auto"/>
            </w:tcBorders>
            <w:shd w:val="clear" w:color="auto" w:fill="FFFFFF"/>
            <w:vAlign w:val="bottom"/>
          </w:tcPr>
          <w:p w14:paraId="12134B42" w14:textId="77777777" w:rsidR="008C76E0" w:rsidRPr="008C76E0" w:rsidRDefault="008C76E0" w:rsidP="00390DAC">
            <w:pPr>
              <w:pStyle w:val="Bodytext180"/>
              <w:shd w:val="clear" w:color="auto" w:fill="auto"/>
              <w:spacing w:before="0" w:after="160" w:line="360" w:lineRule="auto"/>
              <w:ind w:left="62" w:right="79" w:firstLine="0"/>
              <w:jc w:val="center"/>
              <w:rPr>
                <w:rFonts w:ascii="Sylfaen" w:hAnsi="Sylfaen"/>
                <w:b w:val="0"/>
                <w:sz w:val="24"/>
                <w:szCs w:val="24"/>
                <w:lang w:val="hy-AM"/>
              </w:rPr>
            </w:pPr>
            <w:r w:rsidRPr="003B2786">
              <w:rPr>
                <w:rStyle w:val="Bodytext1811pt"/>
                <w:rFonts w:ascii="Sylfaen" w:hAnsi="Sylfaen"/>
                <w:sz w:val="24"/>
                <w:szCs w:val="24"/>
              </w:rPr>
              <w:t>Որակի ասպեկտների հետ կապված կանոնները</w:t>
            </w:r>
          </w:p>
        </w:tc>
      </w:tr>
      <w:tr w:rsidR="008C76E0" w:rsidRPr="003B2786" w14:paraId="25324C69" w14:textId="77777777" w:rsidTr="008C76E0">
        <w:trPr>
          <w:jc w:val="center"/>
        </w:trPr>
        <w:tc>
          <w:tcPr>
            <w:tcW w:w="9581" w:type="dxa"/>
            <w:tcBorders>
              <w:left w:val="single" w:sz="4" w:space="0" w:color="auto"/>
              <w:right w:val="single" w:sz="4" w:space="0" w:color="auto"/>
            </w:tcBorders>
            <w:shd w:val="clear" w:color="auto" w:fill="FFFFFF"/>
          </w:tcPr>
          <w:p w14:paraId="351EC553"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sz w:val="24"/>
                <w:szCs w:val="24"/>
                <w:lang w:val="hy-AM"/>
              </w:rPr>
            </w:pPr>
            <w:r w:rsidRPr="003B2786">
              <w:rPr>
                <w:rStyle w:val="Bodytext1811pt"/>
                <w:rFonts w:ascii="Sylfaen" w:hAnsi="Sylfaen"/>
                <w:sz w:val="24"/>
                <w:szCs w:val="24"/>
              </w:rPr>
              <w:t>Որակի ասպեկտները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7884DC56"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արդյո՞ք ամբողջական է հաշվետվությունը,</w:t>
            </w:r>
          </w:p>
          <w:p w14:paraId="1C05D19F"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 xml:space="preserve">հաշվետվության մեջ արդյո՞ք հստակ սահմանազատված են քանակական </w:t>
            </w:r>
            <w:r w:rsidR="00C54D75">
              <w:rPr>
                <w:rStyle w:val="Bodytext295pt"/>
                <w:rFonts w:ascii="Sylfaen" w:hAnsi="Sylfaen"/>
                <w:i/>
                <w:sz w:val="24"/>
                <w:szCs w:val="24"/>
              </w:rPr>
              <w:t>և</w:t>
            </w:r>
            <w:r w:rsidRPr="003B2786">
              <w:rPr>
                <w:rStyle w:val="Bodytext295pt"/>
                <w:rFonts w:ascii="Sylfaen" w:hAnsi="Sylfaen"/>
                <w:i/>
                <w:sz w:val="24"/>
                <w:szCs w:val="24"/>
              </w:rPr>
              <w:t xml:space="preserve"> որակական արդյունքները,</w:t>
            </w:r>
          </w:p>
          <w:p w14:paraId="26477656"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 xml:space="preserve">արդյո՞ք հստակ նշված է դեղապատրաստուկի </w:t>
            </w:r>
            <w:r w:rsidR="00C54D75">
              <w:rPr>
                <w:rStyle w:val="Bodytext295pt"/>
                <w:rFonts w:ascii="Sylfaen" w:hAnsi="Sylfaen"/>
                <w:i/>
                <w:sz w:val="24"/>
                <w:szCs w:val="24"/>
              </w:rPr>
              <w:t>և</w:t>
            </w:r>
            <w:r w:rsidRPr="003B2786">
              <w:rPr>
                <w:rStyle w:val="Bodytext295pt"/>
                <w:rFonts w:ascii="Sylfaen" w:hAnsi="Sylfaen"/>
                <w:i/>
                <w:sz w:val="24"/>
                <w:szCs w:val="24"/>
              </w:rPr>
              <w:t xml:space="preserve"> համապատասխան ընկերության անվանումը,</w:t>
            </w:r>
          </w:p>
          <w:p w14:paraId="1E939637"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հիմք ընդունելով Միության կանոնները՝ արդյո՞ք ըստ «ախտորոշիչ» հարցերի հավաքվել են բավարար քանակությամբ բալեր (տե՛ս 1.2 կետը),</w:t>
            </w:r>
          </w:p>
          <w:p w14:paraId="1EF66EB6" w14:textId="77777777" w:rsidR="008C76E0" w:rsidRPr="00E15E7D" w:rsidRDefault="008C76E0" w:rsidP="00390DAC">
            <w:pPr>
              <w:pStyle w:val="Bodytext180"/>
              <w:shd w:val="clear" w:color="auto" w:fill="auto"/>
              <w:spacing w:before="0" w:after="160" w:line="360" w:lineRule="auto"/>
              <w:ind w:left="62" w:right="79" w:firstLine="532"/>
              <w:jc w:val="both"/>
              <w:rPr>
                <w:rStyle w:val="Bodytext295pt"/>
                <w:rFonts w:ascii="Sylfaen" w:hAnsi="Sylfaen"/>
                <w:i/>
                <w:sz w:val="24"/>
                <w:szCs w:val="24"/>
              </w:rPr>
            </w:pPr>
            <w:r w:rsidRPr="003B2786">
              <w:rPr>
                <w:rStyle w:val="Bodytext295pt"/>
                <w:rFonts w:ascii="Sylfaen" w:hAnsi="Sylfaen"/>
                <w:i/>
                <w:sz w:val="24"/>
                <w:szCs w:val="24"/>
              </w:rPr>
              <w:lastRenderedPageBreak/>
              <w:t xml:space="preserve">արդյո՞ք ռեսպոնդենտները ներդիր թերթիկի մանրակերտը </w:t>
            </w:r>
            <w:r w:rsidR="00C54D75">
              <w:rPr>
                <w:rStyle w:val="Bodytext295pt"/>
                <w:rFonts w:ascii="Sylfaen" w:hAnsi="Sylfaen"/>
                <w:i/>
                <w:sz w:val="24"/>
                <w:szCs w:val="24"/>
              </w:rPr>
              <w:t>և</w:t>
            </w:r>
            <w:r w:rsidRPr="003B2786">
              <w:rPr>
                <w:rStyle w:val="Bodytext295pt"/>
                <w:rFonts w:ascii="Sylfaen" w:hAnsi="Sylfaen"/>
                <w:i/>
                <w:sz w:val="24"/>
                <w:szCs w:val="24"/>
              </w:rPr>
              <w:t xml:space="preserve"> բովանդակ</w:t>
            </w:r>
            <w:r w:rsidR="00CB552F">
              <w:rPr>
                <w:rStyle w:val="Bodytext295pt"/>
                <w:rFonts w:ascii="Sylfaen" w:hAnsi="Sylfaen"/>
                <w:i/>
                <w:sz w:val="24"/>
                <w:szCs w:val="24"/>
              </w:rPr>
              <w:t>ային պլանը բավարար են համարում:</w:t>
            </w:r>
          </w:p>
          <w:p w14:paraId="6F01EE77"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Անհրաժեշտ է հատուկ ուշադրություն դարձնել հետ</w:t>
            </w:r>
            <w:r w:rsidR="00C54D75">
              <w:rPr>
                <w:rStyle w:val="Bodytext295pt"/>
                <w:rFonts w:ascii="Sylfaen" w:hAnsi="Sylfaen"/>
                <w:i/>
                <w:sz w:val="24"/>
                <w:szCs w:val="24"/>
              </w:rPr>
              <w:t>և</w:t>
            </w:r>
            <w:r w:rsidRPr="003B2786">
              <w:rPr>
                <w:rStyle w:val="Bodytext295pt"/>
                <w:rFonts w:ascii="Sylfaen" w:hAnsi="Sylfaen"/>
                <w:i/>
                <w:sz w:val="24"/>
                <w:szCs w:val="24"/>
              </w:rPr>
              <w:t>յալ հարցերին.</w:t>
            </w:r>
          </w:p>
          <w:p w14:paraId="38264DD5"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շարադրման ոճը (լեզվի պարզությունը, նախադասությունների հակիրճ լինելը, ենթակետերի օգտագործումը),</w:t>
            </w:r>
          </w:p>
          <w:p w14:paraId="3084AEEF"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 xml:space="preserve">տառատեսակի լրակազմը (տառատեսակի չափը, շեղատառի, ընդգծման, փոքրատառերի </w:t>
            </w:r>
            <w:r w:rsidR="00C54D75">
              <w:rPr>
                <w:rStyle w:val="Bodytext295pt"/>
                <w:rFonts w:ascii="Sylfaen" w:hAnsi="Sylfaen"/>
                <w:i/>
                <w:sz w:val="24"/>
                <w:szCs w:val="24"/>
              </w:rPr>
              <w:t>և</w:t>
            </w:r>
            <w:r w:rsidRPr="003B2786">
              <w:rPr>
                <w:rStyle w:val="Bodytext295pt"/>
                <w:rFonts w:ascii="Sylfaen" w:hAnsi="Sylfaen"/>
                <w:i/>
                <w:sz w:val="24"/>
                <w:szCs w:val="24"/>
              </w:rPr>
              <w:t xml:space="preserve"> մեծատառերի օգտագործումը),</w:t>
            </w:r>
          </w:p>
          <w:p w14:paraId="6D37D665"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մանրակերտը (հեռավորությունը, ազատ հատվածը, ցայտագունությունը, տեքստի հավասարեցումը դեպի ձախ եզրագիծը, սյունակները),</w:t>
            </w:r>
          </w:p>
          <w:p w14:paraId="1228DD27" w14:textId="77777777" w:rsidR="008C76E0" w:rsidRPr="003B2786" w:rsidRDefault="008C76E0" w:rsidP="00390DAC">
            <w:pPr>
              <w:pStyle w:val="Bodytext180"/>
              <w:shd w:val="clear" w:color="auto" w:fill="auto"/>
              <w:spacing w:before="0" w:after="160" w:line="360" w:lineRule="auto"/>
              <w:ind w:left="62" w:right="79" w:firstLine="532"/>
              <w:jc w:val="both"/>
              <w:rPr>
                <w:rStyle w:val="Bodytext295pt"/>
                <w:rFonts w:ascii="Sylfaen" w:hAnsi="Sylfaen"/>
                <w:i/>
                <w:sz w:val="24"/>
                <w:szCs w:val="24"/>
              </w:rPr>
            </w:pPr>
            <w:r w:rsidRPr="003B2786">
              <w:rPr>
                <w:rStyle w:val="Bodytext295pt"/>
                <w:rFonts w:ascii="Sylfaen" w:hAnsi="Sylfaen"/>
                <w:i/>
                <w:sz w:val="24"/>
                <w:szCs w:val="24"/>
              </w:rPr>
              <w:t xml:space="preserve">վերնագրերը (միանման դիրքը, ընդգծումը), </w:t>
            </w:r>
          </w:p>
          <w:p w14:paraId="44B8C968"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գույնի օգտագործումը (ընթացիկ, համապատասխան ցայտագունությունը):</w:t>
            </w:r>
          </w:p>
          <w:p w14:paraId="00136304" w14:textId="4C31FF04"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 xml:space="preserve">Անհրաժեշտ է անցկացնել պատկերագրերի օգտատիրական թեստավորում, քանի որ, ինչպես </w:t>
            </w:r>
            <w:r w:rsidR="005F6A31">
              <w:rPr>
                <w:rStyle w:val="Bodytext295pt"/>
                <w:rFonts w:ascii="Sylfaen" w:hAnsi="Sylfaen"/>
                <w:i/>
                <w:sz w:val="24"/>
                <w:szCs w:val="24"/>
              </w:rPr>
              <w:t>հայտնի</w:t>
            </w:r>
            <w:r w:rsidRPr="003B2786">
              <w:rPr>
                <w:rStyle w:val="Bodytext295pt"/>
                <w:rFonts w:ascii="Sylfaen" w:hAnsi="Sylfaen"/>
                <w:i/>
                <w:sz w:val="24"/>
                <w:szCs w:val="24"/>
              </w:rPr>
              <w:t xml:space="preserve"> է, պացիենտները դրանցում լավ չեն կողմնորոշվում</w:t>
            </w:r>
          </w:p>
          <w:p w14:paraId="02CA47D4"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sz w:val="24"/>
                <w:szCs w:val="24"/>
                <w:lang w:val="hy-AM"/>
              </w:rPr>
            </w:pPr>
            <w:r w:rsidRPr="003B2786">
              <w:rPr>
                <w:rStyle w:val="Bodytext295pt"/>
                <w:rFonts w:ascii="Sylfaen" w:hAnsi="Sylfaen"/>
                <w:i/>
                <w:sz w:val="24"/>
                <w:szCs w:val="24"/>
              </w:rPr>
              <w:t xml:space="preserve">արդյո՞ք ռեսպոնդենտները բախվում են դժվարությունների՝ ԲԿՈՒ-ում (ՆԹ-ում) ներկայացված տեղեկատվություն փնտրելիս </w:t>
            </w:r>
            <w:r w:rsidR="00C54D75">
              <w:rPr>
                <w:rStyle w:val="Bodytext295pt"/>
                <w:rFonts w:ascii="Sylfaen" w:hAnsi="Sylfaen"/>
                <w:i/>
                <w:sz w:val="24"/>
                <w:szCs w:val="24"/>
              </w:rPr>
              <w:t>և</w:t>
            </w:r>
            <w:r w:rsidRPr="003B2786">
              <w:rPr>
                <w:rStyle w:val="Bodytext295pt"/>
                <w:rFonts w:ascii="Sylfaen" w:hAnsi="Sylfaen"/>
                <w:i/>
                <w:sz w:val="24"/>
                <w:szCs w:val="24"/>
              </w:rPr>
              <w:t xml:space="preserve"> ճիշտ կիրառելիս (տեղին լինելու դեպքում):</w:t>
            </w:r>
          </w:p>
        </w:tc>
      </w:tr>
    </w:tbl>
    <w:p w14:paraId="15AA28B7" w14:textId="77777777" w:rsidR="008C76E0" w:rsidRPr="003B2786" w:rsidRDefault="008C76E0" w:rsidP="002E713A">
      <w:pPr>
        <w:spacing w:after="160" w:line="336" w:lineRule="auto"/>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52"/>
        <w:gridCol w:w="1742"/>
      </w:tblGrid>
      <w:tr w:rsidR="008C76E0" w:rsidRPr="003B2786" w14:paraId="67D66FCB" w14:textId="77777777" w:rsidTr="008C76E0">
        <w:trPr>
          <w:jc w:val="center"/>
        </w:trPr>
        <w:tc>
          <w:tcPr>
            <w:tcW w:w="9494" w:type="dxa"/>
            <w:gridSpan w:val="2"/>
            <w:shd w:val="clear" w:color="auto" w:fill="FFFFFF"/>
          </w:tcPr>
          <w:p w14:paraId="3BE8AA34" w14:textId="77777777" w:rsidR="008C76E0" w:rsidRPr="003B2786" w:rsidRDefault="008C76E0" w:rsidP="002E713A">
            <w:pPr>
              <w:pStyle w:val="Bodytext180"/>
              <w:shd w:val="clear" w:color="auto" w:fill="auto"/>
              <w:tabs>
                <w:tab w:val="left" w:pos="1112"/>
              </w:tabs>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5.</w:t>
            </w:r>
            <w:r w:rsidRPr="003B2786">
              <w:rPr>
                <w:rStyle w:val="Bodytext295pt"/>
                <w:rFonts w:ascii="Sylfaen" w:hAnsi="Sylfaen"/>
                <w:sz w:val="24"/>
                <w:szCs w:val="24"/>
              </w:rPr>
              <w:tab/>
              <w:t>Ախտորոշման/ գնահատման որակը</w:t>
            </w:r>
          </w:p>
        </w:tc>
      </w:tr>
      <w:tr w:rsidR="008C76E0" w:rsidRPr="003B2786" w14:paraId="5CD23DC9" w14:textId="77777777" w:rsidTr="008C76E0">
        <w:trPr>
          <w:jc w:val="center"/>
        </w:trPr>
        <w:tc>
          <w:tcPr>
            <w:tcW w:w="7752" w:type="dxa"/>
            <w:shd w:val="clear" w:color="auto" w:fill="FFFFFF"/>
            <w:vAlign w:val="bottom"/>
          </w:tcPr>
          <w:p w14:paraId="288BB5F5" w14:textId="4661526B" w:rsidR="008C76E0" w:rsidRPr="008C76E0" w:rsidRDefault="008C76E0" w:rsidP="002E713A">
            <w:pPr>
              <w:pStyle w:val="Bodytext180"/>
              <w:shd w:val="clear" w:color="auto" w:fill="auto"/>
              <w:spacing w:before="0" w:after="160" w:line="336" w:lineRule="auto"/>
              <w:ind w:firstLine="552"/>
              <w:jc w:val="both"/>
              <w:rPr>
                <w:rFonts w:ascii="Sylfaen" w:hAnsi="Sylfaen"/>
                <w:i/>
                <w:sz w:val="24"/>
                <w:szCs w:val="24"/>
                <w:lang w:val="hy-AM"/>
              </w:rPr>
            </w:pPr>
            <w:r w:rsidRPr="003B2786">
              <w:rPr>
                <w:rStyle w:val="Bodytext295pt"/>
                <w:rFonts w:ascii="Sylfaen" w:hAnsi="Sylfaen"/>
                <w:sz w:val="24"/>
                <w:szCs w:val="24"/>
              </w:rPr>
              <w:t xml:space="preserve">Արդյո՞ք ԲԿՈՒ-ում (ՆԹ-ում) ի </w:t>
            </w:r>
            <w:r w:rsidR="0056496B">
              <w:rPr>
                <w:rStyle w:val="Bodytext295pt"/>
                <w:rFonts w:ascii="Sylfaen" w:hAnsi="Sylfaen"/>
                <w:sz w:val="24"/>
                <w:szCs w:val="24"/>
              </w:rPr>
              <w:t>դիմում</w:t>
            </w:r>
            <w:r w:rsidRPr="003B2786">
              <w:rPr>
                <w:rStyle w:val="Bodytext295pt"/>
                <w:rFonts w:ascii="Sylfaen" w:hAnsi="Sylfaen"/>
                <w:sz w:val="24"/>
                <w:szCs w:val="24"/>
              </w:rPr>
              <w:t xml:space="preserve"> է բերվել որ</w:t>
            </w:r>
            <w:r w:rsidR="00C54D75">
              <w:rPr>
                <w:rStyle w:val="Bodytext295pt"/>
                <w:rFonts w:ascii="Sylfaen" w:hAnsi="Sylfaen"/>
                <w:sz w:val="24"/>
                <w:szCs w:val="24"/>
              </w:rPr>
              <w:t>և</w:t>
            </w:r>
            <w:r w:rsidRPr="003B2786">
              <w:rPr>
                <w:rStyle w:val="Bodytext295pt"/>
                <w:rFonts w:ascii="Sylfaen" w:hAnsi="Sylfaen"/>
                <w:sz w:val="24"/>
                <w:szCs w:val="24"/>
              </w:rPr>
              <w:t>է թույլ կողմ:</w:t>
            </w:r>
          </w:p>
        </w:tc>
        <w:tc>
          <w:tcPr>
            <w:tcW w:w="1742" w:type="dxa"/>
            <w:shd w:val="clear" w:color="auto" w:fill="FFFFFF"/>
            <w:vAlign w:val="bottom"/>
          </w:tcPr>
          <w:p w14:paraId="12D05179"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 այո □ ոչ</w:t>
            </w:r>
          </w:p>
        </w:tc>
      </w:tr>
      <w:tr w:rsidR="008C76E0" w:rsidRPr="003B2786" w14:paraId="1330D333" w14:textId="77777777" w:rsidTr="008C76E0">
        <w:trPr>
          <w:jc w:val="center"/>
        </w:trPr>
        <w:tc>
          <w:tcPr>
            <w:tcW w:w="7752" w:type="dxa"/>
            <w:shd w:val="clear" w:color="auto" w:fill="FFFFFF"/>
          </w:tcPr>
          <w:p w14:paraId="08993605" w14:textId="77777777" w:rsidR="008C76E0" w:rsidRPr="008C76E0" w:rsidRDefault="008C76E0" w:rsidP="002E713A">
            <w:pPr>
              <w:pStyle w:val="Bodytext180"/>
              <w:shd w:val="clear" w:color="auto" w:fill="auto"/>
              <w:spacing w:before="0" w:after="160" w:line="336" w:lineRule="auto"/>
              <w:ind w:firstLine="552"/>
              <w:jc w:val="both"/>
              <w:rPr>
                <w:rFonts w:ascii="Sylfaen" w:hAnsi="Sylfaen"/>
                <w:i/>
                <w:sz w:val="24"/>
                <w:szCs w:val="24"/>
                <w:lang w:val="hy-AM"/>
              </w:rPr>
            </w:pPr>
            <w:r w:rsidRPr="003B2786">
              <w:rPr>
                <w:rStyle w:val="Bodytext295pt"/>
                <w:rFonts w:ascii="Sylfaen" w:hAnsi="Sylfaen"/>
                <w:sz w:val="24"/>
                <w:szCs w:val="24"/>
              </w:rPr>
              <w:t>Արդյո՞ք պատշաճ ձ</w:t>
            </w:r>
            <w:r w:rsidR="00C54D75">
              <w:rPr>
                <w:rStyle w:val="Bodytext295pt"/>
                <w:rFonts w:ascii="Sylfaen" w:hAnsi="Sylfaen"/>
                <w:sz w:val="24"/>
                <w:szCs w:val="24"/>
              </w:rPr>
              <w:t>և</w:t>
            </w:r>
            <w:r w:rsidRPr="003B2786">
              <w:rPr>
                <w:rStyle w:val="Bodytext295pt"/>
                <w:rFonts w:ascii="Sylfaen" w:hAnsi="Sylfaen"/>
                <w:sz w:val="24"/>
                <w:szCs w:val="24"/>
              </w:rPr>
              <w:t>ով վերացվել են թույլ կողմերը:</w:t>
            </w:r>
          </w:p>
        </w:tc>
        <w:tc>
          <w:tcPr>
            <w:tcW w:w="1742" w:type="dxa"/>
            <w:shd w:val="clear" w:color="auto" w:fill="FFFFFF"/>
          </w:tcPr>
          <w:p w14:paraId="78BA03CD"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 այո □ ոչ</w:t>
            </w:r>
          </w:p>
        </w:tc>
      </w:tr>
      <w:tr w:rsidR="008C76E0" w:rsidRPr="003B2786" w14:paraId="02808550" w14:textId="77777777" w:rsidTr="008C76E0">
        <w:trPr>
          <w:jc w:val="center"/>
        </w:trPr>
        <w:tc>
          <w:tcPr>
            <w:tcW w:w="9494" w:type="dxa"/>
            <w:gridSpan w:val="2"/>
            <w:shd w:val="clear" w:color="auto" w:fill="FFFFFF"/>
          </w:tcPr>
          <w:p w14:paraId="53230B97"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pacing w:val="-4"/>
                <w:sz w:val="24"/>
                <w:szCs w:val="24"/>
              </w:rPr>
            </w:pPr>
            <w:r w:rsidRPr="003B2786">
              <w:rPr>
                <w:rStyle w:val="Bodytext295pt"/>
                <w:rFonts w:ascii="Sylfaen" w:hAnsi="Sylfaen"/>
                <w:spacing w:val="-4"/>
                <w:sz w:val="24"/>
                <w:szCs w:val="24"/>
              </w:rPr>
              <w:t>Մեկնաբանություններ (լրացուցիչ տեղեկատվություն) ________________</w:t>
            </w:r>
            <w:r>
              <w:rPr>
                <w:rStyle w:val="Bodytext295pt"/>
                <w:rFonts w:ascii="Sylfaen" w:hAnsi="Sylfaen"/>
                <w:spacing w:val="-4"/>
                <w:sz w:val="24"/>
                <w:szCs w:val="24"/>
              </w:rPr>
              <w:t>_____</w:t>
            </w:r>
            <w:r w:rsidRPr="003B2786">
              <w:rPr>
                <w:rStyle w:val="Bodytext295pt"/>
                <w:rFonts w:ascii="Sylfaen" w:hAnsi="Sylfaen"/>
                <w:spacing w:val="-4"/>
                <w:sz w:val="24"/>
                <w:szCs w:val="24"/>
              </w:rPr>
              <w:t>__</w:t>
            </w:r>
          </w:p>
        </w:tc>
      </w:tr>
    </w:tbl>
    <w:p w14:paraId="1786FF4B" w14:textId="77777777" w:rsidR="008C76E0" w:rsidRPr="003B2786" w:rsidRDefault="008C76E0" w:rsidP="00390DAC">
      <w:pPr>
        <w:spacing w:after="160" w:line="360" w:lineRule="auto"/>
        <w:jc w:val="both"/>
        <w:rPr>
          <w:rFonts w:ascii="Sylfaen" w:hAnsi="Sylfaen"/>
          <w:sz w:val="24"/>
          <w:szCs w:val="24"/>
        </w:rPr>
      </w:pPr>
    </w:p>
    <w:tbl>
      <w:tblPr>
        <w:tblOverlap w:val="never"/>
        <w:tblW w:w="9562" w:type="dxa"/>
        <w:jc w:val="center"/>
        <w:tblLayout w:type="fixed"/>
        <w:tblCellMar>
          <w:left w:w="10" w:type="dxa"/>
          <w:right w:w="10" w:type="dxa"/>
        </w:tblCellMar>
        <w:tblLook w:val="04A0" w:firstRow="1" w:lastRow="0" w:firstColumn="1" w:lastColumn="0" w:noHBand="0" w:noVBand="1"/>
      </w:tblPr>
      <w:tblGrid>
        <w:gridCol w:w="11"/>
        <w:gridCol w:w="6229"/>
        <w:gridCol w:w="11"/>
        <w:gridCol w:w="3311"/>
      </w:tblGrid>
      <w:tr w:rsidR="008C76E0" w:rsidRPr="003B2786" w14:paraId="47127A14" w14:textId="77777777" w:rsidTr="008C76E0">
        <w:trPr>
          <w:jc w:val="center"/>
        </w:trPr>
        <w:tc>
          <w:tcPr>
            <w:tcW w:w="956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30FCA0B0" w14:textId="77777777" w:rsidR="008C76E0" w:rsidRPr="008C76E0" w:rsidRDefault="008C76E0" w:rsidP="00390DAC">
            <w:pPr>
              <w:pStyle w:val="Bodytext180"/>
              <w:shd w:val="clear" w:color="auto" w:fill="auto"/>
              <w:spacing w:before="0" w:after="160" w:line="360" w:lineRule="auto"/>
              <w:ind w:right="91" w:firstLine="0"/>
              <w:jc w:val="center"/>
              <w:rPr>
                <w:rFonts w:ascii="Sylfaen" w:hAnsi="Sylfaen"/>
                <w:b w:val="0"/>
                <w:sz w:val="24"/>
                <w:szCs w:val="24"/>
                <w:lang w:val="hy-AM"/>
              </w:rPr>
            </w:pPr>
            <w:r w:rsidRPr="003B2786">
              <w:rPr>
                <w:rStyle w:val="Bodytext1811pt"/>
                <w:rFonts w:ascii="Sylfaen" w:hAnsi="Sylfaen"/>
                <w:sz w:val="24"/>
                <w:szCs w:val="24"/>
              </w:rPr>
              <w:t>Ախտորոշման (գնահատման) որակի հետ կապված կանոնները</w:t>
            </w:r>
          </w:p>
          <w:p w14:paraId="66AD5282"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b w:val="0"/>
                <w:sz w:val="24"/>
                <w:szCs w:val="24"/>
                <w:lang w:val="hy-AM"/>
              </w:rPr>
            </w:pPr>
            <w:r w:rsidRPr="003B2786">
              <w:rPr>
                <w:rStyle w:val="Bodytext1811pt"/>
                <w:rFonts w:ascii="Sylfaen" w:hAnsi="Sylfaen"/>
                <w:sz w:val="24"/>
                <w:szCs w:val="24"/>
              </w:rPr>
              <w:t>Ախտորոշման (գնահատման) որակի ասպեկտները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22432583"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lastRenderedPageBreak/>
              <w:t>արդյո՞ք արդյունքները հարաբերակցվում են տեքստի փաստացի մասերի հետ (հնարավորության սահմաններում),</w:t>
            </w:r>
          </w:p>
          <w:p w14:paraId="0502D5BB" w14:textId="0967854F"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փորձ արվել է պարզաբանելու այն, որ ընթերցողների խնդիրներն ի </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 են գալիս՝ այդ մասերին հատուկ որոշ առանձնահատկություններով պայմանավորված (օրինակ՝ ինչ-որ բան դժվար էր գտնել անհաջող ընտրված վերնագրի պատճառով, կամ հատվածն անհասկանալի էր՝ կրկնակի ժխտման ձ</w:t>
            </w:r>
            <w:r w:rsidR="00C54D75">
              <w:rPr>
                <w:rStyle w:val="Bodytext295pt"/>
                <w:rFonts w:ascii="Sylfaen" w:hAnsi="Sylfaen"/>
                <w:i/>
                <w:sz w:val="24"/>
                <w:szCs w:val="24"/>
              </w:rPr>
              <w:t>և</w:t>
            </w:r>
            <w:r w:rsidRPr="003B2786">
              <w:rPr>
                <w:rStyle w:val="Bodytext295pt"/>
                <w:rFonts w:ascii="Sylfaen" w:hAnsi="Sylfaen"/>
                <w:i/>
                <w:sz w:val="24"/>
                <w:szCs w:val="24"/>
              </w:rPr>
              <w:t>ն օգտագործելու պատճառով, կամ որոշակի տեղեկատվություն դժվար էր ճիշտ կիրառել՝ որոշ եզրույթների անհասկանալի նշանակության պատճառով),</w:t>
            </w:r>
          </w:p>
          <w:p w14:paraId="58CE10D1"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երկրորդ փուլից հետո վերանայում կատարվե՞լ է արդյոք,</w:t>
            </w:r>
          </w:p>
          <w:p w14:paraId="7468105E"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հստակ որոշվել </w:t>
            </w:r>
            <w:r w:rsidR="00C54D75">
              <w:rPr>
                <w:rStyle w:val="Bodytext295pt"/>
                <w:rFonts w:ascii="Sylfaen" w:hAnsi="Sylfaen"/>
                <w:i/>
                <w:sz w:val="24"/>
                <w:szCs w:val="24"/>
              </w:rPr>
              <w:t>և</w:t>
            </w:r>
            <w:r w:rsidRPr="003B2786">
              <w:rPr>
                <w:rStyle w:val="Bodytext295pt"/>
                <w:rFonts w:ascii="Sylfaen" w:hAnsi="Sylfaen"/>
                <w:i/>
                <w:sz w:val="24"/>
                <w:szCs w:val="24"/>
              </w:rPr>
              <w:t xml:space="preserve"> պատշաճ ձ</w:t>
            </w:r>
            <w:r w:rsidR="00C54D75">
              <w:rPr>
                <w:rStyle w:val="Bodytext295pt"/>
                <w:rFonts w:ascii="Sylfaen" w:hAnsi="Sylfaen"/>
                <w:i/>
                <w:sz w:val="24"/>
                <w:szCs w:val="24"/>
              </w:rPr>
              <w:t>և</w:t>
            </w:r>
            <w:r w:rsidRPr="003B2786">
              <w:rPr>
                <w:rStyle w:val="Bodytext295pt"/>
                <w:rFonts w:ascii="Sylfaen" w:hAnsi="Sylfaen"/>
                <w:i/>
                <w:sz w:val="24"/>
                <w:szCs w:val="24"/>
              </w:rPr>
              <w:t xml:space="preserve">ով վերացվել են առաջին փուլի արդյունքներով պայմանավորված թույլ կողմերը (օրինակ՝ այն հարցերը, որոնցից ստացվել են ցածր բալեր, արդյո՞ք հիմք են դարձել ԲԿՈՒ-ում (ՆԹ-ում) փոփոխությունների </w:t>
            </w:r>
            <w:r w:rsidR="00C54D75">
              <w:rPr>
                <w:rStyle w:val="Bodytext295pt"/>
                <w:rFonts w:ascii="Sylfaen" w:hAnsi="Sylfaen"/>
                <w:i/>
                <w:sz w:val="24"/>
                <w:szCs w:val="24"/>
              </w:rPr>
              <w:t>և</w:t>
            </w:r>
            <w:r w:rsidRPr="003B2786">
              <w:rPr>
                <w:rStyle w:val="Bodytext295pt"/>
                <w:rFonts w:ascii="Sylfaen" w:hAnsi="Sylfaen"/>
                <w:i/>
                <w:sz w:val="24"/>
                <w:szCs w:val="24"/>
              </w:rPr>
              <w:t xml:space="preserve"> ոճաբանական փոփոխություններ կատարելու համար՝ նպատակ ունենալով բարելավել ընթեռնելիությունը կամ բացառել ավելորդ ու շփոթություն առաջացնող տեղեկատվությունը),</w:t>
            </w:r>
          </w:p>
          <w:p w14:paraId="5748DC4F"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հասկանալի է, թե որ հատվածներն են վերանայվել, ինչպե՞ս է դա արվել </w:t>
            </w:r>
            <w:r w:rsidR="00C54D75">
              <w:rPr>
                <w:rStyle w:val="Bodytext295pt"/>
                <w:rFonts w:ascii="Sylfaen" w:hAnsi="Sylfaen"/>
                <w:i/>
                <w:sz w:val="24"/>
                <w:szCs w:val="24"/>
              </w:rPr>
              <w:t>և</w:t>
            </w:r>
            <w:r w:rsidRPr="003B2786">
              <w:rPr>
                <w:rStyle w:val="Bodytext295pt"/>
                <w:rFonts w:ascii="Sylfaen" w:hAnsi="Sylfaen"/>
                <w:i/>
                <w:sz w:val="24"/>
                <w:szCs w:val="24"/>
              </w:rPr>
              <w:t xml:space="preserve"> առաջին փուլի արդյունքներով պայմանավորված ինչպիսի՞ դիտարկումների հիման վրա,</w:t>
            </w:r>
          </w:p>
          <w:p w14:paraId="2138ADC6"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հասկանալի է, թե ինչ դիտարկումների մասին է խոսքը,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ինչո՞ւ են դրանք անտեսվել վերանայումն իրականացնելիս,</w:t>
            </w:r>
          </w:p>
          <w:p w14:paraId="166F4E10"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b w:val="0"/>
                <w:sz w:val="24"/>
                <w:szCs w:val="24"/>
                <w:lang w:val="hy-AM"/>
              </w:rPr>
            </w:pPr>
            <w:r w:rsidRPr="003B2786">
              <w:rPr>
                <w:rStyle w:val="Bodytext295pt"/>
                <w:rFonts w:ascii="Sylfaen" w:hAnsi="Sylfaen"/>
                <w:i/>
                <w:sz w:val="24"/>
                <w:szCs w:val="24"/>
              </w:rPr>
              <w:t>իրականում արդյո՞ք փորձարկված փոփոխություններով բարելավվել է ընթեռնելիությունը</w:t>
            </w:r>
            <w:r w:rsidRPr="003B2786">
              <w:rPr>
                <w:rStyle w:val="Bodytext295pt"/>
                <w:rFonts w:ascii="Sylfaen" w:hAnsi="Sylfaen"/>
                <w:b/>
                <w:i/>
                <w:sz w:val="24"/>
                <w:szCs w:val="24"/>
              </w:rPr>
              <w:t>:</w:t>
            </w:r>
          </w:p>
        </w:tc>
      </w:tr>
      <w:tr w:rsidR="008C76E0" w:rsidRPr="003B2786" w14:paraId="4149203B" w14:textId="77777777" w:rsidTr="008C76E0">
        <w:trPr>
          <w:jc w:val="center"/>
        </w:trPr>
        <w:tc>
          <w:tcPr>
            <w:tcW w:w="9562" w:type="dxa"/>
            <w:gridSpan w:val="4"/>
            <w:tcBorders>
              <w:top w:val="single" w:sz="4" w:space="0" w:color="auto"/>
            </w:tcBorders>
            <w:shd w:val="clear" w:color="auto" w:fill="FFFFFF"/>
            <w:vAlign w:val="center"/>
          </w:tcPr>
          <w:p w14:paraId="2AE228EF" w14:textId="77777777" w:rsidR="008C76E0" w:rsidRPr="003B2786" w:rsidRDefault="008C76E0" w:rsidP="00390DAC">
            <w:pPr>
              <w:pStyle w:val="Bodytext180"/>
              <w:shd w:val="clear" w:color="auto" w:fill="auto"/>
              <w:tabs>
                <w:tab w:val="left" w:pos="1118"/>
              </w:tabs>
              <w:spacing w:before="0" w:after="160" w:line="360" w:lineRule="auto"/>
              <w:ind w:firstLine="628"/>
              <w:jc w:val="both"/>
              <w:rPr>
                <w:rFonts w:ascii="Sylfaen" w:hAnsi="Sylfaen"/>
                <w:b w:val="0"/>
                <w:i/>
                <w:sz w:val="24"/>
                <w:szCs w:val="24"/>
              </w:rPr>
            </w:pPr>
            <w:r w:rsidRPr="003B2786">
              <w:rPr>
                <w:rStyle w:val="Bodytext295pt"/>
                <w:rFonts w:ascii="Sylfaen" w:hAnsi="Sylfaen"/>
                <w:sz w:val="24"/>
                <w:szCs w:val="24"/>
              </w:rPr>
              <w:lastRenderedPageBreak/>
              <w:t>6.</w:t>
            </w:r>
            <w:r w:rsidRPr="003B2786">
              <w:rPr>
                <w:rStyle w:val="Bodytext295pt"/>
                <w:rFonts w:ascii="Sylfaen" w:hAnsi="Sylfaen"/>
                <w:sz w:val="24"/>
                <w:szCs w:val="24"/>
              </w:rPr>
              <w:tab/>
              <w:t>Եզրակացությունը</w:t>
            </w:r>
          </w:p>
        </w:tc>
      </w:tr>
      <w:tr w:rsidR="008C76E0" w:rsidRPr="003B2786" w14:paraId="5AF8F70A" w14:textId="77777777" w:rsidTr="008C76E0">
        <w:trPr>
          <w:jc w:val="center"/>
        </w:trPr>
        <w:tc>
          <w:tcPr>
            <w:tcW w:w="6240" w:type="dxa"/>
            <w:gridSpan w:val="2"/>
            <w:shd w:val="clear" w:color="auto" w:fill="FFFFFF"/>
            <w:vAlign w:val="bottom"/>
          </w:tcPr>
          <w:p w14:paraId="2D66553F" w14:textId="77777777" w:rsidR="008C76E0" w:rsidRPr="008C76E0" w:rsidRDefault="008C76E0" w:rsidP="00390DAC">
            <w:pPr>
              <w:pStyle w:val="Bodytext180"/>
              <w:shd w:val="clear" w:color="auto" w:fill="auto"/>
              <w:spacing w:before="0" w:after="160" w:line="360" w:lineRule="auto"/>
              <w:ind w:firstLine="509"/>
              <w:jc w:val="both"/>
              <w:rPr>
                <w:rFonts w:ascii="Sylfaen" w:hAnsi="Sylfaen"/>
                <w:b w:val="0"/>
                <w:i/>
                <w:sz w:val="24"/>
                <w:szCs w:val="24"/>
                <w:lang w:val="hy-AM"/>
              </w:rPr>
            </w:pPr>
            <w:r w:rsidRPr="003B2786">
              <w:rPr>
                <w:rStyle w:val="Bodytext295pt"/>
                <w:rFonts w:ascii="Sylfaen" w:hAnsi="Sylfaen"/>
                <w:sz w:val="24"/>
                <w:szCs w:val="24"/>
              </w:rPr>
              <w:t>Արդյո՞ք կատարվել են օգտատիրական թեստավորման գլխավոր խնդիրները:</w:t>
            </w:r>
          </w:p>
        </w:tc>
        <w:tc>
          <w:tcPr>
            <w:tcW w:w="3322" w:type="dxa"/>
            <w:gridSpan w:val="2"/>
            <w:shd w:val="clear" w:color="auto" w:fill="FFFFFF"/>
            <w:vAlign w:val="center"/>
          </w:tcPr>
          <w:p w14:paraId="49E1153F"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983A045" w14:textId="77777777" w:rsidTr="008C76E0">
        <w:trPr>
          <w:jc w:val="center"/>
        </w:trPr>
        <w:tc>
          <w:tcPr>
            <w:tcW w:w="6240" w:type="dxa"/>
            <w:gridSpan w:val="2"/>
            <w:shd w:val="clear" w:color="auto" w:fill="FFFFFF"/>
          </w:tcPr>
          <w:p w14:paraId="1C2A1CB7" w14:textId="398B0A65" w:rsidR="008C76E0" w:rsidRPr="007F6CA3" w:rsidRDefault="008C76E0" w:rsidP="00390DAC">
            <w:pPr>
              <w:pStyle w:val="Bodytext180"/>
              <w:shd w:val="clear" w:color="auto" w:fill="auto"/>
              <w:spacing w:before="0" w:after="160" w:line="360" w:lineRule="auto"/>
              <w:ind w:firstLine="509"/>
              <w:jc w:val="both"/>
              <w:rPr>
                <w:rStyle w:val="Bodytext295pt"/>
                <w:rFonts w:ascii="Sylfaen" w:hAnsi="Sylfaen"/>
                <w:sz w:val="24"/>
                <w:szCs w:val="24"/>
              </w:rPr>
            </w:pPr>
            <w:r w:rsidRPr="003B2786">
              <w:rPr>
                <w:rStyle w:val="Bodytext295pt"/>
                <w:rFonts w:ascii="Sylfaen" w:hAnsi="Sylfaen"/>
                <w:sz w:val="24"/>
                <w:szCs w:val="24"/>
              </w:rPr>
              <w:t xml:space="preserve">Արդյո՞ք </w:t>
            </w:r>
            <w:r w:rsidR="0056496B">
              <w:rPr>
                <w:rStyle w:val="Bodytext295pt"/>
                <w:rFonts w:ascii="Sylfaen" w:hAnsi="Sylfaen"/>
                <w:sz w:val="24"/>
                <w:szCs w:val="24"/>
              </w:rPr>
              <w:t>դիմումատու</w:t>
            </w:r>
            <w:r w:rsidRPr="003B2786">
              <w:rPr>
                <w:rStyle w:val="Bodytext295pt"/>
                <w:rFonts w:ascii="Sylfaen" w:hAnsi="Sylfaen"/>
                <w:sz w:val="24"/>
                <w:szCs w:val="24"/>
              </w:rPr>
              <w:t>ի եզրակացությունը ճիշտ է:</w:t>
            </w:r>
          </w:p>
          <w:p w14:paraId="169C6968" w14:textId="77777777" w:rsidR="007F6CA3" w:rsidRPr="007F6CA3" w:rsidRDefault="007F6CA3" w:rsidP="00390DAC">
            <w:pPr>
              <w:pStyle w:val="Bodytext180"/>
              <w:shd w:val="clear" w:color="auto" w:fill="auto"/>
              <w:spacing w:before="0" w:after="160" w:line="360" w:lineRule="auto"/>
              <w:ind w:firstLine="509"/>
              <w:jc w:val="both"/>
              <w:rPr>
                <w:rFonts w:ascii="Sylfaen" w:hAnsi="Sylfaen"/>
                <w:b w:val="0"/>
                <w:i/>
                <w:sz w:val="24"/>
                <w:szCs w:val="24"/>
                <w:lang w:val="hy-AM"/>
              </w:rPr>
            </w:pPr>
          </w:p>
        </w:tc>
        <w:tc>
          <w:tcPr>
            <w:tcW w:w="3322" w:type="dxa"/>
            <w:gridSpan w:val="2"/>
            <w:shd w:val="clear" w:color="auto" w:fill="FFFFFF"/>
          </w:tcPr>
          <w:p w14:paraId="098474DB"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03F17FE1" w14:textId="77777777" w:rsidTr="008C76E0">
        <w:trPr>
          <w:gridBefore w:val="1"/>
          <w:wBefore w:w="11" w:type="dxa"/>
          <w:jc w:val="center"/>
        </w:trPr>
        <w:tc>
          <w:tcPr>
            <w:tcW w:w="6240" w:type="dxa"/>
            <w:gridSpan w:val="2"/>
            <w:shd w:val="clear" w:color="auto" w:fill="FFFFFF"/>
          </w:tcPr>
          <w:p w14:paraId="09A83F13"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lastRenderedPageBreak/>
              <w:t>Մեթոդաբանության վերաբերյալ ընդհանուր տպավորությունը</w:t>
            </w:r>
          </w:p>
        </w:tc>
        <w:tc>
          <w:tcPr>
            <w:tcW w:w="3311" w:type="dxa"/>
            <w:shd w:val="clear" w:color="auto" w:fill="FFFFFF"/>
            <w:vAlign w:val="bottom"/>
          </w:tcPr>
          <w:p w14:paraId="168884BC"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դրական</w:t>
            </w:r>
          </w:p>
          <w:p w14:paraId="0E58E90E"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բացասական</w:t>
            </w:r>
          </w:p>
        </w:tc>
      </w:tr>
      <w:tr w:rsidR="008C76E0" w:rsidRPr="003B2786" w14:paraId="6923A4BD" w14:textId="77777777" w:rsidTr="008C76E0">
        <w:trPr>
          <w:gridBefore w:val="1"/>
          <w:wBefore w:w="11" w:type="dxa"/>
          <w:jc w:val="center"/>
        </w:trPr>
        <w:tc>
          <w:tcPr>
            <w:tcW w:w="6240" w:type="dxa"/>
            <w:gridSpan w:val="2"/>
            <w:shd w:val="clear" w:color="auto" w:fill="FFFFFF"/>
          </w:tcPr>
          <w:p w14:paraId="62C37A48" w14:textId="77777777" w:rsidR="008C76E0" w:rsidRPr="008C76E0" w:rsidRDefault="008C76E0" w:rsidP="00390DAC">
            <w:pPr>
              <w:pStyle w:val="Bodytext180"/>
              <w:shd w:val="clear" w:color="auto" w:fill="auto"/>
              <w:spacing w:before="0" w:after="160" w:line="360" w:lineRule="auto"/>
              <w:ind w:firstLine="509"/>
              <w:jc w:val="both"/>
              <w:rPr>
                <w:rFonts w:ascii="Sylfaen" w:hAnsi="Sylfaen"/>
                <w:b w:val="0"/>
                <w:i/>
                <w:sz w:val="24"/>
                <w:szCs w:val="24"/>
                <w:lang w:val="hy-AM"/>
              </w:rPr>
            </w:pPr>
            <w:r w:rsidRPr="003B2786">
              <w:rPr>
                <w:rStyle w:val="Bodytext295pt"/>
                <w:rFonts w:ascii="Sylfaen" w:hAnsi="Sylfaen"/>
                <w:sz w:val="24"/>
                <w:szCs w:val="24"/>
              </w:rPr>
              <w:t>Ներդիր թերթիկի կառուցվածքի վերաբերյալ ընդհանուր տպավորությունը</w:t>
            </w:r>
          </w:p>
        </w:tc>
        <w:tc>
          <w:tcPr>
            <w:tcW w:w="3311" w:type="dxa"/>
            <w:shd w:val="clear" w:color="auto" w:fill="FFFFFF"/>
          </w:tcPr>
          <w:p w14:paraId="0037080F"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դրական</w:t>
            </w:r>
          </w:p>
          <w:p w14:paraId="5A3CCA24"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բացասական</w:t>
            </w:r>
          </w:p>
        </w:tc>
      </w:tr>
      <w:tr w:rsidR="008C76E0" w:rsidRPr="003B2786" w14:paraId="511F63FA" w14:textId="77777777" w:rsidTr="008C76E0">
        <w:trPr>
          <w:gridBefore w:val="1"/>
          <w:wBefore w:w="11" w:type="dxa"/>
          <w:jc w:val="center"/>
        </w:trPr>
        <w:tc>
          <w:tcPr>
            <w:tcW w:w="9551" w:type="dxa"/>
            <w:gridSpan w:val="3"/>
            <w:shd w:val="clear" w:color="auto" w:fill="FFFFFF"/>
          </w:tcPr>
          <w:p w14:paraId="1773D0D6" w14:textId="77777777" w:rsidR="008C76E0" w:rsidRPr="003B2786" w:rsidRDefault="008C76E0" w:rsidP="00390DAC">
            <w:pPr>
              <w:pStyle w:val="Bodytext180"/>
              <w:shd w:val="clear" w:color="auto" w:fill="auto"/>
              <w:spacing w:before="0" w:after="160" w:line="360" w:lineRule="auto"/>
              <w:ind w:firstLine="0"/>
              <w:rPr>
                <w:rFonts w:ascii="Sylfaen" w:hAnsi="Sylfaen"/>
                <w:b w:val="0"/>
                <w:i/>
                <w:sz w:val="24"/>
                <w:szCs w:val="24"/>
              </w:rPr>
            </w:pPr>
            <w:r w:rsidRPr="003B2786">
              <w:rPr>
                <w:rStyle w:val="Bodytext295pt"/>
                <w:rFonts w:ascii="Sylfaen" w:hAnsi="Sylfaen"/>
                <w:sz w:val="24"/>
                <w:szCs w:val="24"/>
              </w:rPr>
              <w:t>ԵԶՐԱԿԱՑՈՒԹՅՈՒՆ (ՌԵԶՅՈՒՄԵ)</w:t>
            </w:r>
            <w:r>
              <w:rPr>
                <w:rStyle w:val="Bodytext295pt"/>
                <w:rFonts w:ascii="Sylfaen" w:hAnsi="Sylfaen"/>
                <w:sz w:val="24"/>
                <w:szCs w:val="24"/>
              </w:rPr>
              <w:t xml:space="preserve"> </w:t>
            </w:r>
            <w:r w:rsidRPr="003B2786">
              <w:rPr>
                <w:rStyle w:val="Bodytext295pt"/>
                <w:rFonts w:ascii="Sylfaen" w:hAnsi="Sylfaen"/>
                <w:sz w:val="24"/>
                <w:szCs w:val="24"/>
              </w:rPr>
              <w:t>______________________</w:t>
            </w:r>
            <w:r>
              <w:rPr>
                <w:rStyle w:val="Bodytext295pt"/>
                <w:rFonts w:ascii="Sylfaen" w:hAnsi="Sylfaen"/>
                <w:sz w:val="24"/>
                <w:szCs w:val="24"/>
                <w:lang w:val="en-US"/>
              </w:rPr>
              <w:t>____</w:t>
            </w:r>
            <w:r w:rsidRPr="003B2786">
              <w:rPr>
                <w:rStyle w:val="Bodytext295pt"/>
                <w:rFonts w:ascii="Sylfaen" w:hAnsi="Sylfaen"/>
                <w:sz w:val="24"/>
                <w:szCs w:val="24"/>
              </w:rPr>
              <w:t>___</w:t>
            </w:r>
            <w:r>
              <w:rPr>
                <w:rStyle w:val="Bodytext295pt"/>
                <w:rFonts w:ascii="Sylfaen" w:hAnsi="Sylfaen"/>
                <w:sz w:val="24"/>
                <w:szCs w:val="24"/>
                <w:lang w:val="en-US"/>
              </w:rPr>
              <w:t>_______________</w:t>
            </w:r>
            <w:r w:rsidRPr="003B2786">
              <w:rPr>
                <w:rStyle w:val="Bodytext295pt"/>
                <w:rFonts w:ascii="Sylfaen" w:hAnsi="Sylfaen"/>
                <w:sz w:val="24"/>
                <w:szCs w:val="24"/>
                <w:lang w:val="en-US"/>
              </w:rPr>
              <w:t>__</w:t>
            </w:r>
            <w:r>
              <w:rPr>
                <w:rStyle w:val="Bodytext295pt"/>
                <w:rFonts w:ascii="Sylfaen" w:hAnsi="Sylfaen"/>
                <w:sz w:val="24"/>
                <w:szCs w:val="24"/>
                <w:lang w:val="en-US"/>
              </w:rPr>
              <w:t xml:space="preserve">_____ </w:t>
            </w:r>
            <w:r w:rsidRPr="003B2786">
              <w:rPr>
                <w:rStyle w:val="Bodytext295pt"/>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w:t>
            </w:r>
            <w:r>
              <w:rPr>
                <w:rStyle w:val="Bodytext295pt"/>
                <w:rFonts w:ascii="Sylfaen" w:hAnsi="Sylfaen"/>
                <w:sz w:val="24"/>
                <w:szCs w:val="24"/>
                <w:lang w:val="en-US"/>
              </w:rPr>
              <w:t>______________________________</w:t>
            </w:r>
            <w:r w:rsidRPr="003B2786">
              <w:rPr>
                <w:rStyle w:val="Bodytext295pt"/>
                <w:rFonts w:ascii="Sylfaen" w:hAnsi="Sylfaen"/>
                <w:sz w:val="24"/>
                <w:szCs w:val="24"/>
                <w:lang w:val="en-US"/>
              </w:rPr>
              <w:t>____________________________</w:t>
            </w:r>
          </w:p>
        </w:tc>
      </w:tr>
    </w:tbl>
    <w:p w14:paraId="3C4B5D8A" w14:textId="77777777" w:rsidR="008C76E0" w:rsidRPr="003B2786" w:rsidRDefault="008C76E0" w:rsidP="00390DAC">
      <w:pPr>
        <w:spacing w:after="160" w:line="360" w:lineRule="auto"/>
        <w:ind w:right="-1"/>
        <w:jc w:val="both"/>
        <w:rPr>
          <w:rFonts w:ascii="Sylfaen" w:hAnsi="Sylfaen"/>
          <w:sz w:val="24"/>
          <w:szCs w:val="24"/>
          <w:lang w:val="en-US"/>
        </w:rPr>
      </w:pPr>
    </w:p>
    <w:tbl>
      <w:tblPr>
        <w:tblStyle w:val="TableGrid"/>
        <w:tblW w:w="9561" w:type="dxa"/>
        <w:tblInd w:w="-130" w:type="dxa"/>
        <w:tblLook w:val="04A0" w:firstRow="1" w:lastRow="0" w:firstColumn="1" w:lastColumn="0" w:noHBand="0" w:noVBand="1"/>
      </w:tblPr>
      <w:tblGrid>
        <w:gridCol w:w="9561"/>
      </w:tblGrid>
      <w:tr w:rsidR="008C76E0" w:rsidRPr="003B2786" w14:paraId="5275D1AD" w14:textId="77777777" w:rsidTr="008C76E0">
        <w:tc>
          <w:tcPr>
            <w:tcW w:w="9561" w:type="dxa"/>
          </w:tcPr>
          <w:p w14:paraId="32504A4E" w14:textId="77777777" w:rsidR="008C76E0" w:rsidRPr="003B2786" w:rsidRDefault="008C76E0" w:rsidP="00390DAC">
            <w:pPr>
              <w:pStyle w:val="Bodytext80"/>
              <w:shd w:val="clear" w:color="auto" w:fill="auto"/>
              <w:spacing w:before="0" w:after="160" w:line="360" w:lineRule="auto"/>
              <w:outlineLvl w:val="0"/>
              <w:rPr>
                <w:rFonts w:ascii="Sylfaen" w:hAnsi="Sylfaen"/>
                <w:b w:val="0"/>
                <w:sz w:val="24"/>
                <w:szCs w:val="24"/>
              </w:rPr>
            </w:pPr>
            <w:r w:rsidRPr="003B2786">
              <w:rPr>
                <w:rFonts w:ascii="Sylfaen" w:hAnsi="Sylfaen"/>
                <w:b w:val="0"/>
                <w:sz w:val="24"/>
                <w:szCs w:val="24"/>
              </w:rPr>
              <w:t>Թեստավորման արդյունքների հիման վրա եզրակացության հետ կապված կանոնները</w:t>
            </w:r>
          </w:p>
          <w:p w14:paraId="4D3F5DA3"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Style w:val="Bodytext295pt"/>
                <w:rFonts w:ascii="Sylfaen" w:hAnsi="Sylfaen"/>
                <w:sz w:val="24"/>
                <w:szCs w:val="24"/>
              </w:rPr>
              <w:t xml:space="preserve">Տվյալ բաժնում անհրաժեշտ է շարադրել անցկացված օգտատիրական թեստավորման </w:t>
            </w:r>
            <w:r w:rsidR="00C54D75">
              <w:rPr>
                <w:rStyle w:val="Bodytext295pt"/>
                <w:rFonts w:ascii="Sylfaen" w:hAnsi="Sylfaen"/>
                <w:sz w:val="24"/>
                <w:szCs w:val="24"/>
              </w:rPr>
              <w:t>և</w:t>
            </w:r>
            <w:r w:rsidRPr="003B2786">
              <w:rPr>
                <w:rStyle w:val="Bodytext295pt"/>
                <w:rFonts w:ascii="Sylfaen" w:hAnsi="Sylfaen"/>
                <w:sz w:val="24"/>
                <w:szCs w:val="24"/>
              </w:rPr>
              <w:t xml:space="preserve"> ԲԿՈՒ-ի (ՆԹ-ի) ընթեռնելիության (որակի) վերաբերյալ ընդհանուր կարծիքը</w:t>
            </w:r>
            <w:r w:rsidRPr="003B2786">
              <w:rPr>
                <w:rFonts w:ascii="Sylfaen" w:hAnsi="Sylfaen"/>
                <w:sz w:val="24"/>
                <w:szCs w:val="24"/>
              </w:rPr>
              <w:t xml:space="preserve"> </w:t>
            </w:r>
            <w:r w:rsidRPr="003B2786">
              <w:rPr>
                <w:rFonts w:ascii="Sylfaen" w:hAnsi="Sylfaen"/>
                <w:b w:val="0"/>
                <w:sz w:val="24"/>
                <w:szCs w:val="24"/>
              </w:rPr>
              <w:t>[ամփոփիչ հաշվետվության մեջ օգտագործելու համար օգտատիրական թեստավորման արդյունքների գնահատման վերաբերյալ հաշվետվության ամբողջական տեքստը կարող է ավելացվել տեղեկատվական նպատակներով]</w:t>
            </w:r>
          </w:p>
          <w:p w14:paraId="12F8251D" w14:textId="77777777" w:rsidR="008C76E0" w:rsidRPr="003B2786" w:rsidRDefault="008C76E0" w:rsidP="00390DAC">
            <w:pPr>
              <w:pStyle w:val="Bodytext80"/>
              <w:shd w:val="clear" w:color="auto" w:fill="auto"/>
              <w:spacing w:before="0" w:after="160" w:line="360" w:lineRule="auto"/>
              <w:ind w:firstLine="567"/>
              <w:jc w:val="both"/>
              <w:rPr>
                <w:rFonts w:ascii="Sylfaen" w:hAnsi="Sylfaen"/>
                <w:b w:val="0"/>
                <w:sz w:val="24"/>
                <w:szCs w:val="24"/>
              </w:rPr>
            </w:pPr>
            <w:r w:rsidRPr="003B2786">
              <w:rPr>
                <w:rFonts w:ascii="Sylfaen" w:hAnsi="Sylfaen"/>
                <w:b w:val="0"/>
                <w:sz w:val="24"/>
                <w:szCs w:val="24"/>
              </w:rPr>
              <w:t>Եզրակացությունը պատրաստելիս անհրաժեշտ է հաշվի առնել հետ</w:t>
            </w:r>
            <w:r w:rsidR="00C54D75">
              <w:rPr>
                <w:rFonts w:ascii="Sylfaen" w:hAnsi="Sylfaen"/>
                <w:b w:val="0"/>
                <w:sz w:val="24"/>
                <w:szCs w:val="24"/>
              </w:rPr>
              <w:t>և</w:t>
            </w:r>
            <w:r w:rsidRPr="003B2786">
              <w:rPr>
                <w:rFonts w:ascii="Sylfaen" w:hAnsi="Sylfaen"/>
                <w:b w:val="0"/>
                <w:sz w:val="24"/>
                <w:szCs w:val="24"/>
              </w:rPr>
              <w:t>յալ հանգամանքները.</w:t>
            </w:r>
          </w:p>
          <w:p w14:paraId="54B4766B"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Խնդիրները.</w:t>
            </w:r>
          </w:p>
          <w:p w14:paraId="2A2FB925"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ԲԿՈՒ-ի (ՆԹ-ի) վերջնական տարբերակում արտացոլել պացիենտների թեստավորման արդյունքներն ու հաշվի առնել նրանց կարիքները՝ նրանց կողմից դեղապատրաստուկի անվտանգ </w:t>
            </w:r>
            <w:r w:rsidR="00C54D75">
              <w:rPr>
                <w:rFonts w:ascii="Sylfaen" w:hAnsi="Sylfaen"/>
                <w:b w:val="0"/>
                <w:sz w:val="24"/>
                <w:szCs w:val="24"/>
              </w:rPr>
              <w:t>և</w:t>
            </w:r>
            <w:r w:rsidRPr="003B2786">
              <w:rPr>
                <w:rFonts w:ascii="Sylfaen" w:hAnsi="Sylfaen"/>
                <w:b w:val="0"/>
                <w:sz w:val="24"/>
                <w:szCs w:val="24"/>
              </w:rPr>
              <w:t xml:space="preserve"> արդյունավետ օգտագործման նպատակով,</w:t>
            </w:r>
          </w:p>
          <w:p w14:paraId="03DE84DB"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անցկացնել ԲԿՈՒ-ի (ՆԹ-ի) ընթեռնելիության գնահատում,</w:t>
            </w:r>
          </w:p>
          <w:p w14:paraId="0A9B72D2" w14:textId="21B2E1DE"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ի </w:t>
            </w:r>
            <w:r w:rsidR="0056496B">
              <w:rPr>
                <w:rFonts w:ascii="Sylfaen" w:hAnsi="Sylfaen"/>
                <w:b w:val="0"/>
                <w:sz w:val="24"/>
                <w:szCs w:val="24"/>
              </w:rPr>
              <w:t>դիմում</w:t>
            </w:r>
            <w:r w:rsidRPr="003B2786">
              <w:rPr>
                <w:rFonts w:ascii="Sylfaen" w:hAnsi="Sylfaen"/>
                <w:b w:val="0"/>
                <w:sz w:val="24"/>
                <w:szCs w:val="24"/>
              </w:rPr>
              <w:t xml:space="preserve"> բերել տեղեկատվության շարադրման </w:t>
            </w:r>
            <w:r w:rsidR="00C54D75">
              <w:rPr>
                <w:rFonts w:ascii="Sylfaen" w:hAnsi="Sylfaen"/>
                <w:b w:val="0"/>
                <w:sz w:val="24"/>
                <w:szCs w:val="24"/>
              </w:rPr>
              <w:t>և</w:t>
            </w:r>
            <w:r w:rsidRPr="003B2786">
              <w:rPr>
                <w:rFonts w:ascii="Sylfaen" w:hAnsi="Sylfaen"/>
                <w:b w:val="0"/>
                <w:sz w:val="24"/>
                <w:szCs w:val="24"/>
              </w:rPr>
              <w:t xml:space="preserve"> բովանդակության հետ կապված խնդիրները,</w:t>
            </w:r>
          </w:p>
          <w:p w14:paraId="08908AAE"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lastRenderedPageBreak/>
              <w:t>նկարագրել ներդիր թերթիկում կատարվող հնարավոր փոփոխությունները՝ դրանց ընթեռնելիությունը բարելավելու նպատակով:</w:t>
            </w:r>
          </w:p>
          <w:p w14:paraId="2C24E504"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Հաշվետվությունից պետք է պարզ լինի, թե թեստի որ արդյունքների վրա է հիմնված այս կամ այն եզրակացությունը:</w:t>
            </w:r>
          </w:p>
          <w:p w14:paraId="1E729FF3"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Անհրաժեշտ է վերլուծել, թե արդյո՞ք թեստավորման եզրակացությունները համապատասխանում են արդյունքներին կամ հաշվի առնելով փաստացի արդյունքները</w:t>
            </w:r>
            <w:proofErr w:type="gramStart"/>
            <w:r w:rsidRPr="003B2786">
              <w:rPr>
                <w:rFonts w:ascii="Sylfaen" w:hAnsi="Sylfaen"/>
                <w:b w:val="0"/>
                <w:sz w:val="24"/>
                <w:szCs w:val="24"/>
              </w:rPr>
              <w:t>՝  ներկայացնում</w:t>
            </w:r>
            <w:proofErr w:type="gramEnd"/>
            <w:r w:rsidRPr="003B2786">
              <w:rPr>
                <w:rFonts w:ascii="Sylfaen" w:hAnsi="Sylfaen"/>
                <w:b w:val="0"/>
                <w:sz w:val="24"/>
                <w:szCs w:val="24"/>
              </w:rPr>
              <w:t xml:space="preserve"> են չափազանց բարենպաստ իրավիճակ:</w:t>
            </w:r>
          </w:p>
          <w:p w14:paraId="2E6EEA6C"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Հարկ է վերլուծել, թե որքան պարզ, հակիրճ, լավ </w:t>
            </w:r>
            <w:r w:rsidR="00C54D75">
              <w:rPr>
                <w:rFonts w:ascii="Sylfaen" w:hAnsi="Sylfaen"/>
                <w:b w:val="0"/>
                <w:sz w:val="24"/>
                <w:szCs w:val="24"/>
              </w:rPr>
              <w:t>և</w:t>
            </w:r>
            <w:r w:rsidRPr="003B2786">
              <w:rPr>
                <w:rFonts w:ascii="Sylfaen" w:hAnsi="Sylfaen"/>
                <w:b w:val="0"/>
                <w:sz w:val="24"/>
                <w:szCs w:val="24"/>
              </w:rPr>
              <w:t xml:space="preserve"> կառուցվածքավորված են շարադրված եզրակացությունները:</w:t>
            </w:r>
          </w:p>
          <w:p w14:paraId="7023ED19"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Հարկ է նշել՝ արդյո՞ք հաշվի են առնվել պացիենտների առաջարկությունները </w:t>
            </w:r>
            <w:r w:rsidR="00C54D75">
              <w:rPr>
                <w:rFonts w:ascii="Sylfaen" w:hAnsi="Sylfaen"/>
                <w:b w:val="0"/>
                <w:sz w:val="24"/>
                <w:szCs w:val="24"/>
              </w:rPr>
              <w:t>և</w:t>
            </w:r>
            <w:r w:rsidRPr="003B2786">
              <w:rPr>
                <w:rFonts w:ascii="Sylfaen" w:hAnsi="Sylfaen"/>
                <w:b w:val="0"/>
                <w:sz w:val="24"/>
                <w:szCs w:val="24"/>
              </w:rPr>
              <w:t xml:space="preserve"> եզրակացությունները՝ ներդիր թերթիկի տեքստը վերանայելիս:</w:t>
            </w:r>
          </w:p>
          <w:p w14:paraId="00A3E415" w14:textId="77777777" w:rsidR="00803CF9" w:rsidRPr="00CD4709" w:rsidRDefault="00803CF9" w:rsidP="00803CF9">
            <w:pPr>
              <w:rPr>
                <w:b/>
                <w:bCs/>
                <w:i/>
                <w:iCs/>
                <w:lang w:val="en-US"/>
              </w:rPr>
            </w:pPr>
            <w:r w:rsidRPr="00CD4709">
              <w:rPr>
                <w:b/>
                <w:bCs/>
                <w:i/>
                <w:iCs/>
              </w:rPr>
              <w:t>(</w:t>
            </w:r>
            <w:r>
              <w:rPr>
                <w:b/>
                <w:bCs/>
                <w:i/>
                <w:iCs/>
              </w:rPr>
              <w:t xml:space="preserve">հավելվածը </w:t>
            </w:r>
            <w:r w:rsidRPr="00CD4709">
              <w:rPr>
                <w:b/>
                <w:bCs/>
                <w:i/>
                <w:iCs/>
              </w:rPr>
              <w:t>փոփ. 30.01.20 թիվ 9)</w:t>
            </w:r>
          </w:p>
          <w:p w14:paraId="2D4BDD4E" w14:textId="77777777" w:rsidR="008C76E0" w:rsidRPr="003B2786" w:rsidRDefault="008C76E0" w:rsidP="00390DAC">
            <w:pPr>
              <w:spacing w:after="160" w:line="360" w:lineRule="auto"/>
              <w:jc w:val="both"/>
              <w:rPr>
                <w:rFonts w:ascii="Sylfaen" w:hAnsi="Sylfaen"/>
                <w:sz w:val="24"/>
                <w:szCs w:val="24"/>
              </w:rPr>
            </w:pPr>
          </w:p>
        </w:tc>
      </w:tr>
    </w:tbl>
    <w:p w14:paraId="0CF9B99C" w14:textId="77777777" w:rsidR="0075661F" w:rsidRDefault="0075661F" w:rsidP="008C76E0">
      <w:pPr>
        <w:ind w:right="-1"/>
        <w:jc w:val="both"/>
        <w:rPr>
          <w:rFonts w:ascii="Sylfaen" w:hAnsi="Sylfaen"/>
          <w:sz w:val="24"/>
          <w:szCs w:val="24"/>
        </w:rPr>
        <w:sectPr w:rsidR="0075661F" w:rsidSect="00C31D56">
          <w:pgSz w:w="11906" w:h="16838" w:code="9"/>
          <w:pgMar w:top="1418" w:right="1418" w:bottom="1418" w:left="1418" w:header="709" w:footer="709" w:gutter="0"/>
          <w:pgNumType w:start="1"/>
          <w:cols w:space="708"/>
          <w:titlePg/>
          <w:docGrid w:linePitch="360"/>
        </w:sectPr>
      </w:pPr>
    </w:p>
    <w:p w14:paraId="382416F0" w14:textId="77777777" w:rsidR="00803CF9" w:rsidRDefault="00803CF9" w:rsidP="007F6CA3">
      <w:pPr>
        <w:spacing w:after="160" w:line="360" w:lineRule="auto"/>
        <w:ind w:left="4253" w:right="-1"/>
        <w:jc w:val="center"/>
        <w:outlineLvl w:val="0"/>
        <w:rPr>
          <w:rFonts w:ascii="Sylfaen" w:hAnsi="Sylfaen"/>
          <w:sz w:val="24"/>
          <w:szCs w:val="24"/>
        </w:rPr>
      </w:pPr>
    </w:p>
    <w:p w14:paraId="218D6750" w14:textId="77777777" w:rsidR="00803CF9" w:rsidRDefault="00803CF9" w:rsidP="007F6CA3">
      <w:pPr>
        <w:spacing w:after="160" w:line="360" w:lineRule="auto"/>
        <w:ind w:left="4253" w:right="-1"/>
        <w:jc w:val="center"/>
        <w:outlineLvl w:val="0"/>
        <w:rPr>
          <w:rFonts w:ascii="Sylfaen" w:hAnsi="Sylfaen"/>
          <w:sz w:val="24"/>
          <w:szCs w:val="24"/>
        </w:rPr>
      </w:pPr>
    </w:p>
    <w:p w14:paraId="63524E64" w14:textId="414224DF" w:rsidR="008C76E0" w:rsidRPr="003B2786" w:rsidRDefault="008C76E0" w:rsidP="007F6CA3">
      <w:pPr>
        <w:spacing w:after="160" w:line="360" w:lineRule="auto"/>
        <w:ind w:left="4253" w:right="-1"/>
        <w:jc w:val="center"/>
        <w:outlineLvl w:val="0"/>
        <w:rPr>
          <w:rFonts w:ascii="Sylfaen" w:hAnsi="Sylfaen"/>
          <w:sz w:val="24"/>
          <w:szCs w:val="24"/>
        </w:rPr>
      </w:pPr>
      <w:r w:rsidRPr="003B2786">
        <w:rPr>
          <w:rFonts w:ascii="Sylfaen" w:hAnsi="Sylfaen"/>
          <w:sz w:val="24"/>
          <w:szCs w:val="24"/>
        </w:rPr>
        <w:t>ՀԱՎԵԼՎԱԾ ԹԻՎ 17</w:t>
      </w:r>
    </w:p>
    <w:p w14:paraId="67963F6C" w14:textId="77777777" w:rsidR="008C76E0" w:rsidRPr="003B2786" w:rsidRDefault="008C76E0" w:rsidP="007F6CA3">
      <w:pPr>
        <w:spacing w:after="160" w:line="360" w:lineRule="auto"/>
        <w:ind w:left="4253" w:right="-1"/>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0A0BFE0F" w14:textId="77777777" w:rsidR="008C76E0" w:rsidRPr="003B2786" w:rsidRDefault="008C76E0" w:rsidP="007F6CA3">
      <w:pPr>
        <w:spacing w:after="160" w:line="360" w:lineRule="auto"/>
        <w:ind w:left="5103"/>
        <w:rPr>
          <w:rFonts w:ascii="Sylfaen" w:hAnsi="Sylfaen"/>
          <w:sz w:val="24"/>
          <w:szCs w:val="24"/>
        </w:rPr>
      </w:pPr>
    </w:p>
    <w:p w14:paraId="091E478A" w14:textId="77777777" w:rsidR="008C76E0" w:rsidRPr="008C76E0" w:rsidRDefault="008C76E0" w:rsidP="007F6CA3">
      <w:pPr>
        <w:pStyle w:val="Heading130"/>
        <w:shd w:val="clear" w:color="auto" w:fill="auto"/>
        <w:spacing w:before="0" w:after="160" w:line="360" w:lineRule="auto"/>
        <w:ind w:left="567" w:right="567"/>
        <w:rPr>
          <w:rFonts w:ascii="Sylfaen" w:hAnsi="Sylfaen"/>
          <w:b/>
          <w:sz w:val="24"/>
          <w:szCs w:val="24"/>
          <w:lang w:val="hy-AM"/>
        </w:rPr>
      </w:pPr>
      <w:bookmarkStart w:id="12" w:name="bookmark12"/>
      <w:r w:rsidRPr="008C76E0">
        <w:rPr>
          <w:rStyle w:val="Heading13Spacing1pt"/>
          <w:rFonts w:ascii="Sylfaen" w:hAnsi="Sylfaen"/>
          <w:b/>
          <w:sz w:val="24"/>
          <w:szCs w:val="24"/>
          <w:lang w:val="hy-AM"/>
        </w:rPr>
        <w:t>ՁԵՎ</w:t>
      </w:r>
      <w:bookmarkEnd w:id="12"/>
    </w:p>
    <w:p w14:paraId="69AB348C" w14:textId="77777777" w:rsidR="008C76E0" w:rsidRPr="003B2786" w:rsidRDefault="008C76E0" w:rsidP="007F6CA3">
      <w:pPr>
        <w:spacing w:after="160" w:line="360" w:lineRule="auto"/>
        <w:ind w:left="567" w:right="566"/>
        <w:jc w:val="center"/>
        <w:rPr>
          <w:rFonts w:ascii="Sylfaen" w:hAnsi="Sylfaen"/>
          <w:b/>
          <w:sz w:val="24"/>
          <w:szCs w:val="24"/>
        </w:rPr>
      </w:pPr>
      <w:r w:rsidRPr="003B2786">
        <w:rPr>
          <w:rFonts w:ascii="Sylfaen" w:hAnsi="Sylfaen"/>
          <w:b/>
          <w:sz w:val="24"/>
          <w:szCs w:val="24"/>
        </w:rPr>
        <w:t>բժշկական կիրառման համար նախատեսված դեղապատրաստուկի գրանցման հավաստագրի</w:t>
      </w:r>
    </w:p>
    <w:p w14:paraId="680BE0A2" w14:textId="77777777" w:rsidR="008C76E0" w:rsidRPr="003B2786" w:rsidRDefault="008C76E0" w:rsidP="007F6CA3">
      <w:pPr>
        <w:spacing w:after="160" w:line="360" w:lineRule="auto"/>
        <w:ind w:right="-1"/>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2AB597C5" w14:textId="77777777" w:rsidR="008C76E0" w:rsidRPr="003B2786" w:rsidRDefault="008C76E0" w:rsidP="007F6CA3">
      <w:pPr>
        <w:spacing w:after="160" w:line="360" w:lineRule="auto"/>
        <w:ind w:right="-1"/>
        <w:jc w:val="center"/>
        <w:rPr>
          <w:rFonts w:ascii="Sylfaen" w:hAnsi="Sylfaen"/>
          <w:sz w:val="24"/>
          <w:szCs w:val="24"/>
        </w:rPr>
      </w:pPr>
      <w:r w:rsidRPr="003B2786">
        <w:rPr>
          <w:rFonts w:ascii="Sylfaen" w:hAnsi="Sylfaen"/>
          <w:sz w:val="24"/>
          <w:szCs w:val="24"/>
        </w:rPr>
        <w:t>ԳՐԱՆՑՄԱՆ ՀԱՎԱՍՏԱԳԻՐ</w:t>
      </w:r>
    </w:p>
    <w:p w14:paraId="138C3025" w14:textId="77777777" w:rsidR="008C76E0" w:rsidRPr="003B2786" w:rsidRDefault="008C76E0" w:rsidP="007F6CA3">
      <w:pPr>
        <w:spacing w:after="160" w:line="360" w:lineRule="auto"/>
        <w:ind w:right="-1"/>
        <w:jc w:val="center"/>
        <w:rPr>
          <w:rFonts w:ascii="Sylfaen" w:hAnsi="Sylfaen"/>
          <w:sz w:val="24"/>
          <w:szCs w:val="24"/>
        </w:rPr>
      </w:pPr>
      <w:r w:rsidRPr="003B2786">
        <w:rPr>
          <w:rFonts w:ascii="Sylfaen" w:hAnsi="Sylfaen"/>
          <w:sz w:val="24"/>
          <w:szCs w:val="24"/>
        </w:rPr>
        <w:t>բժշկական կիրառման համար նախատեսված դեղապատրաստուկի</w:t>
      </w:r>
    </w:p>
    <w:p w14:paraId="041FAB2D" w14:textId="77777777" w:rsidR="008C76E0" w:rsidRPr="003B2786" w:rsidRDefault="008C76E0" w:rsidP="007F6CA3">
      <w:pPr>
        <w:spacing w:after="160" w:line="360" w:lineRule="auto"/>
        <w:jc w:val="center"/>
        <w:rPr>
          <w:rFonts w:ascii="Sylfaen" w:hAnsi="Sylfaen"/>
          <w:sz w:val="24"/>
          <w:szCs w:val="24"/>
        </w:rPr>
      </w:pPr>
    </w:p>
    <w:p w14:paraId="4DF68582" w14:textId="77777777" w:rsidR="008C76E0" w:rsidRPr="003B2786" w:rsidRDefault="008C76E0" w:rsidP="007F6CA3">
      <w:pPr>
        <w:spacing w:after="160" w:line="360" w:lineRule="auto"/>
        <w:ind w:right="-1"/>
        <w:jc w:val="center"/>
        <w:outlineLvl w:val="0"/>
        <w:rPr>
          <w:rFonts w:ascii="Sylfaen" w:hAnsi="Sylfaen"/>
          <w:sz w:val="24"/>
          <w:szCs w:val="24"/>
        </w:rPr>
      </w:pPr>
      <w:r w:rsidRPr="003B2786">
        <w:rPr>
          <w:rFonts w:ascii="Sylfaen" w:hAnsi="Sylfaen"/>
          <w:sz w:val="24"/>
          <w:szCs w:val="24"/>
        </w:rPr>
        <w:t>ԴՊ-թիվ (XXXXXX)-(YY-ZZ)</w:t>
      </w:r>
    </w:p>
    <w:p w14:paraId="056CB3DB" w14:textId="77777777" w:rsidR="008C76E0" w:rsidRPr="003B2786" w:rsidRDefault="008C76E0" w:rsidP="007F6CA3">
      <w:pPr>
        <w:spacing w:after="160" w:line="360" w:lineRule="auto"/>
        <w:jc w:val="center"/>
        <w:outlineLvl w:val="0"/>
        <w:rPr>
          <w:rFonts w:ascii="Sylfaen" w:hAnsi="Sylfaen"/>
          <w:sz w:val="24"/>
          <w:szCs w:val="24"/>
        </w:rPr>
      </w:pPr>
      <w:r w:rsidRPr="003B2786">
        <w:rPr>
          <w:rFonts w:ascii="Sylfaen" w:hAnsi="Sylfaen"/>
          <w:sz w:val="24"/>
          <w:szCs w:val="24"/>
        </w:rPr>
        <w:t>____________________________________</w:t>
      </w:r>
    </w:p>
    <w:p w14:paraId="363C940D" w14:textId="77777777" w:rsidR="008C76E0" w:rsidRPr="008C76E0" w:rsidRDefault="008C76E0" w:rsidP="007F6CA3">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4"/>
          <w:szCs w:val="24"/>
          <w:lang w:val="hy-AM"/>
        </w:rPr>
        <w:t>(</w:t>
      </w:r>
      <w:r w:rsidRPr="008C76E0">
        <w:rPr>
          <w:rFonts w:ascii="Sylfaen" w:hAnsi="Sylfaen"/>
          <w:b w:val="0"/>
          <w:sz w:val="20"/>
          <w:szCs w:val="20"/>
          <w:lang w:val="hy-AM"/>
        </w:rPr>
        <w:t>գրանցման հավաստագրի համարը)</w:t>
      </w:r>
    </w:p>
    <w:p w14:paraId="4D08991A" w14:textId="77777777" w:rsidR="008C76E0" w:rsidRPr="008C76E0" w:rsidRDefault="008C76E0" w:rsidP="007F6CA3">
      <w:pPr>
        <w:pStyle w:val="Bodytext40"/>
        <w:shd w:val="clear" w:color="auto" w:fill="auto"/>
        <w:spacing w:before="0" w:after="160" w:line="360" w:lineRule="auto"/>
        <w:rPr>
          <w:rFonts w:ascii="Sylfaen" w:hAnsi="Sylfaen"/>
          <w:b w:val="0"/>
          <w:sz w:val="24"/>
          <w:szCs w:val="24"/>
          <w:lang w:val="hy-AM"/>
        </w:rPr>
      </w:pPr>
    </w:p>
    <w:p w14:paraId="5DE6673D" w14:textId="77777777" w:rsidR="008C76E0" w:rsidRPr="003B2786" w:rsidRDefault="008C76E0" w:rsidP="007F6CA3">
      <w:pPr>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կանոններին համապատասխան՝ սույն գրանցման հավաստագիրը տրվել է.</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6048"/>
        <w:gridCol w:w="3134"/>
      </w:tblGrid>
      <w:tr w:rsidR="008C76E0" w:rsidRPr="003B2786" w14:paraId="07E31565" w14:textId="77777777" w:rsidTr="008C76E0">
        <w:trPr>
          <w:jc w:val="center"/>
        </w:trPr>
        <w:tc>
          <w:tcPr>
            <w:tcW w:w="403" w:type="dxa"/>
            <w:tcBorders>
              <w:top w:val="single" w:sz="4" w:space="0" w:color="auto"/>
              <w:left w:val="single" w:sz="4" w:space="0" w:color="auto"/>
            </w:tcBorders>
            <w:shd w:val="clear" w:color="auto" w:fill="FFFFFF"/>
            <w:vAlign w:val="center"/>
          </w:tcPr>
          <w:p w14:paraId="6B13857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1</w:t>
            </w:r>
          </w:p>
        </w:tc>
        <w:tc>
          <w:tcPr>
            <w:tcW w:w="6048" w:type="dxa"/>
            <w:tcBorders>
              <w:top w:val="single" w:sz="4" w:space="0" w:color="auto"/>
              <w:left w:val="single" w:sz="4" w:space="0" w:color="auto"/>
            </w:tcBorders>
            <w:shd w:val="clear" w:color="auto" w:fill="FFFFFF"/>
            <w:vAlign w:val="bottom"/>
          </w:tcPr>
          <w:p w14:paraId="66F44587"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իրավատիրոջ անվանումը.</w:t>
            </w:r>
          </w:p>
        </w:tc>
        <w:tc>
          <w:tcPr>
            <w:tcW w:w="3134" w:type="dxa"/>
            <w:tcBorders>
              <w:top w:val="single" w:sz="4" w:space="0" w:color="auto"/>
              <w:left w:val="single" w:sz="4" w:space="0" w:color="auto"/>
              <w:right w:val="single" w:sz="4" w:space="0" w:color="auto"/>
            </w:tcBorders>
            <w:shd w:val="clear" w:color="auto" w:fill="FFFFFF"/>
          </w:tcPr>
          <w:p w14:paraId="441C2C7A"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BFFFF00" w14:textId="77777777" w:rsidTr="008C76E0">
        <w:trPr>
          <w:jc w:val="center"/>
        </w:trPr>
        <w:tc>
          <w:tcPr>
            <w:tcW w:w="403" w:type="dxa"/>
            <w:tcBorders>
              <w:top w:val="single" w:sz="4" w:space="0" w:color="auto"/>
              <w:left w:val="single" w:sz="4" w:space="0" w:color="auto"/>
            </w:tcBorders>
            <w:shd w:val="clear" w:color="auto" w:fill="FFFFFF"/>
            <w:vAlign w:val="center"/>
          </w:tcPr>
          <w:p w14:paraId="2DB88BB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2</w:t>
            </w:r>
          </w:p>
        </w:tc>
        <w:tc>
          <w:tcPr>
            <w:tcW w:w="6048" w:type="dxa"/>
            <w:tcBorders>
              <w:top w:val="single" w:sz="4" w:space="0" w:color="auto"/>
              <w:left w:val="single" w:sz="4" w:space="0" w:color="auto"/>
            </w:tcBorders>
            <w:shd w:val="clear" w:color="auto" w:fill="FFFFFF"/>
            <w:vAlign w:val="bottom"/>
          </w:tcPr>
          <w:p w14:paraId="1BD41ADC"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իրավատիրոջ հասցեն.</w:t>
            </w:r>
          </w:p>
        </w:tc>
        <w:tc>
          <w:tcPr>
            <w:tcW w:w="3134" w:type="dxa"/>
            <w:tcBorders>
              <w:top w:val="single" w:sz="4" w:space="0" w:color="auto"/>
              <w:left w:val="single" w:sz="4" w:space="0" w:color="auto"/>
              <w:right w:val="single" w:sz="4" w:space="0" w:color="auto"/>
            </w:tcBorders>
            <w:shd w:val="clear" w:color="auto" w:fill="FFFFFF"/>
          </w:tcPr>
          <w:p w14:paraId="331732A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61F4DDD" w14:textId="77777777" w:rsidTr="008C76E0">
        <w:trPr>
          <w:jc w:val="center"/>
        </w:trPr>
        <w:tc>
          <w:tcPr>
            <w:tcW w:w="403" w:type="dxa"/>
            <w:tcBorders>
              <w:top w:val="single" w:sz="4" w:space="0" w:color="auto"/>
              <w:left w:val="single" w:sz="4" w:space="0" w:color="auto"/>
            </w:tcBorders>
            <w:shd w:val="clear" w:color="auto" w:fill="FFFFFF"/>
            <w:vAlign w:val="bottom"/>
          </w:tcPr>
          <w:p w14:paraId="46E668E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3</w:t>
            </w:r>
          </w:p>
        </w:tc>
        <w:tc>
          <w:tcPr>
            <w:tcW w:w="6048" w:type="dxa"/>
            <w:tcBorders>
              <w:top w:val="single" w:sz="4" w:space="0" w:color="auto"/>
              <w:left w:val="single" w:sz="4" w:space="0" w:color="auto"/>
            </w:tcBorders>
            <w:shd w:val="clear" w:color="auto" w:fill="FFFFFF"/>
            <w:vAlign w:val="bottom"/>
          </w:tcPr>
          <w:p w14:paraId="1053782E"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ամսաթիվը.</w:t>
            </w:r>
          </w:p>
        </w:tc>
        <w:tc>
          <w:tcPr>
            <w:tcW w:w="3134" w:type="dxa"/>
            <w:tcBorders>
              <w:top w:val="single" w:sz="4" w:space="0" w:color="auto"/>
              <w:left w:val="single" w:sz="4" w:space="0" w:color="auto"/>
              <w:right w:val="single" w:sz="4" w:space="0" w:color="auto"/>
            </w:tcBorders>
            <w:shd w:val="clear" w:color="auto" w:fill="FFFFFF"/>
          </w:tcPr>
          <w:p w14:paraId="6D3645C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E2DB6FB" w14:textId="77777777" w:rsidTr="008C76E0">
        <w:trPr>
          <w:jc w:val="center"/>
        </w:trPr>
        <w:tc>
          <w:tcPr>
            <w:tcW w:w="403" w:type="dxa"/>
            <w:tcBorders>
              <w:top w:val="single" w:sz="4" w:space="0" w:color="auto"/>
              <w:left w:val="single" w:sz="4" w:space="0" w:color="auto"/>
            </w:tcBorders>
            <w:shd w:val="clear" w:color="auto" w:fill="FFFFFF"/>
          </w:tcPr>
          <w:p w14:paraId="09FAF3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lastRenderedPageBreak/>
              <w:t>4</w:t>
            </w:r>
          </w:p>
        </w:tc>
        <w:tc>
          <w:tcPr>
            <w:tcW w:w="6048" w:type="dxa"/>
            <w:tcBorders>
              <w:top w:val="single" w:sz="4" w:space="0" w:color="auto"/>
              <w:left w:val="single" w:sz="4" w:space="0" w:color="auto"/>
            </w:tcBorders>
            <w:shd w:val="clear" w:color="auto" w:fill="FFFFFF"/>
            <w:vAlign w:val="bottom"/>
          </w:tcPr>
          <w:p w14:paraId="7B51A6AC"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գործողության ժամկետը լրանալու ամսաթիվը.</w:t>
            </w:r>
          </w:p>
        </w:tc>
        <w:tc>
          <w:tcPr>
            <w:tcW w:w="3134" w:type="dxa"/>
            <w:tcBorders>
              <w:top w:val="single" w:sz="4" w:space="0" w:color="auto"/>
              <w:left w:val="single" w:sz="4" w:space="0" w:color="auto"/>
              <w:right w:val="single" w:sz="4" w:space="0" w:color="auto"/>
            </w:tcBorders>
            <w:shd w:val="clear" w:color="auto" w:fill="FFFFFF"/>
          </w:tcPr>
          <w:p w14:paraId="067413F1"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8469640" w14:textId="77777777" w:rsidTr="008C76E0">
        <w:trPr>
          <w:jc w:val="center"/>
        </w:trPr>
        <w:tc>
          <w:tcPr>
            <w:tcW w:w="403" w:type="dxa"/>
            <w:tcBorders>
              <w:top w:val="single" w:sz="4" w:space="0" w:color="auto"/>
              <w:left w:val="single" w:sz="4" w:space="0" w:color="auto"/>
            </w:tcBorders>
            <w:shd w:val="clear" w:color="auto" w:fill="FFFFFF"/>
          </w:tcPr>
          <w:p w14:paraId="2AD178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5</w:t>
            </w:r>
          </w:p>
        </w:tc>
        <w:tc>
          <w:tcPr>
            <w:tcW w:w="6048" w:type="dxa"/>
            <w:tcBorders>
              <w:top w:val="single" w:sz="4" w:space="0" w:color="auto"/>
              <w:left w:val="single" w:sz="4" w:space="0" w:color="auto"/>
            </w:tcBorders>
            <w:shd w:val="clear" w:color="auto" w:fill="FFFFFF"/>
            <w:vAlign w:val="bottom"/>
          </w:tcPr>
          <w:p w14:paraId="40F66AE7"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Գրանցումը (վերագրանցումը) հաստատելու ամսաթիվը.</w:t>
            </w:r>
          </w:p>
        </w:tc>
        <w:tc>
          <w:tcPr>
            <w:tcW w:w="3134" w:type="dxa"/>
            <w:tcBorders>
              <w:top w:val="single" w:sz="4" w:space="0" w:color="auto"/>
              <w:left w:val="single" w:sz="4" w:space="0" w:color="auto"/>
              <w:right w:val="single" w:sz="4" w:space="0" w:color="auto"/>
            </w:tcBorders>
            <w:shd w:val="clear" w:color="auto" w:fill="FFFFFF"/>
          </w:tcPr>
          <w:p w14:paraId="486FE8E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A6BD7A9" w14:textId="77777777" w:rsidTr="008C76E0">
        <w:trPr>
          <w:jc w:val="center"/>
        </w:trPr>
        <w:tc>
          <w:tcPr>
            <w:tcW w:w="403" w:type="dxa"/>
            <w:tcBorders>
              <w:top w:val="single" w:sz="4" w:space="0" w:color="auto"/>
              <w:left w:val="single" w:sz="4" w:space="0" w:color="auto"/>
            </w:tcBorders>
            <w:shd w:val="clear" w:color="auto" w:fill="FFFFFF"/>
            <w:vAlign w:val="center"/>
          </w:tcPr>
          <w:p w14:paraId="16FECEC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6</w:t>
            </w:r>
          </w:p>
        </w:tc>
        <w:tc>
          <w:tcPr>
            <w:tcW w:w="6048" w:type="dxa"/>
            <w:tcBorders>
              <w:top w:val="single" w:sz="4" w:space="0" w:color="auto"/>
              <w:left w:val="single" w:sz="4" w:space="0" w:color="auto"/>
            </w:tcBorders>
            <w:shd w:val="clear" w:color="auto" w:fill="FFFFFF"/>
            <w:vAlign w:val="bottom"/>
          </w:tcPr>
          <w:p w14:paraId="48502EC4"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հավաստագրում փոփոխություններ կատարելու (վերաձ</w:t>
            </w:r>
            <w:r w:rsidR="00C54D75">
              <w:rPr>
                <w:rStyle w:val="Bodytext295pt"/>
                <w:rFonts w:ascii="Sylfaen" w:hAnsi="Sylfaen"/>
                <w:sz w:val="24"/>
                <w:szCs w:val="24"/>
              </w:rPr>
              <w:t>և</w:t>
            </w:r>
            <w:r w:rsidRPr="003B2786">
              <w:rPr>
                <w:rStyle w:val="Bodytext295pt"/>
                <w:rFonts w:ascii="Sylfaen" w:hAnsi="Sylfaen"/>
                <w:sz w:val="24"/>
                <w:szCs w:val="24"/>
              </w:rPr>
              <w:t>ակերպելու) ամսաթիվը.</w:t>
            </w:r>
          </w:p>
        </w:tc>
        <w:tc>
          <w:tcPr>
            <w:tcW w:w="3134" w:type="dxa"/>
            <w:tcBorders>
              <w:top w:val="single" w:sz="4" w:space="0" w:color="auto"/>
              <w:left w:val="single" w:sz="4" w:space="0" w:color="auto"/>
              <w:right w:val="single" w:sz="4" w:space="0" w:color="auto"/>
            </w:tcBorders>
            <w:shd w:val="clear" w:color="auto" w:fill="FFFFFF"/>
          </w:tcPr>
          <w:p w14:paraId="471EFA0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3BDC16F" w14:textId="77777777" w:rsidTr="008C76E0">
        <w:trPr>
          <w:jc w:val="center"/>
        </w:trPr>
        <w:tc>
          <w:tcPr>
            <w:tcW w:w="403" w:type="dxa"/>
            <w:tcBorders>
              <w:top w:val="single" w:sz="4" w:space="0" w:color="auto"/>
              <w:left w:val="single" w:sz="4" w:space="0" w:color="auto"/>
              <w:bottom w:val="single" w:sz="4" w:space="0" w:color="auto"/>
            </w:tcBorders>
            <w:shd w:val="clear" w:color="auto" w:fill="FFFFFF"/>
            <w:vAlign w:val="bottom"/>
          </w:tcPr>
          <w:p w14:paraId="663D297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7</w:t>
            </w:r>
          </w:p>
        </w:tc>
        <w:tc>
          <w:tcPr>
            <w:tcW w:w="6048" w:type="dxa"/>
            <w:tcBorders>
              <w:top w:val="single" w:sz="4" w:space="0" w:color="auto"/>
              <w:left w:val="single" w:sz="4" w:space="0" w:color="auto"/>
              <w:bottom w:val="single" w:sz="4" w:space="0" w:color="auto"/>
            </w:tcBorders>
            <w:shd w:val="clear" w:color="auto" w:fill="FFFFFF"/>
            <w:vAlign w:val="bottom"/>
          </w:tcPr>
          <w:p w14:paraId="536B8C9F"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1811pt"/>
                <w:rFonts w:ascii="Sylfaen" w:hAnsi="Sylfaen"/>
                <w:sz w:val="24"/>
                <w:szCs w:val="24"/>
              </w:rPr>
              <w:t>Ռեֆերենտ</w:t>
            </w:r>
            <w:r w:rsidRPr="003B2786">
              <w:rPr>
                <w:rStyle w:val="Bodytext295pt"/>
                <w:rFonts w:ascii="Sylfaen" w:hAnsi="Sylfaen"/>
                <w:sz w:val="24"/>
                <w:szCs w:val="24"/>
              </w:rPr>
              <w:t xml:space="preserve"> պետությունում գրանցման ամսաթիվը.</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14:paraId="5FFE8EEB" w14:textId="77777777" w:rsidR="008C76E0" w:rsidRPr="003B2786" w:rsidRDefault="008C76E0" w:rsidP="008C76E0">
            <w:pPr>
              <w:spacing w:after="120" w:line="240" w:lineRule="auto"/>
              <w:jc w:val="both"/>
              <w:rPr>
                <w:rFonts w:ascii="Sylfaen" w:hAnsi="Sylfaen"/>
                <w:sz w:val="24"/>
                <w:szCs w:val="24"/>
              </w:rPr>
            </w:pPr>
          </w:p>
        </w:tc>
      </w:tr>
    </w:tbl>
    <w:p w14:paraId="61B2A706" w14:textId="77777777" w:rsidR="008C76E0" w:rsidRPr="003B2786" w:rsidRDefault="00C54D75" w:rsidP="008C76E0">
      <w:pPr>
        <w:pBdr>
          <w:bottom w:val="single" w:sz="6" w:space="1" w:color="auto"/>
        </w:pBdr>
        <w:jc w:val="both"/>
        <w:rPr>
          <w:rFonts w:ascii="Sylfaen" w:hAnsi="Sylfaen"/>
          <w:sz w:val="24"/>
          <w:szCs w:val="24"/>
        </w:rPr>
      </w:pPr>
      <w:r>
        <w:rPr>
          <w:rFonts w:ascii="Sylfaen" w:hAnsi="Sylfaen"/>
          <w:sz w:val="24"/>
          <w:szCs w:val="24"/>
        </w:rPr>
        <w:t>և</w:t>
      </w:r>
      <w:r w:rsidR="008C76E0" w:rsidRPr="003B2786">
        <w:rPr>
          <w:rFonts w:ascii="Sylfaen" w:hAnsi="Sylfaen"/>
          <w:sz w:val="24"/>
          <w:szCs w:val="24"/>
        </w:rPr>
        <w:t xml:space="preserve"> հաստատում է, որ դեղապատրաստուկը գրանցված է </w:t>
      </w:r>
      <w:r>
        <w:rPr>
          <w:rFonts w:ascii="Sylfaen" w:hAnsi="Sylfaen"/>
          <w:sz w:val="24"/>
          <w:szCs w:val="24"/>
        </w:rPr>
        <w:t>և</w:t>
      </w:r>
      <w:r w:rsidR="008C76E0" w:rsidRPr="003B2786">
        <w:rPr>
          <w:rFonts w:ascii="Sylfaen" w:hAnsi="Sylfaen"/>
          <w:sz w:val="24"/>
          <w:szCs w:val="24"/>
        </w:rPr>
        <w:t xml:space="preserve"> թույլատրված է </w:t>
      </w:r>
    </w:p>
    <w:p w14:paraId="1DBE7A02" w14:textId="77777777" w:rsidR="008C76E0" w:rsidRPr="00B65002" w:rsidRDefault="008C76E0" w:rsidP="008C76E0">
      <w:pPr>
        <w:spacing w:after="0"/>
        <w:jc w:val="center"/>
        <w:rPr>
          <w:rFonts w:ascii="Sylfaen" w:hAnsi="Sylfaen"/>
          <w:sz w:val="20"/>
          <w:szCs w:val="20"/>
        </w:rPr>
      </w:pPr>
      <w:r w:rsidRPr="00B65002">
        <w:rPr>
          <w:rFonts w:ascii="Sylfaen" w:hAnsi="Sylfaen"/>
          <w:sz w:val="20"/>
          <w:szCs w:val="20"/>
        </w:rPr>
        <w:t>(Եվրասիական տնտեսական միության անդամ պետություն) տարածքում բժշկական նպատակներով կիրառման</w:t>
      </w:r>
    </w:p>
    <w:p w14:paraId="2F5B56A0" w14:textId="77777777" w:rsidR="008C76E0" w:rsidRPr="003B2786" w:rsidRDefault="008C76E0" w:rsidP="008C76E0">
      <w:pPr>
        <w:spacing w:after="120" w:line="240" w:lineRule="auto"/>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4392"/>
        <w:gridCol w:w="1954"/>
        <w:gridCol w:w="552"/>
        <w:gridCol w:w="2165"/>
      </w:tblGrid>
      <w:tr w:rsidR="008C76E0" w:rsidRPr="003B2786" w14:paraId="333EE341" w14:textId="77777777" w:rsidTr="008C76E0">
        <w:trPr>
          <w:jc w:val="center"/>
        </w:trPr>
        <w:tc>
          <w:tcPr>
            <w:tcW w:w="9586" w:type="dxa"/>
            <w:gridSpan w:val="5"/>
            <w:shd w:val="clear" w:color="auto" w:fill="FFFFFF"/>
          </w:tcPr>
          <w:p w14:paraId="5E16FEEE"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Գրանցված դեղապատրաստուկի վերաբերյալ տեղեկատվությունը</w:t>
            </w:r>
          </w:p>
        </w:tc>
      </w:tr>
      <w:tr w:rsidR="008C76E0" w:rsidRPr="003B2786" w14:paraId="01549871" w14:textId="77777777" w:rsidTr="008C76E0">
        <w:trPr>
          <w:jc w:val="center"/>
        </w:trPr>
        <w:tc>
          <w:tcPr>
            <w:tcW w:w="523" w:type="dxa"/>
            <w:tcBorders>
              <w:top w:val="single" w:sz="4" w:space="0" w:color="auto"/>
              <w:left w:val="single" w:sz="4" w:space="0" w:color="auto"/>
            </w:tcBorders>
            <w:shd w:val="clear" w:color="auto" w:fill="FFFFFF"/>
            <w:vAlign w:val="bottom"/>
          </w:tcPr>
          <w:p w14:paraId="0EA0F29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8</w:t>
            </w:r>
          </w:p>
        </w:tc>
        <w:tc>
          <w:tcPr>
            <w:tcW w:w="6898" w:type="dxa"/>
            <w:gridSpan w:val="3"/>
            <w:tcBorders>
              <w:top w:val="single" w:sz="4" w:space="0" w:color="auto"/>
              <w:left w:val="single" w:sz="4" w:space="0" w:color="auto"/>
            </w:tcBorders>
            <w:shd w:val="clear" w:color="auto" w:fill="FFFFFF"/>
            <w:vAlign w:val="bottom"/>
          </w:tcPr>
          <w:p w14:paraId="4F86F9EC"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Դեղապատրաստուկի առ</w:t>
            </w:r>
            <w:r w:rsidR="00C54D75">
              <w:rPr>
                <w:rStyle w:val="Bodytext295pt"/>
                <w:rFonts w:ascii="Sylfaen" w:hAnsi="Sylfaen"/>
                <w:sz w:val="24"/>
                <w:szCs w:val="24"/>
              </w:rPr>
              <w:t>և</w:t>
            </w:r>
            <w:r w:rsidRPr="003B2786">
              <w:rPr>
                <w:rStyle w:val="Bodytext295pt"/>
                <w:rFonts w:ascii="Sylfaen" w:hAnsi="Sylfaen"/>
                <w:sz w:val="24"/>
                <w:szCs w:val="24"/>
              </w:rPr>
              <w:t>տրային անվանումը.</w:t>
            </w:r>
          </w:p>
        </w:tc>
        <w:tc>
          <w:tcPr>
            <w:tcW w:w="2165" w:type="dxa"/>
            <w:tcBorders>
              <w:top w:val="single" w:sz="4" w:space="0" w:color="auto"/>
              <w:left w:val="single" w:sz="4" w:space="0" w:color="auto"/>
              <w:right w:val="single" w:sz="4" w:space="0" w:color="auto"/>
            </w:tcBorders>
            <w:shd w:val="clear" w:color="auto" w:fill="FFFFFF"/>
          </w:tcPr>
          <w:p w14:paraId="082EAAA1"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D8E1DB6" w14:textId="77777777" w:rsidTr="008C76E0">
        <w:trPr>
          <w:jc w:val="center"/>
        </w:trPr>
        <w:tc>
          <w:tcPr>
            <w:tcW w:w="523" w:type="dxa"/>
            <w:tcBorders>
              <w:top w:val="single" w:sz="4" w:space="0" w:color="auto"/>
              <w:left w:val="single" w:sz="4" w:space="0" w:color="auto"/>
            </w:tcBorders>
            <w:shd w:val="clear" w:color="auto" w:fill="FFFFFF"/>
          </w:tcPr>
          <w:p w14:paraId="2568D22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9</w:t>
            </w:r>
          </w:p>
        </w:tc>
        <w:tc>
          <w:tcPr>
            <w:tcW w:w="6898" w:type="dxa"/>
            <w:gridSpan w:val="3"/>
            <w:tcBorders>
              <w:top w:val="single" w:sz="4" w:space="0" w:color="auto"/>
              <w:left w:val="single" w:sz="4" w:space="0" w:color="auto"/>
            </w:tcBorders>
            <w:shd w:val="clear" w:color="auto" w:fill="FFFFFF"/>
            <w:vAlign w:val="bottom"/>
          </w:tcPr>
          <w:p w14:paraId="41524D33"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Միջազգային չարտոնագրված անվանումը (ՄՉԱ) կամ համընդհանուր (խմբային) անվանումը կամ ակտիվ դեղագործական բաղադրամասի քիմիական անվանումը (ՄՉԱ-ի բացակայության դեպքում).</w:t>
            </w:r>
          </w:p>
        </w:tc>
        <w:tc>
          <w:tcPr>
            <w:tcW w:w="2165" w:type="dxa"/>
            <w:tcBorders>
              <w:top w:val="single" w:sz="4" w:space="0" w:color="auto"/>
              <w:left w:val="single" w:sz="4" w:space="0" w:color="auto"/>
              <w:right w:val="single" w:sz="4" w:space="0" w:color="auto"/>
            </w:tcBorders>
            <w:shd w:val="clear" w:color="auto" w:fill="FFFFFF"/>
          </w:tcPr>
          <w:p w14:paraId="0D68839F"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D860FCF" w14:textId="77777777" w:rsidTr="008C76E0">
        <w:trPr>
          <w:jc w:val="center"/>
        </w:trPr>
        <w:tc>
          <w:tcPr>
            <w:tcW w:w="523" w:type="dxa"/>
            <w:tcBorders>
              <w:top w:val="single" w:sz="4" w:space="0" w:color="auto"/>
              <w:left w:val="single" w:sz="4" w:space="0" w:color="auto"/>
            </w:tcBorders>
            <w:shd w:val="clear" w:color="auto" w:fill="FFFFFF"/>
            <w:vAlign w:val="bottom"/>
          </w:tcPr>
          <w:p w14:paraId="5016BCB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10</w:t>
            </w:r>
          </w:p>
        </w:tc>
        <w:tc>
          <w:tcPr>
            <w:tcW w:w="6898" w:type="dxa"/>
            <w:gridSpan w:val="3"/>
            <w:tcBorders>
              <w:top w:val="single" w:sz="4" w:space="0" w:color="auto"/>
              <w:left w:val="single" w:sz="4" w:space="0" w:color="auto"/>
            </w:tcBorders>
            <w:shd w:val="clear" w:color="auto" w:fill="FFFFFF"/>
            <w:vAlign w:val="bottom"/>
          </w:tcPr>
          <w:p w14:paraId="13536E9D"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2165" w:type="dxa"/>
            <w:tcBorders>
              <w:top w:val="single" w:sz="4" w:space="0" w:color="auto"/>
              <w:left w:val="single" w:sz="4" w:space="0" w:color="auto"/>
              <w:right w:val="single" w:sz="4" w:space="0" w:color="auto"/>
            </w:tcBorders>
            <w:shd w:val="clear" w:color="auto" w:fill="FFFFFF"/>
          </w:tcPr>
          <w:p w14:paraId="02C7293F"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31FB4CA" w14:textId="77777777" w:rsidTr="008C76E0">
        <w:trPr>
          <w:jc w:val="center"/>
        </w:trPr>
        <w:tc>
          <w:tcPr>
            <w:tcW w:w="523" w:type="dxa"/>
            <w:tcBorders>
              <w:top w:val="single" w:sz="4" w:space="0" w:color="auto"/>
              <w:left w:val="single" w:sz="4" w:space="0" w:color="auto"/>
            </w:tcBorders>
            <w:shd w:val="clear" w:color="auto" w:fill="FFFFFF"/>
            <w:vAlign w:val="bottom"/>
          </w:tcPr>
          <w:p w14:paraId="0B193B5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11</w:t>
            </w:r>
          </w:p>
        </w:tc>
        <w:tc>
          <w:tcPr>
            <w:tcW w:w="6898" w:type="dxa"/>
            <w:gridSpan w:val="3"/>
            <w:tcBorders>
              <w:top w:val="single" w:sz="4" w:space="0" w:color="auto"/>
              <w:left w:val="single" w:sz="4" w:space="0" w:color="auto"/>
            </w:tcBorders>
            <w:shd w:val="clear" w:color="auto" w:fill="FFFFFF"/>
            <w:vAlign w:val="bottom"/>
          </w:tcPr>
          <w:p w14:paraId="6206397E"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Դոզան (դոզաները).</w:t>
            </w:r>
          </w:p>
        </w:tc>
        <w:tc>
          <w:tcPr>
            <w:tcW w:w="2165" w:type="dxa"/>
            <w:tcBorders>
              <w:top w:val="single" w:sz="4" w:space="0" w:color="auto"/>
              <w:left w:val="single" w:sz="4" w:space="0" w:color="auto"/>
              <w:right w:val="single" w:sz="4" w:space="0" w:color="auto"/>
            </w:tcBorders>
            <w:shd w:val="clear" w:color="auto" w:fill="FFFFFF"/>
          </w:tcPr>
          <w:p w14:paraId="23D87C27"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4A9C1F1" w14:textId="77777777" w:rsidTr="008C76E0">
        <w:trPr>
          <w:jc w:val="center"/>
        </w:trPr>
        <w:tc>
          <w:tcPr>
            <w:tcW w:w="523" w:type="dxa"/>
            <w:tcBorders>
              <w:top w:val="single" w:sz="4" w:space="0" w:color="auto"/>
              <w:left w:val="single" w:sz="4" w:space="0" w:color="auto"/>
            </w:tcBorders>
            <w:shd w:val="clear" w:color="auto" w:fill="FFFFFF"/>
            <w:vAlign w:val="bottom"/>
          </w:tcPr>
          <w:p w14:paraId="3267944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12</w:t>
            </w:r>
          </w:p>
        </w:tc>
        <w:tc>
          <w:tcPr>
            <w:tcW w:w="6898" w:type="dxa"/>
            <w:gridSpan w:val="3"/>
            <w:tcBorders>
              <w:top w:val="single" w:sz="4" w:space="0" w:color="auto"/>
              <w:left w:val="single" w:sz="4" w:space="0" w:color="auto"/>
            </w:tcBorders>
            <w:shd w:val="clear" w:color="auto" w:fill="FFFFFF"/>
            <w:vAlign w:val="bottom"/>
          </w:tcPr>
          <w:p w14:paraId="4AB155E4"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Բացթողման ձ</w:t>
            </w:r>
            <w:r w:rsidR="00C54D75">
              <w:rPr>
                <w:rStyle w:val="Bodytext295pt"/>
                <w:rFonts w:ascii="Sylfaen" w:hAnsi="Sylfaen"/>
                <w:sz w:val="24"/>
                <w:szCs w:val="24"/>
              </w:rPr>
              <w:t>և</w:t>
            </w:r>
            <w:r w:rsidRPr="003B2786">
              <w:rPr>
                <w:rStyle w:val="Bodytext295pt"/>
                <w:rFonts w:ascii="Sylfaen" w:hAnsi="Sylfaen"/>
                <w:sz w:val="24"/>
                <w:szCs w:val="24"/>
              </w:rPr>
              <w:t>ը (ձ</w:t>
            </w:r>
            <w:r w:rsidR="00C54D75">
              <w:rPr>
                <w:rStyle w:val="Bodytext295pt"/>
                <w:rFonts w:ascii="Sylfaen" w:hAnsi="Sylfaen"/>
                <w:sz w:val="24"/>
                <w:szCs w:val="24"/>
              </w:rPr>
              <w:t>և</w:t>
            </w:r>
            <w:r w:rsidRPr="003B2786">
              <w:rPr>
                <w:rStyle w:val="Bodytext295pt"/>
                <w:rFonts w:ascii="Sylfaen" w:hAnsi="Sylfaen"/>
                <w:sz w:val="24"/>
                <w:szCs w:val="24"/>
              </w:rPr>
              <w:t>երը).</w:t>
            </w:r>
          </w:p>
        </w:tc>
        <w:tc>
          <w:tcPr>
            <w:tcW w:w="2165" w:type="dxa"/>
            <w:tcBorders>
              <w:top w:val="single" w:sz="4" w:space="0" w:color="auto"/>
              <w:left w:val="single" w:sz="4" w:space="0" w:color="auto"/>
              <w:right w:val="single" w:sz="4" w:space="0" w:color="auto"/>
            </w:tcBorders>
            <w:shd w:val="clear" w:color="auto" w:fill="FFFFFF"/>
          </w:tcPr>
          <w:p w14:paraId="1038F8B4" w14:textId="77777777" w:rsidR="008C76E0" w:rsidRPr="003B2786" w:rsidRDefault="008C76E0" w:rsidP="008C76E0">
            <w:pPr>
              <w:spacing w:after="120" w:line="240" w:lineRule="auto"/>
              <w:jc w:val="both"/>
              <w:rPr>
                <w:rFonts w:ascii="Sylfaen" w:hAnsi="Sylfaen"/>
                <w:sz w:val="24"/>
                <w:szCs w:val="24"/>
              </w:rPr>
            </w:pPr>
          </w:p>
        </w:tc>
      </w:tr>
      <w:tr w:rsidR="00230A31" w:rsidRPr="003B2786" w14:paraId="6F06E669" w14:textId="77777777" w:rsidTr="008C76E0">
        <w:trPr>
          <w:jc w:val="center"/>
        </w:trPr>
        <w:tc>
          <w:tcPr>
            <w:tcW w:w="523" w:type="dxa"/>
            <w:tcBorders>
              <w:top w:val="single" w:sz="4" w:space="0" w:color="auto"/>
              <w:left w:val="single" w:sz="4" w:space="0" w:color="auto"/>
            </w:tcBorders>
            <w:shd w:val="clear" w:color="auto" w:fill="FFFFFF"/>
            <w:vAlign w:val="bottom"/>
          </w:tcPr>
          <w:p w14:paraId="36E6767A" w14:textId="7F920025" w:rsidR="00230A31" w:rsidRPr="003B2786" w:rsidRDefault="00230A31" w:rsidP="008C76E0">
            <w:pPr>
              <w:pStyle w:val="Bodytext180"/>
              <w:shd w:val="clear" w:color="auto" w:fill="auto"/>
              <w:spacing w:before="0" w:after="120" w:line="240" w:lineRule="auto"/>
              <w:ind w:firstLine="0"/>
              <w:jc w:val="center"/>
              <w:rPr>
                <w:rStyle w:val="Bodytext295pt"/>
                <w:rFonts w:ascii="Sylfaen" w:hAnsi="Sylfaen"/>
                <w:sz w:val="24"/>
                <w:szCs w:val="24"/>
              </w:rPr>
            </w:pPr>
            <w:r w:rsidRPr="00230A31">
              <w:rPr>
                <w:rStyle w:val="Bodytext295pt"/>
                <w:rFonts w:ascii="Sylfaen" w:hAnsi="Sylfaen"/>
                <w:sz w:val="24"/>
                <w:szCs w:val="24"/>
              </w:rPr>
              <w:t>12.1</w:t>
            </w:r>
          </w:p>
        </w:tc>
        <w:tc>
          <w:tcPr>
            <w:tcW w:w="6898" w:type="dxa"/>
            <w:gridSpan w:val="3"/>
            <w:tcBorders>
              <w:top w:val="single" w:sz="4" w:space="0" w:color="auto"/>
              <w:left w:val="single" w:sz="4" w:space="0" w:color="auto"/>
            </w:tcBorders>
            <w:shd w:val="clear" w:color="auto" w:fill="FFFFFF"/>
            <w:vAlign w:val="bottom"/>
          </w:tcPr>
          <w:p w14:paraId="425C0568" w14:textId="3B1825FF" w:rsidR="00230A31" w:rsidRPr="00230A31" w:rsidRDefault="00230A31" w:rsidP="008C76E0">
            <w:pPr>
              <w:pStyle w:val="Bodytext180"/>
              <w:shd w:val="clear" w:color="auto" w:fill="auto"/>
              <w:spacing w:before="0" w:after="120" w:line="240" w:lineRule="auto"/>
              <w:ind w:left="61" w:right="69" w:firstLine="0"/>
              <w:rPr>
                <w:rStyle w:val="Bodytext295pt"/>
                <w:rFonts w:ascii="Sylfaen" w:hAnsi="Sylfaen"/>
                <w:sz w:val="24"/>
                <w:szCs w:val="24"/>
              </w:rPr>
            </w:pPr>
            <w:r w:rsidRPr="00230A31">
              <w:rPr>
                <w:rStyle w:val="Bodytext295pt"/>
                <w:rFonts w:ascii="Sylfaen" w:hAnsi="Sylfaen"/>
                <w:sz w:val="24"/>
                <w:szCs w:val="24"/>
              </w:rPr>
              <w:t>Չբաժնեծրարված արտադրանքի (bulk product) բացթողման ձևը</w:t>
            </w:r>
          </w:p>
        </w:tc>
        <w:tc>
          <w:tcPr>
            <w:tcW w:w="2165" w:type="dxa"/>
            <w:tcBorders>
              <w:top w:val="single" w:sz="4" w:space="0" w:color="auto"/>
              <w:left w:val="single" w:sz="4" w:space="0" w:color="auto"/>
              <w:right w:val="single" w:sz="4" w:space="0" w:color="auto"/>
            </w:tcBorders>
            <w:shd w:val="clear" w:color="auto" w:fill="FFFFFF"/>
          </w:tcPr>
          <w:p w14:paraId="5F482D83" w14:textId="77777777" w:rsidR="00230A31" w:rsidRPr="003B2786" w:rsidRDefault="00230A31" w:rsidP="008C76E0">
            <w:pPr>
              <w:spacing w:after="120" w:line="240" w:lineRule="auto"/>
              <w:jc w:val="both"/>
              <w:rPr>
                <w:rFonts w:ascii="Sylfaen" w:hAnsi="Sylfaen"/>
                <w:sz w:val="24"/>
                <w:szCs w:val="24"/>
              </w:rPr>
            </w:pPr>
          </w:p>
        </w:tc>
      </w:tr>
      <w:tr w:rsidR="008C76E0" w:rsidRPr="003B2786" w14:paraId="73A8F470" w14:textId="77777777" w:rsidTr="008C76E0">
        <w:trPr>
          <w:jc w:val="center"/>
        </w:trPr>
        <w:tc>
          <w:tcPr>
            <w:tcW w:w="523" w:type="dxa"/>
            <w:tcBorders>
              <w:top w:val="single" w:sz="4" w:space="0" w:color="auto"/>
              <w:left w:val="single" w:sz="4" w:space="0" w:color="auto"/>
            </w:tcBorders>
            <w:shd w:val="clear" w:color="auto" w:fill="FFFFFF"/>
            <w:vAlign w:val="bottom"/>
          </w:tcPr>
          <w:p w14:paraId="2F822F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13</w:t>
            </w:r>
          </w:p>
        </w:tc>
        <w:tc>
          <w:tcPr>
            <w:tcW w:w="6898" w:type="dxa"/>
            <w:gridSpan w:val="3"/>
            <w:tcBorders>
              <w:top w:val="single" w:sz="4" w:space="0" w:color="auto"/>
              <w:left w:val="single" w:sz="4" w:space="0" w:color="auto"/>
            </w:tcBorders>
            <w:shd w:val="clear" w:color="auto" w:fill="FFFFFF"/>
            <w:vAlign w:val="bottom"/>
          </w:tcPr>
          <w:p w14:paraId="305FE385"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Դեղապատրաստուկի բաղադրությունը.</w:t>
            </w:r>
          </w:p>
        </w:tc>
        <w:tc>
          <w:tcPr>
            <w:tcW w:w="2165" w:type="dxa"/>
            <w:tcBorders>
              <w:top w:val="single" w:sz="4" w:space="0" w:color="auto"/>
              <w:left w:val="single" w:sz="4" w:space="0" w:color="auto"/>
              <w:right w:val="single" w:sz="4" w:space="0" w:color="auto"/>
            </w:tcBorders>
            <w:shd w:val="clear" w:color="auto" w:fill="FFFFFF"/>
          </w:tcPr>
          <w:p w14:paraId="69A82BE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6293344" w14:textId="77777777" w:rsidTr="008C76E0">
        <w:trPr>
          <w:jc w:val="center"/>
        </w:trPr>
        <w:tc>
          <w:tcPr>
            <w:tcW w:w="9586" w:type="dxa"/>
            <w:gridSpan w:val="5"/>
            <w:tcBorders>
              <w:top w:val="single" w:sz="4" w:space="0" w:color="auto"/>
            </w:tcBorders>
            <w:shd w:val="clear" w:color="auto" w:fill="FFFFFF"/>
            <w:vAlign w:val="center"/>
          </w:tcPr>
          <w:p w14:paraId="1AFB0773" w14:textId="0C8C16DC" w:rsidR="00230A31" w:rsidRPr="00CD4709" w:rsidRDefault="00230A31" w:rsidP="00230A31">
            <w:pPr>
              <w:rPr>
                <w:b/>
                <w:bCs/>
                <w:i/>
                <w:iCs/>
              </w:rPr>
            </w:pPr>
            <w:r w:rsidRPr="00CD4709">
              <w:rPr>
                <w:b/>
                <w:bCs/>
                <w:i/>
                <w:iCs/>
              </w:rPr>
              <w:t>(</w:t>
            </w:r>
            <w:r>
              <w:rPr>
                <w:b/>
                <w:bCs/>
                <w:i/>
                <w:iCs/>
              </w:rPr>
              <w:t>աղյուսակը լրաց. 23.04.21</w:t>
            </w:r>
            <w:r w:rsidRPr="00CD4709">
              <w:rPr>
                <w:b/>
                <w:bCs/>
                <w:i/>
                <w:iCs/>
              </w:rPr>
              <w:t xml:space="preserve"> թիվ</w:t>
            </w:r>
            <w:r>
              <w:rPr>
                <w:b/>
                <w:bCs/>
                <w:i/>
                <w:iCs/>
              </w:rPr>
              <w:t xml:space="preserve"> 34</w:t>
            </w:r>
            <w:r w:rsidRPr="00CD4709">
              <w:rPr>
                <w:b/>
                <w:bCs/>
                <w:i/>
                <w:iCs/>
              </w:rPr>
              <w:t>)</w:t>
            </w:r>
          </w:p>
          <w:p w14:paraId="5E4BBF69" w14:textId="77777777" w:rsidR="00230A31" w:rsidRDefault="00230A31" w:rsidP="008C76E0">
            <w:pPr>
              <w:pStyle w:val="Bodytext180"/>
              <w:shd w:val="clear" w:color="auto" w:fill="auto"/>
              <w:spacing w:before="0" w:after="160" w:line="360" w:lineRule="auto"/>
              <w:ind w:left="532" w:right="529" w:firstLine="0"/>
              <w:jc w:val="center"/>
              <w:rPr>
                <w:rStyle w:val="Bodytext295pt"/>
                <w:rFonts w:ascii="Sylfaen" w:hAnsi="Sylfaen"/>
                <w:sz w:val="24"/>
                <w:szCs w:val="24"/>
              </w:rPr>
            </w:pPr>
          </w:p>
          <w:p w14:paraId="2B2B7B7B" w14:textId="3E2CF8A6" w:rsidR="00230A31" w:rsidRDefault="008C76E0" w:rsidP="008C76E0">
            <w:pPr>
              <w:pStyle w:val="Bodytext180"/>
              <w:shd w:val="clear" w:color="auto" w:fill="auto"/>
              <w:spacing w:before="0" w:after="160" w:line="360" w:lineRule="auto"/>
              <w:ind w:left="532" w:right="529" w:firstLine="0"/>
              <w:jc w:val="center"/>
              <w:rPr>
                <w:rStyle w:val="Bodytext295pt"/>
                <w:rFonts w:ascii="Sylfaen" w:hAnsi="Sylfaen"/>
                <w:sz w:val="24"/>
                <w:szCs w:val="24"/>
              </w:rPr>
            </w:pPr>
            <w:r w:rsidRPr="003B2786">
              <w:rPr>
                <w:rStyle w:val="Bodytext295pt"/>
                <w:rFonts w:ascii="Sylfaen" w:hAnsi="Sylfaen"/>
                <w:sz w:val="24"/>
                <w:szCs w:val="24"/>
              </w:rPr>
              <w:t xml:space="preserve">Դեղապատրաստուկն արտադրողի մասին տեղեկատվությունը </w:t>
            </w:r>
          </w:p>
          <w:p w14:paraId="33B65D61" w14:textId="244FF9B6" w:rsidR="008C76E0" w:rsidRPr="008C76E0" w:rsidRDefault="008C76E0" w:rsidP="008C76E0">
            <w:pPr>
              <w:pStyle w:val="Bodytext180"/>
              <w:shd w:val="clear" w:color="auto" w:fill="auto"/>
              <w:spacing w:before="0" w:after="160" w:line="360" w:lineRule="auto"/>
              <w:ind w:left="532" w:right="529" w:firstLine="0"/>
              <w:jc w:val="center"/>
              <w:rPr>
                <w:rFonts w:ascii="Sylfaen" w:hAnsi="Sylfaen"/>
                <w:b w:val="0"/>
                <w:sz w:val="24"/>
                <w:szCs w:val="24"/>
                <w:lang w:val="hy-AM"/>
              </w:rPr>
            </w:pPr>
            <w:r w:rsidRPr="003B2786">
              <w:rPr>
                <w:rStyle w:val="Bodytext295pt"/>
                <w:rFonts w:ascii="Sylfaen" w:hAnsi="Sylfaen"/>
                <w:sz w:val="24"/>
                <w:szCs w:val="24"/>
              </w:rPr>
              <w:t xml:space="preserve">(դեղապատրաստուկի արտադրության մաս կազմող արտադրական հարթակների անվանումները </w:t>
            </w:r>
            <w:r w:rsidR="00C54D75">
              <w:rPr>
                <w:rStyle w:val="Bodytext295pt"/>
                <w:rFonts w:ascii="Sylfaen" w:hAnsi="Sylfaen"/>
                <w:sz w:val="24"/>
                <w:szCs w:val="24"/>
              </w:rPr>
              <w:t>և</w:t>
            </w:r>
            <w:r w:rsidRPr="003B2786">
              <w:rPr>
                <w:rStyle w:val="Bodytext295pt"/>
                <w:rFonts w:ascii="Sylfaen" w:hAnsi="Sylfaen"/>
                <w:sz w:val="24"/>
                <w:szCs w:val="24"/>
              </w:rPr>
              <w:t xml:space="preserve"> հասցեները)</w:t>
            </w:r>
          </w:p>
        </w:tc>
      </w:tr>
      <w:tr w:rsidR="008C76E0" w:rsidRPr="003B2786" w14:paraId="34622AF2" w14:textId="77777777" w:rsidTr="008C76E0">
        <w:trPr>
          <w:jc w:val="center"/>
        </w:trPr>
        <w:tc>
          <w:tcPr>
            <w:tcW w:w="523" w:type="dxa"/>
            <w:tcBorders>
              <w:top w:val="single" w:sz="4" w:space="0" w:color="auto"/>
              <w:left w:val="single" w:sz="4" w:space="0" w:color="auto"/>
            </w:tcBorders>
            <w:shd w:val="clear" w:color="auto" w:fill="FFFFFF"/>
          </w:tcPr>
          <w:p w14:paraId="25A0C086"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Թիվ</w:t>
            </w:r>
          </w:p>
        </w:tc>
        <w:tc>
          <w:tcPr>
            <w:tcW w:w="4392" w:type="dxa"/>
            <w:tcBorders>
              <w:top w:val="single" w:sz="4" w:space="0" w:color="auto"/>
              <w:left w:val="single" w:sz="4" w:space="0" w:color="auto"/>
            </w:tcBorders>
            <w:shd w:val="clear" w:color="auto" w:fill="FFFFFF"/>
            <w:vAlign w:val="bottom"/>
          </w:tcPr>
          <w:p w14:paraId="2306A23C" w14:textId="77777777" w:rsidR="008C76E0" w:rsidRPr="003B2786" w:rsidRDefault="008C76E0" w:rsidP="008C76E0">
            <w:pPr>
              <w:pStyle w:val="Bodytext180"/>
              <w:shd w:val="clear" w:color="auto" w:fill="auto"/>
              <w:spacing w:before="0" w:after="120" w:line="360" w:lineRule="auto"/>
              <w:ind w:left="61" w:right="69" w:firstLine="0"/>
              <w:jc w:val="center"/>
              <w:rPr>
                <w:rFonts w:ascii="Sylfaen" w:hAnsi="Sylfaen"/>
                <w:b w:val="0"/>
                <w:sz w:val="24"/>
                <w:szCs w:val="24"/>
              </w:rPr>
            </w:pPr>
            <w:r w:rsidRPr="003B2786">
              <w:rPr>
                <w:rStyle w:val="Bodytext295pt"/>
                <w:rFonts w:ascii="Sylfaen" w:hAnsi="Sylfaen"/>
                <w:sz w:val="24"/>
                <w:szCs w:val="24"/>
              </w:rPr>
              <w:t>Արտադրության ընթացաշրջանը (արտադրության գործընթացի բոլոր մասնակիցները)</w:t>
            </w:r>
          </w:p>
        </w:tc>
        <w:tc>
          <w:tcPr>
            <w:tcW w:w="1954" w:type="dxa"/>
            <w:tcBorders>
              <w:top w:val="single" w:sz="4" w:space="0" w:color="auto"/>
              <w:left w:val="single" w:sz="4" w:space="0" w:color="auto"/>
            </w:tcBorders>
            <w:shd w:val="clear" w:color="auto" w:fill="FFFFFF"/>
          </w:tcPr>
          <w:p w14:paraId="508A8B32"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Կազմակերպության անվանումը</w:t>
            </w:r>
          </w:p>
        </w:tc>
        <w:tc>
          <w:tcPr>
            <w:tcW w:w="2717" w:type="dxa"/>
            <w:gridSpan w:val="2"/>
            <w:tcBorders>
              <w:top w:val="single" w:sz="4" w:space="0" w:color="auto"/>
              <w:left w:val="single" w:sz="4" w:space="0" w:color="auto"/>
              <w:right w:val="single" w:sz="4" w:space="0" w:color="auto"/>
            </w:tcBorders>
            <w:shd w:val="clear" w:color="auto" w:fill="FFFFFF"/>
          </w:tcPr>
          <w:p w14:paraId="6E0AEE3A"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Արտադրական հարթակի հասցեն</w:t>
            </w:r>
          </w:p>
        </w:tc>
      </w:tr>
      <w:tr w:rsidR="008C76E0" w:rsidRPr="003B2786" w14:paraId="4438873A" w14:textId="77777777" w:rsidTr="008C76E0">
        <w:trPr>
          <w:jc w:val="center"/>
        </w:trPr>
        <w:tc>
          <w:tcPr>
            <w:tcW w:w="523" w:type="dxa"/>
            <w:tcBorders>
              <w:top w:val="single" w:sz="4" w:space="0" w:color="auto"/>
              <w:left w:val="single" w:sz="4" w:space="0" w:color="auto"/>
            </w:tcBorders>
            <w:shd w:val="clear" w:color="auto" w:fill="FFFFFF"/>
            <w:vAlign w:val="center"/>
          </w:tcPr>
          <w:p w14:paraId="351653C4"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1</w:t>
            </w:r>
          </w:p>
        </w:tc>
        <w:tc>
          <w:tcPr>
            <w:tcW w:w="4392" w:type="dxa"/>
            <w:tcBorders>
              <w:top w:val="single" w:sz="4" w:space="0" w:color="auto"/>
              <w:left w:val="single" w:sz="4" w:space="0" w:color="auto"/>
            </w:tcBorders>
            <w:shd w:val="clear" w:color="auto" w:fill="FFFFFF"/>
            <w:vAlign w:val="bottom"/>
          </w:tcPr>
          <w:p w14:paraId="3498557A"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Պատրաստի դեղաձ</w:t>
            </w:r>
            <w:r w:rsidR="00C54D75">
              <w:rPr>
                <w:rStyle w:val="Bodytext295pt"/>
                <w:rFonts w:ascii="Sylfaen" w:hAnsi="Sylfaen"/>
                <w:sz w:val="24"/>
                <w:szCs w:val="24"/>
              </w:rPr>
              <w:t>և</w:t>
            </w:r>
            <w:r w:rsidRPr="003B2786">
              <w:rPr>
                <w:rStyle w:val="Bodytext295pt"/>
                <w:rFonts w:ascii="Sylfaen" w:hAnsi="Sylfaen"/>
                <w:sz w:val="24"/>
                <w:szCs w:val="24"/>
              </w:rPr>
              <w:t>ի արտադրությունը</w:t>
            </w:r>
          </w:p>
        </w:tc>
        <w:tc>
          <w:tcPr>
            <w:tcW w:w="1954" w:type="dxa"/>
            <w:tcBorders>
              <w:top w:val="single" w:sz="4" w:space="0" w:color="auto"/>
              <w:left w:val="single" w:sz="4" w:space="0" w:color="auto"/>
            </w:tcBorders>
            <w:shd w:val="clear" w:color="auto" w:fill="FFFFFF"/>
          </w:tcPr>
          <w:p w14:paraId="531409E7"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42CCC1ED" w14:textId="77777777" w:rsidR="008C76E0" w:rsidRPr="003B2786" w:rsidRDefault="008C76E0" w:rsidP="008C76E0">
            <w:pPr>
              <w:spacing w:after="120"/>
              <w:jc w:val="both"/>
              <w:rPr>
                <w:rFonts w:ascii="Sylfaen" w:hAnsi="Sylfaen"/>
                <w:sz w:val="24"/>
                <w:szCs w:val="24"/>
              </w:rPr>
            </w:pPr>
          </w:p>
        </w:tc>
      </w:tr>
      <w:tr w:rsidR="008C76E0" w:rsidRPr="003B2786" w14:paraId="6090E1EC" w14:textId="77777777" w:rsidTr="008C76E0">
        <w:trPr>
          <w:jc w:val="center"/>
        </w:trPr>
        <w:tc>
          <w:tcPr>
            <w:tcW w:w="523" w:type="dxa"/>
            <w:tcBorders>
              <w:top w:val="single" w:sz="4" w:space="0" w:color="auto"/>
              <w:left w:val="single" w:sz="4" w:space="0" w:color="auto"/>
            </w:tcBorders>
            <w:shd w:val="clear" w:color="auto" w:fill="FFFFFF"/>
            <w:vAlign w:val="bottom"/>
          </w:tcPr>
          <w:p w14:paraId="47A885A6"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lastRenderedPageBreak/>
              <w:t>2</w:t>
            </w:r>
          </w:p>
        </w:tc>
        <w:tc>
          <w:tcPr>
            <w:tcW w:w="4392" w:type="dxa"/>
            <w:tcBorders>
              <w:top w:val="single" w:sz="4" w:space="0" w:color="auto"/>
              <w:left w:val="single" w:sz="4" w:space="0" w:color="auto"/>
            </w:tcBorders>
            <w:shd w:val="clear" w:color="auto" w:fill="FFFFFF"/>
            <w:vAlign w:val="bottom"/>
          </w:tcPr>
          <w:p w14:paraId="271C1962"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Առաջնային փաթեթվածքը</w:t>
            </w:r>
          </w:p>
        </w:tc>
        <w:tc>
          <w:tcPr>
            <w:tcW w:w="1954" w:type="dxa"/>
            <w:tcBorders>
              <w:top w:val="single" w:sz="4" w:space="0" w:color="auto"/>
              <w:left w:val="single" w:sz="4" w:space="0" w:color="auto"/>
            </w:tcBorders>
            <w:shd w:val="clear" w:color="auto" w:fill="FFFFFF"/>
          </w:tcPr>
          <w:p w14:paraId="7C06838A"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20F13527" w14:textId="77777777" w:rsidR="008C76E0" w:rsidRPr="003B2786" w:rsidRDefault="008C76E0" w:rsidP="008C76E0">
            <w:pPr>
              <w:spacing w:after="120"/>
              <w:jc w:val="both"/>
              <w:rPr>
                <w:rFonts w:ascii="Sylfaen" w:hAnsi="Sylfaen"/>
                <w:sz w:val="24"/>
                <w:szCs w:val="24"/>
              </w:rPr>
            </w:pPr>
          </w:p>
        </w:tc>
      </w:tr>
      <w:tr w:rsidR="008C76E0" w:rsidRPr="003B2786" w14:paraId="684ACF30" w14:textId="77777777" w:rsidTr="008C76E0">
        <w:trPr>
          <w:jc w:val="center"/>
        </w:trPr>
        <w:tc>
          <w:tcPr>
            <w:tcW w:w="523" w:type="dxa"/>
            <w:tcBorders>
              <w:top w:val="single" w:sz="4" w:space="0" w:color="auto"/>
              <w:left w:val="single" w:sz="4" w:space="0" w:color="auto"/>
            </w:tcBorders>
            <w:shd w:val="clear" w:color="auto" w:fill="FFFFFF"/>
            <w:vAlign w:val="bottom"/>
          </w:tcPr>
          <w:p w14:paraId="313802E3"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3</w:t>
            </w:r>
          </w:p>
        </w:tc>
        <w:tc>
          <w:tcPr>
            <w:tcW w:w="4392" w:type="dxa"/>
            <w:tcBorders>
              <w:top w:val="single" w:sz="4" w:space="0" w:color="auto"/>
              <w:left w:val="single" w:sz="4" w:space="0" w:color="auto"/>
            </w:tcBorders>
            <w:shd w:val="clear" w:color="auto" w:fill="FFFFFF"/>
            <w:vAlign w:val="bottom"/>
          </w:tcPr>
          <w:p w14:paraId="4CD3845F"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Երկրորդային փաթեթվածքը</w:t>
            </w:r>
          </w:p>
        </w:tc>
        <w:tc>
          <w:tcPr>
            <w:tcW w:w="1954" w:type="dxa"/>
            <w:tcBorders>
              <w:top w:val="single" w:sz="4" w:space="0" w:color="auto"/>
              <w:left w:val="single" w:sz="4" w:space="0" w:color="auto"/>
            </w:tcBorders>
            <w:shd w:val="clear" w:color="auto" w:fill="FFFFFF"/>
          </w:tcPr>
          <w:p w14:paraId="698A1C68"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7270B132" w14:textId="77777777" w:rsidR="008C76E0" w:rsidRPr="003B2786" w:rsidRDefault="008C76E0" w:rsidP="008C76E0">
            <w:pPr>
              <w:spacing w:after="120"/>
              <w:jc w:val="both"/>
              <w:rPr>
                <w:rFonts w:ascii="Sylfaen" w:hAnsi="Sylfaen"/>
                <w:sz w:val="24"/>
                <w:szCs w:val="24"/>
              </w:rPr>
            </w:pPr>
          </w:p>
        </w:tc>
      </w:tr>
      <w:tr w:rsidR="008C76E0" w:rsidRPr="003B2786" w14:paraId="697B25DD" w14:textId="77777777" w:rsidTr="008C76E0">
        <w:trPr>
          <w:jc w:val="center"/>
        </w:trPr>
        <w:tc>
          <w:tcPr>
            <w:tcW w:w="523" w:type="dxa"/>
            <w:tcBorders>
              <w:top w:val="single" w:sz="4" w:space="0" w:color="auto"/>
              <w:left w:val="single" w:sz="4" w:space="0" w:color="auto"/>
              <w:bottom w:val="single" w:sz="4" w:space="0" w:color="auto"/>
            </w:tcBorders>
            <w:shd w:val="clear" w:color="auto" w:fill="FFFFFF"/>
          </w:tcPr>
          <w:p w14:paraId="18FB4061"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4</w:t>
            </w:r>
          </w:p>
        </w:tc>
        <w:tc>
          <w:tcPr>
            <w:tcW w:w="4392" w:type="dxa"/>
            <w:tcBorders>
              <w:top w:val="single" w:sz="4" w:space="0" w:color="auto"/>
              <w:left w:val="single" w:sz="4" w:space="0" w:color="auto"/>
              <w:bottom w:val="single" w:sz="4" w:space="0" w:color="auto"/>
            </w:tcBorders>
            <w:shd w:val="clear" w:color="auto" w:fill="FFFFFF"/>
            <w:vAlign w:val="bottom"/>
          </w:tcPr>
          <w:p w14:paraId="79E177D7" w14:textId="77777777" w:rsidR="008C76E0" w:rsidRPr="003B2786" w:rsidRDefault="008C76E0" w:rsidP="008C76E0">
            <w:pPr>
              <w:pStyle w:val="Bodytext180"/>
              <w:shd w:val="clear" w:color="auto" w:fill="auto"/>
              <w:spacing w:before="0" w:after="120" w:line="360" w:lineRule="auto"/>
              <w:ind w:left="9" w:firstLine="0"/>
              <w:rPr>
                <w:rFonts w:ascii="Sylfaen" w:hAnsi="Sylfaen"/>
                <w:b w:val="0"/>
                <w:sz w:val="24"/>
                <w:szCs w:val="24"/>
              </w:rPr>
            </w:pPr>
            <w:r w:rsidRPr="003B2786">
              <w:rPr>
                <w:rStyle w:val="Bodytext295pt"/>
                <w:rFonts w:ascii="Sylfaen" w:hAnsi="Sylfaen"/>
                <w:sz w:val="24"/>
                <w:szCs w:val="24"/>
              </w:rPr>
              <w:t>Բացթողման որակի վերահսկումը</w:t>
            </w:r>
          </w:p>
        </w:tc>
        <w:tc>
          <w:tcPr>
            <w:tcW w:w="1954" w:type="dxa"/>
            <w:tcBorders>
              <w:top w:val="single" w:sz="4" w:space="0" w:color="auto"/>
              <w:left w:val="single" w:sz="4" w:space="0" w:color="auto"/>
              <w:bottom w:val="single" w:sz="4" w:space="0" w:color="auto"/>
            </w:tcBorders>
            <w:shd w:val="clear" w:color="auto" w:fill="FFFFFF"/>
          </w:tcPr>
          <w:p w14:paraId="59BF728F"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bottom w:val="single" w:sz="4" w:space="0" w:color="auto"/>
              <w:right w:val="single" w:sz="4" w:space="0" w:color="auto"/>
            </w:tcBorders>
            <w:shd w:val="clear" w:color="auto" w:fill="FFFFFF"/>
          </w:tcPr>
          <w:p w14:paraId="209AB0BE" w14:textId="77777777" w:rsidR="008C76E0" w:rsidRPr="003B2786" w:rsidRDefault="008C76E0" w:rsidP="008C76E0">
            <w:pPr>
              <w:spacing w:after="120"/>
              <w:jc w:val="both"/>
              <w:rPr>
                <w:rFonts w:ascii="Sylfaen" w:hAnsi="Sylfaen"/>
                <w:sz w:val="24"/>
                <w:szCs w:val="24"/>
              </w:rPr>
            </w:pPr>
          </w:p>
        </w:tc>
      </w:tr>
    </w:tbl>
    <w:p w14:paraId="34687C02" w14:textId="77777777" w:rsidR="008C76E0" w:rsidRDefault="008C76E0" w:rsidP="008C76E0">
      <w:pPr>
        <w:pStyle w:val="Tablecaption30"/>
        <w:shd w:val="clear" w:color="auto" w:fill="auto"/>
        <w:spacing w:after="160" w:line="360" w:lineRule="auto"/>
        <w:ind w:right="-1"/>
        <w:jc w:val="both"/>
        <w:rPr>
          <w:rFonts w:ascii="Sylfaen" w:hAnsi="Sylfaen"/>
          <w:sz w:val="24"/>
          <w:szCs w:val="24"/>
        </w:rPr>
      </w:pPr>
      <w:r w:rsidRPr="003B2786">
        <w:rPr>
          <w:rFonts w:ascii="Sylfaen" w:hAnsi="Sylfaen"/>
          <w:sz w:val="24"/>
          <w:szCs w:val="24"/>
        </w:rPr>
        <w:t>Հավելված ___ թերթ</w:t>
      </w:r>
    </w:p>
    <w:p w14:paraId="276A21B5" w14:textId="77777777" w:rsidR="007F6CA3" w:rsidRPr="003B2786" w:rsidRDefault="007F6CA3" w:rsidP="008C76E0">
      <w:pPr>
        <w:pStyle w:val="Tablecaption30"/>
        <w:shd w:val="clear" w:color="auto" w:fill="auto"/>
        <w:spacing w:after="160" w:line="360" w:lineRule="auto"/>
        <w:ind w:right="-1"/>
        <w:jc w:val="both"/>
        <w:rPr>
          <w:rFonts w:ascii="Sylfaen" w:hAnsi="Sylfaen"/>
          <w:sz w:val="24"/>
          <w:szCs w:val="24"/>
        </w:rPr>
      </w:pPr>
    </w:p>
    <w:tbl>
      <w:tblPr>
        <w:tblOverlap w:val="never"/>
        <w:tblW w:w="9111" w:type="dxa"/>
        <w:jc w:val="center"/>
        <w:tblLayout w:type="fixed"/>
        <w:tblCellMar>
          <w:left w:w="10" w:type="dxa"/>
          <w:right w:w="10" w:type="dxa"/>
        </w:tblCellMar>
        <w:tblLook w:val="04A0" w:firstRow="1" w:lastRow="0" w:firstColumn="1" w:lastColumn="0" w:noHBand="0" w:noVBand="1"/>
      </w:tblPr>
      <w:tblGrid>
        <w:gridCol w:w="5429"/>
        <w:gridCol w:w="2104"/>
        <w:gridCol w:w="1578"/>
      </w:tblGrid>
      <w:tr w:rsidR="008C76E0" w:rsidRPr="003B2786" w14:paraId="657C734B" w14:textId="77777777" w:rsidTr="008C76E0">
        <w:trPr>
          <w:jc w:val="center"/>
        </w:trPr>
        <w:tc>
          <w:tcPr>
            <w:tcW w:w="5429" w:type="dxa"/>
            <w:shd w:val="clear" w:color="auto" w:fill="FFFFFF"/>
            <w:vAlign w:val="bottom"/>
          </w:tcPr>
          <w:p w14:paraId="2D9BF373"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 xml:space="preserve">Լիազորված մարմնի ղեկավարը </w:t>
            </w:r>
          </w:p>
          <w:p w14:paraId="52D73C52"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(կամ լիազոր անձը)</w:t>
            </w:r>
          </w:p>
        </w:tc>
        <w:tc>
          <w:tcPr>
            <w:tcW w:w="2104" w:type="dxa"/>
            <w:shd w:val="clear" w:color="auto" w:fill="FFFFFF"/>
          </w:tcPr>
          <w:p w14:paraId="263202D0"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Ստորագրությունը</w:t>
            </w:r>
          </w:p>
        </w:tc>
        <w:tc>
          <w:tcPr>
            <w:tcW w:w="1578" w:type="dxa"/>
            <w:shd w:val="clear" w:color="auto" w:fill="FFFFFF"/>
          </w:tcPr>
          <w:p w14:paraId="67A2A40D"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Կ.Տ.</w:t>
            </w:r>
          </w:p>
        </w:tc>
      </w:tr>
    </w:tbl>
    <w:p w14:paraId="725FE5A6" w14:textId="77777777" w:rsidR="008C76E0" w:rsidRPr="003B2786" w:rsidRDefault="008C76E0" w:rsidP="008C76E0">
      <w:pPr>
        <w:ind w:right="-1"/>
        <w:jc w:val="both"/>
        <w:rPr>
          <w:rFonts w:ascii="Sylfaen" w:eastAsia="Times New Roman" w:hAnsi="Sylfaen" w:cs="Times New Roman"/>
          <w:sz w:val="24"/>
          <w:szCs w:val="24"/>
        </w:rPr>
      </w:pPr>
      <w:r w:rsidRPr="003B2786">
        <w:rPr>
          <w:rFonts w:ascii="Sylfaen" w:hAnsi="Sylfaen"/>
          <w:sz w:val="24"/>
          <w:szCs w:val="24"/>
        </w:rPr>
        <w:br w:type="page"/>
      </w:r>
    </w:p>
    <w:p w14:paraId="63FA169A" w14:textId="77777777" w:rsidR="008C76E0" w:rsidRPr="003B2786" w:rsidRDefault="008C76E0" w:rsidP="008C76E0">
      <w:pPr>
        <w:ind w:left="4253" w:right="-1"/>
        <w:jc w:val="center"/>
        <w:rPr>
          <w:rFonts w:ascii="Sylfaen" w:hAnsi="Sylfaen"/>
          <w:sz w:val="24"/>
          <w:szCs w:val="24"/>
        </w:rPr>
      </w:pPr>
      <w:r w:rsidRPr="003B2786">
        <w:rPr>
          <w:rFonts w:ascii="Sylfaen" w:hAnsi="Sylfaen"/>
          <w:sz w:val="24"/>
          <w:szCs w:val="24"/>
        </w:rPr>
        <w:lastRenderedPageBreak/>
        <w:t>(բժշկական կիրառման համար նախատեսված դեղապատրաստուկի գրանցման հավաստագրի հավելվածի ձ</w:t>
      </w:r>
      <w:r w:rsidR="00C54D75">
        <w:rPr>
          <w:rFonts w:ascii="Sylfaen" w:hAnsi="Sylfaen"/>
          <w:sz w:val="24"/>
          <w:szCs w:val="24"/>
        </w:rPr>
        <w:t>և</w:t>
      </w:r>
      <w:r w:rsidRPr="003B2786">
        <w:rPr>
          <w:rFonts w:ascii="Sylfaen" w:hAnsi="Sylfaen"/>
          <w:sz w:val="24"/>
          <w:szCs w:val="24"/>
        </w:rPr>
        <w:t>ը)</w:t>
      </w:r>
    </w:p>
    <w:p w14:paraId="0C41F12F" w14:textId="77777777" w:rsidR="008C76E0" w:rsidRPr="003B2786" w:rsidRDefault="008C76E0" w:rsidP="008C76E0">
      <w:pPr>
        <w:ind w:left="4253" w:right="-1"/>
        <w:jc w:val="center"/>
        <w:rPr>
          <w:rFonts w:ascii="Sylfaen" w:hAnsi="Sylfaen"/>
          <w:sz w:val="24"/>
          <w:szCs w:val="24"/>
        </w:rPr>
      </w:pPr>
    </w:p>
    <w:p w14:paraId="58CE4661" w14:textId="77777777" w:rsidR="008C76E0" w:rsidRPr="003B2786" w:rsidRDefault="008C76E0" w:rsidP="008C76E0">
      <w:pPr>
        <w:ind w:left="4253" w:right="-1"/>
        <w:jc w:val="center"/>
        <w:outlineLvl w:val="0"/>
        <w:rPr>
          <w:rFonts w:ascii="Sylfaen" w:hAnsi="Sylfaen"/>
          <w:sz w:val="24"/>
          <w:szCs w:val="24"/>
        </w:rPr>
      </w:pPr>
      <w:r w:rsidRPr="003B2786">
        <w:rPr>
          <w:rFonts w:ascii="Sylfaen" w:hAnsi="Sylfaen"/>
          <w:sz w:val="24"/>
          <w:szCs w:val="24"/>
        </w:rPr>
        <w:t>Հավելված ___</w:t>
      </w:r>
    </w:p>
    <w:p w14:paraId="7C6EDAD1" w14:textId="77777777" w:rsidR="008C76E0" w:rsidRPr="003B2786" w:rsidRDefault="008C76E0" w:rsidP="008C76E0">
      <w:pPr>
        <w:ind w:left="4253" w:right="-1"/>
        <w:jc w:val="center"/>
        <w:rPr>
          <w:rFonts w:ascii="Sylfaen" w:hAnsi="Sylfaen"/>
          <w:sz w:val="24"/>
          <w:szCs w:val="24"/>
        </w:rPr>
      </w:pPr>
      <w:r w:rsidRPr="003B2786">
        <w:rPr>
          <w:rFonts w:ascii="Sylfaen" w:hAnsi="Sylfaen"/>
          <w:sz w:val="24"/>
          <w:szCs w:val="24"/>
        </w:rPr>
        <w:t>բժշկական կիրառման համար նախատեսված դեղապատրաստուկի թիվ</w:t>
      </w:r>
      <w:r>
        <w:rPr>
          <w:rFonts w:ascii="Sylfaen" w:hAnsi="Sylfaen"/>
          <w:sz w:val="24"/>
          <w:szCs w:val="24"/>
        </w:rPr>
        <w:t> </w:t>
      </w:r>
      <w:r w:rsidRPr="003B2786">
        <w:rPr>
          <w:rFonts w:ascii="Sylfaen" w:hAnsi="Sylfaen"/>
          <w:sz w:val="24"/>
          <w:szCs w:val="24"/>
        </w:rPr>
        <w:t>___ գրանցման հավաստագրի</w:t>
      </w:r>
    </w:p>
    <w:p w14:paraId="43CD6D20" w14:textId="77777777" w:rsidR="008C76E0" w:rsidRPr="003B2786" w:rsidRDefault="008C76E0" w:rsidP="008C76E0">
      <w:pPr>
        <w:ind w:left="4536" w:right="-1"/>
        <w:rPr>
          <w:rFonts w:ascii="Sylfaen" w:hAnsi="Sylfaen"/>
          <w:sz w:val="24"/>
          <w:szCs w:val="24"/>
        </w:rPr>
      </w:pPr>
    </w:p>
    <w:p w14:paraId="3AE03F5D" w14:textId="77777777" w:rsidR="008C76E0" w:rsidRPr="003B2786" w:rsidRDefault="008C76E0" w:rsidP="008C76E0">
      <w:pPr>
        <w:ind w:right="-1"/>
        <w:jc w:val="center"/>
        <w:outlineLvl w:val="0"/>
        <w:rPr>
          <w:rFonts w:ascii="Sylfaen" w:hAnsi="Sylfaen"/>
          <w:sz w:val="24"/>
          <w:szCs w:val="24"/>
        </w:rPr>
      </w:pPr>
      <w:r w:rsidRPr="003B2786">
        <w:rPr>
          <w:rFonts w:ascii="Sylfaen" w:hAnsi="Sylfaen"/>
          <w:sz w:val="24"/>
          <w:szCs w:val="24"/>
        </w:rPr>
        <w:t>Դեղապատրաստուկի գրանցման հատուկ պայմանները</w:t>
      </w:r>
    </w:p>
    <w:tbl>
      <w:tblPr>
        <w:tblOverlap w:val="never"/>
        <w:tblW w:w="9401" w:type="dxa"/>
        <w:jc w:val="center"/>
        <w:tblLayout w:type="fixed"/>
        <w:tblCellMar>
          <w:left w:w="10" w:type="dxa"/>
          <w:right w:w="10" w:type="dxa"/>
        </w:tblCellMar>
        <w:tblLook w:val="04A0" w:firstRow="1" w:lastRow="0" w:firstColumn="1" w:lastColumn="0" w:noHBand="0" w:noVBand="1"/>
      </w:tblPr>
      <w:tblGrid>
        <w:gridCol w:w="3262"/>
        <w:gridCol w:w="2761"/>
        <w:gridCol w:w="3378"/>
      </w:tblGrid>
      <w:tr w:rsidR="008C76E0" w:rsidRPr="003B2786" w14:paraId="6C734747" w14:textId="77777777" w:rsidTr="008C76E0">
        <w:trPr>
          <w:trHeight w:val="3612"/>
          <w:jc w:val="center"/>
        </w:trPr>
        <w:tc>
          <w:tcPr>
            <w:tcW w:w="3262" w:type="dxa"/>
            <w:tcBorders>
              <w:top w:val="single" w:sz="4" w:space="0" w:color="auto"/>
              <w:left w:val="single" w:sz="4" w:space="0" w:color="auto"/>
              <w:bottom w:val="single" w:sz="4" w:space="0" w:color="auto"/>
            </w:tcBorders>
            <w:shd w:val="clear" w:color="auto" w:fill="FFFFFF"/>
            <w:vAlign w:val="center"/>
          </w:tcPr>
          <w:p w14:paraId="47EBAB5A"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Դեղապատրաստուկի կիրառման ահմանափակումները՝ սահմանված դեղապատրաստուկի գրանցման ընթացքում</w:t>
            </w:r>
          </w:p>
        </w:tc>
        <w:tc>
          <w:tcPr>
            <w:tcW w:w="2761" w:type="dxa"/>
            <w:tcBorders>
              <w:top w:val="single" w:sz="4" w:space="0" w:color="auto"/>
              <w:left w:val="single" w:sz="4" w:space="0" w:color="auto"/>
              <w:bottom w:val="single" w:sz="4" w:space="0" w:color="auto"/>
            </w:tcBorders>
            <w:shd w:val="clear" w:color="auto" w:fill="FFFFFF"/>
            <w:vAlign w:val="center"/>
          </w:tcPr>
          <w:p w14:paraId="371969FF"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Գրանցման հավաստագրի իրավատիրոջ՝ «պայմաններում գրանցման» շրջանակներում կատարման ենթակա պարտավորությունները</w:t>
            </w:r>
          </w:p>
        </w:tc>
        <w:tc>
          <w:tcPr>
            <w:tcW w:w="3378" w:type="dxa"/>
            <w:tcBorders>
              <w:top w:val="single" w:sz="4" w:space="0" w:color="auto"/>
              <w:left w:val="single" w:sz="4" w:space="0" w:color="auto"/>
              <w:bottom w:val="single" w:sz="4" w:space="0" w:color="auto"/>
              <w:right w:val="single" w:sz="4" w:space="0" w:color="auto"/>
            </w:tcBorders>
            <w:shd w:val="clear" w:color="auto" w:fill="FFFFFF"/>
            <w:vAlign w:val="center"/>
          </w:tcPr>
          <w:p w14:paraId="65042E5B"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 xml:space="preserve">Գրանցման հավաստագրի իրավատիրոջ համար պարտավորությունների կատարման </w:t>
            </w:r>
            <w:r w:rsidR="00C54D75">
              <w:rPr>
                <w:rStyle w:val="Bodytext295pt"/>
                <w:rFonts w:ascii="Sylfaen" w:hAnsi="Sylfaen"/>
                <w:sz w:val="24"/>
                <w:szCs w:val="24"/>
              </w:rPr>
              <w:t>և</w:t>
            </w:r>
            <w:r w:rsidRPr="003B2786">
              <w:rPr>
                <w:rStyle w:val="Bodytext295pt"/>
                <w:rFonts w:ascii="Sylfaen" w:hAnsi="Sylfaen"/>
                <w:sz w:val="24"/>
                <w:szCs w:val="24"/>
              </w:rPr>
              <w:t xml:space="preserve"> դրված սահմանափակումների՝ դեղապատրաստուկի գրանցման ժամանակ սահմանված ժամկետները</w:t>
            </w:r>
          </w:p>
        </w:tc>
      </w:tr>
    </w:tbl>
    <w:p w14:paraId="1D82500D" w14:textId="77777777" w:rsidR="008C76E0" w:rsidRPr="003B2786" w:rsidRDefault="008C76E0" w:rsidP="008C76E0">
      <w:pPr>
        <w:ind w:right="-1"/>
        <w:jc w:val="both"/>
        <w:rPr>
          <w:rFonts w:ascii="Sylfaen" w:hAnsi="Sylfaen"/>
          <w:sz w:val="24"/>
          <w:szCs w:val="24"/>
        </w:rPr>
      </w:pPr>
    </w:p>
    <w:tbl>
      <w:tblPr>
        <w:tblOverlap w:val="never"/>
        <w:tblW w:w="9288" w:type="dxa"/>
        <w:jc w:val="center"/>
        <w:tblLayout w:type="fixed"/>
        <w:tblCellMar>
          <w:left w:w="10" w:type="dxa"/>
          <w:right w:w="10" w:type="dxa"/>
        </w:tblCellMar>
        <w:tblLook w:val="04A0" w:firstRow="1" w:lastRow="0" w:firstColumn="1" w:lastColumn="0" w:noHBand="0" w:noVBand="1"/>
      </w:tblPr>
      <w:tblGrid>
        <w:gridCol w:w="5587"/>
        <w:gridCol w:w="2123"/>
        <w:gridCol w:w="1578"/>
      </w:tblGrid>
      <w:tr w:rsidR="008C76E0" w:rsidRPr="003B2786" w14:paraId="6939B974" w14:textId="77777777" w:rsidTr="008C76E0">
        <w:trPr>
          <w:jc w:val="center"/>
        </w:trPr>
        <w:tc>
          <w:tcPr>
            <w:tcW w:w="5587" w:type="dxa"/>
            <w:shd w:val="clear" w:color="auto" w:fill="FFFFFF"/>
          </w:tcPr>
          <w:p w14:paraId="2B45D3DF"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 xml:space="preserve">Լիազորված մարմնի ղեկավարը </w:t>
            </w:r>
          </w:p>
          <w:p w14:paraId="30DDE0FD"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(կամ լիազոր անձը)</w:t>
            </w:r>
          </w:p>
        </w:tc>
        <w:tc>
          <w:tcPr>
            <w:tcW w:w="2123" w:type="dxa"/>
            <w:shd w:val="clear" w:color="auto" w:fill="FFFFFF"/>
          </w:tcPr>
          <w:p w14:paraId="4B0D0E9E"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Ստորագրությունը</w:t>
            </w:r>
          </w:p>
        </w:tc>
        <w:tc>
          <w:tcPr>
            <w:tcW w:w="1578" w:type="dxa"/>
            <w:shd w:val="clear" w:color="auto" w:fill="FFFFFF"/>
          </w:tcPr>
          <w:p w14:paraId="4EF6B2E4"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Կ.Տ.</w:t>
            </w:r>
          </w:p>
        </w:tc>
      </w:tr>
    </w:tbl>
    <w:p w14:paraId="668C952B" w14:textId="77777777" w:rsidR="008C76E0" w:rsidRPr="003B2786" w:rsidRDefault="008C76E0" w:rsidP="008C76E0">
      <w:pPr>
        <w:ind w:right="-1"/>
        <w:jc w:val="both"/>
        <w:rPr>
          <w:rFonts w:ascii="Sylfaen" w:hAnsi="Sylfaen"/>
          <w:sz w:val="24"/>
          <w:szCs w:val="24"/>
        </w:rPr>
      </w:pPr>
      <w:r w:rsidRPr="003B2786">
        <w:rPr>
          <w:rFonts w:ascii="Sylfaen" w:hAnsi="Sylfaen"/>
          <w:sz w:val="24"/>
          <w:szCs w:val="24"/>
        </w:rPr>
        <w:br w:type="page"/>
      </w:r>
    </w:p>
    <w:p w14:paraId="3A438064" w14:textId="77777777" w:rsidR="008C76E0" w:rsidRPr="00C25344" w:rsidRDefault="008C76E0" w:rsidP="00A37C9C">
      <w:pPr>
        <w:pStyle w:val="Heading10"/>
        <w:shd w:val="clear" w:color="auto" w:fill="auto"/>
        <w:spacing w:before="0" w:after="160" w:line="360" w:lineRule="auto"/>
        <w:ind w:left="567" w:right="566"/>
        <w:rPr>
          <w:rFonts w:ascii="Sylfaen" w:hAnsi="Sylfaen"/>
          <w:b w:val="0"/>
          <w:sz w:val="24"/>
          <w:szCs w:val="24"/>
        </w:rPr>
      </w:pPr>
      <w:bookmarkStart w:id="13" w:name="bookmark13"/>
      <w:r w:rsidRPr="00C25344">
        <w:rPr>
          <w:rStyle w:val="Heading1Spacing3pt"/>
          <w:rFonts w:ascii="Sylfaen" w:hAnsi="Sylfaen"/>
          <w:b/>
          <w:sz w:val="24"/>
          <w:szCs w:val="24"/>
        </w:rPr>
        <w:lastRenderedPageBreak/>
        <w:t>ԿԱՆՈՆՆԵՐ</w:t>
      </w:r>
      <w:bookmarkEnd w:id="13"/>
    </w:p>
    <w:p w14:paraId="4AA15A23" w14:textId="77777777" w:rsidR="008C76E0" w:rsidRPr="003B2786" w:rsidRDefault="008C76E0" w:rsidP="00A37C9C">
      <w:pPr>
        <w:pStyle w:val="Bodytext130"/>
        <w:shd w:val="clear" w:color="auto" w:fill="auto"/>
        <w:spacing w:after="160" w:line="360" w:lineRule="auto"/>
        <w:ind w:left="567" w:right="566"/>
        <w:rPr>
          <w:rFonts w:ascii="Sylfaen" w:hAnsi="Sylfaen"/>
          <w:sz w:val="24"/>
          <w:szCs w:val="24"/>
        </w:rPr>
      </w:pPr>
      <w:r w:rsidRPr="003B2786">
        <w:rPr>
          <w:rFonts w:ascii="Sylfaen" w:hAnsi="Sylfaen"/>
          <w:sz w:val="24"/>
          <w:szCs w:val="24"/>
        </w:rPr>
        <w:t>բժշկական կիրառման համար նախատեսված դեղապատրաստուկի գրանցման հավաստագրի լրացման</w:t>
      </w:r>
    </w:p>
    <w:p w14:paraId="2B0BDA71" w14:textId="77777777" w:rsidR="008C76E0" w:rsidRPr="003B2786" w:rsidRDefault="008C76E0" w:rsidP="00A37C9C">
      <w:pPr>
        <w:pStyle w:val="Bodytext130"/>
        <w:shd w:val="clear" w:color="auto" w:fill="auto"/>
        <w:spacing w:after="160" w:line="360" w:lineRule="auto"/>
        <w:rPr>
          <w:rFonts w:ascii="Sylfaen" w:hAnsi="Sylfaen"/>
          <w:sz w:val="24"/>
          <w:szCs w:val="24"/>
        </w:rPr>
      </w:pPr>
    </w:p>
    <w:p w14:paraId="00C7DFD8" w14:textId="77777777" w:rsidR="008C76E0" w:rsidRPr="003B2786" w:rsidRDefault="008C76E0" w:rsidP="00A37C9C">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Գրանցման հավաստագիրը՝ Եվրասիական տնտեսական միության շրջանակներում բժշկական կիրառման համար նախատեսված դեղապատրաստուկի գրանցման փաստը հաստատող փաստաթուղթը (այսուհետ համապատասխանաբար՝ Միություն, փաստաթուղթ), լրացվում է Միության շրջանակներում բժշկական կիրառման համար նախատեսված դեղապատրաստուկի գրանցումն իրականացրած Միության անդամ պետության լիազորված մարմնի կողմից՝ սույն կանոններին համապատասխան (այսուհետ համապատասխանաբար՝ անդամ պետություն, լիազորված մարմին), միասնական ձ</w:t>
      </w:r>
      <w:r w:rsidR="00C54D75">
        <w:rPr>
          <w:rFonts w:ascii="Sylfaen" w:hAnsi="Sylfaen"/>
          <w:sz w:val="24"/>
          <w:szCs w:val="24"/>
        </w:rPr>
        <w:t>և</w:t>
      </w:r>
      <w:r w:rsidRPr="003B2786">
        <w:rPr>
          <w:rFonts w:ascii="Sylfaen" w:hAnsi="Sylfaen"/>
          <w:sz w:val="24"/>
          <w:szCs w:val="24"/>
        </w:rPr>
        <w:t>ով:</w:t>
      </w:r>
    </w:p>
    <w:p w14:paraId="0EE31D31" w14:textId="77777777" w:rsidR="008C76E0" w:rsidRPr="003B2786" w:rsidRDefault="008C76E0" w:rsidP="00A37C9C">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 xml:space="preserve">Գրանցման հավաստագիրը լրացվում է ռուսերենով՝ օգտագործելով էլեկտրոնային տպիչ սարքեր, </w:t>
      </w:r>
      <w:r w:rsidR="00C54D75">
        <w:rPr>
          <w:rFonts w:ascii="Sylfaen" w:hAnsi="Sylfaen"/>
          <w:sz w:val="24"/>
          <w:szCs w:val="24"/>
        </w:rPr>
        <w:t>և</w:t>
      </w:r>
      <w:r w:rsidRPr="003B2786">
        <w:rPr>
          <w:rFonts w:ascii="Sylfaen" w:hAnsi="Sylfaen"/>
          <w:sz w:val="24"/>
          <w:szCs w:val="24"/>
        </w:rPr>
        <w:t xml:space="preserve"> անդամ պետությունների օրենսդրության մեջ պահանջի առկայության դեպքում՝ այն անդամ պետության պետական լեզվով, որտեղ գտնվում է այդ փաստաթուղթը ձ</w:t>
      </w:r>
      <w:r w:rsidR="00C54D75">
        <w:rPr>
          <w:rFonts w:ascii="Sylfaen" w:hAnsi="Sylfaen"/>
          <w:sz w:val="24"/>
          <w:szCs w:val="24"/>
        </w:rPr>
        <w:t>և</w:t>
      </w:r>
      <w:r w:rsidRPr="003B2786">
        <w:rPr>
          <w:rFonts w:ascii="Sylfaen" w:hAnsi="Sylfaen"/>
          <w:sz w:val="24"/>
          <w:szCs w:val="24"/>
        </w:rPr>
        <w:t xml:space="preserve">ակերպած լիազորված մարմինը: Նշված փաստաթղթերը ռուսերենով </w:t>
      </w:r>
      <w:r w:rsidR="00C54D75">
        <w:rPr>
          <w:rFonts w:ascii="Sylfaen" w:hAnsi="Sylfaen"/>
          <w:sz w:val="24"/>
          <w:szCs w:val="24"/>
        </w:rPr>
        <w:t>և</w:t>
      </w:r>
      <w:r w:rsidRPr="003B2786">
        <w:rPr>
          <w:rFonts w:ascii="Sylfaen" w:hAnsi="Sylfaen"/>
          <w:sz w:val="24"/>
          <w:szCs w:val="24"/>
        </w:rPr>
        <w:t xml:space="preserve"> անդամ պետություններից մեկի պետական լեզվով կազմելու դեպքում նման փաստաթղթերը լրացվում են երկկողմանի ձ</w:t>
      </w:r>
      <w:r w:rsidR="00C54D75">
        <w:rPr>
          <w:rFonts w:ascii="Sylfaen" w:hAnsi="Sylfaen"/>
          <w:sz w:val="24"/>
          <w:szCs w:val="24"/>
        </w:rPr>
        <w:t>և</w:t>
      </w:r>
      <w:r w:rsidRPr="003B2786">
        <w:rPr>
          <w:rFonts w:ascii="Sylfaen" w:hAnsi="Sylfaen"/>
          <w:sz w:val="24"/>
          <w:szCs w:val="24"/>
        </w:rPr>
        <w:t>աթղթերի վրա, որոնցից յուրաքանչյուր կողմը համապատասխանում է լեզուներից մեկին:</w:t>
      </w:r>
    </w:p>
    <w:p w14:paraId="39E38B5D" w14:textId="77777777" w:rsidR="008C76E0" w:rsidRPr="003B2786" w:rsidRDefault="008C76E0" w:rsidP="00A37C9C">
      <w:pPr>
        <w:spacing w:after="160" w:line="336" w:lineRule="auto"/>
        <w:ind w:firstLine="567"/>
        <w:jc w:val="both"/>
        <w:rPr>
          <w:rFonts w:ascii="Sylfaen" w:hAnsi="Sylfaen"/>
          <w:sz w:val="24"/>
          <w:szCs w:val="24"/>
        </w:rPr>
      </w:pPr>
      <w:r w:rsidRPr="003B2786">
        <w:rPr>
          <w:rFonts w:ascii="Sylfaen" w:hAnsi="Sylfaen"/>
          <w:sz w:val="24"/>
          <w:szCs w:val="24"/>
        </w:rPr>
        <w:t>Գրանցման փաստաթուղթը դասվում է խիստ հաշվետվության փաստաթղթերի շարքին, ձ</w:t>
      </w:r>
      <w:r w:rsidR="00C54D75">
        <w:rPr>
          <w:rFonts w:ascii="Sylfaen" w:hAnsi="Sylfaen"/>
          <w:sz w:val="24"/>
          <w:szCs w:val="24"/>
        </w:rPr>
        <w:t>և</w:t>
      </w:r>
      <w:r w:rsidRPr="003B2786">
        <w:rPr>
          <w:rFonts w:ascii="Sylfaen" w:hAnsi="Sylfaen"/>
          <w:sz w:val="24"/>
          <w:szCs w:val="24"/>
        </w:rPr>
        <w:t>աթուղթը պետք է պատրաստված լինի տպագրական եղանակով, ունենա համապատասխան անդամ պետության օրենսդրությանը համապատասխան պաշտպանության աստիճաններ:</w:t>
      </w:r>
    </w:p>
    <w:p w14:paraId="6966345B" w14:textId="77777777" w:rsidR="008C76E0" w:rsidRPr="003B2786" w:rsidRDefault="008C76E0" w:rsidP="00A37C9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Անհրաժեշտության դեպքում արտադրողի անվանումը, նրա գտնվելու վայրը (իրավաբանական հասցեն), գրանցման հավաստագրի իրավատիրոջ անվանումը </w:t>
      </w:r>
      <w:r w:rsidR="00C54D75">
        <w:rPr>
          <w:rFonts w:ascii="Sylfaen" w:hAnsi="Sylfaen"/>
          <w:sz w:val="24"/>
          <w:szCs w:val="24"/>
        </w:rPr>
        <w:t>և</w:t>
      </w:r>
      <w:r w:rsidRPr="003B2786">
        <w:rPr>
          <w:rFonts w:ascii="Sylfaen" w:hAnsi="Sylfaen"/>
          <w:sz w:val="24"/>
          <w:szCs w:val="24"/>
        </w:rPr>
        <w:t xml:space="preserve"> իրավաբանական հասցեն կարող են նշված (կրկնօրինակված) լինել՝ օգտագործելով լատինական այբուբենի տառերը:</w:t>
      </w:r>
    </w:p>
    <w:p w14:paraId="10F366D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w:t>
      </w:r>
      <w:r w:rsidRPr="003B2786">
        <w:rPr>
          <w:rFonts w:ascii="Sylfaen" w:hAnsi="Sylfaen"/>
          <w:sz w:val="24"/>
          <w:szCs w:val="24"/>
        </w:rPr>
        <w:tab/>
        <w:t>Գրանցման հավաստագրի համարը ձ</w:t>
      </w:r>
      <w:r w:rsidR="00C54D75">
        <w:rPr>
          <w:rFonts w:ascii="Sylfaen" w:hAnsi="Sylfaen"/>
          <w:sz w:val="24"/>
          <w:szCs w:val="24"/>
        </w:rPr>
        <w:t>և</w:t>
      </w:r>
      <w:r w:rsidRPr="003B2786">
        <w:rPr>
          <w:rFonts w:ascii="Sylfaen" w:hAnsi="Sylfaen"/>
          <w:sz w:val="24"/>
          <w:szCs w:val="24"/>
        </w:rPr>
        <w:t>ավորվում է հետ</w:t>
      </w:r>
      <w:r w:rsidR="00C54D75">
        <w:rPr>
          <w:rFonts w:ascii="Sylfaen" w:hAnsi="Sylfaen"/>
          <w:sz w:val="24"/>
          <w:szCs w:val="24"/>
        </w:rPr>
        <w:t>և</w:t>
      </w:r>
      <w:r w:rsidRPr="003B2786">
        <w:rPr>
          <w:rFonts w:ascii="Sylfaen" w:hAnsi="Sylfaen"/>
          <w:sz w:val="24"/>
          <w:szCs w:val="24"/>
        </w:rPr>
        <w:t>յալ կարգով՝</w:t>
      </w:r>
    </w:p>
    <w:p w14:paraId="64BC3F0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ԴՊ-թիվ (XXXXXX)-(YY-ZZ), որտեղ՝</w:t>
      </w:r>
    </w:p>
    <w:p w14:paraId="24CA1CD3"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«ԴՊ» դիրքը դեղապատրաստուկն է,</w:t>
      </w:r>
    </w:p>
    <w:p w14:paraId="78C0901C"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«թիվ (ХХХХХХ)» դիրքը՝ գրանցման հավաստագրի՝ գրանցման անդամ պետության կողմից տրված միասնական վեցանիշ հերթական համարը (տրվում է ավտոմատ կերպով՝ Միության շրջանակներում գրանցված դեղամիջոցների միասնական ռեեստրից),</w:t>
      </w:r>
    </w:p>
    <w:p w14:paraId="0E656AA0"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 xml:space="preserve">«YY» դիրքը՝ դեղապատրաստուկի փորձաքննության </w:t>
      </w:r>
      <w:r w:rsidR="00C54D75">
        <w:rPr>
          <w:rFonts w:ascii="Sylfaen" w:hAnsi="Sylfaen"/>
          <w:sz w:val="24"/>
          <w:szCs w:val="24"/>
        </w:rPr>
        <w:t>և</w:t>
      </w:r>
      <w:r w:rsidRPr="003B2786">
        <w:rPr>
          <w:rFonts w:ascii="Sylfaen" w:hAnsi="Sylfaen"/>
          <w:sz w:val="24"/>
          <w:szCs w:val="24"/>
        </w:rPr>
        <w:t xml:space="preserve"> գրանցման ընթացքում անդամ պետության կարգավիճակը («ՌՊ»՝ ռեֆերենտ պետությունը, «ՃՊ»՝ ճանաչման պետությունը), </w:t>
      </w:r>
    </w:p>
    <w:p w14:paraId="63B837B1" w14:textId="77777777" w:rsidR="008C76E0" w:rsidRPr="003B2786" w:rsidRDefault="008C76E0" w:rsidP="00A37C9C">
      <w:pPr>
        <w:tabs>
          <w:tab w:val="left" w:pos="1134"/>
        </w:tabs>
        <w:spacing w:after="160" w:line="360" w:lineRule="auto"/>
        <w:ind w:left="567" w:firstLine="567"/>
        <w:jc w:val="both"/>
        <w:rPr>
          <w:rFonts w:ascii="Sylfaen" w:hAnsi="Sylfaen"/>
          <w:sz w:val="24"/>
          <w:szCs w:val="24"/>
        </w:rPr>
      </w:pPr>
      <w:r w:rsidRPr="003B2786">
        <w:rPr>
          <w:rFonts w:ascii="Sylfaen" w:hAnsi="Sylfaen"/>
          <w:sz w:val="24"/>
          <w:szCs w:val="24"/>
        </w:rPr>
        <w:t xml:space="preserve">«ZZ» դիրքը՝ անդամ պետության երկտառանի ծածկագիրը (ISO 3166-1-2013 միջազգային ստանդարտին համապատասխան՝ «Երկրների անվանումների </w:t>
      </w:r>
      <w:r w:rsidR="00C54D75">
        <w:rPr>
          <w:rFonts w:ascii="Sylfaen" w:hAnsi="Sylfaen"/>
          <w:sz w:val="24"/>
          <w:szCs w:val="24"/>
        </w:rPr>
        <w:t>և</w:t>
      </w:r>
      <w:r w:rsidRPr="003B2786">
        <w:rPr>
          <w:rFonts w:ascii="Sylfaen" w:hAnsi="Sylfaen"/>
          <w:sz w:val="24"/>
          <w:szCs w:val="24"/>
        </w:rPr>
        <w:t xml:space="preserve"> դրանց վարչատարածքային միավորների բաժանումը ներկայացնելու ծածկագրերը: Մաս 1. Երկրների ծածկագրեր»: Հայաստանի Հանրապետություն՝ AM, Բելառուսի Հանրապետություն՝ BY, Ղազախստանի Հանրապետություն՝ КZ, Ղրղզստանի Հանրապետություն՝ KG, Ռուսաստանի Դաշնություն՝ RU):</w:t>
      </w:r>
    </w:p>
    <w:p w14:paraId="2D3D6AA7"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1-ին դաշտում նշվում է գրանցման հավատագրի իրավատիրոջ լրիվ անվանումը:</w:t>
      </w:r>
    </w:p>
    <w:p w14:paraId="28314AFB"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2-րդ դաշտում նշվում է գրանցման հավաստագրի իրավատիրոջ իրավաբանական հասցեն՝ ներառյալ երկիրը:</w:t>
      </w:r>
    </w:p>
    <w:p w14:paraId="06164F83"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3-րդ դաշտում նշվում է գրանցման ամսաթիվը՝ օր/ամիս/տարի ձ</w:t>
      </w:r>
      <w:r w:rsidR="00C54D75">
        <w:rPr>
          <w:rFonts w:ascii="Sylfaen" w:hAnsi="Sylfaen"/>
          <w:sz w:val="24"/>
          <w:szCs w:val="24"/>
        </w:rPr>
        <w:t>և</w:t>
      </w:r>
      <w:r w:rsidRPr="003B2786">
        <w:rPr>
          <w:rFonts w:ascii="Sylfaen" w:hAnsi="Sylfaen"/>
          <w:sz w:val="24"/>
          <w:szCs w:val="24"/>
        </w:rPr>
        <w:t>աչափով, որը լիազորված անձի կողմից դեղապատրաստուկի գրանցման մասին որոշում կայացնելու ամսաթիվն է:</w:t>
      </w:r>
    </w:p>
    <w:p w14:paraId="20F4FD47"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4-րդ դաշտում նշվում է գրանցման հավաստագրի գործողության ժամկետը լրանալու ամսաթիվը՝ օր/ամիս/տարի ձ</w:t>
      </w:r>
      <w:r w:rsidR="00C54D75">
        <w:rPr>
          <w:rFonts w:ascii="Sylfaen" w:hAnsi="Sylfaen"/>
          <w:sz w:val="24"/>
          <w:szCs w:val="24"/>
        </w:rPr>
        <w:t>և</w:t>
      </w:r>
      <w:r w:rsidRPr="003B2786">
        <w:rPr>
          <w:rFonts w:ascii="Sylfaen" w:hAnsi="Sylfaen"/>
          <w:sz w:val="24"/>
          <w:szCs w:val="24"/>
        </w:rPr>
        <w:t xml:space="preserve">աչափով, որը հաշվարկվում է ռեֆերենտ պետության կողմից դեղապատրաստուկը գրանցելու ամսաթվից: </w:t>
      </w:r>
    </w:p>
    <w:p w14:paraId="71A55878"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8.</w:t>
      </w:r>
      <w:r w:rsidRPr="003B2786">
        <w:rPr>
          <w:rFonts w:ascii="Sylfaen" w:hAnsi="Sylfaen"/>
          <w:sz w:val="24"/>
          <w:szCs w:val="24"/>
        </w:rPr>
        <w:tab/>
        <w:t>5-րդ դաշտում նշվում է գրանցումը (վերագրանցումը) հաստատելու ամսաթիվը՝ օր/ամիս/տարի ձ</w:t>
      </w:r>
      <w:r w:rsidR="00C54D75">
        <w:rPr>
          <w:rFonts w:ascii="Sylfaen" w:hAnsi="Sylfaen"/>
          <w:sz w:val="24"/>
          <w:szCs w:val="24"/>
        </w:rPr>
        <w:t>և</w:t>
      </w:r>
      <w:r w:rsidRPr="003B2786">
        <w:rPr>
          <w:rFonts w:ascii="Sylfaen" w:hAnsi="Sylfaen"/>
          <w:sz w:val="24"/>
          <w:szCs w:val="24"/>
        </w:rPr>
        <w:t>աչափով, որը հաշվարկվում է ռեֆերենտ պետության կողմից դեղապատրաստուկը գրանցելու ամսաթվից:</w:t>
      </w:r>
    </w:p>
    <w:p w14:paraId="6F3FDEF7"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9.</w:t>
      </w:r>
      <w:r w:rsidRPr="003B2786">
        <w:rPr>
          <w:rFonts w:ascii="Sylfaen" w:hAnsi="Sylfaen"/>
          <w:sz w:val="24"/>
          <w:szCs w:val="24"/>
        </w:rPr>
        <w:tab/>
        <w:t>6-րդ դաշտում նշվում է գրանցման հավաստագրում փոփոխություններ կատարելու (վերաձ</w:t>
      </w:r>
      <w:r w:rsidR="00C54D75">
        <w:rPr>
          <w:rFonts w:ascii="Sylfaen" w:hAnsi="Sylfaen"/>
          <w:sz w:val="24"/>
          <w:szCs w:val="24"/>
        </w:rPr>
        <w:t>և</w:t>
      </w:r>
      <w:r w:rsidRPr="003B2786">
        <w:rPr>
          <w:rFonts w:ascii="Sylfaen" w:hAnsi="Sylfaen"/>
          <w:sz w:val="24"/>
          <w:szCs w:val="24"/>
        </w:rPr>
        <w:t>ակերպելու) ամսաթիվը՝ օր/ամիս/տարի ձ</w:t>
      </w:r>
      <w:r w:rsidR="00C54D75">
        <w:rPr>
          <w:rFonts w:ascii="Sylfaen" w:hAnsi="Sylfaen"/>
          <w:sz w:val="24"/>
          <w:szCs w:val="24"/>
        </w:rPr>
        <w:t>և</w:t>
      </w:r>
      <w:r w:rsidRPr="003B2786">
        <w:rPr>
          <w:rFonts w:ascii="Sylfaen" w:hAnsi="Sylfaen"/>
          <w:sz w:val="24"/>
          <w:szCs w:val="24"/>
        </w:rPr>
        <w:t>աչափով:</w:t>
      </w:r>
    </w:p>
    <w:p w14:paraId="00598ED0"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10.</w:t>
      </w:r>
      <w:r w:rsidRPr="003B2786">
        <w:rPr>
          <w:rFonts w:ascii="Sylfaen" w:hAnsi="Sylfaen"/>
          <w:sz w:val="24"/>
          <w:szCs w:val="24"/>
        </w:rPr>
        <w:tab/>
        <w:t>7-րդ դաշտում նշվում է ռեֆերենտ պետությունում դեղապատրաստուկի գրանցման ամսաթիվը:</w:t>
      </w:r>
    </w:p>
    <w:p w14:paraId="06C87664"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Ենթաղյուսակային տողերը լրացվում են՝ նշելով այն անդամ պետության անվանումը, որի տարածքում թույլատրված է տվյալ դեղապատրաստուկի բժշկական կիրառումը:</w:t>
      </w:r>
    </w:p>
    <w:p w14:paraId="53728FFA"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8-րդ դաշտում նշվում է դեղապատրաստուկի առ</w:t>
      </w:r>
      <w:r w:rsidR="00C54D75">
        <w:rPr>
          <w:rFonts w:ascii="Sylfaen" w:hAnsi="Sylfaen"/>
          <w:sz w:val="24"/>
          <w:szCs w:val="24"/>
        </w:rPr>
        <w:t>և</w:t>
      </w:r>
      <w:r w:rsidRPr="003B2786">
        <w:rPr>
          <w:rFonts w:ascii="Sylfaen" w:hAnsi="Sylfaen"/>
          <w:sz w:val="24"/>
          <w:szCs w:val="24"/>
        </w:rPr>
        <w:t xml:space="preserve">տրային անվանումը՝ դեղապատրաստուկների բժշկական կիրառման հրահանգին </w:t>
      </w:r>
      <w:r w:rsidR="00C54D75">
        <w:rPr>
          <w:rFonts w:ascii="Sylfaen" w:hAnsi="Sylfaen"/>
          <w:sz w:val="24"/>
          <w:szCs w:val="24"/>
        </w:rPr>
        <w:t>և</w:t>
      </w:r>
      <w:r w:rsidRPr="003B2786">
        <w:rPr>
          <w:rFonts w:ascii="Sylfaen" w:hAnsi="Sylfaen"/>
          <w:sz w:val="24"/>
          <w:szCs w:val="24"/>
        </w:rPr>
        <w:t xml:space="preserve"> բժշկական կիրառման համար նախատեսված դեղապատրաստուկների ընդհանուր բնութագրի պահանջներին համապատասխան, որոնք հաստատվում են Եվրասիական տնտեսական հանձնաժողովի կողմից:</w:t>
      </w:r>
    </w:p>
    <w:p w14:paraId="6D0A542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 xml:space="preserve">9-րդ դաշտում նշվում է ակտիվ դեղագործական բաղադրամասի միջազգային չարտոնագրված անվանումը (այսուհետ՝ ՄՉԱ), ՄՉԱ-ի բացակայության դեպքում օգտագործվում է համընդհանուր (խմբայնացված) անվանումը, իսկ դրանց բացակայության դեպքում՝ անվանումը՝ ԻՅուՊԱԿ-ի (IUPAC) </w:t>
      </w:r>
      <w:r w:rsidRPr="003B2786">
        <w:rPr>
          <w:rFonts w:ascii="Sylfaen" w:hAnsi="Sylfaen"/>
          <w:spacing w:val="-6"/>
          <w:sz w:val="24"/>
          <w:szCs w:val="24"/>
        </w:rPr>
        <w:t xml:space="preserve">քիմիական անվանացանկի համաձայն: Համակցված դեղապատրաստուկների համար օգտագործվում է համապատասխան համընդհանուր (խմբայնացված) անվանումը, որը այբբենական կարգով կներկայացնի ՄՉԱ-ի թվարկումը </w:t>
      </w:r>
      <w:r w:rsidR="00C54D75">
        <w:rPr>
          <w:rFonts w:ascii="Sylfaen" w:hAnsi="Sylfaen"/>
          <w:spacing w:val="-6"/>
          <w:sz w:val="24"/>
          <w:szCs w:val="24"/>
        </w:rPr>
        <w:t>և</w:t>
      </w:r>
      <w:r w:rsidRPr="003B2786">
        <w:rPr>
          <w:rFonts w:ascii="Sylfaen" w:hAnsi="Sylfaen"/>
          <w:spacing w:val="-6"/>
          <w:sz w:val="24"/>
          <w:szCs w:val="24"/>
        </w:rPr>
        <w:t xml:space="preserve"> (կամ) խմբայնացված անվանումները՝ «+» նշանով: Այն դեպքում, երբ մեկ կամ մի քանի ակտիվ բաղադրիչների դեղագործական ակտիվությամբ ուղղակիորեն պայմանավորված չէ դեղապատրաստուկի դեղագործական էֆեկտը, այլ հանդես է գալիս որպես օժանդակ, ապա այդ բաղադրիչի (բաղադրիչների) անվանումը համընդհանուր (խմբայնացված) անվանման վերջում նշվում է քառակուսի փակագծերում՝ անկախ</w:t>
      </w:r>
      <w:r w:rsidRPr="003B2786">
        <w:rPr>
          <w:rFonts w:ascii="Sylfaen" w:hAnsi="Sylfaen"/>
          <w:sz w:val="24"/>
          <w:szCs w:val="24"/>
        </w:rPr>
        <w:t xml:space="preserve"> այբբենական կարգից:</w:t>
      </w:r>
    </w:p>
    <w:p w14:paraId="404A839A"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lastRenderedPageBreak/>
        <w:t>14.</w:t>
      </w:r>
      <w:r w:rsidRPr="003B2786">
        <w:rPr>
          <w:rFonts w:ascii="Sylfaen" w:hAnsi="Sylfaen"/>
          <w:sz w:val="24"/>
          <w:szCs w:val="24"/>
        </w:rPr>
        <w:tab/>
        <w:t>10-րդ դաշտում նշվում է դեղաձ</w:t>
      </w:r>
      <w:r w:rsidR="00C54D75">
        <w:rPr>
          <w:rFonts w:ascii="Sylfaen" w:hAnsi="Sylfaen"/>
          <w:sz w:val="24"/>
          <w:szCs w:val="24"/>
        </w:rPr>
        <w:t>և</w:t>
      </w:r>
      <w:r w:rsidRPr="003B2786">
        <w:rPr>
          <w:rFonts w:ascii="Sylfaen" w:hAnsi="Sylfaen"/>
          <w:sz w:val="24"/>
          <w:szCs w:val="24"/>
        </w:rPr>
        <w:t>ի անվանումը՝ առաջնորդվելով Միության դեղաձ</w:t>
      </w:r>
      <w:r w:rsidR="00C54D75">
        <w:rPr>
          <w:rFonts w:ascii="Sylfaen" w:hAnsi="Sylfaen"/>
          <w:sz w:val="24"/>
          <w:szCs w:val="24"/>
        </w:rPr>
        <w:t>և</w:t>
      </w:r>
      <w:r w:rsidRPr="003B2786">
        <w:rPr>
          <w:rFonts w:ascii="Sylfaen" w:hAnsi="Sylfaen"/>
          <w:sz w:val="24"/>
          <w:szCs w:val="24"/>
        </w:rPr>
        <w:t>երի անվանացանկով, հավաքակազմերի (լրակազմերի) համար նշվում է հավաքակազմի (լրակազմի) բաղադրիչներից յուրաքանչյուրի դեղաձ</w:t>
      </w:r>
      <w:r w:rsidR="00C54D75">
        <w:rPr>
          <w:rFonts w:ascii="Sylfaen" w:hAnsi="Sylfaen"/>
          <w:sz w:val="24"/>
          <w:szCs w:val="24"/>
        </w:rPr>
        <w:t>և</w:t>
      </w:r>
      <w:r w:rsidRPr="003B2786">
        <w:rPr>
          <w:rFonts w:ascii="Sylfaen" w:hAnsi="Sylfaen"/>
          <w:sz w:val="24"/>
          <w:szCs w:val="24"/>
        </w:rPr>
        <w:t>ի անվանումը:</w:t>
      </w:r>
    </w:p>
    <w:p w14:paraId="05A7907A"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15.</w:t>
      </w:r>
      <w:r w:rsidRPr="003B2786">
        <w:rPr>
          <w:rFonts w:ascii="Sylfaen" w:hAnsi="Sylfaen"/>
          <w:sz w:val="24"/>
          <w:szCs w:val="24"/>
        </w:rPr>
        <w:tab/>
        <w:t>11-րդ դաշտում նշվում է դեղաձ</w:t>
      </w:r>
      <w:r w:rsidR="00C54D75">
        <w:rPr>
          <w:rFonts w:ascii="Sylfaen" w:hAnsi="Sylfaen"/>
          <w:sz w:val="24"/>
          <w:szCs w:val="24"/>
        </w:rPr>
        <w:t>և</w:t>
      </w:r>
      <w:r w:rsidRPr="003B2786">
        <w:rPr>
          <w:rFonts w:ascii="Sylfaen" w:hAnsi="Sylfaen"/>
          <w:sz w:val="24"/>
          <w:szCs w:val="24"/>
        </w:rPr>
        <w:t>ի յուրաքանչյուր միավորի դոզան: Համակցված դեղապատրաստուկների համար դեղաձ</w:t>
      </w:r>
      <w:r w:rsidR="00C54D75">
        <w:rPr>
          <w:rFonts w:ascii="Sylfaen" w:hAnsi="Sylfaen"/>
          <w:sz w:val="24"/>
          <w:szCs w:val="24"/>
        </w:rPr>
        <w:t>և</w:t>
      </w:r>
      <w:r w:rsidRPr="003B2786">
        <w:rPr>
          <w:rFonts w:ascii="Sylfaen" w:hAnsi="Sylfaen"/>
          <w:sz w:val="24"/>
          <w:szCs w:val="24"/>
        </w:rPr>
        <w:t>ի յուրաքանչյուր բաղադրիչի դոզան նշվում է</w:t>
      </w:r>
      <w:r w:rsidR="003F7A44">
        <w:rPr>
          <w:rFonts w:ascii="Sylfaen" w:hAnsi="Sylfaen"/>
          <w:sz w:val="24"/>
          <w:szCs w:val="24"/>
        </w:rPr>
        <w:t xml:space="preserve"> «+» </w:t>
      </w:r>
      <w:r w:rsidRPr="003B2786">
        <w:rPr>
          <w:rFonts w:ascii="Sylfaen" w:hAnsi="Sylfaen"/>
          <w:sz w:val="24"/>
          <w:szCs w:val="24"/>
        </w:rPr>
        <w:t>նշանով՝ համընդհանուր (խմբայնացված) անվանմանը համապատասխան կարգով: Դոզայի (դոզաների) նշումը պետք է համընկնի դեղապատրաստուկի որակի վերաբերյալ նորմատիվ փաստաթղթում ներկայացված տեղեկությունների հետ:</w:t>
      </w:r>
    </w:p>
    <w:p w14:paraId="085E5085" w14:textId="15BE24DC" w:rsidR="008C76E0"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16.</w:t>
      </w:r>
      <w:r w:rsidRPr="003B2786">
        <w:rPr>
          <w:rFonts w:ascii="Sylfaen" w:hAnsi="Sylfaen"/>
          <w:sz w:val="24"/>
          <w:szCs w:val="24"/>
        </w:rPr>
        <w:tab/>
        <w:t>12-րդ դաշտում նշվում է դեղապատրաստուկի բացթողման ձ</w:t>
      </w:r>
      <w:r w:rsidR="00C54D75">
        <w:rPr>
          <w:rFonts w:ascii="Sylfaen" w:hAnsi="Sylfaen"/>
          <w:sz w:val="24"/>
          <w:szCs w:val="24"/>
        </w:rPr>
        <w:t>և</w:t>
      </w:r>
      <w:r w:rsidRPr="003B2786">
        <w:rPr>
          <w:rFonts w:ascii="Sylfaen" w:hAnsi="Sylfaen"/>
          <w:sz w:val="24"/>
          <w:szCs w:val="24"/>
        </w:rPr>
        <w:t xml:space="preserve">ը՝ նշելով առաջնային </w:t>
      </w:r>
      <w:r w:rsidR="00C54D75">
        <w:rPr>
          <w:rFonts w:ascii="Sylfaen" w:hAnsi="Sylfaen"/>
          <w:sz w:val="24"/>
          <w:szCs w:val="24"/>
        </w:rPr>
        <w:t>և</w:t>
      </w:r>
      <w:r w:rsidRPr="003B2786">
        <w:rPr>
          <w:rFonts w:ascii="Sylfaen" w:hAnsi="Sylfaen"/>
          <w:sz w:val="24"/>
          <w:szCs w:val="24"/>
        </w:rPr>
        <w:t xml:space="preserve"> երկրորդային փաթեթվածքի տեսակը, </w:t>
      </w:r>
      <w:r w:rsidR="00C54D75">
        <w:rPr>
          <w:rFonts w:ascii="Sylfaen" w:hAnsi="Sylfaen"/>
          <w:sz w:val="24"/>
          <w:szCs w:val="24"/>
        </w:rPr>
        <w:t>և</w:t>
      </w:r>
      <w:r w:rsidRPr="003B2786">
        <w:rPr>
          <w:rFonts w:ascii="Sylfaen" w:hAnsi="Sylfaen"/>
          <w:sz w:val="24"/>
          <w:szCs w:val="24"/>
        </w:rPr>
        <w:t xml:space="preserve"> դրանցում՝ դեղաձ</w:t>
      </w:r>
      <w:r w:rsidR="00C54D75">
        <w:rPr>
          <w:rFonts w:ascii="Sylfaen" w:hAnsi="Sylfaen"/>
          <w:sz w:val="24"/>
          <w:szCs w:val="24"/>
        </w:rPr>
        <w:t>և</w:t>
      </w:r>
      <w:r w:rsidRPr="003B2786">
        <w:rPr>
          <w:rFonts w:ascii="Sylfaen" w:hAnsi="Sylfaen"/>
          <w:sz w:val="24"/>
          <w:szCs w:val="24"/>
        </w:rPr>
        <w:t>ի, ինչպես նա</w:t>
      </w:r>
      <w:r w:rsidR="00C54D75">
        <w:rPr>
          <w:rFonts w:ascii="Sylfaen" w:hAnsi="Sylfaen"/>
          <w:sz w:val="24"/>
          <w:szCs w:val="24"/>
        </w:rPr>
        <w:t>և</w:t>
      </w:r>
      <w:r w:rsidRPr="003B2786">
        <w:rPr>
          <w:rFonts w:ascii="Sylfaen" w:hAnsi="Sylfaen"/>
          <w:sz w:val="24"/>
          <w:szCs w:val="24"/>
        </w:rPr>
        <w:t xml:space="preserve"> կոմպլեկտայնության քանակը (դոզայի թիվը): Նշումները պետք է համընկնեն դեղապատրաստուկի որակի վերաբերյալ նորմատիվ փաստաթղթում ներկայացված տեղեկատվության հետ:</w:t>
      </w:r>
    </w:p>
    <w:p w14:paraId="3A98C2FF" w14:textId="55EA6434" w:rsidR="00E430CB" w:rsidRDefault="00E430CB" w:rsidP="00A37C9C">
      <w:pPr>
        <w:tabs>
          <w:tab w:val="left" w:pos="1276"/>
        </w:tabs>
        <w:spacing w:after="160" w:line="360" w:lineRule="auto"/>
        <w:ind w:right="-1" w:firstLine="567"/>
        <w:jc w:val="both"/>
        <w:rPr>
          <w:rFonts w:ascii="Sylfaen" w:hAnsi="Sylfaen"/>
          <w:sz w:val="24"/>
          <w:szCs w:val="24"/>
        </w:rPr>
      </w:pPr>
      <w:r>
        <w:rPr>
          <w:rFonts w:ascii="Sylfaen" w:hAnsi="Sylfaen"/>
          <w:sz w:val="24"/>
          <w:szCs w:val="24"/>
        </w:rPr>
        <w:t xml:space="preserve">16.1.     </w:t>
      </w:r>
      <w:r w:rsidRPr="00E430CB">
        <w:rPr>
          <w:rFonts w:ascii="Sylfaen" w:hAnsi="Sylfaen"/>
          <w:sz w:val="24"/>
          <w:szCs w:val="24"/>
        </w:rPr>
        <w:t>12.1 դաշտում անհրաժեշտության դեպքում նշվում է չբաժնեծրարված արտադրանքի (bulk product) բացթողման ձևը՝ նշելով չբաժնեծրարված արտադրանքի փաթեթվածքի տեսակը և ծավալը (ծավալի տիրույթը)</w:t>
      </w:r>
      <w:r>
        <w:rPr>
          <w:rFonts w:ascii="Sylfaen" w:hAnsi="Sylfaen"/>
          <w:sz w:val="24"/>
          <w:szCs w:val="24"/>
        </w:rPr>
        <w:t>:</w:t>
      </w:r>
    </w:p>
    <w:p w14:paraId="064FC858" w14:textId="59B491AB" w:rsidR="00E430CB" w:rsidRPr="00CD4709" w:rsidRDefault="00E430CB" w:rsidP="00E430CB">
      <w:pPr>
        <w:rPr>
          <w:b/>
          <w:bCs/>
          <w:i/>
          <w:iCs/>
        </w:rPr>
      </w:pPr>
      <w:r w:rsidRPr="00CD4709">
        <w:rPr>
          <w:b/>
          <w:bCs/>
          <w:i/>
          <w:iCs/>
        </w:rPr>
        <w:t>(</w:t>
      </w:r>
      <w:r>
        <w:rPr>
          <w:b/>
          <w:bCs/>
          <w:i/>
          <w:iCs/>
        </w:rPr>
        <w:t xml:space="preserve">16.1 կետը լրաց 23.04.21 </w:t>
      </w:r>
      <w:r w:rsidRPr="00CD4709">
        <w:rPr>
          <w:b/>
          <w:bCs/>
          <w:i/>
          <w:iCs/>
        </w:rPr>
        <w:t xml:space="preserve"> թիվ </w:t>
      </w:r>
      <w:r>
        <w:rPr>
          <w:b/>
          <w:bCs/>
          <w:i/>
          <w:iCs/>
        </w:rPr>
        <w:t>34</w:t>
      </w:r>
      <w:r w:rsidRPr="00CD4709">
        <w:rPr>
          <w:b/>
          <w:bCs/>
          <w:i/>
          <w:iCs/>
        </w:rPr>
        <w:t>)</w:t>
      </w:r>
    </w:p>
    <w:p w14:paraId="1C12F044" w14:textId="77777777" w:rsidR="00E430CB" w:rsidRPr="003B2786" w:rsidRDefault="00E430CB" w:rsidP="00A37C9C">
      <w:pPr>
        <w:tabs>
          <w:tab w:val="left" w:pos="1276"/>
        </w:tabs>
        <w:spacing w:after="160" w:line="360" w:lineRule="auto"/>
        <w:ind w:right="-1" w:firstLine="567"/>
        <w:jc w:val="both"/>
        <w:rPr>
          <w:rFonts w:ascii="Sylfaen" w:hAnsi="Sylfaen"/>
          <w:sz w:val="24"/>
          <w:szCs w:val="24"/>
        </w:rPr>
      </w:pPr>
    </w:p>
    <w:p w14:paraId="2543BAA3"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17.</w:t>
      </w:r>
      <w:r w:rsidRPr="003B2786">
        <w:rPr>
          <w:rFonts w:ascii="Sylfaen" w:hAnsi="Sylfaen"/>
          <w:sz w:val="24"/>
          <w:szCs w:val="24"/>
        </w:rPr>
        <w:tab/>
        <w:t xml:space="preserve">13-րդ դաշտում ներկայացվում են դեղապատրաստուկի բաղադրությունը՝ նշելով ակտիվ դեղագործական բաղադրամասի քանակական պարունակությունը, </w:t>
      </w:r>
      <w:r w:rsidR="00C54D75">
        <w:rPr>
          <w:rFonts w:ascii="Sylfaen" w:hAnsi="Sylfaen"/>
          <w:sz w:val="24"/>
          <w:szCs w:val="24"/>
        </w:rPr>
        <w:t>և</w:t>
      </w:r>
      <w:r w:rsidRPr="003B2786">
        <w:rPr>
          <w:rFonts w:ascii="Sylfaen" w:hAnsi="Sylfaen"/>
          <w:sz w:val="24"/>
          <w:szCs w:val="24"/>
        </w:rPr>
        <w:t xml:space="preserve"> օժանդակ նյութերի որակական բաղադրության թվարկումը: Նշումը պետք է համընկնի դեղապատրաստուկի վերաբերյալ նորմատիվ փաստաթղթում ներկայացված տեղեկությունների հետ:</w:t>
      </w:r>
    </w:p>
    <w:p w14:paraId="325BBB29"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18.</w:t>
      </w:r>
      <w:r w:rsidRPr="003B2786">
        <w:rPr>
          <w:rFonts w:ascii="Sylfaen" w:hAnsi="Sylfaen"/>
          <w:sz w:val="24"/>
          <w:szCs w:val="24"/>
        </w:rPr>
        <w:tab/>
        <w:t xml:space="preserve">14-րդ դաշտում նշվում է դեղապատրաստուկի պիտանիության ժամկետը՝ համապատասխան ժամանակահատվածի տեսքով՝ տառաթվային </w:t>
      </w:r>
      <w:r w:rsidRPr="003B2786">
        <w:rPr>
          <w:rFonts w:ascii="Sylfaen" w:hAnsi="Sylfaen"/>
          <w:sz w:val="24"/>
          <w:szCs w:val="24"/>
        </w:rPr>
        <w:lastRenderedPageBreak/>
        <w:t xml:space="preserve">եղանակով (1 տարի, 2 տարի, 3 տարի </w:t>
      </w:r>
      <w:r w:rsidR="00C54D75">
        <w:rPr>
          <w:rFonts w:ascii="Sylfaen" w:hAnsi="Sylfaen"/>
          <w:sz w:val="24"/>
          <w:szCs w:val="24"/>
        </w:rPr>
        <w:t>և</w:t>
      </w:r>
      <w:r w:rsidRPr="003B2786">
        <w:rPr>
          <w:rFonts w:ascii="Sylfaen" w:hAnsi="Sylfaen"/>
          <w:sz w:val="24"/>
          <w:szCs w:val="24"/>
        </w:rPr>
        <w:t xml:space="preserve"> այլն): Պիտանիության ժամկետի նշումը պետք է համընկնի դեղապատրաստուկի որակի վերաբերյալ նորմատիվ փաստաթղթում ներկայացված տեղեկությունների հետ:</w:t>
      </w:r>
    </w:p>
    <w:p w14:paraId="0427D35D"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19.</w:t>
      </w:r>
      <w:r w:rsidRPr="003B2786">
        <w:rPr>
          <w:rFonts w:ascii="Sylfaen" w:hAnsi="Sylfaen"/>
          <w:sz w:val="24"/>
          <w:szCs w:val="24"/>
        </w:rPr>
        <w:tab/>
        <w:t xml:space="preserve">«Դեղապատրաստուկն արտադրողի մասին տեղեկատվություն (դեղապատրաստուկի արտադրության գործընթացի մաս կազմող արտադրական հարթակների անվանումը </w:t>
      </w:r>
      <w:r w:rsidR="00C54D75">
        <w:rPr>
          <w:rFonts w:ascii="Sylfaen" w:hAnsi="Sylfaen"/>
          <w:sz w:val="24"/>
          <w:szCs w:val="24"/>
        </w:rPr>
        <w:t>և</w:t>
      </w:r>
      <w:r w:rsidRPr="003B2786">
        <w:rPr>
          <w:rFonts w:ascii="Sylfaen" w:hAnsi="Sylfaen"/>
          <w:sz w:val="24"/>
          <w:szCs w:val="24"/>
        </w:rPr>
        <w:t xml:space="preserve"> հասցեն)» աղյուսակը լրացվում է՝ նշելով գրանցման դոսյեի «Դեղապատրաստուկի արտադրության գործընթացը» 3.2.P.3 բաժնում նշված տեղեկություններին համապատասխան արտադրական հարթակներից յուրաքանչյուրի գտնվելու վայրի փաստացի հասցեն:</w:t>
      </w:r>
    </w:p>
    <w:p w14:paraId="06E4447F"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Աղյուսակը պետք է ներառի արտադրական հարթակների վերաբերյալ տեղեկատվությունը՝ դեղապատրաստուկի արտադրության ամբողջ ցիկլի ընթացքում՝ ներառյալ լուծիչների, ջրիկացուցիչների </w:t>
      </w:r>
      <w:r w:rsidR="00C54D75">
        <w:rPr>
          <w:rFonts w:ascii="Sylfaen" w:hAnsi="Sylfaen"/>
          <w:sz w:val="24"/>
          <w:szCs w:val="24"/>
        </w:rPr>
        <w:t>և</w:t>
      </w:r>
      <w:r w:rsidRPr="003B2786">
        <w:rPr>
          <w:rFonts w:ascii="Sylfaen" w:hAnsi="Sylfaen"/>
          <w:sz w:val="24"/>
          <w:szCs w:val="24"/>
        </w:rPr>
        <w:t xml:space="preserve"> պատրաստի դեղապատրաստուկի ստացումն ապահովող արտադրական գործընթացի այլ մասնակիցների արտադրության մաս կազմող արտադրական հարթակները: Այդ արտադրական հարթակների վերաբերյալ տեղեկատվությունը մուտքագրվում է համապատասխան դաշտերում՝ արտադրական ցիկլի յուրաքանչյուր ընթացաշրջանի ներքո:</w:t>
      </w:r>
    </w:p>
    <w:p w14:paraId="7E2467F7"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Աղյուսակի յուրաքանչյուր դաշտում նշվում են արտադրական ցիկլի տվյալ ընթացաշրջանի հետ կապված գործընթացի բոլոր մասնակիցները: Եթե դեղապատրաստուկի արտադրության մեջ արտադրական գործընթացի որ</w:t>
      </w:r>
      <w:r w:rsidR="00C54D75">
        <w:rPr>
          <w:rFonts w:ascii="Sylfaen" w:hAnsi="Sylfaen"/>
          <w:sz w:val="24"/>
          <w:szCs w:val="24"/>
        </w:rPr>
        <w:t>և</w:t>
      </w:r>
      <w:r w:rsidRPr="003B2786">
        <w:rPr>
          <w:rFonts w:ascii="Sylfaen" w:hAnsi="Sylfaen"/>
          <w:sz w:val="24"/>
          <w:szCs w:val="24"/>
        </w:rPr>
        <w:t>է ընթացաշրջանի մաս են կազմում մի քանի արտադրական հարթակներ, ապա գրանցման հավաստագրի ձ</w:t>
      </w:r>
      <w:r w:rsidR="00C54D75">
        <w:rPr>
          <w:rFonts w:ascii="Sylfaen" w:hAnsi="Sylfaen"/>
          <w:sz w:val="24"/>
          <w:szCs w:val="24"/>
        </w:rPr>
        <w:t>և</w:t>
      </w:r>
      <w:r w:rsidRPr="003B2786">
        <w:rPr>
          <w:rFonts w:ascii="Sylfaen" w:hAnsi="Sylfaen"/>
          <w:sz w:val="24"/>
          <w:szCs w:val="24"/>
        </w:rPr>
        <w:t>ում՝ աղյուսակի մեջ, տողեր են ավելացվում արտադրական գործընթացի մասնակիցների թվին համապատասխան քանակով:</w:t>
      </w:r>
    </w:p>
    <w:p w14:paraId="55B578E6"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20.</w:t>
      </w:r>
      <w:r w:rsidRPr="003B2786">
        <w:rPr>
          <w:rFonts w:ascii="Sylfaen" w:hAnsi="Sylfaen"/>
          <w:sz w:val="24"/>
          <w:szCs w:val="24"/>
        </w:rPr>
        <w:tab/>
        <w:t xml:space="preserve">Գրանցման հավաստագրի հավելվածում դեղապատրաստուկի գրանցման հատուկ պայմանների առկայության դեպքում ներկայացվում է «Դեղապատրաստուկի գրանցման հատուկ պայմանները» աղյուսակը (լրացվում է գրանցման հավաստագրի առանձին հավելվածում): Աղյուսակի ձախ դաշտում նշվում են դեղապատրաստուկի կիրառման համար սահմանափակումները, </w:t>
      </w:r>
      <w:r w:rsidRPr="003B2786">
        <w:rPr>
          <w:rFonts w:ascii="Sylfaen" w:hAnsi="Sylfaen"/>
          <w:sz w:val="24"/>
          <w:szCs w:val="24"/>
        </w:rPr>
        <w:lastRenderedPageBreak/>
        <w:t xml:space="preserve">կենտրոնական դաշտում՝ լրացուցիչ պարտավորությունները, որոնք հարկ է կատարել գրանցման հավաստագրի իրավատիրոջ կողմից, աջ դաշտում՝ պարտավորությունների կատարման </w:t>
      </w:r>
      <w:r w:rsidR="00C54D75">
        <w:rPr>
          <w:rFonts w:ascii="Sylfaen" w:hAnsi="Sylfaen"/>
          <w:sz w:val="24"/>
          <w:szCs w:val="24"/>
        </w:rPr>
        <w:t>և</w:t>
      </w:r>
      <w:r w:rsidRPr="003B2786">
        <w:rPr>
          <w:rFonts w:ascii="Sylfaen" w:hAnsi="Sylfaen"/>
          <w:sz w:val="24"/>
          <w:szCs w:val="24"/>
        </w:rPr>
        <w:t xml:space="preserve"> դրված սահմանափակումների ժամկետը՝ օր/ամիս/տարի ձ</w:t>
      </w:r>
      <w:r w:rsidR="00C54D75">
        <w:rPr>
          <w:rFonts w:ascii="Sylfaen" w:hAnsi="Sylfaen"/>
          <w:sz w:val="24"/>
          <w:szCs w:val="24"/>
        </w:rPr>
        <w:t>և</w:t>
      </w:r>
      <w:r w:rsidRPr="003B2786">
        <w:rPr>
          <w:rFonts w:ascii="Sylfaen" w:hAnsi="Sylfaen"/>
          <w:sz w:val="24"/>
          <w:szCs w:val="24"/>
        </w:rPr>
        <w:t>աչափով:</w:t>
      </w:r>
    </w:p>
    <w:p w14:paraId="2DEBE74C"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Հավելվածը գրանցման հավաստագրի անքակտելի մասն է: Հավելվածի յուրաքանչյուր թերթ պետք է համարակալված լինի, դրա վրա դրվում է գրանցման հավաստագրի գրանցման համարը, գրանցման հավաստագիր տրամադրած լիազորված մարմնի ղեկավարի (լիազորված անձի) պաշտոնը, ստորագրությունը, ազգանունը, անունը, հայրանունը, յուրաքանչյուր թերթ վավերացվում է լիազորված մարմնի կնիքով:</w:t>
      </w:r>
    </w:p>
    <w:p w14:paraId="4E151CFC" w14:textId="01D627C6" w:rsidR="008C76E0"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«Լիազորված մարմնի ղեկավարը, ստորագրությունը, կնիքը» դաշտը լրացվում է անձամբ, ստորագրության փոխարեն ֆաքսիմիլեի գործածում չի թույլատրվում:</w:t>
      </w:r>
    </w:p>
    <w:p w14:paraId="68F4E4AB" w14:textId="218FCB1E" w:rsidR="001114E9" w:rsidRPr="00CD4709" w:rsidRDefault="001114E9" w:rsidP="001114E9">
      <w:pPr>
        <w:rPr>
          <w:b/>
          <w:bCs/>
          <w:i/>
          <w:iCs/>
        </w:rPr>
      </w:pPr>
      <w:r w:rsidRPr="00CD4709">
        <w:rPr>
          <w:b/>
          <w:bCs/>
          <w:i/>
          <w:iCs/>
        </w:rPr>
        <w:t>(</w:t>
      </w:r>
      <w:r>
        <w:rPr>
          <w:b/>
          <w:bCs/>
          <w:i/>
          <w:iCs/>
        </w:rPr>
        <w:t xml:space="preserve">հավելվածը լրաց. 23.04.21 </w:t>
      </w:r>
      <w:r w:rsidRPr="00CD4709">
        <w:rPr>
          <w:b/>
          <w:bCs/>
          <w:i/>
          <w:iCs/>
        </w:rPr>
        <w:t xml:space="preserve"> թիվ </w:t>
      </w:r>
      <w:r>
        <w:rPr>
          <w:b/>
          <w:bCs/>
          <w:i/>
          <w:iCs/>
        </w:rPr>
        <w:t>34</w:t>
      </w:r>
      <w:r w:rsidRPr="00CD4709">
        <w:rPr>
          <w:b/>
          <w:bCs/>
          <w:i/>
          <w:iCs/>
        </w:rPr>
        <w:t>)</w:t>
      </w:r>
    </w:p>
    <w:p w14:paraId="0FC08D2E" w14:textId="77777777" w:rsidR="001114E9" w:rsidRDefault="001114E9" w:rsidP="00A37C9C">
      <w:pPr>
        <w:spacing w:after="160" w:line="360" w:lineRule="auto"/>
        <w:ind w:right="-1" w:firstLine="567"/>
        <w:jc w:val="both"/>
        <w:rPr>
          <w:rFonts w:ascii="Sylfaen" w:hAnsi="Sylfaen"/>
          <w:sz w:val="24"/>
          <w:szCs w:val="24"/>
        </w:rPr>
      </w:pPr>
    </w:p>
    <w:p w14:paraId="1B05C93D" w14:textId="77777777" w:rsidR="008C76E0" w:rsidRPr="003B2786" w:rsidRDefault="008C76E0" w:rsidP="00A37C9C">
      <w:pPr>
        <w:spacing w:after="160" w:line="360" w:lineRule="auto"/>
        <w:ind w:right="-1" w:firstLine="567"/>
        <w:jc w:val="both"/>
        <w:rPr>
          <w:rFonts w:ascii="Sylfaen" w:hAnsi="Sylfaen"/>
          <w:sz w:val="24"/>
          <w:szCs w:val="24"/>
        </w:rPr>
      </w:pPr>
    </w:p>
    <w:p w14:paraId="4805ECE5" w14:textId="77777777" w:rsidR="008C76E0" w:rsidRDefault="008C76E0" w:rsidP="00A37C9C">
      <w:pPr>
        <w:spacing w:after="160" w:line="360" w:lineRule="auto"/>
        <w:ind w:right="-1"/>
        <w:jc w:val="center"/>
        <w:rPr>
          <w:rFonts w:ascii="Sylfaen" w:hAnsi="Sylfaen"/>
          <w:sz w:val="24"/>
          <w:szCs w:val="24"/>
        </w:rPr>
      </w:pPr>
      <w:r>
        <w:rPr>
          <w:rFonts w:ascii="Sylfaen" w:hAnsi="Sylfaen"/>
          <w:sz w:val="24"/>
          <w:szCs w:val="24"/>
        </w:rPr>
        <w:t>—————————</w:t>
      </w:r>
    </w:p>
    <w:p w14:paraId="265DEED3" w14:textId="77777777" w:rsidR="003F7A44" w:rsidRPr="00E15E7D" w:rsidRDefault="003F7A44" w:rsidP="008C76E0">
      <w:pPr>
        <w:ind w:left="3969" w:right="-1"/>
        <w:jc w:val="center"/>
        <w:rPr>
          <w:rFonts w:ascii="Sylfaen" w:hAnsi="Sylfaen"/>
          <w:sz w:val="24"/>
          <w:szCs w:val="24"/>
        </w:rPr>
      </w:pPr>
    </w:p>
    <w:p w14:paraId="7C9FE220" w14:textId="77777777" w:rsidR="003F7A44" w:rsidRPr="00E15E7D" w:rsidRDefault="003F7A44" w:rsidP="008C76E0">
      <w:pPr>
        <w:ind w:left="3969" w:right="-1"/>
        <w:jc w:val="center"/>
        <w:rPr>
          <w:rFonts w:ascii="Sylfaen" w:hAnsi="Sylfaen"/>
          <w:sz w:val="24"/>
          <w:szCs w:val="24"/>
        </w:rPr>
        <w:sectPr w:rsidR="003F7A44" w:rsidRPr="00E15E7D" w:rsidSect="00C31D56">
          <w:pgSz w:w="11906" w:h="16838" w:code="9"/>
          <w:pgMar w:top="1418" w:right="1418" w:bottom="1418" w:left="1418" w:header="709" w:footer="709" w:gutter="0"/>
          <w:pgNumType w:start="1"/>
          <w:cols w:space="708"/>
          <w:titlePg/>
          <w:docGrid w:linePitch="360"/>
        </w:sectPr>
      </w:pPr>
    </w:p>
    <w:p w14:paraId="1CB2DEC9" w14:textId="77777777" w:rsidR="008C76E0" w:rsidRPr="003B2786" w:rsidRDefault="008C76E0" w:rsidP="003F7A44">
      <w:pPr>
        <w:spacing w:after="160" w:line="360" w:lineRule="auto"/>
        <w:ind w:left="3969"/>
        <w:jc w:val="center"/>
        <w:rPr>
          <w:rFonts w:ascii="Sylfaen" w:hAnsi="Sylfaen"/>
          <w:sz w:val="24"/>
          <w:szCs w:val="24"/>
        </w:rPr>
      </w:pPr>
      <w:r w:rsidRPr="003B2786">
        <w:rPr>
          <w:rFonts w:ascii="Sylfaen" w:hAnsi="Sylfaen"/>
          <w:sz w:val="24"/>
          <w:szCs w:val="24"/>
        </w:rPr>
        <w:lastRenderedPageBreak/>
        <w:t>ՀԱՎԵԼՎԱԾ ԹԻՎ 18</w:t>
      </w:r>
    </w:p>
    <w:p w14:paraId="151993EC" w14:textId="77777777" w:rsidR="008C76E0" w:rsidRPr="003B2786" w:rsidRDefault="008C76E0" w:rsidP="003F7A44">
      <w:pPr>
        <w:spacing w:after="160" w:line="360" w:lineRule="auto"/>
        <w:ind w:left="3969"/>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114C827A" w14:textId="77777777" w:rsidR="008C76E0" w:rsidRPr="003B2786" w:rsidRDefault="008C76E0" w:rsidP="003F7A44">
      <w:pPr>
        <w:spacing w:after="160" w:line="360" w:lineRule="auto"/>
        <w:ind w:left="5103"/>
        <w:rPr>
          <w:rFonts w:ascii="Sylfaen" w:hAnsi="Sylfaen"/>
          <w:sz w:val="24"/>
          <w:szCs w:val="24"/>
        </w:rPr>
      </w:pPr>
    </w:p>
    <w:p w14:paraId="3F364F92" w14:textId="77777777" w:rsidR="008C76E0" w:rsidRPr="008C76E0" w:rsidRDefault="008C76E0" w:rsidP="003F7A44">
      <w:pPr>
        <w:pStyle w:val="Bodytext130"/>
        <w:shd w:val="clear" w:color="auto" w:fill="auto"/>
        <w:spacing w:after="160" w:line="360" w:lineRule="auto"/>
        <w:rPr>
          <w:rFonts w:ascii="Sylfaen" w:hAnsi="Sylfaen"/>
          <w:sz w:val="24"/>
          <w:szCs w:val="24"/>
          <w:lang w:val="hy-AM"/>
        </w:rPr>
      </w:pPr>
      <w:bookmarkStart w:id="14" w:name="bookmark14"/>
      <w:r w:rsidRPr="008C76E0">
        <w:rPr>
          <w:rFonts w:ascii="Sylfaen" w:hAnsi="Sylfaen"/>
          <w:sz w:val="24"/>
          <w:szCs w:val="24"/>
          <w:lang w:val="hy-AM"/>
        </w:rPr>
        <w:t>ՁԵՎ</w:t>
      </w:r>
      <w:bookmarkEnd w:id="14"/>
    </w:p>
    <w:p w14:paraId="2197784C" w14:textId="77777777" w:rsidR="008C76E0" w:rsidRPr="008C76E0" w:rsidRDefault="008C76E0" w:rsidP="003F7A44">
      <w:pPr>
        <w:pStyle w:val="Bodytext130"/>
        <w:shd w:val="clear" w:color="auto" w:fill="auto"/>
        <w:spacing w:after="160" w:line="360" w:lineRule="auto"/>
        <w:rPr>
          <w:rFonts w:ascii="Sylfaen" w:hAnsi="Sylfaen"/>
          <w:sz w:val="24"/>
          <w:szCs w:val="24"/>
          <w:lang w:val="hy-AM"/>
        </w:rPr>
      </w:pPr>
      <w:r w:rsidRPr="008C76E0">
        <w:rPr>
          <w:rFonts w:ascii="Sylfaen" w:hAnsi="Sylfaen"/>
          <w:sz w:val="24"/>
          <w:szCs w:val="24"/>
          <w:lang w:val="hy-AM"/>
        </w:rPr>
        <w:t>ճանաչման պետության կողմից արված դիտողությունների</w:t>
      </w:r>
    </w:p>
    <w:p w14:paraId="4AEEB06F" w14:textId="77777777" w:rsidR="008C76E0" w:rsidRPr="003B2786" w:rsidRDefault="008C76E0" w:rsidP="003F7A44">
      <w:pPr>
        <w:spacing w:after="160" w:line="360" w:lineRule="auto"/>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41F36E56" w14:textId="77777777" w:rsidR="008C76E0" w:rsidRPr="003B2786" w:rsidRDefault="008C76E0" w:rsidP="003F7A44">
      <w:pPr>
        <w:spacing w:after="160" w:line="360" w:lineRule="auto"/>
        <w:jc w:val="center"/>
        <w:rPr>
          <w:rFonts w:ascii="Sylfaen" w:hAnsi="Sylfaen"/>
          <w:sz w:val="24"/>
          <w:szCs w:val="24"/>
        </w:rPr>
      </w:pPr>
      <w:r w:rsidRPr="003B2786">
        <w:rPr>
          <w:rFonts w:ascii="Sylfaen" w:hAnsi="Sylfaen"/>
          <w:sz w:val="24"/>
          <w:szCs w:val="24"/>
        </w:rPr>
        <w:t>Ճանաչման պետության կողմից արված դիտողությունները</w:t>
      </w:r>
    </w:p>
    <w:tbl>
      <w:tblPr>
        <w:tblOverlap w:val="never"/>
        <w:tblW w:w="9836" w:type="dxa"/>
        <w:jc w:val="center"/>
        <w:tblLayout w:type="fixed"/>
        <w:tblCellMar>
          <w:left w:w="10" w:type="dxa"/>
          <w:right w:w="10" w:type="dxa"/>
        </w:tblCellMar>
        <w:tblLook w:val="04A0" w:firstRow="1" w:lastRow="0" w:firstColumn="1" w:lastColumn="0" w:noHBand="0" w:noVBand="1"/>
      </w:tblPr>
      <w:tblGrid>
        <w:gridCol w:w="3069"/>
        <w:gridCol w:w="789"/>
        <w:gridCol w:w="5978"/>
      </w:tblGrid>
      <w:tr w:rsidR="008C76E0" w:rsidRPr="003B2786" w14:paraId="330CE8B0" w14:textId="77777777" w:rsidTr="008C76E0">
        <w:trPr>
          <w:trHeight w:val="1005"/>
          <w:jc w:val="center"/>
        </w:trPr>
        <w:tc>
          <w:tcPr>
            <w:tcW w:w="3069" w:type="dxa"/>
            <w:shd w:val="clear" w:color="auto" w:fill="FFFFFF"/>
          </w:tcPr>
          <w:p w14:paraId="32DCB52E" w14:textId="77777777" w:rsidR="008C76E0" w:rsidRPr="003B2786" w:rsidRDefault="008C76E0" w:rsidP="008C76E0">
            <w:pPr>
              <w:pStyle w:val="Bodytext180"/>
              <w:shd w:val="clear" w:color="auto" w:fill="auto"/>
              <w:spacing w:before="0" w:after="160" w:line="240" w:lineRule="auto"/>
              <w:ind w:right="-1" w:firstLine="0"/>
              <w:jc w:val="center"/>
              <w:rPr>
                <w:rFonts w:ascii="Sylfaen" w:hAnsi="Sylfaen"/>
                <w:b w:val="0"/>
                <w:sz w:val="24"/>
                <w:szCs w:val="24"/>
              </w:rPr>
            </w:pPr>
            <w:r w:rsidRPr="003B2786">
              <w:rPr>
                <w:rStyle w:val="Bodytext295pt"/>
                <w:rFonts w:ascii="Sylfaen" w:hAnsi="Sylfaen"/>
                <w:sz w:val="24"/>
                <w:szCs w:val="24"/>
              </w:rPr>
              <w:t xml:space="preserve">Ընթացակարգի </w:t>
            </w:r>
            <w:r>
              <w:rPr>
                <w:rStyle w:val="Bodytext295pt"/>
                <w:rFonts w:ascii="Sylfaen" w:hAnsi="Sylfaen"/>
                <w:sz w:val="24"/>
                <w:szCs w:val="24"/>
              </w:rPr>
              <w:br/>
            </w:r>
            <w:r w:rsidRPr="003B2786">
              <w:rPr>
                <w:rStyle w:val="Bodytext295pt"/>
                <w:rFonts w:ascii="Sylfaen" w:hAnsi="Sylfaen"/>
                <w:sz w:val="24"/>
                <w:szCs w:val="24"/>
              </w:rPr>
              <w:t>տեսակը</w:t>
            </w:r>
          </w:p>
        </w:tc>
        <w:tc>
          <w:tcPr>
            <w:tcW w:w="6767" w:type="dxa"/>
            <w:gridSpan w:val="2"/>
            <w:shd w:val="clear" w:color="auto" w:fill="FFFFFF"/>
          </w:tcPr>
          <w:p w14:paraId="581F7AAE" w14:textId="77777777" w:rsidR="008C76E0" w:rsidRPr="003B2786" w:rsidRDefault="008C76E0" w:rsidP="008C76E0">
            <w:pPr>
              <w:pStyle w:val="Bodytext180"/>
              <w:shd w:val="clear" w:color="auto" w:fill="auto"/>
              <w:spacing w:before="0" w:after="160" w:line="240" w:lineRule="auto"/>
              <w:ind w:right="-1" w:firstLine="616"/>
              <w:jc w:val="both"/>
              <w:rPr>
                <w:rFonts w:ascii="Sylfaen" w:hAnsi="Sylfaen"/>
                <w:b w:val="0"/>
                <w:sz w:val="24"/>
                <w:szCs w:val="24"/>
              </w:rPr>
            </w:pPr>
            <w:r w:rsidRPr="003B2786">
              <w:rPr>
                <w:rFonts w:ascii="Sylfaen" w:hAnsi="Sylfaen"/>
                <w:b w:val="0"/>
                <w:sz w:val="24"/>
                <w:szCs w:val="24"/>
              </w:rPr>
              <w:t>□</w:t>
            </w:r>
            <w:r w:rsidRPr="003B2786">
              <w:rPr>
                <w:rFonts w:ascii="Sylfaen" w:hAnsi="Sylfaen"/>
                <w:b w:val="0"/>
                <w:sz w:val="24"/>
                <w:szCs w:val="24"/>
              </w:rPr>
              <w:tab/>
            </w:r>
            <w:r w:rsidRPr="003B2786">
              <w:rPr>
                <w:rStyle w:val="Bodytext295pt"/>
                <w:rFonts w:ascii="Sylfaen" w:hAnsi="Sylfaen"/>
                <w:sz w:val="24"/>
                <w:szCs w:val="24"/>
              </w:rPr>
              <w:t>Փոխադարձ ճանաչման ընթացակարգ</w:t>
            </w:r>
          </w:p>
          <w:p w14:paraId="4AB23E4D" w14:textId="77777777" w:rsidR="008C76E0" w:rsidRPr="003B2786" w:rsidRDefault="008C76E0" w:rsidP="008C76E0">
            <w:pPr>
              <w:pStyle w:val="Bodytext180"/>
              <w:shd w:val="clear" w:color="auto" w:fill="auto"/>
              <w:spacing w:before="0" w:after="160" w:line="240" w:lineRule="auto"/>
              <w:ind w:right="-1" w:firstLine="616"/>
              <w:jc w:val="both"/>
              <w:rPr>
                <w:rFonts w:ascii="Sylfaen" w:hAnsi="Sylfaen"/>
                <w:b w:val="0"/>
                <w:sz w:val="24"/>
                <w:szCs w:val="24"/>
              </w:rPr>
            </w:pPr>
            <w:r w:rsidRPr="003B2786">
              <w:rPr>
                <w:rFonts w:ascii="Sylfaen" w:hAnsi="Sylfaen"/>
                <w:b w:val="0"/>
                <w:sz w:val="24"/>
                <w:szCs w:val="24"/>
              </w:rPr>
              <w:t>□</w:t>
            </w:r>
            <w:r w:rsidRPr="003B2786">
              <w:rPr>
                <w:rFonts w:ascii="Sylfaen" w:hAnsi="Sylfaen"/>
                <w:b w:val="0"/>
                <w:sz w:val="24"/>
                <w:szCs w:val="24"/>
              </w:rPr>
              <w:tab/>
            </w:r>
            <w:r w:rsidRPr="003B2786">
              <w:rPr>
                <w:rStyle w:val="Bodytext295pt"/>
                <w:rFonts w:ascii="Sylfaen" w:hAnsi="Sylfaen"/>
                <w:sz w:val="24"/>
                <w:szCs w:val="24"/>
              </w:rPr>
              <w:t>ապակենտրոնացված ընթացակարգ</w:t>
            </w:r>
          </w:p>
        </w:tc>
      </w:tr>
      <w:tr w:rsidR="008C76E0" w:rsidRPr="003B2786" w14:paraId="3E85430D" w14:textId="77777777" w:rsidTr="008C76E0">
        <w:trPr>
          <w:trHeight w:val="494"/>
          <w:jc w:val="center"/>
        </w:trPr>
        <w:tc>
          <w:tcPr>
            <w:tcW w:w="3858" w:type="dxa"/>
            <w:gridSpan w:val="2"/>
            <w:vMerge w:val="restart"/>
            <w:shd w:val="clear" w:color="auto" w:fill="FFFFFF"/>
          </w:tcPr>
          <w:p w14:paraId="1147842D" w14:textId="77777777" w:rsidR="008C76E0" w:rsidRPr="003B2786" w:rsidRDefault="008C76E0" w:rsidP="008C76E0">
            <w:pPr>
              <w:pStyle w:val="Bodytext180"/>
              <w:shd w:val="clear" w:color="auto" w:fill="auto"/>
              <w:tabs>
                <w:tab w:val="left" w:pos="1102"/>
              </w:tabs>
              <w:spacing w:before="0" w:after="160" w:line="240" w:lineRule="auto"/>
              <w:ind w:right="-1" w:firstLine="616"/>
              <w:jc w:val="both"/>
              <w:rPr>
                <w:rFonts w:ascii="Sylfaen" w:hAnsi="Sylfaen"/>
                <w:b w:val="0"/>
                <w:sz w:val="24"/>
                <w:szCs w:val="24"/>
              </w:rPr>
            </w:pPr>
            <w:r w:rsidRPr="003B2786">
              <w:rPr>
                <w:rFonts w:ascii="Sylfaen" w:hAnsi="Sylfaen"/>
                <w:b w:val="0"/>
                <w:sz w:val="24"/>
                <w:szCs w:val="24"/>
              </w:rPr>
              <w:t>1.</w:t>
            </w:r>
            <w:r w:rsidRPr="003B2786">
              <w:rPr>
                <w:rFonts w:ascii="Sylfaen" w:hAnsi="Sylfaen"/>
                <w:b w:val="0"/>
                <w:sz w:val="24"/>
                <w:szCs w:val="24"/>
              </w:rPr>
              <w:tab/>
            </w:r>
            <w:r w:rsidRPr="003B2786">
              <w:rPr>
                <w:rStyle w:val="Bodytext295pt"/>
                <w:rFonts w:ascii="Sylfaen" w:hAnsi="Sylfaen"/>
                <w:sz w:val="24"/>
                <w:szCs w:val="24"/>
              </w:rPr>
              <w:t>Օր</w:t>
            </w:r>
          </w:p>
          <w:p w14:paraId="7FA67CD3" w14:textId="77777777" w:rsidR="008C76E0" w:rsidRPr="003B2786" w:rsidRDefault="008C76E0" w:rsidP="008C76E0">
            <w:pPr>
              <w:pStyle w:val="Bodytext180"/>
              <w:shd w:val="clear" w:color="auto" w:fill="auto"/>
              <w:tabs>
                <w:tab w:val="left" w:pos="1102"/>
              </w:tabs>
              <w:spacing w:before="0" w:after="160" w:line="240" w:lineRule="auto"/>
              <w:ind w:right="-1" w:firstLine="616"/>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t>Դ</w:t>
            </w:r>
            <w:r w:rsidRPr="003B2786">
              <w:rPr>
                <w:rStyle w:val="Bodytext295pt"/>
                <w:rFonts w:ascii="Sylfaen" w:hAnsi="Sylfaen"/>
                <w:sz w:val="24"/>
                <w:szCs w:val="24"/>
              </w:rPr>
              <w:t xml:space="preserve">իտողություններ </w:t>
            </w:r>
          </w:p>
        </w:tc>
        <w:tc>
          <w:tcPr>
            <w:tcW w:w="5978" w:type="dxa"/>
            <w:tcBorders>
              <w:top w:val="single" w:sz="4" w:space="0" w:color="auto"/>
              <w:left w:val="single" w:sz="4" w:space="0" w:color="auto"/>
              <w:bottom w:val="single" w:sz="4" w:space="0" w:color="auto"/>
              <w:right w:val="single" w:sz="4" w:space="0" w:color="auto"/>
            </w:tcBorders>
            <w:shd w:val="clear" w:color="auto" w:fill="FFFFFF"/>
          </w:tcPr>
          <w:p w14:paraId="310F999F"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5B87B9D3" w14:textId="77777777" w:rsidTr="008C76E0">
        <w:trPr>
          <w:trHeight w:val="152"/>
          <w:jc w:val="center"/>
        </w:trPr>
        <w:tc>
          <w:tcPr>
            <w:tcW w:w="3858" w:type="dxa"/>
            <w:gridSpan w:val="2"/>
            <w:vMerge/>
            <w:tcBorders>
              <w:top w:val="single" w:sz="4" w:space="0" w:color="auto"/>
            </w:tcBorders>
            <w:shd w:val="clear" w:color="auto" w:fill="FFFFFF"/>
          </w:tcPr>
          <w:p w14:paraId="196A1ED8" w14:textId="77777777" w:rsidR="008C76E0" w:rsidRPr="003B2786" w:rsidRDefault="008C76E0" w:rsidP="008C76E0">
            <w:pPr>
              <w:spacing w:line="240" w:lineRule="auto"/>
              <w:ind w:right="-1" w:firstLine="616"/>
              <w:jc w:val="both"/>
              <w:rPr>
                <w:rFonts w:ascii="Sylfaen" w:hAnsi="Sylfaen"/>
                <w:sz w:val="24"/>
                <w:szCs w:val="24"/>
              </w:rPr>
            </w:pPr>
          </w:p>
        </w:tc>
        <w:tc>
          <w:tcPr>
            <w:tcW w:w="5978" w:type="dxa"/>
            <w:tcBorders>
              <w:top w:val="single" w:sz="4" w:space="0" w:color="auto"/>
              <w:left w:val="single" w:sz="4" w:space="0" w:color="auto"/>
              <w:bottom w:val="single" w:sz="4" w:space="0" w:color="auto"/>
              <w:right w:val="single" w:sz="4" w:space="0" w:color="auto"/>
            </w:tcBorders>
            <w:shd w:val="clear" w:color="auto" w:fill="FFFFFF"/>
          </w:tcPr>
          <w:p w14:paraId="172E0522" w14:textId="77777777" w:rsidR="008C76E0" w:rsidRPr="003B2786" w:rsidRDefault="008C76E0" w:rsidP="008C76E0">
            <w:pPr>
              <w:tabs>
                <w:tab w:val="left" w:pos="667"/>
              </w:tabs>
              <w:spacing w:line="240" w:lineRule="auto"/>
              <w:ind w:right="187" w:firstLine="616"/>
              <w:jc w:val="right"/>
              <w:rPr>
                <w:rFonts w:ascii="Sylfaen" w:hAnsi="Sylfaen"/>
                <w:i/>
                <w:sz w:val="24"/>
                <w:szCs w:val="24"/>
              </w:rPr>
            </w:pPr>
            <w:r w:rsidRPr="003B2786">
              <w:rPr>
                <w:rFonts w:ascii="Sylfaen" w:hAnsi="Sylfaen"/>
                <w:i/>
                <w:sz w:val="24"/>
                <w:szCs w:val="24"/>
              </w:rPr>
              <w:t>կողմից</w:t>
            </w:r>
          </w:p>
        </w:tc>
      </w:tr>
      <w:tr w:rsidR="008C76E0" w:rsidRPr="003B2786" w14:paraId="2CB54704" w14:textId="77777777" w:rsidTr="008C76E0">
        <w:trPr>
          <w:trHeight w:val="494"/>
          <w:jc w:val="center"/>
        </w:trPr>
        <w:tc>
          <w:tcPr>
            <w:tcW w:w="9836" w:type="dxa"/>
            <w:gridSpan w:val="3"/>
            <w:shd w:val="clear" w:color="auto" w:fill="FFFFFF"/>
          </w:tcPr>
          <w:p w14:paraId="00F0B0A4"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117C362D" w14:textId="77777777" w:rsidTr="008C76E0">
        <w:trPr>
          <w:trHeight w:val="494"/>
          <w:jc w:val="center"/>
        </w:trPr>
        <w:tc>
          <w:tcPr>
            <w:tcW w:w="3858" w:type="dxa"/>
            <w:gridSpan w:val="2"/>
            <w:shd w:val="clear" w:color="auto" w:fill="FFFFFF"/>
          </w:tcPr>
          <w:p w14:paraId="41722A36" w14:textId="3429C705" w:rsidR="008C76E0" w:rsidRPr="003B2786" w:rsidRDefault="0056496B" w:rsidP="008C76E0">
            <w:pPr>
              <w:pStyle w:val="Bodytext180"/>
              <w:shd w:val="clear" w:color="auto" w:fill="auto"/>
              <w:spacing w:before="0" w:after="160" w:line="240" w:lineRule="auto"/>
              <w:ind w:right="72" w:firstLine="616"/>
              <w:jc w:val="right"/>
              <w:rPr>
                <w:rFonts w:ascii="Sylfaen" w:hAnsi="Sylfaen"/>
                <w:b w:val="0"/>
                <w:sz w:val="24"/>
                <w:szCs w:val="24"/>
              </w:rPr>
            </w:pPr>
            <w:r>
              <w:rPr>
                <w:rStyle w:val="Bodytext295pt"/>
                <w:rFonts w:ascii="Sylfaen" w:hAnsi="Sylfaen"/>
                <w:sz w:val="24"/>
                <w:szCs w:val="24"/>
              </w:rPr>
              <w:t>Դիմում</w:t>
            </w:r>
            <w:r w:rsidR="008C76E0" w:rsidRPr="003B2786">
              <w:rPr>
                <w:rStyle w:val="Bodytext295pt"/>
                <w:rFonts w:ascii="Sylfaen" w:hAnsi="Sylfaen"/>
                <w:sz w:val="24"/>
                <w:szCs w:val="24"/>
              </w:rPr>
              <w:t xml:space="preserve"> թիվ</w:t>
            </w:r>
          </w:p>
        </w:tc>
        <w:tc>
          <w:tcPr>
            <w:tcW w:w="5978" w:type="dxa"/>
            <w:tcBorders>
              <w:top w:val="single" w:sz="4" w:space="0" w:color="auto"/>
              <w:left w:val="single" w:sz="4" w:space="0" w:color="auto"/>
            </w:tcBorders>
            <w:shd w:val="clear" w:color="auto" w:fill="FFFFFF"/>
          </w:tcPr>
          <w:p w14:paraId="53CA4314"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2895A48E" w14:textId="77777777" w:rsidTr="008C76E0">
        <w:trPr>
          <w:trHeight w:val="494"/>
          <w:jc w:val="center"/>
        </w:trPr>
        <w:tc>
          <w:tcPr>
            <w:tcW w:w="3858" w:type="dxa"/>
            <w:gridSpan w:val="2"/>
            <w:shd w:val="clear" w:color="auto" w:fill="FFFFFF"/>
            <w:vAlign w:val="bottom"/>
          </w:tcPr>
          <w:p w14:paraId="65372301"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Ամսաթիվը</w:t>
            </w:r>
          </w:p>
        </w:tc>
        <w:tc>
          <w:tcPr>
            <w:tcW w:w="5978" w:type="dxa"/>
            <w:tcBorders>
              <w:top w:val="single" w:sz="4" w:space="0" w:color="auto"/>
              <w:left w:val="single" w:sz="4" w:space="0" w:color="auto"/>
            </w:tcBorders>
            <w:shd w:val="clear" w:color="auto" w:fill="FFFFFF"/>
          </w:tcPr>
          <w:p w14:paraId="0F46C238"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3BA17765" w14:textId="77777777" w:rsidTr="008C76E0">
        <w:trPr>
          <w:trHeight w:val="829"/>
          <w:jc w:val="center"/>
        </w:trPr>
        <w:tc>
          <w:tcPr>
            <w:tcW w:w="3858" w:type="dxa"/>
            <w:gridSpan w:val="2"/>
            <w:shd w:val="clear" w:color="auto" w:fill="FFFFFF"/>
            <w:vAlign w:val="bottom"/>
          </w:tcPr>
          <w:p w14:paraId="0FD696A2"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Դեղապատրաստուկի անվանումը</w:t>
            </w:r>
          </w:p>
        </w:tc>
        <w:tc>
          <w:tcPr>
            <w:tcW w:w="5978" w:type="dxa"/>
            <w:tcBorders>
              <w:top w:val="single" w:sz="4" w:space="0" w:color="auto"/>
              <w:left w:val="single" w:sz="4" w:space="0" w:color="auto"/>
            </w:tcBorders>
            <w:shd w:val="clear" w:color="auto" w:fill="FFFFFF"/>
          </w:tcPr>
          <w:p w14:paraId="365D7D6C"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75468C5D" w14:textId="77777777" w:rsidTr="008C76E0">
        <w:trPr>
          <w:trHeight w:val="829"/>
          <w:jc w:val="center"/>
        </w:trPr>
        <w:tc>
          <w:tcPr>
            <w:tcW w:w="3858" w:type="dxa"/>
            <w:gridSpan w:val="2"/>
            <w:shd w:val="clear" w:color="auto" w:fill="FFFFFF"/>
            <w:vAlign w:val="bottom"/>
          </w:tcPr>
          <w:p w14:paraId="3C6E2B65"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Ակտիվ դեղագործական բաղադրամասը (բաղադրամասերը)</w:t>
            </w:r>
          </w:p>
        </w:tc>
        <w:tc>
          <w:tcPr>
            <w:tcW w:w="5978" w:type="dxa"/>
            <w:tcBorders>
              <w:top w:val="single" w:sz="4" w:space="0" w:color="auto"/>
              <w:left w:val="single" w:sz="4" w:space="0" w:color="auto"/>
            </w:tcBorders>
            <w:shd w:val="clear" w:color="auto" w:fill="FFFFFF"/>
          </w:tcPr>
          <w:p w14:paraId="69838307"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35ECA6CF" w14:textId="77777777" w:rsidTr="008C76E0">
        <w:trPr>
          <w:trHeight w:val="829"/>
          <w:jc w:val="center"/>
        </w:trPr>
        <w:tc>
          <w:tcPr>
            <w:tcW w:w="3858" w:type="dxa"/>
            <w:gridSpan w:val="2"/>
            <w:shd w:val="clear" w:color="auto" w:fill="FFFFFF"/>
            <w:vAlign w:val="bottom"/>
          </w:tcPr>
          <w:p w14:paraId="2E83D069" w14:textId="77777777" w:rsidR="008C76E0" w:rsidRPr="008C76E0" w:rsidRDefault="008C76E0" w:rsidP="008C76E0">
            <w:pPr>
              <w:pStyle w:val="Bodytext180"/>
              <w:shd w:val="clear" w:color="auto" w:fill="auto"/>
              <w:spacing w:before="0" w:after="160" w:line="240" w:lineRule="auto"/>
              <w:ind w:right="72" w:firstLine="616"/>
              <w:jc w:val="right"/>
              <w:rPr>
                <w:rFonts w:ascii="Sylfaen" w:hAnsi="Sylfaen"/>
                <w:b w:val="0"/>
                <w:sz w:val="24"/>
                <w:szCs w:val="24"/>
                <w:lang w:val="hy-AM"/>
              </w:rPr>
            </w:pPr>
            <w:r w:rsidRPr="003B2786">
              <w:rPr>
                <w:rStyle w:val="Bodytext295pt"/>
                <w:rFonts w:ascii="Sylfaen" w:hAnsi="Sylfaen"/>
                <w:sz w:val="24"/>
                <w:szCs w:val="24"/>
              </w:rPr>
              <w:t xml:space="preserve">Դոզան (դոզաները) </w:t>
            </w:r>
            <w:r w:rsidR="00C54D75">
              <w:rPr>
                <w:rStyle w:val="Bodytext295pt"/>
                <w:rFonts w:ascii="Sylfaen" w:hAnsi="Sylfaen"/>
                <w:sz w:val="24"/>
                <w:szCs w:val="24"/>
              </w:rPr>
              <w:t>և</w:t>
            </w:r>
            <w:r w:rsidRPr="003B2786">
              <w:rPr>
                <w:rStyle w:val="Bodytext295pt"/>
                <w:rFonts w:ascii="Sylfaen" w:hAnsi="Sylfaen"/>
                <w:sz w:val="24"/>
                <w:szCs w:val="24"/>
              </w:rPr>
              <w:t xml:space="preserve"> խտանյութը (խտանյութերը)</w:t>
            </w:r>
          </w:p>
        </w:tc>
        <w:tc>
          <w:tcPr>
            <w:tcW w:w="5978" w:type="dxa"/>
            <w:tcBorders>
              <w:top w:val="single" w:sz="4" w:space="0" w:color="auto"/>
              <w:left w:val="single" w:sz="4" w:space="0" w:color="auto"/>
            </w:tcBorders>
            <w:shd w:val="clear" w:color="auto" w:fill="FFFFFF"/>
          </w:tcPr>
          <w:p w14:paraId="11DF131B"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56F6B472" w14:textId="77777777" w:rsidTr="008C76E0">
        <w:trPr>
          <w:trHeight w:val="494"/>
          <w:jc w:val="center"/>
        </w:trPr>
        <w:tc>
          <w:tcPr>
            <w:tcW w:w="3858" w:type="dxa"/>
            <w:gridSpan w:val="2"/>
            <w:shd w:val="clear" w:color="auto" w:fill="FFFFFF"/>
            <w:vAlign w:val="bottom"/>
          </w:tcPr>
          <w:p w14:paraId="52C82F49"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Դեղաձ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5978" w:type="dxa"/>
            <w:tcBorders>
              <w:top w:val="single" w:sz="4" w:space="0" w:color="auto"/>
              <w:left w:val="single" w:sz="4" w:space="0" w:color="auto"/>
            </w:tcBorders>
            <w:shd w:val="clear" w:color="auto" w:fill="FFFFFF"/>
          </w:tcPr>
          <w:p w14:paraId="64CAE66C"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2488D675" w14:textId="77777777" w:rsidTr="008C76E0">
        <w:trPr>
          <w:trHeight w:val="494"/>
          <w:jc w:val="center"/>
        </w:trPr>
        <w:tc>
          <w:tcPr>
            <w:tcW w:w="3858" w:type="dxa"/>
            <w:gridSpan w:val="2"/>
            <w:shd w:val="clear" w:color="auto" w:fill="FFFFFF"/>
            <w:vAlign w:val="bottom"/>
          </w:tcPr>
          <w:p w14:paraId="517552E1" w14:textId="77777777" w:rsidR="008C76E0" w:rsidRPr="003B2786" w:rsidRDefault="008C76E0" w:rsidP="008C76E0">
            <w:pPr>
              <w:pStyle w:val="Bodytext180"/>
              <w:shd w:val="clear" w:color="auto" w:fill="auto"/>
              <w:spacing w:before="0" w:after="160" w:line="240" w:lineRule="auto"/>
              <w:ind w:right="72" w:firstLine="0"/>
              <w:jc w:val="right"/>
              <w:rPr>
                <w:rFonts w:ascii="Sylfaen" w:hAnsi="Sylfaen"/>
                <w:b w:val="0"/>
                <w:sz w:val="24"/>
                <w:szCs w:val="24"/>
              </w:rPr>
            </w:pPr>
            <w:r w:rsidRPr="003B2786">
              <w:rPr>
                <w:rStyle w:val="Bodytext295pt"/>
                <w:rFonts w:ascii="Sylfaen" w:hAnsi="Sylfaen"/>
                <w:sz w:val="24"/>
                <w:szCs w:val="24"/>
              </w:rPr>
              <w:t>Բացթողման 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5978" w:type="dxa"/>
            <w:tcBorders>
              <w:top w:val="single" w:sz="4" w:space="0" w:color="auto"/>
              <w:left w:val="single" w:sz="4" w:space="0" w:color="auto"/>
            </w:tcBorders>
            <w:shd w:val="clear" w:color="auto" w:fill="FFFFFF"/>
          </w:tcPr>
          <w:p w14:paraId="1CF956EF" w14:textId="77777777" w:rsidR="008C76E0" w:rsidRPr="003B2786" w:rsidRDefault="008C76E0" w:rsidP="008C76E0">
            <w:pPr>
              <w:spacing w:line="240" w:lineRule="auto"/>
              <w:ind w:right="-1"/>
              <w:jc w:val="both"/>
              <w:rPr>
                <w:rFonts w:ascii="Sylfaen" w:hAnsi="Sylfaen"/>
                <w:sz w:val="24"/>
                <w:szCs w:val="24"/>
              </w:rPr>
            </w:pPr>
          </w:p>
        </w:tc>
      </w:tr>
      <w:tr w:rsidR="008C76E0" w:rsidRPr="003B2786" w14:paraId="1D4C75A7" w14:textId="77777777" w:rsidTr="008C76E0">
        <w:trPr>
          <w:trHeight w:val="847"/>
          <w:jc w:val="center"/>
        </w:trPr>
        <w:tc>
          <w:tcPr>
            <w:tcW w:w="3858" w:type="dxa"/>
            <w:gridSpan w:val="2"/>
            <w:shd w:val="clear" w:color="auto" w:fill="FFFFFF"/>
            <w:vAlign w:val="bottom"/>
          </w:tcPr>
          <w:p w14:paraId="309812DB" w14:textId="5AF273D0" w:rsidR="008C76E0" w:rsidRPr="003B2786" w:rsidRDefault="0056496B" w:rsidP="008C76E0">
            <w:pPr>
              <w:pStyle w:val="Bodytext180"/>
              <w:shd w:val="clear" w:color="auto" w:fill="auto"/>
              <w:spacing w:before="0" w:after="160" w:line="240" w:lineRule="auto"/>
              <w:ind w:right="72" w:firstLine="0"/>
              <w:jc w:val="right"/>
              <w:rPr>
                <w:rFonts w:ascii="Sylfaen" w:hAnsi="Sylfaen"/>
                <w:b w:val="0"/>
                <w:sz w:val="24"/>
                <w:szCs w:val="24"/>
              </w:rPr>
            </w:pPr>
            <w:r>
              <w:rPr>
                <w:rStyle w:val="Bodytext295pt"/>
                <w:rFonts w:ascii="Sylfaen" w:hAnsi="Sylfaen"/>
                <w:sz w:val="24"/>
                <w:szCs w:val="24"/>
              </w:rPr>
              <w:t>Դիմումատու</w:t>
            </w:r>
            <w:r w:rsidR="008C76E0" w:rsidRPr="003B2786">
              <w:rPr>
                <w:rStyle w:val="Bodytext295pt"/>
                <w:rFonts w:ascii="Sylfaen" w:hAnsi="Sylfaen"/>
                <w:sz w:val="24"/>
                <w:szCs w:val="24"/>
              </w:rPr>
              <w:t xml:space="preserve"> (</w:t>
            </w:r>
            <w:r>
              <w:rPr>
                <w:rStyle w:val="Bodytext295pt"/>
                <w:rFonts w:ascii="Sylfaen" w:hAnsi="Sylfaen"/>
                <w:sz w:val="24"/>
                <w:szCs w:val="24"/>
              </w:rPr>
              <w:t>դիմումատու</w:t>
            </w:r>
            <w:r w:rsidR="008C76E0" w:rsidRPr="003B2786">
              <w:rPr>
                <w:rStyle w:val="Bodytext295pt"/>
                <w:rFonts w:ascii="Sylfaen" w:hAnsi="Sylfaen"/>
                <w:sz w:val="24"/>
                <w:szCs w:val="24"/>
              </w:rPr>
              <w:t>ի ներկայացուցիչ)</w:t>
            </w:r>
          </w:p>
        </w:tc>
        <w:tc>
          <w:tcPr>
            <w:tcW w:w="5978" w:type="dxa"/>
            <w:tcBorders>
              <w:top w:val="single" w:sz="4" w:space="0" w:color="auto"/>
              <w:left w:val="single" w:sz="4" w:space="0" w:color="auto"/>
              <w:bottom w:val="single" w:sz="4" w:space="0" w:color="auto"/>
            </w:tcBorders>
            <w:shd w:val="clear" w:color="auto" w:fill="FFFFFF"/>
          </w:tcPr>
          <w:p w14:paraId="551838EB" w14:textId="77777777" w:rsidR="008C76E0" w:rsidRPr="003B2786" w:rsidRDefault="008C76E0" w:rsidP="008C76E0">
            <w:pPr>
              <w:spacing w:line="240" w:lineRule="auto"/>
              <w:ind w:right="-1"/>
              <w:jc w:val="both"/>
              <w:rPr>
                <w:rFonts w:ascii="Sylfaen" w:hAnsi="Sylfaen"/>
                <w:sz w:val="24"/>
                <w:szCs w:val="24"/>
              </w:rPr>
            </w:pPr>
          </w:p>
        </w:tc>
      </w:tr>
    </w:tbl>
    <w:p w14:paraId="194A38D3" w14:textId="77777777" w:rsidR="008C76E0" w:rsidRPr="003B2786" w:rsidRDefault="008C76E0" w:rsidP="008C76E0">
      <w:pPr>
        <w:ind w:right="-1"/>
        <w:jc w:val="both"/>
        <w:rPr>
          <w:rFonts w:ascii="Sylfaen" w:hAnsi="Sylfaen"/>
          <w:sz w:val="24"/>
          <w:szCs w:val="24"/>
        </w:rPr>
      </w:pPr>
    </w:p>
    <w:p w14:paraId="4F72B01F" w14:textId="44E5E9D9" w:rsidR="008C76E0" w:rsidRPr="003B2786" w:rsidRDefault="008C76E0" w:rsidP="00590510">
      <w:pPr>
        <w:spacing w:after="160" w:line="360" w:lineRule="auto"/>
        <w:ind w:firstLine="426"/>
        <w:jc w:val="both"/>
        <w:rPr>
          <w:rFonts w:ascii="Sylfaen" w:hAnsi="Sylfaen"/>
          <w:sz w:val="24"/>
          <w:szCs w:val="24"/>
        </w:rPr>
      </w:pPr>
      <w:r w:rsidRPr="003B2786">
        <w:rPr>
          <w:rStyle w:val="Bodytext295pt"/>
          <w:rFonts w:ascii="Sylfaen" w:eastAsiaTheme="minorHAnsi" w:hAnsi="Sylfaen"/>
          <w:b w:val="0"/>
          <w:sz w:val="24"/>
          <w:szCs w:val="24"/>
        </w:rPr>
        <w:lastRenderedPageBreak/>
        <w:t>«</w:t>
      </w:r>
      <w:r w:rsidRPr="003B2786">
        <w:rPr>
          <w:rStyle w:val="Bodytext295pt"/>
          <w:rFonts w:ascii="Sylfaen" w:eastAsiaTheme="minorHAnsi" w:hAnsi="Sylfaen"/>
          <w:b w:val="0"/>
          <w:i/>
          <w:sz w:val="24"/>
          <w:szCs w:val="24"/>
          <w:u w:val="single"/>
        </w:rPr>
        <w:t>Միության անդամ պետությունը</w:t>
      </w:r>
      <w:r w:rsidRPr="003B2786">
        <w:rPr>
          <w:rStyle w:val="Bodytext295pt"/>
          <w:rFonts w:ascii="Sylfaen" w:eastAsiaTheme="minorHAnsi" w:hAnsi="Sylfaen"/>
          <w:b w:val="0"/>
          <w:sz w:val="24"/>
          <w:szCs w:val="24"/>
        </w:rPr>
        <w:t>»</w:t>
      </w:r>
      <w:r w:rsidRPr="003B2786">
        <w:rPr>
          <w:rFonts w:ascii="Sylfaen" w:hAnsi="Sylfaen"/>
          <w:sz w:val="24"/>
          <w:szCs w:val="24"/>
        </w:rPr>
        <w:t xml:space="preserve"> համաձայն է ռեֆերենտ պետության ընդհանուր եզրակացության հետ </w:t>
      </w:r>
      <w:r w:rsidR="00C54D75">
        <w:rPr>
          <w:rFonts w:ascii="Sylfaen" w:hAnsi="Sylfaen"/>
          <w:sz w:val="24"/>
          <w:szCs w:val="24"/>
        </w:rPr>
        <w:t>և</w:t>
      </w:r>
      <w:r w:rsidRPr="003B2786">
        <w:rPr>
          <w:rFonts w:ascii="Sylfaen" w:hAnsi="Sylfaen"/>
          <w:sz w:val="24"/>
          <w:szCs w:val="24"/>
        </w:rPr>
        <w:t xml:space="preserve"> պատրաստ է տրամադրել գրանցման հավաստագիր՝ </w:t>
      </w:r>
      <w:r w:rsidRPr="003B2786">
        <w:rPr>
          <w:rStyle w:val="Bodytext295pt"/>
          <w:rFonts w:ascii="Sylfaen" w:eastAsiaTheme="minorHAnsi" w:hAnsi="Sylfaen"/>
          <w:b w:val="0"/>
          <w:sz w:val="24"/>
          <w:szCs w:val="24"/>
        </w:rPr>
        <w:t>«</w:t>
      </w:r>
      <w:r w:rsidRPr="003B2786">
        <w:rPr>
          <w:rStyle w:val="Bodytext295pt"/>
          <w:rFonts w:ascii="Sylfaen" w:eastAsiaTheme="minorHAnsi" w:hAnsi="Sylfaen"/>
          <w:b w:val="0"/>
          <w:i/>
          <w:sz w:val="24"/>
          <w:szCs w:val="24"/>
          <w:u w:val="single"/>
        </w:rPr>
        <w:t xml:space="preserve">գրանցման </w:t>
      </w:r>
      <w:r w:rsidR="001A5F1A">
        <w:rPr>
          <w:rStyle w:val="Bodytext295pt"/>
          <w:rFonts w:ascii="Sylfaen" w:eastAsiaTheme="minorHAnsi" w:hAnsi="Sylfaen"/>
          <w:b w:val="0"/>
          <w:i/>
          <w:sz w:val="24"/>
          <w:szCs w:val="24"/>
          <w:u w:val="single"/>
        </w:rPr>
        <w:t>հայտագրված</w:t>
      </w:r>
      <w:r w:rsidRPr="003B2786">
        <w:rPr>
          <w:rStyle w:val="Bodytext295pt"/>
          <w:rFonts w:ascii="Sylfaen" w:eastAsiaTheme="minorHAnsi" w:hAnsi="Sylfaen"/>
          <w:b w:val="0"/>
          <w:i/>
          <w:sz w:val="24"/>
          <w:szCs w:val="24"/>
          <w:u w:val="single"/>
        </w:rPr>
        <w:t xml:space="preserve"> դեղապատրաստուկի</w:t>
      </w:r>
      <w:r w:rsidRPr="003B2786">
        <w:rPr>
          <w:rStyle w:val="Bodytext295pt"/>
          <w:rFonts w:ascii="Sylfaen" w:eastAsiaTheme="minorHAnsi" w:hAnsi="Sylfaen"/>
          <w:b w:val="0"/>
          <w:sz w:val="24"/>
          <w:szCs w:val="24"/>
        </w:rPr>
        <w:t>»</w:t>
      </w:r>
      <w:r w:rsidRPr="003B2786">
        <w:rPr>
          <w:rFonts w:ascii="Sylfaen" w:hAnsi="Sylfaen"/>
          <w:sz w:val="24"/>
          <w:szCs w:val="24"/>
        </w:rPr>
        <w:t xml:space="preserve"> համար.</w:t>
      </w:r>
    </w:p>
    <w:p w14:paraId="7DDB7B50" w14:textId="77777777" w:rsidR="008C76E0" w:rsidRPr="008C76E0" w:rsidRDefault="008C76E0" w:rsidP="00590510">
      <w:pPr>
        <w:pStyle w:val="Bodytext70"/>
        <w:shd w:val="clear" w:color="auto" w:fill="auto"/>
        <w:spacing w:before="0" w:after="160" w:line="360" w:lineRule="auto"/>
        <w:ind w:firstLine="426"/>
        <w:rPr>
          <w:rFonts w:ascii="Sylfaen" w:hAnsi="Sylfaen"/>
          <w:b w:val="0"/>
          <w:sz w:val="24"/>
          <w:szCs w:val="24"/>
          <w:lang w:val="hy-AM"/>
        </w:rPr>
      </w:pPr>
      <w:r w:rsidRPr="008C76E0">
        <w:rPr>
          <w:rFonts w:ascii="Sylfaen" w:hAnsi="Sylfaen"/>
          <w:b w:val="0"/>
          <w:sz w:val="24"/>
          <w:szCs w:val="24"/>
          <w:lang w:val="hy-AM"/>
        </w:rPr>
        <w:t xml:space="preserve">կամ՝ </w:t>
      </w:r>
    </w:p>
    <w:p w14:paraId="68169509" w14:textId="77777777" w:rsidR="008C76E0" w:rsidRDefault="008C76E0" w:rsidP="00590510">
      <w:pPr>
        <w:spacing w:after="160" w:line="360" w:lineRule="auto"/>
        <w:ind w:firstLine="426"/>
        <w:jc w:val="both"/>
        <w:rPr>
          <w:rFonts w:ascii="Sylfaen" w:hAnsi="Sylfaen"/>
          <w:sz w:val="24"/>
          <w:szCs w:val="24"/>
        </w:rPr>
      </w:pPr>
      <w:r w:rsidRPr="003B2786">
        <w:rPr>
          <w:rStyle w:val="Bodytext295pt"/>
          <w:rFonts w:ascii="Sylfaen" w:eastAsiaTheme="minorHAnsi" w:hAnsi="Sylfaen"/>
          <w:b w:val="0"/>
          <w:sz w:val="24"/>
          <w:szCs w:val="24"/>
        </w:rPr>
        <w:t>«Միության անդամ պետությունը»</w:t>
      </w:r>
      <w:r w:rsidRPr="003B2786">
        <w:rPr>
          <w:rFonts w:ascii="Sylfaen" w:hAnsi="Sylfaen"/>
          <w:sz w:val="24"/>
          <w:szCs w:val="24"/>
        </w:rPr>
        <w:t xml:space="preserve"> համարում է, որ տվյալ պատրաստուկի կիրառությունը կապված է բնակչության առողջության հնարավոր լուրջ ռիսկի հետ </w:t>
      </w:r>
      <w:r w:rsidR="00C54D75">
        <w:rPr>
          <w:rFonts w:ascii="Sylfaen" w:hAnsi="Sylfaen"/>
          <w:sz w:val="24"/>
          <w:szCs w:val="24"/>
        </w:rPr>
        <w:t>և</w:t>
      </w:r>
      <w:r w:rsidRPr="003B2786">
        <w:rPr>
          <w:rFonts w:ascii="Sylfaen" w:hAnsi="Sylfaen"/>
          <w:sz w:val="24"/>
          <w:szCs w:val="24"/>
        </w:rPr>
        <w:t xml:space="preserve"> ներկայումս պատրաստ չէ տալ գրանցման հավաստագիր:</w:t>
      </w:r>
    </w:p>
    <w:p w14:paraId="4560668A" w14:textId="77777777" w:rsidR="008C76E0" w:rsidRPr="003B2786" w:rsidRDefault="008C76E0" w:rsidP="00590510">
      <w:pPr>
        <w:spacing w:after="160" w:line="360" w:lineRule="auto"/>
        <w:ind w:firstLine="426"/>
        <w:jc w:val="both"/>
        <w:rPr>
          <w:rFonts w:ascii="Sylfaen" w:hAnsi="Sylfaen"/>
          <w:sz w:val="24"/>
          <w:szCs w:val="24"/>
        </w:rPr>
      </w:pPr>
    </w:p>
    <w:p w14:paraId="1E4AA808" w14:textId="77777777" w:rsidR="008C76E0" w:rsidRPr="003B2786" w:rsidRDefault="008C76E0" w:rsidP="00590510">
      <w:pPr>
        <w:tabs>
          <w:tab w:val="left" w:pos="1134"/>
        </w:tabs>
        <w:spacing w:after="160" w:line="360" w:lineRule="auto"/>
        <w:ind w:firstLine="426"/>
        <w:jc w:val="center"/>
        <w:outlineLvl w:val="0"/>
        <w:rPr>
          <w:rFonts w:ascii="Sylfaen" w:hAnsi="Sylfaen"/>
          <w:sz w:val="24"/>
          <w:szCs w:val="24"/>
        </w:rPr>
      </w:pPr>
      <w:r>
        <w:rPr>
          <w:rFonts w:ascii="Sylfaen" w:hAnsi="Sylfaen"/>
          <w:sz w:val="24"/>
          <w:szCs w:val="24"/>
        </w:rPr>
        <w:t>2.</w:t>
      </w:r>
      <w:r w:rsidRPr="003B2786">
        <w:rPr>
          <w:rFonts w:ascii="Sylfaen" w:hAnsi="Sylfaen"/>
          <w:sz w:val="24"/>
          <w:szCs w:val="24"/>
        </w:rPr>
        <w:t>Բնակչության առողջության համար հնարավոր լուրջ ռիսկը</w:t>
      </w:r>
    </w:p>
    <w:p w14:paraId="311D03F6" w14:textId="77777777" w:rsidR="008C76E0" w:rsidRPr="003B2786" w:rsidRDefault="008C76E0" w:rsidP="00590510">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 xml:space="preserve">Դեղապատրաստուկի ընդհանուր բնութագիրը, բժշկական կիրառման հրահանգը (ներդիր թերթիկը) </w:t>
      </w:r>
      <w:r w:rsidR="00C54D75">
        <w:rPr>
          <w:rFonts w:ascii="Sylfaen" w:hAnsi="Sylfaen"/>
          <w:sz w:val="24"/>
          <w:szCs w:val="24"/>
        </w:rPr>
        <w:t>և</w:t>
      </w:r>
      <w:r w:rsidRPr="003B2786">
        <w:rPr>
          <w:rFonts w:ascii="Sylfaen" w:hAnsi="Sylfaen"/>
          <w:sz w:val="24"/>
          <w:szCs w:val="24"/>
        </w:rPr>
        <w:t xml:space="preserve"> մակնշումը</w:t>
      </w:r>
    </w:p>
    <w:tbl>
      <w:tblPr>
        <w:tblOverlap w:val="never"/>
        <w:tblW w:w="9271" w:type="dxa"/>
        <w:jc w:val="center"/>
        <w:tblLayout w:type="fixed"/>
        <w:tblCellMar>
          <w:left w:w="10" w:type="dxa"/>
          <w:right w:w="10" w:type="dxa"/>
        </w:tblCellMar>
        <w:tblLook w:val="04A0" w:firstRow="1" w:lastRow="0" w:firstColumn="1" w:lastColumn="0" w:noHBand="0" w:noVBand="1"/>
      </w:tblPr>
      <w:tblGrid>
        <w:gridCol w:w="9271"/>
      </w:tblGrid>
      <w:tr w:rsidR="008C76E0" w:rsidRPr="003B2786" w14:paraId="15DF3255" w14:textId="77777777" w:rsidTr="008C76E0">
        <w:trPr>
          <w:trHeight w:val="1507"/>
          <w:jc w:val="center"/>
        </w:trPr>
        <w:tc>
          <w:tcPr>
            <w:tcW w:w="9271" w:type="dxa"/>
            <w:tcBorders>
              <w:top w:val="single" w:sz="4" w:space="0" w:color="auto"/>
              <w:left w:val="single" w:sz="4" w:space="0" w:color="auto"/>
              <w:right w:val="single" w:sz="4" w:space="0" w:color="auto"/>
            </w:tcBorders>
            <w:shd w:val="clear" w:color="auto" w:fill="FFFFFF"/>
            <w:vAlign w:val="bottom"/>
          </w:tcPr>
          <w:p w14:paraId="412DD207"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7F0EA4F9" w14:textId="77777777" w:rsidTr="008C76E0">
        <w:trPr>
          <w:trHeight w:val="542"/>
          <w:jc w:val="center"/>
        </w:trPr>
        <w:tc>
          <w:tcPr>
            <w:tcW w:w="9271" w:type="dxa"/>
            <w:tcBorders>
              <w:top w:val="single" w:sz="4" w:space="0" w:color="auto"/>
            </w:tcBorders>
            <w:shd w:val="clear" w:color="auto" w:fill="FFFFFF"/>
            <w:vAlign w:val="center"/>
          </w:tcPr>
          <w:p w14:paraId="2E9AADEA"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sz w:val="24"/>
                <w:szCs w:val="24"/>
              </w:rPr>
            </w:pPr>
            <w:r w:rsidRPr="003B2786">
              <w:rPr>
                <w:rStyle w:val="Bodytext295pt"/>
                <w:rFonts w:ascii="Sylfaen" w:hAnsi="Sylfaen"/>
                <w:sz w:val="24"/>
                <w:szCs w:val="24"/>
              </w:rPr>
              <w:t>2.2.</w:t>
            </w:r>
            <w:r w:rsidRPr="003B2786">
              <w:rPr>
                <w:rStyle w:val="Bodytext295pt"/>
                <w:rFonts w:ascii="Sylfaen" w:hAnsi="Sylfaen"/>
                <w:sz w:val="24"/>
                <w:szCs w:val="24"/>
              </w:rPr>
              <w:tab/>
              <w:t>Մոդուլ 3. «Որակը»</w:t>
            </w:r>
          </w:p>
        </w:tc>
      </w:tr>
      <w:tr w:rsidR="008C76E0" w:rsidRPr="003B2786" w14:paraId="61981C73" w14:textId="77777777" w:rsidTr="008C76E0">
        <w:trPr>
          <w:trHeight w:val="1423"/>
          <w:jc w:val="center"/>
        </w:trPr>
        <w:tc>
          <w:tcPr>
            <w:tcW w:w="9271" w:type="dxa"/>
            <w:tcBorders>
              <w:top w:val="single" w:sz="4" w:space="0" w:color="auto"/>
              <w:left w:val="single" w:sz="4" w:space="0" w:color="auto"/>
              <w:right w:val="single" w:sz="4" w:space="0" w:color="auto"/>
            </w:tcBorders>
            <w:shd w:val="clear" w:color="auto" w:fill="FFFFFF"/>
            <w:vAlign w:val="bottom"/>
          </w:tcPr>
          <w:p w14:paraId="6FDBE2C9"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3D83997C" w14:textId="77777777" w:rsidTr="008C76E0">
        <w:trPr>
          <w:jc w:val="center"/>
        </w:trPr>
        <w:tc>
          <w:tcPr>
            <w:tcW w:w="9271" w:type="dxa"/>
            <w:tcBorders>
              <w:top w:val="single" w:sz="4" w:space="0" w:color="auto"/>
            </w:tcBorders>
            <w:shd w:val="clear" w:color="auto" w:fill="FFFFFF"/>
            <w:vAlign w:val="center"/>
          </w:tcPr>
          <w:p w14:paraId="2388431E" w14:textId="77777777" w:rsidR="008C76E0" w:rsidRPr="003B2786"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i/>
                <w:sz w:val="24"/>
                <w:szCs w:val="24"/>
              </w:rPr>
            </w:pPr>
            <w:r w:rsidRPr="003B2786">
              <w:rPr>
                <w:rStyle w:val="Bodytext295pt"/>
                <w:rFonts w:ascii="Sylfaen" w:hAnsi="Sylfaen"/>
                <w:sz w:val="24"/>
                <w:szCs w:val="24"/>
              </w:rPr>
              <w:t>2.3.</w:t>
            </w:r>
            <w:r w:rsidRPr="003B2786">
              <w:rPr>
                <w:rStyle w:val="Bodytext295pt"/>
                <w:rFonts w:ascii="Sylfaen" w:hAnsi="Sylfaen"/>
                <w:sz w:val="24"/>
                <w:szCs w:val="24"/>
              </w:rPr>
              <w:tab/>
              <w:t>Մոդուլ 4. «Նախակլինիկական հետազոտությունները»</w:t>
            </w:r>
          </w:p>
        </w:tc>
      </w:tr>
      <w:tr w:rsidR="008C76E0" w:rsidRPr="003B2786" w14:paraId="3A4A37BE" w14:textId="77777777" w:rsidTr="008C76E0">
        <w:trPr>
          <w:trHeight w:val="1423"/>
          <w:jc w:val="center"/>
        </w:trPr>
        <w:tc>
          <w:tcPr>
            <w:tcW w:w="9271" w:type="dxa"/>
            <w:tcBorders>
              <w:top w:val="single" w:sz="4" w:space="0" w:color="auto"/>
              <w:left w:val="single" w:sz="4" w:space="0" w:color="auto"/>
              <w:right w:val="single" w:sz="4" w:space="0" w:color="auto"/>
            </w:tcBorders>
            <w:shd w:val="clear" w:color="auto" w:fill="FFFFFF"/>
            <w:vAlign w:val="bottom"/>
          </w:tcPr>
          <w:p w14:paraId="7CA3FDBD"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bl>
    <w:p w14:paraId="4C494612" w14:textId="77777777" w:rsidR="00513389" w:rsidRDefault="00513389">
      <w:pPr>
        <w:sectPr w:rsidR="00513389" w:rsidSect="00C31D56">
          <w:pgSz w:w="11906" w:h="16838" w:code="9"/>
          <w:pgMar w:top="1418" w:right="1418" w:bottom="1418" w:left="1418" w:header="709" w:footer="709" w:gutter="0"/>
          <w:pgNumType w:start="1"/>
          <w:cols w:space="708"/>
          <w:titlePg/>
          <w:docGrid w:linePitch="360"/>
        </w:sectPr>
      </w:pPr>
    </w:p>
    <w:tbl>
      <w:tblPr>
        <w:tblOverlap w:val="never"/>
        <w:tblW w:w="9271" w:type="dxa"/>
        <w:jc w:val="center"/>
        <w:tblLayout w:type="fixed"/>
        <w:tblCellMar>
          <w:left w:w="10" w:type="dxa"/>
          <w:right w:w="10" w:type="dxa"/>
        </w:tblCellMar>
        <w:tblLook w:val="04A0" w:firstRow="1" w:lastRow="0" w:firstColumn="1" w:lastColumn="0" w:noHBand="0" w:noVBand="1"/>
      </w:tblPr>
      <w:tblGrid>
        <w:gridCol w:w="9271"/>
      </w:tblGrid>
      <w:tr w:rsidR="008C76E0" w:rsidRPr="003B2786" w14:paraId="7626D3C3" w14:textId="77777777" w:rsidTr="008C76E0">
        <w:trPr>
          <w:jc w:val="center"/>
        </w:trPr>
        <w:tc>
          <w:tcPr>
            <w:tcW w:w="9271" w:type="dxa"/>
            <w:tcBorders>
              <w:top w:val="single" w:sz="4" w:space="0" w:color="auto"/>
            </w:tcBorders>
            <w:shd w:val="clear" w:color="auto" w:fill="FFFFFF"/>
            <w:vAlign w:val="bottom"/>
          </w:tcPr>
          <w:p w14:paraId="3211F668" w14:textId="77777777" w:rsidR="008C76E0" w:rsidRPr="003B2786"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i/>
                <w:sz w:val="24"/>
                <w:szCs w:val="24"/>
              </w:rPr>
            </w:pPr>
            <w:r w:rsidRPr="003B2786">
              <w:rPr>
                <w:rStyle w:val="Bodytext295pt"/>
                <w:rFonts w:ascii="Sylfaen" w:hAnsi="Sylfaen"/>
                <w:sz w:val="24"/>
                <w:szCs w:val="24"/>
              </w:rPr>
              <w:lastRenderedPageBreak/>
              <w:t>2.4.</w:t>
            </w:r>
            <w:r w:rsidRPr="003B2786">
              <w:rPr>
                <w:rStyle w:val="Bodytext295pt"/>
                <w:rFonts w:ascii="Sylfaen" w:hAnsi="Sylfaen"/>
                <w:sz w:val="24"/>
                <w:szCs w:val="24"/>
              </w:rPr>
              <w:tab/>
              <w:t>Մոդուլ 5. «Կլինիկական հետազոտությունները»</w:t>
            </w:r>
          </w:p>
        </w:tc>
      </w:tr>
      <w:tr w:rsidR="008C76E0" w:rsidRPr="003B2786" w14:paraId="17494CC0" w14:textId="77777777" w:rsidTr="008C76E0">
        <w:trPr>
          <w:trHeight w:val="1521"/>
          <w:jc w:val="center"/>
        </w:trPr>
        <w:tc>
          <w:tcPr>
            <w:tcW w:w="9271" w:type="dxa"/>
            <w:tcBorders>
              <w:top w:val="single" w:sz="4" w:space="0" w:color="auto"/>
              <w:left w:val="single" w:sz="4" w:space="0" w:color="auto"/>
              <w:right w:val="single" w:sz="4" w:space="0" w:color="auto"/>
            </w:tcBorders>
            <w:shd w:val="clear" w:color="auto" w:fill="FFFFFF"/>
          </w:tcPr>
          <w:p w14:paraId="4A96D3D4" w14:textId="77777777" w:rsidR="008C76E0" w:rsidRPr="008C76E0" w:rsidRDefault="008C76E0" w:rsidP="00590510">
            <w:pPr>
              <w:pStyle w:val="Bodytext180"/>
              <w:tabs>
                <w:tab w:val="left" w:pos="1084"/>
              </w:tabs>
              <w:spacing w:before="0" w:after="160" w:line="360" w:lineRule="auto"/>
              <w:ind w:firstLine="567"/>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3DA222C4" w14:textId="77777777" w:rsidTr="008C76E0">
        <w:trPr>
          <w:jc w:val="center"/>
        </w:trPr>
        <w:tc>
          <w:tcPr>
            <w:tcW w:w="9271" w:type="dxa"/>
            <w:tcBorders>
              <w:top w:val="single" w:sz="4" w:space="0" w:color="auto"/>
            </w:tcBorders>
            <w:shd w:val="clear" w:color="auto" w:fill="FFFFFF"/>
            <w:vAlign w:val="center"/>
          </w:tcPr>
          <w:p w14:paraId="72122854" w14:textId="77777777" w:rsidR="008C76E0" w:rsidRPr="003B2786" w:rsidRDefault="008C76E0" w:rsidP="00590510">
            <w:pPr>
              <w:pStyle w:val="Bodytext180"/>
              <w:shd w:val="clear" w:color="auto" w:fill="auto"/>
              <w:tabs>
                <w:tab w:val="left" w:pos="1084"/>
              </w:tabs>
              <w:spacing w:before="0" w:after="160" w:line="360" w:lineRule="auto"/>
              <w:ind w:firstLine="567"/>
              <w:jc w:val="center"/>
              <w:rPr>
                <w:rFonts w:ascii="Sylfaen" w:hAnsi="Sylfaen"/>
                <w:b w:val="0"/>
                <w:i/>
                <w:sz w:val="24"/>
                <w:szCs w:val="24"/>
              </w:rPr>
            </w:pPr>
            <w:r>
              <w:rPr>
                <w:rStyle w:val="Bodytext295pt"/>
                <w:rFonts w:ascii="Sylfaen" w:hAnsi="Sylfaen"/>
                <w:sz w:val="24"/>
                <w:szCs w:val="24"/>
              </w:rPr>
              <w:t>3.</w:t>
            </w:r>
            <w:r w:rsidRPr="003B2786">
              <w:rPr>
                <w:rStyle w:val="Bodytext295pt"/>
                <w:rFonts w:ascii="Sylfaen" w:hAnsi="Sylfaen"/>
                <w:sz w:val="24"/>
                <w:szCs w:val="24"/>
              </w:rPr>
              <w:t>Պատասխանի համար դիտողությունները</w:t>
            </w:r>
          </w:p>
        </w:tc>
      </w:tr>
      <w:tr w:rsidR="008C76E0" w:rsidRPr="003B2786" w14:paraId="30F1B94F" w14:textId="77777777" w:rsidTr="008C76E0">
        <w:trPr>
          <w:jc w:val="center"/>
        </w:trPr>
        <w:tc>
          <w:tcPr>
            <w:tcW w:w="9271" w:type="dxa"/>
            <w:shd w:val="clear" w:color="auto" w:fill="FFFFFF"/>
            <w:vAlign w:val="center"/>
          </w:tcPr>
          <w:p w14:paraId="101C839C" w14:textId="7D112EC9" w:rsidR="008C76E0" w:rsidRPr="00E15E7D" w:rsidRDefault="008C76E0" w:rsidP="00513389">
            <w:pPr>
              <w:pStyle w:val="Bodytext180"/>
              <w:shd w:val="clear" w:color="auto" w:fill="auto"/>
              <w:tabs>
                <w:tab w:val="left" w:pos="1084"/>
              </w:tabs>
              <w:spacing w:before="0" w:after="160" w:line="360" w:lineRule="auto"/>
              <w:ind w:firstLine="567"/>
              <w:jc w:val="both"/>
              <w:rPr>
                <w:rFonts w:ascii="Sylfaen" w:hAnsi="Sylfaen"/>
                <w:b w:val="0"/>
                <w:i/>
                <w:sz w:val="24"/>
                <w:szCs w:val="24"/>
                <w:lang w:val="hy-AM"/>
              </w:rPr>
            </w:pPr>
            <w:r w:rsidRPr="003B2786">
              <w:rPr>
                <w:rStyle w:val="Bodytext295pt"/>
                <w:rFonts w:ascii="Sylfaen" w:hAnsi="Sylfaen"/>
                <w:sz w:val="24"/>
                <w:szCs w:val="24"/>
              </w:rPr>
              <w:t>3.1.</w:t>
            </w:r>
            <w:r w:rsidRPr="003B2786">
              <w:rPr>
                <w:rStyle w:val="Bodytext295pt"/>
                <w:rFonts w:ascii="Sylfaen" w:hAnsi="Sylfaen"/>
                <w:sz w:val="24"/>
                <w:szCs w:val="24"/>
              </w:rPr>
              <w:tab/>
              <w:t>Մոդուլ 1. «</w:t>
            </w:r>
            <w:r w:rsidR="0056496B">
              <w:rPr>
                <w:rStyle w:val="Bodytext295pt"/>
                <w:rFonts w:ascii="Sylfaen" w:hAnsi="Sylfaen"/>
                <w:sz w:val="24"/>
                <w:szCs w:val="24"/>
              </w:rPr>
              <w:t>Դիմում</w:t>
            </w:r>
            <w:r w:rsidRPr="003B2786">
              <w:rPr>
                <w:rStyle w:val="Bodytext295pt"/>
                <w:rFonts w:ascii="Sylfaen" w:hAnsi="Sylfaen"/>
                <w:sz w:val="24"/>
                <w:szCs w:val="24"/>
              </w:rPr>
              <w:t xml:space="preserve">ին, դեղապատրաստուկի ընդհանուր բնութագրին, բժշկական կիրառման հրահանգին (ներդիր թերթիկին) </w:t>
            </w:r>
            <w:r w:rsidR="00C54D75">
              <w:rPr>
                <w:rStyle w:val="Bodytext295pt"/>
                <w:rFonts w:ascii="Sylfaen" w:hAnsi="Sylfaen"/>
                <w:sz w:val="24"/>
                <w:szCs w:val="24"/>
              </w:rPr>
              <w:t>և</w:t>
            </w:r>
            <w:r w:rsidRPr="003B2786">
              <w:rPr>
                <w:rStyle w:val="Bodytext295pt"/>
                <w:rFonts w:ascii="Sylfaen" w:hAnsi="Sylfaen"/>
                <w:sz w:val="24"/>
                <w:szCs w:val="24"/>
              </w:rPr>
              <w:t xml:space="preserve"> մակնշմանը (ներառյալ պատրաստուկի անվանումը) առնչվող դիտողությունները»</w:t>
            </w:r>
            <w:r w:rsidR="00513389">
              <w:rPr>
                <w:rStyle w:val="FootnoteReference"/>
                <w:rFonts w:ascii="Sylfaen" w:hAnsi="Sylfaen"/>
                <w:b w:val="0"/>
                <w:bCs w:val="0"/>
                <w:color w:val="000000"/>
                <w:spacing w:val="-10"/>
                <w:sz w:val="24"/>
                <w:szCs w:val="24"/>
                <w:lang w:val="hy-AM" w:eastAsia="hy-AM" w:bidi="hy-AM"/>
              </w:rPr>
              <w:footnoteReference w:id="42"/>
            </w:r>
          </w:p>
        </w:tc>
      </w:tr>
      <w:tr w:rsidR="008C76E0" w:rsidRPr="003B2786" w14:paraId="0845290C" w14:textId="77777777" w:rsidTr="008C76E0">
        <w:trPr>
          <w:trHeight w:val="1240"/>
          <w:jc w:val="center"/>
        </w:trPr>
        <w:tc>
          <w:tcPr>
            <w:tcW w:w="9271" w:type="dxa"/>
            <w:tcBorders>
              <w:top w:val="single" w:sz="4" w:space="0" w:color="auto"/>
              <w:left w:val="single" w:sz="4" w:space="0" w:color="auto"/>
              <w:right w:val="single" w:sz="4" w:space="0" w:color="auto"/>
            </w:tcBorders>
            <w:shd w:val="clear" w:color="auto" w:fill="FFFFFF"/>
            <w:vAlign w:val="bottom"/>
          </w:tcPr>
          <w:p w14:paraId="445EEA09"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3DFC5376" w14:textId="77777777" w:rsidTr="008C76E0">
        <w:trPr>
          <w:jc w:val="center"/>
        </w:trPr>
        <w:tc>
          <w:tcPr>
            <w:tcW w:w="9271" w:type="dxa"/>
            <w:tcBorders>
              <w:top w:val="single" w:sz="4" w:space="0" w:color="auto"/>
            </w:tcBorders>
            <w:shd w:val="clear" w:color="auto" w:fill="FFFFFF"/>
            <w:vAlign w:val="center"/>
          </w:tcPr>
          <w:p w14:paraId="604479AA"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i/>
                <w:sz w:val="24"/>
                <w:szCs w:val="24"/>
              </w:rPr>
            </w:pPr>
            <w:r w:rsidRPr="003B2786">
              <w:rPr>
                <w:rStyle w:val="Bodytext295pt"/>
                <w:rFonts w:ascii="Sylfaen" w:hAnsi="Sylfaen"/>
                <w:sz w:val="24"/>
                <w:szCs w:val="24"/>
              </w:rPr>
              <w:t>3.2.</w:t>
            </w:r>
            <w:r w:rsidRPr="003B2786">
              <w:rPr>
                <w:rStyle w:val="Bodytext295pt"/>
                <w:rFonts w:ascii="Sylfaen" w:hAnsi="Sylfaen"/>
                <w:sz w:val="24"/>
                <w:szCs w:val="24"/>
              </w:rPr>
              <w:tab/>
              <w:t>Մոդուլ 3. «Որակը»</w:t>
            </w:r>
          </w:p>
        </w:tc>
      </w:tr>
      <w:tr w:rsidR="008C76E0" w:rsidRPr="003B2786" w14:paraId="5F8B7C26" w14:textId="77777777" w:rsidTr="008C76E0">
        <w:trPr>
          <w:trHeight w:val="1195"/>
          <w:jc w:val="center"/>
        </w:trPr>
        <w:tc>
          <w:tcPr>
            <w:tcW w:w="9271" w:type="dxa"/>
            <w:tcBorders>
              <w:top w:val="single" w:sz="4" w:space="0" w:color="auto"/>
              <w:left w:val="single" w:sz="4" w:space="0" w:color="auto"/>
              <w:right w:val="single" w:sz="4" w:space="0" w:color="auto"/>
            </w:tcBorders>
            <w:shd w:val="clear" w:color="auto" w:fill="FFFFFF"/>
            <w:vAlign w:val="bottom"/>
          </w:tcPr>
          <w:p w14:paraId="141AB481"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353B1F1D" w14:textId="77777777" w:rsidTr="008C76E0">
        <w:trPr>
          <w:jc w:val="center"/>
        </w:trPr>
        <w:tc>
          <w:tcPr>
            <w:tcW w:w="9271" w:type="dxa"/>
            <w:tcBorders>
              <w:top w:val="single" w:sz="4" w:space="0" w:color="auto"/>
            </w:tcBorders>
            <w:shd w:val="clear" w:color="auto" w:fill="FFFFFF"/>
            <w:vAlign w:val="bottom"/>
          </w:tcPr>
          <w:p w14:paraId="05269BFE"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sz w:val="24"/>
                <w:szCs w:val="24"/>
              </w:rPr>
            </w:pPr>
            <w:r w:rsidRPr="003B2786">
              <w:rPr>
                <w:rStyle w:val="Bodytext295pt"/>
                <w:rFonts w:ascii="Sylfaen" w:hAnsi="Sylfaen"/>
                <w:sz w:val="24"/>
                <w:szCs w:val="24"/>
              </w:rPr>
              <w:t>3.3.</w:t>
            </w:r>
            <w:r w:rsidRPr="003B2786">
              <w:rPr>
                <w:rStyle w:val="Bodytext295pt"/>
                <w:rFonts w:ascii="Sylfaen" w:hAnsi="Sylfaen"/>
                <w:sz w:val="24"/>
                <w:szCs w:val="24"/>
              </w:rPr>
              <w:tab/>
              <w:t>Մոդուլ 4. «Նախակլինիկական հետազոտությունները»</w:t>
            </w:r>
          </w:p>
        </w:tc>
      </w:tr>
      <w:tr w:rsidR="008C76E0" w:rsidRPr="003B2786" w14:paraId="0EB04596" w14:textId="77777777" w:rsidTr="008C76E0">
        <w:trPr>
          <w:trHeight w:val="1179"/>
          <w:jc w:val="center"/>
        </w:trPr>
        <w:tc>
          <w:tcPr>
            <w:tcW w:w="9271" w:type="dxa"/>
            <w:tcBorders>
              <w:top w:val="single" w:sz="4" w:space="0" w:color="auto"/>
              <w:left w:val="single" w:sz="4" w:space="0" w:color="auto"/>
              <w:right w:val="single" w:sz="4" w:space="0" w:color="auto"/>
            </w:tcBorders>
            <w:shd w:val="clear" w:color="auto" w:fill="FFFFFF"/>
            <w:vAlign w:val="bottom"/>
          </w:tcPr>
          <w:p w14:paraId="38256C15"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57C4AD55" w14:textId="77777777" w:rsidTr="008C76E0">
        <w:trPr>
          <w:jc w:val="center"/>
        </w:trPr>
        <w:tc>
          <w:tcPr>
            <w:tcW w:w="9271" w:type="dxa"/>
            <w:tcBorders>
              <w:top w:val="single" w:sz="4" w:space="0" w:color="auto"/>
            </w:tcBorders>
            <w:shd w:val="clear" w:color="auto" w:fill="FFFFFF"/>
            <w:vAlign w:val="center"/>
          </w:tcPr>
          <w:p w14:paraId="1B6A4ACF"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i/>
                <w:sz w:val="24"/>
                <w:szCs w:val="24"/>
              </w:rPr>
            </w:pPr>
            <w:r w:rsidRPr="003B2786">
              <w:rPr>
                <w:rStyle w:val="Bodytext295pt"/>
                <w:rFonts w:ascii="Sylfaen" w:hAnsi="Sylfaen"/>
                <w:sz w:val="24"/>
                <w:szCs w:val="24"/>
              </w:rPr>
              <w:t>3.4.</w:t>
            </w:r>
            <w:r w:rsidRPr="003B2786">
              <w:rPr>
                <w:rStyle w:val="Bodytext295pt"/>
                <w:rFonts w:ascii="Sylfaen" w:hAnsi="Sylfaen"/>
                <w:sz w:val="24"/>
                <w:szCs w:val="24"/>
              </w:rPr>
              <w:tab/>
              <w:t>Մոդուլ 5. «Կլինիկական հետազոտությունները»</w:t>
            </w:r>
          </w:p>
        </w:tc>
      </w:tr>
      <w:tr w:rsidR="008C76E0" w:rsidRPr="003B2786" w14:paraId="6FF3B67A" w14:textId="77777777" w:rsidTr="008C76E0">
        <w:trPr>
          <w:trHeight w:val="1192"/>
          <w:jc w:val="center"/>
        </w:trPr>
        <w:tc>
          <w:tcPr>
            <w:tcW w:w="9271" w:type="dxa"/>
            <w:tcBorders>
              <w:top w:val="single" w:sz="4" w:space="0" w:color="auto"/>
              <w:left w:val="single" w:sz="4" w:space="0" w:color="auto"/>
              <w:bottom w:val="single" w:sz="4" w:space="0" w:color="auto"/>
              <w:right w:val="single" w:sz="4" w:space="0" w:color="auto"/>
            </w:tcBorders>
            <w:shd w:val="clear" w:color="auto" w:fill="FFFFFF"/>
            <w:vAlign w:val="bottom"/>
          </w:tcPr>
          <w:p w14:paraId="2F3A7052"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bl>
    <w:p w14:paraId="73AC6B77" w14:textId="77777777" w:rsidR="008C76E0" w:rsidRPr="003B2786" w:rsidRDefault="008C76E0" w:rsidP="008C76E0">
      <w:pPr>
        <w:tabs>
          <w:tab w:val="left" w:pos="851"/>
        </w:tabs>
        <w:jc w:val="both"/>
        <w:rPr>
          <w:rFonts w:ascii="Sylfaen" w:hAnsi="Sylfaen"/>
          <w:sz w:val="24"/>
          <w:szCs w:val="24"/>
        </w:rPr>
      </w:pPr>
    </w:p>
    <w:tbl>
      <w:tblPr>
        <w:tblOverlap w:val="never"/>
        <w:tblW w:w="9493" w:type="dxa"/>
        <w:jc w:val="center"/>
        <w:tblLayout w:type="fixed"/>
        <w:tblCellMar>
          <w:left w:w="10" w:type="dxa"/>
          <w:right w:w="10" w:type="dxa"/>
        </w:tblCellMar>
        <w:tblLook w:val="04A0" w:firstRow="1" w:lastRow="0" w:firstColumn="1" w:lastColumn="0" w:noHBand="0" w:noVBand="1"/>
      </w:tblPr>
      <w:tblGrid>
        <w:gridCol w:w="3944"/>
        <w:gridCol w:w="5549"/>
      </w:tblGrid>
      <w:tr w:rsidR="008C76E0" w:rsidRPr="003B2786" w14:paraId="590BE35C" w14:textId="77777777" w:rsidTr="008C76E0">
        <w:trPr>
          <w:trHeight w:val="2887"/>
          <w:jc w:val="center"/>
        </w:trPr>
        <w:tc>
          <w:tcPr>
            <w:tcW w:w="9493" w:type="dxa"/>
            <w:gridSpan w:val="2"/>
            <w:shd w:val="clear" w:color="auto" w:fill="FFFFFF"/>
          </w:tcPr>
          <w:p w14:paraId="38A3ABE4" w14:textId="38F2C7E2" w:rsidR="008C76E0" w:rsidRPr="008C76E0" w:rsidRDefault="008C76E0" w:rsidP="008C76E0">
            <w:pPr>
              <w:pStyle w:val="Bodytext180"/>
              <w:shd w:val="clear" w:color="auto" w:fill="auto"/>
              <w:tabs>
                <w:tab w:val="left" w:pos="1102"/>
              </w:tabs>
              <w:spacing w:before="0" w:after="160" w:line="360" w:lineRule="auto"/>
              <w:ind w:left="60" w:right="-1" w:firstLine="568"/>
              <w:jc w:val="center"/>
              <w:rPr>
                <w:rFonts w:ascii="Sylfaen" w:hAnsi="Sylfaen"/>
                <w:b w:val="0"/>
                <w:i/>
                <w:sz w:val="24"/>
                <w:szCs w:val="24"/>
                <w:lang w:val="hy-AM"/>
              </w:rPr>
            </w:pPr>
            <w:r>
              <w:rPr>
                <w:rStyle w:val="Bodytext295pt"/>
                <w:rFonts w:ascii="Sylfaen" w:hAnsi="Sylfaen"/>
                <w:sz w:val="24"/>
                <w:szCs w:val="24"/>
              </w:rPr>
              <w:lastRenderedPageBreak/>
              <w:t>4.</w:t>
            </w:r>
            <w:r w:rsidR="0056496B">
              <w:rPr>
                <w:rStyle w:val="Bodytext295pt"/>
                <w:rFonts w:ascii="Sylfaen" w:hAnsi="Sylfaen"/>
                <w:sz w:val="24"/>
                <w:szCs w:val="24"/>
              </w:rPr>
              <w:t>Դիմումատու</w:t>
            </w:r>
            <w:r w:rsidRPr="003B2786">
              <w:rPr>
                <w:rStyle w:val="Bodytext295pt"/>
                <w:rFonts w:ascii="Sylfaen" w:hAnsi="Sylfaen"/>
                <w:sz w:val="24"/>
                <w:szCs w:val="24"/>
              </w:rPr>
              <w:t>ի համար տեղեկատվությունը</w:t>
            </w:r>
          </w:p>
          <w:p w14:paraId="7A0626D0" w14:textId="77777777" w:rsidR="008C76E0" w:rsidRPr="008C76E0" w:rsidRDefault="008C76E0" w:rsidP="008C76E0">
            <w:pPr>
              <w:pStyle w:val="Bodytext180"/>
              <w:shd w:val="clear" w:color="auto" w:fill="auto"/>
              <w:spacing w:before="0" w:after="160" w:line="360" w:lineRule="auto"/>
              <w:ind w:left="60" w:right="125" w:firstLine="568"/>
              <w:jc w:val="both"/>
              <w:rPr>
                <w:rFonts w:ascii="Sylfaen" w:hAnsi="Sylfaen"/>
                <w:b w:val="0"/>
                <w:i/>
                <w:sz w:val="24"/>
                <w:szCs w:val="24"/>
                <w:lang w:val="hy-AM"/>
              </w:rPr>
            </w:pPr>
            <w:r w:rsidRPr="003B2786">
              <w:rPr>
                <w:rStyle w:val="Bodytext295pt"/>
                <w:rFonts w:ascii="Sylfaen" w:hAnsi="Sylfaen"/>
                <w:sz w:val="24"/>
                <w:szCs w:val="24"/>
              </w:rPr>
              <w:t>Ուշադրությո՛ւն. Էլեկտրոնային փոստով ուղարկվող ցանկացած պատասխան անհրաժեշտ է ուղարկել մեր ընդհանուր էլեկտրոնային հասցեին՝      @      , այլ ոչ թե ցանկացած անձնական օգտագործման հասցեի: Էլեկտրոնային հաղորդագրության առավելագույն ծավալը 2 Մբ է: Անհրաժեշտ է նա</w:t>
            </w:r>
            <w:r w:rsidR="00C54D75">
              <w:rPr>
                <w:rStyle w:val="Bodytext295pt"/>
                <w:rFonts w:ascii="Sylfaen" w:hAnsi="Sylfaen"/>
                <w:sz w:val="24"/>
                <w:szCs w:val="24"/>
              </w:rPr>
              <w:t>և</w:t>
            </w:r>
            <w:r w:rsidRPr="003B2786">
              <w:rPr>
                <w:rStyle w:val="Bodytext295pt"/>
                <w:rFonts w:ascii="Sylfaen" w:hAnsi="Sylfaen"/>
                <w:sz w:val="24"/>
                <w:szCs w:val="24"/>
              </w:rPr>
              <w:t xml:space="preserve">  թղթային կրիչով օրինակն ուղարկել հետ</w:t>
            </w:r>
            <w:r w:rsidR="00C54D75">
              <w:rPr>
                <w:rStyle w:val="Bodytext295pt"/>
                <w:rFonts w:ascii="Sylfaen" w:hAnsi="Sylfaen"/>
                <w:sz w:val="24"/>
                <w:szCs w:val="24"/>
              </w:rPr>
              <w:t>և</w:t>
            </w:r>
            <w:r w:rsidRPr="003B2786">
              <w:rPr>
                <w:rStyle w:val="Bodytext295pt"/>
                <w:rFonts w:ascii="Sylfaen" w:hAnsi="Sylfaen"/>
                <w:sz w:val="24"/>
                <w:szCs w:val="24"/>
              </w:rPr>
              <w:t>յալ հասցեով՝ «հասցե»</w:t>
            </w:r>
            <w:r w:rsidRPr="003B2786">
              <w:rPr>
                <w:rStyle w:val="FootnoteReference"/>
                <w:rFonts w:ascii="Sylfaen" w:hAnsi="Sylfaen"/>
                <w:b w:val="0"/>
                <w:i/>
                <w:sz w:val="24"/>
                <w:szCs w:val="24"/>
              </w:rPr>
              <w:footnoteReference w:id="43"/>
            </w:r>
            <w:r w:rsidRPr="003B2786">
              <w:rPr>
                <w:rStyle w:val="Bodytext295pt"/>
                <w:rFonts w:ascii="Sylfaen" w:hAnsi="Sylfaen"/>
                <w:sz w:val="24"/>
                <w:szCs w:val="24"/>
              </w:rPr>
              <w:t>:</w:t>
            </w:r>
          </w:p>
        </w:tc>
      </w:tr>
      <w:tr w:rsidR="008C76E0" w:rsidRPr="003B2786" w14:paraId="20F48FCE" w14:textId="77777777" w:rsidTr="008C76E0">
        <w:trPr>
          <w:trHeight w:val="772"/>
          <w:jc w:val="center"/>
        </w:trPr>
        <w:tc>
          <w:tcPr>
            <w:tcW w:w="3944" w:type="dxa"/>
            <w:shd w:val="clear" w:color="auto" w:fill="FFFFFF"/>
          </w:tcPr>
          <w:p w14:paraId="381E2C8B" w14:textId="77777777" w:rsidR="008C76E0" w:rsidRPr="008C76E0" w:rsidRDefault="008C76E0" w:rsidP="008C76E0">
            <w:pPr>
              <w:pStyle w:val="Bodytext180"/>
              <w:shd w:val="clear" w:color="auto" w:fill="auto"/>
              <w:tabs>
                <w:tab w:val="left" w:pos="851"/>
              </w:tabs>
              <w:spacing w:before="0" w:after="160" w:line="360" w:lineRule="auto"/>
              <w:ind w:left="344" w:right="104" w:firstLine="0"/>
              <w:jc w:val="both"/>
              <w:rPr>
                <w:rFonts w:ascii="Sylfaen" w:hAnsi="Sylfaen"/>
                <w:b w:val="0"/>
                <w:sz w:val="24"/>
                <w:szCs w:val="24"/>
                <w:lang w:val="hy-AM"/>
              </w:rPr>
            </w:pPr>
            <w:r w:rsidRPr="003B2786">
              <w:rPr>
                <w:rStyle w:val="Bodytext295pt"/>
                <w:rFonts w:ascii="Sylfaen" w:hAnsi="Sylfaen"/>
                <w:sz w:val="24"/>
                <w:szCs w:val="24"/>
              </w:rPr>
              <w:t>Անդամ պետությունում ծրագրի ղեկավարի, կոնտակտային անձի Ա.Ա.Հ.-ն</w:t>
            </w:r>
          </w:p>
        </w:tc>
        <w:tc>
          <w:tcPr>
            <w:tcW w:w="5549" w:type="dxa"/>
            <w:shd w:val="clear" w:color="auto" w:fill="FFFFFF"/>
            <w:vAlign w:val="center"/>
          </w:tcPr>
          <w:p w14:paraId="789FAE74" w14:textId="77777777" w:rsidR="008C76E0" w:rsidRPr="003B2786" w:rsidRDefault="008C76E0" w:rsidP="008C76E0">
            <w:pPr>
              <w:pStyle w:val="Bodytext180"/>
              <w:shd w:val="clear" w:color="auto" w:fill="auto"/>
              <w:tabs>
                <w:tab w:val="left" w:pos="851"/>
              </w:tabs>
              <w:spacing w:before="0" w:after="160" w:line="360" w:lineRule="auto"/>
              <w:ind w:left="344" w:right="907" w:firstLine="0"/>
              <w:rPr>
                <w:rFonts w:ascii="Sylfaen" w:hAnsi="Sylfaen"/>
                <w:b w:val="0"/>
                <w:sz w:val="24"/>
                <w:szCs w:val="24"/>
              </w:rPr>
            </w:pPr>
            <w:r w:rsidRPr="003B2786">
              <w:rPr>
                <w:rFonts w:ascii="Sylfaen" w:hAnsi="Sylfaen"/>
                <w:b w:val="0"/>
                <w:noProof/>
                <w:sz w:val="24"/>
                <w:szCs w:val="24"/>
              </w:rPr>
              <w:drawing>
                <wp:inline distT="0" distB="0" distL="0" distR="0" wp14:anchorId="49FA009C" wp14:editId="16F64467">
                  <wp:extent cx="295275" cy="666750"/>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r w:rsidR="008C76E0" w:rsidRPr="003B2786" w14:paraId="10A8DA4E" w14:textId="77777777" w:rsidTr="008C76E0">
        <w:trPr>
          <w:jc w:val="center"/>
        </w:trPr>
        <w:tc>
          <w:tcPr>
            <w:tcW w:w="9493" w:type="dxa"/>
            <w:gridSpan w:val="2"/>
            <w:shd w:val="clear" w:color="auto" w:fill="FFFFFF"/>
            <w:vAlign w:val="center"/>
          </w:tcPr>
          <w:p w14:paraId="613D8875" w14:textId="77777777" w:rsidR="008C76E0" w:rsidRPr="008C76E0" w:rsidRDefault="008C76E0" w:rsidP="008C76E0">
            <w:pPr>
              <w:pStyle w:val="Bodytext180"/>
              <w:shd w:val="clear" w:color="auto" w:fill="auto"/>
              <w:spacing w:before="0" w:after="160" w:line="360" w:lineRule="auto"/>
              <w:ind w:left="344" w:right="-1" w:firstLine="0"/>
              <w:jc w:val="both"/>
              <w:rPr>
                <w:rFonts w:ascii="Sylfaen" w:hAnsi="Sylfaen"/>
                <w:b w:val="0"/>
                <w:sz w:val="24"/>
                <w:szCs w:val="24"/>
                <w:lang w:val="hy-AM"/>
              </w:rPr>
            </w:pPr>
            <w:r w:rsidRPr="003B2786">
              <w:rPr>
                <w:rStyle w:val="Bodytext295pt"/>
                <w:rFonts w:ascii="Sylfaen" w:hAnsi="Sylfaen"/>
                <w:sz w:val="24"/>
                <w:szCs w:val="24"/>
              </w:rPr>
              <w:t>Գնահատման փորձագետների Ա.Ա.Հ.-ն (կիրառելիության դեպքում).</w:t>
            </w:r>
          </w:p>
        </w:tc>
      </w:tr>
      <w:tr w:rsidR="008C76E0" w:rsidRPr="003B2786" w14:paraId="06F895A2" w14:textId="77777777" w:rsidTr="008C76E0">
        <w:trPr>
          <w:jc w:val="center"/>
        </w:trPr>
        <w:tc>
          <w:tcPr>
            <w:tcW w:w="3944" w:type="dxa"/>
            <w:shd w:val="clear" w:color="auto" w:fill="FFFFFF"/>
          </w:tcPr>
          <w:p w14:paraId="38CBA818"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Որակը (Մոդուլ 3).</w:t>
            </w:r>
          </w:p>
          <w:p w14:paraId="77FC7EAD"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p>
          <w:p w14:paraId="2C94AA82"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noProof/>
                <w:sz w:val="24"/>
                <w:szCs w:val="24"/>
              </w:rPr>
              <w:drawing>
                <wp:inline distT="0" distB="0" distL="0" distR="0" wp14:anchorId="00AAF432" wp14:editId="3966CE4C">
                  <wp:extent cx="257175" cy="64770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57175" cy="647700"/>
                          </a:xfrm>
                          <a:prstGeom prst="rect">
                            <a:avLst/>
                          </a:prstGeom>
                          <a:noFill/>
                          <a:ln w="9525">
                            <a:noFill/>
                            <a:miter lim="800000"/>
                            <a:headEnd/>
                            <a:tailEnd/>
                          </a:ln>
                        </pic:spPr>
                      </pic:pic>
                    </a:graphicData>
                  </a:graphic>
                </wp:inline>
              </w:drawing>
            </w:r>
          </w:p>
        </w:tc>
        <w:tc>
          <w:tcPr>
            <w:tcW w:w="5549" w:type="dxa"/>
            <w:shd w:val="clear" w:color="auto" w:fill="FFFFFF"/>
            <w:vAlign w:val="center"/>
          </w:tcPr>
          <w:p w14:paraId="5E5E1A36"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Կլինիկական հետազոտությունները (Մոդուլ 5). Դեղակինետիկա</w:t>
            </w:r>
          </w:p>
          <w:p w14:paraId="5B20736A"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b w:val="0"/>
                <w:noProof/>
                <w:sz w:val="24"/>
                <w:szCs w:val="24"/>
              </w:rPr>
              <w:drawing>
                <wp:inline distT="0" distB="0" distL="0" distR="0" wp14:anchorId="380512ED" wp14:editId="35B3E0D2">
                  <wp:extent cx="295275" cy="66675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r w:rsidR="008C76E0" w:rsidRPr="003B2786" w14:paraId="3DD451A0" w14:textId="77777777" w:rsidTr="008C76E0">
        <w:trPr>
          <w:jc w:val="center"/>
        </w:trPr>
        <w:tc>
          <w:tcPr>
            <w:tcW w:w="3944" w:type="dxa"/>
            <w:shd w:val="clear" w:color="auto" w:fill="FFFFFF"/>
            <w:vAlign w:val="center"/>
          </w:tcPr>
          <w:p w14:paraId="09911F74"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Նախակլինիկական հետազոտությունները (Մոդուլ 4).</w:t>
            </w:r>
          </w:p>
          <w:p w14:paraId="1F705014"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b w:val="0"/>
                <w:noProof/>
                <w:sz w:val="24"/>
                <w:szCs w:val="24"/>
              </w:rPr>
              <w:drawing>
                <wp:inline distT="0" distB="0" distL="0" distR="0" wp14:anchorId="50C4A025" wp14:editId="22408CB3">
                  <wp:extent cx="295275" cy="666750"/>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c>
          <w:tcPr>
            <w:tcW w:w="5549" w:type="dxa"/>
            <w:shd w:val="clear" w:color="auto" w:fill="FFFFFF"/>
          </w:tcPr>
          <w:p w14:paraId="32BCC5D1" w14:textId="77777777" w:rsidR="008C76E0" w:rsidRPr="003B2786" w:rsidRDefault="008C76E0" w:rsidP="008C76E0">
            <w:pPr>
              <w:pStyle w:val="Bodytext180"/>
              <w:shd w:val="clear" w:color="auto" w:fill="auto"/>
              <w:spacing w:before="0" w:after="160" w:line="360" w:lineRule="auto"/>
              <w:ind w:left="344" w:right="-1" w:firstLine="0"/>
              <w:rPr>
                <w:rStyle w:val="Bodytext295pt"/>
                <w:rFonts w:ascii="Sylfaen" w:hAnsi="Sylfaen"/>
                <w:sz w:val="24"/>
                <w:szCs w:val="24"/>
              </w:rPr>
            </w:pPr>
            <w:r w:rsidRPr="003B2786">
              <w:rPr>
                <w:rStyle w:val="Bodytext295pt"/>
                <w:rFonts w:ascii="Sylfaen" w:hAnsi="Sylfaen"/>
                <w:sz w:val="24"/>
                <w:szCs w:val="24"/>
              </w:rPr>
              <w:t xml:space="preserve">Արդյունավետությունը </w:t>
            </w:r>
            <w:r w:rsidR="00C54D75">
              <w:rPr>
                <w:rStyle w:val="Bodytext295pt"/>
                <w:rFonts w:ascii="Sylfaen" w:hAnsi="Sylfaen"/>
                <w:sz w:val="24"/>
                <w:szCs w:val="24"/>
              </w:rPr>
              <w:t>և</w:t>
            </w:r>
            <w:r w:rsidRPr="003B2786">
              <w:rPr>
                <w:rStyle w:val="Bodytext295pt"/>
                <w:rFonts w:ascii="Sylfaen" w:hAnsi="Sylfaen"/>
                <w:sz w:val="24"/>
                <w:szCs w:val="24"/>
              </w:rPr>
              <w:t xml:space="preserve"> անվտանգությունը</w:t>
            </w:r>
          </w:p>
          <w:p w14:paraId="0EFD9F65" w14:textId="77777777" w:rsidR="008C76E0" w:rsidRPr="003B2786" w:rsidRDefault="008C76E0" w:rsidP="008C76E0">
            <w:pPr>
              <w:pStyle w:val="Bodytext180"/>
              <w:shd w:val="clear" w:color="auto" w:fill="auto"/>
              <w:spacing w:before="0" w:after="160" w:line="360" w:lineRule="auto"/>
              <w:ind w:left="344" w:right="-1" w:firstLine="0"/>
              <w:rPr>
                <w:rStyle w:val="Bodytext295pt"/>
                <w:rFonts w:ascii="Sylfaen" w:hAnsi="Sylfaen"/>
                <w:sz w:val="24"/>
                <w:szCs w:val="24"/>
              </w:rPr>
            </w:pPr>
          </w:p>
          <w:p w14:paraId="32D8AF92" w14:textId="77777777" w:rsidR="008C76E0" w:rsidRPr="003B2786" w:rsidRDefault="008C76E0" w:rsidP="008C76E0">
            <w:pPr>
              <w:pStyle w:val="Bodytext180"/>
              <w:shd w:val="clear" w:color="auto" w:fill="auto"/>
              <w:spacing w:before="0" w:after="160" w:line="360" w:lineRule="auto"/>
              <w:ind w:left="344" w:right="-1" w:firstLine="0"/>
              <w:rPr>
                <w:rFonts w:ascii="Sylfaen" w:hAnsi="Sylfaen"/>
                <w:b w:val="0"/>
                <w:sz w:val="24"/>
                <w:szCs w:val="24"/>
              </w:rPr>
            </w:pPr>
            <w:r w:rsidRPr="003B2786">
              <w:rPr>
                <w:rFonts w:ascii="Sylfaen" w:hAnsi="Sylfaen"/>
                <w:b w:val="0"/>
                <w:noProof/>
                <w:sz w:val="24"/>
                <w:szCs w:val="24"/>
              </w:rPr>
              <w:drawing>
                <wp:inline distT="0" distB="0" distL="0" distR="0" wp14:anchorId="21628007" wp14:editId="5AD64D94">
                  <wp:extent cx="295275" cy="66675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bl>
    <w:p w14:paraId="154C3BF2" w14:textId="77777777" w:rsidR="008C76E0" w:rsidRPr="003B2786" w:rsidRDefault="008C76E0" w:rsidP="008C76E0">
      <w:pPr>
        <w:ind w:right="-1"/>
        <w:jc w:val="both"/>
        <w:rPr>
          <w:rFonts w:ascii="Sylfaen" w:hAnsi="Sylfaen"/>
          <w:sz w:val="24"/>
          <w:szCs w:val="24"/>
        </w:rPr>
      </w:pPr>
    </w:p>
    <w:p w14:paraId="28A47E12" w14:textId="77777777" w:rsidR="00F8005E" w:rsidRDefault="00F8005E" w:rsidP="008C76E0">
      <w:pPr>
        <w:ind w:right="-1"/>
        <w:jc w:val="both"/>
        <w:rPr>
          <w:rFonts w:ascii="Sylfaen" w:hAnsi="Sylfaen"/>
          <w:sz w:val="24"/>
          <w:szCs w:val="24"/>
        </w:rPr>
        <w:sectPr w:rsidR="00F8005E" w:rsidSect="00C31D56">
          <w:pgSz w:w="11907" w:h="16839" w:code="9"/>
          <w:pgMar w:top="1418" w:right="1418" w:bottom="1418" w:left="1418" w:header="709" w:footer="709" w:gutter="0"/>
          <w:cols w:space="708"/>
          <w:docGrid w:linePitch="360"/>
        </w:sectPr>
      </w:pPr>
    </w:p>
    <w:p w14:paraId="49853322" w14:textId="77777777" w:rsidR="008C76E0" w:rsidRPr="003B2786" w:rsidRDefault="008C76E0" w:rsidP="00593820">
      <w:pPr>
        <w:spacing w:after="160" w:line="360" w:lineRule="auto"/>
        <w:ind w:left="4395" w:right="-1"/>
        <w:jc w:val="center"/>
        <w:outlineLvl w:val="0"/>
        <w:rPr>
          <w:rFonts w:ascii="Sylfaen" w:hAnsi="Sylfaen"/>
          <w:sz w:val="24"/>
          <w:szCs w:val="24"/>
        </w:rPr>
      </w:pPr>
      <w:r w:rsidRPr="003B2786">
        <w:rPr>
          <w:rFonts w:ascii="Sylfaen" w:hAnsi="Sylfaen"/>
          <w:sz w:val="24"/>
          <w:szCs w:val="24"/>
        </w:rPr>
        <w:lastRenderedPageBreak/>
        <w:t>ՀԱՎԵԼՎԱԾ ԹԻՎ 19</w:t>
      </w:r>
    </w:p>
    <w:p w14:paraId="16077AD8" w14:textId="77777777" w:rsidR="008C76E0" w:rsidRPr="003B2786" w:rsidRDefault="008C76E0" w:rsidP="00593820">
      <w:pPr>
        <w:spacing w:after="160" w:line="360" w:lineRule="auto"/>
        <w:ind w:left="4395" w:right="-1"/>
        <w:jc w:val="center"/>
        <w:rPr>
          <w:rFonts w:ascii="Sylfaen" w:hAnsi="Sylfaen"/>
          <w:sz w:val="24"/>
          <w:szCs w:val="24"/>
        </w:rPr>
      </w:pPr>
      <w:r w:rsidRPr="003B2786">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38005BA1" w14:textId="77777777" w:rsidR="008C76E0" w:rsidRPr="003B2786" w:rsidRDefault="008C76E0" w:rsidP="00593820">
      <w:pPr>
        <w:spacing w:after="160" w:line="360" w:lineRule="auto"/>
        <w:ind w:left="5103" w:right="-1"/>
        <w:rPr>
          <w:rFonts w:ascii="Sylfaen" w:hAnsi="Sylfaen"/>
          <w:sz w:val="24"/>
          <w:szCs w:val="24"/>
        </w:rPr>
      </w:pPr>
    </w:p>
    <w:p w14:paraId="00C7FAF2" w14:textId="77777777" w:rsidR="008C76E0" w:rsidRPr="008C76E0" w:rsidRDefault="008C76E0" w:rsidP="00593820">
      <w:pPr>
        <w:pStyle w:val="Heading10"/>
        <w:shd w:val="clear" w:color="auto" w:fill="auto"/>
        <w:spacing w:before="0" w:after="160" w:line="360" w:lineRule="auto"/>
        <w:ind w:left="567" w:right="566"/>
        <w:rPr>
          <w:rFonts w:ascii="Sylfaen" w:hAnsi="Sylfaen"/>
          <w:sz w:val="24"/>
          <w:szCs w:val="24"/>
          <w:lang w:val="hy-AM"/>
        </w:rPr>
      </w:pPr>
      <w:bookmarkStart w:id="15" w:name="bookmark15"/>
      <w:r w:rsidRPr="008C76E0">
        <w:rPr>
          <w:rFonts w:ascii="Sylfaen" w:hAnsi="Sylfaen"/>
          <w:sz w:val="24"/>
          <w:szCs w:val="24"/>
          <w:lang w:val="hy-AM"/>
        </w:rPr>
        <w:t>ԿԱՆՈՆՆԵՐ</w:t>
      </w:r>
      <w:bookmarkEnd w:id="15"/>
    </w:p>
    <w:p w14:paraId="12F2C605" w14:textId="77777777" w:rsidR="008C76E0" w:rsidRPr="008C76E0" w:rsidRDefault="008C76E0" w:rsidP="00593820">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բժշկական կիրառման գրանցված դեղապատրաստուկի գրանցման դոսյեի մեջ փոփոխություններ կատարելու</w:t>
      </w:r>
    </w:p>
    <w:p w14:paraId="06A378D3" w14:textId="77777777" w:rsidR="008C76E0" w:rsidRPr="008C76E0" w:rsidRDefault="008C76E0" w:rsidP="00593820">
      <w:pPr>
        <w:pStyle w:val="Bodytext130"/>
        <w:shd w:val="clear" w:color="auto" w:fill="auto"/>
        <w:spacing w:after="160" w:line="360" w:lineRule="auto"/>
        <w:ind w:right="-1"/>
        <w:rPr>
          <w:rFonts w:ascii="Sylfaen" w:hAnsi="Sylfaen"/>
          <w:sz w:val="24"/>
          <w:szCs w:val="24"/>
          <w:lang w:val="hy-AM"/>
        </w:rPr>
      </w:pPr>
    </w:p>
    <w:p w14:paraId="485EEED0" w14:textId="77777777" w:rsidR="008C76E0" w:rsidRPr="003B2786" w:rsidRDefault="008C76E0" w:rsidP="00593820">
      <w:pPr>
        <w:tabs>
          <w:tab w:val="left" w:pos="1701"/>
        </w:tabs>
        <w:spacing w:after="160" w:line="360" w:lineRule="auto"/>
        <w:ind w:right="-1"/>
        <w:jc w:val="center"/>
        <w:outlineLvl w:val="0"/>
        <w:rPr>
          <w:rFonts w:ascii="Sylfaen" w:hAnsi="Sylfaen"/>
          <w:sz w:val="24"/>
          <w:szCs w:val="24"/>
        </w:rPr>
      </w:pPr>
      <w:r w:rsidRPr="003B2786">
        <w:rPr>
          <w:rFonts w:ascii="Sylfaen" w:hAnsi="Sylfaen"/>
          <w:sz w:val="24"/>
          <w:szCs w:val="24"/>
        </w:rPr>
        <w:t>I. Ընդհանուր դրույթներ</w:t>
      </w:r>
    </w:p>
    <w:p w14:paraId="7CFC6D93" w14:textId="77777777" w:rsidR="008C76E0" w:rsidRPr="003B2786" w:rsidRDefault="008C76E0" w:rsidP="00593820">
      <w:pPr>
        <w:tabs>
          <w:tab w:val="left" w:pos="1701"/>
        </w:tabs>
        <w:spacing w:after="160" w:line="360" w:lineRule="auto"/>
        <w:ind w:right="-1"/>
        <w:jc w:val="center"/>
        <w:rPr>
          <w:rFonts w:ascii="Sylfaen" w:hAnsi="Sylfaen"/>
          <w:sz w:val="24"/>
          <w:szCs w:val="24"/>
        </w:rPr>
      </w:pPr>
      <w:r w:rsidRPr="003B2786">
        <w:rPr>
          <w:rFonts w:ascii="Sylfaen" w:hAnsi="Sylfaen"/>
          <w:sz w:val="24"/>
          <w:szCs w:val="24"/>
        </w:rPr>
        <w:t xml:space="preserve">1.1. Առարկան </w:t>
      </w:r>
      <w:r w:rsidR="00C54D75">
        <w:rPr>
          <w:rFonts w:ascii="Sylfaen" w:hAnsi="Sylfaen"/>
          <w:sz w:val="24"/>
          <w:szCs w:val="24"/>
        </w:rPr>
        <w:t>և</w:t>
      </w:r>
      <w:r w:rsidRPr="003B2786">
        <w:rPr>
          <w:rFonts w:ascii="Sylfaen" w:hAnsi="Sylfaen"/>
          <w:sz w:val="24"/>
          <w:szCs w:val="24"/>
        </w:rPr>
        <w:t xml:space="preserve"> կիրառության ոլորտը</w:t>
      </w:r>
    </w:p>
    <w:p w14:paraId="7B0497F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1.1.1.</w:t>
      </w:r>
      <w:r w:rsidRPr="003B2786">
        <w:rPr>
          <w:rFonts w:ascii="Sylfaen" w:hAnsi="Sylfaen"/>
          <w:sz w:val="24"/>
          <w:szCs w:val="24"/>
        </w:rPr>
        <w:tab/>
        <w:t xml:space="preserve">Սույն հավելվածով սահմանվում է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կանոններին (այսուհետ՝ Դեղամիջոցների գրանցման կանոններ) համապատասխան Եվրասիական տնտեսական միությունում (այսուհետ՝ Միություն) գրանցված կամ Միության իրավունքի մաս կազմող ակտերի պահանջներին համապատասխանեցման ընթացակարգին ենթարկվող՝ Բժշկական կիրառման դեղապատրաստուկների գրանցման դոսյեի մեջ փոփոխություններ կատարելու կարգը (այսուհետ՝ փոփոխություններ կատարելը):</w:t>
      </w:r>
    </w:p>
    <w:p w14:paraId="7A479AD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1.1.2.</w:t>
      </w:r>
      <w:r w:rsidRPr="003B2786">
        <w:rPr>
          <w:rFonts w:ascii="Sylfaen" w:hAnsi="Sylfaen"/>
          <w:sz w:val="24"/>
          <w:szCs w:val="24"/>
        </w:rPr>
        <w:tab/>
        <w:t>Սույն հավելվածը չի տարածվում գրանցման հավաստագրի մեկ իրավատիրոջից (այսուհետ՝ իրավատեր) մյուսին գրանցման հավաստագրերի փոխանցման վրա:</w:t>
      </w:r>
    </w:p>
    <w:p w14:paraId="280C8439"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1.1.3.</w:t>
      </w:r>
      <w:r w:rsidRPr="003B2786">
        <w:rPr>
          <w:rFonts w:ascii="Sylfaen" w:hAnsi="Sylfaen"/>
          <w:sz w:val="24"/>
          <w:szCs w:val="24"/>
        </w:rPr>
        <w:tab/>
        <w:t xml:space="preserve">Սույն հավելվածի II բաժինը կիրառվում է դեղապատրաստուկների` փոխադարձ ճանաչման ընթացակարգի </w:t>
      </w:r>
      <w:r w:rsidR="00C54D75">
        <w:rPr>
          <w:rFonts w:ascii="Sylfaen" w:hAnsi="Sylfaen"/>
          <w:sz w:val="24"/>
          <w:szCs w:val="24"/>
        </w:rPr>
        <w:t>և</w:t>
      </w:r>
      <w:r w:rsidRPr="003B2786">
        <w:rPr>
          <w:rFonts w:ascii="Sylfaen" w:hAnsi="Sylfaen"/>
          <w:sz w:val="24"/>
          <w:szCs w:val="24"/>
        </w:rPr>
        <w:t xml:space="preserve"> գրանցման ապակենտրոնացված ընթացակարգի շրջանակներում Դեղամիջոցների գրանցման կանոնների V.II </w:t>
      </w:r>
      <w:r w:rsidR="00C54D75">
        <w:rPr>
          <w:rFonts w:ascii="Sylfaen" w:hAnsi="Sylfaen"/>
          <w:sz w:val="24"/>
          <w:szCs w:val="24"/>
        </w:rPr>
        <w:t>և</w:t>
      </w:r>
      <w:r w:rsidRPr="003B2786">
        <w:rPr>
          <w:rFonts w:ascii="Sylfaen" w:hAnsi="Sylfaen"/>
          <w:sz w:val="24"/>
          <w:szCs w:val="24"/>
        </w:rPr>
        <w:t xml:space="preserve"> VI բաժիններին համապատասխան իրականացված գրանցման պայմանների </w:t>
      </w:r>
      <w:r w:rsidRPr="003B2786">
        <w:rPr>
          <w:rFonts w:ascii="Sylfaen" w:hAnsi="Sylfaen"/>
          <w:sz w:val="24"/>
          <w:szCs w:val="24"/>
        </w:rPr>
        <w:lastRenderedPageBreak/>
        <w:t>(այսուհետ՝ գրանցման պայմաններ) փոփոխությունների, ինչպես նա</w:t>
      </w:r>
      <w:r w:rsidR="00C54D75">
        <w:rPr>
          <w:rFonts w:ascii="Sylfaen" w:hAnsi="Sylfaen"/>
          <w:sz w:val="24"/>
          <w:szCs w:val="24"/>
        </w:rPr>
        <w:t>և</w:t>
      </w:r>
      <w:r w:rsidRPr="003B2786">
        <w:rPr>
          <w:rFonts w:ascii="Sylfaen" w:hAnsi="Sylfaen"/>
          <w:sz w:val="24"/>
          <w:szCs w:val="24"/>
        </w:rPr>
        <w:t xml:space="preserve"> այն դեղապատրաստուկների գրանցման պայմանների փոփոխությունների նկատմամբ, որոնք գրանցված են Միության մի քանի անդամ պետություններում (այսուհետ՝ անդամ պետություններ) </w:t>
      </w:r>
      <w:r w:rsidR="00C54D75">
        <w:rPr>
          <w:rFonts w:ascii="Sylfaen" w:hAnsi="Sylfaen"/>
          <w:sz w:val="24"/>
          <w:szCs w:val="24"/>
        </w:rPr>
        <w:t>և</w:t>
      </w:r>
      <w:r w:rsidRPr="003B2786">
        <w:rPr>
          <w:rFonts w:ascii="Sylfaen" w:hAnsi="Sylfaen"/>
          <w:sz w:val="24"/>
          <w:szCs w:val="24"/>
        </w:rPr>
        <w:t xml:space="preserve"> Դեղամիջոցների գրանցման կանոնների XIII բաժնի համաձայն անցել են (անցնում են) համապատասխանեցման ընթացակարգը: </w:t>
      </w:r>
    </w:p>
    <w:p w14:paraId="03394F4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1.1.4.</w:t>
      </w:r>
      <w:r w:rsidRPr="003B2786">
        <w:rPr>
          <w:rFonts w:ascii="Sylfaen" w:hAnsi="Sylfaen"/>
          <w:sz w:val="24"/>
          <w:szCs w:val="24"/>
        </w:rPr>
        <w:tab/>
        <w:t>Սույն հավելվածի III բաժինը կիրառվում է բացառապես Դեղամիջոցների գրանցման կանոնների V.I բաժնին համապատասխան մեկ անդամ պետությունում (ռեֆերենտ պետությունում) գրանցված դեղապատրաստուկների գրանցման պայմանների փոփոխությունների, ինչպես նա</w:t>
      </w:r>
      <w:r w:rsidR="00C54D75">
        <w:rPr>
          <w:rFonts w:ascii="Sylfaen" w:hAnsi="Sylfaen"/>
          <w:sz w:val="24"/>
          <w:szCs w:val="24"/>
        </w:rPr>
        <w:t>և</w:t>
      </w:r>
      <w:r w:rsidRPr="003B2786">
        <w:rPr>
          <w:rFonts w:ascii="Sylfaen" w:hAnsi="Sylfaen"/>
          <w:sz w:val="24"/>
          <w:szCs w:val="24"/>
        </w:rPr>
        <w:t xml:space="preserve"> այն դեղապատրաստուկների գրանցման պայմանների փոփոխությունների նկատմամբ, որոնք գրանցված են մեկ անդամ պետությունում </w:t>
      </w:r>
      <w:r w:rsidR="00C54D75">
        <w:rPr>
          <w:rFonts w:ascii="Sylfaen" w:hAnsi="Sylfaen"/>
          <w:sz w:val="24"/>
          <w:szCs w:val="24"/>
        </w:rPr>
        <w:t>և</w:t>
      </w:r>
      <w:r w:rsidRPr="003B2786">
        <w:rPr>
          <w:rFonts w:ascii="Sylfaen" w:hAnsi="Sylfaen"/>
          <w:sz w:val="24"/>
          <w:szCs w:val="24"/>
        </w:rPr>
        <w:t xml:space="preserve"> Դեղամիջոցների գրանցման կանոնների XIII բաժնի համաձայն անցել են (անցնում են) համապատասխանեցման ընթացակարգը: </w:t>
      </w:r>
    </w:p>
    <w:p w14:paraId="48A2549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1.1.5.</w:t>
      </w:r>
      <w:r w:rsidRPr="003B2786">
        <w:rPr>
          <w:rFonts w:ascii="Sylfaen" w:hAnsi="Sylfaen"/>
          <w:sz w:val="24"/>
          <w:szCs w:val="24"/>
        </w:rPr>
        <w:tab/>
        <w:t xml:space="preserve">Սույն հավելվածի IV բաժինը կիրառվում է սույն հավելվածի 1.1.3 </w:t>
      </w:r>
      <w:r w:rsidR="00C54D75">
        <w:rPr>
          <w:rFonts w:ascii="Sylfaen" w:hAnsi="Sylfaen"/>
          <w:sz w:val="24"/>
          <w:szCs w:val="24"/>
        </w:rPr>
        <w:t>և</w:t>
      </w:r>
      <w:r w:rsidRPr="003B2786">
        <w:rPr>
          <w:rFonts w:ascii="Sylfaen" w:hAnsi="Sylfaen"/>
          <w:sz w:val="24"/>
          <w:szCs w:val="24"/>
        </w:rPr>
        <w:t xml:space="preserve"> 1.1.4 ենթակետերում նշված գրանցման պայմանների փոփոխությունների նկատմամբ:</w:t>
      </w:r>
    </w:p>
    <w:p w14:paraId="1693245C" w14:textId="77777777" w:rsidR="008C76E0" w:rsidRPr="003B2786" w:rsidRDefault="008C76E0" w:rsidP="006817C8">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1.1.6.</w:t>
      </w:r>
      <w:r w:rsidRPr="003B2786">
        <w:rPr>
          <w:rFonts w:ascii="Sylfaen" w:hAnsi="Sylfaen"/>
          <w:sz w:val="24"/>
          <w:szCs w:val="24"/>
        </w:rPr>
        <w:tab/>
        <w:t>Բժշկական կիրառման գրանցված դեղապատրաստուկի գրանցման դոսյեի մեջ փոփոխություններ կատարելիս դեղապատրաստուկի փորձաքննություն անցկացնելու կանոնները ներկայացված են Դեղամիջոցների գրանցման կանոնների թիվ 20 հավելվածում:</w:t>
      </w:r>
    </w:p>
    <w:p w14:paraId="25E69432" w14:textId="77777777" w:rsidR="008C76E0" w:rsidRPr="003B2786" w:rsidRDefault="008C76E0" w:rsidP="006817C8">
      <w:pPr>
        <w:tabs>
          <w:tab w:val="left" w:pos="1134"/>
        </w:tabs>
        <w:spacing w:after="160" w:line="384" w:lineRule="auto"/>
        <w:ind w:firstLine="567"/>
        <w:rPr>
          <w:rFonts w:ascii="Sylfaen" w:hAnsi="Sylfaen"/>
          <w:sz w:val="24"/>
          <w:szCs w:val="24"/>
        </w:rPr>
      </w:pPr>
      <w:r w:rsidRPr="003B2786">
        <w:rPr>
          <w:rFonts w:ascii="Sylfaen" w:hAnsi="Sylfaen"/>
          <w:sz w:val="24"/>
          <w:szCs w:val="24"/>
        </w:rPr>
        <w:t>1.2.</w:t>
      </w:r>
      <w:r>
        <w:rPr>
          <w:rFonts w:ascii="Sylfaen" w:hAnsi="Sylfaen"/>
          <w:sz w:val="24"/>
          <w:szCs w:val="24"/>
        </w:rPr>
        <w:tab/>
      </w:r>
      <w:r w:rsidRPr="003B2786">
        <w:rPr>
          <w:rFonts w:ascii="Sylfaen" w:hAnsi="Sylfaen"/>
          <w:sz w:val="24"/>
          <w:szCs w:val="24"/>
        </w:rPr>
        <w:t>Սահմանումները</w:t>
      </w:r>
    </w:p>
    <w:p w14:paraId="19D0138A" w14:textId="77777777" w:rsidR="008C76E0" w:rsidRPr="003B2786" w:rsidRDefault="008C76E0" w:rsidP="006817C8">
      <w:pPr>
        <w:tabs>
          <w:tab w:val="left" w:pos="993"/>
          <w:tab w:val="left" w:pos="1701"/>
        </w:tabs>
        <w:spacing w:after="160" w:line="384" w:lineRule="auto"/>
        <w:ind w:firstLine="567"/>
        <w:jc w:val="both"/>
        <w:rPr>
          <w:rFonts w:ascii="Sylfaen" w:hAnsi="Sylfaen"/>
          <w:sz w:val="24"/>
          <w:szCs w:val="24"/>
        </w:rPr>
      </w:pPr>
      <w:r w:rsidRPr="003B2786">
        <w:rPr>
          <w:rFonts w:ascii="Sylfaen" w:hAnsi="Sylfaen"/>
          <w:sz w:val="24"/>
          <w:szCs w:val="24"/>
        </w:rPr>
        <w:t>Սույն հավելվածի նպատակներով օգտագործվում են հասկացություններ, որոնք ունեն հետ</w:t>
      </w:r>
      <w:r w:rsidR="00C54D75">
        <w:rPr>
          <w:rFonts w:ascii="Sylfaen" w:hAnsi="Sylfaen"/>
          <w:sz w:val="24"/>
          <w:szCs w:val="24"/>
        </w:rPr>
        <w:t>և</w:t>
      </w:r>
      <w:r w:rsidRPr="003B2786">
        <w:rPr>
          <w:rFonts w:ascii="Sylfaen" w:hAnsi="Sylfaen"/>
          <w:sz w:val="24"/>
          <w:szCs w:val="24"/>
        </w:rPr>
        <w:t>յալ իմաստը՝</w:t>
      </w:r>
    </w:p>
    <w:p w14:paraId="5E8A52A6" w14:textId="77777777" w:rsidR="008C76E0" w:rsidRPr="003B2786" w:rsidRDefault="008C76E0" w:rsidP="006817C8">
      <w:pPr>
        <w:tabs>
          <w:tab w:val="left" w:pos="993"/>
          <w:tab w:val="left" w:pos="1701"/>
        </w:tabs>
        <w:spacing w:after="160" w:line="384" w:lineRule="auto"/>
        <w:ind w:firstLine="567"/>
        <w:jc w:val="both"/>
        <w:rPr>
          <w:rFonts w:ascii="Sylfaen" w:hAnsi="Sylfaen"/>
          <w:sz w:val="24"/>
          <w:szCs w:val="24"/>
        </w:rPr>
      </w:pPr>
      <w:r w:rsidRPr="003B2786">
        <w:rPr>
          <w:rFonts w:ascii="Sylfaen" w:hAnsi="Sylfaen"/>
          <w:sz w:val="24"/>
          <w:szCs w:val="24"/>
        </w:rPr>
        <w:t>«շահագրգիռ անդամ պետություն»՝ անդամ պետություն, որի լիազորված մարմինը գրանցել է դիտարկվող դեղապատրաստուկը.</w:t>
      </w:r>
    </w:p>
    <w:p w14:paraId="7B918903"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«II տիպի էական փոփոխություն»՝ փոփոխություն, որը, չլինելով նոր գրանցում </w:t>
      </w:r>
      <w:r w:rsidRPr="003B2786">
        <w:rPr>
          <w:rFonts w:ascii="Sylfaen" w:hAnsi="Sylfaen"/>
          <w:sz w:val="24"/>
          <w:szCs w:val="24"/>
        </w:rPr>
        <w:lastRenderedPageBreak/>
        <w:t>պահանջող փոփոխություն, կարող է էական ազդեցություն ունենալ գրանցված դեղապատրաստուկի որակի, անվտանգության կամ արդյունավետության վրա.</w:t>
      </w:r>
    </w:p>
    <w:p w14:paraId="194228B6"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«նոր գրանցում պահանջող փոփոխություն» կամ «գրանցման ընդլայնում»՝ փոփոխություններ, որոնք թվարկված են I լրացման մեջ </w:t>
      </w:r>
      <w:r w:rsidR="00C54D75">
        <w:rPr>
          <w:rFonts w:ascii="Sylfaen" w:hAnsi="Sylfaen"/>
          <w:sz w:val="24"/>
          <w:szCs w:val="24"/>
        </w:rPr>
        <w:t>և</w:t>
      </w:r>
      <w:r w:rsidRPr="003B2786">
        <w:rPr>
          <w:rFonts w:ascii="Sylfaen" w:hAnsi="Sylfaen"/>
          <w:sz w:val="24"/>
          <w:szCs w:val="24"/>
        </w:rPr>
        <w:t xml:space="preserve"> բավարարում են դրա մեջ նկարագրված պայմաններին.</w:t>
      </w:r>
    </w:p>
    <w:p w14:paraId="1A2081E5"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«գրանցման պայմանների փոփոխություն» կամ «գրանցման դոսյեի փոփոխություն» նշանակում է հետ</w:t>
      </w:r>
      <w:r w:rsidR="00C54D75">
        <w:rPr>
          <w:rFonts w:ascii="Sylfaen" w:hAnsi="Sylfaen"/>
          <w:sz w:val="24"/>
          <w:szCs w:val="24"/>
        </w:rPr>
        <w:t>և</w:t>
      </w:r>
      <w:r w:rsidRPr="003B2786">
        <w:rPr>
          <w:rFonts w:ascii="Sylfaen" w:hAnsi="Sylfaen"/>
          <w:sz w:val="24"/>
          <w:szCs w:val="24"/>
        </w:rPr>
        <w:t>յալների ցանկացած փոփոխություն՝</w:t>
      </w:r>
    </w:p>
    <w:p w14:paraId="6C23F55F"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1 հավելվածում նշված փաստաթղթերի </w:t>
      </w:r>
      <w:r w:rsidR="00C54D75">
        <w:rPr>
          <w:rFonts w:ascii="Sylfaen" w:hAnsi="Sylfaen"/>
          <w:sz w:val="24"/>
          <w:szCs w:val="24"/>
        </w:rPr>
        <w:t>և</w:t>
      </w:r>
      <w:r w:rsidRPr="003B2786">
        <w:rPr>
          <w:rFonts w:ascii="Sylfaen" w:hAnsi="Sylfaen"/>
          <w:sz w:val="24"/>
          <w:szCs w:val="24"/>
        </w:rPr>
        <w:t xml:space="preserve"> տվյալների.</w:t>
      </w:r>
    </w:p>
    <w:p w14:paraId="3A892CC8"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դեղապատրաստուկի գրանցման մասին որոշում կայացնելու պայմանների, ներառյալ՝ դեղապատրաստուկի ընդհանուր բնութագիրը </w:t>
      </w:r>
      <w:r w:rsidR="00C54D75">
        <w:rPr>
          <w:rFonts w:ascii="Sylfaen" w:hAnsi="Sylfaen"/>
          <w:sz w:val="24"/>
          <w:szCs w:val="24"/>
        </w:rPr>
        <w:t>և</w:t>
      </w:r>
      <w:r w:rsidRPr="003B2786">
        <w:rPr>
          <w:rFonts w:ascii="Sylfaen" w:hAnsi="Sylfaen"/>
          <w:sz w:val="24"/>
          <w:szCs w:val="24"/>
        </w:rPr>
        <w:t xml:space="preserve"> ցանկացած պայման, պարտավորություն կամ սահմանափակում, որը ազդում է դեղապատրաստուկի գրանցման վրա, կամ մականշվածքի կամ ներդիր թերթիկի փոփոխություններ, որոնք պայմանավորված են դեղապատրաստուկի ընդհանուր բնութագրի փոփոխությամբ.</w:t>
      </w:r>
    </w:p>
    <w:p w14:paraId="3B87C475"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«IA տիպի ոչ էական փոփոխություն»՝ փոփոխություն, որը գրանցված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նվազագույն ազդեցություն է ունենում կամ որ</w:t>
      </w:r>
      <w:r w:rsidR="00C54D75">
        <w:rPr>
          <w:rFonts w:ascii="Sylfaen" w:hAnsi="Sylfaen"/>
          <w:sz w:val="24"/>
          <w:szCs w:val="24"/>
        </w:rPr>
        <w:t>և</w:t>
      </w:r>
      <w:r w:rsidRPr="003B2786">
        <w:rPr>
          <w:rFonts w:ascii="Sylfaen" w:hAnsi="Sylfaen"/>
          <w:sz w:val="24"/>
          <w:szCs w:val="24"/>
        </w:rPr>
        <w:t>է ազդեցություն չի ունենում.</w:t>
      </w:r>
    </w:p>
    <w:p w14:paraId="62888123"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«IB տիպի ոչ էական փոփոխություն»՝ փոփոխություն, որի վրա չեն տարածվում IA, II տիպերի փոփոխությունների սահմանումները </w:t>
      </w:r>
      <w:r w:rsidR="00C54D75">
        <w:rPr>
          <w:rFonts w:ascii="Sylfaen" w:hAnsi="Sylfaen"/>
          <w:sz w:val="24"/>
          <w:szCs w:val="24"/>
        </w:rPr>
        <w:t>և</w:t>
      </w:r>
      <w:r w:rsidRPr="003B2786">
        <w:rPr>
          <w:rFonts w:ascii="Sylfaen" w:hAnsi="Sylfaen"/>
          <w:sz w:val="24"/>
          <w:szCs w:val="24"/>
        </w:rPr>
        <w:t xml:space="preserve"> գրանցման ընդլայնումները.</w:t>
      </w:r>
    </w:p>
    <w:p w14:paraId="29CF043E" w14:textId="13A47F44"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նպատակով անհետաձգելի սահմանափակում»՝ դեղապատրաստուկի անվտանգ կիրառման վերաբերյալ նոր տեղեկությունների ի </w:t>
      </w:r>
      <w:r w:rsidR="0056496B">
        <w:rPr>
          <w:rFonts w:ascii="Sylfaen" w:hAnsi="Sylfaen"/>
          <w:sz w:val="24"/>
          <w:szCs w:val="24"/>
        </w:rPr>
        <w:t>դիմում</w:t>
      </w:r>
      <w:r w:rsidRPr="003B2786">
        <w:rPr>
          <w:rFonts w:ascii="Sylfaen" w:hAnsi="Sylfaen"/>
          <w:sz w:val="24"/>
          <w:szCs w:val="24"/>
        </w:rPr>
        <w:t xml:space="preserve"> գալու հետ կապված գրանցման պայմանների միջանկյալ փոփոխություն.</w:t>
      </w:r>
    </w:p>
    <w:p w14:paraId="05E280EA"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մարմին»՝ յուրաքանչյուր շահագրգիռ անդամ պետության լիազորված մարմին (փորձագիտական կազմակերպություն):</w:t>
      </w:r>
    </w:p>
    <w:p w14:paraId="5D7841EF"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1.3.</w:t>
      </w:r>
      <w:r>
        <w:rPr>
          <w:rFonts w:ascii="Sylfaen" w:hAnsi="Sylfaen"/>
          <w:sz w:val="24"/>
          <w:szCs w:val="24"/>
        </w:rPr>
        <w:tab/>
      </w:r>
      <w:r w:rsidRPr="003B2786">
        <w:rPr>
          <w:rFonts w:ascii="Sylfaen" w:hAnsi="Sylfaen"/>
          <w:sz w:val="24"/>
          <w:szCs w:val="24"/>
        </w:rPr>
        <w:t>Փոփոխությունների դասակարգումը</w:t>
      </w:r>
    </w:p>
    <w:p w14:paraId="69865F1D"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1.3.1.</w:t>
      </w:r>
      <w:r w:rsidRPr="003B2786">
        <w:rPr>
          <w:rFonts w:ascii="Sylfaen" w:hAnsi="Sylfaen"/>
          <w:sz w:val="24"/>
          <w:szCs w:val="24"/>
        </w:rPr>
        <w:tab/>
        <w:t>Դեղապատրաստուկի գրանցման ընդլայնում չհանդիսացող յուրաքանչյուր փոփոխության նկատմամբ կիրառվում է II լրացման մեջ սահմանված դասակարգումը:</w:t>
      </w:r>
    </w:p>
    <w:p w14:paraId="62FBCDF3"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1.3.2.</w:t>
      </w:r>
      <w:r w:rsidRPr="003B2786">
        <w:rPr>
          <w:rFonts w:ascii="Sylfaen" w:hAnsi="Sylfaen"/>
          <w:sz w:val="24"/>
          <w:szCs w:val="24"/>
        </w:rPr>
        <w:tab/>
        <w:t xml:space="preserve">Այն փոփոխությունը, որը չի հանդիսանում դեղապատրաստուկի գրանցման ընդլայնում, </w:t>
      </w:r>
      <w:r w:rsidR="00C54D75">
        <w:rPr>
          <w:rFonts w:ascii="Sylfaen" w:hAnsi="Sylfaen"/>
          <w:sz w:val="24"/>
          <w:szCs w:val="24"/>
        </w:rPr>
        <w:t>և</w:t>
      </w:r>
      <w:r w:rsidRPr="003B2786">
        <w:rPr>
          <w:rFonts w:ascii="Sylfaen" w:hAnsi="Sylfaen"/>
          <w:sz w:val="24"/>
          <w:szCs w:val="24"/>
        </w:rPr>
        <w:t xml:space="preserve"> որի դասակարգային պատկանելությունը հնարավոր չէ որոշել՝ կիրառելով սույն հավելվածի դրույթները </w:t>
      </w:r>
      <w:r w:rsidR="00C54D75">
        <w:rPr>
          <w:rFonts w:ascii="Sylfaen" w:hAnsi="Sylfaen"/>
          <w:sz w:val="24"/>
          <w:szCs w:val="24"/>
        </w:rPr>
        <w:t>և</w:t>
      </w:r>
      <w:r w:rsidRPr="003B2786">
        <w:rPr>
          <w:rFonts w:ascii="Sylfaen" w:hAnsi="Sylfaen"/>
          <w:sz w:val="24"/>
          <w:szCs w:val="24"/>
        </w:rPr>
        <w:t xml:space="preserve"> հաշվի առնելով 1.5 կետի համաձայն կազմված առաջարկությունները, ինքնաբերաբար հանդես է գալիս որպես IB տիպի փոփոխություն:</w:t>
      </w:r>
    </w:p>
    <w:p w14:paraId="7118CB20"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1.3.3.</w:t>
      </w:r>
      <w:r w:rsidRPr="003B2786">
        <w:rPr>
          <w:rFonts w:ascii="Sylfaen" w:hAnsi="Sylfaen"/>
          <w:sz w:val="24"/>
          <w:szCs w:val="24"/>
        </w:rPr>
        <w:tab/>
        <w:t xml:space="preserve">1.3.2 ենթակետից բացառելու կարգով այն փոփոխությունը, որը չի հանդիսանում դեղապատրաստուկի գրանցման ընդլայնում, </w:t>
      </w:r>
      <w:r w:rsidR="00C54D75">
        <w:rPr>
          <w:rFonts w:ascii="Sylfaen" w:hAnsi="Sylfaen"/>
          <w:sz w:val="24"/>
          <w:szCs w:val="24"/>
        </w:rPr>
        <w:t>և</w:t>
      </w:r>
      <w:r w:rsidRPr="003B2786">
        <w:rPr>
          <w:rFonts w:ascii="Sylfaen" w:hAnsi="Sylfaen"/>
          <w:sz w:val="24"/>
          <w:szCs w:val="24"/>
        </w:rPr>
        <w:t xml:space="preserve"> որի դասակարգային պատկանելությունը հնարավոր չէ որոշել՝ կիրառելով սույն հավելվածով սահմանված կանոնները, հանդես է գալիս որպես II տիպի էական փոփոխություն հետ</w:t>
      </w:r>
      <w:r w:rsidR="00C54D75">
        <w:rPr>
          <w:rFonts w:ascii="Sylfaen" w:hAnsi="Sylfaen"/>
          <w:sz w:val="24"/>
          <w:szCs w:val="24"/>
        </w:rPr>
        <w:t>և</w:t>
      </w:r>
      <w:r w:rsidRPr="003B2786">
        <w:rPr>
          <w:rFonts w:ascii="Sylfaen" w:hAnsi="Sylfaen"/>
          <w:sz w:val="24"/>
          <w:szCs w:val="24"/>
        </w:rPr>
        <w:t>յալ դեպքերում՝</w:t>
      </w:r>
    </w:p>
    <w:p w14:paraId="5F358163" w14:textId="7B06F4C3"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փոփոխություն կատարելու </w:t>
      </w:r>
      <w:r w:rsidR="0056496B">
        <w:rPr>
          <w:rFonts w:ascii="Sylfaen" w:hAnsi="Sylfaen"/>
          <w:sz w:val="24"/>
          <w:szCs w:val="24"/>
        </w:rPr>
        <w:t>դիմում</w:t>
      </w:r>
      <w:r w:rsidRPr="003B2786">
        <w:rPr>
          <w:rFonts w:ascii="Sylfaen" w:hAnsi="Sylfaen"/>
          <w:sz w:val="24"/>
          <w:szCs w:val="24"/>
        </w:rPr>
        <w:t xml:space="preserve"> ներկայացնելիս՝ </w:t>
      </w:r>
      <w:r w:rsidR="0056496B">
        <w:rPr>
          <w:rFonts w:ascii="Sylfaen" w:hAnsi="Sylfaen"/>
          <w:sz w:val="24"/>
          <w:szCs w:val="24"/>
        </w:rPr>
        <w:t>դիմումատու</w:t>
      </w:r>
      <w:r w:rsidRPr="003B2786">
        <w:rPr>
          <w:rFonts w:ascii="Sylfaen" w:hAnsi="Sylfaen"/>
          <w:sz w:val="24"/>
          <w:szCs w:val="24"/>
        </w:rPr>
        <w:t>ի հարցմամբ.</w:t>
      </w:r>
    </w:p>
    <w:p w14:paraId="22B1890F"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եթե ռեֆերենտ պետության լիազորված մարմինը (փորձագիտական կազմակերպությունը) ճանաչման պետությունների լիազորված մարմինների (փորձագիտական կազմակերպությունների) հետ խորհրդակցելուց հետո կամ ռեֆերենտ պետության լիազորված մարմինը (փորձագիտական կազմակերպությունը) դեղապատրաստուկը միայն այդ անդամ պետությունում գրանցելիս համապատասխանաբար 2.2.2 կամ 3.2.2 ենթակետերին համապատասխան </w:t>
      </w:r>
      <w:r w:rsidR="00C54D75">
        <w:rPr>
          <w:rFonts w:ascii="Sylfaen" w:hAnsi="Sylfaen"/>
          <w:sz w:val="24"/>
          <w:szCs w:val="24"/>
        </w:rPr>
        <w:t>և</w:t>
      </w:r>
      <w:r w:rsidRPr="003B2786">
        <w:rPr>
          <w:rFonts w:ascii="Sylfaen" w:hAnsi="Sylfaen"/>
          <w:sz w:val="24"/>
          <w:szCs w:val="24"/>
        </w:rPr>
        <w:t xml:space="preserve"> սույն հավելվածի 1.5 կետը հաշվի առնելով ծանուցումը գնահատելուց հետո ընդունում է որոշում այն մասին, որ փոփոխությունը էական ազդեցություն է ունենում գրանցված դեղապատրաստուկի որակի, անվտանգության կամ արդյունավետության վրա: </w:t>
      </w:r>
    </w:p>
    <w:p w14:paraId="0FE3D2F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1.3.4.</w:t>
      </w:r>
      <w:r w:rsidRPr="003B2786">
        <w:rPr>
          <w:rFonts w:ascii="Sylfaen" w:hAnsi="Sylfaen"/>
          <w:sz w:val="24"/>
          <w:szCs w:val="24"/>
        </w:rPr>
        <w:tab/>
        <w:t>Փոփոխությունների մանրամասն դասակարգումը ներկայացվում է V լրացման մեջ:</w:t>
      </w:r>
    </w:p>
    <w:p w14:paraId="32218216" w14:textId="77777777" w:rsidR="008C76E0" w:rsidRPr="003B2786" w:rsidRDefault="008C76E0" w:rsidP="00593820">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1.4.</w:t>
      </w:r>
      <w:r>
        <w:rPr>
          <w:rFonts w:ascii="Sylfaen" w:hAnsi="Sylfaen"/>
          <w:sz w:val="24"/>
          <w:szCs w:val="24"/>
        </w:rPr>
        <w:tab/>
      </w:r>
      <w:r w:rsidRPr="003B2786">
        <w:rPr>
          <w:rFonts w:ascii="Sylfaen" w:hAnsi="Sylfaen"/>
          <w:sz w:val="24"/>
          <w:szCs w:val="24"/>
        </w:rPr>
        <w:t>Փոփոխություններ կատարելը</w:t>
      </w:r>
    </w:p>
    <w:p w14:paraId="4A88417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1.4.1.</w:t>
      </w:r>
      <w:r w:rsidRPr="003B2786">
        <w:rPr>
          <w:rFonts w:ascii="Sylfaen" w:hAnsi="Sylfaen"/>
          <w:sz w:val="24"/>
          <w:szCs w:val="24"/>
        </w:rPr>
        <w:tab/>
        <w:t>Եվրասիական տնտեսական հանձնաժողովը (այսուհետ՝ Հանձնաժողով) պարտավոր է պարբերաբար փոփոխություններ կատարել սույն հավելվածի մեջ՝ արդի գիտական տվյալներին համապատասխան:</w:t>
      </w:r>
    </w:p>
    <w:p w14:paraId="6845146D"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1.5.</w:t>
      </w:r>
      <w:r w:rsidRPr="003B2786">
        <w:rPr>
          <w:rFonts w:ascii="Sylfaen" w:hAnsi="Sylfaen"/>
          <w:sz w:val="24"/>
          <w:szCs w:val="24"/>
        </w:rPr>
        <w:tab/>
        <w:t>Չդասակարգված փոփոխությունների վերաբերյալ առաջարկություններ</w:t>
      </w:r>
    </w:p>
    <w:p w14:paraId="3D2D8665" w14:textId="040A659B"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1.5.1.</w:t>
      </w:r>
      <w:r w:rsidRPr="003B2786">
        <w:rPr>
          <w:rFonts w:ascii="Sylfaen" w:hAnsi="Sylfaen"/>
          <w:sz w:val="24"/>
          <w:szCs w:val="24"/>
        </w:rPr>
        <w:tab/>
        <w:t xml:space="preserve">Նախքան այնպիսի փոփոխության կատարման </w:t>
      </w:r>
      <w:r w:rsidR="0056496B">
        <w:rPr>
          <w:rFonts w:ascii="Sylfaen" w:hAnsi="Sylfaen"/>
          <w:sz w:val="24"/>
          <w:szCs w:val="24"/>
        </w:rPr>
        <w:t>դիմում</w:t>
      </w:r>
      <w:r w:rsidRPr="003B2786">
        <w:rPr>
          <w:rFonts w:ascii="Sylfaen" w:hAnsi="Sylfaen"/>
          <w:sz w:val="24"/>
          <w:szCs w:val="24"/>
        </w:rPr>
        <w:t xml:space="preserve"> ներկայացնելը, որի դասակարգումը սույն հավելվածում բացակայում է, </w:t>
      </w:r>
      <w:r w:rsidR="0056496B">
        <w:rPr>
          <w:rFonts w:ascii="Sylfaen" w:hAnsi="Sylfaen"/>
          <w:sz w:val="24"/>
          <w:szCs w:val="24"/>
        </w:rPr>
        <w:t>դիմումատու</w:t>
      </w:r>
      <w:r w:rsidRPr="003B2786">
        <w:rPr>
          <w:rFonts w:ascii="Sylfaen" w:hAnsi="Sylfaen"/>
          <w:sz w:val="24"/>
          <w:szCs w:val="24"/>
        </w:rPr>
        <w:t>ն իրավունք ունի ռեֆերենտ պետության լիազորված մարմնից (փորձագիտական կազմակերպությունից) փոփոխության դասակարգման վերաբերյալ առաջարկություն պահանջելու:</w:t>
      </w:r>
    </w:p>
    <w:p w14:paraId="1689A0A5" w14:textId="02006119" w:rsidR="008C76E0" w:rsidRPr="003B2786" w:rsidRDefault="008C76E0" w:rsidP="006817C8">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1.5.2.</w:t>
      </w:r>
      <w:r w:rsidRPr="003B2786">
        <w:rPr>
          <w:rFonts w:ascii="Sylfaen" w:hAnsi="Sylfaen"/>
          <w:sz w:val="24"/>
          <w:szCs w:val="24"/>
        </w:rPr>
        <w:tab/>
        <w:t xml:space="preserve">1.5.1 ենթակետում հիշատակված առաջարկությունը չպետք է հակասի սույն հավելվածին: Անհրաժեշտ է, որ ռեֆերենտ պետության լիազորված մարմինը (փորձագիտական կազմակերպությունը) </w:t>
      </w:r>
      <w:r w:rsidR="0056496B">
        <w:rPr>
          <w:rFonts w:ascii="Sylfaen" w:hAnsi="Sylfaen"/>
          <w:sz w:val="24"/>
          <w:szCs w:val="24"/>
        </w:rPr>
        <w:t>դիմումատու</w:t>
      </w:r>
      <w:r w:rsidRPr="003B2786">
        <w:rPr>
          <w:rFonts w:ascii="Sylfaen" w:hAnsi="Sylfaen"/>
          <w:sz w:val="24"/>
          <w:szCs w:val="24"/>
        </w:rPr>
        <w:t xml:space="preserve">ի կողմից </w:t>
      </w:r>
      <w:r w:rsidR="0056496B">
        <w:rPr>
          <w:rFonts w:ascii="Sylfaen" w:hAnsi="Sylfaen"/>
          <w:sz w:val="24"/>
          <w:szCs w:val="24"/>
        </w:rPr>
        <w:t>դիմում</w:t>
      </w:r>
      <w:r w:rsidRPr="003B2786">
        <w:rPr>
          <w:rFonts w:ascii="Sylfaen" w:hAnsi="Sylfaen"/>
          <w:sz w:val="24"/>
          <w:szCs w:val="24"/>
        </w:rPr>
        <w:t xml:space="preserve">ն ստանալուց հետո՝ 45 օրացուցային օրվա ընթացքում, էլեկտրոնային </w:t>
      </w:r>
      <w:r w:rsidR="00C54D75">
        <w:rPr>
          <w:rFonts w:ascii="Sylfaen" w:hAnsi="Sylfaen"/>
          <w:sz w:val="24"/>
          <w:szCs w:val="24"/>
        </w:rPr>
        <w:t>և</w:t>
      </w:r>
      <w:r w:rsidRPr="003B2786">
        <w:rPr>
          <w:rFonts w:ascii="Sylfaen" w:hAnsi="Sylfaen"/>
          <w:sz w:val="24"/>
          <w:szCs w:val="24"/>
        </w:rPr>
        <w:t xml:space="preserve"> (կամ) թղթային եղանակով առաջարկությունն ուղարկի </w:t>
      </w:r>
      <w:r w:rsidR="0056496B">
        <w:rPr>
          <w:rFonts w:ascii="Sylfaen" w:hAnsi="Sylfaen"/>
          <w:sz w:val="24"/>
          <w:szCs w:val="24"/>
        </w:rPr>
        <w:t>դիմումատու</w:t>
      </w:r>
      <w:r w:rsidRPr="003B2786">
        <w:rPr>
          <w:rFonts w:ascii="Sylfaen" w:hAnsi="Sylfaen"/>
          <w:sz w:val="24"/>
          <w:szCs w:val="24"/>
        </w:rPr>
        <w:t xml:space="preserve">ին, մյուս անդամ պետություններ </w:t>
      </w:r>
      <w:r w:rsidR="00C54D75">
        <w:rPr>
          <w:rFonts w:ascii="Sylfaen" w:hAnsi="Sylfaen"/>
          <w:sz w:val="24"/>
          <w:szCs w:val="24"/>
        </w:rPr>
        <w:t>և</w:t>
      </w:r>
      <w:r w:rsidRPr="003B2786">
        <w:rPr>
          <w:rFonts w:ascii="Sylfaen" w:hAnsi="Sylfaen"/>
          <w:sz w:val="24"/>
          <w:szCs w:val="24"/>
        </w:rPr>
        <w:t xml:space="preserve"> Հանձնաժողովին կից Դեղամիջոցների հարցերով փորձագիտական կոմիտե (այսուհետ՝ Փորձագիտական կոմիտե): Նշված ժամկետը կարող է երկարաձգվել </w:t>
      </w:r>
      <w:r w:rsidR="00C54D75">
        <w:rPr>
          <w:rFonts w:ascii="Sylfaen" w:hAnsi="Sylfaen"/>
          <w:sz w:val="24"/>
          <w:szCs w:val="24"/>
        </w:rPr>
        <w:t>և</w:t>
      </w:r>
      <w:r w:rsidRPr="003B2786">
        <w:rPr>
          <w:rFonts w:ascii="Sylfaen" w:hAnsi="Sylfaen"/>
          <w:sz w:val="24"/>
          <w:szCs w:val="24"/>
        </w:rPr>
        <w:t>ս 45 օրացուցային օրով, եթե ռեֆերենտ պետության լիազորված մարմինը (փորձագիտական կազմակերպությունը) անհրաժեշտ համարի խորհրդակցել Փորձագիտական կոմիտեի հետ:</w:t>
      </w:r>
    </w:p>
    <w:p w14:paraId="38E48626" w14:textId="77777777" w:rsidR="008C76E0" w:rsidRPr="003B2786" w:rsidRDefault="008C76E0" w:rsidP="006817C8">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1.5.3.</w:t>
      </w:r>
      <w:r w:rsidRPr="003B2786">
        <w:rPr>
          <w:rFonts w:ascii="Sylfaen" w:hAnsi="Sylfaen"/>
          <w:sz w:val="24"/>
          <w:szCs w:val="24"/>
        </w:rPr>
        <w:tab/>
        <w:t>Նախքան այն փոփոխության փորձաքննությունը, որի դասակարգումը բացակայում է սույն հավելվածում, շահագրգիռ անդամ պետության լիազորված մարմինը (փորձագիտական կազմակերպությունը) իրավունք ունի Փորձագիտական կոմիտեից այդպիսի փոփոխության վերաբերյալ առաջարկություն պահանջելու:</w:t>
      </w:r>
    </w:p>
    <w:p w14:paraId="31FB4017" w14:textId="1241AB5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1.5.4.</w:t>
      </w:r>
      <w:r w:rsidRPr="003B2786">
        <w:rPr>
          <w:rFonts w:ascii="Sylfaen" w:hAnsi="Sylfaen"/>
          <w:sz w:val="24"/>
          <w:szCs w:val="24"/>
        </w:rPr>
        <w:tab/>
        <w:t xml:space="preserve">1.5.3 կետում հիշատակված առաջարկությունը չպետք է հակասի սույն հավելվածին: Անհրաժեշտ է, որ Փորձագիտական կոմիտեն այն ներկայացնի </w:t>
      </w:r>
      <w:r w:rsidRPr="003B2786">
        <w:rPr>
          <w:rFonts w:ascii="Sylfaen" w:hAnsi="Sylfaen"/>
          <w:sz w:val="24"/>
          <w:szCs w:val="24"/>
        </w:rPr>
        <w:lastRenderedPageBreak/>
        <w:t xml:space="preserve">շահագրգիռ լիազորված մարմնի (փորձագիտական կազմակերպության) կողմից հարցումն ստանալուց հետո՝ 45 օրացուցային օրվա ընթացքում, </w:t>
      </w:r>
      <w:r w:rsidR="00C54D75">
        <w:rPr>
          <w:rFonts w:ascii="Sylfaen" w:hAnsi="Sylfaen"/>
          <w:sz w:val="24"/>
          <w:szCs w:val="24"/>
        </w:rPr>
        <w:t>և</w:t>
      </w:r>
      <w:r w:rsidRPr="003B2786">
        <w:rPr>
          <w:rFonts w:ascii="Sylfaen" w:hAnsi="Sylfaen"/>
          <w:sz w:val="24"/>
          <w:szCs w:val="24"/>
        </w:rPr>
        <w:t xml:space="preserve"> ուղարկի </w:t>
      </w:r>
      <w:r w:rsidR="0056496B">
        <w:rPr>
          <w:rFonts w:ascii="Sylfaen" w:hAnsi="Sylfaen"/>
          <w:sz w:val="24"/>
          <w:szCs w:val="24"/>
        </w:rPr>
        <w:t>դիմումատու</w:t>
      </w:r>
      <w:r w:rsidRPr="003B2786">
        <w:rPr>
          <w:rFonts w:ascii="Sylfaen" w:hAnsi="Sylfaen"/>
          <w:sz w:val="24"/>
          <w:szCs w:val="24"/>
        </w:rPr>
        <w:t>ին ու անդամ պետությունների համապատասխան լիազորված մարմիններ:</w:t>
      </w:r>
    </w:p>
    <w:p w14:paraId="0ED6757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1.5.5.</w:t>
      </w:r>
      <w:r w:rsidRPr="003B2786">
        <w:rPr>
          <w:rFonts w:ascii="Sylfaen" w:hAnsi="Sylfaen"/>
          <w:sz w:val="24"/>
          <w:szCs w:val="24"/>
        </w:rPr>
        <w:tab/>
        <w:t xml:space="preserve">1.5.1 </w:t>
      </w:r>
      <w:r w:rsidR="00C54D75">
        <w:rPr>
          <w:rFonts w:ascii="Sylfaen" w:hAnsi="Sylfaen"/>
          <w:sz w:val="24"/>
          <w:szCs w:val="24"/>
        </w:rPr>
        <w:t>և</w:t>
      </w:r>
      <w:r w:rsidRPr="003B2786">
        <w:rPr>
          <w:rFonts w:ascii="Sylfaen" w:hAnsi="Sylfaen"/>
          <w:sz w:val="24"/>
          <w:szCs w:val="24"/>
        </w:rPr>
        <w:t xml:space="preserve"> 1.5.3 ենթակետերին համապատասխան լիազորված մարմինների (փորձագիտական կազմակերպությունների) </w:t>
      </w:r>
      <w:r w:rsidR="00C54D75">
        <w:rPr>
          <w:rFonts w:ascii="Sylfaen" w:hAnsi="Sylfaen"/>
          <w:sz w:val="24"/>
          <w:szCs w:val="24"/>
        </w:rPr>
        <w:t>և</w:t>
      </w:r>
      <w:r w:rsidRPr="003B2786">
        <w:rPr>
          <w:rFonts w:ascii="Sylfaen" w:hAnsi="Sylfaen"/>
          <w:sz w:val="24"/>
          <w:szCs w:val="24"/>
        </w:rPr>
        <w:t xml:space="preserve"> Փորձագիտական կոմիտեի կողմից պատրաստված առաջարկությունների համաձայնեցումն ապահովելու նպատակով Հանձնաժողովը պետք է այդպիսի առաջարկությունները հրապարակի «Ինտերնետ» տեղեկատվական-հեռահաղորդակցական ցանցում՝ պաշտոնական կայքում՝ նախապես հեռացնելով գաղտնի բնույթ ունեցող բոլոր տեղեկությունները:</w:t>
      </w:r>
    </w:p>
    <w:p w14:paraId="54663305" w14:textId="77777777" w:rsidR="008C76E0" w:rsidRPr="003B2786" w:rsidRDefault="008C76E0" w:rsidP="00593820">
      <w:pPr>
        <w:tabs>
          <w:tab w:val="left" w:pos="1134"/>
        </w:tabs>
        <w:spacing w:after="160" w:line="360" w:lineRule="auto"/>
        <w:ind w:right="566" w:firstLine="567"/>
        <w:jc w:val="both"/>
        <w:rPr>
          <w:rFonts w:ascii="Sylfaen" w:hAnsi="Sylfaen"/>
          <w:sz w:val="24"/>
          <w:szCs w:val="24"/>
        </w:rPr>
      </w:pPr>
      <w:r w:rsidRPr="003B2786">
        <w:rPr>
          <w:rFonts w:ascii="Sylfaen" w:hAnsi="Sylfaen"/>
          <w:sz w:val="24"/>
          <w:szCs w:val="24"/>
        </w:rPr>
        <w:t>1.6.</w:t>
      </w:r>
      <w:r>
        <w:rPr>
          <w:rFonts w:ascii="Sylfaen" w:hAnsi="Sylfaen"/>
          <w:sz w:val="24"/>
          <w:szCs w:val="24"/>
        </w:rPr>
        <w:tab/>
      </w:r>
      <w:r w:rsidRPr="003B2786">
        <w:rPr>
          <w:rFonts w:ascii="Sylfaen" w:hAnsi="Sylfaen"/>
          <w:sz w:val="24"/>
          <w:szCs w:val="24"/>
        </w:rPr>
        <w:t>Փոփոխություններ, որոնք հանգեցնում են դեղապատրաստուկի մասին տեղեկատվության վերանայման</w:t>
      </w:r>
    </w:p>
    <w:p w14:paraId="6FC0354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1.6.1.</w:t>
      </w:r>
      <w:r w:rsidRPr="003B2786">
        <w:rPr>
          <w:rFonts w:ascii="Sylfaen" w:hAnsi="Sylfaen"/>
          <w:sz w:val="24"/>
          <w:szCs w:val="24"/>
        </w:rPr>
        <w:tab/>
        <w:t>Եթե փոփոխությունը հանգեցնում է դեղապատրաստուկի ընդհանուր բնութագրի, մականշվածքի կամ ներդիր թերթիկի, ինչպես նա</w:t>
      </w:r>
      <w:r w:rsidR="00C54D75">
        <w:rPr>
          <w:rFonts w:ascii="Sylfaen" w:hAnsi="Sylfaen"/>
          <w:sz w:val="24"/>
          <w:szCs w:val="24"/>
        </w:rPr>
        <w:t>և</w:t>
      </w:r>
      <w:r w:rsidRPr="003B2786">
        <w:rPr>
          <w:rFonts w:ascii="Sylfaen" w:hAnsi="Sylfaen"/>
          <w:sz w:val="24"/>
          <w:szCs w:val="24"/>
        </w:rPr>
        <w:t xml:space="preserve"> որակի նորմատիվ փաստաթղթի վերանայման կամ դեղապատրաստուկի գրանցման հավաստագրի մեջ տեղեկատվության փոփոխության, ապա այդպիսի վերանայումը համարվում է այդ փոփոխության մաս:</w:t>
      </w:r>
    </w:p>
    <w:p w14:paraId="3BC81B24" w14:textId="77777777"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1.7.</w:t>
      </w:r>
      <w:r>
        <w:rPr>
          <w:rFonts w:ascii="Sylfaen" w:hAnsi="Sylfaen"/>
          <w:sz w:val="24"/>
          <w:szCs w:val="24"/>
        </w:rPr>
        <w:tab/>
      </w:r>
      <w:r w:rsidRPr="003B2786">
        <w:rPr>
          <w:rFonts w:ascii="Sylfaen" w:hAnsi="Sylfaen"/>
          <w:sz w:val="24"/>
          <w:szCs w:val="24"/>
        </w:rPr>
        <w:t>Փոփոխությունների խմբավորումը</w:t>
      </w:r>
    </w:p>
    <w:p w14:paraId="06C5F8CB" w14:textId="4B02CC5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1.7.1.</w:t>
      </w:r>
      <w:r w:rsidRPr="003B2786">
        <w:rPr>
          <w:rFonts w:ascii="Sylfaen" w:hAnsi="Sylfaen"/>
          <w:sz w:val="24"/>
          <w:szCs w:val="24"/>
        </w:rPr>
        <w:tab/>
        <w:t xml:space="preserve">Մի քանի փոփոխությունների մասին ծանուցելու կամ փոփոխություններ կատարելու մի քանի </w:t>
      </w:r>
      <w:r w:rsidR="009F5829">
        <w:rPr>
          <w:rFonts w:ascii="Sylfaen" w:hAnsi="Sylfaen"/>
          <w:sz w:val="24"/>
          <w:szCs w:val="24"/>
        </w:rPr>
        <w:t>դիմումներ</w:t>
      </w:r>
      <w:r w:rsidRPr="003B2786">
        <w:rPr>
          <w:rFonts w:ascii="Sylfaen" w:hAnsi="Sylfaen"/>
          <w:sz w:val="24"/>
          <w:szCs w:val="24"/>
        </w:rPr>
        <w:t xml:space="preserve"> ներկայացնելու դեպքում համապատասխանաբար սույն հավելվածի II բաժնին կամ 4.1.1 ենթակետին համապատասխան յուրաքանչյուր փոփոխության առնչությամբ անհրաժեշտ է ներկայացնել առանձին ծանուցում կամ բժշկական կիրառման գրանցված դեղապատրաստուկի գրանցման դոսյեի մեջ փոփոխություններ կատարելու դոսյե (այսուհետ՝ փոփոխության դոսյե):</w:t>
      </w:r>
    </w:p>
    <w:p w14:paraId="73E6268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1.7.2.</w:t>
      </w:r>
      <w:r w:rsidRPr="003B2786">
        <w:rPr>
          <w:rFonts w:ascii="Sylfaen" w:hAnsi="Sylfaen"/>
          <w:sz w:val="24"/>
          <w:szCs w:val="24"/>
        </w:rPr>
        <w:tab/>
        <w:t xml:space="preserve">Սույն հավելվածի 1.7.1 ենթակետից բացառելու կարգով կիրառվում </w:t>
      </w:r>
      <w:r w:rsidRPr="003B2786">
        <w:rPr>
          <w:rFonts w:ascii="Sylfaen" w:hAnsi="Sylfaen"/>
          <w:sz w:val="24"/>
          <w:szCs w:val="24"/>
        </w:rPr>
        <w:lastRenderedPageBreak/>
        <w:t>են հետ</w:t>
      </w:r>
      <w:r w:rsidR="00C54D75">
        <w:rPr>
          <w:rFonts w:ascii="Sylfaen" w:hAnsi="Sylfaen"/>
          <w:sz w:val="24"/>
          <w:szCs w:val="24"/>
        </w:rPr>
        <w:t>և</w:t>
      </w:r>
      <w:r w:rsidRPr="003B2786">
        <w:rPr>
          <w:rFonts w:ascii="Sylfaen" w:hAnsi="Sylfaen"/>
          <w:sz w:val="24"/>
          <w:szCs w:val="24"/>
        </w:rPr>
        <w:t>յալ կանոնները՝</w:t>
      </w:r>
    </w:p>
    <w:p w14:paraId="5F605438" w14:textId="1618AEC3"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մեկ կամ ավելի այն դեղապատրաստուկների գրանցման պայմանների՝ IA տիպի միանման ոչ էական փոփոխությունների մասին միաժամանակ ծանուցելու դեպքում, որոնց իրավատերը մի</w:t>
      </w:r>
      <w:r w:rsidR="00C54D75">
        <w:rPr>
          <w:rFonts w:ascii="Sylfaen" w:hAnsi="Sylfaen"/>
          <w:sz w:val="24"/>
          <w:szCs w:val="24"/>
        </w:rPr>
        <w:t>և</w:t>
      </w:r>
      <w:r w:rsidRPr="003B2786">
        <w:rPr>
          <w:rFonts w:ascii="Sylfaen" w:hAnsi="Sylfaen"/>
          <w:sz w:val="24"/>
          <w:szCs w:val="24"/>
        </w:rPr>
        <w:t>նույն կազմակերպությունն է, թույլատրվում է բոլոր այդպիսի փոփոխությունները ներառել սույն հավելվածի 2.1 կետում կամ 3.1 կետում նշված՝ փոփոխությունների կատարման մասին ծանուցման (</w:t>
      </w:r>
      <w:r w:rsidR="0056496B">
        <w:rPr>
          <w:rFonts w:ascii="Sylfaen" w:hAnsi="Sylfaen"/>
          <w:sz w:val="24"/>
          <w:szCs w:val="24"/>
        </w:rPr>
        <w:t>դիմում</w:t>
      </w:r>
      <w:r w:rsidRPr="003B2786">
        <w:rPr>
          <w:rFonts w:ascii="Sylfaen" w:hAnsi="Sylfaen"/>
          <w:sz w:val="24"/>
          <w:szCs w:val="24"/>
        </w:rPr>
        <w:t>ի) մեջ.</w:t>
      </w:r>
    </w:p>
    <w:p w14:paraId="0D8BC017" w14:textId="77777777"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փոփոխությունների մասին միաժամանակ ծանուցելու դեպքում թույլատրվում է բոլոր այդպիսի փոփոխությունները ներառել փոփոխությունների կատարման մասին 1 ծանուցման մեջ (կից ներկայացնելով համապատասխան փաստաթղթերը), եթե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տարածվում է բոլոր դիտարկվող փոփոխությունների վրա.</w:t>
      </w:r>
    </w:p>
    <w:p w14:paraId="4554DA5E" w14:textId="77777777"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այն փոփոխությունների մասին միաժամանակ ծանուցելու դեպքում, որոնց վրա չի տարածվում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թույլատրվում է բոլոր այդպիսի փոփոխությունները ներառել 1 ծանուցման մեջ (կից ներկայացնելով համապատասխան փաստաթղթերը), եթե ճանաչման շահագրգիռ պետությունների լիազորված մարմինների (փորձագիտական կազմակերպությունների) հետ խորհրդակցելուց հետո (անհրաժեշտության դեպքում) ռեֆերենտ պետության լիազորված մարմինը (փորձագիտական կազմակերպությունը) այդպիսի ծանուցմանը համաձայնություն է տալիս:</w:t>
      </w:r>
    </w:p>
    <w:p w14:paraId="634A21D6"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1.7.3.</w:t>
      </w:r>
      <w:r w:rsidRPr="003B2786">
        <w:rPr>
          <w:rFonts w:ascii="Sylfaen" w:hAnsi="Sylfaen"/>
          <w:sz w:val="24"/>
          <w:szCs w:val="24"/>
        </w:rPr>
        <w:tab/>
        <w:t xml:space="preserve">Սույն հավելվածի 1.7.2 ենթակետի երրորդ </w:t>
      </w:r>
      <w:r w:rsidR="00C54D75">
        <w:rPr>
          <w:rFonts w:ascii="Sylfaen" w:hAnsi="Sylfaen"/>
          <w:sz w:val="24"/>
          <w:szCs w:val="24"/>
        </w:rPr>
        <w:t>և</w:t>
      </w:r>
      <w:r w:rsidRPr="003B2786">
        <w:rPr>
          <w:rFonts w:ascii="Sylfaen" w:hAnsi="Sylfaen"/>
          <w:sz w:val="24"/>
          <w:szCs w:val="24"/>
        </w:rPr>
        <w:t xml:space="preserve"> չորրոդ պարբերություններում նշված ծանուցումը (կից ներկայացնելով համապատասխան փաստաթղթերը) պետք է կատարվի հետ</w:t>
      </w:r>
      <w:r w:rsidR="00C54D75">
        <w:rPr>
          <w:rFonts w:ascii="Sylfaen" w:hAnsi="Sylfaen"/>
          <w:sz w:val="24"/>
          <w:szCs w:val="24"/>
        </w:rPr>
        <w:t>և</w:t>
      </w:r>
      <w:r w:rsidRPr="003B2786">
        <w:rPr>
          <w:rFonts w:ascii="Sylfaen" w:hAnsi="Sylfaen"/>
          <w:sz w:val="24"/>
          <w:szCs w:val="24"/>
        </w:rPr>
        <w:t xml:space="preserve">յալ եղանակով՝ սույն հավելվածի 2.2 կետին համապատասխան փոփոխությունների կատարման մասին միասնական ծանուցում, եթե փոփոխություններից առնվազն մեկը IB տիպի ոչ էական փոփոխություն է, </w:t>
      </w:r>
      <w:r w:rsidR="00C54D75">
        <w:rPr>
          <w:rFonts w:ascii="Sylfaen" w:hAnsi="Sylfaen"/>
          <w:sz w:val="24"/>
          <w:szCs w:val="24"/>
        </w:rPr>
        <w:t>և</w:t>
      </w:r>
      <w:r w:rsidRPr="003B2786">
        <w:rPr>
          <w:rFonts w:ascii="Sylfaen" w:hAnsi="Sylfaen"/>
          <w:sz w:val="24"/>
          <w:szCs w:val="24"/>
        </w:rPr>
        <w:t xml:space="preserve"> բոլոր փոփոխությունները ոչ էական են. </w:t>
      </w:r>
    </w:p>
    <w:p w14:paraId="2E00F8D8" w14:textId="1843374E"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2.3 կետին համապատասխան փոփոխությունների </w:t>
      </w:r>
      <w:r w:rsidRPr="003B2786">
        <w:rPr>
          <w:rFonts w:ascii="Sylfaen" w:hAnsi="Sylfaen"/>
          <w:sz w:val="24"/>
          <w:szCs w:val="24"/>
        </w:rPr>
        <w:lastRenderedPageBreak/>
        <w:t xml:space="preserve">կատարման միասնական </w:t>
      </w:r>
      <w:r w:rsidR="0056496B">
        <w:rPr>
          <w:rFonts w:ascii="Sylfaen" w:hAnsi="Sylfaen"/>
          <w:sz w:val="24"/>
          <w:szCs w:val="24"/>
        </w:rPr>
        <w:t>դիմում</w:t>
      </w:r>
      <w:r w:rsidRPr="003B2786">
        <w:rPr>
          <w:rFonts w:ascii="Sylfaen" w:hAnsi="Sylfaen"/>
          <w:sz w:val="24"/>
          <w:szCs w:val="24"/>
        </w:rPr>
        <w:t xml:space="preserve">, եթե փոփոխություններից առնվազն մեկը II տիպի էական փոփոխություն է, </w:t>
      </w:r>
      <w:r w:rsidR="00C54D75">
        <w:rPr>
          <w:rFonts w:ascii="Sylfaen" w:hAnsi="Sylfaen"/>
          <w:sz w:val="24"/>
          <w:szCs w:val="24"/>
        </w:rPr>
        <w:t>և</w:t>
      </w:r>
      <w:r w:rsidRPr="003B2786">
        <w:rPr>
          <w:rFonts w:ascii="Sylfaen" w:hAnsi="Sylfaen"/>
          <w:sz w:val="24"/>
          <w:szCs w:val="24"/>
        </w:rPr>
        <w:t xml:space="preserve"> փոփոխություններից ոչ մեկը հանդես չի գալիս որպես գրանցման ընդլայնում.</w:t>
      </w:r>
    </w:p>
    <w:p w14:paraId="765731BC" w14:textId="4862D47E"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4.1.1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եթե փոփոխություններից առնվազն մեկը հանդես է գալիս որպես գրանցման ընդլայնում:</w:t>
      </w:r>
    </w:p>
    <w:p w14:paraId="0A1BED24" w14:textId="77777777" w:rsidR="008C76E0" w:rsidRPr="003B2786" w:rsidRDefault="008C76E0" w:rsidP="00593820">
      <w:pPr>
        <w:spacing w:after="160" w:line="360" w:lineRule="auto"/>
        <w:ind w:right="-1" w:firstLine="567"/>
        <w:jc w:val="both"/>
        <w:outlineLvl w:val="0"/>
        <w:rPr>
          <w:rFonts w:ascii="Sylfaen" w:hAnsi="Sylfaen"/>
          <w:sz w:val="24"/>
          <w:szCs w:val="24"/>
        </w:rPr>
      </w:pPr>
    </w:p>
    <w:p w14:paraId="6C652AA8" w14:textId="77777777" w:rsidR="008C76E0" w:rsidRPr="003B2786" w:rsidRDefault="008C76E0" w:rsidP="00593820">
      <w:pPr>
        <w:spacing w:after="160" w:line="360" w:lineRule="auto"/>
        <w:ind w:left="567" w:right="849"/>
        <w:jc w:val="center"/>
        <w:outlineLvl w:val="0"/>
        <w:rPr>
          <w:rFonts w:ascii="Sylfaen" w:hAnsi="Sylfaen"/>
          <w:sz w:val="24"/>
          <w:szCs w:val="24"/>
        </w:rPr>
      </w:pPr>
      <w:r w:rsidRPr="003B2786">
        <w:rPr>
          <w:rFonts w:ascii="Sylfaen" w:hAnsi="Sylfaen"/>
          <w:sz w:val="24"/>
          <w:szCs w:val="24"/>
        </w:rPr>
        <w:t xml:space="preserve">II. Մեկից ավելի անդամ պետություններում գրանցված դեղապատրաստուկների գրանցման դոսյեի մեջ </w:t>
      </w:r>
      <w:r w:rsidRPr="003B2786">
        <w:rPr>
          <w:rFonts w:ascii="Sylfaen" w:hAnsi="Sylfaen"/>
          <w:sz w:val="24"/>
          <w:szCs w:val="24"/>
        </w:rPr>
        <w:br/>
        <w:t>փոփոխություններ կատարելը</w:t>
      </w:r>
    </w:p>
    <w:p w14:paraId="00227229" w14:textId="77777777" w:rsidR="008C76E0" w:rsidRPr="003B2786" w:rsidRDefault="008C76E0" w:rsidP="00593820">
      <w:pPr>
        <w:spacing w:after="160" w:line="360" w:lineRule="auto"/>
        <w:ind w:right="-1" w:firstLine="567"/>
        <w:jc w:val="center"/>
        <w:outlineLvl w:val="0"/>
        <w:rPr>
          <w:rFonts w:ascii="Sylfaen" w:hAnsi="Sylfaen"/>
          <w:sz w:val="24"/>
          <w:szCs w:val="24"/>
        </w:rPr>
      </w:pPr>
    </w:p>
    <w:p w14:paraId="44823D93"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2.1. IA տիպի ոչ էական փոփոխություններ կատարելու մասին ծանուցման ընթացակարգը</w:t>
      </w:r>
    </w:p>
    <w:p w14:paraId="53811076" w14:textId="220E4CC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w:t>
      </w:r>
      <w:r w:rsidRPr="003B2786">
        <w:rPr>
          <w:rFonts w:ascii="Sylfaen" w:hAnsi="Sylfaen"/>
          <w:sz w:val="24"/>
          <w:szCs w:val="24"/>
        </w:rPr>
        <w:tab/>
        <w:t xml:space="preserve">IA տիպի ոչ էական փոփոխություն կատարելու դեպքում </w:t>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պետությունների օրենսդրությանը համապատասխան սահմանված դեպքերում </w:t>
      </w:r>
      <w:r w:rsidR="00C54D75">
        <w:rPr>
          <w:rFonts w:ascii="Sylfaen" w:hAnsi="Sylfaen"/>
          <w:sz w:val="24"/>
          <w:szCs w:val="24"/>
        </w:rPr>
        <w:t>և</w:t>
      </w:r>
      <w:r w:rsidRPr="003B2786">
        <w:rPr>
          <w:rFonts w:ascii="Sylfaen" w:hAnsi="Sylfaen"/>
          <w:sz w:val="24"/>
          <w:szCs w:val="24"/>
        </w:rPr>
        <w:t xml:space="preserve"> կարգով:</w:t>
      </w:r>
    </w:p>
    <w:p w14:paraId="196161DA" w14:textId="4F6746E7"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ռեֆերենտ պետության լիազորված մարմին (փորձագիտական կազմակերպություն) է ներկայացնում փոփոխության՝ IV լրացման մեջ թվարկված տարրերը պարունակող դոսյեն (ծանուցումը): Այդպիսի ծանուցումն անհրաժեշտ է ներկայացնել փոփոխությունների իրագործման օրվանից 365 օրացուցային օրվա (12 ամսվա) ընթացքում՝ բացառությամբ սույն հավելվածի 1.6 կետին համապատասխան դեղապատրաստուկի մասին տեղեկատվության վերանայման </w:t>
      </w:r>
      <w:r w:rsidR="008C76E0" w:rsidRPr="003B2786">
        <w:rPr>
          <w:rFonts w:ascii="Sylfaen" w:hAnsi="Sylfaen"/>
          <w:sz w:val="24"/>
          <w:szCs w:val="24"/>
        </w:rPr>
        <w:lastRenderedPageBreak/>
        <w:t xml:space="preserve">հանգեցնող փոփոխությունների, որոնց առնչությամբ համապատասխան </w:t>
      </w:r>
      <w:r>
        <w:rPr>
          <w:rFonts w:ascii="Sylfaen" w:hAnsi="Sylfaen"/>
          <w:sz w:val="24"/>
          <w:szCs w:val="24"/>
        </w:rPr>
        <w:t>դիմում</w:t>
      </w:r>
      <w:r w:rsidR="008C76E0" w:rsidRPr="003B2786">
        <w:rPr>
          <w:rFonts w:ascii="Sylfaen" w:hAnsi="Sylfaen"/>
          <w:sz w:val="24"/>
          <w:szCs w:val="24"/>
        </w:rPr>
        <w:t>ն անհրաժեշտ է ներկայացնել նախքան փոփոխության իրագործումը:</w:t>
      </w:r>
    </w:p>
    <w:p w14:paraId="47F399A6"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w:t>
      </w:r>
      <w:r w:rsidRPr="003B2786">
        <w:rPr>
          <w:rFonts w:ascii="Sylfaen" w:hAnsi="Sylfaen"/>
          <w:sz w:val="24"/>
          <w:szCs w:val="24"/>
        </w:rPr>
        <w:tab/>
        <w:t>Դիտարկվող դեղապատրաստուկը անընդհատ հսկելու նպատակով անհապաղ ծանուցում պահանջող ոչ էական փոփոխությունների առնչությամբ ծանուցումն անհրաժեշտ է ներկայացնել փոփոխությունն իրագործելուց անմիջապես հետո:</w:t>
      </w:r>
    </w:p>
    <w:p w14:paraId="675A4AA5" w14:textId="566625B3"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2.1.3.</w:t>
      </w:r>
      <w:r w:rsidRPr="003B2786">
        <w:rPr>
          <w:rFonts w:ascii="Sylfaen" w:hAnsi="Sylfaen"/>
          <w:sz w:val="24"/>
          <w:szCs w:val="24"/>
        </w:rPr>
        <w:tab/>
        <w:t xml:space="preserve">Ռեֆերենտ պետության լիազորված մարմինը (փորձագիտական կազմակերպությունը) ճանաչման պետությունների համար ինտեգրված համակարգի միջոցով ապահովում է փոփոխության դոսյեի (ծանուցման)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ը ներկայացնելու օրվանից 5 աշխատանքային օրվա ընթացքում:</w:t>
      </w:r>
    </w:p>
    <w:p w14:paraId="0DEE97E0"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Ծանուցումն ստանալու օրվանից 30 օրացուցային օրվա ընթացքում համապատասխան մարմինները պետք է ձեռնարկեն սույն հավելվածի 2.4 կետում նշված միջոցները:</w:t>
      </w:r>
    </w:p>
    <w:p w14:paraId="1545307D" w14:textId="11CAF06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կետին համապատասխան փոփոխությունները հանգեցնում են դեղապատրաստուկի մասին տեղեկատվության վերանայման, համապատասխան լիազորված մարմինները,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2.1.3 ենթակետում նշված ժամկետից ոչ ուշ, քան 10 աշխատանքային օրվա ընթացքում փոփոխությունների կատարման մասին տեղեկությունները տեղադրում են Միության գրանցված դեղամիջոցների միասնական ռեեստրում (այսուհետ՝ միասնական ռեեստր)՝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ին են տրամադրում դեղապատրաստուկի փոփոխված ընդհանուր բնութագիրը, բժշկական կիրառման հրահանգը, փաթեթվածքների մանրակերտերը, </w:t>
      </w:r>
      <w:r w:rsidRPr="003B2786">
        <w:rPr>
          <w:rFonts w:ascii="Sylfaen" w:hAnsi="Sylfaen"/>
          <w:sz w:val="24"/>
          <w:szCs w:val="24"/>
        </w:rPr>
        <w:lastRenderedPageBreak/>
        <w:t>որակի նորմատիվ փաստաթուղթը, գրանցման հավաստագիրը (անհրաժեշտության դեպքում):</w:t>
      </w:r>
    </w:p>
    <w:p w14:paraId="1A61E329" w14:textId="63E44DC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կետի առաջին, երկրորդ </w:t>
      </w:r>
      <w:r w:rsidR="00C54D75">
        <w:rPr>
          <w:rFonts w:ascii="Sylfaen" w:hAnsi="Sylfaen"/>
          <w:sz w:val="24"/>
          <w:szCs w:val="24"/>
        </w:rPr>
        <w:t>և</w:t>
      </w:r>
      <w:r w:rsidRPr="003B2786">
        <w:rPr>
          <w:rFonts w:ascii="Sylfaen" w:hAnsi="Sylfaen"/>
          <w:sz w:val="24"/>
          <w:szCs w:val="24"/>
        </w:rPr>
        <w:t xml:space="preserve"> երրորդ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385454C4" w14:textId="77777777" w:rsidR="008C76E0" w:rsidRPr="003B2786" w:rsidRDefault="008C76E0" w:rsidP="00593820">
      <w:pPr>
        <w:spacing w:after="160" w:line="360" w:lineRule="auto"/>
        <w:ind w:right="-1" w:firstLine="567"/>
        <w:jc w:val="both"/>
        <w:rPr>
          <w:rFonts w:ascii="Sylfaen" w:hAnsi="Sylfaen"/>
          <w:sz w:val="24"/>
          <w:szCs w:val="24"/>
        </w:rPr>
      </w:pPr>
    </w:p>
    <w:p w14:paraId="1644B7E0"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2.2. IB տիպի ոչ էական փոփոխությունների մասին </w:t>
      </w:r>
      <w:r w:rsidRPr="003B2786">
        <w:rPr>
          <w:rFonts w:ascii="Sylfaen" w:hAnsi="Sylfaen"/>
          <w:sz w:val="24"/>
          <w:szCs w:val="24"/>
        </w:rPr>
        <w:br/>
        <w:t>ծանուցման ընթացակարգը</w:t>
      </w:r>
    </w:p>
    <w:p w14:paraId="654EC997" w14:textId="3AE22E70"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լիազորված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Կանոնների թիվ 2 հավելվածին համապատասխան, կամ փոփոխությունների կատարման դիմաց վճարի (տուրքի) վճարումը հաստատող փաստաթղթերը՝ անդամ պետությունների օրենսդրությանը համապատասխան սահմանված դեպքերում </w:t>
      </w:r>
      <w:r w:rsidR="00C54D75">
        <w:rPr>
          <w:rFonts w:ascii="Sylfaen" w:hAnsi="Sylfaen"/>
          <w:sz w:val="24"/>
          <w:szCs w:val="24"/>
        </w:rPr>
        <w:t>և</w:t>
      </w:r>
      <w:r w:rsidRPr="003B2786">
        <w:rPr>
          <w:rFonts w:ascii="Sylfaen" w:hAnsi="Sylfaen"/>
          <w:sz w:val="24"/>
          <w:szCs w:val="24"/>
        </w:rPr>
        <w:t xml:space="preserve"> կարգով:</w:t>
      </w:r>
    </w:p>
    <w:p w14:paraId="1A988F0F" w14:textId="001C0206"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ն ռեֆերենտ պետության լիազորված մարմին (փորձագիտական կազմակերպություն) է ներկայացնում փոփոխության՝ IV լրացման մեջ թվարկված տարրերը պարունակող դոսյեն (ծանուցումը):</w:t>
      </w:r>
    </w:p>
    <w:p w14:paraId="69B4E6D2" w14:textId="60F0AD95"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2.2.2.</w:t>
      </w:r>
      <w:r w:rsidRPr="003B2786">
        <w:rPr>
          <w:rFonts w:ascii="Sylfaen" w:hAnsi="Sylfaen"/>
          <w:sz w:val="24"/>
          <w:szCs w:val="24"/>
        </w:rPr>
        <w:tab/>
        <w:t xml:space="preserve">Ռեֆերենտ պետության լիազորված մարմինը (փորձագիտական կազմակերպությունը) ճանաչման պետությունների համապատասխան մարմինների համար ապահովում է փոփոխությունների կատարման դոսյեի (ծանուցման)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 xml:space="preserve">ը ներկայացնելու օրվանից 5 աշխատանքային օրվա ընթացքում՝ օգտագործելով Միության Արտաքին </w:t>
      </w:r>
      <w:r w:rsidR="00C54D75">
        <w:rPr>
          <w:rFonts w:ascii="Sylfaen" w:hAnsi="Sylfaen"/>
          <w:sz w:val="24"/>
          <w:szCs w:val="24"/>
        </w:rPr>
        <w:lastRenderedPageBreak/>
        <w:t>և</w:t>
      </w:r>
      <w:r w:rsidRPr="003B2786">
        <w:rPr>
          <w:rFonts w:ascii="Sylfaen" w:hAnsi="Sylfaen"/>
          <w:sz w:val="24"/>
          <w:szCs w:val="24"/>
        </w:rPr>
        <w:t xml:space="preserve"> փոխադարձ առ</w:t>
      </w:r>
      <w:r w:rsidR="00C54D75">
        <w:rPr>
          <w:rFonts w:ascii="Sylfaen" w:hAnsi="Sylfaen"/>
          <w:sz w:val="24"/>
          <w:szCs w:val="24"/>
        </w:rPr>
        <w:t>և</w:t>
      </w:r>
      <w:r w:rsidRPr="003B2786">
        <w:rPr>
          <w:rFonts w:ascii="Sylfaen" w:hAnsi="Sylfaen"/>
          <w:sz w:val="24"/>
          <w:szCs w:val="24"/>
        </w:rPr>
        <w:t>տրի ինտեգրված տեղեկատվական համակարգի (այսուհետ՝ ինտեգրված համակարգ) միջոցները:</w:t>
      </w:r>
    </w:p>
    <w:p w14:paraId="5C080537"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Եթե ծանուցումը բավարարում է սույն հավելվածի 2.2.1 ենթակետով սահմանված պահանջները, ապա </w:t>
      </w:r>
      <w:r w:rsidRPr="003B2786">
        <w:rPr>
          <w:rFonts w:ascii="Sylfaen" w:hAnsi="Sylfaen"/>
          <w:sz w:val="24"/>
          <w:szCs w:val="24"/>
        </w:rPr>
        <w:t>ռեֆերենտ</w:t>
      </w:r>
      <w:r w:rsidRPr="003B2786">
        <w:rPr>
          <w:rFonts w:ascii="Sylfaen" w:hAnsi="Sylfaen"/>
          <w:spacing w:val="-4"/>
          <w:sz w:val="24"/>
          <w:szCs w:val="24"/>
        </w:rPr>
        <w:t xml:space="preserve"> պետության լիազորված մարմինը (փորձագիտական կազմակերպությունը) 30 օրացուցային օրվա ընթացքում հաստատում է վավեր ծանուցման ստացումը՝ անհրաժեշտության դեպքում խորհրդակցելով ճանաչման պետությունների համապատասխան մարմինների հետ:</w:t>
      </w:r>
    </w:p>
    <w:p w14:paraId="3ABD03A5" w14:textId="35D99EF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2.2.3.</w:t>
      </w:r>
      <w:r w:rsidRPr="003B2786">
        <w:rPr>
          <w:rFonts w:ascii="Sylfaen" w:hAnsi="Sylfaen"/>
          <w:sz w:val="24"/>
          <w:szCs w:val="24"/>
        </w:rPr>
        <w:tab/>
        <w:t xml:space="preserve">Եթե ծանուցումն ստանալու օրվանից 30 օրացուցային oրվա ընթացքում ռեֆերենտ պետության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3B2786">
        <w:rPr>
          <w:rFonts w:ascii="Sylfaen" w:hAnsi="Sylfaen"/>
          <w:sz w:val="24"/>
          <w:szCs w:val="24"/>
        </w:rPr>
        <w:t xml:space="preserve">ին չի ուղարկում ծանուցումն ընդունելու </w:t>
      </w:r>
      <w:r w:rsidR="00C54D75">
        <w:rPr>
          <w:rFonts w:ascii="Sylfaen" w:hAnsi="Sylfaen"/>
          <w:sz w:val="24"/>
          <w:szCs w:val="24"/>
        </w:rPr>
        <w:t>և</w:t>
      </w:r>
      <w:r w:rsidRPr="003B2786">
        <w:rPr>
          <w:rFonts w:ascii="Sylfaen" w:hAnsi="Sylfaen"/>
          <w:sz w:val="24"/>
          <w:szCs w:val="24"/>
        </w:rPr>
        <w:t xml:space="preserve"> գրանցման դոսյեի մեջ տվյալ փոփոխությունը կատարելու անհնարինության մասին եզրակացությունները, ապա ծանուցումը ճանաչվում է բոլոր համապատասխան մարմինների կողմից ընդունված (հաստատված):</w:t>
      </w:r>
    </w:p>
    <w:p w14:paraId="0041A3AB"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2.2.4.</w:t>
      </w:r>
      <w:r w:rsidRPr="003B2786">
        <w:rPr>
          <w:rFonts w:ascii="Sylfaen" w:hAnsi="Sylfaen"/>
          <w:spacing w:val="-4"/>
          <w:sz w:val="24"/>
          <w:szCs w:val="24"/>
        </w:rPr>
        <w:tab/>
        <w:t xml:space="preserve">Եթե </w:t>
      </w:r>
      <w:r w:rsidRPr="003B2786">
        <w:rPr>
          <w:rFonts w:ascii="Sylfaen" w:hAnsi="Sylfaen"/>
          <w:sz w:val="24"/>
          <w:szCs w:val="24"/>
        </w:rPr>
        <w:t>ռեֆերենտ</w:t>
      </w:r>
      <w:r w:rsidRPr="003B2786">
        <w:rPr>
          <w:rFonts w:ascii="Sylfaen" w:hAnsi="Sylfaen"/>
          <w:spacing w:val="-4"/>
          <w:sz w:val="24"/>
          <w:szCs w:val="24"/>
        </w:rPr>
        <w:t xml:space="preserve"> պետության լիազորված մարմինը (փորձագիտական կազմակերպությունը) ընդունում է ծանուցումը հաստատելու (ընդունելու) մասին դրական որոշում, ապա </w:t>
      </w:r>
      <w:r w:rsidRPr="003B2786">
        <w:rPr>
          <w:rFonts w:ascii="Sylfaen" w:hAnsi="Sylfaen"/>
          <w:sz w:val="24"/>
          <w:szCs w:val="24"/>
        </w:rPr>
        <w:t>ռեֆերենտ</w:t>
      </w:r>
      <w:r w:rsidRPr="003B2786" w:rsidDel="00CC7E6B">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ձեռնարկում է սույն հավելվածի 2.4 կետում նշված միջոցները:</w:t>
      </w:r>
    </w:p>
    <w:p w14:paraId="7130789D" w14:textId="4C484F9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համապատասխան լիազորված մարմինները (փորձագիտական կազմակերպությունները),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2.2.3 ենթակետում նշված ժամկետից ոչ ուշ, քան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w:t>
      </w:r>
      <w:r w:rsidRPr="003B2786">
        <w:rPr>
          <w:rFonts w:ascii="Sylfaen" w:hAnsi="Sylfaen"/>
          <w:sz w:val="24"/>
          <w:szCs w:val="24"/>
        </w:rPr>
        <w:lastRenderedPageBreak/>
        <w:t>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6B90004B" w14:textId="7A58859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2.2.3-2.2.4 ենթակետերում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0E681CA2" w14:textId="0B46918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2.2.5.</w:t>
      </w:r>
      <w:r w:rsidRPr="003B2786">
        <w:rPr>
          <w:rFonts w:ascii="Sylfaen" w:hAnsi="Sylfaen"/>
          <w:sz w:val="24"/>
          <w:szCs w:val="24"/>
        </w:rPr>
        <w:tab/>
        <w:t>Եթե 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եզրակացության համաձայն փոփոխությունների կատարման մասին </w:t>
      </w:r>
      <w:r w:rsidR="0056496B">
        <w:rPr>
          <w:rFonts w:ascii="Sylfaen" w:hAnsi="Sylfaen"/>
          <w:sz w:val="24"/>
          <w:szCs w:val="24"/>
        </w:rPr>
        <w:t>դիմումատու</w:t>
      </w:r>
      <w:r w:rsidRPr="003B2786">
        <w:rPr>
          <w:rFonts w:ascii="Sylfaen" w:hAnsi="Sylfaen"/>
          <w:sz w:val="24"/>
          <w:szCs w:val="24"/>
        </w:rPr>
        <w:t>ի ծանուցումը չի կարող ընդունվել (հաստատվել), ապա 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սույն հավելվածի 2.2.3 ենթակետի համաձայն, պետք է էլեկտրոնային կամ թղթային եղանակով այդ մասին ծանուցի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 նշելով բացասական եզրակացության հիմքերը:</w:t>
      </w:r>
    </w:p>
    <w:p w14:paraId="4B1F2F2B" w14:textId="2A2B99C8"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2.2.6.</w:t>
      </w:r>
      <w:r w:rsidRPr="003B2786">
        <w:rPr>
          <w:rFonts w:ascii="Sylfaen" w:hAnsi="Sylfaen"/>
          <w:sz w:val="24"/>
          <w:szCs w:val="24"/>
        </w:rPr>
        <w:tab/>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3B2786">
        <w:rPr>
          <w:rFonts w:ascii="Sylfaen" w:hAnsi="Sylfaen"/>
          <w:sz w:val="24"/>
          <w:szCs w:val="24"/>
        </w:rPr>
        <w:t>ն իրավունք ունի փոփոխության լրացված դոսյեն (ծանուցումը) կրկին ներկայացնելու ռեֆերենտ</w:t>
      </w:r>
      <w:r w:rsidRPr="003B2786" w:rsidDel="00CC7E6B">
        <w:rPr>
          <w:rFonts w:ascii="Sylfaen" w:hAnsi="Sylfaen"/>
          <w:sz w:val="24"/>
          <w:szCs w:val="24"/>
        </w:rPr>
        <w:t xml:space="preserve"> </w:t>
      </w:r>
      <w:r w:rsidRPr="003B2786">
        <w:rPr>
          <w:rFonts w:ascii="Sylfaen" w:hAnsi="Sylfaen"/>
          <w:sz w:val="24"/>
          <w:szCs w:val="24"/>
        </w:rPr>
        <w:t>պետության լիազորված մարմին (փորձագիտական կազմակերպություն)՝ սույն հավելվածի 2.2.5 ենթակետում նշված եզրակացությանը համապատասխան:</w:t>
      </w:r>
    </w:p>
    <w:p w14:paraId="066166E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CC7E6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փոփոխությունների կատարման լրացված դոսյեն (ծանուցումը) ներկայացնում է ճանաչման պետությունների համապատասխան մարմիններ ոչ ուշ, քան ներկայացված նյութերի լրակազմությունն ու ամբողջականությունը գնահատելուց հետո՝ ռեֆերենտ</w:t>
      </w:r>
      <w:r w:rsidRPr="003B2786" w:rsidDel="004F2F4D">
        <w:rPr>
          <w:rFonts w:ascii="Sylfaen" w:hAnsi="Sylfaen"/>
          <w:sz w:val="24"/>
          <w:szCs w:val="24"/>
        </w:rPr>
        <w:t xml:space="preserve"> </w:t>
      </w:r>
      <w:r w:rsidRPr="003B2786">
        <w:rPr>
          <w:rFonts w:ascii="Sylfaen" w:hAnsi="Sylfaen"/>
          <w:sz w:val="24"/>
          <w:szCs w:val="24"/>
        </w:rPr>
        <w:t xml:space="preserve">պետություն լրացված ծանուցում ներկայացնելու օրվանից 5 աշխատանքային օրվա ընթացքում՝ </w:t>
      </w:r>
      <w:r w:rsidRPr="003B2786">
        <w:rPr>
          <w:rFonts w:ascii="Sylfaen" w:hAnsi="Sylfaen"/>
          <w:sz w:val="24"/>
          <w:szCs w:val="24"/>
        </w:rPr>
        <w:lastRenderedPageBreak/>
        <w:t>օգտագործելով ինտեգրված համակարգի միջոցները:</w:t>
      </w:r>
    </w:p>
    <w:p w14:paraId="61B677EC" w14:textId="42CBE134"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2.2.7.</w:t>
      </w:r>
      <w:r w:rsidRPr="003B2786">
        <w:rPr>
          <w:rFonts w:ascii="Sylfaen" w:hAnsi="Sylfaen"/>
          <w:sz w:val="24"/>
          <w:szCs w:val="24"/>
        </w:rPr>
        <w:tab/>
        <w:t xml:space="preserve">Եթե </w:t>
      </w:r>
      <w:r w:rsidR="0056496B">
        <w:rPr>
          <w:rFonts w:ascii="Sylfaen" w:hAnsi="Sylfaen"/>
          <w:sz w:val="24"/>
          <w:szCs w:val="24"/>
        </w:rPr>
        <w:t>դիմումատու</w:t>
      </w:r>
      <w:r w:rsidRPr="003B2786">
        <w:rPr>
          <w:rFonts w:ascii="Sylfaen" w:hAnsi="Sylfaen"/>
          <w:sz w:val="24"/>
          <w:szCs w:val="24"/>
        </w:rPr>
        <w:t xml:space="preserve">ն սույն հավելվածի 2.2.6 ենթակետին համապատասխան չի ներկայացնում լրացված ծանուցում, ապա ծանուցումը ճանաչվում է բոլոր լիազորված մարմինների (փորձագիտական կազմակերպությունների) կողմից մերժված, </w:t>
      </w:r>
      <w:r w:rsidR="00C54D75">
        <w:rPr>
          <w:rFonts w:ascii="Sylfaen" w:hAnsi="Sylfaen"/>
          <w:sz w:val="24"/>
          <w:szCs w:val="24"/>
        </w:rPr>
        <w:t>և</w:t>
      </w:r>
      <w:r w:rsidRPr="003B2786">
        <w:rPr>
          <w:rFonts w:ascii="Sylfaen" w:hAnsi="Sylfaen"/>
          <w:sz w:val="24"/>
          <w:szCs w:val="24"/>
        </w:rPr>
        <w:t xml:space="preserve"> կիրառվում են սույն հավելվածի 2.4 կետում նշված միջոցները:</w:t>
      </w:r>
    </w:p>
    <w:p w14:paraId="3023932B"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2.2.8.</w:t>
      </w:r>
      <w:r w:rsidRPr="003B2786">
        <w:rPr>
          <w:rFonts w:ascii="Sylfaen" w:hAnsi="Sylfaen"/>
          <w:sz w:val="24"/>
          <w:szCs w:val="24"/>
        </w:rPr>
        <w:tab/>
        <w:t>Լրացված ծանուցում ներկայացնելիս 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պետք է ոչ ուշ, քան այն ստանալու օրվանից 30 օրացուցային օրվա ընթացքում ուսումնասիրի նորից ներկայացված փաստաթղթերը </w:t>
      </w:r>
      <w:r w:rsidR="00C54D75">
        <w:rPr>
          <w:rFonts w:ascii="Sylfaen" w:hAnsi="Sylfaen"/>
          <w:sz w:val="24"/>
          <w:szCs w:val="24"/>
        </w:rPr>
        <w:t>և</w:t>
      </w:r>
      <w:r w:rsidRPr="003B2786">
        <w:rPr>
          <w:rFonts w:ascii="Sylfaen" w:hAnsi="Sylfaen"/>
          <w:sz w:val="24"/>
          <w:szCs w:val="24"/>
        </w:rPr>
        <w:t xml:space="preserve"> տվյալները, ինչից հետո կիրառվում են սույն հավելվածի 2.2.4 ենթակետում նշված միջոցները: </w:t>
      </w:r>
    </w:p>
    <w:p w14:paraId="5FD1AAD1" w14:textId="59142A63"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pacing w:val="-4"/>
          <w:sz w:val="24"/>
          <w:szCs w:val="24"/>
        </w:rPr>
        <w:t>Այն դեպքում, երբ սույն հավելվածի 1.6 կետին համապատասխան փոփոխությունները հանգեցնում են դեղապատրաստուկի մասին տեղեկատվության վերանայման, համապատասխան լիազորված մարմինները (փորձագիտական կազմակերպությունները), միասնական ռեեստրի ձ</w:t>
      </w:r>
      <w:r w:rsidR="00C54D75">
        <w:rPr>
          <w:rFonts w:ascii="Sylfaen" w:hAnsi="Sylfaen"/>
          <w:spacing w:val="-4"/>
          <w:sz w:val="24"/>
          <w:szCs w:val="24"/>
        </w:rPr>
        <w:t>և</w:t>
      </w:r>
      <w:r w:rsidRPr="003B2786">
        <w:rPr>
          <w:rFonts w:ascii="Sylfaen" w:hAnsi="Sylfaen"/>
          <w:spacing w:val="-4"/>
          <w:sz w:val="24"/>
          <w:szCs w:val="24"/>
        </w:rPr>
        <w:t xml:space="preserve">ավորման </w:t>
      </w:r>
      <w:r w:rsidR="00C54D75">
        <w:rPr>
          <w:rFonts w:ascii="Sylfaen" w:hAnsi="Sylfaen"/>
          <w:spacing w:val="-4"/>
          <w:sz w:val="24"/>
          <w:szCs w:val="24"/>
        </w:rPr>
        <w:t>և</w:t>
      </w:r>
      <w:r w:rsidRPr="003B2786">
        <w:rPr>
          <w:rFonts w:ascii="Sylfaen" w:hAnsi="Sylfaen"/>
          <w:spacing w:val="-4"/>
          <w:sz w:val="24"/>
          <w:szCs w:val="24"/>
        </w:rPr>
        <w:t xml:space="preserve"> վարման կարգին համապատասխան, 2.2.8 ենթակետում նշված ժամկետից ոչ ուշ, քան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pacing w:val="-4"/>
          <w:sz w:val="24"/>
          <w:szCs w:val="24"/>
        </w:rPr>
        <w:t>և</w:t>
      </w:r>
      <w:r w:rsidRPr="003B2786">
        <w:rPr>
          <w:rFonts w:ascii="Sylfaen" w:hAnsi="Sylfaen"/>
          <w:spacing w:val="-4"/>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pacing w:val="-4"/>
          <w:sz w:val="24"/>
          <w:szCs w:val="24"/>
        </w:rPr>
        <w:t>և</w:t>
      </w:r>
      <w:r w:rsidRPr="003B2786">
        <w:rPr>
          <w:rFonts w:ascii="Sylfaen" w:hAnsi="Sylfaen"/>
          <w:spacing w:val="-4"/>
          <w:sz w:val="24"/>
          <w:szCs w:val="24"/>
        </w:rPr>
        <w:t xml:space="preserve"> </w:t>
      </w:r>
      <w:r w:rsidR="0056496B">
        <w:rPr>
          <w:rFonts w:ascii="Sylfaen" w:hAnsi="Sylfaen"/>
          <w:spacing w:val="-4"/>
          <w:sz w:val="24"/>
          <w:szCs w:val="24"/>
        </w:rPr>
        <w:t>դիմումատու</w:t>
      </w:r>
      <w:r w:rsidRPr="003B2786">
        <w:rPr>
          <w:rFonts w:ascii="Sylfaen" w:hAnsi="Sylfaen"/>
          <w:spacing w:val="-4"/>
          <w:sz w:val="24"/>
          <w:szCs w:val="24"/>
        </w:rPr>
        <w:t>ին են ներկայացնում դեղապատրաստուկի փոփոխված ընդհանուր բնութագիրը</w:t>
      </w:r>
      <w:r w:rsidRPr="003B2786">
        <w:rPr>
          <w:rFonts w:ascii="Sylfaen" w:hAnsi="Sylfaen"/>
          <w:sz w:val="24"/>
          <w:szCs w:val="24"/>
        </w:rPr>
        <w:t>, բժշկական կիրառման հրահանգը, փաթեթվածքների մանրակերտերը, որակի նորմատիվ փաստաթուղթը, գրանցման հավաստագիրը (անհրաժեշտության դեպքում):</w:t>
      </w:r>
    </w:p>
    <w:p w14:paraId="0992F7BC" w14:textId="3CEDFC4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կետի առաջին </w:t>
      </w:r>
      <w:r w:rsidR="00C54D75">
        <w:rPr>
          <w:rFonts w:ascii="Sylfaen" w:hAnsi="Sylfaen"/>
          <w:sz w:val="24"/>
          <w:szCs w:val="24"/>
        </w:rPr>
        <w:t>և</w:t>
      </w:r>
      <w:r w:rsidRPr="003B2786">
        <w:rPr>
          <w:rFonts w:ascii="Sylfaen" w:hAnsi="Sylfaen"/>
          <w:sz w:val="24"/>
          <w:szCs w:val="24"/>
        </w:rPr>
        <w:t xml:space="preserve"> երկրորդ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ենթակետերին </w:t>
      </w:r>
      <w:r w:rsidRPr="003B2786">
        <w:rPr>
          <w:rFonts w:ascii="Sylfaen" w:hAnsi="Sylfaen"/>
          <w:sz w:val="24"/>
          <w:szCs w:val="24"/>
        </w:rPr>
        <w:lastRenderedPageBreak/>
        <w:t xml:space="preserve">համապատասխան՝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663698A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2.2.9.</w:t>
      </w:r>
      <w:r w:rsidRPr="003B2786">
        <w:rPr>
          <w:rFonts w:ascii="Sylfaen" w:hAnsi="Sylfaen"/>
          <w:sz w:val="24"/>
          <w:szCs w:val="24"/>
        </w:rPr>
        <w:tab/>
        <w:t xml:space="preserve">Սույն հավելվածի 2.2.1-2.2.8 ենթակետերի դրույթները չեն կիրառվում, եթե IB տիպի փոփոխության վերաբերյալ հարցումը ներկայացված է II տիպի փոփոխություն ներառող </w:t>
      </w:r>
      <w:r w:rsidR="00C54D75">
        <w:rPr>
          <w:rFonts w:ascii="Sylfaen" w:hAnsi="Sylfaen"/>
          <w:sz w:val="24"/>
          <w:szCs w:val="24"/>
        </w:rPr>
        <w:t>և</w:t>
      </w:r>
      <w:r w:rsidRPr="003B2786">
        <w:rPr>
          <w:rFonts w:ascii="Sylfaen" w:hAnsi="Sylfaen"/>
          <w:sz w:val="24"/>
          <w:szCs w:val="24"/>
        </w:rPr>
        <w:t xml:space="preserve"> գրանցման ընդլայնում չպարունակող փոփոխությունների խմբի կազմում: Այդ դեպքում կիրառվում է սույն հավելվածի 2.3 կետով նախատեսված՝ փոփոխությունների փորձաքննության ընթացակարգը:</w:t>
      </w:r>
    </w:p>
    <w:p w14:paraId="578BF339"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2.2.10</w:t>
      </w:r>
      <w:r w:rsidRPr="003B2786">
        <w:rPr>
          <w:rFonts w:ascii="Sylfaen" w:hAnsi="Sylfaen"/>
          <w:spacing w:val="-4"/>
          <w:sz w:val="24"/>
          <w:szCs w:val="24"/>
        </w:rPr>
        <w:t>.</w:t>
      </w:r>
      <w:r w:rsidRPr="003B2786">
        <w:rPr>
          <w:rFonts w:ascii="Sylfaen" w:hAnsi="Sylfaen"/>
          <w:spacing w:val="-4"/>
          <w:sz w:val="24"/>
          <w:szCs w:val="24"/>
        </w:rPr>
        <w:tab/>
        <w:t>Սույն հավելվածի 2.2.1-2.2.8 ենթակետերի դրույթները չեն կիրառվում, եթե IB տիպի փոփոխության վերաբերյալ հարցումը ներկայացված է գրանցման ընդլայնում ներառող փոփոխությունների խմբի կազմում: Այդ դեպքում կիրառվում է սույն հավելվածի 4.1.1 ենթակետով</w:t>
      </w:r>
      <w:r w:rsidRPr="003B2786">
        <w:rPr>
          <w:rFonts w:ascii="Sylfaen" w:hAnsi="Sylfaen"/>
          <w:sz w:val="24"/>
          <w:szCs w:val="24"/>
        </w:rPr>
        <w:t xml:space="preserve"> նախատեսված ընթացակարգը:</w:t>
      </w:r>
    </w:p>
    <w:p w14:paraId="2EFEAB66" w14:textId="77777777" w:rsidR="008C76E0" w:rsidRPr="003B2786" w:rsidRDefault="008C76E0" w:rsidP="00593820">
      <w:pPr>
        <w:spacing w:after="160" w:line="360" w:lineRule="auto"/>
        <w:ind w:right="-1" w:firstLine="567"/>
        <w:jc w:val="center"/>
        <w:rPr>
          <w:rFonts w:ascii="Sylfaen" w:hAnsi="Sylfaen"/>
          <w:sz w:val="24"/>
          <w:szCs w:val="24"/>
        </w:rPr>
      </w:pPr>
    </w:p>
    <w:p w14:paraId="7B022BC9"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2.3. II տիպի էական փոփոխությունների </w:t>
      </w:r>
      <w:r w:rsidRPr="003B2786">
        <w:rPr>
          <w:rFonts w:ascii="Sylfaen" w:hAnsi="Sylfaen"/>
          <w:sz w:val="24"/>
          <w:szCs w:val="24"/>
        </w:rPr>
        <w:br/>
        <w:t>փորձաքննության ընթացակարգը</w:t>
      </w:r>
    </w:p>
    <w:p w14:paraId="1D56C604" w14:textId="0EF66E2A" w:rsidR="008C76E0" w:rsidRPr="003B2786" w:rsidRDefault="008C76E0" w:rsidP="006817C8">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2.3.1.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w:t>
      </w:r>
      <w:r w:rsidR="00C54D75">
        <w:rPr>
          <w:rFonts w:ascii="Sylfaen" w:hAnsi="Sylfaen"/>
          <w:sz w:val="24"/>
          <w:szCs w:val="24"/>
        </w:rPr>
        <w:t>և</w:t>
      </w:r>
      <w:r w:rsidRPr="003B2786">
        <w:rPr>
          <w:rFonts w:ascii="Sylfaen" w:hAnsi="Sylfaen"/>
          <w:sz w:val="24"/>
          <w:szCs w:val="24"/>
        </w:rPr>
        <w:t xml:space="preserve"> փոփոխությունների կատարման դիմաց վճարի (տուրքի) վճարը հաստատող փաստաթղթերը՝ անդամ պետությունների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w:t>
      </w:r>
    </w:p>
    <w:p w14:paraId="24F75502" w14:textId="302A93F3" w:rsidR="008C76E0" w:rsidRPr="003B2786" w:rsidRDefault="0056496B" w:rsidP="006817C8">
      <w:pPr>
        <w:tabs>
          <w:tab w:val="left" w:pos="1418"/>
        </w:tabs>
        <w:spacing w:after="160" w:line="384"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ն ռեֆերենտ</w:t>
      </w:r>
      <w:r w:rsidR="008C76E0" w:rsidRPr="003B2786" w:rsidDel="00113EEA">
        <w:rPr>
          <w:rFonts w:ascii="Sylfaen" w:hAnsi="Sylfaen"/>
          <w:sz w:val="24"/>
          <w:szCs w:val="24"/>
        </w:rPr>
        <w:t xml:space="preserve"> </w:t>
      </w:r>
      <w:r w:rsidR="008C76E0" w:rsidRPr="003B2786">
        <w:rPr>
          <w:rFonts w:ascii="Sylfaen" w:hAnsi="Sylfaen"/>
          <w:sz w:val="24"/>
          <w:szCs w:val="24"/>
        </w:rPr>
        <w:t>պետության լիազորված մարմին (փորձագիտական կազմակերպություն) է ներկայացնում IV լրացման մեջ թվարկված տարրերը պարունակող՝ փոփոխության դոսյեն (ծանուցումը):</w:t>
      </w:r>
    </w:p>
    <w:p w14:paraId="3F84E121" w14:textId="3800BB3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w:t>
      </w:r>
      <w:r w:rsidR="00C54D75">
        <w:rPr>
          <w:rFonts w:ascii="Sylfaen" w:hAnsi="Sylfaen"/>
          <w:sz w:val="24"/>
          <w:szCs w:val="24"/>
        </w:rPr>
        <w:t>և</w:t>
      </w:r>
      <w:r w:rsidRPr="003B2786">
        <w:rPr>
          <w:rFonts w:ascii="Sylfaen" w:hAnsi="Sylfaen"/>
          <w:sz w:val="24"/>
          <w:szCs w:val="24"/>
        </w:rPr>
        <w:t xml:space="preserve"> փորձագիտական կազմակերպության հետ համաձայնեցնելով՝ </w:t>
      </w:r>
      <w:r w:rsidR="0056496B">
        <w:rPr>
          <w:rFonts w:ascii="Sylfaen" w:hAnsi="Sylfaen"/>
          <w:sz w:val="24"/>
          <w:szCs w:val="24"/>
        </w:rPr>
        <w:t>դիմումատու</w:t>
      </w:r>
      <w:r w:rsidRPr="003B2786">
        <w:rPr>
          <w:rFonts w:ascii="Sylfaen" w:hAnsi="Sylfaen"/>
          <w:sz w:val="24"/>
          <w:szCs w:val="24"/>
        </w:rPr>
        <w:t>ն 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մարմին </w:t>
      </w:r>
      <w:r w:rsidRPr="003B2786">
        <w:rPr>
          <w:rFonts w:ascii="Sylfaen" w:hAnsi="Sylfaen"/>
          <w:sz w:val="24"/>
          <w:szCs w:val="24"/>
        </w:rPr>
        <w:lastRenderedPageBreak/>
        <w:t xml:space="preserve">(փորձագիտական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3B2786">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3B2786">
        <w:rPr>
          <w:rFonts w:ascii="Sylfaen" w:hAnsi="Sylfaen"/>
          <w:sz w:val="24"/>
          <w:szCs w:val="24"/>
        </w:rPr>
        <w:t xml:space="preserve"> լաբորատոր փորձարկումներ անցկացնելու համար անհրաժեշտ նյութերը:</w:t>
      </w:r>
    </w:p>
    <w:p w14:paraId="67BD79B1" w14:textId="1327D0F1"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2.3.2.</w:t>
      </w:r>
      <w:r w:rsidRPr="003B2786">
        <w:rPr>
          <w:rFonts w:ascii="Sylfaen" w:hAnsi="Sylfaen"/>
          <w:sz w:val="24"/>
          <w:szCs w:val="24"/>
        </w:rPr>
        <w:tab/>
        <w:t>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3B2786">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ընթացակարգի ժամկետի մեջ։</w:t>
      </w:r>
    </w:p>
    <w:p w14:paraId="6AF258CF" w14:textId="0724778E"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3B2786">
        <w:rPr>
          <w:rFonts w:ascii="Sylfaen" w:hAnsi="Sylfaen"/>
          <w:sz w:val="24"/>
          <w:szCs w:val="24"/>
        </w:rPr>
        <w:t xml:space="preserve"> (կամ) անդամ պետության օրենսդրությամբ սահմանված դեպքերում </w:t>
      </w:r>
      <w:r w:rsidR="00C54D75">
        <w:rPr>
          <w:rFonts w:ascii="Sylfaen" w:hAnsi="Sylfaen"/>
          <w:sz w:val="24"/>
          <w:szCs w:val="24"/>
        </w:rPr>
        <w:t>և</w:t>
      </w:r>
      <w:r w:rsidRPr="003B2786">
        <w:rPr>
          <w:rFonts w:ascii="Sylfaen" w:hAnsi="Sylfaen"/>
          <w:sz w:val="24"/>
          <w:szCs w:val="24"/>
        </w:rPr>
        <w:t xml:space="preserve"> կարգով փոփոխություններ կատարելու դիմաց վճարի (տուրքի) վճարումը չհաստատելու դեպքում ռեֆերենտ 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3B2786">
        <w:rPr>
          <w:rFonts w:ascii="Sylfaen" w:hAnsi="Sylfaen"/>
          <w:sz w:val="24"/>
          <w:szCs w:val="24"/>
        </w:rPr>
        <w:t>ը։</w:t>
      </w:r>
    </w:p>
    <w:p w14:paraId="6E45F169" w14:textId="50BBA5C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B61669">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ինտեգրված համակարգի միջոցներն օգտագործելով, ճանաչման պետությունների համապատասխան մարմինների համար ապահովում է փոփոխության դոսյեի հասանելիությունը ոչ ուշ, քան ներկայացված փաստաթղթերի ամբողջականությունը</w:t>
      </w:r>
      <w:r w:rsidRPr="003B2786">
        <w:rPr>
          <w:rFonts w:ascii="Sylfaen" w:hAnsi="Sylfaen"/>
          <w:sz w:val="24"/>
          <w:szCs w:val="24"/>
        </w:rPr>
        <w:t xml:space="preserve">,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ը ռեֆերենտ</w:t>
      </w:r>
      <w:r w:rsidRPr="003B2786" w:rsidDel="00B61669">
        <w:rPr>
          <w:rFonts w:ascii="Sylfaen" w:hAnsi="Sylfaen"/>
          <w:sz w:val="24"/>
          <w:szCs w:val="24"/>
        </w:rPr>
        <w:t xml:space="preserve"> </w:t>
      </w:r>
      <w:r w:rsidRPr="003B2786">
        <w:rPr>
          <w:rFonts w:ascii="Sylfaen" w:hAnsi="Sylfaen"/>
          <w:sz w:val="24"/>
          <w:szCs w:val="24"/>
        </w:rPr>
        <w:t>պետություն ներկայացնելու օրվանից 14 աշխատանքային օրվա ընթացքում՝ սույն հավելվածի 2.3.1 ենթակետին համապատասխան:</w:t>
      </w:r>
    </w:p>
    <w:p w14:paraId="0C4B3EDC" w14:textId="77777777" w:rsidR="008C76E0" w:rsidRPr="003B2786" w:rsidRDefault="008C76E0" w:rsidP="00593820">
      <w:pPr>
        <w:tabs>
          <w:tab w:val="left" w:pos="1418"/>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Անհրաժեշտության դեպքում </w:t>
      </w:r>
      <w:r w:rsidRPr="003B2786">
        <w:rPr>
          <w:rFonts w:ascii="Sylfaen" w:hAnsi="Sylfaen"/>
          <w:sz w:val="24"/>
          <w:szCs w:val="24"/>
        </w:rPr>
        <w:t>ռեֆերենտ</w:t>
      </w:r>
      <w:r w:rsidRPr="003B2786" w:rsidDel="00B61669">
        <w:rPr>
          <w:rFonts w:ascii="Sylfaen" w:hAnsi="Sylfaen"/>
          <w:spacing w:val="-4"/>
          <w:sz w:val="24"/>
          <w:szCs w:val="24"/>
        </w:rPr>
        <w:t xml:space="preserve"> </w:t>
      </w:r>
      <w:r w:rsidRPr="003B2786">
        <w:rPr>
          <w:rFonts w:ascii="Sylfaen" w:hAnsi="Sylfaen"/>
          <w:spacing w:val="-4"/>
          <w:sz w:val="24"/>
          <w:szCs w:val="24"/>
        </w:rPr>
        <w:t xml:space="preserve">պետության </w:t>
      </w:r>
      <w:r w:rsidR="00C54D75">
        <w:rPr>
          <w:rFonts w:ascii="Sylfaen" w:hAnsi="Sylfaen"/>
          <w:spacing w:val="-4"/>
          <w:sz w:val="24"/>
          <w:szCs w:val="24"/>
        </w:rPr>
        <w:t>և</w:t>
      </w:r>
      <w:r w:rsidRPr="003B2786">
        <w:rPr>
          <w:rFonts w:ascii="Sylfaen" w:hAnsi="Sylfaen"/>
          <w:spacing w:val="-4"/>
          <w:sz w:val="24"/>
          <w:szCs w:val="24"/>
        </w:rPr>
        <w:t xml:space="preserve"> ճանաչման պետությունների լիազորված մարմինների (փորձագիտական կազմակերպությունների) միջ</w:t>
      </w:r>
      <w:r w:rsidR="00C54D75">
        <w:rPr>
          <w:rFonts w:ascii="Sylfaen" w:hAnsi="Sylfaen"/>
          <w:spacing w:val="-4"/>
          <w:sz w:val="24"/>
          <w:szCs w:val="24"/>
        </w:rPr>
        <w:t>և</w:t>
      </w:r>
      <w:r w:rsidRPr="003B2786">
        <w:rPr>
          <w:rFonts w:ascii="Sylfaen" w:hAnsi="Sylfaen"/>
          <w:spacing w:val="-4"/>
          <w:sz w:val="24"/>
          <w:szCs w:val="24"/>
        </w:rPr>
        <w:t xml:space="preserve"> գրավոր խորհրդատվություններն իրականացվում են էլեկտրոնային եղանակով՝ ինտեգրված համակարգի միջոցների օգտագործմամբ։</w:t>
      </w:r>
    </w:p>
    <w:p w14:paraId="3DB73F2F" w14:textId="28FBD39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2.3.3.</w:t>
      </w:r>
      <w:r w:rsidRPr="003B2786">
        <w:rPr>
          <w:rFonts w:ascii="Sylfaen" w:hAnsi="Sylfaen"/>
          <w:sz w:val="24"/>
          <w:szCs w:val="24"/>
        </w:rPr>
        <w:tab/>
        <w:t xml:space="preserve">Փոփոխությունների կատարման </w:t>
      </w:r>
      <w:r w:rsidR="0056496B">
        <w:rPr>
          <w:rFonts w:ascii="Sylfaen" w:hAnsi="Sylfaen"/>
          <w:sz w:val="24"/>
          <w:szCs w:val="24"/>
        </w:rPr>
        <w:t>դիմում</w:t>
      </w:r>
      <w:r w:rsidRPr="003B2786">
        <w:rPr>
          <w:rFonts w:ascii="Sylfaen" w:hAnsi="Sylfaen"/>
          <w:sz w:val="24"/>
          <w:szCs w:val="24"/>
        </w:rPr>
        <w:t>ն ստանալու օրվանից 60 օրացուցային օրվա ընթացքում 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պետք է պատրաստի գնահատման վերաբերյալ փորձագիտական հաշվետվության նախագիծ </w:t>
      </w:r>
      <w:r w:rsidR="00C54D75">
        <w:rPr>
          <w:rFonts w:ascii="Sylfaen" w:hAnsi="Sylfaen"/>
          <w:sz w:val="24"/>
          <w:szCs w:val="24"/>
        </w:rPr>
        <w:t>և</w:t>
      </w:r>
      <w:r w:rsidRPr="003B2786">
        <w:rPr>
          <w:rFonts w:ascii="Sylfaen" w:hAnsi="Sylfaen"/>
          <w:sz w:val="24"/>
          <w:szCs w:val="24"/>
        </w:rPr>
        <w:t xml:space="preserve"> փոփոխությունների կատարման </w:t>
      </w:r>
      <w:r w:rsidR="0056496B">
        <w:rPr>
          <w:rFonts w:ascii="Sylfaen" w:hAnsi="Sylfaen"/>
          <w:sz w:val="24"/>
          <w:szCs w:val="24"/>
        </w:rPr>
        <w:t>դիմում</w:t>
      </w:r>
      <w:r w:rsidRPr="003B2786">
        <w:rPr>
          <w:rFonts w:ascii="Sylfaen" w:hAnsi="Sylfaen"/>
          <w:sz w:val="24"/>
          <w:szCs w:val="24"/>
        </w:rPr>
        <w:t xml:space="preserve">ի մասին որոշման նախագիծ, որոնք պետք է նշված ժամկետում թղթային </w:t>
      </w:r>
      <w:r w:rsidR="00C54D75">
        <w:rPr>
          <w:rFonts w:ascii="Sylfaen" w:hAnsi="Sylfaen"/>
          <w:sz w:val="24"/>
          <w:szCs w:val="24"/>
        </w:rPr>
        <w:t>և</w:t>
      </w:r>
      <w:r w:rsidRPr="003B2786">
        <w:rPr>
          <w:rFonts w:ascii="Sylfaen" w:hAnsi="Sylfaen"/>
          <w:sz w:val="24"/>
          <w:szCs w:val="24"/>
        </w:rPr>
        <w:t xml:space="preserve"> (կամ) էլեկտրոնային եղանակով ուղարկվեն ճանաչման պետությունների համապատասխան մարմիններ:</w:t>
      </w:r>
    </w:p>
    <w:p w14:paraId="39FFCFE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2.3.4.</w:t>
      </w:r>
      <w:r w:rsidRPr="003B2786">
        <w:rPr>
          <w:rFonts w:ascii="Sylfaen" w:hAnsi="Sylfaen"/>
          <w:sz w:val="24"/>
          <w:szCs w:val="24"/>
        </w:rPr>
        <w:tab/>
        <w:t>Ռեֆերենտ</w:t>
      </w:r>
      <w:r w:rsidRPr="003B2786" w:rsidDel="00B61669">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կրճատելու սույն հավելվածի 2.3.3 ենթակետում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ափոխման կամ կիրառման նոր ցուցումներ ներառելու հիմքում ընկած փոփոխություններով կամ փոփոխությունների խմբով պայմանավորված՝ սույն հավելվածի 1.7.2 ենթակետի «գ» կետին համապատասխան:</w:t>
      </w:r>
    </w:p>
    <w:p w14:paraId="25D8BFD8" w14:textId="5906E232"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2.3.5.</w:t>
      </w:r>
      <w:r w:rsidRPr="003B2786">
        <w:rPr>
          <w:rFonts w:ascii="Sylfaen" w:hAnsi="Sylfaen"/>
          <w:sz w:val="24"/>
          <w:szCs w:val="24"/>
        </w:rPr>
        <w:tab/>
        <w:t xml:space="preserve">2.3.3 </w:t>
      </w:r>
      <w:r w:rsidR="00C54D75">
        <w:rPr>
          <w:rFonts w:ascii="Sylfaen" w:hAnsi="Sylfaen"/>
          <w:sz w:val="24"/>
          <w:szCs w:val="24"/>
        </w:rPr>
        <w:t>և</w:t>
      </w:r>
      <w:r w:rsidRPr="003B2786">
        <w:rPr>
          <w:rFonts w:ascii="Sylfaen" w:hAnsi="Sylfaen"/>
          <w:sz w:val="24"/>
          <w:szCs w:val="24"/>
        </w:rPr>
        <w:t xml:space="preserve"> 2.3.4 ենթակետերում հիշատակված ժամկետի ընթացքում 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իրավունք ունի այն պակասող լրացուցիչ տեղեկատվության, անհրաժեշտ պարզաբանումների կամ ներկայացված փաստաթղթերի </w:t>
      </w:r>
      <w:r w:rsidR="00C54D75">
        <w:rPr>
          <w:rFonts w:ascii="Sylfaen" w:hAnsi="Sylfaen"/>
          <w:sz w:val="24"/>
          <w:szCs w:val="24"/>
        </w:rPr>
        <w:t>և</w:t>
      </w:r>
      <w:r w:rsidRPr="003B2786">
        <w:rPr>
          <w:rFonts w:ascii="Sylfaen" w:hAnsi="Sylfaen"/>
          <w:sz w:val="24"/>
          <w:szCs w:val="24"/>
        </w:rPr>
        <w:t xml:space="preserve"> գրանցման դոսյեի տվյալների ճշտումների մասին </w:t>
      </w:r>
      <w:r w:rsidR="0056496B">
        <w:rPr>
          <w:rFonts w:ascii="Sylfaen" w:hAnsi="Sylfaen"/>
          <w:sz w:val="24"/>
          <w:szCs w:val="24"/>
        </w:rPr>
        <w:t>դիմումատու</w:t>
      </w:r>
      <w:r w:rsidRPr="003B2786">
        <w:rPr>
          <w:rFonts w:ascii="Sylfaen" w:hAnsi="Sylfaen"/>
          <w:sz w:val="24"/>
          <w:szCs w:val="24"/>
        </w:rPr>
        <w:t xml:space="preserve">ին գրավոր </w:t>
      </w:r>
      <w:r w:rsidR="00C54D75">
        <w:rPr>
          <w:rFonts w:ascii="Sylfaen" w:hAnsi="Sylfaen"/>
          <w:sz w:val="24"/>
          <w:szCs w:val="24"/>
        </w:rPr>
        <w:t>և</w:t>
      </w:r>
      <w:r w:rsidRPr="003B2786">
        <w:rPr>
          <w:rFonts w:ascii="Sylfaen" w:hAnsi="Sylfaen"/>
          <w:sz w:val="24"/>
          <w:szCs w:val="24"/>
        </w:rPr>
        <w:t xml:space="preserve"> (կամ) էլեկտրոնային եղանակով հարցում (այդ թվում՝ դեղապատրաստուկի ընդհանուր բնութագրում, բժշկական կիրառման հրահանգում, դեղապատրաստուկի փաթեթվածքի մանրակերտում, որակի նորմատիվ փաստաթղթերում կամ գրանցման դոսյեի այլ փաստաթղթերում փոփոխություններ կատարելու առաջարկություններ) ուղարկելու:</w:t>
      </w:r>
    </w:p>
    <w:p w14:paraId="074487E8" w14:textId="144BADCA"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w:t>
      </w:r>
      <w:r w:rsidR="0056496B">
        <w:rPr>
          <w:rFonts w:ascii="Sylfaen" w:hAnsi="Sylfaen"/>
          <w:sz w:val="24"/>
          <w:szCs w:val="24"/>
        </w:rPr>
        <w:t>դիմումատու</w:t>
      </w:r>
      <w:r w:rsidRPr="003B2786">
        <w:rPr>
          <w:rFonts w:ascii="Sylfaen" w:hAnsi="Sylfaen"/>
          <w:sz w:val="24"/>
          <w:szCs w:val="24"/>
        </w:rPr>
        <w:t xml:space="preserve">ին ուղղված հարցումների օրինակն ուղարկում է ճանաչման պետությունների համապատասխան մարմիններ՝ համաձայն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6-8 հավելվածների </w:t>
      </w:r>
      <w:r w:rsidRPr="003B2786">
        <w:rPr>
          <w:rFonts w:ascii="Sylfaen" w:hAnsi="Sylfaen"/>
          <w:sz w:val="24"/>
          <w:szCs w:val="24"/>
        </w:rPr>
        <w:lastRenderedPageBreak/>
        <w:t>ձ</w:t>
      </w:r>
      <w:r w:rsidR="00C54D75">
        <w:rPr>
          <w:rFonts w:ascii="Sylfaen" w:hAnsi="Sylfaen"/>
          <w:sz w:val="24"/>
          <w:szCs w:val="24"/>
        </w:rPr>
        <w:t>և</w:t>
      </w:r>
      <w:r w:rsidRPr="003B2786">
        <w:rPr>
          <w:rFonts w:ascii="Sylfaen" w:hAnsi="Sylfaen"/>
          <w:sz w:val="24"/>
          <w:szCs w:val="24"/>
        </w:rPr>
        <w:t>ի:</w:t>
      </w:r>
    </w:p>
    <w:p w14:paraId="6B1E78DD" w14:textId="3F278F4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Նշված հարցման պատասխանը </w:t>
      </w:r>
      <w:r w:rsidR="0056496B">
        <w:rPr>
          <w:rFonts w:ascii="Sylfaen" w:hAnsi="Sylfaen"/>
          <w:sz w:val="24"/>
          <w:szCs w:val="24"/>
        </w:rPr>
        <w:t>դիմումատու</w:t>
      </w:r>
      <w:r w:rsidRPr="003B2786">
        <w:rPr>
          <w:rFonts w:ascii="Sylfaen" w:hAnsi="Sylfaen"/>
          <w:sz w:val="24"/>
          <w:szCs w:val="24"/>
        </w:rPr>
        <w:t>ի կողմից ներկայացնելու ժամկետը չպետք է գերազանցի 90 օրացուցային օրը:</w:t>
      </w:r>
    </w:p>
    <w:p w14:paraId="0B0FAF39" w14:textId="6CC67289"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ի կողմից լիազորված մարմնի կամ փորձագիտական կազմակերպության հարցմամբ փաստաթղթերը ներկայացնելու ժամանակը չի մտնում փորձաքննությունն ու փոփոխությունների կատարման ընթացակարգն իրականացնելու ժամկետի մեջ:</w:t>
      </w:r>
    </w:p>
    <w:p w14:paraId="73C1D7C6" w14:textId="54B60AF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Հարցված փաստաթղթերը </w:t>
      </w:r>
      <w:r w:rsidR="00C54D75">
        <w:rPr>
          <w:rFonts w:ascii="Sylfaen" w:hAnsi="Sylfaen"/>
          <w:sz w:val="24"/>
          <w:szCs w:val="24"/>
        </w:rPr>
        <w:t>և</w:t>
      </w:r>
      <w:r w:rsidRPr="003B2786">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3B2786">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ընթացակարգը դադարեցվում են: Կայացրած որոշման մասին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այդ որոշումը կայացնելու օրվանից 10 աշխատանքային օրվա ընթացքում գրավոր </w:t>
      </w:r>
      <w:r w:rsidR="00C54D75">
        <w:rPr>
          <w:rFonts w:ascii="Sylfaen" w:hAnsi="Sylfaen"/>
          <w:sz w:val="24"/>
          <w:szCs w:val="24"/>
        </w:rPr>
        <w:t>և</w:t>
      </w:r>
      <w:r w:rsidRPr="003B2786">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w:t>
      </w:r>
    </w:p>
    <w:p w14:paraId="6E7FBE5D"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2.3.6.</w:t>
      </w:r>
      <w:r w:rsidRPr="003B2786">
        <w:rPr>
          <w:rFonts w:ascii="Sylfaen" w:hAnsi="Sylfaen"/>
          <w:sz w:val="24"/>
          <w:szCs w:val="24"/>
        </w:rPr>
        <w:tab/>
        <w:t xml:space="preserve">Չսահմանափակելով սույն հավելվածի 2.6 կետի դրույթները </w:t>
      </w:r>
      <w:r w:rsidR="00C54D75">
        <w:rPr>
          <w:rFonts w:ascii="Sylfaen" w:hAnsi="Sylfaen"/>
          <w:sz w:val="24"/>
          <w:szCs w:val="24"/>
        </w:rPr>
        <w:t>և</w:t>
      </w:r>
      <w:r w:rsidRPr="003B2786">
        <w:rPr>
          <w:rFonts w:ascii="Sylfaen" w:hAnsi="Sylfaen"/>
          <w:sz w:val="24"/>
          <w:szCs w:val="24"/>
        </w:rPr>
        <w:t xml:space="preserve"> սույն հավելվածի 2.3.3 ու 2.3.4 ենթակետերում նշված գնահատման վերաբերյալ փորձագիտական հաշվետվության նախագիծը </w:t>
      </w:r>
      <w:r w:rsidR="00C54D75">
        <w:rPr>
          <w:rFonts w:ascii="Sylfaen" w:hAnsi="Sylfaen"/>
          <w:sz w:val="24"/>
          <w:szCs w:val="24"/>
        </w:rPr>
        <w:t>և</w:t>
      </w:r>
      <w:r w:rsidRPr="003B2786">
        <w:rPr>
          <w:rFonts w:ascii="Sylfaen" w:hAnsi="Sylfaen"/>
          <w:sz w:val="24"/>
          <w:szCs w:val="24"/>
        </w:rPr>
        <w:t xml:space="preserve"> որոշման նախագիծն ստանալու օրվանից 30 </w:t>
      </w:r>
      <w:r w:rsidRPr="003B2786">
        <w:rPr>
          <w:rFonts w:ascii="Sylfaen" w:hAnsi="Sylfaen"/>
          <w:spacing w:val="-4"/>
          <w:sz w:val="24"/>
          <w:szCs w:val="24"/>
        </w:rPr>
        <w:t xml:space="preserve">օրացուցային օրվա ընթացքում ճանաչման պետությունների լիազորված մարմինները (փորձագիտական կազմակերպությունները) կայացնում են </w:t>
      </w:r>
      <w:r w:rsidRPr="003B2786">
        <w:rPr>
          <w:rFonts w:ascii="Sylfaen" w:hAnsi="Sylfaen"/>
          <w:sz w:val="24"/>
          <w:szCs w:val="24"/>
        </w:rPr>
        <w:t>ռեֆերենտ</w:t>
      </w:r>
      <w:r w:rsidRPr="003B2786" w:rsidDel="00FA0ABC">
        <w:rPr>
          <w:rFonts w:ascii="Sylfaen" w:hAnsi="Sylfaen"/>
          <w:spacing w:val="-4"/>
          <w:sz w:val="24"/>
          <w:szCs w:val="24"/>
        </w:rPr>
        <w:t xml:space="preserve"> </w:t>
      </w:r>
      <w:r w:rsidRPr="003B2786">
        <w:rPr>
          <w:rFonts w:ascii="Sylfaen" w:hAnsi="Sylfaen"/>
          <w:spacing w:val="-4"/>
          <w:sz w:val="24"/>
          <w:szCs w:val="24"/>
        </w:rPr>
        <w:t>պետության փորձագիտական կազմակերպության կողմից պատրաստված՝ գնահատման վերաբերյալ</w:t>
      </w:r>
      <w:r w:rsidRPr="003B2786">
        <w:rPr>
          <w:rFonts w:ascii="Sylfaen" w:hAnsi="Sylfaen"/>
          <w:sz w:val="24"/>
          <w:szCs w:val="24"/>
        </w:rPr>
        <w:t xml:space="preserve"> փորձագիտական հաշվետվությունն ընդունելու կամ չընդունելու մասին որոշում </w:t>
      </w:r>
      <w:r w:rsidR="00C54D75">
        <w:rPr>
          <w:rFonts w:ascii="Sylfaen" w:hAnsi="Sylfaen"/>
          <w:sz w:val="24"/>
          <w:szCs w:val="24"/>
        </w:rPr>
        <w:t>և</w:t>
      </w:r>
      <w:r w:rsidRPr="003B2786">
        <w:rPr>
          <w:rFonts w:ascii="Sylfaen" w:hAnsi="Sylfaen"/>
          <w:sz w:val="24"/>
          <w:szCs w:val="24"/>
        </w:rPr>
        <w:t xml:space="preserve"> այդ մասին ծանուցում են ռեֆերենտ</w:t>
      </w:r>
      <w:r w:rsidRPr="003B2786" w:rsidDel="00FA0ABC">
        <w:rPr>
          <w:rFonts w:ascii="Sylfaen" w:hAnsi="Sylfaen"/>
          <w:sz w:val="24"/>
          <w:szCs w:val="24"/>
        </w:rPr>
        <w:t xml:space="preserve"> </w:t>
      </w:r>
      <w:r w:rsidRPr="003B2786">
        <w:rPr>
          <w:rFonts w:ascii="Sylfaen" w:hAnsi="Sylfaen"/>
          <w:sz w:val="24"/>
          <w:szCs w:val="24"/>
        </w:rPr>
        <w:t>պետության լիազորված մարմնին (փորձագիտական կազմակերպությանը):</w:t>
      </w:r>
    </w:p>
    <w:p w14:paraId="35B6E44E" w14:textId="443514FE"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Ճանաչման պետության լիազորված մարմինը (փորձագիտական կազմակերպությունը) անհրաժեշտության դեպքում՝ ոչ ուշ, քան գնահատման վերաբերյալ հաշվետվության նախագծին հասանելիություն ստանալու օրվանից 20 օրացուցային օրվա ընթացքում, հարցում է ուղարկում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w:t>
      </w:r>
      <w:r w:rsidRPr="003B2786">
        <w:rPr>
          <w:rFonts w:ascii="Sylfaen" w:hAnsi="Sylfaen"/>
          <w:sz w:val="24"/>
          <w:szCs w:val="24"/>
        </w:rPr>
        <w:lastRenderedPageBreak/>
        <w:t xml:space="preserve">համաձայն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18 հավելվածով սահմանված ձ</w:t>
      </w:r>
      <w:r w:rsidR="00C54D75">
        <w:rPr>
          <w:rFonts w:ascii="Sylfaen" w:hAnsi="Sylfaen"/>
          <w:sz w:val="24"/>
          <w:szCs w:val="24"/>
        </w:rPr>
        <w:t>և</w:t>
      </w:r>
      <w:r w:rsidRPr="003B2786">
        <w:rPr>
          <w:rFonts w:ascii="Sylfaen" w:hAnsi="Sylfaen"/>
          <w:sz w:val="24"/>
          <w:szCs w:val="24"/>
        </w:rPr>
        <w:t>ի։</w:t>
      </w:r>
    </w:p>
    <w:p w14:paraId="44615B2E" w14:textId="41706680" w:rsidR="008C76E0" w:rsidRPr="003B2786" w:rsidRDefault="0056496B" w:rsidP="00593820">
      <w:pPr>
        <w:tabs>
          <w:tab w:val="left" w:pos="1701"/>
        </w:tabs>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90 օրացուցային օրը չգերազանցող ժամկետում ճանաչման պետությունների </w:t>
      </w:r>
      <w:r w:rsidR="00C54D75">
        <w:rPr>
          <w:rFonts w:ascii="Sylfaen" w:hAnsi="Sylfaen"/>
          <w:sz w:val="24"/>
          <w:szCs w:val="24"/>
        </w:rPr>
        <w:t>և</w:t>
      </w:r>
      <w:r w:rsidR="008C76E0" w:rsidRPr="003B2786">
        <w:rPr>
          <w:rFonts w:ascii="Sylfaen" w:hAnsi="Sylfaen"/>
          <w:sz w:val="24"/>
          <w:szCs w:val="24"/>
        </w:rPr>
        <w:t xml:space="preserve"> ռեֆերենտ</w:t>
      </w:r>
      <w:r w:rsidR="008C76E0" w:rsidRPr="003B2786" w:rsidDel="00FA0ABC">
        <w:rPr>
          <w:rFonts w:ascii="Sylfaen" w:hAnsi="Sylfaen"/>
          <w:sz w:val="24"/>
          <w:szCs w:val="24"/>
        </w:rPr>
        <w:t xml:space="preserve"> </w:t>
      </w:r>
      <w:r w:rsidR="008C76E0" w:rsidRPr="003B2786">
        <w:rPr>
          <w:rFonts w:ascii="Sylfaen" w:hAnsi="Sylfaen"/>
          <w:sz w:val="24"/>
          <w:szCs w:val="24"/>
        </w:rPr>
        <w:t xml:space="preserve">պետության լիազորված մարմին (փորձագիտական կազմակերպություն) է ուղարկում հարցման պատասխանը։ Հարցմանը </w:t>
      </w:r>
      <w:r>
        <w:rPr>
          <w:rFonts w:ascii="Sylfaen" w:hAnsi="Sylfaen"/>
          <w:sz w:val="24"/>
          <w:szCs w:val="24"/>
        </w:rPr>
        <w:t>դիմումատու</w:t>
      </w:r>
      <w:r w:rsidR="008C76E0" w:rsidRPr="003B2786">
        <w:rPr>
          <w:rFonts w:ascii="Sylfaen" w:hAnsi="Sylfaen"/>
          <w:sz w:val="24"/>
          <w:szCs w:val="24"/>
        </w:rPr>
        <w:t xml:space="preserve">ի պատասխանի ժամկետը չի ներառվում դեղապատրաստուկի փորձաքննություն անցկացնելու </w:t>
      </w:r>
      <w:r w:rsidR="00C54D75">
        <w:rPr>
          <w:rFonts w:ascii="Sylfaen" w:hAnsi="Sylfaen"/>
          <w:sz w:val="24"/>
          <w:szCs w:val="24"/>
        </w:rPr>
        <w:t>և</w:t>
      </w:r>
      <w:r w:rsidR="008C76E0" w:rsidRPr="003B2786">
        <w:rPr>
          <w:rFonts w:ascii="Sylfaen" w:hAnsi="Sylfaen"/>
          <w:sz w:val="24"/>
          <w:szCs w:val="24"/>
        </w:rPr>
        <w:t xml:space="preserve"> գրանցման դոսյեի մեջ փոփոխությունների կատարման ընթացակարգի ընդհանուր ժամկետի մեջ։</w:t>
      </w:r>
    </w:p>
    <w:p w14:paraId="65F3BB31" w14:textId="2AD197EE"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Ճանաչման պետության լիազորված մարմնի (փորձագիտական կազմակերպության) կողմից հարցված փաստաթղթերն ու տվյալները </w:t>
      </w:r>
      <w:r w:rsidR="0056496B">
        <w:rPr>
          <w:rFonts w:ascii="Sylfaen" w:hAnsi="Sylfaen"/>
          <w:sz w:val="24"/>
          <w:szCs w:val="24"/>
        </w:rPr>
        <w:t>դիմումատու</w:t>
      </w:r>
      <w:r w:rsidRPr="003B2786">
        <w:rPr>
          <w:rFonts w:ascii="Sylfaen" w:hAnsi="Sylfaen"/>
          <w:sz w:val="24"/>
          <w:szCs w:val="24"/>
        </w:rPr>
        <w:t>ի կողմից չներկայացվելու դեպքում ճանաչման տվյալ պետությունում դեղապատրաստուկի փորձաքննությունն ու փոփոխությունների կատարման ընթացակարգը դադարեցվում են:</w:t>
      </w:r>
    </w:p>
    <w:p w14:paraId="52612B94" w14:textId="302D633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Լիազորված մարմնի (փորձագիտական կազմակերպության) կայացրած որոշման մասին </w:t>
      </w:r>
      <w:r w:rsidR="0056496B">
        <w:rPr>
          <w:rFonts w:ascii="Sylfaen" w:hAnsi="Sylfaen"/>
          <w:sz w:val="24"/>
          <w:szCs w:val="24"/>
        </w:rPr>
        <w:t>դիմումատու</w:t>
      </w:r>
      <w:r w:rsidRPr="003B2786">
        <w:rPr>
          <w:rFonts w:ascii="Sylfaen" w:hAnsi="Sylfaen"/>
          <w:sz w:val="24"/>
          <w:szCs w:val="24"/>
        </w:rPr>
        <w:t xml:space="preserve">ն տեղեկացվում է էլեկտրոնային </w:t>
      </w:r>
      <w:r w:rsidR="00C54D75">
        <w:rPr>
          <w:rFonts w:ascii="Sylfaen" w:hAnsi="Sylfaen"/>
          <w:sz w:val="24"/>
          <w:szCs w:val="24"/>
        </w:rPr>
        <w:t>և</w:t>
      </w:r>
      <w:r w:rsidRPr="003B2786">
        <w:rPr>
          <w:rFonts w:ascii="Sylfaen" w:hAnsi="Sylfaen"/>
          <w:sz w:val="24"/>
          <w:szCs w:val="24"/>
        </w:rPr>
        <w:t xml:space="preserve"> թղթային եղանակով այդ որոշման ընդունման օրվանից 10 աշխատանքային օրվա ընթացքում:</w:t>
      </w:r>
    </w:p>
    <w:p w14:paraId="74D1B25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2.3.7.</w:t>
      </w:r>
      <w:r w:rsidRPr="003B2786">
        <w:rPr>
          <w:rFonts w:ascii="Sylfaen" w:hAnsi="Sylfaen"/>
          <w:sz w:val="24"/>
          <w:szCs w:val="24"/>
        </w:rPr>
        <w:tab/>
        <w:t>Եթե ճանաչման պետությունների լիազորված մարմինը (փորձագիտական կազմակերպությունը) 2.3.6 ենթակետի առաջին պարբերության մեջ նշված ժամկետի ընթացքում չի ուղարկում ռեֆերենտ</w:t>
      </w:r>
      <w:r w:rsidRPr="003B2786" w:rsidDel="00FA0ABC">
        <w:rPr>
          <w:rFonts w:ascii="Sylfaen" w:hAnsi="Sylfaen"/>
          <w:sz w:val="24"/>
          <w:szCs w:val="24"/>
        </w:rPr>
        <w:t xml:space="preserve"> </w:t>
      </w:r>
      <w:r w:rsidRPr="003B2786">
        <w:rPr>
          <w:rFonts w:ascii="Sylfaen" w:hAnsi="Sylfaen"/>
          <w:sz w:val="24"/>
          <w:szCs w:val="24"/>
        </w:rPr>
        <w:t>պետության փորձագիտական կազմակերպության կողմից պատրաստված՝ գնահատման վերաբերյալ փորձագիտական հաշվետվությունն ընդունելու անհնարինության մասին եզրակացությունը, ապա որոշումը պետք է դիտարկվի որպես այդ լիազորված մարմնի (փորձագիտական կազմակերպության) կողմից ընդունված:</w:t>
      </w:r>
    </w:p>
    <w:p w14:paraId="2BB4A5A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2.3.8.</w:t>
      </w:r>
      <w:r w:rsidRPr="003B2786">
        <w:rPr>
          <w:rFonts w:ascii="Sylfaen" w:hAnsi="Sylfaen"/>
          <w:sz w:val="24"/>
          <w:szCs w:val="24"/>
        </w:rPr>
        <w:tab/>
        <w:t xml:space="preserve">Եթե սույն հավելվածի 2.3.7 ենթակետում հիշատակված որոշումը, սույն հավելվածի 2.3.6 </w:t>
      </w:r>
      <w:r w:rsidR="00C54D75">
        <w:rPr>
          <w:rFonts w:ascii="Sylfaen" w:hAnsi="Sylfaen"/>
          <w:sz w:val="24"/>
          <w:szCs w:val="24"/>
        </w:rPr>
        <w:t>և</w:t>
      </w:r>
      <w:r w:rsidRPr="003B2786">
        <w:rPr>
          <w:rFonts w:ascii="Sylfaen" w:hAnsi="Sylfaen"/>
          <w:sz w:val="24"/>
          <w:szCs w:val="24"/>
        </w:rPr>
        <w:t xml:space="preserve"> 2.3.7 ենթակետերին համապատասխան, ընդունվում է բոլոր լիազորված մարմինների կողմից, ապա ձեռնարկվում են սույն հավելվածի 2.4 կետում նշված միջոցները:</w:t>
      </w:r>
    </w:p>
    <w:p w14:paraId="4C44BC7B" w14:textId="707396B8"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Այն դեպքում, երբ սույն հավելվածի 1.6 կետի համաձայն փոփոխությունները հանգեցնում են դեղապատրաստուկի մասին տեղեկատվության վերանայման, լիազորված մարմինները փոփոխությունը հաստատելու մասին որոշում կայացնելուց հետո՝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հանձնում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3FFA456" w14:textId="06E0C4C5"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Լիազորված մարմիններն իրավունք ունեն մինչ</w:t>
      </w:r>
      <w:r w:rsidR="00C54D75">
        <w:rPr>
          <w:rFonts w:ascii="Sylfaen" w:hAnsi="Sylfaen"/>
          <w:sz w:val="24"/>
          <w:szCs w:val="24"/>
        </w:rPr>
        <w:t>և</w:t>
      </w:r>
      <w:r w:rsidRPr="003B2786">
        <w:rPr>
          <w:rFonts w:ascii="Sylfaen" w:hAnsi="Sylfaen"/>
          <w:sz w:val="24"/>
          <w:szCs w:val="24"/>
        </w:rPr>
        <w:t xml:space="preserve"> 30 օրացուցային օր երկարաձգելու սույն կետի առաջին պարբերության մեջ նշված ժամկետն այն դեպքում, երբ </w:t>
      </w:r>
      <w:r w:rsidR="0056496B">
        <w:rPr>
          <w:rFonts w:ascii="Sylfaen" w:hAnsi="Sylfaen"/>
          <w:sz w:val="24"/>
          <w:szCs w:val="24"/>
        </w:rPr>
        <w:t>դիմումատու</w:t>
      </w:r>
      <w:r w:rsidRPr="003B2786">
        <w:rPr>
          <w:rFonts w:ascii="Sylfaen" w:hAnsi="Sylfaen"/>
          <w:sz w:val="24"/>
          <w:szCs w:val="24"/>
        </w:rPr>
        <w:t xml:space="preserve">ն ներկայացրել է խմբային փոփոխություններ՝ համաձայն սույն հավելվածի 1.7.2 </w:t>
      </w:r>
      <w:r w:rsidR="00C54D75">
        <w:rPr>
          <w:rFonts w:ascii="Sylfaen" w:hAnsi="Sylfaen"/>
          <w:sz w:val="24"/>
          <w:szCs w:val="24"/>
        </w:rPr>
        <w:t>և</w:t>
      </w:r>
      <w:r w:rsidRPr="003B2786">
        <w:rPr>
          <w:rFonts w:ascii="Sylfaen" w:hAnsi="Sylfaen"/>
          <w:sz w:val="24"/>
          <w:szCs w:val="24"/>
        </w:rPr>
        <w:t xml:space="preserve"> 1.7.3 կետերի:</w:t>
      </w:r>
    </w:p>
    <w:p w14:paraId="01502F1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2.3.9.</w:t>
      </w:r>
      <w:r w:rsidRPr="003B2786">
        <w:rPr>
          <w:rFonts w:ascii="Sylfaen" w:hAnsi="Sylfaen"/>
          <w:sz w:val="24"/>
          <w:szCs w:val="24"/>
        </w:rPr>
        <w:tab/>
        <w:t>Սույն բաժինը չի կիրառվում, եթե II տիպի փոփոխության վերաբերյալ հարցումը ներկայացված է փոփոխությունների՝ դեղապատրաստուկի գրանցման ընդլայնում ներառող խմբի կազմում: Այդ դեպքում կիրառվում է 4.1.1 ենթակետով նախատեսված ընթացակարգը:</w:t>
      </w:r>
    </w:p>
    <w:p w14:paraId="7C2A5F03"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2.4.</w:t>
      </w:r>
      <w:r w:rsidRPr="003B2786">
        <w:rPr>
          <w:rFonts w:ascii="Sylfaen" w:hAnsi="Sylfaen"/>
          <w:sz w:val="24"/>
          <w:szCs w:val="24"/>
        </w:rPr>
        <w:tab/>
        <w:t>Սույն հավելվածի 2.3-2.5 կետերով նախատեսված ընթացակարգերը եզրափակելու համար անհրաժեշտ միջոցները</w:t>
      </w:r>
    </w:p>
    <w:p w14:paraId="008BED02"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2.4.1.</w:t>
      </w:r>
      <w:r w:rsidRPr="003B2786">
        <w:rPr>
          <w:rFonts w:ascii="Sylfaen" w:hAnsi="Sylfaen"/>
          <w:sz w:val="24"/>
          <w:szCs w:val="24"/>
        </w:rPr>
        <w:tab/>
        <w:t>Վկայակոչելով սույն կետը՝ ռեֆերենտ</w:t>
      </w:r>
      <w:r w:rsidRPr="003B2786" w:rsidDel="00FA0ABC">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պետք է ձեռնարկի հետ</w:t>
      </w:r>
      <w:r w:rsidR="00C54D75">
        <w:rPr>
          <w:rFonts w:ascii="Sylfaen" w:hAnsi="Sylfaen"/>
          <w:sz w:val="24"/>
          <w:szCs w:val="24"/>
        </w:rPr>
        <w:t>և</w:t>
      </w:r>
      <w:r w:rsidRPr="003B2786">
        <w:rPr>
          <w:rFonts w:ascii="Sylfaen" w:hAnsi="Sylfaen"/>
          <w:sz w:val="24"/>
          <w:szCs w:val="24"/>
        </w:rPr>
        <w:t>յալ միջոցները՝</w:t>
      </w:r>
    </w:p>
    <w:p w14:paraId="13100892" w14:textId="5322987C" w:rsidR="008C76E0" w:rsidRPr="003B2786" w:rsidRDefault="0056496B" w:rsidP="00593820">
      <w:pPr>
        <w:tabs>
          <w:tab w:val="left" w:pos="1701"/>
        </w:tabs>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ին </w:t>
      </w:r>
      <w:r w:rsidR="00C54D75">
        <w:rPr>
          <w:rFonts w:ascii="Sylfaen" w:hAnsi="Sylfaen"/>
          <w:sz w:val="24"/>
          <w:szCs w:val="24"/>
        </w:rPr>
        <w:t>և</w:t>
      </w:r>
      <w:r w:rsidR="008C76E0" w:rsidRPr="003B2786">
        <w:rPr>
          <w:rFonts w:ascii="Sylfaen" w:hAnsi="Sylfaen"/>
          <w:sz w:val="24"/>
          <w:szCs w:val="24"/>
        </w:rPr>
        <w:t xml:space="preserve"> ճանաչման պետությունների համապատասխան մարմիններին ծանուցի փոփոխությունը հաստատելու կամ մերժելու մասին.</w:t>
      </w:r>
    </w:p>
    <w:p w14:paraId="69258E46" w14:textId="57BF6A9A"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փոփոխությունը մերժելու դեպքում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w:t>
      </w:r>
      <w:r w:rsidRPr="003B2786">
        <w:rPr>
          <w:rFonts w:ascii="Sylfaen" w:hAnsi="Sylfaen"/>
          <w:sz w:val="24"/>
          <w:szCs w:val="24"/>
        </w:rPr>
        <w:lastRenderedPageBreak/>
        <w:t>պետությունների համապատասխան մարմիններին ծանուցի այդպիսի որոշման հիմքերի մասին.</w:t>
      </w:r>
    </w:p>
    <w:p w14:paraId="60CFF279" w14:textId="1B032BE6"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ին </w:t>
      </w:r>
      <w:r w:rsidR="00C54D75">
        <w:rPr>
          <w:rFonts w:ascii="Sylfaen" w:hAnsi="Sylfaen"/>
          <w:sz w:val="24"/>
          <w:szCs w:val="24"/>
        </w:rPr>
        <w:t>և</w:t>
      </w:r>
      <w:r w:rsidR="008C76E0" w:rsidRPr="003B2786">
        <w:rPr>
          <w:rFonts w:ascii="Sylfaen" w:hAnsi="Sylfaen"/>
          <w:sz w:val="24"/>
          <w:szCs w:val="24"/>
        </w:rPr>
        <w:t xml:space="preserve"> ճանաչման պետությունների համապատասխան մարմիններին ծանուցի դեղապատրաստուկի գրանցման մասին որոշման ընդունման պայմանների, ներառյալ՝ դեղապատրաստուկի ընդհանուր բնութագրի </w:t>
      </w:r>
      <w:r w:rsidR="00C54D75">
        <w:rPr>
          <w:rFonts w:ascii="Sylfaen" w:hAnsi="Sylfaen"/>
          <w:sz w:val="24"/>
          <w:szCs w:val="24"/>
        </w:rPr>
        <w:t>և</w:t>
      </w:r>
      <w:r w:rsidR="008C76E0" w:rsidRPr="003B2786">
        <w:rPr>
          <w:rFonts w:ascii="Sylfaen" w:hAnsi="Sylfaen"/>
          <w:sz w:val="24"/>
          <w:szCs w:val="24"/>
        </w:rPr>
        <w:t xml:space="preserve"> ցանկացած այնպիսի պայմանի, պարտավորության կամ սահմանափակման փոփոխության անհրաժեշտության մասին, որն ազդեցություն է ունենում դեղապատրաստուկի գրանցման կամ փոփոխություն կատարելու հետ կապված դեղապատրաստուկի ընդհանուր բնութագրի փոփոխությամբ պայմանավորված՝ մակնշման կամ ներդիր թերթիկի փոփոխությունների վրա:</w:t>
      </w:r>
    </w:p>
    <w:p w14:paraId="249608C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2.4.2.</w:t>
      </w:r>
      <w:r w:rsidRPr="003B2786">
        <w:rPr>
          <w:rFonts w:ascii="Sylfaen" w:hAnsi="Sylfaen"/>
          <w:sz w:val="24"/>
          <w:szCs w:val="24"/>
        </w:rPr>
        <w:tab/>
        <w:t xml:space="preserve">Վկայակոչելով սույն կետը՝ յուրաքանչյուր լիազորված մարմին անհրաժեշտության դեպքում </w:t>
      </w:r>
      <w:r w:rsidR="00C54D75">
        <w:rPr>
          <w:rFonts w:ascii="Sylfaen" w:hAnsi="Sylfaen"/>
          <w:sz w:val="24"/>
          <w:szCs w:val="24"/>
        </w:rPr>
        <w:t>և</w:t>
      </w:r>
      <w:r w:rsidRPr="003B2786">
        <w:rPr>
          <w:rFonts w:ascii="Sylfaen" w:hAnsi="Sylfaen"/>
          <w:sz w:val="24"/>
          <w:szCs w:val="24"/>
        </w:rPr>
        <w:t xml:space="preserve"> սույն հավելվածի 4.2.1 ենթակետով սահմանված առավելագույն ժամկետի ընթացքում (բացառությամբ սույն հավելվածի 1.6 կետին համապատասխան դեղապատրաստուկի մասին տեղեկատվության վերանայման հանգեցրած փոփոխությունների) պետք է փոփոխի գրանցման մասին որոշումը՝ ընդունված փոփոխությանը համապատասխան: </w:t>
      </w:r>
    </w:p>
    <w:p w14:paraId="2ADBF86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p>
    <w:p w14:paraId="53D4C0FC" w14:textId="77777777" w:rsidR="008C76E0" w:rsidRPr="003B2786" w:rsidRDefault="008C76E0" w:rsidP="00593820">
      <w:pPr>
        <w:tabs>
          <w:tab w:val="left" w:pos="1701"/>
        </w:tabs>
        <w:spacing w:after="160" w:line="360" w:lineRule="auto"/>
        <w:ind w:right="-1"/>
        <w:jc w:val="center"/>
        <w:rPr>
          <w:rFonts w:ascii="Sylfaen" w:hAnsi="Sylfaen"/>
          <w:sz w:val="24"/>
          <w:szCs w:val="24"/>
        </w:rPr>
      </w:pPr>
      <w:r w:rsidRPr="003B2786">
        <w:rPr>
          <w:rFonts w:ascii="Sylfaen" w:hAnsi="Sylfaen"/>
          <w:sz w:val="24"/>
          <w:szCs w:val="24"/>
        </w:rPr>
        <w:t>2.5. Քննարկումը Փորձագիտական կոմիտեում</w:t>
      </w:r>
    </w:p>
    <w:p w14:paraId="23FC6747"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2.5.1.</w:t>
      </w:r>
      <w:r w:rsidRPr="003B2786">
        <w:rPr>
          <w:rFonts w:ascii="Sylfaen" w:hAnsi="Sylfaen"/>
          <w:sz w:val="24"/>
          <w:szCs w:val="24"/>
        </w:rPr>
        <w:tab/>
        <w:t>Եթե մեկ կամ մի քանի ճանաչման պետությունների լիազորված մարմինների կողմից ուղարկվել է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փորձագիտական կազմակերպության կողմից պատրաստված՝ գնահատման վերաբերյալ փորձագիտական հաշվետվությունն ընդունելու անհնարինության մասին եզրակացություն՝ սույն հավելվածի 4.1.2.9 ենթակետին </w:t>
      </w:r>
      <w:r w:rsidR="00C54D75">
        <w:rPr>
          <w:rFonts w:ascii="Sylfaen" w:hAnsi="Sylfaen"/>
          <w:sz w:val="24"/>
          <w:szCs w:val="24"/>
        </w:rPr>
        <w:t>և</w:t>
      </w:r>
      <w:r w:rsidRPr="003B2786">
        <w:rPr>
          <w:rFonts w:ascii="Sylfaen" w:hAnsi="Sylfaen"/>
          <w:sz w:val="24"/>
          <w:szCs w:val="24"/>
        </w:rPr>
        <w:t xml:space="preserve"> 2.3.6-2.3.7 ենթակետերին համապատասխան, ապա ճանաչման պետությունների լիազորված մարմինների կողմից այդպիսի եզրակացություն ուղարկելու օրվանից 60 օրացուցային օրը </w:t>
      </w:r>
      <w:r w:rsidRPr="003B2786">
        <w:rPr>
          <w:rFonts w:ascii="Sylfaen" w:hAnsi="Sylfaen"/>
          <w:spacing w:val="-4"/>
          <w:sz w:val="24"/>
          <w:szCs w:val="24"/>
        </w:rPr>
        <w:t>չգերազանցող ժամկետում Փորձագիտական կազմակերպությունն իրականացնում է տարաձայնությունների</w:t>
      </w:r>
      <w:r w:rsidRPr="003B2786">
        <w:rPr>
          <w:rFonts w:ascii="Sylfaen" w:hAnsi="Sylfaen"/>
          <w:sz w:val="24"/>
          <w:szCs w:val="24"/>
        </w:rPr>
        <w:t xml:space="preserve"> կարգավորման ընթացակարգ՝ Հանձնաժողովի որոշմամբ հաստատված կարգին համապատասխան: </w:t>
      </w:r>
    </w:p>
    <w:p w14:paraId="2512DF91"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2.5.2.</w:t>
      </w:r>
      <w:r w:rsidRPr="003B2786">
        <w:rPr>
          <w:rFonts w:ascii="Sylfaen" w:hAnsi="Sylfaen"/>
          <w:sz w:val="24"/>
          <w:szCs w:val="24"/>
        </w:rPr>
        <w:tab/>
        <w:t>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w:t>
      </w:r>
      <w:r w:rsidR="00C54D75">
        <w:rPr>
          <w:rFonts w:ascii="Sylfaen" w:hAnsi="Sylfaen"/>
          <w:sz w:val="24"/>
          <w:szCs w:val="24"/>
        </w:rPr>
        <w:t>և</w:t>
      </w:r>
      <w:r w:rsidRPr="003B2786">
        <w:rPr>
          <w:rFonts w:ascii="Sylfaen" w:hAnsi="Sylfaen"/>
          <w:sz w:val="24"/>
          <w:szCs w:val="24"/>
        </w:rPr>
        <w:t xml:space="preserve"> ճանաչման համապատասխան պետությունների լիազորված մարմինը մերժում է փոփոխություններ կատարելը, եթե դեղապատրաստուկի փորձաքննության արդյունքներով </w:t>
      </w:r>
      <w:r w:rsidR="00C54D75">
        <w:rPr>
          <w:rFonts w:ascii="Sylfaen" w:hAnsi="Sylfaen"/>
          <w:sz w:val="24"/>
          <w:szCs w:val="24"/>
        </w:rPr>
        <w:t>և</w:t>
      </w:r>
      <w:r w:rsidRPr="003B2786">
        <w:rPr>
          <w:rFonts w:ascii="Sylfaen" w:hAnsi="Sylfaen"/>
          <w:sz w:val="24"/>
          <w:szCs w:val="24"/>
        </w:rPr>
        <w:t xml:space="preserve"> Փորձագիտական կոմիտեում տարաձայնությունների կարգավորման ընթացակարգն իրականացնելուց հետո Փորձագիտական կոմիտեի կողմից ընդունվել է դեղապատրաստուկի գրանցման դոսյեի մեջ փոփոխություններ կատարելը մերժելու մասին առաջարկություն:</w:t>
      </w:r>
    </w:p>
    <w:p w14:paraId="6017902C" w14:textId="77777777" w:rsidR="008C76E0" w:rsidRPr="003B2786" w:rsidRDefault="008C76E0" w:rsidP="00593820">
      <w:pPr>
        <w:tabs>
          <w:tab w:val="left" w:pos="1418"/>
        </w:tabs>
        <w:spacing w:after="160" w:line="360" w:lineRule="auto"/>
        <w:ind w:right="-1" w:firstLine="567"/>
        <w:jc w:val="center"/>
        <w:rPr>
          <w:rFonts w:ascii="Sylfaen" w:hAnsi="Sylfaen"/>
          <w:sz w:val="24"/>
          <w:szCs w:val="24"/>
        </w:rPr>
      </w:pPr>
    </w:p>
    <w:p w14:paraId="0302C14E" w14:textId="77777777" w:rsidR="008C76E0" w:rsidRPr="00C50FD1" w:rsidRDefault="008C76E0" w:rsidP="00593820">
      <w:pPr>
        <w:spacing w:after="160" w:line="360" w:lineRule="auto"/>
        <w:ind w:left="567" w:right="566"/>
        <w:jc w:val="center"/>
        <w:outlineLvl w:val="0"/>
        <w:rPr>
          <w:rFonts w:ascii="Sylfaen" w:hAnsi="Sylfaen"/>
          <w:sz w:val="24"/>
          <w:szCs w:val="24"/>
        </w:rPr>
      </w:pPr>
      <w:r w:rsidRPr="003B2786">
        <w:rPr>
          <w:rFonts w:ascii="Sylfaen" w:hAnsi="Sylfaen"/>
          <w:sz w:val="24"/>
          <w:szCs w:val="24"/>
        </w:rPr>
        <w:t xml:space="preserve">III. Ազգային ընթացակարգով գրանցված դեղապատրաստուկների գրանցման դոսյեի մեջ փոփոխություններ կատարելը </w:t>
      </w:r>
      <w:r w:rsidRPr="003B2786">
        <w:rPr>
          <w:rFonts w:ascii="Sylfaen" w:hAnsi="Sylfaen"/>
          <w:sz w:val="24"/>
          <w:szCs w:val="24"/>
        </w:rPr>
        <w:br/>
        <w:t>(միայն ռեֆերենտ</w:t>
      </w:r>
      <w:r w:rsidRPr="003B2786" w:rsidDel="00E61B3B">
        <w:rPr>
          <w:rFonts w:ascii="Sylfaen" w:hAnsi="Sylfaen"/>
          <w:sz w:val="24"/>
          <w:szCs w:val="24"/>
        </w:rPr>
        <w:t xml:space="preserve"> </w:t>
      </w:r>
      <w:r w:rsidRPr="003B2786">
        <w:rPr>
          <w:rFonts w:ascii="Sylfaen" w:hAnsi="Sylfaen"/>
          <w:sz w:val="24"/>
          <w:szCs w:val="24"/>
        </w:rPr>
        <w:t>պետությունում)</w:t>
      </w:r>
    </w:p>
    <w:p w14:paraId="1BBE6E3B" w14:textId="77777777" w:rsidR="008C76E0" w:rsidRPr="00C50FD1" w:rsidRDefault="008C76E0" w:rsidP="00593820">
      <w:pPr>
        <w:spacing w:after="160" w:line="360" w:lineRule="auto"/>
        <w:ind w:left="567" w:right="566"/>
        <w:jc w:val="center"/>
        <w:outlineLvl w:val="0"/>
        <w:rPr>
          <w:rFonts w:ascii="Sylfaen" w:hAnsi="Sylfaen"/>
          <w:sz w:val="24"/>
          <w:szCs w:val="24"/>
        </w:rPr>
      </w:pPr>
    </w:p>
    <w:p w14:paraId="73979D4F" w14:textId="77777777" w:rsidR="008C76E0" w:rsidRPr="003B2786" w:rsidRDefault="008C76E0" w:rsidP="00593820">
      <w:pPr>
        <w:tabs>
          <w:tab w:val="left" w:pos="1418"/>
        </w:tabs>
        <w:spacing w:after="160" w:line="360" w:lineRule="auto"/>
        <w:ind w:left="567" w:right="565"/>
        <w:jc w:val="center"/>
        <w:rPr>
          <w:rFonts w:ascii="Sylfaen" w:hAnsi="Sylfaen"/>
          <w:sz w:val="24"/>
          <w:szCs w:val="24"/>
        </w:rPr>
      </w:pPr>
      <w:r>
        <w:rPr>
          <w:rFonts w:ascii="Sylfaen" w:hAnsi="Sylfaen"/>
          <w:sz w:val="24"/>
          <w:szCs w:val="24"/>
        </w:rPr>
        <w:t>3.1.</w:t>
      </w:r>
      <w:r w:rsidRPr="003B2786">
        <w:rPr>
          <w:rFonts w:ascii="Sylfaen" w:hAnsi="Sylfaen"/>
          <w:sz w:val="24"/>
          <w:szCs w:val="24"/>
        </w:rPr>
        <w:t>IA տիպի ոչ էական փոփոխություններ կատարելու մասին ծանուցելու ընթացակարգը։</w:t>
      </w:r>
    </w:p>
    <w:p w14:paraId="1A7AC24F" w14:textId="4D329696"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3.1.1.</w:t>
      </w:r>
      <w:r w:rsidRPr="003B2786">
        <w:rPr>
          <w:rFonts w:ascii="Sylfaen" w:hAnsi="Sylfaen"/>
          <w:sz w:val="24"/>
          <w:szCs w:val="24"/>
        </w:rPr>
        <w:tab/>
        <w:t xml:space="preserve">IA տիպի ոչ էական փոփոխություն կատարելու դեպքում </w:t>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համապատասխան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պետությունների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IV լրացման մեջ նշված տարրերը պարունակող փոփոխության դոսյեն (ծանուցումը): Այդպիսի ծանուցումն անհրաժեշտ է ներկայացնել փոփոխություններն իրագործելուց հետո՝ 365 օրացուցային օրվա (12 ամսվա) ընթացքում՝ բացառությամբ սույն հավելվածի 1.6 կետի համաձայն դեղապատրաստուկի մասին տեղեկատվության վերանայման հանգեցրած փոփոխությունների, որոնց մասով համապատասխան </w:t>
      </w:r>
      <w:r w:rsidR="0056496B">
        <w:rPr>
          <w:rFonts w:ascii="Sylfaen" w:hAnsi="Sylfaen"/>
          <w:sz w:val="24"/>
          <w:szCs w:val="24"/>
        </w:rPr>
        <w:t>դիմում</w:t>
      </w:r>
      <w:r w:rsidRPr="003B2786">
        <w:rPr>
          <w:rFonts w:ascii="Sylfaen" w:hAnsi="Sylfaen"/>
          <w:sz w:val="24"/>
          <w:szCs w:val="24"/>
        </w:rPr>
        <w:t>ն անհրաժեշտ է ներկայացնել նախքան փոփոխության իրագործումը:</w:t>
      </w:r>
    </w:p>
    <w:p w14:paraId="727D05A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3.1.2.</w:t>
      </w:r>
      <w:r w:rsidRPr="003B2786">
        <w:rPr>
          <w:rFonts w:ascii="Sylfaen" w:hAnsi="Sylfaen"/>
          <w:sz w:val="24"/>
          <w:szCs w:val="24"/>
        </w:rPr>
        <w:tab/>
        <w:t>Դիտարկվող դեղապատրաստուկի անընդհատ հսկողության նպատակով անհապաղ ծանուցում պահանջող ոչ էական փոփոխությունների առնչությամբ ծանուցումն անհրաժեշտ է ներկայացնել փոփոխություններն իրագործելուց անմիջապես հետո:</w:t>
      </w:r>
    </w:p>
    <w:p w14:paraId="414F816F"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3.1.3.</w:t>
      </w:r>
      <w:r w:rsidRPr="003B2786">
        <w:rPr>
          <w:rFonts w:ascii="Sylfaen" w:hAnsi="Sylfaen"/>
          <w:sz w:val="24"/>
          <w:szCs w:val="24"/>
        </w:rPr>
        <w:tab/>
        <w:t>Ծանուցումն ստանալու օրվանից 30 օրացուցային օրվա ընթացքում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ձեռնարկում է սույն հավելվածի 3.5 բաժնում նշված միջոցները:</w:t>
      </w:r>
    </w:p>
    <w:p w14:paraId="2225532C" w14:textId="3B2E24DF"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բաժնի համաձայն փոփոխությունները հանգեցնում են դեղապատրաստուկի մասին տեղեկատվության վերանայման,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З.1.З ենթակետում նշված ժամկետից ոչ ուշ, քան 10 աշխատանքային օրվա ընթացքում,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ներկայացնում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CF47C47" w14:textId="3DD9A9BF" w:rsidR="008C76E0" w:rsidRPr="00C50FD1"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ենթակետի առաջին </w:t>
      </w:r>
      <w:r w:rsidR="00C54D75">
        <w:rPr>
          <w:rFonts w:ascii="Sylfaen" w:hAnsi="Sylfaen"/>
          <w:sz w:val="24"/>
          <w:szCs w:val="24"/>
        </w:rPr>
        <w:t>և</w:t>
      </w:r>
      <w:r w:rsidRPr="003B2786">
        <w:rPr>
          <w:rFonts w:ascii="Sylfaen" w:hAnsi="Sylfaen"/>
          <w:sz w:val="24"/>
          <w:szCs w:val="24"/>
        </w:rPr>
        <w:t xml:space="preserve"> երկրորդ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1A50799A" w14:textId="77777777" w:rsidR="008C76E0" w:rsidRPr="00C50FD1" w:rsidRDefault="008C76E0" w:rsidP="00593820">
      <w:pPr>
        <w:tabs>
          <w:tab w:val="left" w:pos="1418"/>
        </w:tabs>
        <w:spacing w:after="160" w:line="360" w:lineRule="auto"/>
        <w:ind w:right="-1" w:firstLine="567"/>
        <w:jc w:val="both"/>
        <w:rPr>
          <w:rFonts w:ascii="Sylfaen" w:hAnsi="Sylfaen"/>
          <w:sz w:val="24"/>
          <w:szCs w:val="24"/>
        </w:rPr>
      </w:pPr>
    </w:p>
    <w:p w14:paraId="1C55B934"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3.2. IB տիպի ոչ էական փոփոխությունների մասին </w:t>
      </w:r>
      <w:r w:rsidRPr="003B2786">
        <w:rPr>
          <w:rFonts w:ascii="Sylfaen" w:hAnsi="Sylfaen"/>
          <w:sz w:val="24"/>
          <w:szCs w:val="24"/>
        </w:rPr>
        <w:br/>
        <w:t>ծանուցման ընթացակարգը</w:t>
      </w:r>
    </w:p>
    <w:p w14:paraId="1FAEB278" w14:textId="15CE4DB1"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3.2.1.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համապատասխան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պետության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փոփոխության՝ IV լրացման մեջ նշված տարրերը պարունակող դոսյեն (ծանուցումը):</w:t>
      </w:r>
    </w:p>
    <w:p w14:paraId="0C017060" w14:textId="2B80104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3.2.2.</w:t>
      </w:r>
      <w:r w:rsidRPr="003B2786">
        <w:rPr>
          <w:rFonts w:ascii="Sylfaen" w:hAnsi="Sylfaen"/>
          <w:sz w:val="24"/>
          <w:szCs w:val="24"/>
        </w:rPr>
        <w:tab/>
        <w:t>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3B2786">
        <w:rPr>
          <w:rFonts w:ascii="Sylfaen" w:hAnsi="Sylfaen"/>
          <w:sz w:val="24"/>
          <w:szCs w:val="24"/>
        </w:rPr>
        <w:t xml:space="preserve">ը ներկայացնելու օրվանից 5 աշխատանքային օրվա ընթացքում անցկացնում է ներկայացված փաստաթղթերի ամբողջականության, լրակազմության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ակերպման ճշտության գնահատում՝ սույն հավելվածի 3.2.1 ենթակետին համապատասխան։</w:t>
      </w:r>
    </w:p>
    <w:p w14:paraId="2E40D0F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Եթե ծանուցումը բավարարում է սույն հավելվածի 3.2.1 կետով սահմանված պահանջներին, ապա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հաջորդ 30 օրացուցային օրվա ընթացքում հաստատում է վավեր ծանուցման ստացումը:</w:t>
      </w:r>
    </w:p>
    <w:p w14:paraId="079E6A02" w14:textId="7309C8DA"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3.2.3.</w:t>
      </w:r>
      <w:r w:rsidRPr="003B2786">
        <w:rPr>
          <w:rFonts w:ascii="Sylfaen" w:hAnsi="Sylfaen"/>
          <w:sz w:val="24"/>
          <w:szCs w:val="24"/>
        </w:rPr>
        <w:tab/>
        <w:t xml:space="preserve">Եթե ծանուցումն ստանալու օրվանից 30 օրացուցային oրվա ընթացքում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3B2786">
        <w:rPr>
          <w:rFonts w:ascii="Sylfaen" w:hAnsi="Sylfaen"/>
          <w:sz w:val="24"/>
          <w:szCs w:val="24"/>
        </w:rPr>
        <w:t xml:space="preserve">ին չի ուղարկում ծանուցումն ընդունելու </w:t>
      </w:r>
      <w:r w:rsidR="00C54D75">
        <w:rPr>
          <w:rFonts w:ascii="Sylfaen" w:hAnsi="Sylfaen"/>
          <w:sz w:val="24"/>
          <w:szCs w:val="24"/>
        </w:rPr>
        <w:t>և</w:t>
      </w:r>
      <w:r w:rsidRPr="003B2786">
        <w:rPr>
          <w:rFonts w:ascii="Sylfaen" w:hAnsi="Sylfaen"/>
          <w:sz w:val="24"/>
          <w:szCs w:val="24"/>
        </w:rPr>
        <w:t xml:space="preserve"> գրանցման դոսյեի մեջ տվյալ փոփոխությունը կատարելու անհնարինության մասին եզրակացությունը, ապա եզրակացությունը ճանաչվում է լիազորված մարմնի կողմից ընդունված (հաստատված):</w:t>
      </w:r>
    </w:p>
    <w:p w14:paraId="6355780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3.2.4.</w:t>
      </w:r>
      <w:r w:rsidRPr="003B2786">
        <w:rPr>
          <w:rFonts w:ascii="Sylfaen" w:hAnsi="Sylfaen"/>
          <w:sz w:val="24"/>
          <w:szCs w:val="24"/>
        </w:rPr>
        <w:tab/>
        <w:t>Եթե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ընդունում է ծանուցումը հաստատելու մասին դրական որոշում, ապա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ձեռնարկում է սույն հավելվածի 3.5 կետում նշված </w:t>
      </w:r>
      <w:r w:rsidRPr="003B2786">
        <w:rPr>
          <w:rFonts w:ascii="Sylfaen" w:hAnsi="Sylfaen"/>
          <w:sz w:val="24"/>
          <w:szCs w:val="24"/>
        </w:rPr>
        <w:lastRenderedPageBreak/>
        <w:t>միջոցները:</w:t>
      </w:r>
    </w:p>
    <w:p w14:paraId="60E9E826" w14:textId="02EA3E9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սույն հավելվածի 3.2.3 ենթակետում նշված ժամկետից ոչ ուշ, քան 10 աշխատանքային օրվա ընթացքում,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հանձնում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87BEA93" w14:textId="1405AF61"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հավելվածի 3.2.3 </w:t>
      </w:r>
      <w:r w:rsidR="00C54D75">
        <w:rPr>
          <w:rFonts w:ascii="Sylfaen" w:hAnsi="Sylfaen"/>
          <w:sz w:val="24"/>
          <w:szCs w:val="24"/>
        </w:rPr>
        <w:t>և</w:t>
      </w:r>
      <w:r w:rsidRPr="003B2786">
        <w:rPr>
          <w:rFonts w:ascii="Sylfaen" w:hAnsi="Sylfaen"/>
          <w:sz w:val="24"/>
          <w:szCs w:val="24"/>
        </w:rPr>
        <w:t xml:space="preserve"> 3.2.4 ենթակետերում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14E2CB0B" w14:textId="69570B3E"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3.2.5.</w:t>
      </w:r>
      <w:r w:rsidRPr="003B2786">
        <w:rPr>
          <w:rFonts w:ascii="Sylfaen" w:hAnsi="Sylfaen"/>
          <w:sz w:val="24"/>
          <w:szCs w:val="24"/>
        </w:rPr>
        <w:tab/>
        <w:t>Եթե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եզրակացության համաձայն՝ փոփոխությունների կատարման մասին </w:t>
      </w:r>
      <w:r w:rsidR="0056496B">
        <w:rPr>
          <w:rFonts w:ascii="Sylfaen" w:hAnsi="Sylfaen"/>
          <w:sz w:val="24"/>
          <w:szCs w:val="24"/>
        </w:rPr>
        <w:t>դիմումատու</w:t>
      </w:r>
      <w:r w:rsidRPr="003B2786">
        <w:rPr>
          <w:rFonts w:ascii="Sylfaen" w:hAnsi="Sylfaen"/>
          <w:sz w:val="24"/>
          <w:szCs w:val="24"/>
        </w:rPr>
        <w:t>ի ծանուցումը չի կարող հաստատվել, ապա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սույն հավելվածի 3.2.3 ենթակետի համաձայն, էլեկտրոնային կամ թղթային եղանակով դրա մասին ծանուցում է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պետության համապատասխան մարմիններին՝ նշելով բացասական եզրակացության հիմքերը:</w:t>
      </w:r>
    </w:p>
    <w:p w14:paraId="5B941CF7" w14:textId="6D5E25A1"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3.2.6.</w:t>
      </w:r>
      <w:r w:rsidRPr="003B2786">
        <w:rPr>
          <w:rFonts w:ascii="Sylfaen" w:hAnsi="Sylfaen"/>
          <w:sz w:val="24"/>
          <w:szCs w:val="24"/>
        </w:rPr>
        <w:tab/>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3B2786">
        <w:rPr>
          <w:rFonts w:ascii="Sylfaen" w:hAnsi="Sylfaen"/>
          <w:sz w:val="24"/>
          <w:szCs w:val="24"/>
        </w:rPr>
        <w:t>ն իրավունք ունի փոփոխության լրացված դոսյեն կրկին ներկայացնելու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w:t>
      </w:r>
      <w:r w:rsidRPr="003B2786">
        <w:rPr>
          <w:rFonts w:ascii="Sylfaen" w:hAnsi="Sylfaen"/>
          <w:sz w:val="24"/>
          <w:szCs w:val="24"/>
        </w:rPr>
        <w:lastRenderedPageBreak/>
        <w:t>(փորձագիտական կազմակերպություն)՝ սույն հավելվածի 3.2.5 ենթակետում նշված եզրակացությանը համապատասխան:</w:t>
      </w:r>
    </w:p>
    <w:p w14:paraId="5C2823DE" w14:textId="744FB440"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3.2.7.</w:t>
      </w:r>
      <w:r w:rsidRPr="003B2786">
        <w:rPr>
          <w:rFonts w:ascii="Sylfaen" w:hAnsi="Sylfaen"/>
          <w:sz w:val="24"/>
          <w:szCs w:val="24"/>
        </w:rPr>
        <w:tab/>
        <w:t xml:space="preserve">Եթե </w:t>
      </w:r>
      <w:r w:rsidR="0056496B">
        <w:rPr>
          <w:rFonts w:ascii="Sylfaen" w:hAnsi="Sylfaen"/>
          <w:sz w:val="24"/>
          <w:szCs w:val="24"/>
        </w:rPr>
        <w:t>դիմումատու</w:t>
      </w:r>
      <w:r w:rsidRPr="003B2786">
        <w:rPr>
          <w:rFonts w:ascii="Sylfaen" w:hAnsi="Sylfaen"/>
          <w:sz w:val="24"/>
          <w:szCs w:val="24"/>
        </w:rPr>
        <w:t>ն սույն հավելվածի 3.2.6 կետին համապատասխան չի ներկայացնում լրացված ծանուցում, ապա ծանուցումը ճանաչվում է մերժված:</w:t>
      </w:r>
    </w:p>
    <w:p w14:paraId="0AF4EA5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3.2.8.</w:t>
      </w:r>
      <w:r w:rsidRPr="003B2786">
        <w:rPr>
          <w:rFonts w:ascii="Sylfaen" w:hAnsi="Sylfaen"/>
          <w:sz w:val="24"/>
          <w:szCs w:val="24"/>
        </w:rPr>
        <w:tab/>
        <w:t>Լրացված ծանուցում ներկայացնելիս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ուսումնասիրում է նորից ներկայացված փաստաթղթերը </w:t>
      </w:r>
      <w:r w:rsidR="00C54D75">
        <w:rPr>
          <w:rFonts w:ascii="Sylfaen" w:hAnsi="Sylfaen"/>
          <w:sz w:val="24"/>
          <w:szCs w:val="24"/>
        </w:rPr>
        <w:t>և</w:t>
      </w:r>
      <w:r w:rsidRPr="003B2786">
        <w:rPr>
          <w:rFonts w:ascii="Sylfaen" w:hAnsi="Sylfaen"/>
          <w:sz w:val="24"/>
          <w:szCs w:val="24"/>
        </w:rPr>
        <w:t xml:space="preserve"> տվյալները ոչ ուշ, քան այն ստանալու օրվանից 30 աշխատանքային օրվա ընթացքում, ինչից հետո կիրառվում են սույն հավելվածի 3.5 կետում նշված միջոցները:</w:t>
      </w:r>
    </w:p>
    <w:p w14:paraId="70CE0A20"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3.2.9.</w:t>
      </w:r>
      <w:r w:rsidRPr="003B2786">
        <w:rPr>
          <w:rFonts w:ascii="Sylfaen" w:hAnsi="Sylfaen"/>
          <w:sz w:val="24"/>
          <w:szCs w:val="24"/>
        </w:rPr>
        <w:tab/>
        <w:t xml:space="preserve">Սույն կետը չի կիրառվում, եթե IB տիպի փոփոխության վերաբերյալ հարցումը ներկայացված է II տիպի փոփոխություն ներառող </w:t>
      </w:r>
      <w:r w:rsidR="00C54D75">
        <w:rPr>
          <w:rFonts w:ascii="Sylfaen" w:hAnsi="Sylfaen"/>
          <w:sz w:val="24"/>
          <w:szCs w:val="24"/>
        </w:rPr>
        <w:t>և</w:t>
      </w:r>
      <w:r w:rsidRPr="003B2786">
        <w:rPr>
          <w:rFonts w:ascii="Sylfaen" w:hAnsi="Sylfaen"/>
          <w:sz w:val="24"/>
          <w:szCs w:val="24"/>
        </w:rPr>
        <w:t xml:space="preserve"> գրանցման ընդլայնում չպարունակող փոփոխությունների խմբի կազմում: Այդ դեպքում կիրառվում է սույն հավելվածի 3.3 կետով նախատեսված` փոփոխությունների փորձաքննության ընթացակարգը:</w:t>
      </w:r>
    </w:p>
    <w:p w14:paraId="2B6772A0"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3.2.10.</w:t>
      </w:r>
      <w:r w:rsidRPr="003B2786">
        <w:rPr>
          <w:rFonts w:ascii="Sylfaen" w:hAnsi="Sylfaen"/>
          <w:sz w:val="24"/>
          <w:szCs w:val="24"/>
        </w:rPr>
        <w:tab/>
        <w:t>Սույն կետը չի կիրառվում, եթե IB տիպի փոփոխության վերաբերյալ հարցումը ներկայացված է գրանցման ընդլայնում ներառող փոփոխությունների խմբի կազմում: Այդ դեպքում կիրառվում է սույն հավելվածի 4.1.1 ենթակետով նախատեսված ընթացակարգը:</w:t>
      </w:r>
    </w:p>
    <w:p w14:paraId="3AA5277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p>
    <w:p w14:paraId="6CE8A533"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3.3. II տիպի էական փոփոխությունների </w:t>
      </w:r>
      <w:r w:rsidRPr="003B2786">
        <w:rPr>
          <w:rFonts w:ascii="Sylfaen" w:hAnsi="Sylfaen"/>
          <w:sz w:val="24"/>
          <w:szCs w:val="24"/>
        </w:rPr>
        <w:br/>
        <w:t>փորձաքննության ընթացակարգը</w:t>
      </w:r>
    </w:p>
    <w:p w14:paraId="3416779C" w14:textId="29240DD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կանոնների թիվ 2 հավելվածի համաձայն, կամ փոփոխությունների կատարման դիմաց վճարի (տուրքի) վճարումը հաստատող փաստաթղթերը՝ անդամ պետության օրենսդրությանը համապատասխան հաստատված դեպքերում </w:t>
      </w:r>
      <w:r w:rsidR="00C54D75">
        <w:rPr>
          <w:rFonts w:ascii="Sylfaen" w:hAnsi="Sylfaen"/>
          <w:sz w:val="24"/>
          <w:szCs w:val="24"/>
        </w:rPr>
        <w:lastRenderedPageBreak/>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IV լրացման մեջ նշված տարրերը պարունակող՝ փոփոխության դոսյեն:</w:t>
      </w:r>
    </w:p>
    <w:p w14:paraId="5CF76CAB" w14:textId="245EC056"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w:t>
      </w:r>
      <w:r w:rsidR="00C54D75">
        <w:rPr>
          <w:rFonts w:ascii="Sylfaen" w:hAnsi="Sylfaen"/>
          <w:sz w:val="24"/>
          <w:szCs w:val="24"/>
        </w:rPr>
        <w:t>և</w:t>
      </w:r>
      <w:r w:rsidRPr="003B2786">
        <w:rPr>
          <w:rFonts w:ascii="Sylfaen" w:hAnsi="Sylfaen"/>
          <w:sz w:val="24"/>
          <w:szCs w:val="24"/>
        </w:rPr>
        <w:t xml:space="preserve"> փորձագիտական կազմակերպության հետ համաձայնեցնելով՝ </w:t>
      </w:r>
      <w:r w:rsidR="0056496B">
        <w:rPr>
          <w:rFonts w:ascii="Sylfaen" w:hAnsi="Sylfaen"/>
          <w:sz w:val="24"/>
          <w:szCs w:val="24"/>
        </w:rPr>
        <w:t>դիմումատու</w:t>
      </w:r>
      <w:r w:rsidRPr="003B2786">
        <w:rPr>
          <w:rFonts w:ascii="Sylfaen" w:hAnsi="Sylfaen"/>
          <w:sz w:val="24"/>
          <w:szCs w:val="24"/>
        </w:rPr>
        <w:t>ն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3B2786">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3B2786">
        <w:rPr>
          <w:rFonts w:ascii="Sylfaen" w:hAnsi="Sylfaen"/>
          <w:sz w:val="24"/>
          <w:szCs w:val="24"/>
        </w:rPr>
        <w:t xml:space="preserve"> լաբորատոր փորձարկումներ անցկացնելու համար անհրաժեշտ նյութերը:</w:t>
      </w:r>
    </w:p>
    <w:p w14:paraId="1B10C386" w14:textId="44E726A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3.3.2.</w:t>
      </w:r>
      <w:r w:rsidRPr="003B2786">
        <w:rPr>
          <w:rFonts w:ascii="Sylfaen" w:hAnsi="Sylfaen"/>
          <w:sz w:val="24"/>
          <w:szCs w:val="24"/>
        </w:rPr>
        <w:tab/>
        <w:t>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3B2786">
        <w:rPr>
          <w:rFonts w:ascii="Sylfaen" w:hAnsi="Sylfaen"/>
          <w:sz w:val="24"/>
          <w:szCs w:val="24"/>
        </w:rPr>
        <w:t>ը ռեֆերենտ</w:t>
      </w:r>
      <w:r w:rsidRPr="003B2786" w:rsidDel="0093344B">
        <w:rPr>
          <w:rFonts w:ascii="Sylfaen" w:hAnsi="Sylfaen"/>
          <w:sz w:val="24"/>
          <w:szCs w:val="24"/>
        </w:rPr>
        <w:t xml:space="preserve"> </w:t>
      </w:r>
      <w:r w:rsidRPr="003B2786">
        <w:rPr>
          <w:rFonts w:ascii="Sylfaen" w:hAnsi="Sylfaen"/>
          <w:sz w:val="24"/>
          <w:szCs w:val="24"/>
        </w:rPr>
        <w:t xml:space="preserve">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ակերպման ճշտության գնահատում՝ սույն հավելվածի 3.3.1 ենթակետին համապատասխան։</w:t>
      </w:r>
    </w:p>
    <w:p w14:paraId="6D29B8A1" w14:textId="626D6D1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Եթե </w:t>
      </w:r>
      <w:r w:rsidR="0056496B">
        <w:rPr>
          <w:rFonts w:ascii="Sylfaen" w:hAnsi="Sylfaen"/>
          <w:sz w:val="24"/>
          <w:szCs w:val="24"/>
        </w:rPr>
        <w:t>դիմում</w:t>
      </w:r>
      <w:r w:rsidRPr="003B2786">
        <w:rPr>
          <w:rFonts w:ascii="Sylfaen" w:hAnsi="Sylfaen"/>
          <w:sz w:val="24"/>
          <w:szCs w:val="24"/>
        </w:rPr>
        <w:t xml:space="preserve">ը բավարարում է սույն հավելվածի 3.3.1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3B2786">
        <w:rPr>
          <w:rFonts w:ascii="Sylfaen" w:hAnsi="Sylfaen"/>
          <w:sz w:val="24"/>
          <w:szCs w:val="24"/>
        </w:rPr>
        <w:t>ի ստացումը:</w:t>
      </w:r>
    </w:p>
    <w:p w14:paraId="749CE73B" w14:textId="0440E6F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93344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3B2786">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ընթացակարգի ժամկետի մեջ։</w:t>
      </w:r>
    </w:p>
    <w:p w14:paraId="425FAE41" w14:textId="4D86A13F"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93344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3B2786">
        <w:rPr>
          <w:rFonts w:ascii="Sylfaen" w:hAnsi="Sylfaen"/>
          <w:sz w:val="24"/>
          <w:szCs w:val="24"/>
        </w:rPr>
        <w:t xml:space="preserve"> (կամ) անդամ պետության օրենսդրությամբ սահմանված դեպքերում </w:t>
      </w:r>
      <w:r w:rsidR="00C54D75">
        <w:rPr>
          <w:rFonts w:ascii="Sylfaen" w:hAnsi="Sylfaen"/>
          <w:sz w:val="24"/>
          <w:szCs w:val="24"/>
        </w:rPr>
        <w:t>և</w:t>
      </w:r>
      <w:r w:rsidRPr="003B2786">
        <w:rPr>
          <w:rFonts w:ascii="Sylfaen" w:hAnsi="Sylfaen"/>
          <w:sz w:val="24"/>
          <w:szCs w:val="24"/>
        </w:rPr>
        <w:t xml:space="preserve"> կարգով փոփոխություններ կատարելու դիմաց վճարի (տուրքի) վճարումը չհաստատելու դեպքում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մերժում է գրանցման դոսյեի մեջ փոփոխություններ </w:t>
      </w:r>
      <w:r w:rsidRPr="003B2786">
        <w:rPr>
          <w:rFonts w:ascii="Sylfaen" w:hAnsi="Sylfaen"/>
          <w:sz w:val="24"/>
          <w:szCs w:val="24"/>
        </w:rPr>
        <w:lastRenderedPageBreak/>
        <w:t xml:space="preserve">կատարելու </w:t>
      </w:r>
      <w:r w:rsidR="0056496B">
        <w:rPr>
          <w:rFonts w:ascii="Sylfaen" w:hAnsi="Sylfaen"/>
          <w:sz w:val="24"/>
          <w:szCs w:val="24"/>
        </w:rPr>
        <w:t>դիմում</w:t>
      </w:r>
      <w:r w:rsidRPr="003B2786">
        <w:rPr>
          <w:rFonts w:ascii="Sylfaen" w:hAnsi="Sylfaen"/>
          <w:sz w:val="24"/>
          <w:szCs w:val="24"/>
        </w:rPr>
        <w:t>ը։</w:t>
      </w:r>
    </w:p>
    <w:p w14:paraId="6BACDC23" w14:textId="26475FC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3.3.3.</w:t>
      </w:r>
      <w:r w:rsidRPr="003B2786">
        <w:rPr>
          <w:rFonts w:ascii="Sylfaen" w:hAnsi="Sylfaen"/>
          <w:sz w:val="24"/>
          <w:szCs w:val="24"/>
        </w:rPr>
        <w:tab/>
        <w:t xml:space="preserve">Սույն հավելվածի 3.3.1 ենթակետում նշված՝ փոփոխությունների կատարման վավեր </w:t>
      </w:r>
      <w:r w:rsidR="0056496B">
        <w:rPr>
          <w:rFonts w:ascii="Sylfaen" w:hAnsi="Sylfaen"/>
          <w:sz w:val="24"/>
          <w:szCs w:val="24"/>
        </w:rPr>
        <w:t>դիմում</w:t>
      </w:r>
      <w:r w:rsidRPr="003B2786">
        <w:rPr>
          <w:rFonts w:ascii="Sylfaen" w:hAnsi="Sylfaen"/>
          <w:sz w:val="24"/>
          <w:szCs w:val="24"/>
        </w:rPr>
        <w:t xml:space="preserve">ը ստանալու օրվանից ոչ ուշ, քան 60 օրացուցային օրվա ընթացքում լիազորված մարմինը (փորձագիտական կազմակերպությունը) պետք է ավարտի դեղամիջոցի փորձաքննությունը </w:t>
      </w:r>
      <w:r w:rsidR="00C54D75">
        <w:rPr>
          <w:rFonts w:ascii="Sylfaen" w:hAnsi="Sylfaen"/>
          <w:sz w:val="24"/>
          <w:szCs w:val="24"/>
        </w:rPr>
        <w:t>և</w:t>
      </w:r>
      <w:r w:rsidRPr="003B2786">
        <w:rPr>
          <w:rFonts w:ascii="Sylfaen" w:hAnsi="Sylfaen"/>
          <w:sz w:val="24"/>
          <w:szCs w:val="24"/>
        </w:rPr>
        <w:t xml:space="preserve"> պատրաստի գնահատման վերաբերյալ փորձագիտական հաշվետվություն:</w:t>
      </w:r>
    </w:p>
    <w:p w14:paraId="61861376"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3.3.4.</w:t>
      </w:r>
      <w:r w:rsidRPr="003B2786">
        <w:rPr>
          <w:rFonts w:ascii="Sylfaen" w:hAnsi="Sylfaen"/>
          <w:sz w:val="24"/>
          <w:szCs w:val="24"/>
        </w:rPr>
        <w:tab/>
        <w:t>Լիազորված մարմինը (փորձագիտական կազմակերպությունը) իրավունք ունի կրճատելու սույն հավելվածի 3.3.3 ենթակետում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ափոխման կամ կիրառման նոր ցուցումներ ներառելու հիմքում ընկած փոփոխություններով կամ փոփոխությունների խմբով պայմանավորված՝ սույն հավելվածի 3.4.2 ենթակետի երրորդ պարբերությանը համապատասխան:</w:t>
      </w:r>
    </w:p>
    <w:p w14:paraId="6FA593AB"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3.3.5.</w:t>
      </w:r>
      <w:r w:rsidRPr="003B2786">
        <w:rPr>
          <w:rFonts w:ascii="Sylfaen" w:hAnsi="Sylfaen"/>
          <w:sz w:val="24"/>
          <w:szCs w:val="24"/>
        </w:rPr>
        <w:tab/>
        <w:t>I լրացման 2-րդ բաժնում թվարկված փոփոխությունների մասով սույն հավելվածի 3.3.3 ենթակետում նշված փորձաքննության ժամկետը կազմում է 90 օրացուցային օրվանից ոչ ավելի:</w:t>
      </w:r>
    </w:p>
    <w:p w14:paraId="3E1F065A" w14:textId="442E6862"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3.3.6.</w:t>
      </w:r>
      <w:r w:rsidRPr="003B2786">
        <w:rPr>
          <w:rFonts w:ascii="Sylfaen" w:hAnsi="Sylfaen"/>
          <w:sz w:val="24"/>
          <w:szCs w:val="24"/>
        </w:rPr>
        <w:tab/>
        <w:t xml:space="preserve">Սույն հավելվածի 3.3.3-3.3.5 ենթակետերում նշված ժամկետի ընթացքում լիազորված մարմինը (փորձագիտական կազմակերպությունը) իրավունք ունի այն պակասող լրացուցիչ տեղեկատվության, անհրաժեշտ պարզաբանումների կամ ներկայացված փաստաթղթերի </w:t>
      </w:r>
      <w:r w:rsidR="00C54D75">
        <w:rPr>
          <w:rFonts w:ascii="Sylfaen" w:hAnsi="Sylfaen"/>
          <w:sz w:val="24"/>
          <w:szCs w:val="24"/>
        </w:rPr>
        <w:t>և</w:t>
      </w:r>
      <w:r w:rsidRPr="003B2786">
        <w:rPr>
          <w:rFonts w:ascii="Sylfaen" w:hAnsi="Sylfaen"/>
          <w:sz w:val="24"/>
          <w:szCs w:val="24"/>
        </w:rPr>
        <w:t xml:space="preserve"> գրանցման դոսյեի տվյալների ճշտումների մասին </w:t>
      </w:r>
      <w:r w:rsidR="0056496B">
        <w:rPr>
          <w:rFonts w:ascii="Sylfaen" w:hAnsi="Sylfaen"/>
          <w:sz w:val="24"/>
          <w:szCs w:val="24"/>
        </w:rPr>
        <w:t>դիմումատու</w:t>
      </w:r>
      <w:r w:rsidRPr="003B2786">
        <w:rPr>
          <w:rFonts w:ascii="Sylfaen" w:hAnsi="Sylfaen"/>
          <w:sz w:val="24"/>
          <w:szCs w:val="24"/>
        </w:rPr>
        <w:t xml:space="preserve">ին գրավոր </w:t>
      </w:r>
      <w:r w:rsidR="00C54D75">
        <w:rPr>
          <w:rFonts w:ascii="Sylfaen" w:hAnsi="Sylfaen"/>
          <w:sz w:val="24"/>
          <w:szCs w:val="24"/>
        </w:rPr>
        <w:t>և</w:t>
      </w:r>
      <w:r w:rsidRPr="003B2786">
        <w:rPr>
          <w:rFonts w:ascii="Sylfaen" w:hAnsi="Sylfaen"/>
          <w:sz w:val="24"/>
          <w:szCs w:val="24"/>
        </w:rPr>
        <w:t xml:space="preserve"> (կամ) էլեկտրոնային եղանակով հարցում (այդ թվում՝ դեղապատրաստուկի ընդհանուր բնութագրում, բժշկական կիրառման հրահանգում, դեղապատրաստուկի փաթեթվածքի մանրակերտերում, որակի նորմատիվ փաստաթղթում կամ գրանցման դոսյեի այլ փաստաթղթերում փոփոխություններ կատարելու մասին առաջարկություններ) ուղարկելու:</w:t>
      </w:r>
    </w:p>
    <w:p w14:paraId="47436EA8" w14:textId="6E22086B"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Նշված հարցման պատասխանը </w:t>
      </w:r>
      <w:r w:rsidR="0056496B">
        <w:rPr>
          <w:rFonts w:ascii="Sylfaen" w:hAnsi="Sylfaen"/>
          <w:sz w:val="24"/>
          <w:szCs w:val="24"/>
        </w:rPr>
        <w:t>դիմումատու</w:t>
      </w:r>
      <w:r w:rsidRPr="003B2786">
        <w:rPr>
          <w:rFonts w:ascii="Sylfaen" w:hAnsi="Sylfaen"/>
          <w:sz w:val="24"/>
          <w:szCs w:val="24"/>
        </w:rPr>
        <w:t>ի կողմից ներկայացնելու ժամկետը չպետք է գերազանցի 90 օրացուցային օրը:</w:t>
      </w:r>
    </w:p>
    <w:p w14:paraId="00F8F335" w14:textId="522DF345"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lastRenderedPageBreak/>
        <w:t>Դիմումատու</w:t>
      </w:r>
      <w:r w:rsidR="008C76E0" w:rsidRPr="003B2786">
        <w:rPr>
          <w:rFonts w:ascii="Sylfaen" w:hAnsi="Sylfaen"/>
          <w:sz w:val="24"/>
          <w:szCs w:val="24"/>
        </w:rPr>
        <w:t>ի կողմից լիազորված մարմնի կամ փորձագիտական կազմակերպության հարցմամբ փաստաթղթերը ներկայացնելու ժամանակը չի մտնում փորձաքննությունն ու փոփոխությունների կատարման ընթացակարգն իրականացնելու ժամկետի մեջ:</w:t>
      </w:r>
    </w:p>
    <w:p w14:paraId="6996F95D" w14:textId="27D01B43"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Հարցված փաստաթղթերը </w:t>
      </w:r>
      <w:r w:rsidR="00C54D75">
        <w:rPr>
          <w:rFonts w:ascii="Sylfaen" w:hAnsi="Sylfaen"/>
          <w:sz w:val="24"/>
          <w:szCs w:val="24"/>
        </w:rPr>
        <w:t>և</w:t>
      </w:r>
      <w:r w:rsidRPr="003B2786">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3B2786">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ընթացակարգը դադարեցվում են: Կայացրած որոշման մասին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այդ որոշումը կայացնելու օրվանից 10 աշխատանքային օրվա ընթացքում գրավոր </w:t>
      </w:r>
      <w:r w:rsidR="00C54D75">
        <w:rPr>
          <w:rFonts w:ascii="Sylfaen" w:hAnsi="Sylfaen"/>
          <w:sz w:val="24"/>
          <w:szCs w:val="24"/>
        </w:rPr>
        <w:t>և</w:t>
      </w:r>
      <w:r w:rsidRPr="003B2786">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3B2786">
        <w:rPr>
          <w:rFonts w:ascii="Sylfaen" w:hAnsi="Sylfaen"/>
          <w:sz w:val="24"/>
          <w:szCs w:val="24"/>
        </w:rPr>
        <w:t>ին:</w:t>
      </w:r>
    </w:p>
    <w:p w14:paraId="5FE95F11"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3.3.7.</w:t>
      </w:r>
      <w:r w:rsidRPr="003B2786">
        <w:rPr>
          <w:rFonts w:ascii="Sylfaen" w:hAnsi="Sylfaen"/>
          <w:sz w:val="24"/>
          <w:szCs w:val="24"/>
        </w:rPr>
        <w:tab/>
        <w:t>Փորձաքննությունն ավարտելու օրվանից 10 աշխատանքային օրվա ընթացքում ձեռնարկվում են սույն հավելվածի 3.5 կետում նշված միջոցները:</w:t>
      </w:r>
    </w:p>
    <w:p w14:paraId="16F10544" w14:textId="61E470A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փորձաքննությունն ավարտելու օրվանից 10 աշխատանքային օրվա ընթացքում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3763BF5F" w14:textId="2A28DD29"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Լիազորված մարմինն իրավունք ունի մինչ</w:t>
      </w:r>
      <w:r w:rsidR="00C54D75">
        <w:rPr>
          <w:rFonts w:ascii="Sylfaen" w:hAnsi="Sylfaen"/>
          <w:sz w:val="24"/>
          <w:szCs w:val="24"/>
        </w:rPr>
        <w:t>և</w:t>
      </w:r>
      <w:r w:rsidRPr="003B2786">
        <w:rPr>
          <w:rFonts w:ascii="Sylfaen" w:hAnsi="Sylfaen"/>
          <w:sz w:val="24"/>
          <w:szCs w:val="24"/>
        </w:rPr>
        <w:t xml:space="preserve"> 30 օրացուցային օր երկարաձգելու սույն ենթակետի երկրորդ պարբերության մեջ նշված ժամկետն այն դեպքում, երբ </w:t>
      </w:r>
      <w:r w:rsidR="0056496B">
        <w:rPr>
          <w:rFonts w:ascii="Sylfaen" w:hAnsi="Sylfaen"/>
          <w:sz w:val="24"/>
          <w:szCs w:val="24"/>
        </w:rPr>
        <w:t>դիմումատու</w:t>
      </w:r>
      <w:r w:rsidRPr="003B2786">
        <w:rPr>
          <w:rFonts w:ascii="Sylfaen" w:hAnsi="Sylfaen"/>
          <w:sz w:val="24"/>
          <w:szCs w:val="24"/>
        </w:rPr>
        <w:t xml:space="preserve">ն ներկայացրել է խմբային փոփոխություններ՝ համաձայն սույն հավելվածի 1.7.2 </w:t>
      </w:r>
      <w:r w:rsidR="00C54D75">
        <w:rPr>
          <w:rFonts w:ascii="Sylfaen" w:hAnsi="Sylfaen"/>
          <w:sz w:val="24"/>
          <w:szCs w:val="24"/>
        </w:rPr>
        <w:t>և</w:t>
      </w:r>
      <w:r w:rsidRPr="003B2786">
        <w:rPr>
          <w:rFonts w:ascii="Sylfaen" w:hAnsi="Sylfaen"/>
          <w:sz w:val="24"/>
          <w:szCs w:val="24"/>
        </w:rPr>
        <w:t xml:space="preserve"> 1.7.3 կետերի:</w:t>
      </w:r>
    </w:p>
    <w:p w14:paraId="08B165C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3.3.8.</w:t>
      </w:r>
      <w:r w:rsidRPr="003B2786">
        <w:rPr>
          <w:rFonts w:ascii="Sylfaen" w:hAnsi="Sylfaen"/>
          <w:sz w:val="24"/>
          <w:szCs w:val="24"/>
        </w:rPr>
        <w:tab/>
        <w:t>Սույն բաժինը չի կիրառվում, եթե II տիպի փոփոխության վերաբերյալ հարցումը ներկայացված է դեղապատրաստուկի գրանցման ընդլայնում ներառող՝ փոփոխությունների խմբի կազմում: Այդ դեպքում կիրառվում է 4.1.1 ենթակետով նախատեսված ընթացակարգը:</w:t>
      </w:r>
    </w:p>
    <w:p w14:paraId="189B0520" w14:textId="77777777" w:rsidR="008C76E0" w:rsidRPr="003B2786" w:rsidRDefault="008C76E0" w:rsidP="00593820">
      <w:pPr>
        <w:tabs>
          <w:tab w:val="left" w:pos="1418"/>
        </w:tabs>
        <w:spacing w:after="160" w:line="360" w:lineRule="auto"/>
        <w:ind w:firstLine="567"/>
        <w:jc w:val="both"/>
        <w:rPr>
          <w:rFonts w:ascii="Sylfaen" w:hAnsi="Sylfaen"/>
          <w:sz w:val="24"/>
          <w:szCs w:val="24"/>
        </w:rPr>
      </w:pPr>
    </w:p>
    <w:p w14:paraId="0E205114"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3.4. Բացառապես ռեֆերենտ</w:t>
      </w:r>
      <w:r w:rsidRPr="003B2786" w:rsidDel="00233C52">
        <w:rPr>
          <w:rFonts w:ascii="Sylfaen" w:hAnsi="Sylfaen"/>
          <w:sz w:val="24"/>
          <w:szCs w:val="24"/>
        </w:rPr>
        <w:t xml:space="preserve"> </w:t>
      </w:r>
      <w:r w:rsidRPr="003B2786">
        <w:rPr>
          <w:rFonts w:ascii="Sylfaen" w:hAnsi="Sylfaen"/>
          <w:sz w:val="24"/>
          <w:szCs w:val="24"/>
        </w:rPr>
        <w:t>պետությունում գրանցված դեղապատրաստուկների գրանցման դոսյեի մեջ կատարվող փոփոխությունների խմբավորումը</w:t>
      </w:r>
    </w:p>
    <w:p w14:paraId="08D32571" w14:textId="02915ED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w:t>
      </w:r>
      <w:r w:rsidRPr="003B2786">
        <w:rPr>
          <w:rFonts w:ascii="Sylfaen" w:hAnsi="Sylfaen"/>
          <w:sz w:val="24"/>
          <w:szCs w:val="24"/>
        </w:rPr>
        <w:tab/>
        <w:t xml:space="preserve">Մի քանի փոփոխությունների մասին ծանուցելիս կամ փոփոխությունների կատարման մի քանի </w:t>
      </w:r>
      <w:r w:rsidR="0056496B">
        <w:rPr>
          <w:rFonts w:ascii="Sylfaen" w:hAnsi="Sylfaen"/>
          <w:sz w:val="24"/>
          <w:szCs w:val="24"/>
        </w:rPr>
        <w:t>դիմում</w:t>
      </w:r>
      <w:r w:rsidRPr="003B2786">
        <w:rPr>
          <w:rFonts w:ascii="Sylfaen" w:hAnsi="Sylfaen"/>
          <w:sz w:val="24"/>
          <w:szCs w:val="24"/>
        </w:rPr>
        <w:t xml:space="preserve"> ներկայացնելիս անհրաժեշտ է յուրաքանչյուր փոփոխության մասով ներկայացնել առանձին ծանուցում կամ փոփոխության դոսյե՝ սույն հավելվածի 3.1, 3.2, 3.3 կետերին կամ սույն հավելվածի 4.1.1 ենթակետին համապատասխան:</w:t>
      </w:r>
    </w:p>
    <w:p w14:paraId="275003D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w:t>
      </w:r>
      <w:r w:rsidRPr="003B2786">
        <w:rPr>
          <w:rFonts w:ascii="Sylfaen" w:hAnsi="Sylfaen"/>
          <w:sz w:val="24"/>
          <w:szCs w:val="24"/>
        </w:rPr>
        <w:tab/>
        <w:t>Սույն հավելվածի 3.4.1 կետից բացառման կարգով կիրառվում է հետ</w:t>
      </w:r>
      <w:r w:rsidR="00C54D75">
        <w:rPr>
          <w:rFonts w:ascii="Sylfaen" w:hAnsi="Sylfaen"/>
          <w:sz w:val="24"/>
          <w:szCs w:val="24"/>
        </w:rPr>
        <w:t>և</w:t>
      </w:r>
      <w:r w:rsidRPr="003B2786">
        <w:rPr>
          <w:rFonts w:ascii="Sylfaen" w:hAnsi="Sylfaen"/>
          <w:sz w:val="24"/>
          <w:szCs w:val="24"/>
        </w:rPr>
        <w:t>յալը՝</w:t>
      </w:r>
    </w:p>
    <w:p w14:paraId="43B12EBE" w14:textId="2622F39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մեկ կամ ավելի այն դեղապատրաստուկների գրանցման պայմանների՝ IA տիպի միանման ոչ էական փոփոխությունների մասին մի</w:t>
      </w:r>
      <w:r w:rsidR="00C54D75">
        <w:rPr>
          <w:rFonts w:ascii="Sylfaen" w:hAnsi="Sylfaen"/>
          <w:sz w:val="24"/>
          <w:szCs w:val="24"/>
        </w:rPr>
        <w:t>և</w:t>
      </w:r>
      <w:r w:rsidRPr="003B2786">
        <w:rPr>
          <w:rFonts w:ascii="Sylfaen" w:hAnsi="Sylfaen"/>
          <w:sz w:val="24"/>
          <w:szCs w:val="24"/>
        </w:rPr>
        <w:t xml:space="preserve">նույն լիազորված մարմնին (փորձագիտական կազմակերպությանը) միաժամանակ ծանուցելու դեպքում, որոնց իրավատերը մեկ կազմակերպություն է, թույլատրվում է բոլոր այդպիսի փոփոխությունները ներառել փոփոխությունների կատարման մեկ </w:t>
      </w:r>
      <w:r w:rsidR="0056496B">
        <w:rPr>
          <w:rFonts w:ascii="Sylfaen" w:hAnsi="Sylfaen"/>
          <w:sz w:val="24"/>
          <w:szCs w:val="24"/>
        </w:rPr>
        <w:t>դիմում</w:t>
      </w:r>
      <w:r w:rsidRPr="003B2786">
        <w:rPr>
          <w:rFonts w:ascii="Sylfaen" w:hAnsi="Sylfaen"/>
          <w:sz w:val="24"/>
          <w:szCs w:val="24"/>
        </w:rPr>
        <w:t xml:space="preserve">ի մեջ </w:t>
      </w:r>
      <w:r w:rsidR="00C54D75">
        <w:rPr>
          <w:rFonts w:ascii="Sylfaen" w:hAnsi="Sylfaen"/>
          <w:sz w:val="24"/>
          <w:szCs w:val="24"/>
        </w:rPr>
        <w:t>և</w:t>
      </w:r>
      <w:r w:rsidRPr="003B2786">
        <w:rPr>
          <w:rFonts w:ascii="Sylfaen" w:hAnsi="Sylfaen"/>
          <w:sz w:val="24"/>
          <w:szCs w:val="24"/>
        </w:rPr>
        <w:t xml:space="preserve"> սույն հավելվածի 3.1 կետում նշված ծանուցման մեջ.</w:t>
      </w:r>
    </w:p>
    <w:p w14:paraId="7F5B19B8"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փոփոխությունների մասին միաժամանակ մի</w:t>
      </w:r>
      <w:r w:rsidR="00C54D75">
        <w:rPr>
          <w:rFonts w:ascii="Sylfaen" w:hAnsi="Sylfaen"/>
          <w:sz w:val="24"/>
          <w:szCs w:val="24"/>
        </w:rPr>
        <w:t>և</w:t>
      </w:r>
      <w:r w:rsidRPr="003B2786">
        <w:rPr>
          <w:rFonts w:ascii="Sylfaen" w:hAnsi="Sylfaen"/>
          <w:sz w:val="24"/>
          <w:szCs w:val="24"/>
        </w:rPr>
        <w:t>նույն լիազորված մարմնին (փորձագիտական կազմակերպությանը) ծանուցելու դեպքում թույլատրվում է բոլոր այդպիսի փոփոխությունները ներառել փոփոխությունների կատարման մեկ դոսյեի մեջ, եթե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տարածվում է բոլոր դիտարկվող փոփոխությունների վրա.</w:t>
      </w:r>
    </w:p>
    <w:p w14:paraId="64F69ADB"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lastRenderedPageBreak/>
        <w:t>մի</w:t>
      </w:r>
      <w:r w:rsidR="00C54D75">
        <w:rPr>
          <w:rFonts w:ascii="Sylfaen" w:hAnsi="Sylfaen"/>
          <w:sz w:val="24"/>
          <w:szCs w:val="24"/>
        </w:rPr>
        <w:t>և</w:t>
      </w:r>
      <w:r w:rsidRPr="003B2786">
        <w:rPr>
          <w:rFonts w:ascii="Sylfaen" w:hAnsi="Sylfaen"/>
          <w:sz w:val="24"/>
          <w:szCs w:val="24"/>
        </w:rPr>
        <w:t>նույն այն դեղապատրաստուկի գրանցման պայմանների փոփոխությունների մասին մի</w:t>
      </w:r>
      <w:r w:rsidR="00C54D75">
        <w:rPr>
          <w:rFonts w:ascii="Sylfaen" w:hAnsi="Sylfaen"/>
          <w:sz w:val="24"/>
          <w:szCs w:val="24"/>
        </w:rPr>
        <w:t>և</w:t>
      </w:r>
      <w:r w:rsidRPr="003B2786">
        <w:rPr>
          <w:rFonts w:ascii="Sylfaen" w:hAnsi="Sylfaen"/>
          <w:sz w:val="24"/>
          <w:szCs w:val="24"/>
        </w:rPr>
        <w:t>նույն լիազորված մարմնին (փորձագիտական կազմակերպությանը) միաժամանակ ծանուցելու դեպքում, որի իրավատերը սույն ենթակետում թվարկված պայմաններին չբավարարող մեկ կազմակերպություն է, թույլատրվում է լիազորված մարմնի (փորձագիտական կազմակերպության) համաձայնությամբ բոլոր այդպիսի փոփոխությունները ներառել փոփոխության մեկ դոսյեի մեջ:</w:t>
      </w:r>
    </w:p>
    <w:p w14:paraId="639FBCDE"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3.4.3.</w:t>
      </w:r>
      <w:r w:rsidRPr="003B2786">
        <w:rPr>
          <w:rFonts w:ascii="Sylfaen" w:hAnsi="Sylfaen"/>
          <w:sz w:val="24"/>
          <w:szCs w:val="24"/>
        </w:rPr>
        <w:tab/>
        <w:t xml:space="preserve">Սույն հավելվածի 3.4.2 ենթակետի երկրորդ </w:t>
      </w:r>
      <w:r w:rsidR="00C54D75">
        <w:rPr>
          <w:rFonts w:ascii="Sylfaen" w:hAnsi="Sylfaen"/>
          <w:sz w:val="24"/>
          <w:szCs w:val="24"/>
        </w:rPr>
        <w:t>և</w:t>
      </w:r>
      <w:r w:rsidRPr="003B2786">
        <w:rPr>
          <w:rFonts w:ascii="Sylfaen" w:hAnsi="Sylfaen"/>
          <w:sz w:val="24"/>
          <w:szCs w:val="24"/>
        </w:rPr>
        <w:t xml:space="preserve"> երրորդ պարբերություններին համապատասխան՝ փաստաթղթերի տրամադրումն իրականացվում է հետ</w:t>
      </w:r>
      <w:r w:rsidR="00C54D75">
        <w:rPr>
          <w:rFonts w:ascii="Sylfaen" w:hAnsi="Sylfaen"/>
          <w:sz w:val="24"/>
          <w:szCs w:val="24"/>
        </w:rPr>
        <w:t>և</w:t>
      </w:r>
      <w:r w:rsidRPr="003B2786">
        <w:rPr>
          <w:rFonts w:ascii="Sylfaen" w:hAnsi="Sylfaen"/>
          <w:sz w:val="24"/>
          <w:szCs w:val="24"/>
        </w:rPr>
        <w:t>յալ եղանակով՝</w:t>
      </w:r>
    </w:p>
    <w:p w14:paraId="021D6D6A"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 xml:space="preserve">սույն հավելվածի 3.2 կետին համապատասխան միասնական ծանուցում (փոփոխության դոսյե), եթե փոփոխություններից առնվազն մեկը IB տիպի ոչ էական փոփոխություն է, </w:t>
      </w:r>
      <w:r w:rsidR="00C54D75">
        <w:rPr>
          <w:rFonts w:ascii="Sylfaen" w:hAnsi="Sylfaen"/>
          <w:sz w:val="24"/>
          <w:szCs w:val="24"/>
        </w:rPr>
        <w:t>և</w:t>
      </w:r>
      <w:r w:rsidRPr="003B2786">
        <w:rPr>
          <w:rFonts w:ascii="Sylfaen" w:hAnsi="Sylfaen"/>
          <w:sz w:val="24"/>
          <w:szCs w:val="24"/>
        </w:rPr>
        <w:t xml:space="preserve"> բոլոր փոփոխությունները ոչ էական են.</w:t>
      </w:r>
    </w:p>
    <w:p w14:paraId="3DFB2A0A" w14:textId="7242090A"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 xml:space="preserve">սույն հավելվածի 3.3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xml:space="preserve">, եթե փոփոխություններից առնվազն մեկը II տիպի էական փոփոխություն է, </w:t>
      </w:r>
      <w:r w:rsidR="00C54D75">
        <w:rPr>
          <w:rFonts w:ascii="Sylfaen" w:hAnsi="Sylfaen"/>
          <w:sz w:val="24"/>
          <w:szCs w:val="24"/>
        </w:rPr>
        <w:t>և</w:t>
      </w:r>
      <w:r w:rsidRPr="003B2786">
        <w:rPr>
          <w:rFonts w:ascii="Sylfaen" w:hAnsi="Sylfaen"/>
          <w:sz w:val="24"/>
          <w:szCs w:val="24"/>
        </w:rPr>
        <w:t xml:space="preserve"> փոփոխություններից ոչ մեկը որպես գրանցման ընդլայնում հանդես չի գալիս.</w:t>
      </w:r>
    </w:p>
    <w:p w14:paraId="678893C1" w14:textId="4450317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4.1.1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եթե փոփոխություններից առնվազն մեկը հանդես է գալիս որպես գրանցման ընդլայնում:</w:t>
      </w:r>
    </w:p>
    <w:p w14:paraId="7D9946F3" w14:textId="77777777" w:rsidR="008C76E0" w:rsidRPr="003B2786" w:rsidRDefault="008C76E0" w:rsidP="00593820">
      <w:pPr>
        <w:spacing w:after="160" w:line="360" w:lineRule="auto"/>
        <w:ind w:right="-1" w:firstLine="567"/>
        <w:jc w:val="both"/>
        <w:rPr>
          <w:rFonts w:ascii="Sylfaen" w:hAnsi="Sylfaen"/>
          <w:sz w:val="24"/>
          <w:szCs w:val="24"/>
        </w:rPr>
      </w:pPr>
    </w:p>
    <w:p w14:paraId="7C43D16F"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3.5. Սույն հավելվածի 3.1-3.3 կետերով նախատեսված ընթացակարգերի եզրափակման համար անհրաժեշտ միջոցները</w:t>
      </w:r>
    </w:p>
    <w:p w14:paraId="50C68496"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3.5.1.</w:t>
      </w:r>
      <w:r w:rsidRPr="003B2786">
        <w:rPr>
          <w:rFonts w:ascii="Sylfaen" w:hAnsi="Sylfaen"/>
          <w:spacing w:val="-4"/>
          <w:sz w:val="24"/>
          <w:szCs w:val="24"/>
        </w:rPr>
        <w:tab/>
        <w:t xml:space="preserve">Վկայակոչելով սույն բաժինը՝ </w:t>
      </w:r>
      <w:r w:rsidRPr="003B2786">
        <w:rPr>
          <w:rFonts w:ascii="Sylfaen" w:hAnsi="Sylfaen"/>
          <w:sz w:val="24"/>
          <w:szCs w:val="24"/>
        </w:rPr>
        <w:t>ռեֆերենտ</w:t>
      </w:r>
      <w:r w:rsidRPr="003B2786" w:rsidDel="00233C52">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պետք է ձեռնարկի հետ</w:t>
      </w:r>
      <w:r w:rsidR="00C54D75">
        <w:rPr>
          <w:rFonts w:ascii="Sylfaen" w:hAnsi="Sylfaen"/>
          <w:spacing w:val="-4"/>
          <w:sz w:val="24"/>
          <w:szCs w:val="24"/>
        </w:rPr>
        <w:t>և</w:t>
      </w:r>
      <w:r w:rsidRPr="003B2786">
        <w:rPr>
          <w:rFonts w:ascii="Sylfaen" w:hAnsi="Sylfaen"/>
          <w:spacing w:val="-4"/>
          <w:sz w:val="24"/>
          <w:szCs w:val="24"/>
        </w:rPr>
        <w:t>յալ միջոցները՝</w:t>
      </w:r>
    </w:p>
    <w:p w14:paraId="6AD952AB" w14:textId="666CFDBB"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lastRenderedPageBreak/>
        <w:t>դիմումատու</w:t>
      </w:r>
      <w:r w:rsidR="008C76E0" w:rsidRPr="003B2786">
        <w:rPr>
          <w:rFonts w:ascii="Sylfaen" w:hAnsi="Sylfaen"/>
          <w:sz w:val="24"/>
          <w:szCs w:val="24"/>
        </w:rPr>
        <w:t>ին ծանուցի փոփոխությունն ընդունելու (հաստատելու) կամ հաստատումը մերժելու մասին.</w:t>
      </w:r>
    </w:p>
    <w:p w14:paraId="2E4564B5" w14:textId="34306F4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փոփոխության հաստատումը մերժելու դեպքում </w:t>
      </w:r>
      <w:r w:rsidR="0056496B">
        <w:rPr>
          <w:rFonts w:ascii="Sylfaen" w:hAnsi="Sylfaen"/>
          <w:sz w:val="24"/>
          <w:szCs w:val="24"/>
        </w:rPr>
        <w:t>դիմումատու</w:t>
      </w:r>
      <w:r w:rsidRPr="003B2786">
        <w:rPr>
          <w:rFonts w:ascii="Sylfaen" w:hAnsi="Sylfaen"/>
          <w:sz w:val="24"/>
          <w:szCs w:val="24"/>
        </w:rPr>
        <w:t>ին ծանուցի այդպիսի որոշման հիմքերի մասին.</w:t>
      </w:r>
    </w:p>
    <w:p w14:paraId="37352D86"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սույն հավելվածի 4.2.1 ենթակետով սահմանված առավելագույն ժամկետներում ռեֆերենտ</w:t>
      </w:r>
      <w:r w:rsidRPr="003B2786" w:rsidDel="00233C52">
        <w:rPr>
          <w:rFonts w:ascii="Sylfaen" w:hAnsi="Sylfaen"/>
          <w:sz w:val="24"/>
          <w:szCs w:val="24"/>
        </w:rPr>
        <w:t xml:space="preserve"> </w:t>
      </w:r>
      <w:r w:rsidRPr="003B2786">
        <w:rPr>
          <w:rFonts w:ascii="Sylfaen" w:hAnsi="Sylfaen"/>
          <w:sz w:val="24"/>
          <w:szCs w:val="24"/>
        </w:rPr>
        <w:t>պետության լիազորված մարմինը պետք է փոփոխություններ կատարի 1.2.1 ենթակետի «բ» կետում նշված՝ գրանցման մասին որոշման մեջ՝ ընդունված փոփոխությանը համապատասխան:</w:t>
      </w:r>
    </w:p>
    <w:p w14:paraId="0E20493F" w14:textId="77777777" w:rsidR="008C76E0" w:rsidRPr="003B2786" w:rsidRDefault="008C76E0" w:rsidP="00593820">
      <w:pPr>
        <w:spacing w:after="160" w:line="360" w:lineRule="auto"/>
        <w:ind w:right="-1"/>
        <w:outlineLvl w:val="0"/>
        <w:rPr>
          <w:rFonts w:ascii="Sylfaen" w:hAnsi="Sylfaen"/>
          <w:sz w:val="24"/>
          <w:szCs w:val="24"/>
        </w:rPr>
      </w:pPr>
    </w:p>
    <w:p w14:paraId="07A6A804" w14:textId="77777777" w:rsidR="008C76E0" w:rsidRPr="003B2786" w:rsidRDefault="008C76E0" w:rsidP="00593820">
      <w:pPr>
        <w:spacing w:after="160" w:line="360" w:lineRule="auto"/>
        <w:ind w:right="-1"/>
        <w:jc w:val="center"/>
        <w:outlineLvl w:val="0"/>
        <w:rPr>
          <w:rFonts w:ascii="Sylfaen" w:hAnsi="Sylfaen"/>
          <w:sz w:val="24"/>
          <w:szCs w:val="24"/>
        </w:rPr>
      </w:pPr>
      <w:r w:rsidRPr="003B2786">
        <w:rPr>
          <w:rFonts w:ascii="Sylfaen" w:hAnsi="Sylfaen"/>
          <w:sz w:val="24"/>
          <w:szCs w:val="24"/>
        </w:rPr>
        <w:t>IV. Այլ ասպեկտներ</w:t>
      </w:r>
    </w:p>
    <w:p w14:paraId="1F8868CA"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4.1. Հատուկ ընթացակարգեր</w:t>
      </w:r>
    </w:p>
    <w:p w14:paraId="4F28BDD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Գրանցման ընդլայնում։</w:t>
      </w:r>
    </w:p>
    <w:p w14:paraId="69088EC4" w14:textId="07CED118"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Գրանցման ընդլայնման մասին </w:t>
      </w:r>
      <w:r w:rsidR="0056496B">
        <w:rPr>
          <w:rFonts w:ascii="Sylfaen" w:hAnsi="Sylfaen"/>
          <w:sz w:val="24"/>
          <w:szCs w:val="24"/>
        </w:rPr>
        <w:t>դիմում</w:t>
      </w:r>
      <w:r w:rsidRPr="003B2786">
        <w:rPr>
          <w:rFonts w:ascii="Sylfaen" w:hAnsi="Sylfaen"/>
          <w:sz w:val="24"/>
          <w:szCs w:val="24"/>
        </w:rPr>
        <w:t xml:space="preserve">ը պետք է ենթարկվի փորձաքննության՝ դեղապատրաստուկի գրանցման </w:t>
      </w:r>
      <w:r w:rsidR="00C54D75">
        <w:rPr>
          <w:rFonts w:ascii="Sylfaen" w:hAnsi="Sylfaen"/>
          <w:sz w:val="24"/>
          <w:szCs w:val="24"/>
        </w:rPr>
        <w:t>և</w:t>
      </w:r>
      <w:r w:rsidRPr="003B2786">
        <w:rPr>
          <w:rFonts w:ascii="Sylfaen" w:hAnsi="Sylfaen"/>
          <w:sz w:val="24"/>
          <w:szCs w:val="24"/>
        </w:rPr>
        <w:t xml:space="preserve"> փորձաքննության այն նույն ընթացակարգին համապատասխան, ինչին որ առաջնային գրանցումը, որին այն վերաբերում է Դեղամիջոցների գրանցման կանոնների V </w:t>
      </w:r>
      <w:r w:rsidR="00C54D75">
        <w:rPr>
          <w:rFonts w:ascii="Sylfaen" w:hAnsi="Sylfaen"/>
          <w:sz w:val="24"/>
          <w:szCs w:val="24"/>
        </w:rPr>
        <w:t>և</w:t>
      </w:r>
      <w:r w:rsidRPr="003B2786">
        <w:rPr>
          <w:rFonts w:ascii="Sylfaen" w:hAnsi="Sylfaen"/>
          <w:sz w:val="24"/>
          <w:szCs w:val="24"/>
        </w:rPr>
        <w:t xml:space="preserve"> VI բաժիններին համապատասխան:</w:t>
      </w:r>
    </w:p>
    <w:p w14:paraId="0859D9FC" w14:textId="1DE84E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Գրանցման ընդլայնումը պետք է իրականացվի գրանցման այն ընթացակարգին համապատասխան, ինչին որ դեղապատրաստուկի գրանցման մասին առաջնային </w:t>
      </w:r>
      <w:r w:rsidR="0056496B">
        <w:rPr>
          <w:rFonts w:ascii="Sylfaen" w:hAnsi="Sylfaen"/>
          <w:sz w:val="24"/>
          <w:szCs w:val="24"/>
        </w:rPr>
        <w:t>դիմում</w:t>
      </w:r>
      <w:r w:rsidRPr="003B2786">
        <w:rPr>
          <w:rFonts w:ascii="Sylfaen" w:hAnsi="Sylfaen"/>
          <w:sz w:val="24"/>
          <w:szCs w:val="24"/>
        </w:rPr>
        <w:t xml:space="preserve">ը, որին այն վերաբերում է, կամ պետք է ներառվի նույն գրանցման դոսյեի մեջ: </w:t>
      </w:r>
    </w:p>
    <w:p w14:paraId="7A0C57C8"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4.1.2.</w:t>
      </w:r>
      <w:r w:rsidRPr="003B2786">
        <w:rPr>
          <w:rFonts w:ascii="Sylfaen" w:hAnsi="Sylfaen"/>
          <w:sz w:val="24"/>
          <w:szCs w:val="24"/>
        </w:rPr>
        <w:tab/>
        <w:t>Պարտականությունների բաշխման ընթացակարգը։</w:t>
      </w:r>
    </w:p>
    <w:p w14:paraId="46909F8C"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1.7.1 ենթակետից </w:t>
      </w:r>
      <w:r w:rsidR="00C54D75">
        <w:rPr>
          <w:rFonts w:ascii="Sylfaen" w:hAnsi="Sylfaen"/>
          <w:sz w:val="24"/>
          <w:szCs w:val="24"/>
        </w:rPr>
        <w:t>և</w:t>
      </w:r>
      <w:r w:rsidRPr="003B2786">
        <w:rPr>
          <w:rFonts w:ascii="Sylfaen" w:hAnsi="Sylfaen"/>
          <w:sz w:val="24"/>
          <w:szCs w:val="24"/>
        </w:rPr>
        <w:t xml:space="preserve"> 2.2 ու 2.3 կետերից բացառման կարգով, եթե IB տիպի ոչ էական փոփոխությունը, II տիպի էական փոփոխությունը կամ սույն հավելվածի 1.7.2 ենթակետի երրորդ պարբերությամբ նախատեսված դեպքերում այն փոփոխությունների խումբը, որոնցով չի նախատեսվում գրանցման ընդլայնում, վերաբերում են դեղապատրաստուկների մի քանի գրանցման դոսյեների, որոնք </w:t>
      </w:r>
      <w:r w:rsidRPr="003B2786">
        <w:rPr>
          <w:rFonts w:ascii="Sylfaen" w:hAnsi="Sylfaen"/>
          <w:sz w:val="24"/>
          <w:szCs w:val="24"/>
        </w:rPr>
        <w:lastRenderedPageBreak/>
        <w:t>պատկանում են մի</w:t>
      </w:r>
      <w:r w:rsidR="00C54D75">
        <w:rPr>
          <w:rFonts w:ascii="Sylfaen" w:hAnsi="Sylfaen"/>
          <w:sz w:val="24"/>
          <w:szCs w:val="24"/>
        </w:rPr>
        <w:t>և</w:t>
      </w:r>
      <w:r w:rsidRPr="003B2786">
        <w:rPr>
          <w:rFonts w:ascii="Sylfaen" w:hAnsi="Sylfaen"/>
          <w:sz w:val="24"/>
          <w:szCs w:val="24"/>
        </w:rPr>
        <w:t>նույն իրավատիրոջը, ապա այդպիսի գրանցման հավաստագրերի իրավատերն իրավունք ունի հետ</w:t>
      </w:r>
      <w:r w:rsidR="00C54D75">
        <w:rPr>
          <w:rFonts w:ascii="Sylfaen" w:hAnsi="Sylfaen"/>
          <w:sz w:val="24"/>
          <w:szCs w:val="24"/>
        </w:rPr>
        <w:t>և</w:t>
      </w:r>
      <w:r w:rsidRPr="003B2786">
        <w:rPr>
          <w:rFonts w:ascii="Sylfaen" w:hAnsi="Sylfaen"/>
          <w:sz w:val="24"/>
          <w:szCs w:val="24"/>
        </w:rPr>
        <w:t>ելու սույն ենթակետով սահմանված ընթացակարգին:</w:t>
      </w:r>
    </w:p>
    <w:p w14:paraId="35459C7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ենթակետի նպատակներով «ռեֆերենտ մարմին» ասելով հասկանում ենք շահագրգիռ անդամ պետության լիազորված մարմին, որը նշանակվել է Փորձագիտական կոմիտեի կողմից՝ հաշվի առնելով իրավատիրոջ առաջարկությունները: </w:t>
      </w:r>
    </w:p>
    <w:p w14:paraId="4A91776C" w14:textId="2EBD9CA8"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միաժամանակ բոլոր համապատասխան մարմիններին է ներկայացնում փոփոխությունների կատարման </w:t>
      </w:r>
      <w:r>
        <w:rPr>
          <w:rFonts w:ascii="Sylfaen" w:hAnsi="Sylfaen"/>
          <w:sz w:val="24"/>
          <w:szCs w:val="24"/>
        </w:rPr>
        <w:t>դիմում</w:t>
      </w:r>
      <w:r w:rsidR="008C76E0" w:rsidRPr="003B2786">
        <w:rPr>
          <w:rFonts w:ascii="Sylfaen" w:hAnsi="Sylfaen"/>
          <w:sz w:val="24"/>
          <w:szCs w:val="24"/>
        </w:rPr>
        <w:t xml:space="preserve">, որը պարունակում է IV լրացման մեջ թվարկված տարրերը՝ առաջարկող ռեֆերենտ մարմնի նշմամբ: </w:t>
      </w:r>
    </w:p>
    <w:p w14:paraId="499F486B" w14:textId="0417786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Եթե փոփոխությունների կատարման </w:t>
      </w:r>
      <w:r w:rsidR="0056496B">
        <w:rPr>
          <w:rFonts w:ascii="Sylfaen" w:hAnsi="Sylfaen"/>
          <w:sz w:val="24"/>
          <w:szCs w:val="24"/>
        </w:rPr>
        <w:t>դիմում</w:t>
      </w:r>
      <w:r w:rsidRPr="003B2786">
        <w:rPr>
          <w:rFonts w:ascii="Sylfaen" w:hAnsi="Sylfaen"/>
          <w:sz w:val="24"/>
          <w:szCs w:val="24"/>
        </w:rPr>
        <w:t>ը բավարարում է նշված պահանջներին, ապա Փորձագիտական կոմիտեն նշանակում է ռեֆերենտ</w:t>
      </w:r>
      <w:r w:rsidRPr="003B2786" w:rsidDel="00F27E2E">
        <w:rPr>
          <w:rFonts w:ascii="Sylfaen" w:hAnsi="Sylfaen"/>
          <w:sz w:val="24"/>
          <w:szCs w:val="24"/>
        </w:rPr>
        <w:t xml:space="preserve"> </w:t>
      </w:r>
      <w:r w:rsidRPr="003B2786">
        <w:rPr>
          <w:rFonts w:ascii="Sylfaen" w:hAnsi="Sylfaen"/>
          <w:sz w:val="24"/>
          <w:szCs w:val="24"/>
        </w:rPr>
        <w:t xml:space="preserve">մարմին, </w:t>
      </w:r>
      <w:r w:rsidR="00C54D75">
        <w:rPr>
          <w:rFonts w:ascii="Sylfaen" w:hAnsi="Sylfaen"/>
          <w:sz w:val="24"/>
          <w:szCs w:val="24"/>
        </w:rPr>
        <w:t>և</w:t>
      </w:r>
      <w:r w:rsidRPr="003B2786">
        <w:rPr>
          <w:rFonts w:ascii="Sylfaen" w:hAnsi="Sylfaen"/>
          <w:sz w:val="24"/>
          <w:szCs w:val="24"/>
        </w:rPr>
        <w:t xml:space="preserve"> այդ մարմինը պետք է հաստատի փոփոխությունների կատարման վավեր </w:t>
      </w:r>
      <w:r w:rsidR="0056496B">
        <w:rPr>
          <w:rFonts w:ascii="Sylfaen" w:hAnsi="Sylfaen"/>
          <w:sz w:val="24"/>
          <w:szCs w:val="24"/>
        </w:rPr>
        <w:t>դիմում</w:t>
      </w:r>
      <w:r w:rsidRPr="003B2786">
        <w:rPr>
          <w:rFonts w:ascii="Sylfaen" w:hAnsi="Sylfaen"/>
          <w:sz w:val="24"/>
          <w:szCs w:val="24"/>
        </w:rPr>
        <w:t>ի ստացումը:</w:t>
      </w:r>
    </w:p>
    <w:p w14:paraId="7EAA1712" w14:textId="21D58E64"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Եթե ընտրված ռեֆերենտ</w:t>
      </w:r>
      <w:r w:rsidRPr="003B2786" w:rsidDel="00F27E2E">
        <w:rPr>
          <w:rFonts w:ascii="Sylfaen" w:hAnsi="Sylfaen"/>
          <w:sz w:val="24"/>
          <w:szCs w:val="24"/>
        </w:rPr>
        <w:t xml:space="preserve"> </w:t>
      </w:r>
      <w:r w:rsidRPr="003B2786">
        <w:rPr>
          <w:rFonts w:ascii="Sylfaen" w:hAnsi="Sylfaen"/>
          <w:sz w:val="24"/>
          <w:szCs w:val="24"/>
        </w:rPr>
        <w:t>մարմինը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մարմինն է, որը չի գրանցել </w:t>
      </w:r>
      <w:r w:rsidR="0056496B">
        <w:rPr>
          <w:rFonts w:ascii="Sylfaen" w:hAnsi="Sylfaen"/>
          <w:sz w:val="24"/>
          <w:szCs w:val="24"/>
        </w:rPr>
        <w:t>դիմում</w:t>
      </w:r>
      <w:r w:rsidRPr="003B2786">
        <w:rPr>
          <w:rFonts w:ascii="Sylfaen" w:hAnsi="Sylfaen"/>
          <w:sz w:val="24"/>
          <w:szCs w:val="24"/>
        </w:rPr>
        <w:t xml:space="preserve">ում ներառված բոլոր դեղապատրաստուկները, ապա Փորձագիտական կոմիտեն իրավունք ունի դիմելու այլ համապատասխան մարմնի՝ փոփոխությունների կատարման այդպիսի </w:t>
      </w:r>
      <w:r w:rsidR="0056496B">
        <w:rPr>
          <w:rFonts w:ascii="Sylfaen" w:hAnsi="Sylfaen"/>
          <w:sz w:val="24"/>
          <w:szCs w:val="24"/>
        </w:rPr>
        <w:t>դիմում</w:t>
      </w:r>
      <w:r w:rsidRPr="003B2786">
        <w:rPr>
          <w:rFonts w:ascii="Sylfaen" w:hAnsi="Sylfaen"/>
          <w:sz w:val="24"/>
          <w:szCs w:val="24"/>
        </w:rPr>
        <w:t>ի փորձաքննության գործում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մարմնին օժանդակելու համար: </w:t>
      </w:r>
    </w:p>
    <w:p w14:paraId="5E440473" w14:textId="2078C49C"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IB տիպի ոչ էական փոփոխությունների </w:t>
      </w:r>
      <w:r w:rsidR="00C54D75">
        <w:rPr>
          <w:rFonts w:ascii="Sylfaen" w:hAnsi="Sylfaen"/>
          <w:sz w:val="24"/>
          <w:szCs w:val="24"/>
        </w:rPr>
        <w:t>և</w:t>
      </w:r>
      <w:r w:rsidRPr="003B2786">
        <w:rPr>
          <w:rFonts w:ascii="Sylfaen" w:hAnsi="Sylfaen"/>
          <w:sz w:val="24"/>
          <w:szCs w:val="24"/>
        </w:rPr>
        <w:t xml:space="preserve"> II տիպի էական փոփոխությունների դեպքում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մարմինը փոփոխությունների կատարման վավեր </w:t>
      </w:r>
      <w:r w:rsidR="0056496B">
        <w:rPr>
          <w:rFonts w:ascii="Sylfaen" w:hAnsi="Sylfaen"/>
          <w:sz w:val="24"/>
          <w:szCs w:val="24"/>
        </w:rPr>
        <w:t>դիմում</w:t>
      </w:r>
      <w:r w:rsidRPr="003B2786">
        <w:rPr>
          <w:rFonts w:ascii="Sylfaen" w:hAnsi="Sylfaen"/>
          <w:sz w:val="24"/>
          <w:szCs w:val="24"/>
        </w:rPr>
        <w:t xml:space="preserve">ի ստացումը հաստատելու օրվանից 60 օրացուցային օրվա ընթացքում եզրակացություն է կազմում փոփոխությունների կատարման վավեր </w:t>
      </w:r>
      <w:r w:rsidR="0056496B">
        <w:rPr>
          <w:rFonts w:ascii="Sylfaen" w:hAnsi="Sylfaen"/>
          <w:sz w:val="24"/>
          <w:szCs w:val="24"/>
        </w:rPr>
        <w:t>դիմում</w:t>
      </w:r>
      <w:r w:rsidRPr="003B2786">
        <w:rPr>
          <w:rFonts w:ascii="Sylfaen" w:hAnsi="Sylfaen"/>
          <w:sz w:val="24"/>
          <w:szCs w:val="24"/>
        </w:rPr>
        <w:t>ի վերաբերյալ:</w:t>
      </w:r>
    </w:p>
    <w:p w14:paraId="726B93CE"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մարմինն իրավունք ունի կրճատելու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 xml:space="preserve">ափոխման առումով </w:t>
      </w:r>
      <w:r w:rsidRPr="003B2786">
        <w:rPr>
          <w:rFonts w:ascii="Sylfaen" w:hAnsi="Sylfaen"/>
          <w:sz w:val="24"/>
          <w:szCs w:val="24"/>
        </w:rPr>
        <w:lastRenderedPageBreak/>
        <w:t xml:space="preserve">փոփոխություններ կատարելու կամ կիրառման նոր ցուցումներ ներառելու առնչությամբ: </w:t>
      </w:r>
    </w:p>
    <w:p w14:paraId="2412327C" w14:textId="32AFA16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Նշված ժամկետի ընթացքում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մարմինն իրավունք ունի </w:t>
      </w:r>
      <w:r w:rsidR="0056496B">
        <w:rPr>
          <w:rFonts w:ascii="Sylfaen" w:hAnsi="Sylfaen"/>
          <w:sz w:val="24"/>
          <w:szCs w:val="24"/>
        </w:rPr>
        <w:t>դիմումատու</w:t>
      </w:r>
      <w:r w:rsidRPr="003B2786">
        <w:rPr>
          <w:rFonts w:ascii="Sylfaen" w:hAnsi="Sylfaen"/>
          <w:sz w:val="24"/>
          <w:szCs w:val="24"/>
        </w:rPr>
        <w:t>ից պահանջելու, որ վերջինս այդ ռեֆերենտ</w:t>
      </w:r>
      <w:r w:rsidRPr="003B2786" w:rsidDel="00F27E2E">
        <w:rPr>
          <w:rFonts w:ascii="Sylfaen" w:hAnsi="Sylfaen"/>
          <w:sz w:val="24"/>
          <w:szCs w:val="24"/>
        </w:rPr>
        <w:t xml:space="preserve"> </w:t>
      </w:r>
      <w:r w:rsidRPr="003B2786">
        <w:rPr>
          <w:rFonts w:ascii="Sylfaen" w:hAnsi="Sylfaen"/>
          <w:sz w:val="24"/>
          <w:szCs w:val="24"/>
        </w:rPr>
        <w:t>մարմնի կողմից սահմանված ժամկետներում տրամադրի լրացուցիչ տվյալներ: Այդ դեպքում՝</w:t>
      </w:r>
    </w:p>
    <w:p w14:paraId="69278135"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 xml:space="preserve">մարմինը պետք է լրացուցիչ տեղեկությունների՝ իր հարցման մասին ծանուցի մնացած համապատասխան մարմիններին. </w:t>
      </w:r>
    </w:p>
    <w:p w14:paraId="2B94B701"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մինչ</w:t>
      </w:r>
      <w:r w:rsidR="00C54D75">
        <w:rPr>
          <w:rFonts w:ascii="Sylfaen" w:hAnsi="Sylfaen"/>
          <w:sz w:val="24"/>
          <w:szCs w:val="24"/>
        </w:rPr>
        <w:t>և</w:t>
      </w:r>
      <w:r w:rsidRPr="003B2786">
        <w:rPr>
          <w:rFonts w:ascii="Sylfaen" w:hAnsi="Sylfaen"/>
          <w:sz w:val="24"/>
          <w:szCs w:val="24"/>
        </w:rPr>
        <w:t xml:space="preserve"> այդպիսի լրացուցիչ տեղեկություններ ներկայացնելը ընթացակարգը կասեցվում է.</w:t>
      </w:r>
    </w:p>
    <w:p w14:paraId="033D78A9"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233C52">
        <w:rPr>
          <w:rFonts w:ascii="Sylfaen" w:hAnsi="Sylfaen"/>
          <w:sz w:val="24"/>
          <w:szCs w:val="24"/>
        </w:rPr>
        <w:t xml:space="preserve"> </w:t>
      </w:r>
      <w:r w:rsidRPr="003B2786">
        <w:rPr>
          <w:rFonts w:ascii="Sylfaen" w:hAnsi="Sylfaen"/>
          <w:sz w:val="24"/>
          <w:szCs w:val="24"/>
        </w:rPr>
        <w:t>պետությունն իրավունք ունի երկարաձգելու սահմանված ժամկետը:</w:t>
      </w:r>
    </w:p>
    <w:p w14:paraId="684A8FF5" w14:textId="3577EDCE"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 xml:space="preserve">մարմինը վավեր </w:t>
      </w:r>
      <w:r w:rsidR="0056496B">
        <w:rPr>
          <w:rFonts w:ascii="Sylfaen" w:hAnsi="Sylfaen"/>
          <w:sz w:val="24"/>
          <w:szCs w:val="24"/>
        </w:rPr>
        <w:t>դիմում</w:t>
      </w:r>
      <w:r w:rsidRPr="003B2786">
        <w:rPr>
          <w:rFonts w:ascii="Sylfaen" w:hAnsi="Sylfaen"/>
          <w:sz w:val="24"/>
          <w:szCs w:val="24"/>
        </w:rPr>
        <w:t xml:space="preserve">ի մասին իր եզրակացությունը պետք է ուղարկի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մյուս լիազորված մարմիններին, </w:t>
      </w:r>
      <w:r w:rsidR="00C54D75">
        <w:rPr>
          <w:rFonts w:ascii="Sylfaen" w:hAnsi="Sylfaen"/>
          <w:sz w:val="24"/>
          <w:szCs w:val="24"/>
        </w:rPr>
        <w:t>և</w:t>
      </w:r>
      <w:r w:rsidRPr="003B2786">
        <w:rPr>
          <w:rFonts w:ascii="Sylfaen" w:hAnsi="Sylfaen"/>
          <w:sz w:val="24"/>
          <w:szCs w:val="24"/>
        </w:rPr>
        <w:t xml:space="preserve"> եզրակացությունն ստանալու օրվանից 30 օրացուցային օրվա ընթացքում համապատասխան մարմինները պետք է հաստատեն այդ եզրակացությունը, ծանուցեն ռեֆերենտ</w:t>
      </w:r>
      <w:r w:rsidRPr="003B2786" w:rsidDel="00F27E2E">
        <w:rPr>
          <w:rFonts w:ascii="Sylfaen" w:hAnsi="Sylfaen"/>
          <w:sz w:val="24"/>
          <w:szCs w:val="24"/>
        </w:rPr>
        <w:t xml:space="preserve"> </w:t>
      </w:r>
      <w:r w:rsidRPr="003B2786">
        <w:rPr>
          <w:rFonts w:ascii="Sylfaen" w:hAnsi="Sylfaen"/>
          <w:sz w:val="24"/>
          <w:szCs w:val="24"/>
        </w:rPr>
        <w:t xml:space="preserve">մարմնին </w:t>
      </w:r>
      <w:r w:rsidR="00C54D75">
        <w:rPr>
          <w:rFonts w:ascii="Sylfaen" w:hAnsi="Sylfaen"/>
          <w:sz w:val="24"/>
          <w:szCs w:val="24"/>
        </w:rPr>
        <w:t>և</w:t>
      </w:r>
      <w:r w:rsidRPr="003B2786">
        <w:rPr>
          <w:rFonts w:ascii="Sylfaen" w:hAnsi="Sylfaen"/>
          <w:sz w:val="24"/>
          <w:szCs w:val="24"/>
        </w:rPr>
        <w:t xml:space="preserve"> համապատասխան ձ</w:t>
      </w:r>
      <w:r w:rsidR="00C54D75">
        <w:rPr>
          <w:rFonts w:ascii="Sylfaen" w:hAnsi="Sylfaen"/>
          <w:sz w:val="24"/>
          <w:szCs w:val="24"/>
        </w:rPr>
        <w:t>և</w:t>
      </w:r>
      <w:r w:rsidRPr="003B2786">
        <w:rPr>
          <w:rFonts w:ascii="Sylfaen" w:hAnsi="Sylfaen"/>
          <w:sz w:val="24"/>
          <w:szCs w:val="24"/>
        </w:rPr>
        <w:t xml:space="preserve">ով փոփոխեն դիտարկվող գրանցման դոսյեները: </w:t>
      </w:r>
    </w:p>
    <w:p w14:paraId="0F819C6D" w14:textId="5C3CF3DE"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Փոփոխությունների կատարման </w:t>
      </w:r>
      <w:r w:rsidR="0056496B">
        <w:rPr>
          <w:rFonts w:ascii="Sylfaen" w:hAnsi="Sylfaen"/>
          <w:sz w:val="24"/>
          <w:szCs w:val="24"/>
        </w:rPr>
        <w:t>դիմում</w:t>
      </w:r>
      <w:r w:rsidRPr="003B2786">
        <w:rPr>
          <w:rFonts w:ascii="Sylfaen" w:hAnsi="Sylfaen"/>
          <w:sz w:val="24"/>
          <w:szCs w:val="24"/>
        </w:rPr>
        <w:t xml:space="preserve">ի վալիդության վավերացման </w:t>
      </w:r>
      <w:r w:rsidR="00C54D75">
        <w:rPr>
          <w:rFonts w:ascii="Sylfaen" w:hAnsi="Sylfaen"/>
          <w:sz w:val="24"/>
          <w:szCs w:val="24"/>
        </w:rPr>
        <w:t>և</w:t>
      </w:r>
      <w:r w:rsidRPr="003B2786">
        <w:rPr>
          <w:rFonts w:ascii="Sylfaen" w:hAnsi="Sylfaen"/>
          <w:sz w:val="24"/>
          <w:szCs w:val="24"/>
        </w:rPr>
        <w:t xml:space="preserve"> փոփոխությունների կատարման </w:t>
      </w:r>
      <w:r w:rsidR="0056496B">
        <w:rPr>
          <w:rFonts w:ascii="Sylfaen" w:hAnsi="Sylfaen"/>
          <w:sz w:val="24"/>
          <w:szCs w:val="24"/>
        </w:rPr>
        <w:t>դիմում</w:t>
      </w:r>
      <w:r w:rsidRPr="003B2786">
        <w:rPr>
          <w:rFonts w:ascii="Sylfaen" w:hAnsi="Sylfaen"/>
          <w:sz w:val="24"/>
          <w:szCs w:val="24"/>
        </w:rPr>
        <w:t>ի վերաբերյալ եզրակացություն կազմելու նպատակով շահագրգիռ պետությունները ռեֆերենտ</w:t>
      </w:r>
      <w:r w:rsidRPr="003B2786" w:rsidDel="00F27E2E">
        <w:rPr>
          <w:rFonts w:ascii="Sylfaen" w:hAnsi="Sylfaen"/>
          <w:sz w:val="24"/>
          <w:szCs w:val="24"/>
        </w:rPr>
        <w:t xml:space="preserve"> </w:t>
      </w:r>
      <w:r w:rsidRPr="003B2786">
        <w:rPr>
          <w:rFonts w:ascii="Sylfaen" w:hAnsi="Sylfaen"/>
          <w:sz w:val="24"/>
          <w:szCs w:val="24"/>
        </w:rPr>
        <w:t>մարմնի հարցմամբ պետք է ներկայացնեն տեղեկություններ, որոնք վերաբերում են գրանցման դոսյեների մեջ ներառված փոփոխություններին:</w:t>
      </w:r>
    </w:p>
    <w:p w14:paraId="7A5AB3B9"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4.1.3.</w:t>
      </w:r>
      <w:r w:rsidRPr="003B2786">
        <w:rPr>
          <w:rFonts w:ascii="Sylfaen" w:hAnsi="Sylfaen"/>
          <w:sz w:val="24"/>
          <w:szCs w:val="24"/>
        </w:rPr>
        <w:tab/>
        <w:t>Գրիպի համավարակային իրավիճակ։</w:t>
      </w:r>
    </w:p>
    <w:p w14:paraId="04ADADE8"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 II </w:t>
      </w:r>
      <w:r w:rsidR="00C54D75">
        <w:rPr>
          <w:rFonts w:ascii="Sylfaen" w:hAnsi="Sylfaen"/>
          <w:sz w:val="24"/>
          <w:szCs w:val="24"/>
        </w:rPr>
        <w:t>և</w:t>
      </w:r>
      <w:r w:rsidRPr="003B2786">
        <w:rPr>
          <w:rFonts w:ascii="Sylfaen" w:hAnsi="Sylfaen"/>
          <w:sz w:val="24"/>
          <w:szCs w:val="24"/>
        </w:rPr>
        <w:t xml:space="preserve"> III բաժիններից բացառման կարգով Առողջապահության համաշխարհային կազմակերպության կամ Միության կողմից գրիպի համավարակային իրավիճակի ճանաչման դեպքում լիազորված մարմիններն իրավունք ունեն բացառման կարգով ժամանակավորապես ընդունելու մարդու մոտ գրիպի կանխարգելման համար նախատեսված պատվաստանյութի գրանցման </w:t>
      </w:r>
      <w:r w:rsidRPr="003B2786">
        <w:rPr>
          <w:rFonts w:ascii="Sylfaen" w:hAnsi="Sylfaen"/>
          <w:sz w:val="24"/>
          <w:szCs w:val="24"/>
        </w:rPr>
        <w:lastRenderedPageBreak/>
        <w:t xml:space="preserve">պայմանների փոփոխություններ՝ որոշակի նախակլինիկական կամ կլինիկական տվյալների բացակայության դեպքում: </w:t>
      </w:r>
    </w:p>
    <w:p w14:paraId="15F54DC3" w14:textId="5788BEDF"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Սույն հավելվածի 1-ին մասի համաձայն փոփոխությունն ընդունելու դեպքում </w:t>
      </w:r>
      <w:r w:rsidR="0056496B">
        <w:rPr>
          <w:rFonts w:ascii="Sylfaen" w:hAnsi="Sylfaen"/>
          <w:sz w:val="24"/>
          <w:szCs w:val="24"/>
        </w:rPr>
        <w:t>դիմումատու</w:t>
      </w:r>
      <w:r w:rsidRPr="003B2786">
        <w:rPr>
          <w:rFonts w:ascii="Sylfaen" w:hAnsi="Sylfaen"/>
          <w:sz w:val="24"/>
          <w:szCs w:val="24"/>
        </w:rPr>
        <w:t xml:space="preserve">ն պետք է համապատասխան մարմնի կողմից հաստատված առավելագույն ժամկետում տրամադրի բացակայող նախակլինիկական </w:t>
      </w:r>
      <w:r w:rsidR="00C54D75">
        <w:rPr>
          <w:rFonts w:ascii="Sylfaen" w:hAnsi="Sylfaen"/>
          <w:sz w:val="24"/>
          <w:szCs w:val="24"/>
        </w:rPr>
        <w:t>և</w:t>
      </w:r>
      <w:r w:rsidRPr="003B2786">
        <w:rPr>
          <w:rFonts w:ascii="Sylfaen" w:hAnsi="Sylfaen"/>
          <w:sz w:val="24"/>
          <w:szCs w:val="24"/>
        </w:rPr>
        <w:t xml:space="preserve"> կլինիկական տվյալները: </w:t>
      </w:r>
    </w:p>
    <w:p w14:paraId="7EB4F95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4.1.4.</w:t>
      </w:r>
      <w:r w:rsidRPr="003B2786">
        <w:rPr>
          <w:rFonts w:ascii="Sylfaen" w:hAnsi="Sylfaen"/>
          <w:sz w:val="24"/>
          <w:szCs w:val="24"/>
        </w:rPr>
        <w:tab/>
        <w:t>Անվտանգության մասով անհետաձգելի սահմանափակումները։</w:t>
      </w:r>
    </w:p>
    <w:p w14:paraId="7FCDA390" w14:textId="77777777"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Եթե բժշկական կիրառման դեղապատրաստուկներով պայմանավորված բնակչության առողջության համար ռիսկի առաջացման դեպքում իրավատերն իր սեփական նախաձեռնությամբ դնում է անվտանգության մասով անհետաձգելի սահմանափակումներ, ապա նա պետք է այդ մասին անհապաղ ծանուցի անդամ պետությունների համապատասխան բոլոր մարմիններին:</w:t>
      </w:r>
    </w:p>
    <w:p w14:paraId="0F08D75B" w14:textId="77777777" w:rsidR="008C76E0" w:rsidRPr="003B2786" w:rsidRDefault="008C76E0" w:rsidP="00945A7B">
      <w:pPr>
        <w:tabs>
          <w:tab w:val="left" w:pos="1418"/>
        </w:tabs>
        <w:spacing w:after="160" w:line="384" w:lineRule="auto"/>
        <w:ind w:right="-1" w:firstLine="567"/>
        <w:jc w:val="both"/>
        <w:rPr>
          <w:rFonts w:ascii="Sylfaen" w:hAnsi="Sylfaen"/>
          <w:sz w:val="24"/>
          <w:szCs w:val="24"/>
        </w:rPr>
      </w:pPr>
      <w:r w:rsidRPr="003B2786">
        <w:rPr>
          <w:rFonts w:ascii="Sylfaen" w:hAnsi="Sylfaen"/>
          <w:sz w:val="24"/>
          <w:szCs w:val="24"/>
        </w:rPr>
        <w:t>Եթե նշված տեղեկություններն ստանալուց հետո՝ 24 ժամվա ընթացքում, լիազորված մարմինը առարկություն չի ուղարկում, ապա անվտանգության մասով անհետաձգելի սահմանափակումները համարվում են ընդունված:</w:t>
      </w:r>
    </w:p>
    <w:p w14:paraId="613A8444"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Բժշկական կիրառման դեղապատրաստուկներով պայմանավորված հանրային առողջության համար ռիսկի առաջացման դեպքում համապատասխան մարմիններն իրավունք ունեն իրավատիրոջ նկատմամբ կիրառելու անվտանգության մասով անհետաձգելի սահմանափակումներ:</w:t>
      </w:r>
    </w:p>
    <w:p w14:paraId="1CF1061D" w14:textId="0D56A9E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Իրավատիրոջ կողմից անվտանգության մասով անհետաձգելի սահմանափակում մտցնելու կամ համապատասխան մարմնի կողմից այն դնելու դեպքում իրավատերը պետք է այդպիսի սահմանափակումը կիրառել սկսելու օրվանից 14 աշխատանքային օրվա ընթացքում լիազորված մարմնի (փորձագիտական կազմակերպության) գրանցման դոսյեի փոփոխության մասին համապատասխան </w:t>
      </w:r>
      <w:r w:rsidR="0056496B">
        <w:rPr>
          <w:rFonts w:ascii="Sylfaen" w:hAnsi="Sylfaen"/>
          <w:sz w:val="24"/>
          <w:szCs w:val="24"/>
        </w:rPr>
        <w:t>դիմում</w:t>
      </w:r>
      <w:r w:rsidRPr="003B2786">
        <w:rPr>
          <w:rFonts w:ascii="Sylfaen" w:hAnsi="Sylfaen"/>
          <w:sz w:val="24"/>
          <w:szCs w:val="24"/>
        </w:rPr>
        <w:t xml:space="preserve"> ներկայացնի:</w:t>
      </w:r>
    </w:p>
    <w:p w14:paraId="65843F1B" w14:textId="77777777" w:rsidR="008C76E0" w:rsidRPr="003B2786" w:rsidRDefault="008C76E0" w:rsidP="00593820">
      <w:pPr>
        <w:spacing w:after="160" w:line="360" w:lineRule="auto"/>
        <w:ind w:right="-1" w:firstLine="567"/>
        <w:jc w:val="both"/>
        <w:rPr>
          <w:rFonts w:ascii="Sylfaen" w:hAnsi="Sylfaen"/>
          <w:sz w:val="24"/>
          <w:szCs w:val="24"/>
        </w:rPr>
      </w:pPr>
    </w:p>
    <w:p w14:paraId="1D75CDF8"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lastRenderedPageBreak/>
        <w:t xml:space="preserve">4.2. Դեղապատրաստուկի գրանցման փոփոխությունը </w:t>
      </w:r>
      <w:r w:rsidRPr="003B2786">
        <w:rPr>
          <w:rFonts w:ascii="Sylfaen" w:hAnsi="Sylfaen"/>
          <w:sz w:val="24"/>
          <w:szCs w:val="24"/>
        </w:rPr>
        <w:br/>
      </w:r>
      <w:r w:rsidR="00C54D75">
        <w:rPr>
          <w:rFonts w:ascii="Sylfaen" w:hAnsi="Sylfaen"/>
          <w:sz w:val="24"/>
          <w:szCs w:val="24"/>
        </w:rPr>
        <w:t>և</w:t>
      </w:r>
      <w:r w:rsidRPr="003B2786">
        <w:rPr>
          <w:rFonts w:ascii="Sylfaen" w:hAnsi="Sylfaen"/>
          <w:sz w:val="24"/>
          <w:szCs w:val="24"/>
        </w:rPr>
        <w:t xml:space="preserve"> դրա իրագործումը</w:t>
      </w:r>
    </w:p>
    <w:p w14:paraId="4B6B70CB"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4.2.1.</w:t>
      </w:r>
      <w:r w:rsidRPr="003B2786">
        <w:rPr>
          <w:rFonts w:ascii="Sylfaen" w:hAnsi="Sylfaen"/>
          <w:sz w:val="24"/>
          <w:szCs w:val="24"/>
        </w:rPr>
        <w:tab/>
        <w:t>Դեղապատրաստուկի գրանցման փոփոխությունը։</w:t>
      </w:r>
    </w:p>
    <w:p w14:paraId="73D30372"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II </w:t>
      </w:r>
      <w:r w:rsidR="00C54D75">
        <w:rPr>
          <w:rFonts w:ascii="Sylfaen" w:hAnsi="Sylfaen"/>
          <w:sz w:val="24"/>
          <w:szCs w:val="24"/>
        </w:rPr>
        <w:t>և</w:t>
      </w:r>
      <w:r w:rsidRPr="003B2786">
        <w:rPr>
          <w:rFonts w:ascii="Sylfaen" w:hAnsi="Sylfaen"/>
          <w:sz w:val="24"/>
          <w:szCs w:val="24"/>
        </w:rPr>
        <w:t xml:space="preserve"> III բաժիններով նախատեսված ընթացակարգերի արդյունքներով դեղապատրաստուկի գրանցման փոփոխությունը պետք է իրականացվի՝ </w:t>
      </w:r>
    </w:p>
    <w:p w14:paraId="0138153E" w14:textId="77777777" w:rsidR="008C76E0" w:rsidRPr="003B2786" w:rsidRDefault="008C76E0" w:rsidP="00593820">
      <w:pPr>
        <w:tabs>
          <w:tab w:val="left" w:pos="1418"/>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սույն հավելվածի 2.4.1 ենթակետի 4-րդ պարբերության </w:t>
      </w:r>
      <w:r w:rsidR="00C54D75">
        <w:rPr>
          <w:rFonts w:ascii="Sylfaen" w:hAnsi="Sylfaen"/>
          <w:spacing w:val="-4"/>
          <w:sz w:val="24"/>
          <w:szCs w:val="24"/>
        </w:rPr>
        <w:t>և</w:t>
      </w:r>
      <w:r w:rsidRPr="003B2786">
        <w:rPr>
          <w:rFonts w:ascii="Sylfaen" w:hAnsi="Sylfaen"/>
          <w:spacing w:val="-4"/>
          <w:sz w:val="24"/>
          <w:szCs w:val="24"/>
        </w:rPr>
        <w:t xml:space="preserve"> 3.5.1 ենթակետի 2-րդ պարբերության մեջ նշված տեղեկություններն ստանալուց հետո՝ 60 օրացուցային օրվա ընթացքում՝ II տիպի էական փոփոխությունների դեպքում դեղապատրաստուկի գրանցման դոսյեի փոփոխության համար անհրաժեշտ փաստաթղթերի ամբողջական փաթեթն անդամ պետությունների լիազորված մարմիններին (փորձագիտական կազմակերպություններին) տրամադրելու պայմանով.</w:t>
      </w:r>
    </w:p>
    <w:p w14:paraId="5F93A37E"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մյուս դեպքերում՝ 2.4.1 կետի 4-րդ պարբերության </w:t>
      </w:r>
      <w:r w:rsidR="00C54D75">
        <w:rPr>
          <w:rFonts w:ascii="Sylfaen" w:hAnsi="Sylfaen"/>
          <w:sz w:val="24"/>
          <w:szCs w:val="24"/>
        </w:rPr>
        <w:t>և</w:t>
      </w:r>
      <w:r w:rsidRPr="003B2786">
        <w:rPr>
          <w:rFonts w:ascii="Sylfaen" w:hAnsi="Sylfaen"/>
          <w:sz w:val="24"/>
          <w:szCs w:val="24"/>
        </w:rPr>
        <w:t xml:space="preserve"> 3.5.1 կետի 2-րդ պարբերության մեջ նշված տեղեկություններն ստանալուց հետո՝ 180 օրացուցային օրվա ընթացքում՝ գրանցման դոսյեի փոփոխության համար անհրաժեշտ փաստաթղթերը շահագրգիռ անդամ պետությունների լիազորված մարմիններին (փորձագիտական կազմակերպությունների) տրամադրելու պայմանով:</w:t>
      </w:r>
    </w:p>
    <w:p w14:paraId="3DF40CEA" w14:textId="4E1E2C2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II, III </w:t>
      </w:r>
      <w:r w:rsidR="00C54D75">
        <w:rPr>
          <w:rFonts w:ascii="Sylfaen" w:hAnsi="Sylfaen"/>
          <w:sz w:val="24"/>
          <w:szCs w:val="24"/>
        </w:rPr>
        <w:t>և</w:t>
      </w:r>
      <w:r w:rsidRPr="003B2786">
        <w:rPr>
          <w:rFonts w:ascii="Sylfaen" w:hAnsi="Sylfaen"/>
          <w:sz w:val="24"/>
          <w:szCs w:val="24"/>
        </w:rPr>
        <w:t xml:space="preserve"> IV բաժիններով նախատեսված ընթացակարգերից մեկի հետ</w:t>
      </w:r>
      <w:r w:rsidR="00C54D75">
        <w:rPr>
          <w:rFonts w:ascii="Sylfaen" w:hAnsi="Sylfaen"/>
          <w:sz w:val="24"/>
          <w:szCs w:val="24"/>
        </w:rPr>
        <w:t>և</w:t>
      </w:r>
      <w:r w:rsidRPr="003B2786">
        <w:rPr>
          <w:rFonts w:ascii="Sylfaen" w:hAnsi="Sylfaen"/>
          <w:sz w:val="24"/>
          <w:szCs w:val="24"/>
        </w:rPr>
        <w:t xml:space="preserve">անքով դեղապատրաստուկի գրանցման մասին որոշման փոփոխության դեպքում անդամ պետության համապատասխան մարմինը պետք է գրանցման փոփոխության մասին անհապաղ ծանուցի </w:t>
      </w:r>
      <w:r w:rsidR="0056496B">
        <w:rPr>
          <w:rFonts w:ascii="Sylfaen" w:hAnsi="Sylfaen"/>
          <w:sz w:val="24"/>
          <w:szCs w:val="24"/>
        </w:rPr>
        <w:t>դիմումատու</w:t>
      </w:r>
      <w:r w:rsidRPr="003B2786">
        <w:rPr>
          <w:rFonts w:ascii="Sylfaen" w:hAnsi="Sylfaen"/>
          <w:sz w:val="24"/>
          <w:szCs w:val="24"/>
        </w:rPr>
        <w:t>ին:</w:t>
      </w:r>
    </w:p>
    <w:p w14:paraId="56A040C7"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4.2.2.</w:t>
      </w:r>
      <w:r w:rsidRPr="003B2786">
        <w:rPr>
          <w:rFonts w:ascii="Sylfaen" w:hAnsi="Sylfaen"/>
          <w:sz w:val="24"/>
          <w:szCs w:val="24"/>
        </w:rPr>
        <w:tab/>
        <w:t>Փոփոխությունների իրագործումը։</w:t>
      </w:r>
    </w:p>
    <w:p w14:paraId="5CE1EEFA"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IA տիպի ոչ էական փոփոխությունների իրագործումը թույլատրվում է ցանկացած ժամանակ՝ մինչ</w:t>
      </w:r>
      <w:r w:rsidR="00C54D75">
        <w:rPr>
          <w:rFonts w:ascii="Sylfaen" w:hAnsi="Sylfaen"/>
          <w:sz w:val="24"/>
          <w:szCs w:val="24"/>
        </w:rPr>
        <w:t>և</w:t>
      </w:r>
      <w:r w:rsidRPr="003B2786">
        <w:rPr>
          <w:rFonts w:ascii="Sylfaen" w:hAnsi="Sylfaen"/>
          <w:sz w:val="24"/>
          <w:szCs w:val="24"/>
        </w:rPr>
        <w:t xml:space="preserve"> սույն հավելվածի 2.1 </w:t>
      </w:r>
      <w:r w:rsidR="00C54D75">
        <w:rPr>
          <w:rFonts w:ascii="Sylfaen" w:hAnsi="Sylfaen"/>
          <w:sz w:val="24"/>
          <w:szCs w:val="24"/>
        </w:rPr>
        <w:t>և</w:t>
      </w:r>
      <w:r w:rsidRPr="003B2786">
        <w:rPr>
          <w:rFonts w:ascii="Sylfaen" w:hAnsi="Sylfaen"/>
          <w:sz w:val="24"/>
          <w:szCs w:val="24"/>
        </w:rPr>
        <w:t xml:space="preserve"> 3.1 կետերով նախատեսված ընթացակարգի եզրափակումը:</w:t>
      </w:r>
    </w:p>
    <w:p w14:paraId="6299E11B" w14:textId="437CD158"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Եթե մեկ կամ մի քանի IA տիպի ոչ էական փոփոխություններին առնչվող ծանուցումը մերժվել է, ապա սույն հավելվածի 2.4.1 կետի 2-րդ պարբերության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 xml:space="preserve">3.5.1 կետի 2-րդ պարբերության մեջ հիշատակված տեղեկություններն ստանալուց անմիջապես հետո </w:t>
      </w:r>
      <w:r w:rsidR="0056496B">
        <w:rPr>
          <w:rFonts w:ascii="Sylfaen" w:hAnsi="Sylfaen"/>
          <w:sz w:val="24"/>
          <w:szCs w:val="24"/>
        </w:rPr>
        <w:t>դիմումատու</w:t>
      </w:r>
      <w:r w:rsidRPr="003B2786">
        <w:rPr>
          <w:rFonts w:ascii="Sylfaen" w:hAnsi="Sylfaen"/>
          <w:sz w:val="24"/>
          <w:szCs w:val="24"/>
        </w:rPr>
        <w:t>ն պետք է դադարեցնի դիտարկվող փոփոխություններն իրագործելը:</w:t>
      </w:r>
    </w:p>
    <w:p w14:paraId="445DC56A"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IB տիպի ոչ էական փոփոխությունների իրագործումը թույլատրվում է միայն հետ</w:t>
      </w:r>
      <w:r w:rsidR="00C54D75">
        <w:rPr>
          <w:rFonts w:ascii="Sylfaen" w:hAnsi="Sylfaen"/>
          <w:sz w:val="24"/>
          <w:szCs w:val="24"/>
        </w:rPr>
        <w:t>և</w:t>
      </w:r>
      <w:r w:rsidRPr="003B2786">
        <w:rPr>
          <w:rFonts w:ascii="Sylfaen" w:hAnsi="Sylfaen"/>
          <w:sz w:val="24"/>
          <w:szCs w:val="24"/>
        </w:rPr>
        <w:t>յալ դեպքերում՝</w:t>
      </w:r>
    </w:p>
    <w:p w14:paraId="5C6B4FF8" w14:textId="1E4B6126"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ոչ շուտ, քան 2.2 կետի համաձայն լիազորված մարմնի (փորձագիտական կազմակերպության) կողմից ծանուցումն ընդունված լինելու մասին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կողմից </w:t>
      </w:r>
      <w:r w:rsidR="0056496B">
        <w:rPr>
          <w:rFonts w:ascii="Sylfaen" w:hAnsi="Sylfaen"/>
          <w:sz w:val="24"/>
          <w:szCs w:val="24"/>
        </w:rPr>
        <w:t>դիմումատու</w:t>
      </w:r>
      <w:r w:rsidRPr="003B2786">
        <w:rPr>
          <w:rFonts w:ascii="Sylfaen" w:hAnsi="Sylfaen"/>
          <w:sz w:val="24"/>
          <w:szCs w:val="24"/>
        </w:rPr>
        <w:t>ին ծանուցելուց հետո, կամ եթե ծանուցումը համարվում է ընդունված՝ համաձայն 2.2.3 ենթակետի.</w:t>
      </w:r>
    </w:p>
    <w:p w14:paraId="1BE7BC7B" w14:textId="4E6BB74D"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 xml:space="preserve">ի կողմից ներկայացված փոփոխությունների համար՝ ոչ շուտ, քան 3.2 կետի համաձայն լիազորված մարմնի (փորձագիտական կազմակերպության) կողմից ծանուցումն ընդունված լինելու մասին համապատասխան մարմնի կողմից </w:t>
      </w:r>
      <w:r w:rsidR="0056496B">
        <w:rPr>
          <w:rFonts w:ascii="Sylfaen" w:hAnsi="Sylfaen"/>
          <w:sz w:val="24"/>
          <w:szCs w:val="24"/>
        </w:rPr>
        <w:t>դիմումատու</w:t>
      </w:r>
      <w:r w:rsidRPr="003B2786">
        <w:rPr>
          <w:rFonts w:ascii="Sylfaen" w:hAnsi="Sylfaen"/>
          <w:sz w:val="24"/>
          <w:szCs w:val="24"/>
        </w:rPr>
        <w:t>ին ծանուցելուց հետո, կամ եթե ծանուցումը համարվում է ընդունված՝ համաձայն 3.2.3 ենթակետի.</w:t>
      </w:r>
    </w:p>
    <w:p w14:paraId="243676EE" w14:textId="477A968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4.2.1</w:t>
      </w:r>
      <w:r w:rsidRPr="003B2786">
        <w:rPr>
          <w:rFonts w:ascii="Sylfaen" w:hAnsi="Sylfaen"/>
          <w:sz w:val="24"/>
          <w:szCs w:val="24"/>
        </w:rPr>
        <w:tab/>
        <w:t xml:space="preserve">ենթակետով նախատեսված ընթացակարգին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ոչ շուտ, քան ռեֆերենտ</w:t>
      </w:r>
      <w:r w:rsidRPr="003B2786" w:rsidDel="00F27E2E">
        <w:rPr>
          <w:rFonts w:ascii="Sylfaen" w:hAnsi="Sylfaen"/>
          <w:sz w:val="24"/>
          <w:szCs w:val="24"/>
        </w:rPr>
        <w:t xml:space="preserve"> </w:t>
      </w:r>
      <w:r w:rsidRPr="003B2786">
        <w:rPr>
          <w:rFonts w:ascii="Sylfaen" w:hAnsi="Sylfaen"/>
          <w:sz w:val="24"/>
          <w:szCs w:val="24"/>
        </w:rPr>
        <w:t xml:space="preserve">մարմնի կողմից </w:t>
      </w:r>
      <w:r w:rsidR="0056496B">
        <w:rPr>
          <w:rFonts w:ascii="Sylfaen" w:hAnsi="Sylfaen"/>
          <w:sz w:val="24"/>
          <w:szCs w:val="24"/>
        </w:rPr>
        <w:t>դիմումատու</w:t>
      </w:r>
      <w:r w:rsidRPr="003B2786">
        <w:rPr>
          <w:rFonts w:ascii="Sylfaen" w:hAnsi="Sylfaen"/>
          <w:sz w:val="24"/>
          <w:szCs w:val="24"/>
        </w:rPr>
        <w:t xml:space="preserve">ին եզրակացության դրական լինելու մասին ծանուցելուց հետո: </w:t>
      </w:r>
    </w:p>
    <w:p w14:paraId="587D3D6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մասին տեղեկատվության վերանայմանը հանգեցնող ցանկացած փոփոխության իրագործում թույլատրվում է գրանցման դոսյեի մեջ փոփոխություններ կատարելուց հետո` համաձայն սույն հավելվածի 1.6 կետի:</w:t>
      </w:r>
    </w:p>
    <w:p w14:paraId="57AAB546"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II տիպի էական փոփոխությունների իրագործումը թույլատրվում է միայն հետ</w:t>
      </w:r>
      <w:r w:rsidR="00C54D75">
        <w:rPr>
          <w:rFonts w:ascii="Sylfaen" w:hAnsi="Sylfaen"/>
          <w:sz w:val="24"/>
          <w:szCs w:val="24"/>
        </w:rPr>
        <w:t>և</w:t>
      </w:r>
      <w:r w:rsidRPr="003B2786">
        <w:rPr>
          <w:rFonts w:ascii="Sylfaen" w:hAnsi="Sylfaen"/>
          <w:sz w:val="24"/>
          <w:szCs w:val="24"/>
        </w:rPr>
        <w:t>յալ դեպքերում՝</w:t>
      </w:r>
    </w:p>
    <w:p w14:paraId="4AF91220" w14:textId="63B5CB9C"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կողմից </w:t>
      </w:r>
      <w:r w:rsidR="0056496B">
        <w:rPr>
          <w:rFonts w:ascii="Sylfaen" w:hAnsi="Sylfaen"/>
          <w:sz w:val="24"/>
          <w:szCs w:val="24"/>
        </w:rPr>
        <w:t>դիմումատու</w:t>
      </w:r>
      <w:r w:rsidRPr="003B2786">
        <w:rPr>
          <w:rFonts w:ascii="Sylfaen" w:hAnsi="Sylfaen"/>
          <w:sz w:val="24"/>
          <w:szCs w:val="24"/>
        </w:rPr>
        <w:t xml:space="preserve">ին այն մասին ծանուցելու օրվանից 30 օրացուցային օրվա ընթացքում, որ 2.3 կետի համաձայն փոփոխությունն ընդունվել է այն պայմանով, որ դեղապատրաստուկի գրանցման դոսյեի փոփոխության համար անհրաժեշտ փաստաթղթերը ներկայացվեն շահագրգիռ անդամ պետությունների համապատասխան մարմիններ: Եթե 2.6 կետին համապատասխան մեկնարկվել է համաձայնեցման ընթացակարգը, ապա </w:t>
      </w:r>
      <w:r w:rsidR="0056496B">
        <w:rPr>
          <w:rFonts w:ascii="Sylfaen" w:hAnsi="Sylfaen"/>
          <w:sz w:val="24"/>
          <w:szCs w:val="24"/>
        </w:rPr>
        <w:t>դիմումատու</w:t>
      </w:r>
      <w:r w:rsidRPr="003B2786">
        <w:rPr>
          <w:rFonts w:ascii="Sylfaen" w:hAnsi="Sylfaen"/>
          <w:sz w:val="24"/>
          <w:szCs w:val="24"/>
        </w:rPr>
        <w:t>ն մինչ</w:t>
      </w:r>
      <w:r w:rsidR="00C54D75">
        <w:rPr>
          <w:rFonts w:ascii="Sylfaen" w:hAnsi="Sylfaen"/>
          <w:sz w:val="24"/>
          <w:szCs w:val="24"/>
        </w:rPr>
        <w:t>և</w:t>
      </w:r>
      <w:r w:rsidRPr="003B2786">
        <w:rPr>
          <w:rFonts w:ascii="Sylfaen" w:hAnsi="Sylfaen"/>
          <w:sz w:val="24"/>
          <w:szCs w:val="24"/>
        </w:rPr>
        <w:t xml:space="preserve"> դիտարկվող փոփոխության առնչությամբ համաձայնեցման ընթացակարգի եզրափակումը չպետք է իրագործի փոփոխությունները.</w:t>
      </w:r>
    </w:p>
    <w:p w14:paraId="50392B58" w14:textId="5E9341BD"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 xml:space="preserve">III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 xml:space="preserve">ի կողմից ներկայացված փոփոխությունների համար՝ համապատասխան մարմնի կողմից </w:t>
      </w:r>
      <w:r w:rsidR="0056496B">
        <w:rPr>
          <w:rFonts w:ascii="Sylfaen" w:hAnsi="Sylfaen"/>
          <w:sz w:val="24"/>
          <w:szCs w:val="24"/>
        </w:rPr>
        <w:t>դիմումատու</w:t>
      </w:r>
      <w:r w:rsidRPr="003B2786">
        <w:rPr>
          <w:rFonts w:ascii="Sylfaen" w:hAnsi="Sylfaen"/>
          <w:sz w:val="24"/>
          <w:szCs w:val="24"/>
        </w:rPr>
        <w:t>ին այն մասին ծանուցելուց հետո, որ փոփոխությունն ընդունվել է համաձայն 3.3 կետի.</w:t>
      </w:r>
    </w:p>
    <w:p w14:paraId="3C40A104" w14:textId="04AF3A30"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4.1.2</w:t>
      </w:r>
      <w:r w:rsidRPr="003B2786">
        <w:rPr>
          <w:rFonts w:ascii="Sylfaen" w:hAnsi="Sylfaen"/>
          <w:sz w:val="24"/>
          <w:szCs w:val="24"/>
        </w:rPr>
        <w:tab/>
        <w:t xml:space="preserve">ենթակետով նախատեսված ընթացակարգին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ռեֆերենտ</w:t>
      </w:r>
      <w:r w:rsidRPr="003B2786" w:rsidDel="00F27E2E">
        <w:rPr>
          <w:rFonts w:ascii="Sylfaen" w:hAnsi="Sylfaen"/>
          <w:sz w:val="24"/>
          <w:szCs w:val="24"/>
        </w:rPr>
        <w:t xml:space="preserve"> </w:t>
      </w:r>
      <w:r w:rsidRPr="003B2786">
        <w:rPr>
          <w:rFonts w:ascii="Sylfaen" w:hAnsi="Sylfaen"/>
          <w:sz w:val="24"/>
          <w:szCs w:val="24"/>
        </w:rPr>
        <w:t xml:space="preserve">մարմնի կողմից </w:t>
      </w:r>
      <w:r w:rsidR="0056496B">
        <w:rPr>
          <w:rFonts w:ascii="Sylfaen" w:hAnsi="Sylfaen"/>
          <w:sz w:val="24"/>
          <w:szCs w:val="24"/>
        </w:rPr>
        <w:t>դիմումատու</w:t>
      </w:r>
      <w:r w:rsidRPr="003B2786">
        <w:rPr>
          <w:rFonts w:ascii="Sylfaen" w:hAnsi="Sylfaen"/>
          <w:sz w:val="24"/>
          <w:szCs w:val="24"/>
        </w:rPr>
        <w:t xml:space="preserve">ին այն մասին ծանուցելու օրվանից 30 օրացուցային օրվա ընթացքում, որ եզրակացությունը դրական է այն պայմանով, որ դեղապատրաստուկի գրանցման դոսյեի փոփոխության համար անհրաժեշտ փաստաթղթերը ներկայացվեն շահագրգիռ անդամ պետություններ, եթե 2.6 կետին համապատասխան չի սկսվել համաձայնեցման ընթացակարգը: Եթե 2.6 կետին համապատասխան սկսվել է համաձայնեցման ընթացակարգը, ապա </w:t>
      </w:r>
      <w:r w:rsidR="0056496B">
        <w:rPr>
          <w:rFonts w:ascii="Sylfaen" w:hAnsi="Sylfaen"/>
          <w:sz w:val="24"/>
          <w:szCs w:val="24"/>
        </w:rPr>
        <w:t>դիմումատու</w:t>
      </w:r>
      <w:r w:rsidRPr="003B2786">
        <w:rPr>
          <w:rFonts w:ascii="Sylfaen" w:hAnsi="Sylfaen"/>
          <w:sz w:val="24"/>
          <w:szCs w:val="24"/>
        </w:rPr>
        <w:t>ն չպետք է մինչ</w:t>
      </w:r>
      <w:r w:rsidR="00C54D75">
        <w:rPr>
          <w:rFonts w:ascii="Sylfaen" w:hAnsi="Sylfaen"/>
          <w:sz w:val="24"/>
          <w:szCs w:val="24"/>
        </w:rPr>
        <w:t>և</w:t>
      </w:r>
      <w:r w:rsidRPr="003B2786">
        <w:rPr>
          <w:rFonts w:ascii="Sylfaen" w:hAnsi="Sylfaen"/>
          <w:sz w:val="24"/>
          <w:szCs w:val="24"/>
        </w:rPr>
        <w:t xml:space="preserve"> փոփոխությունն ընդունելու վերաբերյալ համաձայնեցման ընթացակարգի եզրափակումն իրագործի փոփոխությունը:</w:t>
      </w:r>
    </w:p>
    <w:p w14:paraId="166DEC53"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մասին տեղեկատվության վերանայմանը հանգեցնող ցանկացած փոփոխության իրագործում թույլատրվում է գրանցման դոսյեի մեջ </w:t>
      </w:r>
      <w:r w:rsidRPr="003B2786">
        <w:rPr>
          <w:rFonts w:ascii="Sylfaen" w:hAnsi="Sylfaen"/>
          <w:sz w:val="24"/>
          <w:szCs w:val="24"/>
        </w:rPr>
        <w:lastRenderedPageBreak/>
        <w:t>փոփոխություններ կատարելուց հետո` համաձայն սույն փաստաթղթի 1.6 կետի:</w:t>
      </w:r>
    </w:p>
    <w:p w14:paraId="120FE5C6" w14:textId="366EC344"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Դեղապատրաստուկների գրանցման ընդլայնման իրագործումը թույլատրվում է միայն համապատասխան լիազորված մարմնի կողմից գրանցման մասին որոշումը փոխելուց </w:t>
      </w:r>
      <w:r w:rsidR="00C54D75">
        <w:rPr>
          <w:rFonts w:ascii="Sylfaen" w:hAnsi="Sylfaen"/>
          <w:sz w:val="24"/>
          <w:szCs w:val="24"/>
        </w:rPr>
        <w:t>և</w:t>
      </w:r>
      <w:r w:rsidRPr="003B2786">
        <w:rPr>
          <w:rFonts w:ascii="Sylfaen" w:hAnsi="Sylfaen"/>
          <w:sz w:val="24"/>
          <w:szCs w:val="24"/>
        </w:rPr>
        <w:t xml:space="preserve"> դրա մասին համապատասխանաբար </w:t>
      </w:r>
      <w:r w:rsidR="0056496B">
        <w:rPr>
          <w:rFonts w:ascii="Sylfaen" w:hAnsi="Sylfaen"/>
          <w:sz w:val="24"/>
          <w:szCs w:val="24"/>
        </w:rPr>
        <w:t>դիմումատու</w:t>
      </w:r>
      <w:r w:rsidRPr="003B2786">
        <w:rPr>
          <w:rFonts w:ascii="Sylfaen" w:hAnsi="Sylfaen"/>
          <w:sz w:val="24"/>
          <w:szCs w:val="24"/>
        </w:rPr>
        <w:t>ին ծանուցելուց հետո:</w:t>
      </w:r>
    </w:p>
    <w:p w14:paraId="06EEAA8F" w14:textId="5EB39A1D"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մասով անհետաձգելի սահմանափակումների </w:t>
      </w:r>
      <w:r w:rsidR="00C54D75">
        <w:rPr>
          <w:rFonts w:ascii="Sylfaen" w:hAnsi="Sylfaen"/>
          <w:sz w:val="24"/>
          <w:szCs w:val="24"/>
        </w:rPr>
        <w:t>և</w:t>
      </w:r>
      <w:r w:rsidRPr="003B2786">
        <w:rPr>
          <w:rFonts w:ascii="Sylfaen" w:hAnsi="Sylfaen"/>
          <w:sz w:val="24"/>
          <w:szCs w:val="24"/>
        </w:rPr>
        <w:t xml:space="preserve"> անվտանգության հարցերին առնչվող փոփոխությունների իրագործումը թույլատրվում է </w:t>
      </w:r>
      <w:r w:rsidR="0056496B">
        <w:rPr>
          <w:rFonts w:ascii="Sylfaen" w:hAnsi="Sylfaen"/>
          <w:sz w:val="24"/>
          <w:szCs w:val="24"/>
        </w:rPr>
        <w:t>դիմումատու</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համապատասխան մարմնի միջ</w:t>
      </w:r>
      <w:r w:rsidR="00C54D75">
        <w:rPr>
          <w:rFonts w:ascii="Sylfaen" w:hAnsi="Sylfaen"/>
          <w:sz w:val="24"/>
          <w:szCs w:val="24"/>
        </w:rPr>
        <w:t>և</w:t>
      </w:r>
      <w:r w:rsidRPr="003B2786">
        <w:rPr>
          <w:rFonts w:ascii="Sylfaen" w:hAnsi="Sylfaen"/>
          <w:sz w:val="24"/>
          <w:szCs w:val="24"/>
        </w:rPr>
        <w:t xml:space="preserve"> համաձայնեցված ժամկետներում:</w:t>
      </w:r>
    </w:p>
    <w:p w14:paraId="0D11EA52" w14:textId="5A2E298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Բացառման կարգով անվտանգության մասով անհետաձգելի սահմանափակումների </w:t>
      </w:r>
      <w:r w:rsidR="00C54D75">
        <w:rPr>
          <w:rFonts w:ascii="Sylfaen" w:hAnsi="Sylfaen"/>
          <w:sz w:val="24"/>
          <w:szCs w:val="24"/>
        </w:rPr>
        <w:t>և</w:t>
      </w:r>
      <w:r w:rsidRPr="003B2786">
        <w:rPr>
          <w:rFonts w:ascii="Sylfaen" w:hAnsi="Sylfaen"/>
          <w:sz w:val="24"/>
          <w:szCs w:val="24"/>
        </w:rPr>
        <w:t xml:space="preserve"> անվտանգության հարցերին առնչվող փոփոխությունների իրագործումը թույլատրվում է մնացած համապատասխան մարմինների հետ խորհրդակցելուց հետո՝ իրավատիրոջ (</w:t>
      </w:r>
      <w:r w:rsidR="0056496B">
        <w:rPr>
          <w:rFonts w:ascii="Sylfaen" w:hAnsi="Sylfaen"/>
          <w:sz w:val="24"/>
          <w:szCs w:val="24"/>
        </w:rPr>
        <w:t>դիմումատու</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ռեֆերենտ</w:t>
      </w:r>
      <w:r w:rsidRPr="003B2786" w:rsidDel="00233C52">
        <w:rPr>
          <w:rFonts w:ascii="Sylfaen" w:hAnsi="Sylfaen"/>
          <w:sz w:val="24"/>
          <w:szCs w:val="24"/>
        </w:rPr>
        <w:t xml:space="preserve"> </w:t>
      </w:r>
      <w:r w:rsidRPr="003B2786">
        <w:rPr>
          <w:rFonts w:ascii="Sylfaen" w:hAnsi="Sylfaen"/>
          <w:sz w:val="24"/>
          <w:szCs w:val="24"/>
        </w:rPr>
        <w:t>պետության լիազորված մարմնի միջ</w:t>
      </w:r>
      <w:r w:rsidR="00C54D75">
        <w:rPr>
          <w:rFonts w:ascii="Sylfaen" w:hAnsi="Sylfaen"/>
          <w:sz w:val="24"/>
          <w:szCs w:val="24"/>
        </w:rPr>
        <w:t>և</w:t>
      </w:r>
      <w:r w:rsidRPr="003B2786">
        <w:rPr>
          <w:rFonts w:ascii="Sylfaen" w:hAnsi="Sylfaen"/>
          <w:sz w:val="24"/>
          <w:szCs w:val="24"/>
        </w:rPr>
        <w:t xml:space="preserve"> համաձայնեցված ժամկետում:</w:t>
      </w:r>
    </w:p>
    <w:p w14:paraId="03571260" w14:textId="77777777" w:rsidR="008C76E0" w:rsidRPr="003B2786" w:rsidRDefault="008C76E0" w:rsidP="00593820">
      <w:pPr>
        <w:spacing w:after="160" w:line="360" w:lineRule="auto"/>
        <w:ind w:right="-1" w:firstLine="567"/>
        <w:jc w:val="both"/>
        <w:rPr>
          <w:rFonts w:ascii="Sylfaen" w:hAnsi="Sylfaen"/>
          <w:sz w:val="24"/>
          <w:szCs w:val="24"/>
        </w:rPr>
      </w:pPr>
    </w:p>
    <w:p w14:paraId="3E68A466" w14:textId="77777777" w:rsidR="008C76E0" w:rsidRPr="003B2786" w:rsidRDefault="008C76E0" w:rsidP="00593820">
      <w:pPr>
        <w:spacing w:after="160" w:line="360" w:lineRule="auto"/>
        <w:ind w:right="-1"/>
        <w:jc w:val="center"/>
        <w:outlineLvl w:val="0"/>
        <w:rPr>
          <w:rFonts w:ascii="Sylfaen" w:hAnsi="Sylfaen"/>
          <w:sz w:val="24"/>
          <w:szCs w:val="24"/>
        </w:rPr>
      </w:pPr>
      <w:r w:rsidRPr="003B2786">
        <w:rPr>
          <w:rFonts w:ascii="Sylfaen" w:hAnsi="Sylfaen"/>
          <w:sz w:val="24"/>
          <w:szCs w:val="24"/>
        </w:rPr>
        <w:t>V. Եզրափակիչ դրույթներ</w:t>
      </w:r>
    </w:p>
    <w:p w14:paraId="4F77A762" w14:textId="77777777" w:rsidR="008C76E0" w:rsidRPr="003B2786" w:rsidRDefault="008C76E0" w:rsidP="00593820">
      <w:pPr>
        <w:spacing w:after="160" w:line="360" w:lineRule="auto"/>
        <w:ind w:right="-1"/>
        <w:jc w:val="center"/>
        <w:outlineLvl w:val="0"/>
        <w:rPr>
          <w:rFonts w:ascii="Sylfaen" w:hAnsi="Sylfaen"/>
          <w:sz w:val="24"/>
          <w:szCs w:val="24"/>
        </w:rPr>
      </w:pPr>
    </w:p>
    <w:p w14:paraId="3C5D3BA2"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5.1. Շարունակական մոնիթորինգ</w:t>
      </w:r>
    </w:p>
    <w:p w14:paraId="5FC5984E" w14:textId="3D202224"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Համապատասխան մարմնի հարցմամբ </w:t>
      </w:r>
      <w:r w:rsidR="0056496B">
        <w:rPr>
          <w:rFonts w:ascii="Sylfaen" w:hAnsi="Sylfaen"/>
          <w:sz w:val="24"/>
          <w:szCs w:val="24"/>
        </w:rPr>
        <w:t>դիմումատու</w:t>
      </w:r>
      <w:r w:rsidRPr="003B2786">
        <w:rPr>
          <w:rFonts w:ascii="Sylfaen" w:hAnsi="Sylfaen"/>
          <w:sz w:val="24"/>
          <w:szCs w:val="24"/>
        </w:rPr>
        <w:t>ն պետք է անմիջապես ներկայացնի որոշակի փոփոխության իրագործմանը վերաբերող բոլոր տեղեկությունները:</w:t>
      </w:r>
    </w:p>
    <w:p w14:paraId="3A70DC1A" w14:textId="77777777" w:rsidR="008C76E0" w:rsidRPr="003B2786" w:rsidRDefault="008C76E0" w:rsidP="00593820">
      <w:pPr>
        <w:spacing w:after="160" w:line="360" w:lineRule="auto"/>
        <w:ind w:right="-1" w:firstLine="567"/>
        <w:jc w:val="both"/>
        <w:rPr>
          <w:rFonts w:ascii="Sylfaen" w:hAnsi="Sylfaen"/>
          <w:sz w:val="24"/>
          <w:szCs w:val="24"/>
        </w:rPr>
      </w:pPr>
    </w:p>
    <w:p w14:paraId="16B89D47"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5.2.Սույն փաստաթղթի վերանայումը</w:t>
      </w:r>
    </w:p>
    <w:p w14:paraId="43765960" w14:textId="77777777"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Ոչ ուշ, քան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կանոններն ուժի մեջ մտնելու օրվանից 5 տարի հետո Դեղամիջոցների հարցերով փորձագիտական կոմիտեն պետք է գնահատի </w:t>
      </w:r>
      <w:r w:rsidRPr="003B2786">
        <w:rPr>
          <w:rFonts w:ascii="Sylfaen" w:hAnsi="Sylfaen"/>
          <w:sz w:val="24"/>
          <w:szCs w:val="24"/>
        </w:rPr>
        <w:lastRenderedPageBreak/>
        <w:t xml:space="preserve">փոփոխությունների դասակարգման մասով սույն փաստաթղթի կիրառելիությունը ժամանակակից գիտական տվյալների հիման վրա արդիական վիճակը պահպանելու համար այնպիսի անհրաժեշտ փոփոխություններ առաջարկելու նպատակով, որոնք ուղղված են I </w:t>
      </w:r>
      <w:r w:rsidR="00C54D75">
        <w:rPr>
          <w:rFonts w:ascii="Sylfaen" w:hAnsi="Sylfaen"/>
          <w:sz w:val="24"/>
          <w:szCs w:val="24"/>
        </w:rPr>
        <w:t>և</w:t>
      </w:r>
      <w:r w:rsidRPr="003B2786">
        <w:rPr>
          <w:rFonts w:ascii="Sylfaen" w:hAnsi="Sylfaen"/>
          <w:sz w:val="24"/>
          <w:szCs w:val="24"/>
        </w:rPr>
        <w:t xml:space="preserve"> II լրացումների հարմարեցմանը:</w:t>
      </w:r>
    </w:p>
    <w:p w14:paraId="2E4F94A3" w14:textId="77777777" w:rsidR="008C76E0" w:rsidRPr="003B2786" w:rsidRDefault="008C76E0" w:rsidP="00593820">
      <w:pPr>
        <w:spacing w:after="160" w:line="360" w:lineRule="auto"/>
        <w:ind w:right="-1"/>
        <w:jc w:val="both"/>
        <w:rPr>
          <w:rFonts w:ascii="Sylfaen" w:eastAsia="Times New Roman" w:hAnsi="Sylfaen" w:cs="Times New Roman"/>
          <w:sz w:val="24"/>
          <w:szCs w:val="24"/>
        </w:rPr>
      </w:pPr>
      <w:r w:rsidRPr="003B2786">
        <w:rPr>
          <w:rFonts w:ascii="Sylfaen" w:hAnsi="Sylfaen"/>
          <w:sz w:val="24"/>
          <w:szCs w:val="24"/>
        </w:rPr>
        <w:br w:type="page"/>
      </w:r>
    </w:p>
    <w:p w14:paraId="3E06061C" w14:textId="77777777" w:rsidR="008C76E0" w:rsidRPr="003B2786" w:rsidRDefault="008C76E0" w:rsidP="00945A7B">
      <w:pPr>
        <w:spacing w:after="160" w:line="360" w:lineRule="auto"/>
        <w:ind w:right="-1"/>
        <w:jc w:val="center"/>
        <w:outlineLvl w:val="0"/>
        <w:rPr>
          <w:rFonts w:ascii="Sylfaen" w:hAnsi="Sylfaen"/>
          <w:sz w:val="24"/>
          <w:szCs w:val="24"/>
        </w:rPr>
      </w:pPr>
      <w:r w:rsidRPr="003B2786">
        <w:rPr>
          <w:rFonts w:ascii="Sylfaen" w:hAnsi="Sylfaen"/>
          <w:sz w:val="24"/>
          <w:szCs w:val="24"/>
        </w:rPr>
        <w:lastRenderedPageBreak/>
        <w:t>Լրացում I</w:t>
      </w:r>
    </w:p>
    <w:p w14:paraId="0825324C" w14:textId="77777777" w:rsidR="008C76E0" w:rsidRPr="003B2786" w:rsidRDefault="008C76E0" w:rsidP="00945A7B">
      <w:pPr>
        <w:spacing w:after="160" w:line="360" w:lineRule="auto"/>
        <w:ind w:right="-1"/>
        <w:jc w:val="center"/>
        <w:outlineLvl w:val="0"/>
        <w:rPr>
          <w:rFonts w:ascii="Sylfaen" w:hAnsi="Sylfaen"/>
          <w:sz w:val="24"/>
          <w:szCs w:val="24"/>
        </w:rPr>
      </w:pPr>
      <w:r w:rsidRPr="003B2786">
        <w:rPr>
          <w:rFonts w:ascii="Sylfaen" w:hAnsi="Sylfaen"/>
          <w:sz w:val="24"/>
          <w:szCs w:val="24"/>
        </w:rPr>
        <w:t>Գրանցման ընդլայնումը</w:t>
      </w:r>
    </w:p>
    <w:p w14:paraId="1607441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Ակտիվ դեղագործական բաղադրամասերի փոփոխությունները՝</w:t>
      </w:r>
    </w:p>
    <w:p w14:paraId="2FCBB57E"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քիմիական սինթեզի եղանակով ստացված ակտիվ դեղագործական բաղադրամասերի փոխարինումն այլ աղով (եթերով, համալիրով, ածանցյալով) ազդող նյութի մոլեկուլի մի</w:t>
      </w:r>
      <w:r w:rsidR="00C54D75">
        <w:rPr>
          <w:rFonts w:ascii="Sylfaen" w:hAnsi="Sylfaen"/>
          <w:sz w:val="24"/>
          <w:szCs w:val="24"/>
        </w:rPr>
        <w:t>և</w:t>
      </w:r>
      <w:r w:rsidRPr="003B2786">
        <w:rPr>
          <w:rFonts w:ascii="Sylfaen" w:hAnsi="Sylfaen"/>
          <w:sz w:val="24"/>
          <w:szCs w:val="24"/>
        </w:rPr>
        <w:t xml:space="preserve">նույն ակտիվ մասով՝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4FE70C6"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 xml:space="preserve">ակտիվ դեղագործական բաղադրամասի փոխարինումն այլ իզոմերով, իզոմերների այլ խառնուրդով, առանձին իզոմերների խառնուրդով (օրինակ՝ ռացեմատի փոխարինումը միակ էնանտիոմերով)՝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20393925"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ակտիվ կենսաբանական դեղագործական բաղադրամասի փոխարինումը մեկ այլ՝ փոքր-ինչ փոփոխված մոլեկուլային կառուցվածքով` արդյունավետության (կամ) անվտանգության մեջ էական տարբերությունների բացակայության դեպքում՝ բացառությամբ մարդու մոտ գրիպի կանխարգելման համար նախատեսված սեզոնային, նախահամավարակային կամ համավարակային պատվաստանյութի ակտիվ դեղագործական բաղադրամասի փոփոխությունների.</w:t>
      </w:r>
    </w:p>
    <w:p w14:paraId="4E51F26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հակածին կամ ելանյութ ստանալու համար օգտագործվող վեկտորի ձ</w:t>
      </w:r>
      <w:r w:rsidR="00C54D75">
        <w:rPr>
          <w:rFonts w:ascii="Sylfaen" w:hAnsi="Sylfaen"/>
          <w:sz w:val="24"/>
          <w:szCs w:val="24"/>
        </w:rPr>
        <w:t>և</w:t>
      </w:r>
      <w:r w:rsidRPr="003B2786">
        <w:rPr>
          <w:rFonts w:ascii="Sylfaen" w:hAnsi="Sylfaen"/>
          <w:sz w:val="24"/>
          <w:szCs w:val="24"/>
        </w:rPr>
        <w:t xml:space="preserve">ափոխությունները՝ ներառյալ այլ աղբյուրի բջիջների նոր գլխավոր բանկը՝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8CDD2A1"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 xml:space="preserve">նոր լիգանդը կամ ռադիոդեղագործական դեղապատրաստուկի կապման մեխանիզմը`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4B164992"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 xml:space="preserve">լուծահանող նյութի (էքստրագենտի) կամ բուսական հումքի </w:t>
      </w:r>
      <w:r w:rsidR="00C54D75">
        <w:rPr>
          <w:rFonts w:ascii="Sylfaen" w:hAnsi="Sylfaen"/>
          <w:sz w:val="24"/>
          <w:szCs w:val="24"/>
        </w:rPr>
        <w:t>և</w:t>
      </w:r>
      <w:r w:rsidRPr="003B2786">
        <w:rPr>
          <w:rFonts w:ascii="Sylfaen" w:hAnsi="Sylfaen"/>
          <w:sz w:val="24"/>
          <w:szCs w:val="24"/>
        </w:rPr>
        <w:t xml:space="preserve"> բուսական դեղագործական բաղադրամասի միջ</w:t>
      </w:r>
      <w:r w:rsidR="00C54D75">
        <w:rPr>
          <w:rFonts w:ascii="Sylfaen" w:hAnsi="Sylfaen"/>
          <w:sz w:val="24"/>
          <w:szCs w:val="24"/>
        </w:rPr>
        <w:t>և</w:t>
      </w:r>
      <w:r w:rsidRPr="003B2786">
        <w:rPr>
          <w:rFonts w:ascii="Sylfaen" w:hAnsi="Sylfaen"/>
          <w:sz w:val="24"/>
          <w:szCs w:val="24"/>
        </w:rPr>
        <w:t xml:space="preserve"> հարաբերակցության փոփոխությունը՝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w:t>
      </w:r>
      <w:r w:rsidRPr="003B2786">
        <w:rPr>
          <w:rFonts w:ascii="Sylfaen" w:hAnsi="Sylfaen"/>
          <w:sz w:val="24"/>
          <w:szCs w:val="24"/>
        </w:rPr>
        <w:lastRenderedPageBreak/>
        <w:t>բացակայության դեպքում:</w:t>
      </w:r>
    </w:p>
    <w:p w14:paraId="3111532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Դեղաչափի, դեղաձ</w:t>
      </w:r>
      <w:r w:rsidR="00C54D75">
        <w:rPr>
          <w:rFonts w:ascii="Sylfaen" w:hAnsi="Sylfaen"/>
          <w:sz w:val="24"/>
          <w:szCs w:val="24"/>
        </w:rPr>
        <w:t>և</w:t>
      </w:r>
      <w:r w:rsidRPr="003B2786">
        <w:rPr>
          <w:rFonts w:ascii="Sylfaen" w:hAnsi="Sylfaen"/>
          <w:sz w:val="24"/>
          <w:szCs w:val="24"/>
        </w:rPr>
        <w:t>ի կամ ներմուծման եղանակի փոփոխությունները՝</w:t>
      </w:r>
    </w:p>
    <w:p w14:paraId="00AF2B2D"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կենսամատչելիության փոփոխություն.</w:t>
      </w:r>
    </w:p>
    <w:p w14:paraId="5B181F6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դեղակինետիկայի, օրինակ՝ ձերբազատման արագության փոփոխություն.</w:t>
      </w:r>
    </w:p>
    <w:p w14:paraId="477AC71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դեղաչափի փոփոխություն կամ նոր դեղաչափի (ակտիվության) ավելացում.</w:t>
      </w:r>
    </w:p>
    <w:p w14:paraId="4C353DA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դեղաձ</w:t>
      </w:r>
      <w:r w:rsidR="00C54D75">
        <w:rPr>
          <w:rFonts w:ascii="Sylfaen" w:hAnsi="Sylfaen"/>
          <w:sz w:val="24"/>
          <w:szCs w:val="24"/>
        </w:rPr>
        <w:t>և</w:t>
      </w:r>
      <w:r w:rsidRPr="003B2786">
        <w:rPr>
          <w:rFonts w:ascii="Sylfaen" w:hAnsi="Sylfaen"/>
          <w:sz w:val="24"/>
          <w:szCs w:val="24"/>
        </w:rPr>
        <w:t>ի փոփոխություն կամ նոր դեղաձ</w:t>
      </w:r>
      <w:r w:rsidR="00C54D75">
        <w:rPr>
          <w:rFonts w:ascii="Sylfaen" w:hAnsi="Sylfaen"/>
          <w:sz w:val="24"/>
          <w:szCs w:val="24"/>
        </w:rPr>
        <w:t>և</w:t>
      </w:r>
      <w:r w:rsidRPr="003B2786">
        <w:rPr>
          <w:rFonts w:ascii="Sylfaen" w:hAnsi="Sylfaen"/>
          <w:sz w:val="24"/>
          <w:szCs w:val="24"/>
        </w:rPr>
        <w:t>ի ավելացում.</w:t>
      </w:r>
    </w:p>
    <w:p w14:paraId="318C4B7A"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 xml:space="preserve">ներմուծման եղանակի փոփոխություն կամ նոր եղանակի ավելացում (պարէնտերալ ներմուծման դեպքում հարկավոր է տարբերակել ներզարկերակային, ներերակային, ներմկանային, ենթամաշկային </w:t>
      </w:r>
      <w:r w:rsidR="00C54D75">
        <w:rPr>
          <w:rFonts w:ascii="Sylfaen" w:hAnsi="Sylfaen"/>
          <w:sz w:val="24"/>
          <w:szCs w:val="24"/>
        </w:rPr>
        <w:t>և</w:t>
      </w:r>
      <w:r w:rsidRPr="003B2786">
        <w:rPr>
          <w:rFonts w:ascii="Sylfaen" w:hAnsi="Sylfaen"/>
          <w:sz w:val="24"/>
          <w:szCs w:val="24"/>
        </w:rPr>
        <w:t xml:space="preserve"> ներմուծման այլ եղանակներ):</w:t>
      </w:r>
    </w:p>
    <w:p w14:paraId="6E38462F" w14:textId="77777777" w:rsidR="008C76E0" w:rsidRPr="003B2786" w:rsidRDefault="008C76E0" w:rsidP="008C76E0">
      <w:pPr>
        <w:ind w:right="-1"/>
        <w:jc w:val="both"/>
        <w:rPr>
          <w:rFonts w:ascii="Sylfaen" w:eastAsia="Times New Roman" w:hAnsi="Sylfaen" w:cs="Times New Roman"/>
          <w:sz w:val="24"/>
          <w:szCs w:val="24"/>
        </w:rPr>
      </w:pPr>
      <w:r w:rsidRPr="003B2786">
        <w:rPr>
          <w:rFonts w:ascii="Sylfaen" w:hAnsi="Sylfaen"/>
          <w:sz w:val="24"/>
          <w:szCs w:val="24"/>
        </w:rPr>
        <w:br w:type="page"/>
      </w:r>
    </w:p>
    <w:p w14:paraId="7FE9621F" w14:textId="77777777" w:rsidR="008C76E0" w:rsidRPr="003B2786" w:rsidRDefault="008C76E0" w:rsidP="00945A7B">
      <w:pPr>
        <w:spacing w:after="160" w:line="360" w:lineRule="auto"/>
        <w:jc w:val="center"/>
        <w:outlineLvl w:val="0"/>
        <w:rPr>
          <w:rFonts w:ascii="Sylfaen" w:hAnsi="Sylfaen"/>
          <w:sz w:val="24"/>
          <w:szCs w:val="24"/>
        </w:rPr>
      </w:pPr>
      <w:r w:rsidRPr="003B2786">
        <w:rPr>
          <w:rFonts w:ascii="Sylfaen" w:hAnsi="Sylfaen"/>
          <w:sz w:val="24"/>
          <w:szCs w:val="24"/>
        </w:rPr>
        <w:lastRenderedPageBreak/>
        <w:t>Լրացում II</w:t>
      </w:r>
    </w:p>
    <w:p w14:paraId="37663294" w14:textId="77777777" w:rsidR="008C76E0" w:rsidRPr="003B2786" w:rsidRDefault="008C76E0" w:rsidP="00945A7B">
      <w:pPr>
        <w:spacing w:after="160" w:line="360" w:lineRule="auto"/>
        <w:jc w:val="center"/>
        <w:outlineLvl w:val="0"/>
        <w:rPr>
          <w:rFonts w:ascii="Sylfaen" w:hAnsi="Sylfaen"/>
          <w:sz w:val="24"/>
          <w:szCs w:val="24"/>
        </w:rPr>
      </w:pPr>
      <w:r w:rsidRPr="003B2786">
        <w:rPr>
          <w:rFonts w:ascii="Sylfaen" w:hAnsi="Sylfaen"/>
          <w:sz w:val="24"/>
          <w:szCs w:val="24"/>
        </w:rPr>
        <w:t>Փոփոխությունների դասակարգումը</w:t>
      </w:r>
    </w:p>
    <w:p w14:paraId="66AF2038"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Հարկավոր է որպես IA տիպի ոչ էական փոփոխություն դասակարգել հետ</w:t>
      </w:r>
      <w:r w:rsidR="00C54D75">
        <w:rPr>
          <w:rFonts w:ascii="Sylfaen" w:hAnsi="Sylfaen"/>
          <w:sz w:val="24"/>
          <w:szCs w:val="24"/>
        </w:rPr>
        <w:t>և</w:t>
      </w:r>
      <w:r w:rsidRPr="003B2786">
        <w:rPr>
          <w:rFonts w:ascii="Sylfaen" w:hAnsi="Sylfaen"/>
          <w:sz w:val="24"/>
          <w:szCs w:val="24"/>
        </w:rPr>
        <w:t>յալ փոփոխությունները.</w:t>
      </w:r>
    </w:p>
    <w:p w14:paraId="6773F6F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բացառապես վարչական բնույթի փոփոխություններ, որոնք վերաբերում են հետ</w:t>
      </w:r>
      <w:r w:rsidR="00C54D75">
        <w:rPr>
          <w:rFonts w:ascii="Sylfaen" w:hAnsi="Sylfaen"/>
          <w:sz w:val="24"/>
          <w:szCs w:val="24"/>
        </w:rPr>
        <w:t>և</w:t>
      </w:r>
      <w:r w:rsidRPr="003B2786">
        <w:rPr>
          <w:rFonts w:ascii="Sylfaen" w:hAnsi="Sylfaen"/>
          <w:sz w:val="24"/>
          <w:szCs w:val="24"/>
        </w:rPr>
        <w:t>յալի անվանմանն ու կոնտակտային տվյալներին՝</w:t>
      </w:r>
    </w:p>
    <w:p w14:paraId="66D6F7F0" w14:textId="390EDB6D" w:rsidR="008C76E0" w:rsidRPr="003B2786" w:rsidRDefault="008C76E0" w:rsidP="00945A7B">
      <w:pPr>
        <w:tabs>
          <w:tab w:val="left" w:pos="993"/>
        </w:tabs>
        <w:spacing w:after="160" w:line="360" w:lineRule="auto"/>
        <w:ind w:firstLine="567"/>
        <w:jc w:val="both"/>
        <w:rPr>
          <w:rFonts w:ascii="Sylfaen" w:hAnsi="Sylfaen"/>
          <w:sz w:val="24"/>
          <w:szCs w:val="24"/>
        </w:rPr>
      </w:pPr>
      <w:r w:rsidRPr="003B2786">
        <w:rPr>
          <w:rFonts w:ascii="Sylfaen" w:hAnsi="Sylfaen"/>
          <w:sz w:val="24"/>
          <w:szCs w:val="24"/>
        </w:rPr>
        <w:t xml:space="preserve">իրավատիրոջ, </w:t>
      </w:r>
      <w:r w:rsidR="0056496B">
        <w:rPr>
          <w:rFonts w:ascii="Sylfaen" w:hAnsi="Sylfaen"/>
          <w:sz w:val="24"/>
          <w:szCs w:val="24"/>
        </w:rPr>
        <w:t>դիմումատու</w:t>
      </w:r>
      <w:r w:rsidRPr="003B2786">
        <w:rPr>
          <w:rFonts w:ascii="Sylfaen" w:hAnsi="Sylfaen"/>
          <w:sz w:val="24"/>
          <w:szCs w:val="24"/>
        </w:rPr>
        <w:t xml:space="preserve">ի, իրավատիրոջ ներկայացուցչի </w:t>
      </w:r>
      <w:r w:rsidR="00C54D75">
        <w:rPr>
          <w:rFonts w:ascii="Sylfaen" w:hAnsi="Sylfaen"/>
          <w:sz w:val="24"/>
          <w:szCs w:val="24"/>
        </w:rPr>
        <w:t>և</w:t>
      </w:r>
      <w:r w:rsidRPr="003B2786">
        <w:rPr>
          <w:rFonts w:ascii="Sylfaen" w:hAnsi="Sylfaen"/>
          <w:sz w:val="24"/>
          <w:szCs w:val="24"/>
        </w:rPr>
        <w:t xml:space="preserve"> այլն.</w:t>
      </w:r>
    </w:p>
    <w:p w14:paraId="5FF29C96" w14:textId="77777777" w:rsidR="008C76E0" w:rsidRPr="003B2786" w:rsidRDefault="008C76E0" w:rsidP="00945A7B">
      <w:pPr>
        <w:tabs>
          <w:tab w:val="left" w:pos="993"/>
        </w:tabs>
        <w:spacing w:after="160" w:line="360" w:lineRule="auto"/>
        <w:ind w:firstLine="567"/>
        <w:jc w:val="both"/>
        <w:rPr>
          <w:rFonts w:ascii="Sylfaen" w:hAnsi="Sylfaen"/>
          <w:sz w:val="24"/>
          <w:szCs w:val="24"/>
        </w:rPr>
      </w:pPr>
      <w:r w:rsidRPr="003B2786">
        <w:rPr>
          <w:rFonts w:ascii="Sylfaen" w:hAnsi="Sylfaen"/>
          <w:sz w:val="24"/>
          <w:szCs w:val="24"/>
        </w:rPr>
        <w:t xml:space="preserve">արտադրության գործընթացում օգտագործվող կամ դեղապատրաստուկի մեջ պարունակվող ցանկացած ելանյութի, ռեակտիվի, միջանկյալ արտադրանքի, ակտիվ դեղագործական բաղադրամասի արտադրողի կամ մատակարարի. </w:t>
      </w:r>
    </w:p>
    <w:p w14:paraId="796DFDA1"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որ</w:t>
      </w:r>
      <w:r w:rsidR="00C54D75">
        <w:rPr>
          <w:rFonts w:ascii="Sylfaen" w:hAnsi="Sylfaen"/>
          <w:sz w:val="24"/>
          <w:szCs w:val="24"/>
        </w:rPr>
        <w:t>և</w:t>
      </w:r>
      <w:r w:rsidRPr="003B2786">
        <w:rPr>
          <w:rFonts w:ascii="Sylfaen" w:hAnsi="Sylfaen"/>
          <w:sz w:val="24"/>
          <w:szCs w:val="24"/>
        </w:rPr>
        <w:t>է արտադրական հարթակի, այդ թվում՝ ակտիվ դեղագործական բաղադրամասի, միջանկյալ արտադրանքի կամ դեղապատրաստուկի, փաթեթավորողի, սերիայի բացթողման համար պատասխանատու արտադրողի, բացթողման որակի հսկողություն իրականացնող արտադրական հարթակի բացառման հիմքում ընկած փոփոխություններ.</w:t>
      </w:r>
    </w:p>
    <w:p w14:paraId="0BA81336"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 xml:space="preserve">հաստատված ֆիզիկաքիմիական վերլուծական մեթոդիկաների ոչ էական փոփոխություն հանդիսացող փոփոխություններ, եթե հաստատված է, որ թարմացված մեթոդիկան առնվազն համարժեք է նախկինում օգտագործված մեթոդիկային, անցկացվել է պատշաճ վալիդացում, </w:t>
      </w:r>
      <w:r w:rsidR="00C54D75">
        <w:rPr>
          <w:rFonts w:ascii="Sylfaen" w:hAnsi="Sylfaen"/>
          <w:sz w:val="24"/>
          <w:szCs w:val="24"/>
        </w:rPr>
        <w:t>և</w:t>
      </w:r>
      <w:r w:rsidRPr="003B2786">
        <w:rPr>
          <w:rFonts w:ascii="Sylfaen" w:hAnsi="Sylfaen"/>
          <w:sz w:val="24"/>
          <w:szCs w:val="24"/>
        </w:rPr>
        <w:t xml:space="preserve"> դրա արդյունքները վկայում են այն մասին, որ թարմացված վերլուծական մեթոդիկան առնվազն համարժեք է նախորդին (փոխարինվողին).</w:t>
      </w:r>
    </w:p>
    <w:p w14:paraId="49F5ACB3"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 xml:space="preserve">ակտիվ դեղագործական բաղադրամասի կամ օժանդակ նյութի մասնագրերի կամ դեղապատրաստուկի որակի նորմատիվ փաստաթղթի փոփոխություն հանդիսացող փոփոխություններ, որոնք իրականացվել են Միության դեղագրքի կամ անդամ պետության դեղագրքի համապատասխան թարմացված հոդվածին համապատասխանություն ապահովելու նպատակով, </w:t>
      </w:r>
    </w:p>
    <w:p w14:paraId="70EF1DB3"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եթե փոփոխությունն իրականացվել է բացառապես դեղագրքի պահանջներին համապատասխանությունն ապահովելու նպատակով, իսկ արտադրանքի մասնագրերի (որակի նորմատիվ փաստաթղթի) պարամետրերը չեն փոփոխվում.</w:t>
      </w:r>
    </w:p>
    <w:p w14:paraId="20535198"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դեղապատրաստուկին չհպվող փաթեթավորման նյութի փոփոխում հանդիսացող փոփոխություններ, որոնք չեն ազդում դեղապատրաստուկի առաքման, կիրառման, անվտանգության կամ կայունության վրա.</w:t>
      </w:r>
    </w:p>
    <w:p w14:paraId="376DE78C"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մասնագրի կամ որակի նորմատիվ փաստաթղթի ընդունելիության չափանիշների խստացում հանդիսացող փոփոխություններ, եթե այդպիսի փոփոխությունները մասնագրի (որակի նորմատիվ փաստաթղթի) ընդունելիության չափանիշների վերլուծության նպատակով նախկինում անցկացված փորձաքննությունների արդյունքներով ընդունված որ</w:t>
      </w:r>
      <w:r w:rsidR="00C54D75">
        <w:rPr>
          <w:rFonts w:ascii="Sylfaen" w:hAnsi="Sylfaen"/>
          <w:sz w:val="24"/>
          <w:szCs w:val="24"/>
        </w:rPr>
        <w:t>և</w:t>
      </w:r>
      <w:r w:rsidRPr="003B2786">
        <w:rPr>
          <w:rFonts w:ascii="Sylfaen" w:hAnsi="Sylfaen"/>
          <w:sz w:val="24"/>
          <w:szCs w:val="24"/>
        </w:rPr>
        <w:t>է պարտավորության կամ արտադրության ընթացքում առաջացած անսպասելի իրավիճակի հետ</w:t>
      </w:r>
      <w:r w:rsidR="00C54D75">
        <w:rPr>
          <w:rFonts w:ascii="Sylfaen" w:hAnsi="Sylfaen"/>
          <w:sz w:val="24"/>
          <w:szCs w:val="24"/>
        </w:rPr>
        <w:t>և</w:t>
      </w:r>
      <w:r w:rsidRPr="003B2786">
        <w:rPr>
          <w:rFonts w:ascii="Sylfaen" w:hAnsi="Sylfaen"/>
          <w:sz w:val="24"/>
          <w:szCs w:val="24"/>
        </w:rPr>
        <w:t>անք չեն:</w:t>
      </w:r>
    </w:p>
    <w:p w14:paraId="0E58A99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Հետ</w:t>
      </w:r>
      <w:r w:rsidR="00C54D75">
        <w:rPr>
          <w:rFonts w:ascii="Sylfaen" w:hAnsi="Sylfaen"/>
          <w:sz w:val="24"/>
          <w:szCs w:val="24"/>
        </w:rPr>
        <w:t>և</w:t>
      </w:r>
      <w:r w:rsidRPr="003B2786">
        <w:rPr>
          <w:rFonts w:ascii="Sylfaen" w:hAnsi="Sylfaen"/>
          <w:sz w:val="24"/>
          <w:szCs w:val="24"/>
        </w:rPr>
        <w:t>յալ փոփոխությունները հարկավոր է դասակարգել որպես II տիպի էական փոփոխություններ՝</w:t>
      </w:r>
    </w:p>
    <w:p w14:paraId="7A6F0DD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կիրառման նոր ցուցում ավելացնելու կամ առկա ցուցումը ձ</w:t>
      </w:r>
      <w:r w:rsidR="00C54D75">
        <w:rPr>
          <w:rFonts w:ascii="Sylfaen" w:hAnsi="Sylfaen"/>
          <w:sz w:val="24"/>
          <w:szCs w:val="24"/>
        </w:rPr>
        <w:t>և</w:t>
      </w:r>
      <w:r w:rsidRPr="003B2786">
        <w:rPr>
          <w:rFonts w:ascii="Sylfaen" w:hAnsi="Sylfaen"/>
          <w:sz w:val="24"/>
          <w:szCs w:val="24"/>
        </w:rPr>
        <w:t>ափոխելու հիմքում ընկած փոփոխություններ.</w:t>
      </w:r>
    </w:p>
    <w:p w14:paraId="117331AD"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դեղապատրաստուկի ընդհանուր բնութագրի էական ձ</w:t>
      </w:r>
      <w:r w:rsidR="00C54D75">
        <w:rPr>
          <w:rFonts w:ascii="Sylfaen" w:hAnsi="Sylfaen"/>
          <w:sz w:val="24"/>
          <w:szCs w:val="24"/>
        </w:rPr>
        <w:t>և</w:t>
      </w:r>
      <w:r w:rsidRPr="003B2786">
        <w:rPr>
          <w:rFonts w:ascii="Sylfaen" w:hAnsi="Sylfaen"/>
          <w:sz w:val="24"/>
          <w:szCs w:val="24"/>
        </w:rPr>
        <w:t>ափոխություն հանդիսացող փոփոխություններ՝ ելնելով հատկապես նախակլինիկական կամ կլինիկական հետազոտությունների որակի, արդյունքների վերաբերյալ նոր տվյալներից, դեղազգոնության տվյալներից.</w:t>
      </w:r>
    </w:p>
    <w:p w14:paraId="0B45666F"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հաստատված մասնագրերի (որակի նորմատիվ փաստաթղթի) ընդունելիության տիրույթը, սահմանները կամ չափանիշները գերազանցող փոփոխություն հանդիսացող փոփոխություններ.</w:t>
      </w:r>
    </w:p>
    <w:p w14:paraId="007766BA"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 xml:space="preserve">ակտիվ դեղագործական բաղադրամասի կամ դեղապատրաստուկի խառնուկների արտադրության գործընթացի, բաղադրության, մասնագրերի (որակի նորմատիվ փաստաթղթի) կամ պրոֆիլի փոփոխություն հանդիսացող փոփոխություններ, որոնք էականորեն կարող են ազդել դեղապատրաստուկի </w:t>
      </w:r>
      <w:r w:rsidRPr="003B2786">
        <w:rPr>
          <w:rFonts w:ascii="Sylfaen" w:hAnsi="Sylfaen"/>
          <w:sz w:val="24"/>
          <w:szCs w:val="24"/>
        </w:rPr>
        <w:lastRenderedPageBreak/>
        <w:t>որակի, անվտանգության կամ արդյունավետության վրա.</w:t>
      </w:r>
    </w:p>
    <w:p w14:paraId="7FAC9C1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կենսաբանական դեղապատրաստուկի ակտիվ դեղագործական բաղադրամասի արտադրության գործընթացի կամ արտադրական հարթակների ձ</w:t>
      </w:r>
      <w:r w:rsidR="00C54D75">
        <w:rPr>
          <w:rFonts w:ascii="Sylfaen" w:hAnsi="Sylfaen"/>
          <w:sz w:val="24"/>
          <w:szCs w:val="24"/>
        </w:rPr>
        <w:t>և</w:t>
      </w:r>
      <w:r w:rsidRPr="003B2786">
        <w:rPr>
          <w:rFonts w:ascii="Sylfaen" w:hAnsi="Sylfaen"/>
          <w:sz w:val="24"/>
          <w:szCs w:val="24"/>
        </w:rPr>
        <w:t>ափոխություն հանդիսացող փոփոխություններ.</w:t>
      </w:r>
    </w:p>
    <w:p w14:paraId="1BED6392"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նոր նախագծային դաշտի ներդրում կամ նախկինում հաստատված նախագծային դաշտի ընդլայնում հանդիսացող փոփոխություններ, եթե նախագծային դաշտը մշակվել է Միության համապատասխան ձեռնարկների կամ միջազգային գիտական ձեռնարկների հիման վրա.</w:t>
      </w:r>
    </w:p>
    <w:p w14:paraId="7D119A0C"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է)</w:t>
      </w:r>
      <w:r w:rsidRPr="003B2786">
        <w:rPr>
          <w:rFonts w:ascii="Sylfaen" w:hAnsi="Sylfaen"/>
          <w:sz w:val="24"/>
          <w:szCs w:val="24"/>
        </w:rPr>
        <w:tab/>
        <w:t>մարդու մոտ գրիպի կանխարգելման համար նախատեսված սեզոնային, նախահամավարակային կամ համավարակային պատվաստանյութերի ակտիվ դեղագործական բաղադրամասի փոփոխություն հանդիսացող փոփոխություններ։</w:t>
      </w:r>
    </w:p>
    <w:p w14:paraId="274FBF8A" w14:textId="77777777" w:rsidR="008C76E0" w:rsidRPr="003B2786" w:rsidRDefault="008C76E0" w:rsidP="008C76E0">
      <w:pPr>
        <w:rPr>
          <w:rFonts w:ascii="Sylfaen" w:eastAsia="Times New Roman" w:hAnsi="Sylfaen" w:cs="Times New Roman"/>
          <w:sz w:val="24"/>
          <w:szCs w:val="24"/>
        </w:rPr>
      </w:pPr>
      <w:r w:rsidRPr="003B2786">
        <w:rPr>
          <w:rFonts w:ascii="Sylfaen" w:hAnsi="Sylfaen"/>
          <w:sz w:val="24"/>
          <w:szCs w:val="24"/>
        </w:rPr>
        <w:br w:type="page"/>
      </w:r>
    </w:p>
    <w:p w14:paraId="3973CA4E" w14:textId="77777777" w:rsidR="008C76E0" w:rsidRPr="003B2786" w:rsidRDefault="008C76E0" w:rsidP="00945A7B">
      <w:pPr>
        <w:spacing w:after="160" w:line="360" w:lineRule="auto"/>
        <w:ind w:left="567" w:right="565"/>
        <w:jc w:val="center"/>
        <w:rPr>
          <w:rFonts w:ascii="Sylfaen" w:hAnsi="Sylfaen"/>
          <w:sz w:val="24"/>
          <w:szCs w:val="24"/>
        </w:rPr>
      </w:pPr>
      <w:r w:rsidRPr="003B2786">
        <w:rPr>
          <w:rFonts w:ascii="Sylfaen" w:hAnsi="Sylfaen"/>
          <w:sz w:val="24"/>
          <w:szCs w:val="24"/>
        </w:rPr>
        <w:lastRenderedPageBreak/>
        <w:t>Լրացում III</w:t>
      </w:r>
    </w:p>
    <w:p w14:paraId="2A24DC84" w14:textId="77777777" w:rsidR="008C76E0" w:rsidRPr="003B2786" w:rsidRDefault="008C76E0" w:rsidP="00945A7B">
      <w:pPr>
        <w:tabs>
          <w:tab w:val="left" w:pos="8789"/>
        </w:tabs>
        <w:spacing w:after="160" w:line="360" w:lineRule="auto"/>
        <w:ind w:left="567" w:right="565" w:firstLine="567"/>
        <w:jc w:val="center"/>
        <w:rPr>
          <w:rFonts w:ascii="Sylfaen" w:hAnsi="Sylfaen"/>
          <w:sz w:val="24"/>
          <w:szCs w:val="24"/>
        </w:rPr>
      </w:pPr>
      <w:r w:rsidRPr="003B2786">
        <w:rPr>
          <w:rFonts w:ascii="Sylfaen" w:hAnsi="Sylfaen"/>
          <w:sz w:val="24"/>
          <w:szCs w:val="24"/>
        </w:rPr>
        <w:t xml:space="preserve">Սույն փաստաթղթի 1.7.2 կետի երրորդ պարբերության </w:t>
      </w:r>
      <w:r w:rsidR="00C54D75">
        <w:rPr>
          <w:rFonts w:ascii="Sylfaen" w:hAnsi="Sylfaen"/>
          <w:sz w:val="24"/>
          <w:szCs w:val="24"/>
        </w:rPr>
        <w:t>և</w:t>
      </w:r>
      <w:r w:rsidRPr="003B2786">
        <w:rPr>
          <w:rFonts w:ascii="Sylfaen" w:hAnsi="Sylfaen"/>
          <w:sz w:val="24"/>
          <w:szCs w:val="24"/>
        </w:rPr>
        <w:t xml:space="preserve"> 3.4.2 կետի երրորդ պարբերության մեջ նկարագրված փոփոխությունների խմբավորման դեպքերը</w:t>
      </w:r>
    </w:p>
    <w:p w14:paraId="632C870C"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Խմբի փոփոխություններից մեկը գրանցման ընդլայնումն է:</w:t>
      </w:r>
    </w:p>
    <w:p w14:paraId="3E45C20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Խմբի փոփոխություններից մեկը II տիպի էական փոփոխություն է. խմբի մնացած փոփոխությունները այդպիսի II տիպի էական փոփոխության հետ</w:t>
      </w:r>
      <w:r w:rsidR="00C54D75">
        <w:rPr>
          <w:rFonts w:ascii="Sylfaen" w:hAnsi="Sylfaen"/>
          <w:sz w:val="24"/>
          <w:szCs w:val="24"/>
        </w:rPr>
        <w:t>և</w:t>
      </w:r>
      <w:r w:rsidRPr="003B2786">
        <w:rPr>
          <w:rFonts w:ascii="Sylfaen" w:hAnsi="Sylfaen"/>
          <w:sz w:val="24"/>
          <w:szCs w:val="24"/>
        </w:rPr>
        <w:t>անք են:</w:t>
      </w:r>
    </w:p>
    <w:p w14:paraId="1532861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Խմբի փոփոխություններից մեկը IB տիպի ոչ էական փոփոխություն է. խմբի մնացած փոփոխությունները այդպիսի IB տիպի ոչ էական փոփոխության հետ</w:t>
      </w:r>
      <w:r w:rsidR="00C54D75">
        <w:rPr>
          <w:rFonts w:ascii="Sylfaen" w:hAnsi="Sylfaen"/>
          <w:sz w:val="24"/>
          <w:szCs w:val="24"/>
        </w:rPr>
        <w:t>և</w:t>
      </w:r>
      <w:r w:rsidRPr="003B2786">
        <w:rPr>
          <w:rFonts w:ascii="Sylfaen" w:hAnsi="Sylfaen"/>
          <w:sz w:val="24"/>
          <w:szCs w:val="24"/>
        </w:rPr>
        <w:t>անք են:</w:t>
      </w:r>
    </w:p>
    <w:p w14:paraId="4E4F6651"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Խմբի բոլոր փոփոխությունները բացառապես դեղապատրաստուկի ընդհանուր բնութագրի, մականշվածքի կամ ներդիր թերթիկի վարչական բնույթի փոփոխություններ են:</w:t>
      </w:r>
    </w:p>
    <w:p w14:paraId="57150738"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Խմբի բոլոր փոփոխությունները ակտիվ դեղագործական բաղադրամասի մաստեր ֆայլի, պատվաստանյութային հակածինի կամ պլազմայի մաստեր ֆայլի փոփոխություններ են:</w:t>
      </w:r>
    </w:p>
    <w:p w14:paraId="5CC2C85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 xml:space="preserve">Խմբի բոլոր փոփոխությունները կազմում են այն ծրագրի մասը, որն ուղղված է դիտարկվող դեղապատրաստուկի կամ դրա ակտիվ դեղագործական բաղադրամասերի արտադրական գործընթացի </w:t>
      </w:r>
      <w:r w:rsidR="00C54D75">
        <w:rPr>
          <w:rFonts w:ascii="Sylfaen" w:hAnsi="Sylfaen"/>
          <w:sz w:val="24"/>
          <w:szCs w:val="24"/>
        </w:rPr>
        <w:t>և</w:t>
      </w:r>
      <w:r w:rsidRPr="003B2786">
        <w:rPr>
          <w:rFonts w:ascii="Sylfaen" w:hAnsi="Sylfaen"/>
          <w:sz w:val="24"/>
          <w:szCs w:val="24"/>
        </w:rPr>
        <w:t xml:space="preserve"> որակի բարելավմանը:</w:t>
      </w:r>
    </w:p>
    <w:p w14:paraId="378D432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Խմբի բոլոր փոփոխություններն այնպիսի փոփոխություններ են, որոնք ազդում են մարդու մոտ գրիպի համավարակի կանխարգելման համար նախատեսված պատվաստանյութի որակի վրա:</w:t>
      </w:r>
    </w:p>
    <w:p w14:paraId="4156A8F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Խմբի բոլոր փոփոխությունները դեղազգոնության համակարգի փոփոխություններ են:</w:t>
      </w:r>
    </w:p>
    <w:p w14:paraId="349D6F4A"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9.</w:t>
      </w:r>
      <w:r w:rsidRPr="003B2786">
        <w:rPr>
          <w:rFonts w:ascii="Sylfaen" w:hAnsi="Sylfaen"/>
          <w:sz w:val="24"/>
          <w:szCs w:val="24"/>
        </w:rPr>
        <w:tab/>
        <w:t xml:space="preserve">Խմբի բոլոր փոփոխությունները անվտանգության մասով որոշակի </w:t>
      </w:r>
      <w:r w:rsidRPr="003B2786">
        <w:rPr>
          <w:rFonts w:ascii="Sylfaen" w:hAnsi="Sylfaen"/>
          <w:sz w:val="24"/>
          <w:szCs w:val="24"/>
        </w:rPr>
        <w:lastRenderedPageBreak/>
        <w:t>անհետաձգելի սահմանափակման հետ</w:t>
      </w:r>
      <w:r w:rsidR="00C54D75">
        <w:rPr>
          <w:rFonts w:ascii="Sylfaen" w:hAnsi="Sylfaen"/>
          <w:sz w:val="24"/>
          <w:szCs w:val="24"/>
        </w:rPr>
        <w:t>և</w:t>
      </w:r>
      <w:r w:rsidRPr="003B2786">
        <w:rPr>
          <w:rFonts w:ascii="Sylfaen" w:hAnsi="Sylfaen"/>
          <w:sz w:val="24"/>
          <w:szCs w:val="24"/>
        </w:rPr>
        <w:t xml:space="preserve">անքն են </w:t>
      </w:r>
      <w:r w:rsidR="00C54D75">
        <w:rPr>
          <w:rFonts w:ascii="Sylfaen" w:hAnsi="Sylfaen"/>
          <w:sz w:val="24"/>
          <w:szCs w:val="24"/>
        </w:rPr>
        <w:t>և</w:t>
      </w:r>
      <w:r w:rsidRPr="003B2786">
        <w:rPr>
          <w:rFonts w:ascii="Sylfaen" w:hAnsi="Sylfaen"/>
          <w:sz w:val="24"/>
          <w:szCs w:val="24"/>
        </w:rPr>
        <w:t xml:space="preserve"> ներկայացված են սույն փաստաթղթի 4.1.4 կետին համապատասխան:</w:t>
      </w:r>
    </w:p>
    <w:p w14:paraId="16C3360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10.</w:t>
      </w:r>
      <w:r w:rsidRPr="003B2786">
        <w:rPr>
          <w:rFonts w:ascii="Sylfaen" w:hAnsi="Sylfaen"/>
          <w:sz w:val="24"/>
          <w:szCs w:val="24"/>
        </w:rPr>
        <w:tab/>
        <w:t>Խմբի բոլոր փոփոխությունները վերաբերում են դեղապատրաստուկի ընդհանուր բնութագրի, մականշվածքի կամ ներդիր թերթիկի մեջ որոշակի դասի տեղեկությունների ուղղմանը (օրինակ՝ դասի համար սպեցիֆիկ նախազգուշացման ավելացում):</w:t>
      </w:r>
    </w:p>
    <w:p w14:paraId="59FBD98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Խմբի բոլոր փոփոխությունները անվտանգության վերաբերյալ որոշակի պարբերական հաշվետվության փորձաքննության հետ</w:t>
      </w:r>
      <w:r w:rsidR="00C54D75">
        <w:rPr>
          <w:rFonts w:ascii="Sylfaen" w:hAnsi="Sylfaen"/>
          <w:sz w:val="24"/>
          <w:szCs w:val="24"/>
        </w:rPr>
        <w:t>և</w:t>
      </w:r>
      <w:r w:rsidRPr="003B2786">
        <w:rPr>
          <w:rFonts w:ascii="Sylfaen" w:hAnsi="Sylfaen"/>
          <w:sz w:val="24"/>
          <w:szCs w:val="24"/>
        </w:rPr>
        <w:t>անք են:</w:t>
      </w:r>
    </w:p>
    <w:p w14:paraId="2DD59C2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Խմբի բոլոր փոփոխությունները իրավատիրոջ վերահսկողության ներքո անցկացվող հետգրանցումային հետազոտության հետ</w:t>
      </w:r>
      <w:r w:rsidR="00C54D75">
        <w:rPr>
          <w:rFonts w:ascii="Sylfaen" w:hAnsi="Sylfaen"/>
          <w:sz w:val="24"/>
          <w:szCs w:val="24"/>
        </w:rPr>
        <w:t>և</w:t>
      </w:r>
      <w:r w:rsidRPr="003B2786">
        <w:rPr>
          <w:rFonts w:ascii="Sylfaen" w:hAnsi="Sylfaen"/>
          <w:sz w:val="24"/>
          <w:szCs w:val="24"/>
        </w:rPr>
        <w:t>անք են:</w:t>
      </w:r>
    </w:p>
    <w:p w14:paraId="76D3C11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Խմբի բոլոր փոփոխությունները գրանցման ժամանակ անդամ պետության լիազորված մարմնի կողմից դրված պարտավորության հետ</w:t>
      </w:r>
      <w:r w:rsidR="00C54D75">
        <w:rPr>
          <w:rFonts w:ascii="Sylfaen" w:hAnsi="Sylfaen"/>
          <w:sz w:val="24"/>
          <w:szCs w:val="24"/>
        </w:rPr>
        <w:t>և</w:t>
      </w:r>
      <w:r w:rsidRPr="003B2786">
        <w:rPr>
          <w:rFonts w:ascii="Sylfaen" w:hAnsi="Sylfaen"/>
          <w:sz w:val="24"/>
          <w:szCs w:val="24"/>
        </w:rPr>
        <w:t>անք են:</w:t>
      </w:r>
    </w:p>
    <w:p w14:paraId="34A41335"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14.</w:t>
      </w:r>
      <w:r w:rsidRPr="003B2786">
        <w:rPr>
          <w:rFonts w:ascii="Sylfaen" w:hAnsi="Sylfaen"/>
          <w:sz w:val="24"/>
          <w:szCs w:val="24"/>
        </w:rPr>
        <w:tab/>
        <w:t>Խմբի բոլոր փոփոխությունները պայմաններով գրանցման հետ</w:t>
      </w:r>
      <w:r w:rsidR="00C54D75">
        <w:rPr>
          <w:rFonts w:ascii="Sylfaen" w:hAnsi="Sylfaen"/>
          <w:sz w:val="24"/>
          <w:szCs w:val="24"/>
        </w:rPr>
        <w:t>և</w:t>
      </w:r>
      <w:r w:rsidRPr="003B2786">
        <w:rPr>
          <w:rFonts w:ascii="Sylfaen" w:hAnsi="Sylfaen"/>
          <w:sz w:val="24"/>
          <w:szCs w:val="24"/>
        </w:rPr>
        <w:t>անք են:</w:t>
      </w:r>
    </w:p>
    <w:p w14:paraId="1581AF66" w14:textId="77777777" w:rsidR="008C76E0" w:rsidRPr="003B2786" w:rsidRDefault="008C76E0" w:rsidP="00945A7B">
      <w:pPr>
        <w:spacing w:after="160" w:line="360" w:lineRule="auto"/>
        <w:rPr>
          <w:rFonts w:ascii="Sylfaen" w:eastAsia="Times New Roman" w:hAnsi="Sylfaen" w:cs="Times New Roman"/>
          <w:sz w:val="24"/>
          <w:szCs w:val="24"/>
        </w:rPr>
      </w:pPr>
      <w:r w:rsidRPr="003B2786">
        <w:rPr>
          <w:rFonts w:ascii="Sylfaen" w:hAnsi="Sylfaen"/>
          <w:sz w:val="24"/>
          <w:szCs w:val="24"/>
        </w:rPr>
        <w:br w:type="page"/>
      </w:r>
    </w:p>
    <w:p w14:paraId="2B32990C" w14:textId="77777777" w:rsidR="008C76E0" w:rsidRPr="003B2786" w:rsidRDefault="008C76E0" w:rsidP="00945A7B">
      <w:pPr>
        <w:spacing w:after="160" w:line="360" w:lineRule="auto"/>
        <w:ind w:left="567" w:right="566"/>
        <w:jc w:val="center"/>
        <w:rPr>
          <w:rFonts w:ascii="Sylfaen" w:hAnsi="Sylfaen"/>
          <w:sz w:val="24"/>
          <w:szCs w:val="24"/>
        </w:rPr>
      </w:pPr>
      <w:r w:rsidRPr="003B2786">
        <w:rPr>
          <w:rFonts w:ascii="Sylfaen" w:hAnsi="Sylfaen"/>
          <w:sz w:val="24"/>
          <w:szCs w:val="24"/>
        </w:rPr>
        <w:lastRenderedPageBreak/>
        <w:t>Լրացում IV</w:t>
      </w:r>
    </w:p>
    <w:p w14:paraId="4F2635A7" w14:textId="727AE6D3" w:rsidR="008C76E0" w:rsidRPr="003B2786" w:rsidRDefault="008C76E0" w:rsidP="00945A7B">
      <w:pPr>
        <w:spacing w:after="160" w:line="360" w:lineRule="auto"/>
        <w:ind w:left="567" w:right="566"/>
        <w:jc w:val="center"/>
        <w:rPr>
          <w:rFonts w:ascii="Sylfaen" w:hAnsi="Sylfaen"/>
          <w:sz w:val="24"/>
          <w:szCs w:val="24"/>
        </w:rPr>
      </w:pPr>
      <w:r w:rsidRPr="003B2786">
        <w:rPr>
          <w:rFonts w:ascii="Sylfaen" w:hAnsi="Sylfaen"/>
          <w:sz w:val="24"/>
          <w:szCs w:val="24"/>
        </w:rPr>
        <w:t xml:space="preserve">Դեղապատրաստուկի գրանցման դոսյեի մեջ փոփոխություններ կատարելու նպատակով </w:t>
      </w:r>
      <w:r w:rsidR="0056496B">
        <w:rPr>
          <w:rFonts w:ascii="Sylfaen" w:hAnsi="Sylfaen"/>
          <w:sz w:val="24"/>
          <w:szCs w:val="24"/>
        </w:rPr>
        <w:t>դիմումատու</w:t>
      </w:r>
      <w:r w:rsidRPr="003B2786">
        <w:rPr>
          <w:rFonts w:ascii="Sylfaen" w:hAnsi="Sylfaen"/>
          <w:sz w:val="24"/>
          <w:szCs w:val="24"/>
        </w:rPr>
        <w:t>ի կողմից ներկայացվող փաստաթղթերը (փոփոխության դոսյեն)</w:t>
      </w:r>
    </w:p>
    <w:p w14:paraId="07E52EC6" w14:textId="18F4BEAD"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 xml:space="preserve">Ծանուցման կամ փոփոխությունների կատարման </w:t>
      </w:r>
      <w:r w:rsidR="0056496B">
        <w:rPr>
          <w:rFonts w:ascii="Sylfaen" w:hAnsi="Sylfaen"/>
          <w:sz w:val="24"/>
          <w:szCs w:val="24"/>
        </w:rPr>
        <w:t>դիմում</w:t>
      </w:r>
      <w:r w:rsidRPr="003B2786">
        <w:rPr>
          <w:rFonts w:ascii="Sylfaen" w:hAnsi="Sylfaen"/>
          <w:sz w:val="24"/>
          <w:szCs w:val="24"/>
        </w:rPr>
        <w:t>ի մեջ ներառված բոլոր գրանցման դոսյեների ցանկը։</w:t>
      </w:r>
    </w:p>
    <w:p w14:paraId="7E401301"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Ներկայացված բոլոր փոփոխությունների նկարագրությունը, ներառյալ՝</w:t>
      </w:r>
    </w:p>
    <w:p w14:paraId="7B260C97"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IA տիպի ոչ էական փոփոխությունների դեպքում նկարագրված յուրաքանչյուր փոփոխության իրագործման ամսաթիվը.</w:t>
      </w:r>
    </w:p>
    <w:p w14:paraId="7DBDE72D"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անհապաղ ծանուցում չպահանջող IA տիպի ոչ էական փոփոխությունների դեպքում վերջին 365 օրացուցային օրվա (12 ամիս) ընթացքում իրագործված IA տիպի բոլոր այն ոչ էական փոփոխությունների նկարագրությունը, որոնց մասին նախկինում ծանուցումներ չեն ներկայացվել: </w:t>
      </w:r>
    </w:p>
    <w:p w14:paraId="795A9FF5"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 xml:space="preserve">Համապատասխան փոփոխության վերաբերյալ սույն փաստաթղթի V լրացման մեջ նշված բոլոր անհրաժեշտ փաստաթղթերը։ Փաստաթղթերը ռուսերենից տարբեր՝ այլ լեզվով ներկայացվելու դեպքում ներկայացվում է դրանց նույնական թարգմանությունը ռուսերենով: </w:t>
      </w:r>
    </w:p>
    <w:p w14:paraId="24B7688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Փոփոխությունների միջ</w:t>
      </w:r>
      <w:r w:rsidR="00C54D75">
        <w:rPr>
          <w:rFonts w:ascii="Sylfaen" w:hAnsi="Sylfaen"/>
          <w:sz w:val="24"/>
          <w:szCs w:val="24"/>
        </w:rPr>
        <w:t>և</w:t>
      </w:r>
      <w:r w:rsidRPr="003B2786">
        <w:rPr>
          <w:rFonts w:ascii="Sylfaen" w:hAnsi="Sylfaen"/>
          <w:sz w:val="24"/>
          <w:szCs w:val="24"/>
        </w:rPr>
        <w:t xml:space="preserve"> փոխադարձ կապի նկարագրությունը, եթե փոփոխությունը հանգեցնում է դեղապատրաստուկի մի</w:t>
      </w:r>
      <w:r w:rsidR="00C54D75">
        <w:rPr>
          <w:rFonts w:ascii="Sylfaen" w:hAnsi="Sylfaen"/>
          <w:sz w:val="24"/>
          <w:szCs w:val="24"/>
        </w:rPr>
        <w:t>և</w:t>
      </w:r>
      <w:r w:rsidRPr="003B2786">
        <w:rPr>
          <w:rFonts w:ascii="Sylfaen" w:hAnsi="Sylfaen"/>
          <w:sz w:val="24"/>
          <w:szCs w:val="24"/>
        </w:rPr>
        <w:t>նույն գրանցման պայմանների փոփոխության կամ դրանց այլ փոփոխությունների հետ</w:t>
      </w:r>
      <w:r w:rsidR="00C54D75">
        <w:rPr>
          <w:rFonts w:ascii="Sylfaen" w:hAnsi="Sylfaen"/>
          <w:sz w:val="24"/>
          <w:szCs w:val="24"/>
        </w:rPr>
        <w:t>և</w:t>
      </w:r>
      <w:r w:rsidRPr="003B2786">
        <w:rPr>
          <w:rFonts w:ascii="Sylfaen" w:hAnsi="Sylfaen"/>
          <w:sz w:val="24"/>
          <w:szCs w:val="24"/>
        </w:rPr>
        <w:t xml:space="preserve">անք է: </w:t>
      </w:r>
    </w:p>
    <w:p w14:paraId="2B31B38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Անդամ պետության օրենսդրությանը համապատասխան՝ դեղապատրաստուկի գրանցման դոսյեի մեջ փոփոխություններ կատարելու դիմաց վճարի (տուրքի) վճարումը հաստատող փաստաթղթերը։</w:t>
      </w:r>
    </w:p>
    <w:p w14:paraId="2CC0E32A"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Շահագրգիռ անդամ պետությունների ցանկը՝ նշելով ռեֆերենտ</w:t>
      </w:r>
      <w:r w:rsidRPr="003B2786" w:rsidDel="000835CF">
        <w:rPr>
          <w:rFonts w:ascii="Sylfaen" w:hAnsi="Sylfaen"/>
          <w:sz w:val="24"/>
          <w:szCs w:val="24"/>
        </w:rPr>
        <w:t xml:space="preserve"> </w:t>
      </w:r>
      <w:r w:rsidRPr="003B2786">
        <w:rPr>
          <w:rFonts w:ascii="Sylfaen" w:hAnsi="Sylfaen"/>
          <w:sz w:val="24"/>
          <w:szCs w:val="24"/>
        </w:rPr>
        <w:t>պետությունը, եթե կիրառելի է:</w:t>
      </w:r>
    </w:p>
    <w:p w14:paraId="7ED780AB" w14:textId="77777777" w:rsidR="008C76E0" w:rsidRPr="003B2786" w:rsidRDefault="008C76E0" w:rsidP="00945A7B">
      <w:pPr>
        <w:widowControl/>
        <w:spacing w:after="160" w:line="360" w:lineRule="auto"/>
        <w:rPr>
          <w:rFonts w:ascii="Sylfaen" w:eastAsia="Times New Roman" w:hAnsi="Sylfaen" w:cs="Times New Roman"/>
          <w:sz w:val="24"/>
          <w:szCs w:val="24"/>
        </w:rPr>
      </w:pPr>
      <w:r w:rsidRPr="003B2786">
        <w:rPr>
          <w:rFonts w:ascii="Sylfaen" w:eastAsia="Times New Roman" w:hAnsi="Sylfaen" w:cs="Times New Roman"/>
          <w:sz w:val="24"/>
          <w:szCs w:val="24"/>
        </w:rPr>
        <w:br w:type="page"/>
      </w:r>
    </w:p>
    <w:p w14:paraId="2C702C17" w14:textId="77777777" w:rsidR="008C76E0" w:rsidRPr="003B2786" w:rsidRDefault="008C76E0" w:rsidP="00945A7B">
      <w:pPr>
        <w:spacing w:after="160" w:line="360" w:lineRule="auto"/>
        <w:ind w:left="567" w:right="571"/>
        <w:jc w:val="center"/>
        <w:rPr>
          <w:rFonts w:ascii="Sylfaen" w:hAnsi="Sylfaen"/>
          <w:sz w:val="24"/>
          <w:szCs w:val="24"/>
        </w:rPr>
      </w:pPr>
      <w:r w:rsidRPr="003B2786">
        <w:rPr>
          <w:rFonts w:ascii="Sylfaen" w:hAnsi="Sylfaen"/>
          <w:sz w:val="24"/>
          <w:szCs w:val="24"/>
        </w:rPr>
        <w:lastRenderedPageBreak/>
        <w:t>Լրացում V</w:t>
      </w:r>
    </w:p>
    <w:p w14:paraId="66582D85" w14:textId="77777777" w:rsidR="008C76E0" w:rsidRPr="003B2786" w:rsidRDefault="008C76E0" w:rsidP="00945A7B">
      <w:pPr>
        <w:spacing w:after="160" w:line="360" w:lineRule="auto"/>
        <w:ind w:left="567" w:right="571"/>
        <w:jc w:val="center"/>
        <w:rPr>
          <w:rFonts w:ascii="Sylfaen" w:hAnsi="Sylfaen"/>
          <w:sz w:val="24"/>
          <w:szCs w:val="24"/>
        </w:rPr>
      </w:pPr>
      <w:r w:rsidRPr="003B2786">
        <w:rPr>
          <w:rFonts w:ascii="Sylfaen" w:hAnsi="Sylfaen"/>
          <w:sz w:val="24"/>
          <w:szCs w:val="24"/>
        </w:rPr>
        <w:t xml:space="preserve">Դեղապատրաստուկի գրանցման դոսյեում </w:t>
      </w:r>
      <w:r w:rsidRPr="003B2786">
        <w:rPr>
          <w:rFonts w:ascii="Sylfaen" w:hAnsi="Sylfaen"/>
          <w:sz w:val="24"/>
          <w:szCs w:val="24"/>
        </w:rPr>
        <w:br/>
        <w:t>փոփոխությունների դասակարգումը</w:t>
      </w:r>
    </w:p>
    <w:p w14:paraId="5FD725E0"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Դեղապատրաստուկների գրանցման դոսյեում փոփոխությունները դասակարգվում են փոփոխությունների սույն լրացմանը համապատասխան պայմանավորված՝</w:t>
      </w:r>
    </w:p>
    <w:p w14:paraId="5BD4E50E"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վարչական փոփոխություններով, </w:t>
      </w:r>
    </w:p>
    <w:p w14:paraId="11642C65"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որակի հետ կապված փոփոխություններով,</w:t>
      </w:r>
    </w:p>
    <w:p w14:paraId="4B07DE28"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արդյունավետության </w:t>
      </w:r>
      <w:r w:rsidR="00C54D75">
        <w:rPr>
          <w:rFonts w:ascii="Sylfaen" w:hAnsi="Sylfaen"/>
          <w:sz w:val="24"/>
          <w:szCs w:val="24"/>
        </w:rPr>
        <w:t>և</w:t>
      </w:r>
      <w:r w:rsidRPr="003B2786">
        <w:rPr>
          <w:rFonts w:ascii="Sylfaen" w:hAnsi="Sylfaen"/>
          <w:sz w:val="24"/>
          <w:szCs w:val="24"/>
        </w:rPr>
        <w:t xml:space="preserve"> դեղազգոնության հետ կապված փոփոխություններով, պլազմայի մաստեր-ֆայլերի (ՊՄՖ) </w:t>
      </w:r>
      <w:r w:rsidR="00C54D75">
        <w:rPr>
          <w:rFonts w:ascii="Sylfaen" w:hAnsi="Sylfaen"/>
          <w:sz w:val="24"/>
          <w:szCs w:val="24"/>
        </w:rPr>
        <w:t>և</w:t>
      </w:r>
      <w:r w:rsidRPr="003B2786">
        <w:rPr>
          <w:rFonts w:ascii="Sylfaen" w:hAnsi="Sylfaen"/>
          <w:sz w:val="24"/>
          <w:szCs w:val="24"/>
        </w:rPr>
        <w:t xml:space="preserve"> պատվաստանյութային հակածնի մաստեր-ֆայլերի (ՊՀՄՖ) որոշակի փոփոխություններով:</w:t>
      </w:r>
    </w:p>
    <w:p w14:paraId="07E2789B"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Սույն լրացման առանձին փոփոխությունները դասակարգելիս դիտարկվող փոփոխությունը հարկավոր է ծածկագրել՝ օգտագործելով հետ</w:t>
      </w:r>
      <w:r w:rsidR="00C54D75">
        <w:rPr>
          <w:rFonts w:ascii="Sylfaen" w:hAnsi="Sylfaen"/>
          <w:sz w:val="24"/>
          <w:szCs w:val="24"/>
        </w:rPr>
        <w:t>և</w:t>
      </w:r>
      <w:r w:rsidRPr="003B2786">
        <w:rPr>
          <w:rFonts w:ascii="Sylfaen" w:hAnsi="Sylfaen"/>
          <w:sz w:val="24"/>
          <w:szCs w:val="24"/>
        </w:rPr>
        <w:t>յալ կառուցվածքը՝</w:t>
      </w:r>
    </w:p>
    <w:p w14:paraId="16397E25"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X.N.x.n. («փոփոխության ծածկագիըը»), որտեղ՝</w:t>
      </w:r>
    </w:p>
    <w:p w14:paraId="36A90EE2"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X-ը ցույց է տալիս լրացման այն բաժնի մեծատառը, որը պարունակում է փոփոխությունը (օրինակ` «Ա», «Բ», «Գ» կամ «Դ»),</w:t>
      </w:r>
    </w:p>
    <w:p w14:paraId="0EACCBD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N-ն ցույց է տալիս բաժնի այն ենթաբաժնի հռոմեական թիվը, որը պարունակում է փոփոխությունը (օրինակ՝ I, II, III </w:t>
      </w:r>
      <w:r w:rsidR="00C54D75">
        <w:rPr>
          <w:rFonts w:ascii="Sylfaen" w:hAnsi="Sylfaen"/>
          <w:sz w:val="24"/>
          <w:szCs w:val="24"/>
        </w:rPr>
        <w:t>և</w:t>
      </w:r>
      <w:r w:rsidRPr="003B2786">
        <w:rPr>
          <w:rFonts w:ascii="Sylfaen" w:hAnsi="Sylfaen"/>
          <w:sz w:val="24"/>
          <w:szCs w:val="24"/>
        </w:rPr>
        <w:t xml:space="preserve"> այլն),</w:t>
      </w:r>
    </w:p>
    <w:p w14:paraId="1614EBD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x-ը ցույց է տալիս ենթաբաժնի այն կետի տառը, որը պարունակում է փոփոխությունը (օրինակ` «ա», «բ», «գ» </w:t>
      </w:r>
      <w:r w:rsidR="00C54D75">
        <w:rPr>
          <w:rFonts w:ascii="Sylfaen" w:hAnsi="Sylfaen"/>
          <w:sz w:val="24"/>
          <w:szCs w:val="24"/>
        </w:rPr>
        <w:t>և</w:t>
      </w:r>
      <w:r w:rsidRPr="003B2786">
        <w:rPr>
          <w:rFonts w:ascii="Sylfaen" w:hAnsi="Sylfaen"/>
          <w:sz w:val="24"/>
          <w:szCs w:val="24"/>
        </w:rPr>
        <w:t xml:space="preserve"> այլն),</w:t>
      </w:r>
    </w:p>
    <w:p w14:paraId="3BA8972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n-ը ցույց է տալիս այն ենթակետի թիվը, որը լրացման մեջ տրվել է առանձին փոփոխությանը (օրինակ՝ 1, 2, 3 </w:t>
      </w:r>
      <w:r w:rsidR="00C54D75">
        <w:rPr>
          <w:rFonts w:ascii="Sylfaen" w:hAnsi="Sylfaen"/>
          <w:sz w:val="24"/>
          <w:szCs w:val="24"/>
        </w:rPr>
        <w:t>և</w:t>
      </w:r>
      <w:r w:rsidRPr="003B2786">
        <w:rPr>
          <w:rFonts w:ascii="Sylfaen" w:hAnsi="Sylfaen"/>
          <w:sz w:val="24"/>
          <w:szCs w:val="24"/>
        </w:rPr>
        <w:t xml:space="preserve"> այլն):</w:t>
      </w:r>
    </w:p>
    <w:p w14:paraId="4DBBC3A1"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Սույն լրացման յուրաքանչյուր բաժին պարունակում է՝</w:t>
      </w:r>
    </w:p>
    <w:p w14:paraId="374CD91F"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այն փոփոխությունների ցանկը, որոնք դասակարգվում են որպես IA տիպի ոչ էական փոփոխություններ </w:t>
      </w:r>
      <w:r w:rsidR="00C54D75">
        <w:rPr>
          <w:rFonts w:ascii="Sylfaen" w:hAnsi="Sylfaen"/>
          <w:sz w:val="24"/>
          <w:szCs w:val="24"/>
        </w:rPr>
        <w:t>և</w:t>
      </w:r>
      <w:r w:rsidRPr="003B2786">
        <w:rPr>
          <w:rFonts w:ascii="Sylfaen" w:hAnsi="Sylfaen"/>
          <w:sz w:val="24"/>
          <w:szCs w:val="24"/>
        </w:rPr>
        <w:t xml:space="preserve"> II տիպի էական փոփոխություններ՝ սույն </w:t>
      </w:r>
      <w:r w:rsidRPr="003B2786">
        <w:rPr>
          <w:rFonts w:ascii="Sylfaen" w:hAnsi="Sylfaen"/>
          <w:sz w:val="24"/>
          <w:szCs w:val="24"/>
        </w:rPr>
        <w:lastRenderedPageBreak/>
        <w:t xml:space="preserve">փաստաթղթի 1.2 կետի </w:t>
      </w:r>
      <w:r w:rsidR="00C54D75">
        <w:rPr>
          <w:rFonts w:ascii="Sylfaen" w:hAnsi="Sylfaen"/>
          <w:sz w:val="24"/>
          <w:szCs w:val="24"/>
        </w:rPr>
        <w:t>և</w:t>
      </w:r>
      <w:r w:rsidRPr="003B2786">
        <w:rPr>
          <w:rFonts w:ascii="Sylfaen" w:hAnsi="Sylfaen"/>
          <w:sz w:val="24"/>
          <w:szCs w:val="24"/>
        </w:rPr>
        <w:t xml:space="preserve"> սույն փաստաթղթի II լրացման սահմանումներին համապատասխան: Դրանում նա</w:t>
      </w:r>
      <w:r w:rsidR="00C54D75">
        <w:rPr>
          <w:rFonts w:ascii="Sylfaen" w:hAnsi="Sylfaen"/>
          <w:sz w:val="24"/>
          <w:szCs w:val="24"/>
        </w:rPr>
        <w:t>և</w:t>
      </w:r>
      <w:r w:rsidRPr="003B2786">
        <w:rPr>
          <w:rFonts w:ascii="Sylfaen" w:hAnsi="Sylfaen"/>
          <w:sz w:val="24"/>
          <w:szCs w:val="24"/>
        </w:rPr>
        <w:t xml:space="preserve"> նշվում է, թե IA տիպի փոփոխություններից որոնք են սույն Հավելվածի 2.1.2 </w:t>
      </w:r>
      <w:r w:rsidR="00C54D75">
        <w:rPr>
          <w:rFonts w:ascii="Sylfaen" w:hAnsi="Sylfaen"/>
          <w:sz w:val="24"/>
          <w:szCs w:val="24"/>
        </w:rPr>
        <w:t>և</w:t>
      </w:r>
      <w:r w:rsidRPr="003B2786">
        <w:rPr>
          <w:rFonts w:ascii="Sylfaen" w:hAnsi="Sylfaen"/>
          <w:sz w:val="24"/>
          <w:szCs w:val="24"/>
        </w:rPr>
        <w:t xml:space="preserve"> 3.1.2 ենթակետերի համաձայն պահանջում անհապաղ ծանուցում.</w:t>
      </w:r>
    </w:p>
    <w:p w14:paraId="1A3247BD"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այն օրինակների ցանկը, որոնք անհրաժեշտ է դիտարկել որպես IB տիպի ոչ էական փոփոխություններ: </w:t>
      </w:r>
    </w:p>
    <w:p w14:paraId="15F6F075"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փաստաթղթի 1.3 կետի համաձայն՝ այս </w:t>
      </w:r>
      <w:r w:rsidRPr="003B2786">
        <w:rPr>
          <w:rFonts w:ascii="Sylfaen" w:hAnsi="Sylfaen"/>
          <w:sz w:val="24"/>
          <w:szCs w:val="24"/>
        </w:rPr>
        <w:tab/>
        <w:t>կատեգորիան տրվում է ինքնաբերաբար: Սույն լրացումն այս առումով նախատեսված չէ փոփոխությունների այդպիսի կատեգորիայի սպառիչ ցանկը սահմանելու համար:</w:t>
      </w:r>
    </w:p>
    <w:p w14:paraId="3D738754"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V լրացման մեջ գրանցման ընդլայնումները չեն դիտարկվում, քանի որ դրանք պատշաճ կերպով նկարագրված են սույն փաստաթղթի I լրացման մեջ: Սույն փաստաթղթի I լրացման մեջ նկարագրված բոլոր փոփոխությունները հարկավոր է դիտարկել որպես գրանցման ընդլայնումներ: Մյուս բոլոր փոփոխությունները չպետք է մեկնաբանվեն որպես այդպիսիք:</w:t>
      </w:r>
    </w:p>
    <w:p w14:paraId="141B7EA8" w14:textId="4E74C9B9"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Եթե IA տիպի ոչ էական փոփոխությունների առնչությամբ սույն լրացման մեջ սահմանված պայմաններից մեկը կամ մի քանիսը չեն պահպանվում, այդպիսի փոփոխությունը կարելի է ներկայացնել որպես IB տիպի փոփոխություն («IB տիպի ինքնաբերական փոփոխություն»), եթե սույն լրացման կամ սույն փաստաթղթի 1.5 կետի համաձայն կազմված առաջարկության մեջ այդպիսի փոփոխությունը չի մեկնաբանվում որպես II տիպի փոփոխություն, կամ եթե </w:t>
      </w:r>
      <w:r w:rsidR="0056496B">
        <w:rPr>
          <w:rFonts w:ascii="Sylfaen" w:hAnsi="Sylfaen"/>
          <w:sz w:val="24"/>
          <w:szCs w:val="24"/>
        </w:rPr>
        <w:t>դիմումատու</w:t>
      </w:r>
      <w:r w:rsidRPr="003B2786">
        <w:rPr>
          <w:rFonts w:ascii="Sylfaen" w:hAnsi="Sylfaen"/>
          <w:sz w:val="24"/>
          <w:szCs w:val="24"/>
        </w:rPr>
        <w:t xml:space="preserve">ն չհամարի, որ փոփոխությունները կարող են ազդեցություն ունենալ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w:t>
      </w:r>
    </w:p>
    <w:p w14:paraId="7DD69E09" w14:textId="3B8B820D"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Եթե լիազորված մարմինը փոփոխություններ կատարելու մասին </w:t>
      </w:r>
      <w:r w:rsidR="0056496B">
        <w:rPr>
          <w:rFonts w:ascii="Sylfaen" w:hAnsi="Sylfaen"/>
          <w:sz w:val="24"/>
          <w:szCs w:val="24"/>
        </w:rPr>
        <w:t>դիմում</w:t>
      </w:r>
      <w:r w:rsidRPr="003B2786">
        <w:rPr>
          <w:rFonts w:ascii="Sylfaen" w:hAnsi="Sylfaen"/>
          <w:sz w:val="24"/>
          <w:szCs w:val="24"/>
        </w:rPr>
        <w:t xml:space="preserve">ն ուսումնասիրելիս համարի, որ որպես IB տիպի ինքնաբերական փոփոխություն ներկայացված փոփոխությունը կարող է զգալի ազդեցություն ունենալ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նա իրավունք ունի </w:t>
      </w:r>
      <w:r w:rsidR="0056496B">
        <w:rPr>
          <w:rFonts w:ascii="Sylfaen" w:hAnsi="Sylfaen"/>
          <w:sz w:val="24"/>
          <w:szCs w:val="24"/>
        </w:rPr>
        <w:t>դիմումատու</w:t>
      </w:r>
      <w:r w:rsidRPr="003B2786">
        <w:rPr>
          <w:rFonts w:ascii="Sylfaen" w:hAnsi="Sylfaen"/>
          <w:sz w:val="24"/>
          <w:szCs w:val="24"/>
        </w:rPr>
        <w:t xml:space="preserve">ից պահանջել փոփոխություններ կատարելու մասին </w:t>
      </w:r>
      <w:r w:rsidR="0056496B">
        <w:rPr>
          <w:rFonts w:ascii="Sylfaen" w:hAnsi="Sylfaen"/>
          <w:sz w:val="24"/>
          <w:szCs w:val="24"/>
        </w:rPr>
        <w:t>դիմում</w:t>
      </w:r>
      <w:r w:rsidRPr="003B2786">
        <w:rPr>
          <w:rFonts w:ascii="Sylfaen" w:hAnsi="Sylfaen"/>
          <w:sz w:val="24"/>
          <w:szCs w:val="24"/>
        </w:rPr>
        <w:t xml:space="preserve">ը փոփոխել </w:t>
      </w:r>
      <w:r w:rsidR="00C54D75">
        <w:rPr>
          <w:rFonts w:ascii="Sylfaen" w:hAnsi="Sylfaen"/>
          <w:sz w:val="24"/>
          <w:szCs w:val="24"/>
        </w:rPr>
        <w:t>և</w:t>
      </w:r>
      <w:r w:rsidRPr="003B2786">
        <w:rPr>
          <w:rFonts w:ascii="Sylfaen" w:hAnsi="Sylfaen"/>
          <w:sz w:val="24"/>
          <w:szCs w:val="24"/>
        </w:rPr>
        <w:t xml:space="preserve"> ներկայացնել փաստաթղթեր, որոնցով հաստատվում է տվյալ </w:t>
      </w:r>
      <w:r w:rsidRPr="003B2786">
        <w:rPr>
          <w:rFonts w:ascii="Sylfaen" w:hAnsi="Sylfaen"/>
          <w:sz w:val="24"/>
          <w:szCs w:val="24"/>
        </w:rPr>
        <w:lastRenderedPageBreak/>
        <w:t xml:space="preserve">փոփոխությունը </w:t>
      </w:r>
      <w:r w:rsidR="00C54D75">
        <w:rPr>
          <w:rFonts w:ascii="Sylfaen" w:hAnsi="Sylfaen"/>
          <w:sz w:val="24"/>
          <w:szCs w:val="24"/>
        </w:rPr>
        <w:t>և</w:t>
      </w:r>
      <w:r w:rsidRPr="003B2786">
        <w:rPr>
          <w:rFonts w:ascii="Sylfaen" w:hAnsi="Sylfaen"/>
          <w:sz w:val="24"/>
          <w:szCs w:val="24"/>
        </w:rPr>
        <w:t xml:space="preserve"> դրա վերագրումը II տիպի փոփոխության դասին:</w:t>
      </w:r>
    </w:p>
    <w:p w14:paraId="2D79C984"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լրացման նպատակներով «փորձարկման ընթացակարգ» (test procedure) եզրույթն ունի նույն իմաստը, ինչ որ «վերլուծական մեթոդիկա»-ն (analytical procedure), իսկ «սահմաններ» (limits) եզրույթը՝ «ընդունելիության չափանիշներ»-ը (acceptance criteria): «Մասնագրի պարամետր» ասելով՝ հասկանում ենք որակի ցուցանիշ, որի առնչությամբ սահմանվում են վերլուծական մեթոդիկան </w:t>
      </w:r>
      <w:r w:rsidR="00C54D75">
        <w:rPr>
          <w:rFonts w:ascii="Sylfaen" w:hAnsi="Sylfaen"/>
          <w:sz w:val="24"/>
          <w:szCs w:val="24"/>
        </w:rPr>
        <w:t>և</w:t>
      </w:r>
      <w:r w:rsidRPr="003B2786">
        <w:rPr>
          <w:rFonts w:ascii="Sylfaen" w:hAnsi="Sylfaen"/>
          <w:sz w:val="24"/>
          <w:szCs w:val="24"/>
        </w:rPr>
        <w:t xml:space="preserve"> ընդունելիության չափանիշները, ինչպես օրինակ՝ ջրի քանակական որոշումը, իսկությունն ու պարունակությունը: Այսպիսով, մասնագրի պարամետրի ավելացումը կամ բացառումը ներառում է համապատասխան վերլուծական մեթոդիկան </w:t>
      </w:r>
      <w:r w:rsidR="00C54D75">
        <w:rPr>
          <w:rFonts w:ascii="Sylfaen" w:hAnsi="Sylfaen"/>
          <w:sz w:val="24"/>
          <w:szCs w:val="24"/>
        </w:rPr>
        <w:t>և</w:t>
      </w:r>
      <w:r w:rsidRPr="003B2786">
        <w:rPr>
          <w:rFonts w:ascii="Sylfaen" w:hAnsi="Sylfaen"/>
          <w:sz w:val="24"/>
          <w:szCs w:val="24"/>
        </w:rPr>
        <w:t xml:space="preserve"> ընդունելիության չափանիշները:</w:t>
      </w:r>
    </w:p>
    <w:p w14:paraId="34348560" w14:textId="2BFB7DC1"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Եթե մի</w:t>
      </w:r>
      <w:r w:rsidR="00C54D75">
        <w:rPr>
          <w:rFonts w:ascii="Sylfaen" w:hAnsi="Sylfaen"/>
          <w:sz w:val="24"/>
          <w:szCs w:val="24"/>
        </w:rPr>
        <w:t>և</w:t>
      </w:r>
      <w:r w:rsidRPr="003B2786">
        <w:rPr>
          <w:rFonts w:ascii="Sylfaen" w:hAnsi="Sylfaen"/>
          <w:sz w:val="24"/>
          <w:szCs w:val="24"/>
        </w:rPr>
        <w:t>նույն ժամանակ տեղի է ունենում մի քանի ոչ էական փոփոխություն (օրինակ`մի</w:t>
      </w:r>
      <w:r w:rsidR="00C54D75">
        <w:rPr>
          <w:rFonts w:ascii="Sylfaen" w:hAnsi="Sylfaen"/>
          <w:sz w:val="24"/>
          <w:szCs w:val="24"/>
        </w:rPr>
        <w:t>և</w:t>
      </w:r>
      <w:r w:rsidRPr="003B2786">
        <w:rPr>
          <w:rFonts w:ascii="Sylfaen" w:hAnsi="Sylfaen"/>
          <w:sz w:val="24"/>
          <w:szCs w:val="24"/>
        </w:rPr>
        <w:t xml:space="preserve">նույն մեթոդի, գործընթացի կամ նյութի), կամ զգալիորեն թարմացվում են ակտիվ դեղագործական բաղադրամասի կամ դեղապատրաստուկի որակի մասին տեղեկությունները, ապա դասակարգման պատշաճ կատեգորիա ընտրելիս </w:t>
      </w:r>
      <w:r w:rsidR="0056496B">
        <w:rPr>
          <w:rFonts w:ascii="Sylfaen" w:hAnsi="Sylfaen"/>
          <w:sz w:val="24"/>
          <w:szCs w:val="24"/>
        </w:rPr>
        <w:t>դիմումատու</w:t>
      </w:r>
      <w:r w:rsidRPr="003B2786">
        <w:rPr>
          <w:rFonts w:ascii="Sylfaen" w:hAnsi="Sylfaen"/>
          <w:sz w:val="24"/>
          <w:szCs w:val="24"/>
        </w:rPr>
        <w:t xml:space="preserve">ն պետք է հաշվի առնի այդպիսի փոփոխությունների ամբողջական ազդեցությունը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w:t>
      </w:r>
      <w:r w:rsidR="00C54D75">
        <w:rPr>
          <w:rFonts w:ascii="Sylfaen" w:hAnsi="Sylfaen"/>
          <w:sz w:val="24"/>
          <w:szCs w:val="24"/>
        </w:rPr>
        <w:t>և</w:t>
      </w:r>
      <w:r w:rsidRPr="003B2786">
        <w:rPr>
          <w:rFonts w:ascii="Sylfaen" w:hAnsi="Sylfaen"/>
          <w:sz w:val="24"/>
          <w:szCs w:val="24"/>
        </w:rPr>
        <w:t xml:space="preserve"> դրանք ներկայացնի համապատասխան ձ</w:t>
      </w:r>
      <w:r w:rsidR="00C54D75">
        <w:rPr>
          <w:rFonts w:ascii="Sylfaen" w:hAnsi="Sylfaen"/>
          <w:sz w:val="24"/>
          <w:szCs w:val="24"/>
        </w:rPr>
        <w:t>և</w:t>
      </w:r>
      <w:r w:rsidRPr="003B2786">
        <w:rPr>
          <w:rFonts w:ascii="Sylfaen" w:hAnsi="Sylfaen"/>
          <w:sz w:val="24"/>
          <w:szCs w:val="24"/>
        </w:rPr>
        <w:t>ով:</w:t>
      </w:r>
    </w:p>
    <w:p w14:paraId="5DED8519"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IB </w:t>
      </w:r>
      <w:r w:rsidR="00C54D75">
        <w:rPr>
          <w:rFonts w:ascii="Sylfaen" w:hAnsi="Sylfaen"/>
          <w:sz w:val="24"/>
          <w:szCs w:val="24"/>
        </w:rPr>
        <w:t>և</w:t>
      </w:r>
      <w:r w:rsidRPr="003B2786">
        <w:rPr>
          <w:rFonts w:ascii="Sylfaen" w:hAnsi="Sylfaen"/>
          <w:sz w:val="24"/>
          <w:szCs w:val="24"/>
        </w:rPr>
        <w:t xml:space="preserve"> II տիպի փոփոխությունների կատարումը հիմնավորող փաստաթղթերը պայմանավորված են այդպիսի փոփոխությունների բնույթով:</w:t>
      </w:r>
    </w:p>
    <w:p w14:paraId="7C17E605"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Բացի այդ, եթե փոփոխությունը պահանջում է դեղապատրաստուկի ընդհանուր բնութագրի, մականշվածքի կամ ներդիր թերթիկի վերանայում («տեղեկատվություն դեղապատրաստուկի մասին» եզրույթի ներքո միավորվող), ապա այդ հանգամանքը դիտարկվում է որպես այդպիսի փոփոխության մաս: Այս դեպքում դեղապատրաստուկի մասին թարմացված տեղեկատվությունը հարկավոր է ներկայացնել որպես դոսյեի մաս՝ անդամ պետությունների պետական լեզուներով կատարված թարգմանության հետ միասին, անդամ պետությունների օրենսդրությունում համապատասխան պահանջի առկայության դեպքում: </w:t>
      </w:r>
      <w:r w:rsidRPr="003B2786">
        <w:rPr>
          <w:rFonts w:ascii="Sylfaen" w:hAnsi="Sylfaen"/>
          <w:sz w:val="24"/>
          <w:szCs w:val="24"/>
        </w:rPr>
        <w:lastRenderedPageBreak/>
        <w:t>Փաթեթվածքի մանրակերտերը հարկավոր է ներկայացնել ռեֆերենտ</w:t>
      </w:r>
      <w:r w:rsidRPr="003B2786" w:rsidDel="000835CF">
        <w:rPr>
          <w:rFonts w:ascii="Sylfaen" w:hAnsi="Sylfaen"/>
          <w:sz w:val="24"/>
          <w:szCs w:val="24"/>
        </w:rPr>
        <w:t xml:space="preserve"> </w:t>
      </w:r>
      <w:r w:rsidRPr="003B2786">
        <w:rPr>
          <w:rFonts w:ascii="Sylfaen" w:hAnsi="Sylfaen"/>
          <w:sz w:val="24"/>
          <w:szCs w:val="24"/>
        </w:rPr>
        <w:t>պետության կամ համապատասխանաբար ճանաչման պետության լիազորված մարմին (փորձագիտական կազմակերպություն):</w:t>
      </w:r>
    </w:p>
    <w:p w14:paraId="3BE05B22" w14:textId="1F778510"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Միության դեղագրքի կամ այդ անդամ պետության դեղագրքի թարմացված հոդվածի մասին չի պահանջվում ծանուցել անդամ պետությունների լիազորված մարմիններին, եթե գրանցված դեղապատրաստուկի դոսյեում հղում է կատարվում գործող խմբագրությանը: </w:t>
      </w:r>
      <w:r w:rsidR="0056496B">
        <w:rPr>
          <w:rFonts w:ascii="Sylfaen" w:hAnsi="Sylfaen"/>
          <w:sz w:val="24"/>
          <w:szCs w:val="24"/>
        </w:rPr>
        <w:t>Դիմումատու</w:t>
      </w:r>
      <w:r w:rsidRPr="003B2786">
        <w:rPr>
          <w:rFonts w:ascii="Sylfaen" w:hAnsi="Sylfaen"/>
          <w:sz w:val="24"/>
          <w:szCs w:val="24"/>
        </w:rPr>
        <w:t>ներին հարկավոր է հիշել, որ թարմացված հոդվածին համապատասխանեցումը պետք է իրականացվի դրա հրապարակման օրվանից 180 օրացուցային օրվա ընթացքում:</w:t>
      </w:r>
    </w:p>
    <w:p w14:paraId="2914F102"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լրացման Դ բաժնում ներկայացված է ՊՄՖ-ին </w:t>
      </w:r>
      <w:r w:rsidR="00C54D75">
        <w:rPr>
          <w:rFonts w:ascii="Sylfaen" w:hAnsi="Sylfaen"/>
          <w:sz w:val="24"/>
          <w:szCs w:val="24"/>
        </w:rPr>
        <w:t>և</w:t>
      </w:r>
      <w:r w:rsidRPr="003B2786">
        <w:rPr>
          <w:rFonts w:ascii="Sylfaen" w:hAnsi="Sylfaen"/>
          <w:sz w:val="24"/>
          <w:szCs w:val="24"/>
        </w:rPr>
        <w:t xml:space="preserve"> ՊՀՄՖ-ին բնորոշ փոփոխությունների ցանկը: Այդպիսի փոփոխությունների փորձաքննությունից հետո ցանկացած հիշատակված գրանցման դոսյե ենթակա է թարմացման՝ սույն լրացման Բ.V ենթաբաժնին համապատասխան: Եթե պլազմայից ստացված դեղապատրաստուկի համար որպես ելանյութ օգտագործված՝ մարդու պլազմայի մասին փաստաթղթերը չեն ներկայացվել որպես ՊՄՖ, ապա գրանցման դոսյեում նկարագրված այդպիսի ելանյութի փոփոխությունները նույնպես պետք է մշակվեն՝ սույն լրացմանը համապատասխան:</w:t>
      </w:r>
    </w:p>
    <w:p w14:paraId="236EA269"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Հաշվի առնելով հատուկ ցուցումների բացակայությունը՝ սույն լրացման մեջ դեղապատրաստուկի գրանցման դոսյեի փոփոխություններին արված հղումները ենթադրում են ավելացում, փոխարինում կամ բացառում: Եթե գրանցման դոսյեի ուղղումները խմբագրական բնույթի փոփոխություններ են, ապա այդպիսի փոփոխություններն ընդհանուր առմամբ հարկավոր չէ ներկայացնել որպես առանձին փոփոխության կատարում, այլ թույլատրվում է դրանք ներառել գրանցման դոսյեի համապատասխան մասի փոփոխությունների մեջ:</w:t>
      </w:r>
    </w:p>
    <w:p w14:paraId="665950F6" w14:textId="5E451FE1"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Այդ դեպքերում </w:t>
      </w:r>
      <w:r w:rsidR="0056496B">
        <w:rPr>
          <w:rFonts w:ascii="Sylfaen" w:hAnsi="Sylfaen"/>
          <w:sz w:val="24"/>
          <w:szCs w:val="24"/>
        </w:rPr>
        <w:t>դիմում</w:t>
      </w:r>
      <w:r w:rsidRPr="003B2786">
        <w:rPr>
          <w:rFonts w:ascii="Sylfaen" w:hAnsi="Sylfaen"/>
          <w:sz w:val="24"/>
          <w:szCs w:val="24"/>
        </w:rPr>
        <w:t>ի ձ</w:t>
      </w:r>
      <w:r w:rsidR="00C54D75">
        <w:rPr>
          <w:rFonts w:ascii="Sylfaen" w:hAnsi="Sylfaen"/>
          <w:sz w:val="24"/>
          <w:szCs w:val="24"/>
        </w:rPr>
        <w:t>և</w:t>
      </w:r>
      <w:r w:rsidRPr="003B2786">
        <w:rPr>
          <w:rFonts w:ascii="Sylfaen" w:hAnsi="Sylfaen"/>
          <w:sz w:val="24"/>
          <w:szCs w:val="24"/>
        </w:rPr>
        <w:t xml:space="preserve">ում անհրաժեշտ է հստակ նշել այնպիսի փոփոխություններ, ինչպիսիք են խմբագրական բնույթի ուղղումները, </w:t>
      </w:r>
      <w:r w:rsidR="00C54D75">
        <w:rPr>
          <w:rFonts w:ascii="Sylfaen" w:hAnsi="Sylfaen"/>
          <w:sz w:val="24"/>
          <w:szCs w:val="24"/>
        </w:rPr>
        <w:t>և</w:t>
      </w:r>
      <w:r w:rsidRPr="003B2786">
        <w:rPr>
          <w:rFonts w:ascii="Sylfaen" w:hAnsi="Sylfaen"/>
          <w:sz w:val="24"/>
          <w:szCs w:val="24"/>
        </w:rPr>
        <w:t xml:space="preserve"> ներկայացնել երաշխիքային նամակ, որով հաստատվում է, որ ներկայացված խմբագրական բնույթի ուղղումները չեն ազդում ներկայացված փոփոխության </w:t>
      </w:r>
      <w:r w:rsidRPr="003B2786">
        <w:rPr>
          <w:rFonts w:ascii="Sylfaen" w:hAnsi="Sylfaen"/>
          <w:sz w:val="24"/>
          <w:szCs w:val="24"/>
        </w:rPr>
        <w:lastRenderedPageBreak/>
        <w:t xml:space="preserve">դասակարգման տիպի փոփոխության վրա: </w:t>
      </w:r>
      <w:r w:rsidR="0056496B">
        <w:rPr>
          <w:rFonts w:ascii="Sylfaen" w:hAnsi="Sylfaen"/>
          <w:sz w:val="24"/>
          <w:szCs w:val="24"/>
        </w:rPr>
        <w:t>Դիմումատու</w:t>
      </w:r>
      <w:r w:rsidRPr="003B2786">
        <w:rPr>
          <w:rFonts w:ascii="Sylfaen" w:hAnsi="Sylfaen"/>
          <w:sz w:val="24"/>
          <w:szCs w:val="24"/>
        </w:rPr>
        <w:t xml:space="preserve">ի կողմից ներկայացվող խմբագրական բնույթի ուղղումները թույլ են տալիս հանել հնացած կամ ավելորդ տեքստը, բայց ոչ մասնագրի պարամետրերը </w:t>
      </w:r>
      <w:r w:rsidR="00C54D75">
        <w:rPr>
          <w:rFonts w:ascii="Sylfaen" w:hAnsi="Sylfaen"/>
          <w:sz w:val="24"/>
          <w:szCs w:val="24"/>
        </w:rPr>
        <w:t>և</w:t>
      </w:r>
      <w:r w:rsidRPr="003B2786">
        <w:rPr>
          <w:rFonts w:ascii="Sylfaen" w:hAnsi="Sylfaen"/>
          <w:sz w:val="24"/>
          <w:szCs w:val="24"/>
        </w:rPr>
        <w:t xml:space="preserve"> արտադրության նկարագրությունները:</w:t>
      </w:r>
    </w:p>
    <w:p w14:paraId="0B83DDC3" w14:textId="77777777" w:rsidR="008C76E0" w:rsidRPr="006D1911" w:rsidRDefault="008C76E0" w:rsidP="008C76E0">
      <w:pPr>
        <w:ind w:right="-1"/>
        <w:jc w:val="both"/>
        <w:rPr>
          <w:rFonts w:ascii="Sylfaen" w:hAnsi="Sylfaen"/>
          <w:sz w:val="24"/>
          <w:szCs w:val="24"/>
        </w:rPr>
      </w:pPr>
    </w:p>
    <w:tbl>
      <w:tblPr>
        <w:tblOverlap w:val="never"/>
        <w:tblW w:w="10313" w:type="dxa"/>
        <w:jc w:val="center"/>
        <w:tblLayout w:type="fixed"/>
        <w:tblCellMar>
          <w:left w:w="10" w:type="dxa"/>
          <w:right w:w="10" w:type="dxa"/>
        </w:tblCellMar>
        <w:tblLook w:val="04A0" w:firstRow="1" w:lastRow="0" w:firstColumn="1" w:lastColumn="0" w:noHBand="0" w:noVBand="1"/>
      </w:tblPr>
      <w:tblGrid>
        <w:gridCol w:w="2320"/>
        <w:gridCol w:w="2482"/>
        <w:gridCol w:w="1662"/>
        <w:gridCol w:w="1816"/>
        <w:gridCol w:w="201"/>
        <w:gridCol w:w="1832"/>
      </w:tblGrid>
      <w:tr w:rsidR="008C76E0" w:rsidRPr="003B2786" w14:paraId="7CB39793" w14:textId="77777777" w:rsidTr="008C76E0">
        <w:trPr>
          <w:jc w:val="center"/>
        </w:trPr>
        <w:tc>
          <w:tcPr>
            <w:tcW w:w="10313" w:type="dxa"/>
            <w:gridSpan w:val="6"/>
            <w:shd w:val="clear" w:color="auto" w:fill="FFFFFF"/>
          </w:tcPr>
          <w:p w14:paraId="5CDF46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Ա.Վարչական փոփոխություններ</w:t>
            </w:r>
          </w:p>
        </w:tc>
      </w:tr>
      <w:tr w:rsidR="008C76E0" w:rsidRPr="003B2786" w14:paraId="527381CF" w14:textId="77777777" w:rsidTr="008C76E0">
        <w:trPr>
          <w:jc w:val="center"/>
        </w:trPr>
        <w:tc>
          <w:tcPr>
            <w:tcW w:w="4802" w:type="dxa"/>
            <w:gridSpan w:val="2"/>
            <w:tcBorders>
              <w:top w:val="single" w:sz="4" w:space="0" w:color="auto"/>
              <w:left w:val="single" w:sz="4" w:space="0" w:color="auto"/>
            </w:tcBorders>
            <w:shd w:val="clear" w:color="auto" w:fill="FFFFFF"/>
          </w:tcPr>
          <w:p w14:paraId="10CAD4AC" w14:textId="77777777" w:rsidR="008C76E0" w:rsidRPr="008C76E0" w:rsidRDefault="008C76E0" w:rsidP="008C76E0">
            <w:pPr>
              <w:pStyle w:val="Bodytext180"/>
              <w:shd w:val="clear" w:color="auto" w:fill="auto"/>
              <w:spacing w:before="0" w:after="120" w:line="240" w:lineRule="auto"/>
              <w:ind w:right="180" w:firstLine="0"/>
              <w:jc w:val="both"/>
              <w:rPr>
                <w:rFonts w:ascii="Sylfaen" w:hAnsi="Sylfaen"/>
                <w:b w:val="0"/>
                <w:sz w:val="24"/>
                <w:szCs w:val="24"/>
                <w:lang w:val="hy-AM"/>
              </w:rPr>
            </w:pPr>
            <w:r w:rsidRPr="003B2786">
              <w:rPr>
                <w:rStyle w:val="Bodytext1811pt"/>
                <w:rFonts w:ascii="Sylfaen" w:hAnsi="Sylfaen"/>
                <w:sz w:val="24"/>
                <w:szCs w:val="24"/>
              </w:rPr>
              <w:t>Ա.1.</w:t>
            </w:r>
            <w:r w:rsidRPr="003B2786">
              <w:rPr>
                <w:rStyle w:val="Bodytext1811pt"/>
                <w:rFonts w:ascii="Sylfaen" w:hAnsi="Sylfaen"/>
                <w:sz w:val="24"/>
                <w:szCs w:val="24"/>
              </w:rPr>
              <w:tab/>
              <w:t xml:space="preserve">Գրանցման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w:t>
            </w:r>
          </w:p>
        </w:tc>
        <w:tc>
          <w:tcPr>
            <w:tcW w:w="1662" w:type="dxa"/>
            <w:tcBorders>
              <w:top w:val="single" w:sz="4" w:space="0" w:color="auto"/>
              <w:left w:val="single" w:sz="4" w:space="0" w:color="auto"/>
            </w:tcBorders>
            <w:shd w:val="clear" w:color="auto" w:fill="FFFFFF"/>
          </w:tcPr>
          <w:p w14:paraId="504D7E1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47EBD7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3DC1E4C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4E57BC" w14:textId="77777777" w:rsidTr="008C76E0">
        <w:trPr>
          <w:trHeight w:val="307"/>
          <w:jc w:val="center"/>
        </w:trPr>
        <w:tc>
          <w:tcPr>
            <w:tcW w:w="4802" w:type="dxa"/>
            <w:gridSpan w:val="2"/>
            <w:tcBorders>
              <w:top w:val="single" w:sz="4" w:space="0" w:color="auto"/>
              <w:left w:val="single" w:sz="4" w:space="0" w:color="auto"/>
            </w:tcBorders>
            <w:shd w:val="clear" w:color="auto" w:fill="FFFFFF"/>
          </w:tcPr>
          <w:p w14:paraId="3447CD46" w14:textId="77777777" w:rsidR="008C76E0" w:rsidRPr="003B2786" w:rsidRDefault="008C76E0" w:rsidP="008C76E0">
            <w:pPr>
              <w:spacing w:after="120" w:line="240" w:lineRule="auto"/>
              <w:jc w:val="center"/>
              <w:rPr>
                <w:rFonts w:ascii="Sylfaen" w:hAnsi="Sylfaen"/>
                <w:sz w:val="24"/>
                <w:szCs w:val="24"/>
              </w:rPr>
            </w:pPr>
          </w:p>
        </w:tc>
        <w:tc>
          <w:tcPr>
            <w:tcW w:w="1662" w:type="dxa"/>
            <w:tcBorders>
              <w:top w:val="single" w:sz="4" w:space="0" w:color="auto"/>
              <w:left w:val="single" w:sz="4" w:space="0" w:color="auto"/>
            </w:tcBorders>
            <w:shd w:val="clear" w:color="auto" w:fill="FFFFFF"/>
          </w:tcPr>
          <w:p w14:paraId="419ABF8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816" w:type="dxa"/>
            <w:tcBorders>
              <w:top w:val="single" w:sz="4" w:space="0" w:color="auto"/>
              <w:left w:val="single" w:sz="4" w:space="0" w:color="auto"/>
            </w:tcBorders>
            <w:shd w:val="clear" w:color="auto" w:fill="FFFFFF"/>
          </w:tcPr>
          <w:p w14:paraId="68B3B59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5149C66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5EF0C8A"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56887EBE" w14:textId="77777777" w:rsidR="008C76E0" w:rsidRPr="003B2786" w:rsidRDefault="008C76E0" w:rsidP="008C76E0">
            <w:pPr>
              <w:pStyle w:val="Bodytext180"/>
              <w:shd w:val="clear" w:color="auto" w:fill="auto"/>
              <w:spacing w:before="0" w:after="120" w:line="240" w:lineRule="auto"/>
              <w:ind w:firstLine="0"/>
              <w:rPr>
                <w:rFonts w:ascii="Sylfaen" w:hAnsi="Sylfaen"/>
                <w:b w:val="0"/>
                <w:sz w:val="24"/>
                <w:szCs w:val="24"/>
              </w:rPr>
            </w:pPr>
            <w:r w:rsidRPr="003B2786">
              <w:rPr>
                <w:rStyle w:val="Bodytext1811pt"/>
                <w:rFonts w:ascii="Sylfaen" w:hAnsi="Sylfaen"/>
                <w:sz w:val="24"/>
                <w:szCs w:val="24"/>
              </w:rPr>
              <w:t>Պայմանները</w:t>
            </w:r>
          </w:p>
          <w:p w14:paraId="4D7328BF" w14:textId="77777777" w:rsidR="008C76E0" w:rsidRPr="003B2786" w:rsidRDefault="008C76E0" w:rsidP="008C76E0">
            <w:pPr>
              <w:pStyle w:val="Bodytext180"/>
              <w:numPr>
                <w:ilvl w:val="0"/>
                <w:numId w:val="11"/>
              </w:numPr>
              <w:shd w:val="clear" w:color="auto" w:fill="auto"/>
              <w:spacing w:before="0" w:after="120" w:line="240" w:lineRule="auto"/>
              <w:ind w:left="616" w:hanging="568"/>
              <w:rPr>
                <w:rFonts w:ascii="Sylfaen" w:hAnsi="Sylfaen"/>
                <w:b w:val="0"/>
                <w:sz w:val="24"/>
                <w:szCs w:val="24"/>
              </w:rPr>
            </w:pPr>
            <w:r w:rsidRPr="003B2786">
              <w:rPr>
                <w:rStyle w:val="Bodytext1811pt"/>
                <w:rFonts w:ascii="Sylfaen" w:hAnsi="Sylfaen"/>
                <w:sz w:val="24"/>
                <w:szCs w:val="24"/>
              </w:rPr>
              <w:t>Գրանցման հավաստագրի իրավատերը պետք է շարունակի մնալ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0F11ADC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4EC0EC37"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3B2786">
              <w:rPr>
                <w:rStyle w:val="Bodytext1811pt"/>
                <w:rFonts w:ascii="Sylfaen" w:hAnsi="Sylfaen"/>
                <w:sz w:val="24"/>
                <w:szCs w:val="24"/>
              </w:rPr>
              <w:t>Փաստաթղթերը</w:t>
            </w:r>
          </w:p>
          <w:p w14:paraId="5A32CAE7" w14:textId="77777777" w:rsidR="008C76E0" w:rsidRPr="008C76E0" w:rsidRDefault="008C76E0" w:rsidP="008C76E0">
            <w:pPr>
              <w:pStyle w:val="Bodytext180"/>
              <w:shd w:val="clear" w:color="auto" w:fill="auto"/>
              <w:spacing w:before="0" w:after="120" w:line="240" w:lineRule="auto"/>
              <w:ind w:left="566" w:hanging="566"/>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Փաստաթուղթ համապատասխան լիազորված մարմնի (օրինակ՝ հարկային մարմնի) կողմից, որում նշված է նոր անվանումը կամ հասցեն:</w:t>
            </w:r>
          </w:p>
          <w:p w14:paraId="699EE059" w14:textId="77777777" w:rsidR="008C76E0" w:rsidRPr="003B2786" w:rsidRDefault="008C76E0" w:rsidP="008C76E0">
            <w:pPr>
              <w:pStyle w:val="Bodytext180"/>
              <w:shd w:val="clear" w:color="auto" w:fill="auto"/>
              <w:spacing w:before="0" w:after="120" w:line="240" w:lineRule="auto"/>
              <w:ind w:left="566" w:hanging="566"/>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62FF9C9" w14:textId="77777777" w:rsidTr="008C76E0">
        <w:trPr>
          <w:jc w:val="center"/>
        </w:trPr>
        <w:tc>
          <w:tcPr>
            <w:tcW w:w="4802" w:type="dxa"/>
            <w:gridSpan w:val="2"/>
            <w:tcBorders>
              <w:top w:val="single" w:sz="4" w:space="0" w:color="auto"/>
              <w:left w:val="single" w:sz="4" w:space="0" w:color="auto"/>
            </w:tcBorders>
            <w:shd w:val="clear" w:color="auto" w:fill="FFFFFF"/>
          </w:tcPr>
          <w:p w14:paraId="34442693"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Ա.2.</w:t>
            </w:r>
            <w:r w:rsidRPr="003B2786">
              <w:rPr>
                <w:rStyle w:val="Bodytext1811pt"/>
                <w:rFonts w:ascii="Sylfaen" w:hAnsi="Sylfaen"/>
                <w:sz w:val="24"/>
                <w:szCs w:val="24"/>
              </w:rPr>
              <w:tab/>
              <w:t>Դեղապատրաստուկի (առ</w:t>
            </w:r>
            <w:r w:rsidR="00C54D75">
              <w:rPr>
                <w:rStyle w:val="Bodytext1811pt"/>
                <w:rFonts w:ascii="Sylfaen" w:hAnsi="Sylfaen"/>
                <w:sz w:val="24"/>
                <w:szCs w:val="24"/>
              </w:rPr>
              <w:t>և</w:t>
            </w:r>
            <w:r w:rsidRPr="003B2786">
              <w:rPr>
                <w:rStyle w:val="Bodytext1811pt"/>
                <w:rFonts w:ascii="Sylfaen" w:hAnsi="Sylfaen"/>
                <w:sz w:val="24"/>
                <w:szCs w:val="24"/>
              </w:rPr>
              <w:t>տրային) անվանման փոփոխությունը</w:t>
            </w:r>
          </w:p>
        </w:tc>
        <w:tc>
          <w:tcPr>
            <w:tcW w:w="1662" w:type="dxa"/>
            <w:tcBorders>
              <w:top w:val="single" w:sz="4" w:space="0" w:color="auto"/>
              <w:left w:val="single" w:sz="4" w:space="0" w:color="auto"/>
            </w:tcBorders>
            <w:shd w:val="clear" w:color="auto" w:fill="FFFFFF"/>
          </w:tcPr>
          <w:p w14:paraId="35889E3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552B2C8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7459055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7AF3D8D" w14:textId="77777777" w:rsidTr="008C76E0">
        <w:trPr>
          <w:jc w:val="center"/>
        </w:trPr>
        <w:tc>
          <w:tcPr>
            <w:tcW w:w="4802" w:type="dxa"/>
            <w:gridSpan w:val="2"/>
            <w:tcBorders>
              <w:top w:val="single" w:sz="4" w:space="0" w:color="auto"/>
              <w:left w:val="single" w:sz="4" w:space="0" w:color="auto"/>
            </w:tcBorders>
            <w:shd w:val="clear" w:color="auto" w:fill="FFFFFF"/>
          </w:tcPr>
          <w:p w14:paraId="498E59A1" w14:textId="77777777" w:rsidR="008C76E0" w:rsidRPr="008C76E0" w:rsidRDefault="008C76E0" w:rsidP="008C76E0">
            <w:pPr>
              <w:pStyle w:val="Bodytext180"/>
              <w:shd w:val="clear" w:color="auto" w:fill="auto"/>
              <w:tabs>
                <w:tab w:val="left" w:pos="55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Եվրասիական տնտեսական միության շրջանակներում դեղապատրաստուկների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կանոններին համապատասխան գրանցված դեղապատրաստուկներ</w:t>
            </w:r>
          </w:p>
        </w:tc>
        <w:tc>
          <w:tcPr>
            <w:tcW w:w="1662" w:type="dxa"/>
            <w:tcBorders>
              <w:top w:val="single" w:sz="4" w:space="0" w:color="auto"/>
              <w:left w:val="single" w:sz="4" w:space="0" w:color="auto"/>
            </w:tcBorders>
            <w:shd w:val="clear" w:color="auto" w:fill="FFFFFF"/>
          </w:tcPr>
          <w:p w14:paraId="7511458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w:t>
            </w:r>
          </w:p>
        </w:tc>
        <w:tc>
          <w:tcPr>
            <w:tcW w:w="1816" w:type="dxa"/>
            <w:tcBorders>
              <w:top w:val="single" w:sz="4" w:space="0" w:color="auto"/>
              <w:left w:val="single" w:sz="4" w:space="0" w:color="auto"/>
            </w:tcBorders>
            <w:shd w:val="clear" w:color="auto" w:fill="FFFFFF"/>
          </w:tcPr>
          <w:p w14:paraId="32A48C2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6DA0AA3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9DD5FA0" w14:textId="77777777" w:rsidTr="008C76E0">
        <w:trPr>
          <w:jc w:val="center"/>
        </w:trPr>
        <w:tc>
          <w:tcPr>
            <w:tcW w:w="4802" w:type="dxa"/>
            <w:gridSpan w:val="2"/>
            <w:tcBorders>
              <w:top w:val="single" w:sz="4" w:space="0" w:color="auto"/>
              <w:left w:val="single" w:sz="4" w:space="0" w:color="auto"/>
            </w:tcBorders>
            <w:shd w:val="clear" w:color="auto" w:fill="FFFFFF"/>
          </w:tcPr>
          <w:p w14:paraId="28D912FB" w14:textId="77777777" w:rsidR="008C76E0" w:rsidRPr="008C76E0" w:rsidRDefault="008C76E0" w:rsidP="008C76E0">
            <w:pPr>
              <w:pStyle w:val="Bodytext180"/>
              <w:shd w:val="clear" w:color="auto" w:fill="auto"/>
              <w:tabs>
                <w:tab w:val="left" w:pos="559"/>
              </w:tabs>
              <w:spacing w:before="0" w:after="120" w:line="240" w:lineRule="auto"/>
              <w:ind w:left="41" w:right="62" w:firstLine="0"/>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Ազգային ընթացակարգով գրանցված դեղապատրաստուկներ (գրանցումը՝ միայն ռեֆերենտ պետությունում) </w:t>
            </w:r>
          </w:p>
        </w:tc>
        <w:tc>
          <w:tcPr>
            <w:tcW w:w="1662" w:type="dxa"/>
            <w:tcBorders>
              <w:top w:val="single" w:sz="4" w:space="0" w:color="auto"/>
              <w:left w:val="single" w:sz="4" w:space="0" w:color="auto"/>
            </w:tcBorders>
            <w:shd w:val="clear" w:color="auto" w:fill="FFFFFF"/>
          </w:tcPr>
          <w:p w14:paraId="2AB9E8F9" w14:textId="77777777" w:rsidR="008C76E0" w:rsidRPr="003B2786" w:rsidRDefault="008C76E0" w:rsidP="008C76E0">
            <w:pPr>
              <w:spacing w:after="120" w:line="240" w:lineRule="auto"/>
              <w:jc w:val="center"/>
              <w:rPr>
                <w:rFonts w:ascii="Sylfaen" w:hAnsi="Sylfaen"/>
                <w:sz w:val="24"/>
                <w:szCs w:val="24"/>
              </w:rPr>
            </w:pPr>
          </w:p>
        </w:tc>
        <w:tc>
          <w:tcPr>
            <w:tcW w:w="1816" w:type="dxa"/>
            <w:tcBorders>
              <w:top w:val="single" w:sz="4" w:space="0" w:color="auto"/>
              <w:left w:val="single" w:sz="4" w:space="0" w:color="auto"/>
            </w:tcBorders>
            <w:shd w:val="clear" w:color="auto" w:fill="FFFFFF"/>
          </w:tcPr>
          <w:p w14:paraId="392B5E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2</w:t>
            </w:r>
          </w:p>
        </w:tc>
        <w:tc>
          <w:tcPr>
            <w:tcW w:w="2033" w:type="dxa"/>
            <w:gridSpan w:val="2"/>
            <w:tcBorders>
              <w:top w:val="single" w:sz="4" w:space="0" w:color="auto"/>
              <w:left w:val="single" w:sz="4" w:space="0" w:color="auto"/>
              <w:right w:val="single" w:sz="4" w:space="0" w:color="auto"/>
            </w:tcBorders>
            <w:shd w:val="clear" w:color="auto" w:fill="FFFFFF"/>
          </w:tcPr>
          <w:p w14:paraId="4FD001A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F0CFFD"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3CAA8126" w14:textId="77777777" w:rsidR="008C76E0" w:rsidRPr="003B2786"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rPr>
            </w:pPr>
            <w:r w:rsidRPr="003B2786">
              <w:rPr>
                <w:rStyle w:val="Bodytext1811pt"/>
                <w:rFonts w:ascii="Sylfaen" w:hAnsi="Sylfaen"/>
                <w:sz w:val="24"/>
                <w:szCs w:val="24"/>
              </w:rPr>
              <w:t>Պայմանները</w:t>
            </w:r>
          </w:p>
          <w:p w14:paraId="74296ABD" w14:textId="77777777" w:rsidR="008C76E0" w:rsidRPr="003B2786" w:rsidRDefault="008C76E0" w:rsidP="008C76E0">
            <w:pPr>
              <w:pStyle w:val="Bodytext180"/>
              <w:numPr>
                <w:ilvl w:val="0"/>
                <w:numId w:val="12"/>
              </w:numPr>
              <w:shd w:val="clear" w:color="auto" w:fill="auto"/>
              <w:tabs>
                <w:tab w:val="left" w:pos="574"/>
              </w:tabs>
              <w:spacing w:before="0" w:after="120" w:line="240" w:lineRule="auto"/>
              <w:ind w:left="633" w:hanging="633"/>
              <w:rPr>
                <w:rFonts w:ascii="Sylfaen" w:hAnsi="Sylfaen"/>
                <w:b w:val="0"/>
                <w:sz w:val="24"/>
                <w:szCs w:val="24"/>
              </w:rPr>
            </w:pPr>
            <w:r w:rsidRPr="003B2786">
              <w:rPr>
                <w:rStyle w:val="Bodytext1811pt"/>
                <w:rFonts w:ascii="Sylfaen" w:hAnsi="Sylfaen"/>
                <w:sz w:val="24"/>
                <w:szCs w:val="24"/>
              </w:rPr>
              <w:t>Նոր անվանման ընդունելիության հաստատումը ռեֆերենտ պետության կողմից</w:t>
            </w:r>
          </w:p>
        </w:tc>
      </w:tr>
      <w:tr w:rsidR="008C76E0" w:rsidRPr="003B2786" w14:paraId="35C23D4F"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78681C83" w14:textId="77777777" w:rsidR="008C76E0" w:rsidRPr="008C76E0"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lang w:val="hy-AM"/>
              </w:rPr>
            </w:pPr>
            <w:r w:rsidRPr="003B2786">
              <w:rPr>
                <w:rStyle w:val="Bodytext1811pt"/>
                <w:rFonts w:ascii="Sylfaen" w:hAnsi="Sylfaen"/>
                <w:sz w:val="24"/>
                <w:szCs w:val="24"/>
              </w:rPr>
              <w:t>Փաստաթղթերը</w:t>
            </w:r>
          </w:p>
          <w:p w14:paraId="4D1AB451" w14:textId="77777777" w:rsidR="008C76E0" w:rsidRPr="008C76E0"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Ռեֆերենտ պետության՝ նոր (առ</w:t>
            </w:r>
            <w:r w:rsidR="00C54D75">
              <w:rPr>
                <w:rStyle w:val="Bodytext1811pt"/>
                <w:rFonts w:ascii="Sylfaen" w:hAnsi="Sylfaen"/>
                <w:sz w:val="24"/>
                <w:szCs w:val="24"/>
              </w:rPr>
              <w:t>և</w:t>
            </w:r>
            <w:r w:rsidRPr="003B2786">
              <w:rPr>
                <w:rStyle w:val="Bodytext1811pt"/>
                <w:rFonts w:ascii="Sylfaen" w:hAnsi="Sylfaen"/>
                <w:sz w:val="24"/>
                <w:szCs w:val="24"/>
              </w:rPr>
              <w:t>տրային) անվանման ընդունելիության մասին նամակի պատճենը:</w:t>
            </w:r>
          </w:p>
          <w:p w14:paraId="14846277" w14:textId="77777777" w:rsidR="008C76E0" w:rsidRPr="003B2786"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2567CA5C" w14:textId="77777777" w:rsidTr="008C76E0">
        <w:trPr>
          <w:jc w:val="center"/>
        </w:trPr>
        <w:tc>
          <w:tcPr>
            <w:tcW w:w="4802" w:type="dxa"/>
            <w:gridSpan w:val="2"/>
            <w:tcBorders>
              <w:top w:val="single" w:sz="4" w:space="0" w:color="auto"/>
              <w:left w:val="single" w:sz="4" w:space="0" w:color="auto"/>
            </w:tcBorders>
            <w:shd w:val="clear" w:color="auto" w:fill="FFFFFF"/>
          </w:tcPr>
          <w:p w14:paraId="77B6BD83"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 xml:space="preserve">Ա.З. Ակտիվ դեղագործական </w:t>
            </w:r>
            <w:r w:rsidRPr="003B2786">
              <w:rPr>
                <w:rStyle w:val="Bodytext1811pt"/>
                <w:rFonts w:ascii="Sylfaen" w:hAnsi="Sylfaen"/>
                <w:sz w:val="24"/>
                <w:szCs w:val="24"/>
              </w:rPr>
              <w:lastRenderedPageBreak/>
              <w:t>բաղադրամասի կամ օժանդակ նյութի անվանման փոփոխությունը</w:t>
            </w:r>
          </w:p>
        </w:tc>
        <w:tc>
          <w:tcPr>
            <w:tcW w:w="1662" w:type="dxa"/>
            <w:tcBorders>
              <w:top w:val="single" w:sz="4" w:space="0" w:color="auto"/>
              <w:left w:val="single" w:sz="4" w:space="0" w:color="auto"/>
            </w:tcBorders>
            <w:shd w:val="clear" w:color="auto" w:fill="FFFFFF"/>
          </w:tcPr>
          <w:p w14:paraId="3891452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1816" w:type="dxa"/>
            <w:tcBorders>
              <w:top w:val="single" w:sz="4" w:space="0" w:color="auto"/>
              <w:left w:val="single" w:sz="4" w:space="0" w:color="auto"/>
            </w:tcBorders>
            <w:shd w:val="clear" w:color="auto" w:fill="FFFFFF"/>
          </w:tcPr>
          <w:p w14:paraId="3817891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 xml:space="preserve">Փաստաթղթերը </w:t>
            </w:r>
            <w:r w:rsidR="00C54D75">
              <w:rPr>
                <w:rStyle w:val="Bodytext1811pt"/>
                <w:rFonts w:ascii="Sylfaen" w:hAnsi="Sylfaen"/>
                <w:sz w:val="24"/>
                <w:szCs w:val="24"/>
              </w:rPr>
              <w:lastRenderedPageBreak/>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79F41F7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Ընթացակարգը</w:t>
            </w:r>
          </w:p>
        </w:tc>
      </w:tr>
      <w:tr w:rsidR="008C76E0" w:rsidRPr="003B2786" w14:paraId="11829AA1" w14:textId="77777777" w:rsidTr="008C76E0">
        <w:trPr>
          <w:jc w:val="center"/>
        </w:trPr>
        <w:tc>
          <w:tcPr>
            <w:tcW w:w="4802" w:type="dxa"/>
            <w:gridSpan w:val="2"/>
            <w:tcBorders>
              <w:top w:val="single" w:sz="4" w:space="0" w:color="auto"/>
              <w:left w:val="single" w:sz="4" w:space="0" w:color="auto"/>
            </w:tcBorders>
            <w:shd w:val="clear" w:color="auto" w:fill="FFFFFF"/>
          </w:tcPr>
          <w:p w14:paraId="19CAF2D5"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19D28CD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1816" w:type="dxa"/>
            <w:tcBorders>
              <w:top w:val="single" w:sz="4" w:space="0" w:color="auto"/>
              <w:left w:val="single" w:sz="4" w:space="0" w:color="auto"/>
            </w:tcBorders>
            <w:shd w:val="clear" w:color="auto" w:fill="FFFFFF"/>
          </w:tcPr>
          <w:p w14:paraId="3D71646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42249C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9A71DD1"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5A72BD0C" w14:textId="77777777" w:rsidR="008C76E0" w:rsidRPr="003B2786" w:rsidRDefault="008C76E0" w:rsidP="008C76E0">
            <w:pPr>
              <w:pStyle w:val="Bodytext180"/>
              <w:shd w:val="clear" w:color="auto" w:fill="auto"/>
              <w:spacing w:before="0" w:after="120" w:line="240" w:lineRule="auto"/>
              <w:ind w:firstLine="0"/>
              <w:rPr>
                <w:rFonts w:ascii="Sylfaen" w:hAnsi="Sylfaen"/>
                <w:b w:val="0"/>
                <w:sz w:val="24"/>
                <w:szCs w:val="24"/>
              </w:rPr>
            </w:pPr>
            <w:r w:rsidRPr="003B2786">
              <w:rPr>
                <w:rStyle w:val="Bodytext1811pt"/>
                <w:rFonts w:ascii="Sylfaen" w:hAnsi="Sylfaen"/>
                <w:sz w:val="24"/>
                <w:szCs w:val="24"/>
              </w:rPr>
              <w:t>Պայմանները</w:t>
            </w:r>
          </w:p>
          <w:p w14:paraId="7ECB55CA" w14:textId="77777777" w:rsidR="008C76E0" w:rsidRPr="003B2786" w:rsidRDefault="008C76E0" w:rsidP="008C76E0">
            <w:pPr>
              <w:pStyle w:val="Bodytext180"/>
              <w:numPr>
                <w:ilvl w:val="0"/>
                <w:numId w:val="13"/>
              </w:numPr>
              <w:shd w:val="clear" w:color="auto" w:fill="auto"/>
              <w:spacing w:before="0" w:after="120" w:line="240" w:lineRule="auto"/>
              <w:rPr>
                <w:rFonts w:ascii="Sylfaen" w:hAnsi="Sylfaen"/>
                <w:b w:val="0"/>
                <w:sz w:val="24"/>
                <w:szCs w:val="24"/>
              </w:rPr>
            </w:pPr>
            <w:r w:rsidRPr="003B2786">
              <w:rPr>
                <w:rStyle w:val="Bodytext1811pt"/>
                <w:rFonts w:ascii="Sylfaen" w:hAnsi="Sylfaen"/>
                <w:sz w:val="24"/>
                <w:szCs w:val="24"/>
              </w:rPr>
              <w:t>Դեղագործական բաղադրամասը (օժանդակ նյութը) չի փոփոխվում:</w:t>
            </w:r>
          </w:p>
        </w:tc>
      </w:tr>
      <w:tr w:rsidR="008C76E0" w:rsidRPr="003B2786" w14:paraId="3F2D1B3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7B2FC971" w14:textId="77777777" w:rsidR="008C76E0" w:rsidRPr="008C76E0" w:rsidRDefault="008C76E0" w:rsidP="008C76E0">
            <w:pPr>
              <w:pStyle w:val="Bodytext180"/>
              <w:shd w:val="clear" w:color="auto" w:fill="auto"/>
              <w:spacing w:before="0" w:after="120" w:line="240" w:lineRule="auto"/>
              <w:ind w:left="633" w:hanging="633"/>
              <w:rPr>
                <w:rFonts w:ascii="Sylfaen" w:hAnsi="Sylfaen"/>
                <w:b w:val="0"/>
                <w:sz w:val="24"/>
                <w:szCs w:val="24"/>
                <w:lang w:val="hy-AM"/>
              </w:rPr>
            </w:pPr>
            <w:r w:rsidRPr="003B2786">
              <w:rPr>
                <w:rStyle w:val="Bodytext1811pt"/>
                <w:rFonts w:ascii="Sylfaen" w:hAnsi="Sylfaen"/>
                <w:sz w:val="24"/>
                <w:szCs w:val="24"/>
              </w:rPr>
              <w:t>Փաստաթղթերը</w:t>
            </w:r>
          </w:p>
          <w:p w14:paraId="734FF12E" w14:textId="1D13DA57" w:rsidR="008C76E0" w:rsidRPr="008C76E0" w:rsidRDefault="008C76E0" w:rsidP="008C76E0">
            <w:pPr>
              <w:pStyle w:val="Bodytext180"/>
              <w:shd w:val="clear" w:color="auto" w:fill="auto"/>
              <w:spacing w:before="0" w:after="120" w:line="240" w:lineRule="auto"/>
              <w:ind w:left="633" w:right="187" w:hanging="633"/>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ԱՀԿ-ի հաստատման վկայագիրը կամ ՄՉԱ-ի ցանկի պատճենը: Եթե կիրառելի է՝ այն փաստի հաստատումը, որ փոփոխությունը համապատասխանում է Միության դեղագրքին:</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առ այն, որ բուսական ծագման դեղաբուսական պատրաստուկների անվանումները համապատասխանում են Միության փաստաթղթերին:</w:t>
            </w:r>
          </w:p>
          <w:p w14:paraId="5CE458BC" w14:textId="77777777" w:rsidR="008C76E0" w:rsidRPr="003B2786" w:rsidRDefault="008C76E0" w:rsidP="008C76E0">
            <w:pPr>
              <w:pStyle w:val="Bodytext180"/>
              <w:shd w:val="clear" w:color="auto" w:fill="auto"/>
              <w:spacing w:before="0" w:after="120" w:line="240" w:lineRule="auto"/>
              <w:ind w:left="633" w:hanging="633"/>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E6C571B"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tcPr>
          <w:p w14:paraId="4079A435" w14:textId="77777777" w:rsidR="008C76E0" w:rsidRPr="008C76E0" w:rsidRDefault="008C76E0" w:rsidP="008C76E0">
            <w:pPr>
              <w:pStyle w:val="Bodytext180"/>
              <w:shd w:val="clear" w:color="auto" w:fill="auto"/>
              <w:spacing w:before="0" w:after="12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Ա.4.</w:t>
            </w:r>
            <w:r w:rsidRPr="003B2786">
              <w:rPr>
                <w:rStyle w:val="Bodytext1811pt"/>
                <w:rFonts w:ascii="Sylfaen" w:hAnsi="Sylfaen"/>
                <w:sz w:val="24"/>
                <w:szCs w:val="24"/>
              </w:rPr>
              <w:tab/>
              <w:t>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անձանց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 արտադրողը (ներառյալ`եթե կիրառելի են, որակի հսկողության հարթակները) կամ ԱԴԲՄՖ-ի իրավատերը կամ ակտիվ դեղագործական բաղադրամասի արտադրության մեջ օգտագործվող ակտիվ դեղագործական բաղադրամասի, ելանյութերի, ռեակտիվների կամ միջանկյալ արտադրանքի մատակարարը (եթե նշված է տեխնիկական դոսյեում), եթե գրանցման դոսյեում բացակայում են Ph. Eur.-ին համապատասխանության կամ նոր օժանդակ նյութի արտադրողի հավաստագրերը (եթե նշված է տեխնիկական դոսյեում)</w:t>
            </w:r>
          </w:p>
        </w:tc>
        <w:tc>
          <w:tcPr>
            <w:tcW w:w="1662" w:type="dxa"/>
            <w:tcBorders>
              <w:top w:val="single" w:sz="4" w:space="0" w:color="auto"/>
              <w:left w:val="single" w:sz="4" w:space="0" w:color="auto"/>
              <w:bottom w:val="single" w:sz="4" w:space="0" w:color="auto"/>
            </w:tcBorders>
            <w:shd w:val="clear" w:color="auto" w:fill="FFFFFF"/>
          </w:tcPr>
          <w:p w14:paraId="159D6AE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bottom w:val="single" w:sz="4" w:space="0" w:color="auto"/>
            </w:tcBorders>
            <w:shd w:val="clear" w:color="auto" w:fill="FFFFFF"/>
          </w:tcPr>
          <w:p w14:paraId="531C18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bottom w:val="single" w:sz="4" w:space="0" w:color="auto"/>
              <w:right w:val="single" w:sz="4" w:space="0" w:color="auto"/>
            </w:tcBorders>
            <w:shd w:val="clear" w:color="auto" w:fill="FFFFFF"/>
          </w:tcPr>
          <w:p w14:paraId="77F6497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C2F5550" w14:textId="77777777" w:rsidTr="008C76E0">
        <w:trPr>
          <w:trHeight w:val="263"/>
          <w:jc w:val="center"/>
        </w:trPr>
        <w:tc>
          <w:tcPr>
            <w:tcW w:w="4802" w:type="dxa"/>
            <w:gridSpan w:val="2"/>
            <w:tcBorders>
              <w:top w:val="single" w:sz="4" w:space="0" w:color="auto"/>
              <w:left w:val="single" w:sz="4" w:space="0" w:color="auto"/>
            </w:tcBorders>
            <w:shd w:val="clear" w:color="auto" w:fill="FFFFFF"/>
          </w:tcPr>
          <w:p w14:paraId="5D5685BE" w14:textId="77777777" w:rsidR="008C76E0" w:rsidRPr="003B2786" w:rsidRDefault="008C76E0" w:rsidP="008C76E0">
            <w:pPr>
              <w:pStyle w:val="Bodytext180"/>
              <w:shd w:val="clear" w:color="auto" w:fill="auto"/>
              <w:spacing w:before="0" w:after="120" w:line="240" w:lineRule="auto"/>
              <w:ind w:left="65" w:right="204" w:firstLine="0"/>
              <w:jc w:val="both"/>
              <w:rPr>
                <w:rFonts w:ascii="Sylfaen" w:hAnsi="Sylfaen"/>
                <w:b w:val="0"/>
                <w:sz w:val="24"/>
                <w:szCs w:val="24"/>
              </w:rPr>
            </w:pPr>
          </w:p>
        </w:tc>
        <w:tc>
          <w:tcPr>
            <w:tcW w:w="1662" w:type="dxa"/>
            <w:tcBorders>
              <w:top w:val="single" w:sz="4" w:space="0" w:color="auto"/>
              <w:left w:val="single" w:sz="4" w:space="0" w:color="auto"/>
            </w:tcBorders>
            <w:shd w:val="clear" w:color="auto" w:fill="FFFFFF"/>
          </w:tcPr>
          <w:p w14:paraId="5B55A92E" w14:textId="77777777" w:rsidR="008C76E0" w:rsidRPr="003B2786" w:rsidRDefault="008C76E0" w:rsidP="008C76E0">
            <w:pPr>
              <w:spacing w:after="120" w:line="240" w:lineRule="auto"/>
              <w:jc w:val="center"/>
              <w:rPr>
                <w:rFonts w:ascii="Sylfaen" w:hAnsi="Sylfaen"/>
                <w:sz w:val="24"/>
                <w:szCs w:val="24"/>
              </w:rPr>
            </w:pPr>
          </w:p>
        </w:tc>
        <w:tc>
          <w:tcPr>
            <w:tcW w:w="1816" w:type="dxa"/>
            <w:tcBorders>
              <w:top w:val="single" w:sz="4" w:space="0" w:color="auto"/>
              <w:left w:val="single" w:sz="4" w:space="0" w:color="auto"/>
            </w:tcBorders>
            <w:shd w:val="clear" w:color="auto" w:fill="FFFFFF"/>
          </w:tcPr>
          <w:p w14:paraId="00483DC7" w14:textId="77777777" w:rsidR="008C76E0" w:rsidRPr="003B2786" w:rsidRDefault="008C76E0" w:rsidP="008C76E0">
            <w:pPr>
              <w:spacing w:after="120" w:line="240" w:lineRule="auto"/>
              <w:jc w:val="center"/>
              <w:rPr>
                <w:rFonts w:ascii="Sylfaen" w:hAnsi="Sylfaen"/>
                <w:sz w:val="24"/>
                <w:szCs w:val="24"/>
              </w:rPr>
            </w:pPr>
          </w:p>
        </w:tc>
        <w:tc>
          <w:tcPr>
            <w:tcW w:w="2033" w:type="dxa"/>
            <w:gridSpan w:val="2"/>
            <w:tcBorders>
              <w:top w:val="single" w:sz="4" w:space="0" w:color="auto"/>
              <w:left w:val="single" w:sz="4" w:space="0" w:color="auto"/>
              <w:right w:val="single" w:sz="4" w:space="0" w:color="auto"/>
            </w:tcBorders>
            <w:shd w:val="clear" w:color="auto" w:fill="FFFFFF"/>
          </w:tcPr>
          <w:p w14:paraId="6E76BCA1"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1D046447" w14:textId="77777777" w:rsidTr="008C76E0">
        <w:trPr>
          <w:jc w:val="center"/>
        </w:trPr>
        <w:tc>
          <w:tcPr>
            <w:tcW w:w="4802" w:type="dxa"/>
            <w:gridSpan w:val="2"/>
            <w:tcBorders>
              <w:top w:val="single" w:sz="4" w:space="0" w:color="auto"/>
              <w:left w:val="single" w:sz="4" w:space="0" w:color="auto"/>
            </w:tcBorders>
            <w:shd w:val="clear" w:color="auto" w:fill="FFFFFF"/>
          </w:tcPr>
          <w:p w14:paraId="1EE8CAC9"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63B849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816" w:type="dxa"/>
            <w:tcBorders>
              <w:top w:val="single" w:sz="4" w:space="0" w:color="auto"/>
              <w:left w:val="single" w:sz="4" w:space="0" w:color="auto"/>
            </w:tcBorders>
            <w:shd w:val="clear" w:color="auto" w:fill="FFFFFF"/>
          </w:tcPr>
          <w:p w14:paraId="2FFBB8B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1,2,3</w:t>
            </w:r>
          </w:p>
        </w:tc>
        <w:tc>
          <w:tcPr>
            <w:tcW w:w="2033" w:type="dxa"/>
            <w:gridSpan w:val="2"/>
            <w:tcBorders>
              <w:top w:val="single" w:sz="4" w:space="0" w:color="auto"/>
              <w:left w:val="single" w:sz="4" w:space="0" w:color="auto"/>
              <w:right w:val="single" w:sz="4" w:space="0" w:color="auto"/>
            </w:tcBorders>
            <w:shd w:val="clear" w:color="auto" w:fill="FFFFFF"/>
          </w:tcPr>
          <w:p w14:paraId="66E93E3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9B5C4F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4C87B648"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Պայմանները</w:t>
            </w:r>
          </w:p>
          <w:p w14:paraId="0D68D4BB"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 xml:space="preserve">1. Արտադրական հարթակը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գործառնություններից </w:t>
            </w:r>
            <w:r w:rsidR="00C54D75">
              <w:rPr>
                <w:rStyle w:val="Bodytext1811pt"/>
                <w:rFonts w:ascii="Sylfaen" w:hAnsi="Sylfaen"/>
                <w:sz w:val="24"/>
                <w:szCs w:val="24"/>
              </w:rPr>
              <w:t>և</w:t>
            </w:r>
            <w:r w:rsidRPr="003B2786">
              <w:rPr>
                <w:rStyle w:val="Bodytext1811pt"/>
                <w:rFonts w:ascii="Sylfaen" w:hAnsi="Sylfaen"/>
                <w:sz w:val="24"/>
                <w:szCs w:val="24"/>
              </w:rPr>
              <w:t xml:space="preserve"> ոչ մեկը չեն փոփոխվում:</w:t>
            </w:r>
          </w:p>
        </w:tc>
      </w:tr>
      <w:tr w:rsidR="008C76E0" w:rsidRPr="003B2786" w14:paraId="486BE7C4"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1D5289C2"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3B2786">
              <w:rPr>
                <w:rStyle w:val="Bodytext1811pt"/>
                <w:rFonts w:ascii="Sylfaen" w:hAnsi="Sylfaen"/>
                <w:sz w:val="24"/>
                <w:szCs w:val="24"/>
              </w:rPr>
              <w:t>Փաստաթղթերը</w:t>
            </w:r>
          </w:p>
          <w:p w14:paraId="027B9047"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1. </w:t>
            </w:r>
            <w:r w:rsidRPr="003B2786">
              <w:rPr>
                <w:rStyle w:val="Bodytext1811pt"/>
                <w:rFonts w:ascii="Sylfaen" w:hAnsi="Sylfaen"/>
                <w:sz w:val="24"/>
                <w:szCs w:val="24"/>
              </w:rPr>
              <w:t xml:space="preserve">Պաշտոնական փաստաթուղթ լիազորված մարմնի (օրինակ՝ հարկային մարմնի) կողմից, որում նշված է նոր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w:t>
            </w:r>
          </w:p>
          <w:p w14:paraId="595A9B21"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2. </w:t>
            </w:r>
            <w:r w:rsidRPr="003B2786">
              <w:rPr>
                <w:rStyle w:val="Bodytext1811pt"/>
                <w:rFonts w:ascii="Sylfaen" w:hAnsi="Sylfaen"/>
                <w:sz w:val="24"/>
                <w:szCs w:val="24"/>
              </w:rPr>
              <w:t>Դոսյեի համապատասխան բաժնում ուղղում կատարելը</w:t>
            </w:r>
          </w:p>
          <w:p w14:paraId="03FE28B2"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3. </w:t>
            </w:r>
            <w:r w:rsidRPr="003B2786">
              <w:rPr>
                <w:rStyle w:val="Bodytext1811pt"/>
                <w:rFonts w:ascii="Sylfaen" w:hAnsi="Sylfaen"/>
                <w:sz w:val="24"/>
                <w:szCs w:val="24"/>
              </w:rPr>
              <w:t xml:space="preserve">Ակտիվ դեղագործական բաղադրամասի մաստեր-ֆայլի (ԱԴԲՄՖ-ի) իրավատիրոջ </w:t>
            </w:r>
            <w:r w:rsidRPr="003B2786">
              <w:rPr>
                <w:rStyle w:val="Bodytext1811pt"/>
                <w:rFonts w:ascii="Sylfaen" w:hAnsi="Sylfaen"/>
                <w:sz w:val="24"/>
                <w:szCs w:val="24"/>
              </w:rPr>
              <w:lastRenderedPageBreak/>
              <w:t>անվանումը փոփոխելիս թարմացված «հասանելիության թույլտվություն»:</w:t>
            </w:r>
          </w:p>
        </w:tc>
      </w:tr>
      <w:tr w:rsidR="008C76E0" w:rsidRPr="003B2786" w14:paraId="2A34FFCE" w14:textId="77777777" w:rsidTr="008C76E0">
        <w:trPr>
          <w:jc w:val="center"/>
        </w:trPr>
        <w:tc>
          <w:tcPr>
            <w:tcW w:w="4802" w:type="dxa"/>
            <w:gridSpan w:val="2"/>
            <w:tcBorders>
              <w:top w:val="single" w:sz="4" w:space="0" w:color="auto"/>
              <w:left w:val="single" w:sz="4" w:space="0" w:color="auto"/>
            </w:tcBorders>
            <w:shd w:val="clear" w:color="auto" w:fill="FFFFFF"/>
          </w:tcPr>
          <w:p w14:paraId="6EA71F65" w14:textId="77777777" w:rsidR="008C76E0" w:rsidRPr="008C76E0" w:rsidRDefault="008C76E0" w:rsidP="008C76E0">
            <w:pPr>
              <w:pStyle w:val="Bodytext180"/>
              <w:shd w:val="clear" w:color="auto" w:fill="auto"/>
              <w:tabs>
                <w:tab w:val="left" w:pos="633"/>
              </w:tabs>
              <w:spacing w:before="0" w:after="12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lastRenderedPageBreak/>
              <w:t>Ա.5.</w:t>
            </w:r>
            <w:r w:rsidRPr="003B2786">
              <w:rPr>
                <w:rStyle w:val="Bodytext1811pt"/>
                <w:rFonts w:ascii="Sylfaen" w:hAnsi="Sylfaen"/>
                <w:sz w:val="24"/>
                <w:szCs w:val="24"/>
              </w:rPr>
              <w:tab/>
              <w:t xml:space="preserve">Դեղապատրաստուկ արտադրողի, ներառյալ՝ բացթողման հարթակների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հարթակների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662" w:type="dxa"/>
            <w:tcBorders>
              <w:top w:val="single" w:sz="4" w:space="0" w:color="auto"/>
              <w:left w:val="single" w:sz="4" w:space="0" w:color="auto"/>
            </w:tcBorders>
            <w:shd w:val="clear" w:color="auto" w:fill="FFFFFF"/>
          </w:tcPr>
          <w:p w14:paraId="1C6C53B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02D3534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02F1B3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A30D309" w14:textId="77777777" w:rsidTr="008C76E0">
        <w:trPr>
          <w:jc w:val="center"/>
        </w:trPr>
        <w:tc>
          <w:tcPr>
            <w:tcW w:w="4802" w:type="dxa"/>
            <w:gridSpan w:val="2"/>
            <w:tcBorders>
              <w:top w:val="single" w:sz="4" w:space="0" w:color="auto"/>
              <w:left w:val="single" w:sz="4" w:space="0" w:color="auto"/>
            </w:tcBorders>
            <w:shd w:val="clear" w:color="auto" w:fill="FFFFFF"/>
          </w:tcPr>
          <w:p w14:paraId="4E4649FC" w14:textId="77777777" w:rsidR="008C76E0" w:rsidRPr="008C76E0" w:rsidRDefault="008C76E0" w:rsidP="008C76E0">
            <w:pPr>
              <w:pStyle w:val="Bodytext180"/>
              <w:shd w:val="clear" w:color="auto" w:fill="auto"/>
              <w:tabs>
                <w:tab w:val="left" w:pos="633"/>
              </w:tabs>
              <w:spacing w:before="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գործողությունները, որոնց համար պատասխանատու է արտադրողը (ներմուծողը), ներառում են սերիաների բացթողումը:</w:t>
            </w:r>
          </w:p>
        </w:tc>
        <w:tc>
          <w:tcPr>
            <w:tcW w:w="1662" w:type="dxa"/>
            <w:tcBorders>
              <w:top w:val="single" w:sz="4" w:space="0" w:color="auto"/>
              <w:left w:val="single" w:sz="4" w:space="0" w:color="auto"/>
            </w:tcBorders>
            <w:shd w:val="clear" w:color="auto" w:fill="FFFFFF"/>
          </w:tcPr>
          <w:p w14:paraId="7991356A"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52BB20C9"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6FE5B3D5"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22D9C14" w14:textId="77777777" w:rsidTr="008C76E0">
        <w:trPr>
          <w:jc w:val="center"/>
        </w:trPr>
        <w:tc>
          <w:tcPr>
            <w:tcW w:w="4802" w:type="dxa"/>
            <w:gridSpan w:val="2"/>
            <w:tcBorders>
              <w:top w:val="single" w:sz="4" w:space="0" w:color="auto"/>
              <w:left w:val="single" w:sz="4" w:space="0" w:color="auto"/>
            </w:tcBorders>
            <w:shd w:val="clear" w:color="auto" w:fill="FFFFFF"/>
          </w:tcPr>
          <w:p w14:paraId="1E1CE666" w14:textId="77777777" w:rsidR="008C76E0" w:rsidRPr="008C76E0" w:rsidRDefault="008C76E0" w:rsidP="008C76E0">
            <w:pPr>
              <w:pStyle w:val="Bodytext180"/>
              <w:shd w:val="clear" w:color="auto" w:fill="auto"/>
              <w:tabs>
                <w:tab w:val="left" w:pos="633"/>
              </w:tabs>
              <w:spacing w:before="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գործողությունները, որոնց համար պատասխանատու է արտադրողը (ներմուծողը), չեն ներառում սերիաների բացթողում:</w:t>
            </w:r>
          </w:p>
        </w:tc>
        <w:tc>
          <w:tcPr>
            <w:tcW w:w="1662" w:type="dxa"/>
            <w:tcBorders>
              <w:top w:val="single" w:sz="4" w:space="0" w:color="auto"/>
              <w:left w:val="single" w:sz="4" w:space="0" w:color="auto"/>
            </w:tcBorders>
            <w:shd w:val="clear" w:color="auto" w:fill="FFFFFF"/>
          </w:tcPr>
          <w:p w14:paraId="55BFA0A2"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33824EEE"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291ABF67"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9A79418"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2AC94D96"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3B2786">
              <w:rPr>
                <w:rStyle w:val="Bodytext1811pt"/>
                <w:rFonts w:ascii="Sylfaen" w:hAnsi="Sylfaen"/>
                <w:sz w:val="24"/>
                <w:szCs w:val="24"/>
              </w:rPr>
              <w:t>Պայմանները</w:t>
            </w:r>
          </w:p>
          <w:p w14:paraId="07B22E51" w14:textId="77777777" w:rsidR="008C76E0" w:rsidRPr="008C76E0" w:rsidRDefault="008C76E0" w:rsidP="008C76E0">
            <w:pPr>
              <w:pStyle w:val="Bodytext180"/>
              <w:shd w:val="clear" w:color="auto" w:fill="auto"/>
              <w:spacing w:before="0" w:after="120" w:line="240" w:lineRule="auto"/>
              <w:ind w:left="491" w:right="187" w:hanging="491"/>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Արտադրական հարթակը, որի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 փոփոխվում են, իսկ արտադրության գործընթացներից </w:t>
            </w:r>
            <w:r w:rsidR="00C54D75">
              <w:rPr>
                <w:rStyle w:val="Bodytext1811pt"/>
                <w:rFonts w:ascii="Sylfaen" w:hAnsi="Sylfaen"/>
                <w:sz w:val="24"/>
                <w:szCs w:val="24"/>
              </w:rPr>
              <w:t>և</w:t>
            </w:r>
            <w:r w:rsidRPr="003B2786">
              <w:rPr>
                <w:rStyle w:val="Bodytext1811pt"/>
                <w:rFonts w:ascii="Sylfaen" w:hAnsi="Sylfaen"/>
                <w:sz w:val="24"/>
                <w:szCs w:val="24"/>
              </w:rPr>
              <w:t xml:space="preserve"> ոչ մեկը չի փոփոխվում:</w:t>
            </w:r>
          </w:p>
        </w:tc>
      </w:tr>
      <w:tr w:rsidR="008C76E0" w:rsidRPr="003B2786" w14:paraId="70800BB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0CE93F2E"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3B2786">
              <w:rPr>
                <w:rStyle w:val="Bodytext1811pt"/>
                <w:rFonts w:ascii="Sylfaen" w:hAnsi="Sylfaen"/>
                <w:sz w:val="24"/>
                <w:szCs w:val="24"/>
              </w:rPr>
              <w:t>Փաստաթղթերը</w:t>
            </w:r>
          </w:p>
          <w:p w14:paraId="6B296EBF" w14:textId="77777777" w:rsidR="008C76E0" w:rsidRPr="008C76E0" w:rsidRDefault="008C76E0" w:rsidP="008C76E0">
            <w:pPr>
              <w:pStyle w:val="Bodytext180"/>
              <w:shd w:val="clear" w:color="auto" w:fill="auto"/>
              <w:spacing w:before="0" w:after="120" w:line="240" w:lineRule="auto"/>
              <w:ind w:left="491" w:right="187" w:hanging="491"/>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Արտադրությանն ուղղված թույլտվության (առկայության դեպքում) պատճենը կամ համապատասխան լիազորված մարմնի (օրինակ՝ հարկային մարմնի) պաշտոնական փաստաթուղթը, որում հիշատակվում է նոր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w:t>
            </w:r>
          </w:p>
          <w:p w14:paraId="2F8A8794"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Եթե կիրառելի է՝ դոսյեի համապատասխան բաժնում ուղղում կատարելը, ներառյալ՝ դեղապատրաստուկի մասին վերանայված տեղեկատվությունը:</w:t>
            </w:r>
          </w:p>
        </w:tc>
      </w:tr>
      <w:tr w:rsidR="008C76E0" w:rsidRPr="003B2786" w14:paraId="0212E148" w14:textId="77777777" w:rsidTr="008C76E0">
        <w:trPr>
          <w:jc w:val="center"/>
        </w:trPr>
        <w:tc>
          <w:tcPr>
            <w:tcW w:w="4802" w:type="dxa"/>
            <w:gridSpan w:val="2"/>
            <w:tcBorders>
              <w:top w:val="single" w:sz="4" w:space="0" w:color="auto"/>
              <w:left w:val="single" w:sz="4" w:space="0" w:color="auto"/>
            </w:tcBorders>
            <w:shd w:val="clear" w:color="auto" w:fill="FFFFFF"/>
          </w:tcPr>
          <w:p w14:paraId="7B4E21E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Ա.6. ԱԲՔ ծածկագրի փոփոխությունը</w:t>
            </w:r>
          </w:p>
        </w:tc>
        <w:tc>
          <w:tcPr>
            <w:tcW w:w="1662" w:type="dxa"/>
            <w:tcBorders>
              <w:top w:val="single" w:sz="4" w:space="0" w:color="auto"/>
              <w:left w:val="single" w:sz="4" w:space="0" w:color="auto"/>
            </w:tcBorders>
            <w:shd w:val="clear" w:color="auto" w:fill="FFFFFF"/>
          </w:tcPr>
          <w:p w14:paraId="7F7689C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01909DC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24022A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426F929" w14:textId="77777777" w:rsidTr="008C76E0">
        <w:trPr>
          <w:jc w:val="center"/>
        </w:trPr>
        <w:tc>
          <w:tcPr>
            <w:tcW w:w="4802" w:type="dxa"/>
            <w:gridSpan w:val="2"/>
            <w:tcBorders>
              <w:top w:val="single" w:sz="4" w:space="0" w:color="auto"/>
              <w:left w:val="single" w:sz="4" w:space="0" w:color="auto"/>
            </w:tcBorders>
            <w:shd w:val="clear" w:color="auto" w:fill="FFFFFF"/>
          </w:tcPr>
          <w:p w14:paraId="29592F82" w14:textId="77777777" w:rsidR="008C76E0" w:rsidRPr="003B2786" w:rsidRDefault="008C76E0" w:rsidP="008C76E0">
            <w:pPr>
              <w:spacing w:after="120" w:line="240" w:lineRule="auto"/>
              <w:jc w:val="center"/>
              <w:rPr>
                <w:rFonts w:ascii="Sylfaen" w:hAnsi="Sylfaen"/>
                <w:sz w:val="24"/>
                <w:szCs w:val="24"/>
              </w:rPr>
            </w:pPr>
          </w:p>
        </w:tc>
        <w:tc>
          <w:tcPr>
            <w:tcW w:w="1662" w:type="dxa"/>
            <w:tcBorders>
              <w:top w:val="single" w:sz="4" w:space="0" w:color="auto"/>
              <w:left w:val="single" w:sz="4" w:space="0" w:color="auto"/>
            </w:tcBorders>
            <w:shd w:val="clear" w:color="auto" w:fill="FFFFFF"/>
          </w:tcPr>
          <w:p w14:paraId="5D804DB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1E32DA5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1FEDE2E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F13FC36"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66315E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Պայմանները</w:t>
            </w:r>
          </w:p>
          <w:p w14:paraId="0F0A0950" w14:textId="77777777" w:rsidR="008C76E0" w:rsidRPr="003B2786" w:rsidRDefault="008C76E0" w:rsidP="008C76E0">
            <w:pPr>
              <w:pStyle w:val="Bodytext180"/>
              <w:numPr>
                <w:ilvl w:val="0"/>
                <w:numId w:val="14"/>
              </w:numPr>
              <w:shd w:val="clear" w:color="auto" w:fill="auto"/>
              <w:spacing w:before="0" w:after="120" w:line="240" w:lineRule="auto"/>
              <w:ind w:left="633" w:hanging="633"/>
              <w:jc w:val="both"/>
              <w:rPr>
                <w:rFonts w:ascii="Sylfaen" w:hAnsi="Sylfaen"/>
                <w:b w:val="0"/>
                <w:sz w:val="24"/>
                <w:szCs w:val="24"/>
              </w:rPr>
            </w:pPr>
            <w:r w:rsidRPr="003B2786">
              <w:rPr>
                <w:rStyle w:val="Bodytext1811pt"/>
                <w:rFonts w:ascii="Sylfaen" w:hAnsi="Sylfaen"/>
                <w:sz w:val="24"/>
                <w:szCs w:val="24"/>
              </w:rPr>
              <w:t>ԱԲՔ ծածկագրի փոփոխությունը ԱՀԿ-ի կողմից հաստատման կամ փոփոխման հետ</w:t>
            </w:r>
            <w:r w:rsidR="00C54D75">
              <w:rPr>
                <w:rStyle w:val="Bodytext1811pt"/>
                <w:rFonts w:ascii="Sylfaen" w:hAnsi="Sylfaen"/>
                <w:sz w:val="24"/>
                <w:szCs w:val="24"/>
              </w:rPr>
              <w:t>և</w:t>
            </w:r>
            <w:r w:rsidRPr="003B2786">
              <w:rPr>
                <w:rStyle w:val="Bodytext1811pt"/>
                <w:rFonts w:ascii="Sylfaen" w:hAnsi="Sylfaen"/>
                <w:sz w:val="24"/>
                <w:szCs w:val="24"/>
              </w:rPr>
              <w:t>անքով</w:t>
            </w:r>
          </w:p>
        </w:tc>
      </w:tr>
      <w:tr w:rsidR="008C76E0" w:rsidRPr="003B2786" w14:paraId="2B952A34"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0CBF554C"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338087F"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Հաստատման մասին (ԱՀԿ-ի) վկայագիրը կամ ԱԲՔ ծածկագրերի ցանկի պատճենը:</w:t>
            </w:r>
          </w:p>
          <w:p w14:paraId="37AAB958"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4A7F3F5F"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vAlign w:val="bottom"/>
          </w:tcPr>
          <w:p w14:paraId="1480E070"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Ա.7.</w:t>
            </w:r>
            <w:r w:rsidRPr="003B2786">
              <w:rPr>
                <w:rStyle w:val="Bodytext1811pt"/>
                <w:rFonts w:ascii="Sylfaen" w:hAnsi="Sylfaen"/>
                <w:sz w:val="24"/>
                <w:szCs w:val="24"/>
              </w:rPr>
              <w:tab/>
              <w:t xml:space="preserve">Արտադրական հարթակի բացառումը (այդ թվում՝ ակտիվ դեղագործական բաղադրամասի, միջանկյալ արտադրանքի, դեղապատրաստուկի, փաթեթավորողի, սերիայի բացթողման </w:t>
            </w:r>
            <w:r w:rsidR="00C54D75">
              <w:rPr>
                <w:rStyle w:val="Bodytext1811pt"/>
                <w:rFonts w:ascii="Sylfaen" w:hAnsi="Sylfaen"/>
                <w:sz w:val="24"/>
                <w:szCs w:val="24"/>
              </w:rPr>
              <w:t>և</w:t>
            </w:r>
            <w:r w:rsidRPr="003B2786">
              <w:rPr>
                <w:rStyle w:val="Bodytext1811pt"/>
                <w:rFonts w:ascii="Sylfaen" w:hAnsi="Sylfaen"/>
                <w:sz w:val="24"/>
                <w:szCs w:val="24"/>
              </w:rPr>
              <w:t xml:space="preserve"> սերիաների որակի </w:t>
            </w:r>
            <w:r w:rsidRPr="003B2786">
              <w:rPr>
                <w:rStyle w:val="Bodytext1811pt"/>
                <w:rFonts w:ascii="Sylfaen" w:hAnsi="Sylfaen"/>
                <w:sz w:val="24"/>
                <w:szCs w:val="24"/>
              </w:rPr>
              <w:lastRenderedPageBreak/>
              <w:t>հսկողության համար պատասխանատու արտադրողի կամ ելանյութի, ռեակտիվի կամ օժանդակ նյութի մատակարարի համար (եթե նշված են դոսյեում))</w:t>
            </w:r>
          </w:p>
        </w:tc>
        <w:tc>
          <w:tcPr>
            <w:tcW w:w="1662" w:type="dxa"/>
            <w:tcBorders>
              <w:top w:val="single" w:sz="4" w:space="0" w:color="auto"/>
              <w:left w:val="single" w:sz="4" w:space="0" w:color="auto"/>
              <w:bottom w:val="single" w:sz="4" w:space="0" w:color="auto"/>
            </w:tcBorders>
            <w:shd w:val="clear" w:color="auto" w:fill="FFFFFF"/>
          </w:tcPr>
          <w:p w14:paraId="2F2EF07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bottom w:val="single" w:sz="4" w:space="0" w:color="auto"/>
            </w:tcBorders>
            <w:shd w:val="clear" w:color="auto" w:fill="FFFFFF"/>
          </w:tcPr>
          <w:p w14:paraId="36CC05E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4C0A843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F37EE21" w14:textId="77777777" w:rsidTr="008C76E0">
        <w:trPr>
          <w:jc w:val="center"/>
        </w:trPr>
        <w:tc>
          <w:tcPr>
            <w:tcW w:w="4802" w:type="dxa"/>
            <w:gridSpan w:val="2"/>
            <w:tcBorders>
              <w:top w:val="single" w:sz="4" w:space="0" w:color="auto"/>
              <w:left w:val="single" w:sz="4" w:space="0" w:color="auto"/>
            </w:tcBorders>
            <w:shd w:val="clear" w:color="auto" w:fill="FFFFFF"/>
          </w:tcPr>
          <w:p w14:paraId="0EAEEFFD"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683973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2017" w:type="dxa"/>
            <w:gridSpan w:val="2"/>
            <w:tcBorders>
              <w:top w:val="single" w:sz="4" w:space="0" w:color="auto"/>
              <w:left w:val="single" w:sz="4" w:space="0" w:color="auto"/>
            </w:tcBorders>
            <w:shd w:val="clear" w:color="auto" w:fill="FFFFFF"/>
          </w:tcPr>
          <w:p w14:paraId="7F12123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7351410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75A389D"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6FB719F6" w14:textId="77777777" w:rsidR="008C76E0" w:rsidRPr="008C76E0" w:rsidRDefault="008C76E0" w:rsidP="008C76E0">
            <w:pPr>
              <w:pStyle w:val="Bodytext180"/>
              <w:shd w:val="clear" w:color="auto" w:fill="auto"/>
              <w:tabs>
                <w:tab w:val="left" w:pos="557"/>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6BF87D" w14:textId="77777777" w:rsidR="008C76E0" w:rsidRPr="008C76E0" w:rsidRDefault="008C76E0" w:rsidP="008C76E0">
            <w:pPr>
              <w:pStyle w:val="Bodytext180"/>
              <w:shd w:val="clear" w:color="auto" w:fill="auto"/>
              <w:tabs>
                <w:tab w:val="left" w:pos="557"/>
                <w:tab w:val="left" w:pos="609"/>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Նախկինում հաստատված արտադրական հարթակներից (արտադրողներից) պետք է մնա առնվազն 1-ը, որն իրականացնում է այն նույն գործառույթները, ինչ որ բացառման ենթակա հարթակները: Եթե կիրառելի է, Միության շրջանակներում մնում է առնվազն մեկ արտադրող, որը պատասխանատու է սերիաների բացթողման համար </w:t>
            </w:r>
            <w:r w:rsidR="00C54D75">
              <w:rPr>
                <w:rStyle w:val="Bodytext1811pt"/>
                <w:rFonts w:ascii="Sylfaen" w:hAnsi="Sylfaen"/>
                <w:sz w:val="24"/>
                <w:szCs w:val="24"/>
              </w:rPr>
              <w:t>և</w:t>
            </w:r>
            <w:r w:rsidRPr="003B2786">
              <w:rPr>
                <w:rStyle w:val="Bodytext1811pt"/>
                <w:rFonts w:ascii="Sylfaen" w:hAnsi="Sylfaen"/>
                <w:sz w:val="24"/>
                <w:szCs w:val="24"/>
              </w:rPr>
              <w:t xml:space="preserve"> կարող է հավաստագրել արտադրանքի փորձարկումը՝ Միության շրջանակներում սերիաների բացթողման նպատակով:</w:t>
            </w:r>
          </w:p>
          <w:p w14:paraId="6F28B2A4" w14:textId="77777777" w:rsidR="008C76E0" w:rsidRPr="008C76E0" w:rsidRDefault="008C76E0" w:rsidP="008C76E0">
            <w:pPr>
              <w:pStyle w:val="Bodytext180"/>
              <w:shd w:val="clear" w:color="auto" w:fill="auto"/>
              <w:tabs>
                <w:tab w:val="left" w:pos="55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Բացառումը չպետք է լինի արտադրության կրիտիկական թերությունների հետ</w:t>
            </w:r>
            <w:r w:rsidR="00C54D75">
              <w:rPr>
                <w:rStyle w:val="Bodytext1811pt"/>
                <w:rFonts w:ascii="Sylfaen" w:hAnsi="Sylfaen"/>
                <w:sz w:val="24"/>
                <w:szCs w:val="24"/>
              </w:rPr>
              <w:t>և</w:t>
            </w:r>
            <w:r w:rsidRPr="003B2786">
              <w:rPr>
                <w:rStyle w:val="Bodytext1811pt"/>
                <w:rFonts w:ascii="Sylfaen" w:hAnsi="Sylfaen"/>
                <w:sz w:val="24"/>
                <w:szCs w:val="24"/>
              </w:rPr>
              <w:t>անք:</w:t>
            </w:r>
          </w:p>
        </w:tc>
      </w:tr>
      <w:tr w:rsidR="008C76E0" w:rsidRPr="003B2786" w14:paraId="0A1ACAEE"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2B3A9C67" w14:textId="77777777"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28EEC32" w14:textId="18415D55"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գրանցման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 xml:space="preserve">ի 2.5 բաժնում թվարկված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w:t>
            </w:r>
          </w:p>
          <w:p w14:paraId="4007E64C" w14:textId="77777777"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դեղապատրաստուկի մասին վերանայված տեղեկատվությունը:</w:t>
            </w:r>
          </w:p>
        </w:tc>
      </w:tr>
      <w:tr w:rsidR="008C76E0" w:rsidRPr="003B2786" w14:paraId="58D3346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0E7C45C" w14:textId="77777777" w:rsidR="008C76E0" w:rsidRPr="008C76E0" w:rsidRDefault="008C76E0" w:rsidP="008C76E0">
            <w:pPr>
              <w:pStyle w:val="Bodytext180"/>
              <w:shd w:val="clear" w:color="auto" w:fill="auto"/>
              <w:tabs>
                <w:tab w:val="left" w:pos="572"/>
              </w:tabs>
              <w:spacing w:before="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Ա.8.</w:t>
            </w:r>
            <w:r w:rsidRPr="003B2786">
              <w:rPr>
                <w:rStyle w:val="Bodytext1811pt"/>
                <w:rFonts w:ascii="Sylfaen" w:hAnsi="Sylfaen"/>
                <w:sz w:val="24"/>
                <w:szCs w:val="24"/>
              </w:rPr>
              <w:tab/>
              <w:t>Աուդիտի ամսաթվի փոփոխությունները՝ պատշաճ արտադրական գործունեության կանոններին ակտիվ դեղագործական բաղադրամաս արտադրողի համապատասխանության վերիֆիկացման համար</w:t>
            </w:r>
          </w:p>
        </w:tc>
        <w:tc>
          <w:tcPr>
            <w:tcW w:w="1662" w:type="dxa"/>
            <w:tcBorders>
              <w:top w:val="single" w:sz="4" w:space="0" w:color="auto"/>
              <w:left w:val="single" w:sz="4" w:space="0" w:color="auto"/>
            </w:tcBorders>
            <w:shd w:val="clear" w:color="auto" w:fill="FFFFFF"/>
          </w:tcPr>
          <w:p w14:paraId="1664C43B"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32C8D7DD"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5E0DF740"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035ACE9" w14:textId="77777777" w:rsidTr="008C76E0">
        <w:trPr>
          <w:jc w:val="center"/>
        </w:trPr>
        <w:tc>
          <w:tcPr>
            <w:tcW w:w="4802" w:type="dxa"/>
            <w:gridSpan w:val="2"/>
            <w:tcBorders>
              <w:top w:val="single" w:sz="4" w:space="0" w:color="auto"/>
              <w:left w:val="single" w:sz="4" w:space="0" w:color="auto"/>
            </w:tcBorders>
            <w:shd w:val="clear" w:color="auto" w:fill="FFFFFF"/>
          </w:tcPr>
          <w:p w14:paraId="398E51AC" w14:textId="77777777" w:rsidR="008C76E0" w:rsidRPr="003B2786" w:rsidRDefault="008C76E0" w:rsidP="008C76E0">
            <w:pPr>
              <w:spacing w:after="0" w:line="240" w:lineRule="auto"/>
              <w:ind w:right="62"/>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23E00FCC"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5CAD68E"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195F06F"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5538A73"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063757A4"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429DEC3"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Դեղապատրաստուկ արտադրողի գրավոր հաստատումը, որը նշում է պարունակում պատշաճ արտադրական գործունեության կանոններին ակտիվ դեղագործական բաղադրամասի արտադրող համապատասխանության վերիֆիկացման մասին:</w:t>
            </w:r>
          </w:p>
        </w:tc>
      </w:tr>
      <w:tr w:rsidR="008C76E0" w:rsidRPr="003B2786" w14:paraId="0C150416" w14:textId="77777777" w:rsidTr="008C76E0">
        <w:trPr>
          <w:jc w:val="center"/>
        </w:trPr>
        <w:tc>
          <w:tcPr>
            <w:tcW w:w="10313" w:type="dxa"/>
            <w:gridSpan w:val="6"/>
            <w:tcBorders>
              <w:top w:val="single" w:sz="4" w:space="0" w:color="auto"/>
            </w:tcBorders>
            <w:shd w:val="clear" w:color="auto" w:fill="FFFFFF"/>
            <w:vAlign w:val="bottom"/>
          </w:tcPr>
          <w:p w14:paraId="10F32CAE" w14:textId="77777777" w:rsidR="008C76E0" w:rsidRPr="008C76E0"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lang w:val="hy-AM"/>
              </w:rPr>
            </w:pPr>
            <w:r w:rsidRPr="003B2786">
              <w:rPr>
                <w:rStyle w:val="Bodytext1815pt"/>
                <w:rFonts w:ascii="Sylfaen" w:hAnsi="Sylfaen"/>
                <w:sz w:val="24"/>
                <w:szCs w:val="24"/>
              </w:rPr>
              <w:t xml:space="preserve">Բ. </w:t>
            </w:r>
            <w:r w:rsidRPr="003B2786">
              <w:rPr>
                <w:rStyle w:val="Bodytext1815pt"/>
                <w:rFonts w:ascii="Sylfaen" w:hAnsi="Sylfaen"/>
                <w:sz w:val="24"/>
                <w:szCs w:val="24"/>
              </w:rPr>
              <w:tab/>
              <w:t>Որակի փոփոխությունները</w:t>
            </w:r>
          </w:p>
          <w:p w14:paraId="5C05CCF3" w14:textId="77777777" w:rsidR="008C76E0" w:rsidRPr="008C76E0"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lang w:val="hy-AM"/>
              </w:rPr>
            </w:pPr>
            <w:r w:rsidRPr="003B2786">
              <w:rPr>
                <w:rStyle w:val="Bodytext1815pt"/>
                <w:rFonts w:ascii="Sylfaen" w:hAnsi="Sylfaen"/>
                <w:sz w:val="24"/>
                <w:szCs w:val="24"/>
              </w:rPr>
              <w:t>Բ.I.</w:t>
            </w:r>
            <w:r w:rsidRPr="003B2786">
              <w:rPr>
                <w:rStyle w:val="Bodytext1815pt"/>
                <w:rFonts w:ascii="Sylfaen" w:hAnsi="Sylfaen"/>
                <w:sz w:val="24"/>
                <w:szCs w:val="24"/>
              </w:rPr>
              <w:tab/>
              <w:t>Ակտիվ դեղագործական բաղադրամասը</w:t>
            </w:r>
          </w:p>
          <w:p w14:paraId="659479E4" w14:textId="77777777" w:rsidR="008C76E0" w:rsidRPr="003B2786"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rPr>
            </w:pPr>
            <w:r w:rsidRPr="003B2786">
              <w:rPr>
                <w:rStyle w:val="Bodytext1815pt"/>
                <w:rFonts w:ascii="Sylfaen" w:hAnsi="Sylfaen"/>
                <w:sz w:val="24"/>
                <w:szCs w:val="24"/>
              </w:rPr>
              <w:t>Բ.I.</w:t>
            </w:r>
            <w:r w:rsidRPr="003B2786">
              <w:rPr>
                <w:rStyle w:val="Bodytext1815pt"/>
                <w:rFonts w:ascii="Sylfaen" w:hAnsi="Sylfaen"/>
                <w:sz w:val="24"/>
                <w:szCs w:val="24"/>
              </w:rPr>
              <w:tab/>
              <w:t>ա)</w:t>
            </w:r>
            <w:r w:rsidRPr="003B2786">
              <w:rPr>
                <w:rStyle w:val="Bodytext1815pt"/>
                <w:rFonts w:ascii="Sylfaen" w:hAnsi="Sylfaen"/>
                <w:sz w:val="24"/>
                <w:szCs w:val="24"/>
              </w:rPr>
              <w:tab/>
              <w:t>Արտադրությունը</w:t>
            </w:r>
          </w:p>
        </w:tc>
      </w:tr>
      <w:tr w:rsidR="008C76E0" w:rsidRPr="003B2786" w14:paraId="60E1004F"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D4A74D2" w14:textId="77777777" w:rsidR="008C76E0" w:rsidRPr="008C76E0" w:rsidRDefault="008C76E0" w:rsidP="008C76E0">
            <w:pPr>
              <w:pStyle w:val="Bodytext180"/>
              <w:shd w:val="clear" w:color="auto" w:fill="auto"/>
              <w:tabs>
                <w:tab w:val="left" w:pos="67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w:t>
            </w:r>
            <w:r w:rsidRPr="003B2786">
              <w:rPr>
                <w:rStyle w:val="Bodytext1811pt"/>
                <w:rFonts w:ascii="Sylfaen" w:hAnsi="Sylfaen"/>
                <w:sz w:val="24"/>
                <w:szCs w:val="24"/>
              </w:rPr>
              <w:tab/>
              <w:t>ա.1.</w:t>
            </w:r>
            <w:r w:rsidRPr="003B2786">
              <w:rPr>
                <w:rStyle w:val="Bodytext1811pt"/>
                <w:rFonts w:ascii="Sylfaen" w:hAnsi="Sylfaen"/>
                <w:sz w:val="24"/>
                <w:szCs w:val="24"/>
              </w:rPr>
              <w:tab/>
              <w:t xml:space="preserve">Ակտիվ դեղագործական բաղադրամասի արտադրության գործընթացում օգտագործվող ելանյութ (ռեակտիվի, միջանկյալ արտադրանք) արտադրողի փոփոխությունը կամ ակտիվ դեղագործական բաղադրամաս արտադրողի (ներառյալ, եթե կիրառելի են, </w:t>
            </w:r>
            <w:r w:rsidRPr="003B2786">
              <w:rPr>
                <w:rStyle w:val="Bodytext1811pt"/>
                <w:rFonts w:ascii="Sylfaen" w:hAnsi="Sylfaen"/>
                <w:sz w:val="24"/>
                <w:szCs w:val="24"/>
              </w:rPr>
              <w:lastRenderedPageBreak/>
              <w:t>ակտիվ դեղագործական բաղադրամասի որակի հսկողության հարթակների) փոփոխությունը, եթե գրանցման դոսյեում բացակայում է Եվրոպական դեղագրքին համապատասխանության սերտիֆիկատը:</w:t>
            </w:r>
          </w:p>
        </w:tc>
        <w:tc>
          <w:tcPr>
            <w:tcW w:w="1662" w:type="dxa"/>
            <w:tcBorders>
              <w:top w:val="single" w:sz="4" w:space="0" w:color="auto"/>
              <w:left w:val="single" w:sz="4" w:space="0" w:color="auto"/>
            </w:tcBorders>
            <w:shd w:val="clear" w:color="auto" w:fill="FFFFFF"/>
          </w:tcPr>
          <w:p w14:paraId="4C7051F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tcBorders>
            <w:shd w:val="clear" w:color="auto" w:fill="FFFFFF"/>
          </w:tcPr>
          <w:p w14:paraId="0C04402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1A1CE09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DA456E6"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2D5AF6A"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առաջարկվող արտադրողը պատկանում է մի</w:t>
            </w:r>
            <w:r w:rsidR="00C54D75">
              <w:rPr>
                <w:rStyle w:val="Bodytext1811pt"/>
                <w:rFonts w:ascii="Sylfaen" w:hAnsi="Sylfaen"/>
                <w:sz w:val="24"/>
                <w:szCs w:val="24"/>
              </w:rPr>
              <w:t>և</w:t>
            </w:r>
            <w:r w:rsidRPr="003B2786">
              <w:rPr>
                <w:rStyle w:val="Bodytext1811pt"/>
                <w:rFonts w:ascii="Sylfaen" w:hAnsi="Sylfaen"/>
                <w:sz w:val="24"/>
                <w:szCs w:val="24"/>
              </w:rPr>
              <w:t>նույն դեղագործական խմբին, ինչ որ հաստատված արտադրողը</w:t>
            </w:r>
          </w:p>
        </w:tc>
        <w:tc>
          <w:tcPr>
            <w:tcW w:w="1662" w:type="dxa"/>
            <w:tcBorders>
              <w:top w:val="single" w:sz="4" w:space="0" w:color="auto"/>
              <w:left w:val="single" w:sz="4" w:space="0" w:color="auto"/>
            </w:tcBorders>
            <w:shd w:val="clear" w:color="auto" w:fill="FFFFFF"/>
          </w:tcPr>
          <w:p w14:paraId="4AB751B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017" w:type="dxa"/>
            <w:gridSpan w:val="2"/>
            <w:tcBorders>
              <w:top w:val="single" w:sz="4" w:space="0" w:color="auto"/>
              <w:left w:val="single" w:sz="4" w:space="0" w:color="auto"/>
            </w:tcBorders>
            <w:shd w:val="clear" w:color="auto" w:fill="FFFFFF"/>
          </w:tcPr>
          <w:p w14:paraId="75C7D6D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w:t>
            </w:r>
          </w:p>
        </w:tc>
        <w:tc>
          <w:tcPr>
            <w:tcW w:w="1832" w:type="dxa"/>
            <w:tcBorders>
              <w:top w:val="single" w:sz="4" w:space="0" w:color="auto"/>
              <w:left w:val="single" w:sz="4" w:space="0" w:color="auto"/>
              <w:right w:val="single" w:sz="4" w:space="0" w:color="auto"/>
            </w:tcBorders>
            <w:shd w:val="clear" w:color="auto" w:fill="FFFFFF"/>
          </w:tcPr>
          <w:p w14:paraId="0E8ACB4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73ABFE9" w14:textId="77777777" w:rsidTr="008C76E0">
        <w:trPr>
          <w:jc w:val="center"/>
        </w:trPr>
        <w:tc>
          <w:tcPr>
            <w:tcW w:w="4802" w:type="dxa"/>
            <w:gridSpan w:val="2"/>
            <w:tcBorders>
              <w:top w:val="single" w:sz="4" w:space="0" w:color="auto"/>
              <w:left w:val="single" w:sz="4" w:space="0" w:color="auto"/>
            </w:tcBorders>
            <w:shd w:val="clear" w:color="auto" w:fill="FFFFFF"/>
          </w:tcPr>
          <w:p w14:paraId="24A6B10A"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ԱԴԲՄՖ-ով հիմնավորված ակտիվ դեղագործական բաղադրամասի նոր արտադրող ավելացնելը</w:t>
            </w:r>
          </w:p>
        </w:tc>
        <w:tc>
          <w:tcPr>
            <w:tcW w:w="1662" w:type="dxa"/>
            <w:tcBorders>
              <w:top w:val="single" w:sz="4" w:space="0" w:color="auto"/>
              <w:left w:val="single" w:sz="4" w:space="0" w:color="auto"/>
            </w:tcBorders>
            <w:shd w:val="clear" w:color="auto" w:fill="FFFFFF"/>
          </w:tcPr>
          <w:p w14:paraId="29E28D4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3536D1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28C9B9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795355B"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vAlign w:val="bottom"/>
          </w:tcPr>
          <w:p w14:paraId="33E11A5F"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առաջարկվող արտադրողն օգտագործում է սինթեզման կտրուկ տարբերվող եղանակ կամ արտադրության այնպիսի պայմաններ, որոնք կարող են փոփոխել ակտիվ դեղագործական բաղադրամասի որակի այնպիսի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ցուցանիշներ, ինչպիսիք են խառնուկների՝ որակավորում պահանջող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պրոֆիլը կամ կենսամատչելիության վրա ազդող ֆիզիկաքիմիական հատկությունները</w:t>
            </w:r>
          </w:p>
        </w:tc>
        <w:tc>
          <w:tcPr>
            <w:tcW w:w="1662" w:type="dxa"/>
            <w:tcBorders>
              <w:top w:val="single" w:sz="4" w:space="0" w:color="auto"/>
              <w:left w:val="single" w:sz="4" w:space="0" w:color="auto"/>
              <w:bottom w:val="single" w:sz="4" w:space="0" w:color="auto"/>
            </w:tcBorders>
            <w:shd w:val="clear" w:color="auto" w:fill="FFFFFF"/>
          </w:tcPr>
          <w:p w14:paraId="5DBD885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bottom w:val="single" w:sz="4" w:space="0" w:color="auto"/>
            </w:tcBorders>
            <w:shd w:val="clear" w:color="auto" w:fill="FFFFFF"/>
          </w:tcPr>
          <w:p w14:paraId="4B24B6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5A750D8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A93750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22CD62D"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վիրուսային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ՏՍԷ-ի ռիսկի գնահատում պահանջող նյութի նոր արտադրողը</w:t>
            </w:r>
          </w:p>
        </w:tc>
        <w:tc>
          <w:tcPr>
            <w:tcW w:w="1662" w:type="dxa"/>
            <w:tcBorders>
              <w:top w:val="single" w:sz="4" w:space="0" w:color="auto"/>
              <w:left w:val="single" w:sz="4" w:space="0" w:color="auto"/>
            </w:tcBorders>
            <w:shd w:val="clear" w:color="auto" w:fill="FFFFFF"/>
          </w:tcPr>
          <w:p w14:paraId="5D21485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0E0790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1E9022C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C487F0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25FD589F"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փոփոխությունը վերաբերում է կենսաբանական ակտիվ դեղագործական բաղադրամասին կամ կենսաբանական (իմունաբանական) դեղապատրաստուկի արտադրության մեջ օգտագործվող ելանյութին (ռեակտիվին, միջանկյալ արտադրանքին)</w:t>
            </w:r>
          </w:p>
        </w:tc>
        <w:tc>
          <w:tcPr>
            <w:tcW w:w="1662" w:type="dxa"/>
            <w:tcBorders>
              <w:top w:val="single" w:sz="4" w:space="0" w:color="auto"/>
              <w:left w:val="single" w:sz="4" w:space="0" w:color="auto"/>
            </w:tcBorders>
            <w:shd w:val="clear" w:color="auto" w:fill="FFFFFF"/>
          </w:tcPr>
          <w:p w14:paraId="033DA5C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F0C96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0F1189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76FE226" w14:textId="77777777" w:rsidTr="008C76E0">
        <w:trPr>
          <w:trHeight w:val="2177"/>
          <w:jc w:val="center"/>
        </w:trPr>
        <w:tc>
          <w:tcPr>
            <w:tcW w:w="4802" w:type="dxa"/>
            <w:gridSpan w:val="2"/>
            <w:tcBorders>
              <w:top w:val="single" w:sz="4" w:space="0" w:color="auto"/>
              <w:left w:val="single" w:sz="4" w:space="0" w:color="auto"/>
            </w:tcBorders>
            <w:shd w:val="clear" w:color="auto" w:fill="FFFFFF"/>
            <w:vAlign w:val="bottom"/>
          </w:tcPr>
          <w:p w14:paraId="143D9E76" w14:textId="77777777" w:rsidR="008C76E0" w:rsidRPr="008C76E0" w:rsidRDefault="008C76E0" w:rsidP="008C76E0">
            <w:pPr>
              <w:pStyle w:val="Bodytext180"/>
              <w:shd w:val="clear" w:color="auto" w:fill="auto"/>
              <w:tabs>
                <w:tab w:val="left" w:pos="602"/>
              </w:tabs>
              <w:spacing w:before="0" w:after="120" w:line="240" w:lineRule="auto"/>
              <w:ind w:left="40" w:right="62"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ակտիվ դեղագործական բաղադրամասի որակի հսկողության կարգի փոփոխությունը. այն հարթակի փոխարինումը կամ ավելացումը, որտեղ իրականացվում է սերիաների հսկողությունը (փորձարկումը)</w:t>
            </w:r>
          </w:p>
        </w:tc>
        <w:tc>
          <w:tcPr>
            <w:tcW w:w="1662" w:type="dxa"/>
            <w:tcBorders>
              <w:top w:val="single" w:sz="4" w:space="0" w:color="auto"/>
              <w:left w:val="single" w:sz="4" w:space="0" w:color="auto"/>
            </w:tcBorders>
            <w:shd w:val="clear" w:color="auto" w:fill="FFFFFF"/>
          </w:tcPr>
          <w:p w14:paraId="1AF4DED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2, 4</w:t>
            </w:r>
          </w:p>
        </w:tc>
        <w:tc>
          <w:tcPr>
            <w:tcW w:w="2017" w:type="dxa"/>
            <w:gridSpan w:val="2"/>
            <w:tcBorders>
              <w:top w:val="single" w:sz="4" w:space="0" w:color="auto"/>
              <w:left w:val="single" w:sz="4" w:space="0" w:color="auto"/>
            </w:tcBorders>
            <w:shd w:val="clear" w:color="auto" w:fill="FFFFFF"/>
          </w:tcPr>
          <w:p w14:paraId="3F1502D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1, 5</w:t>
            </w:r>
          </w:p>
        </w:tc>
        <w:tc>
          <w:tcPr>
            <w:tcW w:w="1832" w:type="dxa"/>
            <w:tcBorders>
              <w:top w:val="single" w:sz="4" w:space="0" w:color="auto"/>
              <w:left w:val="single" w:sz="4" w:space="0" w:color="auto"/>
              <w:right w:val="single" w:sz="4" w:space="0" w:color="auto"/>
            </w:tcBorders>
            <w:shd w:val="clear" w:color="auto" w:fill="FFFFFF"/>
          </w:tcPr>
          <w:p w14:paraId="241AE92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67F2EFD"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A43A93D" w14:textId="77777777" w:rsidR="008C76E0" w:rsidRPr="008C76E0" w:rsidRDefault="008C76E0" w:rsidP="008C76E0">
            <w:pPr>
              <w:pStyle w:val="Bodytext180"/>
              <w:shd w:val="clear" w:color="auto" w:fill="auto"/>
              <w:tabs>
                <w:tab w:val="left" w:pos="602"/>
              </w:tabs>
              <w:spacing w:before="0" w:after="120" w:line="240" w:lineRule="auto"/>
              <w:ind w:left="40" w:right="62" w:firstLine="0"/>
              <w:jc w:val="both"/>
              <w:rPr>
                <w:rFonts w:ascii="Sylfaen" w:hAnsi="Sylfaen"/>
                <w:b w:val="0"/>
                <w:sz w:val="24"/>
                <w:szCs w:val="24"/>
                <w:lang w:val="hy-AM"/>
              </w:rPr>
            </w:pPr>
            <w:r w:rsidRPr="003B2786">
              <w:rPr>
                <w:rStyle w:val="Bodytext1811pt"/>
                <w:rFonts w:ascii="Sylfaen" w:hAnsi="Sylfaen"/>
                <w:sz w:val="24"/>
                <w:szCs w:val="24"/>
              </w:rPr>
              <w:t>է)</w:t>
            </w:r>
            <w:r w:rsidRPr="003B2786">
              <w:rPr>
                <w:rStyle w:val="Bodytext1811pt"/>
                <w:rFonts w:ascii="Sylfaen" w:hAnsi="Sylfaen"/>
                <w:sz w:val="24"/>
                <w:szCs w:val="24"/>
              </w:rPr>
              <w:tab/>
              <w:t xml:space="preserve">ակտիվ դեղագործական բաղադրամասի նոր արտադրողի </w:t>
            </w:r>
            <w:r w:rsidRPr="003B2786">
              <w:rPr>
                <w:rStyle w:val="Bodytext1811pt"/>
                <w:rFonts w:ascii="Sylfaen" w:hAnsi="Sylfaen"/>
                <w:sz w:val="24"/>
                <w:szCs w:val="24"/>
              </w:rPr>
              <w:lastRenderedPageBreak/>
              <w:t xml:space="preserve">ավելացումը, որը չունի ԱԴԲՄՖ, </w:t>
            </w:r>
            <w:r w:rsidR="00C54D75">
              <w:rPr>
                <w:rStyle w:val="Bodytext1811pt"/>
                <w:rFonts w:ascii="Sylfaen" w:hAnsi="Sylfaen"/>
                <w:sz w:val="24"/>
                <w:szCs w:val="24"/>
              </w:rPr>
              <w:t>և</w:t>
            </w:r>
            <w:r w:rsidRPr="003B2786">
              <w:rPr>
                <w:rStyle w:val="Bodytext1811pt"/>
                <w:rFonts w:ascii="Sylfaen" w:hAnsi="Sylfaen"/>
                <w:sz w:val="24"/>
                <w:szCs w:val="24"/>
              </w:rPr>
              <w:t xml:space="preserve"> որի մասով պահանջվում է դոսյեի ակտիվ դեղագործական բաղադրամասին վերաբերող համապատասխան բաժնի էական թարմացում</w:t>
            </w:r>
          </w:p>
        </w:tc>
        <w:tc>
          <w:tcPr>
            <w:tcW w:w="1662" w:type="dxa"/>
            <w:tcBorders>
              <w:top w:val="single" w:sz="4" w:space="0" w:color="auto"/>
              <w:left w:val="single" w:sz="4" w:space="0" w:color="auto"/>
            </w:tcBorders>
            <w:shd w:val="clear" w:color="auto" w:fill="FFFFFF"/>
          </w:tcPr>
          <w:p w14:paraId="70C0766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17" w:type="dxa"/>
            <w:gridSpan w:val="2"/>
            <w:tcBorders>
              <w:top w:val="single" w:sz="4" w:space="0" w:color="auto"/>
              <w:left w:val="single" w:sz="4" w:space="0" w:color="auto"/>
            </w:tcBorders>
            <w:shd w:val="clear" w:color="auto" w:fill="FFFFFF"/>
          </w:tcPr>
          <w:p w14:paraId="228B472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43669A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6A2453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83A7029"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r>
            <w:r w:rsidRPr="003B2786">
              <w:rPr>
                <w:rStyle w:val="Bodytext1811pt"/>
                <w:rFonts w:ascii="Sylfaen" w:hAnsi="Sylfaen"/>
                <w:spacing w:val="4"/>
                <w:sz w:val="24"/>
                <w:szCs w:val="24"/>
              </w:rPr>
              <w:t>Միության դեղագրքի մեթոդի կիրառմամբ ակտիվ դեղագործական բաղադրամասի մանրէազերծման այլընտրանքային հարթակի ընդգրկումը</w:t>
            </w:r>
          </w:p>
        </w:tc>
        <w:tc>
          <w:tcPr>
            <w:tcW w:w="1662" w:type="dxa"/>
            <w:tcBorders>
              <w:top w:val="single" w:sz="4" w:space="0" w:color="auto"/>
              <w:left w:val="single" w:sz="4" w:space="0" w:color="auto"/>
            </w:tcBorders>
            <w:shd w:val="clear" w:color="auto" w:fill="FFFFFF"/>
          </w:tcPr>
          <w:p w14:paraId="14ED9C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AABF29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1, 2, 4, 5, 8</w:t>
            </w:r>
          </w:p>
        </w:tc>
        <w:tc>
          <w:tcPr>
            <w:tcW w:w="1832" w:type="dxa"/>
            <w:tcBorders>
              <w:top w:val="single" w:sz="4" w:space="0" w:color="auto"/>
              <w:left w:val="single" w:sz="4" w:space="0" w:color="auto"/>
              <w:right w:val="single" w:sz="4" w:space="0" w:color="auto"/>
            </w:tcBorders>
            <w:shd w:val="clear" w:color="auto" w:fill="FFFFFF"/>
          </w:tcPr>
          <w:p w14:paraId="3187826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84F8AA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A4637BC"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թ)</w:t>
            </w:r>
            <w:r w:rsidRPr="003B2786">
              <w:rPr>
                <w:rStyle w:val="Bodytext1811pt"/>
                <w:rFonts w:ascii="Sylfaen" w:hAnsi="Sylfaen"/>
                <w:sz w:val="24"/>
                <w:szCs w:val="24"/>
              </w:rPr>
              <w:tab/>
              <w:t>միկրոնիզացման նոր հարթակի ավելացումը</w:t>
            </w:r>
          </w:p>
        </w:tc>
        <w:tc>
          <w:tcPr>
            <w:tcW w:w="1662" w:type="dxa"/>
            <w:tcBorders>
              <w:top w:val="single" w:sz="4" w:space="0" w:color="auto"/>
              <w:left w:val="single" w:sz="4" w:space="0" w:color="auto"/>
            </w:tcBorders>
            <w:shd w:val="clear" w:color="auto" w:fill="FFFFFF"/>
          </w:tcPr>
          <w:p w14:paraId="42D4D8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2, 5</w:t>
            </w:r>
          </w:p>
        </w:tc>
        <w:tc>
          <w:tcPr>
            <w:tcW w:w="2017" w:type="dxa"/>
            <w:gridSpan w:val="2"/>
            <w:tcBorders>
              <w:top w:val="single" w:sz="4" w:space="0" w:color="auto"/>
              <w:left w:val="single" w:sz="4" w:space="0" w:color="auto"/>
            </w:tcBorders>
            <w:shd w:val="clear" w:color="auto" w:fill="FFFFFF"/>
          </w:tcPr>
          <w:p w14:paraId="7A77F3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1, 4, 5, 6</w:t>
            </w:r>
          </w:p>
        </w:tc>
        <w:tc>
          <w:tcPr>
            <w:tcW w:w="1832" w:type="dxa"/>
            <w:tcBorders>
              <w:top w:val="single" w:sz="4" w:space="0" w:color="auto"/>
              <w:left w:val="single" w:sz="4" w:space="0" w:color="auto"/>
              <w:right w:val="single" w:sz="4" w:space="0" w:color="auto"/>
            </w:tcBorders>
            <w:shd w:val="clear" w:color="auto" w:fill="FFFFFF"/>
          </w:tcPr>
          <w:p w14:paraId="66D8700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36528BB"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E86D9AC"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ժ)</w:t>
            </w:r>
            <w:r w:rsidRPr="003B2786">
              <w:rPr>
                <w:rStyle w:val="Bodytext1811pt"/>
                <w:rFonts w:ascii="Sylfaen" w:hAnsi="Sylfaen"/>
                <w:sz w:val="24"/>
                <w:szCs w:val="24"/>
              </w:rPr>
              <w:tab/>
              <w:t>կենսաբանական ակտիվ դեղագործական բաղադրամասի որակի հսկողության մասով փորձարկումների վերաբերյալ համաձայնությունների փոփոխությունները, այն հարթակի փոխարինումը կամ ընդգրկումը, որտեղ իրականացվում է սերիաների հսկողությունը (փորձարկումները), ներառյալ՝ կենսաբանական (իմունաբանական, իմունաքիմիական) մեթոդը</w:t>
            </w:r>
          </w:p>
        </w:tc>
        <w:tc>
          <w:tcPr>
            <w:tcW w:w="1662" w:type="dxa"/>
            <w:tcBorders>
              <w:top w:val="single" w:sz="4" w:space="0" w:color="auto"/>
              <w:left w:val="single" w:sz="4" w:space="0" w:color="auto"/>
            </w:tcBorders>
            <w:shd w:val="clear" w:color="auto" w:fill="FFFFFF"/>
          </w:tcPr>
          <w:p w14:paraId="56596D6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3FC610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2C7519A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7AF6F33"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7AD84F58" w14:textId="77777777" w:rsidR="008C76E0" w:rsidRPr="008C76E0" w:rsidRDefault="008C76E0" w:rsidP="008C76E0">
            <w:pPr>
              <w:pStyle w:val="Bodytext180"/>
              <w:shd w:val="clear" w:color="auto" w:fill="auto"/>
              <w:tabs>
                <w:tab w:val="left" w:pos="55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ժա)</w:t>
            </w:r>
            <w:r w:rsidRPr="003B2786">
              <w:rPr>
                <w:rStyle w:val="Bodytext1811pt"/>
                <w:rFonts w:ascii="Sylfaen" w:hAnsi="Sylfaen"/>
                <w:sz w:val="24"/>
                <w:szCs w:val="24"/>
              </w:rPr>
              <w:tab/>
              <w:t xml:space="preserve">բջիջների գլխավոր բանկի </w:t>
            </w:r>
            <w:r w:rsidR="00C54D75">
              <w:rPr>
                <w:rStyle w:val="Bodytext1811pt"/>
                <w:rFonts w:ascii="Sylfaen" w:hAnsi="Sylfaen"/>
                <w:sz w:val="24"/>
                <w:szCs w:val="24"/>
              </w:rPr>
              <w:t>և</w:t>
            </w:r>
            <w:r w:rsidRPr="003B2786">
              <w:rPr>
                <w:rStyle w:val="Bodytext1811pt"/>
                <w:rFonts w:ascii="Sylfaen" w:hAnsi="Sylfaen"/>
                <w:sz w:val="24"/>
                <w:szCs w:val="24"/>
              </w:rPr>
              <w:t xml:space="preserve"> (կամ) բջիջների աշխատանքային բանկերի պահպանման նոր հարթակը</w:t>
            </w:r>
          </w:p>
        </w:tc>
        <w:tc>
          <w:tcPr>
            <w:tcW w:w="1662" w:type="dxa"/>
            <w:tcBorders>
              <w:top w:val="single" w:sz="4" w:space="0" w:color="auto"/>
              <w:left w:val="single" w:sz="4" w:space="0" w:color="auto"/>
            </w:tcBorders>
            <w:shd w:val="clear" w:color="auto" w:fill="FFFFFF"/>
          </w:tcPr>
          <w:p w14:paraId="5768D2C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B6A5C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1, 5</w:t>
            </w:r>
          </w:p>
        </w:tc>
        <w:tc>
          <w:tcPr>
            <w:tcW w:w="1832" w:type="dxa"/>
            <w:tcBorders>
              <w:top w:val="single" w:sz="4" w:space="0" w:color="auto"/>
              <w:left w:val="single" w:sz="4" w:space="0" w:color="auto"/>
              <w:right w:val="single" w:sz="4" w:space="0" w:color="auto"/>
            </w:tcBorders>
            <w:shd w:val="clear" w:color="auto" w:fill="FFFFFF"/>
          </w:tcPr>
          <w:p w14:paraId="6A7DD05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F5EF5DD"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2049FB8E" w14:textId="77777777" w:rsidR="008C76E0" w:rsidRPr="003B2786"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rPr>
            </w:pPr>
            <w:r w:rsidRPr="003B2786">
              <w:rPr>
                <w:rStyle w:val="Bodytext1811pt"/>
                <w:rFonts w:ascii="Sylfaen" w:hAnsi="Sylfaen"/>
                <w:sz w:val="24"/>
                <w:szCs w:val="24"/>
              </w:rPr>
              <w:t>Պայմանները</w:t>
            </w:r>
          </w:p>
          <w:p w14:paraId="51442C29" w14:textId="77777777" w:rsidR="008C76E0" w:rsidRPr="003B2786" w:rsidRDefault="008C76E0" w:rsidP="008C76E0">
            <w:pPr>
              <w:pStyle w:val="Bodytext180"/>
              <w:numPr>
                <w:ilvl w:val="0"/>
                <w:numId w:val="15"/>
              </w:numPr>
              <w:shd w:val="clear" w:color="auto" w:fill="auto"/>
              <w:tabs>
                <w:tab w:val="left" w:pos="572"/>
              </w:tabs>
              <w:spacing w:before="0" w:after="120" w:line="240" w:lineRule="auto"/>
              <w:ind w:left="40" w:right="187" w:firstLine="0"/>
              <w:jc w:val="both"/>
              <w:rPr>
                <w:rFonts w:ascii="Sylfaen" w:hAnsi="Sylfaen"/>
                <w:b w:val="0"/>
                <w:sz w:val="24"/>
                <w:szCs w:val="24"/>
              </w:rPr>
            </w:pPr>
            <w:r w:rsidRPr="003B2786">
              <w:rPr>
                <w:rStyle w:val="Bodytext1811pt"/>
                <w:rFonts w:ascii="Sylfaen" w:hAnsi="Sylfaen"/>
                <w:sz w:val="24"/>
                <w:szCs w:val="24"/>
              </w:rPr>
              <w:t xml:space="preserve">Ելանյութերի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ռեակտիվների մասնագրերը (ներառյալ՝ ներարտադրական հսկողությունները, բոլոր նյութերի վերլուծության մեթոդները) նույնական են նախկինում հաստատվածների հետ: Մասնագրերը (ներառյալ՝ ներարտադրական հսկողությունը, բոլոր նյութերի վերլուծության մեթոդները), պատրաստման եղանակները (ներառյալ`սերիայի չափը)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ակտիվ դեղագործական բաղադրամասերի սինթեզման մանրամասն եղանակը նույնական են նախկինում հաստատվածների հետ:</w:t>
            </w:r>
          </w:p>
        </w:tc>
      </w:tr>
      <w:tr w:rsidR="008C76E0" w:rsidRPr="003B2786" w14:paraId="0E400802"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390AF860"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կամ մանրէազերծ չէ:</w:t>
            </w:r>
          </w:p>
          <w:p w14:paraId="74E75396"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Եթե արտադրության գործընթացում օգտագործվում են մարդկային կամ կենդանական ծագման նյութեր, արտադրողը չի ընդգրկում նոր մատակարար, որի առնչությամբ պահանջվում է վիրուսային անվտանգության գնահատում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համապատասխանություն Միության դեղագրքին՝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մասով:</w:t>
            </w:r>
          </w:p>
          <w:p w14:paraId="697EA417"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lastRenderedPageBreak/>
              <w:t>4.</w:t>
            </w:r>
            <w:r w:rsidRPr="008C76E0">
              <w:rPr>
                <w:rFonts w:ascii="Sylfaen" w:hAnsi="Sylfaen"/>
                <w:b w:val="0"/>
                <w:sz w:val="24"/>
                <w:szCs w:val="24"/>
                <w:lang w:val="hy-AM"/>
              </w:rPr>
              <w:tab/>
            </w:r>
            <w:r w:rsidRPr="003B2786">
              <w:rPr>
                <w:rStyle w:val="Bodytext1811pt"/>
                <w:rFonts w:ascii="Sylfaen" w:hAnsi="Sylfaen"/>
                <w:sz w:val="24"/>
                <w:szCs w:val="24"/>
              </w:rPr>
              <w:t>Մեթոդի փոխանցումը հին հարթակից նորին կատարվել է հաջողությամբ:</w:t>
            </w:r>
          </w:p>
          <w:p w14:paraId="3A69F746"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մասնիկների չափերին վերաբերող մասնագիրը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 վերլուծական մեթոդը չեն փոփոխվում:</w:t>
            </w:r>
          </w:p>
        </w:tc>
      </w:tr>
      <w:tr w:rsidR="008C76E0" w:rsidRPr="003B2786" w14:paraId="4E5B81D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497FE475" w14:textId="77777777" w:rsidR="008C76E0" w:rsidRPr="006D1911" w:rsidRDefault="008C76E0" w:rsidP="008C76E0">
            <w:pPr>
              <w:pStyle w:val="Bodytext180"/>
              <w:shd w:val="clear" w:color="auto" w:fill="auto"/>
              <w:tabs>
                <w:tab w:val="left" w:pos="572"/>
              </w:tabs>
              <w:spacing w:before="0" w:after="120" w:line="240" w:lineRule="auto"/>
              <w:ind w:left="41" w:right="187" w:firstLine="0"/>
              <w:jc w:val="both"/>
              <w:rPr>
                <w:rStyle w:val="Bodytext1811pt"/>
                <w:rFonts w:ascii="Sylfaen" w:hAnsi="Sylfaen"/>
                <w:sz w:val="24"/>
                <w:szCs w:val="24"/>
              </w:rPr>
            </w:pPr>
          </w:p>
          <w:p w14:paraId="4A6C2B07"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BB932C"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pacing w:val="-4"/>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pacing w:val="-4"/>
                <w:sz w:val="24"/>
                <w:szCs w:val="24"/>
              </w:rPr>
              <w:t>Դոսյեի համապատասխան բաժնում (բաժիններում) ուղղում կատարելը, եթե կիրառելի է:</w:t>
            </w:r>
          </w:p>
          <w:p w14:paraId="6109BA7A" w14:textId="68A0C30E"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սինթեզման եղանակի որակի հսկողության ընթացակարգերը (կամ (համապատասխանաբար) դեղաբուսական պատրաստուկների համար՝ պատրաստման մեթոդի, աշխարհագրական աղբյուրի, բուսական դեղագործական բաղադրամասի արտադրության)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ելանյութի (ռեակտիվի, միջանկյալ արտադրանքի) մասնագրերը ակտիվ դեղագործական բաղադրամասի արտադրության գործընթացում (եթե կիրառելի է) չեն տարբերվում նախկինում հաստատվածներից:</w:t>
            </w:r>
          </w:p>
          <w:p w14:paraId="4D43BCB3"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Կա՛մ նյութի ցանկացած նոր աղբյուրի համար ՏՍԷ-ի մասով Եվրոպական դեղագրքին համապատասխանության սերտիֆիկատը, կա՛մ (եթե կիրառելի է) փաստաթղթային հավաստումն առ այն, որ ՏՍԷ-ի ռիսկի ենթարկված նյութի աղբյուրը նախկինում հետազոտվել է լիազորված մարմնի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է դրա համապատասխանությունը Միության դեղագրքին՝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մասով: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այն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որոնցից ստացվել է նյութը, կենդանիների ծագման երկիրը, անցյալում նյութի օգտագործումն ու ընդունելիությունը:</w:t>
            </w:r>
          </w:p>
          <w:p w14:paraId="3AAB0BD3"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արտադրողներից (հարթակներից) ակտիվ դեղագործական բաղադրամասի սերիաների, առնվազն երկու սերիայի (առնվազն փորձարարաարդյունաբերական)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4EF16D9A"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ինչպես նշված է դիմումի ձ</w:t>
            </w:r>
            <w:r w:rsidR="00C54D75">
              <w:rPr>
                <w:rStyle w:val="Bodytext1811pt"/>
                <w:rFonts w:ascii="Sylfaen" w:hAnsi="Sylfaen"/>
                <w:sz w:val="24"/>
                <w:szCs w:val="24"/>
              </w:rPr>
              <w:t>և</w:t>
            </w:r>
            <w:r w:rsidRPr="003B2786">
              <w:rPr>
                <w:rStyle w:val="Bodytext1811pt"/>
                <w:rFonts w:ascii="Sylfaen" w:hAnsi="Sylfaen"/>
                <w:sz w:val="24"/>
                <w:szCs w:val="24"/>
              </w:rPr>
              <w:t>ի 2.5 բաժնում:</w:t>
            </w:r>
          </w:p>
          <w:p w14:paraId="1F067F85" w14:textId="54B105B4"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Եթե ակտիվ դեղագործական բաղադրամասն օգտագործվում է որպես ելանյութ, դիմումի մեջ նշված՝ արտադրության լիցենզիայի յուրաքանչյուր իրավատիրոջ որակավորված անձի (ՈԱ) </w:t>
            </w:r>
            <w:r w:rsidR="00C54D75">
              <w:rPr>
                <w:rStyle w:val="Bodytext1811pt"/>
                <w:rFonts w:ascii="Sylfaen" w:hAnsi="Sylfaen"/>
                <w:sz w:val="24"/>
                <w:szCs w:val="24"/>
              </w:rPr>
              <w:t>և</w:t>
            </w:r>
            <w:r w:rsidRPr="003B2786">
              <w:rPr>
                <w:rStyle w:val="Bodytext1811pt"/>
                <w:rFonts w:ascii="Sylfaen" w:hAnsi="Sylfaen"/>
                <w:sz w:val="24"/>
                <w:szCs w:val="24"/>
              </w:rPr>
              <w:t xml:space="preserve"> դիմումի մեջ որպես սերիաների բացթողման համար պատասխանատու նշված՝ արտադրության լիցենզիայի յուրաքանչյուր իրավատիրոջ որակավորված անձի (ՈԱ)</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w:t>
            </w:r>
            <w:r w:rsidR="0085119E">
              <w:rPr>
                <w:rStyle w:val="Bodytext1811pt"/>
                <w:rFonts w:ascii="Sylfaen" w:hAnsi="Sylfaen"/>
                <w:sz w:val="24"/>
                <w:szCs w:val="24"/>
              </w:rPr>
              <w:t>Հայտարարագր</w:t>
            </w:r>
            <w:r w:rsidRPr="003B2786">
              <w:rPr>
                <w:rStyle w:val="Bodytext1811pt"/>
                <w:rFonts w:ascii="Sylfaen" w:hAnsi="Sylfaen"/>
                <w:sz w:val="24"/>
                <w:szCs w:val="24"/>
              </w:rPr>
              <w:t>երում անհրաժեշտ է նշել, որ դիմումի մեջ նշված՝ ակտիվ դեղագործական բաղադրամաս արտադրողը (արտադրողները) իր (իրենց) գործունեությունն իրականացնում է (են)՝ ելանյութերի մասով Միության պատշաճ արտադրական գործունեության կանոններին համապատասխան: Որոշակի հանգամանքներում թույլատրվում է ներկայացնել 1</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 փոփոխության վերաբերյալ ծանոթագրությունը):</w:t>
            </w:r>
          </w:p>
          <w:p w14:paraId="5756CB3C"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 արտադրողի պարտավորությունն է (անհրաժեշտության դեպքում) տեղեկացնել ԳՀ-ի իրավատիրոջն ակտիվ դեղագործական բաղադրամասի արտադրության գործընթացի, մասնագրերի </w:t>
            </w:r>
            <w:r w:rsidR="00C54D75">
              <w:rPr>
                <w:rStyle w:val="Bodytext1811pt"/>
                <w:rFonts w:ascii="Sylfaen" w:hAnsi="Sylfaen"/>
                <w:sz w:val="24"/>
                <w:szCs w:val="24"/>
              </w:rPr>
              <w:t>և</w:t>
            </w:r>
            <w:r w:rsidRPr="003B2786">
              <w:rPr>
                <w:rStyle w:val="Bodytext1811pt"/>
                <w:rFonts w:ascii="Sylfaen" w:hAnsi="Sylfaen"/>
                <w:sz w:val="24"/>
                <w:szCs w:val="24"/>
              </w:rPr>
              <w:t xml:space="preserve"> վերլուծական մեթոդիկաների ցանկացած փոփոխության մասին:</w:t>
            </w:r>
          </w:p>
          <w:p w14:paraId="37BFA64C"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Հաստատում առ այն, որ առաջարկվող հարթակը պատշաճ կերպով լիցենզավորված է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ի, դեղապատրաստուկի կամ արտադրական գործառնությունների մասով:</w:t>
            </w:r>
          </w:p>
        </w:tc>
      </w:tr>
      <w:tr w:rsidR="008C76E0" w:rsidRPr="003B2786" w14:paraId="6A8D0E71"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tcPr>
          <w:p w14:paraId="27919D01" w14:textId="77777777" w:rsidR="008C76E0" w:rsidRPr="008C76E0" w:rsidRDefault="008C76E0" w:rsidP="008C76E0">
            <w:pPr>
              <w:pStyle w:val="Bodytext180"/>
              <w:shd w:val="clear" w:color="auto" w:fill="auto"/>
              <w:tabs>
                <w:tab w:val="left" w:pos="1034"/>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Բ.I.ա.2.</w:t>
            </w:r>
            <w:r w:rsidRPr="003B2786">
              <w:rPr>
                <w:rStyle w:val="Bodytext1811pt"/>
                <w:rFonts w:ascii="Sylfaen" w:hAnsi="Sylfaen"/>
                <w:sz w:val="24"/>
                <w:szCs w:val="24"/>
              </w:rPr>
              <w:tab/>
              <w:t>Ակտիվ դեղագործական բաղադրամասի արտադրության գործընթացի փոփոխությունները</w:t>
            </w:r>
          </w:p>
        </w:tc>
        <w:tc>
          <w:tcPr>
            <w:tcW w:w="1662" w:type="dxa"/>
            <w:tcBorders>
              <w:top w:val="single" w:sz="4" w:space="0" w:color="auto"/>
              <w:left w:val="single" w:sz="4" w:space="0" w:color="auto"/>
              <w:bottom w:val="single" w:sz="4" w:space="0" w:color="auto"/>
            </w:tcBorders>
            <w:shd w:val="clear" w:color="auto" w:fill="FFFFFF"/>
          </w:tcPr>
          <w:p w14:paraId="1840FF2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bottom w:val="single" w:sz="4" w:space="0" w:color="auto"/>
            </w:tcBorders>
            <w:shd w:val="clear" w:color="auto" w:fill="FFFFFF"/>
          </w:tcPr>
          <w:p w14:paraId="1089B2E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0DA0BD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D29253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07002B5"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 արտադրության գործընթացի ոչ էական փոփոխությունը</w:t>
            </w:r>
          </w:p>
        </w:tc>
        <w:tc>
          <w:tcPr>
            <w:tcW w:w="1662" w:type="dxa"/>
            <w:tcBorders>
              <w:top w:val="single" w:sz="4" w:space="0" w:color="auto"/>
              <w:left w:val="single" w:sz="4" w:space="0" w:color="auto"/>
            </w:tcBorders>
            <w:shd w:val="clear" w:color="auto" w:fill="FFFFFF"/>
          </w:tcPr>
          <w:p w14:paraId="2424A4A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w:t>
            </w:r>
          </w:p>
        </w:tc>
        <w:tc>
          <w:tcPr>
            <w:tcW w:w="2017" w:type="dxa"/>
            <w:gridSpan w:val="2"/>
            <w:tcBorders>
              <w:top w:val="single" w:sz="4" w:space="0" w:color="auto"/>
              <w:left w:val="single" w:sz="4" w:space="0" w:color="auto"/>
            </w:tcBorders>
            <w:shd w:val="clear" w:color="auto" w:fill="FFFFFF"/>
          </w:tcPr>
          <w:p w14:paraId="2CCE99A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832" w:type="dxa"/>
            <w:tcBorders>
              <w:top w:val="single" w:sz="4" w:space="0" w:color="auto"/>
              <w:left w:val="single" w:sz="4" w:space="0" w:color="auto"/>
              <w:right w:val="single" w:sz="4" w:space="0" w:color="auto"/>
            </w:tcBorders>
            <w:shd w:val="clear" w:color="auto" w:fill="FFFFFF"/>
          </w:tcPr>
          <w:p w14:paraId="0CE876F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495541"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E85AB5D"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ակտիվ դեղագործական բաղադրամասի արտադրության գործընթացի զգալի փոփոխությունը, որը կարող է էական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w:t>
            </w:r>
          </w:p>
        </w:tc>
        <w:tc>
          <w:tcPr>
            <w:tcW w:w="1662" w:type="dxa"/>
            <w:tcBorders>
              <w:top w:val="single" w:sz="4" w:space="0" w:color="auto"/>
              <w:left w:val="single" w:sz="4" w:space="0" w:color="auto"/>
            </w:tcBorders>
            <w:shd w:val="clear" w:color="auto" w:fill="FFFFFF"/>
          </w:tcPr>
          <w:p w14:paraId="290BD65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62AB35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F2F652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40BF18C"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058534B"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փոփոխությունը վերաբերում է կենսաբանական (իմունաբանական) սուբստանցիային կամ քիմիական սինթեզի միջոցով ստացված այլ նյութի օգտագործմանն այն կենսաբանական (իմունաբանական) դեղապատրաստուկի արտադրության մեջ, որը կարող է էական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 </w:t>
            </w:r>
            <w:r w:rsidR="00C54D75">
              <w:rPr>
                <w:rStyle w:val="Bodytext1811pt"/>
                <w:rFonts w:ascii="Sylfaen" w:hAnsi="Sylfaen"/>
                <w:sz w:val="24"/>
                <w:szCs w:val="24"/>
              </w:rPr>
              <w:t>և</w:t>
            </w:r>
            <w:r w:rsidRPr="003B2786">
              <w:rPr>
                <w:rStyle w:val="Bodytext1811pt"/>
                <w:rFonts w:ascii="Sylfaen" w:hAnsi="Sylfaen"/>
                <w:sz w:val="24"/>
                <w:szCs w:val="24"/>
              </w:rPr>
              <w:t xml:space="preserve"> այն կապված չէ արձանագրության հետ</w:t>
            </w:r>
          </w:p>
        </w:tc>
        <w:tc>
          <w:tcPr>
            <w:tcW w:w="1662" w:type="dxa"/>
            <w:tcBorders>
              <w:top w:val="single" w:sz="4" w:space="0" w:color="auto"/>
              <w:left w:val="single" w:sz="4" w:space="0" w:color="auto"/>
            </w:tcBorders>
            <w:shd w:val="clear" w:color="auto" w:fill="FFFFFF"/>
          </w:tcPr>
          <w:p w14:paraId="57800B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6579A2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49C2DFA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E85F72C"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93E71CE"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փոփոխությունը վերաբերում է դեղաբուսական պատրաստուկին, մասնավորապես՝ աշխարհագրական աղբյուրին, արտադրության կամ պատրաստման եղանակին</w:t>
            </w:r>
          </w:p>
        </w:tc>
        <w:tc>
          <w:tcPr>
            <w:tcW w:w="1662" w:type="dxa"/>
            <w:tcBorders>
              <w:top w:val="single" w:sz="4" w:space="0" w:color="auto"/>
              <w:left w:val="single" w:sz="4" w:space="0" w:color="auto"/>
            </w:tcBorders>
            <w:shd w:val="clear" w:color="auto" w:fill="FFFFFF"/>
          </w:tcPr>
          <w:p w14:paraId="1BA0E5E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06A057E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05957B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D200B4B" w14:textId="77777777" w:rsidTr="008C76E0">
        <w:trPr>
          <w:jc w:val="center"/>
        </w:trPr>
        <w:tc>
          <w:tcPr>
            <w:tcW w:w="4802" w:type="dxa"/>
            <w:gridSpan w:val="2"/>
            <w:tcBorders>
              <w:top w:val="single" w:sz="4" w:space="0" w:color="auto"/>
              <w:left w:val="single" w:sz="4" w:space="0" w:color="auto"/>
            </w:tcBorders>
            <w:shd w:val="clear" w:color="auto" w:fill="FFFFFF"/>
          </w:tcPr>
          <w:p w14:paraId="44680C9B"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ԱԴԲՄՖ-ի փակ մասի ոչ էական փոփոխությունը</w:t>
            </w:r>
          </w:p>
        </w:tc>
        <w:tc>
          <w:tcPr>
            <w:tcW w:w="1662" w:type="dxa"/>
            <w:tcBorders>
              <w:top w:val="single" w:sz="4" w:space="0" w:color="auto"/>
              <w:left w:val="single" w:sz="4" w:space="0" w:color="auto"/>
            </w:tcBorders>
            <w:shd w:val="clear" w:color="auto" w:fill="FFFFFF"/>
          </w:tcPr>
          <w:p w14:paraId="66B863E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ADEA88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5AF53C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161681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215E0694" w14:textId="77777777" w:rsidR="008C76E0" w:rsidRPr="008C76E0" w:rsidRDefault="008C76E0" w:rsidP="008C76E0">
            <w:pPr>
              <w:pStyle w:val="Bodytext180"/>
              <w:shd w:val="clear" w:color="auto" w:fill="auto"/>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F2F1670"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Խառնուկների որակական կամ քանակական պրոֆիլի կամ ֆիզիկաքիմիական հատկությունների անցանկալի փոփոխությունը բացակայում է:</w:t>
            </w:r>
          </w:p>
          <w:p w14:paraId="3C7C82C8"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Սինթեզման եղանակը մնում է նույնը, այսինքն՝ միջանկյալ արտադրանքը չի փոփոխվում, </w:t>
            </w:r>
            <w:r w:rsidR="00C54D75">
              <w:rPr>
                <w:rStyle w:val="Bodytext1811pt"/>
                <w:rFonts w:ascii="Sylfaen" w:hAnsi="Sylfaen"/>
                <w:sz w:val="24"/>
                <w:szCs w:val="24"/>
              </w:rPr>
              <w:t>և</w:t>
            </w:r>
            <w:r w:rsidRPr="003B2786">
              <w:rPr>
                <w:rStyle w:val="Bodytext1811pt"/>
                <w:rFonts w:ascii="Sylfaen" w:hAnsi="Sylfaen"/>
                <w:sz w:val="24"/>
                <w:szCs w:val="24"/>
              </w:rPr>
              <w:t xml:space="preserve"> գործընթացում նոր ռեակտիվներ, կատալիզատորներ կամ լուծիչներ չեն ներմուծվում: Դեղաբուսական պատրաստուկների աշխարհագրական աղբյուրը, բուսական հումքի պատրաստումը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արտադրության եղանակը չեն փոփոխվում:</w:t>
            </w:r>
          </w:p>
          <w:p w14:paraId="0FB2000F"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մասնագրերը չեն փոփոխվում:</w:t>
            </w:r>
          </w:p>
          <w:p w14:paraId="3AB90B47" w14:textId="68282F44"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Փոփոխությունն ամբողջությամբ նկարագրվում է ԱԴԲՄՖ-ի բաց մասում («</w:t>
            </w:r>
            <w:r w:rsidR="0056496B">
              <w:rPr>
                <w:rStyle w:val="Bodytext1811pt"/>
                <w:rFonts w:ascii="Sylfaen" w:hAnsi="Sylfaen"/>
                <w:sz w:val="24"/>
                <w:szCs w:val="24"/>
              </w:rPr>
              <w:t>դիմումատու</w:t>
            </w:r>
            <w:r w:rsidRPr="003B2786">
              <w:rPr>
                <w:rStyle w:val="Bodytext1811pt"/>
                <w:rFonts w:ascii="Sylfaen" w:hAnsi="Sylfaen"/>
                <w:sz w:val="24"/>
                <w:szCs w:val="24"/>
              </w:rPr>
              <w:t>ի» մասում) (եթե կիրառելի է):</w:t>
            </w:r>
          </w:p>
          <w:p w14:paraId="67F275BD"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սուբստանցիա չէ:</w:t>
            </w:r>
          </w:p>
          <w:p w14:paraId="5B9BB06C"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դեղաբուսական պատրաստուկի աշխարհագրական աղբյուրին, արտադրության կամ պատրաստման եղանակին:</w:t>
            </w:r>
          </w:p>
          <w:p w14:paraId="7ECBF420"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ԱԴԲՄՖ-ի փակ մասին:</w:t>
            </w:r>
          </w:p>
        </w:tc>
      </w:tr>
      <w:tr w:rsidR="008C76E0" w:rsidRPr="003B2786" w14:paraId="1AF550EE"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40E3D702" w14:textId="77777777" w:rsidR="008C76E0" w:rsidRPr="008C76E0" w:rsidRDefault="008C76E0" w:rsidP="008C76E0">
            <w:pPr>
              <w:pStyle w:val="Bodytext180"/>
              <w:shd w:val="clear" w:color="auto" w:fill="auto"/>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7FBC43A9"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գործընթացների ուղղակի համեմատությունը։</w:t>
            </w:r>
          </w:p>
          <w:p w14:paraId="747CA5B9"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գործընթացների միջոցով արտադրված սերիաների, առնվազն 2 սերիայի (առնվազն փորձարարաարդյունաբերական)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6CEEA9CF"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հաստատված մասնագրերի պատճենները:</w:t>
            </w:r>
          </w:p>
        </w:tc>
      </w:tr>
      <w:tr w:rsidR="008C76E0" w:rsidRPr="003B2786" w14:paraId="206A5FC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502E6F23" w14:textId="2CE7FFFE" w:rsidR="008C76E0" w:rsidRPr="008C76E0" w:rsidRDefault="008C76E0" w:rsidP="008C76E0">
            <w:pPr>
              <w:pStyle w:val="Bodytext180"/>
              <w:shd w:val="clear" w:color="auto" w:fill="auto"/>
              <w:tabs>
                <w:tab w:val="left" w:pos="602"/>
              </w:tabs>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խառնուկների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պրոֆիլի կամ ֆիզիկաքիմիական հատկությունների փոփոխությունը բացակայում է, </w:t>
            </w:r>
            <w:r w:rsidR="00C54D75">
              <w:rPr>
                <w:rStyle w:val="Bodytext1811pt"/>
                <w:rFonts w:ascii="Sylfaen" w:hAnsi="Sylfaen"/>
                <w:sz w:val="24"/>
                <w:szCs w:val="24"/>
              </w:rPr>
              <w:t>և</w:t>
            </w:r>
            <w:r w:rsidRPr="003B2786">
              <w:rPr>
                <w:rStyle w:val="Bodytext1811pt"/>
                <w:rFonts w:ascii="Sylfaen" w:hAnsi="Sylfaen"/>
                <w:sz w:val="24"/>
                <w:szCs w:val="24"/>
              </w:rPr>
              <w:t xml:space="preserve"> սինթեզման եղանակը,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մասնագրերը չեն փոփոխվում:</w:t>
            </w:r>
          </w:p>
        </w:tc>
      </w:tr>
      <w:tr w:rsidR="008C76E0" w:rsidRPr="003B2786" w14:paraId="6485158A" w14:textId="77777777" w:rsidTr="008C76E0">
        <w:trPr>
          <w:jc w:val="center"/>
        </w:trPr>
        <w:tc>
          <w:tcPr>
            <w:tcW w:w="2320" w:type="dxa"/>
            <w:tcBorders>
              <w:top w:val="single" w:sz="4" w:space="0" w:color="auto"/>
              <w:left w:val="single" w:sz="4" w:space="0" w:color="auto"/>
            </w:tcBorders>
            <w:shd w:val="clear" w:color="auto" w:fill="FFFFFF"/>
          </w:tcPr>
          <w:p w14:paraId="2BE9AC90" w14:textId="77777777" w:rsidR="008C76E0" w:rsidRPr="003B2786" w:rsidRDefault="008C76E0" w:rsidP="008C76E0">
            <w:pPr>
              <w:pStyle w:val="Bodytext180"/>
              <w:shd w:val="clear" w:color="auto" w:fill="auto"/>
              <w:spacing w:before="0" w:after="120" w:line="240" w:lineRule="auto"/>
              <w:ind w:left="41" w:right="88" w:firstLine="0"/>
              <w:jc w:val="both"/>
              <w:rPr>
                <w:rFonts w:ascii="Sylfaen" w:hAnsi="Sylfaen"/>
                <w:b w:val="0"/>
                <w:sz w:val="24"/>
                <w:szCs w:val="24"/>
              </w:rPr>
            </w:pPr>
            <w:r w:rsidRPr="003B2786">
              <w:rPr>
                <w:rStyle w:val="Bodytext295pt"/>
                <w:rFonts w:ascii="Sylfaen" w:hAnsi="Sylfaen"/>
                <w:sz w:val="24"/>
                <w:szCs w:val="24"/>
              </w:rPr>
              <w:t>Ծանոթագրություն</w:t>
            </w:r>
          </w:p>
        </w:tc>
        <w:tc>
          <w:tcPr>
            <w:tcW w:w="7993" w:type="dxa"/>
            <w:gridSpan w:val="5"/>
            <w:tcBorders>
              <w:top w:val="single" w:sz="4" w:space="0" w:color="auto"/>
              <w:left w:val="single" w:sz="4" w:space="0" w:color="auto"/>
              <w:right w:val="single" w:sz="4" w:space="0" w:color="auto"/>
            </w:tcBorders>
            <w:shd w:val="clear" w:color="auto" w:fill="FFFFFF"/>
            <w:vAlign w:val="bottom"/>
          </w:tcPr>
          <w:p w14:paraId="3E8DE488" w14:textId="77777777" w:rsidR="008C76E0" w:rsidRPr="003B2786" w:rsidRDefault="008C76E0" w:rsidP="008C76E0">
            <w:pPr>
              <w:pStyle w:val="Bodytext180"/>
              <w:shd w:val="clear" w:color="auto" w:fill="auto"/>
              <w:spacing w:before="0" w:after="120" w:line="240" w:lineRule="auto"/>
              <w:ind w:left="41" w:right="88" w:firstLine="0"/>
              <w:jc w:val="both"/>
              <w:rPr>
                <w:rFonts w:ascii="Sylfaen" w:hAnsi="Sylfaen"/>
                <w:b w:val="0"/>
                <w:sz w:val="24"/>
                <w:szCs w:val="24"/>
              </w:rPr>
            </w:pPr>
            <w:r w:rsidRPr="003B2786">
              <w:rPr>
                <w:rStyle w:val="Bodytext1811pt"/>
                <w:rFonts w:ascii="Sylfaen" w:hAnsi="Sylfaen"/>
                <w:sz w:val="24"/>
                <w:szCs w:val="24"/>
              </w:rPr>
              <w:t>Քիմիական սինթեզման միջոցով ստացված ակտիվ դեղագործական բաղադրամասերի զգալի փոփոխություններ ասելով՝ պետք է ենթադրել սինթեզման եղանակի կամ արտադրության պայմանների այնպիսի փոփոխություններ, որոնք կարող են փոփոխել ակտիվ դեղագործական բաղադրամասի որակի այնպիսի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ցուցանիշներ, ինչպիսիք են խառնուկների՝ որակավորում պահանջող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պրոֆիլը կամ կենսամատչելիության վրա ազդող ֆիզիկաքիմիական հատկությունները:</w:t>
            </w:r>
          </w:p>
        </w:tc>
      </w:tr>
      <w:tr w:rsidR="008C76E0" w:rsidRPr="003B2786" w14:paraId="411D4A7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0982AB2" w14:textId="77777777" w:rsidR="008C76E0" w:rsidRPr="008C76E0" w:rsidRDefault="008C76E0" w:rsidP="008C76E0">
            <w:pPr>
              <w:pStyle w:val="Bodytext180"/>
              <w:shd w:val="clear" w:color="auto" w:fill="auto"/>
              <w:tabs>
                <w:tab w:val="left" w:pos="109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Բ.I.ա.З.</w:t>
            </w:r>
            <w:r w:rsidRPr="003B2786">
              <w:rPr>
                <w:rStyle w:val="Bodytext1811pt"/>
                <w:rFonts w:ascii="Sylfaen" w:hAnsi="Sylfaen"/>
                <w:sz w:val="24"/>
                <w:szCs w:val="24"/>
              </w:rPr>
              <w:tab/>
              <w:t xml:space="preserve">Ակտիվ դեղագործական բաղադրամասի կամ ակտիվ դեղագործական բաղադրամասի արտադրության գործընթացում </w:t>
            </w:r>
            <w:r w:rsidRPr="003B2786">
              <w:rPr>
                <w:rStyle w:val="Bodytext1811pt"/>
                <w:rFonts w:ascii="Sylfaen" w:hAnsi="Sylfaen"/>
                <w:sz w:val="24"/>
                <w:szCs w:val="24"/>
              </w:rPr>
              <w:lastRenderedPageBreak/>
              <w:t>օգտագործվող միջանկյալ արտադրանքի սերիայի չափի փոփոխությունը (ներառյալ՝ սերիայի չափի ընդգրկույթները)</w:t>
            </w:r>
          </w:p>
        </w:tc>
        <w:tc>
          <w:tcPr>
            <w:tcW w:w="1662" w:type="dxa"/>
            <w:tcBorders>
              <w:top w:val="single" w:sz="4" w:space="0" w:color="auto"/>
              <w:left w:val="single" w:sz="4" w:space="0" w:color="auto"/>
            </w:tcBorders>
            <w:shd w:val="clear" w:color="auto" w:fill="FFFFFF"/>
          </w:tcPr>
          <w:p w14:paraId="48AAC72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tcBorders>
            <w:shd w:val="clear" w:color="auto" w:fill="FFFFFF"/>
          </w:tcPr>
          <w:p w14:paraId="5AA710D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563EC52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7F09B9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BBEC260" w14:textId="77777777" w:rsidR="008C76E0" w:rsidRPr="008C76E0" w:rsidRDefault="008C76E0" w:rsidP="008C76E0">
            <w:pPr>
              <w:pStyle w:val="Bodytext180"/>
              <w:shd w:val="clear" w:color="auto" w:fill="auto"/>
              <w:tabs>
                <w:tab w:val="left" w:pos="54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գրանցված չափի համեմատությամբ սերիայի չափի՝ ընդհուպ մինչ</w:t>
            </w:r>
            <w:r w:rsidR="00C54D75">
              <w:rPr>
                <w:rStyle w:val="Bodytext1811pt"/>
                <w:rFonts w:ascii="Sylfaen" w:hAnsi="Sylfaen"/>
                <w:sz w:val="24"/>
                <w:szCs w:val="24"/>
              </w:rPr>
              <w:t>և</w:t>
            </w:r>
            <w:r w:rsidRPr="003B2786">
              <w:rPr>
                <w:rStyle w:val="Bodytext1811pt"/>
                <w:rFonts w:ascii="Sylfaen" w:hAnsi="Sylfaen"/>
                <w:sz w:val="24"/>
                <w:szCs w:val="24"/>
              </w:rPr>
              <w:t xml:space="preserve"> 10 անգամ մեծացումը</w:t>
            </w:r>
          </w:p>
        </w:tc>
        <w:tc>
          <w:tcPr>
            <w:tcW w:w="1662" w:type="dxa"/>
            <w:tcBorders>
              <w:top w:val="single" w:sz="4" w:space="0" w:color="auto"/>
              <w:left w:val="single" w:sz="4" w:space="0" w:color="auto"/>
            </w:tcBorders>
            <w:shd w:val="clear" w:color="auto" w:fill="FFFFFF"/>
          </w:tcPr>
          <w:p w14:paraId="00339C1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1, 2, 3, 4, 5, 6, 7, 8</w:t>
            </w:r>
          </w:p>
        </w:tc>
        <w:tc>
          <w:tcPr>
            <w:tcW w:w="2017" w:type="dxa"/>
            <w:gridSpan w:val="2"/>
            <w:tcBorders>
              <w:top w:val="single" w:sz="4" w:space="0" w:color="auto"/>
              <w:left w:val="single" w:sz="4" w:space="0" w:color="auto"/>
            </w:tcBorders>
            <w:shd w:val="clear" w:color="auto" w:fill="FFFFFF"/>
          </w:tcPr>
          <w:p w14:paraId="56F8EA1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2638466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33F591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48D5A47" w14:textId="77777777" w:rsidR="008C76E0" w:rsidRPr="003B2786"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տասնապատիկ անգամ ապախոշորացումը</w:t>
            </w:r>
          </w:p>
        </w:tc>
        <w:tc>
          <w:tcPr>
            <w:tcW w:w="1662" w:type="dxa"/>
            <w:tcBorders>
              <w:top w:val="single" w:sz="4" w:space="0" w:color="auto"/>
              <w:left w:val="single" w:sz="4" w:space="0" w:color="auto"/>
            </w:tcBorders>
            <w:shd w:val="clear" w:color="auto" w:fill="FFFFFF"/>
          </w:tcPr>
          <w:p w14:paraId="7DCD23A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w:t>
            </w:r>
          </w:p>
        </w:tc>
        <w:tc>
          <w:tcPr>
            <w:tcW w:w="2017" w:type="dxa"/>
            <w:gridSpan w:val="2"/>
            <w:tcBorders>
              <w:top w:val="single" w:sz="4" w:space="0" w:color="auto"/>
              <w:left w:val="single" w:sz="4" w:space="0" w:color="auto"/>
            </w:tcBorders>
            <w:shd w:val="clear" w:color="auto" w:fill="FFFFFF"/>
          </w:tcPr>
          <w:p w14:paraId="41DD403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5FF55EB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5B249F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04898B3"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փոփոխությունը պահանջում է կենսաբանական (իմունաբանական) ակտիվ դեղագործական բաղադրամասի համադրելիության վերլուծություն</w:t>
            </w:r>
          </w:p>
        </w:tc>
        <w:tc>
          <w:tcPr>
            <w:tcW w:w="1662" w:type="dxa"/>
            <w:tcBorders>
              <w:top w:val="single" w:sz="4" w:space="0" w:color="auto"/>
              <w:left w:val="single" w:sz="4" w:space="0" w:color="auto"/>
            </w:tcBorders>
            <w:shd w:val="clear" w:color="auto" w:fill="FFFFFF"/>
          </w:tcPr>
          <w:p w14:paraId="4C16D5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303E51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77885C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7E2A952"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73CC548E"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գրանցված չափի համեմատությամբ սերիայի չափի՝ ավելի քան 10 անգամ մեծացումը</w:t>
            </w:r>
          </w:p>
        </w:tc>
        <w:tc>
          <w:tcPr>
            <w:tcW w:w="1662" w:type="dxa"/>
            <w:tcBorders>
              <w:top w:val="single" w:sz="4" w:space="0" w:color="auto"/>
              <w:left w:val="single" w:sz="4" w:space="0" w:color="auto"/>
            </w:tcBorders>
            <w:shd w:val="clear" w:color="auto" w:fill="FFFFFF"/>
          </w:tcPr>
          <w:p w14:paraId="00D4C4E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D9262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73C7826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CDD8CF2"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D868B06"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կենսաբանական (իմունաբանական) ակտիվ դեղագործական բաղադրամասի արտադրության ծավալի մեծացումը (փոքրացումը)՝ առանց արտադրության գործընթացի փոփոխության (օրինակ`հոսքագծի կրկնակման)</w:t>
            </w:r>
          </w:p>
        </w:tc>
        <w:tc>
          <w:tcPr>
            <w:tcW w:w="1662" w:type="dxa"/>
            <w:tcBorders>
              <w:top w:val="single" w:sz="4" w:space="0" w:color="auto"/>
              <w:left w:val="single" w:sz="4" w:space="0" w:color="auto"/>
            </w:tcBorders>
            <w:shd w:val="clear" w:color="auto" w:fill="FFFFFF"/>
          </w:tcPr>
          <w:p w14:paraId="0D9056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540EC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56C8B53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1ED7D88"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0A750B11" w14:textId="77777777" w:rsidR="008C76E0" w:rsidRPr="008C76E0" w:rsidRDefault="008C76E0" w:rsidP="008C76E0">
            <w:pPr>
              <w:pStyle w:val="Bodytext180"/>
              <w:shd w:val="clear" w:color="auto" w:fill="auto"/>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7363510" w14:textId="77777777" w:rsidR="008C76E0" w:rsidRPr="008C76E0" w:rsidRDefault="008C76E0" w:rsidP="008C76E0">
            <w:pPr>
              <w:pStyle w:val="Bodytext180"/>
              <w:shd w:val="clear" w:color="auto" w:fill="auto"/>
              <w:tabs>
                <w:tab w:val="left" w:pos="54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Արտադրության մեթոդների բոլոր փոփոխությունները վերաբերում են միայն խոշորացնելու կամ ապախոշորացնելու համար անհրաժեշտ, օրինակ՝ այլ չափի սարքավորումների օգտագործմանը:</w:t>
            </w:r>
          </w:p>
          <w:p w14:paraId="059E6EE6"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Անհրաժեշտ է ներկայացնել փորձարկումների արդյունքները՝ սերիաների առաջարկվող չափից առնվազն 2 սերիայի մասնագրերի համաձայն:</w:t>
            </w:r>
          </w:p>
          <w:p w14:paraId="2A1116FE"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դեղապատրաստուկ չէ։</w:t>
            </w:r>
          </w:p>
          <w:p w14:paraId="6CABD2E8"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Փոփոխությունը անցանկալի կերպով չի ազդում գործընթացի վերարտադրողականության վրա:</w:t>
            </w:r>
          </w:p>
          <w:p w14:paraId="16C6F6CF" w14:textId="6CDA8ABC"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չպետք է լինի արտադրության ընթացքում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եկած չնախատեսված իրավիճակների կամ կայունության խաթարման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69F725A9"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(միջանկյալ արտադրանքի) մասնագրերը չեն փոփոխվում:</w:t>
            </w:r>
          </w:p>
          <w:p w14:paraId="496CA2A7"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մանրէազերծ չէ:</w:t>
            </w:r>
          </w:p>
          <w:p w14:paraId="67A8CDD6"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Սերիայի չափը գտնվում է գրանցելիս կամ IA տիպի փոփոխություն չհանդիսացող հետագա փոփոխությունից հետո նախատեսված սերիայի չափի տասնապատիկ ընդգրկույթի </w:t>
            </w:r>
            <w:r w:rsidRPr="003B2786">
              <w:rPr>
                <w:rStyle w:val="Bodytext1811pt"/>
                <w:rFonts w:ascii="Sylfaen" w:hAnsi="Sylfaen"/>
                <w:sz w:val="24"/>
                <w:szCs w:val="24"/>
              </w:rPr>
              <w:lastRenderedPageBreak/>
              <w:t>սահմանում:</w:t>
            </w:r>
          </w:p>
        </w:tc>
      </w:tr>
      <w:tr w:rsidR="008C76E0" w:rsidRPr="003B2786" w14:paraId="1F5A37F8"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1EF5AEBD" w14:textId="77777777" w:rsidR="008C76E0" w:rsidRPr="008C76E0" w:rsidRDefault="008C76E0" w:rsidP="008C76E0">
            <w:pPr>
              <w:pStyle w:val="Bodytext180"/>
              <w:shd w:val="clear" w:color="auto" w:fill="auto"/>
              <w:spacing w:before="0" w:after="120" w:line="240" w:lineRule="auto"/>
              <w:ind w:right="187"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523D4474"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377EE09"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Փորձարկված սերիաների համարներն ունեն սերիայի առաջարկվող չափ:</w:t>
            </w:r>
          </w:p>
          <w:p w14:paraId="7AF38537"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ծավալով արտադրված ակտիվ դեղագործական բաղադրամասի կամ համապատասխանաբար միջանկյալ արտադրանքի սերիաների,  առնվազն 1 արդյունաբերական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Պահանջի դեպքում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 եթե վերլուծության արդյունքները չեն համապատասխանում մասնագրին, իրավատերը պարտավոր է հաղորդել այդ մասին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6B4A86CA" w14:textId="77777777" w:rsidR="008C76E0" w:rsidRPr="008C76E0" w:rsidRDefault="008C76E0" w:rsidP="008C76E0">
            <w:pPr>
              <w:pStyle w:val="Bodytext180"/>
              <w:shd w:val="clear" w:color="auto" w:fill="auto"/>
              <w:tabs>
                <w:tab w:val="left" w:pos="58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եթե կիրառելի է, միջանկյալ արտադրանքի) հաստատված մասնագրերի պատճենները:</w:t>
            </w:r>
          </w:p>
          <w:p w14:paraId="2521DE4F" w14:textId="54FE6B7C" w:rsidR="008C76E0" w:rsidRPr="008C76E0" w:rsidRDefault="008C76E0" w:rsidP="008C76E0">
            <w:pPr>
              <w:pStyle w:val="Bodytext180"/>
              <w:shd w:val="clear" w:color="auto" w:fill="auto"/>
              <w:tabs>
                <w:tab w:val="left" w:pos="58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արտադրության մեթոդների բոլոր փոփոխությունները վերաբերում են միայն խոշորացնելու կամ ապախոշորացնելու համար անհրաժեշտ, օրինակ՝ այլ չափի սարքավորումների օգտագործմանը, փոփոխությունը անցանկալի կերպով չի ազդում գործընթացի վերարտադրողականության վրա, փոփոխությունը արտադրության ընթացքում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եկած չնախատեսված իրավիճակների կամ կայունության խաթարման հետ</w:t>
            </w:r>
            <w:r w:rsidR="00C54D75">
              <w:rPr>
                <w:rStyle w:val="Bodytext1811pt"/>
                <w:rFonts w:ascii="Sylfaen" w:hAnsi="Sylfaen"/>
                <w:sz w:val="24"/>
                <w:szCs w:val="24"/>
              </w:rPr>
              <w:t>և</w:t>
            </w:r>
            <w:r w:rsidRPr="003B2786">
              <w:rPr>
                <w:rStyle w:val="Bodytext1811pt"/>
                <w:rFonts w:ascii="Sylfaen" w:hAnsi="Sylfaen"/>
                <w:sz w:val="24"/>
                <w:szCs w:val="24"/>
              </w:rPr>
              <w:t>անք չէ, ակտիվ դեղագործական բաղադրամասի (միջանկյալ արտադրանքի) մասնագրերը չեն փոփոխվում:</w:t>
            </w:r>
          </w:p>
        </w:tc>
      </w:tr>
      <w:tr w:rsidR="008C76E0" w:rsidRPr="003B2786" w14:paraId="345CC8F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321F291" w14:textId="77777777" w:rsidR="008C76E0" w:rsidRPr="008C76E0" w:rsidRDefault="008C76E0" w:rsidP="008C76E0">
            <w:pPr>
              <w:pStyle w:val="Bodytext180"/>
              <w:shd w:val="clear" w:color="auto" w:fill="auto"/>
              <w:tabs>
                <w:tab w:val="left" w:pos="109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Բ.I.ա.4.</w:t>
            </w:r>
            <w:r w:rsidRPr="003B2786">
              <w:rPr>
                <w:rStyle w:val="Bodytext1811pt"/>
                <w:rFonts w:ascii="Sylfaen" w:hAnsi="Sylfaen"/>
                <w:sz w:val="24"/>
                <w:szCs w:val="24"/>
              </w:rPr>
              <w:tab/>
              <w:t>Ներարտադրական փորձարկումների կամ ակտիվ դեղագործական բաղադրամասի արտադրության մեջ օգտագործվող ընդունելիության չափանիշների փոփոխությունը</w:t>
            </w:r>
          </w:p>
        </w:tc>
        <w:tc>
          <w:tcPr>
            <w:tcW w:w="1662" w:type="dxa"/>
            <w:tcBorders>
              <w:top w:val="single" w:sz="4" w:space="0" w:color="auto"/>
              <w:left w:val="single" w:sz="4" w:space="0" w:color="auto"/>
            </w:tcBorders>
            <w:shd w:val="clear" w:color="auto" w:fill="FFFFFF"/>
          </w:tcPr>
          <w:p w14:paraId="28639DD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10AAE99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7CF3CD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6EFECF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6955CB4"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ընդունելիության ներարտադրական չափանիշների խստացումը</w:t>
            </w:r>
          </w:p>
        </w:tc>
        <w:tc>
          <w:tcPr>
            <w:tcW w:w="1662" w:type="dxa"/>
            <w:tcBorders>
              <w:top w:val="single" w:sz="4" w:space="0" w:color="auto"/>
              <w:left w:val="single" w:sz="4" w:space="0" w:color="auto"/>
            </w:tcBorders>
            <w:shd w:val="clear" w:color="auto" w:fill="FFFFFF"/>
          </w:tcPr>
          <w:p w14:paraId="0B12441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2017" w:type="dxa"/>
            <w:gridSpan w:val="2"/>
            <w:tcBorders>
              <w:top w:val="single" w:sz="4" w:space="0" w:color="auto"/>
              <w:left w:val="single" w:sz="4" w:space="0" w:color="auto"/>
            </w:tcBorders>
            <w:shd w:val="clear" w:color="auto" w:fill="FFFFFF"/>
          </w:tcPr>
          <w:p w14:paraId="56CB63B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53BCA41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9F7A96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D6159DA"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նոր ներարտադրական փորձարկումների կամ ընդունելիության չափանիշների ավելացումը</w:t>
            </w:r>
          </w:p>
        </w:tc>
        <w:tc>
          <w:tcPr>
            <w:tcW w:w="1662" w:type="dxa"/>
            <w:tcBorders>
              <w:top w:val="single" w:sz="4" w:space="0" w:color="auto"/>
              <w:left w:val="single" w:sz="4" w:space="0" w:color="auto"/>
            </w:tcBorders>
            <w:shd w:val="clear" w:color="auto" w:fill="FFFFFF"/>
          </w:tcPr>
          <w:p w14:paraId="5AC0CF8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1, 2, 5, 6</w:t>
            </w:r>
          </w:p>
        </w:tc>
        <w:tc>
          <w:tcPr>
            <w:tcW w:w="2017" w:type="dxa"/>
            <w:gridSpan w:val="2"/>
            <w:tcBorders>
              <w:top w:val="single" w:sz="4" w:space="0" w:color="auto"/>
              <w:left w:val="single" w:sz="4" w:space="0" w:color="auto"/>
            </w:tcBorders>
            <w:shd w:val="clear" w:color="auto" w:fill="FFFFFF"/>
          </w:tcPr>
          <w:p w14:paraId="31E6EF0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1, 2, 3, 4, 6</w:t>
            </w:r>
          </w:p>
        </w:tc>
        <w:tc>
          <w:tcPr>
            <w:tcW w:w="1832" w:type="dxa"/>
            <w:tcBorders>
              <w:top w:val="single" w:sz="4" w:space="0" w:color="auto"/>
              <w:left w:val="single" w:sz="4" w:space="0" w:color="auto"/>
              <w:right w:val="single" w:sz="4" w:space="0" w:color="auto"/>
            </w:tcBorders>
            <w:shd w:val="clear" w:color="auto" w:fill="FFFFFF"/>
          </w:tcPr>
          <w:p w14:paraId="036D7A4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A9ED063"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D2A2763"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ոչ նշանակալի ներարտադրական փորձարկման բացառումը</w:t>
            </w:r>
          </w:p>
        </w:tc>
        <w:tc>
          <w:tcPr>
            <w:tcW w:w="1662" w:type="dxa"/>
            <w:tcBorders>
              <w:top w:val="single" w:sz="4" w:space="0" w:color="auto"/>
              <w:left w:val="single" w:sz="4" w:space="0" w:color="auto"/>
            </w:tcBorders>
            <w:shd w:val="clear" w:color="auto" w:fill="FFFFFF"/>
          </w:tcPr>
          <w:p w14:paraId="6535D46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1, 2, 7</w:t>
            </w:r>
          </w:p>
        </w:tc>
        <w:tc>
          <w:tcPr>
            <w:tcW w:w="2017" w:type="dxa"/>
            <w:gridSpan w:val="2"/>
            <w:tcBorders>
              <w:top w:val="single" w:sz="4" w:space="0" w:color="auto"/>
              <w:left w:val="single" w:sz="4" w:space="0" w:color="auto"/>
            </w:tcBorders>
            <w:shd w:val="clear" w:color="auto" w:fill="FFFFFF"/>
          </w:tcPr>
          <w:p w14:paraId="5D238D8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37F845E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24CE329"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9AD5083"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ընդունելիության հաստատված ներարտադրական այնպիսի չափանիշների ընդլայնումը, որոնք կարող են էապես ազդել ակտիվ դեղագործական բաղադրամասի ընդհանուր որակի վրա</w:t>
            </w:r>
          </w:p>
        </w:tc>
        <w:tc>
          <w:tcPr>
            <w:tcW w:w="1662" w:type="dxa"/>
            <w:tcBorders>
              <w:top w:val="single" w:sz="4" w:space="0" w:color="auto"/>
              <w:left w:val="single" w:sz="4" w:space="0" w:color="auto"/>
            </w:tcBorders>
            <w:shd w:val="clear" w:color="auto" w:fill="FFFFFF"/>
          </w:tcPr>
          <w:p w14:paraId="18F696A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6FEF93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EAC47D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BB63A7B"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AB396DB"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ե)</w:t>
            </w:r>
            <w:r w:rsidRPr="003B2786">
              <w:rPr>
                <w:rStyle w:val="Bodytext1811pt"/>
                <w:rFonts w:ascii="Sylfaen" w:hAnsi="Sylfaen"/>
                <w:sz w:val="24"/>
                <w:szCs w:val="24"/>
              </w:rPr>
              <w:tab/>
              <w:t>ներարտադրական փորձարկման բացառումը, որը կարող է էապես ազդել ակտիվ դեղագործական բաղադրամասի ընդհանուր որակի վրա</w:t>
            </w:r>
          </w:p>
        </w:tc>
        <w:tc>
          <w:tcPr>
            <w:tcW w:w="1662" w:type="dxa"/>
            <w:tcBorders>
              <w:top w:val="single" w:sz="4" w:space="0" w:color="auto"/>
              <w:left w:val="single" w:sz="4" w:space="0" w:color="auto"/>
            </w:tcBorders>
            <w:shd w:val="clear" w:color="auto" w:fill="FFFFFF"/>
          </w:tcPr>
          <w:p w14:paraId="26AF05E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3817D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9A64BC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F96616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8EE6011"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ներարտադրական փորձարկման ավելացումը կամ փոխարինումը` ելնելով անվտանգության կամ որակի նկատառումներից</w:t>
            </w:r>
          </w:p>
        </w:tc>
        <w:tc>
          <w:tcPr>
            <w:tcW w:w="1662" w:type="dxa"/>
            <w:tcBorders>
              <w:top w:val="single" w:sz="4" w:space="0" w:color="auto"/>
              <w:left w:val="single" w:sz="4" w:space="0" w:color="auto"/>
            </w:tcBorders>
            <w:shd w:val="clear" w:color="auto" w:fill="FFFFFF"/>
          </w:tcPr>
          <w:p w14:paraId="4BE84E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A2329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1, 2, 3, 4, 6</w:t>
            </w:r>
          </w:p>
        </w:tc>
        <w:tc>
          <w:tcPr>
            <w:tcW w:w="1832" w:type="dxa"/>
            <w:tcBorders>
              <w:top w:val="single" w:sz="4" w:space="0" w:color="auto"/>
              <w:left w:val="single" w:sz="4" w:space="0" w:color="auto"/>
              <w:right w:val="single" w:sz="4" w:space="0" w:color="auto"/>
            </w:tcBorders>
            <w:shd w:val="clear" w:color="auto" w:fill="FFFFFF"/>
          </w:tcPr>
          <w:p w14:paraId="220EDF3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C0B334A"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37238223"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8444AC2"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վերլուծության նպատակով նախկինում (օրինակ՝ գրանցելու կամ II տիպի փոփոխություններ կատարելու ընթացքում) անցկացված փորձաքննությունների արդյունքների հիման վրա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w:t>
            </w:r>
          </w:p>
          <w:p w14:paraId="1EF4F0B6"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չնախատեսված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որոնք առաջ են եկել արտադրության ընթացքում, օրինակ՝ նոր չորակավորված խառնուկը, խառնուկների ընդհանուր քանակության պարունակության սահմանների փոփոխությունը:</w:t>
            </w:r>
          </w:p>
          <w:p w14:paraId="35C32FBD"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հաստատված գործող չափանիշների ընդգրկույթին:</w:t>
            </w:r>
          </w:p>
        </w:tc>
      </w:tr>
      <w:tr w:rsidR="008C76E0" w:rsidRPr="003B2786" w14:paraId="02D7F88A"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74BB5840"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52357C32"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մեթոդիկայի կամ նորովի օգտագործվող ստանդարտ մեթոդիկայի վրա։</w:t>
            </w:r>
          </w:p>
          <w:p w14:paraId="68EA6832"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չէ կամ այնպիսի մեթոդ չէ, որի կիրառման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03AC44CC"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պարամետրին, օրինակ՝ հետ</w:t>
            </w:r>
            <w:r w:rsidR="00C54D75">
              <w:rPr>
                <w:rStyle w:val="Bodytext1811pt"/>
                <w:rFonts w:ascii="Sylfaen" w:hAnsi="Sylfaen"/>
                <w:sz w:val="24"/>
                <w:szCs w:val="24"/>
              </w:rPr>
              <w:t>և</w:t>
            </w:r>
            <w:r w:rsidRPr="003B2786">
              <w:rPr>
                <w:rStyle w:val="Bodytext1811pt"/>
                <w:rFonts w:ascii="Sylfaen" w:hAnsi="Sylfaen"/>
                <w:sz w:val="24"/>
                <w:szCs w:val="24"/>
              </w:rPr>
              <w:t>յալից որ</w:t>
            </w:r>
            <w:r w:rsidR="00C54D75">
              <w:rPr>
                <w:rStyle w:val="Bodytext1811pt"/>
                <w:rFonts w:ascii="Sylfaen" w:hAnsi="Sylfaen"/>
                <w:sz w:val="24"/>
                <w:szCs w:val="24"/>
              </w:rPr>
              <w:t>և</w:t>
            </w:r>
            <w:r w:rsidRPr="003B2786">
              <w:rPr>
                <w:rStyle w:val="Bodytext1811pt"/>
                <w:rFonts w:ascii="Sylfaen" w:hAnsi="Sylfaen"/>
                <w:sz w:val="24"/>
                <w:szCs w:val="24"/>
              </w:rPr>
              <w:t xml:space="preserve">է մեկին՝ քանակական սահմանում, խառնուկներ (եթե միայն որոշակի լուծիչ միանշանակորեն չի օգտագործվում ակտիվ դեղագործական բաղադրամասի արտադրության մեջ), ցանկացած կրիտիկական ֆիզիկական բնութագիր, օրինակ՝ մասնիկների չափը,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խտությունը, իսկության փորձարկումը, ջուրը, ցանկացած հարցում, որ վերաբերում է փորձարկումների հաճախականության փոփոխությանը:</w:t>
            </w:r>
          </w:p>
        </w:tc>
      </w:tr>
      <w:tr w:rsidR="008C76E0" w:rsidRPr="003B2786" w14:paraId="5F28F6DE"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326682FA"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1BB772F"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2FD7FFB2"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ներարտադրական փորձարկումների համեմատական աղյուսակը։</w:t>
            </w:r>
          </w:p>
          <w:p w14:paraId="0C791D4B"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ոչ դեղագրքային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1D65809E"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բոլոր պարամետրերով ակտիվ դեղագործական բաղադրամասի երկու </w:t>
            </w:r>
            <w:r w:rsidRPr="003B2786">
              <w:rPr>
                <w:rStyle w:val="Bodytext1811pt"/>
                <w:rFonts w:ascii="Sylfaen" w:hAnsi="Sylfaen"/>
                <w:sz w:val="24"/>
                <w:szCs w:val="24"/>
              </w:rPr>
              <w:lastRenderedPageBreak/>
              <w:t>արդյունաբերական սերիաների (պատշաճ հիմնավորումների բացակայության դեպքում՝ կենսաբանական ակտիվ դեղագործական բաղադրամասերի համար՝ երեք արդյունաբերական սերիաների) վերլուծության տվյալները :</w:t>
            </w:r>
          </w:p>
          <w:p w14:paraId="5A03F3FB"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 կողմից հիմնավորում (ռիսկերի գնահատում), որով հաստատվում է, որ ներարտադրական պարամետրերը համարվում են ոչ նշանակալի կամ հնացած:</w:t>
            </w:r>
          </w:p>
          <w:p w14:paraId="64B3C211"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ԳՀ-ի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համապատասխանաբար ԱԴԲՄՖ-ի իրավատիրոջ կողմից նոր ներարտադրական փորձարկումների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սահմանների հիմնավորումը:</w:t>
            </w:r>
          </w:p>
        </w:tc>
      </w:tr>
      <w:tr w:rsidR="008C76E0" w:rsidRPr="003B2786" w14:paraId="0343FF2D"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19383AE" w14:textId="77777777" w:rsidR="008C76E0" w:rsidRPr="008C76E0" w:rsidRDefault="008C76E0" w:rsidP="008C76E0">
            <w:pPr>
              <w:pStyle w:val="Bodytext180"/>
              <w:shd w:val="clear" w:color="auto" w:fill="auto"/>
              <w:tabs>
                <w:tab w:val="left" w:pos="557"/>
                <w:tab w:val="left" w:pos="114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Բ.I.ա.5.</w:t>
            </w:r>
            <w:r w:rsidRPr="003B2786">
              <w:rPr>
                <w:rStyle w:val="Bodytext1811pt"/>
                <w:rFonts w:ascii="Sylfaen" w:hAnsi="Sylfaen"/>
                <w:sz w:val="24"/>
                <w:szCs w:val="24"/>
              </w:rPr>
              <w:tab/>
              <w:t>Գրիպի կանխարգելման համար սեզոնային, նախահամավարակային կամ համավարակային պատվաստանյութերի ակտիվ դեղագործական բաղադրամասի փոփոխությունը</w:t>
            </w:r>
          </w:p>
        </w:tc>
        <w:tc>
          <w:tcPr>
            <w:tcW w:w="1662" w:type="dxa"/>
            <w:tcBorders>
              <w:top w:val="single" w:sz="4" w:space="0" w:color="auto"/>
              <w:left w:val="single" w:sz="4" w:space="0" w:color="auto"/>
            </w:tcBorders>
            <w:shd w:val="clear" w:color="auto" w:fill="FFFFFF"/>
          </w:tcPr>
          <w:p w14:paraId="532F8CA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6234498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AF5658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208FFCA"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2A117BE" w14:textId="77777777" w:rsidR="008C76E0" w:rsidRPr="008C76E0" w:rsidRDefault="008C76E0" w:rsidP="008C76E0">
            <w:pPr>
              <w:pStyle w:val="Bodytext180"/>
              <w:shd w:val="clear" w:color="auto" w:fill="auto"/>
              <w:tabs>
                <w:tab w:val="left" w:pos="64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Գրիպի կանխարգելման համար սեզոնային, նախահամավարակային կամ համավարակային պատվաստանյութերի շտամի (շտամների) փոխարինումը</w:t>
            </w:r>
          </w:p>
        </w:tc>
        <w:tc>
          <w:tcPr>
            <w:tcW w:w="1662" w:type="dxa"/>
            <w:tcBorders>
              <w:top w:val="single" w:sz="4" w:space="0" w:color="auto"/>
              <w:left w:val="single" w:sz="4" w:space="0" w:color="auto"/>
            </w:tcBorders>
            <w:shd w:val="clear" w:color="auto" w:fill="FFFFFF"/>
          </w:tcPr>
          <w:p w14:paraId="5918CF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7D4E6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2D932BE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bl>
    <w:p w14:paraId="2E498FF2" w14:textId="77777777" w:rsidR="008C76E0" w:rsidRPr="003B2786" w:rsidRDefault="008C76E0" w:rsidP="008C76E0">
      <w:pPr>
        <w:rPr>
          <w:rFonts w:ascii="Sylfaen" w:hAnsi="Sylfaen"/>
          <w:sz w:val="24"/>
          <w:szCs w:val="24"/>
        </w:rPr>
      </w:pPr>
    </w:p>
    <w:tbl>
      <w:tblPr>
        <w:tblOverlap w:val="never"/>
        <w:tblW w:w="10401" w:type="dxa"/>
        <w:jc w:val="center"/>
        <w:tblLayout w:type="fixed"/>
        <w:tblCellMar>
          <w:left w:w="10" w:type="dxa"/>
          <w:right w:w="10" w:type="dxa"/>
        </w:tblCellMar>
        <w:tblLook w:val="04A0" w:firstRow="1" w:lastRow="0" w:firstColumn="1" w:lastColumn="0" w:noHBand="0" w:noVBand="1"/>
      </w:tblPr>
      <w:tblGrid>
        <w:gridCol w:w="1993"/>
        <w:gridCol w:w="341"/>
        <w:gridCol w:w="496"/>
        <w:gridCol w:w="300"/>
        <w:gridCol w:w="1462"/>
        <w:gridCol w:w="405"/>
        <w:gridCol w:w="347"/>
        <w:gridCol w:w="903"/>
        <w:gridCol w:w="7"/>
        <w:gridCol w:w="444"/>
        <w:gridCol w:w="1591"/>
        <w:gridCol w:w="393"/>
        <w:gridCol w:w="95"/>
        <w:gridCol w:w="1610"/>
        <w:gridCol w:w="14"/>
      </w:tblGrid>
      <w:tr w:rsidR="008C76E0" w:rsidRPr="003B2786" w14:paraId="1D19AB00"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57240D28" w14:textId="77777777" w:rsidR="008C76E0" w:rsidRPr="008C76E0" w:rsidRDefault="008C76E0" w:rsidP="008C76E0">
            <w:pPr>
              <w:pStyle w:val="Bodytext180"/>
              <w:shd w:val="clear" w:color="auto" w:fill="auto"/>
              <w:spacing w:before="0" w:after="120" w:line="240" w:lineRule="auto"/>
              <w:ind w:right="-1" w:firstLine="0"/>
              <w:jc w:val="both"/>
              <w:rPr>
                <w:rFonts w:ascii="Sylfaen" w:hAnsi="Sylfaen"/>
                <w:b w:val="0"/>
                <w:i/>
                <w:sz w:val="24"/>
                <w:szCs w:val="24"/>
                <w:lang w:val="hy-AM"/>
              </w:rPr>
            </w:pPr>
            <w:r w:rsidRPr="003B2786">
              <w:rPr>
                <w:rStyle w:val="Bodytext295pt"/>
                <w:rFonts w:ascii="Sylfaen" w:hAnsi="Sylfaen"/>
                <w:sz w:val="24"/>
                <w:szCs w:val="24"/>
              </w:rPr>
              <w:t>Բ.I.բ)</w:t>
            </w:r>
            <w:r w:rsidRPr="003B2786">
              <w:rPr>
                <w:rStyle w:val="Bodytext295pt"/>
                <w:rFonts w:ascii="Sylfaen" w:hAnsi="Sylfaen"/>
                <w:sz w:val="24"/>
                <w:szCs w:val="24"/>
              </w:rPr>
              <w:tab/>
              <w:t>Ակտիվ դեղագործական նյութի որակի հսկողությունը</w:t>
            </w:r>
          </w:p>
        </w:tc>
      </w:tr>
      <w:tr w:rsidR="008C76E0" w:rsidRPr="003B2786" w14:paraId="74CF6F8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CC1CEF3" w14:textId="77777777" w:rsidR="008C76E0" w:rsidRPr="00E15E7D" w:rsidRDefault="008C76E0" w:rsidP="008C76E0">
            <w:pPr>
              <w:pStyle w:val="Bodytext180"/>
              <w:shd w:val="clear" w:color="auto" w:fill="auto"/>
              <w:tabs>
                <w:tab w:val="left" w:pos="56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Բ.1.բ.1.</w:t>
            </w:r>
            <w:r w:rsidRPr="003B2786">
              <w:rPr>
                <w:rStyle w:val="Bodytext1811pt"/>
                <w:rFonts w:ascii="Sylfaen" w:hAnsi="Sylfaen"/>
                <w:sz w:val="24"/>
                <w:szCs w:val="24"/>
              </w:rPr>
              <w:tab/>
              <w:t xml:space="preserve">Մասնագրերի այն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ակտիվ դեղագործական նյութի, ելանյութի (միջանկյալ արտադրանքի, ռեակտիվի) ընդունելիության չափորոշիչների փոփոխությունը, որոնք օգտագործվում են ակտիվ դեղագործական նյութի արտադրության գործընթացում</w:t>
            </w:r>
          </w:p>
          <w:p w14:paraId="322D4A12" w14:textId="77777777" w:rsidR="002F06F8" w:rsidRPr="00E15E7D" w:rsidRDefault="002F06F8"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tcBorders>
            <w:shd w:val="clear" w:color="auto" w:fill="FFFFFF"/>
          </w:tcPr>
          <w:p w14:paraId="0E7F6F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35" w:type="dxa"/>
            <w:gridSpan w:val="2"/>
            <w:tcBorders>
              <w:top w:val="single" w:sz="4" w:space="0" w:color="auto"/>
              <w:left w:val="single" w:sz="4" w:space="0" w:color="auto"/>
            </w:tcBorders>
            <w:shd w:val="clear" w:color="auto" w:fill="FFFFFF"/>
          </w:tcPr>
          <w:p w14:paraId="49F3CE5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93F19D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A984B9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4F74645"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դեղապատրաստուկների մասնագրերի ընդունելիության չափորոշիչների խստացումը, որոնք պաշտոնական հսկիչ մարմնի կողմից ենթակա են սերիաների թողարկման</w:t>
            </w:r>
          </w:p>
        </w:tc>
        <w:tc>
          <w:tcPr>
            <w:tcW w:w="1662" w:type="dxa"/>
            <w:gridSpan w:val="4"/>
            <w:tcBorders>
              <w:top w:val="single" w:sz="4" w:space="0" w:color="auto"/>
              <w:left w:val="single" w:sz="4" w:space="0" w:color="auto"/>
            </w:tcBorders>
            <w:shd w:val="clear" w:color="auto" w:fill="FFFFFF"/>
          </w:tcPr>
          <w:p w14:paraId="2D4F9B0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tcBorders>
            <w:shd w:val="clear" w:color="auto" w:fill="FFFFFF"/>
          </w:tcPr>
          <w:p w14:paraId="61FA82A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627416B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EFDA6B6"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tcPr>
          <w:p w14:paraId="5F98A2EA"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մասնագրի ընդունելիության չափորոշիչների խստացումը</w:t>
            </w:r>
          </w:p>
        </w:tc>
        <w:tc>
          <w:tcPr>
            <w:tcW w:w="1662" w:type="dxa"/>
            <w:gridSpan w:val="4"/>
            <w:tcBorders>
              <w:top w:val="single" w:sz="4" w:space="0" w:color="auto"/>
              <w:left w:val="single" w:sz="4" w:space="0" w:color="auto"/>
              <w:bottom w:val="single" w:sz="4" w:space="0" w:color="auto"/>
            </w:tcBorders>
            <w:shd w:val="clear" w:color="auto" w:fill="FFFFFF"/>
          </w:tcPr>
          <w:p w14:paraId="7DAEDAA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bottom w:val="single" w:sz="4" w:space="0" w:color="auto"/>
            </w:tcBorders>
            <w:shd w:val="clear" w:color="auto" w:fill="FFFFFF"/>
          </w:tcPr>
          <w:p w14:paraId="380704D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0052AE8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IA</w:t>
            </w:r>
          </w:p>
        </w:tc>
      </w:tr>
      <w:tr w:rsidR="008C76E0" w:rsidRPr="003B2786" w14:paraId="4EB3175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63F18D20"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w:t>
            </w:r>
          </w:p>
        </w:tc>
        <w:tc>
          <w:tcPr>
            <w:tcW w:w="1662" w:type="dxa"/>
            <w:gridSpan w:val="4"/>
            <w:tcBorders>
              <w:top w:val="single" w:sz="4" w:space="0" w:color="auto"/>
              <w:left w:val="single" w:sz="4" w:space="0" w:color="auto"/>
            </w:tcBorders>
            <w:shd w:val="clear" w:color="auto" w:fill="FFFFFF"/>
          </w:tcPr>
          <w:p w14:paraId="44BFFA5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1, 2, 5, 6, 7</w:t>
            </w:r>
          </w:p>
        </w:tc>
        <w:tc>
          <w:tcPr>
            <w:tcW w:w="2035" w:type="dxa"/>
            <w:gridSpan w:val="2"/>
            <w:tcBorders>
              <w:top w:val="single" w:sz="4" w:space="0" w:color="auto"/>
              <w:left w:val="single" w:sz="4" w:space="0" w:color="auto"/>
            </w:tcBorders>
            <w:shd w:val="clear" w:color="auto" w:fill="FFFFFF"/>
          </w:tcPr>
          <w:p w14:paraId="13F39CC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1, 2, 3, 4, 7</w:t>
            </w:r>
          </w:p>
        </w:tc>
        <w:tc>
          <w:tcPr>
            <w:tcW w:w="2098" w:type="dxa"/>
            <w:gridSpan w:val="3"/>
            <w:tcBorders>
              <w:top w:val="single" w:sz="4" w:space="0" w:color="auto"/>
              <w:left w:val="single" w:sz="4" w:space="0" w:color="auto"/>
              <w:right w:val="single" w:sz="4" w:space="0" w:color="auto"/>
            </w:tcBorders>
            <w:shd w:val="clear" w:color="auto" w:fill="FFFFFF"/>
          </w:tcPr>
          <w:p w14:paraId="03D2F2A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5C7020F"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793C41E"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lastRenderedPageBreak/>
              <w:t>դ)</w:t>
            </w:r>
            <w:r w:rsidRPr="003B2786">
              <w:rPr>
                <w:rStyle w:val="Bodytext1811pt"/>
                <w:rFonts w:ascii="Sylfaen" w:hAnsi="Sylfaen"/>
                <w:sz w:val="24"/>
                <w:szCs w:val="24"/>
              </w:rPr>
              <w:tab/>
              <w:t>մասնագրի աննշան պարամետրի բացառումը (օրինակ՝ հնացած պարամետրի բացառումը)</w:t>
            </w:r>
          </w:p>
        </w:tc>
        <w:tc>
          <w:tcPr>
            <w:tcW w:w="1662" w:type="dxa"/>
            <w:gridSpan w:val="4"/>
            <w:tcBorders>
              <w:top w:val="single" w:sz="4" w:space="0" w:color="auto"/>
              <w:left w:val="single" w:sz="4" w:space="0" w:color="auto"/>
            </w:tcBorders>
            <w:shd w:val="clear" w:color="auto" w:fill="FFFFFF"/>
          </w:tcPr>
          <w:p w14:paraId="0AD7865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1, 2, 8</w:t>
            </w:r>
          </w:p>
        </w:tc>
        <w:tc>
          <w:tcPr>
            <w:tcW w:w="2035" w:type="dxa"/>
            <w:gridSpan w:val="2"/>
            <w:tcBorders>
              <w:top w:val="single" w:sz="4" w:space="0" w:color="auto"/>
              <w:left w:val="single" w:sz="4" w:space="0" w:color="auto"/>
            </w:tcBorders>
            <w:shd w:val="clear" w:color="auto" w:fill="FFFFFF"/>
          </w:tcPr>
          <w:p w14:paraId="094AAB5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1, 2, 6</w:t>
            </w:r>
          </w:p>
        </w:tc>
        <w:tc>
          <w:tcPr>
            <w:tcW w:w="2098" w:type="dxa"/>
            <w:gridSpan w:val="3"/>
            <w:tcBorders>
              <w:top w:val="single" w:sz="4" w:space="0" w:color="auto"/>
              <w:left w:val="single" w:sz="4" w:space="0" w:color="auto"/>
              <w:right w:val="single" w:sz="4" w:space="0" w:color="auto"/>
            </w:tcBorders>
            <w:shd w:val="clear" w:color="auto" w:fill="FFFFFF"/>
          </w:tcPr>
          <w:p w14:paraId="109B6D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8367279"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EA6BDA3"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մասնագրերի այնպիսի պարամետրի բացառում, որը կարող է էականորեն ազդել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ընդհանուր որակի վրա</w:t>
            </w:r>
          </w:p>
        </w:tc>
        <w:tc>
          <w:tcPr>
            <w:tcW w:w="1662" w:type="dxa"/>
            <w:gridSpan w:val="4"/>
            <w:tcBorders>
              <w:top w:val="single" w:sz="4" w:space="0" w:color="auto"/>
              <w:left w:val="single" w:sz="4" w:space="0" w:color="auto"/>
            </w:tcBorders>
            <w:shd w:val="clear" w:color="auto" w:fill="FFFFFF"/>
          </w:tcPr>
          <w:p w14:paraId="4DC5D4E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3986899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958A17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AD549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BD260B4"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ակտիվ դեղագործական բաղադրամասի մասնագրերի` ընդունելիության հաստատված չափորոշիչների շրջանակից դուրս փոփոխությունը</w:t>
            </w:r>
          </w:p>
        </w:tc>
        <w:tc>
          <w:tcPr>
            <w:tcW w:w="1662" w:type="dxa"/>
            <w:gridSpan w:val="4"/>
            <w:tcBorders>
              <w:top w:val="single" w:sz="4" w:space="0" w:color="auto"/>
              <w:left w:val="single" w:sz="4" w:space="0" w:color="auto"/>
            </w:tcBorders>
            <w:shd w:val="clear" w:color="auto" w:fill="FFFFFF"/>
          </w:tcPr>
          <w:p w14:paraId="10D49D9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47ADF57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7AF4AC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54DB05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3643D4E" w14:textId="77777777" w:rsidR="008C76E0" w:rsidRPr="008C76E0" w:rsidRDefault="008C76E0" w:rsidP="008C76E0">
            <w:pPr>
              <w:pStyle w:val="Bodytext180"/>
              <w:shd w:val="clear" w:color="auto" w:fill="auto"/>
              <w:tabs>
                <w:tab w:val="left" w:pos="56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ելանյութերի (միջանկյալ արտադրանքի) մասնագրերի` ընդունելիության հաստատված չափորոշիչների ընդլայնումը, որոնք կարող են էականորեն ազդել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ընդհանուր որակի վրա</w:t>
            </w:r>
          </w:p>
        </w:tc>
        <w:tc>
          <w:tcPr>
            <w:tcW w:w="1662" w:type="dxa"/>
            <w:gridSpan w:val="4"/>
            <w:tcBorders>
              <w:top w:val="single" w:sz="4" w:space="0" w:color="auto"/>
              <w:left w:val="single" w:sz="4" w:space="0" w:color="auto"/>
            </w:tcBorders>
            <w:shd w:val="clear" w:color="auto" w:fill="FFFFFF"/>
          </w:tcPr>
          <w:p w14:paraId="37908E8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3FB8F64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35CC2FA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ECC8EB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0724DFF" w14:textId="77777777" w:rsidR="008C76E0" w:rsidRPr="00E15E7D" w:rsidRDefault="008C76E0" w:rsidP="008C76E0">
            <w:pPr>
              <w:pStyle w:val="Bodytext180"/>
              <w:shd w:val="clear" w:color="auto" w:fill="auto"/>
              <w:tabs>
                <w:tab w:val="left" w:pos="56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է)</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 կամ փոխարինումը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բաղադրամասը)՝ ելնելով անվտանգության կամ որակի նկատառումներից</w:t>
            </w:r>
          </w:p>
          <w:p w14:paraId="7C271490" w14:textId="77777777" w:rsidR="002F06F8" w:rsidRPr="00E15E7D" w:rsidRDefault="002F06F8"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tcBorders>
            <w:shd w:val="clear" w:color="auto" w:fill="FFFFFF"/>
          </w:tcPr>
          <w:p w14:paraId="024CCBD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573547A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1, 2, 3, 4, 5, 7</w:t>
            </w:r>
          </w:p>
        </w:tc>
        <w:tc>
          <w:tcPr>
            <w:tcW w:w="2098" w:type="dxa"/>
            <w:gridSpan w:val="3"/>
            <w:tcBorders>
              <w:top w:val="single" w:sz="4" w:space="0" w:color="auto"/>
              <w:left w:val="single" w:sz="4" w:space="0" w:color="auto"/>
              <w:right w:val="single" w:sz="4" w:space="0" w:color="auto"/>
            </w:tcBorders>
            <w:shd w:val="clear" w:color="auto" w:fill="FFFFFF"/>
          </w:tcPr>
          <w:p w14:paraId="3209D8B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C6031B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88B19CE" w14:textId="77777777" w:rsidR="008C76E0" w:rsidRPr="008C76E0" w:rsidRDefault="008C76E0" w:rsidP="008C76E0">
            <w:pPr>
              <w:pStyle w:val="Bodytext180"/>
              <w:shd w:val="clear" w:color="auto" w:fill="auto"/>
              <w:tabs>
                <w:tab w:val="left" w:pos="56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եթե ակտիվ դեղագործական բաղադրամասի վերաբերյալ բացակայում է Միության դեղագրքի կամ անդամ պետության դեղագրքի հոդվածը, ապա մասնագրի սեփական տվյալների փոխարինումը՝ ոչ պաշտոնական դեղագրքի կամ երրորդ երկրի դեղագրքի տվյալներով</w:t>
            </w:r>
          </w:p>
        </w:tc>
        <w:tc>
          <w:tcPr>
            <w:tcW w:w="1662" w:type="dxa"/>
            <w:gridSpan w:val="4"/>
            <w:tcBorders>
              <w:top w:val="single" w:sz="4" w:space="0" w:color="auto"/>
              <w:left w:val="single" w:sz="4" w:space="0" w:color="auto"/>
            </w:tcBorders>
            <w:shd w:val="clear" w:color="auto" w:fill="FFFFFF"/>
          </w:tcPr>
          <w:p w14:paraId="1B69D73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4671471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1, 2, 3, 4, 5, 7</w:t>
            </w:r>
          </w:p>
        </w:tc>
        <w:tc>
          <w:tcPr>
            <w:tcW w:w="2098" w:type="dxa"/>
            <w:gridSpan w:val="3"/>
            <w:tcBorders>
              <w:top w:val="single" w:sz="4" w:space="0" w:color="auto"/>
              <w:left w:val="single" w:sz="4" w:space="0" w:color="auto"/>
              <w:right w:val="single" w:sz="4" w:space="0" w:color="auto"/>
            </w:tcBorders>
            <w:shd w:val="clear" w:color="auto" w:fill="FFFFFF"/>
          </w:tcPr>
          <w:p w14:paraId="02C14AD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F461B11"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2160ABCE"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4ABB24A"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ցանկացած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որն ընդունվել է նախկինում անցկացված փորձաքննության արդյունքներով՝ մասնագրի ընդունելիության չափորոշիչների </w:t>
            </w:r>
            <w:r w:rsidRPr="003B2786">
              <w:rPr>
                <w:rStyle w:val="Bodytext1811pt"/>
                <w:rFonts w:ascii="Sylfaen" w:hAnsi="Sylfaen"/>
                <w:sz w:val="24"/>
                <w:szCs w:val="24"/>
              </w:rPr>
              <w:lastRenderedPageBreak/>
              <w:t>վերանայման նպատակով (օրինակ՝ դեղապատրաստուկի գրանցման կամ II տիպի փոփոխություն կատարելիս):</w:t>
            </w:r>
          </w:p>
          <w:p w14:paraId="19E37A0E"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Փոփոխությունն անհետաձգելի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որոնք ծագել են, օրինակ՝ նոր չորակված խառնուրդի արտադրության, խառնուրդների հանրագումարի պարունակության սահմանների փոփոխության ընթացքում:</w:t>
            </w:r>
          </w:p>
          <w:p w14:paraId="46CE3544"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չպետք է տեղավորվի ընդունելիության ընթացիկ հաստատված չափորոշիչների տիրույթում:</w:t>
            </w:r>
          </w:p>
          <w:p w14:paraId="6FDE44CC"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մեթոդը չի փոփոխվում կամ փոփոխվում է աննշան:</w:t>
            </w:r>
          </w:p>
          <w:p w14:paraId="3D0230CF"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ստանդարտ մեթոդների վրա, որոնք օգտագործվում են նորովի:</w:t>
            </w:r>
          </w:p>
          <w:p w14:paraId="181741DB"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որում կենսաբանական ակտիվ դեղագործական բաղադրամասի համար կենսաբանական ռեակտիվ է օգտագործվում (բացառությամբ ստանդարտ դեղագրքային միկրոկենսաբանական մեթոդների):</w:t>
            </w:r>
          </w:p>
        </w:tc>
      </w:tr>
      <w:tr w:rsidR="008C76E0" w:rsidRPr="003B2786" w14:paraId="73D4CAEA"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F8930F8"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Ցանկացած նյութի փոփոխություն չի առնչվում գենոտոքսիկ խառնուրդին: Եթե ներգրավված է ակտիվ դեղագործական բաղադրամաս, բացառությամբ մնացորդային լուծիչների, որոնք պետք է համապատասխանեն Միության դեղագրքի համապատասխան հոդվածի շրջանակին, ապա ցանկացած նոր խառնուրդի հսկողություն պետք է համապատասխանի Միության դեղագրքին կամ անդամ պետության դեղագրքին:</w:t>
            </w:r>
          </w:p>
          <w:p w14:paraId="5D28731B" w14:textId="77777777" w:rsidR="008C76E0" w:rsidRPr="008C76E0" w:rsidRDefault="008C76E0" w:rsidP="002F06F8">
            <w:pPr>
              <w:pStyle w:val="Bodytext180"/>
              <w:shd w:val="clear" w:color="auto" w:fill="auto"/>
              <w:tabs>
                <w:tab w:val="left" w:pos="620"/>
              </w:tabs>
              <w:spacing w:before="0" w:after="120" w:line="288" w:lineRule="auto"/>
              <w:ind w:left="40" w:right="45"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առնչվում կրիտիկական պարամետրին, օրինակ՝ հետ</w:t>
            </w:r>
            <w:r w:rsidR="00C54D75">
              <w:rPr>
                <w:rStyle w:val="Bodytext1811pt"/>
                <w:rFonts w:ascii="Sylfaen" w:hAnsi="Sylfaen"/>
                <w:sz w:val="24"/>
                <w:szCs w:val="24"/>
              </w:rPr>
              <w:t>և</w:t>
            </w:r>
            <w:r w:rsidRPr="003B2786">
              <w:rPr>
                <w:rStyle w:val="Bodytext1811pt"/>
                <w:rFonts w:ascii="Sylfaen" w:hAnsi="Sylfaen"/>
                <w:sz w:val="24"/>
                <w:szCs w:val="24"/>
              </w:rPr>
              <w:t>յալից որ</w:t>
            </w:r>
            <w:r w:rsidR="00C54D75">
              <w:rPr>
                <w:rStyle w:val="Bodytext1811pt"/>
                <w:rFonts w:ascii="Sylfaen" w:hAnsi="Sylfaen"/>
                <w:sz w:val="24"/>
                <w:szCs w:val="24"/>
              </w:rPr>
              <w:t>և</w:t>
            </w:r>
            <w:r w:rsidRPr="003B2786">
              <w:rPr>
                <w:rStyle w:val="Bodytext1811pt"/>
                <w:rFonts w:ascii="Sylfaen" w:hAnsi="Sylfaen"/>
                <w:sz w:val="24"/>
                <w:szCs w:val="24"/>
              </w:rPr>
              <w:t xml:space="preserve">է մեկին՝ քանակական սահմանմանը, խառնուրդներին (եթե միայն որոշակի լուծիչ միանշանակորեն չի օգտագործվում ակտիվ դեղագործական բաղադրամասի արտադրության մեջ), ցանկացած կրիտիկական ֆիզիկական բնութագիր, օրինակ՝ մասնիկների չափը,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խտությունը, իսկության փորձարկումը, ջուրը, փորձարկման թույլտվության ցանկացած հարցումը:</w:t>
            </w:r>
          </w:p>
        </w:tc>
      </w:tr>
      <w:tr w:rsidR="008C76E0" w:rsidRPr="003B2786" w14:paraId="0E193BA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57979BB"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03FC530"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097C9C81"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0C8CC115"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0ED7E94C"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ակտիվ դեղագործական բաղադրամասի երկու արտադրական սերիաների վերլուծության տվյալները՝ մասնագրի բոլոր պարամետրերով (կենսաբանորեն ակտիվ դեղագործական բաղադրամասերի համար հետադարձ հիմնավորման բացակայության դեպքում՝ 3 սերիա):</w:t>
            </w:r>
          </w:p>
          <w:p w14:paraId="0C1DB199"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այն դեղապատրաստուկի լուծելիության համեմատական կինետիկայի թեստի արդյունքները, որն առնվազն փորձարարաարդյունաբերական սերիայից պարունակում է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 համապատասխանող ակտիվ դեղագործական բաղադրամաս։ Բուսական դեղապատրաստուկների առնչությամբ կարող են </w:t>
            </w:r>
            <w:r w:rsidRPr="003B2786">
              <w:rPr>
                <w:rStyle w:val="Bodytext1811pt"/>
                <w:rFonts w:ascii="Sylfaen" w:hAnsi="Sylfaen"/>
                <w:sz w:val="24"/>
                <w:szCs w:val="24"/>
              </w:rPr>
              <w:lastRenderedPageBreak/>
              <w:t>բավարար համարվել համեմատական տրոհելիության տվյալները:</w:t>
            </w:r>
          </w:p>
          <w:p w14:paraId="6A32FBC4"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Հիմնավորումը (ռիսկերի գնահատումը)՝ գրանցման հավաստագրի իրավատիրոջ կամ ԱԴՆՄՖ-ի իրավատիրոջ կողմից՝ համապատասխանաբար, որով հաստատվում է, որ ներարտադրական պարամետրը ոչ նշանակալի կամ հնացած է:</w:t>
            </w:r>
          </w:p>
          <w:p w14:paraId="40F18F74"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նոր չափորոշիչների հիմնավորումը ԳՀ-ի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ԱԴՆՄՖ-ի իրավատիրոջ կողմից՝ համապատասխանաբար։</w:t>
            </w:r>
          </w:p>
        </w:tc>
      </w:tr>
      <w:tr w:rsidR="008C76E0" w:rsidRPr="003B2786" w14:paraId="3AD5C67F"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911EEFF" w14:textId="77777777" w:rsidR="008C76E0" w:rsidRPr="008C76E0" w:rsidRDefault="008C76E0" w:rsidP="008C76E0">
            <w:pPr>
              <w:pStyle w:val="Bodytext180"/>
              <w:shd w:val="clear" w:color="auto" w:fill="auto"/>
              <w:tabs>
                <w:tab w:val="left" w:pos="1157"/>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lastRenderedPageBreak/>
              <w:t>Բ.I.բ.2.</w:t>
            </w:r>
            <w:r w:rsidRPr="003B2786">
              <w:rPr>
                <w:rStyle w:val="Bodytext1811pt"/>
                <w:rFonts w:ascii="Sylfaen" w:hAnsi="Sylfaen"/>
                <w:sz w:val="24"/>
                <w:szCs w:val="24"/>
              </w:rPr>
              <w:tab/>
              <w:t>Ակտիվ դեղագործական բաղադրամասի արտադրության գործընթացում օգտագործվող ակտիվ դեղագործական բաղադրամասի կամ ելանյութի (միջանկյալ արտադրանքի, ռեակտիվի) վերլուծական մեթոդիկայի փոփոխությունը</w:t>
            </w:r>
          </w:p>
        </w:tc>
        <w:tc>
          <w:tcPr>
            <w:tcW w:w="1662" w:type="dxa"/>
            <w:gridSpan w:val="4"/>
            <w:tcBorders>
              <w:top w:val="single" w:sz="4" w:space="0" w:color="auto"/>
              <w:left w:val="single" w:sz="4" w:space="0" w:color="auto"/>
            </w:tcBorders>
            <w:shd w:val="clear" w:color="auto" w:fill="FFFFFF"/>
          </w:tcPr>
          <w:p w14:paraId="400AA67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35" w:type="dxa"/>
            <w:gridSpan w:val="2"/>
            <w:tcBorders>
              <w:top w:val="single" w:sz="4" w:space="0" w:color="auto"/>
              <w:left w:val="single" w:sz="4" w:space="0" w:color="auto"/>
            </w:tcBorders>
            <w:shd w:val="clear" w:color="auto" w:fill="FFFFFF"/>
          </w:tcPr>
          <w:p w14:paraId="73A130E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09DE93B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69728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center"/>
          </w:tcPr>
          <w:p w14:paraId="362CC902"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փոփոխությունը</w:t>
            </w:r>
          </w:p>
        </w:tc>
        <w:tc>
          <w:tcPr>
            <w:tcW w:w="1662" w:type="dxa"/>
            <w:gridSpan w:val="4"/>
            <w:tcBorders>
              <w:top w:val="single" w:sz="4" w:space="0" w:color="auto"/>
              <w:left w:val="single" w:sz="4" w:space="0" w:color="auto"/>
            </w:tcBorders>
            <w:shd w:val="clear" w:color="auto" w:fill="FFFFFF"/>
          </w:tcPr>
          <w:p w14:paraId="6F28278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tcBorders>
            <w:shd w:val="clear" w:color="auto" w:fill="FFFFFF"/>
          </w:tcPr>
          <w:p w14:paraId="7280F25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57DD78A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28DB65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65CA905"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ակտիվ դեղագործական բաղադրամասի կամ ելանյութի (միջանկյալ արտադրանքի, ռեակտիվի) վերլուծական մեթոդիկայի բացառումը, եթե արդեն հաստատված է դրա այլընտրանքային վերլուծական մեթոդիկան</w:t>
            </w:r>
          </w:p>
        </w:tc>
        <w:tc>
          <w:tcPr>
            <w:tcW w:w="1662" w:type="dxa"/>
            <w:gridSpan w:val="4"/>
            <w:tcBorders>
              <w:top w:val="single" w:sz="4" w:space="0" w:color="auto"/>
              <w:left w:val="single" w:sz="4" w:space="0" w:color="auto"/>
            </w:tcBorders>
            <w:shd w:val="clear" w:color="auto" w:fill="FFFFFF"/>
          </w:tcPr>
          <w:p w14:paraId="5BCD132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7</w:t>
            </w:r>
          </w:p>
        </w:tc>
        <w:tc>
          <w:tcPr>
            <w:tcW w:w="2035" w:type="dxa"/>
            <w:gridSpan w:val="2"/>
            <w:tcBorders>
              <w:top w:val="single" w:sz="4" w:space="0" w:color="auto"/>
              <w:left w:val="single" w:sz="4" w:space="0" w:color="auto"/>
            </w:tcBorders>
            <w:shd w:val="clear" w:color="auto" w:fill="FFFFFF"/>
          </w:tcPr>
          <w:p w14:paraId="6565E15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right w:val="single" w:sz="4" w:space="0" w:color="auto"/>
            </w:tcBorders>
            <w:shd w:val="clear" w:color="auto" w:fill="FFFFFF"/>
          </w:tcPr>
          <w:p w14:paraId="1082BCB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DC45B03"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1198A12A" w14:textId="77777777" w:rsidR="008C76E0" w:rsidRPr="00E15E7D" w:rsidRDefault="008C76E0" w:rsidP="008C76E0">
            <w:pPr>
              <w:pStyle w:val="Bodytext180"/>
              <w:shd w:val="clear" w:color="auto" w:fill="auto"/>
              <w:tabs>
                <w:tab w:val="left" w:pos="62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ռեակտիվի վերլուծական մեթոդիկայի այլ փոփոխություններ (ներառյալ՝ փոխարինումը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ավելացումը), որոնք նշանակալի ազդեցություն չեն գործում դեղագործական բաղադրամասի ընդհանուր որակի վրա</w:t>
            </w:r>
          </w:p>
          <w:p w14:paraId="276B8A46" w14:textId="77777777" w:rsidR="002F06F8" w:rsidRPr="00E15E7D" w:rsidRDefault="002F06F8"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bottom w:val="single" w:sz="4" w:space="0" w:color="auto"/>
            </w:tcBorders>
            <w:shd w:val="clear" w:color="auto" w:fill="FFFFFF"/>
          </w:tcPr>
          <w:p w14:paraId="63A46A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1, 2, 3, 5, 6</w:t>
            </w:r>
          </w:p>
        </w:tc>
        <w:tc>
          <w:tcPr>
            <w:tcW w:w="2035" w:type="dxa"/>
            <w:gridSpan w:val="2"/>
            <w:tcBorders>
              <w:top w:val="single" w:sz="4" w:space="0" w:color="auto"/>
              <w:left w:val="single" w:sz="4" w:space="0" w:color="auto"/>
              <w:bottom w:val="single" w:sz="4" w:space="0" w:color="auto"/>
            </w:tcBorders>
            <w:shd w:val="clear" w:color="auto" w:fill="FFFFFF"/>
          </w:tcPr>
          <w:p w14:paraId="35A5369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E2B4A0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B0A1B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0E48C2E"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փորձարկման կենսաբանական (իմունաբանական, իմունաքիմիական) մեթոդի կամ այն մեթոդի էական փոփոխությունը կամ փոխարինումը, որի դեպքում կենսաբանորեն ակտիվ դեղագործական նյութի համար կենսաբանական ռեակտիվ է օգտագործվում</w:t>
            </w:r>
          </w:p>
        </w:tc>
        <w:tc>
          <w:tcPr>
            <w:tcW w:w="1655" w:type="dxa"/>
            <w:gridSpan w:val="3"/>
            <w:tcBorders>
              <w:top w:val="single" w:sz="4" w:space="0" w:color="auto"/>
              <w:left w:val="single" w:sz="4" w:space="0" w:color="auto"/>
            </w:tcBorders>
            <w:shd w:val="clear" w:color="auto" w:fill="FFFFFF"/>
          </w:tcPr>
          <w:p w14:paraId="0AE2B7E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6B6B24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19E203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497CC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9394FA9" w14:textId="77777777" w:rsidR="008C76E0" w:rsidRPr="008C76E0" w:rsidRDefault="008C76E0" w:rsidP="008C76E0">
            <w:pPr>
              <w:pStyle w:val="Bodytext180"/>
              <w:shd w:val="clear" w:color="auto" w:fill="auto"/>
              <w:tabs>
                <w:tab w:val="left" w:pos="620"/>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ակտիվ դեղագործական բաղադրամասի կամ ելանյութի </w:t>
            </w:r>
            <w:r w:rsidRPr="003B2786">
              <w:rPr>
                <w:rStyle w:val="Bodytext1811pt"/>
                <w:rFonts w:ascii="Sylfaen" w:hAnsi="Sylfaen"/>
                <w:sz w:val="24"/>
                <w:szCs w:val="24"/>
              </w:rPr>
              <w:lastRenderedPageBreak/>
              <w:t xml:space="preserve">(միջանկյալ արտադրանքի) վերլուծական մեթոդիկայի այլ փոփոխություններ (ներառյալ՝ ավելացումը </w:t>
            </w:r>
            <w:r w:rsidR="00C54D75">
              <w:rPr>
                <w:rStyle w:val="Bodytext1811pt"/>
                <w:rFonts w:ascii="Sylfaen" w:hAnsi="Sylfaen"/>
                <w:sz w:val="24"/>
                <w:szCs w:val="24"/>
              </w:rPr>
              <w:t>և</w:t>
            </w:r>
            <w:r w:rsidRPr="003B2786">
              <w:rPr>
                <w:rStyle w:val="Bodytext1811pt"/>
                <w:rFonts w:ascii="Sylfaen" w:hAnsi="Sylfaen"/>
                <w:sz w:val="24"/>
                <w:szCs w:val="24"/>
              </w:rPr>
              <w:t xml:space="preserve"> փոխարինումը)</w:t>
            </w:r>
          </w:p>
        </w:tc>
        <w:tc>
          <w:tcPr>
            <w:tcW w:w="1655" w:type="dxa"/>
            <w:gridSpan w:val="3"/>
            <w:tcBorders>
              <w:top w:val="single" w:sz="4" w:space="0" w:color="auto"/>
              <w:left w:val="single" w:sz="4" w:space="0" w:color="auto"/>
            </w:tcBorders>
            <w:shd w:val="clear" w:color="auto" w:fill="FFFFFF"/>
          </w:tcPr>
          <w:p w14:paraId="16B1E03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295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40F42F78"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72CDE7FB"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4C9667A3"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E4483AE" w14:textId="77777777"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57C9C8E" w14:textId="77777777"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Միության համապատասխան ձեռնարկների համաձայն՝ անհրաժեշտ վալիդացում է անցկացվել, որով հաստատվում է, որ թարմացված վերլուծական մեթոդիկան առնվազն համարժեք է նախորդին:</w:t>
            </w:r>
          </w:p>
          <w:p w14:paraId="388EAE41" w14:textId="6124D971"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Խառնուրդների հանրագումարի պարունակության սահմանները չեն փոփոխվել, չորակված նոր խառնուրդներ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54BFD611"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բայց ոչ սյունակի այլ տեսակը կամ մեթոդը):</w:t>
            </w:r>
          </w:p>
          <w:p w14:paraId="5E843DF0"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մեթոդը կենսաբանական (իմունաբանական, իմունաքիմիական) կամ այնպիսի մեթոդ չէ, որի դեպքում կենսաբանորեն ակտիվ դեղագործական բաղադրամասի համար կենսաբանական ռեակտիվ է օգտագործվում (բացառությամբ ստանդարտ դեղագրքային միկրոկենսաբանական մեթոդների):</w:t>
            </w:r>
          </w:p>
          <w:p w14:paraId="12491262"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մեթոդների կամ ստանդարտ մեթոդների վրա, որոնք օգտագործվում են նորովի:</w:t>
            </w:r>
          </w:p>
          <w:p w14:paraId="1852E630"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չէ:</w:t>
            </w:r>
          </w:p>
          <w:p w14:paraId="3F5575D6"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4C7B60FD"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112AA56"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41D8215"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բաժնի (բաժինների) ուղղումը, ներառյալ՝ վերլուծական մեթոդիկայի նկարագրությունը, վալիդացման տվյալների ռեզյումեն, խառնուրդի վերանայված մասնագրերը (եթե կիրառելի է):</w:t>
            </w:r>
          </w:p>
          <w:p w14:paraId="7B141520"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որոնք հաստատում են, որ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փորձարկումները համարժեք են: Սույն պահանջը չի կիրառվում, եթե ավելացվում է նոր վերլուծական մեթոդիկա:</w:t>
            </w:r>
          </w:p>
        </w:tc>
      </w:tr>
      <w:tr w:rsidR="008C76E0" w:rsidRPr="003B2786" w14:paraId="48CF0879"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3444A732"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i/>
                <w:sz w:val="24"/>
                <w:szCs w:val="24"/>
                <w:lang w:val="hy-AM"/>
              </w:rPr>
            </w:pPr>
            <w:r w:rsidRPr="003B2786">
              <w:rPr>
                <w:rStyle w:val="Bodytext295pt"/>
                <w:rFonts w:ascii="Sylfaen" w:hAnsi="Sylfaen"/>
                <w:sz w:val="24"/>
                <w:szCs w:val="24"/>
              </w:rPr>
              <w:t>Բ.I.գ)</w:t>
            </w:r>
            <w:r w:rsidRPr="003B2786">
              <w:rPr>
                <w:rStyle w:val="Bodytext295pt"/>
                <w:rFonts w:ascii="Sylfaen" w:hAnsi="Sylfaen"/>
                <w:sz w:val="24"/>
                <w:szCs w:val="24"/>
              </w:rPr>
              <w:tab/>
              <w:t>Փաթեթավորման-խցանափակման համակարգը</w:t>
            </w:r>
          </w:p>
        </w:tc>
      </w:tr>
      <w:tr w:rsidR="008C76E0" w:rsidRPr="003B2786" w14:paraId="3C0D8D1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984E598"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Բ.I.գ.1.</w:t>
            </w:r>
            <w:r w:rsidRPr="003B2786">
              <w:rPr>
                <w:rStyle w:val="Bodytext1811pt"/>
                <w:rFonts w:ascii="Sylfaen" w:hAnsi="Sylfaen"/>
                <w:sz w:val="24"/>
                <w:szCs w:val="24"/>
              </w:rPr>
              <w:tab/>
              <w:t>Ակտիվ դեղագործական բաղադրամասի առաջնային փաթեթվածքի փոփոխությունը</w:t>
            </w:r>
          </w:p>
        </w:tc>
        <w:tc>
          <w:tcPr>
            <w:tcW w:w="1655" w:type="dxa"/>
            <w:gridSpan w:val="3"/>
            <w:tcBorders>
              <w:top w:val="single" w:sz="4" w:space="0" w:color="auto"/>
              <w:left w:val="single" w:sz="4" w:space="0" w:color="auto"/>
            </w:tcBorders>
            <w:shd w:val="clear" w:color="auto" w:fill="FFFFFF"/>
          </w:tcPr>
          <w:p w14:paraId="0A68D7A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7326F16B"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38089374"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4E8449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EEAEE9E"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բաղադրությունը</w:t>
            </w:r>
          </w:p>
        </w:tc>
        <w:tc>
          <w:tcPr>
            <w:tcW w:w="1655" w:type="dxa"/>
            <w:gridSpan w:val="3"/>
            <w:tcBorders>
              <w:top w:val="single" w:sz="4" w:space="0" w:color="auto"/>
              <w:left w:val="single" w:sz="4" w:space="0" w:color="auto"/>
            </w:tcBorders>
            <w:shd w:val="clear" w:color="auto" w:fill="FFFFFF"/>
          </w:tcPr>
          <w:p w14:paraId="45D10AE0"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w:t>
            </w:r>
          </w:p>
        </w:tc>
        <w:tc>
          <w:tcPr>
            <w:tcW w:w="2042" w:type="dxa"/>
            <w:gridSpan w:val="3"/>
            <w:tcBorders>
              <w:top w:val="single" w:sz="4" w:space="0" w:color="auto"/>
              <w:left w:val="single" w:sz="4" w:space="0" w:color="auto"/>
            </w:tcBorders>
            <w:shd w:val="clear" w:color="auto" w:fill="FFFFFF"/>
          </w:tcPr>
          <w:p w14:paraId="7F9B075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797692BD"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9A3371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D9C05EE"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r>
            <w:r w:rsidRPr="008D0608">
              <w:rPr>
                <w:rStyle w:val="Bodytext1811pt"/>
                <w:rFonts w:ascii="Sylfaen" w:hAnsi="Sylfaen"/>
                <w:spacing w:val="-6"/>
                <w:sz w:val="24"/>
                <w:szCs w:val="24"/>
              </w:rPr>
              <w:t xml:space="preserve">Որակական </w:t>
            </w:r>
            <w:r w:rsidR="00C54D75">
              <w:rPr>
                <w:rStyle w:val="Bodytext1811pt"/>
                <w:rFonts w:ascii="Sylfaen" w:hAnsi="Sylfaen"/>
                <w:spacing w:val="-6"/>
                <w:sz w:val="24"/>
                <w:szCs w:val="24"/>
              </w:rPr>
              <w:t>և</w:t>
            </w:r>
            <w:r w:rsidRPr="008D0608">
              <w:rPr>
                <w:rStyle w:val="Bodytext1811pt"/>
                <w:rFonts w:ascii="Sylfaen" w:hAnsi="Sylfaen"/>
                <w:spacing w:val="-6"/>
                <w:sz w:val="24"/>
                <w:szCs w:val="24"/>
              </w:rPr>
              <w:t xml:space="preserve"> (կամ) քանակական բաղադրությունը՝ մանրէազերծ կամ չսառեցված կենսաբանական (իմունաբանական) ակտիվ </w:t>
            </w:r>
            <w:r w:rsidRPr="008D0608">
              <w:rPr>
                <w:rStyle w:val="Bodytext1811pt"/>
                <w:rFonts w:ascii="Sylfaen" w:hAnsi="Sylfaen"/>
                <w:spacing w:val="-6"/>
                <w:sz w:val="24"/>
                <w:szCs w:val="24"/>
              </w:rPr>
              <w:lastRenderedPageBreak/>
              <w:t>դեղագործական բաղադրամասերի համար</w:t>
            </w:r>
          </w:p>
        </w:tc>
        <w:tc>
          <w:tcPr>
            <w:tcW w:w="1655" w:type="dxa"/>
            <w:gridSpan w:val="3"/>
            <w:tcBorders>
              <w:top w:val="single" w:sz="4" w:space="0" w:color="auto"/>
              <w:left w:val="single" w:sz="4" w:space="0" w:color="auto"/>
            </w:tcBorders>
            <w:shd w:val="clear" w:color="auto" w:fill="FFFFFF"/>
          </w:tcPr>
          <w:p w14:paraId="159C7AB1"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2F1B9C43"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51468683"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7B4DA8E2"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5845B19"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Հեղուկ ակտիվ դեղագործական բաղադրամասերը (ոչ մանրէազերծ)</w:t>
            </w:r>
          </w:p>
        </w:tc>
        <w:tc>
          <w:tcPr>
            <w:tcW w:w="1655" w:type="dxa"/>
            <w:gridSpan w:val="3"/>
            <w:tcBorders>
              <w:top w:val="single" w:sz="4" w:space="0" w:color="auto"/>
              <w:left w:val="single" w:sz="4" w:space="0" w:color="auto"/>
              <w:bottom w:val="single" w:sz="4" w:space="0" w:color="auto"/>
            </w:tcBorders>
            <w:shd w:val="clear" w:color="auto" w:fill="FFFFFF"/>
          </w:tcPr>
          <w:p w14:paraId="61A79257"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74A5FFA6"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1, 2, 3, 5, 6</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F4D80A9"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116386BE"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D54EFF8"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E86DF52"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հատկություններով առաջարկվող փաթեթավորման նյութը պետք է առնվազն համարժեք լինի հաստատվածին:</w:t>
            </w:r>
          </w:p>
          <w:p w14:paraId="47325216" w14:textId="62E59C0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Սկսվել են կայունության համապատասխան հետազոտությունները՝ Միության փաստաթղթերին համապատասխան,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ի կողմից փոփոխությունների ներմուծման պահին վերլուծվել են առնվազն 2 փորձարարաարդյունաբերական կամ արդյունաբերական սերիաների համապատասխան կայունության պարամետրերը, նրա տրամադրության տակ կան կայունության ուսումնասիրության առնվազն եռամսյա բավարար արդյունքներ: Սակայն, եթե առաջարկվող փաթեթվածքը գրանցվածի համեմատ առավել կայուն է, ապա կայունության գծով եռամսյա տվյալներ չեն պահանջվում: Նման հետազոտությունների ավարտին, եթե արդյունքները չեն տեղավորվում մասնագրերում կամ պոտենցիալ կերպով չեն կարող տեղավորվել մասնագրերում պիտանիության ժամկետի (կրկնակի փորձարկման ժամկետի) ավարտին, ապա դրանք գործողությունների առաջարկվող պլանի հետ միասին պետք է անհապաղ ներկայացվեն լիազորված մարմին:</w:t>
            </w:r>
          </w:p>
          <w:p w14:paraId="7083F539"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Բացառելով մանրէազերծ, հեղուկ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ակտիվ դեղագործական բաղադրամասերը:</w:t>
            </w:r>
          </w:p>
        </w:tc>
      </w:tr>
      <w:tr w:rsidR="008C76E0" w:rsidRPr="003B2786" w14:paraId="3BC8C3C2"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3234E464"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2AA11A"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p w14:paraId="287334F1"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Նոր փաթեթվածքի մասին անհրաժեշտ տեղեկությունները (օրինակ՝ О</w:t>
            </w:r>
            <w:r w:rsidRPr="003B2786">
              <w:rPr>
                <w:rStyle w:val="Bodytext1811pt"/>
                <w:rFonts w:ascii="Sylfaen" w:hAnsi="Sylfaen"/>
                <w:sz w:val="24"/>
                <w:szCs w:val="24"/>
                <w:vertAlign w:val="subscript"/>
              </w:rPr>
              <w:t>2</w:t>
            </w:r>
            <w:r w:rsidRPr="003B2786">
              <w:rPr>
                <w:rStyle w:val="Bodytext1811pt"/>
                <w:rFonts w:ascii="Sylfaen" w:hAnsi="Sylfaen"/>
                <w:sz w:val="24"/>
                <w:szCs w:val="24"/>
              </w:rPr>
              <w:t>-ի, СО</w:t>
            </w:r>
            <w:r w:rsidRPr="003B2786">
              <w:rPr>
                <w:rStyle w:val="Bodytext1811pt"/>
                <w:rFonts w:ascii="Sylfaen" w:hAnsi="Sylfaen"/>
                <w:sz w:val="24"/>
                <w:szCs w:val="24"/>
                <w:vertAlign w:val="subscript"/>
              </w:rPr>
              <w:t>2</w:t>
            </w:r>
            <w:r w:rsidRPr="003B2786">
              <w:rPr>
                <w:rStyle w:val="Bodytext1811pt"/>
                <w:rFonts w:ascii="Sylfaen" w:hAnsi="Sylfaen"/>
                <w:sz w:val="24"/>
                <w:szCs w:val="24"/>
              </w:rPr>
              <w:t xml:space="preserve">-ի, խոնավության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այլնի համար թափանցելիության համեմատական տվյալները), ներառյալ հաստատումն այն բանի,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 </w:t>
            </w:r>
          </w:p>
          <w:p w14:paraId="66C2DADD"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տրամադրել հաստատումն այն բանի, որ պարունակության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փաթեթավորման նյութի միջ</w:t>
            </w:r>
            <w:r w:rsidR="00C54D75">
              <w:rPr>
                <w:rStyle w:val="Bodytext1811pt"/>
                <w:rFonts w:ascii="Sylfaen" w:hAnsi="Sylfaen"/>
                <w:sz w:val="24"/>
                <w:szCs w:val="24"/>
              </w:rPr>
              <w:t>և</w:t>
            </w:r>
            <w:r w:rsidRPr="003B2786">
              <w:rPr>
                <w:rStyle w:val="Bodytext1811pt"/>
                <w:rFonts w:ascii="Sylfaen" w:hAnsi="Sylfaen"/>
                <w:sz w:val="24"/>
                <w:szCs w:val="24"/>
              </w:rPr>
              <w:t xml:space="preserve"> փոխազդեցություն տեղի չի ունենում (օրինակ՝ բացակայում է առաջարկվող նյութի բաղադրիչների տեղափոխումը դրա պարունակության մեջ, դեղապատրաստուկի բաղադրիչները չեն փոխանցվում փաթեթվածք), ներառյալ՝ հաստատումն այն մասին,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w:t>
            </w:r>
          </w:p>
          <w:p w14:paraId="5C533DE7" w14:textId="04E59832"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ԱԴՆՄՖ-ի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այն մասին, որ կայունության պահանջվող ուսումնասիրություններն սկսվել են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w:t>
            </w:r>
            <w:r w:rsidRPr="003B2786">
              <w:rPr>
                <w:rStyle w:val="Bodytext1811pt"/>
                <w:rFonts w:ascii="Sylfaen" w:hAnsi="Sylfaen"/>
                <w:sz w:val="24"/>
                <w:szCs w:val="24"/>
              </w:rPr>
              <w:lastRenderedPageBreak/>
              <w:t>արդյունքները չտեղավորվեն մասնագրերում կամ պոտենցիալ կերպով չեն կարող տեղավորվել մասնագրերում պիտանիության ժամկետի ավարտին (կրկնակի փորձարկման ժամկետի), ապա դրանք գործողությունների առաջարկվող պլանի հետ միասին անհապաղ կներկայացվեն լիազորված մարմին:</w:t>
            </w:r>
          </w:p>
          <w:p w14:paraId="007ABD29"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Կայունության նշանակալի պարամետրերով առնվազն փորձարարաարդյունաբերական կամ արդյունաբերական սերիաների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իրավունքի մաս կազմող ակտերի պահանջներին համապատասխան անցկացված կայունության ուսումնասիրությունների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հաստատումն այն բանի, որ նշված ուսումնասիրությունները կավարտվեն, իսկ եթե արդյունքները տեղավորվեն մասնագրերում կամ պոտենցիալ կերպով կարող են չտեղավորվել մասնագրերում պիտանիության ժամկետի ավարտին (կրկնակի փորձարկման շրջանի), ապա դրանք գործողությունների առաջարկվող պլանի հետ միասին անհապաղ կներկայացվեն լիազորված մարմին:</w:t>
            </w:r>
          </w:p>
          <w:p w14:paraId="7FB77321"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գործող կամ առաջարկվող մասնագրերի համեմատությունը (եթե կիրառելի է):</w:t>
            </w:r>
          </w:p>
        </w:tc>
      </w:tr>
      <w:tr w:rsidR="008C76E0" w:rsidRPr="003B2786" w14:paraId="4B91CC0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00AB7C7"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Բ.I.գ.2.</w:t>
            </w:r>
            <w:r w:rsidRPr="003B2786">
              <w:rPr>
                <w:rStyle w:val="Bodytext1811pt"/>
                <w:rFonts w:ascii="Sylfaen" w:hAnsi="Sylfaen"/>
                <w:sz w:val="24"/>
                <w:szCs w:val="24"/>
              </w:rPr>
              <w:tab/>
              <w:t xml:space="preserve">Ակտիվ դեղագործական բաղադրամասի մասնագրի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առաջնային փաթեթվածքի ընդունելիության չափորոշիչների պարամետրերի փոփոխությունը</w:t>
            </w:r>
          </w:p>
        </w:tc>
        <w:tc>
          <w:tcPr>
            <w:tcW w:w="1655" w:type="dxa"/>
            <w:gridSpan w:val="3"/>
            <w:tcBorders>
              <w:top w:val="single" w:sz="4" w:space="0" w:color="auto"/>
              <w:left w:val="single" w:sz="4" w:space="0" w:color="auto"/>
            </w:tcBorders>
            <w:shd w:val="clear" w:color="auto" w:fill="FFFFFF"/>
          </w:tcPr>
          <w:p w14:paraId="5639200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88E014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AD514F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F59CA04"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34C0367"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չափորոշիչների խստացումը</w:t>
            </w:r>
          </w:p>
        </w:tc>
        <w:tc>
          <w:tcPr>
            <w:tcW w:w="1655" w:type="dxa"/>
            <w:gridSpan w:val="3"/>
            <w:tcBorders>
              <w:top w:val="single" w:sz="4" w:space="0" w:color="auto"/>
              <w:left w:val="single" w:sz="4" w:space="0" w:color="auto"/>
            </w:tcBorders>
            <w:shd w:val="clear" w:color="auto" w:fill="FFFFFF"/>
          </w:tcPr>
          <w:p w14:paraId="062B536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472A2BE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37E2B58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284111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center"/>
          </w:tcPr>
          <w:p w14:paraId="02A7BF1E"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w:t>
            </w:r>
          </w:p>
        </w:tc>
        <w:tc>
          <w:tcPr>
            <w:tcW w:w="1655" w:type="dxa"/>
            <w:gridSpan w:val="3"/>
            <w:tcBorders>
              <w:top w:val="single" w:sz="4" w:space="0" w:color="auto"/>
              <w:left w:val="single" w:sz="4" w:space="0" w:color="auto"/>
            </w:tcBorders>
            <w:shd w:val="clear" w:color="auto" w:fill="FFFFFF"/>
          </w:tcPr>
          <w:p w14:paraId="785B963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42" w:type="dxa"/>
            <w:gridSpan w:val="3"/>
            <w:tcBorders>
              <w:top w:val="single" w:sz="4" w:space="0" w:color="auto"/>
              <w:left w:val="single" w:sz="4" w:space="0" w:color="auto"/>
            </w:tcBorders>
            <w:shd w:val="clear" w:color="auto" w:fill="FFFFFF"/>
          </w:tcPr>
          <w:p w14:paraId="6C9DF42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02AB590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9F85D2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F8FFF71"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բացառումը (օրինակ՝ հնացած պարամետրի բացառումը)</w:t>
            </w:r>
          </w:p>
        </w:tc>
        <w:tc>
          <w:tcPr>
            <w:tcW w:w="1655" w:type="dxa"/>
            <w:gridSpan w:val="3"/>
            <w:tcBorders>
              <w:top w:val="single" w:sz="4" w:space="0" w:color="auto"/>
              <w:left w:val="single" w:sz="4" w:space="0" w:color="auto"/>
            </w:tcBorders>
            <w:shd w:val="clear" w:color="auto" w:fill="FFFFFF"/>
          </w:tcPr>
          <w:p w14:paraId="72474DF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42" w:type="dxa"/>
            <w:gridSpan w:val="3"/>
            <w:tcBorders>
              <w:top w:val="single" w:sz="4" w:space="0" w:color="auto"/>
              <w:left w:val="single" w:sz="4" w:space="0" w:color="auto"/>
            </w:tcBorders>
            <w:shd w:val="clear" w:color="auto" w:fill="FFFFFF"/>
          </w:tcPr>
          <w:p w14:paraId="3487C11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98" w:type="dxa"/>
            <w:gridSpan w:val="3"/>
            <w:tcBorders>
              <w:top w:val="single" w:sz="4" w:space="0" w:color="auto"/>
              <w:left w:val="single" w:sz="4" w:space="0" w:color="auto"/>
              <w:right w:val="single" w:sz="4" w:space="0" w:color="auto"/>
            </w:tcBorders>
            <w:shd w:val="clear" w:color="auto" w:fill="FFFFFF"/>
          </w:tcPr>
          <w:p w14:paraId="57079BF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8F3D6D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81A8101"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մասնագրերի պարամետրերի ավելացումը կամ փոխարինումը՝ անվտանգության կամ որակի նկատառումներից ելնելով</w:t>
            </w:r>
          </w:p>
        </w:tc>
        <w:tc>
          <w:tcPr>
            <w:tcW w:w="1655" w:type="dxa"/>
            <w:gridSpan w:val="3"/>
            <w:tcBorders>
              <w:top w:val="single" w:sz="4" w:space="0" w:color="auto"/>
              <w:left w:val="single" w:sz="4" w:space="0" w:color="auto"/>
            </w:tcBorders>
            <w:shd w:val="clear" w:color="auto" w:fill="FFFFFF"/>
          </w:tcPr>
          <w:p w14:paraId="1BD3C30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5EEB2B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514A42D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610A0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D86365F" w14:textId="77777777" w:rsidR="008C76E0" w:rsidRPr="008C76E0" w:rsidRDefault="008C76E0" w:rsidP="008C76E0">
            <w:pPr>
              <w:pStyle w:val="Bodytext180"/>
              <w:shd w:val="clear" w:color="auto" w:fill="auto"/>
              <w:tabs>
                <w:tab w:val="left" w:pos="532"/>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0E0B7CD" w14:textId="77777777" w:rsidR="008C76E0" w:rsidRPr="008C76E0" w:rsidRDefault="008C76E0" w:rsidP="008C76E0">
            <w:pPr>
              <w:pStyle w:val="Bodytext180"/>
              <w:shd w:val="clear" w:color="auto" w:fill="auto"/>
              <w:tabs>
                <w:tab w:val="left" w:pos="532"/>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չափորոշիչների վերլուծության նպատակով նախկինում անցկացված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(օրինակ՝ դեղապատրաստուկի գրանցման կամ II տիպի փոփոխությունների ներմուծման ընթացքում), եթե միայն այն նախկինում չի քննարկվել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որպես հետագա դիտարկման միջոց:</w:t>
            </w:r>
          </w:p>
          <w:p w14:paraId="17F7EC6C"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փաթեթավորման նյութի արտադրության ընթացքում կամ ակտիվ դեղագործական բաղադրամասի պահպանման ժամանակ ծագած անկանխատեսելի </w:t>
            </w:r>
            <w:r w:rsidRPr="003B2786">
              <w:rPr>
                <w:rStyle w:val="Bodytext1811pt"/>
                <w:rFonts w:ascii="Sylfaen" w:hAnsi="Sylfaen"/>
                <w:sz w:val="24"/>
                <w:szCs w:val="24"/>
              </w:rPr>
              <w:lastRenderedPageBreak/>
              <w:t>իրավիճակի հետ</w:t>
            </w:r>
            <w:r w:rsidR="00C54D75">
              <w:rPr>
                <w:rStyle w:val="Bodytext1811pt"/>
                <w:rFonts w:ascii="Sylfaen" w:hAnsi="Sylfaen"/>
                <w:sz w:val="24"/>
                <w:szCs w:val="24"/>
              </w:rPr>
              <w:t>և</w:t>
            </w:r>
            <w:r w:rsidRPr="003B2786">
              <w:rPr>
                <w:rStyle w:val="Bodytext1811pt"/>
                <w:rFonts w:ascii="Sylfaen" w:hAnsi="Sylfaen"/>
                <w:sz w:val="24"/>
                <w:szCs w:val="24"/>
              </w:rPr>
              <w:t>անք չէ:</w:t>
            </w:r>
          </w:p>
          <w:p w14:paraId="1D35A083"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տեղավորվի ընդունելիության ընթացիկ հաստատված չափորոշիչների տիրույթում:</w:t>
            </w:r>
          </w:p>
          <w:p w14:paraId="2D5B7AB0"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297E7526"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ստանդարտ մեթոդների վրա, որոնք օգտագործվում են նորովի:</w:t>
            </w:r>
          </w:p>
        </w:tc>
      </w:tr>
      <w:tr w:rsidR="008C76E0" w:rsidRPr="003B2786" w14:paraId="2FE3885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CCA4C23"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27D7D154"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1D864BAD"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4411DC40"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7C3B6A20"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Փաթեթավորման նյութի 2 սերիաների վերլուծության տվյալները՝ ըստ մասնագրերի բոլոր պարամետրերի:</w:t>
            </w:r>
          </w:p>
          <w:p w14:paraId="0E633687"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Հիմնավորումը (ռիսկերի գնահատումը)՝ գրանցման հավաստագրի իրավատիրոջ կամ ԱԴՆՄՖ-ի իրավատիրոջ կողմից, որով հաստատվում է, որ ներարտադրական պարամետրը ոչ նշանակալի կամ հնացած է:</w:t>
            </w:r>
          </w:p>
          <w:p w14:paraId="0F2F97E9"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pacing w:val="-4"/>
                <w:sz w:val="24"/>
                <w:szCs w:val="24"/>
                <w:lang w:val="hy-AM"/>
              </w:rPr>
            </w:pPr>
            <w:r w:rsidRPr="008C76E0">
              <w:rPr>
                <w:rFonts w:ascii="Sylfaen" w:hAnsi="Sylfaen"/>
                <w:b w:val="0"/>
                <w:spacing w:val="-4"/>
                <w:sz w:val="24"/>
                <w:szCs w:val="24"/>
                <w:lang w:val="hy-AM"/>
              </w:rPr>
              <w:t xml:space="preserve">6. </w:t>
            </w:r>
            <w:r w:rsidRPr="003B2786">
              <w:rPr>
                <w:rStyle w:val="Bodytext1811pt"/>
                <w:rFonts w:ascii="Sylfaen" w:hAnsi="Sylfaen"/>
                <w:spacing w:val="-4"/>
                <w:sz w:val="24"/>
                <w:szCs w:val="24"/>
              </w:rPr>
              <w:t xml:space="preserve">Մասնագրի նոր պարամետրի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ընդունելիության նոր չափորոշիչների հիմնավորումը՝ ԳՀ-ի իրավատիրոջ կամ ԱԴՆՄՖ-ի իրավատիրոջ կողմից։ </w:t>
            </w:r>
          </w:p>
        </w:tc>
      </w:tr>
      <w:tr w:rsidR="008C76E0" w:rsidRPr="003B2786" w14:paraId="5B0EE8B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6F1F1AE" w14:textId="77777777" w:rsidR="008C76E0" w:rsidRPr="008C76E0" w:rsidRDefault="008C76E0" w:rsidP="008C76E0">
            <w:pPr>
              <w:pStyle w:val="Bodytext180"/>
              <w:shd w:val="clear" w:color="auto" w:fill="auto"/>
              <w:tabs>
                <w:tab w:val="left" w:pos="532"/>
                <w:tab w:val="left" w:pos="1113"/>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Բ.I.գ.З</w:t>
            </w:r>
            <w:r w:rsidRPr="003B2786">
              <w:rPr>
                <w:rStyle w:val="Bodytext1811pt"/>
                <w:rFonts w:ascii="Sylfaen" w:hAnsi="Sylfaen"/>
                <w:sz w:val="24"/>
                <w:szCs w:val="24"/>
              </w:rPr>
              <w:tab/>
              <w:t>Ակտիվ դեղագործական բաղադրամասի առաջնային փաթեթվածքի փորձարկման վերլուծական մեթոդիկայի փոփոխությունը</w:t>
            </w:r>
          </w:p>
        </w:tc>
        <w:tc>
          <w:tcPr>
            <w:tcW w:w="1655" w:type="dxa"/>
            <w:gridSpan w:val="3"/>
            <w:tcBorders>
              <w:top w:val="single" w:sz="4" w:space="0" w:color="auto"/>
              <w:left w:val="single" w:sz="4" w:space="0" w:color="auto"/>
            </w:tcBorders>
            <w:shd w:val="clear" w:color="auto" w:fill="FFFFFF"/>
          </w:tcPr>
          <w:p w14:paraId="4AD1810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24F6A5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BB071E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07F9C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6026BA0"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աննշան փոփոխությունները</w:t>
            </w:r>
          </w:p>
        </w:tc>
        <w:tc>
          <w:tcPr>
            <w:tcW w:w="1655" w:type="dxa"/>
            <w:gridSpan w:val="3"/>
            <w:tcBorders>
              <w:top w:val="single" w:sz="4" w:space="0" w:color="auto"/>
              <w:left w:val="single" w:sz="4" w:space="0" w:color="auto"/>
            </w:tcBorders>
            <w:shd w:val="clear" w:color="auto" w:fill="FFFFFF"/>
          </w:tcPr>
          <w:p w14:paraId="05E7CD5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42" w:type="dxa"/>
            <w:gridSpan w:val="3"/>
            <w:tcBorders>
              <w:top w:val="single" w:sz="4" w:space="0" w:color="auto"/>
              <w:left w:val="single" w:sz="4" w:space="0" w:color="auto"/>
            </w:tcBorders>
            <w:shd w:val="clear" w:color="auto" w:fill="FFFFFF"/>
          </w:tcPr>
          <w:p w14:paraId="28BD51E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01FB055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8E1E0D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B06ED3D"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այլ փոփոխությունները (ներառյալ՝ լրացումը կամ փոխարինումը)</w:t>
            </w:r>
          </w:p>
        </w:tc>
        <w:tc>
          <w:tcPr>
            <w:tcW w:w="1655" w:type="dxa"/>
            <w:gridSpan w:val="3"/>
            <w:tcBorders>
              <w:top w:val="single" w:sz="4" w:space="0" w:color="auto"/>
              <w:left w:val="single" w:sz="4" w:space="0" w:color="auto"/>
            </w:tcBorders>
            <w:shd w:val="clear" w:color="auto" w:fill="FFFFFF"/>
          </w:tcPr>
          <w:p w14:paraId="63C81DB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1, 3, 4</w:t>
            </w:r>
          </w:p>
        </w:tc>
        <w:tc>
          <w:tcPr>
            <w:tcW w:w="2042" w:type="dxa"/>
            <w:gridSpan w:val="3"/>
            <w:tcBorders>
              <w:top w:val="single" w:sz="4" w:space="0" w:color="auto"/>
              <w:left w:val="single" w:sz="4" w:space="0" w:color="auto"/>
            </w:tcBorders>
            <w:shd w:val="clear" w:color="auto" w:fill="FFFFFF"/>
          </w:tcPr>
          <w:p w14:paraId="0F29E10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54AAD60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1F2053B"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4C7BCCE8"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վերլուծական մեթոդիկայի բացառումը, եթե դրա այլընտրանքային մեթոդիկան արդեն հաստատված է</w:t>
            </w:r>
          </w:p>
        </w:tc>
        <w:tc>
          <w:tcPr>
            <w:tcW w:w="1655" w:type="dxa"/>
            <w:gridSpan w:val="3"/>
            <w:tcBorders>
              <w:top w:val="single" w:sz="4" w:space="0" w:color="auto"/>
              <w:left w:val="single" w:sz="4" w:space="0" w:color="auto"/>
              <w:bottom w:val="single" w:sz="4" w:space="0" w:color="auto"/>
            </w:tcBorders>
            <w:shd w:val="clear" w:color="auto" w:fill="FFFFFF"/>
          </w:tcPr>
          <w:p w14:paraId="4470C59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5</w:t>
            </w:r>
          </w:p>
        </w:tc>
        <w:tc>
          <w:tcPr>
            <w:tcW w:w="2042" w:type="dxa"/>
            <w:gridSpan w:val="3"/>
            <w:tcBorders>
              <w:top w:val="single" w:sz="4" w:space="0" w:color="auto"/>
              <w:left w:val="single" w:sz="4" w:space="0" w:color="auto"/>
              <w:bottom w:val="single" w:sz="4" w:space="0" w:color="auto"/>
            </w:tcBorders>
            <w:shd w:val="clear" w:color="auto" w:fill="FFFFFF"/>
          </w:tcPr>
          <w:p w14:paraId="3558D52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2BF5DB7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A3407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CBF7277"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7970464"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Միության համապատասխան փաստաթղթերի համաձայն՝ անցկացվել է անհրաժեշտ վալիդացում, որով հաստատվում է, որ թարմացված վերլուծական մեթոդիկան առնվազն համարժեք է նախորդին:</w:t>
            </w:r>
          </w:p>
          <w:p w14:paraId="67903CE7"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բայց ոչ սյունակի այլ տեսակը կամ մեթոդը):</w:t>
            </w:r>
          </w:p>
          <w:p w14:paraId="237D5C30"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մեթոդների կամ ստանդարտ մեթոդների վրա, որոնք օգտագործվում են նորովի:</w:t>
            </w:r>
          </w:p>
          <w:p w14:paraId="1B4650FE"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(դեղապատրաստուկը) կենսաբանական (իմունաբանական) չէ:</w:t>
            </w:r>
          </w:p>
          <w:p w14:paraId="739DD28C"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պարամետրի նկատմամբ պահպանվում է վերլուծական մեթոդիկան, ընդ որում, այդպիսի մեթոդիկան չի ավելացվել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7AB42F6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9EDF085"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8311AD9"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բաժնի (բաժինների) ուղղումը, ներառյալ՝ վերլուծական մեթոդիկայի նկարագրությունը, վալիդացման տվյալների ռեզյումեն:</w:t>
            </w:r>
          </w:p>
          <w:p w14:paraId="4EDFCC79"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որոնք հաստատում են, որ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փորձարկումները համարժեք են: Սույն պահանջը չի կիրառվում, եթե ավելացվում է նոր վերլուծական մեթոդիկա:</w:t>
            </w:r>
          </w:p>
        </w:tc>
      </w:tr>
      <w:tr w:rsidR="008C76E0" w:rsidRPr="003B2786" w14:paraId="10A523AF"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6D8B360B" w14:textId="77777777" w:rsidR="008C76E0" w:rsidRPr="003B2786" w:rsidRDefault="008C76E0" w:rsidP="008C76E0">
            <w:pPr>
              <w:pStyle w:val="Bodytext180"/>
              <w:shd w:val="clear" w:color="auto" w:fill="auto"/>
              <w:tabs>
                <w:tab w:val="left" w:pos="573"/>
              </w:tabs>
              <w:spacing w:before="0" w:after="120" w:line="240" w:lineRule="auto"/>
              <w:ind w:right="-1" w:firstLine="0"/>
              <w:jc w:val="both"/>
              <w:rPr>
                <w:rFonts w:ascii="Sylfaen" w:hAnsi="Sylfaen"/>
                <w:sz w:val="24"/>
                <w:szCs w:val="24"/>
              </w:rPr>
            </w:pPr>
            <w:r w:rsidRPr="003B2786">
              <w:rPr>
                <w:rStyle w:val="Bodytext295pt"/>
                <w:rFonts w:ascii="Sylfaen" w:hAnsi="Sylfaen"/>
                <w:sz w:val="24"/>
                <w:szCs w:val="24"/>
              </w:rPr>
              <w:t>Բ.I.դ)</w:t>
            </w:r>
            <w:r w:rsidRPr="003B2786">
              <w:rPr>
                <w:rStyle w:val="Bodytext295pt"/>
                <w:rFonts w:ascii="Sylfaen" w:hAnsi="Sylfaen"/>
                <w:sz w:val="24"/>
                <w:szCs w:val="24"/>
              </w:rPr>
              <w:tab/>
              <w:t>Կայունություն</w:t>
            </w:r>
          </w:p>
        </w:tc>
      </w:tr>
      <w:tr w:rsidR="008C76E0" w:rsidRPr="003B2786" w14:paraId="3B5EF63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A56A267" w14:textId="77777777" w:rsidR="008C76E0" w:rsidRPr="008C76E0" w:rsidRDefault="008C76E0" w:rsidP="008C76E0">
            <w:pPr>
              <w:pStyle w:val="Bodytext180"/>
              <w:shd w:val="clear" w:color="auto" w:fill="auto"/>
              <w:tabs>
                <w:tab w:val="left" w:pos="573"/>
              </w:tabs>
              <w:spacing w:before="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Բ.I.դ.1.</w:t>
            </w:r>
            <w:r w:rsidRPr="003B2786">
              <w:rPr>
                <w:rStyle w:val="Bodytext1811pt"/>
                <w:rFonts w:ascii="Sylfaen" w:hAnsi="Sylfaen"/>
                <w:sz w:val="24"/>
                <w:szCs w:val="24"/>
              </w:rPr>
              <w:tab/>
              <w:t>Ակտիվ դեղագործական բաղադրամասի կրկնակի փորձարկման ժամկետի (պահպանման ժամկետի) կամ պահպանման պայմանների փոփոխությունը, եթե գրանցման դոսյեում բացակայում է Եվրոպական դեղագրքին համապատասխանության հավաստագիրը, որն ընդգրկում է կրկնակի փորձարկման ժամանակահատվածը</w:t>
            </w:r>
          </w:p>
        </w:tc>
        <w:tc>
          <w:tcPr>
            <w:tcW w:w="1655" w:type="dxa"/>
            <w:gridSpan w:val="3"/>
            <w:tcBorders>
              <w:top w:val="single" w:sz="4" w:space="0" w:color="auto"/>
              <w:left w:val="single" w:sz="4" w:space="0" w:color="auto"/>
            </w:tcBorders>
            <w:shd w:val="clear" w:color="auto" w:fill="FFFFFF"/>
          </w:tcPr>
          <w:p w14:paraId="58A11B3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79EDA7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6430B36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23F949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4517A119"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Կրկնակի փորձարկման ժամանակահատվածը (պահպանման ժամանակահատվածը)</w:t>
            </w:r>
          </w:p>
        </w:tc>
        <w:tc>
          <w:tcPr>
            <w:tcW w:w="1655" w:type="dxa"/>
            <w:gridSpan w:val="3"/>
            <w:tcBorders>
              <w:top w:val="single" w:sz="4" w:space="0" w:color="auto"/>
              <w:left w:val="single" w:sz="4" w:space="0" w:color="auto"/>
            </w:tcBorders>
            <w:shd w:val="clear" w:color="auto" w:fill="FFFFFF"/>
          </w:tcPr>
          <w:p w14:paraId="368C1A1E"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37D2C92A"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2C7C290D"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7601F28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C334508" w14:textId="77777777" w:rsidR="008C76E0" w:rsidRPr="003B2786" w:rsidRDefault="008C76E0" w:rsidP="008C76E0">
            <w:pPr>
              <w:pStyle w:val="Bodytext180"/>
              <w:numPr>
                <w:ilvl w:val="0"/>
                <w:numId w:val="17"/>
              </w:numPr>
              <w:shd w:val="clear" w:color="auto" w:fill="auto"/>
              <w:tabs>
                <w:tab w:val="left" w:pos="573"/>
              </w:tabs>
              <w:spacing w:before="0" w:after="120" w:line="240" w:lineRule="auto"/>
              <w:ind w:left="39" w:right="50"/>
              <w:jc w:val="both"/>
              <w:rPr>
                <w:rFonts w:ascii="Sylfaen" w:hAnsi="Sylfaen"/>
                <w:b w:val="0"/>
                <w:sz w:val="24"/>
                <w:szCs w:val="24"/>
              </w:rPr>
            </w:pPr>
            <w:r w:rsidRPr="003B2786">
              <w:rPr>
                <w:rStyle w:val="Bodytext1811pt"/>
                <w:rFonts w:ascii="Sylfaen" w:hAnsi="Sylfaen"/>
                <w:sz w:val="24"/>
                <w:szCs w:val="24"/>
              </w:rPr>
              <w:t>Կրճատումը</w:t>
            </w:r>
          </w:p>
        </w:tc>
        <w:tc>
          <w:tcPr>
            <w:tcW w:w="1655" w:type="dxa"/>
            <w:gridSpan w:val="3"/>
            <w:tcBorders>
              <w:top w:val="single" w:sz="4" w:space="0" w:color="auto"/>
              <w:left w:val="single" w:sz="4" w:space="0" w:color="auto"/>
            </w:tcBorders>
            <w:shd w:val="clear" w:color="auto" w:fill="FFFFFF"/>
          </w:tcPr>
          <w:p w14:paraId="65EC333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3176F4F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3B9FA17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FC7F05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3C1E389"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Կայունության տվյալների արտարկման եղանակով կրկնակի փորձարկման ժամանակահատվածի երկարաձգումը, որը չի համապատասխանում Միության փաստաթղթերին (*)</w:t>
            </w:r>
          </w:p>
        </w:tc>
        <w:tc>
          <w:tcPr>
            <w:tcW w:w="1655" w:type="dxa"/>
            <w:gridSpan w:val="3"/>
            <w:tcBorders>
              <w:top w:val="single" w:sz="4" w:space="0" w:color="auto"/>
              <w:left w:val="single" w:sz="4" w:space="0" w:color="auto"/>
            </w:tcBorders>
            <w:shd w:val="clear" w:color="auto" w:fill="FFFFFF"/>
          </w:tcPr>
          <w:p w14:paraId="0042C52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C914BF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D1C3FC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F6D692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45B154B" w14:textId="77777777" w:rsidR="008C76E0" w:rsidRPr="008C76E0" w:rsidRDefault="008C76E0" w:rsidP="008C76E0">
            <w:pPr>
              <w:pStyle w:val="Bodytext180"/>
              <w:shd w:val="clear" w:color="auto" w:fill="auto"/>
              <w:tabs>
                <w:tab w:val="left" w:pos="573"/>
              </w:tabs>
              <w:spacing w:before="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Կենսաբանական (իմունաբանական) ակտիվ դեղագործական բաղադրամասի պահպանման ժամանակահատվածի երկարաձգումը, որը չի համապատասխանում կայունության ուսումնասիրման հաստատված </w:t>
            </w:r>
            <w:r w:rsidRPr="003B2786">
              <w:rPr>
                <w:rStyle w:val="Bodytext1811pt"/>
                <w:rFonts w:ascii="Sylfaen" w:hAnsi="Sylfaen"/>
                <w:sz w:val="24"/>
                <w:szCs w:val="24"/>
              </w:rPr>
              <w:lastRenderedPageBreak/>
              <w:t>ծրագրին</w:t>
            </w:r>
          </w:p>
        </w:tc>
        <w:tc>
          <w:tcPr>
            <w:tcW w:w="1655" w:type="dxa"/>
            <w:gridSpan w:val="3"/>
            <w:tcBorders>
              <w:top w:val="single" w:sz="4" w:space="0" w:color="auto"/>
              <w:left w:val="single" w:sz="4" w:space="0" w:color="auto"/>
            </w:tcBorders>
            <w:shd w:val="clear" w:color="auto" w:fill="FFFFFF"/>
          </w:tcPr>
          <w:p w14:paraId="354C84C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538DEE4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6F9FD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7B036C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3672AE5"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Կրկնակի փորձարկման ժամանակահատվածի (պահպանման ժամկետի) երկարաձգումը կամ ներմուծումը, որը հաստատվել է բնական պահպանման տվյալներով</w:t>
            </w:r>
          </w:p>
        </w:tc>
        <w:tc>
          <w:tcPr>
            <w:tcW w:w="1655" w:type="dxa"/>
            <w:gridSpan w:val="3"/>
            <w:tcBorders>
              <w:top w:val="single" w:sz="4" w:space="0" w:color="auto"/>
              <w:left w:val="single" w:sz="4" w:space="0" w:color="auto"/>
            </w:tcBorders>
            <w:shd w:val="clear" w:color="auto" w:fill="FFFFFF"/>
          </w:tcPr>
          <w:p w14:paraId="07E5827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0ACAB8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1E185CE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0E3D0A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E3125C3" w14:textId="77777777" w:rsidR="008C76E0" w:rsidRPr="003B2786"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Պահպանման պայմանները</w:t>
            </w:r>
          </w:p>
        </w:tc>
        <w:tc>
          <w:tcPr>
            <w:tcW w:w="1655" w:type="dxa"/>
            <w:gridSpan w:val="3"/>
            <w:tcBorders>
              <w:top w:val="single" w:sz="4" w:space="0" w:color="auto"/>
              <w:left w:val="single" w:sz="4" w:space="0" w:color="auto"/>
            </w:tcBorders>
            <w:shd w:val="clear" w:color="auto" w:fill="FFFFFF"/>
          </w:tcPr>
          <w:p w14:paraId="2E8284A8"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6027DA33"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73EAC711"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6A10E79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EC7C1A1" w14:textId="77777777" w:rsidR="008C76E0" w:rsidRPr="008C76E0" w:rsidRDefault="008C76E0" w:rsidP="008C76E0">
            <w:pPr>
              <w:pStyle w:val="Bodytext180"/>
              <w:numPr>
                <w:ilvl w:val="0"/>
                <w:numId w:val="18"/>
              </w:numPr>
              <w:shd w:val="clear" w:color="auto" w:fill="auto"/>
              <w:tabs>
                <w:tab w:val="left" w:pos="573"/>
              </w:tabs>
              <w:spacing w:before="0" w:after="120" w:line="240" w:lineRule="auto"/>
              <w:ind w:left="40" w:right="51" w:hanging="4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 պահպանման պայմանների փոփոխությունը՝ առավել խիստ պայմանների</w:t>
            </w:r>
          </w:p>
        </w:tc>
        <w:tc>
          <w:tcPr>
            <w:tcW w:w="1655" w:type="dxa"/>
            <w:gridSpan w:val="3"/>
            <w:tcBorders>
              <w:top w:val="single" w:sz="4" w:space="0" w:color="auto"/>
              <w:left w:val="single" w:sz="4" w:space="0" w:color="auto"/>
            </w:tcBorders>
            <w:shd w:val="clear" w:color="auto" w:fill="FFFFFF"/>
          </w:tcPr>
          <w:p w14:paraId="205BEAB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0149702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795FC4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7509CBE"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591A157" w14:textId="77777777" w:rsidR="008C76E0" w:rsidRPr="003B2786"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Պահպանման պայմանների փոփոխությունը</w:t>
            </w:r>
          </w:p>
        </w:tc>
        <w:tc>
          <w:tcPr>
            <w:tcW w:w="1655" w:type="dxa"/>
            <w:gridSpan w:val="3"/>
            <w:tcBorders>
              <w:top w:val="single" w:sz="4" w:space="0" w:color="auto"/>
              <w:left w:val="single" w:sz="4" w:space="0" w:color="auto"/>
              <w:bottom w:val="single" w:sz="4" w:space="0" w:color="auto"/>
            </w:tcBorders>
            <w:shd w:val="clear" w:color="auto" w:fill="FFFFFF"/>
          </w:tcPr>
          <w:p w14:paraId="5EE7486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69D1109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476A97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014770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A99DC52"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կենսաբանական (իմունաբանական) դեղագործական ակտիվ բաղադրամասերի պահպանման պայմանների փոփոխությունը, եթե կայունության հետազոտությունները չեն անցկացվել կայունության ընթացիկ հաստատված արձանագրությանը համապատասխան</w:t>
            </w:r>
          </w:p>
        </w:tc>
        <w:tc>
          <w:tcPr>
            <w:tcW w:w="1655" w:type="dxa"/>
            <w:gridSpan w:val="3"/>
            <w:tcBorders>
              <w:top w:val="single" w:sz="4" w:space="0" w:color="auto"/>
              <w:left w:val="single" w:sz="4" w:space="0" w:color="auto"/>
            </w:tcBorders>
            <w:shd w:val="clear" w:color="auto" w:fill="FFFFFF"/>
          </w:tcPr>
          <w:p w14:paraId="5BA61193"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0CFD21CD"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66067070"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612C79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C26B7BC"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Ակտիվ դեղագործական բաղադրամասի պահպանման պայմանների փոփոխությունը</w:t>
            </w:r>
          </w:p>
        </w:tc>
        <w:tc>
          <w:tcPr>
            <w:tcW w:w="1655" w:type="dxa"/>
            <w:gridSpan w:val="3"/>
            <w:tcBorders>
              <w:top w:val="single" w:sz="4" w:space="0" w:color="auto"/>
              <w:left w:val="single" w:sz="4" w:space="0" w:color="auto"/>
            </w:tcBorders>
            <w:shd w:val="clear" w:color="auto" w:fill="FFFFFF"/>
          </w:tcPr>
          <w:p w14:paraId="046374A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767DE2F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5679B49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F2210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697F1264"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Կայունության ուսումնասիրության հաստատված ծրագրի փոփոխությունը</w:t>
            </w:r>
          </w:p>
        </w:tc>
        <w:tc>
          <w:tcPr>
            <w:tcW w:w="1655" w:type="dxa"/>
            <w:gridSpan w:val="3"/>
            <w:tcBorders>
              <w:top w:val="single" w:sz="4" w:space="0" w:color="auto"/>
              <w:left w:val="single" w:sz="4" w:space="0" w:color="auto"/>
            </w:tcBorders>
            <w:shd w:val="clear" w:color="auto" w:fill="FFFFFF"/>
          </w:tcPr>
          <w:p w14:paraId="4AF164D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42" w:type="dxa"/>
            <w:gridSpan w:val="3"/>
            <w:tcBorders>
              <w:top w:val="single" w:sz="4" w:space="0" w:color="auto"/>
              <w:left w:val="single" w:sz="4" w:space="0" w:color="auto"/>
            </w:tcBorders>
            <w:shd w:val="clear" w:color="auto" w:fill="FFFFFF"/>
          </w:tcPr>
          <w:p w14:paraId="29B55B4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1, 4</w:t>
            </w:r>
          </w:p>
        </w:tc>
        <w:tc>
          <w:tcPr>
            <w:tcW w:w="2098" w:type="dxa"/>
            <w:gridSpan w:val="3"/>
            <w:tcBorders>
              <w:top w:val="single" w:sz="4" w:space="0" w:color="auto"/>
              <w:left w:val="single" w:sz="4" w:space="0" w:color="auto"/>
              <w:right w:val="single" w:sz="4" w:space="0" w:color="auto"/>
            </w:tcBorders>
            <w:shd w:val="clear" w:color="auto" w:fill="FFFFFF"/>
          </w:tcPr>
          <w:p w14:paraId="2D7B72D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0FCA10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AE947AF"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26FC516"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որոնք առաջացել են արտադրության կամ կայունության փոփոխության ընթացքում։</w:t>
            </w:r>
          </w:p>
          <w:p w14:paraId="24E8C5E5"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Փոփոխությունները չեն հանգեցնում փորձարկվող պարամետրերի ընդունելիության չափորոշիչների ընդլայնմանը, կայունության պարամետրերի բացառմանը կամ փորձարկման հաճախականության նվազեցմանը:</w:t>
            </w:r>
          </w:p>
        </w:tc>
      </w:tr>
      <w:tr w:rsidR="008C76E0" w:rsidRPr="003B2786" w14:paraId="7AA6E5BE"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6BB7F23" w14:textId="77777777" w:rsidR="008C76E0" w:rsidRPr="003B2786"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rPr>
            </w:pPr>
            <w:r w:rsidRPr="003B2786">
              <w:rPr>
                <w:rStyle w:val="Bodytext1811pt"/>
                <w:rFonts w:ascii="Sylfaen" w:hAnsi="Sylfaen"/>
                <w:sz w:val="24"/>
                <w:szCs w:val="24"/>
              </w:rPr>
              <w:t>Փաստաթղթերը</w:t>
            </w:r>
          </w:p>
          <w:p w14:paraId="22092E85" w14:textId="77777777" w:rsidR="008C76E0" w:rsidRPr="003B2786" w:rsidRDefault="008C76E0" w:rsidP="008C76E0">
            <w:pPr>
              <w:pStyle w:val="Bodytext180"/>
              <w:numPr>
                <w:ilvl w:val="0"/>
                <w:numId w:val="16"/>
              </w:numPr>
              <w:shd w:val="clear" w:color="auto" w:fill="auto"/>
              <w:tabs>
                <w:tab w:val="left" w:pos="573"/>
              </w:tabs>
              <w:spacing w:before="0" w:after="120" w:line="240" w:lineRule="auto"/>
              <w:ind w:left="39" w:right="44" w:firstLine="0"/>
              <w:jc w:val="both"/>
              <w:rPr>
                <w:rStyle w:val="Bodytext1811pt"/>
                <w:rFonts w:ascii="Sylfaen" w:hAnsi="Sylfaen"/>
                <w:sz w:val="24"/>
                <w:szCs w:val="24"/>
              </w:rPr>
            </w:pPr>
            <w:r w:rsidRPr="003B2786">
              <w:rPr>
                <w:rStyle w:val="Bodytext1811pt"/>
                <w:rFonts w:ascii="Sylfaen" w:hAnsi="Sylfaen"/>
                <w:sz w:val="24"/>
                <w:szCs w:val="24"/>
              </w:rPr>
              <w:t xml:space="preserve">Դոսյեի համապատասխան բաժնում ուղղումը։ </w:t>
            </w:r>
          </w:p>
          <w:p w14:paraId="554A5EC2"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 xml:space="preserve">Անհրաժեշտ է ներկայացնել կայունության համապատասխան այն հետազոտությունների արդյունքներն իրական ժամանակում, որոնք անցկացվել են կայունության համապատասխան ձեռնարկներին համապատասխան՝ ակտիվ դեղագործական բաղադրամասի առնվազն 2 (կենսաբանական դեղապատրաստուկների համար` երեք) փորձարարաարդյունաբերական կամ արդյունաբերական սերիաների նկատմամբ, որոնք փաթեթավորվել են գրանցված </w:t>
            </w:r>
            <w:r w:rsidRPr="003B2786">
              <w:rPr>
                <w:rStyle w:val="Bodytext1811pt"/>
                <w:rFonts w:ascii="Sylfaen" w:hAnsi="Sylfaen"/>
                <w:sz w:val="24"/>
                <w:szCs w:val="24"/>
              </w:rPr>
              <w:lastRenderedPageBreak/>
              <w:t xml:space="preserve">փաթեթավորման նյութով </w:t>
            </w:r>
            <w:r w:rsidR="00C54D75">
              <w:rPr>
                <w:rStyle w:val="Bodytext1811pt"/>
                <w:rFonts w:ascii="Sylfaen" w:hAnsi="Sylfaen"/>
                <w:sz w:val="24"/>
                <w:szCs w:val="24"/>
              </w:rPr>
              <w:t>և</w:t>
            </w:r>
            <w:r w:rsidRPr="003B2786">
              <w:rPr>
                <w:rStyle w:val="Bodytext1811pt"/>
                <w:rFonts w:ascii="Sylfaen" w:hAnsi="Sylfaen"/>
                <w:sz w:val="24"/>
                <w:szCs w:val="24"/>
              </w:rPr>
              <w:t xml:space="preserve"> ներառում են կրկնակի փորձարկման ամբողջ նախատեսված ժամանակահատվածը կամ առաջարկվող պահպանման պայմանները:</w:t>
            </w:r>
          </w:p>
          <w:p w14:paraId="21222C65"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Հաստատումն այն բանի, որ կայունության հետազոտություններն անցկացվել են ընթացիկ հաստատված ծրագրին համապատասխան: Հետազոտության արդյունքները պետք է հաստատեն, որ համապատասխան հաստատված մասնագրերը շարունակվում են պահպանվել:</w:t>
            </w:r>
          </w:p>
          <w:p w14:paraId="370DD218"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Դեղագործական ակտիվ բաղադրամասի հաստատված մասնագրերի պատճենները։</w:t>
            </w:r>
          </w:p>
          <w:p w14:paraId="2841AD6D" w14:textId="77777777" w:rsidR="008C76E0" w:rsidRPr="003B2786"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Առաջարկվող փոփոխությունների հիմնավորումը։</w:t>
            </w:r>
          </w:p>
        </w:tc>
      </w:tr>
      <w:tr w:rsidR="008C76E0" w:rsidRPr="003B2786" w14:paraId="7755B7D9" w14:textId="77777777" w:rsidTr="008C76E0">
        <w:trPr>
          <w:gridAfter w:val="1"/>
          <w:wAfter w:w="14" w:type="dxa"/>
          <w:jc w:val="center"/>
        </w:trPr>
        <w:tc>
          <w:tcPr>
            <w:tcW w:w="1993" w:type="dxa"/>
            <w:tcBorders>
              <w:top w:val="single" w:sz="4" w:space="0" w:color="auto"/>
              <w:left w:val="single" w:sz="4" w:space="0" w:color="auto"/>
            </w:tcBorders>
            <w:shd w:val="clear" w:color="auto" w:fill="FFFFFF"/>
          </w:tcPr>
          <w:p w14:paraId="6FC89E3C" w14:textId="77777777" w:rsidR="008C76E0" w:rsidRPr="003B2786" w:rsidRDefault="008C76E0" w:rsidP="008C76E0">
            <w:pPr>
              <w:pStyle w:val="Bodytext180"/>
              <w:shd w:val="clear" w:color="auto" w:fill="auto"/>
              <w:tabs>
                <w:tab w:val="left" w:pos="573"/>
              </w:tabs>
              <w:spacing w:before="0" w:after="120" w:line="240" w:lineRule="auto"/>
              <w:ind w:right="-1" w:firstLine="0"/>
              <w:jc w:val="both"/>
              <w:rPr>
                <w:rFonts w:ascii="Sylfaen" w:hAnsi="Sylfaen"/>
                <w:b w:val="0"/>
                <w:sz w:val="24"/>
                <w:szCs w:val="24"/>
              </w:rPr>
            </w:pPr>
            <w:r w:rsidRPr="003B2786">
              <w:rPr>
                <w:rFonts w:ascii="Sylfaen" w:hAnsi="Sylfaen"/>
                <w:b w:val="0"/>
                <w:sz w:val="24"/>
                <w:szCs w:val="24"/>
              </w:rPr>
              <w:lastRenderedPageBreak/>
              <w:t>(*) Ծանոթագրություն</w:t>
            </w:r>
          </w:p>
        </w:tc>
        <w:tc>
          <w:tcPr>
            <w:tcW w:w="8394" w:type="dxa"/>
            <w:gridSpan w:val="13"/>
            <w:tcBorders>
              <w:top w:val="single" w:sz="4" w:space="0" w:color="auto"/>
              <w:left w:val="single" w:sz="4" w:space="0" w:color="auto"/>
              <w:right w:val="single" w:sz="4" w:space="0" w:color="auto"/>
            </w:tcBorders>
            <w:shd w:val="clear" w:color="auto" w:fill="FFFFFF"/>
            <w:vAlign w:val="bottom"/>
          </w:tcPr>
          <w:p w14:paraId="7E6B5981" w14:textId="77777777" w:rsidR="008C76E0" w:rsidRPr="003B2786" w:rsidRDefault="008C76E0" w:rsidP="008C76E0">
            <w:pPr>
              <w:pStyle w:val="Bodytext180"/>
              <w:shd w:val="clear" w:color="auto" w:fill="auto"/>
              <w:tabs>
                <w:tab w:val="left" w:pos="573"/>
              </w:tabs>
              <w:spacing w:before="0" w:after="120" w:line="240" w:lineRule="auto"/>
              <w:ind w:right="44" w:firstLine="0"/>
              <w:jc w:val="both"/>
              <w:rPr>
                <w:rFonts w:ascii="Sylfaen" w:hAnsi="Sylfaen"/>
                <w:b w:val="0"/>
                <w:sz w:val="24"/>
                <w:szCs w:val="24"/>
              </w:rPr>
            </w:pPr>
            <w:r w:rsidRPr="003B2786">
              <w:rPr>
                <w:rStyle w:val="Bodytext1811pt"/>
                <w:rFonts w:ascii="Sylfaen" w:hAnsi="Sylfaen"/>
                <w:sz w:val="24"/>
                <w:szCs w:val="24"/>
              </w:rPr>
              <w:t>Կրկնակի փորձարկման ժամանակահատվածը կիրառելի չէ կենսաբանական (իմունաբանական) ակտիվ դեղագործական նյութերի նկատմամբ</w:t>
            </w:r>
          </w:p>
        </w:tc>
      </w:tr>
      <w:tr w:rsidR="008C76E0" w:rsidRPr="003B2786" w14:paraId="40F39D0D"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2E7B0821" w14:textId="77777777" w:rsidR="008C76E0" w:rsidRPr="008C76E0" w:rsidRDefault="008C76E0" w:rsidP="008C76E0">
            <w:pPr>
              <w:pStyle w:val="Bodytext180"/>
              <w:shd w:val="clear" w:color="auto" w:fill="auto"/>
              <w:tabs>
                <w:tab w:val="left" w:pos="573"/>
              </w:tabs>
              <w:spacing w:before="0" w:after="120" w:line="240" w:lineRule="auto"/>
              <w:ind w:right="-1" w:firstLine="0"/>
              <w:jc w:val="both"/>
              <w:rPr>
                <w:rFonts w:ascii="Sylfaen" w:hAnsi="Sylfaen"/>
                <w:sz w:val="24"/>
                <w:szCs w:val="24"/>
                <w:lang w:val="hy-AM"/>
              </w:rPr>
            </w:pPr>
            <w:r w:rsidRPr="003B2786">
              <w:rPr>
                <w:rStyle w:val="Bodytext295pt"/>
                <w:rFonts w:ascii="Sylfaen" w:hAnsi="Sylfaen"/>
                <w:sz w:val="24"/>
                <w:szCs w:val="24"/>
              </w:rPr>
              <w:t>Բ.I.ե)</w:t>
            </w:r>
            <w:r w:rsidRPr="003B2786">
              <w:rPr>
                <w:rStyle w:val="Bodytext295pt"/>
                <w:rFonts w:ascii="Sylfaen" w:hAnsi="Sylfaen"/>
                <w:sz w:val="24"/>
                <w:szCs w:val="24"/>
              </w:rPr>
              <w:tab/>
              <w:t xml:space="preserve">Հետգրանցումային փոփոխությունների ծրագրային դաշտը </w:t>
            </w:r>
            <w:r w:rsidR="00C54D75">
              <w:rPr>
                <w:rStyle w:val="Bodytext295pt"/>
                <w:rFonts w:ascii="Sylfaen" w:hAnsi="Sylfaen"/>
                <w:sz w:val="24"/>
                <w:szCs w:val="24"/>
              </w:rPr>
              <w:t>և</w:t>
            </w:r>
            <w:r w:rsidRPr="003B2786">
              <w:rPr>
                <w:rStyle w:val="Bodytext295pt"/>
                <w:rFonts w:ascii="Sylfaen" w:hAnsi="Sylfaen"/>
                <w:sz w:val="24"/>
                <w:szCs w:val="24"/>
              </w:rPr>
              <w:t xml:space="preserve"> արձանագրությունը</w:t>
            </w:r>
          </w:p>
        </w:tc>
      </w:tr>
      <w:tr w:rsidR="008C76E0" w:rsidRPr="003B2786" w14:paraId="0BB1ACB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CDCC500"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Բ.I.ե.1.</w:t>
            </w:r>
            <w:r w:rsidRPr="003B2786">
              <w:rPr>
                <w:rStyle w:val="Bodytext1811pt"/>
                <w:rFonts w:ascii="Sylfaen" w:hAnsi="Sylfaen"/>
                <w:sz w:val="24"/>
                <w:szCs w:val="24"/>
              </w:rPr>
              <w:tab/>
              <w:t>Նոր նախագծային դաշտի ներդրումը կամ ակտիվ դեղագործական բաղադրամասի հաստատված նախագծային դաշտի ընդլայնումը, որն առնչվում է</w:t>
            </w:r>
          </w:p>
        </w:tc>
        <w:tc>
          <w:tcPr>
            <w:tcW w:w="1655" w:type="dxa"/>
            <w:gridSpan w:val="3"/>
            <w:tcBorders>
              <w:top w:val="single" w:sz="4" w:space="0" w:color="auto"/>
              <w:left w:val="single" w:sz="4" w:space="0" w:color="auto"/>
            </w:tcBorders>
            <w:shd w:val="clear" w:color="auto" w:fill="FFFFFF"/>
          </w:tcPr>
          <w:p w14:paraId="1C7E83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C8A211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A24AA9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3096E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A3BA8FF"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ակտիվ դեղագործական բաղադրամասի արտադրության գործընթացի մեկ օպերացիոն միավորին, ներառյալ՝ համապատասխան ներարտադրական հսկողությունը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վերլուծական մեթոդիկաները</w:t>
            </w:r>
          </w:p>
        </w:tc>
        <w:tc>
          <w:tcPr>
            <w:tcW w:w="1655" w:type="dxa"/>
            <w:gridSpan w:val="3"/>
            <w:tcBorders>
              <w:top w:val="single" w:sz="4" w:space="0" w:color="auto"/>
              <w:left w:val="single" w:sz="4" w:space="0" w:color="auto"/>
            </w:tcBorders>
            <w:shd w:val="clear" w:color="auto" w:fill="FFFFFF"/>
          </w:tcPr>
          <w:p w14:paraId="1DCF012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96CDA3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4FFC32A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7C557EC"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tcPr>
          <w:p w14:paraId="781ABC8A"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ելանյութերի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ակտիվ դեղագործական բաղադրամասի վերլուծական մեթոդիկաներին</w:t>
            </w:r>
          </w:p>
        </w:tc>
        <w:tc>
          <w:tcPr>
            <w:tcW w:w="1655" w:type="dxa"/>
            <w:gridSpan w:val="3"/>
            <w:tcBorders>
              <w:top w:val="single" w:sz="4" w:space="0" w:color="auto"/>
              <w:left w:val="single" w:sz="4" w:space="0" w:color="auto"/>
              <w:bottom w:val="single" w:sz="4" w:space="0" w:color="auto"/>
            </w:tcBorders>
            <w:shd w:val="clear" w:color="auto" w:fill="FFFFFF"/>
          </w:tcPr>
          <w:p w14:paraId="34BFEE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421C1C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4B72A2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7723A97"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tcPr>
          <w:p w14:paraId="38CAA099"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07FD955" w14:textId="77777777" w:rsidR="008C76E0" w:rsidRPr="008C76E0" w:rsidRDefault="008C76E0" w:rsidP="008C76E0">
            <w:pPr>
              <w:pStyle w:val="Bodytext180"/>
              <w:shd w:val="clear" w:color="auto" w:fill="auto"/>
              <w:tabs>
                <w:tab w:val="left" w:pos="573"/>
              </w:tabs>
              <w:spacing w:before="0" w:after="120" w:line="240" w:lineRule="auto"/>
              <w:ind w:left="51"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Նախագծային դաշտը մշակվել է Միության համապատասխան փաստաթղթերի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միջազգային գիտական ձեռնարկների հիման վրա։ Արտադրանքի, գործընթացի մշակման </w:t>
            </w:r>
            <w:r w:rsidR="00C54D75">
              <w:rPr>
                <w:rStyle w:val="Bodytext1811pt"/>
                <w:rFonts w:ascii="Sylfaen" w:hAnsi="Sylfaen"/>
                <w:sz w:val="24"/>
                <w:szCs w:val="24"/>
              </w:rPr>
              <w:t>և</w:t>
            </w:r>
            <w:r w:rsidRPr="003B2786">
              <w:rPr>
                <w:rStyle w:val="Bodytext1811pt"/>
                <w:rFonts w:ascii="Sylfaen" w:hAnsi="Sylfaen"/>
                <w:sz w:val="24"/>
                <w:szCs w:val="24"/>
              </w:rPr>
              <w:t xml:space="preserve"> վերլուծական մեթոդոլոգիայի հետազոտությունների արդյունքները (օրինակ՝ տարբեր պարամետրերի փոխազդեցությունը, որոնք ձ</w:t>
            </w:r>
            <w:r w:rsidR="00C54D75">
              <w:rPr>
                <w:rStyle w:val="Bodytext1811pt"/>
                <w:rFonts w:ascii="Sylfaen" w:hAnsi="Sylfaen"/>
                <w:sz w:val="24"/>
                <w:szCs w:val="24"/>
              </w:rPr>
              <w:t>և</w:t>
            </w:r>
            <w:r w:rsidRPr="003B2786">
              <w:rPr>
                <w:rStyle w:val="Bodytext1811pt"/>
                <w:rFonts w:ascii="Sylfaen" w:hAnsi="Sylfaen"/>
                <w:sz w:val="24"/>
                <w:szCs w:val="24"/>
              </w:rPr>
              <w:t xml:space="preserve">ավորում են հետազոտության ենթակա նախագծային դաշտը, ներառյալ՝ ռիսկերի գնահատումը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բազմաչափ հետազոտությունները՝ համապատասխանաբար), որոնք համապատասխան դեպքերում հաստատում են, որ ակտիվ դեղագործական բաղադրամասի որակի կրիտիկական ցուցանիշների վերաբերյալ ձեռք է բերվել նյութերի որակի </w:t>
            </w:r>
            <w:r w:rsidR="00C54D75">
              <w:rPr>
                <w:rStyle w:val="Bodytext1811pt"/>
                <w:rFonts w:ascii="Sylfaen" w:hAnsi="Sylfaen"/>
                <w:sz w:val="24"/>
                <w:szCs w:val="24"/>
              </w:rPr>
              <w:t>և</w:t>
            </w:r>
            <w:r w:rsidRPr="003B2786">
              <w:rPr>
                <w:rStyle w:val="Bodytext1811pt"/>
                <w:rFonts w:ascii="Sylfaen" w:hAnsi="Sylfaen"/>
                <w:sz w:val="24"/>
                <w:szCs w:val="24"/>
              </w:rPr>
              <w:t xml:space="preserve"> գործընթացի պարամետրերի ցուցիչների ամբողջական մեխանիստական ընկալում:</w:t>
            </w:r>
          </w:p>
          <w:p w14:paraId="53C18438"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Նախագծային դաշտի նկարագրությունն աղյուսակի տեսքով, ներառյալ՝ փոփոխականները (նյութի 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գործընթացի պարամետրերը) </w:t>
            </w:r>
            <w:r w:rsidR="00C54D75">
              <w:rPr>
                <w:rStyle w:val="Bodytext1811pt"/>
                <w:rFonts w:ascii="Sylfaen" w:hAnsi="Sylfaen"/>
                <w:sz w:val="24"/>
                <w:szCs w:val="24"/>
              </w:rPr>
              <w:lastRenderedPageBreak/>
              <w:t>և</w:t>
            </w:r>
            <w:r w:rsidRPr="003B2786">
              <w:rPr>
                <w:rStyle w:val="Bodytext1811pt"/>
                <w:rFonts w:ascii="Sylfaen" w:hAnsi="Sylfaen"/>
                <w:sz w:val="24"/>
                <w:szCs w:val="24"/>
              </w:rPr>
              <w:t xml:space="preserve"> դրանց առաջարկվող տիրույթները:</w:t>
            </w:r>
          </w:p>
          <w:p w14:paraId="41FA393A"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1E11AD5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43E8880" w14:textId="77777777" w:rsidR="008C76E0" w:rsidRPr="008C76E0" w:rsidRDefault="008C76E0" w:rsidP="008C76E0">
            <w:pPr>
              <w:pStyle w:val="Bodytext180"/>
              <w:shd w:val="clear" w:color="auto" w:fill="auto"/>
              <w:tabs>
                <w:tab w:val="left" w:pos="107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Բ.I.ե.2.</w:t>
            </w:r>
            <w:r w:rsidRPr="003B2786">
              <w:rPr>
                <w:rStyle w:val="Bodytext1811pt"/>
                <w:rFonts w:ascii="Sylfaen" w:hAnsi="Sylfaen"/>
                <w:sz w:val="24"/>
                <w:szCs w:val="24"/>
              </w:rPr>
              <w:tab/>
              <w:t>Ակտիվ դեղագործական բաղադրամասին առնչվող փոփոխությունների կառավարման հետգրանցումային արձանագրության ներմուծումը</w:t>
            </w:r>
          </w:p>
        </w:tc>
        <w:tc>
          <w:tcPr>
            <w:tcW w:w="1655" w:type="dxa"/>
            <w:gridSpan w:val="3"/>
            <w:tcBorders>
              <w:top w:val="single" w:sz="4" w:space="0" w:color="auto"/>
              <w:left w:val="single" w:sz="4" w:space="0" w:color="auto"/>
            </w:tcBorders>
            <w:shd w:val="clear" w:color="auto" w:fill="FFFFFF"/>
          </w:tcPr>
          <w:p w14:paraId="5E07619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5C3744C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4F557FB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43FCF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7344B09" w14:textId="77777777" w:rsidR="008C76E0" w:rsidRPr="003B2786" w:rsidRDefault="008C76E0" w:rsidP="008C76E0">
            <w:pPr>
              <w:spacing w:after="120" w:line="240" w:lineRule="auto"/>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1C2F5CF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00ED25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33A72BB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990053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E4C7D80" w14:textId="77777777" w:rsidR="008C76E0" w:rsidRPr="008C76E0" w:rsidRDefault="008C76E0" w:rsidP="008C76E0">
            <w:pPr>
              <w:pStyle w:val="Bodytext180"/>
              <w:shd w:val="clear" w:color="auto" w:fill="auto"/>
              <w:spacing w:before="0" w:after="120" w:line="240" w:lineRule="auto"/>
              <w:ind w:left="51" w:right="4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777550"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փոփոխության մանրամասն նկարագրությունը:</w:t>
            </w:r>
          </w:p>
          <w:p w14:paraId="7CDC416B"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բաղադրամասին առնչվող փոփոխությունների կառավարման արձանագրությունը։</w:t>
            </w:r>
          </w:p>
          <w:p w14:paraId="28C6B164"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24118D3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5242E06" w14:textId="77777777" w:rsidR="008C76E0" w:rsidRPr="008C76E0" w:rsidRDefault="008C76E0" w:rsidP="008C76E0">
            <w:pPr>
              <w:pStyle w:val="Bodytext180"/>
              <w:shd w:val="clear" w:color="auto" w:fill="auto"/>
              <w:tabs>
                <w:tab w:val="left" w:pos="1116"/>
              </w:tabs>
              <w:spacing w:before="0" w:line="240" w:lineRule="auto"/>
              <w:ind w:left="52" w:right="37" w:firstLine="0"/>
              <w:jc w:val="both"/>
              <w:rPr>
                <w:rFonts w:ascii="Sylfaen" w:hAnsi="Sylfaen"/>
                <w:b w:val="0"/>
                <w:sz w:val="24"/>
                <w:szCs w:val="24"/>
                <w:lang w:val="hy-AM"/>
              </w:rPr>
            </w:pPr>
            <w:r w:rsidRPr="003B2786">
              <w:rPr>
                <w:rStyle w:val="Bodytext1811pt"/>
                <w:rFonts w:ascii="Sylfaen" w:hAnsi="Sylfaen"/>
                <w:sz w:val="24"/>
                <w:szCs w:val="24"/>
              </w:rPr>
              <w:t>Բ.I.ե.З.</w:t>
            </w:r>
            <w:r w:rsidRPr="003B2786">
              <w:rPr>
                <w:rStyle w:val="Bodytext1811pt"/>
                <w:rFonts w:ascii="Sylfaen" w:hAnsi="Sylfaen"/>
                <w:sz w:val="24"/>
                <w:szCs w:val="24"/>
              </w:rPr>
              <w:tab/>
              <w:t>Ակտիվ դեղագործական բաղադրամասին առնչվող փոփոխությունների կառավարման հետգրանցումային արձանագրության բացառումը</w:t>
            </w:r>
          </w:p>
        </w:tc>
        <w:tc>
          <w:tcPr>
            <w:tcW w:w="1655" w:type="dxa"/>
            <w:gridSpan w:val="3"/>
            <w:tcBorders>
              <w:top w:val="single" w:sz="4" w:space="0" w:color="auto"/>
              <w:left w:val="single" w:sz="4" w:space="0" w:color="auto"/>
            </w:tcBorders>
            <w:shd w:val="clear" w:color="auto" w:fill="FFFFFF"/>
          </w:tcPr>
          <w:p w14:paraId="6806745E"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5AAB3255"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74B6CE34"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5B224C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506429D0" w14:textId="77777777" w:rsidR="008C76E0" w:rsidRPr="003B2786" w:rsidRDefault="008C76E0" w:rsidP="008C76E0">
            <w:pPr>
              <w:spacing w:after="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2DA4E36F"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29B5EF1E"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43A32AEA"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45ACE0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E38E078"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7084C0F"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բաղադրամասին առնչվող փոփոխությունների կառավարման հետգրանցումային արձանագրության բացառումը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անկանխատեսելի իրավիճակների կամ արձանագրության մեջ նկարագրված փոփոխություններ կատարելու ընթացքում մասնագրերի անհամապատասխանության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որ</w:t>
            </w:r>
            <w:r w:rsidR="00C54D75">
              <w:rPr>
                <w:rStyle w:val="Bodytext1811pt"/>
                <w:rFonts w:ascii="Sylfaen" w:hAnsi="Sylfaen"/>
                <w:sz w:val="24"/>
                <w:szCs w:val="24"/>
              </w:rPr>
              <w:t>և</w:t>
            </w:r>
            <w:r w:rsidRPr="003B2786">
              <w:rPr>
                <w:rStyle w:val="Bodytext1811pt"/>
                <w:rFonts w:ascii="Sylfaen" w:hAnsi="Sylfaen"/>
                <w:sz w:val="24"/>
                <w:szCs w:val="24"/>
              </w:rPr>
              <w:t>է կերպ չի ազդում գրանցման դոսյեում ներառված հաստատված տեղեկությունների վրա։</w:t>
            </w:r>
          </w:p>
        </w:tc>
      </w:tr>
      <w:tr w:rsidR="008C76E0" w:rsidRPr="003B2786" w14:paraId="36E8B5E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A9E3EE0"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3DF05E5"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բացառման հիմնավորումը:</w:t>
            </w:r>
          </w:p>
          <w:p w14:paraId="2DF1F8F6"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5F105EB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89661A4" w14:textId="77777777" w:rsidR="008C76E0" w:rsidRPr="008C76E0" w:rsidRDefault="008C76E0" w:rsidP="008C76E0">
            <w:pPr>
              <w:pStyle w:val="Bodytext180"/>
              <w:shd w:val="clear" w:color="auto" w:fill="auto"/>
              <w:tabs>
                <w:tab w:val="left" w:pos="532"/>
              </w:tabs>
              <w:spacing w:before="0" w:after="120" w:line="240" w:lineRule="auto"/>
              <w:ind w:left="52" w:right="50" w:firstLine="0"/>
              <w:jc w:val="both"/>
              <w:rPr>
                <w:rFonts w:ascii="Sylfaen" w:hAnsi="Sylfaen"/>
                <w:b w:val="0"/>
                <w:sz w:val="24"/>
                <w:szCs w:val="24"/>
                <w:lang w:val="hy-AM"/>
              </w:rPr>
            </w:pPr>
            <w:r w:rsidRPr="003B2786">
              <w:rPr>
                <w:rStyle w:val="Bodytext1811pt"/>
                <w:rFonts w:ascii="Sylfaen" w:hAnsi="Sylfaen"/>
                <w:sz w:val="24"/>
                <w:szCs w:val="24"/>
              </w:rPr>
              <w:t>ԲI.ե.4.</w:t>
            </w:r>
            <w:r w:rsidRPr="003B2786">
              <w:rPr>
                <w:rStyle w:val="Bodytext1811pt"/>
                <w:rFonts w:ascii="Sylfaen" w:hAnsi="Sylfaen"/>
                <w:sz w:val="24"/>
                <w:szCs w:val="24"/>
              </w:rPr>
              <w:tab/>
              <w:t>Փոփոխությունների կառավարման հաստատված արձանագրության փոփոխությունները</w:t>
            </w:r>
          </w:p>
        </w:tc>
        <w:tc>
          <w:tcPr>
            <w:tcW w:w="1655" w:type="dxa"/>
            <w:gridSpan w:val="3"/>
            <w:tcBorders>
              <w:top w:val="single" w:sz="4" w:space="0" w:color="auto"/>
              <w:left w:val="single" w:sz="4" w:space="0" w:color="auto"/>
            </w:tcBorders>
            <w:shd w:val="clear" w:color="auto" w:fill="FFFFFF"/>
          </w:tcPr>
          <w:p w14:paraId="5C2C8F7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487CB1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5887713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77C128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20DA038" w14:textId="77777777" w:rsidR="008C76E0" w:rsidRPr="008C76E0" w:rsidRDefault="008C76E0" w:rsidP="008C76E0">
            <w:pPr>
              <w:pStyle w:val="Bodytext180"/>
              <w:shd w:val="clear" w:color="auto" w:fill="auto"/>
              <w:tabs>
                <w:tab w:val="left" w:pos="532"/>
              </w:tabs>
              <w:spacing w:before="0" w:after="120" w:line="240" w:lineRule="auto"/>
              <w:ind w:left="51"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կառավարման արձանագրության նշանակալի փոփոխությունները</w:t>
            </w:r>
          </w:p>
        </w:tc>
        <w:tc>
          <w:tcPr>
            <w:tcW w:w="1655" w:type="dxa"/>
            <w:gridSpan w:val="3"/>
            <w:tcBorders>
              <w:top w:val="single" w:sz="4" w:space="0" w:color="auto"/>
              <w:left w:val="single" w:sz="4" w:space="0" w:color="auto"/>
            </w:tcBorders>
            <w:shd w:val="clear" w:color="auto" w:fill="FFFFFF"/>
          </w:tcPr>
          <w:p w14:paraId="2FC837BF"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F0F6517"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CA600DD"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E55011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DDE87D9" w14:textId="77777777" w:rsidR="008C76E0" w:rsidRPr="008C76E0" w:rsidRDefault="008C76E0" w:rsidP="008C76E0">
            <w:pPr>
              <w:pStyle w:val="Bodytext180"/>
              <w:shd w:val="clear" w:color="auto" w:fill="auto"/>
              <w:tabs>
                <w:tab w:val="left" w:pos="532"/>
              </w:tabs>
              <w:spacing w:before="0" w:after="120" w:line="240" w:lineRule="auto"/>
              <w:ind w:left="51"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կառավարման արձանագրության ոչ նշանակալի փոփոխությունները, որոնք չեն փոխում արձանագրության մեջ նկարագրված ռազմավարությունը</w:t>
            </w:r>
          </w:p>
        </w:tc>
        <w:tc>
          <w:tcPr>
            <w:tcW w:w="1655" w:type="dxa"/>
            <w:gridSpan w:val="3"/>
            <w:tcBorders>
              <w:top w:val="single" w:sz="4" w:space="0" w:color="auto"/>
              <w:left w:val="single" w:sz="4" w:space="0" w:color="auto"/>
            </w:tcBorders>
            <w:shd w:val="clear" w:color="auto" w:fill="FFFFFF"/>
          </w:tcPr>
          <w:p w14:paraId="1D0E7763"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F06C57D"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right w:val="single" w:sz="4" w:space="0" w:color="auto"/>
            </w:tcBorders>
            <w:shd w:val="clear" w:color="auto" w:fill="FFFFFF"/>
          </w:tcPr>
          <w:p w14:paraId="51D332E9"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A48764F"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tcPr>
          <w:p w14:paraId="0E16BCA6" w14:textId="77777777" w:rsidR="008C76E0" w:rsidRPr="008C76E0" w:rsidRDefault="008C76E0" w:rsidP="008C76E0">
            <w:pPr>
              <w:pStyle w:val="Bodytext180"/>
              <w:shd w:val="clear" w:color="auto" w:fill="auto"/>
              <w:spacing w:before="0" w:line="240" w:lineRule="auto"/>
              <w:ind w:left="51" w:right="45"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194FED1F" w14:textId="2F692AD7" w:rsidR="008C76E0" w:rsidRPr="008C76E0" w:rsidRDefault="0056496B" w:rsidP="008C76E0">
            <w:pPr>
              <w:pStyle w:val="Bodytext180"/>
              <w:shd w:val="clear" w:color="auto" w:fill="auto"/>
              <w:spacing w:before="0" w:line="240" w:lineRule="auto"/>
              <w:ind w:left="51" w:right="45" w:firstLine="0"/>
              <w:jc w:val="both"/>
              <w:rPr>
                <w:rFonts w:ascii="Sylfaen" w:hAnsi="Sylfaen"/>
                <w:b w:val="0"/>
                <w:sz w:val="24"/>
                <w:szCs w:val="24"/>
                <w:lang w:val="hy-AM"/>
              </w:rPr>
            </w:pPr>
            <w:r>
              <w:rPr>
                <w:rStyle w:val="Bodytext1811pt"/>
                <w:rFonts w:ascii="Sylfaen" w:hAnsi="Sylfaen"/>
                <w:sz w:val="24"/>
                <w:szCs w:val="24"/>
              </w:rPr>
              <w:t>Դիմում</w:t>
            </w:r>
            <w:r w:rsidR="008C76E0" w:rsidRPr="003B2786">
              <w:rPr>
                <w:rStyle w:val="Bodytext1811pt"/>
                <w:rFonts w:ascii="Sylfaen" w:hAnsi="Sylfaen"/>
                <w:sz w:val="24"/>
                <w:szCs w:val="24"/>
              </w:rPr>
              <w:t>արարագիր այն մասին, որ ցանկացած փոփոխություն պետք է տեղավորվի ընդունելիության գործող հաստատված չափորոշիչների տիրույթում: Բացի այդ,</w:t>
            </w:r>
            <w:r w:rsidR="005A46D4">
              <w:rPr>
                <w:rStyle w:val="Bodytext1811pt"/>
                <w:rFonts w:ascii="Sylfaen" w:hAnsi="Sylfaen"/>
                <w:sz w:val="24"/>
                <w:szCs w:val="24"/>
              </w:rPr>
              <w:t>հայտարարագիր</w:t>
            </w:r>
            <w:r w:rsidR="008C76E0"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գնահատական:</w:t>
            </w:r>
          </w:p>
        </w:tc>
      </w:tr>
      <w:tr w:rsidR="008C76E0" w:rsidRPr="003B2786" w14:paraId="41C7FE4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8EF8972" w14:textId="77777777" w:rsidR="008C76E0" w:rsidRPr="008C76E0" w:rsidRDefault="008C76E0" w:rsidP="008C76E0">
            <w:pPr>
              <w:pStyle w:val="Bodytext180"/>
              <w:shd w:val="clear" w:color="auto" w:fill="auto"/>
              <w:tabs>
                <w:tab w:val="left" w:pos="560"/>
                <w:tab w:val="left" w:pos="1089"/>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Բ.I.ե.5.</w:t>
            </w:r>
            <w:r w:rsidRPr="003B2786">
              <w:rPr>
                <w:rStyle w:val="Bodytext1811pt"/>
                <w:rFonts w:ascii="Sylfaen" w:hAnsi="Sylfaen"/>
                <w:sz w:val="24"/>
                <w:szCs w:val="24"/>
              </w:rPr>
              <w:tab/>
              <w:t>Փոփոխությունների կառավարման հաստատված արձանագրությամբ նախատեսված փոփոխությունների իրականացումը</w:t>
            </w:r>
          </w:p>
        </w:tc>
        <w:tc>
          <w:tcPr>
            <w:tcW w:w="1655" w:type="dxa"/>
            <w:gridSpan w:val="3"/>
            <w:tcBorders>
              <w:top w:val="single" w:sz="4" w:space="0" w:color="auto"/>
              <w:left w:val="single" w:sz="4" w:space="0" w:color="auto"/>
            </w:tcBorders>
            <w:shd w:val="clear" w:color="auto" w:fill="FFFFFF"/>
          </w:tcPr>
          <w:p w14:paraId="58789E9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266938A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DAF868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2C48DB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0727D20" w14:textId="77777777" w:rsidR="008C76E0" w:rsidRPr="008C76E0" w:rsidRDefault="008C76E0" w:rsidP="008C76E0">
            <w:pPr>
              <w:pStyle w:val="Bodytext180"/>
              <w:shd w:val="clear" w:color="auto" w:fill="auto"/>
              <w:tabs>
                <w:tab w:val="left" w:pos="560"/>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իրականացումը չի պահանջում լրացուցիչ օժանդակ տվյալներ</w:t>
            </w:r>
          </w:p>
        </w:tc>
        <w:tc>
          <w:tcPr>
            <w:tcW w:w="1655" w:type="dxa"/>
            <w:gridSpan w:val="3"/>
            <w:tcBorders>
              <w:top w:val="single" w:sz="4" w:space="0" w:color="auto"/>
              <w:left w:val="single" w:sz="4" w:space="0" w:color="auto"/>
            </w:tcBorders>
            <w:shd w:val="clear" w:color="auto" w:fill="FFFFFF"/>
          </w:tcPr>
          <w:p w14:paraId="3337093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616985F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w:t>
            </w:r>
          </w:p>
        </w:tc>
        <w:tc>
          <w:tcPr>
            <w:tcW w:w="2098" w:type="dxa"/>
            <w:gridSpan w:val="3"/>
            <w:tcBorders>
              <w:top w:val="single" w:sz="4" w:space="0" w:color="auto"/>
              <w:left w:val="single" w:sz="4" w:space="0" w:color="auto"/>
              <w:right w:val="single" w:sz="4" w:space="0" w:color="auto"/>
            </w:tcBorders>
            <w:shd w:val="clear" w:color="auto" w:fill="FFFFFF"/>
          </w:tcPr>
          <w:p w14:paraId="2844CEF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06D096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97E1B04" w14:textId="77777777" w:rsidR="008C76E0" w:rsidRPr="008C76E0" w:rsidRDefault="008C76E0" w:rsidP="008C76E0">
            <w:pPr>
              <w:pStyle w:val="Bodytext180"/>
              <w:shd w:val="clear" w:color="auto" w:fill="auto"/>
              <w:tabs>
                <w:tab w:val="left" w:pos="560"/>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իրականացումը պահանջում է լրացուցիչ օժանդակ տվյալներ</w:t>
            </w:r>
          </w:p>
        </w:tc>
        <w:tc>
          <w:tcPr>
            <w:tcW w:w="1655" w:type="dxa"/>
            <w:gridSpan w:val="3"/>
            <w:tcBorders>
              <w:top w:val="single" w:sz="4" w:space="0" w:color="auto"/>
              <w:left w:val="single" w:sz="4" w:space="0" w:color="auto"/>
            </w:tcBorders>
            <w:shd w:val="clear" w:color="auto" w:fill="FFFFFF"/>
          </w:tcPr>
          <w:p w14:paraId="75DF71C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81D770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98" w:type="dxa"/>
            <w:gridSpan w:val="3"/>
            <w:tcBorders>
              <w:top w:val="single" w:sz="4" w:space="0" w:color="auto"/>
              <w:left w:val="single" w:sz="4" w:space="0" w:color="auto"/>
              <w:right w:val="single" w:sz="4" w:space="0" w:color="auto"/>
            </w:tcBorders>
            <w:shd w:val="clear" w:color="auto" w:fill="FFFFFF"/>
          </w:tcPr>
          <w:p w14:paraId="3D6B176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1DBEC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20DB4F8"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դեղապատրաստուկի փոփոխության իրականացումը</w:t>
            </w:r>
          </w:p>
        </w:tc>
        <w:tc>
          <w:tcPr>
            <w:tcW w:w="1655" w:type="dxa"/>
            <w:gridSpan w:val="3"/>
            <w:tcBorders>
              <w:top w:val="single" w:sz="4" w:space="0" w:color="auto"/>
              <w:left w:val="single" w:sz="4" w:space="0" w:color="auto"/>
            </w:tcBorders>
            <w:shd w:val="clear" w:color="auto" w:fill="FFFFFF"/>
          </w:tcPr>
          <w:p w14:paraId="62E442B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9DF6DC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w:t>
            </w:r>
          </w:p>
        </w:tc>
        <w:tc>
          <w:tcPr>
            <w:tcW w:w="2098" w:type="dxa"/>
            <w:gridSpan w:val="3"/>
            <w:tcBorders>
              <w:top w:val="single" w:sz="4" w:space="0" w:color="auto"/>
              <w:left w:val="single" w:sz="4" w:space="0" w:color="auto"/>
              <w:right w:val="single" w:sz="4" w:space="0" w:color="auto"/>
            </w:tcBorders>
            <w:shd w:val="clear" w:color="auto" w:fill="FFFFFF"/>
          </w:tcPr>
          <w:p w14:paraId="3B831DD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B57981A"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02D2FDE" w14:textId="77777777" w:rsidR="008C76E0" w:rsidRPr="008C76E0" w:rsidRDefault="008C76E0" w:rsidP="008C76E0">
            <w:pPr>
              <w:pStyle w:val="Bodytext180"/>
              <w:shd w:val="clear" w:color="auto" w:fill="auto"/>
              <w:spacing w:before="0" w:after="120" w:line="240" w:lineRule="auto"/>
              <w:ind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091FB03" w14:textId="77777777" w:rsidR="008C76E0" w:rsidRPr="008C76E0" w:rsidRDefault="008C76E0" w:rsidP="008C76E0">
            <w:pPr>
              <w:pStyle w:val="Bodytext180"/>
              <w:shd w:val="clear" w:color="auto" w:fill="auto"/>
              <w:spacing w:before="0" w:after="120" w:line="240" w:lineRule="auto"/>
              <w:ind w:right="44" w:firstLine="0"/>
              <w:jc w:val="both"/>
              <w:rPr>
                <w:rFonts w:ascii="Sylfaen" w:hAnsi="Sylfaen"/>
                <w:b w:val="0"/>
                <w:sz w:val="24"/>
                <w:szCs w:val="24"/>
                <w:lang w:val="hy-AM"/>
              </w:rPr>
            </w:pPr>
            <w:r w:rsidRPr="003B2786">
              <w:rPr>
                <w:rStyle w:val="Bodytext1811pt"/>
                <w:rFonts w:ascii="Sylfaen" w:hAnsi="Sylfaen"/>
                <w:sz w:val="24"/>
                <w:szCs w:val="24"/>
              </w:rPr>
              <w:t>Առաջարկվող փոփոխությունն իրականացվել է փոփոխությունների կառավարման հաստատված արձանագրությանը լիովին համապատասխան:</w:t>
            </w:r>
          </w:p>
        </w:tc>
      </w:tr>
      <w:tr w:rsidR="008C76E0" w:rsidRPr="003B2786" w14:paraId="7AF1E2AB"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A7308E4"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28FECD"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Հղում՝ փոփոխությունների կառավարման հաստատված արձանագրությանը:</w:t>
            </w:r>
          </w:p>
          <w:p w14:paraId="51C3CE7F" w14:textId="5F063872"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փոփոխությունը համապատասխանում է փոփոխությունների կառավարման հաստատված արձանագրությանը,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որ ուսումնասիրության արդյունքները բավարարում են արձանագրության մեջ նախօրոք պայմանավորված ընդունելիության չափորոշիչներին: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գնահատական:</w:t>
            </w:r>
          </w:p>
          <w:p w14:paraId="5FD5B7AD"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Հետազոտության արդյունքները, որոնք անցկացվել են փոփոխությունների կառավարման հաստատված արձանագրությանը համապատասխան:</w:t>
            </w:r>
          </w:p>
          <w:p w14:paraId="24F44403"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49E1EA9A"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Դեղագործական ակտիվ բաղադրամասի վերաբերյալ հաստատված մասնագրերի պատճենը։</w:t>
            </w:r>
          </w:p>
        </w:tc>
      </w:tr>
      <w:tr w:rsidR="008C76E0" w:rsidRPr="003B2786" w14:paraId="0DBEFEEA"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2C91BA53" w14:textId="77777777" w:rsidR="008C76E0" w:rsidRPr="003B2786" w:rsidRDefault="008C76E0" w:rsidP="008C76E0">
            <w:pPr>
              <w:pStyle w:val="Bodytext180"/>
              <w:shd w:val="clear" w:color="auto" w:fill="auto"/>
              <w:spacing w:before="0" w:after="120" w:line="240" w:lineRule="auto"/>
              <w:ind w:right="-1" w:firstLine="0"/>
              <w:jc w:val="both"/>
              <w:rPr>
                <w:rStyle w:val="Bodytext295pt"/>
                <w:rFonts w:ascii="Sylfaen" w:hAnsi="Sylfaen"/>
                <w:sz w:val="24"/>
                <w:szCs w:val="24"/>
              </w:rPr>
            </w:pPr>
            <w:r w:rsidRPr="003B2786">
              <w:rPr>
                <w:rStyle w:val="Bodytext295pt"/>
                <w:rFonts w:ascii="Sylfaen" w:hAnsi="Sylfaen"/>
                <w:sz w:val="24"/>
                <w:szCs w:val="24"/>
              </w:rPr>
              <w:t>Բ.II</w:t>
            </w:r>
            <w:r w:rsidRPr="003B2786">
              <w:rPr>
                <w:rStyle w:val="Bodytext295pt"/>
                <w:rFonts w:ascii="Sylfaen" w:hAnsi="Sylfaen"/>
                <w:sz w:val="24"/>
                <w:szCs w:val="24"/>
              </w:rPr>
              <w:tab/>
              <w:t>Դեղապատրաստուկ</w:t>
            </w:r>
          </w:p>
          <w:p w14:paraId="6DA5D3E6" w14:textId="77777777" w:rsidR="008C76E0" w:rsidRPr="008C76E0" w:rsidRDefault="008C76E0" w:rsidP="008C76E0">
            <w:pPr>
              <w:pStyle w:val="Bodytext180"/>
              <w:shd w:val="clear" w:color="auto" w:fill="auto"/>
              <w:spacing w:before="0" w:after="120" w:line="240" w:lineRule="auto"/>
              <w:ind w:right="-1" w:firstLine="0"/>
              <w:jc w:val="both"/>
              <w:rPr>
                <w:rFonts w:ascii="Sylfaen" w:hAnsi="Sylfaen"/>
                <w:sz w:val="24"/>
                <w:szCs w:val="24"/>
                <w:lang w:val="hy-AM"/>
              </w:rPr>
            </w:pPr>
            <w:r w:rsidRPr="003B2786">
              <w:rPr>
                <w:rStyle w:val="Bodytext295pt"/>
                <w:rFonts w:ascii="Sylfaen" w:hAnsi="Sylfaen"/>
                <w:sz w:val="24"/>
                <w:szCs w:val="24"/>
              </w:rPr>
              <w:t xml:space="preserve"> Б.II.ա) Արտաքին տեսքը </w:t>
            </w:r>
            <w:r w:rsidR="00C54D75">
              <w:rPr>
                <w:rStyle w:val="Bodytext295pt"/>
                <w:rFonts w:ascii="Sylfaen" w:hAnsi="Sylfaen"/>
                <w:sz w:val="24"/>
                <w:szCs w:val="24"/>
              </w:rPr>
              <w:t>և</w:t>
            </w:r>
            <w:r w:rsidRPr="003B2786">
              <w:rPr>
                <w:rStyle w:val="Bodytext295pt"/>
                <w:rFonts w:ascii="Sylfaen" w:hAnsi="Sylfaen"/>
                <w:sz w:val="24"/>
                <w:szCs w:val="24"/>
              </w:rPr>
              <w:t xml:space="preserve"> բաղադրությունը</w:t>
            </w:r>
          </w:p>
        </w:tc>
      </w:tr>
      <w:tr w:rsidR="008C76E0" w:rsidRPr="003B2786" w14:paraId="53C755E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3462142" w14:textId="77777777" w:rsidR="008C76E0" w:rsidRPr="008C76E0" w:rsidRDefault="008C76E0" w:rsidP="008C76E0">
            <w:pPr>
              <w:pStyle w:val="Bodytext180"/>
              <w:shd w:val="clear" w:color="auto" w:fill="auto"/>
              <w:tabs>
                <w:tab w:val="left" w:pos="113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Բ.II.ա.1.</w:t>
            </w:r>
            <w:r w:rsidRPr="003B2786">
              <w:rPr>
                <w:rStyle w:val="Bodytext1811pt"/>
                <w:rFonts w:ascii="Sylfaen" w:hAnsi="Sylfaen"/>
                <w:sz w:val="24"/>
                <w:szCs w:val="24"/>
              </w:rPr>
              <w:tab/>
              <w:t xml:space="preserve">Դրոշմվածքների, փորագրության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 նշանների </w:t>
            </w:r>
            <w:r w:rsidRPr="003B2786">
              <w:rPr>
                <w:rStyle w:val="Bodytext1811pt"/>
                <w:rFonts w:ascii="Sylfaen" w:hAnsi="Sylfaen"/>
                <w:sz w:val="24"/>
                <w:szCs w:val="24"/>
              </w:rPr>
              <w:lastRenderedPageBreak/>
              <w:t>փոփոխությունը կամ ավելացումը, այդ թվում՝ թանաքի փոփոխությունը կամ ավելացումը, որոնք օգտագործվել են դեղապատրաստուկի արտադրության ժամանակ</w:t>
            </w:r>
          </w:p>
        </w:tc>
        <w:tc>
          <w:tcPr>
            <w:tcW w:w="1655" w:type="dxa"/>
            <w:gridSpan w:val="3"/>
            <w:tcBorders>
              <w:top w:val="single" w:sz="4" w:space="0" w:color="auto"/>
              <w:left w:val="single" w:sz="4" w:space="0" w:color="auto"/>
            </w:tcBorders>
            <w:shd w:val="clear" w:color="auto" w:fill="FFFFFF"/>
          </w:tcPr>
          <w:p w14:paraId="6476E16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42" w:type="dxa"/>
            <w:gridSpan w:val="3"/>
            <w:tcBorders>
              <w:top w:val="single" w:sz="4" w:space="0" w:color="auto"/>
              <w:left w:val="single" w:sz="4" w:space="0" w:color="auto"/>
            </w:tcBorders>
            <w:shd w:val="clear" w:color="auto" w:fill="FFFFFF"/>
          </w:tcPr>
          <w:p w14:paraId="3FB2132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D954D6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013D9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136CDC4"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դրոշմվածքների, փորագրության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 նշանների փոփոխությունները</w:t>
            </w:r>
          </w:p>
        </w:tc>
        <w:tc>
          <w:tcPr>
            <w:tcW w:w="1655" w:type="dxa"/>
            <w:gridSpan w:val="3"/>
            <w:tcBorders>
              <w:top w:val="single" w:sz="4" w:space="0" w:color="auto"/>
              <w:left w:val="single" w:sz="4" w:space="0" w:color="auto"/>
            </w:tcBorders>
            <w:shd w:val="clear" w:color="auto" w:fill="FFFFFF"/>
          </w:tcPr>
          <w:p w14:paraId="4E80AC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39552C0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13865F4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0FF358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BA4C929"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կտրման գծերի (կոտրելու գծերի) փոփոխությունը, որոնք նախատեսված են հավասար դոզաների բաժանելու համար</w:t>
            </w:r>
          </w:p>
        </w:tc>
        <w:tc>
          <w:tcPr>
            <w:tcW w:w="1655" w:type="dxa"/>
            <w:gridSpan w:val="3"/>
            <w:tcBorders>
              <w:top w:val="single" w:sz="4" w:space="0" w:color="auto"/>
              <w:left w:val="single" w:sz="4" w:space="0" w:color="auto"/>
            </w:tcBorders>
            <w:shd w:val="clear" w:color="auto" w:fill="FFFFFF"/>
          </w:tcPr>
          <w:p w14:paraId="3BC5F4A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4484EF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550A237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32241F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9B4E603"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BE8F1DD"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մասնագրերը թողարկման պահին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ավարտին չեն փոփոխվում (բացառությամբ արտաքին տեսքի):</w:t>
            </w:r>
          </w:p>
          <w:p w14:paraId="02935207"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Բոլոր թանաքները պետք է համապատասխանեն գործող դեղագործական օրենսդրությանը:</w:t>
            </w:r>
          </w:p>
          <w:p w14:paraId="68BE867F"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Կտրման գծերը (կոտրելու գծերը) նախատեսված չեն հավասար դոզաների բաժանելու համար:</w:t>
            </w:r>
          </w:p>
          <w:p w14:paraId="703A9991"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Դեղապատրաստուկի նշանները, որոնք օգտագործվում են դոզավորման տարբերակման համար, ամբողջությամբ հեռացված չեն:</w:t>
            </w:r>
          </w:p>
        </w:tc>
      </w:tr>
      <w:tr w:rsidR="008C76E0" w:rsidRPr="003B2786" w14:paraId="6F87B72B"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2448948B" w14:textId="77777777" w:rsidR="008C76E0" w:rsidRPr="003B2786" w:rsidRDefault="008C76E0" w:rsidP="008C76E0">
            <w:pPr>
              <w:pStyle w:val="Bodytext180"/>
              <w:shd w:val="clear" w:color="auto" w:fill="auto"/>
              <w:spacing w:before="0" w:after="120" w:line="240" w:lineRule="auto"/>
              <w:ind w:left="40" w:right="45" w:firstLine="0"/>
              <w:jc w:val="both"/>
              <w:rPr>
                <w:rFonts w:ascii="Sylfaen" w:hAnsi="Sylfaen"/>
                <w:b w:val="0"/>
                <w:sz w:val="24"/>
                <w:szCs w:val="24"/>
              </w:rPr>
            </w:pPr>
            <w:r w:rsidRPr="003B2786">
              <w:rPr>
                <w:rStyle w:val="Bodytext1811pt"/>
                <w:rFonts w:ascii="Sylfaen" w:hAnsi="Sylfaen"/>
                <w:sz w:val="24"/>
                <w:szCs w:val="24"/>
              </w:rPr>
              <w:t>Փաստաթղթերը</w:t>
            </w:r>
          </w:p>
          <w:p w14:paraId="0F7751BF" w14:textId="77777777" w:rsidR="008C76E0" w:rsidRPr="003B2786" w:rsidRDefault="008C76E0" w:rsidP="008C76E0">
            <w:pPr>
              <w:pStyle w:val="Bodytext180"/>
              <w:numPr>
                <w:ilvl w:val="0"/>
                <w:numId w:val="19"/>
              </w:numPr>
              <w:shd w:val="clear" w:color="auto" w:fill="auto"/>
              <w:spacing w:before="0" w:after="120" w:line="240" w:lineRule="auto"/>
              <w:ind w:left="40" w:right="45"/>
              <w:jc w:val="both"/>
              <w:rPr>
                <w:rFonts w:ascii="Sylfaen" w:hAnsi="Sylfaen"/>
                <w:b w:val="0"/>
                <w:sz w:val="24"/>
                <w:szCs w:val="24"/>
              </w:rPr>
            </w:pPr>
            <w:r w:rsidRPr="003B2786">
              <w:rPr>
                <w:rStyle w:val="Bodytext1811pt"/>
                <w:rFonts w:ascii="Sylfaen" w:hAnsi="Sylfaen"/>
                <w:sz w:val="24"/>
                <w:szCs w:val="24"/>
              </w:rPr>
              <w:t xml:space="preserve">Դոսյեի համապատասխան բաժնում (բաժիններում) ուղղումը,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արտաքին տեսքի մանրամասն գրաֆիկական կամ նկարագրական նկարագրությունը,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համապատասխան վերանայումը։</w:t>
            </w:r>
          </w:p>
        </w:tc>
      </w:tr>
      <w:tr w:rsidR="008C76E0" w:rsidRPr="003B2786" w14:paraId="12510B2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48AE1F5" w14:textId="77777777" w:rsidR="008C76E0" w:rsidRPr="008C76E0" w:rsidRDefault="008C76E0" w:rsidP="008C76E0">
            <w:pPr>
              <w:pStyle w:val="Bodytext180"/>
              <w:shd w:val="clear" w:color="auto" w:fill="auto"/>
              <w:tabs>
                <w:tab w:val="left" w:pos="60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դեղապատրաստուկի նմուշները:</w:t>
            </w:r>
          </w:p>
          <w:p w14:paraId="1F0B5F3B" w14:textId="77777777" w:rsidR="008C76E0" w:rsidRPr="008C76E0" w:rsidRDefault="008C76E0" w:rsidP="008C76E0">
            <w:pPr>
              <w:pStyle w:val="Bodytext180"/>
              <w:shd w:val="clear" w:color="auto" w:fill="auto"/>
              <w:tabs>
                <w:tab w:val="left" w:pos="60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Հատկությունների համարժեքության համապատասխան փորձարկման արդյունքները (դոզավորման ճշտությունը), որոնք հաստատվում են ըստ Միության դեղագրքի:</w:t>
            </w:r>
          </w:p>
        </w:tc>
      </w:tr>
      <w:tr w:rsidR="008C76E0" w:rsidRPr="003B2786" w14:paraId="7F33465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A251A1A" w14:textId="77777777" w:rsidR="008C76E0" w:rsidRPr="008C76E0" w:rsidRDefault="008C76E0" w:rsidP="008C76E0">
            <w:pPr>
              <w:pStyle w:val="Bodytext180"/>
              <w:shd w:val="clear" w:color="auto" w:fill="auto"/>
              <w:tabs>
                <w:tab w:val="left" w:pos="1157"/>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Բ.II.ա.2.</w:t>
            </w:r>
            <w:r w:rsidRPr="003B2786">
              <w:rPr>
                <w:rStyle w:val="Bodytext1811pt"/>
                <w:rFonts w:ascii="Sylfaen" w:hAnsi="Sylfaen"/>
                <w:sz w:val="24"/>
                <w:szCs w:val="24"/>
              </w:rPr>
              <w:tab/>
              <w:t>Դեղաձ</w:t>
            </w:r>
            <w:r w:rsidR="00C54D75">
              <w:rPr>
                <w:rStyle w:val="Bodytext1811pt"/>
                <w:rFonts w:ascii="Sylfaen" w:hAnsi="Sylfaen"/>
                <w:sz w:val="24"/>
                <w:szCs w:val="24"/>
              </w:rPr>
              <w:t>և</w:t>
            </w:r>
            <w:r w:rsidRPr="003B2786">
              <w:rPr>
                <w:rStyle w:val="Bodytext1811pt"/>
                <w:rFonts w:ascii="Sylfaen" w:hAnsi="Sylfaen"/>
                <w:sz w:val="24"/>
                <w:szCs w:val="24"/>
              </w:rPr>
              <w:t>ի տեսակի կամ չափսերի փոփոխությունը</w:t>
            </w:r>
          </w:p>
        </w:tc>
        <w:tc>
          <w:tcPr>
            <w:tcW w:w="1655" w:type="dxa"/>
            <w:gridSpan w:val="3"/>
            <w:tcBorders>
              <w:top w:val="single" w:sz="4" w:space="0" w:color="auto"/>
              <w:left w:val="single" w:sz="4" w:space="0" w:color="auto"/>
            </w:tcBorders>
            <w:shd w:val="clear" w:color="auto" w:fill="FFFFFF"/>
          </w:tcPr>
          <w:p w14:paraId="0C672FDD"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DA3F1A5"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457A4845"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CADDD4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D1DAE06" w14:textId="77777777" w:rsidR="008C76E0" w:rsidRPr="008C76E0" w:rsidRDefault="008C76E0" w:rsidP="008C76E0">
            <w:pPr>
              <w:pStyle w:val="Bodytext180"/>
              <w:shd w:val="clear" w:color="auto" w:fill="auto"/>
              <w:tabs>
                <w:tab w:val="left" w:pos="505"/>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հաբեր, դեղապատիճներ, մոմիկներ </w:t>
            </w:r>
            <w:r w:rsidR="00C54D75">
              <w:rPr>
                <w:rStyle w:val="Bodytext1811pt"/>
                <w:rFonts w:ascii="Sylfaen" w:hAnsi="Sylfaen"/>
                <w:sz w:val="24"/>
                <w:szCs w:val="24"/>
              </w:rPr>
              <w:t>և</w:t>
            </w:r>
            <w:r w:rsidRPr="003B2786">
              <w:rPr>
                <w:rStyle w:val="Bodytext1811pt"/>
                <w:rFonts w:ascii="Sylfaen" w:hAnsi="Sylfaen"/>
                <w:sz w:val="24"/>
                <w:szCs w:val="24"/>
              </w:rPr>
              <w:t xml:space="preserve"> հակաբեղմնավորիչ օղակներ՝ արագ ձերբազատմամբ</w:t>
            </w:r>
          </w:p>
        </w:tc>
        <w:tc>
          <w:tcPr>
            <w:tcW w:w="1655" w:type="dxa"/>
            <w:gridSpan w:val="3"/>
            <w:tcBorders>
              <w:top w:val="single" w:sz="4" w:space="0" w:color="auto"/>
              <w:left w:val="single" w:sz="4" w:space="0" w:color="auto"/>
            </w:tcBorders>
            <w:shd w:val="clear" w:color="auto" w:fill="FFFFFF"/>
          </w:tcPr>
          <w:p w14:paraId="26AA0E4C"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64F345A9"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1, 4</w:t>
            </w:r>
          </w:p>
        </w:tc>
        <w:tc>
          <w:tcPr>
            <w:tcW w:w="2098" w:type="dxa"/>
            <w:gridSpan w:val="3"/>
            <w:tcBorders>
              <w:top w:val="single" w:sz="4" w:space="0" w:color="auto"/>
              <w:left w:val="single" w:sz="4" w:space="0" w:color="auto"/>
              <w:right w:val="single" w:sz="4" w:space="0" w:color="auto"/>
            </w:tcBorders>
            <w:shd w:val="clear" w:color="auto" w:fill="FFFFFF"/>
          </w:tcPr>
          <w:p w14:paraId="63C44C3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9E238F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50F0F8A" w14:textId="77777777" w:rsidR="008C76E0" w:rsidRPr="008C76E0" w:rsidRDefault="008C76E0" w:rsidP="008C76E0">
            <w:pPr>
              <w:pStyle w:val="Bodytext180"/>
              <w:shd w:val="clear" w:color="auto" w:fill="auto"/>
              <w:tabs>
                <w:tab w:val="left" w:pos="505"/>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հետաձգված, մոդիֆիկացված կամ երկարաձգված ձերբազատմամբ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 </w:t>
            </w:r>
            <w:r w:rsidR="00C54D75">
              <w:rPr>
                <w:rStyle w:val="Bodytext1811pt"/>
                <w:rFonts w:ascii="Sylfaen" w:hAnsi="Sylfaen"/>
                <w:sz w:val="24"/>
                <w:szCs w:val="24"/>
              </w:rPr>
              <w:t>և</w:t>
            </w:r>
            <w:r w:rsidRPr="003B2786">
              <w:rPr>
                <w:rStyle w:val="Bodytext1811pt"/>
                <w:rFonts w:ascii="Sylfaen" w:hAnsi="Sylfaen"/>
                <w:sz w:val="24"/>
                <w:szCs w:val="24"/>
              </w:rPr>
              <w:t xml:space="preserve"> հավասար դոզաների բաժանման համար նախատեսված կտրման գծով հաբեր</w:t>
            </w:r>
          </w:p>
        </w:tc>
        <w:tc>
          <w:tcPr>
            <w:tcW w:w="1655" w:type="dxa"/>
            <w:gridSpan w:val="3"/>
            <w:tcBorders>
              <w:top w:val="single" w:sz="4" w:space="0" w:color="auto"/>
              <w:left w:val="single" w:sz="4" w:space="0" w:color="auto"/>
            </w:tcBorders>
            <w:shd w:val="clear" w:color="auto" w:fill="FFFFFF"/>
          </w:tcPr>
          <w:p w14:paraId="1DD3E8B1"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59293AF"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1, 2, 3, 4, 5</w:t>
            </w:r>
          </w:p>
        </w:tc>
        <w:tc>
          <w:tcPr>
            <w:tcW w:w="2098" w:type="dxa"/>
            <w:gridSpan w:val="3"/>
            <w:tcBorders>
              <w:top w:val="single" w:sz="4" w:space="0" w:color="auto"/>
              <w:left w:val="single" w:sz="4" w:space="0" w:color="auto"/>
              <w:right w:val="single" w:sz="4" w:space="0" w:color="auto"/>
            </w:tcBorders>
            <w:shd w:val="clear" w:color="auto" w:fill="FFFFFF"/>
          </w:tcPr>
          <w:p w14:paraId="4338820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268C39"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6B11CF3" w14:textId="77777777" w:rsidR="008C76E0" w:rsidRPr="008C76E0" w:rsidRDefault="008C76E0" w:rsidP="008C76E0">
            <w:pPr>
              <w:pStyle w:val="Bodytext180"/>
              <w:shd w:val="clear" w:color="auto" w:fill="auto"/>
              <w:tabs>
                <w:tab w:val="left" w:pos="505"/>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լրացման այլ ծավալով ռադիոդեղագործական դեղապատրաստուկի համար նոր </w:t>
            </w:r>
            <w:r w:rsidRPr="003B2786">
              <w:rPr>
                <w:rStyle w:val="Bodytext1811pt"/>
                <w:rFonts w:ascii="Sylfaen" w:hAnsi="Sylfaen"/>
                <w:sz w:val="24"/>
                <w:szCs w:val="24"/>
              </w:rPr>
              <w:lastRenderedPageBreak/>
              <w:t>հավաքածուի ավելացում</w:t>
            </w:r>
          </w:p>
        </w:tc>
        <w:tc>
          <w:tcPr>
            <w:tcW w:w="1655" w:type="dxa"/>
            <w:gridSpan w:val="3"/>
            <w:tcBorders>
              <w:top w:val="single" w:sz="4" w:space="0" w:color="auto"/>
              <w:left w:val="single" w:sz="4" w:space="0" w:color="auto"/>
            </w:tcBorders>
            <w:shd w:val="clear" w:color="auto" w:fill="FFFFFF"/>
          </w:tcPr>
          <w:p w14:paraId="73B0645A"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5106B4E0"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955C9AC"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F2A9380"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0DE3E26"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90310AB"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Փոփոխված դեղապատրաստուկի լուծելիության պրոֆիլը համադրելի է հնի հետ, եթե կիրառելի է: Լուծելիության փորձարկման անցկացման անհնարինության դեպքում նոր դեղապատրաստուկի տրոհելիության ժամանակը՝ չփոփոխվածի համեմատությամբ:</w:t>
            </w:r>
          </w:p>
          <w:p w14:paraId="05A35A4C"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մասնագրերը թողարկման պահին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ավարտին չեն փոփոխվել (բացառությամբ դեղաձ</w:t>
            </w:r>
            <w:r w:rsidR="00C54D75">
              <w:rPr>
                <w:rStyle w:val="Bodytext1811pt"/>
                <w:rFonts w:ascii="Sylfaen" w:hAnsi="Sylfaen"/>
                <w:sz w:val="24"/>
                <w:szCs w:val="24"/>
              </w:rPr>
              <w:t>և</w:t>
            </w:r>
            <w:r w:rsidRPr="003B2786">
              <w:rPr>
                <w:rStyle w:val="Bodytext1811pt"/>
                <w:rFonts w:ascii="Sylfaen" w:hAnsi="Sylfaen"/>
                <w:sz w:val="24"/>
                <w:szCs w:val="24"/>
              </w:rPr>
              <w:t>ի չափսերի):</w:t>
            </w:r>
          </w:p>
          <w:p w14:paraId="66CBD7EB"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Քանական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միջին զանգվածը չի փոփոխվել։</w:t>
            </w:r>
          </w:p>
          <w:p w14:paraId="3527490F"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բաժանման գծով հաբին, որը նախատեսված է դեղաձ</w:t>
            </w:r>
            <w:r w:rsidR="00C54D75">
              <w:rPr>
                <w:rStyle w:val="Bodytext1811pt"/>
                <w:rFonts w:ascii="Sylfaen" w:hAnsi="Sylfaen"/>
                <w:sz w:val="24"/>
                <w:szCs w:val="24"/>
              </w:rPr>
              <w:t>և</w:t>
            </w:r>
            <w:r w:rsidRPr="003B2786">
              <w:rPr>
                <w:rStyle w:val="Bodytext1811pt"/>
                <w:rFonts w:ascii="Sylfaen" w:hAnsi="Sylfaen"/>
                <w:sz w:val="24"/>
                <w:szCs w:val="24"/>
              </w:rPr>
              <w:t>ը հավասար դոզաների բաժանելու համար:</w:t>
            </w:r>
          </w:p>
        </w:tc>
      </w:tr>
      <w:tr w:rsidR="008C76E0" w:rsidRPr="003B2786" w14:paraId="58723851"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tcPr>
          <w:p w14:paraId="5F69612D"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8C1E6B8"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արտաքին դիրքի մանրամասն գրաֆիկական նկարագրությունը,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 համապատասխանաբար։</w:t>
            </w:r>
          </w:p>
          <w:p w14:paraId="71BD05D8"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Առնվազն 1 փորձարարաարդյունաբերական սերիայի լուծելիության համեմատական տվյալները՝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չափսերով (նշանակալի տարբերությունների բացակայությունը՝ համադրելիության տեսանկյունից, տե՛ս Եվրասիական տնտեսական միությունում դեղապատրաստուկների կենսահամարժեքության հետազոտությունների անցկացման կանոնները (այսուհետ՝ Կենսահամարժեքության հետազոտությունների անցկացման կանոններ)): Բուսական դեղապատրաստուկների առնչությամբ կարող են ընդունելի լինել համեմատական տրոհելիության տվյալները:</w:t>
            </w:r>
          </w:p>
          <w:p w14:paraId="7B9629F9"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Կենսահամարժեքության հետազոտությունների անցկացման կանոնների համաձայն:</w:t>
            </w:r>
          </w:p>
          <w:p w14:paraId="4AD5350F"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դեղապատրաստուկի նմուշները:</w:t>
            </w:r>
          </w:p>
          <w:p w14:paraId="7061672C" w14:textId="77777777" w:rsidR="008C76E0" w:rsidRPr="00E15E7D" w:rsidRDefault="008C76E0" w:rsidP="008C76E0">
            <w:pPr>
              <w:pStyle w:val="Bodytext180"/>
              <w:shd w:val="clear" w:color="auto" w:fill="auto"/>
              <w:tabs>
                <w:tab w:val="left" w:pos="560"/>
              </w:tabs>
              <w:spacing w:before="0" w:after="120" w:line="240" w:lineRule="auto"/>
              <w:ind w:left="39" w:right="44" w:firstLine="0"/>
              <w:jc w:val="both"/>
              <w:rPr>
                <w:rStyle w:val="Bodytext1811pt"/>
                <w:rFonts w:ascii="Sylfaen" w:hAnsi="Sylfaen"/>
                <w:sz w:val="24"/>
                <w:szCs w:val="24"/>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Համապատասխան փորձարկումների արդյունքները՝ ըստ Միության դեղագրքի, որոնք հաստատում են հատկությունների համարժեքությունը (ճիշտ դոզավորումը):</w:t>
            </w:r>
          </w:p>
          <w:p w14:paraId="63C0044F" w14:textId="77777777" w:rsidR="002F06F8" w:rsidRPr="00E15E7D" w:rsidRDefault="002F06F8"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p>
        </w:tc>
      </w:tr>
      <w:tr w:rsidR="008C76E0" w:rsidRPr="003B2786" w14:paraId="396477D4" w14:textId="77777777" w:rsidTr="008C76E0">
        <w:trPr>
          <w:gridAfter w:val="1"/>
          <w:wAfter w:w="14" w:type="dxa"/>
          <w:jc w:val="center"/>
        </w:trPr>
        <w:tc>
          <w:tcPr>
            <w:tcW w:w="1993" w:type="dxa"/>
            <w:tcBorders>
              <w:top w:val="single" w:sz="4" w:space="0" w:color="auto"/>
              <w:left w:val="single" w:sz="4" w:space="0" w:color="auto"/>
            </w:tcBorders>
            <w:shd w:val="clear" w:color="auto" w:fill="FFFFFF"/>
          </w:tcPr>
          <w:p w14:paraId="30E771AA" w14:textId="77777777" w:rsidR="008C76E0" w:rsidRPr="003B2786" w:rsidRDefault="008C76E0" w:rsidP="008C76E0">
            <w:pPr>
              <w:pStyle w:val="Bodytext180"/>
              <w:shd w:val="clear" w:color="auto" w:fill="auto"/>
              <w:spacing w:before="0" w:after="120" w:line="240" w:lineRule="auto"/>
              <w:ind w:right="-1" w:firstLine="0"/>
              <w:jc w:val="both"/>
              <w:rPr>
                <w:rFonts w:ascii="Sylfaen" w:hAnsi="Sylfaen"/>
                <w:b w:val="0"/>
                <w:sz w:val="24"/>
                <w:szCs w:val="24"/>
              </w:rPr>
            </w:pPr>
            <w:r w:rsidRPr="003B2786">
              <w:rPr>
                <w:rFonts w:ascii="Sylfaen" w:hAnsi="Sylfaen"/>
                <w:b w:val="0"/>
                <w:sz w:val="24"/>
                <w:szCs w:val="24"/>
              </w:rPr>
              <w:t>(*) Ծանոթագրություն</w:t>
            </w:r>
          </w:p>
        </w:tc>
        <w:tc>
          <w:tcPr>
            <w:tcW w:w="8394" w:type="dxa"/>
            <w:gridSpan w:val="13"/>
            <w:tcBorders>
              <w:top w:val="single" w:sz="4" w:space="0" w:color="auto"/>
              <w:left w:val="single" w:sz="4" w:space="0" w:color="auto"/>
              <w:right w:val="single" w:sz="4" w:space="0" w:color="auto"/>
            </w:tcBorders>
            <w:shd w:val="clear" w:color="auto" w:fill="FFFFFF"/>
          </w:tcPr>
          <w:p w14:paraId="3A00525C" w14:textId="77777777" w:rsidR="008C76E0" w:rsidRPr="003B2786" w:rsidRDefault="008C76E0" w:rsidP="008C76E0">
            <w:pPr>
              <w:pStyle w:val="Bodytext180"/>
              <w:shd w:val="clear" w:color="auto" w:fill="auto"/>
              <w:spacing w:before="0" w:after="120" w:line="240" w:lineRule="auto"/>
              <w:ind w:left="38" w:right="44" w:firstLine="0"/>
              <w:jc w:val="both"/>
              <w:rPr>
                <w:rFonts w:ascii="Sylfaen" w:hAnsi="Sylfaen"/>
                <w:b w:val="0"/>
                <w:sz w:val="24"/>
                <w:szCs w:val="24"/>
              </w:rPr>
            </w:pPr>
            <w:r w:rsidRPr="003B2786">
              <w:rPr>
                <w:rStyle w:val="Bodytext1811pt"/>
                <w:rFonts w:ascii="Sylfaen" w:hAnsi="Sylfaen"/>
                <w:sz w:val="24"/>
                <w:szCs w:val="24"/>
              </w:rPr>
              <w:t>Բ.II.ա.2.գ-ի համար դեղապատրաստուկի դոզավորման ցանկացած փոփոխություն պահանջում է գրանցման երկարաձգման վերաբերյալ դիմումի ներկայացում:</w:t>
            </w:r>
          </w:p>
        </w:tc>
      </w:tr>
      <w:tr w:rsidR="008C76E0" w:rsidRPr="003B2786" w14:paraId="666F29D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E55C2C6" w14:textId="77777777" w:rsidR="008C76E0" w:rsidRPr="008C76E0" w:rsidRDefault="008C76E0" w:rsidP="008C76E0">
            <w:pPr>
              <w:pStyle w:val="Bodytext180"/>
              <w:shd w:val="clear" w:color="auto" w:fill="auto"/>
              <w:tabs>
                <w:tab w:val="left" w:pos="1187"/>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Բ.II.ա.З.</w:t>
            </w:r>
            <w:r w:rsidRPr="003B2786">
              <w:rPr>
                <w:rStyle w:val="Bodytext1811pt"/>
                <w:rFonts w:ascii="Sylfaen" w:hAnsi="Sylfaen"/>
                <w:sz w:val="24"/>
                <w:szCs w:val="24"/>
              </w:rPr>
              <w:tab/>
              <w:t>Դեղապատրաստուկի բաղադրության (օժանդակ նյութերի) փոփոխությունը</w:t>
            </w:r>
          </w:p>
        </w:tc>
        <w:tc>
          <w:tcPr>
            <w:tcW w:w="1655" w:type="dxa"/>
            <w:gridSpan w:val="3"/>
            <w:tcBorders>
              <w:top w:val="single" w:sz="4" w:space="0" w:color="auto"/>
              <w:left w:val="single" w:sz="4" w:space="0" w:color="auto"/>
            </w:tcBorders>
            <w:shd w:val="clear" w:color="auto" w:fill="FFFFFF"/>
          </w:tcPr>
          <w:p w14:paraId="1B1E201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DC0E27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BBE166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9ABA3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1A4F991" w14:textId="77777777" w:rsidR="008C76E0" w:rsidRPr="008C76E0" w:rsidRDefault="008C76E0" w:rsidP="008C76E0">
            <w:pPr>
              <w:pStyle w:val="Bodytext180"/>
              <w:shd w:val="clear" w:color="auto" w:fill="auto"/>
              <w:tabs>
                <w:tab w:val="left" w:pos="587"/>
                <w:tab w:val="left" w:pos="1187"/>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համային հավելումների (բուրավետիչների) կամ ներկանյութերի բաղադրության փոփոխությունը</w:t>
            </w:r>
          </w:p>
        </w:tc>
        <w:tc>
          <w:tcPr>
            <w:tcW w:w="1655" w:type="dxa"/>
            <w:gridSpan w:val="3"/>
            <w:tcBorders>
              <w:top w:val="single" w:sz="4" w:space="0" w:color="auto"/>
              <w:left w:val="single" w:sz="4" w:space="0" w:color="auto"/>
            </w:tcBorders>
            <w:shd w:val="clear" w:color="auto" w:fill="FFFFFF"/>
          </w:tcPr>
          <w:p w14:paraId="41070F0F"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46D9950E"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2438156D"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93D8DA2"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center"/>
          </w:tcPr>
          <w:p w14:paraId="48E570C5" w14:textId="77777777" w:rsidR="008C76E0" w:rsidRPr="003B2786" w:rsidRDefault="008C76E0" w:rsidP="008C76E0">
            <w:pPr>
              <w:pStyle w:val="Bodytext180"/>
              <w:numPr>
                <w:ilvl w:val="0"/>
                <w:numId w:val="20"/>
              </w:numPr>
              <w:shd w:val="clear" w:color="auto" w:fill="auto"/>
              <w:tabs>
                <w:tab w:val="left" w:pos="587"/>
                <w:tab w:val="left" w:pos="1187"/>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 xml:space="preserve">Ավելացումը, բացառումը կամ </w:t>
            </w:r>
            <w:r w:rsidRPr="003B2786">
              <w:rPr>
                <w:rStyle w:val="Bodytext1811pt"/>
                <w:rFonts w:ascii="Sylfaen" w:hAnsi="Sylfaen"/>
                <w:sz w:val="24"/>
                <w:szCs w:val="24"/>
              </w:rPr>
              <w:lastRenderedPageBreak/>
              <w:t>փոխարինումը</w:t>
            </w:r>
          </w:p>
        </w:tc>
        <w:tc>
          <w:tcPr>
            <w:tcW w:w="1655" w:type="dxa"/>
            <w:gridSpan w:val="3"/>
            <w:tcBorders>
              <w:top w:val="single" w:sz="4" w:space="0" w:color="auto"/>
              <w:left w:val="single" w:sz="4" w:space="0" w:color="auto"/>
              <w:bottom w:val="single" w:sz="4" w:space="0" w:color="auto"/>
            </w:tcBorders>
            <w:shd w:val="clear" w:color="auto" w:fill="FFFFFF"/>
          </w:tcPr>
          <w:p w14:paraId="25240B4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 xml:space="preserve">1, 2, 3, 4, 5, 6, 7, </w:t>
            </w:r>
            <w:r w:rsidRPr="003B2786">
              <w:rPr>
                <w:rStyle w:val="Bodytext1811pt"/>
                <w:rFonts w:ascii="Sylfaen" w:hAnsi="Sylfaen"/>
                <w:sz w:val="24"/>
                <w:szCs w:val="24"/>
              </w:rPr>
              <w:lastRenderedPageBreak/>
              <w:t>9, 11</w:t>
            </w:r>
          </w:p>
        </w:tc>
        <w:tc>
          <w:tcPr>
            <w:tcW w:w="2042" w:type="dxa"/>
            <w:gridSpan w:val="3"/>
            <w:tcBorders>
              <w:top w:val="single" w:sz="4" w:space="0" w:color="auto"/>
              <w:left w:val="single" w:sz="4" w:space="0" w:color="auto"/>
              <w:bottom w:val="single" w:sz="4" w:space="0" w:color="auto"/>
            </w:tcBorders>
            <w:shd w:val="clear" w:color="auto" w:fill="FFFFFF"/>
          </w:tcPr>
          <w:p w14:paraId="72D1C19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1, 2, 4, 5, 6</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73FBAD8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558332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96F3520" w14:textId="77777777" w:rsidR="008C76E0" w:rsidRPr="003B2786" w:rsidRDefault="008C76E0" w:rsidP="008C76E0">
            <w:pPr>
              <w:pStyle w:val="Bodytext180"/>
              <w:numPr>
                <w:ilvl w:val="0"/>
                <w:numId w:val="20"/>
              </w:numPr>
              <w:shd w:val="clear" w:color="auto" w:fill="auto"/>
              <w:tabs>
                <w:tab w:val="left" w:pos="587"/>
                <w:tab w:val="left" w:pos="1187"/>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Պարունակության ավելացումը կամ նվազեցումը</w:t>
            </w:r>
          </w:p>
        </w:tc>
        <w:tc>
          <w:tcPr>
            <w:tcW w:w="1655" w:type="dxa"/>
            <w:gridSpan w:val="3"/>
            <w:tcBorders>
              <w:top w:val="single" w:sz="4" w:space="0" w:color="auto"/>
              <w:left w:val="single" w:sz="4" w:space="0" w:color="auto"/>
            </w:tcBorders>
            <w:shd w:val="clear" w:color="auto" w:fill="FFFFFF"/>
          </w:tcPr>
          <w:p w14:paraId="6A55EC1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1, 2, 3, 4, 11</w:t>
            </w:r>
          </w:p>
        </w:tc>
        <w:tc>
          <w:tcPr>
            <w:tcW w:w="2042" w:type="dxa"/>
            <w:gridSpan w:val="3"/>
            <w:tcBorders>
              <w:top w:val="single" w:sz="4" w:space="0" w:color="auto"/>
              <w:left w:val="single" w:sz="4" w:space="0" w:color="auto"/>
            </w:tcBorders>
            <w:shd w:val="clear" w:color="auto" w:fill="FFFFFF"/>
          </w:tcPr>
          <w:p w14:paraId="7D4ECB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w:t>
            </w:r>
          </w:p>
        </w:tc>
        <w:tc>
          <w:tcPr>
            <w:tcW w:w="2098" w:type="dxa"/>
            <w:gridSpan w:val="3"/>
            <w:tcBorders>
              <w:top w:val="single" w:sz="4" w:space="0" w:color="auto"/>
              <w:left w:val="single" w:sz="4" w:space="0" w:color="auto"/>
              <w:right w:val="single" w:sz="4" w:space="0" w:color="auto"/>
            </w:tcBorders>
            <w:shd w:val="clear" w:color="auto" w:fill="FFFFFF"/>
          </w:tcPr>
          <w:p w14:paraId="52D6611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41B702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3AE6F87" w14:textId="77777777" w:rsidR="008C76E0" w:rsidRPr="003B2786" w:rsidRDefault="008C76E0" w:rsidP="008C76E0">
            <w:pPr>
              <w:pStyle w:val="Bodytext180"/>
              <w:shd w:val="clear" w:color="auto" w:fill="auto"/>
              <w:tabs>
                <w:tab w:val="left" w:pos="587"/>
              </w:tabs>
              <w:spacing w:before="0" w:after="120" w:line="240" w:lineRule="auto"/>
              <w:ind w:left="39" w:right="50"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այլ օժանդակ նյութեր</w:t>
            </w:r>
          </w:p>
        </w:tc>
        <w:tc>
          <w:tcPr>
            <w:tcW w:w="1655" w:type="dxa"/>
            <w:gridSpan w:val="3"/>
            <w:tcBorders>
              <w:top w:val="single" w:sz="4" w:space="0" w:color="auto"/>
              <w:left w:val="single" w:sz="4" w:space="0" w:color="auto"/>
            </w:tcBorders>
            <w:shd w:val="clear" w:color="auto" w:fill="FFFFFF"/>
          </w:tcPr>
          <w:p w14:paraId="75F94F27"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785E8573"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5D327766"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725C739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BAB4C4E" w14:textId="77777777" w:rsidR="008C76E0" w:rsidRPr="008C76E0" w:rsidRDefault="008C76E0" w:rsidP="008C76E0">
            <w:pPr>
              <w:pStyle w:val="Bodytext180"/>
              <w:numPr>
                <w:ilvl w:val="0"/>
                <w:numId w:val="21"/>
              </w:numPr>
              <w:shd w:val="clear" w:color="auto" w:fill="auto"/>
              <w:tabs>
                <w:tab w:val="left" w:pos="587"/>
              </w:tabs>
              <w:spacing w:before="0" w:after="120" w:line="240" w:lineRule="auto"/>
              <w:ind w:left="39" w:right="50" w:firstLine="13"/>
              <w:jc w:val="both"/>
              <w:rPr>
                <w:rFonts w:ascii="Sylfaen" w:hAnsi="Sylfaen"/>
                <w:b w:val="0"/>
                <w:sz w:val="24"/>
                <w:szCs w:val="24"/>
                <w:lang w:val="hy-AM"/>
              </w:rPr>
            </w:pPr>
            <w:r w:rsidRPr="003B2786">
              <w:rPr>
                <w:rStyle w:val="Bodytext1811pt"/>
                <w:rFonts w:ascii="Sylfaen" w:hAnsi="Sylfaen"/>
                <w:sz w:val="24"/>
                <w:szCs w:val="24"/>
              </w:rPr>
              <w:t>Դեղապատրաստուկի օժանդակ նյութերի քանակական կազմի ցանկացած աննշան ուղղումը</w:t>
            </w:r>
          </w:p>
        </w:tc>
        <w:tc>
          <w:tcPr>
            <w:tcW w:w="1655" w:type="dxa"/>
            <w:gridSpan w:val="3"/>
            <w:tcBorders>
              <w:top w:val="single" w:sz="4" w:space="0" w:color="auto"/>
              <w:left w:val="single" w:sz="4" w:space="0" w:color="auto"/>
            </w:tcBorders>
            <w:shd w:val="clear" w:color="auto" w:fill="FFFFFF"/>
          </w:tcPr>
          <w:p w14:paraId="559B442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1, 2, 4, 8, 9, 10</w:t>
            </w:r>
          </w:p>
        </w:tc>
        <w:tc>
          <w:tcPr>
            <w:tcW w:w="2042" w:type="dxa"/>
            <w:gridSpan w:val="3"/>
            <w:tcBorders>
              <w:top w:val="single" w:sz="4" w:space="0" w:color="auto"/>
              <w:left w:val="single" w:sz="4" w:space="0" w:color="auto"/>
            </w:tcBorders>
            <w:shd w:val="clear" w:color="auto" w:fill="FFFFFF"/>
          </w:tcPr>
          <w:p w14:paraId="40922A4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1, 2, 7</w:t>
            </w:r>
          </w:p>
        </w:tc>
        <w:tc>
          <w:tcPr>
            <w:tcW w:w="2098" w:type="dxa"/>
            <w:gridSpan w:val="3"/>
            <w:tcBorders>
              <w:top w:val="single" w:sz="4" w:space="0" w:color="auto"/>
              <w:left w:val="single" w:sz="4" w:space="0" w:color="auto"/>
              <w:right w:val="single" w:sz="4" w:space="0" w:color="auto"/>
            </w:tcBorders>
            <w:shd w:val="clear" w:color="auto" w:fill="FFFFFF"/>
          </w:tcPr>
          <w:p w14:paraId="426D337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9EC1E0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FCB1808" w14:textId="77777777" w:rsidR="008C76E0" w:rsidRPr="008C76E0" w:rsidRDefault="008C76E0" w:rsidP="008C76E0">
            <w:pPr>
              <w:pStyle w:val="Bodytext180"/>
              <w:shd w:val="clear" w:color="auto" w:fill="auto"/>
              <w:tabs>
                <w:tab w:val="left" w:pos="587"/>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Մեկ կամ մի քանի օժանդակ նյութերի որակական կամ քանակական փոփոխությունները, որոնք կարող են էականորեն ազդել դեղապատրաստուկի որակի, անվտանգության կամ արդյունավետության վրա</w:t>
            </w:r>
          </w:p>
        </w:tc>
        <w:tc>
          <w:tcPr>
            <w:tcW w:w="1655" w:type="dxa"/>
            <w:gridSpan w:val="3"/>
            <w:tcBorders>
              <w:top w:val="single" w:sz="4" w:space="0" w:color="auto"/>
              <w:left w:val="single" w:sz="4" w:space="0" w:color="auto"/>
            </w:tcBorders>
            <w:shd w:val="clear" w:color="auto" w:fill="FFFFFF"/>
          </w:tcPr>
          <w:p w14:paraId="0D65E35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8CE704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42B6CD3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614A0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24A062E" w14:textId="77777777" w:rsidR="008C76E0" w:rsidRPr="008C76E0" w:rsidRDefault="008C76E0" w:rsidP="008C76E0">
            <w:pPr>
              <w:pStyle w:val="Bodytext180"/>
              <w:shd w:val="clear" w:color="auto" w:fill="auto"/>
              <w:tabs>
                <w:tab w:val="left" w:pos="614"/>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Կենսաբանական (իմունաբանական) պատրաստուկին առնչվող փոփոխությունը</w:t>
            </w:r>
          </w:p>
        </w:tc>
        <w:tc>
          <w:tcPr>
            <w:tcW w:w="1655" w:type="dxa"/>
            <w:gridSpan w:val="3"/>
            <w:tcBorders>
              <w:top w:val="single" w:sz="4" w:space="0" w:color="auto"/>
              <w:left w:val="single" w:sz="4" w:space="0" w:color="auto"/>
            </w:tcBorders>
            <w:shd w:val="clear" w:color="auto" w:fill="FFFFFF"/>
          </w:tcPr>
          <w:p w14:paraId="1CDBFFB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EEE8DD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60C5247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BEBFA4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050D77A"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 xml:space="preserve">Ցանկացած նոր օժանդակ նյութ, որը ենթադրում է վիրուսային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ՏՍԷ-ի ռիսկի տվյալների գնահատում պահանջող՝ մարդկային կամ կենդանական ծագման նյութերի կիրառում</w:t>
            </w:r>
          </w:p>
        </w:tc>
        <w:tc>
          <w:tcPr>
            <w:tcW w:w="1655" w:type="dxa"/>
            <w:gridSpan w:val="3"/>
            <w:tcBorders>
              <w:top w:val="single" w:sz="4" w:space="0" w:color="auto"/>
              <w:left w:val="single" w:sz="4" w:space="0" w:color="auto"/>
            </w:tcBorders>
            <w:shd w:val="clear" w:color="auto" w:fill="FFFFFF"/>
          </w:tcPr>
          <w:p w14:paraId="18673EF6"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BE71C76"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C3BC470"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5895E5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6ECED07"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Կենսահամարժեքության հետազոտության արդյունքներով հիմնավորված փոփոխություն</w:t>
            </w:r>
          </w:p>
        </w:tc>
        <w:tc>
          <w:tcPr>
            <w:tcW w:w="1655" w:type="dxa"/>
            <w:gridSpan w:val="3"/>
            <w:tcBorders>
              <w:top w:val="single" w:sz="4" w:space="0" w:color="auto"/>
              <w:left w:val="single" w:sz="4" w:space="0" w:color="auto"/>
            </w:tcBorders>
            <w:shd w:val="clear" w:color="auto" w:fill="FFFFFF"/>
          </w:tcPr>
          <w:p w14:paraId="0A4DF5B8"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BD854F4"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65400EEC"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8D54524"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1F5B51A"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Մեկ օժանդակ նյութի փոխարինումը նման օժանդակ նյութով, որն ունի համանման քանակությամբ ֆունկցիոնալ նույն բնութագրերը</w:t>
            </w:r>
          </w:p>
        </w:tc>
        <w:tc>
          <w:tcPr>
            <w:tcW w:w="1655" w:type="dxa"/>
            <w:gridSpan w:val="3"/>
            <w:tcBorders>
              <w:top w:val="single" w:sz="4" w:space="0" w:color="auto"/>
              <w:left w:val="single" w:sz="4" w:space="0" w:color="auto"/>
            </w:tcBorders>
            <w:shd w:val="clear" w:color="auto" w:fill="FFFFFF"/>
          </w:tcPr>
          <w:p w14:paraId="2A31A3C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D65C4E4"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1, 3, 4, 5, 6, 7, 8, 9, 10</w:t>
            </w:r>
          </w:p>
        </w:tc>
        <w:tc>
          <w:tcPr>
            <w:tcW w:w="2098" w:type="dxa"/>
            <w:gridSpan w:val="3"/>
            <w:tcBorders>
              <w:top w:val="single" w:sz="4" w:space="0" w:color="auto"/>
              <w:left w:val="single" w:sz="4" w:space="0" w:color="auto"/>
              <w:right w:val="single" w:sz="4" w:space="0" w:color="auto"/>
            </w:tcBorders>
            <w:shd w:val="clear" w:color="auto" w:fill="FFFFFF"/>
          </w:tcPr>
          <w:p w14:paraId="543F3B5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72100B1"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48CA2E33"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F5B363E"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Դեղաձ</w:t>
            </w:r>
            <w:r w:rsidR="00C54D75">
              <w:rPr>
                <w:rStyle w:val="Bodytext1811pt"/>
                <w:rFonts w:ascii="Sylfaen" w:hAnsi="Sylfaen"/>
                <w:sz w:val="24"/>
                <w:szCs w:val="24"/>
              </w:rPr>
              <w:t>և</w:t>
            </w:r>
            <w:r w:rsidRPr="003B2786">
              <w:rPr>
                <w:rStyle w:val="Bodytext1811pt"/>
                <w:rFonts w:ascii="Sylfaen" w:hAnsi="Sylfaen"/>
                <w:sz w:val="24"/>
                <w:szCs w:val="24"/>
              </w:rPr>
              <w:t>ի ֆունկցիոնալ բնութագրերի, օրինակ՝ տրոհելիության ժամանակի, լուծելիության պրոֆիլի փոփոխությունները բացակայում են:</w:t>
            </w:r>
          </w:p>
          <w:p w14:paraId="393CA896"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Ընդհանուր զանգվածի պահպանման համար բաղադրության ցանկացած աննշան ուղղում անհրաժեշտ է իրականացնել օժանդակ նյութով, որը տվյալ պահին կազմում է դեղապատրաստուկի հիմնական մասը:</w:t>
            </w:r>
          </w:p>
          <w:p w14:paraId="671C67F1"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մասնագիրը նորացվել է արտաքին տեսքի (հոտի, համի) առումով,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անհրաժեշտության դեպքում բացառվել է իսկության փորձարկումը:</w:t>
            </w:r>
          </w:p>
          <w:p w14:paraId="47CC8681" w14:textId="0E43C554"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pacing w:val="-4"/>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pacing w:val="-4"/>
                <w:sz w:val="24"/>
                <w:szCs w:val="24"/>
              </w:rPr>
              <w:t xml:space="preserve">Սկսվել են կայունության համապատասխան փորձարկումներ՝ Միության փաստաթղթերին համապատասխան (սերիաների համարների նշումով), վերլուծվել են առնվազն 2 </w:t>
            </w:r>
            <w:r w:rsidRPr="003B2786">
              <w:rPr>
                <w:rStyle w:val="Bodytext1811pt"/>
                <w:rFonts w:ascii="Sylfaen" w:hAnsi="Sylfaen"/>
                <w:spacing w:val="-4"/>
                <w:sz w:val="24"/>
                <w:szCs w:val="24"/>
              </w:rPr>
              <w:lastRenderedPageBreak/>
              <w:t xml:space="preserve">փորձարարաարդյունաբերական կամ արդյունաբերական սերիաների համար կայունության համապատասխան պարամետրերը, </w:t>
            </w:r>
            <w:r w:rsidR="0056496B">
              <w:rPr>
                <w:rStyle w:val="Bodytext1811pt"/>
                <w:rFonts w:ascii="Sylfaen" w:hAnsi="Sylfaen"/>
                <w:spacing w:val="-4"/>
                <w:sz w:val="24"/>
                <w:szCs w:val="24"/>
              </w:rPr>
              <w:t>դիմումատու</w:t>
            </w:r>
            <w:r w:rsidRPr="003B2786">
              <w:rPr>
                <w:rStyle w:val="Bodytext1811pt"/>
                <w:rFonts w:ascii="Sylfaen" w:hAnsi="Sylfaen"/>
                <w:spacing w:val="-4"/>
                <w:sz w:val="24"/>
                <w:szCs w:val="24"/>
              </w:rPr>
              <w:t xml:space="preserve">ի տրամադրության տակ կան առնվազն կայունության եռամսյա ուսումնասիրության բավարար արդյունքներ (IA տիպի փոփոխությունների ներմուծման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IB տիպի փոփոխությունների ծանուցման պահի դրությամբ), կայունության պրոֆիլը նման է ներկայումս հաստատված պրոֆիլին: Հաստատումն այն բանի, որ ուսումնասիրությունները կավարտվեն,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դրանք գործողությունների առաջարկվող պլանի հետ անհապաղ կներկայացվեն լիազորված մարմին: Բացի այդ, համապատասխան դեպքերում անհրաժեշտ է անցկացնել ֆոտոկայունության փորձարկում:</w:t>
            </w:r>
          </w:p>
          <w:p w14:paraId="0C50E9AB"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Բոլոր նոր բաղադրիչները պետք է բավարարեն Միության համապատասխան փաստաթղթերի պահանջները, որոնք վերաբերում են սննդարդյունաբերության մեջ օգտագործվող ներկանյութերին </w:t>
            </w:r>
            <w:r w:rsidR="00C54D75">
              <w:rPr>
                <w:rStyle w:val="Bodytext1811pt"/>
                <w:rFonts w:ascii="Sylfaen" w:hAnsi="Sylfaen"/>
                <w:sz w:val="24"/>
                <w:szCs w:val="24"/>
              </w:rPr>
              <w:t>և</w:t>
            </w:r>
            <w:r w:rsidRPr="003B2786">
              <w:rPr>
                <w:rStyle w:val="Bodytext1811pt"/>
                <w:rFonts w:ascii="Sylfaen" w:hAnsi="Sylfaen"/>
                <w:sz w:val="24"/>
                <w:szCs w:val="24"/>
              </w:rPr>
              <w:t xml:space="preserve"> համային հավելումներին:</w:t>
            </w:r>
          </w:p>
        </w:tc>
      </w:tr>
      <w:tr w:rsidR="008C76E0" w:rsidRPr="003B2786" w14:paraId="3845C6D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8244949" w14:textId="77777777" w:rsidR="008C76E0" w:rsidRPr="008C76E0" w:rsidRDefault="008C76E0" w:rsidP="008C76E0">
            <w:pPr>
              <w:pStyle w:val="Bodytext180"/>
              <w:shd w:val="clear" w:color="auto" w:fill="auto"/>
              <w:tabs>
                <w:tab w:val="left" w:pos="608"/>
              </w:tabs>
              <w:spacing w:before="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lastRenderedPageBreak/>
              <w:t>6.</w:t>
            </w:r>
            <w:r w:rsidRPr="008C76E0">
              <w:rPr>
                <w:rFonts w:ascii="Sylfaen" w:hAnsi="Sylfaen"/>
                <w:b w:val="0"/>
                <w:sz w:val="24"/>
                <w:szCs w:val="24"/>
                <w:lang w:val="hy-AM"/>
              </w:rPr>
              <w:tab/>
            </w:r>
            <w:r w:rsidRPr="003B2786">
              <w:rPr>
                <w:rStyle w:val="Bodytext1811pt"/>
                <w:rFonts w:ascii="Sylfaen" w:hAnsi="Sylfaen"/>
                <w:sz w:val="24"/>
                <w:szCs w:val="24"/>
              </w:rPr>
              <w:t xml:space="preserve">Ոչ մի նոր բաղադրիչ մարդկային կամ կենդանական ծագման նյութի կիրառում չի ենթադրում, որոնք պահանջում են վիրուսային անվտանգության տվյալների գնահատում կամ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վերաբերյալ Միության դեղագրքի գործող պահանջներին համապատասխանություն:</w:t>
            </w:r>
          </w:p>
          <w:p w14:paraId="531C5E32"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փոփոխությունները չեն ազդում դոզավորման տարբերությունների վրա </w:t>
            </w:r>
            <w:r w:rsidR="00C54D75">
              <w:rPr>
                <w:rStyle w:val="Bodytext1811pt"/>
                <w:rFonts w:ascii="Sylfaen" w:hAnsi="Sylfaen"/>
                <w:sz w:val="24"/>
                <w:szCs w:val="24"/>
              </w:rPr>
              <w:t>և</w:t>
            </w:r>
            <w:r w:rsidRPr="003B2786">
              <w:rPr>
                <w:rStyle w:val="Bodytext1811pt"/>
                <w:rFonts w:ascii="Sylfaen" w:hAnsi="Sylfaen"/>
                <w:sz w:val="24"/>
                <w:szCs w:val="24"/>
              </w:rPr>
              <w:t xml:space="preserve"> բացասական ազդեցություն չեն գործում երեխաների համար նախատեսված դեղապատրաստուկների համային հատկությունների վրա:</w:t>
            </w:r>
          </w:p>
          <w:p w14:paraId="0256747E"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Նոր դեղապատրաստուկի առնվազն 2 փորձարարաարդյունաբերական սերիաների լուծելիության պրոֆիլը համադրելիության տեսանկյունից համադրելի է չփոփոխվածին (նշանակալի տարբերությունների բացակայություն՝ տե՛ս Միության կենսահամարժեքության հետազոտությունների անցկացման կանոնները): Դեղաբուսական պատրաստուկների լուծելիության փորձարկման անցկացման անհնարինության դեպքում նոր դեղապատրաստուկի տրոհելիության ժամանակը համադրելի է չփոփոխվածի հետ:</w:t>
            </w:r>
          </w:p>
          <w:p w14:paraId="49BFAE76"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Փոփոխությունը անկայունության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w:t>
            </w:r>
            <w:r w:rsidR="00C54D75">
              <w:rPr>
                <w:rStyle w:val="Bodytext1811pt"/>
                <w:rFonts w:ascii="Sylfaen" w:hAnsi="Sylfaen"/>
                <w:sz w:val="24"/>
                <w:szCs w:val="24"/>
              </w:rPr>
              <w:t>և</w:t>
            </w:r>
            <w:r w:rsidRPr="003B2786">
              <w:rPr>
                <w:rStyle w:val="Bodytext1811pt"/>
                <w:rFonts w:ascii="Sylfaen" w:hAnsi="Sylfaen"/>
                <w:sz w:val="24"/>
                <w:szCs w:val="24"/>
              </w:rPr>
              <w:t xml:space="preserve"> (կամ) չպետք է ազդի անվտանգության վրա, այսինքն՝ դոզավորման տարբերությունների վրա:</w:t>
            </w:r>
          </w:p>
          <w:p w14:paraId="5994B08C" w14:textId="77777777" w:rsidR="008C76E0" w:rsidRPr="008C76E0" w:rsidRDefault="008C76E0" w:rsidP="008C76E0">
            <w:pPr>
              <w:pStyle w:val="Bodytext180"/>
              <w:shd w:val="clear" w:color="auto" w:fill="auto"/>
              <w:tabs>
                <w:tab w:val="left" w:pos="608"/>
              </w:tabs>
              <w:spacing w:before="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10.</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դեղապատրաստուկ չէ։</w:t>
            </w:r>
          </w:p>
        </w:tc>
      </w:tr>
      <w:tr w:rsidR="008C76E0" w:rsidRPr="003B2786" w14:paraId="01A38924"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67EB34F2"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55B233F"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 ներառյալ՝ բոլոր նոր ներկանյութերի իսկության փորձարկման մեթոդները (եթե կիրառելի է),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 համապատասխանաբար:</w:t>
            </w:r>
          </w:p>
          <w:p w14:paraId="546400FA" w14:textId="79B52148"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սկսվել են կայունության պահանջվող հետազոտությունները՝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w:t>
            </w:r>
            <w:r w:rsidRPr="003B2786">
              <w:rPr>
                <w:rStyle w:val="Bodytext1811pt"/>
                <w:rFonts w:ascii="Sylfaen" w:hAnsi="Sylfaen"/>
                <w:sz w:val="24"/>
                <w:szCs w:val="24"/>
              </w:rPr>
              <w:lastRenderedPageBreak/>
              <w:t xml:space="preserve">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 այն մասին,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անհապաղ կներկայացվեն լիազորված մարմին:</w:t>
            </w:r>
          </w:p>
          <w:p w14:paraId="1B864F8A"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Կայունության նշանակալի պարամետրերով առնվազն երկու փորձարարաարդյունաբերական կամ արդյունաբերական սերիաների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փաստաթղթերին համապատասխան անցկացված կայունության ուսումնասիրությունների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հաստատում այն բանի, որ նշված ուսումնասիրությունները կավարտվեն, իսկ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պետք է անհապաղ ներկայացվեն լիազորված մարմին:</w:t>
            </w:r>
          </w:p>
          <w:p w14:paraId="0AA61703"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դեղապատրաստուկի նմուշները:</w:t>
            </w:r>
          </w:p>
          <w:p w14:paraId="20CD7235" w14:textId="77777777" w:rsidR="008C76E0" w:rsidRPr="008C76E0" w:rsidRDefault="008C76E0" w:rsidP="002F06F8">
            <w:pPr>
              <w:pStyle w:val="Bodytext180"/>
              <w:shd w:val="clear" w:color="auto" w:fill="auto"/>
              <w:tabs>
                <w:tab w:val="left" w:pos="608"/>
              </w:tabs>
              <w:spacing w:before="0" w:after="120" w:line="288"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Կա՛մ ՏՍԷ-ի մասով Եվրոպական դեղագրքերի համապատասխանության հավաստագիրը՝ նյութի ցանկացած նոր աղբյուրի համար, կա՛մ (եթե կիրառելի է) փաստաթղթային հաստատումն այն մասին, որ ՏՍԷ-ի ռիսկի ենթարկված նյութի աղբյուրը նախկինում ստուգվել է լիազորված մարմնի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է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վերաբերյալ Միության դեղագրքի գործող հոդվածին դրա համապատասխանությունը։ Այդ տեսակի ցանկացած նյութի համար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որից ստացվել է նյութը, կենդանիների ծագման երկիրը </w:t>
            </w:r>
            <w:r w:rsidR="00C54D75">
              <w:rPr>
                <w:rStyle w:val="Bodytext1811pt"/>
                <w:rFonts w:ascii="Sylfaen" w:hAnsi="Sylfaen"/>
                <w:sz w:val="24"/>
                <w:szCs w:val="24"/>
              </w:rPr>
              <w:t>և</w:t>
            </w:r>
            <w:r w:rsidRPr="003B2786">
              <w:rPr>
                <w:rStyle w:val="Bodytext1811pt"/>
                <w:rFonts w:ascii="Sylfaen" w:hAnsi="Sylfaen"/>
                <w:sz w:val="24"/>
                <w:szCs w:val="24"/>
              </w:rPr>
              <w:t xml:space="preserve"> դրա օգտագործումը:</w:t>
            </w:r>
          </w:p>
          <w:p w14:paraId="04A323DD" w14:textId="77777777" w:rsidR="002F06F8" w:rsidRPr="00E15E7D" w:rsidRDefault="008C76E0" w:rsidP="002F06F8">
            <w:pPr>
              <w:pStyle w:val="Bodytext180"/>
              <w:shd w:val="clear" w:color="auto" w:fill="auto"/>
              <w:tabs>
                <w:tab w:val="left" w:pos="608"/>
              </w:tabs>
              <w:spacing w:before="0" w:after="12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տվյալները, որոնք հաստատում են, որ նոր օժանդակ նյութը չի փոխազդում դեղապատրաստուկի մասնագրերի վերլուծական մեթոդիկաների հետ:</w:t>
            </w:r>
          </w:p>
        </w:tc>
      </w:tr>
      <w:tr w:rsidR="008C76E0" w:rsidRPr="003B2786" w14:paraId="279C4BD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9D0D1DD"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 xml:space="preserve">Պատշաճ դեղագործական մշակման միջոցով (ներառյալ կայունության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հակամանրէային պահածոյացման հարցերը, եթե կիրառելի է) անհրաժեշտ է ներկայացնել օժանդակ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այլնի փոխարինման (ընտրության) հիմնավորումը:</w:t>
            </w:r>
          </w:p>
          <w:p w14:paraId="5B0FF66F"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8.</w:t>
            </w:r>
            <w:r w:rsidRPr="003B2786">
              <w:rPr>
                <w:rStyle w:val="Bodytext1811pt"/>
                <w:rFonts w:ascii="Sylfaen" w:hAnsi="Sylfaen"/>
                <w:sz w:val="24"/>
                <w:szCs w:val="24"/>
              </w:rPr>
              <w:tab/>
              <w:t xml:space="preserve">Նոր </w:t>
            </w:r>
            <w:r w:rsidR="00C54D75">
              <w:rPr>
                <w:rStyle w:val="Bodytext1811pt"/>
                <w:rFonts w:ascii="Sylfaen" w:hAnsi="Sylfaen"/>
                <w:sz w:val="24"/>
                <w:szCs w:val="24"/>
              </w:rPr>
              <w:t>և</w:t>
            </w:r>
            <w:r w:rsidRPr="003B2786">
              <w:rPr>
                <w:rStyle w:val="Bodytext1811pt"/>
                <w:rFonts w:ascii="Sylfaen" w:hAnsi="Sylfaen"/>
                <w:sz w:val="24"/>
                <w:szCs w:val="24"/>
              </w:rPr>
              <w:t xml:space="preserve"> հին բաղադրությամբ դեղապատրաստուկի առնվազն 2 փորձարարաարդյունաբերական սերիաների կոշտ դեղաձ</w:t>
            </w:r>
            <w:r w:rsidR="00C54D75">
              <w:rPr>
                <w:rStyle w:val="Bodytext1811pt"/>
                <w:rFonts w:ascii="Sylfaen" w:hAnsi="Sylfaen"/>
                <w:sz w:val="24"/>
                <w:szCs w:val="24"/>
              </w:rPr>
              <w:t>և</w:t>
            </w:r>
            <w:r w:rsidRPr="003B2786">
              <w:rPr>
                <w:rStyle w:val="Bodytext1811pt"/>
                <w:rFonts w:ascii="Sylfaen" w:hAnsi="Sylfaen"/>
                <w:sz w:val="24"/>
                <w:szCs w:val="24"/>
              </w:rPr>
              <w:t>երի լուծելիության պրոֆիլի համեմատական տվյալները: Բուսական դեղապատրաստուկների առնչությամբ կարող են բավարար լինել համեմատական տրոհելիության տվյալները:</w:t>
            </w:r>
          </w:p>
          <w:p w14:paraId="0E6DDBF7"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tc>
      </w:tr>
      <w:tr w:rsidR="008C76E0" w:rsidRPr="003B2786" w14:paraId="2F937A0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215C73A" w14:textId="77777777" w:rsidR="008C76E0" w:rsidRPr="008C76E0" w:rsidRDefault="008C76E0" w:rsidP="008C76E0">
            <w:pPr>
              <w:pStyle w:val="Bodytext180"/>
              <w:shd w:val="clear" w:color="auto" w:fill="auto"/>
              <w:tabs>
                <w:tab w:val="left" w:pos="1179"/>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Բ.II.ա.4.</w:t>
            </w:r>
            <w:r w:rsidRPr="003B2786">
              <w:rPr>
                <w:rStyle w:val="Bodytext1811pt"/>
                <w:rFonts w:ascii="Sylfaen" w:hAnsi="Sylfaen"/>
                <w:sz w:val="24"/>
                <w:szCs w:val="24"/>
              </w:rPr>
              <w:tab/>
              <w:t xml:space="preserve">Ներքին ընդունման համար </w:t>
            </w:r>
            <w:r w:rsidRPr="003B2786">
              <w:rPr>
                <w:rStyle w:val="Bodytext1811pt"/>
                <w:rFonts w:ascii="Sylfaen" w:hAnsi="Sylfaen"/>
                <w:sz w:val="24"/>
                <w:szCs w:val="24"/>
              </w:rPr>
              <w:lastRenderedPageBreak/>
              <w:t>դեղաձ</w:t>
            </w:r>
            <w:r w:rsidR="00C54D75">
              <w:rPr>
                <w:rStyle w:val="Bodytext1811pt"/>
                <w:rFonts w:ascii="Sylfaen" w:hAnsi="Sylfaen"/>
                <w:sz w:val="24"/>
                <w:szCs w:val="24"/>
              </w:rPr>
              <w:t>և</w:t>
            </w:r>
            <w:r w:rsidRPr="003B2786">
              <w:rPr>
                <w:rStyle w:val="Bodytext1811pt"/>
                <w:rFonts w:ascii="Sylfaen" w:hAnsi="Sylfaen"/>
                <w:sz w:val="24"/>
                <w:szCs w:val="24"/>
              </w:rPr>
              <w:t>ի թաղանթի զանգվածի փոփոխությունը կամ դեղապատիճի թաղանթի զանգվածի փոփոխությունը</w:t>
            </w:r>
          </w:p>
        </w:tc>
        <w:tc>
          <w:tcPr>
            <w:tcW w:w="1655" w:type="dxa"/>
            <w:gridSpan w:val="3"/>
            <w:tcBorders>
              <w:top w:val="single" w:sz="4" w:space="0" w:color="auto"/>
              <w:left w:val="single" w:sz="4" w:space="0" w:color="auto"/>
            </w:tcBorders>
            <w:shd w:val="clear" w:color="auto" w:fill="FFFFFF"/>
          </w:tcPr>
          <w:p w14:paraId="0888D34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2042" w:type="dxa"/>
            <w:gridSpan w:val="3"/>
            <w:tcBorders>
              <w:top w:val="single" w:sz="4" w:space="0" w:color="auto"/>
              <w:left w:val="single" w:sz="4" w:space="0" w:color="auto"/>
            </w:tcBorders>
            <w:shd w:val="clear" w:color="auto" w:fill="FFFFFF"/>
          </w:tcPr>
          <w:p w14:paraId="041E81D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3B2786">
              <w:rPr>
                <w:rStyle w:val="Bodytext1811pt"/>
                <w:rFonts w:ascii="Sylfaen" w:hAnsi="Sylfaen"/>
                <w:sz w:val="24"/>
                <w:szCs w:val="24"/>
              </w:rPr>
              <w:lastRenderedPageBreak/>
              <w:t>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1680BA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Ընթացակարգը</w:t>
            </w:r>
          </w:p>
        </w:tc>
      </w:tr>
      <w:tr w:rsidR="008C76E0" w:rsidRPr="003B2786" w14:paraId="00E3790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7BE3F01" w14:textId="77777777" w:rsidR="008C76E0" w:rsidRPr="008C76E0" w:rsidRDefault="008C76E0" w:rsidP="008C76E0">
            <w:pPr>
              <w:pStyle w:val="Bodytext180"/>
              <w:shd w:val="clear" w:color="auto" w:fill="auto"/>
              <w:tabs>
                <w:tab w:val="left" w:pos="527"/>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ներքին ընդունման համար կոշտ դեղաձ</w:t>
            </w:r>
            <w:r w:rsidR="00C54D75">
              <w:rPr>
                <w:rStyle w:val="Bodytext1811pt"/>
                <w:rFonts w:ascii="Sylfaen" w:hAnsi="Sylfaen"/>
                <w:sz w:val="24"/>
                <w:szCs w:val="24"/>
              </w:rPr>
              <w:t>և</w:t>
            </w:r>
            <w:r w:rsidRPr="003B2786">
              <w:rPr>
                <w:rStyle w:val="Bodytext1811pt"/>
                <w:rFonts w:ascii="Sylfaen" w:hAnsi="Sylfaen"/>
                <w:sz w:val="24"/>
                <w:szCs w:val="24"/>
              </w:rPr>
              <w:t>երը</w:t>
            </w:r>
          </w:p>
        </w:tc>
        <w:tc>
          <w:tcPr>
            <w:tcW w:w="1655" w:type="dxa"/>
            <w:gridSpan w:val="3"/>
            <w:tcBorders>
              <w:top w:val="single" w:sz="4" w:space="0" w:color="auto"/>
              <w:left w:val="single" w:sz="4" w:space="0" w:color="auto"/>
            </w:tcBorders>
            <w:shd w:val="clear" w:color="auto" w:fill="FFFFFF"/>
          </w:tcPr>
          <w:p w14:paraId="6883F3F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2933F6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w:t>
            </w:r>
          </w:p>
        </w:tc>
        <w:tc>
          <w:tcPr>
            <w:tcW w:w="2098" w:type="dxa"/>
            <w:gridSpan w:val="3"/>
            <w:tcBorders>
              <w:top w:val="single" w:sz="4" w:space="0" w:color="auto"/>
              <w:left w:val="single" w:sz="4" w:space="0" w:color="auto"/>
              <w:right w:val="single" w:sz="4" w:space="0" w:color="auto"/>
            </w:tcBorders>
            <w:shd w:val="clear" w:color="auto" w:fill="FFFFFF"/>
          </w:tcPr>
          <w:p w14:paraId="4987FC3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A4A68D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1A72ACF" w14:textId="77777777" w:rsidR="008C76E0" w:rsidRPr="008C76E0" w:rsidRDefault="008C76E0" w:rsidP="008C76E0">
            <w:pPr>
              <w:pStyle w:val="Bodytext180"/>
              <w:shd w:val="clear" w:color="auto" w:fill="auto"/>
              <w:tabs>
                <w:tab w:val="left" w:pos="527"/>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հետաձգված, ձ</w:t>
            </w:r>
            <w:r w:rsidR="00C54D75">
              <w:rPr>
                <w:rStyle w:val="Bodytext1811pt"/>
                <w:rFonts w:ascii="Sylfaen" w:hAnsi="Sylfaen"/>
                <w:sz w:val="24"/>
                <w:szCs w:val="24"/>
              </w:rPr>
              <w:t>և</w:t>
            </w:r>
            <w:r w:rsidRPr="003B2786">
              <w:rPr>
                <w:rStyle w:val="Bodytext1811pt"/>
                <w:rFonts w:ascii="Sylfaen" w:hAnsi="Sylfaen"/>
                <w:sz w:val="24"/>
                <w:szCs w:val="24"/>
              </w:rPr>
              <w:t>ափոխված կամ երկարաձգված ձերբազատմամբ դեղաձ</w:t>
            </w:r>
            <w:r w:rsidR="00C54D75">
              <w:rPr>
                <w:rStyle w:val="Bodytext1811pt"/>
                <w:rFonts w:ascii="Sylfaen" w:hAnsi="Sylfaen"/>
                <w:sz w:val="24"/>
                <w:szCs w:val="24"/>
              </w:rPr>
              <w:t>և</w:t>
            </w:r>
            <w:r w:rsidRPr="003B2786">
              <w:rPr>
                <w:rStyle w:val="Bodytext1811pt"/>
                <w:rFonts w:ascii="Sylfaen" w:hAnsi="Sylfaen"/>
                <w:sz w:val="24"/>
                <w:szCs w:val="24"/>
              </w:rPr>
              <w:t>երը, որոնցում թաղանթը ձերբազատման առանցքային գործոնն է</w:t>
            </w:r>
          </w:p>
        </w:tc>
        <w:tc>
          <w:tcPr>
            <w:tcW w:w="1655" w:type="dxa"/>
            <w:gridSpan w:val="3"/>
            <w:tcBorders>
              <w:top w:val="single" w:sz="4" w:space="0" w:color="auto"/>
              <w:left w:val="single" w:sz="4" w:space="0" w:color="auto"/>
            </w:tcBorders>
            <w:shd w:val="clear" w:color="auto" w:fill="FFFFFF"/>
          </w:tcPr>
          <w:p w14:paraId="7522073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57AA66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3D4F67B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96923E6"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3A5C586"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99753FD"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Նոր դեղապատրաստուկի առնվազն 2 փորձարարաարդյունաբերական սերիաների լուծելիության պրոֆիլը համադրելի է հնի հետ։ Դեղաբուսական պատրաստուկի լուծելիության փորձարկման անցկացման անհնարինության դեպքում՝ նոր դեղապատրաստուկի տրոհելիության ժամանակը՝ հնի համեմատությամբ:</w:t>
            </w:r>
          </w:p>
          <w:p w14:paraId="0D7DCE21"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Թաղանթը ձերբազատման մեխանիզմի առանցքային գործոն չէ:</w:t>
            </w:r>
          </w:p>
          <w:p w14:paraId="2E598AD3"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մասնագիրը նորացվել է միայն զանգվածի </w:t>
            </w:r>
            <w:r w:rsidR="00C54D75">
              <w:rPr>
                <w:rStyle w:val="Bodytext1811pt"/>
                <w:rFonts w:ascii="Sylfaen" w:hAnsi="Sylfaen"/>
                <w:sz w:val="24"/>
                <w:szCs w:val="24"/>
              </w:rPr>
              <w:t>և</w:t>
            </w:r>
            <w:r w:rsidRPr="003B2786">
              <w:rPr>
                <w:rStyle w:val="Bodytext1811pt"/>
                <w:rFonts w:ascii="Sylfaen" w:hAnsi="Sylfaen"/>
                <w:sz w:val="24"/>
                <w:szCs w:val="24"/>
              </w:rPr>
              <w:t xml:space="preserve"> չափսերի առումով (եթե կիրառելի է):</w:t>
            </w:r>
          </w:p>
          <w:p w14:paraId="3C2F9B64" w14:textId="6B2410D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փաստաթղթերի համաձայն՝ սկսվել են առնվազն 2 փորձարարաարդյունաբերական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արդյունաբերական սերիաների նկատմամբ կայունության համապատասխան հետազոտությունները. </w:t>
            </w:r>
            <w:r w:rsidR="0056496B">
              <w:rPr>
                <w:rStyle w:val="Bodytext1811pt"/>
                <w:rFonts w:ascii="Sylfaen" w:hAnsi="Sylfaen"/>
                <w:sz w:val="24"/>
                <w:szCs w:val="24"/>
              </w:rPr>
              <w:t>դիմումատու</w:t>
            </w:r>
            <w:r w:rsidRPr="003B2786">
              <w:rPr>
                <w:rStyle w:val="Bodytext1811pt"/>
                <w:rFonts w:ascii="Sylfaen" w:hAnsi="Sylfaen"/>
                <w:sz w:val="24"/>
                <w:szCs w:val="24"/>
              </w:rPr>
              <w:t>ի տրամադրության տակ կան կայունության առնվազն 3-ամսյա ուսումնասիրության բավարար արդյունքներ. հաստատում այն մասին, որ ուսումնասիրությունները կավարտվեն: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անհապաղ կներկայացվեն լիազորված մարմին:</w:t>
            </w:r>
          </w:p>
        </w:tc>
      </w:tr>
      <w:tr w:rsidR="008C76E0" w:rsidRPr="003B2786" w14:paraId="6F51A687"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192D67E"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93B727F"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p w14:paraId="18A439FF" w14:textId="622C67B8"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սկսվել են կայունության պահանջվող ուսումնասիրությունները՝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մասին,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պետք է անհապաղ կներկայացվեն լիազորված մարմին: Բացի այդ, համապատասխան դեպքերում անհրաժեշտ է անցկացնել ֆոտոկայունության փորձարկում:</w:t>
            </w:r>
          </w:p>
        </w:tc>
      </w:tr>
      <w:tr w:rsidR="008C76E0" w:rsidRPr="003B2786" w14:paraId="6253BECA"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A6E8068" w14:textId="77777777" w:rsidR="008C76E0" w:rsidRPr="008C76E0" w:rsidRDefault="008C76E0" w:rsidP="008C76E0">
            <w:pPr>
              <w:pStyle w:val="Bodytext180"/>
              <w:shd w:val="clear" w:color="auto" w:fill="auto"/>
              <w:tabs>
                <w:tab w:val="left" w:pos="1144"/>
              </w:tabs>
              <w:spacing w:before="0" w:after="120" w:line="240" w:lineRule="auto"/>
              <w:ind w:left="52" w:right="50" w:firstLine="0"/>
              <w:jc w:val="both"/>
              <w:rPr>
                <w:rFonts w:ascii="Sylfaen" w:hAnsi="Sylfaen"/>
                <w:b w:val="0"/>
                <w:sz w:val="24"/>
                <w:szCs w:val="24"/>
                <w:lang w:val="hy-AM"/>
              </w:rPr>
            </w:pPr>
            <w:r w:rsidRPr="003B2786">
              <w:rPr>
                <w:rStyle w:val="Bodytext1811pt"/>
                <w:rFonts w:ascii="Sylfaen" w:hAnsi="Sylfaen"/>
                <w:sz w:val="24"/>
                <w:szCs w:val="24"/>
              </w:rPr>
              <w:t>Բ.II.ա.5.</w:t>
            </w:r>
            <w:r w:rsidRPr="003B2786">
              <w:rPr>
                <w:rStyle w:val="Bodytext1811pt"/>
                <w:rFonts w:ascii="Sylfaen" w:hAnsi="Sylfaen"/>
                <w:sz w:val="24"/>
                <w:szCs w:val="24"/>
              </w:rPr>
              <w:tab/>
              <w:t xml:space="preserve">Միադոզանի, լիովին </w:t>
            </w:r>
            <w:r w:rsidRPr="003B2786">
              <w:rPr>
                <w:rStyle w:val="Bodytext1811pt"/>
                <w:rFonts w:ascii="Sylfaen" w:hAnsi="Sylfaen"/>
                <w:sz w:val="24"/>
                <w:szCs w:val="24"/>
              </w:rPr>
              <w:lastRenderedPageBreak/>
              <w:t>ներմուծվող պարէնտերալ դեղապատրաստուկի խտության փոփոխությունը՝ ակտիվ դեղագործական բաղադրամասի փոփոխելիության բացակայության դեպքում՝ դեղաչափի միավորի համար (այսինքն՝ դոզավորման)</w:t>
            </w:r>
          </w:p>
        </w:tc>
        <w:tc>
          <w:tcPr>
            <w:tcW w:w="1655" w:type="dxa"/>
            <w:gridSpan w:val="3"/>
            <w:tcBorders>
              <w:top w:val="single" w:sz="4" w:space="0" w:color="auto"/>
              <w:left w:val="single" w:sz="4" w:space="0" w:color="auto"/>
              <w:bottom w:val="single" w:sz="4" w:space="0" w:color="auto"/>
            </w:tcBorders>
            <w:shd w:val="clear" w:color="auto" w:fill="FFFFFF"/>
          </w:tcPr>
          <w:p w14:paraId="6C40D6E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2042" w:type="dxa"/>
            <w:gridSpan w:val="3"/>
            <w:tcBorders>
              <w:top w:val="single" w:sz="4" w:space="0" w:color="auto"/>
              <w:left w:val="single" w:sz="4" w:space="0" w:color="auto"/>
              <w:bottom w:val="single" w:sz="4" w:space="0" w:color="auto"/>
            </w:tcBorders>
            <w:shd w:val="clear" w:color="auto" w:fill="FFFFFF"/>
          </w:tcPr>
          <w:p w14:paraId="0E80E31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3B2786">
              <w:rPr>
                <w:rStyle w:val="Bodytext1811pt"/>
                <w:rFonts w:ascii="Sylfaen" w:hAnsi="Sylfaen"/>
                <w:sz w:val="24"/>
                <w:szCs w:val="24"/>
              </w:rPr>
              <w:lastRenderedPageBreak/>
              <w:t>տվյալները</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019593C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Ընթացակարգը</w:t>
            </w:r>
          </w:p>
        </w:tc>
      </w:tr>
      <w:tr w:rsidR="008C76E0" w:rsidRPr="003B2786" w14:paraId="6D3255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1CB48BD" w14:textId="77777777" w:rsidR="008C76E0" w:rsidRPr="003B2786" w:rsidRDefault="008C76E0" w:rsidP="008C76E0">
            <w:pPr>
              <w:pStyle w:val="Bodytext180"/>
              <w:shd w:val="clear" w:color="auto" w:fill="auto"/>
              <w:spacing w:before="0" w:after="120" w:line="240" w:lineRule="auto"/>
              <w:ind w:right="-1" w:firstLine="0"/>
              <w:jc w:val="both"/>
              <w:rPr>
                <w:rFonts w:ascii="Sylfaen" w:hAnsi="Sylfaen"/>
                <w:b w:val="0"/>
                <w:sz w:val="24"/>
                <w:szCs w:val="24"/>
              </w:rPr>
            </w:pPr>
          </w:p>
        </w:tc>
        <w:tc>
          <w:tcPr>
            <w:tcW w:w="1655" w:type="dxa"/>
            <w:gridSpan w:val="3"/>
            <w:tcBorders>
              <w:top w:val="single" w:sz="4" w:space="0" w:color="auto"/>
              <w:left w:val="single" w:sz="4" w:space="0" w:color="auto"/>
            </w:tcBorders>
            <w:shd w:val="clear" w:color="auto" w:fill="FFFFFF"/>
          </w:tcPr>
          <w:p w14:paraId="2EB25B8B"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0B6EB805"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31964719"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9669A2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EF9DFE2" w14:textId="77777777" w:rsidR="008C76E0" w:rsidRPr="003B2786" w:rsidRDefault="008C76E0" w:rsidP="008C76E0">
            <w:pPr>
              <w:spacing w:after="12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130EC0C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806B72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4AC84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E6260F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0338363" w14:textId="77777777" w:rsidR="008C76E0" w:rsidRPr="008C76E0" w:rsidRDefault="008C76E0" w:rsidP="008C76E0">
            <w:pPr>
              <w:pStyle w:val="Bodytext180"/>
              <w:shd w:val="clear" w:color="auto" w:fill="auto"/>
              <w:spacing w:before="0" w:after="120" w:line="240" w:lineRule="auto"/>
              <w:ind w:left="52" w:right="37" w:firstLine="0"/>
              <w:jc w:val="both"/>
              <w:rPr>
                <w:rFonts w:ascii="Sylfaen" w:hAnsi="Sylfaen"/>
                <w:b w:val="0"/>
                <w:sz w:val="24"/>
                <w:szCs w:val="24"/>
                <w:lang w:val="hy-AM"/>
              </w:rPr>
            </w:pPr>
            <w:r w:rsidRPr="003B2786">
              <w:rPr>
                <w:rStyle w:val="Bodytext1811pt"/>
                <w:rFonts w:ascii="Sylfaen" w:hAnsi="Sylfaen"/>
                <w:sz w:val="24"/>
                <w:szCs w:val="24"/>
              </w:rPr>
              <w:t>Բ.II.ա.6.</w:t>
            </w:r>
            <w:r w:rsidRPr="003B2786">
              <w:rPr>
                <w:rStyle w:val="Bodytext1811pt"/>
                <w:rFonts w:ascii="Sylfaen" w:hAnsi="Sylfaen"/>
                <w:sz w:val="24"/>
                <w:szCs w:val="24"/>
              </w:rPr>
              <w:tab/>
              <w:t>Փաթեթվածքից լուծիչով (նոսրացուցիչով) բեռնարկղի բացառումը</w:t>
            </w:r>
          </w:p>
        </w:tc>
        <w:tc>
          <w:tcPr>
            <w:tcW w:w="1655" w:type="dxa"/>
            <w:gridSpan w:val="3"/>
            <w:tcBorders>
              <w:top w:val="single" w:sz="4" w:space="0" w:color="auto"/>
              <w:left w:val="single" w:sz="4" w:space="0" w:color="auto"/>
            </w:tcBorders>
            <w:shd w:val="clear" w:color="auto" w:fill="FFFFFF"/>
          </w:tcPr>
          <w:p w14:paraId="2344249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083B799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6CB5329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36E09F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1F2E8753" w14:textId="77777777" w:rsidR="008C76E0" w:rsidRPr="003B2786" w:rsidRDefault="008C76E0" w:rsidP="008C76E0">
            <w:pPr>
              <w:spacing w:after="12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570A396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E49958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27FA968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47AF489"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3F804C46" w14:textId="77777777" w:rsidR="008C76E0" w:rsidRPr="008C76E0" w:rsidRDefault="008C76E0" w:rsidP="008C76E0">
            <w:pPr>
              <w:pStyle w:val="Bodytext180"/>
              <w:shd w:val="clear" w:color="auto" w:fill="auto"/>
              <w:tabs>
                <w:tab w:val="left" w:pos="587"/>
              </w:tabs>
              <w:spacing w:before="0" w:after="120" w:line="240" w:lineRule="auto"/>
              <w:ind w:right="-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FAFE95" w14:textId="77777777" w:rsidR="008C76E0" w:rsidRPr="008C76E0" w:rsidRDefault="008C76E0" w:rsidP="008C76E0">
            <w:pPr>
              <w:pStyle w:val="Bodytext180"/>
              <w:shd w:val="clear" w:color="auto" w:fill="auto"/>
              <w:tabs>
                <w:tab w:val="left" w:pos="587"/>
              </w:tabs>
              <w:spacing w:before="0" w:after="120" w:line="240" w:lineRule="auto"/>
              <w:ind w:left="52"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Բացառման հիմնավորումը, ներառյալ՝ լուծիչի (նոսրացուցիչի) ստացման այլընտրանքային եղանակի ցուցումը՝ դեղապատրաստուկի անվտանգ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 կիրառության նպատակով։</w:t>
            </w:r>
          </w:p>
          <w:p w14:paraId="33057C36" w14:textId="77777777" w:rsidR="008C76E0" w:rsidRPr="003B2786" w:rsidRDefault="008C76E0" w:rsidP="008C76E0">
            <w:pPr>
              <w:pStyle w:val="Bodytext180"/>
              <w:shd w:val="clear" w:color="auto" w:fill="auto"/>
              <w:tabs>
                <w:tab w:val="left" w:pos="587"/>
              </w:tabs>
              <w:spacing w:before="0" w:after="120" w:line="240" w:lineRule="auto"/>
              <w:ind w:left="52" w:right="-1"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814B5D3" w14:textId="77777777" w:rsidTr="008C76E0">
        <w:trPr>
          <w:jc w:val="center"/>
        </w:trPr>
        <w:tc>
          <w:tcPr>
            <w:tcW w:w="10401" w:type="dxa"/>
            <w:gridSpan w:val="15"/>
            <w:tcBorders>
              <w:top w:val="single" w:sz="4" w:space="0" w:color="auto"/>
            </w:tcBorders>
            <w:shd w:val="clear" w:color="auto" w:fill="FFFFFF"/>
            <w:vAlign w:val="bottom"/>
          </w:tcPr>
          <w:p w14:paraId="2C043291" w14:textId="77777777" w:rsidR="008C76E0" w:rsidRPr="003B2786" w:rsidRDefault="008C76E0" w:rsidP="008C76E0">
            <w:pPr>
              <w:pStyle w:val="Bodytext180"/>
              <w:shd w:val="clear" w:color="auto" w:fill="auto"/>
              <w:tabs>
                <w:tab w:val="left" w:pos="1150"/>
              </w:tabs>
              <w:spacing w:before="0" w:after="120" w:line="240" w:lineRule="auto"/>
              <w:ind w:left="50" w:right="-1" w:firstLine="0"/>
              <w:jc w:val="center"/>
              <w:rPr>
                <w:rFonts w:ascii="Sylfaen" w:hAnsi="Sylfaen"/>
                <w:b w:val="0"/>
                <w:sz w:val="24"/>
                <w:szCs w:val="24"/>
              </w:rPr>
            </w:pPr>
            <w:r w:rsidRPr="003B2786">
              <w:rPr>
                <w:rStyle w:val="Bodytext295pt"/>
                <w:rFonts w:ascii="Sylfaen" w:hAnsi="Sylfaen"/>
                <w:sz w:val="24"/>
                <w:szCs w:val="24"/>
              </w:rPr>
              <w:t>Բ.II.բ)</w:t>
            </w:r>
            <w:r w:rsidRPr="003B2786">
              <w:rPr>
                <w:rStyle w:val="Bodytext295pt"/>
                <w:rFonts w:ascii="Sylfaen" w:hAnsi="Sylfaen"/>
                <w:sz w:val="24"/>
                <w:szCs w:val="24"/>
              </w:rPr>
              <w:tab/>
              <w:t>Արտադրությունը</w:t>
            </w:r>
          </w:p>
        </w:tc>
      </w:tr>
      <w:tr w:rsidR="008C76E0" w:rsidRPr="003B2786" w14:paraId="37DAF41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D902EA1" w14:textId="77777777" w:rsidR="008C76E0" w:rsidRPr="008C76E0" w:rsidRDefault="008C76E0" w:rsidP="008C76E0">
            <w:pPr>
              <w:pStyle w:val="Bodytext180"/>
              <w:shd w:val="clear" w:color="auto" w:fill="auto"/>
              <w:tabs>
                <w:tab w:val="left" w:pos="1141"/>
              </w:tabs>
              <w:spacing w:before="0" w:after="120" w:line="240" w:lineRule="auto"/>
              <w:ind w:left="157" w:right="118" w:firstLine="0"/>
              <w:rPr>
                <w:rFonts w:ascii="Sylfaen" w:hAnsi="Sylfaen"/>
                <w:b w:val="0"/>
                <w:sz w:val="24"/>
                <w:szCs w:val="24"/>
                <w:lang w:val="hy-AM"/>
              </w:rPr>
            </w:pPr>
            <w:r w:rsidRPr="003B2786">
              <w:rPr>
                <w:rStyle w:val="Bodytext1811pt"/>
                <w:rFonts w:ascii="Sylfaen" w:hAnsi="Sylfaen"/>
                <w:sz w:val="24"/>
                <w:szCs w:val="24"/>
              </w:rPr>
              <w:t xml:space="preserve">Բ.II.բ. </w:t>
            </w:r>
            <w:r w:rsidRPr="003B2786">
              <w:rPr>
                <w:rStyle w:val="Bodytext295pt"/>
                <w:rFonts w:ascii="Sylfaen" w:hAnsi="Sylfaen"/>
                <w:sz w:val="24"/>
                <w:szCs w:val="24"/>
              </w:rPr>
              <w:t>1.</w:t>
            </w:r>
            <w:r w:rsidRPr="003B2786">
              <w:rPr>
                <w:rStyle w:val="Bodytext295pt"/>
                <w:rFonts w:ascii="Sylfaen" w:hAnsi="Sylfaen"/>
                <w:sz w:val="24"/>
                <w:szCs w:val="24"/>
              </w:rPr>
              <w:tab/>
            </w:r>
            <w:r w:rsidRPr="003B2786">
              <w:rPr>
                <w:rStyle w:val="Bodytext1811pt"/>
                <w:rFonts w:ascii="Sylfaen" w:hAnsi="Sylfaen"/>
                <w:sz w:val="24"/>
                <w:szCs w:val="24"/>
              </w:rPr>
              <w:t>Դեղապատրաստուկի արտադրության մի մասի կամ բոլոր գործընթացների համար արտադրական հարթակների փոխարինումը կամ նորի ավելացումը</w:t>
            </w:r>
          </w:p>
        </w:tc>
        <w:tc>
          <w:tcPr>
            <w:tcW w:w="1701" w:type="dxa"/>
            <w:gridSpan w:val="4"/>
            <w:tcBorders>
              <w:top w:val="single" w:sz="4" w:space="0" w:color="auto"/>
              <w:left w:val="single" w:sz="4" w:space="0" w:color="auto"/>
            </w:tcBorders>
            <w:shd w:val="clear" w:color="auto" w:fill="FFFFFF"/>
          </w:tcPr>
          <w:p w14:paraId="6F599B3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79" w:type="dxa"/>
            <w:gridSpan w:val="3"/>
            <w:tcBorders>
              <w:top w:val="single" w:sz="4" w:space="0" w:color="auto"/>
              <w:left w:val="single" w:sz="4" w:space="0" w:color="auto"/>
            </w:tcBorders>
            <w:shd w:val="clear" w:color="auto" w:fill="FFFFFF"/>
          </w:tcPr>
          <w:p w14:paraId="5BA3BCA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624" w:type="dxa"/>
            <w:gridSpan w:val="2"/>
            <w:tcBorders>
              <w:top w:val="single" w:sz="4" w:space="0" w:color="auto"/>
              <w:left w:val="single" w:sz="4" w:space="0" w:color="auto"/>
              <w:right w:val="single" w:sz="4" w:space="0" w:color="auto"/>
            </w:tcBorders>
            <w:shd w:val="clear" w:color="auto" w:fill="FFFFFF"/>
          </w:tcPr>
          <w:p w14:paraId="33895DA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518664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D1D138"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երկրորդային փաթեթվածքի համար հարթակ</w:t>
            </w:r>
          </w:p>
        </w:tc>
        <w:tc>
          <w:tcPr>
            <w:tcW w:w="1701" w:type="dxa"/>
            <w:gridSpan w:val="4"/>
            <w:tcBorders>
              <w:top w:val="single" w:sz="4" w:space="0" w:color="auto"/>
              <w:left w:val="single" w:sz="4" w:space="0" w:color="auto"/>
            </w:tcBorders>
            <w:shd w:val="clear" w:color="auto" w:fill="FFFFFF"/>
          </w:tcPr>
          <w:p w14:paraId="3D542F2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w:t>
            </w:r>
          </w:p>
        </w:tc>
        <w:tc>
          <w:tcPr>
            <w:tcW w:w="2079" w:type="dxa"/>
            <w:gridSpan w:val="3"/>
            <w:tcBorders>
              <w:top w:val="single" w:sz="4" w:space="0" w:color="auto"/>
              <w:left w:val="single" w:sz="4" w:space="0" w:color="auto"/>
            </w:tcBorders>
            <w:shd w:val="clear" w:color="auto" w:fill="FFFFFF"/>
          </w:tcPr>
          <w:p w14:paraId="61A1D4E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1, 3, 8</w:t>
            </w:r>
          </w:p>
        </w:tc>
        <w:tc>
          <w:tcPr>
            <w:tcW w:w="1624" w:type="dxa"/>
            <w:gridSpan w:val="2"/>
            <w:tcBorders>
              <w:top w:val="single" w:sz="4" w:space="0" w:color="auto"/>
              <w:left w:val="single" w:sz="4" w:space="0" w:color="auto"/>
              <w:right w:val="single" w:sz="4" w:space="0" w:color="auto"/>
            </w:tcBorders>
            <w:shd w:val="clear" w:color="auto" w:fill="FFFFFF"/>
          </w:tcPr>
          <w:p w14:paraId="187113F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43FC28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180FA0"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առաջնային փաթեթվածքի համար հարթակ</w:t>
            </w:r>
          </w:p>
        </w:tc>
        <w:tc>
          <w:tcPr>
            <w:tcW w:w="1701" w:type="dxa"/>
            <w:gridSpan w:val="4"/>
            <w:tcBorders>
              <w:top w:val="single" w:sz="4" w:space="0" w:color="auto"/>
              <w:left w:val="single" w:sz="4" w:space="0" w:color="auto"/>
            </w:tcBorders>
            <w:shd w:val="clear" w:color="auto" w:fill="FFFFFF"/>
          </w:tcPr>
          <w:p w14:paraId="3A1C4D8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w:t>
            </w:r>
          </w:p>
        </w:tc>
        <w:tc>
          <w:tcPr>
            <w:tcW w:w="2079" w:type="dxa"/>
            <w:gridSpan w:val="3"/>
            <w:tcBorders>
              <w:top w:val="single" w:sz="4" w:space="0" w:color="auto"/>
              <w:left w:val="single" w:sz="4" w:space="0" w:color="auto"/>
            </w:tcBorders>
            <w:shd w:val="clear" w:color="auto" w:fill="FFFFFF"/>
          </w:tcPr>
          <w:p w14:paraId="6AD8380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1, 2, 3, 4, 8, 9</w:t>
            </w:r>
          </w:p>
        </w:tc>
        <w:tc>
          <w:tcPr>
            <w:tcW w:w="1624" w:type="dxa"/>
            <w:gridSpan w:val="2"/>
            <w:tcBorders>
              <w:top w:val="single" w:sz="4" w:space="0" w:color="auto"/>
              <w:left w:val="single" w:sz="4" w:space="0" w:color="auto"/>
              <w:right w:val="single" w:sz="4" w:space="0" w:color="auto"/>
            </w:tcBorders>
            <w:shd w:val="clear" w:color="auto" w:fill="FFFFFF"/>
          </w:tcPr>
          <w:p w14:paraId="03EA063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12E80EE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BA487B1"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հարթակ, որտեղ կենսաբանական (իմունաբանական) դեղապատրաստուկների կամ բարդ արտադրական գործընթացներով արտադրված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համար իրականացվում են արտադրական գործողություններ՝ բացառությամբ սերիաների թողարկման, սերիաների որակի հսկողության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31F6755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5700042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624" w:type="dxa"/>
            <w:gridSpan w:val="2"/>
            <w:tcBorders>
              <w:top w:val="single" w:sz="4" w:space="0" w:color="auto"/>
              <w:left w:val="single" w:sz="4" w:space="0" w:color="auto"/>
              <w:right w:val="single" w:sz="4" w:space="0" w:color="auto"/>
            </w:tcBorders>
            <w:shd w:val="clear" w:color="auto" w:fill="FFFFFF"/>
          </w:tcPr>
          <w:p w14:paraId="36AC814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DD5855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B8FAD45"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հարթակ, որտեղ պահանջվում է </w:t>
            </w:r>
            <w:r w:rsidRPr="003B2786">
              <w:rPr>
                <w:rStyle w:val="Bodytext1811pt"/>
                <w:rFonts w:ascii="Sylfaen" w:hAnsi="Sylfaen"/>
                <w:sz w:val="24"/>
                <w:szCs w:val="24"/>
              </w:rPr>
              <w:lastRenderedPageBreak/>
              <w:t>անցկացնել նախնական կամ արտադրանքի համար սպեցիֆիկ տեսչական ստուգում</w:t>
            </w:r>
          </w:p>
        </w:tc>
        <w:tc>
          <w:tcPr>
            <w:tcW w:w="1701" w:type="dxa"/>
            <w:gridSpan w:val="4"/>
            <w:tcBorders>
              <w:top w:val="single" w:sz="4" w:space="0" w:color="auto"/>
              <w:left w:val="single" w:sz="4" w:space="0" w:color="auto"/>
            </w:tcBorders>
            <w:shd w:val="clear" w:color="auto" w:fill="FFFFFF"/>
          </w:tcPr>
          <w:p w14:paraId="01F7209D"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79" w:type="dxa"/>
            <w:gridSpan w:val="3"/>
            <w:tcBorders>
              <w:top w:val="single" w:sz="4" w:space="0" w:color="auto"/>
              <w:left w:val="single" w:sz="4" w:space="0" w:color="auto"/>
            </w:tcBorders>
            <w:shd w:val="clear" w:color="auto" w:fill="FFFFFF"/>
          </w:tcPr>
          <w:p w14:paraId="00AAD3E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624" w:type="dxa"/>
            <w:gridSpan w:val="2"/>
            <w:tcBorders>
              <w:top w:val="single" w:sz="4" w:space="0" w:color="auto"/>
              <w:left w:val="single" w:sz="4" w:space="0" w:color="auto"/>
              <w:right w:val="single" w:sz="4" w:space="0" w:color="auto"/>
            </w:tcBorders>
            <w:shd w:val="clear" w:color="auto" w:fill="FFFFFF"/>
          </w:tcPr>
          <w:p w14:paraId="3490B0A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955415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369851A"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հարթակ, որտեղ ոչ մանրէազերծ դեղապատրաստուկների համար իրականացվում է ցանկացած արտադրական գործողություն՝ բացառությամբ սերիաների թողարկման, սերիաների հսկողության, առաջնային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32242FD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314D2BC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1, 2, 3, 4, 5, 6, 7, 8, 9</w:t>
            </w:r>
          </w:p>
        </w:tc>
        <w:tc>
          <w:tcPr>
            <w:tcW w:w="1624" w:type="dxa"/>
            <w:gridSpan w:val="2"/>
            <w:tcBorders>
              <w:top w:val="single" w:sz="4" w:space="0" w:color="auto"/>
              <w:left w:val="single" w:sz="4" w:space="0" w:color="auto"/>
              <w:right w:val="single" w:sz="4" w:space="0" w:color="auto"/>
            </w:tcBorders>
            <w:shd w:val="clear" w:color="auto" w:fill="FFFFFF"/>
          </w:tcPr>
          <w:p w14:paraId="7895E3E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90450E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6B80BB5"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հարթակ, որտեղ ասեպտիկ մեթոդների օգտագործմամբ արտադրվող ստերիլ դեղապատրաստուկների (բացառությամբ կենսաբանական (իմունաբանական) դեղապատրաստուկների) համար իրականացվում է ցանկացած արտադրական գործողություն՝ բացառությամբ սերիաների բացթողման, սերիաների որակի հսկողության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1DA5F09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020B1EB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1, 2, 3, 4, 5, 7, 8</w:t>
            </w:r>
          </w:p>
        </w:tc>
        <w:tc>
          <w:tcPr>
            <w:tcW w:w="1624" w:type="dxa"/>
            <w:gridSpan w:val="2"/>
            <w:tcBorders>
              <w:top w:val="single" w:sz="4" w:space="0" w:color="auto"/>
              <w:left w:val="single" w:sz="4" w:space="0" w:color="auto"/>
              <w:right w:val="single" w:sz="4" w:space="0" w:color="auto"/>
            </w:tcBorders>
            <w:shd w:val="clear" w:color="auto" w:fill="FFFFFF"/>
          </w:tcPr>
          <w:p w14:paraId="7FA6B1E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941211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759F7D4F"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2973B09"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Վերջին երեք տարվա ընթացքում բավարար տեսչական ստուգումներ՝ անդամ պետությունների տեսչական մարմինների կամ այն երկրի կողմից, որի հետ կնքվել է համապատասխան արտադրական գործունեության փոխադարձ ճանաչման մասին գործող համաձայնագիր։</w:t>
            </w:r>
          </w:p>
          <w:p w14:paraId="7EC07B24"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Հարթակը լիցենզավորված է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ի կամ դեղապատրաստուկի արտադրության համար) սահմանված կարգով</w:t>
            </w:r>
          </w:p>
        </w:tc>
      </w:tr>
      <w:tr w:rsidR="008C76E0" w:rsidRPr="003B2786" w14:paraId="5FDF300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29F80CB"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մանրէազերծ չէ։</w:t>
            </w:r>
          </w:p>
          <w:p w14:paraId="0C1CB4E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օրինակ՝ կախույթի կամ էմուլսիայի առնչությամբ, գոյություն ունի վալիդացման սխեմա, կամ գործող արձանագրությանը համապատասխան՝ բարեհաջող իրականացվել է նոր հարթակի վալիդացումը՝ 3-ից ոչ պակաս արդյունաբերական սերիաներով։</w:t>
            </w:r>
          </w:p>
          <w:p w14:paraId="4453DA0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չէ։</w:t>
            </w:r>
          </w:p>
        </w:tc>
      </w:tr>
      <w:tr w:rsidR="008C76E0" w:rsidRPr="003B2786" w14:paraId="16AE8AD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0426A5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EF55CDF"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Հաստատումն այն բանի, որ առաջարկվող հարթակը լիցենզավորված է դեղաձ</w:t>
            </w:r>
            <w:r w:rsidR="00C54D75">
              <w:rPr>
                <w:rStyle w:val="Bodytext1811pt"/>
                <w:rFonts w:ascii="Sylfaen" w:hAnsi="Sylfaen"/>
                <w:sz w:val="24"/>
                <w:szCs w:val="24"/>
              </w:rPr>
              <w:t>և</w:t>
            </w:r>
            <w:r w:rsidRPr="003B2786">
              <w:rPr>
                <w:rStyle w:val="Bodytext1811pt"/>
                <w:rFonts w:ascii="Sylfaen" w:hAnsi="Sylfaen"/>
                <w:sz w:val="24"/>
                <w:szCs w:val="24"/>
              </w:rPr>
              <w:t>ի կամ դիտարկվող դեղապատրաստուկի արտադրության համար սահմանված կարգով։</w:t>
            </w:r>
          </w:p>
          <w:p w14:paraId="05F8C0BD"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նշել սերիաների համարները, վալիդացման հետազոտությունում օգտագործված սերիաների համապատասխան չափերը </w:t>
            </w:r>
            <w:r w:rsidR="00C54D75">
              <w:rPr>
                <w:rStyle w:val="Bodytext1811pt"/>
                <w:rFonts w:ascii="Sylfaen" w:hAnsi="Sylfaen"/>
                <w:sz w:val="24"/>
                <w:szCs w:val="24"/>
              </w:rPr>
              <w:t>և</w:t>
            </w:r>
            <w:r w:rsidRPr="003B2786">
              <w:rPr>
                <w:rStyle w:val="Bodytext1811pt"/>
                <w:rFonts w:ascii="Sylfaen" w:hAnsi="Sylfaen"/>
                <w:sz w:val="24"/>
                <w:szCs w:val="24"/>
              </w:rPr>
              <w:t xml:space="preserve"> սերիաների </w:t>
            </w:r>
            <w:r w:rsidRPr="003B2786">
              <w:rPr>
                <w:rStyle w:val="Bodytext1811pt"/>
                <w:rFonts w:ascii="Sylfaen" w:hAnsi="Sylfaen"/>
                <w:sz w:val="24"/>
                <w:szCs w:val="24"/>
              </w:rPr>
              <w:lastRenderedPageBreak/>
              <w:t xml:space="preserve">արտադրության ամսաթիվը (&gt;3), </w:t>
            </w:r>
            <w:r w:rsidR="00C54D75">
              <w:rPr>
                <w:rStyle w:val="Bodytext1811pt"/>
                <w:rFonts w:ascii="Sylfaen" w:hAnsi="Sylfaen"/>
                <w:sz w:val="24"/>
                <w:szCs w:val="24"/>
              </w:rPr>
              <w:t>և</w:t>
            </w:r>
            <w:r w:rsidRPr="003B2786">
              <w:rPr>
                <w:rStyle w:val="Bodytext1811pt"/>
                <w:rFonts w:ascii="Sylfaen" w:hAnsi="Sylfaen"/>
                <w:sz w:val="24"/>
                <w:szCs w:val="24"/>
              </w:rPr>
              <w:t xml:space="preserve"> ներկայացնել վալիդացման վերաբերյալ տվյալները կամ ներկայացման ենթակա վալիդացման արձանագրությունը (սխեման)։</w:t>
            </w:r>
          </w:p>
          <w:p w14:paraId="3306D174" w14:textId="25DBC9AC"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 անհրաժեշտ է հստակ նշել դեղապատրաստուկի «ներկա»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ի 2.5 բաժնի համաձայն)։</w:t>
            </w:r>
          </w:p>
          <w:p w14:paraId="279E0ADC"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մասնագրերի հաստատված օրինակները (եթե կիրառելի են)։</w:t>
            </w:r>
          </w:p>
          <w:p w14:paraId="75136AD7"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Մեկ արդյունաբերական սերիայի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արտադրության գործընթացը նմանակող երկու փորձարարաարդյունաբերական սերիաների (կամ երկու արդյունաբերական սերիաների) վերլուծության տվյալներն ու նախորդ արտադրական հարթակում արտադրված երեք սերիաների հետ համեմատական տվյալները։ Հարցման հիման վրա անհրաժեշտ է ներկայացնել հաջորդ երկու ամբողջական արդյունաբերական սերիաների վերաբերյալ տվյալները. վերլուծության արդյունքները մասնագրին չհամապատասխանելու դեպքում անհրաժեշտ է տեղեկացնել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04F6C0E8"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վերաբերյալ համապատասխան տվյալները, ներառյալ՝ բաշխման միկրոսկոպիայի արդյունքները՝ ըստ մասնիկների չափերի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կազմաբանության այն 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հեղուկ դեղաձ</w:t>
            </w:r>
            <w:r w:rsidR="00C54D75">
              <w:rPr>
                <w:rStyle w:val="Bodytext1811pt"/>
                <w:rFonts w:ascii="Sylfaen" w:hAnsi="Sylfaen"/>
                <w:sz w:val="24"/>
                <w:szCs w:val="24"/>
              </w:rPr>
              <w:t>և</w:t>
            </w:r>
            <w:r w:rsidRPr="003B2786">
              <w:rPr>
                <w:rStyle w:val="Bodytext1811pt"/>
                <w:rFonts w:ascii="Sylfaen" w:hAnsi="Sylfaen"/>
                <w:sz w:val="24"/>
                <w:szCs w:val="24"/>
              </w:rPr>
              <w:t>երի, որոնցում դեղագործական նյութը գտնվում է չլուծված վիճակում։</w:t>
            </w:r>
          </w:p>
          <w:p w14:paraId="09532F12" w14:textId="64DAB58E"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Նոր արտադրական հարթակում ակտիվ դեղագործական բաղադրամասը որպես ելանյութ օգտագործվելու դեպքում սերիաների թողարկման համար պատասխանատու հարթակի լիազորված մարմնի</w:t>
            </w:r>
            <w:r w:rsidR="005A46D4">
              <w:rPr>
                <w:rStyle w:val="Bodytext1811pt"/>
                <w:rFonts w:ascii="Sylfaen" w:hAnsi="Sylfaen"/>
                <w:sz w:val="24"/>
                <w:szCs w:val="24"/>
              </w:rPr>
              <w:t>հայտարարագիր</w:t>
            </w:r>
            <w:r w:rsidRPr="003B2786">
              <w:rPr>
                <w:rStyle w:val="Bodytext1811pt"/>
                <w:rFonts w:ascii="Sylfaen" w:hAnsi="Sylfaen"/>
                <w:sz w:val="24"/>
                <w:szCs w:val="24"/>
              </w:rPr>
              <w:t>ն այն մասին, որ ակտիվ դեղագործական բաղադրամասն արտադրվել է ելանյութերի համար՝ Միության պատշաճ արտադրական գործունեության կանոններին համապատասխան։</w:t>
            </w:r>
          </w:p>
          <w:p w14:paraId="57416E26"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042B92E2"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 xml:space="preserve">Եթե արտադրական հարթակը </w:t>
            </w:r>
            <w:r w:rsidR="00C54D75">
              <w:rPr>
                <w:rStyle w:val="Bodytext1811pt"/>
                <w:rFonts w:ascii="Sylfaen" w:hAnsi="Sylfaen"/>
                <w:sz w:val="24"/>
                <w:szCs w:val="24"/>
              </w:rPr>
              <w:t>և</w:t>
            </w:r>
            <w:r w:rsidRPr="003B2786">
              <w:rPr>
                <w:rStyle w:val="Bodytext1811pt"/>
                <w:rFonts w:ascii="Sylfaen" w:hAnsi="Sylfaen"/>
                <w:sz w:val="24"/>
                <w:szCs w:val="24"/>
              </w:rPr>
              <w:t xml:space="preserve"> այն հարթակը, որտեղ իրականացվում է առաջնային փաթեթավորումը, տարբերվում են, ապա անհրաժեշտ է նկարագրել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վալիդացնել չբաժնեծրարված պատրաստուկի տրանսպորտային փոխադրման </w:t>
            </w:r>
            <w:r w:rsidR="00C54D75">
              <w:rPr>
                <w:rStyle w:val="Bodytext1811pt"/>
                <w:rFonts w:ascii="Sylfaen" w:hAnsi="Sylfaen"/>
                <w:sz w:val="24"/>
                <w:szCs w:val="24"/>
              </w:rPr>
              <w:t>և</w:t>
            </w:r>
            <w:r w:rsidRPr="003B2786">
              <w:rPr>
                <w:rStyle w:val="Bodytext1811pt"/>
                <w:rFonts w:ascii="Sylfaen" w:hAnsi="Sylfaen"/>
                <w:sz w:val="24"/>
                <w:szCs w:val="24"/>
              </w:rPr>
              <w:t xml:space="preserve"> պահպանման (bulk) պայմանները։</w:t>
            </w:r>
          </w:p>
        </w:tc>
      </w:tr>
      <w:tr w:rsidR="008C76E0" w:rsidRPr="003B2786" w14:paraId="3BDE4351" w14:textId="77777777" w:rsidTr="008C76E0">
        <w:trPr>
          <w:jc w:val="center"/>
        </w:trPr>
        <w:tc>
          <w:tcPr>
            <w:tcW w:w="3130" w:type="dxa"/>
            <w:gridSpan w:val="4"/>
            <w:tcBorders>
              <w:top w:val="single" w:sz="4" w:space="0" w:color="auto"/>
              <w:left w:val="single" w:sz="4" w:space="0" w:color="auto"/>
              <w:bottom w:val="single" w:sz="4" w:space="0" w:color="auto"/>
            </w:tcBorders>
            <w:shd w:val="clear" w:color="auto" w:fill="FFFFFF"/>
          </w:tcPr>
          <w:p w14:paraId="41124B47" w14:textId="77777777" w:rsidR="008C76E0" w:rsidRPr="003B2786" w:rsidRDefault="008C76E0" w:rsidP="008C76E0">
            <w:pPr>
              <w:pStyle w:val="Bodytext180"/>
              <w:shd w:val="clear" w:color="auto" w:fill="auto"/>
              <w:tabs>
                <w:tab w:val="left" w:pos="567"/>
              </w:tabs>
              <w:spacing w:before="0" w:after="120" w:line="240" w:lineRule="auto"/>
              <w:ind w:left="154" w:right="132" w:firstLine="0"/>
              <w:jc w:val="both"/>
              <w:rPr>
                <w:rFonts w:ascii="Sylfaen" w:hAnsi="Sylfaen"/>
                <w:sz w:val="24"/>
                <w:szCs w:val="24"/>
              </w:rPr>
            </w:pPr>
            <w:r w:rsidRPr="003B2786">
              <w:rPr>
                <w:rStyle w:val="Bodytext295pt"/>
                <w:rFonts w:ascii="Sylfaen" w:hAnsi="Sylfaen"/>
                <w:sz w:val="24"/>
                <w:szCs w:val="24"/>
              </w:rPr>
              <w:lastRenderedPageBreak/>
              <w:t>Ծանոթագրություններ.</w:t>
            </w:r>
          </w:p>
        </w:tc>
        <w:tc>
          <w:tcPr>
            <w:tcW w:w="7271" w:type="dxa"/>
            <w:gridSpan w:val="11"/>
            <w:tcBorders>
              <w:top w:val="single" w:sz="4" w:space="0" w:color="auto"/>
              <w:left w:val="single" w:sz="4" w:space="0" w:color="auto"/>
              <w:bottom w:val="single" w:sz="4" w:space="0" w:color="auto"/>
              <w:right w:val="single" w:sz="4" w:space="0" w:color="auto"/>
            </w:tcBorders>
            <w:shd w:val="clear" w:color="auto" w:fill="FFFFFF"/>
          </w:tcPr>
          <w:p w14:paraId="75DEBA75"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Միության սահմաններից դուրս գտնվող այն երկրի արտադրական հարթակը փոփոխելու կամ նոր արտադրական հարթակի դեպքում, որի հետ չի կնքվել պատշաճ արտադրական գործունեության փոխադարձ ճանաչման մասին համաձայնագիր, իրավատիրոջը, նախքան ծանուցում ներկայացնելը, խորհուրդ է տրվում խորհրդակցել լիազորված մարմինների հետ </w:t>
            </w:r>
            <w:r w:rsidR="00C54D75">
              <w:rPr>
                <w:rStyle w:val="Bodytext1811pt"/>
                <w:rFonts w:ascii="Sylfaen" w:hAnsi="Sylfaen"/>
                <w:sz w:val="24"/>
                <w:szCs w:val="24"/>
              </w:rPr>
              <w:t>և</w:t>
            </w:r>
            <w:r w:rsidRPr="003B2786">
              <w:rPr>
                <w:rStyle w:val="Bodytext1811pt"/>
                <w:rFonts w:ascii="Sylfaen" w:hAnsi="Sylfaen"/>
                <w:sz w:val="24"/>
                <w:szCs w:val="24"/>
              </w:rPr>
              <w:t xml:space="preserve"> ներկայացնել վերջին 2-3 տարվա ընթացքում Միության նախորդ բոլոր տեսչական ստուգումների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Միության պլանավորված բոլոր տեսչական ստուգումների վերաբերյալ տեղեկությունները, ներառյալ՝ տեսչական ստուգումների ամսաթվերը, ստուգման ենթարկվող արտադրանքի կատեգորիաները, վերահսկիչ գերատեսչությունը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այլ տեղեկություններ։ Անհրաժեշտության </w:t>
            </w:r>
            <w:r w:rsidRPr="003B2786">
              <w:rPr>
                <w:rStyle w:val="Bodytext1811pt"/>
                <w:rFonts w:ascii="Sylfaen" w:hAnsi="Sylfaen"/>
                <w:sz w:val="24"/>
                <w:szCs w:val="24"/>
              </w:rPr>
              <w:lastRenderedPageBreak/>
              <w:t>դեպքում այդ ամենը կնպաստի անդամ պետության տեսչության կողմից Եվրասիական տնտեսական միության պատշաճ արտադրական գործունեության կանոններին համապատասխան տեսչական ստուգումների անցկացմանը նախապատրաստվելուն։</w:t>
            </w:r>
          </w:p>
          <w:p w14:paraId="7CA40845" w14:textId="4F561D08"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Ակտիվ դեղագործական նյութի վերաբերյալ լիազորված մարմնի </w:t>
            </w:r>
            <w:r w:rsidR="0085119E">
              <w:rPr>
                <w:rStyle w:val="Bodytext1811pt"/>
                <w:rFonts w:ascii="Sylfaen" w:hAnsi="Sylfaen"/>
                <w:sz w:val="24"/>
                <w:szCs w:val="24"/>
              </w:rPr>
              <w:t>հայտարարագր</w:t>
            </w:r>
            <w:r w:rsidRPr="003B2786">
              <w:rPr>
                <w:rStyle w:val="Bodytext1811pt"/>
                <w:rFonts w:ascii="Sylfaen" w:hAnsi="Sylfaen"/>
                <w:sz w:val="24"/>
                <w:szCs w:val="24"/>
              </w:rPr>
              <w:t>երը</w:t>
            </w:r>
          </w:p>
        </w:tc>
      </w:tr>
      <w:tr w:rsidR="008C76E0" w:rsidRPr="003B2786" w14:paraId="318F113B" w14:textId="77777777" w:rsidTr="008C76E0">
        <w:trPr>
          <w:jc w:val="center"/>
        </w:trPr>
        <w:tc>
          <w:tcPr>
            <w:tcW w:w="3130" w:type="dxa"/>
            <w:gridSpan w:val="4"/>
            <w:tcBorders>
              <w:top w:val="single" w:sz="4" w:space="0" w:color="auto"/>
              <w:left w:val="single" w:sz="4" w:space="0" w:color="auto"/>
            </w:tcBorders>
            <w:shd w:val="clear" w:color="auto" w:fill="FFFFFF"/>
          </w:tcPr>
          <w:p w14:paraId="58C944D4" w14:textId="77777777" w:rsidR="008C76E0" w:rsidRPr="003B2786" w:rsidRDefault="008C76E0" w:rsidP="008C76E0">
            <w:pPr>
              <w:tabs>
                <w:tab w:val="left" w:pos="567"/>
              </w:tabs>
              <w:spacing w:after="120" w:line="240" w:lineRule="auto"/>
              <w:ind w:left="154" w:right="132"/>
              <w:jc w:val="both"/>
              <w:rPr>
                <w:rFonts w:ascii="Sylfaen" w:hAnsi="Sylfaen"/>
                <w:sz w:val="24"/>
                <w:szCs w:val="24"/>
              </w:rPr>
            </w:pPr>
          </w:p>
        </w:tc>
        <w:tc>
          <w:tcPr>
            <w:tcW w:w="7271" w:type="dxa"/>
            <w:gridSpan w:val="11"/>
            <w:tcBorders>
              <w:top w:val="single" w:sz="4" w:space="0" w:color="auto"/>
              <w:left w:val="single" w:sz="4" w:space="0" w:color="auto"/>
              <w:right w:val="single" w:sz="4" w:space="0" w:color="auto"/>
            </w:tcBorders>
            <w:shd w:val="clear" w:color="auto" w:fill="FFFFFF"/>
            <w:vAlign w:val="bottom"/>
          </w:tcPr>
          <w:p w14:paraId="3C626104" w14:textId="08113B0B"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Արտադրության լիցենզիայի իրավատերերը պարտավոր են որպես ելանյութ օգտագործել բացառապես GMP-ին համապատասխան արտադրված ակտիվ դեղագործական բաղադրամասեր, այդ իսկ պատճառով արտադրության լիցենզիայի յուրաքանչյուր իրավատեր պարտավոր է </w:t>
            </w:r>
            <w:r w:rsidR="0085119E">
              <w:rPr>
                <w:rStyle w:val="Bodytext1811pt"/>
                <w:rFonts w:ascii="Sylfaen" w:hAnsi="Sylfaen"/>
                <w:sz w:val="24"/>
                <w:szCs w:val="24"/>
              </w:rPr>
              <w:t>հայտարարագր</w:t>
            </w:r>
            <w:r w:rsidRPr="003B2786">
              <w:rPr>
                <w:rStyle w:val="Bodytext1811pt"/>
                <w:rFonts w:ascii="Sylfaen" w:hAnsi="Sylfaen"/>
                <w:sz w:val="24"/>
                <w:szCs w:val="24"/>
              </w:rPr>
              <w:t>ել այն, որ ինքը որպես ելանյութ է օգտագործում GMP-ին համապատասխան արտադրված ակտիվ դեղագործական բաղադրամաս։ Բացի այդ, քանի որ սերիայի սերտիֆիկացման համար պատասխանատու լիազորված անձը յուրաքանչյուր սերիայի համար կրում է համապարփակ պատասխանատվություն, եթե սերիան թողարկող հարթակը տարբերվում է վերոնշյալից, սերիայի սերտիֆիկացման համար պատասխանատու լիազորված անձը պետք է ներկայացնի լրացուցիչ</w:t>
            </w:r>
            <w:r w:rsidR="005A46D4">
              <w:rPr>
                <w:rStyle w:val="Bodytext1811pt"/>
                <w:rFonts w:ascii="Sylfaen" w:hAnsi="Sylfaen"/>
                <w:sz w:val="24"/>
                <w:szCs w:val="24"/>
              </w:rPr>
              <w:t>հայտարարագիր</w:t>
            </w:r>
            <w:r w:rsidRPr="003B2786">
              <w:rPr>
                <w:rStyle w:val="Bodytext1811pt"/>
                <w:rFonts w:ascii="Sylfaen" w:hAnsi="Sylfaen"/>
                <w:sz w:val="24"/>
                <w:szCs w:val="24"/>
              </w:rPr>
              <w:t>։</w:t>
            </w:r>
          </w:p>
          <w:p w14:paraId="2530B4CA" w14:textId="4BE18E6E"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Շատ դեպքերում ներգրավված է արտադրության լիցենզիայի միայն մեկ իրավատեր, այդ իսկ պատճառով անհրաժեշտ է միայն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Արտադրության լիցենզիայի մի քանի իրավատերերի ներգրավված լինելու դեպքում մի քանի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ներկայացնելու փոխարեն թույլատրվում է ներկայացնել մեկ լիազորված անձի կողմից ստորագրված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Սա թույլատրելի է այն պայմանով, որ՝</w:t>
            </w:r>
          </w:p>
          <w:p w14:paraId="58947728" w14:textId="22DE246D" w:rsidR="008C76E0" w:rsidRPr="008C76E0" w:rsidRDefault="0085119E"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Pr>
                <w:rStyle w:val="Bodytext1811pt"/>
                <w:rFonts w:ascii="Sylfaen" w:hAnsi="Sylfaen"/>
                <w:sz w:val="24"/>
                <w:szCs w:val="24"/>
              </w:rPr>
              <w:t>հայտարարագր</w:t>
            </w:r>
            <w:r w:rsidR="008C76E0" w:rsidRPr="003B2786">
              <w:rPr>
                <w:rStyle w:val="Bodytext1811pt"/>
                <w:rFonts w:ascii="Sylfaen" w:hAnsi="Sylfaen"/>
                <w:sz w:val="24"/>
                <w:szCs w:val="24"/>
              </w:rPr>
              <w:t>ում հստակ նշված է, որ այն ստորագրվել է ներգրավված բոլոր լիազորված անձանց անունից,</w:t>
            </w:r>
          </w:p>
          <w:p w14:paraId="52AC2833" w14:textId="5CCA18D9"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պայմանավորվածություններն ամրագրվել են Միության պատշաճ արտադրական գործունեության կանոնների 7-րդ գլխում նկարագրված տեխնիկական համաձայնագրով, </w:t>
            </w:r>
            <w:r w:rsidR="00C54D75">
              <w:rPr>
                <w:rStyle w:val="Bodytext1811pt"/>
                <w:rFonts w:ascii="Sylfaen" w:hAnsi="Sylfaen"/>
                <w:sz w:val="24"/>
                <w:szCs w:val="24"/>
              </w:rPr>
              <w:t>և</w:t>
            </w:r>
            <w:r w:rsidRPr="003B2786">
              <w:rPr>
                <w:rStyle w:val="Bodytext1811pt"/>
                <w:rFonts w:ascii="Sylfaen" w:hAnsi="Sylfaen"/>
                <w:sz w:val="24"/>
                <w:szCs w:val="24"/>
              </w:rPr>
              <w:t xml:space="preserve"> այդ համաձայնագրում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ներկայացնող լիազորված անձն այդ համաձայնագրում նշված է որպես ակտիվ դեղագործական բաղադրամաս արտադրողի (արտադրողների)՝ Միության պատշաճ արտադրական գործունեության կանոններին համապատասխանության մասով պարտավորությունը ստանձնող անձ։ Ծանոթագրություն. նշված համաձայնագրերը լիազորված մարմինների կողմից տեսչական ստուգման առարկա են։</w:t>
            </w:r>
          </w:p>
        </w:tc>
      </w:tr>
      <w:tr w:rsidR="008C76E0" w:rsidRPr="003B2786" w14:paraId="7B41C775"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5894E311" w14:textId="77777777" w:rsidR="008C76E0" w:rsidRPr="008C76E0" w:rsidRDefault="008C76E0" w:rsidP="008C76E0">
            <w:pPr>
              <w:pStyle w:val="Bodytext180"/>
              <w:shd w:val="clear" w:color="auto" w:fill="auto"/>
              <w:tabs>
                <w:tab w:val="left" w:pos="567"/>
              </w:tabs>
              <w:spacing w:before="0" w:after="120" w:line="240" w:lineRule="auto"/>
              <w:ind w:left="133" w:right="176" w:hanging="53"/>
              <w:jc w:val="both"/>
              <w:rPr>
                <w:rFonts w:ascii="Sylfaen" w:hAnsi="Sylfaen"/>
                <w:b w:val="0"/>
                <w:sz w:val="24"/>
                <w:szCs w:val="24"/>
                <w:lang w:val="hy-AM"/>
              </w:rPr>
            </w:pPr>
            <w:r w:rsidRPr="003B2786">
              <w:rPr>
                <w:rStyle w:val="Bodytext1811pt"/>
                <w:rFonts w:ascii="Sylfaen" w:hAnsi="Sylfaen"/>
                <w:sz w:val="24"/>
                <w:szCs w:val="24"/>
              </w:rPr>
              <w:lastRenderedPageBreak/>
              <w:t xml:space="preserve">Բ.II.բ.2 Դեղապատրաստուկը ներմուծողի, սերիաների թողարկման վերաբերյալ համաձայնագրերի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մասով փորձարկումների փոփոխությունը</w:t>
            </w:r>
          </w:p>
        </w:tc>
        <w:tc>
          <w:tcPr>
            <w:tcW w:w="1354" w:type="dxa"/>
            <w:gridSpan w:val="3"/>
            <w:tcBorders>
              <w:top w:val="single" w:sz="4" w:space="0" w:color="auto"/>
              <w:left w:val="single" w:sz="4" w:space="0" w:color="auto"/>
            </w:tcBorders>
            <w:shd w:val="clear" w:color="auto" w:fill="FFFFFF"/>
          </w:tcPr>
          <w:p w14:paraId="62D7ECD3"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79" w:type="dxa"/>
            <w:gridSpan w:val="3"/>
            <w:tcBorders>
              <w:top w:val="single" w:sz="4" w:space="0" w:color="auto"/>
              <w:left w:val="single" w:sz="4" w:space="0" w:color="auto"/>
            </w:tcBorders>
            <w:shd w:val="clear" w:color="auto" w:fill="FFFFFF"/>
          </w:tcPr>
          <w:p w14:paraId="10A538D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624" w:type="dxa"/>
            <w:gridSpan w:val="2"/>
            <w:tcBorders>
              <w:top w:val="single" w:sz="4" w:space="0" w:color="auto"/>
              <w:left w:val="single" w:sz="4" w:space="0" w:color="auto"/>
              <w:right w:val="single" w:sz="4" w:space="0" w:color="auto"/>
            </w:tcBorders>
            <w:shd w:val="clear" w:color="auto" w:fill="FFFFFF"/>
          </w:tcPr>
          <w:p w14:paraId="2D824FF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7D62BB0"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58DDDD3"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այն հարթակի փոխարինում կամ ավելացում, որտեղ իրականացվում է սերիաների որակի հսկողություն (փորձարկում)</w:t>
            </w:r>
          </w:p>
        </w:tc>
        <w:tc>
          <w:tcPr>
            <w:tcW w:w="1354" w:type="dxa"/>
            <w:gridSpan w:val="3"/>
            <w:tcBorders>
              <w:top w:val="single" w:sz="4" w:space="0" w:color="auto"/>
              <w:left w:val="single" w:sz="4" w:space="0" w:color="auto"/>
            </w:tcBorders>
            <w:shd w:val="clear" w:color="auto" w:fill="FFFFFF"/>
          </w:tcPr>
          <w:p w14:paraId="4E83A71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2, 3, 4, 5</w:t>
            </w:r>
          </w:p>
        </w:tc>
        <w:tc>
          <w:tcPr>
            <w:tcW w:w="2079" w:type="dxa"/>
            <w:gridSpan w:val="3"/>
            <w:tcBorders>
              <w:top w:val="single" w:sz="4" w:space="0" w:color="auto"/>
              <w:left w:val="single" w:sz="4" w:space="0" w:color="auto"/>
            </w:tcBorders>
            <w:shd w:val="clear" w:color="auto" w:fill="FFFFFF"/>
          </w:tcPr>
          <w:p w14:paraId="2BAEFDF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1624" w:type="dxa"/>
            <w:gridSpan w:val="2"/>
            <w:tcBorders>
              <w:top w:val="single" w:sz="4" w:space="0" w:color="auto"/>
              <w:left w:val="single" w:sz="4" w:space="0" w:color="auto"/>
              <w:right w:val="single" w:sz="4" w:space="0" w:color="auto"/>
            </w:tcBorders>
            <w:shd w:val="clear" w:color="auto" w:fill="FFFFFF"/>
          </w:tcPr>
          <w:p w14:paraId="7351E54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13BCBD6"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5E56D6AD"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կենսաբանական (իմունաբանական) դեղապատրաստուկի թողարկման համար պատասխանատու արտադրողի </w:t>
            </w:r>
            <w:r w:rsidR="00C54D75">
              <w:rPr>
                <w:rStyle w:val="Bodytext1811pt"/>
                <w:rFonts w:ascii="Sylfaen" w:hAnsi="Sylfaen"/>
                <w:sz w:val="24"/>
                <w:szCs w:val="24"/>
              </w:rPr>
              <w:t>և</w:t>
            </w:r>
            <w:r w:rsidRPr="003B2786">
              <w:rPr>
                <w:rStyle w:val="Bodytext1811pt"/>
                <w:rFonts w:ascii="Sylfaen" w:hAnsi="Sylfaen"/>
                <w:sz w:val="24"/>
                <w:szCs w:val="24"/>
              </w:rPr>
              <w:t xml:space="preserve"> հարթակում իրականացվող կենսաբանական (իմունաբանական) հանդիսացող փորձարկումների ցանկացած մեթոդի փոխարինում կամ ավելացում</w:t>
            </w:r>
          </w:p>
        </w:tc>
        <w:tc>
          <w:tcPr>
            <w:tcW w:w="1354" w:type="dxa"/>
            <w:gridSpan w:val="3"/>
            <w:tcBorders>
              <w:top w:val="single" w:sz="4" w:space="0" w:color="auto"/>
              <w:left w:val="single" w:sz="4" w:space="0" w:color="auto"/>
            </w:tcBorders>
            <w:shd w:val="clear" w:color="auto" w:fill="FFFFFF"/>
          </w:tcPr>
          <w:p w14:paraId="44769F96"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2079" w:type="dxa"/>
            <w:gridSpan w:val="3"/>
            <w:tcBorders>
              <w:top w:val="single" w:sz="4" w:space="0" w:color="auto"/>
              <w:left w:val="single" w:sz="4" w:space="0" w:color="auto"/>
            </w:tcBorders>
            <w:shd w:val="clear" w:color="auto" w:fill="FFFFFF"/>
          </w:tcPr>
          <w:p w14:paraId="15D5172F"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1624" w:type="dxa"/>
            <w:gridSpan w:val="2"/>
            <w:tcBorders>
              <w:top w:val="single" w:sz="4" w:space="0" w:color="auto"/>
              <w:left w:val="single" w:sz="4" w:space="0" w:color="auto"/>
              <w:right w:val="single" w:sz="4" w:space="0" w:color="auto"/>
            </w:tcBorders>
            <w:shd w:val="clear" w:color="auto" w:fill="FFFFFF"/>
          </w:tcPr>
          <w:p w14:paraId="2AE729D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CA115BC"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6E0777DA"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սերիաների թողարկման համար պատասխանատու արտադրողի փոխարինում կամ ավելացում</w:t>
            </w:r>
          </w:p>
        </w:tc>
        <w:tc>
          <w:tcPr>
            <w:tcW w:w="1354" w:type="dxa"/>
            <w:gridSpan w:val="3"/>
            <w:tcBorders>
              <w:top w:val="single" w:sz="4" w:space="0" w:color="auto"/>
              <w:left w:val="single" w:sz="4" w:space="0" w:color="auto"/>
            </w:tcBorders>
            <w:shd w:val="clear" w:color="auto" w:fill="FFFFFF"/>
          </w:tcPr>
          <w:p w14:paraId="2F8DDF5B"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2079" w:type="dxa"/>
            <w:gridSpan w:val="3"/>
            <w:tcBorders>
              <w:top w:val="single" w:sz="4" w:space="0" w:color="auto"/>
              <w:left w:val="single" w:sz="4" w:space="0" w:color="auto"/>
            </w:tcBorders>
            <w:shd w:val="clear" w:color="auto" w:fill="FFFFFF"/>
          </w:tcPr>
          <w:p w14:paraId="70BE807F"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1624" w:type="dxa"/>
            <w:gridSpan w:val="2"/>
            <w:tcBorders>
              <w:top w:val="single" w:sz="4" w:space="0" w:color="auto"/>
              <w:left w:val="single" w:sz="4" w:space="0" w:color="auto"/>
              <w:right w:val="single" w:sz="4" w:space="0" w:color="auto"/>
            </w:tcBorders>
            <w:shd w:val="clear" w:color="auto" w:fill="FFFFFF"/>
          </w:tcPr>
          <w:p w14:paraId="57546B31"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r>
      <w:tr w:rsidR="008C76E0" w:rsidRPr="003B2786" w14:paraId="1BC9F2C4"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ACBAC75" w14:textId="77777777" w:rsidR="008C76E0" w:rsidRPr="003B2786" w:rsidRDefault="008C76E0" w:rsidP="008C76E0">
            <w:pPr>
              <w:pStyle w:val="Bodytext180"/>
              <w:numPr>
                <w:ilvl w:val="0"/>
                <w:numId w:val="22"/>
              </w:numPr>
              <w:shd w:val="clear" w:color="auto" w:fill="auto"/>
              <w:tabs>
                <w:tab w:val="left" w:pos="541"/>
                <w:tab w:val="left" w:pos="567"/>
              </w:tabs>
              <w:spacing w:before="0" w:after="120" w:line="240" w:lineRule="auto"/>
              <w:ind w:right="176"/>
              <w:jc w:val="both"/>
              <w:rPr>
                <w:rStyle w:val="Bodytext1811pt"/>
                <w:rFonts w:ascii="Sylfaen" w:hAnsi="Sylfaen"/>
                <w:sz w:val="24"/>
                <w:szCs w:val="24"/>
              </w:rPr>
            </w:pPr>
            <w:r w:rsidRPr="003B2786">
              <w:rPr>
                <w:rStyle w:val="Bodytext1811pt"/>
                <w:rFonts w:ascii="Sylfaen" w:hAnsi="Sylfaen"/>
                <w:sz w:val="24"/>
                <w:szCs w:val="24"/>
              </w:rPr>
              <w:t>Բացառությամբ սերիաների որակի հսկողության (փորձարկման)</w:t>
            </w:r>
          </w:p>
          <w:p w14:paraId="62A3D234" w14:textId="77777777" w:rsidR="008C76E0" w:rsidRPr="008C76E0" w:rsidRDefault="008C76E0" w:rsidP="008C76E0">
            <w:pPr>
              <w:pStyle w:val="Bodytext180"/>
              <w:shd w:val="clear" w:color="auto" w:fill="auto"/>
              <w:tabs>
                <w:tab w:val="left" w:pos="541"/>
                <w:tab w:val="left" w:pos="567"/>
              </w:tabs>
              <w:spacing w:before="0" w:after="120" w:line="240" w:lineRule="auto"/>
              <w:ind w:left="538" w:right="176" w:firstLine="0"/>
              <w:jc w:val="both"/>
              <w:rPr>
                <w:rFonts w:ascii="Sylfaen" w:hAnsi="Sylfaen"/>
                <w:b w:val="0"/>
                <w:sz w:val="24"/>
                <w:szCs w:val="24"/>
                <w:lang w:val="hy-AM"/>
              </w:rPr>
            </w:pPr>
          </w:p>
        </w:tc>
        <w:tc>
          <w:tcPr>
            <w:tcW w:w="1354" w:type="dxa"/>
            <w:gridSpan w:val="3"/>
            <w:tcBorders>
              <w:top w:val="single" w:sz="4" w:space="0" w:color="auto"/>
              <w:left w:val="single" w:sz="4" w:space="0" w:color="auto"/>
            </w:tcBorders>
            <w:shd w:val="clear" w:color="auto" w:fill="FFFFFF"/>
          </w:tcPr>
          <w:p w14:paraId="41C3FC9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79" w:type="dxa"/>
            <w:gridSpan w:val="3"/>
            <w:tcBorders>
              <w:top w:val="single" w:sz="4" w:space="0" w:color="auto"/>
              <w:left w:val="single" w:sz="4" w:space="0" w:color="auto"/>
            </w:tcBorders>
            <w:shd w:val="clear" w:color="auto" w:fill="FFFFFF"/>
          </w:tcPr>
          <w:p w14:paraId="16BE15A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624" w:type="dxa"/>
            <w:gridSpan w:val="2"/>
            <w:tcBorders>
              <w:top w:val="single" w:sz="4" w:space="0" w:color="auto"/>
              <w:left w:val="single" w:sz="4" w:space="0" w:color="auto"/>
              <w:right w:val="single" w:sz="4" w:space="0" w:color="auto"/>
            </w:tcBorders>
            <w:shd w:val="clear" w:color="auto" w:fill="FFFFFF"/>
          </w:tcPr>
          <w:p w14:paraId="1552927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AD6C0A0"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D7315A2"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Ներառյալ սերիաների որակի հսկողությունը (փորձարկումը)</w:t>
            </w:r>
          </w:p>
        </w:tc>
        <w:tc>
          <w:tcPr>
            <w:tcW w:w="1354" w:type="dxa"/>
            <w:gridSpan w:val="3"/>
            <w:tcBorders>
              <w:top w:val="single" w:sz="4" w:space="0" w:color="auto"/>
              <w:left w:val="single" w:sz="4" w:space="0" w:color="auto"/>
            </w:tcBorders>
            <w:shd w:val="clear" w:color="auto" w:fill="FFFFFF"/>
          </w:tcPr>
          <w:p w14:paraId="3311A5D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w:t>
            </w:r>
          </w:p>
        </w:tc>
        <w:tc>
          <w:tcPr>
            <w:tcW w:w="2079" w:type="dxa"/>
            <w:gridSpan w:val="3"/>
            <w:tcBorders>
              <w:top w:val="single" w:sz="4" w:space="0" w:color="auto"/>
              <w:left w:val="single" w:sz="4" w:space="0" w:color="auto"/>
            </w:tcBorders>
            <w:shd w:val="clear" w:color="auto" w:fill="FFFFFF"/>
          </w:tcPr>
          <w:p w14:paraId="4713251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624" w:type="dxa"/>
            <w:gridSpan w:val="2"/>
            <w:tcBorders>
              <w:top w:val="single" w:sz="4" w:space="0" w:color="auto"/>
              <w:left w:val="single" w:sz="4" w:space="0" w:color="auto"/>
              <w:right w:val="single" w:sz="4" w:space="0" w:color="auto"/>
            </w:tcBorders>
            <w:shd w:val="clear" w:color="auto" w:fill="FFFFFF"/>
          </w:tcPr>
          <w:p w14:paraId="44826E8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2BAD3BB" w14:textId="77777777" w:rsidTr="008C76E0">
        <w:trPr>
          <w:jc w:val="center"/>
        </w:trPr>
        <w:tc>
          <w:tcPr>
            <w:tcW w:w="5344" w:type="dxa"/>
            <w:gridSpan w:val="7"/>
            <w:tcBorders>
              <w:top w:val="single" w:sz="4" w:space="0" w:color="auto"/>
              <w:left w:val="single" w:sz="4" w:space="0" w:color="auto"/>
              <w:bottom w:val="single" w:sz="4" w:space="0" w:color="auto"/>
            </w:tcBorders>
            <w:shd w:val="clear" w:color="auto" w:fill="FFFFFF"/>
            <w:vAlign w:val="bottom"/>
          </w:tcPr>
          <w:p w14:paraId="7BA8B1EF"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Ներառյալ կենսաբանական (իմունաբանական) դեղապատրաստուկի որակի հսկողությունը (փորձարկումը)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հարթակում իրականացվող փորձարկումների մեթոդներից մեկը կենսաբանական (իմունաբանական, իմունաքիմիական) է</w:t>
            </w:r>
          </w:p>
        </w:tc>
        <w:tc>
          <w:tcPr>
            <w:tcW w:w="1354" w:type="dxa"/>
            <w:gridSpan w:val="3"/>
            <w:tcBorders>
              <w:top w:val="single" w:sz="4" w:space="0" w:color="auto"/>
              <w:left w:val="single" w:sz="4" w:space="0" w:color="auto"/>
              <w:bottom w:val="single" w:sz="4" w:space="0" w:color="auto"/>
            </w:tcBorders>
            <w:shd w:val="clear" w:color="auto" w:fill="FFFFFF"/>
          </w:tcPr>
          <w:p w14:paraId="11BF08AD" w14:textId="77777777" w:rsidR="008C76E0" w:rsidRPr="003B2786" w:rsidRDefault="008C76E0" w:rsidP="008C76E0">
            <w:pPr>
              <w:tabs>
                <w:tab w:val="left" w:pos="567"/>
              </w:tabs>
              <w:spacing w:after="120" w:line="240" w:lineRule="auto"/>
              <w:ind w:right="-1"/>
              <w:jc w:val="both"/>
              <w:rPr>
                <w:rFonts w:ascii="Sylfaen" w:hAnsi="Sylfaen"/>
                <w:sz w:val="24"/>
                <w:szCs w:val="24"/>
              </w:rPr>
            </w:pPr>
          </w:p>
        </w:tc>
        <w:tc>
          <w:tcPr>
            <w:tcW w:w="2079" w:type="dxa"/>
            <w:gridSpan w:val="3"/>
            <w:tcBorders>
              <w:top w:val="single" w:sz="4" w:space="0" w:color="auto"/>
              <w:left w:val="single" w:sz="4" w:space="0" w:color="auto"/>
              <w:bottom w:val="single" w:sz="4" w:space="0" w:color="auto"/>
            </w:tcBorders>
            <w:shd w:val="clear" w:color="auto" w:fill="FFFFFF"/>
          </w:tcPr>
          <w:p w14:paraId="68BC8938" w14:textId="77777777" w:rsidR="008C76E0" w:rsidRPr="003B2786" w:rsidRDefault="008C76E0" w:rsidP="008C76E0">
            <w:pPr>
              <w:tabs>
                <w:tab w:val="left" w:pos="567"/>
              </w:tabs>
              <w:spacing w:after="120" w:line="240" w:lineRule="auto"/>
              <w:ind w:right="-1"/>
              <w:jc w:val="both"/>
              <w:rPr>
                <w:rFonts w:ascii="Sylfaen" w:hAnsi="Sylfaen"/>
                <w:sz w:val="24"/>
                <w:szCs w:val="24"/>
              </w:rPr>
            </w:pPr>
          </w:p>
        </w:tc>
        <w:tc>
          <w:tcPr>
            <w:tcW w:w="1624" w:type="dxa"/>
            <w:gridSpan w:val="2"/>
            <w:tcBorders>
              <w:top w:val="single" w:sz="4" w:space="0" w:color="auto"/>
              <w:left w:val="single" w:sz="4" w:space="0" w:color="auto"/>
              <w:bottom w:val="single" w:sz="4" w:space="0" w:color="auto"/>
              <w:right w:val="single" w:sz="4" w:space="0" w:color="auto"/>
            </w:tcBorders>
            <w:shd w:val="clear" w:color="auto" w:fill="FFFFFF"/>
          </w:tcPr>
          <w:p w14:paraId="23E92846" w14:textId="77777777" w:rsidR="008C76E0" w:rsidRPr="003B2786" w:rsidRDefault="008C76E0" w:rsidP="008C76E0">
            <w:pPr>
              <w:pStyle w:val="Bodytext180"/>
              <w:shd w:val="clear" w:color="auto" w:fill="auto"/>
              <w:tabs>
                <w:tab w:val="left" w:pos="567"/>
              </w:tabs>
              <w:spacing w:before="0" w:after="120" w:line="240" w:lineRule="auto"/>
              <w:ind w:right="-1" w:firstLine="0"/>
              <w:jc w:val="both"/>
              <w:rPr>
                <w:rFonts w:ascii="Sylfaen" w:hAnsi="Sylfaen"/>
                <w:b w:val="0"/>
                <w:sz w:val="24"/>
                <w:szCs w:val="24"/>
              </w:rPr>
            </w:pPr>
            <w:r w:rsidRPr="003B2786">
              <w:rPr>
                <w:rStyle w:val="Bodytext1811pt"/>
                <w:rFonts w:ascii="Sylfaen" w:hAnsi="Sylfaen"/>
                <w:sz w:val="24"/>
                <w:szCs w:val="24"/>
              </w:rPr>
              <w:t>II</w:t>
            </w:r>
          </w:p>
        </w:tc>
      </w:tr>
      <w:tr w:rsidR="008C76E0" w:rsidRPr="003B2786" w14:paraId="063CC2E9"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4597FA8"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88317E3"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Սերիայի թողարկման համար պատասխանատու արտադրողը պետք է տեղակայված լինի Միության սահմաններում։ Միությունում պահպանվում է սերիաների թողարկման առնվազն մեկ հարթակ, որտեղ հնարավոր է սերտիֆիկացնել Միության սահմաններում սերիաների թողարկման նպատակով դեղապատրաստուկի փորձարկումները։</w:t>
            </w:r>
          </w:p>
          <w:p w14:paraId="683840B8"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Հարթակը սահմանված կարգով լիցենզավորվել է։</w:t>
            </w:r>
          </w:p>
          <w:p w14:paraId="5117CA34"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Դեղապատրաստուկը կենսաբանական (իմունաբանական) դեղապատրաստուկ չէ։</w:t>
            </w:r>
          </w:p>
          <w:p w14:paraId="18B5144B"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Տեխնոլոգիայի՝ հնից նոր հարթակ կամ նոր փորձարկման լաբորատորիա տեղափոխումը հաջողությամբ է պսակվել։ </w:t>
            </w:r>
          </w:p>
          <w:p w14:paraId="75D84E32"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Միությունում կամ այն երկրում, որի հետ Միությունը կնքել է պատշաճ արտադրական </w:t>
            </w:r>
            <w:r w:rsidRPr="003B2786">
              <w:rPr>
                <w:rStyle w:val="Bodytext1811pt"/>
                <w:rFonts w:ascii="Sylfaen" w:hAnsi="Sylfaen"/>
                <w:sz w:val="24"/>
                <w:szCs w:val="24"/>
              </w:rPr>
              <w:lastRenderedPageBreak/>
              <w:t>գործունեության փոխադարձ ճանաչման գործող կամ համապատասխան համաձայնագիր, պահպանվում է սերիաների հսկողության (փորձարկման) համար առնվազն մեկ հարթակ, որտեղ հնարավոր է փորձարկել պատրաստուկը՝ Միության սահմաններում սերիաների թողարկման նպատակով։</w:t>
            </w:r>
          </w:p>
        </w:tc>
      </w:tr>
      <w:tr w:rsidR="008C76E0" w:rsidRPr="003B2786" w14:paraId="7C0FC73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40E2A1A"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0E720FE6"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Արտադրության լիցենզիաների օրինակը կամ դրանց բացակայության դեպքում՝ համապատասխան լիազորված մարմնի կողմից վերջին 3 տարվա ընթացքում տրված պատշաճ արտադրական գործունեության սերտիֆիկատը։</w:t>
            </w:r>
          </w:p>
          <w:p w14:paraId="48D8A5F9" w14:textId="351CF3C5"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 անհրաժեշտ է նշել դեղապատրաստուկի «ներկա»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ի 2.5 բաժնի համաձայն)։</w:t>
            </w:r>
          </w:p>
          <w:p w14:paraId="3A641CDF" w14:textId="7598BC00"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Սերիայի սերտիֆիկացման համար պատասխանատու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ը, որում նշվում է, որ գրանցման դոսյեում նշված ակտիվ դեղագործական բաղադրամաս արտադրողը (արտադրողները) աշխատում է (են) ելանյութերի համար՝ Միության պատշաճ արտադրական գործունեության կանոններին համապատասխան։ Որոշակի հանգամանքներում թույլատրվում է ներկայացնել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Բ.II.բ.1-ի փոփոխության ծանոթագրությունը)։ </w:t>
            </w:r>
          </w:p>
          <w:p w14:paraId="2DB46191" w14:textId="77777777"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այդ թվում՝ դեղապատրաստուկի վերաբերյալ տեղեկատվության մեջ ուղղում կատարելը։</w:t>
            </w:r>
          </w:p>
        </w:tc>
      </w:tr>
      <w:tr w:rsidR="008C76E0" w:rsidRPr="003B2786" w14:paraId="06285E3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45BB859"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Բ.II.բ.3 Դեղապատրաստուկի արտադրության գործընթացի փոփոխությունը, ներառյալ՝ դեղապատրաստուկի արտադրության մեջ օգտագործվող միջանկյալ արտադրանքը</w:t>
            </w:r>
          </w:p>
        </w:tc>
        <w:tc>
          <w:tcPr>
            <w:tcW w:w="1701" w:type="dxa"/>
            <w:gridSpan w:val="4"/>
            <w:tcBorders>
              <w:top w:val="single" w:sz="4" w:space="0" w:color="auto"/>
              <w:left w:val="single" w:sz="4" w:space="0" w:color="auto"/>
            </w:tcBorders>
            <w:shd w:val="clear" w:color="auto" w:fill="FFFFFF"/>
          </w:tcPr>
          <w:p w14:paraId="4DBBD69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A23674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7B3D9FC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087589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5B3C07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արտադրության գործընթացի ոչ էական փոփոխությունները</w:t>
            </w:r>
          </w:p>
        </w:tc>
        <w:tc>
          <w:tcPr>
            <w:tcW w:w="1701" w:type="dxa"/>
            <w:gridSpan w:val="4"/>
            <w:tcBorders>
              <w:top w:val="single" w:sz="4" w:space="0" w:color="auto"/>
              <w:left w:val="single" w:sz="4" w:space="0" w:color="auto"/>
            </w:tcBorders>
            <w:shd w:val="clear" w:color="auto" w:fill="FFFFFF"/>
          </w:tcPr>
          <w:p w14:paraId="6BEC916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1,2, 3,4, 5, 6, 7</w:t>
            </w:r>
          </w:p>
        </w:tc>
        <w:tc>
          <w:tcPr>
            <w:tcW w:w="1984" w:type="dxa"/>
            <w:gridSpan w:val="2"/>
            <w:tcBorders>
              <w:top w:val="single" w:sz="4" w:space="0" w:color="auto"/>
              <w:left w:val="single" w:sz="4" w:space="0" w:color="auto"/>
            </w:tcBorders>
            <w:shd w:val="clear" w:color="auto" w:fill="FFFFFF"/>
          </w:tcPr>
          <w:p w14:paraId="6D93821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1,3,4, 5, 6, 7, 8</w:t>
            </w:r>
          </w:p>
        </w:tc>
        <w:tc>
          <w:tcPr>
            <w:tcW w:w="1719" w:type="dxa"/>
            <w:gridSpan w:val="3"/>
            <w:tcBorders>
              <w:top w:val="single" w:sz="4" w:space="0" w:color="auto"/>
              <w:left w:val="single" w:sz="4" w:space="0" w:color="auto"/>
              <w:right w:val="single" w:sz="4" w:space="0" w:color="auto"/>
            </w:tcBorders>
            <w:shd w:val="clear" w:color="auto" w:fill="FFFFFF"/>
          </w:tcPr>
          <w:p w14:paraId="4EF1E26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7BA346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35F7F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արտադրության գործընթացի էական փոփոխությունները, որոնք կարող են զգալի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w:t>
            </w:r>
          </w:p>
        </w:tc>
        <w:tc>
          <w:tcPr>
            <w:tcW w:w="1701" w:type="dxa"/>
            <w:gridSpan w:val="4"/>
            <w:tcBorders>
              <w:top w:val="single" w:sz="4" w:space="0" w:color="auto"/>
              <w:left w:val="single" w:sz="4" w:space="0" w:color="auto"/>
            </w:tcBorders>
            <w:shd w:val="clear" w:color="auto" w:fill="FFFFFF"/>
          </w:tcPr>
          <w:p w14:paraId="1198793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16F3F1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43D46F2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617480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D78C3C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դեղապատրաստուկը կենսաբանական (իմունաբանական) է, </w:t>
            </w:r>
            <w:r w:rsidR="00C54D75">
              <w:rPr>
                <w:rStyle w:val="Bodytext1811pt"/>
                <w:rFonts w:ascii="Sylfaen" w:hAnsi="Sylfaen"/>
                <w:sz w:val="24"/>
                <w:szCs w:val="24"/>
              </w:rPr>
              <w:t>և</w:t>
            </w:r>
            <w:r w:rsidRPr="003B2786">
              <w:rPr>
                <w:rStyle w:val="Bodytext1811pt"/>
                <w:rFonts w:ascii="Sylfaen" w:hAnsi="Sylfaen"/>
                <w:sz w:val="24"/>
                <w:szCs w:val="24"/>
              </w:rPr>
              <w:t xml:space="preserve"> փոփոխությամբ պահանջվում է համադրելիության գնահատում</w:t>
            </w:r>
          </w:p>
        </w:tc>
        <w:tc>
          <w:tcPr>
            <w:tcW w:w="1701" w:type="dxa"/>
            <w:gridSpan w:val="4"/>
            <w:tcBorders>
              <w:top w:val="single" w:sz="4" w:space="0" w:color="auto"/>
              <w:left w:val="single" w:sz="4" w:space="0" w:color="auto"/>
            </w:tcBorders>
            <w:shd w:val="clear" w:color="auto" w:fill="FFFFFF"/>
          </w:tcPr>
          <w:p w14:paraId="2CFAC4B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B5A69A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4693906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19A009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63356D6"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մանրէազերծման ոչ ստանդարտ տերմինալային մեթոդի ներմուծում</w:t>
            </w:r>
          </w:p>
        </w:tc>
        <w:tc>
          <w:tcPr>
            <w:tcW w:w="1701" w:type="dxa"/>
            <w:gridSpan w:val="4"/>
            <w:tcBorders>
              <w:top w:val="single" w:sz="4" w:space="0" w:color="auto"/>
              <w:left w:val="single" w:sz="4" w:space="0" w:color="auto"/>
            </w:tcBorders>
            <w:shd w:val="clear" w:color="auto" w:fill="FFFFFF"/>
          </w:tcPr>
          <w:p w14:paraId="5A973A3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6A12E16"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072079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AF42D3B"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tcPr>
          <w:p w14:paraId="1C15D82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ակտիվ դեղագործական բաղադրամասի առնչությամբ </w:t>
            </w:r>
            <w:r w:rsidRPr="003B2786">
              <w:rPr>
                <w:rStyle w:val="Bodytext1811pt"/>
                <w:rFonts w:ascii="Sylfaen" w:hAnsi="Sylfaen"/>
                <w:sz w:val="24"/>
                <w:szCs w:val="24"/>
              </w:rPr>
              <w:lastRenderedPageBreak/>
              <w:t>օգտագործվող ավելցուկի ներմուծում կամ ավելացում</w:t>
            </w:r>
          </w:p>
        </w:tc>
        <w:tc>
          <w:tcPr>
            <w:tcW w:w="1701" w:type="dxa"/>
            <w:gridSpan w:val="4"/>
            <w:tcBorders>
              <w:top w:val="single" w:sz="4" w:space="0" w:color="auto"/>
              <w:left w:val="single" w:sz="4" w:space="0" w:color="auto"/>
              <w:bottom w:val="single" w:sz="4" w:space="0" w:color="auto"/>
            </w:tcBorders>
            <w:shd w:val="clear" w:color="auto" w:fill="FFFFFF"/>
          </w:tcPr>
          <w:p w14:paraId="0D114F1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bottom w:val="single" w:sz="4" w:space="0" w:color="auto"/>
            </w:tcBorders>
            <w:shd w:val="clear" w:color="auto" w:fill="FFFFFF"/>
          </w:tcPr>
          <w:p w14:paraId="6C131A4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33E45DED"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6AA355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4780BF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ներքին ընդունման ջրային կախույթի արտադրության գործընթացի ոչ էական փոփոխությունը</w:t>
            </w:r>
          </w:p>
        </w:tc>
        <w:tc>
          <w:tcPr>
            <w:tcW w:w="1701" w:type="dxa"/>
            <w:gridSpan w:val="4"/>
            <w:tcBorders>
              <w:top w:val="single" w:sz="4" w:space="0" w:color="auto"/>
              <w:left w:val="single" w:sz="4" w:space="0" w:color="auto"/>
            </w:tcBorders>
            <w:shd w:val="clear" w:color="auto" w:fill="FFFFFF"/>
          </w:tcPr>
          <w:p w14:paraId="6C710E2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837CF5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1, 2, 4, 6, 7, 8</w:t>
            </w:r>
          </w:p>
        </w:tc>
        <w:tc>
          <w:tcPr>
            <w:tcW w:w="1719" w:type="dxa"/>
            <w:gridSpan w:val="3"/>
            <w:tcBorders>
              <w:top w:val="single" w:sz="4" w:space="0" w:color="auto"/>
              <w:left w:val="single" w:sz="4" w:space="0" w:color="auto"/>
              <w:right w:val="single" w:sz="4" w:space="0" w:color="auto"/>
            </w:tcBorders>
            <w:shd w:val="clear" w:color="auto" w:fill="FFFFFF"/>
          </w:tcPr>
          <w:p w14:paraId="201953A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AD4BD9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ACCE2A8"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1202CA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Բացակայում են խառնուկների որակական կամ քանակական պրոֆիլի կամ ֆիզիկաքիմիական հատկությունների փոփոխությունները։</w:t>
            </w:r>
          </w:p>
          <w:p w14:paraId="3A5D2861"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առնչվում է արագ ձերբազատմամբ ներքին ընդունման պինդ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ին (ներքին ընդունման լուծույթին), </w:t>
            </w:r>
            <w:r w:rsidR="00C54D75">
              <w:rPr>
                <w:rStyle w:val="Bodytext1811pt"/>
                <w:rFonts w:ascii="Sylfaen" w:hAnsi="Sylfaen"/>
                <w:sz w:val="24"/>
                <w:szCs w:val="24"/>
              </w:rPr>
              <w:t>և</w:t>
            </w:r>
            <w:r w:rsidRPr="003B2786">
              <w:rPr>
                <w:rStyle w:val="Bodytext1811pt"/>
                <w:rFonts w:ascii="Sylfaen" w:hAnsi="Sylfaen"/>
                <w:sz w:val="24"/>
                <w:szCs w:val="24"/>
              </w:rPr>
              <w:t xml:space="preserve"> դիտարկվող դեղապատրաստուկը կենսաբանական (իմունաբանական) կամ բուսական չէ։</w:t>
            </w:r>
          </w:p>
          <w:p w14:paraId="22E2EFCD"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Արտադրության սկզբունքը, ներառյալ՝ դրա առանձին փուլերը չեն փոփոխվում, օրինակ՝ միջանկյալ արտադրանքի մշակումը. բացակայում է արտադրության գործընթացում օգտագործվող որ</w:t>
            </w:r>
            <w:r w:rsidR="00C54D75">
              <w:rPr>
                <w:rStyle w:val="Bodytext1811pt"/>
                <w:rFonts w:ascii="Sylfaen" w:hAnsi="Sylfaen"/>
                <w:sz w:val="24"/>
                <w:szCs w:val="24"/>
              </w:rPr>
              <w:t>և</w:t>
            </w:r>
            <w:r w:rsidRPr="003B2786">
              <w:rPr>
                <w:rStyle w:val="Bodytext1811pt"/>
                <w:rFonts w:ascii="Sylfaen" w:hAnsi="Sylfaen"/>
                <w:sz w:val="24"/>
                <w:szCs w:val="24"/>
              </w:rPr>
              <w:t>է լուծիչի փոփոխություն։</w:t>
            </w:r>
          </w:p>
          <w:p w14:paraId="771647C9"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 ներկայումս գրանցված գործընթացը հսկվում է ներարտադրական հսկման միջոցառումների միջոցով, </w:t>
            </w:r>
            <w:r w:rsidR="00C54D75">
              <w:rPr>
                <w:rStyle w:val="Bodytext1811pt"/>
                <w:rFonts w:ascii="Sylfaen" w:hAnsi="Sylfaen"/>
                <w:sz w:val="24"/>
                <w:szCs w:val="24"/>
              </w:rPr>
              <w:t>և</w:t>
            </w:r>
            <w:r w:rsidRPr="003B2786">
              <w:rPr>
                <w:rStyle w:val="Bodytext1811pt"/>
                <w:rFonts w:ascii="Sylfaen" w:hAnsi="Sylfaen"/>
                <w:sz w:val="24"/>
                <w:szCs w:val="24"/>
              </w:rPr>
              <w:t xml:space="preserve"> հսկման այդպիսի միջոցառումների փոփոխություն (ընդունելիության չափանիշների ընդլայնում կամ բացառում) չի պահանջվում։</w:t>
            </w:r>
          </w:p>
          <w:p w14:paraId="2CCCF2B1"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Դեղապատրաստուկի կամ միջանկյալ արտադրանքների մասնագրերը չեն փոփոխվում։</w:t>
            </w:r>
          </w:p>
          <w:p w14:paraId="4D872FC4"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Նոր գործընթացի արդյունքների համաձայն՝ պետք է առաջանա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բոլոր ասպեկտների տեսանկյունից նույնական։</w:t>
            </w:r>
          </w:p>
          <w:p w14:paraId="56404646" w14:textId="5C927780" w:rsidR="008C76E0" w:rsidRPr="008C76E0" w:rsidRDefault="008C76E0" w:rsidP="00FA323E">
            <w:pPr>
              <w:pStyle w:val="Bodytext180"/>
              <w:keepNext/>
              <w:keepLines/>
              <w:shd w:val="clear" w:color="auto" w:fill="auto"/>
              <w:tabs>
                <w:tab w:val="left" w:pos="567"/>
              </w:tabs>
              <w:spacing w:before="0" w:after="120" w:line="264" w:lineRule="auto"/>
              <w:ind w:left="159" w:right="181"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համապատասխան փաստաթղթերի համաձայն՝ առնվազն 1 փորձնական կամ արդյունաբերական սերիայի նկատմամբ սկսվել են կայունության համապատասխան հետազոտություններ.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են գտնվում կայունության առնվազն </w:t>
            </w:r>
            <w:r w:rsidRPr="003B2786">
              <w:rPr>
                <w:rStyle w:val="Bodytext1811pt"/>
                <w:rFonts w:ascii="Sylfaen" w:hAnsi="Sylfaen"/>
                <w:sz w:val="24"/>
                <w:szCs w:val="24"/>
              </w:rPr>
              <w:br/>
              <w:t xml:space="preserve">3-ամսյա ուսումնասիրությունների բավարար արդյունքները։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առաջարկվող գործողությունների պլանի հետ անմիջապես կներկայացվեն լիազորված մարմին։ </w:t>
            </w:r>
          </w:p>
        </w:tc>
      </w:tr>
      <w:tr w:rsidR="008C76E0" w:rsidRPr="003B2786" w14:paraId="15B4840F"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tcPr>
          <w:p w14:paraId="4E7B86E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73F4303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79EA094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պինդ դեղապատրաստուկների առնչությամբ, որոնցում ակտիվ դեղագործական բաղադրամասը գտնվում է չլուծված վիճակում. փոփոխությունների պատշաճ վալիդացումը, ներառյալ՝ մասնիկների միկրոսկոպիան՝ կազմաբանության տեսանելի փոփոխություններն ստուգելու նպատակով. պատշաճ ձ</w:t>
            </w:r>
            <w:r w:rsidR="00C54D75">
              <w:rPr>
                <w:rStyle w:val="Bodytext1811pt"/>
                <w:rFonts w:ascii="Sylfaen" w:hAnsi="Sylfaen"/>
                <w:sz w:val="24"/>
                <w:szCs w:val="24"/>
              </w:rPr>
              <w:t>և</w:t>
            </w:r>
            <w:r w:rsidRPr="003B2786">
              <w:rPr>
                <w:rStyle w:val="Bodytext1811pt"/>
                <w:rFonts w:ascii="Sylfaen" w:hAnsi="Sylfaen"/>
                <w:sz w:val="24"/>
                <w:szCs w:val="24"/>
              </w:rPr>
              <w:t>ով ստացված մասնիկների չափերի համաձայն բաշխման (դիսպերսության) վերաբերյալ համեմատական տվյալները։</w:t>
            </w:r>
          </w:p>
          <w:p w14:paraId="22724F8B"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Պինդ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առնչությամբ՝ մեկ ներկայացուցչական արդյունաբերական սերիայի լուծելիության պրոֆիլի տվյալները </w:t>
            </w:r>
            <w:r w:rsidR="00C54D75">
              <w:rPr>
                <w:rStyle w:val="Bodytext1811pt"/>
                <w:rFonts w:ascii="Sylfaen" w:hAnsi="Sylfaen"/>
                <w:sz w:val="24"/>
                <w:szCs w:val="24"/>
              </w:rPr>
              <w:t>և</w:t>
            </w:r>
            <w:r w:rsidRPr="003B2786">
              <w:rPr>
                <w:rStyle w:val="Bodytext1811pt"/>
                <w:rFonts w:ascii="Sylfaen" w:hAnsi="Sylfaen"/>
                <w:sz w:val="24"/>
                <w:szCs w:val="24"/>
              </w:rPr>
              <w:t xml:space="preserve"> նախորդ գործընթացի միջոցով արտադրված վերջին երեք սերիաների համեմատական տվյալները։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տվյալները կամ տեղեկացնել, եթե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 Բուսական դեղապատրաստուկների առնչությամբ կարող են բավարար լինել համեմատական տրոհման տվյալները:</w:t>
            </w:r>
          </w:p>
          <w:p w14:paraId="1662593F"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p w14:paraId="56067FE1" w14:textId="34B3E49C"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Գործընթացի այն պարամետրի (պարամետրերի) փոփոխության դեպքում, որը համարվում է դեղապատրաստուկի վրա ազդեցություն չունեցող՝</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դա ձեռք է բերվել ռիսկերի ավելի վաղ անցկացված հաստատված գնահատման ընթացքում։</w:t>
            </w:r>
          </w:p>
          <w:p w14:paraId="5264CB3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մասնագրերի օրինակները։</w:t>
            </w:r>
          </w:p>
          <w:p w14:paraId="7FD47C61"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Սերիաների՝ 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գործընթացի միջոցով արտադրված առնվազն մեկ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տվյալները. հարկ է տեղեկացնել, եթե վերլուծության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tc>
      </w:tr>
      <w:tr w:rsidR="008C76E0" w:rsidRPr="003B2786" w14:paraId="777438D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93AFFCD" w14:textId="6F535BF9"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t>8.</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Միության փաստաթղթերին համապատասխան՝ սկսվել են կայունության համապատասխան հետազոտությունները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ուսումնասիրվել են առնվազն մեկ փորձարարաարդյունաբերական կամ արդյունաբերական սերիայի կայունության անհրաժեշտ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ծանուցելու պահին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են եղել կայունության առնվազն 3-ամսյա ուսումնասիրության բավարար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կայունության պրոֆիլը համանման է ընթացիկ գրանցված դրությանը։ Ներկայացվել է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առաջարկվող գործողությունների պլանի հետ անմիջապես կներկայացվեն լիազորված մարմին։</w:t>
            </w:r>
          </w:p>
        </w:tc>
      </w:tr>
      <w:tr w:rsidR="008C76E0" w:rsidRPr="003B2786" w14:paraId="258AB45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0B529A8"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Բ.II.բ.4 Դեղապատրաստուկի սերիայի չափի փոփոխությունը (ներառյալ սերիայի չափի տիրույթը)</w:t>
            </w:r>
          </w:p>
        </w:tc>
        <w:tc>
          <w:tcPr>
            <w:tcW w:w="1701" w:type="dxa"/>
            <w:gridSpan w:val="4"/>
            <w:tcBorders>
              <w:top w:val="single" w:sz="4" w:space="0" w:color="auto"/>
              <w:left w:val="single" w:sz="4" w:space="0" w:color="auto"/>
            </w:tcBorders>
            <w:shd w:val="clear" w:color="auto" w:fill="FFFFFF"/>
          </w:tcPr>
          <w:p w14:paraId="010BE9A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10E5F9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F74F93E"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150526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53527E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հաստատվածի համեմատությամբ՝ ընդհուպ մինչ 10 անգամ խոշորացում</w:t>
            </w:r>
          </w:p>
        </w:tc>
        <w:tc>
          <w:tcPr>
            <w:tcW w:w="1701" w:type="dxa"/>
            <w:gridSpan w:val="4"/>
            <w:tcBorders>
              <w:top w:val="single" w:sz="4" w:space="0" w:color="auto"/>
              <w:left w:val="single" w:sz="4" w:space="0" w:color="auto"/>
            </w:tcBorders>
            <w:shd w:val="clear" w:color="auto" w:fill="FFFFFF"/>
          </w:tcPr>
          <w:p w14:paraId="73488887"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984" w:type="dxa"/>
            <w:gridSpan w:val="2"/>
            <w:tcBorders>
              <w:top w:val="single" w:sz="4" w:space="0" w:color="auto"/>
              <w:left w:val="single" w:sz="4" w:space="0" w:color="auto"/>
            </w:tcBorders>
            <w:shd w:val="clear" w:color="auto" w:fill="FFFFFF"/>
          </w:tcPr>
          <w:p w14:paraId="40AAAB6A"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6E7ECB76"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09BE51E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176CA15" w14:textId="77777777" w:rsidR="008C76E0" w:rsidRPr="003B2786"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մինչ</w:t>
            </w:r>
            <w:r w:rsidR="00C54D75">
              <w:rPr>
                <w:rStyle w:val="Bodytext1811pt"/>
                <w:rFonts w:ascii="Sylfaen" w:hAnsi="Sylfaen"/>
                <w:sz w:val="24"/>
                <w:szCs w:val="24"/>
              </w:rPr>
              <w:t>և</w:t>
            </w:r>
            <w:r w:rsidRPr="003B2786">
              <w:rPr>
                <w:rStyle w:val="Bodytext1811pt"/>
                <w:rFonts w:ascii="Sylfaen" w:hAnsi="Sylfaen"/>
                <w:sz w:val="24"/>
                <w:szCs w:val="24"/>
              </w:rPr>
              <w:t xml:space="preserve"> 10 անգամ ապախոշորացում</w:t>
            </w:r>
          </w:p>
        </w:tc>
        <w:tc>
          <w:tcPr>
            <w:tcW w:w="1701" w:type="dxa"/>
            <w:gridSpan w:val="4"/>
            <w:tcBorders>
              <w:top w:val="single" w:sz="4" w:space="0" w:color="auto"/>
              <w:left w:val="single" w:sz="4" w:space="0" w:color="auto"/>
            </w:tcBorders>
            <w:shd w:val="clear" w:color="auto" w:fill="FFFFFF"/>
          </w:tcPr>
          <w:p w14:paraId="55336118"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984" w:type="dxa"/>
            <w:gridSpan w:val="2"/>
            <w:tcBorders>
              <w:top w:val="single" w:sz="4" w:space="0" w:color="auto"/>
              <w:left w:val="single" w:sz="4" w:space="0" w:color="auto"/>
            </w:tcBorders>
            <w:shd w:val="clear" w:color="auto" w:fill="FFFFFF"/>
          </w:tcPr>
          <w:p w14:paraId="2F20AAEA"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13499AA4"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4E7FD3E7" w14:textId="77777777" w:rsidTr="008C76E0">
        <w:trPr>
          <w:jc w:val="center"/>
        </w:trPr>
        <w:tc>
          <w:tcPr>
            <w:tcW w:w="4997" w:type="dxa"/>
            <w:gridSpan w:val="6"/>
            <w:tcBorders>
              <w:top w:val="single" w:sz="4" w:space="0" w:color="auto"/>
              <w:left w:val="single" w:sz="4" w:space="0" w:color="auto"/>
            </w:tcBorders>
            <w:shd w:val="clear" w:color="auto" w:fill="FFFFFF"/>
          </w:tcPr>
          <w:p w14:paraId="6559F4D2"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փոփոխությամբ պահանջվում է կենսաբանական (իմունաբանական) դեղապատրաստուկի համադրելիության վերլուծություն, կամ սերիայի չափի փոփոխությամբ պահանջվում է կենսահամարժեքության նոր հետազոտություն</w:t>
            </w:r>
          </w:p>
        </w:tc>
        <w:tc>
          <w:tcPr>
            <w:tcW w:w="1701" w:type="dxa"/>
            <w:gridSpan w:val="4"/>
            <w:tcBorders>
              <w:top w:val="single" w:sz="4" w:space="0" w:color="auto"/>
              <w:left w:val="single" w:sz="4" w:space="0" w:color="auto"/>
            </w:tcBorders>
            <w:shd w:val="clear" w:color="auto" w:fill="FFFFFF"/>
          </w:tcPr>
          <w:p w14:paraId="47120291"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8F94C3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EECD3A3"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24BB497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8F12DE5"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փոփոխությունը վերաբերում է արտադրության համալիր գործընթացներով արտադրված մնացած բոլոր դեղաձ</w:t>
            </w:r>
            <w:r w:rsidR="00C54D75">
              <w:rPr>
                <w:rStyle w:val="Bodytext1811pt"/>
                <w:rFonts w:ascii="Sylfaen" w:hAnsi="Sylfaen"/>
                <w:sz w:val="24"/>
                <w:szCs w:val="24"/>
              </w:rPr>
              <w:t>և</w:t>
            </w:r>
            <w:r w:rsidRPr="003B2786">
              <w:rPr>
                <w:rStyle w:val="Bodytext1811pt"/>
                <w:rFonts w:ascii="Sylfaen" w:hAnsi="Sylfaen"/>
                <w:sz w:val="24"/>
                <w:szCs w:val="24"/>
              </w:rPr>
              <w:t>երին</w:t>
            </w:r>
          </w:p>
        </w:tc>
        <w:tc>
          <w:tcPr>
            <w:tcW w:w="1701" w:type="dxa"/>
            <w:gridSpan w:val="4"/>
            <w:tcBorders>
              <w:top w:val="single" w:sz="4" w:space="0" w:color="auto"/>
              <w:left w:val="single" w:sz="4" w:space="0" w:color="auto"/>
            </w:tcBorders>
            <w:shd w:val="clear" w:color="auto" w:fill="FFFFFF"/>
          </w:tcPr>
          <w:p w14:paraId="777A7006"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F287B1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F07AE6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6277A19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FFF1B9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արագ ձերբազատմամբ (ներքին ընդունման համար) դեղաձ</w:t>
            </w:r>
            <w:r w:rsidR="00C54D75">
              <w:rPr>
                <w:rStyle w:val="Bodytext1811pt"/>
                <w:rFonts w:ascii="Sylfaen" w:hAnsi="Sylfaen"/>
                <w:sz w:val="24"/>
                <w:szCs w:val="24"/>
              </w:rPr>
              <w:t>և</w:t>
            </w:r>
            <w:r w:rsidRPr="003B2786">
              <w:rPr>
                <w:rStyle w:val="Bodytext1811pt"/>
                <w:rFonts w:ascii="Sylfaen" w:hAnsi="Sylfaen"/>
                <w:sz w:val="24"/>
                <w:szCs w:val="24"/>
              </w:rPr>
              <w:t>երի սերիայի հաստատված չափի համեմատությամբ՝ առնվազն 10 անգամ խոշորացում</w:t>
            </w:r>
          </w:p>
        </w:tc>
        <w:tc>
          <w:tcPr>
            <w:tcW w:w="1701" w:type="dxa"/>
            <w:gridSpan w:val="4"/>
            <w:tcBorders>
              <w:top w:val="single" w:sz="4" w:space="0" w:color="auto"/>
              <w:left w:val="single" w:sz="4" w:space="0" w:color="auto"/>
            </w:tcBorders>
            <w:shd w:val="clear" w:color="auto" w:fill="FFFFFF"/>
          </w:tcPr>
          <w:p w14:paraId="38D29898"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234DB29"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719" w:type="dxa"/>
            <w:gridSpan w:val="3"/>
            <w:tcBorders>
              <w:top w:val="single" w:sz="4" w:space="0" w:color="auto"/>
              <w:left w:val="single" w:sz="4" w:space="0" w:color="auto"/>
              <w:right w:val="single" w:sz="4" w:space="0" w:color="auto"/>
            </w:tcBorders>
            <w:shd w:val="clear" w:color="auto" w:fill="FFFFFF"/>
          </w:tcPr>
          <w:p w14:paraId="40C8628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6E5DACA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27F0D93"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կենսաբանական (իմունաբանական) արտադրության մասշտաբը մեծացել է (փոքրացել է)՝ առանց արտադրության գործընթացի փոփոխության (օրինակ՝ հոսքագծի կրկնօրինակումը)</w:t>
            </w:r>
          </w:p>
        </w:tc>
        <w:tc>
          <w:tcPr>
            <w:tcW w:w="1701" w:type="dxa"/>
            <w:gridSpan w:val="4"/>
            <w:tcBorders>
              <w:top w:val="single" w:sz="4" w:space="0" w:color="auto"/>
              <w:left w:val="single" w:sz="4" w:space="0" w:color="auto"/>
            </w:tcBorders>
            <w:shd w:val="clear" w:color="auto" w:fill="FFFFFF"/>
          </w:tcPr>
          <w:p w14:paraId="7F38939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88239B5"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719" w:type="dxa"/>
            <w:gridSpan w:val="3"/>
            <w:tcBorders>
              <w:top w:val="single" w:sz="4" w:space="0" w:color="auto"/>
              <w:left w:val="single" w:sz="4" w:space="0" w:color="auto"/>
              <w:right w:val="single" w:sz="4" w:space="0" w:color="auto"/>
            </w:tcBorders>
            <w:shd w:val="clear" w:color="auto" w:fill="FFFFFF"/>
          </w:tcPr>
          <w:p w14:paraId="76EC9D5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329EE4C4"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1AB4B75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Պայմանները</w:t>
            </w:r>
          </w:p>
          <w:p w14:paraId="21EB5602"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չի ազդում դեղապատրաստուկի որակի վերարտադրելիության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հաստատունության վրա։</w:t>
            </w:r>
          </w:p>
          <w:p w14:paraId="5C4F61CB"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արագ ձերբազատմամբ ներքին ընդունման ստանդարտ դեղաձ</w:t>
            </w:r>
            <w:r w:rsidR="00C54D75">
              <w:rPr>
                <w:rStyle w:val="Bodytext1811pt"/>
                <w:rFonts w:ascii="Sylfaen" w:hAnsi="Sylfaen"/>
                <w:sz w:val="24"/>
                <w:szCs w:val="24"/>
              </w:rPr>
              <w:t>և</w:t>
            </w:r>
            <w:r w:rsidRPr="003B2786">
              <w:rPr>
                <w:rStyle w:val="Bodytext1811pt"/>
                <w:rFonts w:ascii="Sylfaen" w:hAnsi="Sylfaen"/>
                <w:sz w:val="24"/>
                <w:szCs w:val="24"/>
              </w:rPr>
              <w:t>երին կամ ոչ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երին։</w:t>
            </w:r>
          </w:p>
          <w:p w14:paraId="6C678521"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 մեթոդների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ներարտադրական հսկման միջոցառումների ցանկացած փոփոխություն անհրաժեշտ է միայն սերիայի չափի փոփոխության համար, օրինակ՝ այլ չափ ունեցող սարքավորման օգտագործումը։</w:t>
            </w:r>
          </w:p>
          <w:p w14:paraId="5A6B41C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Առկա է վալիդացման սխեման, կամ ընթացիկ արձանագրությանը համապատասխան՝ հաջողությամբ իրականացվել է նոր չափերով առնվազն 3 արդյունաբերական սերիայի արտադրության վալիդացում՝ կիրառելի պահանջներին համապատասխան։</w:t>
            </w:r>
          </w:p>
          <w:p w14:paraId="5FC6E2E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չէ։</w:t>
            </w:r>
          </w:p>
          <w:p w14:paraId="6BFC9F6C"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արտադրության ընթացքում առաջ եկող անկանխատեսելի իրավիճակների կամ կայունության փոփոխության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557CDFB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Սերիայի չափը համապատասխանում է 10-ապատիկ տիրույթին, որը նախատեսված է գրանցման ընթացքում կամ IA տիպի փոփոխություն չհանդիսացող հետագա փոփոխությունից հետո։</w:t>
            </w:r>
          </w:p>
        </w:tc>
      </w:tr>
      <w:tr w:rsidR="008C76E0" w:rsidRPr="003B2786" w14:paraId="5E9A6C4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tcPr>
          <w:p w14:paraId="14BB0E0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7158EFC"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11B4A1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Սերիաների՝ գրանցված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չափերով արտադրված առնվազն մեկ արդյունաբերական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սերիայի վերաբերյալ տվյալները. ԳՀ-ի իրավատերը պարտավոր է տեղեկացնել, եթե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4EF62773"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հաստատված մասնագրերի օրինակները։</w:t>
            </w:r>
          </w:p>
          <w:p w14:paraId="5454517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նշել սերիայի չափին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արտադրության ամսաթվին (&gt;3) համապատասխան վալիդացման հետազոտություններում օգտագործված սերիաների համարները կամ ներկայացնել վալիդացման արձանագրությունը (սխեման)։</w:t>
            </w:r>
          </w:p>
          <w:p w14:paraId="41C681F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Անհրաժեշտ է ներկայացնել վալիդացման արդյունքները։</w:t>
            </w:r>
          </w:p>
          <w:p w14:paraId="77750053" w14:textId="22B71D70"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Միության փաստաթղթերին համապատասխան անցկացված՝ առնվազն 3 ամիս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առնվազն մեկ փորձարարական կամ արդյունաբերական սերիայի կայունության հետազոտությունների արդյունքները՝ ըստ էական պարամետրերի. հաստատումն այն բանի, որ այդպիսի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գործողությունների պլանի հետ անմիջապես կներկայացվեն լիազորված մարմին։ Կենսաբանական (իմունաբանական) միջոցների առնչությամբ՝</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համադրելիության գնահատում չի պահանջվում։</w:t>
            </w:r>
          </w:p>
        </w:tc>
      </w:tr>
      <w:tr w:rsidR="008C76E0" w:rsidRPr="003B2786" w14:paraId="16C467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39EBC9" w14:textId="77777777" w:rsidR="008C76E0" w:rsidRPr="008C76E0" w:rsidRDefault="008C76E0" w:rsidP="008C76E0">
            <w:pPr>
              <w:pStyle w:val="Bodytext180"/>
              <w:keepNext/>
              <w:keepLines/>
              <w:shd w:val="clear" w:color="auto" w:fill="auto"/>
              <w:tabs>
                <w:tab w:val="left" w:pos="1143"/>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Բ.II.բ.5</w:t>
            </w:r>
            <w:r w:rsidRPr="003B2786">
              <w:rPr>
                <w:rStyle w:val="Bodytext1811pt"/>
                <w:rFonts w:ascii="Sylfaen" w:hAnsi="Sylfaen"/>
                <w:sz w:val="24"/>
                <w:szCs w:val="24"/>
              </w:rPr>
              <w:tab/>
              <w:t>Ներարտադրական փորձարկումների կամ դեղապատրաստուկի արտադրության ժամանակ օգտագործվող ընդունելիության չափանիշների փոփոխությունը</w:t>
            </w:r>
          </w:p>
        </w:tc>
        <w:tc>
          <w:tcPr>
            <w:tcW w:w="1701" w:type="dxa"/>
            <w:gridSpan w:val="4"/>
            <w:tcBorders>
              <w:top w:val="single" w:sz="4" w:space="0" w:color="auto"/>
              <w:left w:val="single" w:sz="4" w:space="0" w:color="auto"/>
            </w:tcBorders>
            <w:shd w:val="clear" w:color="auto" w:fill="FFFFFF"/>
          </w:tcPr>
          <w:p w14:paraId="7A177D18" w14:textId="77777777" w:rsidR="008C76E0" w:rsidRPr="003B2786" w:rsidRDefault="008C76E0" w:rsidP="008C76E0">
            <w:pPr>
              <w:pStyle w:val="Bodytext180"/>
              <w:keepNext/>
              <w:keepLines/>
              <w:shd w:val="clear" w:color="auto" w:fill="auto"/>
              <w:tabs>
                <w:tab w:val="left" w:pos="567"/>
              </w:tabs>
              <w:spacing w:before="0" w:after="120" w:line="240" w:lineRule="auto"/>
              <w:ind w:left="91" w:right="88"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2270451" w14:textId="77777777" w:rsidR="008C76E0" w:rsidRPr="003B2786" w:rsidRDefault="008C76E0" w:rsidP="008C76E0">
            <w:pPr>
              <w:pStyle w:val="Bodytext180"/>
              <w:keepNext/>
              <w:keepLines/>
              <w:shd w:val="clear" w:color="auto" w:fill="auto"/>
              <w:tabs>
                <w:tab w:val="left" w:pos="567"/>
              </w:tabs>
              <w:spacing w:before="0" w:after="120" w:line="240" w:lineRule="auto"/>
              <w:ind w:left="-10" w:right="-10"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DDD8857" w14:textId="77777777" w:rsidR="008C76E0" w:rsidRPr="003B2786" w:rsidRDefault="008C76E0" w:rsidP="008C76E0">
            <w:pPr>
              <w:pStyle w:val="Bodytext180"/>
              <w:keepNext/>
              <w:keepLines/>
              <w:shd w:val="clear" w:color="auto" w:fill="auto"/>
              <w:tabs>
                <w:tab w:val="left" w:pos="567"/>
              </w:tabs>
              <w:spacing w:before="0" w:after="120" w:line="240" w:lineRule="auto"/>
              <w:ind w:left="39" w:right="83"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82BCA5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7C7F57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Ընդունելիության ներարտադրական չափանիշների խստացում</w:t>
            </w:r>
          </w:p>
        </w:tc>
        <w:tc>
          <w:tcPr>
            <w:tcW w:w="1701" w:type="dxa"/>
            <w:gridSpan w:val="4"/>
            <w:tcBorders>
              <w:top w:val="single" w:sz="4" w:space="0" w:color="auto"/>
              <w:left w:val="single" w:sz="4" w:space="0" w:color="auto"/>
            </w:tcBorders>
            <w:shd w:val="clear" w:color="auto" w:fill="FFFFFF"/>
          </w:tcPr>
          <w:p w14:paraId="1D207A46"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01FF9112"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1,2</w:t>
            </w:r>
          </w:p>
        </w:tc>
        <w:tc>
          <w:tcPr>
            <w:tcW w:w="1719" w:type="dxa"/>
            <w:gridSpan w:val="3"/>
            <w:tcBorders>
              <w:top w:val="single" w:sz="4" w:space="0" w:color="auto"/>
              <w:left w:val="single" w:sz="4" w:space="0" w:color="auto"/>
              <w:right w:val="single" w:sz="4" w:space="0" w:color="auto"/>
            </w:tcBorders>
            <w:shd w:val="clear" w:color="auto" w:fill="FFFFFF"/>
          </w:tcPr>
          <w:p w14:paraId="446D1783"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56C0734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2FF577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Նոր փորձարկումների կամ ընդունելիության չափանիշների ավելացում</w:t>
            </w:r>
          </w:p>
        </w:tc>
        <w:tc>
          <w:tcPr>
            <w:tcW w:w="1701" w:type="dxa"/>
            <w:gridSpan w:val="4"/>
            <w:tcBorders>
              <w:top w:val="single" w:sz="4" w:space="0" w:color="auto"/>
              <w:left w:val="single" w:sz="4" w:space="0" w:color="auto"/>
            </w:tcBorders>
            <w:shd w:val="clear" w:color="auto" w:fill="FFFFFF"/>
          </w:tcPr>
          <w:p w14:paraId="08CAFF25"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1, 2, 5, 6</w:t>
            </w:r>
          </w:p>
        </w:tc>
        <w:tc>
          <w:tcPr>
            <w:tcW w:w="1984" w:type="dxa"/>
            <w:gridSpan w:val="2"/>
            <w:tcBorders>
              <w:top w:val="single" w:sz="4" w:space="0" w:color="auto"/>
              <w:left w:val="single" w:sz="4" w:space="0" w:color="auto"/>
            </w:tcBorders>
            <w:shd w:val="clear" w:color="auto" w:fill="FFFFFF"/>
          </w:tcPr>
          <w:p w14:paraId="6EAAE789"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2D815C58"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082A26D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0129C4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Ոչ էական ներարտադրական փորձարկման բացառում</w:t>
            </w:r>
          </w:p>
        </w:tc>
        <w:tc>
          <w:tcPr>
            <w:tcW w:w="1701" w:type="dxa"/>
            <w:gridSpan w:val="4"/>
            <w:tcBorders>
              <w:top w:val="single" w:sz="4" w:space="0" w:color="auto"/>
              <w:left w:val="single" w:sz="4" w:space="0" w:color="auto"/>
            </w:tcBorders>
            <w:shd w:val="clear" w:color="auto" w:fill="FFFFFF"/>
          </w:tcPr>
          <w:p w14:paraId="5501CF1E"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1, 2, 7</w:t>
            </w:r>
          </w:p>
        </w:tc>
        <w:tc>
          <w:tcPr>
            <w:tcW w:w="1984" w:type="dxa"/>
            <w:gridSpan w:val="2"/>
            <w:tcBorders>
              <w:top w:val="single" w:sz="4" w:space="0" w:color="auto"/>
              <w:left w:val="single" w:sz="4" w:space="0" w:color="auto"/>
            </w:tcBorders>
            <w:shd w:val="clear" w:color="auto" w:fill="FFFFFF"/>
          </w:tcPr>
          <w:p w14:paraId="417399C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1, 2, 6</w:t>
            </w:r>
          </w:p>
        </w:tc>
        <w:tc>
          <w:tcPr>
            <w:tcW w:w="1719" w:type="dxa"/>
            <w:gridSpan w:val="3"/>
            <w:tcBorders>
              <w:top w:val="single" w:sz="4" w:space="0" w:color="auto"/>
              <w:left w:val="single" w:sz="4" w:space="0" w:color="auto"/>
              <w:right w:val="single" w:sz="4" w:space="0" w:color="auto"/>
            </w:tcBorders>
            <w:shd w:val="clear" w:color="auto" w:fill="FFFFFF"/>
          </w:tcPr>
          <w:p w14:paraId="0ADE2B27"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5880276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20343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դ)</w:t>
            </w:r>
            <w:r w:rsidRPr="003B2786">
              <w:rPr>
                <w:rStyle w:val="Bodytext1811pt"/>
                <w:rFonts w:ascii="Sylfaen" w:hAnsi="Sylfaen"/>
                <w:sz w:val="24"/>
                <w:szCs w:val="24"/>
              </w:rPr>
              <w:tab/>
              <w:t>Ներարտադրական փորձարկման բացառում, որը կարող է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727FC0FF"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A1BFE7C"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EFE9AAA"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2D3B6C5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774645F"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Ընդունելիության հաստատված ներարտադրական չափանիշների ընդլայնում, որոնք կարող են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573B751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F06DDE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57AA5E7"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6752F41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B8A5F0"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Ներարտադրական փորձարկումների ավելացում կամ փոխարինում՝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55C2E1F2"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062E12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5C6344CA"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7BA86CB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14:paraId="746BEA9A"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Պայմանները</w:t>
            </w:r>
          </w:p>
          <w:p w14:paraId="6B140FA0"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մասնագրի ընդունելիության չափանիշների վերլուծության նպատակով նախկինում կատարված փորձաքննությունների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գրանցելիս կամ II տիպի փոփոխություն կատարելիս):</w:t>
            </w:r>
          </w:p>
        </w:tc>
      </w:tr>
      <w:tr w:rsidR="008C76E0" w:rsidRPr="003B2786" w14:paraId="28B62F8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760024D"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արտադրության ընթացքում առաջ եկած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խառնուկը, խառնուկների միագումարի պարունակության սահմանների փոփոխությունը:</w:t>
            </w:r>
          </w:p>
          <w:p w14:paraId="0944F8A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3603C662"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49DE5B6B"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7265EC1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կենսաբանորեն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4B1F0E7D"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Ներարտադրական փորձարկումը չի վերաբերում կրիտիկական չափանիշների հսկողությանը, օրինակ՝</w:t>
            </w:r>
          </w:p>
          <w:p w14:paraId="017BAD0D"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Style w:val="Bodytext1811pt"/>
                <w:rFonts w:ascii="Sylfaen" w:hAnsi="Sylfaen"/>
                <w:sz w:val="24"/>
                <w:szCs w:val="24"/>
              </w:rPr>
            </w:pPr>
            <w:r w:rsidRPr="003B2786">
              <w:rPr>
                <w:rStyle w:val="Bodytext1811pt"/>
                <w:rFonts w:ascii="Sylfaen" w:hAnsi="Sylfaen"/>
                <w:sz w:val="24"/>
                <w:szCs w:val="24"/>
              </w:rPr>
              <w:t xml:space="preserve">խառնուկի քանակական որոշմանը (միայն այն դեպքում, երբ արտադրության մեջ որոշակի լուծույթ միանշանակ չի օգտագործվում), ցանկացած կրիտիկական ֆիզիկական բնութագրին (մասնիկների չափերին,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այլն), իսկության փորձարկմանը (համապատասխան այլընտրանքային հսկողության բացակայության դեպքում), միկրոկենսաբանական հսկողությանը (միայն այն դեպքում, երբ այն չի պահանջվում որոշակի դեղաձ</w:t>
            </w:r>
            <w:r w:rsidR="00C54D75">
              <w:rPr>
                <w:rStyle w:val="Bodytext1811pt"/>
                <w:rFonts w:ascii="Sylfaen" w:hAnsi="Sylfaen"/>
                <w:sz w:val="24"/>
                <w:szCs w:val="24"/>
              </w:rPr>
              <w:t>և</w:t>
            </w:r>
            <w:r w:rsidRPr="003B2786">
              <w:rPr>
                <w:rStyle w:val="Bodytext1811pt"/>
                <w:rFonts w:ascii="Sylfaen" w:hAnsi="Sylfaen"/>
                <w:sz w:val="24"/>
                <w:szCs w:val="24"/>
              </w:rPr>
              <w:t>ի համար)</w:t>
            </w:r>
          </w:p>
          <w:p w14:paraId="00AA84D2"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p>
        </w:tc>
      </w:tr>
      <w:tr w:rsidR="008C76E0" w:rsidRPr="003B2786" w14:paraId="46169DB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049243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0FF33F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978CAF8"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ներարտադրական փորձարկումների ու ընդունելիության չափանիշների համեմատական աղյուսակը։</w:t>
            </w:r>
          </w:p>
          <w:p w14:paraId="4A0F4FD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487659A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դեղապատրաստուկի երկու արդյունաբերական սերիաների վերլուծության տվյալները (կենսաբանորեն ակտիվ դեղագործական բաղադրամասերի համար պատշաճ հիմնավորման բացակայության դեպքում՝ երեք սերիա):</w:t>
            </w:r>
          </w:p>
          <w:p w14:paraId="7F5A02C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ներարտադրական փորձարկումների օգտագործմամբ արտադրված, առնվազն 1 փորձարարաարդյունաբերական սերիայի նկատմամբ դեղապատրաստուկի լուծելիության պրոֆիլի համեմատական տվյալները։ Բուսական դեղապատրաստուկների առնչությամբ կարող են բավարար լինել համեմատական տրոհման տվյալները:</w:t>
            </w:r>
          </w:p>
          <w:p w14:paraId="3B29857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Ներարտադրական փորձարկման ոչ էական կամ հնացած լինելու հանգամանքը հաստատող հիմնավորումը (ռիսկերի գնահատումը):</w:t>
            </w:r>
          </w:p>
          <w:p w14:paraId="42F1820A"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Նոր ներարտադրական փորձարկման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706456E5" w14:textId="77777777" w:rsidTr="008C76E0">
        <w:trPr>
          <w:jc w:val="center"/>
        </w:trPr>
        <w:tc>
          <w:tcPr>
            <w:tcW w:w="10401" w:type="dxa"/>
            <w:gridSpan w:val="15"/>
            <w:tcBorders>
              <w:top w:val="single" w:sz="4" w:space="0" w:color="auto"/>
            </w:tcBorders>
            <w:shd w:val="clear" w:color="auto" w:fill="FFFFFF"/>
            <w:vAlign w:val="bottom"/>
          </w:tcPr>
          <w:p w14:paraId="6CAE28E9" w14:textId="77777777" w:rsidR="008C76E0" w:rsidRPr="008C76E0" w:rsidRDefault="008C76E0" w:rsidP="008C76E0">
            <w:pPr>
              <w:pStyle w:val="Bodytext180"/>
              <w:keepNext/>
              <w:keepLines/>
              <w:shd w:val="clear" w:color="auto" w:fill="auto"/>
              <w:tabs>
                <w:tab w:val="left" w:pos="1103"/>
              </w:tabs>
              <w:spacing w:before="0" w:after="120" w:line="240" w:lineRule="auto"/>
              <w:ind w:left="109" w:right="-1" w:firstLine="0"/>
              <w:jc w:val="both"/>
              <w:outlineLvl w:val="0"/>
              <w:rPr>
                <w:rFonts w:ascii="Sylfaen" w:hAnsi="Sylfaen"/>
                <w:b w:val="0"/>
                <w:sz w:val="24"/>
                <w:szCs w:val="24"/>
                <w:lang w:val="hy-AM"/>
              </w:rPr>
            </w:pPr>
            <w:r w:rsidRPr="003B2786">
              <w:rPr>
                <w:rStyle w:val="Bodytext1812pt"/>
                <w:rFonts w:ascii="Sylfaen" w:hAnsi="Sylfaen"/>
              </w:rPr>
              <w:t>Բ.II.գ.)</w:t>
            </w:r>
            <w:r w:rsidRPr="003B2786">
              <w:rPr>
                <w:rStyle w:val="Bodytext1812pt"/>
                <w:rFonts w:ascii="Sylfaen" w:hAnsi="Sylfaen"/>
              </w:rPr>
              <w:tab/>
              <w:t>Օժանդակ նյութերի որակի հսկողությունը</w:t>
            </w:r>
          </w:p>
        </w:tc>
      </w:tr>
      <w:tr w:rsidR="008C76E0" w:rsidRPr="003B2786" w14:paraId="6AC3E67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6690E4" w14:textId="77777777" w:rsidR="008C76E0" w:rsidRPr="008C76E0" w:rsidRDefault="008C76E0" w:rsidP="008C76E0">
            <w:pPr>
              <w:pStyle w:val="Bodytext180"/>
              <w:keepNext/>
              <w:keepLines/>
              <w:shd w:val="clear" w:color="auto" w:fill="auto"/>
              <w:tabs>
                <w:tab w:val="left" w:pos="1133"/>
              </w:tabs>
              <w:spacing w:before="0" w:after="120" w:line="240" w:lineRule="auto"/>
              <w:ind w:left="158" w:right="201" w:firstLine="0"/>
              <w:jc w:val="both"/>
              <w:outlineLvl w:val="0"/>
              <w:rPr>
                <w:rFonts w:ascii="Sylfaen" w:hAnsi="Sylfaen"/>
                <w:b w:val="0"/>
                <w:sz w:val="24"/>
                <w:szCs w:val="24"/>
                <w:lang w:val="hy-AM"/>
              </w:rPr>
            </w:pPr>
            <w:r w:rsidRPr="003B2786">
              <w:rPr>
                <w:rStyle w:val="Bodytext1811pt"/>
                <w:rFonts w:ascii="Sylfaen" w:hAnsi="Sylfaen"/>
                <w:sz w:val="24"/>
                <w:szCs w:val="24"/>
              </w:rPr>
              <w:t>Բ.II.գ. 1</w:t>
            </w:r>
            <w:r w:rsidRPr="003B2786">
              <w:rPr>
                <w:rStyle w:val="Bodytext1811pt"/>
                <w:rFonts w:ascii="Sylfaen" w:hAnsi="Sylfaen"/>
                <w:sz w:val="24"/>
                <w:szCs w:val="24"/>
              </w:rPr>
              <w:tab/>
              <w:t xml:space="preserve">Օժանդակ նյութի մասնագրերի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 </w:t>
            </w:r>
          </w:p>
        </w:tc>
        <w:tc>
          <w:tcPr>
            <w:tcW w:w="1701" w:type="dxa"/>
            <w:gridSpan w:val="4"/>
            <w:tcBorders>
              <w:top w:val="single" w:sz="4" w:space="0" w:color="auto"/>
              <w:left w:val="single" w:sz="4" w:space="0" w:color="auto"/>
            </w:tcBorders>
            <w:shd w:val="clear" w:color="auto" w:fill="FFFFFF"/>
          </w:tcPr>
          <w:p w14:paraId="7DD164D9"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516D9D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8B09EA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71FB09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86DC6C9" w14:textId="77777777" w:rsidR="008C76E0" w:rsidRPr="008C76E0" w:rsidRDefault="008C76E0" w:rsidP="008C76E0">
            <w:pPr>
              <w:pStyle w:val="Bodytext180"/>
              <w:keepNext/>
              <w:keepLines/>
              <w:shd w:val="clear" w:color="auto" w:fill="auto"/>
              <w:tabs>
                <w:tab w:val="left" w:pos="567"/>
              </w:tabs>
              <w:spacing w:before="0" w:after="120" w:line="240" w:lineRule="auto"/>
              <w:ind w:left="158" w:right="201"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266FFF83"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2pt"/>
                <w:rFonts w:ascii="Sylfaen" w:hAnsi="Sylfaen"/>
              </w:rPr>
              <w:t>1,2, 3,4</w:t>
            </w:r>
          </w:p>
        </w:tc>
        <w:tc>
          <w:tcPr>
            <w:tcW w:w="1984" w:type="dxa"/>
            <w:gridSpan w:val="2"/>
            <w:tcBorders>
              <w:top w:val="single" w:sz="4" w:space="0" w:color="auto"/>
              <w:left w:val="single" w:sz="4" w:space="0" w:color="auto"/>
            </w:tcBorders>
            <w:shd w:val="clear" w:color="auto" w:fill="FFFFFF"/>
          </w:tcPr>
          <w:p w14:paraId="31AA0D0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1,2</w:t>
            </w:r>
          </w:p>
        </w:tc>
        <w:tc>
          <w:tcPr>
            <w:tcW w:w="1719" w:type="dxa"/>
            <w:gridSpan w:val="3"/>
            <w:tcBorders>
              <w:top w:val="single" w:sz="4" w:space="0" w:color="auto"/>
              <w:left w:val="single" w:sz="4" w:space="0" w:color="auto"/>
              <w:right w:val="single" w:sz="4" w:space="0" w:color="auto"/>
            </w:tcBorders>
            <w:shd w:val="clear" w:color="auto" w:fill="FFFFFF"/>
          </w:tcPr>
          <w:p w14:paraId="63C351A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77553099"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tcPr>
          <w:p w14:paraId="75C714B4" w14:textId="77777777" w:rsidR="008C76E0" w:rsidRPr="003B2786"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մասնագրում</w:t>
            </w:r>
          </w:p>
          <w:p w14:paraId="71723AE5"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bottom w:val="single" w:sz="4" w:space="0" w:color="auto"/>
            </w:tcBorders>
            <w:shd w:val="clear" w:color="auto" w:fill="FFFFFF"/>
          </w:tcPr>
          <w:p w14:paraId="464A469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2pt"/>
                <w:rFonts w:ascii="Sylfaen" w:hAnsi="Sylfaen"/>
              </w:rPr>
              <w:t>1, 2, 5, 6, 7</w:t>
            </w:r>
          </w:p>
        </w:tc>
        <w:tc>
          <w:tcPr>
            <w:tcW w:w="1984" w:type="dxa"/>
            <w:gridSpan w:val="2"/>
            <w:tcBorders>
              <w:top w:val="single" w:sz="4" w:space="0" w:color="auto"/>
              <w:left w:val="single" w:sz="4" w:space="0" w:color="auto"/>
              <w:bottom w:val="single" w:sz="4" w:space="0" w:color="auto"/>
            </w:tcBorders>
            <w:shd w:val="clear" w:color="auto" w:fill="FFFFFF"/>
          </w:tcPr>
          <w:p w14:paraId="2A841D1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2pt"/>
                <w:rFonts w:ascii="Sylfaen" w:hAnsi="Sylfaen"/>
              </w:rPr>
              <w:t>1, 2, 3, 4, 6, 8</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295D320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836043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A3659AA" w14:textId="77777777" w:rsidR="008C76E0" w:rsidRPr="00E74ADC"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 (օրինակ՝ հնացած պարամետրի բացառում)</w:t>
            </w:r>
          </w:p>
          <w:p w14:paraId="321AA0CE" w14:textId="77777777" w:rsidR="00FA323E" w:rsidRPr="00E74ADC" w:rsidRDefault="00FA323E"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4297D4B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w:t>
            </w:r>
          </w:p>
        </w:tc>
        <w:tc>
          <w:tcPr>
            <w:tcW w:w="1984" w:type="dxa"/>
            <w:gridSpan w:val="2"/>
            <w:tcBorders>
              <w:top w:val="single" w:sz="4" w:space="0" w:color="auto"/>
              <w:left w:val="single" w:sz="4" w:space="0" w:color="auto"/>
            </w:tcBorders>
            <w:shd w:val="clear" w:color="auto" w:fill="FFFFFF"/>
          </w:tcPr>
          <w:p w14:paraId="55C7DD5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1,2,7</w:t>
            </w:r>
          </w:p>
        </w:tc>
        <w:tc>
          <w:tcPr>
            <w:tcW w:w="1719" w:type="dxa"/>
            <w:gridSpan w:val="3"/>
            <w:tcBorders>
              <w:top w:val="single" w:sz="4" w:space="0" w:color="auto"/>
              <w:left w:val="single" w:sz="4" w:space="0" w:color="auto"/>
              <w:right w:val="single" w:sz="4" w:space="0" w:color="auto"/>
            </w:tcBorders>
            <w:shd w:val="clear" w:color="auto" w:fill="FFFFFF"/>
          </w:tcPr>
          <w:p w14:paraId="6F84798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0E6454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4D3874"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Մասնագրերի ընդունելիության հաստատված չափանիշների շրջանակից դուրս փոփոխություն</w:t>
            </w:r>
          </w:p>
        </w:tc>
        <w:tc>
          <w:tcPr>
            <w:tcW w:w="1701" w:type="dxa"/>
            <w:gridSpan w:val="4"/>
            <w:tcBorders>
              <w:top w:val="single" w:sz="4" w:space="0" w:color="auto"/>
              <w:left w:val="single" w:sz="4" w:space="0" w:color="auto"/>
            </w:tcBorders>
            <w:shd w:val="clear" w:color="auto" w:fill="FFFFFF"/>
          </w:tcPr>
          <w:p w14:paraId="3C7B9EF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D8F62D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0CFD9E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892081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CFDC6DD" w14:textId="77777777" w:rsidR="008C76E0" w:rsidRPr="003B2786"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Մասնագրի այն պարամետրի բացառում, որը կարող է էապես ազդել դեղապատրաստուկի ընդհանուր որակի </w:t>
            </w:r>
            <w:r w:rsidRPr="003B2786">
              <w:rPr>
                <w:rStyle w:val="Bodytext1811pt"/>
                <w:rFonts w:ascii="Sylfaen" w:hAnsi="Sylfaen"/>
                <w:sz w:val="24"/>
                <w:szCs w:val="24"/>
              </w:rPr>
              <w:lastRenderedPageBreak/>
              <w:t>վրա</w:t>
            </w:r>
          </w:p>
          <w:p w14:paraId="7EC2B39E"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0E71C27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3D3E11B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139919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E9B59F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54E59B0"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կամ փոխարինում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պատրաստուկը)՝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69D3994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5ABA7D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1, 2, 3, 4, 5, 6, 8</w:t>
            </w:r>
          </w:p>
        </w:tc>
        <w:tc>
          <w:tcPr>
            <w:tcW w:w="1719" w:type="dxa"/>
            <w:gridSpan w:val="3"/>
            <w:tcBorders>
              <w:top w:val="single" w:sz="4" w:space="0" w:color="auto"/>
              <w:left w:val="single" w:sz="4" w:space="0" w:color="auto"/>
              <w:right w:val="single" w:sz="4" w:space="0" w:color="auto"/>
            </w:tcBorders>
            <w:shd w:val="clear" w:color="auto" w:fill="FFFFFF"/>
          </w:tcPr>
          <w:p w14:paraId="55537AD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3F26641" w14:textId="77777777" w:rsidTr="008C76E0">
        <w:trPr>
          <w:jc w:val="center"/>
        </w:trPr>
        <w:tc>
          <w:tcPr>
            <w:tcW w:w="4997" w:type="dxa"/>
            <w:gridSpan w:val="6"/>
            <w:tcBorders>
              <w:top w:val="single" w:sz="4" w:space="0" w:color="auto"/>
              <w:left w:val="single" w:sz="4" w:space="0" w:color="auto"/>
            </w:tcBorders>
            <w:shd w:val="clear" w:color="auto" w:fill="FFFFFF"/>
          </w:tcPr>
          <w:p w14:paraId="28D697B2"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է)</w:t>
            </w:r>
            <w:r w:rsidRPr="003B2786">
              <w:rPr>
                <w:rStyle w:val="Bodytext1811pt"/>
                <w:rFonts w:ascii="Sylfaen" w:hAnsi="Sylfaen"/>
                <w:sz w:val="24"/>
                <w:szCs w:val="24"/>
              </w:rPr>
              <w:tab/>
              <w:t>Եթե օժանդակ նյութի մասով բացակայում է Միության դեղագրքի կամ անդամ պետության դեղագրքի հոդվածը, ապա մասնագրի սեփական տվյալների՝ ոչ պաշտոնական դեղագրքով կամ երրորդ երկրի դեղագրքով փոխարինում</w:t>
            </w:r>
          </w:p>
        </w:tc>
        <w:tc>
          <w:tcPr>
            <w:tcW w:w="1701" w:type="dxa"/>
            <w:gridSpan w:val="4"/>
            <w:tcBorders>
              <w:top w:val="single" w:sz="4" w:space="0" w:color="auto"/>
              <w:left w:val="single" w:sz="4" w:space="0" w:color="auto"/>
            </w:tcBorders>
            <w:shd w:val="clear" w:color="auto" w:fill="FFFFFF"/>
          </w:tcPr>
          <w:p w14:paraId="4B86480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9860F8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1, 2, 3, 4, 5, 6, 8</w:t>
            </w:r>
          </w:p>
        </w:tc>
        <w:tc>
          <w:tcPr>
            <w:tcW w:w="1719" w:type="dxa"/>
            <w:gridSpan w:val="3"/>
            <w:tcBorders>
              <w:top w:val="single" w:sz="4" w:space="0" w:color="auto"/>
              <w:left w:val="single" w:sz="4" w:space="0" w:color="auto"/>
              <w:right w:val="single" w:sz="4" w:space="0" w:color="auto"/>
            </w:tcBorders>
            <w:shd w:val="clear" w:color="auto" w:fill="FFFFFF"/>
          </w:tcPr>
          <w:p w14:paraId="270DB556"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9F87A3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549A66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582832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վերլուծության նպատակով նախկինում կատարված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դեղապատրաստուկի գրանցման կամ II տիպի փոփոխություն կատարելու ընթացքում):</w:t>
            </w:r>
          </w:p>
          <w:p w14:paraId="3AED7988"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խառնուկի արտադրության ընթացքում առաջ եկած անկանխատեսելի իրավիճակների, խառնուկների միագումարի պարունակության սահմանների փոփոխության։</w:t>
            </w:r>
          </w:p>
          <w:p w14:paraId="435C298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41B0FE3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3E14B72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3BC43295"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70D553EB"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գենոտոքսիկ խառնուկին։</w:t>
            </w:r>
          </w:p>
          <w:p w14:paraId="43015DC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 հսկողությանը, օրինակ՝ խառնուկներին (միայն այն դեպքում, երբ արտադրության մեջ որոշակի լուծիչ միանշանակ չի օգտագործվում),</w:t>
            </w:r>
          </w:p>
          <w:p w14:paraId="2676608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 xml:space="preserve">ցանկացած կրիտիկական ֆիզիկական բնութագրի (մասնիկների չափին,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p w14:paraId="2660C87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lastRenderedPageBreak/>
              <w:t>իսկության փորձարկմանը (այլընտրանքային համապատասխան հսկողության բացակայության դեպքում), միկրոկենսաբանական հսկողությանը (միայն այն դեպքում, երբ այն չի պահանջվում որոշակի դեղաձ</w:t>
            </w:r>
            <w:r w:rsidR="00C54D75">
              <w:rPr>
                <w:rStyle w:val="Bodytext1811pt"/>
                <w:rFonts w:ascii="Sylfaen" w:hAnsi="Sylfaen"/>
                <w:sz w:val="24"/>
                <w:szCs w:val="24"/>
              </w:rPr>
              <w:t>և</w:t>
            </w:r>
            <w:r w:rsidRPr="003B2786">
              <w:rPr>
                <w:rStyle w:val="Bodytext1811pt"/>
                <w:rFonts w:ascii="Sylfaen" w:hAnsi="Sylfaen"/>
                <w:sz w:val="24"/>
                <w:szCs w:val="24"/>
              </w:rPr>
              <w:t>ի համար)</w:t>
            </w:r>
          </w:p>
        </w:tc>
      </w:tr>
      <w:tr w:rsidR="008C76E0" w:rsidRPr="003B2786" w14:paraId="4A16D0FD"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7C7668A6"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599971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504772FA"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6012BE2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tc>
      </w:tr>
      <w:tr w:rsidR="008C76E0" w:rsidRPr="003B2786" w14:paraId="307463A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85C516D"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օժանդակ նյութի 2 արդյունաբերական սերիայի վերլուծության տվյալները (կենսաբանական ակտիվ դեղագործական բաղադրամասերի համար պատշաճ հիմնավորումների բացակայության դեպքում՝ 3 սերիա):</w:t>
            </w:r>
          </w:p>
          <w:p w14:paraId="38ACA26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օժանդակ նյութ պարունակող առնվազն մեկ փորձարարաարդյունաբերական սերիայի այն դեղապատրաստուկի լուծելիության համեմատական կինետիկայի թեստի տվյալները, որը համապատասխանում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 Բուսական դեղապատրաստուկների առնչությամբ կարող են բավարար լինել համեմատական տրոհման տվյալները:</w:t>
            </w:r>
          </w:p>
          <w:p w14:paraId="51E03C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p w14:paraId="226B2811"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կամ հնացած լինելու հանգամանքը հաստատող հիմնավորումը (ռիսկերի գնահատումը)։</w:t>
            </w:r>
          </w:p>
          <w:p w14:paraId="03ECDA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7712672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1FF134"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Բ.II.գ.2.</w:t>
            </w:r>
            <w:r w:rsidRPr="003B2786">
              <w:rPr>
                <w:rStyle w:val="Bodytext1811pt"/>
                <w:rFonts w:ascii="Sylfaen" w:hAnsi="Sylfaen"/>
                <w:sz w:val="24"/>
                <w:szCs w:val="24"/>
              </w:rPr>
              <w:tab/>
              <w:t>Օժանդակ նյութի համար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70755B8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1459C8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469256A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CA5737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80C4F5D"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w:t>
            </w:r>
          </w:p>
        </w:tc>
        <w:tc>
          <w:tcPr>
            <w:tcW w:w="1701" w:type="dxa"/>
            <w:gridSpan w:val="4"/>
            <w:tcBorders>
              <w:top w:val="single" w:sz="4" w:space="0" w:color="auto"/>
              <w:left w:val="single" w:sz="4" w:space="0" w:color="auto"/>
            </w:tcBorders>
            <w:shd w:val="clear" w:color="auto" w:fill="FFFFFF"/>
          </w:tcPr>
          <w:p w14:paraId="2B4D509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5018A3D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C524EC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92D53E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24CC05A"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բացառումն այն դեպքում, երբ դրա այլընտրանքային մեթոդիկան արդեն հաստատվել է</w:t>
            </w:r>
          </w:p>
        </w:tc>
        <w:tc>
          <w:tcPr>
            <w:tcW w:w="1701" w:type="dxa"/>
            <w:gridSpan w:val="4"/>
            <w:tcBorders>
              <w:top w:val="single" w:sz="4" w:space="0" w:color="auto"/>
              <w:left w:val="single" w:sz="4" w:space="0" w:color="auto"/>
            </w:tcBorders>
            <w:shd w:val="clear" w:color="auto" w:fill="FFFFFF"/>
          </w:tcPr>
          <w:p w14:paraId="657C282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5</w:t>
            </w:r>
          </w:p>
        </w:tc>
        <w:tc>
          <w:tcPr>
            <w:tcW w:w="1984" w:type="dxa"/>
            <w:gridSpan w:val="2"/>
            <w:tcBorders>
              <w:top w:val="single" w:sz="4" w:space="0" w:color="auto"/>
              <w:left w:val="single" w:sz="4" w:space="0" w:color="auto"/>
            </w:tcBorders>
            <w:shd w:val="clear" w:color="auto" w:fill="FFFFFF"/>
          </w:tcPr>
          <w:p w14:paraId="671CD90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58BF97B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C46FBF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AF98742"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Փորձարկումների կենսաբանական (իմունաբանական, իմունաքիմիական) մեթոդի կամ այն մեթոդի փոխարինում, որի դեպքում օգտագործվում է կենսաբանական ռեակտիվ</w:t>
            </w:r>
          </w:p>
        </w:tc>
        <w:tc>
          <w:tcPr>
            <w:tcW w:w="1701" w:type="dxa"/>
            <w:gridSpan w:val="4"/>
            <w:tcBorders>
              <w:top w:val="single" w:sz="4" w:space="0" w:color="auto"/>
              <w:left w:val="single" w:sz="4" w:space="0" w:color="auto"/>
            </w:tcBorders>
            <w:shd w:val="clear" w:color="auto" w:fill="FFFFFF"/>
          </w:tcPr>
          <w:p w14:paraId="01C6D8D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479EFF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4F8EA73"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8269C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A3D29CB"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Վերլուծական մեթոդիկայի այլ փոփոխություններ (ներառյալ՝ </w:t>
            </w:r>
            <w:r w:rsidRPr="003B2786">
              <w:rPr>
                <w:rStyle w:val="Bodytext1811pt"/>
                <w:rFonts w:ascii="Sylfaen" w:hAnsi="Sylfaen"/>
                <w:sz w:val="24"/>
                <w:szCs w:val="24"/>
              </w:rPr>
              <w:lastRenderedPageBreak/>
              <w:t>ավելացումը կամ փոխարինումը)</w:t>
            </w:r>
          </w:p>
        </w:tc>
        <w:tc>
          <w:tcPr>
            <w:tcW w:w="1701" w:type="dxa"/>
            <w:gridSpan w:val="4"/>
            <w:tcBorders>
              <w:top w:val="single" w:sz="4" w:space="0" w:color="auto"/>
              <w:left w:val="single" w:sz="4" w:space="0" w:color="auto"/>
            </w:tcBorders>
            <w:shd w:val="clear" w:color="auto" w:fill="FFFFFF"/>
          </w:tcPr>
          <w:p w14:paraId="57791C46"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5C3E86DD"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65C8B987"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2C92613"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621BDAF"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7769EBE"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անցկացվել են անհրաժեշտ վալիդացիոն հետազոտություններ, որոնցով հաստատվում է թարմացված վերլուծական մեթոդիկայի՝ նախորդին առնվազն համարժեք լինելու հանգամանքը:</w:t>
            </w:r>
          </w:p>
          <w:p w14:paraId="7CB4B364" w14:textId="46E46B2D"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Խառնուկի միագումարի պարունակության սահմանները չեն փոփոխվել, նոր չորակված խառնուկներ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3B52F166"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սյունակի մեկ այլ տեսակ կամ մեթոդ):</w:t>
            </w:r>
          </w:p>
          <w:p w14:paraId="7803A972"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օգտագործվում է կենսաբանական ռեակտիվ (բացառությամբ ստանդարտ դեղագրքային միկրոկենսաբանական մեթոդների):</w:t>
            </w:r>
          </w:p>
          <w:p w14:paraId="3F8880FC"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44A68C1B"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9C6A1A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33B21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վերլուծական մեթոդաբանության նկարագրությունը, վալիդացման տվյալների ռեզյումեն, խառնուկների վերանայված մասնագրերը (եթե կիրառելի է):</w:t>
            </w:r>
          </w:p>
          <w:p w14:paraId="0E433DC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առկայության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փորձարկումների համարժեք լինելու հանգամանքը: Տվյալ պահանջը չի կիրառվում, եթե ավելացվում է նոր վերլուծական մեթոդիկա:</w:t>
            </w:r>
          </w:p>
        </w:tc>
      </w:tr>
      <w:tr w:rsidR="008C76E0" w:rsidRPr="003B2786" w14:paraId="51FD7715"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4459CF3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Բ.II.գ.3.</w:t>
            </w:r>
            <w:r w:rsidRPr="003B2786">
              <w:rPr>
                <w:rStyle w:val="Bodytext1811pt"/>
                <w:rFonts w:ascii="Sylfaen" w:hAnsi="Sylfaen"/>
                <w:sz w:val="24"/>
                <w:szCs w:val="24"/>
              </w:rPr>
              <w:tab/>
              <w:t>Օժանդակ նյութի կամ ՏՍԷ ռիսկայնությամբ ռեակտիվի ստացման աղբյուրի փոփոխությունը</w:t>
            </w:r>
          </w:p>
        </w:tc>
        <w:tc>
          <w:tcPr>
            <w:tcW w:w="1701" w:type="dxa"/>
            <w:gridSpan w:val="4"/>
            <w:tcBorders>
              <w:top w:val="single" w:sz="4" w:space="0" w:color="auto"/>
              <w:left w:val="single" w:sz="4" w:space="0" w:color="auto"/>
              <w:bottom w:val="single" w:sz="4" w:space="0" w:color="auto"/>
            </w:tcBorders>
            <w:shd w:val="clear" w:color="auto" w:fill="FFFFFF"/>
          </w:tcPr>
          <w:p w14:paraId="446F1792"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4E8046B"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03FE688C"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5C47B1"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CE51A0" w14:textId="77777777" w:rsidR="008C76E0" w:rsidRPr="008C76E0" w:rsidRDefault="008C76E0" w:rsidP="00FA323E">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ՏՍԷ ռիսկայնությամբ նյութից՝ բուսական կամ սինթետիկ ծագման նյութի</w:t>
            </w:r>
          </w:p>
        </w:tc>
        <w:tc>
          <w:tcPr>
            <w:tcW w:w="1701" w:type="dxa"/>
            <w:gridSpan w:val="4"/>
            <w:tcBorders>
              <w:top w:val="single" w:sz="4" w:space="0" w:color="auto"/>
              <w:left w:val="single" w:sz="4" w:space="0" w:color="auto"/>
            </w:tcBorders>
            <w:shd w:val="clear" w:color="auto" w:fill="FFFFFF"/>
          </w:tcPr>
          <w:p w14:paraId="1D1E174E"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670DD4F"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52E6EE99"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r>
      <w:tr w:rsidR="008C76E0" w:rsidRPr="003B2786" w14:paraId="0ECD5B2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F36F830" w14:textId="77777777" w:rsidR="008C76E0" w:rsidRPr="008C76E0" w:rsidRDefault="008C76E0" w:rsidP="00FA323E">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Կենսաբանական (իմունաբանական) ակտիվ դեղագործական բաղադրամասի կամ կենսաբանական (իմունաբանական) դեղապատրաստուկի արտադրության մեջ չօգտագործվող օժանդակ նյութերի կամ ռեակտիվների համար</w:t>
            </w:r>
          </w:p>
        </w:tc>
        <w:tc>
          <w:tcPr>
            <w:tcW w:w="1701" w:type="dxa"/>
            <w:gridSpan w:val="4"/>
            <w:tcBorders>
              <w:top w:val="single" w:sz="4" w:space="0" w:color="auto"/>
              <w:left w:val="single" w:sz="4" w:space="0" w:color="auto"/>
            </w:tcBorders>
            <w:shd w:val="clear" w:color="auto" w:fill="FFFFFF"/>
          </w:tcPr>
          <w:p w14:paraId="2ADC2DB2"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5BD1C8E0"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1A141098"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16B9CF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72FC3E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Կենսաբանական (իմունաբանական) ակտիվ դեղագործական նյութի կամ կենսաբանական (իմունաբանական) դեղապատրաստուկի արտադրության մեջ </w:t>
            </w:r>
            <w:r w:rsidRPr="003B2786">
              <w:rPr>
                <w:rStyle w:val="Bodytext1811pt"/>
                <w:rFonts w:ascii="Sylfaen" w:hAnsi="Sylfaen"/>
                <w:sz w:val="24"/>
                <w:szCs w:val="24"/>
              </w:rPr>
              <w:lastRenderedPageBreak/>
              <w:t>օգտագործվող օժանդակ նյութերի կամ ռեակտիվների համար</w:t>
            </w:r>
          </w:p>
        </w:tc>
        <w:tc>
          <w:tcPr>
            <w:tcW w:w="1701" w:type="dxa"/>
            <w:gridSpan w:val="4"/>
            <w:tcBorders>
              <w:top w:val="single" w:sz="4" w:space="0" w:color="auto"/>
              <w:left w:val="single" w:sz="4" w:space="0" w:color="auto"/>
            </w:tcBorders>
            <w:shd w:val="clear" w:color="auto" w:fill="FFFFFF"/>
          </w:tcPr>
          <w:p w14:paraId="7E7A9C93"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40D5ADC3"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6077DD24"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DFF1E7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871CFB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ՏՍԷ ռիսկայնությամբ նյութի փոփոխում կամ ներմուծում կամ ՏՍԷ ռիսկայնությամբ նյութի փոխարինում ՏՍԷ ռիսկայնությամբ այլ նյութով, որը չունի ՏՍԷ-ին համապատասխանության սերտիֆիկատ</w:t>
            </w:r>
          </w:p>
        </w:tc>
        <w:tc>
          <w:tcPr>
            <w:tcW w:w="1701" w:type="dxa"/>
            <w:gridSpan w:val="4"/>
            <w:tcBorders>
              <w:top w:val="single" w:sz="4" w:space="0" w:color="auto"/>
              <w:left w:val="single" w:sz="4" w:space="0" w:color="auto"/>
            </w:tcBorders>
            <w:shd w:val="clear" w:color="auto" w:fill="FFFFFF"/>
          </w:tcPr>
          <w:p w14:paraId="5139FEB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8EE640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C80A322"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Fonts w:ascii="Sylfaen" w:hAnsi="Sylfaen"/>
                <w:b w:val="0"/>
                <w:sz w:val="24"/>
                <w:szCs w:val="24"/>
              </w:rPr>
              <w:t>II</w:t>
            </w:r>
          </w:p>
        </w:tc>
      </w:tr>
      <w:tr w:rsidR="008C76E0" w:rsidRPr="003B2786" w14:paraId="6C19848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F4100F8"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BCEEAFC"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Օժանդակ նյութի </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թողարկման ու պիտանիության ժամկետի ավարտի մասնագրերը չեն փոփոխվում։</w:t>
            </w:r>
          </w:p>
        </w:tc>
      </w:tr>
      <w:tr w:rsidR="008C76E0" w:rsidRPr="003B2786" w14:paraId="5153156C"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9FF58F0"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03B3BF" w14:textId="6EAFBC44"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Նյութն արտադրողի կամ դրա գրանցման հավաստագրի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ն այն մասին, որ դրանք բացարձակապես բուսական կամ սինթետիկ ծագում ունեն։</w:t>
            </w:r>
          </w:p>
          <w:p w14:paraId="5D1387F1"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Նյութերի համարժեքության հետազոտությունը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պատրաստի նյութի արտադրության ու դեղապատրաստուկի բնութագրերի (օրինակ՝ լուծելիության բնութագրերի) վրա ազդեցությունը։</w:t>
            </w:r>
          </w:p>
        </w:tc>
      </w:tr>
      <w:tr w:rsidR="008C76E0" w:rsidRPr="003B2786" w14:paraId="64AB67B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B69A72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Բ.II.գ.4.</w:t>
            </w:r>
            <w:r w:rsidRPr="003B2786">
              <w:rPr>
                <w:rStyle w:val="Bodytext1811pt"/>
                <w:rFonts w:ascii="Sylfaen" w:hAnsi="Sylfaen"/>
                <w:sz w:val="24"/>
                <w:szCs w:val="24"/>
              </w:rPr>
              <w:tab/>
              <w:t>Ոչ դեղագրքային օժանդակ նյութի (գրանցման դոսյեում նկարագրված լինելու դեպքում) կամ նոր օժանդակ նյութի սինթեզման կամ ստացման փոփոխությունը</w:t>
            </w:r>
          </w:p>
        </w:tc>
        <w:tc>
          <w:tcPr>
            <w:tcW w:w="1701" w:type="dxa"/>
            <w:gridSpan w:val="4"/>
            <w:tcBorders>
              <w:top w:val="single" w:sz="4" w:space="0" w:color="auto"/>
              <w:left w:val="single" w:sz="4" w:space="0" w:color="auto"/>
            </w:tcBorders>
            <w:shd w:val="clear" w:color="auto" w:fill="FFFFFF"/>
          </w:tcPr>
          <w:p w14:paraId="1F3E519F"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4CDFB22"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D280DEF"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A562E5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EB67B7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ոչ դեղագրքային օժանդակ նյութի կամ նոր օժանդակ նյութի սինթեզման կամ ստացման ոչ էական փոփոխություն</w:t>
            </w:r>
          </w:p>
        </w:tc>
        <w:tc>
          <w:tcPr>
            <w:tcW w:w="1701" w:type="dxa"/>
            <w:gridSpan w:val="4"/>
            <w:tcBorders>
              <w:top w:val="single" w:sz="4" w:space="0" w:color="auto"/>
              <w:left w:val="single" w:sz="4" w:space="0" w:color="auto"/>
            </w:tcBorders>
            <w:shd w:val="clear" w:color="auto" w:fill="FFFFFF"/>
          </w:tcPr>
          <w:p w14:paraId="59AAA572"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299E8E0"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719" w:type="dxa"/>
            <w:gridSpan w:val="3"/>
            <w:tcBorders>
              <w:top w:val="single" w:sz="4" w:space="0" w:color="auto"/>
              <w:left w:val="single" w:sz="4" w:space="0" w:color="auto"/>
              <w:right w:val="single" w:sz="4" w:space="0" w:color="auto"/>
            </w:tcBorders>
            <w:shd w:val="clear" w:color="auto" w:fill="FFFFFF"/>
          </w:tcPr>
          <w:p w14:paraId="65878069"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F77001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73C8330"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փոփոխվում են մասնագրերը, կամ առկա է օժանդակ նյութի ֆիզիկաքիմիական հատկությունների փոփոխություն, որը կարող է ազդել դեղապատրաստուկի որակի վրա</w:t>
            </w:r>
          </w:p>
        </w:tc>
        <w:tc>
          <w:tcPr>
            <w:tcW w:w="1701" w:type="dxa"/>
            <w:gridSpan w:val="4"/>
            <w:tcBorders>
              <w:top w:val="single" w:sz="4" w:space="0" w:color="auto"/>
              <w:left w:val="single" w:sz="4" w:space="0" w:color="auto"/>
            </w:tcBorders>
            <w:shd w:val="clear" w:color="auto" w:fill="FFFFFF"/>
          </w:tcPr>
          <w:p w14:paraId="6781C27E"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80F57ED"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7FAD1E79"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C59B4C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4A6C9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օժանդակ նյութ՝ կենսաբանական (իմունաբանական) նյութ</w:t>
            </w:r>
          </w:p>
        </w:tc>
        <w:tc>
          <w:tcPr>
            <w:tcW w:w="1701" w:type="dxa"/>
            <w:gridSpan w:val="4"/>
            <w:tcBorders>
              <w:top w:val="single" w:sz="4" w:space="0" w:color="auto"/>
              <w:left w:val="single" w:sz="4" w:space="0" w:color="auto"/>
            </w:tcBorders>
            <w:shd w:val="clear" w:color="auto" w:fill="FFFFFF"/>
          </w:tcPr>
          <w:p w14:paraId="59356DBE"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1C00064"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DDC0286"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C5E3957"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087A32D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2FDC43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Սինթեզման եղանակը </w:t>
            </w:r>
            <w:r w:rsidR="00C54D75">
              <w:rPr>
                <w:rStyle w:val="Bodytext1811pt"/>
                <w:rFonts w:ascii="Sylfaen" w:hAnsi="Sylfaen"/>
                <w:sz w:val="24"/>
                <w:szCs w:val="24"/>
              </w:rPr>
              <w:t>և</w:t>
            </w:r>
            <w:r w:rsidRPr="003B2786">
              <w:rPr>
                <w:rStyle w:val="Bodytext1811pt"/>
                <w:rFonts w:ascii="Sylfaen" w:hAnsi="Sylfaen"/>
                <w:sz w:val="24"/>
                <w:szCs w:val="24"/>
              </w:rPr>
              <w:t xml:space="preserve"> մասնագրերը նույնական են, </w:t>
            </w:r>
            <w:r w:rsidR="00C54D75">
              <w:rPr>
                <w:rStyle w:val="Bodytext1811pt"/>
                <w:rFonts w:ascii="Sylfaen" w:hAnsi="Sylfaen"/>
                <w:sz w:val="24"/>
                <w:szCs w:val="24"/>
              </w:rPr>
              <w:t>և</w:t>
            </w:r>
            <w:r w:rsidRPr="003B2786">
              <w:rPr>
                <w:rStyle w:val="Bodytext1811pt"/>
                <w:rFonts w:ascii="Sylfaen" w:hAnsi="Sylfaen"/>
                <w:sz w:val="24"/>
                <w:szCs w:val="24"/>
              </w:rPr>
              <w:t xml:space="preserve"> բացակայում են խառնուկների պրոֆիլի կամ ֆիզիկաքիմիական հատկությունների քանակական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փոփոխությունները (բացառելով մնացորդային լուծիչները՝ դրանց հսկողությունը Միության փաստաթղթերում նշված սահմանային պարունակությանը համապատասխան իրականացնելու պայմանով) </w:t>
            </w:r>
          </w:p>
        </w:tc>
      </w:tr>
      <w:tr w:rsidR="008C76E0" w:rsidRPr="003B2786" w14:paraId="7BA8582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5CAAEF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Ադյուվանտների բացառում։</w:t>
            </w:r>
          </w:p>
        </w:tc>
      </w:tr>
      <w:tr w:rsidR="008C76E0" w:rsidRPr="003B2786" w14:paraId="141228C3"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44AE98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8EE72C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7EB7259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Հին </w:t>
            </w:r>
            <w:r w:rsidR="00C54D75">
              <w:rPr>
                <w:rStyle w:val="Bodytext1811pt"/>
                <w:rFonts w:ascii="Sylfaen" w:hAnsi="Sylfaen"/>
                <w:sz w:val="24"/>
                <w:szCs w:val="24"/>
              </w:rPr>
              <w:t>և</w:t>
            </w:r>
            <w:r w:rsidRPr="003B2786">
              <w:rPr>
                <w:rStyle w:val="Bodytext1811pt"/>
                <w:rFonts w:ascii="Sylfaen" w:hAnsi="Sylfaen"/>
                <w:sz w:val="24"/>
                <w:szCs w:val="24"/>
              </w:rPr>
              <w:t xml:space="preserve"> նոր գործընթացների օգնությամբ արտադրված օժանդակ նյութի սերիաների՝ առնվազն 2 սերիայի (առնվազն՝ փորձարարաադյունաբերական)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532A337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առնվազն 2 սերիայի (առնվազն՝ փորձարարաադյունաբերական) դեղապատրաստուկի լուծելիության համեմատական կինետիկայի թեստի տվյալները։ Բուսական դեղապատրաստուկների առնչությամբ կարող են բավարար լինել համեմատական տրոհման տվյալները:</w:t>
            </w:r>
          </w:p>
          <w:p w14:paraId="1505A18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Օժանդակ նյութի մասնագրի 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նոր օրինակները (եթե կիրառելի է)։</w:t>
            </w:r>
          </w:p>
        </w:tc>
      </w:tr>
      <w:tr w:rsidR="008C76E0" w:rsidRPr="003B2786" w14:paraId="33D49CB8" w14:textId="77777777" w:rsidTr="008C76E0">
        <w:trPr>
          <w:jc w:val="center"/>
        </w:trPr>
        <w:tc>
          <w:tcPr>
            <w:tcW w:w="10401" w:type="dxa"/>
            <w:gridSpan w:val="15"/>
            <w:tcBorders>
              <w:top w:val="single" w:sz="4" w:space="0" w:color="auto"/>
            </w:tcBorders>
            <w:shd w:val="clear" w:color="auto" w:fill="FFFFFF"/>
            <w:vAlign w:val="bottom"/>
          </w:tcPr>
          <w:p w14:paraId="17B27238" w14:textId="77777777" w:rsidR="008C76E0" w:rsidRPr="008C76E0" w:rsidRDefault="008C76E0" w:rsidP="008C76E0">
            <w:pPr>
              <w:pStyle w:val="Bodytext180"/>
              <w:shd w:val="clear" w:color="auto" w:fill="auto"/>
              <w:tabs>
                <w:tab w:val="left" w:pos="1103"/>
              </w:tabs>
              <w:spacing w:before="0" w:after="120" w:line="240" w:lineRule="auto"/>
              <w:ind w:left="158" w:right="210" w:firstLine="0"/>
              <w:jc w:val="both"/>
              <w:rPr>
                <w:rFonts w:ascii="Sylfaen" w:hAnsi="Sylfaen"/>
                <w:b w:val="0"/>
                <w:sz w:val="24"/>
                <w:szCs w:val="24"/>
                <w:lang w:val="hy-AM"/>
              </w:rPr>
            </w:pPr>
            <w:r w:rsidRPr="003B2786">
              <w:rPr>
                <w:rStyle w:val="Bodytext295pt"/>
                <w:rFonts w:ascii="Sylfaen" w:hAnsi="Sylfaen"/>
                <w:sz w:val="24"/>
                <w:szCs w:val="24"/>
              </w:rPr>
              <w:lastRenderedPageBreak/>
              <w:t>Բ.II.դ)</w:t>
            </w:r>
            <w:r w:rsidRPr="003B2786">
              <w:rPr>
                <w:rStyle w:val="Bodytext295pt"/>
                <w:rFonts w:ascii="Sylfaen" w:hAnsi="Sylfaen"/>
                <w:sz w:val="24"/>
                <w:szCs w:val="24"/>
              </w:rPr>
              <w:tab/>
              <w:t>Դեղապատրաստուկի որակի հսկողությունը</w:t>
            </w:r>
          </w:p>
        </w:tc>
      </w:tr>
      <w:tr w:rsidR="008C76E0" w:rsidRPr="003B2786" w14:paraId="7E922FD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E8D1888" w14:textId="77777777" w:rsidR="008C76E0" w:rsidRPr="008C76E0" w:rsidRDefault="008C76E0" w:rsidP="008C76E0">
            <w:pPr>
              <w:pStyle w:val="Bodytext180"/>
              <w:shd w:val="clear" w:color="auto" w:fill="auto"/>
              <w:tabs>
                <w:tab w:val="left" w:pos="1163"/>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Բ.II.դ. 1.</w:t>
            </w:r>
            <w:r w:rsidRPr="003B2786">
              <w:rPr>
                <w:rStyle w:val="Bodytext1811pt"/>
                <w:rFonts w:ascii="Sylfaen" w:hAnsi="Sylfaen"/>
                <w:sz w:val="24"/>
                <w:szCs w:val="24"/>
              </w:rPr>
              <w:tab/>
              <w:t xml:space="preserve">Դեղապատրաստուկի մասնագրի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w:t>
            </w:r>
          </w:p>
        </w:tc>
        <w:tc>
          <w:tcPr>
            <w:tcW w:w="1701" w:type="dxa"/>
            <w:gridSpan w:val="4"/>
            <w:tcBorders>
              <w:top w:val="single" w:sz="4" w:space="0" w:color="auto"/>
              <w:left w:val="single" w:sz="4" w:space="0" w:color="auto"/>
            </w:tcBorders>
            <w:shd w:val="clear" w:color="auto" w:fill="FFFFFF"/>
          </w:tcPr>
          <w:p w14:paraId="05F30382" w14:textId="77777777" w:rsidR="008C76E0" w:rsidRPr="003B2786" w:rsidRDefault="008C76E0" w:rsidP="008C76E0">
            <w:pPr>
              <w:pStyle w:val="Bodytext180"/>
              <w:shd w:val="clear" w:color="auto" w:fill="auto"/>
              <w:spacing w:before="0" w:after="120" w:line="240" w:lineRule="auto"/>
              <w:ind w:left="-10"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6DA4D7E"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0FDBCE9E" w14:textId="77777777" w:rsidR="008C76E0" w:rsidRPr="003B2786" w:rsidRDefault="008C76E0" w:rsidP="008C76E0">
            <w:pPr>
              <w:pStyle w:val="Bodytext180"/>
              <w:shd w:val="clear" w:color="auto" w:fill="auto"/>
              <w:spacing w:before="0" w:after="120" w:line="240" w:lineRule="auto"/>
              <w:ind w:lef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1BE70E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941CD3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7C6A2106"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0E81DAE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26B8270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8D4A4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FEA96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այն դեղապատրաստուկների մասնագրի ընդունելիության չափանիշների խստացում, որոնց սերիաները պաշտոնական հսկիչ մարմնի կողմից ենթակա են թողարկման</w:t>
            </w:r>
          </w:p>
        </w:tc>
        <w:tc>
          <w:tcPr>
            <w:tcW w:w="1701" w:type="dxa"/>
            <w:gridSpan w:val="4"/>
            <w:tcBorders>
              <w:top w:val="single" w:sz="4" w:space="0" w:color="auto"/>
              <w:left w:val="single" w:sz="4" w:space="0" w:color="auto"/>
            </w:tcBorders>
            <w:shd w:val="clear" w:color="auto" w:fill="FFFFFF"/>
          </w:tcPr>
          <w:p w14:paraId="21B4EF6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551AC0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1941DB7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B0C3D6B" w14:textId="77777777" w:rsidTr="008C76E0">
        <w:trPr>
          <w:jc w:val="center"/>
        </w:trPr>
        <w:tc>
          <w:tcPr>
            <w:tcW w:w="4997" w:type="dxa"/>
            <w:gridSpan w:val="6"/>
            <w:tcBorders>
              <w:top w:val="single" w:sz="4" w:space="0" w:color="auto"/>
              <w:left w:val="single" w:sz="4" w:space="0" w:color="auto"/>
            </w:tcBorders>
            <w:shd w:val="clear" w:color="auto" w:fill="FFFFFF"/>
          </w:tcPr>
          <w:p w14:paraId="5D67952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w:t>
            </w:r>
          </w:p>
        </w:tc>
        <w:tc>
          <w:tcPr>
            <w:tcW w:w="1701" w:type="dxa"/>
            <w:gridSpan w:val="4"/>
            <w:tcBorders>
              <w:top w:val="single" w:sz="4" w:space="0" w:color="auto"/>
              <w:left w:val="single" w:sz="4" w:space="0" w:color="auto"/>
            </w:tcBorders>
            <w:shd w:val="clear" w:color="auto" w:fill="FFFFFF"/>
          </w:tcPr>
          <w:p w14:paraId="69D0FF2F"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1, 2, 5, 6, 7</w:t>
            </w:r>
          </w:p>
        </w:tc>
        <w:tc>
          <w:tcPr>
            <w:tcW w:w="1984" w:type="dxa"/>
            <w:gridSpan w:val="2"/>
            <w:tcBorders>
              <w:top w:val="single" w:sz="4" w:space="0" w:color="auto"/>
              <w:left w:val="single" w:sz="4" w:space="0" w:color="auto"/>
            </w:tcBorders>
            <w:shd w:val="clear" w:color="auto" w:fill="FFFFFF"/>
          </w:tcPr>
          <w:p w14:paraId="11DA9301"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1, 2, 3,4, 5,7</w:t>
            </w:r>
          </w:p>
        </w:tc>
        <w:tc>
          <w:tcPr>
            <w:tcW w:w="1719" w:type="dxa"/>
            <w:gridSpan w:val="3"/>
            <w:tcBorders>
              <w:top w:val="single" w:sz="4" w:space="0" w:color="auto"/>
              <w:left w:val="single" w:sz="4" w:space="0" w:color="auto"/>
              <w:right w:val="single" w:sz="4" w:space="0" w:color="auto"/>
            </w:tcBorders>
            <w:shd w:val="clear" w:color="auto" w:fill="FFFFFF"/>
          </w:tcPr>
          <w:p w14:paraId="09465A8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4DE823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F9D112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ոչ էական պարամետրի բացառում (օրինակ՝ հնացած պարամետրի բացառում)</w:t>
            </w:r>
          </w:p>
        </w:tc>
        <w:tc>
          <w:tcPr>
            <w:tcW w:w="1701" w:type="dxa"/>
            <w:gridSpan w:val="4"/>
            <w:tcBorders>
              <w:top w:val="single" w:sz="4" w:space="0" w:color="auto"/>
              <w:left w:val="single" w:sz="4" w:space="0" w:color="auto"/>
            </w:tcBorders>
            <w:shd w:val="clear" w:color="auto" w:fill="FFFFFF"/>
          </w:tcPr>
          <w:p w14:paraId="57A8ED5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6A64EC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1, 2, 6</w:t>
            </w:r>
          </w:p>
        </w:tc>
        <w:tc>
          <w:tcPr>
            <w:tcW w:w="1719" w:type="dxa"/>
            <w:gridSpan w:val="3"/>
            <w:tcBorders>
              <w:top w:val="single" w:sz="4" w:space="0" w:color="auto"/>
              <w:left w:val="single" w:sz="4" w:space="0" w:color="auto"/>
              <w:right w:val="single" w:sz="4" w:space="0" w:color="auto"/>
            </w:tcBorders>
            <w:shd w:val="clear" w:color="auto" w:fill="FFFFFF"/>
          </w:tcPr>
          <w:p w14:paraId="352984F5"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5C06B3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73688A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մասնագրերի ընդունելիության հաստատված չափանիշների շրջանակից դուրս փոփոխություն</w:t>
            </w:r>
          </w:p>
        </w:tc>
        <w:tc>
          <w:tcPr>
            <w:tcW w:w="1701" w:type="dxa"/>
            <w:gridSpan w:val="4"/>
            <w:tcBorders>
              <w:top w:val="single" w:sz="4" w:space="0" w:color="auto"/>
              <w:left w:val="single" w:sz="4" w:space="0" w:color="auto"/>
            </w:tcBorders>
            <w:shd w:val="clear" w:color="auto" w:fill="FFFFFF"/>
          </w:tcPr>
          <w:p w14:paraId="4225D84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0E79CB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0743921"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03BA43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1DF3BE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մասնագրի այնպիսի պարամետրի բացառում, որը կարող է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7C0B16D0"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077255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5E07D82"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2FD3C0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17B07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է)</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կամ փոխարինում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պատրաստուկը)՝ </w:t>
            </w:r>
            <w:r w:rsidRPr="003B2786">
              <w:rPr>
                <w:rStyle w:val="Bodytext1811pt"/>
                <w:rFonts w:ascii="Sylfaen" w:hAnsi="Sylfaen"/>
                <w:sz w:val="24"/>
                <w:szCs w:val="24"/>
              </w:rPr>
              <w:lastRenderedPageBreak/>
              <w:t>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36D9A0F2"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560023FA"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5E711346"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7736FB0" w14:textId="77777777" w:rsidTr="008C76E0">
        <w:trPr>
          <w:jc w:val="center"/>
        </w:trPr>
        <w:tc>
          <w:tcPr>
            <w:tcW w:w="4997" w:type="dxa"/>
            <w:gridSpan w:val="6"/>
            <w:tcBorders>
              <w:top w:val="single" w:sz="4" w:space="0" w:color="auto"/>
              <w:left w:val="single" w:sz="4" w:space="0" w:color="auto"/>
            </w:tcBorders>
            <w:shd w:val="clear" w:color="auto" w:fill="FFFFFF"/>
          </w:tcPr>
          <w:p w14:paraId="37F4729E"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դոսյեի թարմացում՝ Միության դեղագրքի՝ դեղապատրաստուկի վերաբերյալ թարմացված ընդհանուր հոդվածի դրույթներին համապատասխանեցնելու նպատակով (*)</w:t>
            </w:r>
          </w:p>
        </w:tc>
        <w:tc>
          <w:tcPr>
            <w:tcW w:w="1701" w:type="dxa"/>
            <w:gridSpan w:val="4"/>
            <w:tcBorders>
              <w:top w:val="single" w:sz="4" w:space="0" w:color="auto"/>
              <w:left w:val="single" w:sz="4" w:space="0" w:color="auto"/>
            </w:tcBorders>
            <w:shd w:val="clear" w:color="auto" w:fill="FFFFFF"/>
          </w:tcPr>
          <w:p w14:paraId="37DDF955"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1, 2, 3, 4, 7, 8</w:t>
            </w:r>
          </w:p>
        </w:tc>
        <w:tc>
          <w:tcPr>
            <w:tcW w:w="1984" w:type="dxa"/>
            <w:gridSpan w:val="2"/>
            <w:tcBorders>
              <w:top w:val="single" w:sz="4" w:space="0" w:color="auto"/>
              <w:left w:val="single" w:sz="4" w:space="0" w:color="auto"/>
            </w:tcBorders>
            <w:shd w:val="clear" w:color="auto" w:fill="FFFFFF"/>
          </w:tcPr>
          <w:p w14:paraId="59B2F4DD"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4168AAF6"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C90E5F4"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5290A859"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 xml:space="preserve">գրանցված ընթացիկ մեթոդը փոխարինելու նպատակով ավելացվում է Միության դեղագրքի «Դոզավորման միատարրությունը» 2.9.40 հոդվածը կամ Միության դեղագրքի «Զանգվածի միատարրությունը» 2.9.5. հոդվածը կամ Միության դեղագրքի «Պարունակության միատարրությունը» 2.9.6 հոդվածը </w:t>
            </w:r>
          </w:p>
        </w:tc>
        <w:tc>
          <w:tcPr>
            <w:tcW w:w="1701" w:type="dxa"/>
            <w:gridSpan w:val="4"/>
            <w:tcBorders>
              <w:top w:val="single" w:sz="4" w:space="0" w:color="auto"/>
              <w:left w:val="single" w:sz="4" w:space="0" w:color="auto"/>
              <w:bottom w:val="single" w:sz="4" w:space="0" w:color="auto"/>
            </w:tcBorders>
            <w:shd w:val="clear" w:color="auto" w:fill="FFFFFF"/>
          </w:tcPr>
          <w:p w14:paraId="12975060"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1, 2, 10</w:t>
            </w:r>
          </w:p>
        </w:tc>
        <w:tc>
          <w:tcPr>
            <w:tcW w:w="1984" w:type="dxa"/>
            <w:gridSpan w:val="2"/>
            <w:tcBorders>
              <w:top w:val="single" w:sz="4" w:space="0" w:color="auto"/>
              <w:left w:val="single" w:sz="4" w:space="0" w:color="auto"/>
              <w:bottom w:val="single" w:sz="4" w:space="0" w:color="auto"/>
            </w:tcBorders>
            <w:shd w:val="clear" w:color="auto" w:fill="FFFFFF"/>
          </w:tcPr>
          <w:p w14:paraId="51F337E2"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1, 2, 4</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7AB3BE1A"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716C01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3DD29AE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38C906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վերանայման նպատակով նախկինում անցկացված փորձաքննությունների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(օրինակ՝ դեղապատրաստուկը գրանցելիս կամ II տիպի փոփոխություն կատարելիս), եթե միայն հիմնավորող փաստաթղթերը նախկինում չեն ստուգվել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այլ ընթացակարգի շրջանակներում։</w:t>
            </w:r>
          </w:p>
          <w:p w14:paraId="528C2052" w14:textId="77777777" w:rsidR="008C76E0" w:rsidRPr="008C76E0" w:rsidRDefault="008C76E0" w:rsidP="008B6709">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խառնուկի արտադրության ընթացքում առաջ եկած անկանխատեսելի իրավիճակների, խառնուկի միագումարի պարունակության սահմանների փոփոխության։</w:t>
            </w:r>
          </w:p>
          <w:p w14:paraId="64C0DB61" w14:textId="77777777" w:rsidR="008C76E0" w:rsidRPr="008C76E0" w:rsidRDefault="008C76E0" w:rsidP="008B6709">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55AD002A"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68EC229F"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45F92606"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02347C1D" w14:textId="77777777" w:rsidR="008C76E0" w:rsidRPr="008C76E0" w:rsidRDefault="008C76E0" w:rsidP="002F06F8">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որ</w:t>
            </w:r>
            <w:r w:rsidR="00C54D75">
              <w:rPr>
                <w:rStyle w:val="Bodytext1811pt"/>
                <w:rFonts w:ascii="Sylfaen" w:hAnsi="Sylfaen"/>
                <w:sz w:val="24"/>
                <w:szCs w:val="24"/>
              </w:rPr>
              <w:t>և</w:t>
            </w:r>
            <w:r w:rsidRPr="003B2786">
              <w:rPr>
                <w:rStyle w:val="Bodytext1811pt"/>
                <w:rFonts w:ascii="Sylfaen" w:hAnsi="Sylfaen"/>
                <w:sz w:val="24"/>
                <w:szCs w:val="24"/>
              </w:rPr>
              <w:t>է խառնուկի (այդ թվում՝ գենոտոքսիկ) կամ լուծելիությանը։</w:t>
            </w:r>
          </w:p>
          <w:p w14:paraId="328A2666" w14:textId="77777777" w:rsidR="008C76E0" w:rsidRPr="008C76E0" w:rsidRDefault="008C76E0" w:rsidP="002F06F8">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վերաբերում է գործող դեղագրքին համապատասխանեցնելու նպատակով միկրոկենսաբանական հսկողության միջոցառումների ընդունելիության չափանիշների թարմացմանը, իսկ ներկայումս գրանցված միկրոկենսաբանական հսկման </w:t>
            </w:r>
            <w:r w:rsidRPr="003B2786">
              <w:rPr>
                <w:rStyle w:val="Bodytext1811pt"/>
                <w:rFonts w:ascii="Sylfaen" w:hAnsi="Sylfaen"/>
                <w:sz w:val="24"/>
                <w:szCs w:val="24"/>
              </w:rPr>
              <w:lastRenderedPageBreak/>
              <w:t>միջոցառումների ընդունելիության չափանիշները չեն ներառում մասնագրում ընդգրկված հսկողության որ</w:t>
            </w:r>
            <w:r w:rsidR="00C54D75">
              <w:rPr>
                <w:rStyle w:val="Bodytext1811pt"/>
                <w:rFonts w:ascii="Sylfaen" w:hAnsi="Sylfaen"/>
                <w:sz w:val="24"/>
                <w:szCs w:val="24"/>
              </w:rPr>
              <w:t>և</w:t>
            </w:r>
            <w:r w:rsidRPr="003B2786">
              <w:rPr>
                <w:rStyle w:val="Bodytext1811pt"/>
                <w:rFonts w:ascii="Sylfaen" w:hAnsi="Sylfaen"/>
                <w:sz w:val="24"/>
                <w:szCs w:val="24"/>
              </w:rPr>
              <w:t>է լրացուցիչ միջոցառում՝ բացի որոշակի դեղաձ</w:t>
            </w:r>
            <w:r w:rsidR="00C54D75">
              <w:rPr>
                <w:rStyle w:val="Bodytext1811pt"/>
                <w:rFonts w:ascii="Sylfaen" w:hAnsi="Sylfaen"/>
                <w:sz w:val="24"/>
                <w:szCs w:val="24"/>
              </w:rPr>
              <w:t>և</w:t>
            </w:r>
            <w:r w:rsidRPr="003B2786">
              <w:rPr>
                <w:rStyle w:val="Bodytext1811pt"/>
                <w:rFonts w:ascii="Sylfaen" w:hAnsi="Sylfaen"/>
                <w:sz w:val="24"/>
                <w:szCs w:val="24"/>
              </w:rPr>
              <w:t>ին ներկայացված դեղագրքային պահանջներից:</w:t>
            </w:r>
          </w:p>
          <w:p w14:paraId="78EFE3E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պարամետրին, օրինակ՝ քանակական որոշմանը,</w:t>
            </w:r>
          </w:p>
          <w:p w14:paraId="2608203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խառնուկներին (միայն այն դեպքում, երբ դեղապատրաստուկի արտադրության մեջ որոշակի լուծիչ միանշանակ չի օգտագործվում)</w:t>
            </w:r>
          </w:p>
          <w:p w14:paraId="20C9AAE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 xml:space="preserve">ցանկացած կրիտիկական ֆիզիկական բնութագրի (թաղանթով չպատված հաբերի ամրությանը կամ փխրունությանը, չափերին </w:t>
            </w:r>
            <w:r w:rsidR="00C54D75">
              <w:rPr>
                <w:rStyle w:val="Bodytext1811pt"/>
                <w:rFonts w:ascii="Sylfaen" w:hAnsi="Sylfaen"/>
                <w:sz w:val="24"/>
                <w:szCs w:val="24"/>
              </w:rPr>
              <w:t>և</w:t>
            </w:r>
            <w:r w:rsidRPr="003B2786">
              <w:rPr>
                <w:rStyle w:val="Bodytext1811pt"/>
                <w:rFonts w:ascii="Sylfaen" w:hAnsi="Sylfaen"/>
                <w:sz w:val="24"/>
                <w:szCs w:val="24"/>
              </w:rPr>
              <w:t xml:space="preserve"> այլն), փորձարկում իրականացնելու թույլտվության վերաբերյալ ցանկացած հարցման:</w:t>
            </w:r>
          </w:p>
          <w:p w14:paraId="73ADA16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10.</w:t>
            </w:r>
            <w:r w:rsidRPr="008C76E0">
              <w:rPr>
                <w:rFonts w:ascii="Sylfaen" w:hAnsi="Sylfaen"/>
                <w:b w:val="0"/>
                <w:sz w:val="24"/>
                <w:szCs w:val="24"/>
                <w:lang w:val="hy-AM"/>
              </w:rPr>
              <w:tab/>
            </w:r>
            <w:r w:rsidRPr="003B2786">
              <w:rPr>
                <w:rStyle w:val="Bodytext1811pt"/>
                <w:rFonts w:ascii="Sylfaen" w:hAnsi="Sylfaen"/>
                <w:sz w:val="24"/>
                <w:szCs w:val="24"/>
              </w:rPr>
              <w:t xml:space="preserve">Առաջարկվող հսկողությունը լիովին համապատասխանում է Միության դեղագրքի 2.9.40 հոդվածի 2.9.40-1 աղյուսակին </w:t>
            </w:r>
            <w:r w:rsidR="00C54D75">
              <w:rPr>
                <w:rStyle w:val="Bodytext1811pt"/>
                <w:rFonts w:ascii="Sylfaen" w:hAnsi="Sylfaen"/>
                <w:sz w:val="24"/>
                <w:szCs w:val="24"/>
              </w:rPr>
              <w:t>և</w:t>
            </w:r>
            <w:r w:rsidRPr="003B2786">
              <w:rPr>
                <w:rStyle w:val="Bodytext1811pt"/>
                <w:rFonts w:ascii="Sylfaen" w:hAnsi="Sylfaen"/>
                <w:sz w:val="24"/>
                <w:szCs w:val="24"/>
              </w:rPr>
              <w:t xml:space="preserve"> չի ներառում զանգվածի փոփոխման կամ պարունակության միատարրության միջոցով դոզավորման միատարրությունը փորձարկելու այլընտրանքային առաջարկներ, եթե դրանք նշված են 2.9.40-1 աղյուսակում։</w:t>
            </w:r>
          </w:p>
        </w:tc>
      </w:tr>
      <w:tr w:rsidR="008C76E0" w:rsidRPr="003B2786" w14:paraId="1024FCB6"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6ED3348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793E00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3F0698C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7B20E10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3765298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դեղապատրաստուկի արդյունաբերական երկու սերիաների վերլուծության տվյալները (կենսաբանական ակտիվ դեղագործական բաղադրամասերի համար պատշաճ հիմնավորման բացակայության դեպքում՝ 3 սերիա):</w:t>
            </w:r>
          </w:p>
          <w:p w14:paraId="3EF7CAA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t>Համապատասխան</w:t>
            </w:r>
            <w:r w:rsidRPr="008C76E0">
              <w:rPr>
                <w:rFonts w:ascii="Sylfaen" w:hAnsi="Sylfaen"/>
                <w:sz w:val="24"/>
                <w:szCs w:val="24"/>
                <w:lang w:val="hy-AM"/>
              </w:rPr>
              <w:t xml:space="preserve"> </w:t>
            </w:r>
            <w:r w:rsidRPr="003B2786">
              <w:rPr>
                <w:rStyle w:val="Bodytext1811pt"/>
                <w:rFonts w:ascii="Sylfaen" w:hAnsi="Sylfaen"/>
                <w:sz w:val="24"/>
                <w:szCs w:val="24"/>
              </w:rPr>
              <w:t xml:space="preserve">դեպքերում՝ առնվազն մեկ փորձարարաարդյունաբերական սերիայի դեղապատրաստուկի լուծելիության համեմատական կինետիկայի թեստի տվյալները, որոնք համապատասխանում են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w:t>
            </w:r>
            <w:r w:rsidRPr="008C76E0">
              <w:rPr>
                <w:rFonts w:ascii="Sylfaen" w:hAnsi="Sylfaen"/>
                <w:sz w:val="24"/>
                <w:szCs w:val="24"/>
                <w:lang w:val="hy-AM"/>
              </w:rPr>
              <w:t xml:space="preserve"> </w:t>
            </w:r>
            <w:r w:rsidRPr="008C76E0">
              <w:rPr>
                <w:rFonts w:ascii="Sylfaen" w:hAnsi="Sylfaen"/>
                <w:b w:val="0"/>
                <w:sz w:val="24"/>
                <w:szCs w:val="24"/>
                <w:lang w:val="hy-AM"/>
              </w:rPr>
              <w:t>Բուսական</w:t>
            </w:r>
            <w:r w:rsidRPr="008C76E0">
              <w:rPr>
                <w:rFonts w:ascii="Sylfaen" w:hAnsi="Sylfaen"/>
                <w:sz w:val="24"/>
                <w:szCs w:val="24"/>
                <w:lang w:val="hy-AM"/>
              </w:rPr>
              <w:t xml:space="preserve"> </w:t>
            </w:r>
            <w:r w:rsidRPr="003B2786">
              <w:rPr>
                <w:rStyle w:val="Bodytext1811pt"/>
                <w:rFonts w:ascii="Sylfaen" w:hAnsi="Sylfaen"/>
                <w:sz w:val="24"/>
                <w:szCs w:val="24"/>
              </w:rPr>
              <w:t>դեղապատրաստուկների առնչությամբ կարող են բավարար լինել համեմատական տրոհման տվյալները:</w:t>
            </w:r>
          </w:p>
          <w:p w14:paraId="43257C7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լինելու հանգամանքը հաստատող հիմնավորումը (ռիսկերի գնահատումը)։</w:t>
            </w:r>
          </w:p>
        </w:tc>
      </w:tr>
      <w:tr w:rsidR="008C76E0" w:rsidRPr="003B2786" w14:paraId="6628103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5FF81E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7.</w:t>
            </w:r>
            <w:r w:rsidRPr="003B2786">
              <w:rPr>
                <w:rStyle w:val="Bodytext1811pt"/>
                <w:rFonts w:ascii="Sylfaen" w:hAnsi="Sylfaen"/>
                <w:sz w:val="24"/>
                <w:szCs w:val="24"/>
              </w:rPr>
              <w:tab/>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2D2DB89A" w14:textId="77777777" w:rsidTr="008C76E0">
        <w:trPr>
          <w:jc w:val="center"/>
        </w:trPr>
        <w:tc>
          <w:tcPr>
            <w:tcW w:w="2334" w:type="dxa"/>
            <w:gridSpan w:val="2"/>
            <w:tcBorders>
              <w:top w:val="single" w:sz="4" w:space="0" w:color="auto"/>
              <w:left w:val="single" w:sz="4" w:space="0" w:color="auto"/>
            </w:tcBorders>
            <w:shd w:val="clear" w:color="auto" w:fill="FFFFFF"/>
          </w:tcPr>
          <w:p w14:paraId="2A0364A7" w14:textId="77777777" w:rsidR="008C76E0" w:rsidRPr="003B2786" w:rsidRDefault="008C76E0" w:rsidP="008C76E0">
            <w:pPr>
              <w:pStyle w:val="Bodytext180"/>
              <w:shd w:val="clear" w:color="auto" w:fill="auto"/>
              <w:tabs>
                <w:tab w:val="left" w:pos="567"/>
              </w:tabs>
              <w:spacing w:before="0" w:after="120" w:line="240" w:lineRule="auto"/>
              <w:ind w:left="157" w:firstLine="0"/>
              <w:jc w:val="both"/>
              <w:rPr>
                <w:rFonts w:ascii="Sylfaen" w:hAnsi="Sylfaen"/>
                <w:b w:val="0"/>
                <w:sz w:val="24"/>
                <w:szCs w:val="24"/>
              </w:rPr>
            </w:pPr>
            <w:r w:rsidRPr="003B2786">
              <w:rPr>
                <w:rStyle w:val="Bodytext1811pt"/>
                <w:rFonts w:ascii="Sylfaen" w:hAnsi="Sylfaen"/>
                <w:sz w:val="24"/>
                <w:szCs w:val="24"/>
              </w:rPr>
              <w:t>(*) 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5F391D81"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Եթե գրանցված դեղապատրաստուկի դոսյեում նշվում է «ընթացիկ հրատարակությունը», ապա անհրաժեշտ է լիազորված մարմիններին ծանուցել Միության դեղագրքի կամ անդամ պետության դեղագրքի թարմացված հոդվածի մասին։ Այս առումով այդպիսի փոփոխությունը կիրառվում է այն դեպքում, երբ բացակայում է տեխնիկական դոսյեում դեղագրքի թարմացված հոդվածի հիշատակումը, իսկ փոփոխությունն իրականացվում է թարմացված տարբերակում հիշատակում կատարելու նպատակով։</w:t>
            </w:r>
          </w:p>
        </w:tc>
      </w:tr>
      <w:tr w:rsidR="008C76E0" w:rsidRPr="003B2786" w14:paraId="38BA599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E0FC483" w14:textId="77777777" w:rsidR="008C76E0" w:rsidRPr="008C76E0" w:rsidRDefault="008C76E0" w:rsidP="008C76E0">
            <w:pPr>
              <w:pStyle w:val="Bodytext180"/>
              <w:shd w:val="clear" w:color="auto" w:fill="auto"/>
              <w:tabs>
                <w:tab w:val="left" w:pos="1150"/>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Բ.II.դ.2.</w:t>
            </w:r>
            <w:r w:rsidRPr="003B2786">
              <w:rPr>
                <w:rStyle w:val="Bodytext1811pt"/>
                <w:rFonts w:ascii="Sylfaen" w:hAnsi="Sylfaen"/>
                <w:sz w:val="24"/>
                <w:szCs w:val="24"/>
              </w:rPr>
              <w:tab/>
              <w:t>Դեղապատրաստուկի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4DF2A3E4"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086348C"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679ACD14" w14:textId="77777777" w:rsidR="008C76E0" w:rsidRPr="003B2786" w:rsidRDefault="008C76E0" w:rsidP="008C76E0">
            <w:pPr>
              <w:pStyle w:val="Bodytext180"/>
              <w:shd w:val="clear" w:color="auto" w:fill="auto"/>
              <w:tabs>
                <w:tab w:val="left" w:pos="567"/>
              </w:tabs>
              <w:spacing w:before="0" w:after="120" w:line="240" w:lineRule="auto"/>
              <w:ind w:right="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771EEA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00C1A8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փոփոխություններ</w:t>
            </w:r>
          </w:p>
        </w:tc>
        <w:tc>
          <w:tcPr>
            <w:tcW w:w="1701" w:type="dxa"/>
            <w:gridSpan w:val="4"/>
            <w:tcBorders>
              <w:top w:val="single" w:sz="4" w:space="0" w:color="auto"/>
              <w:left w:val="single" w:sz="4" w:space="0" w:color="auto"/>
            </w:tcBorders>
            <w:shd w:val="clear" w:color="auto" w:fill="FFFFFF"/>
          </w:tcPr>
          <w:p w14:paraId="4B63502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C06426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72E54A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A155D8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8DD0C5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բացառում այն դեպքում, երբ դրա այլընտրանքային մեթոդիկան արդեն հաստատված է</w:t>
            </w:r>
          </w:p>
        </w:tc>
        <w:tc>
          <w:tcPr>
            <w:tcW w:w="1701" w:type="dxa"/>
            <w:gridSpan w:val="4"/>
            <w:tcBorders>
              <w:top w:val="single" w:sz="4" w:space="0" w:color="auto"/>
              <w:left w:val="single" w:sz="4" w:space="0" w:color="auto"/>
            </w:tcBorders>
            <w:shd w:val="clear" w:color="auto" w:fill="FFFFFF"/>
          </w:tcPr>
          <w:p w14:paraId="332ECAE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252BF33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221D536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E5BCFB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0B1C5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իմունաքիմիական) փորձարկման կամ այնպիսի մեթոդի փոփոխություն (փոխարինում), որի դեպքում օգտագործվում է կենսաբանական ռեակտիվ, կամ համեմատության կենսաբանական պատրաստուկի փոխարինում, որը ներառված չէ հաստատված արձանագրության մեջ</w:t>
            </w:r>
          </w:p>
        </w:tc>
        <w:tc>
          <w:tcPr>
            <w:tcW w:w="1701" w:type="dxa"/>
            <w:gridSpan w:val="4"/>
            <w:tcBorders>
              <w:top w:val="single" w:sz="4" w:space="0" w:color="auto"/>
              <w:left w:val="single" w:sz="4" w:space="0" w:color="auto"/>
            </w:tcBorders>
            <w:shd w:val="clear" w:color="auto" w:fill="FFFFFF"/>
          </w:tcPr>
          <w:p w14:paraId="3F05020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E2BAA33"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C2D3BC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8E1604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3C415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վերլուծական մեթոդիկայի այլ փոփոխություններ (ներառյալ՝ լրացումը կամ փոխարինումը)</w:t>
            </w:r>
          </w:p>
        </w:tc>
        <w:tc>
          <w:tcPr>
            <w:tcW w:w="1701" w:type="dxa"/>
            <w:gridSpan w:val="4"/>
            <w:tcBorders>
              <w:top w:val="single" w:sz="4" w:space="0" w:color="auto"/>
              <w:left w:val="single" w:sz="4" w:space="0" w:color="auto"/>
            </w:tcBorders>
            <w:shd w:val="clear" w:color="auto" w:fill="FFFFFF"/>
          </w:tcPr>
          <w:p w14:paraId="39A3D11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985BE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C0BB9B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8390A1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9383F3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վերլուծական մեթոդիկայի թարմացում՝ Միության դեղագրքի թարմացված ընդհանուր հոդվածին համապատասխանեցնելու նպատակով</w:t>
            </w:r>
          </w:p>
        </w:tc>
        <w:tc>
          <w:tcPr>
            <w:tcW w:w="1701" w:type="dxa"/>
            <w:gridSpan w:val="4"/>
            <w:tcBorders>
              <w:top w:val="single" w:sz="4" w:space="0" w:color="auto"/>
              <w:left w:val="single" w:sz="4" w:space="0" w:color="auto"/>
            </w:tcBorders>
            <w:shd w:val="clear" w:color="auto" w:fill="FFFFFF"/>
          </w:tcPr>
          <w:p w14:paraId="4DDEFC1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2, 3, 4, 5</w:t>
            </w:r>
          </w:p>
        </w:tc>
        <w:tc>
          <w:tcPr>
            <w:tcW w:w="1984" w:type="dxa"/>
            <w:gridSpan w:val="2"/>
            <w:tcBorders>
              <w:top w:val="single" w:sz="4" w:space="0" w:color="auto"/>
              <w:left w:val="single" w:sz="4" w:space="0" w:color="auto"/>
            </w:tcBorders>
            <w:shd w:val="clear" w:color="auto" w:fill="FFFFFF"/>
          </w:tcPr>
          <w:p w14:paraId="7E7B1FD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5481F24B"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9D17B2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F446B2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Միության դեղագրքին համապատասխանությունն արտացոլելու </w:t>
            </w:r>
            <w:r w:rsidR="00C54D75">
              <w:rPr>
                <w:rStyle w:val="Bodytext1811pt"/>
                <w:rFonts w:ascii="Sylfaen" w:hAnsi="Sylfaen"/>
                <w:sz w:val="24"/>
                <w:szCs w:val="24"/>
              </w:rPr>
              <w:t>և</w:t>
            </w:r>
            <w:r w:rsidRPr="003B2786">
              <w:rPr>
                <w:rStyle w:val="Bodytext1811pt"/>
                <w:rFonts w:ascii="Sylfaen" w:hAnsi="Sylfaen"/>
                <w:sz w:val="24"/>
                <w:szCs w:val="24"/>
              </w:rPr>
              <w:t xml:space="preserve"> սեփական հնացած վերլուծական մեթոդիկայի ու դրա համարի հիշատակումը բացառելու նպատակով (*)</w:t>
            </w:r>
          </w:p>
        </w:tc>
        <w:tc>
          <w:tcPr>
            <w:tcW w:w="1701" w:type="dxa"/>
            <w:gridSpan w:val="4"/>
            <w:tcBorders>
              <w:top w:val="single" w:sz="4" w:space="0" w:color="auto"/>
              <w:left w:val="single" w:sz="4" w:space="0" w:color="auto"/>
            </w:tcBorders>
            <w:shd w:val="clear" w:color="auto" w:fill="FFFFFF"/>
          </w:tcPr>
          <w:p w14:paraId="5ECF4806"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2, 3, 4, 5</w:t>
            </w:r>
          </w:p>
        </w:tc>
        <w:tc>
          <w:tcPr>
            <w:tcW w:w="1984" w:type="dxa"/>
            <w:gridSpan w:val="2"/>
            <w:tcBorders>
              <w:top w:val="single" w:sz="4" w:space="0" w:color="auto"/>
              <w:left w:val="single" w:sz="4" w:space="0" w:color="auto"/>
            </w:tcBorders>
            <w:shd w:val="clear" w:color="auto" w:fill="FFFFFF"/>
          </w:tcPr>
          <w:p w14:paraId="510B095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2F72FFF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840E68C"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46E15E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E4C1C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անցկացվել են անհրաժեշտ վալիդացման հետազոտություններ, որոնցով հաստատվում է թարմացված վերլուծական մեթոդիկայի՝ նախորդին առնվազն համարժեք լինելու հանգամանքը:</w:t>
            </w:r>
          </w:p>
          <w:p w14:paraId="3900BB00" w14:textId="7875BC7F"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Խառնուկների միագումարի պարունակության սահմանները չեն փոփոխվել, նոր չորակված խառնուկներ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6C12C57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սյունակի մեկ այլ տեսակ կամ մեթոդ):</w:t>
            </w:r>
          </w:p>
          <w:p w14:paraId="272E579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Փորձարկման նոր մեթոդը կենսաբանական (իմունաբանական, իմունաքիմիական) կամ այնպիսի մեթոդ չէ, որի դեպքում օգտագործվում է կենսաբանական ռեակտիվ </w:t>
            </w:r>
            <w:r w:rsidRPr="003B2786">
              <w:rPr>
                <w:rStyle w:val="Bodytext1811pt"/>
                <w:rFonts w:ascii="Sylfaen" w:hAnsi="Sylfaen"/>
                <w:sz w:val="24"/>
                <w:szCs w:val="24"/>
              </w:rPr>
              <w:lastRenderedPageBreak/>
              <w:t>(բացառությամբ ստանդարտ դեղագրքային միկրոկենսաբանական մեթոդների):</w:t>
            </w:r>
          </w:p>
          <w:p w14:paraId="37E35BA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Գրանցված վերլուծական մեթոդիկայով արդեն հղում է կատարվում Միության դեղագրքի ընդհանուր հոդվածին, իսկ ցանկացած փոփոխություն համարվում է ոչ էական, </w:t>
            </w:r>
            <w:r w:rsidR="00C54D75">
              <w:rPr>
                <w:rStyle w:val="Bodytext1811pt"/>
                <w:rFonts w:ascii="Sylfaen" w:hAnsi="Sylfaen"/>
                <w:sz w:val="24"/>
                <w:szCs w:val="24"/>
              </w:rPr>
              <w:t>և</w:t>
            </w:r>
            <w:r w:rsidRPr="003B2786">
              <w:rPr>
                <w:rStyle w:val="Bodytext1811pt"/>
                <w:rFonts w:ascii="Sylfaen" w:hAnsi="Sylfaen"/>
                <w:sz w:val="24"/>
                <w:szCs w:val="24"/>
              </w:rPr>
              <w:t xml:space="preserve"> պահանջվում է տեխնիկական դոսյեի թարմացում։</w:t>
            </w:r>
          </w:p>
        </w:tc>
      </w:tr>
      <w:tr w:rsidR="008C76E0" w:rsidRPr="003B2786" w14:paraId="7499DD68"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5CD9558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18B2557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վերլուծական մեթոդաբանության նկարագրությունը, վալիդացման տվյալների ռեզյումեն, խառնուկի վերանայված մասնագրերը (եթե կիրառելի է):</w:t>
            </w:r>
          </w:p>
          <w:p w14:paraId="0C8565A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փորձարկման համարժեք լինելու հանգամանքը: Սույն պահանջը չի կիրառվում, եթե ավելացվում է նոր վերլուծական մեթոդիկա:</w:t>
            </w:r>
          </w:p>
        </w:tc>
      </w:tr>
      <w:tr w:rsidR="008C76E0" w:rsidRPr="003B2786" w14:paraId="29FCE06A" w14:textId="77777777" w:rsidTr="008C76E0">
        <w:trPr>
          <w:jc w:val="center"/>
        </w:trPr>
        <w:tc>
          <w:tcPr>
            <w:tcW w:w="2334" w:type="dxa"/>
            <w:gridSpan w:val="2"/>
            <w:tcBorders>
              <w:top w:val="single" w:sz="4" w:space="0" w:color="auto"/>
              <w:left w:val="single" w:sz="4" w:space="0" w:color="auto"/>
            </w:tcBorders>
            <w:shd w:val="clear" w:color="auto" w:fill="FFFFFF"/>
          </w:tcPr>
          <w:p w14:paraId="4DCFD6E4" w14:textId="77777777" w:rsidR="008C76E0" w:rsidRPr="003B2786" w:rsidRDefault="008C76E0" w:rsidP="008C76E0">
            <w:pPr>
              <w:pStyle w:val="Bodytext180"/>
              <w:shd w:val="clear" w:color="auto" w:fill="auto"/>
              <w:tabs>
                <w:tab w:val="left" w:pos="567"/>
              </w:tabs>
              <w:spacing w:before="0" w:after="120" w:line="240" w:lineRule="auto"/>
              <w:ind w:right="48" w:firstLine="0"/>
              <w:jc w:val="both"/>
              <w:rPr>
                <w:rFonts w:ascii="Sylfaen" w:hAnsi="Sylfaen"/>
                <w:b w:val="0"/>
                <w:sz w:val="24"/>
                <w:szCs w:val="24"/>
              </w:rPr>
            </w:pPr>
            <w:r w:rsidRPr="003B2786">
              <w:rPr>
                <w:rStyle w:val="Bodytext1811pt"/>
                <w:rFonts w:ascii="Sylfaen" w:hAnsi="Sylfaen"/>
                <w:sz w:val="24"/>
                <w:szCs w:val="24"/>
              </w:rPr>
              <w:t>(*) 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3973C943"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Եթե գրանցված դեղապատրաստուկի դոսյեում հիշատակվում է «ընթացիկ հրատարակությունը», ապա Միության դեղագրքի թարմացված հոդվածի մասին լիազորված մարմիններին ծանուցելու անհրաժեշտություն չկա։</w:t>
            </w:r>
          </w:p>
        </w:tc>
      </w:tr>
      <w:tr w:rsidR="008C76E0" w:rsidRPr="003B2786" w14:paraId="0C47E86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3A0A8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Բ.II.դ.3.</w:t>
            </w:r>
            <w:r w:rsidRPr="003B2786">
              <w:rPr>
                <w:rStyle w:val="Bodytext1811pt"/>
                <w:rFonts w:ascii="Sylfaen" w:hAnsi="Sylfaen"/>
                <w:sz w:val="24"/>
                <w:szCs w:val="24"/>
              </w:rPr>
              <w:tab/>
              <w:t>Իրական ժամանակում թողարկում կամ դեղապատրաստուկի արտադրության ընթացքում պարամետրերի համաձայն թողարկում իրականացնելու հետ կապված փոփոխությունը</w:t>
            </w:r>
          </w:p>
        </w:tc>
        <w:tc>
          <w:tcPr>
            <w:tcW w:w="1701" w:type="dxa"/>
            <w:gridSpan w:val="4"/>
            <w:tcBorders>
              <w:top w:val="single" w:sz="4" w:space="0" w:color="auto"/>
              <w:left w:val="single" w:sz="4" w:space="0" w:color="auto"/>
            </w:tcBorders>
            <w:shd w:val="clear" w:color="auto" w:fill="FFFFFF"/>
          </w:tcPr>
          <w:p w14:paraId="7EB232C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55311C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EDDC12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A2C225" w14:textId="77777777" w:rsidTr="008C76E0">
        <w:trPr>
          <w:jc w:val="center"/>
        </w:trPr>
        <w:tc>
          <w:tcPr>
            <w:tcW w:w="4997" w:type="dxa"/>
            <w:gridSpan w:val="6"/>
            <w:tcBorders>
              <w:top w:val="single" w:sz="4" w:space="0" w:color="auto"/>
              <w:left w:val="single" w:sz="4" w:space="0" w:color="auto"/>
            </w:tcBorders>
            <w:shd w:val="clear" w:color="auto" w:fill="FFFFFF"/>
          </w:tcPr>
          <w:p w14:paraId="3DABC58F"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701" w:type="dxa"/>
            <w:gridSpan w:val="4"/>
            <w:tcBorders>
              <w:top w:val="single" w:sz="4" w:space="0" w:color="auto"/>
              <w:left w:val="single" w:sz="4" w:space="0" w:color="auto"/>
            </w:tcBorders>
            <w:shd w:val="clear" w:color="auto" w:fill="FFFFFF"/>
          </w:tcPr>
          <w:p w14:paraId="01C6C862"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42020B61"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37B4F6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II</w:t>
            </w:r>
          </w:p>
        </w:tc>
      </w:tr>
      <w:tr w:rsidR="008C76E0" w:rsidRPr="003B2786" w14:paraId="7BE8BFEF" w14:textId="77777777" w:rsidTr="008C76E0">
        <w:trPr>
          <w:jc w:val="center"/>
        </w:trPr>
        <w:tc>
          <w:tcPr>
            <w:tcW w:w="10401" w:type="dxa"/>
            <w:gridSpan w:val="15"/>
            <w:tcBorders>
              <w:top w:val="single" w:sz="4" w:space="0" w:color="auto"/>
            </w:tcBorders>
            <w:shd w:val="clear" w:color="auto" w:fill="FFFFFF"/>
            <w:vAlign w:val="bottom"/>
          </w:tcPr>
          <w:p w14:paraId="5AFECC1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295pt"/>
                <w:rFonts w:ascii="Sylfaen" w:hAnsi="Sylfaen"/>
                <w:sz w:val="24"/>
                <w:szCs w:val="24"/>
              </w:rPr>
              <w:t>Բ.I.ե)</w:t>
            </w:r>
            <w:r w:rsidRPr="003B2786">
              <w:rPr>
                <w:rStyle w:val="Bodytext295pt"/>
                <w:rFonts w:ascii="Sylfaen" w:hAnsi="Sylfaen"/>
                <w:sz w:val="24"/>
                <w:szCs w:val="24"/>
              </w:rPr>
              <w:tab/>
              <w:t>Փաթեթավորման-խցանափակման համակարգը</w:t>
            </w:r>
          </w:p>
        </w:tc>
      </w:tr>
      <w:tr w:rsidR="008C76E0" w:rsidRPr="003B2786" w14:paraId="73157EF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B18206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Բ.I.ե. 1.</w:t>
            </w:r>
            <w:r w:rsidRPr="003B2786">
              <w:rPr>
                <w:rStyle w:val="Bodytext1811pt"/>
                <w:rFonts w:ascii="Sylfaen" w:hAnsi="Sylfaen"/>
                <w:sz w:val="24"/>
                <w:szCs w:val="24"/>
              </w:rPr>
              <w:tab/>
              <w:t>Դեղապատրաստուկի առաջնային փաթեթվածքի փոփոխությունը</w:t>
            </w:r>
          </w:p>
        </w:tc>
        <w:tc>
          <w:tcPr>
            <w:tcW w:w="1701" w:type="dxa"/>
            <w:gridSpan w:val="4"/>
            <w:tcBorders>
              <w:top w:val="single" w:sz="4" w:space="0" w:color="auto"/>
              <w:left w:val="single" w:sz="4" w:space="0" w:color="auto"/>
            </w:tcBorders>
            <w:shd w:val="clear" w:color="auto" w:fill="FFFFFF"/>
          </w:tcPr>
          <w:p w14:paraId="579FA42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26A11E4"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A3D0C80"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116D58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AB3A15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բաղադրություն</w:t>
            </w:r>
          </w:p>
        </w:tc>
        <w:tc>
          <w:tcPr>
            <w:tcW w:w="1701" w:type="dxa"/>
            <w:gridSpan w:val="4"/>
            <w:tcBorders>
              <w:top w:val="single" w:sz="4" w:space="0" w:color="auto"/>
              <w:left w:val="single" w:sz="4" w:space="0" w:color="auto"/>
            </w:tcBorders>
            <w:shd w:val="clear" w:color="auto" w:fill="FFFFFF"/>
          </w:tcPr>
          <w:p w14:paraId="78426771"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6874127"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2DDB4C9C"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r>
      <w:tr w:rsidR="008C76E0" w:rsidRPr="003B2786" w14:paraId="17E15A8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40AD2F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lang w:val="en-US"/>
              </w:rPr>
              <w:tab/>
            </w:r>
            <w:r w:rsidRPr="003B2786">
              <w:rPr>
                <w:rStyle w:val="Bodytext1811pt"/>
                <w:rFonts w:ascii="Sylfaen" w:hAnsi="Sylfaen"/>
                <w:sz w:val="24"/>
                <w:szCs w:val="24"/>
              </w:rPr>
              <w:t>Պինդ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5E4B5026"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0A4EB18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07FD34D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1D1DA3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B59A90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ոչ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79B66B26"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398970"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1, 2, 3, 5, 6</w:t>
            </w:r>
          </w:p>
        </w:tc>
        <w:tc>
          <w:tcPr>
            <w:tcW w:w="1719" w:type="dxa"/>
            <w:gridSpan w:val="3"/>
            <w:tcBorders>
              <w:top w:val="single" w:sz="4" w:space="0" w:color="auto"/>
              <w:left w:val="single" w:sz="4" w:space="0" w:color="auto"/>
              <w:right w:val="single" w:sz="4" w:space="0" w:color="auto"/>
            </w:tcBorders>
            <w:shd w:val="clear" w:color="auto" w:fill="FFFFFF"/>
          </w:tcPr>
          <w:p w14:paraId="485A789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C65D78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AADCFF0"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Մանրէազերծ դեղապատրաստուկներ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դեղապատրաստուկներ</w:t>
            </w:r>
          </w:p>
        </w:tc>
        <w:tc>
          <w:tcPr>
            <w:tcW w:w="1701" w:type="dxa"/>
            <w:gridSpan w:val="4"/>
            <w:tcBorders>
              <w:top w:val="single" w:sz="4" w:space="0" w:color="auto"/>
              <w:left w:val="single" w:sz="4" w:space="0" w:color="auto"/>
            </w:tcBorders>
            <w:shd w:val="clear" w:color="auto" w:fill="FFFFFF"/>
          </w:tcPr>
          <w:p w14:paraId="790F277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569F50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5CEA87BA"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A0A8B5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A09C0D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 xml:space="preserve">Փոփոխությունը վերաբերում է այն փաթեթվածքին, որը պահպանման պայմանների միաժամանակյա </w:t>
            </w:r>
            <w:r w:rsidRPr="003B2786">
              <w:rPr>
                <w:rStyle w:val="Bodytext1811pt"/>
                <w:rFonts w:ascii="Sylfaen" w:hAnsi="Sylfaen"/>
                <w:sz w:val="24"/>
                <w:szCs w:val="24"/>
              </w:rPr>
              <w:lastRenderedPageBreak/>
              <w:t xml:space="preserve">փոփոխության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պիտանիության ժամկետի կրճատման դեպքում ունի նվազագույն պաշտպանիչ հատկություններ</w:t>
            </w:r>
          </w:p>
        </w:tc>
        <w:tc>
          <w:tcPr>
            <w:tcW w:w="1701" w:type="dxa"/>
            <w:gridSpan w:val="4"/>
            <w:tcBorders>
              <w:top w:val="single" w:sz="4" w:space="0" w:color="auto"/>
              <w:left w:val="single" w:sz="4" w:space="0" w:color="auto"/>
            </w:tcBorders>
            <w:shd w:val="clear" w:color="auto" w:fill="FFFFFF"/>
          </w:tcPr>
          <w:p w14:paraId="4337C26F"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4D2AFD5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5466E85"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70769B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90EDE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բեռնարկղի (կոնտեյների) տեսակի փոփոխություն կամ նոր բեռնարկղի ավելացում</w:t>
            </w:r>
          </w:p>
        </w:tc>
        <w:tc>
          <w:tcPr>
            <w:tcW w:w="1701" w:type="dxa"/>
            <w:gridSpan w:val="4"/>
            <w:tcBorders>
              <w:top w:val="single" w:sz="4" w:space="0" w:color="auto"/>
              <w:left w:val="single" w:sz="4" w:space="0" w:color="auto"/>
            </w:tcBorders>
            <w:shd w:val="clear" w:color="auto" w:fill="FFFFFF"/>
          </w:tcPr>
          <w:p w14:paraId="3002F069"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BCDC8E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0A14CAE"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r>
      <w:tr w:rsidR="008C76E0" w:rsidRPr="003B2786" w14:paraId="04D8233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26FFF74" w14:textId="77777777" w:rsidR="008C76E0" w:rsidRPr="008C76E0" w:rsidRDefault="008C76E0" w:rsidP="008C76E0">
            <w:pPr>
              <w:pStyle w:val="Bodytext180"/>
              <w:numPr>
                <w:ilvl w:val="0"/>
                <w:numId w:val="23"/>
              </w:numPr>
              <w:shd w:val="clear" w:color="auto" w:fill="auto"/>
              <w:tabs>
                <w:tab w:val="left" w:pos="567"/>
              </w:tabs>
              <w:spacing w:before="0" w:after="120" w:line="240" w:lineRule="auto"/>
              <w:ind w:right="210"/>
              <w:jc w:val="both"/>
              <w:rPr>
                <w:rFonts w:ascii="Sylfaen" w:hAnsi="Sylfaen"/>
                <w:b w:val="0"/>
                <w:sz w:val="24"/>
                <w:szCs w:val="24"/>
                <w:lang w:val="hy-AM"/>
              </w:rPr>
            </w:pPr>
            <w:r w:rsidRPr="003B2786">
              <w:rPr>
                <w:rStyle w:val="Bodytext1811pt"/>
                <w:rFonts w:ascii="Sylfaen" w:hAnsi="Sylfaen"/>
                <w:sz w:val="24"/>
                <w:szCs w:val="24"/>
              </w:rPr>
              <w:t xml:space="preserve">Պինդ, 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3DA7DAC9"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B811C18"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1, 2, 3, 5, 6, 7</w:t>
            </w:r>
          </w:p>
        </w:tc>
        <w:tc>
          <w:tcPr>
            <w:tcW w:w="1719" w:type="dxa"/>
            <w:gridSpan w:val="3"/>
            <w:tcBorders>
              <w:top w:val="single" w:sz="4" w:space="0" w:color="auto"/>
              <w:left w:val="single" w:sz="4" w:space="0" w:color="auto"/>
              <w:right w:val="single" w:sz="4" w:space="0" w:color="auto"/>
            </w:tcBorders>
            <w:shd w:val="clear" w:color="auto" w:fill="FFFFFF"/>
          </w:tcPr>
          <w:p w14:paraId="531FC512"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55F306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2CC19D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Մանրէազերծ դեղապատրաստուկներ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դեղապատրաստուկներ</w:t>
            </w:r>
          </w:p>
        </w:tc>
        <w:tc>
          <w:tcPr>
            <w:tcW w:w="1701" w:type="dxa"/>
            <w:gridSpan w:val="4"/>
            <w:tcBorders>
              <w:top w:val="single" w:sz="4" w:space="0" w:color="auto"/>
              <w:left w:val="single" w:sz="4" w:space="0" w:color="auto"/>
            </w:tcBorders>
            <w:shd w:val="clear" w:color="auto" w:fill="FFFFFF"/>
          </w:tcPr>
          <w:p w14:paraId="1B077E82"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98D0664"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23AD08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6FB6445" w14:textId="77777777" w:rsidTr="008C76E0">
        <w:trPr>
          <w:jc w:val="center"/>
        </w:trPr>
        <w:tc>
          <w:tcPr>
            <w:tcW w:w="4997" w:type="dxa"/>
            <w:gridSpan w:val="6"/>
            <w:tcBorders>
              <w:top w:val="single" w:sz="4" w:space="0" w:color="auto"/>
              <w:left w:val="single" w:sz="4" w:space="0" w:color="auto"/>
            </w:tcBorders>
            <w:shd w:val="clear" w:color="auto" w:fill="FFFFFF"/>
          </w:tcPr>
          <w:p w14:paraId="4FD092F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Առաջնային փաթեթվածքի բեռնարկղի բացառում, որը չի հանգեցնում դոզայի կամ դեղաձ</w:t>
            </w:r>
            <w:r w:rsidR="00C54D75">
              <w:rPr>
                <w:rStyle w:val="Bodytext1811pt"/>
                <w:rFonts w:ascii="Sylfaen" w:hAnsi="Sylfaen"/>
                <w:sz w:val="24"/>
                <w:szCs w:val="24"/>
              </w:rPr>
              <w:t>և</w:t>
            </w:r>
            <w:r w:rsidRPr="003B2786">
              <w:rPr>
                <w:rStyle w:val="Bodytext1811pt"/>
                <w:rFonts w:ascii="Sylfaen" w:hAnsi="Sylfaen"/>
                <w:sz w:val="24"/>
                <w:szCs w:val="24"/>
              </w:rPr>
              <w:t>ի բացարձակ բացառման</w:t>
            </w:r>
          </w:p>
        </w:tc>
        <w:tc>
          <w:tcPr>
            <w:tcW w:w="1701" w:type="dxa"/>
            <w:gridSpan w:val="4"/>
            <w:tcBorders>
              <w:top w:val="single" w:sz="4" w:space="0" w:color="auto"/>
              <w:left w:val="single" w:sz="4" w:space="0" w:color="auto"/>
            </w:tcBorders>
            <w:shd w:val="clear" w:color="auto" w:fill="FFFFFF"/>
          </w:tcPr>
          <w:p w14:paraId="0FA323BD"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009ED5DE"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1, 8</w:t>
            </w:r>
          </w:p>
        </w:tc>
        <w:tc>
          <w:tcPr>
            <w:tcW w:w="1719" w:type="dxa"/>
            <w:gridSpan w:val="3"/>
            <w:tcBorders>
              <w:top w:val="single" w:sz="4" w:space="0" w:color="auto"/>
              <w:left w:val="single" w:sz="4" w:space="0" w:color="auto"/>
              <w:right w:val="single" w:sz="4" w:space="0" w:color="auto"/>
            </w:tcBorders>
            <w:shd w:val="clear" w:color="auto" w:fill="FFFFFF"/>
          </w:tcPr>
          <w:p w14:paraId="687F4EB5"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B756E8F"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2542B3A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AF3395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փաթեթվածքի (բեռնարկղի) միայն մի</w:t>
            </w:r>
            <w:r w:rsidR="00C54D75">
              <w:rPr>
                <w:rStyle w:val="Bodytext1811pt"/>
                <w:rFonts w:ascii="Sylfaen" w:hAnsi="Sylfaen"/>
                <w:sz w:val="24"/>
                <w:szCs w:val="24"/>
              </w:rPr>
              <w:t>և</w:t>
            </w:r>
            <w:r w:rsidRPr="003B2786">
              <w:rPr>
                <w:rStyle w:val="Bodytext1811pt"/>
                <w:rFonts w:ascii="Sylfaen" w:hAnsi="Sylfaen"/>
                <w:sz w:val="24"/>
                <w:szCs w:val="24"/>
              </w:rPr>
              <w:t>նույն տեսակին (օրինակ՝ բլիստերը բլիստերով)։</w:t>
            </w:r>
          </w:p>
          <w:p w14:paraId="2FEB2AA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Նշանակալի հատկություններով առաջարկվող փաթեթավորման նյութը պետք է առնվազն համարժեք լինի հաստատվածին:</w:t>
            </w:r>
          </w:p>
          <w:p w14:paraId="6BD0FC8C" w14:textId="41CB73A3"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փաստաթղթերին համապատասխան՝ սկսվել են կայունության համապատասխան փորձարկումները,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ն փոփոխությունների ներմուծման պահին վերլուծել է ոչ պակաս, քան 2 փորձարարաարդյունաբերական կամ արդյունաբերական սերիայի կայունության համապատասխան պարամետրերը, նրա տրամադրության տակ են գտնվում կայունության առնվազն 3-ամսյա ուսումնասիրության բավարար արդյունքները: Սակայն եթե առաջարկվող փաթեթվածքը հաստատվածի համեմատությամբ ավելի կայուն է, ապա չեն պահանջվում կայունության 3-ամսյա տվյալները։ Հետազոտությունները պետք է ավարտվեն, եթե արդյունքները չեն համապատասխանում մասնագրերին կամ հնարավոր է, որ չհամապատասխանեն մասնագրերին՝ պիտանիության ժամկետի ավարտին, ապա դրանք գործողությունների առաջարկվող պլանի հետ անհրաժեշտ է անհապաղ ներկայացնել լիազորված մարմին:</w:t>
            </w:r>
          </w:p>
        </w:tc>
      </w:tr>
      <w:tr w:rsidR="008C76E0" w:rsidRPr="003B2786" w14:paraId="12D1263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center"/>
          </w:tcPr>
          <w:p w14:paraId="731F4CC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Դեղապատրաստուկի թողարկման մնացած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պետք է բավարար լինի (լինեն) դեղապատրաստուկի ընդհանուր բնութագրում նշված դոզայի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առաջարկությունների կատարման համար։</w:t>
            </w:r>
          </w:p>
        </w:tc>
      </w:tr>
      <w:tr w:rsidR="008C76E0" w:rsidRPr="003B2786" w14:paraId="5C7DAA2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CB2ECC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31A8D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7271C5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Նոր փաթեթվածքի վերաբերյալ անհրաժեշտ տվյալները (օրինակ՝ թափանցելիության վերաբերյալ համեմատական տվյալները, օրինակ՝ О</w:t>
            </w:r>
            <w:r w:rsidRPr="003B2786">
              <w:rPr>
                <w:rStyle w:val="Bodytext295pt"/>
                <w:rFonts w:ascii="Sylfaen" w:hAnsi="Sylfaen"/>
                <w:sz w:val="24"/>
                <w:szCs w:val="24"/>
                <w:vertAlign w:val="subscript"/>
              </w:rPr>
              <w:t>2</w:t>
            </w:r>
            <w:r w:rsidRPr="008C76E0">
              <w:rPr>
                <w:rFonts w:ascii="Sylfaen" w:hAnsi="Sylfaen"/>
                <w:sz w:val="24"/>
                <w:szCs w:val="24"/>
                <w:lang w:val="hy-AM"/>
              </w:rPr>
              <w:t>-</w:t>
            </w:r>
            <w:r w:rsidRPr="008C76E0">
              <w:rPr>
                <w:rFonts w:ascii="Sylfaen" w:hAnsi="Sylfaen"/>
                <w:b w:val="0"/>
                <w:sz w:val="24"/>
                <w:szCs w:val="24"/>
                <w:lang w:val="hy-AM"/>
              </w:rPr>
              <w:t>ի</w:t>
            </w:r>
            <w:r w:rsidRPr="003B2786">
              <w:rPr>
                <w:rStyle w:val="Bodytext1811pt"/>
                <w:rFonts w:ascii="Sylfaen" w:hAnsi="Sylfaen"/>
                <w:sz w:val="24"/>
                <w:szCs w:val="24"/>
              </w:rPr>
              <w:t>, СО</w:t>
            </w:r>
            <w:r w:rsidRPr="003B2786">
              <w:rPr>
                <w:rStyle w:val="Bodytext295pt"/>
                <w:rFonts w:ascii="Sylfaen" w:hAnsi="Sylfaen"/>
                <w:sz w:val="24"/>
                <w:szCs w:val="24"/>
                <w:vertAlign w:val="subscript"/>
              </w:rPr>
              <w:t>2</w:t>
            </w:r>
            <w:r w:rsidRPr="008C76E0">
              <w:rPr>
                <w:rFonts w:ascii="Sylfaen" w:hAnsi="Sylfaen"/>
                <w:sz w:val="24"/>
                <w:szCs w:val="24"/>
                <w:lang w:val="hy-AM"/>
              </w:rPr>
              <w:t>-</w:t>
            </w:r>
            <w:r w:rsidRPr="008C76E0">
              <w:rPr>
                <w:rFonts w:ascii="Sylfaen" w:hAnsi="Sylfaen"/>
                <w:b w:val="0"/>
                <w:sz w:val="24"/>
                <w:szCs w:val="24"/>
                <w:lang w:val="hy-AM"/>
              </w:rPr>
              <w:t>ի</w:t>
            </w:r>
            <w:r w:rsidRPr="003B2786">
              <w:rPr>
                <w:rStyle w:val="Bodytext1811pt"/>
                <w:rFonts w:ascii="Sylfaen" w:hAnsi="Sylfaen"/>
                <w:sz w:val="24"/>
                <w:szCs w:val="24"/>
              </w:rPr>
              <w:t xml:space="preserve">, խոնավության համար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p w14:paraId="4277268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տրամադրել հաստատումն այն բանի, որ </w:t>
            </w:r>
            <w:r w:rsidRPr="003B2786">
              <w:rPr>
                <w:rStyle w:val="Bodytext1811pt"/>
                <w:rFonts w:ascii="Sylfaen" w:hAnsi="Sylfaen"/>
                <w:sz w:val="24"/>
                <w:szCs w:val="24"/>
              </w:rPr>
              <w:lastRenderedPageBreak/>
              <w:t xml:space="preserve">պարունակության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փաթեթավորման նյութի միջ</w:t>
            </w:r>
            <w:r w:rsidR="00C54D75">
              <w:rPr>
                <w:rStyle w:val="Bodytext1811pt"/>
                <w:rFonts w:ascii="Sylfaen" w:hAnsi="Sylfaen"/>
                <w:sz w:val="24"/>
                <w:szCs w:val="24"/>
              </w:rPr>
              <w:t>և</w:t>
            </w:r>
            <w:r w:rsidRPr="003B2786">
              <w:rPr>
                <w:rStyle w:val="Bodytext1811pt"/>
                <w:rFonts w:ascii="Sylfaen" w:hAnsi="Sylfaen"/>
                <w:sz w:val="24"/>
                <w:szCs w:val="24"/>
              </w:rPr>
              <w:t xml:space="preserve"> փոխազդեցություն տեղի չի ունենում (օրինակ՝ բացակայում է առաջարկվող նյութի բաղադրիչների տեղափոխումը դրա պարունակության մեջ, դեղապատրաստուկի բաղադրիչները չեն փոխանցվում փաթեթվածք), այդ թվում՝ հաստատումն այն բանի,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w:t>
            </w:r>
          </w:p>
          <w:p w14:paraId="700DB240" w14:textId="5827F856"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Միության փաստաթղթերին համապատասխան՝ սկսվել են կայունության պահանջվող ուսումնասիրությունները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 կատարելու պահին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եղել են կայունության վերաբերյալ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համապատասխանի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p w14:paraId="587C3DB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Կայունության էական պարամետրերով, 2-ից ոչ պակաս փորձարարաարդյունաբերական կամ արդյունաբերական սերիայի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փաստաթղթերին համապատասխան անցկացված կայունության ուսումնասիրությունների արդյունքներն ու հաստատումն այն բանի, որ նշված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p w14:paraId="3158175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ընթացիկ կամ առաջարկվող մասնագրերի համեմատություն (եթե կիրառելի է):</w:t>
            </w:r>
          </w:p>
          <w:p w14:paraId="1B84C64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բեռնարկղի (խցանափակման) նմուշները։</w:t>
            </w:r>
          </w:p>
          <w:p w14:paraId="4FB7E29E" w14:textId="0855C845"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0056496B">
              <w:rPr>
                <w:rStyle w:val="Bodytext1811pt"/>
                <w:rFonts w:ascii="Sylfaen" w:hAnsi="Sylfaen"/>
                <w:spacing w:val="4"/>
                <w:sz w:val="24"/>
                <w:szCs w:val="24"/>
              </w:rPr>
              <w:t>Դիմում</w:t>
            </w:r>
            <w:r w:rsidRPr="003B2786">
              <w:rPr>
                <w:rStyle w:val="Bodytext1811pt"/>
                <w:rFonts w:ascii="Sylfaen" w:hAnsi="Sylfaen"/>
                <w:spacing w:val="4"/>
                <w:sz w:val="24"/>
                <w:szCs w:val="24"/>
              </w:rPr>
              <w:t xml:space="preserve">արարագիր այն մասին, որ փաթեթվածքի մնացած չափը (չափերը) համապատասխանում է (են) դոզավորման ռեժիմին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բուժման տ</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ողությանը ու բավարար է (են) դեղապատրաստուկի ընդհանուր բնութագրում ներկայացված դոզավորման վերաբերյալ առաջարկությունների կատարման համար։</w:t>
            </w:r>
          </w:p>
        </w:tc>
      </w:tr>
      <w:tr w:rsidR="008C76E0" w:rsidRPr="003B2786" w14:paraId="145951EC" w14:textId="77777777" w:rsidTr="008C76E0">
        <w:trPr>
          <w:jc w:val="center"/>
        </w:trPr>
        <w:tc>
          <w:tcPr>
            <w:tcW w:w="2334" w:type="dxa"/>
            <w:gridSpan w:val="2"/>
            <w:tcBorders>
              <w:top w:val="single" w:sz="4" w:space="0" w:color="auto"/>
              <w:left w:val="single" w:sz="4" w:space="0" w:color="auto"/>
            </w:tcBorders>
            <w:shd w:val="clear" w:color="auto" w:fill="FFFFFF"/>
            <w:vAlign w:val="center"/>
          </w:tcPr>
          <w:p w14:paraId="5BF58371" w14:textId="77777777" w:rsidR="008C76E0" w:rsidRPr="003B2786" w:rsidRDefault="008C76E0" w:rsidP="008C76E0">
            <w:pPr>
              <w:pStyle w:val="Bodytext180"/>
              <w:shd w:val="clear" w:color="auto" w:fill="auto"/>
              <w:tabs>
                <w:tab w:val="left" w:pos="567"/>
              </w:tabs>
              <w:spacing w:before="0" w:after="120" w:line="240" w:lineRule="auto"/>
              <w:ind w:left="157"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74C067C1" w14:textId="7415A62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Բ.II.Ե.1.բ-ի համար՝ եթե փոփոխությունը հանգեցնում է «նոր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 առաջացմանը», ապա այդպիսի փոփոխությամբ պահանջվում է ներկայացնել գրանցման ընդլայնման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64202CF8"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41A8997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Բ.II.ե.2.</w:t>
            </w:r>
            <w:r w:rsidRPr="003B2786">
              <w:rPr>
                <w:rStyle w:val="Bodytext1811pt"/>
                <w:rFonts w:ascii="Sylfaen" w:hAnsi="Sylfaen"/>
                <w:sz w:val="24"/>
                <w:szCs w:val="24"/>
              </w:rPr>
              <w:tab/>
              <w:t xml:space="preserve">Դեղապատրաստուկի առաջնային փաթեթվածքի մասնագրի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w:t>
            </w:r>
          </w:p>
        </w:tc>
        <w:tc>
          <w:tcPr>
            <w:tcW w:w="1701" w:type="dxa"/>
            <w:gridSpan w:val="4"/>
            <w:tcBorders>
              <w:top w:val="single" w:sz="4" w:space="0" w:color="auto"/>
              <w:left w:val="single" w:sz="4" w:space="0" w:color="auto"/>
              <w:bottom w:val="single" w:sz="4" w:space="0" w:color="auto"/>
            </w:tcBorders>
            <w:shd w:val="clear" w:color="auto" w:fill="FFFFFF"/>
          </w:tcPr>
          <w:p w14:paraId="7C150036"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4CB61379"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0015EC8A"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302872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16A00D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1AAED195"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FAB11AD"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20D1FDCE"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C26A19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07A94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բ)</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վերլուծական մեթոդիկայի ավելացում</w:t>
            </w:r>
          </w:p>
        </w:tc>
        <w:tc>
          <w:tcPr>
            <w:tcW w:w="1701" w:type="dxa"/>
            <w:gridSpan w:val="4"/>
            <w:tcBorders>
              <w:top w:val="single" w:sz="4" w:space="0" w:color="auto"/>
              <w:left w:val="single" w:sz="4" w:space="0" w:color="auto"/>
            </w:tcBorders>
            <w:shd w:val="clear" w:color="auto" w:fill="FFFFFF"/>
          </w:tcPr>
          <w:p w14:paraId="57F6C969"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1, 2, 5</w:t>
            </w:r>
          </w:p>
        </w:tc>
        <w:tc>
          <w:tcPr>
            <w:tcW w:w="1984" w:type="dxa"/>
            <w:gridSpan w:val="2"/>
            <w:tcBorders>
              <w:top w:val="single" w:sz="4" w:space="0" w:color="auto"/>
              <w:left w:val="single" w:sz="4" w:space="0" w:color="auto"/>
            </w:tcBorders>
            <w:shd w:val="clear" w:color="auto" w:fill="FFFFFF"/>
          </w:tcPr>
          <w:p w14:paraId="3199A434"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6E3D2E50"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0DAE8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111A7F9"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 (օրինակ՝ հնացած պարամետրի բացառում)</w:t>
            </w:r>
          </w:p>
          <w:p w14:paraId="0D65C2F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13F455F8"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1F92CA56"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1, 2, 5</w:t>
            </w:r>
          </w:p>
        </w:tc>
        <w:tc>
          <w:tcPr>
            <w:tcW w:w="1719" w:type="dxa"/>
            <w:gridSpan w:val="3"/>
            <w:tcBorders>
              <w:top w:val="single" w:sz="4" w:space="0" w:color="auto"/>
              <w:left w:val="single" w:sz="4" w:space="0" w:color="auto"/>
              <w:right w:val="single" w:sz="4" w:space="0" w:color="auto"/>
            </w:tcBorders>
            <w:shd w:val="clear" w:color="auto" w:fill="FFFFFF"/>
          </w:tcPr>
          <w:p w14:paraId="5D690468"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D65EA4F" w14:textId="77777777" w:rsidTr="008C76E0">
        <w:trPr>
          <w:jc w:val="center"/>
        </w:trPr>
        <w:tc>
          <w:tcPr>
            <w:tcW w:w="4997" w:type="dxa"/>
            <w:gridSpan w:val="6"/>
            <w:tcBorders>
              <w:top w:val="single" w:sz="4" w:space="0" w:color="auto"/>
              <w:left w:val="single" w:sz="4" w:space="0" w:color="auto"/>
            </w:tcBorders>
            <w:shd w:val="clear" w:color="auto" w:fill="FFFFFF"/>
          </w:tcPr>
          <w:p w14:paraId="0910344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պարամետրի ավելացում կամ փոխարինում՝ անվտանգության կամ որակի նկատառումներից ելնելով</w:t>
            </w:r>
          </w:p>
        </w:tc>
        <w:tc>
          <w:tcPr>
            <w:tcW w:w="1701" w:type="dxa"/>
            <w:gridSpan w:val="4"/>
            <w:tcBorders>
              <w:top w:val="single" w:sz="4" w:space="0" w:color="auto"/>
              <w:left w:val="single" w:sz="4" w:space="0" w:color="auto"/>
            </w:tcBorders>
            <w:shd w:val="clear" w:color="auto" w:fill="FFFFFF"/>
          </w:tcPr>
          <w:p w14:paraId="4DB2B6D3"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1CA27A"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51921CC1"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55943A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9DABC80"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77E789A"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մասնագրի ընդունելիության չափանիշների վերլուծության նպատակով նախկինում կատարված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(օրինակ՝ դեղապատրաստուկի գրանցման կամ II տիպի փոփոխության կատարման ընթացքում):</w:t>
            </w:r>
          </w:p>
          <w:p w14:paraId="29E5A0C3"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արտադրության ընթացքում առաջ եկած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w:t>
            </w:r>
          </w:p>
          <w:p w14:paraId="69551322"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7FCBE553"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4C29A985"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tc>
      </w:tr>
      <w:tr w:rsidR="008C76E0" w:rsidRPr="003B2786" w14:paraId="4413276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C84826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28BA0A2"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19E1A0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69595AB4"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23F9AC45"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Մասնագրերի բոլոր պարամետրերով (ցուցանիշներով) փաթեթավորման նյութի երկու սերիայի վերլուծության տվյալները։</w:t>
            </w:r>
          </w:p>
          <w:p w14:paraId="3C5296BA"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լինելու հանգամանքը հաստատող հիմնավորումը (ռիսկերի գնահատումը)։</w:t>
            </w:r>
          </w:p>
          <w:p w14:paraId="476D383C"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21F4033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DDB201D"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Բ.II.ե.3.</w:t>
            </w:r>
            <w:r w:rsidRPr="003B2786">
              <w:rPr>
                <w:rStyle w:val="Bodytext1811pt"/>
                <w:rFonts w:ascii="Sylfaen" w:hAnsi="Sylfaen"/>
                <w:sz w:val="24"/>
                <w:szCs w:val="24"/>
              </w:rPr>
              <w:tab/>
              <w:t>Դեղապատրաստուկի առաջնային փաթեթվածքի համար նախատեսված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4A6BCAE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530B7B"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0EC3D2F"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4714F0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92B8E2D"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bCs w:val="0"/>
                <w:color w:val="000000"/>
                <w:sz w:val="24"/>
                <w:szCs w:val="24"/>
                <w:shd w:val="clear" w:color="auto" w:fill="FFFFFF"/>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w:t>
            </w:r>
          </w:p>
        </w:tc>
        <w:tc>
          <w:tcPr>
            <w:tcW w:w="1701" w:type="dxa"/>
            <w:gridSpan w:val="4"/>
            <w:tcBorders>
              <w:top w:val="single" w:sz="4" w:space="0" w:color="auto"/>
              <w:left w:val="single" w:sz="4" w:space="0" w:color="auto"/>
            </w:tcBorders>
            <w:shd w:val="clear" w:color="auto" w:fill="FFFFFF"/>
          </w:tcPr>
          <w:p w14:paraId="06FA153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430D842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789482F8"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0264D4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9F12E16"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այլ փոփոխություններ (ներառյալ՝ փոխարինումը կամ ավելացումը)</w:t>
            </w:r>
          </w:p>
        </w:tc>
        <w:tc>
          <w:tcPr>
            <w:tcW w:w="1701" w:type="dxa"/>
            <w:gridSpan w:val="4"/>
            <w:tcBorders>
              <w:top w:val="single" w:sz="4" w:space="0" w:color="auto"/>
              <w:left w:val="single" w:sz="4" w:space="0" w:color="auto"/>
            </w:tcBorders>
            <w:shd w:val="clear" w:color="auto" w:fill="FFFFFF"/>
          </w:tcPr>
          <w:p w14:paraId="7481CF8A"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1, 3, 4</w:t>
            </w:r>
          </w:p>
        </w:tc>
        <w:tc>
          <w:tcPr>
            <w:tcW w:w="1984" w:type="dxa"/>
            <w:gridSpan w:val="2"/>
            <w:tcBorders>
              <w:top w:val="single" w:sz="4" w:space="0" w:color="auto"/>
              <w:left w:val="single" w:sz="4" w:space="0" w:color="auto"/>
            </w:tcBorders>
            <w:shd w:val="clear" w:color="auto" w:fill="FFFFFF"/>
          </w:tcPr>
          <w:p w14:paraId="3303E143"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36E5923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7E506D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86E55D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գ)</w:t>
            </w:r>
            <w:r w:rsidRPr="003B2786">
              <w:rPr>
                <w:rStyle w:val="Bodytext1811pt"/>
                <w:rFonts w:ascii="Sylfaen" w:hAnsi="Sylfaen"/>
                <w:sz w:val="24"/>
                <w:szCs w:val="24"/>
              </w:rPr>
              <w:tab/>
              <w:t>վերլուծական մեթոդիկայի բացառում, եթե դրա այլընտրանքային մեթոդիկան արդեն հաստատված է</w:t>
            </w:r>
          </w:p>
        </w:tc>
        <w:tc>
          <w:tcPr>
            <w:tcW w:w="1701" w:type="dxa"/>
            <w:gridSpan w:val="4"/>
            <w:tcBorders>
              <w:top w:val="single" w:sz="4" w:space="0" w:color="auto"/>
              <w:left w:val="single" w:sz="4" w:space="0" w:color="auto"/>
            </w:tcBorders>
            <w:shd w:val="clear" w:color="auto" w:fill="FFFFFF"/>
          </w:tcPr>
          <w:p w14:paraId="3BE0A8F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5</w:t>
            </w:r>
          </w:p>
        </w:tc>
        <w:tc>
          <w:tcPr>
            <w:tcW w:w="1984" w:type="dxa"/>
            <w:gridSpan w:val="2"/>
            <w:tcBorders>
              <w:top w:val="single" w:sz="4" w:space="0" w:color="auto"/>
              <w:left w:val="single" w:sz="4" w:space="0" w:color="auto"/>
            </w:tcBorders>
            <w:shd w:val="clear" w:color="auto" w:fill="FFFFFF"/>
          </w:tcPr>
          <w:p w14:paraId="34BE2574"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7DAFAF4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F11F8E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08447FA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6E14AA9"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անցկացված անհրաժեշտ վալիդացում, որով հաստատվում է թարմացված վերլուծական մեթոդիկայի՝ առնվազն նախորդին համարժեք լինելու հանգամանքը։</w:t>
            </w:r>
          </w:p>
          <w:p w14:paraId="4BFA02F2"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այլ սյունակ կամ մեթոդ):</w:t>
            </w:r>
          </w:p>
          <w:p w14:paraId="514FD7A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tc>
      </w:tr>
      <w:tr w:rsidR="008C76E0" w:rsidRPr="003B2786" w14:paraId="0C5142F9"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F87068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(դեղապատրաստուկը) կենսաբանական (իմունաբանական) չէ:</w:t>
            </w:r>
          </w:p>
          <w:p w14:paraId="2A11EA2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3EA93E60"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4830BA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26293D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2ACE128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առկայության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փորձարկումների համարժեք լինելու հանգամանքը: Սույն պահանջը չի կիրառվում, եթե ավելացվում է նոր վերլուծական մեթոդիկա:</w:t>
            </w:r>
          </w:p>
        </w:tc>
      </w:tr>
      <w:tr w:rsidR="008C76E0" w:rsidRPr="003B2786" w14:paraId="7C73CE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DCABC5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Բ.II.ե.4.</w:t>
            </w:r>
            <w:r w:rsidRPr="003B2786">
              <w:rPr>
                <w:rStyle w:val="Bodytext1811pt"/>
                <w:rFonts w:ascii="Sylfaen" w:hAnsi="Sylfaen"/>
                <w:sz w:val="24"/>
                <w:szCs w:val="24"/>
              </w:rPr>
              <w:tab/>
              <w:t>Առաջնային փաթեթվածքի կամ խցանափակման (առաջնային փաթեթվածքի) ձ</w:t>
            </w:r>
            <w:r w:rsidR="00C54D75">
              <w:rPr>
                <w:rStyle w:val="Bodytext1811pt"/>
                <w:rFonts w:ascii="Sylfaen" w:hAnsi="Sylfaen"/>
                <w:sz w:val="24"/>
                <w:szCs w:val="24"/>
              </w:rPr>
              <w:t>և</w:t>
            </w:r>
            <w:r w:rsidRPr="003B2786">
              <w:rPr>
                <w:rStyle w:val="Bodytext1811pt"/>
                <w:rFonts w:ascii="Sylfaen" w:hAnsi="Sylfaen"/>
                <w:sz w:val="24"/>
                <w:szCs w:val="24"/>
              </w:rPr>
              <w:t>ի կամ չափերի փոփոխությունը</w:t>
            </w:r>
          </w:p>
        </w:tc>
        <w:tc>
          <w:tcPr>
            <w:tcW w:w="1701" w:type="dxa"/>
            <w:gridSpan w:val="4"/>
            <w:tcBorders>
              <w:top w:val="single" w:sz="4" w:space="0" w:color="auto"/>
              <w:left w:val="single" w:sz="4" w:space="0" w:color="auto"/>
            </w:tcBorders>
            <w:shd w:val="clear" w:color="auto" w:fill="FFFFFF"/>
          </w:tcPr>
          <w:p w14:paraId="65A86325"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7F060EE"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BC33FD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0F8F14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CAB595"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ոչ մանրէազերծ դեղապատրաստուկներ</w:t>
            </w:r>
          </w:p>
        </w:tc>
        <w:tc>
          <w:tcPr>
            <w:tcW w:w="1701" w:type="dxa"/>
            <w:gridSpan w:val="4"/>
            <w:tcBorders>
              <w:top w:val="single" w:sz="4" w:space="0" w:color="auto"/>
              <w:left w:val="single" w:sz="4" w:space="0" w:color="auto"/>
            </w:tcBorders>
            <w:shd w:val="clear" w:color="auto" w:fill="FFFFFF"/>
          </w:tcPr>
          <w:p w14:paraId="58A4C681"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4460379B"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1, 2, 4</w:t>
            </w:r>
          </w:p>
        </w:tc>
        <w:tc>
          <w:tcPr>
            <w:tcW w:w="1719" w:type="dxa"/>
            <w:gridSpan w:val="3"/>
            <w:tcBorders>
              <w:top w:val="single" w:sz="4" w:space="0" w:color="auto"/>
              <w:left w:val="single" w:sz="4" w:space="0" w:color="auto"/>
              <w:right w:val="single" w:sz="4" w:space="0" w:color="auto"/>
            </w:tcBorders>
            <w:shd w:val="clear" w:color="auto" w:fill="FFFFFF"/>
          </w:tcPr>
          <w:p w14:paraId="3A41FFA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98C030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94BE05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ձ</w:t>
            </w:r>
            <w:r w:rsidR="00C54D75">
              <w:rPr>
                <w:rStyle w:val="Bodytext1811pt"/>
                <w:rFonts w:ascii="Sylfaen" w:hAnsi="Sylfaen"/>
                <w:sz w:val="24"/>
                <w:szCs w:val="24"/>
              </w:rPr>
              <w:t>և</w:t>
            </w:r>
            <w:r w:rsidRPr="003B2786">
              <w:rPr>
                <w:rStyle w:val="Bodytext1811pt"/>
                <w:rFonts w:ascii="Sylfaen" w:hAnsi="Sylfaen"/>
                <w:sz w:val="24"/>
                <w:szCs w:val="24"/>
              </w:rPr>
              <w:t>ի կամ չափի փոփոխությունը վերաբերում է փաթեթավորման նյութի կար</w:t>
            </w:r>
            <w:r w:rsidR="00C54D75">
              <w:rPr>
                <w:rStyle w:val="Bodytext1811pt"/>
                <w:rFonts w:ascii="Sylfaen" w:hAnsi="Sylfaen"/>
                <w:sz w:val="24"/>
                <w:szCs w:val="24"/>
              </w:rPr>
              <w:t>և</w:t>
            </w:r>
            <w:r w:rsidRPr="003B2786">
              <w:rPr>
                <w:rStyle w:val="Bodytext1811pt"/>
                <w:rFonts w:ascii="Sylfaen" w:hAnsi="Sylfaen"/>
                <w:sz w:val="24"/>
                <w:szCs w:val="24"/>
              </w:rPr>
              <w:t>որ ցուցանիշներին, որոնք կարող են էապես ազդել դեղապատրաստուկի առաքման, կիրառության, անվտանգության կամ կայունության վրա</w:t>
            </w:r>
          </w:p>
        </w:tc>
        <w:tc>
          <w:tcPr>
            <w:tcW w:w="1701" w:type="dxa"/>
            <w:gridSpan w:val="4"/>
            <w:tcBorders>
              <w:top w:val="single" w:sz="4" w:space="0" w:color="auto"/>
              <w:left w:val="single" w:sz="4" w:space="0" w:color="auto"/>
            </w:tcBorders>
            <w:shd w:val="clear" w:color="auto" w:fill="FFFFFF"/>
          </w:tcPr>
          <w:p w14:paraId="2EEA5D5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0CD156"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6C7C98D"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D24A1F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B5E324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մանրէազերծ դեղապատրաստուկներ</w:t>
            </w:r>
          </w:p>
        </w:tc>
        <w:tc>
          <w:tcPr>
            <w:tcW w:w="1701" w:type="dxa"/>
            <w:gridSpan w:val="4"/>
            <w:tcBorders>
              <w:top w:val="single" w:sz="4" w:space="0" w:color="auto"/>
              <w:left w:val="single" w:sz="4" w:space="0" w:color="auto"/>
            </w:tcBorders>
            <w:shd w:val="clear" w:color="auto" w:fill="FFFFFF"/>
          </w:tcPr>
          <w:p w14:paraId="67BCF51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7124419"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719" w:type="dxa"/>
            <w:gridSpan w:val="3"/>
            <w:tcBorders>
              <w:top w:val="single" w:sz="4" w:space="0" w:color="auto"/>
              <w:left w:val="single" w:sz="4" w:space="0" w:color="auto"/>
              <w:right w:val="single" w:sz="4" w:space="0" w:color="auto"/>
            </w:tcBorders>
            <w:shd w:val="clear" w:color="auto" w:fill="FFFFFF"/>
          </w:tcPr>
          <w:p w14:paraId="72CB526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590A5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166604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F87DAF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Առաջնային փաթեթվածքի քանակական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բաղադրությունը չի փոփոխվել։</w:t>
            </w:r>
          </w:p>
          <w:p w14:paraId="29E7C31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փաթեթավորման նյութի որակի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w:t>
            </w:r>
            <w:r w:rsidRPr="003B2786">
              <w:rPr>
                <w:rStyle w:val="Bodytext1811pt"/>
                <w:rFonts w:ascii="Sylfaen" w:hAnsi="Sylfaen"/>
                <w:sz w:val="24"/>
                <w:szCs w:val="24"/>
              </w:rPr>
              <w:lastRenderedPageBreak/>
              <w:t>ցուցանիշներին, որոնք կարող են էապես ազդել դեղապատրաստուկի առաքման, կիրառության, անվտանգության կամ կայունության վրա։</w:t>
            </w:r>
          </w:p>
          <w:p w14:paraId="3B335538" w14:textId="4AB93C61"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pacing w:val="6"/>
                <w:sz w:val="24"/>
                <w:szCs w:val="24"/>
              </w:rPr>
              <w:t xml:space="preserve">Ազատ տարածության կամ մակերեսի (ծավալի) հարաբերակցության փոփոխության դեպքում, կայունության վերաբերյալ Միության համապատասխան փաստաթղթերի համաձայն, սկսվել են կայունության համապատասխան հետազոտությունները, վերլուծվել են առնվազն 2 փորձարարաարդյունաբերական (կենսաբանական (իմունաբանական) դեղապատրաստուկների համար՝ 3 սերիայի) կամ արդյունաբերական սերիայի կայունության համապատասխան պարամետրերը, </w:t>
            </w:r>
            <w:r w:rsidR="0056496B">
              <w:rPr>
                <w:rStyle w:val="Bodytext1811pt"/>
                <w:rFonts w:ascii="Sylfaen" w:hAnsi="Sylfaen"/>
                <w:spacing w:val="6"/>
                <w:sz w:val="24"/>
                <w:szCs w:val="24"/>
              </w:rPr>
              <w:t>դիմումատու</w:t>
            </w:r>
            <w:r w:rsidRPr="003B2786">
              <w:rPr>
                <w:rStyle w:val="Bodytext1811pt"/>
                <w:rFonts w:ascii="Sylfaen" w:hAnsi="Sylfaen"/>
                <w:spacing w:val="6"/>
                <w:sz w:val="24"/>
                <w:szCs w:val="24"/>
              </w:rPr>
              <w:t>ի տրամադրության տակ են</w:t>
            </w:r>
            <w:r w:rsidRPr="003B2786">
              <w:rPr>
                <w:rStyle w:val="Bodytext1811pt"/>
                <w:rFonts w:ascii="Sylfaen" w:hAnsi="Sylfaen"/>
                <w:sz w:val="24"/>
                <w:szCs w:val="24"/>
              </w:rPr>
              <w:t xml:space="preserve"> գտնվում կայունության առնվազն </w:t>
            </w:r>
            <w:r w:rsidRPr="003B2786">
              <w:rPr>
                <w:rStyle w:val="Bodytext1811pt"/>
                <w:rFonts w:ascii="Sylfaen" w:hAnsi="Sylfaen"/>
                <w:sz w:val="24"/>
                <w:szCs w:val="24"/>
              </w:rPr>
              <w:br/>
              <w:t>3-</w:t>
            </w:r>
            <w:r w:rsidRPr="003B2786">
              <w:rPr>
                <w:rStyle w:val="Bodytext1811pt"/>
                <w:rFonts w:ascii="Sylfaen" w:hAnsi="Sylfaen"/>
                <w:spacing w:val="6"/>
                <w:sz w:val="24"/>
                <w:szCs w:val="24"/>
              </w:rPr>
              <w:t>ամսյա (կենսաբանական (իմունաբանական) դեղապատրաստուկների համար՝ 6</w:t>
            </w:r>
            <w:r w:rsidRPr="003B2786">
              <w:rPr>
                <w:rStyle w:val="Bodytext1811pt"/>
                <w:rFonts w:ascii="Sylfaen" w:hAnsi="Sylfaen"/>
                <w:sz w:val="24"/>
                <w:szCs w:val="24"/>
              </w:rPr>
              <w:t>-</w:t>
            </w:r>
            <w:r w:rsidRPr="003B2786">
              <w:rPr>
                <w:rStyle w:val="Bodytext1811pt"/>
                <w:rFonts w:ascii="Sylfaen" w:hAnsi="Sylfaen"/>
                <w:spacing w:val="6"/>
                <w:sz w:val="24"/>
                <w:szCs w:val="24"/>
              </w:rPr>
              <w:t xml:space="preserve">ամսյա) ուսումնասիրության բավարար արդյունքները։ Հաստատումն այն բանի, որ ուսումնասիրությունները կավարտվեն, </w:t>
            </w:r>
            <w:r w:rsidR="00C54D75">
              <w:rPr>
                <w:rStyle w:val="Bodytext1811pt"/>
                <w:rFonts w:ascii="Sylfaen" w:hAnsi="Sylfaen"/>
                <w:spacing w:val="6"/>
                <w:sz w:val="24"/>
                <w:szCs w:val="24"/>
              </w:rPr>
              <w:t>և</w:t>
            </w:r>
            <w:r w:rsidRPr="003B2786">
              <w:rPr>
                <w:rStyle w:val="Bodytext1811pt"/>
                <w:rFonts w:ascii="Sylfaen" w:hAnsi="Sylfaen"/>
                <w:spacing w:val="6"/>
                <w:sz w:val="24"/>
                <w:szCs w:val="24"/>
              </w:rPr>
              <w:t xml:space="preserve"> եթե արդյունքները չհամապատասխանեն</w:t>
            </w:r>
            <w:r w:rsidRPr="003B2786">
              <w:rPr>
                <w:rStyle w:val="Bodytext1811pt"/>
                <w:rFonts w:ascii="Sylfaen" w:hAnsi="Sylfaen"/>
                <w:spacing w:val="4"/>
                <w:sz w:val="24"/>
                <w:szCs w:val="24"/>
              </w:rPr>
              <w:t xml:space="preserve"> մասնագրերին կամ հնարավոր է, որ չեն կարող համապատասխանել մասնագրերին</w:t>
            </w:r>
            <w:r w:rsidRPr="003B2786">
              <w:rPr>
                <w:rStyle w:val="Bodytext1811pt"/>
                <w:rFonts w:ascii="Sylfaen" w:hAnsi="Sylfaen"/>
                <w:sz w:val="24"/>
                <w:szCs w:val="24"/>
              </w:rPr>
              <w:t>՝ պիտանիության ժամկետի ավարտին, ապա դրանք գործողությունների առաջարկվող պլանի հետ անհապաղ կներկայացվեն լիազոր մարմին:</w:t>
            </w:r>
          </w:p>
        </w:tc>
      </w:tr>
      <w:tr w:rsidR="008C76E0" w:rsidRPr="003B2786" w14:paraId="5FC278C4"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61EF03B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296DBE2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բեռնարկղի կամ խցանափակման նկարագրությունը, մանրամասն գծագիրը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նյութի բաղադրությունը,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w:t>
            </w:r>
          </w:p>
          <w:p w14:paraId="7225772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բեռնարկղի (խցանափակման) նմուշները։</w:t>
            </w:r>
          </w:p>
          <w:p w14:paraId="2258CC7E" w14:textId="77777777" w:rsidR="008C76E0" w:rsidRPr="008C76E0" w:rsidRDefault="008C76E0" w:rsidP="008B6709">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Անցկացվել են ջերմային մանրէազերծման ենթարկվող մանրէազերծ պատրաստուկների կրկնակի վալիդացման հետազոտություններ։ Համապատասխան դեպքերում անհրաժեշտ է նշել վալիդացման հետազոտություններում օգտագործված սերիաների համարները։</w:t>
            </w:r>
          </w:p>
          <w:p w14:paraId="43A9AF9A" w14:textId="4C01735B" w:rsidR="008C76E0" w:rsidRPr="008C76E0" w:rsidRDefault="008C76E0" w:rsidP="008B6709">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Ազատ տարածության կամ ծավալի նկատմամբ մակերեսի հարաբերակցության փոփոխության դեպքում՝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Միության փաստաթղթերին համապատասխան՝ սկսվել են կայունության անհրաժեշտ հետազոտությունները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IA տիպի փոփոխության մասին ծանուցելու </w:t>
            </w:r>
            <w:r w:rsidR="00C54D75">
              <w:rPr>
                <w:rStyle w:val="Bodytext1811pt"/>
                <w:rFonts w:ascii="Sylfaen" w:hAnsi="Sylfaen"/>
                <w:sz w:val="24"/>
                <w:szCs w:val="24"/>
              </w:rPr>
              <w:t>և</w:t>
            </w:r>
            <w:r w:rsidRPr="003B2786">
              <w:rPr>
                <w:rStyle w:val="Bodytext1811pt"/>
                <w:rFonts w:ascii="Sylfaen" w:hAnsi="Sylfaen"/>
                <w:sz w:val="24"/>
                <w:szCs w:val="24"/>
              </w:rPr>
              <w:t xml:space="preserve"> IB տիպի փոփոխության մասին ծանուցում ներկայացնելու պահին նրա տրամադրության տակ են գտնվում</w:t>
            </w:r>
          </w:p>
        </w:tc>
      </w:tr>
      <w:tr w:rsidR="008C76E0" w:rsidRPr="003B2786" w14:paraId="0A28CD6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29FDE8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 xml:space="preserve">կայունության ուսումնասիրության բավարար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առկա տվյալները չեն մատնանշում որ</w:t>
            </w:r>
            <w:r w:rsidR="00C54D75">
              <w:rPr>
                <w:rStyle w:val="Bodytext1811pt"/>
                <w:rFonts w:ascii="Sylfaen" w:hAnsi="Sylfaen"/>
                <w:sz w:val="24"/>
                <w:szCs w:val="24"/>
              </w:rPr>
              <w:t>և</w:t>
            </w:r>
            <w:r w:rsidRPr="003B2786">
              <w:rPr>
                <w:rStyle w:val="Bodytext1811pt"/>
                <w:rFonts w:ascii="Sylfaen" w:hAnsi="Sylfaen"/>
                <w:sz w:val="24"/>
                <w:szCs w:val="24"/>
              </w:rPr>
              <w:t>է խնդիր։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tc>
      </w:tr>
      <w:tr w:rsidR="008C76E0" w:rsidRPr="003B2786" w14:paraId="70957E1F" w14:textId="77777777" w:rsidTr="008C76E0">
        <w:trPr>
          <w:jc w:val="center"/>
        </w:trPr>
        <w:tc>
          <w:tcPr>
            <w:tcW w:w="4997" w:type="dxa"/>
            <w:gridSpan w:val="6"/>
            <w:tcBorders>
              <w:top w:val="single" w:sz="4" w:space="0" w:color="auto"/>
              <w:left w:val="single" w:sz="4" w:space="0" w:color="auto"/>
            </w:tcBorders>
            <w:shd w:val="clear" w:color="auto" w:fill="FFFFFF"/>
          </w:tcPr>
          <w:p w14:paraId="5A5C41D4" w14:textId="77777777" w:rsidR="008C76E0" w:rsidRPr="008C76E0" w:rsidRDefault="008C76E0" w:rsidP="008C76E0">
            <w:pPr>
              <w:pStyle w:val="Bodytext180"/>
              <w:shd w:val="clear" w:color="auto" w:fill="auto"/>
              <w:tabs>
                <w:tab w:val="left" w:pos="567"/>
              </w:tabs>
              <w:spacing w:before="0" w:after="120" w:line="240" w:lineRule="auto"/>
              <w:ind w:left="158" w:right="210" w:firstLine="0"/>
              <w:rPr>
                <w:rFonts w:ascii="Sylfaen" w:hAnsi="Sylfaen"/>
                <w:b w:val="0"/>
                <w:sz w:val="24"/>
                <w:szCs w:val="24"/>
                <w:lang w:val="hy-AM"/>
              </w:rPr>
            </w:pPr>
            <w:r w:rsidRPr="003B2786">
              <w:rPr>
                <w:rStyle w:val="Bodytext1811pt"/>
                <w:rFonts w:ascii="Sylfaen" w:hAnsi="Sylfaen"/>
                <w:sz w:val="24"/>
                <w:szCs w:val="24"/>
              </w:rPr>
              <w:t>Բ.II.ե.5.</w:t>
            </w:r>
            <w:r w:rsidRPr="003B2786">
              <w:rPr>
                <w:rStyle w:val="Bodytext1811pt"/>
                <w:rFonts w:ascii="Sylfaen" w:hAnsi="Sylfaen"/>
                <w:sz w:val="24"/>
                <w:szCs w:val="24"/>
              </w:rPr>
              <w:tab/>
              <w:t>Դեղապատրաստուկի փաթեթվածքի չափի փոփոխությունը</w:t>
            </w:r>
          </w:p>
        </w:tc>
        <w:tc>
          <w:tcPr>
            <w:tcW w:w="1701" w:type="dxa"/>
            <w:gridSpan w:val="4"/>
            <w:tcBorders>
              <w:top w:val="single" w:sz="4" w:space="0" w:color="auto"/>
              <w:left w:val="single" w:sz="4" w:space="0" w:color="auto"/>
            </w:tcBorders>
            <w:shd w:val="clear" w:color="auto" w:fill="FFFFFF"/>
          </w:tcPr>
          <w:p w14:paraId="20564D51"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9E0D419"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1359B59"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777580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2144E7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 փաթեթվածքում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 (օրինակ՝ </w:t>
            </w:r>
            <w:r w:rsidRPr="003B2786">
              <w:rPr>
                <w:rStyle w:val="Bodytext1811pt"/>
                <w:rFonts w:ascii="Sylfaen" w:hAnsi="Sylfaen"/>
                <w:sz w:val="24"/>
                <w:szCs w:val="24"/>
              </w:rPr>
              <w:lastRenderedPageBreak/>
              <w:t xml:space="preserve">հաբերի, սրվակիկների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այլն) միավորների քանակի փոփոխություն</w:t>
            </w:r>
          </w:p>
        </w:tc>
        <w:tc>
          <w:tcPr>
            <w:tcW w:w="1701" w:type="dxa"/>
            <w:gridSpan w:val="4"/>
            <w:tcBorders>
              <w:top w:val="single" w:sz="4" w:space="0" w:color="auto"/>
              <w:left w:val="single" w:sz="4" w:space="0" w:color="auto"/>
            </w:tcBorders>
            <w:shd w:val="clear" w:color="auto" w:fill="FFFFFF"/>
          </w:tcPr>
          <w:p w14:paraId="501317F3" w14:textId="77777777" w:rsidR="008C76E0" w:rsidRPr="003B2786" w:rsidRDefault="008C76E0" w:rsidP="008C76E0">
            <w:pPr>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078AB4A0" w14:textId="77777777" w:rsidR="008C76E0" w:rsidRPr="003B2786" w:rsidRDefault="008C76E0" w:rsidP="008C76E0">
            <w:pPr>
              <w:spacing w:after="120" w:line="240" w:lineRule="auto"/>
              <w:ind w:left="63"/>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F400E74" w14:textId="77777777" w:rsidR="008C76E0" w:rsidRPr="003B2786" w:rsidRDefault="008C76E0" w:rsidP="008C76E0">
            <w:pPr>
              <w:spacing w:after="120" w:line="240" w:lineRule="auto"/>
              <w:ind w:left="63"/>
              <w:jc w:val="center"/>
              <w:rPr>
                <w:rFonts w:ascii="Sylfaen" w:hAnsi="Sylfaen"/>
                <w:sz w:val="24"/>
                <w:szCs w:val="24"/>
              </w:rPr>
            </w:pPr>
          </w:p>
        </w:tc>
      </w:tr>
      <w:tr w:rsidR="008C76E0" w:rsidRPr="003B2786" w14:paraId="42FC59CC"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879B16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գտնվում է փաթեթվածքների չափերի հաստատված տիրույթում</w:t>
            </w:r>
          </w:p>
        </w:tc>
        <w:tc>
          <w:tcPr>
            <w:tcW w:w="1701" w:type="dxa"/>
            <w:gridSpan w:val="4"/>
            <w:tcBorders>
              <w:top w:val="single" w:sz="4" w:space="0" w:color="auto"/>
              <w:left w:val="single" w:sz="4" w:space="0" w:color="auto"/>
            </w:tcBorders>
            <w:shd w:val="clear" w:color="auto" w:fill="FFFFFF"/>
          </w:tcPr>
          <w:p w14:paraId="3F96BB18"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14944DEE"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1, 3</w:t>
            </w:r>
          </w:p>
        </w:tc>
        <w:tc>
          <w:tcPr>
            <w:tcW w:w="1719" w:type="dxa"/>
            <w:gridSpan w:val="3"/>
            <w:tcBorders>
              <w:top w:val="single" w:sz="4" w:space="0" w:color="auto"/>
              <w:left w:val="single" w:sz="4" w:space="0" w:color="auto"/>
              <w:right w:val="single" w:sz="4" w:space="0" w:color="auto"/>
            </w:tcBorders>
            <w:shd w:val="clear" w:color="auto" w:fill="FFFFFF"/>
          </w:tcPr>
          <w:p w14:paraId="187E5E8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30AC554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60DC64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Փոփոխությունը չի գտնվում փաթեթվածքների չափերի հաստատված տիրույթում</w:t>
            </w:r>
          </w:p>
        </w:tc>
        <w:tc>
          <w:tcPr>
            <w:tcW w:w="1701" w:type="dxa"/>
            <w:gridSpan w:val="4"/>
            <w:tcBorders>
              <w:top w:val="single" w:sz="4" w:space="0" w:color="auto"/>
              <w:left w:val="single" w:sz="4" w:space="0" w:color="auto"/>
            </w:tcBorders>
            <w:shd w:val="clear" w:color="auto" w:fill="FFFFFF"/>
          </w:tcPr>
          <w:p w14:paraId="397C12C5" w14:textId="77777777" w:rsidR="008C76E0" w:rsidRPr="003B2786" w:rsidRDefault="008C76E0" w:rsidP="008C76E0">
            <w:pPr>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67E8D0E7"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69A316BE"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0C891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E509853"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փաթեթվածքի (փաթեթվածքների) չափի (չափերի) փոփոխություն</w:t>
            </w:r>
          </w:p>
        </w:tc>
        <w:tc>
          <w:tcPr>
            <w:tcW w:w="1701" w:type="dxa"/>
            <w:gridSpan w:val="4"/>
            <w:tcBorders>
              <w:top w:val="single" w:sz="4" w:space="0" w:color="auto"/>
              <w:left w:val="single" w:sz="4" w:space="0" w:color="auto"/>
            </w:tcBorders>
            <w:shd w:val="clear" w:color="auto" w:fill="FFFFFF"/>
          </w:tcPr>
          <w:p w14:paraId="54F09AF1"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3</w:t>
            </w:r>
          </w:p>
        </w:tc>
        <w:tc>
          <w:tcPr>
            <w:tcW w:w="1984" w:type="dxa"/>
            <w:gridSpan w:val="2"/>
            <w:tcBorders>
              <w:top w:val="single" w:sz="4" w:space="0" w:color="auto"/>
              <w:left w:val="single" w:sz="4" w:space="0" w:color="auto"/>
            </w:tcBorders>
            <w:shd w:val="clear" w:color="auto" w:fill="FFFFFF"/>
          </w:tcPr>
          <w:p w14:paraId="2D74F3E2"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7ABCE0E4"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1C0973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AF3C703" w14:textId="77777777" w:rsidR="008C76E0" w:rsidRPr="008C76E0" w:rsidRDefault="008C76E0" w:rsidP="002F06F8">
            <w:pPr>
              <w:pStyle w:val="Bodytext180"/>
              <w:shd w:val="clear" w:color="auto" w:fill="auto"/>
              <w:tabs>
                <w:tab w:val="left" w:pos="567"/>
              </w:tabs>
              <w:spacing w:before="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մանրէազերծ շատ դոզայով (կամ մեկ դոզայով՝ մասնակի ձերբազատմամբ) պարենտերալ դեղապատրաստուկների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շատ դոզայով կենսաբանական (իմունաբանական) պարենտերալ դեղապատրաստուկների անվանական զանգվածի (անվանական ծավալի) փոփոխություն</w:t>
            </w:r>
          </w:p>
        </w:tc>
        <w:tc>
          <w:tcPr>
            <w:tcW w:w="1701" w:type="dxa"/>
            <w:gridSpan w:val="4"/>
            <w:tcBorders>
              <w:top w:val="single" w:sz="4" w:space="0" w:color="auto"/>
              <w:left w:val="single" w:sz="4" w:space="0" w:color="auto"/>
            </w:tcBorders>
            <w:shd w:val="clear" w:color="auto" w:fill="FFFFFF"/>
          </w:tcPr>
          <w:p w14:paraId="2526BCDF"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A287760"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5D7878D6"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A25AB6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475DAEC"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ոչ պարենտերալ շատ դոզայով (մեկ դոզայով՝ մասնակի ձերբազատմամբ) դեղապատրաստուկների անվանական զանգվածի (անվանական ծավալի) փոփոխություն</w:t>
            </w:r>
          </w:p>
        </w:tc>
        <w:tc>
          <w:tcPr>
            <w:tcW w:w="1701" w:type="dxa"/>
            <w:gridSpan w:val="4"/>
            <w:tcBorders>
              <w:top w:val="single" w:sz="4" w:space="0" w:color="auto"/>
              <w:left w:val="single" w:sz="4" w:space="0" w:color="auto"/>
            </w:tcBorders>
            <w:shd w:val="clear" w:color="auto" w:fill="FFFFFF"/>
          </w:tcPr>
          <w:p w14:paraId="385C3D37"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5A54AA3"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712D1904"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0384C990"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22E9A44"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0E0ED7C"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Փաթեթվածքի նոր չափը պետք է համապատասխանի դեղապատրաստուկի ընդհանուր բնութագրում նշված դոզավորման ռեժիմին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ողությանը։</w:t>
            </w:r>
          </w:p>
          <w:p w14:paraId="20036C2A"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նյութը չի փոփոխվում։</w:t>
            </w:r>
          </w:p>
          <w:p w14:paraId="3E5950F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Թողարկման մնացած ձ</w:t>
            </w:r>
            <w:r w:rsidR="00C54D75">
              <w:rPr>
                <w:rStyle w:val="Bodytext1811pt"/>
                <w:rFonts w:ascii="Sylfaen" w:hAnsi="Sylfaen"/>
                <w:sz w:val="24"/>
                <w:szCs w:val="24"/>
              </w:rPr>
              <w:t>և</w:t>
            </w:r>
            <w:r w:rsidRPr="003B2786">
              <w:rPr>
                <w:rStyle w:val="Bodytext1811pt"/>
                <w:rFonts w:ascii="Sylfaen" w:hAnsi="Sylfaen"/>
                <w:sz w:val="24"/>
                <w:szCs w:val="24"/>
              </w:rPr>
              <w:t xml:space="preserve">երը թույլ են տալիս կատարել դեղապատրաստուկի ընդհանուր բնութագրում նշված դոզավորման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w:t>
            </w:r>
          </w:p>
        </w:tc>
      </w:tr>
      <w:tr w:rsidR="008C76E0" w:rsidRPr="003B2786" w14:paraId="6101728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835500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04B4D7E"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դեղապատրաստուկի վերաբերյալ տեղեկատվության վերանայումը։</w:t>
            </w:r>
          </w:p>
          <w:p w14:paraId="73E8C2C5"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Հիմնավորումն այն բանի, որ փաթեթվածքների նոր (մնացած) չափերը համապատասխանում են դեղապատրաստուկի ընդհանուր բնութագրում նշված դոզավորման ռեժիմին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ողությանը։</w:t>
            </w:r>
          </w:p>
          <w:p w14:paraId="43850444" w14:textId="182A2F5B"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եթե ենթադրվում է կայունության վրա ազդեցության առկայություն, ապա, Միության համապատասխան փաստաթղթերի համաձայն, կսկսվեն կայունության հետազոտություններ։ Տվյալները (գործողությունների առաջարկվող պլանի հետ) անհրաժեշտ է ներկայացնել միայն այն դեպքում, երբ դրանք չեն համապատասխանում մասնագրերին։</w:t>
            </w:r>
          </w:p>
        </w:tc>
      </w:tr>
      <w:tr w:rsidR="008C76E0" w:rsidRPr="003B2786" w14:paraId="26F02BE0" w14:textId="77777777" w:rsidTr="008C76E0">
        <w:trPr>
          <w:jc w:val="center"/>
        </w:trPr>
        <w:tc>
          <w:tcPr>
            <w:tcW w:w="2830" w:type="dxa"/>
            <w:gridSpan w:val="3"/>
            <w:tcBorders>
              <w:top w:val="single" w:sz="4" w:space="0" w:color="auto"/>
              <w:left w:val="single" w:sz="4" w:space="0" w:color="auto"/>
            </w:tcBorders>
            <w:shd w:val="clear" w:color="auto" w:fill="FFFFFF"/>
            <w:vAlign w:val="center"/>
          </w:tcPr>
          <w:p w14:paraId="0F9480D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7571" w:type="dxa"/>
            <w:gridSpan w:val="12"/>
            <w:tcBorders>
              <w:top w:val="single" w:sz="4" w:space="0" w:color="auto"/>
              <w:left w:val="single" w:sz="4" w:space="0" w:color="auto"/>
              <w:right w:val="single" w:sz="4" w:space="0" w:color="auto"/>
            </w:tcBorders>
            <w:shd w:val="clear" w:color="auto" w:fill="FFFFFF"/>
            <w:vAlign w:val="bottom"/>
          </w:tcPr>
          <w:p w14:paraId="4F205881" w14:textId="0FCC0A75"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 xml:space="preserve">Բ.II.ե.5.գ-ի </w:t>
            </w:r>
            <w:r w:rsidR="00C54D75">
              <w:rPr>
                <w:rStyle w:val="Bodytext1811pt"/>
                <w:rFonts w:ascii="Sylfaen" w:hAnsi="Sylfaen"/>
                <w:sz w:val="24"/>
                <w:szCs w:val="24"/>
              </w:rPr>
              <w:t>և</w:t>
            </w:r>
            <w:r w:rsidRPr="003B2786">
              <w:rPr>
                <w:rStyle w:val="Bodytext1811pt"/>
                <w:rFonts w:ascii="Sylfaen" w:hAnsi="Sylfaen"/>
                <w:sz w:val="24"/>
                <w:szCs w:val="24"/>
              </w:rPr>
              <w:t xml:space="preserve"> Բ.II.ե.5.դ-ի համար՝ եթե փոփոխությունը հանգեցնում է դեղապատրաստուկի «դոզայի» փոփոխության, ապա այդպիսի փոփոխությամբ պահանջվում է ներկայացնել գրանցման ընդլայնման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4C040230"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66CFF023" w14:textId="77777777" w:rsidR="008C76E0" w:rsidRPr="008C76E0" w:rsidRDefault="008C76E0" w:rsidP="008C76E0">
            <w:pPr>
              <w:pStyle w:val="Bodytext180"/>
              <w:shd w:val="clear" w:color="auto" w:fill="auto"/>
              <w:tabs>
                <w:tab w:val="left" w:pos="122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Բ.II.ե.6. Փաթեթվածքի (փաթեթավորման նյութի)՝ դեղապատրաստուկի հետ անմիջական շփման մեջ չգտնվող բաղկացուցիչ որ</w:t>
            </w:r>
            <w:r w:rsidR="00C54D75">
              <w:rPr>
                <w:rStyle w:val="Bodytext1811pt"/>
                <w:rFonts w:ascii="Sylfaen" w:hAnsi="Sylfaen"/>
                <w:sz w:val="24"/>
                <w:szCs w:val="24"/>
              </w:rPr>
              <w:t>և</w:t>
            </w:r>
            <w:r w:rsidRPr="003B2786">
              <w:rPr>
                <w:rStyle w:val="Bodytext1811pt"/>
                <w:rFonts w:ascii="Sylfaen" w:hAnsi="Sylfaen"/>
                <w:sz w:val="24"/>
                <w:szCs w:val="24"/>
              </w:rPr>
              <w:t xml:space="preserve">է մասի փոփոխությունը (օրինակ՝ հանովի թասակների գույնը, սրվակիկների վրա ծածկագրային գունավոր օղակները, ասեղը պաշտպանող թասակի փոփոխությունը (այլ պլաստիկի օգտագործում) դիզայնի, մակնշման գույնի փոփոխությունը, (2D, 3D) </w:t>
            </w:r>
            <w:r w:rsidRPr="008C76E0">
              <w:rPr>
                <w:rFonts w:ascii="Sylfaen" w:hAnsi="Sylfaen"/>
                <w:sz w:val="24"/>
                <w:szCs w:val="24"/>
                <w:highlight w:val="magenta"/>
                <w:lang w:val="hy-AM"/>
              </w:rPr>
              <w:t>գծանշի, Բրայլի տառատեսակի զետեղումը</w:t>
            </w:r>
            <w:r w:rsidRPr="006C0A25">
              <w:rPr>
                <w:rStyle w:val="Bodytext1811pt"/>
                <w:rFonts w:ascii="Sylfaen" w:hAnsi="Sylfaen"/>
                <w:sz w:val="24"/>
                <w:szCs w:val="24"/>
                <w:highlight w:val="magenta"/>
              </w:rPr>
              <w:t>)</w:t>
            </w:r>
          </w:p>
        </w:tc>
        <w:tc>
          <w:tcPr>
            <w:tcW w:w="1701" w:type="dxa"/>
            <w:gridSpan w:val="4"/>
            <w:tcBorders>
              <w:top w:val="single" w:sz="4" w:space="0" w:color="auto"/>
              <w:left w:val="single" w:sz="4" w:space="0" w:color="auto"/>
              <w:bottom w:val="single" w:sz="4" w:space="0" w:color="auto"/>
            </w:tcBorders>
            <w:shd w:val="clear" w:color="auto" w:fill="FFFFFF"/>
          </w:tcPr>
          <w:p w14:paraId="523C5EA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1083B1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63D0601C"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197041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0D4DA7B"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p>
        </w:tc>
        <w:tc>
          <w:tcPr>
            <w:tcW w:w="1701" w:type="dxa"/>
            <w:gridSpan w:val="4"/>
            <w:tcBorders>
              <w:top w:val="single" w:sz="4" w:space="0" w:color="auto"/>
              <w:left w:val="single" w:sz="4" w:space="0" w:color="auto"/>
            </w:tcBorders>
            <w:shd w:val="clear" w:color="auto" w:fill="FFFFFF"/>
          </w:tcPr>
          <w:p w14:paraId="10CE81DE" w14:textId="77777777" w:rsidR="008C76E0" w:rsidRPr="003B2786" w:rsidRDefault="008C76E0" w:rsidP="008C76E0">
            <w:pPr>
              <w:spacing w:after="120" w:line="240" w:lineRule="auto"/>
              <w:ind w:left="63" w:right="59"/>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D58EBAD" w14:textId="77777777" w:rsidR="008C76E0" w:rsidRPr="003B2786" w:rsidRDefault="008C76E0" w:rsidP="008C76E0">
            <w:pPr>
              <w:spacing w:after="120" w:line="240" w:lineRule="auto"/>
              <w:ind w:left="63" w:right="59"/>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3756375F" w14:textId="77777777" w:rsidR="008C76E0" w:rsidRPr="003B2786" w:rsidRDefault="008C76E0" w:rsidP="008C76E0">
            <w:pPr>
              <w:spacing w:after="120" w:line="240" w:lineRule="auto"/>
              <w:ind w:left="63" w:right="59"/>
              <w:jc w:val="center"/>
              <w:rPr>
                <w:rFonts w:ascii="Sylfaen" w:hAnsi="Sylfaen"/>
                <w:sz w:val="24"/>
                <w:szCs w:val="24"/>
              </w:rPr>
            </w:pPr>
          </w:p>
        </w:tc>
      </w:tr>
      <w:tr w:rsidR="008C76E0" w:rsidRPr="003B2786" w14:paraId="7CA5591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984B24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վերաբերյալ տեղեկատվությանն առնչվող փոփոխություն</w:t>
            </w:r>
          </w:p>
        </w:tc>
        <w:tc>
          <w:tcPr>
            <w:tcW w:w="1701" w:type="dxa"/>
            <w:gridSpan w:val="4"/>
            <w:tcBorders>
              <w:top w:val="single" w:sz="4" w:space="0" w:color="auto"/>
              <w:left w:val="single" w:sz="4" w:space="0" w:color="auto"/>
            </w:tcBorders>
            <w:shd w:val="clear" w:color="auto" w:fill="FFFFFF"/>
          </w:tcPr>
          <w:p w14:paraId="12B767E5"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11979F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69690302"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57E51F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E5815D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վերաբերյալ տեղեկատվությանը չառնչվող փոփոխություն</w:t>
            </w:r>
          </w:p>
        </w:tc>
        <w:tc>
          <w:tcPr>
            <w:tcW w:w="1701" w:type="dxa"/>
            <w:gridSpan w:val="4"/>
            <w:tcBorders>
              <w:top w:val="single" w:sz="4" w:space="0" w:color="auto"/>
              <w:left w:val="single" w:sz="4" w:space="0" w:color="auto"/>
            </w:tcBorders>
            <w:shd w:val="clear" w:color="auto" w:fill="FFFFFF"/>
          </w:tcPr>
          <w:p w14:paraId="444B637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1B340EF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372F1D2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B9BD0C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A1A25D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829ED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չի վերաբերում փաթեթավորման նյութի այն մասերին, որոնք կարող են ազդել դեղապատրաստուկի առաքման, կիրառության, անվտանգության կամ կայունության վրա։</w:t>
            </w:r>
          </w:p>
        </w:tc>
      </w:tr>
      <w:tr w:rsidR="008C76E0" w:rsidRPr="003B2786" w14:paraId="473C6AE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3A4981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C6C711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Դոսյեի համապատասխան բաժնում (բաժիններում) ուղղում կատարելը, ներառյալ՝ դեղապատրաստուկի վերաբերյալ տեղեկատվության վերանայումը։</w:t>
            </w:r>
          </w:p>
        </w:tc>
      </w:tr>
      <w:tr w:rsidR="008C76E0" w:rsidRPr="003B2786" w14:paraId="2E8FCD4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3DE2C68" w14:textId="77777777" w:rsidR="008C76E0" w:rsidRPr="008C76E0" w:rsidRDefault="008C76E0" w:rsidP="008C76E0">
            <w:pPr>
              <w:pStyle w:val="Bodytext180"/>
              <w:shd w:val="clear" w:color="auto" w:fill="auto"/>
              <w:tabs>
                <w:tab w:val="left" w:pos="1073"/>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Բ.II.ե.7</w:t>
            </w:r>
            <w:r w:rsidRPr="003B2786">
              <w:rPr>
                <w:rStyle w:val="Bodytext1811pt"/>
                <w:rFonts w:ascii="Sylfaen" w:hAnsi="Sylfaen"/>
                <w:sz w:val="24"/>
                <w:szCs w:val="24"/>
              </w:rPr>
              <w:tab/>
              <w:t>Փաթեթվածքի կամ սարքավորման բաղադրիչների մատակարարի փոփոխությունը (դոսյեում նշված լինելու դեպքում)</w:t>
            </w:r>
          </w:p>
        </w:tc>
        <w:tc>
          <w:tcPr>
            <w:tcW w:w="1701" w:type="dxa"/>
            <w:gridSpan w:val="4"/>
            <w:tcBorders>
              <w:top w:val="single" w:sz="4" w:space="0" w:color="auto"/>
              <w:left w:val="single" w:sz="4" w:space="0" w:color="auto"/>
            </w:tcBorders>
            <w:shd w:val="clear" w:color="auto" w:fill="FFFFFF"/>
          </w:tcPr>
          <w:p w14:paraId="2D5A81B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42F7E7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D123534"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329C3A1"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DC3F2C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lastRenderedPageBreak/>
              <w:t>ա)</w:t>
            </w:r>
            <w:r w:rsidRPr="003B2786">
              <w:rPr>
                <w:rStyle w:val="Bodytext1811pt"/>
                <w:rFonts w:ascii="Sylfaen" w:hAnsi="Sylfaen"/>
                <w:sz w:val="24"/>
                <w:szCs w:val="24"/>
              </w:rPr>
              <w:tab/>
              <w:t>Մատակարարի բացառում</w:t>
            </w:r>
          </w:p>
        </w:tc>
        <w:tc>
          <w:tcPr>
            <w:tcW w:w="1701" w:type="dxa"/>
            <w:gridSpan w:val="4"/>
            <w:tcBorders>
              <w:top w:val="single" w:sz="4" w:space="0" w:color="auto"/>
              <w:left w:val="single" w:sz="4" w:space="0" w:color="auto"/>
            </w:tcBorders>
            <w:shd w:val="clear" w:color="auto" w:fill="FFFFFF"/>
          </w:tcPr>
          <w:p w14:paraId="41452358"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1469AE27"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354AD71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55DAD8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442B52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Մատակարարի փոխարինում կամ ավելացում</w:t>
            </w:r>
          </w:p>
        </w:tc>
        <w:tc>
          <w:tcPr>
            <w:tcW w:w="1701" w:type="dxa"/>
            <w:gridSpan w:val="4"/>
            <w:tcBorders>
              <w:top w:val="single" w:sz="4" w:space="0" w:color="auto"/>
              <w:left w:val="single" w:sz="4" w:space="0" w:color="auto"/>
            </w:tcBorders>
            <w:shd w:val="clear" w:color="auto" w:fill="FFFFFF"/>
          </w:tcPr>
          <w:p w14:paraId="4E2C85D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1D1664F1"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7F2B25F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C70EF4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D72B0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Դոզավորված ներշնչակների սփեյսերների մատակարարների ցանկացած փոփոխություն</w:t>
            </w:r>
          </w:p>
        </w:tc>
        <w:tc>
          <w:tcPr>
            <w:tcW w:w="1701" w:type="dxa"/>
            <w:gridSpan w:val="4"/>
            <w:tcBorders>
              <w:top w:val="single" w:sz="4" w:space="0" w:color="auto"/>
              <w:left w:val="single" w:sz="4" w:space="0" w:color="auto"/>
            </w:tcBorders>
            <w:shd w:val="clear" w:color="auto" w:fill="FFFFFF"/>
          </w:tcPr>
          <w:p w14:paraId="0A9A5F3F" w14:textId="77777777" w:rsidR="008C76E0" w:rsidRPr="003B2786" w:rsidRDefault="008C76E0" w:rsidP="008C76E0">
            <w:pPr>
              <w:tabs>
                <w:tab w:val="left" w:pos="567"/>
              </w:tabs>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F44B419" w14:textId="77777777" w:rsidR="008C76E0" w:rsidRPr="003B2786" w:rsidRDefault="008C76E0" w:rsidP="008C76E0">
            <w:pPr>
              <w:tabs>
                <w:tab w:val="left" w:pos="567"/>
              </w:tabs>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9BE1678"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576F76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996AE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FA6615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Փաթեթվածքի կամ արտադրատեսակի բաղադրիչը չի բացառվում։</w:t>
            </w:r>
          </w:p>
          <w:p w14:paraId="6CF1A03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Փաթեթվածքի (արտադրատեսակի) </w:t>
            </w:r>
            <w:r w:rsidR="00C54D75">
              <w:rPr>
                <w:rStyle w:val="Bodytext1811pt"/>
                <w:rFonts w:ascii="Sylfaen" w:hAnsi="Sylfaen"/>
                <w:sz w:val="24"/>
                <w:szCs w:val="24"/>
              </w:rPr>
              <w:t>և</w:t>
            </w:r>
            <w:r w:rsidRPr="003B2786">
              <w:rPr>
                <w:rStyle w:val="Bodytext1811pt"/>
                <w:rFonts w:ascii="Sylfaen" w:hAnsi="Sylfaen"/>
                <w:sz w:val="24"/>
                <w:szCs w:val="24"/>
              </w:rPr>
              <w:t xml:space="preserve"> էսքիզի մասնագրի բաղադրիչների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բաղադրությունը չի փոփոխվում։</w:t>
            </w:r>
          </w:p>
          <w:p w14:paraId="0C9B8A9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Մասնագրերը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մեթոդներն առնվազն համարժեք են։</w:t>
            </w:r>
          </w:p>
          <w:p w14:paraId="4620700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Մանրէազերծման մեթոդը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պայմանները չեն փոփոխվում (եթե կիրառելի է)։</w:t>
            </w:r>
          </w:p>
        </w:tc>
      </w:tr>
      <w:tr w:rsidR="008C76E0" w:rsidRPr="003B2786" w14:paraId="387DA7F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FFE77C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046A23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30CA721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Միությունում բժշկական արտադրատեսակի գրանցման հաստատումը՝ դեղապատրաստուկին կցվող բժշկական արտադրատեսակների մասով</w:t>
            </w:r>
          </w:p>
          <w:p w14:paraId="6187F98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 (եթե կիրառելի է)։</w:t>
            </w:r>
          </w:p>
        </w:tc>
      </w:tr>
      <w:tr w:rsidR="008C76E0" w:rsidRPr="003B2786" w14:paraId="112DEBE0" w14:textId="77777777" w:rsidTr="008C76E0">
        <w:trPr>
          <w:jc w:val="center"/>
        </w:trPr>
        <w:tc>
          <w:tcPr>
            <w:tcW w:w="10401" w:type="dxa"/>
            <w:gridSpan w:val="15"/>
            <w:tcBorders>
              <w:top w:val="single" w:sz="4" w:space="0" w:color="auto"/>
            </w:tcBorders>
            <w:shd w:val="clear" w:color="auto" w:fill="FFFFFF"/>
            <w:vAlign w:val="bottom"/>
          </w:tcPr>
          <w:p w14:paraId="47A14702" w14:textId="77777777" w:rsidR="008C76E0" w:rsidRPr="003B2786" w:rsidRDefault="008C76E0" w:rsidP="008C76E0">
            <w:pPr>
              <w:pStyle w:val="Bodytext180"/>
              <w:shd w:val="clear" w:color="auto" w:fill="auto"/>
              <w:tabs>
                <w:tab w:val="left" w:pos="1118"/>
              </w:tabs>
              <w:spacing w:before="0" w:after="120" w:line="240" w:lineRule="auto"/>
              <w:ind w:left="158" w:right="210" w:firstLine="0"/>
              <w:jc w:val="both"/>
              <w:rPr>
                <w:rFonts w:ascii="Sylfaen" w:hAnsi="Sylfaen"/>
                <w:b w:val="0"/>
                <w:sz w:val="24"/>
                <w:szCs w:val="24"/>
              </w:rPr>
            </w:pPr>
            <w:r w:rsidRPr="003B2786">
              <w:rPr>
                <w:rStyle w:val="Bodytext295pt"/>
                <w:rFonts w:ascii="Sylfaen" w:hAnsi="Sylfaen"/>
                <w:sz w:val="24"/>
                <w:szCs w:val="24"/>
              </w:rPr>
              <w:t>Բ.II.զ)</w:t>
            </w:r>
            <w:r w:rsidRPr="003B2786">
              <w:rPr>
                <w:rStyle w:val="Bodytext295pt"/>
                <w:rFonts w:ascii="Sylfaen" w:hAnsi="Sylfaen"/>
                <w:sz w:val="24"/>
                <w:szCs w:val="24"/>
              </w:rPr>
              <w:tab/>
              <w:t>Կայունությունը</w:t>
            </w:r>
          </w:p>
        </w:tc>
      </w:tr>
      <w:tr w:rsidR="008C76E0" w:rsidRPr="003B2786" w14:paraId="057D376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9BEA32E" w14:textId="77777777" w:rsidR="008C76E0" w:rsidRPr="008C76E0" w:rsidRDefault="008C76E0" w:rsidP="008C76E0">
            <w:pPr>
              <w:pStyle w:val="Bodytext180"/>
              <w:shd w:val="clear" w:color="auto" w:fill="auto"/>
              <w:tabs>
                <w:tab w:val="left" w:pos="1118"/>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Բ.II.զ. 1.</w:t>
            </w:r>
            <w:r w:rsidRPr="003B2786">
              <w:rPr>
                <w:rStyle w:val="Bodytext1811pt"/>
                <w:rFonts w:ascii="Sylfaen" w:hAnsi="Sylfaen"/>
                <w:sz w:val="24"/>
                <w:szCs w:val="24"/>
              </w:rPr>
              <w:tab/>
              <w:t>Դեղապատրաստուկի պիտանիության ժամկետի կամ պահպանման պայմանների փոփոխությունը</w:t>
            </w:r>
          </w:p>
        </w:tc>
        <w:tc>
          <w:tcPr>
            <w:tcW w:w="1701" w:type="dxa"/>
            <w:gridSpan w:val="4"/>
            <w:tcBorders>
              <w:top w:val="single" w:sz="4" w:space="0" w:color="auto"/>
              <w:left w:val="single" w:sz="4" w:space="0" w:color="auto"/>
            </w:tcBorders>
            <w:shd w:val="clear" w:color="auto" w:fill="FFFFFF"/>
          </w:tcPr>
          <w:p w14:paraId="1186D50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CA76C0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DE7ED0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F07D8C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FC4438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պիտանիության ժամկետի կրճատում</w:t>
            </w:r>
          </w:p>
        </w:tc>
        <w:tc>
          <w:tcPr>
            <w:tcW w:w="1701" w:type="dxa"/>
            <w:gridSpan w:val="4"/>
            <w:tcBorders>
              <w:top w:val="single" w:sz="4" w:space="0" w:color="auto"/>
              <w:left w:val="single" w:sz="4" w:space="0" w:color="auto"/>
            </w:tcBorders>
            <w:shd w:val="clear" w:color="auto" w:fill="FFFFFF"/>
          </w:tcPr>
          <w:p w14:paraId="175FD10A" w14:textId="77777777" w:rsidR="008C76E0" w:rsidRPr="003B2786" w:rsidRDefault="008C76E0" w:rsidP="008C76E0">
            <w:pPr>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1E3202F" w14:textId="77777777" w:rsidR="008C76E0" w:rsidRPr="003B2786" w:rsidRDefault="008C76E0" w:rsidP="008C76E0">
            <w:pPr>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115683B8"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7D8A20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B130C5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Առ</w:t>
            </w:r>
            <w:r w:rsidR="00C54D75">
              <w:rPr>
                <w:rStyle w:val="Bodytext1811pt"/>
                <w:rFonts w:ascii="Sylfaen" w:hAnsi="Sylfaen"/>
                <w:sz w:val="24"/>
                <w:szCs w:val="24"/>
              </w:rPr>
              <w:t>և</w:t>
            </w:r>
            <w:r w:rsidRPr="003B2786">
              <w:rPr>
                <w:rStyle w:val="Bodytext1811pt"/>
                <w:rFonts w:ascii="Sylfaen" w:hAnsi="Sylfaen"/>
                <w:sz w:val="24"/>
                <w:szCs w:val="24"/>
              </w:rPr>
              <w:t>տրային փաթեթվածքով փաթեթավորված</w:t>
            </w:r>
          </w:p>
        </w:tc>
        <w:tc>
          <w:tcPr>
            <w:tcW w:w="1701" w:type="dxa"/>
            <w:gridSpan w:val="4"/>
            <w:tcBorders>
              <w:top w:val="single" w:sz="4" w:space="0" w:color="auto"/>
              <w:left w:val="single" w:sz="4" w:space="0" w:color="auto"/>
            </w:tcBorders>
            <w:shd w:val="clear" w:color="auto" w:fill="FFFFFF"/>
          </w:tcPr>
          <w:p w14:paraId="14CDA0E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FA381D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EB8AB2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D65B21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7127BD5"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Առաջին անգամ բացելուց հետո</w:t>
            </w:r>
          </w:p>
        </w:tc>
        <w:tc>
          <w:tcPr>
            <w:tcW w:w="1701" w:type="dxa"/>
            <w:gridSpan w:val="4"/>
            <w:tcBorders>
              <w:top w:val="single" w:sz="4" w:space="0" w:color="auto"/>
              <w:left w:val="single" w:sz="4" w:space="0" w:color="auto"/>
            </w:tcBorders>
            <w:shd w:val="clear" w:color="auto" w:fill="FFFFFF"/>
          </w:tcPr>
          <w:p w14:paraId="5B256ED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619635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57045CB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FFF7A3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16E25D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3.</w:t>
            </w:r>
            <w:r w:rsidRPr="003B2786">
              <w:rPr>
                <w:rStyle w:val="Bodytext1811pt"/>
                <w:rFonts w:ascii="Sylfaen" w:hAnsi="Sylfaen"/>
                <w:sz w:val="24"/>
                <w:szCs w:val="24"/>
              </w:rPr>
              <w:tab/>
              <w:t>Նոսրացնելուց կամ վերականգնելուց հետո</w:t>
            </w:r>
          </w:p>
        </w:tc>
        <w:tc>
          <w:tcPr>
            <w:tcW w:w="1701" w:type="dxa"/>
            <w:gridSpan w:val="4"/>
            <w:tcBorders>
              <w:top w:val="single" w:sz="4" w:space="0" w:color="auto"/>
              <w:left w:val="single" w:sz="4" w:space="0" w:color="auto"/>
            </w:tcBorders>
            <w:shd w:val="clear" w:color="auto" w:fill="FFFFFF"/>
          </w:tcPr>
          <w:p w14:paraId="19AEDB9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42AD69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5A775B8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AF9A3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6FFD1C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պիտանիության ժամկետի երկարաձգում</w:t>
            </w:r>
          </w:p>
        </w:tc>
        <w:tc>
          <w:tcPr>
            <w:tcW w:w="1701" w:type="dxa"/>
            <w:gridSpan w:val="4"/>
            <w:tcBorders>
              <w:top w:val="single" w:sz="4" w:space="0" w:color="auto"/>
              <w:left w:val="single" w:sz="4" w:space="0" w:color="auto"/>
            </w:tcBorders>
            <w:shd w:val="clear" w:color="auto" w:fill="FFFFFF"/>
          </w:tcPr>
          <w:p w14:paraId="4F20155D" w14:textId="77777777" w:rsidR="008C76E0" w:rsidRPr="003B2786" w:rsidRDefault="008C76E0" w:rsidP="008C76E0">
            <w:pPr>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CE068AE" w14:textId="77777777" w:rsidR="008C76E0" w:rsidRPr="003B2786" w:rsidRDefault="008C76E0" w:rsidP="008C76E0">
            <w:pPr>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81C9128"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49A8BC8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5FC2B7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Առ</w:t>
            </w:r>
            <w:r w:rsidR="00C54D75">
              <w:rPr>
                <w:rStyle w:val="Bodytext1811pt"/>
                <w:rFonts w:ascii="Sylfaen" w:hAnsi="Sylfaen"/>
                <w:sz w:val="24"/>
                <w:szCs w:val="24"/>
              </w:rPr>
              <w:t>և</w:t>
            </w:r>
            <w:r w:rsidRPr="003B2786">
              <w:rPr>
                <w:rStyle w:val="Bodytext1811pt"/>
                <w:rFonts w:ascii="Sylfaen" w:hAnsi="Sylfaen"/>
                <w:sz w:val="24"/>
                <w:szCs w:val="24"/>
              </w:rPr>
              <w:t>տրային փաթեթվածքով փաթեթավորված (իրական ժամանակում տվյալներով հաստատված)</w:t>
            </w:r>
          </w:p>
        </w:tc>
        <w:tc>
          <w:tcPr>
            <w:tcW w:w="1701" w:type="dxa"/>
            <w:gridSpan w:val="4"/>
            <w:tcBorders>
              <w:top w:val="single" w:sz="4" w:space="0" w:color="auto"/>
              <w:left w:val="single" w:sz="4" w:space="0" w:color="auto"/>
            </w:tcBorders>
            <w:shd w:val="clear" w:color="auto" w:fill="FFFFFF"/>
          </w:tcPr>
          <w:p w14:paraId="761BDBB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5C95F9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3963EDD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373E69"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69557C4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Առաջին անգամ բացելուց հետո (իրական ժամանակում տվյալներով </w:t>
            </w:r>
            <w:r w:rsidRPr="003B2786">
              <w:rPr>
                <w:rStyle w:val="Bodytext1811pt"/>
                <w:rFonts w:ascii="Sylfaen" w:hAnsi="Sylfaen"/>
                <w:sz w:val="24"/>
                <w:szCs w:val="24"/>
              </w:rPr>
              <w:lastRenderedPageBreak/>
              <w:t>հաստատված)</w:t>
            </w:r>
          </w:p>
        </w:tc>
        <w:tc>
          <w:tcPr>
            <w:tcW w:w="1701" w:type="dxa"/>
            <w:gridSpan w:val="4"/>
            <w:tcBorders>
              <w:top w:val="single" w:sz="4" w:space="0" w:color="auto"/>
              <w:left w:val="single" w:sz="4" w:space="0" w:color="auto"/>
              <w:bottom w:val="single" w:sz="4" w:space="0" w:color="auto"/>
            </w:tcBorders>
            <w:shd w:val="clear" w:color="auto" w:fill="FFFFFF"/>
          </w:tcPr>
          <w:p w14:paraId="0F8EA07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bottom w:val="single" w:sz="4" w:space="0" w:color="auto"/>
            </w:tcBorders>
            <w:shd w:val="clear" w:color="auto" w:fill="FFFFFF"/>
          </w:tcPr>
          <w:p w14:paraId="6DADDC4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41E95A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895AED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26205B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Նոսրացնելուց կամ վերականգնելուց հետո (իրական ժամանակում տվյալներով հաստատված)</w:t>
            </w:r>
          </w:p>
        </w:tc>
        <w:tc>
          <w:tcPr>
            <w:tcW w:w="1701" w:type="dxa"/>
            <w:gridSpan w:val="4"/>
            <w:tcBorders>
              <w:top w:val="single" w:sz="4" w:space="0" w:color="auto"/>
              <w:left w:val="single" w:sz="4" w:space="0" w:color="auto"/>
            </w:tcBorders>
            <w:shd w:val="clear" w:color="auto" w:fill="FFFFFF"/>
          </w:tcPr>
          <w:p w14:paraId="1582AAA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0D8B83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51F9B4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B7A456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1614E1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Պիտանիության ժամկետի երկարաձգում՝ կայունության վերաբերյալ այն տվյալների արտարկման եղանակով, որոնք չենք համապատասխանում Միության փաստաթղթերին</w:t>
            </w:r>
          </w:p>
        </w:tc>
        <w:tc>
          <w:tcPr>
            <w:tcW w:w="1701" w:type="dxa"/>
            <w:gridSpan w:val="4"/>
            <w:tcBorders>
              <w:top w:val="single" w:sz="4" w:space="0" w:color="auto"/>
              <w:left w:val="single" w:sz="4" w:space="0" w:color="auto"/>
            </w:tcBorders>
            <w:shd w:val="clear" w:color="auto" w:fill="FFFFFF"/>
          </w:tcPr>
          <w:p w14:paraId="7CFD95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76F9EE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030640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CF48BE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C5204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Կենսաբանական (իմունաբանական) դեղապատրաստուկի պահպանման ժամկետի երկարաձգում՝ կայունության ուսումնասիրության հաստատված ծրագրին համապատասխան</w:t>
            </w:r>
          </w:p>
        </w:tc>
        <w:tc>
          <w:tcPr>
            <w:tcW w:w="1701" w:type="dxa"/>
            <w:gridSpan w:val="4"/>
            <w:tcBorders>
              <w:top w:val="single" w:sz="4" w:space="0" w:color="auto"/>
              <w:left w:val="single" w:sz="4" w:space="0" w:color="auto"/>
            </w:tcBorders>
            <w:shd w:val="clear" w:color="auto" w:fill="FFFFFF"/>
          </w:tcPr>
          <w:p w14:paraId="31739A2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AECE47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D067C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5CF220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A8395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դեղապատրաստուկների պահպանման պայմանների փոփոխություն, եթե կայունության հետազոտությունները չեն անցկացվել կայունության ուսումնասիրության հաստատված ընթացիկ ծրագրին համապատասխան</w:t>
            </w:r>
          </w:p>
        </w:tc>
        <w:tc>
          <w:tcPr>
            <w:tcW w:w="1701" w:type="dxa"/>
            <w:gridSpan w:val="4"/>
            <w:tcBorders>
              <w:top w:val="single" w:sz="4" w:space="0" w:color="auto"/>
              <w:left w:val="single" w:sz="4" w:space="0" w:color="auto"/>
            </w:tcBorders>
            <w:shd w:val="clear" w:color="auto" w:fill="FFFFFF"/>
          </w:tcPr>
          <w:p w14:paraId="5CADAF2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E263E1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C28018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C749855" w14:textId="77777777" w:rsidTr="008C76E0">
        <w:trPr>
          <w:jc w:val="center"/>
        </w:trPr>
        <w:tc>
          <w:tcPr>
            <w:tcW w:w="4997" w:type="dxa"/>
            <w:gridSpan w:val="6"/>
            <w:tcBorders>
              <w:top w:val="single" w:sz="4" w:space="0" w:color="auto"/>
              <w:left w:val="single" w:sz="4" w:space="0" w:color="auto"/>
            </w:tcBorders>
            <w:shd w:val="clear" w:color="auto" w:fill="FFFFFF"/>
          </w:tcPr>
          <w:p w14:paraId="065886B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դեղապատրաստուկի կամ նոսրացումից (վերականգնումից) հետո դեղապատրաստուկի պահպանման պայմանների փոփոխություն</w:t>
            </w:r>
          </w:p>
        </w:tc>
        <w:tc>
          <w:tcPr>
            <w:tcW w:w="1701" w:type="dxa"/>
            <w:gridSpan w:val="4"/>
            <w:tcBorders>
              <w:top w:val="single" w:sz="4" w:space="0" w:color="auto"/>
              <w:left w:val="single" w:sz="4" w:space="0" w:color="auto"/>
            </w:tcBorders>
            <w:shd w:val="clear" w:color="auto" w:fill="FFFFFF"/>
          </w:tcPr>
          <w:p w14:paraId="0D34C1B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BF976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6C4DB70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IB</w:t>
            </w:r>
          </w:p>
        </w:tc>
      </w:tr>
      <w:tr w:rsidR="008C76E0" w:rsidRPr="003B2786" w14:paraId="15FADA09" w14:textId="77777777" w:rsidTr="008C76E0">
        <w:trPr>
          <w:jc w:val="center"/>
        </w:trPr>
        <w:tc>
          <w:tcPr>
            <w:tcW w:w="4997" w:type="dxa"/>
            <w:gridSpan w:val="6"/>
            <w:tcBorders>
              <w:top w:val="single" w:sz="4" w:space="0" w:color="auto"/>
              <w:left w:val="single" w:sz="4" w:space="0" w:color="auto"/>
            </w:tcBorders>
            <w:shd w:val="clear" w:color="auto" w:fill="FFFFFF"/>
          </w:tcPr>
          <w:p w14:paraId="2004E5A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կայունության հաստատված արձանագրության փոփոխություն</w:t>
            </w:r>
          </w:p>
        </w:tc>
        <w:tc>
          <w:tcPr>
            <w:tcW w:w="1701" w:type="dxa"/>
            <w:gridSpan w:val="4"/>
            <w:tcBorders>
              <w:top w:val="single" w:sz="4" w:space="0" w:color="auto"/>
              <w:left w:val="single" w:sz="4" w:space="0" w:color="auto"/>
            </w:tcBorders>
            <w:shd w:val="clear" w:color="auto" w:fill="FFFFFF"/>
          </w:tcPr>
          <w:p w14:paraId="76EAD30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29AE25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18EB4D2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433D3F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8B461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10CAA6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արտադրության ընթացքում առաջ եկող անկանխատեսելի իրավիճակների կամ կայունության փոփոխության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7DF15D1F" w14:textId="77777777" w:rsidR="008C76E0" w:rsidRPr="00E74ADC" w:rsidRDefault="008C76E0" w:rsidP="008C76E0">
            <w:pPr>
              <w:pStyle w:val="Bodytext180"/>
              <w:shd w:val="clear" w:color="auto" w:fill="auto"/>
              <w:tabs>
                <w:tab w:val="left" w:pos="567"/>
              </w:tabs>
              <w:spacing w:before="0" w:after="120" w:line="240" w:lineRule="auto"/>
              <w:ind w:left="158" w:right="210" w:firstLine="0"/>
              <w:jc w:val="both"/>
              <w:rPr>
                <w:rStyle w:val="Bodytext1811pt"/>
                <w:rFonts w:ascii="Sylfaen" w:hAnsi="Sylfaen"/>
                <w:sz w:val="24"/>
                <w:szCs w:val="24"/>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Փոփոխությունները չեն հանգեցնում փորձարկվող պարամետրերի ընդունելիության չափանիշների ընդլայնմանը, կայունության պարամետրերի բացառմանը կամ փորձարկման հաճախականության նվազեցմանը:</w:t>
            </w:r>
          </w:p>
          <w:p w14:paraId="2F8E6134" w14:textId="77777777" w:rsidR="002F06F8" w:rsidRPr="00E74ADC" w:rsidRDefault="002F06F8"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p>
        </w:tc>
      </w:tr>
      <w:tr w:rsidR="008C76E0" w:rsidRPr="003B2786" w14:paraId="0F88E71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56AC6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F20BBD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Դրանում պետք է պարունակվեն իրական ժամանակում (ներառում է պիտանիության ամբողջ ժամկետը) Միության համապատասխան փաստաթղթերի համաձայն անցկացված կայունության համապատասխան հետազոտությունների արդյունքները՝ առնվազն երկու </w:t>
            </w:r>
            <w:r w:rsidRPr="003B2786">
              <w:rPr>
                <w:rStyle w:val="Bodytext1811pt"/>
                <w:rFonts w:ascii="Sylfaen" w:hAnsi="Sylfaen"/>
                <w:sz w:val="24"/>
                <w:szCs w:val="24"/>
              </w:rPr>
              <w:lastRenderedPageBreak/>
              <w:t>փորձարարաարդյունաբերական սերիայի</w:t>
            </w:r>
            <w:r w:rsidRPr="003B2786">
              <w:rPr>
                <w:rStyle w:val="Bodytext1811pt"/>
                <w:rFonts w:ascii="Sylfaen" w:hAnsi="Sylfaen"/>
                <w:sz w:val="24"/>
                <w:szCs w:val="24"/>
                <w:vertAlign w:val="superscript"/>
              </w:rPr>
              <w:t>(1)</w:t>
            </w:r>
            <w:r w:rsidRPr="003B2786">
              <w:rPr>
                <w:rStyle w:val="Bodytext1811pt"/>
                <w:rFonts w:ascii="Sylfaen" w:hAnsi="Sylfaen"/>
                <w:sz w:val="24"/>
                <w:szCs w:val="24"/>
              </w:rPr>
              <w:t xml:space="preserve"> այն դեղապատրաստուկի նկատմամբ, որը փաթեթավորված է գրանցված փաթեթավորման նյութով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համապատասխանաբար առաջին անգամ բացելուց կամ նոսրացնելուց հետո. համապատասխան դեպքերում անհրաժեշտ է ներկայացնել միկրոկենսաբանական փորձարկումների արդյունքները։</w:t>
            </w:r>
          </w:p>
          <w:p w14:paraId="65D216F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Դեղապատրաստուկի վերաբերյալ վերանայված տեղեկատվությունը:</w:t>
            </w:r>
          </w:p>
          <w:p w14:paraId="47C7097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մասնագրերի օրինակները՝ պիտանիության ժամկետի ավարտին </w:t>
            </w:r>
            <w:r w:rsidR="00C54D75">
              <w:rPr>
                <w:rStyle w:val="Bodytext1811pt"/>
                <w:rFonts w:ascii="Sylfaen" w:hAnsi="Sylfaen"/>
                <w:sz w:val="24"/>
                <w:szCs w:val="24"/>
              </w:rPr>
              <w:t>և</w:t>
            </w:r>
            <w:r w:rsidRPr="003B2786">
              <w:rPr>
                <w:rStyle w:val="Bodytext1811pt"/>
                <w:rFonts w:ascii="Sylfaen" w:hAnsi="Sylfaen"/>
                <w:sz w:val="24"/>
                <w:szCs w:val="24"/>
              </w:rPr>
              <w:t xml:space="preserve"> կիրառելիության դեպքում, մասնագրերը՝ նոսրացնելուց (վերականգնելուց) կամ առաջին անգամ բացելուց հետո։</w:t>
            </w:r>
          </w:p>
          <w:p w14:paraId="39C32C57" w14:textId="77777777" w:rsidR="008C76E0" w:rsidRPr="003B2786" w:rsidRDefault="008C76E0" w:rsidP="002F06F8">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Առաջարկվող փոփոխությունների հիմնավորումը։</w:t>
            </w:r>
          </w:p>
        </w:tc>
      </w:tr>
      <w:tr w:rsidR="008C76E0" w:rsidRPr="003B2786" w14:paraId="65C89D82" w14:textId="77777777" w:rsidTr="008C76E0">
        <w:trPr>
          <w:jc w:val="center"/>
        </w:trPr>
        <w:tc>
          <w:tcPr>
            <w:tcW w:w="2334" w:type="dxa"/>
            <w:gridSpan w:val="2"/>
            <w:tcBorders>
              <w:top w:val="single" w:sz="4" w:space="0" w:color="auto"/>
              <w:left w:val="single" w:sz="4" w:space="0" w:color="auto"/>
            </w:tcBorders>
            <w:shd w:val="clear" w:color="auto" w:fill="FFFFFF"/>
          </w:tcPr>
          <w:p w14:paraId="12161CE6" w14:textId="77777777" w:rsidR="008C76E0" w:rsidRPr="003B2786" w:rsidRDefault="008C76E0" w:rsidP="008C76E0">
            <w:pPr>
              <w:pStyle w:val="Bodytext180"/>
              <w:shd w:val="clear" w:color="auto" w:fill="auto"/>
              <w:tabs>
                <w:tab w:val="left" w:pos="567"/>
              </w:tabs>
              <w:spacing w:before="0" w:after="120" w:line="240" w:lineRule="auto"/>
              <w:ind w:left="157" w:right="82" w:firstLine="0"/>
              <w:jc w:val="both"/>
              <w:rPr>
                <w:rFonts w:ascii="Sylfaen" w:hAnsi="Sylfaen"/>
                <w:sz w:val="24"/>
                <w:szCs w:val="24"/>
              </w:rPr>
            </w:pPr>
            <w:r w:rsidRPr="003B2786">
              <w:rPr>
                <w:rStyle w:val="Bodytext1811pt"/>
                <w:rFonts w:ascii="Sylfaen" w:hAnsi="Sylfaen"/>
                <w:sz w:val="24"/>
                <w:szCs w:val="24"/>
              </w:rPr>
              <w:lastRenderedPageBreak/>
              <w:t xml:space="preserve">* </w:t>
            </w:r>
            <w:r w:rsidRPr="003B2786">
              <w:rPr>
                <w:rStyle w:val="Bodytext295pt"/>
                <w:rFonts w:ascii="Sylfaen" w:hAnsi="Sylfaen"/>
                <w:sz w:val="24"/>
                <w:szCs w:val="24"/>
              </w:rPr>
              <w:t>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755F583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sz w:val="24"/>
                <w:szCs w:val="24"/>
              </w:rPr>
            </w:pPr>
            <w:r w:rsidRPr="003B2786">
              <w:rPr>
                <w:rStyle w:val="Bodytext1811pt"/>
                <w:rFonts w:ascii="Sylfaen" w:hAnsi="Sylfaen"/>
                <w:sz w:val="24"/>
                <w:szCs w:val="24"/>
              </w:rPr>
              <w:t>Կենսաբանական (իմունաբանական) դեղապատրաստուկի առնչությամբ արտարկումը կիրառելի չէ։</w:t>
            </w:r>
          </w:p>
        </w:tc>
      </w:tr>
      <w:tr w:rsidR="008C76E0" w:rsidRPr="003B2786" w14:paraId="3AC8DDEA" w14:textId="77777777" w:rsidTr="008C76E0">
        <w:trPr>
          <w:jc w:val="center"/>
        </w:trPr>
        <w:tc>
          <w:tcPr>
            <w:tcW w:w="2334" w:type="dxa"/>
            <w:gridSpan w:val="2"/>
            <w:tcBorders>
              <w:top w:val="single" w:sz="4" w:space="0" w:color="auto"/>
              <w:left w:val="single" w:sz="4" w:space="0" w:color="auto"/>
              <w:bottom w:val="single" w:sz="4" w:space="0" w:color="auto"/>
            </w:tcBorders>
            <w:shd w:val="clear" w:color="auto" w:fill="FFFFFF"/>
          </w:tcPr>
          <w:p w14:paraId="5C4F688E"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p>
        </w:tc>
        <w:tc>
          <w:tcPr>
            <w:tcW w:w="8067" w:type="dxa"/>
            <w:gridSpan w:val="13"/>
            <w:tcBorders>
              <w:top w:val="single" w:sz="4" w:space="0" w:color="auto"/>
              <w:left w:val="single" w:sz="4" w:space="0" w:color="auto"/>
              <w:bottom w:val="single" w:sz="4" w:space="0" w:color="auto"/>
              <w:right w:val="single" w:sz="4" w:space="0" w:color="auto"/>
            </w:tcBorders>
            <w:shd w:val="clear" w:color="auto" w:fill="FFFFFF"/>
            <w:vAlign w:val="bottom"/>
          </w:tcPr>
          <w:p w14:paraId="6D6AF1B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Արդյունաբերական սերիաների պիտանիության ժամկետը ստուգելու պարտավորության առկայության դեպքում թույլատրելի է փորձարարաարդյունաբերական սերիաների կիրառությունը։</w:t>
            </w:r>
          </w:p>
        </w:tc>
      </w:tr>
    </w:tbl>
    <w:p w14:paraId="46F63665" w14:textId="77777777" w:rsidR="008C76E0" w:rsidRPr="003B2786" w:rsidRDefault="008C76E0" w:rsidP="008C76E0">
      <w:pPr>
        <w:tabs>
          <w:tab w:val="left" w:pos="567"/>
        </w:tabs>
        <w:spacing w:after="120" w:line="240" w:lineRule="auto"/>
        <w:ind w:right="-1" w:firstLine="567"/>
        <w:jc w:val="both"/>
        <w:outlineLvl w:val="0"/>
        <w:rPr>
          <w:rFonts w:ascii="Sylfaen" w:eastAsia="MS Mincho" w:hAnsi="Sylfaen" w:cs="Sylfaen"/>
          <w:color w:val="000000"/>
          <w:sz w:val="24"/>
          <w:szCs w:val="24"/>
        </w:rPr>
      </w:pPr>
    </w:p>
    <w:p w14:paraId="6E91991B" w14:textId="77777777" w:rsidR="008C76E0" w:rsidRPr="003B2786" w:rsidRDefault="008C76E0" w:rsidP="008C76E0">
      <w:pPr>
        <w:tabs>
          <w:tab w:val="left" w:pos="567"/>
        </w:tabs>
        <w:spacing w:after="120" w:line="240" w:lineRule="auto"/>
        <w:ind w:right="-1" w:firstLine="567"/>
        <w:jc w:val="both"/>
        <w:outlineLvl w:val="0"/>
        <w:rPr>
          <w:rFonts w:ascii="Sylfaen" w:hAnsi="Sylfaen"/>
          <w:sz w:val="24"/>
          <w:szCs w:val="24"/>
        </w:rPr>
      </w:pPr>
      <w:r w:rsidRPr="003B2786">
        <w:rPr>
          <w:rFonts w:ascii="Sylfaen" w:hAnsi="Sylfaen"/>
          <w:sz w:val="24"/>
          <w:szCs w:val="24"/>
        </w:rPr>
        <w:t>Բ.II.է)</w:t>
      </w:r>
      <w:r w:rsidRPr="003B2786">
        <w:rPr>
          <w:rFonts w:ascii="Sylfaen" w:hAnsi="Sylfaen"/>
          <w:sz w:val="24"/>
          <w:szCs w:val="24"/>
        </w:rPr>
        <w:tab/>
        <w:t xml:space="preserve">Հետգրանցումային փոփոխությունների նախագծային դաշտը </w:t>
      </w:r>
      <w:r w:rsidR="00C54D75">
        <w:rPr>
          <w:rFonts w:ascii="Sylfaen" w:hAnsi="Sylfaen"/>
          <w:sz w:val="24"/>
          <w:szCs w:val="24"/>
        </w:rPr>
        <w:t>և</w:t>
      </w:r>
      <w:r w:rsidRPr="003B2786">
        <w:rPr>
          <w:rFonts w:ascii="Sylfaen" w:hAnsi="Sylfaen"/>
          <w:sz w:val="24"/>
          <w:szCs w:val="24"/>
        </w:rPr>
        <w:t xml:space="preserve"> արձանագրությունը</w:t>
      </w:r>
    </w:p>
    <w:tbl>
      <w:tblPr>
        <w:tblOverlap w:val="never"/>
        <w:tblW w:w="10694" w:type="dxa"/>
        <w:jc w:val="center"/>
        <w:tblLayout w:type="fixed"/>
        <w:tblCellMar>
          <w:left w:w="10" w:type="dxa"/>
          <w:right w:w="10" w:type="dxa"/>
        </w:tblCellMar>
        <w:tblLook w:val="04A0" w:firstRow="1" w:lastRow="0" w:firstColumn="1" w:lastColumn="0" w:noHBand="0" w:noVBand="1"/>
      </w:tblPr>
      <w:tblGrid>
        <w:gridCol w:w="9"/>
        <w:gridCol w:w="2585"/>
        <w:gridCol w:w="1879"/>
        <w:gridCol w:w="511"/>
        <w:gridCol w:w="1190"/>
        <w:gridCol w:w="693"/>
        <w:gridCol w:w="1433"/>
        <w:gridCol w:w="551"/>
        <w:gridCol w:w="1835"/>
        <w:gridCol w:w="8"/>
      </w:tblGrid>
      <w:tr w:rsidR="008C76E0" w:rsidRPr="003B2786" w14:paraId="5BC93DE4"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62AB8789" w14:textId="77777777" w:rsidR="008C76E0" w:rsidRPr="008C76E0" w:rsidRDefault="008C76E0" w:rsidP="008C76E0">
            <w:pPr>
              <w:pStyle w:val="Bodytext180"/>
              <w:shd w:val="clear" w:color="auto" w:fill="auto"/>
              <w:tabs>
                <w:tab w:val="left" w:pos="1101"/>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 1</w:t>
            </w:r>
            <w:r w:rsidRPr="003B2786">
              <w:rPr>
                <w:rStyle w:val="Bodytext1811pt"/>
                <w:rFonts w:ascii="Sylfaen" w:hAnsi="Sylfaen"/>
                <w:sz w:val="24"/>
                <w:szCs w:val="24"/>
              </w:rPr>
              <w:tab/>
              <w:t>Նոր նախագծային դաշտի ներմուծումը կամ դեղապատրաստուկի (բացառությամբ կենսաբանական դեղապատրաստուկի) հաստատված նախագծային դաշտի ընդլայնումը, որը վերաբերում է.</w:t>
            </w:r>
          </w:p>
        </w:tc>
        <w:tc>
          <w:tcPr>
            <w:tcW w:w="1701" w:type="dxa"/>
            <w:gridSpan w:val="2"/>
            <w:tcBorders>
              <w:top w:val="single" w:sz="4" w:space="0" w:color="auto"/>
              <w:left w:val="single" w:sz="4" w:space="0" w:color="auto"/>
            </w:tcBorders>
            <w:shd w:val="clear" w:color="auto" w:fill="FFFFFF"/>
          </w:tcPr>
          <w:p w14:paraId="697B6DCE"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3F306C46"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3FB69D9C"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4580F4D"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525833F6" w14:textId="77777777" w:rsidR="008C76E0" w:rsidRPr="008C76E0" w:rsidRDefault="008C76E0" w:rsidP="002F06F8">
            <w:pPr>
              <w:pStyle w:val="Bodytext180"/>
              <w:shd w:val="clear" w:color="auto" w:fill="auto"/>
              <w:tabs>
                <w:tab w:val="left" w:pos="567"/>
              </w:tabs>
              <w:spacing w:before="0" w:after="120" w:line="264" w:lineRule="auto"/>
              <w:ind w:left="130" w:right="13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Դեղապատրաստուկի արտադրության մեկ կամ ավելի առանձին գործառնություններին, ներառյալ՝ համապատասխան ներարտադրական հսկողությունը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վերլուծական մեթոդիկաները</w:t>
            </w:r>
          </w:p>
        </w:tc>
        <w:tc>
          <w:tcPr>
            <w:tcW w:w="1701" w:type="dxa"/>
            <w:gridSpan w:val="2"/>
            <w:tcBorders>
              <w:top w:val="single" w:sz="4" w:space="0" w:color="auto"/>
              <w:left w:val="single" w:sz="4" w:space="0" w:color="auto"/>
            </w:tcBorders>
            <w:shd w:val="clear" w:color="auto" w:fill="FFFFFF"/>
          </w:tcPr>
          <w:p w14:paraId="1CCE3FE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F7765F4"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128F08F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C02411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114FC475" w14:textId="77777777" w:rsidR="008C76E0" w:rsidRPr="008C76E0" w:rsidRDefault="008C76E0" w:rsidP="002F06F8">
            <w:pPr>
              <w:pStyle w:val="Bodytext180"/>
              <w:shd w:val="clear" w:color="auto" w:fill="auto"/>
              <w:tabs>
                <w:tab w:val="left" w:pos="567"/>
              </w:tabs>
              <w:spacing w:before="0" w:after="120" w:line="264" w:lineRule="auto"/>
              <w:ind w:left="130" w:right="13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Օժանդակ նյութերի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համար նախատեսված վերլուծական մեթոդիկաներին</w:t>
            </w:r>
          </w:p>
        </w:tc>
        <w:tc>
          <w:tcPr>
            <w:tcW w:w="1701" w:type="dxa"/>
            <w:gridSpan w:val="2"/>
            <w:tcBorders>
              <w:top w:val="single" w:sz="4" w:space="0" w:color="auto"/>
              <w:left w:val="single" w:sz="4" w:space="0" w:color="auto"/>
            </w:tcBorders>
            <w:shd w:val="clear" w:color="auto" w:fill="FFFFFF"/>
          </w:tcPr>
          <w:p w14:paraId="3C307AEB"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AE86EF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31F62BFC"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F3B07C3"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tcPr>
          <w:p w14:paraId="0D888B7E"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A5C1CB7"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Պատրաստուկի մշակման հետազոտությունների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այն գործառնության (ներառյալ համապատասխանաբար՝ ռիսկերի գնահատումը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բազմաչափ հետազոտությունները) </w:t>
            </w:r>
            <w:r w:rsidRPr="003B2786">
              <w:rPr>
                <w:rStyle w:val="Bodytext1811pt"/>
                <w:rFonts w:ascii="Sylfaen" w:hAnsi="Sylfaen"/>
                <w:sz w:val="24"/>
                <w:szCs w:val="24"/>
              </w:rPr>
              <w:lastRenderedPageBreak/>
              <w:t xml:space="preserve">արդյունքները, որոնցով հաստատվում է, որ դեղապատրաստուկի որակի կրիտիկական պարամետրերի հիման վրա ձեռք է բերվել նյութերի որակի ցուցանիշների </w:t>
            </w:r>
            <w:r w:rsidR="00C54D75">
              <w:rPr>
                <w:rStyle w:val="Bodytext1811pt"/>
                <w:rFonts w:ascii="Sylfaen" w:hAnsi="Sylfaen"/>
                <w:sz w:val="24"/>
                <w:szCs w:val="24"/>
              </w:rPr>
              <w:t>և</w:t>
            </w:r>
            <w:r w:rsidRPr="003B2786">
              <w:rPr>
                <w:rStyle w:val="Bodytext1811pt"/>
                <w:rFonts w:ascii="Sylfaen" w:hAnsi="Sylfaen"/>
                <w:sz w:val="24"/>
                <w:szCs w:val="24"/>
              </w:rPr>
              <w:t xml:space="preserve"> պրոցեսի պարամետրերի մեխանիկական հասկացության ամբողջական ընկալում։</w:t>
            </w:r>
          </w:p>
          <w:p w14:paraId="4AC67E4F"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Աղյուսակի տեսքով նախագծային դաշտի նկարագրությունը, ներառյալ՝ փոփոխականները (նյութի 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գործընթացի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առաջարկվող տիրույթները:</w:t>
            </w:r>
          </w:p>
          <w:p w14:paraId="3BE870C5"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5C9159B8"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76A5A7A4" w14:textId="77777777" w:rsidR="008C76E0" w:rsidRPr="008C76E0" w:rsidRDefault="008C76E0" w:rsidP="008C76E0">
            <w:pPr>
              <w:pStyle w:val="Bodytext180"/>
              <w:shd w:val="clear" w:color="auto" w:fill="auto"/>
              <w:tabs>
                <w:tab w:val="left" w:pos="1116"/>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lastRenderedPageBreak/>
              <w:t>Բ.II.է.2.</w:t>
            </w:r>
            <w:r w:rsidRPr="003B2786">
              <w:rPr>
                <w:rStyle w:val="Bodytext1811pt"/>
                <w:rFonts w:ascii="Sylfaen" w:hAnsi="Sylfaen"/>
                <w:sz w:val="24"/>
                <w:szCs w:val="24"/>
              </w:rPr>
              <w:tab/>
              <w:t>Դեղապատրաստուկին վերաբերող փոփոխությունների կառավարման հետգրանցումային արձանագրության ներմուծումը</w:t>
            </w:r>
          </w:p>
        </w:tc>
        <w:tc>
          <w:tcPr>
            <w:tcW w:w="1701" w:type="dxa"/>
            <w:gridSpan w:val="2"/>
            <w:tcBorders>
              <w:top w:val="single" w:sz="4" w:space="0" w:color="auto"/>
              <w:left w:val="single" w:sz="4" w:space="0" w:color="auto"/>
            </w:tcBorders>
            <w:shd w:val="clear" w:color="auto" w:fill="FFFFFF"/>
          </w:tcPr>
          <w:p w14:paraId="4C1D3CAF" w14:textId="77777777" w:rsidR="008C76E0" w:rsidRPr="003B2786" w:rsidRDefault="008C76E0" w:rsidP="008C76E0">
            <w:pPr>
              <w:pStyle w:val="Bodytext180"/>
              <w:shd w:val="clear" w:color="auto" w:fill="auto"/>
              <w:tabs>
                <w:tab w:val="left" w:pos="567"/>
              </w:tabs>
              <w:spacing w:before="0" w:after="120" w:line="240" w:lineRule="auto"/>
              <w:ind w:righ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18ADD407"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FABCAD6" w14:textId="77777777" w:rsidR="008C76E0" w:rsidRPr="003B2786" w:rsidRDefault="008C76E0" w:rsidP="008C76E0">
            <w:pPr>
              <w:pStyle w:val="Bodytext180"/>
              <w:shd w:val="clear" w:color="auto" w:fill="auto"/>
              <w:tabs>
                <w:tab w:val="left" w:pos="567"/>
              </w:tabs>
              <w:spacing w:before="0" w:after="120" w:line="240" w:lineRule="auto"/>
              <w:ind w:right="132"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D68AC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tcPr>
          <w:p w14:paraId="4F2BC9D9" w14:textId="77777777" w:rsidR="008C76E0" w:rsidRPr="003B2786" w:rsidRDefault="008C76E0" w:rsidP="008C76E0">
            <w:pPr>
              <w:tabs>
                <w:tab w:val="left" w:pos="567"/>
              </w:tabs>
              <w:spacing w:after="120"/>
              <w:ind w:left="132" w:right="132"/>
              <w:jc w:val="both"/>
              <w:rPr>
                <w:rFonts w:ascii="Sylfaen" w:hAnsi="Sylfaen"/>
                <w:sz w:val="24"/>
                <w:szCs w:val="24"/>
              </w:rPr>
            </w:pPr>
          </w:p>
        </w:tc>
        <w:tc>
          <w:tcPr>
            <w:tcW w:w="1701" w:type="dxa"/>
            <w:gridSpan w:val="2"/>
            <w:tcBorders>
              <w:top w:val="single" w:sz="4" w:space="0" w:color="auto"/>
              <w:left w:val="single" w:sz="4" w:space="0" w:color="auto"/>
            </w:tcBorders>
            <w:shd w:val="clear" w:color="auto" w:fill="FFFFFF"/>
          </w:tcPr>
          <w:p w14:paraId="5DEB7A26"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DB9E85C"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5013E21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2D9BED1"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329744D2"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037F32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փոփոխությունների մանրամասն նկարագրությունը:</w:t>
            </w:r>
          </w:p>
          <w:p w14:paraId="2D78B262"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Դեղապատրաստուկին վերաբերող փոփոխությունների կառավարման արձանագրությունը։</w:t>
            </w:r>
          </w:p>
          <w:p w14:paraId="0A60138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4E311C7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167A282D" w14:textId="77777777" w:rsidR="008C76E0" w:rsidRPr="008C76E0" w:rsidRDefault="008C76E0" w:rsidP="008C76E0">
            <w:pPr>
              <w:pStyle w:val="Bodytext180"/>
              <w:shd w:val="clear" w:color="auto" w:fill="auto"/>
              <w:tabs>
                <w:tab w:val="left" w:pos="1125"/>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Բ.II.է.3.</w:t>
            </w:r>
            <w:r w:rsidRPr="003B2786">
              <w:rPr>
                <w:rStyle w:val="Bodytext1811pt"/>
                <w:rFonts w:ascii="Sylfaen" w:hAnsi="Sylfaen"/>
                <w:sz w:val="24"/>
                <w:szCs w:val="24"/>
              </w:rPr>
              <w:tab/>
              <w:t>Դեղապատրաստուկին վերաբերող փոփոխությունների կառավարման հաստատված արձանագրության բացառումը</w:t>
            </w:r>
          </w:p>
        </w:tc>
        <w:tc>
          <w:tcPr>
            <w:tcW w:w="1701" w:type="dxa"/>
            <w:gridSpan w:val="2"/>
            <w:tcBorders>
              <w:top w:val="single" w:sz="4" w:space="0" w:color="auto"/>
              <w:left w:val="single" w:sz="4" w:space="0" w:color="auto"/>
            </w:tcBorders>
            <w:shd w:val="clear" w:color="auto" w:fill="FFFFFF"/>
          </w:tcPr>
          <w:p w14:paraId="67640E6D" w14:textId="77777777" w:rsidR="008C76E0" w:rsidRPr="003B2786" w:rsidRDefault="008C76E0" w:rsidP="008C76E0">
            <w:pPr>
              <w:pStyle w:val="Bodytext180"/>
              <w:shd w:val="clear" w:color="auto" w:fill="auto"/>
              <w:tabs>
                <w:tab w:val="left" w:pos="567"/>
              </w:tabs>
              <w:spacing w:before="0" w:after="120" w:line="240" w:lineRule="auto"/>
              <w:ind w:left="-10" w:righ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048A61C3"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4BD53A79" w14:textId="77777777" w:rsidR="008C76E0" w:rsidRPr="003B2786" w:rsidRDefault="008C76E0" w:rsidP="008C76E0">
            <w:pPr>
              <w:pStyle w:val="Bodytext180"/>
              <w:shd w:val="clear" w:color="auto" w:fill="auto"/>
              <w:tabs>
                <w:tab w:val="left" w:pos="567"/>
              </w:tabs>
              <w:spacing w:before="0" w:after="120" w:line="240" w:lineRule="auto"/>
              <w:ind w:left="60" w:right="6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1DAC486"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tcPr>
          <w:p w14:paraId="4D1E836F" w14:textId="77777777" w:rsidR="008C76E0" w:rsidRPr="003B2786" w:rsidRDefault="008C76E0" w:rsidP="008C76E0">
            <w:pPr>
              <w:tabs>
                <w:tab w:val="left" w:pos="567"/>
              </w:tabs>
              <w:spacing w:after="120"/>
              <w:ind w:left="132" w:right="132"/>
              <w:jc w:val="both"/>
              <w:rPr>
                <w:rFonts w:ascii="Sylfaen" w:hAnsi="Sylfaen"/>
                <w:sz w:val="24"/>
                <w:szCs w:val="24"/>
              </w:rPr>
            </w:pPr>
          </w:p>
        </w:tc>
        <w:tc>
          <w:tcPr>
            <w:tcW w:w="1701" w:type="dxa"/>
            <w:gridSpan w:val="2"/>
            <w:tcBorders>
              <w:top w:val="single" w:sz="4" w:space="0" w:color="auto"/>
              <w:left w:val="single" w:sz="4" w:space="0" w:color="auto"/>
            </w:tcBorders>
            <w:shd w:val="clear" w:color="auto" w:fill="FFFFFF"/>
          </w:tcPr>
          <w:p w14:paraId="26A5109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126" w:type="dxa"/>
            <w:gridSpan w:val="2"/>
            <w:tcBorders>
              <w:top w:val="single" w:sz="4" w:space="0" w:color="auto"/>
              <w:left w:val="single" w:sz="4" w:space="0" w:color="auto"/>
            </w:tcBorders>
            <w:shd w:val="clear" w:color="auto" w:fill="FFFFFF"/>
          </w:tcPr>
          <w:p w14:paraId="257B4854"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386" w:type="dxa"/>
            <w:gridSpan w:val="2"/>
            <w:tcBorders>
              <w:top w:val="single" w:sz="4" w:space="0" w:color="auto"/>
              <w:left w:val="single" w:sz="4" w:space="0" w:color="auto"/>
              <w:right w:val="single" w:sz="4" w:space="0" w:color="auto"/>
            </w:tcBorders>
            <w:shd w:val="clear" w:color="auto" w:fill="FFFFFF"/>
          </w:tcPr>
          <w:p w14:paraId="05928A92"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25948219"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20B23F71"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138A811"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Դեղապատրաստուկին վերաբերող փոփոխությունների կառավարման հետգրանցումային արձանագրության բացառումն անկանխատեսելի իրավիճակների կամ արձանագրության մեջ նկարագրված փոփոխություններ կատարելու ընթացքում մասնագրերի անհամապատասխանության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w:t>
            </w:r>
            <w:r w:rsidR="00C54D75">
              <w:rPr>
                <w:rStyle w:val="Bodytext1811pt"/>
                <w:rFonts w:ascii="Sylfaen" w:hAnsi="Sylfaen"/>
                <w:sz w:val="24"/>
                <w:szCs w:val="24"/>
              </w:rPr>
              <w:t>և</w:t>
            </w:r>
            <w:r w:rsidRPr="003B2786">
              <w:rPr>
                <w:rStyle w:val="Bodytext1811pt"/>
                <w:rFonts w:ascii="Sylfaen" w:hAnsi="Sylfaen"/>
                <w:sz w:val="24"/>
                <w:szCs w:val="24"/>
              </w:rPr>
              <w:t xml:space="preserve"> որ</w:t>
            </w:r>
            <w:r w:rsidR="00C54D75">
              <w:rPr>
                <w:rStyle w:val="Bodytext1811pt"/>
                <w:rFonts w:ascii="Sylfaen" w:hAnsi="Sylfaen"/>
                <w:sz w:val="24"/>
                <w:szCs w:val="24"/>
              </w:rPr>
              <w:t>և</w:t>
            </w:r>
            <w:r w:rsidRPr="003B2786">
              <w:rPr>
                <w:rStyle w:val="Bodytext1811pt"/>
                <w:rFonts w:ascii="Sylfaen" w:hAnsi="Sylfaen"/>
                <w:sz w:val="24"/>
                <w:szCs w:val="24"/>
              </w:rPr>
              <w:t>է կերպ չի ազդում դոսյեում ներառված հաստատված տվյալների վրա։</w:t>
            </w:r>
          </w:p>
        </w:tc>
      </w:tr>
      <w:tr w:rsidR="008C76E0" w:rsidRPr="003B2786" w14:paraId="1CF3830F"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4D4FBE8A"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74D9C9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բացառման հիմնավորումը:</w:t>
            </w:r>
          </w:p>
          <w:p w14:paraId="477CE1E9"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6C9041C8"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44F7A101" w14:textId="77777777" w:rsidR="008C76E0" w:rsidRPr="008C76E0" w:rsidRDefault="008C76E0" w:rsidP="008C76E0">
            <w:pPr>
              <w:pStyle w:val="Bodytext180"/>
              <w:shd w:val="clear" w:color="auto" w:fill="auto"/>
              <w:tabs>
                <w:tab w:val="left" w:pos="119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Բ.II.է.4.</w:t>
            </w:r>
            <w:r w:rsidRPr="003B2786">
              <w:rPr>
                <w:rStyle w:val="Bodytext1811pt"/>
                <w:rFonts w:ascii="Sylfaen" w:hAnsi="Sylfaen"/>
                <w:sz w:val="24"/>
                <w:szCs w:val="24"/>
              </w:rPr>
              <w:tab/>
              <w:t>Փոփոխությունների կառավարման հաստատված արձանագրության փոփոխությունները</w:t>
            </w:r>
          </w:p>
        </w:tc>
        <w:tc>
          <w:tcPr>
            <w:tcW w:w="1701" w:type="dxa"/>
            <w:gridSpan w:val="2"/>
            <w:tcBorders>
              <w:top w:val="single" w:sz="4" w:space="0" w:color="auto"/>
              <w:left w:val="single" w:sz="4" w:space="0" w:color="auto"/>
            </w:tcBorders>
            <w:shd w:val="clear" w:color="auto" w:fill="FFFFFF"/>
          </w:tcPr>
          <w:p w14:paraId="6AE872EF"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728E3747"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4EB93C1"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F03D4C7"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75387A5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փոփոխությունների կառավարման արձանագրության </w:t>
            </w:r>
            <w:r w:rsidRPr="003B2786">
              <w:rPr>
                <w:rStyle w:val="Bodytext1811pt"/>
                <w:rFonts w:ascii="Sylfaen" w:hAnsi="Sylfaen"/>
                <w:sz w:val="24"/>
                <w:szCs w:val="24"/>
              </w:rPr>
              <w:lastRenderedPageBreak/>
              <w:t>էական փոփոխություններ</w:t>
            </w:r>
          </w:p>
        </w:tc>
        <w:tc>
          <w:tcPr>
            <w:tcW w:w="1701" w:type="dxa"/>
            <w:gridSpan w:val="2"/>
            <w:tcBorders>
              <w:top w:val="single" w:sz="4" w:space="0" w:color="auto"/>
              <w:left w:val="single" w:sz="4" w:space="0" w:color="auto"/>
            </w:tcBorders>
            <w:shd w:val="clear" w:color="auto" w:fill="FFFFFF"/>
          </w:tcPr>
          <w:p w14:paraId="12BAFA0F"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126" w:type="dxa"/>
            <w:gridSpan w:val="2"/>
            <w:tcBorders>
              <w:top w:val="single" w:sz="4" w:space="0" w:color="auto"/>
              <w:left w:val="single" w:sz="4" w:space="0" w:color="auto"/>
            </w:tcBorders>
            <w:shd w:val="clear" w:color="auto" w:fill="FFFFFF"/>
          </w:tcPr>
          <w:p w14:paraId="2A17D4D0"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386" w:type="dxa"/>
            <w:gridSpan w:val="2"/>
            <w:tcBorders>
              <w:top w:val="single" w:sz="4" w:space="0" w:color="auto"/>
              <w:left w:val="single" w:sz="4" w:space="0" w:color="auto"/>
              <w:right w:val="single" w:sz="4" w:space="0" w:color="auto"/>
            </w:tcBorders>
            <w:shd w:val="clear" w:color="auto" w:fill="FFFFFF"/>
          </w:tcPr>
          <w:p w14:paraId="6F4BEE5A"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EC482EA"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bottom w:val="single" w:sz="4" w:space="0" w:color="auto"/>
            </w:tcBorders>
            <w:shd w:val="clear" w:color="auto" w:fill="FFFFFF"/>
            <w:vAlign w:val="bottom"/>
          </w:tcPr>
          <w:p w14:paraId="6106A74A"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կառավարման արձանագրության ոչ էական փոփոխություններ, որոնք չեն փոխում արձանագրության մեջ նկարագրված ռազմավարությունը</w:t>
            </w:r>
          </w:p>
        </w:tc>
        <w:tc>
          <w:tcPr>
            <w:tcW w:w="1701" w:type="dxa"/>
            <w:gridSpan w:val="2"/>
            <w:tcBorders>
              <w:top w:val="single" w:sz="4" w:space="0" w:color="auto"/>
              <w:left w:val="single" w:sz="4" w:space="0" w:color="auto"/>
              <w:bottom w:val="single" w:sz="4" w:space="0" w:color="auto"/>
            </w:tcBorders>
            <w:shd w:val="clear" w:color="auto" w:fill="FFFFFF"/>
          </w:tcPr>
          <w:p w14:paraId="574CA948"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bottom w:val="single" w:sz="4" w:space="0" w:color="auto"/>
            </w:tcBorders>
            <w:shd w:val="clear" w:color="auto" w:fill="FFFFFF"/>
          </w:tcPr>
          <w:p w14:paraId="33072279"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1</w:t>
            </w:r>
          </w:p>
        </w:tc>
        <w:tc>
          <w:tcPr>
            <w:tcW w:w="2386" w:type="dxa"/>
            <w:gridSpan w:val="2"/>
            <w:tcBorders>
              <w:top w:val="single" w:sz="4" w:space="0" w:color="auto"/>
              <w:left w:val="single" w:sz="4" w:space="0" w:color="auto"/>
              <w:bottom w:val="single" w:sz="4" w:space="0" w:color="auto"/>
              <w:right w:val="single" w:sz="4" w:space="0" w:color="auto"/>
            </w:tcBorders>
            <w:shd w:val="clear" w:color="auto" w:fill="FFFFFF"/>
          </w:tcPr>
          <w:p w14:paraId="33C24457"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99D6945"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tcPr>
          <w:p w14:paraId="13DF258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2AF4956" w14:textId="717F5AD9"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ցանկացած փոփոխություն պետք է համապատասխանի ընդունելիության հաստատված գործող չափանիշների տիրույթին: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դեպքում չի պահանջվում համադրելիության գնահատում:</w:t>
            </w:r>
          </w:p>
        </w:tc>
      </w:tr>
      <w:tr w:rsidR="008C76E0" w:rsidRPr="003B2786" w14:paraId="35EBED41"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36DC4DD0" w14:textId="77777777" w:rsidR="008C76E0" w:rsidRPr="008C76E0" w:rsidRDefault="008C76E0" w:rsidP="008C76E0">
            <w:pPr>
              <w:pStyle w:val="Bodytext180"/>
              <w:shd w:val="clear" w:color="auto" w:fill="auto"/>
              <w:tabs>
                <w:tab w:val="left" w:pos="1116"/>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Բ.II.է.5.</w:t>
            </w:r>
            <w:r w:rsidRPr="003B2786">
              <w:rPr>
                <w:rStyle w:val="Bodytext1811pt"/>
                <w:rFonts w:ascii="Sylfaen" w:hAnsi="Sylfaen"/>
                <w:sz w:val="24"/>
                <w:szCs w:val="24"/>
              </w:rPr>
              <w:tab/>
              <w:t>Փոփոխությունների կառավարման հաստատված արձանագրությամբ նախատեսված փոփոխությունների իրականացումը</w:t>
            </w:r>
          </w:p>
        </w:tc>
        <w:tc>
          <w:tcPr>
            <w:tcW w:w="1701" w:type="dxa"/>
            <w:gridSpan w:val="2"/>
            <w:tcBorders>
              <w:top w:val="single" w:sz="4" w:space="0" w:color="auto"/>
              <w:left w:val="single" w:sz="4" w:space="0" w:color="auto"/>
            </w:tcBorders>
            <w:shd w:val="clear" w:color="auto" w:fill="FFFFFF"/>
          </w:tcPr>
          <w:p w14:paraId="3CA204EC" w14:textId="77777777" w:rsidR="008C76E0" w:rsidRPr="003B2786" w:rsidRDefault="008C76E0" w:rsidP="008C76E0">
            <w:pPr>
              <w:pStyle w:val="Bodytext180"/>
              <w:shd w:val="clear" w:color="auto" w:fill="auto"/>
              <w:tabs>
                <w:tab w:val="left" w:pos="567"/>
              </w:tabs>
              <w:spacing w:before="0" w:after="120" w:line="240" w:lineRule="auto"/>
              <w:ind w:lef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2EA39BD7"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59E533B" w14:textId="77777777" w:rsidR="008C76E0" w:rsidRPr="003B2786" w:rsidRDefault="008C76E0" w:rsidP="008C76E0">
            <w:pPr>
              <w:pStyle w:val="Bodytext180"/>
              <w:shd w:val="clear" w:color="auto" w:fill="auto"/>
              <w:tabs>
                <w:tab w:val="left" w:pos="567"/>
              </w:tabs>
              <w:spacing w:before="0" w:after="120" w:line="240" w:lineRule="auto"/>
              <w:ind w:left="132" w:righ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0F3C39C"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36F9A2E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իրականացմամբ չեն պահանջվում լրացուցիչ օժանդակ տվյալներ</w:t>
            </w:r>
          </w:p>
        </w:tc>
        <w:tc>
          <w:tcPr>
            <w:tcW w:w="1701" w:type="dxa"/>
            <w:gridSpan w:val="2"/>
            <w:tcBorders>
              <w:top w:val="single" w:sz="4" w:space="0" w:color="auto"/>
              <w:left w:val="single" w:sz="4" w:space="0" w:color="auto"/>
            </w:tcBorders>
            <w:shd w:val="clear" w:color="auto" w:fill="FFFFFF"/>
          </w:tcPr>
          <w:p w14:paraId="21EADB39"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126" w:type="dxa"/>
            <w:gridSpan w:val="2"/>
            <w:tcBorders>
              <w:top w:val="single" w:sz="4" w:space="0" w:color="auto"/>
              <w:left w:val="single" w:sz="4" w:space="0" w:color="auto"/>
            </w:tcBorders>
            <w:shd w:val="clear" w:color="auto" w:fill="FFFFFF"/>
          </w:tcPr>
          <w:p w14:paraId="49E8DDB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1, 2, 4</w:t>
            </w:r>
          </w:p>
        </w:tc>
        <w:tc>
          <w:tcPr>
            <w:tcW w:w="2386" w:type="dxa"/>
            <w:gridSpan w:val="2"/>
            <w:tcBorders>
              <w:top w:val="single" w:sz="4" w:space="0" w:color="auto"/>
              <w:left w:val="single" w:sz="4" w:space="0" w:color="auto"/>
              <w:right w:val="single" w:sz="4" w:space="0" w:color="auto"/>
            </w:tcBorders>
            <w:shd w:val="clear" w:color="auto" w:fill="FFFFFF"/>
          </w:tcPr>
          <w:p w14:paraId="058F992B"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FAF29DC"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52A4325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իրականացմամբ պահանջվում են լրացուցիչ օժանդակ տվյալներ</w:t>
            </w:r>
          </w:p>
        </w:tc>
        <w:tc>
          <w:tcPr>
            <w:tcW w:w="1701" w:type="dxa"/>
            <w:gridSpan w:val="2"/>
            <w:tcBorders>
              <w:top w:val="single" w:sz="4" w:space="0" w:color="auto"/>
              <w:left w:val="single" w:sz="4" w:space="0" w:color="auto"/>
            </w:tcBorders>
            <w:shd w:val="clear" w:color="auto" w:fill="FFFFFF"/>
          </w:tcPr>
          <w:p w14:paraId="002BA7B2"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5CD0FB6"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1 2, 3 4</w:t>
            </w:r>
          </w:p>
        </w:tc>
        <w:tc>
          <w:tcPr>
            <w:tcW w:w="2386" w:type="dxa"/>
            <w:gridSpan w:val="2"/>
            <w:tcBorders>
              <w:top w:val="single" w:sz="4" w:space="0" w:color="auto"/>
              <w:left w:val="single" w:sz="4" w:space="0" w:color="auto"/>
              <w:right w:val="single" w:sz="4" w:space="0" w:color="auto"/>
            </w:tcBorders>
            <w:shd w:val="clear" w:color="auto" w:fill="FFFFFF"/>
          </w:tcPr>
          <w:p w14:paraId="46E08DDD"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3FA095B5"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6DE596D7"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դեղապատրաստուկի փոփոխության իրականացում</w:t>
            </w:r>
          </w:p>
        </w:tc>
        <w:tc>
          <w:tcPr>
            <w:tcW w:w="1701" w:type="dxa"/>
            <w:gridSpan w:val="2"/>
            <w:tcBorders>
              <w:top w:val="single" w:sz="4" w:space="0" w:color="auto"/>
              <w:left w:val="single" w:sz="4" w:space="0" w:color="auto"/>
            </w:tcBorders>
            <w:shd w:val="clear" w:color="auto" w:fill="FFFFFF"/>
          </w:tcPr>
          <w:p w14:paraId="1BD89F9B"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606FCD8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1, 2, 3, 4, 5</w:t>
            </w:r>
          </w:p>
        </w:tc>
        <w:tc>
          <w:tcPr>
            <w:tcW w:w="2386" w:type="dxa"/>
            <w:gridSpan w:val="2"/>
            <w:tcBorders>
              <w:top w:val="single" w:sz="4" w:space="0" w:color="auto"/>
              <w:left w:val="single" w:sz="4" w:space="0" w:color="auto"/>
              <w:right w:val="single" w:sz="4" w:space="0" w:color="auto"/>
            </w:tcBorders>
            <w:shd w:val="clear" w:color="auto" w:fill="FFFFFF"/>
          </w:tcPr>
          <w:p w14:paraId="3C2DAF08"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75989728"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0E9C056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2878F7E"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Առաջարկված փոփոխությունն իրականացվել է փոփոխությունների կառավարման հաստատված արձանագրության բացարձակ համապատասխանությամբ, որով պահանջվում է այն իրականացնելուց հետո անհապաղ ծանուցում։</w:t>
            </w:r>
          </w:p>
        </w:tc>
      </w:tr>
      <w:tr w:rsidR="008C76E0" w:rsidRPr="003B2786" w14:paraId="19B5A0A2"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79EBD72F"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7AB1770"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t xml:space="preserve">Հղում՝ </w:t>
            </w:r>
            <w:r w:rsidRPr="003B2786">
              <w:rPr>
                <w:rStyle w:val="Bodytext1811pt"/>
                <w:rFonts w:ascii="Sylfaen" w:hAnsi="Sylfaen"/>
                <w:sz w:val="24"/>
                <w:szCs w:val="24"/>
              </w:rPr>
              <w:t>փոփոխությունների կառավարման հաստատված արձանագրությանը:</w:t>
            </w:r>
          </w:p>
          <w:p w14:paraId="29AF1D26" w14:textId="0474A9A4"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փոփոխությունը համապատասխանում է փոփոխությունների կառավարման հաստատված արձանագրությանը,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ուսումնասիրության արդյունքները բավարարում են արձանագրության մեջ նշված ընդունելիության չափանիշները: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գնահատում:</w:t>
            </w:r>
          </w:p>
          <w:p w14:paraId="3DFDFF2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Փոփոխությունների կառավարման հաստատված արձանագրությանը համապատասխան անցկացված ուսումնասիրությունների արդյունքները:</w:t>
            </w:r>
          </w:p>
          <w:p w14:paraId="5431D4B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lastRenderedPageBreak/>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6BADCCF"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rPr>
            </w:pPr>
            <w:r w:rsidRPr="003B2786">
              <w:rPr>
                <w:rFonts w:ascii="Sylfaen" w:hAnsi="Sylfaen"/>
                <w:b w:val="0"/>
                <w:sz w:val="24"/>
                <w:szCs w:val="24"/>
              </w:rPr>
              <w:t>5.</w:t>
            </w:r>
            <w:r w:rsidRPr="003B2786">
              <w:rPr>
                <w:rFonts w:ascii="Sylfaen" w:hAnsi="Sylfaen"/>
                <w:b w:val="0"/>
                <w:sz w:val="24"/>
                <w:szCs w:val="24"/>
              </w:rPr>
              <w:tab/>
            </w:r>
            <w:r w:rsidRPr="003B2786">
              <w:rPr>
                <w:rStyle w:val="Bodytext1811pt"/>
                <w:rFonts w:ascii="Sylfaen" w:hAnsi="Sylfaen"/>
                <w:sz w:val="24"/>
                <w:szCs w:val="24"/>
              </w:rPr>
              <w:t>Դեղապատրաստուկի հաստատված մասնագրերի օրինակները։</w:t>
            </w:r>
          </w:p>
        </w:tc>
      </w:tr>
      <w:tr w:rsidR="008C76E0" w:rsidRPr="003B2786" w14:paraId="1B3F3B9D" w14:textId="77777777" w:rsidTr="004A52D9">
        <w:trPr>
          <w:jc w:val="center"/>
        </w:trPr>
        <w:tc>
          <w:tcPr>
            <w:tcW w:w="10694" w:type="dxa"/>
            <w:gridSpan w:val="10"/>
            <w:tcBorders>
              <w:top w:val="single" w:sz="4" w:space="0" w:color="auto"/>
            </w:tcBorders>
            <w:shd w:val="clear" w:color="auto" w:fill="FFFFFF"/>
            <w:vAlign w:val="bottom"/>
          </w:tcPr>
          <w:p w14:paraId="67E01980" w14:textId="77777777" w:rsidR="008C76E0" w:rsidRPr="008C76E0" w:rsidRDefault="008C76E0" w:rsidP="008C76E0">
            <w:pPr>
              <w:pStyle w:val="Bodytext180"/>
              <w:shd w:val="clear" w:color="auto" w:fill="auto"/>
              <w:tabs>
                <w:tab w:val="left" w:pos="1407"/>
              </w:tabs>
              <w:spacing w:before="0" w:after="120" w:line="240" w:lineRule="auto"/>
              <w:ind w:left="131" w:right="-1" w:firstLine="0"/>
              <w:jc w:val="both"/>
              <w:rPr>
                <w:rFonts w:ascii="Sylfaen" w:hAnsi="Sylfaen"/>
                <w:b w:val="0"/>
                <w:i/>
                <w:sz w:val="24"/>
                <w:szCs w:val="24"/>
                <w:lang w:val="hy-AM"/>
              </w:rPr>
            </w:pPr>
            <w:r w:rsidRPr="003B2786">
              <w:rPr>
                <w:rStyle w:val="Bodytext295pt"/>
                <w:rFonts w:ascii="Sylfaen" w:hAnsi="Sylfaen"/>
                <w:sz w:val="24"/>
                <w:szCs w:val="24"/>
              </w:rPr>
              <w:lastRenderedPageBreak/>
              <w:t>Բ.II.ը)</w:t>
            </w:r>
            <w:r w:rsidRPr="003B2786">
              <w:rPr>
                <w:rStyle w:val="Bodytext295pt"/>
                <w:rFonts w:ascii="Sylfaen" w:hAnsi="Sylfaen"/>
                <w:sz w:val="24"/>
                <w:szCs w:val="24"/>
              </w:rPr>
              <w:tab/>
              <w:t>Կողմնակի ագենտների առումով անվտանգությունը</w:t>
            </w:r>
          </w:p>
        </w:tc>
      </w:tr>
      <w:tr w:rsidR="008C76E0" w:rsidRPr="003B2786" w14:paraId="39D998C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DEB007" w14:textId="77777777" w:rsidR="008C76E0" w:rsidRPr="008C76E0" w:rsidRDefault="008C76E0" w:rsidP="008C76E0">
            <w:pPr>
              <w:pStyle w:val="Bodytext180"/>
              <w:shd w:val="clear" w:color="auto" w:fill="auto"/>
              <w:tabs>
                <w:tab w:val="left" w:pos="1407"/>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Բ.II.ը.1.</w:t>
            </w:r>
            <w:r w:rsidRPr="003B2786">
              <w:rPr>
                <w:rStyle w:val="Bodytext1811pt"/>
                <w:rFonts w:ascii="Sylfaen" w:hAnsi="Sylfaen"/>
                <w:sz w:val="24"/>
                <w:szCs w:val="24"/>
              </w:rPr>
              <w:tab/>
              <w:t>«Կողմնակի ագենտների առումով անվտանգության գնահատում» տեղեկատվության թարմացումը (գրանցման դոսյեի 3.2.Ա.2 բաժին)</w:t>
            </w:r>
          </w:p>
        </w:tc>
        <w:tc>
          <w:tcPr>
            <w:tcW w:w="1883" w:type="dxa"/>
            <w:gridSpan w:val="2"/>
            <w:tcBorders>
              <w:top w:val="single" w:sz="4" w:space="0" w:color="auto"/>
              <w:left w:val="single" w:sz="4" w:space="0" w:color="auto"/>
            </w:tcBorders>
            <w:shd w:val="clear" w:color="auto" w:fill="FFFFFF"/>
          </w:tcPr>
          <w:p w14:paraId="7113ED0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785838" w14:textId="77777777" w:rsidR="008C76E0" w:rsidRPr="003B2786" w:rsidRDefault="008C76E0" w:rsidP="008C76E0">
            <w:pPr>
              <w:pStyle w:val="Bodytext180"/>
              <w:shd w:val="clear" w:color="auto" w:fill="auto"/>
              <w:spacing w:before="0" w:after="120" w:line="240" w:lineRule="auto"/>
              <w:ind w:left="43" w:right="1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7DD24CD" w14:textId="77777777" w:rsidR="008C76E0" w:rsidRPr="003B2786" w:rsidRDefault="008C76E0" w:rsidP="008C76E0">
            <w:pPr>
              <w:pStyle w:val="Bodytext180"/>
              <w:shd w:val="clear" w:color="auto" w:fill="auto"/>
              <w:spacing w:before="0" w:after="120" w:line="240" w:lineRule="auto"/>
              <w:ind w:lef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C105F0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BC5D424"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մեկ կամ ավելի կողմնակի ագենտների մասով առաջին անգամ ուսումնասիրված արտադրական փուլերին առնչվող հետազոտությունները</w:t>
            </w:r>
          </w:p>
        </w:tc>
        <w:tc>
          <w:tcPr>
            <w:tcW w:w="1883" w:type="dxa"/>
            <w:gridSpan w:val="2"/>
            <w:tcBorders>
              <w:top w:val="single" w:sz="4" w:space="0" w:color="auto"/>
              <w:left w:val="single" w:sz="4" w:space="0" w:color="auto"/>
            </w:tcBorders>
            <w:shd w:val="clear" w:color="auto" w:fill="FFFFFF"/>
          </w:tcPr>
          <w:p w14:paraId="1F68537B"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0574677"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2F37003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9A0A7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B19787D"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դոսյեում նախկինում ընդգրկված արտադրական փուլերին </w:t>
            </w:r>
            <w:r w:rsidR="00C54D75">
              <w:rPr>
                <w:rStyle w:val="Bodytext1811pt"/>
                <w:rFonts w:ascii="Sylfaen" w:hAnsi="Sylfaen"/>
                <w:sz w:val="24"/>
                <w:szCs w:val="24"/>
              </w:rPr>
              <w:t>և</w:t>
            </w:r>
            <w:r w:rsidRPr="003B2786">
              <w:rPr>
                <w:rStyle w:val="Bodytext1811pt"/>
                <w:rFonts w:ascii="Sylfaen" w:hAnsi="Sylfaen"/>
                <w:sz w:val="24"/>
                <w:szCs w:val="24"/>
              </w:rPr>
              <w:t xml:space="preserve"> կողմնակի ագենտներին առնչվող հնացած հետազոտությունների փոխարինումը</w:t>
            </w:r>
          </w:p>
        </w:tc>
        <w:tc>
          <w:tcPr>
            <w:tcW w:w="1883" w:type="dxa"/>
            <w:gridSpan w:val="2"/>
            <w:tcBorders>
              <w:top w:val="single" w:sz="4" w:space="0" w:color="auto"/>
              <w:left w:val="single" w:sz="4" w:space="0" w:color="auto"/>
            </w:tcBorders>
            <w:shd w:val="clear" w:color="auto" w:fill="FFFFFF"/>
          </w:tcPr>
          <w:p w14:paraId="2B30260F" w14:textId="77777777" w:rsidR="008C76E0" w:rsidRPr="003B2786" w:rsidRDefault="008C76E0" w:rsidP="008C76E0">
            <w:pPr>
              <w:tabs>
                <w:tab w:val="left" w:pos="501"/>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130CE56" w14:textId="77777777" w:rsidR="008C76E0" w:rsidRPr="003B2786" w:rsidRDefault="008C76E0" w:rsidP="008C76E0">
            <w:pPr>
              <w:tabs>
                <w:tab w:val="left" w:pos="501"/>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78689E9E" w14:textId="77777777" w:rsidR="008C76E0" w:rsidRPr="003B2786" w:rsidRDefault="008C76E0" w:rsidP="008C76E0">
            <w:pPr>
              <w:tabs>
                <w:tab w:val="left" w:pos="501"/>
              </w:tabs>
              <w:spacing w:after="120"/>
              <w:ind w:left="159" w:right="222"/>
              <w:jc w:val="center"/>
              <w:rPr>
                <w:rFonts w:ascii="Sylfaen" w:hAnsi="Sylfaen"/>
                <w:sz w:val="24"/>
                <w:szCs w:val="24"/>
              </w:rPr>
            </w:pPr>
          </w:p>
        </w:tc>
      </w:tr>
      <w:tr w:rsidR="008C76E0" w:rsidRPr="003B2786" w14:paraId="64F627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0901C7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ռիսկերի գնահատման փոփոխությամբ</w:t>
            </w:r>
          </w:p>
        </w:tc>
        <w:tc>
          <w:tcPr>
            <w:tcW w:w="1883" w:type="dxa"/>
            <w:gridSpan w:val="2"/>
            <w:tcBorders>
              <w:top w:val="single" w:sz="4" w:space="0" w:color="auto"/>
              <w:left w:val="single" w:sz="4" w:space="0" w:color="auto"/>
            </w:tcBorders>
            <w:shd w:val="clear" w:color="auto" w:fill="FFFFFF"/>
          </w:tcPr>
          <w:p w14:paraId="03A10C00"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4561EC3"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06E6F29D"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B49A47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250C25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առանց ռիսկերի գնահատման փոփոխությամբ</w:t>
            </w:r>
          </w:p>
        </w:tc>
        <w:tc>
          <w:tcPr>
            <w:tcW w:w="1883" w:type="dxa"/>
            <w:gridSpan w:val="2"/>
            <w:tcBorders>
              <w:top w:val="single" w:sz="4" w:space="0" w:color="auto"/>
              <w:left w:val="single" w:sz="4" w:space="0" w:color="auto"/>
            </w:tcBorders>
            <w:shd w:val="clear" w:color="auto" w:fill="FFFFFF"/>
          </w:tcPr>
          <w:p w14:paraId="7F3CA692"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4CF31DD"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2BB8CAD2"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553FEDBD"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033762B1"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ED1E4B5"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Դոսյեի համապատասխան բաժնում (բաժիններում) ուղղում կատարելը, ներառյալ արտադրական փուլերի՝ կողմնակի ագենտներն ինակտիվացնելու (վերացնելու) կարողության ուսումնասիրմանն ուղղված նոր հետազոտություններ անցկացնելը:</w:t>
            </w:r>
          </w:p>
        </w:tc>
      </w:tr>
      <w:tr w:rsidR="008C76E0" w:rsidRPr="003B2786" w14:paraId="20ECCC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090517E"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Հիմնավորումն այն բանի, որ հետազոտությունները չեն փոփոխում ռիսկերի գնահատումը:</w:t>
            </w:r>
          </w:p>
          <w:p w14:paraId="0B92FC7C"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pacing w:val="-4"/>
                <w:sz w:val="24"/>
                <w:szCs w:val="24"/>
              </w:rPr>
              <w:t>Դեղապատրաստուկի մասին տեղեկատվության մեջ ուղղում կատարելը (եթե կիրառելի է):</w:t>
            </w:r>
          </w:p>
        </w:tc>
      </w:tr>
      <w:tr w:rsidR="008C76E0" w:rsidRPr="003B2786" w14:paraId="469A273D" w14:textId="77777777" w:rsidTr="004A52D9">
        <w:trPr>
          <w:jc w:val="center"/>
        </w:trPr>
        <w:tc>
          <w:tcPr>
            <w:tcW w:w="10694" w:type="dxa"/>
            <w:gridSpan w:val="10"/>
            <w:tcBorders>
              <w:top w:val="single" w:sz="4" w:space="0" w:color="auto"/>
            </w:tcBorders>
            <w:shd w:val="clear" w:color="auto" w:fill="FFFFFF"/>
          </w:tcPr>
          <w:p w14:paraId="377CB78B" w14:textId="77777777" w:rsidR="008C76E0" w:rsidRPr="008C76E0" w:rsidRDefault="008C76E0" w:rsidP="008C76E0">
            <w:pPr>
              <w:pStyle w:val="Bodytext180"/>
              <w:shd w:val="clear" w:color="auto" w:fill="auto"/>
              <w:spacing w:before="0" w:after="120" w:line="240" w:lineRule="auto"/>
              <w:ind w:left="159" w:right="222" w:firstLine="0"/>
              <w:jc w:val="center"/>
              <w:rPr>
                <w:rFonts w:ascii="Sylfaen" w:hAnsi="Sylfaen"/>
                <w:b w:val="0"/>
                <w:i/>
                <w:sz w:val="24"/>
                <w:szCs w:val="24"/>
                <w:lang w:val="hy-AM"/>
              </w:rPr>
            </w:pPr>
            <w:r w:rsidRPr="003B2786">
              <w:rPr>
                <w:rStyle w:val="Bodytext295pt"/>
                <w:rFonts w:ascii="Sylfaen" w:hAnsi="Sylfaen"/>
                <w:sz w:val="24"/>
                <w:szCs w:val="24"/>
              </w:rPr>
              <w:t xml:space="preserve">Բ.III Եվրոպական դեղագրքին համապատասխանության սերտիֆիկատը (СЕР)(առկայության դեպքում) </w:t>
            </w:r>
            <w:r w:rsidR="00C54D75">
              <w:rPr>
                <w:rStyle w:val="Bodytext295pt"/>
                <w:rFonts w:ascii="Sylfaen" w:hAnsi="Sylfaen"/>
                <w:sz w:val="24"/>
                <w:szCs w:val="24"/>
              </w:rPr>
              <w:t>և</w:t>
            </w:r>
            <w:r w:rsidRPr="003B2786">
              <w:rPr>
                <w:rStyle w:val="Bodytext295pt"/>
                <w:rFonts w:ascii="Sylfaen" w:hAnsi="Sylfaen"/>
                <w:sz w:val="24"/>
                <w:szCs w:val="24"/>
              </w:rPr>
              <w:t xml:space="preserve"> (կամ) ՏՍԷ </w:t>
            </w:r>
            <w:r w:rsidR="00C54D75">
              <w:rPr>
                <w:rStyle w:val="Bodytext295pt"/>
                <w:rFonts w:ascii="Sylfaen" w:hAnsi="Sylfaen"/>
                <w:sz w:val="24"/>
                <w:szCs w:val="24"/>
              </w:rPr>
              <w:t>և</w:t>
            </w:r>
            <w:r w:rsidRPr="003B2786">
              <w:rPr>
                <w:rStyle w:val="Bodytext295pt"/>
                <w:rFonts w:ascii="Sylfaen" w:hAnsi="Sylfaen"/>
                <w:sz w:val="24"/>
                <w:szCs w:val="24"/>
              </w:rPr>
              <w:t xml:space="preserve"> (կամ) հոդվածները</w:t>
            </w:r>
          </w:p>
        </w:tc>
      </w:tr>
      <w:tr w:rsidR="008C76E0" w:rsidRPr="003B2786" w14:paraId="73B4103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2E01D8A" w14:textId="77777777" w:rsidR="008C76E0" w:rsidRPr="008C76E0" w:rsidRDefault="008C76E0" w:rsidP="008C76E0">
            <w:pPr>
              <w:pStyle w:val="Bodytext180"/>
              <w:shd w:val="clear" w:color="auto" w:fill="auto"/>
              <w:tabs>
                <w:tab w:val="left" w:pos="1108"/>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Բ.III.1.</w:t>
            </w:r>
            <w:r w:rsidRPr="003B2786">
              <w:rPr>
                <w:rStyle w:val="Bodytext1811pt"/>
                <w:rFonts w:ascii="Sylfaen" w:hAnsi="Sylfaen"/>
                <w:sz w:val="24"/>
                <w:szCs w:val="24"/>
              </w:rPr>
              <w:tab/>
              <w:t>Եվրոպական դեղագրքին համապատասխանության նոր կամ թարմացված սերտիֆիկատ ներկայացնելը կամ Եվրոպական դեղագրքին համապատասխանության սերտիֆիկատը բացառելը</w:t>
            </w:r>
          </w:p>
        </w:tc>
        <w:tc>
          <w:tcPr>
            <w:tcW w:w="1883" w:type="dxa"/>
            <w:gridSpan w:val="2"/>
            <w:tcBorders>
              <w:top w:val="single" w:sz="4" w:space="0" w:color="auto"/>
              <w:left w:val="single" w:sz="4" w:space="0" w:color="auto"/>
            </w:tcBorders>
            <w:shd w:val="clear" w:color="auto" w:fill="FFFFFF"/>
          </w:tcPr>
          <w:p w14:paraId="0AD9EA76"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504749A"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6FA1993"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FC91AD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DDFED78" w14:textId="77777777" w:rsidR="008C76E0" w:rsidRPr="008C76E0" w:rsidRDefault="008C76E0" w:rsidP="008C76E0">
            <w:pPr>
              <w:pStyle w:val="Bodytext180"/>
              <w:shd w:val="clear" w:color="auto" w:fill="auto"/>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 xml:space="preserve">Դեղագործական բաղադրամասի համար, դեղագործական բաղադրամասի արտադրության գործընթացում օգտագործվող ելանյութի (ռեակտիվի, </w:t>
            </w:r>
            <w:r w:rsidRPr="003B2786">
              <w:rPr>
                <w:rStyle w:val="Bodytext1811pt"/>
                <w:rFonts w:ascii="Sylfaen" w:hAnsi="Sylfaen"/>
                <w:sz w:val="24"/>
                <w:szCs w:val="24"/>
              </w:rPr>
              <w:lastRenderedPageBreak/>
              <w:t>միջանկյալ արտադրանքի) համար</w:t>
            </w:r>
          </w:p>
          <w:p w14:paraId="72A5F16D" w14:textId="77777777" w:rsidR="008C76E0" w:rsidRPr="003B2786" w:rsidRDefault="008C76E0" w:rsidP="008C76E0">
            <w:pPr>
              <w:pStyle w:val="Bodytext180"/>
              <w:shd w:val="clear" w:color="auto" w:fill="auto"/>
              <w:spacing w:before="0" w:after="120" w:line="288" w:lineRule="auto"/>
              <w:ind w:left="159" w:right="222" w:firstLine="0"/>
              <w:jc w:val="both"/>
              <w:rPr>
                <w:rFonts w:ascii="Sylfaen" w:hAnsi="Sylfaen"/>
                <w:b w:val="0"/>
                <w:sz w:val="24"/>
                <w:szCs w:val="24"/>
              </w:rPr>
            </w:pPr>
            <w:r w:rsidRPr="003B2786">
              <w:rPr>
                <w:rStyle w:val="Bodytext1811pt"/>
                <w:rFonts w:ascii="Sylfaen" w:hAnsi="Sylfaen"/>
                <w:sz w:val="24"/>
                <w:szCs w:val="24"/>
              </w:rPr>
              <w:t>Օժանդակ նյութի համար</w:t>
            </w:r>
          </w:p>
        </w:tc>
        <w:tc>
          <w:tcPr>
            <w:tcW w:w="1883" w:type="dxa"/>
            <w:gridSpan w:val="2"/>
            <w:tcBorders>
              <w:top w:val="single" w:sz="4" w:space="0" w:color="auto"/>
              <w:left w:val="single" w:sz="4" w:space="0" w:color="auto"/>
            </w:tcBorders>
            <w:shd w:val="clear" w:color="auto" w:fill="FFFFFF"/>
          </w:tcPr>
          <w:p w14:paraId="632BE4D2"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5F640CE"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7320E39E" w14:textId="77777777" w:rsidR="008C76E0" w:rsidRPr="003B2786" w:rsidRDefault="008C76E0" w:rsidP="008C76E0">
            <w:pPr>
              <w:spacing w:after="120"/>
              <w:ind w:left="159" w:right="222"/>
              <w:jc w:val="center"/>
              <w:rPr>
                <w:rFonts w:ascii="Sylfaen" w:hAnsi="Sylfaen"/>
                <w:sz w:val="24"/>
                <w:szCs w:val="24"/>
              </w:rPr>
            </w:pPr>
          </w:p>
        </w:tc>
      </w:tr>
      <w:tr w:rsidR="008C76E0" w:rsidRPr="003B2786" w14:paraId="2ED2CD1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1184A80"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Եվրոպական դեղագրքի հոդվածին համապատասխանող՝ Եվրոպական դեղագրքի համապատասխանության հավաստագիրը</w:t>
            </w:r>
          </w:p>
        </w:tc>
        <w:tc>
          <w:tcPr>
            <w:tcW w:w="1883" w:type="dxa"/>
            <w:gridSpan w:val="2"/>
            <w:tcBorders>
              <w:top w:val="single" w:sz="4" w:space="0" w:color="auto"/>
              <w:left w:val="single" w:sz="4" w:space="0" w:color="auto"/>
            </w:tcBorders>
            <w:shd w:val="clear" w:color="auto" w:fill="FFFFFF"/>
          </w:tcPr>
          <w:p w14:paraId="4BEF15DF"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E26F224"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272418A9" w14:textId="77777777" w:rsidR="008C76E0" w:rsidRPr="003B2786" w:rsidRDefault="008C76E0" w:rsidP="008C76E0">
            <w:pPr>
              <w:spacing w:after="120"/>
              <w:ind w:left="159" w:right="222"/>
              <w:jc w:val="center"/>
              <w:rPr>
                <w:rFonts w:ascii="Sylfaen" w:hAnsi="Sylfaen"/>
                <w:sz w:val="24"/>
                <w:szCs w:val="24"/>
              </w:rPr>
            </w:pPr>
          </w:p>
        </w:tc>
      </w:tr>
      <w:tr w:rsidR="008C76E0" w:rsidRPr="003B2786" w14:paraId="111A15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8136A1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4BDAA430" w14:textId="77777777" w:rsidR="008C76E0" w:rsidRPr="003B2786" w:rsidRDefault="008C76E0" w:rsidP="002A5072">
            <w:pPr>
              <w:pStyle w:val="Bodytext180"/>
              <w:shd w:val="clear" w:color="auto" w:fill="auto"/>
              <w:tabs>
                <w:tab w:val="left" w:pos="589"/>
              </w:tabs>
              <w:spacing w:before="0" w:after="120" w:line="240" w:lineRule="auto"/>
              <w:ind w:left="159" w:firstLine="0"/>
              <w:jc w:val="center"/>
              <w:rPr>
                <w:rFonts w:ascii="Sylfaen" w:hAnsi="Sylfaen"/>
                <w:b w:val="0"/>
                <w:sz w:val="24"/>
                <w:szCs w:val="24"/>
              </w:rPr>
            </w:pPr>
            <w:r w:rsidRPr="003B2786">
              <w:rPr>
                <w:rStyle w:val="Bodytext1811pt"/>
                <w:rFonts w:ascii="Sylfaen" w:hAnsi="Sylfaen"/>
                <w:sz w:val="24"/>
                <w:szCs w:val="24"/>
              </w:rPr>
              <w:t>1, 2, 3, 4, 5, 6, 9</w:t>
            </w:r>
          </w:p>
        </w:tc>
        <w:tc>
          <w:tcPr>
            <w:tcW w:w="1984" w:type="dxa"/>
            <w:gridSpan w:val="2"/>
            <w:tcBorders>
              <w:top w:val="single" w:sz="4" w:space="0" w:color="auto"/>
              <w:left w:val="single" w:sz="4" w:space="0" w:color="auto"/>
            </w:tcBorders>
            <w:shd w:val="clear" w:color="auto" w:fill="FFFFFF"/>
          </w:tcPr>
          <w:p w14:paraId="1DD9B47C"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43EDB3D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1C5507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0BE795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Թարմացված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1642FE17"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1, 2, 3, 4, 6</w:t>
            </w:r>
          </w:p>
        </w:tc>
        <w:tc>
          <w:tcPr>
            <w:tcW w:w="1984" w:type="dxa"/>
            <w:gridSpan w:val="2"/>
            <w:tcBorders>
              <w:top w:val="single" w:sz="4" w:space="0" w:color="auto"/>
              <w:left w:val="single" w:sz="4" w:space="0" w:color="auto"/>
            </w:tcBorders>
            <w:shd w:val="clear" w:color="auto" w:fill="FFFFFF"/>
          </w:tcPr>
          <w:p w14:paraId="231A8443"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4B50B1E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670963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9ACE0D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Նոր հավաստագիր՝ նոր արտադրողից (փոխարինումը կամ ավելացումը)</w:t>
            </w:r>
          </w:p>
        </w:tc>
        <w:tc>
          <w:tcPr>
            <w:tcW w:w="1883" w:type="dxa"/>
            <w:gridSpan w:val="2"/>
            <w:tcBorders>
              <w:top w:val="single" w:sz="4" w:space="0" w:color="auto"/>
              <w:left w:val="single" w:sz="4" w:space="0" w:color="auto"/>
            </w:tcBorders>
            <w:shd w:val="clear" w:color="auto" w:fill="FFFFFF"/>
          </w:tcPr>
          <w:p w14:paraId="383B4D09" w14:textId="77777777" w:rsidR="008C76E0" w:rsidRPr="003B2786" w:rsidRDefault="008C76E0" w:rsidP="002A5072">
            <w:pPr>
              <w:pStyle w:val="Bodytext180"/>
              <w:shd w:val="clear" w:color="auto" w:fill="auto"/>
              <w:tabs>
                <w:tab w:val="left" w:pos="589"/>
              </w:tabs>
              <w:spacing w:before="0" w:after="120" w:line="240" w:lineRule="auto"/>
              <w:ind w:left="159" w:right="31" w:firstLine="0"/>
              <w:jc w:val="center"/>
              <w:rPr>
                <w:rFonts w:ascii="Sylfaen" w:hAnsi="Sylfaen"/>
                <w:b w:val="0"/>
                <w:sz w:val="24"/>
                <w:szCs w:val="24"/>
              </w:rPr>
            </w:pPr>
            <w:r w:rsidRPr="003B2786">
              <w:rPr>
                <w:rStyle w:val="Bodytext1811pt"/>
                <w:rFonts w:ascii="Sylfaen" w:hAnsi="Sylfaen"/>
                <w:sz w:val="24"/>
                <w:szCs w:val="24"/>
              </w:rPr>
              <w:t>1, 2, 3, 4, 5, 6, 9</w:t>
            </w:r>
          </w:p>
        </w:tc>
        <w:tc>
          <w:tcPr>
            <w:tcW w:w="1984" w:type="dxa"/>
            <w:gridSpan w:val="2"/>
            <w:tcBorders>
              <w:top w:val="single" w:sz="4" w:space="0" w:color="auto"/>
              <w:left w:val="single" w:sz="4" w:space="0" w:color="auto"/>
            </w:tcBorders>
            <w:shd w:val="clear" w:color="auto" w:fill="FFFFFF"/>
          </w:tcPr>
          <w:p w14:paraId="5607287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6BA7262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B23567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83F9E37" w14:textId="77777777" w:rsidR="008C76E0" w:rsidRPr="008C76E0" w:rsidRDefault="002A5072"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Pr>
                <w:rStyle w:val="Bodytext1811pt"/>
                <w:rFonts w:ascii="Sylfaen" w:hAnsi="Sylfaen"/>
                <w:sz w:val="24"/>
                <w:szCs w:val="24"/>
              </w:rPr>
              <w:t>4.</w:t>
            </w:r>
            <w:r>
              <w:rPr>
                <w:rStyle w:val="Bodytext1811pt"/>
                <w:rFonts w:ascii="Sylfaen" w:hAnsi="Sylfaen"/>
                <w:sz w:val="24"/>
                <w:szCs w:val="24"/>
              </w:rPr>
              <w:tab/>
              <w:t>Հավաստագրերի բացառումը (եթե</w:t>
            </w:r>
            <w:r w:rsidRPr="002A5072">
              <w:rPr>
                <w:rStyle w:val="Bodytext1811pt"/>
                <w:rFonts w:ascii="Sylfaen" w:hAnsi="Sylfaen"/>
                <w:sz w:val="24"/>
                <w:szCs w:val="24"/>
              </w:rPr>
              <w:t> </w:t>
            </w:r>
            <w:r w:rsidR="008C76E0" w:rsidRPr="003B2786">
              <w:rPr>
                <w:rStyle w:val="Bodytext1811pt"/>
                <w:rFonts w:ascii="Sylfaen" w:hAnsi="Sylfaen"/>
                <w:sz w:val="24"/>
                <w:szCs w:val="24"/>
              </w:rPr>
              <w:t>նյութին կցվել են մի քանի հավաստագիր)</w:t>
            </w:r>
          </w:p>
        </w:tc>
        <w:tc>
          <w:tcPr>
            <w:tcW w:w="1883" w:type="dxa"/>
            <w:gridSpan w:val="2"/>
            <w:tcBorders>
              <w:top w:val="single" w:sz="4" w:space="0" w:color="auto"/>
              <w:left w:val="single" w:sz="4" w:space="0" w:color="auto"/>
            </w:tcBorders>
            <w:shd w:val="clear" w:color="auto" w:fill="FFFFFF"/>
          </w:tcPr>
          <w:p w14:paraId="2BA55C7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8</w:t>
            </w:r>
          </w:p>
        </w:tc>
        <w:tc>
          <w:tcPr>
            <w:tcW w:w="1984" w:type="dxa"/>
            <w:gridSpan w:val="2"/>
            <w:tcBorders>
              <w:top w:val="single" w:sz="4" w:space="0" w:color="auto"/>
              <w:left w:val="single" w:sz="4" w:space="0" w:color="auto"/>
            </w:tcBorders>
            <w:shd w:val="clear" w:color="auto" w:fill="FFFFFF"/>
          </w:tcPr>
          <w:p w14:paraId="01D98C8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w:t>
            </w:r>
          </w:p>
        </w:tc>
        <w:tc>
          <w:tcPr>
            <w:tcW w:w="1843" w:type="dxa"/>
            <w:gridSpan w:val="2"/>
            <w:tcBorders>
              <w:top w:val="single" w:sz="4" w:space="0" w:color="auto"/>
              <w:left w:val="single" w:sz="4" w:space="0" w:color="auto"/>
              <w:right w:val="single" w:sz="4" w:space="0" w:color="auto"/>
            </w:tcBorders>
            <w:shd w:val="clear" w:color="auto" w:fill="FFFFFF"/>
          </w:tcPr>
          <w:p w14:paraId="11F04F6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8B0E7B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5B93CF2" w14:textId="2C54E3C1"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 xml:space="preserve">Նոր հավաստագիր՝ ոչ մանրէազերծ ակտիվ դեղագործական բաղադրամասի համար, որը ենթակա է օգտագործման մանրէազերծ դեղապատրաստուկի մեջ սինթեզման վերջին փուլում ջրի օգտագործման ժամանակ, իսկ նյութի առնչությամբ էնդոտոքսինների բացակայությունը դրանում չի </w:t>
            </w:r>
            <w:r w:rsidR="0056496B">
              <w:rPr>
                <w:rStyle w:val="Bodytext1811pt"/>
                <w:rFonts w:ascii="Sylfaen" w:hAnsi="Sylfaen"/>
                <w:sz w:val="24"/>
                <w:szCs w:val="24"/>
              </w:rPr>
              <w:t>դիմում</w:t>
            </w:r>
            <w:r w:rsidRPr="003B2786">
              <w:rPr>
                <w:rStyle w:val="Bodytext1811pt"/>
                <w:rFonts w:ascii="Sylfaen" w:hAnsi="Sylfaen"/>
                <w:sz w:val="24"/>
                <w:szCs w:val="24"/>
              </w:rPr>
              <w:t>ագրվել</w:t>
            </w:r>
          </w:p>
        </w:tc>
        <w:tc>
          <w:tcPr>
            <w:tcW w:w="1883" w:type="dxa"/>
            <w:gridSpan w:val="2"/>
            <w:tcBorders>
              <w:top w:val="single" w:sz="4" w:space="0" w:color="auto"/>
              <w:left w:val="single" w:sz="4" w:space="0" w:color="auto"/>
            </w:tcBorders>
            <w:shd w:val="clear" w:color="auto" w:fill="FFFFFF"/>
          </w:tcPr>
          <w:p w14:paraId="4E63D35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AFE97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059BE51B"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6B4395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5B740E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ՏՍԷ-ի մասով Եվրոպական դեղագրքի համապատասխանության հավաստագիրը՝ ակտիվ դեղագործական բաղադրամասի (ելանյութի (ռեակտիվի, միջանկյալ արտադրանքի), օժանդակ նյութի) համար</w:t>
            </w:r>
          </w:p>
        </w:tc>
        <w:tc>
          <w:tcPr>
            <w:tcW w:w="1883" w:type="dxa"/>
            <w:gridSpan w:val="2"/>
            <w:tcBorders>
              <w:top w:val="single" w:sz="4" w:space="0" w:color="auto"/>
              <w:left w:val="single" w:sz="4" w:space="0" w:color="auto"/>
            </w:tcBorders>
            <w:shd w:val="clear" w:color="auto" w:fill="FFFFFF"/>
          </w:tcPr>
          <w:p w14:paraId="2242F3A8"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D8A3DE8"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3B75F13B" w14:textId="77777777" w:rsidR="008C76E0" w:rsidRPr="003B2786" w:rsidRDefault="008C76E0" w:rsidP="008C76E0">
            <w:pPr>
              <w:tabs>
                <w:tab w:val="left" w:pos="589"/>
              </w:tabs>
              <w:spacing w:after="120"/>
              <w:ind w:left="159" w:right="222"/>
              <w:jc w:val="center"/>
              <w:rPr>
                <w:rFonts w:ascii="Sylfaen" w:hAnsi="Sylfaen"/>
                <w:sz w:val="24"/>
                <w:szCs w:val="24"/>
              </w:rPr>
            </w:pPr>
          </w:p>
        </w:tc>
      </w:tr>
      <w:tr w:rsidR="008C76E0" w:rsidRPr="003B2786" w14:paraId="4F2BC40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B081DA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հավաստագիր՝ ակտիվ դեղագործական բաղադրամասի համար՝ նոր կամ նախկինում հաստատված արտադրողից</w:t>
            </w:r>
          </w:p>
        </w:tc>
        <w:tc>
          <w:tcPr>
            <w:tcW w:w="1883" w:type="dxa"/>
            <w:gridSpan w:val="2"/>
            <w:tcBorders>
              <w:top w:val="single" w:sz="4" w:space="0" w:color="auto"/>
              <w:left w:val="single" w:sz="4" w:space="0" w:color="auto"/>
            </w:tcBorders>
            <w:shd w:val="clear" w:color="auto" w:fill="FFFFFF"/>
          </w:tcPr>
          <w:p w14:paraId="4165D30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3, 5, 9</w:t>
            </w:r>
          </w:p>
        </w:tc>
        <w:tc>
          <w:tcPr>
            <w:tcW w:w="1984" w:type="dxa"/>
            <w:gridSpan w:val="2"/>
            <w:tcBorders>
              <w:top w:val="single" w:sz="4" w:space="0" w:color="auto"/>
              <w:left w:val="single" w:sz="4" w:space="0" w:color="auto"/>
            </w:tcBorders>
            <w:shd w:val="clear" w:color="auto" w:fill="FFFFFF"/>
          </w:tcPr>
          <w:p w14:paraId="7A5E7595"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14D1C97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1466980D"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D0D52C2"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Նոր հավաստագիր՝ ակտիվ դեղագործական բաղադրամասի (ելանյութի, ռեակտիվի, միջանկյալ արտադրանքի, օժանդակ նյութի) համար՝ </w:t>
            </w:r>
            <w:r w:rsidRPr="003B2786">
              <w:rPr>
                <w:rStyle w:val="Bodytext1811pt"/>
                <w:rFonts w:ascii="Sylfaen" w:hAnsi="Sylfaen"/>
                <w:sz w:val="24"/>
                <w:szCs w:val="24"/>
              </w:rPr>
              <w:lastRenderedPageBreak/>
              <w:t>նոր կամ նախկինում հաստատված արտադրողից</w:t>
            </w:r>
          </w:p>
        </w:tc>
        <w:tc>
          <w:tcPr>
            <w:tcW w:w="1883" w:type="dxa"/>
            <w:gridSpan w:val="2"/>
            <w:tcBorders>
              <w:top w:val="single" w:sz="4" w:space="0" w:color="auto"/>
              <w:left w:val="single" w:sz="4" w:space="0" w:color="auto"/>
              <w:bottom w:val="single" w:sz="4" w:space="0" w:color="auto"/>
            </w:tcBorders>
            <w:shd w:val="clear" w:color="auto" w:fill="FFFFFF"/>
          </w:tcPr>
          <w:p w14:paraId="632CB81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3, 6, 7</w:t>
            </w:r>
          </w:p>
        </w:tc>
        <w:tc>
          <w:tcPr>
            <w:tcW w:w="1984" w:type="dxa"/>
            <w:gridSpan w:val="2"/>
            <w:tcBorders>
              <w:top w:val="single" w:sz="4" w:space="0" w:color="auto"/>
              <w:left w:val="single" w:sz="4" w:space="0" w:color="auto"/>
              <w:bottom w:val="single" w:sz="4" w:space="0" w:color="auto"/>
            </w:tcBorders>
            <w:shd w:val="clear" w:color="auto" w:fill="FFFFFF"/>
          </w:tcPr>
          <w:p w14:paraId="45A00FF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8926CD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0DC508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EE3EEAF"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Թարմացված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49487FBF"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7</w:t>
            </w:r>
          </w:p>
        </w:tc>
        <w:tc>
          <w:tcPr>
            <w:tcW w:w="1984" w:type="dxa"/>
            <w:gridSpan w:val="2"/>
            <w:tcBorders>
              <w:top w:val="single" w:sz="4" w:space="0" w:color="auto"/>
              <w:left w:val="single" w:sz="4" w:space="0" w:color="auto"/>
            </w:tcBorders>
            <w:shd w:val="clear" w:color="auto" w:fill="FFFFFF"/>
          </w:tcPr>
          <w:p w14:paraId="7D59A9DC"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73D6573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37F99B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F099DB7"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Հավաստագրերի բացառումը (եթե նյութին կցվել են մի քանի հավաստագիր)</w:t>
            </w:r>
          </w:p>
        </w:tc>
        <w:tc>
          <w:tcPr>
            <w:tcW w:w="1883" w:type="dxa"/>
            <w:gridSpan w:val="2"/>
            <w:tcBorders>
              <w:top w:val="single" w:sz="4" w:space="0" w:color="auto"/>
              <w:left w:val="single" w:sz="4" w:space="0" w:color="auto"/>
            </w:tcBorders>
            <w:shd w:val="clear" w:color="auto" w:fill="FFFFFF"/>
          </w:tcPr>
          <w:p w14:paraId="4EF42D14"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8</w:t>
            </w:r>
          </w:p>
        </w:tc>
        <w:tc>
          <w:tcPr>
            <w:tcW w:w="1984" w:type="dxa"/>
            <w:gridSpan w:val="2"/>
            <w:tcBorders>
              <w:top w:val="single" w:sz="4" w:space="0" w:color="auto"/>
              <w:left w:val="single" w:sz="4" w:space="0" w:color="auto"/>
            </w:tcBorders>
            <w:shd w:val="clear" w:color="auto" w:fill="FFFFFF"/>
          </w:tcPr>
          <w:p w14:paraId="08723511"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3</w:t>
            </w:r>
          </w:p>
        </w:tc>
        <w:tc>
          <w:tcPr>
            <w:tcW w:w="1843" w:type="dxa"/>
            <w:gridSpan w:val="2"/>
            <w:tcBorders>
              <w:top w:val="single" w:sz="4" w:space="0" w:color="auto"/>
              <w:left w:val="single" w:sz="4" w:space="0" w:color="auto"/>
              <w:right w:val="single" w:sz="4" w:space="0" w:color="auto"/>
            </w:tcBorders>
            <w:shd w:val="clear" w:color="auto" w:fill="FFFFFF"/>
          </w:tcPr>
          <w:p w14:paraId="206A926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BBA2D2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137E315"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Նոր (թարմացված) հավաստագիր՝ նախկինում հաստատված (նոր) արտադրողից, որն օգտագործում է մարդկային կամ կենդանական ծագման նյութեր, որոնց առնչությամբ պահանջվում է կողմնակի ագենտներով հնարավոր կոնտամինացիայի ռիսկի առումով գնահատում:</w:t>
            </w:r>
          </w:p>
        </w:tc>
        <w:tc>
          <w:tcPr>
            <w:tcW w:w="1883" w:type="dxa"/>
            <w:gridSpan w:val="2"/>
            <w:tcBorders>
              <w:top w:val="single" w:sz="4" w:space="0" w:color="auto"/>
              <w:left w:val="single" w:sz="4" w:space="0" w:color="auto"/>
            </w:tcBorders>
            <w:shd w:val="clear" w:color="auto" w:fill="FFFFFF"/>
          </w:tcPr>
          <w:p w14:paraId="180F76EC"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451EA7E"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59DA46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E3B396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0635B0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EA81348" w14:textId="77777777" w:rsidR="008C76E0" w:rsidRPr="008C76E0" w:rsidRDefault="008C76E0" w:rsidP="008C76E0">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մասնագրերը չեն փոփոխվում:</w:t>
            </w:r>
          </w:p>
          <w:p w14:paraId="00F86ED4"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Խառնուկների չփոփոխված (բացառությամբ խստացման) (Միության դեղագրքի) լրացուցիչ մասնագրերը (բացառությամբ մնացորդային լուծիչների՝ Միության մարմինների ակտերի պահանջներին դրանց համապատասխանության պայմանով), արտադրանքի մասնահատուկ պահանջները (օրինակ`մասնիկների չափսերի պրոֆիլները, պոլիմորֆային ձ</w:t>
            </w:r>
            <w:r w:rsidR="00C54D75">
              <w:rPr>
                <w:rStyle w:val="Bodytext1811pt"/>
                <w:rFonts w:ascii="Sylfaen" w:hAnsi="Sylfaen"/>
                <w:sz w:val="24"/>
                <w:szCs w:val="24"/>
              </w:rPr>
              <w:t>և</w:t>
            </w:r>
            <w:r w:rsidRPr="003B2786">
              <w:rPr>
                <w:rStyle w:val="Bodytext1811pt"/>
                <w:rFonts w:ascii="Sylfaen" w:hAnsi="Sylfaen"/>
                <w:sz w:val="24"/>
                <w:szCs w:val="24"/>
              </w:rPr>
              <w:t>երը), եթե կիրառելի է:</w:t>
            </w:r>
          </w:p>
          <w:p w14:paraId="55C05AEF" w14:textId="77777777" w:rsidR="008C76E0" w:rsidRPr="003B2786" w:rsidRDefault="008C76E0" w:rsidP="008C76E0">
            <w:pPr>
              <w:pStyle w:val="Bodytext180"/>
              <w:shd w:val="clear" w:color="auto" w:fill="auto"/>
              <w:tabs>
                <w:tab w:val="left" w:pos="589"/>
              </w:tabs>
              <w:spacing w:before="0" w:line="264" w:lineRule="auto"/>
              <w:ind w:left="159" w:right="221" w:firstLine="0"/>
              <w:jc w:val="both"/>
              <w:rPr>
                <w:rStyle w:val="Bodytext1811pt"/>
                <w:rFonts w:ascii="Sylfaen" w:hAnsi="Sylfaen"/>
                <w:sz w:val="24"/>
                <w:szCs w:val="24"/>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ելանյութի (ռեակտիվի, միջանկյալ արտադրանքի) արտադրության գործընթացը չի ներառում մարդկային կամ կենդանական ծագման նյութերի օգտագործում, որոնց համար պահանջվում է վերլուծել վիրուսային անվտանգության մասին տվյալները:</w:t>
            </w:r>
          </w:p>
          <w:p w14:paraId="4F6D6B33" w14:textId="77777777" w:rsidR="008C76E0" w:rsidRPr="008C76E0" w:rsidRDefault="008C76E0" w:rsidP="008C76E0">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Բացառապես ակտիվ դեղագործական բաղադրամասի համար. օգտագործումից անմիջապես առաջ այն կփորձարկվի, եթե կրկնակի փորձարկման ժամանակահատվածը ներառված չէ Եվրոպական դեղագրքին համապատասխանության հավաստագրում, կամ կրկնակի փորձարկման ժամանակահատվածը հիմնավորող տվյալներն արդեն ներառված չեն դոսյեում:</w:t>
            </w:r>
          </w:p>
          <w:p w14:paraId="33B669C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բաղադրամասը (ելանյութը (ռեակտիվը, միջանկյալ արտադրանքը), օժանդակ նյութը) մանրէազերծ չէ: </w:t>
            </w:r>
          </w:p>
          <w:p w14:paraId="7805DB5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Բուսական դեղագործական բաղադրամասերը. արտադրության եղանակը, ֆիզիկական վիճակը, արտազատող լուծիչը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դեղամիջոցի էկստրակցիայի գործակիցը չեն փոփոխվում:</w:t>
            </w:r>
          </w:p>
          <w:p w14:paraId="13BCEB88"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Եթե պարէնտերալ ներմուծման համար դեղապատրաստուկի բաղադրության մեջ օգտագործվում է ոսկորներից արտադրված դոնդողանյութ, ապա դրա արտադրությունը պետք է իրականացվի միայն համապատասխան երկրի պահանջներին համապատասխան:</w:t>
            </w:r>
          </w:p>
          <w:p w14:paraId="51A4802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Դոսյեում մնում է այդ բաղադրամասի առնվազն մեկ արտադրող:</w:t>
            </w:r>
          </w:p>
          <w:p w14:paraId="2ED5E19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9.</w:t>
            </w:r>
            <w:r w:rsidRPr="008C76E0">
              <w:rPr>
                <w:rFonts w:ascii="Sylfaen" w:hAnsi="Sylfaen"/>
                <w:b w:val="0"/>
                <w:sz w:val="24"/>
                <w:szCs w:val="24"/>
                <w:lang w:val="hy-AM"/>
              </w:rPr>
              <w:tab/>
            </w:r>
            <w:r w:rsidRPr="003B2786">
              <w:rPr>
                <w:rStyle w:val="Bodytext1811pt"/>
                <w:rFonts w:ascii="Sylfaen" w:hAnsi="Sylfaen"/>
                <w:sz w:val="24"/>
                <w:szCs w:val="24"/>
              </w:rPr>
              <w:t>Եթե ակտիվ դեղագործական բաղադրամասը մանրէազերծ չէ, բայց օգտագործվելու է մանրէազերծ դեղապատրաստուկի բաղադրության մեջ, ապա СЕР-ին համապատասխան՝ սինթեզման վերջին փուլում ջուր չի կարող օգտագործվել, կամ եթե դա տեղի է ունենում, ապա անհրաժեշտ է ապահովել բակտերիալ էնդոտոքսինների բացակայությունն ակտիվ դեղագործական բաղադրամասի մեջ:</w:t>
            </w:r>
          </w:p>
        </w:tc>
      </w:tr>
      <w:tr w:rsidR="008C76E0" w:rsidRPr="003B2786" w14:paraId="4B538C67"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2115704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E80D0B8"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Եվրոպական դեղագրքին համապատասխանության գործող (թարմացված) հավաստագրի պատճենը:</w:t>
            </w:r>
          </w:p>
          <w:p w14:paraId="3ED411E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Արտադրական հարթակ ավելացնելու դեպքում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«գրանցված»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ինչպես նշված է դիմումի ձ</w:t>
            </w:r>
            <w:r w:rsidR="00C54D75">
              <w:rPr>
                <w:rStyle w:val="Bodytext1811pt"/>
                <w:rFonts w:ascii="Sylfaen" w:hAnsi="Sylfaen"/>
                <w:sz w:val="24"/>
                <w:szCs w:val="24"/>
              </w:rPr>
              <w:t>և</w:t>
            </w:r>
            <w:r w:rsidRPr="003B2786">
              <w:rPr>
                <w:rStyle w:val="Bodytext1811pt"/>
                <w:rFonts w:ascii="Sylfaen" w:hAnsi="Sylfaen"/>
                <w:sz w:val="24"/>
                <w:szCs w:val="24"/>
              </w:rPr>
              <w:t>ի 2.5-րդ բաժնում:</w:t>
            </w:r>
          </w:p>
          <w:p w14:paraId="68BF12A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053B3456"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կենդանիների սպունգանման էնցեֆալոպատիայի փոխանցման ռիսկի նվազեցման մասով Եվրոպական դեղագրքի հոդվածի կիրառության ոլորտում ընդգրկված, ներառյալ՝ ակտիվ դեղագործական բաղադրամասի (օժանդակ նյութի) արտադրության մեջ օգտագործվող բոլոր նյութերի մասին տեղեկություններ պարունակող փաստաթուղթը, եթե կիրառելի է: Այդ տեսակի ցանկացած նյութի համար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որից ստացվել է նյութը, կենդանիների ծագման երկիրը </w:t>
            </w:r>
            <w:r w:rsidR="00C54D75">
              <w:rPr>
                <w:rStyle w:val="Bodytext1811pt"/>
                <w:rFonts w:ascii="Sylfaen" w:hAnsi="Sylfaen"/>
                <w:sz w:val="24"/>
                <w:szCs w:val="24"/>
              </w:rPr>
              <w:t>և</w:t>
            </w:r>
            <w:r w:rsidRPr="003B2786">
              <w:rPr>
                <w:rStyle w:val="Bodytext1811pt"/>
                <w:rFonts w:ascii="Sylfaen" w:hAnsi="Sylfaen"/>
                <w:sz w:val="24"/>
                <w:szCs w:val="24"/>
              </w:rPr>
              <w:t xml:space="preserve"> դրա օգտագործումը:</w:t>
            </w:r>
          </w:p>
        </w:tc>
      </w:tr>
      <w:tr w:rsidR="008C76E0" w:rsidRPr="003B2786" w14:paraId="4522120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F3E17FE" w14:textId="029F602E"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առնչությամբ դիմումի մեջ նշված ակտիվ դեղագործական բաղադրամասը որպես ելանյութ օգտագործող յուրաքանչյուր լիցենզավորված արտադրողի լիազորված անձի </w:t>
            </w:r>
            <w:r w:rsidR="00C54D75">
              <w:rPr>
                <w:rStyle w:val="Bodytext1811pt"/>
                <w:rFonts w:ascii="Sylfaen" w:hAnsi="Sylfaen"/>
                <w:sz w:val="24"/>
                <w:szCs w:val="24"/>
              </w:rPr>
              <w:t>և</w:t>
            </w:r>
            <w:r w:rsidRPr="003B2786">
              <w:rPr>
                <w:rStyle w:val="Bodytext1811pt"/>
                <w:rFonts w:ascii="Sylfaen" w:hAnsi="Sylfaen"/>
                <w:sz w:val="24"/>
                <w:szCs w:val="24"/>
              </w:rPr>
              <w:t xml:space="preserve"> դիմումի մեջ որպես սերիաների բացթողման համար պատասխանատու նշված յուրաքանչյուր լիցենզավորված արտադրողի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w:t>
            </w:r>
            <w:r w:rsidR="0085119E">
              <w:rPr>
                <w:rStyle w:val="Bodytext1811pt"/>
                <w:rFonts w:ascii="Sylfaen" w:hAnsi="Sylfaen"/>
                <w:sz w:val="24"/>
                <w:szCs w:val="24"/>
              </w:rPr>
              <w:t>Հայտարարագր</w:t>
            </w:r>
            <w:r w:rsidRPr="003B2786">
              <w:rPr>
                <w:rStyle w:val="Bodytext1811pt"/>
                <w:rFonts w:ascii="Sylfaen" w:hAnsi="Sylfaen"/>
                <w:sz w:val="24"/>
                <w:szCs w:val="24"/>
              </w:rPr>
              <w:t>երում անհրաժեշտ է նշել, որ դիմումում նշված ակտիվ դեղագործական նյութի արտադրող(ներ)ը ելանյութերի առնչությամբ իր (իրենց) գործունեությունն իրականացնում է (են) Միության պատշաճ արտադրական պրակտիկայի կանոններին համապատասխան: Որոշ հանգամանքներում թույլատրվում է ներկայացնել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 փոփոխության վերաբերյալ ծանոթագրությունը)։ Եթե առնչություն կա ակտիվ դեղագործական բաղադրամասերի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արտադրանքների համար հավաստագրերի թարմացումներին, միջանկյալ արտադրանքների արտադրողներից նա</w:t>
            </w:r>
            <w:r w:rsidR="00C54D75">
              <w:rPr>
                <w:rStyle w:val="Bodytext1811pt"/>
                <w:rFonts w:ascii="Sylfaen" w:hAnsi="Sylfaen"/>
                <w:sz w:val="24"/>
                <w:szCs w:val="24"/>
              </w:rPr>
              <w:t>և</w:t>
            </w:r>
            <w:r w:rsidRPr="003B2786">
              <w:rPr>
                <w:rStyle w:val="Bodytext1811pt"/>
                <w:rFonts w:ascii="Sylfaen" w:hAnsi="Sylfaen"/>
                <w:sz w:val="24"/>
                <w:szCs w:val="24"/>
              </w:rPr>
              <w:t xml:space="preserve"> պահանջվում է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ն անհրաժեշտ է միայն այն դեպքում, երբ հավաստագրի նախկինում գրանցված տարբերակի համեմատ առկա է ցանկում ընդգրկված գործող արտադրական հարթակների փոփոխություն:</w:t>
            </w:r>
          </w:p>
          <w:p w14:paraId="6C2B5D8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Style w:val="Bodytext1811pt"/>
                <w:rFonts w:ascii="Sylfaen" w:hAnsi="Sylfaen"/>
                <w:sz w:val="24"/>
                <w:szCs w:val="24"/>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Պատշաճ հաստատում, որը վկայում է ակտիվ դեղագործական բաղադրամասի սինթեզման վերջին փուլում օգտագործվող ջրի՝ դեղագործական կիրառման ջրի համար որակի համապատասխան պահանջներին համապատասխանության մասին: </w:t>
            </w:r>
          </w:p>
          <w:p w14:paraId="56B0510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p>
        </w:tc>
      </w:tr>
      <w:tr w:rsidR="008C76E0" w:rsidRPr="003B2786" w14:paraId="5D4700B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7195F45"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Բ.III.2.</w:t>
            </w:r>
            <w:r w:rsidRPr="003B2786">
              <w:rPr>
                <w:rStyle w:val="Bodytext1811pt"/>
                <w:rFonts w:ascii="Sylfaen" w:hAnsi="Sylfaen"/>
                <w:sz w:val="24"/>
                <w:szCs w:val="24"/>
              </w:rPr>
              <w:tab/>
              <w:t xml:space="preserve">Միության դեղագրքին կամ </w:t>
            </w:r>
            <w:r w:rsidRPr="003B2786">
              <w:rPr>
                <w:rStyle w:val="Bodytext1811pt"/>
                <w:rFonts w:ascii="Sylfaen" w:hAnsi="Sylfaen"/>
                <w:sz w:val="24"/>
                <w:szCs w:val="24"/>
              </w:rPr>
              <w:lastRenderedPageBreak/>
              <w:t>անդամ պետության դեղագրքին համապատասխանության նպատակներով փոփոխությունները</w:t>
            </w:r>
          </w:p>
        </w:tc>
        <w:tc>
          <w:tcPr>
            <w:tcW w:w="1883" w:type="dxa"/>
            <w:gridSpan w:val="2"/>
            <w:tcBorders>
              <w:top w:val="single" w:sz="4" w:space="0" w:color="auto"/>
              <w:left w:val="single" w:sz="4" w:space="0" w:color="auto"/>
            </w:tcBorders>
            <w:shd w:val="clear" w:color="auto" w:fill="FFFFFF"/>
          </w:tcPr>
          <w:p w14:paraId="3368A8AB"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1984" w:type="dxa"/>
            <w:gridSpan w:val="2"/>
            <w:tcBorders>
              <w:top w:val="single" w:sz="4" w:space="0" w:color="auto"/>
              <w:left w:val="single" w:sz="4" w:space="0" w:color="auto"/>
            </w:tcBorders>
            <w:shd w:val="clear" w:color="auto" w:fill="FFFFFF"/>
          </w:tcPr>
          <w:p w14:paraId="511B705A"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lastRenderedPageBreak/>
              <w:t xml:space="preserve">Փաստաթղթերը </w:t>
            </w:r>
            <w:r w:rsidR="00C54D75">
              <w:rPr>
                <w:rStyle w:val="Bodytext1811pt"/>
                <w:rFonts w:ascii="Sylfaen" w:hAnsi="Sylfaen"/>
                <w:sz w:val="24"/>
                <w:szCs w:val="24"/>
              </w:rPr>
              <w:lastRenderedPageBreak/>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4B20A6F"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lastRenderedPageBreak/>
              <w:t>Ընթացակարգը</w:t>
            </w:r>
          </w:p>
        </w:tc>
      </w:tr>
      <w:tr w:rsidR="008C76E0" w:rsidRPr="003B2786" w14:paraId="77E903C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7F355C2"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Միության դեղագրքին կամ անդամ պետության դեղագրքին համապատասխանության նպատակներով նախկինում ոչ դեղագրքային բաղադրամասի մասնագրի (մասնագրերի) փոփոխությունը</w:t>
            </w:r>
          </w:p>
        </w:tc>
        <w:tc>
          <w:tcPr>
            <w:tcW w:w="1883" w:type="dxa"/>
            <w:gridSpan w:val="2"/>
            <w:tcBorders>
              <w:top w:val="single" w:sz="4" w:space="0" w:color="auto"/>
              <w:left w:val="single" w:sz="4" w:space="0" w:color="auto"/>
            </w:tcBorders>
            <w:shd w:val="clear" w:color="auto" w:fill="FFFFFF"/>
          </w:tcPr>
          <w:p w14:paraId="1D2DAED2" w14:textId="77777777" w:rsidR="008C76E0" w:rsidRPr="003B2786" w:rsidRDefault="008C76E0" w:rsidP="008C76E0">
            <w:pPr>
              <w:tabs>
                <w:tab w:val="left" w:pos="589"/>
              </w:tabs>
              <w:spacing w:after="120"/>
              <w:ind w:right="56"/>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C9882BB" w14:textId="77777777" w:rsidR="008C76E0" w:rsidRPr="003B2786" w:rsidRDefault="008C76E0" w:rsidP="008C76E0">
            <w:pPr>
              <w:tabs>
                <w:tab w:val="left" w:pos="589"/>
              </w:tabs>
              <w:spacing w:after="120"/>
              <w:ind w:right="56"/>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01DC34FA" w14:textId="77777777" w:rsidR="008C76E0" w:rsidRPr="003B2786" w:rsidRDefault="008C76E0" w:rsidP="008C76E0">
            <w:pPr>
              <w:tabs>
                <w:tab w:val="left" w:pos="589"/>
              </w:tabs>
              <w:spacing w:after="120"/>
              <w:ind w:right="56"/>
              <w:jc w:val="center"/>
              <w:rPr>
                <w:rFonts w:ascii="Sylfaen" w:hAnsi="Sylfaen"/>
                <w:sz w:val="24"/>
                <w:szCs w:val="24"/>
              </w:rPr>
            </w:pPr>
          </w:p>
        </w:tc>
      </w:tr>
      <w:tr w:rsidR="008C76E0" w:rsidRPr="003B2786" w14:paraId="6A29E8E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143DD6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Ակտիվ դեղագործական բաղադրամասի</w:t>
            </w:r>
          </w:p>
        </w:tc>
        <w:tc>
          <w:tcPr>
            <w:tcW w:w="1883" w:type="dxa"/>
            <w:gridSpan w:val="2"/>
            <w:tcBorders>
              <w:top w:val="single" w:sz="4" w:space="0" w:color="auto"/>
              <w:left w:val="single" w:sz="4" w:space="0" w:color="auto"/>
            </w:tcBorders>
            <w:shd w:val="clear" w:color="auto" w:fill="FFFFFF"/>
          </w:tcPr>
          <w:p w14:paraId="639110E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984" w:type="dxa"/>
            <w:gridSpan w:val="2"/>
            <w:tcBorders>
              <w:top w:val="single" w:sz="4" w:space="0" w:color="auto"/>
              <w:left w:val="single" w:sz="4" w:space="0" w:color="auto"/>
            </w:tcBorders>
            <w:shd w:val="clear" w:color="auto" w:fill="FFFFFF"/>
          </w:tcPr>
          <w:p w14:paraId="4F435ED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69B2D6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749EF8B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4D935B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Ակտիվ դեղագործական բաղադրամասի օժանդակ նյութի (ելանյութի)</w:t>
            </w:r>
          </w:p>
        </w:tc>
        <w:tc>
          <w:tcPr>
            <w:tcW w:w="1883" w:type="dxa"/>
            <w:gridSpan w:val="2"/>
            <w:tcBorders>
              <w:top w:val="single" w:sz="4" w:space="0" w:color="auto"/>
              <w:left w:val="single" w:sz="4" w:space="0" w:color="auto"/>
            </w:tcBorders>
            <w:shd w:val="clear" w:color="auto" w:fill="FFFFFF"/>
          </w:tcPr>
          <w:p w14:paraId="7BEDBB96"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1, 2, 4</w:t>
            </w:r>
          </w:p>
        </w:tc>
        <w:tc>
          <w:tcPr>
            <w:tcW w:w="1984" w:type="dxa"/>
            <w:gridSpan w:val="2"/>
            <w:tcBorders>
              <w:top w:val="single" w:sz="4" w:space="0" w:color="auto"/>
              <w:left w:val="single" w:sz="4" w:space="0" w:color="auto"/>
            </w:tcBorders>
            <w:shd w:val="clear" w:color="auto" w:fill="FFFFFF"/>
          </w:tcPr>
          <w:p w14:paraId="6A42661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053A99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6716B2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1B9BC3D" w14:textId="77777777" w:rsidR="008C76E0" w:rsidRPr="008C76E0" w:rsidRDefault="008C76E0" w:rsidP="002A5072">
            <w:pPr>
              <w:pStyle w:val="Bodytext180"/>
              <w:shd w:val="clear" w:color="auto" w:fill="auto"/>
              <w:tabs>
                <w:tab w:val="left" w:pos="589"/>
              </w:tabs>
              <w:spacing w:before="0" w:after="120" w:line="288"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Միության դեղագրքի համապատասխան թարմացված հոդվածին կամ անդամ պետության դեղագրքին համապատասխանության նպատակներով փոփոխությունները</w:t>
            </w:r>
          </w:p>
        </w:tc>
        <w:tc>
          <w:tcPr>
            <w:tcW w:w="1883" w:type="dxa"/>
            <w:gridSpan w:val="2"/>
            <w:tcBorders>
              <w:top w:val="single" w:sz="4" w:space="0" w:color="auto"/>
              <w:left w:val="single" w:sz="4" w:space="0" w:color="auto"/>
            </w:tcBorders>
            <w:shd w:val="clear" w:color="auto" w:fill="FFFFFF"/>
          </w:tcPr>
          <w:p w14:paraId="1D772596"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1, 2, 4, 5</w:t>
            </w:r>
          </w:p>
        </w:tc>
        <w:tc>
          <w:tcPr>
            <w:tcW w:w="1984" w:type="dxa"/>
            <w:gridSpan w:val="2"/>
            <w:tcBorders>
              <w:top w:val="single" w:sz="4" w:space="0" w:color="auto"/>
              <w:left w:val="single" w:sz="4" w:space="0" w:color="auto"/>
            </w:tcBorders>
            <w:shd w:val="clear" w:color="auto" w:fill="FFFFFF"/>
          </w:tcPr>
          <w:p w14:paraId="7EE9B285"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672A00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E8A4F9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827BB3C" w14:textId="77777777" w:rsidR="008C76E0" w:rsidRPr="008C76E0" w:rsidRDefault="008C76E0" w:rsidP="002A5072">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անդամ պետության դեղագրքից մասնագրերի փոխարինումը Միության դեղագրքի մասնագրերով</w:t>
            </w:r>
          </w:p>
        </w:tc>
        <w:tc>
          <w:tcPr>
            <w:tcW w:w="1883" w:type="dxa"/>
            <w:gridSpan w:val="2"/>
            <w:tcBorders>
              <w:top w:val="single" w:sz="4" w:space="0" w:color="auto"/>
              <w:left w:val="single" w:sz="4" w:space="0" w:color="auto"/>
            </w:tcBorders>
            <w:shd w:val="clear" w:color="auto" w:fill="FFFFFF"/>
          </w:tcPr>
          <w:p w14:paraId="0746DC5E"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1, 4, 5</w:t>
            </w:r>
          </w:p>
        </w:tc>
        <w:tc>
          <w:tcPr>
            <w:tcW w:w="1984" w:type="dxa"/>
            <w:gridSpan w:val="2"/>
            <w:tcBorders>
              <w:top w:val="single" w:sz="4" w:space="0" w:color="auto"/>
              <w:left w:val="single" w:sz="4" w:space="0" w:color="auto"/>
            </w:tcBorders>
            <w:shd w:val="clear" w:color="auto" w:fill="FFFFFF"/>
          </w:tcPr>
          <w:p w14:paraId="4480C762"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B6DCE26"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E4CA98D"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B1C07C7"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D6358C5"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 իրականացվում է բացառապես դեղագրքին լիարժեք համապատասխանության նպատակով: Փոփոխելուց հետո մասնագրում բոլոր փորձարկումները, բացառությամբ ցանկացած լրացուցիչ օժանդակ փորձարկումների, պետք</w:t>
            </w:r>
            <w:r w:rsidR="002A5072" w:rsidRPr="002A5072">
              <w:rPr>
                <w:rStyle w:val="Bodytext1811pt"/>
                <w:rFonts w:ascii="Sylfaen" w:hAnsi="Sylfaen"/>
                <w:sz w:val="24"/>
                <w:szCs w:val="24"/>
              </w:rPr>
              <w:t> </w:t>
            </w:r>
            <w:r w:rsidRPr="003B2786">
              <w:rPr>
                <w:rStyle w:val="Bodytext1811pt"/>
                <w:rFonts w:ascii="Sylfaen" w:hAnsi="Sylfaen"/>
                <w:sz w:val="24"/>
                <w:szCs w:val="24"/>
              </w:rPr>
              <w:t>է համապատասխանեն դեղագրքային ստանդարտին:</w:t>
            </w:r>
          </w:p>
          <w:p w14:paraId="67518AF4"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Դեղագրքի լրացուցիչ՝ արտադրանքի մասնահատուկ հատկությունների մասնագրերը չեն փոփոխվում (օրինակ` մասնիկների չափսերի պրոֆիլները, պոլիմորֆային ձ</w:t>
            </w:r>
            <w:r w:rsidR="00C54D75">
              <w:rPr>
                <w:rStyle w:val="Bodytext1811pt"/>
                <w:rFonts w:ascii="Sylfaen" w:hAnsi="Sylfaen"/>
                <w:sz w:val="24"/>
                <w:szCs w:val="24"/>
              </w:rPr>
              <w:t>և</w:t>
            </w:r>
            <w:r w:rsidRPr="003B2786">
              <w:rPr>
                <w:rStyle w:val="Bodytext1811pt"/>
                <w:rFonts w:ascii="Sylfaen" w:hAnsi="Sylfaen"/>
                <w:sz w:val="24"/>
                <w:szCs w:val="24"/>
              </w:rPr>
              <w:t>ը կամ, օրինակ՝ կենսաբանական մեթոդիկաները, ագրեգատները):</w:t>
            </w:r>
          </w:p>
        </w:tc>
      </w:tr>
      <w:tr w:rsidR="008C76E0" w:rsidRPr="003B2786" w14:paraId="29FEE74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E116A2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Բացակայում են խառնուկների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պրոֆիլների էական փոփոխությունները (բացառությամբ մասնագրերի խստացման):</w:t>
            </w:r>
          </w:p>
          <w:p w14:paraId="1D23260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Նոր կամ փոփոխված դեղագրքային մեթոդիկայի լրացուցիչ վալիդացում չի պահանջվում:</w:t>
            </w:r>
          </w:p>
          <w:p w14:paraId="6876A0AC" w14:textId="77777777" w:rsidR="008C76E0" w:rsidRPr="008C76E0" w:rsidRDefault="008C76E0" w:rsidP="002A5072">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Բուսական դեղագործական բաղադրամասերը. արտադրության եղանակը, ֆիզիկական վիճակը, էկստրագենտը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դեղամիջոցի էկստրակցիայի գործակիցը չեն փոփոխվում:</w:t>
            </w:r>
          </w:p>
        </w:tc>
      </w:tr>
      <w:tr w:rsidR="008C76E0" w:rsidRPr="003B2786" w14:paraId="533C90A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2FBBE9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ECAEC2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9D3BEA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5B462F56"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Համապատասխան բաղադրամասի (նյութի) սերիաների, առնվազն 2 արդյունաբերական սերիաների անալիզի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 xml:space="preserve">աչափով)՝ նոր մասնագրի բոլոր փորձարկումների մասով, </w:t>
            </w:r>
            <w:r w:rsidR="00C54D75">
              <w:rPr>
                <w:rStyle w:val="Bodytext1811pt"/>
                <w:rFonts w:ascii="Sylfaen" w:hAnsi="Sylfaen"/>
                <w:sz w:val="24"/>
                <w:szCs w:val="24"/>
              </w:rPr>
              <w:t>և</w:t>
            </w:r>
            <w:r w:rsidRPr="003B2786">
              <w:rPr>
                <w:rStyle w:val="Bodytext1811pt"/>
                <w:rFonts w:ascii="Sylfaen" w:hAnsi="Sylfaen"/>
                <w:sz w:val="24"/>
                <w:szCs w:val="24"/>
              </w:rPr>
              <w:t>, ի լրումն, առնվազն մեկ փորձարարաարդյունաբերական սերիայի դեղապատրաստուկի լուծելիության համեմատական կինետիկայի թեստի արդյունքները, եթե կիրառելի է: Բուսական դեղապատրաստուկների առնչությամբ կարող են բավարար լինել համեմատական տրոհելիության տվյալները:</w:t>
            </w:r>
          </w:p>
          <w:p w14:paraId="2E92DD32"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Սուբստանցիայի որակի հսկողության համար հոդվածի պիտանիությունը հաստատող տվյալները, օրինակ` պոտենցիալ խառնուկների համեմատությունը՝ հոդվածի թափանցիկության վերաբերյալ ծանոթագրության հետ (transparency note of the monograph):</w:t>
            </w:r>
          </w:p>
        </w:tc>
      </w:tr>
      <w:tr w:rsidR="008C76E0" w:rsidRPr="003B2786" w14:paraId="44FBDC6B" w14:textId="77777777" w:rsidTr="004A52D9">
        <w:trPr>
          <w:jc w:val="center"/>
        </w:trPr>
        <w:tc>
          <w:tcPr>
            <w:tcW w:w="2594" w:type="dxa"/>
            <w:gridSpan w:val="2"/>
            <w:tcBorders>
              <w:top w:val="single" w:sz="4" w:space="0" w:color="auto"/>
              <w:left w:val="single" w:sz="4" w:space="0" w:color="auto"/>
            </w:tcBorders>
            <w:shd w:val="clear" w:color="auto" w:fill="FFFFFF"/>
          </w:tcPr>
          <w:p w14:paraId="5586D13A" w14:textId="77777777" w:rsidR="008C76E0" w:rsidRPr="003B2786" w:rsidRDefault="008C76E0" w:rsidP="008C76E0">
            <w:pPr>
              <w:pStyle w:val="Bodytext180"/>
              <w:shd w:val="clear" w:color="auto" w:fill="auto"/>
              <w:tabs>
                <w:tab w:val="left" w:pos="589"/>
              </w:tabs>
              <w:spacing w:before="0" w:after="120" w:line="240" w:lineRule="auto"/>
              <w:ind w:left="159"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015877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sz w:val="24"/>
                <w:szCs w:val="24"/>
              </w:rPr>
            </w:pPr>
            <w:r w:rsidRPr="003B2786">
              <w:rPr>
                <w:rStyle w:val="Bodytext1811pt"/>
                <w:rFonts w:ascii="Sylfaen" w:hAnsi="Sylfaen"/>
                <w:sz w:val="24"/>
                <w:szCs w:val="24"/>
              </w:rPr>
              <w:t xml:space="preserve">Թարմացված հոդվածին համապատասխանության ներդրման դեպքում լիազորված մարմիններին ծանուցել Միության դեղագրքի կամ անդամ պետության դեղագրքի հոդվածի թարմացման մասին՝ դրա հրապարակումից հետո 6 ամսվա ընթացքում, </w:t>
            </w:r>
            <w:r w:rsidR="00C54D75">
              <w:rPr>
                <w:rStyle w:val="Bodytext1811pt"/>
                <w:rFonts w:ascii="Sylfaen" w:hAnsi="Sylfaen"/>
                <w:sz w:val="24"/>
                <w:szCs w:val="24"/>
              </w:rPr>
              <w:t>և</w:t>
            </w:r>
            <w:r w:rsidRPr="003B2786">
              <w:rPr>
                <w:rStyle w:val="Bodytext1811pt"/>
                <w:rFonts w:ascii="Sylfaen" w:hAnsi="Sylfaen"/>
                <w:sz w:val="24"/>
                <w:szCs w:val="24"/>
              </w:rPr>
              <w:t xml:space="preserve"> գրանցված դեղապատրաստուկի դոսյեում՝ «գործող խմբագրությանը» արված հղումների առկայության դեպքում։ </w:t>
            </w:r>
          </w:p>
        </w:tc>
      </w:tr>
      <w:tr w:rsidR="008C76E0" w:rsidRPr="003B2786" w14:paraId="7B52C553" w14:textId="77777777" w:rsidTr="004A52D9">
        <w:trPr>
          <w:jc w:val="center"/>
        </w:trPr>
        <w:tc>
          <w:tcPr>
            <w:tcW w:w="10694" w:type="dxa"/>
            <w:gridSpan w:val="10"/>
            <w:tcBorders>
              <w:top w:val="single" w:sz="4" w:space="0" w:color="auto"/>
            </w:tcBorders>
            <w:shd w:val="clear" w:color="auto" w:fill="FFFFFF"/>
            <w:vAlign w:val="bottom"/>
          </w:tcPr>
          <w:p w14:paraId="0D43C11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i/>
                <w:sz w:val="24"/>
                <w:szCs w:val="24"/>
              </w:rPr>
            </w:pPr>
            <w:r w:rsidRPr="003B2786">
              <w:rPr>
                <w:rStyle w:val="Bodytext295pt"/>
                <w:rFonts w:ascii="Sylfaen" w:hAnsi="Sylfaen"/>
                <w:sz w:val="24"/>
                <w:szCs w:val="24"/>
              </w:rPr>
              <w:t>Բ.IV Բժշկական արտադրատեսակները</w:t>
            </w:r>
          </w:p>
        </w:tc>
      </w:tr>
      <w:tr w:rsidR="008C76E0" w:rsidRPr="003B2786" w14:paraId="7E7FCC1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168EFA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 xml:space="preserve">Բ.IV.l Չափող արտադրատեսակի կամ ներմուծման համար նախատեսված արտադրատեսակի փոփոխությունը </w:t>
            </w:r>
          </w:p>
        </w:tc>
        <w:tc>
          <w:tcPr>
            <w:tcW w:w="1883" w:type="dxa"/>
            <w:gridSpan w:val="2"/>
            <w:tcBorders>
              <w:top w:val="single" w:sz="4" w:space="0" w:color="auto"/>
              <w:left w:val="single" w:sz="4" w:space="0" w:color="auto"/>
            </w:tcBorders>
            <w:shd w:val="clear" w:color="auto" w:fill="FFFFFF"/>
          </w:tcPr>
          <w:p w14:paraId="21BF705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8450DFF" w14:textId="77777777" w:rsidR="008C76E0" w:rsidRPr="003B2786" w:rsidRDefault="008C76E0" w:rsidP="008B6709">
            <w:pPr>
              <w:pStyle w:val="Bodytext180"/>
              <w:shd w:val="clear" w:color="auto" w:fill="auto"/>
              <w:tabs>
                <w:tab w:val="left" w:pos="589"/>
              </w:tabs>
              <w:spacing w:before="0" w:after="120" w:line="240" w:lineRule="auto"/>
              <w:ind w:left="1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C36D46B" w14:textId="77777777" w:rsidR="008C76E0" w:rsidRPr="003B2786" w:rsidRDefault="008C76E0" w:rsidP="008B6709">
            <w:pPr>
              <w:pStyle w:val="Bodytext180"/>
              <w:shd w:val="clear" w:color="auto" w:fill="auto"/>
              <w:tabs>
                <w:tab w:val="left" w:pos="589"/>
              </w:tabs>
              <w:spacing w:before="0" w:after="120" w:line="240" w:lineRule="auto"/>
              <w:ind w:left="159" w:right="-5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2CD08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7C633B4" w14:textId="77777777" w:rsidR="008C76E0" w:rsidRPr="00E74ADC" w:rsidRDefault="008C76E0" w:rsidP="008C76E0">
            <w:pPr>
              <w:pStyle w:val="Bodytext180"/>
              <w:shd w:val="clear" w:color="auto" w:fill="auto"/>
              <w:tabs>
                <w:tab w:val="left" w:pos="589"/>
              </w:tabs>
              <w:spacing w:before="0" w:after="120" w:line="240" w:lineRule="auto"/>
              <w:ind w:left="159" w:right="222" w:firstLine="0"/>
              <w:jc w:val="both"/>
              <w:rPr>
                <w:rStyle w:val="Bodytext1811pt"/>
                <w:rFonts w:ascii="Sylfaen" w:hAnsi="Sylfaen"/>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Առաջնային փաթեթվածքի մաս չկազմող արտադրատեսակի ավելացումը կամ փոխարինումը</w:t>
            </w:r>
          </w:p>
          <w:p w14:paraId="59BA38A9" w14:textId="77777777" w:rsidR="002A5072" w:rsidRPr="00E74ADC" w:rsidRDefault="002A5072"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p>
        </w:tc>
        <w:tc>
          <w:tcPr>
            <w:tcW w:w="1883" w:type="dxa"/>
            <w:gridSpan w:val="2"/>
            <w:tcBorders>
              <w:top w:val="single" w:sz="4" w:space="0" w:color="auto"/>
              <w:left w:val="single" w:sz="4" w:space="0" w:color="auto"/>
            </w:tcBorders>
            <w:shd w:val="clear" w:color="auto" w:fill="FFFFFF"/>
          </w:tcPr>
          <w:p w14:paraId="581C950B"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B8EA52E"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0A63BBEB" w14:textId="77777777" w:rsidR="008C76E0" w:rsidRPr="003B2786" w:rsidRDefault="008C76E0" w:rsidP="008C76E0">
            <w:pPr>
              <w:tabs>
                <w:tab w:val="left" w:pos="589"/>
              </w:tabs>
              <w:spacing w:after="120"/>
              <w:ind w:left="159" w:right="222"/>
              <w:jc w:val="center"/>
              <w:rPr>
                <w:rFonts w:ascii="Sylfaen" w:hAnsi="Sylfaen"/>
                <w:sz w:val="24"/>
                <w:szCs w:val="24"/>
              </w:rPr>
            </w:pPr>
          </w:p>
        </w:tc>
      </w:tr>
      <w:tr w:rsidR="008C76E0" w:rsidRPr="003B2786" w14:paraId="12D2969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549BB8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Միությունում գրանցված բժշկական արտադրատեսակները</w:t>
            </w:r>
          </w:p>
        </w:tc>
        <w:tc>
          <w:tcPr>
            <w:tcW w:w="1883" w:type="dxa"/>
            <w:gridSpan w:val="2"/>
            <w:tcBorders>
              <w:top w:val="single" w:sz="4" w:space="0" w:color="auto"/>
              <w:left w:val="single" w:sz="4" w:space="0" w:color="auto"/>
            </w:tcBorders>
            <w:shd w:val="clear" w:color="auto" w:fill="FFFFFF"/>
          </w:tcPr>
          <w:p w14:paraId="58AC82C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1, 2, 3, 5, 6</w:t>
            </w:r>
          </w:p>
        </w:tc>
        <w:tc>
          <w:tcPr>
            <w:tcW w:w="1984" w:type="dxa"/>
            <w:gridSpan w:val="2"/>
            <w:tcBorders>
              <w:top w:val="single" w:sz="4" w:space="0" w:color="auto"/>
              <w:left w:val="single" w:sz="4" w:space="0" w:color="auto"/>
            </w:tcBorders>
            <w:shd w:val="clear" w:color="auto" w:fill="FFFFFF"/>
          </w:tcPr>
          <w:p w14:paraId="6D232BB1"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1,2,3</w:t>
            </w:r>
          </w:p>
        </w:tc>
        <w:tc>
          <w:tcPr>
            <w:tcW w:w="1843" w:type="dxa"/>
            <w:gridSpan w:val="2"/>
            <w:tcBorders>
              <w:top w:val="single" w:sz="4" w:space="0" w:color="auto"/>
              <w:left w:val="single" w:sz="4" w:space="0" w:color="auto"/>
              <w:right w:val="single" w:sz="4" w:space="0" w:color="auto"/>
            </w:tcBorders>
            <w:shd w:val="clear" w:color="auto" w:fill="FFFFFF"/>
          </w:tcPr>
          <w:p w14:paraId="7950261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12D19D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3E76B3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Դոզավորող ներշնչակների կամ այլ սարքի (օրինակ՝ նեբուլայզերի) սփեյսերները, որոնք կարող են էական ազդեցություն ունենալ պատրաստուկի դեղագործական նյութի առաքման վրա</w:t>
            </w:r>
          </w:p>
        </w:tc>
        <w:tc>
          <w:tcPr>
            <w:tcW w:w="1883" w:type="dxa"/>
            <w:gridSpan w:val="2"/>
            <w:tcBorders>
              <w:top w:val="single" w:sz="4" w:space="0" w:color="auto"/>
              <w:left w:val="single" w:sz="4" w:space="0" w:color="auto"/>
            </w:tcBorders>
            <w:shd w:val="clear" w:color="auto" w:fill="FFFFFF"/>
          </w:tcPr>
          <w:p w14:paraId="50098A81"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913491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13E6A84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242E721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E8E7A7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Արտադրատեսակի բացառումը</w:t>
            </w:r>
          </w:p>
        </w:tc>
        <w:tc>
          <w:tcPr>
            <w:tcW w:w="1883" w:type="dxa"/>
            <w:gridSpan w:val="2"/>
            <w:tcBorders>
              <w:top w:val="single" w:sz="4" w:space="0" w:color="auto"/>
              <w:left w:val="single" w:sz="4" w:space="0" w:color="auto"/>
            </w:tcBorders>
            <w:shd w:val="clear" w:color="auto" w:fill="FFFFFF"/>
          </w:tcPr>
          <w:p w14:paraId="0AFBCE0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791B332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1,4</w:t>
            </w:r>
          </w:p>
        </w:tc>
        <w:tc>
          <w:tcPr>
            <w:tcW w:w="1843" w:type="dxa"/>
            <w:gridSpan w:val="2"/>
            <w:tcBorders>
              <w:top w:val="single" w:sz="4" w:space="0" w:color="auto"/>
              <w:left w:val="single" w:sz="4" w:space="0" w:color="auto"/>
              <w:right w:val="single" w:sz="4" w:space="0" w:color="auto"/>
            </w:tcBorders>
            <w:shd w:val="clear" w:color="auto" w:fill="FFFFFF"/>
          </w:tcPr>
          <w:p w14:paraId="23879A1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6A1543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4DBB61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Առաջնային փաթեթվածքի մաս կազմող արտադրատեսակի ավելացումը կամ փոխարինումը</w:t>
            </w:r>
          </w:p>
        </w:tc>
        <w:tc>
          <w:tcPr>
            <w:tcW w:w="1883" w:type="dxa"/>
            <w:gridSpan w:val="2"/>
            <w:tcBorders>
              <w:top w:val="single" w:sz="4" w:space="0" w:color="auto"/>
              <w:left w:val="single" w:sz="4" w:space="0" w:color="auto"/>
            </w:tcBorders>
            <w:shd w:val="clear" w:color="auto" w:fill="FFFFFF"/>
          </w:tcPr>
          <w:p w14:paraId="1BE68DF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6E11A3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4B88A6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710CA665"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1628F64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7C1CD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Առաջարկվող չափող արտադրատեսակը պետք է ճշգրիտ չափի դիտարկվող </w:t>
            </w:r>
            <w:r w:rsidRPr="003B2786">
              <w:rPr>
                <w:rStyle w:val="Bodytext1811pt"/>
                <w:rFonts w:ascii="Sylfaen" w:hAnsi="Sylfaen"/>
                <w:sz w:val="24"/>
                <w:szCs w:val="24"/>
              </w:rPr>
              <w:lastRenderedPageBreak/>
              <w:t>դեղապատրաստուկի անհրաժեշտ դոզան՝ կիրառման հաստատված եղանակի համաձայն. հարկավոր է ներկայացնել այդպիսի հետազոտությունների արդյունքները:</w:t>
            </w:r>
          </w:p>
          <w:p w14:paraId="006C30C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Նոր արտադրատեսակը համատեղելի է դեղապատրաստուկի հետ: </w:t>
            </w:r>
          </w:p>
          <w:p w14:paraId="51987B7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հանգեցնի դեղապատրաստուկի մասին տեղեկատվության էական փոփոխության:</w:t>
            </w:r>
          </w:p>
          <w:p w14:paraId="61C4718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Կարելի է շարունակել ճշգրիտ դոզավորել դեղապատրաստուկը:</w:t>
            </w:r>
          </w:p>
          <w:p w14:paraId="4843EDF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Բժշկական արտադրատեսակը չի օգտագործվում որպես դեղապատրաստուկի լուծիչ:</w:t>
            </w:r>
          </w:p>
        </w:tc>
      </w:tr>
      <w:tr w:rsidR="008C76E0" w:rsidRPr="003B2786" w14:paraId="11AB588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D585B18"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lastRenderedPageBreak/>
              <w:t>6.</w:t>
            </w:r>
            <w:r w:rsidRPr="003B2786">
              <w:rPr>
                <w:rStyle w:val="Bodytext1811pt"/>
                <w:rFonts w:ascii="Sylfaen" w:hAnsi="Sylfaen"/>
                <w:sz w:val="24"/>
                <w:szCs w:val="24"/>
              </w:rPr>
              <w:tab/>
              <w:t>Եթե նախատեսված է չափման գործառույթ, այն պետք է ներառված լինի այդպիսի արտադրատեսակի դոսյեում:</w:t>
            </w:r>
          </w:p>
        </w:tc>
      </w:tr>
      <w:tr w:rsidR="008C76E0" w:rsidRPr="003B2786" w14:paraId="0D02DAC6"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56EE37D"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1A2D12"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արտադրատեսակի նյութի մանրամասն էսքիզն ու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մատակարարը, եթե կիրառելի է,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համապատասխան վերանայումը։</w:t>
            </w:r>
          </w:p>
          <w:p w14:paraId="193FCC5B"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Միությունում բժշկական արտադրատեսակի գրանցման հաստատումը:</w:t>
            </w:r>
          </w:p>
          <w:p w14:paraId="3F8F771B"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Նոր արտադրատեսակի նմուշները, եթե կիրառելի է:</w:t>
            </w:r>
          </w:p>
          <w:p w14:paraId="7DD91B8D" w14:textId="77777777" w:rsidR="008C76E0" w:rsidRPr="003B2786"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Արտադրատեսակի բացառման հիմնավորումը:</w:t>
            </w:r>
          </w:p>
        </w:tc>
      </w:tr>
      <w:tr w:rsidR="008C76E0" w:rsidRPr="003B2786" w14:paraId="4C4E5EE9" w14:textId="77777777" w:rsidTr="004A52D9">
        <w:trPr>
          <w:jc w:val="center"/>
        </w:trPr>
        <w:tc>
          <w:tcPr>
            <w:tcW w:w="2594" w:type="dxa"/>
            <w:gridSpan w:val="2"/>
            <w:tcBorders>
              <w:top w:val="single" w:sz="4" w:space="0" w:color="auto"/>
              <w:left w:val="single" w:sz="4" w:space="0" w:color="auto"/>
            </w:tcBorders>
            <w:shd w:val="clear" w:color="auto" w:fill="FFFFFF"/>
          </w:tcPr>
          <w:p w14:paraId="418F9CCB" w14:textId="77777777" w:rsidR="008C76E0" w:rsidRPr="003B2786" w:rsidRDefault="008C76E0" w:rsidP="008C76E0">
            <w:pPr>
              <w:pStyle w:val="Bodytext180"/>
              <w:shd w:val="clear" w:color="auto" w:fill="auto"/>
              <w:tabs>
                <w:tab w:val="left" w:pos="2165"/>
              </w:tabs>
              <w:spacing w:before="0" w:after="120" w:line="240" w:lineRule="auto"/>
              <w:ind w:left="159"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D7F00C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sz w:val="24"/>
                <w:szCs w:val="24"/>
              </w:rPr>
            </w:pPr>
            <w:r w:rsidRPr="003B2786">
              <w:rPr>
                <w:rStyle w:val="Bodytext1811pt"/>
                <w:rFonts w:ascii="Sylfaen" w:hAnsi="Sylfaen"/>
                <w:sz w:val="24"/>
                <w:szCs w:val="24"/>
              </w:rPr>
              <w:t>Բ.IV.1.գ-ի համար՝ եթե փոփոխությունը հանգեցնում է նոր դեղաձ</w:t>
            </w:r>
            <w:r w:rsidR="00C54D75">
              <w:rPr>
                <w:rStyle w:val="Bodytext1811pt"/>
                <w:rFonts w:ascii="Sylfaen" w:hAnsi="Sylfaen"/>
                <w:sz w:val="24"/>
                <w:szCs w:val="24"/>
              </w:rPr>
              <w:t>և</w:t>
            </w:r>
            <w:r w:rsidRPr="003B2786">
              <w:rPr>
                <w:rStyle w:val="Bodytext1811pt"/>
                <w:rFonts w:ascii="Sylfaen" w:hAnsi="Sylfaen"/>
                <w:sz w:val="24"/>
                <w:szCs w:val="24"/>
              </w:rPr>
              <w:t>ի առաջացմանը, ապա այդպիսի փոփոխությամբ պահանջվում է ներկայացնել գրանցման ընդլայնման դիմում։</w:t>
            </w:r>
          </w:p>
        </w:tc>
      </w:tr>
      <w:tr w:rsidR="008C76E0" w:rsidRPr="003B2786" w14:paraId="3775AC24" w14:textId="77777777" w:rsidTr="004A52D9">
        <w:trPr>
          <w:jc w:val="center"/>
        </w:trPr>
        <w:tc>
          <w:tcPr>
            <w:tcW w:w="10694" w:type="dxa"/>
            <w:gridSpan w:val="10"/>
            <w:tcBorders>
              <w:top w:val="single" w:sz="4" w:space="0" w:color="auto"/>
            </w:tcBorders>
            <w:shd w:val="clear" w:color="auto" w:fill="FFFFFF"/>
            <w:vAlign w:val="bottom"/>
          </w:tcPr>
          <w:p w14:paraId="759BF173"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i/>
                <w:sz w:val="24"/>
                <w:szCs w:val="24"/>
                <w:lang w:val="hy-AM"/>
              </w:rPr>
            </w:pPr>
            <w:r w:rsidRPr="003B2786">
              <w:rPr>
                <w:rStyle w:val="Bodytext295pt"/>
                <w:rFonts w:ascii="Sylfaen" w:hAnsi="Sylfaen"/>
                <w:sz w:val="24"/>
                <w:szCs w:val="24"/>
              </w:rPr>
              <w:t>Բ.V Գրանցման դոսյեում փոփոխություններ կատարելը՝ պայմանավորված այլ կարգավորիչ ընթացակարգերով</w:t>
            </w:r>
          </w:p>
          <w:p w14:paraId="7A8ABCB0"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295pt"/>
                <w:rFonts w:ascii="Sylfaen" w:hAnsi="Sylfaen"/>
                <w:sz w:val="24"/>
                <w:szCs w:val="24"/>
              </w:rPr>
              <w:t>Բ.V.ա)</w:t>
            </w:r>
            <w:r w:rsidRPr="003B2786">
              <w:rPr>
                <w:rStyle w:val="Bodytext295pt"/>
                <w:rFonts w:ascii="Sylfaen" w:hAnsi="Sylfaen"/>
                <w:sz w:val="24"/>
                <w:szCs w:val="24"/>
              </w:rPr>
              <w:tab/>
              <w:t>ՊՄՖ (ՊՀՄՖ)</w:t>
            </w:r>
          </w:p>
        </w:tc>
      </w:tr>
      <w:tr w:rsidR="008C76E0" w:rsidRPr="003B2786" w14:paraId="4ACF99B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859B2D3"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Բ.V.ա. 1.</w:t>
            </w:r>
            <w:r w:rsidRPr="003B2786">
              <w:rPr>
                <w:rStyle w:val="Bodytext1811pt"/>
                <w:rFonts w:ascii="Sylfaen" w:hAnsi="Sylfaen"/>
                <w:sz w:val="24"/>
                <w:szCs w:val="24"/>
              </w:rPr>
              <w:tab/>
              <w:t>Պլազմայի նոր, թարմացված կամ ուղղված մաստեր-ֆայլի ներառումը դեղապատրաստուկի գրանցման դոսյեում (ՊՄՖ-ի՝ 2-րդ փուլի ընթացակարգը)</w:t>
            </w:r>
          </w:p>
        </w:tc>
        <w:tc>
          <w:tcPr>
            <w:tcW w:w="1883" w:type="dxa"/>
            <w:gridSpan w:val="2"/>
            <w:tcBorders>
              <w:top w:val="single" w:sz="4" w:space="0" w:color="auto"/>
              <w:left w:val="single" w:sz="4" w:space="0" w:color="auto"/>
            </w:tcBorders>
            <w:shd w:val="clear" w:color="auto" w:fill="FFFFFF"/>
          </w:tcPr>
          <w:p w14:paraId="642E2902"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9E82231"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974A44B"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388DE1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485AA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հատկությունների վրա ազդող պլազմայի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07CB288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7DE13F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DB1A80D"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3BDAF6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4BC7990"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հատկությունների վրա չազդող պլազմայի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1D904A0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375AC2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45AA020"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98051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F001DE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պլազմայի թարմացված (ուղղված) մաստեր-ֆայլի ներառումը. </w:t>
            </w:r>
            <w:r w:rsidRPr="003B2786">
              <w:rPr>
                <w:rStyle w:val="Bodytext1811pt"/>
                <w:rFonts w:ascii="Sylfaen" w:hAnsi="Sylfaen"/>
                <w:sz w:val="24"/>
                <w:szCs w:val="24"/>
              </w:rPr>
              <w:lastRenderedPageBreak/>
              <w:t>փոփոխություններն ազդում են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5288D67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6697F34F"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E5E0F5D"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29BE5C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ACA5375"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պլազմայի թարմացված (ուղղված) մաստեր-ֆայլի ներառումը. փոփոխությունները չեն ազդում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7EF081C6"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BAF73B3"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44F69416"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765D49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1CB2908"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9F21005"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Թարմացված կամ փոփոխված ՊՄՖ-ի համար տրվել է Միության մարմինների ակտերին համապատասխանության հավաստագիր՝ Եվրասիական տնտեսական հանձնաժողովի կողմից հաստատվող՝ բժշկական կիրառման համար նախատեսված դեղամիջոցների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հավելվածին համապատասխան:</w:t>
            </w:r>
          </w:p>
        </w:tc>
      </w:tr>
      <w:tr w:rsidR="008C76E0" w:rsidRPr="003B2786" w14:paraId="0F1E5F81"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3E85A8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3E6284A" w14:textId="2AB17894"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հաշվետվությունն ամբողջությամբ կիրառելի են գրանցված դեղապատրաստուկի նկատմամբ. ՊՄՖ-ի իրավատերը ԳՀ-ի իրավատիրոջը (եթե ԳՀ-ի իրավատերը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իրավատերը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անձը չեն) ներկայացրել է ՊՄՖ-ի հավաստագիրը, փորձագիտական հաշվետվությունը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ՊՄՖ-ի դոսյեն. 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 փոխարինում են տվյալ դեղապատրաստուկի համար ՊՄՖ-ի նախորդ փաստաթղթերին:</w:t>
            </w:r>
          </w:p>
          <w:p w14:paraId="1FA475BA"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w:t>
            </w:r>
          </w:p>
          <w:p w14:paraId="0345280E" w14:textId="2F0256C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Փորձագետի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որով բնութագրվում են հավաստագրված ՊՄՖ-ի միջոցով կատարվող փոփոխությունները,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գնահատվում է դեղապատրաստուկների, ներառյալ՝ արտադրանքով պայմանավորված ռիսկերի գնահատման վրա դրանց հնարավոր ազդեցությունը:</w:t>
            </w:r>
          </w:p>
        </w:tc>
      </w:tr>
      <w:tr w:rsidR="008C76E0" w:rsidRPr="003B2786" w14:paraId="64ABBCF9"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B42971C" w14:textId="404200ED"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w:t>
            </w:r>
            <w:r w:rsidR="005F6A31">
              <w:rPr>
                <w:rStyle w:val="Bodytext1811pt"/>
                <w:rFonts w:ascii="Sylfaen" w:hAnsi="Sylfaen"/>
                <w:sz w:val="24"/>
                <w:szCs w:val="24"/>
              </w:rPr>
              <w:t>արտահայտե</w:t>
            </w:r>
            <w:r w:rsidRPr="003B2786">
              <w:rPr>
                <w:rStyle w:val="Bodytext1811pt"/>
                <w:rFonts w:ascii="Sylfaen" w:hAnsi="Sylfaen"/>
                <w:sz w:val="24"/>
                <w:szCs w:val="24"/>
              </w:rPr>
              <w:t xml:space="preserve">լ գրանցման դոսյեում ՊՄՖ-ի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հավաստագրերը (ծածկագրի համարը): Եթե կիրառելի է,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ում հարկավոր է նա</w:t>
            </w:r>
            <w:r w:rsidR="00C54D75">
              <w:rPr>
                <w:rStyle w:val="Bodytext1811pt"/>
                <w:rFonts w:ascii="Sylfaen" w:hAnsi="Sylfaen"/>
                <w:sz w:val="24"/>
                <w:szCs w:val="24"/>
              </w:rPr>
              <w:t>և</w:t>
            </w:r>
            <w:r w:rsidRPr="003B2786">
              <w:rPr>
                <w:rStyle w:val="Bodytext1811pt"/>
                <w:rFonts w:ascii="Sylfaen" w:hAnsi="Sylfaen"/>
                <w:sz w:val="24"/>
                <w:szCs w:val="24"/>
              </w:rPr>
              <w:t xml:space="preserve"> հստակ թվարկել մյուս բոլոր ՊՄՖ-երը, որոնց վրա հիմնվում է դեղապատրաստուկը, նույնիսկ եթե դրանք դիմումի առարկա չեն հանդիսանում:</w:t>
            </w:r>
          </w:p>
        </w:tc>
      </w:tr>
      <w:tr w:rsidR="008C76E0" w:rsidRPr="003B2786" w14:paraId="6D18686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B7D9851" w14:textId="77777777" w:rsidR="008C76E0" w:rsidRPr="008C76E0" w:rsidRDefault="008C76E0" w:rsidP="008C76E0">
            <w:pPr>
              <w:pStyle w:val="Bodytext180"/>
              <w:shd w:val="clear" w:color="auto" w:fill="auto"/>
              <w:tabs>
                <w:tab w:val="left" w:pos="128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Բ.V.ա.2.</w:t>
            </w:r>
            <w:r w:rsidRPr="003B2786">
              <w:rPr>
                <w:rStyle w:val="Bodytext1811pt"/>
                <w:rFonts w:ascii="Sylfaen" w:hAnsi="Sylfaen"/>
                <w:sz w:val="24"/>
                <w:szCs w:val="24"/>
              </w:rPr>
              <w:tab/>
              <w:t>Պատվաստանյութային հակածնի նոր, թարմացված կամ ուղղված մաստեր-ֆայլի ներառումը դեղապատրաստուկի գրանցման դոսյեում (ՊՀՄՖ-ի՝ 2-րդ փուլի ընթացակարգը)</w:t>
            </w:r>
          </w:p>
        </w:tc>
        <w:tc>
          <w:tcPr>
            <w:tcW w:w="1883" w:type="dxa"/>
            <w:gridSpan w:val="2"/>
            <w:tcBorders>
              <w:top w:val="single" w:sz="4" w:space="0" w:color="auto"/>
              <w:left w:val="single" w:sz="4" w:space="0" w:color="auto"/>
            </w:tcBorders>
            <w:shd w:val="clear" w:color="auto" w:fill="FFFFFF"/>
          </w:tcPr>
          <w:p w14:paraId="0C491892"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B4054E8"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E062725"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213FDD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C6AB0A1"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պատվաստանյութային հակածնի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0406EFB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92760E1"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16BC54F5"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96FA4B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FDFBD7"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պատվաստանյութային հակածնի թարմացված (ուղղված) մաստեր-ֆայլի ներառումը. փոփոխություններն </w:t>
            </w:r>
            <w:r w:rsidRPr="003B2786">
              <w:rPr>
                <w:rStyle w:val="Bodytext1811pt"/>
                <w:rFonts w:ascii="Sylfaen" w:hAnsi="Sylfaen"/>
                <w:sz w:val="24"/>
                <w:szCs w:val="24"/>
              </w:rPr>
              <w:lastRenderedPageBreak/>
              <w:t>ազդում են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21B36609"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7A5E3591"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0B39F4C3"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C55228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B0E21EB"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պատվաստանյութային հակածնի թարմացված (ուղղված) մաստեր-ֆայլի ներառումը. փոփոխությունները չեն ազդում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48382BBB"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DF28C56"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4CFE8C31"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1CD60861"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91B1A2B"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FC7BE23"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Թարմացված կամ փոփոխված ՊՀՄՖ-ի համար տրվել է Միության օրենսդրությանը համապատասխանության հավաստագիր՝ Եվրասիական տնտեսական միության շրջանակներում դեղապատրաստուկների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հավելվածին համապատասխան:</w:t>
            </w:r>
          </w:p>
        </w:tc>
      </w:tr>
      <w:tr w:rsidR="008C76E0" w:rsidRPr="003B2786" w14:paraId="2D573665"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A0C258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F08F0BB" w14:textId="4EB22C9B"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հաշվետվությունն ամբողջությամբ կիրառելի են գրանցված դեղապատրաստուկի նկատմամբ, ՊՀՄՖ-ի իրավատերը ԳՀ-ի իրավատիրոջը (եթե ԳՀ-ի իրավատերը </w:t>
            </w:r>
            <w:r w:rsidR="00C54D75">
              <w:rPr>
                <w:rStyle w:val="Bodytext1811pt"/>
                <w:rFonts w:ascii="Sylfaen" w:hAnsi="Sylfaen"/>
                <w:sz w:val="24"/>
                <w:szCs w:val="24"/>
              </w:rPr>
              <w:t>և</w:t>
            </w:r>
            <w:r w:rsidRPr="003B2786">
              <w:rPr>
                <w:rStyle w:val="Bodytext1811pt"/>
                <w:rFonts w:ascii="Sylfaen" w:hAnsi="Sylfaen"/>
                <w:sz w:val="24"/>
                <w:szCs w:val="24"/>
              </w:rPr>
              <w:t xml:space="preserve"> ՊՀՄՖ-ի իրավատերը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անձը չեն) ներկայացրել է ՊՀՄՖ-ի հավաստագիրը, փորձագիտական հաշվետվությունը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ՊՀՄՖ-ի դոսյեն. 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 փոխարինում են տվյալ դեղապատրաստուկի համար ՊՀՄՖ-ի նախորդ փաստաթղթերին:</w:t>
            </w:r>
          </w:p>
          <w:p w14:paraId="3508085B"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w:t>
            </w:r>
          </w:p>
          <w:p w14:paraId="10355D68" w14:textId="16A5631E"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Փորձագետի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որով բնութագրվում են հավաստագրված ՊՀՄՖ-ի միջոցով կատարվող փոփոխությունները,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գնահատվում է դեղապատրաստուկների, ներառյալ՝ արտադրանքով պայմանավորված ռիսկերի գնահատման վրա դրանց հնարավոր ազդեցությունը:</w:t>
            </w:r>
          </w:p>
          <w:p w14:paraId="6A4D2A28" w14:textId="585406FF"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w:t>
            </w:r>
            <w:r w:rsidR="005F6A31">
              <w:rPr>
                <w:rStyle w:val="Bodytext1811pt"/>
                <w:rFonts w:ascii="Sylfaen" w:hAnsi="Sylfaen"/>
                <w:sz w:val="24"/>
                <w:szCs w:val="24"/>
              </w:rPr>
              <w:t>արտահայտե</w:t>
            </w:r>
            <w:r w:rsidRPr="003B2786">
              <w:rPr>
                <w:rStyle w:val="Bodytext1811pt"/>
                <w:rFonts w:ascii="Sylfaen" w:hAnsi="Sylfaen"/>
                <w:sz w:val="24"/>
                <w:szCs w:val="24"/>
              </w:rPr>
              <w:t xml:space="preserve">լ գրանցման դոսյեում ՊՀՄՖ-ի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հավաստագրերը (ծածկագրի համարը): Եթե կիրառելի է,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ում հարկավոր է նա</w:t>
            </w:r>
            <w:r w:rsidR="00C54D75">
              <w:rPr>
                <w:rStyle w:val="Bodytext1811pt"/>
                <w:rFonts w:ascii="Sylfaen" w:hAnsi="Sylfaen"/>
                <w:sz w:val="24"/>
                <w:szCs w:val="24"/>
              </w:rPr>
              <w:t>և</w:t>
            </w:r>
            <w:r w:rsidRPr="003B2786">
              <w:rPr>
                <w:rStyle w:val="Bodytext1811pt"/>
                <w:rFonts w:ascii="Sylfaen" w:hAnsi="Sylfaen"/>
                <w:sz w:val="24"/>
                <w:szCs w:val="24"/>
              </w:rPr>
              <w:t xml:space="preserve"> հստակ թվարկել մյուս բոլոր ՊՀՄՖ-երը, որոնց վրա հիմնվում է դեղապատրաստուկը, նույնիսկ եթե դրանք դիմումի առարկա չեն հանդիսանում:</w:t>
            </w:r>
          </w:p>
        </w:tc>
      </w:tr>
      <w:tr w:rsidR="008C76E0" w:rsidRPr="003B2786" w14:paraId="60701792" w14:textId="77777777" w:rsidTr="004A52D9">
        <w:trPr>
          <w:jc w:val="center"/>
        </w:trPr>
        <w:tc>
          <w:tcPr>
            <w:tcW w:w="10694" w:type="dxa"/>
            <w:gridSpan w:val="10"/>
            <w:tcBorders>
              <w:top w:val="single" w:sz="4" w:space="0" w:color="auto"/>
            </w:tcBorders>
            <w:shd w:val="clear" w:color="auto" w:fill="FFFFFF"/>
            <w:vAlign w:val="bottom"/>
          </w:tcPr>
          <w:p w14:paraId="05CE8FD2"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i/>
                <w:sz w:val="24"/>
                <w:szCs w:val="24"/>
                <w:lang w:val="hy-AM"/>
              </w:rPr>
            </w:pPr>
            <w:r w:rsidRPr="003B2786">
              <w:rPr>
                <w:rStyle w:val="Bodytext295pt"/>
                <w:rFonts w:ascii="Sylfaen" w:hAnsi="Sylfaen"/>
                <w:sz w:val="24"/>
                <w:szCs w:val="24"/>
              </w:rPr>
              <w:t>Բ.V.բ)</w:t>
            </w:r>
            <w:r w:rsidRPr="003B2786">
              <w:rPr>
                <w:rStyle w:val="Bodytext295pt"/>
                <w:rFonts w:ascii="Sylfaen" w:hAnsi="Sylfaen"/>
                <w:sz w:val="24"/>
                <w:szCs w:val="24"/>
              </w:rPr>
              <w:tab/>
              <w:t>Փորձագիտական կոմիտե դիմելը</w:t>
            </w:r>
          </w:p>
        </w:tc>
      </w:tr>
      <w:tr w:rsidR="008C76E0" w:rsidRPr="003B2786" w14:paraId="029F497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745234A"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Բ.V.բ.1.</w:t>
            </w:r>
            <w:r w:rsidRPr="003B2786">
              <w:rPr>
                <w:rStyle w:val="Bodytext1811pt"/>
                <w:rFonts w:ascii="Sylfaen" w:hAnsi="Sylfaen"/>
                <w:sz w:val="24"/>
                <w:szCs w:val="24"/>
              </w:rPr>
              <w:tab/>
              <w:t xml:space="preserve">Փորձագիտական կոմիտեի եզրակացության իրականացմանն ուղղված՝ որակի վերաբերյալ դոսյեի թարմացումը </w:t>
            </w:r>
          </w:p>
        </w:tc>
        <w:tc>
          <w:tcPr>
            <w:tcW w:w="1883" w:type="dxa"/>
            <w:gridSpan w:val="2"/>
            <w:tcBorders>
              <w:top w:val="single" w:sz="4" w:space="0" w:color="auto"/>
              <w:left w:val="single" w:sz="4" w:space="0" w:color="auto"/>
            </w:tcBorders>
            <w:shd w:val="clear" w:color="auto" w:fill="FFFFFF"/>
          </w:tcPr>
          <w:p w14:paraId="4267B34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F54E1F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66D854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36950E3"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33D13A8F"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 իրականացնում է Փորձագիտական կոմիտեի եզրակացությունը</w:t>
            </w:r>
          </w:p>
        </w:tc>
        <w:tc>
          <w:tcPr>
            <w:tcW w:w="1883" w:type="dxa"/>
            <w:gridSpan w:val="2"/>
            <w:tcBorders>
              <w:top w:val="single" w:sz="4" w:space="0" w:color="auto"/>
              <w:left w:val="single" w:sz="4" w:space="0" w:color="auto"/>
              <w:bottom w:val="single" w:sz="4" w:space="0" w:color="auto"/>
            </w:tcBorders>
            <w:shd w:val="clear" w:color="auto" w:fill="FFFFFF"/>
          </w:tcPr>
          <w:p w14:paraId="7CC056D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bottom w:val="single" w:sz="4" w:space="0" w:color="auto"/>
            </w:tcBorders>
            <w:shd w:val="clear" w:color="auto" w:fill="FFFFFF"/>
          </w:tcPr>
          <w:p w14:paraId="79D16819"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7193852F"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6ED5A45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A50F533"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որակի վերաբերյալ դոսյեի ներդաշնակեցումը Փորձագիտական </w:t>
            </w:r>
            <w:r w:rsidRPr="003B2786">
              <w:rPr>
                <w:rStyle w:val="Bodytext1811pt"/>
                <w:rFonts w:ascii="Sylfaen" w:hAnsi="Sylfaen"/>
                <w:sz w:val="24"/>
                <w:szCs w:val="24"/>
              </w:rPr>
              <w:lastRenderedPageBreak/>
              <w:t xml:space="preserve">կոմիտեի եզրակացության մաս չէր կազմում, </w:t>
            </w:r>
            <w:r w:rsidR="00C54D75">
              <w:rPr>
                <w:rStyle w:val="Bodytext1811pt"/>
                <w:rFonts w:ascii="Sylfaen" w:hAnsi="Sylfaen"/>
                <w:sz w:val="24"/>
                <w:szCs w:val="24"/>
              </w:rPr>
              <w:t>և</w:t>
            </w:r>
            <w:r w:rsidRPr="003B2786">
              <w:rPr>
                <w:rStyle w:val="Bodytext1811pt"/>
                <w:rFonts w:ascii="Sylfaen" w:hAnsi="Sylfaen"/>
                <w:sz w:val="24"/>
                <w:szCs w:val="24"/>
              </w:rPr>
              <w:t xml:space="preserve"> թարմացումն ուղղված է դրա ներդաշնակեցմանը</w:t>
            </w:r>
          </w:p>
        </w:tc>
        <w:tc>
          <w:tcPr>
            <w:tcW w:w="1883" w:type="dxa"/>
            <w:gridSpan w:val="2"/>
            <w:tcBorders>
              <w:top w:val="single" w:sz="4" w:space="0" w:color="auto"/>
              <w:left w:val="single" w:sz="4" w:space="0" w:color="auto"/>
            </w:tcBorders>
            <w:shd w:val="clear" w:color="auto" w:fill="FFFFFF"/>
          </w:tcPr>
          <w:p w14:paraId="4EDB6C1C"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52CF4C0E"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5A5A5C6"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2pt"/>
                <w:rFonts w:ascii="Sylfaen" w:hAnsi="Sylfaen"/>
              </w:rPr>
              <w:t>II</w:t>
            </w:r>
          </w:p>
        </w:tc>
      </w:tr>
      <w:tr w:rsidR="008C76E0" w:rsidRPr="003B2786" w14:paraId="29093A7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50DE6B0"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Պայմանը</w:t>
            </w:r>
          </w:p>
          <w:p w14:paraId="51579C05"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Արդյունքը հետագա փորձաքննություն չի պահանջում:</w:t>
            </w:r>
          </w:p>
        </w:tc>
      </w:tr>
      <w:tr w:rsidR="008C76E0" w:rsidRPr="003B2786" w14:paraId="494F6A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215C2F9"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E5A411"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Փորձագիտական կոմիտեի դիտարկվող եզրակացությանը:</w:t>
            </w:r>
          </w:p>
          <w:p w14:paraId="3FD429AB"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Դոսյեում անհրաժեշտ է հստակ նշել այն փոփոխությունները, որոնք կատարվել են Փորձագիտական կոմիտե դիմելու ընթացակարգի ընթացքում:</w:t>
            </w:r>
          </w:p>
        </w:tc>
      </w:tr>
      <w:tr w:rsidR="008C76E0" w:rsidRPr="003B2786" w14:paraId="235E66D9" w14:textId="77777777" w:rsidTr="004A52D9">
        <w:trPr>
          <w:jc w:val="center"/>
        </w:trPr>
        <w:tc>
          <w:tcPr>
            <w:tcW w:w="10694" w:type="dxa"/>
            <w:gridSpan w:val="10"/>
            <w:tcBorders>
              <w:top w:val="single" w:sz="4" w:space="0" w:color="auto"/>
            </w:tcBorders>
            <w:shd w:val="clear" w:color="auto" w:fill="FFFFFF"/>
            <w:vAlign w:val="bottom"/>
          </w:tcPr>
          <w:p w14:paraId="06C6C05A" w14:textId="77777777" w:rsidR="008C76E0" w:rsidRPr="003B2786" w:rsidRDefault="008C76E0" w:rsidP="008C76E0">
            <w:pPr>
              <w:pStyle w:val="Bodytext180"/>
              <w:shd w:val="clear" w:color="auto" w:fill="auto"/>
              <w:tabs>
                <w:tab w:val="left" w:pos="1142"/>
              </w:tabs>
              <w:spacing w:before="0" w:after="120" w:line="240" w:lineRule="auto"/>
              <w:ind w:left="159" w:right="222" w:firstLine="0"/>
              <w:jc w:val="both"/>
              <w:rPr>
                <w:rStyle w:val="Bodytext1812pt"/>
                <w:rFonts w:ascii="Sylfaen" w:hAnsi="Sylfaen"/>
              </w:rPr>
            </w:pPr>
            <w:r w:rsidRPr="003B2786">
              <w:rPr>
                <w:rStyle w:val="Bodytext1812pt"/>
                <w:rFonts w:ascii="Sylfaen" w:hAnsi="Sylfaen"/>
              </w:rPr>
              <w:t>Գ.</w:t>
            </w:r>
            <w:r w:rsidRPr="003B2786">
              <w:rPr>
                <w:rStyle w:val="Bodytext1812pt"/>
                <w:rFonts w:ascii="Sylfaen" w:hAnsi="Sylfaen"/>
              </w:rPr>
              <w:tab/>
              <w:t xml:space="preserve">Անվտանգության, արդյունավետության </w:t>
            </w:r>
            <w:r w:rsidR="00C54D75">
              <w:rPr>
                <w:rStyle w:val="Bodytext1812pt"/>
                <w:rFonts w:ascii="Sylfaen" w:hAnsi="Sylfaen"/>
              </w:rPr>
              <w:t>և</w:t>
            </w:r>
            <w:r w:rsidRPr="003B2786">
              <w:rPr>
                <w:rStyle w:val="Bodytext1812pt"/>
                <w:rFonts w:ascii="Sylfaen" w:hAnsi="Sylfaen"/>
              </w:rPr>
              <w:t xml:space="preserve"> դեղազգոնության փոփոխությունը </w:t>
            </w:r>
          </w:p>
          <w:p w14:paraId="11CDE888" w14:textId="77777777" w:rsidR="008C76E0" w:rsidRPr="008C76E0" w:rsidRDefault="008C76E0" w:rsidP="008C76E0">
            <w:pPr>
              <w:pStyle w:val="Bodytext180"/>
              <w:shd w:val="clear" w:color="auto" w:fill="auto"/>
              <w:tabs>
                <w:tab w:val="left" w:pos="1142"/>
              </w:tabs>
              <w:spacing w:before="0" w:after="120" w:line="240" w:lineRule="auto"/>
              <w:ind w:left="159" w:right="222" w:firstLine="0"/>
              <w:jc w:val="both"/>
              <w:rPr>
                <w:rFonts w:ascii="Sylfaen" w:hAnsi="Sylfaen"/>
                <w:b w:val="0"/>
                <w:sz w:val="24"/>
                <w:szCs w:val="24"/>
                <w:lang w:val="hy-AM"/>
              </w:rPr>
            </w:pPr>
            <w:r w:rsidRPr="003B2786">
              <w:rPr>
                <w:rStyle w:val="Bodytext1812pt"/>
                <w:rFonts w:ascii="Sylfaen" w:hAnsi="Sylfaen"/>
              </w:rPr>
              <w:t>Գ.I.</w:t>
            </w:r>
            <w:r w:rsidRPr="003B2786">
              <w:rPr>
                <w:rStyle w:val="Bodytext1812pt"/>
                <w:rFonts w:ascii="Sylfaen" w:hAnsi="Sylfaen"/>
              </w:rPr>
              <w:tab/>
              <w:t>Բժշկական կիրառման համար նախատեսված դեղապատրաստուկներ</w:t>
            </w:r>
          </w:p>
        </w:tc>
      </w:tr>
      <w:tr w:rsidR="008C76E0" w:rsidRPr="003B2786" w14:paraId="6537809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79C6A92" w14:textId="77777777" w:rsidR="008C76E0" w:rsidRPr="008C76E0" w:rsidRDefault="008C76E0" w:rsidP="008C76E0">
            <w:pPr>
              <w:pStyle w:val="Bodytext180"/>
              <w:shd w:val="clear" w:color="auto" w:fill="auto"/>
              <w:tabs>
                <w:tab w:val="left" w:pos="114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w:t>
            </w:r>
            <w:r w:rsidRPr="003B2786">
              <w:rPr>
                <w:rStyle w:val="Bodytext1811pt"/>
                <w:rFonts w:ascii="Sylfaen" w:hAnsi="Sylfaen"/>
                <w:sz w:val="24"/>
                <w:szCs w:val="24"/>
              </w:rPr>
              <w:tab/>
              <w:t>Փորձագիտական կոմիտեի եզրակացության իրականացմանն ուղղված՝ դեղապատրաստուկի ընդհանուր բնութագրի, մականշվածքի կամ ներդիր թերթիկի փոփոխությունը</w:t>
            </w:r>
          </w:p>
        </w:tc>
        <w:tc>
          <w:tcPr>
            <w:tcW w:w="1883" w:type="dxa"/>
            <w:gridSpan w:val="2"/>
            <w:tcBorders>
              <w:top w:val="single" w:sz="4" w:space="0" w:color="auto"/>
              <w:left w:val="single" w:sz="4" w:space="0" w:color="auto"/>
            </w:tcBorders>
            <w:shd w:val="clear" w:color="auto" w:fill="FFFFFF"/>
          </w:tcPr>
          <w:p w14:paraId="46B157C7"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C814722"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692B506"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87E813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D4C2F44"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դեղապատրաստուկն ընդգրկված է փորձագիտական կոմիտե դիմելու ընթացակարգում </w:t>
            </w:r>
          </w:p>
        </w:tc>
        <w:tc>
          <w:tcPr>
            <w:tcW w:w="1883" w:type="dxa"/>
            <w:gridSpan w:val="2"/>
            <w:tcBorders>
              <w:top w:val="single" w:sz="4" w:space="0" w:color="auto"/>
              <w:left w:val="single" w:sz="4" w:space="0" w:color="auto"/>
            </w:tcBorders>
            <w:shd w:val="clear" w:color="auto" w:fill="FFFFFF"/>
          </w:tcPr>
          <w:p w14:paraId="0EBE0F75"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C63C77C"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0AE89A92"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2A2DED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82F30CF"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դեղապատրաստուկը ընդգրկված չէ փորձագիտական կոմիտե դիմելու ընթացակարգում, բայց փոփոխություններն իրականացվում են փորձագիտական կոմիտեի եզրակացությամբ, ԳՀ-ի իրավատիրոջ կողմից նոր լրացուցիչ տվյալներ չեն ներկայացվել</w:t>
            </w:r>
          </w:p>
        </w:tc>
        <w:tc>
          <w:tcPr>
            <w:tcW w:w="1883" w:type="dxa"/>
            <w:gridSpan w:val="2"/>
            <w:tcBorders>
              <w:top w:val="single" w:sz="4" w:space="0" w:color="auto"/>
              <w:left w:val="single" w:sz="4" w:space="0" w:color="auto"/>
            </w:tcBorders>
            <w:shd w:val="clear" w:color="auto" w:fill="FFFFFF"/>
          </w:tcPr>
          <w:p w14:paraId="55704047" w14:textId="77777777" w:rsidR="008C76E0" w:rsidRPr="003B2786" w:rsidRDefault="008C76E0" w:rsidP="008C76E0">
            <w:pPr>
              <w:tabs>
                <w:tab w:val="left" w:pos="522"/>
              </w:tabs>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4E5EBDC8"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23A38144"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2pt"/>
                <w:rFonts w:ascii="Sylfaen" w:hAnsi="Sylfaen"/>
              </w:rPr>
              <w:t>IB</w:t>
            </w:r>
          </w:p>
        </w:tc>
      </w:tr>
      <w:tr w:rsidR="008C76E0" w:rsidRPr="003B2786" w14:paraId="5D5A138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D4C202B"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դեղապատրաստուկը ընդգրկված չէ փորձագիտական կոմիտե դիմելու ընթացակարգում, բայց փոփոխություններն իրականացվում են փորձագիտական կոմիտեի եզրակացությամբ, ԳՀ-ի իրավատերը ներկայացրել է նոր լրացուցիչ տվյալներ</w:t>
            </w:r>
          </w:p>
        </w:tc>
        <w:tc>
          <w:tcPr>
            <w:tcW w:w="1883" w:type="dxa"/>
            <w:gridSpan w:val="2"/>
            <w:tcBorders>
              <w:top w:val="single" w:sz="4" w:space="0" w:color="auto"/>
              <w:left w:val="single" w:sz="4" w:space="0" w:color="auto"/>
            </w:tcBorders>
            <w:shd w:val="clear" w:color="auto" w:fill="FFFFFF"/>
          </w:tcPr>
          <w:p w14:paraId="7C7AFCB1" w14:textId="77777777" w:rsidR="008C76E0" w:rsidRPr="003B2786" w:rsidRDefault="008C76E0" w:rsidP="008C76E0">
            <w:pPr>
              <w:tabs>
                <w:tab w:val="left" w:pos="522"/>
              </w:tabs>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53D01CC"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1, 3</w:t>
            </w:r>
          </w:p>
        </w:tc>
        <w:tc>
          <w:tcPr>
            <w:tcW w:w="1843" w:type="dxa"/>
            <w:gridSpan w:val="2"/>
            <w:tcBorders>
              <w:top w:val="single" w:sz="4" w:space="0" w:color="auto"/>
              <w:left w:val="single" w:sz="4" w:space="0" w:color="auto"/>
              <w:right w:val="single" w:sz="4" w:space="0" w:color="auto"/>
            </w:tcBorders>
            <w:shd w:val="clear" w:color="auto" w:fill="FFFFFF"/>
          </w:tcPr>
          <w:p w14:paraId="607AAD60"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2pt"/>
                <w:rFonts w:ascii="Sylfaen" w:hAnsi="Sylfaen"/>
              </w:rPr>
              <w:t>II</w:t>
            </w:r>
          </w:p>
        </w:tc>
      </w:tr>
      <w:tr w:rsidR="008C76E0" w:rsidRPr="003B2786" w14:paraId="24168A4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63AC82E7"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C26B5B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Փոփոխությունն իրականացնում է լիազորված մարմնի կողմից պահանջված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լրացուցիչ տվյալների ներկայացում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 չի պահանջում:</w:t>
            </w:r>
          </w:p>
        </w:tc>
      </w:tr>
      <w:tr w:rsidR="008C76E0" w:rsidRPr="003B2786" w14:paraId="1FC1839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FC4447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83BF01"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դիմումի ուղեկցող նամակին կցված հղում՝ </w:t>
            </w:r>
            <w:r w:rsidRPr="003B2786">
              <w:rPr>
                <w:rStyle w:val="Bodytext1811pt"/>
                <w:rFonts w:ascii="Sylfaen" w:hAnsi="Sylfaen"/>
                <w:sz w:val="24"/>
                <w:szCs w:val="24"/>
              </w:rPr>
              <w:lastRenderedPageBreak/>
              <w:t>փորձագիտական կոմիտեի դիտարկվող եզրակացությանը՝ դրան կցված դեղապատրաստուկի ընդհանուր բնութագրի, մականշվածքի կամ ներդիր թերթիկի հետ:</w:t>
            </w:r>
          </w:p>
          <w:p w14:paraId="14437C88" w14:textId="682DDCD5"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դեղապատրաստուկի առաջարկվող ընդհանուր բնութագրի, մականշվածքի </w:t>
            </w:r>
            <w:r w:rsidR="00C54D75">
              <w:rPr>
                <w:rStyle w:val="Bodytext1811pt"/>
                <w:rFonts w:ascii="Sylfaen" w:hAnsi="Sylfaen"/>
                <w:sz w:val="24"/>
                <w:szCs w:val="24"/>
              </w:rPr>
              <w:t>և</w:t>
            </w:r>
            <w:r w:rsidRPr="003B2786">
              <w:rPr>
                <w:rStyle w:val="Bodytext1811pt"/>
                <w:rFonts w:ascii="Sylfaen" w:hAnsi="Sylfaen"/>
                <w:sz w:val="24"/>
                <w:szCs w:val="24"/>
              </w:rPr>
              <w:t xml:space="preserve"> ներդիր թերթիկի համապատասխան բաժինները նույնական են փորձագիտական կոմիտեի եզրակացությանը կցված բաժիններին:</w:t>
            </w:r>
          </w:p>
          <w:p w14:paraId="7C0D27EC"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3.</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52DE4CB4"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DE31A0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Գ.I.2 Դեղապատրաստուկի ընդհանուր բնութագրի, վերարտադրված կամ հիբրիդային կամ կենսահամանման դեղապատրաստուկի մականշվածքի կամ ներդիր թերթիկի փոփոխությունը՝ ռեֆերենտ դեղապատրաստուկի մի</w:t>
            </w:r>
            <w:r w:rsidR="00C54D75">
              <w:rPr>
                <w:rStyle w:val="Bodytext1811pt"/>
                <w:rFonts w:ascii="Sylfaen" w:hAnsi="Sylfaen"/>
                <w:sz w:val="24"/>
                <w:szCs w:val="24"/>
              </w:rPr>
              <w:t>և</w:t>
            </w:r>
            <w:r w:rsidRPr="003B2786">
              <w:rPr>
                <w:rStyle w:val="Bodytext1811pt"/>
                <w:rFonts w:ascii="Sylfaen" w:hAnsi="Sylfaen"/>
                <w:sz w:val="24"/>
                <w:szCs w:val="24"/>
              </w:rPr>
              <w:t>նույն փոփոխությունը գնահատելուց հետո</w:t>
            </w:r>
          </w:p>
        </w:tc>
        <w:tc>
          <w:tcPr>
            <w:tcW w:w="1883" w:type="dxa"/>
            <w:gridSpan w:val="2"/>
            <w:tcBorders>
              <w:top w:val="single" w:sz="4" w:space="0" w:color="auto"/>
              <w:left w:val="single" w:sz="4" w:space="0" w:color="auto"/>
              <w:bottom w:val="single" w:sz="4" w:space="0" w:color="auto"/>
            </w:tcBorders>
            <w:shd w:val="clear" w:color="auto" w:fill="FFFFFF"/>
          </w:tcPr>
          <w:p w14:paraId="6C6AE312"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5B9629E4"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AD1EF83"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25755F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531869C"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 իրականացնելը, որի (որոնց) առնչությամբ ԳՀ-ի իրավատիրոջից չի պահանջվում ներկայացնել նոր լրացուցիչ տվյալներ</w:t>
            </w:r>
          </w:p>
        </w:tc>
        <w:tc>
          <w:tcPr>
            <w:tcW w:w="1883" w:type="dxa"/>
            <w:gridSpan w:val="2"/>
            <w:tcBorders>
              <w:top w:val="single" w:sz="4" w:space="0" w:color="auto"/>
              <w:left w:val="single" w:sz="4" w:space="0" w:color="auto"/>
            </w:tcBorders>
            <w:shd w:val="clear" w:color="auto" w:fill="FFFFFF"/>
          </w:tcPr>
          <w:p w14:paraId="4805D3C1"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2997F16"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75AD3F03"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297B82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B8ACD83"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այնպիսի փոփոխություն(ներ) իրականացնելը, որը (որոնք) ԳՀ-ի իրավատիրոջից պահանջում է (են) ներկայացնել այդ փոփոխությունները (օրինակ՝ համադրելիությունը) հիմնավորող նոր լրացուցիչ տվյալներ </w:t>
            </w:r>
          </w:p>
        </w:tc>
        <w:tc>
          <w:tcPr>
            <w:tcW w:w="1883" w:type="dxa"/>
            <w:gridSpan w:val="2"/>
            <w:tcBorders>
              <w:top w:val="single" w:sz="4" w:space="0" w:color="auto"/>
              <w:left w:val="single" w:sz="4" w:space="0" w:color="auto"/>
            </w:tcBorders>
            <w:shd w:val="clear" w:color="auto" w:fill="FFFFFF"/>
          </w:tcPr>
          <w:p w14:paraId="56FAE511"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232AC24"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1D02E1A8"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766B33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181A7DB"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6117305"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ազգային լիազորված մարմնի հարցումը (եթե կիրառելի է):</w:t>
            </w:r>
          </w:p>
          <w:p w14:paraId="26766753"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7D69C665" w14:textId="77777777" w:rsidTr="004A52D9">
        <w:trPr>
          <w:jc w:val="center"/>
        </w:trPr>
        <w:tc>
          <w:tcPr>
            <w:tcW w:w="4984" w:type="dxa"/>
            <w:gridSpan w:val="4"/>
            <w:tcBorders>
              <w:top w:val="single" w:sz="4" w:space="0" w:color="auto"/>
              <w:left w:val="single" w:sz="4" w:space="0" w:color="auto"/>
            </w:tcBorders>
            <w:shd w:val="clear" w:color="auto" w:fill="FFFFFF"/>
          </w:tcPr>
          <w:p w14:paraId="29F5490D"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Գ.I.3.</w:t>
            </w:r>
            <w:r w:rsidRPr="003B2786">
              <w:rPr>
                <w:rStyle w:val="Bodytext1811pt"/>
                <w:rFonts w:ascii="Sylfaen" w:hAnsi="Sylfaen"/>
                <w:sz w:val="24"/>
                <w:szCs w:val="24"/>
              </w:rPr>
              <w:tab/>
              <w:t>Դեղապատրաստուկի ընդհանուր բնութագրի, բժշկական կիրառման համար նախատեսված դեղապատրաստուկի մականշվածքի կամ ներդիր թերթիկի՝ ԱՊՀ-ին կամ անվտանգության հետգրանցումային հետազոտությանն առնչվող ընթացակարգի արդյունքի իրականացմանն ուղղված փոփոխություն(ներ)ը</w:t>
            </w:r>
          </w:p>
        </w:tc>
        <w:tc>
          <w:tcPr>
            <w:tcW w:w="1883" w:type="dxa"/>
            <w:gridSpan w:val="2"/>
            <w:tcBorders>
              <w:top w:val="single" w:sz="4" w:space="0" w:color="auto"/>
              <w:left w:val="single" w:sz="4" w:space="0" w:color="auto"/>
            </w:tcBorders>
            <w:shd w:val="clear" w:color="auto" w:fill="FFFFFF"/>
          </w:tcPr>
          <w:p w14:paraId="420040EE"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EC7AFB2"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DAC1335"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024078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DED117E" w14:textId="77777777" w:rsidR="008C76E0" w:rsidRPr="008C76E0" w:rsidRDefault="008C76E0" w:rsidP="008C76E0">
            <w:pPr>
              <w:pStyle w:val="Bodytext180"/>
              <w:shd w:val="clear" w:color="auto" w:fill="auto"/>
              <w:tabs>
                <w:tab w:val="left" w:pos="522"/>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լիազորված մարմնի կողմից համաձայնեցված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 </w:t>
            </w:r>
            <w:r w:rsidRPr="003B2786">
              <w:rPr>
                <w:rStyle w:val="Bodytext1811pt"/>
                <w:rFonts w:ascii="Sylfaen" w:hAnsi="Sylfaen"/>
                <w:sz w:val="24"/>
                <w:szCs w:val="24"/>
              </w:rPr>
              <w:lastRenderedPageBreak/>
              <w:t>ներմուծելը</w:t>
            </w:r>
          </w:p>
        </w:tc>
        <w:tc>
          <w:tcPr>
            <w:tcW w:w="1883" w:type="dxa"/>
            <w:gridSpan w:val="2"/>
            <w:tcBorders>
              <w:top w:val="single" w:sz="4" w:space="0" w:color="auto"/>
              <w:left w:val="single" w:sz="4" w:space="0" w:color="auto"/>
            </w:tcBorders>
            <w:shd w:val="clear" w:color="auto" w:fill="FFFFFF"/>
          </w:tcPr>
          <w:p w14:paraId="6AC4F1E7"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1</w:t>
            </w:r>
          </w:p>
        </w:tc>
        <w:tc>
          <w:tcPr>
            <w:tcW w:w="1984" w:type="dxa"/>
            <w:gridSpan w:val="2"/>
            <w:tcBorders>
              <w:top w:val="single" w:sz="4" w:space="0" w:color="auto"/>
              <w:left w:val="single" w:sz="4" w:space="0" w:color="auto"/>
            </w:tcBorders>
            <w:shd w:val="clear" w:color="auto" w:fill="FFFFFF"/>
          </w:tcPr>
          <w:p w14:paraId="208110AC"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26963BD"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02FA69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1428769" w14:textId="77777777" w:rsidR="008C76E0" w:rsidRPr="008C76E0" w:rsidRDefault="008C76E0" w:rsidP="008C76E0">
            <w:pPr>
              <w:pStyle w:val="Bodytext180"/>
              <w:shd w:val="clear" w:color="auto" w:fill="auto"/>
              <w:tabs>
                <w:tab w:val="left" w:pos="522"/>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այնպիսի փոփոխություններ կատարելը, որոնք ԳՀ-ի իրավատիրոջից պահանջում են ներկայացնել այդպիսի փոփոխությունները հիմնավորող նոր լրացուցիչ տվյալներ </w:t>
            </w:r>
          </w:p>
        </w:tc>
        <w:tc>
          <w:tcPr>
            <w:tcW w:w="1883" w:type="dxa"/>
            <w:gridSpan w:val="2"/>
            <w:tcBorders>
              <w:top w:val="single" w:sz="4" w:space="0" w:color="auto"/>
              <w:left w:val="single" w:sz="4" w:space="0" w:color="auto"/>
            </w:tcBorders>
            <w:shd w:val="clear" w:color="auto" w:fill="FFFFFF"/>
          </w:tcPr>
          <w:p w14:paraId="6051A33B"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36EFF157"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2</w:t>
            </w:r>
          </w:p>
        </w:tc>
        <w:tc>
          <w:tcPr>
            <w:tcW w:w="1843" w:type="dxa"/>
            <w:gridSpan w:val="2"/>
            <w:tcBorders>
              <w:top w:val="single" w:sz="4" w:space="0" w:color="auto"/>
              <w:left w:val="single" w:sz="4" w:space="0" w:color="auto"/>
              <w:right w:val="single" w:sz="4" w:space="0" w:color="auto"/>
            </w:tcBorders>
            <w:shd w:val="clear" w:color="auto" w:fill="FFFFFF"/>
          </w:tcPr>
          <w:p w14:paraId="2E0A6774"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5F3057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F175D81"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6AE57E"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Փոփոխությունն իրականացնում է լիազորված մարմնի կողմից պահանջված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լրացուցիչ տեղեկություններ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 չի պահանջում:</w:t>
            </w:r>
          </w:p>
        </w:tc>
      </w:tr>
      <w:tr w:rsidR="008C76E0" w:rsidRPr="003B2786" w14:paraId="2B91F4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72669C6"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B490D8"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համաձայնությանը (գնահատմանը):</w:t>
            </w:r>
          </w:p>
          <w:p w14:paraId="252585FD"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28C5432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59134B"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Գ.I.4.</w:t>
            </w:r>
            <w:r w:rsidRPr="003B2786">
              <w:rPr>
                <w:rStyle w:val="Bodytext1811pt"/>
                <w:rFonts w:ascii="Sylfaen" w:hAnsi="Sylfaen"/>
                <w:sz w:val="24"/>
                <w:szCs w:val="24"/>
              </w:rPr>
              <w:tab/>
              <w:t>Որակի վերաբերյալ նոր տվյալների, նախակլինիկական, կլինիկական տվյալների կամ դեղազգոնության տվյալների հետ</w:t>
            </w:r>
            <w:r w:rsidR="00C54D75">
              <w:rPr>
                <w:rStyle w:val="Bodytext1811pt"/>
                <w:rFonts w:ascii="Sylfaen" w:hAnsi="Sylfaen"/>
                <w:sz w:val="24"/>
                <w:szCs w:val="24"/>
              </w:rPr>
              <w:t>և</w:t>
            </w:r>
            <w:r w:rsidRPr="003B2786">
              <w:rPr>
                <w:rStyle w:val="Bodytext1811pt"/>
                <w:rFonts w:ascii="Sylfaen" w:hAnsi="Sylfaen"/>
                <w:sz w:val="24"/>
                <w:szCs w:val="24"/>
              </w:rPr>
              <w:t>անքով դեղապատրաստուկի ընդհանուր բնութագրի էական փոփոխության հիմքում ընկած փոփոխությունները</w:t>
            </w:r>
          </w:p>
        </w:tc>
        <w:tc>
          <w:tcPr>
            <w:tcW w:w="1883" w:type="dxa"/>
            <w:gridSpan w:val="2"/>
            <w:tcBorders>
              <w:top w:val="single" w:sz="4" w:space="0" w:color="auto"/>
              <w:left w:val="single" w:sz="4" w:space="0" w:color="auto"/>
            </w:tcBorders>
            <w:shd w:val="clear" w:color="auto" w:fill="FFFFFF"/>
          </w:tcPr>
          <w:p w14:paraId="0945E6DC"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9B64BC1"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185100B"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09CBAE1" w14:textId="77777777" w:rsidTr="004A52D9">
        <w:trPr>
          <w:jc w:val="center"/>
        </w:trPr>
        <w:tc>
          <w:tcPr>
            <w:tcW w:w="4984" w:type="dxa"/>
            <w:gridSpan w:val="4"/>
            <w:tcBorders>
              <w:top w:val="single" w:sz="4" w:space="0" w:color="auto"/>
              <w:left w:val="single" w:sz="4" w:space="0" w:color="auto"/>
            </w:tcBorders>
            <w:shd w:val="clear" w:color="auto" w:fill="FFFFFF"/>
          </w:tcPr>
          <w:p w14:paraId="32AECC45"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76DF525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680882"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21B691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D7DFDC0" w14:textId="77777777" w:rsidTr="004A52D9">
        <w:trPr>
          <w:jc w:val="center"/>
        </w:trPr>
        <w:tc>
          <w:tcPr>
            <w:tcW w:w="2594" w:type="dxa"/>
            <w:gridSpan w:val="2"/>
            <w:tcBorders>
              <w:top w:val="single" w:sz="4" w:space="0" w:color="auto"/>
              <w:left w:val="single" w:sz="4" w:space="0" w:color="auto"/>
            </w:tcBorders>
            <w:shd w:val="clear" w:color="auto" w:fill="FFFFFF"/>
          </w:tcPr>
          <w:p w14:paraId="27BA23CE"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AFC560D" w14:textId="7059FC96"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Այդ փոփոխությունը չի կիրառվում, եթե նոր տվյալները ներկայացվել են Գ.I.13 փոփոխությանը համապատասխան: Այդպիսի դեպքերում դեղապատրաստուկի ընդհանուր բնութագրի, մականշվածքի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ներդիր թերթիկի փոփոխությունը </w:t>
            </w:r>
            <w:r w:rsidR="0056496B">
              <w:rPr>
                <w:rStyle w:val="Bodytext1811pt"/>
                <w:rFonts w:ascii="Sylfaen" w:hAnsi="Sylfaen"/>
                <w:sz w:val="24"/>
                <w:szCs w:val="24"/>
              </w:rPr>
              <w:t>դիմում</w:t>
            </w:r>
            <w:r w:rsidRPr="003B2786">
              <w:rPr>
                <w:rStyle w:val="Bodytext1811pt"/>
                <w:rFonts w:ascii="Sylfaen" w:hAnsi="Sylfaen"/>
                <w:sz w:val="24"/>
                <w:szCs w:val="24"/>
              </w:rPr>
              <w:t>նվում է Գ.I.13 փոփոխության կիրառման դաշտում:</w:t>
            </w:r>
          </w:p>
        </w:tc>
      </w:tr>
      <w:tr w:rsidR="008C76E0" w:rsidRPr="003B2786" w14:paraId="6C5ECB50"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57C7E19"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Գ.I.5.</w:t>
            </w:r>
            <w:r w:rsidRPr="003B2786">
              <w:rPr>
                <w:rStyle w:val="Bodytext1811pt"/>
                <w:rFonts w:ascii="Sylfaen" w:hAnsi="Sylfaen"/>
                <w:sz w:val="24"/>
                <w:szCs w:val="24"/>
              </w:rPr>
              <w:tab/>
              <w:t>Դեղապատրաստուկի բացթողման պայմանների փոփոխությունը</w:t>
            </w:r>
          </w:p>
        </w:tc>
        <w:tc>
          <w:tcPr>
            <w:tcW w:w="1883" w:type="dxa"/>
            <w:gridSpan w:val="2"/>
            <w:tcBorders>
              <w:top w:val="single" w:sz="4" w:space="0" w:color="auto"/>
              <w:left w:val="single" w:sz="4" w:space="0" w:color="auto"/>
              <w:bottom w:val="single" w:sz="4" w:space="0" w:color="auto"/>
            </w:tcBorders>
            <w:shd w:val="clear" w:color="auto" w:fill="FFFFFF"/>
          </w:tcPr>
          <w:p w14:paraId="23FE6CA3"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29A5DBD"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70B022A"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6287C4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BAAB5E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վերարտադրված կամ հիբրիդային կամ կենսահամանման դեղապատրաստուկների՝ ռեֆերենտ դեղապատրաստուկի բացթողման պայմանների փոփոխությունից հետո</w:t>
            </w:r>
          </w:p>
        </w:tc>
        <w:tc>
          <w:tcPr>
            <w:tcW w:w="1883" w:type="dxa"/>
            <w:gridSpan w:val="2"/>
            <w:tcBorders>
              <w:top w:val="single" w:sz="4" w:space="0" w:color="auto"/>
              <w:left w:val="single" w:sz="4" w:space="0" w:color="auto"/>
            </w:tcBorders>
            <w:shd w:val="clear" w:color="auto" w:fill="FFFFFF"/>
          </w:tcPr>
          <w:p w14:paraId="2F10F985" w14:textId="77777777" w:rsidR="008C76E0" w:rsidRPr="003B2786" w:rsidRDefault="008C76E0" w:rsidP="008C76E0">
            <w:pPr>
              <w:tabs>
                <w:tab w:val="left" w:pos="53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3941294D"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3DA3B7A"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6EF891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A33A7A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բացթողման պայմանների փոփոխության այլ պատճառներ</w:t>
            </w:r>
          </w:p>
        </w:tc>
        <w:tc>
          <w:tcPr>
            <w:tcW w:w="1883" w:type="dxa"/>
            <w:gridSpan w:val="2"/>
            <w:tcBorders>
              <w:top w:val="single" w:sz="4" w:space="0" w:color="auto"/>
              <w:left w:val="single" w:sz="4" w:space="0" w:color="auto"/>
            </w:tcBorders>
            <w:shd w:val="clear" w:color="auto" w:fill="FFFFFF"/>
          </w:tcPr>
          <w:p w14:paraId="3AB36392"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EFFB0D5"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022F983A"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ACC1B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E6A1A28" w14:textId="77777777" w:rsidR="008C76E0" w:rsidRPr="008C76E0"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77A5E4E" w14:textId="77777777" w:rsidR="008C76E0" w:rsidRPr="008C76E0"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Ռեֆերենտ դեղապատրաստուկի բացթողման պայմանների փոփոխության հաստատումը (օրինակ` անդամ պետության լիազորված մարմնի համապատասխան որոշմանն արված հղումը)՝ կցված փոփոխություններ կատարելու մասին դիմումի ուղեկցող նամակին:</w:t>
            </w:r>
          </w:p>
          <w:p w14:paraId="1C808DC9" w14:textId="77777777" w:rsidR="008C76E0" w:rsidRPr="003B2786"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8B545BF" w14:textId="77777777" w:rsidTr="004A52D9">
        <w:trPr>
          <w:jc w:val="center"/>
        </w:trPr>
        <w:tc>
          <w:tcPr>
            <w:tcW w:w="4984" w:type="dxa"/>
            <w:gridSpan w:val="4"/>
            <w:tcBorders>
              <w:top w:val="single" w:sz="4" w:space="0" w:color="auto"/>
              <w:left w:val="single" w:sz="4" w:space="0" w:color="auto"/>
            </w:tcBorders>
            <w:shd w:val="clear" w:color="auto" w:fill="FFFFFF"/>
          </w:tcPr>
          <w:p w14:paraId="53433D64" w14:textId="77777777" w:rsidR="008C76E0" w:rsidRPr="008C76E0" w:rsidRDefault="008C76E0" w:rsidP="008C76E0">
            <w:pPr>
              <w:pStyle w:val="Bodytext180"/>
              <w:shd w:val="clear" w:color="auto" w:fill="auto"/>
              <w:tabs>
                <w:tab w:val="left" w:pos="1124"/>
              </w:tabs>
              <w:spacing w:before="0" w:line="240" w:lineRule="auto"/>
              <w:ind w:left="159" w:right="222" w:firstLine="0"/>
              <w:rPr>
                <w:rFonts w:ascii="Sylfaen" w:hAnsi="Sylfaen"/>
                <w:b w:val="0"/>
                <w:sz w:val="24"/>
                <w:szCs w:val="24"/>
                <w:lang w:val="hy-AM"/>
              </w:rPr>
            </w:pPr>
            <w:r w:rsidRPr="003B2786">
              <w:rPr>
                <w:rStyle w:val="Bodytext1811pt"/>
                <w:rFonts w:ascii="Sylfaen" w:hAnsi="Sylfaen"/>
                <w:sz w:val="24"/>
                <w:szCs w:val="24"/>
              </w:rPr>
              <w:lastRenderedPageBreak/>
              <w:t>Գ.I.6.</w:t>
            </w:r>
            <w:r w:rsidRPr="003B2786">
              <w:rPr>
                <w:rStyle w:val="Bodytext1811pt"/>
                <w:rFonts w:ascii="Sylfaen" w:hAnsi="Sylfaen"/>
                <w:sz w:val="24"/>
                <w:szCs w:val="24"/>
              </w:rPr>
              <w:tab/>
              <w:t>Կիրառման ցուցման (ցուցումների) փոփոխություն(ներ)ը</w:t>
            </w:r>
          </w:p>
        </w:tc>
        <w:tc>
          <w:tcPr>
            <w:tcW w:w="1883" w:type="dxa"/>
            <w:gridSpan w:val="2"/>
            <w:tcBorders>
              <w:top w:val="single" w:sz="4" w:space="0" w:color="auto"/>
              <w:left w:val="single" w:sz="4" w:space="0" w:color="auto"/>
            </w:tcBorders>
            <w:shd w:val="clear" w:color="auto" w:fill="FFFFFF"/>
          </w:tcPr>
          <w:p w14:paraId="55970769"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E041812"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E1C249C"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2E242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D417865"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կիրառման նոր ցուցում ներառելը կամ նախկինում հաստատվածը փոփոխելը</w:t>
            </w:r>
          </w:p>
        </w:tc>
        <w:tc>
          <w:tcPr>
            <w:tcW w:w="1883" w:type="dxa"/>
            <w:gridSpan w:val="2"/>
            <w:tcBorders>
              <w:top w:val="single" w:sz="4" w:space="0" w:color="auto"/>
              <w:left w:val="single" w:sz="4" w:space="0" w:color="auto"/>
            </w:tcBorders>
            <w:shd w:val="clear" w:color="auto" w:fill="FFFFFF"/>
          </w:tcPr>
          <w:p w14:paraId="73B48385" w14:textId="77777777" w:rsidR="008C76E0" w:rsidRPr="003B2786" w:rsidRDefault="008C76E0" w:rsidP="008C76E0">
            <w:pPr>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6F26746F" w14:textId="77777777" w:rsidR="008C76E0" w:rsidRPr="003B2786" w:rsidRDefault="008C76E0" w:rsidP="008C76E0">
            <w:pPr>
              <w:spacing w:after="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314DAE8D"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4522CE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12E9ABA" w14:textId="77777777" w:rsidR="008C76E0" w:rsidRPr="003B2786" w:rsidRDefault="008C76E0" w:rsidP="008C76E0">
            <w:pPr>
              <w:pStyle w:val="Bodytext180"/>
              <w:shd w:val="clear" w:color="auto" w:fill="auto"/>
              <w:spacing w:before="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կիրառման ցուցում բացառելը</w:t>
            </w:r>
          </w:p>
        </w:tc>
        <w:tc>
          <w:tcPr>
            <w:tcW w:w="1883" w:type="dxa"/>
            <w:gridSpan w:val="2"/>
            <w:tcBorders>
              <w:top w:val="single" w:sz="4" w:space="0" w:color="auto"/>
              <w:left w:val="single" w:sz="4" w:space="0" w:color="auto"/>
            </w:tcBorders>
            <w:shd w:val="clear" w:color="auto" w:fill="FFFFFF"/>
          </w:tcPr>
          <w:p w14:paraId="53F2BD3E"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252CE0A"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5DB7194B"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A2BA43" w14:textId="77777777" w:rsidTr="004A52D9">
        <w:trPr>
          <w:jc w:val="center"/>
        </w:trPr>
        <w:tc>
          <w:tcPr>
            <w:tcW w:w="2594" w:type="dxa"/>
            <w:gridSpan w:val="2"/>
            <w:tcBorders>
              <w:top w:val="single" w:sz="4" w:space="0" w:color="auto"/>
              <w:left w:val="single" w:sz="4" w:space="0" w:color="auto"/>
            </w:tcBorders>
            <w:shd w:val="clear" w:color="auto" w:fill="FFFFFF"/>
          </w:tcPr>
          <w:p w14:paraId="6F91B83D" w14:textId="77777777" w:rsidR="008C76E0" w:rsidRPr="003B2786" w:rsidRDefault="008C76E0" w:rsidP="008C76E0">
            <w:pPr>
              <w:pStyle w:val="Bodytext180"/>
              <w:shd w:val="clear" w:color="auto" w:fill="auto"/>
              <w:spacing w:before="0" w:after="120" w:line="240" w:lineRule="auto"/>
              <w:ind w:left="174"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4455F4F2" w14:textId="77777777" w:rsidR="008C76E0" w:rsidRPr="003B2786" w:rsidRDefault="008C76E0" w:rsidP="008C76E0">
            <w:pPr>
              <w:widowControl/>
              <w:autoSpaceDE w:val="0"/>
              <w:autoSpaceDN w:val="0"/>
              <w:adjustRightInd w:val="0"/>
              <w:spacing w:after="120"/>
              <w:ind w:left="159" w:right="222"/>
              <w:jc w:val="both"/>
              <w:rPr>
                <w:rFonts w:ascii="Sylfaen" w:hAnsi="Sylfaen"/>
                <w:sz w:val="24"/>
                <w:szCs w:val="24"/>
              </w:rPr>
            </w:pPr>
            <w:r w:rsidRPr="003B2786">
              <w:rPr>
                <w:rFonts w:ascii="Sylfaen" w:hAnsi="Sylfaen"/>
                <w:sz w:val="24"/>
                <w:szCs w:val="24"/>
              </w:rPr>
              <w:t>Եթե կիրառման ցուցում ավելացնելը կամ փոփոխելը տեղի է ունենում փորձագիտական կոմիտեի եզրակացության իրականացման կամ ռեֆերենտ դեղապատրաստուկի մի</w:t>
            </w:r>
            <w:r w:rsidR="00C54D75">
              <w:rPr>
                <w:rFonts w:ascii="Sylfaen" w:hAnsi="Sylfaen"/>
                <w:sz w:val="24"/>
                <w:szCs w:val="24"/>
              </w:rPr>
              <w:t>և</w:t>
            </w:r>
            <w:r w:rsidRPr="003B2786">
              <w:rPr>
                <w:rFonts w:ascii="Sylfaen" w:hAnsi="Sylfaen"/>
                <w:sz w:val="24"/>
                <w:szCs w:val="24"/>
              </w:rPr>
              <w:t>նույն փոփոխության փորձաքննությունից հետո դեղապատրաստուկի մասին տեղեկատվության, վերարտադրված կամ հիբրիդային կամ կենսահամանման դեղապատրաստուկի փոփոխության հետ</w:t>
            </w:r>
            <w:r w:rsidR="00C54D75">
              <w:rPr>
                <w:rFonts w:ascii="Sylfaen" w:hAnsi="Sylfaen"/>
                <w:sz w:val="24"/>
                <w:szCs w:val="24"/>
              </w:rPr>
              <w:t>և</w:t>
            </w:r>
            <w:r w:rsidRPr="003B2786">
              <w:rPr>
                <w:rFonts w:ascii="Sylfaen" w:hAnsi="Sylfaen"/>
                <w:sz w:val="24"/>
                <w:szCs w:val="24"/>
              </w:rPr>
              <w:t xml:space="preserve">անքով, ապա կիրառվում են համապատասխանաբար Գ.I.1 </w:t>
            </w:r>
            <w:r w:rsidR="00C54D75">
              <w:rPr>
                <w:rFonts w:ascii="Sylfaen" w:hAnsi="Sylfaen"/>
                <w:sz w:val="24"/>
                <w:szCs w:val="24"/>
              </w:rPr>
              <w:t>և</w:t>
            </w:r>
            <w:r w:rsidRPr="003B2786">
              <w:rPr>
                <w:rFonts w:ascii="Sylfaen" w:hAnsi="Sylfaen"/>
                <w:sz w:val="24"/>
                <w:szCs w:val="24"/>
              </w:rPr>
              <w:t xml:space="preserve"> Գ.I.2 փոփոխությունները:</w:t>
            </w:r>
          </w:p>
        </w:tc>
      </w:tr>
      <w:tr w:rsidR="008C76E0" w:rsidRPr="003B2786" w14:paraId="42D837CC" w14:textId="77777777" w:rsidTr="004A52D9">
        <w:trPr>
          <w:jc w:val="center"/>
        </w:trPr>
        <w:tc>
          <w:tcPr>
            <w:tcW w:w="4984" w:type="dxa"/>
            <w:gridSpan w:val="4"/>
            <w:tcBorders>
              <w:top w:val="single" w:sz="4" w:space="0" w:color="auto"/>
              <w:left w:val="single" w:sz="4" w:space="0" w:color="auto"/>
            </w:tcBorders>
            <w:shd w:val="clear" w:color="auto" w:fill="FFFFFF"/>
            <w:vAlign w:val="center"/>
          </w:tcPr>
          <w:p w14:paraId="6DD067B7" w14:textId="77777777" w:rsidR="008C76E0" w:rsidRPr="003B2786"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Գ.I.7.</w:t>
            </w:r>
            <w:r w:rsidRPr="003B2786">
              <w:rPr>
                <w:rStyle w:val="Bodytext1811pt"/>
                <w:rFonts w:ascii="Sylfaen" w:hAnsi="Sylfaen"/>
                <w:sz w:val="24"/>
                <w:szCs w:val="24"/>
              </w:rPr>
              <w:tab/>
              <w:t>Բացառություն՝</w:t>
            </w:r>
          </w:p>
        </w:tc>
        <w:tc>
          <w:tcPr>
            <w:tcW w:w="1883" w:type="dxa"/>
            <w:gridSpan w:val="2"/>
            <w:tcBorders>
              <w:top w:val="single" w:sz="4" w:space="0" w:color="auto"/>
              <w:left w:val="single" w:sz="4" w:space="0" w:color="auto"/>
            </w:tcBorders>
            <w:shd w:val="clear" w:color="auto" w:fill="FFFFFF"/>
          </w:tcPr>
          <w:p w14:paraId="6F27CD57"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4FD782B"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6AF7E34F"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189723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E16EB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դեղաձ</w:t>
            </w:r>
            <w:r w:rsidR="00C54D75">
              <w:rPr>
                <w:rStyle w:val="Bodytext1811pt"/>
                <w:rFonts w:ascii="Sylfaen" w:hAnsi="Sylfaen"/>
                <w:sz w:val="24"/>
                <w:szCs w:val="24"/>
              </w:rPr>
              <w:t>և</w:t>
            </w:r>
            <w:r w:rsidRPr="003B2786">
              <w:rPr>
                <w:rStyle w:val="Bodytext1811pt"/>
                <w:rFonts w:ascii="Sylfaen" w:hAnsi="Sylfaen"/>
                <w:sz w:val="24"/>
                <w:szCs w:val="24"/>
              </w:rPr>
              <w:t>ի</w:t>
            </w:r>
          </w:p>
        </w:tc>
        <w:tc>
          <w:tcPr>
            <w:tcW w:w="1883" w:type="dxa"/>
            <w:gridSpan w:val="2"/>
            <w:tcBorders>
              <w:top w:val="single" w:sz="4" w:space="0" w:color="auto"/>
              <w:left w:val="single" w:sz="4" w:space="0" w:color="auto"/>
            </w:tcBorders>
            <w:shd w:val="clear" w:color="auto" w:fill="FFFFFF"/>
          </w:tcPr>
          <w:p w14:paraId="12623C81"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DB7CD72"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6F516B2C"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C0A242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0F086B9"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չափաքանակի</w:t>
            </w:r>
          </w:p>
        </w:tc>
        <w:tc>
          <w:tcPr>
            <w:tcW w:w="1883" w:type="dxa"/>
            <w:gridSpan w:val="2"/>
            <w:tcBorders>
              <w:top w:val="single" w:sz="4" w:space="0" w:color="auto"/>
              <w:left w:val="single" w:sz="4" w:space="0" w:color="auto"/>
            </w:tcBorders>
            <w:shd w:val="clear" w:color="auto" w:fill="FFFFFF"/>
          </w:tcPr>
          <w:p w14:paraId="166D24A7"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423CC0B"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C57B6B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392B80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C192463"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B95C381" w14:textId="63473E84"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բացթողման մնացած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բավարար է (են) դեղապատրաստուկի ընդհանուր բնութագրում նկարագրված դոզավորման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առաջարկությունների կատարման համար:</w:t>
            </w:r>
          </w:p>
          <w:p w14:paraId="4B7A0806"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5387718" w14:textId="77777777" w:rsidTr="004A52D9">
        <w:trPr>
          <w:jc w:val="center"/>
        </w:trPr>
        <w:tc>
          <w:tcPr>
            <w:tcW w:w="2594" w:type="dxa"/>
            <w:gridSpan w:val="2"/>
            <w:tcBorders>
              <w:top w:val="single" w:sz="4" w:space="0" w:color="auto"/>
              <w:left w:val="single" w:sz="4" w:space="0" w:color="auto"/>
            </w:tcBorders>
            <w:shd w:val="clear" w:color="auto" w:fill="FFFFFF"/>
          </w:tcPr>
          <w:p w14:paraId="4EABBDD0" w14:textId="77777777" w:rsidR="008C76E0" w:rsidRPr="003B2786" w:rsidRDefault="008C76E0" w:rsidP="008C76E0">
            <w:pPr>
              <w:pStyle w:val="Bodytext180"/>
              <w:shd w:val="clear" w:color="auto" w:fill="auto"/>
              <w:spacing w:before="0" w:after="120" w:line="240" w:lineRule="auto"/>
              <w:ind w:left="159"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D9DAE6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Եթե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ը կամ չափաքանակը գրանցվել է առանձին դեղապատրաստուկի տեսքով, ապա այդպիսի դեղաձ</w:t>
            </w:r>
            <w:r w:rsidR="00C54D75">
              <w:rPr>
                <w:rStyle w:val="Bodytext1811pt"/>
                <w:rFonts w:ascii="Sylfaen" w:hAnsi="Sylfaen"/>
                <w:sz w:val="24"/>
                <w:szCs w:val="24"/>
              </w:rPr>
              <w:t>և</w:t>
            </w:r>
            <w:r w:rsidRPr="003B2786">
              <w:rPr>
                <w:rStyle w:val="Bodytext1811pt"/>
                <w:rFonts w:ascii="Sylfaen" w:hAnsi="Sylfaen"/>
                <w:sz w:val="24"/>
                <w:szCs w:val="24"/>
              </w:rPr>
              <w:t>ի կամ չափաքանակի բացառելը կհամարվի ոչ թե փոփոխությունների կատարում, այլ շրջանառությունից հանում:</w:t>
            </w:r>
          </w:p>
        </w:tc>
      </w:tr>
      <w:tr w:rsidR="008C76E0" w:rsidRPr="003B2786" w14:paraId="6D72A03F" w14:textId="77777777" w:rsidTr="004A52D9">
        <w:trPr>
          <w:jc w:val="center"/>
        </w:trPr>
        <w:tc>
          <w:tcPr>
            <w:tcW w:w="4984" w:type="dxa"/>
            <w:gridSpan w:val="4"/>
            <w:tcBorders>
              <w:top w:val="single" w:sz="4" w:space="0" w:color="auto"/>
              <w:left w:val="single" w:sz="4" w:space="0" w:color="auto"/>
            </w:tcBorders>
            <w:shd w:val="clear" w:color="auto" w:fill="FFFFFF"/>
          </w:tcPr>
          <w:p w14:paraId="323D86BF"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Գ.I.8.</w:t>
            </w:r>
            <w:r w:rsidRPr="003B2786">
              <w:rPr>
                <w:rStyle w:val="Bodytext1811pt"/>
                <w:rFonts w:ascii="Sylfaen" w:hAnsi="Sylfaen"/>
                <w:sz w:val="24"/>
                <w:szCs w:val="24"/>
              </w:rPr>
              <w:tab/>
              <w:t>Բժշկական կիրառման համար նախատեսված դեղապատրաստուկի դեղազգոնության համակարգի ռեզյումե ներմուծելը կամ փոփոխելը (*)</w:t>
            </w:r>
          </w:p>
        </w:tc>
        <w:tc>
          <w:tcPr>
            <w:tcW w:w="1883" w:type="dxa"/>
            <w:gridSpan w:val="2"/>
            <w:tcBorders>
              <w:top w:val="single" w:sz="4" w:space="0" w:color="auto"/>
              <w:left w:val="single" w:sz="4" w:space="0" w:color="auto"/>
            </w:tcBorders>
            <w:shd w:val="clear" w:color="auto" w:fill="FFFFFF"/>
          </w:tcPr>
          <w:p w14:paraId="7D671B9C"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79B21C9"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56C0E70"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801E0B5"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617A8E9D"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Դեղազգոնության համակարգի ռեզյումե, դեղազգոնության հարցերով որակավորված անձի վերաբերյալ փոփոխություններ (ներառյալ՝ կոնտակտային տեղեկատվությունը) </w:t>
            </w:r>
            <w:r w:rsidRPr="003B2786">
              <w:rPr>
                <w:rStyle w:val="Bodytext1811pt"/>
                <w:rFonts w:ascii="Sylfaen" w:hAnsi="Sylfaen"/>
                <w:sz w:val="24"/>
                <w:szCs w:val="24"/>
              </w:rPr>
              <w:lastRenderedPageBreak/>
              <w:t xml:space="preserve">ներմուծելը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համակարգի մաստեր-ֆայլի (ԴՀՄՖ) տեղակայման վայրի փոփոխումը</w:t>
            </w:r>
          </w:p>
        </w:tc>
        <w:tc>
          <w:tcPr>
            <w:tcW w:w="1883" w:type="dxa"/>
            <w:gridSpan w:val="2"/>
            <w:tcBorders>
              <w:top w:val="single" w:sz="4" w:space="0" w:color="auto"/>
              <w:left w:val="single" w:sz="4" w:space="0" w:color="auto"/>
              <w:bottom w:val="single" w:sz="4" w:space="0" w:color="auto"/>
            </w:tcBorders>
            <w:shd w:val="clear" w:color="auto" w:fill="FFFFFF"/>
          </w:tcPr>
          <w:p w14:paraId="35BE1572" w14:textId="77777777" w:rsidR="008C76E0" w:rsidRPr="003B2786" w:rsidRDefault="008C76E0" w:rsidP="008C76E0">
            <w:pPr>
              <w:tabs>
                <w:tab w:val="left" w:pos="539"/>
              </w:tabs>
              <w:spacing w:after="0"/>
              <w:ind w:left="159" w:right="221"/>
              <w:jc w:val="center"/>
              <w:rPr>
                <w:rFonts w:ascii="Sylfaen" w:hAnsi="Sylfaen"/>
                <w:sz w:val="24"/>
                <w:szCs w:val="24"/>
              </w:rPr>
            </w:pPr>
          </w:p>
        </w:tc>
        <w:tc>
          <w:tcPr>
            <w:tcW w:w="1984" w:type="dxa"/>
            <w:gridSpan w:val="2"/>
            <w:tcBorders>
              <w:top w:val="single" w:sz="4" w:space="0" w:color="auto"/>
              <w:left w:val="single" w:sz="4" w:space="0" w:color="auto"/>
              <w:bottom w:val="single" w:sz="4" w:space="0" w:color="auto"/>
            </w:tcBorders>
            <w:shd w:val="clear" w:color="auto" w:fill="FFFFFF"/>
          </w:tcPr>
          <w:p w14:paraId="58498C48" w14:textId="77777777" w:rsidR="008C76E0" w:rsidRPr="003B2786" w:rsidRDefault="008C76E0" w:rsidP="008C76E0">
            <w:pPr>
              <w:tabs>
                <w:tab w:val="left" w:pos="539"/>
              </w:tabs>
              <w:spacing w:after="0"/>
              <w:ind w:left="159" w:right="221"/>
              <w:jc w:val="center"/>
              <w:rPr>
                <w:rFonts w:ascii="Sylfaen" w:hAnsi="Sylfaen"/>
                <w:sz w:val="24"/>
                <w:szCs w:val="24"/>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18978624" w14:textId="77777777" w:rsidR="008C76E0" w:rsidRPr="003B2786" w:rsidRDefault="008C76E0" w:rsidP="008C76E0">
            <w:pPr>
              <w:pStyle w:val="Bodytext180"/>
              <w:shd w:val="clear" w:color="auto" w:fill="auto"/>
              <w:tabs>
                <w:tab w:val="left" w:pos="53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6B3BB2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4B163A1F"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EC0A435"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Դեղազգոնության համակարգի ռեզյումեն կամ (համապատասխանաբար) նշանակալի տարրերի թարմացումը.</w:t>
            </w:r>
          </w:p>
          <w:p w14:paraId="2F686324" w14:textId="1134D71F" w:rsidR="008C76E0" w:rsidRPr="008C76E0" w:rsidRDefault="008C76E0" w:rsidP="004A52D9">
            <w:pPr>
              <w:pStyle w:val="Bodytext180"/>
              <w:shd w:val="clear" w:color="auto" w:fill="auto"/>
              <w:tabs>
                <w:tab w:val="left" w:pos="539"/>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 xml:space="preserve">Հաստատումն այն մասին, որ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իր տնօրինության տակ ունի դեղազգոնության համար պատասխանատու որակավորված անձ,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կողմից ստորագրված հաստատումն այն բանի, որ </w:t>
            </w:r>
            <w:r w:rsidR="0056496B">
              <w:rPr>
                <w:rStyle w:val="Bodytext1811pt"/>
                <w:rFonts w:ascii="Sylfaen" w:hAnsi="Sylfaen"/>
                <w:sz w:val="24"/>
                <w:szCs w:val="24"/>
              </w:rPr>
              <w:t>դիմումատու</w:t>
            </w:r>
            <w:r w:rsidRPr="003B2786">
              <w:rPr>
                <w:rStyle w:val="Bodytext1811pt"/>
                <w:rFonts w:ascii="Sylfaen" w:hAnsi="Sylfaen"/>
                <w:sz w:val="24"/>
                <w:szCs w:val="24"/>
              </w:rPr>
              <w:t>ն տիրապետում է անհրաժեշտ միջոցների՝ կատարելու Միության դեղազգոնության պատշաճ գործելակերպի կանոնների մեջ թվարկված խնդիրներն ու պարտականությունները:</w:t>
            </w:r>
          </w:p>
          <w:p w14:paraId="52B02668" w14:textId="77777777" w:rsidR="008C76E0" w:rsidRPr="008C76E0" w:rsidRDefault="008C76E0" w:rsidP="004A52D9">
            <w:pPr>
              <w:pStyle w:val="Bodytext180"/>
              <w:shd w:val="clear" w:color="auto" w:fill="auto"/>
              <w:tabs>
                <w:tab w:val="left" w:pos="539"/>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 xml:space="preserve">Կոնտակտային տեղեկատվություն այն անդամ պետությունում դեղազգոնության հարցերով որակավորված անձի մասին, որտեղ տեղակայված է դեղազգոնության հարցերով որակավորված անձը </w:t>
            </w:r>
            <w:r w:rsidR="00C54D75">
              <w:rPr>
                <w:rStyle w:val="Bodytext1811pt"/>
                <w:rFonts w:ascii="Sylfaen" w:hAnsi="Sylfaen"/>
                <w:sz w:val="24"/>
                <w:szCs w:val="24"/>
              </w:rPr>
              <w:t>և</w:t>
            </w:r>
            <w:r w:rsidRPr="003B2786">
              <w:rPr>
                <w:rStyle w:val="Bodytext1811pt"/>
                <w:rFonts w:ascii="Sylfaen" w:hAnsi="Sylfaen"/>
                <w:sz w:val="24"/>
                <w:szCs w:val="24"/>
              </w:rPr>
              <w:t xml:space="preserve"> կատարում է իր առաջադրանքները:</w:t>
            </w:r>
          </w:p>
          <w:p w14:paraId="4ABE44D0"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ԴՀՄՖ-ի տեղակայման վայրը:</w:t>
            </w:r>
          </w:p>
          <w:p w14:paraId="0062C206" w14:textId="77777777" w:rsidR="008C76E0" w:rsidRPr="00E74ADC" w:rsidRDefault="008C76E0" w:rsidP="008C76E0">
            <w:pPr>
              <w:pStyle w:val="Bodytext180"/>
              <w:shd w:val="clear" w:color="auto" w:fill="auto"/>
              <w:tabs>
                <w:tab w:val="left" w:pos="539"/>
              </w:tabs>
              <w:spacing w:before="0" w:line="240" w:lineRule="auto"/>
              <w:ind w:left="159" w:right="221" w:firstLine="0"/>
              <w:jc w:val="both"/>
              <w:rPr>
                <w:rStyle w:val="Bodytext1811pt"/>
                <w:rFonts w:ascii="Sylfaen" w:hAnsi="Sylfaen"/>
                <w:sz w:val="24"/>
                <w:szCs w:val="24"/>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ԴՀՄՖ-ի համարը (առկայության դեպքում):</w:t>
            </w:r>
          </w:p>
          <w:p w14:paraId="67BA0737" w14:textId="77777777" w:rsidR="004A52D9" w:rsidRPr="00E74ADC" w:rsidRDefault="004A52D9"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p>
        </w:tc>
      </w:tr>
      <w:tr w:rsidR="008C76E0" w:rsidRPr="003B2786" w14:paraId="162C4C00" w14:textId="77777777" w:rsidTr="004A52D9">
        <w:trPr>
          <w:jc w:val="center"/>
        </w:trPr>
        <w:tc>
          <w:tcPr>
            <w:tcW w:w="2594" w:type="dxa"/>
            <w:gridSpan w:val="2"/>
            <w:tcBorders>
              <w:top w:val="single" w:sz="4" w:space="0" w:color="auto"/>
              <w:left w:val="single" w:sz="4" w:space="0" w:color="auto"/>
            </w:tcBorders>
            <w:shd w:val="clear" w:color="auto" w:fill="FFFFFF"/>
          </w:tcPr>
          <w:p w14:paraId="18206852" w14:textId="77777777" w:rsidR="008C76E0" w:rsidRPr="003B2786" w:rsidRDefault="008C76E0" w:rsidP="008C76E0">
            <w:pPr>
              <w:pStyle w:val="Bodytext180"/>
              <w:shd w:val="clear" w:color="auto" w:fill="auto"/>
              <w:spacing w:before="0" w:after="120" w:line="240" w:lineRule="auto"/>
              <w:ind w:left="32" w:right="6" w:firstLine="0"/>
              <w:jc w:val="both"/>
              <w:rPr>
                <w:rFonts w:ascii="Sylfaen" w:hAnsi="Sylfaen"/>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E4EC365" w14:textId="77777777" w:rsidR="008C76E0" w:rsidRPr="003B2786" w:rsidRDefault="008C76E0" w:rsidP="008C76E0">
            <w:pPr>
              <w:pStyle w:val="Bodytext180"/>
              <w:shd w:val="clear" w:color="auto" w:fill="auto"/>
              <w:spacing w:before="0" w:after="120" w:line="288" w:lineRule="auto"/>
              <w:ind w:left="159" w:right="221" w:firstLine="0"/>
              <w:jc w:val="both"/>
              <w:rPr>
                <w:rFonts w:ascii="Sylfaen" w:hAnsi="Sylfaen"/>
                <w:b w:val="0"/>
                <w:sz w:val="24"/>
                <w:szCs w:val="24"/>
              </w:rPr>
            </w:pPr>
            <w:r w:rsidRPr="003B2786">
              <w:rPr>
                <w:rStyle w:val="Bodytext1811pt"/>
                <w:rFonts w:ascii="Sylfaen" w:hAnsi="Sylfaen"/>
                <w:sz w:val="24"/>
                <w:szCs w:val="24"/>
              </w:rPr>
              <w:t>Տվյալ փոփոխությունն ընդգրկում է ԴՀՄՖ ներմուծումը՝ անկախ գրանցման դոսյեի տեխնիկական մասում դեղազգոնության համակարգի մանրամասն նկարագրության առկայությունից:</w:t>
            </w:r>
          </w:p>
          <w:p w14:paraId="1EAAB69C" w14:textId="77777777" w:rsidR="008C76E0" w:rsidRPr="003B2786" w:rsidRDefault="008C76E0" w:rsidP="008C76E0">
            <w:pPr>
              <w:pStyle w:val="Bodytext180"/>
              <w:shd w:val="clear" w:color="auto" w:fill="auto"/>
              <w:spacing w:before="0" w:after="120" w:line="288" w:lineRule="auto"/>
              <w:ind w:left="159" w:right="221" w:firstLine="0"/>
              <w:jc w:val="both"/>
              <w:rPr>
                <w:rFonts w:ascii="Sylfaen" w:hAnsi="Sylfaen"/>
                <w:b w:val="0"/>
                <w:sz w:val="24"/>
                <w:szCs w:val="24"/>
              </w:rPr>
            </w:pPr>
            <w:r w:rsidRPr="003B2786">
              <w:rPr>
                <w:rStyle w:val="Bodytext1811pt"/>
                <w:rFonts w:ascii="Sylfaen" w:hAnsi="Sylfaen"/>
                <w:sz w:val="24"/>
                <w:szCs w:val="24"/>
              </w:rPr>
              <w:t xml:space="preserve">Դեղազգոնության հարցերով կոնտակտային անձի փոփոխությունները, ներառյալ՝ կոնտակտային տեղեկատվությունը (հեռախոսի </w:t>
            </w:r>
            <w:r w:rsidR="00C54D75">
              <w:rPr>
                <w:rStyle w:val="Bodytext1811pt"/>
                <w:rFonts w:ascii="Sylfaen" w:hAnsi="Sylfaen"/>
                <w:sz w:val="24"/>
                <w:szCs w:val="24"/>
              </w:rPr>
              <w:t>և</w:t>
            </w:r>
            <w:r w:rsidRPr="003B2786">
              <w:rPr>
                <w:rStyle w:val="Bodytext1811pt"/>
                <w:rFonts w:ascii="Sylfaen" w:hAnsi="Sylfaen"/>
                <w:sz w:val="24"/>
                <w:szCs w:val="24"/>
              </w:rPr>
              <w:t xml:space="preserve"> ֆաքսի համարները, փոստային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էլեկտրոնային փոստի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ԴՀՄՖ-ի տեղակայման վայրի փոփոխությունները (փողոցը, քաղաքը, ինդեքսը, երկիրը) թույլատրվում է թարմացնել բացառապես միասնական ռեեստրի միջոցով (առանց փոփոխություններ կատարելու անհրաժեշտության): Եթե ԳՀ-ի իրավատերը դիմում է վերոնշյալ տեղեկատվությունը միասնական ռեեստրի միջոցով թարմացնելու հնարավորությանը, ապա նա պետք է գրանցման դոսյեում նշի, որ այդ տվյալների թարմացված տեղեկատվությունը ներառված է միասնական ռեեստրում:</w:t>
            </w:r>
          </w:p>
        </w:tc>
      </w:tr>
      <w:tr w:rsidR="008C76E0" w:rsidRPr="003B2786" w14:paraId="26BE74E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C6C60DC"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Գ.I.9</w:t>
            </w:r>
            <w:r w:rsidRPr="003B2786">
              <w:rPr>
                <w:rStyle w:val="Bodytext1811pt"/>
                <w:rFonts w:ascii="Sylfaen" w:hAnsi="Sylfaen"/>
                <w:sz w:val="24"/>
                <w:szCs w:val="24"/>
              </w:rPr>
              <w:tab/>
              <w:t>Դեղազգոնության գոյություն ունեցող համակարգի փոփոխությունը՝ համաձայն դեղազգոնության համակարգի մանրամասն նկարագրության (ԴՀՄՆ)</w:t>
            </w:r>
          </w:p>
        </w:tc>
        <w:tc>
          <w:tcPr>
            <w:tcW w:w="1883" w:type="dxa"/>
            <w:gridSpan w:val="2"/>
            <w:tcBorders>
              <w:top w:val="single" w:sz="4" w:space="0" w:color="auto"/>
              <w:left w:val="single" w:sz="4" w:space="0" w:color="auto"/>
            </w:tcBorders>
            <w:shd w:val="clear" w:color="auto" w:fill="FFFFFF"/>
          </w:tcPr>
          <w:p w14:paraId="24CCAEF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B61FC4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918C8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B674B6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397C33E"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դեղազգոնության հարցերով որակավորված անձի </w:t>
            </w:r>
            <w:r w:rsidR="00C54D75">
              <w:rPr>
                <w:rStyle w:val="Bodytext1811pt"/>
                <w:rFonts w:ascii="Sylfaen" w:hAnsi="Sylfaen"/>
                <w:sz w:val="24"/>
                <w:szCs w:val="24"/>
              </w:rPr>
              <w:t>և</w:t>
            </w:r>
            <w:r w:rsidRPr="003B2786">
              <w:rPr>
                <w:rStyle w:val="Bodytext1811pt"/>
                <w:rFonts w:ascii="Sylfaen" w:hAnsi="Sylfaen"/>
                <w:sz w:val="24"/>
                <w:szCs w:val="24"/>
              </w:rPr>
              <w:t xml:space="preserve"> (կամ) կոնտակտային տեղեկատվության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w:t>
            </w:r>
            <w:r w:rsidRPr="003B2786">
              <w:rPr>
                <w:rStyle w:val="Bodytext1811pt"/>
                <w:rFonts w:ascii="Sylfaen" w:hAnsi="Sylfaen"/>
                <w:sz w:val="24"/>
                <w:szCs w:val="24"/>
              </w:rPr>
              <w:lastRenderedPageBreak/>
              <w:t>պահուստավորման ընթացակարգի փոփոխությունը</w:t>
            </w:r>
          </w:p>
        </w:tc>
        <w:tc>
          <w:tcPr>
            <w:tcW w:w="1883" w:type="dxa"/>
            <w:gridSpan w:val="2"/>
            <w:tcBorders>
              <w:top w:val="single" w:sz="4" w:space="0" w:color="auto"/>
              <w:left w:val="single" w:sz="4" w:space="0" w:color="auto"/>
            </w:tcBorders>
            <w:shd w:val="clear" w:color="auto" w:fill="FFFFFF"/>
          </w:tcPr>
          <w:p w14:paraId="202A0EFF"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1</w:t>
            </w:r>
          </w:p>
        </w:tc>
        <w:tc>
          <w:tcPr>
            <w:tcW w:w="1984" w:type="dxa"/>
            <w:gridSpan w:val="2"/>
            <w:tcBorders>
              <w:top w:val="single" w:sz="4" w:space="0" w:color="auto"/>
              <w:left w:val="single" w:sz="4" w:space="0" w:color="auto"/>
            </w:tcBorders>
            <w:shd w:val="clear" w:color="auto" w:fill="FFFFFF"/>
          </w:tcPr>
          <w:p w14:paraId="088E0EA7"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4CD4D11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75002DD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4C5AB80" w14:textId="77777777" w:rsidR="008C76E0" w:rsidRPr="008C76E0" w:rsidRDefault="008C76E0" w:rsidP="004A52D9">
            <w:pPr>
              <w:pStyle w:val="Bodytext180"/>
              <w:shd w:val="clear" w:color="auto" w:fill="auto"/>
              <w:tabs>
                <w:tab w:val="left" w:pos="572"/>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անվտանգության տվյալների բազայի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հիմնական պայմանագրային համաձայնագրերի փոփոխությունը՝ դեղազգոնության մասով պարտավորությունների կատարման նպատակով,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մասով գործունեության անցկացման վայրի փոփոխությունը</w:t>
            </w:r>
          </w:p>
        </w:tc>
        <w:tc>
          <w:tcPr>
            <w:tcW w:w="1883" w:type="dxa"/>
            <w:gridSpan w:val="2"/>
            <w:tcBorders>
              <w:top w:val="single" w:sz="4" w:space="0" w:color="auto"/>
              <w:left w:val="single" w:sz="4" w:space="0" w:color="auto"/>
            </w:tcBorders>
            <w:shd w:val="clear" w:color="auto" w:fill="FFFFFF"/>
          </w:tcPr>
          <w:p w14:paraId="0E5146F6"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5F1C0FB3"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293390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4AF4090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2EC7372" w14:textId="77777777" w:rsidR="008C76E0" w:rsidRPr="008C76E0" w:rsidRDefault="008C76E0" w:rsidP="004A52D9">
            <w:pPr>
              <w:pStyle w:val="Bodytext180"/>
              <w:shd w:val="clear" w:color="auto" w:fill="auto"/>
              <w:tabs>
                <w:tab w:val="left" w:pos="572"/>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ԴՀՄՆ-ի այլ փոփոխություններ, որոնք չեն ազդում դեղազգոնության համակարգի գործառման վրա (օրինակ՝ գլխավոր պահոցի (արխիվի) գտնվելու վայրի փոփոխությունը, վարչական փոփոխությունները)</w:t>
            </w:r>
          </w:p>
        </w:tc>
        <w:tc>
          <w:tcPr>
            <w:tcW w:w="1883" w:type="dxa"/>
            <w:gridSpan w:val="2"/>
            <w:tcBorders>
              <w:top w:val="single" w:sz="4" w:space="0" w:color="auto"/>
              <w:left w:val="single" w:sz="4" w:space="0" w:color="auto"/>
            </w:tcBorders>
            <w:shd w:val="clear" w:color="auto" w:fill="FFFFFF"/>
          </w:tcPr>
          <w:p w14:paraId="64158F23"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A2130C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659B7F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p>
        </w:tc>
      </w:tr>
      <w:tr w:rsidR="008C76E0" w:rsidRPr="003B2786" w14:paraId="3FA5A8D6"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0F0B1A27"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այլ դեղապատրաստուկի՝ ԴՀՄՆ-ի մասով փորձաքննության արդյունքներով ԴՀՄՆ-ում փոփոխություններ կատարելը</w:t>
            </w:r>
          </w:p>
        </w:tc>
        <w:tc>
          <w:tcPr>
            <w:tcW w:w="1883" w:type="dxa"/>
            <w:gridSpan w:val="2"/>
            <w:tcBorders>
              <w:top w:val="single" w:sz="4" w:space="0" w:color="auto"/>
              <w:left w:val="single" w:sz="4" w:space="0" w:color="auto"/>
              <w:bottom w:val="single" w:sz="4" w:space="0" w:color="auto"/>
            </w:tcBorders>
            <w:shd w:val="clear" w:color="auto" w:fill="FFFFFF"/>
          </w:tcPr>
          <w:p w14:paraId="37F6FE05"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bottom w:val="single" w:sz="4" w:space="0" w:color="auto"/>
            </w:tcBorders>
            <w:shd w:val="clear" w:color="auto" w:fill="FFFFFF"/>
          </w:tcPr>
          <w:p w14:paraId="197BD3F8"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3E7F95E1"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3A77047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14AFA40"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46F414A"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Դեղազգոնության համակարգն ինքնին չի փոփոխվում:</w:t>
            </w:r>
          </w:p>
          <w:p w14:paraId="7B289E21"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Տվյալների բազայի համակարգը վալիդացվել է (եթե կիրառելի է):</w:t>
            </w:r>
          </w:p>
          <w:p w14:paraId="6047478E"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Տվյալների տեղափոխումը տվյալների բազաների այլ համակարգերից վալիդացված է (եթե կիրառելի է):</w:t>
            </w:r>
          </w:p>
          <w:p w14:paraId="2990FE42"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ԴՀՄՆ-ում նույն փոփոխությունները կատարվել են 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բոլոր դեղապատրաստուկների համար (ԴՀՄՆ-ի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վերջնական տարբերակը): </w:t>
            </w:r>
          </w:p>
        </w:tc>
      </w:tr>
      <w:tr w:rsidR="008C76E0" w:rsidRPr="003B2786" w14:paraId="1C70CB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2F41970"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98091F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ԴՀՄՆ-ի վերջին տարբերակը </w:t>
            </w:r>
            <w:r w:rsidR="00C54D75">
              <w:rPr>
                <w:rStyle w:val="Bodytext1811pt"/>
                <w:rFonts w:ascii="Sylfaen" w:hAnsi="Sylfaen"/>
                <w:sz w:val="24"/>
                <w:szCs w:val="24"/>
              </w:rPr>
              <w:t>և</w:t>
            </w:r>
            <w:r w:rsidRPr="003B2786">
              <w:rPr>
                <w:rStyle w:val="Bodytext1811pt"/>
                <w:rFonts w:ascii="Sylfaen" w:hAnsi="Sylfaen"/>
                <w:sz w:val="24"/>
                <w:szCs w:val="24"/>
              </w:rPr>
              <w:t xml:space="preserve">, եթե կիրառելի է, պատրաստուկի մասնահատուկ լրացման վերջին տարբերակը: Դեղազգոնության հարցերով որակավորված անձի փոփոխության առնչությամբ դրանք պետք է ներառեն՝ ա) դեղազգոնության հարցերով նոր որակավորված անձի հակիրճ կենսագրությունը, բ) անցանկալի ռեակցիաների մասին ծանուցման իրենց 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եղանակների վերաբերյալ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դեղազգոնության հարցերով որակավորված անձի նոր դրույթը, որը ստորագրվել է  դեղազգոնության հարցերով որակավորված նոր անձի </w:t>
            </w:r>
            <w:r w:rsidR="00C54D75">
              <w:rPr>
                <w:rStyle w:val="Bodytext1811pt"/>
                <w:rFonts w:ascii="Sylfaen" w:hAnsi="Sylfaen"/>
                <w:sz w:val="24"/>
                <w:szCs w:val="24"/>
              </w:rPr>
              <w:t>և</w:t>
            </w:r>
            <w:r w:rsidRPr="003B2786">
              <w:rPr>
                <w:rStyle w:val="Bodytext1811pt"/>
                <w:rFonts w:ascii="Sylfaen" w:hAnsi="Sylfaen"/>
                <w:sz w:val="24"/>
                <w:szCs w:val="24"/>
              </w:rPr>
              <w:t xml:space="preserve"> իրավատիրոջ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արտացոլում է դրանից բխող մնացած փոփոխությունները, օրինակ՝ կազմակերպական սխեմայում:</w:t>
            </w:r>
          </w:p>
          <w:p w14:paraId="046D6883"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 xml:space="preserve">Եթե դեղազգոնության հարցերով որակավորված անձը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հարցերով որակավորված անձի մասին կոնտակտային տեղեկատվությունն ի սկզբանե ներառված չեն եղել ԴՀՄՆ-ում, կամ ԴՀՄՆ-ն առկա չէ, ապա չի պահանջվում ներկայացնել վերանայված </w:t>
            </w:r>
            <w:r w:rsidRPr="003B2786">
              <w:rPr>
                <w:rStyle w:val="Bodytext1811pt"/>
                <w:rFonts w:ascii="Sylfaen" w:hAnsi="Sylfaen"/>
                <w:sz w:val="24"/>
                <w:szCs w:val="24"/>
              </w:rPr>
              <w:lastRenderedPageBreak/>
              <w:t>ԴՀՄՆ-ն, այլ անհրաժեշտ է ներկայացնել միայն դիմումի ձ</w:t>
            </w:r>
            <w:r w:rsidR="00C54D75">
              <w:rPr>
                <w:rStyle w:val="Bodytext1811pt"/>
                <w:rFonts w:ascii="Sylfaen" w:hAnsi="Sylfaen"/>
                <w:sz w:val="24"/>
                <w:szCs w:val="24"/>
              </w:rPr>
              <w:t>և</w:t>
            </w:r>
            <w:r w:rsidRPr="003B2786">
              <w:rPr>
                <w:rStyle w:val="Bodytext1811pt"/>
                <w:rFonts w:ascii="Sylfaen" w:hAnsi="Sylfaen"/>
                <w:sz w:val="24"/>
                <w:szCs w:val="24"/>
              </w:rPr>
              <w:t>ը:</w:t>
            </w:r>
          </w:p>
          <w:p w14:paraId="744F2CA6"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Հղում դիմումին (ընթացակարգին) </w:t>
            </w:r>
            <w:r w:rsidR="00C54D75">
              <w:rPr>
                <w:rStyle w:val="Bodytext1811pt"/>
                <w:rFonts w:ascii="Sylfaen" w:hAnsi="Sylfaen"/>
                <w:sz w:val="24"/>
                <w:szCs w:val="24"/>
              </w:rPr>
              <w:t>և</w:t>
            </w:r>
            <w:r w:rsidRPr="003B2786">
              <w:rPr>
                <w:rStyle w:val="Bodytext1811pt"/>
                <w:rFonts w:ascii="Sylfaen" w:hAnsi="Sylfaen"/>
                <w:sz w:val="24"/>
                <w:szCs w:val="24"/>
              </w:rPr>
              <w:t xml:space="preserve"> այն դեղապատրաստուկին, որի առնչությամբ փոփոխությունները հավանության են արժանացել:</w:t>
            </w:r>
          </w:p>
        </w:tc>
      </w:tr>
      <w:tr w:rsidR="008C76E0" w:rsidRPr="003B2786" w14:paraId="6B78B11B" w14:textId="77777777" w:rsidTr="004A52D9">
        <w:trPr>
          <w:jc w:val="center"/>
        </w:trPr>
        <w:tc>
          <w:tcPr>
            <w:tcW w:w="2594" w:type="dxa"/>
            <w:gridSpan w:val="2"/>
            <w:tcBorders>
              <w:top w:val="single" w:sz="4" w:space="0" w:color="auto"/>
              <w:left w:val="single" w:sz="4" w:space="0" w:color="auto"/>
            </w:tcBorders>
            <w:shd w:val="clear" w:color="auto" w:fill="FFFFFF"/>
          </w:tcPr>
          <w:p w14:paraId="2E4CF5A1" w14:textId="77777777" w:rsidR="008C76E0" w:rsidRPr="003B2786" w:rsidRDefault="008C76E0" w:rsidP="008C76E0">
            <w:pPr>
              <w:pStyle w:val="Bodytext180"/>
              <w:shd w:val="clear" w:color="auto" w:fill="auto"/>
              <w:spacing w:before="0" w:after="120" w:line="240" w:lineRule="auto"/>
              <w:ind w:left="32" w:right="6" w:firstLine="0"/>
              <w:jc w:val="both"/>
              <w:rPr>
                <w:rFonts w:ascii="Sylfaen" w:hAnsi="Sylfaen"/>
                <w:b w:val="0"/>
                <w:sz w:val="24"/>
                <w:szCs w:val="24"/>
              </w:rPr>
            </w:pPr>
            <w:r w:rsidRPr="003B2786">
              <w:rPr>
                <w:rStyle w:val="Bodytext1811pt"/>
                <w:rFonts w:ascii="Sylfaen" w:hAnsi="Sylfaen"/>
                <w:sz w:val="24"/>
                <w:szCs w:val="24"/>
              </w:rPr>
              <w:lastRenderedPageBreak/>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5977FED9"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Գ. I.9-ն ընդգրկում է այն անասնաբուժական դեղապատրաստուկների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բժշկական կիրառման համար նախատեսված դեղապատրաստուկների դեղազգոնության գոյություն ունեցող համակարգի փոփոխությունները, որոնց համար GFSF չի ավելացվել:</w:t>
            </w:r>
          </w:p>
        </w:tc>
      </w:tr>
      <w:tr w:rsidR="008C76E0" w:rsidRPr="003B2786" w14:paraId="1D6ED49F" w14:textId="77777777" w:rsidTr="004A52D9">
        <w:trPr>
          <w:jc w:val="center"/>
        </w:trPr>
        <w:tc>
          <w:tcPr>
            <w:tcW w:w="2594" w:type="dxa"/>
            <w:gridSpan w:val="2"/>
            <w:tcBorders>
              <w:top w:val="single" w:sz="4" w:space="0" w:color="auto"/>
              <w:left w:val="single" w:sz="4" w:space="0" w:color="auto"/>
            </w:tcBorders>
            <w:shd w:val="clear" w:color="auto" w:fill="FFFFFF"/>
          </w:tcPr>
          <w:p w14:paraId="102F56B1" w14:textId="77777777" w:rsidR="008C76E0" w:rsidRPr="003B2786" w:rsidRDefault="008C76E0" w:rsidP="008C76E0">
            <w:pPr>
              <w:pStyle w:val="Bodytext180"/>
              <w:shd w:val="clear" w:color="auto" w:fill="auto"/>
              <w:spacing w:before="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 ա)-ի համար</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031D7DC6" w14:textId="77777777" w:rsidR="008C76E0" w:rsidRPr="003B2786" w:rsidRDefault="008C76E0" w:rsidP="008C76E0">
            <w:pPr>
              <w:pStyle w:val="Bodytext180"/>
              <w:shd w:val="clear" w:color="auto" w:fill="auto"/>
              <w:spacing w:before="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Դեղազգոնության հարցերով որակավորված անձի փոփոխությունները, ներառյալ՝ կոնտակտային տեղեկատվությունը (հեռախոսի </w:t>
            </w:r>
            <w:r w:rsidR="00C54D75">
              <w:rPr>
                <w:rStyle w:val="Bodytext1811pt"/>
                <w:rFonts w:ascii="Sylfaen" w:hAnsi="Sylfaen"/>
                <w:sz w:val="24"/>
                <w:szCs w:val="24"/>
              </w:rPr>
              <w:t>և</w:t>
            </w:r>
            <w:r w:rsidRPr="003B2786">
              <w:rPr>
                <w:rStyle w:val="Bodytext1811pt"/>
                <w:rFonts w:ascii="Sylfaen" w:hAnsi="Sylfaen"/>
                <w:sz w:val="24"/>
                <w:szCs w:val="24"/>
              </w:rPr>
              <w:t xml:space="preserve"> ֆաքսի համարները, փոստային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էլեկտրոնային փոստի հասցեն) թույլատրվում է թարմացնել բացառապես միասնական ռեեստրի միջոցով (առանց փոփոխություններ կատարելու անհրաժեշտության): Եթե ԳՀ-ի իրավատերը դիմում է վերոնշյալ տեղեկատվությունը միասնական ռեեստրի միջոցով թարմացնելու հնարավորությանը, ապա ԳՀ-ի իրավատերը պետք է գրանցման դոսյեում նշի, որ այդ տվյալների թարմացված տեղեկատվությունը ներառված է միասնական ռեեստրում:</w:t>
            </w:r>
          </w:p>
        </w:tc>
      </w:tr>
      <w:tr w:rsidR="008C76E0" w:rsidRPr="003B2786" w14:paraId="20A9EEFB" w14:textId="77777777" w:rsidTr="004A52D9">
        <w:trPr>
          <w:jc w:val="center"/>
        </w:trPr>
        <w:tc>
          <w:tcPr>
            <w:tcW w:w="2594" w:type="dxa"/>
            <w:gridSpan w:val="2"/>
            <w:tcBorders>
              <w:top w:val="single" w:sz="4" w:space="0" w:color="auto"/>
              <w:left w:val="single" w:sz="4" w:space="0" w:color="auto"/>
            </w:tcBorders>
            <w:shd w:val="clear" w:color="auto" w:fill="FFFFFF"/>
          </w:tcPr>
          <w:p w14:paraId="3FDF9A6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 բ)-ի համար</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003231B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ԴՀՄՆ-ի գնահատումը, որը ներկայացվել է որպես գրանցման (գրանցման ընդլայնման, փոփոխություն կատարելու) համար նոր դիմումի մաս, ազգային լիազորված մարմնի հարցմամբ կարող է հանգեցնել այդպիսի ԴՀՄՆ-ի փոփոխությունների: Այդ դեպքում նույնպիսի փոփոխություններ կարելի է նա</w:t>
            </w:r>
            <w:r w:rsidR="00C54D75">
              <w:rPr>
                <w:rStyle w:val="Bodytext1811pt"/>
                <w:rFonts w:ascii="Sylfaen" w:hAnsi="Sylfaen"/>
                <w:sz w:val="24"/>
                <w:szCs w:val="24"/>
              </w:rPr>
              <w:t>և</w:t>
            </w:r>
            <w:r w:rsidRPr="003B2786">
              <w:rPr>
                <w:rStyle w:val="Bodytext1811pt"/>
                <w:rFonts w:ascii="Sylfaen" w:hAnsi="Sylfaen"/>
                <w:sz w:val="24"/>
                <w:szCs w:val="24"/>
              </w:rPr>
              <w:t xml:space="preserve"> կատարել 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այլ դեղապատրաստուկների ԴՀՄՆ-ում՝ IA</w:t>
            </w:r>
            <w:r w:rsidRPr="003B2786">
              <w:rPr>
                <w:rStyle w:val="Bodytext18105pt"/>
                <w:rFonts w:ascii="Sylfaen" w:hAnsi="Sylfaen"/>
                <w:sz w:val="24"/>
                <w:szCs w:val="24"/>
                <w:vertAlign w:val="subscript"/>
              </w:rPr>
              <w:t xml:space="preserve">ԱՊ </w:t>
            </w:r>
            <w:r w:rsidRPr="003B2786">
              <w:rPr>
                <w:rStyle w:val="Bodytext1811pt"/>
                <w:rFonts w:ascii="Sylfaen" w:hAnsi="Sylfaen"/>
                <w:sz w:val="24"/>
                <w:szCs w:val="24"/>
              </w:rPr>
              <w:t>տիպի (խմբային) փոփոխություն ներկայացնելու միջոցով:</w:t>
            </w:r>
          </w:p>
        </w:tc>
      </w:tr>
      <w:tr w:rsidR="008C76E0" w:rsidRPr="003B2786" w14:paraId="443B753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241E130" w14:textId="77777777" w:rsidR="008C76E0" w:rsidRPr="008C76E0" w:rsidRDefault="008C76E0" w:rsidP="008C76E0">
            <w:pPr>
              <w:pStyle w:val="Bodytext180"/>
              <w:shd w:val="clear" w:color="auto" w:fill="auto"/>
              <w:tabs>
                <w:tab w:val="left" w:pos="119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Գ.I.10.</w:t>
            </w:r>
            <w:r w:rsidRPr="003B2786">
              <w:rPr>
                <w:rStyle w:val="Bodytext1811pt"/>
                <w:rFonts w:ascii="Sylfaen" w:hAnsi="Sylfaen"/>
                <w:sz w:val="24"/>
                <w:szCs w:val="24"/>
              </w:rPr>
              <w:tab/>
              <w:t xml:space="preserve">Բժշկական կիրառման համար նախատեսված դեղապատրաստուկների անվտանգության վերաբերյալ պարբերական հաշվետվությունը (ԱՊՀ) ներկայացնելու հաճախականության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ամսաթվի փոփոխությունը</w:t>
            </w:r>
          </w:p>
        </w:tc>
        <w:tc>
          <w:tcPr>
            <w:tcW w:w="1883" w:type="dxa"/>
            <w:gridSpan w:val="2"/>
            <w:tcBorders>
              <w:top w:val="single" w:sz="4" w:space="0" w:color="auto"/>
              <w:left w:val="single" w:sz="4" w:space="0" w:color="auto"/>
            </w:tcBorders>
            <w:shd w:val="clear" w:color="auto" w:fill="FFFFFF"/>
          </w:tcPr>
          <w:p w14:paraId="2468B3AC"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FC1A107"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224B77B1"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Ընթացակարգի տեսակը</w:t>
            </w:r>
          </w:p>
        </w:tc>
      </w:tr>
      <w:tr w:rsidR="008C76E0" w:rsidRPr="003B2786" w14:paraId="4AD0C6AC" w14:textId="77777777" w:rsidTr="004A52D9">
        <w:trPr>
          <w:jc w:val="center"/>
        </w:trPr>
        <w:tc>
          <w:tcPr>
            <w:tcW w:w="4984" w:type="dxa"/>
            <w:gridSpan w:val="4"/>
            <w:tcBorders>
              <w:top w:val="single" w:sz="4" w:space="0" w:color="auto"/>
              <w:left w:val="single" w:sz="4" w:space="0" w:color="auto"/>
            </w:tcBorders>
            <w:shd w:val="clear" w:color="auto" w:fill="FFFFFF"/>
          </w:tcPr>
          <w:p w14:paraId="380D0731"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6D9A37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660DCB4"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0CFFC26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653805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662A09B"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0B83845"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ԱՊՀ-ն ներկայացնելու հաճախականության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ամսաթվի փոփոխությունը համաձայնեցված է ազգային լիազորված մարմնի կողմից:</w:t>
            </w:r>
          </w:p>
        </w:tc>
      </w:tr>
      <w:tr w:rsidR="008C76E0" w:rsidRPr="003B2786" w14:paraId="03FC840B"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0C704CB3"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B3B2B7E"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համաձայնագրին:</w:t>
            </w:r>
          </w:p>
          <w:p w14:paraId="38007104"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ԱՊՀ-ը ներկայացնելու վերանայված հաճախականությունը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ամսաթիվը </w:t>
            </w:r>
          </w:p>
        </w:tc>
      </w:tr>
      <w:tr w:rsidR="008C76E0" w:rsidRPr="003B2786" w14:paraId="150EFF35" w14:textId="77777777" w:rsidTr="004A52D9">
        <w:trPr>
          <w:jc w:val="center"/>
        </w:trPr>
        <w:tc>
          <w:tcPr>
            <w:tcW w:w="2594" w:type="dxa"/>
            <w:gridSpan w:val="2"/>
            <w:tcBorders>
              <w:top w:val="single" w:sz="4" w:space="0" w:color="auto"/>
              <w:left w:val="single" w:sz="4" w:space="0" w:color="auto"/>
            </w:tcBorders>
            <w:shd w:val="clear" w:color="auto" w:fill="FFFFFF"/>
          </w:tcPr>
          <w:p w14:paraId="09624875"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1A82554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Տվյալ փոփոխությունը կիրառվում է միայն այն դեպքում, եթե ԱՊՀ-ի պարբերաշրջանը, Միության իրավունքի մաս կազմող ակտերին համապատասխան, հաշվետու ամսաթվերի ցանկին հղում անելուց </w:t>
            </w:r>
            <w:r w:rsidRPr="003B2786">
              <w:rPr>
                <w:rStyle w:val="Bodytext1811pt"/>
                <w:rFonts w:ascii="Sylfaen" w:hAnsi="Sylfaen"/>
                <w:sz w:val="24"/>
                <w:szCs w:val="24"/>
              </w:rPr>
              <w:lastRenderedPageBreak/>
              <w:t xml:space="preserve">տարբերվող եղանակներով նշված է գրանցման դոսյեում </w:t>
            </w:r>
            <w:r w:rsidR="00C54D75">
              <w:rPr>
                <w:rStyle w:val="Bodytext1811pt"/>
                <w:rFonts w:ascii="Sylfaen" w:hAnsi="Sylfaen"/>
                <w:sz w:val="24"/>
                <w:szCs w:val="24"/>
              </w:rPr>
              <w:t>և</w:t>
            </w:r>
            <w:r w:rsidRPr="003B2786">
              <w:rPr>
                <w:rStyle w:val="Bodytext1811pt"/>
                <w:rFonts w:ascii="Sylfaen" w:hAnsi="Sylfaen"/>
                <w:sz w:val="24"/>
                <w:szCs w:val="24"/>
              </w:rPr>
              <w:t xml:space="preserve"> ԱՊՀ-ն ներկայացնելու անհրաժեշտության դեպքում:</w:t>
            </w:r>
          </w:p>
        </w:tc>
      </w:tr>
      <w:tr w:rsidR="008C76E0" w:rsidRPr="003B2786" w14:paraId="6D4E9D7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614960"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Գ.I.11.</w:t>
            </w:r>
            <w:r w:rsidRPr="003B2786">
              <w:rPr>
                <w:rStyle w:val="Bodytext1811pt"/>
                <w:rFonts w:ascii="Sylfaen" w:hAnsi="Sylfaen"/>
                <w:sz w:val="24"/>
                <w:szCs w:val="24"/>
              </w:rPr>
              <w:tab/>
              <w:t xml:space="preserve">Գրանցման պարտավորությունների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պայմանների ներմուծումը կամ փոփոխությունները, ներառյալ՝ ռիսկերի կառավարման պլանը</w:t>
            </w:r>
          </w:p>
        </w:tc>
        <w:tc>
          <w:tcPr>
            <w:tcW w:w="1883" w:type="dxa"/>
            <w:gridSpan w:val="2"/>
            <w:tcBorders>
              <w:top w:val="single" w:sz="4" w:space="0" w:color="auto"/>
              <w:left w:val="single" w:sz="4" w:space="0" w:color="auto"/>
            </w:tcBorders>
            <w:shd w:val="clear" w:color="auto" w:fill="FFFFFF"/>
          </w:tcPr>
          <w:p w14:paraId="5E48DFC2"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CBD074B"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ACD9EB6"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09586E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FC7124"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լիազորված մարմնի կողմից համաձայնեցված ձ</w:t>
            </w:r>
            <w:r w:rsidR="00C54D75">
              <w:rPr>
                <w:rStyle w:val="Bodytext1811pt"/>
                <w:rFonts w:ascii="Sylfaen" w:hAnsi="Sylfaen"/>
                <w:sz w:val="24"/>
                <w:szCs w:val="24"/>
              </w:rPr>
              <w:t>և</w:t>
            </w:r>
            <w:r w:rsidRPr="003B2786">
              <w:rPr>
                <w:rStyle w:val="Bodytext1811pt"/>
                <w:rFonts w:ascii="Sylfaen" w:hAnsi="Sylfaen"/>
                <w:sz w:val="24"/>
                <w:szCs w:val="24"/>
              </w:rPr>
              <w:t>ակերպման իրականացումը</w:t>
            </w:r>
          </w:p>
        </w:tc>
        <w:tc>
          <w:tcPr>
            <w:tcW w:w="1883" w:type="dxa"/>
            <w:gridSpan w:val="2"/>
            <w:tcBorders>
              <w:top w:val="single" w:sz="4" w:space="0" w:color="auto"/>
              <w:left w:val="single" w:sz="4" w:space="0" w:color="auto"/>
            </w:tcBorders>
            <w:shd w:val="clear" w:color="auto" w:fill="FFFFFF"/>
          </w:tcPr>
          <w:p w14:paraId="1E8D5CD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302FEAE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3953028C"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3BB567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3654826"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այն փոփոխությունների իրականացումը, որոնք ԳՀ-ի իրավատիրոջից պահանջում են ներկայացնել նոր լրացուցիչ տվյալներ, որոնց համար լիազորված մարմնի կողմից փորձաքննության կարիք կա (*)</w:t>
            </w:r>
          </w:p>
        </w:tc>
        <w:tc>
          <w:tcPr>
            <w:tcW w:w="1883" w:type="dxa"/>
            <w:gridSpan w:val="2"/>
            <w:tcBorders>
              <w:top w:val="single" w:sz="4" w:space="0" w:color="auto"/>
              <w:left w:val="single" w:sz="4" w:space="0" w:color="auto"/>
            </w:tcBorders>
            <w:shd w:val="clear" w:color="auto" w:fill="FFFFFF"/>
          </w:tcPr>
          <w:p w14:paraId="1F8DB9CA" w14:textId="77777777" w:rsidR="008C76E0" w:rsidRPr="003B2786" w:rsidRDefault="008C76E0" w:rsidP="008C76E0">
            <w:pPr>
              <w:tabs>
                <w:tab w:val="left" w:pos="572"/>
              </w:tabs>
              <w:spacing w:after="0" w:line="288" w:lineRule="auto"/>
              <w:ind w:left="159" w:right="221"/>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B1D4803" w14:textId="77777777" w:rsidR="008C76E0" w:rsidRPr="003B2786" w:rsidRDefault="008C76E0" w:rsidP="008C76E0">
            <w:pPr>
              <w:tabs>
                <w:tab w:val="left" w:pos="572"/>
              </w:tabs>
              <w:spacing w:after="0" w:line="288" w:lineRule="auto"/>
              <w:ind w:left="159" w:right="221"/>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4D605575"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FFE300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4F057AA"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35FDF16"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Փոփոխությունն իրականացնում է լիազորված մարմնի կողմից պահանջված գործողությունը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չի պահանջում ներկայացնել լրացուցիչ տեղեկություններ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w:t>
            </w:r>
          </w:p>
        </w:tc>
      </w:tr>
      <w:tr w:rsidR="008C76E0" w:rsidRPr="003B2786" w14:paraId="7AB4FA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58538A2"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2DA929E"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համապատասխան որոշմանը:</w:t>
            </w:r>
          </w:p>
          <w:p w14:paraId="6637834C" w14:textId="77777777" w:rsidR="008C76E0" w:rsidRPr="003B2786"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C67D1BD" w14:textId="77777777" w:rsidTr="004A52D9">
        <w:trPr>
          <w:jc w:val="center"/>
        </w:trPr>
        <w:tc>
          <w:tcPr>
            <w:tcW w:w="2594" w:type="dxa"/>
            <w:gridSpan w:val="2"/>
            <w:tcBorders>
              <w:top w:val="single" w:sz="4" w:space="0" w:color="auto"/>
              <w:left w:val="single" w:sz="4" w:space="0" w:color="auto"/>
            </w:tcBorders>
            <w:shd w:val="clear" w:color="auto" w:fill="FFFFFF"/>
          </w:tcPr>
          <w:p w14:paraId="0C09AF1C"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6A8F7426"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Այդ փոփոխությունն ընդգրկում է միայն այն իրավիճակը, որում կատարվող փոփոխությունն առնչվում է բացառապես գրանցման պայմաններին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պարտավորություններին, ներառյալ՝ ռիսկերի կառավարման պլանը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(կամ) բացառիկ հանգամանքներում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պայմանական գրանցման դեպքում՝ գրանցումների պարտավորությունները:</w:t>
            </w:r>
          </w:p>
        </w:tc>
      </w:tr>
      <w:tr w:rsidR="008C76E0" w:rsidRPr="003B2786" w14:paraId="430E1E15" w14:textId="77777777" w:rsidTr="004A52D9">
        <w:trPr>
          <w:jc w:val="center"/>
        </w:trPr>
        <w:tc>
          <w:tcPr>
            <w:tcW w:w="2594" w:type="dxa"/>
            <w:gridSpan w:val="2"/>
            <w:tcBorders>
              <w:top w:val="single" w:sz="4" w:space="0" w:color="auto"/>
              <w:left w:val="single" w:sz="4" w:space="0" w:color="auto"/>
            </w:tcBorders>
            <w:shd w:val="clear" w:color="auto" w:fill="FFFFFF"/>
          </w:tcPr>
          <w:p w14:paraId="55E603C5"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NotBold"/>
                <w:rFonts w:ascii="Sylfaen" w:hAnsi="Sylfaen"/>
                <w:sz w:val="24"/>
                <w:szCs w:val="24"/>
              </w:rPr>
              <w:t>(*)</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742B7AA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Լիազորված մարմնի կողմից պահանջված ռիսկերի կառավարման պլանի ներմուծումը միշտ էական փորձաքննություն է պահանջում:</w:t>
            </w:r>
          </w:p>
        </w:tc>
      </w:tr>
      <w:tr w:rsidR="008C76E0" w:rsidRPr="003B2786" w14:paraId="268DB89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FA4E060"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Գ.I.12.</w:t>
            </w:r>
            <w:r w:rsidRPr="003B2786">
              <w:rPr>
                <w:rStyle w:val="Bodytext1811pt"/>
                <w:rFonts w:ascii="Sylfaen" w:hAnsi="Sylfaen"/>
                <w:sz w:val="24"/>
                <w:szCs w:val="24"/>
              </w:rPr>
              <w:tab/>
              <w:t>Ս</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պայմանանշանի կամ բացատրական նշումների ներմուծումը կամ բացառումն այն դեղապատրաստուկների առնչությամբ, որոնք ընդգրկված են լրացուցիչ դիտանցման ենթակա դեղապատրաստուկների ցանկում </w:t>
            </w:r>
          </w:p>
        </w:tc>
        <w:tc>
          <w:tcPr>
            <w:tcW w:w="1883" w:type="dxa"/>
            <w:gridSpan w:val="2"/>
            <w:tcBorders>
              <w:top w:val="single" w:sz="4" w:space="0" w:color="auto"/>
              <w:left w:val="single" w:sz="4" w:space="0" w:color="auto"/>
            </w:tcBorders>
            <w:shd w:val="clear" w:color="auto" w:fill="FFFFFF"/>
          </w:tcPr>
          <w:p w14:paraId="4340870F"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D8A2F88"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94E2928"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1A74FF1" w14:textId="77777777" w:rsidTr="004A52D9">
        <w:trPr>
          <w:jc w:val="center"/>
        </w:trPr>
        <w:tc>
          <w:tcPr>
            <w:tcW w:w="4984" w:type="dxa"/>
            <w:gridSpan w:val="4"/>
            <w:tcBorders>
              <w:top w:val="single" w:sz="4" w:space="0" w:color="auto"/>
              <w:left w:val="single" w:sz="4" w:space="0" w:color="auto"/>
            </w:tcBorders>
            <w:shd w:val="clear" w:color="auto" w:fill="FFFFFF"/>
          </w:tcPr>
          <w:p w14:paraId="25EEBF76"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333E67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91D197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3C674AA4"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4C4921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AB2ACA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395CC1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Դեղապատրաստուկը ներառվել կամ հանվել է (համապատասխանաբար) լրացուցիչ դիտանցման ենթակա դեղապատրաստուկների ցանկից:</w:t>
            </w:r>
          </w:p>
        </w:tc>
      </w:tr>
      <w:tr w:rsidR="008C76E0" w:rsidRPr="003B2786" w14:paraId="641970A5"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42615A4"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18E36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լրացուցիչ դիտանցման ենթակա դեղապատրաստուկների ցանկին:</w:t>
            </w:r>
          </w:p>
          <w:p w14:paraId="09D8FAC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7194DDC3" w14:textId="77777777" w:rsidTr="004A52D9">
        <w:trPr>
          <w:jc w:val="center"/>
        </w:trPr>
        <w:tc>
          <w:tcPr>
            <w:tcW w:w="2594" w:type="dxa"/>
            <w:gridSpan w:val="2"/>
            <w:tcBorders>
              <w:top w:val="single" w:sz="4" w:space="0" w:color="auto"/>
              <w:left w:val="single" w:sz="4" w:space="0" w:color="auto"/>
            </w:tcBorders>
            <w:shd w:val="clear" w:color="auto" w:fill="FFFFFF"/>
          </w:tcPr>
          <w:p w14:paraId="3F03474D" w14:textId="77777777" w:rsidR="008C76E0" w:rsidRPr="003B2786" w:rsidRDefault="008C76E0" w:rsidP="008C76E0">
            <w:pPr>
              <w:pStyle w:val="Bodytext180"/>
              <w:shd w:val="clear" w:color="auto" w:fill="auto"/>
              <w:tabs>
                <w:tab w:val="left" w:pos="589"/>
              </w:tabs>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7BD33B3F"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Տվյալ փոփոխությունն ընդգրկում է այն իրավիճակը, որում ս</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պայմանանշանի կամ բացատրական ցուցումների ներառումը կամ բացառումը չի կատարվում այլ կարգավորիչ ընթացակարգի (օրինակ` դեղապատրաստուկի մասին տեղեկատվությանն առնչվող երկարաձգելու կամ փոփոխելու ընթացակարգը) շրջանակներում:</w:t>
            </w:r>
          </w:p>
        </w:tc>
      </w:tr>
      <w:tr w:rsidR="008C76E0" w:rsidRPr="003B2786" w14:paraId="2C92EE4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70C8809" w14:textId="77777777" w:rsidR="008C76E0" w:rsidRPr="008C76E0" w:rsidRDefault="008C76E0" w:rsidP="008C76E0">
            <w:pPr>
              <w:pStyle w:val="Bodytext180"/>
              <w:shd w:val="clear" w:color="auto" w:fill="auto"/>
              <w:tabs>
                <w:tab w:val="left" w:pos="110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Գ.I.13.</w:t>
            </w:r>
            <w:r w:rsidRPr="003B2786">
              <w:rPr>
                <w:rStyle w:val="Bodytext1811pt"/>
                <w:rFonts w:ascii="Sylfaen" w:hAnsi="Sylfaen"/>
                <w:sz w:val="24"/>
                <w:szCs w:val="24"/>
              </w:rPr>
              <w:tab/>
              <w:t>Սույն լրացման մյուս բաժիններում չնկարագրված այլ փոփոխություններ, որոնք ներառում են հետազոտությունները լիազորված մարմնին ներկայացնելը (*)</w:t>
            </w:r>
          </w:p>
        </w:tc>
        <w:tc>
          <w:tcPr>
            <w:tcW w:w="1883" w:type="dxa"/>
            <w:gridSpan w:val="2"/>
            <w:tcBorders>
              <w:top w:val="single" w:sz="4" w:space="0" w:color="auto"/>
              <w:left w:val="single" w:sz="4" w:space="0" w:color="auto"/>
            </w:tcBorders>
            <w:shd w:val="clear" w:color="auto" w:fill="FFFFFF"/>
          </w:tcPr>
          <w:p w14:paraId="36CBA766"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DE1BDB6"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837B7CD"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45D4E0"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1BCC7D47"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0EEED1F5"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bottom w:val="single" w:sz="4" w:space="0" w:color="auto"/>
            </w:tcBorders>
            <w:shd w:val="clear" w:color="auto" w:fill="FFFFFF"/>
          </w:tcPr>
          <w:p w14:paraId="7AF94A37"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48A1123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7A253A3" w14:textId="77777777" w:rsidTr="004A52D9">
        <w:trPr>
          <w:jc w:val="center"/>
        </w:trPr>
        <w:tc>
          <w:tcPr>
            <w:tcW w:w="2594" w:type="dxa"/>
            <w:gridSpan w:val="2"/>
            <w:tcBorders>
              <w:top w:val="single" w:sz="4" w:space="0" w:color="auto"/>
              <w:left w:val="single" w:sz="4" w:space="0" w:color="auto"/>
            </w:tcBorders>
            <w:shd w:val="clear" w:color="auto" w:fill="FFFFFF"/>
          </w:tcPr>
          <w:p w14:paraId="200474FC"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6608B8B1" w14:textId="77777777" w:rsidR="008C76E0" w:rsidRPr="003B2786" w:rsidRDefault="008C76E0" w:rsidP="004A52D9">
            <w:pPr>
              <w:pStyle w:val="Bodytext180"/>
              <w:shd w:val="clear" w:color="auto" w:fill="auto"/>
              <w:spacing w:before="0" w:after="120" w:line="264" w:lineRule="auto"/>
              <w:ind w:left="159" w:right="221" w:firstLine="0"/>
              <w:jc w:val="both"/>
              <w:rPr>
                <w:rFonts w:ascii="Sylfaen" w:hAnsi="Sylfaen"/>
                <w:b w:val="0"/>
                <w:sz w:val="24"/>
                <w:szCs w:val="24"/>
              </w:rPr>
            </w:pPr>
            <w:r w:rsidRPr="003B2786">
              <w:rPr>
                <w:rStyle w:val="Bodytext1811pt"/>
                <w:rFonts w:ascii="Sylfaen" w:hAnsi="Sylfaen"/>
                <w:sz w:val="24"/>
                <w:szCs w:val="24"/>
              </w:rPr>
              <w:t>Եթե ներկայացված տվյալների փորձաքննությունը լիազոր մարմնի կողմից հանգեցնում է դեղապատրաստուկի ընդհանուր բնութագրի, մականշվածքի կամ ներդիր թերթիկի փոփոխությանը, ապա տվյալ փոփոխությանը ենթարկվում են դեղապատրաստուկի ընդհանուր բնութագրի, մականշվածքի կամ ներդիր թերթիկի համապատասխան ուղղումները:</w:t>
            </w:r>
          </w:p>
        </w:tc>
      </w:tr>
      <w:tr w:rsidR="008C76E0" w:rsidRPr="003B2786" w14:paraId="184A4E98" w14:textId="77777777" w:rsidTr="004A52D9">
        <w:trPr>
          <w:jc w:val="center"/>
        </w:trPr>
        <w:tc>
          <w:tcPr>
            <w:tcW w:w="2594" w:type="dxa"/>
            <w:gridSpan w:val="2"/>
            <w:tcBorders>
              <w:top w:val="single" w:sz="4" w:space="0" w:color="auto"/>
              <w:left w:val="single" w:sz="4" w:space="0" w:color="auto"/>
            </w:tcBorders>
            <w:shd w:val="clear" w:color="auto" w:fill="FFFFFF"/>
          </w:tcPr>
          <w:p w14:paraId="296F7F4A"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573031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Տվյալ փոփոխությունը չի կիրառվում այն փոփոխությունների դեպքում, որոնք կարող են ինքնաբերաբար ընդունվել որպես IB տիպի փոփոխություններ՝ սույն լրացման ցանկացած այլ բաժնին համապատասխան:</w:t>
            </w:r>
          </w:p>
        </w:tc>
      </w:tr>
      <w:tr w:rsidR="008C76E0" w:rsidRPr="003B2786" w14:paraId="5A229933" w14:textId="77777777" w:rsidTr="004A52D9">
        <w:trPr>
          <w:jc w:val="center"/>
        </w:trPr>
        <w:tc>
          <w:tcPr>
            <w:tcW w:w="10694" w:type="dxa"/>
            <w:gridSpan w:val="10"/>
            <w:tcBorders>
              <w:top w:val="single" w:sz="4" w:space="0" w:color="auto"/>
            </w:tcBorders>
            <w:shd w:val="clear" w:color="auto" w:fill="FFFFFF"/>
            <w:vAlign w:val="bottom"/>
          </w:tcPr>
          <w:p w14:paraId="75B5CA66"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05pt"/>
                <w:rFonts w:ascii="Sylfaen" w:hAnsi="Sylfaen"/>
                <w:sz w:val="24"/>
                <w:szCs w:val="24"/>
              </w:rPr>
              <w:t>Դ. ՊՄՖ (ՊՀՄՖ)</w:t>
            </w:r>
          </w:p>
        </w:tc>
      </w:tr>
      <w:tr w:rsidR="008C76E0" w:rsidRPr="003B2786" w14:paraId="2FA15F0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C5C13F6"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 1.</w:t>
            </w:r>
            <w:r w:rsidRPr="003B2786">
              <w:rPr>
                <w:rStyle w:val="Bodytext1811pt"/>
                <w:rFonts w:ascii="Sylfaen" w:hAnsi="Sylfaen"/>
                <w:sz w:val="24"/>
                <w:szCs w:val="24"/>
              </w:rPr>
              <w:tab/>
              <w:t xml:space="preserve">ՊՀՄՖ-ի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883" w:type="dxa"/>
            <w:gridSpan w:val="2"/>
            <w:tcBorders>
              <w:top w:val="single" w:sz="4" w:space="0" w:color="auto"/>
              <w:left w:val="single" w:sz="4" w:space="0" w:color="auto"/>
            </w:tcBorders>
            <w:shd w:val="clear" w:color="auto" w:fill="FFFFFF"/>
          </w:tcPr>
          <w:p w14:paraId="7376CDC8"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FC176F4"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BFD4DE0"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3022E2" w14:textId="77777777" w:rsidTr="004A52D9">
        <w:trPr>
          <w:jc w:val="center"/>
        </w:trPr>
        <w:tc>
          <w:tcPr>
            <w:tcW w:w="4984" w:type="dxa"/>
            <w:gridSpan w:val="4"/>
            <w:tcBorders>
              <w:top w:val="single" w:sz="4" w:space="0" w:color="auto"/>
              <w:left w:val="single" w:sz="4" w:space="0" w:color="auto"/>
            </w:tcBorders>
            <w:shd w:val="clear" w:color="auto" w:fill="FFFFFF"/>
          </w:tcPr>
          <w:p w14:paraId="5CC80C93"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1974C9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4628AA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736F342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5DD9F8E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2DB6F33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9D913F"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ՊՀՄՖ-ի հավաստագրի իրավատեր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100B657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E2F6A2D"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C08FE2A"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Պաշտոնական փաստաթուղթ՝ համապատասխան լիազորված մարմնի (օրինակ՝ հարկային մարմնի) կողմից, որում նշված է նոր անվանումը կամ հասցեն:</w:t>
            </w:r>
          </w:p>
        </w:tc>
      </w:tr>
      <w:tr w:rsidR="008C76E0" w:rsidRPr="003B2786" w14:paraId="089FBD0A" w14:textId="77777777" w:rsidTr="004A52D9">
        <w:trPr>
          <w:jc w:val="center"/>
        </w:trPr>
        <w:tc>
          <w:tcPr>
            <w:tcW w:w="4984" w:type="dxa"/>
            <w:gridSpan w:val="4"/>
            <w:tcBorders>
              <w:top w:val="single" w:sz="4" w:space="0" w:color="auto"/>
              <w:left w:val="single" w:sz="4" w:space="0" w:color="auto"/>
            </w:tcBorders>
            <w:shd w:val="clear" w:color="auto" w:fill="FFFFFF"/>
          </w:tcPr>
          <w:p w14:paraId="2040D975"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w:t>
            </w:r>
            <w:r w:rsidRPr="003B2786">
              <w:rPr>
                <w:rStyle w:val="Bodytext1811pt"/>
                <w:rFonts w:ascii="Sylfaen" w:hAnsi="Sylfaen"/>
                <w:sz w:val="24"/>
                <w:szCs w:val="24"/>
              </w:rPr>
              <w:tab/>
              <w:t xml:space="preserve">ՊՄՖ-ի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883" w:type="dxa"/>
            <w:gridSpan w:val="2"/>
            <w:tcBorders>
              <w:top w:val="single" w:sz="4" w:space="0" w:color="auto"/>
              <w:left w:val="single" w:sz="4" w:space="0" w:color="auto"/>
            </w:tcBorders>
            <w:shd w:val="clear" w:color="auto" w:fill="FFFFFF"/>
          </w:tcPr>
          <w:p w14:paraId="72E312B3"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C515BE2"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83EB483"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697391" w14:textId="77777777" w:rsidTr="004A52D9">
        <w:trPr>
          <w:jc w:val="center"/>
        </w:trPr>
        <w:tc>
          <w:tcPr>
            <w:tcW w:w="4984" w:type="dxa"/>
            <w:gridSpan w:val="4"/>
            <w:tcBorders>
              <w:top w:val="single" w:sz="4" w:space="0" w:color="auto"/>
              <w:left w:val="single" w:sz="4" w:space="0" w:color="auto"/>
            </w:tcBorders>
            <w:shd w:val="clear" w:color="auto" w:fill="FFFFFF"/>
          </w:tcPr>
          <w:p w14:paraId="7323EBFE" w14:textId="77777777" w:rsidR="008C76E0" w:rsidRPr="003B2786" w:rsidRDefault="008C76E0" w:rsidP="008C76E0">
            <w:pPr>
              <w:spacing w:after="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4421546D"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DB0BBD4"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02292E1"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2095994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7D83537E"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2271677"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ՊՄՖ-ի հավաստագրի իրավատեր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7F72F76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26267F5B"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DF086DF"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Պաշտոնական փաստաթուղթ՝ համապատասխան լիազորված մարմնի (օրինակ՝ հարկային մարմնի) կողմից, որում նշված է նոր անվանումը կամ հասցեն:</w:t>
            </w:r>
          </w:p>
        </w:tc>
      </w:tr>
      <w:tr w:rsidR="008C76E0" w:rsidRPr="003B2786" w14:paraId="613E6C1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88ABEFA"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Դ.3.</w:t>
            </w:r>
            <w:r w:rsidRPr="003B2786">
              <w:rPr>
                <w:rStyle w:val="Bodytext1811pt"/>
                <w:rFonts w:ascii="Sylfaen" w:hAnsi="Sylfaen"/>
                <w:sz w:val="24"/>
                <w:szCs w:val="24"/>
              </w:rPr>
              <w:tab/>
              <w:t>ՊՄՖ-ի հավաստագրի ընթացիկ իրավատիրոջ փոփոխությունը կամ փոխանցումը ՊՄՖ-ի սերտիֆիկատի նոր իրավատիրոջ, այսինքն՝ այլ իրավաբանական անձի</w:t>
            </w:r>
          </w:p>
        </w:tc>
        <w:tc>
          <w:tcPr>
            <w:tcW w:w="1883" w:type="dxa"/>
            <w:gridSpan w:val="2"/>
            <w:tcBorders>
              <w:top w:val="single" w:sz="4" w:space="0" w:color="auto"/>
              <w:left w:val="single" w:sz="4" w:space="0" w:color="auto"/>
            </w:tcBorders>
            <w:shd w:val="clear" w:color="auto" w:fill="FFFFFF"/>
          </w:tcPr>
          <w:p w14:paraId="7DCD6771"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C06462C"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7BEE405"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C7B5CA6" w14:textId="77777777" w:rsidTr="004A52D9">
        <w:trPr>
          <w:jc w:val="center"/>
        </w:trPr>
        <w:tc>
          <w:tcPr>
            <w:tcW w:w="4984" w:type="dxa"/>
            <w:gridSpan w:val="4"/>
            <w:tcBorders>
              <w:top w:val="single" w:sz="4" w:space="0" w:color="auto"/>
              <w:left w:val="single" w:sz="4" w:space="0" w:color="auto"/>
            </w:tcBorders>
            <w:shd w:val="clear" w:color="auto" w:fill="FFFFFF"/>
          </w:tcPr>
          <w:p w14:paraId="32C53A6C" w14:textId="77777777" w:rsidR="008C76E0" w:rsidRPr="003B2786" w:rsidRDefault="008C76E0" w:rsidP="008C76E0">
            <w:pPr>
              <w:spacing w:after="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35EFE13"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E460B9F"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1, 2, 3, 4, 5, 6</w:t>
            </w:r>
          </w:p>
        </w:tc>
        <w:tc>
          <w:tcPr>
            <w:tcW w:w="1843" w:type="dxa"/>
            <w:gridSpan w:val="2"/>
            <w:tcBorders>
              <w:top w:val="single" w:sz="4" w:space="0" w:color="auto"/>
              <w:left w:val="single" w:sz="4" w:space="0" w:color="auto"/>
              <w:right w:val="single" w:sz="4" w:space="0" w:color="auto"/>
            </w:tcBorders>
            <w:shd w:val="clear" w:color="auto" w:fill="FFFFFF"/>
          </w:tcPr>
          <w:p w14:paraId="6038C21B"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52B19438"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239E3A27"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829A8BD" w14:textId="77777777" w:rsidR="008C76E0" w:rsidRPr="008C76E0" w:rsidRDefault="008C76E0" w:rsidP="00F66329">
            <w:pPr>
              <w:pStyle w:val="Bodytext180"/>
              <w:shd w:val="clear" w:color="auto" w:fill="auto"/>
              <w:tabs>
                <w:tab w:val="left" w:pos="53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Փաստաթուղթը, ներառյալ՝ ՊՄՖ-ի ընթացիկ իրավատիրոջ (իրավունքը օտարող անձի) նույնականացումը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այն անձի (իրավունք ձեռք բերող անձի) նույնականացումը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որն ընդունում է փոխանցումը,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երկու ընկերությունների կողմից ստորագրված գործարքի առաջարկվող ամսաթիվը:</w:t>
            </w:r>
          </w:p>
          <w:p w14:paraId="413B0179" w14:textId="77777777" w:rsidR="008C76E0" w:rsidRPr="008C76E0" w:rsidRDefault="008C76E0" w:rsidP="00F66329">
            <w:pPr>
              <w:pStyle w:val="Bodytext180"/>
              <w:shd w:val="clear" w:color="auto" w:fill="auto"/>
              <w:tabs>
                <w:tab w:val="left" w:pos="53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ՊՄՖ-ի հավաստագրի վերջին էջի պատճենը՝ «Պլազմայի մաստեր-ֆայլի (ՊՄՖ)՝ Միության օրենսդրությանը համապատասխանության սերտիֆիկատը»:</w:t>
            </w:r>
          </w:p>
          <w:p w14:paraId="0FB45C3F"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Երկու ընկերությունների կողմից ստորագրված՝ նոր իրավատիրոջ գրանցման հաստատումը (քաղվածք՝ իրավաբանական անձանց ռեեստրից, </w:t>
            </w:r>
            <w:r w:rsidR="00C54D75">
              <w:rPr>
                <w:rStyle w:val="Bodytext1811pt"/>
                <w:rFonts w:ascii="Sylfaen" w:hAnsi="Sylfaen"/>
                <w:sz w:val="24"/>
                <w:szCs w:val="24"/>
              </w:rPr>
              <w:t>և</w:t>
            </w:r>
            <w:r w:rsidRPr="003B2786">
              <w:rPr>
                <w:rStyle w:val="Bodytext1811pt"/>
                <w:rFonts w:ascii="Sylfaen" w:hAnsi="Sylfaen"/>
                <w:sz w:val="24"/>
                <w:szCs w:val="24"/>
              </w:rPr>
              <w:t xml:space="preserve"> դրա ռուսերեն թարգմանությունը):</w:t>
            </w:r>
          </w:p>
          <w:p w14:paraId="154395D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ՊՄՖ-ի առաջին հավաստագրումից ՊՄՖ-ի բոլոր փաստաթղթերի՝ իրավունք ձեռք բերող անձին փոխանցման հաստատումը՝ ստորագրված երկու ընկերությունների կողմից:</w:t>
            </w:r>
          </w:p>
          <w:p w14:paraId="5CD7E804"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Իրավունք ձեռք բերող անձի կողմից ստորագրված լիազորագիրը, ներառյալ՝ այն անձի կոնտակտային տեղեկությունները, որը պատասխանատու է լիազորված մարմնի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իրավատիրոջ միջ</w:t>
            </w:r>
            <w:r w:rsidR="00C54D75">
              <w:rPr>
                <w:rStyle w:val="Bodytext1811pt"/>
                <w:rFonts w:ascii="Sylfaen" w:hAnsi="Sylfaen"/>
                <w:sz w:val="24"/>
                <w:szCs w:val="24"/>
              </w:rPr>
              <w:t>և</w:t>
            </w:r>
            <w:r w:rsidRPr="003B2786">
              <w:rPr>
                <w:rStyle w:val="Bodytext1811pt"/>
                <w:rFonts w:ascii="Sylfaen" w:hAnsi="Sylfaen"/>
                <w:sz w:val="24"/>
                <w:szCs w:val="24"/>
              </w:rPr>
              <w:t xml:space="preserve"> կապի համար:</w:t>
            </w:r>
          </w:p>
          <w:p w14:paraId="61ECC0E9"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Իրավունք ձեռք բերող անձի կողմից ստորագրված նամակ-պարտավորագիրը՝ բոլոր անկատար </w:t>
            </w:r>
            <w:r w:rsidR="00C54D75">
              <w:rPr>
                <w:rStyle w:val="Bodytext1811pt"/>
                <w:rFonts w:ascii="Sylfaen" w:hAnsi="Sylfaen"/>
                <w:sz w:val="24"/>
                <w:szCs w:val="24"/>
              </w:rPr>
              <w:t>և</w:t>
            </w:r>
            <w:r w:rsidRPr="003B2786">
              <w:rPr>
                <w:rStyle w:val="Bodytext1811pt"/>
                <w:rFonts w:ascii="Sylfaen" w:hAnsi="Sylfaen"/>
                <w:sz w:val="24"/>
                <w:szCs w:val="24"/>
              </w:rPr>
              <w:t xml:space="preserve"> մնացած պարտավորությունների կատարման վերաբերյալ (առկայության դեպքում):</w:t>
            </w:r>
          </w:p>
        </w:tc>
      </w:tr>
      <w:tr w:rsidR="008C76E0" w:rsidRPr="003B2786" w14:paraId="36E2CA5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18FFF90"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Դ.4.</w:t>
            </w:r>
            <w:r w:rsidRPr="003B2786">
              <w:rPr>
                <w:rStyle w:val="Bodytext1811pt"/>
                <w:rFonts w:ascii="Sylfaen" w:hAnsi="Sylfaen"/>
                <w:sz w:val="24"/>
                <w:szCs w:val="24"/>
              </w:rPr>
              <w:tab/>
              <w:t xml:space="preserve">Արյան հաստատությունների, ներառյալ՝ արյան (պլազմայի) հավաքագրման կենտրոնների անվանումների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հասցեների </w:t>
            </w:r>
            <w:r w:rsidRPr="003B2786">
              <w:rPr>
                <w:rStyle w:val="Bodytext1811pt"/>
                <w:rFonts w:ascii="Sylfaen" w:hAnsi="Sylfaen"/>
                <w:sz w:val="24"/>
                <w:szCs w:val="24"/>
              </w:rPr>
              <w:lastRenderedPageBreak/>
              <w:t>փոփոխությունը</w:t>
            </w:r>
          </w:p>
        </w:tc>
        <w:tc>
          <w:tcPr>
            <w:tcW w:w="1883" w:type="dxa"/>
            <w:gridSpan w:val="2"/>
            <w:tcBorders>
              <w:top w:val="single" w:sz="4" w:space="0" w:color="auto"/>
              <w:left w:val="single" w:sz="4" w:space="0" w:color="auto"/>
            </w:tcBorders>
            <w:shd w:val="clear" w:color="auto" w:fill="FFFFFF"/>
          </w:tcPr>
          <w:p w14:paraId="0C4BFB47"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59F37C9A"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D0012EC"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17B227" w14:textId="77777777" w:rsidTr="004A52D9">
        <w:trPr>
          <w:jc w:val="center"/>
        </w:trPr>
        <w:tc>
          <w:tcPr>
            <w:tcW w:w="4984" w:type="dxa"/>
            <w:gridSpan w:val="4"/>
            <w:tcBorders>
              <w:top w:val="single" w:sz="4" w:space="0" w:color="auto"/>
              <w:left w:val="single" w:sz="4" w:space="0" w:color="auto"/>
            </w:tcBorders>
            <w:shd w:val="clear" w:color="auto" w:fill="FFFFFF"/>
          </w:tcPr>
          <w:p w14:paraId="357946F2"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8A3758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1DF833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76B8EAE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04FC36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B1A48A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A62EBC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Արյան հաստատությունը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p w14:paraId="3FFB8CA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պետք է լինի վարչական (օրինակ` միաձուլում, կլանում). արյան հաստատության (պլազմայի հավաքագրման կենտրոնի) անվանման փոփոխությունը՝ արյան հաստատության անփոփոխության դեպքում:</w:t>
            </w:r>
          </w:p>
        </w:tc>
      </w:tr>
      <w:tr w:rsidR="008C76E0" w:rsidRPr="003B2786" w14:paraId="3B02468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F080CFF"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2E796E2" w14:textId="4107E7E3"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Ստորագրված</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փոփոխությունը չի ներառում արյան հաստատության որակի համակարգի փոփոխությունը:</w:t>
            </w:r>
          </w:p>
          <w:p w14:paraId="39944CDF" w14:textId="2C51585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Ստորագրված</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հավաքագրման կենտրոնների ցանկի փոփոխություն տեղի չի ունենում:</w:t>
            </w:r>
          </w:p>
          <w:p w14:paraId="0955C8BA"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150F82E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157D93E" w14:textId="77777777" w:rsidR="008C76E0" w:rsidRPr="008C76E0" w:rsidRDefault="008C76E0" w:rsidP="008C76E0">
            <w:pPr>
              <w:pStyle w:val="Bodytext180"/>
              <w:shd w:val="clear" w:color="auto" w:fill="auto"/>
              <w:tabs>
                <w:tab w:val="left" w:pos="556"/>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Դ.5.</w:t>
            </w:r>
            <w:r w:rsidRPr="003B2786">
              <w:rPr>
                <w:rStyle w:val="Bodytext1811pt"/>
                <w:rFonts w:ascii="Sylfaen" w:hAnsi="Sylfaen"/>
                <w:sz w:val="24"/>
                <w:szCs w:val="24"/>
              </w:rPr>
              <w:tab/>
              <w:t>ՊՄՖ-ի մեջ ներառված արյան հաստատության շրջանակներում արյան (պլազմայի) հավաքագրման կենտրոնի փոխարինումը կամ ավելացումը</w:t>
            </w:r>
          </w:p>
        </w:tc>
        <w:tc>
          <w:tcPr>
            <w:tcW w:w="1883" w:type="dxa"/>
            <w:gridSpan w:val="2"/>
            <w:tcBorders>
              <w:top w:val="single" w:sz="4" w:space="0" w:color="auto"/>
              <w:left w:val="single" w:sz="4" w:space="0" w:color="auto"/>
            </w:tcBorders>
            <w:shd w:val="clear" w:color="auto" w:fill="FFFFFF"/>
          </w:tcPr>
          <w:p w14:paraId="02360E92"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ED9B1DB" w14:textId="77777777" w:rsidR="008C76E0" w:rsidRPr="003B2786" w:rsidRDefault="008C76E0" w:rsidP="008C76E0">
            <w:pPr>
              <w:pStyle w:val="Bodytext180"/>
              <w:shd w:val="clear" w:color="auto" w:fill="auto"/>
              <w:spacing w:before="0" w:after="12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0890EF4"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A7297F5" w14:textId="77777777" w:rsidTr="004A52D9">
        <w:trPr>
          <w:jc w:val="center"/>
        </w:trPr>
        <w:tc>
          <w:tcPr>
            <w:tcW w:w="4984" w:type="dxa"/>
            <w:gridSpan w:val="4"/>
            <w:tcBorders>
              <w:top w:val="single" w:sz="4" w:space="0" w:color="auto"/>
              <w:left w:val="single" w:sz="4" w:space="0" w:color="auto"/>
            </w:tcBorders>
            <w:shd w:val="clear" w:color="auto" w:fill="FFFFFF"/>
          </w:tcPr>
          <w:p w14:paraId="0F1CBC38" w14:textId="77777777" w:rsidR="008C76E0" w:rsidRPr="003B2786" w:rsidRDefault="008C76E0" w:rsidP="008C76E0">
            <w:pPr>
              <w:spacing w:after="120" w:line="264" w:lineRule="auto"/>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6D78F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EC5DC7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37A89BE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0A138B4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93C6911"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D97B3EE" w14:textId="49811EF4" w:rsidR="008C76E0" w:rsidRPr="008C76E0" w:rsidRDefault="008C76E0" w:rsidP="008C76E0">
            <w:pPr>
              <w:pStyle w:val="Bodytext180"/>
              <w:shd w:val="clear" w:color="auto" w:fill="auto"/>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Վիրուսային մարկերների մասին համաճարակաբանական տվյալները, որոնք առնչվում են արյան (պլազմայի) հավաքագրման կենտրոնին </w:t>
            </w:r>
            <w:r w:rsidR="00C54D75">
              <w:rPr>
                <w:rStyle w:val="Bodytext1811pt"/>
                <w:rFonts w:ascii="Sylfaen" w:hAnsi="Sylfaen"/>
                <w:sz w:val="24"/>
                <w:szCs w:val="24"/>
              </w:rPr>
              <w:t>և</w:t>
            </w:r>
            <w:r w:rsidRPr="003B2786">
              <w:rPr>
                <w:rStyle w:val="Bodytext1811pt"/>
                <w:rFonts w:ascii="Sylfaen" w:hAnsi="Sylfaen"/>
                <w:sz w:val="24"/>
                <w:szCs w:val="24"/>
              </w:rPr>
              <w:t xml:space="preserve"> ընդգրկում են 3 տարվա կտրվածք: Վերաբացված կենտրոնի (կենտրոնների) առնչությամբ կամ տվյալների բացակայության դեպքում՝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համաճարակաբանական տվյալները կներկայացվեն հերթական տարեկան թարմացված տարբերակով:</w:t>
            </w:r>
          </w:p>
          <w:p w14:paraId="5FDE6396"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Նշում այն մասին, որ կենտրոնը գործում է այն նույն պայմաններում, ինչ այլ կենտրոններ, որոնք պատկանում են արյան հաստատությանը՝ համաձայն արյան հաստատության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իրավատիրոջ միջ</w:t>
            </w:r>
            <w:r w:rsidR="00C54D75">
              <w:rPr>
                <w:rStyle w:val="Bodytext1811pt"/>
                <w:rFonts w:ascii="Sylfaen" w:hAnsi="Sylfaen"/>
                <w:sz w:val="24"/>
                <w:szCs w:val="24"/>
              </w:rPr>
              <w:t>և</w:t>
            </w:r>
            <w:r w:rsidRPr="003B2786">
              <w:rPr>
                <w:rStyle w:val="Bodytext1811pt"/>
                <w:rFonts w:ascii="Sylfaen" w:hAnsi="Sylfaen"/>
                <w:sz w:val="24"/>
                <w:szCs w:val="24"/>
              </w:rPr>
              <w:t xml:space="preserve"> ստանդարտ պայմանագրի դրույթների:</w:t>
            </w:r>
          </w:p>
          <w:p w14:paraId="719F5F2F"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7FDE13B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AD310B7"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Դ.6.</w:t>
            </w:r>
            <w:r w:rsidRPr="003B2786">
              <w:rPr>
                <w:rStyle w:val="Bodytext1811pt"/>
                <w:rFonts w:ascii="Sylfaen" w:hAnsi="Sylfaen"/>
                <w:sz w:val="24"/>
                <w:szCs w:val="24"/>
              </w:rPr>
              <w:tab/>
              <w:t xml:space="preserve">Արյան (պլազմայի) հավաքագրման կամ արյան կամ պլազմայի հանձնման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պուլերի փորձարկման համար օգտագործվող արյան (գործող կամ չգործող) հաստատությունների (կենտրոնների) կարգավիճակի բացառումը կամ փոփոխությունը </w:t>
            </w:r>
          </w:p>
        </w:tc>
        <w:tc>
          <w:tcPr>
            <w:tcW w:w="1883" w:type="dxa"/>
            <w:gridSpan w:val="2"/>
            <w:tcBorders>
              <w:top w:val="single" w:sz="4" w:space="0" w:color="auto"/>
              <w:left w:val="single" w:sz="4" w:space="0" w:color="auto"/>
            </w:tcBorders>
            <w:shd w:val="clear" w:color="auto" w:fill="FFFFFF"/>
          </w:tcPr>
          <w:p w14:paraId="7E3501D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2955CC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714B12E"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C1ABF49" w14:textId="77777777" w:rsidTr="004A52D9">
        <w:trPr>
          <w:jc w:val="center"/>
        </w:trPr>
        <w:tc>
          <w:tcPr>
            <w:tcW w:w="4984" w:type="dxa"/>
            <w:gridSpan w:val="4"/>
            <w:tcBorders>
              <w:top w:val="single" w:sz="4" w:space="0" w:color="auto"/>
              <w:left w:val="single" w:sz="4" w:space="0" w:color="auto"/>
            </w:tcBorders>
            <w:shd w:val="clear" w:color="auto" w:fill="FFFFFF"/>
          </w:tcPr>
          <w:p w14:paraId="05A743CD"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7CE0CDB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5741A35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0C23951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2A6F32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9293501"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CE326E6"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Կարգավիճակի բացառման կամ փոփոխության պատճառները չպետք է պայմանավորված լինեն GMP-ի հետ կապված խնդիրներով:</w:t>
            </w:r>
          </w:p>
          <w:p w14:paraId="315846F5"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Հաստատությունները (կենտրոնները) պետք է համապատասխանեն տեսչական օրենսդրությանը՝ կարգավիճակը չգործողից գործողի փոփոխելու դեպքում:</w:t>
            </w:r>
          </w:p>
        </w:tc>
      </w:tr>
      <w:tr w:rsidR="008C76E0" w:rsidRPr="003B2786" w14:paraId="24101644"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9CB0A50"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7D579585"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579D3BF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832E76D"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Դ.7.</w:t>
            </w:r>
            <w:r w:rsidRPr="003B2786">
              <w:rPr>
                <w:rStyle w:val="Bodytext1811pt"/>
                <w:rFonts w:ascii="Sylfaen" w:hAnsi="Sylfaen"/>
                <w:sz w:val="24"/>
                <w:szCs w:val="24"/>
              </w:rPr>
              <w:tab/>
              <w:t>Արյան նոր հաստատության ներառումը՝ ՊՄՖ-ի մեջ չներառված արյան (պլազմայի) հավաքագրման նպատակով</w:t>
            </w:r>
          </w:p>
        </w:tc>
        <w:tc>
          <w:tcPr>
            <w:tcW w:w="1883" w:type="dxa"/>
            <w:gridSpan w:val="2"/>
            <w:tcBorders>
              <w:top w:val="single" w:sz="4" w:space="0" w:color="auto"/>
              <w:left w:val="single" w:sz="4" w:space="0" w:color="auto"/>
            </w:tcBorders>
            <w:shd w:val="clear" w:color="auto" w:fill="FFFFFF"/>
          </w:tcPr>
          <w:p w14:paraId="73E50754"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4570D57" w14:textId="77777777" w:rsidR="008C76E0" w:rsidRPr="003B2786" w:rsidRDefault="008C76E0" w:rsidP="008C76E0">
            <w:pPr>
              <w:pStyle w:val="Bodytext180"/>
              <w:shd w:val="clear" w:color="auto" w:fill="auto"/>
              <w:spacing w:before="0" w:after="12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AA784C5"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EABE93" w14:textId="77777777" w:rsidTr="004A52D9">
        <w:trPr>
          <w:jc w:val="center"/>
        </w:trPr>
        <w:tc>
          <w:tcPr>
            <w:tcW w:w="4984" w:type="dxa"/>
            <w:gridSpan w:val="4"/>
            <w:tcBorders>
              <w:top w:val="single" w:sz="4" w:space="0" w:color="auto"/>
              <w:left w:val="single" w:sz="4" w:space="0" w:color="auto"/>
            </w:tcBorders>
            <w:shd w:val="clear" w:color="auto" w:fill="FFFFFF"/>
          </w:tcPr>
          <w:p w14:paraId="4611D6EF" w14:textId="77777777" w:rsidR="008C76E0" w:rsidRPr="003B2786" w:rsidRDefault="008C76E0" w:rsidP="008C76E0">
            <w:pPr>
              <w:spacing w:after="120" w:line="288" w:lineRule="auto"/>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356F59C1"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BD30D2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AACEC1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24E659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69DBD0F" w14:textId="77777777" w:rsidR="008C76E0" w:rsidRPr="008C76E0" w:rsidRDefault="008C76E0" w:rsidP="008C76E0">
            <w:pPr>
              <w:pStyle w:val="Bodytext180"/>
              <w:shd w:val="clear" w:color="auto" w:fill="auto"/>
              <w:tabs>
                <w:tab w:val="left" w:pos="53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Դ.8.</w:t>
            </w:r>
            <w:r w:rsidRPr="003B2786">
              <w:rPr>
                <w:rStyle w:val="Bodytext1811pt"/>
                <w:rFonts w:ascii="Sylfaen" w:hAnsi="Sylfaen"/>
                <w:sz w:val="24"/>
                <w:szCs w:val="24"/>
              </w:rPr>
              <w:tab/>
              <w:t xml:space="preserve">Արյան նոր կենտրոնի փոխարինումը կամ ներառումը՝ ՊՄՖ-ի մեջ ներառված հաստատության շրջանակներում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պլազմայի պուլերի դոնացիաների փորձարկման նպատակով </w:t>
            </w:r>
          </w:p>
        </w:tc>
        <w:tc>
          <w:tcPr>
            <w:tcW w:w="1883" w:type="dxa"/>
            <w:gridSpan w:val="2"/>
            <w:tcBorders>
              <w:top w:val="single" w:sz="4" w:space="0" w:color="auto"/>
              <w:left w:val="single" w:sz="4" w:space="0" w:color="auto"/>
            </w:tcBorders>
            <w:shd w:val="clear" w:color="auto" w:fill="FFFFFF"/>
          </w:tcPr>
          <w:p w14:paraId="2C6AB002"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3EF021D" w14:textId="77777777" w:rsidR="008C76E0" w:rsidRPr="003B2786" w:rsidRDefault="008C76E0" w:rsidP="008B6709">
            <w:pPr>
              <w:pStyle w:val="Bodytext180"/>
              <w:shd w:val="clear" w:color="auto" w:fill="auto"/>
              <w:spacing w:before="0" w:after="120" w:line="240" w:lineRule="auto"/>
              <w:ind w:left="31" w:right="-5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330CDA7" w14:textId="77777777" w:rsidR="008C76E0" w:rsidRPr="003B2786" w:rsidRDefault="008C76E0" w:rsidP="008B6709">
            <w:pPr>
              <w:pStyle w:val="Bodytext180"/>
              <w:shd w:val="clear" w:color="auto" w:fill="auto"/>
              <w:spacing w:before="0" w:after="120" w:line="240" w:lineRule="auto"/>
              <w:ind w:left="3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A4C5E4B"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649B6D13"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39B46657"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58C6FBC9"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64B6223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Fonts w:ascii="Sylfaen" w:hAnsi="Sylfaen"/>
                <w:b w:val="0"/>
                <w:sz w:val="24"/>
                <w:szCs w:val="24"/>
              </w:rPr>
              <w:t>IB</w:t>
            </w:r>
          </w:p>
        </w:tc>
      </w:tr>
      <w:tr w:rsidR="008C76E0" w:rsidRPr="003B2786" w14:paraId="1CD6D1B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ECA3ED0"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FD863B0"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Նշում այն մասին, որ փորձարկումներն անցկացվում են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հաստատված ՍԳԸ-ի </w:t>
            </w:r>
            <w:r w:rsidR="00C54D75">
              <w:rPr>
                <w:rStyle w:val="Bodytext1811pt"/>
                <w:rFonts w:ascii="Sylfaen" w:hAnsi="Sylfaen"/>
                <w:sz w:val="24"/>
                <w:szCs w:val="24"/>
              </w:rPr>
              <w:t>և</w:t>
            </w:r>
            <w:r w:rsidRPr="003B2786">
              <w:rPr>
                <w:rStyle w:val="Bodytext1811pt"/>
                <w:rFonts w:ascii="Sylfaen" w:hAnsi="Sylfaen"/>
                <w:sz w:val="24"/>
                <w:szCs w:val="24"/>
              </w:rPr>
              <w:t xml:space="preserve"> (կամ) փորձարկումների մեթոդների համաձայն:</w:t>
            </w:r>
          </w:p>
          <w:p w14:paraId="3B7544A2"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740DAE5E" w14:textId="77777777" w:rsidTr="004A52D9">
        <w:trPr>
          <w:jc w:val="center"/>
        </w:trPr>
        <w:tc>
          <w:tcPr>
            <w:tcW w:w="4984" w:type="dxa"/>
            <w:gridSpan w:val="4"/>
            <w:tcBorders>
              <w:top w:val="single" w:sz="4" w:space="0" w:color="auto"/>
              <w:left w:val="single" w:sz="4" w:space="0" w:color="auto"/>
            </w:tcBorders>
            <w:shd w:val="clear" w:color="auto" w:fill="FFFFFF"/>
          </w:tcPr>
          <w:p w14:paraId="78376124"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Դ.9.</w:t>
            </w:r>
            <w:r w:rsidRPr="003B2786">
              <w:rPr>
                <w:rStyle w:val="Bodytext1811pt"/>
                <w:rFonts w:ascii="Sylfaen" w:hAnsi="Sylfaen"/>
                <w:sz w:val="24"/>
                <w:szCs w:val="24"/>
              </w:rPr>
              <w:tab/>
              <w:t xml:space="preserve">ՊՄՖ-ի մեջ չներառված արյան նոր հաստատության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պլազմայի պուլերի դոնացիաների փորձարկումների համար </w:t>
            </w:r>
          </w:p>
        </w:tc>
        <w:tc>
          <w:tcPr>
            <w:tcW w:w="1883" w:type="dxa"/>
            <w:gridSpan w:val="2"/>
            <w:tcBorders>
              <w:top w:val="single" w:sz="4" w:space="0" w:color="auto"/>
              <w:left w:val="single" w:sz="4" w:space="0" w:color="auto"/>
            </w:tcBorders>
            <w:shd w:val="clear" w:color="auto" w:fill="FFFFFF"/>
          </w:tcPr>
          <w:p w14:paraId="7F96AD37"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2802305" w14:textId="77777777" w:rsidR="008C76E0" w:rsidRPr="003B2786" w:rsidRDefault="008C76E0" w:rsidP="00721A6C">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8CC6364" w14:textId="77777777" w:rsidR="008C76E0" w:rsidRPr="003B2786" w:rsidRDefault="008C76E0" w:rsidP="00721A6C">
            <w:pPr>
              <w:pStyle w:val="Bodytext180"/>
              <w:shd w:val="clear" w:color="auto" w:fill="auto"/>
              <w:spacing w:before="0" w:line="240" w:lineRule="auto"/>
              <w:ind w:left="13" w:right="1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275F79" w14:textId="77777777" w:rsidTr="004A52D9">
        <w:trPr>
          <w:jc w:val="center"/>
        </w:trPr>
        <w:tc>
          <w:tcPr>
            <w:tcW w:w="4984" w:type="dxa"/>
            <w:gridSpan w:val="4"/>
            <w:tcBorders>
              <w:top w:val="single" w:sz="4" w:space="0" w:color="auto"/>
              <w:left w:val="single" w:sz="4" w:space="0" w:color="auto"/>
            </w:tcBorders>
            <w:shd w:val="clear" w:color="auto" w:fill="FFFFFF"/>
          </w:tcPr>
          <w:p w14:paraId="4BE75172"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42C61A7"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5AAF1F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A11C10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40E16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F865954" w14:textId="77777777" w:rsidR="008C76E0" w:rsidRPr="008C76E0" w:rsidRDefault="008C76E0" w:rsidP="00721A6C">
            <w:pPr>
              <w:pStyle w:val="Bodytext180"/>
              <w:shd w:val="clear" w:color="auto" w:fill="auto"/>
              <w:tabs>
                <w:tab w:val="left" w:pos="760"/>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Դ.10.</w:t>
            </w:r>
            <w:r w:rsidRPr="003B2786">
              <w:rPr>
                <w:rStyle w:val="Bodytext1811pt"/>
                <w:rFonts w:ascii="Sylfaen" w:hAnsi="Sylfaen"/>
                <w:sz w:val="24"/>
                <w:szCs w:val="24"/>
              </w:rPr>
              <w:tab/>
              <w:t xml:space="preserve">Արյան նոր հաստատության կամ կենտրոնի (կենտրոնների) փոխարինումը կամ ներառումը, որտեղ պահպանվում է պլազման </w:t>
            </w:r>
          </w:p>
        </w:tc>
        <w:tc>
          <w:tcPr>
            <w:tcW w:w="1883" w:type="dxa"/>
            <w:gridSpan w:val="2"/>
            <w:tcBorders>
              <w:top w:val="single" w:sz="4" w:space="0" w:color="auto"/>
              <w:left w:val="single" w:sz="4" w:space="0" w:color="auto"/>
            </w:tcBorders>
            <w:shd w:val="clear" w:color="auto" w:fill="FFFFFF"/>
          </w:tcPr>
          <w:p w14:paraId="601DEA7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6B7E5DC" w14:textId="77777777" w:rsidR="008C76E0" w:rsidRPr="003B2786" w:rsidRDefault="008C76E0" w:rsidP="00721A6C">
            <w:pPr>
              <w:pStyle w:val="Bodytext180"/>
              <w:shd w:val="clear" w:color="auto" w:fill="auto"/>
              <w:spacing w:before="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7FA2FF2" w14:textId="77777777" w:rsidR="008C76E0" w:rsidRPr="003B2786" w:rsidRDefault="008C76E0" w:rsidP="00721A6C">
            <w:pPr>
              <w:pStyle w:val="Bodytext180"/>
              <w:shd w:val="clear" w:color="auto" w:fill="auto"/>
              <w:spacing w:before="0" w:line="240" w:lineRule="auto"/>
              <w:ind w:left="1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377E03D" w14:textId="77777777" w:rsidTr="004A52D9">
        <w:trPr>
          <w:jc w:val="center"/>
        </w:trPr>
        <w:tc>
          <w:tcPr>
            <w:tcW w:w="4984" w:type="dxa"/>
            <w:gridSpan w:val="4"/>
            <w:tcBorders>
              <w:top w:val="single" w:sz="4" w:space="0" w:color="auto"/>
              <w:left w:val="single" w:sz="4" w:space="0" w:color="auto"/>
            </w:tcBorders>
            <w:shd w:val="clear" w:color="auto" w:fill="FFFFFF"/>
          </w:tcPr>
          <w:p w14:paraId="4B88DACA"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3E5F75"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FE0F0CE"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5382FED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93FC58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8E26559"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056AAFF"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Նշում այն մասին, որ պահպանման կենտրոնը գործում է՝ հաստատությունում հաստատված մի</w:t>
            </w:r>
            <w:r w:rsidR="00C54D75">
              <w:rPr>
                <w:rStyle w:val="Bodytext1811pt"/>
                <w:rFonts w:ascii="Sylfaen" w:hAnsi="Sylfaen"/>
                <w:sz w:val="24"/>
                <w:szCs w:val="24"/>
              </w:rPr>
              <w:t>և</w:t>
            </w:r>
            <w:r w:rsidRPr="003B2786">
              <w:rPr>
                <w:rStyle w:val="Bodytext1811pt"/>
                <w:rFonts w:ascii="Sylfaen" w:hAnsi="Sylfaen"/>
                <w:sz w:val="24"/>
                <w:szCs w:val="24"/>
              </w:rPr>
              <w:t>նույն ՍԳԸ-ին համապատասխան:</w:t>
            </w:r>
          </w:p>
          <w:p w14:paraId="47EAE429"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4DAE1D9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E8A5EBB"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Դ.11.</w:t>
            </w:r>
            <w:r w:rsidRPr="003B2786">
              <w:rPr>
                <w:rStyle w:val="Bodytext1811pt"/>
                <w:rFonts w:ascii="Sylfaen" w:hAnsi="Sylfaen"/>
                <w:sz w:val="24"/>
                <w:szCs w:val="24"/>
              </w:rPr>
              <w:tab/>
              <w:t>Արյան հաստատության կամ այն կենտրոնի (կենտրոնների) բացառումը, որտեղ պահպանվում է պլազման</w:t>
            </w:r>
          </w:p>
        </w:tc>
        <w:tc>
          <w:tcPr>
            <w:tcW w:w="1883" w:type="dxa"/>
            <w:gridSpan w:val="2"/>
            <w:tcBorders>
              <w:top w:val="single" w:sz="4" w:space="0" w:color="auto"/>
              <w:left w:val="single" w:sz="4" w:space="0" w:color="auto"/>
            </w:tcBorders>
            <w:shd w:val="clear" w:color="auto" w:fill="FFFFFF"/>
          </w:tcPr>
          <w:p w14:paraId="5D6101B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D8C1595" w14:textId="77777777" w:rsidR="008C76E0" w:rsidRPr="003B2786" w:rsidRDefault="008C76E0" w:rsidP="00721A6C">
            <w:pPr>
              <w:pStyle w:val="Bodytext180"/>
              <w:shd w:val="clear" w:color="auto" w:fill="auto"/>
              <w:spacing w:before="0" w:line="240" w:lineRule="auto"/>
              <w:ind w:right="10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224ED3D"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923FD9" w14:textId="77777777" w:rsidTr="004A52D9">
        <w:trPr>
          <w:jc w:val="center"/>
        </w:trPr>
        <w:tc>
          <w:tcPr>
            <w:tcW w:w="4984" w:type="dxa"/>
            <w:gridSpan w:val="4"/>
            <w:tcBorders>
              <w:top w:val="single" w:sz="4" w:space="0" w:color="auto"/>
              <w:left w:val="single" w:sz="4" w:space="0" w:color="auto"/>
            </w:tcBorders>
            <w:shd w:val="clear" w:color="auto" w:fill="FFFFFF"/>
          </w:tcPr>
          <w:p w14:paraId="2BB2214B"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BB40240"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73C7407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3E001E2B"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2A89E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6A834B5"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Պայմանը</w:t>
            </w:r>
          </w:p>
          <w:p w14:paraId="2DFAEB88"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Բացառման պատճառը չպետք է պայմանավորված լինի GMP-ի հետ կապված խնդիրներով:</w:t>
            </w:r>
          </w:p>
        </w:tc>
      </w:tr>
      <w:tr w:rsidR="008C76E0" w:rsidRPr="003B2786" w14:paraId="2C742AA1"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0F990C1" w14:textId="77777777" w:rsidR="008C76E0" w:rsidRPr="008C76E0" w:rsidRDefault="008C76E0" w:rsidP="00F30D28">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132FF2C" w14:textId="77777777" w:rsidR="008C76E0" w:rsidRPr="008C76E0" w:rsidRDefault="008C76E0" w:rsidP="00F30D28">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4AC91DF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F942EB0" w14:textId="77777777" w:rsidR="008C76E0" w:rsidRPr="008C76E0" w:rsidRDefault="008C76E0" w:rsidP="00F30D28">
            <w:pPr>
              <w:pStyle w:val="Bodytext180"/>
              <w:shd w:val="clear" w:color="auto" w:fill="auto"/>
              <w:tabs>
                <w:tab w:val="left" w:pos="1124"/>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Դ.12.</w:t>
            </w:r>
            <w:r w:rsidRPr="003B2786">
              <w:rPr>
                <w:rStyle w:val="Bodytext1811pt"/>
                <w:rFonts w:ascii="Sylfaen" w:hAnsi="Sylfaen"/>
                <w:sz w:val="24"/>
                <w:szCs w:val="24"/>
              </w:rPr>
              <w:tab/>
              <w:t>Պլազմայի փոխադրման մեջ ներգրավված կազմակերպության փոխարինումը կամ ներառումը</w:t>
            </w:r>
          </w:p>
        </w:tc>
        <w:tc>
          <w:tcPr>
            <w:tcW w:w="1883" w:type="dxa"/>
            <w:gridSpan w:val="2"/>
            <w:tcBorders>
              <w:top w:val="single" w:sz="4" w:space="0" w:color="auto"/>
              <w:left w:val="single" w:sz="4" w:space="0" w:color="auto"/>
            </w:tcBorders>
            <w:shd w:val="clear" w:color="auto" w:fill="FFFFFF"/>
          </w:tcPr>
          <w:p w14:paraId="72D00BB9"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25EA6BA" w14:textId="77777777" w:rsidR="008C76E0" w:rsidRPr="003B2786" w:rsidRDefault="008C76E0" w:rsidP="00F66329">
            <w:pPr>
              <w:pStyle w:val="Bodytext180"/>
              <w:shd w:val="clear" w:color="auto" w:fill="auto"/>
              <w:spacing w:before="0" w:after="120" w:line="288" w:lineRule="auto"/>
              <w:ind w:left="65" w:right="-3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42F0469" w14:textId="77777777" w:rsidR="008C76E0" w:rsidRPr="003B2786" w:rsidRDefault="008C76E0" w:rsidP="00F30D28">
            <w:pPr>
              <w:pStyle w:val="Bodytext180"/>
              <w:shd w:val="clear" w:color="auto" w:fill="auto"/>
              <w:tabs>
                <w:tab w:val="left" w:pos="1863"/>
              </w:tabs>
              <w:spacing w:before="0" w:after="120" w:line="240" w:lineRule="auto"/>
              <w:ind w:left="13" w:right="1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200BA10" w14:textId="77777777" w:rsidTr="004A52D9">
        <w:trPr>
          <w:jc w:val="center"/>
        </w:trPr>
        <w:tc>
          <w:tcPr>
            <w:tcW w:w="4984" w:type="dxa"/>
            <w:gridSpan w:val="4"/>
            <w:tcBorders>
              <w:top w:val="single" w:sz="4" w:space="0" w:color="auto"/>
              <w:left w:val="single" w:sz="4" w:space="0" w:color="auto"/>
            </w:tcBorders>
            <w:shd w:val="clear" w:color="auto" w:fill="FFFFFF"/>
          </w:tcPr>
          <w:p w14:paraId="209057D7" w14:textId="77777777" w:rsidR="008C76E0" w:rsidRPr="003B2786" w:rsidRDefault="008C76E0" w:rsidP="00F30D28">
            <w:pPr>
              <w:spacing w:after="12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86A048"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3BFC771"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F53195C" w14:textId="77777777" w:rsidR="008C76E0" w:rsidRPr="003B2786" w:rsidRDefault="008C76E0" w:rsidP="00F30D28">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285B1C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0EEB0E8" w14:textId="77777777" w:rsidR="008C76E0" w:rsidRPr="003B2786" w:rsidRDefault="008C76E0" w:rsidP="00F66329">
            <w:pPr>
              <w:widowControl/>
              <w:autoSpaceDE w:val="0"/>
              <w:autoSpaceDN w:val="0"/>
              <w:adjustRightInd w:val="0"/>
              <w:spacing w:after="120" w:line="288" w:lineRule="auto"/>
              <w:ind w:left="159" w:right="222"/>
              <w:jc w:val="both"/>
              <w:rPr>
                <w:rFonts w:ascii="Sylfaen" w:hAnsi="Sylfaen" w:cs="TimesNewRomanPSMT"/>
                <w:sz w:val="24"/>
                <w:szCs w:val="24"/>
              </w:rPr>
            </w:pPr>
            <w:r w:rsidRPr="003B2786">
              <w:rPr>
                <w:rFonts w:ascii="Sylfaen" w:hAnsi="Sylfaen"/>
                <w:sz w:val="24"/>
                <w:szCs w:val="24"/>
              </w:rPr>
              <w:t>Փաստաթղթերը</w:t>
            </w:r>
          </w:p>
          <w:p w14:paraId="20059DDC" w14:textId="77777777" w:rsidR="008C76E0" w:rsidRPr="003B2786" w:rsidRDefault="008C76E0" w:rsidP="00F66329">
            <w:pPr>
              <w:widowControl/>
              <w:autoSpaceDE w:val="0"/>
              <w:autoSpaceDN w:val="0"/>
              <w:adjustRightInd w:val="0"/>
              <w:spacing w:after="120" w:line="288" w:lineRule="auto"/>
              <w:ind w:left="159" w:right="221"/>
              <w:jc w:val="both"/>
              <w:rPr>
                <w:rFonts w:ascii="Sylfaen" w:hAnsi="Sylfaen"/>
                <w:b/>
                <w:sz w:val="24"/>
                <w:szCs w:val="24"/>
              </w:rPr>
            </w:pPr>
            <w:r w:rsidRPr="003B2786">
              <w:rPr>
                <w:rFonts w:ascii="Sylfaen" w:hAnsi="Sylfaen"/>
                <w:sz w:val="24"/>
                <w:szCs w:val="24"/>
              </w:rPr>
              <w:t>1.</w:t>
            </w:r>
            <w:r w:rsidRPr="003B2786">
              <w:rPr>
                <w:rFonts w:ascii="Sylfaen" w:hAnsi="Sylfaen"/>
                <w:sz w:val="24"/>
                <w:szCs w:val="24"/>
              </w:rPr>
              <w:tab/>
              <w:t xml:space="preserve">ՊՄՖ-ի դոսյեի թարմացված համապատասխան բաժինները </w:t>
            </w:r>
            <w:r w:rsidR="00C54D75">
              <w:rPr>
                <w:rFonts w:ascii="Sylfaen" w:hAnsi="Sylfaen"/>
                <w:sz w:val="24"/>
                <w:szCs w:val="24"/>
              </w:rPr>
              <w:t>և</w:t>
            </w:r>
            <w:r w:rsidRPr="003B2786">
              <w:rPr>
                <w:rFonts w:ascii="Sylfaen" w:hAnsi="Sylfaen"/>
                <w:sz w:val="24"/>
                <w:szCs w:val="24"/>
              </w:rPr>
              <w:t xml:space="preserve"> լրացումները, ներառյալ` այդ տրանսպորտային կազմակերպության կողմից օգտվող արյան բոլոր հաստատությունները, պատշաճ պայմաններում (ժամանակը, ջերմաստիճանը </w:t>
            </w:r>
            <w:r w:rsidR="00C54D75">
              <w:rPr>
                <w:rFonts w:ascii="Sylfaen" w:hAnsi="Sylfaen"/>
                <w:sz w:val="24"/>
                <w:szCs w:val="24"/>
              </w:rPr>
              <w:t>և</w:t>
            </w:r>
            <w:r w:rsidRPr="003B2786">
              <w:rPr>
                <w:rFonts w:ascii="Sylfaen" w:hAnsi="Sylfaen"/>
                <w:sz w:val="24"/>
                <w:szCs w:val="24"/>
              </w:rPr>
              <w:t xml:space="preserve"> համապատասխանությունը պատշաճ արտադրական պրակտիկային) փոխադրումն ապահովող գործող համակարգի ամփոփագիրը </w:t>
            </w:r>
            <w:r w:rsidR="00C54D75">
              <w:rPr>
                <w:rFonts w:ascii="Sylfaen" w:hAnsi="Sylfaen"/>
                <w:sz w:val="24"/>
                <w:szCs w:val="24"/>
              </w:rPr>
              <w:t>և</w:t>
            </w:r>
            <w:r w:rsidRPr="003B2786">
              <w:rPr>
                <w:rFonts w:ascii="Sylfaen" w:hAnsi="Sylfaen"/>
                <w:sz w:val="24"/>
                <w:szCs w:val="24"/>
              </w:rPr>
              <w:t xml:space="preserve"> հավաստումն առ այն, որ փոխադրման պայմանները վալիդացված են:</w:t>
            </w:r>
          </w:p>
        </w:tc>
      </w:tr>
      <w:tr w:rsidR="008C76E0" w:rsidRPr="003B2786" w14:paraId="50F7B9B5" w14:textId="77777777" w:rsidTr="004A52D9">
        <w:trPr>
          <w:jc w:val="center"/>
        </w:trPr>
        <w:tc>
          <w:tcPr>
            <w:tcW w:w="4984" w:type="dxa"/>
            <w:gridSpan w:val="4"/>
            <w:tcBorders>
              <w:top w:val="single" w:sz="4" w:space="0" w:color="auto"/>
              <w:left w:val="single" w:sz="4" w:space="0" w:color="auto"/>
            </w:tcBorders>
            <w:shd w:val="clear" w:color="auto" w:fill="FFFFFF"/>
          </w:tcPr>
          <w:p w14:paraId="2E01E341" w14:textId="77777777" w:rsidR="008C76E0" w:rsidRPr="008C76E0" w:rsidRDefault="008C76E0" w:rsidP="00F30D28">
            <w:pPr>
              <w:pStyle w:val="Bodytext180"/>
              <w:shd w:val="clear" w:color="auto" w:fill="auto"/>
              <w:tabs>
                <w:tab w:val="left" w:pos="1124"/>
              </w:tabs>
              <w:spacing w:before="0" w:after="120" w:line="240" w:lineRule="auto"/>
              <w:ind w:left="159" w:right="221" w:firstLine="0"/>
              <w:rPr>
                <w:rFonts w:ascii="Sylfaen" w:hAnsi="Sylfaen"/>
                <w:b w:val="0"/>
                <w:sz w:val="24"/>
                <w:szCs w:val="24"/>
                <w:lang w:val="hy-AM"/>
              </w:rPr>
            </w:pPr>
            <w:r w:rsidRPr="003B2786">
              <w:rPr>
                <w:rStyle w:val="Bodytext1811pt"/>
                <w:rFonts w:ascii="Sylfaen" w:hAnsi="Sylfaen"/>
                <w:sz w:val="24"/>
                <w:szCs w:val="24"/>
              </w:rPr>
              <w:t>Դ. 13.</w:t>
            </w:r>
            <w:r w:rsidRPr="003B2786">
              <w:rPr>
                <w:rStyle w:val="Bodytext1811pt"/>
                <w:rFonts w:ascii="Sylfaen" w:hAnsi="Sylfaen"/>
                <w:sz w:val="24"/>
                <w:szCs w:val="24"/>
              </w:rPr>
              <w:tab/>
              <w:t>Պլազմայի փոխադրման մեջ ներգրավված կազմակերպության բացառումը</w:t>
            </w:r>
          </w:p>
        </w:tc>
        <w:tc>
          <w:tcPr>
            <w:tcW w:w="1883" w:type="dxa"/>
            <w:gridSpan w:val="2"/>
            <w:tcBorders>
              <w:top w:val="single" w:sz="4" w:space="0" w:color="auto"/>
              <w:left w:val="single" w:sz="4" w:space="0" w:color="auto"/>
            </w:tcBorders>
            <w:shd w:val="clear" w:color="auto" w:fill="FFFFFF"/>
          </w:tcPr>
          <w:p w14:paraId="197804CA" w14:textId="77777777" w:rsidR="008C76E0" w:rsidRPr="003B2786" w:rsidRDefault="008C76E0" w:rsidP="00F66329">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C5C7A7F" w14:textId="77777777" w:rsidR="008C76E0" w:rsidRPr="003B2786" w:rsidRDefault="008C76E0" w:rsidP="00F66329">
            <w:pPr>
              <w:pStyle w:val="Bodytext180"/>
              <w:shd w:val="clear" w:color="auto" w:fill="auto"/>
              <w:spacing w:before="0" w:after="120" w:line="288" w:lineRule="auto"/>
              <w:ind w:right="2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2D42E0E" w14:textId="77777777" w:rsidR="008C76E0" w:rsidRPr="003B2786" w:rsidRDefault="008C76E0" w:rsidP="00F30D28">
            <w:pPr>
              <w:pStyle w:val="Bodytext180"/>
              <w:shd w:val="clear" w:color="auto" w:fill="auto"/>
              <w:spacing w:before="0" w:after="120" w:line="240" w:lineRule="auto"/>
              <w:ind w:left="13" w:right="2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F27CF8" w14:textId="77777777" w:rsidTr="004A52D9">
        <w:trPr>
          <w:jc w:val="center"/>
        </w:trPr>
        <w:tc>
          <w:tcPr>
            <w:tcW w:w="4984" w:type="dxa"/>
            <w:gridSpan w:val="4"/>
            <w:tcBorders>
              <w:top w:val="single" w:sz="4" w:space="0" w:color="auto"/>
              <w:left w:val="single" w:sz="4" w:space="0" w:color="auto"/>
            </w:tcBorders>
            <w:shd w:val="clear" w:color="auto" w:fill="FFFFFF"/>
          </w:tcPr>
          <w:p w14:paraId="4A9C40E0" w14:textId="77777777" w:rsidR="008C76E0" w:rsidRPr="003B2786" w:rsidRDefault="008C76E0" w:rsidP="008C76E0">
            <w:pPr>
              <w:spacing w:after="0"/>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771AF55"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F60478B"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7BA5560A" w14:textId="77777777" w:rsidR="008C76E0" w:rsidRPr="003B2786" w:rsidRDefault="008C76E0" w:rsidP="008C76E0">
            <w:pPr>
              <w:pStyle w:val="Bodytext180"/>
              <w:shd w:val="clear" w:color="auto" w:fill="auto"/>
              <w:spacing w:before="0" w:line="240" w:lineRule="auto"/>
              <w:ind w:left="159" w:right="221" w:firstLine="0"/>
              <w:jc w:val="center"/>
              <w:rPr>
                <w:rStyle w:val="Bodytext1811pt"/>
                <w:rFonts w:ascii="Sylfaen" w:hAnsi="Sylfaen"/>
                <w:sz w:val="24"/>
                <w:szCs w:val="24"/>
              </w:rPr>
            </w:pPr>
            <w:r w:rsidRPr="003B2786">
              <w:rPr>
                <w:rStyle w:val="Bodytext1811pt"/>
                <w:rFonts w:ascii="Sylfaen" w:hAnsi="Sylfaen"/>
                <w:sz w:val="24"/>
                <w:szCs w:val="24"/>
              </w:rPr>
              <w:t>IA</w:t>
            </w:r>
          </w:p>
          <w:p w14:paraId="10E2C6D4"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p>
        </w:tc>
      </w:tr>
      <w:tr w:rsidR="008C76E0" w:rsidRPr="003B2786" w14:paraId="7843A8F6"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FB11AA5"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Պայմանը</w:t>
            </w:r>
          </w:p>
          <w:p w14:paraId="48582301"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Բացառման պատճառը չպետք է պայմանավորված լինի GMP-ի հետ կապված խնդիրներով:</w:t>
            </w:r>
          </w:p>
        </w:tc>
      </w:tr>
      <w:tr w:rsidR="008C76E0" w:rsidRPr="003B2786" w14:paraId="13D8E91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6B5F022"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CCA317A"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1B592E6A" w14:textId="77777777" w:rsidTr="004A52D9">
        <w:trPr>
          <w:jc w:val="center"/>
        </w:trPr>
        <w:tc>
          <w:tcPr>
            <w:tcW w:w="4984" w:type="dxa"/>
            <w:gridSpan w:val="4"/>
            <w:tcBorders>
              <w:top w:val="single" w:sz="4" w:space="0" w:color="auto"/>
              <w:left w:val="single" w:sz="4" w:space="0" w:color="auto"/>
            </w:tcBorders>
            <w:shd w:val="clear" w:color="auto" w:fill="FFFFFF"/>
          </w:tcPr>
          <w:p w14:paraId="0372F40C" w14:textId="77777777" w:rsidR="008C76E0" w:rsidRPr="008C76E0" w:rsidRDefault="008C76E0" w:rsidP="008C76E0">
            <w:pPr>
              <w:pStyle w:val="Bodytext180"/>
              <w:shd w:val="clear" w:color="auto" w:fill="auto"/>
              <w:tabs>
                <w:tab w:val="left" w:pos="1124"/>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Դ.14.</w:t>
            </w:r>
            <w:r w:rsidRPr="003B2786">
              <w:rPr>
                <w:rStyle w:val="Bodytext1811pt"/>
                <w:rFonts w:ascii="Sylfaen" w:hAnsi="Sylfaen"/>
                <w:sz w:val="24"/>
                <w:szCs w:val="24"/>
              </w:rPr>
              <w:tab/>
              <w:t xml:space="preserve">Միությունում որպես բժշկական արտադրատեսակ գրանցված թեստ-համակարգի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առանձին դոնացիաները որպես նոր թեստ-համակարգ փորձարկելու նպատակով</w:t>
            </w:r>
          </w:p>
        </w:tc>
        <w:tc>
          <w:tcPr>
            <w:tcW w:w="1883" w:type="dxa"/>
            <w:gridSpan w:val="2"/>
            <w:tcBorders>
              <w:top w:val="single" w:sz="4" w:space="0" w:color="auto"/>
              <w:left w:val="single" w:sz="4" w:space="0" w:color="auto"/>
            </w:tcBorders>
            <w:shd w:val="clear" w:color="auto" w:fill="FFFFFF"/>
          </w:tcPr>
          <w:p w14:paraId="6C0917EB"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3E78EFA"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564E95B"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ECEE44F" w14:textId="77777777" w:rsidTr="004A52D9">
        <w:trPr>
          <w:jc w:val="center"/>
        </w:trPr>
        <w:tc>
          <w:tcPr>
            <w:tcW w:w="4984" w:type="dxa"/>
            <w:gridSpan w:val="4"/>
            <w:tcBorders>
              <w:top w:val="single" w:sz="4" w:space="0" w:color="auto"/>
              <w:left w:val="single" w:sz="4" w:space="0" w:color="auto"/>
            </w:tcBorders>
            <w:shd w:val="clear" w:color="auto" w:fill="FFFFFF"/>
          </w:tcPr>
          <w:p w14:paraId="475650A1" w14:textId="77777777" w:rsidR="008C76E0" w:rsidRPr="003B2786" w:rsidRDefault="008C76E0" w:rsidP="008C76E0">
            <w:pPr>
              <w:spacing w:after="0"/>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5600C33"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0C0E6F4"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63690417"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D430E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2199180"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9EFBD6E"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թեստ-համակարգը Միությունում գրանցված է որպես բժշկական արտադրատեսակ:</w:t>
            </w:r>
          </w:p>
        </w:tc>
      </w:tr>
      <w:tr w:rsidR="008C76E0" w:rsidRPr="003B2786" w14:paraId="4C8487DB"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08BB53E"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B4FE17"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Փորձարկման այն հարթակների ցանկը, որտեղ օգտագործվում է թեստ-համակարգը:</w:t>
            </w:r>
          </w:p>
        </w:tc>
      </w:tr>
      <w:tr w:rsidR="008C76E0" w:rsidRPr="003B2786" w14:paraId="65332B3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35CABB0"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ՊՄՖ կազմելու մասով Միության պահանջներին համապատասխան իրականացվող փորձարկումների մասին թարմացված տեղեկությունները:</w:t>
            </w:r>
          </w:p>
        </w:tc>
      </w:tr>
      <w:tr w:rsidR="008C76E0" w:rsidRPr="003B2786" w14:paraId="1CC3ABE2" w14:textId="77777777" w:rsidTr="004A52D9">
        <w:trPr>
          <w:jc w:val="center"/>
        </w:trPr>
        <w:tc>
          <w:tcPr>
            <w:tcW w:w="4984" w:type="dxa"/>
            <w:gridSpan w:val="4"/>
            <w:tcBorders>
              <w:top w:val="single" w:sz="4" w:space="0" w:color="auto"/>
              <w:left w:val="single" w:sz="4" w:space="0" w:color="auto"/>
            </w:tcBorders>
            <w:shd w:val="clear" w:color="auto" w:fill="FFFFFF"/>
          </w:tcPr>
          <w:p w14:paraId="770DEA98" w14:textId="77777777" w:rsidR="008C76E0" w:rsidRPr="008C76E0" w:rsidRDefault="008C76E0" w:rsidP="008C76E0">
            <w:pPr>
              <w:pStyle w:val="Bodytext180"/>
              <w:shd w:val="clear" w:color="auto" w:fill="auto"/>
              <w:tabs>
                <w:tab w:val="left" w:pos="109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Դ.15.</w:t>
            </w:r>
            <w:r w:rsidRPr="003B2786">
              <w:rPr>
                <w:rStyle w:val="Bodytext1811pt"/>
                <w:rFonts w:ascii="Sylfaen" w:hAnsi="Sylfaen"/>
                <w:sz w:val="24"/>
                <w:szCs w:val="24"/>
              </w:rPr>
              <w:tab/>
              <w:t xml:space="preserve">Միությունում որպես բժշկական արտադրատեսակ չգրանցված թեստ-համակարգի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առանձին դոնացիաները որպես նոր թեստ-համակարգ փորձարկելու նպատակով</w:t>
            </w:r>
          </w:p>
        </w:tc>
        <w:tc>
          <w:tcPr>
            <w:tcW w:w="1883" w:type="dxa"/>
            <w:gridSpan w:val="2"/>
            <w:tcBorders>
              <w:top w:val="single" w:sz="4" w:space="0" w:color="auto"/>
              <w:left w:val="single" w:sz="4" w:space="0" w:color="auto"/>
            </w:tcBorders>
            <w:shd w:val="clear" w:color="auto" w:fill="FFFFFF"/>
          </w:tcPr>
          <w:p w14:paraId="6BEDAE9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84FF4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E5B39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F50A2C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A5BFDE" w14:textId="77777777" w:rsidR="008C76E0" w:rsidRPr="008C76E0" w:rsidRDefault="008C76E0" w:rsidP="008C76E0">
            <w:pPr>
              <w:pStyle w:val="Bodytext180"/>
              <w:shd w:val="clear" w:color="auto" w:fill="auto"/>
              <w:tabs>
                <w:tab w:val="left" w:pos="6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փորձարկման նոր համակարգն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դոնացիաների փորձարկման նպատակով նախկինում հաստատված չի եղել ՊՄՖ-ում՝ արյան ոչ մի կենտրոնի համար</w:t>
            </w:r>
          </w:p>
        </w:tc>
        <w:tc>
          <w:tcPr>
            <w:tcW w:w="1883" w:type="dxa"/>
            <w:gridSpan w:val="2"/>
            <w:tcBorders>
              <w:top w:val="single" w:sz="4" w:space="0" w:color="auto"/>
              <w:left w:val="single" w:sz="4" w:space="0" w:color="auto"/>
            </w:tcBorders>
            <w:shd w:val="clear" w:color="auto" w:fill="FFFFFF"/>
          </w:tcPr>
          <w:p w14:paraId="06BE550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ED1D6C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32937DA"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1605DE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3826EF0" w14:textId="77777777" w:rsidR="008C76E0" w:rsidRPr="008C76E0" w:rsidRDefault="008C76E0" w:rsidP="008C76E0">
            <w:pPr>
              <w:pStyle w:val="Bodytext180"/>
              <w:shd w:val="clear" w:color="auto" w:fill="auto"/>
              <w:tabs>
                <w:tab w:val="left" w:pos="6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փորձարկման նոր համակարգն </w:t>
            </w:r>
            <w:r w:rsidRPr="003B2786">
              <w:rPr>
                <w:rStyle w:val="Bodytext1811pt"/>
                <w:rFonts w:ascii="Sylfaen" w:hAnsi="Sylfaen"/>
                <w:spacing w:val="-4"/>
                <w:sz w:val="24"/>
                <w:szCs w:val="24"/>
              </w:rPr>
              <w:t xml:space="preserve">արյան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պլազմայի դոնացիաների փորձարկման նպատակով հաստատվել է ՊՄՖ-ում՝ արյան այլ կենտրոնների համար</w:t>
            </w:r>
          </w:p>
        </w:tc>
        <w:tc>
          <w:tcPr>
            <w:tcW w:w="1883" w:type="dxa"/>
            <w:gridSpan w:val="2"/>
            <w:tcBorders>
              <w:top w:val="single" w:sz="4" w:space="0" w:color="auto"/>
              <w:left w:val="single" w:sz="4" w:space="0" w:color="auto"/>
            </w:tcBorders>
            <w:shd w:val="clear" w:color="auto" w:fill="FFFFFF"/>
          </w:tcPr>
          <w:p w14:paraId="0DE6A63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48321D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w:t>
            </w:r>
          </w:p>
        </w:tc>
        <w:tc>
          <w:tcPr>
            <w:tcW w:w="1843" w:type="dxa"/>
            <w:gridSpan w:val="2"/>
            <w:tcBorders>
              <w:top w:val="single" w:sz="4" w:space="0" w:color="auto"/>
              <w:left w:val="single" w:sz="4" w:space="0" w:color="auto"/>
              <w:right w:val="single" w:sz="4" w:space="0" w:color="auto"/>
            </w:tcBorders>
            <w:shd w:val="clear" w:color="auto" w:fill="FFFFFF"/>
          </w:tcPr>
          <w:p w14:paraId="15B6D04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AF7CDA9"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90020CC"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4F6E176" w14:textId="77777777" w:rsidR="008C76E0" w:rsidRPr="008C76E0" w:rsidRDefault="008C76E0" w:rsidP="00721A6C">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Փորձարկման այն կենտրոնների ցանկը, որտեղ օգտագործվում է թեստ-համակարգը,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փորձարկման այն կենտրոնների ցանկը, որտեղ այն օգտագործվելու է: </w:t>
            </w:r>
          </w:p>
          <w:p w14:paraId="6E346446" w14:textId="77777777" w:rsidR="008C76E0" w:rsidRPr="008C76E0" w:rsidRDefault="008C76E0" w:rsidP="00721A6C">
            <w:pPr>
              <w:pStyle w:val="Bodytext180"/>
              <w:shd w:val="clear" w:color="auto" w:fill="auto"/>
              <w:tabs>
                <w:tab w:val="left" w:pos="623"/>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ՊՄՖ կազմելու մասով Միության պահանջներին համապատասխան իրականացվող փորձարկումների մասին թարմացված տեղեկությունները:</w:t>
            </w:r>
          </w:p>
        </w:tc>
      </w:tr>
      <w:tr w:rsidR="008C76E0" w:rsidRPr="003B2786" w14:paraId="143A24E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F99AC87" w14:textId="77777777" w:rsidR="008C76E0" w:rsidRPr="008C76E0" w:rsidRDefault="008C76E0" w:rsidP="00721A6C">
            <w:pPr>
              <w:pStyle w:val="Bodytext180"/>
              <w:shd w:val="clear" w:color="auto" w:fill="auto"/>
              <w:tabs>
                <w:tab w:val="left" w:pos="114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Դ.16.</w:t>
            </w:r>
            <w:r w:rsidRPr="003B2786">
              <w:rPr>
                <w:rStyle w:val="Bodytext1811pt"/>
                <w:rFonts w:ascii="Sylfaen" w:hAnsi="Sylfaen"/>
                <w:sz w:val="24"/>
                <w:szCs w:val="24"/>
              </w:rPr>
              <w:tab/>
              <w:t>Պուլերի փորձարկման (հակամարմնի, հակածնի փորձարկում կամ նուկլեինաթթուների ամպլիֆիկացիա) համար օգտագործվող փորձարկման համակարգի (մեթոդի) փոփոխությունը</w:t>
            </w:r>
          </w:p>
        </w:tc>
        <w:tc>
          <w:tcPr>
            <w:tcW w:w="1883" w:type="dxa"/>
            <w:gridSpan w:val="2"/>
            <w:tcBorders>
              <w:top w:val="single" w:sz="4" w:space="0" w:color="auto"/>
              <w:left w:val="single" w:sz="4" w:space="0" w:color="auto"/>
            </w:tcBorders>
            <w:shd w:val="clear" w:color="auto" w:fill="FFFFFF"/>
          </w:tcPr>
          <w:p w14:paraId="057C92AF"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713FCAC"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4D115B1"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E81DB6" w14:textId="77777777" w:rsidTr="004A52D9">
        <w:trPr>
          <w:jc w:val="center"/>
        </w:trPr>
        <w:tc>
          <w:tcPr>
            <w:tcW w:w="4984" w:type="dxa"/>
            <w:gridSpan w:val="4"/>
            <w:tcBorders>
              <w:top w:val="single" w:sz="4" w:space="0" w:color="auto"/>
              <w:left w:val="single" w:sz="4" w:space="0" w:color="auto"/>
            </w:tcBorders>
            <w:shd w:val="clear" w:color="auto" w:fill="FFFFFF"/>
          </w:tcPr>
          <w:p w14:paraId="15A5B610"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114653FD"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210D206"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A560419"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3A50FC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C86E6F" w14:textId="77777777" w:rsidR="008C76E0" w:rsidRPr="008C76E0" w:rsidRDefault="008C76E0" w:rsidP="00721A6C">
            <w:pPr>
              <w:pStyle w:val="Bodytext180"/>
              <w:shd w:val="clear" w:color="auto" w:fill="auto"/>
              <w:tabs>
                <w:tab w:val="left" w:pos="1108"/>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Դ.17.</w:t>
            </w:r>
            <w:r w:rsidRPr="003B2786">
              <w:rPr>
                <w:rStyle w:val="Bodytext1811pt"/>
                <w:rFonts w:ascii="Sylfaen" w:hAnsi="Sylfaen"/>
                <w:sz w:val="24"/>
                <w:szCs w:val="24"/>
              </w:rPr>
              <w:tab/>
              <w:t>Կարանտինային պահպանման ընթացակարգի ներմուծումը կամ ընդլայնումը</w:t>
            </w:r>
          </w:p>
        </w:tc>
        <w:tc>
          <w:tcPr>
            <w:tcW w:w="1883" w:type="dxa"/>
            <w:gridSpan w:val="2"/>
            <w:tcBorders>
              <w:top w:val="single" w:sz="4" w:space="0" w:color="auto"/>
              <w:left w:val="single" w:sz="4" w:space="0" w:color="auto"/>
            </w:tcBorders>
            <w:shd w:val="clear" w:color="auto" w:fill="FFFFFF"/>
          </w:tcPr>
          <w:p w14:paraId="1B4195AF"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E181518"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3CEE0E3D"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Ընթացակարգի տեսակը</w:t>
            </w:r>
          </w:p>
        </w:tc>
      </w:tr>
      <w:tr w:rsidR="008C76E0" w:rsidRPr="003B2786" w14:paraId="0980D653" w14:textId="77777777" w:rsidTr="004A52D9">
        <w:trPr>
          <w:jc w:val="center"/>
        </w:trPr>
        <w:tc>
          <w:tcPr>
            <w:tcW w:w="4984" w:type="dxa"/>
            <w:gridSpan w:val="4"/>
            <w:tcBorders>
              <w:top w:val="single" w:sz="4" w:space="0" w:color="auto"/>
              <w:left w:val="single" w:sz="4" w:space="0" w:color="auto"/>
            </w:tcBorders>
            <w:shd w:val="clear" w:color="auto" w:fill="FFFFFF"/>
          </w:tcPr>
          <w:p w14:paraId="3E5C1CEA"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ECE16FF"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7355143E"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21F6860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4B663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2EAAD378"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Պայմանը</w:t>
            </w:r>
          </w:p>
          <w:p w14:paraId="6A7F679A"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Կարանտինային պահպանման ընթացակարգն առավել խիստ է (օրինակ՝ միայն դոնորների կրկնակի ստուգումից հետո բացթողումը):</w:t>
            </w:r>
          </w:p>
        </w:tc>
      </w:tr>
      <w:tr w:rsidR="008C76E0" w:rsidRPr="003B2786" w14:paraId="582FADB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425356C"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7F4966"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կարանտինային պահպանման ընթացակարգի ներմուծման կամ ընդլայնման հիմնավորումը, հարթակները, որտեղ իրականացվում է կարանտինային պահպանումը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ընթացակարգի փոփոխությունները, «որոշումների ընդունման ծառը», ներառյալ՝ նոր պայմանները:</w:t>
            </w:r>
          </w:p>
        </w:tc>
      </w:tr>
      <w:tr w:rsidR="008C76E0" w:rsidRPr="003B2786" w14:paraId="5294F2B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82903C7"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Դ.18.</w:t>
            </w:r>
            <w:r w:rsidRPr="003B2786">
              <w:rPr>
                <w:rStyle w:val="Bodytext1811pt"/>
                <w:rFonts w:ascii="Sylfaen" w:hAnsi="Sylfaen"/>
                <w:sz w:val="24"/>
                <w:szCs w:val="24"/>
              </w:rPr>
              <w:tab/>
              <w:t xml:space="preserve">Կարանտինային պահպանման ժամկետի բացառումը կամ դրա </w:t>
            </w:r>
            <w:r w:rsidRPr="003B2786">
              <w:rPr>
                <w:rStyle w:val="Bodytext1811pt"/>
                <w:rFonts w:ascii="Sylfaen" w:hAnsi="Sylfaen"/>
                <w:sz w:val="24"/>
                <w:szCs w:val="24"/>
              </w:rPr>
              <w:lastRenderedPageBreak/>
              <w:t>տ</w:t>
            </w:r>
            <w:r w:rsidR="00C54D75">
              <w:rPr>
                <w:rStyle w:val="Bodytext1811pt"/>
                <w:rFonts w:ascii="Sylfaen" w:hAnsi="Sylfaen"/>
                <w:sz w:val="24"/>
                <w:szCs w:val="24"/>
              </w:rPr>
              <w:t>և</w:t>
            </w:r>
            <w:r w:rsidRPr="003B2786">
              <w:rPr>
                <w:rStyle w:val="Bodytext1811pt"/>
                <w:rFonts w:ascii="Sylfaen" w:hAnsi="Sylfaen"/>
                <w:sz w:val="24"/>
                <w:szCs w:val="24"/>
              </w:rPr>
              <w:t>ողության կրճատումը</w:t>
            </w:r>
          </w:p>
        </w:tc>
        <w:tc>
          <w:tcPr>
            <w:tcW w:w="1883" w:type="dxa"/>
            <w:gridSpan w:val="2"/>
            <w:tcBorders>
              <w:top w:val="single" w:sz="4" w:space="0" w:color="auto"/>
              <w:left w:val="single" w:sz="4" w:space="0" w:color="auto"/>
            </w:tcBorders>
            <w:shd w:val="clear" w:color="auto" w:fill="FFFFFF"/>
          </w:tcPr>
          <w:p w14:paraId="1882B426"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6945DAE3"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7EB2270"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2AA53E" w14:textId="77777777" w:rsidTr="004A52D9">
        <w:trPr>
          <w:jc w:val="center"/>
        </w:trPr>
        <w:tc>
          <w:tcPr>
            <w:tcW w:w="4984" w:type="dxa"/>
            <w:gridSpan w:val="4"/>
            <w:tcBorders>
              <w:top w:val="single" w:sz="4" w:space="0" w:color="auto"/>
              <w:left w:val="single" w:sz="4" w:space="0" w:color="auto"/>
            </w:tcBorders>
            <w:shd w:val="clear" w:color="auto" w:fill="FFFFFF"/>
          </w:tcPr>
          <w:p w14:paraId="373009A8"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48EF4E3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F9797AD"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5A29494"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F34E5D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4120D33" w14:textId="77777777" w:rsidR="008C76E0" w:rsidRPr="003B2786" w:rsidRDefault="008C76E0" w:rsidP="005F48B2">
            <w:pPr>
              <w:pStyle w:val="Bodytext180"/>
              <w:shd w:val="clear" w:color="auto" w:fill="auto"/>
              <w:tabs>
                <w:tab w:val="left" w:pos="556"/>
              </w:tabs>
              <w:spacing w:before="0" w:after="120" w:line="240" w:lineRule="auto"/>
              <w:ind w:left="159" w:right="221" w:firstLine="0"/>
              <w:jc w:val="both"/>
              <w:rPr>
                <w:rFonts w:ascii="Sylfaen" w:hAnsi="Sylfaen"/>
                <w:b w:val="0"/>
                <w:sz w:val="24"/>
                <w:szCs w:val="24"/>
              </w:rPr>
            </w:pPr>
            <w:r w:rsidRPr="003B2786">
              <w:rPr>
                <w:rStyle w:val="Bodytext1811pt"/>
                <w:rFonts w:ascii="Sylfaen" w:hAnsi="Sylfaen"/>
                <w:sz w:val="24"/>
                <w:szCs w:val="24"/>
              </w:rPr>
              <w:t>Փաստաթղթերը</w:t>
            </w:r>
          </w:p>
          <w:p w14:paraId="1391108E" w14:textId="77777777" w:rsidR="008C76E0" w:rsidRPr="003B2786" w:rsidRDefault="008C76E0" w:rsidP="005F48B2">
            <w:pPr>
              <w:pStyle w:val="Bodytext180"/>
              <w:numPr>
                <w:ilvl w:val="0"/>
                <w:numId w:val="24"/>
              </w:numPr>
              <w:shd w:val="clear" w:color="auto" w:fill="auto"/>
              <w:tabs>
                <w:tab w:val="left" w:pos="556"/>
              </w:tabs>
              <w:spacing w:before="0" w:after="120" w:line="240" w:lineRule="auto"/>
              <w:ind w:right="221"/>
              <w:jc w:val="both"/>
              <w:rPr>
                <w:rFonts w:ascii="Sylfaen" w:hAnsi="Sylfaen"/>
                <w:b w:val="0"/>
                <w:sz w:val="24"/>
                <w:szCs w:val="24"/>
              </w:rPr>
            </w:pPr>
            <w:r w:rsidRPr="003B2786">
              <w:rPr>
                <w:rStyle w:val="Bodytext1811pt"/>
                <w:rFonts w:ascii="Sylfaen" w:hAnsi="Sylfaen"/>
                <w:sz w:val="24"/>
                <w:szCs w:val="24"/>
              </w:rPr>
              <w:t>ՊՄՖ-ի դոսյեի թարմացված համապատասխան բաժինները:</w:t>
            </w:r>
          </w:p>
        </w:tc>
      </w:tr>
      <w:tr w:rsidR="008C76E0" w:rsidRPr="003B2786" w14:paraId="26D074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B612850" w14:textId="77777777" w:rsidR="008C76E0" w:rsidRPr="008C76E0" w:rsidRDefault="008C76E0" w:rsidP="005F48B2">
            <w:pPr>
              <w:pStyle w:val="Bodytext180"/>
              <w:shd w:val="clear" w:color="auto" w:fill="auto"/>
              <w:tabs>
                <w:tab w:val="left" w:pos="860"/>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Դ.19.</w:t>
            </w:r>
            <w:r w:rsidRPr="003B2786">
              <w:rPr>
                <w:rStyle w:val="Bodytext1811pt"/>
                <w:rFonts w:ascii="Sylfaen" w:hAnsi="Sylfaen"/>
                <w:sz w:val="24"/>
                <w:szCs w:val="24"/>
              </w:rPr>
              <w:tab/>
              <w:t>Արյան համար նախատեսված կոնտեյներների (օրինակ՝ տոպրակների, սրվակների) փոխարինումը կամ ավելացումը</w:t>
            </w:r>
          </w:p>
        </w:tc>
        <w:tc>
          <w:tcPr>
            <w:tcW w:w="1883" w:type="dxa"/>
            <w:gridSpan w:val="2"/>
            <w:tcBorders>
              <w:top w:val="single" w:sz="4" w:space="0" w:color="auto"/>
              <w:left w:val="single" w:sz="4" w:space="0" w:color="auto"/>
            </w:tcBorders>
            <w:shd w:val="clear" w:color="auto" w:fill="FFFFFF"/>
          </w:tcPr>
          <w:p w14:paraId="09547768" w14:textId="77777777" w:rsidR="008C76E0" w:rsidRPr="003B2786" w:rsidRDefault="008C76E0" w:rsidP="005F48B2">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8758B74" w14:textId="77777777" w:rsidR="008C76E0" w:rsidRPr="003B2786" w:rsidRDefault="008C76E0" w:rsidP="005F48B2">
            <w:pPr>
              <w:pStyle w:val="Bodytext180"/>
              <w:shd w:val="clear" w:color="auto" w:fill="auto"/>
              <w:spacing w:before="0" w:after="120" w:line="240" w:lineRule="auto"/>
              <w:ind w:right="-65" w:firstLine="0"/>
              <w:jc w:val="center"/>
              <w:rPr>
                <w:rStyle w:val="Bodytext1811pt"/>
                <w:rFonts w:ascii="Sylfaen" w:hAnsi="Sylfaen"/>
                <w:sz w:val="24"/>
                <w:szCs w:val="24"/>
              </w:rPr>
            </w:pPr>
            <w:r w:rsidRPr="003B2786">
              <w:rPr>
                <w:rStyle w:val="Bodytext1811pt"/>
                <w:rFonts w:ascii="Sylfaen" w:hAnsi="Sylfaen"/>
                <w:sz w:val="24"/>
                <w:szCs w:val="24"/>
              </w:rPr>
              <w:t xml:space="preserve">Փաստաթղթերը </w:t>
            </w:r>
          </w:p>
          <w:p w14:paraId="20739D3C" w14:textId="77777777" w:rsidR="008C76E0" w:rsidRPr="003B2786" w:rsidRDefault="00C54D75" w:rsidP="005F48B2">
            <w:pPr>
              <w:pStyle w:val="Bodytext180"/>
              <w:shd w:val="clear" w:color="auto" w:fill="auto"/>
              <w:spacing w:before="0" w:after="120" w:line="240" w:lineRule="auto"/>
              <w:ind w:right="-65" w:firstLine="0"/>
              <w:jc w:val="center"/>
              <w:rPr>
                <w:rFonts w:ascii="Sylfaen" w:hAnsi="Sylfaen"/>
                <w:b w:val="0"/>
                <w:sz w:val="24"/>
                <w:szCs w:val="24"/>
              </w:rPr>
            </w:pPr>
            <w:r>
              <w:rPr>
                <w:rStyle w:val="Bodytext1811pt"/>
                <w:rFonts w:ascii="Sylfaen" w:hAnsi="Sylfaen"/>
                <w:sz w:val="24"/>
                <w:szCs w:val="24"/>
              </w:rPr>
              <w:t>և</w:t>
            </w:r>
            <w:r w:rsidR="008C76E0"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E63D433" w14:textId="77777777" w:rsidR="008C76E0" w:rsidRPr="003B2786" w:rsidRDefault="008C76E0" w:rsidP="005F48B2">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352CE8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60C9A02" w14:textId="77777777" w:rsidR="008C76E0" w:rsidRPr="008C76E0" w:rsidRDefault="008C76E0" w:rsidP="005F48B2">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pacing w:val="-6"/>
                <w:sz w:val="24"/>
                <w:szCs w:val="24"/>
              </w:rPr>
              <w:t>)</w:t>
            </w:r>
            <w:r w:rsidRPr="003B2786">
              <w:rPr>
                <w:rStyle w:val="Bodytext1811pt"/>
                <w:rFonts w:ascii="Sylfaen" w:hAnsi="Sylfaen"/>
                <w:spacing w:val="-6"/>
                <w:sz w:val="24"/>
                <w:szCs w:val="24"/>
              </w:rPr>
              <w:tab/>
              <w:t>Արյան համար նախատեսված նոր կոնտեյներները Միությունում գրանցված են որպես բժշկական արտադրատեսակ</w:t>
            </w:r>
          </w:p>
        </w:tc>
        <w:tc>
          <w:tcPr>
            <w:tcW w:w="1883" w:type="dxa"/>
            <w:gridSpan w:val="2"/>
            <w:tcBorders>
              <w:top w:val="single" w:sz="4" w:space="0" w:color="auto"/>
              <w:left w:val="single" w:sz="4" w:space="0" w:color="auto"/>
            </w:tcBorders>
            <w:shd w:val="clear" w:color="auto" w:fill="FFFFFF"/>
          </w:tcPr>
          <w:p w14:paraId="4C7CF520"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w:t>
            </w:r>
          </w:p>
        </w:tc>
        <w:tc>
          <w:tcPr>
            <w:tcW w:w="1984" w:type="dxa"/>
            <w:gridSpan w:val="2"/>
            <w:tcBorders>
              <w:top w:val="single" w:sz="4" w:space="0" w:color="auto"/>
              <w:left w:val="single" w:sz="4" w:space="0" w:color="auto"/>
            </w:tcBorders>
            <w:shd w:val="clear" w:color="auto" w:fill="FFFFFF"/>
          </w:tcPr>
          <w:p w14:paraId="70D4A184"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28453D71"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9A6F5AD"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1AC9C68B" w14:textId="77777777" w:rsidR="008C76E0" w:rsidRPr="008C76E0" w:rsidRDefault="008C76E0" w:rsidP="005F48B2">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Արյան համար նախատեսված նոր կոնտեյներները Միությունում գրանցված չեն որպես բժշկական արտադրատեսակ</w:t>
            </w:r>
          </w:p>
        </w:tc>
        <w:tc>
          <w:tcPr>
            <w:tcW w:w="1883" w:type="dxa"/>
            <w:gridSpan w:val="2"/>
            <w:tcBorders>
              <w:top w:val="single" w:sz="4" w:space="0" w:color="auto"/>
              <w:left w:val="single" w:sz="4" w:space="0" w:color="auto"/>
              <w:bottom w:val="single" w:sz="4" w:space="0" w:color="auto"/>
            </w:tcBorders>
            <w:shd w:val="clear" w:color="auto" w:fill="FFFFFF"/>
          </w:tcPr>
          <w:p w14:paraId="49D29080"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2DFE4C5A"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0FC3E7F9"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DAB400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52BCCDB"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5ED3B0"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Կոնտեյները Միությունում գրանցված է որպես բժշկական արտադրատեսակ:</w:t>
            </w:r>
          </w:p>
          <w:p w14:paraId="1CEBD085"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Կոնտեյներում պահվող արյան որակի չափորոշիչները չեն փոփոխվում:</w:t>
            </w:r>
          </w:p>
        </w:tc>
      </w:tr>
      <w:tr w:rsidR="008C76E0" w:rsidRPr="003B2786" w14:paraId="2A60531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DC431D8"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AB91B7C"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կոնտեյների, արտադրողի անվանումը, հակակոագուլյանտի լուծույթի մասնագիրը, Միությունում գրանցման հաստատումը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արյան այն հաստատության անվանումը, որտեղ օգտագործվում է կոնտեյները:</w:t>
            </w:r>
          </w:p>
        </w:tc>
      </w:tr>
      <w:tr w:rsidR="008C76E0" w:rsidRPr="003B2786" w14:paraId="0F7F996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C607AB0" w14:textId="77777777" w:rsidR="008C76E0" w:rsidRPr="003B2786" w:rsidRDefault="008C76E0" w:rsidP="00721A6C">
            <w:pPr>
              <w:pStyle w:val="Bodytext180"/>
              <w:shd w:val="clear" w:color="auto" w:fill="auto"/>
              <w:tabs>
                <w:tab w:val="left" w:pos="1124"/>
              </w:tabs>
              <w:spacing w:before="0" w:line="240" w:lineRule="auto"/>
              <w:ind w:left="159" w:right="221" w:firstLine="0"/>
              <w:jc w:val="both"/>
              <w:rPr>
                <w:rFonts w:ascii="Sylfaen" w:hAnsi="Sylfaen"/>
                <w:b w:val="0"/>
                <w:sz w:val="24"/>
                <w:szCs w:val="24"/>
              </w:rPr>
            </w:pPr>
            <w:r w:rsidRPr="003B2786">
              <w:rPr>
                <w:rStyle w:val="Bodytext1811pt"/>
                <w:rFonts w:ascii="Sylfaen" w:hAnsi="Sylfaen"/>
                <w:sz w:val="24"/>
                <w:szCs w:val="24"/>
              </w:rPr>
              <w:t>Դ.20.</w:t>
            </w:r>
            <w:r w:rsidRPr="003B2786">
              <w:rPr>
                <w:rStyle w:val="Bodytext1811pt"/>
                <w:rFonts w:ascii="Sylfaen" w:hAnsi="Sylfaen"/>
                <w:sz w:val="24"/>
                <w:szCs w:val="24"/>
              </w:rPr>
              <w:tab/>
              <w:t>Պահպանման (փոխադրման) փոփոխությունը</w:t>
            </w:r>
          </w:p>
        </w:tc>
        <w:tc>
          <w:tcPr>
            <w:tcW w:w="1883" w:type="dxa"/>
            <w:gridSpan w:val="2"/>
            <w:tcBorders>
              <w:top w:val="single" w:sz="4" w:space="0" w:color="auto"/>
              <w:left w:val="single" w:sz="4" w:space="0" w:color="auto"/>
            </w:tcBorders>
            <w:shd w:val="clear" w:color="auto" w:fill="FFFFFF"/>
          </w:tcPr>
          <w:p w14:paraId="2C4F89E8" w14:textId="77777777" w:rsidR="008C76E0" w:rsidRPr="003B2786" w:rsidRDefault="008C76E0" w:rsidP="00721A6C">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26A4634" w14:textId="77777777" w:rsidR="008C76E0" w:rsidRPr="003B2786" w:rsidRDefault="008C76E0" w:rsidP="00721A6C">
            <w:pPr>
              <w:pStyle w:val="Bodytext180"/>
              <w:shd w:val="clear" w:color="auto" w:fill="auto"/>
              <w:spacing w:before="0" w:line="240" w:lineRule="auto"/>
              <w:ind w:right="2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213DFDB" w14:textId="77777777" w:rsidR="008C76E0" w:rsidRPr="003B2786" w:rsidRDefault="008C76E0" w:rsidP="00721A6C">
            <w:pPr>
              <w:pStyle w:val="Bodytext180"/>
              <w:shd w:val="clear" w:color="auto" w:fill="auto"/>
              <w:spacing w:before="0" w:line="240" w:lineRule="auto"/>
              <w:ind w:left="13" w:right="2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D0069E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D2D8BF1"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պահպանման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փոխադրման պայմանները</w:t>
            </w:r>
          </w:p>
        </w:tc>
        <w:tc>
          <w:tcPr>
            <w:tcW w:w="1883" w:type="dxa"/>
            <w:gridSpan w:val="2"/>
            <w:tcBorders>
              <w:top w:val="single" w:sz="4" w:space="0" w:color="auto"/>
              <w:left w:val="single" w:sz="4" w:space="0" w:color="auto"/>
            </w:tcBorders>
            <w:shd w:val="clear" w:color="auto" w:fill="FFFFFF"/>
          </w:tcPr>
          <w:p w14:paraId="475E6FDF"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CF69741"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6B1558E6"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2A584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3EC0151"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պլազմայի պահպանման առավելագույն ժամկետը</w:t>
            </w:r>
          </w:p>
        </w:tc>
        <w:tc>
          <w:tcPr>
            <w:tcW w:w="1883" w:type="dxa"/>
            <w:gridSpan w:val="2"/>
            <w:tcBorders>
              <w:top w:val="single" w:sz="4" w:space="0" w:color="auto"/>
              <w:left w:val="single" w:sz="4" w:space="0" w:color="auto"/>
            </w:tcBorders>
            <w:shd w:val="clear" w:color="auto" w:fill="FFFFFF"/>
          </w:tcPr>
          <w:p w14:paraId="0FFB2299"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306AF477"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2314B81"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5EAAF1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B89490C"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C44679"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պետք է խստացնի պայմանները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համապատասխանի թորզատման համար մարդու պլազմային ներկայացվող Միության դեղագրքի պահանջներին:</w:t>
            </w:r>
          </w:p>
          <w:p w14:paraId="50D06620"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Պահպանման առավելագույն ժամկետը կարճ է նախորդից:</w:t>
            </w:r>
          </w:p>
        </w:tc>
      </w:tr>
      <w:tr w:rsidR="008C76E0" w:rsidRPr="003B2786" w14:paraId="6FC2893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74CF566" w14:textId="77777777" w:rsidR="008C76E0" w:rsidRPr="008C76E0"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E6F52A6" w14:textId="77777777" w:rsidR="008C76E0" w:rsidRPr="008C76E0"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նոր պայմանների մանրամասն նկարագրությունը, պահպանման (փոխադրման) պայմանների վալիդացման հաստատումը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արյան այն հաստատության (հաստատությունների) անվանումը, որտեղ տեղի է ունենում փոփոխությունը (եթե կիրառելի է):</w:t>
            </w:r>
          </w:p>
        </w:tc>
      </w:tr>
      <w:tr w:rsidR="008C76E0" w:rsidRPr="003B2786" w14:paraId="2563DD4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517C852" w14:textId="77777777" w:rsidR="008C76E0" w:rsidRPr="008C76E0" w:rsidRDefault="008C76E0" w:rsidP="008B6709">
            <w:pPr>
              <w:pStyle w:val="Bodytext180"/>
              <w:shd w:val="clear" w:color="auto" w:fill="auto"/>
              <w:tabs>
                <w:tab w:val="left" w:pos="1108"/>
              </w:tabs>
              <w:spacing w:before="0" w:line="264"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Դ.21.</w:t>
            </w:r>
            <w:r w:rsidRPr="003B2786">
              <w:rPr>
                <w:rStyle w:val="Bodytext1811pt"/>
                <w:rFonts w:ascii="Sylfaen" w:hAnsi="Sylfaen"/>
                <w:sz w:val="24"/>
                <w:szCs w:val="24"/>
              </w:rPr>
              <w:tab/>
              <w:t xml:space="preserve">Վիրուսային մարկերների փորձարկման ներմուծումը, եթե այդ ներմուծումը զգալի ազդեցություն </w:t>
            </w:r>
            <w:r w:rsidRPr="003B2786">
              <w:rPr>
                <w:rStyle w:val="Bodytext1811pt"/>
                <w:rFonts w:ascii="Sylfaen" w:hAnsi="Sylfaen"/>
                <w:sz w:val="24"/>
                <w:szCs w:val="24"/>
              </w:rPr>
              <w:lastRenderedPageBreak/>
              <w:t>կունենա վիրուսային ռիսկերի գնահատման վրա</w:t>
            </w:r>
          </w:p>
        </w:tc>
        <w:tc>
          <w:tcPr>
            <w:tcW w:w="1883" w:type="dxa"/>
            <w:gridSpan w:val="2"/>
            <w:tcBorders>
              <w:top w:val="single" w:sz="4" w:space="0" w:color="auto"/>
              <w:left w:val="single" w:sz="4" w:space="0" w:color="auto"/>
            </w:tcBorders>
            <w:shd w:val="clear" w:color="auto" w:fill="FFFFFF"/>
          </w:tcPr>
          <w:p w14:paraId="4C6CBFA4"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0300C5DB"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FB31CC7"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084CBC1" w14:textId="77777777" w:rsidTr="004A52D9">
        <w:trPr>
          <w:jc w:val="center"/>
        </w:trPr>
        <w:tc>
          <w:tcPr>
            <w:tcW w:w="4984" w:type="dxa"/>
            <w:gridSpan w:val="4"/>
            <w:tcBorders>
              <w:top w:val="single" w:sz="4" w:space="0" w:color="auto"/>
              <w:left w:val="single" w:sz="4" w:space="0" w:color="auto"/>
            </w:tcBorders>
            <w:shd w:val="clear" w:color="auto" w:fill="FFFFFF"/>
          </w:tcPr>
          <w:p w14:paraId="032DD01B" w14:textId="77777777" w:rsidR="008C76E0" w:rsidRPr="003B2786" w:rsidRDefault="008C76E0" w:rsidP="008B6709">
            <w:pPr>
              <w:spacing w:after="0" w:line="264"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F955C53"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039EB0"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55EBC22B"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70B5F6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18986AE" w14:textId="77777777" w:rsidR="008C76E0" w:rsidRPr="008C76E0" w:rsidRDefault="008C76E0" w:rsidP="008B6709">
            <w:pPr>
              <w:pStyle w:val="Bodytext180"/>
              <w:shd w:val="clear" w:color="auto" w:fill="auto"/>
              <w:tabs>
                <w:tab w:val="left" w:pos="1175"/>
              </w:tabs>
              <w:spacing w:before="0" w:line="264"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Դ.22.</w:t>
            </w:r>
            <w:r w:rsidRPr="003B2786">
              <w:rPr>
                <w:rStyle w:val="Bodytext1811pt"/>
                <w:rFonts w:ascii="Sylfaen" w:hAnsi="Sylfaen"/>
                <w:sz w:val="24"/>
                <w:szCs w:val="24"/>
              </w:rPr>
              <w:tab/>
              <w:t xml:space="preserve">Պլազմայի պուլի պատրաստման (օրինակ`արտադրության մեթոդի, պուլի չափսի, պլազմայի պուլի նմուշների պահպանման) փոփոխությունը </w:t>
            </w:r>
          </w:p>
        </w:tc>
        <w:tc>
          <w:tcPr>
            <w:tcW w:w="1883" w:type="dxa"/>
            <w:gridSpan w:val="2"/>
            <w:tcBorders>
              <w:top w:val="single" w:sz="4" w:space="0" w:color="auto"/>
              <w:left w:val="single" w:sz="4" w:space="0" w:color="auto"/>
            </w:tcBorders>
            <w:shd w:val="clear" w:color="auto" w:fill="FFFFFF"/>
          </w:tcPr>
          <w:p w14:paraId="64007356"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05597F1"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EB2A907"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8120599" w14:textId="77777777" w:rsidTr="004A52D9">
        <w:trPr>
          <w:jc w:val="center"/>
        </w:trPr>
        <w:tc>
          <w:tcPr>
            <w:tcW w:w="4984" w:type="dxa"/>
            <w:gridSpan w:val="4"/>
            <w:tcBorders>
              <w:top w:val="single" w:sz="4" w:space="0" w:color="auto"/>
              <w:left w:val="single" w:sz="4" w:space="0" w:color="auto"/>
            </w:tcBorders>
            <w:shd w:val="clear" w:color="auto" w:fill="FFFFFF"/>
          </w:tcPr>
          <w:p w14:paraId="6A574C21"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32106ECC"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B7755A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6C1E0E28"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9BDA434"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66D9C2B" w14:textId="77777777" w:rsidR="008C76E0" w:rsidRPr="00F06D43"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60CF270" w14:textId="77777777" w:rsidR="008C76E0" w:rsidRPr="00F06D43"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ՊՄՖ-ի դոսյեի թարմացված համապատասխան բաժինները:</w:t>
            </w:r>
          </w:p>
        </w:tc>
      </w:tr>
      <w:tr w:rsidR="008C76E0" w:rsidRPr="003B2786" w14:paraId="24A79FC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B513FED" w14:textId="07B65CD6" w:rsidR="008C76E0" w:rsidRPr="008C76E0" w:rsidRDefault="008C76E0" w:rsidP="00721A6C">
            <w:pPr>
              <w:pStyle w:val="Bodytext180"/>
              <w:shd w:val="clear" w:color="auto" w:fill="auto"/>
              <w:tabs>
                <w:tab w:val="left" w:pos="1091"/>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Դ.23.</w:t>
            </w:r>
            <w:r w:rsidRPr="003B2786">
              <w:rPr>
                <w:rStyle w:val="Bodytext1811pt"/>
                <w:rFonts w:ascii="Sylfaen" w:hAnsi="Sylfaen"/>
                <w:sz w:val="24"/>
                <w:szCs w:val="24"/>
              </w:rPr>
              <w:tab/>
              <w:t xml:space="preserve">Ռետրոսպեկտիվ </w:t>
            </w:r>
            <w:r w:rsidR="0056496B">
              <w:rPr>
                <w:rStyle w:val="Bodytext1811pt"/>
                <w:rFonts w:ascii="Sylfaen" w:hAnsi="Sylfaen"/>
                <w:sz w:val="24"/>
                <w:szCs w:val="24"/>
              </w:rPr>
              <w:t>դիմում</w:t>
            </w:r>
            <w:r w:rsidRPr="003B2786">
              <w:rPr>
                <w:rStyle w:val="Bodytext1811pt"/>
                <w:rFonts w:ascii="Sylfaen" w:hAnsi="Sylfaen"/>
                <w:sz w:val="24"/>
                <w:szCs w:val="24"/>
              </w:rPr>
              <w:t xml:space="preserve">նաբերման դեպքում ձեռնարկվող միջոցների փոփոխությունը, երբ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դոնացիաները ենթակա են մշակումից հանվելու (ռետրոսպեկտիվ վերլուծության ընթացակարգը)</w:t>
            </w:r>
          </w:p>
        </w:tc>
        <w:tc>
          <w:tcPr>
            <w:tcW w:w="1883" w:type="dxa"/>
            <w:gridSpan w:val="2"/>
            <w:tcBorders>
              <w:top w:val="single" w:sz="4" w:space="0" w:color="auto"/>
              <w:left w:val="single" w:sz="4" w:space="0" w:color="auto"/>
            </w:tcBorders>
            <w:shd w:val="clear" w:color="auto" w:fill="FFFFFF"/>
          </w:tcPr>
          <w:p w14:paraId="670E2330" w14:textId="77777777" w:rsidR="008C76E0" w:rsidRPr="003B2786" w:rsidRDefault="008C76E0" w:rsidP="00721A6C">
            <w:pPr>
              <w:pStyle w:val="Bodytext180"/>
              <w:shd w:val="clear" w:color="auto" w:fill="auto"/>
              <w:spacing w:before="0" w:line="240" w:lineRule="auto"/>
              <w:ind w:left="9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68DC34" w14:textId="77777777" w:rsidR="008C76E0" w:rsidRPr="003B2786" w:rsidRDefault="008C76E0" w:rsidP="00721A6C">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5D482B7"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02BBDB3"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4DA9E525" w14:textId="77777777" w:rsidR="008C76E0" w:rsidRPr="003B2786" w:rsidRDefault="008C76E0" w:rsidP="00721A6C">
            <w:pPr>
              <w:spacing w:after="0" w:line="240" w:lineRule="auto"/>
              <w:ind w:right="-1"/>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09C89157"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6E7C625C"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34D6669F"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bl>
    <w:p w14:paraId="491950FF" w14:textId="77777777" w:rsidR="008C76E0" w:rsidRDefault="008C76E0" w:rsidP="008C76E0">
      <w:pPr>
        <w:tabs>
          <w:tab w:val="left" w:pos="1418"/>
        </w:tabs>
        <w:ind w:firstLine="567"/>
        <w:jc w:val="center"/>
        <w:rPr>
          <w:rFonts w:ascii="Sylfaen" w:hAnsi="Sylfaen"/>
          <w:sz w:val="24"/>
          <w:szCs w:val="24"/>
          <w:lang w:val="en-US"/>
        </w:rPr>
      </w:pPr>
      <w:r>
        <w:rPr>
          <w:rFonts w:ascii="Sylfaen" w:hAnsi="Sylfaen"/>
          <w:sz w:val="24"/>
          <w:szCs w:val="24"/>
          <w:lang w:val="en-US"/>
        </w:rPr>
        <w:t xml:space="preserve">_____________ </w:t>
      </w:r>
    </w:p>
    <w:p w14:paraId="6B451FB9" w14:textId="77777777" w:rsidR="008C76E0" w:rsidRDefault="008C76E0" w:rsidP="008C76E0">
      <w:pPr>
        <w:tabs>
          <w:tab w:val="left" w:pos="1418"/>
        </w:tabs>
        <w:ind w:firstLine="567"/>
        <w:jc w:val="center"/>
        <w:rPr>
          <w:rFonts w:ascii="Sylfaen" w:hAnsi="Sylfaen"/>
          <w:sz w:val="24"/>
          <w:szCs w:val="24"/>
          <w:lang w:val="en-US"/>
        </w:rPr>
      </w:pPr>
    </w:p>
    <w:p w14:paraId="55DEFB49" w14:textId="77777777" w:rsidR="00F66329" w:rsidRDefault="00F66329" w:rsidP="008C76E0">
      <w:pPr>
        <w:tabs>
          <w:tab w:val="left" w:pos="1418"/>
        </w:tabs>
        <w:ind w:firstLine="567"/>
        <w:jc w:val="center"/>
        <w:rPr>
          <w:rFonts w:ascii="Sylfaen" w:hAnsi="Sylfaen"/>
          <w:sz w:val="24"/>
          <w:szCs w:val="24"/>
          <w:lang w:val="en-US"/>
        </w:rPr>
        <w:sectPr w:rsidR="00F66329" w:rsidSect="00C31D56">
          <w:pgSz w:w="11907" w:h="16839" w:code="9"/>
          <w:pgMar w:top="1418" w:right="1418" w:bottom="1418" w:left="1418" w:header="709" w:footer="709" w:gutter="0"/>
          <w:cols w:space="708"/>
          <w:docGrid w:linePitch="360"/>
        </w:sectPr>
      </w:pPr>
    </w:p>
    <w:p w14:paraId="665AFBC1"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lastRenderedPageBreak/>
        <w:t>ՀԱՎԵԼՎԱԾ ԹԻՎ 20</w:t>
      </w:r>
    </w:p>
    <w:p w14:paraId="4B790BF4"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7DCC7E9B" w14:textId="77777777" w:rsidR="004F5982" w:rsidRPr="00826F05" w:rsidRDefault="004F5982" w:rsidP="00487007">
      <w:pPr>
        <w:spacing w:after="160" w:line="360" w:lineRule="auto"/>
        <w:jc w:val="both"/>
        <w:rPr>
          <w:rFonts w:ascii="Sylfaen" w:hAnsi="Sylfaen"/>
          <w:sz w:val="24"/>
          <w:szCs w:val="24"/>
        </w:rPr>
      </w:pPr>
    </w:p>
    <w:p w14:paraId="292200E3"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F37623">
        <w:rPr>
          <w:rFonts w:ascii="Sylfaen" w:hAnsi="Sylfaen"/>
          <w:b/>
          <w:sz w:val="24"/>
          <w:szCs w:val="24"/>
        </w:rPr>
        <w:t>ԿԱՆՈՆՆԵՐ</w:t>
      </w:r>
    </w:p>
    <w:p w14:paraId="1888D29E" w14:textId="77777777" w:rsidR="004F5982" w:rsidRPr="00826F05" w:rsidRDefault="004F5982" w:rsidP="00487007">
      <w:pPr>
        <w:spacing w:after="160" w:line="360" w:lineRule="auto"/>
        <w:ind w:left="567" w:right="565"/>
        <w:jc w:val="center"/>
        <w:rPr>
          <w:rFonts w:ascii="Sylfaen" w:eastAsia="Times New Roman" w:hAnsi="Sylfaen" w:cs="Times New Roman"/>
          <w:b/>
          <w:sz w:val="24"/>
          <w:szCs w:val="24"/>
        </w:rPr>
      </w:pPr>
      <w:r w:rsidRPr="00826F05">
        <w:rPr>
          <w:rFonts w:ascii="Sylfaen" w:hAnsi="Sylfaen"/>
          <w:b/>
          <w:sz w:val="24"/>
          <w:szCs w:val="24"/>
        </w:rPr>
        <w:t>բժշկական կիրառման գրանցված դեղապատրաստուկի գրանցման դոսյեում փոփոխություններ կատարելիս փորձաքննության անցկացման</w:t>
      </w:r>
    </w:p>
    <w:p w14:paraId="5404BC2F" w14:textId="77777777" w:rsidR="004F5982" w:rsidRPr="00826F05" w:rsidRDefault="004F5982" w:rsidP="00487007">
      <w:pPr>
        <w:spacing w:after="160" w:line="360" w:lineRule="auto"/>
        <w:jc w:val="both"/>
        <w:rPr>
          <w:rFonts w:ascii="Sylfaen" w:hAnsi="Sylfaen"/>
          <w:sz w:val="24"/>
          <w:szCs w:val="24"/>
        </w:rPr>
      </w:pPr>
    </w:p>
    <w:p w14:paraId="54B4272C"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I. Ընդհանուր դրույթներ</w:t>
      </w:r>
    </w:p>
    <w:p w14:paraId="1E4FA37F"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1.1.</w:t>
      </w:r>
      <w:r w:rsidRPr="00826F05">
        <w:rPr>
          <w:rFonts w:ascii="Sylfaen" w:hAnsi="Sylfaen"/>
          <w:sz w:val="24"/>
          <w:szCs w:val="24"/>
        </w:rPr>
        <w:tab/>
      </w:r>
      <w:r w:rsidRPr="0085124A">
        <w:rPr>
          <w:rFonts w:ascii="Sylfaen" w:hAnsi="Sylfaen"/>
          <w:spacing w:val="-6"/>
          <w:sz w:val="24"/>
          <w:szCs w:val="24"/>
        </w:rPr>
        <w:t xml:space="preserve">Սույն կանոնները կանոնակարգում են Եվրասիական տնտեսական հանձնաժողովի կողմից հաստատվող՝ Բժշկական կիրառման դեղամիջոցների գրանցման </w:t>
      </w:r>
      <w:r w:rsidR="00C54D75">
        <w:rPr>
          <w:rFonts w:ascii="Sylfaen" w:hAnsi="Sylfaen"/>
          <w:spacing w:val="-6"/>
          <w:sz w:val="24"/>
          <w:szCs w:val="24"/>
        </w:rPr>
        <w:t>և</w:t>
      </w:r>
      <w:r w:rsidRPr="0085124A">
        <w:rPr>
          <w:rFonts w:ascii="Sylfaen" w:hAnsi="Sylfaen"/>
          <w:spacing w:val="-6"/>
          <w:sz w:val="24"/>
          <w:szCs w:val="24"/>
        </w:rPr>
        <w:t xml:space="preserve"> փորձաքննության կանոնների թիվ 19 հավելվածի</w:t>
      </w:r>
      <w:r w:rsidRPr="00826F05">
        <w:rPr>
          <w:rFonts w:ascii="Sylfaen" w:hAnsi="Sylfaen"/>
          <w:sz w:val="24"/>
          <w:szCs w:val="24"/>
        </w:rPr>
        <w:t xml:space="preserve"> 1.1.3-1.1.5 կետերում նշված՝ բժշկական կիրառման դեղապատրաստուկների գրանցման դոսյեում փոփոխություններ կատարելու փորձաքննության կանոնները (այսուհետ՝</w:t>
      </w:r>
      <w:r w:rsidRPr="0085124A">
        <w:rPr>
          <w:rFonts w:ascii="Sylfaen" w:hAnsi="Sylfaen"/>
          <w:sz w:val="24"/>
          <w:szCs w:val="24"/>
        </w:rPr>
        <w:t> </w:t>
      </w:r>
      <w:r w:rsidRPr="00826F05">
        <w:rPr>
          <w:rFonts w:ascii="Sylfaen" w:hAnsi="Sylfaen"/>
          <w:sz w:val="24"/>
          <w:szCs w:val="24"/>
        </w:rPr>
        <w:t xml:space="preserve">Դեղամիջոցների գրանցման կանոններ) վարչական ընթացակարգերը նկարագրելու մասով </w:t>
      </w:r>
      <w:r w:rsidR="00C54D75">
        <w:rPr>
          <w:rFonts w:ascii="Sylfaen" w:hAnsi="Sylfaen"/>
          <w:sz w:val="24"/>
          <w:szCs w:val="24"/>
        </w:rPr>
        <w:t>և</w:t>
      </w:r>
      <w:r w:rsidRPr="00826F05">
        <w:rPr>
          <w:rFonts w:ascii="Sylfaen" w:hAnsi="Sylfaen"/>
          <w:sz w:val="24"/>
          <w:szCs w:val="24"/>
        </w:rPr>
        <w:t xml:space="preserve"> պետք է դիտարկվեն Դեղամիջոցների գրանցման կանոնների թիվ 19 հավելվածի դրույթների հետ միասին:</w:t>
      </w:r>
    </w:p>
    <w:p w14:paraId="703FF0D0"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1.2.</w:t>
      </w:r>
      <w:r w:rsidRPr="00826F05">
        <w:rPr>
          <w:rFonts w:ascii="Sylfaen" w:hAnsi="Sylfaen"/>
          <w:sz w:val="24"/>
          <w:szCs w:val="24"/>
        </w:rPr>
        <w:tab/>
      </w:r>
      <w:r w:rsidRPr="0085124A">
        <w:rPr>
          <w:rFonts w:ascii="Sylfaen" w:hAnsi="Sylfaen"/>
          <w:spacing w:val="-6"/>
          <w:sz w:val="24"/>
          <w:szCs w:val="24"/>
        </w:rPr>
        <w:t>Սույն հավելվածում օգտագործվող սահմանումները պարունակվում</w:t>
      </w:r>
      <w:r w:rsidRPr="00826F05">
        <w:rPr>
          <w:rFonts w:ascii="Sylfaen" w:hAnsi="Sylfaen"/>
          <w:sz w:val="24"/>
          <w:szCs w:val="24"/>
        </w:rPr>
        <w:t xml:space="preserve"> են Եվրասիական տնտեսական միության (այսուհետ՝ Միություն) փաստաթղթերում, որոնցով կանոնակարգում են Միությունում դեղամիջոցների շրջանառությունը:</w:t>
      </w:r>
    </w:p>
    <w:p w14:paraId="600645CF"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1.3.</w:t>
      </w:r>
      <w:r w:rsidRPr="00826F05">
        <w:rPr>
          <w:rFonts w:ascii="Sylfaen" w:hAnsi="Sylfaen"/>
          <w:sz w:val="24"/>
          <w:szCs w:val="24"/>
        </w:rPr>
        <w:tab/>
        <w:t>Սույն հավելվածում «Միության գրանցված անդամ պետության» նշումը, Դեղամիջոցների գրանցման կանոնների թիվ 19 հավելվածի 1.2.6 կետի համաձայն, հարկ է դիտարկել որպես Միության յուրաքանչյուր անդամ պետություն (այսուհետ՝ անդամ պետություն), որի լիազորված մարմինը գրանցել է դիտարկվող դեղապատրաստուկը: «Շահագրգիռ անդամ պետությունների» նշումը հարկ է դիտարկել որպես բոլոր շահագրգիռ անդամ պետություններ:</w:t>
      </w:r>
    </w:p>
    <w:p w14:paraId="6BB105E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 xml:space="preserve">II. Վարչական ընթացակարգերը </w:t>
      </w:r>
      <w:r w:rsidRPr="00826F05">
        <w:rPr>
          <w:rFonts w:ascii="Sylfaen" w:hAnsi="Sylfaen"/>
          <w:sz w:val="24"/>
          <w:szCs w:val="24"/>
        </w:rPr>
        <w:br/>
        <w:t>փոփոխություններն ուսումնասիրելիս</w:t>
      </w:r>
    </w:p>
    <w:p w14:paraId="013CDB8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դոսյեն պարունակում է պայմաններ, որոնց հիման վրա թույլ է տրվում դեղապատրաստուկի բժշկական կիրառումը </w:t>
      </w:r>
      <w:r w:rsidR="00C54D75">
        <w:rPr>
          <w:rFonts w:ascii="Sylfaen" w:hAnsi="Sylfaen"/>
          <w:sz w:val="24"/>
          <w:szCs w:val="24"/>
        </w:rPr>
        <w:t>և</w:t>
      </w:r>
      <w:r w:rsidRPr="00826F05">
        <w:rPr>
          <w:rFonts w:ascii="Sylfaen" w:hAnsi="Sylfaen"/>
          <w:sz w:val="24"/>
          <w:szCs w:val="24"/>
        </w:rPr>
        <w:t xml:space="preserve"> Միության տարածքում շրջանառությունը: Դեղապատրաստուկի գրանցման դոսյեն ներառում է՝</w:t>
      </w:r>
    </w:p>
    <w:p w14:paraId="16BF2EF4"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գրանցման մասին անդամ պետության լիազորված մարմնի որոշումը,</w:t>
      </w:r>
    </w:p>
    <w:p w14:paraId="3F78F6BF" w14:textId="7344D9B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 հավելվածին համապատասխան՝ </w:t>
      </w:r>
      <w:r w:rsidR="0056496B">
        <w:rPr>
          <w:rFonts w:ascii="Sylfaen" w:hAnsi="Sylfaen"/>
          <w:sz w:val="24"/>
          <w:szCs w:val="24"/>
        </w:rPr>
        <w:t>դիմումատու</w:t>
      </w:r>
      <w:r w:rsidRPr="00826F05">
        <w:rPr>
          <w:rFonts w:ascii="Sylfaen" w:hAnsi="Sylfaen"/>
          <w:sz w:val="24"/>
          <w:szCs w:val="24"/>
        </w:rPr>
        <w:t>ի կողմից անդամ պետության լիազորված մարմին (փորձագիտական կազմակերպություն) ներկայացված փաստաթղթերն ու տվյալները:</w:t>
      </w:r>
    </w:p>
    <w:p w14:paraId="1E9ED3E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սահմանվում են գրանցման պայմանների փոփոխությանը </w:t>
      </w:r>
      <w:r w:rsidR="00C54D75">
        <w:rPr>
          <w:rFonts w:ascii="Sylfaen" w:hAnsi="Sylfaen"/>
          <w:sz w:val="24"/>
          <w:szCs w:val="24"/>
        </w:rPr>
        <w:t>և</w:t>
      </w:r>
      <w:r w:rsidRPr="00826F05">
        <w:rPr>
          <w:rFonts w:ascii="Sylfaen" w:hAnsi="Sylfaen"/>
          <w:sz w:val="24"/>
          <w:szCs w:val="24"/>
        </w:rPr>
        <w:t xml:space="preserve"> գրանցման դոսյեի բովանդակությանը ներկայացվող պահանջներ:</w:t>
      </w:r>
    </w:p>
    <w:p w14:paraId="4E33B38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Սույն կանոններն ընդգրկում են Դեղամիջոցների գրանցման կանոնների թիվ</w:t>
      </w:r>
      <w:r w:rsidRPr="0085124A">
        <w:rPr>
          <w:rFonts w:ascii="Sylfaen" w:hAnsi="Sylfaen"/>
          <w:sz w:val="24"/>
          <w:szCs w:val="24"/>
        </w:rPr>
        <w:t> </w:t>
      </w:r>
      <w:r w:rsidRPr="00826F05">
        <w:rPr>
          <w:rFonts w:ascii="Sylfaen" w:hAnsi="Sylfaen"/>
          <w:sz w:val="24"/>
          <w:szCs w:val="24"/>
        </w:rPr>
        <w:t>19 հավելվածի 1.3 բաժնում սահմանված՝ փոփոխությունների հետ</w:t>
      </w:r>
      <w:r w:rsidR="00C54D75">
        <w:rPr>
          <w:rFonts w:ascii="Sylfaen" w:hAnsi="Sylfaen"/>
          <w:sz w:val="24"/>
          <w:szCs w:val="24"/>
        </w:rPr>
        <w:t>և</w:t>
      </w:r>
      <w:r w:rsidRPr="00826F05">
        <w:rPr>
          <w:rFonts w:ascii="Sylfaen" w:hAnsi="Sylfaen"/>
          <w:sz w:val="24"/>
          <w:szCs w:val="24"/>
        </w:rPr>
        <w:t>յալ կատեգորիաները՝</w:t>
      </w:r>
    </w:p>
    <w:p w14:paraId="307B6337"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IA տիպի ոչ էական փոփոխություններ, </w:t>
      </w:r>
    </w:p>
    <w:p w14:paraId="089A03A9"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IB տիպի ոչ էական փոփոխություններ, </w:t>
      </w:r>
    </w:p>
    <w:p w14:paraId="178B133C"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II տիպի էական փոփոխություններ, </w:t>
      </w:r>
    </w:p>
    <w:p w14:paraId="4D6D980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ընդլայնում,</w:t>
      </w:r>
    </w:p>
    <w:p w14:paraId="006EE77E"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անվտանգության նկատառումներով անհետաձգելի սահմանափակում:</w:t>
      </w:r>
    </w:p>
    <w:p w14:paraId="39B38C2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հավաստագրերի իրավատերերն իրավունք ունեն դիմելու ռեֆերենտ պետության լիազորված մարմին (փորձագիտական կազմակերպություն)՝ փոփոխությունների դասակարգման առաջարկության կամ </w:t>
      </w:r>
      <w:r w:rsidRPr="00826F05">
        <w:rPr>
          <w:rFonts w:ascii="Sylfaen" w:hAnsi="Sylfaen"/>
          <w:sz w:val="24"/>
          <w:szCs w:val="24"/>
        </w:rPr>
        <w:lastRenderedPageBreak/>
        <w:t xml:space="preserve">գրանցման դոսյեում փոփոխությունների փորձաքննության հետ կապված այլ հարցերի վերաբերյալ խորհրդատվություն ստանալու համար: Անհրաժեշտության դեպքում լիազորված մարմնի (փորձագիտական կազմակերպության) կողմից առավել մանրամասն կարգավորիչ կամ ընթացակարգային առաջարկություն ստանալու նպատակով փոփոխությունը ներկայացնելուց առաջ կարող է քննարկում կազմակերպվել ռեֆերենտ պետության </w:t>
      </w:r>
      <w:r w:rsidR="00C54D75">
        <w:rPr>
          <w:rFonts w:ascii="Sylfaen" w:hAnsi="Sylfaen"/>
          <w:sz w:val="24"/>
          <w:szCs w:val="24"/>
        </w:rPr>
        <w:t>և</w:t>
      </w:r>
      <w:r w:rsidRPr="00826F05">
        <w:rPr>
          <w:rFonts w:ascii="Sylfaen" w:hAnsi="Sylfaen"/>
          <w:sz w:val="24"/>
          <w:szCs w:val="24"/>
        </w:rPr>
        <w:t xml:space="preserve"> (կամ) ճանաչման պետության լիազորված մարմնի (փորձագիտական կազմակերպության) հետ:</w:t>
      </w:r>
    </w:p>
    <w:p w14:paraId="3814F45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համապատասխան մարմնի հարցման հիման վրա պետք է անհապաղ ներկայացնի որոշակի փոփոխություն իրականացնելուն վերաբերող ցանկացած տեղեկատվություն:</w:t>
      </w:r>
    </w:p>
    <w:p w14:paraId="16EF4F35"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w:t>
      </w:r>
      <w:r w:rsidRPr="00826F05">
        <w:rPr>
          <w:rFonts w:ascii="Sylfaen" w:hAnsi="Sylfaen"/>
          <w:sz w:val="24"/>
          <w:szCs w:val="24"/>
        </w:rPr>
        <w:tab/>
        <w:t>IA տիպի ոչ էական փոփոխությունները:</w:t>
      </w:r>
    </w:p>
    <w:p w14:paraId="75BE594D" w14:textId="72BF8DE0" w:rsidR="004F5982" w:rsidRPr="00826F05" w:rsidRDefault="004F5982" w:rsidP="00487007">
      <w:pPr>
        <w:spacing w:after="160" w:line="384" w:lineRule="auto"/>
        <w:ind w:right="-23" w:firstLine="567"/>
        <w:jc w:val="both"/>
        <w:rPr>
          <w:rFonts w:ascii="Sylfaen" w:eastAsia="Times New Roman" w:hAnsi="Sylfaen" w:cs="Times New Roman"/>
          <w:sz w:val="24"/>
          <w:szCs w:val="24"/>
        </w:rPr>
      </w:pPr>
      <w:r w:rsidRPr="0085124A">
        <w:rPr>
          <w:rFonts w:ascii="Sylfaen" w:hAnsi="Sylfaen"/>
          <w:spacing w:val="-6"/>
          <w:sz w:val="24"/>
          <w:szCs w:val="24"/>
        </w:rPr>
        <w:t xml:space="preserve">Սույնով բերվում են IA տիպի ոչ էական փոփոխությունների մասով Դեղամիջոցների գրանցման կանոնների թիվ 19 հավելվածի </w:t>
      </w:r>
      <w:r w:rsidRPr="00826F05">
        <w:rPr>
          <w:rFonts w:ascii="Sylfaen" w:hAnsi="Sylfaen"/>
          <w:sz w:val="24"/>
          <w:szCs w:val="24"/>
        </w:rPr>
        <w:t xml:space="preserve">1.7, 2.1, 2.4, 3.1, 3.4, 3.5 կետերի, 4.2.1 </w:t>
      </w:r>
      <w:r w:rsidR="00C54D75">
        <w:rPr>
          <w:rFonts w:ascii="Sylfaen" w:hAnsi="Sylfaen"/>
          <w:sz w:val="24"/>
          <w:szCs w:val="24"/>
        </w:rPr>
        <w:t>և</w:t>
      </w:r>
      <w:r w:rsidRPr="00826F05">
        <w:rPr>
          <w:rFonts w:ascii="Sylfaen" w:hAnsi="Sylfaen"/>
          <w:sz w:val="24"/>
          <w:szCs w:val="24"/>
        </w:rPr>
        <w:t xml:space="preserve"> 4.2.2 ենթակետերի կիրառման վերաբերյալ դրույթները: Դեղամիջոցների գրանցման կանոնների թիվ 19 հավելվածը պարունակում է այն փոփոխությունների ցանկը, որոնք պետք է դիտարկել որպես IA տիպի ոչ էական փոփոխություններ: Նման ոչ էական փոփոխությունների համար նախնական հաստատում չի պահանջվում (բացառությամբ դեղապատրաստուկի մասին տեղեկատվության վերանայման հանգեցնող փոփոխությունների՝ համաձայն Դեղամիջոցների գրանցման կանոնների թիվ 19 հավելվածի 1.6 կետի, որոնց մասով փոփոխություններ կատարելու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 իրականացնելը), բայց իրավատերը պետք է դրանց մասին ծանուցի իրականացման օրվանից սկսված՝ 365 օրացուցային օրվա ընթացքում (12 ամիս) («կատարիր </w:t>
      </w:r>
      <w:r w:rsidR="00C54D75">
        <w:rPr>
          <w:rFonts w:ascii="Sylfaen" w:hAnsi="Sylfaen"/>
          <w:sz w:val="24"/>
          <w:szCs w:val="24"/>
        </w:rPr>
        <w:t>և</w:t>
      </w:r>
      <w:r w:rsidRPr="00826F05">
        <w:rPr>
          <w:rFonts w:ascii="Sylfaen" w:hAnsi="Sylfaen"/>
          <w:sz w:val="24"/>
          <w:szCs w:val="24"/>
        </w:rPr>
        <w:t xml:space="preserve"> պատմիր» ընթացակարգ): Սակայն դեղապատրաստուկի անընդհատ վերահսկողությունն ապահովելու նպատակով IA տիպի որոշ ոչ էական փոփոխությունների համար դրանք իրականացնելուց հետո պահանջվում է անհապաղ ծանուցում:</w:t>
      </w:r>
    </w:p>
    <w:p w14:paraId="2274CFE4" w14:textId="59CDC1F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Դեղամիջոցների գրանցման կանոնների թիվ 19 հավելվածի V լրացման մեջ նկարագրված են </w:t>
      </w:r>
      <w:r w:rsidR="0056496B">
        <w:rPr>
          <w:rFonts w:ascii="Sylfaen" w:hAnsi="Sylfaen"/>
          <w:sz w:val="24"/>
          <w:szCs w:val="24"/>
        </w:rPr>
        <w:t>դիմումատու</w:t>
      </w:r>
      <w:r w:rsidRPr="00826F05">
        <w:rPr>
          <w:rFonts w:ascii="Sylfaen" w:hAnsi="Sylfaen"/>
          <w:sz w:val="24"/>
          <w:szCs w:val="24"/>
        </w:rPr>
        <w:t xml:space="preserve">ի կողմից ներկայացվող փաստաթղթերի </w:t>
      </w:r>
      <w:r w:rsidR="00C54D75">
        <w:rPr>
          <w:rFonts w:ascii="Sylfaen" w:hAnsi="Sylfaen"/>
          <w:sz w:val="24"/>
          <w:szCs w:val="24"/>
        </w:rPr>
        <w:t>և</w:t>
      </w:r>
      <w:r w:rsidRPr="00826F05">
        <w:rPr>
          <w:rFonts w:ascii="Sylfaen" w:hAnsi="Sylfaen"/>
          <w:sz w:val="24"/>
          <w:szCs w:val="24"/>
        </w:rPr>
        <w:t xml:space="preserve"> տվյալների նկատմամբ պահանջները </w:t>
      </w:r>
      <w:r w:rsidR="00C54D75">
        <w:rPr>
          <w:rFonts w:ascii="Sylfaen" w:hAnsi="Sylfaen"/>
          <w:sz w:val="24"/>
          <w:szCs w:val="24"/>
        </w:rPr>
        <w:t>և</w:t>
      </w:r>
      <w:r w:rsidRPr="00826F05">
        <w:rPr>
          <w:rFonts w:ascii="Sylfaen" w:hAnsi="Sylfaen"/>
          <w:sz w:val="24"/>
          <w:szCs w:val="24"/>
        </w:rPr>
        <w:t xml:space="preserve"> այն պայմանները, որոնք անհրաժեշտ է պահպանել, որպեսզի փոփոխությունը ենթարկվի IA տիպի ոչ էական փոփոխությունների ծանուցման ընթացակարգին, որոնց համար դրանք իրականացնելուց հետո պահանջվում է անհապաղ ծանուցում: </w:t>
      </w:r>
    </w:p>
    <w:p w14:paraId="76582D79"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2.1.1.</w:t>
      </w:r>
      <w:r w:rsidRPr="00826F05">
        <w:rPr>
          <w:rFonts w:ascii="Sylfaen" w:hAnsi="Sylfaen"/>
          <w:sz w:val="24"/>
          <w:szCs w:val="24"/>
        </w:rPr>
        <w:tab/>
        <w:t>IA տիպի ոչ էական փոփոխություններ կատարելու մասին ծանուցելու ընթացակարգը:</w:t>
      </w:r>
    </w:p>
    <w:p w14:paraId="2FD57E62" w14:textId="1B29607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փոփոխությունների համար լիազորված մարմինների (փորձագիտական կազմակերպությունների) կողմից նախնական հաստատում չի պահանջվում նախքան գրանցման հավաստագրի իրավատիրոջ կողմից դրանց իրականացումը՝ բացառությամբ այն փոփոխությունների, որոնք հանգեցնում են դեղապատրաստուկի մասին տեղեկատվության վերանայման՝ Դեղամիջոցների գրանցման կանոնների թիվ 19 հավելվածի 1.6 կետի համաձայն, որոնց մասով փոփոխություններ կատարելու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փոփոխությունն իրականացնելը:</w:t>
      </w:r>
    </w:p>
    <w:p w14:paraId="2C5E4028" w14:textId="1593BC02"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Ընդհանուր կանոնի համաձայն՝ փոփոխությունն իրականացնելու օրվանից սկսած 365 օրացուցային օրից (12 ամիս) ոչ ուշ </w:t>
      </w:r>
      <w:r w:rsidR="0056496B">
        <w:rPr>
          <w:rFonts w:ascii="Sylfaen" w:hAnsi="Sylfaen"/>
          <w:sz w:val="24"/>
          <w:szCs w:val="24"/>
        </w:rPr>
        <w:t>դիմումատու</w:t>
      </w:r>
      <w:r w:rsidRPr="00826F05">
        <w:rPr>
          <w:rFonts w:ascii="Sylfaen" w:hAnsi="Sylfaen"/>
          <w:sz w:val="24"/>
          <w:szCs w:val="24"/>
        </w:rPr>
        <w:t xml:space="preserve">ն պետք է ռեֆերենտ պետության լիազորված մարմին (փորձագիտական կազմակերպություն) ներկայացնի փոփոխությունների դոսյե (ծանուցում), որը պարունակում է Դեղամիջոցների գրանցման կանոնների թիվ 19 հավելվածի IV լրացման մեջ թվարկված տարրերը: Դեղապատրաստուկի մասին տեղեկատվության վերանայմանը հանգեցնող փոփոխություններ կատարելու վերաբերյալ </w:t>
      </w:r>
      <w:r w:rsidR="0056496B">
        <w:rPr>
          <w:rFonts w:ascii="Sylfaen" w:hAnsi="Sylfaen"/>
          <w:sz w:val="24"/>
          <w:szCs w:val="24"/>
        </w:rPr>
        <w:t>դիմում</w:t>
      </w:r>
      <w:r w:rsidRPr="00826F05">
        <w:rPr>
          <w:rFonts w:ascii="Sylfaen" w:hAnsi="Sylfaen"/>
          <w:sz w:val="24"/>
          <w:szCs w:val="24"/>
        </w:rPr>
        <w:t>ը, համաձայն Դեղամիջոցների գրանցման կանոնների թիվ 19 հավելվածի 1.6 կետի, անհրաժեշտ է ներկայացնել մինչ փոփոխություններն իրականացնելը:</w:t>
      </w:r>
    </w:p>
    <w:p w14:paraId="36D00E1B" w14:textId="1DD6B3D3"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իրավունք ունի անհապաղ ծանուցմամբ IA տիպի ոչ էական փոփոխության մասին փաստաթղթեր ներկայացնելիս ներառելու IA տիպի ոչ էական փոփոխություն, որը ենթակա չէ անհապաղ ծանուցման, կամ ցանկացած այլ փոփոխություն:</w:t>
      </w:r>
    </w:p>
    <w:p w14:paraId="66B9F7E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Անհրաժեշտ է պահպանել Դեղամիջոցների գրանցման կանոնների թիվ</w:t>
      </w:r>
      <w:r w:rsidRPr="0085124A">
        <w:rPr>
          <w:rFonts w:ascii="Sylfaen" w:hAnsi="Sylfaen"/>
          <w:sz w:val="24"/>
          <w:szCs w:val="24"/>
        </w:rPr>
        <w:t> </w:t>
      </w:r>
      <w:r w:rsidRPr="00826F05">
        <w:rPr>
          <w:rFonts w:ascii="Sylfaen" w:hAnsi="Sylfaen"/>
          <w:sz w:val="24"/>
          <w:szCs w:val="24"/>
        </w:rPr>
        <w:t>19</w:t>
      </w:r>
      <w:r w:rsidRPr="0085124A">
        <w:rPr>
          <w:rFonts w:ascii="Sylfaen" w:hAnsi="Sylfaen"/>
          <w:sz w:val="24"/>
          <w:szCs w:val="24"/>
        </w:rPr>
        <w:t> </w:t>
      </w:r>
      <w:r w:rsidRPr="00826F05">
        <w:rPr>
          <w:rFonts w:ascii="Sylfaen" w:hAnsi="Sylfaen"/>
          <w:sz w:val="24"/>
          <w:szCs w:val="24"/>
        </w:rPr>
        <w:t xml:space="preserve">հավելվածի 1.7.2 </w:t>
      </w:r>
      <w:r w:rsidR="00C54D75">
        <w:rPr>
          <w:rFonts w:ascii="Sylfaen" w:hAnsi="Sylfaen"/>
          <w:sz w:val="24"/>
          <w:szCs w:val="24"/>
        </w:rPr>
        <w:t>և</w:t>
      </w:r>
      <w:r w:rsidRPr="00826F05">
        <w:rPr>
          <w:rFonts w:ascii="Sylfaen" w:hAnsi="Sylfaen"/>
          <w:sz w:val="24"/>
          <w:szCs w:val="24"/>
        </w:rPr>
        <w:t xml:space="preserve"> 3.4.2 կետերով նախատեսված համապատասխան պայմանները:</w:t>
      </w:r>
    </w:p>
    <w:p w14:paraId="07682772" w14:textId="0BC070C6"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1.7.2 կետին </w:t>
      </w:r>
      <w:r w:rsidR="00C54D75">
        <w:rPr>
          <w:rFonts w:ascii="Sylfaen" w:hAnsi="Sylfaen"/>
          <w:sz w:val="24"/>
          <w:szCs w:val="24"/>
        </w:rPr>
        <w:t>և</w:t>
      </w:r>
      <w:r w:rsidRPr="00826F05">
        <w:rPr>
          <w:rFonts w:ascii="Sylfaen" w:hAnsi="Sylfaen"/>
          <w:sz w:val="24"/>
          <w:szCs w:val="24"/>
        </w:rPr>
        <w:t xml:space="preserve"> 3.4.2 կետին համապատասխան </w:t>
      </w:r>
      <w:r w:rsidR="0056496B">
        <w:rPr>
          <w:rFonts w:ascii="Sylfaen" w:hAnsi="Sylfaen"/>
          <w:sz w:val="24"/>
          <w:szCs w:val="24"/>
        </w:rPr>
        <w:t>դիմումատու</w:t>
      </w:r>
      <w:r w:rsidRPr="00826F05">
        <w:rPr>
          <w:rFonts w:ascii="Sylfaen" w:hAnsi="Sylfaen"/>
          <w:sz w:val="24"/>
          <w:szCs w:val="24"/>
        </w:rPr>
        <w:t xml:space="preserve">ն իրավունք ունի մեկ ծանուցման մեջ խմբավորելու մի քանի IA տիպի ոչ էական փոփոխություններ: Դրա համար նախատեսված է IA տիպի փոփոխությունների խմբավորման 2 հնարավորություն՝ </w:t>
      </w:r>
    </w:p>
    <w:p w14:paraId="41BE01AD" w14:textId="22E3DD9E"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w:t>
      </w:r>
      <w:r w:rsidRPr="00826F05">
        <w:rPr>
          <w:rFonts w:ascii="Sylfaen" w:hAnsi="Sylfaen"/>
          <w:sz w:val="24"/>
          <w:szCs w:val="24"/>
        </w:rPr>
        <w:tab/>
      </w:r>
      <w:r w:rsidR="0056496B">
        <w:rPr>
          <w:rFonts w:ascii="Sylfaen" w:hAnsi="Sylfaen"/>
          <w:sz w:val="24"/>
          <w:szCs w:val="24"/>
        </w:rPr>
        <w:t>դիմումատու</w:t>
      </w:r>
      <w:r w:rsidRPr="00826F05">
        <w:rPr>
          <w:rFonts w:ascii="Sylfaen" w:hAnsi="Sylfaen"/>
          <w:sz w:val="24"/>
          <w:szCs w:val="24"/>
        </w:rPr>
        <w:t>ն իրավունք ունի խմբավորելու մեկ գրանցման դոսյեի մի քանի IA տիպի ոչ էական փոփոխություններ, եթե դրանց մասին ծանուցումը մի</w:t>
      </w:r>
      <w:r w:rsidR="00C54D75">
        <w:rPr>
          <w:rFonts w:ascii="Sylfaen" w:hAnsi="Sylfaen"/>
          <w:sz w:val="24"/>
          <w:szCs w:val="24"/>
        </w:rPr>
        <w:t>և</w:t>
      </w:r>
      <w:r w:rsidRPr="00826F05">
        <w:rPr>
          <w:rFonts w:ascii="Sylfaen" w:hAnsi="Sylfaen"/>
          <w:sz w:val="24"/>
          <w:szCs w:val="24"/>
        </w:rPr>
        <w:t>նույն լիազորված մարմնին (փորձագիտական կազմակերպությանը) կատարվում է միաժամանակ:</w:t>
      </w:r>
    </w:p>
    <w:p w14:paraId="31532BB5" w14:textId="5FEA85B8"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բ)</w:t>
      </w:r>
      <w:r w:rsidRPr="00826F05">
        <w:rPr>
          <w:rFonts w:ascii="Sylfaen" w:hAnsi="Sylfaen"/>
          <w:sz w:val="24"/>
          <w:szCs w:val="24"/>
        </w:rPr>
        <w:tab/>
      </w:r>
      <w:r w:rsidR="0056496B">
        <w:rPr>
          <w:rFonts w:ascii="Sylfaen" w:hAnsi="Sylfaen"/>
          <w:sz w:val="24"/>
          <w:szCs w:val="24"/>
        </w:rPr>
        <w:t>դիմումատու</w:t>
      </w:r>
      <w:r w:rsidRPr="00826F05">
        <w:rPr>
          <w:rFonts w:ascii="Sylfaen" w:hAnsi="Sylfaen"/>
          <w:sz w:val="24"/>
          <w:szCs w:val="24"/>
        </w:rPr>
        <w:t>ն իրավունք ունի մեկ կամ ավելի IA տիպի ոչ էական փոփոխություններ խմբավորելու մի քանի գրանցման դոսյեներում մեկ ծանուցման շրջանակում, եթե դիտարկվող բոլոր գրանցման դոսյեներում փոփոխությունները նույնն են, իսկ դրանց մասին ծանուցումը մի</w:t>
      </w:r>
      <w:r w:rsidR="00C54D75">
        <w:rPr>
          <w:rFonts w:ascii="Sylfaen" w:hAnsi="Sylfaen"/>
          <w:sz w:val="24"/>
          <w:szCs w:val="24"/>
        </w:rPr>
        <w:t>և</w:t>
      </w:r>
      <w:r w:rsidRPr="00826F05">
        <w:rPr>
          <w:rFonts w:ascii="Sylfaen" w:hAnsi="Sylfaen"/>
          <w:sz w:val="24"/>
          <w:szCs w:val="24"/>
        </w:rPr>
        <w:t xml:space="preserve">նույն լիազորված մարմնին (փորձագիտական կազմակերպությանը) կատարվում է միաժամանակ: </w:t>
      </w:r>
    </w:p>
    <w:p w14:paraId="5EC07AC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C65CD2">
        <w:rPr>
          <w:rFonts w:ascii="Sylfaen" w:hAnsi="Sylfaen"/>
          <w:spacing w:val="-6"/>
          <w:sz w:val="24"/>
          <w:szCs w:val="24"/>
        </w:rPr>
        <w:t>IA տիպի ոչ էական փոփոխությունների մասին ծանուցման 365-օրյա</w:t>
      </w:r>
      <w:r w:rsidRPr="00826F05">
        <w:rPr>
          <w:rFonts w:ascii="Sylfaen" w:hAnsi="Sylfaen"/>
          <w:sz w:val="24"/>
          <w:szCs w:val="24"/>
        </w:rPr>
        <w:t xml:space="preserve"> (12-ամսյա) սահմանային ժամկետը գրանցման հավաստագրերի իրավատերերին թույլ է տալիս 1 տարվա ընթացքում կուտակել իրենց դեղապատրաստուկների հետ կապված IA տիպի փոփոխությունները: Սակայն փաստաթղթերի մեկանգամյա ներկայացման շրջանակներում այդ փոփոխությունների մասին ծանուցումը հնարավոր է միայն խմբավորման պայմանների պահպանմամբ (դիտարկվող բոլոր դեղապատրաստուկներում մի</w:t>
      </w:r>
      <w:r w:rsidR="00C54D75">
        <w:rPr>
          <w:rFonts w:ascii="Sylfaen" w:hAnsi="Sylfaen"/>
          <w:sz w:val="24"/>
          <w:szCs w:val="24"/>
        </w:rPr>
        <w:t>և</w:t>
      </w:r>
      <w:r w:rsidRPr="00826F05">
        <w:rPr>
          <w:rFonts w:ascii="Sylfaen" w:hAnsi="Sylfaen"/>
          <w:sz w:val="24"/>
          <w:szCs w:val="24"/>
        </w:rPr>
        <w:t>նույն փոփոխությունները):</w:t>
      </w:r>
    </w:p>
    <w:p w14:paraId="1932C45D"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Դրա առնչությամբ հնարավոր է, որ 365 օրացուցային օրվա (12 ամիս) ընթացքում իրականացված փոփոխությունների (այսպես կոչված՝ «ամենամյա հաշվետվություն») մասին ծանուցման համար պահանջվի փաստաթղթերի ներկայացում մի քանի անգամ, օրինակ՝ մեկը՝ IA տիպի մեկ ոչ էական փոփոխության մասով, մյուսը՝ մեկ գրանցման դոսյեում IA տիպի ոչ էական </w:t>
      </w:r>
      <w:r w:rsidRPr="00826F05">
        <w:rPr>
          <w:rFonts w:ascii="Sylfaen" w:hAnsi="Sylfaen"/>
          <w:sz w:val="24"/>
          <w:szCs w:val="24"/>
        </w:rPr>
        <w:lastRenderedPageBreak/>
        <w:t xml:space="preserve">փոփոխությունների խմբի մասով, </w:t>
      </w:r>
      <w:r w:rsidR="00C54D75">
        <w:rPr>
          <w:rFonts w:ascii="Sylfaen" w:hAnsi="Sylfaen"/>
          <w:sz w:val="24"/>
          <w:szCs w:val="24"/>
        </w:rPr>
        <w:t>և</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ս մեկը՝ մի քանի գրանցման դոսյեներում IA</w:t>
      </w:r>
      <w:r w:rsidRPr="00C65CD2">
        <w:rPr>
          <w:rFonts w:ascii="Sylfaen" w:hAnsi="Sylfaen"/>
          <w:sz w:val="24"/>
          <w:szCs w:val="24"/>
        </w:rPr>
        <w:t> </w:t>
      </w:r>
      <w:r w:rsidRPr="00826F05">
        <w:rPr>
          <w:rFonts w:ascii="Sylfaen" w:hAnsi="Sylfaen"/>
          <w:sz w:val="24"/>
          <w:szCs w:val="24"/>
        </w:rPr>
        <w:t>տիպի ոչ էական փոփոխությունների խմբի մասով:</w:t>
      </w:r>
    </w:p>
    <w:p w14:paraId="4BA3F3B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Փոփոխություններ կատարելու մասին ծանուցումը պետք է պարունակի Դեղամիջոցների գրանցման կանոնների թիվ 19 հավելվածի IV լրացման մեջ նշված փաստաթղթերը </w:t>
      </w:r>
      <w:r w:rsidR="00C54D75">
        <w:rPr>
          <w:rFonts w:ascii="Sylfaen" w:hAnsi="Sylfaen"/>
          <w:sz w:val="24"/>
          <w:szCs w:val="24"/>
        </w:rPr>
        <w:t>և</w:t>
      </w:r>
      <w:r w:rsidRPr="00826F05">
        <w:rPr>
          <w:rFonts w:ascii="Sylfaen" w:hAnsi="Sylfaen"/>
          <w:sz w:val="24"/>
          <w:szCs w:val="24"/>
        </w:rPr>
        <w:t xml:space="preserve"> տվյալները, որոնք ներկայացվում են հետ</w:t>
      </w:r>
      <w:r w:rsidR="00C54D75">
        <w:rPr>
          <w:rFonts w:ascii="Sylfaen" w:hAnsi="Sylfaen"/>
          <w:sz w:val="24"/>
          <w:szCs w:val="24"/>
        </w:rPr>
        <w:t>և</w:t>
      </w:r>
      <w:r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Pr="00826F05">
        <w:rPr>
          <w:rFonts w:ascii="Sylfaen" w:hAnsi="Sylfaen"/>
          <w:sz w:val="24"/>
          <w:szCs w:val="24"/>
        </w:rPr>
        <w:t xml:space="preserve">աչափով՝ </w:t>
      </w:r>
    </w:p>
    <w:p w14:paraId="6BCA45D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ուղեկցող նամակը, </w:t>
      </w:r>
    </w:p>
    <w:p w14:paraId="49E735EE" w14:textId="13B09F1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w:t>
      </w:r>
      <w:r w:rsidR="0056496B">
        <w:rPr>
          <w:rFonts w:ascii="Sylfaen" w:hAnsi="Sylfaen"/>
          <w:sz w:val="24"/>
          <w:szCs w:val="24"/>
        </w:rPr>
        <w:t>դիմում</w:t>
      </w:r>
      <w:r w:rsidRPr="00826F05">
        <w:rPr>
          <w:rFonts w:ascii="Sylfaen" w:hAnsi="Sylfaen"/>
          <w:sz w:val="24"/>
          <w:szCs w:val="24"/>
        </w:rPr>
        <w:t>ը, այդ թվում՝ դիտարկվող դեղապատրաստուկի մասին տեղեկությունները, ինչպես նա</w:t>
      </w:r>
      <w:r w:rsidR="00C54D75">
        <w:rPr>
          <w:rFonts w:ascii="Sylfaen" w:hAnsi="Sylfaen"/>
          <w:sz w:val="24"/>
          <w:szCs w:val="24"/>
        </w:rPr>
        <w:t>և</w:t>
      </w:r>
      <w:r w:rsidRPr="00826F05">
        <w:rPr>
          <w:rFonts w:ascii="Sylfaen" w:hAnsi="Sylfaen"/>
          <w:sz w:val="24"/>
          <w:szCs w:val="24"/>
        </w:rPr>
        <w:t xml:space="preserve"> ներկայացված բոլոր փոփոխությունների նկարագրությունը դրանց իրականացման ամսաթվի հետ միասին համապատասխանաբար: Եթե</w:t>
      </w:r>
      <w:r w:rsidRPr="00C65CD2">
        <w:rPr>
          <w:rFonts w:ascii="Sylfaen" w:hAnsi="Sylfaen"/>
          <w:sz w:val="24"/>
          <w:szCs w:val="24"/>
        </w:rPr>
        <w:t> </w:t>
      </w:r>
      <w:r w:rsidRPr="00826F05">
        <w:rPr>
          <w:rFonts w:ascii="Sylfaen" w:hAnsi="Sylfaen"/>
          <w:sz w:val="24"/>
          <w:szCs w:val="24"/>
        </w:rPr>
        <w:t>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w:t>
      </w:r>
    </w:p>
    <w:p w14:paraId="460CD509" w14:textId="514A688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փոփոխության ծածկագրի նշումը՝ Դեղամիջոցների գրանցման կանոնների թիվ 19 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կետին համապատասխան ներկայացված՝ դասակարգման առաջակության նշումը,</w:t>
      </w:r>
    </w:p>
    <w:p w14:paraId="7555917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V լրացման մեջ նշված բոլոր փաստաթղթերը,</w:t>
      </w:r>
    </w:p>
    <w:p w14:paraId="6EBB2C5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w:t>
      </w:r>
      <w:r w:rsidRPr="00C65CD2">
        <w:rPr>
          <w:rFonts w:ascii="Sylfaen" w:hAnsi="Sylfaen"/>
          <w:spacing w:val="-6"/>
          <w:sz w:val="24"/>
          <w:szCs w:val="24"/>
        </w:rPr>
        <w:t xml:space="preserve">նորմատիվ փաստաթղթին՝ պատշաճ կերպով ներկայացված՝ դեղապատրաստուկի մասին վերանայված տեղեկատվությանը (դեղապատրաստուկի ընդհանուր </w:t>
      </w:r>
      <w:r w:rsidRPr="00C65CD2">
        <w:rPr>
          <w:rFonts w:ascii="Sylfaen" w:hAnsi="Sylfaen"/>
          <w:spacing w:val="-6"/>
          <w:sz w:val="24"/>
          <w:szCs w:val="24"/>
        </w:rPr>
        <w:lastRenderedPageBreak/>
        <w:t>բնութագրին, մականշվածքին</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ներդիր-թերթիկին),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լեզուներով համապատասխան թարգմանությունները՝ դրանց օրենսդրության մեջ համապատասխան պահանջների առկայության դեպքում: Եթե IA տիպի ոչ էական փոփոխությունն ազդում է երկրորդային </w:t>
      </w:r>
      <w:r w:rsidR="00C54D75">
        <w:rPr>
          <w:rFonts w:ascii="Sylfaen" w:hAnsi="Sylfaen"/>
          <w:sz w:val="24"/>
          <w:szCs w:val="24"/>
        </w:rPr>
        <w:t>և</w:t>
      </w:r>
      <w:r w:rsidRPr="00826F05">
        <w:rPr>
          <w:rFonts w:ascii="Sylfaen" w:hAnsi="Sylfaen"/>
          <w:sz w:val="24"/>
          <w:szCs w:val="24"/>
        </w:rPr>
        <w:t xml:space="preserve"> (կամ) առաջնային փաթեթվածքի ընդհանուր դիզայնի վրա, անհրաժեշտ է, որ լիազորված մարմինը (փորձագիտական կազմակերպությունը) ներկայացնի փաթեթվածքի մանրակերտերը:</w:t>
      </w:r>
    </w:p>
    <w:p w14:paraId="1DA208C3" w14:textId="7FEF8C6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կետում նշված փոփոխությունների մասով ռեֆերենտ պետության լիազորված մարմինը (փորձագիտական կազմակերպությունը) պետք է լրացուցիչ ստանա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ը ճանաչման պետություններ ներկայացնելու ամսաթվերի </w:t>
      </w:r>
      <w:r w:rsidR="00C54D75">
        <w:rPr>
          <w:rFonts w:ascii="Sylfaen" w:hAnsi="Sylfaen"/>
          <w:sz w:val="24"/>
          <w:szCs w:val="24"/>
        </w:rPr>
        <w:t>և</w:t>
      </w:r>
      <w:r w:rsidRPr="00826F05">
        <w:rPr>
          <w:rFonts w:ascii="Sylfaen" w:hAnsi="Sylfaen"/>
          <w:sz w:val="24"/>
          <w:szCs w:val="24"/>
        </w:rPr>
        <w:t xml:space="preserve"> ճանաչման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Pr="00C65CD2">
        <w:rPr>
          <w:rFonts w:ascii="Sylfaen" w:hAnsi="Sylfaen"/>
          <w:spacing w:val="-6"/>
          <w:sz w:val="24"/>
          <w:szCs w:val="24"/>
        </w:rPr>
        <w:t>փոփոխություններ կատարելու (</w:t>
      </w:r>
      <w:r w:rsidR="00C54D75">
        <w:rPr>
          <w:rFonts w:ascii="Sylfaen" w:hAnsi="Sylfaen"/>
          <w:spacing w:val="-6"/>
          <w:sz w:val="24"/>
          <w:szCs w:val="24"/>
        </w:rPr>
        <w:t>և</w:t>
      </w:r>
      <w:r w:rsidRPr="00C65CD2">
        <w:rPr>
          <w:rFonts w:ascii="Sylfaen" w:hAnsi="Sylfaen"/>
          <w:spacing w:val="-6"/>
          <w:sz w:val="24"/>
          <w:szCs w:val="24"/>
        </w:rPr>
        <w:t xml:space="preserve"> անհրաժեշտության դեպքում՝ դրա փորձաքննության) վճարի (տուրքի) վճարումը</w:t>
      </w:r>
      <w:r w:rsidRPr="00826F05">
        <w:rPr>
          <w:rFonts w:ascii="Sylfaen" w:hAnsi="Sylfaen"/>
          <w:sz w:val="24"/>
          <w:szCs w:val="24"/>
        </w:rPr>
        <w:t xml:space="preserve"> հաստատող փաստաթղթերի ցանկը: </w:t>
      </w:r>
    </w:p>
    <w:p w14:paraId="6C36E8F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նշված փոփոխությունների մասով՝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00C54D75">
        <w:rPr>
          <w:rFonts w:ascii="Sylfaen" w:hAnsi="Sylfaen"/>
          <w:sz w:val="24"/>
          <w:szCs w:val="24"/>
        </w:rPr>
        <w:t>և</w:t>
      </w:r>
      <w:r>
        <w:rPr>
          <w:rFonts w:ascii="Sylfaen" w:hAnsi="Sylfaen"/>
          <w:sz w:val="24"/>
          <w:szCs w:val="24"/>
        </w:rPr>
        <w:t> </w:t>
      </w:r>
      <w:r w:rsidRPr="00826F05">
        <w:rPr>
          <w:rFonts w:ascii="Sylfaen" w:hAnsi="Sylfaen"/>
          <w:sz w:val="24"/>
          <w:szCs w:val="24"/>
        </w:rPr>
        <w:t xml:space="preserve">անհրաժեշտության դեպքում՝ դրա փորձաքննության մեջ) փոփոխություններ կատարելու վճարի (տուրքի) վճարման հաստատումը: </w:t>
      </w:r>
    </w:p>
    <w:p w14:paraId="11955568" w14:textId="7BD02FE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C65CD2">
        <w:rPr>
          <w:rFonts w:ascii="Sylfaen" w:hAnsi="Sylfaen"/>
          <w:spacing w:val="6"/>
          <w:sz w:val="24"/>
          <w:szCs w:val="24"/>
        </w:rPr>
        <w:t>Մի</w:t>
      </w:r>
      <w:r w:rsidR="00C54D75">
        <w:rPr>
          <w:rFonts w:ascii="Sylfaen" w:hAnsi="Sylfaen"/>
          <w:spacing w:val="6"/>
          <w:sz w:val="24"/>
          <w:szCs w:val="24"/>
        </w:rPr>
        <w:t>և</w:t>
      </w:r>
      <w:r w:rsidRPr="00C65CD2">
        <w:rPr>
          <w:rFonts w:ascii="Sylfaen" w:hAnsi="Sylfaen"/>
          <w:spacing w:val="6"/>
          <w:sz w:val="24"/>
          <w:szCs w:val="24"/>
        </w:rPr>
        <w:t>նույն գրանցման հավաստագրի իրավատիրոջ մի քանի դեղապատրաստուկների գրանցմանն առնչվող IA տիպի ոչ էական փոփոխությունների խմբի դեպքում Դեղամիջոցների գրանցման</w:t>
      </w:r>
      <w:r w:rsidRPr="00826F05">
        <w:rPr>
          <w:rFonts w:ascii="Sylfaen" w:hAnsi="Sylfaen"/>
          <w:sz w:val="24"/>
          <w:szCs w:val="24"/>
        </w:rPr>
        <w:t xml:space="preserve"> կանոնների թիվ 19 հավելվածի 1.7 կետին կամ 3.4 կետին համապատասխան ընդհանուր ուղեկցող նամակը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 xml:space="preserve">ն անհրաժեշտ է ներկայացնել լրացուցիչ փաստաթղթերի </w:t>
      </w:r>
      <w:r w:rsidR="00C54D75">
        <w:rPr>
          <w:rFonts w:ascii="Sylfaen" w:hAnsi="Sylfaen"/>
          <w:sz w:val="24"/>
          <w:szCs w:val="24"/>
        </w:rPr>
        <w:t>և</w:t>
      </w:r>
      <w:r w:rsidRPr="00826F05">
        <w:rPr>
          <w:rFonts w:ascii="Sylfaen" w:hAnsi="Sylfaen"/>
          <w:sz w:val="24"/>
          <w:szCs w:val="24"/>
        </w:rPr>
        <w:t xml:space="preserve"> դեղապատրաստուկի մասին վերանայված տեղեկատվության հետ միասին </w:t>
      </w:r>
      <w:r w:rsidRPr="00826F05">
        <w:rPr>
          <w:rFonts w:ascii="Sylfaen" w:hAnsi="Sylfaen"/>
          <w:sz w:val="24"/>
          <w:szCs w:val="24"/>
        </w:rPr>
        <w:lastRenderedPageBreak/>
        <w:t>(եթե</w:t>
      </w:r>
      <w:r w:rsidR="00487007" w:rsidRPr="00487007">
        <w:rPr>
          <w:rFonts w:ascii="Sylfaen" w:hAnsi="Sylfaen"/>
          <w:sz w:val="24"/>
          <w:szCs w:val="24"/>
        </w:rPr>
        <w:t> </w:t>
      </w:r>
      <w:r w:rsidRPr="00826F05">
        <w:rPr>
          <w:rFonts w:ascii="Sylfaen" w:hAnsi="Sylfaen"/>
          <w:sz w:val="24"/>
          <w:szCs w:val="24"/>
        </w:rPr>
        <w:t>կիրառելի է)՝ յուրաքանչյուր ուսումնասիրվող դեղապատրաստուկի համար: Դա համապատասխան մարմիններին թույլ կտա թարմացնել խմբում ներառված յուրաքանչյուր գրանցման դոսյե՝ համապատասխան ուղղված կամ նոր տեղեկատվության հետ միասին:</w:t>
      </w:r>
    </w:p>
    <w:p w14:paraId="28FA3772"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2.1.2.</w:t>
      </w:r>
      <w:r w:rsidRPr="00826F05">
        <w:rPr>
          <w:rFonts w:ascii="Sylfaen" w:hAnsi="Sylfaen"/>
          <w:sz w:val="24"/>
          <w:szCs w:val="24"/>
        </w:rPr>
        <w:tab/>
      </w:r>
      <w:r w:rsidRPr="00C65CD2">
        <w:rPr>
          <w:rFonts w:ascii="Sylfaen" w:hAnsi="Sylfaen"/>
          <w:sz w:val="24"/>
          <w:szCs w:val="24"/>
        </w:rPr>
        <w:t>Դեղամիջոցների գրանցման կանոնների թիվ 19 հավելվածի 1.1.3 կետում նշված IA տիպի փոփոխությունների</w:t>
      </w:r>
      <w:r w:rsidRPr="00826F05">
        <w:rPr>
          <w:rFonts w:ascii="Sylfaen" w:hAnsi="Sylfaen"/>
          <w:sz w:val="24"/>
          <w:szCs w:val="24"/>
        </w:rPr>
        <w:t xml:space="preserve"> փորձաքննություն:</w:t>
      </w:r>
    </w:p>
    <w:p w14:paraId="222DE0E4" w14:textId="226B07F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 կատարելու դեպքում, Դեղամիջոցների գրանցման կանոնների թիվ 2 հավելվածի համաձայն,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միաժամանակ համապատասխան բոլոր մարմիններ (փորձագիտական կազմակերպություններ) է ներկայացնում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w:t>
      </w:r>
    </w:p>
    <w:p w14:paraId="55194173" w14:textId="616F6DB2"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w:t>
      </w:r>
    </w:p>
    <w:p w14:paraId="44F0C293" w14:textId="7BE6E28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ճանաչման պետությունների համապատասխան մարմինների համար ինտեգրված համակարգի միջոցներն օգտագործելով, ապահովում է փոփոխության (ծանուցման) դոսյեի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826F05">
        <w:rPr>
          <w:rFonts w:ascii="Sylfaen" w:hAnsi="Sylfaen"/>
          <w:sz w:val="24"/>
          <w:szCs w:val="24"/>
        </w:rPr>
        <w:t xml:space="preserve"> ճիշտ </w:t>
      </w:r>
      <w:r w:rsidRPr="00C65CD2">
        <w:rPr>
          <w:rFonts w:ascii="Sylfaen" w:hAnsi="Sylfaen"/>
          <w:spacing w:val="-6"/>
          <w:sz w:val="24"/>
          <w:szCs w:val="24"/>
        </w:rPr>
        <w:t>ձ</w:t>
      </w:r>
      <w:r w:rsidR="00C54D75">
        <w:rPr>
          <w:rFonts w:ascii="Sylfaen" w:hAnsi="Sylfaen"/>
          <w:spacing w:val="-6"/>
          <w:sz w:val="24"/>
          <w:szCs w:val="24"/>
        </w:rPr>
        <w:t>և</w:t>
      </w:r>
      <w:r w:rsidRPr="00C65CD2">
        <w:rPr>
          <w:rFonts w:ascii="Sylfaen" w:hAnsi="Sylfaen"/>
          <w:spacing w:val="-6"/>
          <w:sz w:val="24"/>
          <w:szCs w:val="24"/>
        </w:rPr>
        <w:t xml:space="preserve">ակերպումը գնահատելուց հետո փոփոխություններ կատարելու </w:t>
      </w:r>
      <w:r w:rsidR="0056496B">
        <w:rPr>
          <w:rFonts w:ascii="Sylfaen" w:hAnsi="Sylfaen"/>
          <w:spacing w:val="-6"/>
          <w:sz w:val="24"/>
          <w:szCs w:val="24"/>
        </w:rPr>
        <w:t>դիմում</w:t>
      </w:r>
      <w:r w:rsidRPr="00C65CD2">
        <w:rPr>
          <w:rFonts w:ascii="Sylfaen" w:hAnsi="Sylfaen"/>
          <w:spacing w:val="-6"/>
          <w:sz w:val="24"/>
          <w:szCs w:val="24"/>
        </w:rPr>
        <w:t>ը ռեֆերենտ պետություն</w:t>
      </w:r>
      <w:r w:rsidRPr="00826F05">
        <w:rPr>
          <w:rFonts w:ascii="Sylfaen" w:hAnsi="Sylfaen"/>
          <w:sz w:val="24"/>
          <w:szCs w:val="24"/>
        </w:rPr>
        <w:t xml:space="preserve"> ներկայացնելու օրվանից 5 աշխատանքային օրվա ընթացքում:</w:t>
      </w:r>
    </w:p>
    <w:p w14:paraId="63656D8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Ռեֆերենտ պետության լիազորված մարմինը (փորձագիտական կազմակերպությունը) անցկացնում է IA տիպի ծանուցման փորձաքննություն այն ստանալու օրվանից 30 օրացուցային օրվա ընթացքում:</w:t>
      </w:r>
    </w:p>
    <w:p w14:paraId="45278BA4" w14:textId="6DB1656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30-րդ օրացուցային օրը ռեֆերենտ պետության լիազորված մարմինը (փորձագիտական կազմակերպությունը) իր եզրակացության մասին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ճանաչման պետությունների լիազորված մարմնին (փորձագիտական կազմակերպությանը):</w:t>
      </w:r>
    </w:p>
    <w:p w14:paraId="1924E3E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նախատեսված ընթացակարգերի արդյունքներով դեղապատրաստուկի գրանցման փոփոխությունները պետք է իրականացվեն Դեղամիջոցների գրանցման կանոնների թիվ 19 հավելվածի 2.4.1 կետի 4-րդ պարբերության </w:t>
      </w:r>
      <w:r w:rsidR="00C54D75">
        <w:rPr>
          <w:rFonts w:ascii="Sylfaen" w:hAnsi="Sylfaen"/>
          <w:sz w:val="24"/>
          <w:szCs w:val="24"/>
        </w:rPr>
        <w:t>և</w:t>
      </w:r>
      <w:r w:rsidRPr="00826F05">
        <w:rPr>
          <w:rFonts w:ascii="Sylfaen" w:hAnsi="Sylfaen"/>
          <w:sz w:val="24"/>
          <w:szCs w:val="24"/>
        </w:rPr>
        <w:t xml:space="preserve"> 3.5.1 կետի երկրորդ պարբերության մեջ նշված տեղեկությունները ստանալուց հետո՝ 180</w:t>
      </w:r>
      <w:r>
        <w:rPr>
          <w:rFonts w:ascii="Sylfaen" w:hAnsi="Sylfaen"/>
          <w:sz w:val="24"/>
          <w:szCs w:val="24"/>
        </w:rPr>
        <w:t> </w:t>
      </w:r>
      <w:r w:rsidRPr="00826F05">
        <w:rPr>
          <w:rFonts w:ascii="Sylfaen" w:hAnsi="Sylfaen"/>
          <w:sz w:val="24"/>
          <w:szCs w:val="24"/>
        </w:rPr>
        <w:t xml:space="preserve">օրացուցային օրվա ընթացքում՝ գրանցման դոսյեի փոփոխության համար </w:t>
      </w:r>
      <w:r w:rsidRPr="00C65CD2">
        <w:rPr>
          <w:rFonts w:ascii="Sylfaen" w:hAnsi="Sylfaen"/>
          <w:spacing w:val="-6"/>
          <w:sz w:val="24"/>
          <w:szCs w:val="24"/>
        </w:rPr>
        <w:t>անհրաժեշտ փաստաթղթերը շահագրգիռ անդամ պետությունների լիազորված մարմիններ (փորձագիտական</w:t>
      </w:r>
      <w:r w:rsidRPr="00826F05">
        <w:rPr>
          <w:rFonts w:ascii="Sylfaen" w:hAnsi="Sylfaen"/>
          <w:sz w:val="24"/>
          <w:szCs w:val="24"/>
        </w:rPr>
        <w:t xml:space="preserve"> կազմակերպություններ) ներկայացնելու պայմանով:</w:t>
      </w:r>
    </w:p>
    <w:p w14:paraId="3746E549" w14:textId="11B7A7B0" w:rsidR="004F5982" w:rsidRPr="00826F05" w:rsidRDefault="004F5982" w:rsidP="00487007">
      <w:pPr>
        <w:spacing w:after="160" w:line="384" w:lineRule="auto"/>
        <w:ind w:right="-2" w:firstLine="567"/>
        <w:jc w:val="both"/>
        <w:rPr>
          <w:rFonts w:ascii="Sylfaen" w:eastAsia="Times New Roman" w:hAnsi="Sylfaen" w:cs="Times New Roman"/>
          <w:sz w:val="24"/>
          <w:szCs w:val="24"/>
        </w:rPr>
      </w:pPr>
      <w:r w:rsidRPr="00826F05">
        <w:rPr>
          <w:rFonts w:ascii="Sylfaen" w:hAnsi="Sylfaen"/>
          <w:sz w:val="24"/>
          <w:szCs w:val="24"/>
        </w:rPr>
        <w:t>Այն դեպքում, երբ Դեղամիջոցների գրանցման կանոնների թիվ 19 հավելվածի 1.6 կետի համաձայն փոփոխությունները հանգեցնում են դեղապատրաստուկի մասին տեղեկատվության վերանայման, համապատասխան լիազորված մարմինները գրանցման դոսյեում փոփոխություններ կատարելու մասին եզրակացությունն ընդունելու օրվանից ոչ ուշ, քան 10 աշխատանքային օր ժամկետում, փոփոխություններ կատարելու մասին տեղեկությունները տեղադրում</w:t>
      </w:r>
      <w:r>
        <w:rPr>
          <w:rFonts w:ascii="Sylfaen" w:hAnsi="Sylfaen"/>
          <w:sz w:val="24"/>
          <w:szCs w:val="24"/>
        </w:rPr>
        <w:t> </w:t>
      </w:r>
      <w:r w:rsidRPr="00826F05">
        <w:rPr>
          <w:rFonts w:ascii="Sylfaen" w:hAnsi="Sylfaen"/>
          <w:sz w:val="24"/>
          <w:szCs w:val="24"/>
        </w:rPr>
        <w:t xml:space="preserve">են Միության գրանցված դեղամիջոցների միասնական ռեեստրում (այսուհետ՝ միասնական ռեեստր)՝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35D7045A" w14:textId="5CE8A253" w:rsidR="004F5982" w:rsidRPr="00826F05" w:rsidRDefault="004F5982" w:rsidP="00487007">
      <w:pPr>
        <w:spacing w:after="160" w:line="384" w:lineRule="auto"/>
        <w:ind w:right="35" w:firstLine="567"/>
        <w:jc w:val="both"/>
        <w:rPr>
          <w:rFonts w:ascii="Sylfaen" w:eastAsia="Times New Roman" w:hAnsi="Sylfaen" w:cs="Times New Roman"/>
          <w:sz w:val="24"/>
          <w:szCs w:val="24"/>
        </w:rPr>
      </w:pPr>
      <w:r w:rsidRPr="00826F05">
        <w:rPr>
          <w:rFonts w:ascii="Sylfaen" w:hAnsi="Sylfaen"/>
          <w:sz w:val="24"/>
          <w:szCs w:val="24"/>
        </w:rPr>
        <w:lastRenderedPageBreak/>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826F05">
        <w:rPr>
          <w:rFonts w:ascii="Sylfaen" w:hAnsi="Sylfaen"/>
          <w:sz w:val="24"/>
          <w:szCs w:val="24"/>
        </w:rPr>
        <w:t xml:space="preserve"> 90 օրացուցային օր երկարաձգելու նշված ժամկետն այն դեպքերում,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14CEBA94" w14:textId="48D206E5"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են IA տիպի մեկ կամ մի քանի ոչ էական փոփոխություններ,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դեղապատրաստուկի փորձաքննության արդյունքներով որ փոփոխությունն է ընդունվել կամ մերժվել: Գրանցման հավաստագրի իրավատերն իրավունք չունի իրականացնելու մերժված փոփոխությունը:</w:t>
      </w:r>
    </w:p>
    <w:p w14:paraId="59D876FD" w14:textId="334B9E08"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 xml:space="preserve">Դոսյեում IA տիպի ոչ էական փոփոխությունների վերաբերյալ բոլոր անհրաժեշտ փաստաթղթերը ներկայացնելու անընդունակությունն անպայմանորեն չի հանգեցնում փոփոխության մերժման, եթե </w:t>
      </w:r>
      <w:r w:rsidR="0056496B">
        <w:rPr>
          <w:rFonts w:ascii="Sylfaen" w:hAnsi="Sylfaen"/>
          <w:sz w:val="24"/>
          <w:szCs w:val="24"/>
        </w:rPr>
        <w:t>դիմումատու</w:t>
      </w:r>
      <w:r w:rsidRPr="00826F05">
        <w:rPr>
          <w:rFonts w:ascii="Sylfaen" w:hAnsi="Sylfaen"/>
          <w:sz w:val="24"/>
          <w:szCs w:val="24"/>
        </w:rPr>
        <w:t>ն համապատասխան մարմնի հարցման հիման վրա ներկայացնի պակասող փաստաթղթերը՝ Դեղամիջոցների գրանցման կանոնների թիվ 19 հավելվածին համապատասխան: IA տիպի ոչ էական փոփոխությունը կարող է որոշ դեպքերում մերժվել՝ հանգեցնելով իրավատիրոջ կողմից արդեն իրականացված դիտարկվող փոփոխությունների իրականացման անհապաղ դադարեցման անհրաժեշտության:</w:t>
      </w:r>
    </w:p>
    <w:p w14:paraId="60599CBA"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2.1.3.</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IA տիպի փոփոխությունների փորձաքննություն:</w:t>
      </w:r>
    </w:p>
    <w:p w14:paraId="68DE7D16" w14:textId="3B60596F"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 կատարելու դեպքում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լիազորված մարմին (փորձագիտական կազմակերպություն) է ներկայացնում փոփոխություններ կատարելու </w:t>
      </w:r>
      <w:r w:rsidR="0056496B">
        <w:rPr>
          <w:rFonts w:ascii="Sylfaen" w:hAnsi="Sylfaen"/>
          <w:sz w:val="24"/>
          <w:szCs w:val="24"/>
        </w:rPr>
        <w:t>դիմում</w:t>
      </w:r>
      <w:r w:rsidRPr="00826F05">
        <w:rPr>
          <w:rFonts w:ascii="Sylfaen" w:hAnsi="Sylfaen"/>
          <w:sz w:val="24"/>
          <w:szCs w:val="24"/>
        </w:rPr>
        <w:t xml:space="preserve">ը` Դեղամիջոցների գրանցման կանոնների թիվ 2 հավելվածի համաձայն,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փաստաթղթերը:</w:t>
      </w:r>
    </w:p>
    <w:p w14:paraId="3A7195F3" w14:textId="0F8BCC5C" w:rsidR="004F5982" w:rsidRPr="00826F05" w:rsidRDefault="0056496B" w:rsidP="00487007">
      <w:pPr>
        <w:spacing w:after="160" w:line="360" w:lineRule="auto"/>
        <w:ind w:right="35" w:firstLine="567"/>
        <w:jc w:val="both"/>
        <w:rPr>
          <w:rFonts w:ascii="Sylfaen" w:hAnsi="Sylfaen"/>
          <w:sz w:val="24"/>
          <w:szCs w:val="24"/>
        </w:rPr>
      </w:pPr>
      <w:r>
        <w:rPr>
          <w:rFonts w:ascii="Sylfaen" w:hAnsi="Sylfaen"/>
          <w:sz w:val="24"/>
          <w:szCs w:val="24"/>
        </w:rPr>
        <w:lastRenderedPageBreak/>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 Ռեֆերենտ պետության լիազորված մարմինը (փորձագիտական կազմակերպությունը) անցկացնում է IA տիպի ոչ էական փոփոխության փորձաքննություն այն ստանալու օրվանից 30 օրացուցային օրվա ընթացքում:</w:t>
      </w:r>
    </w:p>
    <w:p w14:paraId="329266C4" w14:textId="01059C30" w:rsidR="004F5982" w:rsidRPr="00826F05" w:rsidRDefault="004F5982" w:rsidP="00487007">
      <w:pPr>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 xml:space="preserve">30-րդ օրացուցային օրը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իր եզրակացության մասին:</w:t>
      </w:r>
    </w:p>
    <w:p w14:paraId="357D3EBA" w14:textId="6CB11123"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նախատեսված ընթացակարգերի արդյունքներով դեղապատրաստուկի գրանցման փոփոխությունը պետք է իրականացվի </w:t>
      </w:r>
      <w:r w:rsidR="0056496B">
        <w:rPr>
          <w:rFonts w:ascii="Sylfaen" w:hAnsi="Sylfaen"/>
          <w:sz w:val="24"/>
          <w:szCs w:val="24"/>
        </w:rPr>
        <w:t>դիմումատու</w:t>
      </w:r>
      <w:r w:rsidRPr="00826F05">
        <w:rPr>
          <w:rFonts w:ascii="Sylfaen" w:hAnsi="Sylfaen"/>
          <w:sz w:val="24"/>
          <w:szCs w:val="24"/>
        </w:rPr>
        <w:t xml:space="preserve">ին եզրակացության մասին ծանուցելուց հետո՝ 180 օրացուցային օրվա ընթացքում՝ գրանցման դոսյեի փոփոխության համար անհրաժեշտ փաստաթղթերը ռեֆերենտ պետության լիազորված մարմին (փորձագիտական կազմակերպություն) </w:t>
      </w:r>
      <w:r w:rsidR="0056496B">
        <w:rPr>
          <w:rFonts w:ascii="Sylfaen" w:hAnsi="Sylfaen"/>
          <w:sz w:val="24"/>
          <w:szCs w:val="24"/>
        </w:rPr>
        <w:t>դիմումատու</w:t>
      </w:r>
      <w:r w:rsidRPr="00826F05">
        <w:rPr>
          <w:rFonts w:ascii="Sylfaen" w:hAnsi="Sylfaen"/>
          <w:sz w:val="24"/>
          <w:szCs w:val="24"/>
        </w:rPr>
        <w:t>ի կողմից ներկայացնելու պայմանով:</w:t>
      </w:r>
    </w:p>
    <w:p w14:paraId="20DC3106" w14:textId="65A9275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E4274F">
        <w:rPr>
          <w:rFonts w:ascii="Sylfaen" w:hAnsi="Sylfaen"/>
          <w:spacing w:val="-6"/>
          <w:sz w:val="24"/>
          <w:szCs w:val="24"/>
        </w:rPr>
        <w:t>Այն դեպքում, երբ, Դեղամիջոցների գրանցման կանոնների թիվ</w:t>
      </w:r>
      <w:r w:rsidRPr="00826F05">
        <w:rPr>
          <w:rFonts w:ascii="Sylfaen" w:hAnsi="Sylfaen"/>
          <w:sz w:val="24"/>
          <w:szCs w:val="24"/>
        </w:rPr>
        <w:t xml:space="preserve"> 19 հավելվածի 1.6 կետի համաձայն, փոփոխությունները հանգեցնում են դեղապատրաստուկի մասին տեղեկատվության վերանայման, լիազորված մարմինը գրանցման դոսյեում փոփոխություններ կատարելու մասին եզրակացություն ընդունելու օրվանից ոչ</w:t>
      </w:r>
      <w:r>
        <w:rPr>
          <w:rFonts w:ascii="Sylfaen" w:hAnsi="Sylfaen"/>
          <w:sz w:val="24"/>
          <w:szCs w:val="24"/>
        </w:rPr>
        <w:t> </w:t>
      </w:r>
      <w:r w:rsidRPr="00826F05">
        <w:rPr>
          <w:rFonts w:ascii="Sylfaen" w:hAnsi="Sylfaen"/>
          <w:sz w:val="24"/>
          <w:szCs w:val="24"/>
        </w:rPr>
        <w:t>ուշ, քան 10 աշխատանքային օրվա ընթացքում փոփոխություններ կատարելու մասին տեղեկությունները տեղադրում է միասնական ռեեստրում՝ կից</w:t>
      </w:r>
      <w:r>
        <w:rPr>
          <w:rFonts w:ascii="Sylfaen" w:hAnsi="Sylfaen"/>
          <w:sz w:val="24"/>
          <w:szCs w:val="24"/>
        </w:rPr>
        <w:t> </w:t>
      </w:r>
      <w:r w:rsidRPr="00826F05">
        <w:rPr>
          <w:rFonts w:ascii="Sylfaen" w:hAnsi="Sylfaen"/>
          <w:sz w:val="24"/>
          <w:szCs w:val="24"/>
        </w:rPr>
        <w:t xml:space="preserve">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w:t>
      </w:r>
      <w:r>
        <w:rPr>
          <w:rFonts w:ascii="Sylfaen" w:hAnsi="Sylfaen"/>
          <w:sz w:val="24"/>
          <w:szCs w:val="24"/>
        </w:rPr>
        <w:t> </w:t>
      </w:r>
      <w:r w:rsidRPr="00826F05">
        <w:rPr>
          <w:rFonts w:ascii="Sylfaen" w:hAnsi="Sylfaen"/>
          <w:sz w:val="24"/>
          <w:szCs w:val="24"/>
        </w:rPr>
        <w:t xml:space="preserve">է տրամադրում դեղապատրաստուկի փոփոխված ընդհանուր բնութագիրը, բժշկական կիրառման հրահանգը, փաթեթվածքների մանրակերտերը, որակի նորմատիվ փաստաթուղթը, </w:t>
      </w:r>
      <w:r w:rsidRPr="00826F05">
        <w:rPr>
          <w:rFonts w:ascii="Sylfaen" w:hAnsi="Sylfaen"/>
          <w:sz w:val="24"/>
          <w:szCs w:val="24"/>
        </w:rPr>
        <w:lastRenderedPageBreak/>
        <w:t>գրանցման հավաստագիրը (անհրաժեշտության դեպքում):</w:t>
      </w:r>
    </w:p>
    <w:p w14:paraId="3A5189A6" w14:textId="1AD73A4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մինչ</w:t>
      </w:r>
      <w:r w:rsidR="00C54D75">
        <w:rPr>
          <w:rFonts w:ascii="Sylfaen" w:hAnsi="Sylfaen"/>
          <w:sz w:val="24"/>
          <w:szCs w:val="24"/>
        </w:rPr>
        <w:t>և</w:t>
      </w:r>
      <w:r w:rsidRPr="00826F05">
        <w:rPr>
          <w:rFonts w:ascii="Sylfaen" w:hAnsi="Sylfaen"/>
          <w:sz w:val="24"/>
          <w:szCs w:val="24"/>
        </w:rPr>
        <w:t xml:space="preserve"> 90 օրացուցային օր երկարաձգելու սույն կետի առաջին </w:t>
      </w:r>
      <w:r w:rsidR="00C54D75">
        <w:rPr>
          <w:rFonts w:ascii="Sylfaen" w:hAnsi="Sylfaen"/>
          <w:sz w:val="24"/>
          <w:szCs w:val="24"/>
        </w:rPr>
        <w:t>և</w:t>
      </w:r>
      <w:r w:rsidRPr="00826F05">
        <w:rPr>
          <w:rFonts w:ascii="Sylfaen" w:hAnsi="Sylfaen"/>
          <w:sz w:val="24"/>
          <w:szCs w:val="24"/>
        </w:rPr>
        <w:t xml:space="preserve"> չորրորդ պարբերություններում նշված ժամկետն այն դեպքում,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651A704E" w14:textId="34805A6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w:t>
      </w:r>
      <w:r w:rsidR="0056496B">
        <w:rPr>
          <w:rFonts w:ascii="Sylfaen" w:hAnsi="Sylfaen"/>
          <w:sz w:val="24"/>
          <w:szCs w:val="24"/>
        </w:rPr>
        <w:t>դիմումատու</w:t>
      </w:r>
      <w:r w:rsidRPr="00826F05">
        <w:rPr>
          <w:rFonts w:ascii="Sylfaen" w:hAnsi="Sylfaen"/>
          <w:sz w:val="24"/>
          <w:szCs w:val="24"/>
        </w:rPr>
        <w:t>ի կողմից ներկայացվել են IA</w:t>
      </w:r>
      <w:r>
        <w:rPr>
          <w:rFonts w:ascii="Sylfaen" w:hAnsi="Sylfaen"/>
          <w:sz w:val="24"/>
          <w:szCs w:val="24"/>
        </w:rPr>
        <w:t> </w:t>
      </w:r>
      <w:r w:rsidRPr="00826F05">
        <w:rPr>
          <w:rFonts w:ascii="Sylfaen" w:hAnsi="Sylfaen"/>
          <w:sz w:val="24"/>
          <w:szCs w:val="24"/>
        </w:rPr>
        <w:t xml:space="preserve">տիպի մեկ կամ մի քանի ոչ էական փոփոխություններ,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դեղապատրաստուկի փորձաքննության արդյունքներով որ փոփոխությունն է ընդունվել կամ մերժվել:</w:t>
      </w:r>
    </w:p>
    <w:p w14:paraId="425359B8" w14:textId="22023F1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Դոսյեում IA տիպի ոչ էական փոփոխությունների վերաբերյալ բոլոր անհրաժեշտ փաստաթղթերը ներկայացնելու անընդունակությունն անպայմանորեն չի հանգեցնում փոփոխության մերժման, եթե </w:t>
      </w:r>
      <w:r w:rsidR="0056496B">
        <w:rPr>
          <w:rFonts w:ascii="Sylfaen" w:hAnsi="Sylfaen"/>
          <w:sz w:val="24"/>
          <w:szCs w:val="24"/>
        </w:rPr>
        <w:t>դիմումատու</w:t>
      </w:r>
      <w:r w:rsidRPr="00826F05">
        <w:rPr>
          <w:rFonts w:ascii="Sylfaen" w:hAnsi="Sylfaen"/>
          <w:sz w:val="24"/>
          <w:szCs w:val="24"/>
        </w:rPr>
        <w:t>ն համապատասխան մարմնի հարցման հիման վրա ներկայացնի պակասող փաստաթղթերը: IA տիպի ոչ էական փոփոխությունը կարող է որոշ դեպքերում մերժվել՝ հանգեցնելով իրավատիրոջ կողմից արդեն իրականացված դիտարկվող փոփոխությունների իրականացման անհապաղ դադարեցման անհրաժեշտության:</w:t>
      </w:r>
    </w:p>
    <w:p w14:paraId="12A5CB94" w14:textId="77777777" w:rsidR="004F5982" w:rsidRPr="00826F05" w:rsidRDefault="004F5982" w:rsidP="00487007">
      <w:pPr>
        <w:tabs>
          <w:tab w:val="left" w:pos="1134"/>
        </w:tabs>
        <w:spacing w:after="160" w:line="360" w:lineRule="auto"/>
        <w:ind w:right="-20" w:firstLine="567"/>
        <w:jc w:val="both"/>
        <w:rPr>
          <w:rFonts w:ascii="Sylfaen" w:hAnsi="Sylfaen"/>
          <w:sz w:val="24"/>
          <w:szCs w:val="24"/>
        </w:rPr>
      </w:pPr>
      <w:r w:rsidRPr="00826F05">
        <w:rPr>
          <w:rFonts w:ascii="Sylfaen" w:hAnsi="Sylfaen"/>
          <w:sz w:val="24"/>
          <w:szCs w:val="24"/>
        </w:rPr>
        <w:t>2.2.</w:t>
      </w:r>
      <w:r w:rsidRPr="00826F05">
        <w:rPr>
          <w:rFonts w:ascii="Sylfaen" w:hAnsi="Sylfaen"/>
          <w:sz w:val="24"/>
          <w:szCs w:val="24"/>
        </w:rPr>
        <w:tab/>
        <w:t>IB տիպի ոչ էական փոփոխությունները:</w:t>
      </w:r>
    </w:p>
    <w:p w14:paraId="7D7F972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Սույն կետը պարունակում է IB տիպի ոչ էական փոփոխությունների մասով Դեղամիջոցների գրանցման կանոնների թիվ 19 հավելվածի 1.7, 2.2, 2.4, 3.2, 3.5, 4.2.1 </w:t>
      </w:r>
      <w:r w:rsidR="00C54D75">
        <w:rPr>
          <w:rFonts w:ascii="Sylfaen" w:hAnsi="Sylfaen"/>
          <w:sz w:val="24"/>
          <w:szCs w:val="24"/>
        </w:rPr>
        <w:t>և</w:t>
      </w:r>
      <w:r w:rsidRPr="00826F05">
        <w:rPr>
          <w:rFonts w:ascii="Sylfaen" w:hAnsi="Sylfaen"/>
          <w:sz w:val="24"/>
          <w:szCs w:val="24"/>
        </w:rPr>
        <w:t xml:space="preserve"> 4.2.2 կետերի կիրառման վերաբերյալ դրույթներ:</w:t>
      </w:r>
    </w:p>
    <w:p w14:paraId="22D76BD9" w14:textId="7BBA335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հավելվածը պարունակում է այն փոփոխությունների ցանկը, որոնք պետք է դիտարկել որպես IB տիպի ոչ</w:t>
      </w:r>
      <w:r>
        <w:rPr>
          <w:rFonts w:ascii="Sylfaen" w:hAnsi="Sylfaen"/>
          <w:sz w:val="24"/>
          <w:szCs w:val="24"/>
        </w:rPr>
        <w:t> </w:t>
      </w:r>
      <w:r w:rsidRPr="00826F05">
        <w:rPr>
          <w:rFonts w:ascii="Sylfaen" w:hAnsi="Sylfaen"/>
          <w:sz w:val="24"/>
          <w:szCs w:val="24"/>
        </w:rPr>
        <w:t xml:space="preserve">էական փոփոխություններ: Նման ոչ էական փոփոխություններ իրականացնելուց առաջ պահանջվում է նախնական ծանուցում կամ գրանցման դոսյեում այնպիսի փոփոխություններ կատարելու մասով լիազորված մարմնի կողմից հաստատում, </w:t>
      </w:r>
      <w:r w:rsidRPr="00826F05">
        <w:rPr>
          <w:rFonts w:ascii="Sylfaen" w:hAnsi="Sylfaen"/>
          <w:sz w:val="24"/>
          <w:szCs w:val="24"/>
        </w:rPr>
        <w:lastRenderedPageBreak/>
        <w:t xml:space="preserve">որոնք հանգեցնում են դեղապատրաստուկի մասին տեղեկատվության վերանայման՝ համաձայն Դեղամիջոցների գրանցման կանոնների թիվ 19 հավելվածի 1.6 կետի, որոնց մասով փոփոխություններ կատարելու վերաբերյալ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փոփոխությունն իրականացնելը:</w:t>
      </w:r>
    </w:p>
    <w:p w14:paraId="3D5116D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հավաստագրի իրավատիրոջ կողմից այլ փոփոխությունների </w:t>
      </w:r>
      <w:r w:rsidRPr="005B25AF">
        <w:rPr>
          <w:rFonts w:ascii="Sylfaen" w:hAnsi="Sylfaen"/>
          <w:spacing w:val="-6"/>
          <w:sz w:val="24"/>
          <w:szCs w:val="24"/>
        </w:rPr>
        <w:t>իրականացումը հնարավոր է լիազորված մարմին (փորձագիտական կազմակերպություն) ծանուցումը ներկայացնելու օրվանից միայն 30 օրացուցային</w:t>
      </w:r>
      <w:r w:rsidRPr="00826F05">
        <w:rPr>
          <w:rFonts w:ascii="Sylfaen" w:hAnsi="Sylfaen"/>
          <w:sz w:val="24"/>
          <w:szCs w:val="24"/>
        </w:rPr>
        <w:t xml:space="preserve"> օր հետո՝ նշված ժամկետում փոփոխություններ կատարելու վերաբերյալ համապատասխան լիազորված մարմնի (փորձագիտական կազմակերպության) բացասական եզրակացության բացակայության պայմանով («ասա, սպասիր </w:t>
      </w:r>
      <w:r w:rsidR="00C54D75">
        <w:rPr>
          <w:rFonts w:ascii="Sylfaen" w:hAnsi="Sylfaen"/>
          <w:sz w:val="24"/>
          <w:szCs w:val="24"/>
        </w:rPr>
        <w:t>և</w:t>
      </w:r>
      <w:r w:rsidRPr="00826F05">
        <w:rPr>
          <w:rFonts w:ascii="Sylfaen" w:hAnsi="Sylfaen"/>
          <w:sz w:val="24"/>
          <w:szCs w:val="24"/>
        </w:rPr>
        <w:t xml:space="preserve"> կատարիր» ընթացակարգ):</w:t>
      </w:r>
    </w:p>
    <w:p w14:paraId="6AE6C425"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2.2.1.</w:t>
      </w:r>
      <w:r w:rsidRPr="00826F05">
        <w:rPr>
          <w:rFonts w:ascii="Sylfaen" w:hAnsi="Sylfaen"/>
          <w:sz w:val="24"/>
          <w:szCs w:val="24"/>
        </w:rPr>
        <w:tab/>
        <w:t>IB տիպի ոչ էական փոփոխություններ կատարելու մասին ծանուցելու ընթացակարգը:</w:t>
      </w:r>
    </w:p>
    <w:p w14:paraId="31FFB18F" w14:textId="1E8FEE3A" w:rsidR="004F5982" w:rsidRPr="00826F05" w:rsidRDefault="0056496B" w:rsidP="00487007">
      <w:pPr>
        <w:spacing w:after="160" w:line="384" w:lineRule="auto"/>
        <w:ind w:right="33"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ներն իրավունք ունեն մեկ ծանուցման մեջ խմբավորելու մի</w:t>
      </w:r>
      <w:r w:rsidR="00C54D75">
        <w:rPr>
          <w:rFonts w:ascii="Sylfaen" w:hAnsi="Sylfaen"/>
          <w:sz w:val="24"/>
          <w:szCs w:val="24"/>
        </w:rPr>
        <w:t>և</w:t>
      </w:r>
      <w:r w:rsidR="004F5982" w:rsidRPr="00826F05">
        <w:rPr>
          <w:rFonts w:ascii="Sylfaen" w:hAnsi="Sylfaen"/>
          <w:sz w:val="24"/>
          <w:szCs w:val="24"/>
        </w:rPr>
        <w:t xml:space="preserve">նույն </w:t>
      </w:r>
      <w:r w:rsidR="004F5982" w:rsidRPr="005B25AF">
        <w:rPr>
          <w:rFonts w:ascii="Sylfaen" w:hAnsi="Sylfaen"/>
          <w:spacing w:val="6"/>
          <w:sz w:val="24"/>
          <w:szCs w:val="24"/>
        </w:rPr>
        <w:t>գրանցման դոսյեի IB տիպի մի քանի ոչ էական փոփոխություններ կամ խմբավորել մեկ կամ ավելի IB տիպի ոչ էական փոփոխություններն այլ ոչ էական փոփոխությունների հետ մի</w:t>
      </w:r>
      <w:r w:rsidR="00C54D75">
        <w:rPr>
          <w:rFonts w:ascii="Sylfaen" w:hAnsi="Sylfaen"/>
          <w:spacing w:val="6"/>
          <w:sz w:val="24"/>
          <w:szCs w:val="24"/>
        </w:rPr>
        <w:t>և</w:t>
      </w:r>
      <w:r w:rsidR="004F5982" w:rsidRPr="005B25AF">
        <w:rPr>
          <w:rFonts w:ascii="Sylfaen" w:hAnsi="Sylfaen"/>
          <w:spacing w:val="6"/>
          <w:sz w:val="24"/>
          <w:szCs w:val="24"/>
        </w:rPr>
        <w:t>նույն գրանցման դոսյեում՝</w:t>
      </w:r>
      <w:r w:rsidR="004F5982" w:rsidRPr="00826F05">
        <w:rPr>
          <w:rFonts w:ascii="Sylfaen" w:hAnsi="Sylfaen"/>
          <w:sz w:val="24"/>
          <w:szCs w:val="24"/>
        </w:rPr>
        <w:t xml:space="preserve"> Դեղամիջոցների գրանցման կանոնների թիվ 19 հավելվածի III լրացման մեջ թվարկված դեպքերից մեկին դրա համապատասխանության պայմանով, կամ եթե այն նախկինում համաձայնեցվել է ռեֆերենտ պետության լիազորված մարմնի (փորձագիտական կազմակերպության) հետ:</w:t>
      </w:r>
    </w:p>
    <w:p w14:paraId="394B8701" w14:textId="7650F22B" w:rsidR="004F5982" w:rsidRPr="00826F05" w:rsidRDefault="004F5982" w:rsidP="00487007">
      <w:pPr>
        <w:spacing w:after="160" w:line="384"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Բացի այդ, մեկ անդամ պետությունում գրանցված դեղապատրաստուկների դեպքում </w:t>
      </w:r>
      <w:r w:rsidR="0056496B">
        <w:rPr>
          <w:rFonts w:ascii="Sylfaen" w:hAnsi="Sylfaen"/>
          <w:sz w:val="24"/>
          <w:szCs w:val="24"/>
        </w:rPr>
        <w:t>դիմումատու</w:t>
      </w:r>
      <w:r w:rsidRPr="00826F05">
        <w:rPr>
          <w:rFonts w:ascii="Sylfaen" w:hAnsi="Sylfaen"/>
          <w:sz w:val="24"/>
          <w:szCs w:val="24"/>
        </w:rPr>
        <w:t>ն իրավունք ունի խմբավորելու նա</w:t>
      </w:r>
      <w:r w:rsidR="00C54D75">
        <w:rPr>
          <w:rFonts w:ascii="Sylfaen" w:hAnsi="Sylfaen"/>
          <w:sz w:val="24"/>
          <w:szCs w:val="24"/>
        </w:rPr>
        <w:t>և</w:t>
      </w:r>
      <w:r w:rsidRPr="00826F05">
        <w:rPr>
          <w:rFonts w:ascii="Sylfaen" w:hAnsi="Sylfaen"/>
          <w:sz w:val="24"/>
          <w:szCs w:val="24"/>
        </w:rPr>
        <w:t xml:space="preserve"> մի քանի գրանցման դոսյեներին վերաբերող մի քանի IB տիպի ոչ էական փոփոխություններ մեկ անդամ պետությունում կամ խմբավորելու մեկ կամ ավելի IB տիպի ոչ էական փոփոխություններ մի քանի գրանցման դոսյեներին վերաբերող այլ ոչ էական </w:t>
      </w:r>
      <w:r w:rsidRPr="00826F05">
        <w:rPr>
          <w:rFonts w:ascii="Sylfaen" w:hAnsi="Sylfaen"/>
          <w:sz w:val="24"/>
          <w:szCs w:val="24"/>
        </w:rPr>
        <w:lastRenderedPageBreak/>
        <w:t>փոփոխությունների հետ մեկ անդամ պետությունում՝ պայմանով, որ՝</w:t>
      </w:r>
    </w:p>
    <w:p w14:paraId="2186F2DA" w14:textId="77777777" w:rsidR="004F5982" w:rsidRPr="00826F05" w:rsidRDefault="004F5982" w:rsidP="00487007">
      <w:pPr>
        <w:tabs>
          <w:tab w:val="left" w:pos="1134"/>
        </w:tabs>
        <w:spacing w:after="160" w:line="360" w:lineRule="auto"/>
        <w:ind w:right="42" w:firstLine="567"/>
        <w:jc w:val="both"/>
        <w:rPr>
          <w:rFonts w:ascii="Sylfaen" w:eastAsia="Times New Roman" w:hAnsi="Sylfaen" w:cs="Times New Roman"/>
          <w:sz w:val="24"/>
          <w:szCs w:val="24"/>
        </w:rPr>
      </w:pPr>
      <w:r w:rsidRPr="00826F05">
        <w:rPr>
          <w:rFonts w:ascii="Sylfaen" w:hAnsi="Sylfaen"/>
          <w:sz w:val="24"/>
          <w:szCs w:val="24"/>
        </w:rPr>
        <w:t>ա)</w:t>
      </w:r>
      <w:r w:rsidRPr="00826F05">
        <w:rPr>
          <w:rFonts w:ascii="Sylfaen" w:hAnsi="Sylfaen"/>
          <w:sz w:val="24"/>
          <w:szCs w:val="24"/>
        </w:rPr>
        <w:tab/>
        <w:t>դիտարկվող բոլոր գրանցման դոսյեների համար փոփոխությունները նույնն են,</w:t>
      </w:r>
    </w:p>
    <w:p w14:paraId="511F6598" w14:textId="77777777" w:rsidR="004F5982" w:rsidRPr="00826F05" w:rsidRDefault="004F5982" w:rsidP="00487007">
      <w:pPr>
        <w:tabs>
          <w:tab w:val="left" w:pos="1134"/>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բ)</w:t>
      </w:r>
      <w:r w:rsidRPr="00826F05">
        <w:rPr>
          <w:rFonts w:ascii="Sylfaen" w:hAnsi="Sylfaen"/>
          <w:sz w:val="24"/>
          <w:szCs w:val="24"/>
        </w:rPr>
        <w:tab/>
        <w:t>փոփոխությունները ներկայացվել են լիազորված մարմին (փորձագիտական կազմակերպություն) մի</w:t>
      </w:r>
      <w:r w:rsidR="00C54D75">
        <w:rPr>
          <w:rFonts w:ascii="Sylfaen" w:hAnsi="Sylfaen"/>
          <w:sz w:val="24"/>
          <w:szCs w:val="24"/>
        </w:rPr>
        <w:t>և</w:t>
      </w:r>
      <w:r w:rsidRPr="00826F05">
        <w:rPr>
          <w:rFonts w:ascii="Sylfaen" w:hAnsi="Sylfaen"/>
          <w:sz w:val="24"/>
          <w:szCs w:val="24"/>
        </w:rPr>
        <w:t>նույն ժամանակ,</w:t>
      </w:r>
    </w:p>
    <w:p w14:paraId="3C894E3D" w14:textId="77777777" w:rsidR="004F5982" w:rsidRPr="00826F05" w:rsidRDefault="004F5982" w:rsidP="00487007">
      <w:pPr>
        <w:tabs>
          <w:tab w:val="left" w:pos="1134"/>
        </w:tabs>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գ</w:t>
      </w:r>
      <w:r>
        <w:rPr>
          <w:rFonts w:ascii="Sylfaen" w:hAnsi="Sylfaen"/>
          <w:sz w:val="24"/>
          <w:szCs w:val="24"/>
        </w:rPr>
        <w:t>)</w:t>
      </w:r>
      <w:r w:rsidRPr="00E72C30">
        <w:rPr>
          <w:rFonts w:ascii="Sylfaen" w:hAnsi="Sylfaen"/>
          <w:sz w:val="24"/>
          <w:szCs w:val="24"/>
        </w:rPr>
        <w:tab/>
      </w:r>
      <w:r w:rsidRPr="00826F05">
        <w:rPr>
          <w:rFonts w:ascii="Sylfaen" w:hAnsi="Sylfaen"/>
          <w:sz w:val="24"/>
          <w:szCs w:val="24"/>
        </w:rPr>
        <w:t>լիազորված մարմինը (փորձագիտական կազմակերպությունը) նախկինում համաձայնություն է տվել այդպիսի խմբավորման համար:</w:t>
      </w:r>
    </w:p>
    <w:p w14:paraId="7A8B41B7" w14:textId="2217229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Ավելին, եթե IB տիպի մի</w:t>
      </w:r>
      <w:r w:rsidR="00C54D75">
        <w:rPr>
          <w:rFonts w:ascii="Sylfaen" w:hAnsi="Sylfaen"/>
          <w:sz w:val="24"/>
          <w:szCs w:val="24"/>
        </w:rPr>
        <w:t>և</w:t>
      </w:r>
      <w:r w:rsidRPr="00826F05">
        <w:rPr>
          <w:rFonts w:ascii="Sylfaen" w:hAnsi="Sylfaen"/>
          <w:sz w:val="24"/>
          <w:szCs w:val="24"/>
        </w:rPr>
        <w:t>նույն ոչ էական փոփոխությունը կամ ոչ էական փոփոխությունների մի</w:t>
      </w:r>
      <w:r w:rsidR="00C54D75">
        <w:rPr>
          <w:rFonts w:ascii="Sylfaen" w:hAnsi="Sylfaen"/>
          <w:sz w:val="24"/>
          <w:szCs w:val="24"/>
        </w:rPr>
        <w:t>և</w:t>
      </w:r>
      <w:r w:rsidRPr="00826F05">
        <w:rPr>
          <w:rFonts w:ascii="Sylfaen" w:hAnsi="Sylfaen"/>
          <w:sz w:val="24"/>
          <w:szCs w:val="24"/>
        </w:rPr>
        <w:t xml:space="preserve">նույն խումբը (բերված նկարագրությանը համապատասխան) վերաբերում է գրանցման հավաստագրի մեկ իրավատիրոջ մի քանի գրանցման դոսյեներին, </w:t>
      </w:r>
      <w:r w:rsidR="0056496B">
        <w:rPr>
          <w:rFonts w:ascii="Sylfaen" w:hAnsi="Sylfaen"/>
          <w:sz w:val="24"/>
          <w:szCs w:val="24"/>
        </w:rPr>
        <w:t>դիմումատու</w:t>
      </w:r>
      <w:r w:rsidRPr="00826F05">
        <w:rPr>
          <w:rFonts w:ascii="Sylfaen" w:hAnsi="Sylfaen"/>
          <w:sz w:val="24"/>
          <w:szCs w:val="24"/>
        </w:rPr>
        <w:t xml:space="preserve">ն իրավունք ունի այդպիսի փոփոխությունները ներկայացնելու մեկ </w:t>
      </w:r>
      <w:r w:rsidR="0056496B">
        <w:rPr>
          <w:rFonts w:ascii="Sylfaen" w:hAnsi="Sylfaen"/>
          <w:sz w:val="24"/>
          <w:szCs w:val="24"/>
        </w:rPr>
        <w:t>դիմում</w:t>
      </w:r>
      <w:r w:rsidRPr="00826F05">
        <w:rPr>
          <w:rFonts w:ascii="Sylfaen" w:hAnsi="Sylfaen"/>
          <w:sz w:val="24"/>
          <w:szCs w:val="24"/>
        </w:rPr>
        <w:t>ի տեսքով՝ «պարտականությունների բաշխման» նպատակով:</w:t>
      </w:r>
    </w:p>
    <w:p w14:paraId="4B64F53A" w14:textId="1D9ABD87"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 որոնք ներկայացվել են հետ</w:t>
      </w:r>
      <w:r w:rsidR="00C54D75">
        <w:rPr>
          <w:rFonts w:ascii="Sylfaen" w:hAnsi="Sylfaen"/>
          <w:sz w:val="24"/>
          <w:szCs w:val="24"/>
        </w:rPr>
        <w:t>և</w:t>
      </w:r>
      <w:r w:rsidR="004F5982"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004F5982"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004F5982" w:rsidRPr="00826F05">
        <w:rPr>
          <w:rFonts w:ascii="Sylfaen" w:hAnsi="Sylfaen"/>
          <w:sz w:val="24"/>
          <w:szCs w:val="24"/>
        </w:rPr>
        <w:t>աչափով՝</w:t>
      </w:r>
    </w:p>
    <w:p w14:paraId="7B2093B3"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ուղեկցող նամակ,</w:t>
      </w:r>
    </w:p>
    <w:p w14:paraId="2BCF2DDE" w14:textId="76EDF69C" w:rsidR="004F5982" w:rsidRPr="00826F05" w:rsidRDefault="004F5982" w:rsidP="00487007">
      <w:pPr>
        <w:spacing w:after="160" w:line="360" w:lineRule="auto"/>
        <w:ind w:right="33"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այդ թվում՝ դիտարկվող դեղապատրաստուկի մասին տեղեկությունները: Եթե 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 Եթե</w:t>
      </w:r>
      <w:r>
        <w:rPr>
          <w:rFonts w:ascii="Sylfaen" w:hAnsi="Sylfaen"/>
          <w:sz w:val="24"/>
          <w:szCs w:val="24"/>
        </w:rPr>
        <w:t> </w:t>
      </w:r>
      <w:r w:rsidRPr="00826F05">
        <w:rPr>
          <w:rFonts w:ascii="Sylfaen" w:hAnsi="Sylfaen"/>
          <w:sz w:val="24"/>
          <w:szCs w:val="24"/>
        </w:rPr>
        <w:t xml:space="preserve">փոփոխությունը դիտարկվում է որպես չդասակարգվող փոփոխություն, անհրաժեշտ է ներառել այն որպես IB տիպի ծանուցում ներկայացնելու </w:t>
      </w:r>
      <w:r w:rsidRPr="00826F05">
        <w:rPr>
          <w:rFonts w:ascii="Sylfaen" w:hAnsi="Sylfaen"/>
          <w:sz w:val="24"/>
          <w:szCs w:val="24"/>
        </w:rPr>
        <w:lastRenderedPageBreak/>
        <w:t>մանրամասն հիմնավորում,</w:t>
      </w:r>
    </w:p>
    <w:p w14:paraId="461F7098" w14:textId="734DD4D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փոփոխության ծածկագրի նշումը՝ Դեղամիջոցների գրանցման կանոնների թիվ 19 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կետին համապատասխան ներկայացված՝ դասակարգման առաջարկության նշումը,</w:t>
      </w:r>
    </w:p>
    <w:p w14:paraId="3F2F53F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առաջարկվող փոփոխությունը հիմնավորող անհրաժեշտ փաստաթղթերը, այդ թվում՝ Դեղամիջոցների գրանցման կանոնների թիվ 19 հավելվածի V լրացման մեջ նշված բոլոր փաստաթղթերը,</w:t>
      </w:r>
    </w:p>
    <w:p w14:paraId="15B5991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մարմնի կողմից պահանջված այն փոփոխությունների դեպքում, որոնք պայմանավորված են դեղապատրաստուկի մասին նոր ստացված տվյալներով, օրինակ՝ հետգրանցումային պայմաններին համապատասխան կամ դեղազգոնության պարտավորությունների շրջանակներում, ուղեկցող նամակին անհրաժեշտ է կցել լիազորված մարմնի (փորձագիտական կազմակերպության) հարցման պատճենը,</w:t>
      </w:r>
    </w:p>
    <w:p w14:paraId="72BE666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ձ</w:t>
      </w:r>
      <w:r w:rsidR="00C54D75">
        <w:rPr>
          <w:rFonts w:ascii="Sylfaen" w:hAnsi="Sylfaen"/>
          <w:sz w:val="24"/>
          <w:szCs w:val="24"/>
        </w:rPr>
        <w:t>և</w:t>
      </w:r>
      <w:r w:rsidRPr="00826F05">
        <w:rPr>
          <w:rFonts w:ascii="Sylfaen" w:hAnsi="Sylfaen"/>
          <w:sz w:val="24"/>
          <w:szCs w:val="24"/>
        </w:rPr>
        <w:t xml:space="preserve">աչափով ներկայացված՝ </w:t>
      </w:r>
      <w:r w:rsidRPr="005B25AF">
        <w:rPr>
          <w:rFonts w:ascii="Sylfaen" w:hAnsi="Sylfaen"/>
          <w:spacing w:val="-6"/>
          <w:sz w:val="24"/>
          <w:szCs w:val="24"/>
        </w:rPr>
        <w:t xml:space="preserve">դեղապատրաստուկի մասին վերանայված տեղեկատվությունը (դեղապատրաստուկի ընդհանուր բնութագիրը, մականշվածքը </w:t>
      </w:r>
      <w:r w:rsidR="00C54D75">
        <w:rPr>
          <w:rFonts w:ascii="Sylfaen" w:hAnsi="Sylfaen"/>
          <w:spacing w:val="-6"/>
          <w:sz w:val="24"/>
          <w:szCs w:val="24"/>
        </w:rPr>
        <w:t>և</w:t>
      </w:r>
      <w:r w:rsidRPr="00826F05">
        <w:rPr>
          <w:rFonts w:ascii="Sylfaen" w:hAnsi="Sylfaen"/>
          <w:sz w:val="24"/>
          <w:szCs w:val="24"/>
        </w:rPr>
        <w:t xml:space="preserve"> ներդիր-թերթիկը),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լեզվով համապատասխան թարգմանությունները՝ նրանց օրենսդրության մեջ համապատասխան պահանջների առկայության դեպքում: Եթե IB տիպի ոչ էական փոփոխությունն ազդում է առաջնային </w:t>
      </w:r>
      <w:r w:rsidR="00C54D75">
        <w:rPr>
          <w:rFonts w:ascii="Sylfaen" w:hAnsi="Sylfaen"/>
          <w:sz w:val="24"/>
          <w:szCs w:val="24"/>
        </w:rPr>
        <w:t>և</w:t>
      </w:r>
      <w:r w:rsidRPr="00826F05">
        <w:rPr>
          <w:rFonts w:ascii="Sylfaen" w:hAnsi="Sylfaen"/>
          <w:sz w:val="24"/>
          <w:szCs w:val="24"/>
        </w:rPr>
        <w:t xml:space="preserve"> (կամ) երկրորդային փաթեթվածքի ընդհանուր դիզայնի վրա, լիազորված մարմինը (փորձագիտական կազմակերպությունը) պետք է ներկայացնի փաթեթվածքի մանրակերտերը:</w:t>
      </w:r>
    </w:p>
    <w:p w14:paraId="0D6AC0CE" w14:textId="4972CDFE"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կետում </w:t>
      </w:r>
      <w:r w:rsidRPr="00826F05">
        <w:rPr>
          <w:rFonts w:ascii="Sylfaen" w:hAnsi="Sylfaen"/>
          <w:sz w:val="24"/>
          <w:szCs w:val="24"/>
        </w:rPr>
        <w:lastRenderedPageBreak/>
        <w:t xml:space="preserve">նշված փոփոխությունների մասով ռեֆերենտ պետության լիազորված մարմինը (փորձագիտական կազմակերպությունը) պետք է լրացուցիչ ստանա IB տիպի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ը շահագրգիռ ճանաչման պետություններ ներկայացնելու ամսաթվերի </w:t>
      </w:r>
      <w:r w:rsidR="00C54D75">
        <w:rPr>
          <w:rFonts w:ascii="Sylfaen" w:hAnsi="Sylfaen"/>
          <w:sz w:val="24"/>
          <w:szCs w:val="24"/>
        </w:rPr>
        <w:t>և</w:t>
      </w:r>
      <w:r w:rsidRPr="00826F05">
        <w:rPr>
          <w:rFonts w:ascii="Sylfaen" w:hAnsi="Sylfaen"/>
          <w:sz w:val="24"/>
          <w:szCs w:val="24"/>
        </w:rPr>
        <w:t xml:space="preserve"> ճանաչման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փոփոխություններ կատարելու (</w:t>
      </w:r>
      <w:r w:rsidR="00C54D75">
        <w:rPr>
          <w:rFonts w:ascii="Sylfaen" w:hAnsi="Sylfaen"/>
          <w:sz w:val="24"/>
          <w:szCs w:val="24"/>
        </w:rPr>
        <w:t>և</w:t>
      </w:r>
      <w:r w:rsidRPr="00826F05">
        <w:rPr>
          <w:rFonts w:ascii="Sylfaen" w:hAnsi="Sylfaen"/>
          <w:sz w:val="24"/>
          <w:szCs w:val="24"/>
        </w:rPr>
        <w:t xml:space="preserve"> անհրաժեշտության դեպքում՝ դրա փորձաքննության) վճարի (տուրքի) վճարումը հաստատող փաստաթղթերի ցանկը:</w:t>
      </w:r>
    </w:p>
    <w:p w14:paraId="5373546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նշված փոփոխությունների մասով՝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00C54D75">
        <w:rPr>
          <w:rFonts w:ascii="Sylfaen" w:hAnsi="Sylfaen"/>
          <w:sz w:val="24"/>
          <w:szCs w:val="24"/>
        </w:rPr>
        <w:t>և</w:t>
      </w:r>
      <w:r>
        <w:rPr>
          <w:rFonts w:ascii="Sylfaen" w:hAnsi="Sylfaen"/>
          <w:sz w:val="24"/>
          <w:szCs w:val="24"/>
        </w:rPr>
        <w:t> </w:t>
      </w:r>
      <w:r w:rsidRPr="00826F05">
        <w:rPr>
          <w:rFonts w:ascii="Sylfaen" w:hAnsi="Sylfaen"/>
          <w:sz w:val="24"/>
          <w:szCs w:val="24"/>
        </w:rPr>
        <w:t>անհրաժեշտության դեպքում՝ դրա փորձաքննության մեջ) փոփոխություններ կատարելու վճարի (տուրքի) վճարման հաստատում:</w:t>
      </w:r>
    </w:p>
    <w:p w14:paraId="0A7A151E" w14:textId="77777777" w:rsidR="004F5982" w:rsidRPr="00826F05" w:rsidRDefault="004F5982" w:rsidP="00487007">
      <w:pPr>
        <w:tabs>
          <w:tab w:val="left" w:pos="1701"/>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2.2.2.</w:t>
      </w:r>
      <w:r w:rsidRPr="00826F05">
        <w:rPr>
          <w:rFonts w:ascii="Sylfaen" w:hAnsi="Sylfaen"/>
          <w:sz w:val="24"/>
          <w:szCs w:val="24"/>
        </w:rPr>
        <w:tab/>
        <w:t>Դեղամիջոցների գրանցման կանոնների թիվ 19 հավելվածի 1.1.3</w:t>
      </w:r>
      <w:r>
        <w:rPr>
          <w:rFonts w:ascii="Sylfaen" w:hAnsi="Sylfaen"/>
          <w:sz w:val="24"/>
          <w:szCs w:val="24"/>
        </w:rPr>
        <w:t> </w:t>
      </w:r>
      <w:r w:rsidRPr="00826F05">
        <w:rPr>
          <w:rFonts w:ascii="Sylfaen" w:hAnsi="Sylfaen"/>
          <w:sz w:val="24"/>
          <w:szCs w:val="24"/>
        </w:rPr>
        <w:t>կետում նշված IB տիպի փոփոխությունների փորձաքննություն:</w:t>
      </w:r>
    </w:p>
    <w:p w14:paraId="0888D2A1" w14:textId="2027AB60"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IВ տիպի ոչ էական փոփոխություն կատարելու դեպքում, Դեղամիջոցների գրանցման կանոնների թիվ 2 հավելվածի համաձայն,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միաժամանակ համապատասխան բոլոր մարմիններ (փորձագիտական կազմակերպություններ) է ներկայացնում փոփոխություններ կատարելու </w:t>
      </w:r>
      <w:r w:rsidR="0056496B">
        <w:rPr>
          <w:rFonts w:ascii="Sylfaen" w:hAnsi="Sylfaen"/>
          <w:sz w:val="24"/>
          <w:szCs w:val="24"/>
        </w:rPr>
        <w:t>դիմում</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w:t>
      </w:r>
    </w:p>
    <w:p w14:paraId="04051CD8" w14:textId="0905724F" w:rsidR="004F5982" w:rsidRPr="00826F05" w:rsidRDefault="0056496B" w:rsidP="00487007">
      <w:pPr>
        <w:spacing w:after="160" w:line="384"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IV լրացման մեջ թվարկված տարրեր:</w:t>
      </w:r>
    </w:p>
    <w:p w14:paraId="53304057" w14:textId="176B65EE"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w:t>
      </w:r>
      <w:r w:rsidRPr="00826F05">
        <w:rPr>
          <w:rFonts w:ascii="Sylfaen" w:hAnsi="Sylfaen"/>
          <w:sz w:val="24"/>
          <w:szCs w:val="24"/>
        </w:rPr>
        <w:lastRenderedPageBreak/>
        <w:t xml:space="preserve">կազմակերպությունը) ինտեգրված համակարգի միջոցով ճանաչման պետությունների համապատասխան մարմինների համար ապահովում է փոփոխության (ծանուցման) դոսյեի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 xml:space="preserve">ակերպումը գնահատելուց, այդ թվում՝ փոփոխությունները IB տիպի ոչ էական փոփոխությունների ծանուցմանը դասելու հնարավորությունները ստուգելուց հետո («վալիդացում») փոփոխությունների կատարման </w:t>
      </w:r>
      <w:r w:rsidR="0056496B">
        <w:rPr>
          <w:rFonts w:ascii="Sylfaen" w:hAnsi="Sylfaen"/>
          <w:sz w:val="24"/>
          <w:szCs w:val="24"/>
        </w:rPr>
        <w:t>դիմում</w:t>
      </w:r>
      <w:r w:rsidRPr="00826F05">
        <w:rPr>
          <w:rFonts w:ascii="Sylfaen" w:hAnsi="Sylfaen"/>
          <w:sz w:val="24"/>
          <w:szCs w:val="24"/>
        </w:rPr>
        <w:t>ը ռեֆերենտ պետություն ներկայացնելու օրվանից 5 աշխատանքային օրվա ընթացքում:</w:t>
      </w:r>
    </w:p>
    <w:p w14:paraId="7D213A72" w14:textId="3E800451" w:rsidR="004F5982" w:rsidRPr="00826F05" w:rsidRDefault="004F5982" w:rsidP="00487007">
      <w:pPr>
        <w:spacing w:after="160" w:line="360" w:lineRule="auto"/>
        <w:ind w:right="-2" w:firstLine="567"/>
        <w:jc w:val="both"/>
        <w:rPr>
          <w:rFonts w:ascii="Sylfaen" w:hAnsi="Sylfaen"/>
          <w:sz w:val="24"/>
          <w:szCs w:val="24"/>
        </w:rPr>
      </w:pPr>
      <w:r w:rsidRPr="005B25AF">
        <w:rPr>
          <w:rFonts w:ascii="Sylfaen" w:hAnsi="Sylfaen"/>
          <w:spacing w:val="-6"/>
          <w:sz w:val="24"/>
          <w:szCs w:val="24"/>
        </w:rPr>
        <w:t>Եթե ներկայացված փոփոխությունը չի դիտարկվում որպես IB տիպի ոչ</w:t>
      </w:r>
      <w:r>
        <w:rPr>
          <w:rFonts w:ascii="Sylfaen" w:hAnsi="Sylfaen"/>
          <w:spacing w:val="-6"/>
          <w:sz w:val="24"/>
          <w:szCs w:val="24"/>
        </w:rPr>
        <w:t xml:space="preserve"> </w:t>
      </w:r>
      <w:r w:rsidRPr="005B25AF">
        <w:rPr>
          <w:rFonts w:ascii="Sylfaen" w:hAnsi="Sylfaen"/>
          <w:spacing w:val="-6"/>
          <w:sz w:val="24"/>
          <w:szCs w:val="24"/>
        </w:rPr>
        <w:t>էական փոփոխություն՝ Դեղամիջոցների գրանցման կանոնների թիվ</w:t>
      </w:r>
      <w:r w:rsidRPr="00826F05">
        <w:rPr>
          <w:rFonts w:ascii="Sylfaen" w:hAnsi="Sylfaen"/>
          <w:sz w:val="24"/>
          <w:szCs w:val="24"/>
        </w:rPr>
        <w:t xml:space="preserve"> 19 հավելվածի V</w:t>
      </w:r>
      <w:r>
        <w:rPr>
          <w:rFonts w:ascii="Sylfaen" w:hAnsi="Sylfaen"/>
          <w:sz w:val="24"/>
          <w:szCs w:val="24"/>
        </w:rPr>
        <w:t> </w:t>
      </w:r>
      <w:r w:rsidRPr="00826F05">
        <w:rPr>
          <w:rFonts w:ascii="Sylfaen" w:hAnsi="Sylfaen"/>
          <w:sz w:val="24"/>
          <w:szCs w:val="24"/>
        </w:rPr>
        <w:t xml:space="preserve">լրացմանը համապատասխան, կամ այն չի դասակարգվել որպես IB տիպի </w:t>
      </w:r>
      <w:r w:rsidRPr="005B25AF">
        <w:rPr>
          <w:rFonts w:ascii="Sylfaen" w:hAnsi="Sylfaen"/>
          <w:spacing w:val="-6"/>
          <w:sz w:val="24"/>
          <w:szCs w:val="24"/>
        </w:rPr>
        <w:t>ոչ էական փոփոխություն՝ Դեղամիջոցների գրանցման կանոնների թիվ 19</w:t>
      </w:r>
      <w:r w:rsidRPr="00826F05">
        <w:rPr>
          <w:rFonts w:ascii="Sylfaen" w:hAnsi="Sylfaen"/>
          <w:sz w:val="24"/>
          <w:szCs w:val="24"/>
        </w:rPr>
        <w:t xml:space="preserve"> հավելվածի 1.5 կետին համապատասխան, </w:t>
      </w:r>
      <w:r w:rsidR="00C54D75">
        <w:rPr>
          <w:rFonts w:ascii="Sylfaen" w:hAnsi="Sylfaen"/>
          <w:sz w:val="24"/>
          <w:szCs w:val="24"/>
        </w:rPr>
        <w:t>և</w:t>
      </w:r>
      <w:r w:rsidRPr="00826F05">
        <w:rPr>
          <w:rFonts w:ascii="Sylfaen" w:hAnsi="Sylfaen"/>
          <w:sz w:val="24"/>
          <w:szCs w:val="24"/>
        </w:rPr>
        <w:t xml:space="preserve"> եթե ռեֆերենտ պետության լիազորված մարմինը (փորձագիտական կազմակերպությունը) համարում է, որ այն կարող է էական ազդեցություն ունենալ դեղապատրաստուկի որակի, անվտանգության կամ արդյունավետության վրա, ապա այն անհապաղ տեղեկացնում է այդ մասին շահագրգիռ անդամ պետություններին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w:t>
      </w:r>
    </w:p>
    <w:p w14:paraId="7ECC1661" w14:textId="11C1A32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10 աշխատանքային օրվա ընթացքում շահագրգիռ անդամ պետություններն անհամաձայնություն չեն </w:t>
      </w:r>
      <w:r w:rsidR="0056496B">
        <w:rPr>
          <w:rFonts w:ascii="Sylfaen" w:hAnsi="Sylfaen"/>
          <w:sz w:val="24"/>
          <w:szCs w:val="24"/>
        </w:rPr>
        <w:t>դիմում</w:t>
      </w:r>
      <w:r w:rsidRPr="00826F05">
        <w:rPr>
          <w:rFonts w:ascii="Sylfaen" w:hAnsi="Sylfaen"/>
          <w:sz w:val="24"/>
          <w:szCs w:val="24"/>
        </w:rPr>
        <w:t xml:space="preserve">նում, ապա </w:t>
      </w:r>
      <w:r w:rsidR="0056496B">
        <w:rPr>
          <w:rFonts w:ascii="Sylfaen" w:hAnsi="Sylfaen"/>
          <w:sz w:val="24"/>
          <w:szCs w:val="24"/>
        </w:rPr>
        <w:t>դիմումատու</w:t>
      </w:r>
      <w:r w:rsidRPr="00826F05">
        <w:rPr>
          <w:rFonts w:ascii="Sylfaen" w:hAnsi="Sylfaen"/>
          <w:sz w:val="24"/>
          <w:szCs w:val="24"/>
        </w:rPr>
        <w:t>ն ստանում</w:t>
      </w:r>
      <w:r>
        <w:rPr>
          <w:rFonts w:ascii="Sylfaen" w:hAnsi="Sylfaen"/>
          <w:sz w:val="24"/>
          <w:szCs w:val="24"/>
        </w:rPr>
        <w:t> </w:t>
      </w:r>
      <w:r w:rsidRPr="00826F05">
        <w:rPr>
          <w:rFonts w:ascii="Sylfaen" w:hAnsi="Sylfaen"/>
          <w:sz w:val="24"/>
          <w:szCs w:val="24"/>
        </w:rPr>
        <w:t xml:space="preserve">է </w:t>
      </w:r>
      <w:r w:rsidR="0056496B">
        <w:rPr>
          <w:rFonts w:ascii="Sylfaen" w:hAnsi="Sylfaen"/>
          <w:sz w:val="24"/>
          <w:szCs w:val="24"/>
        </w:rPr>
        <w:t>դիմում</w:t>
      </w:r>
      <w:r w:rsidRPr="00826F05">
        <w:rPr>
          <w:rFonts w:ascii="Sylfaen" w:hAnsi="Sylfaen"/>
          <w:sz w:val="24"/>
          <w:szCs w:val="24"/>
        </w:rPr>
        <w:t xml:space="preserve">ի վերանայման </w:t>
      </w:r>
      <w:r w:rsidR="00C54D75">
        <w:rPr>
          <w:rFonts w:ascii="Sylfaen" w:hAnsi="Sylfaen"/>
          <w:sz w:val="24"/>
          <w:szCs w:val="24"/>
        </w:rPr>
        <w:t>և</w:t>
      </w:r>
      <w:r w:rsidRPr="00826F05">
        <w:rPr>
          <w:rFonts w:ascii="Sylfaen" w:hAnsi="Sylfaen"/>
          <w:sz w:val="24"/>
          <w:szCs w:val="24"/>
        </w:rPr>
        <w:t xml:space="preserve"> II տիպի էական փոփոխությունների համար նախատեսված պահանջներին համապատասխան՝ դրա լրացման մասին հաստատում: Վերանայված վավեր </w:t>
      </w:r>
      <w:r w:rsidR="0056496B">
        <w:rPr>
          <w:rFonts w:ascii="Sylfaen" w:hAnsi="Sylfaen"/>
          <w:sz w:val="24"/>
          <w:szCs w:val="24"/>
        </w:rPr>
        <w:t>դիմում</w:t>
      </w:r>
      <w:r w:rsidRPr="00826F05">
        <w:rPr>
          <w:rFonts w:ascii="Sylfaen" w:hAnsi="Sylfaen"/>
          <w:sz w:val="24"/>
          <w:szCs w:val="24"/>
        </w:rPr>
        <w:t>ը ստանալուց հետո սկսվում է II տիպի փոփոխության փորձաքննության ընթացակարգը:</w:t>
      </w:r>
    </w:p>
    <w:p w14:paraId="768387E3" w14:textId="5C3F205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շահագրգիռ անդամ պետությունները համաձայն չեն ռեֆերենտ պետության լիազորված մարմնի (փորձագիտական կազմակերպության) եզրակացության հետ, ռեֆերենտ պետության լիազորված մարմինը (փորձագիտական կազմակերպությունը) պետք է կայացնի ներկայացված </w:t>
      </w:r>
      <w:r w:rsidR="0056496B">
        <w:rPr>
          <w:rFonts w:ascii="Sylfaen" w:hAnsi="Sylfaen"/>
          <w:sz w:val="24"/>
          <w:szCs w:val="24"/>
        </w:rPr>
        <w:t>դիմում</w:t>
      </w:r>
      <w:r w:rsidRPr="00826F05">
        <w:rPr>
          <w:rFonts w:ascii="Sylfaen" w:hAnsi="Sylfaen"/>
          <w:sz w:val="24"/>
          <w:szCs w:val="24"/>
        </w:rPr>
        <w:t xml:space="preserve">ի դասակարգման վերաբերյալ վերջնական որոշում՝ հաշվի առնելով շահագրգիռ </w:t>
      </w:r>
      <w:r w:rsidRPr="00826F05">
        <w:rPr>
          <w:rFonts w:ascii="Sylfaen" w:hAnsi="Sylfaen"/>
          <w:sz w:val="24"/>
          <w:szCs w:val="24"/>
        </w:rPr>
        <w:lastRenderedPageBreak/>
        <w:t xml:space="preserve">պետություններից ստացված մեկնաբանությունները: </w:t>
      </w:r>
    </w:p>
    <w:p w14:paraId="2F010B06" w14:textId="35F6207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ռեֆերենտ պետության լիազորված մարմինը (փորձագիտական կազմակերպությունը) համարում է, որ առաջարկվող փոփոխությունը կարելի է ուսումնասիրել որպես IB տիպի ոչ էական փոփոխություն, այն վալիդացման արդյունքների մասին ծանուցում է </w:t>
      </w:r>
      <w:r w:rsidR="0056496B">
        <w:rPr>
          <w:rFonts w:ascii="Sylfaen" w:hAnsi="Sylfaen"/>
          <w:sz w:val="24"/>
          <w:szCs w:val="24"/>
        </w:rPr>
        <w:t>դիմումատու</w:t>
      </w:r>
      <w:r w:rsidRPr="00826F05">
        <w:rPr>
          <w:rFonts w:ascii="Sylfaen" w:hAnsi="Sylfaen"/>
          <w:sz w:val="24"/>
          <w:szCs w:val="24"/>
        </w:rPr>
        <w:t>ին:</w:t>
      </w:r>
    </w:p>
    <w:p w14:paraId="5610ACE3" w14:textId="7A16A2B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Վավեր ծանուցման ստացումը ճանաչելու օրվանից 30 օրացուցային օրվա ընթացքում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ընթացակարգի արդյունքների մասին: Եթե ռեֆերենտ պետության լիազորված մարմինը (փորձագիտական կազմակերպությունը) ծանուցումը ստանալու օրվանից 30 օրացուցային օրվա ընթացքում </w:t>
      </w:r>
      <w:r w:rsidR="0056496B">
        <w:rPr>
          <w:rFonts w:ascii="Sylfaen" w:hAnsi="Sylfaen"/>
          <w:sz w:val="24"/>
          <w:szCs w:val="24"/>
        </w:rPr>
        <w:t>դիմումատու</w:t>
      </w:r>
      <w:r w:rsidRPr="00826F05">
        <w:rPr>
          <w:rFonts w:ascii="Sylfaen" w:hAnsi="Sylfaen"/>
          <w:sz w:val="24"/>
          <w:szCs w:val="24"/>
        </w:rPr>
        <w:t>ին չի ուղարկել ծանուցման վերաբերյալ իր եզրակացությունը, ծանուցումը համարվում է ընդունված (հաստատված) բոլոր համապատասխան մարմինների կողմից:</w:t>
      </w:r>
    </w:p>
    <w:p w14:paraId="58C553C9" w14:textId="116D1EF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Բացասական եզրակացություն ստանալու դեպքում </w:t>
      </w:r>
      <w:r w:rsidR="0056496B">
        <w:rPr>
          <w:rFonts w:ascii="Sylfaen" w:hAnsi="Sylfaen"/>
          <w:sz w:val="24"/>
          <w:szCs w:val="24"/>
        </w:rPr>
        <w:t>դիմումատու</w:t>
      </w:r>
      <w:r w:rsidRPr="00826F05">
        <w:rPr>
          <w:rFonts w:ascii="Sylfaen" w:hAnsi="Sylfaen"/>
          <w:sz w:val="24"/>
          <w:szCs w:val="24"/>
        </w:rPr>
        <w:t>ն բացասական եզրակացություն ստանալու օրվանից 30 օրացուցային օրվա ընթացքում իրավունք ունի ռեֆերենտ պետության լիազորված մարմին (փորձագիտական կազմակերպություն) կրկին ներկայացնելու փոփոխության (ծանուցման) լրացված</w:t>
      </w:r>
      <w:r>
        <w:rPr>
          <w:rFonts w:ascii="Sylfaen" w:hAnsi="Sylfaen"/>
          <w:sz w:val="24"/>
          <w:szCs w:val="24"/>
        </w:rPr>
        <w:t> </w:t>
      </w:r>
      <w:r w:rsidRPr="00826F05">
        <w:rPr>
          <w:rFonts w:ascii="Sylfaen" w:hAnsi="Sylfaen"/>
          <w:sz w:val="24"/>
          <w:szCs w:val="24"/>
        </w:rPr>
        <w:t>դոսյե:</w:t>
      </w:r>
    </w:p>
    <w:p w14:paraId="252C1F43" w14:textId="1F23078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դիմումատու</w:t>
      </w:r>
      <w:r w:rsidRPr="00826F05">
        <w:rPr>
          <w:rFonts w:ascii="Sylfaen" w:hAnsi="Sylfaen"/>
          <w:sz w:val="24"/>
          <w:szCs w:val="24"/>
        </w:rPr>
        <w:t xml:space="preserve">ն չի ներկայացնում լրացված ծանուցում՝ լիազորված մարմնի (փորձագիտական կազմակերպության) եզրակացությանը կամ </w:t>
      </w:r>
      <w:r w:rsidR="0056496B">
        <w:rPr>
          <w:rFonts w:ascii="Sylfaen" w:hAnsi="Sylfaen"/>
          <w:sz w:val="24"/>
          <w:szCs w:val="24"/>
        </w:rPr>
        <w:t>դիմում</w:t>
      </w:r>
      <w:r w:rsidRPr="00826F05">
        <w:rPr>
          <w:rFonts w:ascii="Sylfaen" w:hAnsi="Sylfaen"/>
          <w:sz w:val="24"/>
          <w:szCs w:val="24"/>
        </w:rPr>
        <w:t>ին համապատասխան, ապա ծանուցումը համարվում է մերժված բոլոր համապատասխան մարմինների կողմից:</w:t>
      </w:r>
    </w:p>
    <w:p w14:paraId="28B80DA1" w14:textId="59386535"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Լրացված ծանուցումը ներկայացնելիս ռեֆերենտ պետության լիազորված մարմինը (փորձագիտական կազմակերպությունը) պետք է այն ստանալու օրվանից 30 օրացուցային օրվանից ոչ ավել ժամկետում ուսումնասիրի կրկին ներկայացված փաստաթղթերը </w:t>
      </w:r>
      <w:r w:rsidR="00C54D75">
        <w:rPr>
          <w:rFonts w:ascii="Sylfaen" w:hAnsi="Sylfaen"/>
          <w:sz w:val="24"/>
          <w:szCs w:val="24"/>
        </w:rPr>
        <w:t>և</w:t>
      </w:r>
      <w:r w:rsidRPr="00826F05">
        <w:rPr>
          <w:rFonts w:ascii="Sylfaen" w:hAnsi="Sylfaen"/>
          <w:sz w:val="24"/>
          <w:szCs w:val="24"/>
        </w:rPr>
        <w:t xml:space="preserve"> տվյալները, որից հետո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փոփոխության (փոփոխությունների) վերջնական ընդունման կամ մերժման (այդ </w:t>
      </w:r>
      <w:r w:rsidRPr="00826F05">
        <w:rPr>
          <w:rFonts w:ascii="Sylfaen" w:hAnsi="Sylfaen"/>
          <w:sz w:val="24"/>
          <w:szCs w:val="24"/>
        </w:rPr>
        <w:lastRenderedPageBreak/>
        <w:t>թվում՝ բացասական եզրակացության հիմքերի) մասին: Շահագրգիռ անդամ պետությունները ստանում են համապատասխան ծանուցումներ:</w:t>
      </w:r>
    </w:p>
    <w:p w14:paraId="37EFAD7C" w14:textId="16E564DD"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է ոչ էական փոփոխությունների խումբ,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ծանուցում է, թե որ փոփոխությունն է ընդունվել կամ մերժվել փորձաքննության արդյունքներով:</w:t>
      </w:r>
    </w:p>
    <w:p w14:paraId="00DF3947"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Անհրաժեշտության դեպքում համապատասխան մարմինները թարմացնում</w:t>
      </w:r>
      <w:r>
        <w:rPr>
          <w:rFonts w:ascii="Sylfaen" w:hAnsi="Sylfaen"/>
          <w:sz w:val="24"/>
          <w:szCs w:val="24"/>
        </w:rPr>
        <w:t> </w:t>
      </w:r>
      <w:r w:rsidRPr="00826F05">
        <w:rPr>
          <w:rFonts w:ascii="Sylfaen" w:hAnsi="Sylfaen"/>
          <w:sz w:val="24"/>
          <w:szCs w:val="24"/>
        </w:rPr>
        <w:t>են գրանցման դոսյեն 180 օրացուցային օրվա ընթացքում՝ ռեֆերենտ</w:t>
      </w:r>
      <w:r>
        <w:rPr>
          <w:rFonts w:ascii="Sylfaen" w:hAnsi="Sylfaen"/>
          <w:sz w:val="24"/>
          <w:szCs w:val="24"/>
        </w:rPr>
        <w:t> </w:t>
      </w:r>
      <w:r w:rsidRPr="00826F05">
        <w:rPr>
          <w:rFonts w:ascii="Sylfaen" w:hAnsi="Sylfaen"/>
          <w:sz w:val="24"/>
          <w:szCs w:val="24"/>
        </w:rPr>
        <w:t>պետության լիազորված մարմնի (փորձագիտական կազմակերպության) կողմից ընթացակարգերն ավարտելուց հետո՝ շահագրգիռ անդամ պետության կողմից գրանցման դոսյեի փոփոխության համար անհրաժեշտ փաստաթղթերը ներկայացնելու պայմանով: Սակայն թույլ է տրվում ընդունված IB տիպի ոչ էական փոփոխություններն իրականացնել՝ չսպասելով գրանցման դոսյեի թարմացմանը, բացառությամբ այն դեպքի, երբ փոփոխությունները հանգեցնում են դեղապատրաստուկի մասին տեղեկատվության վերանայման՝ Դեղամիջոցների գրանցման կանոնների թիվ 19 հավելվածի 1.6 կետին համապատասխան:</w:t>
      </w:r>
    </w:p>
    <w:p w14:paraId="0EA51A5C" w14:textId="37E165B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Այդ դեպքում համապատասխան լիազորված մարմինները ծանուցումը հաստատելու մասին որոշումը ստանալու օրվանից ոչ ուշ, քան 10</w:t>
      </w:r>
      <w:r>
        <w:rPr>
          <w:rFonts w:ascii="Sylfaen" w:hAnsi="Sylfaen"/>
          <w:sz w:val="24"/>
          <w:szCs w:val="24"/>
        </w:rPr>
        <w:t> </w:t>
      </w:r>
      <w:r w:rsidRPr="00826F05">
        <w:rPr>
          <w:rFonts w:ascii="Sylfaen" w:hAnsi="Sylfaen"/>
          <w:sz w:val="24"/>
          <w:szCs w:val="24"/>
        </w:rPr>
        <w:t xml:space="preserve">աշխատանքային օրվա ընթացքում միասնական ռեեստրում տեղադրում են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վերաբերյալ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ներկայացնում դեղապատրաստուկի փոփոխված ընդհանուր բնութագիրը, բժշկական կիրառման հրահանգը, փաթեթվածքների մանրակերտերը, որակի վերաբերյալ նորմատիվ փաստաթուղթը, գրանցման հավաստագիրը (անհրաժեշտության դեպքում):</w:t>
      </w:r>
    </w:p>
    <w:p w14:paraId="6EF0EC6C" w14:textId="29A4704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826F05">
        <w:rPr>
          <w:rFonts w:ascii="Sylfaen" w:hAnsi="Sylfaen"/>
          <w:sz w:val="24"/>
          <w:szCs w:val="24"/>
        </w:rPr>
        <w:t xml:space="preserve"> 90 օրացուցային օր երկարաձգելու փորձաքննության </w:t>
      </w:r>
      <w:r w:rsidR="00C54D75">
        <w:rPr>
          <w:rFonts w:ascii="Sylfaen" w:hAnsi="Sylfaen"/>
          <w:sz w:val="24"/>
          <w:szCs w:val="24"/>
        </w:rPr>
        <w:t>և</w:t>
      </w:r>
      <w:r w:rsidRPr="00826F05">
        <w:rPr>
          <w:rFonts w:ascii="Sylfaen" w:hAnsi="Sylfaen"/>
          <w:sz w:val="24"/>
          <w:szCs w:val="24"/>
        </w:rPr>
        <w:t xml:space="preserve"> փաստաթղթերի տրամադրման ժամկետն այն դեպքերում,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2BAAEEFF" w14:textId="77777777" w:rsidR="004F5982" w:rsidRPr="00826F05" w:rsidRDefault="004F5982" w:rsidP="00487007">
      <w:pPr>
        <w:tabs>
          <w:tab w:val="left" w:pos="1701"/>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2.2.3.</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IB տիպի փոփոխությունների փորձաքննություն:</w:t>
      </w:r>
    </w:p>
    <w:p w14:paraId="579F8354" w14:textId="5AB03EB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IB տիպի ոչ էական փոփոխություն կատարելու դեպքում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826F05">
        <w:rPr>
          <w:rFonts w:ascii="Sylfaen" w:hAnsi="Sylfaen"/>
          <w:sz w:val="24"/>
          <w:szCs w:val="24"/>
        </w:rPr>
        <w:t xml:space="preserve">ը` Դեղամիջոցների գրանցման կանոնների թիվ 2 հավելվածի համաձայն, </w:t>
      </w:r>
      <w:r w:rsidR="00C54D75">
        <w:rPr>
          <w:rFonts w:ascii="Sylfaen" w:hAnsi="Sylfaen"/>
          <w:sz w:val="24"/>
          <w:szCs w:val="24"/>
        </w:rPr>
        <w:t>և</w:t>
      </w:r>
      <w:r w:rsidRPr="00826F05">
        <w:rPr>
          <w:rFonts w:ascii="Sylfaen" w:hAnsi="Sylfaen"/>
          <w:sz w:val="24"/>
          <w:szCs w:val="24"/>
        </w:rPr>
        <w:t xml:space="preserve"> (կամ) փոփոխություններ կատարելու համար վճարի (տուրքի) վճարումը հաստատող փաստաթղթերը՝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w:t>
      </w:r>
    </w:p>
    <w:p w14:paraId="1D7E0D6D" w14:textId="2A215976"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գրանցման պետության լիազորված մարմին (փորձագիտական կազմակերպություն) է ներկայացնում փոփոխությունների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թվարկված տարրեր:</w:t>
      </w:r>
    </w:p>
    <w:p w14:paraId="07D5D542" w14:textId="7747EF9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 կատարելու մասին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5 աշխատանքային օրվա ընթացքում անցկացնում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այդ թվում՝ փոփոխությունները IB տիպի ոչ էական փոփոխությունների շարքին դասելու հնարավորությունների գնահատում («վալիդացում»):</w:t>
      </w:r>
    </w:p>
    <w:p w14:paraId="3163037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ծանուցումը բավարարում է Դեղամիջոցների գրանցման կանոնների թիվ</w:t>
      </w:r>
      <w:r w:rsidR="00487007" w:rsidRPr="00487007">
        <w:rPr>
          <w:rFonts w:ascii="Sylfaen" w:hAnsi="Sylfaen"/>
          <w:sz w:val="24"/>
          <w:szCs w:val="24"/>
        </w:rPr>
        <w:t> </w:t>
      </w:r>
      <w:r w:rsidRPr="00826F05">
        <w:rPr>
          <w:rFonts w:ascii="Sylfaen" w:hAnsi="Sylfaen"/>
          <w:sz w:val="24"/>
          <w:szCs w:val="24"/>
        </w:rPr>
        <w:t xml:space="preserve">19 հավելվածի 3.2.1 ենթակետում սահմանված պահանջներին, ռեֆերենտ </w:t>
      </w:r>
      <w:r w:rsidRPr="00826F05">
        <w:rPr>
          <w:rFonts w:ascii="Sylfaen" w:hAnsi="Sylfaen"/>
          <w:sz w:val="24"/>
          <w:szCs w:val="24"/>
        </w:rPr>
        <w:lastRenderedPageBreak/>
        <w:t xml:space="preserve">պետության լիազորված մարմինը (փորձագիտական կազմակերպությունը) հաջորդ 30 օրացուցային օրվա ընթացքում հաստատում է վավեր ծանուցման ստացումը: </w:t>
      </w:r>
    </w:p>
    <w:p w14:paraId="3E88D8CD" w14:textId="2C0D940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B8448E">
        <w:rPr>
          <w:rFonts w:ascii="Sylfaen" w:hAnsi="Sylfaen"/>
          <w:spacing w:val="-6"/>
          <w:sz w:val="24"/>
          <w:szCs w:val="24"/>
        </w:rPr>
        <w:t>Եթե ներկայացված փոփոխությունը չի դիտարկվում որպես IB տիպի ոչ էական փոփոխություն՝ Դեղամիջոցների գրանցման կանոնների թիվ</w:t>
      </w:r>
      <w:r w:rsidRPr="00826F05">
        <w:rPr>
          <w:rFonts w:ascii="Sylfaen" w:hAnsi="Sylfaen"/>
          <w:sz w:val="24"/>
          <w:szCs w:val="24"/>
        </w:rPr>
        <w:t xml:space="preserve"> 19 հավելվածի V</w:t>
      </w:r>
      <w:r>
        <w:rPr>
          <w:rFonts w:ascii="Sylfaen" w:hAnsi="Sylfaen"/>
          <w:sz w:val="24"/>
          <w:szCs w:val="24"/>
        </w:rPr>
        <w:t> </w:t>
      </w:r>
      <w:r w:rsidRPr="00826F05">
        <w:rPr>
          <w:rFonts w:ascii="Sylfaen" w:hAnsi="Sylfaen"/>
          <w:sz w:val="24"/>
          <w:szCs w:val="24"/>
        </w:rPr>
        <w:t xml:space="preserve">լրացմանը համապատասխան, կամ այն չի դասակարգվել որպես IB տիպի </w:t>
      </w:r>
      <w:r w:rsidRPr="00B8448E">
        <w:rPr>
          <w:rFonts w:ascii="Sylfaen" w:hAnsi="Sylfaen"/>
          <w:spacing w:val="-6"/>
          <w:sz w:val="24"/>
          <w:szCs w:val="24"/>
        </w:rPr>
        <w:t>ոչ էական փոփոխություն՝ Դեղամիջոցների գրանցման կանոնների թիվ</w:t>
      </w:r>
      <w:r w:rsidRPr="00826F05">
        <w:rPr>
          <w:rFonts w:ascii="Sylfaen" w:hAnsi="Sylfaen"/>
          <w:sz w:val="24"/>
          <w:szCs w:val="24"/>
        </w:rPr>
        <w:t xml:space="preserve"> 19 հավելվածի 1.5 ենթակետին համապատասխան, </w:t>
      </w:r>
      <w:r w:rsidR="00C54D75">
        <w:rPr>
          <w:rFonts w:ascii="Sylfaen" w:hAnsi="Sylfaen"/>
          <w:sz w:val="24"/>
          <w:szCs w:val="24"/>
        </w:rPr>
        <w:t>և</w:t>
      </w:r>
      <w:r w:rsidRPr="00826F05">
        <w:rPr>
          <w:rFonts w:ascii="Sylfaen" w:hAnsi="Sylfaen"/>
          <w:sz w:val="24"/>
          <w:szCs w:val="24"/>
        </w:rPr>
        <w:t xml:space="preserve"> ընդ որում, լիազորված մարմինը (փորձագիտական կազմակերպությունը) համարում է, որ այն կարող է նշանակալի ազդեցություն ունենալ դեղապատրաստուկի որակի, անվտանգության կամ արդյունավետության վրա, </w:t>
      </w:r>
      <w:r w:rsidR="0056496B">
        <w:rPr>
          <w:rFonts w:ascii="Sylfaen" w:hAnsi="Sylfaen"/>
          <w:sz w:val="24"/>
          <w:szCs w:val="24"/>
        </w:rPr>
        <w:t>դիմումատու</w:t>
      </w:r>
      <w:r w:rsidRPr="00826F05">
        <w:rPr>
          <w:rFonts w:ascii="Sylfaen" w:hAnsi="Sylfaen"/>
          <w:sz w:val="24"/>
          <w:szCs w:val="24"/>
        </w:rPr>
        <w:t xml:space="preserve">ն ստանում է </w:t>
      </w:r>
      <w:r w:rsidR="0056496B">
        <w:rPr>
          <w:rFonts w:ascii="Sylfaen" w:hAnsi="Sylfaen"/>
          <w:sz w:val="24"/>
          <w:szCs w:val="24"/>
        </w:rPr>
        <w:t>դիմում</w:t>
      </w:r>
      <w:r w:rsidRPr="00826F05">
        <w:rPr>
          <w:rFonts w:ascii="Sylfaen" w:hAnsi="Sylfaen"/>
          <w:sz w:val="24"/>
          <w:szCs w:val="24"/>
        </w:rPr>
        <w:t xml:space="preserve">ը վերանայելու </w:t>
      </w:r>
      <w:r w:rsidR="00C54D75">
        <w:rPr>
          <w:rFonts w:ascii="Sylfaen" w:hAnsi="Sylfaen"/>
          <w:sz w:val="24"/>
          <w:szCs w:val="24"/>
        </w:rPr>
        <w:t>և</w:t>
      </w:r>
      <w:r w:rsidRPr="00826F05">
        <w:rPr>
          <w:rFonts w:ascii="Sylfaen" w:hAnsi="Sylfaen"/>
          <w:sz w:val="24"/>
          <w:szCs w:val="24"/>
        </w:rPr>
        <w:t xml:space="preserve"> այն II</w:t>
      </w:r>
      <w:r>
        <w:rPr>
          <w:rFonts w:ascii="Sylfaen" w:hAnsi="Sylfaen"/>
          <w:sz w:val="24"/>
          <w:szCs w:val="24"/>
        </w:rPr>
        <w:t> </w:t>
      </w:r>
      <w:r w:rsidRPr="00826F05">
        <w:rPr>
          <w:rFonts w:ascii="Sylfaen" w:hAnsi="Sylfaen"/>
          <w:sz w:val="24"/>
          <w:szCs w:val="24"/>
        </w:rPr>
        <w:t xml:space="preserve">տիպի էական փոփոխություններին ներկայացվող պահանջներին համապատասխան լրացնելու մասին պահանջ: Վերանայված վավեր </w:t>
      </w:r>
      <w:r w:rsidR="0056496B">
        <w:rPr>
          <w:rFonts w:ascii="Sylfaen" w:hAnsi="Sylfaen"/>
          <w:sz w:val="24"/>
          <w:szCs w:val="24"/>
        </w:rPr>
        <w:t>դիմում</w:t>
      </w:r>
      <w:r w:rsidRPr="00826F05">
        <w:rPr>
          <w:rFonts w:ascii="Sylfaen" w:hAnsi="Sylfaen"/>
          <w:sz w:val="24"/>
          <w:szCs w:val="24"/>
        </w:rPr>
        <w:t>ը ստանալուց հետո սկսվում է II տիպի փորձաքննության ընթացակարգը:</w:t>
      </w:r>
    </w:p>
    <w:p w14:paraId="22F211E2" w14:textId="5C3990F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Ծանուցումը ստանալու օրվանից 30 օրացուցային օրվա ընթացքում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ընթացակարգի արդյունքների մասին: Եթե ծանուցումը ստանալու օրվանից 30 օրացուցային օրվա ընթացքում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826F05">
        <w:rPr>
          <w:rFonts w:ascii="Sylfaen" w:hAnsi="Sylfaen"/>
          <w:sz w:val="24"/>
          <w:szCs w:val="24"/>
        </w:rPr>
        <w:t xml:space="preserve">ին չի ուղարկում ծանուցումն ընդունելու </w:t>
      </w:r>
      <w:r w:rsidR="00C54D75">
        <w:rPr>
          <w:rFonts w:ascii="Sylfaen" w:hAnsi="Sylfaen"/>
          <w:sz w:val="24"/>
          <w:szCs w:val="24"/>
        </w:rPr>
        <w:t>և</w:t>
      </w:r>
      <w:r w:rsidRPr="00826F05">
        <w:rPr>
          <w:rFonts w:ascii="Sylfaen" w:hAnsi="Sylfaen"/>
          <w:sz w:val="24"/>
          <w:szCs w:val="24"/>
        </w:rPr>
        <w:t xml:space="preserve"> գրանցման դոսյեի մեջ տվյալ փոփոխությունը կատարելու անհնարինության մասին եզրակացություն, ապա եզրակացությունը համարվում է լիազորված մարմնի կողմից ընդունված (հաստատված):</w:t>
      </w:r>
    </w:p>
    <w:p w14:paraId="3BA4C3AC" w14:textId="2176958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ռեֆերենտ պետության լիազորված մարմնի (փորձագիտական կազմակերպության) եզրակացության համաձայն փոփոխություններ կատարելու մասին </w:t>
      </w:r>
      <w:r w:rsidR="0056496B">
        <w:rPr>
          <w:rFonts w:ascii="Sylfaen" w:hAnsi="Sylfaen"/>
          <w:sz w:val="24"/>
          <w:szCs w:val="24"/>
        </w:rPr>
        <w:t>դիմումատու</w:t>
      </w:r>
      <w:r w:rsidRPr="00826F05">
        <w:rPr>
          <w:rFonts w:ascii="Sylfaen" w:hAnsi="Sylfaen"/>
          <w:sz w:val="24"/>
          <w:szCs w:val="24"/>
        </w:rPr>
        <w:t xml:space="preserve">ի ծանուցումը չի կարող հաստատվել, ապա ռեֆերենտ պետության լիազորված մարմինը (փորձագիտական կազմակերպությունը) էլեկտրոնային կամ թղթային եղանակով դրա մասին ծանուցում է </w:t>
      </w:r>
      <w:r w:rsidR="0056496B">
        <w:rPr>
          <w:rFonts w:ascii="Sylfaen" w:hAnsi="Sylfaen"/>
          <w:sz w:val="24"/>
          <w:szCs w:val="24"/>
        </w:rPr>
        <w:t>դիմումատու</w:t>
      </w:r>
      <w:r w:rsidRPr="00826F05">
        <w:rPr>
          <w:rFonts w:ascii="Sylfaen" w:hAnsi="Sylfaen"/>
          <w:sz w:val="24"/>
          <w:szCs w:val="24"/>
        </w:rPr>
        <w:t>ին՝ նշելով բացասական եզրակացության հիմքերը:</w:t>
      </w:r>
    </w:p>
    <w:p w14:paraId="3AF37CA5" w14:textId="6714345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Բացասական եզրակացություն ստանալու օրվանից 30 օրացուցային օրվա </w:t>
      </w:r>
      <w:r w:rsidRPr="00826F05">
        <w:rPr>
          <w:rFonts w:ascii="Sylfaen" w:hAnsi="Sylfaen"/>
          <w:sz w:val="24"/>
          <w:szCs w:val="24"/>
        </w:rPr>
        <w:lastRenderedPageBreak/>
        <w:t xml:space="preserve">ընթացքում </w:t>
      </w:r>
      <w:r w:rsidR="0056496B">
        <w:rPr>
          <w:rFonts w:ascii="Sylfaen" w:hAnsi="Sylfaen"/>
          <w:sz w:val="24"/>
          <w:szCs w:val="24"/>
        </w:rPr>
        <w:t>դիմումատու</w:t>
      </w:r>
      <w:r w:rsidRPr="00826F05">
        <w:rPr>
          <w:rFonts w:ascii="Sylfaen" w:hAnsi="Sylfaen"/>
          <w:sz w:val="24"/>
          <w:szCs w:val="24"/>
        </w:rPr>
        <w:t xml:space="preserve">ն իրավունք ունի ռեֆերենտ պետության լիազորված մարմին (փորձագիտական կազմակերպություն) կրկին ներկայացնելու փոփոխության լրացուցիչ դոսյե՝ ռեֆերենտ պետության լիազորված </w:t>
      </w:r>
      <w:r w:rsidRPr="001436BD">
        <w:rPr>
          <w:rFonts w:ascii="Sylfaen" w:hAnsi="Sylfaen"/>
          <w:sz w:val="24"/>
          <w:szCs w:val="24"/>
          <w:shd w:val="clear" w:color="auto" w:fill="D99594" w:themeFill="accent2" w:themeFillTint="99"/>
        </w:rPr>
        <w:t xml:space="preserve">մարմի </w:t>
      </w:r>
      <w:r w:rsidRPr="00826F05">
        <w:rPr>
          <w:rFonts w:ascii="Sylfaen" w:hAnsi="Sylfaen"/>
          <w:sz w:val="24"/>
          <w:szCs w:val="24"/>
        </w:rPr>
        <w:t>(փորձագիտական կազմակերպության) եզրակացությանը համապատասխան:</w:t>
      </w:r>
    </w:p>
    <w:p w14:paraId="2A0193A5" w14:textId="10F13C1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դիմումատու</w:t>
      </w:r>
      <w:r w:rsidRPr="00826F05">
        <w:rPr>
          <w:rFonts w:ascii="Sylfaen" w:hAnsi="Sylfaen"/>
          <w:sz w:val="24"/>
          <w:szCs w:val="24"/>
        </w:rPr>
        <w:t>ն չի ներկայացնում լրացված ծանուցում՝ Դեղամիջոցների գրանցման կանոններին համապատասխան, ապա ծանուցումը համարվում է մերժված:</w:t>
      </w:r>
    </w:p>
    <w:p w14:paraId="1989E248" w14:textId="70DA3B39"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Ուղղված ծանուցումը ստանալու օրվանից 30 օրացուցային օրվա ընթացքում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փոփոխություններն ընդունելու կամ մերժելու մասին վերջնական որոշման (այդ թվում՝ բացասական եզրակացության հիմքերի) մասին:</w:t>
      </w:r>
    </w:p>
    <w:p w14:paraId="59BAA69E" w14:textId="634C270B"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է ոչ էական փոփոխությունների խումբ,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որ փոփոխությունն է ընդունվել կամ մերժվել դեղապատրաստուկի փորձաքննության արդյունքներով:</w:t>
      </w:r>
    </w:p>
    <w:p w14:paraId="6896D9A8" w14:textId="62337F2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լիազորված մարմինը (փորձագիտական կազմակերպությունը) թարմացնում է գրանցման դոսյեն ընթացակարգն ավարտելուց հետո՝ 180 օրացուցային օրվա ընթացքում՝ </w:t>
      </w:r>
      <w:r w:rsidR="0056496B">
        <w:rPr>
          <w:rFonts w:ascii="Sylfaen" w:hAnsi="Sylfaen"/>
          <w:sz w:val="24"/>
          <w:szCs w:val="24"/>
        </w:rPr>
        <w:t>դիմումատու</w:t>
      </w:r>
      <w:r w:rsidRPr="00826F05">
        <w:rPr>
          <w:rFonts w:ascii="Sylfaen" w:hAnsi="Sylfaen"/>
          <w:sz w:val="24"/>
          <w:szCs w:val="24"/>
        </w:rPr>
        <w:t>ի կողմից գրանցման դոսյեի փոփոխության համար անհրաժեշտ փաստաթղթերը լիազորված մարմին (փորձագիտական կազմակերպություն) ներկայացնելու պայմանով: Սակայն IB տիպի ընդունված ոչ էական փոփոխությունները թույլատրվում է իրականացնել առանց գրանցման դոսյեի թարմացմանը սպասելու:</w:t>
      </w:r>
    </w:p>
    <w:p w14:paraId="7E28EF33" w14:textId="7BD63D8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Այն դեպքում, երբ Դեղամիջոցների գրանցման կանոնների թիվ 19 հավելվածի 1.6 կետի համաձայն՝ փոփոխությունները հանգեցնում են դեղապատրաստուկի մասին տեղեկատվության վերանայման, համապատասխան լիազորված մարմինը փոփոխությունը հաստատելու մասին որոշումն ընդունելու օրվանից 10</w:t>
      </w:r>
      <w:r>
        <w:rPr>
          <w:rFonts w:ascii="Sylfaen" w:hAnsi="Sylfaen"/>
          <w:sz w:val="24"/>
          <w:szCs w:val="24"/>
        </w:rPr>
        <w:t> </w:t>
      </w:r>
      <w:r w:rsidRPr="00826F05">
        <w:rPr>
          <w:rFonts w:ascii="Sylfaen" w:hAnsi="Sylfaen"/>
          <w:sz w:val="24"/>
          <w:szCs w:val="24"/>
        </w:rPr>
        <w:t xml:space="preserve">աշխատանքային օրը չգերազանցող ժամկետում, փոփոխություններ կատարելու </w:t>
      </w:r>
      <w:r w:rsidRPr="00826F05">
        <w:rPr>
          <w:rFonts w:ascii="Sylfaen" w:hAnsi="Sylfaen"/>
          <w:sz w:val="24"/>
          <w:szCs w:val="24"/>
        </w:rPr>
        <w:lastRenderedPageBreak/>
        <w:t>մասին տեղեկությունները տեղադրում է միասնական ռեեստրում՝ կից</w:t>
      </w:r>
      <w:r>
        <w:rPr>
          <w:rFonts w:ascii="Sylfaen" w:hAnsi="Sylfaen"/>
          <w:sz w:val="24"/>
          <w:szCs w:val="24"/>
        </w:rPr>
        <w:t> </w:t>
      </w:r>
      <w:r w:rsidRPr="00826F05">
        <w:rPr>
          <w:rFonts w:ascii="Sylfaen" w:hAnsi="Sylfaen"/>
          <w:sz w:val="24"/>
          <w:szCs w:val="24"/>
        </w:rPr>
        <w:t xml:space="preserve">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վերաբերյալ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վերաբերյալ նորմատիվ փաստաթուղթը, գրանցման հավաստագիրը (անհրաժեշտության դեպքում):</w:t>
      </w:r>
    </w:p>
    <w:p w14:paraId="036D6A52" w14:textId="5B1901A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B8448E">
        <w:rPr>
          <w:rFonts w:ascii="Sylfaen" w:hAnsi="Sylfaen"/>
          <w:spacing w:val="-6"/>
          <w:sz w:val="24"/>
          <w:szCs w:val="24"/>
        </w:rPr>
        <w:t>Ռեֆերենտ պետության լիազորված մարմինը (փորձագիտական կազմակերպությունը) իրավունք ունի ընդհանուր առմամբ մինչ</w:t>
      </w:r>
      <w:r w:rsidR="00C54D75">
        <w:rPr>
          <w:rFonts w:ascii="Sylfaen" w:hAnsi="Sylfaen"/>
          <w:spacing w:val="-6"/>
          <w:sz w:val="24"/>
          <w:szCs w:val="24"/>
        </w:rPr>
        <w:t>և</w:t>
      </w:r>
      <w:r w:rsidRPr="00B8448E">
        <w:rPr>
          <w:rFonts w:ascii="Sylfaen" w:hAnsi="Sylfaen"/>
          <w:spacing w:val="-6"/>
          <w:sz w:val="24"/>
          <w:szCs w:val="24"/>
        </w:rPr>
        <w:t xml:space="preserve"> 90 օրացուցային</w:t>
      </w:r>
      <w:r w:rsidRPr="00826F05">
        <w:rPr>
          <w:rFonts w:ascii="Sylfaen" w:hAnsi="Sylfaen"/>
          <w:sz w:val="24"/>
          <w:szCs w:val="24"/>
        </w:rPr>
        <w:t xml:space="preserve"> օր երկարաձգելու փորձաքննության </w:t>
      </w:r>
      <w:r w:rsidR="00C54D75">
        <w:rPr>
          <w:rFonts w:ascii="Sylfaen" w:hAnsi="Sylfaen"/>
          <w:sz w:val="24"/>
          <w:szCs w:val="24"/>
        </w:rPr>
        <w:t>և</w:t>
      </w:r>
      <w:r w:rsidRPr="00826F05">
        <w:rPr>
          <w:rFonts w:ascii="Sylfaen" w:hAnsi="Sylfaen"/>
          <w:sz w:val="24"/>
          <w:szCs w:val="24"/>
        </w:rPr>
        <w:t xml:space="preserve"> փաստաթղթերի տրամադրման ժամկետն այն դեպքում,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179489C2"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2.3.</w:t>
      </w:r>
      <w:r w:rsidRPr="00826F05">
        <w:rPr>
          <w:rFonts w:ascii="Sylfaen" w:hAnsi="Sylfaen"/>
          <w:sz w:val="24"/>
          <w:szCs w:val="24"/>
        </w:rPr>
        <w:tab/>
        <w:t>II տիպի էական փոփոխությունները:</w:t>
      </w:r>
    </w:p>
    <w:p w14:paraId="3875934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Սույն կետով բերվում է II տիպի էական փոփոխությունների մասով Դեղամիջոցների գրանցման կանոնների թիվ 19 հավելվածի 1.7, 2.3, 2.4, 2.6, 3.3-3.5 կետերի, 4.2.1 </w:t>
      </w:r>
      <w:r w:rsidR="00C54D75">
        <w:rPr>
          <w:rFonts w:ascii="Sylfaen" w:hAnsi="Sylfaen"/>
          <w:sz w:val="24"/>
          <w:szCs w:val="24"/>
        </w:rPr>
        <w:t>և</w:t>
      </w:r>
      <w:r w:rsidRPr="00826F05">
        <w:rPr>
          <w:rFonts w:ascii="Sylfaen" w:hAnsi="Sylfaen"/>
          <w:sz w:val="24"/>
          <w:szCs w:val="24"/>
        </w:rPr>
        <w:t xml:space="preserve"> 4.2.2 ենթակետերի կիրառման վերաբերյալ դրույթները:</w:t>
      </w:r>
    </w:p>
    <w:p w14:paraId="119F95F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հավելվածը պարունակում է այն փոփոխությունների ցանկը, որոնք պետք է դիտարկել որպես II տիպի էական փոփոխություններ: Նման էական փոփոխություններն իրականացնելուց առաջ պահանջվում է համապատասխան լիազորված մարմինների հաստատումը:</w:t>
      </w:r>
    </w:p>
    <w:p w14:paraId="3248B451" w14:textId="17873301"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2.3.1.</w:t>
      </w:r>
      <w:r w:rsidRPr="00826F05">
        <w:rPr>
          <w:rFonts w:ascii="Sylfaen" w:hAnsi="Sylfaen"/>
          <w:sz w:val="24"/>
          <w:szCs w:val="24"/>
        </w:rPr>
        <w:tab/>
        <w:t xml:space="preserve">II տիպի փոփոխության վերաբերյալ </w:t>
      </w:r>
      <w:r w:rsidR="0056496B">
        <w:rPr>
          <w:rFonts w:ascii="Sylfaen" w:hAnsi="Sylfaen"/>
          <w:sz w:val="24"/>
          <w:szCs w:val="24"/>
        </w:rPr>
        <w:t>դիմում</w:t>
      </w:r>
      <w:r w:rsidRPr="00826F05">
        <w:rPr>
          <w:rFonts w:ascii="Sylfaen" w:hAnsi="Sylfaen"/>
          <w:sz w:val="24"/>
          <w:szCs w:val="24"/>
        </w:rPr>
        <w:t xml:space="preserve">ի </w:t>
      </w:r>
      <w:r w:rsidR="00C54D75">
        <w:rPr>
          <w:rFonts w:ascii="Sylfaen" w:hAnsi="Sylfaen"/>
          <w:sz w:val="24"/>
          <w:szCs w:val="24"/>
        </w:rPr>
        <w:t>և</w:t>
      </w:r>
      <w:r w:rsidRPr="00826F05">
        <w:rPr>
          <w:rFonts w:ascii="Sylfaen" w:hAnsi="Sylfaen"/>
          <w:sz w:val="24"/>
          <w:szCs w:val="24"/>
        </w:rPr>
        <w:t xml:space="preserve"> դոսյեի ներկայացումը:</w:t>
      </w:r>
    </w:p>
    <w:p w14:paraId="2A3A58E0" w14:textId="312623E3"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մասին </w:t>
      </w:r>
      <w:r>
        <w:rPr>
          <w:rFonts w:ascii="Sylfaen" w:hAnsi="Sylfaen"/>
          <w:sz w:val="24"/>
          <w:szCs w:val="24"/>
        </w:rPr>
        <w:t>դիմում</w:t>
      </w:r>
      <w:r w:rsidR="004F5982" w:rsidRPr="00826F05">
        <w:rPr>
          <w:rFonts w:ascii="Sylfaen" w:hAnsi="Sylfaen"/>
          <w:sz w:val="24"/>
          <w:szCs w:val="24"/>
        </w:rPr>
        <w:t xml:space="preserve">` Դեղամիջոցների գրանցման </w:t>
      </w:r>
      <w:r w:rsidR="004F5982" w:rsidRPr="00826F05">
        <w:rPr>
          <w:rFonts w:ascii="Sylfaen" w:hAnsi="Sylfaen"/>
          <w:sz w:val="24"/>
          <w:szCs w:val="24"/>
        </w:rPr>
        <w:lastRenderedPageBreak/>
        <w:t xml:space="preserve">կանոնների թիվ 2 հավելվածի համաձայն, </w:t>
      </w:r>
      <w:r w:rsidR="00C54D75">
        <w:rPr>
          <w:rFonts w:ascii="Sylfaen" w:hAnsi="Sylfaen"/>
          <w:sz w:val="24"/>
          <w:szCs w:val="24"/>
        </w:rPr>
        <w:t>և</w:t>
      </w:r>
      <w:r w:rsidR="004F5982" w:rsidRPr="00826F05">
        <w:rPr>
          <w:rFonts w:ascii="Sylfaen" w:hAnsi="Sylfaen"/>
          <w:sz w:val="24"/>
          <w:szCs w:val="24"/>
        </w:rPr>
        <w:t xml:space="preserve"> փոփոխությունների կատարման վճարի (տուրքի) վճարումը հաստատող փաստաթղթեր՝ անդամ պետության օրենսդրությամբ սահմանված դեպքում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Դեղամիջոցների գրանցման կանոնների թիվ 19 հավելվածի IV լրացման մեջ նշված տարրերը պարունակող՝ փոփոխության դոսյեն:</w:t>
      </w:r>
    </w:p>
    <w:p w14:paraId="1B704DDD" w14:textId="53BDF2EB"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ներն իրավունք ունեն խմբավորելու մի</w:t>
      </w:r>
      <w:r w:rsidR="00C54D75">
        <w:rPr>
          <w:rFonts w:ascii="Sylfaen" w:hAnsi="Sylfaen"/>
          <w:sz w:val="24"/>
          <w:szCs w:val="24"/>
        </w:rPr>
        <w:t>և</w:t>
      </w:r>
      <w:r w:rsidR="004F5982" w:rsidRPr="00826F05">
        <w:rPr>
          <w:rFonts w:ascii="Sylfaen" w:hAnsi="Sylfaen"/>
          <w:sz w:val="24"/>
          <w:szCs w:val="24"/>
        </w:rPr>
        <w:t>նույն գրանցման դոսյեի II</w:t>
      </w:r>
      <w:r w:rsidR="004F5982">
        <w:rPr>
          <w:rFonts w:ascii="Sylfaen" w:hAnsi="Sylfaen"/>
          <w:sz w:val="24"/>
          <w:szCs w:val="24"/>
        </w:rPr>
        <w:t> </w:t>
      </w:r>
      <w:r w:rsidR="004F5982" w:rsidRPr="00826F05">
        <w:rPr>
          <w:rFonts w:ascii="Sylfaen" w:hAnsi="Sylfaen"/>
          <w:sz w:val="24"/>
          <w:szCs w:val="24"/>
        </w:rPr>
        <w:t>տիպի մի քանի էական փոփոխություններ մեկ ծանուցման մեջ կամ խմբավորելու մի</w:t>
      </w:r>
      <w:r w:rsidR="00C54D75">
        <w:rPr>
          <w:rFonts w:ascii="Sylfaen" w:hAnsi="Sylfaen"/>
          <w:sz w:val="24"/>
          <w:szCs w:val="24"/>
        </w:rPr>
        <w:t>և</w:t>
      </w:r>
      <w:r w:rsidR="004F5982" w:rsidRPr="00826F05">
        <w:rPr>
          <w:rFonts w:ascii="Sylfaen" w:hAnsi="Sylfaen"/>
          <w:sz w:val="24"/>
          <w:szCs w:val="24"/>
        </w:rPr>
        <w:t>նույն գրանցամատյանի մեկ կամ ավելի II տիպի էական փոփոխություններն այլ ոչ էական փոփոխությունների հետ՝ Դեղամիջոցների գրանցման կանոնների թիվ 19 հավելվածի III լրացման մեջ թվարկված դեպքերից մեկին խմբավորման համապատասխանության պայմանով, կամ եթե այն ավելի վաղ համաձայնեցվել է ռեֆերենտ պետության լիազորված մարմնի (փորձագիտական կազմակերպության) հետ համապատասխանաբար:</w:t>
      </w:r>
    </w:p>
    <w:p w14:paraId="3E67CB83" w14:textId="2745BF25"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Բացի այդ, մեկ անդամ պետությունում գրանցված դեղապատրաստուկների դեպքում </w:t>
      </w:r>
      <w:r w:rsidR="0056496B">
        <w:rPr>
          <w:rFonts w:ascii="Sylfaen" w:hAnsi="Sylfaen"/>
          <w:sz w:val="24"/>
          <w:szCs w:val="24"/>
        </w:rPr>
        <w:t>դիմումատու</w:t>
      </w:r>
      <w:r w:rsidRPr="00826F05">
        <w:rPr>
          <w:rFonts w:ascii="Sylfaen" w:hAnsi="Sylfaen"/>
          <w:sz w:val="24"/>
          <w:szCs w:val="24"/>
        </w:rPr>
        <w:t>ն իրավունք ունի խմբավորելու նա</w:t>
      </w:r>
      <w:r w:rsidR="00C54D75">
        <w:rPr>
          <w:rFonts w:ascii="Sylfaen" w:hAnsi="Sylfaen"/>
          <w:sz w:val="24"/>
          <w:szCs w:val="24"/>
        </w:rPr>
        <w:t>և</w:t>
      </w:r>
      <w:r w:rsidRPr="00826F05">
        <w:rPr>
          <w:rFonts w:ascii="Sylfaen" w:hAnsi="Sylfaen"/>
          <w:sz w:val="24"/>
          <w:szCs w:val="24"/>
        </w:rPr>
        <w:t xml:space="preserve"> մի քանի գրանցման դոսյեներին վերաբերող մի քանի II տիպի էական փոփոխություններ մեկ անդամ պետությունում կամ խմբավորելու մեկ կամ ավելի II տիպի էական փոփոխությունները մի քանի գրանցման դոսյեներին վերաբերող այլ ոչ էական փոփոխությունների հետ մեկ անդամ պետությունում այն պայմանով, որ՝</w:t>
      </w:r>
    </w:p>
    <w:p w14:paraId="2EF72B38" w14:textId="77777777" w:rsidR="004F5982" w:rsidRPr="00826F05" w:rsidRDefault="004F5982" w:rsidP="00487007">
      <w:pPr>
        <w:tabs>
          <w:tab w:val="left" w:pos="1418"/>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ուսումնասիրվող բոլոր գրանցման դոսյեների համար փոփոխությունները նույնն են,</w:t>
      </w:r>
    </w:p>
    <w:p w14:paraId="5B41D9E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փոփոխությունները ներկայացվել են լիազորված մարմին (փորձագիտական կազմակերպություն) մի</w:t>
      </w:r>
      <w:r w:rsidR="00C54D75">
        <w:rPr>
          <w:rFonts w:ascii="Sylfaen" w:hAnsi="Sylfaen"/>
          <w:sz w:val="24"/>
          <w:szCs w:val="24"/>
        </w:rPr>
        <w:t>և</w:t>
      </w:r>
      <w:r w:rsidRPr="00826F05">
        <w:rPr>
          <w:rFonts w:ascii="Sylfaen" w:hAnsi="Sylfaen"/>
          <w:sz w:val="24"/>
          <w:szCs w:val="24"/>
        </w:rPr>
        <w:t>նույն ժամանակ,</w:t>
      </w:r>
    </w:p>
    <w:p w14:paraId="0850AB7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ավելի վաղ համաձայնություն է տվել այդպիսի խմբավորման համար,</w:t>
      </w:r>
    </w:p>
    <w:p w14:paraId="19CDB697" w14:textId="490FE33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Ավելին, եթե II տիպի մի</w:t>
      </w:r>
      <w:r w:rsidR="00C54D75">
        <w:rPr>
          <w:rFonts w:ascii="Sylfaen" w:hAnsi="Sylfaen"/>
          <w:sz w:val="24"/>
          <w:szCs w:val="24"/>
        </w:rPr>
        <w:t>և</w:t>
      </w:r>
      <w:r w:rsidRPr="00826F05">
        <w:rPr>
          <w:rFonts w:ascii="Sylfaen" w:hAnsi="Sylfaen"/>
          <w:sz w:val="24"/>
          <w:szCs w:val="24"/>
        </w:rPr>
        <w:t>նույն էական փոփոխությունը կամ փոփոխությունների մի</w:t>
      </w:r>
      <w:r w:rsidR="00C54D75">
        <w:rPr>
          <w:rFonts w:ascii="Sylfaen" w:hAnsi="Sylfaen"/>
          <w:sz w:val="24"/>
          <w:szCs w:val="24"/>
        </w:rPr>
        <w:t>և</w:t>
      </w:r>
      <w:r w:rsidRPr="00826F05">
        <w:rPr>
          <w:rFonts w:ascii="Sylfaen" w:hAnsi="Sylfaen"/>
          <w:sz w:val="24"/>
          <w:szCs w:val="24"/>
        </w:rPr>
        <w:t xml:space="preserve">նույն խումբը (նշված նկարագրությանը </w:t>
      </w:r>
      <w:r w:rsidRPr="00826F05">
        <w:rPr>
          <w:rFonts w:ascii="Sylfaen" w:hAnsi="Sylfaen"/>
          <w:sz w:val="24"/>
          <w:szCs w:val="24"/>
        </w:rPr>
        <w:lastRenderedPageBreak/>
        <w:t xml:space="preserve">համապատասխան) վերաբերում է գրանցման հավաստագրի մեկ իրավատիրոջ մի քանի գրանցման դոսյեներին, </w:t>
      </w:r>
      <w:r w:rsidR="0056496B">
        <w:rPr>
          <w:rFonts w:ascii="Sylfaen" w:hAnsi="Sylfaen"/>
          <w:sz w:val="24"/>
          <w:szCs w:val="24"/>
        </w:rPr>
        <w:t>դիմումատու</w:t>
      </w:r>
      <w:r w:rsidRPr="00826F05">
        <w:rPr>
          <w:rFonts w:ascii="Sylfaen" w:hAnsi="Sylfaen"/>
          <w:sz w:val="24"/>
          <w:szCs w:val="24"/>
        </w:rPr>
        <w:t xml:space="preserve">ն իրավունք ունի այդպիսի փոփոխությունները ներկայացնել մեկ </w:t>
      </w:r>
      <w:r w:rsidR="0056496B">
        <w:rPr>
          <w:rFonts w:ascii="Sylfaen" w:hAnsi="Sylfaen"/>
          <w:sz w:val="24"/>
          <w:szCs w:val="24"/>
        </w:rPr>
        <w:t>դիմում</w:t>
      </w:r>
      <w:r w:rsidRPr="00826F05">
        <w:rPr>
          <w:rFonts w:ascii="Sylfaen" w:hAnsi="Sylfaen"/>
          <w:sz w:val="24"/>
          <w:szCs w:val="24"/>
        </w:rPr>
        <w:t>ի տեսքով՝ պարտականությունների բաշխման նպատակով:</w:t>
      </w:r>
    </w:p>
    <w:p w14:paraId="03E27C9A" w14:textId="010C13A4"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w:t>
      </w:r>
      <w:r w:rsidR="004F5982" w:rsidRPr="00826F05">
        <w:rPr>
          <w:rFonts w:ascii="Sylfaen" w:hAnsi="Sylfaen"/>
          <w:sz w:val="24"/>
          <w:szCs w:val="24"/>
        </w:rPr>
        <w:t>ը պետք է պարունակի Դեղամիջոցների գրանցման կանոնների թիվ</w:t>
      </w:r>
      <w:r w:rsidR="004F5982">
        <w:rPr>
          <w:rFonts w:ascii="Sylfaen" w:hAnsi="Sylfaen"/>
          <w:sz w:val="24"/>
          <w:szCs w:val="24"/>
        </w:rPr>
        <w:t> </w:t>
      </w:r>
      <w:r w:rsidR="004F5982" w:rsidRPr="00826F05">
        <w:rPr>
          <w:rFonts w:ascii="Sylfaen" w:hAnsi="Sylfaen"/>
          <w:sz w:val="24"/>
          <w:szCs w:val="24"/>
        </w:rPr>
        <w:t>19</w:t>
      </w:r>
      <w:r w:rsidR="004F5982">
        <w:rPr>
          <w:rFonts w:ascii="Sylfaen" w:hAnsi="Sylfaen"/>
          <w:sz w:val="24"/>
          <w:szCs w:val="24"/>
        </w:rPr>
        <w:t> </w:t>
      </w:r>
      <w:r w:rsidR="004F5982" w:rsidRPr="00826F05">
        <w:rPr>
          <w:rFonts w:ascii="Sylfaen" w:hAnsi="Sylfaen"/>
          <w:sz w:val="24"/>
          <w:szCs w:val="24"/>
        </w:rPr>
        <w:t>հավելվածի IV լրացման մեջ նշված տարրերը, որոնք ներկայացվում են հետ</w:t>
      </w:r>
      <w:r w:rsidR="00C54D75">
        <w:rPr>
          <w:rFonts w:ascii="Sylfaen" w:hAnsi="Sylfaen"/>
          <w:sz w:val="24"/>
          <w:szCs w:val="24"/>
        </w:rPr>
        <w:t>և</w:t>
      </w:r>
      <w:r w:rsidR="004F5982"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004F5982"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004F5982" w:rsidRPr="00826F05">
        <w:rPr>
          <w:rFonts w:ascii="Sylfaen" w:hAnsi="Sylfaen"/>
          <w:sz w:val="24"/>
          <w:szCs w:val="24"/>
        </w:rPr>
        <w:t>աչափով՝</w:t>
      </w:r>
    </w:p>
    <w:p w14:paraId="22D2C6D6" w14:textId="77777777" w:rsidR="004F5982" w:rsidRPr="00826F05" w:rsidRDefault="004F5982" w:rsidP="00487007">
      <w:pPr>
        <w:tabs>
          <w:tab w:val="left" w:pos="1418"/>
        </w:tabs>
        <w:spacing w:after="160" w:line="360" w:lineRule="auto"/>
        <w:ind w:right="-20" w:firstLine="567"/>
        <w:jc w:val="both"/>
        <w:rPr>
          <w:rFonts w:ascii="Sylfaen" w:hAnsi="Sylfaen"/>
          <w:sz w:val="24"/>
          <w:szCs w:val="24"/>
        </w:rPr>
      </w:pPr>
      <w:r w:rsidRPr="00826F05">
        <w:rPr>
          <w:rFonts w:ascii="Sylfaen" w:hAnsi="Sylfaen"/>
          <w:sz w:val="24"/>
          <w:szCs w:val="24"/>
        </w:rPr>
        <w:t>ուղեկցող նամակ,</w:t>
      </w:r>
    </w:p>
    <w:p w14:paraId="0B22BDA3" w14:textId="0B6EC2C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այդ թվում՝ դիտարկվող դեղապատրաստուկի մասին տեղեկություններ: Եթե 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w:t>
      </w:r>
    </w:p>
    <w:p w14:paraId="4ED1CB0A" w14:textId="777FC66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փոփոխության ծածկագիրը՝ Դեղամիջոցների գրանցման կանոնների թիվ</w:t>
      </w:r>
      <w:r>
        <w:rPr>
          <w:rFonts w:ascii="Sylfaen" w:hAnsi="Sylfaen"/>
          <w:sz w:val="24"/>
          <w:szCs w:val="24"/>
        </w:rPr>
        <w:t> </w:t>
      </w:r>
      <w:r w:rsidRPr="00826F05">
        <w:rPr>
          <w:rFonts w:ascii="Sylfaen" w:hAnsi="Sylfaen"/>
          <w:sz w:val="24"/>
          <w:szCs w:val="24"/>
        </w:rPr>
        <w:t>19</w:t>
      </w:r>
      <w:r>
        <w:rPr>
          <w:rFonts w:ascii="Sylfaen" w:hAnsi="Sylfaen"/>
          <w:sz w:val="24"/>
          <w:szCs w:val="24"/>
        </w:rPr>
        <w:t> </w:t>
      </w:r>
      <w:r w:rsidRPr="00826F05">
        <w:rPr>
          <w:rFonts w:ascii="Sylfaen" w:hAnsi="Sylfaen"/>
          <w:sz w:val="24"/>
          <w:szCs w:val="24"/>
        </w:rPr>
        <w:t xml:space="preserve">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ենթակետին համապատասխան ներկայացված՝ դասակարգման առաջարկը,</w:t>
      </w:r>
    </w:p>
    <w:p w14:paraId="61671AA5"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առաջարկված փոփոխություններին վերաբերող լրացուցիչ տեղեկությունները, որակի ռեզյումեի, նախակլինիկական </w:t>
      </w:r>
      <w:r w:rsidR="00C54D75">
        <w:rPr>
          <w:rFonts w:ascii="Sylfaen" w:hAnsi="Sylfaen"/>
          <w:sz w:val="24"/>
          <w:szCs w:val="24"/>
        </w:rPr>
        <w:t>և</w:t>
      </w:r>
      <w:r w:rsidRPr="00826F05">
        <w:rPr>
          <w:rFonts w:ascii="Sylfaen" w:hAnsi="Sylfaen"/>
          <w:sz w:val="24"/>
          <w:szCs w:val="24"/>
        </w:rPr>
        <w:t xml:space="preserve"> կլինիկական ամփոփագրերի համապատասխան թարմացումը կամ հավելվածը: Եթե</w:t>
      </w:r>
      <w:r>
        <w:rPr>
          <w:rFonts w:ascii="Sylfaen" w:hAnsi="Sylfaen"/>
          <w:sz w:val="24"/>
          <w:szCs w:val="24"/>
        </w:rPr>
        <w:t> </w:t>
      </w:r>
      <w:r w:rsidRPr="00826F05">
        <w:rPr>
          <w:rFonts w:ascii="Sylfaen" w:hAnsi="Sylfaen"/>
          <w:sz w:val="24"/>
          <w:szCs w:val="24"/>
        </w:rPr>
        <w:t>ներկայացվում են նախակլինիկական կամ կլինիկական հետազոտությունների մասին հաշվետվություններ (անգամ մեկը), դրանց ռեզյումեն անհրաժեշտ է ներառել 2-րդ մոդուլում,</w:t>
      </w:r>
    </w:p>
    <w:p w14:paraId="4B7607E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լիազորված մարմնից պահանջված այն փոփոխությունների դեպքում, որոնք </w:t>
      </w:r>
      <w:r w:rsidRPr="00826F05">
        <w:rPr>
          <w:rFonts w:ascii="Sylfaen" w:hAnsi="Sylfaen"/>
          <w:sz w:val="24"/>
          <w:szCs w:val="24"/>
        </w:rPr>
        <w:lastRenderedPageBreak/>
        <w:t>պայմանավորված են դեղապատրաստուկի մասին նոր ստացված տվյալներով, օրինակ՝ հետգրանցումային պայմաններին համապատասխան կամ դեղազգոնության պարտավորությունների շրջանակներում, ուղեկցող նամակին անհրաժեշտ է կցել լիազորված մարմնի (փորձագիտական կազմակերպության) հարցման պատճենը,</w:t>
      </w:r>
    </w:p>
    <w:p w14:paraId="0A1917B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ձ</w:t>
      </w:r>
      <w:r w:rsidR="00C54D75">
        <w:rPr>
          <w:rFonts w:ascii="Sylfaen" w:hAnsi="Sylfaen"/>
          <w:sz w:val="24"/>
          <w:szCs w:val="24"/>
        </w:rPr>
        <w:t>և</w:t>
      </w:r>
      <w:r w:rsidRPr="00826F05">
        <w:rPr>
          <w:rFonts w:ascii="Sylfaen" w:hAnsi="Sylfaen"/>
          <w:sz w:val="24"/>
          <w:szCs w:val="24"/>
        </w:rPr>
        <w:t xml:space="preserve">աչափով ներկայացված՝ դեղապատրաստուկի մասին վերանայված տեղեկատվությունը (դեղապատրաստուկի ընդհանուր բնութագիրը, մականշվածքը </w:t>
      </w:r>
      <w:r w:rsidR="00C54D75">
        <w:rPr>
          <w:rFonts w:ascii="Sylfaen" w:hAnsi="Sylfaen"/>
          <w:sz w:val="24"/>
          <w:szCs w:val="24"/>
        </w:rPr>
        <w:t>և</w:t>
      </w:r>
      <w:r w:rsidRPr="00826F05">
        <w:rPr>
          <w:rFonts w:ascii="Sylfaen" w:hAnsi="Sylfaen"/>
          <w:sz w:val="24"/>
          <w:szCs w:val="24"/>
        </w:rPr>
        <w:t xml:space="preserve"> ներդիր-թերթիկը),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լեզուներով համապատասխան թարգմանությունները՝ նրանց օրենսդրության մեջ համապատասխան պահանջների առկայության դեպքում: Եթե II տիպի էական փոփոխությունն ազդում է առաջնային </w:t>
      </w:r>
      <w:r w:rsidR="00C54D75">
        <w:rPr>
          <w:rFonts w:ascii="Sylfaen" w:hAnsi="Sylfaen"/>
          <w:sz w:val="24"/>
          <w:szCs w:val="24"/>
        </w:rPr>
        <w:t>և</w:t>
      </w:r>
      <w:r w:rsidRPr="00826F05">
        <w:rPr>
          <w:rFonts w:ascii="Sylfaen" w:hAnsi="Sylfaen"/>
          <w:sz w:val="24"/>
          <w:szCs w:val="24"/>
        </w:rPr>
        <w:t xml:space="preserve"> (կամ) երկրորդային փաթեթվածքի ընդհանուր դիզայնի վրա, լիազորված մարմինը (փորձագիտական կազմակերպությունը) պետք է ներկայացնի փաթեթվածքի մանրակերտերը:</w:t>
      </w:r>
    </w:p>
    <w:p w14:paraId="7FAF53D7" w14:textId="68699C7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ենթակետում նշված փոփոխությունների դեպքում ռեֆերենտ պետության լիազորված մարմինը (փորձագիտական կազմակերպությունը) պետք է ստանա շահագրգիռ ճանաչման պետությունում փոփոխության ընթացակարգի համարի նշմամբ II տիպի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 ներկայացնելու ամսաթվերի </w:t>
      </w:r>
      <w:r w:rsidR="00C54D75">
        <w:rPr>
          <w:rFonts w:ascii="Sylfaen" w:hAnsi="Sylfaen"/>
          <w:sz w:val="24"/>
          <w:szCs w:val="24"/>
        </w:rPr>
        <w:t>և</w:t>
      </w:r>
      <w:r w:rsidRPr="00826F05">
        <w:rPr>
          <w:rFonts w:ascii="Sylfaen" w:hAnsi="Sylfaen"/>
          <w:sz w:val="24"/>
          <w:szCs w:val="24"/>
        </w:rPr>
        <w:t xml:space="preserve">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անհրաժեշտության դեպքում՝ դրա</w:t>
      </w:r>
      <w:r>
        <w:rPr>
          <w:rFonts w:ascii="Sylfaen" w:hAnsi="Sylfaen"/>
          <w:sz w:val="24"/>
          <w:szCs w:val="24"/>
        </w:rPr>
        <w:t> </w:t>
      </w:r>
      <w:r w:rsidRPr="00826F05">
        <w:rPr>
          <w:rFonts w:ascii="Sylfaen" w:hAnsi="Sylfaen"/>
          <w:sz w:val="24"/>
          <w:szCs w:val="24"/>
        </w:rPr>
        <w:t xml:space="preserve">փորձաքննության մեջ) փոփոխություններ կատարելու վճարի (տուրքի)՝ ճանաչման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վճարումը հաստատող փաստաթղթերի ցանկը:</w:t>
      </w:r>
    </w:p>
    <w:p w14:paraId="04305E3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հիշատակված փոփոխությունների դեպքում ռեֆերենտ պետության լիազորված </w:t>
      </w:r>
      <w:r w:rsidRPr="00826F05">
        <w:rPr>
          <w:rFonts w:ascii="Sylfaen" w:hAnsi="Sylfaen"/>
          <w:sz w:val="24"/>
          <w:szCs w:val="24"/>
        </w:rPr>
        <w:lastRenderedPageBreak/>
        <w:t>մարմինը (փորձագիտական կազմակերպությունը) պետք է ստանա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անհրաժեշտության դեպքում՝ դրա</w:t>
      </w:r>
      <w:r>
        <w:rPr>
          <w:rFonts w:ascii="Sylfaen" w:hAnsi="Sylfaen"/>
          <w:sz w:val="24"/>
          <w:szCs w:val="24"/>
        </w:rPr>
        <w:t> </w:t>
      </w:r>
      <w:r w:rsidRPr="00826F05">
        <w:rPr>
          <w:rFonts w:ascii="Sylfaen" w:hAnsi="Sylfaen"/>
          <w:sz w:val="24"/>
          <w:szCs w:val="24"/>
        </w:rPr>
        <w:t xml:space="preserve">փորձաքննության մեջ) փոփոխություններ կատարելու վճարի (տուրքի)՝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վճարման հաստատում:</w:t>
      </w:r>
    </w:p>
    <w:p w14:paraId="4E9A0D4F" w14:textId="77777777" w:rsidR="004F5982" w:rsidRPr="00826F05" w:rsidRDefault="004F5982" w:rsidP="00487007">
      <w:pPr>
        <w:tabs>
          <w:tab w:val="left" w:pos="1701"/>
        </w:tabs>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2.3.2.</w:t>
      </w:r>
      <w:r w:rsidRPr="00826F05">
        <w:rPr>
          <w:rFonts w:ascii="Sylfaen" w:hAnsi="Sylfaen"/>
          <w:sz w:val="24"/>
          <w:szCs w:val="24"/>
        </w:rPr>
        <w:tab/>
        <w:t>Դեղամիջոցների գրանցման կանոնների թիվ 19 հավելվածի 1.1.3</w:t>
      </w:r>
      <w:r>
        <w:rPr>
          <w:rFonts w:ascii="Sylfaen" w:hAnsi="Sylfaen"/>
          <w:sz w:val="24"/>
          <w:szCs w:val="24"/>
        </w:rPr>
        <w:t> </w:t>
      </w:r>
      <w:r w:rsidRPr="00826F05">
        <w:rPr>
          <w:rFonts w:ascii="Sylfaen" w:hAnsi="Sylfaen"/>
          <w:sz w:val="24"/>
          <w:szCs w:val="24"/>
        </w:rPr>
        <w:t>ենթակետում նշված II տիպի փոփոխությունների փորձաքննություն:</w:t>
      </w:r>
    </w:p>
    <w:p w14:paraId="06FD808C" w14:textId="103A343B" w:rsidR="004F5982" w:rsidRPr="00826F05" w:rsidRDefault="0056496B" w:rsidP="00487007">
      <w:pPr>
        <w:spacing w:after="160" w:line="360" w:lineRule="auto"/>
        <w:ind w:right="35"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w:t>
      </w:r>
      <w:r>
        <w:rPr>
          <w:rFonts w:ascii="Sylfaen" w:hAnsi="Sylfaen"/>
          <w:sz w:val="24"/>
          <w:szCs w:val="24"/>
        </w:rPr>
        <w:t>դիմում</w:t>
      </w:r>
      <w:r w:rsidR="004F5982" w:rsidRPr="00826F05">
        <w:rPr>
          <w:rFonts w:ascii="Sylfaen" w:hAnsi="Sylfaen"/>
          <w:sz w:val="24"/>
          <w:szCs w:val="24"/>
        </w:rPr>
        <w:t xml:space="preserve">` Դեղամիջոցների գրանցման կանոնների թիվ 2 հավելվածի համաձայն, կամ փոփոխությունների կատարման վճարի (տուրքի) վճարում հաստատող փաստաթղթեր՝ անդամ պետության օրենսդրությամբ սահմանված դեպքում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սույն կանոնների 2.3.1 ենթակետում նշված տարրերը պարունակող փոփոխության դոսյեն:</w:t>
      </w:r>
    </w:p>
    <w:p w14:paraId="46391D1A" w14:textId="0E2479D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w:t>
      </w:r>
      <w:r w:rsidR="00C54D75">
        <w:rPr>
          <w:rFonts w:ascii="Sylfaen" w:hAnsi="Sylfaen"/>
          <w:sz w:val="24"/>
          <w:szCs w:val="24"/>
        </w:rPr>
        <w:t>և</w:t>
      </w:r>
      <w:r w:rsidRPr="00826F05">
        <w:rPr>
          <w:rFonts w:ascii="Sylfaen" w:hAnsi="Sylfaen"/>
          <w:sz w:val="24"/>
          <w:szCs w:val="24"/>
        </w:rPr>
        <w:t xml:space="preserve"> փորձագիտական կազմակերպության հետ համաձայնությամբ </w:t>
      </w:r>
      <w:r w:rsidR="0056496B">
        <w:rPr>
          <w:rFonts w:ascii="Sylfaen" w:hAnsi="Sylfaen"/>
          <w:sz w:val="24"/>
          <w:szCs w:val="24"/>
        </w:rPr>
        <w:t>դիմումատու</w:t>
      </w:r>
      <w:r w:rsidRPr="00826F05">
        <w:rPr>
          <w:rFonts w:ascii="Sylfaen" w:hAnsi="Sylfaen"/>
          <w:sz w:val="24"/>
          <w:szCs w:val="24"/>
        </w:rPr>
        <w:t xml:space="preserve">ն ռեֆերենտ 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826F05">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26F05">
        <w:rPr>
          <w:rFonts w:ascii="Sylfaen" w:hAnsi="Sylfaen"/>
          <w:sz w:val="24"/>
          <w:szCs w:val="24"/>
        </w:rPr>
        <w:t xml:space="preserve"> լաբորատոր փորձարկումներ անցկացնելու համար անհրաժեշտ մյուս նյութերը:</w:t>
      </w:r>
    </w:p>
    <w:p w14:paraId="181E48A9" w14:textId="267333D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գնահատում։</w:t>
      </w:r>
    </w:p>
    <w:p w14:paraId="5CD6498B" w14:textId="54D29BD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w:t>
      </w:r>
      <w:r w:rsidRPr="00826F05">
        <w:rPr>
          <w:rFonts w:ascii="Sylfaen" w:hAnsi="Sylfaen"/>
          <w:sz w:val="24"/>
          <w:szCs w:val="24"/>
        </w:rPr>
        <w:t xml:space="preserve">ը բավարարում է սույն Կանոնների 2.3.1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826F05">
        <w:rPr>
          <w:rFonts w:ascii="Sylfaen" w:hAnsi="Sylfaen"/>
          <w:sz w:val="24"/>
          <w:szCs w:val="24"/>
        </w:rPr>
        <w:t>ի ստացումը:</w:t>
      </w:r>
    </w:p>
    <w:p w14:paraId="23D044A5" w14:textId="5DD1127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Փոփոխությունների կատարման </w:t>
      </w:r>
      <w:r w:rsidR="0056496B">
        <w:rPr>
          <w:rFonts w:ascii="Sylfaen" w:hAnsi="Sylfaen"/>
          <w:sz w:val="24"/>
          <w:szCs w:val="24"/>
        </w:rPr>
        <w:t>դիմում</w:t>
      </w:r>
      <w:r w:rsidRPr="00826F05">
        <w:rPr>
          <w:rFonts w:ascii="Sylfaen" w:hAnsi="Sylfaen"/>
          <w:sz w:val="24"/>
          <w:szCs w:val="24"/>
        </w:rPr>
        <w:t xml:space="preserve">ը ստանալու օրվանից 60 օրացուցային օրվա ընթացքում լիազորված մարմինը (փորձագիտական կազմակերպությունը) պետք է ավարտի դեղապատրաստուկի փորձաքննությունը </w:t>
      </w:r>
      <w:r w:rsidR="00C54D75">
        <w:rPr>
          <w:rFonts w:ascii="Sylfaen" w:hAnsi="Sylfaen"/>
          <w:sz w:val="24"/>
          <w:szCs w:val="24"/>
        </w:rPr>
        <w:t>և</w:t>
      </w:r>
      <w:r w:rsidRPr="00826F05">
        <w:rPr>
          <w:rFonts w:ascii="Sylfaen" w:hAnsi="Sylfaen"/>
          <w:sz w:val="24"/>
          <w:szCs w:val="24"/>
        </w:rPr>
        <w:t xml:space="preserve"> պատրաստի գնահատման վերաբերյալ փորձագիտական հաշվետվություն:</w:t>
      </w:r>
    </w:p>
    <w:p w14:paraId="07E63E0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կրճատելու տվյալ ժամկետը՝ հաշվի առնելով հարցի հրատապությունը,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ցուցումները ձ</w:t>
      </w:r>
      <w:r w:rsidR="00C54D75">
        <w:rPr>
          <w:rFonts w:ascii="Sylfaen" w:hAnsi="Sylfaen"/>
          <w:sz w:val="24"/>
          <w:szCs w:val="24"/>
        </w:rPr>
        <w:t>և</w:t>
      </w:r>
      <w:r w:rsidRPr="00826F05">
        <w:rPr>
          <w:rFonts w:ascii="Sylfaen" w:hAnsi="Sylfaen"/>
          <w:sz w:val="24"/>
          <w:szCs w:val="24"/>
        </w:rPr>
        <w:t xml:space="preserve">ափոխելու կամ կիրառման նոր ցուցումներ ներառելու արդյունքում առաջացած փոփոխությունների կամ փոփոխությունների խմբի </w:t>
      </w:r>
      <w:r w:rsidRPr="00943155">
        <w:rPr>
          <w:rFonts w:ascii="Sylfaen" w:hAnsi="Sylfaen"/>
          <w:spacing w:val="6"/>
          <w:sz w:val="24"/>
          <w:szCs w:val="24"/>
        </w:rPr>
        <w:t>դեպքում՝ Դեղամիջոցների գրանցման կանոնների թիվ 19 հավելվածի 3.4.2</w:t>
      </w:r>
      <w:r>
        <w:rPr>
          <w:rFonts w:ascii="Sylfaen" w:hAnsi="Sylfaen"/>
          <w:spacing w:val="6"/>
          <w:sz w:val="24"/>
          <w:szCs w:val="24"/>
        </w:rPr>
        <w:t> </w:t>
      </w:r>
      <w:r w:rsidRPr="00943155">
        <w:rPr>
          <w:rFonts w:ascii="Sylfaen" w:hAnsi="Sylfaen"/>
          <w:spacing w:val="6"/>
          <w:sz w:val="24"/>
          <w:szCs w:val="24"/>
        </w:rPr>
        <w:t>կետի</w:t>
      </w:r>
      <w:r w:rsidRPr="00826F05">
        <w:rPr>
          <w:rFonts w:ascii="Sylfaen" w:hAnsi="Sylfaen"/>
          <w:sz w:val="24"/>
          <w:szCs w:val="24"/>
        </w:rPr>
        <w:t xml:space="preserve"> 4-րդ պարբերությանը համապատասխան:</w:t>
      </w:r>
    </w:p>
    <w:p w14:paraId="26E6E624" w14:textId="7D8C3B5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դոսյեի պակասող նյութերը ներկայացնելու համար </w:t>
      </w:r>
      <w:r w:rsidR="0056496B">
        <w:rPr>
          <w:rFonts w:ascii="Sylfaen" w:hAnsi="Sylfaen"/>
          <w:sz w:val="24"/>
          <w:szCs w:val="24"/>
        </w:rPr>
        <w:t>դիմումատու</w:t>
      </w:r>
      <w:r w:rsidRPr="00826F05">
        <w:rPr>
          <w:rFonts w:ascii="Sylfaen" w:hAnsi="Sylfaen"/>
          <w:sz w:val="24"/>
          <w:szCs w:val="24"/>
        </w:rPr>
        <w:t>ին տրամադրվում է 90 օրացուցային օրվանից ոչ</w:t>
      </w:r>
      <w:r>
        <w:rPr>
          <w:rFonts w:ascii="Sylfaen" w:hAnsi="Sylfaen"/>
          <w:sz w:val="24"/>
          <w:szCs w:val="24"/>
        </w:rPr>
        <w:t> </w:t>
      </w:r>
      <w:r w:rsidRPr="00826F05">
        <w:rPr>
          <w:rFonts w:ascii="Sylfaen" w:hAnsi="Sylfaen"/>
          <w:sz w:val="24"/>
          <w:szCs w:val="24"/>
        </w:rPr>
        <w:t xml:space="preserve">ավելի, որը չի մտնում դեղապատրաստուկի փորձաքննության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ընթացակարգի ժամկետի մեջ։</w:t>
      </w:r>
    </w:p>
    <w:p w14:paraId="0317CB1F" w14:textId="52CE3EB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826F05">
        <w:rPr>
          <w:rFonts w:ascii="Sylfaen" w:hAnsi="Sylfaen"/>
          <w:sz w:val="24"/>
          <w:szCs w:val="24"/>
        </w:rPr>
        <w:t xml:space="preserve"> (կամ) անդամ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չհաստատելու դեպքում ռեֆերենտ պետության լիազորված մարմինը (փորձագիտական կազմակերպությունը) մերժում է դեղապատրաստուկի գրանցման դոսյեի մեջ փոփոխություններ կատարելու </w:t>
      </w:r>
      <w:r w:rsidR="0056496B">
        <w:rPr>
          <w:rFonts w:ascii="Sylfaen" w:hAnsi="Sylfaen"/>
          <w:sz w:val="24"/>
          <w:szCs w:val="24"/>
        </w:rPr>
        <w:t>դիմում</w:t>
      </w:r>
      <w:r w:rsidRPr="00826F05">
        <w:rPr>
          <w:rFonts w:ascii="Sylfaen" w:hAnsi="Sylfaen"/>
          <w:sz w:val="24"/>
          <w:szCs w:val="24"/>
        </w:rPr>
        <w:t>ը։</w:t>
      </w:r>
    </w:p>
    <w:p w14:paraId="42D82826" w14:textId="2270C639"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նշված ժամկետներին համապատասխան պատրաստում է փորձագիտական հաշվետվության նախագիծ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ի մասով որոշում ու ուղարկում է դրանք շահագրգիռ անդամ պետություններին՝ մեկնաբանություններ ստանալու,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 xml:space="preserve">ին տեղեկացնելու նպատակով: Շահագրգիռ </w:t>
      </w:r>
      <w:r w:rsidRPr="00826F05">
        <w:rPr>
          <w:rFonts w:ascii="Sylfaen" w:hAnsi="Sylfaen"/>
          <w:sz w:val="24"/>
          <w:szCs w:val="24"/>
        </w:rPr>
        <w:lastRenderedPageBreak/>
        <w:t>անդամ պետությունները նախատեսված ժամկետներում ռեֆերենտ պետության լիազորված մարմին (փորձագիտական կազմակերպություն) են ուղարկում իրենց մեկնաբանությունները:</w:t>
      </w:r>
    </w:p>
    <w:p w14:paraId="79890302" w14:textId="7BB8DD7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w:t>
      </w:r>
      <w:r w:rsidR="0056496B">
        <w:rPr>
          <w:rFonts w:ascii="Sylfaen" w:hAnsi="Sylfaen"/>
          <w:sz w:val="24"/>
          <w:szCs w:val="24"/>
        </w:rPr>
        <w:t>դիմում</w:t>
      </w:r>
      <w:r w:rsidRPr="00826F05">
        <w:rPr>
          <w:rFonts w:ascii="Sylfaen" w:hAnsi="Sylfaen"/>
          <w:sz w:val="24"/>
          <w:szCs w:val="24"/>
        </w:rPr>
        <w:t xml:space="preserve">ին </w:t>
      </w:r>
      <w:r w:rsidR="0056496B">
        <w:rPr>
          <w:rFonts w:ascii="Sylfaen" w:hAnsi="Sylfaen"/>
          <w:sz w:val="24"/>
          <w:szCs w:val="24"/>
        </w:rPr>
        <w:t>դիմումատու</w:t>
      </w:r>
      <w:r w:rsidRPr="00826F05">
        <w:rPr>
          <w:rFonts w:ascii="Sylfaen" w:hAnsi="Sylfaen"/>
          <w:sz w:val="24"/>
          <w:szCs w:val="24"/>
        </w:rPr>
        <w:t xml:space="preserve">ի պատասխանը ստանալուց հետո վերջինս ավարտում է գնահատման վերաբերյալ փորձագիտական հաշվետվության նախագծի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 xml:space="preserve">ի հետ կապված որոշման պատրաստումը </w:t>
      </w:r>
      <w:r w:rsidR="00C54D75">
        <w:rPr>
          <w:rFonts w:ascii="Sylfaen" w:hAnsi="Sylfaen"/>
          <w:sz w:val="24"/>
          <w:szCs w:val="24"/>
        </w:rPr>
        <w:t>և</w:t>
      </w:r>
      <w:r w:rsidRPr="00826F05">
        <w:rPr>
          <w:rFonts w:ascii="Sylfaen" w:hAnsi="Sylfaen"/>
          <w:sz w:val="24"/>
          <w:szCs w:val="24"/>
        </w:rPr>
        <w:t xml:space="preserve"> ուղարկում դրանք շահագրգիռ անդամ պետություններին,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համար:</w:t>
      </w:r>
    </w:p>
    <w:p w14:paraId="18456654" w14:textId="77777777" w:rsidR="004F5982" w:rsidRPr="00826F05" w:rsidRDefault="004F5982" w:rsidP="00487007">
      <w:pPr>
        <w:tabs>
          <w:tab w:val="left" w:pos="1701"/>
        </w:tabs>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2.3.3.</w:t>
      </w:r>
      <w:r w:rsidRPr="00826F05">
        <w:rPr>
          <w:rFonts w:ascii="Sylfaen" w:hAnsi="Sylfaen"/>
          <w:sz w:val="24"/>
          <w:szCs w:val="24"/>
        </w:rPr>
        <w:tab/>
        <w:t>Փոխադարձ ճանաչման ընթացակարգի շրջանակներում II տիպի փոփոխությունների փորձաքննությունն ավարտելը :</w:t>
      </w:r>
    </w:p>
    <w:p w14:paraId="39736F12" w14:textId="32171A9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ավարտին ռեֆերենտ պետության լիազորված մարմինը (փորձագիտական կազմակերպությունը) ավարտում է փորձագիտական հաշվետվության </w:t>
      </w:r>
      <w:r w:rsidR="00C54D75">
        <w:rPr>
          <w:rFonts w:ascii="Sylfaen" w:hAnsi="Sylfaen"/>
          <w:sz w:val="24"/>
          <w:szCs w:val="24"/>
        </w:rPr>
        <w:t>և</w:t>
      </w:r>
      <w:r w:rsidRPr="00826F05">
        <w:rPr>
          <w:rFonts w:ascii="Sylfaen" w:hAnsi="Sylfaen"/>
          <w:sz w:val="24"/>
          <w:szCs w:val="24"/>
        </w:rPr>
        <w:t xml:space="preserve"> փոփոխություններ կատարելու մասին </w:t>
      </w:r>
      <w:r w:rsidR="0056496B">
        <w:rPr>
          <w:rFonts w:ascii="Sylfaen" w:hAnsi="Sylfaen"/>
          <w:sz w:val="24"/>
          <w:szCs w:val="24"/>
        </w:rPr>
        <w:t>դիմում</w:t>
      </w:r>
      <w:r w:rsidRPr="00826F05">
        <w:rPr>
          <w:rFonts w:ascii="Sylfaen" w:hAnsi="Sylfaen"/>
          <w:sz w:val="24"/>
          <w:szCs w:val="24"/>
        </w:rPr>
        <w:t xml:space="preserve">ի հետ կապված իր որոշման պատրաստումը </w:t>
      </w:r>
      <w:r w:rsidR="00C54D75">
        <w:rPr>
          <w:rFonts w:ascii="Sylfaen" w:hAnsi="Sylfaen"/>
          <w:sz w:val="24"/>
          <w:szCs w:val="24"/>
        </w:rPr>
        <w:t>և</w:t>
      </w:r>
      <w:r w:rsidRPr="00826F05">
        <w:rPr>
          <w:rFonts w:ascii="Sylfaen" w:hAnsi="Sylfaen"/>
          <w:sz w:val="24"/>
          <w:szCs w:val="24"/>
        </w:rPr>
        <w:t xml:space="preserve"> ուղարկում է դրանք շահագրգիռ անդամ պետություններին:</w:t>
      </w:r>
    </w:p>
    <w:p w14:paraId="1C78D51E" w14:textId="2683D0B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Ճանաչման պետության լիազորված մարմինը (փորձագիտական կազմակերպությունը) գնահատման վերաբերյալ հաշվետվության նախագծին մուտք ստանալուց հետո ոչ ուշ, քան 20 օրացուցային օրվա ընթացքում անհրաժեշտության դեպքում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ռեֆերենտ պետության լիազորված մարմին (փորձագիտական կազմակերպություն) հարցում է ուղարկում՝ համաձայն Դեղամիջոցների գրանցման կանոնների թիվ 18 հավելվածի ձ</w:t>
      </w:r>
      <w:r w:rsidR="00C54D75">
        <w:rPr>
          <w:rFonts w:ascii="Sylfaen" w:hAnsi="Sylfaen"/>
          <w:sz w:val="24"/>
          <w:szCs w:val="24"/>
        </w:rPr>
        <w:t>և</w:t>
      </w:r>
      <w:r w:rsidRPr="00826F05">
        <w:rPr>
          <w:rFonts w:ascii="Sylfaen" w:hAnsi="Sylfaen"/>
          <w:sz w:val="24"/>
          <w:szCs w:val="24"/>
        </w:rPr>
        <w:t>ի։</w:t>
      </w:r>
    </w:p>
    <w:p w14:paraId="62948FA0" w14:textId="674079B4" w:rsidR="004F5982" w:rsidRPr="00826F05" w:rsidRDefault="0056496B" w:rsidP="00487007">
      <w:pPr>
        <w:spacing w:after="160" w:line="384"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ճանաչման պետությունների </w:t>
      </w:r>
      <w:r w:rsidR="00C54D75">
        <w:rPr>
          <w:rFonts w:ascii="Sylfaen" w:hAnsi="Sylfaen"/>
          <w:sz w:val="24"/>
          <w:szCs w:val="24"/>
        </w:rPr>
        <w:t>և</w:t>
      </w:r>
      <w:r w:rsidR="004F5982" w:rsidRPr="00826F05">
        <w:rPr>
          <w:rFonts w:ascii="Sylfaen" w:hAnsi="Sylfaen"/>
          <w:sz w:val="24"/>
          <w:szCs w:val="24"/>
        </w:rPr>
        <w:t xml:space="preserve"> ռեֆերենտ պետության լիազորված մարմին (փորձագիտական կազմակերպություն) հարցման պատասխանն ուղարկում է 90 օրացուցային օրը չգերազանցող ժամկետում։ </w:t>
      </w:r>
      <w:r>
        <w:rPr>
          <w:rFonts w:ascii="Sylfaen" w:hAnsi="Sylfaen"/>
          <w:sz w:val="24"/>
          <w:szCs w:val="24"/>
        </w:rPr>
        <w:t>Դիմումատու</w:t>
      </w:r>
      <w:r w:rsidR="004F5982" w:rsidRPr="00826F05">
        <w:rPr>
          <w:rFonts w:ascii="Sylfaen" w:hAnsi="Sylfaen"/>
          <w:sz w:val="24"/>
          <w:szCs w:val="24"/>
        </w:rPr>
        <w:t xml:space="preserve">ի՝ հարցմանը պատասխանելու ժամկետը չի ներառվում փորձաքննություն անցկացնելու </w:t>
      </w:r>
      <w:r w:rsidR="00C54D75">
        <w:rPr>
          <w:rFonts w:ascii="Sylfaen" w:hAnsi="Sylfaen"/>
          <w:sz w:val="24"/>
          <w:szCs w:val="24"/>
        </w:rPr>
        <w:t>և</w:t>
      </w:r>
      <w:r w:rsidR="004F5982" w:rsidRPr="00826F05">
        <w:rPr>
          <w:rFonts w:ascii="Sylfaen" w:hAnsi="Sylfaen"/>
          <w:sz w:val="24"/>
          <w:szCs w:val="24"/>
        </w:rPr>
        <w:t xml:space="preserve"> դեղապատրաստուկի գրանցման դոսյեի մեջ </w:t>
      </w:r>
      <w:r w:rsidR="004F5982" w:rsidRPr="00826F05">
        <w:rPr>
          <w:rFonts w:ascii="Sylfaen" w:hAnsi="Sylfaen"/>
          <w:sz w:val="24"/>
          <w:szCs w:val="24"/>
        </w:rPr>
        <w:lastRenderedPageBreak/>
        <w:t>փոփոխություններ կատարելու ընթացակարգի ընդհանուր ժամկետի մեջ։</w:t>
      </w:r>
    </w:p>
    <w:p w14:paraId="7856E203" w14:textId="55AD9BC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Ճանաչման պետության լիազորված մարմնի (փորձագիտական կազմակերպության) կողմից պահանջված փաստաթղթերն ու տվյալները </w:t>
      </w:r>
      <w:r w:rsidR="0056496B">
        <w:rPr>
          <w:rFonts w:ascii="Sylfaen" w:hAnsi="Sylfaen"/>
          <w:sz w:val="24"/>
          <w:szCs w:val="24"/>
        </w:rPr>
        <w:t>դիմումատու</w:t>
      </w:r>
      <w:r w:rsidRPr="00826F05">
        <w:rPr>
          <w:rFonts w:ascii="Sylfaen" w:hAnsi="Sylfaen"/>
          <w:sz w:val="24"/>
          <w:szCs w:val="24"/>
        </w:rPr>
        <w:t>ի կողմից չներկայացվելու դեպքում տվյալ ճանաչման պետությունում դադարեցվում է փորձաքննությունն ու փոփոխություններ կատարելու ընթացակարգը։</w:t>
      </w:r>
    </w:p>
    <w:p w14:paraId="382974B7" w14:textId="551CEE3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Լիազորված մարմնի (փորձագիտական կազմակերպության) կայացրած որոշման մասին էլեկտրոնային </w:t>
      </w:r>
      <w:r w:rsidR="00C54D75">
        <w:rPr>
          <w:rFonts w:ascii="Sylfaen" w:hAnsi="Sylfaen"/>
          <w:sz w:val="24"/>
          <w:szCs w:val="24"/>
        </w:rPr>
        <w:t>և</w:t>
      </w:r>
      <w:r w:rsidRPr="00826F05">
        <w:rPr>
          <w:rFonts w:ascii="Sylfaen" w:hAnsi="Sylfaen"/>
          <w:sz w:val="24"/>
          <w:szCs w:val="24"/>
        </w:rPr>
        <w:t xml:space="preserve"> թղթային եղանակով </w:t>
      </w:r>
      <w:r w:rsidR="0056496B">
        <w:rPr>
          <w:rFonts w:ascii="Sylfaen" w:hAnsi="Sylfaen"/>
          <w:sz w:val="24"/>
          <w:szCs w:val="24"/>
        </w:rPr>
        <w:t>դիմումատու</w:t>
      </w:r>
      <w:r w:rsidRPr="00826F05">
        <w:rPr>
          <w:rFonts w:ascii="Sylfaen" w:hAnsi="Sylfaen"/>
          <w:sz w:val="24"/>
          <w:szCs w:val="24"/>
        </w:rPr>
        <w:t>ն տեղեկանում է այդ որոշման ընդունման օրվանից 10 աշխատանքային օրվա ընթացքում:</w:t>
      </w:r>
    </w:p>
    <w:p w14:paraId="296F726A" w14:textId="7C7F700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գնահատման վերաբերյալ փորձագիտական հաշվետվությունը </w:t>
      </w:r>
      <w:r w:rsidR="00C54D75">
        <w:rPr>
          <w:rFonts w:ascii="Sylfaen" w:hAnsi="Sylfaen"/>
          <w:sz w:val="24"/>
          <w:szCs w:val="24"/>
        </w:rPr>
        <w:t>և</w:t>
      </w:r>
      <w:r w:rsidRPr="00826F05">
        <w:rPr>
          <w:rFonts w:ascii="Sylfaen" w:hAnsi="Sylfaen"/>
          <w:sz w:val="24"/>
          <w:szCs w:val="24"/>
        </w:rPr>
        <w:t xml:space="preserve"> որոշումը ստանալու օրվանից 30 օրացուցային օրվա ընթացքում շահագրգիռ անդամ պետությունները ռեֆերենտ պետություն են ուղարկում ռեֆերենտ պետության լիազորված մարմնի (փորձագիտական կազմակերպության) գնահատման վերաբերյալ փորձագիտական հաշվետվությունը ճանաչելու հավանականության մասին եզրակացություն, եթե միայն չի </w:t>
      </w:r>
      <w:r w:rsidR="00FE4A71">
        <w:rPr>
          <w:rFonts w:ascii="Sylfaen" w:hAnsi="Sylfaen"/>
          <w:sz w:val="24"/>
          <w:szCs w:val="24"/>
        </w:rPr>
        <w:t xml:space="preserve">հայտնաբերվել </w:t>
      </w:r>
      <w:r w:rsidRPr="00826F05">
        <w:rPr>
          <w:rFonts w:ascii="Sylfaen" w:hAnsi="Sylfaen"/>
          <w:sz w:val="24"/>
          <w:szCs w:val="24"/>
        </w:rPr>
        <w:t xml:space="preserve"> մարդու առողջության համար հնարավոր լուրջ վտանգ, որը ճանաչման պետության լիազորված մարմնին (փորձագիտական կազմակերպությանը) կխոչընդոտի ճանաչել ռեֆերենտ պետության որոշումը: Գնահատման վերաբերյալ եզրափակիչ փորձագիտական հաշվետվությունը </w:t>
      </w:r>
      <w:r w:rsidR="00C54D75">
        <w:rPr>
          <w:rFonts w:ascii="Sylfaen" w:hAnsi="Sylfaen"/>
          <w:sz w:val="24"/>
          <w:szCs w:val="24"/>
        </w:rPr>
        <w:t>և</w:t>
      </w:r>
      <w:r w:rsidRPr="00826F05">
        <w:rPr>
          <w:rFonts w:ascii="Sylfaen" w:hAnsi="Sylfaen"/>
          <w:sz w:val="24"/>
          <w:szCs w:val="24"/>
        </w:rPr>
        <w:t xml:space="preserve"> ռեֆերենտ պետության լիազորված մարմնի (փորձագիտական կազմակերպության) եզրակացությունը ստանալու օրվանից 30 օրացուցային օրվա ընթացքում ճանաչման պետությունը պետք է ռեֆերենտ պետությանը ծանուցի իր որոշման մասին </w:t>
      </w:r>
      <w:r w:rsidR="00C54D75">
        <w:rPr>
          <w:rFonts w:ascii="Sylfaen" w:hAnsi="Sylfaen"/>
          <w:sz w:val="24"/>
          <w:szCs w:val="24"/>
        </w:rPr>
        <w:t>և</w:t>
      </w:r>
      <w:r w:rsidRPr="00826F05">
        <w:rPr>
          <w:rFonts w:ascii="Sylfaen" w:hAnsi="Sylfaen"/>
          <w:sz w:val="24"/>
          <w:szCs w:val="24"/>
        </w:rPr>
        <w:t xml:space="preserve"> ռեֆերենտ պետության կողմից պատրաստված՝ գնահատման վերաբերյալ փորձագիտական հաշվետվության ճանաչման մասին բացասական որոշման դեպքում պետք է նշի իր դիրքորոշման մանրամասն պատճառները:</w:t>
      </w:r>
    </w:p>
    <w:p w14:paraId="33850F7F" w14:textId="4BF8D59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համապատասխան նյութեր է ուղարկում </w:t>
      </w:r>
      <w:r w:rsidRPr="00826F05">
        <w:rPr>
          <w:rFonts w:ascii="Sylfaen" w:hAnsi="Sylfaen"/>
          <w:sz w:val="24"/>
          <w:szCs w:val="24"/>
        </w:rPr>
        <w:lastRenderedPageBreak/>
        <w:t>Եվրասիական</w:t>
      </w:r>
      <w:r>
        <w:rPr>
          <w:rFonts w:ascii="Sylfaen" w:hAnsi="Sylfaen"/>
          <w:sz w:val="24"/>
          <w:szCs w:val="24"/>
        </w:rPr>
        <w:t> </w:t>
      </w:r>
      <w:r w:rsidRPr="00826F05">
        <w:rPr>
          <w:rFonts w:ascii="Sylfaen" w:hAnsi="Sylfaen"/>
          <w:sz w:val="24"/>
          <w:szCs w:val="24"/>
        </w:rPr>
        <w:t xml:space="preserve">տնտեսական հանձնաժողովին կից Դեղամիջոցների հարցերով փորձագիտական կոմիտե (այսուհետ՝ Փորձագիտական կոմիտե)՝ անհամաձայնության հարցով, </w:t>
      </w:r>
      <w:r w:rsidR="00C54D75">
        <w:rPr>
          <w:rFonts w:ascii="Sylfaen" w:hAnsi="Sylfaen"/>
          <w:sz w:val="24"/>
          <w:szCs w:val="24"/>
        </w:rPr>
        <w:t>և</w:t>
      </w:r>
      <w:r w:rsidRPr="00826F05">
        <w:rPr>
          <w:rFonts w:ascii="Sylfaen" w:hAnsi="Sylfaen"/>
          <w:sz w:val="24"/>
          <w:szCs w:val="24"/>
        </w:rPr>
        <w:t xml:space="preserve"> ծանուցում է այդ մասին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Եթե մեկ կամ մի քանի ճանաչման պետությունների լիազորված մարմինների կողմից ուղարկվել է ռեֆերենտ պետության փորձագիտական կազմակերպության կողմից պատրաստված՝ գնահատման վերաբերյալ փորձագիտական հաշվետվության ճանաչման անհնարինության մասին եզրակացություն, ապա ճանաչման պետության համապատասխան մարմինների կողմից այդպիսի եզրակացությունն ուղարկելու օրվանից 60 օրացուցային օրը չգերազանցող ժամկետում Փորձագիտական</w:t>
      </w:r>
      <w:r>
        <w:rPr>
          <w:rFonts w:ascii="Sylfaen" w:hAnsi="Sylfaen"/>
          <w:sz w:val="24"/>
          <w:szCs w:val="24"/>
        </w:rPr>
        <w:t> </w:t>
      </w:r>
      <w:r w:rsidRPr="00826F05">
        <w:rPr>
          <w:rFonts w:ascii="Sylfaen" w:hAnsi="Sylfaen"/>
          <w:sz w:val="24"/>
          <w:szCs w:val="24"/>
        </w:rPr>
        <w:t>կոմիտեն անցկացնում է անհամաձայնությունների կարգավորման ընթացակարգ՝ Եվրասիական տնտեսական հանձնաժողովի կողմից հաստատված կարգին համապատասխան:</w:t>
      </w:r>
    </w:p>
    <w:p w14:paraId="12B03D7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w:t>
      </w:r>
      <w:r w:rsidR="00C54D75">
        <w:rPr>
          <w:rFonts w:ascii="Sylfaen" w:hAnsi="Sylfaen"/>
          <w:sz w:val="24"/>
          <w:szCs w:val="24"/>
        </w:rPr>
        <w:t>և</w:t>
      </w:r>
      <w:r w:rsidRPr="00826F05">
        <w:rPr>
          <w:rFonts w:ascii="Sylfaen" w:hAnsi="Sylfaen"/>
          <w:sz w:val="24"/>
          <w:szCs w:val="24"/>
        </w:rPr>
        <w:t xml:space="preserve"> համապատասխան ճանաչման պետությունների լիազորված մարմինը մերժում է փոփոխություններ կատարելու հարցում, եթե</w:t>
      </w:r>
      <w:r>
        <w:rPr>
          <w:rFonts w:ascii="Sylfaen" w:hAnsi="Sylfaen"/>
          <w:sz w:val="24"/>
          <w:szCs w:val="24"/>
        </w:rPr>
        <w:t> </w:t>
      </w:r>
      <w:r w:rsidRPr="00826F05">
        <w:rPr>
          <w:rFonts w:ascii="Sylfaen" w:hAnsi="Sylfaen"/>
          <w:sz w:val="24"/>
          <w:szCs w:val="24"/>
        </w:rPr>
        <w:t xml:space="preserve">դեղապատրաստուկի փորձաքննության արդյունքներով </w:t>
      </w:r>
      <w:r w:rsidR="00C54D75">
        <w:rPr>
          <w:rFonts w:ascii="Sylfaen" w:hAnsi="Sylfaen"/>
          <w:sz w:val="24"/>
          <w:szCs w:val="24"/>
        </w:rPr>
        <w:t>և</w:t>
      </w:r>
      <w:r w:rsidRPr="00826F05">
        <w:rPr>
          <w:rFonts w:ascii="Sylfaen" w:hAnsi="Sylfaen"/>
          <w:sz w:val="24"/>
          <w:szCs w:val="24"/>
        </w:rPr>
        <w:t xml:space="preserve"> Փորձագիտական</w:t>
      </w:r>
      <w:r>
        <w:rPr>
          <w:rFonts w:ascii="Sylfaen" w:hAnsi="Sylfaen"/>
          <w:sz w:val="24"/>
          <w:szCs w:val="24"/>
        </w:rPr>
        <w:t> </w:t>
      </w:r>
      <w:r w:rsidRPr="00826F05">
        <w:rPr>
          <w:rFonts w:ascii="Sylfaen" w:hAnsi="Sylfaen"/>
          <w:sz w:val="24"/>
          <w:szCs w:val="24"/>
        </w:rPr>
        <w:t>կոմիտեում անհամաձայնությունների կարգավորման ընթացակարգն անցկացնելուց հետո իրենց կողմից ընդունվել է դեղապատրաստուկի գրանցման դոսյեում փոփոխություններ կատարելու մերժման մասին առաջարկություն:</w:t>
      </w:r>
    </w:p>
    <w:p w14:paraId="0E32351B" w14:textId="77E81A82"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փոփոխություններ կատարելու վերաբերյալ մեկ </w:t>
      </w:r>
      <w:r w:rsidR="0056496B">
        <w:rPr>
          <w:rFonts w:ascii="Sylfaen" w:hAnsi="Sylfaen"/>
          <w:sz w:val="24"/>
          <w:szCs w:val="24"/>
        </w:rPr>
        <w:t>դիմում</w:t>
      </w:r>
      <w:r w:rsidRPr="00826F05">
        <w:rPr>
          <w:rFonts w:ascii="Sylfaen" w:hAnsi="Sylfaen"/>
          <w:sz w:val="24"/>
          <w:szCs w:val="24"/>
        </w:rPr>
        <w:t xml:space="preserve">ի շրջանակներում ներկայացվել են մի քանի II տիպի փոփոխություններ կամ II տիպի փոփոխությունների խումբ այլ ոչ էական փոփոխությունների հետ միասին, ռեֆերենտ պետությունը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թե դրանցից որոնք են ընդունվել </w:t>
      </w:r>
      <w:r w:rsidR="00C54D75">
        <w:rPr>
          <w:rFonts w:ascii="Sylfaen" w:hAnsi="Sylfaen"/>
          <w:sz w:val="24"/>
          <w:szCs w:val="24"/>
        </w:rPr>
        <w:t>և</w:t>
      </w:r>
      <w:r w:rsidRPr="00826F05">
        <w:rPr>
          <w:rFonts w:ascii="Sylfaen" w:hAnsi="Sylfaen"/>
          <w:sz w:val="24"/>
          <w:szCs w:val="24"/>
        </w:rPr>
        <w:t xml:space="preserve"> մերժվել: Փորձաքննության</w:t>
      </w:r>
      <w:r>
        <w:rPr>
          <w:rFonts w:ascii="Sylfaen" w:hAnsi="Sylfaen"/>
          <w:sz w:val="24"/>
          <w:szCs w:val="24"/>
        </w:rPr>
        <w:t> </w:t>
      </w:r>
      <w:r w:rsidRPr="00826F05">
        <w:rPr>
          <w:rFonts w:ascii="Sylfaen" w:hAnsi="Sylfaen"/>
          <w:sz w:val="24"/>
          <w:szCs w:val="24"/>
        </w:rPr>
        <w:t>ընթացակարգի ընթացքում (մինչ</w:t>
      </w:r>
      <w:r w:rsidR="00C54D75">
        <w:rPr>
          <w:rFonts w:ascii="Sylfaen" w:hAnsi="Sylfaen"/>
          <w:sz w:val="24"/>
          <w:szCs w:val="24"/>
        </w:rPr>
        <w:t>և</w:t>
      </w:r>
      <w:r w:rsidRPr="00826F05">
        <w:rPr>
          <w:rFonts w:ascii="Sylfaen" w:hAnsi="Sylfaen"/>
          <w:sz w:val="24"/>
          <w:szCs w:val="24"/>
        </w:rPr>
        <w:t xml:space="preserve"> ռեֆերենտ պետության կողմից փորձաքննության ավարտը) </w:t>
      </w:r>
      <w:r w:rsidR="0056496B">
        <w:rPr>
          <w:rFonts w:ascii="Sylfaen" w:hAnsi="Sylfaen"/>
          <w:sz w:val="24"/>
          <w:szCs w:val="24"/>
        </w:rPr>
        <w:t>դիմումատու</w:t>
      </w:r>
      <w:r w:rsidRPr="00826F05">
        <w:rPr>
          <w:rFonts w:ascii="Sylfaen" w:hAnsi="Sylfaen"/>
          <w:sz w:val="24"/>
          <w:szCs w:val="24"/>
        </w:rPr>
        <w:t xml:space="preserve">ն իրավունք ունի խմբավորված </w:t>
      </w:r>
      <w:r w:rsidR="0056496B">
        <w:rPr>
          <w:rFonts w:ascii="Sylfaen" w:hAnsi="Sylfaen"/>
          <w:sz w:val="24"/>
          <w:szCs w:val="24"/>
        </w:rPr>
        <w:t>դիմում</w:t>
      </w:r>
      <w:r w:rsidRPr="00826F05">
        <w:rPr>
          <w:rFonts w:ascii="Sylfaen" w:hAnsi="Sylfaen"/>
          <w:sz w:val="24"/>
          <w:szCs w:val="24"/>
        </w:rPr>
        <w:t>ից հանելու եզակի փոփոխությունները:</w:t>
      </w:r>
    </w:p>
    <w:p w14:paraId="372BF57F" w14:textId="612252E2"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Լիազորված մարմնի (փորձագիտական կազմակերպության) կողմից փոփոխությունների վերաբերյալ դրական որոշում կայացնելուց հետո, որոնցով ուղղվում է դեղապատրաստուկի ընդհանուր բնութագիրը, մականշվածքը կամ ներդիր-թերթիկը, ինչպես նա</w:t>
      </w:r>
      <w:r w:rsidR="00C54D75">
        <w:rPr>
          <w:rFonts w:ascii="Sylfaen" w:hAnsi="Sylfaen"/>
          <w:sz w:val="24"/>
          <w:szCs w:val="24"/>
        </w:rPr>
        <w:t>և</w:t>
      </w:r>
      <w:r w:rsidRPr="00826F05">
        <w:rPr>
          <w:rFonts w:ascii="Sylfaen" w:hAnsi="Sylfaen"/>
          <w:sz w:val="24"/>
          <w:szCs w:val="24"/>
        </w:rPr>
        <w:t xml:space="preserve"> որակի նորմատիվ փաստաթուղթը, </w:t>
      </w:r>
      <w:r w:rsidR="0056496B">
        <w:rPr>
          <w:rFonts w:ascii="Sylfaen" w:hAnsi="Sylfaen"/>
          <w:sz w:val="24"/>
          <w:szCs w:val="24"/>
        </w:rPr>
        <w:t>դիմումատու</w:t>
      </w:r>
      <w:r w:rsidRPr="00826F05">
        <w:rPr>
          <w:rFonts w:ascii="Sylfaen" w:hAnsi="Sylfaen"/>
          <w:sz w:val="24"/>
          <w:szCs w:val="24"/>
        </w:rPr>
        <w:t>ն պետք է 7 աշխատանքային օրվա ընթացքում բոլոր շահագրգիռ անդամ պետություններ ներկայացնի դեղապատրաստուկի ընդհանուր բնութագրի, ներդիր-թերթիկի, փաթեթվածքի մանրակերտերի թարգմանությունը՝ անդամ պետությունների օրենսդրության մեջ համապատասխան պահանջների առկայության դեպքում:</w:t>
      </w:r>
    </w:p>
    <w:p w14:paraId="2C75D4D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Փոփոխությունները հաստատելուց հետո շահագրգիռ անդամ պետությունների լիազորված մարմիններն անհրաժեշտության դեպքում գրանցման դոսյեում փոփոխություններ կատարելու նպատակով 60 օրացուցային օրվա ընթացքում փոփոխում են գրանցման դոսյեն՝ գրանցման դոսյեի փոփոխության համար անհրաժեշտ փաստաթղթերը շահագրգիռ անդամ պետություններին ներկայացնելու պայմանով:</w:t>
      </w:r>
    </w:p>
    <w:p w14:paraId="3F721AEF" w14:textId="3792956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Այն դեպքում, երբ Դեղամիջոցների գրանցման կանոնների թիվ 19 հավելվածի 1.6 ենթակետի համաձայն փոփոխությունները հանգեցնում են դեղապատրաստուկի մասին տեղեկատվության վերանայման, համապատասխան լիազորված մարմինները փոփոխություններ կատարելու մասին որոշումն ընդունելու օրվանից 30 օրացուցային օրը չգերազանցող ժամկետում միասնական ռեեստրում տեղադրում են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ներկայացնում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178027D5" w14:textId="2BA9489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Թույլ է տրվում II տիպի հաստատված էական փոփոխությունների իրականացումը սկսել ռեֆերենտ պետության կողմից փոփոխություններն ընդունելու մասին </w:t>
      </w:r>
      <w:r w:rsidR="0056496B">
        <w:rPr>
          <w:rFonts w:ascii="Sylfaen" w:hAnsi="Sylfaen"/>
          <w:sz w:val="24"/>
          <w:szCs w:val="24"/>
        </w:rPr>
        <w:t>դիմումատու</w:t>
      </w:r>
      <w:r w:rsidRPr="00826F05">
        <w:rPr>
          <w:rFonts w:ascii="Sylfaen" w:hAnsi="Sylfaen"/>
          <w:sz w:val="24"/>
          <w:szCs w:val="24"/>
        </w:rPr>
        <w:t xml:space="preserve">ին ծանուցելու օրվանից 30 օրացուցային օրվա ընթացքում՝ գրանցման դոսյեի փոփոխությունների համար անհրաժեշտ փաստաթղթերը շահագրգիռ անդամ պետություններին ներկայացնելու պայմանով: Եթե փոփոխություններ կատարելու մասին </w:t>
      </w:r>
      <w:r w:rsidR="0056496B">
        <w:rPr>
          <w:rFonts w:ascii="Sylfaen" w:hAnsi="Sylfaen"/>
          <w:sz w:val="24"/>
          <w:szCs w:val="24"/>
        </w:rPr>
        <w:t>դիմում</w:t>
      </w:r>
      <w:r w:rsidRPr="00826F05">
        <w:rPr>
          <w:rFonts w:ascii="Sylfaen" w:hAnsi="Sylfaen"/>
          <w:sz w:val="24"/>
          <w:szCs w:val="24"/>
        </w:rPr>
        <w:t>ը Փորձագիտական կոմիտե դիմելու առարկա է եղել, փոփոխությունը չի թույլատրվում իրականացնել մինչ</w:t>
      </w:r>
      <w:r w:rsidR="00C54D75">
        <w:rPr>
          <w:rFonts w:ascii="Sylfaen" w:hAnsi="Sylfaen"/>
          <w:sz w:val="24"/>
          <w:szCs w:val="24"/>
        </w:rPr>
        <w:t>և</w:t>
      </w:r>
      <w:r w:rsidRPr="00826F05">
        <w:rPr>
          <w:rFonts w:ascii="Sylfaen" w:hAnsi="Sylfaen"/>
          <w:sz w:val="24"/>
          <w:szCs w:val="24"/>
        </w:rPr>
        <w:t xml:space="preserve"> Փորձագիտական կոմիտեում անհամաձայնությունների կարգավորման ընթացակարգի ավարտը </w:t>
      </w:r>
      <w:r w:rsidR="00C54D75">
        <w:rPr>
          <w:rFonts w:ascii="Sylfaen" w:hAnsi="Sylfaen"/>
          <w:sz w:val="24"/>
          <w:szCs w:val="24"/>
        </w:rPr>
        <w:t>և</w:t>
      </w:r>
      <w:r w:rsidRPr="00826F05">
        <w:rPr>
          <w:rFonts w:ascii="Sylfaen" w:hAnsi="Sylfaen"/>
          <w:sz w:val="24"/>
          <w:szCs w:val="24"/>
        </w:rPr>
        <w:t xml:space="preserve"> դրանց փոփոխման հաստատման կամ մերժման մասին որոշման ընդունումը: Սակայն թույլատրվում է իրականացնել Փորձագիտական կոմիտե դիմելու առարկա չհանդիսացող խմբի փոփոխություն, եթե անդամ պետությունը համաձայնություն է տվել դրան:</w:t>
      </w:r>
    </w:p>
    <w:p w14:paraId="2A84C42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մասին տեղեկատվության վերանայման հանգեցնող ցանկացած փոփոխության իրագործում թույլատրվում է իրականացնել գրանցման դոսյեի մեջ փոփոխություններ կատարելուց հետո` համաձայն Դեղամիջոցների գրանցման կանոնների թիվ 19 հավելվածի 1.6 ենթաբաժնի:</w:t>
      </w:r>
    </w:p>
    <w:p w14:paraId="4266320F" w14:textId="7670ADDA" w:rsidR="004F5982" w:rsidRPr="00826F05" w:rsidRDefault="004F5982" w:rsidP="00487007">
      <w:pPr>
        <w:spacing w:after="160" w:line="360" w:lineRule="auto"/>
        <w:ind w:right="36" w:firstLine="567"/>
        <w:jc w:val="both"/>
        <w:rPr>
          <w:rFonts w:ascii="Sylfaen" w:eastAsia="Times New Roman" w:hAnsi="Sylfaen" w:cs="Times New Roman"/>
          <w:sz w:val="24"/>
          <w:szCs w:val="24"/>
        </w:rPr>
      </w:pPr>
      <w:r w:rsidRPr="00826F05">
        <w:rPr>
          <w:rFonts w:ascii="Sylfaen" w:hAnsi="Sylfaen"/>
          <w:sz w:val="24"/>
          <w:szCs w:val="24"/>
        </w:rPr>
        <w:t xml:space="preserve">Անվտանգության հարցերի հետ կապված փոփոխություններն անհրաժեշտ է իրականացնել ռեֆերենտ պետության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659B4921" w14:textId="77777777" w:rsidR="004F5982" w:rsidRPr="00826F05" w:rsidRDefault="004F5982" w:rsidP="00487007">
      <w:pPr>
        <w:tabs>
          <w:tab w:val="left" w:pos="851"/>
        </w:tabs>
        <w:spacing w:after="160" w:line="360" w:lineRule="auto"/>
        <w:ind w:right="-2" w:firstLine="567"/>
        <w:jc w:val="both"/>
        <w:rPr>
          <w:rFonts w:ascii="Sylfaen" w:hAnsi="Sylfaen"/>
          <w:sz w:val="24"/>
          <w:szCs w:val="24"/>
        </w:rPr>
      </w:pPr>
      <w:r w:rsidRPr="00826F05">
        <w:rPr>
          <w:rFonts w:ascii="Sylfaen" w:hAnsi="Sylfaen"/>
          <w:sz w:val="24"/>
          <w:szCs w:val="24"/>
        </w:rPr>
        <w:t>2.3.4.</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II տիպի փոփոխությունների փորձաքննություն:</w:t>
      </w:r>
    </w:p>
    <w:p w14:paraId="11517578" w14:textId="37072384" w:rsidR="004F5982" w:rsidRPr="00826F05" w:rsidRDefault="0056496B" w:rsidP="00487007">
      <w:pPr>
        <w:spacing w:after="160" w:line="360" w:lineRule="auto"/>
        <w:ind w:right="35"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w:t>
      </w:r>
      <w:r>
        <w:rPr>
          <w:rFonts w:ascii="Sylfaen" w:hAnsi="Sylfaen"/>
          <w:sz w:val="24"/>
          <w:szCs w:val="24"/>
        </w:rPr>
        <w:t>դիմում</w:t>
      </w:r>
      <w:r w:rsidR="004F5982" w:rsidRPr="00826F05">
        <w:rPr>
          <w:rFonts w:ascii="Sylfaen" w:hAnsi="Sylfaen"/>
          <w:sz w:val="24"/>
          <w:szCs w:val="24"/>
        </w:rPr>
        <w:t xml:space="preserve">ը` Դեղամիջոցների գրանցման կանոնների թիվ 2 հավելվածի համաձայն, կամ փոփոխությունների կատարման վճարի (տուրքի) վճարումը հաստատող փաստաթղթերը՝ անդամ պետությունների օրենսդրությանը համապատասխան հաստատված չափով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սույն կանոնների 2.3.1 ենթակետում թվարկված տարրերը պարունակող </w:t>
      </w:r>
      <w:r w:rsidR="004F5982" w:rsidRPr="00826F05">
        <w:rPr>
          <w:rFonts w:ascii="Sylfaen" w:hAnsi="Sylfaen"/>
          <w:sz w:val="24"/>
          <w:szCs w:val="24"/>
        </w:rPr>
        <w:lastRenderedPageBreak/>
        <w:t>փոփոխության (ծանուցման) դոսյեն:</w:t>
      </w:r>
    </w:p>
    <w:p w14:paraId="7D144772" w14:textId="399A4CA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w:t>
      </w:r>
      <w:r w:rsidR="00C54D75">
        <w:rPr>
          <w:rFonts w:ascii="Sylfaen" w:hAnsi="Sylfaen"/>
          <w:sz w:val="24"/>
          <w:szCs w:val="24"/>
        </w:rPr>
        <w:t>և</w:t>
      </w:r>
      <w:r w:rsidRPr="00826F05">
        <w:rPr>
          <w:rFonts w:ascii="Sylfaen" w:hAnsi="Sylfaen"/>
          <w:sz w:val="24"/>
          <w:szCs w:val="24"/>
        </w:rPr>
        <w:t xml:space="preserve"> փորձագիտական կազմակերպության հետ համաձայնությամբ </w:t>
      </w:r>
      <w:r w:rsidR="0056496B">
        <w:rPr>
          <w:rFonts w:ascii="Sylfaen" w:hAnsi="Sylfaen"/>
          <w:sz w:val="24"/>
          <w:szCs w:val="24"/>
        </w:rPr>
        <w:t>դիմումատու</w:t>
      </w:r>
      <w:r w:rsidRPr="00826F05">
        <w:rPr>
          <w:rFonts w:ascii="Sylfaen" w:hAnsi="Sylfaen"/>
          <w:sz w:val="24"/>
          <w:szCs w:val="24"/>
        </w:rPr>
        <w:t xml:space="preserve">ն ռեֆերենտ 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826F05">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26F05">
        <w:rPr>
          <w:rFonts w:ascii="Sylfaen" w:hAnsi="Sylfaen"/>
          <w:sz w:val="24"/>
          <w:szCs w:val="24"/>
        </w:rPr>
        <w:t xml:space="preserve"> լաբորատոր փորձարկումներ անցկացնելու համար անհրաժեշտ մյուս նյութերը:</w:t>
      </w:r>
    </w:p>
    <w:p w14:paraId="0E05CBDD" w14:textId="68C834A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գնահատում՝ սույն կանոնների 2.3.1</w:t>
      </w:r>
      <w:r>
        <w:rPr>
          <w:rFonts w:ascii="Sylfaen" w:hAnsi="Sylfaen"/>
          <w:sz w:val="24"/>
          <w:szCs w:val="24"/>
        </w:rPr>
        <w:t> </w:t>
      </w:r>
      <w:r w:rsidRPr="00826F05">
        <w:rPr>
          <w:rFonts w:ascii="Sylfaen" w:hAnsi="Sylfaen"/>
          <w:sz w:val="24"/>
          <w:szCs w:val="24"/>
        </w:rPr>
        <w:t xml:space="preserve">ենթակետին համապատասխան։ Եթե </w:t>
      </w:r>
      <w:r w:rsidR="0056496B">
        <w:rPr>
          <w:rFonts w:ascii="Sylfaen" w:hAnsi="Sylfaen"/>
          <w:sz w:val="24"/>
          <w:szCs w:val="24"/>
        </w:rPr>
        <w:t>դիմում</w:t>
      </w:r>
      <w:r w:rsidRPr="00826F05">
        <w:rPr>
          <w:rFonts w:ascii="Sylfaen" w:hAnsi="Sylfaen"/>
          <w:sz w:val="24"/>
          <w:szCs w:val="24"/>
        </w:rPr>
        <w:t xml:space="preserve">ը բավարարում է սույն կանոնների 2.3.1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826F05">
        <w:rPr>
          <w:rFonts w:ascii="Sylfaen" w:hAnsi="Sylfaen"/>
          <w:sz w:val="24"/>
          <w:szCs w:val="24"/>
        </w:rPr>
        <w:t>ի ստացումը:</w:t>
      </w:r>
    </w:p>
    <w:p w14:paraId="0F6AA30C" w14:textId="0008593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826F05">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ընթացակարգի ժամկետի մեջ։</w:t>
      </w:r>
    </w:p>
    <w:p w14:paraId="08FDBAF6" w14:textId="5175EE0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826F05">
        <w:rPr>
          <w:rFonts w:ascii="Sylfaen" w:hAnsi="Sylfaen"/>
          <w:sz w:val="24"/>
          <w:szCs w:val="24"/>
        </w:rPr>
        <w:t xml:space="preserve"> (կամ) անդամ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չհաստատելու դեպքում ռեֆերենտ 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826F05">
        <w:rPr>
          <w:rFonts w:ascii="Sylfaen" w:hAnsi="Sylfaen"/>
          <w:sz w:val="24"/>
          <w:szCs w:val="24"/>
        </w:rPr>
        <w:t>ը։</w:t>
      </w:r>
    </w:p>
    <w:p w14:paraId="08FA1A4E" w14:textId="71BD215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Փոփոխությունների կատարման </w:t>
      </w:r>
      <w:r w:rsidR="0056496B">
        <w:rPr>
          <w:rFonts w:ascii="Sylfaen" w:hAnsi="Sylfaen"/>
          <w:sz w:val="24"/>
          <w:szCs w:val="24"/>
        </w:rPr>
        <w:t>դիմում</w:t>
      </w:r>
      <w:r w:rsidRPr="00826F05">
        <w:rPr>
          <w:rFonts w:ascii="Sylfaen" w:hAnsi="Sylfaen"/>
          <w:sz w:val="24"/>
          <w:szCs w:val="24"/>
        </w:rPr>
        <w:t>ը ստանալու օրվանից ոչ ուշ, քան 60</w:t>
      </w:r>
      <w:r>
        <w:rPr>
          <w:rFonts w:ascii="Sylfaen" w:hAnsi="Sylfaen"/>
          <w:sz w:val="24"/>
          <w:szCs w:val="24"/>
        </w:rPr>
        <w:t> </w:t>
      </w:r>
      <w:r w:rsidRPr="00826F05">
        <w:rPr>
          <w:rFonts w:ascii="Sylfaen" w:hAnsi="Sylfaen"/>
          <w:sz w:val="24"/>
          <w:szCs w:val="24"/>
        </w:rPr>
        <w:t xml:space="preserve">օրացուցային օրվակընթացքում լիազորված մարմինը (փորձագիտական կազմակերպությունը) պետք է ավարտի դեղապատրաստուկի փորձաքննությունը </w:t>
      </w:r>
      <w:r w:rsidR="00C54D75">
        <w:rPr>
          <w:rFonts w:ascii="Sylfaen" w:hAnsi="Sylfaen"/>
          <w:sz w:val="24"/>
          <w:szCs w:val="24"/>
        </w:rPr>
        <w:t>և</w:t>
      </w:r>
      <w:r w:rsidRPr="00826F05">
        <w:rPr>
          <w:rFonts w:ascii="Sylfaen" w:hAnsi="Sylfaen"/>
          <w:sz w:val="24"/>
          <w:szCs w:val="24"/>
        </w:rPr>
        <w:t xml:space="preserve"> պատրաստի գնահատման վերաբերյալ փորձագիտական հաշվետվություն:</w:t>
      </w:r>
    </w:p>
    <w:p w14:paraId="7DCFD8E1" w14:textId="77777777"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կրճատելու տվյալ ժամկետը՝ հաշվի առնելով հարցի հրատապությունը,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ցուցումների փոփոխության արդյունքում առաջացած ցուցումների կամ կիրառման նոր ցուցումներ ներառելու կամ փոփոխությունների խմբի դեպքում՝ սույն</w:t>
      </w:r>
      <w:r>
        <w:rPr>
          <w:rFonts w:ascii="Sylfaen" w:hAnsi="Sylfaen"/>
          <w:sz w:val="24"/>
          <w:szCs w:val="24"/>
        </w:rPr>
        <w:t> </w:t>
      </w:r>
      <w:r w:rsidRPr="00826F05">
        <w:rPr>
          <w:rFonts w:ascii="Sylfaen" w:hAnsi="Sylfaen"/>
          <w:sz w:val="24"/>
          <w:szCs w:val="24"/>
        </w:rPr>
        <w:t>կանոնների 3.4.2 ենթակետի չորրորդ պարբերությանը համապատասխան:</w:t>
      </w:r>
    </w:p>
    <w:p w14:paraId="29C038EF" w14:textId="4BCA86A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ընթացքում լիազորված մարմինը (փորձագիտական կազմակերպությունը) իրավունք ունի պակասող լրացուցիչ տեղեկատվության, ներկայացված փաստաթղթերի </w:t>
      </w:r>
      <w:r w:rsidR="00C54D75">
        <w:rPr>
          <w:rFonts w:ascii="Sylfaen" w:hAnsi="Sylfaen"/>
          <w:sz w:val="24"/>
          <w:szCs w:val="24"/>
        </w:rPr>
        <w:t>և</w:t>
      </w:r>
      <w:r w:rsidRPr="00826F05">
        <w:rPr>
          <w:rFonts w:ascii="Sylfaen" w:hAnsi="Sylfaen"/>
          <w:sz w:val="24"/>
          <w:szCs w:val="24"/>
        </w:rPr>
        <w:t xml:space="preserve"> գրանցման դոսյեի տվյալների անհրաժեշտ պարզաբանումների կամ ճշգրտումների (այդ</w:t>
      </w:r>
      <w:r>
        <w:rPr>
          <w:rFonts w:ascii="Sylfaen" w:hAnsi="Sylfaen"/>
          <w:sz w:val="24"/>
          <w:szCs w:val="24"/>
        </w:rPr>
        <w:t> </w:t>
      </w:r>
      <w:r w:rsidRPr="00826F05">
        <w:rPr>
          <w:rFonts w:ascii="Sylfaen" w:hAnsi="Sylfaen"/>
          <w:sz w:val="24"/>
          <w:szCs w:val="24"/>
        </w:rPr>
        <w:t>թվում՝</w:t>
      </w:r>
      <w:r>
        <w:rPr>
          <w:rFonts w:ascii="Sylfaen" w:hAnsi="Sylfaen"/>
          <w:sz w:val="24"/>
          <w:szCs w:val="24"/>
        </w:rPr>
        <w:t> </w:t>
      </w:r>
      <w:r w:rsidRPr="00826F05">
        <w:rPr>
          <w:rFonts w:ascii="Sylfaen" w:hAnsi="Sylfaen"/>
          <w:sz w:val="24"/>
          <w:szCs w:val="24"/>
        </w:rPr>
        <w:t xml:space="preserve">դեղապատրաստուկի ընդհանուր բնութագրում, բժշկական կիրառման հրահանգում, դեղապատրաստուկի փաթեթվածքի մանրակերտերում, որակի նորմատիվ փաստաթղթում կամ գրանցման դոսյեի այլ փաստաթղթերում փոփոխություններ կատարելու առաջարկությունների) մասին </w:t>
      </w:r>
      <w:r w:rsidR="0056496B">
        <w:rPr>
          <w:rFonts w:ascii="Sylfaen" w:hAnsi="Sylfaen"/>
          <w:sz w:val="24"/>
          <w:szCs w:val="24"/>
        </w:rPr>
        <w:t>դիմումատու</w:t>
      </w:r>
      <w:r w:rsidRPr="00826F05">
        <w:rPr>
          <w:rFonts w:ascii="Sylfaen" w:hAnsi="Sylfaen"/>
          <w:sz w:val="24"/>
          <w:szCs w:val="24"/>
        </w:rPr>
        <w:t xml:space="preserve">ին գրավոր </w:t>
      </w:r>
      <w:r w:rsidR="00C54D75">
        <w:rPr>
          <w:rFonts w:ascii="Sylfaen" w:hAnsi="Sylfaen"/>
          <w:sz w:val="24"/>
          <w:szCs w:val="24"/>
        </w:rPr>
        <w:t>և</w:t>
      </w:r>
      <w:r w:rsidRPr="00826F05">
        <w:rPr>
          <w:rFonts w:ascii="Sylfaen" w:hAnsi="Sylfaen"/>
          <w:sz w:val="24"/>
          <w:szCs w:val="24"/>
        </w:rPr>
        <w:t xml:space="preserve"> (կամ) էլեկտրոնային եղանակով հարցում ուղարկել:</w:t>
      </w:r>
    </w:p>
    <w:p w14:paraId="4E54F2C7" w14:textId="06842D2B"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կողմից նշված հարցմանը պատասխան ներկայացնելու ժամկետը չպետք է գերազանցի 90 օրացուցային օրը:</w:t>
      </w:r>
    </w:p>
    <w:p w14:paraId="2BF2A0D9" w14:textId="0E7D9704" w:rsidR="004F5982" w:rsidRPr="00826F05" w:rsidRDefault="0056496B" w:rsidP="00487007">
      <w:pPr>
        <w:spacing w:after="160" w:line="360" w:lineRule="auto"/>
        <w:ind w:right="37"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կողմից լիազորված մարմնի կամ փորձագիտական կազմակերպության հարցմամբ փաստաթղթեր ներկայացնելու ժամանակը չի</w:t>
      </w:r>
      <w:r w:rsidR="004F5982">
        <w:rPr>
          <w:rFonts w:ascii="Sylfaen" w:hAnsi="Sylfaen"/>
          <w:sz w:val="24"/>
          <w:szCs w:val="24"/>
        </w:rPr>
        <w:t> </w:t>
      </w:r>
      <w:r w:rsidR="004F5982" w:rsidRPr="00826F05">
        <w:rPr>
          <w:rFonts w:ascii="Sylfaen" w:hAnsi="Sylfaen"/>
          <w:sz w:val="24"/>
          <w:szCs w:val="24"/>
        </w:rPr>
        <w:t>մտնում փորձաքննությունն ու փոփոխությունների կատարման ընթացակարգն իրականացնելու ժամկետի մեջ:</w:t>
      </w:r>
    </w:p>
    <w:p w14:paraId="16117588" w14:textId="64FD9F5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Պահանջված փաստաթղթերը </w:t>
      </w:r>
      <w:r w:rsidR="00C54D75">
        <w:rPr>
          <w:rFonts w:ascii="Sylfaen" w:hAnsi="Sylfaen"/>
          <w:sz w:val="24"/>
          <w:szCs w:val="24"/>
        </w:rPr>
        <w:t>և</w:t>
      </w:r>
      <w:r w:rsidRPr="00826F05">
        <w:rPr>
          <w:rFonts w:ascii="Sylfaen" w:hAnsi="Sylfaen"/>
          <w:sz w:val="24"/>
          <w:szCs w:val="24"/>
        </w:rPr>
        <w:t xml:space="preserve"> տվյալները </w:t>
      </w:r>
      <w:r w:rsidR="0056496B">
        <w:rPr>
          <w:rFonts w:ascii="Sylfaen" w:hAnsi="Sylfaen"/>
          <w:sz w:val="24"/>
          <w:szCs w:val="24"/>
        </w:rPr>
        <w:t>դիմումատու</w:t>
      </w:r>
      <w:r w:rsidRPr="00826F05">
        <w:rPr>
          <w:rFonts w:ascii="Sylfaen" w:hAnsi="Sylfaen"/>
          <w:sz w:val="24"/>
          <w:szCs w:val="24"/>
        </w:rPr>
        <w:t xml:space="preserve">ի կողմից սահմանված ժամկետում չներկայացվելու դեպքում փորձաքննությունը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ընթացակարգը դադարեցվում են: Կայացրած որոշման մասին </w:t>
      </w:r>
      <w:r w:rsidRPr="00826F05">
        <w:rPr>
          <w:rFonts w:ascii="Sylfaen" w:hAnsi="Sylfaen"/>
          <w:sz w:val="24"/>
          <w:szCs w:val="24"/>
        </w:rPr>
        <w:lastRenderedPageBreak/>
        <w:t xml:space="preserve">ռեֆերենտ պետության լիազորված մարմինը </w:t>
      </w:r>
      <w:r w:rsidRPr="004D10E2">
        <w:rPr>
          <w:rFonts w:ascii="Sylfaen" w:hAnsi="Sylfaen"/>
          <w:spacing w:val="-6"/>
          <w:sz w:val="24"/>
          <w:szCs w:val="24"/>
        </w:rPr>
        <w:t xml:space="preserve">(փորձագիտական կազմակերպությունը) այդ որոշումը կայացնելու օրվանից </w:t>
      </w:r>
      <w:r w:rsidRPr="00826F05">
        <w:rPr>
          <w:rFonts w:ascii="Sylfaen" w:hAnsi="Sylfaen"/>
          <w:sz w:val="24"/>
          <w:szCs w:val="24"/>
        </w:rPr>
        <w:t xml:space="preserve">10 աշխատանքային օրվա ընթացքում գրավոր </w:t>
      </w:r>
      <w:r w:rsidR="00C54D75">
        <w:rPr>
          <w:rFonts w:ascii="Sylfaen" w:hAnsi="Sylfaen"/>
          <w:sz w:val="24"/>
          <w:szCs w:val="24"/>
        </w:rPr>
        <w:t>և</w:t>
      </w:r>
      <w:r w:rsidRPr="00826F05">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826F05">
        <w:rPr>
          <w:rFonts w:ascii="Sylfaen" w:hAnsi="Sylfaen"/>
          <w:sz w:val="24"/>
          <w:szCs w:val="24"/>
        </w:rPr>
        <w:t>ին:</w:t>
      </w:r>
    </w:p>
    <w:p w14:paraId="36D6ADEF" w14:textId="77777777" w:rsidR="004F5982" w:rsidRPr="00B97567" w:rsidRDefault="004F5982" w:rsidP="00487007">
      <w:pPr>
        <w:tabs>
          <w:tab w:val="left" w:pos="1701"/>
        </w:tabs>
        <w:spacing w:after="160" w:line="360" w:lineRule="auto"/>
        <w:ind w:right="-2" w:firstLine="567"/>
        <w:jc w:val="both"/>
        <w:rPr>
          <w:rFonts w:ascii="Sylfaen" w:eastAsia="Times New Roman" w:hAnsi="Sylfaen" w:cs="Times New Roman"/>
          <w:spacing w:val="-6"/>
          <w:sz w:val="24"/>
          <w:szCs w:val="24"/>
        </w:rPr>
      </w:pPr>
      <w:r w:rsidRPr="00826F05">
        <w:rPr>
          <w:rFonts w:ascii="Sylfaen" w:hAnsi="Sylfaen"/>
          <w:sz w:val="24"/>
          <w:szCs w:val="24"/>
        </w:rPr>
        <w:t>2.3.5.</w:t>
      </w:r>
      <w:r w:rsidRPr="00826F05">
        <w:rPr>
          <w:rFonts w:ascii="Sylfaen" w:hAnsi="Sylfaen"/>
          <w:sz w:val="24"/>
          <w:szCs w:val="24"/>
        </w:rPr>
        <w:tab/>
        <w:t>Դեղամիջոցների գրանցման կանոնների թիվ 19 հավելվածի 1.1</w:t>
      </w:r>
      <w:r w:rsidRPr="00B97567">
        <w:rPr>
          <w:rFonts w:ascii="Sylfaen" w:hAnsi="Sylfaen"/>
          <w:spacing w:val="-6"/>
          <w:sz w:val="24"/>
          <w:szCs w:val="24"/>
        </w:rPr>
        <w:t>.4 ենթակետում նշված II տիպի փոփոխությունների փորձաքննությունն ավարտելը:</w:t>
      </w:r>
    </w:p>
    <w:p w14:paraId="64DB8742" w14:textId="770E2DD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փորձաքննության ժամկետի ավարտին լիազորված մարմինը (փորձագիտական կազմակերպությունը) </w:t>
      </w:r>
      <w:r w:rsidR="0056496B">
        <w:rPr>
          <w:rFonts w:ascii="Sylfaen" w:hAnsi="Sylfaen"/>
          <w:sz w:val="24"/>
          <w:szCs w:val="24"/>
        </w:rPr>
        <w:t>դիմում</w:t>
      </w:r>
      <w:r w:rsidRPr="00826F05">
        <w:rPr>
          <w:rFonts w:ascii="Sylfaen" w:hAnsi="Sylfaen"/>
          <w:sz w:val="24"/>
          <w:szCs w:val="24"/>
        </w:rPr>
        <w:t xml:space="preserve">ի մասին որոշում է պատրաստում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ծանուցում է փոփոխության հաստատման կամ մերժման մասին (այդ թվում՝ հիմնավորելով բացասական եզրակացությունը):</w:t>
      </w:r>
    </w:p>
    <w:p w14:paraId="54E0DC39" w14:textId="7EE3B812"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մեկ </w:t>
      </w:r>
      <w:r w:rsidR="0056496B">
        <w:rPr>
          <w:rFonts w:ascii="Sylfaen" w:hAnsi="Sylfaen"/>
          <w:sz w:val="24"/>
          <w:szCs w:val="24"/>
        </w:rPr>
        <w:t>դիմում</w:t>
      </w:r>
      <w:r w:rsidRPr="00826F05">
        <w:rPr>
          <w:rFonts w:ascii="Sylfaen" w:hAnsi="Sylfaen"/>
          <w:sz w:val="24"/>
          <w:szCs w:val="24"/>
        </w:rPr>
        <w:t xml:space="preserve">ի շրջանակներում ներկայացվել է մի քանի II տիպի փոփոխություններ կամ II տիպի փոփոխությունների խումբ այլ ոչ էական </w:t>
      </w:r>
      <w:r w:rsidRPr="00B97567">
        <w:rPr>
          <w:rFonts w:ascii="Sylfaen" w:hAnsi="Sylfaen"/>
          <w:spacing w:val="6"/>
          <w:sz w:val="24"/>
          <w:szCs w:val="24"/>
        </w:rPr>
        <w:t xml:space="preserve">փոփոխությունների հետ միասին, լիազորված մարմինը (փորձագիտական կազմակերպությունը) </w:t>
      </w:r>
      <w:r w:rsidR="0056496B">
        <w:rPr>
          <w:rFonts w:ascii="Sylfaen" w:hAnsi="Sylfaen"/>
          <w:spacing w:val="6"/>
          <w:sz w:val="24"/>
          <w:szCs w:val="24"/>
        </w:rPr>
        <w:t>դիմումատու</w:t>
      </w:r>
      <w:r w:rsidRPr="00B97567">
        <w:rPr>
          <w:rFonts w:ascii="Sylfaen" w:hAnsi="Sylfaen"/>
          <w:spacing w:val="6"/>
          <w:sz w:val="24"/>
          <w:szCs w:val="24"/>
        </w:rPr>
        <w:t xml:space="preserve">ին ծանուցում է, թե դրանցից որոնք են ընդունվել </w:t>
      </w:r>
      <w:r w:rsidR="00C54D75">
        <w:rPr>
          <w:rFonts w:ascii="Sylfaen" w:hAnsi="Sylfaen"/>
          <w:spacing w:val="6"/>
          <w:sz w:val="24"/>
          <w:szCs w:val="24"/>
        </w:rPr>
        <w:t>և</w:t>
      </w:r>
      <w:r w:rsidRPr="00B97567">
        <w:rPr>
          <w:rFonts w:ascii="Sylfaen" w:hAnsi="Sylfaen"/>
          <w:spacing w:val="6"/>
          <w:sz w:val="24"/>
          <w:szCs w:val="24"/>
        </w:rPr>
        <w:t xml:space="preserve"> մերժվել: Ընթացակարգի ընթացքում</w:t>
      </w:r>
      <w:r w:rsidRPr="00826F05">
        <w:rPr>
          <w:rFonts w:ascii="Sylfaen" w:hAnsi="Sylfaen"/>
          <w:sz w:val="24"/>
          <w:szCs w:val="24"/>
        </w:rPr>
        <w:t xml:space="preserve"> (մինչ</w:t>
      </w:r>
      <w:r w:rsidR="00C54D75">
        <w:rPr>
          <w:rFonts w:ascii="Sylfaen" w:hAnsi="Sylfaen"/>
          <w:sz w:val="24"/>
          <w:szCs w:val="24"/>
        </w:rPr>
        <w:t>և</w:t>
      </w:r>
      <w:r w:rsidRPr="00826F05">
        <w:rPr>
          <w:rFonts w:ascii="Sylfaen" w:hAnsi="Sylfaen"/>
          <w:sz w:val="24"/>
          <w:szCs w:val="24"/>
        </w:rPr>
        <w:t xml:space="preserve"> ռեֆերենտ պետության լիազորված մարմնի (փորձագիտական կազմակերպության) կողմից փորձաքննության ավարտը) </w:t>
      </w:r>
      <w:r w:rsidR="0056496B">
        <w:rPr>
          <w:rFonts w:ascii="Sylfaen" w:hAnsi="Sylfaen"/>
          <w:sz w:val="24"/>
          <w:szCs w:val="24"/>
        </w:rPr>
        <w:t>դիմումատու</w:t>
      </w:r>
      <w:r w:rsidRPr="00826F05">
        <w:rPr>
          <w:rFonts w:ascii="Sylfaen" w:hAnsi="Sylfaen"/>
          <w:sz w:val="24"/>
          <w:szCs w:val="24"/>
        </w:rPr>
        <w:t xml:space="preserve">ն իրավունք ունի խմբավորված </w:t>
      </w:r>
      <w:r w:rsidR="0056496B">
        <w:rPr>
          <w:rFonts w:ascii="Sylfaen" w:hAnsi="Sylfaen"/>
          <w:sz w:val="24"/>
          <w:szCs w:val="24"/>
        </w:rPr>
        <w:t>դիմում</w:t>
      </w:r>
      <w:r w:rsidRPr="00826F05">
        <w:rPr>
          <w:rFonts w:ascii="Sylfaen" w:hAnsi="Sylfaen"/>
          <w:sz w:val="24"/>
          <w:szCs w:val="24"/>
        </w:rPr>
        <w:t xml:space="preserve">ից հանելու եզակի փոփոխությունները: </w:t>
      </w:r>
    </w:p>
    <w:p w14:paraId="516D4A1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Փոփոխությունը հաստատելուց հետո լիազորված մարմինն անհրաժեշտության դեպքում գրանցման դոսյեում փոփոխություններն արտացոլելու նպատակով 60 օրացուցային օրվա ընթացքում ուղղում է գրանցման դոսյեն՝ գրանցման դոսյեի փոփոխության համար անհրաժեշտ փաստաթղթերը լիազորված մարմին (փորձագիտական կազմակերպություն) ներկայացնելու պայմանով:</w:t>
      </w:r>
    </w:p>
    <w:p w14:paraId="68C0A7A7" w14:textId="0F3919F5" w:rsidR="004F5982" w:rsidRPr="00826F05" w:rsidRDefault="004F5982" w:rsidP="00487007">
      <w:pPr>
        <w:spacing w:after="160" w:line="360" w:lineRule="auto"/>
        <w:ind w:right="33" w:firstLine="567"/>
        <w:jc w:val="both"/>
        <w:rPr>
          <w:rFonts w:ascii="Sylfaen" w:eastAsia="Times New Roman" w:hAnsi="Sylfaen" w:cs="Times New Roman"/>
          <w:sz w:val="24"/>
          <w:szCs w:val="24"/>
        </w:rPr>
      </w:pPr>
      <w:r w:rsidRPr="00B97567">
        <w:rPr>
          <w:rFonts w:ascii="Sylfaen" w:hAnsi="Sylfaen"/>
          <w:spacing w:val="-6"/>
          <w:sz w:val="24"/>
          <w:szCs w:val="24"/>
        </w:rPr>
        <w:t xml:space="preserve">Այն դեպքում, երբ, Դեղամիջոցների գրանցման կանոնների թիվ 19 </w:t>
      </w:r>
      <w:r w:rsidRPr="00826F05">
        <w:rPr>
          <w:rFonts w:ascii="Sylfaen" w:hAnsi="Sylfaen"/>
          <w:sz w:val="24"/>
          <w:szCs w:val="24"/>
        </w:rPr>
        <w:t>հավելվածի 1.6 ենթակետի համաձայն, փոփոխությունները հանգեցնում են դեղապատրաստուկի մասին տեղեկատվության վերանայման, ռեֆերենտ պետության լիազորված մարմինը փորձաքննությունն ավարտելու օրվանից 30</w:t>
      </w:r>
      <w:r>
        <w:rPr>
          <w:rFonts w:ascii="Sylfaen" w:hAnsi="Sylfaen"/>
          <w:sz w:val="24"/>
          <w:szCs w:val="24"/>
        </w:rPr>
        <w:t> </w:t>
      </w:r>
      <w:r w:rsidRPr="00826F05">
        <w:rPr>
          <w:rFonts w:ascii="Sylfaen" w:hAnsi="Sylfaen"/>
          <w:sz w:val="24"/>
          <w:szCs w:val="24"/>
        </w:rPr>
        <w:t xml:space="preserve">աշխատանքային օրը չգերազանցող ժամկետում Միության միասնական ռեեստրում տեղադրում է </w:t>
      </w:r>
      <w:r w:rsidRPr="00826F05">
        <w:rPr>
          <w:rFonts w:ascii="Sylfaen" w:hAnsi="Sylfaen"/>
          <w:sz w:val="24"/>
          <w:szCs w:val="24"/>
        </w:rPr>
        <w:lastRenderedPageBreak/>
        <w:t xml:space="preserve">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Միության</w:t>
      </w:r>
      <w:r>
        <w:rPr>
          <w:rFonts w:ascii="Sylfaen" w:hAnsi="Sylfaen"/>
          <w:sz w:val="24"/>
          <w:szCs w:val="24"/>
        </w:rPr>
        <w:t> </w:t>
      </w:r>
      <w:r w:rsidRPr="00826F05">
        <w:rPr>
          <w:rFonts w:ascii="Sylfaen" w:hAnsi="Sylfaen"/>
          <w:sz w:val="24"/>
          <w:szCs w:val="24"/>
        </w:rPr>
        <w:t>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41EC9433" w14:textId="4A9884E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Թույլատրվում է II տիպի ընդունված էական փոփոխությունների իրականացումը սկսել լիազորված մարմնի (փորձագիտական կազմակերպության) կողմից փոփոխությունն ընդունելու մասին </w:t>
      </w:r>
      <w:r w:rsidR="0056496B">
        <w:rPr>
          <w:rFonts w:ascii="Sylfaen" w:hAnsi="Sylfaen"/>
          <w:sz w:val="24"/>
          <w:szCs w:val="24"/>
        </w:rPr>
        <w:t>դիմումատու</w:t>
      </w:r>
      <w:r w:rsidRPr="00826F05">
        <w:rPr>
          <w:rFonts w:ascii="Sylfaen" w:hAnsi="Sylfaen"/>
          <w:sz w:val="24"/>
          <w:szCs w:val="24"/>
        </w:rPr>
        <w:t>ին ծանուցելու օրվանից 30</w:t>
      </w:r>
      <w:r>
        <w:rPr>
          <w:rFonts w:ascii="Sylfaen" w:hAnsi="Sylfaen"/>
          <w:sz w:val="24"/>
          <w:szCs w:val="24"/>
        </w:rPr>
        <w:t> </w:t>
      </w:r>
      <w:r w:rsidRPr="00826F05">
        <w:rPr>
          <w:rFonts w:ascii="Sylfaen" w:hAnsi="Sylfaen"/>
          <w:sz w:val="24"/>
          <w:szCs w:val="24"/>
        </w:rPr>
        <w:t xml:space="preserve">օրացուցային օրվա ընթացքում՝ գրանցման դոսյեն ուղղելու համար անհրաժեշտ փաստաթղթերը </w:t>
      </w:r>
      <w:r w:rsidR="0056496B">
        <w:rPr>
          <w:rFonts w:ascii="Sylfaen" w:hAnsi="Sylfaen"/>
          <w:sz w:val="24"/>
          <w:szCs w:val="24"/>
        </w:rPr>
        <w:t>դիմումատու</w:t>
      </w:r>
      <w:r w:rsidRPr="00826F05">
        <w:rPr>
          <w:rFonts w:ascii="Sylfaen" w:hAnsi="Sylfaen"/>
          <w:sz w:val="24"/>
          <w:szCs w:val="24"/>
        </w:rPr>
        <w:t>ի կողմից ներկայացնելու պայմանով:</w:t>
      </w:r>
    </w:p>
    <w:p w14:paraId="2BFE3CE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մասին տեղեկատվության վերանայման հանգեցնող ցանկացած փոփոխության իրագործում թույլատրվում է իրականացնել գրանցման դոսյեի մեջ փոփոխություններ կատարելուց հետո` համաձայն Դեղամիջոցների գրանցման կանոնների թիվ 19 հավելվածի 1.6 ենթաբաժնի:</w:t>
      </w:r>
    </w:p>
    <w:p w14:paraId="53730B43" w14:textId="03F0EAB6"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 xml:space="preserve">Անվտանգության հարցերի հետ կապված փոփոխություններն անհրաժեշտ է իրականացնել լիազորված մարմնի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7F83DCA8"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2.4.</w:t>
      </w:r>
      <w:r w:rsidRPr="00826F05">
        <w:rPr>
          <w:rFonts w:ascii="Sylfaen" w:hAnsi="Sylfaen"/>
          <w:sz w:val="24"/>
          <w:szCs w:val="24"/>
        </w:rPr>
        <w:tab/>
        <w:t>Գրանցման ընդլայնում:</w:t>
      </w:r>
    </w:p>
    <w:p w14:paraId="00B518A3" w14:textId="4AEF782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I լրացման մեջ թվարկված են փոփոխություններ, որոնք դիտարկվում են գրանցման ընդլայնման </w:t>
      </w:r>
      <w:r w:rsidRPr="00B97567">
        <w:rPr>
          <w:rFonts w:ascii="Sylfaen" w:hAnsi="Sylfaen"/>
          <w:spacing w:val="6"/>
          <w:sz w:val="24"/>
          <w:szCs w:val="24"/>
        </w:rPr>
        <w:t xml:space="preserve">շրջանակներում: Գրանցման ընդլայնման մասին </w:t>
      </w:r>
      <w:r w:rsidR="0056496B">
        <w:rPr>
          <w:rFonts w:ascii="Sylfaen" w:hAnsi="Sylfaen"/>
          <w:spacing w:val="6"/>
          <w:sz w:val="24"/>
          <w:szCs w:val="24"/>
        </w:rPr>
        <w:t>դիմում</w:t>
      </w:r>
      <w:r w:rsidRPr="00B97567">
        <w:rPr>
          <w:rFonts w:ascii="Sylfaen" w:hAnsi="Sylfaen"/>
          <w:spacing w:val="6"/>
          <w:sz w:val="24"/>
          <w:szCs w:val="24"/>
        </w:rPr>
        <w:t xml:space="preserve">ը պետք է ենթարկվի փորձաքննության՝ դեղապատրաստուկի գրանցման </w:t>
      </w:r>
      <w:r w:rsidR="00C54D75">
        <w:rPr>
          <w:rFonts w:ascii="Sylfaen" w:hAnsi="Sylfaen"/>
          <w:spacing w:val="6"/>
          <w:sz w:val="24"/>
          <w:szCs w:val="24"/>
        </w:rPr>
        <w:t>և</w:t>
      </w:r>
      <w:r w:rsidRPr="00B97567">
        <w:rPr>
          <w:rFonts w:ascii="Sylfaen" w:hAnsi="Sylfaen"/>
          <w:spacing w:val="6"/>
          <w:sz w:val="24"/>
          <w:szCs w:val="24"/>
        </w:rPr>
        <w:t xml:space="preserve"> փորձաքննության այն նույն ընթացակարգին համապատասխան, ինչ որ դեղապատրաստուկի առաջնային գրանցումն է, որին այն վերաբերում է Դեղամիջոցների գրանցման կանոնների</w:t>
      </w:r>
      <w:r w:rsidRPr="00826F05">
        <w:rPr>
          <w:rFonts w:ascii="Sylfaen" w:hAnsi="Sylfaen"/>
          <w:sz w:val="24"/>
          <w:szCs w:val="24"/>
        </w:rPr>
        <w:t xml:space="preserve"> V </w:t>
      </w:r>
      <w:r w:rsidR="00C54D75">
        <w:rPr>
          <w:rFonts w:ascii="Sylfaen" w:hAnsi="Sylfaen"/>
          <w:sz w:val="24"/>
          <w:szCs w:val="24"/>
        </w:rPr>
        <w:t>և</w:t>
      </w:r>
      <w:r w:rsidRPr="00826F05">
        <w:rPr>
          <w:rFonts w:ascii="Sylfaen" w:hAnsi="Sylfaen"/>
          <w:sz w:val="24"/>
          <w:szCs w:val="24"/>
        </w:rPr>
        <w:t xml:space="preserve"> VI բաժիններին համապատասխան:</w:t>
      </w:r>
    </w:p>
    <w:p w14:paraId="3E7EE594" w14:textId="5EB644D2" w:rsidR="004F5982" w:rsidRPr="00826F05" w:rsidRDefault="004F5982" w:rsidP="00487007">
      <w:pPr>
        <w:tabs>
          <w:tab w:val="left" w:pos="1701"/>
        </w:tabs>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lastRenderedPageBreak/>
        <w:t>2.4.1.</w:t>
      </w:r>
      <w:r w:rsidRPr="00826F05">
        <w:rPr>
          <w:rFonts w:ascii="Sylfaen" w:hAnsi="Sylfaen"/>
          <w:sz w:val="24"/>
          <w:szCs w:val="24"/>
        </w:rPr>
        <w:tab/>
        <w:t xml:space="preserve">Դեղապատրաստուկի գրանցման ընդլայնման մասին </w:t>
      </w:r>
      <w:r w:rsidR="0056496B">
        <w:rPr>
          <w:rFonts w:ascii="Sylfaen" w:hAnsi="Sylfaen"/>
          <w:sz w:val="24"/>
          <w:szCs w:val="24"/>
        </w:rPr>
        <w:t>դիմում</w:t>
      </w:r>
      <w:r w:rsidRPr="00826F05">
        <w:rPr>
          <w:rFonts w:ascii="Sylfaen" w:hAnsi="Sylfaen"/>
          <w:sz w:val="24"/>
          <w:szCs w:val="24"/>
        </w:rPr>
        <w:t xml:space="preserve"> ներկայացնելը:</w:t>
      </w:r>
    </w:p>
    <w:p w14:paraId="253A39BB" w14:textId="3A980FC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ն անհրաժեշտ է ներկայացնել բոլոր շահագրգիռ անդամ պետություններ՝ համապատասխանաբար:</w:t>
      </w:r>
    </w:p>
    <w:p w14:paraId="45C58D81" w14:textId="0647B86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2B6825">
        <w:rPr>
          <w:rFonts w:ascii="Sylfaen" w:hAnsi="Sylfaen"/>
          <w:spacing w:val="-6"/>
          <w:sz w:val="24"/>
          <w:szCs w:val="24"/>
        </w:rPr>
        <w:t>Գրանցման հավաստագրերի իրավատերերն իրավունք ունեն մեկ ծանուցման մեջ խմբավորելու գրանցման մի քանի ընդլայնումներ կամ գրանցման մեկ կամ ավելի ընդլայնումներ մի</w:t>
      </w:r>
      <w:r w:rsidR="00C54D75">
        <w:rPr>
          <w:rFonts w:ascii="Sylfaen" w:hAnsi="Sylfaen"/>
          <w:spacing w:val="-6"/>
          <w:sz w:val="24"/>
          <w:szCs w:val="24"/>
        </w:rPr>
        <w:t>և</w:t>
      </w:r>
      <w:r w:rsidRPr="002B6825">
        <w:rPr>
          <w:rFonts w:ascii="Sylfaen" w:hAnsi="Sylfaen"/>
          <w:spacing w:val="-6"/>
          <w:sz w:val="24"/>
          <w:szCs w:val="24"/>
        </w:rPr>
        <w:t>նույն գրանցման դոսյեի մեկ կամ ավելի</w:t>
      </w:r>
      <w:r w:rsidRPr="00826F05">
        <w:rPr>
          <w:rFonts w:ascii="Sylfaen" w:hAnsi="Sylfaen"/>
          <w:sz w:val="24"/>
          <w:szCs w:val="24"/>
        </w:rPr>
        <w:t xml:space="preserve"> փոփոխության հետ՝ Դեղամիջոցների գրանցման կանոնների թիվ 19 հավելվածի III լրացման մեջ նշված դեպքերից մեկին դրա համապատասխանության պայմանով, կամ եթե այն նախկինում համաձայնեցվել է ռեֆերենտ պետության լիազորված մարմնի (փորձագիտական կազմակերպության) հետ համապատասխանաբար: Դեղամիջոցների գրանցման կանոնների թիվ 19 հավելվածում գրանցման ընդլայնման մասին </w:t>
      </w:r>
      <w:r w:rsidR="009F5829">
        <w:rPr>
          <w:rFonts w:ascii="Sylfaen" w:hAnsi="Sylfaen"/>
          <w:sz w:val="24"/>
          <w:szCs w:val="24"/>
        </w:rPr>
        <w:t>դիմումներ</w:t>
      </w:r>
      <w:r w:rsidRPr="00826F05">
        <w:rPr>
          <w:rFonts w:ascii="Sylfaen" w:hAnsi="Sylfaen"/>
          <w:sz w:val="24"/>
          <w:szCs w:val="24"/>
        </w:rPr>
        <w:t>ի մասով պարտականությունների բաշխում նախատեսված չէ:</w:t>
      </w:r>
    </w:p>
    <w:p w14:paraId="46D26E25" w14:textId="08DD16C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ն անհրաժեշտ է ներկայացնել հետ</w:t>
      </w:r>
      <w:r w:rsidR="00C54D75">
        <w:rPr>
          <w:rFonts w:ascii="Sylfaen" w:hAnsi="Sylfaen"/>
          <w:sz w:val="24"/>
          <w:szCs w:val="24"/>
        </w:rPr>
        <w:t>և</w:t>
      </w:r>
      <w:r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Pr="00826F05">
        <w:rPr>
          <w:rFonts w:ascii="Sylfaen" w:hAnsi="Sylfaen"/>
          <w:sz w:val="24"/>
          <w:szCs w:val="24"/>
        </w:rPr>
        <w:t>աչափով՝</w:t>
      </w:r>
    </w:p>
    <w:p w14:paraId="11D86AF2"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ուղեկցող նամակ,</w:t>
      </w:r>
    </w:p>
    <w:p w14:paraId="368B6FCD" w14:textId="720F775E"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փոփոխություներ կատարելու մասին </w:t>
      </w:r>
      <w:r w:rsidR="0056496B">
        <w:rPr>
          <w:rFonts w:ascii="Sylfaen" w:hAnsi="Sylfaen"/>
          <w:sz w:val="24"/>
          <w:szCs w:val="24"/>
        </w:rPr>
        <w:t>դիմում</w:t>
      </w:r>
      <w:r w:rsidRPr="00826F05">
        <w:rPr>
          <w:rFonts w:ascii="Sylfaen" w:hAnsi="Sylfaen"/>
          <w:sz w:val="24"/>
          <w:szCs w:val="24"/>
        </w:rPr>
        <w:t>,</w:t>
      </w:r>
    </w:p>
    <w:p w14:paraId="1E4CD38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առաջարկվող ընդլայնմանը վերաբերող օժանդակ տվյալներ,</w:t>
      </w:r>
    </w:p>
    <w:p w14:paraId="045CBE6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դոսյեի ամբողջական մոդուլ 1-ը՝ մոդուլ 1-ի համապատասխան բաժիններում ներառված տվյալների կամ փաստաթղթերի բացակայության հիմնավորմամբ, </w:t>
      </w:r>
    </w:p>
    <w:p w14:paraId="7500A099" w14:textId="77777777" w:rsidR="004F5982" w:rsidRPr="00826F05" w:rsidRDefault="004F5982" w:rsidP="00487007">
      <w:pPr>
        <w:spacing w:after="160" w:line="360" w:lineRule="auto"/>
        <w:ind w:right="36" w:firstLine="567"/>
        <w:jc w:val="both"/>
        <w:rPr>
          <w:rFonts w:ascii="Sylfaen" w:eastAsia="Times New Roman" w:hAnsi="Sylfaen" w:cs="Times New Roman"/>
          <w:sz w:val="24"/>
          <w:szCs w:val="24"/>
        </w:rPr>
      </w:pPr>
      <w:r w:rsidRPr="00826F05">
        <w:rPr>
          <w:rFonts w:ascii="Sylfaen" w:hAnsi="Sylfaen"/>
          <w:sz w:val="24"/>
          <w:szCs w:val="24"/>
        </w:rPr>
        <w:t xml:space="preserve">համապատասխան թարմացում կամ որակի ռեզյումեի, նախակլինիկական </w:t>
      </w:r>
      <w:r w:rsidR="00C54D75">
        <w:rPr>
          <w:rFonts w:ascii="Sylfaen" w:hAnsi="Sylfaen"/>
          <w:sz w:val="24"/>
          <w:szCs w:val="24"/>
        </w:rPr>
        <w:t>և</w:t>
      </w:r>
      <w:r w:rsidRPr="00826F05">
        <w:rPr>
          <w:rFonts w:ascii="Sylfaen" w:hAnsi="Sylfaen"/>
          <w:sz w:val="24"/>
          <w:szCs w:val="24"/>
        </w:rPr>
        <w:t xml:space="preserve"> </w:t>
      </w:r>
      <w:r w:rsidRPr="002B6825">
        <w:rPr>
          <w:rFonts w:ascii="Sylfaen" w:hAnsi="Sylfaen"/>
          <w:spacing w:val="-6"/>
          <w:sz w:val="24"/>
          <w:szCs w:val="24"/>
        </w:rPr>
        <w:t>կլինիկական ամփոփագրերի հավելվածը: Եթե ներկայացվում են նախակլինիկական կամ կլինիկական հետազոտությունների մասին հաշվետվություններ (անգամ մեկը), դրանց ռեզյումեն անհրաժեշտ</w:t>
      </w:r>
      <w:r w:rsidRPr="00826F05">
        <w:rPr>
          <w:rFonts w:ascii="Sylfaen" w:hAnsi="Sylfaen"/>
          <w:sz w:val="24"/>
          <w:szCs w:val="24"/>
        </w:rPr>
        <w:t xml:space="preserve"> է ներառել 2-րդ մոդուլում,</w:t>
      </w:r>
    </w:p>
    <w:p w14:paraId="341DF61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եթե ընդլայնումը վերաբերում է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կերպով ներկայացված՝ դեղապատրաստուկի մասին վերանայված տեղեկատվությունը, որակի նորմատիվ փաստաթուղթը:</w:t>
      </w:r>
    </w:p>
    <w:p w14:paraId="7C7752A1" w14:textId="741BBB02"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ենթակետում նշված ընթացակարգի մասով գրանցման ընդլայնման մասին </w:t>
      </w:r>
      <w:r w:rsidR="009F5829">
        <w:rPr>
          <w:rFonts w:ascii="Sylfaen" w:hAnsi="Sylfaen"/>
          <w:sz w:val="24"/>
          <w:szCs w:val="24"/>
        </w:rPr>
        <w:t>դիմումներ</w:t>
      </w:r>
      <w:r w:rsidRPr="00826F05">
        <w:rPr>
          <w:rFonts w:ascii="Sylfaen" w:hAnsi="Sylfaen"/>
          <w:sz w:val="24"/>
          <w:szCs w:val="24"/>
        </w:rPr>
        <w:t xml:space="preserve">ի դեպքում ռեֆերենտ պետության լիազորված մարմինը (փորձագիտական կազմակերպությունը) պետք է ստանա շահագրգիռ ճանաչման պետությունում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ի </w:t>
      </w:r>
      <w:r w:rsidR="00C54D75">
        <w:rPr>
          <w:rFonts w:ascii="Sylfaen" w:hAnsi="Sylfaen"/>
          <w:sz w:val="24"/>
          <w:szCs w:val="24"/>
        </w:rPr>
        <w:t>և</w:t>
      </w:r>
      <w:r w:rsidRPr="00826F05">
        <w:rPr>
          <w:rFonts w:ascii="Sylfaen" w:hAnsi="Sylfaen"/>
          <w:sz w:val="24"/>
          <w:szCs w:val="24"/>
        </w:rPr>
        <w:t xml:space="preserve">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դրա փորձաքննության մեջ) փոփոխություններ կատարելու համար </w:t>
      </w:r>
      <w:r w:rsidRPr="002B6825">
        <w:rPr>
          <w:rFonts w:ascii="Sylfaen" w:hAnsi="Sylfaen"/>
          <w:spacing w:val="-6"/>
          <w:sz w:val="24"/>
          <w:szCs w:val="24"/>
        </w:rPr>
        <w:t xml:space="preserve">ճանաչման պետության օրենսդրությամբ սահմանված չափերով </w:t>
      </w:r>
      <w:r w:rsidR="00C54D75">
        <w:rPr>
          <w:rFonts w:ascii="Sylfaen" w:hAnsi="Sylfaen"/>
          <w:spacing w:val="-6"/>
          <w:sz w:val="24"/>
          <w:szCs w:val="24"/>
        </w:rPr>
        <w:t>և</w:t>
      </w:r>
      <w:r w:rsidRPr="002B6825">
        <w:rPr>
          <w:rFonts w:ascii="Sylfaen" w:hAnsi="Sylfaen"/>
          <w:spacing w:val="-6"/>
          <w:sz w:val="24"/>
          <w:szCs w:val="24"/>
        </w:rPr>
        <w:t xml:space="preserve"> կարգով վճարի (տուրքի) վճարումը հաստատող փաստաթղթեր ներկայացնելու ամսաթվերի</w:t>
      </w:r>
      <w:r w:rsidRPr="00826F05">
        <w:rPr>
          <w:rFonts w:ascii="Sylfaen" w:hAnsi="Sylfaen"/>
          <w:sz w:val="24"/>
          <w:szCs w:val="24"/>
        </w:rPr>
        <w:t xml:space="preserve"> ցանկը:</w:t>
      </w:r>
    </w:p>
    <w:p w14:paraId="08A9EF1D" w14:textId="0D814979"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հիշատակված ընթացակարգի մասով գրանցման ընդլայնման մասին </w:t>
      </w:r>
      <w:r w:rsidR="009F5829">
        <w:rPr>
          <w:rFonts w:ascii="Sylfaen" w:hAnsi="Sylfaen"/>
          <w:sz w:val="24"/>
          <w:szCs w:val="24"/>
        </w:rPr>
        <w:t>դիմումներ</w:t>
      </w:r>
      <w:r w:rsidRPr="00826F05">
        <w:rPr>
          <w:rFonts w:ascii="Sylfaen" w:hAnsi="Sylfaen"/>
          <w:sz w:val="24"/>
          <w:szCs w:val="24"/>
        </w:rPr>
        <w:t>ի դեպքում ռեֆերենտ պետության լիազորված մարմինը (փորձագիտական կազմակերպությունը) պետք է ստանա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դրա փորձաքննության մեջ) փոփոխություններ կատարելու՝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վճարի (տուրքի) վճարման հաստատում:</w:t>
      </w:r>
    </w:p>
    <w:p w14:paraId="7A46F27D"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2.4.2.</w:t>
      </w:r>
      <w:r w:rsidRPr="00826F05">
        <w:rPr>
          <w:rFonts w:ascii="Sylfaen" w:hAnsi="Sylfaen"/>
          <w:sz w:val="24"/>
          <w:szCs w:val="24"/>
        </w:rPr>
        <w:tab/>
        <w:t>Գրանցման ընդլայնման փորձաքննությունը:</w:t>
      </w:r>
    </w:p>
    <w:p w14:paraId="0ED1A624" w14:textId="3B35CC4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 xml:space="preserve">ը պետք է ենթարկվի փորձաքննության՝ դեղապատրաստուկի գրանցման </w:t>
      </w:r>
      <w:r w:rsidR="00C54D75">
        <w:rPr>
          <w:rFonts w:ascii="Sylfaen" w:hAnsi="Sylfaen"/>
          <w:sz w:val="24"/>
          <w:szCs w:val="24"/>
        </w:rPr>
        <w:t>և</w:t>
      </w:r>
      <w:r w:rsidRPr="00826F05">
        <w:rPr>
          <w:rFonts w:ascii="Sylfaen" w:hAnsi="Sylfaen"/>
          <w:sz w:val="24"/>
          <w:szCs w:val="24"/>
        </w:rPr>
        <w:t xml:space="preserve"> փորձաքննության այն նույն ընթացակարգին համապատասխան, ինչ որ դեղապատրաստուկի առաջնային գրանցումն է, որին այն վերաբերում է Բժշկական կիրառության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 V </w:t>
      </w:r>
      <w:r w:rsidR="00C54D75">
        <w:rPr>
          <w:rFonts w:ascii="Sylfaen" w:hAnsi="Sylfaen"/>
          <w:sz w:val="24"/>
          <w:szCs w:val="24"/>
        </w:rPr>
        <w:t>և</w:t>
      </w:r>
      <w:r w:rsidRPr="00826F05">
        <w:rPr>
          <w:rFonts w:ascii="Sylfaen" w:hAnsi="Sylfaen"/>
          <w:sz w:val="24"/>
          <w:szCs w:val="24"/>
        </w:rPr>
        <w:t xml:space="preserve"> VI բաժիններին համապատասխան:</w:t>
      </w:r>
    </w:p>
    <w:p w14:paraId="1BDF68F4"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2.5.</w:t>
      </w:r>
      <w:r w:rsidRPr="00826F05">
        <w:rPr>
          <w:rFonts w:ascii="Sylfaen" w:hAnsi="Sylfaen"/>
          <w:sz w:val="24"/>
          <w:szCs w:val="24"/>
        </w:rPr>
        <w:tab/>
        <w:t>Անվտանգության գծով անհետաձգելի սահմանափակումները:</w:t>
      </w:r>
    </w:p>
    <w:p w14:paraId="64CA231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lastRenderedPageBreak/>
        <w:t>Դեղամիջոցների գրանցման կանոնների թիվ 19 հավելվածի 4.1.4 ենթակետով նախատեսվում է, որ բնակչության հանրային առողջության համար բժշկական կիրառման դեղապատրաստուկների հետ</w:t>
      </w:r>
      <w:r w:rsidR="00C54D75">
        <w:rPr>
          <w:rFonts w:ascii="Sylfaen" w:hAnsi="Sylfaen"/>
          <w:sz w:val="24"/>
          <w:szCs w:val="24"/>
        </w:rPr>
        <w:t>և</w:t>
      </w:r>
      <w:r w:rsidRPr="00826F05">
        <w:rPr>
          <w:rFonts w:ascii="Sylfaen" w:hAnsi="Sylfaen"/>
          <w:sz w:val="24"/>
          <w:szCs w:val="24"/>
        </w:rPr>
        <w:t>անքով ռիսկի առաջացման դեպքում իրավատերն իրավունք ունի նախնական «անվտանգության մասով անհետաձգելի սահմանափակումներ» դնելու:</w:t>
      </w:r>
    </w:p>
    <w:p w14:paraId="39B224D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Անվտանգության մասով անհետաձգելի սահմանափակումներն իրենցից ներկայացնում են դեղապատրաստուկի կիրառման անվտանգությանը վերաբերող նոր տեղեկությունների հետ</w:t>
      </w:r>
      <w:r w:rsidR="00C54D75">
        <w:rPr>
          <w:rFonts w:ascii="Sylfaen" w:hAnsi="Sylfaen"/>
          <w:sz w:val="24"/>
          <w:szCs w:val="24"/>
        </w:rPr>
        <w:t>և</w:t>
      </w:r>
      <w:r w:rsidRPr="00826F05">
        <w:rPr>
          <w:rFonts w:ascii="Sylfaen" w:hAnsi="Sylfaen"/>
          <w:sz w:val="24"/>
          <w:szCs w:val="24"/>
        </w:rPr>
        <w:t>անքով առաջացած՝ դեղապատրաստուկի գրանցման պայմանների միջանկյալ փոփոխություն: Այդպիսի անհետաձգելի փոփոխություններն անհրաժեշտ է հետագայում իրականացնել գրանցման դոսյեի համապատասխան փոփոխության միջոցով:</w:t>
      </w:r>
    </w:p>
    <w:p w14:paraId="023D32D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4C2FEE">
        <w:rPr>
          <w:rFonts w:ascii="Sylfaen" w:hAnsi="Sylfaen"/>
          <w:spacing w:val="-6"/>
          <w:sz w:val="24"/>
          <w:szCs w:val="24"/>
        </w:rPr>
        <w:t>Իրավատերը պետք է բոլոր շահագրգիռ անդամ պետություններին համապատասխանաբար անհապաղ ծանուցի դրված սահմանափակումների</w:t>
      </w:r>
      <w:r w:rsidRPr="00826F05">
        <w:rPr>
          <w:rFonts w:ascii="Sylfaen" w:hAnsi="Sylfaen"/>
          <w:sz w:val="24"/>
          <w:szCs w:val="24"/>
        </w:rPr>
        <w:t xml:space="preserve"> մասին:</w:t>
      </w:r>
    </w:p>
    <w:p w14:paraId="00D5167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համապատասխան մարմինը գրանցման հավաստագրի իրավատիրոջ կողմից տեղեկությունները ստանալուց հետո 24 ժամվա ընթացքում չի ուղարկում առարկություններ, ապա անվտանգության մասով անհետաձգելի սահմանափակումները համարվում են ընդունված: Դրանք պետք է իրականացվեն ռեֆերենտ պետության լիազորված մարմնի (փորձագիտական կազմակերպության) </w:t>
      </w:r>
      <w:r w:rsidR="00C54D75">
        <w:rPr>
          <w:rFonts w:ascii="Sylfaen" w:hAnsi="Sylfaen"/>
          <w:sz w:val="24"/>
          <w:szCs w:val="24"/>
        </w:rPr>
        <w:t>և</w:t>
      </w:r>
      <w:r w:rsidRPr="00826F05">
        <w:rPr>
          <w:rFonts w:ascii="Sylfaen" w:hAnsi="Sylfaen"/>
          <w:sz w:val="24"/>
          <w:szCs w:val="24"/>
        </w:rPr>
        <w:t xml:space="preserve"> գրանցման հավաստագրի իրավատիրոջ միջ</w:t>
      </w:r>
      <w:r w:rsidR="00C54D75">
        <w:rPr>
          <w:rFonts w:ascii="Sylfaen" w:hAnsi="Sylfaen"/>
          <w:sz w:val="24"/>
          <w:szCs w:val="24"/>
        </w:rPr>
        <w:t>և</w:t>
      </w:r>
      <w:r w:rsidRPr="00826F05">
        <w:rPr>
          <w:rFonts w:ascii="Sylfaen" w:hAnsi="Sylfaen"/>
          <w:sz w:val="24"/>
          <w:szCs w:val="24"/>
        </w:rPr>
        <w:t xml:space="preserve"> համաձայնեցված ժամկետում:</w:t>
      </w:r>
    </w:p>
    <w:p w14:paraId="09CA8B7A" w14:textId="32DBBA3D"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ի կողմից անվտանգության մասով անհետաձգելի սահմանափակում դնելու կամ համապատասխան մարմնի կողմից այն նշանակելու դեպքում </w:t>
      </w:r>
      <w:r>
        <w:rPr>
          <w:rFonts w:ascii="Sylfaen" w:hAnsi="Sylfaen"/>
          <w:sz w:val="24"/>
          <w:szCs w:val="24"/>
        </w:rPr>
        <w:t>դիմումատու</w:t>
      </w:r>
      <w:r w:rsidR="004F5982" w:rsidRPr="00826F05">
        <w:rPr>
          <w:rFonts w:ascii="Sylfaen" w:hAnsi="Sylfaen"/>
          <w:sz w:val="24"/>
          <w:szCs w:val="24"/>
        </w:rPr>
        <w:t xml:space="preserve">ն այդպիսի սահմանափակում սկսվելու օրվանից 14 աշխատանքային օրվա ընթացքում պետք է գրանցման դոսյեում փոփոխության մասին համապատասխան </w:t>
      </w:r>
      <w:r>
        <w:rPr>
          <w:rFonts w:ascii="Sylfaen" w:hAnsi="Sylfaen"/>
          <w:sz w:val="24"/>
          <w:szCs w:val="24"/>
        </w:rPr>
        <w:t>դիմում</w:t>
      </w:r>
      <w:r w:rsidR="004F5982" w:rsidRPr="00826F05">
        <w:rPr>
          <w:rFonts w:ascii="Sylfaen" w:hAnsi="Sylfaen"/>
          <w:sz w:val="24"/>
          <w:szCs w:val="24"/>
        </w:rPr>
        <w:t xml:space="preserve"> ներկայացնի լիազորված մարմին (փորձագիտական կազմակերպություն):</w:t>
      </w:r>
    </w:p>
    <w:p w14:paraId="3A55880E" w14:textId="77777777" w:rsidR="004F5982" w:rsidRPr="00826F05" w:rsidRDefault="004F5982" w:rsidP="00487007">
      <w:pPr>
        <w:spacing w:after="160" w:line="360" w:lineRule="auto"/>
        <w:ind w:right="34" w:firstLine="567"/>
        <w:jc w:val="both"/>
        <w:rPr>
          <w:rFonts w:ascii="Sylfaen" w:hAnsi="Sylfaen"/>
          <w:sz w:val="24"/>
          <w:szCs w:val="24"/>
        </w:rPr>
      </w:pPr>
      <w:r w:rsidRPr="00826F05">
        <w:rPr>
          <w:rFonts w:ascii="Sylfaen" w:hAnsi="Sylfaen"/>
          <w:sz w:val="24"/>
          <w:szCs w:val="24"/>
        </w:rPr>
        <w:t>Անվտանգության մասով անհետաձգելի սահմանափակումները նա</w:t>
      </w:r>
      <w:r w:rsidR="00C54D75">
        <w:rPr>
          <w:rFonts w:ascii="Sylfaen" w:hAnsi="Sylfaen"/>
          <w:sz w:val="24"/>
          <w:szCs w:val="24"/>
        </w:rPr>
        <w:t>և</w:t>
      </w:r>
      <w:r w:rsidRPr="00826F05">
        <w:rPr>
          <w:rFonts w:ascii="Sylfaen" w:hAnsi="Sylfaen"/>
          <w:sz w:val="24"/>
          <w:szCs w:val="24"/>
        </w:rPr>
        <w:t xml:space="preserve"> կարող</w:t>
      </w:r>
      <w:r>
        <w:rPr>
          <w:rFonts w:ascii="Sylfaen" w:hAnsi="Sylfaen"/>
          <w:sz w:val="24"/>
          <w:szCs w:val="24"/>
        </w:rPr>
        <w:t> </w:t>
      </w:r>
      <w:r w:rsidRPr="00826F05">
        <w:rPr>
          <w:rFonts w:ascii="Sylfaen" w:hAnsi="Sylfaen"/>
          <w:sz w:val="24"/>
          <w:szCs w:val="24"/>
        </w:rPr>
        <w:t xml:space="preserve">են դրվել անդամ պետությունների լիազորված մարմինների կողմից (ազգային գրանցմամբ դեղապատրաստուկների մասով)՝ բժշկական կիրառման </w:t>
      </w:r>
      <w:r w:rsidRPr="00826F05">
        <w:rPr>
          <w:rFonts w:ascii="Sylfaen" w:hAnsi="Sylfaen"/>
          <w:sz w:val="24"/>
          <w:szCs w:val="24"/>
        </w:rPr>
        <w:lastRenderedPageBreak/>
        <w:t>դեղապատրաստուկների հետ</w:t>
      </w:r>
      <w:r w:rsidR="00C54D75">
        <w:rPr>
          <w:rFonts w:ascii="Sylfaen" w:hAnsi="Sylfaen"/>
          <w:sz w:val="24"/>
          <w:szCs w:val="24"/>
        </w:rPr>
        <w:t>և</w:t>
      </w:r>
      <w:r w:rsidRPr="00826F05">
        <w:rPr>
          <w:rFonts w:ascii="Sylfaen" w:hAnsi="Sylfaen"/>
          <w:sz w:val="24"/>
          <w:szCs w:val="24"/>
        </w:rPr>
        <w:t>անքով հասարակական առողջության համար ռիսկի առաջացման դեպքում:</w:t>
      </w:r>
    </w:p>
    <w:p w14:paraId="7E514566" w14:textId="77777777" w:rsidR="004F5982" w:rsidRPr="001436BD" w:rsidRDefault="004F5982" w:rsidP="004F5982">
      <w:pPr>
        <w:spacing w:after="160" w:line="360" w:lineRule="auto"/>
        <w:ind w:left="567" w:right="565" w:firstLine="5"/>
        <w:jc w:val="center"/>
        <w:rPr>
          <w:rFonts w:ascii="Sylfaen" w:hAnsi="Sylfaen"/>
          <w:sz w:val="24"/>
          <w:szCs w:val="24"/>
        </w:rPr>
      </w:pPr>
    </w:p>
    <w:p w14:paraId="0EE054F1" w14:textId="77777777" w:rsidR="004F5982" w:rsidRPr="00826F05" w:rsidRDefault="004F5982" w:rsidP="00487007">
      <w:pPr>
        <w:spacing w:after="160" w:line="360" w:lineRule="auto"/>
        <w:ind w:left="567" w:right="565" w:firstLine="5"/>
        <w:jc w:val="center"/>
        <w:rPr>
          <w:rFonts w:ascii="Sylfaen" w:eastAsia="Times New Roman" w:hAnsi="Sylfaen" w:cs="Times New Roman"/>
          <w:sz w:val="24"/>
          <w:szCs w:val="24"/>
        </w:rPr>
      </w:pPr>
      <w:r w:rsidRPr="00826F05">
        <w:rPr>
          <w:rFonts w:ascii="Sylfaen" w:hAnsi="Sylfaen"/>
          <w:sz w:val="24"/>
          <w:szCs w:val="24"/>
        </w:rPr>
        <w:t>III. Պարտավորությունների բաշխման մասով վարչական ընթացակարգերը</w:t>
      </w:r>
    </w:p>
    <w:p w14:paraId="4F2750D4" w14:textId="231C3B98"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4.1.2 ենթակետով </w:t>
      </w:r>
      <w:r w:rsidR="0056496B">
        <w:rPr>
          <w:rFonts w:ascii="Sylfaen" w:hAnsi="Sylfaen"/>
          <w:sz w:val="24"/>
          <w:szCs w:val="24"/>
        </w:rPr>
        <w:t>դիմումատու</w:t>
      </w:r>
      <w:r w:rsidRPr="00826F05">
        <w:rPr>
          <w:rFonts w:ascii="Sylfaen" w:hAnsi="Sylfaen"/>
          <w:sz w:val="24"/>
          <w:szCs w:val="24"/>
        </w:rPr>
        <w:t xml:space="preserve">ներին թույլ է տրվում մեկ </w:t>
      </w:r>
      <w:r w:rsidR="0056496B">
        <w:rPr>
          <w:rFonts w:ascii="Sylfaen" w:hAnsi="Sylfaen"/>
          <w:sz w:val="24"/>
          <w:szCs w:val="24"/>
        </w:rPr>
        <w:t>դիմում</w:t>
      </w:r>
      <w:r w:rsidRPr="00826F05">
        <w:rPr>
          <w:rFonts w:ascii="Sylfaen" w:hAnsi="Sylfaen"/>
          <w:sz w:val="24"/>
          <w:szCs w:val="24"/>
        </w:rPr>
        <w:t>ում տրամադրել IB տիպի միանման փոփոխություն, II տիպի միանման փոփոխություն կամ փոփոխությունների միանման խումբ, որոնք համապատասխանում են դեղամիջոցների գրանցման կանոնների թիվ 19 հավելվածի III լրացման մեջ թվարկված դեպքերից մեկին, կամ համապատասխանաբար ռեֆերենտ պետության լիազորված մարմնի (փորձագիտական կազմակերպության) համաձայնությամբ, որը չի պարունակում հետ</w:t>
      </w:r>
      <w:r w:rsidR="00C54D75">
        <w:rPr>
          <w:rFonts w:ascii="Sylfaen" w:hAnsi="Sylfaen"/>
          <w:sz w:val="24"/>
          <w:szCs w:val="24"/>
        </w:rPr>
        <w:t>և</w:t>
      </w:r>
      <w:r w:rsidRPr="00826F05">
        <w:rPr>
          <w:rFonts w:ascii="Sylfaen" w:hAnsi="Sylfaen"/>
          <w:sz w:val="24"/>
          <w:szCs w:val="24"/>
        </w:rPr>
        <w:t>յալ դեպքերից մեկին առնչվող գրանցման որ</w:t>
      </w:r>
      <w:r w:rsidR="00C54D75">
        <w:rPr>
          <w:rFonts w:ascii="Sylfaen" w:hAnsi="Sylfaen"/>
          <w:sz w:val="24"/>
          <w:szCs w:val="24"/>
        </w:rPr>
        <w:t>և</w:t>
      </w:r>
      <w:r w:rsidRPr="00826F05">
        <w:rPr>
          <w:rFonts w:ascii="Sylfaen" w:hAnsi="Sylfaen"/>
          <w:sz w:val="24"/>
          <w:szCs w:val="24"/>
        </w:rPr>
        <w:t>է ընդլայնում՝</w:t>
      </w:r>
    </w:p>
    <w:p w14:paraId="3254C675"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ավելի քան մեկ անդամ պետությունում մի</w:t>
      </w:r>
      <w:r w:rsidR="00C54D75">
        <w:rPr>
          <w:rFonts w:ascii="Sylfaen" w:hAnsi="Sylfaen"/>
          <w:sz w:val="24"/>
          <w:szCs w:val="24"/>
        </w:rPr>
        <w:t>և</w:t>
      </w:r>
      <w:r w:rsidRPr="00826F05">
        <w:rPr>
          <w:rFonts w:ascii="Sylfaen" w:hAnsi="Sylfaen"/>
          <w:sz w:val="24"/>
          <w:szCs w:val="24"/>
        </w:rPr>
        <w:t xml:space="preserve">նույն իրավատիրոջ ավելի քան մեկ գրանցման դոսյե, որոնք գրանցվել են բացառապես ազգային ընթացակարգով. </w:t>
      </w:r>
    </w:p>
    <w:p w14:paraId="794E507D"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մի</w:t>
      </w:r>
      <w:r w:rsidR="00C54D75">
        <w:rPr>
          <w:rFonts w:ascii="Sylfaen" w:hAnsi="Sylfaen"/>
          <w:sz w:val="24"/>
          <w:szCs w:val="24"/>
        </w:rPr>
        <w:t>և</w:t>
      </w:r>
      <w:r w:rsidRPr="00826F05">
        <w:rPr>
          <w:rFonts w:ascii="Sylfaen" w:hAnsi="Sylfaen"/>
          <w:sz w:val="24"/>
          <w:szCs w:val="24"/>
        </w:rPr>
        <w:t>նույն իրավատիրոջ՝ Դեղամիջոցների գրանցման կանոններին համապատասխան գրանցված դեղապատրաստուկների ավելի քան մեկ գրանցման դոսյե.</w:t>
      </w:r>
    </w:p>
    <w:p w14:paraId="4C72D162"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մի</w:t>
      </w:r>
      <w:r w:rsidR="00C54D75">
        <w:rPr>
          <w:rFonts w:ascii="Sylfaen" w:hAnsi="Sylfaen"/>
          <w:sz w:val="24"/>
          <w:szCs w:val="24"/>
        </w:rPr>
        <w:t>և</w:t>
      </w:r>
      <w:r w:rsidRPr="00826F05">
        <w:rPr>
          <w:rFonts w:ascii="Sylfaen" w:hAnsi="Sylfaen"/>
          <w:sz w:val="24"/>
          <w:szCs w:val="24"/>
        </w:rPr>
        <w:t>նույն իրավատիրոջ՝ դեղապատրաստուկների մեկ կամ մի քանի գրանցման դոսյեներ, որոնք գրանցվել են բացառապես ազգային ընթացակարգով.</w:t>
      </w:r>
    </w:p>
    <w:p w14:paraId="6BD76DB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ազգային ընթացակարգով գրանցված դեղապատրաստուկների գրանցման դոսյեներ </w:t>
      </w:r>
      <w:r w:rsidR="00C54D75">
        <w:rPr>
          <w:rFonts w:ascii="Sylfaen" w:hAnsi="Sylfaen"/>
          <w:sz w:val="24"/>
          <w:szCs w:val="24"/>
        </w:rPr>
        <w:t>և</w:t>
      </w:r>
      <w:r w:rsidRPr="00826F05">
        <w:rPr>
          <w:rFonts w:ascii="Sylfaen" w:hAnsi="Sylfaen"/>
          <w:sz w:val="24"/>
          <w:szCs w:val="24"/>
        </w:rPr>
        <w:t xml:space="preserve"> գրանցման հավաստագրի մի</w:t>
      </w:r>
      <w:r w:rsidR="00C54D75">
        <w:rPr>
          <w:rFonts w:ascii="Sylfaen" w:hAnsi="Sylfaen"/>
          <w:sz w:val="24"/>
          <w:szCs w:val="24"/>
        </w:rPr>
        <w:t>և</w:t>
      </w:r>
      <w:r w:rsidRPr="00826F05">
        <w:rPr>
          <w:rFonts w:ascii="Sylfaen" w:hAnsi="Sylfaen"/>
          <w:sz w:val="24"/>
          <w:szCs w:val="24"/>
        </w:rPr>
        <w:t xml:space="preserve">նույն իրավատիրոջ՝ դեղամիջոցների </w:t>
      </w:r>
      <w:r w:rsidR="00C54D75">
        <w:rPr>
          <w:rFonts w:ascii="Sylfaen" w:hAnsi="Sylfaen"/>
          <w:sz w:val="24"/>
          <w:szCs w:val="24"/>
        </w:rPr>
        <w:t>և</w:t>
      </w:r>
      <w:r w:rsidRPr="00826F05">
        <w:rPr>
          <w:rFonts w:ascii="Sylfaen" w:hAnsi="Sylfaen"/>
          <w:sz w:val="24"/>
          <w:szCs w:val="24"/>
        </w:rPr>
        <w:t xml:space="preserve"> Գրանցման կանոններին համապատասխան գրանցված դեղապատրաստուկների մեկ կամ մի քանի գրանցման դոսյեներ:</w:t>
      </w:r>
    </w:p>
    <w:p w14:paraId="429A2DB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Այդ փոփոխությունների փորձաքննության ընթացքում լիազորված մարմինների (փորձագիտական կազմակերպությունների) աշխատանքի կրկնությունից խուսափելու համար ներմուծվել է պարտավորությունների </w:t>
      </w:r>
      <w:r w:rsidRPr="00826F05">
        <w:rPr>
          <w:rFonts w:ascii="Sylfaen" w:hAnsi="Sylfaen"/>
          <w:sz w:val="24"/>
          <w:szCs w:val="24"/>
        </w:rPr>
        <w:lastRenderedPageBreak/>
        <w:t xml:space="preserve">բաշխման ընթացակարգ, որի համապատասխան անդամ պետությունների լիազորված մարմիններից ընտրված մարմինը (ռեֆերենտ մարմինը) անդամ պետությունների մնացած շահագրգիռ մարմինների անունից իրականացնում է փոփոխության փորձաքննություն: </w:t>
      </w:r>
    </w:p>
    <w:p w14:paraId="2FD8FD6E" w14:textId="7DD6C178"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Որպես ռեֆերենտ մարմին հանդես է գալիս փորձագիտական կոմիտեի կողմից ընտրված լիազորված մարմինը՝ հաշվի առնելով </w:t>
      </w:r>
      <w:r w:rsidR="0056496B">
        <w:rPr>
          <w:rFonts w:ascii="Sylfaen" w:hAnsi="Sylfaen"/>
          <w:sz w:val="24"/>
          <w:szCs w:val="24"/>
        </w:rPr>
        <w:t>դիմումատու</w:t>
      </w:r>
      <w:r w:rsidRPr="00826F05">
        <w:rPr>
          <w:rFonts w:ascii="Sylfaen" w:hAnsi="Sylfaen"/>
          <w:sz w:val="24"/>
          <w:szCs w:val="24"/>
        </w:rPr>
        <w:t>ի առաջարկությունները:</w:t>
      </w:r>
    </w:p>
    <w:p w14:paraId="327F3C07"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Ընթացակարգի պլանավորմանը նպաստելու նպատակներով իրավատերերին խորհուրդ է տրվում փորձագիտական կոմիտեին </w:t>
      </w:r>
      <w:r w:rsidR="00C54D75">
        <w:rPr>
          <w:rFonts w:ascii="Sylfaen" w:hAnsi="Sylfaen"/>
          <w:sz w:val="24"/>
          <w:szCs w:val="24"/>
        </w:rPr>
        <w:t>և</w:t>
      </w:r>
      <w:r w:rsidRPr="00826F05">
        <w:rPr>
          <w:rFonts w:ascii="Sylfaen" w:hAnsi="Sylfaen"/>
          <w:sz w:val="24"/>
          <w:szCs w:val="24"/>
        </w:rPr>
        <w:t xml:space="preserve"> առաջարկվող ռեֆերենտ մարմնին նախօրոք ծանուցել պարտավորությունների բաշխման ընթացակարգի առարկան հանդիսացող փոփոխությունների կամ փոփոխությունների խմբի ներկայացման մասին։</w:t>
      </w:r>
    </w:p>
    <w:p w14:paraId="562EB4EE"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Պարտավորությունների բաշխման ընթացակարգն օգտագործելիս անհրաժեշտ է, որ մի</w:t>
      </w:r>
      <w:r w:rsidR="00C54D75">
        <w:rPr>
          <w:rFonts w:ascii="Sylfaen" w:hAnsi="Sylfaen"/>
          <w:sz w:val="24"/>
          <w:szCs w:val="24"/>
        </w:rPr>
        <w:t>և</w:t>
      </w:r>
      <w:r w:rsidRPr="00826F05">
        <w:rPr>
          <w:rFonts w:ascii="Sylfaen" w:hAnsi="Sylfaen"/>
          <w:sz w:val="24"/>
          <w:szCs w:val="24"/>
        </w:rPr>
        <w:t>նույն փոփոխությունը կիրառվի ուսումնասիրվող տարբեր դեղապատրաստուկների նկատմամբ՝ պատրաստուկի մասնահատուկ հնարավոր ազդեցության փորձաքննության անհրաժեշտության (կամ սահմանափակ անհրաժեշտության) բացակայությամբ: Հետ</w:t>
      </w:r>
      <w:r w:rsidR="00C54D75">
        <w:rPr>
          <w:rFonts w:ascii="Sylfaen" w:hAnsi="Sylfaen"/>
          <w:sz w:val="24"/>
          <w:szCs w:val="24"/>
        </w:rPr>
        <w:t>և</w:t>
      </w:r>
      <w:r w:rsidRPr="00826F05">
        <w:rPr>
          <w:rFonts w:ascii="Sylfaen" w:hAnsi="Sylfaen"/>
          <w:sz w:val="24"/>
          <w:szCs w:val="24"/>
        </w:rPr>
        <w:t>աբար, եթե տարբեր գրանցման դոսյեներում մի</w:t>
      </w:r>
      <w:r w:rsidR="00C54D75">
        <w:rPr>
          <w:rFonts w:ascii="Sylfaen" w:hAnsi="Sylfaen"/>
          <w:sz w:val="24"/>
          <w:szCs w:val="24"/>
        </w:rPr>
        <w:t>և</w:t>
      </w:r>
      <w:r w:rsidRPr="00826F05">
        <w:rPr>
          <w:rFonts w:ascii="Sylfaen" w:hAnsi="Sylfaen"/>
          <w:sz w:val="24"/>
          <w:szCs w:val="24"/>
        </w:rPr>
        <w:t>նույն փոփոխության համար անհատական օժանդակ տվյալների ներկայացում է պահանջվում՝ առանձին ուսումնասիրվող դեղապատրաստուկների կամ պատրաստուկի մասնահատուկ առանձին փորձաքննության մասով, նման փոփոխությունների համար պարտավորությունների բաշխումն անօգուտ է:</w:t>
      </w:r>
    </w:p>
    <w:p w14:paraId="58DFE6E0" w14:textId="2E46C522"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3.1.</w:t>
      </w:r>
      <w:r w:rsidRPr="00826F05">
        <w:rPr>
          <w:rFonts w:ascii="Sylfaen" w:hAnsi="Sylfaen"/>
          <w:sz w:val="24"/>
          <w:szCs w:val="24"/>
        </w:rPr>
        <w:tab/>
        <w:t xml:space="preserve">Պարտավորությունների բաշխման շրջանակներում փոփոխությունների մասին </w:t>
      </w:r>
      <w:r w:rsidR="0056496B">
        <w:rPr>
          <w:rFonts w:ascii="Sylfaen" w:hAnsi="Sylfaen"/>
          <w:sz w:val="24"/>
          <w:szCs w:val="24"/>
        </w:rPr>
        <w:t>դիմում</w:t>
      </w:r>
      <w:r w:rsidRPr="00826F05">
        <w:rPr>
          <w:rFonts w:ascii="Sylfaen" w:hAnsi="Sylfaen"/>
          <w:sz w:val="24"/>
          <w:szCs w:val="24"/>
        </w:rPr>
        <w:t>ի տրամադրումը:</w:t>
      </w:r>
    </w:p>
    <w:p w14:paraId="20A9061B" w14:textId="269B8D9C"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համար ներկայացված փոփոխությունը կամ փոփոխությունների խումբն անհրաժեշտ է ուղարկել սույն Կանոնների 2.2-2.3 կետերին համապատասխան </w:t>
      </w:r>
      <w:r w:rsidR="00C54D75">
        <w:rPr>
          <w:rFonts w:ascii="Sylfaen" w:hAnsi="Sylfaen"/>
          <w:sz w:val="24"/>
          <w:szCs w:val="24"/>
        </w:rPr>
        <w:t>և</w:t>
      </w:r>
      <w:r w:rsidRPr="00826F05">
        <w:rPr>
          <w:rFonts w:ascii="Sylfaen" w:hAnsi="Sylfaen"/>
          <w:sz w:val="24"/>
          <w:szCs w:val="24"/>
        </w:rPr>
        <w:t xml:space="preserve"> տրամադրել որպես փաստաթղթերի միասնական փաթեթ, որն ընդգրկում է բոլոր դեղապատրաստուկների բոլոր փոփոխությունները: Այն պետք է ուսումնասիրվող յուրաքանչյուր դեղապատրաստուկի համար </w:t>
      </w:r>
      <w:r w:rsidRPr="00826F05">
        <w:rPr>
          <w:rFonts w:ascii="Sylfaen" w:hAnsi="Sylfaen"/>
          <w:sz w:val="24"/>
          <w:szCs w:val="24"/>
        </w:rPr>
        <w:lastRenderedPageBreak/>
        <w:t xml:space="preserve">առանձին օժանդակ փաստաթղթերի հետ միասին </w:t>
      </w:r>
      <w:r w:rsidRPr="00B60DF2">
        <w:rPr>
          <w:rFonts w:ascii="Sylfaen" w:hAnsi="Sylfaen"/>
          <w:spacing w:val="-6"/>
          <w:sz w:val="24"/>
          <w:szCs w:val="24"/>
        </w:rPr>
        <w:t xml:space="preserve">պարունակի ուղեկցող նամակ </w:t>
      </w:r>
      <w:r w:rsidR="00C54D75">
        <w:rPr>
          <w:rFonts w:ascii="Sylfaen" w:hAnsi="Sylfaen"/>
          <w:spacing w:val="-6"/>
          <w:sz w:val="24"/>
          <w:szCs w:val="24"/>
        </w:rPr>
        <w:t>և</w:t>
      </w:r>
      <w:r w:rsidRPr="00B60DF2">
        <w:rPr>
          <w:rFonts w:ascii="Sylfaen" w:hAnsi="Sylfaen"/>
          <w:spacing w:val="-6"/>
          <w:sz w:val="24"/>
          <w:szCs w:val="24"/>
        </w:rPr>
        <w:t xml:space="preserve"> փոփոխություններ կատարելու մասին </w:t>
      </w:r>
      <w:r w:rsidR="0056496B">
        <w:rPr>
          <w:rFonts w:ascii="Sylfaen" w:hAnsi="Sylfaen"/>
          <w:spacing w:val="-6"/>
          <w:sz w:val="24"/>
          <w:szCs w:val="24"/>
        </w:rPr>
        <w:t>դիմում</w:t>
      </w:r>
      <w:r w:rsidRPr="00B60DF2">
        <w:rPr>
          <w:rFonts w:ascii="Sylfaen" w:hAnsi="Sylfaen"/>
          <w:spacing w:val="-6"/>
          <w:sz w:val="24"/>
          <w:szCs w:val="24"/>
        </w:rPr>
        <w:t xml:space="preserve"> </w:t>
      </w:r>
      <w:r w:rsidR="00C54D75">
        <w:rPr>
          <w:rFonts w:ascii="Sylfaen" w:hAnsi="Sylfaen"/>
          <w:spacing w:val="-6"/>
          <w:sz w:val="24"/>
          <w:szCs w:val="24"/>
        </w:rPr>
        <w:t>և</w:t>
      </w:r>
      <w:r w:rsidRPr="00B60DF2">
        <w:rPr>
          <w:rFonts w:ascii="Sylfaen" w:hAnsi="Sylfaen"/>
          <w:spacing w:val="-6"/>
          <w:sz w:val="24"/>
          <w:szCs w:val="24"/>
        </w:rPr>
        <w:t xml:space="preserve"> ուսումնասիրվող յուրաքանչյուր դեղապատրաստուկի մասով՝ դեղապատրաստուկի վերաբերյալ վերանայված տեղեկատվություն</w:t>
      </w:r>
      <w:r w:rsidRPr="00826F05">
        <w:rPr>
          <w:rFonts w:ascii="Sylfaen" w:hAnsi="Sylfaen"/>
          <w:sz w:val="24"/>
          <w:szCs w:val="24"/>
        </w:rPr>
        <w:t xml:space="preserve"> (եթե կիրառելի է): Դա լիազորված մարմիններին թույլ կտա պարտավորությունների բաշխման ընթացակարգում ընդգրկված յուրաքանչյուր գրանցման դոսյեում ներառելու համապատասխան փոփոխված կամ նոր տեղեկատվություն:</w:t>
      </w:r>
    </w:p>
    <w:p w14:paraId="0F5BEE69" w14:textId="2F239CAA"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մասին </w:t>
      </w:r>
      <w:r w:rsidR="0056496B">
        <w:rPr>
          <w:rFonts w:ascii="Sylfaen" w:hAnsi="Sylfaen"/>
          <w:sz w:val="24"/>
          <w:szCs w:val="24"/>
        </w:rPr>
        <w:t>դիմում</w:t>
      </w:r>
      <w:r w:rsidRPr="00826F05">
        <w:rPr>
          <w:rFonts w:ascii="Sylfaen" w:hAnsi="Sylfaen"/>
          <w:sz w:val="24"/>
          <w:szCs w:val="24"/>
        </w:rPr>
        <w:t>ն անհրաժեշտ է ներկայացնել այն բոլոր անդամ պետություններ, որոնցում գրանցված են ուսումնասիրվող դեղապատրաստուկները:</w:t>
      </w:r>
    </w:p>
    <w:p w14:paraId="54D5F940" w14:textId="77777777"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3.2. </w:t>
      </w:r>
      <w:r w:rsidRPr="00826F05">
        <w:rPr>
          <w:rFonts w:ascii="Sylfaen" w:hAnsi="Sylfaen"/>
          <w:sz w:val="24"/>
          <w:szCs w:val="24"/>
        </w:rPr>
        <w:tab/>
        <w:t>Պարտավորությունները բաշխելիս անցկացվող փորձաքննությունը:</w:t>
      </w:r>
    </w:p>
    <w:p w14:paraId="2FC7F48D" w14:textId="604ED96D"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ի կողմից Փորձագիտական կոմիտեին պարտավորությունների բաշխման առաջիկա ընթացակարգի մասին ծանուցելու դեպքում Փորձագիտական կոմիտեն, տվյալ ծանուցումը ստանալու պահից ոչ ուշ, քան 60 օրացուցային օրվա ընթացքում Փորձագիտական կոմիտեի նիստի ժամանակ նշանակում է ռեֆերենտ մարմին՝ հաշվի առնելով </w:t>
      </w:r>
      <w:r>
        <w:rPr>
          <w:rFonts w:ascii="Sylfaen" w:hAnsi="Sylfaen"/>
          <w:sz w:val="24"/>
          <w:szCs w:val="24"/>
        </w:rPr>
        <w:t>դիմումատու</w:t>
      </w:r>
      <w:r w:rsidR="004F5982" w:rsidRPr="00826F05">
        <w:rPr>
          <w:rFonts w:ascii="Sylfaen" w:hAnsi="Sylfaen"/>
          <w:sz w:val="24"/>
          <w:szCs w:val="24"/>
        </w:rPr>
        <w:t xml:space="preserve">ի առաջարկությունը, </w:t>
      </w:r>
      <w:r w:rsidR="00C54D75">
        <w:rPr>
          <w:rFonts w:ascii="Sylfaen" w:hAnsi="Sylfaen"/>
          <w:sz w:val="24"/>
          <w:szCs w:val="24"/>
        </w:rPr>
        <w:t>և</w:t>
      </w:r>
      <w:r w:rsidR="004F5982" w:rsidRPr="00826F05">
        <w:rPr>
          <w:rFonts w:ascii="Sylfaen" w:hAnsi="Sylfaen"/>
          <w:sz w:val="24"/>
          <w:szCs w:val="24"/>
        </w:rPr>
        <w:t xml:space="preserve"> եթե դեղամիջոցների գրանցման կանոնների թիվ 19 հավելվածի 4.1.2 կետին համապատասխան կիրառելի է, այլ ռեֆերենտ մարմին՝ ռեֆերենտ մարմնին օժանդակելու նպատակով: Փորձագիտական մարմինը 10 աշխատանքային օրվա ընթացքում </w:t>
      </w:r>
      <w:r>
        <w:rPr>
          <w:rFonts w:ascii="Sylfaen" w:hAnsi="Sylfaen"/>
          <w:sz w:val="24"/>
          <w:szCs w:val="24"/>
        </w:rPr>
        <w:t>դիմումատու</w:t>
      </w:r>
      <w:r w:rsidR="004F5982" w:rsidRPr="00826F05">
        <w:rPr>
          <w:rFonts w:ascii="Sylfaen" w:hAnsi="Sylfaen"/>
          <w:sz w:val="24"/>
          <w:szCs w:val="24"/>
        </w:rPr>
        <w:t>ին ծանուցում է այն որոշման մասին, թե որ ազգային լիազորված մարմինն է հանդես գալու որպես ռեֆերենտ մարմին:</w:t>
      </w:r>
    </w:p>
    <w:p w14:paraId="24FD9912" w14:textId="56FF7F39"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մասին </w:t>
      </w:r>
      <w:r w:rsidR="0056496B">
        <w:rPr>
          <w:rFonts w:ascii="Sylfaen" w:hAnsi="Sylfaen"/>
          <w:sz w:val="24"/>
          <w:szCs w:val="24"/>
        </w:rPr>
        <w:t>դիմում</w:t>
      </w:r>
      <w:r w:rsidRPr="00826F05">
        <w:rPr>
          <w:rFonts w:ascii="Sylfaen" w:hAnsi="Sylfaen"/>
          <w:sz w:val="24"/>
          <w:szCs w:val="24"/>
        </w:rPr>
        <w:t>ը ստանալուց հետո ռեֆերենտ մարմինն այն մշակում է հետ</w:t>
      </w:r>
      <w:r w:rsidR="00C54D75">
        <w:rPr>
          <w:rFonts w:ascii="Sylfaen" w:hAnsi="Sylfaen"/>
          <w:sz w:val="24"/>
          <w:szCs w:val="24"/>
        </w:rPr>
        <w:t>և</w:t>
      </w:r>
      <w:r w:rsidRPr="00826F05">
        <w:rPr>
          <w:rFonts w:ascii="Sylfaen" w:hAnsi="Sylfaen"/>
          <w:sz w:val="24"/>
          <w:szCs w:val="24"/>
        </w:rPr>
        <w:t>յալ կերպ:</w:t>
      </w:r>
    </w:p>
    <w:p w14:paraId="2FE604D5" w14:textId="0BF9669C"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մարմինը ճանաչում է պարտավորությունների բաշխման մասին վավեր </w:t>
      </w:r>
      <w:r w:rsidR="0056496B">
        <w:rPr>
          <w:rFonts w:ascii="Sylfaen" w:hAnsi="Sylfaen"/>
          <w:sz w:val="24"/>
          <w:szCs w:val="24"/>
        </w:rPr>
        <w:t>դիմում</w:t>
      </w:r>
      <w:r w:rsidRPr="00826F05">
        <w:rPr>
          <w:rFonts w:ascii="Sylfaen" w:hAnsi="Sylfaen"/>
          <w:sz w:val="24"/>
          <w:szCs w:val="24"/>
        </w:rPr>
        <w:t xml:space="preserve">ի ստացման փաստը: Վավեր </w:t>
      </w:r>
      <w:r w:rsidR="0056496B">
        <w:rPr>
          <w:rFonts w:ascii="Sylfaen" w:hAnsi="Sylfaen"/>
          <w:sz w:val="24"/>
          <w:szCs w:val="24"/>
        </w:rPr>
        <w:t>դիմում</w:t>
      </w:r>
      <w:r w:rsidRPr="00826F05">
        <w:rPr>
          <w:rFonts w:ascii="Sylfaen" w:hAnsi="Sylfaen"/>
          <w:sz w:val="24"/>
          <w:szCs w:val="24"/>
        </w:rPr>
        <w:t xml:space="preserve">ի ստացման փաստը ճանաչելուց անմիջապես հետո ռեֆերենտ մարմինը սկսում է ընթացակարգը: Ընթացակարգը սկսելու պահին իրավատերը </w:t>
      </w:r>
      <w:r w:rsidR="00C54D75">
        <w:rPr>
          <w:rFonts w:ascii="Sylfaen" w:hAnsi="Sylfaen"/>
          <w:sz w:val="24"/>
          <w:szCs w:val="24"/>
        </w:rPr>
        <w:t>և</w:t>
      </w:r>
      <w:r w:rsidRPr="00826F05">
        <w:rPr>
          <w:rFonts w:ascii="Sylfaen" w:hAnsi="Sylfaen"/>
          <w:sz w:val="24"/>
          <w:szCs w:val="24"/>
        </w:rPr>
        <w:t xml:space="preserve"> շահագրգիռ անդամ պետությունները կծանուցվեն ժամկետների մասին:</w:t>
      </w:r>
    </w:p>
    <w:p w14:paraId="2654292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B60DF2">
        <w:rPr>
          <w:rFonts w:ascii="Sylfaen" w:hAnsi="Sylfaen"/>
          <w:spacing w:val="-6"/>
          <w:sz w:val="24"/>
          <w:szCs w:val="24"/>
        </w:rPr>
        <w:lastRenderedPageBreak/>
        <w:t>Ըստ ընդհանուր կանոնի՝ պարտավորությունների բաշխման ընթացակարգերի ժամանակ փորձաքննությունն</w:t>
      </w:r>
      <w:r w:rsidRPr="00826F05">
        <w:rPr>
          <w:rFonts w:ascii="Sylfaen" w:hAnsi="Sylfaen"/>
          <w:sz w:val="24"/>
          <w:szCs w:val="24"/>
        </w:rPr>
        <w:t xml:space="preserve"> անցկացվում է 60 օրացուցային օրվա ընթացքում: Ռեֆերենտ մարմինն իրավունք ունի կրճատելու այդ ժամկետը՝ հաշվի առնելով հարցի հրատապությունը՝ հատկապես անվտանգության տեսակետից,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826F05">
        <w:rPr>
          <w:rFonts w:ascii="Sylfaen" w:hAnsi="Sylfaen"/>
          <w:sz w:val="24"/>
          <w:szCs w:val="24"/>
        </w:rPr>
        <w:t>ափոխման կամ կիրառման նոր ցուցումների ներառման եղանակով կատարված փոփոխություններով կամ փոփոխությունների խմբով պայմանավորված՝ դեղամիջոցների գրանցման կանոնների թիվ 19 հավելվածի 1.7.2 ենթակետի չորրորդ պարբերությանը կամ 3.4.2 կետի չորրորդ</w:t>
      </w:r>
      <w:r w:rsidRPr="00B60DF2">
        <w:rPr>
          <w:rFonts w:ascii="Sylfaen" w:hAnsi="Sylfaen"/>
          <w:sz w:val="24"/>
          <w:szCs w:val="24"/>
        </w:rPr>
        <w:t> </w:t>
      </w:r>
      <w:r w:rsidRPr="00826F05">
        <w:rPr>
          <w:rFonts w:ascii="Sylfaen" w:hAnsi="Sylfaen"/>
          <w:sz w:val="24"/>
          <w:szCs w:val="24"/>
        </w:rPr>
        <w:t>պարբերությանը համապատասխան:</w:t>
      </w:r>
    </w:p>
    <w:p w14:paraId="05BCC6B2" w14:textId="06309E75"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մարմինը, նշված ժամկետներին համապատասխան, եզրակացություն է պատրաստում </w:t>
      </w:r>
      <w:r w:rsidR="00C54D75">
        <w:rPr>
          <w:rFonts w:ascii="Sylfaen" w:hAnsi="Sylfaen"/>
          <w:sz w:val="24"/>
          <w:szCs w:val="24"/>
        </w:rPr>
        <w:t>և</w:t>
      </w:r>
      <w:r w:rsidRPr="00826F05">
        <w:rPr>
          <w:rFonts w:ascii="Sylfaen" w:hAnsi="Sylfaen"/>
          <w:sz w:val="24"/>
          <w:szCs w:val="24"/>
        </w:rPr>
        <w:t xml:space="preserve"> դրանք ուղարկում շահագրգիռ անդամ պետություններ՝ մեկնաբանություններ ստանալու,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նպատակով: Շահագրգիռ անդամ պետությունները նախատեսված ժամկետներում իրենց մեկնաբանություններն ուղարկում են ռեֆերենտ մարմին:</w:t>
      </w:r>
    </w:p>
    <w:p w14:paraId="361F4D3E" w14:textId="127C7630"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մարմինն իրավունք ունի փորձաքննության ընթացքում դիմելու </w:t>
      </w:r>
      <w:r w:rsidR="0056496B">
        <w:rPr>
          <w:rFonts w:ascii="Sylfaen" w:hAnsi="Sylfaen"/>
          <w:sz w:val="24"/>
          <w:szCs w:val="24"/>
        </w:rPr>
        <w:t>դիմումատու</w:t>
      </w:r>
      <w:r w:rsidRPr="00826F05">
        <w:rPr>
          <w:rFonts w:ascii="Sylfaen" w:hAnsi="Sylfaen"/>
          <w:sz w:val="24"/>
          <w:szCs w:val="24"/>
        </w:rPr>
        <w:t xml:space="preserve">ին՝ լրացուցիչ տեղեկություններ ստանալու հարցմամբ։ Լրացուցիչ տեղեկություններ ստանալու հարցումը կուղարկվի </w:t>
      </w:r>
      <w:r w:rsidR="0056496B">
        <w:rPr>
          <w:rFonts w:ascii="Sylfaen" w:hAnsi="Sylfaen"/>
          <w:sz w:val="24"/>
          <w:szCs w:val="24"/>
        </w:rPr>
        <w:t>դիմումատու</w:t>
      </w:r>
      <w:r w:rsidRPr="00826F05">
        <w:rPr>
          <w:rFonts w:ascii="Sylfaen" w:hAnsi="Sylfaen"/>
          <w:sz w:val="24"/>
          <w:szCs w:val="24"/>
        </w:rPr>
        <w:t xml:space="preserve">ին՝ հարցված </w:t>
      </w:r>
      <w:r w:rsidRPr="00B60DF2">
        <w:rPr>
          <w:rFonts w:ascii="Sylfaen" w:hAnsi="Sylfaen"/>
          <w:spacing w:val="-6"/>
          <w:sz w:val="24"/>
          <w:szCs w:val="24"/>
        </w:rPr>
        <w:t>տվյալների՝ վերջինիս կողմից ներկայացման ժամկետի (մինչ</w:t>
      </w:r>
      <w:r w:rsidR="00C54D75">
        <w:rPr>
          <w:rFonts w:ascii="Sylfaen" w:hAnsi="Sylfaen"/>
          <w:spacing w:val="-6"/>
          <w:sz w:val="24"/>
          <w:szCs w:val="24"/>
        </w:rPr>
        <w:t>և</w:t>
      </w:r>
      <w:r w:rsidRPr="00B60DF2">
        <w:rPr>
          <w:rFonts w:ascii="Sylfaen" w:hAnsi="Sylfaen"/>
          <w:spacing w:val="-6"/>
          <w:sz w:val="24"/>
          <w:szCs w:val="24"/>
        </w:rPr>
        <w:t xml:space="preserve"> 90 օրացուցային օր)</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անհրաժեշտության դեպքում՝ փորձաքննության ժամկետի երկարաձգման նշումով:</w:t>
      </w:r>
    </w:p>
    <w:p w14:paraId="69E30E4D" w14:textId="572F302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Ընթացակարգը դադարեցվում է մինչ</w:t>
      </w:r>
      <w:r w:rsidR="00C54D75">
        <w:rPr>
          <w:rFonts w:ascii="Sylfaen" w:hAnsi="Sylfaen"/>
          <w:sz w:val="24"/>
          <w:szCs w:val="24"/>
        </w:rPr>
        <w:t>և</w:t>
      </w:r>
      <w:r w:rsidRPr="00826F05">
        <w:rPr>
          <w:rFonts w:ascii="Sylfaen" w:hAnsi="Sylfaen"/>
          <w:sz w:val="24"/>
          <w:szCs w:val="24"/>
        </w:rPr>
        <w:t xml:space="preserve"> լրացուցիչ տեղեկություններ ստանալը: Ստացված տվյալների փորձաքննությունը կարող է տ</w:t>
      </w:r>
      <w:r w:rsidR="00C54D75">
        <w:rPr>
          <w:rFonts w:ascii="Sylfaen" w:hAnsi="Sylfaen"/>
          <w:sz w:val="24"/>
          <w:szCs w:val="24"/>
        </w:rPr>
        <w:t>և</w:t>
      </w:r>
      <w:r w:rsidRPr="00826F05">
        <w:rPr>
          <w:rFonts w:ascii="Sylfaen" w:hAnsi="Sylfaen"/>
          <w:sz w:val="24"/>
          <w:szCs w:val="24"/>
        </w:rPr>
        <w:t>ել մինչ</w:t>
      </w:r>
      <w:r w:rsidR="00C54D75">
        <w:rPr>
          <w:rFonts w:ascii="Sylfaen" w:hAnsi="Sylfaen"/>
          <w:sz w:val="24"/>
          <w:szCs w:val="24"/>
        </w:rPr>
        <w:t>և</w:t>
      </w:r>
      <w:r w:rsidRPr="00826F05">
        <w:rPr>
          <w:rFonts w:ascii="Sylfaen" w:hAnsi="Sylfaen"/>
          <w:sz w:val="24"/>
          <w:szCs w:val="24"/>
        </w:rPr>
        <w:t xml:space="preserve"> 30 կամ 60 օրացուցային օր՝ կախված </w:t>
      </w:r>
      <w:r w:rsidR="0056496B">
        <w:rPr>
          <w:rFonts w:ascii="Sylfaen" w:hAnsi="Sylfaen"/>
          <w:sz w:val="24"/>
          <w:szCs w:val="24"/>
        </w:rPr>
        <w:t>դիմումատու</w:t>
      </w:r>
      <w:r w:rsidRPr="00826F05">
        <w:rPr>
          <w:rFonts w:ascii="Sylfaen" w:hAnsi="Sylfaen"/>
          <w:sz w:val="24"/>
          <w:szCs w:val="24"/>
        </w:rPr>
        <w:t xml:space="preserve">ից հարցված տվյալների բարդությունից </w:t>
      </w:r>
      <w:r w:rsidR="00C54D75">
        <w:rPr>
          <w:rFonts w:ascii="Sylfaen" w:hAnsi="Sylfaen"/>
          <w:sz w:val="24"/>
          <w:szCs w:val="24"/>
        </w:rPr>
        <w:t>և</w:t>
      </w:r>
      <w:r w:rsidRPr="00826F05">
        <w:rPr>
          <w:rFonts w:ascii="Sylfaen" w:hAnsi="Sylfaen"/>
          <w:sz w:val="24"/>
          <w:szCs w:val="24"/>
        </w:rPr>
        <w:t xml:space="preserve"> ծավալից:</w:t>
      </w:r>
    </w:p>
    <w:p w14:paraId="46A88474" w14:textId="74AF0D2E"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պատասխանը ստանալուց հետո ռեֆերենտ մարմինն ավարտում</w:t>
      </w:r>
      <w:r w:rsidR="004F5982" w:rsidRPr="00B60DF2">
        <w:rPr>
          <w:rFonts w:ascii="Sylfaen" w:hAnsi="Sylfaen"/>
          <w:sz w:val="24"/>
          <w:szCs w:val="24"/>
        </w:rPr>
        <w:t> </w:t>
      </w:r>
      <w:r w:rsidR="004F5982" w:rsidRPr="00826F05">
        <w:rPr>
          <w:rFonts w:ascii="Sylfaen" w:hAnsi="Sylfaen"/>
          <w:sz w:val="24"/>
          <w:szCs w:val="24"/>
        </w:rPr>
        <w:t xml:space="preserve">է փորձագիտական հաշվետվության </w:t>
      </w:r>
      <w:r w:rsidR="00C54D75">
        <w:rPr>
          <w:rFonts w:ascii="Sylfaen" w:hAnsi="Sylfaen"/>
          <w:sz w:val="24"/>
          <w:szCs w:val="24"/>
        </w:rPr>
        <w:t>և</w:t>
      </w:r>
      <w:r w:rsidR="004F5982" w:rsidRPr="00826F05">
        <w:rPr>
          <w:rFonts w:ascii="Sylfaen" w:hAnsi="Sylfaen"/>
          <w:sz w:val="24"/>
          <w:szCs w:val="24"/>
        </w:rPr>
        <w:t xml:space="preserve"> </w:t>
      </w:r>
      <w:r>
        <w:rPr>
          <w:rFonts w:ascii="Sylfaen" w:hAnsi="Sylfaen"/>
          <w:sz w:val="24"/>
          <w:szCs w:val="24"/>
        </w:rPr>
        <w:t>դիմում</w:t>
      </w:r>
      <w:r w:rsidR="004F5982" w:rsidRPr="00826F05">
        <w:rPr>
          <w:rFonts w:ascii="Sylfaen" w:hAnsi="Sylfaen"/>
          <w:sz w:val="24"/>
          <w:szCs w:val="24"/>
        </w:rPr>
        <w:t xml:space="preserve">ի վերաբերյալ որոշման նախագծի նախապատրաստումը </w:t>
      </w:r>
      <w:r w:rsidR="00C54D75">
        <w:rPr>
          <w:rFonts w:ascii="Sylfaen" w:hAnsi="Sylfaen"/>
          <w:sz w:val="24"/>
          <w:szCs w:val="24"/>
        </w:rPr>
        <w:t>և</w:t>
      </w:r>
      <w:r w:rsidR="004F5982" w:rsidRPr="00826F05">
        <w:rPr>
          <w:rFonts w:ascii="Sylfaen" w:hAnsi="Sylfaen"/>
          <w:sz w:val="24"/>
          <w:szCs w:val="24"/>
        </w:rPr>
        <w:t xml:space="preserve"> դրանք ուղարկում շահագրգիռ անդամ պետություններ՝ մեկնաբանություններ ստանալու, ինչպես նա</w:t>
      </w:r>
      <w:r w:rsidR="00C54D75">
        <w:rPr>
          <w:rFonts w:ascii="Sylfaen" w:hAnsi="Sylfaen"/>
          <w:sz w:val="24"/>
          <w:szCs w:val="24"/>
        </w:rPr>
        <w:t>և</w:t>
      </w:r>
      <w:r w:rsidR="004F5982" w:rsidRPr="00826F05">
        <w:rPr>
          <w:rFonts w:ascii="Sylfaen" w:hAnsi="Sylfaen"/>
          <w:sz w:val="24"/>
          <w:szCs w:val="24"/>
        </w:rPr>
        <w:t xml:space="preserve"> </w:t>
      </w:r>
      <w:r>
        <w:rPr>
          <w:rFonts w:ascii="Sylfaen" w:hAnsi="Sylfaen"/>
          <w:sz w:val="24"/>
          <w:szCs w:val="24"/>
        </w:rPr>
        <w:t>դիմումատու</w:t>
      </w:r>
      <w:r w:rsidR="004F5982" w:rsidRPr="00826F05">
        <w:rPr>
          <w:rFonts w:ascii="Sylfaen" w:hAnsi="Sylfaen"/>
          <w:sz w:val="24"/>
          <w:szCs w:val="24"/>
        </w:rPr>
        <w:t xml:space="preserve">ին </w:t>
      </w:r>
      <w:r w:rsidR="004F5982" w:rsidRPr="00826F05">
        <w:rPr>
          <w:rFonts w:ascii="Sylfaen" w:hAnsi="Sylfaen"/>
          <w:sz w:val="24"/>
          <w:szCs w:val="24"/>
        </w:rPr>
        <w:lastRenderedPageBreak/>
        <w:t xml:space="preserve">տեղեկացնելու նպատակով: </w:t>
      </w:r>
    </w:p>
    <w:p w14:paraId="49EE1FDF" w14:textId="77777777"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3.3.</w:t>
      </w:r>
      <w:r w:rsidRPr="00826F05">
        <w:rPr>
          <w:rFonts w:ascii="Sylfaen" w:hAnsi="Sylfaen"/>
          <w:sz w:val="24"/>
          <w:szCs w:val="24"/>
        </w:rPr>
        <w:tab/>
        <w:t>Պարտավորությունները բաշխելիս անցկացվող փորձաքննությունն ավարտելը:</w:t>
      </w:r>
    </w:p>
    <w:p w14:paraId="4F497DA9" w14:textId="6F270FF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ավարտին ռեֆերենտ մարմինը </w:t>
      </w:r>
      <w:r w:rsidR="0056496B">
        <w:rPr>
          <w:rFonts w:ascii="Sylfaen" w:hAnsi="Sylfaen"/>
          <w:sz w:val="24"/>
          <w:szCs w:val="24"/>
        </w:rPr>
        <w:t>դիմում</w:t>
      </w:r>
      <w:r w:rsidRPr="00826F05">
        <w:rPr>
          <w:rFonts w:ascii="Sylfaen" w:hAnsi="Sylfaen"/>
          <w:sz w:val="24"/>
          <w:szCs w:val="24"/>
        </w:rPr>
        <w:t xml:space="preserve">ի վերաբերյալ եզրակացություն է տալիս </w:t>
      </w:r>
      <w:r w:rsidR="00C54D75">
        <w:rPr>
          <w:rFonts w:ascii="Sylfaen" w:hAnsi="Sylfaen"/>
          <w:sz w:val="24"/>
          <w:szCs w:val="24"/>
        </w:rPr>
        <w:t>և</w:t>
      </w:r>
      <w:r w:rsidRPr="00826F05">
        <w:rPr>
          <w:rFonts w:ascii="Sylfaen" w:hAnsi="Sylfaen"/>
          <w:sz w:val="24"/>
          <w:szCs w:val="24"/>
        </w:rPr>
        <w:t xml:space="preserve"> ծանուցում է շահագրգիռ անդամ պետություններին ու </w:t>
      </w:r>
      <w:r w:rsidR="0056496B">
        <w:rPr>
          <w:rFonts w:ascii="Sylfaen" w:hAnsi="Sylfaen"/>
          <w:sz w:val="24"/>
          <w:szCs w:val="24"/>
        </w:rPr>
        <w:t>դիմումատու</w:t>
      </w:r>
      <w:r w:rsidRPr="00826F05">
        <w:rPr>
          <w:rFonts w:ascii="Sylfaen" w:hAnsi="Sylfaen"/>
          <w:sz w:val="24"/>
          <w:szCs w:val="24"/>
        </w:rPr>
        <w:t>ին:</w:t>
      </w:r>
    </w:p>
    <w:p w14:paraId="5166997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Դրական եզրակացության դեպքում չհաստատված փոփոխությունների ցանկն անհրաժեշտ է առդնել եզրակացությանը (եթե կիրառելի է): Փոփոխությունները կարող են հաստատվել միայն ուսումնասիրվող մի քանի դեղապատրաստուկների մասով: Բացասական եզրակացության դեպքում անհրաժեշտ է նշել հիմքերը:</w:t>
      </w:r>
    </w:p>
    <w:p w14:paraId="6819E7E8" w14:textId="73CEF55B"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Եզրակացությունը ստանալուց հետո՝ 30 օրացուցային օրվա ընթացքում, շահագրգիռ անդամ պետությունները ճանաչում են որոշումը </w:t>
      </w:r>
      <w:r w:rsidR="00C54D75">
        <w:rPr>
          <w:rFonts w:ascii="Sylfaen" w:hAnsi="Sylfaen"/>
          <w:sz w:val="24"/>
          <w:szCs w:val="24"/>
        </w:rPr>
        <w:t>և</w:t>
      </w:r>
      <w:r w:rsidRPr="00826F05">
        <w:rPr>
          <w:rFonts w:ascii="Sylfaen" w:hAnsi="Sylfaen"/>
          <w:sz w:val="24"/>
          <w:szCs w:val="24"/>
        </w:rPr>
        <w:t xml:space="preserve"> այդ մասին ծանուցում են ռեֆերենտ մարմնին, եթե միայն չի </w:t>
      </w:r>
      <w:r w:rsidR="00FE4A71">
        <w:rPr>
          <w:rFonts w:ascii="Sylfaen" w:hAnsi="Sylfaen"/>
          <w:sz w:val="24"/>
          <w:szCs w:val="24"/>
        </w:rPr>
        <w:t xml:space="preserve">հայտնաբերվել </w:t>
      </w:r>
      <w:r w:rsidRPr="00826F05">
        <w:rPr>
          <w:rFonts w:ascii="Sylfaen" w:hAnsi="Sylfaen"/>
          <w:sz w:val="24"/>
          <w:szCs w:val="24"/>
        </w:rPr>
        <w:t xml:space="preserve"> մարդու առողջության համար հնարավոր լուրջ ռիսկ, որն անդամ պետությանը թույլ չի տա ճանաչել ռեֆերենտ մարմնի եզրակացությունը: Ռեֆերենտ մարմնի եզրակացությունը ստանալու օրվանից 30 օրացուցային օրվա ընթացքում այդպիսի հնարավոր լուրջ ռիսկը </w:t>
      </w:r>
      <w:r w:rsidR="0056496B">
        <w:rPr>
          <w:rFonts w:ascii="Sylfaen" w:hAnsi="Sylfaen"/>
          <w:sz w:val="24"/>
          <w:szCs w:val="24"/>
        </w:rPr>
        <w:t>դիմում</w:t>
      </w:r>
      <w:r w:rsidRPr="00826F05">
        <w:rPr>
          <w:rFonts w:ascii="Sylfaen" w:hAnsi="Sylfaen"/>
          <w:sz w:val="24"/>
          <w:szCs w:val="24"/>
        </w:rPr>
        <w:t xml:space="preserve">նաբերող անդամ պետությունը պետք է ռեֆերենտ մարմնին ծանուցի </w:t>
      </w:r>
      <w:r w:rsidR="00C54D75">
        <w:rPr>
          <w:rFonts w:ascii="Sylfaen" w:hAnsi="Sylfaen"/>
          <w:sz w:val="24"/>
          <w:szCs w:val="24"/>
        </w:rPr>
        <w:t>և</w:t>
      </w:r>
      <w:r w:rsidRPr="00826F05">
        <w:rPr>
          <w:rFonts w:ascii="Sylfaen" w:hAnsi="Sylfaen"/>
          <w:sz w:val="24"/>
          <w:szCs w:val="24"/>
        </w:rPr>
        <w:t xml:space="preserve"> նշի իր դիրքորոշման մանրամասն պատճառները:</w:t>
      </w:r>
    </w:p>
    <w:p w14:paraId="44E29748" w14:textId="703C0F8F"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Այնուհետ</w:t>
      </w:r>
      <w:r w:rsidR="00C54D75">
        <w:rPr>
          <w:rFonts w:ascii="Sylfaen" w:hAnsi="Sylfaen"/>
          <w:sz w:val="24"/>
          <w:szCs w:val="24"/>
        </w:rPr>
        <w:t>և</w:t>
      </w:r>
      <w:r w:rsidRPr="00826F05">
        <w:rPr>
          <w:rFonts w:ascii="Sylfaen" w:hAnsi="Sylfaen"/>
          <w:sz w:val="24"/>
          <w:szCs w:val="24"/>
        </w:rPr>
        <w:t xml:space="preserve"> ռեֆերենտ մարմինն անհամաձայնության մասին </w:t>
      </w:r>
      <w:r w:rsidR="0056496B">
        <w:rPr>
          <w:rFonts w:ascii="Sylfaen" w:hAnsi="Sylfaen"/>
          <w:sz w:val="24"/>
          <w:szCs w:val="24"/>
        </w:rPr>
        <w:t>դիմում</w:t>
      </w:r>
      <w:r w:rsidRPr="00826F05">
        <w:rPr>
          <w:rFonts w:ascii="Sylfaen" w:hAnsi="Sylfaen"/>
          <w:sz w:val="24"/>
          <w:szCs w:val="24"/>
        </w:rPr>
        <w:t xml:space="preserve"> է ուղարկում Փորձագիտական կոմիտե </w:t>
      </w:r>
      <w:r w:rsidR="00C54D75">
        <w:rPr>
          <w:rFonts w:ascii="Sylfaen" w:hAnsi="Sylfaen"/>
          <w:sz w:val="24"/>
          <w:szCs w:val="24"/>
        </w:rPr>
        <w:t>և</w:t>
      </w:r>
      <w:r w:rsidRPr="00826F05">
        <w:rPr>
          <w:rFonts w:ascii="Sylfaen" w:hAnsi="Sylfaen"/>
          <w:sz w:val="24"/>
          <w:szCs w:val="24"/>
        </w:rPr>
        <w:t xml:space="preserve"> այդ մասին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w:t>
      </w:r>
    </w:p>
    <w:p w14:paraId="43D2837E" w14:textId="398B0DD8"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Փորձագիտական կոմիտե դիմելիս պարտավորությունների բաշխման վերաբերյալ </w:t>
      </w:r>
      <w:r w:rsidR="0056496B">
        <w:rPr>
          <w:rFonts w:ascii="Sylfaen" w:hAnsi="Sylfaen"/>
          <w:sz w:val="24"/>
          <w:szCs w:val="24"/>
        </w:rPr>
        <w:t>դիմում</w:t>
      </w:r>
      <w:r w:rsidRPr="00826F05">
        <w:rPr>
          <w:rFonts w:ascii="Sylfaen" w:hAnsi="Sylfaen"/>
          <w:sz w:val="24"/>
          <w:szCs w:val="24"/>
        </w:rPr>
        <w:t>ի ուսումնասիրության ընթացակարգը դադարեցվում է մինչ</w:t>
      </w:r>
      <w:r w:rsidR="00C54D75">
        <w:rPr>
          <w:rFonts w:ascii="Sylfaen" w:hAnsi="Sylfaen"/>
          <w:sz w:val="24"/>
          <w:szCs w:val="24"/>
        </w:rPr>
        <w:t>և</w:t>
      </w:r>
      <w:r w:rsidRPr="00826F05">
        <w:rPr>
          <w:rFonts w:ascii="Sylfaen" w:hAnsi="Sylfaen"/>
          <w:sz w:val="24"/>
          <w:szCs w:val="24"/>
        </w:rPr>
        <w:t xml:space="preserve"> Փորձագիտական կոմիտեի կողմից որոշում ընդունվելը:</w:t>
      </w:r>
    </w:p>
    <w:p w14:paraId="7E0B468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ընդհանուր բնութագրում, մականշվածքում կամ ներդիր-թերթիկում կատարված փոփոխությունների մասին դրական որոշման մասին տեղեկացնելուց հետո իրավատերը պետք է 7 աշխատանքային օրվա </w:t>
      </w:r>
      <w:r w:rsidRPr="00826F05">
        <w:rPr>
          <w:rFonts w:ascii="Sylfaen" w:hAnsi="Sylfaen"/>
          <w:sz w:val="24"/>
          <w:szCs w:val="24"/>
        </w:rPr>
        <w:lastRenderedPageBreak/>
        <w:t>ընթացքում դեղապատրաստուկի մասին փաստաթղթերը ներկայացնի բոլոր շահագրգիռ անդամ պետություններ:</w:t>
      </w:r>
    </w:p>
    <w:p w14:paraId="119E578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Եզրակացությունը հաստատելուց հետո կամ Փորձագիտական կոմիտե դիմելու նախաձեռնության դեպքում Փորձագիտական կոմիտեի համաձայնության մասին ծանուցումը հաստատելուց հետո՝ 30 օրացուցային օրվա ընթացքում, շահագրգիռ անդամ պետությունները համապատասխան եղանակով ուղղում են գրանցման դոսյեն՝ գրանցման դոսյեի փոփոխության համար անհրաժեշտ փաստաթղթերը շահագրգիռ անդամ պետություններ ներկայացնելու պայմանով:</w:t>
      </w:r>
    </w:p>
    <w:p w14:paraId="0290BAD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Պարտավորությունների բաշխման ընթացակարգի շրջանակներում հաստատված IB տիպի ոչ էական փոփոխությունները թույլ է տրվում իրականացնել ռեֆերենտ մարմնի դրական եզրակացությունը ստանալուց հետո:</w:t>
      </w:r>
    </w:p>
    <w:p w14:paraId="055BEFE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1.6 կետի համաձայն՝ դեղապատրաստուկի մասին տեղեկատվության վերանայման հանգեցնող ցանկացած փոփոխություն թույլատրվում է իրականացնել գրանցման դոսյեի մեջ փոփոխությունները կատարելուց հետո:</w:t>
      </w:r>
    </w:p>
    <w:p w14:paraId="330EE35C" w14:textId="3ADE526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Ընդունված II տիպի էական փոփոխությունը (ներառյալ՝ IB տիպի ոչ էական փոփոխությունների խումբ պարունակող) թույլատրվում է իրականացնել ռեֆերենտ մարմնի կողմից փոփոխությունն ընդունվելու մասին </w:t>
      </w:r>
      <w:r w:rsidR="0056496B">
        <w:rPr>
          <w:rFonts w:ascii="Sylfaen" w:hAnsi="Sylfaen"/>
          <w:sz w:val="24"/>
          <w:szCs w:val="24"/>
        </w:rPr>
        <w:t>դիմումատու</w:t>
      </w:r>
      <w:r w:rsidRPr="00826F05">
        <w:rPr>
          <w:rFonts w:ascii="Sylfaen" w:hAnsi="Sylfaen"/>
          <w:sz w:val="24"/>
          <w:szCs w:val="24"/>
        </w:rPr>
        <w:t xml:space="preserve">ին ծանուցելու օրվանից հետո՝ 30 օրացուցային օրվա ընթացքում՝ գրանցման դոսյեների փոփոխության համար անհրաժեշտ փաստաթղթերը շահագրգիռ անդամ պետություններ ներկայացնելու պայմանով: Եթե </w:t>
      </w:r>
      <w:r w:rsidR="0056496B">
        <w:rPr>
          <w:rFonts w:ascii="Sylfaen" w:hAnsi="Sylfaen"/>
          <w:sz w:val="24"/>
          <w:szCs w:val="24"/>
        </w:rPr>
        <w:t>դիմում</w:t>
      </w:r>
      <w:r w:rsidRPr="00826F05">
        <w:rPr>
          <w:rFonts w:ascii="Sylfaen" w:hAnsi="Sylfaen"/>
          <w:sz w:val="24"/>
          <w:szCs w:val="24"/>
        </w:rPr>
        <w:t>ը Փորձագիտական</w:t>
      </w:r>
      <w:r w:rsidRPr="00B60DF2">
        <w:rPr>
          <w:rFonts w:ascii="Sylfaen" w:hAnsi="Sylfaen"/>
          <w:sz w:val="24"/>
          <w:szCs w:val="24"/>
        </w:rPr>
        <w:t> </w:t>
      </w:r>
      <w:r w:rsidRPr="00826F05">
        <w:rPr>
          <w:rFonts w:ascii="Sylfaen" w:hAnsi="Sylfaen"/>
          <w:sz w:val="24"/>
          <w:szCs w:val="24"/>
        </w:rPr>
        <w:t>կոմիտե դիմելու առարկա է եղել, չի թույլատրվում փոփոխությունն իրականացնել մինչ</w:t>
      </w:r>
      <w:r w:rsidR="00C54D75">
        <w:rPr>
          <w:rFonts w:ascii="Sylfaen" w:hAnsi="Sylfaen"/>
          <w:sz w:val="24"/>
          <w:szCs w:val="24"/>
        </w:rPr>
        <w:t>և</w:t>
      </w:r>
      <w:r w:rsidRPr="00826F05">
        <w:rPr>
          <w:rFonts w:ascii="Sylfaen" w:hAnsi="Sylfaen"/>
          <w:sz w:val="24"/>
          <w:szCs w:val="24"/>
        </w:rPr>
        <w:t xml:space="preserve"> փոփոխության ընդունման մասին Փորձագիտական կոմիտեի եզրակացությունն ստանալը:</w:t>
      </w:r>
    </w:p>
    <w:p w14:paraId="5D350F9C" w14:textId="77777777" w:rsidR="004F5982" w:rsidRPr="002618FA" w:rsidRDefault="004F5982" w:rsidP="00487007">
      <w:pPr>
        <w:spacing w:after="160" w:line="360" w:lineRule="auto"/>
        <w:ind w:firstLine="567"/>
        <w:jc w:val="both"/>
        <w:rPr>
          <w:rFonts w:ascii="Sylfaen" w:hAnsi="Sylfaen"/>
          <w:sz w:val="24"/>
          <w:szCs w:val="24"/>
        </w:rPr>
      </w:pPr>
      <w:r>
        <w:rPr>
          <w:rFonts w:ascii="Sylfaen" w:hAnsi="Sylfaen"/>
          <w:sz w:val="24"/>
          <w:szCs w:val="24"/>
        </w:rPr>
        <w:t>Ա</w:t>
      </w:r>
      <w:r w:rsidRPr="00826F05">
        <w:rPr>
          <w:rFonts w:ascii="Sylfaen" w:hAnsi="Sylfaen"/>
          <w:sz w:val="24"/>
          <w:szCs w:val="24"/>
        </w:rPr>
        <w:t xml:space="preserve">նվտանգության հարցերին առնչվող փոփոխություններն անհրաժեշտ է իրականացնել ռեֆերենտ պետության լիազորված մարմնի </w:t>
      </w:r>
      <w:r w:rsidR="00C54D75">
        <w:rPr>
          <w:rFonts w:ascii="Sylfaen" w:hAnsi="Sylfaen"/>
          <w:sz w:val="24"/>
          <w:szCs w:val="24"/>
        </w:rPr>
        <w:t>և</w:t>
      </w:r>
      <w:r w:rsidRPr="00826F05">
        <w:rPr>
          <w:rFonts w:ascii="Sylfaen" w:hAnsi="Sylfaen"/>
          <w:sz w:val="24"/>
          <w:szCs w:val="24"/>
        </w:rPr>
        <w:t xml:space="preserve"> իրավատիրոջ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57A4C466" w14:textId="77777777" w:rsidR="00487007" w:rsidRPr="00E74ADC" w:rsidRDefault="00487007" w:rsidP="004F5982">
      <w:pPr>
        <w:spacing w:after="160" w:line="360" w:lineRule="auto"/>
        <w:ind w:firstLine="567"/>
        <w:jc w:val="both"/>
        <w:rPr>
          <w:rFonts w:ascii="Sylfaen" w:eastAsia="Times New Roman" w:hAnsi="Sylfaen" w:cs="Times New Roman"/>
          <w:sz w:val="24"/>
          <w:szCs w:val="24"/>
        </w:rPr>
      </w:pPr>
    </w:p>
    <w:p w14:paraId="670F74CA" w14:textId="77777777" w:rsidR="00487007" w:rsidRDefault="00487007" w:rsidP="004F5982">
      <w:pPr>
        <w:spacing w:after="160" w:line="360" w:lineRule="auto"/>
        <w:ind w:left="3969" w:right="-2"/>
        <w:jc w:val="center"/>
        <w:rPr>
          <w:rFonts w:ascii="Sylfaen" w:hAnsi="Sylfaen"/>
          <w:sz w:val="24"/>
          <w:szCs w:val="24"/>
        </w:rPr>
        <w:sectPr w:rsidR="00487007" w:rsidSect="00C31D56">
          <w:pgSz w:w="11906" w:h="16838" w:code="9"/>
          <w:pgMar w:top="1418" w:right="1418" w:bottom="1418" w:left="1418" w:header="709" w:footer="709" w:gutter="0"/>
          <w:pgNumType w:start="1"/>
          <w:cols w:space="708"/>
          <w:titlePg/>
          <w:docGrid w:linePitch="360"/>
        </w:sectPr>
      </w:pPr>
    </w:p>
    <w:p w14:paraId="57004D43" w14:textId="77777777" w:rsidR="004F5982" w:rsidRPr="00826F05" w:rsidRDefault="004F5982" w:rsidP="004F5982">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lastRenderedPageBreak/>
        <w:t>ՀԱՎԵԼՎԱԾ ԹԻՎ 21</w:t>
      </w:r>
    </w:p>
    <w:p w14:paraId="41A0E20D" w14:textId="77777777" w:rsidR="004F5982" w:rsidRPr="00826F05" w:rsidRDefault="004F5982" w:rsidP="004F5982">
      <w:pPr>
        <w:spacing w:after="160" w:line="360" w:lineRule="auto"/>
        <w:ind w:left="3969" w:right="-2" w:firstLine="4"/>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540CD6FA" w14:textId="77777777" w:rsidR="004F5982" w:rsidRPr="00826F05" w:rsidRDefault="004F5982" w:rsidP="004F5982">
      <w:pPr>
        <w:spacing w:after="160" w:line="360" w:lineRule="auto"/>
        <w:ind w:left="5245"/>
        <w:jc w:val="both"/>
        <w:rPr>
          <w:rFonts w:ascii="Sylfaen" w:hAnsi="Sylfaen"/>
          <w:sz w:val="24"/>
          <w:szCs w:val="24"/>
        </w:rPr>
      </w:pPr>
    </w:p>
    <w:p w14:paraId="0BA00EE3" w14:textId="77777777" w:rsidR="004F5982" w:rsidRPr="00487007" w:rsidRDefault="004F5982" w:rsidP="004F5982">
      <w:pPr>
        <w:spacing w:after="160" w:line="360" w:lineRule="auto"/>
        <w:ind w:left="567" w:right="565"/>
        <w:jc w:val="center"/>
        <w:rPr>
          <w:rFonts w:ascii="Sylfaen" w:eastAsia="Times New Roman" w:hAnsi="Sylfaen" w:cs="Times New Roman"/>
          <w:b/>
          <w:sz w:val="24"/>
          <w:szCs w:val="24"/>
        </w:rPr>
      </w:pPr>
      <w:r w:rsidRPr="00487007">
        <w:rPr>
          <w:rFonts w:ascii="Sylfaen" w:hAnsi="Sylfaen"/>
          <w:b/>
          <w:sz w:val="24"/>
          <w:szCs w:val="24"/>
        </w:rPr>
        <w:t>Ձ</w:t>
      </w:r>
      <w:r w:rsidR="00C54D75">
        <w:rPr>
          <w:rFonts w:ascii="Sylfaen" w:hAnsi="Sylfaen"/>
          <w:b/>
          <w:sz w:val="24"/>
          <w:szCs w:val="24"/>
        </w:rPr>
        <w:t>և</w:t>
      </w:r>
    </w:p>
    <w:p w14:paraId="1667DAAE"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b/>
          <w:sz w:val="24"/>
          <w:szCs w:val="24"/>
        </w:rPr>
        <w:t>I տիպի փոփոխությունների կատարման գնահատման վերաբերյալ եզրակացության</w:t>
      </w:r>
    </w:p>
    <w:p w14:paraId="293D123D" w14:textId="77777777" w:rsidR="004F5982" w:rsidRPr="00826F05" w:rsidRDefault="004F5982" w:rsidP="004F5982">
      <w:pPr>
        <w:spacing w:after="160" w:line="360" w:lineRule="auto"/>
        <w:jc w:val="both"/>
        <w:rPr>
          <w:rFonts w:ascii="Sylfaen" w:hAnsi="Sylfaen"/>
          <w:sz w:val="24"/>
          <w:szCs w:val="24"/>
        </w:rPr>
      </w:pPr>
    </w:p>
    <w:p w14:paraId="26F17D83" w14:textId="77777777" w:rsidR="004F5982" w:rsidRPr="00826F05" w:rsidRDefault="004F5982" w:rsidP="004F5982">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Լրացման ցուցումներ՝ տեքստի պատրաստի ձ</w:t>
      </w:r>
      <w:r w:rsidR="00C54D75">
        <w:rPr>
          <w:rFonts w:ascii="Sylfaen" w:hAnsi="Sylfaen"/>
          <w:sz w:val="24"/>
          <w:szCs w:val="24"/>
        </w:rPr>
        <w:t>և</w:t>
      </w:r>
      <w:r w:rsidRPr="00826F05">
        <w:rPr>
          <w:rFonts w:ascii="Sylfaen" w:hAnsi="Sylfaen"/>
          <w:sz w:val="24"/>
          <w:szCs w:val="24"/>
        </w:rPr>
        <w:t>անմուշներ օգտագործելիս. դրանք սույն ձ</w:t>
      </w:r>
      <w:r w:rsidR="00C54D75">
        <w:rPr>
          <w:rFonts w:ascii="Sylfaen" w:hAnsi="Sylfaen"/>
          <w:sz w:val="24"/>
          <w:szCs w:val="24"/>
        </w:rPr>
        <w:t>և</w:t>
      </w:r>
      <w:r w:rsidRPr="00826F05">
        <w:rPr>
          <w:rFonts w:ascii="Sylfaen" w:hAnsi="Sylfaen"/>
          <w:sz w:val="24"/>
          <w:szCs w:val="24"/>
        </w:rPr>
        <w:t xml:space="preserve">ում առանձնացված են &lt; &gt; նշաններով </w:t>
      </w:r>
      <w:r w:rsidR="00C54D75">
        <w:rPr>
          <w:rFonts w:ascii="Sylfaen" w:hAnsi="Sylfaen"/>
          <w:sz w:val="24"/>
          <w:szCs w:val="24"/>
        </w:rPr>
        <w:t>և</w:t>
      </w:r>
      <w:r w:rsidRPr="00826F05">
        <w:rPr>
          <w:rFonts w:ascii="Sylfaen" w:hAnsi="Sylfaen"/>
          <w:sz w:val="24"/>
          <w:szCs w:val="24"/>
        </w:rPr>
        <w:t xml:space="preserve"> շեղատառերով. տեքստի ձ</w:t>
      </w:r>
      <w:r w:rsidR="00C54D75">
        <w:rPr>
          <w:rFonts w:ascii="Sylfaen" w:hAnsi="Sylfaen"/>
          <w:sz w:val="24"/>
          <w:szCs w:val="24"/>
        </w:rPr>
        <w:t>և</w:t>
      </w:r>
      <w:r w:rsidRPr="00826F05">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826F05">
        <w:rPr>
          <w:rFonts w:ascii="Sylfaen" w:hAnsi="Sylfaen"/>
          <w:sz w:val="24"/>
          <w:szCs w:val="24"/>
        </w:rPr>
        <w:t>ավոր փակագծերի մեջ { }՝ նշելով այն հատկությունը (պարամետրը), որն անհրաժեշտ է ներմուծել շեղատառերով, բացատրությունները տրված են շեղատառերով՝ քառակուսի փակագծերում [ ]։</w:t>
      </w:r>
    </w:p>
    <w:p w14:paraId="1968CBC8" w14:textId="77777777" w:rsidR="004F5982" w:rsidRPr="00826F05" w:rsidRDefault="004F5982" w:rsidP="004F5982">
      <w:pPr>
        <w:spacing w:after="160" w:line="360" w:lineRule="auto"/>
        <w:jc w:val="both"/>
        <w:rPr>
          <w:rFonts w:ascii="Sylfaen" w:hAnsi="Sylfaen"/>
          <w:sz w:val="24"/>
          <w:szCs w:val="24"/>
        </w:rPr>
      </w:pPr>
    </w:p>
    <w:p w14:paraId="645E6C2E" w14:textId="77777777" w:rsidR="004F5982" w:rsidRPr="00826F05" w:rsidRDefault="004F5982" w:rsidP="004F5982">
      <w:pPr>
        <w:spacing w:after="160" w:line="360" w:lineRule="auto"/>
        <w:ind w:left="2124" w:right="156" w:hanging="2124"/>
        <w:jc w:val="right"/>
        <w:rPr>
          <w:rFonts w:ascii="Sylfaen" w:eastAsia="Times New Roman" w:hAnsi="Sylfaen" w:cs="Times New Roman"/>
          <w:sz w:val="24"/>
          <w:szCs w:val="24"/>
        </w:rPr>
      </w:pPr>
      <w:r w:rsidRPr="00826F05">
        <w:rPr>
          <w:rFonts w:ascii="Sylfaen" w:hAnsi="Sylfaen"/>
          <w:sz w:val="24"/>
          <w:szCs w:val="24"/>
        </w:rPr>
        <w:t>(ձ</w:t>
      </w:r>
      <w:r w:rsidR="00C54D75">
        <w:rPr>
          <w:rFonts w:ascii="Sylfaen" w:hAnsi="Sylfaen"/>
          <w:sz w:val="24"/>
          <w:szCs w:val="24"/>
        </w:rPr>
        <w:t>և</w:t>
      </w:r>
      <w:r w:rsidRPr="00826F05">
        <w:rPr>
          <w:rFonts w:ascii="Sylfaen" w:hAnsi="Sylfaen"/>
          <w:sz w:val="24"/>
          <w:szCs w:val="24"/>
        </w:rPr>
        <w:t xml:space="preserve">) </w:t>
      </w:r>
    </w:p>
    <w:p w14:paraId="15690737"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I տիպի փոփոխությունների կատարման գնահատման եզրակացություն</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10903AC6" w14:textId="77777777" w:rsidTr="004F5982">
        <w:trPr>
          <w:jc w:val="center"/>
        </w:trPr>
        <w:tc>
          <w:tcPr>
            <w:tcW w:w="6204" w:type="dxa"/>
          </w:tcPr>
          <w:p w14:paraId="79468F0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Դեղապատրաստուկի առ</w:t>
            </w:r>
            <w:r w:rsidR="00C54D75">
              <w:rPr>
                <w:rFonts w:ascii="Sylfaen" w:hAnsi="Sylfaen"/>
                <w:sz w:val="24"/>
                <w:szCs w:val="24"/>
              </w:rPr>
              <w:t>և</w:t>
            </w:r>
            <w:r w:rsidRPr="00826F05">
              <w:rPr>
                <w:rFonts w:ascii="Sylfaen" w:hAnsi="Sylfaen"/>
                <w:sz w:val="24"/>
                <w:szCs w:val="24"/>
              </w:rPr>
              <w:t>տրային անվանումը</w:t>
            </w:r>
          </w:p>
        </w:tc>
        <w:tc>
          <w:tcPr>
            <w:tcW w:w="3650" w:type="dxa"/>
          </w:tcPr>
          <w:p w14:paraId="22EA461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D328A86" w14:textId="77777777" w:rsidTr="004F5982">
        <w:trPr>
          <w:jc w:val="center"/>
        </w:trPr>
        <w:tc>
          <w:tcPr>
            <w:tcW w:w="6204" w:type="dxa"/>
          </w:tcPr>
          <w:p w14:paraId="082B83E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Միջազգային չարտոնագրված անվանումը</w:t>
            </w:r>
          </w:p>
        </w:tc>
        <w:tc>
          <w:tcPr>
            <w:tcW w:w="3650" w:type="dxa"/>
          </w:tcPr>
          <w:p w14:paraId="08707483"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C36E054" w14:textId="77777777" w:rsidTr="004F5982">
        <w:trPr>
          <w:jc w:val="center"/>
        </w:trPr>
        <w:tc>
          <w:tcPr>
            <w:tcW w:w="6204" w:type="dxa"/>
          </w:tcPr>
          <w:p w14:paraId="76F914B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Դեաչափը (դեղաչափերը) կամ խտությունը (խտությունները)</w:t>
            </w:r>
          </w:p>
        </w:tc>
        <w:tc>
          <w:tcPr>
            <w:tcW w:w="3650" w:type="dxa"/>
          </w:tcPr>
          <w:p w14:paraId="4C9C88BF"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66F2F4D" w14:textId="77777777" w:rsidTr="004F5982">
        <w:trPr>
          <w:jc w:val="center"/>
        </w:trPr>
        <w:tc>
          <w:tcPr>
            <w:tcW w:w="6204" w:type="dxa"/>
          </w:tcPr>
          <w:p w14:paraId="5048C14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Դեղաձ</w:t>
            </w:r>
            <w:r w:rsidR="00C54D75">
              <w:rPr>
                <w:rFonts w:ascii="Sylfaen" w:hAnsi="Sylfaen"/>
                <w:sz w:val="24"/>
                <w:szCs w:val="24"/>
              </w:rPr>
              <w:t>և</w:t>
            </w:r>
            <w:r w:rsidRPr="00826F05">
              <w:rPr>
                <w:rFonts w:ascii="Sylfaen" w:hAnsi="Sylfaen"/>
                <w:sz w:val="24"/>
                <w:szCs w:val="24"/>
              </w:rPr>
              <w:t>ը</w:t>
            </w:r>
          </w:p>
        </w:tc>
        <w:tc>
          <w:tcPr>
            <w:tcW w:w="3650" w:type="dxa"/>
          </w:tcPr>
          <w:p w14:paraId="122C3EB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0A57250F" w14:textId="77777777" w:rsidTr="004F5982">
        <w:trPr>
          <w:jc w:val="center"/>
        </w:trPr>
        <w:tc>
          <w:tcPr>
            <w:tcW w:w="6204" w:type="dxa"/>
          </w:tcPr>
          <w:p w14:paraId="32766C9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Բացթողման ձ</w:t>
            </w:r>
            <w:r w:rsidR="00C54D75">
              <w:rPr>
                <w:rFonts w:ascii="Sylfaen" w:hAnsi="Sylfaen"/>
                <w:sz w:val="24"/>
                <w:szCs w:val="24"/>
              </w:rPr>
              <w:t>և</w:t>
            </w:r>
            <w:r w:rsidRPr="00826F05">
              <w:rPr>
                <w:rFonts w:ascii="Sylfaen" w:hAnsi="Sylfaen"/>
                <w:sz w:val="24"/>
                <w:szCs w:val="24"/>
              </w:rPr>
              <w:t>ը</w:t>
            </w:r>
          </w:p>
        </w:tc>
        <w:tc>
          <w:tcPr>
            <w:tcW w:w="3650" w:type="dxa"/>
          </w:tcPr>
          <w:p w14:paraId="0431ECD4"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F55284B" w14:textId="77777777" w:rsidTr="004F5982">
        <w:trPr>
          <w:jc w:val="center"/>
        </w:trPr>
        <w:tc>
          <w:tcPr>
            <w:tcW w:w="6204" w:type="dxa"/>
          </w:tcPr>
          <w:p w14:paraId="4C35721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Գրանցման հավաստագրի իրավատերը</w:t>
            </w:r>
          </w:p>
        </w:tc>
        <w:tc>
          <w:tcPr>
            <w:tcW w:w="3650" w:type="dxa"/>
          </w:tcPr>
          <w:p w14:paraId="39669454" w14:textId="77777777" w:rsidR="004F5982" w:rsidRPr="00826F05" w:rsidRDefault="004F5982" w:rsidP="004F5982">
            <w:pPr>
              <w:spacing w:after="120" w:line="240" w:lineRule="auto"/>
              <w:jc w:val="both"/>
              <w:rPr>
                <w:rFonts w:ascii="Sylfaen" w:hAnsi="Sylfaen"/>
                <w:sz w:val="24"/>
                <w:szCs w:val="24"/>
              </w:rPr>
            </w:pPr>
          </w:p>
        </w:tc>
      </w:tr>
    </w:tbl>
    <w:p w14:paraId="70F78D8D" w14:textId="77777777" w:rsidR="004F5982" w:rsidRPr="00826F05" w:rsidRDefault="004F5982" w:rsidP="004F5982">
      <w:pPr>
        <w:spacing w:after="120" w:line="240" w:lineRule="auto"/>
        <w:jc w:val="both"/>
        <w:rPr>
          <w:rFonts w:ascii="Sylfaen" w:hAnsi="Sylfae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22AD3796" w14:textId="77777777" w:rsidTr="004F5982">
        <w:trPr>
          <w:jc w:val="center"/>
        </w:trPr>
        <w:tc>
          <w:tcPr>
            <w:tcW w:w="6204" w:type="dxa"/>
          </w:tcPr>
          <w:p w14:paraId="63FE3EE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lastRenderedPageBreak/>
              <w:t>Զեկուցողը</w:t>
            </w:r>
          </w:p>
        </w:tc>
        <w:tc>
          <w:tcPr>
            <w:tcW w:w="3650" w:type="dxa"/>
          </w:tcPr>
          <w:p w14:paraId="2BC0E8BC"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2B9CD41" w14:textId="77777777" w:rsidTr="004F5982">
        <w:trPr>
          <w:jc w:val="center"/>
        </w:trPr>
        <w:tc>
          <w:tcPr>
            <w:tcW w:w="6204" w:type="dxa"/>
          </w:tcPr>
          <w:p w14:paraId="6A3A2D50"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Հաշվետվության ամսաթիվը</w:t>
            </w:r>
          </w:p>
        </w:tc>
        <w:tc>
          <w:tcPr>
            <w:tcW w:w="3650" w:type="dxa"/>
          </w:tcPr>
          <w:p w14:paraId="54E93C44" w14:textId="77777777" w:rsidR="004F5982" w:rsidRPr="00826F05" w:rsidRDefault="004F5982" w:rsidP="004F5982">
            <w:pPr>
              <w:spacing w:after="120" w:line="240" w:lineRule="auto"/>
              <w:jc w:val="both"/>
              <w:rPr>
                <w:rFonts w:ascii="Sylfaen" w:hAnsi="Sylfaen"/>
                <w:sz w:val="24"/>
                <w:szCs w:val="24"/>
              </w:rPr>
            </w:pPr>
          </w:p>
        </w:tc>
      </w:tr>
    </w:tbl>
    <w:p w14:paraId="7D03F433" w14:textId="77777777" w:rsidR="004F5982" w:rsidRPr="00826F05" w:rsidRDefault="004F5982" w:rsidP="004F5982">
      <w:pPr>
        <w:spacing w:after="120" w:line="240" w:lineRule="auto"/>
        <w:jc w:val="both"/>
        <w:rPr>
          <w:rFonts w:ascii="Sylfaen" w:hAnsi="Sylfaen"/>
          <w:sz w:val="24"/>
          <w:szCs w:val="24"/>
        </w:rPr>
      </w:pP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1858F14C" w14:textId="77777777" w:rsidTr="004F5982">
        <w:trPr>
          <w:jc w:val="center"/>
        </w:trPr>
        <w:tc>
          <w:tcPr>
            <w:tcW w:w="6204" w:type="dxa"/>
          </w:tcPr>
          <w:p w14:paraId="1BBC549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Զեկուցողը</w:t>
            </w:r>
          </w:p>
        </w:tc>
        <w:tc>
          <w:tcPr>
            <w:tcW w:w="3650" w:type="dxa"/>
          </w:tcPr>
          <w:p w14:paraId="23052B40"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FECC0B6" w14:textId="77777777" w:rsidTr="004F5982">
        <w:trPr>
          <w:jc w:val="center"/>
        </w:trPr>
        <w:tc>
          <w:tcPr>
            <w:tcW w:w="6204" w:type="dxa"/>
          </w:tcPr>
          <w:p w14:paraId="272DA92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Արձագանքների ներկայացման վերջին ժամկետը</w:t>
            </w:r>
          </w:p>
        </w:tc>
        <w:tc>
          <w:tcPr>
            <w:tcW w:w="3650" w:type="dxa"/>
          </w:tcPr>
          <w:p w14:paraId="1DC028DF" w14:textId="77777777" w:rsidR="004F5982" w:rsidRPr="00826F05" w:rsidRDefault="004F5982" w:rsidP="004F5982">
            <w:pPr>
              <w:spacing w:after="120" w:line="240" w:lineRule="auto"/>
              <w:jc w:val="both"/>
              <w:rPr>
                <w:rFonts w:ascii="Sylfaen" w:hAnsi="Sylfaen"/>
                <w:sz w:val="24"/>
                <w:szCs w:val="24"/>
              </w:rPr>
            </w:pPr>
          </w:p>
        </w:tc>
      </w:tr>
    </w:tbl>
    <w:p w14:paraId="68A9EDD1" w14:textId="77777777" w:rsidR="004F5982" w:rsidRPr="00826F05" w:rsidRDefault="004F5982" w:rsidP="004F5982">
      <w:pPr>
        <w:spacing w:after="120" w:line="240" w:lineRule="auto"/>
        <w:jc w:val="both"/>
        <w:rPr>
          <w:rFonts w:ascii="Sylfaen" w:hAnsi="Sylfaen"/>
          <w:sz w:val="24"/>
          <w:szCs w:val="24"/>
        </w:rPr>
      </w:pPr>
    </w:p>
    <w:p w14:paraId="5A1553C0"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Վարչական տեղեկատվությունը</w:t>
      </w:r>
    </w:p>
    <w:tbl>
      <w:tblPr>
        <w:tblW w:w="9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9"/>
        <w:gridCol w:w="4536"/>
      </w:tblGrid>
      <w:tr w:rsidR="004F5982" w:rsidRPr="00826F05" w14:paraId="60EF3DA3" w14:textId="77777777" w:rsidTr="004F5982">
        <w:trPr>
          <w:jc w:val="center"/>
        </w:trPr>
        <w:tc>
          <w:tcPr>
            <w:tcW w:w="5369" w:type="dxa"/>
          </w:tcPr>
          <w:p w14:paraId="7F3ACB0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Զեկուցողի կոնտակտային անձը</w:t>
            </w:r>
          </w:p>
        </w:tc>
        <w:tc>
          <w:tcPr>
            <w:tcW w:w="4536" w:type="dxa"/>
          </w:tcPr>
          <w:p w14:paraId="0D8AF8E7"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277B5C0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4287706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tc>
      </w:tr>
      <w:tr w:rsidR="004F5982" w:rsidRPr="00826F05" w14:paraId="5EA52B00" w14:textId="77777777" w:rsidTr="004F5982">
        <w:trPr>
          <w:jc w:val="center"/>
        </w:trPr>
        <w:tc>
          <w:tcPr>
            <w:tcW w:w="5369" w:type="dxa"/>
          </w:tcPr>
          <w:p w14:paraId="551C6E7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Զեկուցողի փորձագետները</w:t>
            </w:r>
          </w:p>
          <w:p w14:paraId="3EC73D7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 xml:space="preserve">(ներքին </w:t>
            </w:r>
            <w:r w:rsidR="00C54D75">
              <w:rPr>
                <w:rFonts w:ascii="Sylfaen" w:hAnsi="Sylfaen"/>
                <w:sz w:val="24"/>
                <w:szCs w:val="24"/>
              </w:rPr>
              <w:t>և</w:t>
            </w:r>
            <w:r w:rsidRPr="00826F05">
              <w:rPr>
                <w:rFonts w:ascii="Sylfaen" w:hAnsi="Sylfaen"/>
                <w:sz w:val="24"/>
                <w:szCs w:val="24"/>
              </w:rPr>
              <w:t xml:space="preserve"> անկախ)</w:t>
            </w:r>
          </w:p>
        </w:tc>
        <w:tc>
          <w:tcPr>
            <w:tcW w:w="4536" w:type="dxa"/>
          </w:tcPr>
          <w:p w14:paraId="7C8E2E2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3-րդ մոդուլի փորձագետ (որակ)՝</w:t>
            </w:r>
          </w:p>
          <w:p w14:paraId="758DC79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5B2FC17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521D5CE0"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4B80E021"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3-րդ մոդուլի փորձագետ</w:t>
            </w:r>
          </w:p>
          <w:p w14:paraId="2A233B4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(նախակլինիկա)՝</w:t>
            </w:r>
          </w:p>
          <w:p w14:paraId="24A55B0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76A2AFC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5A3F408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479AB0F0" w14:textId="77777777" w:rsidR="004F5982" w:rsidRPr="00826F05" w:rsidRDefault="004F5982" w:rsidP="004F5982">
            <w:pPr>
              <w:spacing w:after="120" w:line="240" w:lineRule="auto"/>
              <w:rPr>
                <w:rFonts w:ascii="Sylfaen" w:hAnsi="Sylfaen"/>
                <w:sz w:val="24"/>
                <w:szCs w:val="24"/>
              </w:rPr>
            </w:pPr>
          </w:p>
          <w:p w14:paraId="1482CEBE"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5-րդ մոդուլի փորձագետ (կլինիկա)՝</w:t>
            </w:r>
          </w:p>
          <w:p w14:paraId="7942038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748EF85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2BDACDD8"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0417AB05" w14:textId="77777777" w:rsidR="004F5982" w:rsidRPr="00826F05" w:rsidRDefault="004F5982" w:rsidP="004F5982">
            <w:pPr>
              <w:spacing w:after="120" w:line="240" w:lineRule="auto"/>
              <w:rPr>
                <w:rFonts w:ascii="Sylfaen" w:hAnsi="Sylfaen"/>
                <w:sz w:val="24"/>
                <w:szCs w:val="24"/>
              </w:rPr>
            </w:pPr>
          </w:p>
          <w:p w14:paraId="1B08803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դեղազգոնության փորձագետը՝</w:t>
            </w:r>
          </w:p>
          <w:p w14:paraId="302C581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303C191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0C9C2E3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tc>
      </w:tr>
    </w:tbl>
    <w:p w14:paraId="016F7BFD" w14:textId="77777777" w:rsidR="004F5982" w:rsidRDefault="004F5982" w:rsidP="004F5982">
      <w:pPr>
        <w:spacing w:after="160" w:line="360" w:lineRule="auto"/>
        <w:jc w:val="both"/>
        <w:rPr>
          <w:rFonts w:ascii="Sylfaen" w:hAnsi="Sylfaen"/>
          <w:sz w:val="24"/>
          <w:szCs w:val="24"/>
        </w:rPr>
      </w:pPr>
    </w:p>
    <w:p w14:paraId="2CF45C59" w14:textId="77777777" w:rsidR="004F5982" w:rsidRPr="00826F05" w:rsidRDefault="004F5982" w:rsidP="004F5982">
      <w:pPr>
        <w:spacing w:after="160" w:line="360" w:lineRule="auto"/>
        <w:jc w:val="both"/>
        <w:rPr>
          <w:rFonts w:ascii="Sylfaen" w:hAnsi="Sylfaen"/>
          <w:sz w:val="24"/>
          <w:szCs w:val="24"/>
        </w:rPr>
      </w:pPr>
    </w:p>
    <w:p w14:paraId="35878818" w14:textId="77777777" w:rsidR="004F5982" w:rsidRPr="00826F05" w:rsidRDefault="004F5982" w:rsidP="00487007">
      <w:pPr>
        <w:tabs>
          <w:tab w:val="left" w:pos="1701"/>
        </w:tabs>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1. Առաջարկությունը</w:t>
      </w:r>
    </w:p>
    <w:p w14:paraId="2B7CC3D2" w14:textId="77777777" w:rsidR="004F5982" w:rsidRPr="00083E00"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Որակի, անվտանգության </w:t>
      </w:r>
      <w:r w:rsidR="00C54D75">
        <w:rPr>
          <w:rFonts w:ascii="Sylfaen" w:hAnsi="Sylfaen"/>
          <w:sz w:val="24"/>
          <w:szCs w:val="24"/>
        </w:rPr>
        <w:t>և</w:t>
      </w:r>
      <w:r w:rsidRPr="00826F05">
        <w:rPr>
          <w:rFonts w:ascii="Sylfaen" w:hAnsi="Sylfaen"/>
          <w:sz w:val="24"/>
          <w:szCs w:val="24"/>
        </w:rPr>
        <w:t xml:space="preserve"> արդյունավետության մասին տվյալների ամփոփման հիման վրա՝ փորձագետը համարում է, որ փոփոխությունների տիպը, 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 (այսուհետ՝ Կանոններ) թիվ 19 </w:t>
      </w:r>
      <w:r w:rsidR="00C54D75">
        <w:rPr>
          <w:rFonts w:ascii="Sylfaen" w:hAnsi="Sylfaen"/>
          <w:sz w:val="24"/>
          <w:szCs w:val="24"/>
        </w:rPr>
        <w:t>և</w:t>
      </w:r>
      <w:r w:rsidRPr="00826F05">
        <w:rPr>
          <w:rFonts w:ascii="Sylfaen" w:hAnsi="Sylfaen"/>
          <w:sz w:val="24"/>
          <w:szCs w:val="24"/>
        </w:rPr>
        <w:t xml:space="preserve"> 20 հավելվածներին համապատասխան, դեղապատրաստուկի առ</w:t>
      </w:r>
      <w:r w:rsidR="00C54D75">
        <w:rPr>
          <w:rFonts w:ascii="Sylfaen" w:hAnsi="Sylfaen"/>
          <w:sz w:val="24"/>
          <w:szCs w:val="24"/>
        </w:rPr>
        <w:t>և</w:t>
      </w:r>
      <w:r w:rsidRPr="00826F05">
        <w:rPr>
          <w:rFonts w:ascii="Sylfaen" w:hAnsi="Sylfaen"/>
          <w:sz w:val="24"/>
          <w:szCs w:val="24"/>
        </w:rPr>
        <w:t xml:space="preserve">տրային անվանման համար </w:t>
      </w:r>
      <w:r w:rsidRPr="00083E00">
        <w:rPr>
          <w:rFonts w:ascii="Sylfaen" w:hAnsi="Sylfaen"/>
          <w:i/>
          <w:sz w:val="24"/>
          <w:szCs w:val="24"/>
        </w:rPr>
        <w:t>&lt;առ</w:t>
      </w:r>
      <w:r w:rsidR="00C54D75">
        <w:rPr>
          <w:rFonts w:ascii="Sylfaen" w:hAnsi="Sylfaen"/>
          <w:i/>
          <w:sz w:val="24"/>
          <w:szCs w:val="24"/>
        </w:rPr>
        <w:t>և</w:t>
      </w:r>
      <w:r w:rsidRPr="00083E00">
        <w:rPr>
          <w:rFonts w:ascii="Sylfaen" w:hAnsi="Sylfaen"/>
          <w:i/>
          <w:sz w:val="24"/>
          <w:szCs w:val="24"/>
        </w:rPr>
        <w:t>տրային անվանումը&gt;,</w:t>
      </w:r>
      <w:r w:rsidRPr="00826F05">
        <w:rPr>
          <w:rFonts w:ascii="Sylfaen" w:hAnsi="Sylfaen"/>
          <w:sz w:val="24"/>
          <w:szCs w:val="24"/>
        </w:rPr>
        <w:t xml:space="preserve"> </w:t>
      </w:r>
      <w:r w:rsidRPr="00083E00">
        <w:rPr>
          <w:rFonts w:ascii="Sylfaen" w:hAnsi="Sylfaen"/>
          <w:i/>
          <w:sz w:val="24"/>
          <w:szCs w:val="24"/>
        </w:rPr>
        <w:t>&lt;ՄՉԱ-ն&gt;,</w:t>
      </w:r>
      <w:r w:rsidRPr="00826F05">
        <w:rPr>
          <w:rFonts w:ascii="Sylfaen" w:hAnsi="Sylfaen"/>
          <w:sz w:val="24"/>
          <w:szCs w:val="24"/>
        </w:rPr>
        <w:t xml:space="preserve"> բուժման դեպքում </w:t>
      </w:r>
      <w:r w:rsidRPr="00083E00">
        <w:rPr>
          <w:rFonts w:ascii="Sylfaen" w:hAnsi="Sylfaen"/>
          <w:i/>
          <w:sz w:val="24"/>
          <w:szCs w:val="24"/>
        </w:rPr>
        <w:t>&lt;ՀՄԴ ծածկագիրը&gt;</w:t>
      </w:r>
      <w:r w:rsidRPr="00826F05">
        <w:rPr>
          <w:rFonts w:ascii="Sylfaen" w:hAnsi="Sylfaen"/>
          <w:sz w:val="24"/>
          <w:szCs w:val="24"/>
        </w:rPr>
        <w:t xml:space="preserve">՝ առաջարկվող հաջորդ փոփոխության համար, </w:t>
      </w:r>
      <w:r w:rsidRPr="00083E00">
        <w:rPr>
          <w:rFonts w:ascii="Sylfaen" w:hAnsi="Sylfaen"/>
          <w:i/>
          <w:sz w:val="24"/>
          <w:szCs w:val="24"/>
        </w:rPr>
        <w:t>&lt;նշել&gt;՝</w:t>
      </w:r>
    </w:p>
    <w:p w14:paraId="6C7108D5"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&lt;հաստատվում է&gt;.</w:t>
      </w:r>
    </w:p>
    <w:p w14:paraId="476CC066"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&lt;կարող է հաստատվել այն պայմանով, որ բավարարող պատասխաններ տրվեն «այլ դիտողությունների» մասով, ինչպես նկարագրված է սույն ձ</w:t>
      </w:r>
      <w:r w:rsidR="00C54D75">
        <w:rPr>
          <w:rFonts w:ascii="Sylfaen" w:hAnsi="Sylfaen"/>
          <w:i/>
          <w:sz w:val="24"/>
          <w:szCs w:val="24"/>
        </w:rPr>
        <w:t>և</w:t>
      </w:r>
      <w:r w:rsidRPr="00083E00">
        <w:rPr>
          <w:rFonts w:ascii="Sylfaen" w:hAnsi="Sylfaen"/>
          <w:i/>
          <w:sz w:val="24"/>
          <w:szCs w:val="24"/>
        </w:rPr>
        <w:t>ի 4-րդ բաժնում&gt;.</w:t>
      </w:r>
    </w:p>
    <w:p w14:paraId="321DEDFC"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&lt;չի հաստատվում, քանի որ «կրիտիկական դիտողությունների» տեղիք է տալիս&gt;:</w:t>
      </w:r>
    </w:p>
    <w:p w14:paraId="413FA9B9" w14:textId="77777777" w:rsidR="004F5982" w:rsidRPr="00083E00" w:rsidRDefault="004F5982" w:rsidP="00487007">
      <w:pPr>
        <w:spacing w:after="160" w:line="360" w:lineRule="auto"/>
        <w:ind w:firstLine="567"/>
        <w:jc w:val="both"/>
        <w:rPr>
          <w:rFonts w:ascii="Sylfaen" w:eastAsia="Times New Roman" w:hAnsi="Sylfaen" w:cs="Times New Roman"/>
          <w:i/>
          <w:sz w:val="24"/>
          <w:szCs w:val="24"/>
        </w:rPr>
      </w:pPr>
      <w:r w:rsidRPr="00083E00">
        <w:rPr>
          <w:rFonts w:ascii="Sylfaen" w:hAnsi="Sylfaen"/>
          <w:i/>
          <w:sz w:val="24"/>
          <w:szCs w:val="24"/>
        </w:rPr>
        <w:t>[Փոփոխությունների կիրառման ոլորտը ճիշտ ընկալելու համար հարկ է ավելացնել Կանոնների թիվ 19 հավելվածից փոփոխության ծածկագիրը, կամ Կանոնների թիվ 20 հավելվածից՝ փոփոխությունների բաժինը]</w:t>
      </w:r>
    </w:p>
    <w:p w14:paraId="425EFB7E" w14:textId="27C5DECF"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Չհաստատված փոփոխություն նշանակում է, որ «կրիտիկական</w:t>
      </w:r>
      <w:r>
        <w:rPr>
          <w:rFonts w:ascii="Sylfaen" w:hAnsi="Sylfaen"/>
          <w:sz w:val="24"/>
          <w:szCs w:val="24"/>
        </w:rPr>
        <w:t> </w:t>
      </w:r>
      <w:r w:rsidRPr="00826F05">
        <w:rPr>
          <w:rFonts w:ascii="Sylfaen" w:hAnsi="Sylfaen"/>
          <w:sz w:val="24"/>
          <w:szCs w:val="24"/>
        </w:rPr>
        <w:t xml:space="preserve">դիտողություններ» </w:t>
      </w:r>
      <w:r w:rsidR="0056496B">
        <w:rPr>
          <w:rFonts w:ascii="Sylfaen" w:hAnsi="Sylfaen"/>
          <w:sz w:val="24"/>
          <w:szCs w:val="24"/>
        </w:rPr>
        <w:t>դիմում</w:t>
      </w:r>
      <w:r w:rsidRPr="00826F05">
        <w:rPr>
          <w:rFonts w:ascii="Sylfaen" w:hAnsi="Sylfaen"/>
          <w:sz w:val="24"/>
          <w:szCs w:val="24"/>
        </w:rPr>
        <w:t>նաբերելու պահից սկսած՝ գրանցման դոսյեում փոփոխություններ կատարելու մասին առաջարկությունը հանվում է: Այդ</w:t>
      </w:r>
      <w:r>
        <w:rPr>
          <w:rFonts w:ascii="Sylfaen" w:hAnsi="Sylfaen"/>
          <w:sz w:val="24"/>
          <w:szCs w:val="24"/>
        </w:rPr>
        <w:t> </w:t>
      </w:r>
      <w:r w:rsidRPr="00826F05">
        <w:rPr>
          <w:rFonts w:ascii="Sylfaen" w:hAnsi="Sylfaen"/>
          <w:sz w:val="24"/>
          <w:szCs w:val="24"/>
        </w:rPr>
        <w:t>հիմնական առարկությունների մասին մանրամասն տեղեկատվությունը գրավոր ձ</w:t>
      </w:r>
      <w:r w:rsidR="00C54D75">
        <w:rPr>
          <w:rFonts w:ascii="Sylfaen" w:hAnsi="Sylfaen"/>
          <w:sz w:val="24"/>
          <w:szCs w:val="24"/>
        </w:rPr>
        <w:t>և</w:t>
      </w:r>
      <w:r w:rsidRPr="00826F05">
        <w:rPr>
          <w:rFonts w:ascii="Sylfaen" w:hAnsi="Sylfaen"/>
          <w:sz w:val="24"/>
          <w:szCs w:val="24"/>
        </w:rPr>
        <w:t>ով բերվում է ստոր</w:t>
      </w:r>
      <w:r w:rsidR="00C54D75">
        <w:rPr>
          <w:rFonts w:ascii="Sylfaen" w:hAnsi="Sylfaen"/>
          <w:sz w:val="24"/>
          <w:szCs w:val="24"/>
        </w:rPr>
        <w:t>և</w:t>
      </w:r>
      <w:r w:rsidRPr="00826F05">
        <w:rPr>
          <w:rFonts w:ascii="Sylfaen" w:hAnsi="Sylfaen"/>
          <w:sz w:val="24"/>
          <w:szCs w:val="24"/>
        </w:rPr>
        <w:t>՝ ի լրումն հեռախոսակապի միջոցով այդ մասին բանավոր ծանուցման: Կրիտիկական դիտողությունների պատասխաններից բացի՝ մերժման դեպքում բավարարող պատասխաններ պետք է տրվեն նա</w:t>
      </w:r>
      <w:r w:rsidR="00C54D75">
        <w:rPr>
          <w:rFonts w:ascii="Sylfaen" w:hAnsi="Sylfaen"/>
          <w:sz w:val="24"/>
          <w:szCs w:val="24"/>
        </w:rPr>
        <w:t>և</w:t>
      </w:r>
      <w:r w:rsidRPr="00826F05">
        <w:rPr>
          <w:rFonts w:ascii="Sylfaen" w:hAnsi="Sylfaen"/>
          <w:sz w:val="24"/>
          <w:szCs w:val="24"/>
        </w:rPr>
        <w:t xml:space="preserve"> «ոչ էական (այլ) դիտողությունների» մասով, ինչպես նկարագրված է սույն ձ</w:t>
      </w:r>
      <w:r w:rsidR="00C54D75">
        <w:rPr>
          <w:rFonts w:ascii="Sylfaen" w:hAnsi="Sylfaen"/>
          <w:sz w:val="24"/>
          <w:szCs w:val="24"/>
        </w:rPr>
        <w:t>և</w:t>
      </w:r>
      <w:r w:rsidRPr="00826F05">
        <w:rPr>
          <w:rFonts w:ascii="Sylfaen" w:hAnsi="Sylfaen"/>
          <w:sz w:val="24"/>
          <w:szCs w:val="24"/>
        </w:rPr>
        <w:t>ի 4-րդ բաժնում:</w:t>
      </w:r>
    </w:p>
    <w:p w14:paraId="50E2F015"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083E00">
        <w:rPr>
          <w:rFonts w:ascii="Sylfaen" w:hAnsi="Sylfaen"/>
          <w:spacing w:val="-6"/>
          <w:sz w:val="24"/>
          <w:szCs w:val="24"/>
        </w:rPr>
        <w:t xml:space="preserve">Բացի այդ, զեկուցողը գրանցման հավաստագրի համար </w:t>
      </w:r>
      <w:r w:rsidR="00C54D75">
        <w:rPr>
          <w:rFonts w:ascii="Sylfaen" w:hAnsi="Sylfaen"/>
          <w:spacing w:val="-6"/>
          <w:sz w:val="24"/>
          <w:szCs w:val="24"/>
        </w:rPr>
        <w:t>և</w:t>
      </w:r>
      <w:r w:rsidRPr="00083E00">
        <w:rPr>
          <w:rFonts w:ascii="Sylfaen" w:hAnsi="Sylfaen"/>
          <w:spacing w:val="-6"/>
          <w:sz w:val="24"/>
          <w:szCs w:val="24"/>
        </w:rPr>
        <w:t xml:space="preserve"> դեղապատրաստուկի ընդհանուր բնութագրին կից ներկայացվող փոփոխությունների համար առաջարկում է հետ</w:t>
      </w:r>
      <w:r w:rsidR="00C54D75">
        <w:rPr>
          <w:rFonts w:ascii="Sylfaen" w:hAnsi="Sylfaen"/>
          <w:spacing w:val="-6"/>
          <w:sz w:val="24"/>
          <w:szCs w:val="24"/>
        </w:rPr>
        <w:t>և</w:t>
      </w:r>
      <w:r w:rsidRPr="00083E00">
        <w:rPr>
          <w:rFonts w:ascii="Sylfaen" w:hAnsi="Sylfaen"/>
          <w:spacing w:val="-6"/>
          <w:sz w:val="24"/>
          <w:szCs w:val="24"/>
        </w:rPr>
        <w:t>յալ պայմանները</w:t>
      </w:r>
      <w:r w:rsidRPr="00826F05">
        <w:rPr>
          <w:rFonts w:ascii="Sylfaen" w:hAnsi="Sylfaen"/>
          <w:sz w:val="24"/>
          <w:szCs w:val="24"/>
        </w:rPr>
        <w:t xml:space="preserve"> (տե՛ս A հավելվածը): </w:t>
      </w:r>
    </w:p>
    <w:p w14:paraId="2D21314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Մերժման հիմքերը՝</w:t>
      </w:r>
    </w:p>
    <w:p w14:paraId="6D6BDD2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[Բաժինը լրացվում է բացասական կարծիքի դեպքում]</w:t>
      </w:r>
    </w:p>
    <w:p w14:paraId="5E105778" w14:textId="77777777" w:rsidR="004F5982" w:rsidRPr="00826F05" w:rsidRDefault="004F5982" w:rsidP="00487007">
      <w:pPr>
        <w:tabs>
          <w:tab w:val="left" w:pos="1701"/>
        </w:tabs>
        <w:spacing w:after="160" w:line="360" w:lineRule="auto"/>
        <w:ind w:right="-2" w:firstLine="567"/>
        <w:jc w:val="both"/>
        <w:rPr>
          <w:rFonts w:ascii="Sylfaen" w:hAnsi="Sylfaen"/>
          <w:sz w:val="24"/>
          <w:szCs w:val="24"/>
        </w:rPr>
      </w:pPr>
    </w:p>
    <w:p w14:paraId="33F86DE3" w14:textId="77777777" w:rsidR="004F5982" w:rsidRPr="00E74ADC"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 xml:space="preserve">2. Գիտական </w:t>
      </w:r>
      <w:r w:rsidR="00487007">
        <w:rPr>
          <w:rFonts w:ascii="Sylfaen" w:hAnsi="Sylfaen"/>
          <w:sz w:val="24"/>
          <w:szCs w:val="24"/>
        </w:rPr>
        <w:t>քննարկում։</w:t>
      </w:r>
    </w:p>
    <w:p w14:paraId="5C9C6864"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 Ներածություն</w:t>
      </w:r>
    </w:p>
    <w:p w14:paraId="775DB6BE" w14:textId="6F8410A5"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 xml:space="preserve">[Նշվում է այն դեղամիջոցի </w:t>
      </w:r>
      <w:r w:rsidR="00C54D75">
        <w:rPr>
          <w:rFonts w:ascii="Sylfaen" w:hAnsi="Sylfaen"/>
          <w:i/>
          <w:sz w:val="24"/>
          <w:szCs w:val="24"/>
        </w:rPr>
        <w:t>և</w:t>
      </w:r>
      <w:r w:rsidRPr="00083E00">
        <w:rPr>
          <w:rFonts w:ascii="Sylfaen" w:hAnsi="Sylfaen"/>
          <w:i/>
          <w:sz w:val="24"/>
          <w:szCs w:val="24"/>
        </w:rPr>
        <w:t xml:space="preserve"> դրա դեղաթերապ</w:t>
      </w:r>
      <w:r w:rsidR="00C54D75">
        <w:rPr>
          <w:rFonts w:ascii="Sylfaen" w:hAnsi="Sylfaen"/>
          <w:i/>
          <w:sz w:val="24"/>
          <w:szCs w:val="24"/>
        </w:rPr>
        <w:t>և</w:t>
      </w:r>
      <w:r w:rsidRPr="00083E00">
        <w:rPr>
          <w:rFonts w:ascii="Sylfaen" w:hAnsi="Sylfaen"/>
          <w:i/>
          <w:sz w:val="24"/>
          <w:szCs w:val="24"/>
        </w:rPr>
        <w:t xml:space="preserve">տիկ ազդեցության մասին համառոտ </w:t>
      </w:r>
      <w:r w:rsidR="00F82B65">
        <w:rPr>
          <w:rFonts w:ascii="Sylfaen" w:hAnsi="Sylfaen"/>
          <w:i/>
          <w:sz w:val="24"/>
          <w:szCs w:val="24"/>
        </w:rPr>
        <w:t>հայտարարություն</w:t>
      </w:r>
      <w:r w:rsidRPr="00083E00">
        <w:rPr>
          <w:rFonts w:ascii="Sylfaen" w:hAnsi="Sylfaen"/>
          <w:i/>
          <w:sz w:val="24"/>
          <w:szCs w:val="24"/>
        </w:rPr>
        <w:t>, որի գրանցման դոսյեում ենթադրվում է փոփոխություններ կատարել։ Հարկ է համառոտակի անդրադառնալ առաջարկվող փոփոխության հիմնավորմանը (պատճառին): Եթե փոփոխությունը նախորդ գնահատման կամ հարցման արդյունք է, օրինակ՝ որ</w:t>
      </w:r>
      <w:r w:rsidR="00C54D75">
        <w:rPr>
          <w:rFonts w:ascii="Sylfaen" w:hAnsi="Sylfaen"/>
          <w:i/>
          <w:sz w:val="24"/>
          <w:szCs w:val="24"/>
        </w:rPr>
        <w:t>և</w:t>
      </w:r>
      <w:r w:rsidRPr="00083E00">
        <w:rPr>
          <w:rFonts w:ascii="Sylfaen" w:hAnsi="Sylfaen"/>
          <w:i/>
          <w:sz w:val="24"/>
          <w:szCs w:val="24"/>
        </w:rPr>
        <w:t xml:space="preserve">է որոշման կամ ԱՊԹՀ-ի (անվտանգության վերաբերյալ պարբերաբար թարմացվող հաշվետվության) կատարման համար ձեռնարկվող միջոցները, ապա հարկ է համառոտ շարադրել դրան առնչվող նախորդ քննարկումը </w:t>
      </w:r>
      <w:r w:rsidR="00C54D75">
        <w:rPr>
          <w:rFonts w:ascii="Sylfaen" w:hAnsi="Sylfaen"/>
          <w:i/>
          <w:sz w:val="24"/>
          <w:szCs w:val="24"/>
        </w:rPr>
        <w:t>և</w:t>
      </w:r>
      <w:r w:rsidRPr="00083E00">
        <w:rPr>
          <w:rFonts w:ascii="Sylfaen" w:hAnsi="Sylfaen"/>
          <w:i/>
          <w:sz w:val="24"/>
          <w:szCs w:val="24"/>
        </w:rPr>
        <w:t xml:space="preserve"> եզրակացությունը:</w:t>
      </w:r>
    </w:p>
    <w:p w14:paraId="61387EDF"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 xml:space="preserve">Գրանցման (վերագրանցման, փոփոխությունների կատարման) վերաբերյալ եզրակացության համապատասխան բաժիններում </w:t>
      </w:r>
      <w:r w:rsidR="00C54D75">
        <w:rPr>
          <w:rFonts w:ascii="Sylfaen" w:hAnsi="Sylfaen"/>
          <w:i/>
          <w:sz w:val="24"/>
          <w:szCs w:val="24"/>
        </w:rPr>
        <w:t>և</w:t>
      </w:r>
      <w:r w:rsidRPr="00083E00">
        <w:rPr>
          <w:rFonts w:ascii="Sylfaen" w:hAnsi="Sylfaen"/>
          <w:i/>
          <w:sz w:val="24"/>
          <w:szCs w:val="24"/>
        </w:rPr>
        <w:t xml:space="preserve"> ենթավերնագրում հարկ է պահպանել որակի ասպեկտների, նախակլինիկական </w:t>
      </w:r>
      <w:r w:rsidR="00C54D75">
        <w:rPr>
          <w:rFonts w:ascii="Sylfaen" w:hAnsi="Sylfaen"/>
          <w:i/>
          <w:sz w:val="24"/>
          <w:szCs w:val="24"/>
        </w:rPr>
        <w:t>և</w:t>
      </w:r>
      <w:r w:rsidRPr="00083E00">
        <w:rPr>
          <w:rFonts w:ascii="Sylfaen" w:hAnsi="Sylfaen"/>
          <w:i/>
          <w:sz w:val="24"/>
          <w:szCs w:val="24"/>
        </w:rPr>
        <w:t xml:space="preserve"> կլինիկական ասպեկտների վերաբերյալ համապատասխան դաշտերը, սակայն համապատասխան հիմնավորման դեպքում ձ</w:t>
      </w:r>
      <w:r w:rsidR="00C54D75">
        <w:rPr>
          <w:rFonts w:ascii="Sylfaen" w:hAnsi="Sylfaen"/>
          <w:i/>
          <w:sz w:val="24"/>
          <w:szCs w:val="24"/>
        </w:rPr>
        <w:t>և</w:t>
      </w:r>
      <w:r w:rsidRPr="00083E00">
        <w:rPr>
          <w:rFonts w:ascii="Sylfaen" w:hAnsi="Sylfaen"/>
          <w:i/>
          <w:sz w:val="24"/>
          <w:szCs w:val="24"/>
        </w:rPr>
        <w:t>ի փոփոխությունը թույլատրվում է: Հետ</w:t>
      </w:r>
      <w:r w:rsidR="00C54D75">
        <w:rPr>
          <w:rFonts w:ascii="Sylfaen" w:hAnsi="Sylfaen"/>
          <w:i/>
          <w:sz w:val="24"/>
          <w:szCs w:val="24"/>
        </w:rPr>
        <w:t>և</w:t>
      </w:r>
      <w:r w:rsidRPr="00083E00">
        <w:rPr>
          <w:rFonts w:ascii="Sylfaen" w:hAnsi="Sylfaen"/>
          <w:i/>
          <w:sz w:val="24"/>
          <w:szCs w:val="24"/>
        </w:rPr>
        <w:t>յալ մասերի վերաբերյալ տեղեկատվությունը կարող է ներառվել ենթավերնագրերի հետ միասին (անհրաժեշտության դեպքում)]:</w:t>
      </w:r>
    </w:p>
    <w:p w14:paraId="4F6827EC" w14:textId="77777777" w:rsidR="004F5982" w:rsidRDefault="004F5982" w:rsidP="00487007">
      <w:pPr>
        <w:spacing w:after="160" w:line="360" w:lineRule="auto"/>
        <w:jc w:val="both"/>
        <w:rPr>
          <w:rFonts w:ascii="Sylfaen" w:hAnsi="Sylfaen"/>
          <w:sz w:val="24"/>
          <w:szCs w:val="24"/>
        </w:rPr>
      </w:pPr>
    </w:p>
    <w:p w14:paraId="69D06CB0"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2.2. Որակի ասպեկտները</w:t>
      </w:r>
    </w:p>
    <w:p w14:paraId="7BE6819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 Նախակլինիկական ասպեկտները</w:t>
      </w:r>
    </w:p>
    <w:p w14:paraId="55075088"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2.3.1. Մեթոդները՝ ներկայացված տվյալների վերլուծությունը</w:t>
      </w:r>
    </w:p>
    <w:p w14:paraId="14A94BD9"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2.3.2. Արդյունքները</w:t>
      </w:r>
    </w:p>
    <w:p w14:paraId="3DCF808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2.3.3. Քննարկումը</w:t>
      </w:r>
    </w:p>
    <w:p w14:paraId="5C82737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 Կլինիկական դեղաբանության ասպեկտները</w:t>
      </w:r>
    </w:p>
    <w:p w14:paraId="13946D7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2.4.1. Մեթոդները՝ ներկայացված տվյալների վերլուծությունը</w:t>
      </w:r>
    </w:p>
    <w:p w14:paraId="4037D11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2.4.2. Արդյունքները</w:t>
      </w:r>
    </w:p>
    <w:p w14:paraId="385CF99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2.4.3. Քննարկումը</w:t>
      </w:r>
    </w:p>
    <w:p w14:paraId="61DF92A2"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 Կլինիկական արդյունավետության ասպեկտները</w:t>
      </w:r>
    </w:p>
    <w:p w14:paraId="590931F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2.5.1. Մեթոդները՝ ներկայացված տվյալների վերլուծությունը</w:t>
      </w:r>
    </w:p>
    <w:p w14:paraId="50CE6D6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2.5.2. Արդյունքները</w:t>
      </w:r>
    </w:p>
    <w:p w14:paraId="1A48DE3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2.5.3. Քննարկումը</w:t>
      </w:r>
    </w:p>
    <w:p w14:paraId="7882BCB9"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 Կլինիկական անվտանգության ասպեկտները</w:t>
      </w:r>
    </w:p>
    <w:p w14:paraId="4A8EFAF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2.6.1. Մեթոդները՝ ներկայացված տվյալների վերլուծությունը</w:t>
      </w:r>
    </w:p>
    <w:p w14:paraId="6A3FD0C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2.6.2. Արդյունքները</w:t>
      </w:r>
    </w:p>
    <w:p w14:paraId="2D39D284"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2.6.3. Քննարկումը</w:t>
      </w:r>
    </w:p>
    <w:p w14:paraId="1E4DD278" w14:textId="21ABF324" w:rsidR="004F5982" w:rsidRPr="00E74ADC" w:rsidRDefault="004F5982" w:rsidP="00487007">
      <w:pPr>
        <w:spacing w:after="160" w:line="360" w:lineRule="auto"/>
        <w:ind w:right="-2" w:firstLine="567"/>
        <w:jc w:val="both"/>
        <w:rPr>
          <w:rFonts w:ascii="Sylfaen" w:hAnsi="Sylfaen"/>
          <w:i/>
          <w:sz w:val="24"/>
          <w:szCs w:val="24"/>
        </w:rPr>
      </w:pPr>
      <w:r w:rsidRPr="00083E00">
        <w:rPr>
          <w:rFonts w:ascii="Sylfaen" w:hAnsi="Sylfaen"/>
          <w:i/>
          <w:sz w:val="24"/>
          <w:szCs w:val="24"/>
        </w:rPr>
        <w:t xml:space="preserve">[Այն դեպքում, երբ մի քանի պատրաստուկների մասով փոփոխությունների կատարման մասին </w:t>
      </w:r>
      <w:r w:rsidR="0056496B">
        <w:rPr>
          <w:rFonts w:ascii="Sylfaen" w:hAnsi="Sylfaen"/>
          <w:i/>
          <w:sz w:val="24"/>
          <w:szCs w:val="24"/>
        </w:rPr>
        <w:t>դիմում</w:t>
      </w:r>
      <w:r w:rsidRPr="00083E00">
        <w:rPr>
          <w:rFonts w:ascii="Sylfaen" w:hAnsi="Sylfaen"/>
          <w:i/>
          <w:sz w:val="24"/>
          <w:szCs w:val="24"/>
        </w:rPr>
        <w:t xml:space="preserve"> է ներկայացվել, </w:t>
      </w:r>
      <w:r w:rsidR="00C54D75">
        <w:rPr>
          <w:rFonts w:ascii="Sylfaen" w:hAnsi="Sylfaen"/>
          <w:i/>
          <w:sz w:val="24"/>
          <w:szCs w:val="24"/>
        </w:rPr>
        <w:t>և</w:t>
      </w:r>
      <w:r w:rsidRPr="00083E00">
        <w:rPr>
          <w:rFonts w:ascii="Sylfaen" w:hAnsi="Sylfaen"/>
          <w:i/>
          <w:sz w:val="24"/>
          <w:szCs w:val="24"/>
        </w:rPr>
        <w:t xml:space="preserve"> դիրքերից որ</w:t>
      </w:r>
      <w:r w:rsidR="00C54D75">
        <w:rPr>
          <w:rFonts w:ascii="Sylfaen" w:hAnsi="Sylfaen"/>
          <w:i/>
          <w:sz w:val="24"/>
          <w:szCs w:val="24"/>
        </w:rPr>
        <w:t>և</w:t>
      </w:r>
      <w:r w:rsidRPr="00083E00">
        <w:rPr>
          <w:rFonts w:ascii="Sylfaen" w:hAnsi="Sylfaen"/>
          <w:i/>
          <w:sz w:val="24"/>
          <w:szCs w:val="24"/>
        </w:rPr>
        <w:t>է մեկում փորձագետները տարակարծիք են եղել դեղապատրաստուկների խմբի հարցում, այն անհրաժեշտ է առանձին նկարագրել՝ յուրաքանչյուր դեղապատրաստուկի մասով]:</w:t>
      </w:r>
    </w:p>
    <w:p w14:paraId="2A900822" w14:textId="77777777" w:rsidR="00487007" w:rsidRPr="00E74ADC" w:rsidRDefault="00487007" w:rsidP="00487007">
      <w:pPr>
        <w:spacing w:after="160" w:line="360" w:lineRule="auto"/>
        <w:ind w:right="-2" w:firstLine="567"/>
        <w:jc w:val="both"/>
        <w:rPr>
          <w:rFonts w:ascii="Sylfaen" w:eastAsia="Times New Roman" w:hAnsi="Sylfaen" w:cs="Times New Roman"/>
          <w:i/>
          <w:sz w:val="24"/>
          <w:szCs w:val="24"/>
        </w:rPr>
      </w:pPr>
    </w:p>
    <w:p w14:paraId="7294BF37"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2.7. Դեղաբանական վերահսկողության համակարգը</w:t>
      </w:r>
    </w:p>
    <w:p w14:paraId="4F788A08" w14:textId="0BC62D4B"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Փորձագետը համարում է, որ դեղազգոնության համակարգը, ինչպես նկարագրված է </w:t>
      </w:r>
      <w:r w:rsidR="0056496B">
        <w:rPr>
          <w:rFonts w:ascii="Sylfaen" w:hAnsi="Sylfaen"/>
          <w:sz w:val="24"/>
          <w:szCs w:val="24"/>
        </w:rPr>
        <w:t>դիմումատու</w:t>
      </w:r>
      <w:r w:rsidRPr="00826F05">
        <w:rPr>
          <w:rFonts w:ascii="Sylfaen" w:hAnsi="Sylfaen"/>
          <w:sz w:val="24"/>
          <w:szCs w:val="24"/>
        </w:rPr>
        <w:t xml:space="preserve">ի կողմից, բավարարում է Եվրասիական տնտեսական միության (այսուհետ՝ Միություն) դեղազգոնության պատշաճ գործունեության կանոնների պահանջները </w:t>
      </w:r>
      <w:r w:rsidR="00C54D75">
        <w:rPr>
          <w:rFonts w:ascii="Sylfaen" w:hAnsi="Sylfaen"/>
          <w:sz w:val="24"/>
          <w:szCs w:val="24"/>
        </w:rPr>
        <w:t>և</w:t>
      </w:r>
      <w:r w:rsidRPr="00826F05">
        <w:rPr>
          <w:rFonts w:ascii="Sylfaen" w:hAnsi="Sylfaen"/>
          <w:sz w:val="24"/>
          <w:szCs w:val="24"/>
        </w:rPr>
        <w:t xml:space="preserve"> ներկայացնում է բավարար ապացույցներ այն մասին, </w:t>
      </w:r>
      <w:r w:rsidRPr="00826F05">
        <w:rPr>
          <w:rFonts w:ascii="Sylfaen" w:hAnsi="Sylfaen"/>
          <w:sz w:val="24"/>
          <w:szCs w:val="24"/>
        </w:rPr>
        <w:lastRenderedPageBreak/>
        <w:t xml:space="preserve">որ </w:t>
      </w:r>
      <w:r w:rsidR="0056496B">
        <w:rPr>
          <w:rFonts w:ascii="Sylfaen" w:hAnsi="Sylfaen"/>
          <w:sz w:val="24"/>
          <w:szCs w:val="24"/>
        </w:rPr>
        <w:t>դիմումատու</w:t>
      </w:r>
      <w:r w:rsidRPr="00826F05">
        <w:rPr>
          <w:rFonts w:ascii="Sylfaen" w:hAnsi="Sylfaen"/>
          <w:sz w:val="24"/>
          <w:szCs w:val="24"/>
        </w:rPr>
        <w:t xml:space="preserve">ն օգտվում է դեղազգոնության համար պատասխանատու որակավորված անձի ծառայություններից </w:t>
      </w:r>
      <w:r w:rsidR="00C54D75">
        <w:rPr>
          <w:rFonts w:ascii="Sylfaen" w:hAnsi="Sylfaen"/>
          <w:sz w:val="24"/>
          <w:szCs w:val="24"/>
        </w:rPr>
        <w:t>և</w:t>
      </w:r>
      <w:r w:rsidRPr="00826F05">
        <w:rPr>
          <w:rFonts w:ascii="Sylfaen" w:hAnsi="Sylfaen"/>
          <w:sz w:val="24"/>
          <w:szCs w:val="24"/>
        </w:rPr>
        <w:t xml:space="preserve"> անհրաժեշտ միջոցներ ունի ցանկացած այնպիսի անբարենպաստ ռեակցիայի մասին ծանուցելու համար, որը կարող է տեղի ունենալ Միության անդամ պետություններում (այսուհետ՝ անդամ պետություններ) կամ Միության անդամ չհանդիսացող պետությունում:</w:t>
      </w:r>
    </w:p>
    <w:p w14:paraId="5E5421DB" w14:textId="228941A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Փորձագետը համարում է, որ դեղազգոնության համակարգը, ինչպես նկարագրված է </w:t>
      </w:r>
      <w:r w:rsidR="0056496B">
        <w:rPr>
          <w:rFonts w:ascii="Sylfaen" w:hAnsi="Sylfaen"/>
          <w:sz w:val="24"/>
          <w:szCs w:val="24"/>
        </w:rPr>
        <w:t>դիմումատու</w:t>
      </w:r>
      <w:r w:rsidRPr="00826F05">
        <w:rPr>
          <w:rFonts w:ascii="Sylfaen" w:hAnsi="Sylfaen"/>
          <w:sz w:val="24"/>
          <w:szCs w:val="24"/>
        </w:rPr>
        <w:t>ի կողմից, ունի հետ</w:t>
      </w:r>
      <w:r w:rsidR="00C54D75">
        <w:rPr>
          <w:rFonts w:ascii="Sylfaen" w:hAnsi="Sylfaen"/>
          <w:sz w:val="24"/>
          <w:szCs w:val="24"/>
        </w:rPr>
        <w:t>և</w:t>
      </w:r>
      <w:r w:rsidRPr="00826F05">
        <w:rPr>
          <w:rFonts w:ascii="Sylfaen" w:hAnsi="Sylfaen"/>
          <w:sz w:val="24"/>
          <w:szCs w:val="24"/>
        </w:rPr>
        <w:t xml:space="preserve">յալ թերությունները՝ </w:t>
      </w:r>
      <w:r w:rsidRPr="0011208A">
        <w:rPr>
          <w:rFonts w:ascii="Sylfaen" w:hAnsi="Sylfaen"/>
          <w:i/>
          <w:sz w:val="24"/>
          <w:szCs w:val="24"/>
        </w:rPr>
        <w:t>&lt;նշել թերությունները&gt;:</w:t>
      </w:r>
    </w:p>
    <w:p w14:paraId="5CA3BD4D" w14:textId="4FAABC6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Պայմանով, որ թերությունները կվերացվեն նախքան </w:t>
      </w:r>
      <w:r w:rsidR="0056496B">
        <w:rPr>
          <w:rFonts w:ascii="Sylfaen" w:hAnsi="Sylfaen"/>
          <w:sz w:val="24"/>
          <w:szCs w:val="24"/>
        </w:rPr>
        <w:t>դիմումատու</w:t>
      </w:r>
      <w:r w:rsidRPr="00826F05">
        <w:rPr>
          <w:rFonts w:ascii="Sylfaen" w:hAnsi="Sylfaen"/>
          <w:sz w:val="24"/>
          <w:szCs w:val="24"/>
        </w:rPr>
        <w:t xml:space="preserve">ի կողմից դեղապատրաստուկը շուկայում ներկայացնելը, անդամ պետության լիազորված փորձագիտական կազմակերպությունը կարող է համարել, որ դեղազգոնության համակարգը կբավարարի պահանջները: Նախքան ապրանքի շուկայում </w:t>
      </w:r>
      <w:r w:rsidR="0056496B">
        <w:rPr>
          <w:rFonts w:ascii="Sylfaen" w:hAnsi="Sylfaen"/>
          <w:sz w:val="24"/>
          <w:szCs w:val="24"/>
        </w:rPr>
        <w:t>դիմում</w:t>
      </w:r>
      <w:r w:rsidRPr="00826F05">
        <w:rPr>
          <w:rFonts w:ascii="Sylfaen" w:hAnsi="Sylfaen"/>
          <w:sz w:val="24"/>
          <w:szCs w:val="24"/>
        </w:rPr>
        <w:t xml:space="preserve">նվելը </w:t>
      </w:r>
      <w:r w:rsidR="0056496B">
        <w:rPr>
          <w:rFonts w:ascii="Sylfaen" w:hAnsi="Sylfaen"/>
          <w:sz w:val="24"/>
          <w:szCs w:val="24"/>
        </w:rPr>
        <w:t>դիմումատու</w:t>
      </w:r>
      <w:r w:rsidRPr="00826F05">
        <w:rPr>
          <w:rFonts w:ascii="Sylfaen" w:hAnsi="Sylfaen"/>
          <w:sz w:val="24"/>
          <w:szCs w:val="24"/>
        </w:rPr>
        <w:t>ն պետք է համոզվի, որ դեղազգոնության համակարգն առկա</w:t>
      </w:r>
      <w:r>
        <w:rPr>
          <w:rFonts w:ascii="Sylfaen" w:hAnsi="Sylfaen"/>
          <w:sz w:val="24"/>
          <w:szCs w:val="24"/>
        </w:rPr>
        <w:t> </w:t>
      </w:r>
      <w:r w:rsidRPr="00826F05">
        <w:rPr>
          <w:rFonts w:ascii="Sylfaen" w:hAnsi="Sylfaen"/>
          <w:sz w:val="24"/>
          <w:szCs w:val="24"/>
        </w:rPr>
        <w:t xml:space="preserve">է </w:t>
      </w:r>
      <w:r w:rsidR="00C54D75">
        <w:rPr>
          <w:rFonts w:ascii="Sylfaen" w:hAnsi="Sylfaen"/>
          <w:sz w:val="24"/>
          <w:szCs w:val="24"/>
        </w:rPr>
        <w:t>և</w:t>
      </w:r>
      <w:r w:rsidRPr="00826F05">
        <w:rPr>
          <w:rFonts w:ascii="Sylfaen" w:hAnsi="Sylfaen"/>
          <w:sz w:val="24"/>
          <w:szCs w:val="24"/>
        </w:rPr>
        <w:t xml:space="preserve"> գործում է անսխալ: </w:t>
      </w:r>
    </w:p>
    <w:p w14:paraId="10A21EA6" w14:textId="77777777" w:rsidR="004F5982" w:rsidRPr="00826F05" w:rsidRDefault="004F5982" w:rsidP="00487007">
      <w:pPr>
        <w:spacing w:after="160" w:line="360" w:lineRule="auto"/>
        <w:ind w:firstLine="567"/>
        <w:jc w:val="both"/>
        <w:rPr>
          <w:rFonts w:ascii="Sylfaen" w:hAnsi="Sylfaen"/>
          <w:sz w:val="24"/>
          <w:szCs w:val="24"/>
        </w:rPr>
      </w:pPr>
    </w:p>
    <w:p w14:paraId="367E7A75"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2.8. Ռիսկերի կառավարման պլանը</w:t>
      </w:r>
    </w:p>
    <w:p w14:paraId="2D2C9E2A" w14:textId="355DC7F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[Փորձագետը պետք է ՌԿՊ -ում (ռիսկերի կառավարման պլանում) որ</w:t>
      </w:r>
      <w:r w:rsidR="00C54D75">
        <w:rPr>
          <w:rFonts w:ascii="Sylfaen" w:hAnsi="Sylfaen"/>
          <w:i/>
          <w:sz w:val="24"/>
          <w:szCs w:val="24"/>
        </w:rPr>
        <w:t>և</w:t>
      </w:r>
      <w:r w:rsidRPr="00826F05">
        <w:rPr>
          <w:rFonts w:ascii="Sylfaen" w:hAnsi="Sylfaen"/>
          <w:i/>
          <w:sz w:val="24"/>
          <w:szCs w:val="24"/>
        </w:rPr>
        <w:t xml:space="preserve">է լուրջ խնդիրների նույնականացմանը զուգահեռ անցկացնի հավելվածի առաջին ընդհանուր գնահատումը։ Եթե անդամ պետության լիազորված փորձագիտական կազմակերպությունում ստեղծված են դեղազգոնության ոլորտում իրականացվող աշխատանքների համար պատասխանատու կազմակերպչական կառույցներ (այսուհետ՝ ԴՈԱՊԿԿ), փորձագետների համար դրանց խորհրդատվությունն օգտակար կլիներ եզրակացության տվյալ բաժինը լրացնելիս: Դրանում նշվում են նախակլինիկական անվտանգության մասով հատուկ եզրահանգումներ, դեղապատրաստուկի դեղաբանության կլինիկական հետազոտությունների մասին պլանում </w:t>
      </w:r>
      <w:r w:rsidR="00C54D75">
        <w:rPr>
          <w:rFonts w:ascii="Sylfaen" w:hAnsi="Sylfaen"/>
          <w:i/>
          <w:sz w:val="24"/>
          <w:szCs w:val="24"/>
        </w:rPr>
        <w:t>և</w:t>
      </w:r>
      <w:r w:rsidRPr="00826F05">
        <w:rPr>
          <w:rFonts w:ascii="Sylfaen" w:hAnsi="Sylfaen"/>
          <w:i/>
          <w:sz w:val="24"/>
          <w:szCs w:val="24"/>
        </w:rPr>
        <w:t xml:space="preserve"> (կամ) հաշվետվությունում հետազոտությունների (կամ</w:t>
      </w:r>
      <w:r>
        <w:rPr>
          <w:rFonts w:ascii="Sylfaen" w:hAnsi="Sylfaen"/>
          <w:i/>
          <w:sz w:val="24"/>
          <w:szCs w:val="24"/>
        </w:rPr>
        <w:t> </w:t>
      </w:r>
      <w:r w:rsidRPr="00826F05">
        <w:rPr>
          <w:rFonts w:ascii="Sylfaen" w:hAnsi="Sylfaen"/>
          <w:i/>
          <w:sz w:val="24"/>
          <w:szCs w:val="24"/>
        </w:rPr>
        <w:t xml:space="preserve">տեղեկությունների) մասի բացակայությունը, կլինիկական հետազոտությունների շրջանակներում անվտանգության հնարավոր </w:t>
      </w:r>
      <w:r w:rsidRPr="00826F05">
        <w:rPr>
          <w:rFonts w:ascii="Sylfaen" w:hAnsi="Sylfaen"/>
          <w:i/>
          <w:sz w:val="24"/>
          <w:szCs w:val="24"/>
        </w:rPr>
        <w:lastRenderedPageBreak/>
        <w:t xml:space="preserve">ազդանշաններ </w:t>
      </w:r>
      <w:r w:rsidR="00C54D75">
        <w:rPr>
          <w:rFonts w:ascii="Sylfaen" w:hAnsi="Sylfaen"/>
          <w:i/>
          <w:sz w:val="24"/>
          <w:szCs w:val="24"/>
        </w:rPr>
        <w:t>և</w:t>
      </w:r>
      <w:r w:rsidRPr="00826F05">
        <w:rPr>
          <w:rFonts w:ascii="Sylfaen" w:hAnsi="Sylfaen"/>
          <w:i/>
          <w:sz w:val="24"/>
          <w:szCs w:val="24"/>
        </w:rPr>
        <w:t xml:space="preserve"> այլն: Այդ փուլում հատկապես կար</w:t>
      </w:r>
      <w:r w:rsidR="00C54D75">
        <w:rPr>
          <w:rFonts w:ascii="Sylfaen" w:hAnsi="Sylfaen"/>
          <w:i/>
          <w:sz w:val="24"/>
          <w:szCs w:val="24"/>
        </w:rPr>
        <w:t>և</w:t>
      </w:r>
      <w:r w:rsidRPr="00826F05">
        <w:rPr>
          <w:rFonts w:ascii="Sylfaen" w:hAnsi="Sylfaen"/>
          <w:i/>
          <w:sz w:val="24"/>
          <w:szCs w:val="24"/>
        </w:rPr>
        <w:t>որ է, որ անվտանգության հետ կապված խնդիրները նույնականացվեն (</w:t>
      </w:r>
      <w:r w:rsidR="00003ABD">
        <w:rPr>
          <w:rFonts w:ascii="Sylfaen" w:hAnsi="Sylfaen"/>
          <w:i/>
          <w:sz w:val="24"/>
          <w:szCs w:val="24"/>
        </w:rPr>
        <w:t>հայտնաբերված</w:t>
      </w:r>
      <w:r w:rsidRPr="00826F05">
        <w:rPr>
          <w:rFonts w:ascii="Sylfaen" w:hAnsi="Sylfaen"/>
          <w:i/>
          <w:sz w:val="24"/>
          <w:szCs w:val="24"/>
        </w:rPr>
        <w:t xml:space="preserve"> կար</w:t>
      </w:r>
      <w:r w:rsidR="00C54D75">
        <w:rPr>
          <w:rFonts w:ascii="Sylfaen" w:hAnsi="Sylfaen"/>
          <w:i/>
          <w:sz w:val="24"/>
          <w:szCs w:val="24"/>
        </w:rPr>
        <w:t>և</w:t>
      </w:r>
      <w:r w:rsidRPr="00826F05">
        <w:rPr>
          <w:rFonts w:ascii="Sylfaen" w:hAnsi="Sylfaen"/>
          <w:i/>
          <w:sz w:val="24"/>
          <w:szCs w:val="24"/>
        </w:rPr>
        <w:t>որ ռիսկերը, հնարավոր կար</w:t>
      </w:r>
      <w:r w:rsidR="00C54D75">
        <w:rPr>
          <w:rFonts w:ascii="Sylfaen" w:hAnsi="Sylfaen"/>
          <w:i/>
          <w:sz w:val="24"/>
          <w:szCs w:val="24"/>
        </w:rPr>
        <w:t>և</w:t>
      </w:r>
      <w:r w:rsidRPr="00826F05">
        <w:rPr>
          <w:rFonts w:ascii="Sylfaen" w:hAnsi="Sylfaen"/>
          <w:i/>
          <w:sz w:val="24"/>
          <w:szCs w:val="24"/>
        </w:rPr>
        <w:t>որ ռիսկերը, կար</w:t>
      </w:r>
      <w:r w:rsidR="00C54D75">
        <w:rPr>
          <w:rFonts w:ascii="Sylfaen" w:hAnsi="Sylfaen"/>
          <w:i/>
          <w:sz w:val="24"/>
          <w:szCs w:val="24"/>
        </w:rPr>
        <w:t>և</w:t>
      </w:r>
      <w:r w:rsidRPr="00826F05">
        <w:rPr>
          <w:rFonts w:ascii="Sylfaen" w:hAnsi="Sylfaen"/>
          <w:i/>
          <w:sz w:val="24"/>
          <w:szCs w:val="24"/>
        </w:rPr>
        <w:t>որ պակասող տեղեկատվությունը): Սա</w:t>
      </w:r>
      <w:r>
        <w:rPr>
          <w:rFonts w:ascii="Sylfaen" w:hAnsi="Sylfaen"/>
          <w:i/>
          <w:sz w:val="24"/>
          <w:szCs w:val="24"/>
        </w:rPr>
        <w:t> </w:t>
      </w:r>
      <w:r w:rsidRPr="00826F05">
        <w:rPr>
          <w:rFonts w:ascii="Sylfaen" w:hAnsi="Sylfaen"/>
          <w:i/>
          <w:sz w:val="24"/>
          <w:szCs w:val="24"/>
        </w:rPr>
        <w:t>առավել կար</w:t>
      </w:r>
      <w:r w:rsidR="00C54D75">
        <w:rPr>
          <w:rFonts w:ascii="Sylfaen" w:hAnsi="Sylfaen"/>
          <w:i/>
          <w:sz w:val="24"/>
          <w:szCs w:val="24"/>
        </w:rPr>
        <w:t>և</w:t>
      </w:r>
      <w:r w:rsidRPr="00826F05">
        <w:rPr>
          <w:rFonts w:ascii="Sylfaen" w:hAnsi="Sylfaen"/>
          <w:i/>
          <w:sz w:val="24"/>
          <w:szCs w:val="24"/>
        </w:rPr>
        <w:t xml:space="preserve">որ է, եթե այդ հարցերն ավելի վաղ դոսյեում չեն սահմանվել </w:t>
      </w:r>
      <w:r w:rsidR="0056496B">
        <w:rPr>
          <w:rFonts w:ascii="Sylfaen" w:hAnsi="Sylfaen"/>
          <w:i/>
          <w:sz w:val="24"/>
          <w:szCs w:val="24"/>
        </w:rPr>
        <w:t>դիմումատու</w:t>
      </w:r>
      <w:r w:rsidRPr="00826F05">
        <w:rPr>
          <w:rFonts w:ascii="Sylfaen" w:hAnsi="Sylfaen"/>
          <w:i/>
          <w:sz w:val="24"/>
          <w:szCs w:val="24"/>
        </w:rPr>
        <w:t xml:space="preserve">ի կողմից </w:t>
      </w:r>
      <w:r w:rsidR="00C54D75">
        <w:rPr>
          <w:rFonts w:ascii="Sylfaen" w:hAnsi="Sylfaen"/>
          <w:i/>
          <w:sz w:val="24"/>
          <w:szCs w:val="24"/>
        </w:rPr>
        <w:t>և</w:t>
      </w:r>
      <w:r w:rsidRPr="00826F05">
        <w:rPr>
          <w:rFonts w:ascii="Sylfaen" w:hAnsi="Sylfaen"/>
          <w:i/>
          <w:sz w:val="24"/>
          <w:szCs w:val="24"/>
        </w:rPr>
        <w:t xml:space="preserve"> հետ</w:t>
      </w:r>
      <w:r w:rsidR="00C54D75">
        <w:rPr>
          <w:rFonts w:ascii="Sylfaen" w:hAnsi="Sylfaen"/>
          <w:i/>
          <w:sz w:val="24"/>
          <w:szCs w:val="24"/>
        </w:rPr>
        <w:t>և</w:t>
      </w:r>
      <w:r w:rsidRPr="00826F05">
        <w:rPr>
          <w:rFonts w:ascii="Sylfaen" w:hAnsi="Sylfaen"/>
          <w:i/>
          <w:sz w:val="24"/>
          <w:szCs w:val="24"/>
        </w:rPr>
        <w:t>աբար քիչ հավանական է, որ հետագայում արտացոլվեն ՌԿՊ-ում:</w:t>
      </w:r>
    </w:p>
    <w:p w14:paraId="23BC8BE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11208A">
        <w:rPr>
          <w:rFonts w:ascii="Sylfaen" w:hAnsi="Sylfaen"/>
          <w:i/>
          <w:spacing w:val="-6"/>
          <w:sz w:val="24"/>
          <w:szCs w:val="24"/>
        </w:rPr>
        <w:t>ԴՈԱՊԿԿ-ն փորձագետին ապահովում է նա</w:t>
      </w:r>
      <w:r w:rsidR="00C54D75">
        <w:rPr>
          <w:rFonts w:ascii="Sylfaen" w:hAnsi="Sylfaen"/>
          <w:i/>
          <w:spacing w:val="-6"/>
          <w:sz w:val="24"/>
          <w:szCs w:val="24"/>
        </w:rPr>
        <w:t>և</w:t>
      </w:r>
      <w:r w:rsidRPr="0011208A">
        <w:rPr>
          <w:rFonts w:ascii="Sylfaen" w:hAnsi="Sylfaen"/>
          <w:i/>
          <w:spacing w:val="-6"/>
          <w:sz w:val="24"/>
          <w:szCs w:val="24"/>
        </w:rPr>
        <w:t xml:space="preserve"> ՌԿՊ-ի գնահատման վերաբերյալ առաջարկություններով: Այդ խորհուրդը պետք է մասամբ հիմնված լինի դոսյեի փորձագիտական գնահատականների վրա, հետ</w:t>
      </w:r>
      <w:r w:rsidR="00C54D75">
        <w:rPr>
          <w:rFonts w:ascii="Sylfaen" w:hAnsi="Sylfaen"/>
          <w:i/>
          <w:spacing w:val="-6"/>
          <w:sz w:val="24"/>
          <w:szCs w:val="24"/>
        </w:rPr>
        <w:t>և</w:t>
      </w:r>
      <w:r w:rsidRPr="0011208A">
        <w:rPr>
          <w:rFonts w:ascii="Sylfaen" w:hAnsi="Sylfaen"/>
          <w:i/>
          <w:spacing w:val="-6"/>
          <w:sz w:val="24"/>
          <w:szCs w:val="24"/>
        </w:rPr>
        <w:t>աբար</w:t>
      </w:r>
      <w:r w:rsidRPr="00826F05">
        <w:rPr>
          <w:rFonts w:ascii="Sylfaen" w:hAnsi="Sylfaen"/>
          <w:i/>
          <w:sz w:val="24"/>
          <w:szCs w:val="24"/>
        </w:rPr>
        <w:t xml:space="preserve"> М3-М5 մոդուլների (Կանոնների թիվ 6-8 հավելվածներ) վերաբերյալ փորձագիտական հաշվետվությունները փորձագետի համար կդառնան տեղեկատվության կար</w:t>
      </w:r>
      <w:r w:rsidR="00C54D75">
        <w:rPr>
          <w:rFonts w:ascii="Sylfaen" w:hAnsi="Sylfaen"/>
          <w:i/>
          <w:sz w:val="24"/>
          <w:szCs w:val="24"/>
        </w:rPr>
        <w:t>և</w:t>
      </w:r>
      <w:r w:rsidRPr="00826F05">
        <w:rPr>
          <w:rFonts w:ascii="Sylfaen" w:hAnsi="Sylfaen"/>
          <w:i/>
          <w:sz w:val="24"/>
          <w:szCs w:val="24"/>
        </w:rPr>
        <w:t xml:space="preserve">որ աղբյուր: </w:t>
      </w:r>
    </w:p>
    <w:p w14:paraId="1350AE56"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ԴՈԱՊԿԿ-ի խորհրդատվությունը ստացվելու դեպքում այն պետք է ներառվի եզրակացության նախագծում (դիտողությունների ցանկում)՝ քննարկման համար: Կար</w:t>
      </w:r>
      <w:r w:rsidR="00C54D75">
        <w:rPr>
          <w:rFonts w:ascii="Sylfaen" w:hAnsi="Sylfaen"/>
          <w:i/>
          <w:sz w:val="24"/>
          <w:szCs w:val="24"/>
        </w:rPr>
        <w:t>և</w:t>
      </w:r>
      <w:r w:rsidRPr="00826F05">
        <w:rPr>
          <w:rFonts w:ascii="Sylfaen" w:hAnsi="Sylfaen"/>
          <w:i/>
          <w:sz w:val="24"/>
          <w:szCs w:val="24"/>
        </w:rPr>
        <w:t>որ է նշել, որ ԴՈԱՊԿԿ-ի այդ խորհրդատվությունները նա</w:t>
      </w:r>
      <w:r w:rsidR="00C54D75">
        <w:rPr>
          <w:rFonts w:ascii="Sylfaen" w:hAnsi="Sylfaen"/>
          <w:i/>
          <w:sz w:val="24"/>
          <w:szCs w:val="24"/>
        </w:rPr>
        <w:t>և</w:t>
      </w:r>
      <w:r w:rsidRPr="00826F05">
        <w:rPr>
          <w:rFonts w:ascii="Sylfaen" w:hAnsi="Sylfaen"/>
          <w:i/>
          <w:sz w:val="24"/>
          <w:szCs w:val="24"/>
        </w:rPr>
        <w:t xml:space="preserve"> կարող են պարունակել ՌԿՊ-ի վերաբերյալ առաջարկվող հարցեր, որոնք կավելացվեն փորձագետի եզրակացության նախագծում: Եթե փորձագետը խուսափում է ԴՈԱՊԿԿ-ի խորհուրդներին հետ</w:t>
      </w:r>
      <w:r w:rsidR="00C54D75">
        <w:rPr>
          <w:rFonts w:ascii="Sylfaen" w:hAnsi="Sylfaen"/>
          <w:i/>
          <w:sz w:val="24"/>
          <w:szCs w:val="24"/>
        </w:rPr>
        <w:t>և</w:t>
      </w:r>
      <w:r w:rsidRPr="00826F05">
        <w:rPr>
          <w:rFonts w:ascii="Sylfaen" w:hAnsi="Sylfaen"/>
          <w:i/>
          <w:sz w:val="24"/>
          <w:szCs w:val="24"/>
        </w:rPr>
        <w:t>ելուց, այդ հարցը պետք է քննարկվի անդամ պետության լիազորված փորձագիտական կազմակերպության մակարդակով]:</w:t>
      </w:r>
    </w:p>
    <w:p w14:paraId="193CC54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ՌԿՊ-ի գնահատման ժամանակ ԴՈԱՊԿԿ-ի խորհրդատվությունից հետո փորձագետի կողմից ուսումնասիրման համար հարցերը </w:t>
      </w:r>
      <w:r w:rsidR="00C54D75">
        <w:rPr>
          <w:rFonts w:ascii="Sylfaen" w:hAnsi="Sylfaen"/>
          <w:sz w:val="24"/>
          <w:szCs w:val="24"/>
        </w:rPr>
        <w:t>և</w:t>
      </w:r>
      <w:r w:rsidRPr="00826F05">
        <w:rPr>
          <w:rFonts w:ascii="Sylfaen" w:hAnsi="Sylfaen"/>
          <w:sz w:val="24"/>
          <w:szCs w:val="24"/>
        </w:rPr>
        <w:t xml:space="preserve"> (կամ) խնդիրները՝</w:t>
      </w:r>
    </w:p>
    <w:p w14:paraId="4B69ED52" w14:textId="6BDC8A1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[Արտացոլել այն հարցերն ու խնդիրները, որոնք </w:t>
      </w:r>
      <w:r w:rsidR="00FE4A71">
        <w:rPr>
          <w:rFonts w:ascii="Sylfaen" w:hAnsi="Sylfaen"/>
          <w:i/>
          <w:sz w:val="24"/>
          <w:szCs w:val="24"/>
        </w:rPr>
        <w:t xml:space="preserve">հայտնաբերվել </w:t>
      </w:r>
      <w:r w:rsidRPr="00826F05">
        <w:rPr>
          <w:rFonts w:ascii="Sylfaen" w:hAnsi="Sylfaen"/>
          <w:i/>
          <w:sz w:val="24"/>
          <w:szCs w:val="24"/>
        </w:rPr>
        <w:t xml:space="preserve"> են </w:t>
      </w:r>
      <w:r w:rsidR="0056496B">
        <w:rPr>
          <w:rFonts w:ascii="Sylfaen" w:hAnsi="Sylfaen"/>
          <w:i/>
          <w:sz w:val="24"/>
          <w:szCs w:val="24"/>
        </w:rPr>
        <w:t>դիմում</w:t>
      </w:r>
      <w:r w:rsidRPr="00826F05">
        <w:rPr>
          <w:rFonts w:ascii="Sylfaen" w:hAnsi="Sylfaen"/>
          <w:i/>
          <w:sz w:val="24"/>
          <w:szCs w:val="24"/>
        </w:rPr>
        <w:t>ի ընդհանուր գնահատման ժամանակ, որոնք հարկ է ուսումնասիրել ԴՈԱՊԿԿ-ի կողմից ռիսկերի կառավարման պլանի գնահատման ժամանակ]։</w:t>
      </w:r>
    </w:p>
    <w:p w14:paraId="39C22E2B" w14:textId="77777777" w:rsidR="004F5982" w:rsidRDefault="004F5982" w:rsidP="00487007">
      <w:pPr>
        <w:spacing w:after="160" w:line="360" w:lineRule="auto"/>
        <w:ind w:left="567" w:right="565"/>
        <w:jc w:val="center"/>
        <w:rPr>
          <w:rFonts w:ascii="Sylfaen" w:hAnsi="Sylfaen"/>
          <w:sz w:val="24"/>
          <w:szCs w:val="24"/>
        </w:rPr>
      </w:pPr>
    </w:p>
    <w:p w14:paraId="6971F71E"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2.9. Դեղապատրաստուկի ընդհանուր բնութագրում տեղ գտած փոփոխությունները</w:t>
      </w:r>
    </w:p>
    <w:p w14:paraId="54222F6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[Դեղապատրաստուկի ընդհանուր բնութագրում կատարվող </w:t>
      </w:r>
      <w:r w:rsidRPr="00826F05">
        <w:rPr>
          <w:rFonts w:ascii="Sylfaen" w:hAnsi="Sylfaen"/>
          <w:i/>
          <w:sz w:val="24"/>
          <w:szCs w:val="24"/>
        </w:rPr>
        <w:lastRenderedPageBreak/>
        <w:t xml:space="preserve">փոփոխությունները պետք է նկարագրվեն </w:t>
      </w:r>
      <w:r w:rsidR="00C54D75">
        <w:rPr>
          <w:rFonts w:ascii="Sylfaen" w:hAnsi="Sylfaen"/>
          <w:i/>
          <w:sz w:val="24"/>
          <w:szCs w:val="24"/>
        </w:rPr>
        <w:t>և</w:t>
      </w:r>
      <w:r w:rsidRPr="00826F05">
        <w:rPr>
          <w:rFonts w:ascii="Sylfaen" w:hAnsi="Sylfaen"/>
          <w:i/>
          <w:sz w:val="24"/>
          <w:szCs w:val="24"/>
        </w:rPr>
        <w:t xml:space="preserve"> ներկայացվեն որպես նոր տեքստ այն ընդգծված </w:t>
      </w:r>
      <w:r w:rsidR="00C54D75">
        <w:rPr>
          <w:rFonts w:ascii="Sylfaen" w:hAnsi="Sylfaen"/>
          <w:i/>
          <w:sz w:val="24"/>
          <w:szCs w:val="24"/>
        </w:rPr>
        <w:t>և</w:t>
      </w:r>
      <w:r w:rsidRPr="00826F05">
        <w:rPr>
          <w:rFonts w:ascii="Sylfaen" w:hAnsi="Sylfaen"/>
          <w:i/>
          <w:sz w:val="24"/>
          <w:szCs w:val="24"/>
        </w:rPr>
        <w:t xml:space="preserve"> հեռացված տեքստով, որը նշվել է որպես ջնջված: Սակայն եթե այդ փոփոխությունները չափազանց շատ են, դեղապատրաստուկի ընդհանուր բնութագրի (ԴԸԲ) համապատասխան բաժիններում փոփոխությունները կարող են ամփոփվել </w:t>
      </w:r>
      <w:r w:rsidR="00C54D75">
        <w:rPr>
          <w:rFonts w:ascii="Sylfaen" w:hAnsi="Sylfaen"/>
          <w:i/>
          <w:sz w:val="24"/>
          <w:szCs w:val="24"/>
        </w:rPr>
        <w:t>և</w:t>
      </w:r>
      <w:r w:rsidRPr="00826F05">
        <w:rPr>
          <w:rFonts w:ascii="Sylfaen" w:hAnsi="Sylfaen"/>
          <w:i/>
          <w:sz w:val="24"/>
          <w:szCs w:val="24"/>
        </w:rPr>
        <w:t xml:space="preserve"> կարող են կատարվել հղումներ]:</w:t>
      </w:r>
    </w:p>
    <w:p w14:paraId="3E80BB9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իրավատիրոջ կողմից առաջարկվել են ԴԸԲ-ում հետ</w:t>
      </w:r>
      <w:r w:rsidR="00C54D75">
        <w:rPr>
          <w:rFonts w:ascii="Sylfaen" w:hAnsi="Sylfaen"/>
          <w:sz w:val="24"/>
          <w:szCs w:val="24"/>
        </w:rPr>
        <w:t>և</w:t>
      </w:r>
      <w:r w:rsidRPr="00826F05">
        <w:rPr>
          <w:rFonts w:ascii="Sylfaen" w:hAnsi="Sylfaen"/>
          <w:sz w:val="24"/>
          <w:szCs w:val="24"/>
        </w:rPr>
        <w:t>յալ փոփոխությունները՝ &lt;</w:t>
      </w:r>
      <w:r w:rsidRPr="00826F05">
        <w:rPr>
          <w:rFonts w:ascii="Sylfaen" w:hAnsi="Sylfaen"/>
          <w:i/>
          <w:sz w:val="24"/>
          <w:szCs w:val="24"/>
        </w:rPr>
        <w:t>թվարկել փոփոխությունները</w:t>
      </w:r>
      <w:r w:rsidRPr="00826F05">
        <w:rPr>
          <w:rFonts w:ascii="Sylfaen" w:hAnsi="Sylfaen"/>
          <w:sz w:val="24"/>
          <w:szCs w:val="24"/>
        </w:rPr>
        <w:t>&gt;:</w:t>
      </w:r>
    </w:p>
    <w:p w14:paraId="6BAA36E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Զեկուցողը վեր</w:t>
      </w:r>
      <w:r w:rsidR="00C54D75">
        <w:rPr>
          <w:rFonts w:ascii="Sylfaen" w:hAnsi="Sylfaen"/>
          <w:sz w:val="24"/>
          <w:szCs w:val="24"/>
        </w:rPr>
        <w:t>և</w:t>
      </w:r>
      <w:r w:rsidRPr="00826F05">
        <w:rPr>
          <w:rFonts w:ascii="Sylfaen" w:hAnsi="Sylfaen"/>
          <w:sz w:val="24"/>
          <w:szCs w:val="24"/>
        </w:rPr>
        <w:t xml:space="preserve">ում մանրամասն ուսումնասիրված պատճառներով պահանջում է ԴԸԲ-ում </w:t>
      </w:r>
      <w:r w:rsidRPr="0011208A">
        <w:rPr>
          <w:rFonts w:ascii="Sylfaen" w:hAnsi="Sylfaen"/>
          <w:i/>
          <w:sz w:val="24"/>
          <w:szCs w:val="24"/>
        </w:rPr>
        <w:t>&lt;հետ</w:t>
      </w:r>
      <w:r w:rsidR="00C54D75">
        <w:rPr>
          <w:rFonts w:ascii="Sylfaen" w:hAnsi="Sylfaen"/>
          <w:i/>
          <w:sz w:val="24"/>
          <w:szCs w:val="24"/>
        </w:rPr>
        <w:t>և</w:t>
      </w:r>
      <w:r w:rsidRPr="0011208A">
        <w:rPr>
          <w:rFonts w:ascii="Sylfaen" w:hAnsi="Sylfaen"/>
          <w:i/>
          <w:sz w:val="24"/>
          <w:szCs w:val="24"/>
        </w:rPr>
        <w:t>յալ&gt;</w:t>
      </w:r>
      <w:r w:rsidRPr="00826F05">
        <w:rPr>
          <w:rFonts w:ascii="Sylfaen" w:hAnsi="Sylfaen"/>
          <w:sz w:val="24"/>
          <w:szCs w:val="24"/>
        </w:rPr>
        <w:t xml:space="preserve"> </w:t>
      </w:r>
      <w:r w:rsidRPr="0011208A">
        <w:rPr>
          <w:rFonts w:ascii="Sylfaen" w:hAnsi="Sylfaen"/>
          <w:i/>
          <w:sz w:val="24"/>
          <w:szCs w:val="24"/>
        </w:rPr>
        <w:t>&lt;լրացուցիչ&gt;</w:t>
      </w:r>
      <w:r w:rsidRPr="00826F05">
        <w:rPr>
          <w:rFonts w:ascii="Sylfaen" w:hAnsi="Sylfaen"/>
          <w:sz w:val="24"/>
          <w:szCs w:val="24"/>
        </w:rPr>
        <w:t xml:space="preserve"> ուղղումների կատարումը՝ </w:t>
      </w:r>
      <w:r w:rsidRPr="00826F05">
        <w:rPr>
          <w:rFonts w:ascii="Sylfaen" w:hAnsi="Sylfaen"/>
          <w:i/>
          <w:sz w:val="24"/>
          <w:szCs w:val="24"/>
        </w:rPr>
        <w:t xml:space="preserve">&lt;Ներառե՛ք այն կետերի համառոտ նկարագրությունը, որոնցում առաջարկվում են ենթադրյալ փոփոխությունների հետագա ուղղումներ, </w:t>
      </w:r>
      <w:r w:rsidR="00C54D75">
        <w:rPr>
          <w:rFonts w:ascii="Sylfaen" w:hAnsi="Sylfaen"/>
          <w:i/>
          <w:sz w:val="24"/>
          <w:szCs w:val="24"/>
        </w:rPr>
        <w:t>և</w:t>
      </w:r>
      <w:r w:rsidRPr="00826F05">
        <w:rPr>
          <w:rFonts w:ascii="Sylfaen" w:hAnsi="Sylfaen"/>
          <w:i/>
          <w:sz w:val="24"/>
          <w:szCs w:val="24"/>
        </w:rPr>
        <w:t xml:space="preserve"> այդ հարցումների պատճառները&gt;:</w:t>
      </w:r>
    </w:p>
    <w:p w14:paraId="7C09E11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Փոփոխությունները նա</w:t>
      </w:r>
      <w:r w:rsidR="00C54D75">
        <w:rPr>
          <w:rFonts w:ascii="Sylfaen" w:hAnsi="Sylfaen"/>
          <w:sz w:val="24"/>
          <w:szCs w:val="24"/>
        </w:rPr>
        <w:t>և</w:t>
      </w:r>
      <w:r w:rsidRPr="00826F05">
        <w:rPr>
          <w:rFonts w:ascii="Sylfaen" w:hAnsi="Sylfaen"/>
          <w:sz w:val="24"/>
          <w:szCs w:val="24"/>
        </w:rPr>
        <w:t xml:space="preserve"> ներառվել են բժշկական կիրառման հրահանգում (ներդիր-թերթիկում) (ԲԿՀ-ում (ՆԹ-ում)), որպեսզի այն համապատասխանեցվի ԴԸԲ-ի ընթացիկ խմբագրությանը՝ Եվրասիական տնտեսական հանձնաժողովի կողմից հաստատվող Բժշկական կիրառման դեղապատրաստուկի ընդհանուր բնութագրին ներկայացվող պահանջներին </w:t>
      </w:r>
      <w:r w:rsidR="00C54D75">
        <w:rPr>
          <w:rFonts w:ascii="Sylfaen" w:hAnsi="Sylfaen"/>
          <w:sz w:val="24"/>
          <w:szCs w:val="24"/>
        </w:rPr>
        <w:t>և</w:t>
      </w:r>
      <w:r w:rsidRPr="00826F05">
        <w:rPr>
          <w:rFonts w:ascii="Sylfaen" w:hAnsi="Sylfaen"/>
          <w:sz w:val="24"/>
          <w:szCs w:val="24"/>
        </w:rPr>
        <w:t xml:space="preserve"> բժշկական կիրառման հրահանգին (ներդիր թերթիկին) համապատասխան:</w:t>
      </w:r>
    </w:p>
    <w:p w14:paraId="220DE63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[Եթե օգտագործողների թեստավորման արդյունքները ներկայացվել են այդ ընթացակարգով, դա նույնպես հարկ է քննարկել]:</w:t>
      </w:r>
    </w:p>
    <w:p w14:paraId="0A465767" w14:textId="77777777" w:rsidR="004F5982" w:rsidRPr="0011208A" w:rsidRDefault="004F5982" w:rsidP="00487007">
      <w:pPr>
        <w:spacing w:after="160" w:line="360" w:lineRule="auto"/>
        <w:ind w:right="-2" w:firstLine="567"/>
        <w:jc w:val="both"/>
        <w:rPr>
          <w:rFonts w:ascii="Sylfaen" w:eastAsia="Times New Roman" w:hAnsi="Sylfaen" w:cs="Times New Roman"/>
          <w:i/>
          <w:sz w:val="24"/>
          <w:szCs w:val="24"/>
        </w:rPr>
      </w:pPr>
      <w:r w:rsidRPr="00936C19">
        <w:rPr>
          <w:rFonts w:ascii="Sylfaen" w:hAnsi="Sylfaen"/>
          <w:i/>
          <w:spacing w:val="6"/>
          <w:sz w:val="24"/>
          <w:szCs w:val="24"/>
        </w:rPr>
        <w:t>&lt;Գրանցման հավաստագրի իրավատիրոջ կողմից ներկայացված՝ ԲԿՀ</w:t>
      </w:r>
      <w:r w:rsidRPr="0011208A">
        <w:rPr>
          <w:rFonts w:ascii="Sylfaen" w:hAnsi="Sylfaen"/>
          <w:i/>
          <w:sz w:val="24"/>
          <w:szCs w:val="24"/>
        </w:rPr>
        <w:t>-ի</w:t>
      </w:r>
      <w:r>
        <w:rPr>
          <w:rFonts w:ascii="Sylfaen" w:hAnsi="Sylfaen"/>
          <w:i/>
          <w:sz w:val="24"/>
          <w:szCs w:val="24"/>
        </w:rPr>
        <w:t xml:space="preserve"> </w:t>
      </w:r>
      <w:r w:rsidRPr="0011208A">
        <w:rPr>
          <w:rFonts w:ascii="Sylfaen" w:hAnsi="Sylfaen"/>
          <w:i/>
          <w:sz w:val="24"/>
          <w:szCs w:val="24"/>
        </w:rPr>
        <w:t xml:space="preserve">(ՆԹ-ի) մասով պացիենտների թիրախային խմբերի մասնակցությամբ՝ օգտագործողների թեստավորման արդյունքները ցույց են տալիս, որ ԲԿՀ-ն (ՆԹ-ն) համապատասխանում է Եվրասիական տնտեսական հանձնաժողովի կողմից հաստատվող՝ Բժշկական կիրառման դեղապատրաստուկի ընդհանուր բնութագրին </w:t>
      </w:r>
      <w:r w:rsidR="00C54D75">
        <w:rPr>
          <w:rFonts w:ascii="Sylfaen" w:hAnsi="Sylfaen"/>
          <w:i/>
          <w:sz w:val="24"/>
          <w:szCs w:val="24"/>
        </w:rPr>
        <w:t>և</w:t>
      </w:r>
      <w:r w:rsidRPr="0011208A">
        <w:rPr>
          <w:rFonts w:ascii="Sylfaen" w:hAnsi="Sylfaen"/>
          <w:i/>
          <w:sz w:val="24"/>
          <w:szCs w:val="24"/>
        </w:rPr>
        <w:t xml:space="preserve"> բժշկական կիրառման հրահանգին (ներդիր-թերթիկին) ներկայացվող պահանջներում շարադրված ընթեռնելիության չափանիշներին&gt; :</w:t>
      </w:r>
    </w:p>
    <w:p w14:paraId="4793C875"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կամ</w:t>
      </w:r>
    </w:p>
    <w:p w14:paraId="0B7E19A2" w14:textId="44E10861" w:rsidR="004F5982" w:rsidRPr="0011208A" w:rsidRDefault="004F5982" w:rsidP="00487007">
      <w:pPr>
        <w:spacing w:after="160" w:line="360" w:lineRule="auto"/>
        <w:ind w:right="-2" w:firstLine="567"/>
        <w:jc w:val="both"/>
        <w:rPr>
          <w:rFonts w:ascii="Sylfaen" w:eastAsia="Times New Roman" w:hAnsi="Sylfaen" w:cs="Times New Roman"/>
          <w:i/>
          <w:sz w:val="24"/>
          <w:szCs w:val="24"/>
        </w:rPr>
      </w:pPr>
      <w:r w:rsidRPr="0011208A">
        <w:rPr>
          <w:rFonts w:ascii="Sylfaen" w:hAnsi="Sylfaen"/>
          <w:i/>
          <w:sz w:val="24"/>
          <w:szCs w:val="24"/>
        </w:rPr>
        <w:t>&lt;</w:t>
      </w:r>
      <w:r w:rsidRPr="00936C19">
        <w:rPr>
          <w:rFonts w:ascii="Sylfaen" w:hAnsi="Sylfaen"/>
          <w:i/>
          <w:spacing w:val="6"/>
          <w:sz w:val="24"/>
          <w:szCs w:val="24"/>
        </w:rPr>
        <w:t>Գրանցման հավաստագրի իրավատիրոջ կողմից ներկայացված՝ ԲԿՀ-ի</w:t>
      </w:r>
      <w:r>
        <w:rPr>
          <w:rFonts w:ascii="Sylfaen" w:hAnsi="Sylfaen"/>
          <w:i/>
          <w:sz w:val="24"/>
          <w:szCs w:val="24"/>
        </w:rPr>
        <w:t xml:space="preserve"> </w:t>
      </w:r>
      <w:r w:rsidRPr="0011208A">
        <w:rPr>
          <w:rFonts w:ascii="Sylfaen" w:hAnsi="Sylfaen"/>
          <w:i/>
          <w:sz w:val="24"/>
          <w:szCs w:val="24"/>
        </w:rPr>
        <w:t xml:space="preserve">(ՆԹ-ի) մասով պացիենտների թիրախային խմբերի մասնակցությամբ՝ օգտագործողների թեստավորման արդյունքները ցույց են տալիս, որ ԲԿՀ-ն (ՆԹ-ն) համապատասխանում է Եվրասիական տնտեսական հանձնաժողովի կողմից հաստատվող Բժշկական կիրառման դեղապատրաստուկի ընդհանուր բնութագրին </w:t>
      </w:r>
      <w:r w:rsidR="00C54D75">
        <w:rPr>
          <w:rFonts w:ascii="Sylfaen" w:hAnsi="Sylfaen"/>
          <w:i/>
          <w:sz w:val="24"/>
          <w:szCs w:val="24"/>
        </w:rPr>
        <w:t>և</w:t>
      </w:r>
      <w:r w:rsidRPr="0011208A">
        <w:rPr>
          <w:rFonts w:ascii="Sylfaen" w:hAnsi="Sylfaen"/>
          <w:i/>
          <w:sz w:val="24"/>
          <w:szCs w:val="24"/>
        </w:rPr>
        <w:t xml:space="preserve"> բժշկական կիրառման հրահանգին (ներդիր-թերթիկին) ներկայացվող պահանջներում շարադրված ընթեռնելիության չափանիշներին: </w:t>
      </w:r>
      <w:r w:rsidR="0056496B">
        <w:rPr>
          <w:rFonts w:ascii="Sylfaen" w:hAnsi="Sylfaen"/>
          <w:i/>
          <w:sz w:val="24"/>
          <w:szCs w:val="24"/>
        </w:rPr>
        <w:t>Դիմումատու</w:t>
      </w:r>
      <w:r w:rsidRPr="0011208A">
        <w:rPr>
          <w:rFonts w:ascii="Sylfaen" w:hAnsi="Sylfaen"/>
          <w:i/>
          <w:sz w:val="24"/>
          <w:szCs w:val="24"/>
        </w:rPr>
        <w:t>ն, պացիենտների թիրախային խմբերի մասնակցությամբ, օգտագործողների թեստավորման շրջանակներում պետք է ուսումնասիրի ստոր</w:t>
      </w:r>
      <w:r w:rsidR="00C54D75">
        <w:rPr>
          <w:rFonts w:ascii="Sylfaen" w:hAnsi="Sylfaen"/>
          <w:i/>
          <w:sz w:val="24"/>
          <w:szCs w:val="24"/>
        </w:rPr>
        <w:t>և</w:t>
      </w:r>
      <w:r w:rsidRPr="0011208A">
        <w:rPr>
          <w:rFonts w:ascii="Sylfaen" w:hAnsi="Sylfaen"/>
          <w:i/>
          <w:sz w:val="24"/>
          <w:szCs w:val="24"/>
        </w:rPr>
        <w:t xml:space="preserve"> բերված՝ ԲԿՀ-ին (ՆԹ-ին) վերաբերող ոչ էական (այլ) դիտողությունները&gt;:</w:t>
      </w:r>
    </w:p>
    <w:p w14:paraId="7FAA0941"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կամ</w:t>
      </w:r>
    </w:p>
    <w:p w14:paraId="393205AA" w14:textId="32D380E1" w:rsidR="004F5982" w:rsidRPr="0084278D"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sz w:val="24"/>
          <w:szCs w:val="24"/>
        </w:rPr>
        <w:t>&lt;</w:t>
      </w:r>
      <w:r w:rsidRPr="00826F05">
        <w:rPr>
          <w:rFonts w:ascii="Sylfaen" w:hAnsi="Sylfaen"/>
          <w:i/>
          <w:sz w:val="24"/>
          <w:szCs w:val="24"/>
        </w:rPr>
        <w:t>ԲԿՀ-ի (ՆԹ-ի) մասով պացիենտների թիրախային խմբերի մասնակցությամբ՝ օգտագործողների ամբողջական թեստավորումը՝ ամփոփ հաշվետվության հիման վրա</w:t>
      </w:r>
      <w:r>
        <w:rPr>
          <w:rFonts w:ascii="Sylfaen" w:eastAsia="Times New Roman" w:hAnsi="Sylfaen" w:cs="Times New Roman"/>
          <w:sz w:val="24"/>
          <w:szCs w:val="24"/>
        </w:rPr>
        <w:t xml:space="preserve"> </w:t>
      </w:r>
      <w:r w:rsidRPr="00826F05">
        <w:rPr>
          <w:rFonts w:ascii="Sylfaen" w:hAnsi="Sylfaen"/>
          <w:i/>
          <w:sz w:val="24"/>
          <w:szCs w:val="24"/>
        </w:rPr>
        <w:t>&lt;արտադրատեսակի անվանումը (արտադրատեսակների անվանումը)&gt; չի կատարվել</w:t>
      </w:r>
      <w:r w:rsidRPr="0084278D">
        <w:rPr>
          <w:rFonts w:ascii="Sylfaen" w:hAnsi="Sylfaen"/>
          <w:i/>
          <w:sz w:val="24"/>
          <w:szCs w:val="24"/>
        </w:rPr>
        <w:t xml:space="preserve">: </w:t>
      </w:r>
      <w:r w:rsidR="0056496B">
        <w:rPr>
          <w:rFonts w:ascii="Sylfaen" w:hAnsi="Sylfaen"/>
          <w:i/>
          <w:sz w:val="24"/>
          <w:szCs w:val="24"/>
        </w:rPr>
        <w:t>Դիմումատու</w:t>
      </w:r>
      <w:r w:rsidRPr="0084278D">
        <w:rPr>
          <w:rFonts w:ascii="Sylfaen" w:hAnsi="Sylfaen"/>
          <w:i/>
          <w:sz w:val="24"/>
          <w:szCs w:val="24"/>
        </w:rPr>
        <w:t>ի կողմից ներկայացված ամփոփ հաշվետվությունը ճանաչվել է ընդունելի (անընդունելի)&gt;:</w:t>
      </w:r>
    </w:p>
    <w:p w14:paraId="4F1018C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[Ձ</w:t>
      </w:r>
      <w:r w:rsidR="00C54D75">
        <w:rPr>
          <w:rFonts w:ascii="Sylfaen" w:hAnsi="Sylfaen"/>
          <w:i/>
          <w:sz w:val="24"/>
          <w:szCs w:val="24"/>
        </w:rPr>
        <w:t>և</w:t>
      </w:r>
      <w:r w:rsidRPr="00826F05">
        <w:rPr>
          <w:rFonts w:ascii="Sylfaen" w:hAnsi="Sylfaen"/>
          <w:i/>
          <w:sz w:val="24"/>
          <w:szCs w:val="24"/>
        </w:rPr>
        <w:t>ակերպման վերջին տարբերակը կարող է ներառվել, միայն եթե ԴՈԱՊԿԿ-ն այն համաձայնեցրել է]:</w:t>
      </w:r>
    </w:p>
    <w:p w14:paraId="3792A7B0" w14:textId="77777777" w:rsidR="004F5982" w:rsidRDefault="004F5982" w:rsidP="00487007">
      <w:pPr>
        <w:spacing w:after="160" w:line="360" w:lineRule="auto"/>
        <w:ind w:left="567" w:right="565"/>
        <w:jc w:val="center"/>
        <w:rPr>
          <w:rFonts w:ascii="Sylfaen" w:hAnsi="Sylfaen"/>
          <w:sz w:val="24"/>
          <w:szCs w:val="24"/>
        </w:rPr>
      </w:pPr>
    </w:p>
    <w:p w14:paraId="1037E34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2.10. Բուժաշխատողների անմիջական տեղեկացումը</w:t>
      </w:r>
    </w:p>
    <w:p w14:paraId="4B16FA8D" w14:textId="77777777" w:rsidR="004F5982" w:rsidRPr="0084278D"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sz w:val="24"/>
          <w:szCs w:val="24"/>
        </w:rPr>
        <w:t>Փորձագետը համարում է, որ բուժաշխատողների անմիջական տեղեկացումը (ԲԱԱՏ) անհրաժեշտ է հետ</w:t>
      </w:r>
      <w:r w:rsidR="00C54D75">
        <w:rPr>
          <w:rFonts w:ascii="Sylfaen" w:hAnsi="Sylfaen"/>
          <w:sz w:val="24"/>
          <w:szCs w:val="24"/>
        </w:rPr>
        <w:t>և</w:t>
      </w:r>
      <w:r w:rsidRPr="00826F05">
        <w:rPr>
          <w:rFonts w:ascii="Sylfaen" w:hAnsi="Sylfaen"/>
          <w:sz w:val="24"/>
          <w:szCs w:val="24"/>
        </w:rPr>
        <w:t xml:space="preserve">յալի վերաբերյալ քննարկման համար՝ </w:t>
      </w:r>
      <w:r w:rsidRPr="0084278D">
        <w:rPr>
          <w:rFonts w:ascii="Sylfaen" w:hAnsi="Sylfaen"/>
          <w:i/>
          <w:sz w:val="24"/>
          <w:szCs w:val="24"/>
        </w:rPr>
        <w:t>&lt;համառոտ շարադրել փոխգործակցության հարցը &gt;:</w:t>
      </w:r>
    </w:p>
    <w:p w14:paraId="4B96D24E" w14:textId="77777777" w:rsidR="004F5982" w:rsidRPr="00826F05" w:rsidRDefault="004F5982" w:rsidP="00487007">
      <w:pPr>
        <w:tabs>
          <w:tab w:val="left" w:pos="1701"/>
        </w:tabs>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[Հարկ է ներկայացնել ԲԱԱՏ-ի թիրախային լսարանի մասին ընդհանուր մանրամասներ]:</w:t>
      </w:r>
    </w:p>
    <w:p w14:paraId="740EE76E" w14:textId="77777777" w:rsidR="004F5982" w:rsidRPr="0084278D" w:rsidRDefault="004F5982" w:rsidP="00487007">
      <w:pPr>
        <w:spacing w:after="160" w:line="360" w:lineRule="auto"/>
        <w:ind w:firstLine="567"/>
        <w:jc w:val="both"/>
        <w:rPr>
          <w:rFonts w:ascii="Sylfaen" w:eastAsia="Times New Roman" w:hAnsi="Sylfaen" w:cs="Times New Roman"/>
          <w:i/>
          <w:sz w:val="24"/>
          <w:szCs w:val="24"/>
        </w:rPr>
      </w:pPr>
      <w:r w:rsidRPr="00826F05">
        <w:rPr>
          <w:rFonts w:ascii="Sylfaen" w:hAnsi="Sylfaen"/>
          <w:sz w:val="24"/>
          <w:szCs w:val="24"/>
        </w:rPr>
        <w:lastRenderedPageBreak/>
        <w:t xml:space="preserve">Գրանցման հավաստագրի իրավատերը պետք է ԲԱԱՏ-ի թարգմանությունները </w:t>
      </w:r>
      <w:r w:rsidR="00C54D75">
        <w:rPr>
          <w:rFonts w:ascii="Sylfaen" w:hAnsi="Sylfaen"/>
          <w:sz w:val="24"/>
          <w:szCs w:val="24"/>
        </w:rPr>
        <w:t>և</w:t>
      </w:r>
      <w:r w:rsidRPr="00826F05">
        <w:rPr>
          <w:rFonts w:ascii="Sylfaen" w:hAnsi="Sylfaen"/>
          <w:sz w:val="24"/>
          <w:szCs w:val="24"/>
        </w:rPr>
        <w:t xml:space="preserve"> տեղական առանձնահատկությունները համաձայնեցնի անդամ պետությունների լիազորված մարմինների հետ: Հարկ է, որ ԲԱԱՏ-ը </w:t>
      </w:r>
      <w:r w:rsidRPr="0084278D">
        <w:rPr>
          <w:rFonts w:ascii="Sylfaen" w:hAnsi="Sylfaen"/>
          <w:i/>
          <w:sz w:val="24"/>
          <w:szCs w:val="24"/>
        </w:rPr>
        <w:t>&lt;նշել ԲԱԱՏ-ի ընդլայնման համաձայնեցված ամսաթիվը&gt;</w:t>
      </w:r>
      <w:r w:rsidRPr="00826F05">
        <w:rPr>
          <w:rFonts w:ascii="Sylfaen" w:hAnsi="Sylfaen"/>
          <w:sz w:val="24"/>
          <w:szCs w:val="24"/>
        </w:rPr>
        <w:t xml:space="preserve"> ուղարկվի </w:t>
      </w:r>
      <w:r w:rsidRPr="0084278D">
        <w:rPr>
          <w:rFonts w:ascii="Sylfaen" w:hAnsi="Sylfaen"/>
          <w:i/>
          <w:sz w:val="24"/>
          <w:szCs w:val="24"/>
        </w:rPr>
        <w:t>&lt;նշել թիրախային լսարանը&gt;:</w:t>
      </w:r>
    </w:p>
    <w:p w14:paraId="7AD152C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[Հաջորդ բաժինները, որոնք վերաբերում են երեխաների կողմից դեղապատրաստուկի կիրառմանը, ըստ կար</w:t>
      </w:r>
      <w:r w:rsidR="00C54D75">
        <w:rPr>
          <w:rFonts w:ascii="Sylfaen" w:hAnsi="Sylfaen"/>
          <w:sz w:val="24"/>
          <w:szCs w:val="24"/>
        </w:rPr>
        <w:t>և</w:t>
      </w:r>
      <w:r w:rsidRPr="00826F05">
        <w:rPr>
          <w:rFonts w:ascii="Sylfaen" w:hAnsi="Sylfaen"/>
          <w:sz w:val="24"/>
          <w:szCs w:val="24"/>
        </w:rPr>
        <w:t xml:space="preserve">որության </w:t>
      </w:r>
      <w:r w:rsidR="00C54D75">
        <w:rPr>
          <w:rFonts w:ascii="Sylfaen" w:hAnsi="Sylfaen"/>
          <w:sz w:val="24"/>
          <w:szCs w:val="24"/>
        </w:rPr>
        <w:t>և</w:t>
      </w:r>
      <w:r w:rsidRPr="00826F05">
        <w:rPr>
          <w:rFonts w:ascii="Sylfaen" w:hAnsi="Sylfaen"/>
          <w:sz w:val="24"/>
          <w:szCs w:val="24"/>
        </w:rPr>
        <w:t xml:space="preserve"> համապատասխանության, կարող են ներառվել միայն տվյալ տարբերակի անհրաժեշտությունից]:</w:t>
      </w:r>
    </w:p>
    <w:p w14:paraId="4B61AB2E" w14:textId="77777777" w:rsidR="004F5982" w:rsidRPr="00826F05" w:rsidRDefault="004F5982" w:rsidP="00487007">
      <w:pPr>
        <w:spacing w:after="160" w:line="360" w:lineRule="auto"/>
        <w:ind w:left="118" w:right="37" w:firstLine="720"/>
        <w:jc w:val="both"/>
        <w:rPr>
          <w:rFonts w:ascii="Sylfaen" w:hAnsi="Sylfaen"/>
          <w:sz w:val="24"/>
          <w:szCs w:val="24"/>
        </w:rPr>
      </w:pPr>
    </w:p>
    <w:p w14:paraId="7CF0EC8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2.11. Մանկաբուժական հետազոտությունների անհամապատասխանությունների նշանակությունը</w:t>
      </w:r>
    </w:p>
    <w:p w14:paraId="41AF220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[Ուշադրությո՛ւն. Եթե այդ փոփոխությունը ներկայացնելու համար դիտարկվել է երեխաների մոտ ազդանշանի հաստատում, կամ եթե այդ ներկայացումը ներառում է ԴԸԲ-ում հիշատակված մանկաբուժական հետազոտություններ, հարկ է տվյալ փոփոխությունները գնահատելիս օգտագործել մանկաբուժության ոլորտի համապատասխան ձեռնարկները]:</w:t>
      </w:r>
    </w:p>
    <w:p w14:paraId="76B953DC" w14:textId="77777777" w:rsidR="004F5982" w:rsidRDefault="004F5982" w:rsidP="00487007">
      <w:pPr>
        <w:spacing w:after="160" w:line="360" w:lineRule="auto"/>
        <w:ind w:left="567" w:right="565"/>
        <w:jc w:val="center"/>
        <w:rPr>
          <w:rFonts w:ascii="Sylfaen" w:hAnsi="Sylfaen"/>
          <w:sz w:val="24"/>
          <w:szCs w:val="24"/>
        </w:rPr>
      </w:pPr>
    </w:p>
    <w:p w14:paraId="3ED31FA6" w14:textId="77777777" w:rsidR="004F5982" w:rsidRDefault="004F5982" w:rsidP="00487007">
      <w:pPr>
        <w:spacing w:after="160" w:line="360" w:lineRule="auto"/>
        <w:ind w:left="567" w:right="565"/>
        <w:jc w:val="center"/>
        <w:rPr>
          <w:rFonts w:ascii="Sylfaen" w:hAnsi="Sylfaen"/>
          <w:sz w:val="24"/>
          <w:szCs w:val="24"/>
        </w:rPr>
      </w:pPr>
    </w:p>
    <w:p w14:paraId="4471FF8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3. Ընդհանուր եզրակացությունը </w:t>
      </w:r>
      <w:r w:rsidR="00C54D75">
        <w:rPr>
          <w:rFonts w:ascii="Sylfaen" w:hAnsi="Sylfaen"/>
          <w:sz w:val="24"/>
          <w:szCs w:val="24"/>
        </w:rPr>
        <w:t>և</w:t>
      </w:r>
      <w:r w:rsidRPr="00826F05">
        <w:rPr>
          <w:rFonts w:ascii="Sylfaen" w:hAnsi="Sylfaen"/>
          <w:sz w:val="24"/>
          <w:szCs w:val="24"/>
        </w:rPr>
        <w:t xml:space="preserve"> «օգուտ-ռիսկ» հարաբերակցության վրա ազդեցությունը</w:t>
      </w:r>
    </w:p>
    <w:p w14:paraId="646541F9"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i/>
          <w:sz w:val="24"/>
          <w:szCs w:val="24"/>
        </w:rPr>
        <w:t xml:space="preserve">[Տվյալ բաժնում հարկ է ավելացնել ներկայացված այն տվյալների կրիտիկական տեղեկագիրը, որոնցով ընդգծվում է փոփոխության հարցումը </w:t>
      </w:r>
      <w:r w:rsidR="00C54D75">
        <w:rPr>
          <w:rFonts w:ascii="Sylfaen" w:hAnsi="Sylfaen"/>
          <w:i/>
          <w:sz w:val="24"/>
          <w:szCs w:val="24"/>
        </w:rPr>
        <w:t>և</w:t>
      </w:r>
      <w:r w:rsidRPr="00826F05">
        <w:rPr>
          <w:rFonts w:ascii="Sylfaen" w:hAnsi="Sylfaen"/>
          <w:i/>
          <w:sz w:val="24"/>
          <w:szCs w:val="24"/>
        </w:rPr>
        <w:t xml:space="preserve"> դեղապատրաստուկի օգուտ-ռիսկ հարաբերակցության վրա դրա ազդեցությունը:</w:t>
      </w:r>
    </w:p>
    <w:p w14:paraId="1BA0DC6E" w14:textId="3BE4BE63"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i/>
          <w:sz w:val="24"/>
          <w:szCs w:val="24"/>
        </w:rPr>
        <w:t xml:space="preserve">Սահմանափակ քանակությամբ տվյալների դեպքում, որոնք ակնկալվող ռիսկերի նկատմամբ օգուտի դրական հարաբերակցությունը (գերազանցումը) </w:t>
      </w:r>
      <w:r w:rsidRPr="00826F05">
        <w:rPr>
          <w:rFonts w:ascii="Sylfaen" w:hAnsi="Sylfaen"/>
          <w:i/>
          <w:sz w:val="24"/>
          <w:szCs w:val="24"/>
        </w:rPr>
        <w:lastRenderedPageBreak/>
        <w:t>ապահովելու համար որպես առանցքային միջոցներ են դիտարկվում, հատուկ հետազոտությունների ժամանակ դրանց ստացման հարցը կարող է դրվել փորձագետի կողմից՝ որպես գրանցման հավաստագրի տրամադրման պայման: Այն դեպքում, երբ որոշվել է հարցերը ներառել Գ հավելվածում որպես պայմաններ, օգտագործեք ստոր</w:t>
      </w:r>
      <w:r w:rsidR="00C54D75">
        <w:rPr>
          <w:rFonts w:ascii="Sylfaen" w:hAnsi="Sylfaen"/>
          <w:i/>
          <w:sz w:val="24"/>
          <w:szCs w:val="24"/>
        </w:rPr>
        <w:t>և</w:t>
      </w:r>
      <w:r w:rsidRPr="00826F05">
        <w:rPr>
          <w:rFonts w:ascii="Sylfaen" w:hAnsi="Sylfaen"/>
          <w:i/>
          <w:sz w:val="24"/>
          <w:szCs w:val="24"/>
        </w:rPr>
        <w:t xml:space="preserve"> բերված </w:t>
      </w:r>
      <w:r w:rsidR="0056496B">
        <w:rPr>
          <w:rFonts w:ascii="Sylfaen" w:hAnsi="Sylfaen"/>
          <w:i/>
          <w:sz w:val="24"/>
          <w:szCs w:val="24"/>
        </w:rPr>
        <w:t>դիմում</w:t>
      </w:r>
      <w:r w:rsidRPr="00826F05">
        <w:rPr>
          <w:rFonts w:ascii="Sylfaen" w:hAnsi="Sylfaen"/>
          <w:i/>
          <w:sz w:val="24"/>
          <w:szCs w:val="24"/>
        </w:rPr>
        <w:t xml:space="preserve">ը: Որպես պայման սահմանված ցանկացած միջոց պետք է լավ հիմնավորված լինի </w:t>
      </w:r>
      <w:r w:rsidR="0056496B">
        <w:rPr>
          <w:rFonts w:ascii="Sylfaen" w:hAnsi="Sylfaen"/>
          <w:i/>
          <w:sz w:val="24"/>
          <w:szCs w:val="24"/>
        </w:rPr>
        <w:t>դիմում</w:t>
      </w:r>
      <w:r w:rsidRPr="00826F05">
        <w:rPr>
          <w:rFonts w:ascii="Sylfaen" w:hAnsi="Sylfaen"/>
          <w:i/>
          <w:sz w:val="24"/>
          <w:szCs w:val="24"/>
        </w:rPr>
        <w:t>ում, իսկ մասնավորապես, պայմանի համար անհրաժեշտությունը պետք է բացատրվի օգուտ-ռիսկ դրական հարաբերակցության համատեքստում:]</w:t>
      </w:r>
    </w:p>
    <w:p w14:paraId="05351BD1"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Փորձագետն անհրաժեշտ է համարում հետ</w:t>
      </w:r>
      <w:r w:rsidR="00C54D75">
        <w:rPr>
          <w:rFonts w:ascii="Sylfaen" w:hAnsi="Sylfaen"/>
          <w:sz w:val="24"/>
          <w:szCs w:val="24"/>
        </w:rPr>
        <w:t>և</w:t>
      </w:r>
      <w:r w:rsidRPr="00826F05">
        <w:rPr>
          <w:rFonts w:ascii="Sylfaen" w:hAnsi="Sylfaen"/>
          <w:sz w:val="24"/>
          <w:szCs w:val="24"/>
        </w:rPr>
        <w:t>յալ միջոցները՝</w:t>
      </w:r>
    </w:p>
    <w:p w14:paraId="6178C8B6"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նախակլինիկական միջոցների վերաբերյալ հարցումների ցանկը&gt;</w:t>
      </w:r>
    </w:p>
    <w:p w14:paraId="71B8D943" w14:textId="77777777" w:rsidR="004F5982" w:rsidRPr="0037445D" w:rsidRDefault="004F5982" w:rsidP="00487007">
      <w:pPr>
        <w:spacing w:after="160" w:line="360" w:lineRule="auto"/>
        <w:ind w:right="39" w:firstLine="567"/>
        <w:jc w:val="both"/>
        <w:rPr>
          <w:rFonts w:ascii="Sylfaen" w:hAnsi="Sylfaen"/>
          <w:i/>
          <w:sz w:val="24"/>
          <w:szCs w:val="24"/>
        </w:rPr>
      </w:pPr>
      <w:r w:rsidRPr="0037445D">
        <w:rPr>
          <w:rFonts w:ascii="Sylfaen" w:hAnsi="Sylfaen"/>
          <w:i/>
          <w:sz w:val="24"/>
          <w:szCs w:val="24"/>
        </w:rPr>
        <w:t>&lt;ներկայացնել պատրաստուկի դեղաբանության ուսումնասիրության հետ կապված հարցերի վերաբերյալ հարցումների ցանկը&gt;</w:t>
      </w:r>
    </w:p>
    <w:p w14:paraId="5B73D5CD"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պատրաստուկի արդյունավետության վերաբերյալ հարցումների ցանկը&gt;</w:t>
      </w:r>
    </w:p>
    <w:p w14:paraId="05DDFA0F"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դեղազգոնության վերաբերյալ հարցումների ցանկը&gt;:</w:t>
      </w:r>
    </w:p>
    <w:p w14:paraId="2FCECA19" w14:textId="77777777" w:rsidR="004F5982" w:rsidRPr="0037445D" w:rsidRDefault="004F5982" w:rsidP="00487007">
      <w:pPr>
        <w:spacing w:after="160" w:line="360" w:lineRule="auto"/>
        <w:ind w:right="36" w:firstLine="567"/>
        <w:jc w:val="both"/>
        <w:rPr>
          <w:rFonts w:ascii="Sylfaen" w:eastAsia="Times New Roman" w:hAnsi="Sylfaen" w:cs="Times New Roman"/>
          <w:i/>
          <w:sz w:val="24"/>
          <w:szCs w:val="24"/>
        </w:rPr>
      </w:pPr>
      <w:r w:rsidRPr="0037445D">
        <w:rPr>
          <w:rFonts w:ascii="Sylfaen" w:hAnsi="Sylfaen"/>
          <w:i/>
          <w:sz w:val="24"/>
          <w:szCs w:val="24"/>
        </w:rPr>
        <w:t>[Փորձագետի՝ անվտանգության հետ կապված հարցումների առկայության դեպքում (այսինքն՝ անվտանգության ամբողջական վերլուծություն, որը պետք է ներկայացվի) հարկ է նշել]:</w:t>
      </w:r>
    </w:p>
    <w:p w14:paraId="2B2BE0D9" w14:textId="727C486D" w:rsidR="004F5982" w:rsidRPr="00826F05" w:rsidRDefault="004F5982" w:rsidP="00487007">
      <w:pPr>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 xml:space="preserve">Բացի այդ, փորձագետը եկել է այն եզրակացության, որ </w:t>
      </w:r>
      <w:r w:rsidR="0056496B">
        <w:rPr>
          <w:rFonts w:ascii="Sylfaen" w:hAnsi="Sylfaen"/>
          <w:sz w:val="24"/>
          <w:szCs w:val="24"/>
        </w:rPr>
        <w:t>դիմումատու</w:t>
      </w:r>
      <w:r w:rsidRPr="00826F05">
        <w:rPr>
          <w:rFonts w:ascii="Sylfaen" w:hAnsi="Sylfaen"/>
          <w:sz w:val="24"/>
          <w:szCs w:val="24"/>
        </w:rPr>
        <w:t>ն հերթական ԱՊԹՀ-ում պետք է ներկայացնի անվտանգության վերաբերյալ հետ</w:t>
      </w:r>
      <w:r w:rsidR="00C54D75">
        <w:rPr>
          <w:rFonts w:ascii="Sylfaen" w:hAnsi="Sylfaen"/>
          <w:sz w:val="24"/>
          <w:szCs w:val="24"/>
        </w:rPr>
        <w:t>և</w:t>
      </w:r>
      <w:r w:rsidRPr="00826F05">
        <w:rPr>
          <w:rFonts w:ascii="Sylfaen" w:hAnsi="Sylfaen"/>
          <w:sz w:val="24"/>
          <w:szCs w:val="24"/>
        </w:rPr>
        <w:t xml:space="preserve">յալ տվյալները (Х ամսվա ընթացքում)՝ </w:t>
      </w:r>
      <w:r w:rsidRPr="0037445D">
        <w:rPr>
          <w:rFonts w:ascii="Sylfaen" w:hAnsi="Sylfaen"/>
          <w:i/>
          <w:sz w:val="24"/>
          <w:szCs w:val="24"/>
        </w:rPr>
        <w:t>&lt;թվարկել տվյալները&gt;:</w:t>
      </w:r>
    </w:p>
    <w:p w14:paraId="4D5DAE69" w14:textId="36A98451"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i/>
          <w:sz w:val="24"/>
          <w:szCs w:val="24"/>
        </w:rPr>
        <w:t xml:space="preserve">[Այն դեպքում, երբ մի քանի պատրաստուկների մասով համակցված փոփոխությունների կատարման մասին </w:t>
      </w:r>
      <w:r w:rsidR="0056496B">
        <w:rPr>
          <w:rFonts w:ascii="Sylfaen" w:hAnsi="Sylfaen"/>
          <w:i/>
          <w:sz w:val="24"/>
          <w:szCs w:val="24"/>
        </w:rPr>
        <w:t>դիմում</w:t>
      </w:r>
      <w:r w:rsidRPr="00826F05">
        <w:rPr>
          <w:rFonts w:ascii="Sylfaen" w:hAnsi="Sylfaen"/>
          <w:i/>
          <w:sz w:val="24"/>
          <w:szCs w:val="24"/>
        </w:rPr>
        <w:t xml:space="preserve"> է ներկայացվել, </w:t>
      </w:r>
      <w:r w:rsidR="00C54D75">
        <w:rPr>
          <w:rFonts w:ascii="Sylfaen" w:hAnsi="Sylfaen"/>
          <w:i/>
          <w:sz w:val="24"/>
          <w:szCs w:val="24"/>
        </w:rPr>
        <w:t>և</w:t>
      </w:r>
      <w:r w:rsidRPr="00826F05">
        <w:rPr>
          <w:rFonts w:ascii="Sylfaen" w:hAnsi="Sylfaen"/>
          <w:i/>
          <w:sz w:val="24"/>
          <w:szCs w:val="24"/>
        </w:rPr>
        <w:t xml:space="preserve"> դիրքերից որ</w:t>
      </w:r>
      <w:r w:rsidR="00C54D75">
        <w:rPr>
          <w:rFonts w:ascii="Sylfaen" w:hAnsi="Sylfaen"/>
          <w:i/>
          <w:sz w:val="24"/>
          <w:szCs w:val="24"/>
        </w:rPr>
        <w:t>և</w:t>
      </w:r>
      <w:r w:rsidRPr="00826F05">
        <w:rPr>
          <w:rFonts w:ascii="Sylfaen" w:hAnsi="Sylfaen"/>
          <w:i/>
          <w:sz w:val="24"/>
          <w:szCs w:val="24"/>
        </w:rPr>
        <w:t>է մեկում փորձագետները տարակարծիք են եղել դեղապատրաստուկների խմբի հարցում, ապա դրանք անհրաժեշտ է նկարագրել յուրաքանչյուր դեղապատրաստուկի համար առանձին]:</w:t>
      </w:r>
    </w:p>
    <w:p w14:paraId="1DF8DA39" w14:textId="77777777" w:rsidR="004F5982" w:rsidRPr="00826F05" w:rsidRDefault="004F5982" w:rsidP="00487007">
      <w:pPr>
        <w:spacing w:after="160" w:line="360" w:lineRule="auto"/>
        <w:ind w:right="43"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Սահմանել ԱՊԹՀ-ի ներկայացման պարբերականությանը ներկայացվող պահանջներն այն դեպքում, երբ այն տարբերվում է ԱՊԹՀ-ի թարմացման բնականոն ժամանակահատվածից: </w:t>
      </w:r>
    </w:p>
    <w:p w14:paraId="6ED87BA5"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Փորձագետն առաջարկում է գրանցման հավաստագրի իրավատիրոջը շարունակել ներկայացնել վեցամսյա (տարեկան) ԱՊԹՀ-ն:</w:t>
      </w:r>
    </w:p>
    <w:p w14:paraId="020C58F7" w14:textId="77777777" w:rsidR="004F5982" w:rsidRPr="00826F05" w:rsidRDefault="004F5982" w:rsidP="00487007">
      <w:pPr>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ներկայացնի դեղամիջոցի ԱՊԹՀ-ն՝ ելնելով ակտիվ դեղագործական բաղադրամասի ՄՉԱ-ի միջազգային գրանցման ամսաթվից:</w:t>
      </w:r>
    </w:p>
    <w:p w14:paraId="2EBD9E20" w14:textId="77777777" w:rsidR="004F5982" w:rsidRPr="00826F05" w:rsidRDefault="004F5982" w:rsidP="00487007">
      <w:pPr>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Փորձագետի առաջարկությունները վերաբերում են գրանցման հետ</w:t>
      </w:r>
      <w:r w:rsidR="00C54D75">
        <w:rPr>
          <w:rFonts w:ascii="Sylfaen" w:hAnsi="Sylfaen"/>
          <w:sz w:val="24"/>
          <w:szCs w:val="24"/>
        </w:rPr>
        <w:t>և</w:t>
      </w:r>
      <w:r w:rsidRPr="00826F05">
        <w:rPr>
          <w:rFonts w:ascii="Sylfaen" w:hAnsi="Sylfaen"/>
          <w:sz w:val="24"/>
          <w:szCs w:val="24"/>
        </w:rPr>
        <w:t xml:space="preserve">յալ նոր պայմաններին՝ </w:t>
      </w:r>
      <w:r w:rsidRPr="0037445D">
        <w:rPr>
          <w:rFonts w:ascii="Sylfaen" w:hAnsi="Sylfaen"/>
          <w:i/>
          <w:sz w:val="24"/>
          <w:szCs w:val="24"/>
        </w:rPr>
        <w:t>&lt;նշել պայմանները&gt;:</w:t>
      </w:r>
    </w:p>
    <w:p w14:paraId="3B67F36A" w14:textId="77777777" w:rsidR="004F5982" w:rsidRPr="00826F05"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Փորձագետը համարում է, որ հետ</w:t>
      </w:r>
      <w:r w:rsidR="00C54D75">
        <w:rPr>
          <w:rFonts w:ascii="Sylfaen" w:hAnsi="Sylfaen"/>
          <w:sz w:val="24"/>
          <w:szCs w:val="24"/>
        </w:rPr>
        <w:t>և</w:t>
      </w:r>
      <w:r w:rsidRPr="00826F05">
        <w:rPr>
          <w:rFonts w:ascii="Sylfaen" w:hAnsi="Sylfaen"/>
          <w:sz w:val="24"/>
          <w:szCs w:val="24"/>
        </w:rPr>
        <w:t>յալ պարտավորությունները կատարվել</w:t>
      </w:r>
      <w:r>
        <w:rPr>
          <w:rFonts w:ascii="Sylfaen" w:hAnsi="Sylfaen"/>
          <w:sz w:val="24"/>
          <w:szCs w:val="24"/>
        </w:rPr>
        <w:t> </w:t>
      </w:r>
      <w:r w:rsidRPr="00826F05">
        <w:rPr>
          <w:rFonts w:ascii="Sylfaen" w:hAnsi="Sylfaen"/>
          <w:sz w:val="24"/>
          <w:szCs w:val="24"/>
        </w:rPr>
        <w:t xml:space="preserve">են, </w:t>
      </w:r>
      <w:r w:rsidR="00C54D75">
        <w:rPr>
          <w:rFonts w:ascii="Sylfaen" w:hAnsi="Sylfaen"/>
          <w:sz w:val="24"/>
          <w:szCs w:val="24"/>
        </w:rPr>
        <w:t>և</w:t>
      </w:r>
      <w:r w:rsidRPr="00826F05">
        <w:rPr>
          <w:rFonts w:ascii="Sylfaen" w:hAnsi="Sylfaen"/>
          <w:sz w:val="24"/>
          <w:szCs w:val="24"/>
        </w:rPr>
        <w:t xml:space="preserve"> այդ իսկ պատճառով առաջարկում է Գ հավելվածից հանել՝</w:t>
      </w:r>
    </w:p>
    <w:p w14:paraId="1DF2066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w:t>
      </w:r>
    </w:p>
    <w:p w14:paraId="68ED19B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[Ռիսկի նվազեցմանն ուղղված լրացուցիչ միջոցառումները, որոնք կկատարվեն գրանցման հավաստագրի իրավատիրոջ կողմից, պետք է թվարկվեն տվյալ բաժնում:</w:t>
      </w:r>
    </w:p>
    <w:p w14:paraId="6AFFD84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Բացի ԴԸԲ-ում նշվածներից՝ ռիսկերի նվազեցմանն ուղղված լրացուցիչ միջոցառումների անցկացման անհրաժեշտության դեպքում (օրինակ՝</w:t>
      </w:r>
      <w:r>
        <w:rPr>
          <w:rFonts w:ascii="Sylfaen" w:hAnsi="Sylfaen"/>
          <w:i/>
          <w:sz w:val="24"/>
          <w:szCs w:val="24"/>
        </w:rPr>
        <w:t> </w:t>
      </w:r>
      <w:r w:rsidRPr="00826F05">
        <w:rPr>
          <w:rFonts w:ascii="Sylfaen" w:hAnsi="Sylfaen"/>
          <w:i/>
          <w:sz w:val="24"/>
          <w:szCs w:val="24"/>
        </w:rPr>
        <w:t xml:space="preserve">պատրաստուկի հսկվող տարածումը, ուսուցողական ծրագրերը, հղիության կանխման ծրագիրը), դրանք պետք է թվարկվեն այստեղ </w:t>
      </w:r>
      <w:r w:rsidR="00C54D75">
        <w:rPr>
          <w:rFonts w:ascii="Sylfaen" w:hAnsi="Sylfaen"/>
          <w:i/>
          <w:sz w:val="24"/>
          <w:szCs w:val="24"/>
        </w:rPr>
        <w:t>և</w:t>
      </w:r>
      <w:r w:rsidRPr="00826F05">
        <w:rPr>
          <w:rFonts w:ascii="Sylfaen" w:hAnsi="Sylfaen"/>
          <w:i/>
          <w:sz w:val="24"/>
          <w:szCs w:val="24"/>
        </w:rPr>
        <w:t xml:space="preserve">, ըստ անհրաժեշտության, պետք է ապահովվի անդամ պետությունների կողմից դրանց ճշգրիտ կատարումը: Այդ կանոնից ցանկացած բացառություն (օրինակ՝ որոշ անդամ պետություններում համաճարակաբանական վերահսկողության ծրագրով ներմուծված) պետք է քննարկվի </w:t>
      </w:r>
      <w:r w:rsidR="00C54D75">
        <w:rPr>
          <w:rFonts w:ascii="Sylfaen" w:hAnsi="Sylfaen"/>
          <w:i/>
          <w:sz w:val="24"/>
          <w:szCs w:val="24"/>
        </w:rPr>
        <w:t>և</w:t>
      </w:r>
      <w:r w:rsidRPr="00826F05">
        <w:rPr>
          <w:rFonts w:ascii="Sylfaen" w:hAnsi="Sylfaen"/>
          <w:i/>
          <w:sz w:val="24"/>
          <w:szCs w:val="24"/>
        </w:rPr>
        <w:t xml:space="preserve"> արտացոլվի փորձագիտական եզրակացությունում]:</w:t>
      </w:r>
    </w:p>
    <w:p w14:paraId="7418ACA6" w14:textId="77777777" w:rsidR="004F5982" w:rsidRDefault="004F5982" w:rsidP="00487007">
      <w:pPr>
        <w:spacing w:after="160" w:line="360" w:lineRule="auto"/>
        <w:ind w:left="567" w:right="565"/>
        <w:jc w:val="center"/>
        <w:rPr>
          <w:rFonts w:ascii="Sylfaen" w:hAnsi="Sylfaen"/>
          <w:sz w:val="24"/>
          <w:szCs w:val="24"/>
        </w:rPr>
      </w:pPr>
    </w:p>
    <w:p w14:paraId="71A4578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Հետգրանցումային գործողություններն ավարտելու պարտավորությունը</w:t>
      </w:r>
    </w:p>
    <w:p w14:paraId="48C0018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սահմանված ժամկետներում ավարտի հետ</w:t>
      </w:r>
      <w:r w:rsidR="00C54D75">
        <w:rPr>
          <w:rFonts w:ascii="Sylfaen" w:hAnsi="Sylfaen"/>
          <w:sz w:val="24"/>
          <w:szCs w:val="24"/>
        </w:rPr>
        <w:t>և</w:t>
      </w:r>
      <w:r w:rsidRPr="00826F05">
        <w:rPr>
          <w:rFonts w:ascii="Sylfaen" w:hAnsi="Sylfaen"/>
          <w:sz w:val="24"/>
          <w:szCs w:val="24"/>
        </w:rPr>
        <w:t>յալ գործողությունները՝</w:t>
      </w:r>
    </w:p>
    <w:tbl>
      <w:tblPr>
        <w:tblW w:w="98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7"/>
        <w:gridCol w:w="2494"/>
      </w:tblGrid>
      <w:tr w:rsidR="004F5982" w:rsidRPr="00826F05" w14:paraId="46175692" w14:textId="77777777" w:rsidTr="004F5982">
        <w:tc>
          <w:tcPr>
            <w:tcW w:w="7337" w:type="dxa"/>
          </w:tcPr>
          <w:p w14:paraId="0906BC1C" w14:textId="77777777" w:rsidR="004F5982" w:rsidRPr="00826F05" w:rsidRDefault="004F5982" w:rsidP="00487007">
            <w:pPr>
              <w:spacing w:after="160" w:line="360" w:lineRule="auto"/>
              <w:ind w:left="102" w:right="-20"/>
              <w:rPr>
                <w:rFonts w:ascii="Sylfaen" w:eastAsia="Times New Roman" w:hAnsi="Sylfaen" w:cs="Times New Roman"/>
                <w:sz w:val="24"/>
                <w:szCs w:val="24"/>
              </w:rPr>
            </w:pPr>
            <w:r w:rsidRPr="00826F05">
              <w:rPr>
                <w:rFonts w:ascii="Sylfaen" w:hAnsi="Sylfaen"/>
                <w:sz w:val="24"/>
                <w:szCs w:val="24"/>
              </w:rPr>
              <w:t>Նկարագրությունը</w:t>
            </w:r>
          </w:p>
        </w:tc>
        <w:tc>
          <w:tcPr>
            <w:tcW w:w="2494" w:type="dxa"/>
          </w:tcPr>
          <w:p w14:paraId="626B3684" w14:textId="77777777" w:rsidR="004F5982" w:rsidRPr="00826F05" w:rsidRDefault="004F5982" w:rsidP="00487007">
            <w:pPr>
              <w:spacing w:after="160" w:line="360" w:lineRule="auto"/>
              <w:ind w:left="102" w:right="-20"/>
              <w:rPr>
                <w:rFonts w:ascii="Sylfaen" w:eastAsia="Times New Roman" w:hAnsi="Sylfaen" w:cs="Times New Roman"/>
                <w:sz w:val="24"/>
                <w:szCs w:val="24"/>
              </w:rPr>
            </w:pPr>
            <w:r w:rsidRPr="00826F05">
              <w:rPr>
                <w:rFonts w:ascii="Sylfaen" w:hAnsi="Sylfaen"/>
                <w:sz w:val="24"/>
                <w:szCs w:val="24"/>
              </w:rPr>
              <w:t>Կատարման ամսաթիվը</w:t>
            </w:r>
          </w:p>
        </w:tc>
      </w:tr>
      <w:tr w:rsidR="004F5982" w:rsidRPr="00826F05" w14:paraId="61685034" w14:textId="77777777" w:rsidTr="004F5982">
        <w:tc>
          <w:tcPr>
            <w:tcW w:w="7337" w:type="dxa"/>
          </w:tcPr>
          <w:p w14:paraId="0860F91B" w14:textId="77777777" w:rsidR="004F5982" w:rsidRPr="00826F05" w:rsidRDefault="004F5982" w:rsidP="00487007">
            <w:pPr>
              <w:spacing w:after="160" w:line="360" w:lineRule="auto"/>
              <w:jc w:val="both"/>
              <w:rPr>
                <w:rFonts w:ascii="Sylfaen" w:hAnsi="Sylfaen"/>
                <w:sz w:val="24"/>
                <w:szCs w:val="24"/>
              </w:rPr>
            </w:pPr>
          </w:p>
        </w:tc>
        <w:tc>
          <w:tcPr>
            <w:tcW w:w="2494" w:type="dxa"/>
          </w:tcPr>
          <w:p w14:paraId="0B414107" w14:textId="77777777" w:rsidR="004F5982" w:rsidRPr="00826F05" w:rsidRDefault="004F5982" w:rsidP="00487007">
            <w:pPr>
              <w:spacing w:after="160" w:line="360" w:lineRule="auto"/>
              <w:jc w:val="both"/>
              <w:rPr>
                <w:rFonts w:ascii="Sylfaen" w:hAnsi="Sylfaen"/>
                <w:sz w:val="24"/>
                <w:szCs w:val="24"/>
              </w:rPr>
            </w:pPr>
          </w:p>
        </w:tc>
      </w:tr>
      <w:tr w:rsidR="004F5982" w:rsidRPr="00826F05" w14:paraId="7908622C" w14:textId="77777777" w:rsidTr="004F5982">
        <w:tc>
          <w:tcPr>
            <w:tcW w:w="7337" w:type="dxa"/>
          </w:tcPr>
          <w:p w14:paraId="79D9D09A" w14:textId="77777777" w:rsidR="004F5982" w:rsidRPr="00826F05" w:rsidRDefault="004F5982" w:rsidP="00487007">
            <w:pPr>
              <w:spacing w:after="160" w:line="360" w:lineRule="auto"/>
              <w:jc w:val="both"/>
              <w:rPr>
                <w:rFonts w:ascii="Sylfaen" w:hAnsi="Sylfaen"/>
                <w:sz w:val="24"/>
                <w:szCs w:val="24"/>
              </w:rPr>
            </w:pPr>
          </w:p>
        </w:tc>
        <w:tc>
          <w:tcPr>
            <w:tcW w:w="2494" w:type="dxa"/>
          </w:tcPr>
          <w:p w14:paraId="34248B7F" w14:textId="77777777" w:rsidR="004F5982" w:rsidRPr="00826F05" w:rsidRDefault="004F5982" w:rsidP="00487007">
            <w:pPr>
              <w:spacing w:after="160" w:line="360" w:lineRule="auto"/>
              <w:jc w:val="both"/>
              <w:rPr>
                <w:rFonts w:ascii="Sylfaen" w:hAnsi="Sylfaen"/>
                <w:sz w:val="24"/>
                <w:szCs w:val="24"/>
              </w:rPr>
            </w:pPr>
          </w:p>
        </w:tc>
      </w:tr>
    </w:tbl>
    <w:p w14:paraId="51AB266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667475">
        <w:rPr>
          <w:rFonts w:ascii="Sylfaen" w:hAnsi="Sylfaen"/>
          <w:spacing w:val="-6"/>
          <w:sz w:val="24"/>
          <w:szCs w:val="24"/>
        </w:rPr>
        <w:t xml:space="preserve">Դեղամիջոցի անվտանգ </w:t>
      </w:r>
      <w:r w:rsidR="00C54D75">
        <w:rPr>
          <w:rFonts w:ascii="Sylfaen" w:hAnsi="Sylfaen"/>
          <w:spacing w:val="-6"/>
          <w:sz w:val="24"/>
          <w:szCs w:val="24"/>
        </w:rPr>
        <w:t>և</w:t>
      </w:r>
      <w:r w:rsidRPr="00667475">
        <w:rPr>
          <w:rFonts w:ascii="Sylfaen" w:hAnsi="Sylfaen"/>
          <w:spacing w:val="-6"/>
          <w:sz w:val="24"/>
          <w:szCs w:val="24"/>
        </w:rPr>
        <w:t xml:space="preserve"> արդյունավետ օգտագործման մասով պայմանները կամ սահմանափակումները, որոնք կիրականացվեն անդամ պետությունների</w:t>
      </w:r>
      <w:r w:rsidRPr="00826F05">
        <w:rPr>
          <w:rFonts w:ascii="Sylfaen" w:hAnsi="Sylfaen"/>
          <w:sz w:val="24"/>
          <w:szCs w:val="24"/>
        </w:rPr>
        <w:t xml:space="preserve"> կողմից՝</w:t>
      </w:r>
    </w:p>
    <w:p w14:paraId="2DEDE191" w14:textId="356559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[Պետք է թվարկվեն ռիսկերի նվազեցմանն ուղղված լրացուցիչ արդիական </w:t>
      </w:r>
      <w:r w:rsidRPr="00667475">
        <w:rPr>
          <w:rFonts w:ascii="Sylfaen" w:hAnsi="Sylfaen"/>
          <w:i/>
          <w:spacing w:val="-6"/>
          <w:sz w:val="24"/>
          <w:szCs w:val="24"/>
        </w:rPr>
        <w:t>միջոցառումները, որոնք կիրականացվեն անդամ պետությունների կողմից: Դրանք պետք է արտացոլեն նախորդ</w:t>
      </w:r>
      <w:r w:rsidRPr="00826F05">
        <w:rPr>
          <w:rFonts w:ascii="Sylfaen" w:hAnsi="Sylfaen"/>
          <w:i/>
          <w:sz w:val="24"/>
          <w:szCs w:val="24"/>
        </w:rPr>
        <w:t xml:space="preserve"> բաժնի տեղեկատվությունը, քանի դեռ ի </w:t>
      </w:r>
      <w:r w:rsidR="0056496B">
        <w:rPr>
          <w:rFonts w:ascii="Sylfaen" w:hAnsi="Sylfaen"/>
          <w:i/>
          <w:sz w:val="24"/>
          <w:szCs w:val="24"/>
        </w:rPr>
        <w:t>դիմում</w:t>
      </w:r>
      <w:r w:rsidRPr="00826F05">
        <w:rPr>
          <w:rFonts w:ascii="Sylfaen" w:hAnsi="Sylfaen"/>
          <w:i/>
          <w:sz w:val="24"/>
          <w:szCs w:val="24"/>
        </w:rPr>
        <w:t xml:space="preserve"> չեն եկել կոնկրետ անդամ պետության համար ռիսկի նվազեցման վերաբերյալ տվյալները:</w:t>
      </w:r>
    </w:p>
    <w:p w14:paraId="19F3337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Այդ հավելվածը պետք է նախատեսվի, երբ դեղամիջոցի անվտանգ </w:t>
      </w:r>
      <w:r w:rsidR="00C54D75">
        <w:rPr>
          <w:rFonts w:ascii="Sylfaen" w:hAnsi="Sylfaen"/>
          <w:i/>
          <w:sz w:val="24"/>
          <w:szCs w:val="24"/>
        </w:rPr>
        <w:t>և</w:t>
      </w:r>
      <w:r w:rsidRPr="00826F05">
        <w:rPr>
          <w:rFonts w:ascii="Sylfaen" w:hAnsi="Sylfaen"/>
          <w:i/>
          <w:sz w:val="24"/>
          <w:szCs w:val="24"/>
        </w:rPr>
        <w:t xml:space="preserve"> արդյունավետ օգտագործման մասով առկա են Գ հավելվածում նշված պայմանները կամ սահմանափակումները (օրինակ՝ պատրաստուկի տարածման հսկողությունը, ուսումնական նյութերը, հղիության կանխարգելման ծրագիրը), ըստ որոնց՝ անդամ պետություններից պահանջվում է ապահովել դրանց ճշգրիտ իրականացումը: Այդ կանոնից ցանկացած բացառություն (օրինակ՝ որոշ անդամ պետություններում համաճարակաբանական վերահսկողության ծրագրով ստեղծված) պետք է քննարկվի </w:t>
      </w:r>
      <w:r w:rsidR="00C54D75">
        <w:rPr>
          <w:rFonts w:ascii="Sylfaen" w:hAnsi="Sylfaen"/>
          <w:i/>
          <w:sz w:val="24"/>
          <w:szCs w:val="24"/>
        </w:rPr>
        <w:t>և</w:t>
      </w:r>
      <w:r w:rsidRPr="00826F05">
        <w:rPr>
          <w:rFonts w:ascii="Sylfaen" w:hAnsi="Sylfaen"/>
          <w:i/>
          <w:sz w:val="24"/>
          <w:szCs w:val="24"/>
        </w:rPr>
        <w:t xml:space="preserve"> արտացոլվի եզրակացությունում]:</w:t>
      </w:r>
    </w:p>
    <w:p w14:paraId="220A5A7D" w14:textId="77777777" w:rsidR="004F5982" w:rsidRPr="00826F05" w:rsidRDefault="004F5982" w:rsidP="00487007">
      <w:pPr>
        <w:spacing w:after="160" w:line="360" w:lineRule="auto"/>
        <w:jc w:val="both"/>
        <w:rPr>
          <w:rFonts w:ascii="Sylfaen" w:hAnsi="Sylfaen"/>
          <w:sz w:val="24"/>
          <w:szCs w:val="24"/>
        </w:rPr>
      </w:pPr>
    </w:p>
    <w:p w14:paraId="023E235D"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Մանկաբուժական տվյալները</w:t>
      </w:r>
    </w:p>
    <w:p w14:paraId="24DF51D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[Ուշադրությո՛ւն. Եթե այդ փոփոխությունը ներկայացնելու համար դիտարկվել է երեխաների մոտ ազդանշանի հաստատումը, կամ եթե այդ փոփոխությունը ներկայացնելը ներառում է ԴԸԲ-ում հիշատակված երեխաների </w:t>
      </w:r>
      <w:r w:rsidRPr="00826F05">
        <w:rPr>
          <w:rFonts w:ascii="Sylfaen" w:hAnsi="Sylfaen"/>
          <w:i/>
          <w:sz w:val="24"/>
          <w:szCs w:val="24"/>
        </w:rPr>
        <w:lastRenderedPageBreak/>
        <w:t>հետազոտությունները, հարկ է դրանք գնահատելիս օգտագործել մանկաբուժության ոլորտի համապատասխան ձեռնարկները:</w:t>
      </w:r>
    </w:p>
    <w:p w14:paraId="26549C80" w14:textId="77777777" w:rsidR="004F5982" w:rsidRPr="00826F05" w:rsidRDefault="004F5982" w:rsidP="00487007">
      <w:pPr>
        <w:spacing w:after="160" w:line="360" w:lineRule="auto"/>
        <w:jc w:val="both"/>
        <w:rPr>
          <w:rFonts w:ascii="Sylfaen" w:hAnsi="Sylfaen"/>
          <w:sz w:val="24"/>
          <w:szCs w:val="24"/>
        </w:rPr>
      </w:pPr>
    </w:p>
    <w:p w14:paraId="1704A5BB"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4. Լրացուցիչ տեղեկատվության հարցումը</w:t>
      </w:r>
    </w:p>
    <w:p w14:paraId="2856B87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4.1. Կրիտիկական դիտողությունները</w:t>
      </w:r>
    </w:p>
    <w:p w14:paraId="21F0B78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[Դիտողությունների դասակարգումը:</w:t>
      </w:r>
    </w:p>
    <w:p w14:paraId="2ABCA1C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Կրիտիկական դիտողությունները դիտողություններ են, որոնք անհնարին են դարձնում դեղապատրաստուկի գրանցումը: Մեկ կրիտիկական դիտողությունը տեսականորեն կարող է ներառել մի քանի հարցեր. այդ դեպքում հարկ է օգտագործել չհամարակալված ցանկեր ու ենթավերնագրեր: Կրիտիկական դիտողությունը պետք է հասկանալի </w:t>
      </w:r>
      <w:r w:rsidR="00C54D75">
        <w:rPr>
          <w:rFonts w:ascii="Sylfaen" w:hAnsi="Sylfaen"/>
          <w:i/>
          <w:sz w:val="24"/>
          <w:szCs w:val="24"/>
        </w:rPr>
        <w:t>և</w:t>
      </w:r>
      <w:r w:rsidRPr="00826F05">
        <w:rPr>
          <w:rFonts w:ascii="Sylfaen" w:hAnsi="Sylfaen"/>
          <w:i/>
          <w:sz w:val="24"/>
          <w:szCs w:val="24"/>
        </w:rPr>
        <w:t xml:space="preserve"> հստակ շարադրված լինի: Դրա համար կարող են պահանջվել մանրամասն մեկնաբանություններ՝ Միության մարմինների համապատասխան ակտերին արված հղումներով:</w:t>
      </w:r>
    </w:p>
    <w:p w14:paraId="21967DC6" w14:textId="2A39C9B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Հնարավորության դեպքում դիտողությունը պետք է ներառի </w:t>
      </w:r>
      <w:r w:rsidR="0056496B">
        <w:rPr>
          <w:rFonts w:ascii="Sylfaen" w:hAnsi="Sylfaen"/>
          <w:i/>
          <w:sz w:val="24"/>
          <w:szCs w:val="24"/>
        </w:rPr>
        <w:t>դիմումատու</w:t>
      </w:r>
      <w:r w:rsidRPr="00826F05">
        <w:rPr>
          <w:rFonts w:ascii="Sylfaen" w:hAnsi="Sylfaen"/>
          <w:i/>
          <w:sz w:val="24"/>
          <w:szCs w:val="24"/>
        </w:rPr>
        <w:t xml:space="preserve">ից ակնկալվող պատասխանի </w:t>
      </w:r>
      <w:r w:rsidR="00C54D75">
        <w:rPr>
          <w:rFonts w:ascii="Sylfaen" w:hAnsi="Sylfaen"/>
          <w:i/>
          <w:sz w:val="24"/>
          <w:szCs w:val="24"/>
        </w:rPr>
        <w:t>և</w:t>
      </w:r>
      <w:r w:rsidRPr="00826F05">
        <w:rPr>
          <w:rFonts w:ascii="Sylfaen" w:hAnsi="Sylfaen"/>
          <w:i/>
          <w:sz w:val="24"/>
          <w:szCs w:val="24"/>
        </w:rPr>
        <w:t xml:space="preserve"> (կամ) միջոցների վերաբերյալ պարզաբանումներ։</w:t>
      </w:r>
    </w:p>
    <w:p w14:paraId="2563D6CB" w14:textId="4595BF3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 xml:space="preserve">Ոչ էական (այլ) դիտողությունները դիտողություններ են, որոնք կարող են ազդել </w:t>
      </w:r>
      <w:r w:rsidR="0056496B">
        <w:rPr>
          <w:rFonts w:ascii="Sylfaen" w:hAnsi="Sylfaen"/>
          <w:i/>
          <w:sz w:val="24"/>
          <w:szCs w:val="24"/>
        </w:rPr>
        <w:t>դիմումատու</w:t>
      </w:r>
      <w:r w:rsidRPr="00826F05">
        <w:rPr>
          <w:rFonts w:ascii="Sylfaen" w:hAnsi="Sylfaen"/>
          <w:i/>
          <w:sz w:val="24"/>
          <w:szCs w:val="24"/>
        </w:rPr>
        <w:t xml:space="preserve">ի կողմից առաջարկված գրանցման պայմանների </w:t>
      </w:r>
      <w:r w:rsidR="00C54D75">
        <w:rPr>
          <w:rFonts w:ascii="Sylfaen" w:hAnsi="Sylfaen"/>
          <w:i/>
          <w:sz w:val="24"/>
          <w:szCs w:val="24"/>
        </w:rPr>
        <w:t>և</w:t>
      </w:r>
      <w:r w:rsidRPr="00826F05">
        <w:rPr>
          <w:rFonts w:ascii="Sylfaen" w:hAnsi="Sylfaen"/>
          <w:i/>
          <w:sz w:val="24"/>
          <w:szCs w:val="24"/>
        </w:rPr>
        <w:t xml:space="preserve"> դեղապատրաստուկի վերաբերյալ տեղեկատվության վրա (օրինակ՝ ԴԸԲ, ներդիր</w:t>
      </w:r>
      <w:r>
        <w:rPr>
          <w:rFonts w:ascii="Sylfaen" w:hAnsi="Sylfaen"/>
          <w:i/>
          <w:sz w:val="24"/>
          <w:szCs w:val="24"/>
        </w:rPr>
        <w:t> </w:t>
      </w:r>
      <w:r w:rsidRPr="00826F05">
        <w:rPr>
          <w:rFonts w:ascii="Sylfaen" w:hAnsi="Sylfaen"/>
          <w:i/>
          <w:sz w:val="24"/>
          <w:szCs w:val="24"/>
        </w:rPr>
        <w:t>թերթիկ, մականշվածք): Ոչ էական (այլ) դիտողություններն անհրաժեշտ է վերացնել մինչ</w:t>
      </w:r>
      <w:r w:rsidR="00C54D75">
        <w:rPr>
          <w:rFonts w:ascii="Sylfaen" w:hAnsi="Sylfaen"/>
          <w:i/>
          <w:sz w:val="24"/>
          <w:szCs w:val="24"/>
        </w:rPr>
        <w:t>և</w:t>
      </w:r>
      <w:r w:rsidRPr="00826F05">
        <w:rPr>
          <w:rFonts w:ascii="Sylfaen" w:hAnsi="Sylfaen"/>
          <w:i/>
          <w:sz w:val="24"/>
          <w:szCs w:val="24"/>
        </w:rPr>
        <w:t xml:space="preserve"> գրանցման հավաստագիր ստանալը, հակառակ դեպքում՝ գրանցումը կարող է մերժվել: Դիտողությունների ձ</w:t>
      </w:r>
      <w:r w:rsidR="00C54D75">
        <w:rPr>
          <w:rFonts w:ascii="Sylfaen" w:hAnsi="Sylfaen"/>
          <w:i/>
          <w:sz w:val="24"/>
          <w:szCs w:val="24"/>
        </w:rPr>
        <w:t>և</w:t>
      </w:r>
      <w:r w:rsidRPr="00826F05">
        <w:rPr>
          <w:rFonts w:ascii="Sylfaen" w:hAnsi="Sylfaen"/>
          <w:i/>
          <w:sz w:val="24"/>
          <w:szCs w:val="24"/>
        </w:rPr>
        <w:t>ակերպումը պետք է ներառի դիտողության մեջ բարձրացված հարցերի հստակ գիտական հիմնավորումը]:</w:t>
      </w:r>
    </w:p>
    <w:p w14:paraId="0233F6A0" w14:textId="77777777" w:rsidR="004F5982" w:rsidRPr="00826F05" w:rsidRDefault="004F5982" w:rsidP="00487007">
      <w:pPr>
        <w:tabs>
          <w:tab w:val="left" w:pos="1701"/>
        </w:tabs>
        <w:spacing w:after="160" w:line="360" w:lineRule="auto"/>
        <w:ind w:firstLine="567"/>
        <w:jc w:val="both"/>
        <w:rPr>
          <w:rFonts w:ascii="Sylfaen" w:hAnsi="Sylfaen"/>
          <w:sz w:val="24"/>
          <w:szCs w:val="24"/>
        </w:rPr>
      </w:pPr>
    </w:p>
    <w:p w14:paraId="1E89198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Որակի ասպեկտները՝</w:t>
      </w:r>
    </w:p>
    <w:p w14:paraId="0CA58C9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&lt;Առկա են դիտողություններ, որոնք վերաբերում են բաղադրամասի մաստեր-ֆայլի փակ մասին, </w:t>
      </w:r>
      <w:r w:rsidR="00C54D75">
        <w:rPr>
          <w:rFonts w:ascii="Sylfaen" w:hAnsi="Sylfaen"/>
          <w:i/>
          <w:sz w:val="24"/>
          <w:szCs w:val="24"/>
        </w:rPr>
        <w:t>և</w:t>
      </w:r>
      <w:r w:rsidRPr="00826F05">
        <w:rPr>
          <w:rFonts w:ascii="Sylfaen" w:hAnsi="Sylfaen"/>
          <w:i/>
          <w:sz w:val="24"/>
          <w:szCs w:val="24"/>
        </w:rPr>
        <w:t xml:space="preserve"> որոնք շարադրված են սույն եզրակացության առանձին </w:t>
      </w:r>
      <w:r w:rsidRPr="00826F05">
        <w:rPr>
          <w:rFonts w:ascii="Sylfaen" w:hAnsi="Sylfaen"/>
          <w:i/>
          <w:sz w:val="24"/>
          <w:szCs w:val="24"/>
        </w:rPr>
        <w:lastRenderedPageBreak/>
        <w:t xml:space="preserve">հավելվածում </w:t>
      </w:r>
      <w:r w:rsidR="00C54D75">
        <w:rPr>
          <w:rFonts w:ascii="Sylfaen" w:hAnsi="Sylfaen"/>
          <w:i/>
          <w:sz w:val="24"/>
          <w:szCs w:val="24"/>
        </w:rPr>
        <w:t>և</w:t>
      </w:r>
      <w:r w:rsidRPr="00826F05">
        <w:rPr>
          <w:rFonts w:ascii="Sylfaen" w:hAnsi="Sylfaen"/>
          <w:i/>
          <w:sz w:val="24"/>
          <w:szCs w:val="24"/>
        </w:rPr>
        <w:t xml:space="preserve"> չեն ներկայացվում գրանցման հավաստագրի իրավատիրոջը: Այդ</w:t>
      </w:r>
      <w:r>
        <w:rPr>
          <w:rFonts w:ascii="Sylfaen" w:hAnsi="Sylfaen"/>
          <w:i/>
          <w:sz w:val="24"/>
          <w:szCs w:val="24"/>
        </w:rPr>
        <w:t> </w:t>
      </w:r>
      <w:r w:rsidRPr="00826F05">
        <w:rPr>
          <w:rFonts w:ascii="Sylfaen" w:hAnsi="Sylfaen"/>
          <w:i/>
          <w:sz w:val="24"/>
          <w:szCs w:val="24"/>
        </w:rPr>
        <w:t>դիտողությունները գաղտնի կարգով կփոխանցվեն բաղադրամասի մաստեր-ֆայլի փակ մասի տիրապետողին&gt;:</w:t>
      </w:r>
    </w:p>
    <w:p w14:paraId="460E6174"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Նախակլինիկական ասպեկտները՝</w:t>
      </w:r>
    </w:p>
    <w:p w14:paraId="30BD839F" w14:textId="77777777" w:rsidR="004F5982" w:rsidRDefault="004F5982" w:rsidP="00487007">
      <w:pPr>
        <w:spacing w:after="160" w:line="360" w:lineRule="auto"/>
        <w:ind w:right="-2" w:firstLine="567"/>
        <w:jc w:val="both"/>
        <w:rPr>
          <w:rFonts w:ascii="Sylfaen" w:eastAsia="Times New Roman" w:hAnsi="Sylfaen" w:cs="Times New Roman"/>
          <w:sz w:val="24"/>
          <w:szCs w:val="24"/>
        </w:rPr>
      </w:pPr>
    </w:p>
    <w:p w14:paraId="716F347D"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Կլինիկական ասպեկտները՝</w:t>
      </w:r>
    </w:p>
    <w:p w14:paraId="523D956C" w14:textId="77777777" w:rsidR="004F5982" w:rsidRPr="00826F05" w:rsidRDefault="004F5982" w:rsidP="00487007">
      <w:pPr>
        <w:spacing w:after="160" w:line="360" w:lineRule="auto"/>
        <w:ind w:left="2310" w:right="-20"/>
        <w:jc w:val="both"/>
        <w:rPr>
          <w:rFonts w:ascii="Sylfaen" w:eastAsia="Times New Roman" w:hAnsi="Sylfaen" w:cs="Times New Roman"/>
          <w:sz w:val="24"/>
          <w:szCs w:val="24"/>
        </w:rPr>
      </w:pPr>
    </w:p>
    <w:p w14:paraId="1F9A2D5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4.2. Ոչ էական (այլ) դիտողությունները</w:t>
      </w:r>
    </w:p>
    <w:p w14:paraId="78CB66E1"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Որակի ասպեկտները՝</w:t>
      </w:r>
    </w:p>
    <w:p w14:paraId="2E36CFFB" w14:textId="77777777" w:rsidR="004F5982" w:rsidRPr="00826F05" w:rsidRDefault="004F5982" w:rsidP="00487007">
      <w:pPr>
        <w:spacing w:after="160" w:line="360" w:lineRule="auto"/>
        <w:ind w:right="-2" w:firstLine="567"/>
        <w:jc w:val="both"/>
        <w:rPr>
          <w:rFonts w:ascii="Sylfaen" w:hAnsi="Sylfaen"/>
          <w:sz w:val="24"/>
          <w:szCs w:val="24"/>
        </w:rPr>
      </w:pPr>
    </w:p>
    <w:p w14:paraId="07D5AEF9"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Նախակլինիկական ասպեկտները՝</w:t>
      </w:r>
    </w:p>
    <w:p w14:paraId="2BA6315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p>
    <w:p w14:paraId="21BEC65F"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Կլինիկական ասպեկտները՝</w:t>
      </w:r>
    </w:p>
    <w:p w14:paraId="2ECCEB1A" w14:textId="77777777" w:rsidR="004F5982" w:rsidRDefault="004F5982" w:rsidP="00487007">
      <w:pPr>
        <w:spacing w:after="160" w:line="360" w:lineRule="auto"/>
        <w:ind w:right="-23" w:firstLine="567"/>
        <w:jc w:val="both"/>
        <w:rPr>
          <w:rFonts w:ascii="Sylfaen" w:eastAsia="Times New Roman" w:hAnsi="Sylfaen" w:cs="Times New Roman"/>
          <w:sz w:val="24"/>
          <w:szCs w:val="24"/>
        </w:rPr>
      </w:pPr>
    </w:p>
    <w:p w14:paraId="06640DF4" w14:textId="77777777" w:rsidR="004F5982" w:rsidRPr="00826F05" w:rsidRDefault="004F5982" w:rsidP="00487007">
      <w:pPr>
        <w:spacing w:after="160" w:line="360" w:lineRule="auto"/>
        <w:ind w:right="-23" w:firstLine="567"/>
        <w:jc w:val="both"/>
        <w:rPr>
          <w:rFonts w:ascii="Sylfaen" w:eastAsia="Times New Roman" w:hAnsi="Sylfaen" w:cs="Times New Roman"/>
          <w:sz w:val="24"/>
          <w:szCs w:val="24"/>
        </w:rPr>
      </w:pPr>
    </w:p>
    <w:p w14:paraId="47780462"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5. Դեղապատրաստուկի անվտանգության մասին գրանցման հավաստագրի իրավատիրոջ կողմից նախապատրաստված ամփոփ տեղեկատվության՝ փորձագետի գնահատականը</w:t>
      </w:r>
    </w:p>
    <w:p w14:paraId="624D0D06" w14:textId="77777777" w:rsidR="004F5982" w:rsidRDefault="004F5982" w:rsidP="00487007">
      <w:pPr>
        <w:spacing w:after="160" w:line="360" w:lineRule="auto"/>
        <w:ind w:left="567" w:right="565"/>
        <w:jc w:val="center"/>
        <w:rPr>
          <w:rFonts w:ascii="Sylfaen" w:hAnsi="Sylfaen"/>
          <w:sz w:val="24"/>
          <w:szCs w:val="24"/>
        </w:rPr>
      </w:pPr>
    </w:p>
    <w:p w14:paraId="40F98ED3"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6. Թարմացված ընդհանուր եզրահանգումները </w:t>
      </w:r>
      <w:r w:rsidR="00C54D75">
        <w:rPr>
          <w:rFonts w:ascii="Sylfaen" w:hAnsi="Sylfaen"/>
          <w:sz w:val="24"/>
          <w:szCs w:val="24"/>
        </w:rPr>
        <w:t>և</w:t>
      </w:r>
      <w:r w:rsidRPr="00826F05">
        <w:rPr>
          <w:rFonts w:ascii="Sylfaen" w:hAnsi="Sylfaen"/>
          <w:sz w:val="24"/>
          <w:szCs w:val="24"/>
        </w:rPr>
        <w:t xml:space="preserve"> տվյալ դեղապատրաստուկի կիրառման մասով օգուտ-ռիսկ հարաբերակցության վրա ազդեցությունը</w:t>
      </w:r>
    </w:p>
    <w:p w14:paraId="40E900D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[Տվյալ բաժնում հարկ է բերել ներկայացված տվյալների թարմացված ամփոփ կրիտիկական տեղեկագիրը (ինչպես նախնական ներկայացումը, այնպես էլ </w:t>
      </w:r>
      <w:r w:rsidRPr="00826F05">
        <w:rPr>
          <w:rFonts w:ascii="Sylfaen" w:hAnsi="Sylfaen"/>
          <w:i/>
          <w:sz w:val="24"/>
          <w:szCs w:val="24"/>
        </w:rPr>
        <w:lastRenderedPageBreak/>
        <w:t>դեղապատրաստուկի անվտանգության մասով ամփոփ տեղեկատվության խմբագրման վերաբերյալ գրանցման հավաստագրի իրավատիրոջ պատասխանները), որում արտացոլվում է տվյալ դեղապատրաստուկի կիրառման մասով օգուտ-ռիսկ հարաբերակցության հավասարակշռության փոփոխության հնարավորության վերլուծությունը:</w:t>
      </w:r>
    </w:p>
    <w:p w14:paraId="45D2A0F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Որպես առանձին ծանոթագրություն՝ հարկ է կատարել գրանցման հավաստագիրը ստանալուց հետո միջոցառումներն ավարտելու պարտավորության մասին նշում, եթե դա անհրաժեշտ է:</w:t>
      </w:r>
    </w:p>
    <w:p w14:paraId="3C76ABB4" w14:textId="4C59DE4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Սահմանափակ քանակությամբ տվյալների դեպքում, որոնք որպես առանցքային միջոցներ են դիտարկվում օգուտի </w:t>
      </w:r>
      <w:r w:rsidR="00C54D75">
        <w:rPr>
          <w:rFonts w:ascii="Sylfaen" w:hAnsi="Sylfaen"/>
          <w:i/>
          <w:sz w:val="24"/>
          <w:szCs w:val="24"/>
        </w:rPr>
        <w:t>և</w:t>
      </w:r>
      <w:r w:rsidRPr="00826F05">
        <w:rPr>
          <w:rFonts w:ascii="Sylfaen" w:hAnsi="Sylfaen"/>
          <w:i/>
          <w:sz w:val="24"/>
          <w:szCs w:val="24"/>
        </w:rPr>
        <w:t xml:space="preserve"> ակնկալվող ռիսկի դրական հարաբերակցությունը (գերազանցումը) ապահովելու համար, հատուկ հետազոտությունների ժամանակ դրանց կատարումը փորձագետի կողմից կարող</w:t>
      </w:r>
      <w:r>
        <w:rPr>
          <w:rFonts w:ascii="Sylfaen" w:hAnsi="Sylfaen"/>
          <w:i/>
          <w:sz w:val="24"/>
          <w:szCs w:val="24"/>
        </w:rPr>
        <w:t> </w:t>
      </w:r>
      <w:r w:rsidRPr="00826F05">
        <w:rPr>
          <w:rFonts w:ascii="Sylfaen" w:hAnsi="Sylfaen"/>
          <w:i/>
          <w:sz w:val="24"/>
          <w:szCs w:val="24"/>
        </w:rPr>
        <w:t>է դրվել որպես գրանցման հավաստագրի տրամադրման պայման: Այն</w:t>
      </w:r>
      <w:r>
        <w:rPr>
          <w:rFonts w:ascii="Sylfaen" w:hAnsi="Sylfaen"/>
          <w:i/>
          <w:sz w:val="24"/>
          <w:szCs w:val="24"/>
        </w:rPr>
        <w:t> </w:t>
      </w:r>
      <w:r w:rsidRPr="00826F05">
        <w:rPr>
          <w:rFonts w:ascii="Sylfaen" w:hAnsi="Sylfaen"/>
          <w:i/>
          <w:sz w:val="24"/>
          <w:szCs w:val="24"/>
        </w:rPr>
        <w:t>դեպքում, երբ որոշվել է հարցերը ներառել Գ հավելվածում որպես պայմաններ, օգտագործեք ստոր</w:t>
      </w:r>
      <w:r w:rsidR="00C54D75">
        <w:rPr>
          <w:rFonts w:ascii="Sylfaen" w:hAnsi="Sylfaen"/>
          <w:i/>
          <w:sz w:val="24"/>
          <w:szCs w:val="24"/>
        </w:rPr>
        <w:t>և</w:t>
      </w:r>
      <w:r w:rsidRPr="00826F05">
        <w:rPr>
          <w:rFonts w:ascii="Sylfaen" w:hAnsi="Sylfaen"/>
          <w:i/>
          <w:sz w:val="24"/>
          <w:szCs w:val="24"/>
        </w:rPr>
        <w:t xml:space="preserve"> բերված </w:t>
      </w:r>
      <w:r w:rsidR="0056496B">
        <w:rPr>
          <w:rFonts w:ascii="Sylfaen" w:hAnsi="Sylfaen"/>
          <w:i/>
          <w:sz w:val="24"/>
          <w:szCs w:val="24"/>
        </w:rPr>
        <w:t>դիմում</w:t>
      </w:r>
      <w:r w:rsidRPr="00826F05">
        <w:rPr>
          <w:rFonts w:ascii="Sylfaen" w:hAnsi="Sylfaen"/>
          <w:i/>
          <w:sz w:val="24"/>
          <w:szCs w:val="24"/>
        </w:rPr>
        <w:t xml:space="preserve">ը: Որպես պայման սահմանված ցանկացած միջոց պետք է լավ հիմնավորված լինի </w:t>
      </w:r>
      <w:r w:rsidR="0056496B">
        <w:rPr>
          <w:rFonts w:ascii="Sylfaen" w:hAnsi="Sylfaen"/>
          <w:i/>
          <w:sz w:val="24"/>
          <w:szCs w:val="24"/>
        </w:rPr>
        <w:t>դիմում</w:t>
      </w:r>
      <w:r w:rsidRPr="00826F05">
        <w:rPr>
          <w:rFonts w:ascii="Sylfaen" w:hAnsi="Sylfaen"/>
          <w:i/>
          <w:sz w:val="24"/>
          <w:szCs w:val="24"/>
        </w:rPr>
        <w:t>ում, իսկ մասնավորապես, պայմանի անհրաժեշտությունը պետք է բացատրվի օգուտ-ռիսկ դրական հարաբերակցության համատեքստում]:</w:t>
      </w:r>
    </w:p>
    <w:p w14:paraId="2FA5EF29" w14:textId="77777777" w:rsidR="004F5982" w:rsidRPr="00E80AC2" w:rsidRDefault="004F5982" w:rsidP="00487007">
      <w:pPr>
        <w:spacing w:after="160" w:line="384" w:lineRule="auto"/>
        <w:ind w:right="-2" w:firstLine="567"/>
        <w:jc w:val="both"/>
        <w:rPr>
          <w:rFonts w:ascii="Sylfaen" w:eastAsia="Times New Roman" w:hAnsi="Sylfaen" w:cs="Times New Roman"/>
          <w:i/>
          <w:sz w:val="24"/>
          <w:szCs w:val="24"/>
        </w:rPr>
      </w:pPr>
      <w:r w:rsidRPr="00826F05">
        <w:rPr>
          <w:rFonts w:ascii="Sylfaen" w:hAnsi="Sylfaen"/>
          <w:sz w:val="24"/>
          <w:szCs w:val="24"/>
        </w:rPr>
        <w:t>Փորձագետն անհրաժեշտ է համարում հետ</w:t>
      </w:r>
      <w:r w:rsidR="00C54D75">
        <w:rPr>
          <w:rFonts w:ascii="Sylfaen" w:hAnsi="Sylfaen"/>
          <w:sz w:val="24"/>
          <w:szCs w:val="24"/>
        </w:rPr>
        <w:t>և</w:t>
      </w:r>
      <w:r w:rsidRPr="00826F05">
        <w:rPr>
          <w:rFonts w:ascii="Sylfaen" w:hAnsi="Sylfaen"/>
          <w:sz w:val="24"/>
          <w:szCs w:val="24"/>
        </w:rPr>
        <w:t xml:space="preserve">յալ լրացուցիչ տվյալները ներկայացնելը՝ </w:t>
      </w:r>
      <w:r w:rsidRPr="00E80AC2">
        <w:rPr>
          <w:rFonts w:ascii="Sylfaen" w:hAnsi="Sylfaen"/>
          <w:i/>
          <w:sz w:val="24"/>
          <w:szCs w:val="24"/>
        </w:rPr>
        <w:t>&lt;թվարկել նախակլինիկական հետազոտությունների վերաբերյալ տվյալները&gt;, &lt;թվարկել դեղաբանության հետ կապված տվյալները&gt;, &lt;թվարկել արդյունավետության հետ կապված տվյալները&gt;, &lt;թվարկել անվտանգության հետ կապված տվյալները&gt;:</w:t>
      </w:r>
    </w:p>
    <w:p w14:paraId="0BD4B869" w14:textId="77777777"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i/>
          <w:sz w:val="24"/>
          <w:szCs w:val="24"/>
        </w:rPr>
        <w:t>[Փորձագետի կողմից դեղապատրաստուկի անվտանգության հետ կապված հարցումների ձ</w:t>
      </w:r>
      <w:r w:rsidR="00C54D75">
        <w:rPr>
          <w:rFonts w:ascii="Sylfaen" w:hAnsi="Sylfaen"/>
          <w:i/>
          <w:sz w:val="24"/>
          <w:szCs w:val="24"/>
        </w:rPr>
        <w:t>և</w:t>
      </w:r>
      <w:r w:rsidRPr="00826F05">
        <w:rPr>
          <w:rFonts w:ascii="Sylfaen" w:hAnsi="Sylfaen"/>
          <w:i/>
          <w:sz w:val="24"/>
          <w:szCs w:val="24"/>
        </w:rPr>
        <w:t>ակերպման դեպքում (այսինքն՝ անվտանգության ամբողջական վերլուծությունը, որը պետք է ներկայացվի) խնդրում ենք նշել հետ</w:t>
      </w:r>
      <w:r w:rsidR="00C54D75">
        <w:rPr>
          <w:rFonts w:ascii="Sylfaen" w:hAnsi="Sylfaen"/>
          <w:i/>
          <w:sz w:val="24"/>
          <w:szCs w:val="24"/>
        </w:rPr>
        <w:t>և</w:t>
      </w:r>
      <w:r w:rsidRPr="00826F05">
        <w:rPr>
          <w:rFonts w:ascii="Sylfaen" w:hAnsi="Sylfaen"/>
          <w:i/>
          <w:sz w:val="24"/>
          <w:szCs w:val="24"/>
        </w:rPr>
        <w:t>յալ նախադասությունը]՝</w:t>
      </w:r>
    </w:p>
    <w:p w14:paraId="7AB356AD" w14:textId="429F5570"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Բացի այդ, փորձագետը եկել է այն եզրակացության, որ </w:t>
      </w:r>
      <w:r w:rsidR="0056496B">
        <w:rPr>
          <w:rFonts w:ascii="Sylfaen" w:hAnsi="Sylfaen"/>
          <w:sz w:val="24"/>
          <w:szCs w:val="24"/>
        </w:rPr>
        <w:t>դիմումատու</w:t>
      </w:r>
      <w:r w:rsidRPr="00826F05">
        <w:rPr>
          <w:rFonts w:ascii="Sylfaen" w:hAnsi="Sylfaen"/>
          <w:sz w:val="24"/>
          <w:szCs w:val="24"/>
        </w:rPr>
        <w:t>ն հաջորդ ԱՊԹՀ-ում &lt;Х ամսվա ընթացքում&gt; պետք է ներկայացնի անվտանգության վերաբերյալ հետ</w:t>
      </w:r>
      <w:r w:rsidR="00C54D75">
        <w:rPr>
          <w:rFonts w:ascii="Sylfaen" w:hAnsi="Sylfaen"/>
          <w:sz w:val="24"/>
          <w:szCs w:val="24"/>
        </w:rPr>
        <w:t>և</w:t>
      </w:r>
      <w:r w:rsidRPr="00826F05">
        <w:rPr>
          <w:rFonts w:ascii="Sylfaen" w:hAnsi="Sylfaen"/>
          <w:sz w:val="24"/>
          <w:szCs w:val="24"/>
        </w:rPr>
        <w:t xml:space="preserve">յալ տվյալները՝ </w:t>
      </w:r>
      <w:r w:rsidRPr="00567DF7">
        <w:rPr>
          <w:rFonts w:ascii="Sylfaen" w:hAnsi="Sylfaen"/>
          <w:i/>
          <w:sz w:val="24"/>
          <w:szCs w:val="24"/>
        </w:rPr>
        <w:t>&lt;թվարկել անհրաժեշտ տվյալները&gt;:</w:t>
      </w:r>
    </w:p>
    <w:p w14:paraId="4D113670" w14:textId="3C5A43F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[Դեղապատրաստուկների խմբի համար ներկայացվող </w:t>
      </w:r>
      <w:r w:rsidR="0056496B">
        <w:rPr>
          <w:rFonts w:ascii="Sylfaen" w:hAnsi="Sylfaen"/>
          <w:i/>
          <w:sz w:val="24"/>
          <w:szCs w:val="24"/>
        </w:rPr>
        <w:t>դիմում</w:t>
      </w:r>
      <w:r w:rsidRPr="00826F05">
        <w:rPr>
          <w:rFonts w:ascii="Sylfaen" w:hAnsi="Sylfaen"/>
          <w:i/>
          <w:sz w:val="24"/>
          <w:szCs w:val="24"/>
        </w:rPr>
        <w:t xml:space="preserve">ի ուսումնասիրության դեպքում խմբավորման հնարավորության </w:t>
      </w:r>
      <w:r w:rsidR="00C54D75">
        <w:rPr>
          <w:rFonts w:ascii="Sylfaen" w:hAnsi="Sylfaen"/>
          <w:i/>
          <w:sz w:val="24"/>
          <w:szCs w:val="24"/>
        </w:rPr>
        <w:t>և</w:t>
      </w:r>
      <w:r w:rsidRPr="00826F05">
        <w:rPr>
          <w:rFonts w:ascii="Sylfaen" w:hAnsi="Sylfaen"/>
          <w:i/>
          <w:sz w:val="24"/>
          <w:szCs w:val="24"/>
        </w:rPr>
        <w:t xml:space="preserve"> (կամ) արտադրանքի յուրաքանչյուր խմբում, ըստ յուրաքանչյուր անվանման, տեղեկատվության բաշխման մասին փորձագետի կարծիքը պետք է արտացոլված լինի ԴՈԱՊԿԿ-ի ներկայացուցիչների հետ լիազորված փորձագիտական </w:t>
      </w:r>
      <w:r w:rsidRPr="00567DF7">
        <w:rPr>
          <w:rFonts w:ascii="Sylfaen" w:hAnsi="Sylfaen"/>
          <w:i/>
          <w:spacing w:val="-6"/>
          <w:sz w:val="24"/>
          <w:szCs w:val="24"/>
        </w:rPr>
        <w:t>կազմակերպության քննարկման շրջանակներում: Եթե խմբում անվանումների որ</w:t>
      </w:r>
      <w:r w:rsidR="00C54D75">
        <w:rPr>
          <w:rFonts w:ascii="Sylfaen" w:hAnsi="Sylfaen"/>
          <w:i/>
          <w:spacing w:val="-6"/>
          <w:sz w:val="24"/>
          <w:szCs w:val="24"/>
        </w:rPr>
        <w:t>և</w:t>
      </w:r>
      <w:r w:rsidRPr="00567DF7">
        <w:rPr>
          <w:rFonts w:ascii="Sylfaen" w:hAnsi="Sylfaen"/>
          <w:i/>
          <w:spacing w:val="-6"/>
          <w:sz w:val="24"/>
          <w:szCs w:val="24"/>
        </w:rPr>
        <w:t>է մասի փոփոխությունը</w:t>
      </w:r>
      <w:r w:rsidRPr="00826F05">
        <w:rPr>
          <w:rFonts w:ascii="Sylfaen" w:hAnsi="Sylfaen"/>
          <w:i/>
          <w:sz w:val="24"/>
          <w:szCs w:val="24"/>
        </w:rPr>
        <w:t xml:space="preserve"> հանվել է, դա նա</w:t>
      </w:r>
      <w:r w:rsidR="00C54D75">
        <w:rPr>
          <w:rFonts w:ascii="Sylfaen" w:hAnsi="Sylfaen"/>
          <w:i/>
          <w:sz w:val="24"/>
          <w:szCs w:val="24"/>
        </w:rPr>
        <w:t>և</w:t>
      </w:r>
      <w:r w:rsidRPr="00826F05">
        <w:rPr>
          <w:rFonts w:ascii="Sylfaen" w:hAnsi="Sylfaen"/>
          <w:i/>
          <w:sz w:val="24"/>
          <w:szCs w:val="24"/>
        </w:rPr>
        <w:t xml:space="preserve"> պետք է արտացոլվի քննարկման մեջ:</w:t>
      </w:r>
    </w:p>
    <w:p w14:paraId="28624FD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Սահմանել ԱՊԹՀ-ի ներկայացման պարբերականությանը ներկայացվող պահանջներն այն դեպքում, երբ տարբերվում է ԱՊԹՀ-ի թարմացման բնականոն ժամանակահատվածից]:</w:t>
      </w:r>
    </w:p>
    <w:p w14:paraId="5E9CB25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Փորձագետն առաջարկում է գրանցման հավաստագրի իրավատիրոջը շարունակել ներկայացնել վեցամսյա (տարեկան) ԱՊԹՀ-ն:</w:t>
      </w:r>
    </w:p>
    <w:p w14:paraId="3C72439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ներկայացնի դեղապատրաստուկի անվտանգության մասին պարբերաբար թարմացվող հաշվետվություններ՝ Միության մարմինների ակտերի պահանջներին համապատասխան:</w:t>
      </w:r>
    </w:p>
    <w:p w14:paraId="0696DF9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Փորձագետի առաջարկությունները վերաբերում են գրանցման հետ</w:t>
      </w:r>
      <w:r w:rsidR="00C54D75">
        <w:rPr>
          <w:rFonts w:ascii="Sylfaen" w:hAnsi="Sylfaen"/>
          <w:sz w:val="24"/>
          <w:szCs w:val="24"/>
        </w:rPr>
        <w:t>և</w:t>
      </w:r>
      <w:r w:rsidRPr="00826F05">
        <w:rPr>
          <w:rFonts w:ascii="Sylfaen" w:hAnsi="Sylfaen"/>
          <w:sz w:val="24"/>
          <w:szCs w:val="24"/>
        </w:rPr>
        <w:t xml:space="preserve">յալ նոր պայմաններին՝ </w:t>
      </w:r>
      <w:r w:rsidRPr="00567DF7">
        <w:rPr>
          <w:rFonts w:ascii="Sylfaen" w:hAnsi="Sylfaen"/>
          <w:i/>
          <w:sz w:val="24"/>
          <w:szCs w:val="24"/>
        </w:rPr>
        <w:t>&lt;թվարկել պայմանները&gt;:</w:t>
      </w:r>
    </w:p>
    <w:p w14:paraId="650CED3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567DF7">
        <w:rPr>
          <w:rFonts w:ascii="Sylfaen" w:hAnsi="Sylfaen"/>
          <w:spacing w:val="-6"/>
          <w:sz w:val="24"/>
          <w:szCs w:val="24"/>
        </w:rPr>
        <w:t>Փորձագետը համարում է, որ հետ</w:t>
      </w:r>
      <w:r w:rsidR="00C54D75">
        <w:rPr>
          <w:rFonts w:ascii="Sylfaen" w:hAnsi="Sylfaen"/>
          <w:spacing w:val="-6"/>
          <w:sz w:val="24"/>
          <w:szCs w:val="24"/>
        </w:rPr>
        <w:t>և</w:t>
      </w:r>
      <w:r w:rsidRPr="00567DF7">
        <w:rPr>
          <w:rFonts w:ascii="Sylfaen" w:hAnsi="Sylfaen"/>
          <w:spacing w:val="-6"/>
          <w:sz w:val="24"/>
          <w:szCs w:val="24"/>
        </w:rPr>
        <w:t xml:space="preserve">յալ պարտավորությունները՝ </w:t>
      </w:r>
      <w:r w:rsidRPr="00567DF7">
        <w:rPr>
          <w:rFonts w:ascii="Sylfaen" w:hAnsi="Sylfaen"/>
          <w:i/>
          <w:spacing w:val="-6"/>
          <w:sz w:val="24"/>
          <w:szCs w:val="24"/>
        </w:rPr>
        <w:t>&lt;թվարկել&gt;</w:t>
      </w:r>
      <w:r w:rsidRPr="00567DF7">
        <w:rPr>
          <w:rFonts w:ascii="Sylfaen" w:hAnsi="Sylfaen"/>
          <w:spacing w:val="-6"/>
          <w:sz w:val="24"/>
          <w:szCs w:val="24"/>
        </w:rPr>
        <w:t xml:space="preserve">, կատարվել են, </w:t>
      </w:r>
      <w:r w:rsidR="00C54D75">
        <w:rPr>
          <w:rFonts w:ascii="Sylfaen" w:hAnsi="Sylfaen"/>
          <w:spacing w:val="-6"/>
          <w:sz w:val="24"/>
          <w:szCs w:val="24"/>
        </w:rPr>
        <w:t>և</w:t>
      </w:r>
      <w:r w:rsidRPr="00567DF7">
        <w:rPr>
          <w:rFonts w:ascii="Sylfaen" w:hAnsi="Sylfaen"/>
          <w:spacing w:val="-6"/>
          <w:sz w:val="24"/>
          <w:szCs w:val="24"/>
        </w:rPr>
        <w:t xml:space="preserve"> այդ իսկ պատճառով առաջարկում</w:t>
      </w:r>
      <w:r w:rsidRPr="00826F05">
        <w:rPr>
          <w:rFonts w:ascii="Sylfaen" w:hAnsi="Sylfaen"/>
          <w:sz w:val="24"/>
          <w:szCs w:val="24"/>
        </w:rPr>
        <w:t xml:space="preserve"> է դրանք Գ հավելվածից հանել:</w:t>
      </w:r>
    </w:p>
    <w:p w14:paraId="3BF426E6" w14:textId="77777777" w:rsidR="00487007" w:rsidRDefault="00487007">
      <w:pPr>
        <w:widowControl/>
        <w:rPr>
          <w:rFonts w:ascii="Sylfaen" w:hAnsi="Sylfaen"/>
          <w:sz w:val="24"/>
          <w:szCs w:val="24"/>
        </w:rPr>
      </w:pPr>
      <w:r>
        <w:rPr>
          <w:rFonts w:ascii="Sylfaen" w:hAnsi="Sylfaen"/>
          <w:sz w:val="24"/>
          <w:szCs w:val="24"/>
        </w:rPr>
        <w:br w:type="page"/>
      </w:r>
    </w:p>
    <w:p w14:paraId="208524F1"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 xml:space="preserve">7. 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w:t>
      </w:r>
    </w:p>
    <w:p w14:paraId="2EE6EDC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[Ռիսկի նվազեցմանն ուղղված լրացուցիչ միջոցառումները, օրինակ՝ դեղապատրաստուկի բաշխման հսկողությունը, ուսումնական նյութերը, հղիության կանխման ծրագիրը (բացառությամբ ԴԸԲ-ում շարադրված տեղեկատվության), որոնք կկատարվեն գրանցման հավաստագրի իրավատիրոջ կողմից, պետք է թվարկվեն այս բաժնում]:</w:t>
      </w:r>
    </w:p>
    <w:p w14:paraId="6C3D6015"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p>
    <w:p w14:paraId="099BEF95" w14:textId="77777777" w:rsidR="004F5982" w:rsidRPr="00826F05" w:rsidRDefault="004F5982" w:rsidP="00487007">
      <w:pPr>
        <w:spacing w:after="160" w:line="336" w:lineRule="auto"/>
        <w:ind w:left="567" w:right="565"/>
        <w:jc w:val="center"/>
        <w:rPr>
          <w:rFonts w:ascii="Sylfaen" w:eastAsia="Times New Roman" w:hAnsi="Sylfaen" w:cs="Times New Roman"/>
          <w:sz w:val="24"/>
          <w:szCs w:val="24"/>
        </w:rPr>
      </w:pPr>
      <w:r w:rsidRPr="00826F05">
        <w:rPr>
          <w:rFonts w:ascii="Sylfaen" w:hAnsi="Sylfaen"/>
          <w:sz w:val="24"/>
          <w:szCs w:val="24"/>
        </w:rPr>
        <w:t>8. Հետգրանցումային շրջանում առանձին միջոցառումներն ավարտին հասցնելու պարտավորությունը</w:t>
      </w:r>
    </w:p>
    <w:p w14:paraId="3E42D49C" w14:textId="77777777" w:rsidR="004F5982" w:rsidRPr="00826F05" w:rsidRDefault="004F5982" w:rsidP="00487007">
      <w:pPr>
        <w:spacing w:after="160" w:line="336" w:lineRule="auto"/>
        <w:ind w:right="-2" w:firstLine="567"/>
        <w:jc w:val="both"/>
        <w:rPr>
          <w:rFonts w:ascii="Sylfaen" w:eastAsia="Times New Roman" w:hAnsi="Sylfaen" w:cs="Times New Roman"/>
          <w:sz w:val="24"/>
          <w:szCs w:val="24"/>
        </w:rPr>
      </w:pPr>
      <w:r w:rsidRPr="00826F05">
        <w:rPr>
          <w:rFonts w:ascii="Sylfaen" w:hAnsi="Sylfaen"/>
          <w:sz w:val="24"/>
          <w:szCs w:val="24"/>
        </w:rPr>
        <w:t>Եթե փորձագետի կողմից համաձայնեցվում է գրանցման հավաստագրի իրավատիրոջ կողմից հետգրանցումային շրջանում այն առանձին միջոցառումներն ավարտին հասցնելու հնարավորությունը, որոնք կապված են ոչ</w:t>
      </w:r>
      <w:r>
        <w:rPr>
          <w:rFonts w:ascii="Sylfaen" w:hAnsi="Sylfaen"/>
          <w:sz w:val="24"/>
          <w:szCs w:val="24"/>
        </w:rPr>
        <w:t> </w:t>
      </w:r>
      <w:r w:rsidRPr="00826F05">
        <w:rPr>
          <w:rFonts w:ascii="Sylfaen" w:hAnsi="Sylfaen"/>
          <w:sz w:val="24"/>
          <w:szCs w:val="24"/>
        </w:rPr>
        <w:t xml:space="preserve">էական (այլ) դիտողությունների հետ, նա պետք է համաձայնեցնի ժամկետները </w:t>
      </w:r>
      <w:r w:rsidR="00C54D75">
        <w:rPr>
          <w:rFonts w:ascii="Sylfaen" w:hAnsi="Sylfaen"/>
          <w:sz w:val="24"/>
          <w:szCs w:val="24"/>
        </w:rPr>
        <w:t>և</w:t>
      </w:r>
      <w:r w:rsidRPr="00826F05">
        <w:rPr>
          <w:rFonts w:ascii="Sylfaen" w:hAnsi="Sylfaen"/>
          <w:sz w:val="24"/>
          <w:szCs w:val="24"/>
        </w:rPr>
        <w:t xml:space="preserve"> հետ</w:t>
      </w:r>
      <w:r w:rsidR="00C54D75">
        <w:rPr>
          <w:rFonts w:ascii="Sylfaen" w:hAnsi="Sylfaen"/>
          <w:sz w:val="24"/>
          <w:szCs w:val="24"/>
        </w:rPr>
        <w:t>և</w:t>
      </w:r>
      <w:r w:rsidRPr="00826F05">
        <w:rPr>
          <w:rFonts w:ascii="Sylfaen" w:hAnsi="Sylfaen"/>
          <w:sz w:val="24"/>
          <w:szCs w:val="24"/>
        </w:rPr>
        <w:t>յալ գործողությունները՝</w:t>
      </w:r>
    </w:p>
    <w:p w14:paraId="24E34854" w14:textId="77777777" w:rsidR="004F5982" w:rsidRPr="00826F05" w:rsidRDefault="004F5982" w:rsidP="00487007">
      <w:pPr>
        <w:spacing w:after="160" w:line="360" w:lineRule="auto"/>
        <w:jc w:val="both"/>
        <w:rPr>
          <w:rFonts w:ascii="Sylfaen" w:hAnsi="Sylfaen"/>
          <w:sz w:val="24"/>
          <w:szCs w:val="24"/>
        </w:rPr>
      </w:pPr>
    </w:p>
    <w:tbl>
      <w:tblPr>
        <w:tblW w:w="98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3"/>
        <w:gridCol w:w="3688"/>
      </w:tblGrid>
      <w:tr w:rsidR="004F5982" w:rsidRPr="00826F05" w14:paraId="7179D6B8" w14:textId="77777777" w:rsidTr="004F5982">
        <w:trPr>
          <w:trHeight w:val="500"/>
        </w:trPr>
        <w:tc>
          <w:tcPr>
            <w:tcW w:w="6143" w:type="dxa"/>
          </w:tcPr>
          <w:p w14:paraId="3E5A8852" w14:textId="77777777" w:rsidR="004F5982" w:rsidRPr="00826F05" w:rsidRDefault="004F5982" w:rsidP="00487007">
            <w:pPr>
              <w:spacing w:after="160" w:line="360" w:lineRule="auto"/>
              <w:ind w:left="48" w:right="-20"/>
              <w:jc w:val="center"/>
              <w:rPr>
                <w:rFonts w:ascii="Sylfaen" w:eastAsia="Times New Roman" w:hAnsi="Sylfaen" w:cs="Times New Roman"/>
                <w:sz w:val="24"/>
                <w:szCs w:val="24"/>
              </w:rPr>
            </w:pPr>
            <w:r w:rsidRPr="00826F05">
              <w:rPr>
                <w:rFonts w:ascii="Sylfaen" w:hAnsi="Sylfaen"/>
                <w:sz w:val="24"/>
                <w:szCs w:val="24"/>
              </w:rPr>
              <w:t>Գործողության նկարագրությունը</w:t>
            </w:r>
          </w:p>
        </w:tc>
        <w:tc>
          <w:tcPr>
            <w:tcW w:w="3688" w:type="dxa"/>
          </w:tcPr>
          <w:p w14:paraId="322C8868" w14:textId="77777777" w:rsidR="004F5982" w:rsidRPr="00826F05" w:rsidRDefault="004F5982" w:rsidP="00487007">
            <w:pPr>
              <w:spacing w:after="160" w:line="360" w:lineRule="auto"/>
              <w:ind w:right="-20"/>
              <w:jc w:val="center"/>
              <w:rPr>
                <w:rFonts w:ascii="Sylfaen" w:eastAsia="Times New Roman" w:hAnsi="Sylfaen" w:cs="Times New Roman"/>
                <w:sz w:val="24"/>
                <w:szCs w:val="24"/>
              </w:rPr>
            </w:pPr>
            <w:r w:rsidRPr="00826F05">
              <w:rPr>
                <w:rFonts w:ascii="Sylfaen" w:hAnsi="Sylfaen"/>
                <w:sz w:val="24"/>
                <w:szCs w:val="24"/>
              </w:rPr>
              <w:t>Կատարման ամսաթիվը</w:t>
            </w:r>
          </w:p>
        </w:tc>
      </w:tr>
      <w:tr w:rsidR="004F5982" w:rsidRPr="00826F05" w14:paraId="4281A704" w14:textId="77777777" w:rsidTr="004F5982">
        <w:tc>
          <w:tcPr>
            <w:tcW w:w="6143" w:type="dxa"/>
          </w:tcPr>
          <w:p w14:paraId="6A2F41FC" w14:textId="77777777" w:rsidR="004F5982" w:rsidRPr="00826F05" w:rsidRDefault="004F5982" w:rsidP="00487007">
            <w:pPr>
              <w:spacing w:after="160" w:line="360" w:lineRule="auto"/>
              <w:jc w:val="both"/>
              <w:rPr>
                <w:rFonts w:ascii="Sylfaen" w:hAnsi="Sylfaen"/>
                <w:sz w:val="24"/>
                <w:szCs w:val="24"/>
              </w:rPr>
            </w:pPr>
          </w:p>
        </w:tc>
        <w:tc>
          <w:tcPr>
            <w:tcW w:w="3688" w:type="dxa"/>
          </w:tcPr>
          <w:p w14:paraId="3203452D" w14:textId="77777777" w:rsidR="004F5982" w:rsidRPr="00826F05" w:rsidRDefault="004F5982" w:rsidP="00487007">
            <w:pPr>
              <w:spacing w:after="160" w:line="360" w:lineRule="auto"/>
              <w:jc w:val="both"/>
              <w:rPr>
                <w:rFonts w:ascii="Sylfaen" w:hAnsi="Sylfaen"/>
                <w:sz w:val="24"/>
                <w:szCs w:val="24"/>
              </w:rPr>
            </w:pPr>
          </w:p>
        </w:tc>
      </w:tr>
      <w:tr w:rsidR="004F5982" w:rsidRPr="00826F05" w14:paraId="41CDF3A9" w14:textId="77777777" w:rsidTr="004F5982">
        <w:tc>
          <w:tcPr>
            <w:tcW w:w="6143" w:type="dxa"/>
          </w:tcPr>
          <w:p w14:paraId="02F10BDD" w14:textId="77777777" w:rsidR="004F5982" w:rsidRPr="00826F05" w:rsidRDefault="004F5982" w:rsidP="00487007">
            <w:pPr>
              <w:spacing w:after="160" w:line="360" w:lineRule="auto"/>
              <w:jc w:val="both"/>
              <w:rPr>
                <w:rFonts w:ascii="Sylfaen" w:hAnsi="Sylfaen"/>
                <w:sz w:val="24"/>
                <w:szCs w:val="24"/>
              </w:rPr>
            </w:pPr>
          </w:p>
        </w:tc>
        <w:tc>
          <w:tcPr>
            <w:tcW w:w="3688" w:type="dxa"/>
          </w:tcPr>
          <w:p w14:paraId="7460D4BB" w14:textId="77777777" w:rsidR="004F5982" w:rsidRPr="00826F05" w:rsidRDefault="004F5982" w:rsidP="00487007">
            <w:pPr>
              <w:spacing w:after="160" w:line="360" w:lineRule="auto"/>
              <w:jc w:val="both"/>
              <w:rPr>
                <w:rFonts w:ascii="Sylfaen" w:hAnsi="Sylfaen"/>
                <w:sz w:val="24"/>
                <w:szCs w:val="24"/>
              </w:rPr>
            </w:pPr>
          </w:p>
        </w:tc>
      </w:tr>
      <w:tr w:rsidR="004F5982" w:rsidRPr="00826F05" w14:paraId="76FAC5E2" w14:textId="77777777" w:rsidTr="004F5982">
        <w:tc>
          <w:tcPr>
            <w:tcW w:w="6143" w:type="dxa"/>
          </w:tcPr>
          <w:p w14:paraId="15097031" w14:textId="77777777" w:rsidR="004F5982" w:rsidRPr="00826F05" w:rsidRDefault="004F5982" w:rsidP="00487007">
            <w:pPr>
              <w:spacing w:after="160" w:line="360" w:lineRule="auto"/>
              <w:jc w:val="both"/>
              <w:rPr>
                <w:rFonts w:ascii="Sylfaen" w:hAnsi="Sylfaen"/>
                <w:sz w:val="24"/>
                <w:szCs w:val="24"/>
              </w:rPr>
            </w:pPr>
          </w:p>
        </w:tc>
        <w:tc>
          <w:tcPr>
            <w:tcW w:w="3688" w:type="dxa"/>
          </w:tcPr>
          <w:p w14:paraId="2621BA74" w14:textId="77777777" w:rsidR="004F5982" w:rsidRPr="00826F05" w:rsidRDefault="004F5982" w:rsidP="00487007">
            <w:pPr>
              <w:spacing w:after="160" w:line="360" w:lineRule="auto"/>
              <w:jc w:val="both"/>
              <w:rPr>
                <w:rFonts w:ascii="Sylfaen" w:hAnsi="Sylfaen"/>
                <w:sz w:val="24"/>
                <w:szCs w:val="24"/>
              </w:rPr>
            </w:pPr>
          </w:p>
        </w:tc>
      </w:tr>
    </w:tbl>
    <w:p w14:paraId="0D8675D3" w14:textId="77777777" w:rsidR="004F5982" w:rsidRDefault="004F5982" w:rsidP="00487007">
      <w:pPr>
        <w:spacing w:after="160" w:line="360" w:lineRule="auto"/>
        <w:ind w:left="567" w:right="565"/>
        <w:jc w:val="both"/>
        <w:rPr>
          <w:rFonts w:ascii="Sylfaen" w:hAnsi="Sylfaen"/>
          <w:sz w:val="24"/>
          <w:szCs w:val="24"/>
        </w:rPr>
      </w:pPr>
    </w:p>
    <w:p w14:paraId="7A62E9E7" w14:textId="77777777" w:rsidR="004F5982" w:rsidRPr="00826F05" w:rsidRDefault="004F5982" w:rsidP="00487007">
      <w:pPr>
        <w:spacing w:after="160" w:line="336"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9. 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 որոնք կիրականացվեն անդամ պետությունների կողմից</w:t>
      </w:r>
    </w:p>
    <w:p w14:paraId="3FB44358" w14:textId="77777777" w:rsidR="004F5982" w:rsidRPr="00826F05" w:rsidRDefault="004F5982" w:rsidP="00487007">
      <w:pPr>
        <w:tabs>
          <w:tab w:val="left" w:pos="1701"/>
        </w:tabs>
        <w:spacing w:after="160" w:line="336" w:lineRule="auto"/>
        <w:ind w:firstLine="567"/>
        <w:jc w:val="both"/>
        <w:rPr>
          <w:rFonts w:ascii="Sylfaen" w:eastAsia="Times New Roman" w:hAnsi="Sylfaen" w:cs="Times New Roman"/>
          <w:sz w:val="24"/>
          <w:szCs w:val="24"/>
        </w:rPr>
      </w:pPr>
      <w:r w:rsidRPr="00826F05">
        <w:rPr>
          <w:rFonts w:ascii="Sylfaen" w:hAnsi="Sylfaen"/>
          <w:i/>
          <w:sz w:val="24"/>
          <w:szCs w:val="24"/>
        </w:rPr>
        <w:t xml:space="preserve">[Այդ բաժնում նշվում են ռիսկերի նվազեցմանն ուղղած այն արդիական միջոցառումները, որոնք իրականացվում են անդամ պետությունների կողմից: </w:t>
      </w:r>
      <w:r w:rsidRPr="00826F05">
        <w:rPr>
          <w:rFonts w:ascii="Sylfaen" w:hAnsi="Sylfaen"/>
          <w:i/>
          <w:sz w:val="24"/>
          <w:szCs w:val="24"/>
        </w:rPr>
        <w:lastRenderedPageBreak/>
        <w:t>Դրանք պետք է արտացոլեն եզրակացության 7-րդ բաժնի տեղեկատվությունը, բայց պարտադիր չէ այն ներառել ամբողջ ծավալով:</w:t>
      </w:r>
    </w:p>
    <w:p w14:paraId="01886DB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Եզրակացության այս մասը պետք է ներառվի այն դեպքում, երբ իրականում կատարվող պայմանների կամ դեղամիջոցի անվտանգ </w:t>
      </w:r>
      <w:r w:rsidR="00C54D75">
        <w:rPr>
          <w:rFonts w:ascii="Sylfaen" w:hAnsi="Sylfaen"/>
          <w:i/>
          <w:sz w:val="24"/>
          <w:szCs w:val="24"/>
        </w:rPr>
        <w:t>և</w:t>
      </w:r>
      <w:r w:rsidRPr="00826F05">
        <w:rPr>
          <w:rFonts w:ascii="Sylfaen" w:hAnsi="Sylfaen"/>
          <w:i/>
          <w:sz w:val="24"/>
          <w:szCs w:val="24"/>
        </w:rPr>
        <w:t xml:space="preserve"> արդյունավետ օգտագործման մասով սահմանափակումների չափերն անդամ պետությունում տարբերվում են այն ծավալից, որը գրանցման հավաստագրի իրավատերը բերում է ԴԸԲ-ում]:</w:t>
      </w:r>
    </w:p>
    <w:p w14:paraId="69E520A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&lt;Տվյալներն առկա չեն&gt;:</w:t>
      </w:r>
    </w:p>
    <w:p w14:paraId="1621879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կամ</w:t>
      </w:r>
    </w:p>
    <w:p w14:paraId="1F5BC5F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&lt;Պայմաններն ամբողջությամբ (մասամբ) չեն արտացոլում ԴՈԱՊԿԿ-ից ստացված առաջարկությունները: ԴՈԱՊԿԿ-ի խորհրդատվության հետ տարաձայնությունները հիմնավորված են սույն եզրակացության առանձին հավելվածում&gt;:</w:t>
      </w:r>
    </w:p>
    <w:p w14:paraId="1EC7206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կամ</w:t>
      </w:r>
    </w:p>
    <w:p w14:paraId="5831D5D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&lt;Քննարկման արդյունքում ԴՈԱՊԿԿ-ն չի հանգել տվյալ դեղապատրաստուկի համար պայմանների </w:t>
      </w:r>
      <w:r w:rsidR="00C54D75">
        <w:rPr>
          <w:rFonts w:ascii="Sylfaen" w:hAnsi="Sylfaen"/>
          <w:i/>
          <w:sz w:val="24"/>
          <w:szCs w:val="24"/>
        </w:rPr>
        <w:t>և</w:t>
      </w:r>
      <w:r w:rsidRPr="00826F05">
        <w:rPr>
          <w:rFonts w:ascii="Sylfaen" w:hAnsi="Sylfaen"/>
          <w:i/>
          <w:sz w:val="24"/>
          <w:szCs w:val="24"/>
        </w:rPr>
        <w:t xml:space="preserve"> սահմանափակումների ներմուծման անհրաժեշտության վերաբերյալ միասնական եզրակացության: ԴՈԱՊԿԿ-ի դիրքորոշումը կցվում է որպես առանձին հավելված&gt;:</w:t>
      </w:r>
    </w:p>
    <w:p w14:paraId="0AE4B60E" w14:textId="77777777" w:rsidR="004F5982" w:rsidRDefault="004F5982" w:rsidP="00487007">
      <w:pPr>
        <w:spacing w:after="160" w:line="360" w:lineRule="auto"/>
        <w:ind w:right="1983"/>
        <w:rPr>
          <w:rFonts w:ascii="Sylfaen" w:hAnsi="Sylfaen"/>
          <w:sz w:val="24"/>
          <w:szCs w:val="24"/>
        </w:rPr>
      </w:pPr>
    </w:p>
    <w:p w14:paraId="0328E59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10. Մանկաբուժական տվյալները</w:t>
      </w:r>
    </w:p>
    <w:p w14:paraId="52FDB08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[Ուշադրությո՛ւն. Եթե այդ փոփոխությունը ներկայացնելու համար դիտարկվել է երեխաների մոտ ազդանշանի հաստատումը, կամ եթե փոփոխությունը ներկայացնելը ներառում է ԴԸԲ-ում հիշատակված մանկաբուժական հետազոտություններ, հարկ է տվյալ փոփոխությունները գնահատելիս օգտագործել մանկաբուժության ոլորտում համապատասխան ձեռնարկները]:</w:t>
      </w:r>
    </w:p>
    <w:p w14:paraId="6969BB27" w14:textId="77777777" w:rsidR="004F5982" w:rsidRPr="00826F05" w:rsidRDefault="004F5982" w:rsidP="00487007">
      <w:pPr>
        <w:spacing w:after="160" w:line="360" w:lineRule="auto"/>
        <w:ind w:right="91"/>
        <w:jc w:val="right"/>
        <w:rPr>
          <w:rFonts w:ascii="Sylfaen" w:eastAsia="Times New Roman" w:hAnsi="Sylfaen" w:cs="Times New Roman"/>
          <w:sz w:val="24"/>
          <w:szCs w:val="24"/>
        </w:rPr>
      </w:pPr>
      <w:r w:rsidRPr="00826F05">
        <w:rPr>
          <w:rFonts w:ascii="Sylfaen" w:hAnsi="Sylfaen"/>
          <w:sz w:val="24"/>
          <w:szCs w:val="24"/>
        </w:rPr>
        <w:t>Հավելված Ա</w:t>
      </w:r>
    </w:p>
    <w:p w14:paraId="183DBA09"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ԴԸԲ-ի, ԲԿՑ-ի (ՆԹ-ի) առաջարկվող անոտացված փոփոխությունները, մականշվածքները՝ յուրաքանչյուր բաժնից հետո փորձագետի մեկնաբանություններով</w:t>
      </w:r>
    </w:p>
    <w:p w14:paraId="1316B035" w14:textId="77777777" w:rsidR="004F5982" w:rsidRDefault="004F5982" w:rsidP="00487007">
      <w:pPr>
        <w:spacing w:after="160" w:line="360" w:lineRule="auto"/>
        <w:ind w:right="91"/>
        <w:jc w:val="right"/>
        <w:rPr>
          <w:rFonts w:ascii="Sylfaen" w:hAnsi="Sylfaen"/>
          <w:sz w:val="24"/>
          <w:szCs w:val="24"/>
        </w:rPr>
      </w:pPr>
    </w:p>
    <w:p w14:paraId="687298EC" w14:textId="77777777" w:rsidR="004F5982" w:rsidRPr="00826F05" w:rsidRDefault="004F5982" w:rsidP="00487007">
      <w:pPr>
        <w:spacing w:after="160" w:line="360" w:lineRule="auto"/>
        <w:ind w:right="91"/>
        <w:jc w:val="right"/>
        <w:rPr>
          <w:rFonts w:ascii="Sylfaen" w:eastAsia="Times New Roman" w:hAnsi="Sylfaen" w:cs="Times New Roman"/>
          <w:sz w:val="24"/>
          <w:szCs w:val="24"/>
        </w:rPr>
      </w:pPr>
      <w:r w:rsidRPr="00826F05">
        <w:rPr>
          <w:rFonts w:ascii="Sylfaen" w:hAnsi="Sylfaen"/>
          <w:sz w:val="24"/>
          <w:szCs w:val="24"/>
        </w:rPr>
        <w:t>Հավելված Գ</w:t>
      </w:r>
    </w:p>
    <w:p w14:paraId="0F61945E"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Օգտագործողների թեստավորման արդյունքների ուսումնասիրության համար փաստաթղթերի որակի ստուգման ստուգաթերթ</w:t>
      </w:r>
    </w:p>
    <w:p w14:paraId="2D858C94" w14:textId="77777777" w:rsidR="004F5982" w:rsidRPr="00826F05" w:rsidRDefault="004F5982" w:rsidP="00487007">
      <w:pPr>
        <w:spacing w:after="160" w:line="360" w:lineRule="auto"/>
        <w:jc w:val="both"/>
        <w:rPr>
          <w:rFonts w:ascii="Sylfaen" w:hAnsi="Sylfaen"/>
          <w:sz w:val="24"/>
          <w:szCs w:val="24"/>
        </w:rPr>
      </w:pPr>
    </w:p>
    <w:p w14:paraId="776EC69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Տեղեկատվություն՝ արտադրատեսակի վերաբերյալ</w:t>
      </w:r>
    </w:p>
    <w:tbl>
      <w:tblPr>
        <w:tblOverlap w:val="never"/>
        <w:tblW w:w="9667" w:type="dxa"/>
        <w:tblLayout w:type="fixed"/>
        <w:tblCellMar>
          <w:left w:w="10" w:type="dxa"/>
          <w:right w:w="10" w:type="dxa"/>
        </w:tblCellMar>
        <w:tblLook w:val="04A0" w:firstRow="1" w:lastRow="0" w:firstColumn="1" w:lastColumn="0" w:noHBand="0" w:noVBand="1"/>
      </w:tblPr>
      <w:tblGrid>
        <w:gridCol w:w="5785"/>
        <w:gridCol w:w="2241"/>
        <w:gridCol w:w="1540"/>
        <w:gridCol w:w="101"/>
      </w:tblGrid>
      <w:tr w:rsidR="004F5982" w:rsidRPr="00826F05" w14:paraId="2D8F671B" w14:textId="77777777" w:rsidTr="004F5982">
        <w:tc>
          <w:tcPr>
            <w:tcW w:w="5785" w:type="dxa"/>
            <w:tcBorders>
              <w:top w:val="single" w:sz="4" w:space="0" w:color="auto"/>
              <w:left w:val="single" w:sz="4" w:space="0" w:color="auto"/>
            </w:tcBorders>
            <w:shd w:val="clear" w:color="auto" w:fill="FFFFFF"/>
          </w:tcPr>
          <w:p w14:paraId="6FC61507"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Դեղապատրաստուկի անվանումը</w:t>
            </w:r>
          </w:p>
        </w:tc>
        <w:tc>
          <w:tcPr>
            <w:tcW w:w="3882" w:type="dxa"/>
            <w:gridSpan w:val="3"/>
            <w:tcBorders>
              <w:top w:val="single" w:sz="4" w:space="0" w:color="auto"/>
              <w:left w:val="single" w:sz="4" w:space="0" w:color="auto"/>
              <w:right w:val="single" w:sz="4" w:space="0" w:color="auto"/>
            </w:tcBorders>
            <w:shd w:val="clear" w:color="auto" w:fill="FFFFFF"/>
          </w:tcPr>
          <w:p w14:paraId="1D219CF7"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BAADE41" w14:textId="77777777" w:rsidTr="004F5982">
        <w:tc>
          <w:tcPr>
            <w:tcW w:w="5785" w:type="dxa"/>
            <w:tcBorders>
              <w:top w:val="single" w:sz="4" w:space="0" w:color="auto"/>
              <w:left w:val="single" w:sz="4" w:space="0" w:color="auto"/>
            </w:tcBorders>
            <w:shd w:val="clear" w:color="auto" w:fill="FFFFFF"/>
          </w:tcPr>
          <w:p w14:paraId="71733333" w14:textId="37A8F9C2" w:rsidR="004F5982" w:rsidRPr="00D55512" w:rsidRDefault="0056496B" w:rsidP="004F5982">
            <w:pPr>
              <w:spacing w:after="120" w:line="240" w:lineRule="auto"/>
              <w:rPr>
                <w:rFonts w:ascii="Sylfaen" w:hAnsi="Sylfaen"/>
                <w:sz w:val="24"/>
                <w:szCs w:val="24"/>
              </w:rPr>
            </w:pPr>
            <w:r>
              <w:rPr>
                <w:rStyle w:val="Bodytext295pt"/>
                <w:rFonts w:ascii="Sylfaen" w:eastAsiaTheme="minorHAnsi" w:hAnsi="Sylfaen"/>
                <w:b w:val="0"/>
                <w:spacing w:val="0"/>
                <w:sz w:val="24"/>
                <w:szCs w:val="24"/>
              </w:rPr>
              <w:t>Դիմումատու</w:t>
            </w:r>
            <w:r w:rsidR="004F5982" w:rsidRPr="00D55512">
              <w:rPr>
                <w:rStyle w:val="Bodytext295pt"/>
                <w:rFonts w:ascii="Sylfaen" w:eastAsiaTheme="minorHAnsi" w:hAnsi="Sylfaen"/>
                <w:b w:val="0"/>
                <w:spacing w:val="0"/>
                <w:sz w:val="24"/>
                <w:szCs w:val="24"/>
              </w:rPr>
              <w:t xml:space="preserve">ի անվանումը </w:t>
            </w:r>
            <w:r w:rsidR="00C54D75">
              <w:rPr>
                <w:rStyle w:val="Bodytext295pt"/>
                <w:rFonts w:ascii="Sylfaen" w:eastAsiaTheme="minorHAnsi" w:hAnsi="Sylfaen"/>
                <w:b w:val="0"/>
                <w:spacing w:val="0"/>
                <w:sz w:val="24"/>
                <w:szCs w:val="24"/>
              </w:rPr>
              <w:t>և</w:t>
            </w:r>
            <w:r w:rsidR="004F5982" w:rsidRPr="00D55512">
              <w:rPr>
                <w:rStyle w:val="Bodytext295pt"/>
                <w:rFonts w:ascii="Sylfaen" w:eastAsiaTheme="minorHAnsi" w:hAnsi="Sylfaen"/>
                <w:b w:val="0"/>
                <w:spacing w:val="0"/>
                <w:sz w:val="24"/>
                <w:szCs w:val="24"/>
              </w:rPr>
              <w:t xml:space="preserve"> հասցեն</w:t>
            </w:r>
          </w:p>
        </w:tc>
        <w:tc>
          <w:tcPr>
            <w:tcW w:w="3882" w:type="dxa"/>
            <w:gridSpan w:val="3"/>
            <w:tcBorders>
              <w:top w:val="single" w:sz="4" w:space="0" w:color="auto"/>
              <w:left w:val="single" w:sz="4" w:space="0" w:color="auto"/>
              <w:right w:val="single" w:sz="4" w:space="0" w:color="auto"/>
            </w:tcBorders>
            <w:shd w:val="clear" w:color="auto" w:fill="FFFFFF"/>
          </w:tcPr>
          <w:p w14:paraId="6B8014C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7C18A8C" w14:textId="77777777" w:rsidTr="004F5982">
        <w:tc>
          <w:tcPr>
            <w:tcW w:w="5785" w:type="dxa"/>
            <w:tcBorders>
              <w:top w:val="single" w:sz="4" w:space="0" w:color="auto"/>
              <w:left w:val="single" w:sz="4" w:space="0" w:color="auto"/>
            </w:tcBorders>
            <w:shd w:val="clear" w:color="auto" w:fill="FFFFFF"/>
            <w:vAlign w:val="bottom"/>
          </w:tcPr>
          <w:p w14:paraId="551D3F1A"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Օգտագործողների թեստավորում անցկացնող ընկերության անվանումը</w:t>
            </w:r>
          </w:p>
        </w:tc>
        <w:tc>
          <w:tcPr>
            <w:tcW w:w="3882" w:type="dxa"/>
            <w:gridSpan w:val="3"/>
            <w:tcBorders>
              <w:top w:val="single" w:sz="4" w:space="0" w:color="auto"/>
              <w:left w:val="single" w:sz="4" w:space="0" w:color="auto"/>
              <w:right w:val="single" w:sz="4" w:space="0" w:color="auto"/>
            </w:tcBorders>
            <w:shd w:val="clear" w:color="auto" w:fill="FFFFFF"/>
          </w:tcPr>
          <w:p w14:paraId="5E0A99F7"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430C957" w14:textId="77777777" w:rsidTr="004F5982">
        <w:tc>
          <w:tcPr>
            <w:tcW w:w="5785" w:type="dxa"/>
            <w:tcBorders>
              <w:top w:val="single" w:sz="4" w:space="0" w:color="auto"/>
              <w:left w:val="single" w:sz="4" w:space="0" w:color="auto"/>
            </w:tcBorders>
            <w:shd w:val="clear" w:color="auto" w:fill="FFFFFF"/>
            <w:vAlign w:val="bottom"/>
          </w:tcPr>
          <w:p w14:paraId="36ECF354" w14:textId="7F7935CB"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xml:space="preserve">Գրանցման հավաստագիր ստանալու </w:t>
            </w:r>
            <w:r w:rsidR="0056496B">
              <w:rPr>
                <w:rStyle w:val="Bodytext295pt"/>
                <w:rFonts w:ascii="Sylfaen" w:eastAsiaTheme="minorHAnsi" w:hAnsi="Sylfaen"/>
                <w:b w:val="0"/>
                <w:spacing w:val="0"/>
                <w:sz w:val="24"/>
                <w:szCs w:val="24"/>
              </w:rPr>
              <w:t>դիմում</w:t>
            </w:r>
            <w:r w:rsidRPr="00D55512">
              <w:rPr>
                <w:rStyle w:val="Bodytext295pt"/>
                <w:rFonts w:ascii="Sylfaen" w:eastAsiaTheme="minorHAnsi" w:hAnsi="Sylfaen"/>
                <w:b w:val="0"/>
                <w:spacing w:val="0"/>
                <w:sz w:val="24"/>
                <w:szCs w:val="24"/>
              </w:rPr>
              <w:t>ի տեսակը</w:t>
            </w:r>
          </w:p>
        </w:tc>
        <w:tc>
          <w:tcPr>
            <w:tcW w:w="3882" w:type="dxa"/>
            <w:gridSpan w:val="3"/>
            <w:tcBorders>
              <w:top w:val="single" w:sz="4" w:space="0" w:color="auto"/>
              <w:left w:val="single" w:sz="4" w:space="0" w:color="auto"/>
              <w:right w:val="single" w:sz="4" w:space="0" w:color="auto"/>
            </w:tcBorders>
            <w:shd w:val="clear" w:color="auto" w:fill="FFFFFF"/>
          </w:tcPr>
          <w:p w14:paraId="3B3FA885"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29809EF" w14:textId="77777777" w:rsidTr="004F5982">
        <w:tc>
          <w:tcPr>
            <w:tcW w:w="5785" w:type="dxa"/>
            <w:tcBorders>
              <w:top w:val="single" w:sz="4" w:space="0" w:color="auto"/>
              <w:left w:val="single" w:sz="4" w:space="0" w:color="auto"/>
            </w:tcBorders>
            <w:shd w:val="clear" w:color="auto" w:fill="FFFFFF"/>
          </w:tcPr>
          <w:p w14:paraId="2EA8CBF9"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ՄՉԱ-ն</w:t>
            </w:r>
          </w:p>
        </w:tc>
        <w:tc>
          <w:tcPr>
            <w:tcW w:w="3882" w:type="dxa"/>
            <w:gridSpan w:val="3"/>
            <w:tcBorders>
              <w:top w:val="single" w:sz="4" w:space="0" w:color="auto"/>
              <w:left w:val="single" w:sz="4" w:space="0" w:color="auto"/>
              <w:right w:val="single" w:sz="4" w:space="0" w:color="auto"/>
            </w:tcBorders>
            <w:shd w:val="clear" w:color="auto" w:fill="FFFFFF"/>
          </w:tcPr>
          <w:p w14:paraId="1CA5E03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21F8E19" w14:textId="77777777" w:rsidTr="004F5982">
        <w:tc>
          <w:tcPr>
            <w:tcW w:w="5785" w:type="dxa"/>
            <w:tcBorders>
              <w:top w:val="single" w:sz="4" w:space="0" w:color="auto"/>
              <w:left w:val="single" w:sz="4" w:space="0" w:color="auto"/>
            </w:tcBorders>
            <w:shd w:val="clear" w:color="auto" w:fill="FFFFFF"/>
            <w:vAlign w:val="bottom"/>
          </w:tcPr>
          <w:p w14:paraId="3DC1C8C7"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Դեղաթերապ</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տիկ խումբը (ԱԲՔ (ATХ) ծածկագիրը)</w:t>
            </w:r>
          </w:p>
        </w:tc>
        <w:tc>
          <w:tcPr>
            <w:tcW w:w="3882" w:type="dxa"/>
            <w:gridSpan w:val="3"/>
            <w:tcBorders>
              <w:top w:val="single" w:sz="4" w:space="0" w:color="auto"/>
              <w:left w:val="single" w:sz="4" w:space="0" w:color="auto"/>
              <w:right w:val="single" w:sz="4" w:space="0" w:color="auto"/>
            </w:tcBorders>
            <w:shd w:val="clear" w:color="auto" w:fill="FFFFFF"/>
          </w:tcPr>
          <w:p w14:paraId="4E40418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E2208F2" w14:textId="77777777" w:rsidTr="004F5982">
        <w:tc>
          <w:tcPr>
            <w:tcW w:w="5785" w:type="dxa"/>
            <w:tcBorders>
              <w:top w:val="single" w:sz="4" w:space="0" w:color="auto"/>
              <w:left w:val="single" w:sz="4" w:space="0" w:color="auto"/>
            </w:tcBorders>
            <w:shd w:val="clear" w:color="auto" w:fill="FFFFFF"/>
          </w:tcPr>
          <w:p w14:paraId="5F9B20AF"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Թերապ</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տիկ ցուցումները</w:t>
            </w:r>
          </w:p>
        </w:tc>
        <w:tc>
          <w:tcPr>
            <w:tcW w:w="3882" w:type="dxa"/>
            <w:gridSpan w:val="3"/>
            <w:tcBorders>
              <w:top w:val="single" w:sz="4" w:space="0" w:color="auto"/>
              <w:left w:val="single" w:sz="4" w:space="0" w:color="auto"/>
              <w:right w:val="single" w:sz="4" w:space="0" w:color="auto"/>
            </w:tcBorders>
            <w:shd w:val="clear" w:color="auto" w:fill="FFFFFF"/>
          </w:tcPr>
          <w:p w14:paraId="5D41BDF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AFE0D43" w14:textId="77777777" w:rsidTr="004F5982">
        <w:tc>
          <w:tcPr>
            <w:tcW w:w="5785" w:type="dxa"/>
            <w:tcBorders>
              <w:top w:val="single" w:sz="4" w:space="0" w:color="auto"/>
              <w:left w:val="single" w:sz="4" w:space="0" w:color="auto"/>
            </w:tcBorders>
            <w:shd w:val="clear" w:color="auto" w:fill="FFFFFF"/>
          </w:tcPr>
          <w:p w14:paraId="3ABDFFAF"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Հազվադեպ կիրառվող (որբ) պատրաստուկ</w:t>
            </w:r>
          </w:p>
        </w:tc>
        <w:tc>
          <w:tcPr>
            <w:tcW w:w="3882" w:type="dxa"/>
            <w:gridSpan w:val="3"/>
            <w:tcBorders>
              <w:top w:val="single" w:sz="4" w:space="0" w:color="auto"/>
              <w:left w:val="single" w:sz="4" w:space="0" w:color="auto"/>
              <w:right w:val="single" w:sz="4" w:space="0" w:color="auto"/>
            </w:tcBorders>
            <w:shd w:val="clear" w:color="auto" w:fill="FFFFFF"/>
          </w:tcPr>
          <w:p w14:paraId="2606B943"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826F05" w14:paraId="4D56B921" w14:textId="77777777" w:rsidTr="004F5982">
        <w:tc>
          <w:tcPr>
            <w:tcW w:w="5785" w:type="dxa"/>
            <w:tcBorders>
              <w:top w:val="single" w:sz="4" w:space="0" w:color="auto"/>
              <w:left w:val="single" w:sz="4" w:space="0" w:color="auto"/>
              <w:bottom w:val="single" w:sz="4" w:space="0" w:color="auto"/>
            </w:tcBorders>
            <w:shd w:val="clear" w:color="auto" w:fill="FFFFFF"/>
          </w:tcPr>
          <w:p w14:paraId="2F4FBFF2"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Փորձագետ</w:t>
            </w:r>
          </w:p>
        </w:tc>
        <w:tc>
          <w:tcPr>
            <w:tcW w:w="3882" w:type="dxa"/>
            <w:gridSpan w:val="3"/>
            <w:tcBorders>
              <w:top w:val="single" w:sz="4" w:space="0" w:color="auto"/>
              <w:left w:val="single" w:sz="4" w:space="0" w:color="auto"/>
              <w:bottom w:val="single" w:sz="4" w:space="0" w:color="auto"/>
              <w:right w:val="single" w:sz="4" w:space="0" w:color="auto"/>
            </w:tcBorders>
            <w:shd w:val="clear" w:color="auto" w:fill="FFFFFF"/>
          </w:tcPr>
          <w:p w14:paraId="21838374" w14:textId="77777777" w:rsidR="004F5982" w:rsidRPr="00D55512" w:rsidRDefault="004F5982" w:rsidP="004F5982">
            <w:pPr>
              <w:spacing w:after="120" w:line="240" w:lineRule="auto"/>
              <w:jc w:val="both"/>
              <w:rPr>
                <w:rFonts w:ascii="Sylfaen" w:hAnsi="Sylfaen"/>
                <w:sz w:val="24"/>
                <w:szCs w:val="24"/>
              </w:rPr>
            </w:pPr>
          </w:p>
        </w:tc>
      </w:tr>
      <w:tr w:rsidR="004F5982" w:rsidRPr="00826F05" w14:paraId="29374C50" w14:textId="77777777" w:rsidTr="004F5982">
        <w:trPr>
          <w:gridAfter w:val="1"/>
          <w:wAfter w:w="101" w:type="dxa"/>
          <w:trHeight w:val="1119"/>
        </w:trPr>
        <w:tc>
          <w:tcPr>
            <w:tcW w:w="8026" w:type="dxa"/>
            <w:gridSpan w:val="2"/>
            <w:vMerge w:val="restart"/>
            <w:shd w:val="clear" w:color="auto" w:fill="FFFFFF"/>
          </w:tcPr>
          <w:p w14:paraId="1309057A"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xml:space="preserve">Օգտագործողների թեստավորման ամբողջական հաշվետվությունը ներկայացված է </w:t>
            </w:r>
          </w:p>
          <w:p w14:paraId="5C23CEAB"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Ամփոփ հաշվետվությունը ներկայացված է</w:t>
            </w:r>
          </w:p>
        </w:tc>
        <w:tc>
          <w:tcPr>
            <w:tcW w:w="1540" w:type="dxa"/>
            <w:shd w:val="clear" w:color="auto" w:fill="FFFFFF"/>
          </w:tcPr>
          <w:p w14:paraId="64BC5C8C" w14:textId="77777777" w:rsidR="004F5982" w:rsidRPr="00D55512" w:rsidRDefault="004F5982" w:rsidP="004F5982">
            <w:pPr>
              <w:spacing w:after="160" w:line="360" w:lineRule="auto"/>
              <w:jc w:val="both"/>
              <w:rPr>
                <w:rFonts w:ascii="Sylfaen" w:hAnsi="Sylfaen"/>
                <w:sz w:val="24"/>
                <w:szCs w:val="24"/>
              </w:rPr>
            </w:pPr>
            <w:r w:rsidRPr="00D55512">
              <w:rPr>
                <w:rFonts w:ascii="Sylfaen" w:hAnsi="Sylfaen"/>
                <w:sz w:val="24"/>
                <w:szCs w:val="24"/>
              </w:rPr>
              <w:t>□ այո □ ոչ</w:t>
            </w:r>
          </w:p>
        </w:tc>
      </w:tr>
      <w:tr w:rsidR="004F5982" w:rsidRPr="00826F05" w14:paraId="058AE687" w14:textId="77777777" w:rsidTr="004F5982">
        <w:trPr>
          <w:gridAfter w:val="1"/>
          <w:wAfter w:w="101" w:type="dxa"/>
          <w:trHeight w:val="870"/>
        </w:trPr>
        <w:tc>
          <w:tcPr>
            <w:tcW w:w="8026" w:type="dxa"/>
            <w:gridSpan w:val="2"/>
            <w:vMerge/>
            <w:shd w:val="clear" w:color="auto" w:fill="FFFFFF"/>
          </w:tcPr>
          <w:p w14:paraId="497770A7"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p>
        </w:tc>
        <w:tc>
          <w:tcPr>
            <w:tcW w:w="1540" w:type="dxa"/>
            <w:shd w:val="clear" w:color="auto" w:fill="FFFFFF"/>
          </w:tcPr>
          <w:p w14:paraId="06299D79" w14:textId="77777777" w:rsidR="004F5982" w:rsidRPr="00D55512" w:rsidRDefault="004F5982" w:rsidP="004F5982">
            <w:pPr>
              <w:spacing w:after="160" w:line="360" w:lineRule="auto"/>
              <w:jc w:val="both"/>
              <w:rPr>
                <w:rFonts w:ascii="Sylfaen" w:hAnsi="Sylfaen"/>
                <w:sz w:val="24"/>
                <w:szCs w:val="24"/>
              </w:rPr>
            </w:pPr>
            <w:r w:rsidRPr="00D55512">
              <w:rPr>
                <w:rFonts w:ascii="Sylfaen" w:hAnsi="Sylfaen"/>
                <w:sz w:val="24"/>
                <w:szCs w:val="24"/>
              </w:rPr>
              <w:t>□ այո □ ոչ</w:t>
            </w:r>
          </w:p>
        </w:tc>
      </w:tr>
      <w:tr w:rsidR="004F5982" w:rsidRPr="00826F05" w14:paraId="7B8901C3" w14:textId="77777777" w:rsidTr="004F5982">
        <w:trPr>
          <w:gridAfter w:val="1"/>
          <w:wAfter w:w="101" w:type="dxa"/>
        </w:trPr>
        <w:tc>
          <w:tcPr>
            <w:tcW w:w="9566" w:type="dxa"/>
            <w:gridSpan w:val="3"/>
            <w:shd w:val="clear" w:color="auto" w:fill="FFFFFF"/>
            <w:vAlign w:val="bottom"/>
          </w:tcPr>
          <w:p w14:paraId="3CBA8C08"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Կապակցող թեստավորման հիմքերը՝</w:t>
            </w:r>
          </w:p>
          <w:p w14:paraId="5B9AD137"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լրացումներ՝ ներմուծման մի</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նույն եղանակի համար</w:t>
            </w:r>
          </w:p>
          <w:p w14:paraId="5D5921AA"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հղում՝ նույն դասի դեղապատրաստուկի թեստին</w:t>
            </w:r>
          </w:p>
          <w:p w14:paraId="3F6D6C2C"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lastRenderedPageBreak/>
              <w:t xml:space="preserve">□ </w:t>
            </w:r>
            <w:r w:rsidRPr="00D55512">
              <w:rPr>
                <w:rStyle w:val="Bodytext295pt"/>
                <w:rFonts w:ascii="Sylfaen" w:eastAsiaTheme="minorHAnsi" w:hAnsi="Sylfaen"/>
                <w:b w:val="0"/>
                <w:spacing w:val="0"/>
                <w:sz w:val="24"/>
                <w:szCs w:val="24"/>
              </w:rPr>
              <w:t xml:space="preserve">հղում՝ անվտանգության վերաբերյալ նույնատիպ հարցերով թեստին </w:t>
            </w:r>
          </w:p>
          <w:p w14:paraId="63DB9FA9" w14:textId="77777777" w:rsidR="004F5982" w:rsidRPr="00826F05" w:rsidRDefault="004F5982" w:rsidP="004F5982">
            <w:pPr>
              <w:spacing w:after="160" w:line="360" w:lineRule="auto"/>
              <w:ind w:left="567"/>
              <w:rPr>
                <w:rFonts w:ascii="Sylfaen" w:hAnsi="Sylfaen"/>
                <w:sz w:val="24"/>
                <w:szCs w:val="24"/>
              </w:rPr>
            </w:pPr>
            <w:r w:rsidRPr="00D55512">
              <w:rPr>
                <w:rFonts w:ascii="Sylfaen" w:hAnsi="Sylfaen"/>
                <w:sz w:val="24"/>
                <w:szCs w:val="24"/>
              </w:rPr>
              <w:t>□ այլ՝ __________________________________________________________</w:t>
            </w:r>
          </w:p>
        </w:tc>
      </w:tr>
      <w:tr w:rsidR="004F5982" w:rsidRPr="00826F05" w14:paraId="10BE1C39" w14:textId="77777777" w:rsidTr="004F5982">
        <w:trPr>
          <w:gridAfter w:val="1"/>
          <w:wAfter w:w="101" w:type="dxa"/>
        </w:trPr>
        <w:tc>
          <w:tcPr>
            <w:tcW w:w="8026" w:type="dxa"/>
            <w:gridSpan w:val="2"/>
            <w:shd w:val="clear" w:color="auto" w:fill="FFFFFF"/>
            <w:vAlign w:val="center"/>
          </w:tcPr>
          <w:p w14:paraId="5215A135" w14:textId="77777777" w:rsidR="004F5982" w:rsidRPr="00D55512" w:rsidRDefault="004F5982" w:rsidP="004F5982">
            <w:pPr>
              <w:tabs>
                <w:tab w:val="left" w:pos="270"/>
              </w:tabs>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lastRenderedPageBreak/>
              <w:t>Արդյո՞ք կապակցող թեստավորման հիմնավորումն ընդունելի է։</w:t>
            </w:r>
          </w:p>
        </w:tc>
        <w:tc>
          <w:tcPr>
            <w:tcW w:w="1540" w:type="dxa"/>
            <w:tcBorders>
              <w:top w:val="single" w:sz="4" w:space="0" w:color="auto"/>
              <w:left w:val="nil"/>
            </w:tcBorders>
            <w:shd w:val="clear" w:color="auto" w:fill="FFFFFF"/>
            <w:vAlign w:val="center"/>
          </w:tcPr>
          <w:p w14:paraId="22D64267" w14:textId="77777777" w:rsidR="004F5982" w:rsidRPr="00D55512" w:rsidRDefault="004F5982" w:rsidP="004F5982">
            <w:pPr>
              <w:tabs>
                <w:tab w:val="left" w:pos="270"/>
              </w:tabs>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826F05" w14:paraId="14A27669" w14:textId="77777777" w:rsidTr="004F5982">
        <w:trPr>
          <w:gridAfter w:val="1"/>
          <w:wAfter w:w="101" w:type="dxa"/>
          <w:trHeight w:val="1583"/>
        </w:trPr>
        <w:tc>
          <w:tcPr>
            <w:tcW w:w="8026" w:type="dxa"/>
            <w:gridSpan w:val="2"/>
            <w:vMerge w:val="restart"/>
            <w:shd w:val="clear" w:color="auto" w:fill="FFFFFF"/>
            <w:vAlign w:val="center"/>
          </w:tcPr>
          <w:p w14:paraId="684D7006" w14:textId="77777777" w:rsidR="004F5982" w:rsidRPr="00D55512" w:rsidRDefault="004F5982" w:rsidP="004F5982">
            <w:pPr>
              <w:spacing w:after="160" w:line="360" w:lineRule="auto"/>
              <w:rPr>
                <w:rFonts w:ascii="Sylfaen" w:hAnsi="Sylfaen"/>
              </w:rPr>
            </w:pPr>
            <w:r w:rsidRPr="00D55512">
              <w:rPr>
                <w:rStyle w:val="Bodytext295pt"/>
                <w:rFonts w:ascii="Sylfaen" w:eastAsiaTheme="minorHAnsi" w:hAnsi="Sylfaen"/>
                <w:b w:val="0"/>
                <w:spacing w:val="0"/>
                <w:sz w:val="24"/>
                <w:szCs w:val="24"/>
              </w:rPr>
              <w:t>(Եթե չի ներկայացվել օգտագործողների թեստավորման ամբողջական հաշվետվությունը կամ ամփոփ հաշվետվությունը, ապա անհրաժեշտ է ներկայացնել հիմնավորումը։)</w:t>
            </w:r>
          </w:p>
          <w:p w14:paraId="7DCF94A8"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հաշվետվություն չներկայացնելու հիմնավորումն ընդունելի է։ (Օգտագործողների թեստավորման բացակայության ընդունելի հիմնավորում չհամարվող պատճառների օրինակները ներկայացված են ստոր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w:t>
            </w:r>
          </w:p>
        </w:tc>
        <w:tc>
          <w:tcPr>
            <w:tcW w:w="1540" w:type="dxa"/>
            <w:tcBorders>
              <w:left w:val="nil"/>
            </w:tcBorders>
            <w:shd w:val="clear" w:color="auto" w:fill="FFFFFF"/>
            <w:vAlign w:val="center"/>
          </w:tcPr>
          <w:p w14:paraId="1F86E240"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p>
        </w:tc>
      </w:tr>
      <w:tr w:rsidR="004F5982" w:rsidRPr="00826F05" w14:paraId="63B27315" w14:textId="77777777" w:rsidTr="004F5982">
        <w:trPr>
          <w:gridAfter w:val="1"/>
          <w:wAfter w:w="101" w:type="dxa"/>
          <w:trHeight w:val="1582"/>
        </w:trPr>
        <w:tc>
          <w:tcPr>
            <w:tcW w:w="8026" w:type="dxa"/>
            <w:gridSpan w:val="2"/>
            <w:vMerge/>
            <w:shd w:val="clear" w:color="auto" w:fill="FFFFFF"/>
            <w:vAlign w:val="center"/>
          </w:tcPr>
          <w:p w14:paraId="37A566B9" w14:textId="77777777" w:rsidR="004F5982" w:rsidRPr="00826F05" w:rsidRDefault="004F5982" w:rsidP="004F5982">
            <w:pPr>
              <w:spacing w:after="160" w:line="360" w:lineRule="auto"/>
              <w:rPr>
                <w:rStyle w:val="Bodytext295pt"/>
                <w:rFonts w:ascii="Sylfaen" w:eastAsiaTheme="minorHAnsi" w:hAnsi="Sylfaen"/>
                <w:b w:val="0"/>
                <w:sz w:val="24"/>
                <w:szCs w:val="24"/>
              </w:rPr>
            </w:pPr>
          </w:p>
        </w:tc>
        <w:tc>
          <w:tcPr>
            <w:tcW w:w="1540" w:type="dxa"/>
            <w:tcBorders>
              <w:left w:val="nil"/>
            </w:tcBorders>
            <w:shd w:val="clear" w:color="auto" w:fill="FFFFFF"/>
          </w:tcPr>
          <w:p w14:paraId="5F62931C"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այո □ ոչ</w:t>
            </w:r>
          </w:p>
        </w:tc>
      </w:tr>
      <w:tr w:rsidR="004F5982" w:rsidRPr="00826F05" w14:paraId="6D76E5B0" w14:textId="77777777" w:rsidTr="004F5982">
        <w:trPr>
          <w:gridAfter w:val="1"/>
          <w:wAfter w:w="101" w:type="dxa"/>
        </w:trPr>
        <w:tc>
          <w:tcPr>
            <w:tcW w:w="9566" w:type="dxa"/>
            <w:gridSpan w:val="3"/>
            <w:shd w:val="clear" w:color="auto" w:fill="FFFFFF"/>
            <w:vAlign w:val="center"/>
          </w:tcPr>
          <w:p w14:paraId="4FF5EBA2"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միայն հիվանդանոցային պայմաններում ներմուծումը.</w:t>
            </w:r>
          </w:p>
          <w:p w14:paraId="285D7B1F"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միայն բժշկական ոլորտի մասնագետի կողմից ներմուծումը.</w:t>
            </w:r>
          </w:p>
          <w:p w14:paraId="254922DD"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որակի ստուգման վերաբերյալ փաստաթղթերի ձ</w:t>
            </w:r>
            <w:r w:rsidR="00C54D75">
              <w:rPr>
                <w:rFonts w:ascii="Sylfaen" w:hAnsi="Sylfaen"/>
                <w:sz w:val="24"/>
                <w:szCs w:val="24"/>
              </w:rPr>
              <w:t>և</w:t>
            </w:r>
            <w:r w:rsidRPr="00826F05">
              <w:rPr>
                <w:rFonts w:ascii="Sylfaen" w:hAnsi="Sylfaen"/>
                <w:sz w:val="24"/>
                <w:szCs w:val="24"/>
              </w:rPr>
              <w:t>անմուշներին համապատասխանությունը.</w:t>
            </w:r>
          </w:p>
          <w:p w14:paraId="01CB4085" w14:textId="77777777" w:rsidR="004F5982" w:rsidRPr="00826F05" w:rsidRDefault="004F5982" w:rsidP="004F5982">
            <w:pPr>
              <w:tabs>
                <w:tab w:val="left" w:pos="284"/>
              </w:tabs>
              <w:spacing w:after="160" w:line="336" w:lineRule="auto"/>
              <w:rPr>
                <w:rStyle w:val="Bodytext295pt"/>
                <w:rFonts w:ascii="Sylfaen" w:eastAsiaTheme="minorHAnsi" w:hAnsi="Sylfaen"/>
                <w:b w:val="0"/>
                <w:sz w:val="24"/>
                <w:szCs w:val="24"/>
              </w:rPr>
            </w:pPr>
            <w:r w:rsidRPr="00826F05">
              <w:rPr>
                <w:rFonts w:ascii="Sylfaen" w:hAnsi="Sylfaen"/>
                <w:sz w:val="24"/>
                <w:szCs w:val="24"/>
              </w:rPr>
              <w:t>-</w:t>
            </w:r>
            <w:r w:rsidRPr="00826F05">
              <w:rPr>
                <w:rFonts w:ascii="Sylfaen" w:hAnsi="Sylfaen"/>
                <w:sz w:val="24"/>
                <w:szCs w:val="24"/>
              </w:rPr>
              <w:tab/>
              <w:t>տ</w:t>
            </w:r>
            <w:r w:rsidR="00C54D75">
              <w:rPr>
                <w:rFonts w:ascii="Sylfaen" w:hAnsi="Sylfaen"/>
                <w:sz w:val="24"/>
                <w:szCs w:val="24"/>
              </w:rPr>
              <w:t>և</w:t>
            </w:r>
            <w:r w:rsidRPr="00826F05">
              <w:rPr>
                <w:rFonts w:ascii="Sylfaen" w:hAnsi="Sylfaen"/>
                <w:sz w:val="24"/>
                <w:szCs w:val="24"/>
              </w:rPr>
              <w:t>ական ժամանակի ընթացքում պատրաստուկի կիրառման ուսումնասիրությունը։</w:t>
            </w:r>
          </w:p>
        </w:tc>
      </w:tr>
      <w:tr w:rsidR="004F5982" w:rsidRPr="00826F05" w14:paraId="60A14DA7" w14:textId="77777777" w:rsidTr="004F5982">
        <w:trPr>
          <w:gridAfter w:val="1"/>
          <w:wAfter w:w="101" w:type="dxa"/>
        </w:trPr>
        <w:tc>
          <w:tcPr>
            <w:tcW w:w="9566" w:type="dxa"/>
            <w:gridSpan w:val="3"/>
            <w:shd w:val="clear" w:color="auto" w:fill="FFFFFF"/>
            <w:vAlign w:val="center"/>
          </w:tcPr>
          <w:p w14:paraId="055673B3"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 xml:space="preserve">Պատճառները </w:t>
            </w:r>
            <w:r w:rsidRPr="00D55512">
              <w:rPr>
                <w:rStyle w:val="Bodytext295pt"/>
                <w:rFonts w:ascii="Sylfaen" w:eastAsiaTheme="minorHAnsi" w:hAnsi="Sylfaen"/>
                <w:b w:val="0"/>
                <w:i/>
                <w:spacing w:val="0"/>
                <w:sz w:val="24"/>
                <w:szCs w:val="24"/>
              </w:rPr>
              <w:t>[հիմնավորման/ամփոփ հաշվետվության ընդունելի լինելու կամ չլինելու վերաբերյալ փորձագետների կարծիքները՝ հիմնավորման/ամփոփ հաշվետվության գնահատումը]</w:t>
            </w:r>
          </w:p>
        </w:tc>
      </w:tr>
      <w:tr w:rsidR="004F5982" w:rsidRPr="00826F05" w14:paraId="7F7E77F0" w14:textId="77777777" w:rsidTr="004F5982">
        <w:trPr>
          <w:gridAfter w:val="1"/>
          <w:wAfter w:w="101" w:type="dxa"/>
        </w:trPr>
        <w:tc>
          <w:tcPr>
            <w:tcW w:w="9566" w:type="dxa"/>
            <w:gridSpan w:val="3"/>
            <w:tcBorders>
              <w:top w:val="single" w:sz="4" w:space="0" w:color="auto"/>
            </w:tcBorders>
            <w:shd w:val="clear" w:color="auto" w:fill="FFFFFF"/>
          </w:tcPr>
          <w:p w14:paraId="272CDF47" w14:textId="77777777" w:rsidR="004F5982" w:rsidRPr="00826F05" w:rsidRDefault="004F5982" w:rsidP="004F5982">
            <w:pPr>
              <w:spacing w:after="160" w:line="360" w:lineRule="auto"/>
              <w:jc w:val="both"/>
              <w:rPr>
                <w:rFonts w:ascii="Sylfaen" w:hAnsi="Sylfaen"/>
                <w:sz w:val="24"/>
                <w:szCs w:val="24"/>
              </w:rPr>
            </w:pPr>
          </w:p>
        </w:tc>
      </w:tr>
      <w:tr w:rsidR="004F5982" w:rsidRPr="00826F05" w14:paraId="00152AE8" w14:textId="77777777" w:rsidTr="004F5982">
        <w:trPr>
          <w:gridAfter w:val="1"/>
          <w:wAfter w:w="101" w:type="dxa"/>
        </w:trPr>
        <w:tc>
          <w:tcPr>
            <w:tcW w:w="9566" w:type="dxa"/>
            <w:gridSpan w:val="3"/>
            <w:tcBorders>
              <w:top w:val="single" w:sz="4" w:space="0" w:color="auto"/>
            </w:tcBorders>
            <w:shd w:val="clear" w:color="auto" w:fill="FFFFFF"/>
          </w:tcPr>
          <w:p w14:paraId="31CC2787" w14:textId="77777777" w:rsidR="004F5982" w:rsidRPr="00826F05" w:rsidRDefault="004F5982" w:rsidP="004F5982">
            <w:pPr>
              <w:spacing w:after="160" w:line="360" w:lineRule="auto"/>
              <w:jc w:val="both"/>
              <w:rPr>
                <w:rFonts w:ascii="Sylfaen" w:hAnsi="Sylfaen"/>
                <w:sz w:val="24"/>
                <w:szCs w:val="24"/>
              </w:rPr>
            </w:pPr>
          </w:p>
        </w:tc>
      </w:tr>
      <w:tr w:rsidR="004F5982" w:rsidRPr="00826F05" w14:paraId="0D47BDF0" w14:textId="77777777" w:rsidTr="004F5982">
        <w:trPr>
          <w:gridAfter w:val="1"/>
          <w:wAfter w:w="101" w:type="dxa"/>
        </w:trPr>
        <w:tc>
          <w:tcPr>
            <w:tcW w:w="9566" w:type="dxa"/>
            <w:gridSpan w:val="3"/>
            <w:tcBorders>
              <w:top w:val="single" w:sz="4" w:space="0" w:color="auto"/>
            </w:tcBorders>
            <w:shd w:val="clear" w:color="auto" w:fill="FFFFFF"/>
          </w:tcPr>
          <w:p w14:paraId="471BB6FC" w14:textId="77777777" w:rsidR="004F5982" w:rsidRPr="00826F05" w:rsidRDefault="004F5982" w:rsidP="004F5982">
            <w:pPr>
              <w:spacing w:after="160" w:line="360" w:lineRule="auto"/>
              <w:jc w:val="both"/>
              <w:rPr>
                <w:rFonts w:ascii="Sylfaen" w:hAnsi="Sylfaen"/>
                <w:sz w:val="24"/>
                <w:szCs w:val="24"/>
              </w:rPr>
            </w:pPr>
          </w:p>
        </w:tc>
      </w:tr>
      <w:tr w:rsidR="004F5982" w:rsidRPr="00826F05" w14:paraId="1DC0FD5A" w14:textId="77777777" w:rsidTr="004F5982">
        <w:trPr>
          <w:gridAfter w:val="1"/>
          <w:wAfter w:w="101" w:type="dxa"/>
        </w:trPr>
        <w:tc>
          <w:tcPr>
            <w:tcW w:w="9566" w:type="dxa"/>
            <w:gridSpan w:val="3"/>
            <w:tcBorders>
              <w:top w:val="single" w:sz="4" w:space="0" w:color="auto"/>
              <w:bottom w:val="single" w:sz="4" w:space="0" w:color="auto"/>
            </w:tcBorders>
            <w:shd w:val="clear" w:color="auto" w:fill="FFFFFF"/>
          </w:tcPr>
          <w:p w14:paraId="144E5FE1" w14:textId="77777777" w:rsidR="004F5982" w:rsidRPr="00826F05" w:rsidRDefault="004F5982" w:rsidP="004F5982">
            <w:pPr>
              <w:spacing w:after="160" w:line="360" w:lineRule="auto"/>
              <w:jc w:val="both"/>
              <w:rPr>
                <w:rFonts w:ascii="Sylfaen" w:hAnsi="Sylfaen"/>
                <w:sz w:val="24"/>
                <w:szCs w:val="24"/>
              </w:rPr>
            </w:pPr>
          </w:p>
        </w:tc>
      </w:tr>
    </w:tbl>
    <w:p w14:paraId="0FC42B88" w14:textId="77777777" w:rsidR="004F5982" w:rsidRPr="00D55512" w:rsidRDefault="004F5982" w:rsidP="004F5982">
      <w:pPr>
        <w:pStyle w:val="Bodytext40"/>
        <w:shd w:val="clear" w:color="auto" w:fill="auto"/>
        <w:spacing w:before="0" w:after="160" w:line="360" w:lineRule="auto"/>
        <w:ind w:left="567" w:right="565"/>
        <w:rPr>
          <w:rFonts w:ascii="Sylfaen" w:hAnsi="Sylfaen"/>
          <w:b w:val="0"/>
          <w:sz w:val="24"/>
          <w:szCs w:val="24"/>
        </w:rPr>
      </w:pPr>
      <w:r w:rsidRPr="00D55512">
        <w:rPr>
          <w:rFonts w:ascii="Sylfaen" w:hAnsi="Sylfaen"/>
          <w:b w:val="0"/>
          <w:color w:val="000000"/>
          <w:sz w:val="24"/>
          <w:szCs w:val="24"/>
        </w:rPr>
        <w:t>1. Տեխնիկական գնահատումը</w:t>
      </w:r>
    </w:p>
    <w:p w14:paraId="73C6BEF8" w14:textId="77777777" w:rsidR="004F5982" w:rsidRPr="00D55512" w:rsidRDefault="004F5982" w:rsidP="004F5982">
      <w:pPr>
        <w:pStyle w:val="Bodytext40"/>
        <w:shd w:val="clear" w:color="auto" w:fill="auto"/>
        <w:spacing w:before="0" w:after="160" w:line="360" w:lineRule="auto"/>
        <w:ind w:left="567" w:right="565"/>
        <w:rPr>
          <w:rFonts w:ascii="Sylfaen" w:hAnsi="Sylfaen"/>
          <w:b w:val="0"/>
          <w:color w:val="000000"/>
          <w:sz w:val="24"/>
          <w:szCs w:val="24"/>
        </w:rPr>
      </w:pPr>
      <w:r w:rsidRPr="00D55512">
        <w:rPr>
          <w:rFonts w:ascii="Sylfaen" w:hAnsi="Sylfaen"/>
          <w:b w:val="0"/>
          <w:sz w:val="24"/>
          <w:szCs w:val="24"/>
        </w:rPr>
        <w:t xml:space="preserve">1.1. </w:t>
      </w:r>
      <w:r w:rsidRPr="00D55512">
        <w:rPr>
          <w:rFonts w:ascii="Sylfaen" w:hAnsi="Sylfaen"/>
          <w:b w:val="0"/>
          <w:color w:val="000000"/>
          <w:sz w:val="24"/>
          <w:szCs w:val="24"/>
        </w:rPr>
        <w:t>Հավաքակազմը</w:t>
      </w:r>
    </w:p>
    <w:tbl>
      <w:tblPr>
        <w:tblStyle w:val="TableGrid"/>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1"/>
        <w:gridCol w:w="1456"/>
      </w:tblGrid>
      <w:tr w:rsidR="004F5982" w:rsidRPr="00D55512" w14:paraId="19016CC5" w14:textId="77777777" w:rsidTr="004F5982">
        <w:tc>
          <w:tcPr>
            <w:tcW w:w="8241" w:type="dxa"/>
          </w:tcPr>
          <w:p w14:paraId="2A9923A3"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sz w:val="24"/>
                <w:szCs w:val="24"/>
              </w:rPr>
              <w:lastRenderedPageBreak/>
              <w:t>Արդյո՞ք ընդունելի է հարցմանը մասնակցած պոպուլյացիան։</w:t>
            </w:r>
          </w:p>
        </w:tc>
        <w:tc>
          <w:tcPr>
            <w:tcW w:w="1456" w:type="dxa"/>
          </w:tcPr>
          <w:p w14:paraId="4FF8DB49"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color w:val="000000"/>
                <w:sz w:val="24"/>
                <w:szCs w:val="24"/>
              </w:rPr>
              <w:t>□ այո □ ոչ</w:t>
            </w:r>
          </w:p>
        </w:tc>
      </w:tr>
      <w:tr w:rsidR="004F5982" w:rsidRPr="00D55512" w14:paraId="7FBDC3C9" w14:textId="77777777" w:rsidTr="004F5982">
        <w:tc>
          <w:tcPr>
            <w:tcW w:w="9697" w:type="dxa"/>
            <w:gridSpan w:val="2"/>
          </w:tcPr>
          <w:p w14:paraId="66B66E99"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sz w:val="24"/>
                <w:szCs w:val="24"/>
              </w:rPr>
              <w:t>Մեկնաբանություններ (լրացուցիչ տեղեկատվություն) ________________________________</w:t>
            </w:r>
          </w:p>
        </w:tc>
      </w:tr>
    </w:tbl>
    <w:tbl>
      <w:tblPr>
        <w:tblOverlap w:val="never"/>
        <w:tblW w:w="9715" w:type="dxa"/>
        <w:tblInd w:w="-116" w:type="dxa"/>
        <w:tblLayout w:type="fixed"/>
        <w:tblCellMar>
          <w:left w:w="10" w:type="dxa"/>
          <w:right w:w="10" w:type="dxa"/>
        </w:tblCellMar>
        <w:tblLook w:val="04A0" w:firstRow="1" w:lastRow="0" w:firstColumn="1" w:lastColumn="0" w:noHBand="0" w:noVBand="1"/>
      </w:tblPr>
      <w:tblGrid>
        <w:gridCol w:w="7909"/>
        <w:gridCol w:w="331"/>
        <w:gridCol w:w="1242"/>
        <w:gridCol w:w="142"/>
        <w:gridCol w:w="91"/>
      </w:tblGrid>
      <w:tr w:rsidR="004F5982" w:rsidRPr="00D55512" w14:paraId="593BCFD0" w14:textId="77777777" w:rsidTr="00487007">
        <w:tc>
          <w:tcPr>
            <w:tcW w:w="8240" w:type="dxa"/>
            <w:gridSpan w:val="2"/>
            <w:shd w:val="clear" w:color="auto" w:fill="FFFFFF"/>
          </w:tcPr>
          <w:p w14:paraId="2E0CFEEA"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1.2. Հարցաշարը</w:t>
            </w:r>
          </w:p>
        </w:tc>
        <w:tc>
          <w:tcPr>
            <w:tcW w:w="1475" w:type="dxa"/>
            <w:gridSpan w:val="3"/>
            <w:shd w:val="clear" w:color="auto" w:fill="FFFFFF"/>
          </w:tcPr>
          <w:p w14:paraId="439C2B74" w14:textId="77777777" w:rsidR="004F5982" w:rsidRPr="00D55512" w:rsidRDefault="004F5982" w:rsidP="00487007">
            <w:pPr>
              <w:spacing w:after="120" w:line="240" w:lineRule="auto"/>
              <w:rPr>
                <w:rFonts w:ascii="Sylfaen" w:hAnsi="Sylfaen"/>
                <w:sz w:val="24"/>
                <w:szCs w:val="24"/>
              </w:rPr>
            </w:pPr>
          </w:p>
        </w:tc>
      </w:tr>
      <w:tr w:rsidR="004F5982" w:rsidRPr="00D55512" w14:paraId="5CAB1251" w14:textId="77777777" w:rsidTr="00487007">
        <w:tc>
          <w:tcPr>
            <w:tcW w:w="8240" w:type="dxa"/>
            <w:gridSpan w:val="2"/>
            <w:shd w:val="clear" w:color="auto" w:fill="FFFFFF"/>
            <w:vAlign w:val="center"/>
          </w:tcPr>
          <w:p w14:paraId="66A0541F" w14:textId="77777777" w:rsidR="004F5982" w:rsidRPr="00D55512" w:rsidRDefault="004F5982" w:rsidP="00487007">
            <w:pPr>
              <w:spacing w:after="120" w:line="240" w:lineRule="auto"/>
              <w:ind w:right="132"/>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հարցերի քանակը ___________ բավարար է:</w:t>
            </w:r>
          </w:p>
          <w:p w14:paraId="2FC8293E" w14:textId="77777777" w:rsidR="004F5982" w:rsidRPr="00D55512" w:rsidRDefault="004F5982" w:rsidP="00487007">
            <w:pPr>
              <w:spacing w:after="120" w:line="240" w:lineRule="auto"/>
              <w:ind w:right="132"/>
              <w:rPr>
                <w:rFonts w:ascii="Sylfaen" w:hAnsi="Sylfaen"/>
                <w:sz w:val="24"/>
                <w:szCs w:val="24"/>
              </w:rPr>
            </w:pPr>
            <w:r w:rsidRPr="00D55512">
              <w:rPr>
                <w:rStyle w:val="Bodytext295pt"/>
                <w:rFonts w:ascii="Sylfaen" w:eastAsiaTheme="minorHAnsi" w:hAnsi="Sylfaen"/>
                <w:b w:val="0"/>
                <w:spacing w:val="0"/>
                <w:sz w:val="24"/>
                <w:szCs w:val="24"/>
              </w:rPr>
              <w:t>Արդյո՞ք հարցերն ընդգրկում են ԲԿՀ-ի (ՆԹ-ի) կար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որ ասպեկտները (անվտանգությունը)։</w:t>
            </w:r>
          </w:p>
        </w:tc>
        <w:tc>
          <w:tcPr>
            <w:tcW w:w="1475" w:type="dxa"/>
            <w:gridSpan w:val="3"/>
            <w:shd w:val="clear" w:color="auto" w:fill="FFFFFF"/>
          </w:tcPr>
          <w:p w14:paraId="2CE2EC4B"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p w14:paraId="188FB8A3"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65A48467" w14:textId="77777777" w:rsidTr="00487007">
        <w:tc>
          <w:tcPr>
            <w:tcW w:w="9482" w:type="dxa"/>
            <w:gridSpan w:val="3"/>
            <w:shd w:val="clear" w:color="auto" w:fill="FFFFFF"/>
            <w:vAlign w:val="bottom"/>
          </w:tcPr>
          <w:p w14:paraId="29EA83BF"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w:t>
            </w:r>
          </w:p>
        </w:tc>
        <w:tc>
          <w:tcPr>
            <w:tcW w:w="233" w:type="dxa"/>
            <w:gridSpan w:val="2"/>
            <w:shd w:val="clear" w:color="auto" w:fill="FFFFFF"/>
          </w:tcPr>
          <w:p w14:paraId="24CCF375" w14:textId="77777777" w:rsidR="004F5982" w:rsidRPr="00D55512" w:rsidRDefault="004F5982" w:rsidP="00487007">
            <w:pPr>
              <w:spacing w:after="120" w:line="240" w:lineRule="auto"/>
              <w:rPr>
                <w:rFonts w:ascii="Sylfaen" w:hAnsi="Sylfaen"/>
                <w:sz w:val="24"/>
                <w:szCs w:val="24"/>
              </w:rPr>
            </w:pPr>
          </w:p>
        </w:tc>
      </w:tr>
      <w:tr w:rsidR="004F5982" w:rsidRPr="00D55512" w14:paraId="5042D65B" w14:textId="77777777" w:rsidTr="00487007">
        <w:tc>
          <w:tcPr>
            <w:tcW w:w="8240" w:type="dxa"/>
            <w:gridSpan w:val="2"/>
            <w:shd w:val="clear" w:color="auto" w:fill="FFFFFF"/>
            <w:vAlign w:val="center"/>
          </w:tcPr>
          <w:p w14:paraId="73784665"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1.3. Ժամանակավոր ասպեկտները</w:t>
            </w:r>
          </w:p>
        </w:tc>
        <w:tc>
          <w:tcPr>
            <w:tcW w:w="1475" w:type="dxa"/>
            <w:gridSpan w:val="3"/>
            <w:shd w:val="clear" w:color="auto" w:fill="FFFFFF"/>
          </w:tcPr>
          <w:p w14:paraId="68318EDE" w14:textId="77777777" w:rsidR="004F5982" w:rsidRPr="00D55512" w:rsidRDefault="004F5982" w:rsidP="00487007">
            <w:pPr>
              <w:spacing w:after="120" w:line="240" w:lineRule="auto"/>
              <w:rPr>
                <w:rFonts w:ascii="Sylfaen" w:hAnsi="Sylfaen"/>
                <w:sz w:val="24"/>
                <w:szCs w:val="24"/>
              </w:rPr>
            </w:pPr>
          </w:p>
        </w:tc>
      </w:tr>
      <w:tr w:rsidR="004F5982" w:rsidRPr="00D55512" w14:paraId="37843689" w14:textId="77777777" w:rsidTr="00487007">
        <w:trPr>
          <w:trHeight w:val="870"/>
        </w:trPr>
        <w:tc>
          <w:tcPr>
            <w:tcW w:w="8240" w:type="dxa"/>
            <w:gridSpan w:val="2"/>
            <w:vMerge w:val="restart"/>
            <w:shd w:val="clear" w:color="auto" w:fill="FFFFFF"/>
            <w:vAlign w:val="center"/>
          </w:tcPr>
          <w:p w14:paraId="2F2636A1"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հարցերին պատասխանելու համար հատկացված ժամանակն ընդունելի է։</w:t>
            </w:r>
          </w:p>
          <w:p w14:paraId="680A829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հարցազրույցի տ</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ողությունն ընդունելի է։</w:t>
            </w:r>
          </w:p>
        </w:tc>
        <w:tc>
          <w:tcPr>
            <w:tcW w:w="1475" w:type="dxa"/>
            <w:gridSpan w:val="3"/>
            <w:shd w:val="clear" w:color="auto" w:fill="FFFFFF"/>
          </w:tcPr>
          <w:p w14:paraId="764105B0"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3E8F49CB" w14:textId="77777777" w:rsidTr="00487007">
        <w:trPr>
          <w:trHeight w:val="870"/>
        </w:trPr>
        <w:tc>
          <w:tcPr>
            <w:tcW w:w="8240" w:type="dxa"/>
            <w:gridSpan w:val="2"/>
            <w:vMerge/>
            <w:shd w:val="clear" w:color="auto" w:fill="FFFFFF"/>
            <w:vAlign w:val="center"/>
          </w:tcPr>
          <w:p w14:paraId="662CFA83"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p>
        </w:tc>
        <w:tc>
          <w:tcPr>
            <w:tcW w:w="1475" w:type="dxa"/>
            <w:gridSpan w:val="3"/>
            <w:shd w:val="clear" w:color="auto" w:fill="FFFFFF"/>
            <w:vAlign w:val="center"/>
          </w:tcPr>
          <w:p w14:paraId="66935E23"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1D9962CA" w14:textId="77777777" w:rsidTr="00487007">
        <w:tc>
          <w:tcPr>
            <w:tcW w:w="9624" w:type="dxa"/>
            <w:gridSpan w:val="4"/>
            <w:shd w:val="clear" w:color="auto" w:fill="FFFFFF"/>
            <w:vAlign w:val="bottom"/>
          </w:tcPr>
          <w:p w14:paraId="1A0ECBDD"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w:t>
            </w:r>
            <w:r>
              <w:rPr>
                <w:rStyle w:val="Bodytext295pt"/>
                <w:rFonts w:ascii="Sylfaen" w:eastAsiaTheme="minorHAnsi" w:hAnsi="Sylfaen"/>
                <w:b w:val="0"/>
                <w:spacing w:val="0"/>
                <w:sz w:val="24"/>
                <w:szCs w:val="24"/>
                <w:lang w:val="en-US"/>
              </w:rPr>
              <w:t>_</w:t>
            </w:r>
            <w:r w:rsidRPr="00D55512">
              <w:rPr>
                <w:rStyle w:val="Bodytext295pt"/>
                <w:rFonts w:ascii="Sylfaen" w:eastAsiaTheme="minorHAnsi" w:hAnsi="Sylfaen"/>
                <w:b w:val="0"/>
                <w:spacing w:val="0"/>
                <w:sz w:val="24"/>
                <w:szCs w:val="24"/>
              </w:rPr>
              <w:t>_</w:t>
            </w:r>
          </w:p>
        </w:tc>
        <w:tc>
          <w:tcPr>
            <w:tcW w:w="91" w:type="dxa"/>
            <w:shd w:val="clear" w:color="auto" w:fill="FFFFFF"/>
          </w:tcPr>
          <w:p w14:paraId="44AF8BF7" w14:textId="77777777" w:rsidR="004F5982" w:rsidRPr="00D55512" w:rsidRDefault="004F5982" w:rsidP="00487007">
            <w:pPr>
              <w:spacing w:after="120" w:line="240" w:lineRule="auto"/>
              <w:rPr>
                <w:rFonts w:ascii="Sylfaen" w:hAnsi="Sylfaen"/>
                <w:sz w:val="24"/>
                <w:szCs w:val="24"/>
              </w:rPr>
            </w:pPr>
          </w:p>
        </w:tc>
      </w:tr>
      <w:tr w:rsidR="004F5982" w:rsidRPr="00D55512" w14:paraId="70921B47" w14:textId="77777777" w:rsidTr="00487007">
        <w:tc>
          <w:tcPr>
            <w:tcW w:w="8240" w:type="dxa"/>
            <w:gridSpan w:val="2"/>
            <w:shd w:val="clear" w:color="auto" w:fill="FFFFFF"/>
            <w:vAlign w:val="center"/>
          </w:tcPr>
          <w:p w14:paraId="206FB3FB"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1.4. Ընթացակարգային ասպեկտները</w:t>
            </w:r>
          </w:p>
        </w:tc>
        <w:tc>
          <w:tcPr>
            <w:tcW w:w="1475" w:type="dxa"/>
            <w:gridSpan w:val="3"/>
            <w:shd w:val="clear" w:color="auto" w:fill="FFFFFF"/>
          </w:tcPr>
          <w:p w14:paraId="78585A6E" w14:textId="77777777" w:rsidR="004F5982" w:rsidRPr="00D55512" w:rsidRDefault="004F5982" w:rsidP="00487007">
            <w:pPr>
              <w:spacing w:after="120" w:line="240" w:lineRule="auto"/>
              <w:rPr>
                <w:rFonts w:ascii="Sylfaen" w:hAnsi="Sylfaen"/>
                <w:sz w:val="24"/>
                <w:szCs w:val="24"/>
              </w:rPr>
            </w:pPr>
          </w:p>
        </w:tc>
      </w:tr>
      <w:tr w:rsidR="004F5982" w:rsidRPr="00D55512" w14:paraId="5AB87159" w14:textId="77777777" w:rsidTr="00487007">
        <w:tc>
          <w:tcPr>
            <w:tcW w:w="9715" w:type="dxa"/>
            <w:gridSpan w:val="5"/>
            <w:shd w:val="clear" w:color="auto" w:fill="FFFFFF"/>
            <w:vAlign w:val="bottom"/>
          </w:tcPr>
          <w:p w14:paraId="302D739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Թեստավորման փուլերը, ներառյալ՝ փորձնական փուլը________________________</w:t>
            </w:r>
            <w:r w:rsidRPr="00B363F0">
              <w:rPr>
                <w:rStyle w:val="Bodytext295pt"/>
                <w:rFonts w:ascii="Sylfaen" w:eastAsiaTheme="minorHAnsi" w:hAnsi="Sylfaen"/>
                <w:b w:val="0"/>
                <w:spacing w:val="0"/>
                <w:sz w:val="24"/>
                <w:szCs w:val="24"/>
              </w:rPr>
              <w:t>_</w:t>
            </w:r>
            <w:r w:rsidRPr="00D55512">
              <w:rPr>
                <w:rStyle w:val="Bodytext295pt"/>
                <w:rFonts w:ascii="Sylfaen" w:eastAsiaTheme="minorHAnsi" w:hAnsi="Sylfaen"/>
                <w:b w:val="0"/>
                <w:spacing w:val="0"/>
                <w:sz w:val="24"/>
                <w:szCs w:val="24"/>
              </w:rPr>
              <w:t>__</w:t>
            </w:r>
          </w:p>
        </w:tc>
      </w:tr>
      <w:tr w:rsidR="004F5982" w:rsidRPr="00D55512" w14:paraId="0DBD9E19" w14:textId="77777777" w:rsidTr="00487007">
        <w:tc>
          <w:tcPr>
            <w:tcW w:w="9715" w:type="dxa"/>
            <w:gridSpan w:val="5"/>
            <w:shd w:val="clear" w:color="auto" w:fill="FFFFFF"/>
            <w:vAlign w:val="bottom"/>
          </w:tcPr>
          <w:p w14:paraId="70E14915"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w:t>
            </w:r>
            <w:r w:rsidRPr="00D55512">
              <w:rPr>
                <w:rStyle w:val="Bodytext295pt"/>
                <w:rFonts w:ascii="Sylfaen" w:eastAsiaTheme="minorHAnsi" w:hAnsi="Sylfaen"/>
                <w:b w:val="0"/>
                <w:spacing w:val="0"/>
                <w:sz w:val="24"/>
                <w:szCs w:val="24"/>
                <w:lang w:val="en-US"/>
              </w:rPr>
              <w:t>_</w:t>
            </w:r>
            <w:r w:rsidRPr="00D55512">
              <w:rPr>
                <w:rStyle w:val="Bodytext295pt"/>
                <w:rFonts w:ascii="Sylfaen" w:eastAsiaTheme="minorHAnsi" w:hAnsi="Sylfaen"/>
                <w:b w:val="0"/>
                <w:spacing w:val="0"/>
                <w:sz w:val="24"/>
                <w:szCs w:val="24"/>
              </w:rPr>
              <w:t>_</w:t>
            </w:r>
          </w:p>
        </w:tc>
      </w:tr>
      <w:tr w:rsidR="004F5982" w:rsidRPr="00D55512" w14:paraId="4F80212E" w14:textId="77777777" w:rsidTr="00487007">
        <w:tc>
          <w:tcPr>
            <w:tcW w:w="8240" w:type="dxa"/>
            <w:gridSpan w:val="2"/>
            <w:shd w:val="clear" w:color="auto" w:fill="FFFFFF"/>
            <w:vAlign w:val="center"/>
          </w:tcPr>
          <w:p w14:paraId="3E66D51D"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1.5. Հարցազրույցի ասպեկտները</w:t>
            </w:r>
          </w:p>
        </w:tc>
        <w:tc>
          <w:tcPr>
            <w:tcW w:w="1475" w:type="dxa"/>
            <w:gridSpan w:val="3"/>
            <w:shd w:val="clear" w:color="auto" w:fill="FFFFFF"/>
          </w:tcPr>
          <w:p w14:paraId="0A0A7D93" w14:textId="77777777" w:rsidR="004F5982" w:rsidRPr="00D55512" w:rsidRDefault="004F5982" w:rsidP="00487007">
            <w:pPr>
              <w:spacing w:after="120" w:line="240" w:lineRule="auto"/>
              <w:rPr>
                <w:rFonts w:ascii="Sylfaen" w:hAnsi="Sylfaen"/>
                <w:sz w:val="24"/>
                <w:szCs w:val="24"/>
              </w:rPr>
            </w:pPr>
          </w:p>
        </w:tc>
      </w:tr>
      <w:tr w:rsidR="004F5982" w:rsidRPr="00D55512" w14:paraId="276D6FB3" w14:textId="77777777" w:rsidTr="00487007">
        <w:tc>
          <w:tcPr>
            <w:tcW w:w="8240" w:type="dxa"/>
            <w:gridSpan w:val="2"/>
            <w:shd w:val="clear" w:color="auto" w:fill="FFFFFF"/>
            <w:vAlign w:val="center"/>
          </w:tcPr>
          <w:p w14:paraId="0185C512"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հարցազրույցն անց է կացվել կառուցվածքավորված (կազմակերպված) եղանակով:</w:t>
            </w:r>
          </w:p>
        </w:tc>
        <w:tc>
          <w:tcPr>
            <w:tcW w:w="1475" w:type="dxa"/>
            <w:gridSpan w:val="3"/>
            <w:shd w:val="clear" w:color="auto" w:fill="FFFFFF"/>
            <w:vAlign w:val="bottom"/>
          </w:tcPr>
          <w:p w14:paraId="03E5F179" w14:textId="77777777" w:rsidR="004F5982" w:rsidRPr="00D55512" w:rsidRDefault="004F5982" w:rsidP="00487007">
            <w:pPr>
              <w:spacing w:after="120" w:line="240" w:lineRule="auto"/>
              <w:ind w:left="-10"/>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689C0DD0" w14:textId="77777777" w:rsidTr="00487007">
        <w:tc>
          <w:tcPr>
            <w:tcW w:w="9715" w:type="dxa"/>
            <w:gridSpan w:val="5"/>
            <w:shd w:val="clear" w:color="auto" w:fill="FFFFFF"/>
            <w:vAlign w:val="bottom"/>
          </w:tcPr>
          <w:p w14:paraId="2C62E29B"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w:t>
            </w:r>
          </w:p>
        </w:tc>
      </w:tr>
      <w:tr w:rsidR="004F5982" w:rsidRPr="00D55512" w14:paraId="677A12C8" w14:textId="77777777" w:rsidTr="00487007">
        <w:tc>
          <w:tcPr>
            <w:tcW w:w="8240" w:type="dxa"/>
            <w:gridSpan w:val="2"/>
            <w:shd w:val="clear" w:color="auto" w:fill="FFFFFF"/>
            <w:vAlign w:val="center"/>
          </w:tcPr>
          <w:p w14:paraId="45CAE148"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 Պատասխանների գնահատումը</w:t>
            </w:r>
          </w:p>
        </w:tc>
        <w:tc>
          <w:tcPr>
            <w:tcW w:w="1475" w:type="dxa"/>
            <w:gridSpan w:val="3"/>
            <w:shd w:val="clear" w:color="auto" w:fill="FFFFFF"/>
          </w:tcPr>
          <w:p w14:paraId="13315AEE" w14:textId="77777777" w:rsidR="004F5982" w:rsidRPr="00D55512" w:rsidRDefault="004F5982" w:rsidP="00487007">
            <w:pPr>
              <w:spacing w:after="120" w:line="240" w:lineRule="auto"/>
              <w:rPr>
                <w:rFonts w:ascii="Sylfaen" w:hAnsi="Sylfaen"/>
                <w:sz w:val="24"/>
                <w:szCs w:val="24"/>
              </w:rPr>
            </w:pPr>
          </w:p>
        </w:tc>
      </w:tr>
      <w:tr w:rsidR="004F5982" w:rsidRPr="00D55512" w14:paraId="1826F2FF" w14:textId="77777777" w:rsidTr="00487007">
        <w:tc>
          <w:tcPr>
            <w:tcW w:w="8240" w:type="dxa"/>
            <w:gridSpan w:val="2"/>
            <w:shd w:val="clear" w:color="auto" w:fill="FFFFFF"/>
            <w:vAlign w:val="center"/>
          </w:tcPr>
          <w:p w14:paraId="512F76F2"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2.1. Գնահատման համակարգը</w:t>
            </w:r>
          </w:p>
        </w:tc>
        <w:tc>
          <w:tcPr>
            <w:tcW w:w="1475" w:type="dxa"/>
            <w:gridSpan w:val="3"/>
            <w:shd w:val="clear" w:color="auto" w:fill="FFFFFF"/>
          </w:tcPr>
          <w:p w14:paraId="24F2F829" w14:textId="77777777" w:rsidR="004F5982" w:rsidRPr="00D55512" w:rsidRDefault="004F5982" w:rsidP="00487007">
            <w:pPr>
              <w:spacing w:after="120" w:line="240" w:lineRule="auto"/>
              <w:rPr>
                <w:rFonts w:ascii="Sylfaen" w:hAnsi="Sylfaen"/>
                <w:sz w:val="24"/>
                <w:szCs w:val="24"/>
              </w:rPr>
            </w:pPr>
          </w:p>
        </w:tc>
      </w:tr>
      <w:tr w:rsidR="004F5982" w:rsidRPr="00D55512" w14:paraId="0E32372D" w14:textId="77777777" w:rsidTr="00487007">
        <w:trPr>
          <w:trHeight w:val="612"/>
        </w:trPr>
        <w:tc>
          <w:tcPr>
            <w:tcW w:w="8240" w:type="dxa"/>
            <w:gridSpan w:val="2"/>
            <w:vMerge w:val="restart"/>
            <w:shd w:val="clear" w:color="auto" w:fill="FFFFFF"/>
            <w:vAlign w:val="center"/>
          </w:tcPr>
          <w:p w14:paraId="2944D9A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պատասխանների որակական գնահատումն ընդունելի է։</w:t>
            </w:r>
          </w:p>
          <w:p w14:paraId="515EE4A3"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գնահատման մեթոդաբանությունը համապատասխանում է նվազագույն պահանջներին։</w:t>
            </w:r>
          </w:p>
        </w:tc>
        <w:tc>
          <w:tcPr>
            <w:tcW w:w="1475" w:type="dxa"/>
            <w:gridSpan w:val="3"/>
            <w:shd w:val="clear" w:color="auto" w:fill="FFFFFF"/>
          </w:tcPr>
          <w:p w14:paraId="40761C8D"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02F3DA83" w14:textId="77777777" w:rsidTr="00487007">
        <w:trPr>
          <w:trHeight w:val="870"/>
        </w:trPr>
        <w:tc>
          <w:tcPr>
            <w:tcW w:w="8240" w:type="dxa"/>
            <w:gridSpan w:val="2"/>
            <w:vMerge/>
            <w:shd w:val="clear" w:color="auto" w:fill="FFFFFF"/>
            <w:vAlign w:val="center"/>
          </w:tcPr>
          <w:p w14:paraId="377B66AE"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p>
        </w:tc>
        <w:tc>
          <w:tcPr>
            <w:tcW w:w="1475" w:type="dxa"/>
            <w:gridSpan w:val="3"/>
            <w:shd w:val="clear" w:color="auto" w:fill="FFFFFF"/>
          </w:tcPr>
          <w:p w14:paraId="141EF6EF"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413C0FB4" w14:textId="77777777" w:rsidTr="00487007">
        <w:tc>
          <w:tcPr>
            <w:tcW w:w="9715" w:type="dxa"/>
            <w:gridSpan w:val="5"/>
            <w:shd w:val="clear" w:color="auto" w:fill="FFFFFF"/>
            <w:vAlign w:val="bottom"/>
          </w:tcPr>
          <w:p w14:paraId="60128318"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w:t>
            </w:r>
            <w:r>
              <w:rPr>
                <w:rStyle w:val="Bodytext295pt"/>
                <w:rFonts w:ascii="Sylfaen" w:eastAsiaTheme="minorHAnsi" w:hAnsi="Sylfaen"/>
                <w:b w:val="0"/>
                <w:spacing w:val="0"/>
                <w:sz w:val="24"/>
                <w:szCs w:val="24"/>
              </w:rPr>
              <w:t>———————————————</w:t>
            </w:r>
          </w:p>
        </w:tc>
      </w:tr>
      <w:tr w:rsidR="004F5982" w:rsidRPr="00D55512" w14:paraId="6590D074" w14:textId="77777777" w:rsidTr="00487007">
        <w:tc>
          <w:tcPr>
            <w:tcW w:w="8240" w:type="dxa"/>
            <w:gridSpan w:val="2"/>
            <w:shd w:val="clear" w:color="auto" w:fill="FFFFFF"/>
          </w:tcPr>
          <w:p w14:paraId="38335105"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2.2. Հարցերի վարկանշային համակարգը</w:t>
            </w:r>
          </w:p>
        </w:tc>
        <w:tc>
          <w:tcPr>
            <w:tcW w:w="1475" w:type="dxa"/>
            <w:gridSpan w:val="3"/>
            <w:shd w:val="clear" w:color="auto" w:fill="FFFFFF"/>
          </w:tcPr>
          <w:p w14:paraId="23B8047C" w14:textId="77777777" w:rsidR="004F5982" w:rsidRPr="00D55512" w:rsidRDefault="004F5982" w:rsidP="00487007">
            <w:pPr>
              <w:spacing w:after="120" w:line="240" w:lineRule="auto"/>
              <w:rPr>
                <w:rFonts w:ascii="Sylfaen" w:hAnsi="Sylfaen"/>
                <w:sz w:val="24"/>
                <w:szCs w:val="24"/>
              </w:rPr>
            </w:pPr>
          </w:p>
        </w:tc>
      </w:tr>
      <w:tr w:rsidR="004F5982" w:rsidRPr="00D55512" w14:paraId="7D06F03A" w14:textId="77777777" w:rsidTr="00487007">
        <w:tc>
          <w:tcPr>
            <w:tcW w:w="8240" w:type="dxa"/>
            <w:gridSpan w:val="2"/>
            <w:shd w:val="clear" w:color="auto" w:fill="FFFFFF"/>
            <w:vAlign w:val="center"/>
          </w:tcPr>
          <w:p w14:paraId="7F99CFF3"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պատասխանների քանակական գնահատումն ընդունելի է:</w:t>
            </w:r>
          </w:p>
        </w:tc>
        <w:tc>
          <w:tcPr>
            <w:tcW w:w="1475" w:type="dxa"/>
            <w:gridSpan w:val="3"/>
            <w:shd w:val="clear" w:color="auto" w:fill="FFFFFF"/>
            <w:vAlign w:val="center"/>
          </w:tcPr>
          <w:p w14:paraId="4ACB8700"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0068D438" w14:textId="77777777" w:rsidTr="00487007">
        <w:tc>
          <w:tcPr>
            <w:tcW w:w="9715" w:type="dxa"/>
            <w:gridSpan w:val="5"/>
            <w:shd w:val="clear" w:color="auto" w:fill="FFFFFF"/>
            <w:vAlign w:val="bottom"/>
          </w:tcPr>
          <w:p w14:paraId="0E3ACA20"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w:t>
            </w:r>
            <w:r>
              <w:rPr>
                <w:rStyle w:val="Bodytext295pt"/>
                <w:rFonts w:ascii="Sylfaen" w:eastAsiaTheme="minorHAnsi" w:hAnsi="Sylfaen"/>
                <w:b w:val="0"/>
                <w:spacing w:val="0"/>
                <w:sz w:val="24"/>
                <w:szCs w:val="24"/>
                <w:lang w:val="en-US"/>
              </w:rPr>
              <w:t>__</w:t>
            </w:r>
            <w:r w:rsidRPr="00D55512">
              <w:rPr>
                <w:rStyle w:val="Bodytext295pt"/>
                <w:rFonts w:ascii="Sylfaen" w:eastAsiaTheme="minorHAnsi" w:hAnsi="Sylfaen"/>
                <w:b w:val="0"/>
                <w:spacing w:val="0"/>
                <w:sz w:val="24"/>
                <w:szCs w:val="24"/>
              </w:rPr>
              <w:t>_______</w:t>
            </w:r>
          </w:p>
        </w:tc>
      </w:tr>
      <w:tr w:rsidR="004F5982" w:rsidRPr="00D55512" w14:paraId="513E1C9E" w14:textId="77777777" w:rsidTr="00487007">
        <w:tc>
          <w:tcPr>
            <w:tcW w:w="8240" w:type="dxa"/>
            <w:gridSpan w:val="2"/>
            <w:shd w:val="clear" w:color="auto" w:fill="FFFFFF"/>
            <w:vAlign w:val="center"/>
          </w:tcPr>
          <w:p w14:paraId="50A20A5C"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3. Տվյալների մշակումը</w:t>
            </w:r>
          </w:p>
        </w:tc>
        <w:tc>
          <w:tcPr>
            <w:tcW w:w="1475" w:type="dxa"/>
            <w:gridSpan w:val="3"/>
            <w:shd w:val="clear" w:color="auto" w:fill="FFFFFF"/>
          </w:tcPr>
          <w:p w14:paraId="73745718" w14:textId="77777777" w:rsidR="004F5982" w:rsidRPr="00D55512" w:rsidRDefault="004F5982" w:rsidP="00487007">
            <w:pPr>
              <w:spacing w:after="120" w:line="240" w:lineRule="auto"/>
              <w:rPr>
                <w:rFonts w:ascii="Sylfaen" w:hAnsi="Sylfaen"/>
                <w:sz w:val="24"/>
                <w:szCs w:val="24"/>
              </w:rPr>
            </w:pPr>
          </w:p>
        </w:tc>
      </w:tr>
      <w:tr w:rsidR="004F5982" w:rsidRPr="00D55512" w14:paraId="5EC33026" w14:textId="77777777" w:rsidTr="00487007">
        <w:tc>
          <w:tcPr>
            <w:tcW w:w="8240" w:type="dxa"/>
            <w:gridSpan w:val="2"/>
            <w:shd w:val="clear" w:color="auto" w:fill="FFFFFF"/>
            <w:vAlign w:val="center"/>
          </w:tcPr>
          <w:p w14:paraId="56DCBEA0" w14:textId="77777777" w:rsidR="004F5982" w:rsidRPr="00D55512" w:rsidRDefault="004F5982" w:rsidP="00487007">
            <w:pPr>
              <w:spacing w:after="120" w:line="288" w:lineRule="auto"/>
              <w:ind w:right="591"/>
              <w:rPr>
                <w:rFonts w:ascii="Sylfaen" w:hAnsi="Sylfaen"/>
                <w:sz w:val="24"/>
                <w:szCs w:val="24"/>
              </w:rPr>
            </w:pPr>
            <w:r w:rsidRPr="00D55512">
              <w:rPr>
                <w:rStyle w:val="Bodytext295pt"/>
                <w:rFonts w:ascii="Sylfaen" w:eastAsiaTheme="minorHAnsi" w:hAnsi="Sylfaen"/>
                <w:b w:val="0"/>
                <w:spacing w:val="0"/>
                <w:sz w:val="24"/>
                <w:szCs w:val="24"/>
              </w:rPr>
              <w:t>Արդյո՞ք տվյալները պատշաճ ձ</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ով գրանցվում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w:t>
            </w:r>
            <w:r w:rsidRPr="00D55512">
              <w:rPr>
                <w:rStyle w:val="Bodytext295pt"/>
                <w:rFonts w:ascii="Sylfaen" w:eastAsiaTheme="minorHAnsi" w:hAnsi="Sylfaen"/>
                <w:b w:val="0"/>
                <w:spacing w:val="0"/>
                <w:sz w:val="24"/>
                <w:szCs w:val="24"/>
              </w:rPr>
              <w:lastRenderedPageBreak/>
              <w:t>փաստաթղթավորվում են:</w:t>
            </w:r>
          </w:p>
        </w:tc>
        <w:tc>
          <w:tcPr>
            <w:tcW w:w="1475" w:type="dxa"/>
            <w:gridSpan w:val="3"/>
            <w:shd w:val="clear" w:color="auto" w:fill="FFFFFF"/>
            <w:vAlign w:val="center"/>
          </w:tcPr>
          <w:p w14:paraId="6D89E92C"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lastRenderedPageBreak/>
              <w:t>□ այո □ ոչ</w:t>
            </w:r>
          </w:p>
        </w:tc>
      </w:tr>
      <w:tr w:rsidR="004F5982" w:rsidRPr="00D55512" w14:paraId="0442EE76" w14:textId="77777777" w:rsidTr="00487007">
        <w:tc>
          <w:tcPr>
            <w:tcW w:w="9715" w:type="dxa"/>
            <w:gridSpan w:val="5"/>
            <w:shd w:val="clear" w:color="auto" w:fill="FFFFFF"/>
            <w:vAlign w:val="bottom"/>
          </w:tcPr>
          <w:p w14:paraId="011B02B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տեղեկատվություն)______________________</w:t>
            </w:r>
            <w:r>
              <w:rPr>
                <w:rStyle w:val="Bodytext295pt"/>
                <w:rFonts w:ascii="Sylfaen" w:eastAsiaTheme="minorHAnsi" w:hAnsi="Sylfaen"/>
                <w:b w:val="0"/>
                <w:spacing w:val="0"/>
                <w:sz w:val="24"/>
                <w:szCs w:val="24"/>
                <w:lang w:val="en-US"/>
              </w:rPr>
              <w:t>___</w:t>
            </w:r>
            <w:r w:rsidRPr="00D55512">
              <w:rPr>
                <w:rStyle w:val="Bodytext295pt"/>
                <w:rFonts w:ascii="Sylfaen" w:eastAsiaTheme="minorHAnsi" w:hAnsi="Sylfaen"/>
                <w:b w:val="0"/>
                <w:spacing w:val="0"/>
                <w:sz w:val="24"/>
                <w:szCs w:val="24"/>
              </w:rPr>
              <w:t>_____</w:t>
            </w:r>
          </w:p>
        </w:tc>
      </w:tr>
      <w:tr w:rsidR="004F5982" w:rsidRPr="00D55512" w14:paraId="12834641" w14:textId="77777777" w:rsidTr="00487007">
        <w:tc>
          <w:tcPr>
            <w:tcW w:w="8240" w:type="dxa"/>
            <w:gridSpan w:val="2"/>
            <w:shd w:val="clear" w:color="auto" w:fill="FFFFFF"/>
            <w:vAlign w:val="center"/>
          </w:tcPr>
          <w:p w14:paraId="16C2D427"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4. Որակի ասպեկտները</w:t>
            </w:r>
          </w:p>
        </w:tc>
        <w:tc>
          <w:tcPr>
            <w:tcW w:w="1475" w:type="dxa"/>
            <w:gridSpan w:val="3"/>
            <w:shd w:val="clear" w:color="auto" w:fill="FFFFFF"/>
          </w:tcPr>
          <w:p w14:paraId="4B518C61" w14:textId="77777777" w:rsidR="004F5982" w:rsidRPr="00D55512" w:rsidRDefault="004F5982" w:rsidP="00487007">
            <w:pPr>
              <w:spacing w:after="120" w:line="288" w:lineRule="auto"/>
              <w:rPr>
                <w:rFonts w:ascii="Sylfaen" w:hAnsi="Sylfaen"/>
                <w:sz w:val="24"/>
                <w:szCs w:val="24"/>
              </w:rPr>
            </w:pPr>
          </w:p>
        </w:tc>
      </w:tr>
      <w:tr w:rsidR="004F5982" w:rsidRPr="00D55512" w14:paraId="60DDB0E0" w14:textId="77777777" w:rsidTr="00487007">
        <w:tc>
          <w:tcPr>
            <w:tcW w:w="8240" w:type="dxa"/>
            <w:gridSpan w:val="2"/>
            <w:shd w:val="clear" w:color="auto" w:fill="FFFFFF"/>
            <w:vAlign w:val="center"/>
          </w:tcPr>
          <w:p w14:paraId="512AEF93"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4.1. Ախտորոշման հարցերի գնահատումը</w:t>
            </w:r>
          </w:p>
        </w:tc>
        <w:tc>
          <w:tcPr>
            <w:tcW w:w="1475" w:type="dxa"/>
            <w:gridSpan w:val="3"/>
            <w:shd w:val="clear" w:color="auto" w:fill="FFFFFF"/>
          </w:tcPr>
          <w:p w14:paraId="7735AA93" w14:textId="77777777" w:rsidR="004F5982" w:rsidRPr="00D55512" w:rsidRDefault="004F5982" w:rsidP="00487007">
            <w:pPr>
              <w:spacing w:after="120" w:line="288" w:lineRule="auto"/>
              <w:rPr>
                <w:rFonts w:ascii="Sylfaen" w:hAnsi="Sylfaen"/>
                <w:sz w:val="24"/>
                <w:szCs w:val="24"/>
              </w:rPr>
            </w:pPr>
          </w:p>
        </w:tc>
      </w:tr>
      <w:tr w:rsidR="004F5982" w:rsidRPr="00D55512" w14:paraId="1A0A73AC" w14:textId="77777777" w:rsidTr="00487007">
        <w:tc>
          <w:tcPr>
            <w:tcW w:w="8240" w:type="dxa"/>
            <w:gridSpan w:val="2"/>
            <w:shd w:val="clear" w:color="auto" w:fill="FFFFFF"/>
            <w:vAlign w:val="center"/>
          </w:tcPr>
          <w:p w14:paraId="33D77BBC"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մեթոդաբանությունը համապատասխանում է Եվրասիական տնտեսական հանձնաժողովի կողմից հաստատվող Բժշկական կիրառման դեղապատրաստուկի ընդհանուր բնութագրին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բժշկական կիրառման հրահանգի (ներդիր թերթիկի) հավելվածին:</w:t>
            </w:r>
          </w:p>
          <w:p w14:paraId="6CB2A686"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Ընդհանուր առմամբ, արդյո՞ք յուրաքանչյուր հարց համապատասխանում է ճիշտ պատասխանների 81% չափորոշչին:</w:t>
            </w:r>
            <w:r w:rsidRPr="00D55512">
              <w:rPr>
                <w:rFonts w:ascii="Sylfaen" w:hAnsi="Sylfaen"/>
                <w:sz w:val="24"/>
                <w:szCs w:val="24"/>
              </w:rPr>
              <w:t xml:space="preserve"> </w:t>
            </w:r>
          </w:p>
        </w:tc>
        <w:tc>
          <w:tcPr>
            <w:tcW w:w="1475" w:type="dxa"/>
            <w:gridSpan w:val="3"/>
            <w:shd w:val="clear" w:color="auto" w:fill="FFFFFF"/>
            <w:vAlign w:val="bottom"/>
          </w:tcPr>
          <w:p w14:paraId="1CAB4A9C" w14:textId="77777777" w:rsidR="004F5982" w:rsidRPr="00D55512" w:rsidRDefault="004F5982" w:rsidP="00487007">
            <w:pPr>
              <w:spacing w:after="120" w:line="288" w:lineRule="auto"/>
              <w:ind w:left="-327"/>
              <w:jc w:val="center"/>
              <w:rPr>
                <w:rFonts w:ascii="Sylfaen" w:hAnsi="Sylfaen"/>
                <w:sz w:val="24"/>
                <w:szCs w:val="24"/>
              </w:rPr>
            </w:pPr>
            <w:r w:rsidRPr="00D55512">
              <w:rPr>
                <w:rFonts w:ascii="Sylfaen" w:hAnsi="Sylfaen"/>
                <w:sz w:val="24"/>
                <w:szCs w:val="24"/>
              </w:rPr>
              <w:t>□ այո □ ոչ</w:t>
            </w:r>
          </w:p>
          <w:p w14:paraId="7259F3BF" w14:textId="77777777" w:rsidR="004F5982" w:rsidRDefault="004F5982" w:rsidP="00487007">
            <w:pPr>
              <w:spacing w:after="120" w:line="288" w:lineRule="auto"/>
              <w:ind w:left="-327"/>
              <w:jc w:val="center"/>
              <w:rPr>
                <w:rFonts w:ascii="Sylfaen" w:hAnsi="Sylfaen"/>
                <w:sz w:val="24"/>
                <w:szCs w:val="24"/>
                <w:lang w:val="en-US"/>
              </w:rPr>
            </w:pPr>
          </w:p>
          <w:p w14:paraId="7FE8E59D" w14:textId="77777777" w:rsidR="004F5982" w:rsidRDefault="004F5982" w:rsidP="00487007">
            <w:pPr>
              <w:spacing w:after="120" w:line="288" w:lineRule="auto"/>
              <w:ind w:left="-327"/>
              <w:jc w:val="center"/>
              <w:rPr>
                <w:rFonts w:ascii="Sylfaen" w:hAnsi="Sylfaen"/>
                <w:sz w:val="24"/>
                <w:szCs w:val="24"/>
                <w:lang w:val="en-US"/>
              </w:rPr>
            </w:pPr>
          </w:p>
          <w:p w14:paraId="24BDA25C" w14:textId="77777777" w:rsidR="004F5982" w:rsidRPr="00B363F0" w:rsidRDefault="004F5982" w:rsidP="00487007">
            <w:pPr>
              <w:spacing w:after="120" w:line="288" w:lineRule="auto"/>
              <w:ind w:left="-327"/>
              <w:jc w:val="center"/>
              <w:rPr>
                <w:rFonts w:ascii="Sylfaen" w:hAnsi="Sylfaen"/>
                <w:sz w:val="24"/>
                <w:szCs w:val="24"/>
                <w:lang w:val="en-US"/>
              </w:rPr>
            </w:pPr>
            <w:r w:rsidRPr="00B363F0">
              <w:rPr>
                <w:rFonts w:ascii="Sylfaen" w:hAnsi="Sylfaen"/>
                <w:sz w:val="24"/>
                <w:szCs w:val="24"/>
              </w:rPr>
              <w:t>□ այո □ ոչ</w:t>
            </w:r>
          </w:p>
        </w:tc>
      </w:tr>
      <w:tr w:rsidR="004F5982" w:rsidRPr="00D55512" w14:paraId="27536B7A" w14:textId="77777777" w:rsidTr="00487007">
        <w:tc>
          <w:tcPr>
            <w:tcW w:w="9715" w:type="dxa"/>
            <w:gridSpan w:val="5"/>
            <w:shd w:val="clear" w:color="auto" w:fill="FFFFFF"/>
            <w:vAlign w:val="bottom"/>
          </w:tcPr>
          <w:p w14:paraId="1E04559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տեղեկատվություն)____________________________</w:t>
            </w:r>
          </w:p>
        </w:tc>
      </w:tr>
      <w:tr w:rsidR="004F5982" w:rsidRPr="00D55512" w14:paraId="5CBED82A" w14:textId="77777777" w:rsidTr="00487007">
        <w:tc>
          <w:tcPr>
            <w:tcW w:w="9715" w:type="dxa"/>
            <w:gridSpan w:val="5"/>
            <w:shd w:val="clear" w:color="auto" w:fill="FFFFFF"/>
            <w:vAlign w:val="center"/>
          </w:tcPr>
          <w:p w14:paraId="464EEBF4" w14:textId="77777777" w:rsidR="004F5982" w:rsidRPr="00D55512" w:rsidRDefault="004F5982" w:rsidP="00487007">
            <w:pPr>
              <w:spacing w:after="120" w:line="288" w:lineRule="auto"/>
              <w:ind w:left="542" w:right="676"/>
              <w:jc w:val="center"/>
              <w:rPr>
                <w:rFonts w:ascii="Sylfaen" w:hAnsi="Sylfaen"/>
                <w:sz w:val="24"/>
                <w:szCs w:val="24"/>
              </w:rPr>
            </w:pPr>
            <w:r w:rsidRPr="00D55512">
              <w:rPr>
                <w:rStyle w:val="Bodytext295pt"/>
                <w:rFonts w:ascii="Sylfaen" w:eastAsiaTheme="minorHAnsi" w:hAnsi="Sylfaen"/>
                <w:b w:val="0"/>
                <w:spacing w:val="0"/>
                <w:sz w:val="24"/>
                <w:szCs w:val="24"/>
              </w:rPr>
              <w:t xml:space="preserve">4.2. Մանրակերտի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բովանդակային պլանի գնահատումը</w:t>
            </w:r>
          </w:p>
        </w:tc>
      </w:tr>
      <w:tr w:rsidR="004F5982" w:rsidRPr="00D55512" w14:paraId="48FFB4CE" w14:textId="77777777" w:rsidTr="00487007">
        <w:tc>
          <w:tcPr>
            <w:tcW w:w="8240" w:type="dxa"/>
            <w:gridSpan w:val="2"/>
            <w:shd w:val="clear" w:color="auto" w:fill="FFFFFF"/>
            <w:vAlign w:val="center"/>
          </w:tcPr>
          <w:p w14:paraId="2077AC03"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պահպանվել են Եվրասիական տնտեսական հանձնաժողովի կողմից հաստատվող բժշկական կիրառման դեղապատրաստուկի ընդհանուր բնութագրին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բժշկական կիրառման հրահանգի (ներդիր</w:t>
            </w:r>
            <w:r w:rsidRPr="00B363F0">
              <w:rPr>
                <w:rStyle w:val="Bodytext295pt"/>
                <w:rFonts w:ascii="Sylfaen" w:eastAsiaTheme="minorHAnsi" w:hAnsi="Sylfaen"/>
                <w:b w:val="0"/>
                <w:spacing w:val="0"/>
                <w:sz w:val="24"/>
                <w:szCs w:val="24"/>
              </w:rPr>
              <w:t> </w:t>
            </w:r>
            <w:r w:rsidRPr="00D55512">
              <w:rPr>
                <w:rStyle w:val="Bodytext295pt"/>
                <w:rFonts w:ascii="Sylfaen" w:eastAsiaTheme="minorHAnsi" w:hAnsi="Sylfaen"/>
                <w:b w:val="0"/>
                <w:spacing w:val="0"/>
                <w:sz w:val="24"/>
                <w:szCs w:val="24"/>
              </w:rPr>
              <w:t>թերթիկին) հավելվածի համաձայն ներկայացված բովանդակային պլանի ընդհանուր սկզբունքները:</w:t>
            </w:r>
          </w:p>
          <w:p w14:paraId="2A0EA005"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տեքստը շարադրված է պացիենտներին հասկանալի լեզվով։</w:t>
            </w:r>
          </w:p>
          <w:p w14:paraId="0E1DAAC0"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հեշտ է կողմնորոշվել մանրակերտի միջոցով։</w:t>
            </w:r>
          </w:p>
          <w:p w14:paraId="232C2D7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ընդունելի է սխեմաների կիրառումը։</w:t>
            </w:r>
          </w:p>
        </w:tc>
        <w:tc>
          <w:tcPr>
            <w:tcW w:w="1475" w:type="dxa"/>
            <w:gridSpan w:val="3"/>
            <w:shd w:val="clear" w:color="auto" w:fill="FFFFFF"/>
            <w:vAlign w:val="bottom"/>
          </w:tcPr>
          <w:p w14:paraId="70D80989"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2AF2C388"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3E440E80"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53ED1306"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tc>
      </w:tr>
      <w:tr w:rsidR="004F5982" w:rsidRPr="00D55512" w14:paraId="5D347CAE" w14:textId="77777777" w:rsidTr="00487007">
        <w:tc>
          <w:tcPr>
            <w:tcW w:w="9715" w:type="dxa"/>
            <w:gridSpan w:val="5"/>
            <w:shd w:val="clear" w:color="auto" w:fill="FFFFFF"/>
            <w:vAlign w:val="bottom"/>
          </w:tcPr>
          <w:p w14:paraId="14C824B2"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______________________________</w:t>
            </w:r>
          </w:p>
        </w:tc>
      </w:tr>
      <w:tr w:rsidR="004F5982" w:rsidRPr="00D55512" w14:paraId="0497576C" w14:textId="77777777" w:rsidTr="00487007">
        <w:tc>
          <w:tcPr>
            <w:tcW w:w="8240" w:type="dxa"/>
            <w:gridSpan w:val="2"/>
            <w:shd w:val="clear" w:color="auto" w:fill="FFFFFF"/>
          </w:tcPr>
          <w:p w14:paraId="41A00C02"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5. Ախտորոշման/գնահատման որակը</w:t>
            </w:r>
          </w:p>
        </w:tc>
        <w:tc>
          <w:tcPr>
            <w:tcW w:w="1475" w:type="dxa"/>
            <w:gridSpan w:val="3"/>
            <w:shd w:val="clear" w:color="auto" w:fill="FFFFFF"/>
          </w:tcPr>
          <w:p w14:paraId="33F978AD" w14:textId="77777777" w:rsidR="004F5982" w:rsidRPr="00D55512" w:rsidRDefault="004F5982" w:rsidP="00487007">
            <w:pPr>
              <w:spacing w:after="120" w:line="288" w:lineRule="auto"/>
              <w:rPr>
                <w:rFonts w:ascii="Sylfaen" w:hAnsi="Sylfaen"/>
                <w:sz w:val="24"/>
                <w:szCs w:val="24"/>
              </w:rPr>
            </w:pPr>
          </w:p>
        </w:tc>
      </w:tr>
      <w:tr w:rsidR="004F5982" w:rsidRPr="00D55512" w14:paraId="63EB63E3" w14:textId="77777777" w:rsidTr="00487007">
        <w:tc>
          <w:tcPr>
            <w:tcW w:w="8240" w:type="dxa"/>
            <w:gridSpan w:val="2"/>
            <w:shd w:val="clear" w:color="auto" w:fill="FFFFFF"/>
            <w:vAlign w:val="center"/>
          </w:tcPr>
          <w:p w14:paraId="3D018428" w14:textId="4990565F" w:rsidR="004F5982" w:rsidRPr="00D55512" w:rsidRDefault="004F5982" w:rsidP="00487007">
            <w:pPr>
              <w:spacing w:after="120" w:line="288"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xml:space="preserve">Արդյո՞ք դեղանյութում </w:t>
            </w:r>
            <w:r w:rsidR="00FE4A71">
              <w:rPr>
                <w:rStyle w:val="Bodytext295pt"/>
                <w:rFonts w:ascii="Sylfaen" w:eastAsiaTheme="minorHAnsi" w:hAnsi="Sylfaen"/>
                <w:b w:val="0"/>
                <w:spacing w:val="0"/>
                <w:sz w:val="24"/>
                <w:szCs w:val="24"/>
              </w:rPr>
              <w:t xml:space="preserve">հայտնաբերվել </w:t>
            </w:r>
            <w:r w:rsidRPr="00D55512">
              <w:rPr>
                <w:rStyle w:val="Bodytext295pt"/>
                <w:rFonts w:ascii="Sylfaen" w:eastAsiaTheme="minorHAnsi" w:hAnsi="Sylfaen"/>
                <w:b w:val="0"/>
                <w:spacing w:val="0"/>
                <w:sz w:val="24"/>
                <w:szCs w:val="24"/>
              </w:rPr>
              <w:t xml:space="preserve"> են որ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է թույլ կողմեր:</w:t>
            </w:r>
          </w:p>
          <w:p w14:paraId="7E37B5AA"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թույլ կողմերը պատշաճ ձ</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ով վերացվել են:</w:t>
            </w:r>
          </w:p>
        </w:tc>
        <w:tc>
          <w:tcPr>
            <w:tcW w:w="1475" w:type="dxa"/>
            <w:gridSpan w:val="3"/>
            <w:shd w:val="clear" w:color="auto" w:fill="FFFFFF"/>
            <w:vAlign w:val="center"/>
          </w:tcPr>
          <w:p w14:paraId="3A41315F"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720FD1AA"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tc>
      </w:tr>
      <w:tr w:rsidR="004F5982" w:rsidRPr="00D55512" w14:paraId="0AF4CC40" w14:textId="77777777" w:rsidTr="00487007">
        <w:tc>
          <w:tcPr>
            <w:tcW w:w="9715" w:type="dxa"/>
            <w:gridSpan w:val="5"/>
            <w:shd w:val="clear" w:color="auto" w:fill="FFFFFF"/>
            <w:vAlign w:val="bottom"/>
          </w:tcPr>
          <w:p w14:paraId="5863E27D" w14:textId="77777777" w:rsidR="004F5982" w:rsidRPr="00D55512" w:rsidRDefault="004F5982" w:rsidP="00487007">
            <w:pPr>
              <w:spacing w:after="120" w:line="288" w:lineRule="auto"/>
              <w:rPr>
                <w:rFonts w:ascii="Sylfaen" w:hAnsi="Sylfaen"/>
                <w:sz w:val="24"/>
                <w:szCs w:val="24"/>
                <w:lang w:val="en-US"/>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_______________________________</w:t>
            </w:r>
          </w:p>
        </w:tc>
      </w:tr>
      <w:tr w:rsidR="004F5982" w:rsidRPr="00D55512" w14:paraId="23FBE653" w14:textId="77777777" w:rsidTr="00487007">
        <w:tc>
          <w:tcPr>
            <w:tcW w:w="7909" w:type="dxa"/>
            <w:shd w:val="clear" w:color="auto" w:fill="FFFFFF"/>
            <w:vAlign w:val="center"/>
          </w:tcPr>
          <w:p w14:paraId="6C4C69DF"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6. Եզրակացությունը</w:t>
            </w:r>
          </w:p>
        </w:tc>
        <w:tc>
          <w:tcPr>
            <w:tcW w:w="1806" w:type="dxa"/>
            <w:gridSpan w:val="4"/>
            <w:tcBorders>
              <w:top w:val="single" w:sz="4" w:space="0" w:color="auto"/>
            </w:tcBorders>
            <w:shd w:val="clear" w:color="auto" w:fill="FFFFFF"/>
          </w:tcPr>
          <w:p w14:paraId="4A8679CF" w14:textId="77777777" w:rsidR="004F5982" w:rsidRPr="00D55512" w:rsidRDefault="004F5982" w:rsidP="00487007">
            <w:pPr>
              <w:spacing w:after="120" w:line="288" w:lineRule="auto"/>
              <w:rPr>
                <w:rFonts w:ascii="Sylfaen" w:hAnsi="Sylfaen"/>
                <w:sz w:val="24"/>
                <w:szCs w:val="24"/>
              </w:rPr>
            </w:pPr>
          </w:p>
        </w:tc>
      </w:tr>
      <w:tr w:rsidR="004F5982" w:rsidRPr="00D55512" w14:paraId="75359ADE" w14:textId="77777777" w:rsidTr="00487007">
        <w:trPr>
          <w:trHeight w:val="80"/>
        </w:trPr>
        <w:tc>
          <w:tcPr>
            <w:tcW w:w="7909" w:type="dxa"/>
            <w:shd w:val="clear" w:color="auto" w:fill="FFFFFF"/>
          </w:tcPr>
          <w:p w14:paraId="11BFB5C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լուծվել են օգտատերերի թեստավորման գլխավոր խնդիրները։</w:t>
            </w:r>
          </w:p>
          <w:p w14:paraId="02AC580D" w14:textId="6B3E44B8"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w:t>
            </w:r>
            <w:r w:rsidR="0056496B">
              <w:rPr>
                <w:rStyle w:val="Bodytext295pt"/>
                <w:rFonts w:ascii="Sylfaen" w:eastAsiaTheme="minorHAnsi" w:hAnsi="Sylfaen"/>
                <w:b w:val="0"/>
                <w:spacing w:val="0"/>
                <w:sz w:val="24"/>
                <w:szCs w:val="24"/>
              </w:rPr>
              <w:t>դիմումատու</w:t>
            </w:r>
            <w:r w:rsidRPr="00D55512">
              <w:rPr>
                <w:rStyle w:val="Bodytext295pt"/>
                <w:rFonts w:ascii="Sylfaen" w:eastAsiaTheme="minorHAnsi" w:hAnsi="Sylfaen"/>
                <w:b w:val="0"/>
                <w:spacing w:val="0"/>
                <w:sz w:val="24"/>
                <w:szCs w:val="24"/>
              </w:rPr>
              <w:t>ի եզրակացությունը ճիշտ է։</w:t>
            </w:r>
          </w:p>
          <w:p w14:paraId="28BAA146"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Մեթոդաբանության ընդհանուր գնահատականը</w:t>
            </w:r>
          </w:p>
          <w:p w14:paraId="1AC9B6E7" w14:textId="77777777" w:rsidR="004F5982" w:rsidRPr="001436BD" w:rsidRDefault="004F5982" w:rsidP="00487007">
            <w:pPr>
              <w:spacing w:after="120" w:line="288" w:lineRule="auto"/>
              <w:rPr>
                <w:rStyle w:val="Bodytext295pt"/>
                <w:rFonts w:ascii="Sylfaen" w:eastAsiaTheme="minorHAnsi" w:hAnsi="Sylfaen"/>
                <w:b w:val="0"/>
                <w:spacing w:val="0"/>
                <w:sz w:val="24"/>
                <w:szCs w:val="24"/>
              </w:rPr>
            </w:pPr>
          </w:p>
          <w:p w14:paraId="477A7670" w14:textId="77777777" w:rsidR="004F5982" w:rsidRPr="001436BD" w:rsidRDefault="004F5982" w:rsidP="00487007">
            <w:pPr>
              <w:spacing w:after="120" w:line="288" w:lineRule="auto"/>
              <w:rPr>
                <w:rFonts w:ascii="Sylfaen" w:hAnsi="Sylfaen" w:cs="Times New Roman"/>
                <w:bCs/>
                <w:color w:val="000000"/>
                <w:sz w:val="24"/>
                <w:szCs w:val="24"/>
              </w:rPr>
            </w:pPr>
            <w:r w:rsidRPr="00D55512">
              <w:rPr>
                <w:rStyle w:val="Bodytext295pt"/>
                <w:rFonts w:ascii="Sylfaen" w:eastAsiaTheme="minorHAnsi" w:hAnsi="Sylfaen"/>
                <w:b w:val="0"/>
                <w:spacing w:val="0"/>
                <w:sz w:val="24"/>
                <w:szCs w:val="24"/>
              </w:rPr>
              <w:t>Ներդիր-թերթիկի կառուցվածքի ընդհանուր գնահատականը</w:t>
            </w:r>
          </w:p>
        </w:tc>
        <w:tc>
          <w:tcPr>
            <w:tcW w:w="1806" w:type="dxa"/>
            <w:gridSpan w:val="4"/>
            <w:shd w:val="clear" w:color="auto" w:fill="FFFFFF"/>
            <w:vAlign w:val="bottom"/>
          </w:tcPr>
          <w:p w14:paraId="401E7B35"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lastRenderedPageBreak/>
              <w:t>□ այո □ ոչ</w:t>
            </w:r>
          </w:p>
          <w:p w14:paraId="6C6975E5"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24DCC3A3"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դրական</w:t>
            </w:r>
          </w:p>
          <w:p w14:paraId="4449F7FE" w14:textId="77777777" w:rsidR="004F5982" w:rsidRPr="0026017F" w:rsidRDefault="004F5982" w:rsidP="00487007">
            <w:pPr>
              <w:spacing w:after="120" w:line="288" w:lineRule="auto"/>
              <w:rPr>
                <w:rFonts w:ascii="Sylfaen" w:hAnsi="Sylfaen"/>
                <w:sz w:val="24"/>
                <w:szCs w:val="24"/>
              </w:rPr>
            </w:pPr>
            <w:r w:rsidRPr="0026017F">
              <w:rPr>
                <w:rFonts w:ascii="Sylfaen" w:hAnsi="Sylfaen"/>
                <w:sz w:val="24"/>
                <w:szCs w:val="24"/>
              </w:rPr>
              <w:lastRenderedPageBreak/>
              <w:t xml:space="preserve">□ </w:t>
            </w:r>
            <w:r w:rsidRPr="0026017F">
              <w:rPr>
                <w:rStyle w:val="Bodytext295pt"/>
                <w:rFonts w:ascii="Sylfaen" w:eastAsiaTheme="minorHAnsi" w:hAnsi="Sylfaen"/>
                <w:b w:val="0"/>
                <w:spacing w:val="0"/>
                <w:sz w:val="24"/>
                <w:szCs w:val="24"/>
              </w:rPr>
              <w:t>բացասական</w:t>
            </w:r>
          </w:p>
          <w:p w14:paraId="64BB9274" w14:textId="77777777" w:rsidR="004F5982" w:rsidRPr="0026017F" w:rsidRDefault="004F5982" w:rsidP="00487007">
            <w:pPr>
              <w:spacing w:after="120" w:line="288" w:lineRule="auto"/>
              <w:ind w:right="14"/>
              <w:rPr>
                <w:rFonts w:ascii="Sylfaen" w:hAnsi="Sylfaen"/>
                <w:sz w:val="24"/>
                <w:szCs w:val="24"/>
              </w:rPr>
            </w:pPr>
            <w:r w:rsidRPr="0026017F">
              <w:rPr>
                <w:rFonts w:ascii="Sylfaen" w:hAnsi="Sylfaen"/>
                <w:sz w:val="24"/>
                <w:szCs w:val="24"/>
              </w:rPr>
              <w:t xml:space="preserve">□ </w:t>
            </w:r>
            <w:r w:rsidRPr="0026017F">
              <w:rPr>
                <w:rStyle w:val="Bodytext295pt"/>
                <w:rFonts w:ascii="Sylfaen" w:eastAsiaTheme="minorHAnsi" w:hAnsi="Sylfaen"/>
                <w:b w:val="0"/>
                <w:spacing w:val="0"/>
                <w:sz w:val="24"/>
                <w:szCs w:val="24"/>
              </w:rPr>
              <w:t>դրական</w:t>
            </w:r>
          </w:p>
          <w:p w14:paraId="0AEE5B6A" w14:textId="77777777" w:rsidR="004F5982" w:rsidRPr="0026017F" w:rsidRDefault="004F5982" w:rsidP="00487007">
            <w:pPr>
              <w:spacing w:after="120" w:line="288" w:lineRule="auto"/>
              <w:ind w:right="14"/>
              <w:rPr>
                <w:rFonts w:ascii="Sylfaen" w:hAnsi="Sylfaen"/>
                <w:spacing w:val="-20"/>
                <w:sz w:val="24"/>
                <w:szCs w:val="24"/>
              </w:rPr>
            </w:pPr>
            <w:r w:rsidRPr="0026017F">
              <w:rPr>
                <w:rFonts w:ascii="Sylfaen" w:hAnsi="Sylfaen"/>
                <w:sz w:val="24"/>
                <w:szCs w:val="24"/>
              </w:rPr>
              <w:t xml:space="preserve">□ </w:t>
            </w:r>
            <w:r w:rsidRPr="0026017F">
              <w:rPr>
                <w:rStyle w:val="Bodytext295pt"/>
                <w:rFonts w:ascii="Sylfaen" w:eastAsiaTheme="minorHAnsi" w:hAnsi="Sylfaen"/>
                <w:b w:val="0"/>
                <w:spacing w:val="0"/>
                <w:sz w:val="24"/>
                <w:szCs w:val="24"/>
              </w:rPr>
              <w:t>բացասական</w:t>
            </w:r>
          </w:p>
        </w:tc>
      </w:tr>
    </w:tbl>
    <w:p w14:paraId="24831AAE" w14:textId="77777777" w:rsidR="004F5982" w:rsidRDefault="004F5982" w:rsidP="00487007">
      <w:pPr>
        <w:pStyle w:val="Tablecaption20"/>
        <w:shd w:val="clear" w:color="auto" w:fill="auto"/>
        <w:spacing w:after="120" w:line="288" w:lineRule="auto"/>
        <w:ind w:left="567" w:right="565"/>
        <w:jc w:val="center"/>
        <w:rPr>
          <w:rFonts w:ascii="Sylfaen" w:hAnsi="Sylfaen"/>
          <w:b w:val="0"/>
          <w:color w:val="000000"/>
          <w:sz w:val="24"/>
          <w:szCs w:val="24"/>
        </w:rPr>
      </w:pPr>
      <w:r w:rsidRPr="00D55512">
        <w:rPr>
          <w:rFonts w:ascii="Sylfaen" w:hAnsi="Sylfaen"/>
          <w:b w:val="0"/>
          <w:color w:val="000000"/>
          <w:sz w:val="24"/>
          <w:szCs w:val="24"/>
        </w:rPr>
        <w:lastRenderedPageBreak/>
        <w:t>Եզրակացությունը (ռեզյումեն)</w:t>
      </w:r>
    </w:p>
    <w:p w14:paraId="54A34B91" w14:textId="77777777" w:rsidR="004F5982" w:rsidRPr="00D55512" w:rsidRDefault="004F5982" w:rsidP="004F5982">
      <w:pPr>
        <w:pStyle w:val="Tablecaption20"/>
        <w:shd w:val="clear" w:color="auto" w:fill="auto"/>
        <w:spacing w:line="240" w:lineRule="auto"/>
        <w:ind w:left="567" w:right="567"/>
        <w:jc w:val="center"/>
        <w:rPr>
          <w:rFonts w:ascii="Sylfaen" w:hAnsi="Sylfaen"/>
          <w:b w:val="0"/>
          <w:sz w:val="24"/>
          <w:szCs w:val="24"/>
        </w:rPr>
      </w:pPr>
      <w:r>
        <w:rPr>
          <w:rFonts w:ascii="Sylfaen" w:hAnsi="Sylfaen"/>
          <w:b w:val="0"/>
          <w:color w:val="000000"/>
          <w:sz w:val="24"/>
          <w:szCs w:val="24"/>
        </w:rPr>
        <w:t>__________________</w:t>
      </w:r>
    </w:p>
    <w:p w14:paraId="1796E906" w14:textId="77777777" w:rsidR="004F5982" w:rsidRDefault="004F5982" w:rsidP="004F5982">
      <w:pPr>
        <w:spacing w:after="160" w:line="360" w:lineRule="auto"/>
        <w:rPr>
          <w:rFonts w:ascii="Sylfaen" w:eastAsia="Times New Roman" w:hAnsi="Sylfaen" w:cs="Times New Roman"/>
          <w:sz w:val="24"/>
          <w:szCs w:val="24"/>
          <w:lang w:val="en-US"/>
        </w:rPr>
      </w:pPr>
    </w:p>
    <w:p w14:paraId="13763B83" w14:textId="77777777" w:rsidR="00487007" w:rsidRDefault="00487007" w:rsidP="004F5982">
      <w:pPr>
        <w:spacing w:after="160" w:line="360" w:lineRule="auto"/>
        <w:ind w:left="3969" w:right="-2"/>
        <w:jc w:val="center"/>
        <w:rPr>
          <w:rFonts w:ascii="Sylfaen" w:hAnsi="Sylfaen"/>
          <w:sz w:val="24"/>
          <w:szCs w:val="24"/>
        </w:rPr>
        <w:sectPr w:rsidR="00487007" w:rsidSect="00C31D56">
          <w:pgSz w:w="11906" w:h="16838" w:code="9"/>
          <w:pgMar w:top="1418" w:right="1418" w:bottom="1418" w:left="1418" w:header="709" w:footer="709" w:gutter="0"/>
          <w:pgNumType w:start="1"/>
          <w:cols w:space="708"/>
          <w:titlePg/>
          <w:docGrid w:linePitch="360"/>
        </w:sectPr>
      </w:pPr>
    </w:p>
    <w:p w14:paraId="39D5CA23" w14:textId="77777777" w:rsidR="004F5982" w:rsidRPr="00826F05" w:rsidRDefault="004F5982" w:rsidP="00487007">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lastRenderedPageBreak/>
        <w:t>ՀԱՎԵԼՎԱԾ ԹԻՎ 22</w:t>
      </w:r>
    </w:p>
    <w:p w14:paraId="59B8675F" w14:textId="77777777" w:rsidR="004F5982" w:rsidRPr="00826F05" w:rsidRDefault="004F5982" w:rsidP="00487007">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12628C5E" w14:textId="77777777" w:rsidR="004F5982" w:rsidRPr="002618FA" w:rsidRDefault="004F5982" w:rsidP="00487007">
      <w:pPr>
        <w:spacing w:after="160" w:line="360" w:lineRule="auto"/>
        <w:ind w:left="567" w:right="565"/>
        <w:jc w:val="center"/>
        <w:rPr>
          <w:rFonts w:ascii="Sylfaen" w:hAnsi="Sylfaen"/>
          <w:sz w:val="24"/>
          <w:szCs w:val="24"/>
        </w:rPr>
      </w:pPr>
    </w:p>
    <w:p w14:paraId="69AFB85B" w14:textId="77777777" w:rsidR="004F5982" w:rsidRPr="00487007" w:rsidRDefault="004F5982" w:rsidP="00487007">
      <w:pPr>
        <w:spacing w:after="160" w:line="360" w:lineRule="auto"/>
        <w:ind w:left="567" w:right="565"/>
        <w:jc w:val="center"/>
        <w:rPr>
          <w:rFonts w:ascii="Sylfaen" w:eastAsia="Times New Roman" w:hAnsi="Sylfaen" w:cs="Times New Roman"/>
          <w:b/>
          <w:sz w:val="24"/>
          <w:szCs w:val="24"/>
        </w:rPr>
      </w:pPr>
      <w:r w:rsidRPr="00487007">
        <w:rPr>
          <w:rFonts w:ascii="Sylfaen" w:hAnsi="Sylfaen"/>
          <w:b/>
          <w:sz w:val="24"/>
          <w:szCs w:val="24"/>
        </w:rPr>
        <w:t>Ձ</w:t>
      </w:r>
      <w:r w:rsidR="00C54D75">
        <w:rPr>
          <w:rFonts w:ascii="Sylfaen" w:hAnsi="Sylfaen"/>
          <w:b/>
          <w:sz w:val="24"/>
          <w:szCs w:val="24"/>
        </w:rPr>
        <w:t>և</w:t>
      </w:r>
    </w:p>
    <w:p w14:paraId="15405C78" w14:textId="47E03C8B" w:rsidR="004F5982" w:rsidRDefault="004F5982" w:rsidP="00487007">
      <w:pPr>
        <w:spacing w:after="160" w:line="360" w:lineRule="auto"/>
        <w:ind w:left="567" w:right="565"/>
        <w:jc w:val="center"/>
        <w:rPr>
          <w:rFonts w:ascii="Sylfaen" w:hAnsi="Sylfaen"/>
          <w:b/>
          <w:sz w:val="24"/>
          <w:szCs w:val="24"/>
        </w:rPr>
      </w:pPr>
      <w:r w:rsidRPr="00826F05">
        <w:rPr>
          <w:rFonts w:ascii="Sylfaen" w:hAnsi="Sylfaen"/>
          <w:b/>
          <w:sz w:val="24"/>
          <w:szCs w:val="24"/>
        </w:rPr>
        <w:t xml:space="preserve">վերարտադրված </w:t>
      </w:r>
      <w:r w:rsidR="0067432A" w:rsidRPr="0067432A">
        <w:rPr>
          <w:rFonts w:ascii="Sylfaen" w:hAnsi="Sylfaen"/>
          <w:b/>
          <w:sz w:val="24"/>
          <w:szCs w:val="24"/>
        </w:rPr>
        <w:t>կամ հիբրիդային</w:t>
      </w:r>
      <w:r w:rsidR="0067432A">
        <w:rPr>
          <w:rFonts w:ascii="Sylfaen" w:hAnsi="Sylfaen"/>
          <w:b/>
          <w:sz w:val="24"/>
          <w:szCs w:val="24"/>
        </w:rPr>
        <w:t xml:space="preserve"> </w:t>
      </w:r>
      <w:r w:rsidRPr="00826F05">
        <w:rPr>
          <w:rFonts w:ascii="Sylfaen" w:hAnsi="Sylfaen"/>
          <w:b/>
          <w:sz w:val="24"/>
          <w:szCs w:val="24"/>
        </w:rPr>
        <w:t xml:space="preserve">դեղամիջոցների նախակլինիկական </w:t>
      </w:r>
      <w:r w:rsidR="00C54D75">
        <w:rPr>
          <w:rFonts w:ascii="Sylfaen" w:hAnsi="Sylfaen"/>
          <w:b/>
          <w:sz w:val="24"/>
          <w:szCs w:val="24"/>
        </w:rPr>
        <w:t>և</w:t>
      </w:r>
      <w:r w:rsidRPr="00826F05">
        <w:rPr>
          <w:rFonts w:ascii="Sylfaen" w:hAnsi="Sylfaen"/>
          <w:b/>
          <w:sz w:val="24"/>
          <w:szCs w:val="24"/>
        </w:rPr>
        <w:t xml:space="preserve"> կլինիկական ասպեկտների արդյունքների գնահատման վերաբերյալ փորձագիտական հաշվետվության</w:t>
      </w:r>
    </w:p>
    <w:p w14:paraId="007F7CA9" w14:textId="4DDF4702" w:rsidR="0067432A" w:rsidRPr="0067432A" w:rsidRDefault="0067432A" w:rsidP="00487007">
      <w:pPr>
        <w:spacing w:after="160" w:line="360" w:lineRule="auto"/>
        <w:ind w:left="567" w:right="565"/>
        <w:jc w:val="center"/>
        <w:rPr>
          <w:rFonts w:ascii="Sylfaen" w:eastAsia="Times New Roman" w:hAnsi="Sylfaen" w:cs="Times New Roman"/>
          <w:i/>
          <w:iCs/>
          <w:sz w:val="24"/>
          <w:szCs w:val="24"/>
        </w:rPr>
      </w:pPr>
      <w:r w:rsidRPr="000F26D8">
        <w:rPr>
          <w:rFonts w:ascii="Sylfaen" w:hAnsi="Sylfaen"/>
          <w:b/>
          <w:i/>
          <w:iCs/>
          <w:sz w:val="24"/>
          <w:szCs w:val="24"/>
        </w:rPr>
        <w:t xml:space="preserve">( </w:t>
      </w:r>
      <w:r w:rsidRPr="0067432A">
        <w:rPr>
          <w:rFonts w:ascii="Sylfaen" w:hAnsi="Sylfaen"/>
          <w:b/>
          <w:i/>
          <w:iCs/>
          <w:sz w:val="24"/>
          <w:szCs w:val="24"/>
        </w:rPr>
        <w:t>վերնագիրը լրաց. 05.03.21 թիվ 14</w:t>
      </w:r>
      <w:r w:rsidRPr="000F26D8">
        <w:rPr>
          <w:rFonts w:ascii="Sylfaen" w:hAnsi="Sylfaen"/>
          <w:b/>
          <w:i/>
          <w:iCs/>
          <w:sz w:val="24"/>
          <w:szCs w:val="24"/>
        </w:rPr>
        <w:t>)</w:t>
      </w:r>
    </w:p>
    <w:p w14:paraId="6128202A" w14:textId="77777777" w:rsidR="004F5982" w:rsidRPr="00826F05" w:rsidRDefault="004F5982" w:rsidP="00487007">
      <w:pPr>
        <w:spacing w:after="160" w:line="360" w:lineRule="auto"/>
        <w:ind w:firstLine="567"/>
        <w:jc w:val="both"/>
        <w:rPr>
          <w:rFonts w:ascii="Sylfaen" w:hAnsi="Sylfaen"/>
          <w:sz w:val="24"/>
          <w:szCs w:val="24"/>
        </w:rPr>
      </w:pPr>
    </w:p>
    <w:p w14:paraId="5B66CA6A" w14:textId="77777777" w:rsidR="004F5982" w:rsidRPr="00826F05" w:rsidRDefault="004F5982" w:rsidP="00487007">
      <w:pPr>
        <w:tabs>
          <w:tab w:val="left" w:pos="9071"/>
        </w:tabs>
        <w:spacing w:after="160" w:line="336" w:lineRule="auto"/>
        <w:ind w:right="-2" w:firstLine="567"/>
        <w:jc w:val="both"/>
        <w:rPr>
          <w:rFonts w:ascii="Sylfaen" w:eastAsia="Times New Roman" w:hAnsi="Sylfaen" w:cs="Times New Roman"/>
          <w:sz w:val="24"/>
          <w:szCs w:val="24"/>
        </w:rPr>
      </w:pPr>
      <w:r w:rsidRPr="00826F05">
        <w:rPr>
          <w:rFonts w:ascii="Sylfaen" w:hAnsi="Sylfaen"/>
          <w:sz w:val="24"/>
          <w:szCs w:val="24"/>
        </w:rPr>
        <w:t>Լրացման ցուցումներ. տեքստի պատրաստի ձ</w:t>
      </w:r>
      <w:r w:rsidR="00C54D75">
        <w:rPr>
          <w:rFonts w:ascii="Sylfaen" w:hAnsi="Sylfaen"/>
          <w:sz w:val="24"/>
          <w:szCs w:val="24"/>
        </w:rPr>
        <w:t>և</w:t>
      </w:r>
      <w:r w:rsidRPr="00826F05">
        <w:rPr>
          <w:rFonts w:ascii="Sylfaen" w:hAnsi="Sylfaen"/>
          <w:sz w:val="24"/>
          <w:szCs w:val="24"/>
        </w:rPr>
        <w:t>անմուշներ օգտագործելիս դրանք սույն ձ</w:t>
      </w:r>
      <w:r w:rsidR="00C54D75">
        <w:rPr>
          <w:rFonts w:ascii="Sylfaen" w:hAnsi="Sylfaen"/>
          <w:sz w:val="24"/>
          <w:szCs w:val="24"/>
        </w:rPr>
        <w:t>և</w:t>
      </w:r>
      <w:r w:rsidRPr="00826F05">
        <w:rPr>
          <w:rFonts w:ascii="Sylfaen" w:hAnsi="Sylfaen"/>
          <w:sz w:val="24"/>
          <w:szCs w:val="24"/>
        </w:rPr>
        <w:t xml:space="preserve">ում առանձնացված են &lt; &gt; նշաններով </w:t>
      </w:r>
      <w:r w:rsidR="00C54D75">
        <w:rPr>
          <w:rFonts w:ascii="Sylfaen" w:hAnsi="Sylfaen"/>
          <w:sz w:val="24"/>
          <w:szCs w:val="24"/>
        </w:rPr>
        <w:t>և</w:t>
      </w:r>
      <w:r w:rsidRPr="00826F05">
        <w:rPr>
          <w:rFonts w:ascii="Sylfaen" w:hAnsi="Sylfaen"/>
          <w:sz w:val="24"/>
          <w:szCs w:val="24"/>
        </w:rPr>
        <w:t xml:space="preserve"> շեղատառերով. տեքստի ձ</w:t>
      </w:r>
      <w:r w:rsidR="00C54D75">
        <w:rPr>
          <w:rFonts w:ascii="Sylfaen" w:hAnsi="Sylfaen"/>
          <w:sz w:val="24"/>
          <w:szCs w:val="24"/>
        </w:rPr>
        <w:t>և</w:t>
      </w:r>
      <w:r w:rsidRPr="00826F05">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826F05">
        <w:rPr>
          <w:rFonts w:ascii="Sylfaen" w:hAnsi="Sylfaen"/>
          <w:sz w:val="24"/>
          <w:szCs w:val="24"/>
        </w:rPr>
        <w:t>ավոր փակագծերի մեջ { }՝ նշելով այն հատկությունը (պարամետրը), որն անհրաժեշտ է ներմուծել շեղատառերով. բացատրությունները տրված են շեղատառերով՝ քառակուսի փակագծերում [ ]։</w:t>
      </w:r>
    </w:p>
    <w:p w14:paraId="11703893" w14:textId="77777777" w:rsidR="004F5982" w:rsidRPr="00826F05" w:rsidRDefault="004F5982" w:rsidP="00487007">
      <w:pPr>
        <w:spacing w:after="160" w:line="336" w:lineRule="auto"/>
        <w:jc w:val="both"/>
        <w:rPr>
          <w:rFonts w:ascii="Sylfaen" w:hAnsi="Sylfaen"/>
          <w:sz w:val="24"/>
          <w:szCs w:val="24"/>
        </w:rPr>
      </w:pPr>
    </w:p>
    <w:p w14:paraId="193720BE" w14:textId="77777777" w:rsidR="004F5982" w:rsidRPr="00826F05" w:rsidRDefault="004F5982" w:rsidP="00487007">
      <w:pPr>
        <w:spacing w:after="160" w:line="360" w:lineRule="auto"/>
        <w:ind w:right="-2"/>
        <w:jc w:val="right"/>
        <w:rPr>
          <w:rFonts w:ascii="Sylfaen" w:eastAsia="Times New Roman" w:hAnsi="Sylfaen" w:cs="Times New Roman"/>
          <w:sz w:val="24"/>
          <w:szCs w:val="24"/>
        </w:rPr>
      </w:pPr>
      <w:r w:rsidRPr="00826F05">
        <w:rPr>
          <w:rFonts w:ascii="Sylfaen" w:hAnsi="Sylfaen"/>
          <w:sz w:val="24"/>
          <w:szCs w:val="24"/>
        </w:rPr>
        <w:t>(ձ</w:t>
      </w:r>
      <w:r w:rsidR="00C54D75">
        <w:rPr>
          <w:rFonts w:ascii="Sylfaen" w:hAnsi="Sylfaen"/>
          <w:sz w:val="24"/>
          <w:szCs w:val="24"/>
        </w:rPr>
        <w:t>և</w:t>
      </w:r>
      <w:r w:rsidRPr="00826F05">
        <w:rPr>
          <w:rFonts w:ascii="Sylfaen" w:hAnsi="Sylfaen"/>
          <w:sz w:val="24"/>
          <w:szCs w:val="24"/>
        </w:rPr>
        <w:t>)</w:t>
      </w:r>
    </w:p>
    <w:p w14:paraId="72EFDB7B" w14:textId="68061B10" w:rsidR="004F5982" w:rsidRDefault="004F5982" w:rsidP="00487007">
      <w:pPr>
        <w:spacing w:after="160" w:line="360" w:lineRule="auto"/>
        <w:ind w:left="567" w:right="565" w:firstLine="4"/>
        <w:jc w:val="center"/>
        <w:rPr>
          <w:rFonts w:ascii="Sylfaen" w:hAnsi="Sylfaen"/>
          <w:sz w:val="24"/>
          <w:szCs w:val="24"/>
        </w:rPr>
      </w:pPr>
      <w:r w:rsidRPr="00826F05">
        <w:rPr>
          <w:rFonts w:ascii="Sylfaen" w:hAnsi="Sylfaen"/>
          <w:sz w:val="24"/>
          <w:szCs w:val="24"/>
        </w:rPr>
        <w:t xml:space="preserve">Վերարտադրված </w:t>
      </w:r>
      <w:r w:rsidR="001024C8" w:rsidRPr="001024C8">
        <w:rPr>
          <w:rFonts w:ascii="Sylfaen" w:hAnsi="Sylfaen"/>
          <w:sz w:val="24"/>
          <w:szCs w:val="24"/>
        </w:rPr>
        <w:t>կամ հիբրիդային</w:t>
      </w:r>
      <w:r w:rsidR="001024C8">
        <w:rPr>
          <w:rFonts w:ascii="Sylfaen" w:hAnsi="Sylfaen"/>
          <w:sz w:val="24"/>
          <w:szCs w:val="24"/>
        </w:rPr>
        <w:t xml:space="preserve"> </w:t>
      </w:r>
      <w:r w:rsidRPr="00826F05">
        <w:rPr>
          <w:rFonts w:ascii="Sylfaen" w:hAnsi="Sylfaen"/>
          <w:sz w:val="24"/>
          <w:szCs w:val="24"/>
        </w:rPr>
        <w:t xml:space="preserve">դեղամիջոցների նախակլինիկական </w:t>
      </w:r>
      <w:r w:rsidR="00C54D75">
        <w:rPr>
          <w:rFonts w:ascii="Sylfaen" w:hAnsi="Sylfaen"/>
          <w:sz w:val="24"/>
          <w:szCs w:val="24"/>
        </w:rPr>
        <w:t>և</w:t>
      </w:r>
      <w:r w:rsidRPr="00826F05">
        <w:rPr>
          <w:rFonts w:ascii="Sylfaen" w:hAnsi="Sylfaen"/>
          <w:sz w:val="24"/>
          <w:szCs w:val="24"/>
        </w:rPr>
        <w:t xml:space="preserve"> </w:t>
      </w:r>
      <w:r w:rsidRPr="00826F05">
        <w:rPr>
          <w:rFonts w:ascii="Sylfaen" w:hAnsi="Sylfaen"/>
          <w:sz w:val="24"/>
          <w:szCs w:val="24"/>
        </w:rPr>
        <w:br/>
        <w:t>կլինիկական ասպեկտների արդյունքների գնահատման փորձագիտական հաշվետվություն</w:t>
      </w:r>
    </w:p>
    <w:p w14:paraId="08EBD583" w14:textId="77777777" w:rsidR="001024C8" w:rsidRPr="0067432A" w:rsidRDefault="001024C8" w:rsidP="001024C8">
      <w:pPr>
        <w:spacing w:after="160" w:line="360" w:lineRule="auto"/>
        <w:ind w:left="567" w:right="565"/>
        <w:jc w:val="center"/>
        <w:rPr>
          <w:rFonts w:ascii="Sylfaen" w:eastAsia="Times New Roman" w:hAnsi="Sylfaen" w:cs="Times New Roman"/>
          <w:i/>
          <w:iCs/>
          <w:sz w:val="24"/>
          <w:szCs w:val="24"/>
        </w:rPr>
      </w:pPr>
      <w:proofErr w:type="gramStart"/>
      <w:r w:rsidRPr="0067432A">
        <w:rPr>
          <w:rFonts w:ascii="Sylfaen" w:hAnsi="Sylfaen"/>
          <w:b/>
          <w:i/>
          <w:iCs/>
          <w:sz w:val="24"/>
          <w:szCs w:val="24"/>
          <w:lang w:val="en-US"/>
        </w:rPr>
        <w:t xml:space="preserve">( </w:t>
      </w:r>
      <w:r w:rsidRPr="0067432A">
        <w:rPr>
          <w:rFonts w:ascii="Sylfaen" w:hAnsi="Sylfaen"/>
          <w:b/>
          <w:i/>
          <w:iCs/>
          <w:sz w:val="24"/>
          <w:szCs w:val="24"/>
        </w:rPr>
        <w:t>վերնագիրը</w:t>
      </w:r>
      <w:proofErr w:type="gramEnd"/>
      <w:r w:rsidRPr="0067432A">
        <w:rPr>
          <w:rFonts w:ascii="Sylfaen" w:hAnsi="Sylfaen"/>
          <w:b/>
          <w:i/>
          <w:iCs/>
          <w:sz w:val="24"/>
          <w:szCs w:val="24"/>
        </w:rPr>
        <w:t xml:space="preserve"> լրաց. 05.03.21 թիվ 14</w:t>
      </w:r>
      <w:r w:rsidRPr="0067432A">
        <w:rPr>
          <w:rFonts w:ascii="Sylfaen" w:hAnsi="Sylfaen"/>
          <w:b/>
          <w:i/>
          <w:iCs/>
          <w:sz w:val="24"/>
          <w:szCs w:val="24"/>
          <w:lang w:val="en-US"/>
        </w:rPr>
        <w:t>)</w:t>
      </w:r>
    </w:p>
    <w:p w14:paraId="4D491D0A" w14:textId="77777777" w:rsidR="001024C8" w:rsidRPr="00826F05" w:rsidRDefault="001024C8" w:rsidP="00487007">
      <w:pPr>
        <w:spacing w:after="160" w:line="360" w:lineRule="auto"/>
        <w:ind w:left="567" w:right="565" w:firstLine="4"/>
        <w:jc w:val="center"/>
        <w:rPr>
          <w:rFonts w:ascii="Sylfaen" w:eastAsia="Times New Roman" w:hAnsi="Sylfaen" w:cs="Times New Roman"/>
          <w:sz w:val="24"/>
          <w:szCs w:val="24"/>
        </w:rPr>
      </w:pPr>
    </w:p>
    <w:tbl>
      <w:tblPr>
        <w:tblW w:w="9683" w:type="dxa"/>
        <w:tblInd w:w="103" w:type="dxa"/>
        <w:tblLayout w:type="fixed"/>
        <w:tblCellMar>
          <w:left w:w="0" w:type="dxa"/>
          <w:right w:w="0" w:type="dxa"/>
        </w:tblCellMar>
        <w:tblLook w:val="01E0" w:firstRow="1" w:lastRow="1" w:firstColumn="1" w:lastColumn="1" w:noHBand="0" w:noVBand="0"/>
      </w:tblPr>
      <w:tblGrid>
        <w:gridCol w:w="4786"/>
        <w:gridCol w:w="4897"/>
      </w:tblGrid>
      <w:tr w:rsidR="004F5982" w:rsidRPr="00826F05" w14:paraId="0DC4A279" w14:textId="77777777" w:rsidTr="004F5982">
        <w:tc>
          <w:tcPr>
            <w:tcW w:w="4786" w:type="dxa"/>
            <w:tcBorders>
              <w:top w:val="single" w:sz="4" w:space="0" w:color="000000"/>
              <w:left w:val="single" w:sz="4" w:space="0" w:color="000000"/>
              <w:bottom w:val="single" w:sz="6" w:space="0" w:color="000000"/>
              <w:right w:val="single" w:sz="6" w:space="0" w:color="000000"/>
            </w:tcBorders>
          </w:tcPr>
          <w:p w14:paraId="76C4024E"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lastRenderedPageBreak/>
              <w:t>Զեկուցողը</w:t>
            </w:r>
          </w:p>
        </w:tc>
        <w:tc>
          <w:tcPr>
            <w:tcW w:w="4897" w:type="dxa"/>
            <w:tcBorders>
              <w:top w:val="single" w:sz="4" w:space="0" w:color="000000"/>
              <w:left w:val="single" w:sz="6" w:space="0" w:color="000000"/>
              <w:bottom w:val="single" w:sz="6" w:space="0" w:color="000000"/>
              <w:right w:val="single" w:sz="4" w:space="0" w:color="000000"/>
            </w:tcBorders>
          </w:tcPr>
          <w:p w14:paraId="589957A8"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2AA1E94"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4B99B8A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Համազեկուցողը</w:t>
            </w:r>
          </w:p>
        </w:tc>
        <w:tc>
          <w:tcPr>
            <w:tcW w:w="4897" w:type="dxa"/>
            <w:tcBorders>
              <w:top w:val="single" w:sz="6" w:space="0" w:color="000000"/>
              <w:left w:val="single" w:sz="6" w:space="0" w:color="000000"/>
              <w:bottom w:val="single" w:sz="6" w:space="0" w:color="000000"/>
              <w:right w:val="single" w:sz="4" w:space="0" w:color="000000"/>
            </w:tcBorders>
          </w:tcPr>
          <w:p w14:paraId="634D9716"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D0D0842"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4363E9B5"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Ընթացակարգի սկիզբը</w:t>
            </w:r>
          </w:p>
        </w:tc>
        <w:tc>
          <w:tcPr>
            <w:tcW w:w="4897" w:type="dxa"/>
            <w:tcBorders>
              <w:top w:val="single" w:sz="6" w:space="0" w:color="000000"/>
              <w:left w:val="single" w:sz="6" w:space="0" w:color="000000"/>
              <w:bottom w:val="single" w:sz="6" w:space="0" w:color="000000"/>
              <w:right w:val="single" w:sz="4" w:space="0" w:color="000000"/>
            </w:tcBorders>
          </w:tcPr>
          <w:p w14:paraId="6B09ABB4"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73A7421"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2802AD2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Սույն հաշվետվության ամսաթիվը</w:t>
            </w:r>
          </w:p>
        </w:tc>
        <w:tc>
          <w:tcPr>
            <w:tcW w:w="4897" w:type="dxa"/>
            <w:tcBorders>
              <w:top w:val="single" w:sz="6" w:space="0" w:color="000000"/>
              <w:left w:val="single" w:sz="6" w:space="0" w:color="000000"/>
              <w:bottom w:val="single" w:sz="6" w:space="0" w:color="000000"/>
              <w:right w:val="single" w:sz="4" w:space="0" w:color="000000"/>
            </w:tcBorders>
          </w:tcPr>
          <w:p w14:paraId="09B9C801"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C6967B1" w14:textId="77777777" w:rsidTr="004F5982">
        <w:tc>
          <w:tcPr>
            <w:tcW w:w="4786" w:type="dxa"/>
            <w:tcBorders>
              <w:top w:val="single" w:sz="6" w:space="0" w:color="000000"/>
              <w:left w:val="single" w:sz="4" w:space="0" w:color="000000"/>
              <w:bottom w:val="single" w:sz="4" w:space="0" w:color="000000"/>
              <w:right w:val="single" w:sz="6" w:space="0" w:color="000000"/>
            </w:tcBorders>
          </w:tcPr>
          <w:p w14:paraId="5885DE71"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Մեկնաբանությունների ներկայացման վերջնաժամկետը</w:t>
            </w:r>
          </w:p>
        </w:tc>
        <w:tc>
          <w:tcPr>
            <w:tcW w:w="4897" w:type="dxa"/>
            <w:tcBorders>
              <w:top w:val="single" w:sz="6" w:space="0" w:color="000000"/>
              <w:left w:val="single" w:sz="6" w:space="0" w:color="000000"/>
              <w:bottom w:val="single" w:sz="4" w:space="0" w:color="000000"/>
              <w:right w:val="single" w:sz="4" w:space="0" w:color="000000"/>
            </w:tcBorders>
          </w:tcPr>
          <w:p w14:paraId="22B387B1" w14:textId="77777777" w:rsidR="004F5982" w:rsidRPr="00826F05" w:rsidRDefault="004F5982" w:rsidP="004F5982">
            <w:pPr>
              <w:spacing w:after="120" w:line="240" w:lineRule="auto"/>
              <w:jc w:val="both"/>
              <w:rPr>
                <w:rFonts w:ascii="Sylfaen" w:hAnsi="Sylfaen"/>
                <w:sz w:val="24"/>
                <w:szCs w:val="24"/>
              </w:rPr>
            </w:pPr>
          </w:p>
        </w:tc>
      </w:tr>
    </w:tbl>
    <w:p w14:paraId="52BBDBB3" w14:textId="77777777" w:rsidR="004F5982" w:rsidRPr="00826F05" w:rsidRDefault="004F5982" w:rsidP="004F5982">
      <w:pPr>
        <w:spacing w:after="120" w:line="240" w:lineRule="auto"/>
        <w:ind w:left="2835" w:right="-20"/>
        <w:jc w:val="both"/>
        <w:rPr>
          <w:rFonts w:ascii="Sylfaen" w:eastAsia="Times New Roman" w:hAnsi="Sylfaen" w:cs="Times New Roman"/>
          <w:sz w:val="24"/>
          <w:szCs w:val="24"/>
        </w:rPr>
      </w:pPr>
      <w:r w:rsidRPr="00826F05">
        <w:rPr>
          <w:rFonts w:ascii="Sylfaen" w:hAnsi="Sylfaen"/>
          <w:sz w:val="24"/>
          <w:szCs w:val="24"/>
        </w:rPr>
        <w:t>Վարչական տեղեկատվությունը</w:t>
      </w:r>
    </w:p>
    <w:tbl>
      <w:tblPr>
        <w:tblW w:w="9607" w:type="dxa"/>
        <w:tblLayout w:type="fixed"/>
        <w:tblCellMar>
          <w:left w:w="0" w:type="dxa"/>
          <w:right w:w="0" w:type="dxa"/>
        </w:tblCellMar>
        <w:tblLook w:val="01E0" w:firstRow="1" w:lastRow="1" w:firstColumn="1" w:lastColumn="1" w:noHBand="0" w:noVBand="0"/>
      </w:tblPr>
      <w:tblGrid>
        <w:gridCol w:w="5352"/>
        <w:gridCol w:w="4255"/>
      </w:tblGrid>
      <w:tr w:rsidR="004F5982" w:rsidRPr="00826F05" w14:paraId="2219901E" w14:textId="77777777" w:rsidTr="004F5982">
        <w:tc>
          <w:tcPr>
            <w:tcW w:w="5352" w:type="dxa"/>
            <w:tcBorders>
              <w:top w:val="single" w:sz="4" w:space="0" w:color="000000"/>
              <w:left w:val="single" w:sz="4" w:space="0" w:color="000000"/>
              <w:bottom w:val="single" w:sz="6" w:space="0" w:color="000000"/>
              <w:right w:val="single" w:sz="6" w:space="0" w:color="000000"/>
            </w:tcBorders>
          </w:tcPr>
          <w:p w14:paraId="0BE8392C" w14:textId="19641F0D"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Գրանցման </w:t>
            </w:r>
            <w:r w:rsidR="0056496B">
              <w:rPr>
                <w:rFonts w:ascii="Sylfaen" w:hAnsi="Sylfaen"/>
                <w:sz w:val="24"/>
                <w:szCs w:val="24"/>
              </w:rPr>
              <w:t>դիմում</w:t>
            </w:r>
            <w:r w:rsidRPr="00826F05">
              <w:rPr>
                <w:rFonts w:ascii="Sylfaen" w:hAnsi="Sylfaen"/>
                <w:sz w:val="24"/>
                <w:szCs w:val="24"/>
              </w:rPr>
              <w:t>ի նույնականացման համարը</w:t>
            </w:r>
          </w:p>
        </w:tc>
        <w:tc>
          <w:tcPr>
            <w:tcW w:w="4255" w:type="dxa"/>
            <w:tcBorders>
              <w:top w:val="single" w:sz="4" w:space="0" w:color="000000"/>
              <w:left w:val="single" w:sz="6" w:space="0" w:color="000000"/>
              <w:bottom w:val="single" w:sz="6" w:space="0" w:color="000000"/>
              <w:right w:val="single" w:sz="4" w:space="0" w:color="000000"/>
            </w:tcBorders>
          </w:tcPr>
          <w:p w14:paraId="66E609F9"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FD500E5"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49BA8FA3"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Դեղամիջոցի առ</w:t>
            </w:r>
            <w:r w:rsidR="00C54D75">
              <w:rPr>
                <w:rFonts w:ascii="Sylfaen" w:hAnsi="Sylfaen"/>
                <w:sz w:val="24"/>
                <w:szCs w:val="24"/>
              </w:rPr>
              <w:t>և</w:t>
            </w:r>
            <w:r w:rsidRPr="00826F05">
              <w:rPr>
                <w:rFonts w:ascii="Sylfaen" w:hAnsi="Sylfaen"/>
                <w:sz w:val="24"/>
                <w:szCs w:val="24"/>
              </w:rPr>
              <w:t>տրային անվանումը</w:t>
            </w:r>
          </w:p>
        </w:tc>
        <w:tc>
          <w:tcPr>
            <w:tcW w:w="4255" w:type="dxa"/>
            <w:tcBorders>
              <w:top w:val="single" w:sz="6" w:space="0" w:color="000000"/>
              <w:left w:val="single" w:sz="6" w:space="0" w:color="000000"/>
              <w:bottom w:val="single" w:sz="6" w:space="0" w:color="000000"/>
              <w:right w:val="single" w:sz="4" w:space="0" w:color="000000"/>
            </w:tcBorders>
          </w:tcPr>
          <w:p w14:paraId="152537A9"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2B96A52"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39903B5E" w14:textId="77777777" w:rsidR="004F5982" w:rsidRPr="00826F05" w:rsidRDefault="004F5982" w:rsidP="004F5982">
            <w:pPr>
              <w:spacing w:after="120" w:line="240" w:lineRule="auto"/>
              <w:ind w:left="102" w:right="31"/>
              <w:jc w:val="both"/>
              <w:rPr>
                <w:rFonts w:ascii="Sylfaen" w:eastAsia="Times New Roman" w:hAnsi="Sylfaen" w:cs="Times New Roman"/>
                <w:sz w:val="24"/>
                <w:szCs w:val="24"/>
              </w:rPr>
            </w:pPr>
            <w:r w:rsidRPr="00826F05">
              <w:rPr>
                <w:rFonts w:ascii="Sylfaen" w:hAnsi="Sylfaen"/>
                <w:sz w:val="24"/>
                <w:szCs w:val="24"/>
              </w:rPr>
              <w:t>Միջազգային չարտոնագրված (ՄՉԱ-ն) անվանումը կամ ազդող նյութի (նյութերի) համընդհանուր անվանումը</w:t>
            </w:r>
          </w:p>
        </w:tc>
        <w:tc>
          <w:tcPr>
            <w:tcW w:w="4255" w:type="dxa"/>
            <w:tcBorders>
              <w:top w:val="single" w:sz="6" w:space="0" w:color="000000"/>
              <w:left w:val="single" w:sz="6" w:space="0" w:color="000000"/>
              <w:bottom w:val="single" w:sz="6" w:space="0" w:color="000000"/>
              <w:right w:val="single" w:sz="4" w:space="0" w:color="000000"/>
            </w:tcBorders>
          </w:tcPr>
          <w:p w14:paraId="6D424762"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4390EE7"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3E309F09" w14:textId="63964D0F" w:rsidR="004F5982" w:rsidRPr="00826F05" w:rsidRDefault="0056496B" w:rsidP="004F5982">
            <w:pPr>
              <w:spacing w:after="120" w:line="240" w:lineRule="auto"/>
              <w:ind w:left="102" w:right="-20"/>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w:t>
            </w:r>
          </w:p>
        </w:tc>
        <w:tc>
          <w:tcPr>
            <w:tcW w:w="4255" w:type="dxa"/>
            <w:tcBorders>
              <w:top w:val="single" w:sz="6" w:space="0" w:color="000000"/>
              <w:left w:val="single" w:sz="6" w:space="0" w:color="000000"/>
              <w:bottom w:val="single" w:sz="6" w:space="0" w:color="000000"/>
              <w:right w:val="single" w:sz="4" w:space="0" w:color="000000"/>
            </w:tcBorders>
          </w:tcPr>
          <w:p w14:paraId="6A51EE8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B4E875D"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7BFDADE6" w14:textId="635B2371"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Կիրառման </w:t>
            </w:r>
            <w:r w:rsidR="001A5F1A">
              <w:rPr>
                <w:rFonts w:ascii="Sylfaen" w:hAnsi="Sylfaen"/>
                <w:sz w:val="24"/>
                <w:szCs w:val="24"/>
              </w:rPr>
              <w:t>հայտագրված</w:t>
            </w:r>
            <w:r w:rsidRPr="00826F05">
              <w:rPr>
                <w:rFonts w:ascii="Sylfaen" w:hAnsi="Sylfaen"/>
                <w:sz w:val="24"/>
                <w:szCs w:val="24"/>
              </w:rPr>
              <w:t xml:space="preserve"> ցուցումները</w:t>
            </w:r>
          </w:p>
        </w:tc>
        <w:tc>
          <w:tcPr>
            <w:tcW w:w="4255" w:type="dxa"/>
            <w:tcBorders>
              <w:top w:val="single" w:sz="6" w:space="0" w:color="000000"/>
              <w:left w:val="single" w:sz="6" w:space="0" w:color="000000"/>
              <w:bottom w:val="single" w:sz="6" w:space="0" w:color="000000"/>
              <w:right w:val="single" w:sz="4" w:space="0" w:color="000000"/>
            </w:tcBorders>
          </w:tcPr>
          <w:p w14:paraId="4E0545A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DB918AC"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4EABD73F"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Դեղաթերապ</w:t>
            </w:r>
            <w:r w:rsidR="00C54D75">
              <w:rPr>
                <w:rFonts w:ascii="Sylfaen" w:hAnsi="Sylfaen"/>
                <w:sz w:val="24"/>
                <w:szCs w:val="24"/>
              </w:rPr>
              <w:t>և</w:t>
            </w:r>
            <w:r w:rsidRPr="00826F05">
              <w:rPr>
                <w:rFonts w:ascii="Sylfaen" w:hAnsi="Sylfaen"/>
                <w:sz w:val="24"/>
                <w:szCs w:val="24"/>
              </w:rPr>
              <w:t>տիկ խումբը (ԱԲՔ-ծածկագիրը)</w:t>
            </w:r>
          </w:p>
        </w:tc>
        <w:tc>
          <w:tcPr>
            <w:tcW w:w="4255" w:type="dxa"/>
            <w:tcBorders>
              <w:top w:val="single" w:sz="6" w:space="0" w:color="000000"/>
              <w:left w:val="single" w:sz="6" w:space="0" w:color="000000"/>
              <w:bottom w:val="single" w:sz="6" w:space="0" w:color="000000"/>
              <w:right w:val="single" w:sz="4" w:space="0" w:color="000000"/>
            </w:tcBorders>
          </w:tcPr>
          <w:p w14:paraId="316D6B46"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D5072DA"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50F459D2"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Դեղաձ</w:t>
            </w:r>
            <w:r w:rsidR="00C54D75">
              <w:rPr>
                <w:rFonts w:ascii="Sylfaen" w:hAnsi="Sylfaen"/>
                <w:sz w:val="24"/>
                <w:szCs w:val="24"/>
              </w:rPr>
              <w:t>և</w:t>
            </w:r>
            <w:r w:rsidRPr="00826F05">
              <w:rPr>
                <w:rFonts w:ascii="Sylfaen" w:hAnsi="Sylfaen"/>
                <w:sz w:val="24"/>
                <w:szCs w:val="24"/>
              </w:rPr>
              <w:t xml:space="preserve">ը </w:t>
            </w:r>
            <w:r w:rsidR="00C54D75">
              <w:rPr>
                <w:rFonts w:ascii="Sylfaen" w:hAnsi="Sylfaen"/>
                <w:sz w:val="24"/>
                <w:szCs w:val="24"/>
              </w:rPr>
              <w:t>և</w:t>
            </w:r>
            <w:r w:rsidRPr="00826F05">
              <w:rPr>
                <w:rFonts w:ascii="Sylfaen" w:hAnsi="Sylfaen"/>
                <w:sz w:val="24"/>
                <w:szCs w:val="24"/>
              </w:rPr>
              <w:t xml:space="preserve"> դեղաչափը (դեղաչափերը)</w:t>
            </w:r>
          </w:p>
        </w:tc>
        <w:tc>
          <w:tcPr>
            <w:tcW w:w="4255" w:type="dxa"/>
            <w:tcBorders>
              <w:top w:val="single" w:sz="6" w:space="0" w:color="000000"/>
              <w:left w:val="single" w:sz="6" w:space="0" w:color="000000"/>
              <w:bottom w:val="single" w:sz="6" w:space="0" w:color="000000"/>
              <w:right w:val="single" w:sz="4" w:space="0" w:color="000000"/>
            </w:tcBorders>
          </w:tcPr>
          <w:p w14:paraId="4926B73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85DCC76" w14:textId="77777777" w:rsidTr="004F5982">
        <w:tc>
          <w:tcPr>
            <w:tcW w:w="5352" w:type="dxa"/>
            <w:tcBorders>
              <w:top w:val="single" w:sz="6" w:space="0" w:color="000000"/>
              <w:left w:val="single" w:sz="4" w:space="0" w:color="000000"/>
              <w:bottom w:val="single" w:sz="4" w:space="0" w:color="000000"/>
              <w:right w:val="single" w:sz="6" w:space="0" w:color="000000"/>
            </w:tcBorders>
          </w:tcPr>
          <w:p w14:paraId="42531147"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Զեկուցողի փորձագետները (ներքին </w:t>
            </w:r>
            <w:r w:rsidR="00C54D75">
              <w:rPr>
                <w:rFonts w:ascii="Sylfaen" w:hAnsi="Sylfaen"/>
                <w:sz w:val="24"/>
                <w:szCs w:val="24"/>
              </w:rPr>
              <w:t>և</w:t>
            </w:r>
            <w:r w:rsidRPr="00826F05">
              <w:rPr>
                <w:rFonts w:ascii="Sylfaen" w:hAnsi="Sylfaen"/>
                <w:sz w:val="24"/>
                <w:szCs w:val="24"/>
              </w:rPr>
              <w:t xml:space="preserve"> անկախ)</w:t>
            </w:r>
          </w:p>
        </w:tc>
        <w:tc>
          <w:tcPr>
            <w:tcW w:w="4255" w:type="dxa"/>
            <w:tcBorders>
              <w:top w:val="single" w:sz="6" w:space="0" w:color="000000"/>
              <w:left w:val="single" w:sz="6" w:space="0" w:color="000000"/>
              <w:bottom w:val="single" w:sz="4" w:space="0" w:color="000000"/>
              <w:right w:val="single" w:sz="4" w:space="0" w:color="000000"/>
            </w:tcBorders>
          </w:tcPr>
          <w:p w14:paraId="07CAA2D8"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3-րդ մոդուլի փորձագետ (որակ)՝</w:t>
            </w:r>
          </w:p>
          <w:p w14:paraId="03D5E7FA"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0311B71"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36F68BAD"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2B594C95" w14:textId="77777777" w:rsidR="004F5982" w:rsidRPr="00826F05" w:rsidRDefault="004F5982" w:rsidP="004F5982">
            <w:pPr>
              <w:spacing w:after="120" w:line="240" w:lineRule="auto"/>
              <w:jc w:val="both"/>
              <w:rPr>
                <w:rFonts w:ascii="Sylfaen" w:hAnsi="Sylfaen"/>
                <w:sz w:val="24"/>
                <w:szCs w:val="24"/>
              </w:rPr>
            </w:pPr>
          </w:p>
          <w:p w14:paraId="1BDBB6B7" w14:textId="77777777" w:rsidR="004F5982" w:rsidRPr="00826F05" w:rsidRDefault="004F5982" w:rsidP="004F5982">
            <w:pPr>
              <w:spacing w:after="120" w:line="240" w:lineRule="auto"/>
              <w:ind w:left="100" w:right="34"/>
              <w:jc w:val="both"/>
              <w:rPr>
                <w:rFonts w:ascii="Sylfaen" w:eastAsia="Times New Roman" w:hAnsi="Sylfaen" w:cs="Times New Roman"/>
                <w:sz w:val="24"/>
                <w:szCs w:val="24"/>
              </w:rPr>
            </w:pPr>
            <w:r w:rsidRPr="00826F05">
              <w:rPr>
                <w:rFonts w:ascii="Sylfaen" w:hAnsi="Sylfaen"/>
                <w:sz w:val="24"/>
                <w:szCs w:val="24"/>
              </w:rPr>
              <w:t>3-րդ մոդուլի փորձագետ (նախակլինիկա)՝</w:t>
            </w:r>
          </w:p>
          <w:p w14:paraId="56FD4200"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CD9EAB1"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5F0D6955"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208EC456" w14:textId="77777777" w:rsidR="004F5982" w:rsidRPr="00826F05" w:rsidRDefault="004F5982" w:rsidP="004F5982">
            <w:pPr>
              <w:spacing w:after="120" w:line="240" w:lineRule="auto"/>
              <w:jc w:val="both"/>
              <w:rPr>
                <w:rFonts w:ascii="Sylfaen" w:hAnsi="Sylfaen"/>
                <w:sz w:val="24"/>
                <w:szCs w:val="24"/>
              </w:rPr>
            </w:pPr>
          </w:p>
          <w:p w14:paraId="200EE4A5" w14:textId="77777777" w:rsidR="004F5982" w:rsidRPr="00826F05" w:rsidRDefault="004F5982" w:rsidP="004F5982">
            <w:pPr>
              <w:spacing w:after="120" w:line="240" w:lineRule="auto"/>
              <w:ind w:left="100" w:right="34"/>
              <w:jc w:val="both"/>
              <w:rPr>
                <w:rFonts w:ascii="Sylfaen" w:eastAsia="Times New Roman" w:hAnsi="Sylfaen" w:cs="Times New Roman"/>
                <w:sz w:val="24"/>
                <w:szCs w:val="24"/>
              </w:rPr>
            </w:pPr>
            <w:r w:rsidRPr="00826F05">
              <w:rPr>
                <w:rFonts w:ascii="Sylfaen" w:hAnsi="Sylfaen"/>
                <w:sz w:val="24"/>
                <w:szCs w:val="24"/>
              </w:rPr>
              <w:t>5-րդ մոդուլի փորձագետը (կլինիկա)՝</w:t>
            </w:r>
          </w:p>
          <w:p w14:paraId="766659C4"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F8EAD83"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2FA3576D"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tc>
      </w:tr>
    </w:tbl>
    <w:p w14:paraId="317998DE" w14:textId="77777777" w:rsidR="004F5982" w:rsidRPr="00826F05" w:rsidRDefault="004F5982" w:rsidP="004F5982">
      <w:pPr>
        <w:spacing w:after="120" w:line="240" w:lineRule="auto"/>
        <w:jc w:val="both"/>
        <w:rPr>
          <w:rFonts w:ascii="Sylfaen" w:hAnsi="Sylfaen"/>
          <w:sz w:val="24"/>
          <w:szCs w:val="24"/>
        </w:rPr>
      </w:pPr>
    </w:p>
    <w:p w14:paraId="20EA59DD" w14:textId="77777777" w:rsidR="004F5982" w:rsidRPr="00826F05" w:rsidRDefault="004F5982" w:rsidP="004F5982">
      <w:pPr>
        <w:spacing w:after="160" w:line="360" w:lineRule="auto"/>
        <w:ind w:left="567" w:right="565"/>
        <w:jc w:val="center"/>
        <w:rPr>
          <w:rFonts w:ascii="Sylfaen" w:hAnsi="Sylfaen"/>
          <w:sz w:val="24"/>
          <w:szCs w:val="24"/>
        </w:rPr>
      </w:pPr>
      <w:r w:rsidRPr="00826F05">
        <w:rPr>
          <w:rFonts w:ascii="Sylfaen" w:hAnsi="Sylfaen"/>
          <w:sz w:val="24"/>
          <w:szCs w:val="24"/>
        </w:rPr>
        <w:t>Հապավումների ցանկը</w:t>
      </w:r>
    </w:p>
    <w:p w14:paraId="59862543" w14:textId="77777777" w:rsidR="004F5982" w:rsidRDefault="004F5982" w:rsidP="004F5982">
      <w:pPr>
        <w:widowControl/>
        <w:rPr>
          <w:rFonts w:ascii="Sylfaen" w:hAnsi="Sylfaen"/>
          <w:sz w:val="24"/>
          <w:szCs w:val="24"/>
        </w:rPr>
      </w:pPr>
      <w:r>
        <w:rPr>
          <w:rFonts w:ascii="Sylfaen" w:hAnsi="Sylfaen"/>
          <w:sz w:val="24"/>
          <w:szCs w:val="24"/>
        </w:rPr>
        <w:lastRenderedPageBreak/>
        <w:br w:type="page"/>
      </w:r>
    </w:p>
    <w:p w14:paraId="0A505B1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1. Նախակլինիկական գնահատում</w:t>
      </w:r>
    </w:p>
    <w:p w14:paraId="47C3AD2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&lt;Տրամադրված է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 որը [բերել տեղեկագրի համառոտ բնութագիրը]: Տեղեկագրում բերվում է նախակլինիկական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լրացուցիչ տվյալների ներկայացման անհրաժեշտության բացակայության հիմնավորումը: ԴԸԲ-ի նախակլինիկական ասպեկտները համաձայնեցվում են համեմատման պատրաստուկի ԴԸԲ-ի հետ: Փորձագիտական գնահատման արդյունքներով սահմանվել է խառնուկների պրոֆիլի ընդունելիություն&gt;:</w:t>
      </w:r>
    </w:p>
    <w:p w14:paraId="38D7115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նախակլինիկական տեղեկագիրը հիմնված է գիտական գրականության ժամանակակից </w:t>
      </w:r>
      <w:r w:rsidR="00C54D75">
        <w:rPr>
          <w:rFonts w:ascii="Sylfaen" w:hAnsi="Sylfaen"/>
          <w:i/>
          <w:sz w:val="24"/>
          <w:szCs w:val="24"/>
        </w:rPr>
        <w:t>և</w:t>
      </w:r>
      <w:r w:rsidRPr="00826F05">
        <w:rPr>
          <w:rFonts w:ascii="Sylfaen" w:hAnsi="Sylfaen"/>
          <w:i/>
          <w:sz w:val="24"/>
          <w:szCs w:val="24"/>
        </w:rPr>
        <w:t xml:space="preserve"> բավարար տվյալների վրա: Նախակլինիկական լրացուցիչ տվյալների տրամադրման անհրաժեշտությունը բացակայում է&gt;:</w:t>
      </w:r>
    </w:p>
    <w:p w14:paraId="2DC1958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տեղեկագիրն անընդունելի է, քանի որ [ներկայացնել մեկնաբանությունը]&gt;:</w:t>
      </w:r>
    </w:p>
    <w:p w14:paraId="7691D166" w14:textId="77777777" w:rsidR="004F5982" w:rsidRPr="00826F05" w:rsidRDefault="004F5982" w:rsidP="00487007">
      <w:pPr>
        <w:spacing w:after="160" w:line="360" w:lineRule="auto"/>
        <w:ind w:firstLine="567"/>
        <w:jc w:val="both"/>
        <w:rPr>
          <w:rFonts w:ascii="Sylfaen" w:hAnsi="Sylfaen"/>
          <w:i/>
          <w:sz w:val="24"/>
          <w:szCs w:val="24"/>
        </w:rPr>
      </w:pPr>
      <w:r w:rsidRPr="00826F05">
        <w:rPr>
          <w:rFonts w:ascii="Sylfaen" w:hAnsi="Sylfaen"/>
          <w:i/>
          <w:sz w:val="24"/>
          <w:szCs w:val="24"/>
        </w:rPr>
        <w:t xml:space="preserve">&lt;[Դեղապատրաստուկի անվանումը] նախակլինիկական տվյալների վերաբերյալ գրական աղբյուրների ռեզյումեն </w:t>
      </w:r>
      <w:r w:rsidR="00C54D75">
        <w:rPr>
          <w:rFonts w:ascii="Sylfaen" w:hAnsi="Sylfaen"/>
          <w:i/>
          <w:sz w:val="24"/>
          <w:szCs w:val="24"/>
        </w:rPr>
        <w:t>և</w:t>
      </w:r>
      <w:r w:rsidRPr="00826F05">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w:t>
      </w:r>
      <w:r>
        <w:rPr>
          <w:rFonts w:ascii="Sylfaen" w:hAnsi="Sylfaen"/>
          <w:i/>
          <w:sz w:val="24"/>
          <w:szCs w:val="24"/>
        </w:rPr>
        <w:t> </w:t>
      </w:r>
      <w:r w:rsidRPr="00826F05">
        <w:rPr>
          <w:rFonts w:ascii="Sylfaen" w:hAnsi="Sylfaen"/>
          <w:i/>
          <w:sz w:val="24"/>
          <w:szCs w:val="24"/>
        </w:rPr>
        <w:t xml:space="preserve">տարբերվում համեմատման պատրաստուկի անվտանգության </w:t>
      </w:r>
      <w:r w:rsidR="00C54D75">
        <w:rPr>
          <w:rFonts w:ascii="Sylfaen" w:hAnsi="Sylfaen"/>
          <w:i/>
          <w:sz w:val="24"/>
          <w:szCs w:val="24"/>
        </w:rPr>
        <w:t>և</w:t>
      </w:r>
      <w:r w:rsidRPr="00826F05">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826F05">
        <w:rPr>
          <w:rFonts w:ascii="Sylfaen" w:hAnsi="Sylfaen"/>
          <w:i/>
          <w:sz w:val="24"/>
          <w:szCs w:val="24"/>
        </w:rPr>
        <w:t xml:space="preserve"> ընդունվում</w:t>
      </w:r>
      <w:r>
        <w:rPr>
          <w:rFonts w:ascii="Sylfaen" w:hAnsi="Sylfaen"/>
          <w:i/>
          <w:sz w:val="24"/>
          <w:szCs w:val="24"/>
        </w:rPr>
        <w:t> </w:t>
      </w:r>
      <w:r w:rsidRPr="00826F05">
        <w:rPr>
          <w:rFonts w:ascii="Sylfaen" w:hAnsi="Sylfaen"/>
          <w:i/>
          <w:sz w:val="24"/>
          <w:szCs w:val="24"/>
        </w:rPr>
        <w:t>են [չեն ընդունվում] լիազորված մարմնի կողմից: Սա</w:t>
      </w:r>
      <w:r>
        <w:rPr>
          <w:rFonts w:ascii="Sylfaen" w:hAnsi="Sylfaen"/>
          <w:i/>
          <w:sz w:val="24"/>
          <w:szCs w:val="24"/>
        </w:rPr>
        <w:t> </w:t>
      </w:r>
      <w:r w:rsidRPr="00826F05">
        <w:rPr>
          <w:rFonts w:ascii="Sylfaen" w:hAnsi="Sylfaen"/>
          <w:i/>
          <w:sz w:val="24"/>
          <w:szCs w:val="24"/>
        </w:rPr>
        <w:t>համաձայնեցվում է [չի համաձայնեցվում] Միության մարմինների համապատասխան ակտերի հետ, այդ պատճառով էլ պահանջվում է [չի</w:t>
      </w:r>
      <w:r>
        <w:rPr>
          <w:rFonts w:ascii="Sylfaen" w:hAnsi="Sylfaen"/>
          <w:i/>
          <w:sz w:val="24"/>
          <w:szCs w:val="24"/>
        </w:rPr>
        <w:t> </w:t>
      </w:r>
      <w:r w:rsidRPr="00826F05">
        <w:rPr>
          <w:rFonts w:ascii="Sylfaen" w:hAnsi="Sylfaen"/>
          <w:i/>
          <w:sz w:val="24"/>
          <w:szCs w:val="24"/>
        </w:rPr>
        <w:t>պահանջվում] նախակլինիկական լրացուցիչ հետազոտությունների անցկացում&gt;:</w:t>
      </w:r>
    </w:p>
    <w:p w14:paraId="531B3E33" w14:textId="77777777" w:rsidR="004F5982" w:rsidRDefault="004F5982" w:rsidP="00487007">
      <w:pPr>
        <w:spacing w:after="160" w:line="360" w:lineRule="auto"/>
        <w:ind w:right="35"/>
        <w:jc w:val="both"/>
        <w:rPr>
          <w:rFonts w:ascii="Sylfaen" w:hAnsi="Sylfaen"/>
          <w:sz w:val="24"/>
          <w:szCs w:val="24"/>
        </w:rPr>
      </w:pPr>
    </w:p>
    <w:p w14:paraId="572E0604"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Ներածություն</w:t>
      </w:r>
    </w:p>
    <w:p w14:paraId="1BA998F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1.1. GLP-ասպեկտներ</w:t>
      </w:r>
    </w:p>
    <w:p w14:paraId="545E7A4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1.2. Դեղաբանություն</w:t>
      </w:r>
    </w:p>
    <w:p w14:paraId="4785A5E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1.3. Դեղակինետիկա</w:t>
      </w:r>
    </w:p>
    <w:p w14:paraId="6D3A338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1.4. Թունաբանություն</w:t>
      </w:r>
    </w:p>
    <w:p w14:paraId="6CD8C7F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1.5. Նախակլինիկական ասպեկտների վերաբերյալ եզրակացությունը</w:t>
      </w:r>
    </w:p>
    <w:p w14:paraId="537C58D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&lt;Նախակլինիկական տեսանկյունից &lt;առ</w:t>
      </w:r>
      <w:r w:rsidR="00C54D75">
        <w:rPr>
          <w:rFonts w:ascii="Sylfaen" w:hAnsi="Sylfaen"/>
          <w:i/>
          <w:sz w:val="24"/>
          <w:szCs w:val="24"/>
        </w:rPr>
        <w:t>և</w:t>
      </w:r>
      <w:r w:rsidRPr="00826F05">
        <w:rPr>
          <w:rFonts w:ascii="Sylfaen" w:hAnsi="Sylfaen"/>
          <w:i/>
          <w:sz w:val="24"/>
          <w:szCs w:val="24"/>
        </w:rPr>
        <w:t>տրային անվանումը&gt;՝ գրանցման խոչընդոտները բացակայում են&gt;:</w:t>
      </w:r>
    </w:p>
    <w:p w14:paraId="6468678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&lt;Ինչպես նշված է վեր</w:t>
      </w:r>
      <w:r w:rsidR="00C54D75">
        <w:rPr>
          <w:rFonts w:ascii="Sylfaen" w:hAnsi="Sylfaen"/>
          <w:i/>
          <w:sz w:val="24"/>
          <w:szCs w:val="24"/>
        </w:rPr>
        <w:t>և</w:t>
      </w:r>
      <w:r w:rsidRPr="00826F05">
        <w:rPr>
          <w:rFonts w:ascii="Sylfaen" w:hAnsi="Sylfaen"/>
          <w:i/>
          <w:sz w:val="24"/>
          <w:szCs w:val="24"/>
        </w:rPr>
        <w:t>ում, առկա են մի շարք դիտողություններ, որոնք անհրաժեշտ է վերացնել (տե՛ս դիտողությունների ցանկը)&gt;:</w:t>
      </w:r>
    </w:p>
    <w:p w14:paraId="145772F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&lt;Նախակլինիկական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w:t>
      </w:r>
      <w:r>
        <w:rPr>
          <w:rFonts w:ascii="Sylfaen" w:hAnsi="Sylfaen"/>
          <w:i/>
          <w:sz w:val="24"/>
          <w:szCs w:val="24"/>
        </w:rPr>
        <w:t> </w:t>
      </w:r>
      <w:r w:rsidRPr="00826F05">
        <w:rPr>
          <w:rFonts w:ascii="Sylfaen" w:hAnsi="Sylfaen"/>
          <w:i/>
          <w:sz w:val="24"/>
          <w:szCs w:val="24"/>
        </w:rPr>
        <w:t>անհրաժեշտ միջոցները]&gt;:</w:t>
      </w:r>
    </w:p>
    <w:p w14:paraId="79E242EC" w14:textId="77777777" w:rsidR="004F5982" w:rsidRDefault="004F5982" w:rsidP="00487007">
      <w:pPr>
        <w:spacing w:after="160" w:line="360" w:lineRule="auto"/>
        <w:ind w:left="567" w:right="565"/>
        <w:jc w:val="center"/>
        <w:rPr>
          <w:rFonts w:ascii="Sylfaen" w:hAnsi="Sylfaen"/>
          <w:sz w:val="24"/>
          <w:szCs w:val="24"/>
        </w:rPr>
      </w:pPr>
    </w:p>
    <w:p w14:paraId="782E45B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 Կլինիկական ասպեկտները</w:t>
      </w:r>
    </w:p>
    <w:p w14:paraId="2235E34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 Ներածություն</w:t>
      </w:r>
    </w:p>
    <w:p w14:paraId="085D44F5" w14:textId="620A88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&lt;Փորձաքննությունն անց է կացվել </w:t>
      </w:r>
      <w:r w:rsidR="001024C8">
        <w:rPr>
          <w:rFonts w:ascii="Sylfaen" w:hAnsi="Sylfaen"/>
          <w:i/>
          <w:sz w:val="24"/>
          <w:szCs w:val="24"/>
        </w:rPr>
        <w:t>Եվրասիական տնտեսական հանձնաժողովի խորհրդի 2016 թվականի նոյեմբերի 3-ի թիվ 85 որոշմամբ հաստատված՝ Եվրասիական տնտեսական միության շրջանակներում դեղապատրաստուկների կենսահամարժեքության հետազոտությունների անցկացման կանոնների</w:t>
      </w:r>
      <w:r w:rsidRPr="00826F05">
        <w:rPr>
          <w:rFonts w:ascii="Sylfaen" w:hAnsi="Sylfaen"/>
          <w:i/>
          <w:sz w:val="24"/>
          <w:szCs w:val="24"/>
        </w:rPr>
        <w:t xml:space="preserve"> օգտագործմամբ, ինչպես նա</w:t>
      </w:r>
      <w:r w:rsidR="00C54D75">
        <w:rPr>
          <w:rFonts w:ascii="Sylfaen" w:hAnsi="Sylfaen"/>
          <w:i/>
          <w:sz w:val="24"/>
          <w:szCs w:val="24"/>
        </w:rPr>
        <w:t>և</w:t>
      </w:r>
      <w:r w:rsidRPr="00826F05">
        <w:rPr>
          <w:rFonts w:ascii="Sylfaen" w:hAnsi="Sylfaen"/>
          <w:i/>
          <w:sz w:val="24"/>
          <w:szCs w:val="24"/>
        </w:rPr>
        <w:t xml:space="preserve"> [նշել այլ համապատասխան պարտադիր ակտերի </w:t>
      </w:r>
      <w:r w:rsidR="00C54D75">
        <w:rPr>
          <w:rFonts w:ascii="Sylfaen" w:hAnsi="Sylfaen"/>
          <w:i/>
          <w:sz w:val="24"/>
          <w:szCs w:val="24"/>
        </w:rPr>
        <w:t>և</w:t>
      </w:r>
      <w:r w:rsidRPr="00826F05">
        <w:rPr>
          <w:rFonts w:ascii="Sylfaen" w:hAnsi="Sylfaen"/>
          <w:i/>
          <w:sz w:val="24"/>
          <w:szCs w:val="24"/>
        </w:rPr>
        <w:t xml:space="preserve"> հանձնարարականների անվանումները]&gt;:</w:t>
      </w:r>
    </w:p>
    <w:p w14:paraId="7D2B31E2" w14:textId="4856505B"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ն ստացել է [չի ստացել] կլինիկական մշակման վերաբերյալ լիազորված փորձագիտական կազմակերպության գիտական խորհրդատվությունը:</w:t>
      </w:r>
    </w:p>
    <w:p w14:paraId="7D25A4DB" w14:textId="17F9BA7F" w:rsidR="004F5982" w:rsidRPr="00826F05" w:rsidRDefault="004F5982" w:rsidP="00487007">
      <w:pPr>
        <w:spacing w:after="160" w:line="360" w:lineRule="auto"/>
        <w:ind w:right="-2" w:firstLine="567"/>
        <w:jc w:val="both"/>
        <w:rPr>
          <w:rFonts w:ascii="Sylfaen" w:hAnsi="Sylfaen"/>
          <w:i/>
          <w:sz w:val="24"/>
          <w:szCs w:val="24"/>
        </w:rPr>
      </w:pPr>
      <w:r w:rsidRPr="004336EC">
        <w:rPr>
          <w:rFonts w:ascii="Sylfaen" w:hAnsi="Sylfaen"/>
          <w:i/>
          <w:spacing w:val="-6"/>
          <w:sz w:val="24"/>
          <w:szCs w:val="24"/>
        </w:rPr>
        <w:t>Տվյալ խորհրդատվությունը վերաբերել է հետ</w:t>
      </w:r>
      <w:r w:rsidR="00C54D75">
        <w:rPr>
          <w:rFonts w:ascii="Sylfaen" w:hAnsi="Sylfaen"/>
          <w:i/>
          <w:spacing w:val="-6"/>
          <w:sz w:val="24"/>
          <w:szCs w:val="24"/>
        </w:rPr>
        <w:t>և</w:t>
      </w:r>
      <w:r w:rsidRPr="004336EC">
        <w:rPr>
          <w:rFonts w:ascii="Sylfaen" w:hAnsi="Sylfaen"/>
          <w:i/>
          <w:spacing w:val="-6"/>
          <w:sz w:val="24"/>
          <w:szCs w:val="24"/>
        </w:rPr>
        <w:t xml:space="preserve">յալին՝ [ներկայացնել ռեզյումեն]: </w:t>
      </w:r>
      <w:r w:rsidR="0056496B">
        <w:rPr>
          <w:rFonts w:ascii="Sylfaen" w:hAnsi="Sylfaen"/>
          <w:i/>
          <w:spacing w:val="-6"/>
          <w:sz w:val="24"/>
          <w:szCs w:val="24"/>
        </w:rPr>
        <w:t>Դիմումատու</w:t>
      </w:r>
      <w:r w:rsidRPr="004336EC">
        <w:rPr>
          <w:rFonts w:ascii="Sylfaen" w:hAnsi="Sylfaen"/>
          <w:i/>
          <w:spacing w:val="-6"/>
          <w:sz w:val="24"/>
          <w:szCs w:val="24"/>
        </w:rPr>
        <w:t>ն օգտվել է [չի օգտվել]</w:t>
      </w:r>
      <w:r w:rsidRPr="00826F05">
        <w:rPr>
          <w:rFonts w:ascii="Sylfaen" w:hAnsi="Sylfaen"/>
          <w:i/>
          <w:sz w:val="24"/>
          <w:szCs w:val="24"/>
        </w:rPr>
        <w:t xml:space="preserve"> տվյալ գիտական խորհրդատվությունից&gt;:</w:t>
      </w:r>
    </w:p>
    <w:p w14:paraId="28326C35"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lastRenderedPageBreak/>
        <w:t>2.1.1. Միության պատշաճ կլինիկական գործունեության կանոնների պահանջներին համապատասխանության ասպեկտները</w:t>
      </w:r>
    </w:p>
    <w:p w14:paraId="316DF077"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2.2. Բիովեյվերները</w:t>
      </w:r>
    </w:p>
    <w:p w14:paraId="61AEDC72"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2.3. Կլինիկական դեղաբանությունը</w:t>
      </w:r>
    </w:p>
    <w:p w14:paraId="0C4BEBBE"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2.3.1. Դեղակինետիկան</w:t>
      </w:r>
    </w:p>
    <w:p w14:paraId="579F81D5" w14:textId="7777777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&lt;Որպես դիմումի հիմնավորում ներկայացված է կենսահամարժեքության [նշել քանակը] հետազոտություն(ներ), դեղադինամիկ [նշել քանակը] հետազոտություններ, թերապ</w:t>
      </w:r>
      <w:r w:rsidR="00C54D75">
        <w:rPr>
          <w:rFonts w:ascii="Sylfaen" w:hAnsi="Sylfaen"/>
          <w:i/>
          <w:sz w:val="24"/>
          <w:szCs w:val="24"/>
        </w:rPr>
        <w:t>և</w:t>
      </w:r>
      <w:r w:rsidRPr="00826F05">
        <w:rPr>
          <w:rFonts w:ascii="Sylfaen" w:hAnsi="Sylfaen"/>
          <w:i/>
          <w:sz w:val="24"/>
          <w:szCs w:val="24"/>
        </w:rPr>
        <w:t>տիկ համարժեքության [նշել քանակը] հետազոտություններ&gt;:</w:t>
      </w:r>
    </w:p>
    <w:p w14:paraId="1D44AFDB" w14:textId="77777777" w:rsidR="004F5982" w:rsidRDefault="004F5982" w:rsidP="004F5982">
      <w:pPr>
        <w:spacing w:after="160" w:line="480" w:lineRule="auto"/>
        <w:ind w:right="45" w:firstLine="567"/>
        <w:jc w:val="both"/>
        <w:rPr>
          <w:rStyle w:val="Bodytext295pt"/>
          <w:rFonts w:ascii="Sylfaen" w:eastAsiaTheme="minorHAnsi" w:hAnsi="Sylfaen"/>
          <w:b w:val="0"/>
          <w:sz w:val="24"/>
          <w:szCs w:val="24"/>
        </w:rPr>
      </w:pPr>
    </w:p>
    <w:p w14:paraId="6F1B387A" w14:textId="77777777" w:rsidR="004F5982" w:rsidRPr="00826F05" w:rsidRDefault="004F5982" w:rsidP="004F5982">
      <w:pPr>
        <w:spacing w:after="160" w:line="480" w:lineRule="auto"/>
        <w:ind w:left="567" w:right="567"/>
        <w:jc w:val="center"/>
        <w:rPr>
          <w:rFonts w:ascii="Sylfaen" w:eastAsia="Times New Roman" w:hAnsi="Sylfaen" w:cs="Times New Roman"/>
          <w:b/>
          <w:sz w:val="24"/>
          <w:szCs w:val="24"/>
        </w:rPr>
      </w:pPr>
      <w:r w:rsidRPr="00826F05">
        <w:rPr>
          <w:rStyle w:val="Bodytext295pt"/>
          <w:rFonts w:ascii="Sylfaen" w:eastAsiaTheme="minorHAnsi" w:hAnsi="Sylfaen"/>
          <w:b w:val="0"/>
          <w:sz w:val="24"/>
          <w:szCs w:val="24"/>
        </w:rPr>
        <w:t>Կլինիկական հետազոտությունների աղյուսակային ամփոփումը</w:t>
      </w:r>
    </w:p>
    <w:tbl>
      <w:tblPr>
        <w:tblOverlap w:val="neve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76"/>
        <w:gridCol w:w="706"/>
        <w:gridCol w:w="1560"/>
        <w:gridCol w:w="1415"/>
        <w:gridCol w:w="414"/>
        <w:gridCol w:w="1718"/>
        <w:gridCol w:w="278"/>
        <w:gridCol w:w="1482"/>
      </w:tblGrid>
      <w:tr w:rsidR="004F5982" w:rsidRPr="004336EC" w14:paraId="33A92BAC" w14:textId="77777777" w:rsidTr="004F5982">
        <w:tc>
          <w:tcPr>
            <w:tcW w:w="9949" w:type="dxa"/>
            <w:gridSpan w:val="8"/>
            <w:shd w:val="clear" w:color="auto" w:fill="FFFFFF"/>
            <w:vAlign w:val="bottom"/>
          </w:tcPr>
          <w:p w14:paraId="02528AF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&lt;Համարը&gt;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&lt;անվանումը&gt; հետազոտությունը</w:t>
            </w:r>
          </w:p>
        </w:tc>
      </w:tr>
      <w:tr w:rsidR="004F5982" w:rsidRPr="004336EC" w14:paraId="3E1154B7" w14:textId="77777777" w:rsidTr="004F5982">
        <w:tc>
          <w:tcPr>
            <w:tcW w:w="9949" w:type="dxa"/>
            <w:gridSpan w:val="8"/>
            <w:shd w:val="clear" w:color="auto" w:fill="FFFFFF"/>
            <w:vAlign w:val="bottom"/>
          </w:tcPr>
          <w:p w14:paraId="7BFD437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Մեթոդները</w:t>
            </w:r>
          </w:p>
        </w:tc>
      </w:tr>
      <w:tr w:rsidR="004F5982" w:rsidRPr="004336EC" w14:paraId="7B81DA00" w14:textId="77777777" w:rsidTr="004F5982">
        <w:trPr>
          <w:trHeight w:val="892"/>
        </w:trPr>
        <w:tc>
          <w:tcPr>
            <w:tcW w:w="9949" w:type="dxa"/>
            <w:gridSpan w:val="8"/>
            <w:shd w:val="clear" w:color="auto" w:fill="FFFFFF"/>
          </w:tcPr>
          <w:p w14:paraId="39EBC45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Հետազոտության բովանդակային պլանը՝</w:t>
            </w:r>
          </w:p>
          <w:p w14:paraId="24D787CF"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5B019267" w14:textId="77777777" w:rsidTr="004F5982">
        <w:trPr>
          <w:trHeight w:val="878"/>
        </w:trPr>
        <w:tc>
          <w:tcPr>
            <w:tcW w:w="9949" w:type="dxa"/>
            <w:gridSpan w:val="8"/>
            <w:shd w:val="clear" w:color="auto" w:fill="FFFFFF"/>
          </w:tcPr>
          <w:p w14:paraId="3F952EF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Հետազոտվող պատրաստուկը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համեմատման պատրաստուկը</w:t>
            </w:r>
          </w:p>
          <w:p w14:paraId="59382C1F"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84622A" w14:textId="77777777" w:rsidTr="004F5982">
        <w:trPr>
          <w:trHeight w:val="906"/>
        </w:trPr>
        <w:tc>
          <w:tcPr>
            <w:tcW w:w="9949" w:type="dxa"/>
            <w:gridSpan w:val="8"/>
            <w:shd w:val="clear" w:color="auto" w:fill="FFFFFF"/>
          </w:tcPr>
          <w:p w14:paraId="665A5DE5"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Ուսումնասիրված պոպուլյացիան (ուսումնասիրվող պոպուլյացիաները)՝</w:t>
            </w:r>
          </w:p>
          <w:p w14:paraId="33D10A4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BA5DA2" w14:textId="77777777" w:rsidTr="004F5982">
        <w:trPr>
          <w:trHeight w:val="920"/>
        </w:trPr>
        <w:tc>
          <w:tcPr>
            <w:tcW w:w="9949" w:type="dxa"/>
            <w:gridSpan w:val="8"/>
            <w:shd w:val="clear" w:color="auto" w:fill="FFFFFF"/>
          </w:tcPr>
          <w:p w14:paraId="72B6E8A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Վերլուծական մեթոդները՝</w:t>
            </w:r>
          </w:p>
          <w:p w14:paraId="6E094C20"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6990EC" w14:textId="77777777" w:rsidTr="004F5982">
        <w:trPr>
          <w:trHeight w:val="878"/>
        </w:trPr>
        <w:tc>
          <w:tcPr>
            <w:tcW w:w="9949" w:type="dxa"/>
            <w:gridSpan w:val="8"/>
            <w:shd w:val="clear" w:color="auto" w:fill="FFFFFF"/>
          </w:tcPr>
          <w:p w14:paraId="09A7135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Դեղակինետիկ փոփոխականները՝</w:t>
            </w:r>
          </w:p>
          <w:p w14:paraId="699E352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6C8B5129" w14:textId="77777777" w:rsidTr="004F5982">
        <w:tc>
          <w:tcPr>
            <w:tcW w:w="9949" w:type="dxa"/>
            <w:gridSpan w:val="8"/>
            <w:shd w:val="clear" w:color="auto" w:fill="FFFFFF"/>
          </w:tcPr>
          <w:p w14:paraId="6DE9AEAF" w14:textId="77777777" w:rsidR="004F5982" w:rsidRPr="004336EC" w:rsidRDefault="004F5982" w:rsidP="004F5982">
            <w:pPr>
              <w:spacing w:after="120" w:line="240" w:lineRule="auto"/>
              <w:jc w:val="both"/>
              <w:rPr>
                <w:rStyle w:val="Bodytext20"/>
                <w:rFonts w:ascii="Sylfaen" w:eastAsiaTheme="minorHAnsi" w:hAnsi="Sylfaen"/>
                <w:sz w:val="22"/>
                <w:szCs w:val="22"/>
              </w:rPr>
            </w:pPr>
            <w:r w:rsidRPr="004336EC">
              <w:rPr>
                <w:rStyle w:val="Bodytext20"/>
                <w:rFonts w:ascii="Sylfaen" w:eastAsiaTheme="minorHAnsi" w:hAnsi="Sylfaen"/>
                <w:sz w:val="22"/>
                <w:szCs w:val="22"/>
              </w:rPr>
              <w:t xml:space="preserve">Վիճակագրական մեթոդները՝ </w:t>
            </w:r>
          </w:p>
          <w:p w14:paraId="38DF60A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007EA082" w14:textId="77777777" w:rsidTr="004F5982">
        <w:tc>
          <w:tcPr>
            <w:tcW w:w="9949" w:type="dxa"/>
            <w:gridSpan w:val="8"/>
            <w:shd w:val="clear" w:color="auto" w:fill="FFFFFF"/>
          </w:tcPr>
          <w:p w14:paraId="37B58D1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Արդյունքները՝</w:t>
            </w:r>
          </w:p>
          <w:p w14:paraId="4AF2036B" w14:textId="77777777" w:rsidR="004F5982" w:rsidRPr="004336EC" w:rsidRDefault="004F5982" w:rsidP="004F5982">
            <w:pPr>
              <w:spacing w:after="120" w:line="240" w:lineRule="auto"/>
              <w:jc w:val="right"/>
              <w:rPr>
                <w:rFonts w:ascii="Sylfaen" w:hAnsi="Sylfaen"/>
              </w:rPr>
            </w:pPr>
            <w:r w:rsidRPr="004336EC">
              <w:rPr>
                <w:rStyle w:val="Bodytext20"/>
                <w:rFonts w:ascii="Sylfaen" w:eastAsiaTheme="minorHAnsi" w:hAnsi="Sylfaen"/>
                <w:sz w:val="22"/>
                <w:szCs w:val="22"/>
              </w:rPr>
              <w:t>Աղյուսակ X</w:t>
            </w:r>
          </w:p>
          <w:p w14:paraId="417A00D4" w14:textId="77777777" w:rsidR="004F5982" w:rsidRPr="004336EC" w:rsidRDefault="004F5982" w:rsidP="004F5982">
            <w:pPr>
              <w:spacing w:after="120" w:line="240" w:lineRule="auto"/>
              <w:ind w:left="567" w:right="717"/>
              <w:jc w:val="center"/>
              <w:rPr>
                <w:rFonts w:ascii="Sylfaen" w:hAnsi="Sylfaen"/>
              </w:rPr>
            </w:pPr>
            <w:r w:rsidRPr="004336EC">
              <w:rPr>
                <w:rStyle w:val="Bodytext20"/>
                <w:rFonts w:ascii="Sylfaen" w:eastAsiaTheme="minorHAnsi" w:hAnsi="Sylfaen"/>
                <w:sz w:val="22"/>
                <w:szCs w:val="22"/>
              </w:rPr>
              <w:lastRenderedPageBreak/>
              <w:t>Դեղակինետիկ պարամետրերը [նշել կենսանմուշը] (չփոխակերպված արժեքները)</w:t>
            </w:r>
          </w:p>
        </w:tc>
      </w:tr>
      <w:tr w:rsidR="004F5982" w:rsidRPr="004336EC" w14:paraId="5E09DACB" w14:textId="77777777" w:rsidTr="004F5982">
        <w:tc>
          <w:tcPr>
            <w:tcW w:w="2376" w:type="dxa"/>
            <w:vMerge w:val="restart"/>
            <w:shd w:val="clear" w:color="auto" w:fill="FFFFFF"/>
            <w:vAlign w:val="center"/>
          </w:tcPr>
          <w:p w14:paraId="14E04663" w14:textId="77777777" w:rsidR="004F5982" w:rsidRPr="004336EC" w:rsidRDefault="004F5982" w:rsidP="004F5982">
            <w:pPr>
              <w:spacing w:after="120" w:line="240" w:lineRule="auto"/>
              <w:ind w:right="88"/>
              <w:jc w:val="both"/>
              <w:rPr>
                <w:rFonts w:ascii="Sylfaen" w:hAnsi="Sylfaen"/>
              </w:rPr>
            </w:pPr>
            <w:r w:rsidRPr="004336EC">
              <w:rPr>
                <w:rStyle w:val="Bodytext20"/>
                <w:rFonts w:ascii="Sylfaen" w:eastAsiaTheme="minorHAnsi" w:hAnsi="Sylfaen"/>
                <w:sz w:val="22"/>
                <w:szCs w:val="22"/>
              </w:rPr>
              <w:lastRenderedPageBreak/>
              <w:t>Դեղակինետիկ պարամետրը</w:t>
            </w:r>
          </w:p>
        </w:tc>
        <w:tc>
          <w:tcPr>
            <w:tcW w:w="3681" w:type="dxa"/>
            <w:gridSpan w:val="3"/>
            <w:shd w:val="clear" w:color="auto" w:fill="FFFFFF"/>
            <w:vAlign w:val="bottom"/>
          </w:tcPr>
          <w:p w14:paraId="7AF90F6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Հետազոտվող դեղապատրաստուկը</w:t>
            </w:r>
          </w:p>
        </w:tc>
        <w:tc>
          <w:tcPr>
            <w:tcW w:w="3892" w:type="dxa"/>
            <w:gridSpan w:val="4"/>
            <w:shd w:val="clear" w:color="auto" w:fill="FFFFFF"/>
            <w:vAlign w:val="bottom"/>
          </w:tcPr>
          <w:p w14:paraId="3FD15DD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Համեմատման դեղապատրաստուկը</w:t>
            </w:r>
          </w:p>
        </w:tc>
      </w:tr>
      <w:tr w:rsidR="004F5982" w:rsidRPr="004336EC" w14:paraId="631F45DC" w14:textId="77777777" w:rsidTr="004F5982">
        <w:tc>
          <w:tcPr>
            <w:tcW w:w="2376" w:type="dxa"/>
            <w:vMerge/>
            <w:shd w:val="clear" w:color="auto" w:fill="FFFFFF"/>
            <w:vAlign w:val="center"/>
          </w:tcPr>
          <w:p w14:paraId="3B1B87D8" w14:textId="77777777" w:rsidR="004F5982" w:rsidRPr="004336EC" w:rsidRDefault="004F5982" w:rsidP="004F5982">
            <w:pPr>
              <w:spacing w:after="120" w:line="240" w:lineRule="auto"/>
              <w:jc w:val="both"/>
              <w:rPr>
                <w:rFonts w:ascii="Sylfaen" w:hAnsi="Sylfaen"/>
              </w:rPr>
            </w:pPr>
          </w:p>
        </w:tc>
        <w:tc>
          <w:tcPr>
            <w:tcW w:w="2266" w:type="dxa"/>
            <w:gridSpan w:val="2"/>
            <w:shd w:val="clear" w:color="auto" w:fill="FFFFFF"/>
            <w:vAlign w:val="center"/>
          </w:tcPr>
          <w:p w14:paraId="2A374B1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&lt;թվաբանական&gt;</w:t>
            </w:r>
          </w:p>
          <w:p w14:paraId="2648F1EC"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&lt;երկրաչափական&gt;</w:t>
            </w:r>
          </w:p>
          <w:p w14:paraId="5775BD8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միջին</w:t>
            </w:r>
          </w:p>
        </w:tc>
        <w:tc>
          <w:tcPr>
            <w:tcW w:w="1415" w:type="dxa"/>
            <w:shd w:val="clear" w:color="auto" w:fill="FFFFFF"/>
            <w:vAlign w:val="center"/>
          </w:tcPr>
          <w:p w14:paraId="5AF4D93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&lt;Ստանդարտ</w:t>
            </w:r>
          </w:p>
          <w:p w14:paraId="7E3E8991"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շեղում&gt;</w:t>
            </w:r>
          </w:p>
          <w:p w14:paraId="4030776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&lt;CV%&gt;</w:t>
            </w:r>
          </w:p>
        </w:tc>
        <w:tc>
          <w:tcPr>
            <w:tcW w:w="2132" w:type="dxa"/>
            <w:gridSpan w:val="2"/>
            <w:shd w:val="clear" w:color="auto" w:fill="FFFFFF"/>
            <w:vAlign w:val="center"/>
          </w:tcPr>
          <w:p w14:paraId="1E61DB2D"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&lt;թվաբանական&gt;</w:t>
            </w:r>
          </w:p>
          <w:p w14:paraId="2B2213A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&lt;երկրաչափական&gt;</w:t>
            </w:r>
          </w:p>
          <w:p w14:paraId="5557EFDD"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միջին</w:t>
            </w:r>
          </w:p>
        </w:tc>
        <w:tc>
          <w:tcPr>
            <w:tcW w:w="1760" w:type="dxa"/>
            <w:gridSpan w:val="2"/>
            <w:shd w:val="clear" w:color="auto" w:fill="FFFFFF"/>
            <w:vAlign w:val="center"/>
          </w:tcPr>
          <w:p w14:paraId="2999CC1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&lt;Ստանդարտ</w:t>
            </w:r>
          </w:p>
          <w:p w14:paraId="0C37BA9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շեղում&gt;</w:t>
            </w:r>
          </w:p>
          <w:p w14:paraId="50FF099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&lt;CV%&gt;</w:t>
            </w:r>
          </w:p>
        </w:tc>
      </w:tr>
      <w:tr w:rsidR="004F5982" w:rsidRPr="004336EC" w14:paraId="4F68E9EE" w14:textId="77777777" w:rsidTr="004F5982">
        <w:tc>
          <w:tcPr>
            <w:tcW w:w="2376" w:type="dxa"/>
            <w:shd w:val="clear" w:color="auto" w:fill="FFFFFF"/>
            <w:vAlign w:val="bottom"/>
          </w:tcPr>
          <w:p w14:paraId="41C7F39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(0-t)</w:t>
            </w:r>
            <w:r w:rsidRPr="004336EC">
              <w:rPr>
                <w:rStyle w:val="Bodytext20"/>
                <w:rFonts w:ascii="Sylfaen" w:eastAsiaTheme="minorHAnsi" w:hAnsi="Sylfaen"/>
                <w:sz w:val="22"/>
                <w:szCs w:val="22"/>
              </w:rPr>
              <w:t>&gt;</w:t>
            </w:r>
          </w:p>
          <w:p w14:paraId="2ED9E76A" w14:textId="77777777" w:rsidR="004F5982" w:rsidRPr="004336EC" w:rsidRDefault="004F5982" w:rsidP="004F5982">
            <w:pPr>
              <w:spacing w:after="120" w:line="240" w:lineRule="auto"/>
              <w:ind w:left="240"/>
              <w:jc w:val="both"/>
              <w:rPr>
                <w:rFonts w:ascii="Sylfaen" w:hAnsi="Sylfaen"/>
              </w:rPr>
            </w:pPr>
            <w:r w:rsidRPr="004336EC">
              <w:rPr>
                <w:rFonts w:ascii="Sylfaen" w:hAnsi="Sylfaen"/>
              </w:rPr>
              <w:t>&lt;АUС</w:t>
            </w:r>
            <w:r w:rsidRPr="004336EC">
              <w:rPr>
                <w:rFonts w:ascii="Sylfaen" w:hAnsi="Sylfaen"/>
                <w:vertAlign w:val="subscript"/>
              </w:rPr>
              <w:t>(0-72 ժ)</w:t>
            </w:r>
            <w:r w:rsidRPr="004336EC">
              <w:rPr>
                <w:rFonts w:ascii="Sylfaen" w:hAnsi="Sylfaen"/>
              </w:rPr>
              <w:t>&gt;</w:t>
            </w:r>
          </w:p>
        </w:tc>
        <w:tc>
          <w:tcPr>
            <w:tcW w:w="2266" w:type="dxa"/>
            <w:gridSpan w:val="2"/>
            <w:shd w:val="clear" w:color="auto" w:fill="FFFFFF"/>
          </w:tcPr>
          <w:p w14:paraId="788FA060"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39087F08"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15FE2F00"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535DC55A" w14:textId="77777777" w:rsidR="004F5982" w:rsidRPr="004336EC" w:rsidRDefault="004F5982" w:rsidP="004F5982">
            <w:pPr>
              <w:spacing w:after="120" w:line="240" w:lineRule="auto"/>
              <w:jc w:val="both"/>
              <w:rPr>
                <w:rFonts w:ascii="Sylfaen" w:hAnsi="Sylfaen"/>
              </w:rPr>
            </w:pPr>
          </w:p>
        </w:tc>
      </w:tr>
      <w:tr w:rsidR="004F5982" w:rsidRPr="004336EC" w14:paraId="01F5F992" w14:textId="77777777" w:rsidTr="004F5982">
        <w:tc>
          <w:tcPr>
            <w:tcW w:w="2376" w:type="dxa"/>
            <w:shd w:val="clear" w:color="auto" w:fill="FFFFFF"/>
            <w:vAlign w:val="bottom"/>
          </w:tcPr>
          <w:p w14:paraId="06E3404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AUC</w:t>
            </w:r>
            <w:r w:rsidRPr="004336EC">
              <w:rPr>
                <w:rStyle w:val="Bodytext28pt"/>
                <w:rFonts w:ascii="Sylfaen" w:eastAsiaTheme="minorHAnsi" w:hAnsi="Sylfaen"/>
                <w:sz w:val="22"/>
                <w:szCs w:val="22"/>
                <w:vertAlign w:val="subscript"/>
              </w:rPr>
              <w:t>(</w:t>
            </w:r>
            <w:r w:rsidRPr="004336EC">
              <w:rPr>
                <w:rFonts w:ascii="Sylfaen" w:hAnsi="Sylfaen"/>
                <w:vertAlign w:val="subscript"/>
              </w:rPr>
              <w:t>0-∞)</w:t>
            </w:r>
          </w:p>
        </w:tc>
        <w:tc>
          <w:tcPr>
            <w:tcW w:w="2266" w:type="dxa"/>
            <w:gridSpan w:val="2"/>
            <w:shd w:val="clear" w:color="auto" w:fill="FFFFFF"/>
          </w:tcPr>
          <w:p w14:paraId="5726B8F1"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0391CFC5"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0BDC605B"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206947D8" w14:textId="77777777" w:rsidR="004F5982" w:rsidRPr="004336EC" w:rsidRDefault="004F5982" w:rsidP="004F5982">
            <w:pPr>
              <w:spacing w:after="120" w:line="240" w:lineRule="auto"/>
              <w:jc w:val="both"/>
              <w:rPr>
                <w:rFonts w:ascii="Sylfaen" w:hAnsi="Sylfaen"/>
              </w:rPr>
            </w:pPr>
          </w:p>
        </w:tc>
      </w:tr>
      <w:tr w:rsidR="004F5982" w:rsidRPr="004336EC" w14:paraId="5F8F2521" w14:textId="77777777" w:rsidTr="004F5982">
        <w:tc>
          <w:tcPr>
            <w:tcW w:w="2376" w:type="dxa"/>
            <w:shd w:val="clear" w:color="auto" w:fill="FFFFFF"/>
            <w:vAlign w:val="bottom"/>
          </w:tcPr>
          <w:p w14:paraId="5474102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C</w:t>
            </w:r>
            <w:r w:rsidRPr="004336EC">
              <w:rPr>
                <w:rStyle w:val="Bodytext28pt"/>
                <w:rFonts w:ascii="Sylfaen" w:eastAsiaTheme="minorHAnsi" w:hAnsi="Sylfaen"/>
                <w:sz w:val="22"/>
                <w:szCs w:val="22"/>
                <w:vertAlign w:val="subscript"/>
              </w:rPr>
              <w:t>max</w:t>
            </w:r>
          </w:p>
        </w:tc>
        <w:tc>
          <w:tcPr>
            <w:tcW w:w="2266" w:type="dxa"/>
            <w:gridSpan w:val="2"/>
            <w:shd w:val="clear" w:color="auto" w:fill="FFFFFF"/>
          </w:tcPr>
          <w:p w14:paraId="039DB31F"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53ED60C9"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54A6E585"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21C00BBD" w14:textId="77777777" w:rsidR="004F5982" w:rsidRPr="004336EC" w:rsidRDefault="004F5982" w:rsidP="004F5982">
            <w:pPr>
              <w:spacing w:after="120" w:line="240" w:lineRule="auto"/>
              <w:jc w:val="both"/>
              <w:rPr>
                <w:rFonts w:ascii="Sylfaen" w:hAnsi="Sylfaen"/>
              </w:rPr>
            </w:pPr>
          </w:p>
        </w:tc>
      </w:tr>
      <w:tr w:rsidR="004F5982" w:rsidRPr="004336EC" w14:paraId="0FC27A9F" w14:textId="77777777" w:rsidTr="004F5982">
        <w:tc>
          <w:tcPr>
            <w:tcW w:w="2376" w:type="dxa"/>
            <w:shd w:val="clear" w:color="auto" w:fill="FFFFFF"/>
            <w:vAlign w:val="bottom"/>
          </w:tcPr>
          <w:p w14:paraId="11904A2B"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 xml:space="preserve">t </w:t>
            </w:r>
            <w:r w:rsidRPr="004336EC">
              <w:rPr>
                <w:rStyle w:val="Bodytext20"/>
                <w:rFonts w:ascii="Sylfaen" w:eastAsiaTheme="minorHAnsi" w:hAnsi="Sylfaen"/>
                <w:sz w:val="22"/>
                <w:szCs w:val="22"/>
                <w:vertAlign w:val="subscript"/>
              </w:rPr>
              <w:t>max</w:t>
            </w:r>
            <w:r w:rsidRPr="004336EC">
              <w:rPr>
                <w:rStyle w:val="Bodytext20"/>
                <w:rFonts w:ascii="Sylfaen" w:eastAsiaTheme="minorHAnsi" w:hAnsi="Sylfaen"/>
                <w:sz w:val="22"/>
                <w:szCs w:val="22"/>
              </w:rPr>
              <w:t>*</w:t>
            </w:r>
          </w:p>
        </w:tc>
        <w:tc>
          <w:tcPr>
            <w:tcW w:w="2266" w:type="dxa"/>
            <w:gridSpan w:val="2"/>
            <w:shd w:val="clear" w:color="auto" w:fill="FFFFFF"/>
          </w:tcPr>
          <w:p w14:paraId="677A0BAA"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501E73DD"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3B4FCFD5"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7FE50374" w14:textId="77777777" w:rsidR="004F5982" w:rsidRPr="004336EC" w:rsidRDefault="004F5982" w:rsidP="004F5982">
            <w:pPr>
              <w:spacing w:after="120" w:line="240" w:lineRule="auto"/>
              <w:jc w:val="both"/>
              <w:rPr>
                <w:rFonts w:ascii="Sylfaen" w:hAnsi="Sylfaen"/>
              </w:rPr>
            </w:pPr>
          </w:p>
        </w:tc>
      </w:tr>
      <w:tr w:rsidR="004F5982" w:rsidRPr="004336EC" w14:paraId="0F812478" w14:textId="77777777" w:rsidTr="004F5982">
        <w:tc>
          <w:tcPr>
            <w:tcW w:w="9949" w:type="dxa"/>
            <w:gridSpan w:val="8"/>
            <w:shd w:val="clear" w:color="auto" w:fill="FFFFFF"/>
            <w:vAlign w:val="bottom"/>
          </w:tcPr>
          <w:p w14:paraId="32E6D471" w14:textId="77777777" w:rsidR="004F5982" w:rsidRPr="004336EC" w:rsidRDefault="004F5982" w:rsidP="004F5982">
            <w:pPr>
              <w:tabs>
                <w:tab w:val="left" w:pos="864"/>
                <w:tab w:val="left" w:pos="1134"/>
              </w:tabs>
              <w:spacing w:after="120" w:line="240" w:lineRule="auto"/>
              <w:jc w:val="both"/>
              <w:rPr>
                <w:rFonts w:ascii="Sylfaen" w:hAnsi="Sylfaen"/>
              </w:rPr>
            </w:pPr>
            <w:r w:rsidRPr="004336EC">
              <w:rPr>
                <w:rStyle w:val="Bodytext20"/>
                <w:rFonts w:ascii="Sylfaen" w:eastAsiaTheme="minorHAnsi" w:hAnsi="Sylfaen"/>
                <w:sz w:val="22"/>
                <w:szCs w:val="22"/>
              </w:rPr>
              <w:t>&lt;АUС</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 xml:space="preserve">t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t» կորի տակ ընկած մակերեսը&gt;</w:t>
            </w:r>
          </w:p>
          <w:p w14:paraId="5C70D31C"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&lt;AUC</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-72 ժ</w:t>
            </w:r>
            <w:r w:rsidRPr="004336EC">
              <w:rPr>
                <w:rStyle w:val="Bodytext28pt"/>
                <w:rFonts w:ascii="Sylfaen" w:eastAsiaTheme="minorHAnsi" w:hAnsi="Sylfaen"/>
                <w:sz w:val="22"/>
                <w:szCs w:val="22"/>
              </w:rPr>
              <w:t xml:space="preserve">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72 ժամ» կորի տակ ընկած մակերեսը&gt;</w:t>
            </w:r>
          </w:p>
          <w:p w14:paraId="6F5FADC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АUС</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w:t>
            </w:r>
            <w:r w:rsidRPr="004336EC">
              <w:rPr>
                <w:rFonts w:ascii="Sylfaen" w:hAnsi="Sylfaen"/>
                <w:vertAlign w:val="subscript"/>
              </w:rPr>
              <w:t>∞</w:t>
            </w:r>
            <w:r w:rsidRPr="004336EC">
              <w:rPr>
                <w:rFonts w:ascii="Sylfaen" w:hAnsi="Sylfaen"/>
              </w:rPr>
              <w:t xml:space="preserve">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անվերջություն» կորի տակ ընկած մակերեսը</w:t>
            </w:r>
          </w:p>
          <w:p w14:paraId="449A14D1"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С</w:t>
            </w:r>
            <w:r w:rsidRPr="000A280D">
              <w:rPr>
                <w:rStyle w:val="Bodytext20"/>
                <w:rFonts w:ascii="Sylfaen" w:eastAsiaTheme="minorHAnsi" w:hAnsi="Sylfaen"/>
                <w:sz w:val="22"/>
                <w:szCs w:val="22"/>
                <w:vertAlign w:val="subscript"/>
              </w:rPr>
              <w:t>m</w:t>
            </w:r>
            <w:r w:rsidRPr="000A280D">
              <w:rPr>
                <w:rStyle w:val="Bodytext28pt"/>
                <w:rFonts w:ascii="Sylfaen" w:eastAsiaTheme="minorHAnsi" w:hAnsi="Sylfaen"/>
                <w:sz w:val="22"/>
                <w:szCs w:val="22"/>
                <w:vertAlign w:val="subscript"/>
              </w:rPr>
              <w:t>ах</w:t>
            </w:r>
            <w:r w:rsidRPr="004336EC">
              <w:rPr>
                <w:rStyle w:val="Bodytext28pt"/>
                <w:rFonts w:ascii="Sylfaen" w:eastAsiaTheme="minorHAnsi" w:hAnsi="Sylfaen"/>
                <w:sz w:val="22"/>
                <w:szCs w:val="22"/>
                <w:vertAlign w:val="subscript"/>
              </w:rPr>
              <w:t xml:space="preserve"> </w:t>
            </w:r>
            <w:r w:rsidRPr="004336EC">
              <w:rPr>
                <w:rStyle w:val="Bodytext20"/>
                <w:rFonts w:ascii="Sylfaen" w:eastAsiaTheme="minorHAnsi" w:hAnsi="Sylfaen"/>
                <w:sz w:val="22"/>
                <w:szCs w:val="22"/>
              </w:rPr>
              <w:t>առավելագույն պլազմային խտությունը</w:t>
            </w:r>
          </w:p>
          <w:p w14:paraId="661D5CE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Т</w:t>
            </w:r>
            <w:r w:rsidRPr="004336EC">
              <w:rPr>
                <w:rStyle w:val="Bodytext20"/>
                <w:rFonts w:ascii="Sylfaen" w:eastAsiaTheme="minorHAnsi" w:hAnsi="Sylfaen"/>
                <w:sz w:val="22"/>
                <w:szCs w:val="22"/>
                <w:vertAlign w:val="subscript"/>
              </w:rPr>
              <w:t>m</w:t>
            </w:r>
            <w:r w:rsidRPr="004336EC">
              <w:rPr>
                <w:rStyle w:val="Bodytext28pt"/>
                <w:rFonts w:ascii="Sylfaen" w:eastAsiaTheme="minorHAnsi" w:hAnsi="Sylfaen"/>
                <w:sz w:val="22"/>
                <w:szCs w:val="22"/>
                <w:vertAlign w:val="subscript"/>
              </w:rPr>
              <w:t xml:space="preserve">ах </w:t>
            </w:r>
            <w:r w:rsidRPr="004336EC">
              <w:rPr>
                <w:rStyle w:val="Bodytext20"/>
                <w:rFonts w:ascii="Sylfaen" w:eastAsiaTheme="minorHAnsi" w:hAnsi="Sylfaen"/>
                <w:sz w:val="22"/>
                <w:szCs w:val="22"/>
              </w:rPr>
              <w:t>առավելագույն խտության հասնելու ժամանակը (*-միջնաթիվ, բացվածք)</w:t>
            </w:r>
          </w:p>
        </w:tc>
      </w:tr>
      <w:tr w:rsidR="004F5982" w:rsidRPr="004336EC" w14:paraId="0A8068BB" w14:textId="77777777" w:rsidTr="004F5982">
        <w:tc>
          <w:tcPr>
            <w:tcW w:w="9949" w:type="dxa"/>
            <w:gridSpan w:val="8"/>
            <w:shd w:val="clear" w:color="auto" w:fill="FFFFFF"/>
            <w:vAlign w:val="bottom"/>
          </w:tcPr>
          <w:p w14:paraId="6860C551" w14:textId="77777777" w:rsidR="004F5982" w:rsidRPr="004336EC" w:rsidRDefault="004F5982" w:rsidP="004F5982">
            <w:pPr>
              <w:spacing w:after="120" w:line="240" w:lineRule="auto"/>
              <w:jc w:val="right"/>
              <w:rPr>
                <w:rFonts w:ascii="Sylfaen" w:hAnsi="Sylfaen"/>
              </w:rPr>
            </w:pPr>
            <w:r w:rsidRPr="004336EC">
              <w:rPr>
                <w:rStyle w:val="Bodytext20"/>
                <w:rFonts w:ascii="Sylfaen" w:eastAsiaTheme="minorHAnsi" w:hAnsi="Sylfaen"/>
                <w:sz w:val="22"/>
                <w:szCs w:val="22"/>
              </w:rPr>
              <w:t>Աղյուսակ X</w:t>
            </w:r>
          </w:p>
          <w:p w14:paraId="637E9754" w14:textId="77777777" w:rsidR="004F5982" w:rsidRPr="004336EC" w:rsidRDefault="004F5982" w:rsidP="004F5982">
            <w:pPr>
              <w:spacing w:after="120" w:line="240" w:lineRule="auto"/>
              <w:ind w:left="567" w:right="717"/>
              <w:jc w:val="center"/>
              <w:rPr>
                <w:rFonts w:ascii="Sylfaen" w:hAnsi="Sylfaen"/>
              </w:rPr>
            </w:pPr>
            <w:r w:rsidRPr="004336EC">
              <w:rPr>
                <w:rStyle w:val="Bodytext20"/>
                <w:rFonts w:ascii="Sylfaen" w:eastAsiaTheme="minorHAnsi" w:hAnsi="Sylfaen"/>
                <w:sz w:val="22"/>
                <w:szCs w:val="22"/>
              </w:rPr>
              <w:t>Դեղակինետիկ պարամետրերը [նշել կենսանմուշը]</w:t>
            </w:r>
            <w:r>
              <w:rPr>
                <w:rStyle w:val="Bodytext20"/>
                <w:rFonts w:ascii="Sylfaen" w:eastAsiaTheme="minorHAnsi" w:hAnsi="Sylfaen"/>
                <w:sz w:val="22"/>
                <w:szCs w:val="22"/>
              </w:rPr>
              <w:br/>
            </w:r>
            <w:r w:rsidRPr="004336EC">
              <w:rPr>
                <w:rStyle w:val="Bodytext20"/>
                <w:rFonts w:ascii="Sylfaen" w:eastAsiaTheme="minorHAnsi" w:hAnsi="Sylfaen"/>
                <w:sz w:val="22"/>
                <w:szCs w:val="22"/>
              </w:rPr>
              <w:t>(լոգարիթմի վերածված արժեքները)</w:t>
            </w:r>
          </w:p>
        </w:tc>
      </w:tr>
      <w:tr w:rsidR="004F5982" w:rsidRPr="004336EC" w14:paraId="6B2F6977" w14:textId="77777777" w:rsidTr="004F5982">
        <w:tc>
          <w:tcPr>
            <w:tcW w:w="3082" w:type="dxa"/>
            <w:gridSpan w:val="2"/>
            <w:shd w:val="clear" w:color="auto" w:fill="FFFFFF"/>
            <w:vAlign w:val="center"/>
          </w:tcPr>
          <w:p w14:paraId="7B3E8108"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Դեղակինետիկ պարամետրը</w:t>
            </w:r>
          </w:p>
        </w:tc>
        <w:tc>
          <w:tcPr>
            <w:tcW w:w="3389" w:type="dxa"/>
            <w:gridSpan w:val="3"/>
            <w:shd w:val="clear" w:color="auto" w:fill="FFFFFF"/>
            <w:vAlign w:val="bottom"/>
          </w:tcPr>
          <w:p w14:paraId="27E90B7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Հետազոտվող ԴՊ-ի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համեմատման ԴՊ-ի երկրաչափական միջինների հարաբերակցությունը</w:t>
            </w:r>
          </w:p>
        </w:tc>
        <w:tc>
          <w:tcPr>
            <w:tcW w:w="1996" w:type="dxa"/>
            <w:gridSpan w:val="2"/>
            <w:shd w:val="clear" w:color="auto" w:fill="FFFFFF"/>
            <w:vAlign w:val="center"/>
          </w:tcPr>
          <w:p w14:paraId="32699BF0"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Վստահելի միջակայքերը</w:t>
            </w:r>
          </w:p>
        </w:tc>
        <w:tc>
          <w:tcPr>
            <w:tcW w:w="1482" w:type="dxa"/>
            <w:shd w:val="clear" w:color="auto" w:fill="FFFFFF"/>
            <w:vAlign w:val="center"/>
          </w:tcPr>
          <w:p w14:paraId="1890198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CV%*</w:t>
            </w:r>
          </w:p>
        </w:tc>
      </w:tr>
      <w:tr w:rsidR="004F5982" w:rsidRPr="004336EC" w14:paraId="0512E169" w14:textId="77777777" w:rsidTr="004F5982">
        <w:tc>
          <w:tcPr>
            <w:tcW w:w="3082" w:type="dxa"/>
            <w:gridSpan w:val="2"/>
            <w:shd w:val="clear" w:color="auto" w:fill="FFFFFF"/>
            <w:vAlign w:val="bottom"/>
          </w:tcPr>
          <w:p w14:paraId="14EDE0E3" w14:textId="77777777" w:rsidR="004F5982" w:rsidRPr="004336EC" w:rsidRDefault="004F5982" w:rsidP="004F5982">
            <w:pPr>
              <w:spacing w:after="120" w:line="240" w:lineRule="auto"/>
              <w:ind w:left="22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(0-t)</w:t>
            </w:r>
            <w:r w:rsidRPr="004336EC">
              <w:rPr>
                <w:rStyle w:val="Bodytext20"/>
                <w:rFonts w:ascii="Sylfaen" w:eastAsiaTheme="minorHAnsi" w:hAnsi="Sylfaen"/>
                <w:sz w:val="22"/>
                <w:szCs w:val="22"/>
              </w:rPr>
              <w:t>&gt;</w:t>
            </w:r>
          </w:p>
          <w:p w14:paraId="04D91240" w14:textId="77777777" w:rsidR="004F5982" w:rsidRPr="004336EC" w:rsidRDefault="004F5982" w:rsidP="004F5982">
            <w:pPr>
              <w:spacing w:after="120" w:line="240" w:lineRule="auto"/>
              <w:ind w:left="22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(0-72 ժ)</w:t>
            </w:r>
            <w:r w:rsidRPr="004336EC">
              <w:rPr>
                <w:rStyle w:val="Bodytext20"/>
                <w:rFonts w:ascii="Sylfaen" w:eastAsiaTheme="minorHAnsi" w:hAnsi="Sylfaen"/>
                <w:sz w:val="22"/>
                <w:szCs w:val="22"/>
              </w:rPr>
              <w:t>&gt;</w:t>
            </w:r>
          </w:p>
        </w:tc>
        <w:tc>
          <w:tcPr>
            <w:tcW w:w="3389" w:type="dxa"/>
            <w:gridSpan w:val="3"/>
            <w:shd w:val="clear" w:color="auto" w:fill="FFFFFF"/>
          </w:tcPr>
          <w:p w14:paraId="169DD40E" w14:textId="77777777" w:rsidR="004F5982" w:rsidRPr="004336EC" w:rsidRDefault="004F5982" w:rsidP="004F5982">
            <w:pPr>
              <w:spacing w:after="120" w:line="240" w:lineRule="auto"/>
              <w:jc w:val="both"/>
              <w:rPr>
                <w:rFonts w:ascii="Sylfaen" w:hAnsi="Sylfaen"/>
              </w:rPr>
            </w:pPr>
          </w:p>
        </w:tc>
        <w:tc>
          <w:tcPr>
            <w:tcW w:w="1996" w:type="dxa"/>
            <w:gridSpan w:val="2"/>
            <w:shd w:val="clear" w:color="auto" w:fill="FFFFFF"/>
          </w:tcPr>
          <w:p w14:paraId="3FDCD668" w14:textId="77777777" w:rsidR="004F5982" w:rsidRPr="004336EC" w:rsidRDefault="004F5982" w:rsidP="004F5982">
            <w:pPr>
              <w:spacing w:after="120" w:line="240" w:lineRule="auto"/>
              <w:jc w:val="both"/>
              <w:rPr>
                <w:rFonts w:ascii="Sylfaen" w:hAnsi="Sylfaen"/>
              </w:rPr>
            </w:pPr>
          </w:p>
        </w:tc>
        <w:tc>
          <w:tcPr>
            <w:tcW w:w="1482" w:type="dxa"/>
            <w:shd w:val="clear" w:color="auto" w:fill="FFFFFF"/>
          </w:tcPr>
          <w:p w14:paraId="161A2BE6" w14:textId="77777777" w:rsidR="004F5982" w:rsidRPr="004336EC" w:rsidRDefault="004F5982" w:rsidP="004F5982">
            <w:pPr>
              <w:spacing w:after="120" w:line="240" w:lineRule="auto"/>
              <w:jc w:val="both"/>
              <w:rPr>
                <w:rFonts w:ascii="Sylfaen" w:hAnsi="Sylfaen"/>
              </w:rPr>
            </w:pPr>
          </w:p>
        </w:tc>
      </w:tr>
      <w:tr w:rsidR="004F5982" w:rsidRPr="004336EC" w14:paraId="72306938" w14:textId="77777777" w:rsidTr="004F5982">
        <w:tc>
          <w:tcPr>
            <w:tcW w:w="3082" w:type="dxa"/>
            <w:gridSpan w:val="2"/>
            <w:shd w:val="clear" w:color="auto" w:fill="FFFFFF"/>
            <w:vAlign w:val="bottom"/>
          </w:tcPr>
          <w:p w14:paraId="405E3E3B" w14:textId="77777777" w:rsidR="004F5982" w:rsidRPr="004336EC" w:rsidRDefault="004F5982" w:rsidP="004F5982">
            <w:pPr>
              <w:spacing w:after="120" w:line="240" w:lineRule="auto"/>
              <w:ind w:left="220"/>
              <w:jc w:val="both"/>
              <w:rPr>
                <w:rFonts w:ascii="Sylfaen" w:hAnsi="Sylfaen"/>
              </w:rPr>
            </w:pPr>
            <w:r w:rsidRPr="004336EC">
              <w:rPr>
                <w:rStyle w:val="Bodytext28pt"/>
                <w:rFonts w:ascii="Sylfaen" w:eastAsiaTheme="minorHAnsi" w:hAnsi="Sylfaen"/>
                <w:sz w:val="22"/>
                <w:szCs w:val="22"/>
              </w:rPr>
              <w:t>C</w:t>
            </w:r>
            <w:r w:rsidRPr="004336EC">
              <w:rPr>
                <w:rStyle w:val="Bodytext28pt"/>
                <w:rFonts w:ascii="Sylfaen" w:eastAsiaTheme="minorHAnsi" w:hAnsi="Sylfaen"/>
                <w:sz w:val="22"/>
                <w:szCs w:val="22"/>
                <w:vertAlign w:val="subscript"/>
              </w:rPr>
              <w:t>max</w:t>
            </w:r>
          </w:p>
        </w:tc>
        <w:tc>
          <w:tcPr>
            <w:tcW w:w="3389" w:type="dxa"/>
            <w:gridSpan w:val="3"/>
            <w:shd w:val="clear" w:color="auto" w:fill="FFFFFF"/>
          </w:tcPr>
          <w:p w14:paraId="7A86230A" w14:textId="77777777" w:rsidR="004F5982" w:rsidRPr="004336EC" w:rsidRDefault="004F5982" w:rsidP="004F5982">
            <w:pPr>
              <w:spacing w:after="120" w:line="240" w:lineRule="auto"/>
              <w:jc w:val="both"/>
              <w:rPr>
                <w:rFonts w:ascii="Sylfaen" w:hAnsi="Sylfaen"/>
              </w:rPr>
            </w:pPr>
          </w:p>
        </w:tc>
        <w:tc>
          <w:tcPr>
            <w:tcW w:w="1996" w:type="dxa"/>
            <w:gridSpan w:val="2"/>
            <w:shd w:val="clear" w:color="auto" w:fill="FFFFFF"/>
          </w:tcPr>
          <w:p w14:paraId="06FB2D06" w14:textId="77777777" w:rsidR="004F5982" w:rsidRPr="004336EC" w:rsidRDefault="004F5982" w:rsidP="004F5982">
            <w:pPr>
              <w:spacing w:after="120" w:line="240" w:lineRule="auto"/>
              <w:jc w:val="both"/>
              <w:rPr>
                <w:rFonts w:ascii="Sylfaen" w:hAnsi="Sylfaen"/>
              </w:rPr>
            </w:pPr>
          </w:p>
        </w:tc>
        <w:tc>
          <w:tcPr>
            <w:tcW w:w="1482" w:type="dxa"/>
            <w:shd w:val="clear" w:color="auto" w:fill="FFFFFF"/>
          </w:tcPr>
          <w:p w14:paraId="6CFAF25A" w14:textId="77777777" w:rsidR="004F5982" w:rsidRPr="004336EC" w:rsidRDefault="004F5982" w:rsidP="004F5982">
            <w:pPr>
              <w:spacing w:after="120" w:line="240" w:lineRule="auto"/>
              <w:jc w:val="both"/>
              <w:rPr>
                <w:rFonts w:ascii="Sylfaen" w:hAnsi="Sylfaen"/>
              </w:rPr>
            </w:pPr>
          </w:p>
        </w:tc>
      </w:tr>
      <w:tr w:rsidR="004F5982" w:rsidRPr="004336EC" w14:paraId="57F3B7E3" w14:textId="77777777" w:rsidTr="004F5982">
        <w:tc>
          <w:tcPr>
            <w:tcW w:w="9949" w:type="dxa"/>
            <w:gridSpan w:val="8"/>
            <w:shd w:val="clear" w:color="auto" w:fill="FFFFFF"/>
            <w:vAlign w:val="bottom"/>
          </w:tcPr>
          <w:p w14:paraId="4641735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հաշվարկված է մնացորդային միջին քառակուսային շեղման հիման վրա (residual mean squares)</w:t>
            </w:r>
          </w:p>
        </w:tc>
      </w:tr>
      <w:tr w:rsidR="004F5982" w:rsidRPr="004336EC" w14:paraId="7557F934" w14:textId="77777777" w:rsidTr="004F5982">
        <w:tc>
          <w:tcPr>
            <w:tcW w:w="9949" w:type="dxa"/>
            <w:gridSpan w:val="8"/>
            <w:shd w:val="clear" w:color="auto" w:fill="FFFFFF"/>
            <w:vAlign w:val="center"/>
          </w:tcPr>
          <w:p w14:paraId="3BE25808"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629696AD" w14:textId="77777777" w:rsidTr="004F5982">
        <w:tc>
          <w:tcPr>
            <w:tcW w:w="9949" w:type="dxa"/>
            <w:gridSpan w:val="8"/>
            <w:shd w:val="clear" w:color="auto" w:fill="FFFFFF"/>
          </w:tcPr>
          <w:p w14:paraId="4B0038F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Անվտանգության վերաբերյալ տվյալները՝</w:t>
            </w:r>
          </w:p>
        </w:tc>
      </w:tr>
    </w:tbl>
    <w:p w14:paraId="461F4C1B" w14:textId="77777777" w:rsidR="004F5982" w:rsidRDefault="004F5982" w:rsidP="004F5982">
      <w:pPr>
        <w:spacing w:after="160" w:line="360" w:lineRule="auto"/>
        <w:jc w:val="both"/>
        <w:rPr>
          <w:rFonts w:ascii="Sylfaen" w:hAnsi="Sylfaen"/>
          <w:sz w:val="24"/>
          <w:szCs w:val="24"/>
        </w:rPr>
      </w:pPr>
    </w:p>
    <w:p w14:paraId="39B778CF" w14:textId="77777777" w:rsidR="004F5982" w:rsidRDefault="004F5982" w:rsidP="004F5982">
      <w:pPr>
        <w:spacing w:after="160" w:line="360" w:lineRule="auto"/>
        <w:jc w:val="both"/>
        <w:rPr>
          <w:rFonts w:ascii="Sylfaen" w:hAnsi="Sylfaen"/>
          <w:sz w:val="24"/>
          <w:szCs w:val="24"/>
        </w:rPr>
      </w:pPr>
    </w:p>
    <w:p w14:paraId="4EA25E3D" w14:textId="77777777" w:rsidR="00487007" w:rsidRDefault="00487007">
      <w:pPr>
        <w:widowControl/>
        <w:rPr>
          <w:rFonts w:ascii="Sylfaen" w:hAnsi="Sylfaen"/>
          <w:sz w:val="24"/>
          <w:szCs w:val="24"/>
        </w:rPr>
      </w:pPr>
      <w:r>
        <w:rPr>
          <w:rFonts w:ascii="Sylfaen" w:hAnsi="Sylfaen"/>
          <w:sz w:val="24"/>
          <w:szCs w:val="24"/>
        </w:rPr>
        <w:br w:type="page"/>
      </w:r>
    </w:p>
    <w:p w14:paraId="4606171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Եզրակացությունը</w:t>
      </w:r>
    </w:p>
    <w:p w14:paraId="72B17BE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&lt;Ելնելով կենսահամարժեքության հետազոտության (հետազոտությունների) ներկայացված արդյունքներից՝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ճանաչվում է [նշել համեմատման պատրաստուկի անվանումը]-ին կենսահամարժեք&gt;:</w:t>
      </w:r>
    </w:p>
    <w:p w14:paraId="1DEBABAF"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կամ</w:t>
      </w:r>
    </w:p>
    <w:p w14:paraId="75260CCC" w14:textId="7777777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&lt;Հաշվի առնելով [նշել հիմքերը] հետ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 ճանաչվում է [նշել</w:t>
      </w:r>
      <w:r>
        <w:rPr>
          <w:rFonts w:ascii="Sylfaen" w:hAnsi="Sylfaen"/>
          <w:i/>
          <w:sz w:val="24"/>
          <w:szCs w:val="24"/>
        </w:rPr>
        <w:t> </w:t>
      </w:r>
      <w:r w:rsidRPr="00826F05">
        <w:rPr>
          <w:rFonts w:ascii="Sylfaen" w:hAnsi="Sylfaen"/>
          <w:i/>
          <w:sz w:val="24"/>
          <w:szCs w:val="24"/>
        </w:rPr>
        <w:t>համեմատման պատրաստուկի անվանումը]-ին կենսահամարժեք &gt;:</w:t>
      </w:r>
    </w:p>
    <w:p w14:paraId="4FC5DF1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կիրառելի է, կարող է օգտագործվել հետ</w:t>
      </w:r>
      <w:r w:rsidR="00C54D75">
        <w:rPr>
          <w:rFonts w:ascii="Sylfaen" w:hAnsi="Sylfaen"/>
          <w:sz w:val="24"/>
          <w:szCs w:val="24"/>
        </w:rPr>
        <w:t>և</w:t>
      </w:r>
      <w:r w:rsidRPr="00826F05">
        <w:rPr>
          <w:rFonts w:ascii="Sylfaen" w:hAnsi="Sylfaen"/>
          <w:sz w:val="24"/>
          <w:szCs w:val="24"/>
        </w:rPr>
        <w:t>յալ ձ</w:t>
      </w:r>
      <w:r w:rsidR="00C54D75">
        <w:rPr>
          <w:rFonts w:ascii="Sylfaen" w:hAnsi="Sylfaen"/>
          <w:sz w:val="24"/>
          <w:szCs w:val="24"/>
        </w:rPr>
        <w:t>և</w:t>
      </w:r>
      <w:r w:rsidRPr="00826F05">
        <w:rPr>
          <w:rFonts w:ascii="Sylfaen" w:hAnsi="Sylfaen"/>
          <w:sz w:val="24"/>
          <w:szCs w:val="24"/>
        </w:rPr>
        <w:t>ակերպումը՝</w:t>
      </w:r>
    </w:p>
    <w:p w14:paraId="750CBEFC" w14:textId="117D544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&lt;[XX մգ] պարունակող պատրաստուկով [հետազոտության համարը] հետազոտության արդյունքները [կարող են (չեն կարող)] արտարկվել այլ [XX մգ] դոզավորումների՝ </w:t>
      </w:r>
      <w:r w:rsidR="005B4362">
        <w:rPr>
          <w:rFonts w:ascii="Sylfaen" w:hAnsi="Sylfaen"/>
          <w:i/>
          <w:sz w:val="24"/>
          <w:szCs w:val="24"/>
        </w:rPr>
        <w:t>Եվրասիական տնտեսական միության շրջանակներում դեղապատրաստուկների կենսահամարժեքության հետազոտությունների անցկացման կանոններում</w:t>
      </w:r>
      <w:r w:rsidRPr="00826F05">
        <w:rPr>
          <w:rFonts w:ascii="Sylfaen" w:hAnsi="Sylfaen"/>
          <w:i/>
          <w:sz w:val="24"/>
          <w:szCs w:val="24"/>
        </w:rPr>
        <w:t xml:space="preserve"> շարադրված պայմաններին համապատասխան&gt;:</w:t>
      </w:r>
    </w:p>
    <w:p w14:paraId="0507C1E3" w14:textId="77777777" w:rsidR="004F5982" w:rsidRPr="00826F05" w:rsidRDefault="004F5982" w:rsidP="00487007">
      <w:pPr>
        <w:spacing w:after="160" w:line="360" w:lineRule="auto"/>
        <w:jc w:val="both"/>
        <w:rPr>
          <w:rFonts w:ascii="Sylfaen" w:hAnsi="Sylfaen"/>
          <w:sz w:val="24"/>
          <w:szCs w:val="24"/>
        </w:rPr>
      </w:pPr>
    </w:p>
    <w:p w14:paraId="15A5CA27" w14:textId="77777777" w:rsidR="004F5982" w:rsidRPr="00826F05" w:rsidRDefault="004F5982" w:rsidP="00487007">
      <w:pPr>
        <w:spacing w:after="160" w:line="360" w:lineRule="auto"/>
        <w:ind w:right="-4"/>
        <w:jc w:val="center"/>
        <w:rPr>
          <w:rFonts w:ascii="Sylfaen" w:eastAsia="Times New Roman" w:hAnsi="Sylfaen" w:cs="Times New Roman"/>
          <w:sz w:val="24"/>
          <w:szCs w:val="24"/>
        </w:rPr>
      </w:pPr>
      <w:r w:rsidRPr="00826F05">
        <w:rPr>
          <w:rFonts w:ascii="Sylfaen" w:hAnsi="Sylfaen"/>
          <w:sz w:val="24"/>
          <w:szCs w:val="24"/>
        </w:rPr>
        <w:t>2.3.2. Դեղադինամիկան</w:t>
      </w:r>
    </w:p>
    <w:p w14:paraId="144905D9" w14:textId="6395CE2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&lt;Նոր դեղադինամիկ հետազոտությունների արդյունքներ չեն ներկայացվել, սույն </w:t>
      </w:r>
      <w:r w:rsidR="0056496B">
        <w:rPr>
          <w:rFonts w:ascii="Sylfaen" w:hAnsi="Sylfaen"/>
          <w:i/>
          <w:sz w:val="24"/>
          <w:szCs w:val="24"/>
        </w:rPr>
        <w:t>դիմում</w:t>
      </w:r>
      <w:r w:rsidRPr="00826F05">
        <w:rPr>
          <w:rFonts w:ascii="Sylfaen" w:hAnsi="Sylfaen"/>
          <w:i/>
          <w:sz w:val="24"/>
          <w:szCs w:val="24"/>
        </w:rPr>
        <w:t>ի համատեքստում նման հետազոտություններ չեն պահանջվում&gt;:</w:t>
      </w:r>
    </w:p>
    <w:p w14:paraId="50721AD7"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Փորձագետի մեկնաբանությունը՝</w:t>
      </w:r>
    </w:p>
    <w:p w14:paraId="447C8F1C" w14:textId="77777777" w:rsidR="004F5982" w:rsidRPr="00826F05" w:rsidRDefault="004F5982" w:rsidP="00487007">
      <w:pPr>
        <w:spacing w:after="160" w:line="360" w:lineRule="auto"/>
        <w:ind w:firstLine="567"/>
        <w:jc w:val="both"/>
        <w:rPr>
          <w:rFonts w:ascii="Sylfaen" w:hAnsi="Sylfaen"/>
          <w:sz w:val="24"/>
          <w:szCs w:val="24"/>
        </w:rPr>
      </w:pPr>
    </w:p>
    <w:p w14:paraId="798AF950"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2.3.3. Հետգրանցումային փորձը</w:t>
      </w:r>
    </w:p>
    <w:p w14:paraId="638B7197"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i/>
          <w:sz w:val="24"/>
          <w:szCs w:val="24"/>
        </w:rPr>
        <w:t xml:space="preserve">&lt;Կիրառման հետգրանցումային փորձը բացակայում է: Դեղապատրաստուկը Միության սահմաններից դուրս չի կիրառվել&gt;: </w:t>
      </w:r>
    </w:p>
    <w:p w14:paraId="77918DB0" w14:textId="77777777" w:rsidR="004F5982" w:rsidRDefault="004F5982" w:rsidP="00487007">
      <w:pPr>
        <w:spacing w:after="160" w:line="360" w:lineRule="auto"/>
        <w:ind w:left="567" w:right="565"/>
        <w:jc w:val="center"/>
        <w:rPr>
          <w:rFonts w:ascii="Sylfaen" w:hAnsi="Sylfaen"/>
          <w:sz w:val="24"/>
          <w:szCs w:val="24"/>
        </w:rPr>
      </w:pPr>
    </w:p>
    <w:p w14:paraId="25F57EF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2.3.4. Կլինիկական ասպեկտների քննարկումը</w:t>
      </w:r>
    </w:p>
    <w:p w14:paraId="56159909"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2.3.5. Կլինիկական ասպեկտների վերաբերյալ եզրակացությունը</w:t>
      </w:r>
    </w:p>
    <w:p w14:paraId="159CC20B" w14:textId="77777777" w:rsidR="004F5982" w:rsidRPr="000A280D" w:rsidRDefault="004F5982" w:rsidP="00487007">
      <w:pPr>
        <w:spacing w:after="160" w:line="360" w:lineRule="auto"/>
        <w:ind w:right="-2" w:firstLine="567"/>
        <w:jc w:val="both"/>
        <w:rPr>
          <w:rFonts w:ascii="Sylfaen" w:eastAsia="Times New Roman" w:hAnsi="Sylfaen" w:cs="Times New Roman"/>
          <w:i/>
          <w:sz w:val="24"/>
          <w:szCs w:val="24"/>
        </w:rPr>
      </w:pPr>
      <w:r w:rsidRPr="000A280D">
        <w:rPr>
          <w:rFonts w:ascii="Sylfaen" w:hAnsi="Sylfaen"/>
          <w:i/>
          <w:sz w:val="24"/>
          <w:szCs w:val="24"/>
        </w:rPr>
        <w:t xml:space="preserve">&lt;[Դեղապատրաստուկի անվանումը] կլինիկական տվյալների վերաբերյալ գրական աղբյուրների ռեզյումեն </w:t>
      </w:r>
      <w:r w:rsidR="00C54D75">
        <w:rPr>
          <w:rFonts w:ascii="Sylfaen" w:hAnsi="Sylfaen"/>
          <w:i/>
          <w:sz w:val="24"/>
          <w:szCs w:val="24"/>
        </w:rPr>
        <w:t>և</w:t>
      </w:r>
      <w:r w:rsidRPr="000A280D">
        <w:rPr>
          <w:rFonts w:ascii="Sylfaen" w:hAnsi="Sylfaen"/>
          <w:i/>
          <w:sz w:val="24"/>
          <w:szCs w:val="24"/>
        </w:rPr>
        <w:t xml:space="preserve"> հիմնավորումն այն բանի,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0A280D">
        <w:rPr>
          <w:rFonts w:ascii="Sylfaen" w:hAnsi="Sylfaen"/>
          <w:i/>
          <w:sz w:val="24"/>
          <w:szCs w:val="24"/>
        </w:rPr>
        <w:t xml:space="preserve"> արդյունավետության պրոֆիլից, ներկայացվել</w:t>
      </w:r>
      <w:r>
        <w:rPr>
          <w:rFonts w:ascii="Sylfaen" w:hAnsi="Sylfaen"/>
          <w:i/>
          <w:sz w:val="24"/>
          <w:szCs w:val="24"/>
        </w:rPr>
        <w:t> </w:t>
      </w:r>
      <w:r w:rsidRPr="000A280D">
        <w:rPr>
          <w:rFonts w:ascii="Sylfaen" w:hAnsi="Sylfaen"/>
          <w:i/>
          <w:sz w:val="24"/>
          <w:szCs w:val="24"/>
        </w:rPr>
        <w:t xml:space="preserve">են [չեն ներկայացվել] </w:t>
      </w:r>
      <w:r w:rsidR="00C54D75">
        <w:rPr>
          <w:rFonts w:ascii="Sylfaen" w:hAnsi="Sylfaen"/>
          <w:i/>
          <w:sz w:val="24"/>
          <w:szCs w:val="24"/>
        </w:rPr>
        <w:t>և</w:t>
      </w:r>
      <w:r w:rsidRPr="000A280D">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w:t>
      </w:r>
      <w:r>
        <w:rPr>
          <w:rFonts w:ascii="Sylfaen" w:hAnsi="Sylfaen"/>
          <w:i/>
          <w:sz w:val="24"/>
          <w:szCs w:val="24"/>
        </w:rPr>
        <w:t> </w:t>
      </w:r>
      <w:r w:rsidRPr="000A280D">
        <w:rPr>
          <w:rFonts w:ascii="Sylfaen" w:hAnsi="Sylfaen"/>
          <w:i/>
          <w:sz w:val="24"/>
          <w:szCs w:val="24"/>
        </w:rPr>
        <w:t>պահանջվում] կլինիկական լրացուցիչ հետազոտությունների անցկացում&gt;:</w:t>
      </w:r>
    </w:p>
    <w:p w14:paraId="39CCD652" w14:textId="77777777" w:rsidR="004F5982" w:rsidRPr="000A280D" w:rsidRDefault="004F5982" w:rsidP="00487007">
      <w:pPr>
        <w:spacing w:after="160" w:line="360" w:lineRule="auto"/>
        <w:ind w:right="-2" w:firstLine="567"/>
        <w:jc w:val="both"/>
        <w:rPr>
          <w:rFonts w:ascii="Sylfaen" w:eastAsia="Times New Roman" w:hAnsi="Sylfaen" w:cs="Times New Roman"/>
          <w:i/>
          <w:sz w:val="24"/>
          <w:szCs w:val="24"/>
        </w:rPr>
      </w:pPr>
      <w:r w:rsidRPr="000A280D">
        <w:rPr>
          <w:rFonts w:ascii="Sylfaen" w:hAnsi="Sylfaen"/>
          <w:i/>
          <w:sz w:val="24"/>
          <w:szCs w:val="24"/>
        </w:rPr>
        <w:t>&lt;Կլինիկական ասպեկտների վերաբերյալ դիտողությունները վերացնելու համար անհրաժեշտ եմ համարում հետ</w:t>
      </w:r>
      <w:r w:rsidR="00C54D75">
        <w:rPr>
          <w:rFonts w:ascii="Sylfaen" w:hAnsi="Sylfaen"/>
          <w:i/>
          <w:sz w:val="24"/>
          <w:szCs w:val="24"/>
        </w:rPr>
        <w:t>և</w:t>
      </w:r>
      <w:r w:rsidRPr="000A280D">
        <w:rPr>
          <w:rFonts w:ascii="Sylfaen" w:hAnsi="Sylfaen"/>
          <w:i/>
          <w:sz w:val="24"/>
          <w:szCs w:val="24"/>
        </w:rPr>
        <w:t>յալ միջոցների ձեռնարկումը՝ [թվարկել</w:t>
      </w:r>
      <w:r>
        <w:rPr>
          <w:rFonts w:ascii="Sylfaen" w:hAnsi="Sylfaen"/>
          <w:i/>
          <w:sz w:val="24"/>
          <w:szCs w:val="24"/>
        </w:rPr>
        <w:t> </w:t>
      </w:r>
      <w:r w:rsidRPr="000A280D">
        <w:rPr>
          <w:rFonts w:ascii="Sylfaen" w:hAnsi="Sylfaen"/>
          <w:i/>
          <w:sz w:val="24"/>
          <w:szCs w:val="24"/>
        </w:rPr>
        <w:t>անհրաժեշտ միջոցները]&gt;:</w:t>
      </w:r>
    </w:p>
    <w:p w14:paraId="0246D5B8" w14:textId="77777777" w:rsidR="004F5982" w:rsidRPr="00826F05" w:rsidRDefault="004F5982" w:rsidP="00487007">
      <w:pPr>
        <w:spacing w:after="160" w:line="360" w:lineRule="auto"/>
        <w:jc w:val="both"/>
        <w:rPr>
          <w:rFonts w:ascii="Sylfaen" w:hAnsi="Sylfaen"/>
          <w:sz w:val="24"/>
          <w:szCs w:val="24"/>
        </w:rPr>
      </w:pPr>
    </w:p>
    <w:p w14:paraId="7281A3B8"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3. Դեղազգոնությունը</w:t>
      </w:r>
    </w:p>
    <w:p w14:paraId="7272CCA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3.1. Դեղազգոնության համակարգը</w:t>
      </w:r>
    </w:p>
    <w:p w14:paraId="3922B295" w14:textId="3CF394C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 xml:space="preserve">ն ներկայացրել է փաստաթղթեր, որոնք պարունակում են դեղազգոնության համակարգի մանրամասն նկարագրությունը: Ներկայացվել է </w:t>
      </w:r>
      <w:r w:rsidR="0056496B">
        <w:rPr>
          <w:rFonts w:ascii="Sylfaen" w:hAnsi="Sylfaen"/>
          <w:i/>
          <w:sz w:val="24"/>
          <w:szCs w:val="24"/>
        </w:rPr>
        <w:t>դիմումատու</w:t>
      </w:r>
      <w:r w:rsidRPr="00826F05">
        <w:rPr>
          <w:rFonts w:ascii="Sylfaen" w:hAnsi="Sylfaen"/>
          <w:i/>
          <w:sz w:val="24"/>
          <w:szCs w:val="24"/>
        </w:rPr>
        <w:t xml:space="preserve">ի </w:t>
      </w:r>
      <w:r w:rsidR="00C54D75">
        <w:rPr>
          <w:rFonts w:ascii="Sylfaen" w:hAnsi="Sylfaen"/>
          <w:i/>
          <w:sz w:val="24"/>
          <w:szCs w:val="24"/>
        </w:rPr>
        <w:t>և</w:t>
      </w:r>
      <w:r w:rsidRPr="00826F05">
        <w:rPr>
          <w:rFonts w:ascii="Sylfaen" w:hAnsi="Sylfaen"/>
          <w:i/>
          <w:sz w:val="24"/>
          <w:szCs w:val="24"/>
        </w:rPr>
        <w:t xml:space="preserve"> դեղազգոնության մասով լիազորված անձի կողմից ստորագրված</w:t>
      </w:r>
      <w:r w:rsidR="005A46D4">
        <w:rPr>
          <w:rFonts w:ascii="Sylfaen" w:hAnsi="Sylfaen"/>
          <w:i/>
          <w:sz w:val="24"/>
          <w:szCs w:val="24"/>
        </w:rPr>
        <w:t>հայտարարագիր</w:t>
      </w:r>
      <w:r w:rsidRPr="00826F05">
        <w:rPr>
          <w:rFonts w:ascii="Sylfaen" w:hAnsi="Sylfaen"/>
          <w:i/>
          <w:sz w:val="24"/>
          <w:szCs w:val="24"/>
        </w:rPr>
        <w:t xml:space="preserve">, որը հավաստում է,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պետություններում առաջացող ցանկացած անցանկալի ռեակցիայի մասին ծանուցելու համար անհրաժեշտ միջոցներ&gt;:</w:t>
      </w:r>
    </w:p>
    <w:p w14:paraId="0329DEB7" w14:textId="0346754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w:t>
      </w:r>
      <w:r w:rsidR="0056496B">
        <w:rPr>
          <w:rFonts w:ascii="Sylfaen" w:hAnsi="Sylfaen"/>
          <w:i/>
          <w:sz w:val="24"/>
          <w:szCs w:val="24"/>
        </w:rPr>
        <w:t>դիմումատու</w:t>
      </w:r>
      <w:r w:rsidRPr="00826F05">
        <w:rPr>
          <w:rFonts w:ascii="Sylfaen" w:hAnsi="Sylfaen"/>
          <w:i/>
          <w:sz w:val="24"/>
          <w:szCs w:val="24"/>
        </w:rPr>
        <w:t xml:space="preserve">ի կողմից նկարագրված դեղազգոնության համակարգը բավարարում է պահանջները </w:t>
      </w:r>
      <w:r w:rsidR="00C54D75">
        <w:rPr>
          <w:rFonts w:ascii="Sylfaen" w:hAnsi="Sylfaen"/>
          <w:i/>
          <w:sz w:val="24"/>
          <w:szCs w:val="24"/>
        </w:rPr>
        <w:t>և</w:t>
      </w:r>
      <w:r w:rsidRPr="00826F05">
        <w:rPr>
          <w:rFonts w:ascii="Sylfaen" w:hAnsi="Sylfaen"/>
          <w:i/>
          <w:sz w:val="24"/>
          <w:szCs w:val="24"/>
        </w:rPr>
        <w:t xml:space="preserve"> պարունակում է բավարար </w:t>
      </w:r>
      <w:r w:rsidRPr="00826F05">
        <w:rPr>
          <w:rFonts w:ascii="Sylfaen" w:hAnsi="Sylfaen"/>
          <w:i/>
          <w:sz w:val="24"/>
          <w:szCs w:val="24"/>
        </w:rPr>
        <w:lastRenderedPageBreak/>
        <w:t xml:space="preserve">հաստատումն այն բանի,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երկրում առաջացող ցանկացած անցանկալի ռեակցիայի մասին ծանուցելու համար անհրաժեշտ միջոցներ&gt;:</w:t>
      </w:r>
    </w:p>
    <w:p w14:paraId="7851CB20" w14:textId="4C9E9030"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&lt;Կարծում եմ, որ </w:t>
      </w:r>
      <w:r w:rsidR="0056496B">
        <w:rPr>
          <w:rFonts w:ascii="Sylfaen" w:hAnsi="Sylfaen"/>
          <w:i/>
          <w:sz w:val="24"/>
          <w:szCs w:val="24"/>
        </w:rPr>
        <w:t>դիմումատու</w:t>
      </w:r>
      <w:r w:rsidRPr="00826F05">
        <w:rPr>
          <w:rFonts w:ascii="Sylfaen" w:hAnsi="Sylfaen"/>
          <w:i/>
          <w:sz w:val="24"/>
          <w:szCs w:val="24"/>
        </w:rPr>
        <w:t>ի կողմից նկարագրված դեղազգոնության համակարգն ունի հետ</w:t>
      </w:r>
      <w:r w:rsidR="00C54D75">
        <w:rPr>
          <w:rFonts w:ascii="Sylfaen" w:hAnsi="Sylfaen"/>
          <w:i/>
          <w:sz w:val="24"/>
          <w:szCs w:val="24"/>
        </w:rPr>
        <w:t>և</w:t>
      </w:r>
      <w:r w:rsidRPr="00826F05">
        <w:rPr>
          <w:rFonts w:ascii="Sylfaen" w:hAnsi="Sylfaen"/>
          <w:i/>
          <w:sz w:val="24"/>
          <w:szCs w:val="24"/>
        </w:rPr>
        <w:t>յալ թերությունները՝ &lt;թերությունների ցանկը&gt;:</w:t>
      </w:r>
    </w:p>
    <w:p w14:paraId="74EA70C0" w14:textId="6D8E5B0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&lt;Մինչ</w:t>
      </w:r>
      <w:r w:rsidR="00C54D75">
        <w:rPr>
          <w:rFonts w:ascii="Sylfaen" w:hAnsi="Sylfaen"/>
          <w:i/>
          <w:sz w:val="24"/>
          <w:szCs w:val="24"/>
        </w:rPr>
        <w:t>և</w:t>
      </w:r>
      <w:r w:rsidRPr="00826F05">
        <w:rPr>
          <w:rFonts w:ascii="Sylfaen" w:hAnsi="Sylfaen"/>
          <w:i/>
          <w:sz w:val="24"/>
          <w:szCs w:val="24"/>
        </w:rPr>
        <w:t xml:space="preserve"> դեղապատրաստուկի իրացման մեկնարկը </w:t>
      </w:r>
      <w:r w:rsidR="0056496B">
        <w:rPr>
          <w:rFonts w:ascii="Sylfaen" w:hAnsi="Sylfaen"/>
          <w:i/>
          <w:sz w:val="24"/>
          <w:szCs w:val="24"/>
        </w:rPr>
        <w:t>դիմումատու</w:t>
      </w:r>
      <w:r w:rsidRPr="00826F05">
        <w:rPr>
          <w:rFonts w:ascii="Sylfaen" w:hAnsi="Sylfaen"/>
          <w:i/>
          <w:sz w:val="24"/>
          <w:szCs w:val="24"/>
        </w:rPr>
        <w:t xml:space="preserve">ի կողմից թերությունները վերացնելու դեպքում լիազորված մարմինը կարող է դեղազգոնության համակարգը ճանաչել որպես պահանջները բավարարող: </w:t>
      </w:r>
      <w:r w:rsidR="0056496B">
        <w:rPr>
          <w:rFonts w:ascii="Sylfaen" w:hAnsi="Sylfaen"/>
          <w:i/>
          <w:sz w:val="24"/>
          <w:szCs w:val="24"/>
        </w:rPr>
        <w:t>Դիմումատու</w:t>
      </w:r>
      <w:r w:rsidRPr="00826F05">
        <w:rPr>
          <w:rFonts w:ascii="Sylfaen" w:hAnsi="Sylfaen"/>
          <w:i/>
          <w:sz w:val="24"/>
          <w:szCs w:val="24"/>
        </w:rPr>
        <w:t>ն պետք է դեղազգոնության համակարգի առկայությունն ու գործառումն ապահովի մինչ</w:t>
      </w:r>
      <w:r w:rsidR="00C54D75">
        <w:rPr>
          <w:rFonts w:ascii="Sylfaen" w:hAnsi="Sylfaen"/>
          <w:i/>
          <w:sz w:val="24"/>
          <w:szCs w:val="24"/>
        </w:rPr>
        <w:t>և</w:t>
      </w:r>
      <w:r w:rsidRPr="00826F05">
        <w:rPr>
          <w:rFonts w:ascii="Sylfaen" w:hAnsi="Sylfaen"/>
          <w:i/>
          <w:sz w:val="24"/>
          <w:szCs w:val="24"/>
        </w:rPr>
        <w:t xml:space="preserve"> իրացման մեկնարկը:</w:t>
      </w:r>
    </w:p>
    <w:p w14:paraId="60F47CB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Փորձագետի մեկնաբանությունը՝</w:t>
      </w:r>
    </w:p>
    <w:p w14:paraId="1E6097C0" w14:textId="77777777" w:rsidR="004F5982" w:rsidRDefault="004F5982" w:rsidP="00487007">
      <w:pPr>
        <w:spacing w:after="160" w:line="360" w:lineRule="auto"/>
        <w:ind w:right="-4"/>
        <w:jc w:val="both"/>
        <w:rPr>
          <w:rFonts w:ascii="Sylfaen" w:hAnsi="Sylfaen"/>
          <w:sz w:val="24"/>
          <w:szCs w:val="24"/>
        </w:rPr>
      </w:pPr>
    </w:p>
    <w:p w14:paraId="7AAA677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3.2. Ռիսկերի կառավարման պլանը</w:t>
      </w:r>
    </w:p>
    <w:p w14:paraId="7650C58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Դիտողություններ </w:t>
      </w:r>
      <w:r w:rsidR="00C54D75">
        <w:rPr>
          <w:rFonts w:ascii="Sylfaen" w:hAnsi="Sylfaen"/>
          <w:sz w:val="24"/>
          <w:szCs w:val="24"/>
        </w:rPr>
        <w:t>և</w:t>
      </w:r>
      <w:r w:rsidRPr="00826F05">
        <w:rPr>
          <w:rFonts w:ascii="Sylfaen" w:hAnsi="Sylfaen"/>
          <w:sz w:val="24"/>
          <w:szCs w:val="24"/>
        </w:rPr>
        <w:t xml:space="preserve"> (կամ) կասկածներ, որոնք փորձագետը պետք է հաշվի</w:t>
      </w:r>
      <w:r>
        <w:rPr>
          <w:rFonts w:ascii="Sylfaen" w:hAnsi="Sylfaen"/>
          <w:sz w:val="24"/>
          <w:szCs w:val="24"/>
        </w:rPr>
        <w:t> </w:t>
      </w:r>
      <w:r w:rsidRPr="00826F05">
        <w:rPr>
          <w:rFonts w:ascii="Sylfaen" w:hAnsi="Sylfaen"/>
          <w:sz w:val="24"/>
          <w:szCs w:val="24"/>
        </w:rPr>
        <w:t>առնի ՌԿՊ-ի փորձաքննության ժամանակ՝</w:t>
      </w:r>
    </w:p>
    <w:p w14:paraId="13B5CE64" w14:textId="77777777" w:rsidR="004F5982" w:rsidRPr="00826F05" w:rsidRDefault="004F5982" w:rsidP="00487007">
      <w:pPr>
        <w:spacing w:after="160" w:line="360" w:lineRule="auto"/>
        <w:jc w:val="both"/>
        <w:rPr>
          <w:rFonts w:ascii="Sylfaen" w:hAnsi="Sylfaen"/>
          <w:sz w:val="24"/>
          <w:szCs w:val="24"/>
        </w:rPr>
      </w:pPr>
    </w:p>
    <w:p w14:paraId="40BB94C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 Փորձագետի դիտողությունների ցանկը</w:t>
      </w:r>
    </w:p>
    <w:p w14:paraId="7747E7A4" w14:textId="77777777" w:rsidR="004F5982" w:rsidRDefault="004F5982" w:rsidP="00487007">
      <w:pPr>
        <w:spacing w:after="160" w:line="360" w:lineRule="auto"/>
        <w:ind w:left="567" w:right="-2"/>
        <w:jc w:val="both"/>
        <w:rPr>
          <w:rFonts w:ascii="Sylfaen" w:hAnsi="Sylfaen"/>
          <w:sz w:val="24"/>
          <w:szCs w:val="24"/>
        </w:rPr>
      </w:pPr>
      <w:r w:rsidRPr="00826F05">
        <w:rPr>
          <w:rFonts w:ascii="Sylfaen" w:hAnsi="Sylfaen"/>
          <w:sz w:val="24"/>
          <w:szCs w:val="24"/>
        </w:rPr>
        <w:t>Նախակլինիկական ասպեկտները՝</w:t>
      </w:r>
    </w:p>
    <w:p w14:paraId="1C8E6BC0" w14:textId="77777777" w:rsidR="004F5982" w:rsidRPr="00826F05" w:rsidRDefault="004F5982" w:rsidP="00487007">
      <w:pPr>
        <w:spacing w:after="160" w:line="360" w:lineRule="auto"/>
        <w:ind w:left="567" w:right="4534"/>
        <w:jc w:val="both"/>
        <w:rPr>
          <w:rFonts w:ascii="Sylfaen" w:eastAsia="Times New Roman" w:hAnsi="Sylfaen" w:cs="Times New Roman"/>
          <w:sz w:val="24"/>
          <w:szCs w:val="24"/>
        </w:rPr>
      </w:pPr>
    </w:p>
    <w:p w14:paraId="1EC87141" w14:textId="77777777" w:rsidR="004F5982" w:rsidRPr="00826F05" w:rsidRDefault="004F5982" w:rsidP="00487007">
      <w:pPr>
        <w:spacing w:after="160" w:line="360" w:lineRule="auto"/>
        <w:ind w:left="567" w:right="-2"/>
        <w:jc w:val="both"/>
        <w:rPr>
          <w:rFonts w:ascii="Sylfaen" w:eastAsia="Times New Roman" w:hAnsi="Sylfaen" w:cs="Times New Roman"/>
          <w:sz w:val="24"/>
          <w:szCs w:val="24"/>
        </w:rPr>
      </w:pPr>
      <w:r w:rsidRPr="00826F05">
        <w:rPr>
          <w:rFonts w:ascii="Sylfaen" w:hAnsi="Sylfaen"/>
          <w:sz w:val="24"/>
          <w:szCs w:val="24"/>
        </w:rPr>
        <w:t>Կրիտիկական դիտողությունները՝</w:t>
      </w:r>
    </w:p>
    <w:p w14:paraId="0AAD8F8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3F68CBE5"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&lt;Դեղաբանությունը&gt;</w:t>
      </w:r>
    </w:p>
    <w:p w14:paraId="3262E875"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177CA94C"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lastRenderedPageBreak/>
        <w:t>&lt;Թունաբանությունը&gt;</w:t>
      </w:r>
    </w:p>
    <w:p w14:paraId="24778574" w14:textId="77777777" w:rsidR="004F5982" w:rsidRPr="00826F05" w:rsidRDefault="004F5982" w:rsidP="00487007">
      <w:pPr>
        <w:spacing w:after="160" w:line="360" w:lineRule="auto"/>
        <w:ind w:left="567" w:right="-20"/>
        <w:jc w:val="both"/>
        <w:rPr>
          <w:rFonts w:ascii="Sylfaen" w:eastAsia="Times New Roman" w:hAnsi="Sylfaen" w:cs="Times New Roman"/>
          <w:sz w:val="24"/>
          <w:szCs w:val="24"/>
        </w:rPr>
      </w:pPr>
      <w:r w:rsidRPr="00826F05">
        <w:rPr>
          <w:rFonts w:ascii="Sylfaen" w:hAnsi="Sylfaen"/>
          <w:sz w:val="24"/>
          <w:szCs w:val="24"/>
        </w:rPr>
        <w:t>Այլ դիտողություններ՝</w:t>
      </w:r>
    </w:p>
    <w:p w14:paraId="18477980"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090CEC7C"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&lt;Դեղաբանությունը&gt;</w:t>
      </w:r>
    </w:p>
    <w:p w14:paraId="4FD90160"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53169FC8" w14:textId="77777777" w:rsidR="004F5982" w:rsidRDefault="004F5982" w:rsidP="00487007">
      <w:pPr>
        <w:spacing w:after="160" w:line="360" w:lineRule="auto"/>
        <w:ind w:left="1134" w:right="-20"/>
        <w:jc w:val="both"/>
        <w:rPr>
          <w:rFonts w:ascii="Sylfaen" w:hAnsi="Sylfaen"/>
          <w:sz w:val="24"/>
          <w:szCs w:val="24"/>
        </w:rPr>
      </w:pPr>
      <w:r w:rsidRPr="00826F05">
        <w:rPr>
          <w:rFonts w:ascii="Sylfaen" w:hAnsi="Sylfaen"/>
          <w:sz w:val="24"/>
          <w:szCs w:val="24"/>
        </w:rPr>
        <w:t>&lt;Թունաբանությունը&gt;</w:t>
      </w:r>
    </w:p>
    <w:p w14:paraId="25FCA8AE"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p>
    <w:p w14:paraId="68DFD9B3" w14:textId="77777777" w:rsidR="004F5982" w:rsidRDefault="004F5982" w:rsidP="00487007">
      <w:pPr>
        <w:spacing w:after="160" w:line="360" w:lineRule="auto"/>
        <w:ind w:left="567" w:right="-20"/>
        <w:jc w:val="both"/>
        <w:rPr>
          <w:rFonts w:ascii="Sylfaen" w:hAnsi="Sylfaen"/>
          <w:sz w:val="24"/>
          <w:szCs w:val="24"/>
        </w:rPr>
      </w:pPr>
      <w:r w:rsidRPr="00826F05">
        <w:rPr>
          <w:rFonts w:ascii="Sylfaen" w:hAnsi="Sylfaen"/>
          <w:sz w:val="24"/>
          <w:szCs w:val="24"/>
        </w:rPr>
        <w:t>Կլինիկական ասպեկտները՝</w:t>
      </w:r>
    </w:p>
    <w:p w14:paraId="6EAF9499" w14:textId="77777777" w:rsidR="004F5982" w:rsidRPr="00826F05" w:rsidRDefault="004F5982" w:rsidP="00487007">
      <w:pPr>
        <w:spacing w:after="160" w:line="360" w:lineRule="auto"/>
        <w:ind w:left="810" w:right="-20"/>
        <w:jc w:val="both"/>
        <w:rPr>
          <w:rFonts w:ascii="Sylfaen" w:eastAsia="Times New Roman" w:hAnsi="Sylfaen" w:cs="Times New Roman"/>
          <w:sz w:val="24"/>
          <w:szCs w:val="24"/>
        </w:rPr>
      </w:pPr>
    </w:p>
    <w:p w14:paraId="60E492FD" w14:textId="77777777" w:rsidR="004F5982" w:rsidRPr="00826F05" w:rsidRDefault="004F5982" w:rsidP="00487007">
      <w:pPr>
        <w:spacing w:after="160" w:line="360" w:lineRule="auto"/>
        <w:ind w:left="567" w:right="-2"/>
        <w:jc w:val="both"/>
        <w:rPr>
          <w:rFonts w:ascii="Sylfaen" w:eastAsia="Times New Roman" w:hAnsi="Sylfaen" w:cs="Times New Roman"/>
          <w:sz w:val="24"/>
          <w:szCs w:val="24"/>
        </w:rPr>
      </w:pPr>
      <w:r w:rsidRPr="00826F05">
        <w:rPr>
          <w:rFonts w:ascii="Sylfaen" w:hAnsi="Sylfaen"/>
          <w:sz w:val="24"/>
          <w:szCs w:val="24"/>
        </w:rPr>
        <w:t>Կրիտիկական դիտողությունները՝</w:t>
      </w:r>
    </w:p>
    <w:p w14:paraId="3BE7D2D8"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479087A1"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0EAFF931"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&lt;Դեղազգոնության համակարգը&gt;</w:t>
      </w:r>
    </w:p>
    <w:p w14:paraId="0FF78E24"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&lt;Ռիսկերի կառավարման պլանը&gt;</w:t>
      </w:r>
    </w:p>
    <w:p w14:paraId="2714BD8B" w14:textId="77777777" w:rsidR="004F5982" w:rsidRDefault="004F5982" w:rsidP="00487007">
      <w:pPr>
        <w:spacing w:after="160" w:line="360" w:lineRule="auto"/>
        <w:ind w:left="567" w:right="-20"/>
        <w:jc w:val="both"/>
        <w:rPr>
          <w:rFonts w:ascii="Sylfaen" w:hAnsi="Sylfaen"/>
          <w:sz w:val="24"/>
          <w:szCs w:val="24"/>
        </w:rPr>
      </w:pPr>
    </w:p>
    <w:p w14:paraId="61B83564" w14:textId="77777777" w:rsidR="004F5982" w:rsidRPr="00826F05" w:rsidRDefault="004F5982" w:rsidP="00487007">
      <w:pPr>
        <w:spacing w:after="160" w:line="360" w:lineRule="auto"/>
        <w:ind w:left="567" w:right="-20"/>
        <w:jc w:val="both"/>
        <w:rPr>
          <w:rFonts w:ascii="Sylfaen" w:eastAsia="Times New Roman" w:hAnsi="Sylfaen" w:cs="Times New Roman"/>
          <w:sz w:val="24"/>
          <w:szCs w:val="24"/>
        </w:rPr>
      </w:pPr>
      <w:r w:rsidRPr="00826F05">
        <w:rPr>
          <w:rFonts w:ascii="Sylfaen" w:hAnsi="Sylfaen"/>
          <w:sz w:val="24"/>
          <w:szCs w:val="24"/>
        </w:rPr>
        <w:t>Այլ դիտողություններ՝</w:t>
      </w:r>
    </w:p>
    <w:p w14:paraId="72E52A7F"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5C9C3CE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70DA346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&lt;Դեղազգոնության համակարգը&gt;</w:t>
      </w:r>
    </w:p>
    <w:p w14:paraId="7E1A1BC0" w14:textId="77777777" w:rsidR="004F5982" w:rsidRPr="00826F05" w:rsidRDefault="004F5982" w:rsidP="00487007">
      <w:pPr>
        <w:spacing w:after="160" w:line="360" w:lineRule="auto"/>
        <w:ind w:left="1134" w:right="-2"/>
        <w:jc w:val="both"/>
        <w:rPr>
          <w:rFonts w:ascii="Sylfaen" w:hAnsi="Sylfaen"/>
          <w:sz w:val="24"/>
          <w:szCs w:val="24"/>
        </w:rPr>
      </w:pPr>
      <w:r w:rsidRPr="00826F05">
        <w:rPr>
          <w:rFonts w:ascii="Sylfaen" w:hAnsi="Sylfaen"/>
          <w:sz w:val="24"/>
          <w:szCs w:val="24"/>
        </w:rPr>
        <w:t xml:space="preserve">&lt;Ռիսկերի կառավարման պլանը&gt; </w:t>
      </w:r>
    </w:p>
    <w:p w14:paraId="4AA79327" w14:textId="77777777" w:rsidR="004F5982" w:rsidRDefault="004F5982" w:rsidP="00487007">
      <w:pPr>
        <w:spacing w:after="160" w:line="360" w:lineRule="auto"/>
        <w:ind w:left="810" w:right="4543" w:firstLine="425"/>
        <w:jc w:val="both"/>
        <w:rPr>
          <w:rFonts w:ascii="Sylfaen" w:hAnsi="Sylfaen"/>
          <w:sz w:val="24"/>
          <w:szCs w:val="24"/>
        </w:rPr>
      </w:pPr>
    </w:p>
    <w:p w14:paraId="19C5297E" w14:textId="77777777" w:rsidR="004F5982" w:rsidRDefault="004F5982" w:rsidP="00487007">
      <w:pPr>
        <w:spacing w:after="160" w:line="360" w:lineRule="auto"/>
        <w:ind w:left="567" w:right="4543" w:firstLine="41"/>
        <w:jc w:val="both"/>
        <w:rPr>
          <w:rFonts w:ascii="Sylfaen" w:hAnsi="Sylfaen"/>
          <w:sz w:val="24"/>
          <w:szCs w:val="24"/>
        </w:rPr>
      </w:pPr>
      <w:r w:rsidRPr="00826F05">
        <w:rPr>
          <w:rFonts w:ascii="Sylfaen" w:hAnsi="Sylfaen"/>
          <w:sz w:val="24"/>
          <w:szCs w:val="24"/>
        </w:rPr>
        <w:t>Առաջարկությունները՝</w:t>
      </w:r>
    </w:p>
    <w:p w14:paraId="3BD596F3" w14:textId="77777777" w:rsidR="004F5982" w:rsidRPr="00826F05" w:rsidRDefault="004F5982" w:rsidP="00487007">
      <w:pPr>
        <w:spacing w:after="160" w:line="360" w:lineRule="auto"/>
        <w:ind w:left="810" w:right="4543" w:firstLine="425"/>
        <w:jc w:val="both"/>
        <w:rPr>
          <w:rFonts w:ascii="Sylfaen" w:eastAsia="Times New Roman" w:hAnsi="Sylfaen" w:cs="Times New Roman"/>
          <w:sz w:val="24"/>
          <w:szCs w:val="24"/>
        </w:rPr>
      </w:pPr>
    </w:p>
    <w:p w14:paraId="0C0CA965" w14:textId="03154452"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5. Փորձագետի կողմից առաջարկվող պայմանները, որոնց կատարումը </w:t>
      </w:r>
      <w:r w:rsidR="0056496B">
        <w:rPr>
          <w:rFonts w:ascii="Sylfaen" w:hAnsi="Sylfaen"/>
          <w:sz w:val="24"/>
          <w:szCs w:val="24"/>
        </w:rPr>
        <w:t>դիմումատու</w:t>
      </w:r>
      <w:r w:rsidRPr="00826F05">
        <w:rPr>
          <w:rFonts w:ascii="Sylfaen" w:hAnsi="Sylfaen"/>
          <w:sz w:val="24"/>
          <w:szCs w:val="24"/>
        </w:rPr>
        <w:t xml:space="preserve">ի կողմից անհրաժեշտ է գրանցման հավաստագիրը ստանալուց </w:t>
      </w:r>
      <w:r w:rsidR="00C54D75">
        <w:rPr>
          <w:rFonts w:ascii="Sylfaen" w:hAnsi="Sylfaen"/>
          <w:sz w:val="24"/>
          <w:szCs w:val="24"/>
        </w:rPr>
        <w:t>և</w:t>
      </w:r>
      <w:r w:rsidRPr="00826F05">
        <w:rPr>
          <w:rFonts w:ascii="Sylfaen" w:hAnsi="Sylfaen"/>
          <w:sz w:val="24"/>
          <w:szCs w:val="24"/>
        </w:rPr>
        <w:t xml:space="preserve"> դեղապատրաստուկի ընդհանուր բնութագիրը, բժշկական կիրառման հրահանգները (ներդիր թերթիկը) </w:t>
      </w:r>
      <w:r w:rsidR="00C54D75">
        <w:rPr>
          <w:rFonts w:ascii="Sylfaen" w:hAnsi="Sylfaen"/>
          <w:sz w:val="24"/>
          <w:szCs w:val="24"/>
        </w:rPr>
        <w:t>և</w:t>
      </w:r>
      <w:r w:rsidRPr="00826F05">
        <w:rPr>
          <w:rFonts w:ascii="Sylfaen" w:hAnsi="Sylfaen"/>
          <w:sz w:val="24"/>
          <w:szCs w:val="24"/>
        </w:rPr>
        <w:t xml:space="preserve"> դեղապատրաստուկի փաթեթվածքի դիզայնը հաստատելուց հետո</w:t>
      </w:r>
    </w:p>
    <w:p w14:paraId="5CCB353F" w14:textId="77777777" w:rsidR="004F5982" w:rsidRPr="00826F05" w:rsidRDefault="004F5982" w:rsidP="00487007">
      <w:pPr>
        <w:spacing w:after="160" w:line="360" w:lineRule="auto"/>
        <w:ind w:right="-4"/>
        <w:jc w:val="both"/>
        <w:rPr>
          <w:rFonts w:ascii="Sylfaen" w:hAnsi="Sylfaen"/>
          <w:sz w:val="24"/>
          <w:szCs w:val="24"/>
        </w:rPr>
      </w:pPr>
    </w:p>
    <w:p w14:paraId="7AC69C82" w14:textId="77777777" w:rsidR="004F5982" w:rsidRDefault="004F5982" w:rsidP="00487007">
      <w:pPr>
        <w:pBdr>
          <w:bottom w:val="single" w:sz="6" w:space="1" w:color="auto"/>
        </w:pBdr>
        <w:spacing w:after="160" w:line="360" w:lineRule="auto"/>
        <w:ind w:left="567" w:right="565"/>
        <w:jc w:val="center"/>
        <w:rPr>
          <w:rFonts w:ascii="Sylfaen" w:hAnsi="Sylfaen"/>
          <w:sz w:val="24"/>
          <w:szCs w:val="24"/>
        </w:rPr>
      </w:pPr>
      <w:r w:rsidRPr="00826F05">
        <w:rPr>
          <w:rFonts w:ascii="Sylfaen" w:hAnsi="Sylfaen"/>
          <w:sz w:val="24"/>
          <w:szCs w:val="24"/>
        </w:rPr>
        <w:t>6. Գրականության ցանկը</w:t>
      </w:r>
    </w:p>
    <w:p w14:paraId="5FD13C90" w14:textId="098C67A0" w:rsidR="005B4362" w:rsidRPr="000F26D8" w:rsidRDefault="005B4362" w:rsidP="004F5982">
      <w:pPr>
        <w:spacing w:after="160" w:line="360" w:lineRule="auto"/>
        <w:ind w:left="567" w:right="565"/>
        <w:jc w:val="center"/>
        <w:rPr>
          <w:rFonts w:ascii="Sylfaen" w:hAnsi="Sylfaen"/>
          <w:b/>
          <w:bCs/>
          <w:i/>
          <w:iCs/>
          <w:sz w:val="24"/>
          <w:szCs w:val="24"/>
        </w:rPr>
      </w:pPr>
      <w:r w:rsidRPr="000F26D8">
        <w:rPr>
          <w:rFonts w:ascii="Sylfaen" w:hAnsi="Sylfaen"/>
          <w:b/>
          <w:bCs/>
          <w:i/>
          <w:iCs/>
          <w:sz w:val="24"/>
          <w:szCs w:val="24"/>
        </w:rPr>
        <w:t>(</w:t>
      </w:r>
      <w:r w:rsidRPr="005B4362">
        <w:rPr>
          <w:rFonts w:ascii="Sylfaen" w:hAnsi="Sylfaen"/>
          <w:b/>
          <w:bCs/>
          <w:i/>
          <w:iCs/>
          <w:sz w:val="24"/>
          <w:szCs w:val="24"/>
        </w:rPr>
        <w:t>հավելվածը լրաց., փոփ. 05.03.21 թիվ 14</w:t>
      </w:r>
      <w:r w:rsidRPr="000F26D8">
        <w:rPr>
          <w:rFonts w:ascii="Sylfaen" w:hAnsi="Sylfaen"/>
          <w:b/>
          <w:bCs/>
          <w:i/>
          <w:iCs/>
          <w:sz w:val="24"/>
          <w:szCs w:val="24"/>
        </w:rPr>
        <w:t>)</w:t>
      </w:r>
    </w:p>
    <w:p w14:paraId="30433B93" w14:textId="77777777" w:rsidR="004F5982" w:rsidRPr="002618FA" w:rsidRDefault="004F5982" w:rsidP="004F5982">
      <w:pPr>
        <w:spacing w:after="160" w:line="360" w:lineRule="auto"/>
        <w:ind w:right="-4"/>
        <w:jc w:val="both"/>
        <w:rPr>
          <w:rFonts w:ascii="Sylfaen" w:eastAsia="Times New Roman" w:hAnsi="Sylfaen" w:cs="Times New Roman"/>
          <w:sz w:val="24"/>
          <w:szCs w:val="24"/>
        </w:rPr>
      </w:pPr>
    </w:p>
    <w:p w14:paraId="1E513365" w14:textId="77777777" w:rsidR="004F5982" w:rsidRPr="00826F05" w:rsidRDefault="004F5982" w:rsidP="004F5982">
      <w:pPr>
        <w:spacing w:after="160" w:line="360" w:lineRule="auto"/>
        <w:ind w:right="-6" w:firstLine="567"/>
        <w:jc w:val="both"/>
        <w:rPr>
          <w:rFonts w:ascii="Sylfaen" w:eastAsia="Times New Roman" w:hAnsi="Sylfaen" w:cs="Times New Roman"/>
          <w:sz w:val="24"/>
          <w:szCs w:val="24"/>
        </w:rPr>
        <w:sectPr w:rsidR="004F5982" w:rsidRPr="00826F05" w:rsidSect="00C31D56">
          <w:pgSz w:w="11906" w:h="16838" w:code="9"/>
          <w:pgMar w:top="1418" w:right="1418" w:bottom="1418" w:left="1418" w:header="709" w:footer="709" w:gutter="0"/>
          <w:pgNumType w:start="1"/>
          <w:cols w:space="708"/>
          <w:titlePg/>
          <w:docGrid w:linePitch="360"/>
        </w:sectPr>
      </w:pPr>
    </w:p>
    <w:p w14:paraId="2C2D7DFD"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lastRenderedPageBreak/>
        <w:t>ՀԱՎԵԼՎԱԾ ԹԻՎ 23</w:t>
      </w:r>
    </w:p>
    <w:p w14:paraId="684713A5" w14:textId="77777777" w:rsidR="004F5982" w:rsidRPr="00826F05" w:rsidRDefault="004F5982" w:rsidP="00487007">
      <w:pPr>
        <w:spacing w:after="160" w:line="360" w:lineRule="auto"/>
        <w:ind w:left="3969" w:right="-1" w:hanging="1"/>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09C99EC0" w14:textId="77777777" w:rsidR="004F5982" w:rsidRPr="00826F05" w:rsidRDefault="004F5982" w:rsidP="00487007">
      <w:pPr>
        <w:spacing w:after="160" w:line="360" w:lineRule="auto"/>
        <w:jc w:val="both"/>
        <w:rPr>
          <w:rFonts w:ascii="Sylfaen" w:hAnsi="Sylfaen"/>
          <w:sz w:val="24"/>
          <w:szCs w:val="24"/>
        </w:rPr>
      </w:pPr>
    </w:p>
    <w:p w14:paraId="16DBDE41" w14:textId="77777777" w:rsidR="004F5982" w:rsidRPr="00487007" w:rsidRDefault="004F5982" w:rsidP="00487007">
      <w:pPr>
        <w:spacing w:after="160" w:line="360" w:lineRule="auto"/>
        <w:ind w:left="567" w:right="332"/>
        <w:jc w:val="center"/>
        <w:rPr>
          <w:rFonts w:ascii="Sylfaen" w:eastAsia="Times New Roman" w:hAnsi="Sylfaen" w:cs="Times New Roman"/>
          <w:b/>
          <w:sz w:val="24"/>
          <w:szCs w:val="24"/>
        </w:rPr>
      </w:pPr>
      <w:r w:rsidRPr="00487007">
        <w:rPr>
          <w:rFonts w:ascii="Sylfaen" w:hAnsi="Sylfaen"/>
          <w:b/>
          <w:sz w:val="24"/>
          <w:szCs w:val="24"/>
        </w:rPr>
        <w:t>ՑՈՒՑՈՒՄՆԵՐ</w:t>
      </w:r>
    </w:p>
    <w:p w14:paraId="0BEA276D" w14:textId="77777777" w:rsidR="004F5982" w:rsidRPr="00826F05" w:rsidRDefault="004F5982" w:rsidP="00487007">
      <w:pPr>
        <w:spacing w:after="160" w:line="360" w:lineRule="auto"/>
        <w:ind w:left="567" w:right="332"/>
        <w:jc w:val="center"/>
        <w:rPr>
          <w:rFonts w:ascii="Sylfaen" w:eastAsia="Times New Roman" w:hAnsi="Sylfaen" w:cs="Times New Roman"/>
          <w:b/>
          <w:bCs/>
          <w:sz w:val="24"/>
          <w:szCs w:val="24"/>
        </w:rPr>
      </w:pPr>
      <w:r w:rsidRPr="00826F05">
        <w:rPr>
          <w:rFonts w:ascii="Sylfaen" w:hAnsi="Sylfaen"/>
          <w:b/>
          <w:sz w:val="24"/>
          <w:szCs w:val="24"/>
        </w:rPr>
        <w:t xml:space="preserve">վերարտադրված դեղամիջոցների նախակլինիկական </w:t>
      </w:r>
      <w:r w:rsidR="00C54D75">
        <w:rPr>
          <w:rFonts w:ascii="Sylfaen" w:hAnsi="Sylfaen"/>
          <w:b/>
          <w:sz w:val="24"/>
          <w:szCs w:val="24"/>
        </w:rPr>
        <w:t>և</w:t>
      </w:r>
      <w:r w:rsidRPr="00826F05">
        <w:rPr>
          <w:rFonts w:ascii="Sylfaen" w:hAnsi="Sylfaen"/>
          <w:b/>
          <w:sz w:val="24"/>
          <w:szCs w:val="24"/>
        </w:rPr>
        <w:t xml:space="preserve"> կլինիկական ասպեկտների արդյունքների գնահատման մասով փորձագիտական հաշվետվություն կազմելու</w:t>
      </w:r>
    </w:p>
    <w:p w14:paraId="30F742D6" w14:textId="77777777" w:rsidR="004F5982" w:rsidRDefault="004F5982" w:rsidP="00487007">
      <w:pPr>
        <w:spacing w:after="160" w:line="360" w:lineRule="auto"/>
        <w:ind w:firstLine="567"/>
        <w:jc w:val="both"/>
        <w:rPr>
          <w:rFonts w:ascii="Sylfaen" w:eastAsia="Times New Roman" w:hAnsi="Sylfaen" w:cs="Times New Roman"/>
          <w:sz w:val="24"/>
          <w:szCs w:val="24"/>
        </w:rPr>
      </w:pPr>
    </w:p>
    <w:p w14:paraId="18CBD51A" w14:textId="6CAF49BF"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Սույն ցուցումները նախատեսված են վերարտադրված դեղապատրաստուկի գրանցման </w:t>
      </w:r>
      <w:r w:rsidR="0056496B">
        <w:rPr>
          <w:rFonts w:ascii="Sylfaen" w:hAnsi="Sylfaen"/>
          <w:sz w:val="24"/>
          <w:szCs w:val="24"/>
        </w:rPr>
        <w:t>դիմում</w:t>
      </w:r>
      <w:r w:rsidRPr="00826F05">
        <w:rPr>
          <w:rFonts w:ascii="Sylfaen" w:hAnsi="Sylfaen"/>
          <w:sz w:val="24"/>
          <w:szCs w:val="24"/>
        </w:rPr>
        <w:t>ի առաջնային փորձաքննության համար:</w:t>
      </w:r>
    </w:p>
    <w:p w14:paraId="5EBAF34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Որպես կանոն, նման փորձաքննության հիմքը կենսահամարժեքության հաստատման գնահատումն է: Եթե, կենսահամարժեքության հետազոտությունների արդյունքներից բացի, ներկայացված են նա</w:t>
      </w:r>
      <w:r w:rsidR="00C54D75">
        <w:rPr>
          <w:rFonts w:ascii="Sylfaen" w:hAnsi="Sylfaen"/>
          <w:sz w:val="24"/>
          <w:szCs w:val="24"/>
        </w:rPr>
        <w:t>և</w:t>
      </w:r>
      <w:r w:rsidRPr="00826F05">
        <w:rPr>
          <w:rFonts w:ascii="Sylfaen" w:hAnsi="Sylfaen"/>
          <w:sz w:val="24"/>
          <w:szCs w:val="24"/>
        </w:rPr>
        <w:t xml:space="preserve"> նախակլինիկական տվյալներ, օրինակ՝</w:t>
      </w:r>
      <w:r>
        <w:rPr>
          <w:rFonts w:ascii="Sylfaen" w:hAnsi="Sylfaen"/>
          <w:sz w:val="24"/>
          <w:szCs w:val="24"/>
        </w:rPr>
        <w:t> </w:t>
      </w:r>
      <w:r w:rsidRPr="00826F05">
        <w:rPr>
          <w:rFonts w:ascii="Sylfaen" w:hAnsi="Sylfaen"/>
          <w:sz w:val="24"/>
          <w:szCs w:val="24"/>
        </w:rPr>
        <w:t>խառնուկների որակավորման նպատակով կամ որպես նոր աղի օգտագործման հիմնավորում, ապա անհրաժեշտ է անցկացնել նախակլինիկական տվյալների փորձաքննություն: Համանմանությամբ կարող են ներկայացվել նա</w:t>
      </w:r>
      <w:r w:rsidR="00C54D75">
        <w:rPr>
          <w:rFonts w:ascii="Sylfaen" w:hAnsi="Sylfaen"/>
          <w:sz w:val="24"/>
          <w:szCs w:val="24"/>
        </w:rPr>
        <w:t>և</w:t>
      </w:r>
      <w:r w:rsidRPr="00826F05">
        <w:rPr>
          <w:rFonts w:ascii="Sylfaen" w:hAnsi="Sylfaen"/>
          <w:sz w:val="24"/>
          <w:szCs w:val="24"/>
        </w:rPr>
        <w:t xml:space="preserve"> կլինիկական լրացուցիչ տվյալներ (օրինակ՝ թերապ</w:t>
      </w:r>
      <w:r w:rsidR="00C54D75">
        <w:rPr>
          <w:rFonts w:ascii="Sylfaen" w:hAnsi="Sylfaen"/>
          <w:sz w:val="24"/>
          <w:szCs w:val="24"/>
        </w:rPr>
        <w:t>և</w:t>
      </w:r>
      <w:r w:rsidRPr="00826F05">
        <w:rPr>
          <w:rFonts w:ascii="Sylfaen" w:hAnsi="Sylfaen"/>
          <w:sz w:val="24"/>
          <w:szCs w:val="24"/>
        </w:rPr>
        <w:t>տիկ համարժեքության հետազոտությունների արդյունքները), որոնք պահանջում են կլինիկական փորձաքննության անցկացում: Այս դեպքերում տվյալ հաշվետվությունն անհրաժեշտ</w:t>
      </w:r>
      <w:r>
        <w:rPr>
          <w:rFonts w:ascii="Sylfaen" w:hAnsi="Sylfaen"/>
          <w:sz w:val="24"/>
          <w:szCs w:val="24"/>
        </w:rPr>
        <w:t> </w:t>
      </w:r>
      <w:r w:rsidRPr="00826F05">
        <w:rPr>
          <w:rFonts w:ascii="Sylfaen" w:hAnsi="Sylfaen"/>
          <w:sz w:val="24"/>
          <w:szCs w:val="24"/>
        </w:rPr>
        <w:t>է լրացնել գրանցման ամբողջական դոսյեների փորձաքննության մասով փորձագիտական հաշվետվության համապատասխան ձ</w:t>
      </w:r>
      <w:r w:rsidR="00C54D75">
        <w:rPr>
          <w:rFonts w:ascii="Sylfaen" w:hAnsi="Sylfaen"/>
          <w:sz w:val="24"/>
          <w:szCs w:val="24"/>
        </w:rPr>
        <w:t>և</w:t>
      </w:r>
      <w:r w:rsidRPr="00826F05">
        <w:rPr>
          <w:rFonts w:ascii="Sylfaen" w:hAnsi="Sylfaen"/>
          <w:sz w:val="24"/>
          <w:szCs w:val="24"/>
        </w:rPr>
        <w:t>երից վերցված համապատասխան վերնագրերով:</w:t>
      </w:r>
    </w:p>
    <w:p w14:paraId="4512CFEB"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 xml:space="preserve">Վերարտադրված դեղապատրաստուկն ունի ազդող նյութերի նույնպիսի քանակական </w:t>
      </w:r>
      <w:r w:rsidR="00C54D75">
        <w:rPr>
          <w:rFonts w:ascii="Sylfaen" w:hAnsi="Sylfaen"/>
          <w:sz w:val="24"/>
          <w:szCs w:val="24"/>
        </w:rPr>
        <w:t>և</w:t>
      </w:r>
      <w:r w:rsidRPr="00826F05">
        <w:rPr>
          <w:rFonts w:ascii="Sylfaen" w:hAnsi="Sylfaen"/>
          <w:sz w:val="24"/>
          <w:szCs w:val="24"/>
        </w:rPr>
        <w:t xml:space="preserve"> որակական բաղադրություն </w:t>
      </w:r>
      <w:r w:rsidR="00C54D75">
        <w:rPr>
          <w:rFonts w:ascii="Sylfaen" w:hAnsi="Sylfaen"/>
          <w:sz w:val="24"/>
          <w:szCs w:val="24"/>
        </w:rPr>
        <w:t>և</w:t>
      </w:r>
      <w:r w:rsidRPr="00826F05">
        <w:rPr>
          <w:rFonts w:ascii="Sylfaen" w:hAnsi="Sylfaen"/>
          <w:sz w:val="24"/>
          <w:szCs w:val="24"/>
        </w:rPr>
        <w:t xml:space="preserve"> նույն դեղաձ</w:t>
      </w:r>
      <w:r w:rsidR="00C54D75">
        <w:rPr>
          <w:rFonts w:ascii="Sylfaen" w:hAnsi="Sylfaen"/>
          <w:sz w:val="24"/>
          <w:szCs w:val="24"/>
        </w:rPr>
        <w:t>և</w:t>
      </w:r>
      <w:r w:rsidRPr="00826F05">
        <w:rPr>
          <w:rFonts w:ascii="Sylfaen" w:hAnsi="Sylfaen"/>
          <w:sz w:val="24"/>
          <w:szCs w:val="24"/>
        </w:rPr>
        <w:t xml:space="preserve">ը, ինչ որ համեմատման </w:t>
      </w:r>
      <w:r w:rsidRPr="00826F05">
        <w:rPr>
          <w:rFonts w:ascii="Sylfaen" w:hAnsi="Sylfaen"/>
          <w:sz w:val="24"/>
          <w:szCs w:val="24"/>
        </w:rPr>
        <w:lastRenderedPageBreak/>
        <w:t xml:space="preserve">դեղապատրաստուկը, </w:t>
      </w:r>
      <w:r w:rsidR="00C54D75">
        <w:rPr>
          <w:rFonts w:ascii="Sylfaen" w:hAnsi="Sylfaen"/>
          <w:sz w:val="24"/>
          <w:szCs w:val="24"/>
        </w:rPr>
        <w:t>և</w:t>
      </w:r>
      <w:r w:rsidRPr="00826F05">
        <w:rPr>
          <w:rFonts w:ascii="Sylfaen" w:hAnsi="Sylfaen"/>
          <w:sz w:val="24"/>
          <w:szCs w:val="24"/>
        </w:rPr>
        <w:t xml:space="preserve"> դրա կենսահամարժեքությունը համեմատման դեղապատրաստուկին հաստատվում է կենսամատչելիության համապատասխան հետազոտություններով:</w:t>
      </w:r>
    </w:p>
    <w:p w14:paraId="7DBF32E6" w14:textId="04BBE294"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Ազդող նյութի տարբեր աղերը, եթերները, իզոմերները, իզոմերների խառնուրդները, կոմպլեքսները կամ ածանցյալները համարվում են մի</w:t>
      </w:r>
      <w:r w:rsidR="00C54D75">
        <w:rPr>
          <w:rFonts w:ascii="Sylfaen" w:hAnsi="Sylfaen"/>
          <w:sz w:val="24"/>
          <w:szCs w:val="24"/>
        </w:rPr>
        <w:t>և</w:t>
      </w:r>
      <w:r w:rsidRPr="00826F05">
        <w:rPr>
          <w:rFonts w:ascii="Sylfaen" w:hAnsi="Sylfaen"/>
          <w:sz w:val="24"/>
          <w:szCs w:val="24"/>
        </w:rPr>
        <w:t xml:space="preserve">նույն ազդող նյութը, եթե դրանց անվտանգությունը </w:t>
      </w:r>
      <w:r w:rsidR="00C54D75">
        <w:rPr>
          <w:rFonts w:ascii="Sylfaen" w:hAnsi="Sylfaen"/>
          <w:sz w:val="24"/>
          <w:szCs w:val="24"/>
        </w:rPr>
        <w:t>և</w:t>
      </w:r>
      <w:r w:rsidRPr="00826F05">
        <w:rPr>
          <w:rFonts w:ascii="Sylfaen" w:hAnsi="Sylfaen"/>
          <w:sz w:val="24"/>
          <w:szCs w:val="24"/>
        </w:rPr>
        <w:t xml:space="preserve"> (կամ) արդյունավետությունն էականորեն չեն տարբերվում: Այսպիսի դեպքերում </w:t>
      </w:r>
      <w:r w:rsidR="0056496B">
        <w:rPr>
          <w:rFonts w:ascii="Sylfaen" w:hAnsi="Sylfaen"/>
          <w:sz w:val="24"/>
          <w:szCs w:val="24"/>
        </w:rPr>
        <w:t>դիմումատու</w:t>
      </w:r>
      <w:r w:rsidRPr="00826F05">
        <w:rPr>
          <w:rFonts w:ascii="Sylfaen" w:hAnsi="Sylfaen"/>
          <w:sz w:val="24"/>
          <w:szCs w:val="24"/>
        </w:rPr>
        <w:t xml:space="preserve">ն պետք է տրամադրի ազդող նյութի այլ աղերի, բարդ եթերների կամ այլ ածանցյալների անվտանգության </w:t>
      </w:r>
      <w:r w:rsidR="00C54D75">
        <w:rPr>
          <w:rFonts w:ascii="Sylfaen" w:hAnsi="Sylfaen"/>
          <w:sz w:val="24"/>
          <w:szCs w:val="24"/>
        </w:rPr>
        <w:t>և</w:t>
      </w:r>
      <w:r w:rsidRPr="00826F05">
        <w:rPr>
          <w:rFonts w:ascii="Sylfaen" w:hAnsi="Sylfaen"/>
          <w:sz w:val="24"/>
          <w:szCs w:val="24"/>
        </w:rPr>
        <w:t xml:space="preserve"> (կամ) արդյունավետության հաստատումը պարունակող լրացուցիչ տեղեկություններ: Արագ ձերբազատմամբ ներքին ընդունման տարբեր դեղաձ</w:t>
      </w:r>
      <w:r w:rsidR="00C54D75">
        <w:rPr>
          <w:rFonts w:ascii="Sylfaen" w:hAnsi="Sylfaen"/>
          <w:sz w:val="24"/>
          <w:szCs w:val="24"/>
        </w:rPr>
        <w:t>և</w:t>
      </w:r>
      <w:r w:rsidRPr="00826F05">
        <w:rPr>
          <w:rFonts w:ascii="Sylfaen" w:hAnsi="Sylfaen"/>
          <w:sz w:val="24"/>
          <w:szCs w:val="24"/>
        </w:rPr>
        <w:t>եր կենսամատչելիության հետազոտությունների շրջանակներում համարվում են մի</w:t>
      </w:r>
      <w:r w:rsidR="00C54D75">
        <w:rPr>
          <w:rFonts w:ascii="Sylfaen" w:hAnsi="Sylfaen"/>
          <w:sz w:val="24"/>
          <w:szCs w:val="24"/>
        </w:rPr>
        <w:t>և</w:t>
      </w:r>
      <w:r w:rsidRPr="00826F05">
        <w:rPr>
          <w:rFonts w:ascii="Sylfaen" w:hAnsi="Sylfaen"/>
          <w:sz w:val="24"/>
          <w:szCs w:val="24"/>
        </w:rPr>
        <w:t>նույն դեղաձ</w:t>
      </w:r>
      <w:r w:rsidR="00C54D75">
        <w:rPr>
          <w:rFonts w:ascii="Sylfaen" w:hAnsi="Sylfaen"/>
          <w:sz w:val="24"/>
          <w:szCs w:val="24"/>
        </w:rPr>
        <w:t>և</w:t>
      </w:r>
      <w:r w:rsidRPr="00826F05">
        <w:rPr>
          <w:rFonts w:ascii="Sylfaen" w:hAnsi="Sylfaen"/>
          <w:sz w:val="24"/>
          <w:szCs w:val="24"/>
        </w:rPr>
        <w:t>ը:</w:t>
      </w:r>
    </w:p>
    <w:p w14:paraId="2B109B2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Դեղապատրաստուկը որպես վերարտադրված գրանցելու նպատակը կրկնակի </w:t>
      </w:r>
      <w:r w:rsidR="00C54D75">
        <w:rPr>
          <w:rFonts w:ascii="Sylfaen" w:hAnsi="Sylfaen"/>
          <w:sz w:val="24"/>
          <w:szCs w:val="24"/>
        </w:rPr>
        <w:t>և</w:t>
      </w:r>
      <w:r w:rsidRPr="00826F05">
        <w:rPr>
          <w:rFonts w:ascii="Sylfaen" w:hAnsi="Sylfaen"/>
          <w:sz w:val="24"/>
          <w:szCs w:val="24"/>
        </w:rPr>
        <w:t xml:space="preserve"> ավելորդ փորձարկումների </w:t>
      </w:r>
      <w:r w:rsidR="00C54D75">
        <w:rPr>
          <w:rFonts w:ascii="Sylfaen" w:hAnsi="Sylfaen"/>
          <w:sz w:val="24"/>
          <w:szCs w:val="24"/>
        </w:rPr>
        <w:t>և</w:t>
      </w:r>
      <w:r w:rsidRPr="00826F05">
        <w:rPr>
          <w:rFonts w:ascii="Sylfaen" w:hAnsi="Sylfaen"/>
          <w:sz w:val="24"/>
          <w:szCs w:val="24"/>
        </w:rPr>
        <w:t xml:space="preserve"> հետազոտությունների անցկացումը բացառելու հնարավորության փորձաքննության անցկացումն է: </w:t>
      </w:r>
    </w:p>
    <w:p w14:paraId="371D6C9B" w14:textId="2F414E4D"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Մարդու մոտ կենսահամարժեքության հետազոտություններ կարող են չպահանջվել, եթե </w:t>
      </w:r>
      <w:r w:rsidR="0056496B">
        <w:rPr>
          <w:rFonts w:ascii="Sylfaen" w:hAnsi="Sylfaen"/>
          <w:sz w:val="24"/>
          <w:szCs w:val="24"/>
        </w:rPr>
        <w:t>դիմումատու</w:t>
      </w:r>
      <w:r w:rsidRPr="00826F05">
        <w:rPr>
          <w:rFonts w:ascii="Sylfaen" w:hAnsi="Sylfaen"/>
          <w:sz w:val="24"/>
          <w:szCs w:val="24"/>
        </w:rPr>
        <w:t>ն հաստատում է, որ վերարտադրված պատրաստուկը բավարարում է Եվրասիական տնտեսական միության (այսուհետ՝ Միություն) վերարտադրված դեղապատրաստուկների կենսահամարժեքության հետազոտությունների անցկացման կանոններում նկարագրված համապատասխան չափորոշիչներին, որոնք ազատում են նման հետազոտությունների անցկացումից:</w:t>
      </w:r>
    </w:p>
    <w:p w14:paraId="7EDC41AF" w14:textId="77777777" w:rsidR="004F5982" w:rsidRDefault="004F5982" w:rsidP="00487007">
      <w:pPr>
        <w:spacing w:after="160" w:line="336" w:lineRule="auto"/>
        <w:ind w:right="-1" w:firstLine="567"/>
        <w:jc w:val="both"/>
        <w:rPr>
          <w:rFonts w:ascii="Sylfaen" w:hAnsi="Sylfaen"/>
          <w:sz w:val="24"/>
          <w:szCs w:val="24"/>
        </w:rPr>
      </w:pPr>
    </w:p>
    <w:p w14:paraId="62D0CC6F" w14:textId="77777777" w:rsidR="004F5982" w:rsidRPr="00826F05" w:rsidRDefault="004F5982" w:rsidP="00487007">
      <w:pPr>
        <w:spacing w:after="160" w:line="336" w:lineRule="auto"/>
        <w:ind w:left="567" w:right="332"/>
        <w:jc w:val="center"/>
        <w:rPr>
          <w:rFonts w:ascii="Sylfaen" w:eastAsia="Times New Roman" w:hAnsi="Sylfaen" w:cs="Times New Roman"/>
          <w:sz w:val="24"/>
          <w:szCs w:val="24"/>
        </w:rPr>
      </w:pPr>
      <w:r w:rsidRPr="00826F05">
        <w:rPr>
          <w:rFonts w:ascii="Sylfaen" w:hAnsi="Sylfaen"/>
          <w:sz w:val="24"/>
          <w:szCs w:val="24"/>
        </w:rPr>
        <w:t>1. Նախակլինիկական գնահատում</w:t>
      </w:r>
    </w:p>
    <w:p w14:paraId="7F3FB3E2" w14:textId="0F1971B2" w:rsidR="004F5982" w:rsidRPr="00826F05" w:rsidRDefault="004F5982" w:rsidP="00487007">
      <w:pPr>
        <w:spacing w:after="160" w:line="336"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Վերարտադրված դեղապատրաստուկների՝ առանց նախակլինիկական տվյալների գրանցման </w:t>
      </w:r>
      <w:r w:rsidR="009F5829">
        <w:rPr>
          <w:rFonts w:ascii="Sylfaen" w:hAnsi="Sylfaen"/>
          <w:sz w:val="24"/>
          <w:szCs w:val="24"/>
        </w:rPr>
        <w:t>դիմումներ</w:t>
      </w:r>
      <w:r w:rsidRPr="00826F05">
        <w:rPr>
          <w:rFonts w:ascii="Sylfaen" w:hAnsi="Sylfaen"/>
          <w:sz w:val="24"/>
          <w:szCs w:val="24"/>
        </w:rPr>
        <w:t>ի համար</w:t>
      </w:r>
    </w:p>
    <w:p w14:paraId="49E4E514" w14:textId="77777777" w:rsidR="004F5982" w:rsidRPr="00826F05" w:rsidRDefault="004F5982" w:rsidP="00487007">
      <w:pPr>
        <w:spacing w:after="160" w:line="336" w:lineRule="auto"/>
        <w:ind w:right="-1" w:firstLine="567"/>
        <w:jc w:val="both"/>
        <w:rPr>
          <w:rFonts w:ascii="Sylfaen" w:hAnsi="Sylfaen"/>
          <w:sz w:val="24"/>
          <w:szCs w:val="24"/>
        </w:rPr>
      </w:pPr>
      <w:r w:rsidRPr="00826F05">
        <w:rPr>
          <w:rFonts w:ascii="Sylfaen" w:hAnsi="Sylfaen"/>
          <w:sz w:val="24"/>
          <w:szCs w:val="24"/>
        </w:rPr>
        <w:t>Գրառումը ձ</w:t>
      </w:r>
      <w:r w:rsidR="00C54D75">
        <w:rPr>
          <w:rFonts w:ascii="Sylfaen" w:hAnsi="Sylfaen"/>
          <w:sz w:val="24"/>
          <w:szCs w:val="24"/>
        </w:rPr>
        <w:t>և</w:t>
      </w:r>
      <w:r w:rsidRPr="00826F05">
        <w:rPr>
          <w:rFonts w:ascii="Sylfaen" w:hAnsi="Sylfaen"/>
          <w:sz w:val="24"/>
          <w:szCs w:val="24"/>
        </w:rPr>
        <w:t>ակերպե՛ք ըստ ստոր</w:t>
      </w:r>
      <w:r w:rsidR="00C54D75">
        <w:rPr>
          <w:rFonts w:ascii="Sylfaen" w:hAnsi="Sylfaen"/>
          <w:sz w:val="24"/>
          <w:szCs w:val="24"/>
        </w:rPr>
        <w:t>և</w:t>
      </w:r>
      <w:r w:rsidRPr="00826F05">
        <w:rPr>
          <w:rFonts w:ascii="Sylfaen" w:hAnsi="Sylfaen"/>
          <w:sz w:val="24"/>
          <w:szCs w:val="24"/>
        </w:rPr>
        <w:t xml:space="preserve"> բերված ձ</w:t>
      </w:r>
      <w:r w:rsidR="00C54D75">
        <w:rPr>
          <w:rFonts w:ascii="Sylfaen" w:hAnsi="Sylfaen"/>
          <w:sz w:val="24"/>
          <w:szCs w:val="24"/>
        </w:rPr>
        <w:t>և</w:t>
      </w:r>
      <w:r w:rsidRPr="00826F05">
        <w:rPr>
          <w:rFonts w:ascii="Sylfaen" w:hAnsi="Sylfaen"/>
          <w:sz w:val="24"/>
          <w:szCs w:val="24"/>
        </w:rPr>
        <w:t xml:space="preserve">ի, եթե նախակլինիկական նոր տվյալներ տրամադրված չեն: </w:t>
      </w:r>
    </w:p>
    <w:p w14:paraId="6D35136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lastRenderedPageBreak/>
        <w:t xml:space="preserve">&lt;Տրամադրված է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 որը [բերել տեղեկագրի համառոտ բնութագիրը]: Տեղեկագրում բերվում է նախակլինիկական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լրացուցիչ տվյալների ներկայացման անհրաժեշտության բացակայության հիմնավորումը: ԴԸԲ-ի նախակլինիկական ասպեկտները համաձայնեցվում են համեմատման պատրաստուկի ԴԸԲ-ի հետ: Փորձագիտական գնահատման արդյունքներով սահմանվել է խառնուկների պրոֆիլի ընդունելիություն:&gt;</w:t>
      </w:r>
    </w:p>
    <w:p w14:paraId="2835EF7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Եզրակացությունը հարկավոր է ձ</w:t>
      </w:r>
      <w:r w:rsidR="00C54D75">
        <w:rPr>
          <w:rFonts w:ascii="Sylfaen" w:hAnsi="Sylfaen"/>
          <w:sz w:val="24"/>
          <w:szCs w:val="24"/>
        </w:rPr>
        <w:t>և</w:t>
      </w:r>
      <w:r w:rsidRPr="00826F05">
        <w:rPr>
          <w:rFonts w:ascii="Sylfaen" w:hAnsi="Sylfaen"/>
          <w:sz w:val="24"/>
          <w:szCs w:val="24"/>
        </w:rPr>
        <w:t>ակերպել հետ</w:t>
      </w:r>
      <w:r w:rsidR="00C54D75">
        <w:rPr>
          <w:rFonts w:ascii="Sylfaen" w:hAnsi="Sylfaen"/>
          <w:sz w:val="24"/>
          <w:szCs w:val="24"/>
        </w:rPr>
        <w:t>և</w:t>
      </w:r>
      <w:r w:rsidRPr="00826F05">
        <w:rPr>
          <w:rFonts w:ascii="Sylfaen" w:hAnsi="Sylfaen"/>
          <w:sz w:val="24"/>
          <w:szCs w:val="24"/>
        </w:rPr>
        <w:t>յալ հնարավոր տարբերակներից մեկն օգտագործելով՝</w:t>
      </w:r>
    </w:p>
    <w:p w14:paraId="382FB5A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նախակլինիկական տեղեկագիրը հիմնված է գիտական գրականության ժամանակակից </w:t>
      </w:r>
      <w:r w:rsidR="00C54D75">
        <w:rPr>
          <w:rFonts w:ascii="Sylfaen" w:hAnsi="Sylfaen"/>
          <w:i/>
          <w:sz w:val="24"/>
          <w:szCs w:val="24"/>
        </w:rPr>
        <w:t>և</w:t>
      </w:r>
      <w:r w:rsidRPr="00826F05">
        <w:rPr>
          <w:rFonts w:ascii="Sylfaen" w:hAnsi="Sylfaen"/>
          <w:i/>
          <w:sz w:val="24"/>
          <w:szCs w:val="24"/>
        </w:rPr>
        <w:t xml:space="preserve"> բավարար տվյալների վրա: Նախակլինիկական լրացուցիչ տվյալների տրամադրման անհրաժեշտությունը բացակայում է:&gt;</w:t>
      </w:r>
    </w:p>
    <w:p w14:paraId="19591F0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տեղեկագիրն անընդունելի է, քանի որ [ներկայացնել մեկնաբանություն]:&gt;</w:t>
      </w:r>
    </w:p>
    <w:p w14:paraId="0B07914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ընտրվել է երկրորդ տարբերակը, ապա հարկավոր է տրամադրել պակասող տեղեկությունների մանրամասն նկարագրությունը, այդպիսի տեղեկությունների բացակայությամբ պայմանավորված ազդեցությունը </w:t>
      </w:r>
      <w:r w:rsidR="00C54D75">
        <w:rPr>
          <w:rFonts w:ascii="Sylfaen" w:hAnsi="Sylfaen"/>
          <w:sz w:val="24"/>
          <w:szCs w:val="24"/>
        </w:rPr>
        <w:t>և</w:t>
      </w:r>
      <w:r w:rsidRPr="00826F05">
        <w:rPr>
          <w:rFonts w:ascii="Sylfaen" w:hAnsi="Sylfaen"/>
          <w:sz w:val="24"/>
          <w:szCs w:val="24"/>
        </w:rPr>
        <w:t xml:space="preserve"> լրացուցիչ տվյալներ տրամադրելու մասին բոլոր հնարավոր հարցումները: Այնուհետ</w:t>
      </w:r>
      <w:r w:rsidR="00C54D75">
        <w:rPr>
          <w:rFonts w:ascii="Sylfaen" w:hAnsi="Sylfaen"/>
          <w:sz w:val="24"/>
          <w:szCs w:val="24"/>
        </w:rPr>
        <w:t>և</w:t>
      </w:r>
      <w:r w:rsidRPr="00826F05">
        <w:rPr>
          <w:rFonts w:ascii="Sylfaen" w:hAnsi="Sylfaen"/>
          <w:sz w:val="24"/>
          <w:szCs w:val="24"/>
        </w:rPr>
        <w:t xml:space="preserve"> դրանք հարկավոր</w:t>
      </w:r>
      <w:r>
        <w:rPr>
          <w:rFonts w:ascii="Sylfaen" w:hAnsi="Sylfaen"/>
          <w:sz w:val="24"/>
          <w:szCs w:val="24"/>
        </w:rPr>
        <w:t> </w:t>
      </w:r>
      <w:r w:rsidRPr="00826F05">
        <w:rPr>
          <w:rFonts w:ascii="Sylfaen" w:hAnsi="Sylfaen"/>
          <w:sz w:val="24"/>
          <w:szCs w:val="24"/>
        </w:rPr>
        <w:t>է ներկայացնել դիտողությունների ցանկի նախագծի տեսքով (բաժին 4):</w:t>
      </w:r>
    </w:p>
    <w:p w14:paraId="3C5D2CCE"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Եթե վերարտադրված պատրաստուկը պարունակում է ազդող նյութի այլ աղ, բարդ կամ պարզ եթերներ, իզոմերներ (էնանտիոմերներ), իզոմերների խառնուրդներ, կոմպլեքսներ կամ ածանցյալներ, ապա անհրաժեշտ է ներառել դրա մասին համապատասխան նշում:</w:t>
      </w:r>
    </w:p>
    <w:p w14:paraId="5D8CB6C5"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&lt;[Դեղապատրաստուկի անվանումը] նախակլինիկական տվյալների վերաբերյալ </w:t>
      </w:r>
      <w:r w:rsidRPr="00826F05">
        <w:rPr>
          <w:rFonts w:ascii="Sylfaen" w:hAnsi="Sylfaen"/>
          <w:i/>
          <w:sz w:val="24"/>
          <w:szCs w:val="24"/>
        </w:rPr>
        <w:lastRenderedPageBreak/>
        <w:t xml:space="preserve">գրական աղբյուրների ռեզյումեն </w:t>
      </w:r>
      <w:r w:rsidR="00C54D75">
        <w:rPr>
          <w:rFonts w:ascii="Sylfaen" w:hAnsi="Sylfaen"/>
          <w:i/>
          <w:sz w:val="24"/>
          <w:szCs w:val="24"/>
        </w:rPr>
        <w:t>և</w:t>
      </w:r>
      <w:r w:rsidRPr="00826F05">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826F05">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826F05">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 պահանջվում] նախակլինիկական լրացուցիչ հետազոտությունների անցկացում:&gt;</w:t>
      </w:r>
    </w:p>
    <w:p w14:paraId="7A4C9EE5" w14:textId="77777777" w:rsidR="004F5982" w:rsidRPr="00826F05" w:rsidRDefault="004F5982" w:rsidP="00487007">
      <w:pPr>
        <w:spacing w:after="160" w:line="360" w:lineRule="auto"/>
        <w:ind w:right="-1" w:firstLine="567"/>
        <w:jc w:val="both"/>
        <w:rPr>
          <w:rFonts w:ascii="Sylfaen" w:hAnsi="Sylfaen"/>
          <w:sz w:val="24"/>
          <w:szCs w:val="24"/>
        </w:rPr>
      </w:pPr>
    </w:p>
    <w:p w14:paraId="6878B6A4" w14:textId="3C6CE48D"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Վերարտադրված դեղապատրաստուկների՝ </w:t>
      </w:r>
      <w:r>
        <w:rPr>
          <w:rFonts w:ascii="Sylfaen" w:hAnsi="Sylfaen"/>
          <w:sz w:val="24"/>
          <w:szCs w:val="24"/>
        </w:rPr>
        <w:br/>
      </w:r>
      <w:r w:rsidRPr="00826F05">
        <w:rPr>
          <w:rFonts w:ascii="Sylfaen" w:hAnsi="Sylfaen"/>
          <w:sz w:val="24"/>
          <w:szCs w:val="24"/>
        </w:rPr>
        <w:t xml:space="preserve">նախակլինիկական տվյալներով գրանցման </w:t>
      </w:r>
      <w:r w:rsidR="0056496B">
        <w:rPr>
          <w:rFonts w:ascii="Sylfaen" w:hAnsi="Sylfaen"/>
          <w:sz w:val="24"/>
          <w:szCs w:val="24"/>
        </w:rPr>
        <w:t>դիմում</w:t>
      </w:r>
      <w:r w:rsidRPr="00826F05">
        <w:rPr>
          <w:rFonts w:ascii="Sylfaen" w:hAnsi="Sylfaen"/>
          <w:sz w:val="24"/>
          <w:szCs w:val="24"/>
        </w:rPr>
        <w:t>ի համար</w:t>
      </w:r>
    </w:p>
    <w:p w14:paraId="7A03B0BA" w14:textId="726876E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Առանձին դեպքերում նախակլինիկական նոր տվյալները տրամադրվում են խառնուկների որակավորման, նոր աղի օգտագործման հիմնավորման նպատակով կամ թարմացման հետ կապված կամ առկա կլինիկական փորձի շրջանակներում, օրինակ՝ հղիության, լակտացիայի, QT միջակայքի վրա ազդեցության </w:t>
      </w:r>
      <w:r w:rsidR="00C54D75">
        <w:rPr>
          <w:rFonts w:ascii="Sylfaen" w:hAnsi="Sylfaen"/>
          <w:sz w:val="24"/>
          <w:szCs w:val="24"/>
        </w:rPr>
        <w:t>և</w:t>
      </w:r>
      <w:r w:rsidRPr="00826F05">
        <w:rPr>
          <w:rFonts w:ascii="Sylfaen" w:hAnsi="Sylfaen"/>
          <w:sz w:val="24"/>
          <w:szCs w:val="24"/>
        </w:rPr>
        <w:t xml:space="preserve"> այլնի մասով նախակլինիկական այնպիսի նոր տվյալների ի </w:t>
      </w:r>
      <w:r w:rsidR="0056496B">
        <w:rPr>
          <w:rFonts w:ascii="Sylfaen" w:hAnsi="Sylfaen"/>
          <w:sz w:val="24"/>
          <w:szCs w:val="24"/>
        </w:rPr>
        <w:t>դիմում</w:t>
      </w:r>
      <w:r w:rsidRPr="00826F05">
        <w:rPr>
          <w:rFonts w:ascii="Sylfaen" w:hAnsi="Sylfaen"/>
          <w:sz w:val="24"/>
          <w:szCs w:val="24"/>
        </w:rPr>
        <w:t xml:space="preserve"> գալու հետ</w:t>
      </w:r>
      <w:r w:rsidR="00C54D75">
        <w:rPr>
          <w:rFonts w:ascii="Sylfaen" w:hAnsi="Sylfaen"/>
          <w:sz w:val="24"/>
          <w:szCs w:val="24"/>
        </w:rPr>
        <w:t>և</w:t>
      </w:r>
      <w:r w:rsidRPr="00826F05">
        <w:rPr>
          <w:rFonts w:ascii="Sylfaen" w:hAnsi="Sylfaen"/>
          <w:sz w:val="24"/>
          <w:szCs w:val="24"/>
        </w:rPr>
        <w:t xml:space="preserve">անքով, որոնք կարող են ազդել դեղապատրաստուկի ընդհանուր բնութագրի (այսուհետ՝ ԴԸԲ) վրա: Այս դեպքում անհրաժեշտ է անցկացնել նախակլինիկական տվյալների նոր փորձաքննություն: Թույլատրվում է ներկայացնել </w:t>
      </w:r>
      <w:r w:rsidR="00C54D75">
        <w:rPr>
          <w:rFonts w:ascii="Sylfaen" w:hAnsi="Sylfaen"/>
          <w:sz w:val="24"/>
          <w:szCs w:val="24"/>
        </w:rPr>
        <w:t>և</w:t>
      </w:r>
      <w:r w:rsidRPr="00826F05">
        <w:rPr>
          <w:rFonts w:ascii="Sylfaen" w:hAnsi="Sylfaen"/>
          <w:sz w:val="24"/>
          <w:szCs w:val="24"/>
        </w:rPr>
        <w:t xml:space="preserve"> անհրաժեշտության դեպքում մեկնաբանել տեղեկագրում ներկայացված այնպիսի առանձնահատկություններ, ինչպիսիք են կենդանիների վերաբերյալ վերջերս հրապարակված </w:t>
      </w:r>
      <w:r w:rsidR="00C54D75">
        <w:rPr>
          <w:rFonts w:ascii="Sylfaen" w:hAnsi="Sylfaen"/>
          <w:sz w:val="24"/>
          <w:szCs w:val="24"/>
        </w:rPr>
        <w:t>և</w:t>
      </w:r>
      <w:r w:rsidRPr="00826F05">
        <w:rPr>
          <w:rFonts w:ascii="Sylfaen" w:hAnsi="Sylfaen"/>
          <w:sz w:val="24"/>
          <w:szCs w:val="24"/>
        </w:rPr>
        <w:t xml:space="preserve"> կլինիկորեն նշանակալի տվյալները:</w:t>
      </w:r>
    </w:p>
    <w:p w14:paraId="7A9FD923"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Այս տեղեկությունները նկարագրելու նպատակով հարկավոր է օգտագործել գրանցման ամբողջական դոսյեների համար փորձագիտական հաշվետվության ձ</w:t>
      </w:r>
      <w:r w:rsidR="00C54D75">
        <w:rPr>
          <w:rFonts w:ascii="Sylfaen" w:hAnsi="Sylfaen"/>
          <w:sz w:val="24"/>
          <w:szCs w:val="24"/>
        </w:rPr>
        <w:t>և</w:t>
      </w:r>
      <w:r w:rsidRPr="00826F05">
        <w:rPr>
          <w:rFonts w:ascii="Sylfaen" w:hAnsi="Sylfaen"/>
          <w:sz w:val="24"/>
          <w:szCs w:val="24"/>
        </w:rPr>
        <w:t xml:space="preserve">ի </w:t>
      </w:r>
      <w:r w:rsidRPr="00757B6C">
        <w:rPr>
          <w:rFonts w:ascii="Sylfaen" w:hAnsi="Sylfaen"/>
          <w:spacing w:val="6"/>
          <w:sz w:val="24"/>
          <w:szCs w:val="24"/>
        </w:rPr>
        <w:t>համապատասխան վերնագրերը («Դեղաբանություն», «Դեղակինետիկա», «Թունաբանություն»): Ստոր</w:t>
      </w:r>
      <w:r w:rsidR="00C54D75">
        <w:rPr>
          <w:rFonts w:ascii="Sylfaen" w:hAnsi="Sylfaen"/>
          <w:spacing w:val="6"/>
          <w:sz w:val="24"/>
          <w:szCs w:val="24"/>
        </w:rPr>
        <w:t>և</w:t>
      </w:r>
      <w:r w:rsidRPr="00757B6C">
        <w:rPr>
          <w:rFonts w:ascii="Sylfaen" w:hAnsi="Sylfaen"/>
          <w:spacing w:val="6"/>
          <w:sz w:val="24"/>
          <w:szCs w:val="24"/>
        </w:rPr>
        <w:t xml:space="preserve"> ներկայացված կառուցվածքը պարունակում է միայն </w:t>
      </w:r>
      <w:r w:rsidRPr="00757B6C">
        <w:rPr>
          <w:rFonts w:ascii="Sylfaen" w:hAnsi="Sylfaen"/>
          <w:spacing w:val="6"/>
          <w:sz w:val="24"/>
          <w:szCs w:val="24"/>
        </w:rPr>
        <w:lastRenderedPageBreak/>
        <w:t>վերին մակարդակի վերնագրերը. անհրաժեշտ է ավելացնել համապատասխան ենթավերնագրեր: Բացի այդ, փորձաքննությունը կարող է ազդել ԴԸԲ-ի</w:t>
      </w:r>
      <w:r w:rsidRPr="00826F05">
        <w:rPr>
          <w:rFonts w:ascii="Sylfaen" w:hAnsi="Sylfaen"/>
          <w:sz w:val="24"/>
          <w:szCs w:val="24"/>
        </w:rPr>
        <w:t xml:space="preserve"> 4.6 </w:t>
      </w:r>
      <w:r w:rsidR="00C54D75">
        <w:rPr>
          <w:rFonts w:ascii="Sylfaen" w:hAnsi="Sylfaen"/>
          <w:sz w:val="24"/>
          <w:szCs w:val="24"/>
        </w:rPr>
        <w:t>և</w:t>
      </w:r>
      <w:r w:rsidRPr="00826F05">
        <w:rPr>
          <w:rFonts w:ascii="Sylfaen" w:hAnsi="Sylfaen"/>
          <w:sz w:val="24"/>
          <w:szCs w:val="24"/>
        </w:rPr>
        <w:t xml:space="preserve"> 5.3 բաժինների վրա (թունաբանություն, մուտագենություն, քաղցկեղածնություն, վերարտադրողական թունավորություն. տերատոգենություն, հղիություն, կրծքով կերակրում), որոնք հարկավոր է նշել տվյալ բաժնում: </w:t>
      </w:r>
    </w:p>
    <w:p w14:paraId="615A006F" w14:textId="77777777" w:rsidR="004F5982" w:rsidRPr="00826F05" w:rsidRDefault="004F5982" w:rsidP="00487007">
      <w:pPr>
        <w:spacing w:after="160" w:line="360" w:lineRule="auto"/>
        <w:ind w:right="-1" w:firstLine="567"/>
        <w:jc w:val="both"/>
        <w:rPr>
          <w:rFonts w:ascii="Sylfaen" w:hAnsi="Sylfaen"/>
          <w:sz w:val="24"/>
          <w:szCs w:val="24"/>
        </w:rPr>
      </w:pPr>
    </w:p>
    <w:p w14:paraId="54CF91BE"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1.5. Նախակլինիկական ասպեկտների </w:t>
      </w:r>
      <w:r w:rsidRPr="00826F05">
        <w:rPr>
          <w:rFonts w:ascii="Sylfaen" w:hAnsi="Sylfaen"/>
          <w:sz w:val="24"/>
          <w:szCs w:val="24"/>
        </w:rPr>
        <w:br/>
        <w:t>վերաբերյալ եզրակացությունը</w:t>
      </w:r>
    </w:p>
    <w:p w14:paraId="3A1703AF"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Նախակլինիկական նոր տվյալների ներկայացման դեպքում անհրաժեշտ է կազմել համապատասխան եզրակացություն: </w:t>
      </w:r>
    </w:p>
    <w:p w14:paraId="1FF52C5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Վերարտադրված պատրաստուկի ԴԸԲ-ն պետք է ընդհանուր առմամբ նույնական լինի համեմատման պատրաստուկի ԴԸԲ-ին: Հարկավոր է նշել վերարտադրված </w:t>
      </w:r>
      <w:r w:rsidR="00C54D75">
        <w:rPr>
          <w:rFonts w:ascii="Sylfaen" w:hAnsi="Sylfaen"/>
          <w:sz w:val="24"/>
          <w:szCs w:val="24"/>
        </w:rPr>
        <w:t>և</w:t>
      </w:r>
      <w:r w:rsidRPr="00826F05">
        <w:rPr>
          <w:rFonts w:ascii="Sylfaen" w:hAnsi="Sylfaen"/>
          <w:sz w:val="24"/>
          <w:szCs w:val="24"/>
        </w:rPr>
        <w:t xml:space="preserve"> համեմատման պատրաստուկի ԴԸԲ-ների նույնականությունը: Տարբերությունների առկայության դեպքում հարկավոր է դրանք թվարկել սույն բաժնում </w:t>
      </w:r>
      <w:r w:rsidR="00C54D75">
        <w:rPr>
          <w:rFonts w:ascii="Sylfaen" w:hAnsi="Sylfaen"/>
          <w:sz w:val="24"/>
          <w:szCs w:val="24"/>
        </w:rPr>
        <w:t>և</w:t>
      </w:r>
      <w:r w:rsidRPr="00826F05">
        <w:rPr>
          <w:rFonts w:ascii="Sylfaen" w:hAnsi="Sylfaen"/>
          <w:sz w:val="24"/>
          <w:szCs w:val="24"/>
        </w:rPr>
        <w:t xml:space="preserve"> նշել դրանց հիմնավորվածությունը:</w:t>
      </w:r>
    </w:p>
    <w:p w14:paraId="1BB3B2D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Պարզաբանումներ պահանջող հարցերը հարկավոր է ներառել սույն հաշվետվության կլինիկական բաժնի օգուտ-ռիսկ հարաբերակցության գնահատման մեջ </w:t>
      </w:r>
      <w:r w:rsidR="00C54D75">
        <w:rPr>
          <w:rFonts w:ascii="Sylfaen" w:hAnsi="Sylfaen"/>
          <w:sz w:val="24"/>
          <w:szCs w:val="24"/>
        </w:rPr>
        <w:t>և</w:t>
      </w:r>
      <w:r w:rsidRPr="00826F05">
        <w:rPr>
          <w:rFonts w:ascii="Sylfaen" w:hAnsi="Sylfaen"/>
          <w:sz w:val="24"/>
          <w:szCs w:val="24"/>
        </w:rPr>
        <w:t xml:space="preserve"> թվարկել դիտողությունների ցանկում:</w:t>
      </w:r>
    </w:p>
    <w:p w14:paraId="57DFDD4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Ենթաբաժնի վերջում հարկավոր է ավելացնել եզրակացություն՝ օգտագործելով հետ</w:t>
      </w:r>
      <w:r w:rsidR="00C54D75">
        <w:rPr>
          <w:rFonts w:ascii="Sylfaen" w:hAnsi="Sylfaen"/>
          <w:sz w:val="24"/>
          <w:szCs w:val="24"/>
        </w:rPr>
        <w:t>և</w:t>
      </w:r>
      <w:r w:rsidRPr="00826F05">
        <w:rPr>
          <w:rFonts w:ascii="Sylfaen" w:hAnsi="Sylfaen"/>
          <w:sz w:val="24"/>
          <w:szCs w:val="24"/>
        </w:rPr>
        <w:t>յալ տարբերակներից մեկը՝</w:t>
      </w:r>
    </w:p>
    <w:p w14:paraId="423804F1"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&lt;Նախակլինիկական տեսանկյունից՝ &lt;առ</w:t>
      </w:r>
      <w:r w:rsidR="00C54D75">
        <w:rPr>
          <w:rFonts w:ascii="Sylfaen" w:hAnsi="Sylfaen"/>
          <w:i/>
          <w:sz w:val="24"/>
          <w:szCs w:val="24"/>
        </w:rPr>
        <w:t>և</w:t>
      </w:r>
      <w:r w:rsidRPr="00826F05">
        <w:rPr>
          <w:rFonts w:ascii="Sylfaen" w:hAnsi="Sylfaen"/>
          <w:i/>
          <w:sz w:val="24"/>
          <w:szCs w:val="24"/>
        </w:rPr>
        <w:t>տրային անվանումը&gt; գրանցելու համար խոչընդոտները բացակայում են:&gt;</w:t>
      </w:r>
    </w:p>
    <w:p w14:paraId="7A2274D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կամ</w:t>
      </w:r>
    </w:p>
    <w:p w14:paraId="16E8DCB5"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&lt;Ինչպես նշված է վեր</w:t>
      </w:r>
      <w:r w:rsidR="00C54D75">
        <w:rPr>
          <w:rFonts w:ascii="Sylfaen" w:hAnsi="Sylfaen"/>
          <w:i/>
          <w:sz w:val="24"/>
          <w:szCs w:val="24"/>
        </w:rPr>
        <w:t>և</w:t>
      </w:r>
      <w:r w:rsidRPr="00826F05">
        <w:rPr>
          <w:rFonts w:ascii="Sylfaen" w:hAnsi="Sylfaen"/>
          <w:i/>
          <w:sz w:val="24"/>
          <w:szCs w:val="24"/>
        </w:rPr>
        <w:t xml:space="preserve">ում, առկա են մի շարք դիտողություններ, որոնք </w:t>
      </w:r>
      <w:r w:rsidRPr="00826F05">
        <w:rPr>
          <w:rFonts w:ascii="Sylfaen" w:hAnsi="Sylfaen"/>
          <w:i/>
          <w:sz w:val="24"/>
          <w:szCs w:val="24"/>
        </w:rPr>
        <w:lastRenderedPageBreak/>
        <w:t>անհրաժեշտ է վերացնել (տե՛ս դիտողությունների ցանկը):&gt;</w:t>
      </w:r>
    </w:p>
    <w:p w14:paraId="7E67D09C" w14:textId="12180EF3"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հետգրանցումային միջոցներ ձեռնարկելու պարտավորությունները. նախակլինիկական հարցերի շուրջ դիտողությունների առկայության դեպքում դրանք որպես առանձին պայմաններ առանձին բաժնով հարկ</w:t>
      </w:r>
      <w:r w:rsidR="004F5982">
        <w:rPr>
          <w:rFonts w:ascii="Sylfaen" w:hAnsi="Sylfaen"/>
          <w:sz w:val="24"/>
          <w:szCs w:val="24"/>
        </w:rPr>
        <w:t> </w:t>
      </w:r>
      <w:r w:rsidR="004F5982" w:rsidRPr="00826F05">
        <w:rPr>
          <w:rFonts w:ascii="Sylfaen" w:hAnsi="Sylfaen"/>
          <w:sz w:val="24"/>
          <w:szCs w:val="24"/>
        </w:rPr>
        <w:t xml:space="preserve">է ներառել ԴԸԲ-ում, գրանցման հավաստագրում </w:t>
      </w:r>
      <w:r w:rsidR="00C54D75">
        <w:rPr>
          <w:rFonts w:ascii="Sylfaen" w:hAnsi="Sylfaen"/>
          <w:sz w:val="24"/>
          <w:szCs w:val="24"/>
        </w:rPr>
        <w:t>և</w:t>
      </w:r>
      <w:r w:rsidR="004F5982" w:rsidRPr="00826F05">
        <w:rPr>
          <w:rFonts w:ascii="Sylfaen" w:hAnsi="Sylfaen"/>
          <w:sz w:val="24"/>
          <w:szCs w:val="24"/>
        </w:rPr>
        <w:t xml:space="preserve"> միասնական ռեեստրում: Հարկավոր է պատշաճ կերպով հիմնավորել որպես այդպիսի պայման սահմանված յուրաքանչյուր միջոց, մասնավորապես՝ հարկավոր է բացատրել օգուտ-ռիսկ դրական հարաբերակցության համատեքստում այդպիսի պայմանի ներառման անհրաժեշտությունը՝</w:t>
      </w:r>
    </w:p>
    <w:p w14:paraId="6FBAEE1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&lt;Նախակլինիկական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 անհրաժեշտ միջոցները]:&gt;</w:t>
      </w:r>
    </w:p>
    <w:p w14:paraId="714D37FB" w14:textId="77777777" w:rsidR="004F5982" w:rsidRPr="00826F05" w:rsidRDefault="004F5982" w:rsidP="00487007">
      <w:pPr>
        <w:spacing w:after="160" w:line="360" w:lineRule="auto"/>
        <w:ind w:right="-1" w:firstLine="567"/>
        <w:jc w:val="both"/>
        <w:rPr>
          <w:rFonts w:ascii="Sylfaen" w:hAnsi="Sylfaen"/>
          <w:sz w:val="24"/>
          <w:szCs w:val="24"/>
        </w:rPr>
      </w:pPr>
    </w:p>
    <w:p w14:paraId="3A697E9C"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 Կլինիկական ասպեկտները</w:t>
      </w:r>
    </w:p>
    <w:p w14:paraId="7C2B0C32"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2.1. Ներածություն</w:t>
      </w:r>
    </w:p>
    <w:p w14:paraId="1A7FDF17" w14:textId="77777777" w:rsidR="004F5982" w:rsidRPr="00826F05" w:rsidRDefault="004F5982" w:rsidP="004C0BC5">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Հարկավոր է նկարագրել ազդող նյութի կիրառման ցուցումները </w:t>
      </w:r>
      <w:r w:rsidR="00C54D75">
        <w:rPr>
          <w:rFonts w:ascii="Sylfaen" w:hAnsi="Sylfaen"/>
          <w:sz w:val="24"/>
          <w:szCs w:val="24"/>
        </w:rPr>
        <w:t>և</w:t>
      </w:r>
      <w:r w:rsidRPr="00826F05">
        <w:rPr>
          <w:rFonts w:ascii="Sylfaen" w:hAnsi="Sylfaen"/>
          <w:sz w:val="24"/>
          <w:szCs w:val="24"/>
        </w:rPr>
        <w:t xml:space="preserve"> դոզավորման ռեժիմը (ԴԸԲ-ի 4.1 </w:t>
      </w:r>
      <w:r w:rsidR="00C54D75">
        <w:rPr>
          <w:rFonts w:ascii="Sylfaen" w:hAnsi="Sylfaen"/>
          <w:sz w:val="24"/>
          <w:szCs w:val="24"/>
        </w:rPr>
        <w:t>և</w:t>
      </w:r>
      <w:r w:rsidRPr="00826F05">
        <w:rPr>
          <w:rFonts w:ascii="Sylfaen" w:hAnsi="Sylfaen"/>
          <w:sz w:val="24"/>
          <w:szCs w:val="24"/>
        </w:rPr>
        <w:t xml:space="preserve"> 4.2 բաժիններ), դեղադինամիկան </w:t>
      </w:r>
      <w:r w:rsidR="00C54D75">
        <w:rPr>
          <w:rFonts w:ascii="Sylfaen" w:hAnsi="Sylfaen"/>
          <w:sz w:val="24"/>
          <w:szCs w:val="24"/>
        </w:rPr>
        <w:t>և</w:t>
      </w:r>
      <w:r w:rsidRPr="00826F05">
        <w:rPr>
          <w:rFonts w:ascii="Sylfaen" w:hAnsi="Sylfaen"/>
          <w:sz w:val="24"/>
          <w:szCs w:val="24"/>
        </w:rPr>
        <w:t xml:space="preserve"> դեղակինետիկան, ազդող նյութի </w:t>
      </w:r>
      <w:r w:rsidR="00C54D75">
        <w:rPr>
          <w:rFonts w:ascii="Sylfaen" w:hAnsi="Sylfaen"/>
          <w:sz w:val="24"/>
          <w:szCs w:val="24"/>
        </w:rPr>
        <w:t>և</w:t>
      </w:r>
      <w:r w:rsidRPr="00826F05">
        <w:rPr>
          <w:rFonts w:ascii="Sylfaen" w:hAnsi="Sylfaen"/>
          <w:sz w:val="24"/>
          <w:szCs w:val="24"/>
        </w:rPr>
        <w:t xml:space="preserve"> պատրաստուկի ՖԿ ռեզյումեն (կլանման, բաշխման, նյութափոխանակության, դուրսբերման վերաբերյալ տվյալները, որոնք առանձնահատուկ հետաքրքրություն են ներկայացնում կենսահամարժեքության </w:t>
      </w:r>
      <w:r w:rsidRPr="004209C6">
        <w:rPr>
          <w:rFonts w:ascii="Sylfaen" w:hAnsi="Sylfaen"/>
          <w:spacing w:val="-6"/>
          <w:sz w:val="24"/>
          <w:szCs w:val="24"/>
        </w:rPr>
        <w:t xml:space="preserve">հետազոտությունների համար (գծայնութունը, էլիմինացման ժամանակը </w:t>
      </w:r>
      <w:r w:rsidR="00C54D75">
        <w:rPr>
          <w:rFonts w:ascii="Sylfaen" w:hAnsi="Sylfaen"/>
          <w:spacing w:val="-6"/>
          <w:sz w:val="24"/>
          <w:szCs w:val="24"/>
        </w:rPr>
        <w:t>և</w:t>
      </w:r>
      <w:r w:rsidRPr="004209C6">
        <w:rPr>
          <w:rFonts w:ascii="Sylfaen" w:hAnsi="Sylfaen"/>
          <w:spacing w:val="-6"/>
          <w:sz w:val="24"/>
          <w:szCs w:val="24"/>
        </w:rPr>
        <w:t xml:space="preserve"> այլն)) (այդ թվում՝ այնպիսի ձեռնարկների օգտագործմամբ, ինչպիսիք են Goodman &amp;</w:t>
      </w:r>
      <w:r w:rsidRPr="00826F05">
        <w:rPr>
          <w:rFonts w:ascii="Sylfaen" w:hAnsi="Sylfaen"/>
          <w:sz w:val="24"/>
          <w:szCs w:val="24"/>
        </w:rPr>
        <w:t xml:space="preserve"> Gilman-ը, Martindale-ը </w:t>
      </w:r>
      <w:r w:rsidR="00C54D75">
        <w:rPr>
          <w:rFonts w:ascii="Sylfaen" w:hAnsi="Sylfaen"/>
          <w:sz w:val="24"/>
          <w:szCs w:val="24"/>
        </w:rPr>
        <w:t>և</w:t>
      </w:r>
      <w:r w:rsidRPr="00826F05">
        <w:rPr>
          <w:rFonts w:ascii="Sylfaen" w:hAnsi="Sylfaen"/>
          <w:sz w:val="24"/>
          <w:szCs w:val="24"/>
        </w:rPr>
        <w:t xml:space="preserve"> այլն): </w:t>
      </w:r>
    </w:p>
    <w:p w14:paraId="369E31D3" w14:textId="77777777" w:rsidR="004F5982" w:rsidRPr="00826F05" w:rsidRDefault="004F5982" w:rsidP="004C0BC5">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Սույն ենթաբաժնի վերջում հարկավոր է ներկայացնել ստոր</w:t>
      </w:r>
      <w:r w:rsidR="00C54D75">
        <w:rPr>
          <w:rFonts w:ascii="Sylfaen" w:hAnsi="Sylfaen"/>
          <w:sz w:val="24"/>
          <w:szCs w:val="24"/>
        </w:rPr>
        <w:t>և</w:t>
      </w:r>
      <w:r w:rsidRPr="00826F05">
        <w:rPr>
          <w:rFonts w:ascii="Sylfaen" w:hAnsi="Sylfaen"/>
          <w:sz w:val="24"/>
          <w:szCs w:val="24"/>
        </w:rPr>
        <w:t xml:space="preserve"> բերված ձ</w:t>
      </w:r>
      <w:r w:rsidR="00C54D75">
        <w:rPr>
          <w:rFonts w:ascii="Sylfaen" w:hAnsi="Sylfaen"/>
          <w:sz w:val="24"/>
          <w:szCs w:val="24"/>
        </w:rPr>
        <w:t>և</w:t>
      </w:r>
      <w:r w:rsidRPr="00826F05">
        <w:rPr>
          <w:rFonts w:ascii="Sylfaen" w:hAnsi="Sylfaen"/>
          <w:sz w:val="24"/>
          <w:szCs w:val="24"/>
        </w:rPr>
        <w:t>աչափով ամփոփիչ ձ</w:t>
      </w:r>
      <w:r w:rsidR="00C54D75">
        <w:rPr>
          <w:rFonts w:ascii="Sylfaen" w:hAnsi="Sylfaen"/>
          <w:sz w:val="24"/>
          <w:szCs w:val="24"/>
        </w:rPr>
        <w:t>և</w:t>
      </w:r>
      <w:r w:rsidRPr="00826F05">
        <w:rPr>
          <w:rFonts w:ascii="Sylfaen" w:hAnsi="Sylfaen"/>
          <w:sz w:val="24"/>
          <w:szCs w:val="24"/>
        </w:rPr>
        <w:t>ակերպում:</w:t>
      </w:r>
    </w:p>
    <w:p w14:paraId="6DEA3587" w14:textId="54C81A44"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&lt;Փորձաքննությունն անց է կացվել </w:t>
      </w:r>
      <w:r w:rsidR="009C7514" w:rsidRPr="009C7514">
        <w:rPr>
          <w:rFonts w:ascii="Sylfaen" w:hAnsi="Sylfaen"/>
          <w:i/>
          <w:sz w:val="24"/>
          <w:szCs w:val="24"/>
        </w:rPr>
        <w:t xml:space="preserve">Միության վերարտադրված </w:t>
      </w:r>
      <w:r w:rsidR="009C7514" w:rsidRPr="009C7514">
        <w:rPr>
          <w:rFonts w:ascii="Sylfaen" w:hAnsi="Sylfaen"/>
          <w:i/>
          <w:sz w:val="24"/>
          <w:szCs w:val="24"/>
        </w:rPr>
        <w:lastRenderedPageBreak/>
        <w:t>դեղապատրաստուկների կենսահամարժեքության հետազոտությունների անցկացման կանոնների</w:t>
      </w:r>
      <w:r w:rsidRPr="00826F05">
        <w:rPr>
          <w:rFonts w:ascii="Sylfaen" w:hAnsi="Sylfaen"/>
          <w:i/>
          <w:sz w:val="24"/>
          <w:szCs w:val="24"/>
        </w:rPr>
        <w:t xml:space="preserve"> օգտագործմամբ, ինչպես նա</w:t>
      </w:r>
      <w:r w:rsidR="00C54D75">
        <w:rPr>
          <w:rFonts w:ascii="Sylfaen" w:hAnsi="Sylfaen"/>
          <w:i/>
          <w:sz w:val="24"/>
          <w:szCs w:val="24"/>
        </w:rPr>
        <w:t>և</w:t>
      </w:r>
      <w:r w:rsidRPr="00826F05">
        <w:rPr>
          <w:rFonts w:ascii="Sylfaen" w:hAnsi="Sylfaen"/>
          <w:i/>
          <w:sz w:val="24"/>
          <w:szCs w:val="24"/>
        </w:rPr>
        <w:t xml:space="preserve"> [նշել այլ ձեռնարկների </w:t>
      </w:r>
      <w:r w:rsidR="00C54D75">
        <w:rPr>
          <w:rFonts w:ascii="Sylfaen" w:hAnsi="Sylfaen"/>
          <w:i/>
          <w:sz w:val="24"/>
          <w:szCs w:val="24"/>
        </w:rPr>
        <w:t>և</w:t>
      </w:r>
      <w:r w:rsidRPr="00826F05">
        <w:rPr>
          <w:rFonts w:ascii="Sylfaen" w:hAnsi="Sylfaen"/>
          <w:i/>
          <w:sz w:val="24"/>
          <w:szCs w:val="24"/>
        </w:rPr>
        <w:t xml:space="preserve"> ուղեցույցների անվանումները]:&gt;</w:t>
      </w:r>
    </w:p>
    <w:p w14:paraId="4D147FFE" w14:textId="2E96CFA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ն ստացել է [չի ստացել] լիազորված փորձագիտական կազմակերպության՝ կլինիկական մշակման վերաբերյալ գիտական խորհրդատվությունը:</w:t>
      </w:r>
    </w:p>
    <w:p w14:paraId="267F082B" w14:textId="6DAFB556" w:rsidR="004F5982" w:rsidRPr="00826F05" w:rsidRDefault="004F5982" w:rsidP="00487007">
      <w:pPr>
        <w:spacing w:after="160" w:line="360" w:lineRule="auto"/>
        <w:ind w:firstLine="567"/>
        <w:jc w:val="both"/>
        <w:rPr>
          <w:rFonts w:ascii="Sylfaen" w:eastAsia="Times New Roman" w:hAnsi="Sylfaen" w:cs="Times New Roman"/>
          <w:i/>
          <w:sz w:val="24"/>
          <w:szCs w:val="24"/>
        </w:rPr>
      </w:pPr>
      <w:r w:rsidRPr="00826F05">
        <w:rPr>
          <w:rFonts w:ascii="Sylfaen" w:hAnsi="Sylfaen"/>
          <w:i/>
          <w:sz w:val="24"/>
          <w:szCs w:val="24"/>
        </w:rPr>
        <w:t>Տվյալ խորհրդատվությունը վերաբերել է հետ</w:t>
      </w:r>
      <w:r w:rsidR="00C54D75">
        <w:rPr>
          <w:rFonts w:ascii="Sylfaen" w:hAnsi="Sylfaen"/>
          <w:i/>
          <w:sz w:val="24"/>
          <w:szCs w:val="24"/>
        </w:rPr>
        <w:t>և</w:t>
      </w:r>
      <w:r w:rsidRPr="00826F05">
        <w:rPr>
          <w:rFonts w:ascii="Sylfaen" w:hAnsi="Sylfaen"/>
          <w:i/>
          <w:sz w:val="24"/>
          <w:szCs w:val="24"/>
        </w:rPr>
        <w:t xml:space="preserve">յալին՝ [ներկայացնել ռեզյումեն]: </w:t>
      </w:r>
      <w:r w:rsidR="0056496B">
        <w:rPr>
          <w:rFonts w:ascii="Sylfaen" w:hAnsi="Sylfaen"/>
          <w:i/>
          <w:sz w:val="24"/>
          <w:szCs w:val="24"/>
        </w:rPr>
        <w:t>Դիմումատու</w:t>
      </w:r>
      <w:r w:rsidRPr="00826F05">
        <w:rPr>
          <w:rFonts w:ascii="Sylfaen" w:hAnsi="Sylfaen"/>
          <w:i/>
          <w:sz w:val="24"/>
          <w:szCs w:val="24"/>
        </w:rPr>
        <w:t>ն օգտվել է [չի օգտվել] տվյալ գիտական խորհրդատվությունից:&gt;</w:t>
      </w:r>
    </w:p>
    <w:p w14:paraId="72692BBD" w14:textId="77777777" w:rsidR="004F5982" w:rsidRPr="00826F05" w:rsidRDefault="004F5982" w:rsidP="00487007">
      <w:pPr>
        <w:spacing w:after="160" w:line="360" w:lineRule="auto"/>
        <w:ind w:left="567" w:right="565"/>
        <w:jc w:val="both"/>
        <w:rPr>
          <w:rFonts w:ascii="Sylfaen" w:hAnsi="Sylfaen"/>
          <w:sz w:val="24"/>
          <w:szCs w:val="24"/>
        </w:rPr>
      </w:pPr>
    </w:p>
    <w:p w14:paraId="47BFF4DC"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2.1.1. Միության պատշաճ կլինիկական գործունեության </w:t>
      </w:r>
      <w:r w:rsidRPr="00826F05">
        <w:rPr>
          <w:rFonts w:ascii="Sylfaen" w:hAnsi="Sylfaen"/>
          <w:sz w:val="24"/>
          <w:szCs w:val="24"/>
        </w:rPr>
        <w:br/>
        <w:t>կանոնների պահանջներին համապատասխանության ասպեկտները</w:t>
      </w:r>
    </w:p>
    <w:p w14:paraId="2A2177D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Փորձագիտական հաշվետվության սույն </w:t>
      </w:r>
      <w:r w:rsidR="00C54D75">
        <w:rPr>
          <w:rFonts w:ascii="Sylfaen" w:hAnsi="Sylfaen"/>
          <w:sz w:val="24"/>
          <w:szCs w:val="24"/>
        </w:rPr>
        <w:t>և</w:t>
      </w:r>
      <w:r w:rsidRPr="00826F05">
        <w:rPr>
          <w:rFonts w:ascii="Sylfaen" w:hAnsi="Sylfaen"/>
          <w:sz w:val="24"/>
          <w:szCs w:val="24"/>
        </w:rPr>
        <w:t xml:space="preserve"> 3.1 բաժիններում, ինչպես նա</w:t>
      </w:r>
      <w:r w:rsidR="00C54D75">
        <w:rPr>
          <w:rFonts w:ascii="Sylfaen" w:hAnsi="Sylfaen"/>
          <w:sz w:val="24"/>
          <w:szCs w:val="24"/>
        </w:rPr>
        <w:t>և</w:t>
      </w:r>
      <w:r w:rsidRPr="00826F05">
        <w:rPr>
          <w:rFonts w:ascii="Sylfaen" w:hAnsi="Sylfaen"/>
          <w:sz w:val="24"/>
          <w:szCs w:val="24"/>
        </w:rPr>
        <w:t xml:space="preserve"> «Ընդհանուր նկարագրություն» մոդուլում անհրաժեշտ է արտացոլել Միության պատշաճ կլինիկական գործունեության կանոնների պահանջներին համապատասխանությանը վերաբերող հարցերը:</w:t>
      </w:r>
    </w:p>
    <w:p w14:paraId="610007E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Սույն բաժնում անհրաժեշտ է դիտարկել՝</w:t>
      </w:r>
    </w:p>
    <w:p w14:paraId="593B8EE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բոլոր այն կասկածները, որոնք առաջացել են փորձաքննության ընթացքում կլինիկական պատշաճ գործունեության կանոնների </w:t>
      </w:r>
      <w:r w:rsidR="00C54D75">
        <w:rPr>
          <w:rFonts w:ascii="Sylfaen" w:hAnsi="Sylfaen"/>
          <w:sz w:val="24"/>
          <w:szCs w:val="24"/>
        </w:rPr>
        <w:t>և</w:t>
      </w:r>
      <w:r w:rsidRPr="00826F05">
        <w:rPr>
          <w:rFonts w:ascii="Sylfaen" w:hAnsi="Sylfaen"/>
          <w:sz w:val="24"/>
          <w:szCs w:val="24"/>
        </w:rPr>
        <w:t xml:space="preserve"> դրանց առնչվող կարգավորող </w:t>
      </w:r>
      <w:r w:rsidR="00C54D75">
        <w:rPr>
          <w:rFonts w:ascii="Sylfaen" w:hAnsi="Sylfaen"/>
          <w:sz w:val="24"/>
          <w:szCs w:val="24"/>
        </w:rPr>
        <w:t>և</w:t>
      </w:r>
      <w:r w:rsidRPr="00826F05">
        <w:rPr>
          <w:rFonts w:ascii="Sylfaen" w:hAnsi="Sylfaen"/>
          <w:sz w:val="24"/>
          <w:szCs w:val="24"/>
        </w:rPr>
        <w:t xml:space="preserve"> էթիկական պահանջների պահպանման մասով (տվյալների ճշտություն, արձանագրության պահպանում </w:t>
      </w:r>
      <w:r w:rsidR="00C54D75">
        <w:rPr>
          <w:rFonts w:ascii="Sylfaen" w:hAnsi="Sylfaen"/>
          <w:sz w:val="24"/>
          <w:szCs w:val="24"/>
        </w:rPr>
        <w:t>և</w:t>
      </w:r>
      <w:r w:rsidRPr="00826F05">
        <w:rPr>
          <w:rFonts w:ascii="Sylfaen" w:hAnsi="Sylfaen"/>
          <w:sz w:val="24"/>
          <w:szCs w:val="24"/>
        </w:rPr>
        <w:t xml:space="preserve"> էթիկական ասպեկտների պահպանում).</w:t>
      </w:r>
    </w:p>
    <w:p w14:paraId="5CE6A616"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կլինիկական հետազոտությունների՝ Միության պատշաճ կլինիկական գործունեության կամ դրանց համարժեք կանոններով նախատեսված էթիկական չափանիշների պահպանումը. </w:t>
      </w:r>
    </w:p>
    <w:p w14:paraId="177E763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պատշաճ կլինիկական գործունեության կանոնների պահանջներին </w:t>
      </w:r>
      <w:r w:rsidRPr="00826F05">
        <w:rPr>
          <w:rFonts w:ascii="Sylfaen" w:hAnsi="Sylfaen"/>
          <w:sz w:val="24"/>
          <w:szCs w:val="24"/>
        </w:rPr>
        <w:lastRenderedPageBreak/>
        <w:t xml:space="preserve">համապատասխանության մասով տեսչական ստուգում անցկացնելու նպատակահարմարությունը՝ ելնելով Գրանցման </w:t>
      </w:r>
      <w:r w:rsidR="00C54D75">
        <w:rPr>
          <w:rFonts w:ascii="Sylfaen" w:hAnsi="Sylfaen"/>
          <w:sz w:val="24"/>
          <w:szCs w:val="24"/>
        </w:rPr>
        <w:t>և</w:t>
      </w:r>
      <w:r w:rsidRPr="00826F05">
        <w:rPr>
          <w:rFonts w:ascii="Sylfaen" w:hAnsi="Sylfaen"/>
          <w:sz w:val="24"/>
          <w:szCs w:val="24"/>
        </w:rPr>
        <w:t xml:space="preserve"> փորձաքննության կանոններից:</w:t>
      </w:r>
    </w:p>
    <w:p w14:paraId="698A7FE9" w14:textId="77777777" w:rsidR="004F5982" w:rsidRPr="00826F05"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Տեսչական ստուգում անցկացնելու անհրաժեշտության վերաբերյալ որոշման ընդունումն իրականացվում է (սույն կանոններում բերված) կրիտիկական գործոնների համակցության հիման վրա՝ հաշվի առնելով ամբողջ գրանցման դոսյեի գնահատումը: Կրիտիկական գործոնների ցանկը սպառիչ չէ, յուրաքանչյուր գործոնի նշանակությունը Միության պատշաճ կլինիկական գործունեության կանոններին համապատասխանության մասով արտապլանային տեսչական ստուգում անցկացնելու վերաբերյալ որոշում կայացնելու համար կարող է էականորեն տարբերվել՝ կախված բազմաթիվ գործոններից:</w:t>
      </w:r>
    </w:p>
    <w:p w14:paraId="0159FC9E"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Տեսչական ստուգում անցկացնելու անհրաժեշտությունը պայմանավորող գործոնների վերաբերյալ մանրամասն տեղեկատվությունը ներկայացված է սույն կանոններում </w:t>
      </w:r>
      <w:r w:rsidR="00C54D75">
        <w:rPr>
          <w:rFonts w:ascii="Sylfaen" w:hAnsi="Sylfaen"/>
          <w:sz w:val="24"/>
          <w:szCs w:val="24"/>
        </w:rPr>
        <w:t>և</w:t>
      </w:r>
      <w:r w:rsidRPr="00826F05">
        <w:rPr>
          <w:rFonts w:ascii="Sylfaen" w:hAnsi="Sylfaen"/>
          <w:sz w:val="24"/>
          <w:szCs w:val="24"/>
        </w:rPr>
        <w:t xml:space="preserve"> Միության դեղագործական տեսչական ստուգումների անցկացման կանոններում:</w:t>
      </w:r>
    </w:p>
    <w:p w14:paraId="743CED3F" w14:textId="77777777" w:rsidR="004F5982"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 xml:space="preserve">Միության պատշաճ կլինիկական գործունեության կանոնների պահանջներին համապատասխանության մասով տեսչական ստուգում անցկացնելու վերաբերյալ հարցման համար անհրաժեշտ է </w:t>
      </w:r>
    </w:p>
    <w:p w14:paraId="60667E66" w14:textId="77777777" w:rsidR="004F5982" w:rsidRDefault="004F5982" w:rsidP="004C0BC5">
      <w:pPr>
        <w:spacing w:after="160" w:line="336" w:lineRule="auto"/>
        <w:ind w:firstLine="567"/>
        <w:jc w:val="both"/>
        <w:rPr>
          <w:rFonts w:ascii="Sylfaen" w:hAnsi="Sylfaen"/>
          <w:sz w:val="24"/>
          <w:szCs w:val="24"/>
        </w:rPr>
      </w:pPr>
      <w:r w:rsidRPr="00826F05">
        <w:rPr>
          <w:rFonts w:ascii="Sylfaen" w:hAnsi="Sylfaen"/>
          <w:sz w:val="24"/>
          <w:szCs w:val="24"/>
        </w:rPr>
        <w:t xml:space="preserve">դիմել ազգային դեղագործական տեսչություն. </w:t>
      </w:r>
    </w:p>
    <w:p w14:paraId="570C05D1" w14:textId="77777777" w:rsidR="004F5982" w:rsidRPr="00826F05" w:rsidRDefault="004F5982" w:rsidP="004C0BC5">
      <w:pPr>
        <w:spacing w:after="160" w:line="336" w:lineRule="auto"/>
        <w:ind w:right="-1" w:firstLine="567"/>
        <w:jc w:val="both"/>
        <w:rPr>
          <w:rFonts w:ascii="Sylfaen" w:eastAsia="Times New Roman" w:hAnsi="Sylfaen" w:cs="Times New Roman"/>
          <w:sz w:val="24"/>
          <w:szCs w:val="24"/>
        </w:rPr>
      </w:pPr>
      <w:r w:rsidRPr="00826F05">
        <w:rPr>
          <w:rFonts w:ascii="Sylfaen" w:hAnsi="Sylfaen"/>
          <w:sz w:val="24"/>
          <w:szCs w:val="24"/>
        </w:rPr>
        <w:t>տեսչության հետ միասին որոշել տեսչական ստուգմանն առնչվող հետազոտությունները, օբյեկտներն ու մասնահատուկ հարցերը կամ խնդիրները.</w:t>
      </w:r>
    </w:p>
    <w:p w14:paraId="0347F8F3" w14:textId="77777777" w:rsidR="004F5982" w:rsidRPr="00826F05" w:rsidRDefault="004F5982" w:rsidP="004C0BC5">
      <w:pPr>
        <w:spacing w:after="160" w:line="336" w:lineRule="auto"/>
        <w:ind w:right="-1" w:firstLine="567"/>
        <w:jc w:val="both"/>
        <w:rPr>
          <w:rFonts w:ascii="Sylfaen" w:eastAsia="Times New Roman" w:hAnsi="Sylfaen" w:cs="Times New Roman"/>
          <w:spacing w:val="-6"/>
          <w:sz w:val="24"/>
          <w:szCs w:val="24"/>
        </w:rPr>
      </w:pPr>
      <w:r w:rsidRPr="00826F05">
        <w:rPr>
          <w:rFonts w:ascii="Sylfaen" w:hAnsi="Sylfaen"/>
          <w:spacing w:val="-6"/>
          <w:sz w:val="24"/>
          <w:szCs w:val="24"/>
        </w:rPr>
        <w:t xml:space="preserve">նախապատրաստել տեսչական ստուգման վերաբերյալ պաշտոնական հարցում, որը ներկայացվում է տեսուչների քննարկման </w:t>
      </w:r>
      <w:r w:rsidR="00C54D75">
        <w:rPr>
          <w:rFonts w:ascii="Sylfaen" w:hAnsi="Sylfaen"/>
          <w:spacing w:val="-6"/>
          <w:sz w:val="24"/>
          <w:szCs w:val="24"/>
        </w:rPr>
        <w:t>և</w:t>
      </w:r>
      <w:r w:rsidRPr="00826F05">
        <w:rPr>
          <w:rFonts w:ascii="Sylfaen" w:hAnsi="Sylfaen"/>
          <w:spacing w:val="-6"/>
          <w:sz w:val="24"/>
          <w:szCs w:val="24"/>
        </w:rPr>
        <w:t xml:space="preserve"> Միության անդամ պետությունների լիազորված տեսչական կազմակերպությունների հետ հետագա համաձայնեցման համար, որից հետո հարցումը հաստատվում է լիազորված մարմինների կողմից </w:t>
      </w:r>
      <w:r w:rsidR="00C54D75">
        <w:rPr>
          <w:rFonts w:ascii="Sylfaen" w:hAnsi="Sylfaen"/>
          <w:spacing w:val="-6"/>
          <w:sz w:val="24"/>
          <w:szCs w:val="24"/>
        </w:rPr>
        <w:t>և</w:t>
      </w:r>
      <w:r w:rsidRPr="00826F05">
        <w:rPr>
          <w:rFonts w:ascii="Sylfaen" w:hAnsi="Sylfaen"/>
          <w:spacing w:val="-6"/>
          <w:sz w:val="24"/>
          <w:szCs w:val="24"/>
        </w:rPr>
        <w:t xml:space="preserve"> ներառվում է տեսչական ստուգումների պլանի մեջ (90 կամ 120 օր):</w:t>
      </w:r>
    </w:p>
    <w:p w14:paraId="7B262378"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lastRenderedPageBreak/>
        <w:t>2.2. Բիովեյվերները</w:t>
      </w:r>
    </w:p>
    <w:p w14:paraId="012B9E59"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Սույն բաժնում հարկավոր է նկարագրել բիովեյվերի 2 տարատեսակ՝</w:t>
      </w:r>
    </w:p>
    <w:p w14:paraId="0166682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Բիովեյվեր՝ դոզավորման(ումների) համար,</w:t>
      </w:r>
    </w:p>
    <w:p w14:paraId="50B6F710"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Բիովեյվեր՝ ԿԴՀ-ի հիման վրա: </w:t>
      </w:r>
    </w:p>
    <w:p w14:paraId="1631040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Անհրաժեշտ է հաշվի առնել Միության վերարտադրված դեղամիջոցների կենսահամարժեքության հետազոտությունների անցկացման կանոնների համապատասխան պահանջները:</w:t>
      </w:r>
    </w:p>
    <w:p w14:paraId="71755324"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Սույն բաժինը հարկավոր է օգտագործել կենսահամարժեքության հետազոտությունների անցկացումից հրաժարվելու հիմնավորման գնահատման համար, օրինակ՝ որոշակի դեղաձ</w:t>
      </w:r>
      <w:r w:rsidR="00C54D75">
        <w:rPr>
          <w:rFonts w:ascii="Sylfaen" w:hAnsi="Sylfaen"/>
          <w:sz w:val="24"/>
          <w:szCs w:val="24"/>
        </w:rPr>
        <w:t>և</w:t>
      </w:r>
      <w:r w:rsidRPr="00826F05">
        <w:rPr>
          <w:rFonts w:ascii="Sylfaen" w:hAnsi="Sylfaen"/>
          <w:sz w:val="24"/>
          <w:szCs w:val="24"/>
        </w:rPr>
        <w:t>երի նկատմամբ՝ նշված կանոններին համապատասխան:</w:t>
      </w:r>
    </w:p>
    <w:p w14:paraId="3D0385E9" w14:textId="77777777" w:rsidR="004F5982" w:rsidRPr="00826F05" w:rsidRDefault="004F5982" w:rsidP="00487007">
      <w:pPr>
        <w:spacing w:after="160" w:line="360" w:lineRule="auto"/>
        <w:ind w:right="-1" w:firstLine="567"/>
        <w:jc w:val="center"/>
        <w:rPr>
          <w:rFonts w:ascii="Sylfaen" w:hAnsi="Sylfaen"/>
          <w:sz w:val="24"/>
          <w:szCs w:val="24"/>
        </w:rPr>
      </w:pPr>
    </w:p>
    <w:p w14:paraId="4B3522F8"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 Կլինիկական դեղաբանությունը</w:t>
      </w:r>
    </w:p>
    <w:p w14:paraId="508B7070"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2.3.1. Դեղակինետիկան</w:t>
      </w:r>
    </w:p>
    <w:p w14:paraId="10656B8E" w14:textId="002FB38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&lt;Որպես </w:t>
      </w:r>
      <w:r w:rsidR="0056496B">
        <w:rPr>
          <w:rFonts w:ascii="Sylfaen" w:hAnsi="Sylfaen"/>
          <w:i/>
          <w:sz w:val="24"/>
          <w:szCs w:val="24"/>
        </w:rPr>
        <w:t>դիմում</w:t>
      </w:r>
      <w:r w:rsidRPr="00826F05">
        <w:rPr>
          <w:rFonts w:ascii="Sylfaen" w:hAnsi="Sylfaen"/>
          <w:i/>
          <w:sz w:val="24"/>
          <w:szCs w:val="24"/>
        </w:rPr>
        <w:t>ի հիմնավորումներ ներկայացված են կենսահամարժեքության [նշել քանակը] հետազոտություն(ներ), դեղադինամիկ [նշել քանակը] հետազոտություններ, թերապ</w:t>
      </w:r>
      <w:r w:rsidR="00C54D75">
        <w:rPr>
          <w:rFonts w:ascii="Sylfaen" w:hAnsi="Sylfaen"/>
          <w:i/>
          <w:sz w:val="24"/>
          <w:szCs w:val="24"/>
        </w:rPr>
        <w:t>և</w:t>
      </w:r>
      <w:r w:rsidRPr="00826F05">
        <w:rPr>
          <w:rFonts w:ascii="Sylfaen" w:hAnsi="Sylfaen"/>
          <w:i/>
          <w:sz w:val="24"/>
          <w:szCs w:val="24"/>
        </w:rPr>
        <w:t>տիկ համարժեքության [նշել քանակը] հետազոտություններ:&gt;</w:t>
      </w:r>
    </w:p>
    <w:p w14:paraId="1DDBEB86"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E20294">
        <w:rPr>
          <w:rFonts w:ascii="Sylfaen" w:hAnsi="Sylfaen"/>
          <w:spacing w:val="-6"/>
          <w:sz w:val="24"/>
          <w:szCs w:val="24"/>
        </w:rPr>
        <w:t>Հարկավոր է ներկայացնել կենսահամարժեքության մի քանի հետազոտությունների ներկայացման հիմնավորվածության գնահատումը</w:t>
      </w:r>
      <w:r w:rsidRPr="00826F05">
        <w:rPr>
          <w:rFonts w:ascii="Sylfaen" w:hAnsi="Sylfaen"/>
          <w:sz w:val="24"/>
          <w:szCs w:val="24"/>
        </w:rPr>
        <w:t>: Եթե անց են կացվել մի քանի կլինիկական հետազոտություններ, ապա յուրաքանչյուր այդպիսի հետազոտություն անհրաժեշտ է առանձին նկարագրել՝ օգտագործելով աղյուսակի տեսքով ստոր</w:t>
      </w:r>
      <w:r w:rsidR="00C54D75">
        <w:rPr>
          <w:rFonts w:ascii="Sylfaen" w:hAnsi="Sylfaen"/>
          <w:sz w:val="24"/>
          <w:szCs w:val="24"/>
        </w:rPr>
        <w:t>և</w:t>
      </w:r>
      <w:r w:rsidRPr="00826F05">
        <w:rPr>
          <w:rFonts w:ascii="Sylfaen" w:hAnsi="Sylfaen"/>
          <w:sz w:val="24"/>
          <w:szCs w:val="24"/>
        </w:rPr>
        <w:t xml:space="preserve"> ներկայացված կառուցվածքը: </w:t>
      </w:r>
    </w:p>
    <w:p w14:paraId="18E72B5B" w14:textId="77777777" w:rsidR="004F5982" w:rsidRPr="00E20294" w:rsidRDefault="004F5982" w:rsidP="00487007">
      <w:pPr>
        <w:pStyle w:val="Tablecaption20"/>
        <w:shd w:val="clear" w:color="auto" w:fill="auto"/>
        <w:spacing w:after="160" w:line="360" w:lineRule="auto"/>
        <w:ind w:right="-1" w:firstLine="567"/>
        <w:jc w:val="right"/>
        <w:rPr>
          <w:rFonts w:ascii="Sylfaen" w:hAnsi="Sylfaen"/>
          <w:b w:val="0"/>
          <w:sz w:val="24"/>
          <w:szCs w:val="24"/>
        </w:rPr>
      </w:pPr>
      <w:r w:rsidRPr="00E20294">
        <w:rPr>
          <w:rFonts w:ascii="Sylfaen" w:hAnsi="Sylfaen"/>
          <w:b w:val="0"/>
          <w:color w:val="000000"/>
          <w:sz w:val="24"/>
          <w:szCs w:val="24"/>
        </w:rPr>
        <w:t>Աղյուսակ 1</w:t>
      </w:r>
    </w:p>
    <w:p w14:paraId="7776F3F5" w14:textId="77777777" w:rsidR="004F5982" w:rsidRPr="00E20294" w:rsidRDefault="004F5982" w:rsidP="00487007">
      <w:pPr>
        <w:spacing w:after="160" w:line="360" w:lineRule="auto"/>
        <w:ind w:left="567" w:right="332"/>
        <w:jc w:val="center"/>
        <w:rPr>
          <w:rFonts w:ascii="Sylfaen" w:hAnsi="Sylfaen"/>
          <w:b/>
          <w:sz w:val="24"/>
          <w:szCs w:val="24"/>
        </w:rPr>
      </w:pPr>
      <w:r w:rsidRPr="00E20294">
        <w:rPr>
          <w:rStyle w:val="Bodytext295pt"/>
          <w:rFonts w:ascii="Sylfaen" w:eastAsiaTheme="minorHAnsi" w:hAnsi="Sylfaen"/>
          <w:b w:val="0"/>
          <w:spacing w:val="0"/>
          <w:sz w:val="24"/>
          <w:szCs w:val="24"/>
        </w:rPr>
        <w:lastRenderedPageBreak/>
        <w:t>Կլինիկական հետազոտությունների աղյուսակային ամփոփումը</w:t>
      </w:r>
    </w:p>
    <w:tbl>
      <w:tblPr>
        <w:tblOverlap w:val="neve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62"/>
        <w:gridCol w:w="691"/>
        <w:gridCol w:w="1575"/>
        <w:gridCol w:w="1625"/>
        <w:gridCol w:w="203"/>
        <w:gridCol w:w="1813"/>
        <w:gridCol w:w="174"/>
        <w:gridCol w:w="1700"/>
      </w:tblGrid>
      <w:tr w:rsidR="004F5982" w:rsidRPr="00E20294" w14:paraId="47F1CAD0" w14:textId="77777777" w:rsidTr="00433295">
        <w:tc>
          <w:tcPr>
            <w:tcW w:w="10143" w:type="dxa"/>
            <w:gridSpan w:val="8"/>
            <w:shd w:val="clear" w:color="auto" w:fill="FFFFFF"/>
            <w:vAlign w:val="bottom"/>
          </w:tcPr>
          <w:p w14:paraId="2979FD29"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Հետազոտություն &lt;համարը&gt;՝ &lt;անվանումը&gt;</w:t>
            </w:r>
          </w:p>
        </w:tc>
      </w:tr>
      <w:tr w:rsidR="004F5982" w:rsidRPr="00E20294" w14:paraId="35F1A1B0" w14:textId="77777777" w:rsidTr="00433295">
        <w:tc>
          <w:tcPr>
            <w:tcW w:w="10143" w:type="dxa"/>
            <w:gridSpan w:val="8"/>
            <w:shd w:val="clear" w:color="auto" w:fill="FFFFFF"/>
            <w:vAlign w:val="bottom"/>
          </w:tcPr>
          <w:p w14:paraId="21FE5AE4"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Մեթոդները</w:t>
            </w:r>
          </w:p>
        </w:tc>
      </w:tr>
      <w:tr w:rsidR="004F5982" w:rsidRPr="00E20294" w14:paraId="7D7DCBF6" w14:textId="77777777" w:rsidTr="00433295">
        <w:tc>
          <w:tcPr>
            <w:tcW w:w="10143" w:type="dxa"/>
            <w:gridSpan w:val="8"/>
            <w:shd w:val="clear" w:color="auto" w:fill="FFFFFF"/>
            <w:vAlign w:val="bottom"/>
          </w:tcPr>
          <w:p w14:paraId="11D4B402"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Հետազոտության բովանդակային պլանը</w:t>
            </w:r>
          </w:p>
          <w:p w14:paraId="280A66C0"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Հետազոտության բովանդակային պլանի մանրամասն նկարագրությունը, ներառյալ՝ պատրաստուկն ընդունելու ընթացակարգերը (անոթի կամ սնունդ ընդունելուց հետո), մաքրման ժամանակահատվածը, սննդի բնութագրերը՝ սնունդ ընդունելուց հետո (անոթի</w:t>
            </w:r>
            <w:r>
              <w:rPr>
                <w:rStyle w:val="Bodytext20"/>
                <w:rFonts w:ascii="Sylfaen" w:eastAsiaTheme="minorHAnsi" w:hAnsi="Sylfaen"/>
                <w:sz w:val="22"/>
                <w:szCs w:val="22"/>
              </w:rPr>
              <w:t> </w:t>
            </w:r>
            <w:r w:rsidRPr="00E20294">
              <w:rPr>
                <w:rStyle w:val="Bodytext20"/>
                <w:rFonts w:ascii="Sylfaen" w:eastAsiaTheme="minorHAnsi" w:hAnsi="Sylfaen"/>
                <w:sz w:val="22"/>
                <w:szCs w:val="22"/>
              </w:rPr>
              <w:t>վիճակում), սննդի բաղադրիչները (սնունդ ընդունելուց հետո պատրաստուկի ընդունմամբ հետազոտություններում), բազմակի (մեկանգամյա) ներմուծումը, ընդունած դեղաչափը, մաքրման ժամանակահատվածը, «կույր» մեթոդը, խաչաձ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ումը, պատահական բաշխումը, նմուշառման սխեման, վերլուծվող միացությունը (ելանյութը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(կամ) մետաբոլիտները)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կենսանյութը (պլազմա, մեզ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 </w:t>
            </w:r>
          </w:p>
          <w:p w14:paraId="3214AC2B"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Եթե հետազոտությունն անց է կացվել ստացիոնար (հավասարակշիռ) վիճակում՝ համապատասխան տվյալները (բազմակի ընդունում):</w:t>
            </w:r>
          </w:p>
          <w:p w14:paraId="5E1DADFC"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Արձանագրության համարը, հետազոտության տ</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ողությունը, հետազոտողի, հետազոտական կենտրոնի, կենսավերլուծական կենտրոնի, կենսավիճակագրության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(կամ) կենսավիճակագրական կենտրոնի վերաբերյալ տեղեկությունները:</w:t>
            </w:r>
          </w:p>
          <w:p w14:paraId="33A87783"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 xml:space="preserve">Փորձագետի </w:t>
            </w:r>
            <w:r w:rsidRPr="00E20294">
              <w:rPr>
                <w:rStyle w:val="Bodytext20"/>
                <w:rFonts w:ascii="Sylfaen" w:eastAsiaTheme="minorHAnsi" w:hAnsi="Sylfaen"/>
                <w:color w:val="auto"/>
                <w:sz w:val="22"/>
                <w:szCs w:val="22"/>
              </w:rPr>
              <w:t>մեկնաբանությունը</w:t>
            </w:r>
          </w:p>
          <w:p w14:paraId="60FDA3B2"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Հետազոտության բովանդակային պլանի ընդունելիության կրիտիկական գնահատականը:</w:t>
            </w:r>
          </w:p>
        </w:tc>
      </w:tr>
      <w:tr w:rsidR="004F5982" w:rsidRPr="00E20294" w14:paraId="2163B420" w14:textId="77777777" w:rsidTr="00433295">
        <w:tc>
          <w:tcPr>
            <w:tcW w:w="10143" w:type="dxa"/>
            <w:gridSpan w:val="8"/>
            <w:shd w:val="clear" w:color="auto" w:fill="FFFFFF"/>
            <w:vAlign w:val="bottom"/>
          </w:tcPr>
          <w:p w14:paraId="5E069693"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Հետազոտվող պատրաստուկը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պատրաստուկը</w:t>
            </w:r>
          </w:p>
          <w:p w14:paraId="3DCB6922" w14:textId="77777777" w:rsidR="004F5982" w:rsidRPr="00E20294" w:rsidRDefault="004F5982" w:rsidP="00487007">
            <w:pPr>
              <w:spacing w:after="120" w:line="288" w:lineRule="auto"/>
              <w:ind w:left="142" w:right="113"/>
              <w:jc w:val="both"/>
              <w:rPr>
                <w:rFonts w:ascii="Sylfaen" w:hAnsi="Sylfaen"/>
              </w:rPr>
            </w:pPr>
            <w:r w:rsidRPr="00E20294">
              <w:rPr>
                <w:rStyle w:val="Bodytext20"/>
                <w:rFonts w:ascii="Sylfaen" w:eastAsiaTheme="minorHAnsi" w:hAnsi="Sylfaen"/>
                <w:sz w:val="22"/>
                <w:szCs w:val="22"/>
              </w:rPr>
              <w:t>Անհրաժեշտ է համեմատման պատրաստուկի (անվանումը) վերաբերյալ աղյուսակային 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ով ներկայացնել մանրամասն տեղեկություններ՝ դոզավորումը, դեղաձ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ը, գրանցման հավաստագրի իրավատերը, Միության շրջանակներում գրանցման օրը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կլինիկական հետազոտություններում օգտագործված սերիաների վերաբերյալ մանրամասն տեղեկություններ (ինչպիսիք են սերիայի համարը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արտադրության երկիրը):</w:t>
            </w:r>
          </w:p>
          <w:p w14:paraId="3F8D0E20" w14:textId="77777777" w:rsidR="004F5982" w:rsidRPr="00E20294" w:rsidRDefault="004F5982" w:rsidP="00487007">
            <w:pPr>
              <w:spacing w:after="120" w:line="288" w:lineRule="auto"/>
              <w:ind w:left="142" w:right="113"/>
              <w:jc w:val="both"/>
              <w:rPr>
                <w:rFonts w:ascii="Sylfaen" w:hAnsi="Sylfaen"/>
              </w:rPr>
            </w:pPr>
            <w:r w:rsidRPr="00E20294">
              <w:rPr>
                <w:rStyle w:val="Bodytext20"/>
                <w:rFonts w:ascii="Sylfaen" w:eastAsiaTheme="minorHAnsi" w:hAnsi="Sylfaen"/>
                <w:sz w:val="22"/>
                <w:szCs w:val="22"/>
              </w:rPr>
              <w:t>Անհրաժեշտ է նշել հետ</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յալ տեղեկությունները՝ հետազոտվող պատրաստուկի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պատրաստուկի անվանական դեղաչափը, ինչպես նա</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կենսահամարժեքության հետազոտությունում օգտագործված երկու պատրաստուկների մեջ ազդող նյութի փաստացի պարունակությունը՝ ըստ փորձարկումների արձանագրության (վերլուծության սերտիֆիկատի), հետազոտվող պատրաստուկի սերիայի ծավալը (անցկացված հետազոտության շրջանակներում)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 արդյունաբերական սերիայի ենթադրվող ծավալը:</w:t>
            </w:r>
          </w:p>
        </w:tc>
      </w:tr>
      <w:tr w:rsidR="004F5982" w:rsidRPr="00E20294" w14:paraId="3B73290E" w14:textId="77777777" w:rsidTr="00433295">
        <w:tc>
          <w:tcPr>
            <w:tcW w:w="10143" w:type="dxa"/>
            <w:gridSpan w:val="8"/>
            <w:shd w:val="clear" w:color="auto" w:fill="FFFFFF"/>
            <w:vAlign w:val="bottom"/>
          </w:tcPr>
          <w:p w14:paraId="0901E294"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285E0F06" w14:textId="4BF03EA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Անհրաժեշտ է նշել, թե արդյոք պահանջվող տվյալները ներկայացված են, արդյոք հետազոտվող պատրաստուկը, ըստ բաղադրության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արտադրության մեթոդի, նույնական է գրանցման համար </w:t>
            </w:r>
            <w:r w:rsidR="001A5F1A">
              <w:rPr>
                <w:rStyle w:val="Bodytext20"/>
                <w:rFonts w:ascii="Sylfaen" w:eastAsiaTheme="minorHAnsi" w:hAnsi="Sylfaen"/>
                <w:sz w:val="22"/>
                <w:szCs w:val="22"/>
              </w:rPr>
              <w:t>հայտագրված</w:t>
            </w:r>
            <w:r w:rsidRPr="00E20294">
              <w:rPr>
                <w:rStyle w:val="Bodytext20"/>
                <w:rFonts w:ascii="Sylfaen" w:eastAsiaTheme="minorHAnsi" w:hAnsi="Sylfaen"/>
                <w:sz w:val="22"/>
                <w:szCs w:val="22"/>
              </w:rPr>
              <w:t xml:space="preserve">ին: </w:t>
            </w:r>
          </w:p>
        </w:tc>
      </w:tr>
      <w:tr w:rsidR="004F5982" w:rsidRPr="00E20294" w14:paraId="55C1F9F2" w14:textId="77777777" w:rsidTr="00433295">
        <w:tc>
          <w:tcPr>
            <w:tcW w:w="10143" w:type="dxa"/>
            <w:gridSpan w:val="8"/>
            <w:shd w:val="clear" w:color="auto" w:fill="FFFFFF"/>
            <w:vAlign w:val="bottom"/>
          </w:tcPr>
          <w:p w14:paraId="4BFAC9B0"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Ուսումնասիրված պոպուլյացիաները</w:t>
            </w:r>
          </w:p>
          <w:p w14:paraId="6F184957"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lastRenderedPageBreak/>
              <w:t xml:space="preserve">Հարկավոր է նշել հետազոտությունում, ՖԿ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վիճակագրական վերլուծությունում ներառված, դուրս մնացած (պատճառի մանրամասն նկարագրությամբ) սուբյեկտների քանակը, ներկայացնել նրանց էթնիկ պատկանելիությունը, սեռը, տարիքը, առողջական վիճակը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w:t>
            </w:r>
          </w:p>
          <w:p w14:paraId="11C277B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6C7814C7" w14:textId="6E101935"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Անհրաժեշտ է նշել, թե արդյոք սուբյեկտների ընտրությունը համապատասխանում է Միության վերարտադրված դեղապատրաստուկների հետազոտությունների կանոններին, արդյոք պահպանվել են ներառելու (չներառելու) չափորոշիչները, արդյոք ճիշտ է ընտրանքի չափի հաշվարկումը, գնահատել էթնիկ պատկանելիության, սեռի, տարիքի, առողջական վիճակի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այլնի ազդեցությունը: Գնահատե՛ք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շեղումները (խախտումները): </w:t>
            </w:r>
          </w:p>
        </w:tc>
      </w:tr>
      <w:tr w:rsidR="004F5982" w:rsidRPr="00E20294" w14:paraId="20F227F7" w14:textId="77777777" w:rsidTr="00433295">
        <w:trPr>
          <w:trHeight w:val="3505"/>
        </w:trPr>
        <w:tc>
          <w:tcPr>
            <w:tcW w:w="10143" w:type="dxa"/>
            <w:gridSpan w:val="8"/>
            <w:shd w:val="clear" w:color="auto" w:fill="FFFFFF"/>
            <w:vAlign w:val="bottom"/>
          </w:tcPr>
          <w:p w14:paraId="0D9EA93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lastRenderedPageBreak/>
              <w:t>Վերլուծական մեթոդները</w:t>
            </w:r>
          </w:p>
          <w:p w14:paraId="1ACF20FD"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Օգտագործված վերլուծական մեթոդների մանրամասն նկարագրությունը՝ շեշտը դնելով մեթոդիկայի վալիդացման բնութագրի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վերլուծությունների կատարման որակի հսկողության վրա: Ներկայացրե՛ք կենսավերլուծական մեթոդիկայի վալիդացման մասով հաշվետվության փորձաքննության համար նշանակալի բոլոր տեղեկությունները՝ Միության վերարտադրված դեղապատրաստուկների հետազոտությունների կանոններին համապատասխան:</w:t>
            </w:r>
          </w:p>
          <w:p w14:paraId="17315A9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5B6DDE33" w14:textId="7D1D9BC6"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Նշե՛ք, թե արդյոք վերլուծական մեթոդն ընդունելի, վալիդացված է, արդյոք նմուշների հետ աշխատանքը գոհացուցիչ է: Գնահատե՛ք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շեղումները (խախտումները):</w:t>
            </w:r>
          </w:p>
        </w:tc>
      </w:tr>
      <w:tr w:rsidR="004F5982" w:rsidRPr="00E20294" w14:paraId="594D3389" w14:textId="77777777" w:rsidTr="00433295">
        <w:tc>
          <w:tcPr>
            <w:tcW w:w="10143" w:type="dxa"/>
            <w:gridSpan w:val="8"/>
            <w:shd w:val="clear" w:color="auto" w:fill="FFFFFF"/>
            <w:vAlign w:val="bottom"/>
          </w:tcPr>
          <w:p w14:paraId="04F3F59E"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Դեղակինետիկ փոփոխականները</w:t>
            </w:r>
          </w:p>
          <w:p w14:paraId="1E225B6F"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Ընդհանրացրե՛ք դեղակինետիկ պարամետրերը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դրանց հաշվարկման մեթոդները (ոչ</w:t>
            </w:r>
            <w:r>
              <w:rPr>
                <w:rStyle w:val="Bodytext20"/>
                <w:rFonts w:ascii="Sylfaen" w:eastAsiaTheme="minorHAnsi" w:hAnsi="Sylfaen"/>
                <w:sz w:val="22"/>
                <w:szCs w:val="22"/>
              </w:rPr>
              <w:t> </w:t>
            </w:r>
            <w:r w:rsidRPr="00E20294">
              <w:rPr>
                <w:rStyle w:val="Bodytext20"/>
                <w:rFonts w:ascii="Sylfaen" w:eastAsiaTheme="minorHAnsi" w:hAnsi="Sylfaen"/>
                <w:sz w:val="22"/>
                <w:szCs w:val="22"/>
              </w:rPr>
              <w:t xml:space="preserve">մոդելային (մոդելային), ծրագրային ապահովում՝ ՖԿ վերլուծության համար: Առաջնային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երկրորդային վերջնակետերի ընտրություն):</w:t>
            </w:r>
          </w:p>
          <w:p w14:paraId="271A6B2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3B8E3327"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Գնահատե՛ք դեղակինետիկ պարամետրերի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դրանց հաշվարկման մեթոդների ճշտությունը: </w:t>
            </w:r>
          </w:p>
        </w:tc>
      </w:tr>
      <w:tr w:rsidR="004F5982" w:rsidRPr="00E20294" w14:paraId="5F5C97FB" w14:textId="77777777" w:rsidTr="00433295">
        <w:tc>
          <w:tcPr>
            <w:tcW w:w="10143" w:type="dxa"/>
            <w:gridSpan w:val="8"/>
            <w:tcBorders>
              <w:bottom w:val="single" w:sz="4" w:space="0" w:color="auto"/>
            </w:tcBorders>
            <w:shd w:val="clear" w:color="auto" w:fill="FFFFFF"/>
            <w:vAlign w:val="bottom"/>
          </w:tcPr>
          <w:p w14:paraId="01BEFCD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Վիճակագրական մեթոդները</w:t>
            </w:r>
          </w:p>
          <w:p w14:paraId="16F6976E" w14:textId="77777777" w:rsidR="004F5982" w:rsidRPr="00E20294" w:rsidRDefault="004F5982" w:rsidP="00487007">
            <w:pPr>
              <w:spacing w:after="120" w:line="240" w:lineRule="auto"/>
              <w:ind w:left="142" w:right="116"/>
              <w:jc w:val="both"/>
              <w:rPr>
                <w:rStyle w:val="Bodytext20"/>
                <w:rFonts w:ascii="Sylfaen" w:eastAsiaTheme="minorHAnsi" w:hAnsi="Sylfaen"/>
                <w:sz w:val="22"/>
                <w:szCs w:val="22"/>
              </w:rPr>
            </w:pPr>
            <w:r w:rsidRPr="00E20294">
              <w:rPr>
                <w:rStyle w:val="Bodytext20"/>
                <w:rFonts w:ascii="Sylfaen" w:eastAsiaTheme="minorHAnsi" w:hAnsi="Sylfaen"/>
                <w:sz w:val="22"/>
                <w:szCs w:val="22"/>
              </w:rPr>
              <w:t xml:space="preserve">Վիճակագրական մեթոդների նկարագրությունը՝ ներառյալ ընդունելիության նախապես տրված չափորոշիչները: </w:t>
            </w:r>
          </w:p>
          <w:p w14:paraId="0D1C09D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07B25467" w14:textId="0AEDA2EE"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Գնահատե՛ք ընտրված վիճակագրությունների ճշտությունը, մեթոդների (փոխակերպումների, պարամետրային թեստերի, բացակայող արժեքների հետ աշխատանքի, արտանետումների, կենսահամարժեքության վերաբերյալ եզրակացության հիմքի,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շեղումների (խախտումների), ընդունելիության չափորոշիչների ընդլայնման հիմնավորվածության) ընդունելիությունը:</w:t>
            </w:r>
          </w:p>
        </w:tc>
      </w:tr>
      <w:tr w:rsidR="004F5982" w:rsidRPr="00E20294" w14:paraId="623D07F7" w14:textId="77777777" w:rsidTr="00433295">
        <w:tc>
          <w:tcPr>
            <w:tcW w:w="10143" w:type="dxa"/>
            <w:gridSpan w:val="8"/>
            <w:tcBorders>
              <w:bottom w:val="nil"/>
            </w:tcBorders>
            <w:shd w:val="clear" w:color="auto" w:fill="FFFFFF"/>
          </w:tcPr>
          <w:p w14:paraId="7E3F6A9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Արդյունքները</w:t>
            </w:r>
          </w:p>
          <w:p w14:paraId="61E9576E" w14:textId="5966F4FA" w:rsidR="004F5982" w:rsidRDefault="004F5982" w:rsidP="00487007">
            <w:pPr>
              <w:spacing w:after="120" w:line="240" w:lineRule="auto"/>
              <w:ind w:left="142" w:right="116"/>
              <w:jc w:val="both"/>
              <w:rPr>
                <w:rStyle w:val="Bodytext20"/>
                <w:rFonts w:ascii="Sylfaen" w:eastAsiaTheme="minorHAnsi" w:hAnsi="Sylfaen"/>
                <w:sz w:val="22"/>
                <w:szCs w:val="22"/>
              </w:rPr>
            </w:pPr>
            <w:r w:rsidRPr="00E20294">
              <w:rPr>
                <w:rStyle w:val="Bodytext20"/>
                <w:rFonts w:ascii="Sylfaen" w:eastAsiaTheme="minorHAnsi" w:hAnsi="Sylfaen"/>
                <w:sz w:val="22"/>
                <w:szCs w:val="22"/>
              </w:rPr>
              <w:t>Ընդհանրացրե՛ք կենսահամարժեքության գնահատման համար համապատասխան տվյալները ստոր</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ներկայացված աղյուսակներում, սակայն կլինիկական հետազոտության հաշվետվությունից </w:t>
            </w:r>
            <w:r w:rsidRPr="00E20294">
              <w:rPr>
                <w:rStyle w:val="Bodytext20"/>
                <w:rFonts w:ascii="Sylfaen" w:eastAsiaTheme="minorHAnsi" w:hAnsi="Sylfaen"/>
                <w:sz w:val="22"/>
                <w:szCs w:val="22"/>
              </w:rPr>
              <w:lastRenderedPageBreak/>
              <w:t xml:space="preserve">մի՛ պատճենեք մանրամասն վիճակագրական հաշվարկները: </w:t>
            </w:r>
          </w:p>
          <w:p w14:paraId="4FCC0DDF" w14:textId="77777777" w:rsidR="004F5982" w:rsidRPr="00E20294" w:rsidRDefault="004F5982" w:rsidP="00487007">
            <w:pPr>
              <w:spacing w:after="120" w:line="240" w:lineRule="auto"/>
              <w:ind w:left="142" w:right="116"/>
              <w:jc w:val="both"/>
              <w:rPr>
                <w:rFonts w:ascii="Sylfaen" w:hAnsi="Sylfaen"/>
              </w:rPr>
            </w:pPr>
          </w:p>
        </w:tc>
      </w:tr>
      <w:tr w:rsidR="004F5982" w:rsidRPr="00E20294" w14:paraId="4DE9A647" w14:textId="77777777" w:rsidTr="00433295">
        <w:tc>
          <w:tcPr>
            <w:tcW w:w="10143" w:type="dxa"/>
            <w:gridSpan w:val="8"/>
            <w:tcBorders>
              <w:top w:val="nil"/>
            </w:tcBorders>
            <w:shd w:val="clear" w:color="auto" w:fill="FFFFFF"/>
            <w:vAlign w:val="bottom"/>
          </w:tcPr>
          <w:p w14:paraId="5A677468" w14:textId="60F88E48" w:rsidR="004F5982" w:rsidRPr="00E20294" w:rsidRDefault="008D08B9" w:rsidP="008D08B9">
            <w:pPr>
              <w:spacing w:after="120" w:line="240" w:lineRule="auto"/>
              <w:ind w:right="1638"/>
              <w:jc w:val="both"/>
              <w:rPr>
                <w:rFonts w:ascii="Sylfaen" w:hAnsi="Sylfaen"/>
              </w:rPr>
            </w:pPr>
            <w:r w:rsidRPr="008D08B9">
              <w:rPr>
                <w:rStyle w:val="Bodytext20"/>
                <w:rFonts w:ascii="Sylfaen" w:eastAsiaTheme="minorHAnsi" w:hAnsi="Sylfaen"/>
                <w:sz w:val="22"/>
                <w:szCs w:val="22"/>
              </w:rPr>
              <w:lastRenderedPageBreak/>
              <w:t xml:space="preserve">    </w:t>
            </w:r>
            <w:r w:rsidR="004F5982" w:rsidRPr="00E20294">
              <w:rPr>
                <w:rStyle w:val="Bodytext20"/>
                <w:rFonts w:ascii="Sylfaen" w:eastAsiaTheme="minorHAnsi" w:hAnsi="Sylfaen"/>
                <w:sz w:val="22"/>
                <w:szCs w:val="22"/>
              </w:rPr>
              <w:t xml:space="preserve">Աղյուսակ X. [նշել կենսանմուշը] դեղակինետիկ պարամետրերը (չփոխակերպված արժեքները) </w:t>
            </w:r>
          </w:p>
        </w:tc>
      </w:tr>
      <w:tr w:rsidR="004F5982" w:rsidRPr="00E20294" w14:paraId="543C4776" w14:textId="77777777" w:rsidTr="00433295">
        <w:tc>
          <w:tcPr>
            <w:tcW w:w="2362" w:type="dxa"/>
            <w:vMerge w:val="restart"/>
            <w:shd w:val="clear" w:color="auto" w:fill="FFFFFF"/>
            <w:vAlign w:val="center"/>
          </w:tcPr>
          <w:p w14:paraId="179CCC3C"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Դեղակինետիկ պարամետրը</w:t>
            </w:r>
          </w:p>
        </w:tc>
        <w:tc>
          <w:tcPr>
            <w:tcW w:w="3891" w:type="dxa"/>
            <w:gridSpan w:val="3"/>
            <w:shd w:val="clear" w:color="auto" w:fill="FFFFFF"/>
            <w:vAlign w:val="bottom"/>
          </w:tcPr>
          <w:p w14:paraId="7553D67C" w14:textId="77777777" w:rsidR="004F5982" w:rsidRPr="00E20294" w:rsidRDefault="004F5982" w:rsidP="00487007">
            <w:pPr>
              <w:spacing w:after="120" w:line="240" w:lineRule="auto"/>
              <w:ind w:left="190"/>
              <w:jc w:val="both"/>
              <w:rPr>
                <w:rFonts w:ascii="Sylfaen" w:hAnsi="Sylfaen"/>
              </w:rPr>
            </w:pPr>
            <w:r w:rsidRPr="00E20294">
              <w:rPr>
                <w:rStyle w:val="Bodytext20"/>
                <w:rFonts w:ascii="Sylfaen" w:eastAsiaTheme="minorHAnsi" w:hAnsi="Sylfaen"/>
                <w:sz w:val="22"/>
                <w:szCs w:val="22"/>
              </w:rPr>
              <w:t>Հետազոտվող դեղապատրաստուկը</w:t>
            </w:r>
          </w:p>
        </w:tc>
        <w:tc>
          <w:tcPr>
            <w:tcW w:w="3890" w:type="dxa"/>
            <w:gridSpan w:val="4"/>
            <w:shd w:val="clear" w:color="auto" w:fill="FFFFFF"/>
            <w:vAlign w:val="bottom"/>
          </w:tcPr>
          <w:p w14:paraId="2C585832" w14:textId="77777777" w:rsidR="004F5982" w:rsidRPr="00E20294" w:rsidRDefault="004F5982" w:rsidP="00487007">
            <w:pPr>
              <w:spacing w:after="120" w:line="240" w:lineRule="auto"/>
              <w:ind w:left="49"/>
              <w:jc w:val="both"/>
              <w:rPr>
                <w:rFonts w:ascii="Sylfaen" w:hAnsi="Sylfaen"/>
              </w:rPr>
            </w:pPr>
            <w:r w:rsidRPr="00E20294">
              <w:rPr>
                <w:rStyle w:val="Bodytext20"/>
                <w:rFonts w:ascii="Sylfaen" w:eastAsiaTheme="minorHAnsi" w:hAnsi="Sylfaen"/>
                <w:sz w:val="22"/>
                <w:szCs w:val="22"/>
              </w:rPr>
              <w:t>Համեմատման դեղապատրաստուկը</w:t>
            </w:r>
          </w:p>
        </w:tc>
      </w:tr>
      <w:tr w:rsidR="004F5982" w:rsidRPr="00E20294" w14:paraId="73FF16BB" w14:textId="77777777" w:rsidTr="00433295">
        <w:tc>
          <w:tcPr>
            <w:tcW w:w="2362" w:type="dxa"/>
            <w:vMerge/>
            <w:shd w:val="clear" w:color="auto" w:fill="FFFFFF"/>
            <w:vAlign w:val="center"/>
          </w:tcPr>
          <w:p w14:paraId="278E56C8" w14:textId="77777777" w:rsidR="004F5982" w:rsidRPr="00E20294" w:rsidRDefault="004F5982" w:rsidP="00487007">
            <w:pPr>
              <w:spacing w:after="120" w:line="240" w:lineRule="auto"/>
              <w:jc w:val="both"/>
              <w:rPr>
                <w:rFonts w:ascii="Sylfaen" w:hAnsi="Sylfaen"/>
              </w:rPr>
            </w:pPr>
          </w:p>
        </w:tc>
        <w:tc>
          <w:tcPr>
            <w:tcW w:w="2266" w:type="dxa"/>
            <w:gridSpan w:val="2"/>
            <w:shd w:val="clear" w:color="auto" w:fill="FFFFFF"/>
            <w:vAlign w:val="bottom"/>
          </w:tcPr>
          <w:p w14:paraId="1AA3F320"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&lt;թվաբանական&gt;</w:t>
            </w:r>
            <w:r w:rsidRPr="00E20294">
              <w:rPr>
                <w:rFonts w:ascii="Sylfaen" w:hAnsi="Sylfaen"/>
              </w:rPr>
              <w:t xml:space="preserve"> </w:t>
            </w:r>
            <w:r w:rsidRPr="00E20294">
              <w:rPr>
                <w:rStyle w:val="Bodytext20"/>
                <w:rFonts w:ascii="Sylfaen" w:eastAsiaTheme="minorHAnsi" w:hAnsi="Sylfaen"/>
                <w:sz w:val="22"/>
                <w:szCs w:val="22"/>
              </w:rPr>
              <w:t>&lt;երկրաչափական&gt;</w:t>
            </w:r>
            <w:r w:rsidRPr="00E20294">
              <w:rPr>
                <w:rFonts w:ascii="Sylfaen" w:hAnsi="Sylfaen"/>
              </w:rPr>
              <w:t xml:space="preserve"> </w:t>
            </w:r>
            <w:r w:rsidRPr="00E20294">
              <w:rPr>
                <w:rStyle w:val="Bodytext20"/>
                <w:rFonts w:ascii="Sylfaen" w:eastAsiaTheme="minorHAnsi" w:hAnsi="Sylfaen"/>
                <w:sz w:val="22"/>
                <w:szCs w:val="22"/>
              </w:rPr>
              <w:t>միջին</w:t>
            </w:r>
          </w:p>
        </w:tc>
        <w:tc>
          <w:tcPr>
            <w:tcW w:w="1625" w:type="dxa"/>
            <w:shd w:val="clear" w:color="auto" w:fill="FFFFFF"/>
          </w:tcPr>
          <w:p w14:paraId="1EB2DC82"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&lt;Շեղման աստիճանը&gt;</w:t>
            </w:r>
            <w:r w:rsidRPr="00E20294">
              <w:rPr>
                <w:rFonts w:ascii="Sylfaen" w:hAnsi="Sylfaen"/>
              </w:rPr>
              <w:t xml:space="preserve"> </w:t>
            </w:r>
            <w:r w:rsidRPr="00E20294">
              <w:rPr>
                <w:rStyle w:val="Bodytext20"/>
                <w:rFonts w:ascii="Sylfaen" w:eastAsiaTheme="minorHAnsi" w:hAnsi="Sylfaen"/>
                <w:sz w:val="22"/>
                <w:szCs w:val="22"/>
              </w:rPr>
              <w:t>&lt;СV%&gt;</w:t>
            </w:r>
          </w:p>
        </w:tc>
        <w:tc>
          <w:tcPr>
            <w:tcW w:w="2016" w:type="dxa"/>
            <w:gridSpan w:val="2"/>
            <w:shd w:val="clear" w:color="auto" w:fill="FFFFFF"/>
            <w:vAlign w:val="bottom"/>
          </w:tcPr>
          <w:p w14:paraId="4EC21E73"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&lt;թվաբանական&gt;</w:t>
            </w:r>
            <w:r w:rsidRPr="00E20294">
              <w:rPr>
                <w:rFonts w:ascii="Sylfaen" w:hAnsi="Sylfaen"/>
              </w:rPr>
              <w:t xml:space="preserve"> </w:t>
            </w:r>
            <w:r w:rsidRPr="00E20294">
              <w:rPr>
                <w:rStyle w:val="Bodytext20"/>
                <w:rFonts w:ascii="Sylfaen" w:eastAsiaTheme="minorHAnsi" w:hAnsi="Sylfaen"/>
                <w:sz w:val="22"/>
                <w:szCs w:val="22"/>
              </w:rPr>
              <w:t>&lt;երկրաչափական&gt;</w:t>
            </w:r>
            <w:r w:rsidRPr="00E20294">
              <w:rPr>
                <w:rFonts w:ascii="Sylfaen" w:hAnsi="Sylfaen"/>
              </w:rPr>
              <w:t xml:space="preserve"> </w:t>
            </w:r>
            <w:r w:rsidRPr="00E20294">
              <w:rPr>
                <w:rStyle w:val="Bodytext20"/>
                <w:rFonts w:ascii="Sylfaen" w:eastAsiaTheme="minorHAnsi" w:hAnsi="Sylfaen"/>
                <w:sz w:val="22"/>
                <w:szCs w:val="22"/>
              </w:rPr>
              <w:t>միջին</w:t>
            </w:r>
          </w:p>
        </w:tc>
        <w:tc>
          <w:tcPr>
            <w:tcW w:w="1874" w:type="dxa"/>
            <w:gridSpan w:val="2"/>
            <w:shd w:val="clear" w:color="auto" w:fill="FFFFFF"/>
          </w:tcPr>
          <w:p w14:paraId="0816F69A"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&lt;Շեղման աստիճանը&gt;</w:t>
            </w:r>
            <w:r w:rsidRPr="00E20294">
              <w:rPr>
                <w:rFonts w:ascii="Sylfaen" w:hAnsi="Sylfaen"/>
              </w:rPr>
              <w:t xml:space="preserve"> </w:t>
            </w:r>
            <w:r w:rsidRPr="00E20294">
              <w:rPr>
                <w:rStyle w:val="Bodytext20"/>
                <w:rFonts w:ascii="Sylfaen" w:eastAsiaTheme="minorHAnsi" w:hAnsi="Sylfaen"/>
                <w:sz w:val="22"/>
                <w:szCs w:val="22"/>
              </w:rPr>
              <w:t>&lt;СУ%&gt;</w:t>
            </w:r>
          </w:p>
        </w:tc>
      </w:tr>
      <w:tr w:rsidR="004F5982" w:rsidRPr="00E20294" w14:paraId="3536B427" w14:textId="77777777" w:rsidTr="008D08B9">
        <w:trPr>
          <w:trHeight w:val="569"/>
        </w:trPr>
        <w:tc>
          <w:tcPr>
            <w:tcW w:w="2362" w:type="dxa"/>
            <w:shd w:val="clear" w:color="auto" w:fill="FFFFFF"/>
            <w:vAlign w:val="bottom"/>
          </w:tcPr>
          <w:p w14:paraId="1C180B42"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&lt;АUС</w:t>
            </w:r>
            <w:r w:rsidRPr="00E20294">
              <w:rPr>
                <w:rStyle w:val="Bodytext28pt"/>
                <w:rFonts w:ascii="Sylfaen" w:eastAsiaTheme="minorHAnsi" w:hAnsi="Sylfaen"/>
                <w:sz w:val="22"/>
                <w:szCs w:val="22"/>
              </w:rPr>
              <w:t>(</w:t>
            </w:r>
            <w:r w:rsidRPr="00E20294">
              <w:rPr>
                <w:rStyle w:val="Bodytext28pt"/>
                <w:rFonts w:ascii="Sylfaen" w:eastAsiaTheme="minorHAnsi" w:hAnsi="Sylfaen"/>
                <w:sz w:val="22"/>
                <w:szCs w:val="22"/>
                <w:vertAlign w:val="subscript"/>
              </w:rPr>
              <w:t>0-t)</w:t>
            </w:r>
            <w:r w:rsidRPr="00E20294">
              <w:rPr>
                <w:rStyle w:val="Bodytext20"/>
                <w:rFonts w:ascii="Sylfaen" w:eastAsiaTheme="minorHAnsi" w:hAnsi="Sylfaen"/>
                <w:sz w:val="22"/>
                <w:szCs w:val="22"/>
              </w:rPr>
              <w:t>&gt;</w:t>
            </w:r>
          </w:p>
          <w:p w14:paraId="61749840"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&lt;АUС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72 ժ)</w:t>
            </w:r>
            <w:r w:rsidRPr="00E20294">
              <w:rPr>
                <w:rStyle w:val="Bodytext20"/>
                <w:rFonts w:ascii="Sylfaen" w:eastAsiaTheme="minorHAnsi" w:hAnsi="Sylfaen"/>
                <w:sz w:val="22"/>
                <w:szCs w:val="22"/>
              </w:rPr>
              <w:t>&gt;</w:t>
            </w:r>
          </w:p>
        </w:tc>
        <w:tc>
          <w:tcPr>
            <w:tcW w:w="2266" w:type="dxa"/>
            <w:gridSpan w:val="2"/>
            <w:shd w:val="clear" w:color="auto" w:fill="FFFFFF"/>
          </w:tcPr>
          <w:p w14:paraId="5101AEB5"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48983F54"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13C250BC"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20A00042" w14:textId="77777777" w:rsidR="004F5982" w:rsidRPr="00E20294" w:rsidRDefault="004F5982" w:rsidP="00487007">
            <w:pPr>
              <w:spacing w:after="120" w:line="240" w:lineRule="auto"/>
              <w:jc w:val="both"/>
              <w:rPr>
                <w:rFonts w:ascii="Sylfaen" w:hAnsi="Sylfaen"/>
              </w:rPr>
            </w:pPr>
          </w:p>
        </w:tc>
      </w:tr>
      <w:tr w:rsidR="004F5982" w:rsidRPr="00E20294" w14:paraId="7C858DCD" w14:textId="77777777" w:rsidTr="00433295">
        <w:tc>
          <w:tcPr>
            <w:tcW w:w="2362" w:type="dxa"/>
            <w:shd w:val="clear" w:color="auto" w:fill="FFFFFF"/>
            <w:vAlign w:val="bottom"/>
          </w:tcPr>
          <w:p w14:paraId="0EA9FD49"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АUС</w:t>
            </w:r>
            <w:r w:rsidRPr="00E20294">
              <w:rPr>
                <w:rStyle w:val="Bodytext28pt"/>
                <w:rFonts w:ascii="Sylfaen" w:eastAsiaTheme="minorHAnsi" w:hAnsi="Sylfaen"/>
                <w:sz w:val="22"/>
                <w:szCs w:val="22"/>
                <w:vertAlign w:val="subscript"/>
              </w:rPr>
              <w:t>(0-</w:t>
            </w:r>
            <w:r w:rsidRPr="00E20294">
              <w:rPr>
                <w:rFonts w:ascii="Sylfaen" w:hAnsi="Sylfaen"/>
                <w:vertAlign w:val="subscript"/>
              </w:rPr>
              <w:t>∞</w:t>
            </w:r>
            <w:r w:rsidRPr="00E20294">
              <w:rPr>
                <w:rStyle w:val="Bodytext28pt"/>
                <w:rFonts w:ascii="Sylfaen" w:eastAsiaTheme="minorHAnsi" w:hAnsi="Sylfaen"/>
                <w:sz w:val="22"/>
                <w:szCs w:val="22"/>
                <w:vertAlign w:val="subscript"/>
              </w:rPr>
              <w:t>)</w:t>
            </w:r>
          </w:p>
        </w:tc>
        <w:tc>
          <w:tcPr>
            <w:tcW w:w="2266" w:type="dxa"/>
            <w:gridSpan w:val="2"/>
            <w:shd w:val="clear" w:color="auto" w:fill="FFFFFF"/>
          </w:tcPr>
          <w:p w14:paraId="2A668714"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3A58CE87"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7BF7D6B9"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6DF5748F" w14:textId="77777777" w:rsidR="004F5982" w:rsidRPr="00E20294" w:rsidRDefault="004F5982" w:rsidP="00487007">
            <w:pPr>
              <w:spacing w:after="120" w:line="240" w:lineRule="auto"/>
              <w:jc w:val="both"/>
              <w:rPr>
                <w:rFonts w:ascii="Sylfaen" w:hAnsi="Sylfaen"/>
              </w:rPr>
            </w:pPr>
          </w:p>
        </w:tc>
      </w:tr>
      <w:tr w:rsidR="004F5982" w:rsidRPr="00E20294" w14:paraId="4A348F85" w14:textId="77777777" w:rsidTr="00433295">
        <w:tc>
          <w:tcPr>
            <w:tcW w:w="2362" w:type="dxa"/>
            <w:shd w:val="clear" w:color="auto" w:fill="FFFFFF"/>
            <w:vAlign w:val="bottom"/>
          </w:tcPr>
          <w:p w14:paraId="2A9DFB6B"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С</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ах</w:t>
            </w:r>
          </w:p>
        </w:tc>
        <w:tc>
          <w:tcPr>
            <w:tcW w:w="2266" w:type="dxa"/>
            <w:gridSpan w:val="2"/>
            <w:shd w:val="clear" w:color="auto" w:fill="FFFFFF"/>
          </w:tcPr>
          <w:p w14:paraId="09C2FAC9"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181BAC5E"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78B0403A"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1C9CE61C" w14:textId="77777777" w:rsidR="004F5982" w:rsidRPr="00E20294" w:rsidRDefault="004F5982" w:rsidP="00487007">
            <w:pPr>
              <w:spacing w:after="120" w:line="240" w:lineRule="auto"/>
              <w:jc w:val="both"/>
              <w:rPr>
                <w:rFonts w:ascii="Sylfaen" w:hAnsi="Sylfaen"/>
              </w:rPr>
            </w:pPr>
          </w:p>
        </w:tc>
      </w:tr>
      <w:tr w:rsidR="004F5982" w:rsidRPr="00E20294" w14:paraId="1790C78A" w14:textId="77777777" w:rsidTr="00433295">
        <w:tc>
          <w:tcPr>
            <w:tcW w:w="10143" w:type="dxa"/>
            <w:gridSpan w:val="8"/>
            <w:shd w:val="clear" w:color="auto" w:fill="FFFFFF"/>
            <w:vAlign w:val="bottom"/>
          </w:tcPr>
          <w:p w14:paraId="5D72C8DE" w14:textId="77777777" w:rsidR="004F5982" w:rsidRPr="00E20294" w:rsidRDefault="004F5982" w:rsidP="00487007">
            <w:pPr>
              <w:spacing w:after="120" w:line="240" w:lineRule="auto"/>
              <w:ind w:left="200"/>
              <w:jc w:val="both"/>
              <w:rPr>
                <w:rFonts w:ascii="Sylfaen" w:hAnsi="Sylfaen"/>
              </w:rPr>
            </w:pPr>
            <w:r w:rsidRPr="00E20294">
              <w:rPr>
                <w:rStyle w:val="Bodytext20"/>
                <w:rFonts w:ascii="Sylfaen" w:eastAsiaTheme="minorHAnsi" w:hAnsi="Sylfaen"/>
                <w:sz w:val="22"/>
                <w:szCs w:val="22"/>
              </w:rPr>
              <w:t>t</w:t>
            </w:r>
            <w:r w:rsidRPr="00E20294">
              <w:rPr>
                <w:rStyle w:val="Bodytext20"/>
                <w:rFonts w:ascii="Sylfaen" w:eastAsiaTheme="minorHAnsi" w:hAnsi="Sylfaen"/>
                <w:sz w:val="22"/>
                <w:szCs w:val="22"/>
                <w:vertAlign w:val="subscript"/>
              </w:rPr>
              <w:t>max</w:t>
            </w:r>
            <w:r w:rsidRPr="00E20294">
              <w:rPr>
                <w:rStyle w:val="Bodytext20"/>
                <w:rFonts w:ascii="Sylfaen" w:eastAsiaTheme="minorHAnsi" w:hAnsi="Sylfaen"/>
                <w:sz w:val="22"/>
                <w:szCs w:val="22"/>
              </w:rPr>
              <w:t xml:space="preserve"> *</w:t>
            </w:r>
          </w:p>
        </w:tc>
      </w:tr>
      <w:tr w:rsidR="004F5982" w:rsidRPr="00E20294" w14:paraId="104F7C9E" w14:textId="77777777" w:rsidTr="008D08B9">
        <w:trPr>
          <w:trHeight w:val="1746"/>
        </w:trPr>
        <w:tc>
          <w:tcPr>
            <w:tcW w:w="10143" w:type="dxa"/>
            <w:gridSpan w:val="8"/>
            <w:shd w:val="clear" w:color="auto" w:fill="FFFFFF"/>
            <w:vAlign w:val="bottom"/>
          </w:tcPr>
          <w:p w14:paraId="2843B946"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&lt;АUС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 xml:space="preserve">—t)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t» կորի տակ ընկած մակերեսը&gt;</w:t>
            </w:r>
          </w:p>
          <w:p w14:paraId="4927787D" w14:textId="77777777" w:rsidR="004F5982" w:rsidRPr="00E20294" w:rsidRDefault="004F5982" w:rsidP="008D08B9">
            <w:pPr>
              <w:spacing w:after="120" w:line="240" w:lineRule="auto"/>
              <w:ind w:left="200"/>
              <w:jc w:val="both"/>
              <w:rPr>
                <w:rStyle w:val="Bodytext20"/>
                <w:rFonts w:ascii="Sylfaen" w:eastAsiaTheme="minorHAnsi" w:hAnsi="Sylfaen"/>
                <w:sz w:val="22"/>
                <w:szCs w:val="22"/>
              </w:rPr>
            </w:pPr>
            <w:r w:rsidRPr="00E20294">
              <w:rPr>
                <w:rStyle w:val="Bodytext20"/>
                <w:rFonts w:ascii="Sylfaen" w:eastAsiaTheme="minorHAnsi" w:hAnsi="Sylfaen"/>
                <w:sz w:val="22"/>
                <w:szCs w:val="22"/>
              </w:rPr>
              <w:t>&lt;AUC</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72 ч</w:t>
            </w:r>
            <w:r w:rsidRPr="00E20294">
              <w:rPr>
                <w:rStyle w:val="Bodytext28pt"/>
                <w:rFonts w:ascii="Sylfaen" w:eastAsiaTheme="minorHAnsi" w:hAnsi="Sylfaen"/>
                <w:sz w:val="22"/>
                <w:szCs w:val="22"/>
              </w:rPr>
              <w:t xml:space="preserve">)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72 ժամ» կորի տակ ընկած մակերեսը&gt; </w:t>
            </w:r>
          </w:p>
          <w:p w14:paraId="0A4626E2" w14:textId="77777777" w:rsidR="004F5982" w:rsidRPr="00E20294" w:rsidRDefault="004F5982" w:rsidP="008D08B9">
            <w:pPr>
              <w:spacing w:after="120" w:line="240" w:lineRule="auto"/>
              <w:ind w:left="200"/>
              <w:jc w:val="both"/>
              <w:rPr>
                <w:rStyle w:val="Bodytext20"/>
                <w:rFonts w:ascii="Sylfaen" w:eastAsiaTheme="minorHAnsi" w:hAnsi="Sylfaen"/>
                <w:sz w:val="22"/>
                <w:szCs w:val="22"/>
              </w:rPr>
            </w:pPr>
            <w:r w:rsidRPr="00E20294">
              <w:rPr>
                <w:rStyle w:val="Bodytext20"/>
                <w:rFonts w:ascii="Sylfaen" w:eastAsiaTheme="minorHAnsi" w:hAnsi="Sylfaen"/>
                <w:sz w:val="22"/>
                <w:szCs w:val="22"/>
              </w:rPr>
              <w: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w:t>
            </w:r>
            <w:r w:rsidRPr="00E20294">
              <w:rPr>
                <w:rFonts w:ascii="Sylfaen" w:hAnsi="Sylfaen"/>
                <w:vertAlign w:val="subscript"/>
              </w:rPr>
              <w:t xml:space="preserve">∞)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անվերջություն» կորի տակ ընկած մակերեսը&gt; </w:t>
            </w:r>
          </w:p>
          <w:p w14:paraId="404E6CEA"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С</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 xml:space="preserve">ах </w:t>
            </w:r>
            <w:r w:rsidRPr="00E20294">
              <w:rPr>
                <w:rStyle w:val="Bodytext20"/>
                <w:rFonts w:ascii="Sylfaen" w:eastAsiaTheme="minorHAnsi" w:hAnsi="Sylfaen"/>
                <w:sz w:val="22"/>
                <w:szCs w:val="22"/>
              </w:rPr>
              <w:t>առավելագույն պլազմային խտությունը</w:t>
            </w:r>
          </w:p>
          <w:p w14:paraId="1BB52B6C"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Т</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 xml:space="preserve">ах </w:t>
            </w:r>
            <w:r w:rsidRPr="00E20294">
              <w:rPr>
                <w:rStyle w:val="Bodytext20"/>
                <w:rFonts w:ascii="Sylfaen" w:eastAsiaTheme="minorHAnsi" w:hAnsi="Sylfaen"/>
                <w:sz w:val="22"/>
                <w:szCs w:val="22"/>
              </w:rPr>
              <w:t>առավելագույն խտությանը հասնելու ժամանակը (*-միջնաթիվ, բացվածք)</w:t>
            </w:r>
          </w:p>
        </w:tc>
      </w:tr>
      <w:tr w:rsidR="004F5982" w:rsidRPr="00E20294" w14:paraId="611AA235" w14:textId="77777777" w:rsidTr="00433295">
        <w:tc>
          <w:tcPr>
            <w:tcW w:w="10143" w:type="dxa"/>
            <w:gridSpan w:val="8"/>
            <w:shd w:val="clear" w:color="auto" w:fill="FFFFFF"/>
            <w:vAlign w:val="bottom"/>
          </w:tcPr>
          <w:p w14:paraId="546C7D95" w14:textId="77777777" w:rsidR="004F5982" w:rsidRPr="00E20294" w:rsidRDefault="004F5982" w:rsidP="008D08B9">
            <w:pPr>
              <w:spacing w:after="120" w:line="240" w:lineRule="auto"/>
              <w:jc w:val="both"/>
              <w:rPr>
                <w:rFonts w:ascii="Sylfaen" w:hAnsi="Sylfaen"/>
              </w:rPr>
            </w:pPr>
            <w:r w:rsidRPr="00E20294">
              <w:rPr>
                <w:rStyle w:val="Bodytext20"/>
                <w:rFonts w:ascii="Sylfaen" w:eastAsiaTheme="minorHAnsi" w:hAnsi="Sylfaen"/>
                <w:sz w:val="22"/>
                <w:szCs w:val="22"/>
              </w:rPr>
              <w:t xml:space="preserve">Աղյուսակ X. [նշել կենսանմուշը] դեղակինետիկ պարամետրերը </w:t>
            </w:r>
            <w:r>
              <w:rPr>
                <w:rStyle w:val="Bodytext20"/>
                <w:rFonts w:ascii="Sylfaen" w:eastAsiaTheme="minorHAnsi" w:hAnsi="Sylfaen"/>
                <w:sz w:val="22"/>
                <w:szCs w:val="22"/>
              </w:rPr>
              <w:br/>
            </w:r>
            <w:r w:rsidRPr="00E20294">
              <w:rPr>
                <w:rStyle w:val="Bodytext20"/>
                <w:rFonts w:ascii="Sylfaen" w:eastAsiaTheme="minorHAnsi" w:hAnsi="Sylfaen"/>
                <w:sz w:val="22"/>
                <w:szCs w:val="22"/>
              </w:rPr>
              <w:t>(լոգարիթմի վերածված արժեքները)</w:t>
            </w:r>
          </w:p>
        </w:tc>
      </w:tr>
      <w:tr w:rsidR="004F5982" w:rsidRPr="00E20294" w14:paraId="4A530CA4" w14:textId="77777777" w:rsidTr="00433295">
        <w:tc>
          <w:tcPr>
            <w:tcW w:w="3053" w:type="dxa"/>
            <w:gridSpan w:val="2"/>
            <w:shd w:val="clear" w:color="auto" w:fill="FFFFFF"/>
            <w:vAlign w:val="center"/>
          </w:tcPr>
          <w:p w14:paraId="55CDA65E"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Դեղակինետիկ պարամետրը</w:t>
            </w:r>
          </w:p>
        </w:tc>
        <w:tc>
          <w:tcPr>
            <w:tcW w:w="3403" w:type="dxa"/>
            <w:gridSpan w:val="3"/>
            <w:shd w:val="clear" w:color="auto" w:fill="FFFFFF"/>
            <w:vAlign w:val="bottom"/>
          </w:tcPr>
          <w:p w14:paraId="4D743931" w14:textId="77777777" w:rsidR="004F5982" w:rsidRPr="00E20294" w:rsidRDefault="004F5982" w:rsidP="008D08B9">
            <w:pPr>
              <w:spacing w:after="120" w:line="240" w:lineRule="auto"/>
              <w:ind w:left="66"/>
              <w:jc w:val="both"/>
              <w:rPr>
                <w:rFonts w:ascii="Sylfaen" w:hAnsi="Sylfaen"/>
              </w:rPr>
            </w:pPr>
            <w:r w:rsidRPr="00E20294">
              <w:rPr>
                <w:rStyle w:val="Bodytext20"/>
                <w:rFonts w:ascii="Sylfaen" w:eastAsiaTheme="minorHAnsi" w:hAnsi="Sylfaen"/>
                <w:sz w:val="22"/>
                <w:szCs w:val="22"/>
              </w:rPr>
              <w:t xml:space="preserve">Հետազոտվող դեղապատրաստուկի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դեղապատրաստուկի երկրաչափական միջինների հարաբերակցությունը</w:t>
            </w:r>
          </w:p>
        </w:tc>
        <w:tc>
          <w:tcPr>
            <w:tcW w:w="1987" w:type="dxa"/>
            <w:gridSpan w:val="2"/>
            <w:shd w:val="clear" w:color="auto" w:fill="FFFFFF"/>
            <w:vAlign w:val="center"/>
          </w:tcPr>
          <w:p w14:paraId="7EC2ECDB" w14:textId="77777777" w:rsidR="004F5982" w:rsidRPr="00E20294" w:rsidRDefault="004F5982" w:rsidP="008D08B9">
            <w:pPr>
              <w:spacing w:after="120" w:line="240" w:lineRule="auto"/>
              <w:jc w:val="both"/>
              <w:rPr>
                <w:rFonts w:ascii="Sylfaen" w:hAnsi="Sylfaen"/>
              </w:rPr>
            </w:pPr>
            <w:r w:rsidRPr="00E20294">
              <w:rPr>
                <w:rStyle w:val="Bodytext20"/>
                <w:rFonts w:ascii="Sylfaen" w:eastAsiaTheme="minorHAnsi" w:hAnsi="Sylfaen"/>
                <w:sz w:val="22"/>
                <w:szCs w:val="22"/>
              </w:rPr>
              <w:t>Վստահելի միջակայքերը</w:t>
            </w:r>
          </w:p>
        </w:tc>
        <w:tc>
          <w:tcPr>
            <w:tcW w:w="1700" w:type="dxa"/>
            <w:shd w:val="clear" w:color="auto" w:fill="FFFFFF"/>
            <w:vAlign w:val="center"/>
          </w:tcPr>
          <w:p w14:paraId="17058885"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CV%*</w:t>
            </w:r>
          </w:p>
        </w:tc>
      </w:tr>
      <w:tr w:rsidR="004F5982" w:rsidRPr="00E20294" w14:paraId="08BBC325" w14:textId="77777777" w:rsidTr="00433295">
        <w:tc>
          <w:tcPr>
            <w:tcW w:w="3053" w:type="dxa"/>
            <w:gridSpan w:val="2"/>
            <w:shd w:val="clear" w:color="auto" w:fill="FFFFFF"/>
            <w:vAlign w:val="bottom"/>
          </w:tcPr>
          <w:p w14:paraId="6F18BD80" w14:textId="77777777" w:rsidR="004F5982" w:rsidRPr="00E20294" w:rsidRDefault="004F5982" w:rsidP="00487007">
            <w:pPr>
              <w:spacing w:after="120" w:line="240" w:lineRule="auto"/>
              <w:ind w:left="200"/>
              <w:jc w:val="both"/>
              <w:rPr>
                <w:rStyle w:val="Bodytext20"/>
                <w:rFonts w:ascii="Sylfaen" w:eastAsiaTheme="minorHAnsi" w:hAnsi="Sylfaen"/>
                <w:sz w:val="22"/>
                <w:szCs w:val="22"/>
                <w:vertAlign w:val="superscript"/>
              </w:rPr>
            </w:pPr>
            <w:r w:rsidRPr="00E20294">
              <w:rPr>
                <w:rStyle w:val="Bodytext20"/>
                <w:rFonts w:ascii="Sylfaen" w:eastAsiaTheme="minorHAnsi" w:hAnsi="Sylfaen"/>
                <w:sz w:val="22"/>
                <w:szCs w:val="22"/>
              </w:rPr>
              <w:t>&lt;AUC</w:t>
            </w:r>
            <w:r w:rsidRPr="00E20294">
              <w:rPr>
                <w:rStyle w:val="Bodytext28pt"/>
                <w:rFonts w:ascii="Sylfaen" w:eastAsiaTheme="minorHAnsi" w:hAnsi="Sylfaen"/>
                <w:sz w:val="22"/>
                <w:szCs w:val="22"/>
                <w:vertAlign w:val="subscript"/>
              </w:rPr>
              <w:t>(0-t)</w:t>
            </w:r>
            <w:r w:rsidRPr="00E20294">
              <w:rPr>
                <w:rStyle w:val="Bodytext20"/>
                <w:rFonts w:ascii="Sylfaen" w:eastAsiaTheme="minorHAnsi" w:hAnsi="Sylfaen"/>
                <w:sz w:val="22"/>
                <w:szCs w:val="22"/>
                <w:vertAlign w:val="superscript"/>
              </w:rPr>
              <w:t xml:space="preserve">&gt; </w:t>
            </w:r>
          </w:p>
          <w:p w14:paraId="232AD41C" w14:textId="77777777" w:rsidR="004F5982" w:rsidRPr="00E20294" w:rsidRDefault="004F5982" w:rsidP="00487007">
            <w:pPr>
              <w:spacing w:after="120" w:line="240" w:lineRule="auto"/>
              <w:ind w:left="200"/>
              <w:jc w:val="both"/>
              <w:rPr>
                <w:rFonts w:ascii="Sylfaen" w:hAnsi="Sylfaen"/>
              </w:rPr>
            </w:pPr>
            <w:r w:rsidRPr="00E20294">
              <w:rPr>
                <w:rStyle w:val="Bodytext20"/>
                <w:rFonts w:ascii="Sylfaen" w:eastAsiaTheme="minorHAnsi" w:hAnsi="Sylfaen"/>
                <w:sz w:val="22"/>
                <w:szCs w:val="22"/>
              </w:rPr>
              <w:t>&lt;AUC</w:t>
            </w:r>
            <w:r w:rsidRPr="00E20294">
              <w:rPr>
                <w:rStyle w:val="Bodytext28pt"/>
                <w:rFonts w:ascii="Sylfaen" w:eastAsiaTheme="minorHAnsi" w:hAnsi="Sylfaen"/>
                <w:sz w:val="22"/>
                <w:szCs w:val="22"/>
                <w:vertAlign w:val="subscript"/>
              </w:rPr>
              <w:t>(0-72 ժ)</w:t>
            </w:r>
            <w:r w:rsidRPr="00E20294">
              <w:rPr>
                <w:rStyle w:val="Bodytext20"/>
                <w:rFonts w:ascii="Sylfaen" w:eastAsiaTheme="minorHAnsi" w:hAnsi="Sylfaen"/>
                <w:sz w:val="22"/>
                <w:szCs w:val="22"/>
              </w:rPr>
              <w:t>&gt;</w:t>
            </w:r>
          </w:p>
        </w:tc>
        <w:tc>
          <w:tcPr>
            <w:tcW w:w="3403" w:type="dxa"/>
            <w:gridSpan w:val="3"/>
            <w:shd w:val="clear" w:color="auto" w:fill="FFFFFF"/>
          </w:tcPr>
          <w:p w14:paraId="3D17EC58" w14:textId="77777777" w:rsidR="004F5982" w:rsidRPr="00E20294" w:rsidRDefault="004F5982" w:rsidP="00487007">
            <w:pPr>
              <w:spacing w:after="120" w:line="240" w:lineRule="auto"/>
              <w:jc w:val="both"/>
              <w:rPr>
                <w:rFonts w:ascii="Sylfaen" w:hAnsi="Sylfaen"/>
              </w:rPr>
            </w:pPr>
          </w:p>
        </w:tc>
        <w:tc>
          <w:tcPr>
            <w:tcW w:w="1987" w:type="dxa"/>
            <w:gridSpan w:val="2"/>
            <w:shd w:val="clear" w:color="auto" w:fill="FFFFFF"/>
          </w:tcPr>
          <w:p w14:paraId="59D2D252" w14:textId="77777777" w:rsidR="004F5982" w:rsidRPr="00E20294" w:rsidRDefault="004F5982" w:rsidP="00487007">
            <w:pPr>
              <w:spacing w:after="120" w:line="240" w:lineRule="auto"/>
              <w:jc w:val="both"/>
              <w:rPr>
                <w:rFonts w:ascii="Sylfaen" w:hAnsi="Sylfaen"/>
              </w:rPr>
            </w:pPr>
          </w:p>
        </w:tc>
        <w:tc>
          <w:tcPr>
            <w:tcW w:w="1700" w:type="dxa"/>
            <w:shd w:val="clear" w:color="auto" w:fill="FFFFFF"/>
          </w:tcPr>
          <w:p w14:paraId="07DB7247" w14:textId="77777777" w:rsidR="004F5982" w:rsidRPr="00E20294" w:rsidRDefault="004F5982" w:rsidP="00487007">
            <w:pPr>
              <w:spacing w:after="120" w:line="240" w:lineRule="auto"/>
              <w:jc w:val="both"/>
              <w:rPr>
                <w:rFonts w:ascii="Sylfaen" w:hAnsi="Sylfaen"/>
              </w:rPr>
            </w:pPr>
          </w:p>
        </w:tc>
      </w:tr>
      <w:tr w:rsidR="004F5982" w:rsidRPr="00E20294" w14:paraId="48FF168B" w14:textId="77777777" w:rsidTr="00433295">
        <w:tc>
          <w:tcPr>
            <w:tcW w:w="3053" w:type="dxa"/>
            <w:gridSpan w:val="2"/>
            <w:shd w:val="clear" w:color="auto" w:fill="FFFFFF"/>
            <w:vAlign w:val="bottom"/>
          </w:tcPr>
          <w:p w14:paraId="263A2282" w14:textId="77777777" w:rsidR="004F5982" w:rsidRPr="00E20294" w:rsidRDefault="004F5982" w:rsidP="00487007">
            <w:pPr>
              <w:spacing w:after="120" w:line="240" w:lineRule="auto"/>
              <w:ind w:left="200"/>
              <w:jc w:val="both"/>
              <w:rPr>
                <w:rFonts w:ascii="Sylfaen" w:hAnsi="Sylfaen"/>
              </w:rPr>
            </w:pPr>
            <w:r w:rsidRPr="00E20294">
              <w:rPr>
                <w:rStyle w:val="Bodytext28pt"/>
                <w:rFonts w:ascii="Sylfaen" w:eastAsiaTheme="minorHAnsi" w:hAnsi="Sylfaen"/>
                <w:sz w:val="22"/>
                <w:szCs w:val="22"/>
              </w:rPr>
              <w:t>C</w:t>
            </w:r>
            <w:r w:rsidRPr="00E20294">
              <w:rPr>
                <w:rStyle w:val="Bodytext28pt"/>
                <w:rFonts w:ascii="Sylfaen" w:eastAsiaTheme="minorHAnsi" w:hAnsi="Sylfaen"/>
                <w:sz w:val="22"/>
                <w:szCs w:val="22"/>
                <w:vertAlign w:val="subscript"/>
              </w:rPr>
              <w:t>max</w:t>
            </w:r>
          </w:p>
        </w:tc>
        <w:tc>
          <w:tcPr>
            <w:tcW w:w="3403" w:type="dxa"/>
            <w:gridSpan w:val="3"/>
            <w:shd w:val="clear" w:color="auto" w:fill="FFFFFF"/>
          </w:tcPr>
          <w:p w14:paraId="1F4A9452" w14:textId="77777777" w:rsidR="004F5982" w:rsidRPr="00E20294" w:rsidRDefault="004F5982" w:rsidP="00487007">
            <w:pPr>
              <w:spacing w:after="120" w:line="240" w:lineRule="auto"/>
              <w:jc w:val="both"/>
              <w:rPr>
                <w:rFonts w:ascii="Sylfaen" w:hAnsi="Sylfaen"/>
              </w:rPr>
            </w:pPr>
          </w:p>
        </w:tc>
        <w:tc>
          <w:tcPr>
            <w:tcW w:w="1987" w:type="dxa"/>
            <w:gridSpan w:val="2"/>
            <w:shd w:val="clear" w:color="auto" w:fill="FFFFFF"/>
          </w:tcPr>
          <w:p w14:paraId="0B28BF05" w14:textId="77777777" w:rsidR="004F5982" w:rsidRPr="00E20294" w:rsidRDefault="004F5982" w:rsidP="00487007">
            <w:pPr>
              <w:spacing w:after="120" w:line="240" w:lineRule="auto"/>
              <w:jc w:val="both"/>
              <w:rPr>
                <w:rFonts w:ascii="Sylfaen" w:hAnsi="Sylfaen"/>
              </w:rPr>
            </w:pPr>
          </w:p>
        </w:tc>
        <w:tc>
          <w:tcPr>
            <w:tcW w:w="1700" w:type="dxa"/>
            <w:shd w:val="clear" w:color="auto" w:fill="FFFFFF"/>
          </w:tcPr>
          <w:p w14:paraId="3534E341" w14:textId="77777777" w:rsidR="004F5982" w:rsidRPr="00E20294" w:rsidRDefault="004F5982" w:rsidP="00487007">
            <w:pPr>
              <w:spacing w:after="120" w:line="240" w:lineRule="auto"/>
              <w:jc w:val="both"/>
              <w:rPr>
                <w:rFonts w:ascii="Sylfaen" w:hAnsi="Sylfaen"/>
              </w:rPr>
            </w:pPr>
          </w:p>
        </w:tc>
      </w:tr>
      <w:tr w:rsidR="004F5982" w:rsidRPr="00E20294" w14:paraId="06033626" w14:textId="77777777" w:rsidTr="00433295">
        <w:tc>
          <w:tcPr>
            <w:tcW w:w="10143" w:type="dxa"/>
            <w:gridSpan w:val="8"/>
            <w:shd w:val="clear" w:color="auto" w:fill="FFFFFF"/>
            <w:vAlign w:val="bottom"/>
          </w:tcPr>
          <w:p w14:paraId="7D10BBD8"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 Հաշվարկված է մնացորդային միջին քառակուսային շեղման հիման վրա (residual mean squares):</w:t>
            </w:r>
          </w:p>
        </w:tc>
      </w:tr>
      <w:tr w:rsidR="00BD67EC" w:rsidRPr="00E20294" w14:paraId="005C2A30" w14:textId="77777777" w:rsidTr="00633E53">
        <w:trPr>
          <w:trHeight w:val="2815"/>
        </w:trPr>
        <w:tc>
          <w:tcPr>
            <w:tcW w:w="10143" w:type="dxa"/>
            <w:gridSpan w:val="8"/>
            <w:shd w:val="clear" w:color="auto" w:fill="FFFFFF"/>
            <w:vAlign w:val="bottom"/>
          </w:tcPr>
          <w:p w14:paraId="13662ABE" w14:textId="77777777" w:rsidR="00BD67EC" w:rsidRPr="00E20294" w:rsidRDefault="00BD67EC" w:rsidP="00F321DB">
            <w:pPr>
              <w:spacing w:after="120" w:line="240" w:lineRule="auto"/>
              <w:jc w:val="both"/>
              <w:rPr>
                <w:rFonts w:ascii="Sylfaen" w:hAnsi="Sylfaen"/>
              </w:rPr>
            </w:pPr>
            <w:r w:rsidRPr="00E20294">
              <w:rPr>
                <w:rStyle w:val="Bodytext20"/>
                <w:rFonts w:ascii="Sylfaen" w:eastAsiaTheme="minorHAnsi" w:hAnsi="Sylfaen"/>
                <w:spacing w:val="-4"/>
                <w:sz w:val="22"/>
                <w:szCs w:val="22"/>
              </w:rPr>
              <w:lastRenderedPageBreak/>
              <w:t>Եթե անց են կացվել հետազոտություններ հավասարակշիռ վիճակում, ապա անհրաժեշտ է կազմել համանման աղյուսակներ՝ նշելով հետ</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յալ պարամետրերը՝ AUC()</w:t>
            </w:r>
            <w:r w:rsidRPr="00E20294">
              <w:rPr>
                <w:rStyle w:val="Bodytext28pt"/>
                <w:rFonts w:ascii="Sylfaen" w:eastAsiaTheme="minorHAnsi" w:hAnsi="Sylfaen"/>
                <w:spacing w:val="-4"/>
                <w:sz w:val="22"/>
                <w:szCs w:val="22"/>
                <w:vertAlign w:val="subscript"/>
              </w:rPr>
              <w:t>-</w:t>
            </w:r>
            <w:r w:rsidRPr="00E20294">
              <w:rPr>
                <w:rStyle w:val="Bodytext20"/>
                <w:rFonts w:ascii="Sylfaen" w:eastAsiaTheme="minorHAnsi" w:hAnsi="Sylfaen"/>
                <w:spacing w:val="-4"/>
                <w:sz w:val="22"/>
                <w:szCs w:val="22"/>
                <w:vertAlign w:val="subscript"/>
              </w:rPr>
              <w:t>X</w:t>
            </w:r>
            <w:r w:rsidRPr="00E20294">
              <w:rPr>
                <w:rStyle w:val="Bodytext20"/>
                <w:rFonts w:ascii="Sylfaen" w:eastAsiaTheme="minorHAnsi" w:hAnsi="Sylfaen"/>
                <w:spacing w:val="-4"/>
                <w:sz w:val="22"/>
                <w:szCs w:val="22"/>
              </w:rPr>
              <w:t>, C</w:t>
            </w:r>
            <w:r w:rsidRPr="00E20294">
              <w:rPr>
                <w:rStyle w:val="Bodytext28pt"/>
                <w:rFonts w:ascii="Sylfaen" w:eastAsiaTheme="minorHAnsi" w:hAnsi="Sylfaen"/>
                <w:spacing w:val="-4"/>
                <w:sz w:val="22"/>
                <w:szCs w:val="22"/>
                <w:vertAlign w:val="subscript"/>
              </w:rPr>
              <w:t>max</w:t>
            </w:r>
            <w:r w:rsidRPr="00E20294">
              <w:rPr>
                <w:rStyle w:val="Bodytext20"/>
                <w:rFonts w:ascii="Sylfaen" w:eastAsiaTheme="minorHAnsi" w:hAnsi="Sylfaen"/>
                <w:spacing w:val="-4"/>
                <w:sz w:val="22"/>
                <w:szCs w:val="22"/>
              </w:rPr>
              <w:t>, C</w:t>
            </w:r>
            <w:r w:rsidRPr="00E20294">
              <w:rPr>
                <w:rStyle w:val="Bodytext28pt"/>
                <w:rFonts w:ascii="Sylfaen" w:eastAsiaTheme="minorHAnsi" w:hAnsi="Sylfaen"/>
                <w:spacing w:val="-4"/>
                <w:sz w:val="22"/>
                <w:szCs w:val="22"/>
                <w:vertAlign w:val="subscript"/>
              </w:rPr>
              <w:t>min</w:t>
            </w:r>
            <w:r w:rsidRPr="00E20294">
              <w:rPr>
                <w:rStyle w:val="Bodytext28pt"/>
                <w:rFonts w:ascii="Sylfaen" w:eastAsiaTheme="minorHAnsi" w:hAnsi="Sylfaen"/>
                <w:spacing w:val="-4"/>
                <w:sz w:val="22"/>
                <w:szCs w:val="22"/>
              </w:rPr>
              <w:t xml:space="preserve"> </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ֆլուկտուացիայի ցուցանիշը (առավելագույնի </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նվազագույնի միջ</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ֆլուկտուացիան, %):</w:t>
            </w:r>
          </w:p>
          <w:p w14:paraId="0BBD8320" w14:textId="14712F31" w:rsidR="00BD67EC" w:rsidRPr="00BD67EC" w:rsidRDefault="00BD67EC" w:rsidP="00DE4E47">
            <w:pPr>
              <w:spacing w:after="120" w:line="240" w:lineRule="auto"/>
              <w:jc w:val="both"/>
              <w:rPr>
                <w:rFonts w:ascii="Sylfaen" w:hAnsi="Sylfaen" w:cs="Times New Roman"/>
                <w:color w:val="000000"/>
              </w:rPr>
            </w:pPr>
            <w:r w:rsidRPr="00E20294">
              <w:rPr>
                <w:rStyle w:val="Bodytext20"/>
                <w:rFonts w:ascii="Sylfaen" w:eastAsiaTheme="minorHAnsi" w:hAnsi="Sylfaen"/>
                <w:sz w:val="22"/>
                <w:szCs w:val="22"/>
              </w:rPr>
              <w:t>Փորձագետի մեկնաբանությունը</w:t>
            </w:r>
          </w:p>
        </w:tc>
      </w:tr>
      <w:tr w:rsidR="008D08B9" w:rsidRPr="00E20294" w14:paraId="2F9DC480" w14:textId="77777777" w:rsidTr="00DE4E47">
        <w:trPr>
          <w:trHeight w:val="1455"/>
        </w:trPr>
        <w:tc>
          <w:tcPr>
            <w:tcW w:w="10143" w:type="dxa"/>
            <w:gridSpan w:val="8"/>
            <w:shd w:val="clear" w:color="auto" w:fill="FFFFFF"/>
            <w:vAlign w:val="bottom"/>
          </w:tcPr>
          <w:p w14:paraId="31DBF422" w14:textId="77777777" w:rsidR="008D08B9" w:rsidRPr="00E20294" w:rsidRDefault="008D08B9" w:rsidP="00DE4E47">
            <w:pPr>
              <w:spacing w:after="120" w:line="240" w:lineRule="auto"/>
              <w:jc w:val="both"/>
              <w:rPr>
                <w:rFonts w:ascii="Sylfaen" w:hAnsi="Sylfaen"/>
              </w:rPr>
            </w:pPr>
            <w:r w:rsidRPr="00E20294">
              <w:rPr>
                <w:rStyle w:val="Bodytext20"/>
                <w:rFonts w:ascii="Sylfaen" w:eastAsiaTheme="minorHAnsi" w:hAnsi="Sylfaen"/>
                <w:sz w:val="22"/>
                <w:szCs w:val="22"/>
              </w:rPr>
              <w:t>Անվտանգության վերաբերյալ տվյալները</w:t>
            </w:r>
          </w:p>
          <w:p w14:paraId="5E3197EA" w14:textId="77777777" w:rsidR="008D08B9" w:rsidRPr="00E20294" w:rsidRDefault="008D08B9" w:rsidP="00DE4E47">
            <w:pPr>
              <w:spacing w:after="120" w:line="240" w:lineRule="auto"/>
              <w:jc w:val="both"/>
              <w:rPr>
                <w:rStyle w:val="Bodytext20"/>
                <w:rFonts w:ascii="Sylfaen" w:eastAsiaTheme="minorHAnsi" w:hAnsi="Sylfaen"/>
                <w:spacing w:val="-4"/>
                <w:sz w:val="22"/>
                <w:szCs w:val="22"/>
              </w:rPr>
            </w:pPr>
            <w:r w:rsidRPr="00E20294">
              <w:rPr>
                <w:rStyle w:val="Bodytext20"/>
                <w:rFonts w:ascii="Sylfaen" w:eastAsiaTheme="minorHAnsi" w:hAnsi="Sylfaen"/>
                <w:sz w:val="22"/>
                <w:szCs w:val="22"/>
              </w:rPr>
              <w:t>Հարկավոր է կազմել կենսահամարժեքության հետազոտությունում նշված անցանկալի եր</w:t>
            </w:r>
            <w:r>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ույթների հակիրճ ռեզյումե: Չի պահանջվում եզրակացություն անել հետազոտվող </w:t>
            </w:r>
            <w:r>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պատրաստուկների համար այս տվյալների համեմատության հիման վրա:</w:t>
            </w:r>
          </w:p>
        </w:tc>
      </w:tr>
    </w:tbl>
    <w:p w14:paraId="2C722401" w14:textId="552C2578" w:rsidR="008D08B9" w:rsidRDefault="008D08B9" w:rsidP="004F5982">
      <w:pPr>
        <w:spacing w:after="160" w:line="360" w:lineRule="auto"/>
        <w:jc w:val="both"/>
        <w:rPr>
          <w:rFonts w:ascii="Sylfaen" w:hAnsi="Sylfaen"/>
          <w:sz w:val="24"/>
          <w:szCs w:val="24"/>
        </w:rPr>
      </w:pPr>
    </w:p>
    <w:p w14:paraId="19A64F0D" w14:textId="1C337320" w:rsidR="00BD67EC" w:rsidRDefault="00BD67EC" w:rsidP="004F5982">
      <w:pPr>
        <w:spacing w:after="160" w:line="360" w:lineRule="auto"/>
        <w:jc w:val="both"/>
        <w:rPr>
          <w:rFonts w:ascii="Sylfaen" w:hAnsi="Sylfaen"/>
          <w:sz w:val="24"/>
          <w:szCs w:val="24"/>
        </w:rPr>
      </w:pPr>
    </w:p>
    <w:p w14:paraId="7CD45E73" w14:textId="77777777" w:rsidR="00BD67EC" w:rsidRPr="00826F05" w:rsidRDefault="00BD67EC" w:rsidP="004F5982">
      <w:pPr>
        <w:spacing w:after="160" w:line="360" w:lineRule="auto"/>
        <w:jc w:val="both"/>
        <w:rPr>
          <w:rFonts w:ascii="Sylfaen" w:hAnsi="Sylfaen"/>
          <w:sz w:val="24"/>
          <w:szCs w:val="24"/>
        </w:rPr>
      </w:pPr>
    </w:p>
    <w:p w14:paraId="60A762E6"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Եզրակացություն՝</w:t>
      </w:r>
    </w:p>
    <w:p w14:paraId="1089F151"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&lt;Ելնելով կենսահամարժեքության հետազոտության (հետազոտությունների) ներկայացված արդյունքներից՝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ճանաչվում է [նշել համեմատման պատրաստուկի անվանումը]-ին կենսահամարժեք :&gt;</w:t>
      </w:r>
    </w:p>
    <w:p w14:paraId="16FB6926" w14:textId="77777777" w:rsidR="004F5982" w:rsidRPr="00826F05" w:rsidRDefault="004F5982" w:rsidP="00487007">
      <w:pPr>
        <w:tabs>
          <w:tab w:val="left" w:pos="1701"/>
        </w:tabs>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կամ</w:t>
      </w:r>
    </w:p>
    <w:p w14:paraId="45FD9D89" w14:textId="77777777" w:rsidR="004F5982" w:rsidRPr="00826F05" w:rsidRDefault="004F5982" w:rsidP="00487007">
      <w:pPr>
        <w:spacing w:after="160" w:line="360" w:lineRule="auto"/>
        <w:ind w:right="-1" w:firstLine="567"/>
        <w:jc w:val="both"/>
        <w:rPr>
          <w:rFonts w:ascii="Sylfaen" w:hAnsi="Sylfaen"/>
          <w:i/>
          <w:sz w:val="24"/>
          <w:szCs w:val="24"/>
        </w:rPr>
      </w:pPr>
      <w:r w:rsidRPr="00826F05">
        <w:rPr>
          <w:rFonts w:ascii="Sylfaen" w:hAnsi="Sylfaen"/>
          <w:i/>
          <w:sz w:val="24"/>
          <w:szCs w:val="24"/>
        </w:rPr>
        <w:t>&lt;Հաշվի առնելով [նշել հիմքերը] [նշել հետազոտված դեղապատրաստուկի առ</w:t>
      </w:r>
      <w:r w:rsidR="00C54D75">
        <w:rPr>
          <w:rFonts w:ascii="Sylfaen" w:hAnsi="Sylfaen"/>
          <w:i/>
          <w:sz w:val="24"/>
          <w:szCs w:val="24"/>
        </w:rPr>
        <w:t>և</w:t>
      </w:r>
      <w:r w:rsidRPr="00826F05">
        <w:rPr>
          <w:rFonts w:ascii="Sylfaen" w:hAnsi="Sylfaen"/>
          <w:i/>
          <w:sz w:val="24"/>
          <w:szCs w:val="24"/>
        </w:rPr>
        <w:t xml:space="preserve">տրային անվանումը] ճանաչվում է [նշել համեմատման պատրաստուկի անվանումը]-ին կենսահամարժեք :&gt; </w:t>
      </w:r>
    </w:p>
    <w:p w14:paraId="2D917C98"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Եթե կիրառելի է, կարող է օգտագործվել հետ</w:t>
      </w:r>
      <w:r w:rsidR="00C54D75">
        <w:rPr>
          <w:rFonts w:ascii="Sylfaen" w:hAnsi="Sylfaen"/>
          <w:sz w:val="24"/>
          <w:szCs w:val="24"/>
        </w:rPr>
        <w:t>և</w:t>
      </w:r>
      <w:r w:rsidRPr="00826F05">
        <w:rPr>
          <w:rFonts w:ascii="Sylfaen" w:hAnsi="Sylfaen"/>
          <w:sz w:val="24"/>
          <w:szCs w:val="24"/>
        </w:rPr>
        <w:t>յալ բանաձ</w:t>
      </w:r>
      <w:r w:rsidR="00C54D75">
        <w:rPr>
          <w:rFonts w:ascii="Sylfaen" w:hAnsi="Sylfaen"/>
          <w:sz w:val="24"/>
          <w:szCs w:val="24"/>
        </w:rPr>
        <w:t>և</w:t>
      </w:r>
      <w:r w:rsidRPr="00826F05">
        <w:rPr>
          <w:rFonts w:ascii="Sylfaen" w:hAnsi="Sylfaen"/>
          <w:sz w:val="24"/>
          <w:szCs w:val="24"/>
        </w:rPr>
        <w:t>ը՝</w:t>
      </w:r>
    </w:p>
    <w:p w14:paraId="4165954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&lt;[XX մգ] պատրաստուկով [հետազոտության համարը] հետազոտության արդյունքները [կարող են (չեն կարող)] արտարկվել այլ [XX մգ] դոզավորումների վրա՝ </w:t>
      </w:r>
      <w:r w:rsidRPr="00826F05">
        <w:rPr>
          <w:rFonts w:ascii="Sylfaen" w:hAnsi="Sylfaen"/>
          <w:i/>
          <w:sz w:val="24"/>
          <w:szCs w:val="24"/>
        </w:rPr>
        <w:lastRenderedPageBreak/>
        <w:t>Միության վերարտադրված դեղապատրաստուկների կենսահամարժեքության հետազոտությունների անցկացման կանոններում շարադրված պայմաններին համապատասխան:&gt;</w:t>
      </w:r>
    </w:p>
    <w:p w14:paraId="711DB31D"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2.3.2. Դեղադինամիկան</w:t>
      </w:r>
    </w:p>
    <w:p w14:paraId="1B6D6150"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Հարկավոր է օգտագործել ստանդարտ ձ</w:t>
      </w:r>
      <w:r w:rsidR="00C54D75">
        <w:rPr>
          <w:rFonts w:ascii="Sylfaen" w:hAnsi="Sylfaen"/>
          <w:sz w:val="24"/>
          <w:szCs w:val="24"/>
        </w:rPr>
        <w:t>և</w:t>
      </w:r>
      <w:r w:rsidRPr="00826F05">
        <w:rPr>
          <w:rFonts w:ascii="Sylfaen" w:hAnsi="Sylfaen"/>
          <w:sz w:val="24"/>
          <w:szCs w:val="24"/>
        </w:rPr>
        <w:t>ակերպումը:</w:t>
      </w:r>
    </w:p>
    <w:p w14:paraId="4E3B049E" w14:textId="6886510C"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&lt;Նոր դեղադինամիկ հետազոտությունների արդյունքներ չեն ներկայացվել, սույն </w:t>
      </w:r>
      <w:r w:rsidR="0056496B">
        <w:rPr>
          <w:rFonts w:ascii="Sylfaen" w:hAnsi="Sylfaen"/>
          <w:i/>
          <w:sz w:val="24"/>
          <w:szCs w:val="24"/>
        </w:rPr>
        <w:t>դիմում</w:t>
      </w:r>
      <w:r w:rsidRPr="00826F05">
        <w:rPr>
          <w:rFonts w:ascii="Sylfaen" w:hAnsi="Sylfaen"/>
          <w:i/>
          <w:sz w:val="24"/>
          <w:szCs w:val="24"/>
        </w:rPr>
        <w:t>ի համատեքստում նման հետազոտություններ չեն պահանջվում:&gt;</w:t>
      </w:r>
    </w:p>
    <w:p w14:paraId="492CF0F9"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Որպես կանոն, նոր տվյալներ չեն պահանջվում </w:t>
      </w:r>
      <w:r w:rsidR="00C54D75">
        <w:rPr>
          <w:rFonts w:ascii="Sylfaen" w:hAnsi="Sylfaen"/>
          <w:sz w:val="24"/>
          <w:szCs w:val="24"/>
        </w:rPr>
        <w:t>և</w:t>
      </w:r>
      <w:r w:rsidRPr="00826F05">
        <w:rPr>
          <w:rFonts w:ascii="Sylfaen" w:hAnsi="Sylfaen"/>
          <w:sz w:val="24"/>
          <w:szCs w:val="24"/>
        </w:rPr>
        <w:t xml:space="preserve"> չեն ներկայացվում: Սակայն</w:t>
      </w:r>
      <w:r>
        <w:rPr>
          <w:rFonts w:ascii="Sylfaen" w:hAnsi="Sylfaen"/>
          <w:sz w:val="24"/>
          <w:szCs w:val="24"/>
        </w:rPr>
        <w:t> </w:t>
      </w:r>
      <w:r w:rsidRPr="00826F05">
        <w:rPr>
          <w:rFonts w:ascii="Sylfaen" w:hAnsi="Sylfaen"/>
          <w:sz w:val="24"/>
          <w:szCs w:val="24"/>
        </w:rPr>
        <w:t>եթե կենսահամարժեքությունն անհնար է հաստատել դեղակինետիկ հետազոտությունների շրջանակներում, ապա դրանց ներկայացումն անհրաժեշտ է թերապ</w:t>
      </w:r>
      <w:r w:rsidR="00C54D75">
        <w:rPr>
          <w:rFonts w:ascii="Sylfaen" w:hAnsi="Sylfaen"/>
          <w:sz w:val="24"/>
          <w:szCs w:val="24"/>
        </w:rPr>
        <w:t>և</w:t>
      </w:r>
      <w:r w:rsidRPr="00826F05">
        <w:rPr>
          <w:rFonts w:ascii="Sylfaen" w:hAnsi="Sylfaen"/>
          <w:sz w:val="24"/>
          <w:szCs w:val="24"/>
        </w:rPr>
        <w:t xml:space="preserve">տիկ համարժեքությունը հաստատելու նպատակով: </w:t>
      </w:r>
    </w:p>
    <w:p w14:paraId="5C25568C" w14:textId="77777777" w:rsidR="004F5982" w:rsidRPr="00826F05" w:rsidRDefault="004F5982" w:rsidP="00487007">
      <w:pPr>
        <w:spacing w:after="160" w:line="360" w:lineRule="auto"/>
        <w:ind w:right="-1" w:firstLine="567"/>
        <w:jc w:val="both"/>
        <w:rPr>
          <w:rFonts w:ascii="Sylfaen" w:hAnsi="Sylfaen"/>
          <w:sz w:val="24"/>
          <w:szCs w:val="24"/>
        </w:rPr>
      </w:pPr>
    </w:p>
    <w:p w14:paraId="1F762DC0"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2.3.3. Հետգրանցումային փորձը</w:t>
      </w:r>
    </w:p>
    <w:p w14:paraId="13C5E00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Գնահատե՛ք անվտանգության վերաբերյալ ներկայացված տվյալները (եթե</w:t>
      </w:r>
      <w:r>
        <w:rPr>
          <w:rFonts w:ascii="Sylfaen" w:hAnsi="Sylfaen"/>
          <w:sz w:val="24"/>
          <w:szCs w:val="24"/>
        </w:rPr>
        <w:t> </w:t>
      </w:r>
      <w:r w:rsidRPr="00826F05">
        <w:rPr>
          <w:rFonts w:ascii="Sylfaen" w:hAnsi="Sylfaen"/>
          <w:sz w:val="24"/>
          <w:szCs w:val="24"/>
        </w:rPr>
        <w:t>պատրաստուկը գրանցված է Միության սահմաններից դուրս): Հարկավոր է հաշվի առնել, որ այս տվյալները վերաբերում են դեղապատրաստուկին, այլ ոչ թե դրա ազդող նյութին:</w:t>
      </w:r>
    </w:p>
    <w:p w14:paraId="292FB4F3"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Որպես կանոն, կարելի է սահմանափակվել հետ</w:t>
      </w:r>
      <w:r w:rsidR="00C54D75">
        <w:rPr>
          <w:rFonts w:ascii="Sylfaen" w:hAnsi="Sylfaen"/>
          <w:sz w:val="24"/>
          <w:szCs w:val="24"/>
        </w:rPr>
        <w:t>և</w:t>
      </w:r>
      <w:r w:rsidRPr="00826F05">
        <w:rPr>
          <w:rFonts w:ascii="Sylfaen" w:hAnsi="Sylfaen"/>
          <w:sz w:val="24"/>
          <w:szCs w:val="24"/>
        </w:rPr>
        <w:t>յալ ձ</w:t>
      </w:r>
      <w:r w:rsidR="00C54D75">
        <w:rPr>
          <w:rFonts w:ascii="Sylfaen" w:hAnsi="Sylfaen"/>
          <w:sz w:val="24"/>
          <w:szCs w:val="24"/>
        </w:rPr>
        <w:t>և</w:t>
      </w:r>
      <w:r w:rsidRPr="00826F05">
        <w:rPr>
          <w:rFonts w:ascii="Sylfaen" w:hAnsi="Sylfaen"/>
          <w:sz w:val="24"/>
          <w:szCs w:val="24"/>
        </w:rPr>
        <w:t>ակերպմամբ՝</w:t>
      </w:r>
    </w:p>
    <w:p w14:paraId="263D8A4C"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i/>
          <w:sz w:val="24"/>
          <w:szCs w:val="24"/>
        </w:rPr>
        <w:t>&lt;Կիրառման հետգրանցումային փորձը բացակայում է: Դեղապատրաստուկը Միության սահմաններից դուրս չի կիրառվել:&gt;</w:t>
      </w:r>
    </w:p>
    <w:p w14:paraId="21EF4C0B" w14:textId="77777777" w:rsidR="004F5982" w:rsidRPr="00826F05" w:rsidRDefault="004F5982" w:rsidP="00487007">
      <w:pPr>
        <w:spacing w:after="160" w:line="360" w:lineRule="auto"/>
        <w:ind w:right="-1" w:firstLine="567"/>
        <w:jc w:val="both"/>
        <w:rPr>
          <w:rFonts w:ascii="Sylfaen" w:hAnsi="Sylfaen"/>
          <w:sz w:val="24"/>
          <w:szCs w:val="24"/>
        </w:rPr>
      </w:pPr>
    </w:p>
    <w:p w14:paraId="744511F1"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2.3.4. Կլինիկական ասպեկտների քննարկումը</w:t>
      </w:r>
    </w:p>
    <w:p w14:paraId="18CE437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Քննարկե՛ք բովանդակային պլանի կրիտիկական տարրերը, հատկապես՝ </w:t>
      </w:r>
      <w:r w:rsidRPr="00826F05">
        <w:rPr>
          <w:rFonts w:ascii="Sylfaen" w:hAnsi="Sylfaen"/>
          <w:sz w:val="24"/>
          <w:szCs w:val="24"/>
        </w:rPr>
        <w:lastRenderedPageBreak/>
        <w:t>եթե</w:t>
      </w:r>
      <w:r>
        <w:rPr>
          <w:rFonts w:ascii="Sylfaen" w:hAnsi="Sylfaen"/>
          <w:sz w:val="24"/>
          <w:szCs w:val="24"/>
        </w:rPr>
        <w:t> </w:t>
      </w:r>
      <w:r w:rsidRPr="00826F05">
        <w:rPr>
          <w:rFonts w:ascii="Sylfaen" w:hAnsi="Sylfaen"/>
          <w:sz w:val="24"/>
          <w:szCs w:val="24"/>
        </w:rPr>
        <w:t>դրանք տարբերվում են ստանդարտ խաչաձ</w:t>
      </w:r>
      <w:r w:rsidR="00C54D75">
        <w:rPr>
          <w:rFonts w:ascii="Sylfaen" w:hAnsi="Sylfaen"/>
          <w:sz w:val="24"/>
          <w:szCs w:val="24"/>
        </w:rPr>
        <w:t>և</w:t>
      </w:r>
      <w:r w:rsidRPr="00826F05">
        <w:rPr>
          <w:rFonts w:ascii="Sylfaen" w:hAnsi="Sylfaen"/>
          <w:sz w:val="24"/>
          <w:szCs w:val="24"/>
        </w:rPr>
        <w:t xml:space="preserve"> բովանդակային պլանից, օրինակ՝ զուգահեռ բովանդակային պլանը, պատրաստուկը սնունդ ընդունելուց հետո ընդունելը, պացիենտների մոտ հետազոտությունը </w:t>
      </w:r>
      <w:r w:rsidR="00C54D75">
        <w:rPr>
          <w:rFonts w:ascii="Sylfaen" w:hAnsi="Sylfaen"/>
          <w:sz w:val="24"/>
          <w:szCs w:val="24"/>
        </w:rPr>
        <w:t>և</w:t>
      </w:r>
      <w:r w:rsidRPr="00826F05">
        <w:rPr>
          <w:rFonts w:ascii="Sylfaen" w:hAnsi="Sylfaen"/>
          <w:sz w:val="24"/>
          <w:szCs w:val="24"/>
        </w:rPr>
        <w:t xml:space="preserve"> այլն: Անհրաժեշտ է վերլուծել հետազոտվող պատրաստուկի (ելակետային միացություն կամ մետաբոլիտ), ինչպես նա</w:t>
      </w:r>
      <w:r w:rsidR="00C54D75">
        <w:rPr>
          <w:rFonts w:ascii="Sylfaen" w:hAnsi="Sylfaen"/>
          <w:sz w:val="24"/>
          <w:szCs w:val="24"/>
        </w:rPr>
        <w:t>և</w:t>
      </w:r>
      <w:r w:rsidRPr="00826F05">
        <w:rPr>
          <w:rFonts w:ascii="Sylfaen" w:hAnsi="Sylfaen"/>
          <w:sz w:val="24"/>
          <w:szCs w:val="24"/>
        </w:rPr>
        <w:t xml:space="preserve"> կենսավերլուծական մեթոդի ընտրությունը: Բացի այդ, նշե՛ք կենսահամարժեքությունը ճանաչելու նախապես ընտրված չափորոշիչները, հատկապես եթե կատարվել է մասշտաբավորում (օրինակ՝ արդյոք գործակցի փոփոխականության գնահատման համար օգտագործվել է կրկնակի բովանդակային պլան) բարձր փոփոխականության պատրաստուկների կամ նեղ թերապ</w:t>
      </w:r>
      <w:r w:rsidR="00C54D75">
        <w:rPr>
          <w:rFonts w:ascii="Sylfaen" w:hAnsi="Sylfaen"/>
          <w:sz w:val="24"/>
          <w:szCs w:val="24"/>
        </w:rPr>
        <w:t>և</w:t>
      </w:r>
      <w:r w:rsidRPr="00826F05">
        <w:rPr>
          <w:rFonts w:ascii="Sylfaen" w:hAnsi="Sylfaen"/>
          <w:sz w:val="24"/>
          <w:szCs w:val="24"/>
        </w:rPr>
        <w:t xml:space="preserve">տիկ ընդգրկույթով պատրաստուկների նկատմամբ: </w:t>
      </w:r>
    </w:p>
    <w:p w14:paraId="3BFFCC7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Հարկավոր է նշել, թե արդյոք արդյունքները պահպանել են կենսահամարժեքությունը ճանաչելու նախապես ընտրված չափորոշիչները: Անհրաժեշտ է ընդհանրացնել անցկացված հետազոտության վերաբերյալ բոլոր դիտողությունները (օրինակ՝ սուբյեկտների դուրս մնալը (փոխարինումը)): Եթե</w:t>
      </w:r>
      <w:r>
        <w:rPr>
          <w:rFonts w:ascii="Sylfaen" w:hAnsi="Sylfaen"/>
          <w:sz w:val="24"/>
          <w:szCs w:val="24"/>
        </w:rPr>
        <w:t> </w:t>
      </w:r>
      <w:r w:rsidRPr="00826F05">
        <w:rPr>
          <w:rFonts w:ascii="Sylfaen" w:hAnsi="Sylfaen"/>
          <w:sz w:val="24"/>
          <w:szCs w:val="24"/>
        </w:rPr>
        <w:t>համեմատման պատրաստուկի հետ անց են կացվել մի քանի հետազոտություններ, գնահատե՛ք ստացված տվյալների համաձայնեցվածությունը:</w:t>
      </w:r>
    </w:p>
    <w:p w14:paraId="5F545BC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Միության պատշաճ կլինիկական գործունեության կանոնների պահանջներին (GCP) հետազոտության անհամապատասխանության վերաբերյալ բոլոր կասկածներն անհրաժեշտ է հստակ նկարագրել </w:t>
      </w:r>
      <w:r w:rsidR="00C54D75">
        <w:rPr>
          <w:rFonts w:ascii="Sylfaen" w:hAnsi="Sylfaen"/>
          <w:sz w:val="24"/>
          <w:szCs w:val="24"/>
        </w:rPr>
        <w:t>և</w:t>
      </w:r>
      <w:r w:rsidRPr="00826F05">
        <w:rPr>
          <w:rFonts w:ascii="Sylfaen" w:hAnsi="Sylfaen"/>
          <w:sz w:val="24"/>
          <w:szCs w:val="24"/>
        </w:rPr>
        <w:t xml:space="preserve"> գնահատել:</w:t>
      </w:r>
    </w:p>
    <w:p w14:paraId="4250E97C" w14:textId="77777777" w:rsidR="004F5982" w:rsidRPr="00826F05" w:rsidRDefault="004F5982" w:rsidP="00487007">
      <w:pPr>
        <w:spacing w:after="160" w:line="360" w:lineRule="auto"/>
        <w:ind w:right="-1" w:firstLine="567"/>
        <w:jc w:val="center"/>
        <w:rPr>
          <w:rFonts w:ascii="Sylfaen" w:hAnsi="Sylfaen"/>
          <w:sz w:val="24"/>
          <w:szCs w:val="24"/>
        </w:rPr>
      </w:pPr>
    </w:p>
    <w:p w14:paraId="351A02E1"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2.3.5.Կլինիկական ասպեկտների մասով եզրակացությունը</w:t>
      </w:r>
    </w:p>
    <w:p w14:paraId="41ED3A7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Հարկավոր է կլինիկական ասպեկտների մասով եզրակացություն կազմել </w:t>
      </w:r>
      <w:r w:rsidR="00C54D75">
        <w:rPr>
          <w:rFonts w:ascii="Sylfaen" w:hAnsi="Sylfaen"/>
          <w:sz w:val="24"/>
          <w:szCs w:val="24"/>
        </w:rPr>
        <w:t>և</w:t>
      </w:r>
      <w:r w:rsidRPr="00826F05">
        <w:rPr>
          <w:rFonts w:ascii="Sylfaen" w:hAnsi="Sylfaen"/>
          <w:sz w:val="24"/>
          <w:szCs w:val="24"/>
        </w:rPr>
        <w:t xml:space="preserve"> դիտողությունը տեղափոխել դիտողությունների ցանկ:</w:t>
      </w:r>
    </w:p>
    <w:p w14:paraId="44E9DBE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Եթե վերարտադրված պատրաստուկը պարունակում է դեղագործական բաղադրամասի այլ աղ, պարզ կամ բարդ եթերներ, իզոմերներ, իզոմերների </w:t>
      </w:r>
      <w:r w:rsidRPr="00826F05">
        <w:rPr>
          <w:rFonts w:ascii="Sylfaen" w:hAnsi="Sylfaen"/>
          <w:sz w:val="24"/>
          <w:szCs w:val="24"/>
        </w:rPr>
        <w:lastRenderedPageBreak/>
        <w:t>խառնուրդներ, կոմպլեքսներ կամ ածանցյալներ, ապա հարկավոր է կատարել համապատասխան նշում՝</w:t>
      </w:r>
    </w:p>
    <w:p w14:paraId="5AA6D901" w14:textId="77777777" w:rsidR="004F5982" w:rsidRPr="00416EBF" w:rsidRDefault="004F5982" w:rsidP="00487007">
      <w:pPr>
        <w:spacing w:after="160" w:line="360" w:lineRule="auto"/>
        <w:ind w:firstLine="567"/>
        <w:jc w:val="both"/>
        <w:rPr>
          <w:rFonts w:ascii="Sylfaen" w:eastAsia="Times New Roman" w:hAnsi="Sylfaen" w:cs="Times New Roman"/>
          <w:i/>
          <w:sz w:val="24"/>
          <w:szCs w:val="24"/>
        </w:rPr>
      </w:pPr>
      <w:r w:rsidRPr="00416EBF">
        <w:rPr>
          <w:rFonts w:ascii="Sylfaen" w:hAnsi="Sylfaen"/>
          <w:i/>
          <w:sz w:val="24"/>
          <w:szCs w:val="24"/>
        </w:rPr>
        <w:t xml:space="preserve">&lt;[Դեղապատրաստուկի անվանումը] կլինիկական տվյալների վերաբերյալ գրական աղբյուրների ռեզյումեն </w:t>
      </w:r>
      <w:r w:rsidR="00C54D75">
        <w:rPr>
          <w:rFonts w:ascii="Sylfaen" w:hAnsi="Sylfaen"/>
          <w:i/>
          <w:sz w:val="24"/>
          <w:szCs w:val="24"/>
        </w:rPr>
        <w:t>և</w:t>
      </w:r>
      <w:r w:rsidRPr="00416EBF">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416EBF">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416EBF">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 պահանջվում] կլինիկական լրացուցիչ հետազոտությունների անցկացում:&gt;</w:t>
      </w:r>
    </w:p>
    <w:p w14:paraId="4DDFE742" w14:textId="2A07A69E"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հետգրանցումային միջոցներ ձեռնարկելու պարտավորությունները. Առանձին դեպքերում որպես գրանցման պայման փորձագետի կողմից կարող են պահանջվել օգուտ-ռիսկ հարաբերակցության գնահատման համար առանցքային կլինիկական տվյալները: Փորձագետի կողմից այդպիսի տվյալների հարցումը հետգրանցումային ժամանակահատվածում կատարվում է ստոր</w:t>
      </w:r>
      <w:r w:rsidR="00C54D75">
        <w:rPr>
          <w:rFonts w:ascii="Sylfaen" w:hAnsi="Sylfaen"/>
          <w:sz w:val="24"/>
          <w:szCs w:val="24"/>
        </w:rPr>
        <w:t>և</w:t>
      </w:r>
      <w:r w:rsidR="004F5982" w:rsidRPr="00826F05">
        <w:rPr>
          <w:rFonts w:ascii="Sylfaen" w:hAnsi="Sylfaen"/>
          <w:sz w:val="24"/>
          <w:szCs w:val="24"/>
        </w:rPr>
        <w:t xml:space="preserve"> ներկայացված ձ</w:t>
      </w:r>
      <w:r w:rsidR="00C54D75">
        <w:rPr>
          <w:rFonts w:ascii="Sylfaen" w:hAnsi="Sylfaen"/>
          <w:sz w:val="24"/>
          <w:szCs w:val="24"/>
        </w:rPr>
        <w:t>և</w:t>
      </w:r>
      <w:r w:rsidR="004F5982" w:rsidRPr="00826F05">
        <w:rPr>
          <w:rFonts w:ascii="Sylfaen" w:hAnsi="Sylfaen"/>
          <w:sz w:val="24"/>
          <w:szCs w:val="24"/>
        </w:rPr>
        <w:t xml:space="preserve">ակերպմամբ </w:t>
      </w:r>
      <w:r w:rsidR="00C54D75">
        <w:rPr>
          <w:rFonts w:ascii="Sylfaen" w:hAnsi="Sylfaen"/>
          <w:sz w:val="24"/>
          <w:szCs w:val="24"/>
        </w:rPr>
        <w:t>և</w:t>
      </w:r>
      <w:r w:rsidR="004F5982" w:rsidRPr="00826F05">
        <w:rPr>
          <w:rFonts w:ascii="Sylfaen" w:hAnsi="Sylfaen"/>
          <w:sz w:val="24"/>
          <w:szCs w:val="24"/>
        </w:rPr>
        <w:t xml:space="preserve"> որպես գրանցման պայման առանձին բաժնով ներառվում է ԴԸԲ-ի կազմի մեջ: Հարկավոր է պատշաճ կերպով հիմնավորել որպես այդպիսի պայման սահմանված յուրաքանչյուր հարցում, մասնավորապես՝ հարկավոր է բացատրել օգուտ-ռիսկ դրական հարաբերակցության համատեքստում այդպիսի պայմանի ներառման անհրաժեշտությունը՝</w:t>
      </w:r>
    </w:p>
    <w:p w14:paraId="21B7BE66"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i/>
          <w:sz w:val="24"/>
          <w:szCs w:val="24"/>
        </w:rPr>
        <w:t>&lt;Կլինիկական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 անհրաժեշտ միջոցները]:&gt;</w:t>
      </w:r>
    </w:p>
    <w:p w14:paraId="2110065B" w14:textId="77777777" w:rsidR="004F5982" w:rsidRPr="00826F05" w:rsidRDefault="004F5982" w:rsidP="00487007">
      <w:pPr>
        <w:spacing w:after="160" w:line="360" w:lineRule="auto"/>
        <w:ind w:right="-1" w:firstLine="567"/>
        <w:jc w:val="both"/>
        <w:rPr>
          <w:rFonts w:ascii="Sylfaen" w:hAnsi="Sylfaen"/>
          <w:sz w:val="24"/>
          <w:szCs w:val="24"/>
        </w:rPr>
      </w:pPr>
    </w:p>
    <w:p w14:paraId="7ED0867B"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3. Դեղազգոնությունը</w:t>
      </w:r>
    </w:p>
    <w:p w14:paraId="20C40A15"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lastRenderedPageBreak/>
        <w:t>3.6. Դեղազգոնության համակարգը</w:t>
      </w:r>
    </w:p>
    <w:p w14:paraId="1BC3829A" w14:textId="460E3F1C" w:rsidR="004F5982" w:rsidRPr="00487007"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 xml:space="preserve">ն ներկայացրել է դեղազգոնության համակարգի մանրամասն նկարագրությունը պարունակող փաստաթղթեր: Ներկայացվել է </w:t>
      </w:r>
      <w:r w:rsidR="0056496B">
        <w:rPr>
          <w:rFonts w:ascii="Sylfaen" w:hAnsi="Sylfaen"/>
          <w:i/>
          <w:sz w:val="24"/>
          <w:szCs w:val="24"/>
        </w:rPr>
        <w:t>դիմումատու</w:t>
      </w:r>
      <w:r w:rsidRPr="00826F05">
        <w:rPr>
          <w:rFonts w:ascii="Sylfaen" w:hAnsi="Sylfaen"/>
          <w:i/>
          <w:sz w:val="24"/>
          <w:szCs w:val="24"/>
        </w:rPr>
        <w:t xml:space="preserve">ի </w:t>
      </w:r>
      <w:r w:rsidR="00C54D75">
        <w:rPr>
          <w:rFonts w:ascii="Sylfaen" w:hAnsi="Sylfaen"/>
          <w:i/>
          <w:sz w:val="24"/>
          <w:szCs w:val="24"/>
        </w:rPr>
        <w:t>և</w:t>
      </w:r>
      <w:r w:rsidRPr="00826F05">
        <w:rPr>
          <w:rFonts w:ascii="Sylfaen" w:hAnsi="Sylfaen"/>
          <w:i/>
          <w:sz w:val="24"/>
          <w:szCs w:val="24"/>
        </w:rPr>
        <w:t xml:space="preserve"> դեղազգոնության մասով լիազորված անձի կողմից ստորագրված</w:t>
      </w:r>
      <w:r w:rsidR="005A46D4">
        <w:rPr>
          <w:rFonts w:ascii="Sylfaen" w:hAnsi="Sylfaen"/>
          <w:i/>
          <w:sz w:val="24"/>
          <w:szCs w:val="24"/>
        </w:rPr>
        <w:t>հայտարարագիր</w:t>
      </w:r>
      <w:r w:rsidRPr="00826F05">
        <w:rPr>
          <w:rFonts w:ascii="Sylfaen" w:hAnsi="Sylfaen"/>
          <w:i/>
          <w:sz w:val="24"/>
          <w:szCs w:val="24"/>
        </w:rPr>
        <w:t xml:space="preserve">, որը հավաստում է,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Միության անդամ չհանդիսացող պետություններում առաջացող ցանկացած անցանկալի ռեակցիայի մասին ծանուցելու համար անհրաժեշտ միջոցներ:&gt;</w:t>
      </w:r>
    </w:p>
    <w:p w14:paraId="3675FF8C" w14:textId="5D538176"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w:t>
      </w:r>
      <w:r w:rsidR="0056496B">
        <w:rPr>
          <w:rFonts w:ascii="Sylfaen" w:hAnsi="Sylfaen"/>
          <w:i/>
          <w:sz w:val="24"/>
          <w:szCs w:val="24"/>
        </w:rPr>
        <w:t>դիմումատու</w:t>
      </w:r>
      <w:r w:rsidRPr="00826F05">
        <w:rPr>
          <w:rFonts w:ascii="Sylfaen" w:hAnsi="Sylfaen"/>
          <w:i/>
          <w:sz w:val="24"/>
          <w:szCs w:val="24"/>
        </w:rPr>
        <w:t xml:space="preserve">ի կողմից նկարագրված դեղազգոնության համակարգը բավարարում է պահանջները </w:t>
      </w:r>
      <w:r w:rsidR="00C54D75">
        <w:rPr>
          <w:rFonts w:ascii="Sylfaen" w:hAnsi="Sylfaen"/>
          <w:i/>
          <w:sz w:val="24"/>
          <w:szCs w:val="24"/>
        </w:rPr>
        <w:t>և</w:t>
      </w:r>
      <w:r w:rsidRPr="00826F05">
        <w:rPr>
          <w:rFonts w:ascii="Sylfaen" w:hAnsi="Sylfaen"/>
          <w:i/>
          <w:sz w:val="24"/>
          <w:szCs w:val="24"/>
        </w:rPr>
        <w:t xml:space="preserve"> պարունակում է այն բանի բավարար հաստատումը,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երկրում առաջացող ցանկացած անցանկալի ռեակցիայի մասին ծանուցելու համար անհրաժեշտ միջոցներ:&gt;</w:t>
      </w:r>
    </w:p>
    <w:p w14:paraId="67D98123" w14:textId="2B6A495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w:t>
      </w:r>
      <w:r w:rsidR="0056496B">
        <w:rPr>
          <w:rFonts w:ascii="Sylfaen" w:hAnsi="Sylfaen"/>
          <w:i/>
          <w:sz w:val="24"/>
          <w:szCs w:val="24"/>
        </w:rPr>
        <w:t>դիմումատու</w:t>
      </w:r>
      <w:r w:rsidRPr="00826F05">
        <w:rPr>
          <w:rFonts w:ascii="Sylfaen" w:hAnsi="Sylfaen"/>
          <w:i/>
          <w:sz w:val="24"/>
          <w:szCs w:val="24"/>
        </w:rPr>
        <w:t>ի կողմից նկարագրված դեղազգոնության համակարգն ունի հետ</w:t>
      </w:r>
      <w:r w:rsidR="00C54D75">
        <w:rPr>
          <w:rFonts w:ascii="Sylfaen" w:hAnsi="Sylfaen"/>
          <w:i/>
          <w:sz w:val="24"/>
          <w:szCs w:val="24"/>
        </w:rPr>
        <w:t>և</w:t>
      </w:r>
      <w:r w:rsidRPr="00826F05">
        <w:rPr>
          <w:rFonts w:ascii="Sylfaen" w:hAnsi="Sylfaen"/>
          <w:i/>
          <w:sz w:val="24"/>
          <w:szCs w:val="24"/>
        </w:rPr>
        <w:t>յալ թերությունները [թերությունների ցանկը]՝&gt;</w:t>
      </w:r>
    </w:p>
    <w:p w14:paraId="1E3C0F68" w14:textId="1D81BD6C"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ի կողմից մինչ</w:t>
      </w:r>
      <w:r w:rsidR="00C54D75">
        <w:rPr>
          <w:rFonts w:ascii="Sylfaen" w:hAnsi="Sylfaen"/>
          <w:i/>
          <w:sz w:val="24"/>
          <w:szCs w:val="24"/>
        </w:rPr>
        <w:t>և</w:t>
      </w:r>
      <w:r w:rsidRPr="00826F05">
        <w:rPr>
          <w:rFonts w:ascii="Sylfaen" w:hAnsi="Sylfaen"/>
          <w:i/>
          <w:sz w:val="24"/>
          <w:szCs w:val="24"/>
        </w:rPr>
        <w:t xml:space="preserve"> դեղապատրաստուկը իրացնելը թերությունները վերացնելու դեպքում լիազորված մարմինը կարող է դեղազգոնության համակարգը ճանաչել պահանջները բավարարող: </w:t>
      </w:r>
      <w:r w:rsidR="0056496B">
        <w:rPr>
          <w:rFonts w:ascii="Sylfaen" w:hAnsi="Sylfaen"/>
          <w:i/>
          <w:sz w:val="24"/>
          <w:szCs w:val="24"/>
        </w:rPr>
        <w:t>Դիմումատու</w:t>
      </w:r>
      <w:r w:rsidRPr="00826F05">
        <w:rPr>
          <w:rFonts w:ascii="Sylfaen" w:hAnsi="Sylfaen"/>
          <w:i/>
          <w:sz w:val="24"/>
          <w:szCs w:val="24"/>
        </w:rPr>
        <w:t>ն պետք է դեղազգոնության համակարգի առկայությունն ու գործառումն ապահովի մինչ</w:t>
      </w:r>
      <w:r w:rsidR="00C54D75">
        <w:rPr>
          <w:rFonts w:ascii="Sylfaen" w:hAnsi="Sylfaen"/>
          <w:i/>
          <w:sz w:val="24"/>
          <w:szCs w:val="24"/>
        </w:rPr>
        <w:t>և</w:t>
      </w:r>
      <w:r w:rsidRPr="00826F05">
        <w:rPr>
          <w:rFonts w:ascii="Sylfaen" w:hAnsi="Sylfaen"/>
          <w:i/>
          <w:sz w:val="24"/>
          <w:szCs w:val="24"/>
        </w:rPr>
        <w:t xml:space="preserve"> իրացման մեկնարկը:&gt;</w:t>
      </w:r>
    </w:p>
    <w:p w14:paraId="0127CDA5" w14:textId="77777777" w:rsidR="004F5982" w:rsidRPr="00826F05" w:rsidRDefault="004F5982" w:rsidP="00487007">
      <w:pPr>
        <w:spacing w:after="160" w:line="360" w:lineRule="auto"/>
        <w:ind w:right="-1" w:firstLine="567"/>
        <w:jc w:val="both"/>
        <w:rPr>
          <w:rFonts w:ascii="Sylfaen" w:hAnsi="Sylfaen"/>
          <w:sz w:val="24"/>
          <w:szCs w:val="24"/>
        </w:rPr>
      </w:pPr>
    </w:p>
    <w:p w14:paraId="6F08E3A4" w14:textId="77777777" w:rsidR="004F5982" w:rsidRPr="00826F05" w:rsidRDefault="004F5982" w:rsidP="00487007">
      <w:pPr>
        <w:spacing w:after="160" w:line="360" w:lineRule="auto"/>
        <w:ind w:left="2268" w:right="2125"/>
        <w:jc w:val="both"/>
        <w:rPr>
          <w:rFonts w:ascii="Sylfaen" w:eastAsia="Times New Roman" w:hAnsi="Sylfaen" w:cs="Times New Roman"/>
          <w:sz w:val="24"/>
          <w:szCs w:val="24"/>
        </w:rPr>
      </w:pPr>
      <w:r w:rsidRPr="00826F05">
        <w:rPr>
          <w:rFonts w:ascii="Sylfaen" w:hAnsi="Sylfaen"/>
          <w:sz w:val="24"/>
          <w:szCs w:val="24"/>
        </w:rPr>
        <w:t>3.7. Ռիսկերի կառավարման պլանը</w:t>
      </w:r>
    </w:p>
    <w:p w14:paraId="43120D54" w14:textId="0EAD2D9E"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Փորձագետը պետք է ավարտի դոսյեի առաջին ընդհանուր փորձաքննությունը </w:t>
      </w:r>
      <w:r w:rsidR="00C54D75">
        <w:rPr>
          <w:rFonts w:ascii="Sylfaen" w:hAnsi="Sylfaen"/>
          <w:sz w:val="24"/>
          <w:szCs w:val="24"/>
        </w:rPr>
        <w:t>և</w:t>
      </w:r>
      <w:r w:rsidRPr="00826F05">
        <w:rPr>
          <w:rFonts w:ascii="Sylfaen" w:hAnsi="Sylfaen"/>
          <w:sz w:val="24"/>
          <w:szCs w:val="24"/>
        </w:rPr>
        <w:t xml:space="preserve"> ներկայացնի ռիսկերի կառավարման պլանի (ՌԿՊ) վերաբերյալ բոլոր հիմնական դիտողությունները մինչ</w:t>
      </w:r>
      <w:r w:rsidR="00C54D75">
        <w:rPr>
          <w:rFonts w:ascii="Sylfaen" w:hAnsi="Sylfaen"/>
          <w:sz w:val="24"/>
          <w:szCs w:val="24"/>
        </w:rPr>
        <w:t>և</w:t>
      </w:r>
      <w:r w:rsidRPr="00826F05">
        <w:rPr>
          <w:rFonts w:ascii="Sylfaen" w:hAnsi="Sylfaen"/>
          <w:sz w:val="24"/>
          <w:szCs w:val="24"/>
        </w:rPr>
        <w:t xml:space="preserve"> լրացուցիչ տեղեկատվության կամ պարզաբանումների </w:t>
      </w:r>
      <w:r w:rsidRPr="00826F05">
        <w:rPr>
          <w:rFonts w:ascii="Sylfaen" w:hAnsi="Sylfaen"/>
          <w:sz w:val="24"/>
          <w:szCs w:val="24"/>
        </w:rPr>
        <w:lastRenderedPageBreak/>
        <w:t xml:space="preserve">համար առաջին հարցումը: Նպատակահարմար է նշել դոսյեի փորձաքննության ընթացքում </w:t>
      </w:r>
      <w:r w:rsidR="00003ABD">
        <w:rPr>
          <w:rFonts w:ascii="Sylfaen" w:hAnsi="Sylfaen"/>
          <w:sz w:val="24"/>
          <w:szCs w:val="24"/>
        </w:rPr>
        <w:t>հայտնաբերված</w:t>
      </w:r>
      <w:r w:rsidRPr="00826F05">
        <w:rPr>
          <w:rFonts w:ascii="Sylfaen" w:hAnsi="Sylfaen"/>
          <w:sz w:val="24"/>
          <w:szCs w:val="24"/>
        </w:rPr>
        <w:t xml:space="preserve"> կոնկրետ դիտողությունները </w:t>
      </w:r>
      <w:r w:rsidR="00C54D75">
        <w:rPr>
          <w:rFonts w:ascii="Sylfaen" w:hAnsi="Sylfaen"/>
          <w:sz w:val="24"/>
          <w:szCs w:val="24"/>
        </w:rPr>
        <w:t>և</w:t>
      </w:r>
      <w:r w:rsidRPr="00826F05">
        <w:rPr>
          <w:rFonts w:ascii="Sylfaen" w:hAnsi="Sylfaen"/>
          <w:sz w:val="24"/>
          <w:szCs w:val="24"/>
        </w:rPr>
        <w:t xml:space="preserve"> կասկածները, որոնք կարող են ազդել ՌԿՊ-ի վրա: Դրանց թվին են դասվում այն դիտողություններն ու կասկածները, որոնք վերաբերում են նախակլինիկական անվտանգության մասով որոշակի տվյալներին, կլինիկական դեղաբանության տվյալներում առկա բացերին, կլինիկական հետազոտության տվյալների մասով անվտանգության հնարավոր ազդանշաններին </w:t>
      </w:r>
      <w:r w:rsidR="00C54D75">
        <w:rPr>
          <w:rFonts w:ascii="Sylfaen" w:hAnsi="Sylfaen"/>
          <w:sz w:val="24"/>
          <w:szCs w:val="24"/>
        </w:rPr>
        <w:t>և</w:t>
      </w:r>
      <w:r w:rsidRPr="00826F05">
        <w:rPr>
          <w:rFonts w:ascii="Sylfaen" w:hAnsi="Sylfaen"/>
          <w:sz w:val="24"/>
          <w:szCs w:val="24"/>
        </w:rPr>
        <w:t xml:space="preserve"> այլն: Այս փուլում հատկապես կար</w:t>
      </w:r>
      <w:r w:rsidR="00C54D75">
        <w:rPr>
          <w:rFonts w:ascii="Sylfaen" w:hAnsi="Sylfaen"/>
          <w:sz w:val="24"/>
          <w:szCs w:val="24"/>
        </w:rPr>
        <w:t>և</w:t>
      </w:r>
      <w:r w:rsidRPr="00826F05">
        <w:rPr>
          <w:rFonts w:ascii="Sylfaen" w:hAnsi="Sylfaen"/>
          <w:sz w:val="24"/>
          <w:szCs w:val="24"/>
        </w:rPr>
        <w:t>որ է</w:t>
      </w:r>
      <w:r w:rsidR="00F82B65">
        <w:rPr>
          <w:rFonts w:ascii="Sylfaen" w:hAnsi="Sylfaen"/>
          <w:sz w:val="24"/>
          <w:szCs w:val="24"/>
        </w:rPr>
        <w:t xml:space="preserve">հայտնաբերել </w:t>
      </w:r>
      <w:r w:rsidRPr="00826F05">
        <w:rPr>
          <w:rFonts w:ascii="Sylfaen" w:hAnsi="Sylfaen"/>
          <w:sz w:val="24"/>
          <w:szCs w:val="24"/>
        </w:rPr>
        <w:t>անվտանգության վերաբերյալ մտավախությունները (կար</w:t>
      </w:r>
      <w:r w:rsidR="00C54D75">
        <w:rPr>
          <w:rFonts w:ascii="Sylfaen" w:hAnsi="Sylfaen"/>
          <w:sz w:val="24"/>
          <w:szCs w:val="24"/>
        </w:rPr>
        <w:t>և</w:t>
      </w:r>
      <w:r w:rsidRPr="00826F05">
        <w:rPr>
          <w:rFonts w:ascii="Sylfaen" w:hAnsi="Sylfaen"/>
          <w:sz w:val="24"/>
          <w:szCs w:val="24"/>
        </w:rPr>
        <w:t>որ նույնականացված ռիսկերը, կար</w:t>
      </w:r>
      <w:r w:rsidR="00C54D75">
        <w:rPr>
          <w:rFonts w:ascii="Sylfaen" w:hAnsi="Sylfaen"/>
          <w:sz w:val="24"/>
          <w:szCs w:val="24"/>
        </w:rPr>
        <w:t>և</w:t>
      </w:r>
      <w:r w:rsidRPr="00826F05">
        <w:rPr>
          <w:rFonts w:ascii="Sylfaen" w:hAnsi="Sylfaen"/>
          <w:sz w:val="24"/>
          <w:szCs w:val="24"/>
        </w:rPr>
        <w:t>որ հնարավոր ռիսկերը, կար</w:t>
      </w:r>
      <w:r w:rsidR="00C54D75">
        <w:rPr>
          <w:rFonts w:ascii="Sylfaen" w:hAnsi="Sylfaen"/>
          <w:sz w:val="24"/>
          <w:szCs w:val="24"/>
        </w:rPr>
        <w:t>և</w:t>
      </w:r>
      <w:r w:rsidRPr="00826F05">
        <w:rPr>
          <w:rFonts w:ascii="Sylfaen" w:hAnsi="Sylfaen"/>
          <w:sz w:val="24"/>
          <w:szCs w:val="24"/>
        </w:rPr>
        <w:t>որ պակասող տեղեկատվությունը): Հատկապես կար</w:t>
      </w:r>
      <w:r w:rsidR="00C54D75">
        <w:rPr>
          <w:rFonts w:ascii="Sylfaen" w:hAnsi="Sylfaen"/>
          <w:sz w:val="24"/>
          <w:szCs w:val="24"/>
        </w:rPr>
        <w:t>և</w:t>
      </w:r>
      <w:r w:rsidRPr="00826F05">
        <w:rPr>
          <w:rFonts w:ascii="Sylfaen" w:hAnsi="Sylfaen"/>
          <w:sz w:val="24"/>
          <w:szCs w:val="24"/>
        </w:rPr>
        <w:t xml:space="preserve">որ է, եթե տվյալ հարցերը </w:t>
      </w:r>
      <w:r w:rsidR="0056496B">
        <w:rPr>
          <w:rFonts w:ascii="Sylfaen" w:hAnsi="Sylfaen"/>
          <w:sz w:val="24"/>
          <w:szCs w:val="24"/>
        </w:rPr>
        <w:t>դիմումատու</w:t>
      </w:r>
      <w:r w:rsidRPr="00826F05">
        <w:rPr>
          <w:rFonts w:ascii="Sylfaen" w:hAnsi="Sylfaen"/>
          <w:sz w:val="24"/>
          <w:szCs w:val="24"/>
        </w:rPr>
        <w:t xml:space="preserve">ի կողմից չեն նշվել դոսյեում </w:t>
      </w:r>
      <w:r w:rsidR="00C54D75">
        <w:rPr>
          <w:rFonts w:ascii="Sylfaen" w:hAnsi="Sylfaen"/>
          <w:sz w:val="24"/>
          <w:szCs w:val="24"/>
        </w:rPr>
        <w:t>և</w:t>
      </w:r>
      <w:r w:rsidRPr="00826F05">
        <w:rPr>
          <w:rFonts w:ascii="Sylfaen" w:hAnsi="Sylfaen"/>
          <w:sz w:val="24"/>
          <w:szCs w:val="24"/>
        </w:rPr>
        <w:t xml:space="preserve"> (կամ) չեն արտացոլվել ՌԿՊ-ում:</w:t>
      </w:r>
    </w:p>
    <w:p w14:paraId="2696338C" w14:textId="77777777" w:rsidR="004F5982" w:rsidRDefault="004F5982" w:rsidP="00487007">
      <w:pPr>
        <w:spacing w:after="160" w:line="360" w:lineRule="auto"/>
        <w:ind w:left="567" w:right="332"/>
        <w:jc w:val="center"/>
        <w:rPr>
          <w:rFonts w:ascii="Sylfaen" w:hAnsi="Sylfaen"/>
          <w:sz w:val="24"/>
          <w:szCs w:val="24"/>
        </w:rPr>
      </w:pPr>
    </w:p>
    <w:p w14:paraId="6B444824"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Այն դիտողությունները </w:t>
      </w:r>
      <w:r w:rsidR="00C54D75">
        <w:rPr>
          <w:rFonts w:ascii="Sylfaen" w:hAnsi="Sylfaen"/>
          <w:sz w:val="24"/>
          <w:szCs w:val="24"/>
        </w:rPr>
        <w:t>և</w:t>
      </w:r>
      <w:r w:rsidRPr="00826F05">
        <w:rPr>
          <w:rFonts w:ascii="Sylfaen" w:hAnsi="Sylfaen"/>
          <w:sz w:val="24"/>
          <w:szCs w:val="24"/>
        </w:rPr>
        <w:t xml:space="preserve"> (կամ) կասկածները, որոնք փորձագետը պետք է հաշվի առնի ՌԿՊ-ի փորձաքննության ժամանակ</w:t>
      </w:r>
    </w:p>
    <w:p w14:paraId="35907574" w14:textId="734F062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Հարկավոր է նշել այն դիտողությունները </w:t>
      </w:r>
      <w:r w:rsidR="00C54D75">
        <w:rPr>
          <w:rFonts w:ascii="Sylfaen" w:hAnsi="Sylfaen"/>
          <w:sz w:val="24"/>
          <w:szCs w:val="24"/>
        </w:rPr>
        <w:t>և</w:t>
      </w:r>
      <w:r w:rsidRPr="00826F05">
        <w:rPr>
          <w:rFonts w:ascii="Sylfaen" w:hAnsi="Sylfaen"/>
          <w:sz w:val="24"/>
          <w:szCs w:val="24"/>
        </w:rPr>
        <w:t xml:space="preserve"> կասկածները, որոնք </w:t>
      </w:r>
      <w:r w:rsidR="00FE4A71">
        <w:rPr>
          <w:rFonts w:ascii="Sylfaen" w:hAnsi="Sylfaen"/>
          <w:sz w:val="24"/>
          <w:szCs w:val="24"/>
        </w:rPr>
        <w:t xml:space="preserve">հայտնաբերվել </w:t>
      </w:r>
      <w:r>
        <w:rPr>
          <w:rFonts w:ascii="Sylfaen" w:hAnsi="Sylfaen"/>
          <w:sz w:val="24"/>
          <w:szCs w:val="24"/>
        </w:rPr>
        <w:t> </w:t>
      </w:r>
      <w:r w:rsidRPr="00826F05">
        <w:rPr>
          <w:rFonts w:ascii="Sylfaen" w:hAnsi="Sylfaen"/>
          <w:sz w:val="24"/>
          <w:szCs w:val="24"/>
        </w:rPr>
        <w:t xml:space="preserve">են դոսյեի ընդհանուր փորձաքննության անցկացման շրջանակներում, </w:t>
      </w:r>
      <w:r w:rsidR="00C54D75">
        <w:rPr>
          <w:rFonts w:ascii="Sylfaen" w:hAnsi="Sylfaen"/>
          <w:sz w:val="24"/>
          <w:szCs w:val="24"/>
        </w:rPr>
        <w:t>և</w:t>
      </w:r>
      <w:r w:rsidRPr="00826F05">
        <w:rPr>
          <w:rFonts w:ascii="Sylfaen" w:hAnsi="Sylfaen"/>
          <w:sz w:val="24"/>
          <w:szCs w:val="24"/>
        </w:rPr>
        <w:t xml:space="preserve"> որոնք պետք</w:t>
      </w:r>
      <w:r>
        <w:rPr>
          <w:rFonts w:ascii="Sylfaen" w:hAnsi="Sylfaen"/>
          <w:sz w:val="24"/>
          <w:szCs w:val="24"/>
        </w:rPr>
        <w:t> </w:t>
      </w:r>
      <w:r w:rsidRPr="00826F05">
        <w:rPr>
          <w:rFonts w:ascii="Sylfaen" w:hAnsi="Sylfaen"/>
          <w:sz w:val="24"/>
          <w:szCs w:val="24"/>
        </w:rPr>
        <w:t xml:space="preserve">է ռիսկերի կառավարման պլանի փորձաքննության ժամանակ քննության ենթարկի դեղազգոնության ոլորտի մասնագետը: </w:t>
      </w:r>
    </w:p>
    <w:p w14:paraId="01F6BE08" w14:textId="77777777" w:rsidR="004F5982" w:rsidRPr="00826F05" w:rsidRDefault="004F5982" w:rsidP="00487007">
      <w:pPr>
        <w:spacing w:after="160" w:line="360" w:lineRule="auto"/>
        <w:jc w:val="both"/>
        <w:rPr>
          <w:rFonts w:ascii="Sylfaen" w:hAnsi="Sylfaen"/>
          <w:sz w:val="24"/>
          <w:szCs w:val="24"/>
        </w:rPr>
      </w:pPr>
    </w:p>
    <w:p w14:paraId="71E4F90B"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4. Փորձագետի դիտողությունների ցանկը</w:t>
      </w:r>
    </w:p>
    <w:p w14:paraId="7833076B" w14:textId="5370300F"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 xml:space="preserve">Կրիտիկական դիտողությունների առկայությունը դեղապատրաստուկի գրանցման </w:t>
      </w:r>
      <w:r w:rsidR="0056496B">
        <w:rPr>
          <w:rFonts w:ascii="Sylfaen" w:hAnsi="Sylfaen"/>
          <w:sz w:val="24"/>
          <w:szCs w:val="24"/>
        </w:rPr>
        <w:t>դիմում</w:t>
      </w:r>
      <w:r w:rsidRPr="00826F05">
        <w:rPr>
          <w:rFonts w:ascii="Sylfaen" w:hAnsi="Sylfaen"/>
          <w:sz w:val="24"/>
          <w:szCs w:val="24"/>
        </w:rPr>
        <w:t xml:space="preserve">ի հաստատման վերաբերյալ առաջարկությունը դարձնում է անհնար: Մեկ կրիտիկական դիտողությունը տեսականորեն կարող է ներառել մեկից ավելի հարցեր. այդ իսկ պատճառով տվյալ դեպքում հարկավոր է օգտագործել պարբերություններ </w:t>
      </w:r>
      <w:r w:rsidR="00C54D75">
        <w:rPr>
          <w:rFonts w:ascii="Sylfaen" w:hAnsi="Sylfaen"/>
          <w:sz w:val="24"/>
          <w:szCs w:val="24"/>
        </w:rPr>
        <w:t>և</w:t>
      </w:r>
      <w:r w:rsidRPr="00826F05">
        <w:rPr>
          <w:rFonts w:ascii="Sylfaen" w:hAnsi="Sylfaen"/>
          <w:sz w:val="24"/>
          <w:szCs w:val="24"/>
        </w:rPr>
        <w:t xml:space="preserve"> ենթավերնագրեր: Կար</w:t>
      </w:r>
      <w:r w:rsidR="00C54D75">
        <w:rPr>
          <w:rFonts w:ascii="Sylfaen" w:hAnsi="Sylfaen"/>
          <w:sz w:val="24"/>
          <w:szCs w:val="24"/>
        </w:rPr>
        <w:t>և</w:t>
      </w:r>
      <w:r w:rsidRPr="00826F05">
        <w:rPr>
          <w:rFonts w:ascii="Sylfaen" w:hAnsi="Sylfaen"/>
          <w:sz w:val="24"/>
          <w:szCs w:val="24"/>
        </w:rPr>
        <w:t xml:space="preserve">որ է, որ կրիտիկական դիտողությունը </w:t>
      </w:r>
      <w:r w:rsidRPr="00826F05">
        <w:rPr>
          <w:rFonts w:ascii="Sylfaen" w:hAnsi="Sylfaen"/>
          <w:sz w:val="24"/>
          <w:szCs w:val="24"/>
        </w:rPr>
        <w:lastRenderedPageBreak/>
        <w:t xml:space="preserve">լինի հասկանալի </w:t>
      </w:r>
      <w:r w:rsidR="00C54D75">
        <w:rPr>
          <w:rFonts w:ascii="Sylfaen" w:hAnsi="Sylfaen"/>
          <w:sz w:val="24"/>
          <w:szCs w:val="24"/>
        </w:rPr>
        <w:t>և</w:t>
      </w:r>
      <w:r w:rsidRPr="00826F05">
        <w:rPr>
          <w:rFonts w:ascii="Sylfaen" w:hAnsi="Sylfaen"/>
          <w:sz w:val="24"/>
          <w:szCs w:val="24"/>
        </w:rPr>
        <w:t xml:space="preserve"> հստակ շարադրված: Դրա համար կարող են պահանջվել մանրամասն մեկնաբանություններ՝ համապատասխան նորմատիվ իրավական ակտերին </w:t>
      </w:r>
      <w:r w:rsidR="00C54D75">
        <w:rPr>
          <w:rFonts w:ascii="Sylfaen" w:hAnsi="Sylfaen"/>
          <w:sz w:val="24"/>
          <w:szCs w:val="24"/>
        </w:rPr>
        <w:t>և</w:t>
      </w:r>
      <w:r w:rsidRPr="00826F05">
        <w:rPr>
          <w:rFonts w:ascii="Sylfaen" w:hAnsi="Sylfaen"/>
          <w:sz w:val="24"/>
          <w:szCs w:val="24"/>
        </w:rPr>
        <w:t xml:space="preserve"> առաջարկություններին (ձեռնարկներին) արված հղումներով:</w:t>
      </w:r>
    </w:p>
    <w:p w14:paraId="58B07E58" w14:textId="10FD6A4A"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Լավագույն դեպքում դիտողությունը պետք է ներառի </w:t>
      </w:r>
      <w:r w:rsidR="0056496B">
        <w:rPr>
          <w:rFonts w:ascii="Sylfaen" w:hAnsi="Sylfaen"/>
          <w:sz w:val="24"/>
          <w:szCs w:val="24"/>
        </w:rPr>
        <w:t>դիմումատու</w:t>
      </w:r>
      <w:r w:rsidRPr="00826F05">
        <w:rPr>
          <w:rFonts w:ascii="Sylfaen" w:hAnsi="Sylfaen"/>
          <w:sz w:val="24"/>
          <w:szCs w:val="24"/>
        </w:rPr>
        <w:t>ից ակնկալվող պատասխանի կամ միջոցների վերաբերյալ պարզաբանումներ:</w:t>
      </w:r>
    </w:p>
    <w:p w14:paraId="05EBD428" w14:textId="348719A4"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«Այլ դիտողություններ» կարող են ազդել գրանցման հավաստագիր ստանալու համար առաջարկվող պայմանների </w:t>
      </w:r>
      <w:r w:rsidR="00C54D75">
        <w:rPr>
          <w:rFonts w:ascii="Sylfaen" w:hAnsi="Sylfaen"/>
          <w:sz w:val="24"/>
          <w:szCs w:val="24"/>
        </w:rPr>
        <w:t>և</w:t>
      </w:r>
      <w:r w:rsidRPr="00826F05">
        <w:rPr>
          <w:rFonts w:ascii="Sylfaen" w:hAnsi="Sylfaen"/>
          <w:sz w:val="24"/>
          <w:szCs w:val="24"/>
        </w:rPr>
        <w:t xml:space="preserve"> դեղապատրաստուկի մասին տեղեկատվության բովանդակության վրա: Այս խնդրահարույց հարցերը պետք է լուծվեն </w:t>
      </w:r>
      <w:r w:rsidR="0056496B">
        <w:rPr>
          <w:rFonts w:ascii="Sylfaen" w:hAnsi="Sylfaen"/>
          <w:sz w:val="24"/>
          <w:szCs w:val="24"/>
        </w:rPr>
        <w:t>դիմում</w:t>
      </w:r>
      <w:r w:rsidRPr="00826F05">
        <w:rPr>
          <w:rFonts w:ascii="Sylfaen" w:hAnsi="Sylfaen"/>
          <w:sz w:val="24"/>
          <w:szCs w:val="24"/>
        </w:rPr>
        <w:t xml:space="preserve">ը հաստատելուցուց առաջ, հակառակ դեպքում </w:t>
      </w:r>
      <w:r w:rsidR="0056496B">
        <w:rPr>
          <w:rFonts w:ascii="Sylfaen" w:hAnsi="Sylfaen"/>
          <w:sz w:val="24"/>
          <w:szCs w:val="24"/>
        </w:rPr>
        <w:t>դիմում</w:t>
      </w:r>
      <w:r w:rsidRPr="00826F05">
        <w:rPr>
          <w:rFonts w:ascii="Sylfaen" w:hAnsi="Sylfaen"/>
          <w:sz w:val="24"/>
          <w:szCs w:val="24"/>
        </w:rPr>
        <w:t>ը կարող է մերժվել:</w:t>
      </w:r>
    </w:p>
    <w:p w14:paraId="4336C25F"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Դիտողությունների տվյալ ցանկն անհրաժեշտ է պատճենել փորձագիտական հաշվետվության «Ընդհանուր նկարագրություն» բաժնում:</w:t>
      </w:r>
    </w:p>
    <w:p w14:paraId="26CB8710" w14:textId="77777777" w:rsidR="004F5982" w:rsidRDefault="004F5982" w:rsidP="00487007">
      <w:pPr>
        <w:spacing w:after="160" w:line="360" w:lineRule="auto"/>
        <w:ind w:left="567" w:right="332"/>
        <w:jc w:val="center"/>
        <w:rPr>
          <w:rFonts w:ascii="Sylfaen" w:hAnsi="Sylfaen"/>
          <w:sz w:val="24"/>
          <w:szCs w:val="24"/>
        </w:rPr>
      </w:pPr>
    </w:p>
    <w:p w14:paraId="69092E67" w14:textId="7DBEC50F"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5. Փորձագետի կողմից առաջարկվող պայմանները, որոնց կատարումը </w:t>
      </w:r>
      <w:r w:rsidR="0056496B">
        <w:rPr>
          <w:rFonts w:ascii="Sylfaen" w:hAnsi="Sylfaen"/>
          <w:sz w:val="24"/>
          <w:szCs w:val="24"/>
        </w:rPr>
        <w:t>դիմումատու</w:t>
      </w:r>
      <w:r w:rsidRPr="00826F05">
        <w:rPr>
          <w:rFonts w:ascii="Sylfaen" w:hAnsi="Sylfaen"/>
          <w:sz w:val="24"/>
          <w:szCs w:val="24"/>
        </w:rPr>
        <w:t xml:space="preserve">ի կողմից անհրաժեշտ է գրանցման հավաստագիրը ստանալուց </w:t>
      </w:r>
      <w:r w:rsidR="00C54D75">
        <w:rPr>
          <w:rFonts w:ascii="Sylfaen" w:hAnsi="Sylfaen"/>
          <w:sz w:val="24"/>
          <w:szCs w:val="24"/>
        </w:rPr>
        <w:t>և</w:t>
      </w:r>
      <w:r w:rsidRPr="00826F05">
        <w:rPr>
          <w:rFonts w:ascii="Sylfaen" w:hAnsi="Sylfaen"/>
          <w:sz w:val="24"/>
          <w:szCs w:val="24"/>
        </w:rPr>
        <w:t xml:space="preserve"> դեղապատրաստուկի ընդհանուր բնութագիրը, բժշկական կիրառման հրահանգը (ներդիր թերթիկը) </w:t>
      </w:r>
      <w:r w:rsidR="00C54D75">
        <w:rPr>
          <w:rFonts w:ascii="Sylfaen" w:hAnsi="Sylfaen"/>
          <w:sz w:val="24"/>
          <w:szCs w:val="24"/>
        </w:rPr>
        <w:t>և</w:t>
      </w:r>
      <w:r w:rsidRPr="00826F05">
        <w:rPr>
          <w:rFonts w:ascii="Sylfaen" w:hAnsi="Sylfaen"/>
          <w:sz w:val="24"/>
          <w:szCs w:val="24"/>
        </w:rPr>
        <w:t xml:space="preserve"> դեղապատրաստուկի փաթեթվածքի դիզայնը հաստատելուց հետո:</w:t>
      </w:r>
    </w:p>
    <w:p w14:paraId="20460B19" w14:textId="77777777" w:rsidR="004F5982" w:rsidRPr="00826F05" w:rsidRDefault="004F5982" w:rsidP="00487007">
      <w:pPr>
        <w:spacing w:after="160" w:line="360" w:lineRule="auto"/>
        <w:ind w:right="332" w:firstLine="567"/>
        <w:jc w:val="center"/>
        <w:rPr>
          <w:rFonts w:ascii="Sylfaen" w:hAnsi="Sylfaen"/>
          <w:sz w:val="24"/>
          <w:szCs w:val="24"/>
        </w:rPr>
      </w:pPr>
    </w:p>
    <w:p w14:paraId="3A248437" w14:textId="77777777" w:rsidR="004F5982" w:rsidRDefault="004F5982" w:rsidP="00487007">
      <w:pPr>
        <w:pBdr>
          <w:bottom w:val="single" w:sz="6" w:space="1" w:color="auto"/>
        </w:pBdr>
        <w:spacing w:after="160" w:line="360" w:lineRule="auto"/>
        <w:ind w:left="567" w:right="332"/>
        <w:jc w:val="center"/>
        <w:rPr>
          <w:rFonts w:ascii="Sylfaen" w:hAnsi="Sylfaen"/>
          <w:sz w:val="24"/>
          <w:szCs w:val="24"/>
        </w:rPr>
      </w:pPr>
      <w:r w:rsidRPr="00826F05">
        <w:rPr>
          <w:rFonts w:ascii="Sylfaen" w:hAnsi="Sylfaen"/>
          <w:sz w:val="24"/>
          <w:szCs w:val="24"/>
        </w:rPr>
        <w:t>6. Գրականության ցանկը</w:t>
      </w:r>
    </w:p>
    <w:p w14:paraId="58C2C7F0" w14:textId="77777777" w:rsidR="00852B2A" w:rsidRDefault="00852B2A" w:rsidP="00BD67EC">
      <w:pPr>
        <w:spacing w:after="160" w:line="360" w:lineRule="auto"/>
        <w:ind w:left="5103"/>
        <w:jc w:val="center"/>
        <w:rPr>
          <w:rFonts w:ascii="Sylfaen" w:hAnsi="Sylfaen"/>
          <w:sz w:val="24"/>
          <w:szCs w:val="24"/>
        </w:rPr>
      </w:pPr>
    </w:p>
    <w:p w14:paraId="3512E2E7" w14:textId="77777777" w:rsidR="00852B2A" w:rsidRDefault="00852B2A" w:rsidP="00BD67EC">
      <w:pPr>
        <w:spacing w:after="160" w:line="360" w:lineRule="auto"/>
        <w:ind w:left="5103"/>
        <w:jc w:val="center"/>
        <w:rPr>
          <w:rFonts w:ascii="Sylfaen" w:hAnsi="Sylfaen"/>
          <w:sz w:val="24"/>
          <w:szCs w:val="24"/>
        </w:rPr>
      </w:pPr>
    </w:p>
    <w:p w14:paraId="3DE87D61" w14:textId="77777777" w:rsidR="00852B2A" w:rsidRDefault="00852B2A" w:rsidP="00BD67EC">
      <w:pPr>
        <w:spacing w:after="160" w:line="360" w:lineRule="auto"/>
        <w:ind w:left="5103"/>
        <w:jc w:val="center"/>
        <w:rPr>
          <w:rFonts w:ascii="Sylfaen" w:hAnsi="Sylfaen"/>
          <w:sz w:val="24"/>
          <w:szCs w:val="24"/>
        </w:rPr>
      </w:pPr>
    </w:p>
    <w:p w14:paraId="05F57F0C" w14:textId="77777777" w:rsidR="00852B2A" w:rsidRDefault="00852B2A" w:rsidP="00BD67EC">
      <w:pPr>
        <w:spacing w:after="160" w:line="360" w:lineRule="auto"/>
        <w:ind w:left="5103"/>
        <w:jc w:val="center"/>
        <w:rPr>
          <w:rFonts w:ascii="Sylfaen" w:hAnsi="Sylfaen"/>
          <w:sz w:val="24"/>
          <w:szCs w:val="24"/>
        </w:rPr>
      </w:pPr>
    </w:p>
    <w:p w14:paraId="672862AD" w14:textId="1B1EC197" w:rsidR="00BD67EC" w:rsidRPr="00B96C43" w:rsidRDefault="00BD67EC" w:rsidP="00BD67EC">
      <w:pPr>
        <w:spacing w:after="160" w:line="360" w:lineRule="auto"/>
        <w:ind w:left="5103"/>
        <w:jc w:val="center"/>
        <w:rPr>
          <w:rFonts w:ascii="Sylfaen" w:hAnsi="Sylfaen"/>
          <w:sz w:val="24"/>
          <w:szCs w:val="24"/>
        </w:rPr>
      </w:pPr>
      <w:r w:rsidRPr="00B96C43">
        <w:rPr>
          <w:rFonts w:ascii="Sylfaen" w:hAnsi="Sylfaen"/>
          <w:sz w:val="24"/>
          <w:szCs w:val="24"/>
        </w:rPr>
        <w:lastRenderedPageBreak/>
        <w:t>ՀԱՎԵԼՎԱԾ ԹԻՎ 24</w:t>
      </w:r>
    </w:p>
    <w:p w14:paraId="135E6E07" w14:textId="77777777" w:rsidR="00BD67EC" w:rsidRPr="00B96C43" w:rsidRDefault="00BD67EC" w:rsidP="00BD67EC">
      <w:pPr>
        <w:spacing w:after="160" w:line="360" w:lineRule="auto"/>
        <w:ind w:left="5103"/>
        <w:jc w:val="center"/>
        <w:rPr>
          <w:rFonts w:ascii="Sylfaen" w:hAnsi="Sylfaen"/>
          <w:sz w:val="24"/>
          <w:szCs w:val="24"/>
        </w:rPr>
      </w:pPr>
      <w:r w:rsidRPr="00B96C43">
        <w:rPr>
          <w:rFonts w:ascii="Sylfaen" w:hAnsi="Sylfaen"/>
          <w:sz w:val="24"/>
          <w:szCs w:val="24"/>
        </w:rPr>
        <w:t>բժշկական կիրառության դեղամիջոցների գրանցման եւ փորձաքննության կանոնների</w:t>
      </w:r>
    </w:p>
    <w:p w14:paraId="28AFBA97" w14:textId="77777777" w:rsidR="00BD67EC" w:rsidRPr="00B96C43" w:rsidRDefault="00BD67EC" w:rsidP="00BD67EC">
      <w:pPr>
        <w:pStyle w:val="Bodytext30"/>
        <w:shd w:val="clear" w:color="auto" w:fill="auto"/>
        <w:spacing w:after="160" w:line="360" w:lineRule="auto"/>
        <w:rPr>
          <w:rStyle w:val="Bodytext3Spacing3pt"/>
          <w:rFonts w:ascii="Sylfaen" w:hAnsi="Sylfaen"/>
          <w:b/>
          <w:bCs/>
          <w:sz w:val="24"/>
          <w:szCs w:val="24"/>
        </w:rPr>
      </w:pPr>
    </w:p>
    <w:p w14:paraId="78960799" w14:textId="77777777" w:rsidR="00BD67EC" w:rsidRPr="00BD67EC" w:rsidRDefault="00BD67EC" w:rsidP="00BD67EC">
      <w:pPr>
        <w:pStyle w:val="Bodytext30"/>
        <w:shd w:val="clear" w:color="auto" w:fill="auto"/>
        <w:spacing w:after="160" w:line="360" w:lineRule="auto"/>
        <w:rPr>
          <w:rFonts w:ascii="Sylfaen" w:hAnsi="Sylfaen"/>
          <w:sz w:val="24"/>
          <w:szCs w:val="24"/>
          <w:lang w:val="hy-AM"/>
        </w:rPr>
      </w:pPr>
      <w:r w:rsidRPr="00B96C43">
        <w:rPr>
          <w:rStyle w:val="Bodytext3Spacing3pt"/>
          <w:rFonts w:ascii="Sylfaen" w:hAnsi="Sylfaen"/>
          <w:sz w:val="24"/>
          <w:szCs w:val="24"/>
        </w:rPr>
        <w:t>ՊԱՀԱՆՋՆԵՐ</w:t>
      </w:r>
    </w:p>
    <w:p w14:paraId="2EAE6322" w14:textId="77777777" w:rsidR="00BD67EC" w:rsidRPr="00BD67EC" w:rsidRDefault="00BD67EC" w:rsidP="00BD67EC">
      <w:pPr>
        <w:pStyle w:val="Bodytext30"/>
        <w:shd w:val="clear" w:color="auto" w:fill="auto"/>
        <w:spacing w:after="160" w:line="360" w:lineRule="auto"/>
        <w:rPr>
          <w:rFonts w:ascii="Sylfaen" w:hAnsi="Sylfaen"/>
          <w:sz w:val="24"/>
          <w:szCs w:val="24"/>
          <w:lang w:val="hy-AM"/>
        </w:rPr>
      </w:pPr>
      <w:r w:rsidRPr="00BD67EC">
        <w:rPr>
          <w:rFonts w:ascii="Sylfaen" w:hAnsi="Sylfaen"/>
          <w:sz w:val="24"/>
          <w:szCs w:val="24"/>
          <w:lang w:val="hy-AM"/>
        </w:rPr>
        <w:t xml:space="preserve">գրիպի կանխարգելման համար նախատեսված պատվաստանյութերի շտամային բաղադրության փոփոխման դեպքում սեզոնային, համավարակային եւ նախահամավարակային (զոոնոզ) պատվաստանյութերի գրանցման դոսյեում փոփոխություններ կատարելու ընթացակարգին, ինչպես նաեւ </w:t>
      </w:r>
      <w:r w:rsidRPr="00BD67EC">
        <w:rPr>
          <w:rFonts w:ascii="Sylfaen" w:hAnsi="Sylfaen"/>
          <w:sz w:val="24"/>
          <w:szCs w:val="24"/>
          <w:lang w:val="hy-AM"/>
        </w:rPr>
        <w:br/>
        <w:t>գրիպի կանխարգելման համար նախատեսված սեզոնային, համավարակային եւ նախահամավարակային (զոոնոզ) պատվաստանյութերի գրանցմանը ներկայացվող</w:t>
      </w:r>
    </w:p>
    <w:p w14:paraId="731DCE37" w14:textId="77777777" w:rsidR="00BD67EC" w:rsidRPr="00B96C43" w:rsidRDefault="00BD67EC" w:rsidP="00BD67EC">
      <w:pPr>
        <w:spacing w:after="160" w:line="360" w:lineRule="auto"/>
        <w:jc w:val="center"/>
        <w:rPr>
          <w:rFonts w:ascii="Sylfaen" w:hAnsi="Sylfaen"/>
          <w:sz w:val="24"/>
          <w:szCs w:val="24"/>
        </w:rPr>
      </w:pPr>
    </w:p>
    <w:p w14:paraId="597CFD07"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 Ընդհանուր դրույթներ</w:t>
      </w:r>
    </w:p>
    <w:p w14:paraId="2B03E8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Սույն պահանջները տարածվում են գրիպի կանխարգելման համար նախատեսված պատվաստանյութերի գրանցման ընթացակարգերի վրա եւ սահմանում են արագացված ընթացակարգով գրիպի կանխարգելման համար նախատեսված պատվաստանյութերի շտամային բաղադրության փոփոխման (թարմացման) դեպքում սեզոնային, համավարակային եւ նախահամավարակային (զոոնոզ) պատվաստանյութերի գրանցման դոսյեում փոփոխություններ կատարելու, ինչպես նաեւ Եվրասիական տնտեսական միության (այսուհետ՝ Միություն) մաքսային տարածքում գրիպի կանխարգելման համար նախատեսված սեզոնային, համավարակային եւ նախահամավարակային (զոոնոզ) պատվաստանյութերը գրանցելու միասնական կարգը։</w:t>
      </w:r>
    </w:p>
    <w:p w14:paraId="5009084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Սույն պահանջներն անքակտելիորեն կապված են Եվրասիական տնտեսական </w:t>
      </w:r>
      <w:r w:rsidRPr="00B96C43">
        <w:rPr>
          <w:rFonts w:ascii="Sylfaen" w:hAnsi="Sylfaen"/>
          <w:sz w:val="24"/>
          <w:szCs w:val="24"/>
        </w:rPr>
        <w:lastRenderedPageBreak/>
        <w:t>հանձնաժողովի խորհրդի 2016 թվականի նոյեմբերի 3-ի թիվ 89 որոշմամբ հաստատված՝ Եվրասիական տնտեսական միության կենսաբանական դեղամիջոցների հետազոտությունների անցկացման կանոնների հետ։</w:t>
      </w:r>
    </w:p>
    <w:p w14:paraId="05905DA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Սույն պահանջները չեն տարածվում գրիպի կանխարգելման համար նախատեսված սեզոնային, համավարակային եւ հակահամավարակային (զոոնոզ) պատվաստանյութերի շտամային բաղադրության փոփոխման (թարմացման) հետ կապ չունեցող փոփոխությունների վրա։ </w:t>
      </w:r>
    </w:p>
    <w:p w14:paraId="0E655D75" w14:textId="77777777" w:rsidR="00BD67EC" w:rsidRPr="00B96C43" w:rsidRDefault="00BD67EC" w:rsidP="00BD67EC">
      <w:pPr>
        <w:spacing w:after="160" w:line="360" w:lineRule="auto"/>
        <w:jc w:val="both"/>
      </w:pPr>
    </w:p>
    <w:p w14:paraId="61BF152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II. Սահմանումները</w:t>
      </w:r>
    </w:p>
    <w:p w14:paraId="7A9BC6E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Սույն պահանջների նպատակներով օգտագործվում են հասկացություններ, որոնք ունեն հետեւյալ իմաստը՝</w:t>
      </w:r>
    </w:p>
    <w:p w14:paraId="452B1D5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«համավարակի պատրաստվածության պատվաստանյութ»՝ գրիպի կանխարգելման համար նախատեսված թեկնածուական պատվաստանյութ (կամ պատվաստանյութի պատրաստման տեխնոլոգիա), որը մշակվում է գրիպի վիրուսի համավարակային շտամներով պայմանավորված գրիպի առաջացման դեպքում բնակչության իմունացման նպատակով.</w:t>
      </w:r>
    </w:p>
    <w:p w14:paraId="2211186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«համավարակային պատվաստանյութ»՝ գրիպի կանխարգելման համար նախատեսված պատվաստանյութ, որը նախատեսված է գրիպի վիրուսի համավարակային շտամներով պայմանավորված գրիպի առաջացման դեպքում բնակչության իմունացման համար.</w:t>
      </w:r>
    </w:p>
    <w:p w14:paraId="04E0F43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«նախահամավարակային (զոոնոզ) պատվաստանյութ»՝ գրիպի կանխարգելման համար նախատեսված պատվաստանյութ, որը նախատեսված է գրիպի վիրուսի զոոնոզ շտամներով պայմանավորվող գրիպի բռնկումների առաջացման դեպքում բնակչության իմունացման համար.</w:t>
      </w:r>
    </w:p>
    <w:p w14:paraId="4504C30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«սեզոնային պատվաստանյութ»՝ գրիպի վիրուսի համաճարակային շտամներով </w:t>
      </w:r>
      <w:r w:rsidRPr="00B96C43">
        <w:rPr>
          <w:rFonts w:ascii="Sylfaen" w:hAnsi="Sylfaen"/>
          <w:sz w:val="24"/>
          <w:szCs w:val="24"/>
        </w:rPr>
        <w:lastRenderedPageBreak/>
        <w:t>պայմանավորվող գրիպի կանխարգելման համար նախատեսված պատվաստանյութ, որը նախատեսված է բնակչության ամենամյա իմունացման համար.</w:t>
      </w:r>
    </w:p>
    <w:p w14:paraId="62BBE65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կամ ճանաչման պետությունների լիազորված մարմին (փորձագիտական կազմակերպություն)»՝ Միության անդամ պետության՝ դեղամիջոցների շրջանառության ոլորտում լիազորված մարմին, այդ թվում՝ բժշկական կիրառության դեղամիջոցների գրանցում, գրանցման հաստատում (</w:t>
      </w:r>
      <w:r w:rsidRPr="00B96C43">
        <w:rPr>
          <w:rFonts w:ascii="Sylfaen" w:hAnsi="Sylfaen"/>
          <w:spacing w:val="-4"/>
          <w:sz w:val="24"/>
          <w:szCs w:val="24"/>
        </w:rPr>
        <w:t>վերագրանցում), գրանցման դոսյեում փոփոխությունների կատարում եւ Եվրասիական տնտեսական հանձնաժողովի խորհրդի 2016 թվականի նոյեմբերի</w:t>
      </w:r>
      <w:r w:rsidRPr="00B96C43">
        <w:rPr>
          <w:rFonts w:ascii="Sylfaen" w:hAnsi="Sylfaen"/>
          <w:sz w:val="24"/>
          <w:szCs w:val="24"/>
        </w:rPr>
        <w:t xml:space="preserve"> 3-ի թիվ 78 որոշմամբ հաստատված՝ բժշկական կիրառության դեղամիջոցների գրանցման եւ փորձաքննության կանոններով (այսուհետ՝ Կանոններ) նախատեսված՝ բժշկական կիրառության դեղամիջոցների գրանցման հետ կապված այլ ընթացակարգեր իրականացնելու համար լիազորված մարմին։</w:t>
      </w:r>
    </w:p>
    <w:p w14:paraId="5D7FC9C1" w14:textId="77777777" w:rsidR="00BD67EC" w:rsidRPr="00B96C43" w:rsidRDefault="00BD67EC" w:rsidP="00BD67EC">
      <w:pPr>
        <w:spacing w:after="160" w:line="360" w:lineRule="auto"/>
        <w:rPr>
          <w:rFonts w:ascii="Sylfaen" w:hAnsi="Sylfaen"/>
          <w:sz w:val="24"/>
          <w:szCs w:val="24"/>
        </w:rPr>
      </w:pPr>
    </w:p>
    <w:p w14:paraId="0A6BD585"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III. Գրիպի կանխարգելման համար նախատեսված պատվաստանյութերի գրանցմանը եւ դրանց շտամային բաղադրության մեջ փոփոխությունների կատարմանը ներկայացվող՝ կարգավորող ու ընթացակարգային պահանջները</w:t>
      </w:r>
    </w:p>
    <w:p w14:paraId="65EB1213" w14:textId="77777777" w:rsidR="00BD67EC" w:rsidRPr="00B96C43" w:rsidRDefault="00BD67EC" w:rsidP="00BD67EC">
      <w:pPr>
        <w:spacing w:after="160" w:line="360" w:lineRule="auto"/>
        <w:jc w:val="center"/>
      </w:pPr>
    </w:p>
    <w:p w14:paraId="06215D0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1. Գրիպի կանխարգելման համար նախատեսված </w:t>
      </w:r>
      <w:r w:rsidRPr="00B96C43">
        <w:rPr>
          <w:rFonts w:ascii="Sylfaen" w:hAnsi="Sylfaen"/>
          <w:sz w:val="24"/>
          <w:szCs w:val="24"/>
        </w:rPr>
        <w:br/>
        <w:t>սեզոնային պատվաստանյութեր</w:t>
      </w:r>
    </w:p>
    <w:p w14:paraId="48FAFEF5" w14:textId="77777777" w:rsidR="00BD67EC" w:rsidRPr="00B96C43" w:rsidRDefault="00BD67EC" w:rsidP="00BD67EC">
      <w:pPr>
        <w:spacing w:after="160" w:line="360" w:lineRule="auto"/>
        <w:jc w:val="center"/>
      </w:pPr>
    </w:p>
    <w:p w14:paraId="6013CAED"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1.1. Գրիպի կանխարգելման համար նախատեսված պատվաստանյութի </w:t>
      </w:r>
      <w:r w:rsidRPr="00B96C43">
        <w:rPr>
          <w:rFonts w:ascii="Sylfaen" w:hAnsi="Sylfaen"/>
          <w:sz w:val="24"/>
          <w:szCs w:val="24"/>
        </w:rPr>
        <w:br/>
        <w:t>գրանցման վերաբերյալ դիմումին ներկայացվող պահանջները</w:t>
      </w:r>
    </w:p>
    <w:p w14:paraId="7071EFD9" w14:textId="43F6FB9B" w:rsidR="00BD67EC" w:rsidRPr="00852B2A" w:rsidRDefault="00BD67EC" w:rsidP="00852B2A">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նոր սեզոնային պատվաստանյութի գրանցման վերաբերյալ դիմումին կից պետք է ներկայացվի փաստաթղթերի լրակազմ փաթեթ՝ Կանոնների թիվ 1 հավելվածի համաձայն։</w:t>
      </w:r>
    </w:p>
    <w:p w14:paraId="5E0B5DB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1.2. Գրիպի կանխարգելման համար նախատեսված՝ </w:t>
      </w:r>
      <w:r w:rsidRPr="00B96C43">
        <w:rPr>
          <w:rFonts w:ascii="Sylfaen" w:hAnsi="Sylfaen"/>
          <w:sz w:val="24"/>
          <w:szCs w:val="24"/>
        </w:rPr>
        <w:br/>
        <w:t>սեզոնային պատվաստանյութերի շտամային բաղադրության փոփոխման վերաբերյալ դիմումին ներկայացվող պահանջները</w:t>
      </w:r>
    </w:p>
    <w:p w14:paraId="7517992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Դիմումատուն իրավունք ունի ներկայացնելու գրիպի կանխարգելման համար նախատեսված՝ սեզոնային պատվաստանյութի շտամային բաղադրության մեջ փոփոխություններ կատարելու վերաբերյալ դիմում՝ Առողջապահության համաշխարհային կազմակերպության (ԱՀԿ)՝ գրիպի դեմ պատվաստման վերաբերյալ ամենամյա ուղեցույցների հրապարակմանը հաջորդող այդ դիմումների ընդունումն սկսելու մասին Միության անդամ պետության (այսուհետ՝ անդամ պետություն) լիազորված մարմնի (փորձագիտական կազմակերպության) պաշտոնական ծանուցումից հետո եւ մինչեւ ռեֆերենտ պետության լիազորված մարմնի (փորձագիտական կազմակերպության) կողմից սահմանվող վերջնաժամկետի ավարտը։ Դիմում ներկայացնելիս անհրաժեշտ է պահպանել Կանոնների թիվ 2, 19 եւ 20 հավելվածների դրույթները։</w:t>
      </w:r>
    </w:p>
    <w:p w14:paraId="255CA08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Դեղապատրաստուկի գրանցման դոսյեում փոփոխություններ կատարելու վերաբերյալ դիմումի III ձեւի (Կանոնների թիվ 2 հավելված) «Կատարվող փոփոխությունները» 2-րդ կետում նշված աղյուսակի «Փոփոխության անվանումը» սյունակում անհրաժեշտ է նշել՝ «Գրիպի կանխարգելման համար նախատեսված պատվաստանյութի շտամի (շտամների) ամենամյա թարմացում»։ Դիմումը պետք է ներկայացնել Բ.I.ա.5 II տեսակի փոփոխության ընթացակարգով (Կանոնների թիվ 19 հավելվածին համապատասխան)։ </w:t>
      </w:r>
    </w:p>
    <w:p w14:paraId="6D86353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պատվաստանյութի շտամի (շտամների) ամենամյա թարմացման նպատակով՝ Կանոնների թիվ 19 հավելվածի 2.3-րդ եւ 3.3-րդ ենթաբաժիններով նախատեսված դրույթներից բացառության կարգով կիրառվում է ակտիվ դեղագործական բաղադրամասի փոփոխություններին առնչվող փոփոխությունների փորձաքննության՝ ստորեւ նկարագրված ընթացակարգը։</w:t>
      </w:r>
    </w:p>
    <w:p w14:paraId="50B4CD08" w14:textId="77777777" w:rsidR="00BD67EC" w:rsidRPr="00B96C43" w:rsidRDefault="00BD67EC" w:rsidP="00BD67EC">
      <w:pPr>
        <w:spacing w:after="160" w:line="360" w:lineRule="auto"/>
        <w:ind w:firstLine="567"/>
        <w:rPr>
          <w:rFonts w:ascii="Sylfaen" w:hAnsi="Sylfaen"/>
          <w:sz w:val="24"/>
          <w:szCs w:val="24"/>
        </w:rPr>
      </w:pPr>
    </w:p>
    <w:p w14:paraId="432A998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Տվյալ ընթացակարգի շրջանակներում դիմումատուին չի թույլատրվում որեւէ փոփոխություններ կատարել, իսկ ռեֆերենտ պետության եւ ճանաչման պետությունների լիազորված մարմիններին (փորձագիտական կազմակերպություններին)՝ պահանջել գրիպի կանխարգելման համար նախատեսված պատվաստանյութի գրանցման դոսյեի կազմում որեւէ փոփոխության կատարում՝ բացառությամբ շտամային բաղադրության փոփոխմամբ պայմանավորված փոփոխությունների։ Փոփոխությունները, որոնք պայմանավորված չեն նոր շտամների առաջացմամբ, կատարվում են Կանոնների թիվ 19 հավելվածի II ու III բաժիններին եւ թիվ 20 հավելվածին համապատասխան։</w:t>
      </w:r>
    </w:p>
    <w:p w14:paraId="54509FE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Նախքան պատվաստանյութի շտամային բաղադրության փոփոխման վերաբերյալ դիմում ներկայացնելը՝ դիմումատուն իրավունք ունի նախապես դիմելու ռեֆերենտ պետության լիազորված մարմին (փորձագիտական կազմակերպություն)՝ կատարվող փոփոխությունների փորձաքննության ընթացակարգի պլանավորման համար գիտական եւ նախագրանցումային խորհրդակցություններ անցկացնելու վերաբերյալ հարցմամբ, այդ թվում՝ այդպիսի ընթացակարգով նախատեսված ժամկետներից հնարավոր շեղումների դեպքում։</w:t>
      </w:r>
    </w:p>
    <w:p w14:paraId="3413C5FA" w14:textId="77777777" w:rsidR="00BD67EC" w:rsidRPr="00B96C43" w:rsidRDefault="00BD67EC" w:rsidP="00BD67EC">
      <w:pPr>
        <w:spacing w:after="160" w:line="360" w:lineRule="auto"/>
        <w:rPr>
          <w:rFonts w:ascii="Sylfaen" w:hAnsi="Sylfaen"/>
          <w:sz w:val="24"/>
          <w:szCs w:val="24"/>
        </w:rPr>
      </w:pPr>
    </w:p>
    <w:p w14:paraId="759EC5D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1.3. Գրիպի կանխարգելման համար նախատեսված սեզոնային պատվաստանյութերի բաղադրության մեջ օգտագործման համար գրիպի վիրուսի՝ համաճարակային առումով արդիական շտամների ընտրությունը</w:t>
      </w:r>
    </w:p>
    <w:p w14:paraId="6719720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4"/>
          <w:sz w:val="24"/>
          <w:szCs w:val="24"/>
        </w:rPr>
        <w:t>Առաջիկա համաճարակային սեզոնին նախապատրաստվելիս թույլատրվում</w:t>
      </w:r>
      <w:r w:rsidRPr="00B96C43">
        <w:rPr>
          <w:rFonts w:ascii="Sylfaen" w:hAnsi="Sylfaen"/>
          <w:sz w:val="24"/>
          <w:szCs w:val="24"/>
        </w:rPr>
        <w:t xml:space="preserve"> է գրիպի կանխարգելման համար նախատեսված սեզոնային գրանցված պատվաստանյութերի կազմում յուրաքանչյուր տարի կատարել փոփոխություններ՝ ԱՀԿ-ի ուղեցույցների հիման վրա շտամը (շտամները) փոխարինելու նպատակով։ ԱՀԿ-ի ուղեցույցներով չսահմանված գրիպի վիրուսների շտամների </w:t>
      </w:r>
      <w:r w:rsidRPr="00B96C43">
        <w:rPr>
          <w:rFonts w:ascii="Sylfaen" w:hAnsi="Sylfaen"/>
          <w:sz w:val="24"/>
          <w:szCs w:val="24"/>
        </w:rPr>
        <w:lastRenderedPageBreak/>
        <w:t>շրջանառությամբ՝ գրիպի համաճարակային իրավիճակների առաջացումը կանխատեսելիս անդամ պետությունն իրավունք ունի ընդունելու գրիպի կանխարգելման համար նախատեսված պատվաստանյութերի գրանցման դոսյեում փոփոխություններ կատարելու վերաբերյալ որոշումներ՝ անդամ պետության լիազորված մարմնի կամ անդամ պետության գրիպի հարցերով հանձնաժողովի որոշման հիման վրա։</w:t>
      </w:r>
    </w:p>
    <w:p w14:paraId="56390A3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Տարին երկու անգամ (որպես կանոն՝ փետրվար-մարտ ամիսներին՝ Հյուսիսային կիսագնդի համար, եւ սեպտեմբերին՝ Հարավային կիսագնդի համար) ԱՀԿ-ն հրապարակում է ուղեցույցներ A եւ B գրիպի վիրուսի շտամների վերաբերյալ, որոնք պետք է օգտագործել առաջիկա համաճարակային սեզոնի համար նախատեսված՝ գրիպի կանխարգելման համար նախատեսված պատվաստանյութերի արտադրության մեջ։</w:t>
      </w:r>
    </w:p>
    <w:p w14:paraId="6549508B" w14:textId="77777777" w:rsidR="00BD67EC" w:rsidRPr="00B96C43" w:rsidRDefault="00BD67EC" w:rsidP="00BD67EC">
      <w:pPr>
        <w:spacing w:after="160" w:line="360" w:lineRule="auto"/>
        <w:jc w:val="center"/>
      </w:pPr>
    </w:p>
    <w:p w14:paraId="48A3D4A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1.4. Ընթացակարգի նկարագրությունը</w:t>
      </w:r>
    </w:p>
    <w:p w14:paraId="50225460" w14:textId="77777777" w:rsidR="00BD67EC" w:rsidRPr="00B96C43" w:rsidRDefault="00BD67EC" w:rsidP="00BD67EC">
      <w:pPr>
        <w:spacing w:after="160" w:line="360" w:lineRule="auto"/>
        <w:jc w:val="center"/>
        <w:rPr>
          <w:rFonts w:ascii="Sylfaen" w:hAnsi="Sylfaen"/>
          <w:sz w:val="24"/>
          <w:szCs w:val="24"/>
        </w:rPr>
      </w:pPr>
    </w:p>
    <w:p w14:paraId="500BBFD0"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1.4.1. Ռեֆերենտ պետությունում գրիպի կանխարգելման համար նախատեսված պատվաստանյութի գրանցման դոսյեում փոփոխություններ կատարելու (սեզոնային շտամների բաղադրության թարմացում) կարգը</w:t>
      </w:r>
    </w:p>
    <w:p w14:paraId="6DCA7FB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 կատարելու վերաբերյալ դիմում ներկայացնելու օրվանից 5 աշխատանքային օրը չգերազանցող ժամկետում ռեֆերենտ պետության լիազորված մարմինը (փորձագիտական կազմակերպությունը) իրականացնում է գրիպի կանխարգելման համար նախատեսված պատվաստանյութերի գրանցման դոսյեի ներկայացված փաստաթղթերի ձեւակերպման լիարժեքության, լրակազմության ու ճշտության գնահատում եւ </w:t>
      </w:r>
      <w:r w:rsidRPr="00B96C43">
        <w:rPr>
          <w:rFonts w:ascii="Sylfaen" w:hAnsi="Sylfaen"/>
          <w:sz w:val="24"/>
          <w:szCs w:val="24"/>
        </w:rPr>
        <w:lastRenderedPageBreak/>
        <w:t>ռեֆերենտ պետության փորձագիտական կազմակերպություն է ուղարկում դիմումը եւ գրիպի կանխարգելման համար նախատեսված պատվաստանյութերի գրանցման դոսյեն (փոփոխման համար նախատեսված դոսյեն)։</w:t>
      </w:r>
    </w:p>
    <w:p w14:paraId="0C9200DF" w14:textId="77777777" w:rsidR="00BD67EC" w:rsidRPr="00B96C43" w:rsidRDefault="00BD67EC" w:rsidP="00BD67EC">
      <w:pPr>
        <w:spacing w:after="160" w:line="360" w:lineRule="auto"/>
        <w:ind w:firstLine="567"/>
        <w:rPr>
          <w:rFonts w:ascii="Sylfaen" w:hAnsi="Sylfaen"/>
          <w:sz w:val="24"/>
          <w:szCs w:val="24"/>
        </w:rPr>
      </w:pPr>
    </w:p>
    <w:p w14:paraId="583834D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Դիմումի եւ գրիպի կանխարգելման համար նախատեսված պատվաստանյութերի գրանցման դոսյեի՝ սույն պահանջների 5-րդ բաժնին համապատասխանության դեպքում ռեֆերենտ պետության լիազորված մարմինը (փորձագիտական կազմակերպությունը) նախաձեռնում է գրիպի կանխարգելման համար նախատեսված պատվաստանյութերի գրանցման դոսյեում փոփոխությունների կատարման ընթացակարգը եւ այդ մասին ծանուցում է դիմումատուին։ Ընթացակարգի անցկացման ժամկետը չպետք է գերազանցի 40 օրացուցային օրը:</w:t>
      </w:r>
    </w:p>
    <w:p w14:paraId="7F4F0C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4"/>
          <w:sz w:val="24"/>
          <w:szCs w:val="24"/>
        </w:rPr>
        <w:t>Ռեֆերենտ պետության փորձագիտական կազմակերպությունն անցկացնում</w:t>
      </w:r>
      <w:r w:rsidRPr="00B96C43">
        <w:rPr>
          <w:rFonts w:ascii="Sylfaen" w:hAnsi="Sylfaen"/>
          <w:sz w:val="24"/>
          <w:szCs w:val="24"/>
        </w:rPr>
        <w:t xml:space="preserve"> է գրիպի կանխարգելման համար նախատեսված պատվաստանյութերի գրանցման դոսյեի փորձաքննություն՝ գրիպի կանխարգելման համար նախատեսված պատվաստանյութերի գրանցման դոսյեում փոփոխությունների կատարման ընթացակարգը նախաձեռնելու մասին դիմումատուին ծանուցելու օրվանից 25 օրացուցային օրը չգերազանցող ժամկետում։ Փորձաքննության ընթացակարգն ավարտելուց հետո ռեֆերենտ պետության փորձագիտական կազմակերպությունը կազմում է գրիպի կանխարգելման համար նախատեսված պատվաստանյութի անվտանգության, արդյունավետության եւ որակի գնահատման վերաբերյալ փորձագիտական հաշվետվություն (այսուհետ՝ գնահատման վերաբերյալ փորձագիտական հաշվետվություն)։</w:t>
      </w:r>
    </w:p>
    <w:p w14:paraId="16A1097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փոփոխությունների կատարման ընթացակարգը նախաձեռնելու մասին դիմումատուին ծանուցելու օրվանից 25 օրացուցային օրվա ընթացքում </w:t>
      </w:r>
      <w:r w:rsidRPr="00B96C43">
        <w:rPr>
          <w:rFonts w:ascii="Sylfaen" w:hAnsi="Sylfaen"/>
          <w:sz w:val="24"/>
          <w:szCs w:val="24"/>
        </w:rPr>
        <w:lastRenderedPageBreak/>
        <w:t>ռեֆերենտ պետության փորձագիտական կազմակերպությունն իրավունք ունի պահանջելու, որ դիմումատուն ներկայացնի փորձաքննությունն ավարտելու համար անհրաժեշտ լրացուցիչ տվյալներ։</w:t>
      </w:r>
    </w:p>
    <w:p w14:paraId="3AF3D88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մարմնից (փորձագիտական կազմակերպությունից) հարցում ստանալու դեպքում դիմումատուն պետք է 7 աշխատանքային օրվա ընթացքում նրան ներկայացնի լրացուցիչ տվյալներ։ Հարցմանը դիմումատուի պատասխանի ժամկետը չի ներառվում սույն ենթաբաժնի երկրորդ պարբերության մեջ նշված՝ ընթացակարգի անցկացման ընդհանուր ժամկետում։ Հարցված լրացուցիչ տվյալներն ստանալուց հետո ռեֆերենտ պետության լիազորված մարմինը (փորձագիտական կազմակերպությունը) վերսկսում է փորձաքննության ընթացակարգը։</w:t>
      </w:r>
    </w:p>
    <w:p w14:paraId="37C7119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փորձագիտական կազմակերպությունը 5 աշխատանքային օրը չգերազանցող ժամկետում անցկացնում է դիմումատուի կողմից ներկայացված լրացուցիչ տվյալների փորձաքննություն։</w:t>
      </w:r>
    </w:p>
    <w:p w14:paraId="6AFA46B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Գնահատման վերաբերյալ փորձագիտական հաշվետվություն կազմելու օրվանից 1 աշխատանքային օրվա ընթացքում ռեֆերենտ պետության փորձագիտական կազմակերպությունն այդ հաշվետվությունն ուղարկում է դիմումատուին։</w:t>
      </w:r>
    </w:p>
    <w:p w14:paraId="1E7890B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2 աշխատանքային օրվա ընթացքում ընդունում է գրիպի կանխարգելման համար նախատեսված պատվաստանյութերի գրանցման դոսյեում փոփոխությունների կատարումը թույլատրելու կամ մերժելու մասին որոշում՝ ռեֆերենտ պետության փորձագիտական կազմակերպության կողմից կազմված՝ գնահատման վերաբերյալ փորձագիտական հաշվետվության հիման վրա։</w:t>
      </w:r>
    </w:p>
    <w:p w14:paraId="1253631E" w14:textId="77777777" w:rsidR="00BD67EC" w:rsidRPr="00B96C43" w:rsidRDefault="00BD67EC" w:rsidP="00BD67EC">
      <w:pPr>
        <w:spacing w:after="160" w:line="360" w:lineRule="auto"/>
        <w:ind w:firstLine="567"/>
        <w:jc w:val="both"/>
      </w:pPr>
    </w:p>
    <w:p w14:paraId="240E2BB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1.4.2. Ճանաչման պետությունում գրիպի կանխարգելման համար նախատեսված պատվաստանյութի գրանցման դոսյեում փոփոխություններ կատարելու (սեզոնային շտամների բաղադրության թարմացում) կարգը</w:t>
      </w:r>
    </w:p>
    <w:p w14:paraId="4EAF35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Դիմումատուն ճանաչման պետությունների լիազորված մարմիններին (փորձագիտական կազմակերպություններին) միաժամանակ ներկայացնում է գրիպի կանխարգելման համար նախատեսված պատվաստանյութերի գրանցման դոսյեի կազմում Կանոնների թիվ 2 հավելվածի համաձայն փոփոխություններ կատարելու վերաբերյալ դիմումը՝ թղթային եւ (կամ) էլեկտրոնային կրիչի վրա եւ գրիպի կանխարգելման համար նախատեսված պատվաստանյութերի գրանցման դոսյեում փոփոխություններ կատարելու համար վճարի (տուրքի) վճարումը հաստատող փաստաթղթեր՝ ճանաչման պետությունների օրենսդրությանը համապատասխան սահմանված դեպքերում եւ կարգով։</w:t>
      </w:r>
    </w:p>
    <w:p w14:paraId="32A5BB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 Միության ինտեգրված տեղեկատվական համակարգի (այսուհետ՝ ինտեգրված համակարգ) միջոցով ծանուցում է ճանաչման պետությունների լիազորված մարմիններին (փորձագիտական կազմակերպություններին) եւ դիմումատուին՝ ռեֆերենտ պետությունում գրիպի կանխարգելման համար նախատեսված պատվաստանյութերի գրանցման դոսյեում փոփոխությունների կատարման ընթացակարգն սկսելու կամ նշված ընթացակարգի անցկացումը մերժելու մասին։</w:t>
      </w:r>
    </w:p>
    <w:p w14:paraId="1B24C0C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փոփոխությունների կատարման ընթացակարգն սկսելու մասին ծանուցումը ճանաչման պետությունների լիազորված մարմիններում (փորձագիտական կազմակերպություններում) ստանալու օրվանից 2 աշխատանքային օրվա ընթացքում ռեֆերենտ պետության լիազորված մարմինը (փորձագիտական կազմակերպությունը) ինտեգրված համակարգի միջոցով </w:t>
      </w:r>
      <w:r w:rsidRPr="00B96C43">
        <w:rPr>
          <w:rFonts w:ascii="Sylfaen" w:hAnsi="Sylfaen"/>
          <w:sz w:val="24"/>
          <w:szCs w:val="24"/>
        </w:rPr>
        <w:lastRenderedPageBreak/>
        <w:t>ապահովում է գրիպի կանխարգելման համար նախատեսված պատվաստանյութերի գրանցման դոսյեում պարունակվող փաստաթղթերի հասանելիությունը։</w:t>
      </w:r>
    </w:p>
    <w:p w14:paraId="6C03CA8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պատվաստանյութերի գրանցման դոսյեում պարունակվող փաստաթղթերի հասանելիություն ստանալու օրվանից 5 աշխատանքային օրը չգերազանցող ժամկետում ճանաչման պետության լիազորված մարմինը (փորձագիտական կազմակերպությունը), իր պետության օրենսդրությանը համապատասխան, իրականացնում է ներկայացված փաստաթղթերի ձեւակերպման լիարժեքության, լրակազմության ու ճշտության գնահատում եւ սկսում է գրիպի կանխարգելման համար նախատեսված պատվաստանյութերի գրանցման դոսյեում փոփոխությունների կատարման ընթացակարգը։ Նշված ընթացակարգի անցկացման ժամկետը չպետք է գերազանցի գրիպի կանխարգելման համար նախատեսված պատվաստանյութերի գրանցման դոսյեի կազմում փոփոխությունների կատարման վերաբերյալ դիմումը ներկայացնելու օրվանից 40 օրացուցային օրը։</w:t>
      </w:r>
    </w:p>
    <w:p w14:paraId="687CDCF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պետությունում ընթացակարգն սկսելու մասին դիմումատուին ծանուցելու օրվանից 25 օրացուցային օրվա ընթացքում ռեֆերենտ պետության լիազորված մարմինը (փորձագիտական կազմակերպությունը) նախապատրաստում է գնահատման վերաբերյալ փորձագիտական հաշվետվության նախագիծը եւ ինտեգրված համակարգի միջոցով ապահովում է դրա հասանելիությունը ճանաչման պետությունների լիազորված մարմինների (փորձագիտական կազմակերպությունների) համար։</w:t>
      </w:r>
    </w:p>
    <w:p w14:paraId="1936577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պետության լիազորված մարմինը (փորձագիտական կազմակերպությունը) հասանելիություն ստանալու օրվանից 1 աշխատանքային օրվա ընթացքում ռեֆերենտ պետության լիազորված մարմին (փորձագիտական կազմակերպություն) է ներկայացնում գնահատման վերաբերյալ փորձագիտական հաշվետվության նախագծի մասին իր դիտողությունները։</w:t>
      </w:r>
    </w:p>
    <w:p w14:paraId="54C702C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Ռեֆերենտ պետության լիազորված մարմինը (փորձագիտական կազմակերպությունը) գնահատման վերաբերյալ փորձագիտական հաշվետվության մեջ փոփոխություններ է կատարում՝ հաշվի առնելով ճանաչման պետությունների լիազորված մարմիններից (փորձագիտական կազմակերպություններից) ստացված դիտողությունները, եւ ինտեգրված համակարգի միջոցով ապահովում է կատարված փոփոխություններով՝ գնահատման վերաբերյալ փորձագիտական հաշվետվության հասանելիությունը ճանաչման պետության լիազորված մարմնի (փորձագիտական կազմակերպության) համար։</w:t>
      </w:r>
    </w:p>
    <w:p w14:paraId="71C2076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կազմակերպությունը) իրավունք ունի դիմումատուից պահանջելու լրացուցիչ տվյալներ, որոնք անհրաժեշտ են փորձաքննությունն ավարտելու համար՝ հաշվի առնելով ճանաչման պետությունների լիազորված մարմիններից (փորձագիտական կազմակերպություններից) ստացված դիտողությունները եւ ինտեգրված համակարգի կամ այլ միջոցով այդ մասին տեղեկացնում է դիմումատուին եւ ճանաչման պետությունների լիազորված մարմիններին (փորձագիտական կազմակերպություններին)։</w:t>
      </w:r>
    </w:p>
    <w:p w14:paraId="3BA39B7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մարմնից (փորձագիտական կազմակերպությունից) հարցում ստանալու օրվանից 7 աշխատանքային օրվա ընթացքում դիմումատուն հարցման պատասխանն ուղարկում է ռեֆերենտ պետության լիազորված մարմին (փորձագիտական կազմակերպություն)։ Դիմումատուի կողմից նշված հարցման պատասխանը ներկայացնելու ժամկետը չի ներառվում գրիպի կանխարգելման համար նախատեսված պատվաստանյութի գրանցման դոսյեում փոփոխությունների կատարման ընթացակարգի անցկացման ընդհանուր ժամկետում։</w:t>
      </w:r>
    </w:p>
    <w:p w14:paraId="0E9101ED"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 xml:space="preserve">Ռեֆերենտ պետության լիազորված մարմինը (փորձագիտական կազմակերպությունը) ճանաչման պետությունների լիազորված մարմիններին </w:t>
      </w:r>
      <w:r w:rsidRPr="00B96C43">
        <w:rPr>
          <w:rFonts w:ascii="Sylfaen" w:hAnsi="Sylfaen"/>
          <w:sz w:val="24"/>
          <w:szCs w:val="24"/>
        </w:rPr>
        <w:lastRenderedPageBreak/>
        <w:t>(փորձագիտական կազմակերպություններին) ծանուցում է գրիպի կանխարգելման համար նախատեսված պատվաստանյութի գրանցման դոսյեում փոփոխությունների կատարման ընթացակարգը վերսկսելու մասին եւ դրանց համար ապահովում է հարցվող տվյալների հասանելիությունը՝ ռեֆերենտ պետության լիազորված մարմնում (փորձագիտական կազմակերպությունում) այդ տվյալներն ստանալու օրվանից 2 աշխատանքային օրվա ընթացքում։</w:t>
      </w:r>
    </w:p>
    <w:p w14:paraId="6C0389B5"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pacing w:val="-6"/>
          <w:sz w:val="24"/>
          <w:szCs w:val="24"/>
        </w:rPr>
        <w:t>Ռեֆերենտ պետության լիազորված մարմինը (փորձագիտական կազմակերպությունը) նախապատրաստում է գնահատման վերաբերյալ փորձագիտական հաշվետվության նախագիծը՝ հաշվի առնելով դիմումատուի կողմից ներկայացված լրացուցիչ տվյալները, եւ ռեֆերենտ պետությունում փորձաքննությունը վերսկսելու օրվանից 5 աշխատանքային օրվա ընթացքում ինտեգրված համակարգի միջոցով ապահովում է ճանաչման պե</w:t>
      </w:r>
      <w:r w:rsidRPr="00B96C43">
        <w:rPr>
          <w:rFonts w:ascii="Sylfaen" w:hAnsi="Sylfaen"/>
          <w:sz w:val="24"/>
          <w:szCs w:val="24"/>
        </w:rPr>
        <w:t>տությունների լիազորված մարմինների (փորձագիտական կազմակերպությունների) համար դրա հասանելիությունը։</w:t>
      </w:r>
    </w:p>
    <w:p w14:paraId="5EC6CFD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պետության լիազորված մարմինը (փորձագիտական կազմակերպությունը) ընդունում է գրիպի կանխարգելման համար նախատեսված պատվաստանյութերի գրանցման դոսյեում փոփոխություններ կատարելու կամ դրանում փոփոխությունների կատարումը մերժելու վերաբերյալ որոշում՝ ճանաչման պետությունների լիազորված մարմինների (փորձագիտական կազմակերպությունների) համար փորձագիտական եզրակացության հասանելիությունն ապահովելու օրվանից 2 աշխատանքային օրվա ընթացքում եւ ինտեգրված համակարգի կամ այլ միջոցով դիմումատուին եւ ռեֆերենտ պետության լիազորված մարմնին (փորձագիտական կազմակերպությանը) ծանուցում է ընդունված որոշման մասին։</w:t>
      </w:r>
    </w:p>
    <w:p w14:paraId="0C1FC13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Ռեֆերենտ պետության եւ ճանաչման պետության լիազորված մարմինների (փորձագիտական կազմակերպությունների) կողմից գրիպի կանխարգելման համար նախատեսված պատվաստանյութերի գրանցման դոսյեում փոփոխություններ կատարելու վերաբերյալ որոշում ընդունելուց եւ համապատասխան ծանուցում </w:t>
      </w:r>
      <w:r w:rsidRPr="00B96C43">
        <w:rPr>
          <w:rFonts w:ascii="Sylfaen" w:hAnsi="Sylfaen"/>
          <w:sz w:val="24"/>
          <w:szCs w:val="24"/>
        </w:rPr>
        <w:lastRenderedPageBreak/>
        <w:t>ստանալուց հետո դիմումատուն ծանուցումն ստանալու օրվանից 7 աշխատանքային օրվա ընթացքում ռեֆերենտ պետության եւ ճանաչման պետությունների լիազորված մարմիններ (փորձագիտական կազմակերպություններ) է ներկայացնում դեղապատրաստուկի ընդհանուր բնութագրի, ներդիր-թերթիկի, գրիպի կանխարգելման համար նախատեսված պատվաստանյութի փաթեթվածքի մակետների թարգմանությունը ռեֆերենտ պետության եւ ճանաչման պետությունների պետական լեզուներով (ռեֆերենտ պետության եւ ճանաչման պետությունների օրենսդրության մեջ համապատասխան պահանջի առկայության դեպքում)։</w:t>
      </w:r>
    </w:p>
    <w:p w14:paraId="39446CF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կազմակերպությունը) դիմումատուին տեղեկացնում է գրիպի կանխարգելման համար նախատեսված պատվաստանյութերի գրանցման դոսյեում փոփոխությունների կատարման վերաբերյալ որոշման մասին եւ նրան տրամադրում է գրանցման նոր փաստաթղթեր՝ գրիպի կանխարգելման համար նախատեսված պատվաստանյութերի գրանցման դոսյեում փոփոխությունների կատարման ընթացակարգի անցկացումն սկսելու օրվանից 40 օրացուցային օրը չգերազանցող ժամկետում կամ գրիպի կանխարգելման համար նախատեսված պատվաստանյութերի գրանցման դոսյեի փորձաքննությունն ավարտելու համար անհրաժեշտ լրացուցիչ տվյալները ներկայացնելու վերաբերյալ հարցմանը դիմումատուի կողմից պատասխան ներկայացնելուց հետո նշված ընթացակարգը վերսկսելու օրվանից 10 օրացուցային օրը չգերազանցող ժամկետում։</w:t>
      </w:r>
    </w:p>
    <w:p w14:paraId="11142D1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Ճանաչման պետությունների լիազորված մարմինները (փորձագիտական կազմակերպությունները) դիմումատուին տեղեկացնում են գրիպի կանխարգելման համար նախատեսված պատվաստանյութերի գրանցման դոսյեում փոփոխությունների կատարման վերաբերյալ որոշման մասին եւ նրան տրամադրում են գրանցման նոր փաստաթղթեր՝ գրիպի կանխարգելման համար նախատեսված պատվաստանյութերի գրանցման դոսյեում փոփոխությունների կատարման ընթացակարգի անցկացումն սկսելու օրվանից 40 օրացուցային օրը չգերազանցող </w:t>
      </w:r>
      <w:r w:rsidRPr="00B96C43">
        <w:rPr>
          <w:rFonts w:ascii="Sylfaen" w:hAnsi="Sylfaen"/>
          <w:sz w:val="24"/>
          <w:szCs w:val="24"/>
        </w:rPr>
        <w:lastRenderedPageBreak/>
        <w:t>ժամկետում կամ գրիպի կանխարգելման համար նախատեսված պատվաստանյութերի գրանցման դոսյեի փորձաքննությունն ավարտելու համար անհրաժեշտ լրացուցիչ տվյալները ներկայացնելու վերաբերյալ հարցմանը դիմումատուի կողմից պատասխան ներկայացնելուց հետո նշված ընթացակարգը վերսկսելու օրվանից 10 օրացուցային օրը չգերազանցող ժամկետում (գրիպի կանխարգելման համար նախատեսված պատվաստանյութերի գրանցման դոսյեում փոփոխություններ կատարելու համար անհրաժեշտ փաստաթղթերը դիմումատուի կողմից ներկայացվելու պայմանով)։</w:t>
      </w:r>
    </w:p>
    <w:p w14:paraId="4E12DFD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պետությունների լիազորված մարմինները (փորձագիտական կազմակերպությունները) ինտեգրված համակարգի միջոցով գրիպի կանխարգելման համար նախատեսված պատվաստանյութերի գրանցման դոսյեում փոփոխություններ կատարելու մասին տեղեկությունները եւ գրիպի կանխարգելման համար նախատեսված պատվաստանյութերի գրանցման դոսյեի թարմացված փաստաթղթերը տեղադրում են գրանցված դեղամիջոցների միասնական ռեեստրում։</w:t>
      </w:r>
    </w:p>
    <w:p w14:paraId="4522FB9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Գնահատման վերաբերյալ բացասական եզրակացությամբ փորձագիտական հաշվետվություն նախապատրաստելու դեպքում, որի հիման վրա ռեֆերենտ պետության լիազորված մարմնի (փորձագիտական կազմակերպության) կողմից ընդունվելու է գրիպի կանխարգելման համար նախատեսված պատվաստանյութի գրանցման դոսյեում փոփոխությունների կատարումը մերժելու վերաբերյալ որոշում, նշված լիազորված մարմինը (փորձագիտական կազմակերպությունը) այդ որոշումն ընդունելու օրվանից 10 աշխատանքային օրվա ընթացքում այդ մասին էլեկտրոնային եւ (կամ) գրավոր եղանակով ծանուցում է դիմումատուին։</w:t>
      </w:r>
    </w:p>
    <w:p w14:paraId="6A1A0B85" w14:textId="77777777" w:rsidR="00BD67EC" w:rsidRPr="00B96C43" w:rsidRDefault="00BD67EC" w:rsidP="00BD67EC">
      <w:pPr>
        <w:spacing w:after="160" w:line="360" w:lineRule="auto"/>
        <w:jc w:val="center"/>
        <w:rPr>
          <w:rFonts w:ascii="Sylfaen" w:hAnsi="Sylfaen"/>
          <w:sz w:val="24"/>
          <w:szCs w:val="24"/>
        </w:rPr>
      </w:pPr>
    </w:p>
    <w:p w14:paraId="0438D45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2. Գրիպի կանխարգելման համար նախատեսված նախահամավարակային (զոոնոզ) պատվաստանյութեր</w:t>
      </w:r>
    </w:p>
    <w:p w14:paraId="13370472" w14:textId="77777777" w:rsidR="00BD67EC" w:rsidRPr="00B96C43" w:rsidRDefault="00BD67EC" w:rsidP="00BD67EC">
      <w:pPr>
        <w:spacing w:after="160" w:line="360" w:lineRule="auto"/>
        <w:jc w:val="center"/>
      </w:pPr>
    </w:p>
    <w:p w14:paraId="40B2400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2.1. Գրիպի կանխարգելման համար նախատեսված նախահամավարակային (զոոնոզ) պատվաստանյութի գրանցման վերաբերյալ </w:t>
      </w:r>
      <w:r w:rsidRPr="00B96C43">
        <w:rPr>
          <w:rFonts w:ascii="Sylfaen" w:hAnsi="Sylfaen"/>
          <w:sz w:val="24"/>
          <w:szCs w:val="24"/>
        </w:rPr>
        <w:br/>
        <w:t>դիմումին ներկայացվող պահանջները</w:t>
      </w:r>
    </w:p>
    <w:p w14:paraId="114F831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նախահամավարակային (զոոնոզ) պատվաստանյութի գրանցման վերաբերյալ դիմումը ռեֆերենտ պետության լիազորված մարմին (փորձագիտական կազմակերպություն) է ներկայացվում Կանոնների թիվ 1 հավելվածի I բաժնին եւ III բաժնի 12.2-րդ ենթաբաժնին համապատասխան։</w:t>
      </w:r>
    </w:p>
    <w:p w14:paraId="32640F4C" w14:textId="77777777" w:rsidR="00BD67EC" w:rsidRPr="00B96C43" w:rsidRDefault="00BD67EC" w:rsidP="00BD67EC">
      <w:pPr>
        <w:spacing w:after="160" w:line="360" w:lineRule="auto"/>
        <w:jc w:val="center"/>
        <w:rPr>
          <w:rFonts w:ascii="Sylfaen" w:hAnsi="Sylfaen"/>
          <w:sz w:val="24"/>
          <w:szCs w:val="24"/>
        </w:rPr>
      </w:pPr>
    </w:p>
    <w:p w14:paraId="43ABB492"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2.2. Գրիպի կանխարգելման համար նախատեսված նախահամավարակային (զոոնոզ) պատվաստանյութի շտամային բաղադրության մեջ փոփոխություններ կատարելու վերաբերյալ դիմումին ներկայացվող պահանջները</w:t>
      </w:r>
    </w:p>
    <w:p w14:paraId="2D3B165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նախահամավարակային (զոոնոզ) պատվաստանյութի շտամային բաղադրության մեջ փոփոխություններ կատարելու վերաբերյալ դիմումը ներկայացվում է գրանցման դոսյեում կատարված փոփոխության տեսքով։ Նշված փոփոխությունը դասակարգվում է որպես II տեսակ՝ Կանոնների թիվ 19 հավելվածի Բ.I.ա.5-րդ ենթաբաժնին համապատասխան։</w:t>
      </w:r>
    </w:p>
    <w:p w14:paraId="4ED4BE27" w14:textId="77777777" w:rsidR="00BD67EC" w:rsidRPr="00B96C43" w:rsidRDefault="00BD67EC" w:rsidP="00BD67EC">
      <w:pPr>
        <w:spacing w:after="160" w:line="360" w:lineRule="auto"/>
        <w:jc w:val="center"/>
      </w:pPr>
    </w:p>
    <w:p w14:paraId="528FC0FF"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 Գրիպի կանխարգելման համար նախատեսված համավարակային պատվաստանյութեր եւ համավարակի պատրաստվածության պատվաստանյութեր</w:t>
      </w:r>
    </w:p>
    <w:p w14:paraId="6FEBE6E0" w14:textId="77777777" w:rsidR="00BD67EC" w:rsidRPr="00B96C43" w:rsidRDefault="00BD67EC" w:rsidP="00BD67EC">
      <w:pPr>
        <w:spacing w:after="160" w:line="360" w:lineRule="auto"/>
        <w:jc w:val="center"/>
      </w:pPr>
    </w:p>
    <w:p w14:paraId="4805235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3.1. Համավարակի պատրաստվածության պատվաստանյութի գրանցման վերաբերյալ դիմումին ներկայացվող պահանջները</w:t>
      </w:r>
    </w:p>
    <w:p w14:paraId="0828FC0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Համավարակին նախապատրաստվելու նպատակով պատվաստանյութեր արտադրողները ներկայացնում են համավարակային ներուժով վիրուսի շտամ </w:t>
      </w:r>
      <w:r w:rsidRPr="00B96C43">
        <w:rPr>
          <w:rFonts w:ascii="Sylfaen" w:hAnsi="Sylfaen"/>
          <w:sz w:val="24"/>
          <w:szCs w:val="24"/>
        </w:rPr>
        <w:lastRenderedPageBreak/>
        <w:t>պարունակող թեկնածուական համավարակային պատվաստանյութի (համավարակի պատրաստվածության պատվաստանյութի) գրանցման վերաբերյալ դիմում։</w:t>
      </w:r>
    </w:p>
    <w:p w14:paraId="275A2A7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Տվյալ տեսակի պատվաստանյութի ստեղծումը ենթադրում է մակետային պատվաստանյութի հայեցակարգի (mock-up) օգտագործում։ Համավարակի պատրաստվածության գրանցվող նոր պատվաստանյութը եւ մակետային պատվաստանյութը, տվյալ հայեցակարգի համաձայն, կունենան հետեւյալ միեւնույն բնութագրերը՝</w:t>
      </w:r>
    </w:p>
    <w:p w14:paraId="491C8D8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արտադրության պարամետրերը.</w:t>
      </w:r>
    </w:p>
    <w:p w14:paraId="676E032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պատրաստման տեխնոլոգիան.</w:t>
      </w:r>
    </w:p>
    <w:p w14:paraId="027CC9B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բաղադրությունը, այդ թվում՝ հակածինի, օժանդակ նյութերի, ադյուվանտի (անհրաժեշտության դեպքում) եւ այլ բաղադրամասերի (բացառությամբ շտամի (շտամների)) պարունակությունը.</w:t>
      </w:r>
    </w:p>
    <w:p w14:paraId="08532855" w14:textId="77777777" w:rsidR="00BD67EC" w:rsidRPr="00B96C43" w:rsidRDefault="00BD67EC" w:rsidP="00BD67EC">
      <w:pPr>
        <w:spacing w:after="160" w:line="360" w:lineRule="auto"/>
        <w:ind w:firstLine="567"/>
        <w:rPr>
          <w:rFonts w:ascii="Sylfaen" w:hAnsi="Sylfaen"/>
          <w:sz w:val="24"/>
          <w:szCs w:val="24"/>
        </w:rPr>
      </w:pPr>
    </w:p>
    <w:p w14:paraId="793EF6D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համավարակի պատրաստվածության պատվաստանյութի մասնագրման ցուցանիշներն ու որակի հսկողության մեթոդները։</w:t>
      </w:r>
    </w:p>
    <w:p w14:paraId="7F91264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ԱՀԿ-ի կամ անդամ պետությունների լիազորված մարմինների կողմից գրիպի համավարակային իրավիճակի ճանաչման դեպքում դիմումատուն պարտավոր է ռեֆերենտ պետության լիազորված մարմին (փորձագիտական կազմակերպություն) ներկայացնել համավարակի պատրաստվածության պատվաստանյութի գրանցման դոսյեում փոփոխությունների կատարման (համավարակային շտամի թարմացման) վերաբերյալ դիմում՝ Կանոնների թիվ 19 հավելվածի 4.1.3-րդ կետին համապատասխան՝ համավարակի պատրաստվածության պատվաստանյութում համավարակային շտամի ներառման (համավարակային շտամի թարմացում) նպատակով։</w:t>
      </w:r>
    </w:p>
    <w:p w14:paraId="7E7791DE" w14:textId="77777777" w:rsidR="00BD67EC" w:rsidRPr="00B96C43" w:rsidRDefault="00BD67EC" w:rsidP="00BD67EC">
      <w:pPr>
        <w:spacing w:after="160" w:line="360" w:lineRule="auto"/>
        <w:ind w:firstLine="567"/>
        <w:jc w:val="both"/>
      </w:pPr>
    </w:p>
    <w:p w14:paraId="4C23E48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3.2. Համավարակային իրավիճակի զարգացման վտանգի դեպքում համավարակի պատրաստվածության պատվաստանյութի գրանցման դոսյեին </w:t>
      </w:r>
      <w:r w:rsidRPr="00B96C43">
        <w:rPr>
          <w:rFonts w:ascii="Sylfaen" w:hAnsi="Sylfaen"/>
          <w:sz w:val="24"/>
          <w:szCs w:val="24"/>
        </w:rPr>
        <w:br/>
        <w:t>ներկայացվող պահանջները</w:t>
      </w:r>
    </w:p>
    <w:p w14:paraId="180260F7" w14:textId="2BB69906"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Համավարակային իրավիճակի զարգացման վտանգի դեպքում համավարակի պատրաստվածության պատվաստանյութի գրանցման դոսյեն պետք է պարունակի հնարավոր համավարակային շտամի (շտամների) վերաբերյալ տվյալներ (տվյալներին ներկայացվող պահանջները պարունակվում են սույն պահանջների 5-րդ բաժնում)։ Դիմումատուն իրավունք ունի ներկայացնելու միայն պատվաստանյութի բաղադրության մեջ ներառվող շտամի (շտամների) վերաբերյալ տվյալներ պարունակող եւ հասանելի տվյալների հիման վրա կազմված գրանցման դոսյե՝ հետգրանցումային միջոցների սահմանման (համավարակի պատրաստվածության պատվաստանյութի պայմաններով գրանցման) նպատակով՝ պայմանով, որ համավարակային իրավիճակի զարգացման վտանգի դեպքում եւ ԱՀԿ-ի կողմից համավարակ </w:t>
      </w:r>
      <w:r w:rsidR="00FB4A19">
        <w:rPr>
          <w:rFonts w:ascii="Sylfaen" w:hAnsi="Sylfaen"/>
          <w:sz w:val="24"/>
          <w:szCs w:val="24"/>
        </w:rPr>
        <w:t>հայտարարվելուց</w:t>
      </w:r>
      <w:r w:rsidRPr="00B96C43">
        <w:rPr>
          <w:rFonts w:ascii="Sylfaen" w:hAnsi="Sylfaen"/>
          <w:sz w:val="24"/>
          <w:szCs w:val="24"/>
        </w:rPr>
        <w:t xml:space="preserve"> հետո դիմումատուն երաշխավորում է կլինիկական հետազոտությունների արդյունքները ներկայացնել ռեֆերենտ պետության լիազորված մարմին (փորձագիտական կազմակերպություն) եւ, Կանոնների VII բաժնին համապատասխան, կատարել պահանջները։ ԱՀԿ-ի կողմից համավարակի վտանգ </w:t>
      </w:r>
      <w:r w:rsidR="00FB4A19">
        <w:rPr>
          <w:rFonts w:ascii="Sylfaen" w:hAnsi="Sylfaen"/>
          <w:sz w:val="24"/>
          <w:szCs w:val="24"/>
        </w:rPr>
        <w:t>հայտատարվելուց</w:t>
      </w:r>
      <w:r w:rsidRPr="00B96C43">
        <w:rPr>
          <w:rFonts w:ascii="Sylfaen" w:hAnsi="Sylfaen"/>
          <w:sz w:val="24"/>
          <w:szCs w:val="24"/>
        </w:rPr>
        <w:t xml:space="preserve"> հետո դիմումատուն պետք է անդամ պետությունների լիազորված մարմինների հետ հնարավորինս կարճ ժամկետներում նախաձեռնի խորհրդակցություններ։</w:t>
      </w:r>
    </w:p>
    <w:p w14:paraId="2E4EA25F" w14:textId="77777777" w:rsidR="00BD67EC" w:rsidRPr="00B96C43" w:rsidRDefault="00BD67EC" w:rsidP="00BD67EC">
      <w:pPr>
        <w:spacing w:after="160" w:line="360" w:lineRule="auto"/>
        <w:jc w:val="both"/>
      </w:pPr>
    </w:p>
    <w:p w14:paraId="19B7EAA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3.3. Համավարակի ժամանակ գրիպի համավարակային պատվաստանյութերի բաղադրության մեջ փոփոխություններ կատարելու (համավարակային շտամի փոփոխում) վերաբերյալ դիմումին ներկայացվող պահանջները</w:t>
      </w:r>
    </w:p>
    <w:p w14:paraId="3FB20832" w14:textId="0ACE3F52"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Համավարակը պաշտոնապես ճանաչվելուց (սահմանված կարգով ԱՀԿ-ի կողմից համավարակային իրավիճակ </w:t>
      </w:r>
      <w:r w:rsidR="00FB4A19">
        <w:rPr>
          <w:rFonts w:ascii="Sylfaen" w:hAnsi="Sylfaen"/>
          <w:sz w:val="24"/>
          <w:szCs w:val="24"/>
        </w:rPr>
        <w:t>հայտատարվելուց</w:t>
      </w:r>
      <w:r w:rsidRPr="00B96C43">
        <w:rPr>
          <w:rFonts w:ascii="Sylfaen" w:hAnsi="Sylfaen"/>
          <w:sz w:val="24"/>
          <w:szCs w:val="24"/>
        </w:rPr>
        <w:t xml:space="preserve"> կամ անդամ </w:t>
      </w:r>
      <w:r w:rsidRPr="00B96C43">
        <w:rPr>
          <w:rFonts w:ascii="Sylfaen" w:hAnsi="Sylfaen"/>
          <w:sz w:val="24"/>
          <w:szCs w:val="24"/>
        </w:rPr>
        <w:lastRenderedPageBreak/>
        <w:t xml:space="preserve">պետությունների համապատասխան լիազորված մարմինների կողմից՝ գրիպի վիրուսի համավարակային տեսակով պայմանավորված համաճարակ </w:t>
      </w:r>
      <w:r w:rsidR="00FB4A19">
        <w:rPr>
          <w:rFonts w:ascii="Sylfaen" w:hAnsi="Sylfaen"/>
          <w:sz w:val="24"/>
          <w:szCs w:val="24"/>
        </w:rPr>
        <w:t>հայտատարվելուց</w:t>
      </w:r>
      <w:r w:rsidRPr="00B96C43">
        <w:rPr>
          <w:rFonts w:ascii="Sylfaen" w:hAnsi="Sylfaen"/>
          <w:sz w:val="24"/>
          <w:szCs w:val="24"/>
        </w:rPr>
        <w:t xml:space="preserve">) հետո դիմումատուն իրավունք ունի ռեֆերենտ պետության լիազորված մարմին (փորձագիտական կազմակերպություն) ներկայացնելու գրիպի համավարակային պատվաստանյութերի բաղադրության մեջ փոփոխություններ կատարելու (համավարակային շտամը փոխելու) վերաբերյալ դիմում՝ </w:t>
      </w:r>
      <w:r w:rsidR="00FB4A19">
        <w:rPr>
          <w:rFonts w:ascii="Sylfaen" w:hAnsi="Sylfaen"/>
          <w:sz w:val="24"/>
          <w:szCs w:val="24"/>
        </w:rPr>
        <w:t>հայտատարված</w:t>
      </w:r>
      <w:r w:rsidRPr="00B96C43">
        <w:rPr>
          <w:rFonts w:ascii="Sylfaen" w:hAnsi="Sylfaen"/>
          <w:sz w:val="24"/>
          <w:szCs w:val="24"/>
        </w:rPr>
        <w:t xml:space="preserve"> համավարակային շտամը համավարակային պատվաստանյութում ներառելու (համավարակային շտամի թարմացում) նպատակով։</w:t>
      </w:r>
    </w:p>
    <w:p w14:paraId="2BF145D9" w14:textId="60F49DDF" w:rsidR="00BD67EC" w:rsidRPr="00B96C43" w:rsidRDefault="00FB4A19" w:rsidP="00BD67EC">
      <w:pPr>
        <w:spacing w:after="160" w:line="360" w:lineRule="auto"/>
        <w:ind w:firstLine="567"/>
        <w:rPr>
          <w:rFonts w:ascii="Sylfaen" w:hAnsi="Sylfaen"/>
          <w:sz w:val="24"/>
          <w:szCs w:val="24"/>
        </w:rPr>
      </w:pPr>
      <w:r>
        <w:rPr>
          <w:rFonts w:ascii="Sylfaen" w:hAnsi="Sylfaen"/>
          <w:sz w:val="24"/>
          <w:szCs w:val="24"/>
        </w:rPr>
        <w:t>Հայտատարված</w:t>
      </w:r>
      <w:r w:rsidR="00BD67EC" w:rsidRPr="00B96C43">
        <w:rPr>
          <w:rFonts w:ascii="Sylfaen" w:hAnsi="Sylfaen"/>
          <w:sz w:val="24"/>
          <w:szCs w:val="24"/>
        </w:rPr>
        <w:t xml:space="preserve"> համավարակային շտամի վերաբերյալ որոշակի նախակլինիկական կամ կլինիկական տվյալների բացակայության դեպքում դիմումատուն պարտավոր է բացակայող նախակլինիկական եւ կլինիկական տվյալները ներկայացնել ռեֆերենտ պետության լիազորված մարմին (փորձագիտական կազմակերպություն)՝ դիմումատուի եւ ռեֆերենտ պետության լիազորված մարմնի (փորձագիտական կազմակերպության) միջեւ համաձայնեցված ժամկետում։</w:t>
      </w:r>
    </w:p>
    <w:p w14:paraId="62116DF2" w14:textId="77777777" w:rsidR="00BD67EC" w:rsidRPr="00B96C43" w:rsidRDefault="00BD67EC" w:rsidP="00BD67EC">
      <w:pPr>
        <w:spacing w:after="160" w:line="360" w:lineRule="auto"/>
        <w:jc w:val="center"/>
      </w:pPr>
    </w:p>
    <w:p w14:paraId="51B3CE21"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 Պատվաստանյութերի գրանցումը համավարակի ժամանակ</w:t>
      </w:r>
    </w:p>
    <w:p w14:paraId="79F7B36F" w14:textId="77777777" w:rsidR="00BD67EC" w:rsidRPr="00B96C43" w:rsidRDefault="00BD67EC" w:rsidP="00BD67EC">
      <w:pPr>
        <w:spacing w:after="160" w:line="360" w:lineRule="auto"/>
        <w:jc w:val="center"/>
      </w:pPr>
    </w:p>
    <w:p w14:paraId="2EAB954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4.1. Արտակարգ ընթացակարգ</w:t>
      </w:r>
    </w:p>
    <w:p w14:paraId="078B54B6" w14:textId="44C4E0B1"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ԱՀԿ-ի կողմից համավարակային իրավիճակ </w:t>
      </w:r>
      <w:r w:rsidR="00FB4A19">
        <w:rPr>
          <w:rFonts w:ascii="Sylfaen" w:hAnsi="Sylfaen"/>
          <w:sz w:val="24"/>
          <w:szCs w:val="24"/>
        </w:rPr>
        <w:t>հայտատարվելուց</w:t>
      </w:r>
      <w:r w:rsidRPr="00B96C43">
        <w:rPr>
          <w:rFonts w:ascii="Sylfaen" w:hAnsi="Sylfaen"/>
          <w:sz w:val="24"/>
          <w:szCs w:val="24"/>
        </w:rPr>
        <w:t xml:space="preserve"> կամ անդամ պետությունների համապատասխան լիազորված մարմինների կողմից վիրուսի համավարակային տեսակով պայմանավորված համաճարակ </w:t>
      </w:r>
      <w:r w:rsidR="00FB4A19">
        <w:rPr>
          <w:rFonts w:ascii="Sylfaen" w:hAnsi="Sylfaen"/>
          <w:sz w:val="24"/>
          <w:szCs w:val="24"/>
        </w:rPr>
        <w:t>հայտատարվելուց</w:t>
      </w:r>
      <w:r w:rsidRPr="00B96C43">
        <w:rPr>
          <w:rFonts w:ascii="Sylfaen" w:hAnsi="Sylfaen"/>
          <w:sz w:val="24"/>
          <w:szCs w:val="24"/>
        </w:rPr>
        <w:t xml:space="preserve"> հետո նոր համավարակային պատվաստանյութի գրանցումն իրականացվում է արտակարգ կարգով։</w:t>
      </w:r>
    </w:p>
    <w:p w14:paraId="073D8444" w14:textId="45D47E54"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 բացակայության դեպքում դիմումատուն իրավունք ունի </w:t>
      </w:r>
      <w:r w:rsidRPr="00B96C43">
        <w:rPr>
          <w:rFonts w:ascii="Sylfaen" w:hAnsi="Sylfaen"/>
          <w:sz w:val="24"/>
          <w:szCs w:val="24"/>
        </w:rPr>
        <w:lastRenderedPageBreak/>
        <w:t xml:space="preserve">ռեֆերենտ պետության լիազորված մարմին (փորձագիտական կազմակերպություն) ներկայացնելու ոչ ամբողջական տվյալներ պարունակող գրանցման դոսյե՝ նոր համավարակային պատվաստանյութի գրանցման նպատակով՝ պայմանով, որ ԱՀԿ-ի կողմից համավարակ </w:t>
      </w:r>
      <w:r w:rsidR="00FB4A19">
        <w:rPr>
          <w:rFonts w:ascii="Sylfaen" w:hAnsi="Sylfaen"/>
          <w:sz w:val="24"/>
          <w:szCs w:val="24"/>
        </w:rPr>
        <w:t>հայտատարվելուց</w:t>
      </w:r>
      <w:r w:rsidRPr="00B96C43">
        <w:rPr>
          <w:rFonts w:ascii="Sylfaen" w:hAnsi="Sylfaen"/>
          <w:sz w:val="24"/>
          <w:szCs w:val="24"/>
        </w:rPr>
        <w:t xml:space="preserve"> հետո նա կկարողանա բացակայող կլինիկական տվյալները ներկայացնել ռեֆերենտ պետության լիազորված մարմին (փորձագիտական կազմակերպություն) եւ կատարել Կանոնների VII բաժնին համապատասխան միջոցների սահմանմամբ պատվաստանյութերի </w:t>
      </w:r>
      <w:r w:rsidR="00A33E6C" w:rsidRPr="00A33E6C">
        <w:rPr>
          <w:rFonts w:ascii="Sylfaen" w:hAnsi="Sylfaen"/>
          <w:sz w:val="24"/>
          <w:szCs w:val="24"/>
        </w:rPr>
        <w:t xml:space="preserve">բացառիկ դեպքերում գրանցում </w:t>
      </w:r>
      <w:r w:rsidRPr="00B96C43">
        <w:rPr>
          <w:rFonts w:ascii="Sylfaen" w:hAnsi="Sylfaen"/>
          <w:sz w:val="24"/>
          <w:szCs w:val="24"/>
        </w:rPr>
        <w:t>ներկայացվող պահանջները։ Դիմումատուն պետք է գրանցման դոսյեում ներառի հետգրանցումային միջոցներ սահմանելու հնարավորության համապատասխան հիմնավորումը, բացակայող տվյալների նկարագրությունը եւ դրան կից ներկայացնի գրավոր պարտավորություն՝ գրիպի կանխարգելման համար նախատեսված պատվաստանյութերի գրանցման դոսյեում փոփոխություններ կատարելու եղանակով բացակայող տվյալները ռեֆերենտ պետության լիազորված մարմին (փորձագիտական կազմակերպություն) ներկայացնելու վերաբերյալ։ Դիմումատուն պետք է անդամ պետությունների լիազորված մարմինների հետ հնարավորինս կարճ ժամկետներում նախաձեռնի խորհրդակցություններ։</w:t>
      </w:r>
    </w:p>
    <w:p w14:paraId="5E07D661" w14:textId="77777777" w:rsidR="00BD67EC" w:rsidRPr="00B96C43" w:rsidRDefault="00BD67EC" w:rsidP="00BD67EC">
      <w:pPr>
        <w:spacing w:after="160" w:line="360" w:lineRule="auto"/>
        <w:ind w:firstLine="567"/>
        <w:jc w:val="both"/>
      </w:pPr>
    </w:p>
    <w:p w14:paraId="6DB8317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4.2. Գրիպի կանխարգելման համար նախատեսված սեզոնային կամ նախահամավարակային պատվաստանյութի գրանցումը որպես գրիպի կանխարգելման համար նախատեսված համավարակային պատվաստանյութ</w:t>
      </w:r>
    </w:p>
    <w:p w14:paraId="4E4F519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 զարգացման պայմաններից, ստեղծվող համաճարակաբանական իրավիճակով պայմանավորված եւ (կամ) համավարակի պատրաստվածության գրանցված պատվաստանյութի բացակայության դեպքում թույլատրվում է փոխել համապատասխան սեզոնային կամ նախահամավարակային պատվաստանյութի շտամային բաղադրությունը՝ Կանոնների թիվ 19 հավելվածի 4.1.3-րդ կետին համապատասխան՝ պայմանով, որ այդ փոփոխությունների կատարումը կապահովի </w:t>
      </w:r>
      <w:r w:rsidRPr="00B96C43">
        <w:rPr>
          <w:rFonts w:ascii="Sylfaen" w:hAnsi="Sylfaen"/>
          <w:sz w:val="24"/>
          <w:szCs w:val="24"/>
        </w:rPr>
        <w:lastRenderedPageBreak/>
        <w:t>գրիպի կանխարգելման համար նախատեսված պատվաստանյութի որակի, անվտանգության ու արդյունավետության պահպանումը եւ գիտական տեսանկյունից իրագործելի է։</w:t>
      </w:r>
    </w:p>
    <w:p w14:paraId="53FADFB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կամ նախահամավարակային պատվաստանյութը որպես գրիպի կանխարգելման համար նախատեսված համավարակային պատվաստանյութ գրանցելու անհրաժեշտության դեպքում դիմումատուն պետք է անդամ պետությունների լիազորված մարմինների (փորձագիտական կազմակերպությունների) հետ հնարավորինս կարճ ժամկետներում նախաձեռնի խորհրդակցություններ՝ գրիպի կանխարգելման համար նախատեսված սեզոնային կամ նախահամավարակային պատվաստանյութի գրանցման դոսյեի բովանդակությունը համաձայնեցնելու նպատակով։</w:t>
      </w:r>
    </w:p>
    <w:p w14:paraId="5A64FD44" w14:textId="751F2F5D" w:rsidR="00BD67EC" w:rsidRPr="00B96C43" w:rsidRDefault="00BD67EC" w:rsidP="00BD67EC">
      <w:pPr>
        <w:rPr>
          <w:rFonts w:eastAsia="Times New Roman" w:cs="Times New Roman"/>
        </w:rPr>
      </w:pPr>
    </w:p>
    <w:p w14:paraId="6F5503B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 Գրիպի կանխարգելման համար նախատեսված սեզոնային պատվաստանյութերի շտամային բաղադրության փոփոխման ընթացակարգը</w:t>
      </w:r>
    </w:p>
    <w:p w14:paraId="2B7CD13C" w14:textId="77777777" w:rsidR="00BD67EC" w:rsidRPr="00B96C43" w:rsidRDefault="00BD67EC" w:rsidP="00BD67EC">
      <w:pPr>
        <w:spacing w:after="160" w:line="360" w:lineRule="auto"/>
        <w:jc w:val="center"/>
      </w:pPr>
    </w:p>
    <w:p w14:paraId="6E73BC8B"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5.1. Գրիպի կանխարգելման համար նախատեսված սեզոնային պատվաստանյութերի շտամային բաղադրության փոփոխման ընթացակարգին ներկայացվող ընդհանուր պահանջները</w:t>
      </w:r>
    </w:p>
    <w:p w14:paraId="691500D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պատվաստանյութերի մասով դիմումն ու գրանցման դոսյեն պետք է համապատասխանեն Կանոնների թիվ 1 հավելվածով սահմանված պահանջներին եւ ներկայացվեն ընդհանուր տեխնիկական փաստաթղթի (այսուհետ՝ ԸՏՓ) ձեւաչափով։</w:t>
      </w:r>
    </w:p>
    <w:p w14:paraId="65CE9BD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Թույլատրվում է ներկայացնել գրիպի կանխարգելման համար նախատեսված սեզոնային պատվաստանյութի գրանցման դոսյե, որը ներառում է ԸՏՓ-ի միայն այն բաժինները, որոնք համապատասխանում են կատարվող փոփոխություններին եւ </w:t>
      </w:r>
      <w:r w:rsidRPr="00B96C43">
        <w:rPr>
          <w:rFonts w:ascii="Sylfaen" w:hAnsi="Sylfaen"/>
          <w:sz w:val="24"/>
          <w:szCs w:val="24"/>
        </w:rPr>
        <w:lastRenderedPageBreak/>
        <w:t>որոնց բնույթը որոշված է շտամային բաղադրության փոփոխմամբ (թարմացմամբ)։ ԸՏՓ-ի որեւէ բաժնի բացակայությունը կամ ԸՏՓ-ն ոչ ամբողջ ծավալով ներկայացնելը պետք է ուղեկցվի հիմնավորող փաստաթղթով (այդ բաժինների բացակայության եւ (կամ) փաստաթուղթը ոչ ամբողջ ծավալով ներկայացնելու պատճառների նշմամբ)։</w:t>
      </w:r>
    </w:p>
    <w:p w14:paraId="282F1A6B" w14:textId="7EB020B9" w:rsidR="00BD67EC" w:rsidRPr="00852B2A" w:rsidRDefault="00BD67EC" w:rsidP="00852B2A">
      <w:pPr>
        <w:spacing w:after="160" w:line="360" w:lineRule="auto"/>
        <w:ind w:firstLine="567"/>
        <w:rPr>
          <w:rFonts w:ascii="Sylfaen" w:hAnsi="Sylfaen"/>
          <w:sz w:val="24"/>
          <w:szCs w:val="24"/>
        </w:rPr>
      </w:pPr>
      <w:r w:rsidRPr="00B96C43">
        <w:rPr>
          <w:rFonts w:ascii="Sylfaen" w:hAnsi="Sylfaen"/>
          <w:sz w:val="24"/>
          <w:szCs w:val="24"/>
        </w:rPr>
        <w:t>Սույն պահանջների 5.2-5.5-րդ ենթաբաժիններով սահմանված՝ գրիպի կանխարգելման համար նախատեսված սեզոնային պատվաստանյութերի գրանցման դոսյեի մոդուլներին ներկայացվող պահանջները ներկայացված են՝ գրանցման դոսյեի կառուցվածքին համապատասխան ԸՏՓ-ի բաժինների համարների նշմամբ՝ Կանոնների թիվ 4 հավելվածի համաձայն։</w:t>
      </w:r>
    </w:p>
    <w:p w14:paraId="32154A3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5.2. Գրիպի կանխարգելման համար նախատեսված սեզոնային ինակտիվացված պատվաստանյութի գրանցման դոսյեի փաստաթղթերին ներկայացվող պահանջները՝ գրիպի կանխարգելման համար նախատեսված սեզոնային ինակտիվացված պատվաստանյութերի շտամային բաղադրության մեջ փոփոխություններ կատարելիս</w:t>
      </w:r>
    </w:p>
    <w:p w14:paraId="75CD2DE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ինակտիվացված պատվաստանյութերի շտամային բաղադրության մեջ փոփոխություններ կատարելու վերաբերյալ դիմումը ներկայացվում է գրանցման դոսյեի հետ, որը ներառում է ստորեւ նշված բաժինները։ Պահանջներից ցանկացած շեղում (այդ թվում՝ անհրաժեշտ կամ լրացուցիչ տվյալների բացակայություն) պետք է հիմնավորված լինի գրանցման դոսյեի 3-րդ մոդուլի համապատասխան բաժնում եւ գրանցման դոսյեի 2-րդ մոդուլի համապատասխան ռեզյումեի (ամփոփագրի) մեջ եւ համաձայնեցված լինի ռեֆերենտ պետության լիազորված մարմինների (փորձագիտական կազմակերպությունների) հետ՝ նախքան դիմումատուի կողմից դիմումը ռեֆերենտ պետության լիազորված մարմին (փորձագիտական կազմակերպություն) ներկայացնելը։</w:t>
      </w:r>
    </w:p>
    <w:p w14:paraId="5B66851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070C36D9"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 ձեւաչափով փաստաթղթերը էլեկտրոնային եղանակով ներկայացնելիս (այսուհետ՝ էԸՏՓ))</w:t>
      </w:r>
    </w:p>
    <w:p w14:paraId="7AA0C97E"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lastRenderedPageBreak/>
        <w:t>1.1.</w:t>
      </w:r>
      <w:r w:rsidRPr="00B96C43">
        <w:rPr>
          <w:rFonts w:ascii="Sylfaen" w:hAnsi="Sylfaen"/>
          <w:sz w:val="24"/>
          <w:szCs w:val="24"/>
        </w:rPr>
        <w:tab/>
        <w:t>Բովանդակությունը (չի պահանջվում էԸՏՓ ձեւաչափով ներկայացնելու դեպքում)</w:t>
      </w:r>
    </w:p>
    <w:p w14:paraId="055EDC7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1.2.</w:t>
      </w:r>
      <w:r w:rsidRPr="00B96C43">
        <w:rPr>
          <w:rFonts w:ascii="Sylfaen" w:hAnsi="Sylfaen"/>
          <w:sz w:val="24"/>
          <w:szCs w:val="24"/>
        </w:rPr>
        <w:tab/>
        <w:t>Ընդհանուր փաստաթղթերը</w:t>
      </w:r>
    </w:p>
    <w:p w14:paraId="233D68AD"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1.2.1.</w:t>
      </w:r>
      <w:r w:rsidRPr="00B96C43">
        <w:rPr>
          <w:rFonts w:ascii="Sylfaen" w:hAnsi="Sylfaen"/>
          <w:sz w:val="24"/>
          <w:szCs w:val="24"/>
        </w:rPr>
        <w:tab/>
        <w:t>Փոփոխություններ կատարելու վերաբերյալ դիմումը</w:t>
      </w:r>
    </w:p>
    <w:p w14:paraId="05E57058"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1.2.2.</w:t>
      </w:r>
      <w:r w:rsidRPr="00B96C43">
        <w:rPr>
          <w:rFonts w:ascii="Sylfaen" w:hAnsi="Sylfaen"/>
          <w:sz w:val="24"/>
          <w:szCs w:val="24"/>
        </w:rPr>
        <w:tab/>
        <w:t xml:space="preserve">Գրանցում իրականացնող անդամ պետության օրենսդրությանը համապատասխան փորձագիտական աշխատանքների համար վճարի եւ (կամ) գրանցման համար վճարի (տուրքի) վճարումը հաստատող փաստաթղթերը </w:t>
      </w:r>
    </w:p>
    <w:p w14:paraId="4E139BFC" w14:textId="77777777" w:rsidR="00BD67EC" w:rsidRPr="00B96C43" w:rsidRDefault="00BD67EC" w:rsidP="00BD67EC">
      <w:pPr>
        <w:tabs>
          <w:tab w:val="left" w:pos="1276"/>
        </w:tabs>
        <w:spacing w:after="160" w:line="360" w:lineRule="auto"/>
        <w:ind w:firstLine="567"/>
        <w:rPr>
          <w:rFonts w:ascii="Sylfaen" w:hAnsi="Sylfaen"/>
          <w:sz w:val="24"/>
          <w:szCs w:val="24"/>
        </w:rPr>
      </w:pPr>
    </w:p>
    <w:p w14:paraId="6153FF57"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1.3.</w:t>
      </w:r>
      <w:r w:rsidRPr="00B96C43">
        <w:rPr>
          <w:rFonts w:ascii="Sylfaen" w:hAnsi="Sylfaen"/>
          <w:sz w:val="24"/>
          <w:szCs w:val="24"/>
        </w:rPr>
        <w:tab/>
        <w:t>Դեղապատրաստուկի ընդհանուր բնութագիրը, բժշկական կիրառության հրահանգը (ներդիր-թերթիկ) եւ մակնշումը</w:t>
      </w:r>
    </w:p>
    <w:p w14:paraId="6E77A2E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1.3.1.</w:t>
      </w:r>
      <w:r w:rsidRPr="00B96C43">
        <w:rPr>
          <w:rFonts w:ascii="Sylfaen" w:hAnsi="Sylfaen"/>
          <w:sz w:val="24"/>
          <w:szCs w:val="24"/>
        </w:rPr>
        <w:tab/>
        <w:t xml:space="preserve">Դեղապատրաստուկի ընդհանուր բնութագրի, բժշկական կիրառության հրահանգի (ներդիր-թերթիկի) եւ մակնշման մակետների նախագծերը, որոնք կազմվել են Եվրասիական տնտեսական հանձնաժողովի խորհրդի 2016 թվականի նոյեմբերի 3-ի թիվ 88 որոշմամբ հաստատված՝ դեղապատրաստուկների բժշկական կիրառության հրահանգին եւ բժշկական կիրառության դեղապատրաստուկների ընդհանուր բնութագրին ներկայացվող պահանջներին (այսուհետ՝ դեղապատրաստուկների բժշկական կիրառության հրահանգին ներկայացվող պահանջներ) համապատասխան </w:t>
      </w:r>
    </w:p>
    <w:p w14:paraId="7EB1E3F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Տեքստերում թույլատրվում է կատարել բացառապես նշված համաճարակային սեզոնում օգտագործված շտամներով պայմանավորված փոփոխություններ։</w:t>
      </w:r>
    </w:p>
    <w:p w14:paraId="098274F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6CCEB8B1"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w:t>
      </w:r>
    </w:p>
    <w:p w14:paraId="519053A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28E57F70"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2 - 5-րդ մոդուլների բովանդակությունը</w:t>
      </w:r>
    </w:p>
    <w:p w14:paraId="0756C2C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2 - 5-րդ մոդուլների բովանդակությունը (չի պահանջվում էԸՏՓ ձեւաչափով փաստաթղթերը ներկայացնելու դեպքում)։</w:t>
      </w:r>
    </w:p>
    <w:p w14:paraId="267A4280"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3B5600E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ներածության թարմացումը կամ լրացումը (եթե կիրառելի է)։</w:t>
      </w:r>
    </w:p>
    <w:p w14:paraId="6D6DF7BB"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2EC5C24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w:t>
      </w:r>
    </w:p>
    <w:p w14:paraId="73BA4B9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3. Որակ</w:t>
      </w:r>
    </w:p>
    <w:p w14:paraId="4CF2FC7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w:t>
      </w:r>
      <w:r w:rsidRPr="00B96C43">
        <w:rPr>
          <w:rFonts w:ascii="Sylfaen" w:hAnsi="Sylfaen"/>
          <w:sz w:val="24"/>
          <w:szCs w:val="24"/>
        </w:rPr>
        <w:tab/>
        <w:t>Ակտիվ դեղագործական բաղադրամաս (այսուհետ՝ ԱԴԲ)</w:t>
      </w:r>
    </w:p>
    <w:p w14:paraId="20CBE042"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3.2.S.2.</w:t>
      </w:r>
      <w:r w:rsidRPr="00B96C43">
        <w:rPr>
          <w:rFonts w:ascii="Sylfaen" w:hAnsi="Sylfaen"/>
          <w:sz w:val="24"/>
          <w:szCs w:val="24"/>
        </w:rPr>
        <w:tab/>
        <w:t>ԱԴԲ-ի արտադրության գործընթացը</w:t>
      </w:r>
    </w:p>
    <w:p w14:paraId="48670FF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3.2.S.2.3.</w:t>
      </w:r>
      <w:r w:rsidRPr="00B96C43">
        <w:rPr>
          <w:rFonts w:ascii="Sylfaen" w:hAnsi="Sylfaen"/>
          <w:sz w:val="24"/>
          <w:szCs w:val="24"/>
        </w:rPr>
        <w:tab/>
        <w:t>Ելանյութերի հսկողությունը</w:t>
      </w:r>
    </w:p>
    <w:p w14:paraId="34DBE48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Պետք է ներառի՝</w:t>
      </w:r>
    </w:p>
    <w:p w14:paraId="72DABD3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սերմնանյութը՝ ստացման պատմությունը, կարգը (ստացման աղբյուրը, ամսաթիվը, պայմանները), շտամի անձնագիրը.</w:t>
      </w:r>
    </w:p>
    <w:p w14:paraId="4C99232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պասաժի պատմությունը (պասաժների քանակը, պասաժի պայմանները, կուլտիվացման սուբստրատը).</w:t>
      </w:r>
    </w:p>
    <w:p w14:paraId="29E71A2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հեմագլյուտինինի եւ նեյրամինիդազայի բնութագրերը որոշելը (շճաբանական հետազոտությունների եւ (կամ) հետազոտության մոլեկուլային գենետիկական մեթոդների տվյալները).</w:t>
      </w:r>
    </w:p>
    <w:p w14:paraId="21E291A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փորձարկումների արձանագրությունները (ներառյալ սերմնանյութի փորձարկումների արդյունքները)։</w:t>
      </w:r>
    </w:p>
    <w:p w14:paraId="0BFB4EF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3.2.S.2.4.</w:t>
      </w:r>
      <w:r w:rsidRPr="00B96C43">
        <w:rPr>
          <w:rFonts w:ascii="Sylfaen" w:hAnsi="Sylfaen"/>
          <w:sz w:val="24"/>
          <w:szCs w:val="24"/>
        </w:rPr>
        <w:tab/>
        <w:t>Կրիտիկական փուլերի եւ միջանկյալ արտադրանքի հսկողությունը</w:t>
      </w:r>
    </w:p>
    <w:p w14:paraId="431177FB"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3.2.S.2.5.</w:t>
      </w:r>
      <w:r w:rsidRPr="00B96C43">
        <w:rPr>
          <w:rFonts w:ascii="Sylfaen" w:hAnsi="Sylfaen"/>
          <w:sz w:val="24"/>
          <w:szCs w:val="24"/>
        </w:rPr>
        <w:tab/>
        <w:t>Արտադրական գործընթացի վալիդացումը եւ (կամ) դրա գնահատումը</w:t>
      </w:r>
    </w:p>
    <w:p w14:paraId="1034A3A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Չկշռածրարված միավալենտ արտադրանքի (մոնոպատվաստանյութի կիսաֆաբրիկատների) համար արտադրական գործընթացի վալիդացումը պետք է նախատեսի՝</w:t>
      </w:r>
    </w:p>
    <w:p w14:paraId="4E767AA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արտադրության գործընթացի համար սպեցիֆիկ փոփոխությունները.</w:t>
      </w:r>
    </w:p>
    <w:p w14:paraId="324D569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արտադրության մեջ ներմուծվող շտամներով պայմանավորված՝ արտադրության կրիտիկական փուլերի վալիդացումը.</w:t>
      </w:r>
    </w:p>
    <w:p w14:paraId="5BFF3EC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վիրուսի ինակտիվացման գործընթացը.</w:t>
      </w:r>
    </w:p>
    <w:p w14:paraId="6A1888B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վիրուսի տրոհման արդյունավետությունը (եթե կիրառելի է)։</w:t>
      </w:r>
    </w:p>
    <w:p w14:paraId="4A42FE8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3.2.S.3.</w:t>
      </w:r>
      <w:r w:rsidRPr="00B96C43">
        <w:rPr>
          <w:rFonts w:ascii="Sylfaen" w:hAnsi="Sylfaen"/>
          <w:sz w:val="24"/>
          <w:szCs w:val="24"/>
        </w:rPr>
        <w:tab/>
        <w:t>ԱԴԲ-ի բնութագրերի նկարագրությունը</w:t>
      </w:r>
    </w:p>
    <w:p w14:paraId="072B2D2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Բնութագրերի որոշման հետազոտությունների ընտրությունը (բաշխումը՝ ըստ մասնիկների չափերի, ագրեգատների առկայությունը եւ այլն)։</w:t>
      </w:r>
    </w:p>
    <w:p w14:paraId="1E70F0A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3.2.S.4.</w:t>
      </w:r>
      <w:r w:rsidRPr="00B96C43">
        <w:rPr>
          <w:rFonts w:ascii="Sylfaen" w:hAnsi="Sylfaen"/>
          <w:sz w:val="24"/>
          <w:szCs w:val="24"/>
        </w:rPr>
        <w:tab/>
        <w:t>ԱԴԲ-ի (մոնոպատվաստանյութերի) որակի հսկողությունը</w:t>
      </w:r>
    </w:p>
    <w:p w14:paraId="6DCD7103"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3.2.S.4.1.</w:t>
      </w:r>
      <w:r w:rsidRPr="00B96C43">
        <w:rPr>
          <w:rFonts w:ascii="Sylfaen" w:hAnsi="Sylfaen"/>
          <w:sz w:val="24"/>
          <w:szCs w:val="24"/>
        </w:rPr>
        <w:tab/>
        <w:t>Մասնագիրը</w:t>
      </w:r>
    </w:p>
    <w:p w14:paraId="7D75765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պատճենները։</w:t>
      </w:r>
    </w:p>
    <w:p w14:paraId="1E494045"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3.2.S.4.2.</w:t>
      </w:r>
      <w:r w:rsidRPr="00B96C43">
        <w:rPr>
          <w:rFonts w:ascii="Sylfaen" w:hAnsi="Sylfaen"/>
          <w:sz w:val="24"/>
          <w:szCs w:val="24"/>
        </w:rPr>
        <w:tab/>
        <w:t>Վերլուծական մեթոդիկաները</w:t>
      </w:r>
    </w:p>
    <w:p w14:paraId="7B33631E"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3.2.S.4.3.</w:t>
      </w:r>
      <w:r w:rsidRPr="00B96C43">
        <w:rPr>
          <w:rFonts w:ascii="Sylfaen" w:hAnsi="Sylfaen"/>
          <w:sz w:val="24"/>
          <w:szCs w:val="24"/>
        </w:rPr>
        <w:tab/>
        <w:t>Վերլուծական մեթոդիկաների վալիդացումը</w:t>
      </w:r>
    </w:p>
    <w:p w14:paraId="7D6E5DB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համար միակի ռադիալ իմունոդիֆուզիայի մեթոդիկայի վալիդացումը՝ հաշվի առնելով համապատասխան ստանդարտ նմուշները։</w:t>
      </w:r>
    </w:p>
    <w:p w14:paraId="0E0F5F4D"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3.2.S.4.4.</w:t>
      </w:r>
      <w:r w:rsidRPr="00B96C43">
        <w:rPr>
          <w:rFonts w:ascii="Sylfaen" w:hAnsi="Sylfaen"/>
          <w:sz w:val="24"/>
          <w:szCs w:val="24"/>
        </w:rPr>
        <w:tab/>
        <w:t>Սերիաների վերլուծությունները (սերիաների վերլուծության արդյունքները)</w:t>
      </w:r>
    </w:p>
    <w:p w14:paraId="7EC7CAA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պետք է ներառեն չկշռածրարված միավալենտ արտադրանքի առաջին երեք </w:t>
      </w:r>
      <w:r w:rsidRPr="00B96C43">
        <w:rPr>
          <w:rFonts w:ascii="Sylfaen" w:hAnsi="Sylfaen"/>
          <w:sz w:val="24"/>
          <w:szCs w:val="24"/>
        </w:rPr>
        <w:lastRenderedPageBreak/>
        <w:t>սերիաների փորձարկումների հետեւյալ արդյունքները (ներառյալ հեմագլյուտինինի եւ նեյրամինիդազայի իսկության ցուցանիշները)՝ պայմանով, որ, այդ արտադրանքն ստացվել է՝</w:t>
      </w:r>
    </w:p>
    <w:p w14:paraId="51B5BB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նոր գլխավոր սերմնանյութի աշխատանքային սերմնանյութի յուրաքանչյուր սերիայից.</w:t>
      </w:r>
    </w:p>
    <w:p w14:paraId="43F4CF7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հավանության արժանացած գլխավոր սերմնանյութի աշխատանքային սերմնանյութի յուրաքանչյուր սերիայից (այն դեպքում, երբ աշխատանքային սերմնանյութի նախապատրաստման ընթացակարգը տարբերվում է աշխատանքային սերմնանյութի նախապատրաստման՝ նախկինում կանոնակարգված ընթացակարգից)։</w:t>
      </w:r>
    </w:p>
    <w:p w14:paraId="21C7312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3.2.S.7.</w:t>
      </w:r>
      <w:r w:rsidRPr="00B96C43">
        <w:rPr>
          <w:rFonts w:ascii="Sylfaen" w:hAnsi="Sylfaen"/>
          <w:sz w:val="24"/>
          <w:szCs w:val="24"/>
        </w:rPr>
        <w:tab/>
        <w:t>Կայունությունը</w:t>
      </w:r>
    </w:p>
    <w:p w14:paraId="71B5EF8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ԱԴԲ-ի փորձարկումները կայունության մասով՝ անհրաժեշտ է ներկայացնել չկշռածրարված միավալենտ արտադրանքի փորձարկումների արդյունքները, եթե դրանք օգտագործվում են 1 տարուց ավելի։</w:t>
      </w:r>
    </w:p>
    <w:p w14:paraId="6BB3BF2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w:t>
      </w:r>
      <w:r w:rsidRPr="00B96C43">
        <w:rPr>
          <w:rFonts w:ascii="Sylfaen" w:hAnsi="Sylfaen"/>
          <w:sz w:val="24"/>
          <w:szCs w:val="24"/>
        </w:rPr>
        <w:tab/>
        <w:t>Դեղապատրաստուկը</w:t>
      </w:r>
    </w:p>
    <w:p w14:paraId="69B90738"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3.2.Р.1.</w:t>
      </w:r>
      <w:r w:rsidRPr="00B96C43">
        <w:rPr>
          <w:rFonts w:ascii="Sylfaen" w:hAnsi="Sylfaen"/>
          <w:sz w:val="24"/>
          <w:szCs w:val="24"/>
        </w:rPr>
        <w:tab/>
        <w:t>Դեղապատրաստուկի նկարագրությունը եւ բաղադրությունը</w:t>
      </w:r>
    </w:p>
    <w:p w14:paraId="7A56D74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Ներկայացվում է պատվաստանյութի բաղադրությունը։</w:t>
      </w:r>
    </w:p>
    <w:p w14:paraId="708D496E"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3.2.Р.2.</w:t>
      </w:r>
      <w:r w:rsidRPr="00B96C43">
        <w:rPr>
          <w:rFonts w:ascii="Sylfaen" w:hAnsi="Sylfaen"/>
          <w:sz w:val="24"/>
          <w:szCs w:val="24"/>
        </w:rPr>
        <w:tab/>
        <w:t>Դեղագործական մշակումը</w:t>
      </w:r>
    </w:p>
    <w:p w14:paraId="7746F95E" w14:textId="77777777" w:rsidR="00BD67EC" w:rsidRPr="00B96C43" w:rsidRDefault="00BD67EC" w:rsidP="00BD67EC">
      <w:pPr>
        <w:tabs>
          <w:tab w:val="left" w:pos="1843"/>
        </w:tabs>
        <w:spacing w:after="160" w:line="360" w:lineRule="auto"/>
        <w:ind w:firstLine="567"/>
        <w:rPr>
          <w:rFonts w:ascii="Sylfaen" w:hAnsi="Sylfaen"/>
          <w:sz w:val="24"/>
          <w:szCs w:val="24"/>
        </w:rPr>
      </w:pPr>
      <w:r w:rsidRPr="00B96C43">
        <w:rPr>
          <w:rFonts w:ascii="Sylfaen" w:hAnsi="Sylfaen"/>
          <w:sz w:val="24"/>
          <w:szCs w:val="24"/>
        </w:rPr>
        <w:t>3.2.Р.2.2.1.</w:t>
      </w:r>
      <w:r w:rsidRPr="00B96C43">
        <w:rPr>
          <w:rFonts w:ascii="Sylfaen" w:hAnsi="Sylfaen"/>
          <w:sz w:val="24"/>
          <w:szCs w:val="24"/>
        </w:rPr>
        <w:tab/>
        <w:t>Դեղաձեւի մշակումը</w:t>
      </w:r>
    </w:p>
    <w:p w14:paraId="78D9877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փոփոխված բաղադրությունը (նոր համաճարակային սեզոնի շտամները) եւ, եթե առաջադրվել է ամենամյա թարմացումը հիմնավորելու նպատակով կլինիկական հետազոտություն անցկացնելու պահանջ, կլինիկական հետազոտության մեջ օգտագործված սերիայի վերլուծության հավաստագիրը՝ նշված հավաստագրի նախապատրաստմանը զուգընթաց։</w:t>
      </w:r>
    </w:p>
    <w:p w14:paraId="4C2E542B"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lastRenderedPageBreak/>
        <w:t>3.2.Р.З.</w:t>
      </w:r>
      <w:r w:rsidRPr="00B96C43">
        <w:rPr>
          <w:rFonts w:ascii="Sylfaen" w:hAnsi="Sylfaen"/>
          <w:sz w:val="24"/>
          <w:szCs w:val="24"/>
        </w:rPr>
        <w:tab/>
        <w:t>Դեղապատրաստուկի արտադրության գործընթացը</w:t>
      </w:r>
    </w:p>
    <w:p w14:paraId="285FC62C"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3.2.Р.З.2.</w:t>
      </w:r>
      <w:r w:rsidRPr="00B96C43">
        <w:rPr>
          <w:rFonts w:ascii="Sylfaen" w:hAnsi="Sylfaen"/>
          <w:sz w:val="24"/>
          <w:szCs w:val="24"/>
        </w:rPr>
        <w:tab/>
        <w:t>Բաղադրությունն ըստ սերիայի (արտադրական դեղագրությունը)</w:t>
      </w:r>
    </w:p>
    <w:p w14:paraId="7D424392"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7227441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3.2.Р.5.1.</w:t>
      </w:r>
      <w:r w:rsidRPr="00B96C43">
        <w:rPr>
          <w:rFonts w:ascii="Sylfaen" w:hAnsi="Sylfaen"/>
          <w:sz w:val="24"/>
          <w:szCs w:val="24"/>
        </w:rPr>
        <w:tab/>
        <w:t>Մասնագրերը</w:t>
      </w:r>
    </w:p>
    <w:p w14:paraId="676B9FD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եւ մասնագրերի ցուցանիշների որոշման մեթոդիկաների պատճենները:</w:t>
      </w:r>
    </w:p>
    <w:p w14:paraId="26DFB63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3.2.Р.5.З.</w:t>
      </w:r>
      <w:r w:rsidRPr="00B96C43">
        <w:rPr>
          <w:rFonts w:ascii="Sylfaen" w:hAnsi="Sylfaen"/>
          <w:sz w:val="24"/>
          <w:szCs w:val="24"/>
        </w:rPr>
        <w:tab/>
        <w:t>Վերլուծական մեթոդիկաների վալիդացումը</w:t>
      </w:r>
    </w:p>
    <w:p w14:paraId="6F5E8E9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Նոր շտամի (շտամների) համար միակի ռադիալ իմունոդիֆուզիայի մեթոդիկայի վալիդացումը (չկշռածրարված եռավալենտ արտադրանքի կամ դեղապատրաստուկի օգտագործմամբ)։</w:t>
      </w:r>
    </w:p>
    <w:p w14:paraId="1991D1B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3.2.Р.8.</w:t>
      </w:r>
      <w:r w:rsidRPr="00B96C43">
        <w:rPr>
          <w:rFonts w:ascii="Sylfaen" w:hAnsi="Sylfaen"/>
          <w:sz w:val="24"/>
          <w:szCs w:val="24"/>
        </w:rPr>
        <w:tab/>
        <w:t>Դեղապատրաստուկի կայունությունը՝</w:t>
      </w:r>
    </w:p>
    <w:p w14:paraId="0A27014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սեզոնում կայունության մասին տվյալներ.</w:t>
      </w:r>
    </w:p>
    <w:p w14:paraId="156878D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կիրառման ժամկետի ընթացքում դրա կայունությունը հետազոտելու պարտավորություն.</w:t>
      </w:r>
    </w:p>
    <w:p w14:paraId="63F1134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կայունության հետգրանցումային հետազոտությունների արձանագրություններ։</w:t>
      </w:r>
    </w:p>
    <w:p w14:paraId="27893828" w14:textId="45E4458E" w:rsidR="00BD67EC" w:rsidRPr="00B96C43" w:rsidRDefault="00BD67EC" w:rsidP="00852B2A">
      <w:pPr>
        <w:spacing w:after="160" w:line="360" w:lineRule="auto"/>
        <w:ind w:firstLine="567"/>
        <w:rPr>
          <w:rFonts w:ascii="Sylfaen" w:hAnsi="Sylfaen"/>
          <w:sz w:val="24"/>
          <w:szCs w:val="24"/>
        </w:rPr>
      </w:pPr>
      <w:r w:rsidRPr="00B96C43">
        <w:rPr>
          <w:rFonts w:ascii="Sylfaen" w:hAnsi="Sylfaen"/>
          <w:sz w:val="24"/>
          <w:szCs w:val="24"/>
        </w:rPr>
        <w:t>Եթե սերմնանյութը կողմնակի ազդակների առկայության մասով ստուգվում է պոլիմերազային շղթայական ռեակցիայի (այսուհետ՝ ՊՇՌ) միջոցով եւ եթե ռեֆերենտ պետության փորձագիտական կազմակերպության հետ անցկացված խորհրդակցությունից հետո համաձայնեցվել է սերմնանյութի լրացուցիչ ՊՇՌ փորձարկումների անցկացման անհրաժեշտությունը, ապա այդ տվյալներն անհրաժեշտ է ներառել գրիպի կանխարգելման համար նախատեսված պատվաստանյութերի գրանցման դոսյեում։</w:t>
      </w:r>
    </w:p>
    <w:p w14:paraId="563C1A6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5.3. Լրացուցիչ տվյալները ներկայացնելու պահանջները </w:t>
      </w:r>
      <w:r w:rsidRPr="00B96C43">
        <w:rPr>
          <w:rFonts w:ascii="Sylfaen" w:hAnsi="Sylfaen"/>
          <w:sz w:val="24"/>
          <w:szCs w:val="24"/>
        </w:rPr>
        <w:br/>
        <w:t>(անդամ պետության լիազորված մարմնի կողմից հարցում կատարելուց հետո)</w:t>
      </w:r>
    </w:p>
    <w:p w14:paraId="5ACE441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Լրացուցիչ տվյալների հարցման դեպքում (կախված ներկայացվող լրացուցիչ տվյալների տեսակից) անհրաժեշտ է գրանցման դոսյեի համապատասխան բաժինները ԸՏՓ ձեւաչափով ներկայացնել փոփոխման համար։</w:t>
      </w:r>
    </w:p>
    <w:p w14:paraId="3616788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17199A0C"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4C37862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759C0444" w14:textId="614D253C" w:rsidR="00BD67EC" w:rsidRPr="00B96C43" w:rsidRDefault="00BD67EC" w:rsidP="00852B2A">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7D5C8BB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6269557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7E0133B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2 - 5-րդ մոդուլների բովանդակությունը (չի պահանջվում էԸՏՓ ձեւաչափով ներկայացնելու դեպքում)</w:t>
      </w:r>
    </w:p>
    <w:p w14:paraId="0F29B9C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4EC8565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ներածության թարմացումը կամ լրացումը (եթե կիրառելի է)։</w:t>
      </w:r>
    </w:p>
    <w:p w14:paraId="76A61688"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5CBB5D0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 (եթե կիրառելի է)։</w:t>
      </w:r>
    </w:p>
    <w:p w14:paraId="1AEDF9D1"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2.5.</w:t>
      </w:r>
      <w:r w:rsidRPr="00B96C43">
        <w:rPr>
          <w:rFonts w:ascii="Sylfaen" w:hAnsi="Sylfaen"/>
          <w:sz w:val="24"/>
          <w:szCs w:val="24"/>
        </w:rPr>
        <w:tab/>
        <w:t>Կլինիկական տվյալների ամփոփագիրը</w:t>
      </w:r>
    </w:p>
    <w:p w14:paraId="369599F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ամփոփագրի թարմացումը կամ լրացումը (եթե կիրառելի է)։</w:t>
      </w:r>
    </w:p>
    <w:p w14:paraId="243FBCA5"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lastRenderedPageBreak/>
        <w:t>2.7.</w:t>
      </w:r>
      <w:r w:rsidRPr="00B96C43">
        <w:rPr>
          <w:rFonts w:ascii="Sylfaen" w:hAnsi="Sylfaen"/>
          <w:sz w:val="24"/>
          <w:szCs w:val="24"/>
        </w:rPr>
        <w:tab/>
        <w:t>Կլինիկական տվյալների ռեզյումեն</w:t>
      </w:r>
    </w:p>
    <w:p w14:paraId="3C34D6B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կլինիկական ամփոփագրի թարմացումը կամ լրացումը (եթե կիրառելի է)։</w:t>
      </w:r>
    </w:p>
    <w:p w14:paraId="521DFCFA" w14:textId="2217BF7E" w:rsidR="00BD67EC" w:rsidRDefault="00BD67EC" w:rsidP="00BD67EC">
      <w:pPr>
        <w:spacing w:after="160" w:line="360" w:lineRule="auto"/>
        <w:ind w:firstLine="567"/>
        <w:rPr>
          <w:rFonts w:ascii="Sylfaen" w:hAnsi="Sylfaen"/>
          <w:sz w:val="24"/>
          <w:szCs w:val="24"/>
        </w:rPr>
      </w:pPr>
      <w:r w:rsidRPr="00B96C43">
        <w:rPr>
          <w:rFonts w:ascii="Sylfaen" w:hAnsi="Sylfaen"/>
          <w:sz w:val="24"/>
          <w:szCs w:val="24"/>
        </w:rPr>
        <w:t>3 - 5-րդ մոդուլներում պարունակվող տեղեկատվությունը ներկայացվում է որակի վերաբերյալ լրացուցիչ տվյալների, նախակլինիկական</w:t>
      </w:r>
      <w:r w:rsidRPr="00B96C43">
        <w:rPr>
          <w:rStyle w:val="FootnoteReference"/>
          <w:rFonts w:ascii="Sylfaen" w:hAnsi="Sylfaen"/>
          <w:sz w:val="24"/>
          <w:szCs w:val="24"/>
        </w:rPr>
        <w:footnoteReference w:id="44"/>
      </w:r>
      <w:r w:rsidRPr="00B96C43">
        <w:rPr>
          <w:rFonts w:ascii="Sylfaen" w:hAnsi="Sylfaen"/>
          <w:sz w:val="24"/>
          <w:szCs w:val="24"/>
        </w:rPr>
        <w:t xml:space="preserve"> եւ (կամ) կլինիկական</w:t>
      </w:r>
      <w:r w:rsidRPr="00B96C43">
        <w:rPr>
          <w:rStyle w:val="FootnoteReference"/>
          <w:rFonts w:ascii="Sylfaen" w:hAnsi="Sylfaen"/>
          <w:sz w:val="24"/>
          <w:szCs w:val="24"/>
        </w:rPr>
        <w:footnoteReference w:id="45"/>
      </w:r>
      <w:r w:rsidRPr="00B96C43">
        <w:rPr>
          <w:rFonts w:ascii="Sylfaen" w:hAnsi="Sylfaen"/>
          <w:sz w:val="24"/>
          <w:szCs w:val="24"/>
        </w:rPr>
        <w:t xml:space="preserve"> տվյալների հարցման դեպքում։</w:t>
      </w:r>
    </w:p>
    <w:p w14:paraId="73C87BBF" w14:textId="77777777" w:rsidR="00503B0F" w:rsidRPr="00E260DF" w:rsidRDefault="00503B0F" w:rsidP="00503B0F">
      <w:pPr>
        <w:spacing w:after="0" w:line="240" w:lineRule="auto"/>
        <w:rPr>
          <w:rFonts w:ascii="Sylfaen" w:hAnsi="Sylfaen"/>
          <w:sz w:val="20"/>
          <w:szCs w:val="20"/>
        </w:rPr>
      </w:pPr>
      <w:r w:rsidRPr="00E260DF">
        <w:rPr>
          <w:rStyle w:val="FootnoteReference"/>
          <w:rFonts w:ascii="Sylfaen" w:hAnsi="Sylfaen"/>
          <w:sz w:val="20"/>
          <w:szCs w:val="20"/>
        </w:rPr>
        <w:footnoteRef/>
      </w:r>
      <w:r w:rsidRPr="00E260DF">
        <w:rPr>
          <w:rFonts w:ascii="Sylfaen" w:hAnsi="Sylfaen"/>
          <w:sz w:val="20"/>
          <w:szCs w:val="20"/>
        </w:rPr>
        <w:t xml:space="preserve"> Գրիպի սեզոնային պատվաստանյութերի շտամների թարմացման դեպքում նախակլինիկական եւ (կամ) կլինիկական տվյալներ ներկայացնելու անհրաժեշտությունը, որպես կանոն, բացակայում է։</w:t>
      </w:r>
    </w:p>
    <w:p w14:paraId="73AF8051" w14:textId="77777777" w:rsidR="00852B2A" w:rsidRPr="00E260DF" w:rsidRDefault="00852B2A" w:rsidP="00852B2A">
      <w:pPr>
        <w:spacing w:after="0" w:line="240" w:lineRule="auto"/>
        <w:rPr>
          <w:rFonts w:ascii="Sylfaen" w:hAnsi="Sylfaen"/>
          <w:sz w:val="20"/>
          <w:szCs w:val="20"/>
        </w:rPr>
      </w:pPr>
      <w:r w:rsidRPr="00E260DF">
        <w:rPr>
          <w:rStyle w:val="FootnoteReference"/>
          <w:rFonts w:ascii="Sylfaen" w:hAnsi="Sylfaen"/>
          <w:sz w:val="20"/>
          <w:szCs w:val="20"/>
        </w:rPr>
        <w:footnoteRef/>
      </w:r>
      <w:r w:rsidRPr="00E260DF">
        <w:rPr>
          <w:rFonts w:ascii="Sylfaen" w:hAnsi="Sylfaen"/>
          <w:sz w:val="20"/>
          <w:szCs w:val="20"/>
        </w:rPr>
        <w:t xml:space="preserve"> Պատվաստանյութի ռեակտոգենության եւ իմունոգենության պրոֆիլի հետագծելիությունն անհրաժեշտ է ապահովել պատվաստանյութի անվտանգության եւ կանխարգելիչ արդյունավետության մշտադիտարկում անցկաց</w:t>
      </w:r>
      <w:r>
        <w:rPr>
          <w:rFonts w:ascii="Sylfaen" w:hAnsi="Sylfaen"/>
          <w:sz w:val="20"/>
          <w:szCs w:val="20"/>
        </w:rPr>
        <w:t>նելու միջոցով։</w:t>
      </w:r>
    </w:p>
    <w:p w14:paraId="0419FB40" w14:textId="77777777" w:rsidR="00503B0F" w:rsidRPr="00B96C43" w:rsidRDefault="00503B0F" w:rsidP="00BD67EC">
      <w:pPr>
        <w:spacing w:after="160" w:line="360" w:lineRule="auto"/>
        <w:ind w:firstLine="567"/>
        <w:rPr>
          <w:rFonts w:ascii="Sylfaen" w:hAnsi="Sylfaen"/>
          <w:sz w:val="24"/>
          <w:szCs w:val="24"/>
        </w:rPr>
      </w:pPr>
    </w:p>
    <w:p w14:paraId="637EDC22" w14:textId="59776B29" w:rsidR="00BD67EC" w:rsidRPr="00B96C43" w:rsidRDefault="00BD67EC" w:rsidP="00BD67EC"/>
    <w:p w14:paraId="14CFF1F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5.4. Գրիպի կանխարգելման համար նախատեսված կենդանի թուլացված (ատենուիրացված) պատվաստանյութերի շտամային բաղադրության մեջ փոփոխություններ կատարելու վերաբերյալ գրանցման դոսյեի փաստաթղթերին ներկայացվող պահանջները</w:t>
      </w:r>
    </w:p>
    <w:p w14:paraId="0882AD5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կենդանի թուլացված (ատենուիրացված) պատվաստանյութերի շտամային բաղադրության մեջ փոփոխություններ կատարելու վերաբերյալ դիմումը պետք է պարունակի ստորեւ նշված փաստաթղթերը։ Պահանջներից շեղումը (անհրաժեշտ կամ լրացուցիչ տվյալների բացակայությունը) պետք է հիմնավորված լինի 3-րդ մոդուլի համապատասխան բաժնում եւ համապատասխան ռեզյումեի (ամփոփագրի) մեջ, ինչպես նաեւ պետք է համաձայնեցված լինի անդամ պետությունների լիազորված մարմինների հետ՝ նախքան դիմում ներկայացնելը։</w:t>
      </w:r>
    </w:p>
    <w:p w14:paraId="1840617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Մոդուլ 1. Վարչական տեղեկատվությունը</w:t>
      </w:r>
    </w:p>
    <w:p w14:paraId="78E8901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0CEC851F"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68BBA3BE"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1.2.</w:t>
      </w:r>
      <w:r w:rsidRPr="00B96C43">
        <w:rPr>
          <w:rFonts w:ascii="Sylfaen" w:hAnsi="Sylfaen"/>
          <w:sz w:val="24"/>
          <w:szCs w:val="24"/>
        </w:rPr>
        <w:tab/>
        <w:t>Ընդհանուր փաստաթղթերը</w:t>
      </w:r>
    </w:p>
    <w:p w14:paraId="018593AF"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1.2.1.</w:t>
      </w:r>
      <w:r w:rsidRPr="00B96C43">
        <w:rPr>
          <w:rFonts w:ascii="Sylfaen" w:hAnsi="Sylfaen"/>
          <w:sz w:val="24"/>
          <w:szCs w:val="24"/>
        </w:rPr>
        <w:tab/>
        <w:t>Փոփոխություներ կատարելու վերաբերյալ դիմումը</w:t>
      </w:r>
    </w:p>
    <w:p w14:paraId="7C7F4403"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1.2.2.</w:t>
      </w:r>
      <w:r w:rsidRPr="00B96C43">
        <w:rPr>
          <w:rFonts w:ascii="Sylfaen" w:hAnsi="Sylfaen"/>
          <w:sz w:val="24"/>
          <w:szCs w:val="24"/>
        </w:rPr>
        <w:tab/>
        <w:t>Ռեֆերենտ անդամ պետության օրենսդրությանը համապատասխան սահմանված դեպքում եւ կարգով գրանցման հաստատման (վերագրանցման) եւ փորձաքննության համար վճարի (տուրքի) վճարումը հաստատող փաստաթղթերը</w:t>
      </w:r>
    </w:p>
    <w:p w14:paraId="39612412"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1.3.</w:t>
      </w:r>
      <w:r w:rsidRPr="00B96C43">
        <w:rPr>
          <w:rFonts w:ascii="Sylfaen" w:hAnsi="Sylfaen"/>
          <w:sz w:val="24"/>
          <w:szCs w:val="24"/>
        </w:rPr>
        <w:tab/>
        <w:t>Դեղապատրաստուկի ընդհանուր բնութագիրը, բժշկական կիրառության հրահանգը (ներդիր-թերթիկ), մակնշումը</w:t>
      </w:r>
    </w:p>
    <w:p w14:paraId="5EB1AB04"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1.3.1.</w:t>
      </w:r>
      <w:r w:rsidRPr="00B96C43">
        <w:rPr>
          <w:rFonts w:ascii="Sylfaen" w:hAnsi="Sylfaen"/>
          <w:sz w:val="24"/>
          <w:szCs w:val="24"/>
        </w:rPr>
        <w:tab/>
        <w:t>Դեղապատրաստուկի ընդհանուր բնութագրի, բժշկական կիրառության հրահանգի (ներդիր-թերթիկի) եւ մակնշման մակետների նախագծերը, որոնք կազմվել են դեղապատրաստուկների բժշկական կիրառության հրահանգին ներկայացվող պահանջներին համապատասխան</w:t>
      </w:r>
    </w:p>
    <w:p w14:paraId="60FAA88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Տեքստերում թույլատրվում է կատարել բացառապես նշված համաճարակային սեզոնում օգտագործված շտամներով պայմանավորված փոփոխություններ։</w:t>
      </w:r>
    </w:p>
    <w:p w14:paraId="0B20D283"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0538A24B"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68B6BB4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453BC785"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2-5-րդ մոդուլների բովանդակությունը (չի պահանջվում էԸՏՓ ձեւաչափով ներկայացնելու դեպքում)</w:t>
      </w:r>
    </w:p>
    <w:p w14:paraId="216217A7"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4B322F71"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lastRenderedPageBreak/>
        <w:t>ԸՏՓ-ի նախորդ ներածության թարմացումը կամ լրացումը (եթե կիրառելի է)։</w:t>
      </w:r>
    </w:p>
    <w:p w14:paraId="5F52F0B8"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0BE9A78D"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w:t>
      </w:r>
    </w:p>
    <w:p w14:paraId="1DCD847F"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Մոդուլ 3. Որակ</w:t>
      </w:r>
    </w:p>
    <w:p w14:paraId="7060BF6B"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3.2.S.2.</w:t>
      </w:r>
      <w:r w:rsidRPr="00B96C43">
        <w:rPr>
          <w:rFonts w:ascii="Sylfaen" w:hAnsi="Sylfaen"/>
          <w:sz w:val="24"/>
          <w:szCs w:val="24"/>
        </w:rPr>
        <w:tab/>
        <w:t>ԱԴԲ-ի արտադրության գործընթացը</w:t>
      </w:r>
    </w:p>
    <w:p w14:paraId="4A9C706B"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3.2.S.2.3.</w:t>
      </w:r>
      <w:r w:rsidRPr="00B96C43">
        <w:rPr>
          <w:rFonts w:ascii="Sylfaen" w:hAnsi="Sylfaen"/>
          <w:sz w:val="24"/>
          <w:szCs w:val="24"/>
        </w:rPr>
        <w:tab/>
        <w:t>Ելանյութերի հսկողությունը</w:t>
      </w:r>
    </w:p>
    <w:p w14:paraId="6E919F25"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Սերմնանյութի սերիաները (սերմնանյութի պատրաստման տեխնոլոգիայի պատմությունը)՝ ներառյալ՝</w:t>
      </w:r>
    </w:p>
    <w:p w14:paraId="63934C52"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սերմնանյութի ստացման ընթացակարգի նկարագրությունը՝ սկսած ատենուացիայի դոնորի եւ ԱՀԿ-ի կողմից առաջարկված շտամի (շտամների) գլխավոր սերմնանյութից.</w:t>
      </w:r>
    </w:p>
    <w:p w14:paraId="24E3C5A0"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ԱՀԿ-ի կողմից առաջարկված շտամի օգտագործմամբ՝ ցրտին ադապտացված վերատեսակավորող (ռեասորտանտ) շտամի ստացման պատմությունը (նշելով արտազատման վայրն ու պասիվացիայի պատմությունը) եւ ատենուացիայի օգտագործված դոնորի ստացման պատմությունը.</w:t>
      </w:r>
    </w:p>
    <w:p w14:paraId="51214AD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թուլացված (ատենուացված) շտամի գենոտիպի ուսումնասիրումը։ Թուլացված (ատենուացված) շտամի սեկվենավորման արդյունքները.</w:t>
      </w:r>
    </w:p>
    <w:p w14:paraId="053FF6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ֆենոտիպային բնութագրերը որոշելը՝ ջերմազգայուն (ջերմաանկայուն) ֆենոտիպ (ts) եւ ցրտին ադապտացված ֆենոտիպ (са)՝ ներառյալ ատենուացիայի լիարժեքության մասով փորձարկումների արդյունքներով որոշված ֆենոտիպը.</w:t>
      </w:r>
    </w:p>
    <w:p w14:paraId="01E1D1F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սերմնանյութի գենետիկ կայունությունը՝ ներառյալ համապատասխան գենոտիպային եւ ֆենոտիպային մարկերները (օրինակ՝ լիագենոմ սեկվենավորումը).</w:t>
      </w:r>
    </w:p>
    <w:p w14:paraId="4F40D5A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վերլուծական փորձարկումների արձանագրությունները (ներառյալ կողմնակի ազդակների բացակայության մասով փորձարկումները եւ վարակային ակտիվության </w:t>
      </w:r>
      <w:r w:rsidRPr="00B96C43">
        <w:rPr>
          <w:rFonts w:ascii="Sylfaen" w:hAnsi="Sylfaen"/>
          <w:sz w:val="24"/>
          <w:szCs w:val="24"/>
        </w:rPr>
        <w:lastRenderedPageBreak/>
        <w:t>վերաբերյալ տվյալները)</w:t>
      </w:r>
      <w:r w:rsidRPr="00B96C43">
        <w:rPr>
          <w:rStyle w:val="FootnoteReference"/>
          <w:rFonts w:ascii="Sylfaen" w:hAnsi="Sylfaen"/>
          <w:sz w:val="24"/>
          <w:szCs w:val="24"/>
        </w:rPr>
        <w:footnoteReference w:id="46"/>
      </w:r>
      <w:r w:rsidRPr="00B96C43">
        <w:rPr>
          <w:rFonts w:ascii="Sylfaen" w:hAnsi="Sylfaen"/>
          <w:sz w:val="24"/>
          <w:szCs w:val="24"/>
        </w:rPr>
        <w:t>.</w:t>
      </w:r>
    </w:p>
    <w:p w14:paraId="0551819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նեյրովիրուլենտության մասով փորձարկումները</w:t>
      </w:r>
      <w:r w:rsidRPr="00B96C43">
        <w:rPr>
          <w:rStyle w:val="FootnoteReference"/>
          <w:rFonts w:ascii="Sylfaen" w:hAnsi="Sylfaen"/>
          <w:sz w:val="24"/>
          <w:szCs w:val="24"/>
        </w:rPr>
        <w:footnoteReference w:id="47"/>
      </w:r>
      <w:r w:rsidRPr="00B96C43">
        <w:rPr>
          <w:rFonts w:ascii="Sylfaen" w:hAnsi="Sylfaen"/>
          <w:sz w:val="24"/>
          <w:szCs w:val="24"/>
        </w:rPr>
        <w:t>։</w:t>
      </w:r>
    </w:p>
    <w:p w14:paraId="22E4B25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3.2.S.2.4.</w:t>
      </w:r>
      <w:r w:rsidRPr="00B96C43">
        <w:rPr>
          <w:rFonts w:ascii="Sylfaen" w:hAnsi="Sylfaen"/>
          <w:sz w:val="24"/>
          <w:szCs w:val="24"/>
        </w:rPr>
        <w:tab/>
        <w:t>Կրիտիկական փուլերի եւ միջանկյալ արտադրանքի հսկողությունը</w:t>
      </w:r>
    </w:p>
    <w:p w14:paraId="3A9A16C2"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3.2.S.2.5.</w:t>
      </w:r>
      <w:r w:rsidRPr="00B96C43">
        <w:rPr>
          <w:rFonts w:ascii="Sylfaen" w:hAnsi="Sylfaen"/>
          <w:sz w:val="24"/>
          <w:szCs w:val="24"/>
        </w:rPr>
        <w:tab/>
        <w:t>Արտադրական գործընթացի վալիդացումը եւ (կամ) դրա գնահատումը</w:t>
      </w:r>
    </w:p>
    <w:p w14:paraId="4467ECF0" w14:textId="7CF070FC" w:rsidR="00BD67EC"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արտադրության գործընթացի համար (ներմուծվող շտամի արտադրության գործընթացի համար սպեցիֆիկ փոփոխությունների համար)։</w:t>
      </w:r>
    </w:p>
    <w:p w14:paraId="2DBA2477" w14:textId="77777777" w:rsidR="00924988" w:rsidRPr="00BD67EC" w:rsidRDefault="00924988" w:rsidP="00924988">
      <w:pPr>
        <w:pStyle w:val="Footnote0"/>
        <w:shd w:val="clear" w:color="auto" w:fill="auto"/>
        <w:spacing w:line="240" w:lineRule="auto"/>
        <w:rPr>
          <w:rFonts w:ascii="Sylfaen" w:hAnsi="Sylfaen"/>
          <w:lang w:val="hy-AM"/>
        </w:rPr>
      </w:pPr>
      <w:r w:rsidRPr="00E260DF">
        <w:rPr>
          <w:rStyle w:val="FootnoteReference"/>
          <w:rFonts w:ascii="Sylfaen" w:hAnsi="Sylfaen"/>
        </w:rPr>
        <w:footnoteRef/>
      </w:r>
      <w:r w:rsidRPr="00BD67EC">
        <w:rPr>
          <w:rFonts w:ascii="Sylfaen" w:hAnsi="Sylfaen"/>
          <w:lang w:val="hy-AM"/>
        </w:rPr>
        <w:t xml:space="preserve"> Եթե սերմնանյութը կողմնակի ազդակների առկայության մասով ստուգվում է ՊՇՌ-ի միջոցով եւ եթե փորձագիտական կազմակերպության հետ անցկացված խորհրդակցությունից հետո համաձայնեցվել է սերմնանյութի (գլխավոր եւ (կամ) աշխատանքային) լրացուցիչ ՊՇՌ փորձարկումների անցկացման անհրաժեշտությունը, ապա այդ տվյալներն անհրաժեշտ է ներառել գրանցման դոսյեում։</w:t>
      </w:r>
    </w:p>
    <w:p w14:paraId="6EC55A1E" w14:textId="6A9E7608" w:rsidR="00924988" w:rsidRPr="00B96C43" w:rsidRDefault="00924988" w:rsidP="001F5412">
      <w:pPr>
        <w:spacing w:after="160" w:line="240" w:lineRule="auto"/>
        <w:rPr>
          <w:rFonts w:ascii="Sylfaen" w:hAnsi="Sylfaen"/>
          <w:sz w:val="24"/>
          <w:szCs w:val="24"/>
        </w:rPr>
      </w:pPr>
      <w:r w:rsidRPr="00E260DF">
        <w:rPr>
          <w:rStyle w:val="FootnoteReference"/>
          <w:rFonts w:ascii="Sylfaen" w:hAnsi="Sylfaen"/>
          <w:sz w:val="20"/>
          <w:szCs w:val="20"/>
        </w:rPr>
        <w:footnoteRef/>
      </w:r>
      <w:r w:rsidRPr="00E260DF">
        <w:rPr>
          <w:rFonts w:ascii="Sylfaen" w:hAnsi="Sylfaen"/>
          <w:sz w:val="20"/>
          <w:szCs w:val="20"/>
        </w:rPr>
        <w:t xml:space="preserve"> Շտամների ամենամյա թարմացման (այսինքն՝ հակագենային դրեյֆով շտամների) համար նեյրովիրուլենտության մասով փորձարկումների անցկացումը, որպես կանոն, չի պահանջվում։ Նեյրովիրուլենտության մասով փորձարկումների անցկացումը պահանջվում է, եթե А տեսակի գրիպի վիրուսի ГА-ենթատեսակը կամ ներկայումս շրջանառվող գենետիկ գծերից տարբերվող՝ В տեսակի գրիպի վիրուսի նոր տեսակը ներառվել է պատվաստանյութերում, կամ պատվաստանյութի անվտանգության պրոֆիլի հետ կապված մասնավոր կ</w:t>
      </w:r>
      <w:r>
        <w:rPr>
          <w:rFonts w:ascii="Sylfaen" w:hAnsi="Sylfaen"/>
          <w:sz w:val="20"/>
          <w:szCs w:val="20"/>
        </w:rPr>
        <w:t>ասկածներ առաջանալու դեպքում</w:t>
      </w:r>
      <w:r w:rsidRPr="00924988">
        <w:rPr>
          <w:rFonts w:ascii="Sylfaen" w:hAnsi="Sylfaen"/>
          <w:sz w:val="20"/>
          <w:szCs w:val="20"/>
        </w:rPr>
        <w:t>:</w:t>
      </w:r>
    </w:p>
    <w:p w14:paraId="61F99292" w14:textId="77777777" w:rsidR="00BD67EC" w:rsidRPr="00B96C43" w:rsidRDefault="00BD67EC" w:rsidP="00BD67EC">
      <w:pPr>
        <w:spacing w:after="160" w:line="360" w:lineRule="auto"/>
        <w:ind w:firstLine="567"/>
        <w:rPr>
          <w:rFonts w:ascii="Sylfaen" w:hAnsi="Sylfaen"/>
          <w:sz w:val="24"/>
          <w:szCs w:val="24"/>
        </w:rPr>
      </w:pPr>
    </w:p>
    <w:p w14:paraId="3E78CDA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3.2.S.4.</w:t>
      </w:r>
      <w:r w:rsidRPr="00B96C43">
        <w:rPr>
          <w:rFonts w:ascii="Sylfaen" w:hAnsi="Sylfaen"/>
          <w:sz w:val="24"/>
          <w:szCs w:val="24"/>
        </w:rPr>
        <w:tab/>
        <w:t>ԱԴԲ-ի որակի հսկողությունը</w:t>
      </w:r>
    </w:p>
    <w:p w14:paraId="3B760E48"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3.2.S.4.1.</w:t>
      </w:r>
      <w:r w:rsidRPr="00B96C43">
        <w:rPr>
          <w:rFonts w:ascii="Sylfaen" w:hAnsi="Sylfaen"/>
          <w:sz w:val="24"/>
          <w:szCs w:val="24"/>
        </w:rPr>
        <w:tab/>
        <w:t>Մասնագիրը</w:t>
      </w:r>
    </w:p>
    <w:p w14:paraId="3B0EA3B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պատճենները։</w:t>
      </w:r>
    </w:p>
    <w:p w14:paraId="3BAC83B8"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3.2.S.4.2.</w:t>
      </w:r>
      <w:r w:rsidRPr="00B96C43">
        <w:rPr>
          <w:rFonts w:ascii="Sylfaen" w:hAnsi="Sylfaen"/>
          <w:sz w:val="24"/>
          <w:szCs w:val="24"/>
        </w:rPr>
        <w:tab/>
        <w:t>Վերլուծական մեթոդիկաները</w:t>
      </w:r>
    </w:p>
    <w:p w14:paraId="6445FF8F"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3.2.5.4.3.</w:t>
      </w:r>
      <w:r w:rsidRPr="00B96C43">
        <w:rPr>
          <w:rFonts w:ascii="Sylfaen" w:hAnsi="Sylfaen"/>
          <w:sz w:val="24"/>
          <w:szCs w:val="24"/>
        </w:rPr>
        <w:tab/>
        <w:t>Վերլուծական մեթոդիկաների վալիդացումը</w:t>
      </w:r>
    </w:p>
    <w:p w14:paraId="6C6A095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Վերլուծական մեթոդիկաների վալիդացումը՝ պայմանավորված նոր շտամի (շտամների) ներմուծման եւ նոր ռեագենտների օգտագործման հետ։</w:t>
      </w:r>
    </w:p>
    <w:p w14:paraId="3AF5E44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lastRenderedPageBreak/>
        <w:t>3.2.S.4.4.</w:t>
      </w:r>
      <w:r w:rsidRPr="00B96C43">
        <w:rPr>
          <w:rFonts w:ascii="Sylfaen" w:hAnsi="Sylfaen"/>
          <w:sz w:val="24"/>
          <w:szCs w:val="24"/>
        </w:rPr>
        <w:tab/>
        <w:t>Սերիաների վերլուծությունները (սերիաների վերլուծության արդյունքները)</w:t>
      </w:r>
    </w:p>
    <w:p w14:paraId="0643CB0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առաջին երեք սերիաների փորձարկումների արդյունքները։</w:t>
      </w:r>
    </w:p>
    <w:p w14:paraId="71D03403"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3.2.S.7.</w:t>
      </w:r>
      <w:r w:rsidRPr="00B96C43">
        <w:rPr>
          <w:rFonts w:ascii="Sylfaen" w:hAnsi="Sylfaen"/>
          <w:sz w:val="24"/>
          <w:szCs w:val="24"/>
        </w:rPr>
        <w:tab/>
        <w:t>Կայունությունը</w:t>
      </w:r>
    </w:p>
    <w:p w14:paraId="5B6855F1"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ԱԴԲ-ի փորձարկումները կայունության մասով՝ չկշռածրարված միավալենտ արտադրանքների փորձարկումների արդյունքները, եթե դրանք օգտագործվում են 1 տարուց ավելի։</w:t>
      </w:r>
    </w:p>
    <w:p w14:paraId="4CB5EC52"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w:t>
      </w:r>
      <w:r w:rsidRPr="00B96C43">
        <w:rPr>
          <w:rFonts w:ascii="Sylfaen" w:hAnsi="Sylfaen"/>
          <w:sz w:val="24"/>
          <w:szCs w:val="24"/>
        </w:rPr>
        <w:tab/>
        <w:t>Դեղապատրաստուկը</w:t>
      </w:r>
    </w:p>
    <w:p w14:paraId="7A37E399"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3.2.Р.1.</w:t>
      </w:r>
      <w:r w:rsidRPr="00B96C43">
        <w:rPr>
          <w:rFonts w:ascii="Sylfaen" w:hAnsi="Sylfaen"/>
          <w:sz w:val="24"/>
          <w:szCs w:val="24"/>
        </w:rPr>
        <w:tab/>
        <w:t>Դեղապատրաստուկի նկարագրությունը եւ բաղադրությունը</w:t>
      </w:r>
    </w:p>
    <w:p w14:paraId="4D234E4E"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Դեղապատրաստուկի բաղադրությունը։</w:t>
      </w:r>
    </w:p>
    <w:p w14:paraId="5E7FEB90"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3.2.Р.2.</w:t>
      </w:r>
      <w:r w:rsidRPr="00B96C43">
        <w:rPr>
          <w:rFonts w:ascii="Sylfaen" w:hAnsi="Sylfaen"/>
          <w:sz w:val="24"/>
          <w:szCs w:val="24"/>
        </w:rPr>
        <w:tab/>
        <w:t>Դեղագործական մշակումը</w:t>
      </w:r>
    </w:p>
    <w:p w14:paraId="6C7CDC5C" w14:textId="77777777" w:rsidR="00BD67EC" w:rsidRPr="00B96C43" w:rsidRDefault="00BD67EC" w:rsidP="00BD67EC">
      <w:pPr>
        <w:tabs>
          <w:tab w:val="left" w:pos="1843"/>
        </w:tabs>
        <w:spacing w:after="160" w:line="336" w:lineRule="auto"/>
        <w:ind w:firstLine="567"/>
        <w:rPr>
          <w:rFonts w:ascii="Sylfaen" w:hAnsi="Sylfaen"/>
          <w:sz w:val="24"/>
          <w:szCs w:val="24"/>
        </w:rPr>
      </w:pPr>
      <w:r w:rsidRPr="00B96C43">
        <w:rPr>
          <w:rFonts w:ascii="Sylfaen" w:hAnsi="Sylfaen"/>
          <w:sz w:val="24"/>
          <w:szCs w:val="24"/>
        </w:rPr>
        <w:t>3.2.Р.2.2.1.</w:t>
      </w:r>
      <w:r w:rsidRPr="00B96C43">
        <w:rPr>
          <w:rFonts w:ascii="Sylfaen" w:hAnsi="Sylfaen"/>
          <w:sz w:val="24"/>
          <w:szCs w:val="24"/>
        </w:rPr>
        <w:tab/>
        <w:t>Դեղաձեւի մշակումը</w:t>
      </w:r>
    </w:p>
    <w:p w14:paraId="0D1EA897"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Պատվաստանյութի փոփոխված բաղադրությունը (նոր սեզոնի շտամները) եւ, եթե առաջադրվել է ամենամյա թարմացումը հիմնավորելու նպատակով պատվաստանյութի կլինիկական հետազոտություն անցկացնելու պահանջ, ապա կլինիկական հետազոտության մեջ օգտագործված սերիայի վերլուծության հավաստագիրը՝ դրանց կազմմանը զուգընթաց։</w:t>
      </w:r>
    </w:p>
    <w:p w14:paraId="6C36635F"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3.2.Р.З.</w:t>
      </w:r>
      <w:r w:rsidRPr="00B96C43">
        <w:rPr>
          <w:rFonts w:ascii="Sylfaen" w:hAnsi="Sylfaen"/>
          <w:sz w:val="24"/>
          <w:szCs w:val="24"/>
        </w:rPr>
        <w:tab/>
        <w:t>Դեղապատրաստուկի արտադրության գործընթացը</w:t>
      </w:r>
    </w:p>
    <w:p w14:paraId="7D8F2E6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3.2.Р.З.2.</w:t>
      </w:r>
      <w:r w:rsidRPr="00B96C43">
        <w:rPr>
          <w:rFonts w:ascii="Sylfaen" w:hAnsi="Sylfaen"/>
          <w:sz w:val="24"/>
          <w:szCs w:val="24"/>
        </w:rPr>
        <w:tab/>
        <w:t>Բաղադրությունն ըստ սերիայի (արտադրական դեղագրությունը)</w:t>
      </w:r>
    </w:p>
    <w:p w14:paraId="78F3AE5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3773E465"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3.2.Р.5.1.</w:t>
      </w:r>
      <w:r w:rsidRPr="00B96C43">
        <w:rPr>
          <w:rFonts w:ascii="Sylfaen" w:hAnsi="Sylfaen"/>
          <w:sz w:val="24"/>
          <w:szCs w:val="24"/>
        </w:rPr>
        <w:tab/>
        <w:t>Մասնագրերը</w:t>
      </w:r>
    </w:p>
    <w:p w14:paraId="740DD7B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Աղյուսակի ձեւաչափով՝ հաստատված մասնագրերի եւ մասնագրերի </w:t>
      </w:r>
      <w:r w:rsidRPr="00B96C43">
        <w:rPr>
          <w:rFonts w:ascii="Sylfaen" w:hAnsi="Sylfaen"/>
          <w:sz w:val="24"/>
          <w:szCs w:val="24"/>
        </w:rPr>
        <w:lastRenderedPageBreak/>
        <w:t>ցուցանիշների որոշման մեթոդիկաների պատճենները</w:t>
      </w:r>
    </w:p>
    <w:p w14:paraId="5219B6A9"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3F81654F"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3.2.Р.5.3.</w:t>
      </w:r>
      <w:r w:rsidRPr="00B96C43">
        <w:rPr>
          <w:rFonts w:ascii="Sylfaen" w:hAnsi="Sylfaen"/>
          <w:sz w:val="24"/>
          <w:szCs w:val="24"/>
        </w:rPr>
        <w:tab/>
        <w:t>Վերլուծական մեթոդիկաների վալիդացումը</w:t>
      </w:r>
    </w:p>
    <w:p w14:paraId="62186176"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Վերլուծական մեթոդիկաների վալիդացումը (չկշռածրարված եռավալենտ նյութի կամ դեղապատրաստուկի պատրաստի ձեւի օգտագործմամբ)։</w:t>
      </w:r>
    </w:p>
    <w:p w14:paraId="5C5FDCEF"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3.2.Р.5.4.</w:t>
      </w:r>
      <w:r w:rsidRPr="00B96C43">
        <w:rPr>
          <w:rFonts w:ascii="Sylfaen" w:hAnsi="Sylfaen"/>
          <w:sz w:val="24"/>
          <w:szCs w:val="24"/>
        </w:rPr>
        <w:tab/>
        <w:t>Սերիաների վերլուծության արդյունքները</w:t>
      </w:r>
    </w:p>
    <w:p w14:paraId="64AB9A55"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3.2.Р.6.</w:t>
      </w:r>
      <w:r w:rsidRPr="00B96C43">
        <w:rPr>
          <w:rFonts w:ascii="Sylfaen" w:hAnsi="Sylfaen"/>
          <w:sz w:val="24"/>
          <w:szCs w:val="24"/>
        </w:rPr>
        <w:tab/>
        <w:t>Ստանդարտ նմուշները եւ նյութերը</w:t>
      </w:r>
    </w:p>
    <w:p w14:paraId="264CA318"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Ստանդարտ նմուշները եւ նյութերը՝ ներմուծվող շտամի (շտամների) համար։</w:t>
      </w:r>
    </w:p>
    <w:p w14:paraId="65199EFE"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3.2.Р.8.</w:t>
      </w:r>
      <w:r w:rsidRPr="00B96C43">
        <w:rPr>
          <w:rFonts w:ascii="Sylfaen" w:hAnsi="Sylfaen"/>
          <w:sz w:val="24"/>
          <w:szCs w:val="24"/>
        </w:rPr>
        <w:tab/>
        <w:t>Դեղապատրաստուկի կայունությունը՝</w:t>
      </w:r>
    </w:p>
    <w:p w14:paraId="22F556DC"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նախորդ սեզոնում կայունության մասին տվյալներ.</w:t>
      </w:r>
    </w:p>
    <w:p w14:paraId="3911EE92"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կայունության ուսումնասիրման պարտավորություններ.</w:t>
      </w:r>
    </w:p>
    <w:p w14:paraId="7FFA16C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կայունության հետգրանցումային հետազոտությունների արձանագրություններ։</w:t>
      </w:r>
    </w:p>
    <w:p w14:paraId="3849A66B" w14:textId="77777777" w:rsidR="00BD67EC" w:rsidRPr="00B96C43" w:rsidRDefault="00BD67EC" w:rsidP="00BD67EC">
      <w:pPr>
        <w:spacing w:after="120"/>
        <w:ind w:firstLine="567"/>
        <w:jc w:val="both"/>
      </w:pPr>
    </w:p>
    <w:p w14:paraId="7C8218BB"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5.5. Անդամ պետությունների լիազորված մարմինների </w:t>
      </w:r>
      <w:r w:rsidRPr="00B96C43">
        <w:rPr>
          <w:rFonts w:ascii="Sylfaen" w:hAnsi="Sylfaen"/>
          <w:sz w:val="24"/>
          <w:szCs w:val="24"/>
        </w:rPr>
        <w:br/>
        <w:t xml:space="preserve">(փորձագիտական կազմակերպությունների) հարցման հիման վրա </w:t>
      </w:r>
      <w:r w:rsidRPr="00B96C43">
        <w:rPr>
          <w:rFonts w:ascii="Sylfaen" w:hAnsi="Sylfaen"/>
          <w:sz w:val="24"/>
          <w:szCs w:val="24"/>
        </w:rPr>
        <w:br/>
        <w:t>լրացուցիչ տվյալները ներկայացնելու պահանջները</w:t>
      </w:r>
    </w:p>
    <w:p w14:paraId="25FBB12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6"/>
          <w:sz w:val="24"/>
          <w:szCs w:val="24"/>
        </w:rPr>
        <w:t>Լրացուցիչ տվյալների հարցման դեպքում՝ ներկայացվող լրացուցիչ տվյալների տեսակով պայմանավորված, անհրաժեշտ է գրանցման դոսյեի համապատասխան բաժինները ԸՏՓ ձեւաչափով ներկայացնել փ</w:t>
      </w:r>
      <w:r w:rsidRPr="00B96C43">
        <w:rPr>
          <w:rFonts w:ascii="Sylfaen" w:hAnsi="Sylfaen"/>
          <w:sz w:val="24"/>
          <w:szCs w:val="24"/>
        </w:rPr>
        <w:t>ոփոխման համար։</w:t>
      </w:r>
    </w:p>
    <w:p w14:paraId="43C8CCE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0969DE0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3D76EAF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 xml:space="preserve">Բովանդակությունը (չի պահանջվում էԸՏՓ ձեւաչափով ներկայացնելու </w:t>
      </w:r>
      <w:r w:rsidRPr="00B96C43">
        <w:rPr>
          <w:rFonts w:ascii="Sylfaen" w:hAnsi="Sylfaen"/>
          <w:sz w:val="24"/>
          <w:szCs w:val="24"/>
        </w:rPr>
        <w:lastRenderedPageBreak/>
        <w:t>դեպքում)</w:t>
      </w:r>
    </w:p>
    <w:p w14:paraId="1621B3D8"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25FD275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7BDAB4C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105537E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2-5-րդ մոդուլների բովանդակությունը (չի պահանջվում էԸՏՓ ձեւաչափով ներկայացնելու դեպքում)</w:t>
      </w:r>
    </w:p>
    <w:p w14:paraId="304DEF5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38E370F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ԸՏՓ-ի նախորդ ներածության թարմացումը կամ լրացումը (եթե կիրառելի է)։</w:t>
      </w:r>
    </w:p>
    <w:p w14:paraId="08725CFA"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266585B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 (եթե կիրառելի է)։</w:t>
      </w:r>
    </w:p>
    <w:p w14:paraId="1FC86FD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2.5.</w:t>
      </w:r>
      <w:r w:rsidRPr="00B96C43">
        <w:rPr>
          <w:rFonts w:ascii="Sylfaen" w:hAnsi="Sylfaen"/>
          <w:sz w:val="24"/>
          <w:szCs w:val="24"/>
        </w:rPr>
        <w:tab/>
        <w:t>Կլինիկական տվյալների ամփոփագիրը</w:t>
      </w:r>
    </w:p>
    <w:p w14:paraId="677840B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կլինիկական ամփոփագրի թարմացումը կամ լրացումը (եթե կիրառելի է)։</w:t>
      </w:r>
    </w:p>
    <w:p w14:paraId="2F62AA33" w14:textId="64782EAD" w:rsidR="00BD67EC" w:rsidRPr="00B96C43" w:rsidRDefault="00BD67EC" w:rsidP="00C67BCC">
      <w:pPr>
        <w:pBdr>
          <w:bottom w:val="single" w:sz="6" w:space="1" w:color="auto"/>
        </w:pBdr>
        <w:spacing w:after="160" w:line="360" w:lineRule="auto"/>
        <w:ind w:firstLine="567"/>
        <w:rPr>
          <w:rFonts w:ascii="Sylfaen" w:hAnsi="Sylfaen"/>
          <w:sz w:val="24"/>
          <w:szCs w:val="24"/>
        </w:rPr>
      </w:pPr>
      <w:r w:rsidRPr="00B96C43">
        <w:rPr>
          <w:rFonts w:ascii="Sylfaen" w:hAnsi="Sylfaen"/>
          <w:sz w:val="24"/>
          <w:szCs w:val="24"/>
        </w:rPr>
        <w:t>3 - 5-րդ մոդուլներում պարունակվող տեղեկատվությունը ներկայացվում է որակի վերաբերյալ լրացուցիչ տվյալների, նախակլինիկական</w:t>
      </w:r>
      <w:r w:rsidRPr="00B96C43">
        <w:rPr>
          <w:rFonts w:ascii="Sylfaen" w:hAnsi="Sylfaen"/>
          <w:sz w:val="24"/>
          <w:szCs w:val="24"/>
          <w:vertAlign w:val="superscript"/>
        </w:rPr>
        <w:t>1</w:t>
      </w:r>
      <w:r w:rsidRPr="00B96C43">
        <w:rPr>
          <w:rFonts w:ascii="Sylfaen" w:hAnsi="Sylfaen"/>
          <w:sz w:val="24"/>
          <w:szCs w:val="24"/>
        </w:rPr>
        <w:t xml:space="preserve"> եւ (կամ) կլինիկական</w:t>
      </w:r>
      <w:r w:rsidRPr="00B96C43">
        <w:rPr>
          <w:rFonts w:ascii="Sylfaen" w:hAnsi="Sylfaen"/>
          <w:sz w:val="24"/>
          <w:szCs w:val="24"/>
          <w:vertAlign w:val="superscript"/>
        </w:rPr>
        <w:t xml:space="preserve">2 </w:t>
      </w:r>
      <w:r w:rsidRPr="00B96C43">
        <w:rPr>
          <w:rFonts w:ascii="Sylfaen" w:hAnsi="Sylfaen"/>
          <w:sz w:val="24"/>
          <w:szCs w:val="24"/>
        </w:rPr>
        <w:t>տվյալների հարցման դեպքում։</w:t>
      </w:r>
    </w:p>
    <w:p w14:paraId="232E393A" w14:textId="5CC502CD" w:rsidR="00C67BCC" w:rsidRPr="00C67BCC" w:rsidRDefault="00C67BCC" w:rsidP="00C67BCC">
      <w:pPr>
        <w:tabs>
          <w:tab w:val="left" w:pos="1134"/>
        </w:tabs>
        <w:spacing w:after="160" w:line="360" w:lineRule="auto"/>
        <w:ind w:right="-8" w:firstLine="567"/>
        <w:jc w:val="both"/>
        <w:rPr>
          <w:rFonts w:ascii="Sylfaen" w:hAnsi="Sylfaen"/>
          <w:b/>
          <w:bCs/>
          <w:i/>
          <w:iCs/>
          <w:sz w:val="24"/>
          <w:szCs w:val="24"/>
        </w:rPr>
      </w:pPr>
      <w:r w:rsidRPr="00C67BCC">
        <w:rPr>
          <w:rFonts w:ascii="Sylfaen" w:hAnsi="Sylfaen"/>
          <w:b/>
          <w:bCs/>
          <w:i/>
          <w:iCs/>
          <w:sz w:val="24"/>
          <w:szCs w:val="24"/>
        </w:rPr>
        <w:t>(</w:t>
      </w:r>
      <w:r>
        <w:rPr>
          <w:rFonts w:ascii="Sylfaen" w:hAnsi="Sylfaen"/>
          <w:b/>
          <w:bCs/>
          <w:i/>
          <w:iCs/>
          <w:sz w:val="24"/>
          <w:szCs w:val="24"/>
        </w:rPr>
        <w:t>հավելվածը</w:t>
      </w:r>
      <w:r w:rsidRPr="007130F9">
        <w:rPr>
          <w:rFonts w:ascii="Sylfaen" w:hAnsi="Sylfaen"/>
          <w:b/>
          <w:bCs/>
          <w:i/>
          <w:iCs/>
          <w:sz w:val="24"/>
          <w:szCs w:val="24"/>
        </w:rPr>
        <w:t xml:space="preserve"> լրաց. 14.06.18 թ</w:t>
      </w:r>
      <w:r>
        <w:rPr>
          <w:rFonts w:ascii="Sylfaen" w:hAnsi="Sylfaen"/>
          <w:b/>
          <w:bCs/>
          <w:i/>
          <w:iCs/>
          <w:sz w:val="24"/>
          <w:szCs w:val="24"/>
        </w:rPr>
        <w:t>ի</w:t>
      </w:r>
      <w:r w:rsidRPr="007130F9">
        <w:rPr>
          <w:rFonts w:ascii="Sylfaen" w:hAnsi="Sylfaen"/>
          <w:b/>
          <w:bCs/>
          <w:i/>
          <w:iCs/>
          <w:sz w:val="24"/>
          <w:szCs w:val="24"/>
        </w:rPr>
        <w:t>վ 55</w:t>
      </w:r>
      <w:r w:rsidRPr="00C67BCC">
        <w:rPr>
          <w:rFonts w:ascii="Sylfaen" w:hAnsi="Sylfaen"/>
          <w:b/>
          <w:bCs/>
          <w:i/>
          <w:iCs/>
          <w:sz w:val="24"/>
          <w:szCs w:val="24"/>
        </w:rPr>
        <w:t>)</w:t>
      </w:r>
    </w:p>
    <w:p w14:paraId="46A90E5A" w14:textId="38992C8C" w:rsidR="00C67BCC" w:rsidRPr="007130F9" w:rsidRDefault="00C67BCC" w:rsidP="00C67BCC">
      <w:pPr>
        <w:tabs>
          <w:tab w:val="left" w:pos="1134"/>
        </w:tabs>
        <w:spacing w:after="160" w:line="360" w:lineRule="auto"/>
        <w:ind w:right="-8" w:firstLine="567"/>
        <w:jc w:val="both"/>
        <w:rPr>
          <w:rFonts w:ascii="Sylfaen" w:hAnsi="Sylfaen"/>
          <w:b/>
          <w:bCs/>
          <w:i/>
          <w:iCs/>
          <w:sz w:val="24"/>
          <w:szCs w:val="24"/>
        </w:rPr>
      </w:pPr>
      <w:r w:rsidRPr="00C67BCC">
        <w:rPr>
          <w:rFonts w:ascii="Sylfaen" w:hAnsi="Sylfaen"/>
          <w:b/>
          <w:bCs/>
          <w:i/>
          <w:iCs/>
          <w:sz w:val="24"/>
          <w:szCs w:val="24"/>
        </w:rPr>
        <w:t>(</w:t>
      </w:r>
      <w:r>
        <w:rPr>
          <w:rFonts w:ascii="Sylfaen" w:hAnsi="Sylfaen"/>
          <w:b/>
          <w:bCs/>
          <w:i/>
          <w:iCs/>
          <w:sz w:val="24"/>
          <w:szCs w:val="24"/>
        </w:rPr>
        <w:t>հավելվածը փոփ.,</w:t>
      </w:r>
      <w:r w:rsidRPr="007130F9">
        <w:rPr>
          <w:rFonts w:ascii="Sylfaen" w:hAnsi="Sylfaen"/>
          <w:b/>
          <w:bCs/>
          <w:i/>
          <w:iCs/>
          <w:sz w:val="24"/>
          <w:szCs w:val="24"/>
        </w:rPr>
        <w:t xml:space="preserve"> լրաց. 14.06.18 թ</w:t>
      </w:r>
      <w:r>
        <w:rPr>
          <w:rFonts w:ascii="Sylfaen" w:hAnsi="Sylfaen"/>
          <w:b/>
          <w:bCs/>
          <w:i/>
          <w:iCs/>
          <w:sz w:val="24"/>
          <w:szCs w:val="24"/>
        </w:rPr>
        <w:t>ի</w:t>
      </w:r>
      <w:r w:rsidRPr="007130F9">
        <w:rPr>
          <w:rFonts w:ascii="Sylfaen" w:hAnsi="Sylfaen"/>
          <w:b/>
          <w:bCs/>
          <w:i/>
          <w:iCs/>
          <w:sz w:val="24"/>
          <w:szCs w:val="24"/>
        </w:rPr>
        <w:t>վ 55</w:t>
      </w:r>
      <w:r w:rsidRPr="00C67BCC">
        <w:rPr>
          <w:rFonts w:ascii="Sylfaen" w:hAnsi="Sylfaen"/>
          <w:b/>
          <w:bCs/>
          <w:i/>
          <w:iCs/>
          <w:sz w:val="24"/>
          <w:szCs w:val="24"/>
        </w:rPr>
        <w:t>)</w:t>
      </w:r>
    </w:p>
    <w:p w14:paraId="143EC21A" w14:textId="77777777" w:rsidR="00C67BCC" w:rsidRPr="007130F9" w:rsidRDefault="00C67BCC" w:rsidP="00C67BCC">
      <w:pPr>
        <w:tabs>
          <w:tab w:val="left" w:pos="1134"/>
        </w:tabs>
        <w:spacing w:after="160" w:line="360" w:lineRule="auto"/>
        <w:ind w:right="-8" w:firstLine="567"/>
        <w:jc w:val="both"/>
        <w:rPr>
          <w:rFonts w:ascii="Sylfaen" w:hAnsi="Sylfaen"/>
          <w:b/>
          <w:bCs/>
          <w:i/>
          <w:iCs/>
          <w:sz w:val="24"/>
          <w:szCs w:val="24"/>
        </w:rPr>
      </w:pPr>
    </w:p>
    <w:p w14:paraId="2C430BF3" w14:textId="77777777" w:rsidR="00C67BCC" w:rsidRPr="00E260DF" w:rsidRDefault="00C67BCC" w:rsidP="00BD67EC">
      <w:pPr>
        <w:spacing w:after="160" w:line="360" w:lineRule="auto"/>
        <w:jc w:val="center"/>
        <w:rPr>
          <w:rFonts w:ascii="Sylfaen" w:hAnsi="Sylfaen"/>
          <w:sz w:val="24"/>
          <w:szCs w:val="24"/>
        </w:rPr>
      </w:pPr>
    </w:p>
    <w:tbl>
      <w:tblPr>
        <w:tblW w:w="5000" w:type="pct"/>
        <w:jc w:val="center"/>
        <w:tblCellSpacing w:w="7" w:type="dxa"/>
        <w:tblCellMar>
          <w:top w:w="15" w:type="dxa"/>
          <w:left w:w="15" w:type="dxa"/>
          <w:bottom w:w="15" w:type="dxa"/>
          <w:right w:w="15" w:type="dxa"/>
        </w:tblCellMar>
        <w:tblLook w:val="04A0" w:firstRow="1" w:lastRow="0" w:firstColumn="1" w:lastColumn="0" w:noHBand="0" w:noVBand="1"/>
      </w:tblPr>
      <w:tblGrid>
        <w:gridCol w:w="9404"/>
      </w:tblGrid>
      <w:tr w:rsidR="00D37FAA" w:rsidRPr="00060185" w14:paraId="49F70DD4" w14:textId="77777777" w:rsidTr="004215B2">
        <w:trPr>
          <w:tblCellSpacing w:w="7" w:type="dxa"/>
          <w:jc w:val="center"/>
        </w:trPr>
        <w:tc>
          <w:tcPr>
            <w:tcW w:w="4500" w:type="dxa"/>
            <w:vAlign w:val="bottom"/>
            <w:hideMark/>
          </w:tcPr>
          <w:p w14:paraId="1934CC7B" w14:textId="77777777" w:rsidR="00D37FAA" w:rsidRPr="00060185" w:rsidRDefault="00D37FAA" w:rsidP="004215B2">
            <w:pPr>
              <w:widowControl/>
              <w:spacing w:after="0" w:line="240" w:lineRule="auto"/>
              <w:jc w:val="right"/>
              <w:rPr>
                <w:rFonts w:ascii="Sylfaen" w:eastAsia="Times New Roman" w:hAnsi="Sylfaen" w:cs="Times New Roman"/>
                <w:sz w:val="24"/>
                <w:szCs w:val="24"/>
                <w:lang w:eastAsia="en-US" w:bidi="ar-SA"/>
              </w:rPr>
            </w:pPr>
            <w:r w:rsidRPr="00060185">
              <w:rPr>
                <w:rFonts w:ascii="Sylfaen" w:eastAsia="Times New Roman" w:hAnsi="Sylfaen" w:cs="Times New Roman"/>
                <w:b/>
                <w:bCs/>
                <w:sz w:val="24"/>
                <w:szCs w:val="24"/>
                <w:lang w:eastAsia="en-US" w:bidi="ar-SA"/>
              </w:rPr>
              <w:lastRenderedPageBreak/>
              <w:t xml:space="preserve">ՀԱՎԵԼՎԱԾ ԹԻՎ 25 </w:t>
            </w:r>
          </w:p>
          <w:p w14:paraId="19953984" w14:textId="77777777" w:rsidR="00D37FAA" w:rsidRPr="00060185" w:rsidRDefault="00D37FAA" w:rsidP="004215B2">
            <w:pPr>
              <w:widowControl/>
              <w:spacing w:after="0" w:line="240" w:lineRule="auto"/>
              <w:jc w:val="right"/>
              <w:rPr>
                <w:rFonts w:ascii="Sylfaen" w:eastAsia="Times New Roman" w:hAnsi="Sylfaen" w:cs="Times New Roman"/>
                <w:sz w:val="24"/>
                <w:szCs w:val="24"/>
                <w:lang w:eastAsia="en-US" w:bidi="ar-SA"/>
              </w:rPr>
            </w:pPr>
            <w:r w:rsidRPr="00060185">
              <w:rPr>
                <w:rFonts w:ascii="Sylfaen" w:eastAsia="Times New Roman" w:hAnsi="Sylfaen" w:cs="Times New Roman"/>
                <w:b/>
                <w:bCs/>
                <w:sz w:val="24"/>
                <w:szCs w:val="24"/>
                <w:lang w:eastAsia="en-US" w:bidi="ar-SA"/>
              </w:rPr>
              <w:t xml:space="preserve">Բժշկական կիրառման համար </w:t>
            </w:r>
          </w:p>
          <w:p w14:paraId="0CCC4497" w14:textId="77777777" w:rsidR="00D37FAA" w:rsidRPr="00060185" w:rsidRDefault="00D37FAA" w:rsidP="004215B2">
            <w:pPr>
              <w:widowControl/>
              <w:spacing w:after="0" w:line="240" w:lineRule="auto"/>
              <w:jc w:val="right"/>
              <w:rPr>
                <w:rFonts w:ascii="Sylfaen" w:eastAsia="Times New Roman" w:hAnsi="Sylfaen" w:cs="Times New Roman"/>
                <w:sz w:val="24"/>
                <w:szCs w:val="24"/>
                <w:lang w:eastAsia="en-US" w:bidi="ar-SA"/>
              </w:rPr>
            </w:pPr>
            <w:r w:rsidRPr="00060185">
              <w:rPr>
                <w:rFonts w:ascii="Sylfaen" w:eastAsia="Times New Roman" w:hAnsi="Sylfaen" w:cs="Times New Roman"/>
                <w:b/>
                <w:bCs/>
                <w:sz w:val="24"/>
                <w:szCs w:val="24"/>
                <w:lang w:eastAsia="en-US" w:bidi="ar-SA"/>
              </w:rPr>
              <w:t xml:space="preserve">դեղամիջոցների գրանցման և </w:t>
            </w:r>
          </w:p>
          <w:p w14:paraId="136FFAD9" w14:textId="77777777" w:rsidR="00D37FAA" w:rsidRPr="00060185" w:rsidRDefault="00D37FAA" w:rsidP="004215B2">
            <w:pPr>
              <w:widowControl/>
              <w:spacing w:after="0" w:line="240" w:lineRule="auto"/>
              <w:jc w:val="right"/>
              <w:rPr>
                <w:rFonts w:ascii="Sylfaen" w:eastAsia="Times New Roman" w:hAnsi="Sylfaen" w:cs="Times New Roman"/>
                <w:sz w:val="24"/>
                <w:szCs w:val="24"/>
                <w:lang w:val="en-US" w:eastAsia="en-US" w:bidi="ar-SA"/>
              </w:rPr>
            </w:pPr>
            <w:r w:rsidRPr="00060185">
              <w:rPr>
                <w:rFonts w:ascii="Sylfaen" w:eastAsia="Times New Roman" w:hAnsi="Sylfaen" w:cs="Times New Roman"/>
                <w:b/>
                <w:bCs/>
                <w:sz w:val="24"/>
                <w:szCs w:val="24"/>
                <w:lang w:val="en-US" w:eastAsia="en-US" w:bidi="ar-SA"/>
              </w:rPr>
              <w:t>փորձաքննության կանոնների</w:t>
            </w:r>
          </w:p>
        </w:tc>
      </w:tr>
    </w:tbl>
    <w:p w14:paraId="25DA644B"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464668C3" w14:textId="77777777" w:rsidR="00D37FAA" w:rsidRPr="00060185" w:rsidRDefault="00D37FAA" w:rsidP="00D37FAA">
      <w:pPr>
        <w:widowControl/>
        <w:spacing w:after="0" w:line="240" w:lineRule="auto"/>
        <w:jc w:val="center"/>
        <w:rPr>
          <w:rFonts w:ascii="Sylfaen" w:eastAsia="Times New Roman" w:hAnsi="Sylfaen" w:cs="Times New Roman"/>
          <w:b/>
          <w:bCs/>
          <w:sz w:val="24"/>
          <w:szCs w:val="24"/>
          <w:lang w:val="en-US" w:eastAsia="en-US" w:bidi="ar-SA"/>
        </w:rPr>
      </w:pPr>
      <w:r w:rsidRPr="00060185">
        <w:rPr>
          <w:rFonts w:ascii="Sylfaen" w:eastAsia="Times New Roman" w:hAnsi="Sylfaen" w:cs="Times New Roman"/>
          <w:b/>
          <w:bCs/>
          <w:sz w:val="24"/>
          <w:szCs w:val="24"/>
          <w:lang w:val="en-US" w:eastAsia="en-US" w:bidi="ar-SA"/>
        </w:rPr>
        <w:t>Բժշկական կիրառման համար դեղամիջոցների գրանցման և փորձաքննության կանոնների VII բաժնի VII.II ենթաբաժնին համապատասխան՝ դեղապատրաստուկների գրանցման ընթացակարգեր, չափանիշներ և պահանջներ</w:t>
      </w:r>
    </w:p>
    <w:p w14:paraId="162DE0AD"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79110C89"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1. Ընդհանուր դրույթներ</w:t>
      </w:r>
    </w:p>
    <w:p w14:paraId="1E1ACCB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052D814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Եվրասիական տնտեսական հանձնաժողովի խորհրդի 2016 թվականի նոյեմբերի 3-ի թիվ 78 որոշմամբ հաստատված՝ բժշկական կիրառման համար դեղամիջոցների գրանցման և փորձաքննության կանոնների (այսուհետ՝ Կանոններ) թիվ 1 հավելվածի II մասի 11-րդ բաժնում նշված է, որ դեղապատրաստուկի գրանցման հավաստագիրը կարող է տրամադրվել հատուկ կոնկրետ հանգամանքների կատարման պայմանով, եթե հայտատուն կարող է հաստատել (հիմնավորել), որ անհնարին է տրամադրել դեղապատրաստուկի արդյունավետության և անվտանգության մասին ամբողջական տվյալներ դրա կիրառման սովորական պայմաններում հետևյալ պատճառներից մեկով՝ </w:t>
      </w:r>
    </w:p>
    <w:p w14:paraId="3DC6062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կիրառման ցուցումները, որոնցով առաջարկվում է կիրառել դեղապատրաստուկ, այնքան հազվադեպ են հանդիպում, որ հայտատուն հիմնավորված կերպով չի կարող ակնկալել դեղապատրաստուկի արդյունավետության և անվտանգության վերաբերյալ ապացույցների բազմակողմանի հաստատման ստացումը.</w:t>
      </w:r>
    </w:p>
    <w:p w14:paraId="70E6827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գիտական գիտելիքների ընթացիկ վիճակում դեղապատրաստուկի արդյունավետության կամ անվտանգության վերաբերյալ սպառիչ տեղեկատվություն չի կարող ներկայացվել.</w:t>
      </w:r>
    </w:p>
    <w:p w14:paraId="56291FC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արդյունավետության կամ անվտանգության վերաբերյալ տեղեկատվության ստացումը կհակասի բժշկական էթիկայի ընդունված սկզբունքներին:</w:t>
      </w:r>
    </w:p>
    <w:p w14:paraId="02B5B10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Նշված հանգամանքները կարող են ներառել հետևյալ պահանջները՝ </w:t>
      </w:r>
    </w:p>
    <w:p w14:paraId="0F55EE5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հայտատուն պետք է ավարտի Եվրասիական տնտեսական միության ռեֆերենտ անդամ պետության (այսուհետ՝ Միություն, անդամ պետություններ) լիազորված մարմնի (փորձագիտական կազմակերպության) սահմանած ժամկետում դեղապատրաստուկի անվտանգության կամ արդյունավետության հետազոտությունների կոնկրետ ծրագիրը, որի արդյունքները թույլ են տալիս անցկացնել «օգուտ-ռիսկ» հարաբերակցության կրկնակի գնահատում. </w:t>
      </w:r>
    </w:p>
    <w:p w14:paraId="6EA4E59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դիտարկվող դեղապատրաստուկը կարող է բաց թողնվել միայն դեղատոմսով և կիրառվել կոնկրետ դեպքերում, բացառապես խիստ բժշկական հսկողության տակ </w:t>
      </w:r>
      <w:r w:rsidRPr="00060185">
        <w:rPr>
          <w:rFonts w:ascii="Sylfaen" w:eastAsia="Times New Roman" w:hAnsi="Sylfaen" w:cs="Times New Roman"/>
          <w:sz w:val="24"/>
          <w:szCs w:val="24"/>
          <w:lang w:val="en-US" w:eastAsia="en-US" w:bidi="ar-SA"/>
        </w:rPr>
        <w:lastRenderedPageBreak/>
        <w:t xml:space="preserve">(հնարավոր է ստացիոնարում), իսկ ռադիոդեղագործական պատրաստուկների դեպքում՝ համապատասխան թույլտվություն ունեցող անձի հսկողության տակ. </w:t>
      </w:r>
    </w:p>
    <w:p w14:paraId="47095B0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բժշկական կիրառման հրահանգները, դեղապատրաստուկի ընդհանուր բնութագիրը, գրանցման հավաստագիրը և ցանկացած բժշկական տեղեկատվություն պետք է պարունակեն դիմում, որը գրավում է բժշկական աշխատակցի ուշադրությունն այն փաստին, որ դիտարկվող դեղապատրաստուկի մասին առկա տվյալները բավարար չեն դեղապատրաստուկի արդյունավետության կամ անվտանգության կոնկրետ ասպեկտները հաստատելու մասով: </w:t>
      </w:r>
    </w:p>
    <w:p w14:paraId="4CF5EEC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Կանոնների 36-րդ կետում նշված՝ անցկացված կլինիկական հետազոտությունների մասին հաշվետվություններին հավասար, բացառիկ դեպքերում դեղապատրաստուկի գրանցման ընթացակարգին համապատասխան՝ դեղապատրաստուկը գրանցելիս գրանցման դոսյեի 5-րդ մոդուլի կազմում ներառված բոլոր անցկացված կլինիկական հետազոտությունների մասին հաշվետվությունները, անկախ դրանց անցկացման երկրից, դիտարկվում են փորձաքննության ընթացքում: Հարկ եղած դեպքում ռեֆերենտ պետության լիազորված մարմինը (փորձագիտական կազմակերպությունը) կարող է նախաձեռնել Եվրասիական տնտեսական հանձնաժողովի խորհրդի 2016 թվականի նոյեմբերի 3-ի թիվ 79 որոշմամբ հաստատված՝ Եվրասիական տնտեսական միության Պատշաճ կլինիկական գործունեության կանոնների պահանջներին համապատասխանության մասով կլինիկական հետազոտության տեսչական ստուգման անցկացում: </w:t>
      </w:r>
    </w:p>
    <w:p w14:paraId="11D68DA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Սույն հավելվածը նկարագրում է բացառիկ դեպքերում դեղապատրաստուկների գրանցում իրականացնելու համար հիմքերի և պայմանների ընթացակարգը և գիտական գնահատականը և պարունակում է համապատասխան ցուցումներ:</w:t>
      </w:r>
    </w:p>
    <w:p w14:paraId="6F052A7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Նկարագրված ընթացակարգը կիրառվում է Կանոնների կիրառման ոլորտ մտնող՝ բժշկական կիրառման համար դեղապատրաստուկների գրանցման հայտերի նկատմամբ:</w:t>
      </w:r>
    </w:p>
    <w:p w14:paraId="343A04A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30D2093C"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2. Հատուկ ընթացակարգեր (պարտավորություններ)</w:t>
      </w:r>
    </w:p>
    <w:p w14:paraId="04B918F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4BFF913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Կանոնների 120</w:t>
      </w:r>
      <w:r w:rsidRPr="00060185">
        <w:rPr>
          <w:rFonts w:ascii="Sylfaen" w:eastAsia="Times New Roman" w:hAnsi="Sylfaen" w:cs="Times New Roman"/>
          <w:sz w:val="24"/>
          <w:szCs w:val="24"/>
          <w:vertAlign w:val="superscript"/>
          <w:lang w:val="en-US" w:eastAsia="en-US" w:bidi="ar-SA"/>
        </w:rPr>
        <w:t>1</w:t>
      </w:r>
      <w:r w:rsidRPr="00060185">
        <w:rPr>
          <w:rFonts w:ascii="Sylfaen" w:eastAsia="Times New Roman" w:hAnsi="Sylfaen" w:cs="Times New Roman"/>
          <w:sz w:val="24"/>
          <w:szCs w:val="24"/>
          <w:lang w:val="en-US" w:eastAsia="en-US" w:bidi="ar-SA"/>
        </w:rPr>
        <w:t xml:space="preserve">-ին կետին համապատասխան՝ դեղապատրաստուկի գրանցումը բացառիկ դեպքերում իրականացվում է հայտատուի կողմից կոնկրետ պայմաններ կատարելու դեպքում: Նշված կետը մասնավորապես վերաբերում է դեղապատրաստուկի անվտանգությանը, դրա կիրառման հետ կապված՝ ցանկացած միջադեպի մասին անդամ պետությունների լիազորված մարմիններին (փորձագիտական կազմակերպություններին) ծանուցելուն և կիրառվող միջոցներին: Սույն հավելվածն անմիջականորեն կապված է Եվրասիական տնտեսական հանձնաժողովի խորհրդի 2016 թվականի նոյեմբերի 3-ի թիվ 87 որոշմամբ հաստատված՝ Եվրասիական տնտեսական միության Դեղազգոնության պատշաճ գործունեության կանոնների հետ, որոնցով սահմանվում են դեղազգոնության գործունեության և ռիսկերի բացահայտմանը, բնութագրերի սահմանմանը և </w:t>
      </w:r>
      <w:r w:rsidRPr="00060185">
        <w:rPr>
          <w:rFonts w:ascii="Sylfaen" w:eastAsia="Times New Roman" w:hAnsi="Sylfaen" w:cs="Times New Roman"/>
          <w:sz w:val="24"/>
          <w:szCs w:val="24"/>
          <w:lang w:val="en-US" w:eastAsia="en-US" w:bidi="ar-SA"/>
        </w:rPr>
        <w:lastRenderedPageBreak/>
        <w:t xml:space="preserve">դեղապատրաստուկների հետ կապված ռիսկերի կանխարգելմանը կամ նվազեցմանը կանխարգիչ կերպով ուղղված միջոցների տարբեր տեսակներ: </w:t>
      </w:r>
    </w:p>
    <w:p w14:paraId="26731B3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Կանոնների թիվ 1 հավելվածի II մասի 11-րդ բաժնին համապատասխան՝ հատուկ պարտավորությունները կարող են ներառել՝</w:t>
      </w:r>
    </w:p>
    <w:p w14:paraId="28E7C8D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հետազոտությունների ծրագիր.</w:t>
      </w:r>
    </w:p>
    <w:p w14:paraId="5F110BB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նշանակման կամ ներմուծման պայմաններ. լիազորված մարմիններին ծանուցելու պարտավորություններ.</w:t>
      </w:r>
    </w:p>
    <w:p w14:paraId="2BFA5D7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մասին տեղեկատվության փոփոխման պարտավորություններ:</w:t>
      </w:r>
    </w:p>
    <w:p w14:paraId="3EE17C9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B75BA8B"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3. Տրամադրվող փաստաթղթեր</w:t>
      </w:r>
    </w:p>
    <w:p w14:paraId="1E8252D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08B0F52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Եթե հայտատուն համարում է, որ պետք է կիրառվեն դեղապատրաստուկի գրանցման հիմքերը բացառիկ դեպքերում, այն պարտավոր է նշել այդ տեղեկատվությունը Կանոնների թիվ 2 հավելվածով սահմանված՝ դեղապատրաստուկի գրանցման հայտում և ներկայացնել իր հիմնավորումը հետևյալ տեղեկատվությունը պարունակող գրանցման դոսյեի 1-ին մոդուլի 1.8.2 բաժնում՝ </w:t>
      </w:r>
    </w:p>
    <w:p w14:paraId="07B8792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 նշում առ այն, որ հայտատուն կկարողանա ապացուցել, որ նա անկարող է տրամադրել կիրառման սովորական պայմաններում դեղապատրաստուկի անվտանգության և արդյունավետության մասին սպառիչ նախակլինիկական կամ կլինիկական տվյալներ.</w:t>
      </w:r>
    </w:p>
    <w:p w14:paraId="4B0BE32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բ) դեղապատրաստուկի արդյունավետության և անվտանգության մասին նախակլինիկական կամ կլինիկական տվյալների ցանկ.</w:t>
      </w:r>
    </w:p>
    <w:p w14:paraId="2215DB7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գ) բացառիկ դեպքերում դեղապատրաստուկի գրանցմանը հավանություն տալու հիմքերի փաստարկներ. </w:t>
      </w:r>
    </w:p>
    <w:p w14:paraId="3B90E94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 կատարվող հատուկ պարտավորությունների մասին մանրամասն տեղեկություններին վերաբերող նախադասություններ (անվտանգության ապահովման ընթացակարգեր, հետազոտության ծրագիր, նշանակման կամ կիրառման պայմաններ, դեղապատրաստուկի մասին տեղեկատվություն):</w:t>
      </w:r>
    </w:p>
    <w:p w14:paraId="41511C9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5FC356C6"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4. Բացառիկ դեպքերում դեղապատրաստուկի գրանցմանը հավանություն տալու հիմքերի փաստարկներ</w:t>
      </w:r>
    </w:p>
    <w:p w14:paraId="63E4DC6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5DE8E3B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Բացառիկ դեպքերում դեղապատրաստուկի գրանցմանը հավանություն տալու հիմքերի փաստարկները պետք է հիմնվեն օբյեկտիվ, ստուգման ենթակա պատճառների վրա:</w:t>
      </w:r>
    </w:p>
    <w:p w14:paraId="4A73C99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Հայտատուի կողմից դեղապատրաստուկի անվտանգության կամ արդյունավետության մասին սպառիչ նախակլինիկական կամ կլինիկական տվյալները ներկայացնելու անհնարինության դեպքում գրանցման դոսյեի կազմում ակնարկի համապատասխան բաժինը պետք է նկարագրի այն բանի հիմքը (հիմքերը) (Կանոնների թիվ 1 հավելվածի 11-րդ բաժնին համապատասխան), թե ինչու </w:t>
      </w:r>
      <w:r w:rsidRPr="00060185">
        <w:rPr>
          <w:rFonts w:ascii="Sylfaen" w:eastAsia="Times New Roman" w:hAnsi="Sylfaen" w:cs="Times New Roman"/>
          <w:sz w:val="24"/>
          <w:szCs w:val="24"/>
          <w:lang w:val="en-US" w:eastAsia="en-US" w:bidi="ar-SA"/>
        </w:rPr>
        <w:lastRenderedPageBreak/>
        <w:t>հայտատուն չի կարող ներկայացնել այդ տվյալները (կարող է կիրառվել մի քանի հիմք): Դեղապատրաստուկի գրանցման դոսյեի 1-ին մոդուլում հայտատուն պարտավոր է տրամադրել մանրամասն փաստարկներ՝ ապացուցելու համար այդ հիմքերի առկայությունը՝ այդ փաստարկների կրիտիկական գնահատման հետ միասին:</w:t>
      </w:r>
    </w:p>
    <w:p w14:paraId="5709092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10B12DEF"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Հայտատուի՝ դեղապատրաստուկի կիրառման ցուցման հազվադեպության հետևանքով դրա անվտանգության և արդյունավետության մասին սպառիչ տեղեկություններ ներկայացնելու անկարողությունը</w:t>
      </w:r>
    </w:p>
    <w:p w14:paraId="783BDA9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2B3E294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Փաստարկները պետք է հաշվի առնեն ամբողջ աշխարհում տվյալ հիվանդության տարածվածության (հիվանդացության, մահացության) ցածր հաճախականության քանակական բնութագրի կիրառվող համաճարակաբանական ապացույցները, ինչպես նաև պոպուլյացիայի չափի քանակական գնահատականը, որը կարող է մատչելի լինել դեղապատրաստուկի անվտանգության և արդյունավետության հետազոտությունների համար: Անհրաժեշտ է նկարագրել համանման պոպուլյացիաների վրա անցկացված նախորդ հետազոտությունները:</w:t>
      </w:r>
    </w:p>
    <w:p w14:paraId="0AC3436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Անհրաժեշտ է նշել, թե արդյոք դեղապատրաստուկն ունի օրֆանայինի կարգավիճակ Եվրասիական տնտեսական միության անդամ պետություններում (այսուհետ՝ Միություն, անդամ պետություն): Դրա հետ մեկտեղ այդ կարգավիճակը բավարար չէ հայտատուի՝ այդ պատրաստուկի անվտանգության և արդյունավետության մասին սպառիչ տեղեկություններ ներկայացնելու անկարողության հիմնավորման համար:</w:t>
      </w:r>
    </w:p>
    <w:p w14:paraId="7FFE2E8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Անհրաժեշտ է գնահատել և քննարկել դեղապատրաստուկի անվտանգության և արդյունավետության պահանջվող հետազոտությունների կատարման հնարավորությունը, այդ թվում՝ համատեղ բազմակենտրոն հետազոտությունների անցկացումը:</w:t>
      </w:r>
    </w:p>
    <w:p w14:paraId="554C800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Նշված հետազոտությունների կատարման հնարավորության գնահատումը պետք է ներառի հետազոտությունների դիզայնին և վիճակագրական ասպեկտներին վերաբերող հարցերի մանրամասն նկարագրությունը, ներառյալ՝ սխալների հավանականությունները, վարկածները, հետազոտության սուբյեկտների հավաքման և հետագա ուսումնասիրման, ընտրանքի չափի հաշվարկի և մեթոդաբանության մասին ենթադրությունները: </w:t>
      </w:r>
    </w:p>
    <w:p w14:paraId="72D9992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Անհրաժեշտ է գնահատել և վերլուծել այլ հետազոտությունների կատարման հնարավորությունը, որոնք թույլ կտան ստանալ դեղապատրաստուկի անվտանգության կամ արդյունավետության առավել ամբողջական տվյալներ (թեկուզ և ոչ սպառիչ): Անհրաժեշտ է վերլուծել հետազոտությունների ցանկացած հարմար դիզայններ, ներառյալ՝ որոնողական դիզայններ և այլ դիզայններ, այդ թվում՝ հաշվի առնելով փոքր պոպուլյացիաների վրա դեղապատրաստուկի անվտանգության և արդյունավետության հետազոտություններին վերաբերող մատչելի մոտեցումները: </w:t>
      </w:r>
    </w:p>
    <w:p w14:paraId="20D4BDD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1C82B632"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Գիտական գիտելիքների ընթացիկ վիճակից ելնելով՝ հայտատուի՝ դեղապատրաստուկի անվտանգության և արդյունավետության մասին սպառիչ տեղեկություններ ներկայացնելու անկարողությունը</w:t>
      </w:r>
    </w:p>
    <w:p w14:paraId="5D9469A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21A58B6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Ելնելով գիտական գիտելիքների ընթացիկ վիճակից՝ հայտատուն պետք է նշի, թե ինչ գիտական տեղեկատվություն է պահանջվելու նման հետազոտություններ անցկացնելու համար, հիմնավորի այդպիսի տեղեկատվության բացակայության պատճառները և այն ստանալու անհնարինությունը (օրինակ՝ հատուկ հետազոտության համար պացիենտների պոպուլյացիաների ձևավորման համար կոնկրետ ախտորոշիչ գործիքների բացակայություն): </w:t>
      </w:r>
    </w:p>
    <w:p w14:paraId="66E0B0B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Անհրաժեշտ է գնահատել և վերլուծել այլ հետազոտությունների անցկացման հնարավորությունը, որոնք թույլ կտային ստանալ դեղապատրաստուկի անվտանգության և արդյունավետության մասին ավելի շատ տեղեկություններ (թեկուզ և ոչ սպառիչ):</w:t>
      </w:r>
    </w:p>
    <w:p w14:paraId="54E7A02A"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54F83CA1"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Հայտատուի՝ բժշկական էթիկայի սկզբունքների խախտման ռիսկի հետ կապված՝ դեղապատրաստուկի անվտանգության և արդյունավետության մասին սպառիչ տվյալներ հավաքելու անկարողությունը</w:t>
      </w:r>
    </w:p>
    <w:p w14:paraId="523AD05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355884D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Փաստարկները պետք է պարունակեն բժշկական էթիկայի համապատասխան սկզբունքների նշում, որոնք կարող են խախտվել դեղապատրաստուկի անվտանգության և արդյունավետության հետազոտություններ անցկացնելիս՝ նշելով բժշկական էթիկայի համապատասխան ուղեցույցին հղումները: Տվյալ դեպքում հայտատուն պարտավոր է հաջորդիվ հիմնավորել նման սկզբունքների կիրառելիությունը:</w:t>
      </w:r>
    </w:p>
    <w:p w14:paraId="1FEDB62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Անհրաժեշտ է տրամադրել անվտանգության և արդյունավետության մասին սպառիչ տվյալների (առկայության դեպքում) հավաքման՝ էթիկայից դուրս լինելու մասով անդամ պետության տարածքում գործունեություն իրականացնող էթիկայի հարցերով կոմիտեների կամ համապատասխան առողջապահական մարմինների լուծումները և եզրակացությունները:</w:t>
      </w:r>
    </w:p>
    <w:p w14:paraId="7D72B66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Անհրաժեշտ է գնահատել և վերլուծել այլ հետազոտությունների անցկացման հնարավորությունը, որոնք թույլ կտային դեղապատրաստուկի անվտանգության և արդյունավետության մասին առավել ամբողջական տվյալներ ստանալ (նույնիսկ եթե դրանք սպառիչ չեն):</w:t>
      </w:r>
    </w:p>
    <w:p w14:paraId="34CCC0B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Բժշկական էթիկայի վրա կառուցված հիմքերը կիրառվելու են, որպես կանոն, միայն կլինիկական հետազոտությունների կամ մարդկային կենսանյութերի օգտագործմամբ հետազոտությունների նկատմամբ:</w:t>
      </w:r>
    </w:p>
    <w:p w14:paraId="2E0A464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5B381B04"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5. Հատուկ ընթացակարգերի (պարտավորությունների) կատարման ենթակա մանրամասնեցված բնութագիրը Անվտանգության մասով հատուկ ընթացակարգերը (պարտավորությունները)</w:t>
      </w:r>
    </w:p>
    <w:p w14:paraId="12714BE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lastRenderedPageBreak/>
        <w:t> </w:t>
      </w:r>
    </w:p>
    <w:p w14:paraId="1F78F85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Դեղապատրաստուկի անվտանգության ապահովման մասով առաջարկությունները ներկայացվում են Եվրասիական տնտեսական միության Դեղազգոնության պատշաճ գործունեության կանոններին համապատասխան՝ ռիսկերի կառավարման պլանի ձևով: </w:t>
      </w:r>
    </w:p>
    <w:p w14:paraId="7EDCEAC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Դեղազգոնության պլանը պետք է պարունակի դեղազգոնության գործունեության մասին ամբողջական տեղեկություններ, որն իրականացվելու է դեղապատրաստուկի գրանցման հավաստագիր ունեցող անձին դեղապատրաստուկի կիրառմանը վերաբերող ցանկացած միջադեպի մասին տեղեկացման ապահովման համար, և առաջարկվող մեթոդներ, որոնց օգնությամբ ծանուցվելու են լիազորված մարմինները: Դեղազգոնության պլանը պետք է նույնպես ներառի ցանկացած հետազոտության մասին տեղեկություններ, որոնք անցկացվելու են տվյալ դեղապատրաստուկի կիրառման հետ կապված ռիսկերը բացահայտելու և բնութագրերը սահմանելու համար: </w:t>
      </w:r>
    </w:p>
    <w:p w14:paraId="7C27390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Քանի որ դեղապատրաստուկի անվտանգության մասին տեղեկությունները սահմանափակվելու են, հայտատուն պարտավոր է տրամադրել ռիսկերի նվազեցմանն ուղղված գործողությունների անհրաժեշտության մանրամասն գնահատական, և եթե արդարացված է՝ ռիսկերի նվազեցման պլան:</w:t>
      </w:r>
    </w:p>
    <w:p w14:paraId="07C34A2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A00DC89"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հետազոտությունների ծրագրի մասով հատուկ ընթացակարգերը (պարտավորությունները)</w:t>
      </w:r>
    </w:p>
    <w:p w14:paraId="3E19653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F4CA29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հետազոտությունների ծրագիրը պետք է պարունակի բոլոր ակտիվ, պլանավորված կամ առաջարկվող հետազոտությունների մանրամասն ցանկը, որոնք կարող են այդ հետազոտություններն ավարտելու ակնկալվող ժամկետի հետ մեկտեղ հիմք ձևավորել «օգուտ-ռիսկ» հարաբերակցության հետագա վերագնահատումների համար: Յուրաքանչյուր հետազոտության համար անհրաժեշտ է տրամադրել հետևյալ տեղեկատվությունը (առկայության դեպքում).</w:t>
      </w:r>
    </w:p>
    <w:p w14:paraId="6A06F3E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հետազոտության բնութագիրը (ներառյալ՝ դիզայնը, վերջնակետերը և նպատակային ցուցումը).</w:t>
      </w:r>
    </w:p>
    <w:p w14:paraId="27C84F8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սահմանված ընթացակարգը ներկայացնելու, հետազոտությունը մեկնարկելու, հետազոտությունների սուբյեկտներ ներգրավելու, հետազոտություններն ավարտելու, վերլուծելու, հետազոտության վիճակի մասին հաշվետվություններ ներկայացնելու, հետազոտությունների մասին միջանկյալ և եզրափակիչ հաշվետվություններ ներկայացնելու համար ակնկալվող ամսաթվերը:</w:t>
      </w:r>
    </w:p>
    <w:p w14:paraId="4A9F704A"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1A3B1F4"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Պացիենտներին դեղապատրաստուկ նշանակելու կամ դրա կիրառման պայմանների մասով հատուկ ընթացակարգերը (պարտավորությունները)</w:t>
      </w:r>
    </w:p>
    <w:p w14:paraId="5FEECD2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Պացիենտներին դեղապատրաստուկ նշանակելու կամ դրա կիրառման պայմանների մասով հատուկ ընթացակարգերը պետք է ընդգրկեն կիրառման պայմանների մասով մանրամասն ցուցում, ինչպես օրինակ՝ միայն ըստ բժշկական </w:t>
      </w:r>
      <w:r w:rsidRPr="00060185">
        <w:rPr>
          <w:rFonts w:ascii="Sylfaen" w:eastAsia="Times New Roman" w:hAnsi="Sylfaen" w:cs="Times New Roman"/>
          <w:sz w:val="24"/>
          <w:szCs w:val="24"/>
          <w:lang w:val="en-US" w:eastAsia="en-US" w:bidi="ar-SA"/>
        </w:rPr>
        <w:lastRenderedPageBreak/>
        <w:t xml:space="preserve">նշանակման դիտարկվող դեղապատրաստուկի բացթողման հնարավորությունը և միայն խիստ բժշկական հսկողության տակ այն կոնկրետ դեպքերում ներմուծելու հնարավորությունը (օրինակ՝ ստացիոնարում) կամ ըստ նշանակող անձի մասնագիտացման և (ռադիոդեղագործական պատրաստուկի դեպքում) վերջինիս մոտ հատուկ թույլտվության առկայության մասով սահմանափակումը: </w:t>
      </w:r>
    </w:p>
    <w:p w14:paraId="674075F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2EFAF5DA"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մասին տեղեկատվությունում տեղեկությունները նշելու մասով հատուկ ընթացակարգերը (պարտավորությունները)</w:t>
      </w:r>
    </w:p>
    <w:p w14:paraId="6CB6739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2E7DB8C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գրանցման դոսյեի 1-ին մոդուլում պետք է լինի պարզաբանում առ այն, թե ինչպես է դեղապատրաստուկի ընդհանուր բնութագրում, դեղապատրաստուկի բժշկական կիրառման հրահանգում (ներդիր-թերթիկում) ներառված տեղեկատվությունը և ցանկացած այլ բժշկական տեղեկատվություն ապահովելու բուժաշխատողների և պացիենտների ուշադրությունն այն փաստին, որ դեղապատրաստուկի մասին տվյալները կոնկրետ ասպեկտներում (անվտանգության և (կամ) արդյունավետության) ներկայումս ոչ ամբողջական են:</w:t>
      </w:r>
    </w:p>
    <w:p w14:paraId="2825ADD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488ACFE5"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6. Ռեֆերենտ պետության լիազորված մարմնի (փորձագիտական կազմակերպության) փորձաքննությունը</w:t>
      </w:r>
    </w:p>
    <w:p w14:paraId="1056664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5D9E5C5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Բացառիկ դեպքերում գրանցմանը հավանություն տալու մասով եզրակացությունները կարող են ընդունվել միայն օբյեկտիվ և ստուգման ենթակա պատճառներով՝ Կանոնների թիվ 1 հավելվածի II մասի 11-րդ բաժնին համապատասխան:</w:t>
      </w:r>
    </w:p>
    <w:p w14:paraId="1F49C92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Եթե դեղապատրաստուկի անվտանգության և արդյունավետության սպառիչ տվյալները բացակայում են, ապա ռեֆերենտ պետության լիազորված մարմինը (փորձագիտական կազմակերպությունը) իրավունք ունի բացառիկ դեպքերում դիտարկելու դեղապատրաստուկի գրանցման հնարավորությունը՝ հիմնվելով Կանոնների թիվ 1 հավելվածի II մասի 11-րդ բաժնում ձևակերպված չափանիշների վրա, այդ թվում՝ առանց հայտատուի նախաձեռնության: Տվյալ որոշումը, ներառյալ՝ ցանկացած հատուկ պարտավորություն, հասցվում է հայտատուին և համաձայնեցվում է վերջինիս հետ նախքան դեղապատրաստուկի անվտանգության, արդյունավետության և որակի գնահատման փորձագիտական հաշվետվության հաստատումը (այսուհետ՝ գնահատման փորձագիտական հաշվետվություն): Ընդունված որոշումը պետք է նշվի ռեֆերենտ պետության փորձագիտական կազմակերպության համապատասխան գնահատման փորձագիտական հաշվետվություններում (միջանկյալ և (կամ) եզրափակիչ և հանրային):</w:t>
      </w:r>
    </w:p>
    <w:p w14:paraId="6CB5C80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Ռեֆերենտ պետության փորձագիտական կազմակերպության գնահատման փորձագիտական հաշվետվությունը պետք է ընդգրկի հետևյալ ասպեկտները՝ պայմանավորված հետևյալ հանգամանքներով՝</w:t>
      </w:r>
    </w:p>
    <w:p w14:paraId="14C8D5D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անվտանգության և արդյունավետության սպառիչ հաստատման համար բացակայող հետազոտությունները, ինչպես նաև ռեֆերենտ պետության լիազորված մարմնի (փորձագիտական կազմակերպության) կողմից բացառիկ դեպքերում դեղապատրաստուկի գրանցմանը հավանություն տալու դիտարկման անհրաժեշտությունը.</w:t>
      </w:r>
    </w:p>
    <w:p w14:paraId="77BFA23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տվյալ հիվանդության (վիճակի) համար բավարար հիմքերի առկայությունը (գիտական տեղեկատվությունը, տարածվածության (հիվանդացության, մահացության) ցածր հաճախականությունը, էթիկային առնչվող սահմանափակումները, այլ գործոններ)՝ հաստատելու համար այն, որ դեղապատրաստուկի անվտանգության և արդյունավետության մասին սպառիչ տվյալները չեն կարող ներկայացվել, ներառյալ՝ այդպիսի հիմքերի առկայության մասին հայտարարագիրը և ցանկացած հայտարարության գնահատումը: Ռեֆերենտ պետության լիազորված մարմինը (փորձագիտական կազմակերպությունը) իրավունք ունի դիմելու Դեղամիջոցների գծով փորձագիտական կոմիտե՝ էթիկային առնչվող սահմանափակումների հետ կապված խնդիրների մասին խորհրդատվության համար.</w:t>
      </w:r>
    </w:p>
    <w:p w14:paraId="0DBE27E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բացառիկ դեպքերում գրանցման ընթացակարգի կիրառման համար հիմքերին հավանություն տալու կամ դրանք չեղարկելու պատճառները, այդ թվում՝ այդ հիմքերի օբյեկտիվության ստուգումը.</w:t>
      </w:r>
    </w:p>
    <w:p w14:paraId="530D137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բացառիկ դեպքերում գրանցման նպատակահարմարության մասին եզրակացությունը և անհրաժեշտության դեպքում պայմանական կամ սովորական գրանցման անհնարինության հիմնավորումը.</w:t>
      </w:r>
    </w:p>
    <w:p w14:paraId="37B1B56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ռիսկերի կառավարման պլանի և ռիսկերի նվազեցմանն ուղղված առաջարկվող գործողությունների՝ «օգուտ-ռիսկ» հարաբերակցության վրա հնարավոր ազդեցության գնահատականը. </w:t>
      </w:r>
    </w:p>
    <w:p w14:paraId="3789B23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հայտատուի կողմից առաջարկվող հետազոտությունների ծրագրի իրագործման անհրաժեշտությունը: Այդ ծրագրի գնահատմամբ պետք է վերլուծվի այդ հետազոտությունների արդյունքների հիման վրա դեղապատրաստուկի անվտանգության և արդյունավետության մասին անհրաժեշտ լրացուցիչ տվյալների ստացման հավանականությունը, քանի որ դեղապատրաստուկի անվտանգ և արդյունավետ կիրառման բնութագրի համար կարևոր սպառիչ տեղեկությունները նախկինում չեն ստացվել.</w:t>
      </w:r>
    </w:p>
    <w:p w14:paraId="3887F5B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ռեֆերենտ պետության լիազորված մարմինը (փորձագիտական կազմակերպությունը) նույնպես իրավունք ունի դեղապատրաստուկի անվտանգ և արդյունավետ կիրառման համար կարևոր համարվող առանձնահատկությունների հետագա բնութագրի համար լրացուցիչ հետազոտությունների արդյունքների հարցում ուղղելու հայտատուին: Այդ հարցումը նույնպես պետք է պարունակի դեղազգոնության պլանում առաջարկվողներից բացի ցանկացած լրացուցիչ հետազոտության անցկացման անհրաժեշտության մասին նշում.</w:t>
      </w:r>
    </w:p>
    <w:p w14:paraId="52E9B38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լրացուցիչ հետազոտությունների մասին հարցումը ձևակերպելիս ռեֆերենտ պետության լիազորված մարմինը (փորձագիտական կազմակերպությունը) պետք է գնահատի այդ հետազոտությունների կատարման ֆիզիկական հնարավորությունը և </w:t>
      </w:r>
      <w:r w:rsidRPr="00060185">
        <w:rPr>
          <w:rFonts w:ascii="Sylfaen" w:eastAsia="Times New Roman" w:hAnsi="Sylfaen" w:cs="Times New Roman"/>
          <w:sz w:val="24"/>
          <w:szCs w:val="24"/>
          <w:lang w:val="en-US" w:eastAsia="en-US" w:bidi="ar-SA"/>
        </w:rPr>
        <w:lastRenderedPageBreak/>
        <w:t>ստացվող՝ պակասող տվյալների օբյեկտիվության աստիճանը, որոնք կարող են ստացվել դրանց արդյունքների հիման վրա:</w:t>
      </w:r>
    </w:p>
    <w:p w14:paraId="6A9A657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403465D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Քանի որ հայտատուին հատուկ ընթացակարգերի (պարտավորությունների) նշանակման համար կարող են պահանջվել հատուկ կլինիկական գիտելիքներ, ռեֆերենտ պետության լիազորված մարմինը (փորձագիտական կազմակերպությունը) կարող է խորհրդատվություն անցկացնել Դեղամիջոցների գծով փորձագիտական կոմիտեին կից ստեղծված փորձագիտական և աշխատանքային խմբերի հետ: Հայտատուին գրանցման ժամանակ նշանակված այդ հատուկ ընթացակարգերի (պարտավորությունների) ցանկը կոնկրետ ժամկետների և դրանց կատարման ամսաթվերի հետ մեկտեղ պետք է նշված լինի գրանցման հավաստագրի հավելվածում և գրանցման հավաստագրի հետ մեկտեղ արտացոլվի Միության գրանցված դեղամիջոցների միասնական ռեեստրում.</w:t>
      </w:r>
    </w:p>
    <w:p w14:paraId="3534E05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 դեղապատրաստուկի բացթողման և կիրառման կատեգորիայի սահմանմանը վերաբերող պայմաններ կամ սահմանափակումներ.</w:t>
      </w:r>
    </w:p>
    <w:p w14:paraId="488F82F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բ) դեղապատրաստուկի անվտանգ և արդյունավետ կիրառմանը վերաբերող պայմաններ կամ սահմանափակումներ:</w:t>
      </w:r>
    </w:p>
    <w:p w14:paraId="44A0D06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Այդ պայմանները սահմանվում են ռեֆերենտ պետության լիազորված մարմնի (փորձագիտական կազմակերպության) որոշման մեջ և այնուհետև արտացոլվում են դեղապատրաստուկի մասին տեղեկատվության համապատասխան բաժիններում (դեղապատրաստուկի ընդհանուր բնութագրում և դեղապատրաստուկի բժշկական կիրառման հրահանգում) (ներդիր-թերթիկում).</w:t>
      </w:r>
    </w:p>
    <w:p w14:paraId="68686EA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գ) դեղապատրաստուկի ընդհանուր բնութագիրը, դեղապատրաստուկի բժշկական կիրառման հրահանգը (ներդիր-թերթիկը) և ցանկացած բժշկական տեղեկատվություն, որոնք միանշանակ և ինչպես բուժաշխատողների, այնպես էլ պացիենտների կողմից ընկալման համար մատչելի ձևով ցույց են տալու այն, որ դեղապատրաստուկի ընդհանուր բնութագրի նշված կոնկրետ բաժիններում, դեղապատրաստուկի բժշկական կիրառման հրահանգում (ներդիր-թերթիկում) դիտարկվող դեղապատրաստուկի մասին առկա տվյալները բավարար չեն: </w:t>
      </w:r>
    </w:p>
    <w:p w14:paraId="096A48C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ընդհանուր բնութագիրը և դեղապատրաստուկի բժշկական կիրառման հրահանգը (ներդիր-թերթիկը) պետք է պարունակեն տեղեկատվություն այն մասին, որ գրանցումն իրականացվել է տարեկան վերանայման ենթակա կոնկրետ հատուկ պարտավորությունների կատարման պայմաններով:</w:t>
      </w:r>
    </w:p>
    <w:p w14:paraId="4D76A5A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բժշկական կիրառման հրահանգում (ներդիր-թերթիկում) տեղեկությունները պետք է համապատասխանեն պացիենտի համար հասկանալի նյութի գրառման՝ ընդունված ստանդարտներին և Եվրասիական տնտեսական հանձնաժողովի խորհրդի 2016 թվականի նոյեմբերի 3-ի թիվ 88 որոշմամբ հաստատված՝ բժշկական կիրառման համար դեղապատրաստուկի բժշկական կիրառման հրահանգին և դեղապատրաստուկի ընդհանուր բնութագրին ներկայացվող պահանջներին:</w:t>
      </w:r>
    </w:p>
    <w:p w14:paraId="5BBEBE3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3F93C15C"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7. «Օգուտ-ռիսկ» հարաբերակցության տարեկան վերագնահատում</w:t>
      </w:r>
    </w:p>
    <w:p w14:paraId="226DB28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56793A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Հայտատուի կողմից կատարված հատուկ պարտավորությունները հիմք են ձևավորում՝ ռեֆերենտ պետության լիազորված մարմնի (փորձագիտական կազմակերպության) կողմից՝ կոնկրետ դեղապատրաստուկի համար «օգուտ-ռիսկ» հարաբերակցության տարեկան վերագնահատման համար: Գրանցման շարունակությունը պետք է կապված լինի այդ պայմանների տարեկան վերագնահատման հետ:</w:t>
      </w:r>
    </w:p>
    <w:p w14:paraId="5199467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Բացառիկ դեպքերում դեղապատրաստուկի վերագրանցման ընթացակարգը կատարվում է Կանոնների VIII բաժնին համապատասխան, իսկ գրանցման հավաստագիրը տրվում է 5 տարի ժամկետով: Դեղապատրաստուկի հետագա գրանցման հավաստագիրը պետք է լինի անժամկետ, եթե անդամ պետության լիազորված մարմինը (փորձագիտական կազմակերպությունը) դեղազգոնության արդյունքներին վերաբերող օբյեկտիվ հիմքերով չի ընդունի 5 տարի անց մեկ լրացուցիչ վերագրանցում նշանակելու որոշում:</w:t>
      </w:r>
    </w:p>
    <w:p w14:paraId="0031FFCF" w14:textId="77777777" w:rsidR="00D37FAA" w:rsidRPr="00060185" w:rsidRDefault="00D37FAA" w:rsidP="00D37FAA">
      <w:pPr>
        <w:tabs>
          <w:tab w:val="left" w:pos="1134"/>
        </w:tabs>
        <w:spacing w:after="160" w:line="360" w:lineRule="auto"/>
        <w:ind w:right="-8" w:firstLine="567"/>
        <w:jc w:val="both"/>
        <w:rPr>
          <w:rFonts w:ascii="Sylfaen" w:hAnsi="Sylfaen"/>
          <w:b/>
          <w:bCs/>
          <w:i/>
          <w:iCs/>
          <w:sz w:val="24"/>
          <w:szCs w:val="24"/>
        </w:rPr>
      </w:pPr>
      <w:r w:rsidRPr="00060185">
        <w:rPr>
          <w:rFonts w:ascii="Sylfaen" w:hAnsi="Sylfaen"/>
          <w:b/>
          <w:bCs/>
          <w:i/>
          <w:iCs/>
          <w:sz w:val="24"/>
          <w:szCs w:val="24"/>
        </w:rPr>
        <w:t>(հավելվածը լրաց. ԵՏՀԽ 17.03.22  թիվ 36)</w:t>
      </w:r>
    </w:p>
    <w:p w14:paraId="192F45E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p>
    <w:p w14:paraId="4598532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4883"/>
        <w:gridCol w:w="4521"/>
      </w:tblGrid>
      <w:tr w:rsidR="00D37FAA" w:rsidRPr="00060185" w14:paraId="03A4F889" w14:textId="77777777" w:rsidTr="004215B2">
        <w:trPr>
          <w:tblCellSpacing w:w="7" w:type="dxa"/>
        </w:trPr>
        <w:tc>
          <w:tcPr>
            <w:tcW w:w="0" w:type="auto"/>
            <w:vAlign w:val="center"/>
            <w:hideMark/>
          </w:tcPr>
          <w:p w14:paraId="7FBAF0E3" w14:textId="77777777" w:rsidR="00D37FAA" w:rsidRPr="00060185" w:rsidRDefault="00D37FAA" w:rsidP="004215B2">
            <w:pPr>
              <w:widowControl/>
              <w:spacing w:before="100" w:beforeAutospacing="1" w:after="100" w:afterAutospacing="1" w:line="240" w:lineRule="auto"/>
              <w:rPr>
                <w:rFonts w:ascii="Sylfaen" w:eastAsia="Times New Roman" w:hAnsi="Sylfaen" w:cs="Times New Roman"/>
                <w:sz w:val="24"/>
                <w:szCs w:val="24"/>
                <w:lang w:val="en-US" w:eastAsia="en-US" w:bidi="ar-SA"/>
              </w:rPr>
            </w:pPr>
          </w:p>
        </w:tc>
        <w:tc>
          <w:tcPr>
            <w:tcW w:w="4500" w:type="dxa"/>
            <w:vAlign w:val="bottom"/>
            <w:hideMark/>
          </w:tcPr>
          <w:p w14:paraId="41B83232" w14:textId="77777777" w:rsidR="00D37FAA" w:rsidRPr="00060185" w:rsidRDefault="00D37FAA" w:rsidP="004215B2">
            <w:pPr>
              <w:widowControl/>
              <w:spacing w:after="0" w:line="240" w:lineRule="auto"/>
              <w:jc w:val="center"/>
              <w:rPr>
                <w:rFonts w:ascii="Sylfaen" w:eastAsia="Times New Roman" w:hAnsi="Sylfaen" w:cs="Times New Roman"/>
                <w:b/>
                <w:bCs/>
                <w:sz w:val="24"/>
                <w:szCs w:val="24"/>
                <w:lang w:val="en-US" w:eastAsia="en-US" w:bidi="ar-SA"/>
              </w:rPr>
            </w:pPr>
            <w:r w:rsidRPr="00060185">
              <w:rPr>
                <w:rFonts w:ascii="Sylfaen" w:eastAsia="Times New Roman" w:hAnsi="Sylfaen" w:cs="Times New Roman"/>
                <w:b/>
                <w:bCs/>
                <w:sz w:val="24"/>
                <w:szCs w:val="24"/>
                <w:lang w:val="en-US" w:eastAsia="en-US" w:bidi="ar-SA"/>
              </w:rPr>
              <w:t xml:space="preserve">ՀԱՎԵԼՎԱԾ ԹԻՎ 26 </w:t>
            </w:r>
          </w:p>
          <w:p w14:paraId="526A7A36" w14:textId="77777777" w:rsidR="00D37FAA" w:rsidRPr="00060185" w:rsidRDefault="00D37FAA" w:rsidP="004215B2">
            <w:pPr>
              <w:widowControl/>
              <w:spacing w:after="0" w:line="240" w:lineRule="auto"/>
              <w:jc w:val="center"/>
              <w:rPr>
                <w:rFonts w:ascii="Sylfaen" w:eastAsia="Times New Roman" w:hAnsi="Sylfaen" w:cs="Times New Roman"/>
                <w:b/>
                <w:bCs/>
                <w:sz w:val="24"/>
                <w:szCs w:val="24"/>
                <w:lang w:val="en-US" w:eastAsia="en-US" w:bidi="ar-SA"/>
              </w:rPr>
            </w:pPr>
            <w:r w:rsidRPr="00060185">
              <w:rPr>
                <w:rFonts w:ascii="Sylfaen" w:eastAsia="Times New Roman" w:hAnsi="Sylfaen" w:cs="Times New Roman"/>
                <w:b/>
                <w:bCs/>
                <w:sz w:val="24"/>
                <w:szCs w:val="24"/>
                <w:lang w:val="en-US" w:eastAsia="en-US" w:bidi="ar-SA"/>
              </w:rPr>
              <w:t xml:space="preserve">Բժշկական կիրառման </w:t>
            </w:r>
          </w:p>
          <w:p w14:paraId="59DF3F7C" w14:textId="77777777" w:rsidR="00D37FAA" w:rsidRPr="00060185" w:rsidRDefault="00D37FAA" w:rsidP="004215B2">
            <w:pPr>
              <w:widowControl/>
              <w:spacing w:after="0" w:line="240" w:lineRule="auto"/>
              <w:jc w:val="center"/>
              <w:rPr>
                <w:rFonts w:ascii="Sylfaen" w:eastAsia="Times New Roman" w:hAnsi="Sylfaen" w:cs="Times New Roman"/>
                <w:b/>
                <w:bCs/>
                <w:sz w:val="24"/>
                <w:szCs w:val="24"/>
                <w:lang w:val="en-US" w:eastAsia="en-US" w:bidi="ar-SA"/>
              </w:rPr>
            </w:pPr>
            <w:r w:rsidRPr="00060185">
              <w:rPr>
                <w:rFonts w:ascii="Sylfaen" w:eastAsia="Times New Roman" w:hAnsi="Sylfaen" w:cs="Times New Roman"/>
                <w:b/>
                <w:bCs/>
                <w:sz w:val="24"/>
                <w:szCs w:val="24"/>
                <w:lang w:val="en-US" w:eastAsia="en-US" w:bidi="ar-SA"/>
              </w:rPr>
              <w:t xml:space="preserve">դեղամիջոցների գրանցման և </w:t>
            </w:r>
          </w:p>
          <w:p w14:paraId="64935807" w14:textId="77777777" w:rsidR="00D37FAA" w:rsidRPr="00060185" w:rsidRDefault="00D37FAA" w:rsidP="004215B2">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b/>
                <w:bCs/>
                <w:sz w:val="24"/>
                <w:szCs w:val="24"/>
                <w:lang w:val="en-US" w:eastAsia="en-US" w:bidi="ar-SA"/>
              </w:rPr>
              <w:t>փորձաքննության կանոնների</w:t>
            </w:r>
          </w:p>
        </w:tc>
      </w:tr>
    </w:tbl>
    <w:p w14:paraId="6ADF5A23"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1591DDAA" w14:textId="77777777" w:rsidR="00D37FAA" w:rsidRPr="00060185" w:rsidRDefault="00D37FAA" w:rsidP="00D37FAA">
      <w:pPr>
        <w:widowControl/>
        <w:spacing w:after="0" w:line="240" w:lineRule="auto"/>
        <w:jc w:val="center"/>
        <w:rPr>
          <w:rFonts w:ascii="Sylfaen" w:eastAsia="Times New Roman" w:hAnsi="Sylfaen" w:cs="Times New Roman"/>
          <w:b/>
          <w:bCs/>
          <w:sz w:val="24"/>
          <w:szCs w:val="24"/>
          <w:lang w:val="en-US" w:eastAsia="en-US" w:bidi="ar-SA"/>
        </w:rPr>
      </w:pPr>
      <w:r w:rsidRPr="00060185">
        <w:rPr>
          <w:rFonts w:ascii="Sylfaen" w:eastAsia="Times New Roman" w:hAnsi="Sylfaen" w:cs="Times New Roman"/>
          <w:b/>
          <w:bCs/>
          <w:sz w:val="24"/>
          <w:szCs w:val="24"/>
          <w:lang w:val="en-US" w:eastAsia="en-US" w:bidi="ar-SA"/>
        </w:rPr>
        <w:t>Բժշկական կիրառման համար դեղամիջոցների գրանցման և փորձաքննության կանոնների VII բաժնի VII.III ենթաբաժնին համապատասխան՝ գրանցման ընթացակարգերը, չափանիշները և պահանջները</w:t>
      </w:r>
    </w:p>
    <w:p w14:paraId="17F17A6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25F2A63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Սույն հավելվածը սահմանում է դեղապատրաստուկի գրանցման իրականացման դրույթները և առանձնահատկությունը՝ Եվրասիական տնտեսական հանձնաժողովի խորհրդի 2016 թվականի նոյեմբերի 3-ի թիվ 78 որոշմամբ հաստատված՝ բժշկական կիրառման համար դեղամիջոցների գրանցման և փորձաքննության կանոնների (այսուհետ՝ Կանոններ) VII բաժնի VII.III ենթաբաժնին համապատասխան սահմանված հատուկ պարտավորությունների կատարման պայմանով:</w:t>
      </w:r>
    </w:p>
    <w:p w14:paraId="68DFD7D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E68F620"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I. Դեղապատրաստուկի պայմանական գրանցման սկզբունքները</w:t>
      </w:r>
    </w:p>
    <w:p w14:paraId="4BB7165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49E11D6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Նախքան բժշկական կիրառման համար դեղապատրաստուկը կգրանցվի Եվրասիական տնտեսական միության առնվազն մեկ անդամ պետության (այսուհետ՝ Միություն, անդամ պետություններ) շուկա դուրս բերելու համար, այն պետք է </w:t>
      </w:r>
      <w:r w:rsidRPr="00060185">
        <w:rPr>
          <w:rFonts w:ascii="Sylfaen" w:eastAsia="Times New Roman" w:hAnsi="Sylfaen" w:cs="Times New Roman"/>
          <w:sz w:val="24"/>
          <w:szCs w:val="24"/>
          <w:lang w:val="en-US" w:eastAsia="en-US" w:bidi="ar-SA"/>
        </w:rPr>
        <w:lastRenderedPageBreak/>
        <w:t xml:space="preserve">ուսումնասիրվի նպատակային պոպուլյացիայում՝ դրա անվտանգության, արդյունավետության և որակի հաստատման նպատակով անհրաժեշտ խոշորմասշտաբային հետազոտություններում կիրառելու համար: </w:t>
      </w:r>
    </w:p>
    <w:p w14:paraId="5C313CA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7EFA1E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Պացիենտների չբավարարված բժշկական պահանջմունքներն ապահովելու և բնակչության առողջության շահերի պաշտպանության նպատակով դեղապատրաստուկների կոնկրետ կատեգորիաների մասով կարող է պահանջվել սովորականից պակաս ամբողջական տվյալների հիման վրա, սակայն սահմանված հատուկ պարտավորությունները կատարելիս գրանցում (պայմանական գրանցում): Այդպիսի կատեգորիաներին կարող են պատկանել լուրջ (ծանր) հաշմանդամություն առաջացնող կամ կյանքին սպառնացող հիվանդությունների բուժման, կանխարգելման կամ բժշկական ախտորոշման համար նախատեսված դեղապատրաստուկները, կամ Առողջապահության համաշխարհային կազմակերպության կամ անդամ պետությունների լիազորված մարմինների կողմից ճանաչված՝ բնակչության առողջության սպառնալիքներին ի պատասխան՝ արտակարգ իրավիճակներում կիրառվող դեղապատրաստուկները կամ էլ համապատասխան անդամ պետությունում օրֆանայինի կարգավիճակ ունեցող դեղապատրաստուկները: </w:t>
      </w:r>
    </w:p>
    <w:p w14:paraId="6F23550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Վերը նշված դեպքում այն տվյալները, որոնց հիման վրա կարող է կառուցվել պայմանական գրանցման մասին եզրակացությունը, կարող են լինել պակաս ամբողջական, սակայն դեղապատրաստուկի համար «օգուտ-ռիսկ» հարաբերակցությունը պետք է մնա դրական: Ավելին, այդ դեղապատրաստուկի անհապաղ գրանցումից բնակչության առողջության համար օգուտը պետք է գերակշռի լրացուցիչ տվյալների տրամադրման հետաձգման հետ կապված ռիսկը: </w:t>
      </w:r>
    </w:p>
    <w:p w14:paraId="398241F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պայմանական գրանցումը կիրառվում է այն դեպքերում, երբ ոչ ամբողջական է միայն դեղապատրաստուկի գրանցման դոսյեի կլինիկական մասը: Արտակարգ իրավիճակներում և բնակչության առողջության սպառնալիքի դեպքերում կիրառվող դեղապատրաստուկի համար թույլատրվում են նաև ոչ ամբողջական նախակլինիկական տվյալները և գրանցման դոսյեի 3-րդ մոդուլի կազմում տվյալները:</w:t>
      </w:r>
    </w:p>
    <w:p w14:paraId="552978C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330B07D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Դեղապատրաստուկի պայմանական գրանցման դեպքում դրա փորձաքննության ընթացքում Կանոնների 36-րդ կետում նշված՝ անցկացված կլինիկական հետազոտությունների մասին հաշվետվություններին հավասար դիտարկվում են դրա գրանցման դոսյեի 5-րդ մոդուլի կազմում ներառված՝ անցկացված կլինիկական հետազոտությունների մասին հաշվետվությունները, եթե դրանք մասնակի կամ ամբողջությամբ անցկացվել են Բժշկական կիրառման համար դեղագործական պատրաստուկների տեխնիկական պահանջների ներդաշնակեցման հարցերով (ICH) միջազգային խորհրդի տարածաշրջանի երկրների տարածքներում, և դրանց հիման վրա դեղապատրաստուկը գրանցված է տվյալ տարածաշրջանի երկրի տարածքում: Հարկ եղած դեպքում ռեֆերենտ պետության լիազորված մարմնի (փորձագիտական կազմակերպության) կողմից կարող է նախաձեռնվել Եվրասիական տնտեսական </w:t>
      </w:r>
      <w:r w:rsidRPr="00060185">
        <w:rPr>
          <w:rFonts w:ascii="Sylfaen" w:eastAsia="Times New Roman" w:hAnsi="Sylfaen" w:cs="Times New Roman"/>
          <w:sz w:val="24"/>
          <w:szCs w:val="24"/>
          <w:lang w:val="en-US" w:eastAsia="en-US" w:bidi="ar-SA"/>
        </w:rPr>
        <w:lastRenderedPageBreak/>
        <w:t>հանձնաժողովի խորհրդի 2016 թվականի նոյեմբերի 3-ի թիվ 79 որոշմամբ հաստատված՝ Եվրասիական տնտեսական միության Պատշաճ կլինիկական գործունեության կանոնների պահանջներին համապատասխանության մասով կլինիկական հետազոտության տեսչական ստուգման անցկացում:</w:t>
      </w:r>
    </w:p>
    <w:p w14:paraId="4937A62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Բժշկական չբավարարված պահանջմունքներով պացիենտների համար դեղապատրաստուկների մատչելիության դյուրինացման և անվտանգության անբարենպաստ պրոֆիլով կամ «օգուտ-ռիսկ» բացասական հարաբերակցությամբ դեղապատրաստուկների գրանցման կանխման միջև կիրառելի հավասարակշռության պահպանման ապահովման նպատակով այդ գրանցումներն անհրաժեշտ է իրականացնել հատուկ պարտավորությունների կատարման պայմանով: Գրանցման հավաստագիր ունեցող անձը պետք է պարտավորվի ավարտել կամ սկսել կոնկրետ հետազոտություններ՝ հաստատելու համար այն, որ՝</w:t>
      </w:r>
    </w:p>
    <w:p w14:paraId="76ED2B9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03ADED0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«օգուտ-ռիսկ» հարաբերակցությունը դրական է.</w:t>
      </w:r>
    </w:p>
    <w:p w14:paraId="426B607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բացակայում են դեղապատրաստուկի անվտանգությանը, արդյունավետությանը և որակին վերաբերող չլուծված հարցերը:</w:t>
      </w:r>
    </w:p>
    <w:p w14:paraId="2C617CA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պայմանական գրանցումը տարբերվում է՝ Կանոնների VII բաժնի VII.II ենթաբաժնին համապատասխան՝բացառիկ դեպքերում իրականացվող գրանցման ընթացակարգից: Դեղապատրաստուկի պայմանական գրանցումն իրականացվում է մինչև դրա անվտանգության և արդյունավետության մասին բոլոր տվյալներն ստանալը: Դրա հետ մեկտեղ չի պլանավորվում, որ այդ դեղապատրաստուկի գրանցումը մնալու է պայմանական անժամկետ: Դեղապատրաստուկի գրանցման դոսյեի բացակայող տվյալները տրամադրելուց հետո ռեֆերենտ պետության լիազորված մարմինը (փորձագիտական կազմակերպությունը) կարող է որոշում ընդունել դեղապատրաստուկի պայմանական գրանցման դադարեցման մասին (այսինքն՝ գրանցումը դադարում է պայմանական լինելուց և չի պահանջում այլևս հատուկ պարտավորությունների կատարում): Ի տարբերություն պայմանական գրանցման, բացառիկ դեպքերում դեղապատրատուկի գրանցման դեպքում սկզբունքորեն անհնարին է օբյեկտիվ պատճառներով կազմել և ներկայացնել այդ դեղապատրաստուկի ամբողջական գրանցման դոսյեն:</w:t>
      </w:r>
    </w:p>
    <w:p w14:paraId="32F87D1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պայմանական գրանցման հայտը կարող է նույնպես ներառել Կանոնների VII բաժնի VII.IV ենթաբաժնով նախատեսված արագացված փորձաքննության ընթացակարգի հարցում: Տվյալ դեպքում դեղապատրաստուկի գրանցման հայտը պետք է պարունակի Կանոնների թիվ 2 հավելվածում նշված հետգրանցումային միջոցների ցանկ:</w:t>
      </w:r>
    </w:p>
    <w:p w14:paraId="01E4CF4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Պայմանական գրանցման հայտի փորձաքննությունը Կանոնների V և VI բաժիններով սահմանված ստանդարտ ընթացակարգն է, եթե այլ բան նախատեսված չէ սույն հավելվածով: </w:t>
      </w:r>
    </w:p>
    <w:p w14:paraId="41F189E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Կանոնների VII բաժնի VII.III ենթաբաժնին համապատասխան պայմանական գրանցումը վավեր կլինի 1 տարվա ընթացքում՝ տարեկան վերագրանցմամբ: Վերագրանցման (գրանցման հաստատման) հայտը ներկայացնելու վերջնաժամկետը </w:t>
      </w:r>
      <w:r w:rsidRPr="00060185">
        <w:rPr>
          <w:rFonts w:ascii="Sylfaen" w:eastAsia="Times New Roman" w:hAnsi="Sylfaen" w:cs="Times New Roman"/>
          <w:sz w:val="24"/>
          <w:szCs w:val="24"/>
          <w:lang w:val="en-US" w:eastAsia="en-US" w:bidi="ar-SA"/>
        </w:rPr>
        <w:lastRenderedPageBreak/>
        <w:t xml:space="preserve">պետք է կազմի 6 ամիս՝ մինչև գործողության գրանցման ժամկետի լրանալը, իսկ ռեֆերենտ պետության լիազորված մարմինը (փորձագիտական կազմակերպությունը) պետք է ընդունի որոշում այդ հայտն ստանալու օրվանից 60 աշխատանքային օրվա ընթացքում: Երաշխավորելու համար այն, որ դեղապատրաստուկները չեն հանվելու շուկայից, բացառապես բնակչության առողջության պահպանման նկատառումներից ելնելով, պայմանական գրանցման ընթացակարգով տրված գրանցման հավաստագիրը պետք է շարունակի ուժի մեջ մնալ մինչև ռեֆերենտ պետության լիազորված մարմնի (փորձագիտական կազմակերպության) կողմից վերագրանցման (գրանցման հաստատման) հայտի փորձաքննության արդյունքների մասին որոշման ընդունումը, պայմանով, որ տվյալ հայտը ներկայացված է մինչև վերագրանցման (գրանցման հաստատման) հայտը ներկայացնելու վերջնաժամկետի լրանալը: </w:t>
      </w:r>
    </w:p>
    <w:p w14:paraId="6A45117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Գրանցման պայմանական բնույթի մասին տեղեկատվությունը պետք է հստակ շարադրված լինի դեղապատրաստուկի ընդհանուր բնութագրում, ինչպես նաև դեղապատրաստուկի բժշկական կիրառման հրահանգում (ներդիր-թերթիկում):</w:t>
      </w:r>
    </w:p>
    <w:p w14:paraId="76BC77F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Պայմանական գրանցված դեղապատրաստուկների համար կարևոր է դեղազգոնության մասով այն պահանջների և պարտավորությունների կատարումը, որոնք նախատեսված են Եվրասիական տնտեսական հանձնաժողովի խորհրդի 2016 թվականի նոյեմբերի 3-ի թիվ 87 որոշմամբ հաստատված՝ Եվրասիական տնտեսական միության դեղազգոնության պատշաճ գործունեության կանոններով: Դրա հետ մեկտեղ պետք է փոփոխել անվտանգության՝ պարբերաբար արդիականացվող հաշվետվության ներկայացման ժամկետները՝ պայմանական գրանցված դեղապատրաստուկների տարեկան վերագրանցումը հաշվի առնելու համար, ինչը պետք է արտացոլվի այդ պատրաստուկների գրանցման հավաստագրերի հավելվածներում:</w:t>
      </w:r>
    </w:p>
    <w:p w14:paraId="3754431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Հետազոտությունների և գրանցման հայտը ներկայացնելու պլանավորումն անցկացվում է դեղապատրաստուկների մշակման վաղ փուլում: Նման պլանավորումը պայմանավորված է պայմանական գրանցման հնարավորությամբ: Այդ իսկ պատճառով ռեֆերենտ պետության լիազորված մարմինը (փորձագիտական կազմակերպությունը) պարտավոր է ապահովել մշակողների և հայտատուների՝ Կանոնների 26-րդ կետին համապատասխան մշակվող և գրանցման համար հայտագրված դեղապատրաստուկի պայմանական գրանցման կիրառման հնարավորության շուրջ գիտական խորհրդատվության մեխանիզմը:</w:t>
      </w:r>
    </w:p>
    <w:p w14:paraId="369E678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75F76DC7"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II. Կիրառության ոլորտը</w:t>
      </w:r>
    </w:p>
    <w:p w14:paraId="303B582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FB21A3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Սույն հավելվածը կիրառվում է հետևյալ կատեգորիաներից մեկին պատկանող՝ բժշկական կիրառման համար դեղապատրաստուկների նկատմամբ՝</w:t>
      </w:r>
    </w:p>
    <w:p w14:paraId="1EA5DEA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լուրջ (ծանր) հաշմանդամություն առաջացնող կամ կյանքին սպառնացող հիվանդությունների բուժման, կանխման կամ ախտորոշման համար նախատեսված դեղապատրաստուկներ.</w:t>
      </w:r>
    </w:p>
    <w:p w14:paraId="5C5C22A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Առողջապահության համաշխարհային կազմակերպության կամ անդամ պետության լիազորված մարմնի կողմից ճանաչված սահմանված կարգով՝ բնակչության առողջության սպառնալիքի իրավիճակներում կիրառման համար նախատեսված դեղապատրաստուկներ.</w:t>
      </w:r>
    </w:p>
    <w:p w14:paraId="55AA6D6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օրֆանայինների կարգավիճակ ունեցող կամ անդամ պետություններում որպես օրֆանային ճանաչված դեղապատրաստուկներ:</w:t>
      </w:r>
    </w:p>
    <w:p w14:paraId="0633271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736F52B4"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III. Դեղապատրաստուկի պայմանական գրանցման ընթացակարգին ներկայացվող ընդհանուր պահանջների կատարման մասով ցուցումներ</w:t>
      </w:r>
    </w:p>
    <w:p w14:paraId="10C4A9D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3B39C7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Կանոնների VII բաժնի VII.III ենթաբաժնին համապատասխան՝ ռեֆերենտ պետության լիազորված մարմնի (փորձագիտական կազմակերպության)՝ հայտատուի հետ խորհրդատվություն անցկացնելուց հետո գրանցումը կարող է իրականացվել ռեֆերենտ պետության լիազորված մարմնի (փորձագիտական կազմակերպության) կողմից տարեկան գնահատվող՝ գրանցման հավաստագիր ունեցող անձի կողմից սահմանված հատուկ պարտավորությունների կատարման դեպքում: Այդ պարտավորությունների ցանկը պետք է նշված լինի Միության գրանցված դեղամիջոցների միասնական ռեեստրում տեղադրված դեղապատրաստուկի գրանցման հավաստագրում: Պայմանական գրանցումը վավեր է 1 տարվա ընթացքում և պահանջում է գրանցման հաստատում (վերագրանցում)՝ «օգուտ-ռիսկ» հարաբերակցության տարեկան վերագնահատմամբ:</w:t>
      </w:r>
    </w:p>
    <w:p w14:paraId="7C85ECB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Պայմանական գրանցումը կիրառելի է «օգուտ-ռիսկ» այնպիսի հարաբերակցությամբ դեղապատրաստուկների նկատմամբ, որի համար դիտարկվող դեղապատրաստուկի շուկա թույլտվությունից օգուտը կգերազանցի դեղապատրաստուկի գրանցման պահի դրությամբ դրա անվտանգության և արդյունավետության մասին տվյալների մասի բացակայության հետ կապված ռիսկը (այսինքն՝ առողջապահության համակարգի չբավարարված բժշկական պահանջմունքն ապահովելու ապացուցված ունակությամբ դեղապատրաստուկների նկատմամբ):</w:t>
      </w:r>
    </w:p>
    <w:p w14:paraId="38D671B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15D50F23" w14:textId="77777777" w:rsidR="00D37FAA" w:rsidRPr="00060185" w:rsidRDefault="00D37FAA" w:rsidP="00D37FAA">
      <w:pPr>
        <w:widowControl/>
        <w:spacing w:after="0" w:line="240" w:lineRule="auto"/>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1. Պայմանական գրանցման իրականացումը Հայտատուի՝ պայմանական գրանցման հարցումը</w:t>
      </w:r>
    </w:p>
    <w:p w14:paraId="29B27826"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3EB819C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37C0D3A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Հայտատուն իրավունք ունի ապակենտրոնացված ընթացակարգով կամ փոխադարձ ճանաչման ընթացակարգով գրանցման հայտը ներկայացնելիս պայմանական գրանցման հարցում կատարելու՝ լրացնելով հայտի համապատասխան բաժինը: Հարցումն անհրաժեշտ է լրացնել տվյալներով, որոնք հաստատում են, որ դեղապատրաստուկը մտնում է սույն հավելվածի կիրառման ոլորտ և համապատասխանում է սույն բաժնի 2-րդ ենթաբաժնով սահմանված դրույթներին:</w:t>
      </w:r>
    </w:p>
    <w:p w14:paraId="7B85C0D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Ռեֆերենտ պետության լիազորված մարմինը (փորձագիտական կազմակերպությունը) պարտավոր է 3 աշխատանքային օրվա ընթացքում Միության միասնական տեղեկատվական համակարգում տեղադրել պայմանական գրանցման հարցում պարունակող դեղապատրաստուկի գրանցման հայտերի մասին տեղեկություններ:</w:t>
      </w:r>
    </w:p>
    <w:p w14:paraId="55447B0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Ռեֆերենտ պետության լիազորված մարմինը (փորձագիտական կազմակերպությունը) իրավունք ունի ապակենտրոնացված ընթացակարգով կամ փոխադարձ ճանաչման ընթացակարգով գրանցման ներկայացված հայտի փորձաքննության արդյունքների հիման վրա կազմված իր փորձագիտական հաշվետվությունում առաջարկելու պայմանական գրանցում՝ հայտատուի հետ խորհրդատվություն անցկացնելուց հետո:</w:t>
      </w:r>
    </w:p>
    <w:p w14:paraId="3F31BEB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Պայմանական գրանցման հարցում պարունակող հայտն ստանալուց հետո ռեֆերենտ պետության լիազորված մարմինը (փորձագիտական կազմակերպությունը) տեղեկացնում է Դեղամիջոցների գծով փորձագիտական կոմիտեին պայմանական գրանցման ընթացակարգի մեկնարկի մասին:</w:t>
      </w:r>
    </w:p>
    <w:p w14:paraId="726DA11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Հայտատուն կարող է ներկայացնել դեղապատրաստուկի պայմանական գրանցման հայտ. այդ ընթացակարգը նույնպես կարող է առաջարկել ռեֆերենտ պետության լիազորված մարմինը (փորձագիտական կազմակերպությունը):</w:t>
      </w:r>
    </w:p>
    <w:p w14:paraId="72CA7EF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Հայտատուն իրավունք ունի՝</w:t>
      </w:r>
    </w:p>
    <w:p w14:paraId="5D75DB2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մինչ գրանցման հայտը ներկայացնելը գրավոր ծանուցել ռեֆերենտ պետության լիազորված մարմնին (փորձագիտական կազմակերպությանը) պայմանական գրանցման հայտ ներկայացնելու իր մտադրության մասին.</w:t>
      </w:r>
    </w:p>
    <w:p w14:paraId="0D65C9D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գրանցման հայտ ներկայացնելու հետ միաժամանակ հայտի կազմում և դեղապատրաստուկի գրանցման դոսյեի 1-ին մոդուլի 1.2.1 ենթաբաժնում ներառել պայմանական գրանցման ընթացակարգի անցկացման հարցումը:</w:t>
      </w:r>
    </w:p>
    <w:p w14:paraId="14FC8F4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Հարցումը պետք է ներառի՝</w:t>
      </w:r>
    </w:p>
    <w:p w14:paraId="38105DC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պայմանական գրանցման ընթացակարգի անցկացման հնարավորությունը հիմնավորող, այդ թվում՝ այդ ընթացակարգի կատարման համար անհրաժեշտ պայմաններին դեղապատրաստուկի համապատասխանության մասին տվյալներ.</w:t>
      </w:r>
    </w:p>
    <w:p w14:paraId="66EB22E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հայտատուի առաջարկությունները՝ անցկացվող կամ նոր հետազոտությունների ավարտի մասին.</w:t>
      </w:r>
    </w:p>
    <w:p w14:paraId="65A65F1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առաջարկություններ դեղազգոնության արդյունքների մասով (անհրաժեշտության դեպքում):</w:t>
      </w:r>
    </w:p>
    <w:p w14:paraId="3A9BD70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Հարցման մեջ թույլատրվում է բերել գրանցման հայտի և գրանցման դոսյեի առանձին բաժիններին հղումներ:</w:t>
      </w:r>
    </w:p>
    <w:p w14:paraId="07949B7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B1D8E27"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Պայմանական գրանցման ընթացակարգի անցկացման հիմնավորումը</w:t>
      </w:r>
    </w:p>
    <w:p w14:paraId="67E37184"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1B86BED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Հայտատուն պարտավոր է ներկայացնել այն հիմնավորումը, որ գրանցման ներկայացված դեղապատրաստուկը համապատասխանում է սույն փաստաթղթի II </w:t>
      </w:r>
      <w:r w:rsidRPr="00060185">
        <w:rPr>
          <w:rFonts w:ascii="Sylfaen" w:eastAsia="Times New Roman" w:hAnsi="Sylfaen" w:cs="Times New Roman"/>
          <w:sz w:val="24"/>
          <w:szCs w:val="24"/>
          <w:lang w:val="en-US" w:eastAsia="en-US" w:bidi="ar-SA"/>
        </w:rPr>
        <w:lastRenderedPageBreak/>
        <w:t>բաժնում նշված՝ պայմանական գրանցման կիրառման ոլորտին: Դեղապատրաստուկների խմբերից յուրաքանչյուրի համար նշված հիմնավորումը պետք է ներառի հետևյալ տվյալները.</w:t>
      </w:r>
    </w:p>
    <w:p w14:paraId="1B5397B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70F12DD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լուրջ (ծանր) հաշմանդամություն առաջացնող կամ կյանքին սպառնացող հիվանդությունների (այսինքն՝ ծանր հաշմանդամություն առաջացնող վիճակի ձևավորմանը հանգեցնելու կամ կյանքին սպառնացող բնույթ կրելու դրա ունակությունը) բուժման, կանխարգելման կամ ախտորոշման համար նախատեսված դեղապատրաստուկների նկատմամբ հիվանդության ծանրությունը պետք է հիմնավորվի օբյեկտիվ և քանակական գնահատման ենթակա բժշկական տեղեկությունների կամ համաճարակաբանական տեղեկությունների տրամադրման միջոցով: Կյանքին սպառնացող հիվանդության բնույթը թույլատրվում է հիմնավորել մահացության և կյանքի ակնկալվող տևողության գծապատկերների տրամադրմամբ: Հիվանդության՝ լուրջ հաշմանդամություն առաջացնող վիճակի ձևավորմանը հանգեցնող ունակությունը պահանջում է մահացության և պացիենտների ամենօրյա կենսագործունեության համար հիվանդության (վիճակի) հետևանքների վերլուծության անցկացում: Որպեսզի հիվանդությունը ճանաչվի լուրջ հաշմանդամություն առաջացնող, այն պետք է ապացուցված էական ազդեցություն ունենա պացիենտների ամենօրյա կենսագործունեության վրա հիվանդության արդեն վաղ կամ առավել ուշ փուլերում: Այդ տվյալներն անհրաժեշտ է քանակապես գնահատել օբյեկտիվ չափանիշների օգնությամբ այնքանով, որքանով դա թույլ է տալիս վերլուծության կիրառվող մեթոդիկան: Բացի այդ, լուրջ հաշմանդամություն առաջացնող վիճակի ձևավորման կամ մահացու ելքի կանխումը պետք է լինի պայմանական հայտագրված դեղապատրաստուկի կիրառման հիմնական ցուցումը (այսինքն՝ ապահովել նպատակային պոպուլյացիայի ճնշող մասի համար դրա արդյունավետությունը): </w:t>
      </w:r>
    </w:p>
    <w:p w14:paraId="6F7948F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Առողջապահության համաշխարհային կազմակերպության (ԱՀԿ) կամ անդամ պետության լիազորված մարմնի կողմից ճանաչված՝ սահմանված կարգով բնակչության առողջության սպառնալիքի իրավիճակներում կիրառման համար նախատեսված դեղապատրաստուկների նկատմամբ անհրաժեշտ է ներկայացնել այն հիմնավորումը, որ դեղապատրաստուկը նախատեսված է բնակչության առողջության սպառնալիքի արտակարգ իրավիճակներում կիրառման համար՝ ԱՀԿ համապատասխան բանաձևին կամ անդամ պետության լիազորված մարմնի հաստատած՝ բնակչության առողջության սպառնալիքի տարածման հակազդմանն ուղղված միջոցներին հղումները նշելու միջոցով: </w:t>
      </w:r>
    </w:p>
    <w:p w14:paraId="1AF0B88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Օրֆանային դեղապատրաստուկի կարգավիճակ ունեցող կամ անդամ պետություններում օրֆանային ճանաչված դեղապատրաստուկների մասով անհրաժեշտ է տրամադրել ռեֆերենտ պետության (փորձագիտական կազմակերպության) որոշման պատճենը դեղապատրաստուկին օրֆանային դեղապատրաստուկի կարգավիճակ տալու մասին կամ տվյալ դեղապատրաստուկի այդ կարգավիճակի առկայության փաստաթղթային այլ հաստատում:</w:t>
      </w:r>
    </w:p>
    <w:p w14:paraId="1FE488B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lastRenderedPageBreak/>
        <w:t> </w:t>
      </w:r>
    </w:p>
    <w:p w14:paraId="1D5E5EC7"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2. Դեղապատրաստուկի գրանցման դոսյեի ձևավորման և դրա գնահատման առանձնահատկությունները պայմանական գրանցում անցկացնելիս</w:t>
      </w:r>
    </w:p>
    <w:p w14:paraId="4866C0E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290311C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Դեղապատրաստուկը կարող է գրանցվել պայմանական գրանցման ընթացակարգով, եթե ռեֆերենտ պետության լիազորված մարմնի (փորձագիտական կազմակերպության) կողմից սահմանված է, որ չնայած դեղապատրաստուկի անվտանգության և արդյունավետության մասին ամբողջական կլինիկական տվյալները չներկայացնելուն, կատարվում են բոլոր հետևյալ պայմանները.</w:t>
      </w:r>
    </w:p>
    <w:p w14:paraId="75CD80B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«օգուտ-ռիսկ» դրական հարաբերակցությունը.</w:t>
      </w:r>
    </w:p>
    <w:p w14:paraId="67CFD7A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հայտատուն ունակ է հետագայում (դեղապատրաստուկի գրանցումից հետո) տրամադրել ամբողջական կլինիկական տվյալներ (ինչպես նաև անհրաժեշտության դեպքում նախակլինիկական տվյալներ և որակի մասին տվյալներ).</w:t>
      </w:r>
    </w:p>
    <w:p w14:paraId="2B900BB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դեղապատրաստուկի գրանցումը թույլ կտա ապահովել առողջապահության համակարգի չբավարարված բժշկական պահանջմունքները. </w:t>
      </w:r>
    </w:p>
    <w:p w14:paraId="501F19B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դեղապատրաստուկը շուկա հանելու թույլտվությունից բնակչության առողջության համար օգուտը կբարձրացնի դեղապատրաստուկի գրանցման պահի դրությամբ դրա անվտանգության և արդյունավետության մասին տվյալների մասի բացակայության հետ կապված ռիսկը (հետագայում այդպիսի տվյալների տրամադրման պայմանով):</w:t>
      </w:r>
    </w:p>
    <w:p w14:paraId="542B5DD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Սույն փաստաթղթի II բաժնի երրորդ պարբերությունում նշված արտակարգ իրավիճակներում պայմանական գրանցումը կարող է իրականացվել սույն ենթաբաժնի երկրորդ-հինգերորդ պարբերություններով սահմանված պայմանների պահպանմամբ կամ դեղապատրաստուկի նախակլինիկական տվյալների կամ գրանցման դոսյեի 3-րդ մոդուլի տվյալների բացակայության դեպքում: </w:t>
      </w:r>
    </w:p>
    <w:p w14:paraId="1EBB2C4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Սույն ենթաբաժնի երկրորդ պարբերության նպատակներով «չբավարարված բժշկական պահանջմունքներ» հասկացությունը կիրառվում է Կանոնների 1203 կետով սահմանված իմաստով:</w:t>
      </w:r>
    </w:p>
    <w:p w14:paraId="0D9ED50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Գրանցման դոսյեի 1-ին մոդուլի 1.8.2.9 բաժնում տեղադրված՝ պայմանական գրանցման հայտի համար ամփոփագրում հայտատուն պարտավոր է հիմնավորել սույն ենթաբաժնում նշված պայմաններից յուրաքանչյուրի կատարումը:</w:t>
      </w:r>
    </w:p>
    <w:p w14:paraId="215FEFBF"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787D49AD"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«օգուտ-ռիսկ» դրական հարաբերակցությունը</w:t>
      </w:r>
    </w:p>
    <w:p w14:paraId="7980632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4D68282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Առհասարակ պայմանական գրանցման ամփոփագրում «օգուտ-ռիսկ» դրական հարաբերակցության հաստատումը պետք է հիմնավորվի գիտական ապացույցների, այդ թվում՝ կլինիկական հետազոտությունների (օրինակ՝ պատահական ընտրանքով վերահսկվող հետազոտությունների) արդյունքների հիման վրա, որոնք թույլ են տալիս հաստատել դեղապատրաստուկի համար թերապևտիկ արդյունավետության, անվտանգության գնահատականը և «օգուտ-ռիսկ» դրական հարաբերակցությունը:</w:t>
      </w:r>
    </w:p>
    <w:p w14:paraId="2FD861E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Կանոնների թիվ 1 հավելվածում սահմանված՝ փաստաթղթերի և գրանցման դոսյեի տվյալների մասով պահանջները կիրառելի են այն դեղապատրաստուկների </w:t>
      </w:r>
      <w:r w:rsidRPr="00060185">
        <w:rPr>
          <w:rFonts w:ascii="Sylfaen" w:eastAsia="Times New Roman" w:hAnsi="Sylfaen" w:cs="Times New Roman"/>
          <w:sz w:val="24"/>
          <w:szCs w:val="24"/>
          <w:lang w:val="en-US" w:eastAsia="en-US" w:bidi="ar-SA"/>
        </w:rPr>
        <w:lastRenderedPageBreak/>
        <w:t>նկատմամբ, որոնց հայտագրված են պայմանական գրանցման համար: Այն դեպքում, երբ պայմանական գրանցման ընթացակարգն անցկացվում է առաջին անգամ հայտագրված ակտիվ նյութեր պարունակող դեղապատրաստուկների նկատմամբ, թույլատրվում է այդ դեղապատրաստուկների թերապևտիկ արդյունավետության և անվտանգության տրամադրում պակաս ծավալով՝ սովորական գրանցման համեմատ: Սակայն տվյալների այդ ծավալը պետք է բավարար լինի «օգուտ-ռիսկ» դրական հարաբերակցությունը հաստատելու և դեղապատրաստուկի էական օգուտը սահմանելու համար, որը գերազանցում է՝</w:t>
      </w:r>
    </w:p>
    <w:p w14:paraId="1B31256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կլինիկական հետազոտությունների ընթացքում բացահայտված դեղապատրաստուկների կիրառման.</w:t>
      </w:r>
    </w:p>
    <w:p w14:paraId="4773A5C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թերապևտիկ արդյունավետության և անվտանգության մասին տվյալների մի մասի բացակայության ռիսկը:</w:t>
      </w:r>
    </w:p>
    <w:p w14:paraId="3AAB64D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Պայմանական գրանցման ընթացակարգն անցկացնելու դեպքում պետք է հասանելի լինեն գրանցման դոսյեի 3-րդ և 4-րդ մոդուլներում առկա մանրամասն տվյալները: Ընդ որում, թույլատրվում է գրանցման դոսյեի 5-րդ մոդուլում առկա կլինիկական հետազոտությունների ոչ ամբողջական տվյալների տրամադրումը: Քանի որ պայմանական գրանցման ժամանակ նկատվում է գրանցման դոսյեի 5-րդ մոդուլում կլինիկական հետազոտությունների տվյալների մի մասի բացակայության հետ կապված գնահատման անորոշությունը, գրանցման դոսյեի մնացած մոդուլները պետք է պարունակեն բոլոր պահանջվող հետազոտությունների տվյալների ամբողջական ծավալը և չունենան պակասող տվյալներ, որոնք կմեծացնեին անորոշության հետ կապված հավանականությունը, գրանցման դոսյեի գնահատման մեջ սխալի բացառման նպատակով:</w:t>
      </w:r>
    </w:p>
    <w:p w14:paraId="5C49342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Այն դեղապատրաստուկների համար, որոնք նախատեսված են անմիջապես բնակչության կյանքին և առողջությանը սպառնացող վիճակներում արտակարգ իրավիճակներում կիրառման համար, և որոնք կարող են բերել առանձնակի օգուտ այդ իրավիճակներում, թույլատրվում է գրանցման դոսյեի ոչ ամբողջական տվյալների հետ կապված ռիսկի կիրառելիության առավել լայն սահմաններ սահմանելը: Նման դեպքերում պայմանական գրանցումը նույնպես կարող է իրականացվել, եթե գրանցման դոսյեի 3-րդ և 4-րդ մոդուլներում առկա տվյալները նույնպես ոչ ամբողջական են: Նման դեղապատրաստուկները ենթակա են գնահատման անհատական կարգով՝ հաշվի առնելով բնակչության առողջությանը դրանցով կանխվող սպառնալիքների կամ դեղապատրաստուկի դրական ազդեցությունների բնույթը: </w:t>
      </w:r>
    </w:p>
    <w:p w14:paraId="7F6262A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«Օգուտ-ռիսկ» դրական հարաբերակցությունը հիմնավորելու համար պետք է սահմանվի դեղապատրաստուկի անվտանգության պրոֆիլ:</w:t>
      </w:r>
    </w:p>
    <w:p w14:paraId="7C7094F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Հայտատուն պարտավոր է՝</w:t>
      </w:r>
    </w:p>
    <w:p w14:paraId="0610776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վերլուծել, թե դեղապատրաստուկի անվտանգության և արդյունավետության տվյալների որ ծավալն է անհասանելի հայտը ներկայացնելու և գրանցումն իրականացնելու պահի դրությամբ.</w:t>
      </w:r>
    </w:p>
    <w:p w14:paraId="40C1FEB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 xml:space="preserve">հիմնավորել ոչ ամբողջական տվյալների հիման վրա դեղապատրաստուկի գրանցման հնարավորության գնահատում կատարելու կիրառելիությունը՝ ելնելով գրանցման դոսյեում առկա հետազոտությունների արդյունքների համոզիչ լինելուց և «օգուտ-ռիսկ» դրական հարաբերակցություն ապահովելու անհրաժեշտությունից: </w:t>
      </w:r>
    </w:p>
    <w:p w14:paraId="6D54965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Թույլատրվում է դեղապատրաստուկի գրանցումից հետո հետևյալ տվյալների տրամադրումը (եթե դա հիմնավորված չէ հայտատուի կողմից). </w:t>
      </w:r>
    </w:p>
    <w:p w14:paraId="6118000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արդյունավետության վերջնակետի՝ կլինիկական տեսանկյունից առավել երկարաժամկետ և առավել վստահելի գնահատման արդյունքները (այն դեպքում, երբ ի սկզբանե գրանցման դոսյեում ներկայացվել են միայն միջանկյալ վերջնակետի գնահատման մասին տվյալները) (օրինակ՝ կենսակայունության, այլ ոչ թե պացիենտների՝ միջամտությանն ընդհանուր պատասխանի հաճախականության մասին տվյալները).</w:t>
      </w:r>
    </w:p>
    <w:p w14:paraId="70C64C4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առավել լայն տվյալների բազայից կամ նույն վերջնակետով (կետերով) և նույն պոպուլյացիայի շրջանում (օրինակ՝ պացիենտների՝ միջամտությանը պատասխանի հաճախականությունը հսկողության առավել ուշ ժամանակային կետի </w:t>
      </w:r>
      <w:proofErr w:type="gramStart"/>
      <w:r w:rsidRPr="00060185">
        <w:rPr>
          <w:rFonts w:ascii="Sylfaen" w:eastAsia="Times New Roman" w:hAnsi="Sylfaen" w:cs="Times New Roman"/>
          <w:sz w:val="24"/>
          <w:szCs w:val="24"/>
          <w:lang w:val="en-US" w:eastAsia="en-US" w:bidi="ar-SA"/>
        </w:rPr>
        <w:t>դեպքում)՝</w:t>
      </w:r>
      <w:proofErr w:type="gramEnd"/>
      <w:r w:rsidRPr="00060185">
        <w:rPr>
          <w:rFonts w:ascii="Sylfaen" w:eastAsia="Times New Roman" w:hAnsi="Sylfaen" w:cs="Times New Roman"/>
          <w:sz w:val="24"/>
          <w:szCs w:val="24"/>
          <w:lang w:val="en-US" w:eastAsia="en-US" w:bidi="ar-SA"/>
        </w:rPr>
        <w:t xml:space="preserve"> առավել երկարատև դիտարկման հիման վրա ստացված տվյալներից ստացված՝ դեղապատրաստուկի անվտանգության և արդյունավետության մասին տվյալները. </w:t>
      </w:r>
    </w:p>
    <w:p w14:paraId="02695F6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լրացուցիչ վերջնակետերի կամ հատուկ բացահայտված խնդիրների մասին հեռակա (օրինակ՝ մետաստազների վրա ազդեցության, երիկամային անբավարարությունների մասին) տվյալները.</w:t>
      </w:r>
    </w:p>
    <w:p w14:paraId="1F7D554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գրանցման համար պատվաստանյութերի նախորդ օգտագործման ժամանակ դրանց կլինիկական արդյունավետության մասին տվյալները (օրինակ՝ միայն իմունագենության մասին տվյալները).</w:t>
      </w:r>
    </w:p>
    <w:p w14:paraId="263D1F0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կարևոր ենթապոպուլյացիաներում լրացուցիչ տվյալները (օրինակ՝ ռեզիստենտությամբ պացիենտների կամ հիվանդության կարևոր բիոմարկերով պացիենտների մասին).</w:t>
      </w:r>
    </w:p>
    <w:p w14:paraId="11DBE35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այլ դեղապատրաստուկների ազդեցության մասին լրացուցիչ տվյալները (օրինակ՝ այլ դեղապատրաստուկների հետ համակցության արդյունավետության մասին տվյալները):</w:t>
      </w:r>
    </w:p>
    <w:p w14:paraId="3BACBF3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Պայմանական գրանցման դեպքում բարենպաստ ազդեցությունների սահմանումը կարող է հնարավորինս հիմնվել միջանկյալ վերջնակետերի վրա, որոնք հիմնավորված կերպով կարող են հանգեցնել կլինիկական օգուտին, սակայն անմիջականորեն այն չեն որոշում: Եթե առաջարկվում է նման մոտեցում, անհրաժեշտ է մատչելի ապացույցների օգտագործմամբ վերլուծել միջանկյալ վերջնակետի պիտանիությունը դեղապատրաստուկի կիրառումից կլինիկական օգուտի կանխատեսման սահմանման կամ կատարման համար: Հայտատուն մասնավորապես պարտավոր է գնահատել անորոշության աստիճանը միջանկյալ վերջնակետի հիման վրա կլինիկական օգուտը կանխատեսելիս և հիմնավորել անորոշության այդ աստիճանի կիրառելիությունը: Հետգրանցումային շրջանում կլինիկական օգուտի հաստատման անհրաժեշտությամբ պայմանական գրանցումը թույլատրելի է միայն այն դեպքում, երբ գնահատման արդյունքներով դեղապատրաստուկի կլինիկական </w:t>
      </w:r>
      <w:r w:rsidRPr="00060185">
        <w:rPr>
          <w:rFonts w:ascii="Sylfaen" w:eastAsia="Times New Roman" w:hAnsi="Sylfaen" w:cs="Times New Roman"/>
          <w:sz w:val="24"/>
          <w:szCs w:val="24"/>
          <w:lang w:val="en-US" w:eastAsia="en-US" w:bidi="ar-SA"/>
        </w:rPr>
        <w:lastRenderedPageBreak/>
        <w:t>օգուտը միջանկյալ վերջնակետի վերլուծության հիման վրա գերազանցում է այդ միջանկյալ վերջնակետով ձևավորվող գնահատման անորոշությունը: Անհրաժեշտ է նույնպես հստակեցնել այն դեպքերը, երբ օգտագործվող միջանկյալ վերջնակետն ամբողջությամբ վալիդացված սուռոգատ վերջնակետ է (օրինակ՝ ելնելով առաջատար միջազգային կարգավորողների որոշումներից կամ համապատասխան գիտական վերլուծությունից), և փաստացի կլինիկական օգուտի մասին հետագա տվյալներ չեն պահանջվում, կարող է դիտարկվել դեղապատրաստուկի գրանցման հնարավորությունն առանց հատուկ պարտավորությունների:</w:t>
      </w:r>
    </w:p>
    <w:p w14:paraId="6D2FA50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անվտանգության և արդյունավետության մասին ոչ ամբողջական տվյալների դեպքում «օգուտ-ռիսկ» դրական հարաբերակցության սահմանման օրինակները ներառում են դեպքեր, երբ մի կողմից՝ ներկայացված տվյալներն անհրաժեշտ է լրացնել, որպեսզի դեղապատրաստուկի կլինիկական գնահատումը համարվի ամբողջությամբ կատարված (օրինակ՝ առավել երկարատև դիտարկման հիման վրա ստացված տվյալների, առավել խոշոր տվյալների բազայի վերլուծության արդյունքների կամ լրացուցիչ վերջնակետերի վերլուծության արդյունքում ստացված տվյալների), սակայն մյուս կողմից՝ արդեն առկա սահմանափակ տվյալների հիման վրա սահմանված՝ դեղապատրաստուկի կիրառումից օգուտը գերազանցում է ռիսկերը: Նման դեպքերում բնակչության առողջության պահպանման շահերի տեսանկյունից անհիմն կլինի դեղապատրաստուկի գրանցման հետաձգումը և դրա լայն կլինիկական կիրառումն սկսելու հնարավորությունը:</w:t>
      </w:r>
    </w:p>
    <w:p w14:paraId="57DBACE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անվտանգության մասին մատչելի տվյալների սահմանափակ ծավալն իր ներդրումն ունի անորոշության մեջ և պետք է հաշվի առնվի «օգուտ-ռիսկ» հարաբերակցությունը գնահատելիս: Դեղապատրաստուկի անվտանգության կիրառելիությունը ենթակա է մատչելի տվյալների հիման վրա անհատական կարգով գնահատման ՝ հաշվի առնելով դեղապատրաստուկի ցուցադրած օգուտը:</w:t>
      </w:r>
    </w:p>
    <w:p w14:paraId="2185EBC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Այսպիսով, պայմանական գրանցումը թույլատրվում է ընտրանքի պակաս չափով և (կամ) պակաս տևողությամբ և (կամ) այլ վերջնակետերով հետազոտություններ անցկացնելիս հետազոտությունների այն ստանդարտի հետ համեմատած, որն անհրաժեշտ է կոնկրետ տեսակի հիվանդությունների (վիճակների) բուժման համար նախատեսված դեղապատրաստուկի կլինիկական հետազոտությունները հաստատելու համար: Դրա հետ մեկտեղ պայմանական գրանցման ընթացակարգ անցկացնելիս գրանցման դոսյեում անհրաժեշտ է տրամադրել հիմնավորումն այն բանի, որ գրանցման դոսյեում մատչելի տվյալների օգնությամբ սահմանված օգուտը գերազանցում է հնարավոր ռիսկերը՝ հաշվի առնելով գրանցման դոսյեի տվյալների ոչ ամբողջական ծավալի հետ կապված՝ ռիսկի նման գնահատման անորոշության բարձր մակարդակը: Քանի որ տվյալների ոչ ամբողջական ծավալով պայմանավորված ռիսկերն անհնար է ճշգրիտ գնահատել, դեղապատրաստուկի բացահայտված օգտակար ազդեցությունները պետք է թույլ տան միանշանակ եզրահանգում կատարել դրա կլինիկական օգուտի մասին: Դա թույլ կտա հավանություն տալ առանձնակի </w:t>
      </w:r>
      <w:r w:rsidRPr="00060185">
        <w:rPr>
          <w:rFonts w:ascii="Sylfaen" w:eastAsia="Times New Roman" w:hAnsi="Sylfaen" w:cs="Times New Roman"/>
          <w:sz w:val="24"/>
          <w:szCs w:val="24"/>
          <w:lang w:val="en-US" w:eastAsia="en-US" w:bidi="ar-SA"/>
        </w:rPr>
        <w:lastRenderedPageBreak/>
        <w:t>հեռանկարային դեղապատրաստուկների կլինիկական կիրառմանը, որոնք ընդհանուր առմամբ կարող են էական օգուտ բերել առողջապահության համակարգին:</w:t>
      </w:r>
    </w:p>
    <w:p w14:paraId="29B2BF1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Հայտատուի կողմից «օգուտ-ռիսկ» դրական հարաբերակցության հիմնավորումը ներառում է՝</w:t>
      </w:r>
    </w:p>
    <w:p w14:paraId="49594C4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«օգուտ-ռիսկ» հարաբերակցության առկա գնահատումը.</w:t>
      </w:r>
    </w:p>
    <w:p w14:paraId="01D08D8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«օգուտ-ռիսկ» դրական հարաբերակցության սահմանման հետ կապված ցանկացած տվյալի քննարկումը, որոնց հաստատման համար պահանջվում են հետագա հետազոտություններ (օրինակ՝ այլ վերջնակետերի վրա ազդեցության հաստատումը, հատուկ պոպուլյացիայի վրա հեռակա ազդեցությունները կամ պատասխանողների բացահայտումը):</w:t>
      </w:r>
    </w:p>
    <w:p w14:paraId="38D30575"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12852BEE"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Հայտատուի կողմից հետագայում (դեղապատրաստուկը գրանցելուց հետո) գրանցման դոսյեի ամբողջական տվյալների ներկայացման բարձր հավանականությունը </w:t>
      </w:r>
    </w:p>
    <w:p w14:paraId="19F30C7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1C315A1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Որպես հատուկ պարտավորություն գրանցման հավաստագիր ունեցող անձի համար պետք է նախատեսվի «օգուտ-ռիսկ» դրական հարաբերակցությունը հաստատող սպառիչ կլինիկական տվյալների ստացման նպատակով անցկացվող հետազոտություններն ավարտելու կամ նոր հետազոտություններ անցկացնելու մասով պարտավորություն: Արտակարգ դեպքերում կարող են պահանջվել սպառիչ նախակլինիկական կամ դեղագործական տվյալների տրամադրման հատուկ պարտավորություններ:</w:t>
      </w:r>
    </w:p>
    <w:p w14:paraId="2C59F4A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մասին ամբողջական տվյալներն ուղղված են հաստատելու այն, որ «օգուտ-ռիսկ» հարաբերակցությունը դրական է (օրինակ՝ առաջնային կամ երկրորդային վերջնակետերի մասին մատչելի տվյալների՝ առավել ամբողջական տվյալների կամ լրացուցիչ հետազոտությունների տվյալների հետ միասին համաձայնեցվածության ստուգման միջոցով՝ նման ցուցմունքների դեպքում կլինիկապես առավելապես կարևոր (երկարաժամկետ) վերջնակետերի մասին տեղեկությունների տրամադրմամբ, ազդեցության տևողության բնութագրով, անվտանգության տվյալների առավել խոշոր բազայի և, որպես կանոն, դեղապատրաստուկի արդյունավետության և անվտանգության վերաբերյալ ամբողջական ընկալման հնարավորության տրամադրմամբ):</w:t>
      </w:r>
    </w:p>
    <w:p w14:paraId="120C864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Սահմանվող հատուկ պարտավորությունները պետք է ուղղված լինեն դեղապատրաստուկի կիրառման հաստատված ցուցման դեպքում «օգուտ-ռիսկ» դրական հարաբերակցության ապացույցին և դեղապատրաստուկի ամբողջական գրանցման դոսյեի ձևավորմանը: Պետք է տրվի դեղապատրաստուկի կիրառման առաջարկվող ցուցումների դեպքում դրա անվտանգության և արդյունավետության մասին չլուծված հարցերի հստակ բացատրություն և հիմնավորում, ինչպես նաև այն, թե հատուկ պարտավորությունների կատարումն ինչպես թույլ կտա պատասխանել այդ հարցերին: Հատուկ պարտավորությունները ներառում են պատահական </w:t>
      </w:r>
      <w:r w:rsidRPr="00060185">
        <w:rPr>
          <w:rFonts w:ascii="Sylfaen" w:eastAsia="Times New Roman" w:hAnsi="Sylfaen" w:cs="Times New Roman"/>
          <w:sz w:val="24"/>
          <w:szCs w:val="24"/>
          <w:lang w:val="en-US" w:eastAsia="en-US" w:bidi="ar-SA"/>
        </w:rPr>
        <w:lastRenderedPageBreak/>
        <w:t>ընտրանքով կլինիկական հետազոտությունների անցկացման մասով պարտավորություններ, սակայն դրանցով չեն սահմանափակվում:</w:t>
      </w:r>
    </w:p>
    <w:p w14:paraId="0587840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Կարևոր է առավելագույն արագ ավարտել դեղապատրաստուկի դեղագործական մշակումը, որպեսզի սահմանափակ ժամկետում ապահովվի սպառիչ տվյալների բացակայության պատճառով դրա անվտանգության, արդյունավետության և որակի գնահատման մեջ ցանկացած անորոշության վերացումը: </w:t>
      </w:r>
    </w:p>
    <w:p w14:paraId="3AE078D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Հայտատուն պետք է բացատրի, թե համաձայնեցված ժամկետում ինչպես կարող են ստացվել դեղապատրաստուկի անվտանգության և արդյունավետության մասին բացակայող տվյալները: Բացի այդ, հայտատուն պարտավոր է տրամադրել պայմանական գրանցման կամ պլանավորվող հետազոտությունների պահի դրությամբ արդեն սկսված՝ որպես հատուկ սահմանված պարտավորությունների կատարման երաշխիքը, ինչպես նաև դրա անցկացման որակի երաշխիքը: Դա թույլ կտա բացառել կլինիկական հետազոտությունների պլանավորման և անցկացման հետ կապված խնդիրների (օրինակ՝ սուբյեկտների ներգրավման, արդեն մեկնարկած կամ պլանավորվող հետազոտություններում կուրացման վերացման հետ կապված խնդիրների, վիճակագրական վերլուծության հետ կապված այլ խնդիրների հետ հատկապես նույն պոպուլյացիայից պացիենտների մասնակցությամբ հետազոտություններ անցկացնելիս, որի մասին տվյալները ներառված են նախորդ կլինիկական հետազոտությունների արձանագրություններում) առկայության դեպքում սահմանված հատուկ պարտավորությունները չկատարելը:</w:t>
      </w:r>
    </w:p>
    <w:p w14:paraId="50881BA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անվտանգության գնահատման շրջանակներում կարող է պահանջվել ինտենսիվ մշտադիտարկում՝ «օգուտ-ռիսկ» դրական հարաբերակցության ճանաչման ապահովման համար, դրա տարեկան վերագրանցման դեպքում: Հատուկ պարտավորություններ կարող են սահմանվել նույնպես տվյալ դեղապատրաստուկի դեղազգոնության մասով:</w:t>
      </w:r>
    </w:p>
    <w:p w14:paraId="1099D02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Ռեֆերենտ պետության լիազորված մարմինը (փորձագիտական կազմակերպությունը) հայտատուի կողմից ներկայացված հիմնավորումն ստանալուց հետո գնահատում է պայմանական գրանցման հնարավորությունը և նպատակահարմարությունը: Եթե «օգուտ-ռիսկ» դրական հարաբերակցության հաստատման համար պահանջվող՝ պլանավորված (հետագա) կլինիկական հետազոտությունների ծավալը չի ենթադրում դրանց կատարումը հայտագրված ժամկետում, դա կարող է հանգեցնել պայմանական գրանցման ընթացակարգի անցկացման մերժմանը:</w:t>
      </w:r>
    </w:p>
    <w:p w14:paraId="77D4278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Նախքան գրանցման հայտը ներկայացնելը հայտատուն իրավունք ունի, Կանոնների 26-րդ կետին համապատասխան, դիմելու գիտական խորհրդատվությանը հետևյալ հարցերի շուրջ.</w:t>
      </w:r>
    </w:p>
    <w:p w14:paraId="20FCAC4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դեղագործական մշակման ընդհանուր պլան.</w:t>
      </w:r>
    </w:p>
    <w:p w14:paraId="1869D19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կլինիկական հետազոտության արձանագրությունը կազմելուն աջակցություն՝ հաշվի առնելով սույն փաստաթղթի II բաժնում նշված՝ պայմանական գրանցման հայտագրված դեղապատրաստուկի կատեգորիան.</w:t>
      </w:r>
    </w:p>
    <w:p w14:paraId="2E9B929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կլինիկական հետազոտությունների դիզայնի ընտրություն.</w:t>
      </w:r>
    </w:p>
    <w:p w14:paraId="2153457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կլինիկական հետազոտությունների ցանկի, որոնք պետք է ավարտել մինչ գրանցումը, և կլինիկական հետազոտությունների համաձայնեցում, որոնց անցկացումն ավարտվելու է (որպես սահմանված հատուկ պարտավորությունների կատարում) պայմանական գրանցումն իրականացնելուց հետո:</w:t>
      </w:r>
    </w:p>
    <w:p w14:paraId="129C5F7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Պայմանական գրանցման ընթացակարգն անցկացնելու նպատակով դեղապատրաստուկի դեղագործական մշակման ծրագիրը քննարկելիս հայտատուն իրավունք ունի ռեֆերենտ պետության լիազորված մարմնին (փորձագիտական կազմակերպությանը) տրամադրելու պայմանական գրանցման պլանավորվող ալգորիթմի կառուցվածքը, ակնկալվող արդյունքների՝ այդ ծրագրի հետագա փուլերի իրագործման վրա ազդեցության պլանավորումը (ներառյալ՝ սահմանված հատուկ պարտավորությունները):</w:t>
      </w:r>
    </w:p>
    <w:p w14:paraId="14080AE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Օրֆանային դեղապատրաստուկի դեղագործական մշակման ծրագիրը պատրաստելիս և քննարկելիս, որը միաժամանակ ընկնում է արդեն գրանցված այլընտրանքային դեղապատրաստուկների հետ համեմատած արդյունավետության և (կամ) անվտանգության մասով էական առավելություններ ունեցող դեղապատրաստուկի կատեգորիայի մեջ, հայտատուն պետք է հաշվի առնի պայմանական գրանցման ընթացակարգի անցկացման պահի դրությամբ օրֆանային դեղապատրաստուկի կարգավիճակը հաստատելու համար կլինիկական հետազոտությունների ընթացքում ստացվող տվյալների պիտանիությունը: </w:t>
      </w:r>
    </w:p>
    <w:p w14:paraId="139777F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Անհրաժեշտ է տրամադրել յուրաքանչյուր անցկացվող կամ նոր հետազոտության կարճ նկարագրությունը (ներառյալ՝ սինոփսիսը), որի արդյունքներն առաջարկվում է տրամադրել սահմանված հատուկ պարտավորությունների շրջանակներում: Սինոփսիսի կառուցվածքը և բովանդակությունը թույլատրվում է փոփոխել՝ պայմանավորված հետազոտության տեսակով և սահմանվող հատուկ պարտավորություններով: Կլինիկական արդյունավետության ստանդարտ հետազոտության դեպքում սինոփսիսի կազմում տրամադրվող տեղեկությունները պետք է ներառեն՝</w:t>
      </w:r>
    </w:p>
    <w:p w14:paraId="34E1369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հետազոտության անվանումը.</w:t>
      </w:r>
    </w:p>
    <w:p w14:paraId="3EF7F0C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ներածությունը (հետազոտության հիմնավորումը).</w:t>
      </w:r>
    </w:p>
    <w:p w14:paraId="48DC1B4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կիրառվող միջամտությունների նկարագրությունը (նշելով դեղապատրաստուկների անվանումը, դրանց դեղաչափը և այլ ընթացակարգեր).</w:t>
      </w:r>
    </w:p>
    <w:p w14:paraId="3F0EE2E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հետազոտվող պոպուլյացիայի նկարագրությունը՝ նշելով համապատասխան հիմնավորմամբ հետազոտության սուբյեկտների պլանավորվող թվաքանակը.</w:t>
      </w:r>
    </w:p>
    <w:p w14:paraId="3923CB0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արդյունավետության կամ անվտանգության միջանկյալ և եզրափակիչ վերլուծության հիմնական մեթոդների նկարագրությունը.</w:t>
      </w:r>
    </w:p>
    <w:p w14:paraId="2D2FAE5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տեղեկատվություն՝</w:t>
      </w:r>
    </w:p>
    <w:p w14:paraId="19403CA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կուրացման (քողարկման) մակարդակի և մեթոդի մասին (օրինակ՝ բաց, պարզ կույր, կրկնակի կույր, պացիենտների, հետազոտողների և հետազոտության արդյունքները գնահատող անձանց կուրացմամբ հետազոտություն). </w:t>
      </w:r>
    </w:p>
    <w:p w14:paraId="5063FF4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հետազոտության մեջ մասնակցող վերահսկող խմբի տեսակի (հսկողության տեսակի) մասին (օրինակ՝ պլացեբո ընդունող խումբ, առանց միջամտության </w:t>
      </w:r>
      <w:r w:rsidRPr="00060185">
        <w:rPr>
          <w:rFonts w:ascii="Sylfaen" w:eastAsia="Times New Roman" w:hAnsi="Sylfaen" w:cs="Times New Roman"/>
          <w:sz w:val="24"/>
          <w:szCs w:val="24"/>
          <w:lang w:val="en-US" w:eastAsia="en-US" w:bidi="ar-SA"/>
        </w:rPr>
        <w:lastRenderedPageBreak/>
        <w:t>կատարման խումբ, ակտիվ դեղապատրաստուկ ընդունող խումբ, թերապիայից առաջ և դրանից հետո վիճակի գնահատմամբ միակ խումբ) և հետազոտության դիզայնի մասին (զուգահեռ, խաչաձև և այլն).</w:t>
      </w:r>
    </w:p>
    <w:p w14:paraId="274619F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միջամտության նշանակման մեթոդի մասին (պատահական ընտրանք, շերտաբաշխում).</w:t>
      </w:r>
    </w:p>
    <w:p w14:paraId="47600A2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հետազոտության բոլոր ժամամանակահատվածների հաջորդականության և տևողության մասին, ներառյալ՝ նախառանդոմիզացիոն ժամանակահատվածը և թերապիայի ավարտից հետո ընկած ժամանակահատվածը, թերապիայի չեղարկման ժամանակահատվածը և պարզ ու կրկնակի կույր միջամտության ժամամանակատվածները.</w:t>
      </w:r>
    </w:p>
    <w:p w14:paraId="4A715A3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առաջնային և երկրորդային փոփոխական արդյունավետության և անվտանգության մասին.</w:t>
      </w:r>
    </w:p>
    <w:p w14:paraId="799E119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ժամկետների մասին (կարևոր վերահսկման կետերի </w:t>
      </w:r>
      <w:proofErr w:type="gramStart"/>
      <w:r w:rsidRPr="00060185">
        <w:rPr>
          <w:rFonts w:ascii="Sylfaen" w:eastAsia="Times New Roman" w:hAnsi="Sylfaen" w:cs="Times New Roman"/>
          <w:sz w:val="24"/>
          <w:szCs w:val="24"/>
          <w:lang w:val="en-US" w:eastAsia="en-US" w:bidi="ar-SA"/>
        </w:rPr>
        <w:t>նկարագրությամբ)՝</w:t>
      </w:r>
      <w:proofErr w:type="gramEnd"/>
      <w:r w:rsidRPr="00060185">
        <w:rPr>
          <w:rFonts w:ascii="Sylfaen" w:eastAsia="Times New Roman" w:hAnsi="Sylfaen" w:cs="Times New Roman"/>
          <w:sz w:val="24"/>
          <w:szCs w:val="24"/>
          <w:lang w:val="en-US" w:eastAsia="en-US" w:bidi="ar-SA"/>
        </w:rPr>
        <w:t xml:space="preserve"> հետազոտության մեկնարկի, անցկացման, վերլուծության և զեկուցման համար (ներառյալ՝ միջանկյալ զեկույցների բովանդակությունը).</w:t>
      </w:r>
    </w:p>
    <w:p w14:paraId="4014ECF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հետազոտության հիմունքի և իրագործելիության կրիտիկական քննարկումը:</w:t>
      </w:r>
    </w:p>
    <w:p w14:paraId="7DD3EBB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4605B9F8"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Առողջապահության համակարգի չբավարարված բժշկական պահանջմունքների ապահովումը </w:t>
      </w:r>
    </w:p>
    <w:p w14:paraId="64BC42D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255C696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Առողջապահության համակարգի չբավարարված բժշկական պահանջմունքների ապահովման նպատակով դեղապատրաստուկի պայմանական գրանցման ընթացակարգի կիրառումը պայմանական գրանցման համար հարմար դեղապատրաստուկների տարբերակիչ առանձնահատկությունն է և կապված է դեղապատրաստուկի կիրառումից ակնկալվող կոնկրետ օգուտի հետ, որը ոչ միայն գերազանցում է դեղապատրաստուկի գրանցման պահի դրությամբ սահմանված դրա ոչ բավարար ուսումնասիրված կիրառման հետ կապված ռիսկերը, այլ նաև այլ գրանցման դոսյեում այդ դեղապատրաստուկի հատկությունների մասին ոչ ամբողջական տեղեկությունների առկայության հետ կապված այլ հնարավոր ռիսկերը:</w:t>
      </w:r>
    </w:p>
    <w:p w14:paraId="65454D1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Հայտատուն պարտավոր է տրամադրել առողջապահության համակարգի չբավարարված բժշկական պահանջմունքի առկայության և բուժօգնության ցուցաբերման նոր մեթոդների ներդրման անհրաժեշտության (բավարար մոտեցումների բացակայության դեպքում) կամ բուժօգնության ցուցաբերման հաստատված մեթոդների հետ համեմատած դրա էական բարելավման հաստատումը:</w:t>
      </w:r>
    </w:p>
    <w:p w14:paraId="2EAB6B0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Առողջապահության համակարգի չբավարարված բժշկական պահանջմունքի ապահովման հաստատման համար պահանջվում է անհատական կարգով հիմնավորում: Հիմնավորումները պետք է քանակապես բնութագրեն բժշկական և համաճարակաբանական տվյալների հիման վրա չբավարարված բժշկական պահանջմունքը:</w:t>
      </w:r>
    </w:p>
    <w:p w14:paraId="0135FF8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 xml:space="preserve">Ընդհանուր առմամբ հիմնական թերապևտիկ առավելությունը որպես կանոն հիմնված է դեղապատրաստուկի արդյունավետության կամ կլինիկական անվտանգության էական բարելավման վրա (օրինակ՝ վիճակի մեկնարկի կամ զարգացման վրա դրական ազդեցությունը կամ հիվանդացության կամ հիվանդությունից մահացածության նվազումը): Բացառիկ դեպքերում դեղապատրաստուկի հիմնական թերապևտիկ առավելությունը կարող է նույնպես արտահայտվել բուժօգնության ցուցաբերման հնարավորության էական բարելավմամբ (օրինակ՝ եթե ակնկալվում է, որ նոր դեղապատրաստուկի կիրառումը թույլ կտա լուծել թերապիային հակվածության հետ կապված լուրջ խնդիրները, կամ եթե թերապիան թույլ կտա անցկացնել ամբուլատոր բուժում բացառապես ստացիոնարի պայմաններում բուժման փոխարեն): </w:t>
      </w:r>
    </w:p>
    <w:p w14:paraId="0F98ADE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Անհրաժեշտ է ցուցադրել կլինիկական գործունեության մեջ կիրառվող առկա մեթոդների նկատմամբ առավելությունները (առկայության </w:t>
      </w:r>
      <w:proofErr w:type="gramStart"/>
      <w:r w:rsidRPr="00060185">
        <w:rPr>
          <w:rFonts w:ascii="Sylfaen" w:eastAsia="Times New Roman" w:hAnsi="Sylfaen" w:cs="Times New Roman"/>
          <w:sz w:val="24"/>
          <w:szCs w:val="24"/>
          <w:lang w:val="en-US" w:eastAsia="en-US" w:bidi="ar-SA"/>
        </w:rPr>
        <w:t>դեպքում)՝</w:t>
      </w:r>
      <w:proofErr w:type="gramEnd"/>
      <w:r w:rsidRPr="00060185">
        <w:rPr>
          <w:rFonts w:ascii="Sylfaen" w:eastAsia="Times New Roman" w:hAnsi="Sylfaen" w:cs="Times New Roman"/>
          <w:sz w:val="24"/>
          <w:szCs w:val="24"/>
          <w:lang w:val="en-US" w:eastAsia="en-US" w:bidi="ar-SA"/>
        </w:rPr>
        <w:t xml:space="preserve"> օգտագործելով, որպես կանոն, որակյալ ձևով անցկացված պատահական ընտրանքով վերահսկվող հետազոտությունների հիման վրա ստացված հուսալի ապացույցը (օգտի ապացուցողական ցուցադրում):</w:t>
      </w:r>
    </w:p>
    <w:p w14:paraId="6F54DBF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Չբավարարված բժշկական պահանջմունքների ապահովվածության մասին փաստարկի հիմնավորման նպատակով հայտատուն պարտավոր է տրամադրել՝</w:t>
      </w:r>
    </w:p>
    <w:p w14:paraId="2587CF5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կանխարգելման մատչելի մեթոդների, բժշկական ախտորոշման կամ բուժման կրիտիկական ամփոփ նկարագիր՝ առողջապահության համակարգի չբավարարված բժշկական պահանջմունքի նկարագրությամբ. </w:t>
      </w:r>
    </w:p>
    <w:p w14:paraId="662AF43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չբավարարված բժշկական պահանջմունքի մեծության քանակական գնահատական՝ հաշվի առնելով բժշկավիճակագրական տվյալները (օրինակ՝ քանակական բժշկական կամ համաճարակաբանական տվյալները). </w:t>
      </w:r>
    </w:p>
    <w:p w14:paraId="18E8664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ապացույցն այն բանի, որ դեղապատրաստուկի գրանցումը թույլ կտա ապահովել առողջապահության համակարգի չբավարարված բժշկական պահանջմունքները:</w:t>
      </w:r>
    </w:p>
    <w:p w14:paraId="26A8B2B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Հատուկ մոտեցումը կիրառվում է այն դեպքերում, երբ բուժօգնության ցուցաբերման թույլատրված մեթոդների հետ համեմատությունն իր մեջ ներառում է նախկինում պայմանական գրանցված դեղապատրաստուկների հետ համեմատությունը, իսկ օրֆանային պատրաստուկների դեպքում՝ եթե օրֆանային դեղապատրաստուկի կարգավիճակի շնորհումը կապված է դրա էական օգուտի հետ:</w:t>
      </w:r>
    </w:p>
    <w:p w14:paraId="30DE140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Պայմանական գրանցման ընթացակարգի կիրառմանը հավանություն տալու դեպքում պետք է սահմանվի, որ դիտարկվող դեղապատրաստուկի օգնությամբ կարող են ապահովվել առողջապահության համակարգի չբավարարված բժշկական պահանջմունքները, մինչդեռ ապահովվածության մակարդակը որոշվելու է հատուկ պարտավորություններ կատարելիս դեղապատրաստուկ գրանցելուց հետո երկար ժամանակահատվածում: Երկրորդ կամ հաջորդ դեղապատրաստուկը շուկայում հասանելի դարձնելու հաշվին չբավարարված բժշկական պահանջմունքների ապահովվածության հիմնավորման դեպքում անհրաժեշտ է հաշվի առնել առաջին պայմանական գրանցված դեղապատրաստուկի՝ շուկայում շրջանառության ժամանակ կուտակված կլինիկական տվյալները և արդյունավետության ու </w:t>
      </w:r>
      <w:r w:rsidRPr="00060185">
        <w:rPr>
          <w:rFonts w:ascii="Sylfaen" w:eastAsia="Times New Roman" w:hAnsi="Sylfaen" w:cs="Times New Roman"/>
          <w:sz w:val="24"/>
          <w:szCs w:val="24"/>
          <w:lang w:val="en-US" w:eastAsia="en-US" w:bidi="ar-SA"/>
        </w:rPr>
        <w:lastRenderedPageBreak/>
        <w:t xml:space="preserve">անվտանգության այն ասպեկտները, որոնք մնում են չուսումնասիրված այդ շրջանառության ընթացքում: </w:t>
      </w:r>
    </w:p>
    <w:p w14:paraId="52B2B3F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Քանի դեռ պայմանական գրանցման ընթացակարգով գրանցված դեղապատրաստուկի համար սահմանված հատուկ պարտավորությունները դեռ ամբողջությամբ կատարված չեն, անհնարին է սահմանել դրա օգուտի իրական մեծությունը, այդ իսկ պատճառով նոր (երկրորդ կամ հաջորդ) դեղապատրաստուկի պայմանական գրանցման համար հայտագրումը հնարավոր է այն դեպքում, երբ այն կարող է հնարավորինս ապահովել առողջապահության համակարգի չբավարարված բժշկական պահանջմունքները, և միաժամանակ կա գիտական հիմնավորումն այն բանի, որ այդ դեղապատրաստուկը դրանք ապահովելու է պակաս չափով, քան պայմանական գրանցման ընթացակարգով գրանցված առաջին դեղապատրաստուկը: Տվյալ իրավիճակը չի դասվում պատճենված (վերարտադրված, կենսահամանման) օրֆանային դեղապատրաստուկի գրանցման դեպքերին դեղապատրաստուկի նկատմամբ երրորդ անձանց մտավոր սեփականության որևէ իրավունքի կամ գրանցման դոսյեի տեղեկությունների (փաստաթղթերի) առկայության դեպքում:</w:t>
      </w:r>
    </w:p>
    <w:p w14:paraId="2CB00F9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Էական միջամտությունների նկատմամբ առավելությունները կարող են բավարար լինել օրֆանային դեղապատրաստուկի գրանցումը հաստատելու համար այն դեպքում, երբ այդ գրանցումը հիմնվում է միայն՝ առողջապահության համակարգի համար դեղապատրաստուկի էական օգուտի վրա:</w:t>
      </w:r>
    </w:p>
    <w:p w14:paraId="7953A29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18909F25"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Դեղապատրաստուկը շուկա հանելու թույլտվության հետ կապված բնակչության առողջության համար օգուտը</w:t>
      </w:r>
    </w:p>
    <w:p w14:paraId="7F361BB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59D1398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Հայտատուն պարտավոր է տրամադրել այն բանի հիմնավորումը, որ դեղապատրաստուկի անհապաղ մատչելիությունից բնակչության առողջության համար օգուտը գերազանցում է դեղապատրաստուկի անվտանգության և արդյունավետության մասին լրացուցիչ տվյալների ներկայացման անհրաժեշտությամբ պայմանավորված ռիսկերը: Հիմնավորումը պետք է գնահատի բնակչության առողջության վրա դեղապատրաստուկի անհապաղ մատչելիության ազդեցությունն օբյեկտիվ և քանակական համաճարակաբանական տեղեկությունները (հնարավորության դեպքում) հաշվի առնելով՝ սպառիչ կլինիկական տվյալներն ստանալուց հետո մատչելիության հետ համեմատած: Դեղապատրաստուկի անվտանգության և արդյունավետության մասին լրացուցիչ տվյալներ ներկայացնելու անհրաժեշտության ռիսկերը ենթակա են քանակական գնահատման, որքան հնարավոր է, օբյեկտիվ ցուցանիշների օգնությամբ:</w:t>
      </w:r>
    </w:p>
    <w:p w14:paraId="4A99D7E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Հիմնավորելու համար դեղապատրաստուկի գրանցումից բնակչության առողջության համար օգուտի գերազանցումը գրանցման դոսյեում դեղապատրաստուկի մասին տվյալների մասի բացակայության հետ կապված ռիսկերի նկատմամբ հայտատուն պարտավոր է տրամադրել հետևյալ տեղեկությունները.</w:t>
      </w:r>
    </w:p>
    <w:p w14:paraId="0AFD62B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դիտարկվող դեղապատրաստուկը շուկա հանելու թույլտվության հետ կապված բնակչության առողջության համար կոնկրետ օգուտի նկարագրությունը.</w:t>
      </w:r>
    </w:p>
    <w:p w14:paraId="35BFA74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գրանցման դոսյեում դեղապատրաստուկի անվտանգության և արդյունավետության մասին տվյալների մասի բացակայության հետ կապված հնարավոր ռիսկերի նկարագրությունը.</w:t>
      </w:r>
    </w:p>
    <w:p w14:paraId="1480D7C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նշված հնարավոր ռիսկի նկատմամբ նշված օգուտի գերազանցման աստիճանի գնահատականը և այդ գնահատման մեջ չներառված հարցերի նկարագրությունը:</w:t>
      </w:r>
    </w:p>
    <w:p w14:paraId="2DE30C1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7A52BE0A"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3. Ռեֆերենտ պետության լիազորված մարմնի (փորձագիտական կազմակերպության) նախաձեռնությամբ դեղապատրաստուկի պայմանական գրանցումը</w:t>
      </w:r>
    </w:p>
    <w:p w14:paraId="53518BF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7A73E9E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Դեղապատրաստուկների փորձաքննություն անցկացնելիս ռեֆերենտ պետության լիազորված մարմինը (փորձագիտական կազմակերպությունը) նույնպես կարող առաջարկել հայտատուին գրանցել դեղապատրաստուկը պայմանական գրանցման ընթացակարգով՝ նրա հետ խորհրդատվություն անցկացնելուց հետո: Խորհրդատվություն անցկացնելիս հայտատուն պետք է տրամադրի գրավոր դիրքորոշում դեղապատրաստուկի պայմանական գրանցման հետ համաձայնության (անհամաձայնության) մասին և (համաձայնության դեպքում) տրամադրի սույն փաստաթղթի III բաժնի 2-րդ ենթաբաժնում նշված պայմաններից յուրաքանչյուրի կատարման հիմնավորումը: Լիազորված մարմինը (փորձագիտական կազմակերպությունը) նույնպես իրավունք ունի հայտատուից կատարելու պայմանական գրանցման ընթացակարգի անցկացման հիմնավորման համար այլ անհրաժեշտ լրացուցիչ տեղեկությունների հարցում:</w:t>
      </w:r>
    </w:p>
    <w:p w14:paraId="4BE06AC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Հայտատուի հետ սահմանված հատուկ պարտավորությունների և դրանց կատարման ժամկետների հետ համաձայնեցման համար բավարար ժամանակ ապահովելու համար լիազորված մարմնի (փորձագիտական կազմակերպության) առաջարկությունը պայմանական գրանցման ընթացակարգի անցկացման հնարավորության մասին ուղարկվում է հայտատուին մինչև ռեֆերենտ պետության կողմից փորձաքննությունն ավարտելը (այսինքն՝ գրանցման հայտն ընդունելու օրվանից 80 աշխատանքային օրվանից ոչ ուշ): Տվյալ հարցման պատասխանը տրամադրելու ժամկետը չպետք է գերազանցի Կանոնների V կամ VI բաժիններին համապատասխան՝ լիազորված մարմնի հարցման՝ հայտատուի պատասխանի համար սահմանված ժամկետը: Ռեֆերենտ պետության լիազորված մարմնի (փորձագիտական կազմակերպության) փորձագիտական հաշվետվություններում, ներառյալ՝ միասնական ռեեստրում հրապարակվող եզրափակիչ փորձագիտական հաշվետվությունը, պետք է նշված լինեն լիազորված մարմնի (փորձագիտական կազմակերպության) կողմից նախաձեռնման կարգով պայմանական գրանցման ընթացակարգի անցկացման մասին առաջարկության պատճառները:</w:t>
      </w:r>
    </w:p>
    <w:p w14:paraId="7B6E234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4B4CF8DE"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4. Պայմանական գրանցմանը հայտագրված դեղապատրաստուկի փորձաքննությունը</w:t>
      </w:r>
    </w:p>
    <w:p w14:paraId="62F449F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50C6897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Ռեֆերենտ պետության լիազորված մարմինը (փորձագիտական կազմակերպությունը) պարտավոր է անցկացնել այն բանի ներկայացված հիմնավորումների գնահատումը, որ դեղապատրաստուկը կարող է գրանցվել պայմանական գրանցման ընթացակարգով: Տվյալ գնահատման արդյունքները պետք է արտացոլվեն համապատասխան փորձագիտական հաշվետվություններում և ռեֆերենտ պետության լիազորված մարմնի (փորձագիտական կազմակերպության) փորձագիտական հաշվետվությունում:</w:t>
      </w:r>
    </w:p>
    <w:p w14:paraId="6B94299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r w:rsidRPr="00060185">
        <w:rPr>
          <w:rFonts w:ascii="Sylfaen" w:eastAsia="Times New Roman" w:hAnsi="Sylfaen" w:cs="Arial Unicode"/>
          <w:sz w:val="24"/>
          <w:szCs w:val="24"/>
          <w:lang w:val="en-US" w:eastAsia="en-US" w:bidi="ar-SA"/>
        </w:rPr>
        <w:t>Հայտատուն</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ստանում</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է</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դեղապատրաստուկի</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պայմանական</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գրանցման</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մերժում</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եթե</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ռեֆերենտ</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պետության</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եզրափակիչ</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հաշվետվությունը</w:t>
      </w:r>
      <w:r w:rsidRPr="00060185">
        <w:rPr>
          <w:rFonts w:ascii="Sylfaen" w:eastAsia="Times New Roman" w:hAnsi="Sylfaen" w:cs="Times New Roman"/>
          <w:sz w:val="24"/>
          <w:szCs w:val="24"/>
          <w:lang w:val="en-US" w:eastAsia="en-US" w:bidi="ar-SA"/>
        </w:rPr>
        <w:t xml:space="preserve"> </w:t>
      </w:r>
      <w:r w:rsidRPr="00060185">
        <w:rPr>
          <w:rFonts w:ascii="Sylfaen" w:eastAsia="Times New Roman" w:hAnsi="Sylfaen" w:cs="Arial Unicode"/>
          <w:sz w:val="24"/>
          <w:szCs w:val="24"/>
          <w:lang w:val="en-US" w:eastAsia="en-US" w:bidi="ar-SA"/>
        </w:rPr>
        <w:t>պարունակում</w:t>
      </w:r>
      <w:r w:rsidRPr="00060185">
        <w:rPr>
          <w:rFonts w:ascii="Sylfaen" w:eastAsia="Times New Roman" w:hAnsi="Sylfaen" w:cs="Times New Roman"/>
          <w:sz w:val="24"/>
          <w:szCs w:val="24"/>
          <w:lang w:val="en-US" w:eastAsia="en-US" w:bidi="ar-SA"/>
        </w:rPr>
        <w:t xml:space="preserve"> է պայմանական գրանցմանը ներկայացվող պահանջների և առանց պայմանների սովորական գրանցմանը ներկայացվող պահանջների չկատարման մասին եզրակացություն: </w:t>
      </w:r>
    </w:p>
    <w:p w14:paraId="2E0C68C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Հատուկ պարտավորությունները և դրանց կատարման ժամկետները պետք է նշված լինեն դեղապատրաստուկի գրանցման հավաստագրի հավելվածում և հրապարակվեն միասնական ռեեստրում՝ եզրափակիչ փորձագիտական հաշվետվության կազմում:</w:t>
      </w:r>
    </w:p>
    <w:p w14:paraId="2D1BD1B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Ռեֆերենտ պետության լիազորված մարմինը (փորձագիտական կազմակերպությունը) իրավունք ունի սահմանելու պայմանական գրանցման դեպքում հատուկ պայմաններ՝ գրանցման հավաստագիր ունեցող անձի համար, և պարտավորել նրան ավարտել անցկացվող հետազոտությունները կամ կատարել նոր հետազոտություններ՝ «օգուտ-ռիսկ» դրական հարաբերակցությունը հաստատելու և սույն բաժնի 2-րդ ենթաբաժնում նշված լրացուցիչ տվյալները տրամադրելու նպատակով:</w:t>
      </w:r>
    </w:p>
    <w:p w14:paraId="1F48266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Հատուկ պարտավորությունները սահմանվում են դեղազգոնության մասով (անհրաժեշտության դեպքում):</w:t>
      </w:r>
    </w:p>
    <w:p w14:paraId="2DF6129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Հատուկ պարտավորությունները և դրանց կատարման ժամկետները պետք է նշված լինեն գրանցման հավաստագրի հավելվածում:</w:t>
      </w:r>
    </w:p>
    <w:p w14:paraId="5434D8A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Ռեֆերենտ պետության լիազորված մարմինը (փորձագիտական կազմակերպությունը) պարտավոր է հրապարակել հատուկ պարտավորությունները և դրանց կատարման ժամկետները միասնական ռեեստրում:</w:t>
      </w:r>
    </w:p>
    <w:p w14:paraId="0A68E47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7511D351"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5. Դեղապատրաստուկի ընդհանուր բնութագրում և բժշկական կիրառման հրահանգում (ներդիր-թերթիկում) ներառման ենթակա պայմանական գրանցման մասին տեղեկությունները </w:t>
      </w:r>
    </w:p>
    <w:p w14:paraId="47E4B0B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2B5BC0F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ընդհանուր բնութագիրը և դեղապատրաստուկի բժշկական կիրառման հրահանգը (ներդիր-թերթիկը) պետք է պարունակեն դրա պայմանական գրանցման մասին տեղեկությունները: Դեղապատրաստուկի ընդհանուր բնութագիրը նույնպես պետք է պարունակի դեղապատրաստուկի վերագրանցման (գրանցման հաստատման) ժամկետը:</w:t>
      </w:r>
    </w:p>
    <w:p w14:paraId="7A0743F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Պայմանական գրանցման մասին տեղեկատվությունը պետք է հստակ շարադրված լինի դեղապատրաստուկի ընդհանուր բնութագրի առաջին բաժիններին նախորդող տեքստում և դեղապատրաստուկի բժշկական կիրառման հրահանգում (ներդիր-թերթիկում): Դեղապատրաստուկի ընդհանուր բնութագիրը և դեղապատրաստուկի բժշկական կիրառման հրահանգը (ներդիր-թերթիկը) պետք է պարունակեն տեղեկատվություն այն մասին, որ՝</w:t>
      </w:r>
    </w:p>
    <w:p w14:paraId="03C7FC7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գրանցումն իրականացվել է գրանցման հավաստագիր ունեցող անձի կողմից՝ կոնկրետ հատուկ պարտավորությունների կատարման պայմանով.</w:t>
      </w:r>
    </w:p>
    <w:p w14:paraId="2A2DBDB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սահմանված հատուկ պարտավորությունների վերանայումն ամեն տարի իրականացվում է լիազորված մարմնի (փորձագիտական կազմակերպության) կողմից:</w:t>
      </w:r>
    </w:p>
    <w:p w14:paraId="37D511A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04139954"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6. Գրանցման հավաստագիր ունեցող անձի կողմից անվտանգության մասով պարբերաբար թարմացվող հաշվետվության ներկայացման մասով պարտավորությունները</w:t>
      </w:r>
    </w:p>
    <w:p w14:paraId="7EEDD49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0500F9E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պայմանական գրանցման դեպքում գրանցման հավաստագիր ունեցող անձը պարտավոր է ներկայացնել անվտանգության մասին պարբերաբար թարմացվող հաշվետվություն առնվազն 6 ամիսը մեկ, ինչպես նաև լիազորված մարմնի (փորձագիտական կազմակերպության) լրացուցիչ հարցմամբ՝ Եվրասիական տնտեսական միության Դեղազգոնության պատշաճ գործունեության կանոններին համապատասխան՝ գրանցման հավաստագրում պայմանական գրանցման պահպանման ամբողջ ժամկետում: Անվտանգության մասով պարբերաբար թարմացվող հաշվետվության ներկայացման պարբերականությանը ներկայացվող պահանջները պետք է նշված լինեն դեղապատրաստուկի գրանցման հավաստագրի հավելվածում և հրապարակվեն միասնական ռեեստրում եզրափակիչ փորձագիտական հաշվետվության կազմում:</w:t>
      </w:r>
    </w:p>
    <w:p w14:paraId="1180A99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0FF65A40"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IV. Պայմանական գրանցման ընթացակարգով գրանցված դեղապատրաստուկների գրանցման դոսյեի 5-րդ մոդուլը կազմելու և փորձաքննության առանձնահատկությունները</w:t>
      </w:r>
    </w:p>
    <w:p w14:paraId="78F107AA"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51BFEA5C"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1. Կլինիկական հետազոտությունների արդյունքների վերարտադրելիության ապահովումը</w:t>
      </w:r>
    </w:p>
    <w:p w14:paraId="4A8EB0F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5F2738D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Դեղապատրաստուկի գրանցման համար պետք է ապահովվի կլինիկական հետազոտությունների արդյունքների վերարտադրելիությունը: Դա հատկապես կարևոր է փորձարարական հետազոտությունների անցկացման դեպքում, որոնց բարեհաջող արդյունքը պահանջում է վերարտադրված փորձում հաստատում՝ ստացված արդյունքների ընդհանուր ընդունման հասնելու համար: Դրա հետ մեկտեղ </w:t>
      </w:r>
      <w:r w:rsidRPr="00060185">
        <w:rPr>
          <w:rFonts w:ascii="Sylfaen" w:eastAsia="Times New Roman" w:hAnsi="Sylfaen" w:cs="Times New Roman"/>
          <w:sz w:val="24"/>
          <w:szCs w:val="24"/>
          <w:lang w:val="en-US" w:eastAsia="en-US" w:bidi="ar-SA"/>
        </w:rPr>
        <w:lastRenderedPageBreak/>
        <w:t>դեղապատրաստուկի կլինիկական մշակումը տարբերվում է փորձարարական հետազոտությունների անցկացումից: Կլինիկական հետազոտությունների III փուլի նպատակն է ընթացիկ պահի դրությամբ նախակլինիկական հետազոտություններում, տանելիության կլինիկական հետազոտություններում, դեղաչափերի ընտրության կլինիկական հետազոտություններում և II փուլի այլ կլինիկական հետազոտություններում ստացված տվյալների հաստատումը: Կլինիկական հետազոտությունների III փուլի փաստաթղթերին ներկայացվող հիմնական պահանջն է, որ այն կազմված լինի պատշաճ որակի օբյեկտիվ և վերահսկվող տվյալներից (դեղապատրաստուկների կլինիկական հետազոտություններում կենսավիճակագրության սկզբունքների կիրառման և կլինիկական հետազոտություններում վերահսկվող խմբի ընտրության սկզբունքների մասով Միության մարմինների ակտերին համապատասխան անցկացված հետազոտությունների արդյունքների հիման վրա պլանավորված, անցկացված և հաշվետվություններում ներառված): Այդ տվյալները պետք է համապատասխանեն բավարարության բոլոր հետևյալ չափանիշներին.</w:t>
      </w:r>
    </w:p>
    <w:p w14:paraId="7EBC4C6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պացիենտների ընտրանքի չափը.</w:t>
      </w:r>
    </w:p>
    <w:p w14:paraId="18CCAD8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ախտանշանների և հիվանդության դրսևորումների բազմազանությունը.</w:t>
      </w:r>
    </w:p>
    <w:p w14:paraId="7F2A6CF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նպատակային դեղաչափի և կիրառման եղանակի դեպքում նպատակային պոպուլյացիայում «օգուտ-ռիսկ» դրական հարաբերակցությունը հաստատող հետազոտությունների թիվը:</w:t>
      </w:r>
    </w:p>
    <w:p w14:paraId="19A2ED7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Կլինիկական հետազոտությունների III փուլի հետազոտությունները հաստատող տվյալների պահանջվող ծավալը պայմանավորված է նրանով, թե ինչ է սահմանված այդ դեղապատրաստուկի կլինիկական հետազոտությունների նախորդ փուլերի շրջանակներում և ազդեցությամբ նման դեղապատրաստուկների կլինիկական արդյունավետության և անվտանգության ուսումնասիրվածության աստիճանի մասին: Անհրաժեշտ է առնվազն մեկ՝ վիճակագրորեն հիմնավորված և կլինիկապես կարևոր արդյունքներով վերահսկվող հետազոտություն: Կլինիկական հետազոտությունների III փուլի ծրագրի շրջանակներում առավել ռացիոնալ մոտեցում է մի քանի հետազոտությունների պլանավորումը հետևյալ պատճառներով.</w:t>
      </w:r>
    </w:p>
    <w:p w14:paraId="1A7BB40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ազդեցության դեղաբանական հիմնավորման բացակայությունը (ազդեցության անհայտ մեխանիզմ).</w:t>
      </w:r>
    </w:p>
    <w:p w14:paraId="16B688A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ազդեցության նոր դեղաբանական սկզբունքը.</w:t>
      </w:r>
    </w:p>
    <w:p w14:paraId="73A517C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կլինիկական հետազոտությունների I և II փուլերն անցկացնելուց հետո ստացված արդյունքների սահմանափակ կամ ոչ համոզիչ լինելը.</w:t>
      </w:r>
    </w:p>
    <w:p w14:paraId="1F8F08F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անհաջող կլինիկական հետազոտությունները կամ դեղապատրաստուկի կլինիկական կիրառման՝ հայտագրված ոլորտով նախկին դրական հետազոտությունների արդյունքները վերարտադրելու անհաջող փորձերը.</w:t>
      </w:r>
    </w:p>
    <w:p w14:paraId="4D57980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դեղապատրաստուկի արդյունավետության և (կամ) տանելիության հաստատման անհրաժեշտությունը (օրինակ՝ պացիենտների տարբեր ենթապոպուլյացիաներում, տարբեր ուղեկցող թերապիայի օգտագործման դեպքում կամ այլ բժշկական </w:t>
      </w:r>
      <w:r w:rsidRPr="00060185">
        <w:rPr>
          <w:rFonts w:ascii="Sylfaen" w:eastAsia="Times New Roman" w:hAnsi="Sylfaen" w:cs="Times New Roman"/>
          <w:sz w:val="24"/>
          <w:szCs w:val="24"/>
          <w:lang w:val="en-US" w:eastAsia="en-US" w:bidi="ar-SA"/>
        </w:rPr>
        <w:lastRenderedPageBreak/>
        <w:t>միջամտությունների դեպքում, համեմատության խմբերում այլ վերահսկվող միջամտությունների նկատմամբ և այլն).</w:t>
      </w:r>
    </w:p>
    <w:p w14:paraId="346F925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կլինիկական հետազոտությունների III փուլի ծրագրի շրջանակներում կլինիկական անվտանգության և արդյունավետության հարցերով դեղապատրաստուկի մասին տեղեկատվության ստացման անհրաժեշտությունը:</w:t>
      </w:r>
    </w:p>
    <w:p w14:paraId="374DF8F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2. Միայն մեկ հենակետային հետազոտության արդյունքներ պարունակող գրանցման դոսյեի 5-րդ մոդուլի փորձաքննության առանձնահատկություններ</w:t>
      </w:r>
    </w:p>
    <w:p w14:paraId="4555AC2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Եթե դեղապատրաստուկի արդյունավետության և անվտանգության ապացույցն ստացվել է միայն մեկ հենակետային հետազոտությունում, ապա այդ հետազոտությունը պետք է պարունակի վիճակագրորեն և կլինիկապես համոզիչ եզրահանգումներ: Այդ հետազոտության արդյունքների փորձաքննության ժամանակ լիազորված մարմնի (փորձագիտական կազմակերպության) փորձագետը փորձագիտական եզրակացությունում պետք է նշի անցկացված հետազոտության հետևյալ բնութագրերի վերլուծության արդյունքները.</w:t>
      </w:r>
    </w:p>
    <w:p w14:paraId="02BAD88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ներքին վալիդություն (որը չպետք է պարունակի հետազոտության արդյունքի հնարավոր տեղաշարժի հատկանիշներ).</w:t>
      </w:r>
    </w:p>
    <w:p w14:paraId="55122E0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արտաքին վալիդություն (այդ թվում՝ հետազոտվող պոպուլյացիայի շրջանում ստացված տվյալների պիտանիության նպատակային պոպուլյացիայի վրա արտարկման համար, որը կիրառելու է դեղապատրաստուկը).</w:t>
      </w:r>
    </w:p>
    <w:p w14:paraId="357D959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կլինիկական նշանակության (ուսումնասիրված միջամտության մեջ այնպիսի օգուտի առկայության, որն ունի կլինիկական արժեք).</w:t>
      </w:r>
    </w:p>
    <w:p w14:paraId="2DE0D62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ստացված արդյունքների վիճակագրական նշանակալիության աստիճանը: Այդ հենակետային հետազոտության արդյունքների նշանակալիության վիճակագրական հաստատումը պետք է լինի ստանդարտ կլինիկական հետազոտություններում ընդունված՝ р &lt; 0, 05 նշանակալիության մակարդակից բարձր: Ընդ որում, նշանակալիության հաստատումը պետք է կատարվի միջամտության ազդեցությունների ճշգրիտ գնահատականների հիման վրա, այսինքն՝ այնպիսի գնահատականների, որոնք ունեն նեղ վստահելի միջակայքեր: Հենակետային հետազոտության նշանակալիության պահանջվող աստիճանը պայմանավորված է այնպիսի գործոններով, ինչպիսիք են՝</w:t>
      </w:r>
    </w:p>
    <w:p w14:paraId="2583E87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դեղապատրաստուկի կիրառման պլանավորվող ցուցումը. </w:t>
      </w:r>
    </w:p>
    <w:p w14:paraId="5079D85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հետազոտության առաջնային վերջնակետի տեսակը.</w:t>
      </w:r>
    </w:p>
    <w:p w14:paraId="6D6DB43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հետազոտության ընթացքում ստացվող օժանդակ տվյալների ծավալը.</w:t>
      </w:r>
    </w:p>
    <w:p w14:paraId="24A83CD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արդյունքների համաձայնեցման հաստատման համար այլընտրանքային վիճակագրական վերլուծությունների նախնական պլանավորման առկայությունը:</w:t>
      </w:r>
    </w:p>
    <w:p w14:paraId="6532ABE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Եթե հենակետային հետազոտության նպատակն է դեղապատրաստուկի ոչ պակաս արդյունավետության հաստատումը, ապա դեղապատրաստուկի գրանցման դոսյեի կազմում այդ միակ հենակետային հետազոտությունը համարվում է բավարար, եթե 95 %-անոց վստահելի միջակայքի ստորին սահմանը տարբերվում է (հեռու է) ստուգման համար սահմանված վիճակագրական հիպոթեզի ոչ պակաս արդյունավետության սահմանից. </w:t>
      </w:r>
    </w:p>
    <w:p w14:paraId="63F934F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հենակետային հետազոտության ստացված տվյալների որակը.</w:t>
      </w:r>
    </w:p>
    <w:p w14:paraId="6A722AE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ստացված տվյալների ներքին համաձայնեցվածությունը (այսինքն՝ պացիենտների՝ նախօրոք ընտրված տարբեր ենթապոպուլյացիաներից ստացված տվյալներում պետք է ցույց տրվի միջամտության նման արդյունքներ).</w:t>
      </w:r>
    </w:p>
    <w:p w14:paraId="38E559E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հենակետային հետազոտության բոլոր կարևոր վերջնակետերի նման արդյունքները.</w:t>
      </w:r>
    </w:p>
    <w:p w14:paraId="51B5E4C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կլինիկական (հետազոտական) կենտրոնների ազդեցությունների բացակայությունը (այսինքն՝ պացիենտների հավաքման արդյունքներում հետազոտական կենտրոններից մեկի գերակշռման բացակայության կամ միջամտության ստացված արդյունքները).</w:t>
      </w:r>
    </w:p>
    <w:p w14:paraId="4A16908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ուսումնասիրվող վիճակագրական հիպոթեզի ճշմարտանմանությունը:</w:t>
      </w:r>
    </w:p>
    <w:p w14:paraId="5EB3EDB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Չի պահանջվում պարտադիր ներառել կլինիկական հետազոտությունների III փուլի ծրագրում 2 և ավելի հենակետային հետազոտություն: Սակայն մի քանի հենակետային հետազոտություն պարունակող կլինիկական հետազոտությունների III փուլի ծրագիրը թույլ է տալիս պատկերացնել կլինիկական հետազոտությունների արդյունքների ամբողջ բազմազանությունը նպատակային պոպուլյացիայի շրջանում դեղապատրաստուկի կիրառման օգուտի հաստատման հետ կապված խնդիրների դեպքում: Միակ հենակետային հետազոտության արդյունքները ներկայացնելու դեպքում դրանք պետք է լինեն համոզիչ ներքին և արտաքին վալիդության, կլինիկական նշանակալիության, վիճակագրական նշանակալիության՝ տվյալների որակի և ներքին համաձայնեցվածության տեսանկյունից:</w:t>
      </w:r>
    </w:p>
    <w:p w14:paraId="37B2D7A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306E8AB"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V. Պայմանական գրանցման ընթացակարգով գրանցված դեղապատրաստուկների գրանցման հաստատումը (վերագրանցումը)</w:t>
      </w:r>
    </w:p>
    <w:p w14:paraId="1B18D64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22E0C8F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Կանոնների VII բաժնի VII.III ենթաբաժնին համապատասխան պայմանական գրանցումը վավեր է 1 տարվա ընթացքում տարեկան վերագրանցմամբ:</w:t>
      </w:r>
    </w:p>
    <w:p w14:paraId="248B8D6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Պայմանական գրանցման ընթացակարգով գրանցված դեղապատրաստուկի գրանցման հավաստագրի 1 տարի ժամկետը լրանալուց հետո կարող է անցկացվել այդ դեղապատրաստուկի գրանցման հաստատում (վերագրանցում):</w:t>
      </w:r>
    </w:p>
    <w:p w14:paraId="18BC1C5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Գրանցման հավաստագիր ունեցող անձը պետք է ներկայացնի գրանցման հաստատման (վերագրանցման) հայտ մինչև պայմանական գրանցման ընթացակարգով գրանցված դեղապատրաստուկի գրանցման հավաստագրի գործողության ժամկետը լրանալը 6 ամսից ոչ ուշ և տրամադրի ռեֆերենտ պետության լիազորված մարմնին (փորձագիտական կազմակերպությանը) սահմանված հատուկ պարտավորությունների կատարման մասին միջանկյալ հաշվետվություն:</w:t>
      </w:r>
    </w:p>
    <w:p w14:paraId="03989F8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Ռեֆերենտ պետության լիազորված մարմինը (փորձագիտական կազմակերպությունը) պարտավոր է ուսումնասիրել դեղապատրաստուկի գրանցման հաստատման (վերագրանցման) հայտը «օգուտ-ռիսկ» դրական հարաբերակցության հաստատման հիման վրա պայմանական գրանցման ընթացակարգ անցկացնելիս՝ անցկացնելով հայտատուի կողմից՝ գրանցման ժամանակ սահմանված հատուկ </w:t>
      </w:r>
      <w:r w:rsidRPr="00060185">
        <w:rPr>
          <w:rFonts w:ascii="Sylfaen" w:eastAsia="Times New Roman" w:hAnsi="Sylfaen" w:cs="Times New Roman"/>
          <w:sz w:val="24"/>
          <w:szCs w:val="24"/>
          <w:lang w:val="en-US" w:eastAsia="en-US" w:bidi="ar-SA"/>
        </w:rPr>
        <w:lastRenderedPageBreak/>
        <w:t>պարտավորությունների և դրանց կատարման ժամկետների նկատմամբ ներկայացված տվյալների գնահատում: Դեղապատրաստուկի փորձաքննության արդյունքների հիման վրա ռեֆերենտ պետության փորձագիտական կազմակերպությունը կազմում է եզրակացություն՝ նշելով հայտատուի կողմից գրանցման ժամանակ սահմանված հատուկ պարտավորությունների կատարման, այդ պարտավորությունների պահպանման կամ փոփոխման կամ դրանց կատարման ժամկետների մասին դրույթները: Փորձագիտական հաշվետվությունը պետք է պարունակի եզրակացություն՝</w:t>
      </w:r>
    </w:p>
    <w:p w14:paraId="112D016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սահմանված հատուկ պարտավորությունների կամ դրանց կատարման ժամկետների պահպանման կամ փոփոխման անհրաժեշտության.</w:t>
      </w:r>
    </w:p>
    <w:p w14:paraId="069B432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պայմանական գրանցման ընթացակարգով գրանցված դեղապատրաստուկի վաղ տրված գրանցման հավաստագրի պահպանման, փոփոխման, կասեցման կամ չեղարկման անհրաժեշտության մասին:</w:t>
      </w:r>
    </w:p>
    <w:p w14:paraId="0D6B0EC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Ռեֆերենտ պետության լիազորված մարմինը (փորձագիտական կազմակերպությունը) անցկացնում է գրանցման դոսյեի գնահատում 40 աշխատանքային օրվա ընթացքում: Անհրաժեշտության դեպքում ժամկետը կարող է երկարացվել 20 աշխատանքային օրով՝ ռեֆերենտ պետության լիազորված մարմնի (փորձագիտական կազմակերպության) այն հարցերին պատասխանները գնահատելու համար, որոնք ուղղվել են հայտատուին 40-օրյա փորձաքննության արդյունքների հիման վրա: Գնահատման մասին փորձագիտական հաշվետվությունը ենթակա է հրապարակման միասնական ռեեստրում 10 աշխատանքային օրվա ընթացքում:</w:t>
      </w:r>
    </w:p>
    <w:p w14:paraId="5F21935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Ռեֆերենտ պետության լիազորված մարմնի՝ պայմանական գրանցման ընթացակարգի անցկացման հնարավորության մասին վաղ ընդունած որոշումը կարող է գործել միասնական ռեեստրում գնահատման մասին հերթական փորձագիտական հաշվետվությունը տեղադրելուց հետո՝ ոչ ավելի, քան 15 օրացուցային օրվա ընթացքում:</w:t>
      </w:r>
    </w:p>
    <w:p w14:paraId="261E8EA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Սահմանված հատուկ պարտավորությունների կամ դրանց կատարման ժամկետների փոփոխությունը կարող է ընդունվել միայն համապատասխան հիմնավորման և այն պարտավորությունների հիման վրա, որոնք հնարավոր չէր նախատեսել առաջնային պայմանական գրանցման կատարման ընթացքում: Գրանցման հավաստագիր ունեցող անձը պարտավոր է անհապաղ հաղորդել ռեֆերենտ պետության լիազորված մարմնին (փորձագիտական կազմակերպությանը) պայմանական գրանցումից հետո առաջացած սահմանված հատուկ պարտավորությունների ցանկացած ուշացումների և դեղապատրաստուկի «օգուտ-ռիսկ» հարաբերակցության վրա դրանց ազդեցության մասին: Սահմանված հատուկ պարտավորությունների կատարման ժամկետի փոփոխությունը կարող է համաձայնեցվել լիազորված մարմնի (փորձագիտական կազմակերպության) կողմից բացառապես այն դեպքում, երբ միջանկյալ հաշվետվությունում (հաշվետվություններում) առկա ապացույցները ցույց են տալիս, որ դեղագործական շուկա դեղապատրաստուկի թույլտվության օգուտը դեռ գերազանցում է </w:t>
      </w:r>
      <w:r w:rsidRPr="00060185">
        <w:rPr>
          <w:rFonts w:ascii="Sylfaen" w:eastAsia="Times New Roman" w:hAnsi="Sylfaen" w:cs="Times New Roman"/>
          <w:sz w:val="24"/>
          <w:szCs w:val="24"/>
          <w:lang w:val="en-US" w:eastAsia="en-US" w:bidi="ar-SA"/>
        </w:rPr>
        <w:lastRenderedPageBreak/>
        <w:t xml:space="preserve">անորոշության հետ կապված ռիսկը, որը ստեղծում են դեղապատրաստուկի անվտանգության և արդյունավետության մասին ոչ ամբողջական տվյալներ: </w:t>
      </w:r>
    </w:p>
    <w:p w14:paraId="7D52936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Գրանցման հավաստագիր ունեցող անձի կողմից հատուկ պարտավորությունների չկատարման դեպքում ռեֆերենտ պետության լիազորված մարմինը (փորձագիտական կազմակերպությունը) իրավունք ունի համարելու, որ «օգուտ-ռիսկ» դրական հարաբերակցությունը հաստատված չէ, և կիրառել այդ դեղապատրաստուկի տրված գրանցման հավաստագրի գործողության կասեցման, դադարեցման (չեղարկման) կամ հետկանչի մասով անհրաժեշտ միջոցներ:</w:t>
      </w:r>
    </w:p>
    <w:p w14:paraId="63ED92E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Գրանցման հաստատումը (վերագրանցումը) պետք է անցկացվի ամեն տարի այնքան ժամանակ, քանի դեռ դեղապատրաստուկի գրանցման դոսյեում պահպանվում է պայմանական գրանցումը: Սահմանված հատուկ պարտավորությունները կատարելուց հետո դրանց մասին տեղեկատվությունը հանվում է գրանցման հավաստագրից, և դրա գործողությունը երկարացվում է 5 տարով՝ Կանոնների 18-րդ կետին համապատասխան:</w:t>
      </w:r>
    </w:p>
    <w:p w14:paraId="2C28D86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3603656D"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1. Գրանցման դոսյեի փաստաթղթերին ներկայացվող պահանջները</w:t>
      </w:r>
    </w:p>
    <w:p w14:paraId="3B56D74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0D8E4A2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Ռեֆերենտ պետության լիազորված մարմնի (փորձագիտական կազմակերպության) կողմից դեղապատրաստուկի «օգուտ-ռիսկ» ապացուցված դրական հարաբերակցության առկայությունը հավաստելու, սահմանված հատուկ պարտավորությունների կատարման ամբողջությունը և դրանց կատարման ժամկետները ստուգելու համար, տարեկան գրանցման հաստատման (վերագրանցման) ժամանակ գրանցման հավաստագիր ունեցող անձը գրանցման հաստատման (վերագրանցման) հայտ ներկայացնելիս պարտավոր է տրամադրել առնվազն հետևյալ փաստաթղթերը և տեղեկությունները գրանցման դոսյեի թարմացված տարբերակում՝</w:t>
      </w:r>
    </w:p>
    <w:p w14:paraId="26BEFE2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առաջնային պայմանական գրանցման ժամանակ սահմանված հատուկ պարտավորությունների և պայմանական գրանցման իրականացումից հետո սահմանված լրացուցիչ հատուկ պարտավորությունների ցանկը (ժամանակագրական </w:t>
      </w:r>
      <w:proofErr w:type="gramStart"/>
      <w:r w:rsidRPr="00060185">
        <w:rPr>
          <w:rFonts w:ascii="Sylfaen" w:eastAsia="Times New Roman" w:hAnsi="Sylfaen" w:cs="Times New Roman"/>
          <w:sz w:val="24"/>
          <w:szCs w:val="24"/>
          <w:lang w:val="en-US" w:eastAsia="en-US" w:bidi="ar-SA"/>
        </w:rPr>
        <w:t>կարգով)՝</w:t>
      </w:r>
      <w:proofErr w:type="gramEnd"/>
      <w:r w:rsidRPr="00060185">
        <w:rPr>
          <w:rFonts w:ascii="Sylfaen" w:eastAsia="Times New Roman" w:hAnsi="Sylfaen" w:cs="Times New Roman"/>
          <w:sz w:val="24"/>
          <w:szCs w:val="24"/>
          <w:lang w:val="en-US" w:eastAsia="en-US" w:bidi="ar-SA"/>
        </w:rPr>
        <w:t xml:space="preserve"> նշելով այդ պարտավորությունների գործողության ոլորտը, կատարման կարգավիճակը, դրանց սահմանման ամսաթիվը և դրանց կատարման ամսաթիվը (անհրաժեշտության դեպքում). </w:t>
      </w:r>
    </w:p>
    <w:p w14:paraId="0828E50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ընդհանուր բնութագիրը, դեղապատրաստուկի մականշվածքը և բժշկական կիրառման հրահանգը (ներդիր-թերթիկը).</w:t>
      </w:r>
    </w:p>
    <w:p w14:paraId="23E7F71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սահմանված հատուկ պարտավորությունների կատարման մասին միջանկյալ հաշվետվությունը, ներառյալ՝ յուրաքանչյուր հատուկ պարտավորության կատարման մասին տվյալները: Հաշվետվության նպատակն է ռեֆերենտ պետության լիազորված մարմնին (փորձագիտական կազմակերպությանը) սահմանված պարտավորությունների կատարման հետ կապված աշխատանքների ընթացքի մասին տեղեկացումը, ինչպես նաև գրանցման հավաստագիր ունեցող անձի կողմից </w:t>
      </w:r>
      <w:r w:rsidRPr="00060185">
        <w:rPr>
          <w:rFonts w:ascii="Sylfaen" w:eastAsia="Times New Roman" w:hAnsi="Sylfaen" w:cs="Times New Roman"/>
          <w:sz w:val="24"/>
          <w:szCs w:val="24"/>
          <w:lang w:val="en-US" w:eastAsia="en-US" w:bidi="ar-SA"/>
        </w:rPr>
        <w:lastRenderedPageBreak/>
        <w:t xml:space="preserve">սահմանված ժամկետում հատուկ պարտավորությունների կատարման հավանականության գնահատումը. </w:t>
      </w:r>
    </w:p>
    <w:p w14:paraId="15001A1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դեղապատրաստուկի «օգուտ-ռիսկ» ընթացիկ հարաբերակցությունը բնութագրող կլինիկական տվյալների գնահատում անցկացրած փորձագետի եզրակացությունը (եզրահանգումը)՝</w:t>
      </w:r>
    </w:p>
    <w:p w14:paraId="3FF6605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սահմանված հատուկ պարտավորությունների կատարման ընթացքում ստացված տվյալները.</w:t>
      </w:r>
    </w:p>
    <w:p w14:paraId="69DABDF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գրանցումից հետո ստացված դեղապատրաստուկի անվտանգության մասին այլ տվյալներ (ներառյալ՝ անվտանգության պարբերաբար թարմացվող հաշվետվությունը).</w:t>
      </w:r>
    </w:p>
    <w:p w14:paraId="07B6E78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գրանցումից հետո ստացված դեղապատրաստուկի արդյունավետության մասին այլ տվյալներ:</w:t>
      </w:r>
    </w:p>
    <w:p w14:paraId="0EDCF95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Բացառիկ դեպքերում կարող է պահանջվել նախակլինիկական տվյալների գնահատում անցկացրած փորձագետի կամ դեղապատրաստուկի որակի գնահատում անցկացրած փորձագետի լրացուցիչ եզրակացության (եզրահանգման) ձևավորումը (օրինակ՝ եթե ստացվել են նոր կարևոր նախակլինիկական տվյալներ կամ դեղապատրաստուկի որակի մասին տվյալներ). </w:t>
      </w:r>
    </w:p>
    <w:p w14:paraId="4E573E0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սահմանված հատուկ պարտավորությունների կատարման մասին եզրափակիչ հաշվետվություն, եթե դրանց կատարման մասին տեղեկությունները ներկայացնելու վերջնաժամկետը համընկնում է դեղապատրաստուկի գրանցման հաստատման (վերագրանցման) հայտի ներկայացման ժամկետների հետ, և եթե այն չի ներկայացվել քննարկման առանձին:</w:t>
      </w:r>
    </w:p>
    <w:p w14:paraId="03F352D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Եթե գրանցումը հաստատելիս (վերագրանցելիս) դեղապատրաստուկի գրանցման դոսյեում դրա անվտանգության, արդյունավետության և որակի մասին տվյալներով պահանջվում է դեղապատրաստուկի մասին տեղեկատվության կամ ռիսկերի կառավարման պլանի արդիականացում, ապա դեղապատրաստուկի մասին տեղեկատվությունում և ռիսկերի կառավարման պլանում կատարվող փոփոխությունները թույլատրվում է ներառել գրանցման հաստատմանը (վերագրանցմանը) ներկայացվող գրանցման դոսյեի կազմում:</w:t>
      </w:r>
    </w:p>
    <w:p w14:paraId="28BD896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Գրանցումը հաստատելու (վերահաստատելու) համար դեղապատրաստուկի գրանցման դոսյեն պատրաստելիս գրանցման հավաստագիր ունեցող անձը պետք է հաշվի առնի այն տվյալները, որոնք ներառված են գրանցման դոսյեի վաղ ներկայացված տարբերակում, դեղապատրաստուկի մասով այլ հաշվետու փաստաթղթերում, և որոնք կարևոր են տվյալ դեղապատրաստուկի «օգուտ-ռիսկ» հարաբերակցությունը գնահատելու համար: Այդ դեղապատրաստուկի գրանցման հաստատումը (վերագրանցումը) չպետք է փոխարինի դեղապատրաստուկի գրանցման հետ կապված այլ ընթացակարգերի կատարմանը (օրինակ՝ դեղապատրաստուկի գրանցման դոսյեում փոփոխություններ կատարելը), իսկ գրանցման դոսյեում ներմուծման համար արդիականացված տեղեկություններ ներկայացնելը չպետք է հետաձգել մինչև գրանցման հերթական հաստատումը (վերագրանցումը):</w:t>
      </w:r>
    </w:p>
    <w:p w14:paraId="0A4BF31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lastRenderedPageBreak/>
        <w:t> </w:t>
      </w:r>
    </w:p>
    <w:p w14:paraId="1EBA1460"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2. Սահմանված հատուկ պարտավորությունների կատարման մասին միջանկյալ և եզրափակիչ հաշվետվություններին ներկայացվող պահանջները</w:t>
      </w:r>
    </w:p>
    <w:p w14:paraId="63AC57E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5B424A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Գրանցման հավաստագիր ունեցող անձը պետք է տրամադրի բոլոր հատուկ պարտավորությունները ներառող՝ դեղապատրաստուկի մասով սահմանված հատուկ պարտավորությունների կատարման մասին մեկ միջանկյալ հաշվետվություն: Հետազոտության տեսակից և արդիականացված տվյալների առկայությամբ պայմանավորված միջանկյալ հաշվետվության կառուցվածքը և բովանդակությունը կարող են տարբերվել: Յուրաքանչյուր հետազոտության մասին տեղեկությունները ներկայացվում են «օգուտ-ռիսկ» հարաբերակցության վրա դեղապատրաստուկի անվտանգության և արդյունավետության մասին մատչելի տվյալների ազդեցության գնահատման անցկացման հնարավորությունն ստանալու և հատուկ պարտավորությունների կատարման գնահատման նպատակով: Միջանկյալ հաշվետվությունը պետք է պարունակի հատուկ պարտավորությունների և դրանց կատարման ժամկետների պահպանման կամ փոփոխման անհրաժեշտության գնահատման կատարման համար բավարար տեղեկություններ: Եթե այդ պարտավորությունների կատարումը կապված է կլինիկական հետազոտությունների անցկացման ընթացքում ստացված դեղապատրաստուկի անվտանգության և արդյունավետության մասին տվյալների վերլուծության հետ, ապա միջանկյալ հաշվետվություններ կազմելու համար թույլատրվում է օգտագործել ստորև բերված միջանկյալ հաշվետվության կառուցվածքը: Թույլատրվում է փոփոխություններ կատարել միջանկյալ հաշվետվության կառուցվածքի բաժինների ցանկում (օրինակ՝ պայմանավորված հետազոտության դիզայնով, հետազոտության կուրացման ընթացակարգով), հանել մեկ կամ մի քանի ենթաբաժին և բաժին կամ ներմուծել լրացուցիչ ենթաբաժիններ՝ անհրաժեշտ տվյալներ տրամադրելու համար: Սահմանված հատուկ պարտավորությունների կատարման մասին այդ հաշվետվությունների հիմնական բաժինների ցանկը պետք է համաձայնեցվի հայտատուի կողմից ռեֆերենտ պետության լիազորված մարմնի (փորձագիտական կազմակերպության) հետ նախնական պայմանական գրանցման ներկայացված դեղապատրաստուկի փորձաքննության ժամանակ: </w:t>
      </w:r>
    </w:p>
    <w:p w14:paraId="4AEE492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Դեղապատրաստուկի միջանկյալ հաշվետվությունը կազմվում է յուրաքանչյուր սահմանված հատուկ պարտավորության մասով, որի համար կատարվել է կլինիկական հետազոտություն, և ներառում է՝ </w:t>
      </w:r>
    </w:p>
    <w:p w14:paraId="3278F8A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 տիտղոսաթերթը և սինոփսիսը: Հաշվետվության այս մասում անհրաժեշտ է ներկայացնել սահմանված հատուկ պարտավորության մաս համարվող՝ անցկացվող կամ նոր կլինիկական հետազոտություններից յուրաքանչյուրի համառոտ նկարագրությունը: Կլինիկական հետազոտություններից յուրաքանչյուրի մասով սինոփսիսը պետք շարադրված լինի ստանդարտ տեքստի ոչ ավելի, քան մեկ էջի վրա և ներառի հետազոտության ընդհանուր պլանի և դիզայնի նկարագրությունը.</w:t>
      </w:r>
    </w:p>
    <w:p w14:paraId="65E884F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բ) ներածությունը, որը պարունակում է հետևյալ տեղեկատվությունը՝ </w:t>
      </w:r>
    </w:p>
    <w:p w14:paraId="2443126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 xml:space="preserve">հետազոտության անցկացման ընթացիկ կարգավիճակը, որի մասին տրամադրվում է միջանկյալ հաշվետվությունը. </w:t>
      </w:r>
    </w:p>
    <w:p w14:paraId="3C2635F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հնարավոր կամ առաջացած չլուծված խնդիրները, ինչպես նաև այն խնդիրները, որոնք կարող են էական ազդեցություն ունենալ հետազոտության իրագործելիության վրա. </w:t>
      </w:r>
    </w:p>
    <w:p w14:paraId="20F0125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հետազոտության աշխատանքների կատարման ժամկետների ենթադրվող ուշացումները. </w:t>
      </w:r>
    </w:p>
    <w:p w14:paraId="34FBE7B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այլ տեղեկություններ. </w:t>
      </w:r>
    </w:p>
    <w:p w14:paraId="3EF486E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գ) հետազոտությունների սուբյեկտների հավաքում: Հաշվետվության այս մասում անհրաժեշտ է նկարագրել՝ </w:t>
      </w:r>
    </w:p>
    <w:p w14:paraId="45E94E8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հետազոտությունում պացիենտների ընդգրկման չափանիշները. </w:t>
      </w:r>
    </w:p>
    <w:p w14:paraId="227734E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ըստ ժամանակի, ըստ կլինիկական կենտրոնների, ըստ երկրների և տարածաշրջանների, ըստ միջամտության տեսակների նրանց հավաքելու դինամիկան. </w:t>
      </w:r>
    </w:p>
    <w:p w14:paraId="5234D51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տվյալների մատչելիության մասին տեղեկությունները. </w:t>
      </w:r>
    </w:p>
    <w:p w14:paraId="4FE07B8C"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հետագա դիտարկման կարգավիճակի, ինչպես նաև հետագա դիտարկման տևողության մասին տեղեկությունները. </w:t>
      </w:r>
    </w:p>
    <w:p w14:paraId="71F084A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այնպիսի հարցերի վերլուծությունը, ինչպես օրինակ՝ հետազոտությունում սուբյեկտների կանխատեսվող հավաքումը և երևույթների ակնկալվող հաճախականությունը, հետազոտության սուբյեկտների հավաքման ազդեցությունը դրա հզորության վրա, ընդգրկվող պացիենտների բնութագրերի փոփոխությունների դինամիկայի գնահատումը. հետազոտության պայմանական հզորության հաշվարկները. հետազոտության վերջնական վերլուծության կանխատեսվող ժամկետը. </w:t>
      </w:r>
    </w:p>
    <w:p w14:paraId="331E9A0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դ) ուսումնասիրվող պոպուլյացիայի սկզբնական բնութագրերը, ներառյալ՝ ըստ միջամտության խմբի՝ սկզբնական փոփոխականների նկարագրությունը, դրանց կիրառելիությունը, ինչպես նաև սքրինինգի չափանիշներին վերաբերող ցանկացած հիմնախնդրի նկարագրությունը, չընդգրկման չափանիշների ազդեցությունը և հետազոտության եզրահանգման՝ ամբողջ ընդհանուր ամբողջության վրա տարածման հիմնախնդիրները. </w:t>
      </w:r>
    </w:p>
    <w:p w14:paraId="38077C1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ե) անցանկալի երևույթները՝ կախված միջամտությունից և դրանց ծանրությունից՝ մարմինների համակարգի մակարդակով և նախապատվելի եզրույթի մակարդակով, ինչպես նաև նկարագրել անցանկալի երևույթների հաճախականությունը. </w:t>
      </w:r>
    </w:p>
    <w:p w14:paraId="122F989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զ) հետազոտվող վերջնակետերի վերլուծությունը՝ նշելով հետազոտության վերջնակետերի միջանկյալ վերլուծությունների արդյունքները, վերջնակետերի վերջնական վերլուծության ակնկալվող ժամկետները և այլ տվյալներ՝ ելնելով հետազոտության առանձնահատկություններից, տվյալ կլինիկական հետազոտության տվյալների ընթացակարգից և հետազոտությունում պլանավորված ընթացակարգերից. </w:t>
      </w:r>
    </w:p>
    <w:p w14:paraId="46FE328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է) հետազոտության անցկացման և ստացվող տվյալների որակի ապահովումը՝ նկարագրելով հետազոտության սուբյեկտների՝ թերապիային հակվածությունը, </w:t>
      </w:r>
      <w:r w:rsidRPr="00060185">
        <w:rPr>
          <w:rFonts w:ascii="Sylfaen" w:eastAsia="Times New Roman" w:hAnsi="Sylfaen" w:cs="Times New Roman"/>
          <w:sz w:val="24"/>
          <w:szCs w:val="24"/>
          <w:lang w:val="en-US" w:eastAsia="en-US" w:bidi="ar-SA"/>
        </w:rPr>
        <w:lastRenderedPageBreak/>
        <w:t xml:space="preserve">անվտանգության և արդյունավետության գնահատմանը ներկայացնող պահանջների պահպանումը, հետազոտության անցկացման կամ պլանավորված վերլուծությունների մեջ էական փոփոխությունները, հետազոտությունների ընթացակարգից կարևոր շեղումները, հետազոտության սուբյեկտների դուրս գալը և հետազոտության կատարման մեջ շեղման որակի ապահովման համար կարևոր բացակայող տվյալները և հետազոտության որակի հսկողության արդյունքները: </w:t>
      </w:r>
    </w:p>
    <w:p w14:paraId="20E50BB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Կլինիկական հետազոտությունների մասին եզրափակիչ հաշվետվությունները կազմվում են ըստ Եվրասիական տնտեսական հանձնաժողովի խորհրդի 2016 թվականի նոյեմբերի 3-ի թիվ 79 որոշմամբ հաստատված՝ Եվրասիական տնտեսական միության կլինիկական պատշաճ գործունեության կանոնների թիվ 1-9 հավելվածներում բերված ձևերի:</w:t>
      </w:r>
    </w:p>
    <w:p w14:paraId="0DFEEE1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08014300"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VI. Դեղապատրաստուկի գրանցումը հաստատելիս (վերագրանցելիս) հատուկ պարտավորությունները հանելը </w:t>
      </w:r>
    </w:p>
    <w:p w14:paraId="33740B8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05EAFA2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Ռեֆերենտ պետության լիազորված մարմինը (փորձագիտական կազմակերպությունը) իրավունք ունի ընդունելու որոշում Կանոնների VIII բաժնին համապատասխան դեղապատրաստուկի գրանցումը հաստատելիս (վերագրանցելիս) պայմանական գրանցման ժամանակ սահմանված հատուկ պարտավորությունները հանելու մասին, եթե հատուկ պարտավորությունները կատարվել են մինչև՝ </w:t>
      </w:r>
    </w:p>
    <w:p w14:paraId="228CA32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նախնական գրանցման ներկայացված դեղապատրաստուկի փորձաքննությունն ավարտելու. </w:t>
      </w:r>
    </w:p>
    <w:p w14:paraId="085B22D3"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պայմանական գրանցման հաստատման (վերագրանցման). </w:t>
      </w:r>
    </w:p>
    <w:p w14:paraId="2B53B97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հատուկ պարտավորությունների կատարման մասին եզրափակիչ հաշվետվությունում ներկայացված տվյալների փորձաքննությունն ավարտելու պահը՝ նշելով վերջին չկատարված սահմանված հատուկ պարտավորությունը:</w:t>
      </w:r>
    </w:p>
    <w:p w14:paraId="45FEE8A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Եթե սահմանված հատուկ պարտավորությունների կատարման մասին հաշվետվության տրամադրումը պահանջում է դեղապատրաստուկի մասին տեղեկատվության արդիականացում, ապա թույլատրվում է ներառել սահմանված հատուկ պարտավորությունների գնահատման համար ներկայացվող գրանցման դոսյեի կազմում դեղապատրաստուկի մասին ցանկացած փոփոխություն: </w:t>
      </w:r>
    </w:p>
    <w:p w14:paraId="5F2FB05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Սահմանված հատուկ պարտավորություններից վերջինի կատարման մասին եզրափակիչ հաշվետվությունը ներկայացնելիս և որպես «առանց հատուկ պարտավորությունների սահմանման պայմանական գրանցում» դեղապատրաստուկի կարգավիճակի հնարավոր փոփոխության նպատակով գրանցման հավաստագիր ունեցող անձը պարտավոր է դա նշել գրանցման դոսյեի 1-ին մոդուլի համապատասխան բաժիններում և տրամադրել դեղապատրաստուկի մասին արդիականացված տեղեկատվությունը և պայմանական գրանցման իրականացման հնարավորությունը հիմնավորող կլինիկական տվյալների գնահատումն անցկացրած փորձագետի եզրակացությունը (եզրահանգումը)՝ առանց հատուկ պարտավորությունների սահմանման:</w:t>
      </w:r>
    </w:p>
    <w:p w14:paraId="438C245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 xml:space="preserve">Առանց հատուկ պարտավորությունների սահմանման պայմանական գրանցման ընտրության պատճառները նշվում են ըստ Կանոնների թիվ 16 հավելվածի համաձայն ձևի կազմված՝ ռեֆերենտ պետության փորձագիտական հաշվետվությունում։ </w:t>
      </w:r>
    </w:p>
    <w:p w14:paraId="725ADC51" w14:textId="77777777" w:rsidR="00D37FAA" w:rsidRPr="00060185" w:rsidRDefault="00D37FAA" w:rsidP="00D37FAA">
      <w:pPr>
        <w:widowControl/>
        <w:spacing w:after="0" w:line="240" w:lineRule="auto"/>
        <w:ind w:firstLine="375"/>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VII. Պայմանական գրանցման ընթացակարգի՝ բացառիկ դեպքերում գրանցումից և գրանցման ստանդարտ ընթացակարգից տարբերությունը</w:t>
      </w:r>
    </w:p>
    <w:p w14:paraId="22C310E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Այն դեղապատրաստուկների համար, որոնց մասով հայտատուն հնարավորություն չունի ներկայացնելու տվյալներ (Կանոնների թիվ հավելվածի I մասի 4-րդ և 5-րդ բաժիններով սահմանված պահանջներին համապատասխան) (Կանոնների թիվ 1 հավելվածի 11-րդ բաժնով նախատեսված կոնկրետ պատճառներից ելնելով), կարող է գրանցման հայտ ներկայացվել բացառիկ դեպքերում: Այդ գրանցման արդիականությունը վերանայվում է ամեն տարի՝ «օգուտ-ռիսկ» հարաբերակցությունը վերագնահատելու համար։ Բացառիկ դեպքերում գրանցման ընթացակարգի շրջանակներում սահմանված ցանկացած հատուկ պարտավորության կատարումը կապված է դեղապատրաստուկի անվտանգ և արդյունավետ կիրառման մասին տեղեկությունների տրամադրման հետ և որպես կանոն չի հանգեցնում Կանոնների թիվ 1 հավելվածի I մասի 4-րդ և 5-րդ բաժինների պահանջներին համապատասխան՝ ամբողջական գրանցման դոսյեի ստացմանը։ Եթե հայտատուի կողմից տրամադրվել են կիրառման սովորական պայմաններում դեղապատրաստուկի անվտանգության և արդյունավետության մասին սպառիչ տվյալներ («ամբողջական դոսյե»), և կատարվել են բոլոր հատուկ պարտավորությունները, կարող է կատարվել սովորական գրանցման ընթացակարգ: </w:t>
      </w:r>
    </w:p>
    <w:p w14:paraId="306C42F6"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Բացառիկ դեպքերում գրանցման ընթացակարգով գրանցված դեղապատրաստուկի գրանցման դոսյեում կարող են կատարվել փոփոխություններ՝ դեղապատրաստուկի կիրառման նոր ցուցում (ցուցումներ) ավելացնելու համար։ Նման դեպքերում գրանցումը մնում է բացառիկ դեպքերի շրջանակներում։ </w:t>
      </w:r>
    </w:p>
    <w:p w14:paraId="4451B76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Պայմանական գրանցման ընթացակարգի շրջանակներում կարող են գրանցվել դեղապատրաստուկներ, որոնց մասով հայտատուն կարող է հաստատել «օգուտ-ռիսկ» դրական հարաբերակցությունը (օրինակ՝ այդ դեղապատրաստուկների արդյունավետության նախորդ ապացույցի հիման վրա, որը թույլ է տալիս կանխատեսել ամբողջական մշակման շրջանակներում գնահատվող կլինիկական </w:t>
      </w:r>
      <w:proofErr w:type="gramStart"/>
      <w:r w:rsidRPr="00060185">
        <w:rPr>
          <w:rFonts w:ascii="Sylfaen" w:eastAsia="Times New Roman" w:hAnsi="Sylfaen" w:cs="Times New Roman"/>
          <w:sz w:val="24"/>
          <w:szCs w:val="24"/>
          <w:lang w:val="en-US" w:eastAsia="en-US" w:bidi="ar-SA"/>
        </w:rPr>
        <w:t>ելքը)։</w:t>
      </w:r>
      <w:proofErr w:type="gramEnd"/>
      <w:r w:rsidRPr="00060185">
        <w:rPr>
          <w:rFonts w:ascii="Sylfaen" w:eastAsia="Times New Roman" w:hAnsi="Sylfaen" w:cs="Times New Roman"/>
          <w:sz w:val="24"/>
          <w:szCs w:val="24"/>
          <w:lang w:val="en-US" w:eastAsia="en-US" w:bidi="ar-SA"/>
        </w:rPr>
        <w:t xml:space="preserve"> Այդ ժամանակային գրանցումը չի կարող մնալ պայմանական։ Այն վերանայվում է տարին մեկ անգամ և կարող է երկարացվել, իսկ «օգուտ-ռիսկ» դրական հարաբերակցությունը հաստատելու համար պահանջվող տվյալները տրամադրելուց հետո («ամբողջական դոսյե») այն դառնում է սովորական գրանցում։ </w:t>
      </w:r>
    </w:p>
    <w:p w14:paraId="0DF6A53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Այսպիսով, կա տարբերություն բացառիկ դեպքում գրանցման և պայմանական գրանցման միջև։ Բացառիկ դեպքերում գրանցման ընթացակարգը չպետք է անցկացվի, եթե հիմնավորված է պայմանական գրանցումը։ Պայմանական գրանցման ընթացակարգն անցկացվում է սպառիչ կլինիկական տվյալների բացակայության դեպքում, եթե հայտատուն կարող է ներկայացնել այդ տվյալներն ամենակարճ ժամկետում։ </w:t>
      </w:r>
    </w:p>
    <w:p w14:paraId="4A2C256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Հարկ է նշել, որ օրֆանային դեղապատրաստուկներն այլ դեղապատրաստուկների նման կարող են գրանցվել բացառիկ դեպքերում գրանցման ընթացակարգով բացառապես Կանոններով նախատեսվող չափանիշները պահպանելու դեպքում (թիվ 25 հավելվածի 3-րդ բաժնի համաձայն): Անդամ պետության օրենսդրությանը համապատասխան՝ դրա լիազորված մարմնի (փորձագիտական կազմակերպության) կողմից օրֆանային դեղապատրաստուկի կարգավիճակ տալու չափանիշները պայմանավորված չեն բացառիկ դեպքերում գրանցման ընթացակարգի ժամանակ դիտարկվող չափանիշներով և պայմանական գրանցման ընթացակարգի ժամանակ դիտարկվող չափանիշներով։</w:t>
      </w:r>
    </w:p>
    <w:p w14:paraId="1AA41A7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24982199"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VIII. Նախքան գրանցման հայտը ներկայացնելն անդամ պետության լիազորված մարմնի (փորձագիտական կազմակերպության) կողմից խորհրդատվությունը</w:t>
      </w:r>
    </w:p>
    <w:p w14:paraId="7B4DA04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C0BB33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Հայտատուն դեղապատրաստուկի պայմանական գրանցումը պլանավորելիս իրավունք ունի կատարելու Կանոնների 26-րդ կետով նախատեսված՝ անդամ պետության օրենսդրությանը համապատասխան դրա լիազորված մարմինների (փորձագիտական կազմակերպությունների) գիտական և նախագրանցումային խորհրդատվությունների անցկացման հարցում կամ անդամ պետության լիազորված մարմին ուղղել Դեղամիջոցների գծով փորձագիտական կոմիտեի խորհրդատվության անցկացման մասին դիմում՝ կոնկրետ ցուցման կիրառման համար մշակվող դեղապատրաստուկի նկատմամբ պայմանական գրանցման ընթացակարգ կիրառելու հնարավորության մասին հարցի լուծման և սույն փաստաթղթի III բաժնի 2-րդ ենթաբաժնի երկրորդ-հինգերորդ պարբերություններով նախատեսված պահանջի կատարման համար։ </w:t>
      </w:r>
    </w:p>
    <w:p w14:paraId="17E8226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Հայտատուի՝ անդամ պետության լիազորված մարմնի (փորձագիտական կազմակերպության) խորհրդատվության անցկացման ժամանակ հայտատուն պարտավոր է ներկայացնել՝</w:t>
      </w:r>
    </w:p>
    <w:p w14:paraId="3F7B700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պայմանական գրանցման ընթացակարգի անցկացման գրավոր հարցում. </w:t>
      </w:r>
    </w:p>
    <w:p w14:paraId="7D867EE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պարզաբանման համար անհրաժեշտ վարչարարական կամ գործնական (մեթոդական) բնույթի հարցերի ցանկ։ </w:t>
      </w:r>
    </w:p>
    <w:p w14:paraId="2BBE8DF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Քանի որ առողջապահության համակարգի չբավարարված բժշկական պահանջմունքի ապահովման համար նախատեսված դեղապատրաստուկները կարող են միաժամանակ բնակչության առողջության համար այդ դեղապատրատուկի անհապաղ մատչելիության հետ կապված օգուտ ներկայացնել, հայտատուն իրավունք ունի կատարելու դեղապատրաստուկների արագացված փորձաքննության անցկացման և դրանց պայմանական գրանցման հարցում։ Հետագայում պայմանական գրանցման և (կամ) արագացված փորձաքննության ընթացակարգը կատարելիս ուշացումները բացառելու նպատակով հայտատուն պետք է ժամանակին նախատեսի անդամ պետության լիազորված մարմնի (փորձագիտական կազմակերպության) խորհրդատվության անցկացման հարցման անհրաժեշտությունը: </w:t>
      </w:r>
    </w:p>
    <w:p w14:paraId="48597C9F"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 xml:space="preserve">Դեղապատրաստուկի անվտանգության և արդյունավետության մասին ամբողջական տվյալներ տրամադրելու անհնարինությունն անհրաժեշտ է, որքան հնարավոր է, շուտ քննարկել դեղապատրաստուկի դեղագործական մշակման ընթացքում։ Հայտատուն իրավունք ունի դիմելու անդամ պետության լիազորված մարմին (փորձագիտական </w:t>
      </w:r>
      <w:proofErr w:type="gramStart"/>
      <w:r w:rsidRPr="00060185">
        <w:rPr>
          <w:rFonts w:ascii="Sylfaen" w:eastAsia="Times New Roman" w:hAnsi="Sylfaen" w:cs="Times New Roman"/>
          <w:sz w:val="24"/>
          <w:szCs w:val="24"/>
          <w:lang w:val="en-US" w:eastAsia="en-US" w:bidi="ar-SA"/>
        </w:rPr>
        <w:t>կազմակերպություն)՝</w:t>
      </w:r>
      <w:proofErr w:type="gramEnd"/>
      <w:r w:rsidRPr="00060185">
        <w:rPr>
          <w:rFonts w:ascii="Sylfaen" w:eastAsia="Times New Roman" w:hAnsi="Sylfaen" w:cs="Times New Roman"/>
          <w:sz w:val="24"/>
          <w:szCs w:val="24"/>
          <w:lang w:val="en-US" w:eastAsia="en-US" w:bidi="ar-SA"/>
        </w:rPr>
        <w:t xml:space="preserve"> տվյալ հիվանդության (վիճակի) համար տարածվածության (հիվանդացության, մահացության) ցածր հաճախականությամբ դրվող սահմանափակումների հարցով գիտական խորհրդատվության համար կամ դեղապատրաստուկի անվտանգության և արդյունավետության մասին սպառիչ տեղեկությունների հավաքման եղանակի մասին գիտական տեղեկատվություն ստանալու համար։ Գիտական խորհրդատվությունը չի կարող կատարվել դեղապատրաստուկի մասին տեղեկությունների հավաքման էթիկային վերաբերող ասպեկտների հետ կապված հարցերի շուրջ։ </w:t>
      </w:r>
    </w:p>
    <w:p w14:paraId="2C0EC092"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Մինչև պայմանական գրանցման ընթացակարգի անցկացման համար դեղապատրաստուկը ներկայացնելը գիտական խորհրդատվության անցկացման մասին հայտատուի հարցումը պետք է ուղեկցվի գրանցման դոսյեի 1-ին մոդուլի 1.8.2.9 բաժնում ներկայացված հիմնավորումներին համապատասխանող հիմնավորումներով և պարունակի խորհրդատվության համար հարցերի ցանկ և (կամ) հայտատուի համար անհրաժեշտ՝ անդամ պետության լիազորված մարմնի (փորձագիտական կազմակերպության) մեկնաբանությունների ցանկ:</w:t>
      </w:r>
    </w:p>
    <w:p w14:paraId="4CFE6E9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Անդամ պետության լիազորված մարմնի (փորձագիտական կազմակերպության) խորհրդատվությունը պարտադիր չէ հայտատուի համար և չի ազդում դեղապատրաստուկի փորձաքննության արդյունքի վրա։</w:t>
      </w:r>
    </w:p>
    <w:p w14:paraId="57E5709E" w14:textId="77777777" w:rsidR="00D37FAA" w:rsidRPr="00060185" w:rsidRDefault="00D37FAA" w:rsidP="00D37FAA">
      <w:pPr>
        <w:tabs>
          <w:tab w:val="left" w:pos="1134"/>
        </w:tabs>
        <w:spacing w:after="160" w:line="360" w:lineRule="auto"/>
        <w:ind w:right="-8" w:firstLine="567"/>
        <w:jc w:val="both"/>
        <w:rPr>
          <w:rFonts w:ascii="Sylfaen" w:hAnsi="Sylfaen"/>
          <w:b/>
          <w:bCs/>
          <w:i/>
          <w:iCs/>
          <w:sz w:val="24"/>
          <w:szCs w:val="24"/>
        </w:rPr>
      </w:pPr>
      <w:r w:rsidRPr="00060185">
        <w:rPr>
          <w:rFonts w:ascii="Sylfaen" w:hAnsi="Sylfaen"/>
          <w:b/>
          <w:bCs/>
          <w:i/>
          <w:iCs/>
          <w:sz w:val="24"/>
          <w:szCs w:val="24"/>
        </w:rPr>
        <w:t>(հավելվածը լրաց. ԵՏՀԽ 17.03.22  թիվ 36)</w:t>
      </w:r>
    </w:p>
    <w:p w14:paraId="181E4E7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p>
    <w:p w14:paraId="5DB508BD"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4883"/>
        <w:gridCol w:w="4521"/>
      </w:tblGrid>
      <w:tr w:rsidR="00D37FAA" w:rsidRPr="00060185" w14:paraId="6FF1EE92" w14:textId="77777777" w:rsidTr="004215B2">
        <w:trPr>
          <w:tblCellSpacing w:w="7" w:type="dxa"/>
        </w:trPr>
        <w:tc>
          <w:tcPr>
            <w:tcW w:w="0" w:type="auto"/>
            <w:vAlign w:val="center"/>
            <w:hideMark/>
          </w:tcPr>
          <w:p w14:paraId="051D2EE1" w14:textId="77777777" w:rsidR="00D37FAA" w:rsidRPr="00060185" w:rsidRDefault="00D37FAA" w:rsidP="004215B2">
            <w:pPr>
              <w:widowControl/>
              <w:spacing w:before="100" w:beforeAutospacing="1" w:after="100" w:afterAutospacing="1" w:line="240" w:lineRule="auto"/>
              <w:rPr>
                <w:rFonts w:ascii="Sylfaen" w:eastAsia="Times New Roman" w:hAnsi="Sylfaen" w:cs="Times New Roman"/>
                <w:sz w:val="24"/>
                <w:szCs w:val="24"/>
                <w:lang w:val="en-US" w:eastAsia="en-US" w:bidi="ar-SA"/>
              </w:rPr>
            </w:pPr>
          </w:p>
        </w:tc>
        <w:tc>
          <w:tcPr>
            <w:tcW w:w="4500" w:type="dxa"/>
            <w:vAlign w:val="bottom"/>
            <w:hideMark/>
          </w:tcPr>
          <w:p w14:paraId="4B9C16A6" w14:textId="77777777" w:rsidR="00D37FAA" w:rsidRPr="00060185" w:rsidRDefault="00D37FAA" w:rsidP="004215B2">
            <w:pPr>
              <w:widowControl/>
              <w:spacing w:after="0" w:line="240" w:lineRule="auto"/>
              <w:jc w:val="center"/>
              <w:rPr>
                <w:rFonts w:ascii="Sylfaen" w:eastAsia="Times New Roman" w:hAnsi="Sylfaen" w:cs="Times New Roman"/>
                <w:b/>
                <w:bCs/>
                <w:sz w:val="24"/>
                <w:szCs w:val="24"/>
                <w:lang w:val="en-US" w:eastAsia="en-US" w:bidi="ar-SA"/>
              </w:rPr>
            </w:pPr>
            <w:r w:rsidRPr="00060185">
              <w:rPr>
                <w:rFonts w:ascii="Sylfaen" w:eastAsia="Times New Roman" w:hAnsi="Sylfaen" w:cs="Times New Roman"/>
                <w:b/>
                <w:bCs/>
                <w:sz w:val="24"/>
                <w:szCs w:val="24"/>
                <w:lang w:val="en-US" w:eastAsia="en-US" w:bidi="ar-SA"/>
              </w:rPr>
              <w:t xml:space="preserve">ՀԱՎԵԼՎԱԾ ԹԻՎ 27 </w:t>
            </w:r>
          </w:p>
          <w:p w14:paraId="3E1DBEE3" w14:textId="77777777" w:rsidR="00D37FAA" w:rsidRPr="00060185" w:rsidRDefault="00D37FAA" w:rsidP="004215B2">
            <w:pPr>
              <w:widowControl/>
              <w:spacing w:after="0" w:line="240" w:lineRule="auto"/>
              <w:jc w:val="center"/>
              <w:rPr>
                <w:rFonts w:ascii="Sylfaen" w:eastAsia="Times New Roman" w:hAnsi="Sylfaen" w:cs="Times New Roman"/>
                <w:b/>
                <w:bCs/>
                <w:sz w:val="24"/>
                <w:szCs w:val="24"/>
                <w:lang w:val="en-US" w:eastAsia="en-US" w:bidi="ar-SA"/>
              </w:rPr>
            </w:pPr>
            <w:r w:rsidRPr="00060185">
              <w:rPr>
                <w:rFonts w:ascii="Sylfaen" w:eastAsia="Times New Roman" w:hAnsi="Sylfaen" w:cs="Times New Roman"/>
                <w:b/>
                <w:bCs/>
                <w:sz w:val="24"/>
                <w:szCs w:val="24"/>
                <w:lang w:val="en-US" w:eastAsia="en-US" w:bidi="ar-SA"/>
              </w:rPr>
              <w:t xml:space="preserve">Բժշկական </w:t>
            </w:r>
            <w:proofErr w:type="gramStart"/>
            <w:r w:rsidRPr="00060185">
              <w:rPr>
                <w:rFonts w:ascii="Sylfaen" w:eastAsia="Times New Roman" w:hAnsi="Sylfaen" w:cs="Times New Roman"/>
                <w:b/>
                <w:bCs/>
                <w:sz w:val="24"/>
                <w:szCs w:val="24"/>
                <w:lang w:val="en-US" w:eastAsia="en-US" w:bidi="ar-SA"/>
              </w:rPr>
              <w:t>կիրառման</w:t>
            </w:r>
            <w:r w:rsidRPr="00060185">
              <w:rPr>
                <w:rFonts w:ascii="Sylfaen" w:eastAsia="Times New Roman" w:hAnsi="Sylfaen" w:cs="Calibri"/>
                <w:b/>
                <w:bCs/>
                <w:sz w:val="24"/>
                <w:szCs w:val="24"/>
                <w:lang w:val="en-US" w:eastAsia="en-US" w:bidi="ar-SA"/>
              </w:rPr>
              <w:t> </w:t>
            </w:r>
            <w:r w:rsidRPr="00060185">
              <w:rPr>
                <w:rFonts w:ascii="Sylfaen" w:eastAsia="Times New Roman" w:hAnsi="Sylfaen" w:cs="Times New Roman"/>
                <w:b/>
                <w:bCs/>
                <w:sz w:val="24"/>
                <w:szCs w:val="24"/>
                <w:lang w:val="en-US" w:eastAsia="en-US" w:bidi="ar-SA"/>
              </w:rPr>
              <w:t xml:space="preserve"> </w:t>
            </w:r>
            <w:r w:rsidRPr="00060185">
              <w:rPr>
                <w:rFonts w:ascii="Sylfaen" w:eastAsia="Times New Roman" w:hAnsi="Sylfaen" w:cs="Arial Unicode"/>
                <w:b/>
                <w:bCs/>
                <w:sz w:val="24"/>
                <w:szCs w:val="24"/>
                <w:lang w:val="en-US" w:eastAsia="en-US" w:bidi="ar-SA"/>
              </w:rPr>
              <w:t>համ</w:t>
            </w:r>
            <w:r w:rsidRPr="00060185">
              <w:rPr>
                <w:rFonts w:ascii="Sylfaen" w:eastAsia="Times New Roman" w:hAnsi="Sylfaen" w:cs="Times New Roman"/>
                <w:b/>
                <w:bCs/>
                <w:sz w:val="24"/>
                <w:szCs w:val="24"/>
                <w:lang w:val="en-US" w:eastAsia="en-US" w:bidi="ar-SA"/>
              </w:rPr>
              <w:t>ար</w:t>
            </w:r>
            <w:proofErr w:type="gramEnd"/>
            <w:r w:rsidRPr="00060185">
              <w:rPr>
                <w:rFonts w:ascii="Sylfaen" w:eastAsia="Times New Roman" w:hAnsi="Sylfaen" w:cs="Times New Roman"/>
                <w:b/>
                <w:bCs/>
                <w:sz w:val="24"/>
                <w:szCs w:val="24"/>
                <w:lang w:val="en-US" w:eastAsia="en-US" w:bidi="ar-SA"/>
              </w:rPr>
              <w:t xml:space="preserve"> </w:t>
            </w:r>
          </w:p>
          <w:p w14:paraId="1630E97A" w14:textId="77777777" w:rsidR="00D37FAA" w:rsidRPr="00060185" w:rsidRDefault="00D37FAA" w:rsidP="004215B2">
            <w:pPr>
              <w:widowControl/>
              <w:spacing w:after="0" w:line="240" w:lineRule="auto"/>
              <w:jc w:val="center"/>
              <w:rPr>
                <w:rFonts w:ascii="Sylfaen" w:eastAsia="Times New Roman" w:hAnsi="Sylfaen" w:cs="Times New Roman"/>
                <w:b/>
                <w:bCs/>
                <w:sz w:val="24"/>
                <w:szCs w:val="24"/>
                <w:lang w:val="en-US" w:eastAsia="en-US" w:bidi="ar-SA"/>
              </w:rPr>
            </w:pPr>
            <w:r w:rsidRPr="00060185">
              <w:rPr>
                <w:rFonts w:ascii="Sylfaen" w:eastAsia="Times New Roman" w:hAnsi="Sylfaen" w:cs="Times New Roman"/>
                <w:b/>
                <w:bCs/>
                <w:sz w:val="24"/>
                <w:szCs w:val="24"/>
                <w:lang w:val="en-US" w:eastAsia="en-US" w:bidi="ar-SA"/>
              </w:rPr>
              <w:t xml:space="preserve">դեղամիջոցների գրանցման և </w:t>
            </w:r>
          </w:p>
          <w:p w14:paraId="6D79AD15" w14:textId="77777777" w:rsidR="00D37FAA" w:rsidRPr="00060185" w:rsidRDefault="00D37FAA" w:rsidP="004215B2">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b/>
                <w:bCs/>
                <w:sz w:val="24"/>
                <w:szCs w:val="24"/>
                <w:lang w:val="en-US" w:eastAsia="en-US" w:bidi="ar-SA"/>
              </w:rPr>
              <w:t>փորձաքննության կանոնների</w:t>
            </w:r>
          </w:p>
        </w:tc>
      </w:tr>
    </w:tbl>
    <w:p w14:paraId="2F5A3F44"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3439E0A8" w14:textId="77777777" w:rsidR="00D37FAA" w:rsidRPr="00060185" w:rsidRDefault="00D37FAA" w:rsidP="00D37FAA">
      <w:pPr>
        <w:widowControl/>
        <w:spacing w:after="0" w:line="240" w:lineRule="auto"/>
        <w:jc w:val="center"/>
        <w:rPr>
          <w:rFonts w:ascii="Sylfaen" w:eastAsia="Times New Roman" w:hAnsi="Sylfaen" w:cs="Times New Roman"/>
          <w:b/>
          <w:bCs/>
          <w:sz w:val="24"/>
          <w:szCs w:val="24"/>
          <w:lang w:val="en-US" w:eastAsia="en-US" w:bidi="ar-SA"/>
        </w:rPr>
      </w:pPr>
      <w:r w:rsidRPr="00060185">
        <w:rPr>
          <w:rFonts w:ascii="Sylfaen" w:eastAsia="Times New Roman" w:hAnsi="Sylfaen" w:cs="Times New Roman"/>
          <w:b/>
          <w:bCs/>
          <w:sz w:val="24"/>
          <w:szCs w:val="24"/>
          <w:lang w:val="en-US" w:eastAsia="en-US" w:bidi="ar-SA"/>
        </w:rPr>
        <w:t xml:space="preserve">Դեղապատրաստուկը գրանցելիս արագացված փորձաքննության կիրառման նպատակով դրա առանձնակի կարևորության մասին հայտի ուսումնասիրման ընթացակարգը </w:t>
      </w:r>
    </w:p>
    <w:p w14:paraId="2B6C556A"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761588D0"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1. Ընդհանուր դրույթներ</w:t>
      </w:r>
    </w:p>
    <w:p w14:paraId="332E947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1D0176B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Եվրասիական տնտեսական հանձնաժողովի խորհրդի 2016 թվականի նոյեմբերի 3-ի թիվ 78 որոշմամբ հաստատված՝ բժշկական կիրառման համար դեղամիջոցների գրանցման և փորձաքննության կանոնների (այսուհետ՝ Կանոններ) 12011 կետի «գ» </w:t>
      </w:r>
      <w:r w:rsidRPr="00060185">
        <w:rPr>
          <w:rFonts w:ascii="Sylfaen" w:eastAsia="Times New Roman" w:hAnsi="Sylfaen" w:cs="Times New Roman"/>
          <w:sz w:val="24"/>
          <w:szCs w:val="24"/>
          <w:lang w:val="en-US" w:eastAsia="en-US" w:bidi="ar-SA"/>
        </w:rPr>
        <w:lastRenderedPageBreak/>
        <w:t>ենթակետին համապատասխան՝ արագացված փորձաքննությունը կիրառվում է անդամ պետության լիազորված մարմնի դիմումի հիման վրա Դեղամիջոցների գծով փորձագիտական կոմիտեի կողմից սահմանվող դեղապատրաստուկների գրանցումն իրականացնելիս (բնակչության առողջության համար հատուկ նշանակություն ներկայացնող, որոնց նկատմամբ կլինիկապես ցուցադրված են էական թերապևտիկ առավելությունները՝ Եվրասիական տնտեսական միության անդամ պետություններում (այսուհետ՝ Միություն, անդամ պետություններ) բուժօգնության ցուցաբերման առկա մեթոդների հետ համեմատած)։</w:t>
      </w:r>
    </w:p>
    <w:p w14:paraId="5C33FEC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51C21041"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2. Կիրառման ոլորտը</w:t>
      </w:r>
    </w:p>
    <w:p w14:paraId="1CF66009"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32CF0B9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Սույն հավելվածը սահմանում է անդամ պետության լիազորված մարմնի կողմից՝ դեղապատրաստուկի գրանցումն իրականացնելիս արագացված փորձաքննության կիրառման հնարավորության նպատակով դրա հատուկ նշանակության մասին հայտատուի դիմումի (այսուհետ՝ դիմում) ուսումնասիրման կարգը։</w:t>
      </w:r>
    </w:p>
    <w:p w14:paraId="4BFD77C7"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55E8DCCA" w14:textId="77777777" w:rsidR="00D37FAA" w:rsidRPr="00060185" w:rsidRDefault="00D37FAA" w:rsidP="00D37FAA">
      <w:pPr>
        <w:widowControl/>
        <w:spacing w:after="0" w:line="240" w:lineRule="auto"/>
        <w:jc w:val="center"/>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3. Դեղապատրաստուկի հատուկ նշանակության մասին դիմումի ուսումնասիրման կարգը</w:t>
      </w:r>
    </w:p>
    <w:p w14:paraId="616B26D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Calibri"/>
          <w:sz w:val="24"/>
          <w:szCs w:val="24"/>
          <w:lang w:val="en-US" w:eastAsia="en-US" w:bidi="ar-SA"/>
        </w:rPr>
        <w:t> </w:t>
      </w:r>
    </w:p>
    <w:p w14:paraId="66BF0BA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1. Նախքան բնակչության առողջության համար հատուկ նշանակություն ներկայացնող այն դեղապատրաստուկի գրանցման հայտը ներկայացնելը, որի նկատմամբ կլինիկապես ցուցադրվել են թերապևտիկ առավելություններ՝ անդամ պետությունում բուժօգնության ցուցաբերման առկա մեթոդների հետ համեմատած, հայտատուն իրավունք ունի անդամ պետության լիազորված մարմին ուղարկելու արագացված փորձաքննության կիրառման մասին դիմում դրա գրանցումն իրականացնելիս նշված ընթացակարգի կիրառման հիմնավորման հավելվածով։ </w:t>
      </w:r>
    </w:p>
    <w:p w14:paraId="4A2F134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2. Դիմումի մեջ հայտատուն նշում է՝</w:t>
      </w:r>
    </w:p>
    <w:p w14:paraId="0B03968A"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ա) հայտատուի և դեղապատրաստուկ արտադրողի անվանումը, հասցեն, դեղապատրաստուկի արտադրման իրականացման վայրի հասցեն (մի քանի մասնակիցների առկայության դեպքում անհրաժեշտ է նշել յուրաքանչյուր մասնակցի՝ արտադրության յուրաքանչյուր փուլի համար).</w:t>
      </w:r>
    </w:p>
    <w:p w14:paraId="23B2D66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բ) դեղապատրաստուկի անվանումը (միջազգային չարտոնագրված կամ խմբավորված կամ քիմիական և առևտրային անվանումները).</w:t>
      </w:r>
    </w:p>
    <w:p w14:paraId="1ED7A541"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գ) դեղապատրաստուկի բաղադրության մեջ մտնող ակտիվ և օժանդակ նյութերի ցանկը՝ նշելով դրանցից յուրաքանչյուրի քանակությունը. </w:t>
      </w:r>
    </w:p>
    <w:p w14:paraId="51EB69C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դ) դեղապատրաստուկի դեղաձևը, դեղաչափը, ներմուծման և կիրառման եղանակները, պիտանիության ժամկետը (պահպանման ժամկետը).</w:t>
      </w:r>
    </w:p>
    <w:p w14:paraId="4F46F0B5"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ե) Առողջապահության միջազգային կազմակերպության կողմից առաջարկվող դեղաթերապևտիկ խումբը, անատոմաթերապևտիկ քիմիական դասակարգման ծածկագիրը.</w:t>
      </w:r>
    </w:p>
    <w:p w14:paraId="6F8D26A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զ) դեղապատրաստուկի կիրառման ցուցումները. </w:t>
      </w:r>
    </w:p>
    <w:p w14:paraId="151162F0"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lastRenderedPageBreak/>
        <w:t>է) երրորդ երկրների տարածքում տվյալ դեղապատրաստուկի գրանցման առկայության կամ բացակայության մասին տեղեկատվությունը։</w:t>
      </w:r>
    </w:p>
    <w:p w14:paraId="570D4B8E"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3. Հիմնավորման մեջ անհրաժեշտ է ներկայացնել տեղեկատվություն, որը հաստատում է, որ դեղապատրաստուկն առանձնակի կարևորություն է ներկայացնում բնակչության առողջության համար, որի նկատմամբ կլինիկապես ցուցադրվել են կարևոր թերապևտիկ առավելություններ՝ անդամ պետություններում բուժօգնության ցուցաբերման առկա մեթոդների հետ համեմատած, ինչպես նաև տեղեկություններ դեղապատրաստուկի անցկացված նախակլինիկական և կլինիկական հետազոտությունների ծավալի մասին։ </w:t>
      </w:r>
    </w:p>
    <w:p w14:paraId="34187388"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4. Անդամ պետության լիազորված մարմին՝ հիմնավորման հետ միասին դիմումը հասնելու օրվանից 30 աշխատանքային օրվա ընթացքում անդամ պետության լիազորված մարմինն անցկացնում է ներկայացված փաստաթղթերի գնահատում, ուղարկում դրանք Դեղամիջոցների գծով փորձագիտական կոմիտե՝ ուսումնասիրման համար, կամ չեղարկում է դիմումն այն դեպքում, երբ դիտարկվող դեղապատրաստուկն առանձնակի կարևորություն չի ներկայացնում բնակչության առողջության համար, և դրա նկատմամբ կլինիկապես չեն ցուցադրվել էական թերապևտիկ առավելություններ՝ անդամ պետությունում բուժօգնության ցուցաբերման առկա մեթոդների հետ համեմատած, և այդ մասին տեղեկացնում է հայտատուին։</w:t>
      </w:r>
    </w:p>
    <w:p w14:paraId="2915064B"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5. Դեղամիջոցների գծով փորձագիտական կոմիտեն ուսումնասիրում է անդամ պետության լիազորված մարմնի դիմումը և հայտատուի՝ բնակչության առողջության համար առանձնակի կարևորություն ներկայացնող այն դեղապատրաստուկի արագացված փորձաքննության հնարավորության մասին ստացված փաստաթղթերը, որի մասով կլինիկապես ցուցադրվել են էական թերապևտիկ առավելություններ՝ անդամ պետություններում բուժօգնության ցուցաբերման առկա մեթոդների հետ համեմատած։ </w:t>
      </w:r>
    </w:p>
    <w:p w14:paraId="269F3594" w14:textId="77777777" w:rsidR="00D37FAA" w:rsidRPr="00060185" w:rsidRDefault="00D37FAA" w:rsidP="00D37FAA">
      <w:pPr>
        <w:widowControl/>
        <w:spacing w:after="0" w:line="240" w:lineRule="auto"/>
        <w:ind w:firstLine="375"/>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 xml:space="preserve">6. Անդամ պետության լիազորված մարմնի դիմումի ուսումնասիրման արդյունքների հիման վրա Դեղամիջոցների գծով փորձագիտական կոմիտեն ուղարկում է վերջինիս դիտարկվող դեղապատրաստուկի մասով արագացված փորձաքննության կիրառման հնարավորության կամ անհնարինության մասին առաջարկություններ։ </w:t>
      </w:r>
    </w:p>
    <w:p w14:paraId="44D7296F" w14:textId="77777777" w:rsidR="00D37FAA" w:rsidRPr="00060185" w:rsidRDefault="00D37FAA" w:rsidP="00D37FAA">
      <w:pPr>
        <w:tabs>
          <w:tab w:val="left" w:pos="1134"/>
        </w:tabs>
        <w:spacing w:after="160" w:line="360" w:lineRule="auto"/>
        <w:ind w:right="-8" w:firstLine="567"/>
        <w:jc w:val="both"/>
        <w:rPr>
          <w:rFonts w:ascii="Sylfaen" w:eastAsia="Times New Roman" w:hAnsi="Sylfaen" w:cs="Times New Roman"/>
          <w:sz w:val="24"/>
          <w:szCs w:val="24"/>
          <w:lang w:val="en-US" w:eastAsia="en-US" w:bidi="ar-SA"/>
        </w:rPr>
      </w:pPr>
      <w:r w:rsidRPr="00060185">
        <w:rPr>
          <w:rFonts w:ascii="Sylfaen" w:eastAsia="Times New Roman" w:hAnsi="Sylfaen" w:cs="Times New Roman"/>
          <w:sz w:val="24"/>
          <w:szCs w:val="24"/>
          <w:lang w:val="en-US" w:eastAsia="en-US" w:bidi="ar-SA"/>
        </w:rPr>
        <w:t>7. Դեղամիջոցների գծով փորձագիտական կոմիտեի առաջարկություններն ստանալու օրվանից 10 աշխատանքային օրվա ընթացքում անդամ պետության լիազորված մարմինը տեղեկացնում է հայտատուին դիտարկվող դեղապատրաստուկի գրանցումն իրականացնելիս արագացված փորձաքննության անցկացման հնարավորության կամ անհնարինության մասին:</w:t>
      </w:r>
    </w:p>
    <w:p w14:paraId="0D5D69C9" w14:textId="77777777" w:rsidR="00D37FAA" w:rsidRPr="00060185" w:rsidRDefault="00D37FAA" w:rsidP="00D37FAA">
      <w:pPr>
        <w:tabs>
          <w:tab w:val="left" w:pos="1134"/>
        </w:tabs>
        <w:spacing w:after="160" w:line="360" w:lineRule="auto"/>
        <w:ind w:right="-8" w:firstLine="567"/>
        <w:jc w:val="both"/>
        <w:rPr>
          <w:rFonts w:ascii="Sylfaen" w:hAnsi="Sylfaen"/>
          <w:b/>
          <w:bCs/>
          <w:i/>
          <w:iCs/>
          <w:sz w:val="24"/>
          <w:szCs w:val="24"/>
        </w:rPr>
      </w:pPr>
      <w:r w:rsidRPr="00060185">
        <w:rPr>
          <w:rFonts w:ascii="Sylfaen" w:hAnsi="Sylfaen"/>
          <w:b/>
          <w:bCs/>
          <w:i/>
          <w:iCs/>
          <w:sz w:val="24"/>
          <w:szCs w:val="24"/>
        </w:rPr>
        <w:t>(հավելվածը լրաց. ԵՏՀԽ 17.03.22  թիվ 36)</w:t>
      </w:r>
    </w:p>
    <w:p w14:paraId="5F0B37D4" w14:textId="77777777" w:rsidR="00BD67EC" w:rsidRPr="00826F05" w:rsidRDefault="00BD67EC" w:rsidP="004F5982">
      <w:pPr>
        <w:spacing w:after="160" w:line="360" w:lineRule="auto"/>
        <w:ind w:left="567" w:right="332"/>
        <w:jc w:val="center"/>
        <w:rPr>
          <w:rFonts w:ascii="Sylfaen" w:hAnsi="Sylfaen"/>
          <w:sz w:val="24"/>
          <w:szCs w:val="24"/>
        </w:rPr>
      </w:pPr>
    </w:p>
    <w:sectPr w:rsidR="00BD67EC" w:rsidRPr="00826F05" w:rsidSect="00C31D56">
      <w:type w:val="continuous"/>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2F437" w14:textId="77777777" w:rsidR="00905488" w:rsidRDefault="00905488" w:rsidP="006F76EB">
      <w:pPr>
        <w:spacing w:after="0" w:line="240" w:lineRule="auto"/>
      </w:pPr>
      <w:r>
        <w:separator/>
      </w:r>
    </w:p>
  </w:endnote>
  <w:endnote w:type="continuationSeparator" w:id="0">
    <w:p w14:paraId="2347964E" w14:textId="77777777" w:rsidR="00905488" w:rsidRDefault="00905488" w:rsidP="006F7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UPC">
    <w:charset w:val="DE"/>
    <w:family w:val="swiss"/>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w:panose1 w:val="020B0604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6560"/>
      <w:docPartObj>
        <w:docPartGallery w:val="Page Numbers (Bottom of Page)"/>
        <w:docPartUnique/>
      </w:docPartObj>
    </w:sdtPr>
    <w:sdtContent>
      <w:p w14:paraId="7A1D212A" w14:textId="77777777" w:rsidR="004A52D9" w:rsidRDefault="00E85669">
        <w:pPr>
          <w:pStyle w:val="Footer"/>
          <w:jc w:val="center"/>
        </w:pPr>
        <w:r>
          <w:fldChar w:fldCharType="begin"/>
        </w:r>
        <w:r>
          <w:instrText xml:space="preserve"> PAGE   \* MERGEFORMAT </w:instrText>
        </w:r>
        <w:r>
          <w:fldChar w:fldCharType="separate"/>
        </w:r>
        <w:r w:rsidR="00C54D75">
          <w:rPr>
            <w:noProof/>
          </w:rPr>
          <w:t>5</w:t>
        </w:r>
        <w:r>
          <w:rPr>
            <w:noProof/>
          </w:rPr>
          <w:fldChar w:fldCharType="end"/>
        </w:r>
      </w:p>
    </w:sdtContent>
  </w:sdt>
  <w:p w14:paraId="4A8E3A13" w14:textId="77777777" w:rsidR="004A52D9" w:rsidRPr="002A011C" w:rsidRDefault="004A52D9" w:rsidP="00F71229">
    <w:pPr>
      <w:pStyle w:val="Footer"/>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6563"/>
      <w:docPartObj>
        <w:docPartGallery w:val="Page Numbers (Bottom of Page)"/>
        <w:docPartUnique/>
      </w:docPartObj>
    </w:sdtPr>
    <w:sdtEndPr>
      <w:rPr>
        <w:rFonts w:ascii="Sylfaen" w:hAnsi="Sylfaen"/>
        <w:sz w:val="24"/>
        <w:szCs w:val="24"/>
      </w:rPr>
    </w:sdtEndPr>
    <w:sdtContent>
      <w:p w14:paraId="220FBA64" w14:textId="77777777" w:rsidR="004A52D9" w:rsidRPr="00BB6361" w:rsidRDefault="00F356C8">
        <w:pPr>
          <w:pStyle w:val="Footer"/>
          <w:jc w:val="center"/>
          <w:rPr>
            <w:rFonts w:ascii="Sylfaen" w:hAnsi="Sylfaen"/>
            <w:sz w:val="24"/>
            <w:szCs w:val="24"/>
          </w:rPr>
        </w:pPr>
        <w:r w:rsidRPr="00BB6361">
          <w:rPr>
            <w:rFonts w:ascii="Sylfaen" w:hAnsi="Sylfaen"/>
            <w:sz w:val="24"/>
            <w:szCs w:val="24"/>
          </w:rPr>
          <w:fldChar w:fldCharType="begin"/>
        </w:r>
        <w:r w:rsidR="004A52D9" w:rsidRPr="00BB6361">
          <w:rPr>
            <w:rFonts w:ascii="Sylfaen" w:hAnsi="Sylfaen"/>
            <w:sz w:val="24"/>
            <w:szCs w:val="24"/>
          </w:rPr>
          <w:instrText xml:space="preserve"> PAGE   \* MERGEFORMAT </w:instrText>
        </w:r>
        <w:r w:rsidRPr="00BB6361">
          <w:rPr>
            <w:rFonts w:ascii="Sylfaen" w:hAnsi="Sylfaen"/>
            <w:sz w:val="24"/>
            <w:szCs w:val="24"/>
          </w:rPr>
          <w:fldChar w:fldCharType="separate"/>
        </w:r>
        <w:r w:rsidR="00C54D75">
          <w:rPr>
            <w:rFonts w:ascii="Sylfaen" w:hAnsi="Sylfaen"/>
            <w:noProof/>
            <w:sz w:val="24"/>
            <w:szCs w:val="24"/>
          </w:rPr>
          <w:t>3</w:t>
        </w:r>
        <w:r w:rsidRPr="00BB6361">
          <w:rPr>
            <w:rFonts w:ascii="Sylfaen" w:hAnsi="Sylfae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6567"/>
      <w:docPartObj>
        <w:docPartGallery w:val="Page Numbers (Bottom of Page)"/>
        <w:docPartUnique/>
      </w:docPartObj>
    </w:sdtPr>
    <w:sdtEndPr>
      <w:rPr>
        <w:rFonts w:ascii="Sylfaen" w:hAnsi="Sylfaen"/>
        <w:sz w:val="24"/>
        <w:szCs w:val="24"/>
      </w:rPr>
    </w:sdtEndPr>
    <w:sdtContent>
      <w:p w14:paraId="34BC2105" w14:textId="77777777" w:rsidR="004A52D9" w:rsidRPr="00BB6361" w:rsidRDefault="00F356C8">
        <w:pPr>
          <w:pStyle w:val="Footer"/>
          <w:jc w:val="center"/>
          <w:rPr>
            <w:rFonts w:ascii="Sylfaen" w:hAnsi="Sylfaen"/>
            <w:sz w:val="24"/>
            <w:szCs w:val="24"/>
          </w:rPr>
        </w:pPr>
        <w:r w:rsidRPr="00BB6361">
          <w:rPr>
            <w:rFonts w:ascii="Sylfaen" w:hAnsi="Sylfaen"/>
            <w:sz w:val="24"/>
            <w:szCs w:val="24"/>
          </w:rPr>
          <w:fldChar w:fldCharType="begin"/>
        </w:r>
        <w:r w:rsidR="004A52D9" w:rsidRPr="00BB6361">
          <w:rPr>
            <w:rFonts w:ascii="Sylfaen" w:hAnsi="Sylfaen"/>
            <w:sz w:val="24"/>
            <w:szCs w:val="24"/>
          </w:rPr>
          <w:instrText xml:space="preserve"> PAGE   \* MERGEFORMAT </w:instrText>
        </w:r>
        <w:r w:rsidRPr="00BB6361">
          <w:rPr>
            <w:rFonts w:ascii="Sylfaen" w:hAnsi="Sylfaen"/>
            <w:sz w:val="24"/>
            <w:szCs w:val="24"/>
          </w:rPr>
          <w:fldChar w:fldCharType="separate"/>
        </w:r>
        <w:r w:rsidR="00C54D75">
          <w:rPr>
            <w:rFonts w:ascii="Sylfaen" w:hAnsi="Sylfaen"/>
            <w:noProof/>
            <w:sz w:val="24"/>
            <w:szCs w:val="24"/>
          </w:rPr>
          <w:t>27</w:t>
        </w:r>
        <w:r w:rsidRPr="00BB6361">
          <w:rPr>
            <w:rFonts w:ascii="Sylfaen" w:hAnsi="Sylfaen"/>
            <w:sz w:val="24"/>
            <w:szCs w:val="24"/>
          </w:rPr>
          <w:fldChar w:fldCharType="end"/>
        </w:r>
      </w:p>
    </w:sdtContent>
  </w:sdt>
  <w:p w14:paraId="304B9801" w14:textId="77777777" w:rsidR="004A52D9" w:rsidRPr="002A011C" w:rsidRDefault="004A52D9" w:rsidP="00F712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41B2F" w14:textId="77777777" w:rsidR="004A52D9" w:rsidRDefault="004A52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77991"/>
      <w:docPartObj>
        <w:docPartGallery w:val="Page Numbers (Bottom of Page)"/>
        <w:docPartUnique/>
      </w:docPartObj>
    </w:sdtPr>
    <w:sdtEndPr>
      <w:rPr>
        <w:rFonts w:ascii="Sylfaen" w:hAnsi="Sylfaen"/>
      </w:rPr>
    </w:sdtEndPr>
    <w:sdtContent>
      <w:p w14:paraId="2F2B502A" w14:textId="77777777" w:rsidR="004A52D9" w:rsidRPr="00450D30" w:rsidRDefault="00F356C8">
        <w:pPr>
          <w:pStyle w:val="Footer"/>
          <w:jc w:val="center"/>
          <w:rPr>
            <w:rFonts w:ascii="Sylfaen" w:hAnsi="Sylfaen"/>
          </w:rPr>
        </w:pPr>
        <w:r w:rsidRPr="00450D30">
          <w:rPr>
            <w:rFonts w:ascii="Sylfaen" w:hAnsi="Sylfaen"/>
          </w:rPr>
          <w:fldChar w:fldCharType="begin"/>
        </w:r>
        <w:r w:rsidR="004A52D9" w:rsidRPr="00450D30">
          <w:rPr>
            <w:rFonts w:ascii="Sylfaen" w:hAnsi="Sylfaen"/>
          </w:rPr>
          <w:instrText xml:space="preserve"> PAGE   \* MERGEFORMAT </w:instrText>
        </w:r>
        <w:r w:rsidRPr="00450D30">
          <w:rPr>
            <w:rFonts w:ascii="Sylfaen" w:hAnsi="Sylfaen"/>
          </w:rPr>
          <w:fldChar w:fldCharType="separate"/>
        </w:r>
        <w:r w:rsidR="00C54D75">
          <w:rPr>
            <w:rFonts w:ascii="Sylfaen" w:hAnsi="Sylfaen"/>
            <w:noProof/>
          </w:rPr>
          <w:t>35</w:t>
        </w:r>
        <w:r w:rsidRPr="00450D30">
          <w:rPr>
            <w:rFonts w:ascii="Sylfaen" w:hAnsi="Sylfae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0ECC6" w14:textId="77777777" w:rsidR="004A52D9" w:rsidRPr="001D01F7" w:rsidRDefault="004A52D9" w:rsidP="008C76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77993"/>
      <w:docPartObj>
        <w:docPartGallery w:val="Page Numbers (Bottom of Page)"/>
        <w:docPartUnique/>
      </w:docPartObj>
    </w:sdtPr>
    <w:sdtEndPr>
      <w:rPr>
        <w:rFonts w:ascii="Sylfaen" w:hAnsi="Sylfaen"/>
        <w:sz w:val="24"/>
        <w:szCs w:val="24"/>
      </w:rPr>
    </w:sdtEndPr>
    <w:sdtContent>
      <w:p w14:paraId="6643CFD5" w14:textId="77777777" w:rsidR="009211E1" w:rsidRPr="009211E1" w:rsidRDefault="00F356C8">
        <w:pPr>
          <w:pStyle w:val="Footer"/>
          <w:jc w:val="center"/>
          <w:rPr>
            <w:rFonts w:ascii="Sylfaen" w:hAnsi="Sylfaen"/>
            <w:sz w:val="24"/>
            <w:szCs w:val="24"/>
          </w:rPr>
        </w:pPr>
        <w:r w:rsidRPr="009211E1">
          <w:rPr>
            <w:rFonts w:ascii="Sylfaen" w:hAnsi="Sylfaen"/>
            <w:sz w:val="24"/>
            <w:szCs w:val="24"/>
          </w:rPr>
          <w:fldChar w:fldCharType="begin"/>
        </w:r>
        <w:r w:rsidR="009211E1" w:rsidRPr="009211E1">
          <w:rPr>
            <w:rFonts w:ascii="Sylfaen" w:hAnsi="Sylfaen"/>
            <w:sz w:val="24"/>
            <w:szCs w:val="24"/>
          </w:rPr>
          <w:instrText xml:space="preserve"> PAGE   \* MERGEFORMAT </w:instrText>
        </w:r>
        <w:r w:rsidRPr="009211E1">
          <w:rPr>
            <w:rFonts w:ascii="Sylfaen" w:hAnsi="Sylfaen"/>
            <w:sz w:val="24"/>
            <w:szCs w:val="24"/>
          </w:rPr>
          <w:fldChar w:fldCharType="separate"/>
        </w:r>
        <w:r w:rsidR="00E74ADC">
          <w:rPr>
            <w:rFonts w:ascii="Sylfaen" w:hAnsi="Sylfaen"/>
            <w:noProof/>
            <w:sz w:val="24"/>
            <w:szCs w:val="24"/>
          </w:rPr>
          <w:t>30</w:t>
        </w:r>
        <w:r w:rsidRPr="009211E1">
          <w:rPr>
            <w:rFonts w:ascii="Sylfaen" w:hAnsi="Sylfaen"/>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D8A22" w14:textId="77777777" w:rsidR="004A52D9" w:rsidRPr="001D01F7" w:rsidRDefault="004A52D9" w:rsidP="008C7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DE19A" w14:textId="77777777" w:rsidR="00905488" w:rsidRDefault="00905488" w:rsidP="006F76EB">
      <w:pPr>
        <w:spacing w:after="0" w:line="240" w:lineRule="auto"/>
      </w:pPr>
      <w:r>
        <w:separator/>
      </w:r>
    </w:p>
  </w:footnote>
  <w:footnote w:type="continuationSeparator" w:id="0">
    <w:p w14:paraId="1F17CA7D" w14:textId="77777777" w:rsidR="00905488" w:rsidRDefault="00905488" w:rsidP="006F76EB">
      <w:pPr>
        <w:spacing w:after="0" w:line="240" w:lineRule="auto"/>
      </w:pPr>
      <w:r>
        <w:continuationSeparator/>
      </w:r>
    </w:p>
  </w:footnote>
  <w:footnote w:id="1">
    <w:p w14:paraId="47E1996F" w14:textId="77777777" w:rsidR="004A52D9" w:rsidRPr="00231614" w:rsidRDefault="004A52D9" w:rsidP="006F76EB">
      <w:pPr>
        <w:spacing w:after="120" w:line="240" w:lineRule="auto"/>
        <w:ind w:right="-8"/>
        <w:jc w:val="both"/>
        <w:rPr>
          <w:rFonts w:ascii="Sylfaen" w:eastAsia="Times New Roman" w:hAnsi="Sylfaen" w:cs="Times New Roman"/>
          <w:sz w:val="20"/>
          <w:szCs w:val="20"/>
          <w:lang w:val="ru-RU"/>
        </w:rPr>
      </w:pPr>
      <w:r w:rsidRPr="00231614">
        <w:rPr>
          <w:rStyle w:val="FootnoteReference"/>
          <w:rFonts w:ascii="Sylfaen" w:hAnsi="Sylfaen"/>
          <w:sz w:val="20"/>
          <w:szCs w:val="20"/>
        </w:rPr>
        <w:sym w:font="Symbol" w:char="F02A"/>
      </w:r>
      <w:r w:rsidRPr="00231614">
        <w:rPr>
          <w:rFonts w:ascii="Sylfaen" w:hAnsi="Sylfaen"/>
          <w:sz w:val="20"/>
          <w:szCs w:val="20"/>
          <w:lang w:val="en-US"/>
        </w:rPr>
        <w:t xml:space="preserve"> </w:t>
      </w:r>
      <w:r w:rsidRPr="00231614">
        <w:rPr>
          <w:rFonts w:ascii="Sylfaen" w:hAnsi="Sylfaen"/>
          <w:sz w:val="20"/>
          <w:szCs w:val="20"/>
        </w:rPr>
        <w:t>ԱԴԲ-ի անվանումն անհրաժեշտ է նշել ըստ դրա  առաջարկվող ՄՉԱ-ի՝ անհրաժեշտության դեպքում նշելով դրա աղերը կամ հիդրատային ձևը</w:t>
      </w:r>
    </w:p>
  </w:footnote>
  <w:footnote w:id="2">
    <w:p w14:paraId="34C801CE" w14:textId="77777777" w:rsidR="004A52D9" w:rsidRPr="000C7350" w:rsidRDefault="004A52D9" w:rsidP="006F76EB">
      <w:pPr>
        <w:spacing w:after="120" w:line="240" w:lineRule="auto"/>
        <w:ind w:right="-8"/>
        <w:jc w:val="both"/>
        <w:rPr>
          <w:rFonts w:ascii="Sylfaen" w:eastAsia="Times New Roman" w:hAnsi="Sylfaen" w:cs="Times New Roman"/>
          <w:sz w:val="20"/>
          <w:szCs w:val="20"/>
        </w:rPr>
      </w:pPr>
      <w:r w:rsidRPr="00231614">
        <w:rPr>
          <w:rStyle w:val="FootnoteReference"/>
          <w:rFonts w:ascii="Sylfaen" w:hAnsi="Sylfaen"/>
          <w:sz w:val="20"/>
          <w:szCs w:val="20"/>
        </w:rPr>
        <w:sym w:font="Symbol" w:char="F02A"/>
      </w:r>
      <w:r w:rsidRPr="00231614">
        <w:rPr>
          <w:rFonts w:ascii="Sylfaen" w:hAnsi="Sylfaen"/>
          <w:sz w:val="20"/>
          <w:szCs w:val="20"/>
          <w:lang w:val="ru-RU"/>
        </w:rPr>
        <w:t xml:space="preserve"> </w:t>
      </w:r>
      <w:r w:rsidRPr="00231614">
        <w:rPr>
          <w:rFonts w:ascii="Sylfaen" w:hAnsi="Sylfaen"/>
          <w:sz w:val="20"/>
          <w:szCs w:val="20"/>
        </w:rPr>
        <w:t>Նշված դաշտերը լրացվում են արտադրական գործընթացի յուրաքանչյուր փուլի համար (կցե՛ք այն սխեման, որը ներառում է արտադրության գործընթացում ներգրավված տարբեր արտադրական հարթակների համար գործողությունները և դրանց հաջորդականությունը՝ ներառյալ բացթողման հսկողությունը)</w:t>
      </w:r>
    </w:p>
  </w:footnote>
  <w:footnote w:id="3">
    <w:p w14:paraId="77FA0470" w14:textId="77777777" w:rsidR="004A52D9" w:rsidRPr="003C49C2" w:rsidRDefault="004A52D9" w:rsidP="006F76EB">
      <w:pPr>
        <w:pStyle w:val="FootnoteText"/>
        <w:jc w:val="both"/>
        <w:rPr>
          <w:rFonts w:ascii="Sylfaen" w:hAnsi="Sylfaen"/>
        </w:rPr>
      </w:pPr>
      <w:r w:rsidRPr="00231614">
        <w:rPr>
          <w:rStyle w:val="FootnoteReference"/>
          <w:rFonts w:ascii="Sylfaen" w:eastAsia="Times New Roman" w:hAnsi="Sylfaen" w:cs="Times New Roman"/>
          <w:sz w:val="24"/>
          <w:szCs w:val="24"/>
        </w:rPr>
        <w:sym w:font="Symbol" w:char="F02A"/>
      </w:r>
      <w:r w:rsidRPr="003C49C2">
        <w:rPr>
          <w:rFonts w:ascii="Sylfaen" w:eastAsia="Times New Roman" w:hAnsi="Sylfaen" w:cs="Times New Roman"/>
          <w:sz w:val="24"/>
          <w:szCs w:val="24"/>
        </w:rPr>
        <w:t xml:space="preserve"> </w:t>
      </w:r>
      <w:r w:rsidRPr="00231614">
        <w:rPr>
          <w:rFonts w:ascii="Sylfaen" w:hAnsi="Sylfaen"/>
        </w:rPr>
        <w:t>ԱԴԲ-ի անվանումն անհրաժեշտ է նշել ըստ դրա՝ Առողջապահության համաշխարհային կազմակերպության կողմից առաջարկվող ՄՉԱ-ի՝ անհրաժեշտության դեպքում նշելով դրա աղերը և հիդրատային ձևը:</w:t>
      </w:r>
    </w:p>
  </w:footnote>
  <w:footnote w:id="4">
    <w:p w14:paraId="4D893D44" w14:textId="77777777" w:rsidR="004A52D9" w:rsidRPr="00B45FEC" w:rsidRDefault="004A52D9" w:rsidP="006F76EB">
      <w:pPr>
        <w:pStyle w:val="FootnoteText"/>
        <w:jc w:val="both"/>
        <w:rPr>
          <w:rFonts w:ascii="Sylfaen" w:hAnsi="Sylfaen"/>
        </w:rPr>
      </w:pPr>
      <w:r w:rsidRPr="00B45FEC">
        <w:rPr>
          <w:rStyle w:val="FootnoteReference"/>
          <w:rFonts w:ascii="Sylfaen" w:hAnsi="Sylfaen"/>
        </w:rPr>
        <w:footnoteRef/>
      </w:r>
      <w:r w:rsidRPr="00B45FEC">
        <w:rPr>
          <w:rFonts w:ascii="Sylfaen" w:hAnsi="Sylfaen"/>
        </w:rPr>
        <w:t xml:space="preserve"> ՕՆ` օժանդակ նյութ (ներառյալ ելանյութերը, որոնք օգտագործվում են ԱԴԲ-ի/օժանդակ նյութի արտադրության մեջ):</w:t>
      </w:r>
    </w:p>
  </w:footnote>
  <w:footnote w:id="5">
    <w:p w14:paraId="250027DB"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footnoteRef/>
      </w:r>
      <w:r w:rsidRPr="00B45FEC">
        <w:rPr>
          <w:rFonts w:ascii="Sylfaen" w:hAnsi="Sylfaen"/>
          <w:sz w:val="20"/>
          <w:szCs w:val="20"/>
        </w:rPr>
        <w:t xml:space="preserve"> Ռ՝ ռեագենտ/կուլտիվացման միջավայր (ներառյալ՝ բջիջների գլխավոր և աշխատանքային բանկի պատրաստման համար օգտագործվողները):</w:t>
      </w:r>
    </w:p>
  </w:footnote>
  <w:footnote w:id="6">
    <w:p w14:paraId="1205C159"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footnoteRef/>
      </w:r>
      <w:r w:rsidRPr="00B45FEC">
        <w:rPr>
          <w:rFonts w:ascii="Sylfaen" w:hAnsi="Sylfaen"/>
          <w:sz w:val="20"/>
          <w:szCs w:val="20"/>
        </w:rPr>
        <w:t xml:space="preserve"> ՏՍԷ՝ տրանսմիսիվ սպունգանման էնցեֆալոպաթիա</w:t>
      </w:r>
    </w:p>
  </w:footnote>
  <w:footnote w:id="7">
    <w:p w14:paraId="01D71D12"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t>1</w:t>
      </w:r>
      <w:r w:rsidRPr="00B45FEC">
        <w:rPr>
          <w:rFonts w:ascii="Sylfaen" w:hAnsi="Sylfaen"/>
          <w:sz w:val="20"/>
          <w:szCs w:val="20"/>
        </w:rPr>
        <w:t xml:space="preserve"> ՕՆ՝ օժանդակ նյութ (ներառյալ ելանյութերը, որոնք օգտագործվում են ԱԴԲ-ի/օժանդակ նյութի արտադրության մեջ):</w:t>
      </w:r>
    </w:p>
  </w:footnote>
  <w:footnote w:id="8">
    <w:p w14:paraId="3482F5AF" w14:textId="77777777" w:rsidR="004A52D9" w:rsidRPr="0088483B"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t>2</w:t>
      </w:r>
      <w:r w:rsidRPr="00B45FEC">
        <w:rPr>
          <w:rFonts w:ascii="Sylfaen" w:hAnsi="Sylfaen"/>
          <w:sz w:val="20"/>
          <w:szCs w:val="20"/>
        </w:rPr>
        <w:t xml:space="preserve"> Ռ՝ ռեագենտ/կուլտիվացման միջավայր (ներառյալ՝ բջիջների գլխավոր և աշխատանքային բանկի պատրաստման համար օգտագործվողները):</w:t>
      </w:r>
    </w:p>
  </w:footnote>
  <w:footnote w:id="9">
    <w:p w14:paraId="1F18129F" w14:textId="77777777" w:rsidR="004A52D9" w:rsidRPr="0088483B" w:rsidRDefault="004A52D9" w:rsidP="006F76EB">
      <w:pPr>
        <w:pStyle w:val="FootnoteText"/>
        <w:rPr>
          <w:rFonts w:ascii="Sylfaen" w:hAnsi="Sylfaen"/>
        </w:rPr>
      </w:pPr>
      <w:r w:rsidRPr="00231614">
        <w:rPr>
          <w:rStyle w:val="FootnoteReference"/>
          <w:rFonts w:ascii="Sylfaen" w:hAnsi="Sylfaen"/>
        </w:rPr>
        <w:sym w:font="Symbol" w:char="F02A"/>
      </w:r>
      <w:r w:rsidRPr="00231614">
        <w:rPr>
          <w:rFonts w:ascii="Sylfaen" w:hAnsi="Sylfaen"/>
        </w:rPr>
        <w:t>ԱԴԲ-ի անվանումն անհրաժեշտ է նշել ըստ իր՝ առաջարկվող ՄՉԱ-ի՝ անհրաժեշտության դեպքում նշելով դրա աղերը և հիդրատային ձևերը:</w:t>
      </w:r>
    </w:p>
  </w:footnote>
  <w:footnote w:id="10">
    <w:p w14:paraId="798F1249" w14:textId="77777777" w:rsidR="004A52D9" w:rsidRPr="0088483B" w:rsidRDefault="004A52D9" w:rsidP="006F76EB">
      <w:pPr>
        <w:pStyle w:val="FootnoteText"/>
        <w:jc w:val="both"/>
        <w:rPr>
          <w:rFonts w:ascii="Sylfaen" w:hAnsi="Sylfaen"/>
        </w:rPr>
      </w:pPr>
      <w:r w:rsidRPr="00231614">
        <w:rPr>
          <w:rStyle w:val="FootnoteReference"/>
          <w:rFonts w:ascii="Sylfaen" w:hAnsi="Sylfaen"/>
        </w:rPr>
        <w:sym w:font="Symbol" w:char="F02A"/>
      </w:r>
      <w:r w:rsidRPr="00231614">
        <w:rPr>
          <w:rFonts w:ascii="Sylfaen" w:hAnsi="Sylfaen"/>
        </w:rPr>
        <w:t xml:space="preserve">Նշված դաշտերը լրացվում են արտադրական գործընթացի յուրաքանչյուր </w:t>
      </w:r>
      <w:r w:rsidRPr="00B45FEC">
        <w:rPr>
          <w:rFonts w:ascii="Sylfaen" w:hAnsi="Sylfaen"/>
        </w:rPr>
        <w:t>ընթացաշրջանի համար (կցե՛ք այն սխեման, որը ներառում է արտադրական գործընթացում ներգրավված տարբեր արտադրական հարթակների համար հաջորդականությունը և գործողությունները՝ ներառյալ</w:t>
      </w:r>
      <w:r w:rsidRPr="00231614">
        <w:rPr>
          <w:rFonts w:ascii="Sylfaen" w:hAnsi="Sylfaen"/>
        </w:rPr>
        <w:t xml:space="preserve"> բացթողման համար անհրաժեշտ հսկողությունը):</w:t>
      </w:r>
    </w:p>
  </w:footnote>
  <w:footnote w:id="11">
    <w:p w14:paraId="00BD6107" w14:textId="77777777" w:rsidR="004A52D9" w:rsidRPr="00B33775" w:rsidRDefault="004A52D9" w:rsidP="006F76EB">
      <w:pPr>
        <w:spacing w:after="120" w:line="240" w:lineRule="auto"/>
        <w:ind w:right="-8"/>
        <w:jc w:val="both"/>
        <w:rPr>
          <w:rFonts w:ascii="Sylfaen" w:eastAsia="Times New Roman" w:hAnsi="Sylfaen" w:cs="Times New Roman"/>
          <w:sz w:val="20"/>
          <w:szCs w:val="20"/>
        </w:rPr>
      </w:pPr>
      <w:r w:rsidRPr="00B33775">
        <w:rPr>
          <w:rFonts w:ascii="Sylfaen" w:hAnsi="Sylfaen"/>
          <w:sz w:val="20"/>
          <w:szCs w:val="20"/>
        </w:rPr>
        <w:t>Ծանոթագրություն. * Յուրաքանչյուր ԱԴԲ-ի համար պետք է նշել միայն մեկ անվանում՝ հետևյալ հաջորդականությամբ՝ ՄՉԱ-ն, անվանումը՝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 հիմնական դեղագրքերի), համընդհանուր կամ խմբի անվանումը, գիտական (քիմիական) անունը:</w:t>
      </w:r>
    </w:p>
    <w:p w14:paraId="7C3FE93C" w14:textId="77777777" w:rsidR="004A52D9" w:rsidRPr="00B33775" w:rsidRDefault="004A52D9" w:rsidP="006F76EB">
      <w:pPr>
        <w:spacing w:after="120" w:line="240" w:lineRule="auto"/>
        <w:ind w:right="-8"/>
        <w:jc w:val="both"/>
        <w:rPr>
          <w:rFonts w:ascii="Sylfaen" w:eastAsia="Times New Roman" w:hAnsi="Sylfaen" w:cs="Times New Roman"/>
          <w:sz w:val="20"/>
          <w:szCs w:val="20"/>
        </w:rPr>
      </w:pPr>
      <w:r w:rsidRPr="00B33775">
        <w:rPr>
          <w:rFonts w:ascii="Sylfaen" w:hAnsi="Sylfaen"/>
          <w:sz w:val="20"/>
          <w:szCs w:val="20"/>
        </w:rPr>
        <w:t xml:space="preserve">** ԱԴԲ-ի անվանումն անհրաժեշտ է նշել </w:t>
      </w:r>
      <w:r w:rsidRPr="00D02258">
        <w:rPr>
          <w:rFonts w:ascii="Sylfaen" w:hAnsi="Sylfaen"/>
          <w:sz w:val="20"/>
          <w:szCs w:val="20"/>
        </w:rPr>
        <w:t>ըստ իր՝ Առողջապահության համաշխարհային կազմակերպության կողմից առաջարկվող ՄՉԱ-ի՝ անհրաժեշտության դեպքում նշելով դրա աղերը կամ հիդրատային ձևը:</w:t>
      </w:r>
    </w:p>
  </w:footnote>
  <w:footnote w:id="12">
    <w:p w14:paraId="3AE39CA2" w14:textId="77777777" w:rsidR="004A52D9" w:rsidRPr="002C3F55" w:rsidRDefault="004A52D9" w:rsidP="002C3F55">
      <w:pPr>
        <w:spacing w:after="120" w:line="240" w:lineRule="auto"/>
        <w:ind w:right="-8"/>
        <w:jc w:val="both"/>
        <w:rPr>
          <w:rFonts w:ascii="Sylfaen" w:hAnsi="Sylfaen"/>
          <w:sz w:val="20"/>
          <w:szCs w:val="20"/>
        </w:rPr>
      </w:pPr>
      <w:r>
        <w:rPr>
          <w:rStyle w:val="FootnoteReference"/>
        </w:rPr>
        <w:footnoteRef/>
      </w:r>
      <w:r>
        <w:t xml:space="preserve"> </w:t>
      </w:r>
      <w:r w:rsidRPr="002C3F55">
        <w:rPr>
          <w:rFonts w:ascii="Sylfaen" w:hAnsi="Sylfaen"/>
          <w:sz w:val="20"/>
          <w:szCs w:val="20"/>
        </w:rPr>
        <w:t>ՕՆ՝ օժանդակ նյութ (ներառյալ՝ ելանյութերը, որոնք օգտագործվում են ԱԴԲ-ի/օժանդակ նյութի արտադրության մեջ):</w:t>
      </w:r>
    </w:p>
  </w:footnote>
  <w:footnote w:id="13">
    <w:p w14:paraId="48FCBF34" w14:textId="77777777" w:rsidR="004A52D9" w:rsidRPr="002C3F55" w:rsidRDefault="004A52D9" w:rsidP="002C3F55">
      <w:pPr>
        <w:spacing w:after="120" w:line="240" w:lineRule="auto"/>
        <w:ind w:right="-8"/>
        <w:jc w:val="both"/>
        <w:rPr>
          <w:rFonts w:ascii="Sylfaen" w:hAnsi="Sylfaen"/>
          <w:sz w:val="20"/>
          <w:szCs w:val="20"/>
        </w:rPr>
      </w:pPr>
      <w:r w:rsidRPr="002C3F55">
        <w:rPr>
          <w:rStyle w:val="FootnoteReference"/>
          <w:rFonts w:ascii="Sylfaen" w:hAnsi="Sylfaen"/>
          <w:sz w:val="20"/>
          <w:szCs w:val="20"/>
        </w:rPr>
        <w:footnoteRef/>
      </w:r>
      <w:r w:rsidRPr="002C3F55">
        <w:rPr>
          <w:rFonts w:ascii="Sylfaen" w:hAnsi="Sylfaen"/>
          <w:sz w:val="20"/>
          <w:szCs w:val="20"/>
        </w:rPr>
        <w:t xml:space="preserve"> Ռ՝ ռեագենտ/կուլտիվացման միջավայր (ներառյալ՝ բջիջների գլխավոր և աշխատանքային բանկերի պատրաստման համար օգտագործվողները):</w:t>
      </w:r>
      <w:r w:rsidRPr="002C3F55">
        <w:rPr>
          <w:rStyle w:val="FootnoteReference"/>
          <w:rFonts w:ascii="Sylfaen" w:hAnsi="Sylfaen"/>
          <w:sz w:val="20"/>
          <w:szCs w:val="20"/>
        </w:rPr>
        <w:t xml:space="preserve"> </w:t>
      </w:r>
    </w:p>
  </w:footnote>
  <w:footnote w:id="14">
    <w:p w14:paraId="23400B41" w14:textId="77777777" w:rsidR="004A52D9" w:rsidRPr="002C3F55" w:rsidRDefault="004A52D9" w:rsidP="002C3F55">
      <w:pPr>
        <w:spacing w:after="120" w:line="240" w:lineRule="auto"/>
        <w:ind w:right="-8"/>
        <w:jc w:val="both"/>
        <w:rPr>
          <w:rFonts w:ascii="Sylfaen" w:hAnsi="Sylfaen"/>
          <w:sz w:val="20"/>
          <w:szCs w:val="20"/>
        </w:rPr>
      </w:pPr>
      <w:r w:rsidRPr="002C3F55">
        <w:rPr>
          <w:rStyle w:val="FootnoteReference"/>
          <w:rFonts w:ascii="Sylfaen" w:hAnsi="Sylfaen"/>
          <w:sz w:val="20"/>
          <w:szCs w:val="20"/>
        </w:rPr>
        <w:footnoteRef/>
      </w:r>
      <w:r w:rsidRPr="002C3F55">
        <w:rPr>
          <w:rFonts w:ascii="Sylfaen" w:hAnsi="Sylfaen"/>
          <w:sz w:val="20"/>
          <w:szCs w:val="20"/>
        </w:rPr>
        <w:t xml:space="preserve"> ՏՍԷ՝ Տրանսմիսիվ սպունգանման էնցեֆալոպաթիա</w:t>
      </w:r>
    </w:p>
  </w:footnote>
  <w:footnote w:id="15">
    <w:p w14:paraId="6AFC7C86"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ՕՆ՝ օժանդակ նյութ (ներառյալ՝ ելանյութերը, որոնք օգտագործվում են ԱԴԲ-ի/օժանդակ նյութի արտադրության մեջ):</w:t>
      </w:r>
    </w:p>
  </w:footnote>
  <w:footnote w:id="16">
    <w:p w14:paraId="73421E8E"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Ռ՝ ռեագենտ/կուլտիվացման միջավայր (ներառյալ՝ բջիջների գլխավոր և աշխատանքային բանկերի պատրաստման համար օգտագործվողները):</w:t>
      </w:r>
    </w:p>
  </w:footnote>
  <w:footnote w:id="17">
    <w:p w14:paraId="4A9B33C8" w14:textId="77777777" w:rsidR="004A52D9" w:rsidRPr="00496FB9" w:rsidRDefault="004A52D9" w:rsidP="006F76EB">
      <w:pPr>
        <w:spacing w:after="120" w:line="240" w:lineRule="auto"/>
        <w:ind w:right="-8"/>
        <w:rPr>
          <w:rFonts w:ascii="Sylfaen" w:eastAsia="Times New Roman" w:hAnsi="Sylfaen" w:cs="Times New Roman"/>
          <w:sz w:val="18"/>
          <w:szCs w:val="24"/>
        </w:rPr>
      </w:pPr>
      <w:r w:rsidRPr="00496FB9">
        <w:rPr>
          <w:rStyle w:val="FootnoteReference"/>
          <w:rFonts w:ascii="Sylfaen" w:hAnsi="Sylfaen"/>
        </w:rPr>
        <w:sym w:font="Symbol" w:char="F02A"/>
      </w:r>
      <w:r w:rsidRPr="00496FB9">
        <w:rPr>
          <w:rFonts w:ascii="Sylfaen" w:hAnsi="Sylfaen"/>
        </w:rPr>
        <w:t>ԱԴԲ անվանումն անհրաժեշտ է նշել ըստ իր` առաջարկվող ՄՉԱ-ի՝ անհրաժեշտության դեպքում նշելով դրա աղերը և հիդրատային ձևերը</w:t>
      </w:r>
    </w:p>
  </w:footnote>
  <w:footnote w:id="18">
    <w:p w14:paraId="3F1E65C9" w14:textId="77777777" w:rsidR="004A52D9" w:rsidRPr="00496FB9" w:rsidRDefault="004A52D9" w:rsidP="00E87E9C">
      <w:pPr>
        <w:pStyle w:val="FootnoteText"/>
        <w:jc w:val="both"/>
        <w:rPr>
          <w:rFonts w:ascii="Sylfaen" w:hAnsi="Sylfaen"/>
        </w:rPr>
      </w:pPr>
      <w:r w:rsidRPr="00496FB9">
        <w:rPr>
          <w:rStyle w:val="FootnoteReference"/>
          <w:rFonts w:ascii="Sylfaen" w:hAnsi="Sylfaen"/>
        </w:rPr>
        <w:sym w:font="Symbol" w:char="F02A"/>
      </w:r>
      <w:r w:rsidRPr="00496FB9">
        <w:rPr>
          <w:rFonts w:ascii="Sylfaen" w:hAnsi="Sylfaen"/>
        </w:rPr>
        <w:t>Նշված դաշտերը լրացվում են արտադրական գործընթացի յուրաքանչյուր ընթացաշրջանի համար (կցե՛ք այն սխեման, որը ներառում է արտադրական գործընթացում ներգրավված տարբեր արտադրական հարթակների համար հաջորդականությունը և գործողությունները՝ ներառյալ բացթողման համար անհրաժեշտ հսկողությունը)</w:t>
      </w:r>
    </w:p>
  </w:footnote>
  <w:footnote w:id="19">
    <w:p w14:paraId="0C33999A" w14:textId="77777777" w:rsidR="004A52D9" w:rsidRPr="00496FB9" w:rsidRDefault="004A52D9" w:rsidP="006F76EB">
      <w:pPr>
        <w:spacing w:after="120" w:line="240" w:lineRule="auto"/>
        <w:ind w:right="-8"/>
        <w:jc w:val="both"/>
        <w:rPr>
          <w:rFonts w:ascii="Sylfaen" w:eastAsia="Times New Roman" w:hAnsi="Sylfaen" w:cs="Times New Roman"/>
        </w:rPr>
      </w:pPr>
      <w:r w:rsidRPr="00496FB9">
        <w:rPr>
          <w:rStyle w:val="FootnoteReference"/>
          <w:rFonts w:ascii="Sylfaen" w:hAnsi="Sylfaen"/>
        </w:rPr>
        <w:sym w:font="Symbol" w:char="F02A"/>
      </w:r>
      <w:r w:rsidRPr="00496FB9">
        <w:rPr>
          <w:rFonts w:ascii="Sylfaen" w:hAnsi="Sylfaen"/>
        </w:rPr>
        <w:t>ԱԴԲ-ի անվանումն անհրաժեշտ է նշել ըստ դրա՝ Առողջապահության համաշխարհային կազմակերպության կողմից առաջարկվող ՄՉԱ-ի՝ անհրաժեշտության դեպքում նշելով դրա աղերը և հիդրատային ձևերը:</w:t>
      </w:r>
    </w:p>
  </w:footnote>
  <w:footnote w:id="20">
    <w:p w14:paraId="32986AA9"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p>
  </w:footnote>
  <w:footnote w:id="21">
    <w:p w14:paraId="1C409456"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 xml:space="preserve">ՕՆ </w:t>
      </w:r>
      <w:r w:rsidRPr="006D3168">
        <w:rPr>
          <w:rFonts w:ascii="Sylfaen" w:hAnsi="Sylfaen"/>
          <w:sz w:val="18"/>
        </w:rPr>
        <w:t>—</w:t>
      </w:r>
      <w:r w:rsidRPr="00496FB9">
        <w:rPr>
          <w:rFonts w:ascii="Sylfaen" w:hAnsi="Sylfaen"/>
          <w:sz w:val="18"/>
        </w:rPr>
        <w:t xml:space="preserve"> օժանդակ նյութ (ներառյալ՝ ելանյութերը, որոնք օգտագործվում են ԱԴԲ-ի (օժանդակ նյութի) արտադրության մեջ):</w:t>
      </w:r>
    </w:p>
  </w:footnote>
  <w:footnote w:id="22">
    <w:p w14:paraId="748770E5" w14:textId="77777777" w:rsidR="004A52D9" w:rsidRDefault="004A52D9" w:rsidP="00CC7B7C">
      <w:pPr>
        <w:spacing w:after="120" w:line="240" w:lineRule="auto"/>
        <w:ind w:right="-8"/>
        <w:jc w:val="both"/>
        <w:rPr>
          <w:rStyle w:val="FootnoteReference"/>
          <w:rFonts w:ascii="Sylfaen" w:hAnsi="Sylfaen"/>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 xml:space="preserve">Ռ </w:t>
      </w:r>
      <w:r w:rsidRPr="006D3168">
        <w:rPr>
          <w:rFonts w:ascii="Sylfaen" w:hAnsi="Sylfaen"/>
          <w:sz w:val="18"/>
        </w:rPr>
        <w:t>—</w:t>
      </w:r>
      <w:r w:rsidRPr="00496FB9">
        <w:rPr>
          <w:rFonts w:ascii="Sylfaen" w:hAnsi="Sylfaen"/>
          <w:sz w:val="18"/>
        </w:rPr>
        <w:t xml:space="preserve"> ռեագենտ/աճեցման միջավայր  (ներառյալ՝ բջիջների գլխավոր և աշխատանքային բանկերի պատրաստման համար օգտագործվող):</w:t>
      </w:r>
      <w:r w:rsidRPr="00CC7B7C">
        <w:rPr>
          <w:rStyle w:val="FootnoteReference"/>
          <w:rFonts w:ascii="Sylfaen" w:hAnsi="Sylfaen"/>
        </w:rPr>
        <w:t xml:space="preserve"> </w:t>
      </w:r>
    </w:p>
    <w:p w14:paraId="0B02F03D" w14:textId="77777777" w:rsidR="004A52D9" w:rsidRPr="00496FB9" w:rsidRDefault="004A52D9" w:rsidP="00CC7B7C">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3</w:t>
      </w:r>
      <w:r w:rsidRPr="00496FB9">
        <w:rPr>
          <w:rFonts w:ascii="Sylfaen" w:hAnsi="Sylfaen"/>
        </w:rPr>
        <w:t xml:space="preserve"> </w:t>
      </w:r>
      <w:r w:rsidRPr="00496FB9">
        <w:rPr>
          <w:rFonts w:ascii="Sylfaen" w:hAnsi="Sylfaen"/>
          <w:sz w:val="18"/>
        </w:rPr>
        <w:t xml:space="preserve">ՏՍԷ </w:t>
      </w:r>
      <w:r w:rsidRPr="006D3168">
        <w:rPr>
          <w:rFonts w:ascii="Sylfaen" w:hAnsi="Sylfaen"/>
          <w:sz w:val="18"/>
        </w:rPr>
        <w:t>—</w:t>
      </w:r>
      <w:r w:rsidRPr="00496FB9">
        <w:rPr>
          <w:rFonts w:ascii="Sylfaen" w:hAnsi="Sylfaen"/>
          <w:sz w:val="18"/>
        </w:rPr>
        <w:t xml:space="preserve"> տրանսմիսիվ սպունգանման էնցեֆալոպատիա:</w:t>
      </w:r>
    </w:p>
    <w:p w14:paraId="0AC70F22"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p>
  </w:footnote>
  <w:footnote w:id="23">
    <w:p w14:paraId="119C3CF5" w14:textId="77777777" w:rsidR="004A52D9" w:rsidRPr="00496FB9" w:rsidRDefault="004A52D9" w:rsidP="006F76EB">
      <w:pPr>
        <w:spacing w:after="120" w:line="240" w:lineRule="auto"/>
        <w:ind w:right="-8"/>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 xml:space="preserve">ՕՆ </w:t>
      </w:r>
      <w:r w:rsidRPr="00263846">
        <w:rPr>
          <w:rFonts w:ascii="Sylfaen" w:hAnsi="Sylfaen"/>
          <w:sz w:val="18"/>
        </w:rPr>
        <w:t>—</w:t>
      </w:r>
      <w:r w:rsidRPr="00496FB9">
        <w:rPr>
          <w:rFonts w:ascii="Sylfaen" w:hAnsi="Sylfaen"/>
          <w:sz w:val="18"/>
        </w:rPr>
        <w:t xml:space="preserve"> օժանդակ նյութ (ներառյալ՝ ելանյութերը, որոնք կիրառվում են ԱԴԲ-ի (օժանդակ նյութի) արտադրության մեջ):</w:t>
      </w:r>
    </w:p>
  </w:footnote>
  <w:footnote w:id="24">
    <w:p w14:paraId="31DB3FEC" w14:textId="77777777" w:rsidR="004A52D9" w:rsidRPr="00496FB9" w:rsidRDefault="004A52D9" w:rsidP="006F76EB">
      <w:pPr>
        <w:spacing w:after="120" w:line="240" w:lineRule="auto"/>
        <w:ind w:right="-8"/>
        <w:rPr>
          <w:rFonts w:ascii="Sylfaen" w:eastAsia="Times New Roman" w:hAnsi="Sylfaen" w:cs="Times New Roman"/>
          <w:sz w:val="18"/>
          <w:szCs w:val="18"/>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Ռ</w:t>
      </w:r>
      <w:r>
        <w:rPr>
          <w:rFonts w:ascii="Sylfaen" w:hAnsi="Sylfaen"/>
          <w:sz w:val="18"/>
        </w:rPr>
        <w:t xml:space="preserve"> </w:t>
      </w:r>
      <w:r w:rsidRPr="00263846">
        <w:rPr>
          <w:rFonts w:ascii="Sylfaen" w:hAnsi="Sylfaen"/>
          <w:sz w:val="18"/>
        </w:rPr>
        <w:t>—</w:t>
      </w:r>
      <w:r w:rsidRPr="00496FB9">
        <w:rPr>
          <w:rFonts w:ascii="Sylfaen" w:hAnsi="Sylfaen"/>
          <w:sz w:val="18"/>
        </w:rPr>
        <w:t xml:space="preserve"> ռեագենտ/աճեցման միջավայր  (ներառյալ՝ բջիջների գլխավոր և աշխատանքային բանկերի պատրաստման համար օգտագործվող):</w:t>
      </w:r>
    </w:p>
  </w:footnote>
  <w:footnote w:id="25">
    <w:p w14:paraId="43300E0F" w14:textId="3DE7C393" w:rsidR="004A52D9" w:rsidRPr="00496FB9" w:rsidRDefault="004A52D9" w:rsidP="006F76EB">
      <w:pPr>
        <w:spacing w:after="120" w:line="240" w:lineRule="auto"/>
        <w:ind w:right="-8"/>
        <w:jc w:val="both"/>
        <w:rPr>
          <w:rFonts w:ascii="Sylfaen" w:eastAsia="Times New Roman" w:hAnsi="Sylfaen" w:cs="Times New Roman"/>
        </w:rPr>
      </w:pPr>
      <w:r w:rsidRPr="00496FB9">
        <w:rPr>
          <w:rStyle w:val="FootnoteReference"/>
          <w:rFonts w:ascii="Sylfaen" w:hAnsi="Sylfaen"/>
        </w:rPr>
        <w:sym w:font="Symbol" w:char="F02A"/>
      </w:r>
      <w:r w:rsidRPr="006746F0">
        <w:rPr>
          <w:rFonts w:ascii="Sylfaen" w:hAnsi="Sylfaen"/>
          <w:sz w:val="20"/>
          <w:szCs w:val="20"/>
        </w:rPr>
        <w:t xml:space="preserve">Փաստաթղթերը ներկայացվում են, եթե Եվրասիական տնտեսական միության անդամ պետության օրենսդրությամբ բացակայում է </w:t>
      </w:r>
      <w:r w:rsidR="0056496B">
        <w:rPr>
          <w:rFonts w:ascii="Sylfaen" w:hAnsi="Sylfaen"/>
          <w:sz w:val="20"/>
          <w:szCs w:val="20"/>
        </w:rPr>
        <w:t>դիմումատու</w:t>
      </w:r>
      <w:r w:rsidRPr="006746F0">
        <w:rPr>
          <w:rFonts w:ascii="Sylfaen" w:hAnsi="Sylfaen"/>
          <w:sz w:val="20"/>
          <w:szCs w:val="20"/>
        </w:rPr>
        <w:t>ից այնպիսի փաստաթղթեր պահանջելու արգելքը, որոնք գտնվում են լիազորված մարմնի տնօրինության տակ կամ կարող են ձեռք բերվել նրա կողմից ինքնուրույնաբար:</w:t>
      </w:r>
    </w:p>
  </w:footnote>
  <w:footnote w:id="26">
    <w:p w14:paraId="259840AC" w14:textId="4F982425" w:rsidR="004A52D9" w:rsidRPr="00B33E97" w:rsidRDefault="004A52D9" w:rsidP="006F76EB">
      <w:pPr>
        <w:spacing w:after="120" w:line="240" w:lineRule="auto"/>
        <w:ind w:right="-6"/>
        <w:jc w:val="both"/>
        <w:rPr>
          <w:rFonts w:ascii="Sylfaen" w:eastAsia="Times New Roman" w:hAnsi="Sylfaen" w:cs="Times New Roman"/>
          <w:sz w:val="20"/>
          <w:szCs w:val="20"/>
        </w:rPr>
      </w:pPr>
      <w:r w:rsidRPr="00B33E97">
        <w:rPr>
          <w:rStyle w:val="FootnoteReference"/>
          <w:rFonts w:ascii="Sylfaen" w:hAnsi="Sylfaen"/>
          <w:sz w:val="20"/>
          <w:szCs w:val="20"/>
        </w:rPr>
        <w:sym w:font="Symbol" w:char="F02A"/>
      </w:r>
      <w:r w:rsidRPr="00B33E97">
        <w:rPr>
          <w:rStyle w:val="FootnoteReference"/>
          <w:rFonts w:ascii="Sylfaen" w:hAnsi="Sylfaen"/>
          <w:sz w:val="20"/>
          <w:szCs w:val="20"/>
        </w:rPr>
        <w:sym w:font="Symbol" w:char="F02A"/>
      </w:r>
      <w:r w:rsidRPr="00B33E97">
        <w:rPr>
          <w:rFonts w:ascii="Sylfaen" w:hAnsi="Sylfaen"/>
          <w:sz w:val="20"/>
          <w:szCs w:val="20"/>
        </w:rPr>
        <w:t xml:space="preserve"> 3.2.S բաժնում ներկայացման համար անհրաժեշտ տեղեկությունների նվազագույն ծավալը։ Եթե փաստաթղթերի առանձին տեսակներ չեն ընդգրկվում դոսյեում, ապա համապատասխան բաժնում անհրաժեշտ է ներկայացնել հիմնավորում։ Կենդանական ծագման պատրաստուկների համար 3.2.S բաժնում անհրաժեշտ է ներկայացնել հետ</w:t>
      </w:r>
      <w:r>
        <w:rPr>
          <w:rFonts w:ascii="Sylfaen" w:hAnsi="Sylfaen"/>
          <w:sz w:val="20"/>
          <w:szCs w:val="20"/>
        </w:rPr>
        <w:t>եւ</w:t>
      </w:r>
      <w:r w:rsidRPr="00B33E97">
        <w:rPr>
          <w:rFonts w:ascii="Sylfaen" w:hAnsi="Sylfaen"/>
          <w:sz w:val="20"/>
          <w:szCs w:val="20"/>
        </w:rPr>
        <w:t>յալ լրացուցիչ տեղեկությունները՝ այն կենդանիների տեսակի, տարիքի, օրաբաժնի վերաբերյալ տվյալներ, որոնցից ստացվել է հումքը, այն հյուսվածքի բնույթի (կատեգորիայի) վերաբերյալ տվյալները, որից ստացվել է դեղապատրասուկի արտադրության համար հումքը՝ պրիոնների պարունակությամբ պայմանավորված դրա վտանգավորության տեսանկյունից, հումքի մշակման տեխնոլոգիական սխեման,</w:t>
      </w:r>
      <w:r>
        <w:rPr>
          <w:rFonts w:ascii="Sylfaen" w:hAnsi="Sylfaen"/>
          <w:sz w:val="20"/>
          <w:szCs w:val="20"/>
        </w:rPr>
        <w:t xml:space="preserve"> </w:t>
      </w:r>
      <w:r w:rsidRPr="00B33E97">
        <w:rPr>
          <w:rFonts w:ascii="Sylfaen" w:hAnsi="Sylfaen"/>
          <w:sz w:val="20"/>
          <w:szCs w:val="20"/>
        </w:rPr>
        <w:t xml:space="preserve">լուծահանող նյութերի (էքստրագենտներ) </w:t>
      </w:r>
      <w:r>
        <w:rPr>
          <w:rFonts w:ascii="Sylfaen" w:hAnsi="Sylfaen"/>
          <w:sz w:val="20"/>
          <w:szCs w:val="20"/>
        </w:rPr>
        <w:t>եւ</w:t>
      </w:r>
      <w:r w:rsidRPr="00B33E97">
        <w:rPr>
          <w:rFonts w:ascii="Sylfaen" w:hAnsi="Sylfaen"/>
          <w:sz w:val="20"/>
          <w:szCs w:val="20"/>
        </w:rPr>
        <w:t xml:space="preserve"> տեխնոլոգիական պարամետրերի նշումով, հումքի որակի հսկողության մեթոդները, ներառյալ՝ դեղապատրաստուկում պրիոնների </w:t>
      </w:r>
      <w:r w:rsidR="00FB4A19">
        <w:rPr>
          <w:rFonts w:ascii="Sylfaen" w:hAnsi="Sylfaen"/>
          <w:sz w:val="20"/>
          <w:szCs w:val="20"/>
        </w:rPr>
        <w:t>հայտնաբերման</w:t>
      </w:r>
      <w:r w:rsidRPr="00B33E97">
        <w:rPr>
          <w:rFonts w:ascii="Sylfaen" w:hAnsi="Sylfaen"/>
          <w:sz w:val="20"/>
          <w:szCs w:val="20"/>
        </w:rPr>
        <w:t xml:space="preserve"> մեթոդները (անհրաժեշտության դեպքում)։</w:t>
      </w:r>
    </w:p>
  </w:footnote>
  <w:footnote w:id="27">
    <w:p w14:paraId="5CF5DD8D" w14:textId="67036DAD" w:rsidR="004A52D9" w:rsidRPr="006528A7" w:rsidRDefault="004A52D9" w:rsidP="006F76EB">
      <w:pPr>
        <w:spacing w:after="120" w:line="240" w:lineRule="auto"/>
        <w:ind w:right="-8"/>
        <w:jc w:val="both"/>
        <w:rPr>
          <w:rFonts w:ascii="Sylfaen" w:eastAsia="Times New Roman" w:hAnsi="Sylfaen" w:cs="Times New Roman"/>
          <w:sz w:val="20"/>
          <w:szCs w:val="20"/>
        </w:rPr>
      </w:pPr>
      <w:r w:rsidRPr="00CC46E8">
        <w:rPr>
          <w:rStyle w:val="FootnoteReference"/>
        </w:rPr>
        <w:t>***</w:t>
      </w:r>
      <w:r w:rsidRPr="00CC46E8">
        <w:t xml:space="preserve"> </w:t>
      </w:r>
      <w:r w:rsidRPr="006528A7">
        <w:rPr>
          <w:rFonts w:ascii="Sylfaen" w:hAnsi="Sylfaen"/>
          <w:sz w:val="20"/>
          <w:szCs w:val="20"/>
        </w:rPr>
        <w:t>Նախքան Եվրասիական տնտեսական հանձնաժողովի</w:t>
      </w:r>
      <w:r>
        <w:rPr>
          <w:rFonts w:ascii="Sylfaen" w:hAnsi="Sylfaen"/>
          <w:sz w:val="20"/>
          <w:szCs w:val="20"/>
        </w:rPr>
        <w:t xml:space="preserve"> </w:t>
      </w:r>
      <w:r w:rsidRPr="006528A7">
        <w:rPr>
          <w:rFonts w:ascii="Sylfaen" w:hAnsi="Sylfaen"/>
          <w:sz w:val="20"/>
          <w:szCs w:val="20"/>
        </w:rPr>
        <w:t xml:space="preserve">հանձնարարականներն ընդունելը դեղապատրաստուկի որակի հսկողության </w:t>
      </w:r>
      <w:r>
        <w:rPr>
          <w:rFonts w:ascii="Sylfaen" w:hAnsi="Sylfaen"/>
          <w:sz w:val="20"/>
          <w:szCs w:val="20"/>
        </w:rPr>
        <w:t>եւ</w:t>
      </w:r>
      <w:r w:rsidRPr="006528A7">
        <w:rPr>
          <w:rFonts w:ascii="Sylfaen" w:hAnsi="Sylfaen"/>
          <w:sz w:val="20"/>
          <w:szCs w:val="20"/>
        </w:rPr>
        <w:t xml:space="preserve"> անվտանգության վերաբերյալ նորմատիվ փաստաթղթի նախագիծը նախապատրաստվում է այն գրանցման պետության ուղեցույցներին համապատասխան, որին ներկայացվում է դեղապատրաստուկի գրանցման </w:t>
      </w:r>
      <w:r w:rsidR="0056496B">
        <w:rPr>
          <w:rFonts w:ascii="Sylfaen" w:hAnsi="Sylfaen"/>
          <w:sz w:val="20"/>
          <w:szCs w:val="20"/>
        </w:rPr>
        <w:t>դիմում</w:t>
      </w:r>
      <w:r w:rsidRPr="006528A7">
        <w:rPr>
          <w:rFonts w:ascii="Sylfaen" w:hAnsi="Sylfaen"/>
          <w:sz w:val="20"/>
          <w:szCs w:val="20"/>
        </w:rPr>
        <w:t>ը:</w:t>
      </w:r>
    </w:p>
  </w:footnote>
  <w:footnote w:id="28">
    <w:p w14:paraId="5F41469C" w14:textId="5587662C" w:rsidR="004A52D9" w:rsidRPr="00297352" w:rsidRDefault="004A52D9" w:rsidP="00297352">
      <w:pPr>
        <w:jc w:val="both"/>
        <w:rPr>
          <w:rFonts w:ascii="Sylfaen" w:hAnsi="Sylfaen"/>
          <w:sz w:val="20"/>
          <w:szCs w:val="20"/>
        </w:rPr>
      </w:pPr>
      <w:r>
        <w:rPr>
          <w:rStyle w:val="FootnoteReference"/>
        </w:rPr>
        <w:footnoteRef/>
      </w:r>
      <w:r>
        <w:t xml:space="preserve"> </w:t>
      </w:r>
      <w:r w:rsidRPr="0073600E">
        <w:rPr>
          <w:rFonts w:ascii="Sylfaen" w:hAnsi="Sylfaen"/>
          <w:sz w:val="20"/>
          <w:szCs w:val="20"/>
        </w:rPr>
        <w:t xml:space="preserve">Որակի ամփոփիչ ռեզյումեի </w:t>
      </w:r>
      <w:r w:rsidRPr="00297352">
        <w:rPr>
          <w:rFonts w:ascii="Sylfaen" w:hAnsi="Sylfaen"/>
          <w:sz w:val="20"/>
          <w:szCs w:val="20"/>
        </w:rPr>
        <w:t xml:space="preserve">մանրամասնեցման կամընտրականությունը նախատեսված է պատրաստուկների բարդության տարբեր աստիճաններին հարմարվելու նպատակով: </w:t>
      </w:r>
      <w:r w:rsidR="0056496B">
        <w:rPr>
          <w:rFonts w:ascii="Sylfaen" w:hAnsi="Sylfaen"/>
          <w:sz w:val="20"/>
          <w:szCs w:val="20"/>
        </w:rPr>
        <w:t>Դիմումատու</w:t>
      </w:r>
      <w:r w:rsidRPr="00297352">
        <w:rPr>
          <w:rFonts w:ascii="Sylfaen" w:hAnsi="Sylfaen"/>
          <w:sz w:val="20"/>
          <w:szCs w:val="20"/>
        </w:rPr>
        <w:t>ն իրավունք ունի ընտրելու որակի ամփոփ ռեզյումե կազմելու մակարդակը:</w:t>
      </w:r>
    </w:p>
  </w:footnote>
  <w:footnote w:id="29">
    <w:p w14:paraId="663EA716" w14:textId="77777777" w:rsidR="004A52D9" w:rsidRPr="00297352" w:rsidRDefault="004A52D9" w:rsidP="00297352">
      <w:pPr>
        <w:spacing w:after="0" w:line="240" w:lineRule="auto"/>
        <w:ind w:right="40"/>
        <w:jc w:val="both"/>
        <w:rPr>
          <w:rFonts w:ascii="Sylfaen" w:hAnsi="Sylfaen"/>
          <w:sz w:val="20"/>
          <w:szCs w:val="20"/>
        </w:rPr>
      </w:pPr>
      <w:r w:rsidRPr="00297352">
        <w:rPr>
          <w:rStyle w:val="FootnoteReference"/>
          <w:rFonts w:ascii="Sylfaen" w:hAnsi="Sylfaen"/>
          <w:sz w:val="20"/>
          <w:szCs w:val="20"/>
        </w:rPr>
        <w:footnoteRef/>
      </w:r>
      <w:r w:rsidRPr="00297352">
        <w:rPr>
          <w:rFonts w:ascii="Sylfaen" w:hAnsi="Sylfaen"/>
          <w:sz w:val="20"/>
          <w:szCs w:val="20"/>
        </w:rPr>
        <w:t xml:space="preserve"> Յուրաքանչյուր դեղագործական բաղադրամասի համար անհրաժեշտ է ներկայացնել առանձին փաստաթուղթ:</w:t>
      </w:r>
    </w:p>
  </w:footnote>
  <w:footnote w:id="30">
    <w:p w14:paraId="0C9CDDB9" w14:textId="77777777" w:rsidR="004A52D9" w:rsidRPr="0073600E" w:rsidRDefault="004A52D9" w:rsidP="00297352">
      <w:pPr>
        <w:spacing w:after="0" w:line="240" w:lineRule="auto"/>
        <w:ind w:right="40"/>
        <w:jc w:val="both"/>
        <w:rPr>
          <w:rFonts w:ascii="Sylfaen" w:hAnsi="Sylfaen"/>
          <w:sz w:val="20"/>
          <w:szCs w:val="20"/>
        </w:rPr>
      </w:pPr>
      <w:r w:rsidRPr="00297352">
        <w:rPr>
          <w:rStyle w:val="FootnoteReference"/>
          <w:rFonts w:ascii="Sylfaen" w:hAnsi="Sylfaen"/>
          <w:sz w:val="20"/>
          <w:szCs w:val="20"/>
        </w:rPr>
        <w:footnoteRef/>
      </w:r>
      <w:r w:rsidRPr="00297352">
        <w:rPr>
          <w:rFonts w:ascii="Sylfaen" w:hAnsi="Sylfaen"/>
          <w:sz w:val="20"/>
          <w:szCs w:val="20"/>
        </w:rPr>
        <w:t xml:space="preserve"> Եթե դեղապատրաստուկն առաքվում է վերականգնման համար լուծիչների հետ, լուծիչների մասին տեղեկություններն անհրաժեշտ է ներկայացնել «P»</w:t>
      </w:r>
      <w:r w:rsidRPr="0073600E">
        <w:rPr>
          <w:rFonts w:ascii="Sylfaen" w:hAnsi="Sylfaen"/>
          <w:sz w:val="20"/>
          <w:szCs w:val="20"/>
        </w:rPr>
        <w:t xml:space="preserve"> փաստաթղթի առանձին մասում:</w:t>
      </w:r>
    </w:p>
    <w:p w14:paraId="78F2B6CE" w14:textId="77777777" w:rsidR="004A52D9" w:rsidRPr="0081587C" w:rsidRDefault="004A52D9">
      <w:pPr>
        <w:pStyle w:val="FootnoteText"/>
      </w:pPr>
    </w:p>
  </w:footnote>
  <w:footnote w:id="31">
    <w:p w14:paraId="125BEA4F" w14:textId="77777777" w:rsidR="004A52D9" w:rsidRPr="0081587C" w:rsidRDefault="004A52D9" w:rsidP="00297352">
      <w:pPr>
        <w:pStyle w:val="FootnoteText"/>
        <w:ind w:right="40"/>
        <w:jc w:val="both"/>
      </w:pPr>
      <w:r>
        <w:rPr>
          <w:rStyle w:val="FootnoteReference"/>
        </w:rPr>
        <w:footnoteRef/>
      </w:r>
      <w:r>
        <w:t xml:space="preserve"> </w:t>
      </w:r>
      <w:r w:rsidRPr="0073600E">
        <w:rPr>
          <w:rFonts w:ascii="Sylfaen" w:hAnsi="Sylfaen"/>
        </w:rPr>
        <w:t>Կիրառման յուրաքանչյուր ցուցման մասով անհրաժեշտ է ներկայացնել առանձին փաստաթուղթ, սակայն թույլատրվում է միանման կիրառման ցուցումները ներկայացնել մեկ փաստաթղթում:</w:t>
      </w:r>
    </w:p>
  </w:footnote>
  <w:footnote w:id="32">
    <w:p w14:paraId="6B389AB5" w14:textId="0B2C9880" w:rsidR="004A52D9" w:rsidRPr="00814E26" w:rsidRDefault="004A52D9" w:rsidP="00297352">
      <w:pPr>
        <w:spacing w:after="0" w:line="240" w:lineRule="auto"/>
        <w:jc w:val="both"/>
      </w:pPr>
      <w:r>
        <w:rPr>
          <w:rStyle w:val="FootnoteReference"/>
        </w:rPr>
        <w:footnoteRef/>
      </w:r>
      <w:r w:rsidRPr="00814E26">
        <w:t xml:space="preserve"> </w:t>
      </w:r>
      <w:r w:rsidRPr="0073600E">
        <w:rPr>
          <w:rFonts w:ascii="Sylfaen" w:hAnsi="Sylfaen"/>
          <w:sz w:val="20"/>
          <w:szCs w:val="20"/>
        </w:rPr>
        <w:t xml:space="preserve">Տվյալ մոդուլում մանրամասնեցման աստիճանն ընտրելիս </w:t>
      </w:r>
      <w:r w:rsidR="0056496B">
        <w:rPr>
          <w:rFonts w:ascii="Sylfaen" w:hAnsi="Sylfaen"/>
          <w:sz w:val="20"/>
          <w:szCs w:val="20"/>
        </w:rPr>
        <w:t>դիմումատու</w:t>
      </w:r>
      <w:r w:rsidRPr="0073600E">
        <w:rPr>
          <w:rFonts w:ascii="Sylfaen" w:hAnsi="Sylfaen"/>
          <w:sz w:val="20"/>
          <w:szCs w:val="20"/>
        </w:rPr>
        <w:t xml:space="preserve">ն պետք է հաշվի առնի, որ համապատասխան տեղեկությունների փոփոխության դեպքում պատրաստուկի կենսական պարբերաշրջանի ցանկացած պահի պահանջվում է ԸՏՓ-ում եւ էԸՏՓ-ում փաստաթղթերի (ֆայլերի) ամբողջական փոխարինում: </w:t>
      </w:r>
    </w:p>
  </w:footnote>
  <w:footnote w:id="33">
    <w:p w14:paraId="759412ED" w14:textId="77777777" w:rsidR="004A52D9" w:rsidRPr="00814E26" w:rsidRDefault="004A52D9" w:rsidP="00297352">
      <w:pPr>
        <w:pStyle w:val="FootnoteText"/>
        <w:jc w:val="both"/>
      </w:pPr>
      <w:r>
        <w:rPr>
          <w:rStyle w:val="FootnoteReference"/>
        </w:rPr>
        <w:footnoteRef/>
      </w:r>
      <w:r>
        <w:t xml:space="preserve"> </w:t>
      </w:r>
      <w:r w:rsidRPr="0073600E">
        <w:rPr>
          <w:rFonts w:ascii="Sylfaen" w:hAnsi="Sylfaen"/>
        </w:rPr>
        <w:t>Եթե դեղապատրաստուկը պարունակում է մի քանի դեղագործական բաղադրամասեր, ապա «S»</w:t>
      </w:r>
      <w:r w:rsidRPr="00421BB4">
        <w:rPr>
          <w:rFonts w:ascii="Sylfaen" w:hAnsi="Sylfaen"/>
        </w:rPr>
        <w:t> </w:t>
      </w:r>
      <w:r w:rsidRPr="0073600E">
        <w:rPr>
          <w:rFonts w:ascii="Sylfaen" w:hAnsi="Sylfaen"/>
        </w:rPr>
        <w:t>բաժնի համար պահանջվող տեղեկությունները հարկ է ներկայացնել յուրաքանչյուր դեղագործական բաղադրամասի համար ամբողջական ծավալով:</w:t>
      </w:r>
    </w:p>
  </w:footnote>
  <w:footnote w:id="34">
    <w:p w14:paraId="4CA713FE" w14:textId="77777777" w:rsidR="004A52D9" w:rsidRPr="0073600E" w:rsidRDefault="004A52D9" w:rsidP="00297352">
      <w:pPr>
        <w:spacing w:after="0" w:line="240" w:lineRule="auto"/>
        <w:ind w:right="-1"/>
        <w:jc w:val="both"/>
        <w:rPr>
          <w:rFonts w:ascii="Sylfaen" w:hAnsi="Sylfaen"/>
          <w:sz w:val="20"/>
          <w:szCs w:val="20"/>
        </w:rPr>
      </w:pPr>
      <w:r>
        <w:rPr>
          <w:rStyle w:val="FootnoteReference"/>
        </w:rPr>
        <w:footnoteRef/>
      </w:r>
      <w:r>
        <w:t xml:space="preserve"> </w:t>
      </w:r>
      <w:r w:rsidRPr="0073600E">
        <w:rPr>
          <w:rFonts w:ascii="Sylfaen" w:hAnsi="Sylfaen"/>
          <w:sz w:val="20"/>
          <w:szCs w:val="20"/>
        </w:rPr>
        <w:t>Եթե դեղապատրաստուկն առաքվում է վերականգնման համար լուծիչի (լուծիչների) հետ միասին, լուծիչների մասին տեղեկություններն անհրաժեշտ է ներկայացնել առանձին «P» բաժնում՝ հանգամանքներին համապատասխան:</w:t>
      </w:r>
    </w:p>
    <w:p w14:paraId="40B6E7E4" w14:textId="77777777" w:rsidR="004A52D9" w:rsidRPr="00814E26" w:rsidRDefault="004A52D9">
      <w:pPr>
        <w:pStyle w:val="FootnoteText"/>
      </w:pPr>
    </w:p>
  </w:footnote>
  <w:footnote w:id="35">
    <w:p w14:paraId="43EAEFE4" w14:textId="77777777" w:rsidR="004A52D9" w:rsidRPr="00814E26" w:rsidRDefault="004A52D9" w:rsidP="00297352">
      <w:pPr>
        <w:pStyle w:val="FootnoteText"/>
        <w:jc w:val="both"/>
      </w:pPr>
      <w:r>
        <w:rPr>
          <w:rStyle w:val="FootnoteReference"/>
        </w:rPr>
        <w:footnoteRef/>
      </w:r>
      <w:r w:rsidRPr="00814E26">
        <w:rPr>
          <w:rFonts w:ascii="Sylfaen" w:hAnsi="Sylfaen"/>
        </w:rPr>
        <w:t xml:space="preserve"> </w:t>
      </w:r>
      <w:r w:rsidRPr="0073600E">
        <w:rPr>
          <w:rFonts w:ascii="Sylfaen" w:hAnsi="Sylfaen"/>
        </w:rPr>
        <w:t>Քիչ հավանական է, որ որակի ԸՏՓ-ի բաժնում ներառված վերնագրերի ստորին մակարդակն այս տեղում կներկայացվի առանձին փաստաթղթերով կամ ֆայլերով:</w:t>
      </w:r>
    </w:p>
  </w:footnote>
  <w:footnote w:id="36">
    <w:p w14:paraId="2701E468" w14:textId="77777777" w:rsidR="004A52D9" w:rsidRPr="0073600E" w:rsidRDefault="004A52D9" w:rsidP="002239BE">
      <w:pPr>
        <w:spacing w:after="0" w:line="240" w:lineRule="auto"/>
        <w:jc w:val="both"/>
        <w:rPr>
          <w:rFonts w:ascii="Sylfaen" w:hAnsi="Sylfaen"/>
          <w:sz w:val="20"/>
          <w:szCs w:val="20"/>
        </w:rPr>
      </w:pPr>
      <w:r>
        <w:rPr>
          <w:rStyle w:val="FootnoteReference"/>
        </w:rPr>
        <w:footnoteRef/>
      </w:r>
      <w:r>
        <w:t xml:space="preserve"> </w:t>
      </w:r>
      <w:r w:rsidRPr="0073600E">
        <w:rPr>
          <w:rFonts w:ascii="Sylfaen" w:hAnsi="Sylfaen"/>
          <w:sz w:val="20"/>
          <w:szCs w:val="20"/>
        </w:rPr>
        <w:t xml:space="preserve">Գրականության ցանկն անհրաժեշտ է ներառել բովանդակության մեջ: </w:t>
      </w:r>
    </w:p>
    <w:p w14:paraId="0EA436D0" w14:textId="77777777" w:rsidR="004A52D9" w:rsidRPr="00814E26" w:rsidRDefault="004A52D9">
      <w:pPr>
        <w:pStyle w:val="FootnoteText"/>
      </w:pPr>
    </w:p>
  </w:footnote>
  <w:footnote w:id="37">
    <w:p w14:paraId="4CD7728C" w14:textId="317BCB17" w:rsidR="004A52D9" w:rsidRPr="0073600E" w:rsidRDefault="004A52D9" w:rsidP="008C76E0">
      <w:pPr>
        <w:spacing w:after="0" w:line="240" w:lineRule="auto"/>
        <w:ind w:right="-1"/>
        <w:jc w:val="both"/>
        <w:rPr>
          <w:rFonts w:ascii="Sylfaen" w:hAnsi="Sylfaen"/>
          <w:sz w:val="20"/>
          <w:szCs w:val="20"/>
        </w:rPr>
      </w:pPr>
      <w:r w:rsidRPr="0073600E">
        <w:rPr>
          <w:rStyle w:val="FootnoteReference"/>
          <w:rFonts w:ascii="Sylfaen" w:hAnsi="Sylfaen"/>
          <w:sz w:val="20"/>
          <w:szCs w:val="20"/>
        </w:rPr>
        <w:footnoteRef/>
      </w:r>
      <w:r w:rsidRPr="0073600E">
        <w:rPr>
          <w:rFonts w:ascii="Sylfaen" w:hAnsi="Sylfaen"/>
          <w:sz w:val="20"/>
          <w:szCs w:val="20"/>
        </w:rPr>
        <w:t xml:space="preserve"> 4-րդ մոդուլում ներառված յուրաքանչյուր հաշվետվության համար, որպես կանոն, անհրաժեշտ է ներկայացնել մեկ փաստաթուղթ: Այնուհանդերձ, եթե հետազոտության վերաբերյալ հաշվետվությունը ծավալուն է (օրինակ՝ քաղցկեղածնության հետազոտությունը), </w:t>
      </w:r>
      <w:r w:rsidR="0056496B">
        <w:rPr>
          <w:rFonts w:ascii="Sylfaen" w:hAnsi="Sylfaen"/>
          <w:sz w:val="20"/>
          <w:szCs w:val="20"/>
        </w:rPr>
        <w:t>դիմումատու</w:t>
      </w:r>
      <w:r w:rsidRPr="0073600E">
        <w:rPr>
          <w:rFonts w:ascii="Sylfaen" w:hAnsi="Sylfaen"/>
          <w:sz w:val="20"/>
          <w:szCs w:val="20"/>
        </w:rPr>
        <w:t xml:space="preserve">ն իրավունք ունի հաշվետվությունը ներկայացնելու մի քանի փաստաթղթի տեսքով: Այդ դեպքում հաշվետվության նկարագրական մասը պետք է ներկայացվի մեկ փաստաթղթով, իսկ հավելվածը՝ մեկ կամ մի քանի փաստաթղթերով: Այդ հաշվետվությունների մանրամասնեցման աստիճանն ընտրելիս </w:t>
      </w:r>
      <w:r w:rsidR="0056496B">
        <w:rPr>
          <w:rFonts w:ascii="Sylfaen" w:hAnsi="Sylfaen"/>
          <w:sz w:val="20"/>
          <w:szCs w:val="20"/>
        </w:rPr>
        <w:t>դիմումատու</w:t>
      </w:r>
      <w:r w:rsidRPr="0073600E">
        <w:rPr>
          <w:rFonts w:ascii="Sylfaen" w:hAnsi="Sylfaen"/>
          <w:sz w:val="20"/>
          <w:szCs w:val="20"/>
        </w:rPr>
        <w:t>ն պետք է հաշվի առնի, որ դեղապատրաստուկի կենսական պարբերաշրջանի ցանկացած պահին համապատասխան տեղեկությունների փոփոխության դեպքում պահանջվում է փաստաթղթերի (ֆայլերի) ամբողջական փոխարինում:</w:t>
      </w:r>
    </w:p>
  </w:footnote>
  <w:footnote w:id="38">
    <w:p w14:paraId="00524C6A" w14:textId="77777777" w:rsidR="004A52D9" w:rsidRPr="0073600E" w:rsidRDefault="004A52D9" w:rsidP="008C76E0">
      <w:pPr>
        <w:pStyle w:val="FootnoteText"/>
        <w:jc w:val="both"/>
        <w:rPr>
          <w:rFonts w:ascii="Sylfaen" w:hAnsi="Sylfaen"/>
        </w:rPr>
      </w:pPr>
      <w:r w:rsidRPr="0073600E">
        <w:rPr>
          <w:rStyle w:val="FootnoteReference"/>
          <w:rFonts w:ascii="Sylfaen" w:hAnsi="Sylfaen"/>
        </w:rPr>
        <w:footnoteRef/>
      </w:r>
      <w:r w:rsidRPr="0073600E">
        <w:rPr>
          <w:rFonts w:ascii="Sylfaen" w:hAnsi="Sylfaen"/>
        </w:rPr>
        <w:t xml:space="preserve"> </w:t>
      </w:r>
      <w:r w:rsidRPr="002F1507">
        <w:rPr>
          <w:rFonts w:ascii="Sylfaen" w:hAnsi="Sylfaen"/>
        </w:rPr>
        <w:t xml:space="preserve"> </w:t>
      </w:r>
      <w:r w:rsidRPr="0073600E">
        <w:rPr>
          <w:rFonts w:ascii="Sylfaen" w:hAnsi="Sylfaen"/>
        </w:rPr>
        <w:t>Գրականության ցանկն անհրաժեշտ է ներառել բովանդակության մեջ:</w:t>
      </w:r>
    </w:p>
  </w:footnote>
  <w:footnote w:id="39">
    <w:p w14:paraId="704A3308" w14:textId="3F8613B0" w:rsidR="004A52D9" w:rsidRPr="0073600E" w:rsidRDefault="004A52D9" w:rsidP="008C76E0">
      <w:pPr>
        <w:spacing w:after="0" w:line="240" w:lineRule="auto"/>
        <w:jc w:val="both"/>
        <w:rPr>
          <w:rFonts w:ascii="Sylfaen" w:hAnsi="Sylfaen"/>
          <w:sz w:val="20"/>
          <w:szCs w:val="20"/>
        </w:rPr>
      </w:pPr>
      <w:r w:rsidRPr="0073600E">
        <w:rPr>
          <w:rStyle w:val="FootnoteReference"/>
          <w:rFonts w:ascii="Sylfaen" w:hAnsi="Sylfaen"/>
          <w:sz w:val="20"/>
          <w:szCs w:val="20"/>
        </w:rPr>
        <w:footnoteRef/>
      </w:r>
      <w:r w:rsidRPr="0073600E">
        <w:rPr>
          <w:rFonts w:ascii="Sylfaen" w:hAnsi="Sylfaen"/>
          <w:sz w:val="20"/>
          <w:szCs w:val="20"/>
        </w:rPr>
        <w:t xml:space="preserve"> </w:t>
      </w:r>
      <w:r w:rsidR="0056496B">
        <w:rPr>
          <w:rFonts w:ascii="Sylfaen" w:hAnsi="Sylfaen"/>
          <w:sz w:val="20"/>
          <w:szCs w:val="20"/>
        </w:rPr>
        <w:t>Դիմումատու</w:t>
      </w:r>
      <w:r w:rsidRPr="0073600E">
        <w:rPr>
          <w:rFonts w:ascii="Sylfaen" w:hAnsi="Sylfaen"/>
          <w:sz w:val="20"/>
          <w:szCs w:val="20"/>
        </w:rPr>
        <w:t xml:space="preserve">ները, որպես կանոն, պետք է հետազոտությունների մասին հաշվետվությունները ներկայացնեն մի քանի փաստաթղթերի տեսքով (համառոտագիր, հետազոտության մասին հաշվետվության բովանդակային մաս եւ անհրաժեշտ հավելվածներ): Հավելվածներն անհրաժեշտ է կազմել Եվրասիական տնտեսական միության պատշաճ կլինիկական գործելակերպի կանոնների թիվ 1 հավելվածին համապատասխան, որում նկարագրվում են կլինիկական հետազոտության մասին հաշվետվության բովանդակությունն ու ձեւաչափը: Այդ հաշվետվությունների մանրամասնեցման աստիճանն ընտրելիս հարկավոր է, որ </w:t>
      </w:r>
      <w:r w:rsidR="0056496B">
        <w:rPr>
          <w:rFonts w:ascii="Sylfaen" w:hAnsi="Sylfaen"/>
          <w:sz w:val="20"/>
          <w:szCs w:val="20"/>
        </w:rPr>
        <w:t>դիմումատու</w:t>
      </w:r>
      <w:r w:rsidRPr="0073600E">
        <w:rPr>
          <w:rFonts w:ascii="Sylfaen" w:hAnsi="Sylfaen"/>
          <w:sz w:val="20"/>
          <w:szCs w:val="20"/>
        </w:rPr>
        <w:t>ն հաշվի առնի, որ պատրաստուկի կենսական պարբերաշրջանի ցանկացած պահին համապատասխան տեղեկությունների փոփոխության դեպքում պահանջվում է փաստաթղթերի (ֆայլերի) ամբողջական փոխարինում:</w:t>
      </w:r>
    </w:p>
  </w:footnote>
  <w:footnote w:id="40">
    <w:p w14:paraId="6994A068" w14:textId="77777777" w:rsidR="004A52D9" w:rsidRPr="0073600E" w:rsidRDefault="004A52D9" w:rsidP="008C76E0">
      <w:pPr>
        <w:spacing w:after="0" w:line="240" w:lineRule="auto"/>
        <w:jc w:val="both"/>
        <w:rPr>
          <w:rFonts w:ascii="Sylfaen" w:hAnsi="Sylfaen"/>
          <w:sz w:val="20"/>
          <w:szCs w:val="20"/>
        </w:rPr>
      </w:pPr>
      <w:r>
        <w:rPr>
          <w:rStyle w:val="FootnoteReference"/>
          <w:sz w:val="16"/>
        </w:rPr>
        <w:footnoteRef/>
      </w:r>
      <w:r>
        <w:rPr>
          <w:sz w:val="16"/>
        </w:rPr>
        <w:t xml:space="preserve"> </w:t>
      </w:r>
      <w:r w:rsidRPr="0073600E">
        <w:rPr>
          <w:rFonts w:ascii="Sylfaen" w:hAnsi="Sylfaen"/>
          <w:sz w:val="20"/>
          <w:szCs w:val="20"/>
        </w:rPr>
        <w:t xml:space="preserve">Եթե գրանցման դոսյեում ընդգրկված են կիրառման մի քանի ցուցումներ, ապա տվյալ բաժինը կրկնօրինակում են՝ յուրաքանչյուր ցուցման համար առանձին: </w:t>
      </w:r>
    </w:p>
  </w:footnote>
  <w:footnote w:id="41">
    <w:p w14:paraId="05DAB098" w14:textId="77777777" w:rsidR="004A52D9" w:rsidRPr="00CD1681" w:rsidRDefault="004A52D9" w:rsidP="008C76E0">
      <w:pPr>
        <w:pStyle w:val="FootnoteText"/>
        <w:jc w:val="both"/>
        <w:rPr>
          <w:rFonts w:ascii="Sylfaen" w:hAnsi="Sylfaen"/>
          <w:sz w:val="16"/>
        </w:rPr>
      </w:pPr>
      <w:r w:rsidRPr="00F75C7A">
        <w:rPr>
          <w:rStyle w:val="FootnoteReference"/>
          <w:rFonts w:ascii="Sylfaen" w:hAnsi="Sylfaen"/>
        </w:rPr>
        <w:footnoteRef/>
      </w:r>
      <w:r w:rsidRPr="00903D92">
        <w:rPr>
          <w:rFonts w:ascii="Sylfaen" w:hAnsi="Sylfaen"/>
        </w:rPr>
        <w:t xml:space="preserve"> </w:t>
      </w:r>
      <w:r w:rsidRPr="00F75C7A">
        <w:rPr>
          <w:rFonts w:ascii="Sylfaen" w:hAnsi="Sylfaen"/>
        </w:rPr>
        <w:t>Գրականության ցանկն անհրաժեշտ է ներառել բովանդակության մեջ</w:t>
      </w:r>
      <w:r>
        <w:rPr>
          <w:rFonts w:ascii="Sylfaen" w:hAnsi="Sylfaen"/>
          <w:sz w:val="16"/>
        </w:rPr>
        <w:t>:</w:t>
      </w:r>
    </w:p>
  </w:footnote>
  <w:footnote w:id="42">
    <w:p w14:paraId="31B55F88" w14:textId="1358E671" w:rsidR="004A52D9" w:rsidRPr="008C76E0" w:rsidRDefault="004A52D9" w:rsidP="00513389">
      <w:pPr>
        <w:pStyle w:val="Tablecaption50"/>
        <w:shd w:val="clear" w:color="auto" w:fill="auto"/>
        <w:spacing w:after="120" w:line="240" w:lineRule="auto"/>
        <w:ind w:right="-1"/>
        <w:rPr>
          <w:rFonts w:ascii="Sylfaen" w:hAnsi="Sylfaen"/>
          <w:lang w:val="hy-AM"/>
        </w:rPr>
      </w:pPr>
      <w:r>
        <w:rPr>
          <w:rStyle w:val="FootnoteReference"/>
        </w:rPr>
        <w:footnoteRef/>
      </w:r>
      <w:r w:rsidRPr="00513389">
        <w:rPr>
          <w:lang w:val="hy-AM"/>
        </w:rPr>
        <w:t xml:space="preserve"> </w:t>
      </w:r>
      <w:r w:rsidRPr="008C76E0">
        <w:rPr>
          <w:rFonts w:ascii="Sylfaen" w:hAnsi="Sylfaen"/>
          <w:lang w:val="hy-AM"/>
        </w:rPr>
        <w:t xml:space="preserve">Խնդրում ենք, ուշադրություն դարձրեք այն հանգամանքին, որ այն </w:t>
      </w:r>
      <w:r w:rsidR="009F5829">
        <w:rPr>
          <w:rFonts w:ascii="Sylfaen" w:hAnsi="Sylfaen"/>
          <w:lang w:val="hy-AM"/>
        </w:rPr>
        <w:t>դիմումներ</w:t>
      </w:r>
      <w:r w:rsidRPr="008C76E0">
        <w:rPr>
          <w:rFonts w:ascii="Sylfaen" w:hAnsi="Sylfaen"/>
          <w:lang w:val="hy-AM"/>
        </w:rPr>
        <w:t>ի համար, որոնք ներկայացվում են գեներիկ եւ կենսահամանման դեղամիջոցների համար, երբ որպես ռեֆերենտ պատրաստուկ է հանդես գալիս Միության շուկայում իրացումը թույլատրված պատրաստուկը, կարեւոր է պատրաստուկի անվանման վերաբերյալ դիտողություններն ուղարկել հնարավորինս վաղ փուլում:</w:t>
      </w:r>
    </w:p>
    <w:p w14:paraId="161EB39C" w14:textId="77777777" w:rsidR="004A52D9" w:rsidRPr="00513389" w:rsidRDefault="004A52D9">
      <w:pPr>
        <w:pStyle w:val="FootnoteText"/>
      </w:pPr>
    </w:p>
  </w:footnote>
  <w:footnote w:id="43">
    <w:p w14:paraId="32DD1AED" w14:textId="5A4D1685" w:rsidR="004A52D9" w:rsidRDefault="004A52D9" w:rsidP="001B59AA">
      <w:pPr>
        <w:pStyle w:val="FootnoteText"/>
        <w:spacing w:after="120"/>
        <w:jc w:val="both"/>
        <w:rPr>
          <w:rFonts w:ascii="Sylfaen" w:hAnsi="Sylfaen"/>
        </w:rPr>
      </w:pPr>
      <w:r w:rsidRPr="00D05D60">
        <w:rPr>
          <w:rStyle w:val="FootnoteReference"/>
          <w:rFonts w:ascii="Sylfaen" w:hAnsi="Sylfaen"/>
        </w:rPr>
        <w:footnoteRef/>
      </w:r>
      <w:r w:rsidRPr="00D05D60">
        <w:rPr>
          <w:rFonts w:ascii="Sylfaen" w:hAnsi="Sylfaen"/>
        </w:rPr>
        <w:t xml:space="preserve"> Կավելացվի Միության յուրաքանչյուր անդամ պետության</w:t>
      </w:r>
      <w:r w:rsidRPr="00954F22">
        <w:rPr>
          <w:rFonts w:ascii="Sylfaen" w:hAnsi="Sylfaen"/>
        </w:rPr>
        <w:t xml:space="preserve"> պահանջներին համապատասխան</w:t>
      </w:r>
      <w:r>
        <w:rPr>
          <w:rFonts w:ascii="Sylfaen" w:hAnsi="Sylfaen"/>
        </w:rPr>
        <w:t>:</w:t>
      </w:r>
    </w:p>
    <w:p w14:paraId="10D996E4" w14:textId="77777777" w:rsidR="00803CF9" w:rsidRPr="00CD4709" w:rsidRDefault="00803CF9" w:rsidP="00803CF9">
      <w:pPr>
        <w:rPr>
          <w:b/>
          <w:bCs/>
          <w:i/>
          <w:iCs/>
          <w:lang w:val="en-US"/>
        </w:rPr>
      </w:pPr>
      <w:r w:rsidRPr="00CD4709">
        <w:rPr>
          <w:b/>
          <w:bCs/>
          <w:i/>
          <w:iCs/>
        </w:rPr>
        <w:t>(</w:t>
      </w:r>
      <w:r>
        <w:rPr>
          <w:b/>
          <w:bCs/>
          <w:i/>
          <w:iCs/>
        </w:rPr>
        <w:t xml:space="preserve">հավելվածը </w:t>
      </w:r>
      <w:r w:rsidRPr="00CD4709">
        <w:rPr>
          <w:b/>
          <w:bCs/>
          <w:i/>
          <w:iCs/>
        </w:rPr>
        <w:t>փոփ. 30.01.20 թիվ 9)</w:t>
      </w:r>
    </w:p>
    <w:p w14:paraId="5A65DCEF" w14:textId="77777777" w:rsidR="00803CF9" w:rsidRPr="00954F22" w:rsidRDefault="00803CF9" w:rsidP="001B59AA">
      <w:pPr>
        <w:pStyle w:val="FootnoteText"/>
        <w:spacing w:after="120"/>
        <w:jc w:val="both"/>
        <w:rPr>
          <w:rFonts w:ascii="Sylfaen" w:hAnsi="Sylfaen"/>
        </w:rPr>
      </w:pPr>
    </w:p>
  </w:footnote>
  <w:footnote w:id="44">
    <w:p w14:paraId="5A6E9388" w14:textId="5C7C5E50" w:rsidR="00BD67EC" w:rsidRPr="00E260DF" w:rsidRDefault="00BD67EC" w:rsidP="00BD67EC">
      <w:pPr>
        <w:spacing w:after="0" w:line="240" w:lineRule="auto"/>
        <w:rPr>
          <w:rFonts w:ascii="Sylfaen" w:hAnsi="Sylfaen"/>
          <w:sz w:val="20"/>
          <w:szCs w:val="20"/>
        </w:rPr>
      </w:pPr>
    </w:p>
  </w:footnote>
  <w:footnote w:id="45">
    <w:p w14:paraId="5F1EADA2" w14:textId="50CCA918" w:rsidR="00BD67EC" w:rsidRPr="00E260DF" w:rsidRDefault="00BD67EC" w:rsidP="00BD67EC">
      <w:pPr>
        <w:spacing w:after="0" w:line="240" w:lineRule="auto"/>
        <w:rPr>
          <w:rFonts w:ascii="Sylfaen" w:hAnsi="Sylfaen"/>
          <w:sz w:val="20"/>
          <w:szCs w:val="20"/>
        </w:rPr>
      </w:pPr>
    </w:p>
  </w:footnote>
  <w:footnote w:id="46">
    <w:p w14:paraId="36F808E7" w14:textId="2D575876" w:rsidR="00BD67EC" w:rsidRPr="00BD67EC" w:rsidRDefault="00BD67EC" w:rsidP="00BD67EC">
      <w:pPr>
        <w:pStyle w:val="Footnote0"/>
        <w:shd w:val="clear" w:color="auto" w:fill="auto"/>
        <w:spacing w:line="240" w:lineRule="auto"/>
        <w:rPr>
          <w:rFonts w:ascii="Sylfaen" w:hAnsi="Sylfaen"/>
          <w:lang w:val="hy-AM"/>
        </w:rPr>
      </w:pPr>
    </w:p>
  </w:footnote>
  <w:footnote w:id="47">
    <w:p w14:paraId="647A52B8" w14:textId="5199AA8F" w:rsidR="00BD67EC" w:rsidRPr="00E260DF" w:rsidRDefault="00BD67EC" w:rsidP="00BD67EC">
      <w:pPr>
        <w:spacing w:after="0" w:line="240" w:lineRule="auto"/>
        <w:rPr>
          <w:rFonts w:ascii="Sylfaen" w:hAnsi="Sylfaen"/>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80463" w14:textId="77777777" w:rsidR="004A52D9" w:rsidRDefault="004A52D9">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350CF" w14:textId="77777777" w:rsidR="004A52D9" w:rsidRDefault="004A52D9">
    <w:pPr>
      <w:spacing w:after="0"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70AA5" w14:textId="77777777" w:rsidR="004A52D9" w:rsidRDefault="004A52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9536" w14:textId="77777777" w:rsidR="004A52D9" w:rsidRDefault="004A52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5D0A9" w14:textId="77777777" w:rsidR="004A52D9" w:rsidRDefault="004A52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0D671" w14:textId="77777777" w:rsidR="004A52D9" w:rsidRDefault="004A52D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E515A" w14:textId="77777777" w:rsidR="004A52D9" w:rsidRDefault="004A52D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F432D" w14:textId="77777777" w:rsidR="004A52D9" w:rsidRDefault="004A52D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3BC3F" w14:textId="77777777" w:rsidR="004A52D9" w:rsidRDefault="004A52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877C3"/>
    <w:multiLevelType w:val="multilevel"/>
    <w:tmpl w:val="6D2806B8"/>
    <w:lvl w:ilvl="0">
      <w:start w:val="1"/>
      <w:numFmt w:val="decimal"/>
      <w:lvlText w:val="%1."/>
      <w:lvlJc w:val="left"/>
      <w:pPr>
        <w:ind w:left="927" w:hanging="360"/>
      </w:pPr>
      <w:rPr>
        <w:rFonts w:hint="default"/>
      </w:rPr>
    </w:lvl>
    <w:lvl w:ilvl="1">
      <w:start w:val="1"/>
      <w:numFmt w:val="decimal"/>
      <w:isLgl/>
      <w:lvlText w:val="%1.%2."/>
      <w:lvlJc w:val="left"/>
      <w:pPr>
        <w:ind w:left="1407" w:hanging="840"/>
      </w:pPr>
      <w:rPr>
        <w:rFonts w:hint="default"/>
      </w:rPr>
    </w:lvl>
    <w:lvl w:ilvl="2">
      <w:start w:val="10"/>
      <w:numFmt w:val="decimal"/>
      <w:isLgl/>
      <w:lvlText w:val="%1.%2.%3."/>
      <w:lvlJc w:val="left"/>
      <w:pPr>
        <w:ind w:left="1407" w:hanging="840"/>
      </w:pPr>
      <w:rPr>
        <w:rFonts w:hint="default"/>
      </w:rPr>
    </w:lvl>
    <w:lvl w:ilvl="3">
      <w:start w:val="3"/>
      <w:numFmt w:val="decimal"/>
      <w:isLgl/>
      <w:lvlText w:val="%1.%2.%3.%4."/>
      <w:lvlJc w:val="left"/>
      <w:pPr>
        <w:ind w:left="1407" w:hanging="84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2D9009F"/>
    <w:multiLevelType w:val="hybridMultilevel"/>
    <w:tmpl w:val="24342FC2"/>
    <w:lvl w:ilvl="0" w:tplc="35648B30">
      <w:start w:val="5"/>
      <w:numFmt w:val="bullet"/>
      <w:lvlText w:val=""/>
      <w:lvlJc w:val="left"/>
      <w:pPr>
        <w:ind w:left="882" w:hanging="360"/>
      </w:pPr>
      <w:rPr>
        <w:rFonts w:ascii="Wingdings" w:eastAsia="Times New Roman" w:hAnsi="Wingdings" w:cs="Times New Roman"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2" w15:restartNumberingAfterBreak="0">
    <w:nsid w:val="075744BC"/>
    <w:multiLevelType w:val="hybridMultilevel"/>
    <w:tmpl w:val="679649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B5367"/>
    <w:multiLevelType w:val="hybridMultilevel"/>
    <w:tmpl w:val="BE0C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03809"/>
    <w:multiLevelType w:val="hybridMultilevel"/>
    <w:tmpl w:val="687824E4"/>
    <w:lvl w:ilvl="0" w:tplc="8308596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6E1E11"/>
    <w:multiLevelType w:val="hybridMultilevel"/>
    <w:tmpl w:val="103C3CE4"/>
    <w:lvl w:ilvl="0" w:tplc="63647E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924943"/>
    <w:multiLevelType w:val="hybridMultilevel"/>
    <w:tmpl w:val="48484C0C"/>
    <w:lvl w:ilvl="0" w:tplc="A68233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36AE6"/>
    <w:multiLevelType w:val="hybridMultilevel"/>
    <w:tmpl w:val="117C475C"/>
    <w:lvl w:ilvl="0" w:tplc="4C18A53A">
      <w:start w:val="1"/>
      <w:numFmt w:val="bullet"/>
      <w:lvlText w:val="-"/>
      <w:lvlJc w:val="left"/>
      <w:pPr>
        <w:ind w:left="889" w:hanging="360"/>
      </w:pPr>
      <w:rPr>
        <w:rFonts w:ascii="Sylfaen" w:eastAsia="Times New Roman" w:hAnsi="Sylfaen" w:cs="Times New Roman" w:hint="default"/>
        <w:color w:val="000000"/>
      </w:rPr>
    </w:lvl>
    <w:lvl w:ilvl="1" w:tplc="04190003" w:tentative="1">
      <w:start w:val="1"/>
      <w:numFmt w:val="bullet"/>
      <w:lvlText w:val="o"/>
      <w:lvlJc w:val="left"/>
      <w:pPr>
        <w:ind w:left="1609" w:hanging="360"/>
      </w:pPr>
      <w:rPr>
        <w:rFonts w:ascii="Courier New" w:hAnsi="Courier New" w:cs="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cs="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cs="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8" w15:restartNumberingAfterBreak="0">
    <w:nsid w:val="2CF2033D"/>
    <w:multiLevelType w:val="hybridMultilevel"/>
    <w:tmpl w:val="E8B02854"/>
    <w:lvl w:ilvl="0" w:tplc="0864598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64442C"/>
    <w:multiLevelType w:val="hybridMultilevel"/>
    <w:tmpl w:val="FFE2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D5878"/>
    <w:multiLevelType w:val="hybridMultilevel"/>
    <w:tmpl w:val="C7767EA0"/>
    <w:lvl w:ilvl="0" w:tplc="6F847C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163984"/>
    <w:multiLevelType w:val="hybridMultilevel"/>
    <w:tmpl w:val="96F48184"/>
    <w:lvl w:ilvl="0" w:tplc="45D2DE80">
      <w:start w:val="1"/>
      <w:numFmt w:val="decimal"/>
      <w:lvlText w:val="%1."/>
      <w:lvlJc w:val="left"/>
      <w:pPr>
        <w:ind w:left="549" w:hanging="39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2" w15:restartNumberingAfterBreak="0">
    <w:nsid w:val="3D495E42"/>
    <w:multiLevelType w:val="hybridMultilevel"/>
    <w:tmpl w:val="FF8C4E2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E773E1"/>
    <w:multiLevelType w:val="hybridMultilevel"/>
    <w:tmpl w:val="BC62A956"/>
    <w:lvl w:ilvl="0" w:tplc="957AE4C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E17F74"/>
    <w:multiLevelType w:val="multilevel"/>
    <w:tmpl w:val="50E02D6A"/>
    <w:lvl w:ilvl="0">
      <w:start w:val="1"/>
      <w:numFmt w:val="decimal"/>
      <w:lvlText w:val="%1."/>
      <w:lvlJc w:val="left"/>
      <w:pPr>
        <w:ind w:left="927" w:hanging="360"/>
      </w:pPr>
      <w:rPr>
        <w:rFonts w:eastAsiaTheme="minorHAnsi" w:cstheme="minorBidi" w:hint="default"/>
      </w:rPr>
    </w:lvl>
    <w:lvl w:ilvl="1">
      <w:start w:val="8"/>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2"/>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4B996472"/>
    <w:multiLevelType w:val="hybridMultilevel"/>
    <w:tmpl w:val="6E58AFD0"/>
    <w:lvl w:ilvl="0" w:tplc="8D80ECB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DE3F4A"/>
    <w:multiLevelType w:val="hybridMultilevel"/>
    <w:tmpl w:val="6C8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838C9"/>
    <w:multiLevelType w:val="hybridMultilevel"/>
    <w:tmpl w:val="56C2ECE8"/>
    <w:lvl w:ilvl="0" w:tplc="26061872">
      <w:start w:val="1"/>
      <w:numFmt w:val="decimal"/>
      <w:lvlText w:val="%1."/>
      <w:lvlJc w:val="left"/>
      <w:pPr>
        <w:ind w:left="538" w:hanging="405"/>
      </w:pPr>
      <w:rPr>
        <w:rFonts w:hint="default"/>
      </w:rPr>
    </w:lvl>
    <w:lvl w:ilvl="1" w:tplc="04090019" w:tentative="1">
      <w:start w:val="1"/>
      <w:numFmt w:val="lowerLetter"/>
      <w:lvlText w:val="%2."/>
      <w:lvlJc w:val="left"/>
      <w:pPr>
        <w:ind w:left="1213" w:hanging="360"/>
      </w:pPr>
    </w:lvl>
    <w:lvl w:ilvl="2" w:tplc="0409001B" w:tentative="1">
      <w:start w:val="1"/>
      <w:numFmt w:val="lowerRoman"/>
      <w:lvlText w:val="%3."/>
      <w:lvlJc w:val="right"/>
      <w:pPr>
        <w:ind w:left="1933" w:hanging="180"/>
      </w:pPr>
    </w:lvl>
    <w:lvl w:ilvl="3" w:tplc="0409000F" w:tentative="1">
      <w:start w:val="1"/>
      <w:numFmt w:val="decimal"/>
      <w:lvlText w:val="%4."/>
      <w:lvlJc w:val="left"/>
      <w:pPr>
        <w:ind w:left="2653" w:hanging="360"/>
      </w:pPr>
    </w:lvl>
    <w:lvl w:ilvl="4" w:tplc="04090019" w:tentative="1">
      <w:start w:val="1"/>
      <w:numFmt w:val="lowerLetter"/>
      <w:lvlText w:val="%5."/>
      <w:lvlJc w:val="left"/>
      <w:pPr>
        <w:ind w:left="3373" w:hanging="360"/>
      </w:pPr>
    </w:lvl>
    <w:lvl w:ilvl="5" w:tplc="0409001B" w:tentative="1">
      <w:start w:val="1"/>
      <w:numFmt w:val="lowerRoman"/>
      <w:lvlText w:val="%6."/>
      <w:lvlJc w:val="right"/>
      <w:pPr>
        <w:ind w:left="4093" w:hanging="180"/>
      </w:pPr>
    </w:lvl>
    <w:lvl w:ilvl="6" w:tplc="0409000F" w:tentative="1">
      <w:start w:val="1"/>
      <w:numFmt w:val="decimal"/>
      <w:lvlText w:val="%7."/>
      <w:lvlJc w:val="left"/>
      <w:pPr>
        <w:ind w:left="4813" w:hanging="360"/>
      </w:pPr>
    </w:lvl>
    <w:lvl w:ilvl="7" w:tplc="04090019" w:tentative="1">
      <w:start w:val="1"/>
      <w:numFmt w:val="lowerLetter"/>
      <w:lvlText w:val="%8."/>
      <w:lvlJc w:val="left"/>
      <w:pPr>
        <w:ind w:left="5533" w:hanging="360"/>
      </w:pPr>
    </w:lvl>
    <w:lvl w:ilvl="8" w:tplc="0409001B" w:tentative="1">
      <w:start w:val="1"/>
      <w:numFmt w:val="lowerRoman"/>
      <w:lvlText w:val="%9."/>
      <w:lvlJc w:val="right"/>
      <w:pPr>
        <w:ind w:left="6253" w:hanging="180"/>
      </w:pPr>
    </w:lvl>
  </w:abstractNum>
  <w:abstractNum w:abstractNumId="18" w15:restartNumberingAfterBreak="0">
    <w:nsid w:val="57CD1E1F"/>
    <w:multiLevelType w:val="multilevel"/>
    <w:tmpl w:val="6464A8F8"/>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927" w:hanging="360"/>
      </w:pPr>
      <w:rPr>
        <w:rFonts w:eastAsiaTheme="minorHAnsi" w:cstheme="minorBidi" w:hint="default"/>
      </w:rPr>
    </w:lvl>
    <w:lvl w:ilvl="2">
      <w:start w:val="1"/>
      <w:numFmt w:val="decimal"/>
      <w:lvlText w:val="%1.%2.%3."/>
      <w:lvlJc w:val="left"/>
      <w:pPr>
        <w:ind w:left="1854" w:hanging="720"/>
      </w:pPr>
      <w:rPr>
        <w:rFonts w:eastAsiaTheme="minorHAnsi" w:cstheme="minorBidi" w:hint="default"/>
      </w:rPr>
    </w:lvl>
    <w:lvl w:ilvl="3">
      <w:start w:val="1"/>
      <w:numFmt w:val="decimal"/>
      <w:lvlText w:val="%1.%2.%3.%4."/>
      <w:lvlJc w:val="left"/>
      <w:pPr>
        <w:ind w:left="2421" w:hanging="720"/>
      </w:pPr>
      <w:rPr>
        <w:rFonts w:eastAsiaTheme="minorHAnsi" w:cstheme="minorBidi" w:hint="default"/>
      </w:rPr>
    </w:lvl>
    <w:lvl w:ilvl="4">
      <w:start w:val="1"/>
      <w:numFmt w:val="decimal"/>
      <w:lvlText w:val="%1.%2.%3.%4.%5."/>
      <w:lvlJc w:val="left"/>
      <w:pPr>
        <w:ind w:left="3348" w:hanging="1080"/>
      </w:pPr>
      <w:rPr>
        <w:rFonts w:eastAsiaTheme="minorHAnsi" w:cstheme="minorBidi" w:hint="default"/>
      </w:rPr>
    </w:lvl>
    <w:lvl w:ilvl="5">
      <w:start w:val="1"/>
      <w:numFmt w:val="decimal"/>
      <w:lvlText w:val="%1.%2.%3.%4.%5.%6."/>
      <w:lvlJc w:val="left"/>
      <w:pPr>
        <w:ind w:left="3915" w:hanging="1080"/>
      </w:pPr>
      <w:rPr>
        <w:rFonts w:eastAsiaTheme="minorHAnsi" w:cstheme="minorBidi" w:hint="default"/>
      </w:rPr>
    </w:lvl>
    <w:lvl w:ilvl="6">
      <w:start w:val="1"/>
      <w:numFmt w:val="decimal"/>
      <w:lvlText w:val="%1.%2.%3.%4.%5.%6.%7."/>
      <w:lvlJc w:val="left"/>
      <w:pPr>
        <w:ind w:left="4842" w:hanging="1440"/>
      </w:pPr>
      <w:rPr>
        <w:rFonts w:eastAsiaTheme="minorHAnsi" w:cstheme="minorBidi" w:hint="default"/>
      </w:rPr>
    </w:lvl>
    <w:lvl w:ilvl="7">
      <w:start w:val="1"/>
      <w:numFmt w:val="decimal"/>
      <w:lvlText w:val="%1.%2.%3.%4.%5.%6.%7.%8."/>
      <w:lvlJc w:val="left"/>
      <w:pPr>
        <w:ind w:left="5409" w:hanging="1440"/>
      </w:pPr>
      <w:rPr>
        <w:rFonts w:eastAsiaTheme="minorHAnsi" w:cstheme="minorBidi" w:hint="default"/>
      </w:rPr>
    </w:lvl>
    <w:lvl w:ilvl="8">
      <w:start w:val="1"/>
      <w:numFmt w:val="decimal"/>
      <w:lvlText w:val="%1.%2.%3.%4.%5.%6.%7.%8.%9."/>
      <w:lvlJc w:val="left"/>
      <w:pPr>
        <w:ind w:left="6336" w:hanging="1800"/>
      </w:pPr>
      <w:rPr>
        <w:rFonts w:eastAsiaTheme="minorHAnsi" w:cstheme="minorBidi" w:hint="default"/>
      </w:rPr>
    </w:lvl>
  </w:abstractNum>
  <w:abstractNum w:abstractNumId="19" w15:restartNumberingAfterBreak="0">
    <w:nsid w:val="586E3E2A"/>
    <w:multiLevelType w:val="hybridMultilevel"/>
    <w:tmpl w:val="C49AFE82"/>
    <w:lvl w:ilvl="0" w:tplc="C5CA76E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C40BFC"/>
    <w:multiLevelType w:val="hybridMultilevel"/>
    <w:tmpl w:val="1C2875AA"/>
    <w:lvl w:ilvl="0" w:tplc="CD0826F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EC0E7C"/>
    <w:multiLevelType w:val="hybridMultilevel"/>
    <w:tmpl w:val="28EE8426"/>
    <w:lvl w:ilvl="0" w:tplc="51B2AA7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113C89"/>
    <w:multiLevelType w:val="hybridMultilevel"/>
    <w:tmpl w:val="832A6FDE"/>
    <w:lvl w:ilvl="0" w:tplc="C5F04340">
      <w:start w:val="1"/>
      <w:numFmt w:val="decimal"/>
      <w:lvlText w:val="%1."/>
      <w:lvlJc w:val="left"/>
      <w:pPr>
        <w:ind w:left="563" w:hanging="405"/>
      </w:pPr>
      <w:rPr>
        <w:rFonts w:hint="default"/>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23" w15:restartNumberingAfterBreak="0">
    <w:nsid w:val="7C0C377D"/>
    <w:multiLevelType w:val="hybridMultilevel"/>
    <w:tmpl w:val="AC90A61E"/>
    <w:lvl w:ilvl="0" w:tplc="4ED84E0C">
      <w:start w:val="6"/>
      <w:numFmt w:val="bullet"/>
      <w:lvlText w:val="-"/>
      <w:lvlJc w:val="left"/>
      <w:pPr>
        <w:ind w:left="927" w:hanging="360"/>
      </w:pPr>
      <w:rPr>
        <w:rFonts w:ascii="Sylfaen" w:eastAsia="Times New Roman" w:hAnsi="Sylfaen" w:cs="Times New Roman" w:hint="default"/>
        <w:i/>
        <w:color w:val="00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322318181">
    <w:abstractNumId w:val="18"/>
  </w:num>
  <w:num w:numId="2" w16cid:durableId="89548307">
    <w:abstractNumId w:val="14"/>
  </w:num>
  <w:num w:numId="3" w16cid:durableId="2099984045">
    <w:abstractNumId w:val="23"/>
  </w:num>
  <w:num w:numId="4" w16cid:durableId="1631588965">
    <w:abstractNumId w:val="0"/>
  </w:num>
  <w:num w:numId="5" w16cid:durableId="263613419">
    <w:abstractNumId w:val="16"/>
  </w:num>
  <w:num w:numId="6" w16cid:durableId="1264993038">
    <w:abstractNumId w:val="2"/>
  </w:num>
  <w:num w:numId="7" w16cid:durableId="2065250808">
    <w:abstractNumId w:val="9"/>
  </w:num>
  <w:num w:numId="8" w16cid:durableId="2134905361">
    <w:abstractNumId w:val="3"/>
  </w:num>
  <w:num w:numId="9" w16cid:durableId="770516501">
    <w:abstractNumId w:val="7"/>
  </w:num>
  <w:num w:numId="10" w16cid:durableId="1317686071">
    <w:abstractNumId w:val="1"/>
  </w:num>
  <w:num w:numId="11" w16cid:durableId="886641915">
    <w:abstractNumId w:val="19"/>
  </w:num>
  <w:num w:numId="12" w16cid:durableId="1485780653">
    <w:abstractNumId w:val="5"/>
  </w:num>
  <w:num w:numId="13" w16cid:durableId="1922833334">
    <w:abstractNumId w:val="13"/>
  </w:num>
  <w:num w:numId="14" w16cid:durableId="1997219853">
    <w:abstractNumId w:val="21"/>
  </w:num>
  <w:num w:numId="15" w16cid:durableId="117602884">
    <w:abstractNumId w:val="4"/>
  </w:num>
  <w:num w:numId="16" w16cid:durableId="1173883134">
    <w:abstractNumId w:val="12"/>
  </w:num>
  <w:num w:numId="17" w16cid:durableId="1336567384">
    <w:abstractNumId w:val="10"/>
  </w:num>
  <w:num w:numId="18" w16cid:durableId="996228602">
    <w:abstractNumId w:val="8"/>
  </w:num>
  <w:num w:numId="19" w16cid:durableId="686374701">
    <w:abstractNumId w:val="15"/>
  </w:num>
  <w:num w:numId="20" w16cid:durableId="817301934">
    <w:abstractNumId w:val="6"/>
  </w:num>
  <w:num w:numId="21" w16cid:durableId="75131288">
    <w:abstractNumId w:val="20"/>
  </w:num>
  <w:num w:numId="22" w16cid:durableId="734087306">
    <w:abstractNumId w:val="17"/>
  </w:num>
  <w:num w:numId="23" w16cid:durableId="1114206174">
    <w:abstractNumId w:val="22"/>
  </w:num>
  <w:num w:numId="24" w16cid:durableId="555884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6EB"/>
    <w:rsid w:val="00000B09"/>
    <w:rsid w:val="0000325C"/>
    <w:rsid w:val="00003ABD"/>
    <w:rsid w:val="00005FE7"/>
    <w:rsid w:val="00007454"/>
    <w:rsid w:val="00010F69"/>
    <w:rsid w:val="00012E47"/>
    <w:rsid w:val="00015767"/>
    <w:rsid w:val="00015E3D"/>
    <w:rsid w:val="00017124"/>
    <w:rsid w:val="00022368"/>
    <w:rsid w:val="00022447"/>
    <w:rsid w:val="00023CB3"/>
    <w:rsid w:val="00033514"/>
    <w:rsid w:val="00035EC9"/>
    <w:rsid w:val="00037B30"/>
    <w:rsid w:val="000401DA"/>
    <w:rsid w:val="0004077C"/>
    <w:rsid w:val="000414E7"/>
    <w:rsid w:val="0004184B"/>
    <w:rsid w:val="00041FA5"/>
    <w:rsid w:val="0004291E"/>
    <w:rsid w:val="000452CC"/>
    <w:rsid w:val="00050D30"/>
    <w:rsid w:val="00051BB3"/>
    <w:rsid w:val="00052B35"/>
    <w:rsid w:val="0005387C"/>
    <w:rsid w:val="00053889"/>
    <w:rsid w:val="00053A74"/>
    <w:rsid w:val="00060EF9"/>
    <w:rsid w:val="00065DCF"/>
    <w:rsid w:val="000668B5"/>
    <w:rsid w:val="00066EC8"/>
    <w:rsid w:val="000728A0"/>
    <w:rsid w:val="00080164"/>
    <w:rsid w:val="000839F9"/>
    <w:rsid w:val="00087424"/>
    <w:rsid w:val="00087A2B"/>
    <w:rsid w:val="00091CBC"/>
    <w:rsid w:val="000A1AAE"/>
    <w:rsid w:val="000A2800"/>
    <w:rsid w:val="000A4ACC"/>
    <w:rsid w:val="000A5E1D"/>
    <w:rsid w:val="000B3A2B"/>
    <w:rsid w:val="000B6A2F"/>
    <w:rsid w:val="000C3415"/>
    <w:rsid w:val="000C4CCD"/>
    <w:rsid w:val="000C5B93"/>
    <w:rsid w:val="000C5CDC"/>
    <w:rsid w:val="000D0FC9"/>
    <w:rsid w:val="000D736E"/>
    <w:rsid w:val="000D7378"/>
    <w:rsid w:val="000D7620"/>
    <w:rsid w:val="000D7E4F"/>
    <w:rsid w:val="000E2C50"/>
    <w:rsid w:val="000E3C03"/>
    <w:rsid w:val="000F124E"/>
    <w:rsid w:val="000F179C"/>
    <w:rsid w:val="000F24F2"/>
    <w:rsid w:val="000F26D8"/>
    <w:rsid w:val="000F4779"/>
    <w:rsid w:val="000F5045"/>
    <w:rsid w:val="00100CD9"/>
    <w:rsid w:val="001024C8"/>
    <w:rsid w:val="00102702"/>
    <w:rsid w:val="001042F5"/>
    <w:rsid w:val="00105024"/>
    <w:rsid w:val="00105A36"/>
    <w:rsid w:val="00105DDA"/>
    <w:rsid w:val="001114E9"/>
    <w:rsid w:val="0011179D"/>
    <w:rsid w:val="00112DF4"/>
    <w:rsid w:val="0011482B"/>
    <w:rsid w:val="00114ACF"/>
    <w:rsid w:val="001155FD"/>
    <w:rsid w:val="001235DC"/>
    <w:rsid w:val="001268BB"/>
    <w:rsid w:val="00130BFB"/>
    <w:rsid w:val="00131173"/>
    <w:rsid w:val="00131D48"/>
    <w:rsid w:val="00132EF0"/>
    <w:rsid w:val="001352A5"/>
    <w:rsid w:val="00136617"/>
    <w:rsid w:val="00136F5C"/>
    <w:rsid w:val="001370A9"/>
    <w:rsid w:val="00137998"/>
    <w:rsid w:val="00137E21"/>
    <w:rsid w:val="00142A94"/>
    <w:rsid w:val="00143A1A"/>
    <w:rsid w:val="00145C95"/>
    <w:rsid w:val="001516A4"/>
    <w:rsid w:val="001543F8"/>
    <w:rsid w:val="00155C84"/>
    <w:rsid w:val="0015773F"/>
    <w:rsid w:val="00157FD9"/>
    <w:rsid w:val="001637C4"/>
    <w:rsid w:val="00164BD9"/>
    <w:rsid w:val="00166427"/>
    <w:rsid w:val="001755E6"/>
    <w:rsid w:val="00183A19"/>
    <w:rsid w:val="0018755E"/>
    <w:rsid w:val="00190846"/>
    <w:rsid w:val="00193CFC"/>
    <w:rsid w:val="00196848"/>
    <w:rsid w:val="001A09F9"/>
    <w:rsid w:val="001A24A9"/>
    <w:rsid w:val="001A5F1A"/>
    <w:rsid w:val="001B2B66"/>
    <w:rsid w:val="001B59AA"/>
    <w:rsid w:val="001B72F4"/>
    <w:rsid w:val="001C09E1"/>
    <w:rsid w:val="001C13D0"/>
    <w:rsid w:val="001C3278"/>
    <w:rsid w:val="001C41B5"/>
    <w:rsid w:val="001C5AF9"/>
    <w:rsid w:val="001C75F9"/>
    <w:rsid w:val="001D3AA8"/>
    <w:rsid w:val="001D7EF8"/>
    <w:rsid w:val="001E15AA"/>
    <w:rsid w:val="001E3FDE"/>
    <w:rsid w:val="001E7D37"/>
    <w:rsid w:val="001F0017"/>
    <w:rsid w:val="001F0952"/>
    <w:rsid w:val="001F13A5"/>
    <w:rsid w:val="001F4516"/>
    <w:rsid w:val="001F5412"/>
    <w:rsid w:val="001F5F9D"/>
    <w:rsid w:val="002056E6"/>
    <w:rsid w:val="00205E7B"/>
    <w:rsid w:val="00207FF6"/>
    <w:rsid w:val="00210A16"/>
    <w:rsid w:val="00210BBE"/>
    <w:rsid w:val="00211664"/>
    <w:rsid w:val="00212723"/>
    <w:rsid w:val="002139FC"/>
    <w:rsid w:val="00213DEA"/>
    <w:rsid w:val="002154F6"/>
    <w:rsid w:val="00215D86"/>
    <w:rsid w:val="002171B3"/>
    <w:rsid w:val="002239BE"/>
    <w:rsid w:val="00223A80"/>
    <w:rsid w:val="00230A31"/>
    <w:rsid w:val="0023323A"/>
    <w:rsid w:val="00240DA3"/>
    <w:rsid w:val="002442DD"/>
    <w:rsid w:val="002509A3"/>
    <w:rsid w:val="00255A40"/>
    <w:rsid w:val="00256312"/>
    <w:rsid w:val="00261E6B"/>
    <w:rsid w:val="00262653"/>
    <w:rsid w:val="00262B57"/>
    <w:rsid w:val="00263847"/>
    <w:rsid w:val="00264724"/>
    <w:rsid w:val="00267658"/>
    <w:rsid w:val="00277ADB"/>
    <w:rsid w:val="00280E60"/>
    <w:rsid w:val="00280FAE"/>
    <w:rsid w:val="002829AF"/>
    <w:rsid w:val="00282B69"/>
    <w:rsid w:val="00282C05"/>
    <w:rsid w:val="002842E3"/>
    <w:rsid w:val="00285E87"/>
    <w:rsid w:val="00286A6D"/>
    <w:rsid w:val="00286B62"/>
    <w:rsid w:val="00287D3E"/>
    <w:rsid w:val="00292370"/>
    <w:rsid w:val="00293367"/>
    <w:rsid w:val="00296C4C"/>
    <w:rsid w:val="00297352"/>
    <w:rsid w:val="002978B0"/>
    <w:rsid w:val="00297B09"/>
    <w:rsid w:val="002A181E"/>
    <w:rsid w:val="002A26E4"/>
    <w:rsid w:val="002A4041"/>
    <w:rsid w:val="002A49BF"/>
    <w:rsid w:val="002A5072"/>
    <w:rsid w:val="002A5CD7"/>
    <w:rsid w:val="002A6A4C"/>
    <w:rsid w:val="002A7A6A"/>
    <w:rsid w:val="002B12C4"/>
    <w:rsid w:val="002B4BF8"/>
    <w:rsid w:val="002B6F90"/>
    <w:rsid w:val="002C1A53"/>
    <w:rsid w:val="002C1FC3"/>
    <w:rsid w:val="002C29C0"/>
    <w:rsid w:val="002C36BA"/>
    <w:rsid w:val="002C3F55"/>
    <w:rsid w:val="002C43D7"/>
    <w:rsid w:val="002C4B5D"/>
    <w:rsid w:val="002D046B"/>
    <w:rsid w:val="002D12E4"/>
    <w:rsid w:val="002D2ED7"/>
    <w:rsid w:val="002D43EE"/>
    <w:rsid w:val="002D52C6"/>
    <w:rsid w:val="002E0B92"/>
    <w:rsid w:val="002E713A"/>
    <w:rsid w:val="002F06F8"/>
    <w:rsid w:val="002F1C69"/>
    <w:rsid w:val="002F1D49"/>
    <w:rsid w:val="002F42FC"/>
    <w:rsid w:val="002F7C3A"/>
    <w:rsid w:val="00302149"/>
    <w:rsid w:val="00302495"/>
    <w:rsid w:val="003052D3"/>
    <w:rsid w:val="00305C5C"/>
    <w:rsid w:val="00307589"/>
    <w:rsid w:val="0030798D"/>
    <w:rsid w:val="00307AF9"/>
    <w:rsid w:val="00307E18"/>
    <w:rsid w:val="00314778"/>
    <w:rsid w:val="0031596C"/>
    <w:rsid w:val="00317641"/>
    <w:rsid w:val="00317884"/>
    <w:rsid w:val="003205E0"/>
    <w:rsid w:val="00323DFD"/>
    <w:rsid w:val="0032680A"/>
    <w:rsid w:val="00332455"/>
    <w:rsid w:val="00333236"/>
    <w:rsid w:val="003334FE"/>
    <w:rsid w:val="00333A89"/>
    <w:rsid w:val="00334497"/>
    <w:rsid w:val="00334AF5"/>
    <w:rsid w:val="0033729F"/>
    <w:rsid w:val="00337C1C"/>
    <w:rsid w:val="00337D8C"/>
    <w:rsid w:val="003415E8"/>
    <w:rsid w:val="00341CBD"/>
    <w:rsid w:val="003426FC"/>
    <w:rsid w:val="00351F4E"/>
    <w:rsid w:val="00352BA5"/>
    <w:rsid w:val="00352FF1"/>
    <w:rsid w:val="00355C33"/>
    <w:rsid w:val="00357DEB"/>
    <w:rsid w:val="00360CBD"/>
    <w:rsid w:val="003610E0"/>
    <w:rsid w:val="00362224"/>
    <w:rsid w:val="00362F93"/>
    <w:rsid w:val="00364CB4"/>
    <w:rsid w:val="0037154C"/>
    <w:rsid w:val="00371618"/>
    <w:rsid w:val="00375522"/>
    <w:rsid w:val="00377620"/>
    <w:rsid w:val="00377927"/>
    <w:rsid w:val="003820D1"/>
    <w:rsid w:val="00382C9A"/>
    <w:rsid w:val="00383CCF"/>
    <w:rsid w:val="00384450"/>
    <w:rsid w:val="00387B4E"/>
    <w:rsid w:val="00390592"/>
    <w:rsid w:val="00390DAC"/>
    <w:rsid w:val="003931C9"/>
    <w:rsid w:val="0039534B"/>
    <w:rsid w:val="00397A04"/>
    <w:rsid w:val="003A0A7B"/>
    <w:rsid w:val="003A2F68"/>
    <w:rsid w:val="003A6399"/>
    <w:rsid w:val="003A6784"/>
    <w:rsid w:val="003B1721"/>
    <w:rsid w:val="003B3AF8"/>
    <w:rsid w:val="003B3D9A"/>
    <w:rsid w:val="003B40B7"/>
    <w:rsid w:val="003B4F5C"/>
    <w:rsid w:val="003B6635"/>
    <w:rsid w:val="003B78AE"/>
    <w:rsid w:val="003C049F"/>
    <w:rsid w:val="003C78FE"/>
    <w:rsid w:val="003C7E9C"/>
    <w:rsid w:val="003D12D4"/>
    <w:rsid w:val="003D2FD4"/>
    <w:rsid w:val="003D43B8"/>
    <w:rsid w:val="003D5D79"/>
    <w:rsid w:val="003D6AC0"/>
    <w:rsid w:val="003D7538"/>
    <w:rsid w:val="003E4415"/>
    <w:rsid w:val="003E4937"/>
    <w:rsid w:val="003F18C5"/>
    <w:rsid w:val="003F283E"/>
    <w:rsid w:val="003F6E94"/>
    <w:rsid w:val="003F7A44"/>
    <w:rsid w:val="00401706"/>
    <w:rsid w:val="00402CDB"/>
    <w:rsid w:val="00403F02"/>
    <w:rsid w:val="00407B13"/>
    <w:rsid w:val="00407DE9"/>
    <w:rsid w:val="004147B3"/>
    <w:rsid w:val="00414BB1"/>
    <w:rsid w:val="004176F2"/>
    <w:rsid w:val="0042112E"/>
    <w:rsid w:val="00422847"/>
    <w:rsid w:val="00423124"/>
    <w:rsid w:val="004243A9"/>
    <w:rsid w:val="004261B1"/>
    <w:rsid w:val="004263D4"/>
    <w:rsid w:val="00426865"/>
    <w:rsid w:val="00427065"/>
    <w:rsid w:val="00427651"/>
    <w:rsid w:val="0043064B"/>
    <w:rsid w:val="00430C60"/>
    <w:rsid w:val="00431C12"/>
    <w:rsid w:val="00433295"/>
    <w:rsid w:val="00434A26"/>
    <w:rsid w:val="004471A3"/>
    <w:rsid w:val="00450D30"/>
    <w:rsid w:val="00451607"/>
    <w:rsid w:val="00453EB9"/>
    <w:rsid w:val="004544B0"/>
    <w:rsid w:val="004553AB"/>
    <w:rsid w:val="00456318"/>
    <w:rsid w:val="00466492"/>
    <w:rsid w:val="00467FEE"/>
    <w:rsid w:val="00471C86"/>
    <w:rsid w:val="00473371"/>
    <w:rsid w:val="0047408B"/>
    <w:rsid w:val="00474452"/>
    <w:rsid w:val="00477BB0"/>
    <w:rsid w:val="00480DB8"/>
    <w:rsid w:val="00486013"/>
    <w:rsid w:val="004869F1"/>
    <w:rsid w:val="00486B34"/>
    <w:rsid w:val="00486CE0"/>
    <w:rsid w:val="00487007"/>
    <w:rsid w:val="00487CCB"/>
    <w:rsid w:val="0049302C"/>
    <w:rsid w:val="004947F6"/>
    <w:rsid w:val="00496F7C"/>
    <w:rsid w:val="004A01AF"/>
    <w:rsid w:val="004A1514"/>
    <w:rsid w:val="004A1A19"/>
    <w:rsid w:val="004A52D9"/>
    <w:rsid w:val="004B2E59"/>
    <w:rsid w:val="004B2EBC"/>
    <w:rsid w:val="004B393A"/>
    <w:rsid w:val="004B643D"/>
    <w:rsid w:val="004B6C67"/>
    <w:rsid w:val="004B7783"/>
    <w:rsid w:val="004C0BC5"/>
    <w:rsid w:val="004C4A50"/>
    <w:rsid w:val="004C6C5A"/>
    <w:rsid w:val="004C797D"/>
    <w:rsid w:val="004D0FF7"/>
    <w:rsid w:val="004D1538"/>
    <w:rsid w:val="004E129B"/>
    <w:rsid w:val="004E2474"/>
    <w:rsid w:val="004E297C"/>
    <w:rsid w:val="004E3708"/>
    <w:rsid w:val="004E7237"/>
    <w:rsid w:val="004E7383"/>
    <w:rsid w:val="004F2439"/>
    <w:rsid w:val="004F5982"/>
    <w:rsid w:val="004F602B"/>
    <w:rsid w:val="004F6471"/>
    <w:rsid w:val="004F6D87"/>
    <w:rsid w:val="004F6E9F"/>
    <w:rsid w:val="00503B0F"/>
    <w:rsid w:val="005053A4"/>
    <w:rsid w:val="005062CE"/>
    <w:rsid w:val="00507862"/>
    <w:rsid w:val="00512DAB"/>
    <w:rsid w:val="00513389"/>
    <w:rsid w:val="005145C8"/>
    <w:rsid w:val="00516C70"/>
    <w:rsid w:val="005176C6"/>
    <w:rsid w:val="00520390"/>
    <w:rsid w:val="00522719"/>
    <w:rsid w:val="00522976"/>
    <w:rsid w:val="00523379"/>
    <w:rsid w:val="00526607"/>
    <w:rsid w:val="005266D9"/>
    <w:rsid w:val="005279A1"/>
    <w:rsid w:val="00531428"/>
    <w:rsid w:val="00537062"/>
    <w:rsid w:val="005405FD"/>
    <w:rsid w:val="00544E85"/>
    <w:rsid w:val="00550964"/>
    <w:rsid w:val="0055203E"/>
    <w:rsid w:val="00553BBB"/>
    <w:rsid w:val="00554A71"/>
    <w:rsid w:val="00556B79"/>
    <w:rsid w:val="00557726"/>
    <w:rsid w:val="00557AE2"/>
    <w:rsid w:val="0056471A"/>
    <w:rsid w:val="0056482B"/>
    <w:rsid w:val="0056496B"/>
    <w:rsid w:val="00564D39"/>
    <w:rsid w:val="0056600F"/>
    <w:rsid w:val="00570DEF"/>
    <w:rsid w:val="00575259"/>
    <w:rsid w:val="005755F1"/>
    <w:rsid w:val="00584245"/>
    <w:rsid w:val="00584EC1"/>
    <w:rsid w:val="005856E7"/>
    <w:rsid w:val="005900E4"/>
    <w:rsid w:val="00590510"/>
    <w:rsid w:val="00590E4F"/>
    <w:rsid w:val="00591274"/>
    <w:rsid w:val="00591731"/>
    <w:rsid w:val="00593820"/>
    <w:rsid w:val="005A00A6"/>
    <w:rsid w:val="005A0FC1"/>
    <w:rsid w:val="005A381A"/>
    <w:rsid w:val="005A3BE2"/>
    <w:rsid w:val="005A45A7"/>
    <w:rsid w:val="005A46D4"/>
    <w:rsid w:val="005A5E5E"/>
    <w:rsid w:val="005B1445"/>
    <w:rsid w:val="005B2817"/>
    <w:rsid w:val="005B32CC"/>
    <w:rsid w:val="005B4362"/>
    <w:rsid w:val="005B6429"/>
    <w:rsid w:val="005B763D"/>
    <w:rsid w:val="005C0EAA"/>
    <w:rsid w:val="005C149A"/>
    <w:rsid w:val="005C43BC"/>
    <w:rsid w:val="005C73E6"/>
    <w:rsid w:val="005D0680"/>
    <w:rsid w:val="005D1A97"/>
    <w:rsid w:val="005D29E7"/>
    <w:rsid w:val="005D48EF"/>
    <w:rsid w:val="005D6612"/>
    <w:rsid w:val="005D7E40"/>
    <w:rsid w:val="005E0DF1"/>
    <w:rsid w:val="005E1BD4"/>
    <w:rsid w:val="005E476A"/>
    <w:rsid w:val="005E478F"/>
    <w:rsid w:val="005E53BB"/>
    <w:rsid w:val="005E6479"/>
    <w:rsid w:val="005E7555"/>
    <w:rsid w:val="005E7C0D"/>
    <w:rsid w:val="005F48B2"/>
    <w:rsid w:val="005F4C5B"/>
    <w:rsid w:val="005F5BCB"/>
    <w:rsid w:val="005F6A31"/>
    <w:rsid w:val="005F705E"/>
    <w:rsid w:val="0060033A"/>
    <w:rsid w:val="00604C9A"/>
    <w:rsid w:val="006071D3"/>
    <w:rsid w:val="00607D50"/>
    <w:rsid w:val="00611740"/>
    <w:rsid w:val="006120A9"/>
    <w:rsid w:val="00615631"/>
    <w:rsid w:val="00616C15"/>
    <w:rsid w:val="00617529"/>
    <w:rsid w:val="0062140B"/>
    <w:rsid w:val="00623D29"/>
    <w:rsid w:val="00624D8E"/>
    <w:rsid w:val="00630116"/>
    <w:rsid w:val="006313BB"/>
    <w:rsid w:val="00636431"/>
    <w:rsid w:val="006424A6"/>
    <w:rsid w:val="00642D79"/>
    <w:rsid w:val="00644138"/>
    <w:rsid w:val="00645CA8"/>
    <w:rsid w:val="006506EC"/>
    <w:rsid w:val="00652129"/>
    <w:rsid w:val="00657ADC"/>
    <w:rsid w:val="00657B53"/>
    <w:rsid w:val="0066012D"/>
    <w:rsid w:val="006609CA"/>
    <w:rsid w:val="00663B3E"/>
    <w:rsid w:val="00664595"/>
    <w:rsid w:val="00665C60"/>
    <w:rsid w:val="00666181"/>
    <w:rsid w:val="00666B75"/>
    <w:rsid w:val="006670B0"/>
    <w:rsid w:val="0067432A"/>
    <w:rsid w:val="006760AA"/>
    <w:rsid w:val="00677E2B"/>
    <w:rsid w:val="006817C8"/>
    <w:rsid w:val="00683523"/>
    <w:rsid w:val="00683970"/>
    <w:rsid w:val="00683CD4"/>
    <w:rsid w:val="006841ED"/>
    <w:rsid w:val="006844D4"/>
    <w:rsid w:val="00685570"/>
    <w:rsid w:val="00693F55"/>
    <w:rsid w:val="006955BF"/>
    <w:rsid w:val="006A0AAC"/>
    <w:rsid w:val="006A55CE"/>
    <w:rsid w:val="006B20D8"/>
    <w:rsid w:val="006B25F6"/>
    <w:rsid w:val="006B62C6"/>
    <w:rsid w:val="006B65FD"/>
    <w:rsid w:val="006C21A8"/>
    <w:rsid w:val="006C28F7"/>
    <w:rsid w:val="006D009E"/>
    <w:rsid w:val="006D1226"/>
    <w:rsid w:val="006D143A"/>
    <w:rsid w:val="006D1D63"/>
    <w:rsid w:val="006D210C"/>
    <w:rsid w:val="006D49E1"/>
    <w:rsid w:val="006D5D99"/>
    <w:rsid w:val="006D7713"/>
    <w:rsid w:val="006E00C5"/>
    <w:rsid w:val="006E1C85"/>
    <w:rsid w:val="006E4778"/>
    <w:rsid w:val="006E7104"/>
    <w:rsid w:val="006F28F9"/>
    <w:rsid w:val="006F4F4A"/>
    <w:rsid w:val="006F508C"/>
    <w:rsid w:val="006F76EB"/>
    <w:rsid w:val="00701015"/>
    <w:rsid w:val="007040C0"/>
    <w:rsid w:val="00705E04"/>
    <w:rsid w:val="007074F8"/>
    <w:rsid w:val="007130F9"/>
    <w:rsid w:val="00714E9D"/>
    <w:rsid w:val="007204C4"/>
    <w:rsid w:val="00721A6C"/>
    <w:rsid w:val="00731163"/>
    <w:rsid w:val="00732974"/>
    <w:rsid w:val="007342DE"/>
    <w:rsid w:val="007349DC"/>
    <w:rsid w:val="007374BF"/>
    <w:rsid w:val="007413FF"/>
    <w:rsid w:val="00744943"/>
    <w:rsid w:val="00745ADC"/>
    <w:rsid w:val="00746502"/>
    <w:rsid w:val="007467C7"/>
    <w:rsid w:val="0074785B"/>
    <w:rsid w:val="007527B5"/>
    <w:rsid w:val="00753550"/>
    <w:rsid w:val="00753A7B"/>
    <w:rsid w:val="00754307"/>
    <w:rsid w:val="0075661F"/>
    <w:rsid w:val="00761CCE"/>
    <w:rsid w:val="00762F9B"/>
    <w:rsid w:val="007643CC"/>
    <w:rsid w:val="00767CCB"/>
    <w:rsid w:val="00770E2B"/>
    <w:rsid w:val="00771BAF"/>
    <w:rsid w:val="0077226C"/>
    <w:rsid w:val="00772718"/>
    <w:rsid w:val="00772797"/>
    <w:rsid w:val="00777144"/>
    <w:rsid w:val="007773B5"/>
    <w:rsid w:val="00777780"/>
    <w:rsid w:val="00777961"/>
    <w:rsid w:val="00777CF2"/>
    <w:rsid w:val="00780BC1"/>
    <w:rsid w:val="00783067"/>
    <w:rsid w:val="00784CE1"/>
    <w:rsid w:val="00787E8A"/>
    <w:rsid w:val="00787EA1"/>
    <w:rsid w:val="007902F3"/>
    <w:rsid w:val="00790EC7"/>
    <w:rsid w:val="0079750A"/>
    <w:rsid w:val="007A6DFB"/>
    <w:rsid w:val="007B34A0"/>
    <w:rsid w:val="007B5A44"/>
    <w:rsid w:val="007B65EB"/>
    <w:rsid w:val="007C016F"/>
    <w:rsid w:val="007C3BBD"/>
    <w:rsid w:val="007C43CF"/>
    <w:rsid w:val="007C46E0"/>
    <w:rsid w:val="007C5173"/>
    <w:rsid w:val="007D0283"/>
    <w:rsid w:val="007D2DC5"/>
    <w:rsid w:val="007D3426"/>
    <w:rsid w:val="007D3755"/>
    <w:rsid w:val="007D4941"/>
    <w:rsid w:val="007D7DA2"/>
    <w:rsid w:val="007E1C16"/>
    <w:rsid w:val="007E45D0"/>
    <w:rsid w:val="007E5F3D"/>
    <w:rsid w:val="007E68F0"/>
    <w:rsid w:val="007E6BCD"/>
    <w:rsid w:val="007E7F61"/>
    <w:rsid w:val="007F2644"/>
    <w:rsid w:val="007F2846"/>
    <w:rsid w:val="007F36C6"/>
    <w:rsid w:val="007F38F2"/>
    <w:rsid w:val="007F5A60"/>
    <w:rsid w:val="007F6CA3"/>
    <w:rsid w:val="007F7B1C"/>
    <w:rsid w:val="008011F9"/>
    <w:rsid w:val="0080170B"/>
    <w:rsid w:val="00803CF9"/>
    <w:rsid w:val="00803E4B"/>
    <w:rsid w:val="00804804"/>
    <w:rsid w:val="008048D0"/>
    <w:rsid w:val="008057F1"/>
    <w:rsid w:val="008116D5"/>
    <w:rsid w:val="008119C0"/>
    <w:rsid w:val="0081247E"/>
    <w:rsid w:val="00814E26"/>
    <w:rsid w:val="0081587C"/>
    <w:rsid w:val="00815B19"/>
    <w:rsid w:val="00815DE6"/>
    <w:rsid w:val="008214E9"/>
    <w:rsid w:val="00826A20"/>
    <w:rsid w:val="00827072"/>
    <w:rsid w:val="008270E4"/>
    <w:rsid w:val="00827A4D"/>
    <w:rsid w:val="00830690"/>
    <w:rsid w:val="00833B50"/>
    <w:rsid w:val="008406B4"/>
    <w:rsid w:val="00841B06"/>
    <w:rsid w:val="00843404"/>
    <w:rsid w:val="00847DA5"/>
    <w:rsid w:val="0085075A"/>
    <w:rsid w:val="0085119E"/>
    <w:rsid w:val="00852B2A"/>
    <w:rsid w:val="00856091"/>
    <w:rsid w:val="00856708"/>
    <w:rsid w:val="008603F3"/>
    <w:rsid w:val="00862301"/>
    <w:rsid w:val="00863139"/>
    <w:rsid w:val="008640BA"/>
    <w:rsid w:val="00864219"/>
    <w:rsid w:val="00865163"/>
    <w:rsid w:val="00866FB4"/>
    <w:rsid w:val="008675E2"/>
    <w:rsid w:val="00873C99"/>
    <w:rsid w:val="00874504"/>
    <w:rsid w:val="00874E90"/>
    <w:rsid w:val="00877348"/>
    <w:rsid w:val="00881DE0"/>
    <w:rsid w:val="00882F17"/>
    <w:rsid w:val="00887430"/>
    <w:rsid w:val="00887B3C"/>
    <w:rsid w:val="00890A75"/>
    <w:rsid w:val="00890DC3"/>
    <w:rsid w:val="0089319F"/>
    <w:rsid w:val="00897825"/>
    <w:rsid w:val="00897C92"/>
    <w:rsid w:val="008A0FEC"/>
    <w:rsid w:val="008A3EE2"/>
    <w:rsid w:val="008A55CF"/>
    <w:rsid w:val="008B1012"/>
    <w:rsid w:val="008B170E"/>
    <w:rsid w:val="008B1DE6"/>
    <w:rsid w:val="008B2F3A"/>
    <w:rsid w:val="008B6709"/>
    <w:rsid w:val="008B6FEB"/>
    <w:rsid w:val="008C13E4"/>
    <w:rsid w:val="008C52C3"/>
    <w:rsid w:val="008C65C0"/>
    <w:rsid w:val="008C76E0"/>
    <w:rsid w:val="008D05A2"/>
    <w:rsid w:val="008D08B9"/>
    <w:rsid w:val="008D0D54"/>
    <w:rsid w:val="008D2718"/>
    <w:rsid w:val="008D457F"/>
    <w:rsid w:val="008D7461"/>
    <w:rsid w:val="008E009C"/>
    <w:rsid w:val="008E1BE5"/>
    <w:rsid w:val="008E1DFB"/>
    <w:rsid w:val="008E1F21"/>
    <w:rsid w:val="008E4EB1"/>
    <w:rsid w:val="008F1B23"/>
    <w:rsid w:val="008F21A4"/>
    <w:rsid w:val="008F2A1F"/>
    <w:rsid w:val="008F5319"/>
    <w:rsid w:val="008F5F14"/>
    <w:rsid w:val="00900CB9"/>
    <w:rsid w:val="00902742"/>
    <w:rsid w:val="00903D92"/>
    <w:rsid w:val="00905488"/>
    <w:rsid w:val="0090711F"/>
    <w:rsid w:val="009073F4"/>
    <w:rsid w:val="00910A59"/>
    <w:rsid w:val="00911A59"/>
    <w:rsid w:val="00911FE5"/>
    <w:rsid w:val="0091782A"/>
    <w:rsid w:val="009211E1"/>
    <w:rsid w:val="00923BA3"/>
    <w:rsid w:val="00924988"/>
    <w:rsid w:val="0092500F"/>
    <w:rsid w:val="00931D34"/>
    <w:rsid w:val="00940547"/>
    <w:rsid w:val="00943766"/>
    <w:rsid w:val="009443D2"/>
    <w:rsid w:val="00945A7B"/>
    <w:rsid w:val="00946981"/>
    <w:rsid w:val="009544CF"/>
    <w:rsid w:val="00954DBE"/>
    <w:rsid w:val="00955C1D"/>
    <w:rsid w:val="00956EAC"/>
    <w:rsid w:val="0096007B"/>
    <w:rsid w:val="00960E63"/>
    <w:rsid w:val="00963EE1"/>
    <w:rsid w:val="00966DB9"/>
    <w:rsid w:val="0097392D"/>
    <w:rsid w:val="00974276"/>
    <w:rsid w:val="00976DFA"/>
    <w:rsid w:val="00986A6E"/>
    <w:rsid w:val="00986B92"/>
    <w:rsid w:val="00992755"/>
    <w:rsid w:val="0099364A"/>
    <w:rsid w:val="00995B6C"/>
    <w:rsid w:val="00997473"/>
    <w:rsid w:val="009A0199"/>
    <w:rsid w:val="009A01E5"/>
    <w:rsid w:val="009A0FA0"/>
    <w:rsid w:val="009A3F22"/>
    <w:rsid w:val="009A6983"/>
    <w:rsid w:val="009A7168"/>
    <w:rsid w:val="009A76BE"/>
    <w:rsid w:val="009A7E3B"/>
    <w:rsid w:val="009B121E"/>
    <w:rsid w:val="009B1807"/>
    <w:rsid w:val="009B1A3F"/>
    <w:rsid w:val="009B6AA0"/>
    <w:rsid w:val="009B7300"/>
    <w:rsid w:val="009B75EA"/>
    <w:rsid w:val="009C2B4F"/>
    <w:rsid w:val="009C2BA4"/>
    <w:rsid w:val="009C4732"/>
    <w:rsid w:val="009C4CE7"/>
    <w:rsid w:val="009C54B9"/>
    <w:rsid w:val="009C58BE"/>
    <w:rsid w:val="009C5D43"/>
    <w:rsid w:val="009C7514"/>
    <w:rsid w:val="009C779E"/>
    <w:rsid w:val="009D04BC"/>
    <w:rsid w:val="009D1C0A"/>
    <w:rsid w:val="009D2161"/>
    <w:rsid w:val="009D5590"/>
    <w:rsid w:val="009D60BE"/>
    <w:rsid w:val="009D74A1"/>
    <w:rsid w:val="009E569B"/>
    <w:rsid w:val="009E7E45"/>
    <w:rsid w:val="009F2902"/>
    <w:rsid w:val="009F49FE"/>
    <w:rsid w:val="009F5829"/>
    <w:rsid w:val="009F62EE"/>
    <w:rsid w:val="009F7218"/>
    <w:rsid w:val="009F799D"/>
    <w:rsid w:val="009F7A79"/>
    <w:rsid w:val="00A00382"/>
    <w:rsid w:val="00A01F98"/>
    <w:rsid w:val="00A028E3"/>
    <w:rsid w:val="00A13B22"/>
    <w:rsid w:val="00A258AD"/>
    <w:rsid w:val="00A26AE7"/>
    <w:rsid w:val="00A33E6C"/>
    <w:rsid w:val="00A35372"/>
    <w:rsid w:val="00A37C9C"/>
    <w:rsid w:val="00A40351"/>
    <w:rsid w:val="00A4168F"/>
    <w:rsid w:val="00A467DA"/>
    <w:rsid w:val="00A552FD"/>
    <w:rsid w:val="00A5746F"/>
    <w:rsid w:val="00A63AE9"/>
    <w:rsid w:val="00A64B69"/>
    <w:rsid w:val="00A64FAB"/>
    <w:rsid w:val="00A721D8"/>
    <w:rsid w:val="00A81E1F"/>
    <w:rsid w:val="00A837EF"/>
    <w:rsid w:val="00A8592B"/>
    <w:rsid w:val="00A86C06"/>
    <w:rsid w:val="00A926FB"/>
    <w:rsid w:val="00A93613"/>
    <w:rsid w:val="00A93D09"/>
    <w:rsid w:val="00A958BD"/>
    <w:rsid w:val="00AA1428"/>
    <w:rsid w:val="00AA40D1"/>
    <w:rsid w:val="00AA49B7"/>
    <w:rsid w:val="00AA6052"/>
    <w:rsid w:val="00AB17F6"/>
    <w:rsid w:val="00AB2473"/>
    <w:rsid w:val="00AB3E9B"/>
    <w:rsid w:val="00AB4B3F"/>
    <w:rsid w:val="00AB5268"/>
    <w:rsid w:val="00AC17B1"/>
    <w:rsid w:val="00AC2080"/>
    <w:rsid w:val="00AC3C46"/>
    <w:rsid w:val="00AC6512"/>
    <w:rsid w:val="00AC7652"/>
    <w:rsid w:val="00AC781D"/>
    <w:rsid w:val="00AD2459"/>
    <w:rsid w:val="00AD25E2"/>
    <w:rsid w:val="00AD33B0"/>
    <w:rsid w:val="00AD40A4"/>
    <w:rsid w:val="00AD42C8"/>
    <w:rsid w:val="00AD60A7"/>
    <w:rsid w:val="00AD6AA7"/>
    <w:rsid w:val="00AE0F20"/>
    <w:rsid w:val="00AE135F"/>
    <w:rsid w:val="00AE34C3"/>
    <w:rsid w:val="00AE5D44"/>
    <w:rsid w:val="00AE5F29"/>
    <w:rsid w:val="00AE718E"/>
    <w:rsid w:val="00AF3B62"/>
    <w:rsid w:val="00AF44DC"/>
    <w:rsid w:val="00AF5497"/>
    <w:rsid w:val="00AF71F9"/>
    <w:rsid w:val="00B02202"/>
    <w:rsid w:val="00B03D1A"/>
    <w:rsid w:val="00B05E57"/>
    <w:rsid w:val="00B130D4"/>
    <w:rsid w:val="00B17E8D"/>
    <w:rsid w:val="00B22ED9"/>
    <w:rsid w:val="00B24BA9"/>
    <w:rsid w:val="00B27DA0"/>
    <w:rsid w:val="00B31383"/>
    <w:rsid w:val="00B33CEC"/>
    <w:rsid w:val="00B342B8"/>
    <w:rsid w:val="00B34586"/>
    <w:rsid w:val="00B37B32"/>
    <w:rsid w:val="00B43712"/>
    <w:rsid w:val="00B45C4F"/>
    <w:rsid w:val="00B50A2C"/>
    <w:rsid w:val="00B51587"/>
    <w:rsid w:val="00B51AC3"/>
    <w:rsid w:val="00B53B6E"/>
    <w:rsid w:val="00B55756"/>
    <w:rsid w:val="00B55B10"/>
    <w:rsid w:val="00B55C20"/>
    <w:rsid w:val="00B57243"/>
    <w:rsid w:val="00B572F1"/>
    <w:rsid w:val="00B57BA8"/>
    <w:rsid w:val="00B65152"/>
    <w:rsid w:val="00B70A34"/>
    <w:rsid w:val="00B70AD0"/>
    <w:rsid w:val="00B71A73"/>
    <w:rsid w:val="00B7356B"/>
    <w:rsid w:val="00B77950"/>
    <w:rsid w:val="00B80961"/>
    <w:rsid w:val="00B81600"/>
    <w:rsid w:val="00B825FD"/>
    <w:rsid w:val="00B843EA"/>
    <w:rsid w:val="00B85A13"/>
    <w:rsid w:val="00B86909"/>
    <w:rsid w:val="00B909BC"/>
    <w:rsid w:val="00B90C69"/>
    <w:rsid w:val="00B94497"/>
    <w:rsid w:val="00B973BA"/>
    <w:rsid w:val="00B9781A"/>
    <w:rsid w:val="00BA306B"/>
    <w:rsid w:val="00BA33FD"/>
    <w:rsid w:val="00BA3580"/>
    <w:rsid w:val="00BA6133"/>
    <w:rsid w:val="00BA6538"/>
    <w:rsid w:val="00BB3749"/>
    <w:rsid w:val="00BC08C4"/>
    <w:rsid w:val="00BC09C1"/>
    <w:rsid w:val="00BC1C3A"/>
    <w:rsid w:val="00BC2E57"/>
    <w:rsid w:val="00BC304C"/>
    <w:rsid w:val="00BC52BC"/>
    <w:rsid w:val="00BC53C9"/>
    <w:rsid w:val="00BD5463"/>
    <w:rsid w:val="00BD6255"/>
    <w:rsid w:val="00BD67EC"/>
    <w:rsid w:val="00BE0DB5"/>
    <w:rsid w:val="00BE3D4E"/>
    <w:rsid w:val="00BE625D"/>
    <w:rsid w:val="00BF6997"/>
    <w:rsid w:val="00BF7F2E"/>
    <w:rsid w:val="00C02BB4"/>
    <w:rsid w:val="00C04974"/>
    <w:rsid w:val="00C10168"/>
    <w:rsid w:val="00C10893"/>
    <w:rsid w:val="00C12709"/>
    <w:rsid w:val="00C153B1"/>
    <w:rsid w:val="00C20726"/>
    <w:rsid w:val="00C24AC8"/>
    <w:rsid w:val="00C27DC3"/>
    <w:rsid w:val="00C31D56"/>
    <w:rsid w:val="00C343E2"/>
    <w:rsid w:val="00C3591E"/>
    <w:rsid w:val="00C43BF0"/>
    <w:rsid w:val="00C44BED"/>
    <w:rsid w:val="00C44EAE"/>
    <w:rsid w:val="00C5295D"/>
    <w:rsid w:val="00C54D75"/>
    <w:rsid w:val="00C623FA"/>
    <w:rsid w:val="00C648A4"/>
    <w:rsid w:val="00C64A77"/>
    <w:rsid w:val="00C64C1C"/>
    <w:rsid w:val="00C65270"/>
    <w:rsid w:val="00C67BCC"/>
    <w:rsid w:val="00C72BDE"/>
    <w:rsid w:val="00C72D24"/>
    <w:rsid w:val="00C76C8E"/>
    <w:rsid w:val="00C83269"/>
    <w:rsid w:val="00C8417C"/>
    <w:rsid w:val="00C84A60"/>
    <w:rsid w:val="00C9094D"/>
    <w:rsid w:val="00C924A8"/>
    <w:rsid w:val="00C95283"/>
    <w:rsid w:val="00C95F07"/>
    <w:rsid w:val="00C968AE"/>
    <w:rsid w:val="00CA0D65"/>
    <w:rsid w:val="00CA6C8F"/>
    <w:rsid w:val="00CB05D5"/>
    <w:rsid w:val="00CB3DC3"/>
    <w:rsid w:val="00CB5063"/>
    <w:rsid w:val="00CB552F"/>
    <w:rsid w:val="00CB78D1"/>
    <w:rsid w:val="00CB7C73"/>
    <w:rsid w:val="00CC2A2B"/>
    <w:rsid w:val="00CC3F54"/>
    <w:rsid w:val="00CC7B7C"/>
    <w:rsid w:val="00CD23DD"/>
    <w:rsid w:val="00CD4450"/>
    <w:rsid w:val="00CD6E34"/>
    <w:rsid w:val="00CE1C3D"/>
    <w:rsid w:val="00CE376C"/>
    <w:rsid w:val="00CE405F"/>
    <w:rsid w:val="00CE640A"/>
    <w:rsid w:val="00CE6A25"/>
    <w:rsid w:val="00CF27EA"/>
    <w:rsid w:val="00CF3A66"/>
    <w:rsid w:val="00D002A4"/>
    <w:rsid w:val="00D01EE2"/>
    <w:rsid w:val="00D02258"/>
    <w:rsid w:val="00D0538A"/>
    <w:rsid w:val="00D05A7F"/>
    <w:rsid w:val="00D0637C"/>
    <w:rsid w:val="00D0720C"/>
    <w:rsid w:val="00D072A2"/>
    <w:rsid w:val="00D1595A"/>
    <w:rsid w:val="00D165CF"/>
    <w:rsid w:val="00D20005"/>
    <w:rsid w:val="00D23305"/>
    <w:rsid w:val="00D23507"/>
    <w:rsid w:val="00D23E48"/>
    <w:rsid w:val="00D249A2"/>
    <w:rsid w:val="00D25F26"/>
    <w:rsid w:val="00D30BD0"/>
    <w:rsid w:val="00D31CBE"/>
    <w:rsid w:val="00D32C7C"/>
    <w:rsid w:val="00D37FAA"/>
    <w:rsid w:val="00D4123F"/>
    <w:rsid w:val="00D5241F"/>
    <w:rsid w:val="00D535D5"/>
    <w:rsid w:val="00D55404"/>
    <w:rsid w:val="00D55D9D"/>
    <w:rsid w:val="00D55E26"/>
    <w:rsid w:val="00D569EF"/>
    <w:rsid w:val="00D5703A"/>
    <w:rsid w:val="00D62886"/>
    <w:rsid w:val="00D62AFA"/>
    <w:rsid w:val="00D641AF"/>
    <w:rsid w:val="00D64329"/>
    <w:rsid w:val="00D64C8E"/>
    <w:rsid w:val="00D658FC"/>
    <w:rsid w:val="00D7038A"/>
    <w:rsid w:val="00D72CF4"/>
    <w:rsid w:val="00D73647"/>
    <w:rsid w:val="00D75041"/>
    <w:rsid w:val="00D75BED"/>
    <w:rsid w:val="00D774F6"/>
    <w:rsid w:val="00D80EDD"/>
    <w:rsid w:val="00D82AAA"/>
    <w:rsid w:val="00D85A6C"/>
    <w:rsid w:val="00D8646A"/>
    <w:rsid w:val="00D8713A"/>
    <w:rsid w:val="00D87E6B"/>
    <w:rsid w:val="00D90782"/>
    <w:rsid w:val="00D91652"/>
    <w:rsid w:val="00D9182D"/>
    <w:rsid w:val="00D9689B"/>
    <w:rsid w:val="00DA2EF5"/>
    <w:rsid w:val="00DA3B36"/>
    <w:rsid w:val="00DA5BB8"/>
    <w:rsid w:val="00DA62B0"/>
    <w:rsid w:val="00DA7019"/>
    <w:rsid w:val="00DA72D4"/>
    <w:rsid w:val="00DA7D09"/>
    <w:rsid w:val="00DB0024"/>
    <w:rsid w:val="00DB2544"/>
    <w:rsid w:val="00DB5C8B"/>
    <w:rsid w:val="00DB6032"/>
    <w:rsid w:val="00DB7012"/>
    <w:rsid w:val="00DC233B"/>
    <w:rsid w:val="00DC2F35"/>
    <w:rsid w:val="00DC3B8B"/>
    <w:rsid w:val="00DC4194"/>
    <w:rsid w:val="00DC43E8"/>
    <w:rsid w:val="00DD375B"/>
    <w:rsid w:val="00DD42F6"/>
    <w:rsid w:val="00DD4367"/>
    <w:rsid w:val="00DD4724"/>
    <w:rsid w:val="00DE0437"/>
    <w:rsid w:val="00DE1FF5"/>
    <w:rsid w:val="00DE2245"/>
    <w:rsid w:val="00DE4B55"/>
    <w:rsid w:val="00DE6349"/>
    <w:rsid w:val="00DE6764"/>
    <w:rsid w:val="00DE713C"/>
    <w:rsid w:val="00DE7674"/>
    <w:rsid w:val="00DE7B58"/>
    <w:rsid w:val="00DE7C06"/>
    <w:rsid w:val="00DF4D5F"/>
    <w:rsid w:val="00DF65A4"/>
    <w:rsid w:val="00DF7AD8"/>
    <w:rsid w:val="00DF7CF1"/>
    <w:rsid w:val="00E00A03"/>
    <w:rsid w:val="00E0352E"/>
    <w:rsid w:val="00E0547B"/>
    <w:rsid w:val="00E06CAB"/>
    <w:rsid w:val="00E13489"/>
    <w:rsid w:val="00E15800"/>
    <w:rsid w:val="00E15E7D"/>
    <w:rsid w:val="00E16730"/>
    <w:rsid w:val="00E210C9"/>
    <w:rsid w:val="00E2752F"/>
    <w:rsid w:val="00E3366C"/>
    <w:rsid w:val="00E34442"/>
    <w:rsid w:val="00E369DB"/>
    <w:rsid w:val="00E430CB"/>
    <w:rsid w:val="00E46212"/>
    <w:rsid w:val="00E4709D"/>
    <w:rsid w:val="00E47854"/>
    <w:rsid w:val="00E5048D"/>
    <w:rsid w:val="00E56CF0"/>
    <w:rsid w:val="00E60B69"/>
    <w:rsid w:val="00E61438"/>
    <w:rsid w:val="00E633A0"/>
    <w:rsid w:val="00E70EE4"/>
    <w:rsid w:val="00E721AC"/>
    <w:rsid w:val="00E74ADC"/>
    <w:rsid w:val="00E7523C"/>
    <w:rsid w:val="00E77BB3"/>
    <w:rsid w:val="00E8176E"/>
    <w:rsid w:val="00E8196D"/>
    <w:rsid w:val="00E85669"/>
    <w:rsid w:val="00E87C1C"/>
    <w:rsid w:val="00E87E9C"/>
    <w:rsid w:val="00E902EF"/>
    <w:rsid w:val="00E90FAF"/>
    <w:rsid w:val="00E9295E"/>
    <w:rsid w:val="00E93A30"/>
    <w:rsid w:val="00E97622"/>
    <w:rsid w:val="00EA3238"/>
    <w:rsid w:val="00EA467C"/>
    <w:rsid w:val="00EB184D"/>
    <w:rsid w:val="00EB2655"/>
    <w:rsid w:val="00EB42EC"/>
    <w:rsid w:val="00EB7D73"/>
    <w:rsid w:val="00EC21ED"/>
    <w:rsid w:val="00EC2BCE"/>
    <w:rsid w:val="00EC2CD0"/>
    <w:rsid w:val="00EC36F7"/>
    <w:rsid w:val="00EC398F"/>
    <w:rsid w:val="00EC4C5B"/>
    <w:rsid w:val="00EC6304"/>
    <w:rsid w:val="00EC7E9F"/>
    <w:rsid w:val="00ED2665"/>
    <w:rsid w:val="00ED35B6"/>
    <w:rsid w:val="00ED4AEB"/>
    <w:rsid w:val="00ED52E1"/>
    <w:rsid w:val="00ED68B9"/>
    <w:rsid w:val="00EE00B2"/>
    <w:rsid w:val="00EF1B25"/>
    <w:rsid w:val="00F01D9F"/>
    <w:rsid w:val="00F06D43"/>
    <w:rsid w:val="00F102EA"/>
    <w:rsid w:val="00F10DF3"/>
    <w:rsid w:val="00F12109"/>
    <w:rsid w:val="00F13EB4"/>
    <w:rsid w:val="00F157AF"/>
    <w:rsid w:val="00F24A75"/>
    <w:rsid w:val="00F24C8B"/>
    <w:rsid w:val="00F251C5"/>
    <w:rsid w:val="00F26B87"/>
    <w:rsid w:val="00F278B2"/>
    <w:rsid w:val="00F30D28"/>
    <w:rsid w:val="00F312F7"/>
    <w:rsid w:val="00F31307"/>
    <w:rsid w:val="00F321DB"/>
    <w:rsid w:val="00F350A1"/>
    <w:rsid w:val="00F356C8"/>
    <w:rsid w:val="00F3592B"/>
    <w:rsid w:val="00F3755F"/>
    <w:rsid w:val="00F40135"/>
    <w:rsid w:val="00F44AFB"/>
    <w:rsid w:val="00F469C4"/>
    <w:rsid w:val="00F52A36"/>
    <w:rsid w:val="00F537E4"/>
    <w:rsid w:val="00F550B6"/>
    <w:rsid w:val="00F560AC"/>
    <w:rsid w:val="00F56A89"/>
    <w:rsid w:val="00F57BEB"/>
    <w:rsid w:val="00F57CF6"/>
    <w:rsid w:val="00F61ECF"/>
    <w:rsid w:val="00F63625"/>
    <w:rsid w:val="00F66329"/>
    <w:rsid w:val="00F673A8"/>
    <w:rsid w:val="00F71229"/>
    <w:rsid w:val="00F7333A"/>
    <w:rsid w:val="00F734F5"/>
    <w:rsid w:val="00F8005E"/>
    <w:rsid w:val="00F81439"/>
    <w:rsid w:val="00F82B65"/>
    <w:rsid w:val="00F85569"/>
    <w:rsid w:val="00F85BA6"/>
    <w:rsid w:val="00F875F2"/>
    <w:rsid w:val="00F933B1"/>
    <w:rsid w:val="00F9343A"/>
    <w:rsid w:val="00F9615B"/>
    <w:rsid w:val="00F96F17"/>
    <w:rsid w:val="00F97BCA"/>
    <w:rsid w:val="00FA28B3"/>
    <w:rsid w:val="00FA2E29"/>
    <w:rsid w:val="00FA2FDE"/>
    <w:rsid w:val="00FA323E"/>
    <w:rsid w:val="00FA49D2"/>
    <w:rsid w:val="00FA5363"/>
    <w:rsid w:val="00FB068F"/>
    <w:rsid w:val="00FB13FE"/>
    <w:rsid w:val="00FB3BC2"/>
    <w:rsid w:val="00FB4A19"/>
    <w:rsid w:val="00FB5432"/>
    <w:rsid w:val="00FC294A"/>
    <w:rsid w:val="00FC632C"/>
    <w:rsid w:val="00FD1035"/>
    <w:rsid w:val="00FD1F71"/>
    <w:rsid w:val="00FD580B"/>
    <w:rsid w:val="00FE0E62"/>
    <w:rsid w:val="00FE3964"/>
    <w:rsid w:val="00FE4A71"/>
    <w:rsid w:val="00FE4C37"/>
    <w:rsid w:val="00FE61C1"/>
    <w:rsid w:val="00FF0C04"/>
    <w:rsid w:val="00FF2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42927"/>
  <w15:docId w15:val="{C046778F-D30D-465A-86DD-9147524C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1B1"/>
    <w:pPr>
      <w:widowControl w:val="0"/>
    </w:pPr>
    <w:rPr>
      <w:lang w:val="hy-AM" w:eastAsia="hy-AM" w:bidi="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6F76EB"/>
    <w:rPr>
      <w:rFonts w:ascii="Times New Roman" w:eastAsia="Times New Roman" w:hAnsi="Times New Roman" w:cs="Times New Roman"/>
      <w:b/>
      <w:bCs/>
      <w:sz w:val="30"/>
      <w:szCs w:val="30"/>
      <w:shd w:val="clear" w:color="auto" w:fill="FFFFFF"/>
    </w:rPr>
  </w:style>
  <w:style w:type="paragraph" w:customStyle="1" w:styleId="Bodytext30">
    <w:name w:val="Body text (3)"/>
    <w:basedOn w:val="Normal"/>
    <w:link w:val="Bodytext3"/>
    <w:rsid w:val="006F76EB"/>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Heading1">
    <w:name w:val="Heading #1_"/>
    <w:basedOn w:val="DefaultParagraphFont"/>
    <w:link w:val="Heading10"/>
    <w:rsid w:val="006F76EB"/>
    <w:rPr>
      <w:rFonts w:ascii="Times New Roman" w:eastAsia="Times New Roman" w:hAnsi="Times New Roman" w:cs="Times New Roman"/>
      <w:b/>
      <w:bCs/>
      <w:sz w:val="34"/>
      <w:szCs w:val="34"/>
      <w:shd w:val="clear" w:color="auto" w:fill="FFFFFF"/>
    </w:rPr>
  </w:style>
  <w:style w:type="paragraph" w:customStyle="1" w:styleId="Heading10">
    <w:name w:val="Heading #1"/>
    <w:basedOn w:val="Normal"/>
    <w:link w:val="Heading1"/>
    <w:rsid w:val="006F76EB"/>
    <w:pPr>
      <w:shd w:val="clear" w:color="auto" w:fill="FFFFFF"/>
      <w:spacing w:before="120" w:after="960" w:line="0" w:lineRule="atLeast"/>
      <w:jc w:val="center"/>
      <w:outlineLvl w:val="0"/>
    </w:pPr>
    <w:rPr>
      <w:rFonts w:ascii="Times New Roman" w:eastAsia="Times New Roman" w:hAnsi="Times New Roman" w:cs="Times New Roman"/>
      <w:b/>
      <w:bCs/>
      <w:sz w:val="34"/>
      <w:szCs w:val="34"/>
      <w:lang w:val="en-US" w:eastAsia="en-US" w:bidi="ar-SA"/>
    </w:rPr>
  </w:style>
  <w:style w:type="character" w:customStyle="1" w:styleId="Tablecaption">
    <w:name w:val="Table caption_"/>
    <w:basedOn w:val="DefaultParagraphFont"/>
    <w:link w:val="Tablecaption0"/>
    <w:rsid w:val="006F76EB"/>
    <w:rPr>
      <w:rFonts w:ascii="Times New Roman" w:eastAsia="Times New Roman" w:hAnsi="Times New Roman" w:cs="Times New Roman"/>
      <w:b/>
      <w:bCs/>
      <w:sz w:val="28"/>
      <w:szCs w:val="28"/>
      <w:shd w:val="clear" w:color="auto" w:fill="FFFFFF"/>
    </w:rPr>
  </w:style>
  <w:style w:type="paragraph" w:customStyle="1" w:styleId="Tablecaption0">
    <w:name w:val="Table caption"/>
    <w:basedOn w:val="Normal"/>
    <w:link w:val="Tablecaption"/>
    <w:rsid w:val="006F76EB"/>
    <w:pPr>
      <w:shd w:val="clear" w:color="auto" w:fill="FFFFFF"/>
      <w:spacing w:after="0" w:line="0" w:lineRule="atLeast"/>
      <w:jc w:val="center"/>
    </w:pPr>
    <w:rPr>
      <w:rFonts w:ascii="Times New Roman" w:eastAsia="Times New Roman" w:hAnsi="Times New Roman" w:cs="Times New Roman"/>
      <w:b/>
      <w:bCs/>
      <w:sz w:val="28"/>
      <w:szCs w:val="28"/>
      <w:lang w:val="en-US" w:eastAsia="en-US" w:bidi="ar-SA"/>
    </w:rPr>
  </w:style>
  <w:style w:type="character" w:customStyle="1" w:styleId="TablecaptionSpacing4pt">
    <w:name w:val="Table caption + Spacing 4 pt"/>
    <w:basedOn w:val="Tablecaption"/>
    <w:rsid w:val="006F76EB"/>
    <w:rPr>
      <w:rFonts w:ascii="Times New Roman" w:eastAsia="Times New Roman" w:hAnsi="Times New Roman" w:cs="Times New Roman"/>
      <w:b/>
      <w:bCs/>
      <w:color w:val="000000"/>
      <w:spacing w:val="80"/>
      <w:w w:val="100"/>
      <w:position w:val="0"/>
      <w:sz w:val="28"/>
      <w:szCs w:val="28"/>
      <w:shd w:val="clear" w:color="auto" w:fill="FFFFFF"/>
      <w:lang w:val="hy-AM" w:eastAsia="hy-AM" w:bidi="hy-AM"/>
    </w:rPr>
  </w:style>
  <w:style w:type="character" w:customStyle="1" w:styleId="Bodytext2">
    <w:name w:val="Body text (2)_"/>
    <w:basedOn w:val="DefaultParagraphFont"/>
    <w:rsid w:val="006F76EB"/>
    <w:rPr>
      <w:rFonts w:ascii="Times New Roman" w:eastAsia="Times New Roman" w:hAnsi="Times New Roman" w:cs="Times New Roman"/>
      <w:b w:val="0"/>
      <w:bCs w:val="0"/>
      <w:i w:val="0"/>
      <w:iCs w:val="0"/>
      <w:smallCaps w:val="0"/>
      <w:strike w:val="0"/>
      <w:sz w:val="28"/>
      <w:szCs w:val="28"/>
      <w:u w:val="none"/>
    </w:rPr>
  </w:style>
  <w:style w:type="character" w:customStyle="1" w:styleId="Bodytext20">
    <w:name w:val="Body text (2)"/>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y-AM" w:eastAsia="hy-AM" w:bidi="hy-AM"/>
    </w:rPr>
  </w:style>
  <w:style w:type="character" w:customStyle="1" w:styleId="Bodytext2Bold">
    <w:name w:val="Body text (2) + Bold"/>
    <w:basedOn w:val="Bodytext2"/>
    <w:rsid w:val="006F76EB"/>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Bodytext4">
    <w:name w:val="Body text (4)_"/>
    <w:basedOn w:val="DefaultParagraphFont"/>
    <w:link w:val="Bodytext40"/>
    <w:rsid w:val="006F76EB"/>
    <w:rPr>
      <w:rFonts w:ascii="Times New Roman" w:eastAsia="Times New Roman" w:hAnsi="Times New Roman" w:cs="Times New Roman"/>
      <w:b/>
      <w:bCs/>
      <w:sz w:val="28"/>
      <w:szCs w:val="28"/>
      <w:shd w:val="clear" w:color="auto" w:fill="FFFFFF"/>
    </w:rPr>
  </w:style>
  <w:style w:type="paragraph" w:customStyle="1" w:styleId="Bodytext40">
    <w:name w:val="Body text (4)"/>
    <w:basedOn w:val="Normal"/>
    <w:link w:val="Bodytext4"/>
    <w:rsid w:val="006F76EB"/>
    <w:pPr>
      <w:shd w:val="clear" w:color="auto" w:fill="FFFFFF"/>
      <w:spacing w:before="480" w:after="0" w:line="346" w:lineRule="exact"/>
      <w:jc w:val="center"/>
    </w:pPr>
    <w:rPr>
      <w:rFonts w:ascii="Times New Roman" w:eastAsia="Times New Roman" w:hAnsi="Times New Roman" w:cs="Times New Roman"/>
      <w:b/>
      <w:bCs/>
      <w:sz w:val="28"/>
      <w:szCs w:val="28"/>
      <w:lang w:val="en-US" w:eastAsia="en-US" w:bidi="ar-SA"/>
    </w:rPr>
  </w:style>
  <w:style w:type="character" w:customStyle="1" w:styleId="Bodytext4Spacing4pt">
    <w:name w:val="Body text (4) + Spacing 4 pt"/>
    <w:basedOn w:val="Bodytext4"/>
    <w:rsid w:val="006F76EB"/>
    <w:rPr>
      <w:rFonts w:ascii="Times New Roman" w:eastAsia="Times New Roman" w:hAnsi="Times New Roman" w:cs="Times New Roman"/>
      <w:b/>
      <w:bCs/>
      <w:color w:val="000000"/>
      <w:spacing w:val="80"/>
      <w:w w:val="100"/>
      <w:position w:val="0"/>
      <w:sz w:val="28"/>
      <w:szCs w:val="28"/>
      <w:shd w:val="clear" w:color="auto" w:fill="FFFFFF"/>
      <w:lang w:val="hy-AM" w:eastAsia="hy-AM" w:bidi="hy-AM"/>
    </w:rPr>
  </w:style>
  <w:style w:type="character" w:customStyle="1" w:styleId="Heading12">
    <w:name w:val="Heading #1 (2)_"/>
    <w:basedOn w:val="DefaultParagraphFont"/>
    <w:link w:val="Heading120"/>
    <w:rsid w:val="006F76EB"/>
    <w:rPr>
      <w:rFonts w:ascii="Times New Roman" w:eastAsia="Times New Roman" w:hAnsi="Times New Roman" w:cs="Times New Roman"/>
      <w:b/>
      <w:bCs/>
      <w:sz w:val="30"/>
      <w:szCs w:val="30"/>
      <w:shd w:val="clear" w:color="auto" w:fill="FFFFFF"/>
    </w:rPr>
  </w:style>
  <w:style w:type="paragraph" w:customStyle="1" w:styleId="Heading120">
    <w:name w:val="Heading #1 (2)"/>
    <w:basedOn w:val="Normal"/>
    <w:link w:val="Heading12"/>
    <w:rsid w:val="006F76EB"/>
    <w:pPr>
      <w:shd w:val="clear" w:color="auto" w:fill="FFFFFF"/>
      <w:spacing w:before="120" w:after="960" w:line="0" w:lineRule="atLeast"/>
      <w:jc w:val="center"/>
      <w:outlineLvl w:val="0"/>
    </w:pPr>
    <w:rPr>
      <w:rFonts w:ascii="Times New Roman" w:eastAsia="Times New Roman" w:hAnsi="Times New Roman" w:cs="Times New Roman"/>
      <w:b/>
      <w:bCs/>
      <w:sz w:val="30"/>
      <w:szCs w:val="30"/>
      <w:lang w:val="en-US" w:eastAsia="en-US" w:bidi="ar-SA"/>
    </w:rPr>
  </w:style>
  <w:style w:type="character" w:customStyle="1" w:styleId="Bodytext295pt">
    <w:name w:val="Body text (2) + 9.5 pt"/>
    <w:aliases w:val="Bold,Spacing 0 pt,Body text (2) + 11 pt,Body text (4) + 53 pt,Spacing -6 pt,Body text (2) + 14 pt,Italic,Body text (18) + 11.5 pt,Body text (14) + 18 pt,Body text (8) + 11.5 pt,Body text (9) + 11 pt,Not Italic"/>
    <w:basedOn w:val="Bodytext2"/>
    <w:rsid w:val="006F76EB"/>
    <w:rPr>
      <w:rFonts w:ascii="Times New Roman" w:eastAsia="Times New Roman" w:hAnsi="Times New Roman" w:cs="Times New Roman"/>
      <w:b/>
      <w:bCs/>
      <w:i w:val="0"/>
      <w:iCs w:val="0"/>
      <w:smallCaps w:val="0"/>
      <w:strike w:val="0"/>
      <w:color w:val="000000"/>
      <w:spacing w:val="-10"/>
      <w:w w:val="100"/>
      <w:position w:val="0"/>
      <w:sz w:val="19"/>
      <w:szCs w:val="19"/>
      <w:u w:val="none"/>
      <w:lang w:val="hy-AM" w:eastAsia="hy-AM" w:bidi="hy-AM"/>
    </w:rPr>
  </w:style>
  <w:style w:type="table" w:styleId="TableGrid">
    <w:name w:val="Table Grid"/>
    <w:basedOn w:val="TableNormal"/>
    <w:uiPriority w:val="59"/>
    <w:rsid w:val="006F76EB"/>
    <w:pPr>
      <w:widowControl w:val="0"/>
      <w:spacing w:after="0" w:line="240" w:lineRule="auto"/>
    </w:pPr>
    <w:rPr>
      <w:lang w:val="hy-AM" w:eastAsia="hy-AM" w:bidi="hy-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6EB"/>
    <w:pPr>
      <w:ind w:left="720"/>
      <w:contextualSpacing/>
    </w:pPr>
  </w:style>
  <w:style w:type="paragraph" w:styleId="FootnoteText">
    <w:name w:val="footnote text"/>
    <w:basedOn w:val="Normal"/>
    <w:link w:val="FootnoteTextChar"/>
    <w:uiPriority w:val="99"/>
    <w:semiHidden/>
    <w:unhideWhenUsed/>
    <w:rsid w:val="006F76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76EB"/>
    <w:rPr>
      <w:sz w:val="20"/>
      <w:szCs w:val="20"/>
      <w:lang w:val="hy-AM" w:eastAsia="hy-AM" w:bidi="hy-AM"/>
    </w:rPr>
  </w:style>
  <w:style w:type="character" w:styleId="FootnoteReference">
    <w:name w:val="footnote reference"/>
    <w:basedOn w:val="DefaultParagraphFont"/>
    <w:uiPriority w:val="99"/>
    <w:semiHidden/>
    <w:unhideWhenUsed/>
    <w:rsid w:val="006F76EB"/>
    <w:rPr>
      <w:vertAlign w:val="superscript"/>
    </w:rPr>
  </w:style>
  <w:style w:type="paragraph" w:styleId="Header">
    <w:name w:val="header"/>
    <w:basedOn w:val="Normal"/>
    <w:link w:val="HeaderChar"/>
    <w:uiPriority w:val="99"/>
    <w:unhideWhenUsed/>
    <w:rsid w:val="006F7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6EB"/>
    <w:rPr>
      <w:lang w:val="hy-AM" w:eastAsia="hy-AM" w:bidi="hy-AM"/>
    </w:rPr>
  </w:style>
  <w:style w:type="paragraph" w:styleId="Footer">
    <w:name w:val="footer"/>
    <w:basedOn w:val="Normal"/>
    <w:link w:val="FooterChar"/>
    <w:uiPriority w:val="99"/>
    <w:unhideWhenUsed/>
    <w:rsid w:val="006F7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6EB"/>
    <w:rPr>
      <w:lang w:val="hy-AM" w:eastAsia="hy-AM" w:bidi="hy-AM"/>
    </w:rPr>
  </w:style>
  <w:style w:type="character" w:customStyle="1" w:styleId="Picturecaption">
    <w:name w:val="Picture caption_"/>
    <w:basedOn w:val="DefaultParagraphFont"/>
    <w:link w:val="Picturecaption0"/>
    <w:rsid w:val="006F76EB"/>
    <w:rPr>
      <w:rFonts w:ascii="Times New Roman" w:eastAsia="Times New Roman" w:hAnsi="Times New Roman" w:cs="Times New Roman"/>
      <w:sz w:val="28"/>
      <w:szCs w:val="28"/>
      <w:shd w:val="clear" w:color="auto" w:fill="FFFFFF"/>
    </w:rPr>
  </w:style>
  <w:style w:type="paragraph" w:customStyle="1" w:styleId="Picturecaption0">
    <w:name w:val="Picture caption"/>
    <w:basedOn w:val="Normal"/>
    <w:link w:val="Picturecaption"/>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paragraph" w:styleId="BalloonText">
    <w:name w:val="Balloon Text"/>
    <w:basedOn w:val="Normal"/>
    <w:link w:val="BalloonTextChar"/>
    <w:uiPriority w:val="99"/>
    <w:semiHidden/>
    <w:unhideWhenUsed/>
    <w:rsid w:val="006F7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6EB"/>
    <w:rPr>
      <w:rFonts w:ascii="Tahoma" w:hAnsi="Tahoma" w:cs="Tahoma"/>
      <w:sz w:val="16"/>
      <w:szCs w:val="16"/>
      <w:lang w:val="hy-AM" w:eastAsia="hy-AM" w:bidi="hy-AM"/>
    </w:rPr>
  </w:style>
  <w:style w:type="character" w:styleId="CommentReference">
    <w:name w:val="annotation reference"/>
    <w:basedOn w:val="DefaultParagraphFont"/>
    <w:uiPriority w:val="99"/>
    <w:semiHidden/>
    <w:unhideWhenUsed/>
    <w:rsid w:val="006F76EB"/>
    <w:rPr>
      <w:sz w:val="16"/>
      <w:szCs w:val="16"/>
    </w:rPr>
  </w:style>
  <w:style w:type="paragraph" w:styleId="CommentText">
    <w:name w:val="annotation text"/>
    <w:basedOn w:val="Normal"/>
    <w:link w:val="CommentTextChar"/>
    <w:uiPriority w:val="99"/>
    <w:semiHidden/>
    <w:unhideWhenUsed/>
    <w:rsid w:val="006F76EB"/>
    <w:pPr>
      <w:spacing w:line="240" w:lineRule="auto"/>
    </w:pPr>
    <w:rPr>
      <w:sz w:val="20"/>
      <w:szCs w:val="20"/>
    </w:rPr>
  </w:style>
  <w:style w:type="character" w:customStyle="1" w:styleId="CommentTextChar">
    <w:name w:val="Comment Text Char"/>
    <w:basedOn w:val="DefaultParagraphFont"/>
    <w:link w:val="CommentText"/>
    <w:uiPriority w:val="99"/>
    <w:semiHidden/>
    <w:rsid w:val="006F76EB"/>
    <w:rPr>
      <w:sz w:val="20"/>
      <w:szCs w:val="20"/>
      <w:lang w:val="hy-AM" w:eastAsia="hy-AM" w:bidi="hy-AM"/>
    </w:rPr>
  </w:style>
  <w:style w:type="paragraph" w:styleId="CommentSubject">
    <w:name w:val="annotation subject"/>
    <w:basedOn w:val="CommentText"/>
    <w:next w:val="CommentText"/>
    <w:link w:val="CommentSubjectChar"/>
    <w:uiPriority w:val="99"/>
    <w:semiHidden/>
    <w:unhideWhenUsed/>
    <w:rsid w:val="006F76EB"/>
    <w:rPr>
      <w:b/>
      <w:bCs/>
    </w:rPr>
  </w:style>
  <w:style w:type="character" w:customStyle="1" w:styleId="CommentSubjectChar">
    <w:name w:val="Comment Subject Char"/>
    <w:basedOn w:val="CommentTextChar"/>
    <w:link w:val="CommentSubject"/>
    <w:uiPriority w:val="99"/>
    <w:semiHidden/>
    <w:rsid w:val="006F76EB"/>
    <w:rPr>
      <w:b/>
      <w:bCs/>
      <w:sz w:val="20"/>
      <w:szCs w:val="20"/>
      <w:lang w:val="hy-AM" w:eastAsia="hy-AM" w:bidi="hy-AM"/>
    </w:rPr>
  </w:style>
  <w:style w:type="character" w:customStyle="1" w:styleId="Footnote">
    <w:name w:val="Footnote_"/>
    <w:basedOn w:val="DefaultParagraphFont"/>
    <w:link w:val="Footnote0"/>
    <w:rsid w:val="006F76EB"/>
    <w:rPr>
      <w:rFonts w:ascii="Times New Roman" w:eastAsia="Times New Roman" w:hAnsi="Times New Roman" w:cs="Times New Roman"/>
      <w:sz w:val="20"/>
      <w:szCs w:val="20"/>
      <w:shd w:val="clear" w:color="auto" w:fill="FFFFFF"/>
    </w:rPr>
  </w:style>
  <w:style w:type="paragraph" w:customStyle="1" w:styleId="Footnote0">
    <w:name w:val="Footnote"/>
    <w:basedOn w:val="Normal"/>
    <w:link w:val="Footnote"/>
    <w:rsid w:val="006F76EB"/>
    <w:pPr>
      <w:shd w:val="clear" w:color="auto" w:fill="FFFFFF"/>
      <w:spacing w:after="0" w:line="226" w:lineRule="exact"/>
      <w:jc w:val="both"/>
    </w:pPr>
    <w:rPr>
      <w:rFonts w:ascii="Times New Roman" w:eastAsia="Times New Roman" w:hAnsi="Times New Roman" w:cs="Times New Roman"/>
      <w:sz w:val="20"/>
      <w:szCs w:val="20"/>
      <w:lang w:val="en-US" w:eastAsia="en-US" w:bidi="ar-SA"/>
    </w:rPr>
  </w:style>
  <w:style w:type="character" w:customStyle="1" w:styleId="Headerorfooter">
    <w:name w:val="Header or footer_"/>
    <w:basedOn w:val="DefaultParagraphFont"/>
    <w:link w:val="Headerorfooter0"/>
    <w:rsid w:val="006F76EB"/>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8">
    <w:name w:val="Body text (8)_"/>
    <w:basedOn w:val="DefaultParagraphFont"/>
    <w:link w:val="Bodytext80"/>
    <w:rsid w:val="006F76EB"/>
    <w:rPr>
      <w:rFonts w:ascii="Times New Roman" w:eastAsia="Times New Roman" w:hAnsi="Times New Roman" w:cs="Times New Roman"/>
      <w:b/>
      <w:bCs/>
      <w:shd w:val="clear" w:color="auto" w:fill="FFFFFF"/>
    </w:rPr>
  </w:style>
  <w:style w:type="paragraph" w:customStyle="1" w:styleId="Bodytext80">
    <w:name w:val="Body text (8)"/>
    <w:basedOn w:val="Normal"/>
    <w:link w:val="Bodytext8"/>
    <w:rsid w:val="006F76EB"/>
    <w:pPr>
      <w:shd w:val="clear" w:color="auto" w:fill="FFFFFF"/>
      <w:spacing w:before="240" w:after="0" w:line="274" w:lineRule="exact"/>
      <w:jc w:val="center"/>
    </w:pPr>
    <w:rPr>
      <w:rFonts w:ascii="Times New Roman" w:eastAsia="Times New Roman" w:hAnsi="Times New Roman" w:cs="Times New Roman"/>
      <w:b/>
      <w:bCs/>
      <w:lang w:val="en-US" w:eastAsia="en-US" w:bidi="ar-SA"/>
    </w:rPr>
  </w:style>
  <w:style w:type="character" w:customStyle="1" w:styleId="Bodytext9">
    <w:name w:val="Body text (9)_"/>
    <w:basedOn w:val="DefaultParagraphFont"/>
    <w:link w:val="Bodytext90"/>
    <w:rsid w:val="006F76EB"/>
    <w:rPr>
      <w:rFonts w:ascii="Times New Roman" w:eastAsia="Times New Roman" w:hAnsi="Times New Roman" w:cs="Times New Roman"/>
      <w:b/>
      <w:bCs/>
      <w:i/>
      <w:iCs/>
      <w:sz w:val="23"/>
      <w:szCs w:val="23"/>
      <w:shd w:val="clear" w:color="auto" w:fill="FFFFFF"/>
    </w:rPr>
  </w:style>
  <w:style w:type="paragraph" w:customStyle="1" w:styleId="Bodytext90">
    <w:name w:val="Body text (9)"/>
    <w:basedOn w:val="Normal"/>
    <w:link w:val="Bodytext9"/>
    <w:rsid w:val="006F76EB"/>
    <w:pPr>
      <w:shd w:val="clear" w:color="auto" w:fill="FFFFFF"/>
      <w:spacing w:after="0" w:line="274" w:lineRule="exact"/>
      <w:jc w:val="both"/>
    </w:pPr>
    <w:rPr>
      <w:rFonts w:ascii="Times New Roman" w:eastAsia="Times New Roman" w:hAnsi="Times New Roman" w:cs="Times New Roman"/>
      <w:b/>
      <w:bCs/>
      <w:i/>
      <w:iCs/>
      <w:sz w:val="23"/>
      <w:szCs w:val="23"/>
      <w:lang w:val="en-US" w:eastAsia="en-US" w:bidi="ar-SA"/>
    </w:rPr>
  </w:style>
  <w:style w:type="character" w:customStyle="1" w:styleId="Bodytext12">
    <w:name w:val="Body text (12)_"/>
    <w:basedOn w:val="DefaultParagraphFont"/>
    <w:link w:val="Bodytext120"/>
    <w:rsid w:val="006F76EB"/>
    <w:rPr>
      <w:rFonts w:ascii="Times New Roman" w:eastAsia="Times New Roman" w:hAnsi="Times New Roman" w:cs="Times New Roman"/>
      <w:sz w:val="28"/>
      <w:szCs w:val="28"/>
      <w:shd w:val="clear" w:color="auto" w:fill="FFFFFF"/>
    </w:rPr>
  </w:style>
  <w:style w:type="paragraph" w:customStyle="1" w:styleId="Bodytext120">
    <w:name w:val="Body text (12)"/>
    <w:basedOn w:val="Normal"/>
    <w:link w:val="Bodytext12"/>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13">
    <w:name w:val="Body text (13)_"/>
    <w:basedOn w:val="DefaultParagraphFont"/>
    <w:link w:val="Bodytext130"/>
    <w:rsid w:val="006F76EB"/>
    <w:rPr>
      <w:rFonts w:ascii="Times New Roman" w:eastAsia="Times New Roman" w:hAnsi="Times New Roman" w:cs="Times New Roman"/>
      <w:b/>
      <w:bCs/>
      <w:sz w:val="30"/>
      <w:szCs w:val="30"/>
      <w:shd w:val="clear" w:color="auto" w:fill="FFFFFF"/>
    </w:rPr>
  </w:style>
  <w:style w:type="paragraph" w:customStyle="1" w:styleId="Bodytext130">
    <w:name w:val="Body text (13)"/>
    <w:basedOn w:val="Normal"/>
    <w:link w:val="Bodytext13"/>
    <w:rsid w:val="006F76EB"/>
    <w:pPr>
      <w:shd w:val="clear" w:color="auto" w:fill="FFFFFF"/>
      <w:spacing w:after="1140" w:line="360" w:lineRule="exact"/>
      <w:jc w:val="center"/>
    </w:pPr>
    <w:rPr>
      <w:rFonts w:ascii="Times New Roman" w:eastAsia="Times New Roman" w:hAnsi="Times New Roman" w:cs="Times New Roman"/>
      <w:b/>
      <w:bCs/>
      <w:sz w:val="30"/>
      <w:szCs w:val="30"/>
      <w:lang w:val="en-US" w:eastAsia="en-US" w:bidi="ar-SA"/>
    </w:rPr>
  </w:style>
  <w:style w:type="character" w:customStyle="1" w:styleId="Tablecaption2">
    <w:name w:val="Table caption (2)_"/>
    <w:basedOn w:val="DefaultParagraphFont"/>
    <w:link w:val="Tablecaption20"/>
    <w:rsid w:val="006F76EB"/>
    <w:rPr>
      <w:rFonts w:ascii="Times New Roman" w:eastAsia="Times New Roman" w:hAnsi="Times New Roman" w:cs="Times New Roman"/>
      <w:b/>
      <w:bCs/>
      <w:shd w:val="clear" w:color="auto" w:fill="FFFFFF"/>
    </w:rPr>
  </w:style>
  <w:style w:type="paragraph" w:customStyle="1" w:styleId="Tablecaption20">
    <w:name w:val="Table caption (2)"/>
    <w:basedOn w:val="Normal"/>
    <w:link w:val="Tablecaption2"/>
    <w:rsid w:val="006F76EB"/>
    <w:pPr>
      <w:shd w:val="clear" w:color="auto" w:fill="FFFFFF"/>
      <w:spacing w:after="0" w:line="0" w:lineRule="atLeast"/>
    </w:pPr>
    <w:rPr>
      <w:rFonts w:ascii="Times New Roman" w:eastAsia="Times New Roman" w:hAnsi="Times New Roman" w:cs="Times New Roman"/>
      <w:b/>
      <w:bCs/>
      <w:lang w:val="en-US" w:eastAsia="en-US" w:bidi="ar-SA"/>
    </w:rPr>
  </w:style>
  <w:style w:type="character" w:customStyle="1" w:styleId="Tablecaption3">
    <w:name w:val="Table caption (3)_"/>
    <w:basedOn w:val="DefaultParagraphFont"/>
    <w:link w:val="Tablecaption30"/>
    <w:rsid w:val="006F76EB"/>
    <w:rPr>
      <w:rFonts w:ascii="Times New Roman" w:eastAsia="Times New Roman" w:hAnsi="Times New Roman" w:cs="Times New Roman"/>
      <w:sz w:val="30"/>
      <w:szCs w:val="30"/>
      <w:shd w:val="clear" w:color="auto" w:fill="FFFFFF"/>
    </w:rPr>
  </w:style>
  <w:style w:type="paragraph" w:customStyle="1" w:styleId="Tablecaption30">
    <w:name w:val="Table caption (3)"/>
    <w:basedOn w:val="Normal"/>
    <w:link w:val="Tablecaption3"/>
    <w:rsid w:val="006F76EB"/>
    <w:pPr>
      <w:shd w:val="clear" w:color="auto" w:fill="FFFFFF"/>
      <w:spacing w:after="0" w:line="0" w:lineRule="atLeast"/>
    </w:pPr>
    <w:rPr>
      <w:rFonts w:ascii="Times New Roman" w:eastAsia="Times New Roman" w:hAnsi="Times New Roman" w:cs="Times New Roman"/>
      <w:sz w:val="30"/>
      <w:szCs w:val="30"/>
      <w:lang w:val="en-US" w:eastAsia="en-US" w:bidi="ar-SA"/>
    </w:rPr>
  </w:style>
  <w:style w:type="character" w:customStyle="1" w:styleId="Bodytext18">
    <w:name w:val="Body text (18)_"/>
    <w:basedOn w:val="DefaultParagraphFont"/>
    <w:link w:val="Bodytext180"/>
    <w:rsid w:val="006F76EB"/>
    <w:rPr>
      <w:rFonts w:ascii="Times New Roman" w:eastAsia="Times New Roman" w:hAnsi="Times New Roman" w:cs="Times New Roman"/>
      <w:b/>
      <w:bCs/>
      <w:sz w:val="26"/>
      <w:szCs w:val="26"/>
      <w:shd w:val="clear" w:color="auto" w:fill="FFFFFF"/>
    </w:rPr>
  </w:style>
  <w:style w:type="paragraph" w:customStyle="1" w:styleId="Bodytext180">
    <w:name w:val="Body text (18)"/>
    <w:basedOn w:val="Normal"/>
    <w:link w:val="Bodytext18"/>
    <w:rsid w:val="006F76EB"/>
    <w:pPr>
      <w:shd w:val="clear" w:color="auto" w:fill="FFFFFF"/>
      <w:spacing w:before="420" w:after="0" w:line="322" w:lineRule="exact"/>
      <w:ind w:firstLine="720"/>
    </w:pPr>
    <w:rPr>
      <w:rFonts w:ascii="Times New Roman" w:eastAsia="Times New Roman" w:hAnsi="Times New Roman" w:cs="Times New Roman"/>
      <w:b/>
      <w:bCs/>
      <w:sz w:val="26"/>
      <w:szCs w:val="26"/>
      <w:lang w:val="en-US" w:eastAsia="en-US" w:bidi="ar-SA"/>
    </w:rPr>
  </w:style>
  <w:style w:type="character" w:customStyle="1" w:styleId="Bodytext1811pt">
    <w:name w:val="Body text (18) + 11 pt"/>
    <w:aliases w:val="Spacing 1 pt,Small Caps"/>
    <w:basedOn w:val="Bodytext18"/>
    <w:rsid w:val="006F76EB"/>
    <w:rPr>
      <w:rFonts w:ascii="Times New Roman" w:eastAsia="Times New Roman" w:hAnsi="Times New Roman" w:cs="Times New Roman"/>
      <w:b/>
      <w:bCs/>
      <w:color w:val="000000"/>
      <w:spacing w:val="0"/>
      <w:w w:val="100"/>
      <w:position w:val="0"/>
      <w:sz w:val="22"/>
      <w:szCs w:val="22"/>
      <w:shd w:val="clear" w:color="auto" w:fill="FFFFFF"/>
      <w:lang w:val="hy-AM" w:eastAsia="hy-AM" w:bidi="hy-AM"/>
    </w:rPr>
  </w:style>
  <w:style w:type="character" w:customStyle="1" w:styleId="Bodytext7">
    <w:name w:val="Body text (7)_"/>
    <w:basedOn w:val="DefaultParagraphFont"/>
    <w:link w:val="Bodytext70"/>
    <w:rsid w:val="006F76EB"/>
    <w:rPr>
      <w:rFonts w:ascii="Times New Roman" w:eastAsia="Times New Roman" w:hAnsi="Times New Roman" w:cs="Times New Roman"/>
      <w:b/>
      <w:bCs/>
      <w:i/>
      <w:iCs/>
      <w:sz w:val="28"/>
      <w:szCs w:val="28"/>
      <w:shd w:val="clear" w:color="auto" w:fill="FFFFFF"/>
    </w:rPr>
  </w:style>
  <w:style w:type="paragraph" w:customStyle="1" w:styleId="Bodytext70">
    <w:name w:val="Body text (7)"/>
    <w:basedOn w:val="Normal"/>
    <w:link w:val="Bodytext7"/>
    <w:rsid w:val="006F76EB"/>
    <w:pPr>
      <w:shd w:val="clear" w:color="auto" w:fill="FFFFFF"/>
      <w:spacing w:before="480" w:after="0" w:line="514" w:lineRule="exact"/>
      <w:jc w:val="both"/>
    </w:pPr>
    <w:rPr>
      <w:rFonts w:ascii="Times New Roman" w:eastAsia="Times New Roman" w:hAnsi="Times New Roman" w:cs="Times New Roman"/>
      <w:b/>
      <w:bCs/>
      <w:i/>
      <w:iCs/>
      <w:sz w:val="28"/>
      <w:szCs w:val="28"/>
      <w:lang w:val="en-US" w:eastAsia="en-US" w:bidi="ar-SA"/>
    </w:rPr>
  </w:style>
  <w:style w:type="character" w:customStyle="1" w:styleId="Tablecaption4">
    <w:name w:val="Table caption (4)_"/>
    <w:basedOn w:val="DefaultParagraphFont"/>
    <w:link w:val="Tablecaption40"/>
    <w:rsid w:val="006F76EB"/>
    <w:rPr>
      <w:rFonts w:ascii="Times New Roman" w:eastAsia="Times New Roman" w:hAnsi="Times New Roman" w:cs="Times New Roman"/>
      <w:b/>
      <w:bCs/>
      <w:i/>
      <w:iCs/>
      <w:sz w:val="28"/>
      <w:szCs w:val="28"/>
      <w:shd w:val="clear" w:color="auto" w:fill="FFFFFF"/>
    </w:rPr>
  </w:style>
  <w:style w:type="paragraph" w:customStyle="1" w:styleId="Tablecaption40">
    <w:name w:val="Table caption (4)"/>
    <w:basedOn w:val="Normal"/>
    <w:link w:val="Tablecaption4"/>
    <w:rsid w:val="006F76EB"/>
    <w:pPr>
      <w:shd w:val="clear" w:color="auto" w:fill="FFFFFF"/>
      <w:spacing w:after="0" w:line="350" w:lineRule="exact"/>
      <w:ind w:firstLine="720"/>
    </w:pPr>
    <w:rPr>
      <w:rFonts w:ascii="Times New Roman" w:eastAsia="Times New Roman" w:hAnsi="Times New Roman" w:cs="Times New Roman"/>
      <w:b/>
      <w:bCs/>
      <w:i/>
      <w:iCs/>
      <w:sz w:val="28"/>
      <w:szCs w:val="28"/>
      <w:lang w:val="en-US" w:eastAsia="en-US" w:bidi="ar-SA"/>
    </w:rPr>
  </w:style>
  <w:style w:type="character" w:customStyle="1" w:styleId="Tableofcontents12">
    <w:name w:val="Table of contents (12)_"/>
    <w:basedOn w:val="DefaultParagraphFont"/>
    <w:link w:val="Tableofcontents120"/>
    <w:rsid w:val="006F76EB"/>
    <w:rPr>
      <w:rFonts w:ascii="Times New Roman" w:eastAsia="Times New Roman" w:hAnsi="Times New Roman" w:cs="Times New Roman"/>
      <w:b/>
      <w:bCs/>
      <w:shd w:val="clear" w:color="auto" w:fill="FFFFFF"/>
    </w:rPr>
  </w:style>
  <w:style w:type="paragraph" w:customStyle="1" w:styleId="Tableofcontents120">
    <w:name w:val="Table of contents (12)"/>
    <w:basedOn w:val="Normal"/>
    <w:link w:val="Tableofcontents12"/>
    <w:rsid w:val="006F76EB"/>
    <w:pPr>
      <w:shd w:val="clear" w:color="auto" w:fill="FFFFFF"/>
      <w:spacing w:after="180" w:line="0" w:lineRule="atLeast"/>
      <w:ind w:hanging="360"/>
      <w:jc w:val="both"/>
    </w:pPr>
    <w:rPr>
      <w:rFonts w:ascii="Times New Roman" w:eastAsia="Times New Roman" w:hAnsi="Times New Roman" w:cs="Times New Roman"/>
      <w:b/>
      <w:bCs/>
      <w:lang w:val="en-US" w:eastAsia="en-US" w:bidi="ar-SA"/>
    </w:rPr>
  </w:style>
  <w:style w:type="character" w:customStyle="1" w:styleId="Bodytext18BookmanOldStyle">
    <w:name w:val="Body text (18) + Bookman Old Style"/>
    <w:aliases w:val="7.5 pt,Body text (18) + Georgia"/>
    <w:basedOn w:val="Bodytext18"/>
    <w:rsid w:val="006F76EB"/>
    <w:rPr>
      <w:rFonts w:ascii="Bookman Old Style" w:eastAsia="Bookman Old Style" w:hAnsi="Bookman Old Style" w:cs="Bookman Old Style"/>
      <w:b/>
      <w:bCs/>
      <w:color w:val="000000"/>
      <w:spacing w:val="0"/>
      <w:w w:val="100"/>
      <w:position w:val="0"/>
      <w:sz w:val="15"/>
      <w:szCs w:val="15"/>
      <w:shd w:val="clear" w:color="auto" w:fill="FFFFFF"/>
      <w:lang w:val="hy-AM" w:eastAsia="hy-AM" w:bidi="hy-AM"/>
    </w:rPr>
  </w:style>
  <w:style w:type="character" w:customStyle="1" w:styleId="Bodytext7NotItalic">
    <w:name w:val="Body text (7) + Not Italic"/>
    <w:basedOn w:val="Bodytext7"/>
    <w:rsid w:val="006F76EB"/>
    <w:rPr>
      <w:rFonts w:ascii="Times New Roman" w:eastAsia="Times New Roman" w:hAnsi="Times New Roman" w:cs="Times New Roman"/>
      <w:b/>
      <w:bCs/>
      <w:i/>
      <w:iCs/>
      <w:sz w:val="28"/>
      <w:szCs w:val="28"/>
      <w:shd w:val="clear" w:color="auto" w:fill="FFFFFF"/>
    </w:rPr>
  </w:style>
  <w:style w:type="character" w:customStyle="1" w:styleId="Heading13">
    <w:name w:val="Heading #1 (3)_"/>
    <w:basedOn w:val="DefaultParagraphFont"/>
    <w:link w:val="Heading130"/>
    <w:rsid w:val="006F76EB"/>
    <w:rPr>
      <w:rFonts w:ascii="Times New Roman" w:eastAsia="Times New Roman" w:hAnsi="Times New Roman" w:cs="Times New Roman"/>
      <w:sz w:val="30"/>
      <w:szCs w:val="30"/>
      <w:shd w:val="clear" w:color="auto" w:fill="FFFFFF"/>
    </w:rPr>
  </w:style>
  <w:style w:type="paragraph" w:customStyle="1" w:styleId="Heading130">
    <w:name w:val="Heading #1 (3)"/>
    <w:basedOn w:val="Normal"/>
    <w:link w:val="Heading13"/>
    <w:rsid w:val="006F76EB"/>
    <w:pPr>
      <w:shd w:val="clear" w:color="auto" w:fill="FFFFFF"/>
      <w:spacing w:before="1380" w:after="300" w:line="0" w:lineRule="atLeast"/>
      <w:jc w:val="center"/>
      <w:outlineLvl w:val="0"/>
    </w:pPr>
    <w:rPr>
      <w:rFonts w:ascii="Times New Roman" w:eastAsia="Times New Roman" w:hAnsi="Times New Roman" w:cs="Times New Roman"/>
      <w:sz w:val="30"/>
      <w:szCs w:val="30"/>
      <w:lang w:val="en-US" w:eastAsia="en-US" w:bidi="ar-SA"/>
    </w:rPr>
  </w:style>
  <w:style w:type="character" w:customStyle="1" w:styleId="Heading13Bold">
    <w:name w:val="Heading #1 (3) + Bold"/>
    <w:basedOn w:val="Heading13"/>
    <w:rsid w:val="006F76EB"/>
    <w:rPr>
      <w:rFonts w:ascii="Times New Roman" w:eastAsia="Times New Roman" w:hAnsi="Times New Roman" w:cs="Times New Roman"/>
      <w:sz w:val="30"/>
      <w:szCs w:val="30"/>
      <w:shd w:val="clear" w:color="auto" w:fill="FFFFFF"/>
    </w:rPr>
  </w:style>
  <w:style w:type="character" w:customStyle="1" w:styleId="Bodytext14">
    <w:name w:val="Body text (14)_"/>
    <w:basedOn w:val="DefaultParagraphFont"/>
    <w:link w:val="Bodytext140"/>
    <w:rsid w:val="006F76EB"/>
    <w:rPr>
      <w:rFonts w:ascii="Times New Roman" w:eastAsia="Times New Roman" w:hAnsi="Times New Roman" w:cs="Times New Roman"/>
      <w:i/>
      <w:iCs/>
      <w:sz w:val="28"/>
      <w:szCs w:val="28"/>
      <w:shd w:val="clear" w:color="auto" w:fill="FFFFFF"/>
    </w:rPr>
  </w:style>
  <w:style w:type="paragraph" w:customStyle="1" w:styleId="Bodytext140">
    <w:name w:val="Body text (14)"/>
    <w:basedOn w:val="Normal"/>
    <w:link w:val="Bodytext14"/>
    <w:rsid w:val="006F76EB"/>
    <w:pPr>
      <w:shd w:val="clear" w:color="auto" w:fill="FFFFFF"/>
      <w:spacing w:before="300" w:after="60" w:line="0" w:lineRule="atLeast"/>
    </w:pPr>
    <w:rPr>
      <w:rFonts w:ascii="Times New Roman" w:eastAsia="Times New Roman" w:hAnsi="Times New Roman" w:cs="Times New Roman"/>
      <w:i/>
      <w:iCs/>
      <w:sz w:val="28"/>
      <w:szCs w:val="28"/>
      <w:lang w:val="en-US" w:eastAsia="en-US" w:bidi="ar-SA"/>
    </w:rPr>
  </w:style>
  <w:style w:type="character" w:customStyle="1" w:styleId="Bodytext14NotItalic">
    <w:name w:val="Body text (14) + Not Italic"/>
    <w:basedOn w:val="Bodytext14"/>
    <w:rsid w:val="006F76EB"/>
    <w:rPr>
      <w:rFonts w:ascii="Times New Roman" w:eastAsia="Times New Roman" w:hAnsi="Times New Roman" w:cs="Times New Roman"/>
      <w:i/>
      <w:iCs/>
      <w:sz w:val="28"/>
      <w:szCs w:val="28"/>
      <w:shd w:val="clear" w:color="auto" w:fill="FFFFFF"/>
    </w:rPr>
  </w:style>
  <w:style w:type="character" w:customStyle="1" w:styleId="Bodytext15">
    <w:name w:val="Body text (15)_"/>
    <w:basedOn w:val="DefaultParagraphFont"/>
    <w:link w:val="Bodytext150"/>
    <w:rsid w:val="006F76EB"/>
    <w:rPr>
      <w:rFonts w:ascii="Segoe UI" w:eastAsia="Segoe UI" w:hAnsi="Segoe UI" w:cs="Segoe UI"/>
      <w:b/>
      <w:bCs/>
      <w:spacing w:val="60"/>
      <w:sz w:val="13"/>
      <w:szCs w:val="13"/>
      <w:shd w:val="clear" w:color="auto" w:fill="FFFFFF"/>
    </w:rPr>
  </w:style>
  <w:style w:type="paragraph" w:customStyle="1" w:styleId="Bodytext150">
    <w:name w:val="Body text (15)"/>
    <w:basedOn w:val="Normal"/>
    <w:link w:val="Bodytext15"/>
    <w:rsid w:val="006F76EB"/>
    <w:pPr>
      <w:shd w:val="clear" w:color="auto" w:fill="FFFFFF"/>
      <w:spacing w:after="0" w:line="346" w:lineRule="exact"/>
    </w:pPr>
    <w:rPr>
      <w:rFonts w:ascii="Segoe UI" w:eastAsia="Segoe UI" w:hAnsi="Segoe UI" w:cs="Segoe UI"/>
      <w:b/>
      <w:bCs/>
      <w:spacing w:val="60"/>
      <w:sz w:val="13"/>
      <w:szCs w:val="13"/>
      <w:lang w:val="en-US" w:eastAsia="en-US" w:bidi="ar-SA"/>
    </w:rPr>
  </w:style>
  <w:style w:type="character" w:customStyle="1" w:styleId="Bodytext16">
    <w:name w:val="Body text (16)_"/>
    <w:basedOn w:val="DefaultParagraphFont"/>
    <w:link w:val="Bodytext160"/>
    <w:rsid w:val="006F76EB"/>
    <w:rPr>
      <w:rFonts w:ascii="CordiaUPC" w:eastAsia="CordiaUPC" w:hAnsi="CordiaUPC" w:cs="CordiaUPC"/>
      <w:b/>
      <w:bCs/>
      <w:spacing w:val="40"/>
      <w:sz w:val="26"/>
      <w:szCs w:val="26"/>
      <w:shd w:val="clear" w:color="auto" w:fill="FFFFFF"/>
    </w:rPr>
  </w:style>
  <w:style w:type="paragraph" w:customStyle="1" w:styleId="Bodytext160">
    <w:name w:val="Body text (16)"/>
    <w:basedOn w:val="Normal"/>
    <w:link w:val="Bodytext16"/>
    <w:rsid w:val="006F76EB"/>
    <w:pPr>
      <w:shd w:val="clear" w:color="auto" w:fill="FFFFFF"/>
      <w:spacing w:after="660" w:line="346" w:lineRule="exact"/>
    </w:pPr>
    <w:rPr>
      <w:rFonts w:ascii="CordiaUPC" w:eastAsia="CordiaUPC" w:hAnsi="CordiaUPC" w:cs="CordiaUPC"/>
      <w:b/>
      <w:bCs/>
      <w:spacing w:val="40"/>
      <w:sz w:val="26"/>
      <w:szCs w:val="26"/>
      <w:lang w:val="en-US" w:eastAsia="en-US" w:bidi="ar-SA"/>
    </w:rPr>
  </w:style>
  <w:style w:type="character" w:customStyle="1" w:styleId="Heading13Spacing2pt">
    <w:name w:val="Heading #1 (3) + Spacing 2 pt"/>
    <w:basedOn w:val="Heading13"/>
    <w:rsid w:val="006F76EB"/>
    <w:rPr>
      <w:rFonts w:ascii="Times New Roman" w:eastAsia="Times New Roman" w:hAnsi="Times New Roman" w:cs="Times New Roman"/>
      <w:sz w:val="30"/>
      <w:szCs w:val="30"/>
      <w:shd w:val="clear" w:color="auto" w:fill="FFFFFF"/>
    </w:rPr>
  </w:style>
  <w:style w:type="character" w:customStyle="1" w:styleId="Bodytext7Spacing1pt">
    <w:name w:val="Body text (7) + Spacing 1 pt"/>
    <w:basedOn w:val="Bodytext7"/>
    <w:rsid w:val="006F76EB"/>
    <w:rPr>
      <w:rFonts w:ascii="Times New Roman" w:eastAsia="Times New Roman" w:hAnsi="Times New Roman" w:cs="Times New Roman"/>
      <w:b/>
      <w:bCs/>
      <w:i/>
      <w:iCs/>
      <w:sz w:val="28"/>
      <w:szCs w:val="28"/>
      <w:shd w:val="clear" w:color="auto" w:fill="FFFFFF"/>
    </w:rPr>
  </w:style>
  <w:style w:type="character" w:customStyle="1" w:styleId="Heading13Spacing1pt">
    <w:name w:val="Heading #1 (3) + Spacing 1 pt"/>
    <w:basedOn w:val="Heading13"/>
    <w:rsid w:val="006F76EB"/>
    <w:rPr>
      <w:rFonts w:ascii="Times New Roman" w:eastAsia="Times New Roman" w:hAnsi="Times New Roman" w:cs="Times New Roman"/>
      <w:sz w:val="30"/>
      <w:szCs w:val="30"/>
      <w:shd w:val="clear" w:color="auto" w:fill="FFFFFF"/>
    </w:rPr>
  </w:style>
  <w:style w:type="character" w:customStyle="1" w:styleId="Tablecaption5">
    <w:name w:val="Table caption (5)_"/>
    <w:basedOn w:val="DefaultParagraphFont"/>
    <w:link w:val="Tablecaption50"/>
    <w:rsid w:val="006F76EB"/>
    <w:rPr>
      <w:rFonts w:ascii="Times New Roman" w:eastAsia="Times New Roman" w:hAnsi="Times New Roman" w:cs="Times New Roman"/>
      <w:sz w:val="20"/>
      <w:szCs w:val="20"/>
      <w:shd w:val="clear" w:color="auto" w:fill="FFFFFF"/>
    </w:rPr>
  </w:style>
  <w:style w:type="paragraph" w:customStyle="1" w:styleId="Tablecaption50">
    <w:name w:val="Table caption (5)"/>
    <w:basedOn w:val="Normal"/>
    <w:link w:val="Tablecaption5"/>
    <w:rsid w:val="006F76EB"/>
    <w:pPr>
      <w:shd w:val="clear" w:color="auto" w:fill="FFFFFF"/>
      <w:spacing w:after="0" w:line="230" w:lineRule="exact"/>
      <w:jc w:val="both"/>
    </w:pPr>
    <w:rPr>
      <w:rFonts w:ascii="Times New Roman" w:eastAsia="Times New Roman" w:hAnsi="Times New Roman" w:cs="Times New Roman"/>
      <w:sz w:val="20"/>
      <w:szCs w:val="20"/>
      <w:lang w:val="en-US" w:eastAsia="en-US" w:bidi="ar-SA"/>
    </w:rPr>
  </w:style>
  <w:style w:type="character" w:customStyle="1" w:styleId="Bodytext17">
    <w:name w:val="Body text (17)_"/>
    <w:basedOn w:val="DefaultParagraphFont"/>
    <w:link w:val="Bodytext170"/>
    <w:rsid w:val="006F76EB"/>
    <w:rPr>
      <w:rFonts w:ascii="Century Schoolbook" w:eastAsia="Century Schoolbook" w:hAnsi="Century Schoolbook" w:cs="Century Schoolbook"/>
      <w:sz w:val="9"/>
      <w:szCs w:val="9"/>
      <w:shd w:val="clear" w:color="auto" w:fill="FFFFFF"/>
    </w:rPr>
  </w:style>
  <w:style w:type="paragraph" w:customStyle="1" w:styleId="Bodytext170">
    <w:name w:val="Body text (17)"/>
    <w:basedOn w:val="Normal"/>
    <w:link w:val="Bodytext17"/>
    <w:rsid w:val="006F76EB"/>
    <w:pPr>
      <w:shd w:val="clear" w:color="auto" w:fill="FFFFFF"/>
      <w:spacing w:before="4500" w:after="0" w:line="0" w:lineRule="atLeast"/>
    </w:pPr>
    <w:rPr>
      <w:rFonts w:ascii="Century Schoolbook" w:eastAsia="Century Schoolbook" w:hAnsi="Century Schoolbook" w:cs="Century Schoolbook"/>
      <w:sz w:val="9"/>
      <w:szCs w:val="9"/>
      <w:lang w:val="en-US" w:eastAsia="en-US" w:bidi="ar-SA"/>
    </w:rPr>
  </w:style>
  <w:style w:type="character" w:customStyle="1" w:styleId="Bodytext1812pt">
    <w:name w:val="Body text (18) + 12 pt"/>
    <w:basedOn w:val="Bodytext18"/>
    <w:rsid w:val="006F76EB"/>
    <w:rPr>
      <w:rFonts w:ascii="Times New Roman" w:eastAsia="Times New Roman" w:hAnsi="Times New Roman" w:cs="Times New Roman"/>
      <w:b/>
      <w:bCs/>
      <w:color w:val="000000"/>
      <w:spacing w:val="0"/>
      <w:w w:val="100"/>
      <w:position w:val="0"/>
      <w:sz w:val="24"/>
      <w:szCs w:val="24"/>
      <w:shd w:val="clear" w:color="auto" w:fill="FFFFFF"/>
      <w:lang w:val="hy-AM" w:eastAsia="hy-AM" w:bidi="hy-AM"/>
    </w:rPr>
  </w:style>
  <w:style w:type="character" w:customStyle="1" w:styleId="Bodytext18105pt">
    <w:name w:val="Body text (18) + 10.5 pt"/>
    <w:basedOn w:val="Bodytext18"/>
    <w:rsid w:val="006F76EB"/>
    <w:rPr>
      <w:rFonts w:ascii="Times New Roman" w:eastAsia="Times New Roman" w:hAnsi="Times New Roman" w:cs="Times New Roman"/>
      <w:b/>
      <w:bCs/>
      <w:color w:val="000000"/>
      <w:spacing w:val="0"/>
      <w:w w:val="100"/>
      <w:position w:val="0"/>
      <w:sz w:val="21"/>
      <w:szCs w:val="21"/>
      <w:shd w:val="clear" w:color="auto" w:fill="FFFFFF"/>
      <w:lang w:val="hy-AM" w:eastAsia="hy-AM" w:bidi="hy-AM"/>
    </w:rPr>
  </w:style>
  <w:style w:type="character" w:customStyle="1" w:styleId="Bodytext1810pt">
    <w:name w:val="Body text (18) + 10 pt"/>
    <w:basedOn w:val="Bodytext18"/>
    <w:rsid w:val="006F76EB"/>
    <w:rPr>
      <w:rFonts w:ascii="Times New Roman" w:eastAsia="Times New Roman" w:hAnsi="Times New Roman" w:cs="Times New Roman"/>
      <w:b/>
      <w:bCs/>
      <w:color w:val="000000"/>
      <w:spacing w:val="0"/>
      <w:w w:val="100"/>
      <w:position w:val="0"/>
      <w:sz w:val="20"/>
      <w:szCs w:val="20"/>
      <w:shd w:val="clear" w:color="auto" w:fill="FFFFFF"/>
      <w:lang w:val="hy-AM" w:eastAsia="hy-AM" w:bidi="hy-AM"/>
    </w:rPr>
  </w:style>
  <w:style w:type="character" w:customStyle="1" w:styleId="Bodytext18NotBold">
    <w:name w:val="Body text (18) + Not Bold"/>
    <w:basedOn w:val="Bodytext18"/>
    <w:rsid w:val="006F76EB"/>
    <w:rPr>
      <w:rFonts w:ascii="Times New Roman" w:eastAsia="Times New Roman" w:hAnsi="Times New Roman" w:cs="Times New Roman"/>
      <w:b/>
      <w:bCs/>
      <w:color w:val="000000"/>
      <w:spacing w:val="0"/>
      <w:w w:val="100"/>
      <w:position w:val="0"/>
      <w:sz w:val="26"/>
      <w:szCs w:val="26"/>
      <w:shd w:val="clear" w:color="auto" w:fill="FFFFFF"/>
      <w:lang w:val="hy-AM" w:eastAsia="hy-AM" w:bidi="hy-AM"/>
    </w:rPr>
  </w:style>
  <w:style w:type="character" w:customStyle="1" w:styleId="DocumentMapChar">
    <w:name w:val="Document Map Char"/>
    <w:basedOn w:val="DefaultParagraphFont"/>
    <w:link w:val="DocumentMap"/>
    <w:uiPriority w:val="99"/>
    <w:semiHidden/>
    <w:rsid w:val="006F76EB"/>
    <w:rPr>
      <w:rFonts w:ascii="Tahoma" w:eastAsia="MS Mincho" w:hAnsi="Tahoma" w:cs="Tahoma"/>
      <w:color w:val="000000"/>
      <w:sz w:val="16"/>
      <w:szCs w:val="16"/>
    </w:rPr>
  </w:style>
  <w:style w:type="paragraph" w:styleId="DocumentMap">
    <w:name w:val="Document Map"/>
    <w:basedOn w:val="Normal"/>
    <w:link w:val="DocumentMapChar"/>
    <w:uiPriority w:val="99"/>
    <w:semiHidden/>
    <w:unhideWhenUsed/>
    <w:rsid w:val="006F76EB"/>
    <w:pPr>
      <w:spacing w:after="0" w:line="240" w:lineRule="auto"/>
    </w:pPr>
    <w:rPr>
      <w:rFonts w:ascii="Tahoma" w:eastAsia="MS Mincho" w:hAnsi="Tahoma" w:cs="Tahoma"/>
      <w:color w:val="000000"/>
      <w:sz w:val="16"/>
      <w:szCs w:val="16"/>
      <w:lang w:val="en-US" w:eastAsia="en-US" w:bidi="ar-SA"/>
    </w:rPr>
  </w:style>
  <w:style w:type="character" w:customStyle="1" w:styleId="DocumentMapChar1">
    <w:name w:val="Document Map Char1"/>
    <w:basedOn w:val="DefaultParagraphFont"/>
    <w:uiPriority w:val="99"/>
    <w:semiHidden/>
    <w:rsid w:val="006F76EB"/>
    <w:rPr>
      <w:rFonts w:ascii="Tahoma" w:hAnsi="Tahoma" w:cs="Tahoma"/>
      <w:sz w:val="16"/>
      <w:szCs w:val="16"/>
      <w:lang w:val="hy-AM" w:eastAsia="hy-AM" w:bidi="hy-AM"/>
    </w:rPr>
  </w:style>
  <w:style w:type="character" w:customStyle="1" w:styleId="Bodytext411pt">
    <w:name w:val="Body text (4) + 11 pt"/>
    <w:basedOn w:val="Bodytext4"/>
    <w:rsid w:val="006F76EB"/>
    <w:rPr>
      <w:rFonts w:ascii="Times New Roman" w:eastAsia="Times New Roman" w:hAnsi="Times New Roman" w:cs="Times New Roman"/>
      <w:b/>
      <w:bCs/>
      <w:color w:val="000000"/>
      <w:spacing w:val="0"/>
      <w:w w:val="100"/>
      <w:position w:val="0"/>
      <w:sz w:val="22"/>
      <w:szCs w:val="22"/>
      <w:shd w:val="clear" w:color="auto" w:fill="FFFFFF"/>
      <w:lang w:val="hy-AM" w:eastAsia="hy-AM" w:bidi="hy-AM"/>
    </w:rPr>
  </w:style>
  <w:style w:type="character" w:customStyle="1" w:styleId="Heading12Spacing1pt">
    <w:name w:val="Heading #1 (2) + Spacing 1 pt"/>
    <w:basedOn w:val="Heading12"/>
    <w:rsid w:val="006F76EB"/>
    <w:rPr>
      <w:rFonts w:ascii="Times New Roman" w:eastAsia="Times New Roman" w:hAnsi="Times New Roman" w:cs="Times New Roman"/>
      <w:b/>
      <w:bCs/>
      <w:color w:val="000000"/>
      <w:spacing w:val="30"/>
      <w:w w:val="100"/>
      <w:position w:val="0"/>
      <w:sz w:val="30"/>
      <w:szCs w:val="30"/>
      <w:shd w:val="clear" w:color="auto" w:fill="FFFFFF"/>
      <w:lang w:val="hy-AM" w:eastAsia="hy-AM" w:bidi="hy-AM"/>
    </w:rPr>
  </w:style>
  <w:style w:type="character" w:styleId="Hyperlink">
    <w:name w:val="Hyperlink"/>
    <w:basedOn w:val="DefaultParagraphFont"/>
    <w:rsid w:val="006F76EB"/>
    <w:rPr>
      <w:color w:val="0066CC"/>
      <w:u w:val="single"/>
    </w:rPr>
  </w:style>
  <w:style w:type="character" w:customStyle="1" w:styleId="Bodytext2115pt">
    <w:name w:val="Body text (2) + 11.5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hy-AM" w:eastAsia="hy-AM" w:bidi="hy-AM"/>
    </w:rPr>
  </w:style>
  <w:style w:type="character" w:customStyle="1" w:styleId="Bodytext210pt">
    <w:name w:val="Body text (2) + 10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Exact">
    <w:name w:val="Body text (2) Exact"/>
    <w:basedOn w:val="DefaultParagraphFont"/>
    <w:rsid w:val="006F76EB"/>
    <w:rPr>
      <w:rFonts w:ascii="Times New Roman" w:eastAsia="Times New Roman" w:hAnsi="Times New Roman" w:cs="Times New Roman"/>
      <w:b w:val="0"/>
      <w:bCs w:val="0"/>
      <w:i w:val="0"/>
      <w:iCs w:val="0"/>
      <w:smallCaps w:val="0"/>
      <w:strike w:val="0"/>
      <w:sz w:val="30"/>
      <w:szCs w:val="30"/>
      <w:u w:val="none"/>
    </w:rPr>
  </w:style>
  <w:style w:type="character" w:customStyle="1" w:styleId="Bodytext2Italic">
    <w:name w:val="Body text (2) + Italic"/>
    <w:basedOn w:val="Bodytext2"/>
    <w:rsid w:val="006F76EB"/>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hy-AM" w:eastAsia="hy-AM" w:bidi="hy-AM"/>
    </w:rPr>
  </w:style>
  <w:style w:type="character" w:customStyle="1" w:styleId="Bodytext2Spacing2pt">
    <w:name w:val="Body text (2) + Spacing 2 pt"/>
    <w:basedOn w:val="Bodytext2"/>
    <w:rsid w:val="006F76EB"/>
    <w:rPr>
      <w:rFonts w:ascii="Times New Roman" w:eastAsia="Times New Roman" w:hAnsi="Times New Roman" w:cs="Times New Roman"/>
      <w:b w:val="0"/>
      <w:bCs w:val="0"/>
      <w:i w:val="0"/>
      <w:iCs w:val="0"/>
      <w:smallCaps w:val="0"/>
      <w:strike w:val="0"/>
      <w:color w:val="000000"/>
      <w:spacing w:val="40"/>
      <w:w w:val="100"/>
      <w:position w:val="0"/>
      <w:sz w:val="30"/>
      <w:szCs w:val="30"/>
      <w:u w:val="none"/>
      <w:shd w:val="clear" w:color="auto" w:fill="FFFFFF"/>
      <w:lang w:val="hy-AM" w:eastAsia="hy-AM" w:bidi="hy-AM"/>
    </w:rPr>
  </w:style>
  <w:style w:type="character" w:customStyle="1" w:styleId="Heading12Spacing2pt">
    <w:name w:val="Heading #1 (2) + Spacing 2 pt"/>
    <w:basedOn w:val="Heading12"/>
    <w:rsid w:val="006F76EB"/>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Heading1Spacing2pt">
    <w:name w:val="Heading #1 + Spacing 2 pt"/>
    <w:basedOn w:val="Heading1"/>
    <w:rsid w:val="006F76EB"/>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8Exact">
    <w:name w:val="Body text (8) Exact"/>
    <w:basedOn w:val="DefaultParagraphFont"/>
    <w:rsid w:val="006F76EB"/>
    <w:rPr>
      <w:rFonts w:ascii="Times New Roman" w:eastAsia="Times New Roman" w:hAnsi="Times New Roman" w:cs="Times New Roman"/>
      <w:b/>
      <w:bCs/>
      <w:i w:val="0"/>
      <w:iCs w:val="0"/>
      <w:smallCaps w:val="0"/>
      <w:strike w:val="0"/>
      <w:sz w:val="22"/>
      <w:szCs w:val="22"/>
      <w:u w:val="none"/>
    </w:rPr>
  </w:style>
  <w:style w:type="character" w:customStyle="1" w:styleId="Heading1Spacing3pt">
    <w:name w:val="Heading #1 + Spacing 3 pt"/>
    <w:basedOn w:val="Heading1"/>
    <w:rsid w:val="006F76EB"/>
    <w:rPr>
      <w:rFonts w:ascii="Times New Roman" w:eastAsia="Times New Roman" w:hAnsi="Times New Roman" w:cs="Times New Roman"/>
      <w:b/>
      <w:bCs/>
      <w:color w:val="000000"/>
      <w:spacing w:val="70"/>
      <w:w w:val="100"/>
      <w:position w:val="0"/>
      <w:sz w:val="30"/>
      <w:szCs w:val="30"/>
      <w:shd w:val="clear" w:color="auto" w:fill="FFFFFF"/>
      <w:lang w:val="hy-AM" w:eastAsia="hy-AM" w:bidi="hy-AM"/>
    </w:rPr>
  </w:style>
  <w:style w:type="character" w:styleId="PlaceholderText">
    <w:name w:val="Placeholder Text"/>
    <w:basedOn w:val="DefaultParagraphFont"/>
    <w:uiPriority w:val="99"/>
    <w:semiHidden/>
    <w:rsid w:val="006F76EB"/>
    <w:rPr>
      <w:color w:val="808080"/>
    </w:rPr>
  </w:style>
  <w:style w:type="paragraph" w:styleId="Revision">
    <w:name w:val="Revision"/>
    <w:hidden/>
    <w:uiPriority w:val="99"/>
    <w:semiHidden/>
    <w:rsid w:val="006F76EB"/>
    <w:pPr>
      <w:spacing w:after="0" w:line="240" w:lineRule="auto"/>
    </w:pPr>
    <w:rPr>
      <w:rFonts w:ascii="Sylfaen" w:eastAsia="MS Mincho" w:hAnsi="Sylfaen" w:cs="Sylfaen"/>
      <w:color w:val="000000"/>
      <w:sz w:val="24"/>
      <w:szCs w:val="24"/>
      <w:lang w:val="hy-AM" w:eastAsia="hy-AM" w:bidi="hy-AM"/>
    </w:rPr>
  </w:style>
  <w:style w:type="character" w:customStyle="1" w:styleId="Bodytext1815pt">
    <w:name w:val="Body text (18) + 15 pt"/>
    <w:aliases w:val="Not Bold,Body text (18) + 4 pt"/>
    <w:basedOn w:val="Bodytext18"/>
    <w:rsid w:val="006F76EB"/>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Bodytext28pt">
    <w:name w:val="Body text (2) + 8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y-AM" w:eastAsia="hy-AM" w:bidi="hy-AM"/>
    </w:rPr>
  </w:style>
  <w:style w:type="character" w:customStyle="1" w:styleId="Bodytext3Spacing3pt">
    <w:name w:val="Body text (3) + Spacing 3 pt"/>
    <w:basedOn w:val="Bodytext3"/>
    <w:rsid w:val="00BD67EC"/>
    <w:rPr>
      <w:rFonts w:ascii="Times New Roman" w:eastAsia="Times New Roman" w:hAnsi="Times New Roman" w:cs="Times New Roman"/>
      <w:b/>
      <w:bCs/>
      <w:color w:val="000000"/>
      <w:spacing w:val="60"/>
      <w:w w:val="100"/>
      <w:position w:val="0"/>
      <w:sz w:val="30"/>
      <w:szCs w:val="30"/>
      <w:shd w:val="clear" w:color="auto" w:fill="FFFFFF"/>
      <w:lang w:val="hy-AM" w:eastAsia="hy-AM" w:bidi="hy-AM"/>
    </w:rPr>
  </w:style>
  <w:style w:type="paragraph" w:styleId="NormalWeb">
    <w:name w:val="Normal (Web)"/>
    <w:basedOn w:val="Normal"/>
    <w:uiPriority w:val="99"/>
    <w:semiHidden/>
    <w:unhideWhenUsed/>
    <w:rsid w:val="000A5E1D"/>
    <w:pPr>
      <w:widowControl/>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43958">
      <w:bodyDiv w:val="1"/>
      <w:marLeft w:val="0"/>
      <w:marRight w:val="0"/>
      <w:marTop w:val="0"/>
      <w:marBottom w:val="0"/>
      <w:divBdr>
        <w:top w:val="none" w:sz="0" w:space="0" w:color="auto"/>
        <w:left w:val="none" w:sz="0" w:space="0" w:color="auto"/>
        <w:bottom w:val="none" w:sz="0" w:space="0" w:color="auto"/>
        <w:right w:val="none" w:sz="0" w:space="0" w:color="auto"/>
      </w:divBdr>
      <w:divsChild>
        <w:div w:id="985159382">
          <w:marLeft w:val="0"/>
          <w:marRight w:val="0"/>
          <w:marTop w:val="0"/>
          <w:marBottom w:val="0"/>
          <w:divBdr>
            <w:top w:val="none" w:sz="0" w:space="0" w:color="auto"/>
            <w:left w:val="none" w:sz="0" w:space="0" w:color="auto"/>
            <w:bottom w:val="none" w:sz="0" w:space="0" w:color="auto"/>
            <w:right w:val="none" w:sz="0" w:space="0" w:color="auto"/>
          </w:divBdr>
        </w:div>
      </w:divsChild>
    </w:div>
    <w:div w:id="74206347">
      <w:bodyDiv w:val="1"/>
      <w:marLeft w:val="0"/>
      <w:marRight w:val="0"/>
      <w:marTop w:val="0"/>
      <w:marBottom w:val="0"/>
      <w:divBdr>
        <w:top w:val="none" w:sz="0" w:space="0" w:color="auto"/>
        <w:left w:val="none" w:sz="0" w:space="0" w:color="auto"/>
        <w:bottom w:val="none" w:sz="0" w:space="0" w:color="auto"/>
        <w:right w:val="none" w:sz="0" w:space="0" w:color="auto"/>
      </w:divBdr>
      <w:divsChild>
        <w:div w:id="1905605615">
          <w:marLeft w:val="0"/>
          <w:marRight w:val="0"/>
          <w:marTop w:val="0"/>
          <w:marBottom w:val="0"/>
          <w:divBdr>
            <w:top w:val="none" w:sz="0" w:space="0" w:color="auto"/>
            <w:left w:val="none" w:sz="0" w:space="0" w:color="auto"/>
            <w:bottom w:val="none" w:sz="0" w:space="0" w:color="auto"/>
            <w:right w:val="none" w:sz="0" w:space="0" w:color="auto"/>
          </w:divBdr>
        </w:div>
      </w:divsChild>
    </w:div>
    <w:div w:id="102845232">
      <w:bodyDiv w:val="1"/>
      <w:marLeft w:val="0"/>
      <w:marRight w:val="0"/>
      <w:marTop w:val="0"/>
      <w:marBottom w:val="0"/>
      <w:divBdr>
        <w:top w:val="none" w:sz="0" w:space="0" w:color="auto"/>
        <w:left w:val="none" w:sz="0" w:space="0" w:color="auto"/>
        <w:bottom w:val="none" w:sz="0" w:space="0" w:color="auto"/>
        <w:right w:val="none" w:sz="0" w:space="0" w:color="auto"/>
      </w:divBdr>
      <w:divsChild>
        <w:div w:id="1124468421">
          <w:marLeft w:val="0"/>
          <w:marRight w:val="0"/>
          <w:marTop w:val="0"/>
          <w:marBottom w:val="0"/>
          <w:divBdr>
            <w:top w:val="none" w:sz="0" w:space="0" w:color="auto"/>
            <w:left w:val="none" w:sz="0" w:space="0" w:color="auto"/>
            <w:bottom w:val="none" w:sz="0" w:space="0" w:color="auto"/>
            <w:right w:val="none" w:sz="0" w:space="0" w:color="auto"/>
          </w:divBdr>
        </w:div>
      </w:divsChild>
    </w:div>
    <w:div w:id="190387969">
      <w:bodyDiv w:val="1"/>
      <w:marLeft w:val="0"/>
      <w:marRight w:val="0"/>
      <w:marTop w:val="0"/>
      <w:marBottom w:val="0"/>
      <w:divBdr>
        <w:top w:val="none" w:sz="0" w:space="0" w:color="auto"/>
        <w:left w:val="none" w:sz="0" w:space="0" w:color="auto"/>
        <w:bottom w:val="none" w:sz="0" w:space="0" w:color="auto"/>
        <w:right w:val="none" w:sz="0" w:space="0" w:color="auto"/>
      </w:divBdr>
      <w:divsChild>
        <w:div w:id="174850264">
          <w:marLeft w:val="0"/>
          <w:marRight w:val="0"/>
          <w:marTop w:val="0"/>
          <w:marBottom w:val="0"/>
          <w:divBdr>
            <w:top w:val="none" w:sz="0" w:space="0" w:color="auto"/>
            <w:left w:val="none" w:sz="0" w:space="0" w:color="auto"/>
            <w:bottom w:val="none" w:sz="0" w:space="0" w:color="auto"/>
            <w:right w:val="none" w:sz="0" w:space="0" w:color="auto"/>
          </w:divBdr>
        </w:div>
      </w:divsChild>
    </w:div>
    <w:div w:id="359282198">
      <w:bodyDiv w:val="1"/>
      <w:marLeft w:val="0"/>
      <w:marRight w:val="0"/>
      <w:marTop w:val="0"/>
      <w:marBottom w:val="0"/>
      <w:divBdr>
        <w:top w:val="none" w:sz="0" w:space="0" w:color="auto"/>
        <w:left w:val="none" w:sz="0" w:space="0" w:color="auto"/>
        <w:bottom w:val="none" w:sz="0" w:space="0" w:color="auto"/>
        <w:right w:val="none" w:sz="0" w:space="0" w:color="auto"/>
      </w:divBdr>
      <w:divsChild>
        <w:div w:id="1727411430">
          <w:marLeft w:val="0"/>
          <w:marRight w:val="0"/>
          <w:marTop w:val="0"/>
          <w:marBottom w:val="0"/>
          <w:divBdr>
            <w:top w:val="none" w:sz="0" w:space="0" w:color="auto"/>
            <w:left w:val="none" w:sz="0" w:space="0" w:color="auto"/>
            <w:bottom w:val="none" w:sz="0" w:space="0" w:color="auto"/>
            <w:right w:val="none" w:sz="0" w:space="0" w:color="auto"/>
          </w:divBdr>
        </w:div>
      </w:divsChild>
    </w:div>
    <w:div w:id="428938153">
      <w:bodyDiv w:val="1"/>
      <w:marLeft w:val="0"/>
      <w:marRight w:val="0"/>
      <w:marTop w:val="0"/>
      <w:marBottom w:val="0"/>
      <w:divBdr>
        <w:top w:val="none" w:sz="0" w:space="0" w:color="auto"/>
        <w:left w:val="none" w:sz="0" w:space="0" w:color="auto"/>
        <w:bottom w:val="none" w:sz="0" w:space="0" w:color="auto"/>
        <w:right w:val="none" w:sz="0" w:space="0" w:color="auto"/>
      </w:divBdr>
      <w:divsChild>
        <w:div w:id="720443162">
          <w:marLeft w:val="0"/>
          <w:marRight w:val="0"/>
          <w:marTop w:val="0"/>
          <w:marBottom w:val="0"/>
          <w:divBdr>
            <w:top w:val="none" w:sz="0" w:space="0" w:color="auto"/>
            <w:left w:val="none" w:sz="0" w:space="0" w:color="auto"/>
            <w:bottom w:val="none" w:sz="0" w:space="0" w:color="auto"/>
            <w:right w:val="none" w:sz="0" w:space="0" w:color="auto"/>
          </w:divBdr>
        </w:div>
      </w:divsChild>
    </w:div>
    <w:div w:id="439616993">
      <w:bodyDiv w:val="1"/>
      <w:marLeft w:val="0"/>
      <w:marRight w:val="0"/>
      <w:marTop w:val="0"/>
      <w:marBottom w:val="0"/>
      <w:divBdr>
        <w:top w:val="none" w:sz="0" w:space="0" w:color="auto"/>
        <w:left w:val="none" w:sz="0" w:space="0" w:color="auto"/>
        <w:bottom w:val="none" w:sz="0" w:space="0" w:color="auto"/>
        <w:right w:val="none" w:sz="0" w:space="0" w:color="auto"/>
      </w:divBdr>
      <w:divsChild>
        <w:div w:id="1955672285">
          <w:marLeft w:val="0"/>
          <w:marRight w:val="0"/>
          <w:marTop w:val="0"/>
          <w:marBottom w:val="0"/>
          <w:divBdr>
            <w:top w:val="none" w:sz="0" w:space="0" w:color="auto"/>
            <w:left w:val="none" w:sz="0" w:space="0" w:color="auto"/>
            <w:bottom w:val="none" w:sz="0" w:space="0" w:color="auto"/>
            <w:right w:val="none" w:sz="0" w:space="0" w:color="auto"/>
          </w:divBdr>
        </w:div>
      </w:divsChild>
    </w:div>
    <w:div w:id="471872554">
      <w:bodyDiv w:val="1"/>
      <w:marLeft w:val="0"/>
      <w:marRight w:val="0"/>
      <w:marTop w:val="0"/>
      <w:marBottom w:val="0"/>
      <w:divBdr>
        <w:top w:val="none" w:sz="0" w:space="0" w:color="auto"/>
        <w:left w:val="none" w:sz="0" w:space="0" w:color="auto"/>
        <w:bottom w:val="none" w:sz="0" w:space="0" w:color="auto"/>
        <w:right w:val="none" w:sz="0" w:space="0" w:color="auto"/>
      </w:divBdr>
      <w:divsChild>
        <w:div w:id="1148210028">
          <w:marLeft w:val="0"/>
          <w:marRight w:val="0"/>
          <w:marTop w:val="0"/>
          <w:marBottom w:val="0"/>
          <w:divBdr>
            <w:top w:val="none" w:sz="0" w:space="0" w:color="auto"/>
            <w:left w:val="none" w:sz="0" w:space="0" w:color="auto"/>
            <w:bottom w:val="none" w:sz="0" w:space="0" w:color="auto"/>
            <w:right w:val="none" w:sz="0" w:space="0" w:color="auto"/>
          </w:divBdr>
        </w:div>
      </w:divsChild>
    </w:div>
    <w:div w:id="490491124">
      <w:bodyDiv w:val="1"/>
      <w:marLeft w:val="0"/>
      <w:marRight w:val="0"/>
      <w:marTop w:val="0"/>
      <w:marBottom w:val="0"/>
      <w:divBdr>
        <w:top w:val="none" w:sz="0" w:space="0" w:color="auto"/>
        <w:left w:val="none" w:sz="0" w:space="0" w:color="auto"/>
        <w:bottom w:val="none" w:sz="0" w:space="0" w:color="auto"/>
        <w:right w:val="none" w:sz="0" w:space="0" w:color="auto"/>
      </w:divBdr>
      <w:divsChild>
        <w:div w:id="992372649">
          <w:marLeft w:val="0"/>
          <w:marRight w:val="0"/>
          <w:marTop w:val="0"/>
          <w:marBottom w:val="0"/>
          <w:divBdr>
            <w:top w:val="none" w:sz="0" w:space="0" w:color="auto"/>
            <w:left w:val="none" w:sz="0" w:space="0" w:color="auto"/>
            <w:bottom w:val="none" w:sz="0" w:space="0" w:color="auto"/>
            <w:right w:val="none" w:sz="0" w:space="0" w:color="auto"/>
          </w:divBdr>
        </w:div>
      </w:divsChild>
    </w:div>
    <w:div w:id="498883728">
      <w:bodyDiv w:val="1"/>
      <w:marLeft w:val="0"/>
      <w:marRight w:val="0"/>
      <w:marTop w:val="0"/>
      <w:marBottom w:val="0"/>
      <w:divBdr>
        <w:top w:val="none" w:sz="0" w:space="0" w:color="auto"/>
        <w:left w:val="none" w:sz="0" w:space="0" w:color="auto"/>
        <w:bottom w:val="none" w:sz="0" w:space="0" w:color="auto"/>
        <w:right w:val="none" w:sz="0" w:space="0" w:color="auto"/>
      </w:divBdr>
      <w:divsChild>
        <w:div w:id="114065117">
          <w:marLeft w:val="0"/>
          <w:marRight w:val="0"/>
          <w:marTop w:val="0"/>
          <w:marBottom w:val="0"/>
          <w:divBdr>
            <w:top w:val="none" w:sz="0" w:space="0" w:color="auto"/>
            <w:left w:val="none" w:sz="0" w:space="0" w:color="auto"/>
            <w:bottom w:val="none" w:sz="0" w:space="0" w:color="auto"/>
            <w:right w:val="none" w:sz="0" w:space="0" w:color="auto"/>
          </w:divBdr>
        </w:div>
      </w:divsChild>
    </w:div>
    <w:div w:id="513225265">
      <w:bodyDiv w:val="1"/>
      <w:marLeft w:val="0"/>
      <w:marRight w:val="0"/>
      <w:marTop w:val="0"/>
      <w:marBottom w:val="0"/>
      <w:divBdr>
        <w:top w:val="none" w:sz="0" w:space="0" w:color="auto"/>
        <w:left w:val="none" w:sz="0" w:space="0" w:color="auto"/>
        <w:bottom w:val="none" w:sz="0" w:space="0" w:color="auto"/>
        <w:right w:val="none" w:sz="0" w:space="0" w:color="auto"/>
      </w:divBdr>
      <w:divsChild>
        <w:div w:id="896622806">
          <w:marLeft w:val="0"/>
          <w:marRight w:val="0"/>
          <w:marTop w:val="0"/>
          <w:marBottom w:val="0"/>
          <w:divBdr>
            <w:top w:val="none" w:sz="0" w:space="0" w:color="auto"/>
            <w:left w:val="none" w:sz="0" w:space="0" w:color="auto"/>
            <w:bottom w:val="none" w:sz="0" w:space="0" w:color="auto"/>
            <w:right w:val="none" w:sz="0" w:space="0" w:color="auto"/>
          </w:divBdr>
        </w:div>
      </w:divsChild>
    </w:div>
    <w:div w:id="611716691">
      <w:bodyDiv w:val="1"/>
      <w:marLeft w:val="0"/>
      <w:marRight w:val="0"/>
      <w:marTop w:val="0"/>
      <w:marBottom w:val="0"/>
      <w:divBdr>
        <w:top w:val="none" w:sz="0" w:space="0" w:color="auto"/>
        <w:left w:val="none" w:sz="0" w:space="0" w:color="auto"/>
        <w:bottom w:val="none" w:sz="0" w:space="0" w:color="auto"/>
        <w:right w:val="none" w:sz="0" w:space="0" w:color="auto"/>
      </w:divBdr>
      <w:divsChild>
        <w:div w:id="211818315">
          <w:marLeft w:val="0"/>
          <w:marRight w:val="0"/>
          <w:marTop w:val="0"/>
          <w:marBottom w:val="0"/>
          <w:divBdr>
            <w:top w:val="none" w:sz="0" w:space="0" w:color="auto"/>
            <w:left w:val="none" w:sz="0" w:space="0" w:color="auto"/>
            <w:bottom w:val="none" w:sz="0" w:space="0" w:color="auto"/>
            <w:right w:val="none" w:sz="0" w:space="0" w:color="auto"/>
          </w:divBdr>
        </w:div>
      </w:divsChild>
    </w:div>
    <w:div w:id="644048293">
      <w:bodyDiv w:val="1"/>
      <w:marLeft w:val="0"/>
      <w:marRight w:val="0"/>
      <w:marTop w:val="0"/>
      <w:marBottom w:val="0"/>
      <w:divBdr>
        <w:top w:val="none" w:sz="0" w:space="0" w:color="auto"/>
        <w:left w:val="none" w:sz="0" w:space="0" w:color="auto"/>
        <w:bottom w:val="none" w:sz="0" w:space="0" w:color="auto"/>
        <w:right w:val="none" w:sz="0" w:space="0" w:color="auto"/>
      </w:divBdr>
      <w:divsChild>
        <w:div w:id="1984697375">
          <w:marLeft w:val="0"/>
          <w:marRight w:val="0"/>
          <w:marTop w:val="0"/>
          <w:marBottom w:val="0"/>
          <w:divBdr>
            <w:top w:val="none" w:sz="0" w:space="0" w:color="auto"/>
            <w:left w:val="none" w:sz="0" w:space="0" w:color="auto"/>
            <w:bottom w:val="none" w:sz="0" w:space="0" w:color="auto"/>
            <w:right w:val="none" w:sz="0" w:space="0" w:color="auto"/>
          </w:divBdr>
        </w:div>
      </w:divsChild>
    </w:div>
    <w:div w:id="644355974">
      <w:bodyDiv w:val="1"/>
      <w:marLeft w:val="0"/>
      <w:marRight w:val="0"/>
      <w:marTop w:val="0"/>
      <w:marBottom w:val="0"/>
      <w:divBdr>
        <w:top w:val="none" w:sz="0" w:space="0" w:color="auto"/>
        <w:left w:val="none" w:sz="0" w:space="0" w:color="auto"/>
        <w:bottom w:val="none" w:sz="0" w:space="0" w:color="auto"/>
        <w:right w:val="none" w:sz="0" w:space="0" w:color="auto"/>
      </w:divBdr>
      <w:divsChild>
        <w:div w:id="373123234">
          <w:marLeft w:val="0"/>
          <w:marRight w:val="0"/>
          <w:marTop w:val="0"/>
          <w:marBottom w:val="0"/>
          <w:divBdr>
            <w:top w:val="none" w:sz="0" w:space="0" w:color="auto"/>
            <w:left w:val="none" w:sz="0" w:space="0" w:color="auto"/>
            <w:bottom w:val="none" w:sz="0" w:space="0" w:color="auto"/>
            <w:right w:val="none" w:sz="0" w:space="0" w:color="auto"/>
          </w:divBdr>
        </w:div>
      </w:divsChild>
    </w:div>
    <w:div w:id="644819733">
      <w:bodyDiv w:val="1"/>
      <w:marLeft w:val="0"/>
      <w:marRight w:val="0"/>
      <w:marTop w:val="0"/>
      <w:marBottom w:val="0"/>
      <w:divBdr>
        <w:top w:val="none" w:sz="0" w:space="0" w:color="auto"/>
        <w:left w:val="none" w:sz="0" w:space="0" w:color="auto"/>
        <w:bottom w:val="none" w:sz="0" w:space="0" w:color="auto"/>
        <w:right w:val="none" w:sz="0" w:space="0" w:color="auto"/>
      </w:divBdr>
      <w:divsChild>
        <w:div w:id="600532526">
          <w:marLeft w:val="0"/>
          <w:marRight w:val="0"/>
          <w:marTop w:val="0"/>
          <w:marBottom w:val="0"/>
          <w:divBdr>
            <w:top w:val="none" w:sz="0" w:space="0" w:color="auto"/>
            <w:left w:val="none" w:sz="0" w:space="0" w:color="auto"/>
            <w:bottom w:val="none" w:sz="0" w:space="0" w:color="auto"/>
            <w:right w:val="none" w:sz="0" w:space="0" w:color="auto"/>
          </w:divBdr>
        </w:div>
      </w:divsChild>
    </w:div>
    <w:div w:id="679746682">
      <w:bodyDiv w:val="1"/>
      <w:marLeft w:val="0"/>
      <w:marRight w:val="0"/>
      <w:marTop w:val="0"/>
      <w:marBottom w:val="0"/>
      <w:divBdr>
        <w:top w:val="none" w:sz="0" w:space="0" w:color="auto"/>
        <w:left w:val="none" w:sz="0" w:space="0" w:color="auto"/>
        <w:bottom w:val="none" w:sz="0" w:space="0" w:color="auto"/>
        <w:right w:val="none" w:sz="0" w:space="0" w:color="auto"/>
      </w:divBdr>
      <w:divsChild>
        <w:div w:id="1865052602">
          <w:marLeft w:val="0"/>
          <w:marRight w:val="0"/>
          <w:marTop w:val="0"/>
          <w:marBottom w:val="0"/>
          <w:divBdr>
            <w:top w:val="none" w:sz="0" w:space="0" w:color="auto"/>
            <w:left w:val="none" w:sz="0" w:space="0" w:color="auto"/>
            <w:bottom w:val="none" w:sz="0" w:space="0" w:color="auto"/>
            <w:right w:val="none" w:sz="0" w:space="0" w:color="auto"/>
          </w:divBdr>
        </w:div>
      </w:divsChild>
    </w:div>
    <w:div w:id="694187633">
      <w:bodyDiv w:val="1"/>
      <w:marLeft w:val="0"/>
      <w:marRight w:val="0"/>
      <w:marTop w:val="0"/>
      <w:marBottom w:val="0"/>
      <w:divBdr>
        <w:top w:val="none" w:sz="0" w:space="0" w:color="auto"/>
        <w:left w:val="none" w:sz="0" w:space="0" w:color="auto"/>
        <w:bottom w:val="none" w:sz="0" w:space="0" w:color="auto"/>
        <w:right w:val="none" w:sz="0" w:space="0" w:color="auto"/>
      </w:divBdr>
      <w:divsChild>
        <w:div w:id="1301883088">
          <w:marLeft w:val="0"/>
          <w:marRight w:val="0"/>
          <w:marTop w:val="0"/>
          <w:marBottom w:val="0"/>
          <w:divBdr>
            <w:top w:val="none" w:sz="0" w:space="0" w:color="auto"/>
            <w:left w:val="none" w:sz="0" w:space="0" w:color="auto"/>
            <w:bottom w:val="none" w:sz="0" w:space="0" w:color="auto"/>
            <w:right w:val="none" w:sz="0" w:space="0" w:color="auto"/>
          </w:divBdr>
        </w:div>
      </w:divsChild>
    </w:div>
    <w:div w:id="794833012">
      <w:bodyDiv w:val="1"/>
      <w:marLeft w:val="0"/>
      <w:marRight w:val="0"/>
      <w:marTop w:val="0"/>
      <w:marBottom w:val="0"/>
      <w:divBdr>
        <w:top w:val="none" w:sz="0" w:space="0" w:color="auto"/>
        <w:left w:val="none" w:sz="0" w:space="0" w:color="auto"/>
        <w:bottom w:val="none" w:sz="0" w:space="0" w:color="auto"/>
        <w:right w:val="none" w:sz="0" w:space="0" w:color="auto"/>
      </w:divBdr>
      <w:divsChild>
        <w:div w:id="2085950864">
          <w:marLeft w:val="0"/>
          <w:marRight w:val="0"/>
          <w:marTop w:val="0"/>
          <w:marBottom w:val="0"/>
          <w:divBdr>
            <w:top w:val="none" w:sz="0" w:space="0" w:color="auto"/>
            <w:left w:val="none" w:sz="0" w:space="0" w:color="auto"/>
            <w:bottom w:val="none" w:sz="0" w:space="0" w:color="auto"/>
            <w:right w:val="none" w:sz="0" w:space="0" w:color="auto"/>
          </w:divBdr>
        </w:div>
      </w:divsChild>
    </w:div>
    <w:div w:id="851451993">
      <w:bodyDiv w:val="1"/>
      <w:marLeft w:val="0"/>
      <w:marRight w:val="0"/>
      <w:marTop w:val="0"/>
      <w:marBottom w:val="0"/>
      <w:divBdr>
        <w:top w:val="none" w:sz="0" w:space="0" w:color="auto"/>
        <w:left w:val="none" w:sz="0" w:space="0" w:color="auto"/>
        <w:bottom w:val="none" w:sz="0" w:space="0" w:color="auto"/>
        <w:right w:val="none" w:sz="0" w:space="0" w:color="auto"/>
      </w:divBdr>
      <w:divsChild>
        <w:div w:id="1489397471">
          <w:marLeft w:val="0"/>
          <w:marRight w:val="0"/>
          <w:marTop w:val="0"/>
          <w:marBottom w:val="0"/>
          <w:divBdr>
            <w:top w:val="none" w:sz="0" w:space="0" w:color="auto"/>
            <w:left w:val="none" w:sz="0" w:space="0" w:color="auto"/>
            <w:bottom w:val="none" w:sz="0" w:space="0" w:color="auto"/>
            <w:right w:val="none" w:sz="0" w:space="0" w:color="auto"/>
          </w:divBdr>
        </w:div>
      </w:divsChild>
    </w:div>
    <w:div w:id="1020013959">
      <w:bodyDiv w:val="1"/>
      <w:marLeft w:val="0"/>
      <w:marRight w:val="0"/>
      <w:marTop w:val="0"/>
      <w:marBottom w:val="0"/>
      <w:divBdr>
        <w:top w:val="none" w:sz="0" w:space="0" w:color="auto"/>
        <w:left w:val="none" w:sz="0" w:space="0" w:color="auto"/>
        <w:bottom w:val="none" w:sz="0" w:space="0" w:color="auto"/>
        <w:right w:val="none" w:sz="0" w:space="0" w:color="auto"/>
      </w:divBdr>
      <w:divsChild>
        <w:div w:id="603732846">
          <w:marLeft w:val="0"/>
          <w:marRight w:val="0"/>
          <w:marTop w:val="0"/>
          <w:marBottom w:val="0"/>
          <w:divBdr>
            <w:top w:val="none" w:sz="0" w:space="0" w:color="auto"/>
            <w:left w:val="none" w:sz="0" w:space="0" w:color="auto"/>
            <w:bottom w:val="none" w:sz="0" w:space="0" w:color="auto"/>
            <w:right w:val="none" w:sz="0" w:space="0" w:color="auto"/>
          </w:divBdr>
        </w:div>
      </w:divsChild>
    </w:div>
    <w:div w:id="1026715035">
      <w:bodyDiv w:val="1"/>
      <w:marLeft w:val="0"/>
      <w:marRight w:val="0"/>
      <w:marTop w:val="0"/>
      <w:marBottom w:val="0"/>
      <w:divBdr>
        <w:top w:val="none" w:sz="0" w:space="0" w:color="auto"/>
        <w:left w:val="none" w:sz="0" w:space="0" w:color="auto"/>
        <w:bottom w:val="none" w:sz="0" w:space="0" w:color="auto"/>
        <w:right w:val="none" w:sz="0" w:space="0" w:color="auto"/>
      </w:divBdr>
      <w:divsChild>
        <w:div w:id="181863979">
          <w:marLeft w:val="0"/>
          <w:marRight w:val="0"/>
          <w:marTop w:val="0"/>
          <w:marBottom w:val="0"/>
          <w:divBdr>
            <w:top w:val="none" w:sz="0" w:space="0" w:color="auto"/>
            <w:left w:val="none" w:sz="0" w:space="0" w:color="auto"/>
            <w:bottom w:val="none" w:sz="0" w:space="0" w:color="auto"/>
            <w:right w:val="none" w:sz="0" w:space="0" w:color="auto"/>
          </w:divBdr>
        </w:div>
      </w:divsChild>
    </w:div>
    <w:div w:id="1030304351">
      <w:bodyDiv w:val="1"/>
      <w:marLeft w:val="0"/>
      <w:marRight w:val="0"/>
      <w:marTop w:val="0"/>
      <w:marBottom w:val="0"/>
      <w:divBdr>
        <w:top w:val="none" w:sz="0" w:space="0" w:color="auto"/>
        <w:left w:val="none" w:sz="0" w:space="0" w:color="auto"/>
        <w:bottom w:val="none" w:sz="0" w:space="0" w:color="auto"/>
        <w:right w:val="none" w:sz="0" w:space="0" w:color="auto"/>
      </w:divBdr>
      <w:divsChild>
        <w:div w:id="1937589512">
          <w:marLeft w:val="0"/>
          <w:marRight w:val="0"/>
          <w:marTop w:val="0"/>
          <w:marBottom w:val="0"/>
          <w:divBdr>
            <w:top w:val="none" w:sz="0" w:space="0" w:color="auto"/>
            <w:left w:val="none" w:sz="0" w:space="0" w:color="auto"/>
            <w:bottom w:val="none" w:sz="0" w:space="0" w:color="auto"/>
            <w:right w:val="none" w:sz="0" w:space="0" w:color="auto"/>
          </w:divBdr>
        </w:div>
      </w:divsChild>
    </w:div>
    <w:div w:id="1052146936">
      <w:bodyDiv w:val="1"/>
      <w:marLeft w:val="0"/>
      <w:marRight w:val="0"/>
      <w:marTop w:val="0"/>
      <w:marBottom w:val="0"/>
      <w:divBdr>
        <w:top w:val="none" w:sz="0" w:space="0" w:color="auto"/>
        <w:left w:val="none" w:sz="0" w:space="0" w:color="auto"/>
        <w:bottom w:val="none" w:sz="0" w:space="0" w:color="auto"/>
        <w:right w:val="none" w:sz="0" w:space="0" w:color="auto"/>
      </w:divBdr>
      <w:divsChild>
        <w:div w:id="1519927508">
          <w:marLeft w:val="0"/>
          <w:marRight w:val="0"/>
          <w:marTop w:val="0"/>
          <w:marBottom w:val="0"/>
          <w:divBdr>
            <w:top w:val="none" w:sz="0" w:space="0" w:color="auto"/>
            <w:left w:val="none" w:sz="0" w:space="0" w:color="auto"/>
            <w:bottom w:val="none" w:sz="0" w:space="0" w:color="auto"/>
            <w:right w:val="none" w:sz="0" w:space="0" w:color="auto"/>
          </w:divBdr>
        </w:div>
      </w:divsChild>
    </w:div>
    <w:div w:id="1183281323">
      <w:bodyDiv w:val="1"/>
      <w:marLeft w:val="0"/>
      <w:marRight w:val="0"/>
      <w:marTop w:val="0"/>
      <w:marBottom w:val="0"/>
      <w:divBdr>
        <w:top w:val="none" w:sz="0" w:space="0" w:color="auto"/>
        <w:left w:val="none" w:sz="0" w:space="0" w:color="auto"/>
        <w:bottom w:val="none" w:sz="0" w:space="0" w:color="auto"/>
        <w:right w:val="none" w:sz="0" w:space="0" w:color="auto"/>
      </w:divBdr>
      <w:divsChild>
        <w:div w:id="473569217">
          <w:marLeft w:val="0"/>
          <w:marRight w:val="0"/>
          <w:marTop w:val="0"/>
          <w:marBottom w:val="0"/>
          <w:divBdr>
            <w:top w:val="none" w:sz="0" w:space="0" w:color="auto"/>
            <w:left w:val="none" w:sz="0" w:space="0" w:color="auto"/>
            <w:bottom w:val="none" w:sz="0" w:space="0" w:color="auto"/>
            <w:right w:val="none" w:sz="0" w:space="0" w:color="auto"/>
          </w:divBdr>
        </w:div>
      </w:divsChild>
    </w:div>
    <w:div w:id="1228226272">
      <w:bodyDiv w:val="1"/>
      <w:marLeft w:val="0"/>
      <w:marRight w:val="0"/>
      <w:marTop w:val="0"/>
      <w:marBottom w:val="0"/>
      <w:divBdr>
        <w:top w:val="none" w:sz="0" w:space="0" w:color="auto"/>
        <w:left w:val="none" w:sz="0" w:space="0" w:color="auto"/>
        <w:bottom w:val="none" w:sz="0" w:space="0" w:color="auto"/>
        <w:right w:val="none" w:sz="0" w:space="0" w:color="auto"/>
      </w:divBdr>
      <w:divsChild>
        <w:div w:id="1109665735">
          <w:marLeft w:val="0"/>
          <w:marRight w:val="0"/>
          <w:marTop w:val="0"/>
          <w:marBottom w:val="0"/>
          <w:divBdr>
            <w:top w:val="none" w:sz="0" w:space="0" w:color="auto"/>
            <w:left w:val="none" w:sz="0" w:space="0" w:color="auto"/>
            <w:bottom w:val="none" w:sz="0" w:space="0" w:color="auto"/>
            <w:right w:val="none" w:sz="0" w:space="0" w:color="auto"/>
          </w:divBdr>
        </w:div>
      </w:divsChild>
    </w:div>
    <w:div w:id="1251429559">
      <w:bodyDiv w:val="1"/>
      <w:marLeft w:val="0"/>
      <w:marRight w:val="0"/>
      <w:marTop w:val="0"/>
      <w:marBottom w:val="0"/>
      <w:divBdr>
        <w:top w:val="none" w:sz="0" w:space="0" w:color="auto"/>
        <w:left w:val="none" w:sz="0" w:space="0" w:color="auto"/>
        <w:bottom w:val="none" w:sz="0" w:space="0" w:color="auto"/>
        <w:right w:val="none" w:sz="0" w:space="0" w:color="auto"/>
      </w:divBdr>
      <w:divsChild>
        <w:div w:id="562066805">
          <w:marLeft w:val="0"/>
          <w:marRight w:val="0"/>
          <w:marTop w:val="0"/>
          <w:marBottom w:val="0"/>
          <w:divBdr>
            <w:top w:val="none" w:sz="0" w:space="0" w:color="auto"/>
            <w:left w:val="none" w:sz="0" w:space="0" w:color="auto"/>
            <w:bottom w:val="none" w:sz="0" w:space="0" w:color="auto"/>
            <w:right w:val="none" w:sz="0" w:space="0" w:color="auto"/>
          </w:divBdr>
        </w:div>
      </w:divsChild>
    </w:div>
    <w:div w:id="1324551713">
      <w:bodyDiv w:val="1"/>
      <w:marLeft w:val="0"/>
      <w:marRight w:val="0"/>
      <w:marTop w:val="0"/>
      <w:marBottom w:val="0"/>
      <w:divBdr>
        <w:top w:val="none" w:sz="0" w:space="0" w:color="auto"/>
        <w:left w:val="none" w:sz="0" w:space="0" w:color="auto"/>
        <w:bottom w:val="none" w:sz="0" w:space="0" w:color="auto"/>
        <w:right w:val="none" w:sz="0" w:space="0" w:color="auto"/>
      </w:divBdr>
      <w:divsChild>
        <w:div w:id="2013337323">
          <w:marLeft w:val="0"/>
          <w:marRight w:val="0"/>
          <w:marTop w:val="0"/>
          <w:marBottom w:val="0"/>
          <w:divBdr>
            <w:top w:val="none" w:sz="0" w:space="0" w:color="auto"/>
            <w:left w:val="none" w:sz="0" w:space="0" w:color="auto"/>
            <w:bottom w:val="none" w:sz="0" w:space="0" w:color="auto"/>
            <w:right w:val="none" w:sz="0" w:space="0" w:color="auto"/>
          </w:divBdr>
        </w:div>
      </w:divsChild>
    </w:div>
    <w:div w:id="1400202834">
      <w:bodyDiv w:val="1"/>
      <w:marLeft w:val="0"/>
      <w:marRight w:val="0"/>
      <w:marTop w:val="0"/>
      <w:marBottom w:val="0"/>
      <w:divBdr>
        <w:top w:val="none" w:sz="0" w:space="0" w:color="auto"/>
        <w:left w:val="none" w:sz="0" w:space="0" w:color="auto"/>
        <w:bottom w:val="none" w:sz="0" w:space="0" w:color="auto"/>
        <w:right w:val="none" w:sz="0" w:space="0" w:color="auto"/>
      </w:divBdr>
      <w:divsChild>
        <w:div w:id="2089956921">
          <w:marLeft w:val="0"/>
          <w:marRight w:val="0"/>
          <w:marTop w:val="0"/>
          <w:marBottom w:val="0"/>
          <w:divBdr>
            <w:top w:val="none" w:sz="0" w:space="0" w:color="auto"/>
            <w:left w:val="none" w:sz="0" w:space="0" w:color="auto"/>
            <w:bottom w:val="none" w:sz="0" w:space="0" w:color="auto"/>
            <w:right w:val="none" w:sz="0" w:space="0" w:color="auto"/>
          </w:divBdr>
        </w:div>
      </w:divsChild>
    </w:div>
    <w:div w:id="1401757591">
      <w:bodyDiv w:val="1"/>
      <w:marLeft w:val="0"/>
      <w:marRight w:val="0"/>
      <w:marTop w:val="0"/>
      <w:marBottom w:val="0"/>
      <w:divBdr>
        <w:top w:val="none" w:sz="0" w:space="0" w:color="auto"/>
        <w:left w:val="none" w:sz="0" w:space="0" w:color="auto"/>
        <w:bottom w:val="none" w:sz="0" w:space="0" w:color="auto"/>
        <w:right w:val="none" w:sz="0" w:space="0" w:color="auto"/>
      </w:divBdr>
      <w:divsChild>
        <w:div w:id="1152451575">
          <w:marLeft w:val="0"/>
          <w:marRight w:val="0"/>
          <w:marTop w:val="0"/>
          <w:marBottom w:val="0"/>
          <w:divBdr>
            <w:top w:val="none" w:sz="0" w:space="0" w:color="auto"/>
            <w:left w:val="none" w:sz="0" w:space="0" w:color="auto"/>
            <w:bottom w:val="none" w:sz="0" w:space="0" w:color="auto"/>
            <w:right w:val="none" w:sz="0" w:space="0" w:color="auto"/>
          </w:divBdr>
        </w:div>
      </w:divsChild>
    </w:div>
    <w:div w:id="1467548262">
      <w:bodyDiv w:val="1"/>
      <w:marLeft w:val="0"/>
      <w:marRight w:val="0"/>
      <w:marTop w:val="0"/>
      <w:marBottom w:val="0"/>
      <w:divBdr>
        <w:top w:val="none" w:sz="0" w:space="0" w:color="auto"/>
        <w:left w:val="none" w:sz="0" w:space="0" w:color="auto"/>
        <w:bottom w:val="none" w:sz="0" w:space="0" w:color="auto"/>
        <w:right w:val="none" w:sz="0" w:space="0" w:color="auto"/>
      </w:divBdr>
      <w:divsChild>
        <w:div w:id="1384408768">
          <w:marLeft w:val="0"/>
          <w:marRight w:val="0"/>
          <w:marTop w:val="0"/>
          <w:marBottom w:val="0"/>
          <w:divBdr>
            <w:top w:val="none" w:sz="0" w:space="0" w:color="auto"/>
            <w:left w:val="none" w:sz="0" w:space="0" w:color="auto"/>
            <w:bottom w:val="none" w:sz="0" w:space="0" w:color="auto"/>
            <w:right w:val="none" w:sz="0" w:space="0" w:color="auto"/>
          </w:divBdr>
        </w:div>
      </w:divsChild>
    </w:div>
    <w:div w:id="1523979444">
      <w:bodyDiv w:val="1"/>
      <w:marLeft w:val="0"/>
      <w:marRight w:val="0"/>
      <w:marTop w:val="0"/>
      <w:marBottom w:val="0"/>
      <w:divBdr>
        <w:top w:val="none" w:sz="0" w:space="0" w:color="auto"/>
        <w:left w:val="none" w:sz="0" w:space="0" w:color="auto"/>
        <w:bottom w:val="none" w:sz="0" w:space="0" w:color="auto"/>
        <w:right w:val="none" w:sz="0" w:space="0" w:color="auto"/>
      </w:divBdr>
      <w:divsChild>
        <w:div w:id="1646276024">
          <w:marLeft w:val="0"/>
          <w:marRight w:val="0"/>
          <w:marTop w:val="0"/>
          <w:marBottom w:val="0"/>
          <w:divBdr>
            <w:top w:val="none" w:sz="0" w:space="0" w:color="auto"/>
            <w:left w:val="none" w:sz="0" w:space="0" w:color="auto"/>
            <w:bottom w:val="none" w:sz="0" w:space="0" w:color="auto"/>
            <w:right w:val="none" w:sz="0" w:space="0" w:color="auto"/>
          </w:divBdr>
        </w:div>
      </w:divsChild>
    </w:div>
    <w:div w:id="1526947196">
      <w:bodyDiv w:val="1"/>
      <w:marLeft w:val="0"/>
      <w:marRight w:val="0"/>
      <w:marTop w:val="0"/>
      <w:marBottom w:val="0"/>
      <w:divBdr>
        <w:top w:val="none" w:sz="0" w:space="0" w:color="auto"/>
        <w:left w:val="none" w:sz="0" w:space="0" w:color="auto"/>
        <w:bottom w:val="none" w:sz="0" w:space="0" w:color="auto"/>
        <w:right w:val="none" w:sz="0" w:space="0" w:color="auto"/>
      </w:divBdr>
      <w:divsChild>
        <w:div w:id="567350091">
          <w:marLeft w:val="0"/>
          <w:marRight w:val="0"/>
          <w:marTop w:val="0"/>
          <w:marBottom w:val="0"/>
          <w:divBdr>
            <w:top w:val="none" w:sz="0" w:space="0" w:color="auto"/>
            <w:left w:val="none" w:sz="0" w:space="0" w:color="auto"/>
            <w:bottom w:val="none" w:sz="0" w:space="0" w:color="auto"/>
            <w:right w:val="none" w:sz="0" w:space="0" w:color="auto"/>
          </w:divBdr>
        </w:div>
      </w:divsChild>
    </w:div>
    <w:div w:id="1557665513">
      <w:bodyDiv w:val="1"/>
      <w:marLeft w:val="0"/>
      <w:marRight w:val="0"/>
      <w:marTop w:val="0"/>
      <w:marBottom w:val="0"/>
      <w:divBdr>
        <w:top w:val="none" w:sz="0" w:space="0" w:color="auto"/>
        <w:left w:val="none" w:sz="0" w:space="0" w:color="auto"/>
        <w:bottom w:val="none" w:sz="0" w:space="0" w:color="auto"/>
        <w:right w:val="none" w:sz="0" w:space="0" w:color="auto"/>
      </w:divBdr>
      <w:divsChild>
        <w:div w:id="81952616">
          <w:marLeft w:val="0"/>
          <w:marRight w:val="0"/>
          <w:marTop w:val="0"/>
          <w:marBottom w:val="0"/>
          <w:divBdr>
            <w:top w:val="none" w:sz="0" w:space="0" w:color="auto"/>
            <w:left w:val="none" w:sz="0" w:space="0" w:color="auto"/>
            <w:bottom w:val="none" w:sz="0" w:space="0" w:color="auto"/>
            <w:right w:val="none" w:sz="0" w:space="0" w:color="auto"/>
          </w:divBdr>
        </w:div>
      </w:divsChild>
    </w:div>
    <w:div w:id="1595282250">
      <w:bodyDiv w:val="1"/>
      <w:marLeft w:val="0"/>
      <w:marRight w:val="0"/>
      <w:marTop w:val="0"/>
      <w:marBottom w:val="0"/>
      <w:divBdr>
        <w:top w:val="none" w:sz="0" w:space="0" w:color="auto"/>
        <w:left w:val="none" w:sz="0" w:space="0" w:color="auto"/>
        <w:bottom w:val="none" w:sz="0" w:space="0" w:color="auto"/>
        <w:right w:val="none" w:sz="0" w:space="0" w:color="auto"/>
      </w:divBdr>
      <w:divsChild>
        <w:div w:id="1328706871">
          <w:marLeft w:val="0"/>
          <w:marRight w:val="0"/>
          <w:marTop w:val="0"/>
          <w:marBottom w:val="0"/>
          <w:divBdr>
            <w:top w:val="none" w:sz="0" w:space="0" w:color="auto"/>
            <w:left w:val="none" w:sz="0" w:space="0" w:color="auto"/>
            <w:bottom w:val="none" w:sz="0" w:space="0" w:color="auto"/>
            <w:right w:val="none" w:sz="0" w:space="0" w:color="auto"/>
          </w:divBdr>
        </w:div>
      </w:divsChild>
    </w:div>
    <w:div w:id="1627471984">
      <w:bodyDiv w:val="1"/>
      <w:marLeft w:val="0"/>
      <w:marRight w:val="0"/>
      <w:marTop w:val="0"/>
      <w:marBottom w:val="0"/>
      <w:divBdr>
        <w:top w:val="none" w:sz="0" w:space="0" w:color="auto"/>
        <w:left w:val="none" w:sz="0" w:space="0" w:color="auto"/>
        <w:bottom w:val="none" w:sz="0" w:space="0" w:color="auto"/>
        <w:right w:val="none" w:sz="0" w:space="0" w:color="auto"/>
      </w:divBdr>
      <w:divsChild>
        <w:div w:id="1459687530">
          <w:marLeft w:val="0"/>
          <w:marRight w:val="0"/>
          <w:marTop w:val="0"/>
          <w:marBottom w:val="0"/>
          <w:divBdr>
            <w:top w:val="none" w:sz="0" w:space="0" w:color="auto"/>
            <w:left w:val="none" w:sz="0" w:space="0" w:color="auto"/>
            <w:bottom w:val="none" w:sz="0" w:space="0" w:color="auto"/>
            <w:right w:val="none" w:sz="0" w:space="0" w:color="auto"/>
          </w:divBdr>
        </w:div>
      </w:divsChild>
    </w:div>
    <w:div w:id="1655404107">
      <w:bodyDiv w:val="1"/>
      <w:marLeft w:val="0"/>
      <w:marRight w:val="0"/>
      <w:marTop w:val="0"/>
      <w:marBottom w:val="0"/>
      <w:divBdr>
        <w:top w:val="none" w:sz="0" w:space="0" w:color="auto"/>
        <w:left w:val="none" w:sz="0" w:space="0" w:color="auto"/>
        <w:bottom w:val="none" w:sz="0" w:space="0" w:color="auto"/>
        <w:right w:val="none" w:sz="0" w:space="0" w:color="auto"/>
      </w:divBdr>
      <w:divsChild>
        <w:div w:id="1580749217">
          <w:marLeft w:val="0"/>
          <w:marRight w:val="0"/>
          <w:marTop w:val="0"/>
          <w:marBottom w:val="0"/>
          <w:divBdr>
            <w:top w:val="none" w:sz="0" w:space="0" w:color="auto"/>
            <w:left w:val="none" w:sz="0" w:space="0" w:color="auto"/>
            <w:bottom w:val="none" w:sz="0" w:space="0" w:color="auto"/>
            <w:right w:val="none" w:sz="0" w:space="0" w:color="auto"/>
          </w:divBdr>
        </w:div>
      </w:divsChild>
    </w:div>
    <w:div w:id="1738361073">
      <w:bodyDiv w:val="1"/>
      <w:marLeft w:val="0"/>
      <w:marRight w:val="0"/>
      <w:marTop w:val="0"/>
      <w:marBottom w:val="0"/>
      <w:divBdr>
        <w:top w:val="none" w:sz="0" w:space="0" w:color="auto"/>
        <w:left w:val="none" w:sz="0" w:space="0" w:color="auto"/>
        <w:bottom w:val="none" w:sz="0" w:space="0" w:color="auto"/>
        <w:right w:val="none" w:sz="0" w:space="0" w:color="auto"/>
      </w:divBdr>
      <w:divsChild>
        <w:div w:id="1053238021">
          <w:marLeft w:val="0"/>
          <w:marRight w:val="0"/>
          <w:marTop w:val="0"/>
          <w:marBottom w:val="0"/>
          <w:divBdr>
            <w:top w:val="none" w:sz="0" w:space="0" w:color="auto"/>
            <w:left w:val="none" w:sz="0" w:space="0" w:color="auto"/>
            <w:bottom w:val="none" w:sz="0" w:space="0" w:color="auto"/>
            <w:right w:val="none" w:sz="0" w:space="0" w:color="auto"/>
          </w:divBdr>
        </w:div>
      </w:divsChild>
    </w:div>
    <w:div w:id="1745301397">
      <w:bodyDiv w:val="1"/>
      <w:marLeft w:val="0"/>
      <w:marRight w:val="0"/>
      <w:marTop w:val="0"/>
      <w:marBottom w:val="0"/>
      <w:divBdr>
        <w:top w:val="none" w:sz="0" w:space="0" w:color="auto"/>
        <w:left w:val="none" w:sz="0" w:space="0" w:color="auto"/>
        <w:bottom w:val="none" w:sz="0" w:space="0" w:color="auto"/>
        <w:right w:val="none" w:sz="0" w:space="0" w:color="auto"/>
      </w:divBdr>
      <w:divsChild>
        <w:div w:id="1041897893">
          <w:marLeft w:val="0"/>
          <w:marRight w:val="0"/>
          <w:marTop w:val="0"/>
          <w:marBottom w:val="0"/>
          <w:divBdr>
            <w:top w:val="none" w:sz="0" w:space="0" w:color="auto"/>
            <w:left w:val="none" w:sz="0" w:space="0" w:color="auto"/>
            <w:bottom w:val="none" w:sz="0" w:space="0" w:color="auto"/>
            <w:right w:val="none" w:sz="0" w:space="0" w:color="auto"/>
          </w:divBdr>
        </w:div>
      </w:divsChild>
    </w:div>
    <w:div w:id="1922329260">
      <w:bodyDiv w:val="1"/>
      <w:marLeft w:val="0"/>
      <w:marRight w:val="0"/>
      <w:marTop w:val="0"/>
      <w:marBottom w:val="0"/>
      <w:divBdr>
        <w:top w:val="none" w:sz="0" w:space="0" w:color="auto"/>
        <w:left w:val="none" w:sz="0" w:space="0" w:color="auto"/>
        <w:bottom w:val="none" w:sz="0" w:space="0" w:color="auto"/>
        <w:right w:val="none" w:sz="0" w:space="0" w:color="auto"/>
      </w:divBdr>
      <w:divsChild>
        <w:div w:id="928736761">
          <w:marLeft w:val="0"/>
          <w:marRight w:val="0"/>
          <w:marTop w:val="0"/>
          <w:marBottom w:val="0"/>
          <w:divBdr>
            <w:top w:val="none" w:sz="0" w:space="0" w:color="auto"/>
            <w:left w:val="none" w:sz="0" w:space="0" w:color="auto"/>
            <w:bottom w:val="none" w:sz="0" w:space="0" w:color="auto"/>
            <w:right w:val="none" w:sz="0" w:space="0" w:color="auto"/>
          </w:divBdr>
        </w:div>
      </w:divsChild>
    </w:div>
    <w:div w:id="2013952318">
      <w:bodyDiv w:val="1"/>
      <w:marLeft w:val="0"/>
      <w:marRight w:val="0"/>
      <w:marTop w:val="0"/>
      <w:marBottom w:val="0"/>
      <w:divBdr>
        <w:top w:val="none" w:sz="0" w:space="0" w:color="auto"/>
        <w:left w:val="none" w:sz="0" w:space="0" w:color="auto"/>
        <w:bottom w:val="none" w:sz="0" w:space="0" w:color="auto"/>
        <w:right w:val="none" w:sz="0" w:space="0" w:color="auto"/>
      </w:divBdr>
      <w:divsChild>
        <w:div w:id="1080759060">
          <w:marLeft w:val="0"/>
          <w:marRight w:val="0"/>
          <w:marTop w:val="0"/>
          <w:marBottom w:val="0"/>
          <w:divBdr>
            <w:top w:val="none" w:sz="0" w:space="0" w:color="auto"/>
            <w:left w:val="none" w:sz="0" w:space="0" w:color="auto"/>
            <w:bottom w:val="none" w:sz="0" w:space="0" w:color="auto"/>
            <w:right w:val="none" w:sz="0" w:space="0" w:color="auto"/>
          </w:divBdr>
        </w:div>
      </w:divsChild>
    </w:div>
    <w:div w:id="2016104834">
      <w:bodyDiv w:val="1"/>
      <w:marLeft w:val="0"/>
      <w:marRight w:val="0"/>
      <w:marTop w:val="0"/>
      <w:marBottom w:val="0"/>
      <w:divBdr>
        <w:top w:val="none" w:sz="0" w:space="0" w:color="auto"/>
        <w:left w:val="none" w:sz="0" w:space="0" w:color="auto"/>
        <w:bottom w:val="none" w:sz="0" w:space="0" w:color="auto"/>
        <w:right w:val="none" w:sz="0" w:space="0" w:color="auto"/>
      </w:divBdr>
      <w:divsChild>
        <w:div w:id="2110082059">
          <w:marLeft w:val="0"/>
          <w:marRight w:val="0"/>
          <w:marTop w:val="0"/>
          <w:marBottom w:val="0"/>
          <w:divBdr>
            <w:top w:val="none" w:sz="0" w:space="0" w:color="auto"/>
            <w:left w:val="none" w:sz="0" w:space="0" w:color="auto"/>
            <w:bottom w:val="none" w:sz="0" w:space="0" w:color="auto"/>
            <w:right w:val="none" w:sz="0" w:space="0" w:color="auto"/>
          </w:divBdr>
        </w:div>
      </w:divsChild>
    </w:div>
    <w:div w:id="2032367041">
      <w:bodyDiv w:val="1"/>
      <w:marLeft w:val="0"/>
      <w:marRight w:val="0"/>
      <w:marTop w:val="0"/>
      <w:marBottom w:val="0"/>
      <w:divBdr>
        <w:top w:val="none" w:sz="0" w:space="0" w:color="auto"/>
        <w:left w:val="none" w:sz="0" w:space="0" w:color="auto"/>
        <w:bottom w:val="none" w:sz="0" w:space="0" w:color="auto"/>
        <w:right w:val="none" w:sz="0" w:space="0" w:color="auto"/>
      </w:divBdr>
      <w:divsChild>
        <w:div w:id="374159785">
          <w:marLeft w:val="0"/>
          <w:marRight w:val="0"/>
          <w:marTop w:val="0"/>
          <w:marBottom w:val="0"/>
          <w:divBdr>
            <w:top w:val="none" w:sz="0" w:space="0" w:color="auto"/>
            <w:left w:val="none" w:sz="0" w:space="0" w:color="auto"/>
            <w:bottom w:val="none" w:sz="0" w:space="0" w:color="auto"/>
            <w:right w:val="none" w:sz="0" w:space="0" w:color="auto"/>
          </w:divBdr>
        </w:div>
      </w:divsChild>
    </w:div>
    <w:div w:id="2089185191">
      <w:bodyDiv w:val="1"/>
      <w:marLeft w:val="0"/>
      <w:marRight w:val="0"/>
      <w:marTop w:val="0"/>
      <w:marBottom w:val="0"/>
      <w:divBdr>
        <w:top w:val="none" w:sz="0" w:space="0" w:color="auto"/>
        <w:left w:val="none" w:sz="0" w:space="0" w:color="auto"/>
        <w:bottom w:val="none" w:sz="0" w:space="0" w:color="auto"/>
        <w:right w:val="none" w:sz="0" w:space="0" w:color="auto"/>
      </w:divBdr>
      <w:divsChild>
        <w:div w:id="1613592570">
          <w:marLeft w:val="0"/>
          <w:marRight w:val="0"/>
          <w:marTop w:val="0"/>
          <w:marBottom w:val="0"/>
          <w:divBdr>
            <w:top w:val="none" w:sz="0" w:space="0" w:color="auto"/>
            <w:left w:val="none" w:sz="0" w:space="0" w:color="auto"/>
            <w:bottom w:val="none" w:sz="0" w:space="0" w:color="auto"/>
            <w:right w:val="none" w:sz="0" w:space="0" w:color="auto"/>
          </w:divBdr>
        </w:div>
      </w:divsChild>
    </w:div>
    <w:div w:id="2111705678">
      <w:bodyDiv w:val="1"/>
      <w:marLeft w:val="0"/>
      <w:marRight w:val="0"/>
      <w:marTop w:val="0"/>
      <w:marBottom w:val="0"/>
      <w:divBdr>
        <w:top w:val="none" w:sz="0" w:space="0" w:color="auto"/>
        <w:left w:val="none" w:sz="0" w:space="0" w:color="auto"/>
        <w:bottom w:val="none" w:sz="0" w:space="0" w:color="auto"/>
        <w:right w:val="none" w:sz="0" w:space="0" w:color="auto"/>
      </w:divBdr>
      <w:divsChild>
        <w:div w:id="2146002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75015-D7DF-4058-8598-E626ACE2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1049</Pages>
  <Words>213585</Words>
  <Characters>1217437</Characters>
  <Application>Microsoft Office Word</Application>
  <DocSecurity>0</DocSecurity>
  <Lines>10145</Lines>
  <Paragraphs>2856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Аngela</dc:creator>
  <cp:keywords/>
  <dc:description/>
  <cp:lastModifiedBy>Nune Korukhchyan</cp:lastModifiedBy>
  <cp:revision>7</cp:revision>
  <cp:lastPrinted>2022-06-22T12:05:00Z</cp:lastPrinted>
  <dcterms:created xsi:type="dcterms:W3CDTF">2022-11-01T13:32:00Z</dcterms:created>
  <dcterms:modified xsi:type="dcterms:W3CDTF">2024-09-16T12:44:00Z</dcterms:modified>
</cp:coreProperties>
</file>